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BF5" w:rsidRPr="00AE13D1" w:rsidRDefault="00E32BF5" w:rsidP="00E32BF5">
      <w:pPr>
        <w:jc w:val="center"/>
        <w:rPr>
          <w:b/>
          <w:sz w:val="30"/>
          <w:szCs w:val="40"/>
        </w:rPr>
      </w:pPr>
      <w:bookmarkStart w:id="0" w:name="_GoBack"/>
      <w:bookmarkEnd w:id="0"/>
      <w:r w:rsidRPr="00904850">
        <w:rPr>
          <w:b/>
          <w:sz w:val="30"/>
          <w:szCs w:val="40"/>
        </w:rPr>
        <w:t>GOVE</w:t>
      </w:r>
      <w:r w:rsidRPr="00AE13D1">
        <w:rPr>
          <w:b/>
          <w:sz w:val="30"/>
          <w:szCs w:val="40"/>
        </w:rPr>
        <w:t>RNMENT OF PAKISTAN</w:t>
      </w:r>
    </w:p>
    <w:p w:rsidR="00E32BF5" w:rsidRPr="00AE13D1" w:rsidRDefault="00E32BF5" w:rsidP="00E32BF5">
      <w:pPr>
        <w:jc w:val="center"/>
        <w:rPr>
          <w:b/>
          <w:sz w:val="26"/>
          <w:szCs w:val="40"/>
        </w:rPr>
      </w:pPr>
      <w:r w:rsidRPr="00AE13D1">
        <w:rPr>
          <w:b/>
          <w:sz w:val="26"/>
          <w:szCs w:val="40"/>
        </w:rPr>
        <w:t>FEDERAL BOARD OF REVENUE</w:t>
      </w:r>
    </w:p>
    <w:p w:rsidR="00E32BF5" w:rsidRPr="00AE13D1" w:rsidRDefault="00E32BF5" w:rsidP="00E32BF5">
      <w:pPr>
        <w:jc w:val="center"/>
        <w:rPr>
          <w:sz w:val="40"/>
          <w:szCs w:val="40"/>
        </w:rPr>
      </w:pPr>
      <w:r w:rsidRPr="00AE13D1">
        <w:rPr>
          <w:b/>
          <w:sz w:val="26"/>
          <w:szCs w:val="40"/>
        </w:rPr>
        <w:t>(REVENUE DIVISION)</w:t>
      </w:r>
    </w:p>
    <w:p w:rsidR="00E32BF5" w:rsidRPr="00AE13D1" w:rsidRDefault="00E32BF5" w:rsidP="00E32BF5">
      <w:pPr>
        <w:jc w:val="center"/>
      </w:pPr>
      <w:r w:rsidRPr="00AE13D1">
        <w:t>….</w:t>
      </w:r>
    </w:p>
    <w:p w:rsidR="00E32BF5" w:rsidRPr="00AE13D1" w:rsidRDefault="00E32BF5" w:rsidP="00E32BF5">
      <w:pPr>
        <w:jc w:val="center"/>
      </w:pPr>
    </w:p>
    <w:p w:rsidR="00E32BF5" w:rsidRPr="00AE13D1" w:rsidRDefault="00E32BF5" w:rsidP="00E32BF5">
      <w:pPr>
        <w:jc w:val="center"/>
      </w:pPr>
    </w:p>
    <w:p w:rsidR="00E32BF5" w:rsidRPr="00AE13D1" w:rsidRDefault="00E32BF5" w:rsidP="00E32BF5">
      <w:pPr>
        <w:jc w:val="center"/>
      </w:pPr>
    </w:p>
    <w:p w:rsidR="00E32BF5" w:rsidRPr="00AE13D1" w:rsidRDefault="00E32BF5" w:rsidP="00E32BF5">
      <w:pPr>
        <w:jc w:val="center"/>
      </w:pPr>
    </w:p>
    <w:p w:rsidR="00E32BF5" w:rsidRPr="00AE13D1" w:rsidRDefault="00E32BF5" w:rsidP="00E32BF5">
      <w:pPr>
        <w:jc w:val="center"/>
        <w:rPr>
          <w:b/>
          <w:sz w:val="28"/>
          <w:szCs w:val="28"/>
        </w:rPr>
      </w:pPr>
      <w:r w:rsidRPr="00AE13D1">
        <w:rPr>
          <w:b/>
          <w:sz w:val="28"/>
          <w:szCs w:val="28"/>
        </w:rPr>
        <w:t>INCOME TAX MANUAL</w:t>
      </w:r>
    </w:p>
    <w:p w:rsidR="00E32BF5" w:rsidRPr="00AE13D1" w:rsidRDefault="00E32BF5" w:rsidP="00E32BF5">
      <w:pPr>
        <w:jc w:val="center"/>
        <w:rPr>
          <w:sz w:val="28"/>
          <w:szCs w:val="28"/>
        </w:rPr>
      </w:pPr>
    </w:p>
    <w:p w:rsidR="00E32BF5" w:rsidRPr="00AE13D1" w:rsidRDefault="00E32BF5" w:rsidP="00E32BF5">
      <w:pPr>
        <w:jc w:val="center"/>
        <w:rPr>
          <w:b/>
          <w:sz w:val="28"/>
          <w:szCs w:val="28"/>
        </w:rPr>
      </w:pPr>
      <w:r w:rsidRPr="00AE13D1">
        <w:rPr>
          <w:b/>
          <w:sz w:val="28"/>
          <w:szCs w:val="28"/>
        </w:rPr>
        <w:t>PART I</w:t>
      </w:r>
    </w:p>
    <w:p w:rsidR="00E32BF5" w:rsidRPr="00AE13D1" w:rsidRDefault="00E32BF5" w:rsidP="00E32BF5">
      <w:pPr>
        <w:pStyle w:val="Heading6"/>
        <w:rPr>
          <w:b/>
          <w:i w:val="0"/>
          <w:sz w:val="28"/>
        </w:rPr>
      </w:pPr>
    </w:p>
    <w:p w:rsidR="00E32BF5" w:rsidRPr="00AE13D1" w:rsidRDefault="00E32BF5" w:rsidP="00E32BF5">
      <w:pPr>
        <w:jc w:val="center"/>
        <w:rPr>
          <w:lang w:val="en-GB"/>
        </w:rPr>
      </w:pPr>
    </w:p>
    <w:p w:rsidR="00E32BF5" w:rsidRPr="00AE13D1" w:rsidRDefault="00E32BF5" w:rsidP="00E32BF5">
      <w:pPr>
        <w:jc w:val="center"/>
        <w:rPr>
          <w:lang w:val="en-GB"/>
        </w:rPr>
      </w:pPr>
    </w:p>
    <w:p w:rsidR="00E32BF5" w:rsidRPr="00AE13D1" w:rsidRDefault="00E32BF5" w:rsidP="00E32BF5">
      <w:pPr>
        <w:pStyle w:val="Heading1"/>
        <w:spacing w:line="240" w:lineRule="auto"/>
        <w:rPr>
          <w:caps w:val="0"/>
        </w:rPr>
      </w:pPr>
    </w:p>
    <w:p w:rsidR="00E32BF5" w:rsidRPr="00AE13D1" w:rsidRDefault="00E32BF5" w:rsidP="00E32BF5">
      <w:pPr>
        <w:pStyle w:val="Heading1"/>
        <w:spacing w:line="240" w:lineRule="auto"/>
        <w:rPr>
          <w:sz w:val="40"/>
        </w:rPr>
      </w:pPr>
      <w:r w:rsidRPr="00AE13D1">
        <w:rPr>
          <w:sz w:val="40"/>
        </w:rPr>
        <w:t>INCOME TAX ORDINANCE, 2001</w:t>
      </w:r>
    </w:p>
    <w:p w:rsidR="00E32BF5" w:rsidRPr="00AE13D1" w:rsidRDefault="00E32BF5" w:rsidP="00E32BF5">
      <w:pPr>
        <w:jc w:val="center"/>
        <w:rPr>
          <w:sz w:val="32"/>
          <w:szCs w:val="32"/>
        </w:rPr>
      </w:pPr>
    </w:p>
    <w:p w:rsidR="00E32BF5" w:rsidRPr="00AE13D1" w:rsidRDefault="00E32BF5" w:rsidP="00E32BF5">
      <w:pPr>
        <w:jc w:val="center"/>
        <w:rPr>
          <w:sz w:val="32"/>
          <w:szCs w:val="32"/>
        </w:rPr>
      </w:pPr>
    </w:p>
    <w:p w:rsidR="00E32BF5" w:rsidRPr="00AE13D1" w:rsidRDefault="00E32BF5" w:rsidP="00E32BF5">
      <w:pPr>
        <w:jc w:val="center"/>
        <w:rPr>
          <w:b/>
          <w:sz w:val="22"/>
          <w:szCs w:val="40"/>
        </w:rPr>
      </w:pPr>
      <w:r w:rsidRPr="00AE13D1">
        <w:rPr>
          <w:b/>
          <w:sz w:val="22"/>
          <w:szCs w:val="40"/>
        </w:rPr>
        <w:t>AMENDED UPTO</w:t>
      </w:r>
      <w:r>
        <w:rPr>
          <w:b/>
          <w:sz w:val="22"/>
          <w:szCs w:val="40"/>
        </w:rPr>
        <w:t xml:space="preserve"> </w:t>
      </w:r>
      <w:r w:rsidR="0094410D">
        <w:rPr>
          <w:b/>
          <w:sz w:val="22"/>
          <w:szCs w:val="40"/>
        </w:rPr>
        <w:t>3</w:t>
      </w:r>
      <w:r w:rsidR="002E0E23">
        <w:rPr>
          <w:b/>
          <w:sz w:val="22"/>
          <w:szCs w:val="40"/>
        </w:rPr>
        <w:t>1</w:t>
      </w:r>
      <w:r w:rsidR="002E0E23" w:rsidRPr="002E0E23">
        <w:rPr>
          <w:b/>
          <w:sz w:val="22"/>
          <w:szCs w:val="40"/>
          <w:vertAlign w:val="superscript"/>
        </w:rPr>
        <w:t>st</w:t>
      </w:r>
      <w:r w:rsidR="002E0E23">
        <w:rPr>
          <w:b/>
          <w:sz w:val="22"/>
          <w:szCs w:val="40"/>
        </w:rPr>
        <w:t xml:space="preserve"> AUGUST</w:t>
      </w:r>
      <w:r>
        <w:rPr>
          <w:b/>
          <w:sz w:val="22"/>
          <w:szCs w:val="40"/>
        </w:rPr>
        <w:t>, 201</w:t>
      </w:r>
      <w:r w:rsidR="00B23E5A">
        <w:rPr>
          <w:b/>
          <w:sz w:val="22"/>
          <w:szCs w:val="40"/>
        </w:rPr>
        <w:t>6</w:t>
      </w:r>
    </w:p>
    <w:p w:rsidR="00E32BF5" w:rsidRPr="00AE13D1" w:rsidRDefault="00E32BF5" w:rsidP="00E32BF5">
      <w:pPr>
        <w:jc w:val="center"/>
        <w:rPr>
          <w:sz w:val="32"/>
          <w:szCs w:val="32"/>
        </w:rPr>
      </w:pPr>
    </w:p>
    <w:p w:rsidR="00E32BF5" w:rsidRDefault="00E32BF5">
      <w:pPr>
        <w:rPr>
          <w:b/>
          <w:color w:val="00B0F0"/>
          <w:sz w:val="28"/>
          <w:szCs w:val="28"/>
          <w:u w:val="single"/>
        </w:rPr>
      </w:pPr>
      <w:r>
        <w:rPr>
          <w:b/>
          <w:color w:val="00B0F0"/>
          <w:sz w:val="28"/>
          <w:szCs w:val="28"/>
          <w:u w:val="single"/>
        </w:rPr>
        <w:br w:type="page"/>
      </w:r>
    </w:p>
    <w:p w:rsidR="006A3F93" w:rsidRPr="00412620" w:rsidRDefault="006A3F93">
      <w:pPr>
        <w:rPr>
          <w:sz w:val="20"/>
        </w:rPr>
      </w:pPr>
      <w:r w:rsidRPr="00412620">
        <w:rPr>
          <w:sz w:val="20"/>
        </w:rPr>
        <w:lastRenderedPageBreak/>
        <w:t>F.No.2(1)/2001</w:t>
      </w:r>
      <w:r w:rsidR="008929FC" w:rsidRPr="00412620">
        <w:rPr>
          <w:rFonts w:cs="Arial"/>
          <w:sz w:val="20"/>
        </w:rPr>
        <w:t>—</w:t>
      </w:r>
      <w:r w:rsidRPr="00412620">
        <w:rPr>
          <w:sz w:val="20"/>
        </w:rPr>
        <w:t>Pub.</w:t>
      </w:r>
      <w:r w:rsidR="008D6B5F" w:rsidRPr="00412620">
        <w:rPr>
          <w:sz w:val="20"/>
        </w:rPr>
        <w:t>—</w:t>
      </w:r>
      <w:r w:rsidRPr="00412620">
        <w:rPr>
          <w:sz w:val="20"/>
        </w:rPr>
        <w:t xml:space="preserve"> The following Ordinance promulgated by the President is hereby  published for general information:</w:t>
      </w:r>
      <w:r w:rsidR="00B9071F" w:rsidRPr="00412620">
        <w:rPr>
          <w:rFonts w:cs="Arial"/>
          <w:sz w:val="20"/>
        </w:rPr>
        <w:t>—</w:t>
      </w:r>
    </w:p>
    <w:p w:rsidR="006A3F93" w:rsidRPr="00443B1B" w:rsidRDefault="00FE58C4">
      <w:pPr>
        <w:pStyle w:val="Subtitle"/>
        <w:rPr>
          <w:rFonts w:cs="Arial"/>
          <w:color w:val="00B0F0"/>
        </w:rPr>
      </w:pPr>
      <w:r>
        <w:rPr>
          <w:rFonts w:cs="Arial"/>
          <w:color w:val="00B0F0"/>
        </w:rPr>
        <w:tab/>
      </w:r>
      <w:r>
        <w:rPr>
          <w:rFonts w:cs="Arial"/>
          <w:color w:val="00B0F0"/>
        </w:rPr>
        <w:tab/>
      </w:r>
      <w:r>
        <w:rPr>
          <w:rFonts w:cs="Arial"/>
          <w:color w:val="00B0F0"/>
        </w:rPr>
        <w:tab/>
      </w:r>
      <w:r>
        <w:rPr>
          <w:rFonts w:cs="Arial"/>
          <w:color w:val="00B0F0"/>
        </w:rPr>
        <w:tab/>
      </w:r>
      <w:r>
        <w:rPr>
          <w:rFonts w:cs="Arial"/>
          <w:color w:val="00B0F0"/>
        </w:rPr>
        <w:tab/>
      </w:r>
    </w:p>
    <w:p w:rsidR="006A3F93" w:rsidRPr="00FE58C4" w:rsidRDefault="006A3F93">
      <w:pPr>
        <w:pStyle w:val="Subtitle"/>
        <w:keepNext/>
      </w:pPr>
      <w:r w:rsidRPr="00FE58C4">
        <w:rPr>
          <w:rFonts w:cs="Arial"/>
        </w:rPr>
        <w:t>AN</w:t>
      </w:r>
    </w:p>
    <w:p w:rsidR="006A3F93" w:rsidRPr="00FE58C4" w:rsidRDefault="006A3F93">
      <w:pPr>
        <w:keepNext/>
        <w:jc w:val="center"/>
        <w:rPr>
          <w:rFonts w:cs="Arial"/>
          <w:b/>
          <w:sz w:val="20"/>
        </w:rPr>
      </w:pPr>
    </w:p>
    <w:p w:rsidR="006A3F93" w:rsidRPr="00FE58C4" w:rsidRDefault="006A3F93">
      <w:pPr>
        <w:keepNext/>
        <w:jc w:val="center"/>
        <w:rPr>
          <w:rFonts w:cs="Arial"/>
          <w:b/>
          <w:sz w:val="20"/>
        </w:rPr>
      </w:pPr>
      <w:r w:rsidRPr="00FE58C4">
        <w:rPr>
          <w:rFonts w:cs="Arial"/>
          <w:b/>
          <w:sz w:val="20"/>
        </w:rPr>
        <w:t>ORDINANCE</w:t>
      </w:r>
    </w:p>
    <w:p w:rsidR="006A3F93" w:rsidRPr="00FE58C4" w:rsidRDefault="006A3F93">
      <w:pPr>
        <w:keepNext/>
        <w:jc w:val="center"/>
        <w:rPr>
          <w:rFonts w:cs="Arial"/>
          <w:b/>
          <w:sz w:val="20"/>
        </w:rPr>
      </w:pPr>
    </w:p>
    <w:p w:rsidR="006A3F93" w:rsidRPr="00FE58C4" w:rsidRDefault="00993ADB">
      <w:pPr>
        <w:keepNext/>
        <w:jc w:val="center"/>
        <w:rPr>
          <w:rFonts w:cs="Arial"/>
          <w:b/>
          <w:sz w:val="20"/>
        </w:rPr>
      </w:pPr>
      <w:r w:rsidRPr="00FE58C4">
        <w:rPr>
          <w:rFonts w:cs="Arial"/>
          <w:b/>
          <w:sz w:val="20"/>
        </w:rPr>
        <w:t>To</w:t>
      </w:r>
      <w:r w:rsidR="006A3F93" w:rsidRPr="00FE58C4">
        <w:rPr>
          <w:rFonts w:cs="Arial"/>
          <w:b/>
          <w:sz w:val="20"/>
        </w:rPr>
        <w:t xml:space="preserve"> consolidate and amend the law relating to income tax</w:t>
      </w:r>
    </w:p>
    <w:p w:rsidR="006A3F93" w:rsidRPr="00FE58C4" w:rsidRDefault="006A3F93">
      <w:pPr>
        <w:pStyle w:val="C"/>
        <w:keepNext/>
        <w:widowControl/>
        <w:spacing w:before="0" w:after="0"/>
        <w:rPr>
          <w:rFonts w:ascii="Arial" w:hAnsi="Arial"/>
          <w:sz w:val="20"/>
          <w:lang w:val="en-AU"/>
        </w:rPr>
      </w:pPr>
    </w:p>
    <w:p w:rsidR="006A3F93" w:rsidRPr="00FE58C4" w:rsidRDefault="006A3F93">
      <w:pPr>
        <w:keepNext/>
        <w:jc w:val="both"/>
        <w:rPr>
          <w:rFonts w:cs="Arial"/>
          <w:sz w:val="20"/>
        </w:rPr>
      </w:pPr>
      <w:r w:rsidRPr="00FE58C4">
        <w:rPr>
          <w:rFonts w:cs="Arial"/>
          <w:sz w:val="20"/>
        </w:rPr>
        <w:tab/>
        <w:t>WHEREAS it is expedient to consolidate and amend the law relating to income tax and to provide for matters ancillary thereto or connected therewith;</w:t>
      </w:r>
    </w:p>
    <w:p w:rsidR="006A3F93" w:rsidRPr="00FE58C4" w:rsidRDefault="006A3F93">
      <w:pPr>
        <w:jc w:val="both"/>
        <w:rPr>
          <w:rFonts w:cs="Arial"/>
          <w:sz w:val="20"/>
        </w:rPr>
      </w:pPr>
    </w:p>
    <w:p w:rsidR="006A3F93" w:rsidRPr="00FE58C4" w:rsidRDefault="006A3F93">
      <w:pPr>
        <w:pStyle w:val="BodyText3"/>
        <w:widowControl/>
        <w:rPr>
          <w:rFonts w:ascii="Arial" w:hAnsi="Arial"/>
          <w:sz w:val="20"/>
          <w:lang w:val="en-AU"/>
        </w:rPr>
      </w:pPr>
      <w:r w:rsidRPr="00FE58C4">
        <w:rPr>
          <w:rFonts w:ascii="Arial" w:hAnsi="Arial"/>
          <w:sz w:val="20"/>
          <w:lang w:val="en-AU"/>
        </w:rPr>
        <w:tab/>
        <w:t>WHEREAS the President is satisfied that circumstances exist which render it necessary to take immediate action;</w:t>
      </w:r>
    </w:p>
    <w:p w:rsidR="006A3F93" w:rsidRPr="00FE58C4" w:rsidRDefault="006A3F93">
      <w:pPr>
        <w:jc w:val="both"/>
        <w:rPr>
          <w:rFonts w:cs="Arial"/>
          <w:sz w:val="20"/>
        </w:rPr>
      </w:pPr>
    </w:p>
    <w:p w:rsidR="006A3F93" w:rsidRPr="00FE58C4" w:rsidRDefault="006A3F93">
      <w:pPr>
        <w:pStyle w:val="BodyText3"/>
        <w:widowControl/>
        <w:rPr>
          <w:rFonts w:ascii="Arial" w:hAnsi="Arial"/>
          <w:sz w:val="20"/>
          <w:lang w:val="en-AU"/>
        </w:rPr>
      </w:pPr>
      <w:r w:rsidRPr="00FE58C4">
        <w:rPr>
          <w:rFonts w:ascii="Arial" w:hAnsi="Arial"/>
          <w:sz w:val="20"/>
          <w:lang w:val="en-AU"/>
        </w:rPr>
        <w:tab/>
        <w:t>NOW, THEREFORE, in pursuance of the Proclamation of Emergency of the fourteenth day of October, 1999, and the Provisional Constitution Order No. 1 of 1999, read with Provisional Constitutional Amendment Order No. 9 of 1999, and in exercise of all powers enabling him in that behalf, the President of the Islamic Republic of Pakistan is pleased to make and promulgate the following Ordinance:</w:t>
      </w:r>
      <w:r w:rsidR="008929FC" w:rsidRPr="00FE58C4">
        <w:rPr>
          <w:rFonts w:ascii="Arial" w:hAnsi="Arial"/>
          <w:sz w:val="20"/>
          <w:lang w:val="en-AU"/>
        </w:rPr>
        <w:t>—</w:t>
      </w:r>
    </w:p>
    <w:p w:rsidR="006A3F93" w:rsidRPr="00FE58C4" w:rsidRDefault="006A3F93">
      <w:pPr>
        <w:jc w:val="both"/>
        <w:rPr>
          <w:rFonts w:cs="Arial"/>
          <w:sz w:val="20"/>
        </w:rPr>
      </w:pPr>
    </w:p>
    <w:p w:rsidR="006A3F93" w:rsidRPr="00FE58C4" w:rsidRDefault="006A3F93">
      <w:pPr>
        <w:pStyle w:val="Heading2"/>
        <w:spacing w:line="240" w:lineRule="auto"/>
        <w:rPr>
          <w:rFonts w:cs="Arial"/>
          <w:sz w:val="20"/>
        </w:rPr>
      </w:pPr>
      <w:r w:rsidRPr="00FE58C4">
        <w:rPr>
          <w:rFonts w:cs="Arial"/>
          <w:sz w:val="20"/>
        </w:rPr>
        <w:t>CHAPTER I</w:t>
      </w:r>
    </w:p>
    <w:p w:rsidR="006A3F93" w:rsidRPr="00FE58C4" w:rsidRDefault="006A3F93">
      <w:pPr>
        <w:pStyle w:val="Heading2"/>
        <w:spacing w:line="240" w:lineRule="auto"/>
        <w:rPr>
          <w:rFonts w:cs="Arial"/>
          <w:sz w:val="20"/>
        </w:rPr>
      </w:pPr>
      <w:r w:rsidRPr="00FE58C4">
        <w:rPr>
          <w:rFonts w:cs="Arial"/>
          <w:sz w:val="20"/>
        </w:rPr>
        <w:t>PRELIMINARY</w:t>
      </w:r>
    </w:p>
    <w:p w:rsidR="006A3F93" w:rsidRPr="00FE58C4" w:rsidRDefault="006A3F93">
      <w:pPr>
        <w:keepNext/>
        <w:jc w:val="center"/>
        <w:rPr>
          <w:rFonts w:cs="Arial"/>
          <w:sz w:val="20"/>
        </w:rPr>
      </w:pPr>
    </w:p>
    <w:p w:rsidR="006A3F93" w:rsidRPr="00412620" w:rsidRDefault="006A3F93">
      <w:pPr>
        <w:jc w:val="both"/>
        <w:rPr>
          <w:sz w:val="20"/>
        </w:rPr>
      </w:pPr>
      <w:r w:rsidRPr="00412620">
        <w:rPr>
          <w:rFonts w:cs="Arial"/>
          <w:b/>
          <w:sz w:val="20"/>
        </w:rPr>
        <w:t>1.</w:t>
      </w:r>
      <w:r w:rsidRPr="00412620">
        <w:rPr>
          <w:rFonts w:cs="Arial"/>
          <w:b/>
          <w:sz w:val="20"/>
        </w:rPr>
        <w:tab/>
        <w:t>Short title, extent and commencement.</w:t>
      </w:r>
      <w:r w:rsidR="005F743F" w:rsidRPr="00412620">
        <w:rPr>
          <w:rFonts w:cs="Arial"/>
          <w:b/>
          <w:sz w:val="20"/>
        </w:rPr>
        <w:t>—</w:t>
      </w:r>
      <w:r w:rsidRPr="00412620">
        <w:rPr>
          <w:sz w:val="20"/>
        </w:rPr>
        <w:t>(1</w:t>
      </w:r>
      <w:r w:rsidR="00731824" w:rsidRPr="00412620">
        <w:rPr>
          <w:sz w:val="20"/>
        </w:rPr>
        <w:t>) This</w:t>
      </w:r>
      <w:r w:rsidRPr="00412620">
        <w:rPr>
          <w:sz w:val="20"/>
        </w:rPr>
        <w:t xml:space="preserve"> Ordinance may be called the Income Tax Ordinance, 2001.</w:t>
      </w:r>
    </w:p>
    <w:p w:rsidR="006A3F93" w:rsidRPr="00412620" w:rsidRDefault="006A3F93">
      <w:pPr>
        <w:jc w:val="both"/>
        <w:rPr>
          <w:rFonts w:cs="Arial"/>
          <w:b/>
          <w:sz w:val="20"/>
        </w:rPr>
      </w:pPr>
    </w:p>
    <w:p w:rsidR="006A3F93" w:rsidRPr="00412620" w:rsidRDefault="006A3F93">
      <w:pPr>
        <w:ind w:left="1080" w:hanging="540"/>
        <w:jc w:val="both"/>
        <w:rPr>
          <w:rFonts w:cs="Arial"/>
          <w:sz w:val="20"/>
        </w:rPr>
      </w:pPr>
      <w:r w:rsidRPr="00412620">
        <w:rPr>
          <w:rFonts w:cs="Arial"/>
          <w:sz w:val="20"/>
        </w:rPr>
        <w:t>(2)</w:t>
      </w:r>
      <w:r w:rsidRPr="00412620">
        <w:rPr>
          <w:rFonts w:cs="Arial"/>
          <w:sz w:val="20"/>
        </w:rPr>
        <w:tab/>
        <w:t>It extends to the whole of Pakistan.</w:t>
      </w:r>
    </w:p>
    <w:p w:rsidR="006A3F93" w:rsidRPr="00412620" w:rsidRDefault="006A3F93">
      <w:pPr>
        <w:jc w:val="both"/>
        <w:rPr>
          <w:rFonts w:cs="Arial"/>
          <w:sz w:val="20"/>
        </w:rPr>
      </w:pPr>
    </w:p>
    <w:p w:rsidR="006A3F93" w:rsidRPr="00412620" w:rsidRDefault="006A3F93">
      <w:pPr>
        <w:ind w:left="1080" w:hanging="540"/>
        <w:jc w:val="both"/>
        <w:rPr>
          <w:sz w:val="20"/>
        </w:rPr>
      </w:pPr>
      <w:r w:rsidRPr="00412620">
        <w:rPr>
          <w:rFonts w:cs="Arial"/>
          <w:sz w:val="20"/>
        </w:rPr>
        <w:t>(3)</w:t>
      </w:r>
      <w:r w:rsidRPr="00412620">
        <w:rPr>
          <w:rFonts w:cs="Arial"/>
          <w:sz w:val="20"/>
        </w:rPr>
        <w:tab/>
        <w:t xml:space="preserve">It shall come into force on such date as the Federal Government may, by notification in official Gazette, appoint </w:t>
      </w:r>
      <w:r w:rsidRPr="00412620">
        <w:rPr>
          <w:rStyle w:val="FootnoteReference"/>
          <w:sz w:val="20"/>
        </w:rPr>
        <w:footnoteReference w:customMarkFollows="1" w:id="2"/>
        <w:sym w:font="Wingdings 2" w:char="00D8"/>
      </w:r>
      <w:r w:rsidRPr="00412620">
        <w:rPr>
          <w:sz w:val="20"/>
        </w:rPr>
        <w:t>.</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2.</w:t>
      </w:r>
      <w:r w:rsidRPr="00412620">
        <w:rPr>
          <w:rFonts w:cs="Arial"/>
          <w:b/>
          <w:sz w:val="20"/>
        </w:rPr>
        <w:tab/>
        <w:t>Definitions</w:t>
      </w:r>
      <w:r w:rsidR="00731824" w:rsidRPr="00412620">
        <w:rPr>
          <w:rFonts w:cs="Arial"/>
          <w:b/>
          <w:sz w:val="20"/>
        </w:rPr>
        <w:t>. —</w:t>
      </w:r>
      <w:r w:rsidRPr="00412620">
        <w:rPr>
          <w:sz w:val="20"/>
        </w:rPr>
        <w:t xml:space="preserve"> In this Ordinance, unless there is anything repugnant in the subject or context </w:t>
      </w:r>
      <w:r w:rsidR="00B9071F" w:rsidRPr="00412620">
        <w:rPr>
          <w:rFonts w:cs="Arial"/>
          <w:sz w:val="20"/>
        </w:rPr>
        <w:t>—</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(1)</w:t>
      </w:r>
      <w:r w:rsidRPr="00412620">
        <w:rPr>
          <w:rFonts w:cs="Arial"/>
          <w:sz w:val="20"/>
        </w:rPr>
        <w:tab/>
        <w:t xml:space="preserve">"accumulated profits" in relation to </w:t>
      </w:r>
      <w:r w:rsidRPr="00412620">
        <w:rPr>
          <w:rStyle w:val="FootnoteReference"/>
          <w:rFonts w:cs="Arial"/>
          <w:sz w:val="20"/>
        </w:rPr>
        <w:footnoteReference w:id="3"/>
      </w:r>
      <w:r w:rsidRPr="00412620">
        <w:rPr>
          <w:rFonts w:cs="Arial"/>
          <w:sz w:val="20"/>
        </w:rPr>
        <w:t xml:space="preserve">[distribution or payment of] a dividend, </w:t>
      </w:r>
      <w:r w:rsidRPr="00412620">
        <w:rPr>
          <w:rStyle w:val="FootnoteReference"/>
          <w:rFonts w:cs="Arial"/>
          <w:sz w:val="20"/>
        </w:rPr>
        <w:footnoteReference w:id="4"/>
      </w:r>
      <w:r w:rsidRPr="00412620">
        <w:rPr>
          <w:rFonts w:cs="Arial"/>
          <w:sz w:val="20"/>
        </w:rPr>
        <w:t xml:space="preserve">[include] </w:t>
      </w:r>
      <w:r w:rsidR="00B9071F"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(a)</w:t>
      </w:r>
      <w:r w:rsidRPr="00412620">
        <w:rPr>
          <w:rFonts w:cs="Arial"/>
          <w:sz w:val="20"/>
        </w:rPr>
        <w:tab/>
        <w:t>any reserve made up wholly or partly of any allowance, deduction, or exemption admissible under this Ordinance;</w:t>
      </w:r>
      <w:r w:rsidR="005F7F44">
        <w:rPr>
          <w:rFonts w:cs="Arial"/>
          <w:sz w:val="20"/>
        </w:rPr>
        <w:t>+.*-.9230</w:t>
      </w:r>
    </w:p>
    <w:p w:rsidR="006A3F93" w:rsidRPr="00412620" w:rsidRDefault="006A3F93">
      <w:pPr>
        <w:pStyle w:val="BodyTextIndent"/>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for the purposes of </w:t>
      </w:r>
      <w:r w:rsidRPr="00412620">
        <w:rPr>
          <w:rStyle w:val="FootnoteReference"/>
          <w:rFonts w:cs="Arial"/>
          <w:sz w:val="20"/>
        </w:rPr>
        <w:footnoteReference w:id="5"/>
      </w:r>
      <w:r w:rsidRPr="00412620">
        <w:rPr>
          <w:rFonts w:cs="Arial"/>
          <w:sz w:val="20"/>
        </w:rPr>
        <w:t>[sub-clauses (a), (b) and (e) of clause (19)”] all profits of the company including income and gains of a trust up to the date of such distribution or such payment, as the case may be;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for the purposes of </w:t>
      </w:r>
      <w:r w:rsidRPr="00412620">
        <w:rPr>
          <w:rStyle w:val="FootnoteReference"/>
          <w:rFonts w:cs="Arial"/>
          <w:sz w:val="20"/>
        </w:rPr>
        <w:footnoteReference w:id="6"/>
      </w:r>
      <w:r w:rsidRPr="00412620">
        <w:rPr>
          <w:rFonts w:cs="Arial"/>
          <w:sz w:val="20"/>
        </w:rPr>
        <w:t>[sub-clause (c) of clause (19)], includes all profits of the company including income and gains of a trust up to the date of its liquidation;</w:t>
      </w:r>
    </w:p>
    <w:p w:rsidR="004208FF" w:rsidRPr="00412620" w:rsidRDefault="004208FF">
      <w:pPr>
        <w:jc w:val="both"/>
        <w:rPr>
          <w:rFonts w:cs="Arial"/>
          <w:sz w:val="20"/>
        </w:rPr>
      </w:pPr>
    </w:p>
    <w:p w:rsidR="006A3F93" w:rsidRPr="00412620" w:rsidRDefault="006A3F93">
      <w:pPr>
        <w:ind w:left="1080" w:hanging="720"/>
        <w:jc w:val="both"/>
        <w:rPr>
          <w:sz w:val="20"/>
        </w:rPr>
      </w:pPr>
      <w:r w:rsidRPr="00412620">
        <w:rPr>
          <w:rStyle w:val="FootnoteReference"/>
          <w:rFonts w:cs="Arial"/>
          <w:sz w:val="20"/>
        </w:rPr>
        <w:footnoteReference w:id="7"/>
      </w:r>
      <w:r w:rsidRPr="00412620">
        <w:rPr>
          <w:sz w:val="20"/>
        </w:rPr>
        <w:t>[(1A)</w:t>
      </w:r>
      <w:r w:rsidRPr="00412620">
        <w:rPr>
          <w:sz w:val="20"/>
        </w:rPr>
        <w:tab/>
        <w:t xml:space="preserve">“amalgamation” means the merger of one or more banking companies or non-banking financial institutions, </w:t>
      </w:r>
      <w:r w:rsidRPr="00412620">
        <w:rPr>
          <w:rStyle w:val="FootnoteReference"/>
          <w:sz w:val="20"/>
        </w:rPr>
        <w:footnoteReference w:id="8"/>
      </w:r>
      <w:r w:rsidRPr="00412620">
        <w:rPr>
          <w:sz w:val="20"/>
        </w:rPr>
        <w:t xml:space="preserve">[or insurance companies,] </w:t>
      </w:r>
      <w:r w:rsidRPr="00412620">
        <w:rPr>
          <w:rStyle w:val="FootnoteReference"/>
          <w:sz w:val="20"/>
        </w:rPr>
        <w:footnoteReference w:id="9"/>
      </w:r>
      <w:r w:rsidRPr="00412620">
        <w:rPr>
          <w:sz w:val="20"/>
        </w:rPr>
        <w:t xml:space="preserve">[or companies owning and managing industrial undertakings] </w:t>
      </w:r>
      <w:r w:rsidR="00A206C9" w:rsidRPr="00412620">
        <w:rPr>
          <w:rStyle w:val="FootnoteReference"/>
          <w:sz w:val="20"/>
        </w:rPr>
        <w:footnoteReference w:id="10"/>
      </w:r>
      <w:r w:rsidR="003B67D1" w:rsidRPr="00412620">
        <w:rPr>
          <w:sz w:val="20"/>
        </w:rPr>
        <w:t xml:space="preserve">[or companies engaged in providing services and not being a trading company or companies] </w:t>
      </w:r>
      <w:r w:rsidRPr="00412620">
        <w:rPr>
          <w:sz w:val="20"/>
        </w:rPr>
        <w:t xml:space="preserve">in either case </w:t>
      </w:r>
      <w:r w:rsidRPr="00412620">
        <w:rPr>
          <w:rStyle w:val="FootnoteReference"/>
          <w:sz w:val="20"/>
        </w:rPr>
        <w:footnoteReference w:id="11"/>
      </w:r>
      <w:r w:rsidRPr="00412620">
        <w:rPr>
          <w:sz w:val="20"/>
        </w:rPr>
        <w:t>[at least one of them] being a public company, or a company incorporated under any law, other than Companies Ordinance, 1984 (XLVII of 1984), for the time being in force, (the company or companies which so merge being referred to as the “amalgamating company” or companies and the company with which they merge or which is formed as a result of merger, as the “amalgamated company”) in such manner that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the assets of the amalgamating company or companies immediately before the amalgamation become the assets of the amalgamated company by virtue of the amalgamation, otherwise than by purchase of such assets by the amalgamated company or as a result of distribution of such assets to the amalgamated company after the winding up of the amalgamating company or companies; </w:t>
      </w:r>
      <w:r w:rsidRPr="00412620">
        <w:rPr>
          <w:rStyle w:val="FootnoteReference"/>
          <w:rFonts w:cs="Arial"/>
          <w:sz w:val="20"/>
        </w:rPr>
        <w:footnoteReference w:id="12"/>
      </w:r>
      <w:r w:rsidRPr="00412620">
        <w:rPr>
          <w:rFonts w:cs="Arial"/>
          <w:sz w:val="20"/>
        </w:rPr>
        <w:t>[and]</w:t>
      </w:r>
    </w:p>
    <w:p w:rsidR="006A3F93" w:rsidRPr="00412620" w:rsidRDefault="006A3F93">
      <w:pPr>
        <w:jc w:val="both"/>
        <w:rPr>
          <w:rFonts w:cs="Arial"/>
          <w:sz w:val="20"/>
        </w:rPr>
      </w:pPr>
    </w:p>
    <w:p w:rsidR="004208FF" w:rsidRPr="00412620" w:rsidRDefault="006A3F93" w:rsidP="00E77E61">
      <w:pPr>
        <w:ind w:left="1620" w:hanging="540"/>
        <w:jc w:val="both"/>
        <w:rPr>
          <w:rFonts w:cs="Arial"/>
          <w:sz w:val="16"/>
        </w:rPr>
      </w:pPr>
      <w:r w:rsidRPr="00412620">
        <w:rPr>
          <w:rFonts w:cs="Arial"/>
          <w:sz w:val="20"/>
        </w:rPr>
        <w:lastRenderedPageBreak/>
        <w:t>(b)</w:t>
      </w:r>
      <w:r w:rsidRPr="00412620">
        <w:rPr>
          <w:rFonts w:cs="Arial"/>
          <w:sz w:val="20"/>
        </w:rPr>
        <w:tab/>
        <w:t xml:space="preserve">the liabilities of the amalgamating company or companies immediately before the amalgamation become the liabilities of the amalgamated company by virtue of the amalgamation </w:t>
      </w:r>
      <w:r w:rsidRPr="00412620">
        <w:rPr>
          <w:rStyle w:val="FootnoteReference"/>
          <w:rFonts w:cs="Arial"/>
          <w:sz w:val="20"/>
        </w:rPr>
        <w:footnoteReference w:id="13"/>
      </w:r>
      <w:r w:rsidRPr="00412620">
        <w:rPr>
          <w:rFonts w:cs="Arial"/>
          <w:sz w:val="20"/>
        </w:rPr>
        <w:t xml:space="preserve">[.] </w:t>
      </w:r>
    </w:p>
    <w:p w:rsidR="004208FF" w:rsidRPr="00412620" w:rsidRDefault="004208FF">
      <w:pPr>
        <w:jc w:val="both"/>
        <w:rPr>
          <w:rFonts w:cs="Arial"/>
          <w:sz w:val="16"/>
        </w:rPr>
      </w:pPr>
    </w:p>
    <w:p w:rsidR="006A3F93" w:rsidRPr="00412620" w:rsidRDefault="006A3F93">
      <w:pPr>
        <w:jc w:val="both"/>
        <w:rPr>
          <w:rFonts w:cs="Arial"/>
          <w:sz w:val="20"/>
        </w:rPr>
      </w:pPr>
      <w:r w:rsidRPr="00412620">
        <w:rPr>
          <w:rFonts w:cs="Arial"/>
          <w:sz w:val="20"/>
        </w:rPr>
        <w:tab/>
      </w:r>
      <w:r w:rsidRPr="00412620">
        <w:rPr>
          <w:rFonts w:cs="Arial"/>
          <w:sz w:val="20"/>
        </w:rPr>
        <w:tab/>
      </w:r>
      <w:r w:rsidRPr="00412620">
        <w:rPr>
          <w:rStyle w:val="FootnoteReference"/>
          <w:rFonts w:cs="Arial"/>
          <w:sz w:val="20"/>
        </w:rPr>
        <w:footnoteReference w:id="14"/>
      </w:r>
      <w:r w:rsidRPr="00412620">
        <w:rPr>
          <w:rFonts w:cs="Arial"/>
          <w:sz w:val="20"/>
        </w:rPr>
        <w:t>[  ]</w:t>
      </w:r>
    </w:p>
    <w:p w:rsidR="00A00F66" w:rsidRPr="00412620" w:rsidRDefault="00A00F66">
      <w:pPr>
        <w:jc w:val="both"/>
        <w:rPr>
          <w:rFonts w:cs="Arial"/>
          <w:sz w:val="20"/>
        </w:rPr>
      </w:pPr>
    </w:p>
    <w:p w:rsidR="00B86409" w:rsidRPr="00412620" w:rsidRDefault="00A00F66" w:rsidP="004D1283">
      <w:pPr>
        <w:tabs>
          <w:tab w:val="left" w:pos="1170"/>
        </w:tabs>
        <w:ind w:left="1170" w:hanging="623"/>
        <w:rPr>
          <w:rFonts w:cs="Arial"/>
          <w:sz w:val="20"/>
        </w:rPr>
      </w:pPr>
      <w:r w:rsidRPr="00412620">
        <w:rPr>
          <w:rStyle w:val="FootnoteReference"/>
          <w:rFonts w:cs="Arial"/>
          <w:sz w:val="20"/>
        </w:rPr>
        <w:footnoteReference w:id="15"/>
      </w:r>
      <w:r w:rsidRPr="00412620">
        <w:rPr>
          <w:rFonts w:cs="Arial"/>
          <w:sz w:val="20"/>
        </w:rPr>
        <w:t xml:space="preserve">[(2) </w:t>
      </w:r>
      <w:r w:rsidRPr="00412620">
        <w:rPr>
          <w:rFonts w:cs="Arial"/>
          <w:sz w:val="20"/>
        </w:rPr>
        <w:tab/>
        <w:t>“Appellate Tribunal” means the Appellate Tribunal Inland Revenue established under section 130;]</w:t>
      </w:r>
    </w:p>
    <w:p w:rsidR="00B86409" w:rsidRPr="00412620" w:rsidRDefault="00B86409">
      <w:pPr>
        <w:ind w:left="1080" w:hanging="540"/>
        <w:jc w:val="both"/>
        <w:rPr>
          <w:rFonts w:cs="Arial"/>
          <w:sz w:val="20"/>
        </w:rPr>
      </w:pPr>
    </w:p>
    <w:p w:rsidR="006A3F93" w:rsidRPr="00412620" w:rsidRDefault="006A3F93">
      <w:pPr>
        <w:ind w:left="1080" w:hanging="540"/>
        <w:jc w:val="both"/>
        <w:rPr>
          <w:rFonts w:cs="Arial"/>
          <w:sz w:val="20"/>
        </w:rPr>
      </w:pPr>
      <w:r w:rsidRPr="00412620">
        <w:rPr>
          <w:rFonts w:cs="Arial"/>
          <w:sz w:val="20"/>
        </w:rPr>
        <w:t>(3)</w:t>
      </w:r>
      <w:r w:rsidRPr="00412620">
        <w:rPr>
          <w:rFonts w:cs="Arial"/>
          <w:sz w:val="20"/>
        </w:rPr>
        <w:tab/>
        <w:t>“approved gratuity fund” means a gratuity fund approved by the Commissioner in accordance with Part III of the Sixth Schedule;</w:t>
      </w:r>
    </w:p>
    <w:p w:rsidR="006A3F93" w:rsidRPr="00412620" w:rsidRDefault="006A3F93">
      <w:pPr>
        <w:jc w:val="both"/>
        <w:rPr>
          <w:rFonts w:cs="Arial"/>
          <w:sz w:val="20"/>
        </w:rPr>
      </w:pPr>
    </w:p>
    <w:p w:rsidR="006A3F93" w:rsidRPr="00412620" w:rsidRDefault="006A3F93">
      <w:pPr>
        <w:ind w:left="1080" w:hanging="810"/>
        <w:jc w:val="both"/>
        <w:rPr>
          <w:sz w:val="20"/>
        </w:rPr>
      </w:pPr>
      <w:r w:rsidRPr="00412620">
        <w:rPr>
          <w:rStyle w:val="FootnoteReference"/>
          <w:rFonts w:cs="Arial"/>
          <w:sz w:val="20"/>
        </w:rPr>
        <w:footnoteReference w:id="16"/>
      </w:r>
      <w:r w:rsidRPr="00412620">
        <w:rPr>
          <w:sz w:val="20"/>
        </w:rPr>
        <w:t xml:space="preserve">[(3A) </w:t>
      </w:r>
      <w:r w:rsidRPr="00412620">
        <w:rPr>
          <w:sz w:val="20"/>
        </w:rPr>
        <w:tab/>
        <w:t>“Approved Annuity Plan”</w:t>
      </w:r>
      <w:r w:rsidR="00424751">
        <w:rPr>
          <w:sz w:val="20"/>
        </w:rPr>
        <w:t xml:space="preserve"> </w:t>
      </w:r>
      <w:r w:rsidRPr="00412620">
        <w:rPr>
          <w:sz w:val="20"/>
        </w:rPr>
        <w:t>means an Annuity Plan approved by Securities and Exchange Commission of Pakistan (SECP) under Voluntary Pension System Rules, 2005 and offered by a Life Insurance Company registered with the SECP under Insurance Ordinance, 2000 (XXXIX of 2000);]</w:t>
      </w:r>
    </w:p>
    <w:p w:rsidR="006A3F93" w:rsidRPr="00412620" w:rsidRDefault="006A3F93">
      <w:pPr>
        <w:ind w:left="1080" w:hanging="540"/>
        <w:jc w:val="both"/>
        <w:rPr>
          <w:rFonts w:cs="Arial"/>
          <w:sz w:val="20"/>
        </w:rPr>
      </w:pPr>
    </w:p>
    <w:p w:rsidR="006A3F93" w:rsidRPr="00412620" w:rsidRDefault="006A3F93">
      <w:pPr>
        <w:ind w:left="1080" w:hanging="810"/>
        <w:jc w:val="both"/>
        <w:rPr>
          <w:sz w:val="20"/>
        </w:rPr>
      </w:pPr>
      <w:r w:rsidRPr="00412620">
        <w:rPr>
          <w:rStyle w:val="FootnoteReference"/>
          <w:rFonts w:cs="Arial"/>
          <w:sz w:val="20"/>
        </w:rPr>
        <w:footnoteReference w:id="17"/>
      </w:r>
      <w:r w:rsidRPr="00412620">
        <w:rPr>
          <w:sz w:val="20"/>
        </w:rPr>
        <w:t xml:space="preserve">[(3B) </w:t>
      </w:r>
      <w:r w:rsidRPr="00412620">
        <w:rPr>
          <w:sz w:val="20"/>
        </w:rPr>
        <w:tab/>
        <w:t>“Approved Income Payment Plan” means an Income Payment Plan approved by Securities and Exchange Commission of Pakistan (SECP) under Voluntary Pension System Rules, 2005 and offered by a Pension Fund Manager registered with the SECP under Voluntary Pension System Rules, 2005;]</w:t>
      </w:r>
    </w:p>
    <w:p w:rsidR="006A3F93" w:rsidRPr="00412620" w:rsidRDefault="006A3F93">
      <w:pPr>
        <w:ind w:left="1080" w:hanging="540"/>
        <w:jc w:val="both"/>
        <w:rPr>
          <w:rFonts w:cs="Arial"/>
          <w:sz w:val="20"/>
        </w:rPr>
      </w:pPr>
    </w:p>
    <w:p w:rsidR="006A3F93" w:rsidRPr="00412620" w:rsidRDefault="006A3F93">
      <w:pPr>
        <w:ind w:left="1080" w:hanging="810"/>
        <w:jc w:val="both"/>
        <w:rPr>
          <w:sz w:val="20"/>
        </w:rPr>
      </w:pPr>
      <w:r w:rsidRPr="00412620">
        <w:rPr>
          <w:rStyle w:val="FootnoteReference"/>
          <w:rFonts w:cs="Arial"/>
          <w:sz w:val="20"/>
        </w:rPr>
        <w:footnoteReference w:id="18"/>
      </w:r>
      <w:r w:rsidRPr="00412620">
        <w:rPr>
          <w:sz w:val="20"/>
        </w:rPr>
        <w:t xml:space="preserve">[(3C) </w:t>
      </w:r>
      <w:r w:rsidRPr="00412620">
        <w:rPr>
          <w:sz w:val="20"/>
        </w:rPr>
        <w:tab/>
        <w:t>“Approved Pension Fund” means Pension Fund approved by Securities and Exchange Commission of Pakistan (SECP) under Voluntary Pension System Rules, 2005, and managed by a Pension Fund Manager registered with the SECP under Voluntary Pension System Rules, 2005;]</w:t>
      </w:r>
    </w:p>
    <w:p w:rsidR="006A3F93" w:rsidRPr="00412620" w:rsidRDefault="006A3F93">
      <w:pPr>
        <w:jc w:val="both"/>
        <w:rPr>
          <w:rFonts w:cs="Arial"/>
          <w:sz w:val="20"/>
        </w:rPr>
      </w:pPr>
    </w:p>
    <w:p w:rsidR="00505658" w:rsidRPr="00412620" w:rsidRDefault="0092297A" w:rsidP="00505658">
      <w:pPr>
        <w:ind w:left="1080" w:hanging="810"/>
        <w:jc w:val="both"/>
        <w:rPr>
          <w:rFonts w:cs="Arial"/>
          <w:sz w:val="20"/>
        </w:rPr>
      </w:pPr>
      <w:r w:rsidRPr="00412620">
        <w:rPr>
          <w:rStyle w:val="FootnoteReference"/>
          <w:rFonts w:cs="Arial"/>
          <w:sz w:val="20"/>
        </w:rPr>
        <w:lastRenderedPageBreak/>
        <w:footnoteReference w:id="19"/>
      </w:r>
      <w:r w:rsidR="00505658" w:rsidRPr="00412620">
        <w:rPr>
          <w:rFonts w:cs="Arial"/>
          <w:sz w:val="20"/>
        </w:rPr>
        <w:t xml:space="preserve">[(3D) </w:t>
      </w:r>
      <w:r w:rsidR="00505658" w:rsidRPr="00412620">
        <w:rPr>
          <w:rFonts w:cs="Arial"/>
          <w:sz w:val="20"/>
        </w:rPr>
        <w:tab/>
      </w:r>
      <w:r w:rsidR="003727AB" w:rsidRPr="00412620">
        <w:rPr>
          <w:rFonts w:cs="Arial"/>
          <w:sz w:val="20"/>
        </w:rPr>
        <w:t>“</w:t>
      </w:r>
      <w:r w:rsidR="00505658" w:rsidRPr="00412620">
        <w:rPr>
          <w:rFonts w:cs="Arial"/>
          <w:sz w:val="20"/>
        </w:rPr>
        <w:t xml:space="preserve">Approved Employment Pension or Annuity Scheme” means any employment related retirement scheme approved under this Ordinance, which makes periodical payment to a beneficiary </w:t>
      </w:r>
      <w:r w:rsidR="00505658" w:rsidRPr="00412620">
        <w:rPr>
          <w:rFonts w:cs="Arial"/>
          <w:i/>
          <w:sz w:val="20"/>
        </w:rPr>
        <w:t>i.e</w:t>
      </w:r>
      <w:r w:rsidR="00505658" w:rsidRPr="00412620">
        <w:rPr>
          <w:rFonts w:cs="Arial"/>
          <w:sz w:val="20"/>
        </w:rPr>
        <w:t>. pension or annuity such as approved superannuation fund, public sector pension scheme and Employees Old-Age Benefit Scheme;]</w:t>
      </w:r>
    </w:p>
    <w:p w:rsidR="00505658" w:rsidRPr="00412620" w:rsidRDefault="00505658" w:rsidP="00505658">
      <w:pPr>
        <w:ind w:left="1080" w:hanging="810"/>
        <w:jc w:val="both"/>
        <w:rPr>
          <w:rFonts w:cs="Arial"/>
          <w:sz w:val="20"/>
        </w:rPr>
      </w:pPr>
    </w:p>
    <w:p w:rsidR="00505658" w:rsidRPr="00412620" w:rsidRDefault="0092297A" w:rsidP="00505658">
      <w:pPr>
        <w:ind w:left="1080" w:hanging="810"/>
        <w:jc w:val="both"/>
        <w:rPr>
          <w:rFonts w:cs="Arial"/>
          <w:sz w:val="20"/>
        </w:rPr>
      </w:pPr>
      <w:r w:rsidRPr="00412620">
        <w:rPr>
          <w:rStyle w:val="FootnoteReference"/>
          <w:rFonts w:cs="Arial"/>
          <w:sz w:val="20"/>
        </w:rPr>
        <w:footnoteReference w:id="20"/>
      </w:r>
      <w:r w:rsidR="00505658" w:rsidRPr="00412620">
        <w:rPr>
          <w:rFonts w:cs="Arial"/>
          <w:sz w:val="20"/>
        </w:rPr>
        <w:t xml:space="preserve">[(3E) </w:t>
      </w:r>
      <w:r w:rsidR="00505658" w:rsidRPr="00412620">
        <w:rPr>
          <w:rFonts w:cs="Arial"/>
          <w:sz w:val="20"/>
        </w:rPr>
        <w:tab/>
        <w:t>“Approved Occupational Savings Scheme” means any approved gratuity fund or recognized provident fund;]</w:t>
      </w:r>
      <w:r w:rsidR="00505658" w:rsidRPr="00412620">
        <w:rPr>
          <w:rFonts w:cs="Arial"/>
          <w:sz w:val="20"/>
        </w:rPr>
        <w:tab/>
      </w:r>
    </w:p>
    <w:p w:rsidR="00505658" w:rsidRPr="00412620" w:rsidRDefault="00505658">
      <w:pPr>
        <w:jc w:val="both"/>
        <w:rPr>
          <w:rFonts w:cs="Arial"/>
          <w:sz w:val="26"/>
        </w:rPr>
      </w:pPr>
    </w:p>
    <w:p w:rsidR="006A3F93" w:rsidRPr="00412620" w:rsidRDefault="006A3F93">
      <w:pPr>
        <w:ind w:left="1080" w:hanging="540"/>
        <w:jc w:val="both"/>
        <w:rPr>
          <w:rFonts w:cs="Arial"/>
          <w:sz w:val="20"/>
        </w:rPr>
      </w:pPr>
      <w:r w:rsidRPr="00412620">
        <w:rPr>
          <w:rFonts w:cs="Arial"/>
          <w:sz w:val="20"/>
        </w:rPr>
        <w:t>(4)</w:t>
      </w:r>
      <w:r w:rsidRPr="00412620">
        <w:rPr>
          <w:rFonts w:cs="Arial"/>
          <w:sz w:val="20"/>
        </w:rPr>
        <w:tab/>
        <w:t>“approved superannuation fund” means a superannuation fund, or any part of a superannuation fund, approved by the Commissioner in accordance with Part II of the Sixth Schedule;</w:t>
      </w:r>
    </w:p>
    <w:p w:rsidR="002E09F5" w:rsidRPr="00412620" w:rsidRDefault="002E09F5">
      <w:pPr>
        <w:jc w:val="both"/>
        <w:rPr>
          <w:rFonts w:cs="Arial"/>
          <w:sz w:val="20"/>
        </w:rPr>
      </w:pPr>
    </w:p>
    <w:p w:rsidR="006A3F93" w:rsidRPr="00412620" w:rsidRDefault="006A3F93">
      <w:pPr>
        <w:ind w:left="1080" w:hanging="720"/>
        <w:jc w:val="both"/>
        <w:rPr>
          <w:rFonts w:cs="Arial"/>
          <w:sz w:val="20"/>
        </w:rPr>
      </w:pPr>
      <w:r w:rsidRPr="00412620">
        <w:rPr>
          <w:rStyle w:val="FootnoteReference"/>
          <w:rFonts w:cs="Arial"/>
          <w:sz w:val="20"/>
        </w:rPr>
        <w:footnoteReference w:id="21"/>
      </w:r>
      <w:r w:rsidRPr="00412620">
        <w:rPr>
          <w:rFonts w:cs="Arial"/>
          <w:sz w:val="20"/>
        </w:rPr>
        <w:t xml:space="preserve">[(5) </w:t>
      </w:r>
      <w:r w:rsidRPr="00412620">
        <w:rPr>
          <w:rFonts w:cs="Arial"/>
          <w:sz w:val="20"/>
        </w:rPr>
        <w:tab/>
        <w:t xml:space="preserve">“assessment” includes </w:t>
      </w:r>
      <w:r w:rsidR="00A85205" w:rsidRPr="00412620">
        <w:rPr>
          <w:rStyle w:val="FootnoteReference"/>
          <w:rFonts w:cs="Arial"/>
          <w:sz w:val="20"/>
        </w:rPr>
        <w:footnoteReference w:id="22"/>
      </w:r>
      <w:r w:rsidR="00A85205" w:rsidRPr="00412620">
        <w:rPr>
          <w:rFonts w:cs="Arial"/>
          <w:sz w:val="20"/>
        </w:rPr>
        <w:t xml:space="preserve">[provisional assessment,] </w:t>
      </w:r>
      <w:r w:rsidRPr="00412620">
        <w:rPr>
          <w:rFonts w:cs="Arial"/>
          <w:sz w:val="20"/>
        </w:rPr>
        <w:t>re-assessment and amended assessment and the cognate expressions shall be construed accordingly;]</w:t>
      </w:r>
    </w:p>
    <w:p w:rsidR="006A3F93" w:rsidRPr="00412620" w:rsidRDefault="006A3F93">
      <w:pPr>
        <w:jc w:val="both"/>
        <w:rPr>
          <w:rFonts w:cs="Arial"/>
          <w:sz w:val="20"/>
        </w:rPr>
      </w:pPr>
    </w:p>
    <w:p w:rsidR="006A3F93" w:rsidRPr="00412620" w:rsidRDefault="006A3F93">
      <w:pPr>
        <w:ind w:left="1080" w:hanging="810"/>
        <w:jc w:val="both"/>
        <w:rPr>
          <w:sz w:val="20"/>
        </w:rPr>
      </w:pPr>
      <w:r w:rsidRPr="00412620">
        <w:rPr>
          <w:rStyle w:val="FootnoteReference"/>
          <w:rFonts w:cs="Arial"/>
          <w:sz w:val="20"/>
        </w:rPr>
        <w:footnoteReference w:id="23"/>
      </w:r>
      <w:r w:rsidRPr="00412620">
        <w:rPr>
          <w:sz w:val="20"/>
        </w:rPr>
        <w:t xml:space="preserve">[(5A) </w:t>
      </w:r>
      <w:r w:rsidRPr="00412620">
        <w:rPr>
          <w:sz w:val="20"/>
        </w:rPr>
        <w:tab/>
        <w:t>“assessment year” means assessment year as defined in the repealed Ordinance;]</w:t>
      </w:r>
    </w:p>
    <w:p w:rsidR="006A3F93" w:rsidRPr="00412620" w:rsidRDefault="006A3F93">
      <w:pPr>
        <w:jc w:val="both"/>
        <w:rPr>
          <w:rFonts w:cs="Arial"/>
          <w:sz w:val="20"/>
        </w:rPr>
      </w:pPr>
    </w:p>
    <w:p w:rsidR="006412C5" w:rsidRPr="00412620" w:rsidRDefault="006412C5" w:rsidP="006412C5">
      <w:pPr>
        <w:ind w:left="1080" w:hanging="735"/>
        <w:jc w:val="both"/>
        <w:rPr>
          <w:rFonts w:cs="Arial"/>
          <w:sz w:val="20"/>
        </w:rPr>
      </w:pPr>
      <w:r w:rsidRPr="00412620">
        <w:rPr>
          <w:rStyle w:val="FootnoteReference"/>
          <w:rFonts w:cs="Arial"/>
          <w:sz w:val="20"/>
        </w:rPr>
        <w:footnoteReference w:id="24"/>
      </w:r>
      <w:r w:rsidRPr="00412620">
        <w:rPr>
          <w:rFonts w:cs="Arial"/>
          <w:sz w:val="20"/>
        </w:rPr>
        <w:t>[(5B)</w:t>
      </w:r>
      <w:r w:rsidRPr="00412620">
        <w:rPr>
          <w:rFonts w:cs="Arial"/>
          <w:sz w:val="20"/>
        </w:rPr>
        <w:tab/>
        <w:t xml:space="preserve">“asset management company” means an asset management company as defined </w:t>
      </w:r>
      <w:r w:rsidR="00E77E36" w:rsidRPr="00412620">
        <w:rPr>
          <w:rFonts w:cs="Arial"/>
          <w:sz w:val="20"/>
        </w:rPr>
        <w:t xml:space="preserve">in </w:t>
      </w:r>
      <w:r w:rsidRPr="00412620">
        <w:rPr>
          <w:rFonts w:cs="Arial"/>
          <w:sz w:val="20"/>
        </w:rPr>
        <w:t>the Non-Banking Finance Companies and Notified Entities Regulations, 2007;]</w:t>
      </w:r>
    </w:p>
    <w:p w:rsidR="006412C5" w:rsidRPr="00412620" w:rsidRDefault="006412C5">
      <w:pPr>
        <w:jc w:val="both"/>
        <w:rPr>
          <w:rFonts w:cs="Arial"/>
          <w:sz w:val="20"/>
        </w:rPr>
      </w:pPr>
    </w:p>
    <w:p w:rsidR="006A3F93" w:rsidRPr="00412620" w:rsidRDefault="006A3F93">
      <w:pPr>
        <w:ind w:left="1080" w:hanging="540"/>
        <w:jc w:val="both"/>
        <w:rPr>
          <w:rFonts w:cs="Arial"/>
          <w:sz w:val="20"/>
        </w:rPr>
      </w:pPr>
      <w:r w:rsidRPr="00412620">
        <w:rPr>
          <w:rFonts w:cs="Arial"/>
          <w:sz w:val="20"/>
        </w:rPr>
        <w:t>(6)</w:t>
      </w:r>
      <w:r w:rsidRPr="00412620">
        <w:rPr>
          <w:rFonts w:cs="Arial"/>
          <w:sz w:val="20"/>
        </w:rPr>
        <w:tab/>
        <w:t>“association of persons” means an association of persons as defined in section 80;</w:t>
      </w:r>
    </w:p>
    <w:p w:rsidR="006A3F93" w:rsidRPr="00412620" w:rsidRDefault="006A3F93">
      <w:pPr>
        <w:jc w:val="both"/>
        <w:rPr>
          <w:rFonts w:cs="Arial"/>
          <w:sz w:val="20"/>
        </w:rPr>
      </w:pPr>
    </w:p>
    <w:p w:rsidR="006A3F93" w:rsidRDefault="006A3F93">
      <w:pPr>
        <w:ind w:left="1080" w:hanging="540"/>
        <w:jc w:val="both"/>
        <w:rPr>
          <w:rFonts w:cs="Arial"/>
          <w:sz w:val="20"/>
        </w:rPr>
      </w:pPr>
      <w:r w:rsidRPr="00412620">
        <w:rPr>
          <w:rFonts w:cs="Arial"/>
          <w:sz w:val="20"/>
        </w:rPr>
        <w:t>(7)</w:t>
      </w:r>
      <w:r w:rsidRPr="00412620">
        <w:rPr>
          <w:rFonts w:cs="Arial"/>
          <w:sz w:val="20"/>
        </w:rPr>
        <w:tab/>
        <w:t>“banking company” means a banking company as defined in the Banking Companies Ordinance, 1962 (LVII of 1962) and includes any body corporate which transacts the business of banking in Pakistan;</w:t>
      </w:r>
    </w:p>
    <w:p w:rsidR="00EF3DAB" w:rsidRDefault="00EF3DAB">
      <w:pPr>
        <w:ind w:left="1080" w:hanging="540"/>
        <w:jc w:val="both"/>
        <w:rPr>
          <w:rFonts w:cs="Arial"/>
          <w:sz w:val="20"/>
        </w:rPr>
      </w:pPr>
    </w:p>
    <w:p w:rsidR="006A3F93" w:rsidRPr="00245086" w:rsidRDefault="00EF3DAB" w:rsidP="00E77E61">
      <w:pPr>
        <w:ind w:left="1080" w:hanging="675"/>
        <w:jc w:val="both"/>
        <w:rPr>
          <w:rFonts w:cs="Arial"/>
          <w:color w:val="000000" w:themeColor="text1"/>
          <w:sz w:val="20"/>
        </w:rPr>
      </w:pPr>
      <w:r w:rsidRPr="00245086">
        <w:rPr>
          <w:rStyle w:val="FootnoteReference"/>
          <w:rFonts w:cs="Arial"/>
          <w:color w:val="000000" w:themeColor="text1"/>
          <w:sz w:val="20"/>
        </w:rPr>
        <w:lastRenderedPageBreak/>
        <w:footnoteReference w:id="25"/>
      </w:r>
      <w:r w:rsidRPr="00245086">
        <w:rPr>
          <w:rFonts w:cs="Arial"/>
          <w:color w:val="000000" w:themeColor="text1"/>
          <w:sz w:val="20"/>
        </w:rPr>
        <w:t>[(8)</w:t>
      </w:r>
      <w:r w:rsidRPr="00245086">
        <w:rPr>
          <w:rFonts w:cs="Arial"/>
          <w:color w:val="000000" w:themeColor="text1"/>
          <w:sz w:val="20"/>
        </w:rPr>
        <w:tab/>
        <w:t>“Board” means the Central Board of Revenue established under the Central Board of Revenue Act, 1924 (IV of 1924), and on the commencement of Federal Board of Revenue Act, 2007, the Federal Board of Revenue established under section</w:t>
      </w:r>
      <w:r w:rsidR="00A16683" w:rsidRPr="00245086">
        <w:rPr>
          <w:rFonts w:cs="Arial"/>
          <w:color w:val="000000" w:themeColor="text1"/>
          <w:sz w:val="20"/>
        </w:rPr>
        <w:t xml:space="preserve"> 3 thereof;</w:t>
      </w:r>
    </w:p>
    <w:p w:rsidR="00E77E61" w:rsidRPr="00245086" w:rsidRDefault="00E77E61" w:rsidP="00E77E61">
      <w:pPr>
        <w:ind w:left="1080" w:hanging="675"/>
        <w:jc w:val="both"/>
        <w:rPr>
          <w:rFonts w:cs="Arial"/>
          <w:color w:val="000000" w:themeColor="text1"/>
          <w:sz w:val="16"/>
        </w:rPr>
      </w:pPr>
    </w:p>
    <w:p w:rsidR="006A3F93" w:rsidRPr="00245086" w:rsidRDefault="006A3F93">
      <w:pPr>
        <w:ind w:left="1080" w:hanging="540"/>
        <w:jc w:val="both"/>
        <w:rPr>
          <w:rFonts w:cs="Arial"/>
          <w:color w:val="000000" w:themeColor="text1"/>
          <w:sz w:val="20"/>
        </w:rPr>
      </w:pPr>
      <w:r w:rsidRPr="00245086">
        <w:rPr>
          <w:rFonts w:cs="Arial"/>
          <w:color w:val="000000" w:themeColor="text1"/>
          <w:sz w:val="20"/>
        </w:rPr>
        <w:t>(</w:t>
      </w:r>
      <w:r w:rsidR="003F47AD" w:rsidRPr="00245086">
        <w:rPr>
          <w:rFonts w:cs="Arial"/>
          <w:color w:val="000000" w:themeColor="text1"/>
          <w:sz w:val="20"/>
        </w:rPr>
        <w:t>9</w:t>
      </w:r>
      <w:r w:rsidRPr="00245086">
        <w:rPr>
          <w:rFonts w:cs="Arial"/>
          <w:color w:val="000000" w:themeColor="text1"/>
          <w:sz w:val="20"/>
        </w:rPr>
        <w:t>)</w:t>
      </w:r>
      <w:r w:rsidRPr="00245086">
        <w:rPr>
          <w:rFonts w:cs="Arial"/>
          <w:color w:val="000000" w:themeColor="text1"/>
          <w:sz w:val="20"/>
        </w:rPr>
        <w:tab/>
        <w:t>“bonus shares” includes bonus units in a unit trust;</w:t>
      </w:r>
    </w:p>
    <w:p w:rsidR="006A3F93" w:rsidRPr="00245086" w:rsidRDefault="006A3F93">
      <w:pPr>
        <w:jc w:val="both"/>
        <w:rPr>
          <w:rFonts w:cs="Arial"/>
          <w:color w:val="000000" w:themeColor="text1"/>
          <w:sz w:val="20"/>
        </w:rPr>
      </w:pPr>
    </w:p>
    <w:p w:rsidR="006A3F93" w:rsidRPr="00245086" w:rsidRDefault="006A3F93">
      <w:pPr>
        <w:ind w:left="1080" w:hanging="540"/>
        <w:jc w:val="both"/>
        <w:rPr>
          <w:rFonts w:cs="Arial"/>
          <w:color w:val="000000" w:themeColor="text1"/>
          <w:sz w:val="20"/>
        </w:rPr>
      </w:pPr>
      <w:r w:rsidRPr="00245086">
        <w:rPr>
          <w:rFonts w:cs="Arial"/>
          <w:color w:val="000000" w:themeColor="text1"/>
          <w:sz w:val="20"/>
        </w:rPr>
        <w:t>(</w:t>
      </w:r>
      <w:r w:rsidR="003F47AD" w:rsidRPr="00245086">
        <w:rPr>
          <w:rFonts w:cs="Arial"/>
          <w:color w:val="000000" w:themeColor="text1"/>
          <w:sz w:val="20"/>
        </w:rPr>
        <w:t>10</w:t>
      </w:r>
      <w:r w:rsidRPr="00245086">
        <w:rPr>
          <w:rFonts w:cs="Arial"/>
          <w:color w:val="000000" w:themeColor="text1"/>
          <w:sz w:val="20"/>
        </w:rPr>
        <w:t>)</w:t>
      </w:r>
      <w:r w:rsidRPr="00245086">
        <w:rPr>
          <w:rFonts w:cs="Arial"/>
          <w:color w:val="000000" w:themeColor="text1"/>
          <w:sz w:val="20"/>
        </w:rPr>
        <w:tab/>
        <w:t>“business” includes any trade, commerce, manufacture, profession, vocation or adventure or concern in the nature of trade, commerce, manufacture, profession or vocation, but does not include employment;</w:t>
      </w:r>
    </w:p>
    <w:p w:rsidR="006A3F93" w:rsidRPr="00245086" w:rsidRDefault="006A3F93">
      <w:pPr>
        <w:jc w:val="both"/>
        <w:rPr>
          <w:rFonts w:cs="Arial"/>
          <w:color w:val="000000" w:themeColor="text1"/>
          <w:sz w:val="20"/>
        </w:rPr>
      </w:pPr>
    </w:p>
    <w:p w:rsidR="00CA37D8" w:rsidRPr="00245086" w:rsidRDefault="006A3F93">
      <w:pPr>
        <w:ind w:left="1080" w:hanging="630"/>
        <w:jc w:val="both"/>
        <w:rPr>
          <w:rFonts w:cs="Arial"/>
          <w:color w:val="000000" w:themeColor="text1"/>
          <w:sz w:val="20"/>
        </w:rPr>
      </w:pPr>
      <w:r w:rsidRPr="00245086">
        <w:rPr>
          <w:rFonts w:cs="Arial"/>
          <w:color w:val="000000" w:themeColor="text1"/>
          <w:sz w:val="20"/>
        </w:rPr>
        <w:t>(1</w:t>
      </w:r>
      <w:r w:rsidR="003F47AD" w:rsidRPr="00245086">
        <w:rPr>
          <w:rFonts w:cs="Arial"/>
          <w:color w:val="000000" w:themeColor="text1"/>
          <w:sz w:val="20"/>
        </w:rPr>
        <w:t>1</w:t>
      </w:r>
      <w:r w:rsidRPr="00245086">
        <w:rPr>
          <w:rFonts w:cs="Arial"/>
          <w:color w:val="000000" w:themeColor="text1"/>
          <w:sz w:val="20"/>
        </w:rPr>
        <w:t>)</w:t>
      </w:r>
      <w:r w:rsidR="00A16683" w:rsidRPr="00245086">
        <w:rPr>
          <w:rFonts w:cs="Arial"/>
          <w:color w:val="000000" w:themeColor="text1"/>
          <w:sz w:val="20"/>
        </w:rPr>
        <w:t>]</w:t>
      </w:r>
      <w:r w:rsidRPr="00245086">
        <w:rPr>
          <w:rFonts w:cs="Arial"/>
          <w:color w:val="000000" w:themeColor="text1"/>
          <w:sz w:val="20"/>
        </w:rPr>
        <w:tab/>
        <w:t>“capital asset” means a capital asset as defined in section 37;</w:t>
      </w:r>
    </w:p>
    <w:p w:rsidR="006A3F93" w:rsidRPr="00245086" w:rsidRDefault="006A3F93">
      <w:pPr>
        <w:jc w:val="both"/>
        <w:rPr>
          <w:rFonts w:cs="Arial"/>
          <w:color w:val="000000" w:themeColor="text1"/>
          <w:sz w:val="20"/>
        </w:rPr>
      </w:pPr>
    </w:p>
    <w:p w:rsidR="006A3F93" w:rsidRPr="00412620" w:rsidRDefault="006A3F93">
      <w:pPr>
        <w:ind w:left="1080" w:hanging="900"/>
        <w:jc w:val="both"/>
        <w:rPr>
          <w:sz w:val="20"/>
        </w:rPr>
      </w:pPr>
      <w:r w:rsidRPr="00412620">
        <w:rPr>
          <w:rStyle w:val="FootnoteReference"/>
          <w:rFonts w:cs="Arial"/>
          <w:sz w:val="20"/>
        </w:rPr>
        <w:footnoteReference w:id="26"/>
      </w:r>
      <w:r w:rsidRPr="00412620">
        <w:rPr>
          <w:sz w:val="20"/>
        </w:rPr>
        <w:t>[(11A)</w:t>
      </w:r>
      <w:r w:rsidRPr="00412620">
        <w:rPr>
          <w:sz w:val="20"/>
        </w:rPr>
        <w:tab/>
        <w:t>“charitable purpose” includes relief of the poor, education, medical relief and the advancement of any other object of general public utility;]</w:t>
      </w:r>
    </w:p>
    <w:p w:rsidR="00234D17" w:rsidRPr="00412620" w:rsidRDefault="00234D17" w:rsidP="00234D17">
      <w:pPr>
        <w:pStyle w:val="Title"/>
        <w:tabs>
          <w:tab w:val="left" w:pos="180"/>
        </w:tabs>
        <w:ind w:left="1094" w:hanging="1094"/>
        <w:jc w:val="both"/>
        <w:rPr>
          <w:rFonts w:cs="Arial"/>
          <w:b w:val="0"/>
          <w:sz w:val="20"/>
        </w:rPr>
      </w:pPr>
    </w:p>
    <w:p w:rsidR="00234D17" w:rsidRPr="00412620" w:rsidRDefault="00234D17" w:rsidP="00234D17">
      <w:pPr>
        <w:pStyle w:val="Title"/>
        <w:tabs>
          <w:tab w:val="left" w:pos="180"/>
        </w:tabs>
        <w:ind w:left="1094" w:hanging="1094"/>
        <w:jc w:val="both"/>
        <w:rPr>
          <w:rFonts w:cs="Arial"/>
          <w:b w:val="0"/>
          <w:sz w:val="20"/>
        </w:rPr>
      </w:pPr>
      <w:r w:rsidRPr="00412620">
        <w:rPr>
          <w:rFonts w:cs="Arial"/>
          <w:b w:val="0"/>
          <w:sz w:val="20"/>
        </w:rPr>
        <w:tab/>
      </w:r>
      <w:r w:rsidR="00F21D58" w:rsidRPr="00412620">
        <w:rPr>
          <w:rStyle w:val="FootnoteReference"/>
          <w:rFonts w:cs="Arial"/>
          <w:b w:val="0"/>
          <w:sz w:val="20"/>
        </w:rPr>
        <w:footnoteReference w:id="27"/>
      </w:r>
      <w:r w:rsidR="00C64133" w:rsidRPr="00412620">
        <w:rPr>
          <w:rFonts w:cs="Arial"/>
          <w:b w:val="0"/>
          <w:sz w:val="20"/>
        </w:rPr>
        <w:t>[(11B)</w:t>
      </w:r>
      <w:r w:rsidRPr="00412620">
        <w:rPr>
          <w:rFonts w:cs="Arial"/>
          <w:b w:val="0"/>
          <w:sz w:val="20"/>
        </w:rPr>
        <w:t xml:space="preserve"> “Chief Commissioner” means a person appointed as Chief                    Commissioner Inland Revenue under section 208 and includes a Regional Commissioner of Income Tax and a Director</w:t>
      </w:r>
      <w:r w:rsidR="00CD2370" w:rsidRPr="00412620">
        <w:rPr>
          <w:rFonts w:cs="Arial"/>
          <w:b w:val="0"/>
          <w:sz w:val="20"/>
        </w:rPr>
        <w:t>-</w:t>
      </w:r>
      <w:r w:rsidRPr="00412620">
        <w:rPr>
          <w:rFonts w:cs="Arial"/>
          <w:b w:val="0"/>
          <w:sz w:val="20"/>
        </w:rPr>
        <w:t>General of Income Tax and Sales Tax;</w:t>
      </w:r>
      <w:r w:rsidR="00C64133" w:rsidRPr="00412620">
        <w:rPr>
          <w:rFonts w:cs="Arial"/>
          <w:b w:val="0"/>
          <w:sz w:val="20"/>
        </w:rPr>
        <w:t>]</w:t>
      </w:r>
    </w:p>
    <w:p w:rsidR="006A3F93" w:rsidRPr="00412620" w:rsidRDefault="006A3F93">
      <w:pPr>
        <w:jc w:val="both"/>
        <w:rPr>
          <w:rFonts w:cs="Arial"/>
          <w:sz w:val="20"/>
        </w:rPr>
      </w:pPr>
    </w:p>
    <w:p w:rsidR="003A4F30" w:rsidRPr="00412620" w:rsidRDefault="003A4F30" w:rsidP="003A4F30">
      <w:pPr>
        <w:ind w:left="1080" w:hanging="795"/>
        <w:jc w:val="both"/>
        <w:rPr>
          <w:rFonts w:cs="Arial"/>
          <w:sz w:val="20"/>
        </w:rPr>
      </w:pPr>
      <w:r w:rsidRPr="00412620">
        <w:rPr>
          <w:rStyle w:val="FootnoteReference"/>
          <w:rFonts w:cs="Arial"/>
          <w:sz w:val="20"/>
        </w:rPr>
        <w:footnoteReference w:id="28"/>
      </w:r>
      <w:r w:rsidRPr="00412620">
        <w:rPr>
          <w:rFonts w:cs="Arial"/>
          <w:sz w:val="20"/>
        </w:rPr>
        <w:t>[(11C)</w:t>
      </w:r>
      <w:r w:rsidRPr="00412620">
        <w:rPr>
          <w:rFonts w:cs="Arial"/>
          <w:sz w:val="20"/>
        </w:rPr>
        <w:tab/>
        <w:t>“Collective Investment Scheme” shall have the same meanings as are assigned under the Non-Banking Finance Companies (Establishment and Regulation) Rules, 2003;]</w:t>
      </w:r>
    </w:p>
    <w:p w:rsidR="003A4F30" w:rsidRPr="00412620" w:rsidRDefault="003A4F30">
      <w:pPr>
        <w:jc w:val="both"/>
        <w:rPr>
          <w:rFonts w:cs="Arial"/>
          <w:sz w:val="20"/>
        </w:rPr>
      </w:pPr>
    </w:p>
    <w:p w:rsidR="006A3F93" w:rsidRPr="00412620" w:rsidRDefault="006A3F93">
      <w:pPr>
        <w:ind w:left="1080" w:hanging="630"/>
        <w:jc w:val="both"/>
        <w:rPr>
          <w:rFonts w:cs="Arial"/>
          <w:sz w:val="20"/>
        </w:rPr>
      </w:pPr>
      <w:r w:rsidRPr="00412620">
        <w:rPr>
          <w:rFonts w:cs="Arial"/>
          <w:sz w:val="20"/>
        </w:rPr>
        <w:t>(12)</w:t>
      </w:r>
      <w:r w:rsidRPr="00412620">
        <w:rPr>
          <w:rFonts w:cs="Arial"/>
          <w:sz w:val="20"/>
        </w:rPr>
        <w:tab/>
        <w:t>“company” means a company as defined in section 80;</w:t>
      </w:r>
    </w:p>
    <w:p w:rsidR="006A3F93" w:rsidRPr="00412620" w:rsidRDefault="006A3F93">
      <w:pPr>
        <w:jc w:val="both"/>
        <w:rPr>
          <w:rFonts w:cs="Arial"/>
          <w:sz w:val="20"/>
        </w:rPr>
      </w:pPr>
    </w:p>
    <w:p w:rsidR="003173AA" w:rsidRPr="00412620" w:rsidRDefault="009E52D0" w:rsidP="003173AA">
      <w:pPr>
        <w:pStyle w:val="Title"/>
        <w:ind w:left="1094" w:hanging="720"/>
        <w:jc w:val="both"/>
        <w:rPr>
          <w:rFonts w:cs="Arial"/>
          <w:b w:val="0"/>
          <w:sz w:val="26"/>
        </w:rPr>
      </w:pPr>
      <w:r w:rsidRPr="00412620">
        <w:rPr>
          <w:rStyle w:val="FootnoteReference"/>
          <w:rFonts w:cs="Arial"/>
          <w:b w:val="0"/>
          <w:sz w:val="20"/>
        </w:rPr>
        <w:footnoteReference w:id="29"/>
      </w:r>
      <w:r w:rsidR="003173AA" w:rsidRPr="00412620">
        <w:rPr>
          <w:rFonts w:cs="Arial"/>
          <w:b w:val="0"/>
          <w:sz w:val="20"/>
        </w:rPr>
        <w:t>[(13)</w:t>
      </w:r>
      <w:r w:rsidR="003173AA" w:rsidRPr="00412620">
        <w:rPr>
          <w:rFonts w:cs="Arial"/>
          <w:b w:val="0"/>
          <w:sz w:val="20"/>
        </w:rPr>
        <w:tab/>
        <w:t xml:space="preserve"> “Commissioner” means a person appointed as Commissioner   Inland Revenue under section 208 and includes any other authority </w:t>
      </w:r>
      <w:r w:rsidR="003173AA" w:rsidRPr="00412620">
        <w:rPr>
          <w:rFonts w:cs="Arial"/>
          <w:b w:val="0"/>
          <w:sz w:val="20"/>
        </w:rPr>
        <w:lastRenderedPageBreak/>
        <w:t>vested with all or any of the powers and functions of the Commissioner</w:t>
      </w:r>
      <w:r w:rsidR="00C64133" w:rsidRPr="00412620">
        <w:rPr>
          <w:rFonts w:cs="Arial"/>
          <w:b w:val="0"/>
          <w:sz w:val="20"/>
        </w:rPr>
        <w:t>;</w:t>
      </w:r>
      <w:r w:rsidR="00C67C85" w:rsidRPr="00412620">
        <w:rPr>
          <w:rFonts w:cs="Arial"/>
          <w:b w:val="0"/>
          <w:sz w:val="20"/>
        </w:rPr>
        <w:t>]</w:t>
      </w:r>
    </w:p>
    <w:p w:rsidR="006A3F93" w:rsidRPr="00412620" w:rsidRDefault="006A3F93">
      <w:pPr>
        <w:jc w:val="both"/>
        <w:rPr>
          <w:rFonts w:cs="Arial"/>
          <w:sz w:val="20"/>
        </w:rPr>
      </w:pPr>
    </w:p>
    <w:p w:rsidR="00C67C85" w:rsidRDefault="00F6087D" w:rsidP="00C67C85">
      <w:pPr>
        <w:pStyle w:val="Title"/>
        <w:ind w:left="1094" w:hanging="900"/>
        <w:jc w:val="both"/>
        <w:rPr>
          <w:rFonts w:cs="Arial"/>
          <w:b w:val="0"/>
          <w:sz w:val="20"/>
        </w:rPr>
      </w:pPr>
      <w:r w:rsidRPr="00412620">
        <w:rPr>
          <w:rStyle w:val="FootnoteReference"/>
          <w:rFonts w:cs="Arial"/>
          <w:b w:val="0"/>
          <w:sz w:val="20"/>
        </w:rPr>
        <w:footnoteReference w:id="30"/>
      </w:r>
      <w:r w:rsidR="00C67C85" w:rsidRPr="00412620">
        <w:rPr>
          <w:rFonts w:cs="Arial"/>
          <w:b w:val="0"/>
          <w:sz w:val="20"/>
        </w:rPr>
        <w:t>[(13A) “Commissioner (Appeals)” means a person appointed as Commissioner Inland Revenue (Appeals) under section 208</w:t>
      </w:r>
      <w:r w:rsidR="00F21D58" w:rsidRPr="00412620">
        <w:rPr>
          <w:rFonts w:cs="Arial"/>
          <w:b w:val="0"/>
          <w:sz w:val="20"/>
        </w:rPr>
        <w:t>;</w:t>
      </w:r>
      <w:r w:rsidR="00C67C85" w:rsidRPr="00412620">
        <w:rPr>
          <w:rFonts w:cs="Arial"/>
          <w:b w:val="0"/>
          <w:sz w:val="20"/>
        </w:rPr>
        <w:t>]</w:t>
      </w:r>
    </w:p>
    <w:p w:rsidR="00F357CD" w:rsidRPr="00412620" w:rsidRDefault="00F357CD" w:rsidP="00C67C85">
      <w:pPr>
        <w:pStyle w:val="Title"/>
        <w:ind w:left="1094" w:hanging="900"/>
        <w:jc w:val="both"/>
        <w:rPr>
          <w:rFonts w:cs="Arial"/>
          <w:b w:val="0"/>
          <w:sz w:val="20"/>
        </w:rPr>
      </w:pPr>
    </w:p>
    <w:p w:rsidR="00C67C85" w:rsidRPr="00F90D95" w:rsidRDefault="00F357CD" w:rsidP="00F357CD">
      <w:pPr>
        <w:autoSpaceDE w:val="0"/>
        <w:autoSpaceDN w:val="0"/>
        <w:adjustRightInd w:val="0"/>
        <w:ind w:left="1080" w:hanging="900"/>
        <w:jc w:val="both"/>
        <w:rPr>
          <w:color w:val="000000" w:themeColor="text1"/>
          <w:sz w:val="20"/>
        </w:rPr>
      </w:pPr>
      <w:r w:rsidRPr="00F90D95">
        <w:rPr>
          <w:rStyle w:val="FootnoteReference"/>
          <w:color w:val="000000" w:themeColor="text1"/>
          <w:sz w:val="20"/>
        </w:rPr>
        <w:footnoteReference w:id="31"/>
      </w:r>
      <w:r w:rsidRPr="00F90D95">
        <w:rPr>
          <w:color w:val="000000" w:themeColor="text1"/>
          <w:sz w:val="20"/>
        </w:rPr>
        <w:t>[</w:t>
      </w:r>
      <w:r w:rsidRPr="00F90D95">
        <w:rPr>
          <w:rFonts w:cs="Arial"/>
          <w:color w:val="000000" w:themeColor="text1"/>
          <w:sz w:val="20"/>
          <w:lang w:val="en-US"/>
        </w:rPr>
        <w:t xml:space="preserve">(13AA) </w:t>
      </w:r>
      <w:r w:rsidR="006F3A8A" w:rsidRPr="00F90D95">
        <w:rPr>
          <w:rFonts w:cs="Arial"/>
          <w:color w:val="000000" w:themeColor="text1"/>
          <w:sz w:val="20"/>
          <w:lang w:val="en-US"/>
        </w:rPr>
        <w:t>“</w:t>
      </w:r>
      <w:r w:rsidRPr="00F90D95">
        <w:rPr>
          <w:rFonts w:cs="Arial"/>
          <w:color w:val="000000" w:themeColor="text1"/>
          <w:sz w:val="20"/>
          <w:lang w:val="en-US"/>
        </w:rPr>
        <w:t>consumer goods</w:t>
      </w:r>
      <w:r w:rsidR="006F3A8A" w:rsidRPr="00F90D95">
        <w:rPr>
          <w:rFonts w:cs="Arial"/>
          <w:color w:val="000000" w:themeColor="text1"/>
          <w:sz w:val="20"/>
          <w:lang w:val="en-US"/>
        </w:rPr>
        <w:t>”</w:t>
      </w:r>
      <w:r w:rsidRPr="00F90D95">
        <w:rPr>
          <w:rFonts w:cs="Arial"/>
          <w:color w:val="000000" w:themeColor="text1"/>
          <w:sz w:val="20"/>
          <w:lang w:val="en-US"/>
        </w:rPr>
        <w:t xml:space="preserve"> means goods that are consumed by the end consumer rather than used in t</w:t>
      </w:r>
      <w:r w:rsidR="008A12ED" w:rsidRPr="00F90D95">
        <w:rPr>
          <w:rFonts w:cs="Arial"/>
          <w:color w:val="000000" w:themeColor="text1"/>
          <w:sz w:val="20"/>
          <w:lang w:val="en-US"/>
        </w:rPr>
        <w:t>he production of another good;”</w:t>
      </w:r>
      <w:r w:rsidRPr="00F90D95">
        <w:rPr>
          <w:rFonts w:cs="Arial"/>
          <w:color w:val="000000" w:themeColor="text1"/>
          <w:sz w:val="20"/>
          <w:lang w:val="en-US"/>
        </w:rPr>
        <w:t>]</w:t>
      </w:r>
    </w:p>
    <w:p w:rsidR="006A3F93" w:rsidRPr="00412620" w:rsidRDefault="006A3F93">
      <w:pPr>
        <w:jc w:val="both"/>
        <w:rPr>
          <w:rFonts w:cs="Arial"/>
          <w:sz w:val="20"/>
        </w:rPr>
      </w:pPr>
    </w:p>
    <w:p w:rsidR="006A3F93" w:rsidRPr="00412620" w:rsidRDefault="006A3F93">
      <w:pPr>
        <w:ind w:left="1080" w:hanging="810"/>
        <w:jc w:val="both"/>
        <w:rPr>
          <w:rFonts w:cs="Arial"/>
          <w:sz w:val="20"/>
        </w:rPr>
      </w:pPr>
      <w:r w:rsidRPr="00412620">
        <w:rPr>
          <w:rStyle w:val="FootnoteReference"/>
          <w:rFonts w:cs="Arial"/>
          <w:sz w:val="20"/>
        </w:rPr>
        <w:footnoteReference w:id="32"/>
      </w:r>
      <w:r w:rsidRPr="00412620">
        <w:rPr>
          <w:rFonts w:cs="Arial"/>
          <w:sz w:val="20"/>
        </w:rPr>
        <w:t xml:space="preserve">[(13B) </w:t>
      </w:r>
      <w:r w:rsidRPr="00412620">
        <w:rPr>
          <w:rFonts w:cs="Arial"/>
          <w:sz w:val="20"/>
        </w:rPr>
        <w:tab/>
        <w:t>“Contribution to an Approved Pension Fund” means contribution as defined in rule 2(j) of the Voluntary Pension System Rules, 2005</w:t>
      </w:r>
      <w:r w:rsidR="0092297A" w:rsidRPr="00412620">
        <w:rPr>
          <w:rStyle w:val="FootnoteReference"/>
          <w:rFonts w:cs="Arial"/>
          <w:sz w:val="20"/>
        </w:rPr>
        <w:footnoteReference w:id="33"/>
      </w:r>
      <w:r w:rsidR="0092297A" w:rsidRPr="00412620">
        <w:rPr>
          <w:rFonts w:cs="Arial"/>
          <w:sz w:val="20"/>
        </w:rPr>
        <w:t>[ ]</w:t>
      </w:r>
      <w:r w:rsidRPr="00412620">
        <w:rPr>
          <w:rFonts w:cs="Arial"/>
          <w:sz w:val="20"/>
        </w:rPr>
        <w:t>;]</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(14)</w:t>
      </w:r>
      <w:r w:rsidRPr="00412620">
        <w:rPr>
          <w:rFonts w:cs="Arial"/>
          <w:sz w:val="20"/>
        </w:rPr>
        <w:tab/>
        <w:t>“co-operative society” means a co-operative society registered under the Co-operative Societies Act, 1925 (VII of 1925) or under any other law for the time being in force in Pakistan for the registration of co-operative societies;</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(15)</w:t>
      </w:r>
      <w:r w:rsidRPr="00412620">
        <w:rPr>
          <w:rFonts w:cs="Arial"/>
          <w:sz w:val="20"/>
        </w:rPr>
        <w:tab/>
        <w:t>“debt” means any amount owing, including accounts payable and the amounts owing under promissory notes, bills of exchange, debentures, securities, bonds or other financial instruments;</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(16)</w:t>
      </w:r>
      <w:r w:rsidRPr="00412620">
        <w:rPr>
          <w:rFonts w:cs="Arial"/>
          <w:sz w:val="20"/>
        </w:rPr>
        <w:tab/>
        <w:t>“deductible allowance” means an allowance that is deductible from total income under Part IX of Chapter III;</w:t>
      </w:r>
    </w:p>
    <w:p w:rsidR="006A3F93" w:rsidRPr="00412620" w:rsidRDefault="006A3F93">
      <w:pPr>
        <w:jc w:val="both"/>
        <w:rPr>
          <w:rFonts w:cs="Arial"/>
          <w:sz w:val="20"/>
        </w:rPr>
      </w:pPr>
    </w:p>
    <w:p w:rsidR="006A3F93" w:rsidRDefault="006A3F93">
      <w:pPr>
        <w:ind w:left="1080" w:hanging="540"/>
        <w:jc w:val="both"/>
        <w:rPr>
          <w:rFonts w:cs="Arial"/>
          <w:sz w:val="20"/>
        </w:rPr>
      </w:pPr>
      <w:r w:rsidRPr="00412620">
        <w:rPr>
          <w:rFonts w:cs="Arial"/>
          <w:sz w:val="20"/>
        </w:rPr>
        <w:t>(17)</w:t>
      </w:r>
      <w:r w:rsidRPr="00412620">
        <w:rPr>
          <w:rFonts w:cs="Arial"/>
          <w:sz w:val="20"/>
        </w:rPr>
        <w:tab/>
        <w:t>“depreciable asset” means a depreciable asset as defined in section 22;</w:t>
      </w:r>
    </w:p>
    <w:p w:rsidR="00AE5E7B" w:rsidRDefault="00AE5E7B">
      <w:pPr>
        <w:ind w:left="1080" w:hanging="540"/>
        <w:jc w:val="both"/>
        <w:rPr>
          <w:rFonts w:cs="Arial"/>
          <w:sz w:val="20"/>
        </w:rPr>
      </w:pPr>
    </w:p>
    <w:p w:rsidR="00AE5E7B" w:rsidRPr="00F90D95" w:rsidRDefault="00AE5E7B" w:rsidP="00AD2C94">
      <w:pPr>
        <w:autoSpaceDE w:val="0"/>
        <w:autoSpaceDN w:val="0"/>
        <w:adjustRightInd w:val="0"/>
        <w:ind w:left="1170" w:hanging="630"/>
        <w:jc w:val="both"/>
        <w:rPr>
          <w:rFonts w:cs="Arial"/>
          <w:color w:val="000000" w:themeColor="text1"/>
          <w:sz w:val="20"/>
        </w:rPr>
      </w:pPr>
      <w:r w:rsidRPr="00F90D95">
        <w:rPr>
          <w:rStyle w:val="FootnoteReference"/>
          <w:rFonts w:cs="Arial"/>
          <w:color w:val="000000" w:themeColor="text1"/>
          <w:sz w:val="20"/>
        </w:rPr>
        <w:footnoteReference w:id="34"/>
      </w:r>
      <w:r w:rsidRPr="00F90D95">
        <w:rPr>
          <w:rFonts w:cs="Arial"/>
          <w:color w:val="000000" w:themeColor="text1"/>
          <w:sz w:val="20"/>
        </w:rPr>
        <w:t>[</w:t>
      </w:r>
      <w:r w:rsidRPr="00F90D95">
        <w:rPr>
          <w:rFonts w:cs="Arial"/>
          <w:color w:val="000000" w:themeColor="text1"/>
          <w:sz w:val="20"/>
          <w:lang w:val="en-US"/>
        </w:rPr>
        <w:t>17A.</w:t>
      </w:r>
      <w:r w:rsidR="00223203" w:rsidRPr="00F90D95">
        <w:rPr>
          <w:rFonts w:cs="Arial"/>
          <w:color w:val="000000" w:themeColor="text1"/>
          <w:sz w:val="20"/>
          <w:lang w:val="en-US"/>
        </w:rPr>
        <w:t>”</w:t>
      </w:r>
      <w:r w:rsidRPr="00F90D95">
        <w:rPr>
          <w:rFonts w:cs="Arial"/>
          <w:color w:val="000000" w:themeColor="text1"/>
          <w:sz w:val="20"/>
          <w:lang w:val="en-US"/>
        </w:rPr>
        <w:t>Developmental REIT Scheme</w:t>
      </w:r>
      <w:r w:rsidR="00223203" w:rsidRPr="00F90D95">
        <w:rPr>
          <w:rFonts w:cs="Arial"/>
          <w:color w:val="000000" w:themeColor="text1"/>
          <w:sz w:val="20"/>
          <w:lang w:val="en-US"/>
        </w:rPr>
        <w:t>”</w:t>
      </w:r>
      <w:r w:rsidRPr="00F90D95">
        <w:rPr>
          <w:rFonts w:cs="Arial"/>
          <w:color w:val="000000" w:themeColor="text1"/>
          <w:sz w:val="20"/>
          <w:lang w:val="en-US"/>
        </w:rPr>
        <w:t xml:space="preserve"> means Developmental REIT Scheme as defined under the Real Estate Investment Trust Regulations, 2015;</w:t>
      </w:r>
      <w:r w:rsidR="00AD2C94" w:rsidRPr="00F90D95">
        <w:rPr>
          <w:rFonts w:cs="Arial"/>
          <w:color w:val="000000" w:themeColor="text1"/>
          <w:sz w:val="20"/>
          <w:lang w:val="en-US"/>
        </w:rPr>
        <w:t>]</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(18)</w:t>
      </w:r>
      <w:r w:rsidRPr="00412620">
        <w:rPr>
          <w:rFonts w:cs="Arial"/>
          <w:sz w:val="20"/>
        </w:rPr>
        <w:tab/>
        <w:t>“disposal” in relation to an asset, means a disposal as defined in section 75;</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(19)</w:t>
      </w:r>
      <w:r w:rsidRPr="00412620">
        <w:rPr>
          <w:rFonts w:cs="Arial"/>
          <w:sz w:val="20"/>
        </w:rPr>
        <w:tab/>
        <w:t xml:space="preserve">“dividend” includes </w:t>
      </w:r>
      <w:r w:rsidR="008929FC"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any distribution by a company of accumulated profits to its shareholders, whether capitalised or not, if such distribution entails the release by the company to its shareholders of all or any part of the assets including money of the company;</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any distribution by a company, to its shareholders of debentures, debenture-stock or deposit certificate in any form, whether with or without profit, </w:t>
      </w:r>
      <w:r w:rsidRPr="00412620">
        <w:rPr>
          <w:rFonts w:cs="Arial"/>
          <w:sz w:val="20"/>
          <w:vertAlign w:val="superscript"/>
        </w:rPr>
        <w:footnoteReference w:id="35"/>
      </w:r>
      <w:r w:rsidRPr="00412620">
        <w:rPr>
          <w:rFonts w:cs="Arial"/>
          <w:sz w:val="20"/>
        </w:rPr>
        <w:t>[ ] to the extent to which the company possesses accumulated profits whether capitalised or not;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any distribution made to the shareholders of a company on its liquidation, to the extent to which the distribution is attributable to the accumulated profits of the company immediately before its liquidation, whether capitalised or not;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 xml:space="preserve">any distribution by a company to its shareholders on the reduction of its capital, to the extent to which the company possesses accumulated profits, whether such accumulated profits have been capitalised or not; </w:t>
      </w:r>
      <w:r w:rsidR="009A6D78" w:rsidRPr="00412620">
        <w:rPr>
          <w:rStyle w:val="FootnoteReference"/>
          <w:rFonts w:cs="Arial"/>
          <w:sz w:val="20"/>
        </w:rPr>
        <w:footnoteReference w:id="36"/>
      </w:r>
      <w:r w:rsidR="009A6D78" w:rsidRPr="00412620">
        <w:rPr>
          <w:rFonts w:cs="Arial"/>
          <w:sz w:val="20"/>
        </w:rPr>
        <w:t>[  ]</w:t>
      </w:r>
    </w:p>
    <w:p w:rsidR="006A3F93" w:rsidRPr="00412620" w:rsidRDefault="006A3F93">
      <w:pPr>
        <w:jc w:val="both"/>
        <w:rPr>
          <w:rFonts w:cs="Arial"/>
          <w:sz w:val="20"/>
        </w:rPr>
      </w:pPr>
    </w:p>
    <w:p w:rsidR="006A3F93" w:rsidRDefault="006A3F93" w:rsidP="004B20DC">
      <w:pPr>
        <w:numPr>
          <w:ilvl w:val="0"/>
          <w:numId w:val="23"/>
        </w:numPr>
        <w:tabs>
          <w:tab w:val="clear" w:pos="1440"/>
        </w:tabs>
        <w:ind w:left="1620" w:hanging="540"/>
        <w:jc w:val="both"/>
        <w:rPr>
          <w:rFonts w:cs="Arial"/>
          <w:sz w:val="20"/>
        </w:rPr>
      </w:pPr>
      <w:r w:rsidRPr="00412620">
        <w:rPr>
          <w:rFonts w:cs="Arial"/>
          <w:sz w:val="20"/>
        </w:rPr>
        <w:t xml:space="preserve">any payment by a private company </w:t>
      </w:r>
      <w:r w:rsidRPr="00412620">
        <w:rPr>
          <w:rStyle w:val="FootnoteReference"/>
          <w:rFonts w:cs="Arial"/>
          <w:sz w:val="20"/>
        </w:rPr>
        <w:footnoteReference w:id="37"/>
      </w:r>
      <w:r w:rsidRPr="00412620">
        <w:rPr>
          <w:rFonts w:cs="Arial"/>
          <w:sz w:val="20"/>
        </w:rPr>
        <w:t>[as defined in the Companies Ordinance, 1984 (XLVII of 1984)] or trust of any sum (whether as representing a part of the assets of the company or trust, or otherwise) by way of advance or loan to a shareholder or any payment by any such company or trust on behalf, or for the individual benefit, of any such shareholder, to the extent to which the company or trust, in either case, possesses accumulated profits;</w:t>
      </w:r>
      <w:r w:rsidR="00FE77C6" w:rsidRPr="00412620">
        <w:rPr>
          <w:rStyle w:val="FootnoteReference"/>
          <w:rFonts w:cs="Arial"/>
          <w:sz w:val="20"/>
        </w:rPr>
        <w:footnoteReference w:id="38"/>
      </w:r>
      <w:r w:rsidR="00FE77C6" w:rsidRPr="00412620">
        <w:rPr>
          <w:rFonts w:cs="Arial"/>
          <w:sz w:val="20"/>
        </w:rPr>
        <w:t>[or]</w:t>
      </w:r>
    </w:p>
    <w:p w:rsidR="00F658CD" w:rsidRDefault="00F658CD" w:rsidP="00F658CD">
      <w:pPr>
        <w:ind w:left="1620"/>
        <w:jc w:val="both"/>
        <w:rPr>
          <w:rFonts w:cs="Arial"/>
          <w:sz w:val="20"/>
        </w:rPr>
      </w:pPr>
    </w:p>
    <w:p w:rsidR="00183778" w:rsidRPr="005756E9" w:rsidRDefault="00183778" w:rsidP="00183778">
      <w:pPr>
        <w:ind w:left="1620" w:hanging="526"/>
        <w:jc w:val="both"/>
        <w:rPr>
          <w:rFonts w:cs="Arial"/>
          <w:sz w:val="20"/>
        </w:rPr>
      </w:pPr>
      <w:r w:rsidRPr="005756E9">
        <w:rPr>
          <w:rStyle w:val="FootnoteReference"/>
          <w:rFonts w:cs="Arial"/>
          <w:sz w:val="20"/>
        </w:rPr>
        <w:footnoteReference w:id="39"/>
      </w:r>
      <w:r w:rsidRPr="005756E9">
        <w:rPr>
          <w:rFonts w:cs="Arial"/>
          <w:sz w:val="20"/>
        </w:rPr>
        <w:t xml:space="preserve">[(f) </w:t>
      </w:r>
      <w:r w:rsidRPr="005756E9">
        <w:rPr>
          <w:rFonts w:cs="Arial"/>
          <w:sz w:val="20"/>
        </w:rPr>
        <w:tab/>
      </w:r>
      <w:r w:rsidRPr="005756E9">
        <w:rPr>
          <w:rStyle w:val="FootnoteReference"/>
          <w:rFonts w:cs="Arial"/>
          <w:sz w:val="20"/>
        </w:rPr>
        <w:footnoteReference w:id="40"/>
      </w:r>
      <w:r w:rsidRPr="005756E9">
        <w:rPr>
          <w:rFonts w:cs="Arial"/>
          <w:sz w:val="20"/>
        </w:rPr>
        <w:t>[remittance of] after tax profit of a branch of a foreign company operating in Pakistan;]</w:t>
      </w:r>
    </w:p>
    <w:p w:rsidR="006A3F93" w:rsidRPr="00412620" w:rsidRDefault="006A3F93">
      <w:pPr>
        <w:jc w:val="both"/>
        <w:rPr>
          <w:rFonts w:cs="Arial"/>
          <w:sz w:val="20"/>
        </w:rPr>
      </w:pPr>
    </w:p>
    <w:p w:rsidR="006A3F93" w:rsidRPr="00412620" w:rsidRDefault="006A3F93">
      <w:pPr>
        <w:ind w:left="1440" w:firstLine="180"/>
        <w:jc w:val="both"/>
        <w:rPr>
          <w:rFonts w:cs="Arial"/>
          <w:sz w:val="20"/>
        </w:rPr>
      </w:pPr>
      <w:r w:rsidRPr="00412620">
        <w:rPr>
          <w:rFonts w:cs="Arial"/>
          <w:sz w:val="20"/>
        </w:rPr>
        <w:t xml:space="preserve">but does not include </w:t>
      </w:r>
      <w:r w:rsidR="008929FC" w:rsidRPr="00412620">
        <w:rPr>
          <w:rFonts w:cs="Arial"/>
          <w:sz w:val="20"/>
        </w:rPr>
        <w:t>—</w:t>
      </w:r>
    </w:p>
    <w:p w:rsidR="006A3F93" w:rsidRPr="00412620" w:rsidRDefault="006A3F93">
      <w:pPr>
        <w:pStyle w:val="PlainText"/>
        <w:jc w:val="both"/>
        <w:rPr>
          <w:rFonts w:ascii="Arial" w:hAnsi="Arial"/>
        </w:rPr>
      </w:pPr>
    </w:p>
    <w:p w:rsidR="006A3F93" w:rsidRPr="00412620" w:rsidRDefault="006A3F93">
      <w:pPr>
        <w:pStyle w:val="BodyTextIndent"/>
        <w:ind w:left="2160" w:hanging="540"/>
        <w:jc w:val="both"/>
        <w:rPr>
          <w:rFonts w:cs="Arial"/>
          <w:sz w:val="20"/>
        </w:rPr>
      </w:pPr>
      <w:r w:rsidRPr="00412620">
        <w:rPr>
          <w:rFonts w:cs="Arial"/>
          <w:sz w:val="20"/>
        </w:rPr>
        <w:t>(i)</w:t>
      </w:r>
      <w:r w:rsidRPr="00412620">
        <w:rPr>
          <w:rFonts w:cs="Arial"/>
          <w:sz w:val="20"/>
        </w:rPr>
        <w:tab/>
        <w:t xml:space="preserve">a distribution made in accordance with </w:t>
      </w:r>
      <w:r w:rsidRPr="00412620">
        <w:rPr>
          <w:rStyle w:val="FootnoteReference"/>
          <w:rFonts w:cs="Arial"/>
          <w:sz w:val="20"/>
        </w:rPr>
        <w:footnoteReference w:id="41"/>
      </w:r>
      <w:r w:rsidRPr="00412620">
        <w:rPr>
          <w:rFonts w:cs="Arial"/>
          <w:sz w:val="20"/>
        </w:rPr>
        <w:t>[sub-clause] (c) or (d) in respect of any share for full cash consideration, or redemption of debentures or debenture stock, where the holder of the share or debenture is not entitled in the event of liquidation to participate in the surplus assets;</w:t>
      </w:r>
    </w:p>
    <w:p w:rsidR="006A3F93" w:rsidRPr="00412620" w:rsidRDefault="006A3F93">
      <w:pPr>
        <w:jc w:val="both"/>
        <w:rPr>
          <w:rFonts w:cs="Arial"/>
          <w:sz w:val="20"/>
        </w:rPr>
      </w:pPr>
    </w:p>
    <w:p w:rsidR="006A3F93" w:rsidRPr="00412620" w:rsidRDefault="006A3F93">
      <w:pPr>
        <w:pStyle w:val="BodyTextIndent"/>
        <w:ind w:left="2160" w:hanging="540"/>
        <w:jc w:val="both"/>
        <w:rPr>
          <w:rFonts w:cs="Arial"/>
          <w:sz w:val="20"/>
        </w:rPr>
      </w:pPr>
      <w:r w:rsidRPr="00412620">
        <w:rPr>
          <w:rFonts w:cs="Arial"/>
          <w:sz w:val="20"/>
        </w:rPr>
        <w:t>(ii)</w:t>
      </w:r>
      <w:r w:rsidRPr="00412620">
        <w:rPr>
          <w:rFonts w:cs="Arial"/>
          <w:sz w:val="20"/>
        </w:rPr>
        <w:tab/>
        <w:t xml:space="preserve">any advance or loan made to a shareholder by a company in the ordinary course of its business, where the lending of money is a substantial part of the business of the company; </w:t>
      </w:r>
      <w:r w:rsidR="001F068A" w:rsidRPr="00412620">
        <w:rPr>
          <w:rStyle w:val="FootnoteReference"/>
          <w:rFonts w:cs="Arial"/>
          <w:sz w:val="20"/>
        </w:rPr>
        <w:footnoteReference w:id="42"/>
      </w:r>
      <w:r w:rsidR="001F068A" w:rsidRPr="00412620">
        <w:rPr>
          <w:rFonts w:cs="Arial"/>
          <w:sz w:val="20"/>
        </w:rPr>
        <w:t xml:space="preserve">[ ] </w:t>
      </w:r>
    </w:p>
    <w:p w:rsidR="006A3F93" w:rsidRPr="00412620" w:rsidRDefault="006A3F93">
      <w:pPr>
        <w:pStyle w:val="BodyTextIndent"/>
        <w:jc w:val="both"/>
        <w:rPr>
          <w:rFonts w:cs="Arial"/>
          <w:sz w:val="20"/>
        </w:rPr>
      </w:pPr>
    </w:p>
    <w:p w:rsidR="006A3F93" w:rsidRPr="00412620" w:rsidRDefault="006A3F93">
      <w:pPr>
        <w:pStyle w:val="BodyTextIndent"/>
        <w:ind w:left="2160" w:hanging="540"/>
        <w:jc w:val="both"/>
        <w:rPr>
          <w:rFonts w:cs="Arial"/>
          <w:sz w:val="20"/>
        </w:rPr>
      </w:pPr>
      <w:r w:rsidRPr="00412620">
        <w:rPr>
          <w:rFonts w:cs="Arial"/>
          <w:sz w:val="20"/>
        </w:rPr>
        <w:t>(iii)</w:t>
      </w:r>
      <w:r w:rsidRPr="00412620">
        <w:rPr>
          <w:rFonts w:cs="Arial"/>
          <w:sz w:val="20"/>
        </w:rPr>
        <w:tab/>
        <w:t xml:space="preserve">any dividend paid by a company which is set off by the company against the whole or any part of any sum previously paid by it and treated as a dividend within the meaning of </w:t>
      </w:r>
      <w:r w:rsidRPr="00412620">
        <w:rPr>
          <w:rStyle w:val="FootnoteReference"/>
          <w:rFonts w:cs="Arial"/>
          <w:sz w:val="20"/>
        </w:rPr>
        <w:footnoteReference w:id="43"/>
      </w:r>
      <w:r w:rsidRPr="00412620">
        <w:rPr>
          <w:rFonts w:cs="Arial"/>
          <w:sz w:val="20"/>
        </w:rPr>
        <w:t>[sub-clause] (</w:t>
      </w:r>
      <w:r w:rsidR="003A56B6" w:rsidRPr="00412620">
        <w:rPr>
          <w:rFonts w:cs="Arial"/>
          <w:sz w:val="20"/>
        </w:rPr>
        <w:t>e</w:t>
      </w:r>
      <w:r w:rsidRPr="00412620">
        <w:rPr>
          <w:rFonts w:cs="Arial"/>
          <w:sz w:val="20"/>
        </w:rPr>
        <w:t>) to the extent to which it is so set off;</w:t>
      </w:r>
      <w:r w:rsidR="00300333" w:rsidRPr="00412620">
        <w:rPr>
          <w:rStyle w:val="FootnoteReference"/>
          <w:rFonts w:cs="Arial"/>
          <w:sz w:val="20"/>
        </w:rPr>
        <w:footnoteReference w:id="44"/>
      </w:r>
      <w:r w:rsidR="00300333" w:rsidRPr="00412620">
        <w:rPr>
          <w:rFonts w:cs="Arial"/>
          <w:sz w:val="20"/>
        </w:rPr>
        <w:t>[and]</w:t>
      </w:r>
    </w:p>
    <w:p w:rsidR="006A3F93" w:rsidRPr="00412620" w:rsidRDefault="006A3F93">
      <w:pPr>
        <w:jc w:val="both"/>
        <w:rPr>
          <w:rFonts w:cs="Arial"/>
          <w:b/>
          <w:sz w:val="20"/>
        </w:rPr>
      </w:pPr>
    </w:p>
    <w:p w:rsidR="00C17BCB" w:rsidRDefault="003D40CE" w:rsidP="003D40CE">
      <w:pPr>
        <w:ind w:left="2160" w:hanging="525"/>
        <w:jc w:val="both"/>
        <w:rPr>
          <w:rFonts w:cs="Arial"/>
          <w:sz w:val="20"/>
        </w:rPr>
      </w:pPr>
      <w:r w:rsidRPr="00412620">
        <w:rPr>
          <w:rStyle w:val="FootnoteReference"/>
          <w:rFonts w:cs="Arial"/>
          <w:sz w:val="20"/>
        </w:rPr>
        <w:footnoteReference w:id="45"/>
      </w:r>
      <w:r w:rsidR="00034DEC" w:rsidRPr="00412620">
        <w:rPr>
          <w:rFonts w:cs="Arial"/>
          <w:sz w:val="20"/>
        </w:rPr>
        <w:t xml:space="preserve">[(iv) </w:t>
      </w:r>
      <w:r w:rsidR="00034DEC" w:rsidRPr="00412620">
        <w:rPr>
          <w:rFonts w:cs="Arial"/>
          <w:sz w:val="20"/>
        </w:rPr>
        <w:tab/>
      </w:r>
      <w:r w:rsidRPr="00412620">
        <w:rPr>
          <w:rFonts w:cs="Arial"/>
          <w:sz w:val="20"/>
        </w:rPr>
        <w:t>remittance of after tax profit by a branch of Petroleum  Exploration and Production (E&amp;P) foreign company, operating in Pakistan.]</w:t>
      </w:r>
    </w:p>
    <w:p w:rsidR="00034DEC" w:rsidRPr="00412620" w:rsidRDefault="00034DEC">
      <w:pPr>
        <w:jc w:val="both"/>
        <w:rPr>
          <w:rFonts w:cs="Arial"/>
          <w:b/>
          <w:sz w:val="20"/>
        </w:rPr>
      </w:pPr>
    </w:p>
    <w:p w:rsidR="006A3F93" w:rsidRPr="00412620" w:rsidRDefault="006A3F93" w:rsidP="008A5045">
      <w:pPr>
        <w:ind w:left="1094" w:hanging="929"/>
        <w:jc w:val="both"/>
        <w:rPr>
          <w:bCs/>
          <w:sz w:val="20"/>
        </w:rPr>
      </w:pPr>
      <w:r w:rsidRPr="00412620">
        <w:rPr>
          <w:rStyle w:val="FootnoteReference"/>
          <w:rFonts w:cs="Arial"/>
          <w:bCs/>
          <w:sz w:val="20"/>
        </w:rPr>
        <w:footnoteReference w:id="46"/>
      </w:r>
      <w:r w:rsidRPr="00412620">
        <w:rPr>
          <w:bCs/>
          <w:sz w:val="20"/>
        </w:rPr>
        <w:t>[(19A)</w:t>
      </w:r>
      <w:r w:rsidR="008A5045" w:rsidRPr="00412620">
        <w:rPr>
          <w:bCs/>
          <w:sz w:val="20"/>
        </w:rPr>
        <w:tab/>
      </w:r>
      <w:r w:rsidRPr="00412620">
        <w:rPr>
          <w:bCs/>
          <w:sz w:val="20"/>
        </w:rPr>
        <w:t xml:space="preserve">“Eligible Person”, for the purpose of Voluntary Pension System Rules, 2005, means an individual Pakistani who </w:t>
      </w:r>
      <w:r w:rsidR="00331F9E" w:rsidRPr="00412620">
        <w:rPr>
          <w:rStyle w:val="FootnoteReference"/>
          <w:bCs/>
          <w:sz w:val="20"/>
        </w:rPr>
        <w:footnoteReference w:id="47"/>
      </w:r>
      <w:r w:rsidR="00331F9E" w:rsidRPr="00412620">
        <w:rPr>
          <w:bCs/>
          <w:sz w:val="20"/>
        </w:rPr>
        <w:t xml:space="preserve">[holds] </w:t>
      </w:r>
      <w:r w:rsidRPr="00412620">
        <w:rPr>
          <w:bCs/>
          <w:sz w:val="20"/>
        </w:rPr>
        <w:t>a valid National Tax Number</w:t>
      </w:r>
      <w:r w:rsidR="00264638" w:rsidRPr="00412620">
        <w:rPr>
          <w:rStyle w:val="FootnoteReference"/>
          <w:bCs/>
          <w:sz w:val="20"/>
        </w:rPr>
        <w:footnoteReference w:id="48"/>
      </w:r>
      <w:r w:rsidR="00264638" w:rsidRPr="00412620">
        <w:rPr>
          <w:bCs/>
          <w:sz w:val="20"/>
        </w:rPr>
        <w:t>[or Computerized National Identity Card</w:t>
      </w:r>
      <w:r w:rsidR="00FA698C" w:rsidRPr="00412620">
        <w:rPr>
          <w:rStyle w:val="FootnoteReference"/>
          <w:bCs/>
          <w:sz w:val="20"/>
        </w:rPr>
        <w:footnoteReference w:id="49"/>
      </w:r>
      <w:r w:rsidR="00FA698C" w:rsidRPr="00412620">
        <w:rPr>
          <w:bCs/>
          <w:sz w:val="20"/>
        </w:rPr>
        <w:t xml:space="preserve">[or National </w:t>
      </w:r>
      <w:r w:rsidR="00922FF5" w:rsidRPr="00412620">
        <w:rPr>
          <w:bCs/>
          <w:sz w:val="20"/>
        </w:rPr>
        <w:t>I</w:t>
      </w:r>
      <w:r w:rsidR="00FA698C" w:rsidRPr="00412620">
        <w:rPr>
          <w:bCs/>
          <w:sz w:val="20"/>
        </w:rPr>
        <w:t>dentity Card for Overseas Pakistanis]</w:t>
      </w:r>
      <w:r w:rsidR="00264638" w:rsidRPr="00412620">
        <w:rPr>
          <w:bCs/>
          <w:sz w:val="20"/>
        </w:rPr>
        <w:t xml:space="preserve"> issued by the National Database and Registration Authority] </w:t>
      </w:r>
      <w:r w:rsidR="0031428C" w:rsidRPr="00412620">
        <w:rPr>
          <w:rStyle w:val="FootnoteReference"/>
          <w:bCs/>
          <w:sz w:val="20"/>
        </w:rPr>
        <w:footnoteReference w:id="50"/>
      </w:r>
      <w:r w:rsidR="0031428C" w:rsidRPr="00412620">
        <w:rPr>
          <w:bCs/>
          <w:sz w:val="20"/>
        </w:rPr>
        <w:t>[ ]</w:t>
      </w:r>
      <w:r w:rsidR="009C48AA" w:rsidRPr="00412620">
        <w:rPr>
          <w:rStyle w:val="FootnoteReference"/>
          <w:bCs/>
          <w:sz w:val="20"/>
        </w:rPr>
        <w:footnoteReference w:id="51"/>
      </w:r>
      <w:r w:rsidR="009C48AA" w:rsidRPr="00412620">
        <w:rPr>
          <w:bCs/>
          <w:sz w:val="20"/>
        </w:rPr>
        <w:t>[:]</w:t>
      </w:r>
      <w:r w:rsidRPr="00412620">
        <w:rPr>
          <w:bCs/>
          <w:sz w:val="20"/>
        </w:rPr>
        <w:t>]</w:t>
      </w:r>
    </w:p>
    <w:p w:rsidR="009C48AA" w:rsidRPr="00412620" w:rsidRDefault="009C48AA">
      <w:pPr>
        <w:ind w:left="1080" w:hanging="810"/>
        <w:jc w:val="both"/>
        <w:rPr>
          <w:bCs/>
          <w:sz w:val="20"/>
        </w:rPr>
      </w:pPr>
    </w:p>
    <w:p w:rsidR="009C48AA" w:rsidRPr="00412620" w:rsidRDefault="009C48AA" w:rsidP="008A5045">
      <w:pPr>
        <w:ind w:left="1094"/>
        <w:jc w:val="both"/>
        <w:rPr>
          <w:bCs/>
          <w:sz w:val="20"/>
        </w:rPr>
      </w:pPr>
      <w:r w:rsidRPr="00412620">
        <w:rPr>
          <w:rStyle w:val="FootnoteReference"/>
          <w:bCs/>
          <w:sz w:val="20"/>
        </w:rPr>
        <w:lastRenderedPageBreak/>
        <w:footnoteReference w:id="52"/>
      </w:r>
      <w:r w:rsidRPr="00412620">
        <w:rPr>
          <w:bCs/>
          <w:sz w:val="20"/>
        </w:rPr>
        <w:t>[Provided that the total tax credit available for the contribution made to approved employment pension or annuity scheme and approved pension fund under Voluntary Pension System Rules, 2005, should not exceed the limit prescribed or specified in section 63.]</w:t>
      </w:r>
    </w:p>
    <w:p w:rsidR="003B602C" w:rsidRPr="00412620" w:rsidRDefault="003B602C" w:rsidP="009C48AA">
      <w:pPr>
        <w:jc w:val="both"/>
        <w:rPr>
          <w:bCs/>
          <w:sz w:val="20"/>
        </w:rPr>
      </w:pPr>
    </w:p>
    <w:p w:rsidR="003B602C" w:rsidRPr="00412620" w:rsidRDefault="003B602C" w:rsidP="008A5045">
      <w:pPr>
        <w:ind w:left="1094" w:hanging="929"/>
        <w:jc w:val="both"/>
        <w:rPr>
          <w:rFonts w:cs="Arial"/>
          <w:sz w:val="20"/>
        </w:rPr>
      </w:pPr>
      <w:r w:rsidRPr="00412620">
        <w:rPr>
          <w:rStyle w:val="FootnoteReference"/>
          <w:bCs/>
          <w:sz w:val="20"/>
        </w:rPr>
        <w:footnoteReference w:id="53"/>
      </w:r>
      <w:r w:rsidRPr="00412620">
        <w:rPr>
          <w:bCs/>
          <w:sz w:val="20"/>
        </w:rPr>
        <w:t>[</w:t>
      </w:r>
      <w:r w:rsidRPr="00412620">
        <w:rPr>
          <w:rFonts w:cs="Arial"/>
          <w:sz w:val="20"/>
        </w:rPr>
        <w:t xml:space="preserve">(19B) </w:t>
      </w:r>
      <w:r w:rsidR="00407080" w:rsidRPr="00412620">
        <w:rPr>
          <w:rFonts w:cs="Arial"/>
          <w:sz w:val="20"/>
        </w:rPr>
        <w:tab/>
      </w:r>
      <w:r w:rsidRPr="00412620">
        <w:rPr>
          <w:rFonts w:cs="Arial"/>
          <w:sz w:val="20"/>
        </w:rPr>
        <w:t xml:space="preserve">The </w:t>
      </w:r>
      <w:r w:rsidR="00501317" w:rsidRPr="00412620">
        <w:rPr>
          <w:rFonts w:cs="Arial"/>
          <w:sz w:val="20"/>
        </w:rPr>
        <w:t xml:space="preserve">expressions </w:t>
      </w:r>
      <w:r w:rsidRPr="00412620">
        <w:rPr>
          <w:rFonts w:cs="Arial"/>
          <w:sz w:val="20"/>
        </w:rPr>
        <w:t xml:space="preserve">“addressee”, “automated”, “electronic”, “electronic signature”, “information”, “information system”, “originator” and “transaction”,  shall have the same meanings as </w:t>
      </w:r>
      <w:r w:rsidR="00DF0E72" w:rsidRPr="00412620">
        <w:rPr>
          <w:rFonts w:cs="Arial"/>
          <w:sz w:val="20"/>
        </w:rPr>
        <w:t xml:space="preserve">are assigned to them </w:t>
      </w:r>
      <w:r w:rsidRPr="00412620">
        <w:rPr>
          <w:rFonts w:cs="Arial"/>
          <w:sz w:val="20"/>
        </w:rPr>
        <w:t>in the Electronic Transactions Ordinance, 2002 (LI of 2002);</w:t>
      </w:r>
      <w:r w:rsidR="00F73873" w:rsidRPr="00412620">
        <w:rPr>
          <w:rFonts w:cs="Arial"/>
          <w:sz w:val="20"/>
        </w:rPr>
        <w:t>]</w:t>
      </w:r>
    </w:p>
    <w:p w:rsidR="008A5045" w:rsidRPr="00412620" w:rsidRDefault="008A5045" w:rsidP="008A5045">
      <w:pPr>
        <w:ind w:left="1094" w:hanging="929"/>
        <w:jc w:val="both"/>
        <w:rPr>
          <w:rFonts w:cs="Arial"/>
          <w:sz w:val="20"/>
        </w:rPr>
      </w:pPr>
    </w:p>
    <w:p w:rsidR="003B602C" w:rsidRPr="00412620" w:rsidRDefault="003B602C" w:rsidP="008A5045">
      <w:pPr>
        <w:ind w:left="1094" w:hanging="929"/>
        <w:jc w:val="both"/>
        <w:rPr>
          <w:rFonts w:cs="Arial"/>
          <w:sz w:val="20"/>
        </w:rPr>
      </w:pPr>
      <w:r w:rsidRPr="00412620">
        <w:rPr>
          <w:rStyle w:val="FootnoteReference"/>
          <w:rFonts w:cs="Arial"/>
          <w:sz w:val="20"/>
        </w:rPr>
        <w:footnoteReference w:id="54"/>
      </w:r>
      <w:r w:rsidRPr="00412620">
        <w:rPr>
          <w:rFonts w:cs="Arial"/>
          <w:sz w:val="20"/>
        </w:rPr>
        <w:t>[(19C) “electronic record” includes the contents of communications, transactions and procedures under this Ordinance, including attachments, annexes, enclosures, accounts, returns, statements, certificates, applications, forms, receipts, acknowledgements, notices, orders, judgments, approvals, notifications, circulars, rulings, documents and any other information associated with such communications, transactions and procedures, created, sent, forwarded, replied to, transmitted, distributed, broadcast, stored, held, copied, downloaded, displayed, viewed, read, or printed, by one or several electronic resources and any other information in electronic form;]</w:t>
      </w:r>
    </w:p>
    <w:p w:rsidR="008A5045" w:rsidRPr="00412620" w:rsidRDefault="008A5045" w:rsidP="008A5045">
      <w:pPr>
        <w:ind w:left="1094" w:hanging="929"/>
        <w:jc w:val="both"/>
        <w:rPr>
          <w:rFonts w:cs="Arial"/>
          <w:sz w:val="20"/>
        </w:rPr>
      </w:pPr>
    </w:p>
    <w:p w:rsidR="003B602C" w:rsidRPr="00412620" w:rsidRDefault="003B602C" w:rsidP="008A5045">
      <w:pPr>
        <w:ind w:left="1094" w:hanging="929"/>
        <w:jc w:val="both"/>
        <w:rPr>
          <w:rFonts w:cs="Arial"/>
          <w:sz w:val="20"/>
        </w:rPr>
      </w:pPr>
      <w:r w:rsidRPr="00412620">
        <w:rPr>
          <w:rStyle w:val="FootnoteReference"/>
          <w:rFonts w:cs="Arial"/>
          <w:sz w:val="20"/>
        </w:rPr>
        <w:footnoteReference w:id="55"/>
      </w:r>
      <w:r w:rsidRPr="00412620">
        <w:rPr>
          <w:rFonts w:cs="Arial"/>
          <w:sz w:val="20"/>
        </w:rPr>
        <w:t>[(19D) “electronic resource” includes telecommunication systems, transmission devices, electronic video or audio equipment, encoding or decoding equipment, input, output or connecting devices, data processing or storage systems, computer systems, servers, networks and related computer programs, applications and software including databases, data warehouses and web portals as may be prescribed by the Board from time to time, for the purpose of creating electronic record;]</w:t>
      </w:r>
    </w:p>
    <w:p w:rsidR="008A5045" w:rsidRPr="00412620" w:rsidRDefault="008A5045" w:rsidP="008A5045">
      <w:pPr>
        <w:ind w:left="1094" w:hanging="929"/>
        <w:jc w:val="both"/>
        <w:rPr>
          <w:rFonts w:cs="Arial"/>
          <w:sz w:val="20"/>
        </w:rPr>
      </w:pPr>
    </w:p>
    <w:p w:rsidR="003B602C" w:rsidRPr="00412620" w:rsidRDefault="003B602C" w:rsidP="008A5045">
      <w:pPr>
        <w:ind w:left="1094" w:hanging="929"/>
        <w:jc w:val="both"/>
        <w:rPr>
          <w:rFonts w:cs="Arial"/>
          <w:sz w:val="20"/>
        </w:rPr>
      </w:pPr>
      <w:r w:rsidRPr="00412620">
        <w:rPr>
          <w:rStyle w:val="FootnoteReference"/>
          <w:rFonts w:cs="Arial"/>
          <w:sz w:val="20"/>
        </w:rPr>
        <w:footnoteReference w:id="56"/>
      </w:r>
      <w:r w:rsidRPr="00412620">
        <w:rPr>
          <w:rFonts w:cs="Arial"/>
          <w:sz w:val="20"/>
        </w:rPr>
        <w:t xml:space="preserve">[(19E) </w:t>
      </w:r>
      <w:r w:rsidR="002766AF" w:rsidRPr="00412620">
        <w:rPr>
          <w:rFonts w:cs="Arial"/>
          <w:sz w:val="20"/>
        </w:rPr>
        <w:tab/>
      </w:r>
      <w:r w:rsidRPr="00412620">
        <w:rPr>
          <w:rFonts w:cs="Arial"/>
          <w:sz w:val="20"/>
        </w:rPr>
        <w:t>“telecommunication system” includes a system for the conveyance, through the agency of electric, magnetic, electro-magnetic, electro-chemical or electro-mechanical energy, of speech, music and other sounds, visual images and signals serving for the impartation of any matter otherwise than in the form of sounds or visual images and also includes real time online sharing of any matter in manner and mode as may be prescribed by the Board from time to time.]</w:t>
      </w:r>
    </w:p>
    <w:p w:rsidR="006A3F93" w:rsidRPr="00412620" w:rsidRDefault="006A3F93">
      <w:pPr>
        <w:jc w:val="both"/>
        <w:rPr>
          <w:rFonts w:cs="Arial"/>
          <w:b/>
          <w:sz w:val="20"/>
        </w:rPr>
      </w:pPr>
    </w:p>
    <w:p w:rsidR="006A3F93" w:rsidRPr="00412620" w:rsidRDefault="006A3F93">
      <w:pPr>
        <w:ind w:left="1080" w:hanging="540"/>
        <w:jc w:val="both"/>
        <w:rPr>
          <w:rFonts w:cs="Arial"/>
          <w:sz w:val="20"/>
        </w:rPr>
      </w:pPr>
      <w:r w:rsidRPr="00412620">
        <w:rPr>
          <w:rFonts w:cs="Arial"/>
          <w:sz w:val="20"/>
        </w:rPr>
        <w:t>(20)</w:t>
      </w:r>
      <w:r w:rsidRPr="00412620">
        <w:rPr>
          <w:rFonts w:cs="Arial"/>
          <w:sz w:val="20"/>
        </w:rPr>
        <w:tab/>
        <w:t>“employee” means any individual engaged in employment;</w:t>
      </w:r>
    </w:p>
    <w:p w:rsidR="006A3F93" w:rsidRPr="00412620" w:rsidRDefault="006A3F93">
      <w:pPr>
        <w:jc w:val="both"/>
        <w:rPr>
          <w:rFonts w:cs="Arial"/>
          <w:sz w:val="20"/>
        </w:rPr>
      </w:pPr>
    </w:p>
    <w:p w:rsidR="006A3F93" w:rsidRPr="00412620" w:rsidRDefault="006A3F93">
      <w:pPr>
        <w:ind w:left="1080" w:hanging="540"/>
        <w:rPr>
          <w:rFonts w:cs="Arial"/>
          <w:sz w:val="20"/>
        </w:rPr>
      </w:pPr>
      <w:r w:rsidRPr="00412620">
        <w:rPr>
          <w:rFonts w:cs="Arial"/>
          <w:sz w:val="20"/>
        </w:rPr>
        <w:t>(21)</w:t>
      </w:r>
      <w:r w:rsidRPr="00412620">
        <w:rPr>
          <w:rFonts w:cs="Arial"/>
          <w:sz w:val="20"/>
        </w:rPr>
        <w:tab/>
        <w:t>“employer” means any person who engages and remunerates an employee;</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(22)</w:t>
      </w:r>
      <w:r w:rsidRPr="00412620">
        <w:rPr>
          <w:rFonts w:cs="Arial"/>
          <w:sz w:val="20"/>
        </w:rPr>
        <w:tab/>
        <w:t>“employment</w:t>
      </w:r>
      <w:r w:rsidR="00D809B5" w:rsidRPr="00412620">
        <w:rPr>
          <w:rFonts w:cs="Arial"/>
          <w:sz w:val="20"/>
        </w:rPr>
        <w:t>”</w:t>
      </w:r>
      <w:r w:rsidRPr="00412620">
        <w:rPr>
          <w:rFonts w:cs="Arial"/>
          <w:sz w:val="20"/>
        </w:rPr>
        <w:t xml:space="preserve"> includes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 directorship or any other office involved in the management of a company;</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 position entitling the holder to a fixed or ascertainable remuneration; or</w:t>
      </w:r>
    </w:p>
    <w:p w:rsidR="006A3F93" w:rsidRPr="00412620" w:rsidRDefault="006A3F93">
      <w:pPr>
        <w:pStyle w:val="BodyTextIndent"/>
        <w:jc w:val="both"/>
        <w:rPr>
          <w:rFonts w:cs="Arial"/>
          <w:sz w:val="20"/>
        </w:rPr>
      </w:pPr>
    </w:p>
    <w:p w:rsidR="006A3F93" w:rsidRDefault="006A3F93">
      <w:pPr>
        <w:pStyle w:val="BodyTextIndent"/>
        <w:ind w:left="1620" w:hanging="540"/>
        <w:jc w:val="both"/>
        <w:rPr>
          <w:rFonts w:cs="Arial"/>
          <w:sz w:val="20"/>
        </w:rPr>
      </w:pPr>
      <w:r w:rsidRPr="00412620">
        <w:rPr>
          <w:rFonts w:cs="Arial"/>
          <w:sz w:val="20"/>
        </w:rPr>
        <w:t>(c)</w:t>
      </w:r>
      <w:r w:rsidRPr="00412620">
        <w:rPr>
          <w:rFonts w:cs="Arial"/>
          <w:sz w:val="20"/>
        </w:rPr>
        <w:tab/>
        <w:t>the holding or acting in any public office;</w:t>
      </w:r>
    </w:p>
    <w:p w:rsidR="007863F7" w:rsidRDefault="007863F7">
      <w:pPr>
        <w:pStyle w:val="BodyTextIndent"/>
        <w:ind w:left="1620" w:hanging="540"/>
        <w:jc w:val="both"/>
        <w:rPr>
          <w:rFonts w:cs="Arial"/>
          <w:sz w:val="20"/>
        </w:rPr>
      </w:pPr>
    </w:p>
    <w:p w:rsidR="007863F7" w:rsidRPr="00F90D95" w:rsidRDefault="007863F7" w:rsidP="007863F7">
      <w:pPr>
        <w:autoSpaceDE w:val="0"/>
        <w:autoSpaceDN w:val="0"/>
        <w:adjustRightInd w:val="0"/>
        <w:ind w:left="1260" w:hanging="720"/>
        <w:jc w:val="both"/>
        <w:rPr>
          <w:rFonts w:cs="Arial"/>
          <w:color w:val="000000" w:themeColor="text1"/>
          <w:sz w:val="20"/>
        </w:rPr>
      </w:pPr>
      <w:r w:rsidRPr="00F90D95">
        <w:rPr>
          <w:rStyle w:val="FootnoteReference"/>
          <w:rFonts w:cs="Arial"/>
          <w:color w:val="000000" w:themeColor="text1"/>
          <w:sz w:val="20"/>
        </w:rPr>
        <w:footnoteReference w:id="57"/>
      </w:r>
      <w:r w:rsidRPr="00F90D95">
        <w:rPr>
          <w:rFonts w:cs="Arial"/>
          <w:color w:val="000000" w:themeColor="text1"/>
          <w:sz w:val="20"/>
        </w:rPr>
        <w:t>[</w:t>
      </w:r>
      <w:r w:rsidRPr="00F90D95">
        <w:rPr>
          <w:rFonts w:cs="Arial"/>
          <w:color w:val="000000" w:themeColor="text1"/>
          <w:sz w:val="20"/>
          <w:lang w:val="en-US"/>
        </w:rPr>
        <w:t xml:space="preserve">(22A) </w:t>
      </w:r>
      <w:r w:rsidR="00D25EB0" w:rsidRPr="00F90D95">
        <w:rPr>
          <w:rFonts w:cs="Arial"/>
          <w:color w:val="000000" w:themeColor="text1"/>
          <w:sz w:val="20"/>
          <w:lang w:val="en-US"/>
        </w:rPr>
        <w:t>“</w:t>
      </w:r>
      <w:r w:rsidRPr="00F90D95">
        <w:rPr>
          <w:rFonts w:cs="Arial"/>
          <w:color w:val="000000" w:themeColor="text1"/>
          <w:sz w:val="20"/>
          <w:lang w:val="en-US"/>
        </w:rPr>
        <w:t>fast moving consumer goods</w:t>
      </w:r>
      <w:r w:rsidR="00D25EB0" w:rsidRPr="00F90D95">
        <w:rPr>
          <w:rFonts w:cs="Arial"/>
          <w:color w:val="000000" w:themeColor="text1"/>
          <w:sz w:val="20"/>
          <w:lang w:val="en-US"/>
        </w:rPr>
        <w:t>”</w:t>
      </w:r>
      <w:r w:rsidRPr="00F90D95">
        <w:rPr>
          <w:rFonts w:cs="Arial"/>
          <w:color w:val="000000" w:themeColor="text1"/>
          <w:sz w:val="20"/>
          <w:lang w:val="en-US"/>
        </w:rPr>
        <w:t xml:space="preserve"> means consumer goods which are    supplied in retail marketing as per daily de</w:t>
      </w:r>
      <w:r w:rsidR="008A12ED" w:rsidRPr="00F90D95">
        <w:rPr>
          <w:rFonts w:cs="Arial"/>
          <w:color w:val="000000" w:themeColor="text1"/>
          <w:sz w:val="20"/>
          <w:lang w:val="en-US"/>
        </w:rPr>
        <w:t>mand of a consumer;”</w:t>
      </w:r>
      <w:r w:rsidR="007954D2" w:rsidRPr="00F90D95">
        <w:rPr>
          <w:rFonts w:cs="Arial"/>
          <w:color w:val="000000" w:themeColor="text1"/>
          <w:sz w:val="20"/>
          <w:lang w:val="en-US"/>
        </w:rPr>
        <w:t>]</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(23)</w:t>
      </w:r>
      <w:r w:rsidRPr="00412620">
        <w:rPr>
          <w:rFonts w:cs="Arial"/>
          <w:sz w:val="20"/>
        </w:rPr>
        <w:tab/>
        <w:t xml:space="preserve">“fee for technical services” means any consideration, whether periodical or lump sum, for the rendering of any managerial, technical or consultancy services including the services of technical or other personnel, but does not include </w:t>
      </w:r>
      <w:r w:rsidR="0043259B" w:rsidRPr="00412620">
        <w:rPr>
          <w:rFonts w:cs="Arial"/>
          <w:sz w:val="20"/>
        </w:rPr>
        <w:t>—</w:t>
      </w:r>
    </w:p>
    <w:p w:rsidR="006A3F93" w:rsidRPr="00E77E61" w:rsidRDefault="006A3F93">
      <w:pPr>
        <w:jc w:val="both"/>
        <w:rPr>
          <w:rFonts w:cs="Arial"/>
          <w:sz w:val="8"/>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consideration for services rendered in relation to a construction, assembly or like project undertaken by the recipient; or</w:t>
      </w:r>
    </w:p>
    <w:p w:rsidR="006A3F93" w:rsidRPr="00E77E61" w:rsidRDefault="006A3F93">
      <w:pPr>
        <w:jc w:val="both"/>
        <w:rPr>
          <w:rFonts w:cs="Arial"/>
          <w:sz w:val="10"/>
        </w:rPr>
      </w:pPr>
    </w:p>
    <w:p w:rsidR="006A3F93" w:rsidRDefault="006A3F93">
      <w:pPr>
        <w:pStyle w:val="BodyTextIndent"/>
        <w:ind w:left="1620" w:hanging="540"/>
        <w:jc w:val="both"/>
        <w:rPr>
          <w:rFonts w:cs="Arial"/>
          <w:sz w:val="20"/>
        </w:rPr>
      </w:pPr>
      <w:r w:rsidRPr="00412620">
        <w:rPr>
          <w:rFonts w:cs="Arial"/>
          <w:sz w:val="20"/>
        </w:rPr>
        <w:t>(b)</w:t>
      </w:r>
      <w:r w:rsidRPr="00412620">
        <w:rPr>
          <w:rFonts w:cs="Arial"/>
          <w:sz w:val="20"/>
        </w:rPr>
        <w:tab/>
        <w:t>consideration which would be income of the recipient chargeable under the head “Salary”;</w:t>
      </w:r>
    </w:p>
    <w:p w:rsidR="00E77E61" w:rsidRDefault="00E77E61">
      <w:pPr>
        <w:pStyle w:val="BodyTextIndent"/>
        <w:ind w:left="1620" w:hanging="540"/>
        <w:jc w:val="both"/>
        <w:rPr>
          <w:rFonts w:cs="Arial"/>
          <w:sz w:val="20"/>
        </w:rPr>
      </w:pPr>
    </w:p>
    <w:p w:rsidR="00977D2C" w:rsidRPr="00245086" w:rsidRDefault="006E007E" w:rsidP="00977D2C">
      <w:pPr>
        <w:pStyle w:val="BodyTextIndent"/>
        <w:jc w:val="both"/>
        <w:rPr>
          <w:rFonts w:cs="Arial"/>
          <w:color w:val="000000" w:themeColor="text1"/>
          <w:sz w:val="20"/>
        </w:rPr>
      </w:pPr>
      <w:r w:rsidRPr="00245086">
        <w:rPr>
          <w:rStyle w:val="FootnoteReference"/>
          <w:rFonts w:cs="Arial"/>
          <w:color w:val="000000" w:themeColor="text1"/>
          <w:sz w:val="20"/>
        </w:rPr>
        <w:footnoteReference w:id="58"/>
      </w:r>
      <w:r w:rsidRPr="00245086">
        <w:rPr>
          <w:rFonts w:cs="Arial"/>
          <w:color w:val="000000" w:themeColor="text1"/>
          <w:sz w:val="20"/>
        </w:rPr>
        <w:t>[</w:t>
      </w:r>
      <w:r w:rsidR="00977D2C" w:rsidRPr="00245086">
        <w:rPr>
          <w:rFonts w:cs="Arial"/>
          <w:color w:val="000000" w:themeColor="text1"/>
          <w:sz w:val="20"/>
        </w:rPr>
        <w:t>(23A)</w:t>
      </w:r>
      <w:r w:rsidR="00977D2C" w:rsidRPr="00245086">
        <w:rPr>
          <w:rFonts w:cs="Arial"/>
          <w:color w:val="000000" w:themeColor="text1"/>
          <w:sz w:val="20"/>
        </w:rPr>
        <w:tab/>
        <w:t>“filer” means a taxpayer whose name appears in the active taxpayers’ list issued by the Board from time to time or is holder of a taxpayer’s card;</w:t>
      </w:r>
      <w:r w:rsidRPr="00245086">
        <w:rPr>
          <w:rFonts w:cs="Arial"/>
          <w:color w:val="000000" w:themeColor="text1"/>
          <w:sz w:val="20"/>
        </w:rPr>
        <w:t>]</w:t>
      </w:r>
    </w:p>
    <w:p w:rsidR="006A3F93" w:rsidRPr="00412620" w:rsidRDefault="006A3F93">
      <w:pPr>
        <w:jc w:val="both"/>
        <w:rPr>
          <w:rFonts w:cs="Arial"/>
          <w:sz w:val="20"/>
        </w:rPr>
      </w:pPr>
    </w:p>
    <w:p w:rsidR="006A3F93" w:rsidRPr="00412620" w:rsidRDefault="006A3F93" w:rsidP="00D41BB6">
      <w:pPr>
        <w:ind w:left="1080" w:hanging="540"/>
        <w:jc w:val="both"/>
        <w:rPr>
          <w:rFonts w:cs="Arial"/>
          <w:sz w:val="20"/>
        </w:rPr>
      </w:pPr>
      <w:r w:rsidRPr="00412620">
        <w:rPr>
          <w:rFonts w:cs="Arial"/>
          <w:sz w:val="20"/>
        </w:rPr>
        <w:t>(24)</w:t>
      </w:r>
      <w:r w:rsidRPr="00412620">
        <w:rPr>
          <w:rFonts w:cs="Arial"/>
          <w:sz w:val="20"/>
        </w:rPr>
        <w:tab/>
        <w:t xml:space="preserve">“financial institution” means an institution </w:t>
      </w:r>
      <w:r w:rsidRPr="00412620">
        <w:rPr>
          <w:rStyle w:val="FootnoteReference"/>
          <w:rFonts w:cs="Arial"/>
          <w:sz w:val="20"/>
        </w:rPr>
        <w:footnoteReference w:id="59"/>
      </w:r>
      <w:r w:rsidRPr="00412620">
        <w:rPr>
          <w:rFonts w:cs="Arial"/>
          <w:sz w:val="20"/>
        </w:rPr>
        <w:t xml:space="preserve">[as defined] under the Companies Ordinance, </w:t>
      </w:r>
      <w:r w:rsidRPr="00412620">
        <w:rPr>
          <w:rFonts w:cs="Arial"/>
          <w:sz w:val="20"/>
          <w:vertAlign w:val="superscript"/>
        </w:rPr>
        <w:footnoteReference w:id="60"/>
      </w:r>
      <w:r w:rsidRPr="00412620">
        <w:rPr>
          <w:rFonts w:cs="Arial"/>
          <w:sz w:val="20"/>
        </w:rPr>
        <w:t xml:space="preserve">[1984 (XLVII of 1984)] </w:t>
      </w:r>
      <w:r w:rsidRPr="00412620">
        <w:rPr>
          <w:rStyle w:val="FootnoteReference"/>
          <w:rFonts w:cs="Arial"/>
          <w:sz w:val="20"/>
        </w:rPr>
        <w:footnoteReference w:id="61"/>
      </w:r>
      <w:r w:rsidRPr="00412620">
        <w:rPr>
          <w:rFonts w:cs="Arial"/>
          <w:sz w:val="20"/>
        </w:rPr>
        <w:t>[  ];</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(25)</w:t>
      </w:r>
      <w:r w:rsidRPr="00412620">
        <w:rPr>
          <w:rFonts w:cs="Arial"/>
          <w:sz w:val="20"/>
        </w:rPr>
        <w:tab/>
        <w:t>“finance society” includes a co-operative society which accepts money on deposit or otherwise for the purposes of advancing loans or making investments in the ordinary course of business;</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(26)</w:t>
      </w:r>
      <w:r w:rsidRPr="00412620">
        <w:rPr>
          <w:rFonts w:cs="Arial"/>
          <w:sz w:val="20"/>
        </w:rPr>
        <w:tab/>
        <w:t>“firm” means a firm as defined in section 80;</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(27)</w:t>
      </w:r>
      <w:r w:rsidRPr="00412620">
        <w:rPr>
          <w:rFonts w:cs="Arial"/>
          <w:sz w:val="20"/>
        </w:rPr>
        <w:tab/>
        <w:t>“foreign-source income” means foreign-source income as defined in sub-section (16) of section 101.</w:t>
      </w:r>
    </w:p>
    <w:p w:rsidR="006A3F93" w:rsidRPr="00412620" w:rsidRDefault="006A3F93">
      <w:pPr>
        <w:jc w:val="both"/>
        <w:rPr>
          <w:rFonts w:cs="Arial"/>
          <w:sz w:val="20"/>
        </w:rPr>
      </w:pPr>
    </w:p>
    <w:p w:rsidR="006A3F93" w:rsidRDefault="006A3F93">
      <w:pPr>
        <w:ind w:left="1080" w:hanging="540"/>
        <w:jc w:val="both"/>
        <w:rPr>
          <w:rFonts w:cs="Arial"/>
          <w:sz w:val="20"/>
        </w:rPr>
      </w:pPr>
      <w:r w:rsidRPr="00412620">
        <w:rPr>
          <w:rFonts w:cs="Arial"/>
          <w:sz w:val="20"/>
        </w:rPr>
        <w:t>(28)</w:t>
      </w:r>
      <w:r w:rsidRPr="00412620">
        <w:rPr>
          <w:rFonts w:cs="Arial"/>
          <w:sz w:val="20"/>
        </w:rPr>
        <w:tab/>
        <w:t>“House Building Finance Corporation” means the Corporation constituted under the House Building Finance Corporation Act, 1952 (XVIII of 1952);</w:t>
      </w:r>
    </w:p>
    <w:p w:rsidR="00206A9A" w:rsidRDefault="00206A9A">
      <w:pPr>
        <w:ind w:left="1080" w:hanging="540"/>
        <w:jc w:val="both"/>
        <w:rPr>
          <w:rFonts w:cs="Arial"/>
          <w:sz w:val="20"/>
        </w:rPr>
      </w:pPr>
    </w:p>
    <w:p w:rsidR="00206A9A" w:rsidRPr="00F90D95" w:rsidRDefault="00206A9A" w:rsidP="00206A9A">
      <w:pPr>
        <w:autoSpaceDE w:val="0"/>
        <w:autoSpaceDN w:val="0"/>
        <w:adjustRightInd w:val="0"/>
        <w:ind w:left="990" w:hanging="630"/>
        <w:jc w:val="both"/>
        <w:rPr>
          <w:rFonts w:cs="Arial"/>
          <w:color w:val="000000" w:themeColor="text1"/>
          <w:sz w:val="20"/>
        </w:rPr>
      </w:pPr>
      <w:r w:rsidRPr="00F90D95">
        <w:rPr>
          <w:rStyle w:val="FootnoteReference"/>
          <w:rFonts w:cs="Arial"/>
          <w:color w:val="000000" w:themeColor="text1"/>
          <w:sz w:val="20"/>
        </w:rPr>
        <w:footnoteReference w:id="62"/>
      </w:r>
      <w:r w:rsidRPr="00F90D95">
        <w:rPr>
          <w:rFonts w:cs="Arial"/>
          <w:color w:val="000000" w:themeColor="text1"/>
          <w:sz w:val="20"/>
        </w:rPr>
        <w:t>[</w:t>
      </w:r>
      <w:r w:rsidRPr="00F90D95">
        <w:rPr>
          <w:rFonts w:cs="Arial"/>
          <w:color w:val="000000" w:themeColor="text1"/>
          <w:sz w:val="20"/>
          <w:lang w:val="en-US"/>
        </w:rPr>
        <w:t xml:space="preserve">(28A) </w:t>
      </w:r>
      <w:r w:rsidR="00900ACD" w:rsidRPr="00F90D95">
        <w:rPr>
          <w:rFonts w:cs="Arial"/>
          <w:color w:val="000000" w:themeColor="text1"/>
          <w:sz w:val="20"/>
          <w:lang w:val="en-US"/>
        </w:rPr>
        <w:t>“</w:t>
      </w:r>
      <w:r w:rsidRPr="00F90D95">
        <w:rPr>
          <w:rFonts w:cs="Arial"/>
          <w:color w:val="000000" w:themeColor="text1"/>
          <w:sz w:val="20"/>
          <w:lang w:val="en-US"/>
        </w:rPr>
        <w:t>imputable income</w:t>
      </w:r>
      <w:r w:rsidR="00900ACD" w:rsidRPr="00F90D95">
        <w:rPr>
          <w:rFonts w:cs="Arial"/>
          <w:color w:val="000000" w:themeColor="text1"/>
          <w:sz w:val="20"/>
          <w:lang w:val="en-US"/>
        </w:rPr>
        <w:t>”</w:t>
      </w:r>
      <w:r w:rsidRPr="00F90D95">
        <w:rPr>
          <w:rFonts w:cs="Arial"/>
          <w:color w:val="000000" w:themeColor="text1"/>
          <w:sz w:val="20"/>
          <w:lang w:val="en-US"/>
        </w:rPr>
        <w:t xml:space="preserve"> in relation to an amount subject to final tax means the income which would have resulted in the same tax, had this amount </w:t>
      </w:r>
      <w:r w:rsidR="008A12ED" w:rsidRPr="00F90D95">
        <w:rPr>
          <w:rFonts w:cs="Arial"/>
          <w:color w:val="000000" w:themeColor="text1"/>
          <w:sz w:val="20"/>
          <w:lang w:val="en-US"/>
        </w:rPr>
        <w:t>not been subject to final tax;”</w:t>
      </w:r>
      <w:r w:rsidRPr="00F90D95">
        <w:rPr>
          <w:rFonts w:cs="Arial"/>
          <w:color w:val="000000" w:themeColor="text1"/>
          <w:sz w:val="20"/>
          <w:lang w:val="en-US"/>
        </w:rPr>
        <w:t>]</w:t>
      </w:r>
    </w:p>
    <w:p w:rsidR="006A3F93" w:rsidRPr="00412620" w:rsidRDefault="006A3F93">
      <w:pPr>
        <w:jc w:val="both"/>
        <w:rPr>
          <w:rFonts w:cs="Arial"/>
          <w:sz w:val="20"/>
        </w:rPr>
      </w:pPr>
    </w:p>
    <w:p w:rsidR="006A3F93" w:rsidRPr="00245086" w:rsidRDefault="006A3F93">
      <w:pPr>
        <w:ind w:left="1080" w:hanging="720"/>
        <w:jc w:val="both"/>
        <w:rPr>
          <w:color w:val="000000" w:themeColor="text1"/>
          <w:sz w:val="20"/>
        </w:rPr>
      </w:pPr>
      <w:r w:rsidRPr="00412620">
        <w:rPr>
          <w:rFonts w:cs="Arial"/>
          <w:sz w:val="20"/>
          <w:vertAlign w:val="superscript"/>
        </w:rPr>
        <w:footnoteReference w:id="63"/>
      </w:r>
      <w:r w:rsidRPr="00412620">
        <w:rPr>
          <w:sz w:val="20"/>
        </w:rPr>
        <w:t>[(29)</w:t>
      </w:r>
      <w:r w:rsidRPr="00412620">
        <w:rPr>
          <w:sz w:val="20"/>
        </w:rPr>
        <w:tab/>
      </w:r>
      <w:r w:rsidRPr="00245086">
        <w:rPr>
          <w:color w:val="000000" w:themeColor="text1"/>
          <w:sz w:val="20"/>
        </w:rPr>
        <w:t xml:space="preserve">“income” includes any amount chargeable to tax under this Ordinance, any amount subject to collection </w:t>
      </w:r>
      <w:r w:rsidRPr="00245086">
        <w:rPr>
          <w:rStyle w:val="FootnoteReference"/>
          <w:color w:val="000000" w:themeColor="text1"/>
          <w:sz w:val="20"/>
        </w:rPr>
        <w:footnoteReference w:id="64"/>
      </w:r>
      <w:r w:rsidRPr="00245086">
        <w:rPr>
          <w:color w:val="000000" w:themeColor="text1"/>
          <w:sz w:val="20"/>
        </w:rPr>
        <w:t xml:space="preserve">[or deduction] of tax under section 148, </w:t>
      </w:r>
      <w:r w:rsidRPr="00245086">
        <w:rPr>
          <w:rStyle w:val="FootnoteReference"/>
          <w:color w:val="000000" w:themeColor="text1"/>
          <w:sz w:val="20"/>
        </w:rPr>
        <w:footnoteReference w:id="65"/>
      </w:r>
      <w:r w:rsidRPr="00245086">
        <w:rPr>
          <w:color w:val="000000" w:themeColor="text1"/>
          <w:sz w:val="20"/>
        </w:rPr>
        <w:t>[150, 152(1), 153, 154, 156, 156A, 233, 233A</w:t>
      </w:r>
      <w:r w:rsidR="00272C4C" w:rsidRPr="00245086">
        <w:rPr>
          <w:color w:val="000000" w:themeColor="text1"/>
          <w:sz w:val="20"/>
        </w:rPr>
        <w:t>,</w:t>
      </w:r>
      <w:r w:rsidRPr="00245086">
        <w:rPr>
          <w:color w:val="000000" w:themeColor="text1"/>
          <w:sz w:val="20"/>
        </w:rPr>
        <w:t>]</w:t>
      </w:r>
      <w:r w:rsidR="00732443" w:rsidRPr="00245086">
        <w:rPr>
          <w:rStyle w:val="FootnoteReference"/>
          <w:color w:val="000000" w:themeColor="text1"/>
          <w:sz w:val="20"/>
        </w:rPr>
        <w:footnoteReference w:id="66"/>
      </w:r>
      <w:r w:rsidR="00732443" w:rsidRPr="00245086">
        <w:rPr>
          <w:color w:val="000000" w:themeColor="text1"/>
          <w:sz w:val="20"/>
        </w:rPr>
        <w:t>[,]</w:t>
      </w:r>
      <w:r w:rsidRPr="00245086">
        <w:rPr>
          <w:color w:val="000000" w:themeColor="text1"/>
          <w:sz w:val="20"/>
        </w:rPr>
        <w:t xml:space="preserve"> sub-section (5) of section 234</w:t>
      </w:r>
      <w:r w:rsidR="00472284" w:rsidRPr="00245086">
        <w:rPr>
          <w:rStyle w:val="FootnoteReference"/>
          <w:color w:val="000000" w:themeColor="text1"/>
          <w:sz w:val="20"/>
        </w:rPr>
        <w:footnoteReference w:id="67"/>
      </w:r>
      <w:r w:rsidR="00472284" w:rsidRPr="00245086">
        <w:rPr>
          <w:color w:val="000000" w:themeColor="text1"/>
          <w:sz w:val="20"/>
        </w:rPr>
        <w:t>[,236M and 236N]</w:t>
      </w:r>
      <w:r w:rsidR="00732443" w:rsidRPr="00245086">
        <w:rPr>
          <w:color w:val="000000" w:themeColor="text1"/>
          <w:sz w:val="20"/>
        </w:rPr>
        <w:t>,</w:t>
      </w:r>
      <w:r w:rsidRPr="00245086">
        <w:rPr>
          <w:rStyle w:val="FootnoteReference"/>
          <w:color w:val="000000" w:themeColor="text1"/>
          <w:sz w:val="20"/>
        </w:rPr>
        <w:footnoteReference w:id="68"/>
      </w:r>
      <w:r w:rsidRPr="00245086">
        <w:rPr>
          <w:color w:val="000000" w:themeColor="text1"/>
          <w:sz w:val="20"/>
        </w:rPr>
        <w:t>[any amount treated as income under any provision of this Ordinance] and any loss of income</w:t>
      </w:r>
      <w:r w:rsidR="000D6340" w:rsidRPr="00245086">
        <w:rPr>
          <w:rStyle w:val="FootnoteReference"/>
          <w:color w:val="000000" w:themeColor="text1"/>
          <w:sz w:val="20"/>
        </w:rPr>
        <w:footnoteReference w:id="69"/>
      </w:r>
      <w:r w:rsidR="000D6340" w:rsidRPr="00245086">
        <w:rPr>
          <w:color w:val="000000" w:themeColor="text1"/>
          <w:sz w:val="20"/>
        </w:rPr>
        <w:t>[ ]</w:t>
      </w:r>
      <w:r w:rsidR="00732443" w:rsidRPr="00245086">
        <w:rPr>
          <w:color w:val="000000" w:themeColor="text1"/>
          <w:sz w:val="20"/>
        </w:rPr>
        <w:t>;</w:t>
      </w:r>
    </w:p>
    <w:p w:rsidR="006A3F93" w:rsidRPr="00412620" w:rsidRDefault="006A3F93">
      <w:pPr>
        <w:jc w:val="both"/>
        <w:rPr>
          <w:rFonts w:cs="Arial"/>
          <w:sz w:val="20"/>
        </w:rPr>
      </w:pPr>
    </w:p>
    <w:p w:rsidR="006A3F93" w:rsidRPr="00412620" w:rsidRDefault="006A3F93">
      <w:pPr>
        <w:ind w:left="1080" w:hanging="810"/>
        <w:jc w:val="both"/>
        <w:rPr>
          <w:sz w:val="20"/>
        </w:rPr>
      </w:pPr>
      <w:r w:rsidRPr="00412620">
        <w:rPr>
          <w:rStyle w:val="FootnoteReference"/>
          <w:rFonts w:cs="Arial"/>
          <w:sz w:val="20"/>
        </w:rPr>
        <w:footnoteReference w:id="70"/>
      </w:r>
      <w:r w:rsidRPr="00412620">
        <w:rPr>
          <w:sz w:val="20"/>
        </w:rPr>
        <w:t>[(29A)</w:t>
      </w:r>
      <w:r w:rsidRPr="00412620">
        <w:rPr>
          <w:sz w:val="20"/>
        </w:rPr>
        <w:tab/>
        <w:t>“income year” means income year as defined in the repealed Ordinance;]</w:t>
      </w:r>
    </w:p>
    <w:p w:rsidR="006A3F93" w:rsidRPr="00412620" w:rsidRDefault="006A3F93">
      <w:pPr>
        <w:jc w:val="both"/>
        <w:rPr>
          <w:rFonts w:cs="Arial"/>
          <w:sz w:val="20"/>
        </w:rPr>
      </w:pPr>
    </w:p>
    <w:p w:rsidR="006A3F93" w:rsidRPr="00412620" w:rsidRDefault="006A3F93" w:rsidP="00D41BB6">
      <w:pPr>
        <w:ind w:left="1080" w:hanging="810"/>
        <w:jc w:val="both"/>
        <w:rPr>
          <w:sz w:val="20"/>
        </w:rPr>
      </w:pPr>
      <w:r w:rsidRPr="00412620">
        <w:rPr>
          <w:rStyle w:val="FootnoteReference"/>
          <w:rFonts w:cs="Arial"/>
          <w:sz w:val="20"/>
        </w:rPr>
        <w:footnoteReference w:id="71"/>
      </w:r>
      <w:r w:rsidRPr="00412620">
        <w:rPr>
          <w:sz w:val="20"/>
        </w:rPr>
        <w:t xml:space="preserve">[(29B) </w:t>
      </w:r>
      <w:r w:rsidRPr="00412620">
        <w:rPr>
          <w:sz w:val="20"/>
        </w:rPr>
        <w:tab/>
        <w:t>“Individual Pension Account” means an account maintained by an eligible person with a Pension Fund Manager approved under the Voluntary Pension System Rules, 2005;]</w:t>
      </w:r>
    </w:p>
    <w:p w:rsidR="006A3F93" w:rsidRPr="00412620" w:rsidRDefault="006A3F93">
      <w:pPr>
        <w:jc w:val="both"/>
        <w:rPr>
          <w:rFonts w:cs="Arial"/>
          <w:sz w:val="20"/>
        </w:rPr>
      </w:pPr>
    </w:p>
    <w:p w:rsidR="00573F7E" w:rsidRPr="00412620" w:rsidRDefault="00573F7E" w:rsidP="00573F7E">
      <w:pPr>
        <w:ind w:left="270" w:hanging="270"/>
        <w:jc w:val="both"/>
        <w:rPr>
          <w:sz w:val="20"/>
        </w:rPr>
      </w:pPr>
      <w:r w:rsidRPr="00412620">
        <w:rPr>
          <w:sz w:val="20"/>
        </w:rPr>
        <w:tab/>
      </w:r>
      <w:r w:rsidR="00E827F9" w:rsidRPr="00412620">
        <w:rPr>
          <w:rStyle w:val="FootnoteReference"/>
          <w:sz w:val="20"/>
        </w:rPr>
        <w:footnoteReference w:id="72"/>
      </w:r>
      <w:r w:rsidRPr="00412620">
        <w:rPr>
          <w:sz w:val="20"/>
        </w:rPr>
        <w:t>[(29C)</w:t>
      </w:r>
      <w:r w:rsidRPr="00412620">
        <w:rPr>
          <w:rStyle w:val="FootnoteReference"/>
          <w:sz w:val="20"/>
        </w:rPr>
        <w:tab/>
      </w:r>
      <w:r w:rsidRPr="00412620">
        <w:rPr>
          <w:sz w:val="20"/>
        </w:rPr>
        <w:t xml:space="preserve">“Industrial undertaking” means </w:t>
      </w:r>
      <w:r w:rsidR="00F674B7" w:rsidRPr="00412620">
        <w:rPr>
          <w:rFonts w:cs="Arial"/>
          <w:sz w:val="20"/>
        </w:rPr>
        <w:t>—</w:t>
      </w:r>
    </w:p>
    <w:p w:rsidR="00573F7E" w:rsidRPr="00412620" w:rsidRDefault="00573F7E" w:rsidP="00573F7E">
      <w:pPr>
        <w:ind w:left="270" w:hanging="270"/>
        <w:jc w:val="both"/>
        <w:rPr>
          <w:sz w:val="20"/>
        </w:rPr>
      </w:pPr>
    </w:p>
    <w:p w:rsidR="00573F7E" w:rsidRPr="00412620" w:rsidRDefault="00573F7E" w:rsidP="00573F7E">
      <w:pPr>
        <w:ind w:left="1641" w:hanging="546"/>
        <w:jc w:val="both"/>
        <w:rPr>
          <w:sz w:val="20"/>
        </w:rPr>
      </w:pPr>
      <w:r w:rsidRPr="00412620">
        <w:rPr>
          <w:sz w:val="20"/>
        </w:rPr>
        <w:t>(a)</w:t>
      </w:r>
      <w:r w:rsidRPr="00412620">
        <w:rPr>
          <w:sz w:val="20"/>
        </w:rPr>
        <w:tab/>
        <w:t>an undertaking which is set up in Pakistan and which employs,</w:t>
      </w:r>
      <w:r w:rsidR="00A95443" w:rsidRPr="00412620">
        <w:rPr>
          <w:rFonts w:cs="Arial"/>
          <w:sz w:val="20"/>
        </w:rPr>
        <w:t>—</w:t>
      </w:r>
    </w:p>
    <w:p w:rsidR="00573F7E" w:rsidRPr="00412620" w:rsidRDefault="00573F7E" w:rsidP="00573F7E">
      <w:pPr>
        <w:ind w:left="1641" w:hanging="546"/>
        <w:jc w:val="both"/>
        <w:rPr>
          <w:sz w:val="20"/>
        </w:rPr>
      </w:pPr>
    </w:p>
    <w:p w:rsidR="00573F7E" w:rsidRPr="00412620" w:rsidRDefault="00573F7E" w:rsidP="004B20DC">
      <w:pPr>
        <w:numPr>
          <w:ilvl w:val="0"/>
          <w:numId w:val="29"/>
        </w:numPr>
        <w:jc w:val="both"/>
        <w:rPr>
          <w:sz w:val="20"/>
        </w:rPr>
      </w:pPr>
      <w:r w:rsidRPr="00412620">
        <w:rPr>
          <w:sz w:val="20"/>
        </w:rPr>
        <w:t xml:space="preserve">ten or more persons in Pakistan and involves the use of electrical energy or any other form of energy which is mechanically transmitted and is not generated by human or </w:t>
      </w:r>
      <w:r w:rsidR="005C24B2" w:rsidRPr="00412620">
        <w:rPr>
          <w:sz w:val="20"/>
        </w:rPr>
        <w:t>animal energy; or</w:t>
      </w:r>
    </w:p>
    <w:p w:rsidR="005C24B2" w:rsidRPr="00412620" w:rsidRDefault="005C24B2" w:rsidP="005C24B2">
      <w:pPr>
        <w:ind w:left="1635"/>
        <w:jc w:val="both"/>
        <w:rPr>
          <w:sz w:val="20"/>
        </w:rPr>
      </w:pPr>
    </w:p>
    <w:p w:rsidR="005C24B2" w:rsidRPr="00412620" w:rsidRDefault="00F00A3F" w:rsidP="004B20DC">
      <w:pPr>
        <w:numPr>
          <w:ilvl w:val="0"/>
          <w:numId w:val="29"/>
        </w:numPr>
        <w:jc w:val="both"/>
        <w:rPr>
          <w:sz w:val="20"/>
        </w:rPr>
      </w:pPr>
      <w:r w:rsidRPr="00412620">
        <w:rPr>
          <w:sz w:val="20"/>
        </w:rPr>
        <w:t>twenty or more persons in Pakistan and does not involve the use of electrical energy or any other form of energy which is mechanically transmitted and is not generated by human or animal energy:</w:t>
      </w:r>
    </w:p>
    <w:p w:rsidR="00F00A3F" w:rsidRPr="00412620" w:rsidRDefault="00F00A3F" w:rsidP="00F00A3F">
      <w:pPr>
        <w:jc w:val="both"/>
        <w:rPr>
          <w:sz w:val="20"/>
        </w:rPr>
      </w:pPr>
    </w:p>
    <w:p w:rsidR="00F00A3F" w:rsidRPr="00412620" w:rsidRDefault="00F00A3F" w:rsidP="00F00A3F">
      <w:pPr>
        <w:ind w:left="1635"/>
        <w:jc w:val="both"/>
        <w:rPr>
          <w:rFonts w:cs="Arial"/>
          <w:sz w:val="20"/>
        </w:rPr>
      </w:pPr>
      <w:r w:rsidRPr="00412620">
        <w:rPr>
          <w:sz w:val="20"/>
        </w:rPr>
        <w:t>and which is engaged in,</w:t>
      </w:r>
      <w:r w:rsidR="00A95443" w:rsidRPr="00412620">
        <w:rPr>
          <w:rFonts w:cs="Arial"/>
          <w:sz w:val="20"/>
        </w:rPr>
        <w:t>—</w:t>
      </w:r>
    </w:p>
    <w:p w:rsidR="004761E4" w:rsidRPr="00412620" w:rsidRDefault="004761E4" w:rsidP="00F00A3F">
      <w:pPr>
        <w:ind w:left="1635"/>
        <w:jc w:val="both"/>
        <w:rPr>
          <w:sz w:val="20"/>
        </w:rPr>
      </w:pPr>
    </w:p>
    <w:p w:rsidR="004761E4" w:rsidRPr="00412620" w:rsidRDefault="004761E4" w:rsidP="004B20DC">
      <w:pPr>
        <w:numPr>
          <w:ilvl w:val="0"/>
          <w:numId w:val="30"/>
        </w:numPr>
        <w:jc w:val="both"/>
        <w:rPr>
          <w:sz w:val="20"/>
        </w:rPr>
      </w:pPr>
      <w:r w:rsidRPr="00412620">
        <w:rPr>
          <w:sz w:val="20"/>
        </w:rPr>
        <w:t xml:space="preserve">the manufacture of goods or materials or the subjection of goods or materials to any process which substantially changes their original condition; or </w:t>
      </w:r>
    </w:p>
    <w:p w:rsidR="004761E4" w:rsidRPr="00412620" w:rsidRDefault="004761E4" w:rsidP="004761E4">
      <w:pPr>
        <w:ind w:left="1635"/>
        <w:jc w:val="both"/>
        <w:rPr>
          <w:sz w:val="20"/>
        </w:rPr>
      </w:pPr>
    </w:p>
    <w:p w:rsidR="00E827F9" w:rsidRPr="00412620" w:rsidRDefault="00E827F9" w:rsidP="004B20DC">
      <w:pPr>
        <w:numPr>
          <w:ilvl w:val="0"/>
          <w:numId w:val="30"/>
        </w:numPr>
        <w:jc w:val="both"/>
        <w:rPr>
          <w:sz w:val="20"/>
        </w:rPr>
      </w:pPr>
      <w:r w:rsidRPr="00412620">
        <w:rPr>
          <w:sz w:val="20"/>
        </w:rPr>
        <w:t>ship-building; or</w:t>
      </w:r>
    </w:p>
    <w:p w:rsidR="00E827F9" w:rsidRPr="00412620" w:rsidRDefault="00E827F9" w:rsidP="00E827F9">
      <w:pPr>
        <w:jc w:val="both"/>
        <w:rPr>
          <w:sz w:val="20"/>
        </w:rPr>
      </w:pPr>
    </w:p>
    <w:p w:rsidR="00E827F9" w:rsidRPr="00412620" w:rsidRDefault="00E827F9" w:rsidP="004B20DC">
      <w:pPr>
        <w:numPr>
          <w:ilvl w:val="0"/>
          <w:numId w:val="30"/>
        </w:numPr>
        <w:jc w:val="both"/>
        <w:rPr>
          <w:sz w:val="20"/>
        </w:rPr>
      </w:pPr>
      <w:r w:rsidRPr="00412620">
        <w:rPr>
          <w:sz w:val="20"/>
        </w:rPr>
        <w:t>generation, conversion, transmission or distribution of electrical energy, or the supply of hydraulic power; or</w:t>
      </w:r>
    </w:p>
    <w:p w:rsidR="00E827F9" w:rsidRPr="00412620" w:rsidRDefault="00E827F9" w:rsidP="00E827F9">
      <w:pPr>
        <w:jc w:val="both"/>
        <w:rPr>
          <w:sz w:val="20"/>
        </w:rPr>
      </w:pPr>
    </w:p>
    <w:p w:rsidR="004761E4" w:rsidRPr="00412620" w:rsidRDefault="00E827F9" w:rsidP="004B20DC">
      <w:pPr>
        <w:numPr>
          <w:ilvl w:val="0"/>
          <w:numId w:val="30"/>
        </w:numPr>
        <w:jc w:val="both"/>
        <w:rPr>
          <w:sz w:val="20"/>
        </w:rPr>
      </w:pPr>
      <w:r w:rsidRPr="00412620">
        <w:rPr>
          <w:sz w:val="20"/>
        </w:rPr>
        <w:t>the working of any min</w:t>
      </w:r>
      <w:r w:rsidR="00326BBD" w:rsidRPr="00412620">
        <w:rPr>
          <w:sz w:val="20"/>
        </w:rPr>
        <w:t>e</w:t>
      </w:r>
      <w:r w:rsidRPr="00412620">
        <w:rPr>
          <w:sz w:val="20"/>
        </w:rPr>
        <w:t>, oil-well or any other source of mineral deposits; and</w:t>
      </w:r>
    </w:p>
    <w:p w:rsidR="00E827F9" w:rsidRPr="00412620" w:rsidRDefault="00E827F9" w:rsidP="00E827F9">
      <w:pPr>
        <w:jc w:val="both"/>
        <w:rPr>
          <w:sz w:val="20"/>
        </w:rPr>
      </w:pPr>
    </w:p>
    <w:p w:rsidR="006A3F93" w:rsidRPr="00412620" w:rsidRDefault="00E827F9" w:rsidP="00B90FB1">
      <w:pPr>
        <w:ind w:left="1635" w:hanging="540"/>
        <w:jc w:val="both"/>
        <w:rPr>
          <w:sz w:val="20"/>
        </w:rPr>
      </w:pPr>
      <w:r w:rsidRPr="00412620">
        <w:rPr>
          <w:sz w:val="20"/>
        </w:rPr>
        <w:lastRenderedPageBreak/>
        <w:t xml:space="preserve">(b) </w:t>
      </w:r>
      <w:r w:rsidRPr="00412620">
        <w:rPr>
          <w:sz w:val="20"/>
        </w:rPr>
        <w:tab/>
        <w:t>any other industrial undertaking which the Board may by notification in the official gazette, specify.]</w:t>
      </w:r>
    </w:p>
    <w:p w:rsidR="006A3F93" w:rsidRPr="00412620" w:rsidRDefault="006A3F93">
      <w:pPr>
        <w:jc w:val="both"/>
        <w:rPr>
          <w:rFonts w:cs="Arial"/>
          <w:sz w:val="20"/>
        </w:rPr>
      </w:pPr>
    </w:p>
    <w:p w:rsidR="006A3F93" w:rsidRPr="00412620" w:rsidRDefault="006A3F93" w:rsidP="004B20DC">
      <w:pPr>
        <w:numPr>
          <w:ilvl w:val="0"/>
          <w:numId w:val="24"/>
        </w:numPr>
        <w:jc w:val="both"/>
        <w:rPr>
          <w:rFonts w:cs="Arial"/>
          <w:sz w:val="20"/>
        </w:rPr>
      </w:pPr>
      <w:r w:rsidRPr="00412620">
        <w:rPr>
          <w:rFonts w:cs="Arial"/>
          <w:sz w:val="20"/>
        </w:rPr>
        <w:t>“intangible” means an intangible as defined in section 24;</w:t>
      </w:r>
    </w:p>
    <w:p w:rsidR="006A3F93" w:rsidRPr="00412620" w:rsidRDefault="006A3F93">
      <w:pPr>
        <w:jc w:val="both"/>
        <w:rPr>
          <w:rFonts w:cs="Arial"/>
          <w:sz w:val="20"/>
        </w:rPr>
      </w:pPr>
    </w:p>
    <w:p w:rsidR="006179A5" w:rsidRPr="00412620" w:rsidRDefault="006A3F93" w:rsidP="00A87E23">
      <w:pPr>
        <w:ind w:left="1080" w:hanging="810"/>
        <w:jc w:val="both"/>
        <w:rPr>
          <w:rFonts w:cs="Arial"/>
          <w:sz w:val="20"/>
        </w:rPr>
      </w:pPr>
      <w:r w:rsidRPr="00412620">
        <w:rPr>
          <w:rStyle w:val="FootnoteReference"/>
          <w:rFonts w:cs="Arial"/>
          <w:sz w:val="20"/>
        </w:rPr>
        <w:footnoteReference w:id="73"/>
      </w:r>
      <w:r w:rsidRPr="00412620">
        <w:rPr>
          <w:sz w:val="20"/>
        </w:rPr>
        <w:t>[(30A)</w:t>
      </w:r>
      <w:r w:rsidR="00A35927" w:rsidRPr="00412620">
        <w:rPr>
          <w:rFonts w:cs="Arial"/>
          <w:sz w:val="20"/>
        </w:rPr>
        <w:t>“</w:t>
      </w:r>
      <w:r w:rsidR="006179A5" w:rsidRPr="00412620">
        <w:rPr>
          <w:rFonts w:cs="Arial"/>
          <w:sz w:val="20"/>
        </w:rPr>
        <w:t xml:space="preserve">investment </w:t>
      </w:r>
      <w:r w:rsidR="006179A5" w:rsidRPr="00412620">
        <w:rPr>
          <w:sz w:val="20"/>
        </w:rPr>
        <w:t>company</w:t>
      </w:r>
      <w:r w:rsidR="006179A5" w:rsidRPr="00412620">
        <w:rPr>
          <w:rFonts w:cs="Arial"/>
          <w:sz w:val="20"/>
        </w:rPr>
        <w:t xml:space="preserve">” means an investment company as defined </w:t>
      </w:r>
      <w:r w:rsidR="00E77E36" w:rsidRPr="00412620">
        <w:rPr>
          <w:rFonts w:cs="Arial"/>
          <w:sz w:val="20"/>
        </w:rPr>
        <w:t xml:space="preserve">in </w:t>
      </w:r>
      <w:r w:rsidR="006179A5" w:rsidRPr="00412620">
        <w:rPr>
          <w:rFonts w:cs="Arial"/>
          <w:sz w:val="20"/>
        </w:rPr>
        <w:t>the Non-Banking Finance Companies (Establishment and Regulation) Rules, 2003;</w:t>
      </w:r>
      <w:r w:rsidR="00F3049E" w:rsidRPr="00412620">
        <w:rPr>
          <w:rFonts w:cs="Arial"/>
          <w:sz w:val="20"/>
        </w:rPr>
        <w:t>]</w:t>
      </w:r>
    </w:p>
    <w:p w:rsidR="00024176" w:rsidRPr="00412620" w:rsidRDefault="00024176" w:rsidP="00A87E23">
      <w:pPr>
        <w:ind w:left="1080" w:hanging="810"/>
        <w:jc w:val="both"/>
        <w:rPr>
          <w:rFonts w:cs="Arial"/>
          <w:sz w:val="20"/>
        </w:rPr>
      </w:pPr>
    </w:p>
    <w:p w:rsidR="00F82A8A" w:rsidRPr="00412620" w:rsidRDefault="00F82A8A" w:rsidP="00A87E23">
      <w:pPr>
        <w:ind w:left="1080" w:hanging="810"/>
        <w:jc w:val="both"/>
        <w:rPr>
          <w:rFonts w:cs="Arial"/>
          <w:sz w:val="20"/>
        </w:rPr>
      </w:pPr>
      <w:r w:rsidRPr="00412620">
        <w:rPr>
          <w:rStyle w:val="FootnoteReference"/>
          <w:rFonts w:cs="Arial"/>
          <w:sz w:val="20"/>
        </w:rPr>
        <w:footnoteReference w:id="74"/>
      </w:r>
      <w:r w:rsidRPr="00412620">
        <w:rPr>
          <w:rFonts w:cs="Arial"/>
          <w:sz w:val="20"/>
        </w:rPr>
        <w:t xml:space="preserve">[(30AA) </w:t>
      </w:r>
      <w:r w:rsidRPr="00412620">
        <w:rPr>
          <w:rFonts w:cs="Arial"/>
          <w:sz w:val="20"/>
        </w:rPr>
        <w:tab/>
        <w:t>KIBOR means Karachi Inter Bank Offered Rate prevalent on the first day of each quarter of the financial year;]</w:t>
      </w:r>
    </w:p>
    <w:p w:rsidR="00F82A8A" w:rsidRPr="00412620" w:rsidRDefault="00F82A8A" w:rsidP="00A87E23">
      <w:pPr>
        <w:ind w:left="1080" w:hanging="810"/>
        <w:jc w:val="both"/>
        <w:rPr>
          <w:rFonts w:cs="Arial"/>
          <w:sz w:val="20"/>
        </w:rPr>
      </w:pPr>
    </w:p>
    <w:p w:rsidR="00024176" w:rsidRPr="00412620" w:rsidRDefault="00024176" w:rsidP="00A87E23">
      <w:pPr>
        <w:ind w:left="1080" w:hanging="810"/>
        <w:jc w:val="both"/>
        <w:rPr>
          <w:rFonts w:cs="Arial"/>
          <w:sz w:val="20"/>
        </w:rPr>
      </w:pPr>
      <w:r w:rsidRPr="00412620">
        <w:rPr>
          <w:rStyle w:val="FootnoteReference"/>
          <w:rFonts w:cs="Arial"/>
          <w:sz w:val="20"/>
        </w:rPr>
        <w:footnoteReference w:id="75"/>
      </w:r>
      <w:r w:rsidRPr="00412620">
        <w:rPr>
          <w:rFonts w:cs="Arial"/>
          <w:sz w:val="20"/>
        </w:rPr>
        <w:t xml:space="preserve">[(30B) </w:t>
      </w:r>
      <w:r w:rsidRPr="00412620">
        <w:rPr>
          <w:rFonts w:cs="Arial"/>
          <w:sz w:val="20"/>
        </w:rPr>
        <w:tab/>
        <w:t xml:space="preserve">“leasing company” means a leasing company as defined </w:t>
      </w:r>
      <w:r w:rsidR="00E77E36" w:rsidRPr="00412620">
        <w:rPr>
          <w:rFonts w:cs="Arial"/>
          <w:sz w:val="20"/>
        </w:rPr>
        <w:t xml:space="preserve">in </w:t>
      </w:r>
      <w:r w:rsidRPr="00412620">
        <w:rPr>
          <w:rFonts w:cs="Arial"/>
          <w:sz w:val="20"/>
        </w:rPr>
        <w:t>the Non-Banking Finance Companies and Notified Entities Regulation, 2007;]</w:t>
      </w:r>
    </w:p>
    <w:p w:rsidR="006A3F93" w:rsidRPr="00412620" w:rsidRDefault="006A3F93" w:rsidP="00F3049E">
      <w:pPr>
        <w:ind w:left="1080" w:hanging="810"/>
        <w:jc w:val="both"/>
        <w:rPr>
          <w:rFonts w:cs="Arial"/>
          <w:sz w:val="20"/>
        </w:rPr>
      </w:pPr>
    </w:p>
    <w:p w:rsidR="006A3F93" w:rsidRPr="00412620" w:rsidRDefault="006A3F93" w:rsidP="004B20DC">
      <w:pPr>
        <w:numPr>
          <w:ilvl w:val="0"/>
          <w:numId w:val="24"/>
        </w:numPr>
        <w:jc w:val="both"/>
        <w:rPr>
          <w:rFonts w:cs="Arial"/>
          <w:sz w:val="20"/>
        </w:rPr>
      </w:pPr>
      <w:r w:rsidRPr="00412620">
        <w:rPr>
          <w:rFonts w:cs="Arial"/>
          <w:sz w:val="20"/>
        </w:rPr>
        <w:t>“liquidation” in relation to a company, includes the termination of a trust;</w:t>
      </w:r>
    </w:p>
    <w:p w:rsidR="00722BFC" w:rsidRPr="00412620" w:rsidRDefault="00722BFC" w:rsidP="00722BFC">
      <w:pPr>
        <w:ind w:left="540"/>
        <w:jc w:val="both"/>
        <w:rPr>
          <w:rFonts w:cs="Arial"/>
          <w:sz w:val="20"/>
        </w:rPr>
      </w:pPr>
    </w:p>
    <w:p w:rsidR="006A3F93" w:rsidRPr="00412620" w:rsidRDefault="00722BFC" w:rsidP="00722BFC">
      <w:pPr>
        <w:ind w:left="1080" w:hanging="735"/>
        <w:jc w:val="both"/>
        <w:rPr>
          <w:rFonts w:cs="Arial"/>
          <w:sz w:val="20"/>
        </w:rPr>
      </w:pPr>
      <w:r w:rsidRPr="00412620">
        <w:rPr>
          <w:rStyle w:val="FootnoteReference"/>
          <w:rFonts w:cs="Arial"/>
          <w:sz w:val="20"/>
        </w:rPr>
        <w:footnoteReference w:id="76"/>
      </w:r>
      <w:r w:rsidRPr="00412620">
        <w:rPr>
          <w:rFonts w:cs="Arial"/>
          <w:sz w:val="20"/>
        </w:rPr>
        <w:t>[(31A)</w:t>
      </w:r>
      <w:r w:rsidRPr="00412620">
        <w:rPr>
          <w:rFonts w:cs="Arial"/>
          <w:sz w:val="20"/>
        </w:rPr>
        <w:tab/>
        <w:t>“Local Government” shall have the same meaning as defined in the Punjab Local Government Ordinance, 2001 (XIII of 2001), the Sindh Local Government Ordinance, 2001 (XXVII of 2001), the NWFP Local Government Ordinance, 2001 (XIV of 2001) and the Balochistan Local Government Ordinance, 2001 (XVIII of 2001);]</w:t>
      </w:r>
    </w:p>
    <w:p w:rsidR="00722BFC" w:rsidRPr="00412620" w:rsidRDefault="00722BFC">
      <w:pPr>
        <w:jc w:val="both"/>
        <w:rPr>
          <w:rFonts w:cs="Arial"/>
          <w:sz w:val="20"/>
        </w:rPr>
      </w:pPr>
    </w:p>
    <w:p w:rsidR="006A3F93" w:rsidRPr="00412620" w:rsidRDefault="006A3F93">
      <w:pPr>
        <w:ind w:left="1080" w:hanging="540"/>
        <w:jc w:val="both"/>
        <w:rPr>
          <w:rFonts w:cs="Arial"/>
          <w:sz w:val="20"/>
        </w:rPr>
      </w:pPr>
      <w:r w:rsidRPr="00412620">
        <w:rPr>
          <w:rFonts w:cs="Arial"/>
          <w:sz w:val="20"/>
        </w:rPr>
        <w:t>(32)</w:t>
      </w:r>
      <w:r w:rsidRPr="00412620">
        <w:rPr>
          <w:rFonts w:cs="Arial"/>
          <w:sz w:val="20"/>
        </w:rPr>
        <w:tab/>
        <w:t>“member” in relation to an association of persons, includes a partner in a firm;</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(33)</w:t>
      </w:r>
      <w:r w:rsidRPr="00412620">
        <w:rPr>
          <w:rFonts w:cs="Arial"/>
          <w:sz w:val="20"/>
        </w:rPr>
        <w:tab/>
        <w:t>“minor child” means an individual who is under the age of eighteen years at the end of a tax year;</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(34)</w:t>
      </w:r>
      <w:r w:rsidRPr="00412620">
        <w:rPr>
          <w:rFonts w:cs="Arial"/>
          <w:sz w:val="20"/>
        </w:rPr>
        <w:tab/>
        <w:t>“modaraba” means a modaraba as defined in the Modaraba Companies and Modarabas (Floatation and Control) Ordinance, 1980 (XXXI of 1980);</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(35)</w:t>
      </w:r>
      <w:r w:rsidRPr="00412620">
        <w:rPr>
          <w:rFonts w:cs="Arial"/>
          <w:sz w:val="20"/>
        </w:rPr>
        <w:tab/>
        <w:t>“modaraba certificate” means a modaraba certificate as defined in the Modaraba Companies and Modarabas (Floatation and Control) Ordinance, 1980 (XXXI of 1980);</w:t>
      </w:r>
    </w:p>
    <w:p w:rsidR="006A3F93" w:rsidRPr="00412620" w:rsidRDefault="006A3F93">
      <w:pPr>
        <w:jc w:val="both"/>
        <w:rPr>
          <w:rFonts w:cs="Arial"/>
          <w:sz w:val="20"/>
        </w:rPr>
      </w:pPr>
    </w:p>
    <w:p w:rsidR="006A3F93" w:rsidRPr="00412620" w:rsidRDefault="006A3F93">
      <w:pPr>
        <w:ind w:left="1080" w:hanging="810"/>
        <w:jc w:val="both"/>
        <w:rPr>
          <w:rFonts w:cs="Arial"/>
          <w:sz w:val="20"/>
        </w:rPr>
      </w:pPr>
      <w:r w:rsidRPr="00412620">
        <w:rPr>
          <w:rStyle w:val="FootnoteReference"/>
          <w:rFonts w:cs="Arial"/>
          <w:sz w:val="20"/>
        </w:rPr>
        <w:lastRenderedPageBreak/>
        <w:footnoteReference w:id="77"/>
      </w:r>
      <w:r w:rsidRPr="00412620">
        <w:rPr>
          <w:rFonts w:cs="Arial"/>
          <w:sz w:val="20"/>
        </w:rPr>
        <w:t>[(35A)</w:t>
      </w:r>
      <w:r w:rsidRPr="00412620">
        <w:rPr>
          <w:rFonts w:cs="Arial"/>
          <w:sz w:val="20"/>
        </w:rPr>
        <w:tab/>
        <w:t xml:space="preserve">“Mutual Fund” means a mutual fund </w:t>
      </w:r>
      <w:r w:rsidRPr="00412620">
        <w:rPr>
          <w:rStyle w:val="FootnoteReference"/>
          <w:rFonts w:cs="Arial"/>
          <w:sz w:val="20"/>
        </w:rPr>
        <w:footnoteReference w:id="78"/>
      </w:r>
      <w:r w:rsidRPr="00412620">
        <w:rPr>
          <w:rFonts w:cs="Arial"/>
          <w:sz w:val="20"/>
        </w:rPr>
        <w:t>[registered or approved by the Securities and Exchange Commission of Pakistan];]</w:t>
      </w:r>
    </w:p>
    <w:p w:rsidR="007D3402" w:rsidRPr="00412620" w:rsidRDefault="007D3402">
      <w:pPr>
        <w:ind w:left="1080" w:hanging="810"/>
        <w:jc w:val="both"/>
        <w:rPr>
          <w:rFonts w:cs="Arial"/>
          <w:sz w:val="20"/>
        </w:rPr>
      </w:pPr>
    </w:p>
    <w:p w:rsidR="002835D3" w:rsidRPr="00412620" w:rsidRDefault="002835D3" w:rsidP="002835D3">
      <w:pPr>
        <w:ind w:left="1080" w:hanging="795"/>
        <w:jc w:val="both"/>
        <w:rPr>
          <w:rFonts w:cs="Arial"/>
          <w:sz w:val="20"/>
        </w:rPr>
      </w:pPr>
      <w:r w:rsidRPr="00412620">
        <w:rPr>
          <w:rStyle w:val="FootnoteReference"/>
          <w:rFonts w:cs="Arial"/>
          <w:sz w:val="20"/>
        </w:rPr>
        <w:footnoteReference w:id="79"/>
      </w:r>
      <w:r w:rsidRPr="00412620">
        <w:rPr>
          <w:rFonts w:cs="Arial"/>
          <w:sz w:val="20"/>
        </w:rPr>
        <w:t xml:space="preserve">[(35AA) </w:t>
      </w:r>
      <w:r w:rsidRPr="00412620">
        <w:rPr>
          <w:rFonts w:cs="Arial"/>
          <w:sz w:val="20"/>
        </w:rPr>
        <w:tab/>
        <w:t xml:space="preserve">“NCCPL” means </w:t>
      </w:r>
      <w:r w:rsidR="00AB49DA">
        <w:rPr>
          <w:rFonts w:cs="Arial"/>
          <w:sz w:val="20"/>
        </w:rPr>
        <w:t>N</w:t>
      </w:r>
      <w:r w:rsidRPr="00412620">
        <w:rPr>
          <w:rFonts w:cs="Arial"/>
          <w:sz w:val="20"/>
        </w:rPr>
        <w:t>ational Clearing Company of Pakistan Limited, which is a company incorporated under the Companies Ordinance, 1984 (XLVII of 1984) and licensed as “Clearing House” by the Securities and Exchange Commission of Pakistan;]</w:t>
      </w:r>
    </w:p>
    <w:p w:rsidR="002835D3" w:rsidRPr="00412620" w:rsidRDefault="002835D3">
      <w:pPr>
        <w:ind w:left="1080" w:hanging="810"/>
        <w:jc w:val="both"/>
        <w:rPr>
          <w:rFonts w:cs="Arial"/>
          <w:sz w:val="20"/>
        </w:rPr>
      </w:pPr>
    </w:p>
    <w:p w:rsidR="007D3402" w:rsidRDefault="007D3402">
      <w:pPr>
        <w:ind w:left="1080" w:hanging="810"/>
        <w:jc w:val="both"/>
        <w:rPr>
          <w:rFonts w:cs="Arial"/>
          <w:sz w:val="20"/>
        </w:rPr>
      </w:pPr>
      <w:r w:rsidRPr="00412620">
        <w:rPr>
          <w:rStyle w:val="FootnoteReference"/>
          <w:rFonts w:cs="Arial"/>
          <w:sz w:val="20"/>
        </w:rPr>
        <w:footnoteReference w:id="80"/>
      </w:r>
      <w:r w:rsidRPr="00412620">
        <w:rPr>
          <w:rFonts w:cs="Arial"/>
          <w:sz w:val="20"/>
        </w:rPr>
        <w:t>[(35B)</w:t>
      </w:r>
      <w:r w:rsidRPr="00412620">
        <w:rPr>
          <w:rFonts w:cs="Arial"/>
          <w:sz w:val="20"/>
        </w:rPr>
        <w:tab/>
        <w:t xml:space="preserve">“non-banking finance company” means an NBFC as defined </w:t>
      </w:r>
      <w:r w:rsidR="00DC38D5" w:rsidRPr="00412620">
        <w:rPr>
          <w:rFonts w:cs="Arial"/>
          <w:sz w:val="20"/>
        </w:rPr>
        <w:t xml:space="preserve">in </w:t>
      </w:r>
      <w:r w:rsidRPr="00412620">
        <w:rPr>
          <w:rFonts w:cs="Arial"/>
          <w:sz w:val="20"/>
        </w:rPr>
        <w:t>the Non-Banking Finance Companies (Establishment and Regulation) Rules, 2003;]</w:t>
      </w:r>
    </w:p>
    <w:p w:rsidR="006A3F93" w:rsidRPr="00245086" w:rsidRDefault="00295CC8" w:rsidP="001366FF">
      <w:pPr>
        <w:ind w:left="1080" w:hanging="810"/>
        <w:jc w:val="both"/>
        <w:rPr>
          <w:rFonts w:cs="Arial"/>
          <w:color w:val="000000" w:themeColor="text1"/>
          <w:sz w:val="20"/>
        </w:rPr>
      </w:pPr>
      <w:r w:rsidRPr="00245086">
        <w:rPr>
          <w:rStyle w:val="FootnoteReference"/>
          <w:rFonts w:cs="Arial"/>
          <w:color w:val="000000" w:themeColor="text1"/>
          <w:sz w:val="20"/>
        </w:rPr>
        <w:footnoteReference w:id="81"/>
      </w:r>
      <w:r w:rsidRPr="00245086">
        <w:rPr>
          <w:rFonts w:cs="Arial"/>
          <w:color w:val="000000" w:themeColor="text1"/>
          <w:sz w:val="20"/>
        </w:rPr>
        <w:t>[</w:t>
      </w:r>
      <w:r w:rsidR="00C42E64" w:rsidRPr="00245086">
        <w:rPr>
          <w:rFonts w:cs="Arial"/>
          <w:color w:val="000000" w:themeColor="text1"/>
          <w:sz w:val="20"/>
        </w:rPr>
        <w:t>(35C)“</w:t>
      </w:r>
      <w:r w:rsidR="001366FF" w:rsidRPr="00245086">
        <w:rPr>
          <w:rFonts w:cs="Arial"/>
          <w:color w:val="000000" w:themeColor="text1"/>
          <w:sz w:val="20"/>
        </w:rPr>
        <w:t>non-filer” me</w:t>
      </w:r>
      <w:r w:rsidR="00C42E64" w:rsidRPr="00245086">
        <w:rPr>
          <w:rFonts w:cs="Arial"/>
          <w:color w:val="000000" w:themeColor="text1"/>
          <w:sz w:val="20"/>
        </w:rPr>
        <w:t>ans a person who is not a filer;]</w:t>
      </w:r>
    </w:p>
    <w:p w:rsidR="005A1B4A" w:rsidRPr="00412620" w:rsidRDefault="005A1B4A">
      <w:pPr>
        <w:jc w:val="both"/>
        <w:rPr>
          <w:rFonts w:cs="Arial"/>
          <w:sz w:val="20"/>
        </w:rPr>
      </w:pPr>
    </w:p>
    <w:p w:rsidR="006A3F93" w:rsidRPr="00412620" w:rsidRDefault="006A3F93">
      <w:pPr>
        <w:ind w:left="1080" w:hanging="630"/>
        <w:jc w:val="both"/>
        <w:rPr>
          <w:sz w:val="20"/>
        </w:rPr>
      </w:pPr>
      <w:r w:rsidRPr="00412620">
        <w:rPr>
          <w:rStyle w:val="FootnoteReference"/>
          <w:rFonts w:cs="Arial"/>
          <w:sz w:val="20"/>
        </w:rPr>
        <w:footnoteReference w:id="82"/>
      </w:r>
      <w:r w:rsidRPr="00412620">
        <w:rPr>
          <w:sz w:val="20"/>
        </w:rPr>
        <w:t xml:space="preserve">[(36) </w:t>
      </w:r>
      <w:r w:rsidRPr="00412620">
        <w:rPr>
          <w:sz w:val="20"/>
        </w:rPr>
        <w:tab/>
        <w:t xml:space="preserve">“non-profit organization” means any person other than an individual, which is </w:t>
      </w:r>
      <w:r w:rsidR="0024076E"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established for religious, educational, charitable, welfare or development purposes, or for the promotion of an amateur sport;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formed and registered under any law as a non-profit organization;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approved by the Commissioner for specified period, on an application made by such person in the prescribed form and manner, accompanied by the prescribed documents and, on requisition, such other documents as may be required by the Commissioner;</w:t>
      </w:r>
    </w:p>
    <w:p w:rsidR="006A3F93" w:rsidRPr="00412620" w:rsidRDefault="006A3F93">
      <w:pPr>
        <w:jc w:val="both"/>
        <w:rPr>
          <w:rFonts w:cs="Arial"/>
          <w:sz w:val="20"/>
        </w:rPr>
      </w:pPr>
    </w:p>
    <w:p w:rsidR="006A3F93" w:rsidRPr="00412620" w:rsidRDefault="006A3F93">
      <w:pPr>
        <w:ind w:left="1620"/>
        <w:jc w:val="both"/>
        <w:rPr>
          <w:rFonts w:cs="Arial"/>
          <w:b/>
          <w:sz w:val="20"/>
        </w:rPr>
      </w:pPr>
      <w:r w:rsidRPr="00412620">
        <w:rPr>
          <w:rFonts w:cs="Arial"/>
          <w:sz w:val="20"/>
        </w:rPr>
        <w:lastRenderedPageBreak/>
        <w:t>and none of the assets of such person confers, or may confer, a private benefit to any other person;]</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(37)</w:t>
      </w:r>
      <w:r w:rsidRPr="00412620">
        <w:rPr>
          <w:rFonts w:cs="Arial"/>
          <w:sz w:val="20"/>
        </w:rPr>
        <w:tab/>
        <w:t>“non-resident person” means a non-resident person as defined in Section 81;</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(38)</w:t>
      </w:r>
      <w:r w:rsidRPr="00412620">
        <w:rPr>
          <w:rFonts w:cs="Arial"/>
          <w:sz w:val="20"/>
        </w:rPr>
        <w:tab/>
        <w:t>“non-resident taxpayer” means a taxpayer who is a non-resident person;</w:t>
      </w:r>
    </w:p>
    <w:p w:rsidR="00C67C85" w:rsidRPr="00412620" w:rsidRDefault="00C67C85">
      <w:pPr>
        <w:jc w:val="both"/>
        <w:rPr>
          <w:rFonts w:cs="Arial"/>
          <w:sz w:val="20"/>
        </w:rPr>
      </w:pPr>
    </w:p>
    <w:p w:rsidR="006A3F93" w:rsidRPr="00412620" w:rsidRDefault="00C67C85" w:rsidP="00C67C85">
      <w:pPr>
        <w:tabs>
          <w:tab w:val="left" w:pos="360"/>
        </w:tabs>
        <w:ind w:left="1094" w:hanging="1094"/>
        <w:jc w:val="both"/>
        <w:rPr>
          <w:rFonts w:cs="Arial"/>
          <w:sz w:val="16"/>
        </w:rPr>
      </w:pPr>
      <w:r w:rsidRPr="00412620">
        <w:rPr>
          <w:rFonts w:cs="Arial"/>
          <w:sz w:val="20"/>
        </w:rPr>
        <w:tab/>
      </w:r>
      <w:r w:rsidR="00F6087D" w:rsidRPr="00412620">
        <w:rPr>
          <w:rStyle w:val="FootnoteReference"/>
          <w:rFonts w:cs="Arial"/>
          <w:sz w:val="20"/>
        </w:rPr>
        <w:footnoteReference w:id="83"/>
      </w:r>
      <w:r w:rsidRPr="00412620">
        <w:rPr>
          <w:rFonts w:cs="Arial"/>
          <w:sz w:val="20"/>
        </w:rPr>
        <w:t>[(38A)</w:t>
      </w:r>
      <w:r w:rsidRPr="00412620">
        <w:rPr>
          <w:rFonts w:cs="Arial"/>
          <w:sz w:val="20"/>
        </w:rPr>
        <w:tab/>
        <w:t xml:space="preserve">“Officer of Inland Revenue” means any Additional  Commissioner Inland Revenue, Deputy Commissioner Inland Revenue, Assistant Commissioner Inland Revenue, Inland Revenue Officer, Inland Revenue </w:t>
      </w:r>
      <w:r w:rsidR="00B90FB1" w:rsidRPr="00412620">
        <w:rPr>
          <w:rFonts w:cs="Arial"/>
          <w:sz w:val="20"/>
        </w:rPr>
        <w:t xml:space="preserve">Audit Officer </w:t>
      </w:r>
      <w:r w:rsidRPr="00412620">
        <w:rPr>
          <w:rFonts w:cs="Arial"/>
          <w:sz w:val="20"/>
        </w:rPr>
        <w:t>or any other officer however designated or appointed by the Board for the purposes of this Ordinance</w:t>
      </w:r>
      <w:r w:rsidR="00F6087D" w:rsidRPr="00412620">
        <w:rPr>
          <w:rFonts w:cs="Arial"/>
          <w:sz w:val="20"/>
        </w:rPr>
        <w:t>;</w:t>
      </w:r>
      <w:r w:rsidR="00F605EE" w:rsidRPr="00412620">
        <w:rPr>
          <w:rFonts w:cs="Arial"/>
          <w:sz w:val="20"/>
        </w:rPr>
        <w:t>]</w:t>
      </w:r>
    </w:p>
    <w:p w:rsidR="00C67C85" w:rsidRPr="00412620" w:rsidRDefault="00C67C85">
      <w:pPr>
        <w:jc w:val="both"/>
        <w:rPr>
          <w:rFonts w:cs="Arial"/>
          <w:sz w:val="20"/>
        </w:rPr>
      </w:pPr>
    </w:p>
    <w:p w:rsidR="006A3F93" w:rsidRPr="00412620" w:rsidRDefault="006A3F93">
      <w:pPr>
        <w:ind w:left="1080" w:hanging="540"/>
        <w:jc w:val="both"/>
        <w:rPr>
          <w:rFonts w:cs="Arial"/>
          <w:sz w:val="20"/>
        </w:rPr>
      </w:pPr>
      <w:r w:rsidRPr="00412620">
        <w:rPr>
          <w:rFonts w:cs="Arial"/>
          <w:sz w:val="20"/>
        </w:rPr>
        <w:t>(39)</w:t>
      </w:r>
      <w:r w:rsidRPr="00412620">
        <w:rPr>
          <w:rFonts w:cs="Arial"/>
          <w:sz w:val="20"/>
        </w:rPr>
        <w:tab/>
        <w:t>“Originator” means Originator as defined in the Asset Backed Securitization Rules, 1999;</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(40)</w:t>
      </w:r>
      <w:r w:rsidRPr="00412620">
        <w:rPr>
          <w:rFonts w:cs="Arial"/>
          <w:sz w:val="20"/>
        </w:rPr>
        <w:tab/>
        <w:t>“Pakistan-source income” means Pakistan-source income as defined in section 101;</w:t>
      </w:r>
    </w:p>
    <w:p w:rsidR="006A3F93" w:rsidRPr="00412620" w:rsidRDefault="006A3F93">
      <w:pPr>
        <w:jc w:val="both"/>
        <w:rPr>
          <w:rFonts w:cs="Arial"/>
          <w:sz w:val="20"/>
        </w:rPr>
      </w:pPr>
    </w:p>
    <w:p w:rsidR="006A3F93" w:rsidRPr="00412620" w:rsidRDefault="006A3F93">
      <w:pPr>
        <w:ind w:left="1080" w:hanging="810"/>
        <w:jc w:val="both"/>
        <w:rPr>
          <w:sz w:val="20"/>
        </w:rPr>
      </w:pPr>
      <w:r w:rsidRPr="00412620">
        <w:rPr>
          <w:rStyle w:val="FootnoteReference"/>
          <w:rFonts w:cs="Arial"/>
          <w:sz w:val="20"/>
        </w:rPr>
        <w:footnoteReference w:id="84"/>
      </w:r>
      <w:r w:rsidRPr="00412620">
        <w:rPr>
          <w:sz w:val="20"/>
        </w:rPr>
        <w:t xml:space="preserve">[(40A) </w:t>
      </w:r>
      <w:r w:rsidRPr="00412620">
        <w:rPr>
          <w:sz w:val="20"/>
        </w:rPr>
        <w:tab/>
        <w:t>“Pension Fund Manager” means an asset management company registered under the Non-Banking Finance Companies (Establishment and Regulations) Rules, 2003, or a life insurance company registered under Insurance Ordinance, 2000 (XXXIX of 2000), duly authorized by the Securities and Exchange Commission of Pakistan and approved under the Voluntary Pension System Rules, 2005, to manage the Approved Pension Fund;]</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(41)</w:t>
      </w:r>
      <w:r w:rsidRPr="00412620">
        <w:rPr>
          <w:rFonts w:cs="Arial"/>
          <w:sz w:val="20"/>
        </w:rPr>
        <w:tab/>
        <w:t xml:space="preserve">“permanent establishment” in relation to a person, means a </w:t>
      </w:r>
      <w:r w:rsidR="002914DC" w:rsidRPr="00412620">
        <w:rPr>
          <w:rStyle w:val="FootnoteReference"/>
          <w:rFonts w:cs="Arial"/>
          <w:sz w:val="20"/>
        </w:rPr>
        <w:footnoteReference w:id="85"/>
      </w:r>
      <w:r w:rsidR="002914DC" w:rsidRPr="00412620">
        <w:rPr>
          <w:rFonts w:cs="Arial"/>
          <w:sz w:val="20"/>
        </w:rPr>
        <w:t xml:space="preserve">[fixed] </w:t>
      </w:r>
      <w:r w:rsidRPr="00412620">
        <w:rPr>
          <w:rFonts w:cs="Arial"/>
          <w:sz w:val="20"/>
        </w:rPr>
        <w:t xml:space="preserve">place of business through which the business of the person is wholly or partly carried on, and includes – </w:t>
      </w:r>
    </w:p>
    <w:p w:rsidR="006A3F93" w:rsidRPr="00412620" w:rsidRDefault="006A3F93">
      <w:pPr>
        <w:jc w:val="both"/>
        <w:rPr>
          <w:rFonts w:cs="Arial"/>
          <w:sz w:val="14"/>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a place of management, branch, office, factory or workshop, </w:t>
      </w:r>
      <w:r w:rsidRPr="00412620">
        <w:rPr>
          <w:rStyle w:val="FootnoteReference"/>
          <w:rFonts w:cs="Arial"/>
          <w:sz w:val="20"/>
        </w:rPr>
        <w:footnoteReference w:id="86"/>
      </w:r>
      <w:r w:rsidRPr="00412620">
        <w:rPr>
          <w:rFonts w:cs="Arial"/>
          <w:sz w:val="20"/>
        </w:rPr>
        <w:t xml:space="preserve">[premises for soliciting orders, warehouse, permanent sales </w:t>
      </w:r>
      <w:r w:rsidRPr="00412620">
        <w:rPr>
          <w:rFonts w:cs="Arial"/>
          <w:sz w:val="20"/>
        </w:rPr>
        <w:lastRenderedPageBreak/>
        <w:t>exhibition or sales outlet,] other than a liaison office except where the office engages in the negotiation of contracts (other than contracts of purchase);</w:t>
      </w:r>
    </w:p>
    <w:p w:rsidR="006A3F93" w:rsidRPr="00412620" w:rsidRDefault="006A3F93">
      <w:pPr>
        <w:jc w:val="both"/>
        <w:rPr>
          <w:rFonts w:cs="Arial"/>
          <w:sz w:val="14"/>
        </w:rPr>
      </w:pPr>
    </w:p>
    <w:p w:rsidR="006A3F93" w:rsidRPr="00412620" w:rsidRDefault="006A3F93" w:rsidP="00822679">
      <w:pPr>
        <w:numPr>
          <w:ilvl w:val="0"/>
          <w:numId w:val="11"/>
        </w:numPr>
        <w:jc w:val="both"/>
        <w:rPr>
          <w:sz w:val="20"/>
        </w:rPr>
      </w:pPr>
      <w:r w:rsidRPr="00412620">
        <w:rPr>
          <w:sz w:val="20"/>
        </w:rPr>
        <w:t>a mine, oil or gas well, quarry or any other place of extraction of natural resources;</w:t>
      </w:r>
    </w:p>
    <w:p w:rsidR="006A3F93" w:rsidRPr="00412620" w:rsidRDefault="006A3F93">
      <w:pPr>
        <w:jc w:val="both"/>
        <w:rPr>
          <w:rFonts w:cs="Arial"/>
          <w:sz w:val="14"/>
        </w:rPr>
      </w:pPr>
    </w:p>
    <w:p w:rsidR="006A3F93" w:rsidRPr="00412620" w:rsidRDefault="006A3F93">
      <w:pPr>
        <w:jc w:val="both"/>
        <w:rPr>
          <w:rFonts w:cs="Arial"/>
          <w:sz w:val="20"/>
        </w:rPr>
      </w:pPr>
      <w:r w:rsidRPr="00412620">
        <w:rPr>
          <w:rStyle w:val="FootnoteReference"/>
          <w:rFonts w:cs="Arial"/>
          <w:sz w:val="20"/>
        </w:rPr>
        <w:footnoteReference w:id="87"/>
      </w:r>
      <w:r w:rsidRPr="00412620">
        <w:rPr>
          <w:rFonts w:cs="Arial"/>
          <w:sz w:val="20"/>
        </w:rPr>
        <w:t>[(ba)</w:t>
      </w:r>
      <w:r w:rsidRPr="00412620">
        <w:rPr>
          <w:rFonts w:cs="Arial"/>
          <w:sz w:val="20"/>
        </w:rPr>
        <w:tab/>
        <w:t>an agricultural, pastoral or forestry property;]</w:t>
      </w:r>
    </w:p>
    <w:p w:rsidR="006A3F93" w:rsidRPr="00412620" w:rsidRDefault="006A3F93">
      <w:pPr>
        <w:jc w:val="both"/>
        <w:rPr>
          <w:rFonts w:cs="Arial"/>
          <w:sz w:val="14"/>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a building site, a construction, assembly or installation project or supervisory activities </w:t>
      </w:r>
      <w:r w:rsidR="004A58BA" w:rsidRPr="00412620">
        <w:rPr>
          <w:rStyle w:val="FootnoteReference"/>
          <w:rFonts w:cs="Arial"/>
          <w:sz w:val="20"/>
        </w:rPr>
        <w:footnoteReference w:id="88"/>
      </w:r>
      <w:r w:rsidR="004A58BA" w:rsidRPr="00412620">
        <w:rPr>
          <w:rFonts w:cs="Arial"/>
          <w:sz w:val="20"/>
        </w:rPr>
        <w:t>[</w:t>
      </w:r>
      <w:r w:rsidRPr="00412620">
        <w:rPr>
          <w:rFonts w:cs="Arial"/>
          <w:sz w:val="20"/>
        </w:rPr>
        <w:t>connected</w:t>
      </w:r>
      <w:r w:rsidR="004A58BA" w:rsidRPr="00412620">
        <w:rPr>
          <w:rFonts w:cs="Arial"/>
          <w:sz w:val="20"/>
        </w:rPr>
        <w:t>]</w:t>
      </w:r>
      <w:r w:rsidRPr="00412620">
        <w:rPr>
          <w:rFonts w:cs="Arial"/>
          <w:sz w:val="20"/>
        </w:rPr>
        <w:t xml:space="preserve"> with such site or project</w:t>
      </w:r>
      <w:r w:rsidR="002914DC" w:rsidRPr="00412620">
        <w:rPr>
          <w:rStyle w:val="FootnoteReference"/>
          <w:rFonts w:cs="Arial"/>
          <w:sz w:val="20"/>
        </w:rPr>
        <w:footnoteReference w:id="89"/>
      </w:r>
      <w:r w:rsidR="002914DC" w:rsidRPr="00412620">
        <w:rPr>
          <w:rFonts w:cs="Arial"/>
          <w:sz w:val="20"/>
        </w:rPr>
        <w:t xml:space="preserve">[but only where such site, project and its </w:t>
      </w:r>
      <w:r w:rsidR="007C64E6" w:rsidRPr="00412620">
        <w:rPr>
          <w:rStyle w:val="FootnoteReference"/>
          <w:rFonts w:cs="Arial"/>
          <w:sz w:val="20"/>
        </w:rPr>
        <w:footnoteReference w:id="90"/>
      </w:r>
      <w:r w:rsidR="007C64E6" w:rsidRPr="00412620">
        <w:rPr>
          <w:rFonts w:cs="Arial"/>
          <w:sz w:val="20"/>
        </w:rPr>
        <w:t>[connected]</w:t>
      </w:r>
      <w:r w:rsidR="002914DC" w:rsidRPr="00412620">
        <w:rPr>
          <w:rFonts w:cs="Arial"/>
          <w:sz w:val="20"/>
        </w:rPr>
        <w:t xml:space="preserve"> supervisory activities continue for a period or periods aggregating more than ninety days within any twelve-months period] </w:t>
      </w:r>
      <w:r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 xml:space="preserve">the furnishing of services, including consultancy services, by any person through employees or other personnel engaged by the person for such purpose </w:t>
      </w:r>
      <w:r w:rsidRPr="00412620">
        <w:rPr>
          <w:rStyle w:val="FootnoteReference"/>
          <w:rFonts w:cs="Arial"/>
          <w:sz w:val="20"/>
        </w:rPr>
        <w:footnoteReference w:id="91"/>
      </w:r>
      <w:r w:rsidRPr="00412620">
        <w:rPr>
          <w:rFonts w:cs="Arial"/>
          <w:sz w:val="20"/>
        </w:rPr>
        <w: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a  person  acting  in  Pakistan  on   behalf   of   the   person (hereinafter referred to as the “agent</w:t>
      </w:r>
      <w:r w:rsidRPr="00412620">
        <w:rPr>
          <w:rStyle w:val="FootnoteReference"/>
          <w:rFonts w:cs="Arial"/>
          <w:sz w:val="20"/>
        </w:rPr>
        <w:footnoteReference w:id="92"/>
      </w:r>
      <w:r w:rsidRPr="00412620">
        <w:rPr>
          <w:rFonts w:cs="Arial"/>
          <w:sz w:val="20"/>
        </w:rPr>
        <w:t>[”),] other than an agent of independent status acting in the ordinary course of business as such, if the agent –</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w:t>
      </w:r>
      <w:r w:rsidRPr="00412620">
        <w:rPr>
          <w:rFonts w:cs="Arial"/>
          <w:sz w:val="20"/>
        </w:rPr>
        <w:tab/>
        <w:t>has and habitually exercises an authority to conclude contracts on behalf of the other person;</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(ii)</w:t>
      </w:r>
      <w:r w:rsidRPr="00412620">
        <w:rPr>
          <w:rFonts w:cs="Arial"/>
          <w:sz w:val="20"/>
        </w:rPr>
        <w:tab/>
        <w:t>has no such authority, but habitually maintains a stock-in-trade or other merchandise from which the agent regularly delivers goods or merchandise on behalf of the other person; or</w:t>
      </w:r>
    </w:p>
    <w:p w:rsidR="006A3F93" w:rsidRPr="00412620" w:rsidRDefault="006A3F93">
      <w:pPr>
        <w:pStyle w:val="BodyTextIndent3"/>
        <w:ind w:left="0" w:firstLine="0"/>
        <w:jc w:val="both"/>
        <w:rPr>
          <w:rFonts w:cs="Arial"/>
          <w:sz w:val="12"/>
        </w:rPr>
      </w:pPr>
    </w:p>
    <w:p w:rsidR="006A3F93" w:rsidRPr="00412620" w:rsidRDefault="006A3F93">
      <w:pPr>
        <w:ind w:left="1620" w:hanging="540"/>
        <w:jc w:val="both"/>
        <w:rPr>
          <w:rFonts w:cs="Arial"/>
          <w:sz w:val="20"/>
        </w:rPr>
      </w:pPr>
      <w:r w:rsidRPr="00412620">
        <w:rPr>
          <w:rFonts w:cs="Arial"/>
          <w:sz w:val="20"/>
        </w:rPr>
        <w:t>(f)</w:t>
      </w:r>
      <w:r w:rsidRPr="00412620">
        <w:rPr>
          <w:rFonts w:cs="Arial"/>
          <w:sz w:val="20"/>
        </w:rPr>
        <w:tab/>
        <w:t>any substantial equipment installed, or other asset or property capable of activity giving rise to income;</w:t>
      </w:r>
    </w:p>
    <w:p w:rsidR="006A3F93" w:rsidRPr="00412620" w:rsidRDefault="006A3F93">
      <w:pPr>
        <w:jc w:val="both"/>
        <w:rPr>
          <w:rFonts w:cs="Arial"/>
          <w:sz w:val="20"/>
        </w:rPr>
      </w:pPr>
    </w:p>
    <w:p w:rsidR="006A3F93" w:rsidRDefault="006A3F93">
      <w:pPr>
        <w:ind w:left="1080" w:hanging="540"/>
        <w:jc w:val="both"/>
        <w:rPr>
          <w:rFonts w:cs="Arial"/>
          <w:sz w:val="20"/>
        </w:rPr>
      </w:pPr>
      <w:r w:rsidRPr="00412620">
        <w:rPr>
          <w:rFonts w:cs="Arial"/>
          <w:sz w:val="20"/>
        </w:rPr>
        <w:t>(42)</w:t>
      </w:r>
      <w:r w:rsidRPr="00412620">
        <w:rPr>
          <w:rFonts w:cs="Arial"/>
          <w:sz w:val="20"/>
        </w:rPr>
        <w:tab/>
        <w:t>“person” means a person as defined in section 80;</w:t>
      </w:r>
    </w:p>
    <w:p w:rsidR="00900ACD" w:rsidRDefault="00900ACD">
      <w:pPr>
        <w:ind w:left="1080" w:hanging="540"/>
        <w:jc w:val="both"/>
        <w:rPr>
          <w:rFonts w:cs="Arial"/>
          <w:sz w:val="20"/>
        </w:rPr>
      </w:pPr>
    </w:p>
    <w:p w:rsidR="00900ACD" w:rsidRPr="00F90D95" w:rsidRDefault="00832D2B" w:rsidP="00832D2B">
      <w:pPr>
        <w:autoSpaceDE w:val="0"/>
        <w:autoSpaceDN w:val="0"/>
        <w:adjustRightInd w:val="0"/>
        <w:ind w:left="1080" w:hanging="810"/>
        <w:jc w:val="both"/>
        <w:rPr>
          <w:rFonts w:cs="Arial"/>
          <w:color w:val="000000" w:themeColor="text1"/>
          <w:sz w:val="20"/>
        </w:rPr>
      </w:pPr>
      <w:r w:rsidRPr="00F90D95">
        <w:rPr>
          <w:rStyle w:val="FootnoteReference"/>
          <w:rFonts w:cs="Arial"/>
          <w:color w:val="000000" w:themeColor="text1"/>
          <w:sz w:val="20"/>
        </w:rPr>
        <w:lastRenderedPageBreak/>
        <w:footnoteReference w:id="93"/>
      </w:r>
      <w:r w:rsidR="00900ACD" w:rsidRPr="00F90D95">
        <w:rPr>
          <w:rFonts w:cs="Arial"/>
          <w:color w:val="000000" w:themeColor="text1"/>
          <w:sz w:val="20"/>
        </w:rPr>
        <w:t>[</w:t>
      </w:r>
      <w:r w:rsidR="00900ACD" w:rsidRPr="00F90D95">
        <w:rPr>
          <w:rFonts w:cs="Arial"/>
          <w:color w:val="000000" w:themeColor="text1"/>
          <w:sz w:val="20"/>
          <w:lang w:val="en-US"/>
        </w:rPr>
        <w:t>(42A)</w:t>
      </w:r>
      <w:r w:rsidR="00715E9E" w:rsidRPr="00F90D95">
        <w:rPr>
          <w:rFonts w:cs="Arial"/>
          <w:color w:val="000000" w:themeColor="text1"/>
          <w:sz w:val="20"/>
          <w:lang w:val="en-US"/>
        </w:rPr>
        <w:t xml:space="preserve"> “</w:t>
      </w:r>
      <w:r w:rsidR="00900ACD" w:rsidRPr="00F90D95">
        <w:rPr>
          <w:rFonts w:cs="Arial"/>
          <w:color w:val="000000" w:themeColor="text1"/>
          <w:sz w:val="20"/>
          <w:lang w:val="en-US"/>
        </w:rPr>
        <w:t>PMEX</w:t>
      </w:r>
      <w:r w:rsidR="00715E9E" w:rsidRPr="00F90D95">
        <w:rPr>
          <w:rFonts w:cs="Arial"/>
          <w:color w:val="000000" w:themeColor="text1"/>
          <w:sz w:val="20"/>
          <w:lang w:val="en-US"/>
        </w:rPr>
        <w:t>”</w:t>
      </w:r>
      <w:r w:rsidR="00900ACD" w:rsidRPr="00F90D95">
        <w:rPr>
          <w:rFonts w:cs="Arial"/>
          <w:color w:val="000000" w:themeColor="text1"/>
          <w:sz w:val="20"/>
          <w:lang w:val="en-US"/>
        </w:rPr>
        <w:t xml:space="preserve"> means Pakistan Mercantile Exchange</w:t>
      </w:r>
      <w:r w:rsidR="00424751" w:rsidRPr="00F90D95">
        <w:rPr>
          <w:rFonts w:cs="Arial"/>
          <w:color w:val="000000" w:themeColor="text1"/>
          <w:sz w:val="20"/>
          <w:lang w:val="en-US"/>
        </w:rPr>
        <w:t xml:space="preserve"> </w:t>
      </w:r>
      <w:r w:rsidR="00900ACD" w:rsidRPr="00F90D95">
        <w:rPr>
          <w:rFonts w:cs="Arial"/>
          <w:color w:val="000000" w:themeColor="text1"/>
          <w:sz w:val="20"/>
          <w:lang w:val="en-US"/>
        </w:rPr>
        <w:t>Limited a futures</w:t>
      </w:r>
      <w:r w:rsidR="00424751" w:rsidRPr="00F90D95">
        <w:rPr>
          <w:rFonts w:cs="Arial"/>
          <w:color w:val="000000" w:themeColor="text1"/>
          <w:sz w:val="20"/>
          <w:lang w:val="en-US"/>
        </w:rPr>
        <w:t xml:space="preserve"> </w:t>
      </w:r>
      <w:r w:rsidR="00900ACD" w:rsidRPr="00F90D95">
        <w:rPr>
          <w:rFonts w:cs="Arial"/>
          <w:color w:val="000000" w:themeColor="text1"/>
          <w:sz w:val="20"/>
          <w:lang w:val="en-US"/>
        </w:rPr>
        <w:t>commodity exchange company</w:t>
      </w:r>
      <w:r w:rsidR="00424751" w:rsidRPr="00F90D95">
        <w:rPr>
          <w:rFonts w:cs="Arial"/>
          <w:color w:val="000000" w:themeColor="text1"/>
          <w:sz w:val="20"/>
          <w:lang w:val="en-US"/>
        </w:rPr>
        <w:t xml:space="preserve"> </w:t>
      </w:r>
      <w:r w:rsidR="00900ACD" w:rsidRPr="00F90D95">
        <w:rPr>
          <w:rFonts w:cs="Arial"/>
          <w:color w:val="000000" w:themeColor="text1"/>
          <w:sz w:val="20"/>
          <w:lang w:val="en-US"/>
        </w:rPr>
        <w:t>incorporated under the Companies Ordinance, 1984(XLVII of 1984) and is licensed and regulated by the</w:t>
      </w:r>
      <w:r w:rsidR="00424751" w:rsidRPr="00F90D95">
        <w:rPr>
          <w:rFonts w:cs="Arial"/>
          <w:color w:val="000000" w:themeColor="text1"/>
          <w:sz w:val="20"/>
          <w:lang w:val="en-US"/>
        </w:rPr>
        <w:t xml:space="preserve"> </w:t>
      </w:r>
      <w:r w:rsidR="00900ACD" w:rsidRPr="00F90D95">
        <w:rPr>
          <w:rFonts w:cs="Arial"/>
          <w:color w:val="000000" w:themeColor="text1"/>
          <w:sz w:val="20"/>
          <w:lang w:val="en-US"/>
        </w:rPr>
        <w:t>Securities and Exchange Commission of Pakistan;</w:t>
      </w:r>
      <w:r w:rsidR="00715E9E" w:rsidRPr="00F90D95">
        <w:rPr>
          <w:rFonts w:cs="Arial"/>
          <w:color w:val="000000" w:themeColor="text1"/>
          <w:sz w:val="20"/>
          <w:lang w:val="en-US"/>
        </w:rPr>
        <w:t>”</w:t>
      </w:r>
      <w:r w:rsidR="00605AD1" w:rsidRPr="00F90D95">
        <w:rPr>
          <w:rFonts w:cs="Arial"/>
          <w:color w:val="000000" w:themeColor="text1"/>
          <w:sz w:val="20"/>
          <w:lang w:val="en-US"/>
        </w:rPr>
        <w:t>]</w:t>
      </w:r>
    </w:p>
    <w:p w:rsidR="006A3F93" w:rsidRPr="00412620" w:rsidRDefault="006A3F93">
      <w:pPr>
        <w:jc w:val="both"/>
        <w:rPr>
          <w:rFonts w:cs="Arial"/>
          <w:sz w:val="12"/>
        </w:rPr>
      </w:pPr>
    </w:p>
    <w:p w:rsidR="006A3F93" w:rsidRPr="00412620" w:rsidRDefault="006A3F93">
      <w:pPr>
        <w:ind w:left="1080" w:hanging="540"/>
        <w:jc w:val="both"/>
        <w:rPr>
          <w:rFonts w:cs="Arial"/>
          <w:sz w:val="20"/>
        </w:rPr>
      </w:pPr>
      <w:r w:rsidRPr="00412620">
        <w:rPr>
          <w:rFonts w:cs="Arial"/>
          <w:sz w:val="20"/>
        </w:rPr>
        <w:t>(43)</w:t>
      </w:r>
      <w:r w:rsidRPr="00412620">
        <w:rPr>
          <w:rFonts w:cs="Arial"/>
          <w:sz w:val="20"/>
        </w:rPr>
        <w:tab/>
        <w:t>“pre-commencement expenditure” means a pre-commencement expenditure as defined in section 25;</w:t>
      </w:r>
    </w:p>
    <w:p w:rsidR="006A3F93" w:rsidRPr="00412620" w:rsidRDefault="006A3F93">
      <w:pPr>
        <w:jc w:val="both"/>
        <w:rPr>
          <w:rFonts w:cs="Arial"/>
          <w:sz w:val="20"/>
        </w:rPr>
      </w:pPr>
    </w:p>
    <w:p w:rsidR="006A3F93" w:rsidRPr="00412620" w:rsidRDefault="006A3F93" w:rsidP="00822679">
      <w:pPr>
        <w:numPr>
          <w:ilvl w:val="0"/>
          <w:numId w:val="12"/>
        </w:numPr>
        <w:jc w:val="both"/>
        <w:rPr>
          <w:sz w:val="20"/>
        </w:rPr>
      </w:pPr>
      <w:r w:rsidRPr="00412620">
        <w:rPr>
          <w:sz w:val="20"/>
        </w:rPr>
        <w:t>“prescribed” means prescribed by rules made under this Ordinance;</w:t>
      </w:r>
    </w:p>
    <w:p w:rsidR="006A3F93" w:rsidRPr="00412620" w:rsidRDefault="006A3F93">
      <w:pPr>
        <w:jc w:val="both"/>
        <w:rPr>
          <w:rFonts w:cs="Arial"/>
          <w:sz w:val="20"/>
        </w:rPr>
      </w:pPr>
    </w:p>
    <w:p w:rsidR="006A3F93" w:rsidRPr="00412620" w:rsidRDefault="006A3F93">
      <w:pPr>
        <w:ind w:left="1080" w:hanging="795"/>
        <w:jc w:val="both"/>
        <w:rPr>
          <w:sz w:val="20"/>
        </w:rPr>
      </w:pPr>
      <w:r w:rsidRPr="00412620">
        <w:rPr>
          <w:rStyle w:val="FootnoteReference"/>
          <w:rFonts w:cs="Arial"/>
          <w:sz w:val="20"/>
        </w:rPr>
        <w:footnoteReference w:id="94"/>
      </w:r>
      <w:r w:rsidRPr="00412620">
        <w:rPr>
          <w:sz w:val="20"/>
        </w:rPr>
        <w:t>[(44A)</w:t>
      </w:r>
      <w:r w:rsidRPr="00412620">
        <w:rPr>
          <w:sz w:val="20"/>
        </w:rPr>
        <w:tab/>
        <w:t xml:space="preserve">“principal officer” used with reference to a company or association of persons includes – </w:t>
      </w:r>
    </w:p>
    <w:p w:rsidR="006A3F93" w:rsidRPr="00412620" w:rsidRDefault="006A3F93">
      <w:pPr>
        <w:jc w:val="both"/>
        <w:rPr>
          <w:rFonts w:cs="Arial"/>
          <w:sz w:val="12"/>
        </w:rPr>
      </w:pPr>
    </w:p>
    <w:p w:rsidR="006A3F93" w:rsidRPr="00412620" w:rsidRDefault="006A3F93" w:rsidP="00822679">
      <w:pPr>
        <w:numPr>
          <w:ilvl w:val="0"/>
          <w:numId w:val="13"/>
        </w:numPr>
        <w:tabs>
          <w:tab w:val="clear" w:pos="360"/>
          <w:tab w:val="num" w:pos="1620"/>
        </w:tabs>
        <w:ind w:left="1620" w:hanging="540"/>
        <w:jc w:val="both"/>
        <w:rPr>
          <w:sz w:val="20"/>
        </w:rPr>
      </w:pPr>
      <w:r w:rsidRPr="00412620">
        <w:rPr>
          <w:sz w:val="20"/>
        </w:rPr>
        <w:t>a director, a manager, secretary, agent, accountant or any similar officer; and</w:t>
      </w:r>
    </w:p>
    <w:p w:rsidR="006A3F93" w:rsidRPr="00412620" w:rsidRDefault="006A3F93">
      <w:pPr>
        <w:jc w:val="both"/>
        <w:rPr>
          <w:rFonts w:cs="Arial"/>
          <w:sz w:val="14"/>
        </w:rPr>
      </w:pPr>
    </w:p>
    <w:p w:rsidR="006A3F93" w:rsidRPr="00412620" w:rsidRDefault="006A3F93" w:rsidP="00822679">
      <w:pPr>
        <w:numPr>
          <w:ilvl w:val="0"/>
          <w:numId w:val="13"/>
        </w:numPr>
        <w:tabs>
          <w:tab w:val="clear" w:pos="360"/>
          <w:tab w:val="num" w:pos="1620"/>
        </w:tabs>
        <w:ind w:left="1620" w:hanging="540"/>
        <w:jc w:val="both"/>
        <w:rPr>
          <w:sz w:val="20"/>
        </w:rPr>
      </w:pPr>
      <w:r w:rsidRPr="00412620">
        <w:rPr>
          <w:sz w:val="20"/>
        </w:rPr>
        <w:t>any person connected with the management or administration of the company or association of persons upon whom the Commissioner has served a notice of treating him as the principal officer thereof;]</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(45)</w:t>
      </w:r>
      <w:r w:rsidRPr="00412620">
        <w:rPr>
          <w:rFonts w:cs="Arial"/>
          <w:sz w:val="20"/>
        </w:rPr>
        <w:tab/>
        <w:t>“private company” means a company that is not a public company;</w:t>
      </w:r>
    </w:p>
    <w:p w:rsidR="006A3F93" w:rsidRPr="00412620" w:rsidRDefault="006A3F93">
      <w:pPr>
        <w:jc w:val="both"/>
        <w:rPr>
          <w:rFonts w:cs="Arial"/>
          <w:sz w:val="20"/>
        </w:rPr>
      </w:pPr>
    </w:p>
    <w:p w:rsidR="00EB78A5" w:rsidRPr="00412620" w:rsidRDefault="00EB78A5">
      <w:pPr>
        <w:jc w:val="both"/>
        <w:rPr>
          <w:rFonts w:cs="Arial"/>
          <w:sz w:val="20"/>
        </w:rPr>
      </w:pPr>
      <w:r w:rsidRPr="00412620">
        <w:rPr>
          <w:rFonts w:cs="Arial"/>
          <w:sz w:val="20"/>
        </w:rPr>
        <w:tab/>
      </w:r>
      <w:r w:rsidRPr="00412620">
        <w:rPr>
          <w:rStyle w:val="FootnoteReference"/>
          <w:rFonts w:cs="Arial"/>
          <w:sz w:val="20"/>
        </w:rPr>
        <w:footnoteReference w:id="95"/>
      </w:r>
      <w:r w:rsidRPr="00412620">
        <w:rPr>
          <w:rFonts w:cs="Arial"/>
          <w:sz w:val="20"/>
        </w:rPr>
        <w:t>[  ]</w:t>
      </w:r>
    </w:p>
    <w:p w:rsidR="00EB78A5" w:rsidRPr="00412620" w:rsidRDefault="00EB78A5">
      <w:pPr>
        <w:jc w:val="both"/>
        <w:rPr>
          <w:rFonts w:cs="Arial"/>
          <w:sz w:val="20"/>
        </w:rPr>
      </w:pPr>
    </w:p>
    <w:p w:rsidR="00EB78A5" w:rsidRPr="00412620" w:rsidRDefault="00EB78A5">
      <w:pPr>
        <w:jc w:val="both"/>
        <w:rPr>
          <w:rFonts w:cs="Arial"/>
          <w:sz w:val="20"/>
        </w:rPr>
      </w:pPr>
      <w:r w:rsidRPr="00412620">
        <w:rPr>
          <w:rFonts w:cs="Arial"/>
          <w:sz w:val="20"/>
        </w:rPr>
        <w:tab/>
      </w:r>
      <w:r w:rsidR="00E551AA" w:rsidRPr="00412620">
        <w:rPr>
          <w:rStyle w:val="FootnoteReference"/>
          <w:rFonts w:cs="Arial"/>
          <w:sz w:val="20"/>
        </w:rPr>
        <w:footnoteReference w:id="96"/>
      </w:r>
      <w:r w:rsidRPr="00412620">
        <w:rPr>
          <w:rFonts w:cs="Arial"/>
          <w:sz w:val="20"/>
        </w:rPr>
        <w:t>[  ]</w:t>
      </w:r>
    </w:p>
    <w:p w:rsidR="00854978" w:rsidRPr="00412620" w:rsidRDefault="00854978">
      <w:pPr>
        <w:jc w:val="both"/>
        <w:rPr>
          <w:rFonts w:cs="Arial"/>
          <w:sz w:val="20"/>
        </w:rPr>
      </w:pPr>
    </w:p>
    <w:p w:rsidR="006A3F93" w:rsidRPr="00412620" w:rsidRDefault="006A3F93">
      <w:pPr>
        <w:ind w:left="1080" w:hanging="540"/>
        <w:jc w:val="both"/>
        <w:rPr>
          <w:rFonts w:cs="Arial"/>
          <w:sz w:val="20"/>
        </w:rPr>
      </w:pPr>
      <w:r w:rsidRPr="00412620">
        <w:rPr>
          <w:rFonts w:cs="Arial"/>
          <w:sz w:val="20"/>
        </w:rPr>
        <w:t>(46)</w:t>
      </w:r>
      <w:r w:rsidRPr="00412620">
        <w:rPr>
          <w:rFonts w:cs="Arial"/>
          <w:sz w:val="20"/>
        </w:rPr>
        <w:tab/>
        <w:t xml:space="preserve">“profit on a debt” </w:t>
      </w:r>
      <w:r w:rsidRPr="00412620">
        <w:rPr>
          <w:rStyle w:val="FootnoteReference"/>
          <w:rFonts w:cs="Arial"/>
          <w:sz w:val="20"/>
        </w:rPr>
        <w:footnoteReference w:id="97"/>
      </w:r>
      <w:r w:rsidRPr="00412620">
        <w:rPr>
          <w:rFonts w:cs="Arial"/>
          <w:sz w:val="20"/>
        </w:rPr>
        <w:t xml:space="preserve">[whether payable or receivable, means] </w:t>
      </w:r>
      <w:r w:rsidR="008629F9" w:rsidRPr="00412620">
        <w:rPr>
          <w:rFonts w:cs="Arial"/>
          <w:sz w:val="20"/>
        </w:rPr>
        <w:t>—</w:t>
      </w:r>
    </w:p>
    <w:p w:rsidR="006A3F93" w:rsidRPr="00412620" w:rsidRDefault="006A3F93">
      <w:pPr>
        <w:jc w:val="both"/>
        <w:rPr>
          <w:rFonts w:cs="Arial"/>
          <w:sz w:val="14"/>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any profit, yield, interest, discount, premium or other amount </w:t>
      </w:r>
      <w:r w:rsidRPr="00412620">
        <w:rPr>
          <w:rStyle w:val="FootnoteReference"/>
          <w:rFonts w:cs="Arial"/>
          <w:b/>
          <w:sz w:val="20"/>
        </w:rPr>
        <w:footnoteReference w:id="98"/>
      </w:r>
      <w:r w:rsidRPr="00412620">
        <w:rPr>
          <w:rFonts w:cs="Arial"/>
          <w:sz w:val="20"/>
        </w:rPr>
        <w:t>[,] owing under a debt, other than a return of capital; or</w:t>
      </w:r>
    </w:p>
    <w:p w:rsidR="006A3F93" w:rsidRPr="00412620" w:rsidRDefault="006A3F93">
      <w:pPr>
        <w:jc w:val="both"/>
        <w:rPr>
          <w:rFonts w:cs="Arial"/>
          <w:sz w:val="20"/>
        </w:rPr>
      </w:pPr>
    </w:p>
    <w:p w:rsidR="006A3F93" w:rsidRDefault="006A3F93" w:rsidP="00E77E61">
      <w:pPr>
        <w:pStyle w:val="BodyTextIndent"/>
        <w:ind w:left="1620" w:hanging="540"/>
        <w:jc w:val="both"/>
        <w:rPr>
          <w:rFonts w:cs="Arial"/>
          <w:sz w:val="20"/>
        </w:rPr>
      </w:pPr>
      <w:r w:rsidRPr="00412620">
        <w:rPr>
          <w:rFonts w:cs="Arial"/>
          <w:sz w:val="20"/>
        </w:rPr>
        <w:t>(b)</w:t>
      </w:r>
      <w:r w:rsidRPr="00412620">
        <w:rPr>
          <w:rFonts w:cs="Arial"/>
          <w:sz w:val="20"/>
        </w:rPr>
        <w:tab/>
        <w:t>any service fee or other charge in respect of a debt, including any fee or charge incurred in respect of a credit facility which has not been utilized;</w:t>
      </w:r>
    </w:p>
    <w:p w:rsidR="00E77E61" w:rsidRPr="00412620" w:rsidRDefault="00E77E61" w:rsidP="00E77E61">
      <w:pPr>
        <w:pStyle w:val="BodyTextIndent"/>
        <w:ind w:left="1620" w:hanging="540"/>
        <w:jc w:val="both"/>
        <w:rPr>
          <w:rFonts w:cs="Arial"/>
          <w:sz w:val="14"/>
        </w:rPr>
      </w:pPr>
    </w:p>
    <w:p w:rsidR="006A3F93" w:rsidRPr="00412620" w:rsidRDefault="006A3F93">
      <w:pPr>
        <w:ind w:left="1080" w:hanging="540"/>
        <w:jc w:val="both"/>
        <w:rPr>
          <w:rFonts w:cs="Arial"/>
          <w:sz w:val="20"/>
        </w:rPr>
      </w:pPr>
      <w:r w:rsidRPr="00412620">
        <w:rPr>
          <w:rFonts w:cs="Arial"/>
          <w:sz w:val="20"/>
        </w:rPr>
        <w:lastRenderedPageBreak/>
        <w:t>(47)</w:t>
      </w:r>
      <w:r w:rsidRPr="00412620">
        <w:rPr>
          <w:rFonts w:cs="Arial"/>
          <w:sz w:val="20"/>
        </w:rPr>
        <w:tab/>
        <w:t xml:space="preserve">“public company” means </w:t>
      </w:r>
      <w:r w:rsidR="008629F9" w:rsidRPr="00412620">
        <w:rPr>
          <w:rFonts w:cs="Arial"/>
          <w:sz w:val="20"/>
        </w:rPr>
        <w:t>—</w:t>
      </w:r>
    </w:p>
    <w:p w:rsidR="006A3F93" w:rsidRPr="00412620" w:rsidRDefault="006A3F93">
      <w:pPr>
        <w:pStyle w:val="BodyTextIndent2"/>
        <w:ind w:left="0"/>
        <w:jc w:val="both"/>
        <w:rPr>
          <w:rFonts w:cs="Arial"/>
          <w:sz w:val="14"/>
        </w:rPr>
      </w:pPr>
    </w:p>
    <w:p w:rsidR="006A3F93" w:rsidRPr="00412620" w:rsidRDefault="006A3F93" w:rsidP="00822679">
      <w:pPr>
        <w:pStyle w:val="BodyTextIndent2"/>
        <w:numPr>
          <w:ilvl w:val="0"/>
          <w:numId w:val="14"/>
        </w:numPr>
        <w:jc w:val="both"/>
        <w:rPr>
          <w:sz w:val="20"/>
        </w:rPr>
      </w:pPr>
      <w:r w:rsidRPr="00412620">
        <w:rPr>
          <w:sz w:val="20"/>
        </w:rPr>
        <w:t xml:space="preserve">a company in which not less than fifty </w:t>
      </w:r>
      <w:r w:rsidR="00AB6F06">
        <w:rPr>
          <w:sz w:val="20"/>
        </w:rPr>
        <w:t>per cent</w:t>
      </w:r>
      <w:r w:rsidRPr="00412620">
        <w:rPr>
          <w:sz w:val="20"/>
        </w:rPr>
        <w:t xml:space="preserve"> of the shares are held by the Federal Government </w:t>
      </w:r>
      <w:r w:rsidRPr="00412620">
        <w:rPr>
          <w:rStyle w:val="FootnoteReference"/>
          <w:sz w:val="20"/>
        </w:rPr>
        <w:footnoteReference w:id="99"/>
      </w:r>
      <w:r w:rsidRPr="00412620">
        <w:rPr>
          <w:sz w:val="20"/>
        </w:rPr>
        <w:t xml:space="preserve">[or Provincial Government]; </w:t>
      </w:r>
    </w:p>
    <w:p w:rsidR="00E0255D" w:rsidRPr="00412620" w:rsidRDefault="00E0255D" w:rsidP="00E0255D">
      <w:pPr>
        <w:pStyle w:val="BodyTextIndent2"/>
        <w:ind w:left="1620" w:hanging="795"/>
        <w:jc w:val="both"/>
        <w:rPr>
          <w:sz w:val="20"/>
        </w:rPr>
      </w:pPr>
    </w:p>
    <w:p w:rsidR="006A3F93" w:rsidRPr="00412620" w:rsidRDefault="006A3F93" w:rsidP="00E0255D">
      <w:pPr>
        <w:pStyle w:val="BodyTextIndent2"/>
        <w:ind w:left="1620" w:hanging="795"/>
        <w:jc w:val="both"/>
        <w:rPr>
          <w:sz w:val="20"/>
        </w:rPr>
      </w:pPr>
      <w:r w:rsidRPr="00412620">
        <w:rPr>
          <w:rStyle w:val="FootnoteReference"/>
          <w:rFonts w:cs="Arial"/>
          <w:sz w:val="20"/>
        </w:rPr>
        <w:footnoteReference w:id="100"/>
      </w:r>
      <w:r w:rsidRPr="00412620">
        <w:rPr>
          <w:sz w:val="20"/>
        </w:rPr>
        <w:t>[(ab)</w:t>
      </w:r>
      <w:r w:rsidRPr="00412620">
        <w:rPr>
          <w:sz w:val="20"/>
        </w:rPr>
        <w:tab/>
        <w:t xml:space="preserve">a company in which </w:t>
      </w:r>
      <w:r w:rsidRPr="00412620">
        <w:rPr>
          <w:rStyle w:val="FootnoteReference"/>
          <w:sz w:val="20"/>
        </w:rPr>
        <w:footnoteReference w:id="101"/>
      </w:r>
      <w:r w:rsidRPr="00412620">
        <w:rPr>
          <w:sz w:val="20"/>
        </w:rPr>
        <w:t xml:space="preserve">[not less than fifty </w:t>
      </w:r>
      <w:r w:rsidR="00AB6F06">
        <w:rPr>
          <w:sz w:val="20"/>
        </w:rPr>
        <w:t>per cent</w:t>
      </w:r>
      <w:r w:rsidRPr="00412620">
        <w:rPr>
          <w:sz w:val="20"/>
        </w:rPr>
        <w:t xml:space="preserve"> of the] shares are held by a foreign Government, or a foreign company owned by a foreign Government </w:t>
      </w:r>
      <w:r w:rsidRPr="00412620">
        <w:rPr>
          <w:rStyle w:val="FootnoteReference"/>
          <w:sz w:val="20"/>
        </w:rPr>
        <w:footnoteReference w:id="102"/>
      </w:r>
      <w:r w:rsidRPr="00412620">
        <w:rPr>
          <w:sz w:val="20"/>
        </w:rPr>
        <w:t>[;]]</w:t>
      </w:r>
    </w:p>
    <w:p w:rsidR="006A3F93" w:rsidRPr="00412620" w:rsidRDefault="006A3F93">
      <w:pPr>
        <w:pStyle w:val="BodyTextIndent2"/>
        <w:ind w:left="0"/>
        <w:jc w:val="both"/>
        <w:rPr>
          <w:rFonts w:cs="Arial"/>
          <w:sz w:val="14"/>
        </w:rPr>
      </w:pPr>
    </w:p>
    <w:p w:rsidR="006A3F93" w:rsidRPr="00412620" w:rsidRDefault="006A3F93">
      <w:pPr>
        <w:pStyle w:val="BodyTextIndent2"/>
        <w:ind w:left="1620" w:hanging="540"/>
        <w:jc w:val="both"/>
        <w:rPr>
          <w:rFonts w:cs="Arial"/>
          <w:sz w:val="20"/>
        </w:rPr>
      </w:pPr>
      <w:r w:rsidRPr="00412620">
        <w:rPr>
          <w:rFonts w:cs="Arial"/>
          <w:sz w:val="20"/>
        </w:rPr>
        <w:t>(b)</w:t>
      </w:r>
      <w:r w:rsidRPr="00412620">
        <w:rPr>
          <w:rFonts w:cs="Arial"/>
          <w:sz w:val="20"/>
        </w:rPr>
        <w:tab/>
        <w:t xml:space="preserve">a company whose shares were traded on a registered stock exchange in Pakistan at any time in the tax year and which remained listed on that exchange </w:t>
      </w:r>
      <w:r w:rsidRPr="00412620">
        <w:rPr>
          <w:rFonts w:cs="Arial"/>
          <w:sz w:val="20"/>
          <w:vertAlign w:val="superscript"/>
        </w:rPr>
        <w:footnoteReference w:id="103"/>
      </w:r>
      <w:r w:rsidRPr="00412620">
        <w:rPr>
          <w:rFonts w:cs="Arial"/>
          <w:sz w:val="20"/>
        </w:rPr>
        <w:t>[ ] at the end of that year; or</w:t>
      </w:r>
    </w:p>
    <w:p w:rsidR="00694484" w:rsidRPr="00412620" w:rsidRDefault="00694484">
      <w:pPr>
        <w:pStyle w:val="BodyTextIndent2"/>
        <w:ind w:left="0"/>
        <w:jc w:val="both"/>
        <w:rPr>
          <w:rFonts w:cs="Arial"/>
          <w:sz w:val="18"/>
        </w:rPr>
      </w:pPr>
    </w:p>
    <w:p w:rsidR="006A3F93" w:rsidRPr="00412620" w:rsidRDefault="006A3F93">
      <w:pPr>
        <w:pStyle w:val="BodyTextIndent2"/>
        <w:ind w:left="1620" w:hanging="630"/>
        <w:jc w:val="both"/>
        <w:rPr>
          <w:sz w:val="20"/>
        </w:rPr>
      </w:pPr>
      <w:r w:rsidRPr="00412620">
        <w:rPr>
          <w:rStyle w:val="FootnoteReference"/>
          <w:rFonts w:cs="Arial"/>
          <w:sz w:val="20"/>
        </w:rPr>
        <w:footnoteReference w:id="104"/>
      </w:r>
      <w:r w:rsidRPr="00412620">
        <w:rPr>
          <w:sz w:val="20"/>
        </w:rPr>
        <w:t xml:space="preserve">[(c) </w:t>
      </w:r>
      <w:r w:rsidRPr="00412620">
        <w:rPr>
          <w:sz w:val="20"/>
        </w:rPr>
        <w:tab/>
        <w:t>a unit trust whose units are widely available to the public and any other trust as defined in the Trusts Act, 1882 (II of 1882);]</w:t>
      </w:r>
    </w:p>
    <w:p w:rsidR="006A3F93" w:rsidRPr="00412620" w:rsidRDefault="006A3F93">
      <w:pPr>
        <w:jc w:val="both"/>
        <w:rPr>
          <w:rFonts w:cs="Arial"/>
          <w:sz w:val="18"/>
        </w:rPr>
      </w:pPr>
    </w:p>
    <w:p w:rsidR="007E697F" w:rsidRPr="00F90D95" w:rsidRDefault="00C61051" w:rsidP="00F812F6">
      <w:pPr>
        <w:autoSpaceDE w:val="0"/>
        <w:autoSpaceDN w:val="0"/>
        <w:adjustRightInd w:val="0"/>
        <w:ind w:left="1080" w:hanging="810"/>
        <w:rPr>
          <w:rFonts w:cs="Arial"/>
          <w:color w:val="000000" w:themeColor="text1"/>
          <w:sz w:val="20"/>
        </w:rPr>
      </w:pPr>
      <w:r w:rsidRPr="00F90D95">
        <w:rPr>
          <w:rStyle w:val="FootnoteReference"/>
          <w:rFonts w:cs="Arial"/>
          <w:color w:val="000000" w:themeColor="text1"/>
          <w:sz w:val="20"/>
        </w:rPr>
        <w:footnoteReference w:id="105"/>
      </w:r>
      <w:r w:rsidR="007E697F" w:rsidRPr="00F90D95">
        <w:rPr>
          <w:rFonts w:cs="Arial"/>
          <w:color w:val="000000" w:themeColor="text1"/>
          <w:sz w:val="20"/>
        </w:rPr>
        <w:t>[</w:t>
      </w:r>
      <w:r w:rsidR="007E697F" w:rsidRPr="00F90D95">
        <w:rPr>
          <w:rFonts w:cs="Arial"/>
          <w:color w:val="000000" w:themeColor="text1"/>
          <w:sz w:val="20"/>
          <w:lang w:val="en-US"/>
        </w:rPr>
        <w:t>(47A) “REIT Scheme” means a REIT Scheme as defined in the Real Estate Inves</w:t>
      </w:r>
      <w:r w:rsidR="008A12ED" w:rsidRPr="00F90D95">
        <w:rPr>
          <w:rFonts w:cs="Arial"/>
          <w:color w:val="000000" w:themeColor="text1"/>
          <w:sz w:val="20"/>
          <w:lang w:val="en-US"/>
        </w:rPr>
        <w:t>tment Trust Regulations, 2015;”</w:t>
      </w:r>
      <w:r w:rsidR="00F812F6" w:rsidRPr="00F90D95">
        <w:rPr>
          <w:rFonts w:cs="Arial"/>
          <w:color w:val="000000" w:themeColor="text1"/>
          <w:sz w:val="20"/>
          <w:lang w:val="en-US"/>
        </w:rPr>
        <w:t>]</w:t>
      </w:r>
    </w:p>
    <w:p w:rsidR="000652F7" w:rsidRPr="00E77E61" w:rsidRDefault="000652F7">
      <w:pPr>
        <w:jc w:val="both"/>
        <w:rPr>
          <w:rFonts w:cs="Arial"/>
          <w:sz w:val="10"/>
        </w:rPr>
      </w:pPr>
    </w:p>
    <w:p w:rsidR="00624A78" w:rsidRPr="00E77E61" w:rsidRDefault="00624A78" w:rsidP="00624A78">
      <w:pPr>
        <w:ind w:left="1080" w:hanging="810"/>
        <w:jc w:val="both"/>
        <w:rPr>
          <w:rFonts w:cs="Arial"/>
          <w:sz w:val="2"/>
        </w:rPr>
      </w:pPr>
    </w:p>
    <w:p w:rsidR="007C5F12" w:rsidRPr="00F90D95" w:rsidRDefault="007C5F12" w:rsidP="007C5F12">
      <w:pPr>
        <w:ind w:left="1080" w:hanging="840"/>
        <w:jc w:val="both"/>
        <w:rPr>
          <w:rFonts w:cs="Arial"/>
          <w:color w:val="000000" w:themeColor="text1"/>
          <w:sz w:val="20"/>
        </w:rPr>
      </w:pPr>
      <w:r w:rsidRPr="00F90D95">
        <w:rPr>
          <w:rStyle w:val="FootnoteReference"/>
          <w:rFonts w:cs="Arial"/>
          <w:color w:val="000000" w:themeColor="text1"/>
          <w:sz w:val="20"/>
        </w:rPr>
        <w:footnoteReference w:id="106"/>
      </w:r>
      <w:r w:rsidRPr="00F90D95">
        <w:rPr>
          <w:rFonts w:cs="Arial"/>
          <w:color w:val="000000" w:themeColor="text1"/>
          <w:sz w:val="20"/>
        </w:rPr>
        <w:t>[(47B)</w:t>
      </w:r>
      <w:r w:rsidRPr="00F90D95">
        <w:rPr>
          <w:rFonts w:cs="Arial"/>
          <w:color w:val="000000" w:themeColor="text1"/>
          <w:sz w:val="20"/>
        </w:rPr>
        <w:tab/>
        <w:t xml:space="preserve">“Real Estate Investment Trust Management Company </w:t>
      </w:r>
      <w:r w:rsidR="009D6EFD" w:rsidRPr="00F90D95">
        <w:rPr>
          <w:rStyle w:val="FootnoteReference"/>
          <w:rFonts w:cs="Arial"/>
          <w:color w:val="000000" w:themeColor="text1"/>
          <w:sz w:val="20"/>
        </w:rPr>
        <w:footnoteReference w:id="107"/>
      </w:r>
      <w:r w:rsidR="009D6EFD" w:rsidRPr="00F90D95">
        <w:rPr>
          <w:rFonts w:cs="Arial"/>
          <w:color w:val="000000" w:themeColor="text1"/>
          <w:sz w:val="20"/>
        </w:rPr>
        <w:t>[RMC]</w:t>
      </w:r>
      <w:r w:rsidR="00F90D95">
        <w:rPr>
          <w:rFonts w:cs="Arial"/>
          <w:color w:val="000000" w:themeColor="text1"/>
          <w:sz w:val="20"/>
        </w:rPr>
        <w:t xml:space="preserve"> </w:t>
      </w:r>
      <w:r w:rsidRPr="00F90D95">
        <w:rPr>
          <w:rFonts w:cs="Arial"/>
          <w:color w:val="000000" w:themeColor="text1"/>
          <w:sz w:val="20"/>
        </w:rPr>
        <w:t xml:space="preserve">means </w:t>
      </w:r>
      <w:r w:rsidR="009D6EFD" w:rsidRPr="00F90D95">
        <w:rPr>
          <w:rStyle w:val="FootnoteReference"/>
          <w:rFonts w:cs="Arial"/>
          <w:color w:val="000000" w:themeColor="text1"/>
          <w:sz w:val="20"/>
        </w:rPr>
        <w:footnoteReference w:id="108"/>
      </w:r>
      <w:r w:rsidR="009D6EFD" w:rsidRPr="00F90D95">
        <w:rPr>
          <w:rFonts w:cs="Arial"/>
          <w:color w:val="000000" w:themeColor="text1"/>
          <w:sz w:val="20"/>
        </w:rPr>
        <w:t>[RMC]</w:t>
      </w:r>
      <w:r w:rsidRPr="00F90D95">
        <w:rPr>
          <w:rFonts w:cs="Arial"/>
          <w:color w:val="000000" w:themeColor="text1"/>
          <w:sz w:val="20"/>
        </w:rPr>
        <w:t xml:space="preserve"> as defined under the Real Estate In</w:t>
      </w:r>
      <w:r w:rsidR="008A12ED" w:rsidRPr="00F90D95">
        <w:rPr>
          <w:rFonts w:cs="Arial"/>
          <w:color w:val="000000" w:themeColor="text1"/>
          <w:sz w:val="20"/>
        </w:rPr>
        <w:t xml:space="preserve">vestment Trust Regulations, </w:t>
      </w:r>
      <w:r w:rsidR="0037253E" w:rsidRPr="00F90D95">
        <w:rPr>
          <w:rStyle w:val="FootnoteReference"/>
          <w:rFonts w:cs="Arial"/>
          <w:color w:val="000000" w:themeColor="text1"/>
          <w:sz w:val="20"/>
        </w:rPr>
        <w:footnoteReference w:id="109"/>
      </w:r>
      <w:r w:rsidR="0037253E" w:rsidRPr="00F90D95">
        <w:rPr>
          <w:rFonts w:cs="Arial"/>
          <w:color w:val="000000" w:themeColor="text1"/>
          <w:sz w:val="20"/>
        </w:rPr>
        <w:t>[</w:t>
      </w:r>
      <w:r w:rsidR="008A12ED" w:rsidRPr="00F90D95">
        <w:rPr>
          <w:rFonts w:cs="Arial"/>
          <w:color w:val="000000" w:themeColor="text1"/>
          <w:sz w:val="20"/>
        </w:rPr>
        <w:t>2015</w:t>
      </w:r>
      <w:r w:rsidR="0037253E" w:rsidRPr="00F90D95">
        <w:rPr>
          <w:rFonts w:cs="Arial"/>
          <w:color w:val="000000" w:themeColor="text1"/>
          <w:sz w:val="20"/>
        </w:rPr>
        <w:t>]</w:t>
      </w:r>
      <w:r w:rsidRPr="00F90D95">
        <w:rPr>
          <w:rFonts w:cs="Arial"/>
          <w:color w:val="000000" w:themeColor="text1"/>
          <w:sz w:val="20"/>
        </w:rPr>
        <w:t>;]</w:t>
      </w:r>
    </w:p>
    <w:p w:rsidR="00A56FC6" w:rsidRPr="00412620" w:rsidRDefault="00A56FC6" w:rsidP="007C5F12">
      <w:pPr>
        <w:ind w:left="1080" w:hanging="840"/>
        <w:jc w:val="both"/>
        <w:rPr>
          <w:rFonts w:cs="Arial"/>
        </w:rPr>
      </w:pPr>
    </w:p>
    <w:p w:rsidR="007C5F12" w:rsidRPr="00F90D95" w:rsidRDefault="00A56FC6" w:rsidP="00A56FC6">
      <w:pPr>
        <w:ind w:firstLine="270"/>
        <w:jc w:val="both"/>
        <w:rPr>
          <w:rFonts w:cs="Arial"/>
          <w:color w:val="000000" w:themeColor="text1"/>
          <w:sz w:val="20"/>
        </w:rPr>
      </w:pPr>
      <w:r w:rsidRPr="00F90D95">
        <w:rPr>
          <w:rStyle w:val="FootnoteReference"/>
          <w:rFonts w:cs="Arial"/>
          <w:color w:val="000000" w:themeColor="text1"/>
          <w:sz w:val="20"/>
        </w:rPr>
        <w:footnoteReference w:id="110"/>
      </w:r>
      <w:r w:rsidRPr="00F90D95">
        <w:rPr>
          <w:rFonts w:cs="Arial"/>
          <w:color w:val="000000" w:themeColor="text1"/>
          <w:sz w:val="20"/>
        </w:rPr>
        <w:t>[(47C)</w:t>
      </w:r>
      <w:r w:rsidRPr="00F90D95">
        <w:rPr>
          <w:rFonts w:cs="Arial"/>
          <w:color w:val="000000" w:themeColor="text1"/>
          <w:sz w:val="20"/>
        </w:rPr>
        <w:tab/>
        <w:t xml:space="preserve">“Rental </w:t>
      </w:r>
      <w:r w:rsidR="003A024B" w:rsidRPr="00F90D95">
        <w:rPr>
          <w:rFonts w:cs="Arial"/>
          <w:color w:val="000000" w:themeColor="text1"/>
          <w:sz w:val="20"/>
        </w:rPr>
        <w:t xml:space="preserve">REIT </w:t>
      </w:r>
      <w:r w:rsidRPr="00F90D95">
        <w:rPr>
          <w:rFonts w:cs="Arial"/>
          <w:color w:val="000000" w:themeColor="text1"/>
          <w:sz w:val="20"/>
        </w:rPr>
        <w:t xml:space="preserve">Scheme” means a Rental REIT Scheme as defined </w:t>
      </w:r>
      <w:r w:rsidR="003A024B" w:rsidRPr="00F90D95">
        <w:rPr>
          <w:rFonts w:cs="Arial"/>
          <w:color w:val="000000" w:themeColor="text1"/>
          <w:sz w:val="20"/>
        </w:rPr>
        <w:tab/>
      </w:r>
      <w:r w:rsidR="003A024B" w:rsidRPr="00F90D95">
        <w:rPr>
          <w:rFonts w:cs="Arial"/>
          <w:color w:val="000000" w:themeColor="text1"/>
          <w:sz w:val="20"/>
        </w:rPr>
        <w:tab/>
      </w:r>
      <w:r w:rsidR="003A024B" w:rsidRPr="00F90D95">
        <w:rPr>
          <w:rFonts w:cs="Arial"/>
          <w:color w:val="000000" w:themeColor="text1"/>
          <w:sz w:val="20"/>
        </w:rPr>
        <w:tab/>
      </w:r>
      <w:r w:rsidRPr="00F90D95">
        <w:rPr>
          <w:rFonts w:cs="Arial"/>
          <w:color w:val="000000" w:themeColor="text1"/>
          <w:sz w:val="20"/>
        </w:rPr>
        <w:t>under the Real Estate Inves</w:t>
      </w:r>
      <w:r w:rsidR="008A12ED" w:rsidRPr="00F90D95">
        <w:rPr>
          <w:rFonts w:cs="Arial"/>
          <w:color w:val="000000" w:themeColor="text1"/>
          <w:sz w:val="20"/>
        </w:rPr>
        <w:t>tment Trust Regulations, 2015;”</w:t>
      </w:r>
      <w:r w:rsidRPr="00F90D95">
        <w:rPr>
          <w:rFonts w:cs="Arial"/>
          <w:color w:val="000000" w:themeColor="text1"/>
          <w:sz w:val="20"/>
        </w:rPr>
        <w:t>]</w:t>
      </w:r>
    </w:p>
    <w:p w:rsidR="00A56FC6" w:rsidRPr="00A56FC6" w:rsidRDefault="00A56FC6" w:rsidP="00A56FC6">
      <w:pPr>
        <w:ind w:firstLine="270"/>
        <w:jc w:val="both"/>
        <w:rPr>
          <w:rFonts w:cs="Arial"/>
          <w:sz w:val="20"/>
        </w:rPr>
      </w:pPr>
    </w:p>
    <w:p w:rsidR="006A3F93" w:rsidRPr="00412620" w:rsidRDefault="006A3F93">
      <w:pPr>
        <w:ind w:left="1080" w:hanging="540"/>
        <w:jc w:val="both"/>
        <w:rPr>
          <w:rFonts w:cs="Arial"/>
          <w:sz w:val="20"/>
        </w:rPr>
      </w:pPr>
      <w:r w:rsidRPr="00412620">
        <w:rPr>
          <w:rFonts w:cs="Arial"/>
          <w:sz w:val="20"/>
        </w:rPr>
        <w:t>(48)</w:t>
      </w:r>
      <w:r w:rsidRPr="00412620">
        <w:rPr>
          <w:rFonts w:cs="Arial"/>
          <w:sz w:val="20"/>
        </w:rPr>
        <w:tab/>
        <w:t xml:space="preserve">“recognised provident fund” means a provident fund recognised by the Commissioner in accordance with Part I of the Sixth Schedule; </w:t>
      </w:r>
    </w:p>
    <w:p w:rsidR="006A3F93" w:rsidRPr="00412620" w:rsidRDefault="006A3F93">
      <w:pPr>
        <w:jc w:val="both"/>
        <w:rPr>
          <w:rFonts w:cs="Arial"/>
        </w:rPr>
      </w:pPr>
    </w:p>
    <w:p w:rsidR="006A3F93" w:rsidRPr="00412620" w:rsidRDefault="003E679E">
      <w:pPr>
        <w:jc w:val="both"/>
        <w:rPr>
          <w:rFonts w:cs="Arial"/>
          <w:sz w:val="20"/>
        </w:rPr>
      </w:pPr>
      <w:r w:rsidRPr="00412620">
        <w:rPr>
          <w:rFonts w:cs="Arial"/>
          <w:sz w:val="20"/>
        </w:rPr>
        <w:tab/>
      </w:r>
      <w:r w:rsidR="00F6087D" w:rsidRPr="00412620">
        <w:rPr>
          <w:rStyle w:val="FootnoteReference"/>
          <w:rFonts w:cs="Arial"/>
          <w:sz w:val="20"/>
        </w:rPr>
        <w:footnoteReference w:id="111"/>
      </w:r>
      <w:r w:rsidRPr="00412620">
        <w:rPr>
          <w:rFonts w:cs="Arial"/>
          <w:sz w:val="20"/>
        </w:rPr>
        <w:t>[ ]</w:t>
      </w:r>
    </w:p>
    <w:p w:rsidR="003E679E" w:rsidRPr="00412620" w:rsidRDefault="003E679E">
      <w:pPr>
        <w:ind w:left="1080" w:hanging="540"/>
        <w:jc w:val="both"/>
        <w:rPr>
          <w:rFonts w:cs="Arial"/>
          <w:sz w:val="20"/>
        </w:rPr>
      </w:pPr>
    </w:p>
    <w:p w:rsidR="006A3F93" w:rsidRPr="00412620" w:rsidRDefault="006A3F93">
      <w:pPr>
        <w:ind w:left="1080" w:hanging="540"/>
        <w:jc w:val="both"/>
        <w:rPr>
          <w:rFonts w:cs="Arial"/>
          <w:sz w:val="20"/>
        </w:rPr>
      </w:pPr>
      <w:r w:rsidRPr="00412620">
        <w:rPr>
          <w:rFonts w:cs="Arial"/>
          <w:sz w:val="20"/>
        </w:rPr>
        <w:t>(49)</w:t>
      </w:r>
      <w:r w:rsidRPr="00412620">
        <w:rPr>
          <w:rFonts w:cs="Arial"/>
          <w:sz w:val="20"/>
        </w:rPr>
        <w:tab/>
        <w:t>“rent” means rent as defined in sub-section (2) of section 15 and includes an amount treated as rent under section 16;</w:t>
      </w:r>
    </w:p>
    <w:p w:rsidR="006A3F93" w:rsidRPr="00412620" w:rsidRDefault="006A3F93">
      <w:pPr>
        <w:jc w:val="both"/>
        <w:rPr>
          <w:rFonts w:cs="Arial"/>
          <w:sz w:val="20"/>
        </w:rPr>
      </w:pPr>
    </w:p>
    <w:p w:rsidR="006A3F93" w:rsidRPr="00412620" w:rsidRDefault="006A3F93">
      <w:pPr>
        <w:ind w:left="1080" w:hanging="810"/>
        <w:jc w:val="both"/>
        <w:rPr>
          <w:sz w:val="20"/>
        </w:rPr>
      </w:pPr>
      <w:r w:rsidRPr="00412620">
        <w:rPr>
          <w:rStyle w:val="FootnoteReference"/>
          <w:rFonts w:cs="Arial"/>
          <w:sz w:val="20"/>
        </w:rPr>
        <w:footnoteReference w:id="112"/>
      </w:r>
      <w:r w:rsidRPr="00412620">
        <w:rPr>
          <w:sz w:val="20"/>
        </w:rPr>
        <w:t xml:space="preserve">[(49A) </w:t>
      </w:r>
      <w:r w:rsidRPr="00412620">
        <w:rPr>
          <w:sz w:val="20"/>
        </w:rPr>
        <w:tab/>
        <w:t>“repealed Ordinance” means Income Tax Ordinance, 1979 (XXXI of 1979);]</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(50)</w:t>
      </w:r>
      <w:r w:rsidRPr="00412620">
        <w:rPr>
          <w:rFonts w:cs="Arial"/>
          <w:sz w:val="20"/>
        </w:rPr>
        <w:tab/>
        <w:t>“resident company” means a resident company as defined in section 83;</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(51)</w:t>
      </w:r>
      <w:r w:rsidRPr="00412620">
        <w:rPr>
          <w:rFonts w:cs="Arial"/>
          <w:sz w:val="20"/>
        </w:rPr>
        <w:tab/>
        <w:t>“resident individual</w:t>
      </w:r>
      <w:r w:rsidR="00BA62BE" w:rsidRPr="00412620">
        <w:rPr>
          <w:rFonts w:cs="Arial"/>
          <w:sz w:val="20"/>
        </w:rPr>
        <w:t>”</w:t>
      </w:r>
      <w:r w:rsidRPr="00412620">
        <w:rPr>
          <w:rFonts w:cs="Arial"/>
          <w:sz w:val="20"/>
        </w:rPr>
        <w:t xml:space="preserve"> means a resident individual as defined in section 82;</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(52)</w:t>
      </w:r>
      <w:r w:rsidRPr="00412620">
        <w:rPr>
          <w:rFonts w:cs="Arial"/>
          <w:sz w:val="20"/>
        </w:rPr>
        <w:tab/>
        <w:t xml:space="preserve">“resident person” means a resident person as defined in section 81; </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(53)</w:t>
      </w:r>
      <w:r w:rsidRPr="00412620">
        <w:rPr>
          <w:rFonts w:cs="Arial"/>
          <w:sz w:val="20"/>
        </w:rPr>
        <w:tab/>
        <w:t>“resident taxpayer” means a taxpayer who is a resident person;</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(54)</w:t>
      </w:r>
      <w:r w:rsidRPr="00412620">
        <w:rPr>
          <w:rFonts w:cs="Arial"/>
          <w:sz w:val="20"/>
        </w:rPr>
        <w:tab/>
      </w:r>
      <w:r w:rsidRPr="00412620">
        <w:rPr>
          <w:rFonts w:cs="Arial"/>
          <w:sz w:val="20"/>
          <w:vertAlign w:val="superscript"/>
        </w:rPr>
        <w:footnoteReference w:id="113"/>
      </w:r>
      <w:r w:rsidRPr="00412620">
        <w:rPr>
          <w:rFonts w:cs="Arial"/>
          <w:sz w:val="20"/>
        </w:rPr>
        <w:t xml:space="preserve">[“royalty”]means any amount paid or payable, however described or computed, whether periodical or a lump sum, as consideration for </w:t>
      </w:r>
      <w:r w:rsidR="008929FC" w:rsidRPr="00412620">
        <w:rPr>
          <w:rFonts w:cs="Arial"/>
          <w:sz w:val="20"/>
        </w:rPr>
        <w:t>—</w:t>
      </w:r>
    </w:p>
    <w:p w:rsidR="006A3F93" w:rsidRPr="00412620" w:rsidRDefault="006A3F93">
      <w:pPr>
        <w:jc w:val="both"/>
        <w:rPr>
          <w:rFonts w:cs="Arial"/>
          <w:sz w:val="20"/>
        </w:rPr>
      </w:pPr>
    </w:p>
    <w:p w:rsidR="006A3F93" w:rsidRPr="00412620" w:rsidRDefault="006A3F93">
      <w:pPr>
        <w:pStyle w:val="BodyTextIndent2"/>
        <w:ind w:left="1620" w:hanging="540"/>
        <w:jc w:val="both"/>
        <w:rPr>
          <w:rFonts w:cs="Arial"/>
          <w:sz w:val="20"/>
        </w:rPr>
      </w:pPr>
      <w:r w:rsidRPr="00412620">
        <w:rPr>
          <w:rFonts w:cs="Arial"/>
          <w:sz w:val="20"/>
        </w:rPr>
        <w:t>(a)</w:t>
      </w:r>
      <w:r w:rsidRPr="00412620">
        <w:rPr>
          <w:rFonts w:cs="Arial"/>
          <w:sz w:val="20"/>
        </w:rPr>
        <w:tab/>
        <w:t>the use of, or right to use any patent, invention, design or model, secret formula or process, trademark or other like property or right;</w:t>
      </w:r>
    </w:p>
    <w:p w:rsidR="006A3F93" w:rsidRPr="00412620" w:rsidRDefault="006A3F93">
      <w:pPr>
        <w:jc w:val="both"/>
        <w:rPr>
          <w:rFonts w:cs="Arial"/>
          <w:sz w:val="20"/>
        </w:rPr>
      </w:pPr>
    </w:p>
    <w:p w:rsidR="006A3F93" w:rsidRPr="00412620" w:rsidRDefault="006A3F93">
      <w:pPr>
        <w:pStyle w:val="BodyTextIndent2"/>
        <w:ind w:left="1620" w:hanging="540"/>
        <w:jc w:val="both"/>
        <w:rPr>
          <w:rFonts w:cs="Arial"/>
          <w:sz w:val="20"/>
        </w:rPr>
      </w:pPr>
      <w:r w:rsidRPr="00412620">
        <w:rPr>
          <w:rFonts w:cs="Arial"/>
          <w:sz w:val="20"/>
        </w:rPr>
        <w:t>(b)</w:t>
      </w:r>
      <w:r w:rsidRPr="00412620">
        <w:rPr>
          <w:rFonts w:cs="Arial"/>
          <w:sz w:val="20"/>
        </w:rPr>
        <w:tab/>
        <w:t>the use of, or right to use any copyright of a literary, artistic or scientific work, including films or video tapes for use in connection with television or tapes in connection with radio broadcasting, but shall not include consideration for the sale, distribution or exhibition of cinematograph films;</w:t>
      </w:r>
    </w:p>
    <w:p w:rsidR="006A3F93" w:rsidRPr="00412620" w:rsidRDefault="006A3F93">
      <w:pPr>
        <w:jc w:val="both"/>
        <w:rPr>
          <w:rFonts w:cs="Arial"/>
          <w:sz w:val="20"/>
        </w:rPr>
      </w:pPr>
    </w:p>
    <w:p w:rsidR="006A3F93" w:rsidRPr="00412620" w:rsidRDefault="006A3F93">
      <w:pPr>
        <w:pStyle w:val="BodyTextIndent2"/>
        <w:ind w:left="1620" w:hanging="540"/>
        <w:jc w:val="both"/>
        <w:rPr>
          <w:rFonts w:cs="Arial"/>
          <w:sz w:val="20"/>
        </w:rPr>
      </w:pPr>
      <w:r w:rsidRPr="00412620">
        <w:rPr>
          <w:rFonts w:cs="Arial"/>
          <w:sz w:val="20"/>
        </w:rPr>
        <w:t xml:space="preserve">(c) </w:t>
      </w:r>
      <w:r w:rsidRPr="00412620">
        <w:rPr>
          <w:rFonts w:cs="Arial"/>
          <w:sz w:val="20"/>
        </w:rPr>
        <w:tab/>
        <w:t xml:space="preserve">the receipt of, or right to receive, any visual images or sounds, or both, transmitted by satellite, cable, optic </w:t>
      </w:r>
      <w:r w:rsidR="00EF779A" w:rsidRPr="00412620">
        <w:rPr>
          <w:rFonts w:cs="Arial"/>
          <w:sz w:val="20"/>
        </w:rPr>
        <w:t>fibre</w:t>
      </w:r>
      <w:r w:rsidRPr="00412620">
        <w:rPr>
          <w:rFonts w:cs="Arial"/>
          <w:sz w:val="20"/>
        </w:rPr>
        <w:t xml:space="preserve"> or similar technology in connection with television, radio or internet broadcasting;</w:t>
      </w:r>
    </w:p>
    <w:p w:rsidR="006A3F93" w:rsidRPr="00412620" w:rsidRDefault="006A3F93">
      <w:pPr>
        <w:pStyle w:val="BodyTextIndent2"/>
        <w:ind w:left="0"/>
        <w:jc w:val="both"/>
        <w:rPr>
          <w:rFonts w:cs="Arial"/>
          <w:sz w:val="20"/>
        </w:rPr>
      </w:pPr>
    </w:p>
    <w:p w:rsidR="006A3F93" w:rsidRPr="00412620" w:rsidRDefault="006A3F93">
      <w:pPr>
        <w:pStyle w:val="BodyTextIndent2"/>
        <w:ind w:left="1620" w:hanging="540"/>
        <w:jc w:val="both"/>
        <w:rPr>
          <w:rFonts w:cs="Arial"/>
          <w:sz w:val="20"/>
        </w:rPr>
      </w:pPr>
      <w:r w:rsidRPr="00412620">
        <w:rPr>
          <w:rFonts w:cs="Arial"/>
          <w:sz w:val="20"/>
        </w:rPr>
        <w:t xml:space="preserve">(d) </w:t>
      </w:r>
      <w:r w:rsidRPr="00412620">
        <w:rPr>
          <w:rFonts w:cs="Arial"/>
          <w:sz w:val="20"/>
        </w:rPr>
        <w:tab/>
        <w:t>the supply of any technical, industrial, commercial or scientific knowledge, experience or skill;</w:t>
      </w:r>
    </w:p>
    <w:p w:rsidR="006A3F93" w:rsidRPr="00412620" w:rsidRDefault="006A3F93">
      <w:pPr>
        <w:pStyle w:val="BodyTextIndent2"/>
        <w:ind w:left="0"/>
        <w:jc w:val="both"/>
        <w:rPr>
          <w:rFonts w:cs="Arial"/>
          <w:sz w:val="20"/>
        </w:rPr>
      </w:pPr>
    </w:p>
    <w:p w:rsidR="006A3F93" w:rsidRPr="00412620" w:rsidRDefault="006A3F93">
      <w:pPr>
        <w:pStyle w:val="BodyTextIndent2"/>
        <w:ind w:left="1620" w:hanging="540"/>
        <w:jc w:val="both"/>
        <w:rPr>
          <w:rFonts w:cs="Arial"/>
          <w:sz w:val="20"/>
        </w:rPr>
      </w:pPr>
      <w:r w:rsidRPr="00412620">
        <w:rPr>
          <w:rFonts w:cs="Arial"/>
          <w:sz w:val="20"/>
        </w:rPr>
        <w:lastRenderedPageBreak/>
        <w:t>(e)</w:t>
      </w:r>
      <w:r w:rsidRPr="00412620">
        <w:rPr>
          <w:rFonts w:cs="Arial"/>
          <w:sz w:val="20"/>
        </w:rPr>
        <w:tab/>
        <w:t>the use of or right to use any industrial, commercial or scientific equipment;</w:t>
      </w:r>
    </w:p>
    <w:p w:rsidR="006A3F93" w:rsidRPr="00412620" w:rsidRDefault="006A3F93">
      <w:pPr>
        <w:pStyle w:val="BodyTextIndent2"/>
        <w:ind w:left="0"/>
        <w:jc w:val="both"/>
        <w:rPr>
          <w:rFonts w:cs="Arial"/>
          <w:sz w:val="20"/>
        </w:rPr>
      </w:pPr>
    </w:p>
    <w:p w:rsidR="006A3F93" w:rsidRPr="00412620" w:rsidRDefault="006A3F93">
      <w:pPr>
        <w:pStyle w:val="BodyTextIndent2"/>
        <w:ind w:left="1620" w:hanging="540"/>
        <w:jc w:val="both"/>
        <w:rPr>
          <w:rFonts w:cs="Arial"/>
          <w:sz w:val="20"/>
        </w:rPr>
      </w:pPr>
      <w:r w:rsidRPr="00412620">
        <w:rPr>
          <w:rFonts w:cs="Arial"/>
          <w:sz w:val="20"/>
        </w:rPr>
        <w:t>(f)</w:t>
      </w:r>
      <w:r w:rsidRPr="00412620">
        <w:rPr>
          <w:rFonts w:cs="Arial"/>
          <w:sz w:val="20"/>
        </w:rPr>
        <w:tab/>
        <w:t xml:space="preserve">the supply of any assistance that is ancillary and subsidiary to,  and is furnished as a means of enabling the application or enjoyment of, any such property or right as mentioned in </w:t>
      </w:r>
      <w:r w:rsidRPr="00412620">
        <w:rPr>
          <w:rStyle w:val="FootnoteReference"/>
          <w:rFonts w:cs="Arial"/>
          <w:sz w:val="20"/>
        </w:rPr>
        <w:footnoteReference w:id="114"/>
      </w:r>
      <w:r w:rsidRPr="00412620">
        <w:rPr>
          <w:rFonts w:cs="Arial"/>
          <w:sz w:val="20"/>
        </w:rPr>
        <w:t xml:space="preserve">[sub-clauses] (a) through (e); </w:t>
      </w:r>
      <w:r w:rsidRPr="00412620">
        <w:rPr>
          <w:rStyle w:val="FootnoteReference"/>
          <w:rFonts w:cs="Arial"/>
          <w:sz w:val="20"/>
        </w:rPr>
        <w:footnoteReference w:id="115"/>
      </w:r>
      <w:r w:rsidRPr="00412620">
        <w:rPr>
          <w:rFonts w:cs="Arial"/>
          <w:sz w:val="20"/>
        </w:rPr>
        <w:t>[and]</w:t>
      </w:r>
    </w:p>
    <w:p w:rsidR="006A3F93" w:rsidRPr="00412620" w:rsidRDefault="006A3F93">
      <w:pPr>
        <w:jc w:val="both"/>
        <w:rPr>
          <w:rFonts w:cs="Arial"/>
          <w:sz w:val="20"/>
        </w:rPr>
      </w:pPr>
    </w:p>
    <w:p w:rsidR="006A3F93" w:rsidRPr="00412620" w:rsidRDefault="006A3F93">
      <w:pPr>
        <w:pStyle w:val="BodyTextIndent2"/>
        <w:ind w:left="1620" w:hanging="540"/>
        <w:jc w:val="both"/>
        <w:rPr>
          <w:rFonts w:cs="Arial"/>
          <w:sz w:val="20"/>
        </w:rPr>
      </w:pPr>
      <w:r w:rsidRPr="00412620">
        <w:rPr>
          <w:rFonts w:cs="Arial"/>
          <w:sz w:val="20"/>
        </w:rPr>
        <w:t>(g)</w:t>
      </w:r>
      <w:r w:rsidRPr="00412620">
        <w:rPr>
          <w:rFonts w:cs="Arial"/>
          <w:sz w:val="20"/>
        </w:rPr>
        <w:tab/>
        <w:t xml:space="preserve">the disposal of any property or right referred to in </w:t>
      </w:r>
      <w:r w:rsidRPr="00412620">
        <w:rPr>
          <w:rStyle w:val="FootnoteReference"/>
          <w:rFonts w:cs="Arial"/>
          <w:sz w:val="20"/>
        </w:rPr>
        <w:footnoteReference w:id="116"/>
      </w:r>
      <w:r w:rsidRPr="00412620">
        <w:rPr>
          <w:rFonts w:cs="Arial"/>
          <w:sz w:val="20"/>
        </w:rPr>
        <w:t>[sub-clauses] (a) through (e);</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(55)</w:t>
      </w:r>
      <w:r w:rsidRPr="00412620">
        <w:rPr>
          <w:rFonts w:cs="Arial"/>
          <w:sz w:val="20"/>
        </w:rPr>
        <w:tab/>
        <w:t>“salary” means salary as defined in section 12;</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(56)</w:t>
      </w:r>
      <w:r w:rsidRPr="00412620">
        <w:rPr>
          <w:rFonts w:cs="Arial"/>
          <w:sz w:val="20"/>
        </w:rPr>
        <w:tab/>
        <w:t>“Schedule” means a Schedule to this Ordinance;</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(57)</w:t>
      </w:r>
      <w:r w:rsidRPr="00412620">
        <w:rPr>
          <w:rFonts w:cs="Arial"/>
          <w:sz w:val="20"/>
        </w:rPr>
        <w:tab/>
        <w:t>“securitization” means securitization as defined in the Asset Backed Securitization Rules, 1999;</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(58)</w:t>
      </w:r>
      <w:r w:rsidRPr="00412620">
        <w:rPr>
          <w:rFonts w:cs="Arial"/>
          <w:sz w:val="20"/>
        </w:rPr>
        <w:tab/>
        <w:t>“share” in relation to a company, includes a modaraba certificate and the interest of a beneficiary in a trust (including units in a trust);</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(59)</w:t>
      </w:r>
      <w:r w:rsidRPr="00412620">
        <w:rPr>
          <w:rFonts w:cs="Arial"/>
          <w:sz w:val="20"/>
        </w:rPr>
        <w:tab/>
        <w:t xml:space="preserve">“shareholder” in relation to a company, includes a modaraba certificate holder, </w:t>
      </w:r>
      <w:r w:rsidRPr="00412620">
        <w:rPr>
          <w:rFonts w:cs="Arial"/>
          <w:sz w:val="20"/>
          <w:vertAlign w:val="superscript"/>
        </w:rPr>
        <w:footnoteReference w:id="117"/>
      </w:r>
      <w:r w:rsidRPr="00412620">
        <w:rPr>
          <w:rFonts w:cs="Arial"/>
          <w:sz w:val="20"/>
        </w:rPr>
        <w:t>[a unit holder of a unit trust] and a beneficiary of a trust;</w:t>
      </w:r>
    </w:p>
    <w:p w:rsidR="006A3F93" w:rsidRPr="00412620" w:rsidRDefault="006A3F93">
      <w:pPr>
        <w:jc w:val="both"/>
        <w:rPr>
          <w:rFonts w:cs="Arial"/>
          <w:sz w:val="20"/>
        </w:rPr>
      </w:pPr>
    </w:p>
    <w:p w:rsidR="006A3F93" w:rsidRPr="00412620" w:rsidRDefault="006A3F93">
      <w:pPr>
        <w:ind w:left="1080" w:hanging="810"/>
        <w:jc w:val="both"/>
        <w:rPr>
          <w:sz w:val="20"/>
        </w:rPr>
      </w:pPr>
      <w:r w:rsidRPr="00412620">
        <w:rPr>
          <w:rStyle w:val="FootnoteReference"/>
          <w:rFonts w:cs="Arial"/>
          <w:sz w:val="20"/>
        </w:rPr>
        <w:footnoteReference w:id="118"/>
      </w:r>
      <w:r w:rsidRPr="00412620">
        <w:rPr>
          <w:sz w:val="20"/>
        </w:rPr>
        <w:t xml:space="preserve">[(59A) </w:t>
      </w:r>
      <w:r w:rsidRPr="00412620">
        <w:rPr>
          <w:sz w:val="20"/>
        </w:rPr>
        <w:tab/>
        <w:t>“Small Company” means a company registered on or after the first day of July, 2005, under the Companies Ordinance, 1984 (XLVII) of 1984, which,</w:t>
      </w:r>
      <w:r w:rsidR="008929FC" w:rsidRPr="00412620">
        <w:rPr>
          <w:sz w:val="20"/>
        </w:rPr>
        <w:t>—</w:t>
      </w:r>
    </w:p>
    <w:p w:rsidR="006A3F93" w:rsidRPr="00412620" w:rsidRDefault="006A3F93">
      <w:pPr>
        <w:ind w:left="1080" w:hanging="810"/>
        <w:jc w:val="both"/>
        <w:rPr>
          <w:rFonts w:cs="Arial"/>
          <w:sz w:val="20"/>
        </w:rPr>
      </w:pPr>
    </w:p>
    <w:p w:rsidR="006A3F93" w:rsidRPr="00412620" w:rsidRDefault="006A3F93">
      <w:pPr>
        <w:ind w:left="2188" w:hanging="547"/>
        <w:jc w:val="both"/>
        <w:rPr>
          <w:rFonts w:cs="Arial"/>
          <w:sz w:val="20"/>
        </w:rPr>
      </w:pPr>
      <w:r w:rsidRPr="00412620">
        <w:rPr>
          <w:rFonts w:cs="Arial"/>
          <w:sz w:val="20"/>
        </w:rPr>
        <w:t xml:space="preserve">  (i) </w:t>
      </w:r>
      <w:r w:rsidRPr="00412620">
        <w:rPr>
          <w:rFonts w:cs="Arial"/>
          <w:sz w:val="20"/>
        </w:rPr>
        <w:tab/>
        <w:t xml:space="preserve">has paid up capital plus undistributed reserves not exceeding </w:t>
      </w:r>
      <w:r w:rsidR="004A69E9">
        <w:rPr>
          <w:rStyle w:val="FootnoteReference"/>
          <w:rFonts w:cs="Arial"/>
          <w:sz w:val="20"/>
        </w:rPr>
        <w:footnoteReference w:id="119"/>
      </w:r>
      <w:r w:rsidR="004A69E9" w:rsidRPr="004A69E9">
        <w:rPr>
          <w:rFonts w:cs="Arial"/>
          <w:color w:val="984806" w:themeColor="accent6" w:themeShade="80"/>
          <w:sz w:val="20"/>
        </w:rPr>
        <w:t>[fifty]</w:t>
      </w:r>
      <w:r w:rsidR="00CD30E3">
        <w:rPr>
          <w:rFonts w:cs="Arial"/>
          <w:color w:val="984806" w:themeColor="accent6" w:themeShade="80"/>
          <w:sz w:val="20"/>
        </w:rPr>
        <w:t xml:space="preserve"> </w:t>
      </w:r>
      <w:r w:rsidRPr="00412620">
        <w:rPr>
          <w:rFonts w:cs="Arial"/>
          <w:sz w:val="20"/>
        </w:rPr>
        <w:t>million rupees;</w:t>
      </w:r>
    </w:p>
    <w:p w:rsidR="006A3F93" w:rsidRPr="00412620" w:rsidRDefault="006A3F93">
      <w:pPr>
        <w:ind w:left="1080" w:hanging="810"/>
        <w:jc w:val="both"/>
        <w:rPr>
          <w:rFonts w:cs="Arial"/>
          <w:sz w:val="20"/>
        </w:rPr>
      </w:pPr>
    </w:p>
    <w:p w:rsidR="002B2CE1" w:rsidRPr="00412620" w:rsidRDefault="00F44642" w:rsidP="00EF1142">
      <w:pPr>
        <w:ind w:left="2188" w:hanging="644"/>
        <w:jc w:val="both"/>
        <w:rPr>
          <w:rFonts w:cs="Arial"/>
          <w:sz w:val="20"/>
        </w:rPr>
      </w:pPr>
      <w:r w:rsidRPr="00412620">
        <w:rPr>
          <w:rStyle w:val="FootnoteReference"/>
          <w:rFonts w:cs="Arial"/>
          <w:sz w:val="20"/>
        </w:rPr>
        <w:footnoteReference w:id="120"/>
      </w:r>
      <w:r w:rsidR="002B2CE1" w:rsidRPr="00412620">
        <w:rPr>
          <w:rFonts w:cs="Arial"/>
          <w:sz w:val="20"/>
        </w:rPr>
        <w:t>[(ia)</w:t>
      </w:r>
      <w:r w:rsidR="002B2CE1" w:rsidRPr="00412620">
        <w:rPr>
          <w:rFonts w:cs="Arial"/>
          <w:sz w:val="20"/>
        </w:rPr>
        <w:tab/>
        <w:t>has employees not exceeding two hundred and fifty any time during the year;]</w:t>
      </w:r>
      <w:r w:rsidR="002B2CE1" w:rsidRPr="00412620">
        <w:rPr>
          <w:rFonts w:cs="Arial"/>
          <w:sz w:val="20"/>
        </w:rPr>
        <w:tab/>
      </w:r>
    </w:p>
    <w:p w:rsidR="002B2CE1" w:rsidRPr="00412620" w:rsidRDefault="002B2CE1">
      <w:pPr>
        <w:ind w:left="1080" w:hanging="810"/>
        <w:jc w:val="both"/>
        <w:rPr>
          <w:rFonts w:cs="Arial"/>
          <w:sz w:val="20"/>
        </w:rPr>
      </w:pPr>
    </w:p>
    <w:p w:rsidR="006A3F93" w:rsidRPr="00412620" w:rsidRDefault="006A3F93">
      <w:pPr>
        <w:ind w:left="2188" w:hanging="547"/>
        <w:jc w:val="both"/>
        <w:rPr>
          <w:rFonts w:cs="Arial"/>
          <w:sz w:val="20"/>
        </w:rPr>
      </w:pPr>
      <w:r w:rsidRPr="00412620">
        <w:rPr>
          <w:rFonts w:cs="Arial"/>
          <w:sz w:val="20"/>
        </w:rPr>
        <w:t xml:space="preserve">(ii) </w:t>
      </w:r>
      <w:r w:rsidRPr="00412620">
        <w:rPr>
          <w:rFonts w:cs="Arial"/>
          <w:sz w:val="20"/>
        </w:rPr>
        <w:tab/>
        <w:t xml:space="preserve">has annual turnover not exceeding two hundred </w:t>
      </w:r>
      <w:r w:rsidR="00F44642" w:rsidRPr="00412620">
        <w:rPr>
          <w:rStyle w:val="FootnoteReference"/>
          <w:rFonts w:cs="Arial"/>
          <w:sz w:val="20"/>
        </w:rPr>
        <w:footnoteReference w:id="121"/>
      </w:r>
      <w:r w:rsidR="00F44642" w:rsidRPr="00412620">
        <w:rPr>
          <w:rFonts w:cs="Arial"/>
          <w:sz w:val="20"/>
        </w:rPr>
        <w:t xml:space="preserve">[and fifty] </w:t>
      </w:r>
      <w:r w:rsidRPr="00412620">
        <w:rPr>
          <w:rFonts w:cs="Arial"/>
          <w:sz w:val="20"/>
        </w:rPr>
        <w:t>million rupees; and</w:t>
      </w:r>
    </w:p>
    <w:p w:rsidR="006A3F93" w:rsidRPr="00412620" w:rsidRDefault="006A3F93">
      <w:pPr>
        <w:ind w:left="1080" w:hanging="810"/>
        <w:jc w:val="both"/>
        <w:rPr>
          <w:rFonts w:cs="Arial"/>
          <w:sz w:val="20"/>
        </w:rPr>
      </w:pPr>
    </w:p>
    <w:p w:rsidR="006A3F93" w:rsidRPr="00245086" w:rsidRDefault="006A3F93">
      <w:pPr>
        <w:ind w:left="2188" w:hanging="547"/>
        <w:jc w:val="both"/>
        <w:rPr>
          <w:rFonts w:cs="Arial"/>
          <w:color w:val="000000" w:themeColor="text1"/>
          <w:sz w:val="20"/>
        </w:rPr>
      </w:pPr>
      <w:r w:rsidRPr="00412620">
        <w:rPr>
          <w:rFonts w:cs="Arial"/>
          <w:sz w:val="20"/>
        </w:rPr>
        <w:t xml:space="preserve">(iii) </w:t>
      </w:r>
      <w:r w:rsidRPr="00412620">
        <w:rPr>
          <w:rFonts w:cs="Arial"/>
          <w:sz w:val="20"/>
        </w:rPr>
        <w:tab/>
        <w:t xml:space="preserve">is not formed by the splitting up or the reconstitution of </w:t>
      </w:r>
      <w:r w:rsidR="0061712E" w:rsidRPr="00245086">
        <w:rPr>
          <w:rFonts w:cs="Arial"/>
          <w:color w:val="000000" w:themeColor="text1"/>
          <w:sz w:val="20"/>
        </w:rPr>
        <w:t>company</w:t>
      </w:r>
      <w:r w:rsidRPr="00245086">
        <w:rPr>
          <w:rFonts w:cs="Arial"/>
          <w:color w:val="000000" w:themeColor="text1"/>
          <w:sz w:val="20"/>
        </w:rPr>
        <w:t xml:space="preserve"> already in existence;]</w:t>
      </w:r>
    </w:p>
    <w:p w:rsidR="006A3F93" w:rsidRPr="00245086" w:rsidRDefault="00295CC8" w:rsidP="002903E3">
      <w:pPr>
        <w:ind w:left="1080" w:hanging="540"/>
        <w:jc w:val="both"/>
        <w:rPr>
          <w:rFonts w:cs="Arial"/>
          <w:color w:val="000000" w:themeColor="text1"/>
          <w:sz w:val="20"/>
        </w:rPr>
      </w:pPr>
      <w:r w:rsidRPr="00245086">
        <w:rPr>
          <w:rStyle w:val="FootnoteReference"/>
          <w:rFonts w:cs="Arial"/>
          <w:color w:val="000000" w:themeColor="text1"/>
          <w:sz w:val="20"/>
        </w:rPr>
        <w:footnoteReference w:id="122"/>
      </w:r>
      <w:r w:rsidRPr="00245086">
        <w:rPr>
          <w:rFonts w:cs="Arial"/>
          <w:color w:val="000000" w:themeColor="text1"/>
          <w:sz w:val="20"/>
        </w:rPr>
        <w:t>[</w:t>
      </w:r>
      <w:r w:rsidR="00C42E64" w:rsidRPr="00245086">
        <w:rPr>
          <w:rFonts w:cs="Arial"/>
          <w:color w:val="000000" w:themeColor="text1"/>
          <w:sz w:val="20"/>
        </w:rPr>
        <w:t xml:space="preserve">(59B) </w:t>
      </w:r>
      <w:r w:rsidR="001366FF" w:rsidRPr="00245086">
        <w:rPr>
          <w:rFonts w:cs="Arial"/>
          <w:color w:val="000000" w:themeColor="text1"/>
          <w:sz w:val="20"/>
        </w:rPr>
        <w:t>“Special Judge” means the Special Judge appointed under section  203;</w:t>
      </w:r>
      <w:r w:rsidR="00C42E64" w:rsidRPr="00245086">
        <w:rPr>
          <w:rFonts w:cs="Arial"/>
          <w:color w:val="000000" w:themeColor="text1"/>
          <w:sz w:val="20"/>
        </w:rPr>
        <w:t>]</w:t>
      </w:r>
    </w:p>
    <w:p w:rsidR="00BB058F" w:rsidRPr="00245086" w:rsidRDefault="00BB058F" w:rsidP="002903E3">
      <w:pPr>
        <w:ind w:left="1080" w:hanging="540"/>
        <w:jc w:val="both"/>
        <w:rPr>
          <w:rFonts w:cs="Arial"/>
          <w:color w:val="000000" w:themeColor="text1"/>
          <w:sz w:val="20"/>
        </w:rPr>
      </w:pPr>
    </w:p>
    <w:p w:rsidR="006A3F93" w:rsidRPr="00245086" w:rsidRDefault="006A3F93">
      <w:pPr>
        <w:ind w:left="1080" w:hanging="540"/>
        <w:jc w:val="both"/>
        <w:rPr>
          <w:rFonts w:cs="Arial"/>
          <w:color w:val="000000" w:themeColor="text1"/>
          <w:sz w:val="20"/>
        </w:rPr>
      </w:pPr>
      <w:r w:rsidRPr="00245086">
        <w:rPr>
          <w:rFonts w:cs="Arial"/>
          <w:color w:val="000000" w:themeColor="text1"/>
          <w:sz w:val="20"/>
        </w:rPr>
        <w:t>(60)</w:t>
      </w:r>
      <w:r w:rsidRPr="00245086">
        <w:rPr>
          <w:rFonts w:cs="Arial"/>
          <w:color w:val="000000" w:themeColor="text1"/>
          <w:sz w:val="20"/>
        </w:rPr>
        <w:tab/>
        <w:t>“Special Purpose Vehicle” means a Special Purpose Vehicle as defined in the Asset Backed Securitization Rules, 1999;</w:t>
      </w:r>
    </w:p>
    <w:p w:rsidR="006A3F93" w:rsidRPr="00245086" w:rsidRDefault="006A3F93">
      <w:pPr>
        <w:jc w:val="both"/>
        <w:rPr>
          <w:rFonts w:cs="Arial"/>
          <w:color w:val="000000" w:themeColor="text1"/>
          <w:sz w:val="20"/>
        </w:rPr>
      </w:pPr>
    </w:p>
    <w:p w:rsidR="006A3F93" w:rsidRPr="00245086" w:rsidRDefault="006A3F93">
      <w:pPr>
        <w:ind w:left="1080" w:hanging="540"/>
        <w:jc w:val="both"/>
        <w:rPr>
          <w:rFonts w:cs="Arial"/>
          <w:color w:val="000000" w:themeColor="text1"/>
          <w:sz w:val="20"/>
        </w:rPr>
      </w:pPr>
      <w:r w:rsidRPr="00245086">
        <w:rPr>
          <w:rFonts w:cs="Arial"/>
          <w:color w:val="000000" w:themeColor="text1"/>
          <w:sz w:val="20"/>
        </w:rPr>
        <w:t>(61)</w:t>
      </w:r>
      <w:r w:rsidRPr="00245086">
        <w:rPr>
          <w:rFonts w:cs="Arial"/>
          <w:color w:val="000000" w:themeColor="text1"/>
          <w:sz w:val="20"/>
        </w:rPr>
        <w:tab/>
        <w:t>“speculation business” means a speculation business as defined in section 19;</w:t>
      </w:r>
    </w:p>
    <w:p w:rsidR="00BB058F" w:rsidRPr="00245086" w:rsidRDefault="00BB058F">
      <w:pPr>
        <w:ind w:left="1080" w:hanging="540"/>
        <w:jc w:val="both"/>
        <w:rPr>
          <w:rFonts w:cs="Arial"/>
          <w:color w:val="000000" w:themeColor="text1"/>
          <w:sz w:val="20"/>
        </w:rPr>
      </w:pPr>
    </w:p>
    <w:p w:rsidR="00E51047" w:rsidRPr="00245086" w:rsidRDefault="00295CC8">
      <w:pPr>
        <w:ind w:left="1080" w:hanging="540"/>
        <w:jc w:val="both"/>
        <w:rPr>
          <w:rFonts w:cs="Arial"/>
          <w:color w:val="000000" w:themeColor="text1"/>
          <w:sz w:val="20"/>
        </w:rPr>
      </w:pPr>
      <w:r w:rsidRPr="00245086">
        <w:rPr>
          <w:rStyle w:val="FootnoteReference"/>
          <w:rFonts w:cs="Arial"/>
          <w:color w:val="000000" w:themeColor="text1"/>
          <w:sz w:val="20"/>
        </w:rPr>
        <w:footnoteReference w:id="123"/>
      </w:r>
      <w:r w:rsidRPr="00245086">
        <w:rPr>
          <w:rFonts w:cs="Arial"/>
          <w:color w:val="000000" w:themeColor="text1"/>
          <w:sz w:val="20"/>
        </w:rPr>
        <w:t>[</w:t>
      </w:r>
      <w:r w:rsidR="00BB058F" w:rsidRPr="00245086">
        <w:rPr>
          <w:rFonts w:cs="Arial"/>
          <w:color w:val="000000" w:themeColor="text1"/>
          <w:sz w:val="20"/>
        </w:rPr>
        <w:t xml:space="preserve">(61A) </w:t>
      </w:r>
      <w:r w:rsidR="00C42E64" w:rsidRPr="00245086">
        <w:rPr>
          <w:rFonts w:cs="Arial"/>
          <w:color w:val="000000" w:themeColor="text1"/>
          <w:sz w:val="20"/>
        </w:rPr>
        <w:t>“stock fund”</w:t>
      </w:r>
      <w:r w:rsidR="00E51047" w:rsidRPr="00245086">
        <w:rPr>
          <w:rFonts w:cs="Arial"/>
          <w:color w:val="000000" w:themeColor="text1"/>
          <w:sz w:val="20"/>
        </w:rPr>
        <w:t xml:space="preserve"> means</w:t>
      </w:r>
      <w:r w:rsidR="0011155E" w:rsidRPr="00245086">
        <w:rPr>
          <w:rFonts w:cs="Arial"/>
          <w:color w:val="000000" w:themeColor="text1"/>
          <w:sz w:val="20"/>
        </w:rPr>
        <w:t xml:space="preserve"> a collective investment scheme or </w:t>
      </w:r>
      <w:r w:rsidR="00C42E64" w:rsidRPr="00245086">
        <w:rPr>
          <w:rFonts w:cs="Arial"/>
          <w:color w:val="000000" w:themeColor="text1"/>
          <w:sz w:val="20"/>
        </w:rPr>
        <w:t>a mutual fund where the invest</w:t>
      </w:r>
      <w:r w:rsidR="00E77B2E" w:rsidRPr="00245086">
        <w:rPr>
          <w:rFonts w:cs="Arial"/>
          <w:color w:val="000000" w:themeColor="text1"/>
          <w:sz w:val="20"/>
        </w:rPr>
        <w:t>i</w:t>
      </w:r>
      <w:r w:rsidR="00C42E64" w:rsidRPr="00245086">
        <w:rPr>
          <w:rFonts w:cs="Arial"/>
          <w:color w:val="000000" w:themeColor="text1"/>
          <w:sz w:val="20"/>
        </w:rPr>
        <w:t>ble funds are invested</w:t>
      </w:r>
      <w:r w:rsidR="0011155E" w:rsidRPr="00245086">
        <w:rPr>
          <w:rFonts w:cs="Arial"/>
          <w:color w:val="000000" w:themeColor="text1"/>
          <w:sz w:val="20"/>
        </w:rPr>
        <w:t xml:space="preserve"> by way of equity shares in comp</w:t>
      </w:r>
      <w:r w:rsidR="00C42E64" w:rsidRPr="00245086">
        <w:rPr>
          <w:rFonts w:cs="Arial"/>
          <w:color w:val="000000" w:themeColor="text1"/>
          <w:sz w:val="20"/>
        </w:rPr>
        <w:t>anies, to the extent of more tha</w:t>
      </w:r>
      <w:r w:rsidR="0011155E" w:rsidRPr="00245086">
        <w:rPr>
          <w:rFonts w:cs="Arial"/>
          <w:color w:val="000000" w:themeColor="text1"/>
          <w:sz w:val="20"/>
        </w:rPr>
        <w:t xml:space="preserve">n </w:t>
      </w:r>
      <w:r w:rsidR="00D700D3" w:rsidRPr="00245086">
        <w:rPr>
          <w:rFonts w:cs="Arial"/>
          <w:color w:val="000000" w:themeColor="text1"/>
          <w:sz w:val="20"/>
        </w:rPr>
        <w:t>seventy per cent of the investment;</w:t>
      </w:r>
      <w:r w:rsidR="00C42E64" w:rsidRPr="00245086">
        <w:rPr>
          <w:rFonts w:cs="Arial"/>
          <w:color w:val="000000" w:themeColor="text1"/>
          <w:sz w:val="20"/>
        </w:rPr>
        <w:t>]</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(62)</w:t>
      </w:r>
      <w:r w:rsidRPr="00412620">
        <w:rPr>
          <w:rFonts w:cs="Arial"/>
          <w:sz w:val="20"/>
        </w:rPr>
        <w:tab/>
        <w:t>“stock-in-trade” means stock-in-trade as defined in section 35;</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(63)</w:t>
      </w:r>
      <w:r w:rsidRPr="00412620">
        <w:rPr>
          <w:rFonts w:cs="Arial"/>
          <w:sz w:val="20"/>
        </w:rPr>
        <w:tab/>
        <w:t>“tax” means any tax imposed under Chapter II, and includes any penalty, fee or other charge or any sum or amount leviable or payable under this Ordinance;</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(64)</w:t>
      </w:r>
      <w:r w:rsidRPr="00412620">
        <w:rPr>
          <w:rFonts w:cs="Arial"/>
          <w:sz w:val="20"/>
        </w:rPr>
        <w:tab/>
        <w:t>“taxable income” means taxable income as defined in section 9;</w:t>
      </w:r>
    </w:p>
    <w:p w:rsidR="006A3F93" w:rsidRPr="00412620" w:rsidRDefault="006A3F93">
      <w:pPr>
        <w:jc w:val="both"/>
        <w:rPr>
          <w:rFonts w:cs="Arial"/>
          <w:sz w:val="20"/>
        </w:rPr>
      </w:pPr>
    </w:p>
    <w:p w:rsidR="006A3F93" w:rsidRPr="00412620" w:rsidRDefault="00934586" w:rsidP="00C461D6">
      <w:pPr>
        <w:ind w:firstLine="540"/>
        <w:jc w:val="both"/>
        <w:rPr>
          <w:rFonts w:cs="Arial"/>
          <w:sz w:val="20"/>
        </w:rPr>
      </w:pPr>
      <w:r w:rsidRPr="00412620">
        <w:rPr>
          <w:rStyle w:val="FootnoteReference"/>
          <w:rFonts w:cs="Arial"/>
          <w:sz w:val="20"/>
        </w:rPr>
        <w:footnoteReference w:id="124"/>
      </w:r>
      <w:r w:rsidR="00BE38C8" w:rsidRPr="00412620">
        <w:rPr>
          <w:rFonts w:cs="Arial"/>
          <w:sz w:val="20"/>
        </w:rPr>
        <w:t>[ ]</w:t>
      </w:r>
    </w:p>
    <w:p w:rsidR="00E416F6" w:rsidRPr="00412620" w:rsidRDefault="00E416F6" w:rsidP="00C461D6">
      <w:pPr>
        <w:ind w:firstLine="540"/>
        <w:jc w:val="both"/>
        <w:rPr>
          <w:rFonts w:cs="Arial"/>
          <w:sz w:val="20"/>
        </w:rPr>
      </w:pPr>
    </w:p>
    <w:p w:rsidR="006A3F93" w:rsidRPr="00412620" w:rsidRDefault="006A3F93">
      <w:pPr>
        <w:ind w:left="1080" w:hanging="540"/>
        <w:jc w:val="both"/>
        <w:rPr>
          <w:rFonts w:cs="Arial"/>
          <w:sz w:val="20"/>
        </w:rPr>
      </w:pPr>
      <w:r w:rsidRPr="00412620">
        <w:rPr>
          <w:rFonts w:cs="Arial"/>
          <w:sz w:val="20"/>
        </w:rPr>
        <w:t>(66)</w:t>
      </w:r>
      <w:r w:rsidRPr="00412620">
        <w:rPr>
          <w:rFonts w:cs="Arial"/>
          <w:sz w:val="20"/>
        </w:rPr>
        <w:tab/>
        <w:t xml:space="preserve">“taxpayer” means any person who derives an amount chargeable to tax under this Ordinance, and includes </w:t>
      </w:r>
      <w:r w:rsidR="005B4FC7"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any representative of a person who derives an amount chargeable to tax under this Ordinance;</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any person who is required to deduct or collect tax under Part V of Chapter X </w:t>
      </w:r>
      <w:r w:rsidRPr="00412620">
        <w:rPr>
          <w:rFonts w:cs="Arial"/>
          <w:sz w:val="20"/>
          <w:vertAlign w:val="superscript"/>
        </w:rPr>
        <w:footnoteReference w:id="125"/>
      </w:r>
      <w:r w:rsidRPr="00412620">
        <w:rPr>
          <w:rFonts w:cs="Arial"/>
          <w:sz w:val="20"/>
        </w:rPr>
        <w:t>[and Chapter XII;]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lastRenderedPageBreak/>
        <w:t>(c)</w:t>
      </w:r>
      <w:r w:rsidRPr="00412620">
        <w:rPr>
          <w:rFonts w:cs="Arial"/>
          <w:sz w:val="20"/>
        </w:rPr>
        <w:tab/>
        <w:t>any person required to furnish a return of income or pay tax under this Ordinance;</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(67)</w:t>
      </w:r>
      <w:r w:rsidRPr="00412620">
        <w:rPr>
          <w:rFonts w:cs="Arial"/>
          <w:sz w:val="20"/>
        </w:rPr>
        <w:tab/>
        <w:t>“tax treaty” means an agreement referred to in section 107;</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(68)</w:t>
      </w:r>
      <w:r w:rsidRPr="00412620">
        <w:rPr>
          <w:rFonts w:cs="Arial"/>
          <w:sz w:val="20"/>
        </w:rPr>
        <w:tab/>
        <w:t>“tax year” means the tax year as defined in sub-section (1) of section 74 and, in relation to a person, includes a special year or a transitional year that the person is permitted to use under section 74;</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(69)</w:t>
      </w:r>
      <w:r w:rsidRPr="00412620">
        <w:rPr>
          <w:rFonts w:cs="Arial"/>
          <w:sz w:val="20"/>
        </w:rPr>
        <w:tab/>
        <w:t>“total income” means total income as defined in section 10;</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(70)</w:t>
      </w:r>
      <w:r w:rsidRPr="00412620">
        <w:rPr>
          <w:rFonts w:cs="Arial"/>
          <w:sz w:val="20"/>
        </w:rPr>
        <w:tab/>
        <w:t>“trust” means a “trust” as defined in section 80;</w:t>
      </w:r>
    </w:p>
    <w:p w:rsidR="006A3F93" w:rsidRPr="00412620" w:rsidRDefault="006A3F93">
      <w:pPr>
        <w:jc w:val="both"/>
        <w:rPr>
          <w:rFonts w:cs="Arial"/>
          <w:sz w:val="20"/>
        </w:rPr>
      </w:pPr>
    </w:p>
    <w:p w:rsidR="0019287F" w:rsidRPr="00412620" w:rsidRDefault="002D3B69" w:rsidP="002D3B69">
      <w:pPr>
        <w:ind w:left="1080" w:hanging="675"/>
        <w:jc w:val="both"/>
        <w:rPr>
          <w:rFonts w:cs="Arial"/>
          <w:sz w:val="20"/>
        </w:rPr>
      </w:pPr>
      <w:r w:rsidRPr="00412620">
        <w:rPr>
          <w:rStyle w:val="FootnoteReference"/>
          <w:rFonts w:cs="Arial"/>
          <w:sz w:val="20"/>
        </w:rPr>
        <w:footnoteReference w:id="126"/>
      </w:r>
      <w:r w:rsidR="0019287F" w:rsidRPr="00412620">
        <w:rPr>
          <w:rFonts w:cs="Arial"/>
          <w:sz w:val="20"/>
        </w:rPr>
        <w:t xml:space="preserve">[(70A) </w:t>
      </w:r>
      <w:r w:rsidR="0019287F" w:rsidRPr="00412620">
        <w:rPr>
          <w:rFonts w:cs="Arial"/>
          <w:sz w:val="20"/>
        </w:rPr>
        <w:tab/>
      </w:r>
      <w:r w:rsidR="00902282" w:rsidRPr="00412620">
        <w:rPr>
          <w:rFonts w:cs="Arial"/>
          <w:sz w:val="20"/>
        </w:rPr>
        <w:t>“turnover” means turnover as defined in sub-section (3) of section 113;]</w:t>
      </w:r>
    </w:p>
    <w:p w:rsidR="0019287F" w:rsidRPr="00412620" w:rsidRDefault="0019287F">
      <w:pPr>
        <w:jc w:val="both"/>
        <w:rPr>
          <w:rFonts w:cs="Arial"/>
          <w:sz w:val="20"/>
        </w:rPr>
      </w:pPr>
    </w:p>
    <w:p w:rsidR="006A3F93" w:rsidRPr="00412620" w:rsidRDefault="006A3F93">
      <w:pPr>
        <w:ind w:left="1080" w:hanging="540"/>
        <w:jc w:val="both"/>
        <w:rPr>
          <w:rFonts w:cs="Arial"/>
          <w:sz w:val="20"/>
        </w:rPr>
      </w:pPr>
      <w:r w:rsidRPr="00412620">
        <w:rPr>
          <w:rFonts w:cs="Arial"/>
          <w:sz w:val="20"/>
        </w:rPr>
        <w:t>(71)</w:t>
      </w:r>
      <w:r w:rsidRPr="00412620">
        <w:rPr>
          <w:rFonts w:cs="Arial"/>
          <w:sz w:val="20"/>
        </w:rPr>
        <w:tab/>
        <w:t xml:space="preserve">“underlying ownership” means an underlying ownership as defined in section 98; </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(72)</w:t>
      </w:r>
      <w:r w:rsidRPr="00412620">
        <w:rPr>
          <w:rFonts w:cs="Arial"/>
          <w:sz w:val="20"/>
        </w:rPr>
        <w:tab/>
        <w:t xml:space="preserve">“units” means units in a unit trust; </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(73)</w:t>
      </w:r>
      <w:r w:rsidRPr="00412620">
        <w:rPr>
          <w:rFonts w:cs="Arial"/>
          <w:sz w:val="20"/>
        </w:rPr>
        <w:tab/>
        <w:t>“unit trust</w:t>
      </w:r>
      <w:r w:rsidRPr="00412620">
        <w:rPr>
          <w:rFonts w:cs="Arial"/>
          <w:snapToGrid w:val="0"/>
          <w:sz w:val="20"/>
        </w:rPr>
        <w:t>” means a unit trust as defined in section 80;</w:t>
      </w:r>
      <w:r w:rsidRPr="00412620">
        <w:rPr>
          <w:rFonts w:cs="Arial"/>
          <w:sz w:val="20"/>
        </w:rPr>
        <w:t xml:space="preserve"> and</w:t>
      </w:r>
    </w:p>
    <w:p w:rsidR="006A3F93" w:rsidRPr="00412620" w:rsidRDefault="006A3F93">
      <w:pPr>
        <w:jc w:val="both"/>
        <w:rPr>
          <w:rFonts w:cs="Arial"/>
          <w:sz w:val="20"/>
        </w:rPr>
      </w:pPr>
    </w:p>
    <w:p w:rsidR="006A3F93" w:rsidRDefault="006A3F93">
      <w:pPr>
        <w:ind w:left="1080" w:hanging="720"/>
        <w:jc w:val="both"/>
        <w:rPr>
          <w:rFonts w:cs="Arial"/>
          <w:sz w:val="20"/>
        </w:rPr>
      </w:pPr>
      <w:r w:rsidRPr="00412620">
        <w:rPr>
          <w:rStyle w:val="FootnoteReference"/>
          <w:rFonts w:cs="Arial"/>
          <w:sz w:val="20"/>
        </w:rPr>
        <w:footnoteReference w:id="127"/>
      </w:r>
      <w:r w:rsidRPr="00412620">
        <w:rPr>
          <w:rFonts w:cs="Arial"/>
          <w:sz w:val="20"/>
        </w:rPr>
        <w:t>[(74)</w:t>
      </w:r>
      <w:r w:rsidRPr="00412620">
        <w:rPr>
          <w:rFonts w:cs="Arial"/>
          <w:sz w:val="20"/>
        </w:rPr>
        <w:tab/>
        <w:t xml:space="preserve">“Venture Capital Company” and “Venture Capital Fund” shall have the same meanings as are assigned to them under the </w:t>
      </w:r>
      <w:r w:rsidRPr="00412620">
        <w:rPr>
          <w:rStyle w:val="FootnoteReference"/>
          <w:rFonts w:cs="Arial"/>
          <w:sz w:val="20"/>
        </w:rPr>
        <w:footnoteReference w:id="128"/>
      </w:r>
      <w:r w:rsidRPr="00412620">
        <w:rPr>
          <w:rFonts w:cs="Arial"/>
          <w:sz w:val="20"/>
        </w:rPr>
        <w:t xml:space="preserve">[Non-Banking Finance </w:t>
      </w:r>
      <w:r w:rsidRPr="00412620">
        <w:rPr>
          <w:rStyle w:val="FootnoteReference"/>
          <w:rFonts w:cs="Arial"/>
          <w:sz w:val="20"/>
        </w:rPr>
        <w:footnoteReference w:id="129"/>
      </w:r>
      <w:r w:rsidRPr="00412620">
        <w:rPr>
          <w:rFonts w:cs="Arial"/>
          <w:sz w:val="20"/>
        </w:rPr>
        <w:t>[Companies] (Establishment and Regulation) Rules, 2003];</w:t>
      </w:r>
    </w:p>
    <w:p w:rsidR="00F86B0B" w:rsidRDefault="00F86B0B" w:rsidP="00696FCC">
      <w:pPr>
        <w:autoSpaceDE w:val="0"/>
        <w:autoSpaceDN w:val="0"/>
        <w:adjustRightInd w:val="0"/>
        <w:ind w:firstLine="360"/>
        <w:rPr>
          <w:rFonts w:cs="Arial"/>
          <w:color w:val="984806" w:themeColor="accent6" w:themeShade="80"/>
          <w:sz w:val="20"/>
          <w:lang w:val="en-US"/>
        </w:rPr>
      </w:pPr>
    </w:p>
    <w:p w:rsidR="00696FCC" w:rsidRPr="00F90D95" w:rsidRDefault="00F86B0B" w:rsidP="00696FCC">
      <w:pPr>
        <w:autoSpaceDE w:val="0"/>
        <w:autoSpaceDN w:val="0"/>
        <w:adjustRightInd w:val="0"/>
        <w:ind w:firstLine="360"/>
        <w:rPr>
          <w:rFonts w:cs="Arial"/>
          <w:color w:val="000000" w:themeColor="text1"/>
          <w:sz w:val="20"/>
        </w:rPr>
      </w:pPr>
      <w:r w:rsidRPr="00F90D95">
        <w:rPr>
          <w:rStyle w:val="FootnoteReference"/>
          <w:rFonts w:cs="Arial"/>
          <w:color w:val="000000" w:themeColor="text1"/>
          <w:sz w:val="20"/>
          <w:lang w:val="en-US"/>
        </w:rPr>
        <w:footnoteReference w:id="130"/>
      </w:r>
      <w:r w:rsidR="00696FCC" w:rsidRPr="00F90D95">
        <w:rPr>
          <w:rFonts w:cs="Arial"/>
          <w:color w:val="000000" w:themeColor="text1"/>
          <w:sz w:val="20"/>
          <w:lang w:val="en-US"/>
        </w:rPr>
        <w:t>[(75) “whistleblower” means whistleblow</w:t>
      </w:r>
      <w:r w:rsidR="008A12ED" w:rsidRPr="00F90D95">
        <w:rPr>
          <w:rFonts w:cs="Arial"/>
          <w:color w:val="000000" w:themeColor="text1"/>
          <w:sz w:val="20"/>
          <w:lang w:val="en-US"/>
        </w:rPr>
        <w:t>er as defined in section 227B;”</w:t>
      </w:r>
      <w:r w:rsidR="00696FCC" w:rsidRPr="00F90D95">
        <w:rPr>
          <w:rFonts w:cs="Arial"/>
          <w:color w:val="000000" w:themeColor="text1"/>
          <w:sz w:val="20"/>
          <w:lang w:val="en-US"/>
        </w:rPr>
        <w:t>]</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3.</w:t>
      </w:r>
      <w:r w:rsidRPr="00412620">
        <w:rPr>
          <w:rFonts w:cs="Arial"/>
          <w:b/>
          <w:sz w:val="20"/>
        </w:rPr>
        <w:tab/>
        <w:t>Ordinance to override other laws.</w:t>
      </w:r>
      <w:r w:rsidR="008929FC" w:rsidRPr="00412620">
        <w:rPr>
          <w:rFonts w:cs="Arial"/>
          <w:b/>
          <w:sz w:val="20"/>
        </w:rPr>
        <w:t>—</w:t>
      </w:r>
      <w:r w:rsidRPr="00412620">
        <w:rPr>
          <w:sz w:val="20"/>
        </w:rPr>
        <w:t xml:space="preserve">  The provisions of this Ordinance shall apply notwithstanding anything to the contrary contained in any other law for the time being in force.</w:t>
      </w:r>
    </w:p>
    <w:p w:rsidR="006A3F93" w:rsidRPr="00412620" w:rsidRDefault="006A3F93">
      <w:pPr>
        <w:rPr>
          <w:rFonts w:cs="Arial"/>
          <w:sz w:val="20"/>
        </w:rPr>
      </w:pPr>
    </w:p>
    <w:p w:rsidR="006A3F93" w:rsidRPr="00412620" w:rsidRDefault="00963711">
      <w:pPr>
        <w:pStyle w:val="Heading2"/>
        <w:spacing w:line="240" w:lineRule="auto"/>
        <w:rPr>
          <w:rFonts w:cs="Arial"/>
          <w:sz w:val="32"/>
          <w:szCs w:val="32"/>
        </w:rPr>
      </w:pPr>
      <w:r w:rsidRPr="00412620">
        <w:rPr>
          <w:rFonts w:cs="Arial"/>
          <w:sz w:val="20"/>
        </w:rPr>
        <w:br w:type="page"/>
      </w:r>
      <w:r w:rsidR="006A3F93" w:rsidRPr="00412620">
        <w:rPr>
          <w:rFonts w:cs="Arial"/>
          <w:sz w:val="28"/>
          <w:szCs w:val="32"/>
        </w:rPr>
        <w:lastRenderedPageBreak/>
        <w:t>CHAPTER II</w:t>
      </w:r>
    </w:p>
    <w:p w:rsidR="006A3F93" w:rsidRPr="00412620" w:rsidRDefault="006A3F93">
      <w:pPr>
        <w:keepNext/>
        <w:jc w:val="center"/>
        <w:rPr>
          <w:sz w:val="18"/>
        </w:rPr>
      </w:pPr>
      <w:r w:rsidRPr="00412620">
        <w:rPr>
          <w:rFonts w:cs="Arial"/>
          <w:b/>
          <w:sz w:val="18"/>
        </w:rPr>
        <w:t>CHARGE OF TAX</w:t>
      </w:r>
    </w:p>
    <w:p w:rsidR="006A3F93" w:rsidRPr="00412620" w:rsidRDefault="006A3F93">
      <w:pPr>
        <w:pStyle w:val="CommentText"/>
        <w:keepNext/>
        <w:rPr>
          <w:rFonts w:cs="Arial"/>
          <w:sz w:val="8"/>
        </w:rPr>
      </w:pPr>
    </w:p>
    <w:p w:rsidR="006A3F93" w:rsidRPr="00412620" w:rsidRDefault="006A3F93" w:rsidP="00851958">
      <w:pPr>
        <w:jc w:val="both"/>
        <w:rPr>
          <w:sz w:val="18"/>
        </w:rPr>
      </w:pPr>
      <w:r w:rsidRPr="00412620">
        <w:rPr>
          <w:rFonts w:cs="Arial"/>
          <w:b/>
          <w:sz w:val="18"/>
        </w:rPr>
        <w:t>4.</w:t>
      </w:r>
      <w:r w:rsidRPr="00412620">
        <w:rPr>
          <w:rFonts w:cs="Arial"/>
          <w:b/>
          <w:sz w:val="18"/>
        </w:rPr>
        <w:tab/>
        <w:t>Tax on taxable income.</w:t>
      </w:r>
      <w:r w:rsidR="008929FC" w:rsidRPr="00412620">
        <w:rPr>
          <w:rFonts w:cs="Arial"/>
          <w:b/>
          <w:sz w:val="18"/>
        </w:rPr>
        <w:t>—</w:t>
      </w:r>
      <w:r w:rsidRPr="00412620">
        <w:rPr>
          <w:sz w:val="18"/>
        </w:rPr>
        <w:t xml:space="preserve"> (1)  Subject to this Ordinance, income tax shall be imposed for each tax year, at the rate or rates specified in </w:t>
      </w:r>
      <w:r w:rsidR="006531FA" w:rsidRPr="00412620">
        <w:rPr>
          <w:rStyle w:val="FootnoteReference"/>
          <w:sz w:val="18"/>
        </w:rPr>
        <w:footnoteReference w:id="131"/>
      </w:r>
      <w:r w:rsidR="00DE515D" w:rsidRPr="00412620">
        <w:rPr>
          <w:sz w:val="18"/>
        </w:rPr>
        <w:t xml:space="preserve">[Division I, IB or II] </w:t>
      </w:r>
      <w:r w:rsidRPr="00412620">
        <w:rPr>
          <w:sz w:val="18"/>
        </w:rPr>
        <w:t>of Part I of the First Schedule, as the case may be, on every person who has taxable income for the year.</w:t>
      </w:r>
    </w:p>
    <w:p w:rsidR="006A3F93" w:rsidRPr="00412620" w:rsidRDefault="006A3F93">
      <w:pPr>
        <w:jc w:val="both"/>
        <w:rPr>
          <w:rFonts w:cs="Arial"/>
          <w:sz w:val="8"/>
        </w:rPr>
      </w:pPr>
    </w:p>
    <w:p w:rsidR="006A3F93" w:rsidRPr="00412620" w:rsidRDefault="006A3F93">
      <w:pPr>
        <w:ind w:firstLine="360"/>
        <w:jc w:val="both"/>
        <w:rPr>
          <w:rFonts w:cs="Arial"/>
          <w:sz w:val="18"/>
        </w:rPr>
      </w:pPr>
      <w:r w:rsidRPr="00412620">
        <w:rPr>
          <w:rFonts w:cs="Arial"/>
          <w:sz w:val="18"/>
        </w:rPr>
        <w:tab/>
        <w:t>(2)</w:t>
      </w:r>
      <w:r w:rsidRPr="00412620">
        <w:rPr>
          <w:rFonts w:cs="Arial"/>
          <w:sz w:val="18"/>
        </w:rPr>
        <w:tab/>
        <w:t>The income tax payable by a taxpayer for a tax year shall be computed by applying the rate or rates of tax applicable to the taxpayer under this Ordinance to the taxable income of the taxpayer for the year, and from the resulting amount shall be subtracted any tax credits allowed to the taxpayer for the year.</w:t>
      </w:r>
    </w:p>
    <w:p w:rsidR="006A3F93" w:rsidRPr="00412620" w:rsidRDefault="006A3F93">
      <w:pPr>
        <w:jc w:val="both"/>
        <w:rPr>
          <w:rFonts w:cs="Arial"/>
          <w:sz w:val="8"/>
        </w:rPr>
      </w:pPr>
    </w:p>
    <w:p w:rsidR="006A3F93" w:rsidRPr="00412620" w:rsidRDefault="006A3F93">
      <w:pPr>
        <w:jc w:val="both"/>
        <w:rPr>
          <w:rFonts w:cs="Arial"/>
          <w:sz w:val="18"/>
        </w:rPr>
      </w:pPr>
      <w:r w:rsidRPr="00412620">
        <w:rPr>
          <w:rFonts w:cs="Arial"/>
          <w:sz w:val="18"/>
        </w:rPr>
        <w:tab/>
        <w:t>(3)</w:t>
      </w:r>
      <w:r w:rsidRPr="00412620">
        <w:rPr>
          <w:rFonts w:cs="Arial"/>
          <w:sz w:val="18"/>
        </w:rPr>
        <w:tab/>
        <w:t>Where a taxpayer is allowed more than one tax credit for a tax year, the credits shall be applied in the following order –</w:t>
      </w:r>
    </w:p>
    <w:p w:rsidR="006A3F93" w:rsidRPr="00412620" w:rsidRDefault="006A3F93">
      <w:pPr>
        <w:jc w:val="both"/>
        <w:rPr>
          <w:rFonts w:cs="Arial"/>
          <w:sz w:val="8"/>
        </w:rPr>
      </w:pPr>
    </w:p>
    <w:p w:rsidR="006A3F93" w:rsidRPr="00412620" w:rsidRDefault="006A3F93">
      <w:pPr>
        <w:ind w:left="1620" w:hanging="540"/>
        <w:jc w:val="both"/>
        <w:rPr>
          <w:rFonts w:cs="Arial"/>
          <w:sz w:val="18"/>
        </w:rPr>
      </w:pPr>
      <w:r w:rsidRPr="00412620">
        <w:rPr>
          <w:rFonts w:cs="Arial"/>
          <w:sz w:val="18"/>
        </w:rPr>
        <w:t>(a)</w:t>
      </w:r>
      <w:r w:rsidRPr="00412620">
        <w:rPr>
          <w:rFonts w:cs="Arial"/>
          <w:sz w:val="18"/>
        </w:rPr>
        <w:tab/>
        <w:t>any foreign tax credit allowed under section 103; then</w:t>
      </w:r>
    </w:p>
    <w:p w:rsidR="006A3F93" w:rsidRPr="00412620" w:rsidRDefault="006A3F93">
      <w:pPr>
        <w:jc w:val="both"/>
        <w:rPr>
          <w:rFonts w:cs="Arial"/>
          <w:sz w:val="8"/>
        </w:rPr>
      </w:pPr>
    </w:p>
    <w:p w:rsidR="006A3F93" w:rsidRPr="00412620" w:rsidRDefault="006A3F93">
      <w:pPr>
        <w:ind w:left="1620" w:hanging="540"/>
        <w:jc w:val="both"/>
        <w:rPr>
          <w:rFonts w:cs="Arial"/>
          <w:sz w:val="18"/>
        </w:rPr>
      </w:pPr>
      <w:r w:rsidRPr="00412620">
        <w:rPr>
          <w:rFonts w:cs="Arial"/>
          <w:sz w:val="18"/>
        </w:rPr>
        <w:t>(b)</w:t>
      </w:r>
      <w:r w:rsidRPr="00412620">
        <w:rPr>
          <w:rFonts w:cs="Arial"/>
          <w:sz w:val="18"/>
        </w:rPr>
        <w:tab/>
        <w:t>any tax credit allowed under Part X of Chapter III; and then</w:t>
      </w:r>
    </w:p>
    <w:p w:rsidR="006A3F93" w:rsidRPr="00412620" w:rsidRDefault="006A3F93">
      <w:pPr>
        <w:jc w:val="both"/>
        <w:rPr>
          <w:rFonts w:cs="Arial"/>
          <w:sz w:val="10"/>
        </w:rPr>
      </w:pPr>
    </w:p>
    <w:p w:rsidR="006A3F93" w:rsidRPr="00412620" w:rsidRDefault="006A3F93">
      <w:pPr>
        <w:ind w:left="1620" w:hanging="540"/>
        <w:jc w:val="both"/>
        <w:rPr>
          <w:rFonts w:cs="Arial"/>
          <w:sz w:val="18"/>
        </w:rPr>
      </w:pPr>
      <w:r w:rsidRPr="00412620">
        <w:rPr>
          <w:rFonts w:cs="Arial"/>
          <w:sz w:val="18"/>
        </w:rPr>
        <w:t>(c)</w:t>
      </w:r>
      <w:r w:rsidRPr="00412620">
        <w:rPr>
          <w:rFonts w:cs="Arial"/>
          <w:sz w:val="18"/>
        </w:rPr>
        <w:tab/>
        <w:t xml:space="preserve">any tax credit allowed under sections </w:t>
      </w:r>
      <w:r w:rsidRPr="00412620">
        <w:rPr>
          <w:rStyle w:val="FootnoteReference"/>
          <w:rFonts w:cs="Arial"/>
          <w:sz w:val="18"/>
        </w:rPr>
        <w:footnoteReference w:id="132"/>
      </w:r>
      <w:r w:rsidRPr="00412620">
        <w:rPr>
          <w:rFonts w:cs="Arial"/>
          <w:sz w:val="18"/>
        </w:rPr>
        <w:t>[  ] 147 and 168.</w:t>
      </w:r>
    </w:p>
    <w:p w:rsidR="006A3F93" w:rsidRPr="00412620" w:rsidRDefault="006A3F93">
      <w:pPr>
        <w:jc w:val="both"/>
        <w:rPr>
          <w:rFonts w:cs="Arial"/>
          <w:sz w:val="10"/>
        </w:rPr>
      </w:pPr>
    </w:p>
    <w:p w:rsidR="006A3F93" w:rsidRPr="00412620" w:rsidRDefault="006A3F93">
      <w:pPr>
        <w:jc w:val="both"/>
        <w:rPr>
          <w:rFonts w:cs="Arial"/>
          <w:sz w:val="18"/>
        </w:rPr>
      </w:pPr>
      <w:r w:rsidRPr="00412620">
        <w:rPr>
          <w:rFonts w:cs="Arial"/>
          <w:sz w:val="18"/>
        </w:rPr>
        <w:tab/>
        <w:t>(4)</w:t>
      </w:r>
      <w:r w:rsidRPr="00412620">
        <w:rPr>
          <w:rFonts w:cs="Arial"/>
          <w:sz w:val="18"/>
        </w:rPr>
        <w:tab/>
        <w:t>Certain classes of income (including the income of certain classes of persons) may be subject to –</w:t>
      </w:r>
    </w:p>
    <w:p w:rsidR="006A3F93" w:rsidRPr="00412620" w:rsidRDefault="006A3F93">
      <w:pPr>
        <w:jc w:val="both"/>
        <w:rPr>
          <w:rFonts w:cs="Arial"/>
          <w:sz w:val="10"/>
        </w:rPr>
      </w:pPr>
    </w:p>
    <w:p w:rsidR="006A3F93" w:rsidRPr="00412620" w:rsidRDefault="006A3F93">
      <w:pPr>
        <w:ind w:left="1620" w:hanging="540"/>
        <w:jc w:val="both"/>
        <w:rPr>
          <w:rFonts w:cs="Arial"/>
          <w:sz w:val="18"/>
        </w:rPr>
      </w:pPr>
      <w:r w:rsidRPr="00412620">
        <w:rPr>
          <w:rFonts w:cs="Arial"/>
          <w:sz w:val="18"/>
        </w:rPr>
        <w:t>(a)</w:t>
      </w:r>
      <w:r w:rsidRPr="00412620">
        <w:rPr>
          <w:rFonts w:cs="Arial"/>
          <w:sz w:val="18"/>
        </w:rPr>
        <w:tab/>
        <w:t>separate taxation as provided in sections 5, 6 and 7; or</w:t>
      </w:r>
    </w:p>
    <w:p w:rsidR="006A3F93" w:rsidRPr="00412620" w:rsidRDefault="006A3F93">
      <w:pPr>
        <w:jc w:val="both"/>
        <w:rPr>
          <w:rFonts w:cs="Arial"/>
          <w:sz w:val="10"/>
        </w:rPr>
      </w:pPr>
    </w:p>
    <w:p w:rsidR="006A3F93" w:rsidRPr="00412620" w:rsidRDefault="006A3F93">
      <w:pPr>
        <w:ind w:left="1620" w:hanging="540"/>
        <w:jc w:val="both"/>
        <w:rPr>
          <w:rFonts w:cs="Arial"/>
          <w:sz w:val="18"/>
        </w:rPr>
      </w:pPr>
      <w:r w:rsidRPr="00412620">
        <w:rPr>
          <w:rFonts w:cs="Arial"/>
          <w:sz w:val="18"/>
        </w:rPr>
        <w:t>(b)</w:t>
      </w:r>
      <w:r w:rsidRPr="00412620">
        <w:rPr>
          <w:rFonts w:cs="Arial"/>
          <w:sz w:val="18"/>
        </w:rPr>
        <w:tab/>
        <w:t xml:space="preserve">collection of tax under Division II of Part V of Chapter X or deduction of tax under Division III of Part V of Chapter X as a final tax on the income </w:t>
      </w:r>
      <w:r w:rsidR="00CA7513" w:rsidRPr="00412620">
        <w:rPr>
          <w:rStyle w:val="FootnoteReference"/>
          <w:rFonts w:cs="Arial"/>
          <w:sz w:val="18"/>
        </w:rPr>
        <w:footnoteReference w:id="133"/>
      </w:r>
      <w:r w:rsidR="00195161" w:rsidRPr="00412620">
        <w:rPr>
          <w:rFonts w:cs="Arial"/>
          <w:sz w:val="18"/>
        </w:rPr>
        <w:t>[of]</w:t>
      </w:r>
      <w:r w:rsidRPr="00412620">
        <w:rPr>
          <w:rFonts w:cs="Arial"/>
          <w:sz w:val="18"/>
        </w:rPr>
        <w:t xml:space="preserve"> the person.</w:t>
      </w:r>
    </w:p>
    <w:p w:rsidR="006A3F93" w:rsidRPr="00412620" w:rsidRDefault="006A3F93">
      <w:pPr>
        <w:jc w:val="both"/>
        <w:rPr>
          <w:rFonts w:cs="Arial"/>
          <w:sz w:val="8"/>
        </w:rPr>
      </w:pPr>
    </w:p>
    <w:p w:rsidR="006A3F93" w:rsidRPr="00412620" w:rsidRDefault="006A3F93">
      <w:pPr>
        <w:jc w:val="both"/>
        <w:rPr>
          <w:rFonts w:cs="Arial"/>
          <w:sz w:val="18"/>
        </w:rPr>
      </w:pPr>
      <w:r w:rsidRPr="00412620">
        <w:rPr>
          <w:rFonts w:cs="Arial"/>
          <w:sz w:val="18"/>
        </w:rPr>
        <w:tab/>
        <w:t>(5)</w:t>
      </w:r>
      <w:r w:rsidRPr="00412620">
        <w:rPr>
          <w:rFonts w:cs="Arial"/>
          <w:sz w:val="18"/>
        </w:rPr>
        <w:tab/>
        <w:t>Income referred to in sub-section (4) shall be subject to tax as provided for in section 5, 6 or 7, or Part V of Chapter X, as the case may be, and shall not be included in the computation of taxable income in accordance with section 8 or 169, as the case may be.</w:t>
      </w:r>
    </w:p>
    <w:p w:rsidR="006A3F93" w:rsidRPr="00412620" w:rsidRDefault="006A3F93">
      <w:pPr>
        <w:jc w:val="both"/>
        <w:rPr>
          <w:rFonts w:cs="Arial"/>
          <w:sz w:val="8"/>
        </w:rPr>
      </w:pPr>
    </w:p>
    <w:p w:rsidR="006A3F93" w:rsidRPr="00412620" w:rsidRDefault="006A3F93">
      <w:pPr>
        <w:ind w:firstLine="450"/>
        <w:jc w:val="both"/>
        <w:rPr>
          <w:sz w:val="18"/>
        </w:rPr>
      </w:pPr>
      <w:r w:rsidRPr="00412620">
        <w:rPr>
          <w:rStyle w:val="FootnoteReference"/>
          <w:rFonts w:cs="Arial"/>
          <w:sz w:val="18"/>
        </w:rPr>
        <w:footnoteReference w:id="134"/>
      </w:r>
      <w:r w:rsidRPr="00412620">
        <w:rPr>
          <w:sz w:val="18"/>
        </w:rPr>
        <w:t xml:space="preserve">[(6) </w:t>
      </w:r>
      <w:r w:rsidRPr="00412620">
        <w:rPr>
          <w:sz w:val="18"/>
        </w:rPr>
        <w:tab/>
        <w:t xml:space="preserve">Where, by virtue of any provision of this Ordinance, income tax is to be deducted at source or collected or paid in advance, it shall, as the case may be, be so deducted, collected or paid, accordingly </w:t>
      </w:r>
      <w:r w:rsidRPr="00412620">
        <w:rPr>
          <w:rStyle w:val="FootnoteReference"/>
          <w:sz w:val="18"/>
        </w:rPr>
        <w:footnoteReference w:id="135"/>
      </w:r>
      <w:r w:rsidRPr="00412620">
        <w:rPr>
          <w:sz w:val="18"/>
        </w:rPr>
        <w:t>[.] ]</w:t>
      </w:r>
    </w:p>
    <w:p w:rsidR="006A3F93" w:rsidRPr="00412620" w:rsidRDefault="006A3F93">
      <w:pPr>
        <w:jc w:val="both"/>
        <w:rPr>
          <w:rFonts w:cs="Arial"/>
          <w:sz w:val="8"/>
        </w:rPr>
      </w:pPr>
    </w:p>
    <w:p w:rsidR="005411AE" w:rsidRPr="00245086" w:rsidRDefault="008A6D14" w:rsidP="006F6445">
      <w:pPr>
        <w:ind w:left="547"/>
        <w:jc w:val="both"/>
        <w:rPr>
          <w:color w:val="000000" w:themeColor="text1"/>
          <w:sz w:val="18"/>
        </w:rPr>
      </w:pPr>
      <w:r w:rsidRPr="00245086">
        <w:rPr>
          <w:rStyle w:val="FootnoteReference"/>
          <w:rFonts w:cs="Arial"/>
          <w:color w:val="000000" w:themeColor="text1"/>
          <w:sz w:val="18"/>
        </w:rPr>
        <w:footnoteReference w:id="136"/>
      </w:r>
      <w:r w:rsidR="004474EB" w:rsidRPr="00245086">
        <w:rPr>
          <w:rFonts w:cs="Arial"/>
          <w:caps/>
          <w:color w:val="000000" w:themeColor="text1"/>
          <w:sz w:val="18"/>
        </w:rPr>
        <w:t>[</w:t>
      </w:r>
      <w:r w:rsidR="006F6445" w:rsidRPr="00245086">
        <w:rPr>
          <w:rFonts w:cs="Arial"/>
          <w:caps/>
          <w:color w:val="000000" w:themeColor="text1"/>
          <w:sz w:val="18"/>
        </w:rPr>
        <w:t xml:space="preserve">  ] </w:t>
      </w:r>
    </w:p>
    <w:p w:rsidR="00851958" w:rsidRPr="00E26C91" w:rsidRDefault="00784D87" w:rsidP="00851958">
      <w:pPr>
        <w:autoSpaceDE w:val="0"/>
        <w:autoSpaceDN w:val="0"/>
        <w:adjustRightInd w:val="0"/>
        <w:jc w:val="both"/>
        <w:rPr>
          <w:rFonts w:cs="Arial"/>
          <w:color w:val="984806" w:themeColor="accent6" w:themeShade="80"/>
          <w:sz w:val="20"/>
          <w:lang w:val="en-US"/>
        </w:rPr>
      </w:pPr>
      <w:r w:rsidRPr="00F90D95">
        <w:rPr>
          <w:rStyle w:val="FootnoteReference"/>
          <w:rFonts w:ascii="Arial,Bold" w:hAnsi="Arial,Bold" w:cs="Arial,Bold"/>
          <w:b/>
          <w:bCs/>
          <w:color w:val="000000" w:themeColor="text1"/>
          <w:sz w:val="20"/>
          <w:lang w:val="en-US"/>
        </w:rPr>
        <w:lastRenderedPageBreak/>
        <w:footnoteReference w:id="137"/>
      </w:r>
      <w:r w:rsidR="00E26C91" w:rsidRPr="00F90D95">
        <w:rPr>
          <w:rFonts w:ascii="Arial,Bold" w:hAnsi="Arial,Bold" w:cs="Arial,Bold"/>
          <w:b/>
          <w:bCs/>
          <w:color w:val="000000" w:themeColor="text1"/>
          <w:sz w:val="20"/>
          <w:lang w:val="en-US"/>
        </w:rPr>
        <w:t>[</w:t>
      </w:r>
      <w:r w:rsidR="00851958" w:rsidRPr="00F90D95">
        <w:rPr>
          <w:rFonts w:ascii="Arial,Bold" w:hAnsi="Arial,Bold" w:cs="Arial,Bold"/>
          <w:b/>
          <w:bCs/>
          <w:color w:val="000000" w:themeColor="text1"/>
          <w:sz w:val="20"/>
          <w:lang w:val="en-US"/>
        </w:rPr>
        <w:t xml:space="preserve">4B. </w:t>
      </w:r>
      <w:r w:rsidR="00851958" w:rsidRPr="00F90D95">
        <w:rPr>
          <w:rFonts w:cs="Arial"/>
          <w:b/>
          <w:bCs/>
          <w:color w:val="000000" w:themeColor="text1"/>
          <w:sz w:val="20"/>
          <w:lang w:val="en-US"/>
        </w:rPr>
        <w:t xml:space="preserve">Super tax for rehabilitation of temporarily displaced </w:t>
      </w:r>
      <w:r w:rsidR="00851958" w:rsidRPr="00F90D95">
        <w:rPr>
          <w:rFonts w:ascii="Arial,Bold" w:hAnsi="Arial,Bold" w:cs="Arial,Bold"/>
          <w:b/>
          <w:bCs/>
          <w:color w:val="000000" w:themeColor="text1"/>
          <w:sz w:val="20"/>
          <w:lang w:val="en-US"/>
        </w:rPr>
        <w:t xml:space="preserve">persons.― </w:t>
      </w:r>
      <w:r w:rsidR="00851958" w:rsidRPr="00F90D95">
        <w:rPr>
          <w:rFonts w:cs="Arial"/>
          <w:color w:val="000000" w:themeColor="text1"/>
          <w:sz w:val="20"/>
          <w:lang w:val="en-US"/>
        </w:rPr>
        <w:t>(1) A super tax shall be imposed for rehabilitation of temporarily displaced persons, for tax</w:t>
      </w:r>
      <w:r w:rsidR="00851958" w:rsidRPr="00E26C91">
        <w:rPr>
          <w:rFonts w:cs="Arial"/>
          <w:color w:val="984806" w:themeColor="accent6" w:themeShade="80"/>
          <w:sz w:val="20"/>
          <w:lang w:val="en-US"/>
        </w:rPr>
        <w:t xml:space="preserve"> </w:t>
      </w:r>
      <w:r w:rsidR="00D66C09" w:rsidRPr="00D612BA">
        <w:rPr>
          <w:rStyle w:val="FootnoteReference"/>
          <w:rFonts w:cs="Arial"/>
          <w:color w:val="0070C0"/>
          <w:sz w:val="20"/>
          <w:lang w:val="en-US"/>
        </w:rPr>
        <w:footnoteReference w:id="138"/>
      </w:r>
      <w:r w:rsidR="00D66C09" w:rsidRPr="00D612BA">
        <w:rPr>
          <w:rFonts w:cs="Arial"/>
          <w:color w:val="0070C0"/>
          <w:sz w:val="20"/>
          <w:lang w:val="en-US"/>
        </w:rPr>
        <w:t>[</w:t>
      </w:r>
      <w:r w:rsidR="00851958" w:rsidRPr="00D612BA">
        <w:rPr>
          <w:rFonts w:cs="Arial"/>
          <w:color w:val="0070C0"/>
          <w:sz w:val="20"/>
          <w:lang w:val="en-US"/>
        </w:rPr>
        <w:t>year</w:t>
      </w:r>
      <w:r w:rsidR="00D66C09" w:rsidRPr="00D612BA">
        <w:rPr>
          <w:rFonts w:cs="Arial"/>
          <w:color w:val="0070C0"/>
          <w:sz w:val="20"/>
          <w:lang w:val="en-US"/>
        </w:rPr>
        <w:t>s</w:t>
      </w:r>
      <w:r w:rsidR="00851958" w:rsidRPr="00D612BA">
        <w:rPr>
          <w:rFonts w:cs="Arial"/>
          <w:color w:val="0070C0"/>
          <w:sz w:val="20"/>
          <w:lang w:val="en-US"/>
        </w:rPr>
        <w:t xml:space="preserve"> 2015</w:t>
      </w:r>
      <w:r w:rsidR="00D66C09" w:rsidRPr="00D612BA">
        <w:rPr>
          <w:rFonts w:cs="Arial"/>
          <w:color w:val="0070C0"/>
          <w:sz w:val="20"/>
          <w:lang w:val="en-US"/>
        </w:rPr>
        <w:t xml:space="preserve"> and 2016]</w:t>
      </w:r>
      <w:r w:rsidR="00851958" w:rsidRPr="00F90D95">
        <w:rPr>
          <w:rFonts w:cs="Arial"/>
          <w:color w:val="000000" w:themeColor="text1"/>
          <w:sz w:val="20"/>
          <w:lang w:val="en-US"/>
        </w:rPr>
        <w:t>,</w:t>
      </w:r>
      <w:r w:rsidR="00851958" w:rsidRPr="00E26C91">
        <w:rPr>
          <w:rFonts w:cs="Arial"/>
          <w:color w:val="984806" w:themeColor="accent6" w:themeShade="80"/>
          <w:sz w:val="20"/>
          <w:lang w:val="en-US"/>
        </w:rPr>
        <w:t xml:space="preserve"> </w:t>
      </w:r>
      <w:r w:rsidR="00851958" w:rsidRPr="00F90D95">
        <w:rPr>
          <w:rFonts w:cs="Arial"/>
          <w:color w:val="000000" w:themeColor="text1"/>
          <w:sz w:val="20"/>
          <w:lang w:val="en-US"/>
        </w:rPr>
        <w:t>at the rates specified in Division IIA of Part I of the First Schedule, on income of every person specified in the said Division.</w:t>
      </w:r>
    </w:p>
    <w:p w:rsidR="00851958" w:rsidRPr="00E26C91" w:rsidRDefault="00851958" w:rsidP="00851958">
      <w:pPr>
        <w:autoSpaceDE w:val="0"/>
        <w:autoSpaceDN w:val="0"/>
        <w:adjustRightInd w:val="0"/>
        <w:rPr>
          <w:rFonts w:cs="Arial"/>
          <w:color w:val="984806" w:themeColor="accent6" w:themeShade="80"/>
          <w:sz w:val="20"/>
          <w:lang w:val="en-US"/>
        </w:rPr>
      </w:pPr>
    </w:p>
    <w:p w:rsidR="00851958" w:rsidRPr="00F90D95" w:rsidRDefault="00851958" w:rsidP="00851958">
      <w:pPr>
        <w:autoSpaceDE w:val="0"/>
        <w:autoSpaceDN w:val="0"/>
        <w:adjustRightInd w:val="0"/>
        <w:ind w:firstLine="547"/>
        <w:jc w:val="both"/>
        <w:rPr>
          <w:rFonts w:cs="Arial"/>
          <w:color w:val="000000" w:themeColor="text1"/>
          <w:sz w:val="20"/>
          <w:lang w:val="en-US"/>
        </w:rPr>
      </w:pPr>
      <w:r w:rsidRPr="00F90D95">
        <w:rPr>
          <w:rFonts w:cs="Arial"/>
          <w:color w:val="000000" w:themeColor="text1"/>
          <w:sz w:val="20"/>
          <w:lang w:val="en-US"/>
        </w:rPr>
        <w:t xml:space="preserve">(2) For the purposes of this section, </w:t>
      </w:r>
      <w:r w:rsidR="00983108" w:rsidRPr="00F90D95">
        <w:rPr>
          <w:rFonts w:cs="Arial"/>
          <w:color w:val="000000" w:themeColor="text1"/>
          <w:sz w:val="20"/>
          <w:lang w:val="en-US"/>
        </w:rPr>
        <w:t>“</w:t>
      </w:r>
      <w:r w:rsidRPr="00F90D95">
        <w:rPr>
          <w:rFonts w:cs="Arial"/>
          <w:color w:val="000000" w:themeColor="text1"/>
          <w:sz w:val="20"/>
          <w:lang w:val="en-US"/>
        </w:rPr>
        <w:t>income</w:t>
      </w:r>
      <w:r w:rsidR="00983108" w:rsidRPr="00F90D95">
        <w:rPr>
          <w:rFonts w:cs="Arial"/>
          <w:color w:val="000000" w:themeColor="text1"/>
          <w:sz w:val="20"/>
          <w:lang w:val="en-US"/>
        </w:rPr>
        <w:t>”</w:t>
      </w:r>
      <w:r w:rsidRPr="00F90D95">
        <w:rPr>
          <w:rFonts w:cs="Arial"/>
          <w:color w:val="000000" w:themeColor="text1"/>
          <w:sz w:val="20"/>
          <w:lang w:val="en-US"/>
        </w:rPr>
        <w:t xml:space="preserve"> shall be the sum of the following:—</w:t>
      </w:r>
    </w:p>
    <w:p w:rsidR="00E26C91" w:rsidRPr="00F90D95" w:rsidRDefault="00E26C91" w:rsidP="00851958">
      <w:pPr>
        <w:autoSpaceDE w:val="0"/>
        <w:autoSpaceDN w:val="0"/>
        <w:adjustRightInd w:val="0"/>
        <w:ind w:firstLine="547"/>
        <w:jc w:val="both"/>
        <w:rPr>
          <w:rFonts w:cs="Arial"/>
          <w:color w:val="000000" w:themeColor="text1"/>
          <w:sz w:val="20"/>
          <w:lang w:val="en-US"/>
        </w:rPr>
      </w:pPr>
    </w:p>
    <w:p w:rsidR="00851958" w:rsidRPr="00F90D95" w:rsidRDefault="00851958" w:rsidP="00851958">
      <w:pPr>
        <w:autoSpaceDE w:val="0"/>
        <w:autoSpaceDN w:val="0"/>
        <w:adjustRightInd w:val="0"/>
        <w:ind w:left="547" w:firstLine="547"/>
        <w:jc w:val="both"/>
        <w:rPr>
          <w:rFonts w:cs="Arial"/>
          <w:color w:val="000000" w:themeColor="text1"/>
          <w:sz w:val="20"/>
          <w:lang w:val="en-US"/>
        </w:rPr>
      </w:pPr>
      <w:r w:rsidRPr="00F90D95">
        <w:rPr>
          <w:rFonts w:cs="Arial"/>
          <w:color w:val="000000" w:themeColor="text1"/>
          <w:sz w:val="20"/>
          <w:lang w:val="en-US"/>
        </w:rPr>
        <w:t>(i) profit on debt, dividend, capital gains, brokerage and commission;</w:t>
      </w:r>
    </w:p>
    <w:p w:rsidR="00E26C91" w:rsidRPr="00F90D95" w:rsidRDefault="00E26C91" w:rsidP="00851958">
      <w:pPr>
        <w:autoSpaceDE w:val="0"/>
        <w:autoSpaceDN w:val="0"/>
        <w:adjustRightInd w:val="0"/>
        <w:ind w:left="547" w:firstLine="547"/>
        <w:jc w:val="both"/>
        <w:rPr>
          <w:rFonts w:cs="Arial"/>
          <w:color w:val="000000" w:themeColor="text1"/>
          <w:sz w:val="20"/>
          <w:lang w:val="en-US"/>
        </w:rPr>
      </w:pPr>
    </w:p>
    <w:p w:rsidR="00851958" w:rsidRPr="00F90D95" w:rsidRDefault="00851958" w:rsidP="00765C61">
      <w:pPr>
        <w:autoSpaceDE w:val="0"/>
        <w:autoSpaceDN w:val="0"/>
        <w:adjustRightInd w:val="0"/>
        <w:ind w:left="1350" w:hanging="270"/>
        <w:jc w:val="both"/>
        <w:rPr>
          <w:rFonts w:cs="Arial"/>
          <w:color w:val="000000" w:themeColor="text1"/>
          <w:sz w:val="20"/>
          <w:lang w:val="en-US"/>
        </w:rPr>
      </w:pPr>
      <w:r w:rsidRPr="00F90D95">
        <w:rPr>
          <w:rFonts w:cs="Arial"/>
          <w:color w:val="000000" w:themeColor="text1"/>
          <w:sz w:val="20"/>
          <w:lang w:val="en-US"/>
        </w:rPr>
        <w:t>(ii) taxable income</w:t>
      </w:r>
      <w:r w:rsidR="00765C61">
        <w:rPr>
          <w:rFonts w:cs="Arial"/>
          <w:color w:val="984806" w:themeColor="accent6" w:themeShade="80"/>
          <w:sz w:val="20"/>
          <w:lang w:val="en-US"/>
        </w:rPr>
        <w:t xml:space="preserve"> </w:t>
      </w:r>
      <w:r w:rsidR="00FB78B6" w:rsidRPr="00D612BA">
        <w:rPr>
          <w:rStyle w:val="FootnoteReference"/>
          <w:rFonts w:cs="Arial"/>
          <w:color w:val="0070C0"/>
          <w:sz w:val="20"/>
          <w:lang w:val="en-US"/>
        </w:rPr>
        <w:footnoteReference w:id="139"/>
      </w:r>
      <w:r w:rsidR="00765C61" w:rsidRPr="00D612BA">
        <w:rPr>
          <w:rFonts w:cs="Arial"/>
          <w:color w:val="0070C0"/>
          <w:sz w:val="20"/>
          <w:lang w:val="en-US"/>
        </w:rPr>
        <w:t>[(other than brought forward depreciation and brought forward business losses)]</w:t>
      </w:r>
      <w:r w:rsidRPr="00E26C91">
        <w:rPr>
          <w:rFonts w:cs="Arial"/>
          <w:color w:val="984806" w:themeColor="accent6" w:themeShade="80"/>
          <w:sz w:val="20"/>
          <w:lang w:val="en-US"/>
        </w:rPr>
        <w:t xml:space="preserve"> </w:t>
      </w:r>
      <w:r w:rsidRPr="00F90D95">
        <w:rPr>
          <w:rFonts w:cs="Arial"/>
          <w:color w:val="000000" w:themeColor="text1"/>
          <w:sz w:val="20"/>
          <w:lang w:val="en-US"/>
        </w:rPr>
        <w:t>under section (9) of this Ordinance, if not included in clause (i);</w:t>
      </w:r>
    </w:p>
    <w:p w:rsidR="00E26C91" w:rsidRPr="00F90D95" w:rsidRDefault="00E26C91" w:rsidP="00851958">
      <w:pPr>
        <w:autoSpaceDE w:val="0"/>
        <w:autoSpaceDN w:val="0"/>
        <w:adjustRightInd w:val="0"/>
        <w:ind w:left="1350" w:hanging="270"/>
        <w:rPr>
          <w:rFonts w:cs="Arial"/>
          <w:color w:val="000000" w:themeColor="text1"/>
          <w:sz w:val="20"/>
          <w:lang w:val="en-US"/>
        </w:rPr>
      </w:pPr>
    </w:p>
    <w:p w:rsidR="00851958" w:rsidRPr="00F90D95" w:rsidRDefault="00851958" w:rsidP="00765C61">
      <w:pPr>
        <w:autoSpaceDE w:val="0"/>
        <w:autoSpaceDN w:val="0"/>
        <w:adjustRightInd w:val="0"/>
        <w:ind w:left="1440" w:hanging="360"/>
        <w:jc w:val="both"/>
        <w:rPr>
          <w:rFonts w:cs="Arial"/>
          <w:color w:val="000000" w:themeColor="text1"/>
          <w:sz w:val="20"/>
          <w:lang w:val="en-US"/>
        </w:rPr>
      </w:pPr>
      <w:r w:rsidRPr="00F90D95">
        <w:rPr>
          <w:rFonts w:cs="Arial"/>
          <w:color w:val="000000" w:themeColor="text1"/>
          <w:sz w:val="20"/>
          <w:lang w:val="en-US"/>
        </w:rPr>
        <w:t xml:space="preserve">(iii) imputable income as defined in clause (28A) of section 2 </w:t>
      </w:r>
      <w:r w:rsidR="00765C61" w:rsidRPr="00F90D95">
        <w:rPr>
          <w:rFonts w:cs="Arial"/>
          <w:color w:val="000000" w:themeColor="text1"/>
          <w:sz w:val="20"/>
          <w:lang w:val="en-US"/>
        </w:rPr>
        <w:t xml:space="preserve"> </w:t>
      </w:r>
      <w:r w:rsidRPr="00F90D95">
        <w:rPr>
          <w:rFonts w:cs="Arial"/>
          <w:color w:val="000000" w:themeColor="text1"/>
          <w:sz w:val="20"/>
          <w:lang w:val="en-US"/>
        </w:rPr>
        <w:t>excluding amounts specified in clause (i); and</w:t>
      </w:r>
    </w:p>
    <w:p w:rsidR="00E26C91" w:rsidRPr="00F90D95" w:rsidRDefault="00E26C91" w:rsidP="00851958">
      <w:pPr>
        <w:autoSpaceDE w:val="0"/>
        <w:autoSpaceDN w:val="0"/>
        <w:adjustRightInd w:val="0"/>
        <w:ind w:left="1350" w:hanging="270"/>
        <w:rPr>
          <w:rFonts w:cs="Arial"/>
          <w:color w:val="000000" w:themeColor="text1"/>
          <w:sz w:val="20"/>
          <w:lang w:val="en-US"/>
        </w:rPr>
      </w:pPr>
    </w:p>
    <w:p w:rsidR="00851958" w:rsidRPr="00F90D95" w:rsidRDefault="00851958" w:rsidP="00765C61">
      <w:pPr>
        <w:autoSpaceDE w:val="0"/>
        <w:autoSpaceDN w:val="0"/>
        <w:adjustRightInd w:val="0"/>
        <w:ind w:left="1440" w:hanging="360"/>
        <w:jc w:val="both"/>
        <w:rPr>
          <w:rFonts w:cs="Arial"/>
          <w:color w:val="000000" w:themeColor="text1"/>
          <w:sz w:val="20"/>
          <w:lang w:val="en-US"/>
        </w:rPr>
      </w:pPr>
      <w:r w:rsidRPr="00F90D95">
        <w:rPr>
          <w:rFonts w:cs="Arial"/>
          <w:color w:val="000000" w:themeColor="text1"/>
          <w:sz w:val="20"/>
          <w:lang w:val="en-US"/>
        </w:rPr>
        <w:t>(iv) income computed under Fourth, Fifth, Seventh and Eighth Schedules.</w:t>
      </w:r>
    </w:p>
    <w:p w:rsidR="00E26C91" w:rsidRPr="00F90D95" w:rsidRDefault="00E26C91" w:rsidP="00851958">
      <w:pPr>
        <w:autoSpaceDE w:val="0"/>
        <w:autoSpaceDN w:val="0"/>
        <w:adjustRightInd w:val="0"/>
        <w:ind w:left="1350" w:hanging="270"/>
        <w:rPr>
          <w:rFonts w:cs="Arial"/>
          <w:color w:val="000000" w:themeColor="text1"/>
          <w:sz w:val="20"/>
          <w:lang w:val="en-US"/>
        </w:rPr>
      </w:pPr>
    </w:p>
    <w:p w:rsidR="00851958" w:rsidRPr="00F90D95" w:rsidRDefault="00851958" w:rsidP="00E26C91">
      <w:pPr>
        <w:autoSpaceDE w:val="0"/>
        <w:autoSpaceDN w:val="0"/>
        <w:adjustRightInd w:val="0"/>
        <w:ind w:firstLine="547"/>
        <w:jc w:val="both"/>
        <w:rPr>
          <w:rFonts w:cs="Arial"/>
          <w:color w:val="000000" w:themeColor="text1"/>
          <w:sz w:val="20"/>
          <w:lang w:val="en-US"/>
        </w:rPr>
      </w:pPr>
      <w:r w:rsidRPr="00F90D95">
        <w:rPr>
          <w:rFonts w:cs="Arial"/>
          <w:color w:val="000000" w:themeColor="text1"/>
          <w:sz w:val="20"/>
          <w:lang w:val="en-US"/>
        </w:rPr>
        <w:t>(3) The super tax payable under sub-section (1) shall be paid, collected and deposited on the date and in the manner as specified in sub-section (1) of section 137 and all provisions of Chapter X of the Ordinance shall apply.</w:t>
      </w:r>
    </w:p>
    <w:p w:rsidR="00E26C91" w:rsidRPr="00F90D95" w:rsidRDefault="00E26C91" w:rsidP="00851958">
      <w:pPr>
        <w:autoSpaceDE w:val="0"/>
        <w:autoSpaceDN w:val="0"/>
        <w:adjustRightInd w:val="0"/>
        <w:ind w:firstLine="547"/>
        <w:rPr>
          <w:rFonts w:cs="Arial"/>
          <w:color w:val="000000" w:themeColor="text1"/>
          <w:sz w:val="20"/>
          <w:lang w:val="en-US"/>
        </w:rPr>
      </w:pPr>
    </w:p>
    <w:p w:rsidR="00851958" w:rsidRPr="00F90D95" w:rsidRDefault="00851958" w:rsidP="00E26C91">
      <w:pPr>
        <w:autoSpaceDE w:val="0"/>
        <w:autoSpaceDN w:val="0"/>
        <w:adjustRightInd w:val="0"/>
        <w:ind w:firstLine="547"/>
        <w:jc w:val="both"/>
        <w:rPr>
          <w:rFonts w:cs="Arial"/>
          <w:color w:val="000000" w:themeColor="text1"/>
          <w:sz w:val="20"/>
          <w:lang w:val="en-US"/>
        </w:rPr>
      </w:pPr>
      <w:r w:rsidRPr="00F90D95">
        <w:rPr>
          <w:rFonts w:cs="Arial"/>
          <w:color w:val="000000" w:themeColor="text1"/>
          <w:sz w:val="20"/>
          <w:lang w:val="en-US"/>
        </w:rPr>
        <w:t>(4) Where the super tax is not paid by a person liable to pay it, the  Commissioner shall by an order in writing, determine the super tax payable, and shall serve upon the person, a notice of demand specifying the super tax payable and within the time specified under section 137 of the Ordinance.</w:t>
      </w:r>
    </w:p>
    <w:p w:rsidR="00E26C91" w:rsidRPr="00E26C91" w:rsidRDefault="00E26C91" w:rsidP="00851958">
      <w:pPr>
        <w:autoSpaceDE w:val="0"/>
        <w:autoSpaceDN w:val="0"/>
        <w:adjustRightInd w:val="0"/>
        <w:ind w:firstLine="547"/>
        <w:rPr>
          <w:rFonts w:cs="Arial"/>
          <w:color w:val="984806" w:themeColor="accent6" w:themeShade="80"/>
          <w:sz w:val="20"/>
          <w:lang w:val="en-US"/>
        </w:rPr>
      </w:pPr>
    </w:p>
    <w:p w:rsidR="00851958" w:rsidRPr="00F90D95" w:rsidRDefault="00851958" w:rsidP="00E26C91">
      <w:pPr>
        <w:autoSpaceDE w:val="0"/>
        <w:autoSpaceDN w:val="0"/>
        <w:adjustRightInd w:val="0"/>
        <w:ind w:firstLine="547"/>
        <w:jc w:val="both"/>
        <w:rPr>
          <w:rFonts w:cs="Arial"/>
          <w:color w:val="000000" w:themeColor="text1"/>
          <w:sz w:val="20"/>
          <w:lang w:val="en-US"/>
        </w:rPr>
      </w:pPr>
      <w:r w:rsidRPr="00F90D95">
        <w:rPr>
          <w:rFonts w:cs="Arial"/>
          <w:color w:val="000000" w:themeColor="text1"/>
          <w:sz w:val="20"/>
          <w:lang w:val="en-US"/>
        </w:rPr>
        <w:t>(5) Where the super tax is not paid by a person liable to pay it, the Commissioner shall recover the super tax payable under subsection (1) and the provisions of Part IV,</w:t>
      </w:r>
      <w:r w:rsidR="00CD30E3" w:rsidRPr="00F90D95">
        <w:rPr>
          <w:rFonts w:cs="Arial"/>
          <w:color w:val="000000" w:themeColor="text1"/>
          <w:sz w:val="20"/>
          <w:lang w:val="en-US"/>
        </w:rPr>
        <w:t xml:space="preserve"> </w:t>
      </w:r>
      <w:r w:rsidRPr="00F90D95">
        <w:rPr>
          <w:rFonts w:cs="Arial"/>
          <w:color w:val="000000" w:themeColor="text1"/>
          <w:sz w:val="20"/>
          <w:lang w:val="en-US"/>
        </w:rPr>
        <w:t>X, XI and XII of Chapter X and Part I of Chapter XI of the Ordinance shall, so far as may be, apply to the collection of super tax as these apply to the collection of tax under the Ordinance.</w:t>
      </w:r>
    </w:p>
    <w:p w:rsidR="00E26C91" w:rsidRPr="00F90D95" w:rsidRDefault="00E26C91" w:rsidP="00851958">
      <w:pPr>
        <w:autoSpaceDE w:val="0"/>
        <w:autoSpaceDN w:val="0"/>
        <w:adjustRightInd w:val="0"/>
        <w:ind w:firstLine="547"/>
        <w:rPr>
          <w:rFonts w:cs="Arial"/>
          <w:color w:val="000000" w:themeColor="text1"/>
          <w:sz w:val="20"/>
          <w:lang w:val="en-US"/>
        </w:rPr>
      </w:pPr>
    </w:p>
    <w:p w:rsidR="004474EB" w:rsidRPr="00F90D95" w:rsidRDefault="00851958" w:rsidP="00E26C91">
      <w:pPr>
        <w:autoSpaceDE w:val="0"/>
        <w:autoSpaceDN w:val="0"/>
        <w:adjustRightInd w:val="0"/>
        <w:ind w:firstLine="547"/>
        <w:jc w:val="both"/>
        <w:rPr>
          <w:rFonts w:cs="Arial"/>
          <w:color w:val="000000" w:themeColor="text1"/>
          <w:sz w:val="20"/>
          <w:lang w:val="en-US"/>
        </w:rPr>
      </w:pPr>
      <w:r w:rsidRPr="00F90D95">
        <w:rPr>
          <w:rFonts w:cs="Arial"/>
          <w:color w:val="000000" w:themeColor="text1"/>
          <w:sz w:val="20"/>
          <w:lang w:val="en-US"/>
        </w:rPr>
        <w:t>(6) The Board may, by notification in the official Gazette, make</w:t>
      </w:r>
      <w:r w:rsidR="00CD30E3" w:rsidRPr="00F90D95">
        <w:rPr>
          <w:rFonts w:cs="Arial"/>
          <w:color w:val="000000" w:themeColor="text1"/>
          <w:sz w:val="20"/>
          <w:lang w:val="en-US"/>
        </w:rPr>
        <w:t xml:space="preserve"> </w:t>
      </w:r>
      <w:r w:rsidRPr="00F90D95">
        <w:rPr>
          <w:rFonts w:cs="Arial"/>
          <w:color w:val="000000" w:themeColor="text1"/>
          <w:sz w:val="20"/>
          <w:lang w:val="en-US"/>
        </w:rPr>
        <w:t>rules for carrying ou</w:t>
      </w:r>
      <w:r w:rsidR="00983108" w:rsidRPr="00F90D95">
        <w:rPr>
          <w:rFonts w:cs="Arial"/>
          <w:color w:val="000000" w:themeColor="text1"/>
          <w:sz w:val="20"/>
          <w:lang w:val="en-US"/>
        </w:rPr>
        <w:t>t the purposes of this section.</w:t>
      </w:r>
      <w:r w:rsidRPr="00F90D95">
        <w:rPr>
          <w:rFonts w:cs="Arial"/>
          <w:color w:val="000000" w:themeColor="text1"/>
          <w:sz w:val="20"/>
          <w:lang w:val="en-US"/>
        </w:rPr>
        <w:t>]</w:t>
      </w:r>
    </w:p>
    <w:p w:rsidR="00E26C91" w:rsidRPr="00851958" w:rsidRDefault="00E26C91" w:rsidP="00851958">
      <w:pPr>
        <w:jc w:val="both"/>
        <w:rPr>
          <w:rFonts w:cs="Arial"/>
          <w:b/>
          <w:caps/>
          <w:sz w:val="20"/>
        </w:rPr>
      </w:pPr>
    </w:p>
    <w:p w:rsidR="006A3F93" w:rsidRPr="00412620" w:rsidRDefault="006A3F93">
      <w:pPr>
        <w:jc w:val="both"/>
        <w:rPr>
          <w:sz w:val="20"/>
        </w:rPr>
      </w:pPr>
      <w:r w:rsidRPr="00412620">
        <w:rPr>
          <w:rFonts w:cs="Arial"/>
          <w:b/>
          <w:caps/>
          <w:sz w:val="20"/>
        </w:rPr>
        <w:lastRenderedPageBreak/>
        <w:t>5.</w:t>
      </w:r>
      <w:r w:rsidRPr="00412620">
        <w:rPr>
          <w:rFonts w:cs="Arial"/>
          <w:b/>
          <w:caps/>
          <w:sz w:val="20"/>
        </w:rPr>
        <w:tab/>
      </w:r>
      <w:r w:rsidRPr="00412620">
        <w:rPr>
          <w:b/>
          <w:sz w:val="20"/>
        </w:rPr>
        <w:t>Tax on dividends.</w:t>
      </w:r>
      <w:r w:rsidR="008929FC" w:rsidRPr="00412620">
        <w:rPr>
          <w:b/>
          <w:sz w:val="20"/>
        </w:rPr>
        <w:t>—</w:t>
      </w:r>
      <w:r w:rsidRPr="00412620">
        <w:rPr>
          <w:caps/>
          <w:sz w:val="20"/>
        </w:rPr>
        <w:t xml:space="preserve"> (1)  </w:t>
      </w:r>
      <w:r w:rsidRPr="00412620">
        <w:rPr>
          <w:sz w:val="20"/>
        </w:rPr>
        <w:t xml:space="preserve">Subject to this Ordinance, a tax shall be imposed, at the rate specified in Division III of Part I of the First Schedule, on every person who receives a dividend from a </w:t>
      </w:r>
      <w:r w:rsidRPr="00412620">
        <w:rPr>
          <w:rStyle w:val="FootnoteReference"/>
          <w:sz w:val="20"/>
        </w:rPr>
        <w:footnoteReference w:id="140"/>
      </w:r>
      <w:r w:rsidRPr="00412620">
        <w:rPr>
          <w:sz w:val="20"/>
        </w:rPr>
        <w:t>[  ] company</w:t>
      </w:r>
      <w:r w:rsidR="006232A9" w:rsidRPr="00412620">
        <w:rPr>
          <w:rStyle w:val="FootnoteReference"/>
          <w:sz w:val="20"/>
        </w:rPr>
        <w:footnoteReference w:id="141"/>
      </w:r>
      <w:r w:rsidR="006232A9" w:rsidRPr="00412620">
        <w:rPr>
          <w:sz w:val="20"/>
        </w:rPr>
        <w:t>[or treated as dividend under clause (19) of section 2]</w:t>
      </w:r>
      <w:r w:rsidRPr="00412620">
        <w:rPr>
          <w:sz w:val="20"/>
        </w:rPr>
        <w: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tax imposed under sub-section (1) on a person who receives a dividend shall be computed by applying the relevant rate of tax to the gross amount of the dividend.</w:t>
      </w:r>
    </w:p>
    <w:p w:rsidR="006A3F93" w:rsidRPr="00412620" w:rsidRDefault="006A3F93">
      <w:pPr>
        <w:jc w:val="both"/>
        <w:rPr>
          <w:rFonts w:cs="Arial"/>
          <w:sz w:val="20"/>
        </w:rPr>
      </w:pPr>
    </w:p>
    <w:p w:rsidR="006A3F93" w:rsidRDefault="006A3F93" w:rsidP="00E177CD">
      <w:pPr>
        <w:jc w:val="both"/>
        <w:rPr>
          <w:rFonts w:cs="Arial"/>
          <w:sz w:val="20"/>
        </w:rPr>
      </w:pPr>
      <w:r w:rsidRPr="00412620">
        <w:rPr>
          <w:rFonts w:cs="Arial"/>
          <w:sz w:val="20"/>
        </w:rPr>
        <w:tab/>
        <w:t>(3)</w:t>
      </w:r>
      <w:r w:rsidRPr="00412620">
        <w:rPr>
          <w:rFonts w:cs="Arial"/>
          <w:sz w:val="20"/>
        </w:rPr>
        <w:tab/>
        <w:t>This section shall not apply to a dividend that is exempt from tax under this Ordinance.</w:t>
      </w:r>
    </w:p>
    <w:p w:rsidR="003F6A56" w:rsidRDefault="003F6A56" w:rsidP="00E177CD">
      <w:pPr>
        <w:jc w:val="both"/>
        <w:rPr>
          <w:rFonts w:cs="Arial"/>
          <w:sz w:val="20"/>
        </w:rPr>
      </w:pPr>
    </w:p>
    <w:p w:rsidR="003F6A56" w:rsidRPr="00F90D95" w:rsidRDefault="00CF5E67" w:rsidP="003F6A56">
      <w:pPr>
        <w:autoSpaceDE w:val="0"/>
        <w:autoSpaceDN w:val="0"/>
        <w:adjustRightInd w:val="0"/>
        <w:jc w:val="both"/>
        <w:rPr>
          <w:rFonts w:cs="Arial"/>
          <w:color w:val="000000" w:themeColor="text1"/>
          <w:sz w:val="20"/>
          <w:lang w:val="en-US"/>
        </w:rPr>
      </w:pPr>
      <w:r w:rsidRPr="00F90D95">
        <w:rPr>
          <w:rStyle w:val="FootnoteReference"/>
          <w:rFonts w:ascii="Arial,Bold" w:hAnsi="Arial,Bold" w:cs="Arial,Bold"/>
          <w:b/>
          <w:bCs/>
          <w:color w:val="000000" w:themeColor="text1"/>
          <w:sz w:val="20"/>
          <w:lang w:val="en-US"/>
        </w:rPr>
        <w:footnoteReference w:id="142"/>
      </w:r>
      <w:r w:rsidR="00B327DA" w:rsidRPr="00F90D95">
        <w:rPr>
          <w:rFonts w:ascii="Arial,Bold" w:hAnsi="Arial,Bold" w:cs="Arial,Bold"/>
          <w:b/>
          <w:bCs/>
          <w:color w:val="000000" w:themeColor="text1"/>
          <w:sz w:val="20"/>
          <w:lang w:val="en-US"/>
        </w:rPr>
        <w:t>[</w:t>
      </w:r>
      <w:r w:rsidR="003F6A56" w:rsidRPr="00F90D95">
        <w:rPr>
          <w:rFonts w:ascii="Arial,Bold" w:hAnsi="Arial,Bold" w:cs="Arial,Bold"/>
          <w:b/>
          <w:bCs/>
          <w:color w:val="000000" w:themeColor="text1"/>
          <w:sz w:val="20"/>
          <w:lang w:val="en-US"/>
        </w:rPr>
        <w:t>5A. Tax on undistributed reserves</w:t>
      </w:r>
      <w:r w:rsidR="003F6A56" w:rsidRPr="00F90D95">
        <w:rPr>
          <w:rFonts w:cs="Arial"/>
          <w:b/>
          <w:bCs/>
          <w:color w:val="000000" w:themeColor="text1"/>
          <w:sz w:val="20"/>
          <w:lang w:val="en-US"/>
        </w:rPr>
        <w:t>.</w:t>
      </w:r>
      <w:r w:rsidR="003F6A56" w:rsidRPr="00F90D95">
        <w:rPr>
          <w:rFonts w:ascii="Arial,Bold" w:hAnsi="Arial,Bold" w:cs="Arial,Bold"/>
          <w:b/>
          <w:bCs/>
          <w:color w:val="000000" w:themeColor="text1"/>
          <w:sz w:val="20"/>
          <w:lang w:val="en-US"/>
        </w:rPr>
        <w:t>—</w:t>
      </w:r>
      <w:r w:rsidR="003F6A56" w:rsidRPr="00F90D95">
        <w:rPr>
          <w:rFonts w:cs="Arial"/>
          <w:color w:val="000000" w:themeColor="text1"/>
          <w:sz w:val="20"/>
          <w:lang w:val="en-US"/>
        </w:rPr>
        <w:t>(1) Subject to this Ordinance, a tax shall be imposed at the rate of ten percent, on every public company other than a scheduled bank or a modaraba, that derives profits for a tax year but does not distribute cash dividends within six months of the end of the said tax year or distributes dividends to such an extent that its reserves, after such distribution, are in excess of hundred percent of its paid up capital, so much of its reserves as exceed hundred per cent of its paid up capital shall be treated as income of the said company:</w:t>
      </w:r>
    </w:p>
    <w:p w:rsidR="003F6A56" w:rsidRPr="00F90D95" w:rsidRDefault="003F6A56" w:rsidP="003F6A56">
      <w:pPr>
        <w:autoSpaceDE w:val="0"/>
        <w:autoSpaceDN w:val="0"/>
        <w:adjustRightInd w:val="0"/>
        <w:rPr>
          <w:rFonts w:cs="Arial"/>
          <w:color w:val="000000" w:themeColor="text1"/>
          <w:sz w:val="20"/>
          <w:lang w:val="en-US"/>
        </w:rPr>
      </w:pPr>
    </w:p>
    <w:p w:rsidR="003F6A56" w:rsidRPr="00F90D95" w:rsidRDefault="003F6A56" w:rsidP="00D648BE">
      <w:pPr>
        <w:autoSpaceDE w:val="0"/>
        <w:autoSpaceDN w:val="0"/>
        <w:adjustRightInd w:val="0"/>
        <w:ind w:firstLine="547"/>
        <w:jc w:val="both"/>
        <w:rPr>
          <w:rFonts w:cs="Arial"/>
          <w:color w:val="000000" w:themeColor="text1"/>
          <w:sz w:val="20"/>
          <w:lang w:val="en-US"/>
        </w:rPr>
      </w:pPr>
      <w:r w:rsidRPr="00F90D95">
        <w:rPr>
          <w:rFonts w:cs="Arial"/>
          <w:color w:val="000000" w:themeColor="text1"/>
          <w:sz w:val="20"/>
          <w:lang w:val="en-US"/>
        </w:rPr>
        <w:t>Provided that for tax year 2015, cash dividends may be distributed before</w:t>
      </w:r>
      <w:r w:rsidR="00CD30E3" w:rsidRPr="00F90D95">
        <w:rPr>
          <w:rFonts w:cs="Arial"/>
          <w:color w:val="000000" w:themeColor="text1"/>
          <w:sz w:val="20"/>
          <w:lang w:val="en-US"/>
        </w:rPr>
        <w:t xml:space="preserve"> </w:t>
      </w:r>
      <w:r w:rsidRPr="00F90D95">
        <w:rPr>
          <w:rFonts w:cs="Arial"/>
          <w:color w:val="000000" w:themeColor="text1"/>
          <w:sz w:val="20"/>
          <w:lang w:val="en-US"/>
        </w:rPr>
        <w:t>the due date mentioned in sub-section (2) of section 118, for filing of return for</w:t>
      </w:r>
      <w:r w:rsidR="00CD30E3" w:rsidRPr="00F90D95">
        <w:rPr>
          <w:rFonts w:cs="Arial"/>
          <w:color w:val="000000" w:themeColor="text1"/>
          <w:sz w:val="20"/>
          <w:lang w:val="en-US"/>
        </w:rPr>
        <w:t xml:space="preserve"> </w:t>
      </w:r>
      <w:r w:rsidRPr="00F90D95">
        <w:rPr>
          <w:rFonts w:cs="Arial"/>
          <w:color w:val="000000" w:themeColor="text1"/>
          <w:sz w:val="20"/>
          <w:lang w:val="en-US"/>
        </w:rPr>
        <w:t>tax year 2015.</w:t>
      </w:r>
    </w:p>
    <w:p w:rsidR="003F6A56" w:rsidRPr="00F90D95" w:rsidRDefault="003F6A56" w:rsidP="003F6A56">
      <w:pPr>
        <w:autoSpaceDE w:val="0"/>
        <w:autoSpaceDN w:val="0"/>
        <w:adjustRightInd w:val="0"/>
        <w:rPr>
          <w:rFonts w:cs="Arial"/>
          <w:color w:val="000000" w:themeColor="text1"/>
          <w:sz w:val="20"/>
          <w:lang w:val="en-US"/>
        </w:rPr>
      </w:pPr>
    </w:p>
    <w:p w:rsidR="003F6A56" w:rsidRPr="00F90D95" w:rsidRDefault="003F6A56" w:rsidP="003F6A56">
      <w:pPr>
        <w:autoSpaceDE w:val="0"/>
        <w:autoSpaceDN w:val="0"/>
        <w:adjustRightInd w:val="0"/>
        <w:ind w:firstLine="547"/>
        <w:rPr>
          <w:rFonts w:cs="Arial"/>
          <w:color w:val="000000" w:themeColor="text1"/>
          <w:sz w:val="20"/>
          <w:lang w:val="en-US"/>
        </w:rPr>
      </w:pPr>
      <w:r w:rsidRPr="00F90D95">
        <w:rPr>
          <w:rFonts w:cs="Arial"/>
          <w:color w:val="000000" w:themeColor="text1"/>
          <w:sz w:val="20"/>
          <w:lang w:val="en-US"/>
        </w:rPr>
        <w:t>(2) The provisions of sub-section (1) shall not apply to—</w:t>
      </w:r>
    </w:p>
    <w:p w:rsidR="003F6A56" w:rsidRPr="00B327DA" w:rsidRDefault="003F6A56" w:rsidP="003F6A56">
      <w:pPr>
        <w:autoSpaceDE w:val="0"/>
        <w:autoSpaceDN w:val="0"/>
        <w:adjustRightInd w:val="0"/>
        <w:ind w:firstLine="547"/>
        <w:rPr>
          <w:rFonts w:cs="Arial"/>
          <w:color w:val="984806" w:themeColor="accent6" w:themeShade="80"/>
          <w:sz w:val="20"/>
          <w:lang w:val="en-US"/>
        </w:rPr>
      </w:pPr>
    </w:p>
    <w:p w:rsidR="003F6A56" w:rsidRPr="00F90D95" w:rsidRDefault="003F6A56" w:rsidP="003F6A56">
      <w:pPr>
        <w:autoSpaceDE w:val="0"/>
        <w:autoSpaceDN w:val="0"/>
        <w:adjustRightInd w:val="0"/>
        <w:ind w:left="1350" w:hanging="270"/>
        <w:jc w:val="both"/>
        <w:rPr>
          <w:rFonts w:cs="Arial"/>
          <w:color w:val="000000" w:themeColor="text1"/>
          <w:sz w:val="20"/>
          <w:lang w:val="en-US"/>
        </w:rPr>
      </w:pPr>
      <w:r w:rsidRPr="00F90D95">
        <w:rPr>
          <w:rFonts w:cs="Arial"/>
          <w:color w:val="000000" w:themeColor="text1"/>
          <w:sz w:val="20"/>
          <w:lang w:val="en-US"/>
        </w:rPr>
        <w:t>(a) a public company which distributes profit equal to either forty per cent of its after tax profits or fifty per cent of its paid up capital, whichever is less, within six months of the end of the tax year;</w:t>
      </w:r>
    </w:p>
    <w:p w:rsidR="003F6A56" w:rsidRPr="00F90D95" w:rsidRDefault="003F6A56" w:rsidP="003F6A56">
      <w:pPr>
        <w:autoSpaceDE w:val="0"/>
        <w:autoSpaceDN w:val="0"/>
        <w:adjustRightInd w:val="0"/>
        <w:ind w:left="1350"/>
        <w:rPr>
          <w:rFonts w:cs="Arial"/>
          <w:color w:val="000000" w:themeColor="text1"/>
          <w:sz w:val="20"/>
          <w:lang w:val="en-US"/>
        </w:rPr>
      </w:pPr>
    </w:p>
    <w:p w:rsidR="003F6A56" w:rsidRPr="00F90D95" w:rsidRDefault="003F6A56" w:rsidP="003F6A56">
      <w:pPr>
        <w:pStyle w:val="ListParagraph"/>
        <w:numPr>
          <w:ilvl w:val="0"/>
          <w:numId w:val="14"/>
        </w:numPr>
        <w:tabs>
          <w:tab w:val="clear" w:pos="1620"/>
        </w:tabs>
        <w:autoSpaceDE w:val="0"/>
        <w:autoSpaceDN w:val="0"/>
        <w:adjustRightInd w:val="0"/>
        <w:ind w:left="1350" w:hanging="270"/>
        <w:rPr>
          <w:rFonts w:cs="Arial"/>
          <w:color w:val="000000" w:themeColor="text1"/>
          <w:sz w:val="20"/>
          <w:lang w:val="en-US"/>
        </w:rPr>
      </w:pPr>
      <w:r w:rsidRPr="00F90D95">
        <w:rPr>
          <w:rFonts w:cs="Arial"/>
          <w:color w:val="000000" w:themeColor="text1"/>
          <w:sz w:val="20"/>
          <w:lang w:val="en-US"/>
        </w:rPr>
        <w:t>a company qualifying for exemption under clause (132) of Part I of the Second Schedule; and</w:t>
      </w:r>
    </w:p>
    <w:p w:rsidR="003F6A56" w:rsidRPr="00F90D95" w:rsidRDefault="003F6A56" w:rsidP="003F6A56">
      <w:pPr>
        <w:pStyle w:val="ListParagraph"/>
        <w:autoSpaceDE w:val="0"/>
        <w:autoSpaceDN w:val="0"/>
        <w:adjustRightInd w:val="0"/>
        <w:ind w:left="1620"/>
        <w:rPr>
          <w:rFonts w:cs="Arial"/>
          <w:color w:val="000000" w:themeColor="text1"/>
          <w:sz w:val="20"/>
          <w:lang w:val="en-US"/>
        </w:rPr>
      </w:pPr>
    </w:p>
    <w:p w:rsidR="003F6A56" w:rsidRPr="00F90D95" w:rsidRDefault="003F6A56" w:rsidP="003F6A56">
      <w:pPr>
        <w:pStyle w:val="ListParagraph"/>
        <w:numPr>
          <w:ilvl w:val="0"/>
          <w:numId w:val="14"/>
        </w:numPr>
        <w:tabs>
          <w:tab w:val="clear" w:pos="1620"/>
        </w:tabs>
        <w:autoSpaceDE w:val="0"/>
        <w:autoSpaceDN w:val="0"/>
        <w:adjustRightInd w:val="0"/>
        <w:ind w:left="1350" w:hanging="270"/>
        <w:rPr>
          <w:rFonts w:cs="Arial"/>
          <w:color w:val="000000" w:themeColor="text1"/>
          <w:sz w:val="20"/>
          <w:lang w:val="en-US"/>
        </w:rPr>
      </w:pPr>
      <w:r w:rsidRPr="00F90D95">
        <w:rPr>
          <w:rFonts w:cs="Arial"/>
          <w:color w:val="000000" w:themeColor="text1"/>
          <w:sz w:val="20"/>
          <w:lang w:val="en-US"/>
        </w:rPr>
        <w:t>a company in which not less than fifty percent shares are held by the Government.</w:t>
      </w:r>
    </w:p>
    <w:p w:rsidR="003F6A56" w:rsidRPr="00F90D95" w:rsidRDefault="003F6A56" w:rsidP="003F6A56">
      <w:pPr>
        <w:pStyle w:val="ListParagraph"/>
        <w:rPr>
          <w:rFonts w:cs="Arial"/>
          <w:color w:val="000000" w:themeColor="text1"/>
          <w:sz w:val="20"/>
          <w:lang w:val="en-US"/>
        </w:rPr>
      </w:pPr>
    </w:p>
    <w:p w:rsidR="003F6A56" w:rsidRPr="00F90D95" w:rsidRDefault="003F6A56" w:rsidP="000D73C7">
      <w:pPr>
        <w:autoSpaceDE w:val="0"/>
        <w:autoSpaceDN w:val="0"/>
        <w:adjustRightInd w:val="0"/>
        <w:ind w:firstLine="540"/>
        <w:jc w:val="both"/>
        <w:rPr>
          <w:rFonts w:cs="Arial"/>
          <w:color w:val="000000" w:themeColor="text1"/>
          <w:sz w:val="20"/>
        </w:rPr>
      </w:pPr>
      <w:r w:rsidRPr="00F90D95">
        <w:rPr>
          <w:rFonts w:cs="Arial"/>
          <w:color w:val="000000" w:themeColor="text1"/>
          <w:sz w:val="20"/>
          <w:lang w:val="en-US"/>
        </w:rPr>
        <w:t xml:space="preserve">(3) For the purpose of this section, </w:t>
      </w:r>
      <w:r w:rsidR="008614CF" w:rsidRPr="00F90D95">
        <w:rPr>
          <w:rFonts w:cs="Arial"/>
          <w:color w:val="000000" w:themeColor="text1"/>
          <w:sz w:val="20"/>
          <w:lang w:val="en-US"/>
        </w:rPr>
        <w:t>‘</w:t>
      </w:r>
      <w:r w:rsidRPr="00F90D95">
        <w:rPr>
          <w:rFonts w:cs="Arial"/>
          <w:color w:val="000000" w:themeColor="text1"/>
          <w:sz w:val="20"/>
          <w:lang w:val="en-US"/>
        </w:rPr>
        <w:t>reserve‘ includes amounts setaside out of revenue or other surpluses excluding capital reserves, share premium reserves and reserves required to be created under any law, rules or regulations.</w:t>
      </w:r>
      <w:r w:rsidR="001258CC" w:rsidRPr="00F90D95">
        <w:rPr>
          <w:rFonts w:cs="Arial"/>
          <w:color w:val="000000" w:themeColor="text1"/>
          <w:sz w:val="20"/>
          <w:lang w:val="en-US"/>
        </w:rPr>
        <w:t>”</w:t>
      </w:r>
      <w:r w:rsidRPr="00F90D95">
        <w:rPr>
          <w:rFonts w:cs="Arial"/>
          <w:color w:val="000000" w:themeColor="text1"/>
          <w:sz w:val="20"/>
          <w:lang w:val="en-US"/>
        </w:rPr>
        <w:t>]</w:t>
      </w:r>
    </w:p>
    <w:p w:rsidR="00FE699E" w:rsidRPr="00EA5546" w:rsidRDefault="007A7191" w:rsidP="00FE699E">
      <w:pPr>
        <w:jc w:val="both"/>
        <w:rPr>
          <w:rFonts w:cs="Arial"/>
          <w:color w:val="FF0000"/>
          <w:sz w:val="20"/>
        </w:rPr>
      </w:pPr>
      <w:r w:rsidRPr="00D41075">
        <w:rPr>
          <w:rStyle w:val="FootnoteReference"/>
          <w:rFonts w:cs="Arial"/>
          <w:color w:val="FF0000"/>
          <w:sz w:val="20"/>
        </w:rPr>
        <w:lastRenderedPageBreak/>
        <w:footnoteReference w:id="143"/>
      </w:r>
      <w:r w:rsidR="00FE699E">
        <w:rPr>
          <w:rFonts w:cs="Arial"/>
          <w:b/>
          <w:caps/>
          <w:color w:val="FF0000"/>
          <w:sz w:val="20"/>
        </w:rPr>
        <w:t>[</w:t>
      </w:r>
      <w:r w:rsidR="00FE699E" w:rsidRPr="00EA5546">
        <w:rPr>
          <w:rFonts w:cs="Arial"/>
          <w:b/>
          <w:caps/>
          <w:color w:val="FF0000"/>
          <w:sz w:val="20"/>
        </w:rPr>
        <w:t>“5AA.</w:t>
      </w:r>
      <w:r w:rsidR="00FE699E">
        <w:rPr>
          <w:rFonts w:cs="Arial"/>
          <w:b/>
          <w:caps/>
          <w:color w:val="FF0000"/>
          <w:sz w:val="20"/>
        </w:rPr>
        <w:t xml:space="preserve"> </w:t>
      </w:r>
      <w:r w:rsidR="00FE699E" w:rsidRPr="00EA5546">
        <w:rPr>
          <w:rFonts w:cs="Arial"/>
          <w:b/>
          <w:color w:val="FF0000"/>
          <w:sz w:val="20"/>
        </w:rPr>
        <w:t>Tax on return on investments in sukuks.—</w:t>
      </w:r>
      <w:r w:rsidR="00FE699E" w:rsidRPr="00EA5546">
        <w:rPr>
          <w:rFonts w:cs="Arial"/>
          <w:caps/>
          <w:color w:val="FF0000"/>
          <w:sz w:val="20"/>
        </w:rPr>
        <w:t xml:space="preserve">(1)  </w:t>
      </w:r>
      <w:r w:rsidR="00FE699E" w:rsidRPr="00EA5546">
        <w:rPr>
          <w:rFonts w:cs="Arial"/>
          <w:color w:val="FF0000"/>
          <w:sz w:val="20"/>
        </w:rPr>
        <w:t xml:space="preserve">Subject to this Ordinance, a tax shall be imposed, at the rate specified in Division IIIB of Part I of the First Schedule, on every person who receives a return on investment in </w:t>
      </w:r>
      <w:r w:rsidR="00FE699E" w:rsidRPr="00EA5546">
        <w:rPr>
          <w:rFonts w:cs="Arial"/>
          <w:i/>
          <w:color w:val="FF0000"/>
          <w:sz w:val="20"/>
        </w:rPr>
        <w:t xml:space="preserve">sukuks </w:t>
      </w:r>
      <w:r w:rsidR="00FE699E" w:rsidRPr="00EA5546">
        <w:rPr>
          <w:rFonts w:cs="Arial"/>
          <w:color w:val="FF0000"/>
          <w:sz w:val="20"/>
        </w:rPr>
        <w:t>from a special purpose vehicle.</w:t>
      </w:r>
    </w:p>
    <w:p w:rsidR="00FE699E" w:rsidRPr="00EA5546" w:rsidRDefault="00FE699E" w:rsidP="00FE699E">
      <w:pPr>
        <w:ind w:left="1440"/>
        <w:jc w:val="both"/>
        <w:rPr>
          <w:rFonts w:cs="Arial"/>
          <w:color w:val="FF0000"/>
          <w:sz w:val="20"/>
        </w:rPr>
      </w:pPr>
    </w:p>
    <w:p w:rsidR="00FE699E" w:rsidRPr="00EA5546" w:rsidRDefault="00FE699E" w:rsidP="00FE699E">
      <w:pPr>
        <w:jc w:val="both"/>
        <w:rPr>
          <w:rFonts w:cs="Arial"/>
          <w:color w:val="FF0000"/>
          <w:sz w:val="20"/>
        </w:rPr>
      </w:pPr>
      <w:r w:rsidRPr="00EA5546">
        <w:rPr>
          <w:rFonts w:cs="Arial"/>
          <w:color w:val="FF0000"/>
          <w:sz w:val="20"/>
        </w:rPr>
        <w:t>(2)</w:t>
      </w:r>
      <w:r w:rsidRPr="00EA5546">
        <w:rPr>
          <w:rFonts w:cs="Arial"/>
          <w:color w:val="FF0000"/>
          <w:sz w:val="20"/>
        </w:rPr>
        <w:tab/>
        <w:t xml:space="preserve">The tax imposed under sub-section (1) on a person who receives a return on investment in </w:t>
      </w:r>
      <w:r w:rsidRPr="00EA5546">
        <w:rPr>
          <w:rFonts w:cs="Arial"/>
          <w:i/>
          <w:color w:val="FF0000"/>
          <w:sz w:val="20"/>
        </w:rPr>
        <w:t>sukuks</w:t>
      </w:r>
      <w:r w:rsidRPr="00EA5546">
        <w:rPr>
          <w:rFonts w:cs="Arial"/>
          <w:color w:val="FF0000"/>
          <w:sz w:val="20"/>
        </w:rPr>
        <w:t xml:space="preserve"> shall be computed by applying the relevant rate of tax to the gross amount of the return on investment in </w:t>
      </w:r>
      <w:r w:rsidRPr="00EA5546">
        <w:rPr>
          <w:rFonts w:cs="Arial"/>
          <w:i/>
          <w:color w:val="FF0000"/>
          <w:sz w:val="20"/>
        </w:rPr>
        <w:t>sukuks</w:t>
      </w:r>
      <w:r w:rsidRPr="00EA5546">
        <w:rPr>
          <w:rFonts w:cs="Arial"/>
          <w:color w:val="FF0000"/>
          <w:sz w:val="20"/>
        </w:rPr>
        <w:t>.</w:t>
      </w:r>
    </w:p>
    <w:p w:rsidR="00FE699E" w:rsidRPr="00EA5546" w:rsidRDefault="00FE699E" w:rsidP="00FE699E">
      <w:pPr>
        <w:ind w:left="1440"/>
        <w:jc w:val="both"/>
        <w:rPr>
          <w:rFonts w:cs="Arial"/>
          <w:color w:val="FF0000"/>
          <w:sz w:val="20"/>
        </w:rPr>
      </w:pPr>
    </w:p>
    <w:p w:rsidR="006A3F93" w:rsidRDefault="00FE699E" w:rsidP="00FE699E">
      <w:pPr>
        <w:jc w:val="both"/>
        <w:rPr>
          <w:rFonts w:cs="Arial"/>
          <w:color w:val="FF0000"/>
          <w:sz w:val="20"/>
        </w:rPr>
      </w:pPr>
      <w:r w:rsidRPr="00EA5546">
        <w:rPr>
          <w:rFonts w:cs="Arial"/>
          <w:color w:val="FF0000"/>
          <w:sz w:val="20"/>
        </w:rPr>
        <w:t xml:space="preserve">(3)     This section shall not apply to a return on investment in </w:t>
      </w:r>
      <w:r w:rsidRPr="00EA5546">
        <w:rPr>
          <w:rFonts w:cs="Arial"/>
          <w:i/>
          <w:color w:val="FF0000"/>
          <w:sz w:val="20"/>
        </w:rPr>
        <w:t>sukuks</w:t>
      </w:r>
      <w:r w:rsidRPr="00EA5546">
        <w:rPr>
          <w:rFonts w:cs="Arial"/>
          <w:color w:val="FF0000"/>
          <w:sz w:val="20"/>
        </w:rPr>
        <w:t xml:space="preserve"> that is exempt from tax under this Ordinance.”</w:t>
      </w:r>
      <w:r>
        <w:rPr>
          <w:rFonts w:cs="Arial"/>
          <w:color w:val="FF0000"/>
          <w:sz w:val="20"/>
        </w:rPr>
        <w:t>]</w:t>
      </w:r>
    </w:p>
    <w:p w:rsidR="00A90E24" w:rsidRPr="00412620" w:rsidRDefault="00A90E24" w:rsidP="00FE699E">
      <w:pPr>
        <w:jc w:val="both"/>
        <w:rPr>
          <w:rFonts w:cs="Arial"/>
          <w:sz w:val="20"/>
        </w:rPr>
      </w:pPr>
    </w:p>
    <w:p w:rsidR="006A3F93" w:rsidRPr="00412620" w:rsidRDefault="006A3F93">
      <w:pPr>
        <w:jc w:val="both"/>
        <w:rPr>
          <w:sz w:val="20"/>
        </w:rPr>
      </w:pPr>
      <w:r w:rsidRPr="00412620">
        <w:rPr>
          <w:rFonts w:cs="Arial"/>
          <w:b/>
          <w:caps/>
          <w:sz w:val="20"/>
        </w:rPr>
        <w:t>6.</w:t>
      </w:r>
      <w:r w:rsidRPr="00412620">
        <w:rPr>
          <w:rFonts w:cs="Arial"/>
          <w:b/>
          <w:caps/>
          <w:sz w:val="20"/>
        </w:rPr>
        <w:tab/>
      </w:r>
      <w:r w:rsidRPr="00412620">
        <w:rPr>
          <w:b/>
          <w:sz w:val="20"/>
        </w:rPr>
        <w:t>Tax on certain payments to non-residents.</w:t>
      </w:r>
      <w:r w:rsidR="008929FC" w:rsidRPr="00412620">
        <w:rPr>
          <w:b/>
          <w:sz w:val="20"/>
        </w:rPr>
        <w:t>—</w:t>
      </w:r>
      <w:r w:rsidRPr="00412620">
        <w:rPr>
          <w:caps/>
          <w:sz w:val="20"/>
        </w:rPr>
        <w:t xml:space="preserve"> (1)</w:t>
      </w:r>
      <w:r w:rsidRPr="00412620">
        <w:rPr>
          <w:sz w:val="20"/>
        </w:rPr>
        <w:t>Subject to this Ordinance, a tax shall be imposed, at the rate specified in Division IV of Part I of the First Schedule, on every non-resident person who receives any Pakistan-source royalty or fee for technical services.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tax imposed under sub-section (1) on a non-resident person shall be computed by applying the relevant rate of tax to the gross amount of the royalty or fee for technical services.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This section shall not apply to </w:t>
      </w:r>
      <w:r w:rsidR="009C507F"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any royalty where the property or right giving rise to the royalty is effectively connected with a permanent establishment in Pakistan of the non-resident person;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any fee for technical services where the services giving rise to the fee are rendered through a permanent establishment in Pakistan of the non-resident person; or</w:t>
      </w:r>
    </w:p>
    <w:p w:rsidR="006A3F93" w:rsidRPr="00412620" w:rsidRDefault="006A3F93">
      <w:pPr>
        <w:pStyle w:val="BodyTextIndent"/>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any royalty or fee for technical services that is exempt from tax under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Any Pakistani-source royalty or fee for technical services received by a non-resident person to which this section does not apply by virtue of clause (a) or (b) of sub-section (3) shall be treated as income from business attributable to the permanent establishment in Pakistan of the person. </w:t>
      </w:r>
    </w:p>
    <w:p w:rsidR="006A3F93" w:rsidRPr="00412620" w:rsidRDefault="006A3F93">
      <w:pPr>
        <w:jc w:val="both"/>
        <w:rPr>
          <w:rFonts w:cs="Arial"/>
          <w:sz w:val="20"/>
        </w:rPr>
      </w:pPr>
    </w:p>
    <w:p w:rsidR="006A3F93" w:rsidRPr="00412620" w:rsidRDefault="006A3F93">
      <w:pPr>
        <w:jc w:val="both"/>
        <w:rPr>
          <w:sz w:val="20"/>
        </w:rPr>
      </w:pPr>
      <w:r w:rsidRPr="00412620">
        <w:rPr>
          <w:rFonts w:cs="Arial"/>
          <w:b/>
          <w:caps/>
          <w:sz w:val="20"/>
        </w:rPr>
        <w:t>7.</w:t>
      </w:r>
      <w:r w:rsidRPr="00412620">
        <w:rPr>
          <w:rFonts w:cs="Arial"/>
          <w:b/>
          <w:caps/>
          <w:sz w:val="20"/>
        </w:rPr>
        <w:tab/>
      </w:r>
      <w:r w:rsidRPr="00412620">
        <w:rPr>
          <w:b/>
          <w:sz w:val="20"/>
        </w:rPr>
        <w:t>Tax on shipping and air transport income of a non-resident person.</w:t>
      </w:r>
      <w:r w:rsidR="008929FC" w:rsidRPr="00412620">
        <w:rPr>
          <w:caps/>
          <w:sz w:val="20"/>
        </w:rPr>
        <w:t>—</w:t>
      </w:r>
      <w:r w:rsidRPr="00412620">
        <w:rPr>
          <w:caps/>
          <w:sz w:val="20"/>
        </w:rPr>
        <w:t xml:space="preserve"> (1)  </w:t>
      </w:r>
      <w:r w:rsidRPr="00412620">
        <w:rPr>
          <w:sz w:val="20"/>
        </w:rPr>
        <w:t>Subject to this Ordinance, a tax shall be imposed, at the rate specified in Division V of Part I of the First Schedule, on every non-resident person carrying on the business of operating ships or aircraft</w:t>
      </w:r>
      <w:r w:rsidR="00BF1D27" w:rsidRPr="00412620">
        <w:rPr>
          <w:sz w:val="20"/>
        </w:rPr>
        <w:t>s</w:t>
      </w:r>
      <w:r w:rsidRPr="00412620">
        <w:rPr>
          <w:sz w:val="20"/>
        </w:rPr>
        <w:t xml:space="preserve"> as the owner or charterer thereof in respect of –</w:t>
      </w:r>
    </w:p>
    <w:p w:rsidR="006A3F93" w:rsidRPr="00412620" w:rsidRDefault="006A3F93">
      <w:pPr>
        <w:jc w:val="both"/>
        <w:rPr>
          <w:rFonts w:cs="Arial"/>
          <w:sz w:val="14"/>
        </w:rPr>
      </w:pPr>
    </w:p>
    <w:p w:rsidR="006A3F93" w:rsidRPr="00412620" w:rsidRDefault="006A3F93">
      <w:pPr>
        <w:ind w:left="1620" w:hanging="540"/>
        <w:jc w:val="both"/>
        <w:rPr>
          <w:rFonts w:cs="Arial"/>
          <w:sz w:val="20"/>
        </w:rPr>
      </w:pPr>
      <w:r w:rsidRPr="00412620">
        <w:rPr>
          <w:rFonts w:cs="Arial"/>
          <w:sz w:val="20"/>
        </w:rPr>
        <w:lastRenderedPageBreak/>
        <w:t>(a)</w:t>
      </w:r>
      <w:r w:rsidRPr="00412620">
        <w:rPr>
          <w:rFonts w:cs="Arial"/>
          <w:sz w:val="20"/>
        </w:rPr>
        <w:tab/>
        <w:t>the gross amount received or receivable (whether in or out of Pakistan) for the carriage of passengers, livestock, mail or goods embarked in Pakistan; and</w:t>
      </w:r>
    </w:p>
    <w:p w:rsidR="006A3F93" w:rsidRPr="00412620" w:rsidRDefault="006A3F93">
      <w:pPr>
        <w:jc w:val="both"/>
        <w:rPr>
          <w:rFonts w:cs="Arial"/>
          <w:sz w:val="14"/>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the gross amount received or receivable in Pakistan for the carriage of passengers, livestock, mail or goods embarked outside Pakistan.</w:t>
      </w:r>
    </w:p>
    <w:p w:rsidR="006A3F93" w:rsidRPr="00412620" w:rsidRDefault="006A3F93">
      <w:pPr>
        <w:jc w:val="both"/>
        <w:rPr>
          <w:rFonts w:cs="Arial"/>
          <w:sz w:val="12"/>
        </w:rPr>
      </w:pPr>
    </w:p>
    <w:p w:rsidR="006A3F93" w:rsidRPr="00412620" w:rsidRDefault="006A3F93">
      <w:pPr>
        <w:jc w:val="both"/>
        <w:rPr>
          <w:rFonts w:cs="Arial"/>
          <w:sz w:val="20"/>
        </w:rPr>
      </w:pPr>
      <w:r w:rsidRPr="00412620">
        <w:rPr>
          <w:rFonts w:cs="Arial"/>
          <w:sz w:val="20"/>
        </w:rPr>
        <w:tab/>
        <w:t>(2)</w:t>
      </w:r>
      <w:r w:rsidRPr="00412620">
        <w:rPr>
          <w:rFonts w:cs="Arial"/>
          <w:sz w:val="20"/>
        </w:rPr>
        <w:tab/>
        <w:t>The tax imposed under sub-section (1) on a non-resident person shall be computed by applying the relevant rate of tax to the gross amount referred to in sub-section (1).</w:t>
      </w:r>
    </w:p>
    <w:p w:rsidR="006A3F93" w:rsidRPr="00412620" w:rsidRDefault="006A3F93">
      <w:pPr>
        <w:jc w:val="both"/>
        <w:rPr>
          <w:rFonts w:cs="Arial"/>
          <w:sz w:val="14"/>
        </w:rPr>
      </w:pPr>
    </w:p>
    <w:p w:rsidR="00416232" w:rsidRDefault="006A3F93" w:rsidP="00416232">
      <w:pPr>
        <w:rPr>
          <w:rFonts w:cs="Arial"/>
          <w:sz w:val="20"/>
        </w:rPr>
      </w:pPr>
      <w:r w:rsidRPr="00412620">
        <w:rPr>
          <w:rFonts w:cs="Arial"/>
          <w:sz w:val="20"/>
        </w:rPr>
        <w:tab/>
        <w:t>(3)</w:t>
      </w:r>
      <w:r w:rsidRPr="00412620">
        <w:rPr>
          <w:rFonts w:cs="Arial"/>
          <w:sz w:val="20"/>
        </w:rPr>
        <w:tab/>
        <w:t>This section shall not apply to any amounts exempt from tax under this Ordinance.</w:t>
      </w:r>
    </w:p>
    <w:p w:rsidR="00050F97" w:rsidRDefault="00050F97" w:rsidP="00416232">
      <w:pPr>
        <w:rPr>
          <w:rFonts w:cs="Arial"/>
          <w:sz w:val="20"/>
        </w:rPr>
      </w:pPr>
    </w:p>
    <w:p w:rsidR="00050F97" w:rsidRPr="00F90D95" w:rsidRDefault="008614CF" w:rsidP="008614CF">
      <w:pPr>
        <w:autoSpaceDE w:val="0"/>
        <w:autoSpaceDN w:val="0"/>
        <w:adjustRightInd w:val="0"/>
        <w:jc w:val="both"/>
        <w:rPr>
          <w:rFonts w:cs="Arial"/>
          <w:color w:val="000000" w:themeColor="text1"/>
          <w:sz w:val="20"/>
          <w:lang w:val="en-US"/>
        </w:rPr>
      </w:pPr>
      <w:r w:rsidRPr="00F90D95">
        <w:rPr>
          <w:rStyle w:val="FootnoteReference"/>
          <w:rFonts w:cs="Arial"/>
          <w:b/>
          <w:bCs/>
          <w:color w:val="000000" w:themeColor="text1"/>
          <w:sz w:val="20"/>
          <w:lang w:val="en-US"/>
        </w:rPr>
        <w:footnoteReference w:id="144"/>
      </w:r>
      <w:r w:rsidR="00050F97" w:rsidRPr="00F90D95">
        <w:rPr>
          <w:rFonts w:cs="Arial"/>
          <w:b/>
          <w:bCs/>
          <w:color w:val="000000" w:themeColor="text1"/>
          <w:sz w:val="20"/>
          <w:lang w:val="en-US"/>
        </w:rPr>
        <w:t>[7A</w:t>
      </w:r>
      <w:r w:rsidR="00050F97" w:rsidRPr="00F90D95">
        <w:rPr>
          <w:rFonts w:cs="Arial"/>
          <w:color w:val="000000" w:themeColor="text1"/>
          <w:sz w:val="20"/>
          <w:lang w:val="en-US"/>
        </w:rPr>
        <w:t xml:space="preserve">. </w:t>
      </w:r>
      <w:r w:rsidR="00050F97" w:rsidRPr="00F90D95">
        <w:rPr>
          <w:rFonts w:cs="Arial"/>
          <w:b/>
          <w:bCs/>
          <w:color w:val="000000" w:themeColor="text1"/>
          <w:sz w:val="20"/>
          <w:lang w:val="en-US"/>
        </w:rPr>
        <w:t>Tax on shipping of a resident person.</w:t>
      </w:r>
      <w:r w:rsidR="00050F97" w:rsidRPr="00F90D95">
        <w:rPr>
          <w:rFonts w:ascii="Arial,Bold" w:hAnsi="Arial,Bold" w:cs="Arial,Bold"/>
          <w:b/>
          <w:bCs/>
          <w:color w:val="000000" w:themeColor="text1"/>
          <w:sz w:val="20"/>
          <w:lang w:val="en-US"/>
        </w:rPr>
        <w:t>—</w:t>
      </w:r>
      <w:r w:rsidR="00050F97" w:rsidRPr="00F90D95">
        <w:rPr>
          <w:rFonts w:cs="Arial"/>
          <w:color w:val="000000" w:themeColor="text1"/>
          <w:sz w:val="20"/>
          <w:lang w:val="en-US"/>
        </w:rPr>
        <w:t>(1) In the case of</w:t>
      </w:r>
      <w:r w:rsidR="00CD30E3" w:rsidRPr="00F90D95">
        <w:rPr>
          <w:rFonts w:cs="Arial"/>
          <w:color w:val="000000" w:themeColor="text1"/>
          <w:sz w:val="20"/>
          <w:lang w:val="en-US"/>
        </w:rPr>
        <w:t xml:space="preserve"> </w:t>
      </w:r>
      <w:r w:rsidR="00050F97" w:rsidRPr="00F90D95">
        <w:rPr>
          <w:rFonts w:cs="Arial"/>
          <w:color w:val="000000" w:themeColor="text1"/>
          <w:sz w:val="20"/>
          <w:lang w:val="en-US"/>
        </w:rPr>
        <w:t>any resident</w:t>
      </w:r>
      <w:r w:rsidR="00CD30E3" w:rsidRPr="00F90D95">
        <w:rPr>
          <w:rFonts w:cs="Arial"/>
          <w:color w:val="000000" w:themeColor="text1"/>
          <w:sz w:val="20"/>
          <w:lang w:val="en-US"/>
        </w:rPr>
        <w:t xml:space="preserve"> </w:t>
      </w:r>
      <w:r w:rsidR="00050F97" w:rsidRPr="00F90D95">
        <w:rPr>
          <w:rFonts w:cs="Arial"/>
          <w:color w:val="000000" w:themeColor="text1"/>
          <w:sz w:val="20"/>
          <w:lang w:val="en-US"/>
        </w:rPr>
        <w:t>person engaged in the business of shipping, a presumptive</w:t>
      </w:r>
      <w:r w:rsidR="00CD30E3" w:rsidRPr="00F90D95">
        <w:rPr>
          <w:rFonts w:cs="Arial"/>
          <w:color w:val="000000" w:themeColor="text1"/>
          <w:sz w:val="20"/>
          <w:lang w:val="en-US"/>
        </w:rPr>
        <w:t xml:space="preserve"> </w:t>
      </w:r>
      <w:r w:rsidR="00050F97" w:rsidRPr="00F90D95">
        <w:rPr>
          <w:rFonts w:cs="Arial"/>
          <w:color w:val="000000" w:themeColor="text1"/>
          <w:sz w:val="20"/>
          <w:lang w:val="en-US"/>
        </w:rPr>
        <w:t>income tax shall be charged in the following manner, namely:—</w:t>
      </w:r>
    </w:p>
    <w:p w:rsidR="00050F97" w:rsidRPr="00F90D95" w:rsidRDefault="00050F97" w:rsidP="00050F97">
      <w:pPr>
        <w:autoSpaceDE w:val="0"/>
        <w:autoSpaceDN w:val="0"/>
        <w:adjustRightInd w:val="0"/>
        <w:rPr>
          <w:rFonts w:cs="Arial"/>
          <w:color w:val="000000" w:themeColor="text1"/>
          <w:sz w:val="20"/>
          <w:lang w:val="en-US"/>
        </w:rPr>
      </w:pPr>
    </w:p>
    <w:p w:rsidR="00050F97" w:rsidRPr="00F90D95" w:rsidRDefault="00050F97" w:rsidP="00050F97">
      <w:pPr>
        <w:pStyle w:val="ListParagraph"/>
        <w:numPr>
          <w:ilvl w:val="1"/>
          <w:numId w:val="30"/>
        </w:numPr>
        <w:tabs>
          <w:tab w:val="clear" w:pos="1710"/>
        </w:tabs>
        <w:autoSpaceDE w:val="0"/>
        <w:autoSpaceDN w:val="0"/>
        <w:adjustRightInd w:val="0"/>
        <w:ind w:hanging="630"/>
        <w:jc w:val="both"/>
        <w:rPr>
          <w:rFonts w:cs="Arial"/>
          <w:color w:val="000000" w:themeColor="text1"/>
          <w:sz w:val="20"/>
          <w:lang w:val="en-US"/>
        </w:rPr>
      </w:pPr>
      <w:r w:rsidRPr="00F90D95">
        <w:rPr>
          <w:rFonts w:cs="Arial"/>
          <w:color w:val="000000" w:themeColor="text1"/>
          <w:sz w:val="20"/>
          <w:lang w:val="en-US"/>
        </w:rPr>
        <w:t>ships and all floating crafts including tugs, dredgers, survey vessels and other specialized craft purchased or bare-boat chartered and flying Pakistan flag shall pay tonnage tax of an amount equivalent to one US $ per gross registered tonnage per annum; and</w:t>
      </w:r>
    </w:p>
    <w:p w:rsidR="00050F97" w:rsidRPr="00F90D95" w:rsidRDefault="00050F97" w:rsidP="00050F97">
      <w:pPr>
        <w:autoSpaceDE w:val="0"/>
        <w:autoSpaceDN w:val="0"/>
        <w:adjustRightInd w:val="0"/>
        <w:rPr>
          <w:rFonts w:cs="Arial"/>
          <w:color w:val="000000" w:themeColor="text1"/>
          <w:sz w:val="20"/>
          <w:lang w:val="en-US"/>
        </w:rPr>
      </w:pPr>
    </w:p>
    <w:p w:rsidR="00050F97" w:rsidRPr="00F90D95" w:rsidRDefault="00050F97" w:rsidP="00050F97">
      <w:pPr>
        <w:autoSpaceDE w:val="0"/>
        <w:autoSpaceDN w:val="0"/>
        <w:adjustRightInd w:val="0"/>
        <w:ind w:left="1710" w:hanging="616"/>
        <w:jc w:val="both"/>
        <w:rPr>
          <w:rFonts w:cs="Arial"/>
          <w:color w:val="000000" w:themeColor="text1"/>
          <w:sz w:val="20"/>
          <w:lang w:val="en-US"/>
        </w:rPr>
      </w:pPr>
      <w:r w:rsidRPr="00F90D95">
        <w:rPr>
          <w:rFonts w:cs="Arial"/>
          <w:color w:val="000000" w:themeColor="text1"/>
          <w:sz w:val="20"/>
          <w:lang w:val="en-US"/>
        </w:rPr>
        <w:t xml:space="preserve">(b) </w:t>
      </w:r>
      <w:r w:rsidRPr="00F90D95">
        <w:rPr>
          <w:rFonts w:cs="Arial"/>
          <w:color w:val="000000" w:themeColor="text1"/>
          <w:sz w:val="20"/>
          <w:lang w:val="en-US"/>
        </w:rPr>
        <w:tab/>
        <w:t>ships, vessels and all floating crafts including tugs, dredgers,</w:t>
      </w:r>
      <w:r w:rsidR="00CD30E3" w:rsidRPr="00F90D95">
        <w:rPr>
          <w:rFonts w:cs="Arial"/>
          <w:color w:val="000000" w:themeColor="text1"/>
          <w:sz w:val="20"/>
          <w:lang w:val="en-US"/>
        </w:rPr>
        <w:t xml:space="preserve"> </w:t>
      </w:r>
      <w:r w:rsidRPr="00F90D95">
        <w:rPr>
          <w:rFonts w:cs="Arial"/>
          <w:color w:val="000000" w:themeColor="text1"/>
          <w:sz w:val="20"/>
          <w:lang w:val="en-US"/>
        </w:rPr>
        <w:t>survey vessels and other specialized craft not registered in</w:t>
      </w:r>
      <w:r w:rsidR="00CD30E3" w:rsidRPr="00F90D95">
        <w:rPr>
          <w:rFonts w:cs="Arial"/>
          <w:color w:val="000000" w:themeColor="text1"/>
          <w:sz w:val="20"/>
          <w:lang w:val="en-US"/>
        </w:rPr>
        <w:t xml:space="preserve"> </w:t>
      </w:r>
      <w:r w:rsidRPr="00F90D95">
        <w:rPr>
          <w:rFonts w:cs="Arial"/>
          <w:color w:val="000000" w:themeColor="text1"/>
          <w:sz w:val="20"/>
          <w:lang w:val="en-US"/>
        </w:rPr>
        <w:t>Pakistan and hired under any charter other than bare-boat</w:t>
      </w:r>
      <w:r w:rsidR="00CD30E3" w:rsidRPr="00F90D95">
        <w:rPr>
          <w:rFonts w:cs="Arial"/>
          <w:color w:val="000000" w:themeColor="text1"/>
          <w:sz w:val="20"/>
          <w:lang w:val="en-US"/>
        </w:rPr>
        <w:t xml:space="preserve"> </w:t>
      </w:r>
      <w:r w:rsidRPr="00F90D95">
        <w:rPr>
          <w:rFonts w:cs="Arial"/>
          <w:color w:val="000000" w:themeColor="text1"/>
          <w:sz w:val="20"/>
          <w:lang w:val="en-US"/>
        </w:rPr>
        <w:t>charter shall pay tonnage tax of an amount equivalent to</w:t>
      </w:r>
      <w:r w:rsidR="00CD30E3" w:rsidRPr="00F90D95">
        <w:rPr>
          <w:rFonts w:cs="Arial"/>
          <w:color w:val="000000" w:themeColor="text1"/>
          <w:sz w:val="20"/>
          <w:lang w:val="en-US"/>
        </w:rPr>
        <w:t xml:space="preserve"> </w:t>
      </w:r>
      <w:r w:rsidRPr="00F90D95">
        <w:rPr>
          <w:rFonts w:cs="Arial"/>
          <w:color w:val="000000" w:themeColor="text1"/>
          <w:sz w:val="20"/>
          <w:lang w:val="en-US"/>
        </w:rPr>
        <w:t>fifteen US cents per ton of gross registered tonnage per</w:t>
      </w:r>
      <w:r w:rsidR="00CD30E3" w:rsidRPr="00F90D95">
        <w:rPr>
          <w:rFonts w:cs="Arial"/>
          <w:color w:val="000000" w:themeColor="text1"/>
          <w:sz w:val="20"/>
          <w:lang w:val="en-US"/>
        </w:rPr>
        <w:t xml:space="preserve"> </w:t>
      </w:r>
      <w:r w:rsidRPr="00F90D95">
        <w:rPr>
          <w:rFonts w:cs="Arial"/>
          <w:color w:val="000000" w:themeColor="text1"/>
          <w:sz w:val="20"/>
          <w:lang w:val="en-US"/>
        </w:rPr>
        <w:t>chartered voyage provided that such tax shall not exceed</w:t>
      </w:r>
      <w:r w:rsidR="00CD30E3" w:rsidRPr="00F90D95">
        <w:rPr>
          <w:rFonts w:cs="Arial"/>
          <w:color w:val="000000" w:themeColor="text1"/>
          <w:sz w:val="20"/>
          <w:lang w:val="en-US"/>
        </w:rPr>
        <w:t xml:space="preserve"> </w:t>
      </w:r>
      <w:r w:rsidRPr="00F90D95">
        <w:rPr>
          <w:rFonts w:cs="Arial"/>
          <w:color w:val="000000" w:themeColor="text1"/>
          <w:sz w:val="20"/>
          <w:lang w:val="en-US"/>
        </w:rPr>
        <w:t>one US $ per ton of gross registered tonnage per annum:</w:t>
      </w:r>
    </w:p>
    <w:p w:rsidR="00050F97" w:rsidRPr="00F90D95" w:rsidRDefault="00050F97" w:rsidP="00050F97">
      <w:pPr>
        <w:autoSpaceDE w:val="0"/>
        <w:autoSpaceDN w:val="0"/>
        <w:adjustRightInd w:val="0"/>
        <w:ind w:left="1094"/>
        <w:rPr>
          <w:rFonts w:cs="Arial"/>
          <w:color w:val="000000" w:themeColor="text1"/>
          <w:sz w:val="20"/>
          <w:lang w:val="en-US"/>
        </w:rPr>
      </w:pPr>
    </w:p>
    <w:p w:rsidR="00050F97" w:rsidRPr="00F90D95" w:rsidRDefault="00050F97" w:rsidP="00050F97">
      <w:pPr>
        <w:autoSpaceDE w:val="0"/>
        <w:autoSpaceDN w:val="0"/>
        <w:adjustRightInd w:val="0"/>
        <w:ind w:left="1641" w:firstLine="547"/>
        <w:jc w:val="both"/>
        <w:rPr>
          <w:rFonts w:cs="Arial"/>
          <w:color w:val="000000" w:themeColor="text1"/>
          <w:sz w:val="20"/>
          <w:lang w:val="en-US"/>
        </w:rPr>
      </w:pPr>
      <w:r w:rsidRPr="00F90D95">
        <w:rPr>
          <w:rFonts w:cs="Arial"/>
          <w:i/>
          <w:iCs/>
          <w:color w:val="000000" w:themeColor="text1"/>
          <w:sz w:val="20"/>
          <w:lang w:val="en-US"/>
        </w:rPr>
        <w:t>Explanation</w:t>
      </w:r>
      <w:r w:rsidRPr="00F90D95">
        <w:rPr>
          <w:rFonts w:cs="Arial"/>
          <w:b/>
          <w:bCs/>
          <w:color w:val="000000" w:themeColor="text1"/>
          <w:sz w:val="20"/>
          <w:lang w:val="en-US"/>
        </w:rPr>
        <w:t>.</w:t>
      </w:r>
      <w:r w:rsidRPr="00F90D95">
        <w:rPr>
          <w:rFonts w:ascii="Arial,Bold" w:hAnsi="Arial,Bold" w:cs="Arial,Bold"/>
          <w:b/>
          <w:bCs/>
          <w:color w:val="000000" w:themeColor="text1"/>
          <w:sz w:val="20"/>
          <w:lang w:val="en-US"/>
        </w:rPr>
        <w:t xml:space="preserve">— </w:t>
      </w:r>
      <w:r w:rsidRPr="00F90D95">
        <w:rPr>
          <w:rFonts w:cs="Arial"/>
          <w:color w:val="000000" w:themeColor="text1"/>
          <w:sz w:val="20"/>
          <w:lang w:val="en-US"/>
        </w:rPr>
        <w:t>For the purpose of this section, the</w:t>
      </w:r>
      <w:r w:rsidR="00CD30E3" w:rsidRPr="00F90D95">
        <w:rPr>
          <w:rFonts w:cs="Arial"/>
          <w:color w:val="000000" w:themeColor="text1"/>
          <w:sz w:val="20"/>
          <w:lang w:val="en-US"/>
        </w:rPr>
        <w:t xml:space="preserve"> </w:t>
      </w:r>
      <w:r w:rsidRPr="00F90D95">
        <w:rPr>
          <w:rFonts w:cs="Arial"/>
          <w:color w:val="000000" w:themeColor="text1"/>
          <w:sz w:val="20"/>
          <w:lang w:val="en-US"/>
        </w:rPr>
        <w:t xml:space="preserve">expression </w:t>
      </w:r>
      <w:r w:rsidR="00FE42E3" w:rsidRPr="00F90D95">
        <w:rPr>
          <w:rFonts w:cs="Arial"/>
          <w:color w:val="000000" w:themeColor="text1"/>
          <w:sz w:val="20"/>
          <w:lang w:val="en-US"/>
        </w:rPr>
        <w:t>“</w:t>
      </w:r>
      <w:r w:rsidRPr="00F90D95">
        <w:rPr>
          <w:rFonts w:cs="Arial"/>
          <w:color w:val="000000" w:themeColor="text1"/>
          <w:sz w:val="20"/>
          <w:lang w:val="en-US"/>
        </w:rPr>
        <w:t>equivalent amount</w:t>
      </w:r>
      <w:r w:rsidR="00FE42E3" w:rsidRPr="00F90D95">
        <w:rPr>
          <w:rFonts w:cs="Arial"/>
          <w:color w:val="000000" w:themeColor="text1"/>
          <w:sz w:val="20"/>
          <w:lang w:val="en-US"/>
        </w:rPr>
        <w:t>”</w:t>
      </w:r>
      <w:r w:rsidRPr="00F90D95">
        <w:rPr>
          <w:rFonts w:cs="Arial"/>
          <w:color w:val="000000" w:themeColor="text1"/>
          <w:sz w:val="20"/>
          <w:lang w:val="en-US"/>
        </w:rPr>
        <w:t xml:space="preserve"> means the rupee equivalent</w:t>
      </w:r>
      <w:r w:rsidR="00CD30E3" w:rsidRPr="00F90D95">
        <w:rPr>
          <w:rFonts w:cs="Arial"/>
          <w:color w:val="000000" w:themeColor="text1"/>
          <w:sz w:val="20"/>
          <w:lang w:val="en-US"/>
        </w:rPr>
        <w:t xml:space="preserve"> </w:t>
      </w:r>
      <w:r w:rsidRPr="00F90D95">
        <w:rPr>
          <w:rFonts w:cs="Arial"/>
          <w:color w:val="000000" w:themeColor="text1"/>
          <w:sz w:val="20"/>
          <w:lang w:val="en-US"/>
        </w:rPr>
        <w:t>of a US dollar according to the exchange rate prevalent on</w:t>
      </w:r>
      <w:r w:rsidR="00CD30E3" w:rsidRPr="00F90D95">
        <w:rPr>
          <w:rFonts w:cs="Arial"/>
          <w:color w:val="000000" w:themeColor="text1"/>
          <w:sz w:val="20"/>
          <w:lang w:val="en-US"/>
        </w:rPr>
        <w:t xml:space="preserve"> </w:t>
      </w:r>
      <w:r w:rsidRPr="00F90D95">
        <w:rPr>
          <w:rFonts w:cs="Arial"/>
          <w:color w:val="000000" w:themeColor="text1"/>
          <w:sz w:val="20"/>
          <w:lang w:val="en-US"/>
        </w:rPr>
        <w:t>the first day of December in the case of a company and the</w:t>
      </w:r>
      <w:r w:rsidR="00CD30E3" w:rsidRPr="00F90D95">
        <w:rPr>
          <w:rFonts w:cs="Arial"/>
          <w:color w:val="000000" w:themeColor="text1"/>
          <w:sz w:val="20"/>
          <w:lang w:val="en-US"/>
        </w:rPr>
        <w:t xml:space="preserve"> </w:t>
      </w:r>
      <w:r w:rsidRPr="00F90D95">
        <w:rPr>
          <w:rFonts w:cs="Arial"/>
          <w:color w:val="000000" w:themeColor="text1"/>
          <w:sz w:val="20"/>
          <w:lang w:val="en-US"/>
        </w:rPr>
        <w:t>first day of September in other cases in the relevant</w:t>
      </w:r>
      <w:r w:rsidR="00CD30E3" w:rsidRPr="00F90D95">
        <w:rPr>
          <w:rFonts w:cs="Arial"/>
          <w:color w:val="000000" w:themeColor="text1"/>
          <w:sz w:val="20"/>
          <w:lang w:val="en-US"/>
        </w:rPr>
        <w:t xml:space="preserve"> </w:t>
      </w:r>
      <w:r w:rsidRPr="00F90D95">
        <w:rPr>
          <w:rFonts w:cs="Arial"/>
          <w:color w:val="000000" w:themeColor="text1"/>
          <w:sz w:val="20"/>
          <w:lang w:val="en-US"/>
        </w:rPr>
        <w:t>assessment year.</w:t>
      </w:r>
    </w:p>
    <w:p w:rsidR="00050F97" w:rsidRPr="00F90D95" w:rsidRDefault="00050F97" w:rsidP="00050F97">
      <w:pPr>
        <w:autoSpaceDE w:val="0"/>
        <w:autoSpaceDN w:val="0"/>
        <w:adjustRightInd w:val="0"/>
        <w:ind w:left="1094" w:firstLine="547"/>
        <w:rPr>
          <w:rFonts w:cs="Arial"/>
          <w:color w:val="000000" w:themeColor="text1"/>
          <w:sz w:val="20"/>
          <w:lang w:val="en-US"/>
        </w:rPr>
      </w:pPr>
    </w:p>
    <w:p w:rsidR="00050F97" w:rsidRPr="00F90D95" w:rsidRDefault="00050F97" w:rsidP="008614CF">
      <w:pPr>
        <w:autoSpaceDE w:val="0"/>
        <w:autoSpaceDN w:val="0"/>
        <w:adjustRightInd w:val="0"/>
        <w:ind w:firstLine="547"/>
        <w:jc w:val="both"/>
        <w:rPr>
          <w:rFonts w:cs="Arial"/>
          <w:color w:val="000000" w:themeColor="text1"/>
          <w:sz w:val="20"/>
          <w:lang w:val="en-US"/>
        </w:rPr>
      </w:pPr>
      <w:r w:rsidRPr="00F90D95">
        <w:rPr>
          <w:rFonts w:cs="Arial"/>
          <w:color w:val="000000" w:themeColor="text1"/>
          <w:sz w:val="20"/>
          <w:lang w:val="en-US"/>
        </w:rPr>
        <w:t xml:space="preserve"> (2) The provisions of this section shall not be applicable after the 30</w:t>
      </w:r>
      <w:r w:rsidRPr="00F90D95">
        <w:rPr>
          <w:rFonts w:cs="Arial"/>
          <w:color w:val="000000" w:themeColor="text1"/>
          <w:sz w:val="20"/>
          <w:vertAlign w:val="superscript"/>
          <w:lang w:val="en-US"/>
        </w:rPr>
        <w:t>th</w:t>
      </w:r>
      <w:r w:rsidRPr="00F90D95">
        <w:rPr>
          <w:rFonts w:cs="Arial"/>
          <w:color w:val="000000" w:themeColor="text1"/>
          <w:sz w:val="20"/>
          <w:lang w:val="en-US"/>
        </w:rPr>
        <w:t>June, 2020.</w:t>
      </w:r>
      <w:r w:rsidR="008614CF" w:rsidRPr="00F90D95">
        <w:rPr>
          <w:rFonts w:cs="Arial"/>
          <w:color w:val="000000" w:themeColor="text1"/>
          <w:sz w:val="20"/>
          <w:lang w:val="en-US"/>
        </w:rPr>
        <w:t>”]</w:t>
      </w:r>
    </w:p>
    <w:p w:rsidR="008614CF" w:rsidRPr="00F90D95" w:rsidRDefault="008614CF" w:rsidP="008614CF">
      <w:pPr>
        <w:autoSpaceDE w:val="0"/>
        <w:autoSpaceDN w:val="0"/>
        <w:adjustRightInd w:val="0"/>
        <w:ind w:firstLine="547"/>
        <w:jc w:val="both"/>
        <w:rPr>
          <w:rFonts w:cs="Arial"/>
          <w:color w:val="000000" w:themeColor="text1"/>
          <w:sz w:val="20"/>
          <w:lang w:val="en-US"/>
        </w:rPr>
      </w:pPr>
    </w:p>
    <w:p w:rsidR="00050F97" w:rsidRPr="00F90D95" w:rsidRDefault="003F0352" w:rsidP="003F0352">
      <w:pPr>
        <w:autoSpaceDE w:val="0"/>
        <w:autoSpaceDN w:val="0"/>
        <w:adjustRightInd w:val="0"/>
        <w:jc w:val="both"/>
        <w:rPr>
          <w:rFonts w:cs="Arial"/>
          <w:color w:val="000000" w:themeColor="text1"/>
          <w:sz w:val="20"/>
          <w:lang w:val="en-US"/>
        </w:rPr>
      </w:pPr>
      <w:r w:rsidRPr="00F90D95">
        <w:rPr>
          <w:rStyle w:val="FootnoteReference"/>
          <w:rFonts w:cs="Arial"/>
          <w:b/>
          <w:bCs/>
          <w:color w:val="000000" w:themeColor="text1"/>
          <w:sz w:val="20"/>
          <w:lang w:val="en-US"/>
        </w:rPr>
        <w:lastRenderedPageBreak/>
        <w:footnoteReference w:id="145"/>
      </w:r>
      <w:r w:rsidR="008614CF" w:rsidRPr="00F90D95">
        <w:rPr>
          <w:rFonts w:cs="Arial"/>
          <w:b/>
          <w:bCs/>
          <w:color w:val="000000" w:themeColor="text1"/>
          <w:sz w:val="20"/>
          <w:lang w:val="en-US"/>
        </w:rPr>
        <w:t>[</w:t>
      </w:r>
      <w:r w:rsidR="00050F97" w:rsidRPr="00F90D95">
        <w:rPr>
          <w:rFonts w:cs="Arial"/>
          <w:b/>
          <w:bCs/>
          <w:color w:val="000000" w:themeColor="text1"/>
          <w:sz w:val="20"/>
          <w:lang w:val="en-US"/>
        </w:rPr>
        <w:t>7B. Tax on profit on debt.</w:t>
      </w:r>
      <w:r w:rsidR="00050F97" w:rsidRPr="00F90D95">
        <w:rPr>
          <w:rFonts w:ascii="Arial,Bold" w:hAnsi="Arial,Bold" w:cs="Arial,Bold"/>
          <w:b/>
          <w:bCs/>
          <w:color w:val="000000" w:themeColor="text1"/>
          <w:sz w:val="20"/>
          <w:lang w:val="en-US"/>
        </w:rPr>
        <w:t>—</w:t>
      </w:r>
      <w:r w:rsidR="00050F97" w:rsidRPr="00F90D95">
        <w:rPr>
          <w:rFonts w:cs="Arial"/>
          <w:color w:val="000000" w:themeColor="text1"/>
          <w:sz w:val="20"/>
          <w:lang w:val="en-US"/>
        </w:rPr>
        <w:t>(1) Subject to this Ordinance, a tax</w:t>
      </w:r>
      <w:r w:rsidR="00CD30E3" w:rsidRPr="00F90D95">
        <w:rPr>
          <w:rFonts w:cs="Arial"/>
          <w:color w:val="000000" w:themeColor="text1"/>
          <w:sz w:val="20"/>
          <w:lang w:val="en-US"/>
        </w:rPr>
        <w:t xml:space="preserve"> </w:t>
      </w:r>
      <w:r w:rsidR="00050F97" w:rsidRPr="00F90D95">
        <w:rPr>
          <w:rFonts w:cs="Arial"/>
          <w:color w:val="000000" w:themeColor="text1"/>
          <w:sz w:val="20"/>
          <w:lang w:val="en-US"/>
        </w:rPr>
        <w:t>shall be imposed, at the rate specified in Division IIIA of Part I of the First</w:t>
      </w:r>
      <w:r w:rsidR="00CD30E3" w:rsidRPr="00F90D95">
        <w:rPr>
          <w:rFonts w:cs="Arial"/>
          <w:color w:val="000000" w:themeColor="text1"/>
          <w:sz w:val="20"/>
          <w:lang w:val="en-US"/>
        </w:rPr>
        <w:t xml:space="preserve"> </w:t>
      </w:r>
      <w:r w:rsidR="00050F97" w:rsidRPr="00F90D95">
        <w:rPr>
          <w:rFonts w:cs="Arial"/>
          <w:color w:val="000000" w:themeColor="text1"/>
          <w:sz w:val="20"/>
          <w:lang w:val="en-US"/>
        </w:rPr>
        <w:t>Schedule, on every person, other than a company, who receives a profit</w:t>
      </w:r>
      <w:r w:rsidR="00CD30E3" w:rsidRPr="00F90D95">
        <w:rPr>
          <w:rFonts w:cs="Arial"/>
          <w:color w:val="000000" w:themeColor="text1"/>
          <w:sz w:val="20"/>
          <w:lang w:val="en-US"/>
        </w:rPr>
        <w:t xml:space="preserve"> </w:t>
      </w:r>
      <w:r w:rsidR="00050F97" w:rsidRPr="00F90D95">
        <w:rPr>
          <w:rFonts w:cs="Arial"/>
          <w:color w:val="000000" w:themeColor="text1"/>
          <w:sz w:val="20"/>
          <w:lang w:val="en-US"/>
        </w:rPr>
        <w:t>on debt from any person mentioned in clauses (a) to (d) of sub-section (1)of section 151.</w:t>
      </w:r>
    </w:p>
    <w:p w:rsidR="003F0352" w:rsidRPr="00F90D95" w:rsidRDefault="003F0352" w:rsidP="003F0352">
      <w:pPr>
        <w:autoSpaceDE w:val="0"/>
        <w:autoSpaceDN w:val="0"/>
        <w:adjustRightInd w:val="0"/>
        <w:jc w:val="both"/>
        <w:rPr>
          <w:rFonts w:cs="Arial"/>
          <w:color w:val="000000" w:themeColor="text1"/>
          <w:sz w:val="20"/>
          <w:lang w:val="en-US"/>
        </w:rPr>
      </w:pPr>
    </w:p>
    <w:p w:rsidR="00050F97" w:rsidRPr="00F90D95" w:rsidRDefault="00050F97" w:rsidP="003F0352">
      <w:pPr>
        <w:autoSpaceDE w:val="0"/>
        <w:autoSpaceDN w:val="0"/>
        <w:adjustRightInd w:val="0"/>
        <w:ind w:firstLine="547"/>
        <w:jc w:val="both"/>
        <w:rPr>
          <w:rFonts w:cs="Arial"/>
          <w:color w:val="000000" w:themeColor="text1"/>
          <w:sz w:val="20"/>
          <w:lang w:val="en-US"/>
        </w:rPr>
      </w:pPr>
      <w:r w:rsidRPr="00F90D95">
        <w:rPr>
          <w:rFonts w:cs="Arial"/>
          <w:color w:val="000000" w:themeColor="text1"/>
          <w:sz w:val="20"/>
          <w:lang w:val="en-US"/>
        </w:rPr>
        <w:t>(2) The tax imposed under sub-section (1) on a person, other than a</w:t>
      </w:r>
      <w:r w:rsidR="00CD30E3" w:rsidRPr="00F90D95">
        <w:rPr>
          <w:rFonts w:cs="Arial"/>
          <w:color w:val="000000" w:themeColor="text1"/>
          <w:sz w:val="20"/>
          <w:lang w:val="en-US"/>
        </w:rPr>
        <w:t xml:space="preserve"> </w:t>
      </w:r>
      <w:r w:rsidRPr="00F90D95">
        <w:rPr>
          <w:rFonts w:cs="Arial"/>
          <w:color w:val="000000" w:themeColor="text1"/>
          <w:sz w:val="20"/>
          <w:lang w:val="en-US"/>
        </w:rPr>
        <w:t>company, who receives a profit on debt shall be computed by applying the</w:t>
      </w:r>
      <w:r w:rsidR="00CD30E3" w:rsidRPr="00F90D95">
        <w:rPr>
          <w:rFonts w:cs="Arial"/>
          <w:color w:val="000000" w:themeColor="text1"/>
          <w:sz w:val="20"/>
          <w:lang w:val="en-US"/>
        </w:rPr>
        <w:t xml:space="preserve"> </w:t>
      </w:r>
      <w:r w:rsidRPr="00F90D95">
        <w:rPr>
          <w:rFonts w:cs="Arial"/>
          <w:color w:val="000000" w:themeColor="text1"/>
          <w:sz w:val="20"/>
          <w:lang w:val="en-US"/>
        </w:rPr>
        <w:t>relevant rate of tax to the gross amount of the profit on debt.</w:t>
      </w:r>
    </w:p>
    <w:p w:rsidR="003F0352" w:rsidRPr="00F90D95" w:rsidRDefault="003F0352" w:rsidP="008614CF">
      <w:pPr>
        <w:autoSpaceDE w:val="0"/>
        <w:autoSpaceDN w:val="0"/>
        <w:adjustRightInd w:val="0"/>
        <w:ind w:firstLine="547"/>
        <w:rPr>
          <w:rFonts w:cs="Arial"/>
          <w:color w:val="000000" w:themeColor="text1"/>
          <w:sz w:val="20"/>
          <w:lang w:val="en-US"/>
        </w:rPr>
      </w:pPr>
    </w:p>
    <w:p w:rsidR="00050F97" w:rsidRDefault="00050F97" w:rsidP="00CD30E3">
      <w:pPr>
        <w:autoSpaceDE w:val="0"/>
        <w:autoSpaceDN w:val="0"/>
        <w:adjustRightInd w:val="0"/>
        <w:ind w:firstLine="547"/>
        <w:jc w:val="both"/>
        <w:rPr>
          <w:rFonts w:cs="Arial"/>
          <w:color w:val="984806" w:themeColor="accent6" w:themeShade="80"/>
          <w:sz w:val="20"/>
          <w:lang w:val="en-US"/>
        </w:rPr>
      </w:pPr>
      <w:r w:rsidRPr="00F90D95">
        <w:rPr>
          <w:rFonts w:cs="Arial"/>
          <w:color w:val="000000" w:themeColor="text1"/>
          <w:sz w:val="20"/>
          <w:lang w:val="en-US"/>
        </w:rPr>
        <w:t>(3) This section shall not apply to a profit on debt that is exempt from</w:t>
      </w:r>
      <w:r w:rsidR="00CD30E3" w:rsidRPr="00F90D95">
        <w:rPr>
          <w:rFonts w:cs="Arial"/>
          <w:color w:val="000000" w:themeColor="text1"/>
          <w:sz w:val="20"/>
          <w:lang w:val="en-US"/>
        </w:rPr>
        <w:t xml:space="preserve"> </w:t>
      </w:r>
      <w:r w:rsidRPr="00F90D95">
        <w:rPr>
          <w:rFonts w:cs="Arial"/>
          <w:color w:val="000000" w:themeColor="text1"/>
          <w:sz w:val="20"/>
          <w:lang w:val="en-US"/>
        </w:rPr>
        <w:t>tax under this Ordinance.</w:t>
      </w:r>
      <w:r w:rsidR="003F0352" w:rsidRPr="00F90D95">
        <w:rPr>
          <w:rFonts w:cs="Arial"/>
          <w:color w:val="000000" w:themeColor="text1"/>
          <w:sz w:val="20"/>
          <w:lang w:val="en-US"/>
        </w:rPr>
        <w:t>”]</w:t>
      </w:r>
    </w:p>
    <w:p w:rsidR="003F0352" w:rsidRPr="00050F97" w:rsidRDefault="003F0352" w:rsidP="00050F97">
      <w:pPr>
        <w:autoSpaceDE w:val="0"/>
        <w:autoSpaceDN w:val="0"/>
        <w:adjustRightInd w:val="0"/>
        <w:rPr>
          <w:rFonts w:cs="Arial"/>
          <w:color w:val="984806" w:themeColor="accent6" w:themeShade="80"/>
          <w:sz w:val="20"/>
          <w:lang w:val="en-US"/>
        </w:rPr>
      </w:pPr>
    </w:p>
    <w:p w:rsidR="007256C0" w:rsidRPr="00D612BA" w:rsidRDefault="00871E52" w:rsidP="004E285F">
      <w:pPr>
        <w:jc w:val="both"/>
        <w:rPr>
          <w:rFonts w:cs="Arial"/>
          <w:color w:val="0070C0"/>
          <w:sz w:val="20"/>
        </w:rPr>
      </w:pPr>
      <w:r w:rsidRPr="00D612BA">
        <w:rPr>
          <w:rStyle w:val="FootnoteReference"/>
          <w:rFonts w:cs="Arial"/>
          <w:color w:val="0070C0"/>
          <w:sz w:val="20"/>
          <w:lang w:val="en-US"/>
        </w:rPr>
        <w:footnoteReference w:id="146"/>
      </w:r>
      <w:r w:rsidR="004C2312" w:rsidRPr="00D612BA">
        <w:rPr>
          <w:rFonts w:cs="Arial"/>
          <w:color w:val="0070C0"/>
          <w:sz w:val="20"/>
          <w:lang w:val="en-US"/>
        </w:rPr>
        <w:t>[</w:t>
      </w:r>
      <w:r w:rsidR="007256C0" w:rsidRPr="00D612BA">
        <w:rPr>
          <w:rFonts w:cs="Arial"/>
          <w:color w:val="0070C0"/>
          <w:sz w:val="20"/>
        </w:rPr>
        <w:t>“</w:t>
      </w:r>
      <w:r w:rsidR="007256C0" w:rsidRPr="00D612BA">
        <w:rPr>
          <w:rFonts w:cs="Arial"/>
          <w:b/>
          <w:caps/>
          <w:color w:val="0070C0"/>
          <w:sz w:val="20"/>
        </w:rPr>
        <w:t>7C.</w:t>
      </w:r>
      <w:r w:rsidR="007256C0" w:rsidRPr="00D612BA">
        <w:rPr>
          <w:rFonts w:cs="Arial"/>
          <w:b/>
          <w:caps/>
          <w:color w:val="0070C0"/>
          <w:sz w:val="20"/>
        </w:rPr>
        <w:tab/>
      </w:r>
      <w:r w:rsidR="007256C0" w:rsidRPr="00D612BA">
        <w:rPr>
          <w:rFonts w:cs="Arial"/>
          <w:b/>
          <w:color w:val="0070C0"/>
          <w:sz w:val="20"/>
        </w:rPr>
        <w:t>Tax on builders.—</w:t>
      </w:r>
      <w:r w:rsidR="007256C0" w:rsidRPr="00D612BA">
        <w:rPr>
          <w:rFonts w:cs="Arial"/>
          <w:caps/>
          <w:color w:val="0070C0"/>
          <w:sz w:val="20"/>
        </w:rPr>
        <w:t xml:space="preserve"> (1)  </w:t>
      </w:r>
      <w:r w:rsidR="007256C0" w:rsidRPr="00D612BA">
        <w:rPr>
          <w:rFonts w:cs="Arial"/>
          <w:color w:val="0070C0"/>
          <w:sz w:val="20"/>
        </w:rPr>
        <w:t>Subject to this Ordinance, a tax shall be imposed on the profits and gains of a person deriving income from the business of construction and sale of residential, commercial or other buildings at the rates specified in Division VIIIA of Part I of the First Schedule.</w:t>
      </w:r>
    </w:p>
    <w:p w:rsidR="007256C0" w:rsidRPr="00D612BA" w:rsidRDefault="007256C0" w:rsidP="007256C0">
      <w:pPr>
        <w:ind w:left="90" w:hanging="90"/>
        <w:jc w:val="both"/>
        <w:rPr>
          <w:rFonts w:cs="Arial"/>
          <w:color w:val="0070C0"/>
          <w:sz w:val="14"/>
        </w:rPr>
      </w:pPr>
    </w:p>
    <w:p w:rsidR="007256C0" w:rsidRPr="00D612BA" w:rsidRDefault="007256C0" w:rsidP="004E285F">
      <w:pPr>
        <w:jc w:val="both"/>
        <w:rPr>
          <w:rFonts w:cs="Arial"/>
          <w:color w:val="0070C0"/>
          <w:sz w:val="20"/>
        </w:rPr>
      </w:pPr>
      <w:r w:rsidRPr="00D612BA">
        <w:rPr>
          <w:rFonts w:cs="Arial"/>
          <w:color w:val="0070C0"/>
          <w:sz w:val="20"/>
        </w:rPr>
        <w:t>(2)</w:t>
      </w:r>
      <w:r w:rsidRPr="00D612BA">
        <w:rPr>
          <w:rFonts w:cs="Arial"/>
          <w:color w:val="0070C0"/>
          <w:sz w:val="20"/>
        </w:rPr>
        <w:tab/>
        <w:t>The tax imposed under sub-section (1) shall be computed by applying the relevant rate of tax to the area of the residential, commercial or other building being constructed for sale.</w:t>
      </w:r>
    </w:p>
    <w:p w:rsidR="007256C0" w:rsidRPr="00D612BA" w:rsidRDefault="007256C0" w:rsidP="007256C0">
      <w:pPr>
        <w:ind w:left="90"/>
        <w:jc w:val="both"/>
        <w:rPr>
          <w:rFonts w:cs="Arial"/>
          <w:color w:val="0070C0"/>
          <w:sz w:val="16"/>
        </w:rPr>
      </w:pPr>
    </w:p>
    <w:p w:rsidR="007256C0" w:rsidRPr="00D612BA" w:rsidRDefault="007256C0" w:rsidP="007B723E">
      <w:pPr>
        <w:pStyle w:val="ListParagraph"/>
        <w:numPr>
          <w:ilvl w:val="0"/>
          <w:numId w:val="86"/>
        </w:numPr>
        <w:ind w:left="540" w:hanging="540"/>
        <w:jc w:val="both"/>
        <w:rPr>
          <w:rFonts w:cs="Arial"/>
          <w:color w:val="0070C0"/>
          <w:sz w:val="20"/>
        </w:rPr>
      </w:pPr>
      <w:r w:rsidRPr="00D612BA">
        <w:rPr>
          <w:rFonts w:cs="Arial"/>
          <w:color w:val="0070C0"/>
          <w:sz w:val="20"/>
        </w:rPr>
        <w:t>The Board may prescribe:</w:t>
      </w:r>
    </w:p>
    <w:p w:rsidR="004E285F" w:rsidRPr="00D612BA" w:rsidRDefault="004E285F" w:rsidP="004E285F">
      <w:pPr>
        <w:pStyle w:val="ListParagraph"/>
        <w:ind w:left="540"/>
        <w:jc w:val="both"/>
        <w:rPr>
          <w:rFonts w:cs="Arial"/>
          <w:color w:val="0070C0"/>
          <w:sz w:val="14"/>
        </w:rPr>
      </w:pPr>
    </w:p>
    <w:p w:rsidR="007256C0" w:rsidRPr="00D612BA" w:rsidRDefault="007256C0" w:rsidP="007256C0">
      <w:pPr>
        <w:pStyle w:val="ListParagraph"/>
        <w:numPr>
          <w:ilvl w:val="0"/>
          <w:numId w:val="85"/>
        </w:numPr>
        <w:ind w:left="1170" w:hanging="630"/>
        <w:jc w:val="both"/>
        <w:rPr>
          <w:rFonts w:cs="Arial"/>
          <w:color w:val="0070C0"/>
          <w:sz w:val="20"/>
        </w:rPr>
      </w:pPr>
      <w:r w:rsidRPr="00D612BA">
        <w:rPr>
          <w:rFonts w:cs="Arial"/>
          <w:color w:val="0070C0"/>
          <w:sz w:val="20"/>
        </w:rPr>
        <w:t>the mode and manner for payment and collection of tax under this section;</w:t>
      </w:r>
    </w:p>
    <w:p w:rsidR="007256C0" w:rsidRPr="00D612BA" w:rsidRDefault="007256C0" w:rsidP="007256C0">
      <w:pPr>
        <w:pStyle w:val="ListParagraph"/>
        <w:numPr>
          <w:ilvl w:val="0"/>
          <w:numId w:val="85"/>
        </w:numPr>
        <w:ind w:left="1170" w:hanging="630"/>
        <w:jc w:val="both"/>
        <w:rPr>
          <w:rFonts w:cs="Arial"/>
          <w:color w:val="0070C0"/>
          <w:sz w:val="20"/>
        </w:rPr>
      </w:pPr>
      <w:r w:rsidRPr="00D612BA">
        <w:rPr>
          <w:rFonts w:cs="Arial"/>
          <w:color w:val="0070C0"/>
          <w:sz w:val="20"/>
        </w:rPr>
        <w:t>the authorities granting approval for computation and payment plan of tax; and</w:t>
      </w:r>
    </w:p>
    <w:p w:rsidR="007256C0" w:rsidRPr="00D612BA" w:rsidRDefault="007256C0" w:rsidP="007256C0">
      <w:pPr>
        <w:pStyle w:val="ListParagraph"/>
        <w:numPr>
          <w:ilvl w:val="0"/>
          <w:numId w:val="85"/>
        </w:numPr>
        <w:ind w:left="1170" w:hanging="630"/>
        <w:jc w:val="both"/>
        <w:rPr>
          <w:rFonts w:cs="Arial"/>
          <w:color w:val="0070C0"/>
          <w:sz w:val="20"/>
        </w:rPr>
      </w:pPr>
      <w:r w:rsidRPr="00D612BA">
        <w:rPr>
          <w:rFonts w:cs="Arial"/>
          <w:color w:val="0070C0"/>
          <w:sz w:val="20"/>
        </w:rPr>
        <w:t>responsibilities and powers of the authorities approving, suspending and cancelling no objection certificate to sell and the matters connected and ancillary thereto.</w:t>
      </w:r>
    </w:p>
    <w:p w:rsidR="004E285F" w:rsidRPr="00D612BA" w:rsidRDefault="004E285F" w:rsidP="004E285F">
      <w:pPr>
        <w:pStyle w:val="ListParagraph"/>
        <w:ind w:left="1170"/>
        <w:jc w:val="both"/>
        <w:rPr>
          <w:rFonts w:cs="Arial"/>
          <w:color w:val="0070C0"/>
          <w:sz w:val="14"/>
        </w:rPr>
      </w:pPr>
    </w:p>
    <w:p w:rsidR="007256C0" w:rsidRPr="00D612BA" w:rsidRDefault="007256C0" w:rsidP="007256C0">
      <w:pPr>
        <w:pStyle w:val="ListParagraph"/>
        <w:ind w:left="90"/>
        <w:jc w:val="both"/>
        <w:rPr>
          <w:rFonts w:cs="Arial"/>
          <w:color w:val="0070C0"/>
          <w:sz w:val="20"/>
        </w:rPr>
      </w:pPr>
      <w:r w:rsidRPr="00D612BA">
        <w:rPr>
          <w:rFonts w:cs="Arial"/>
          <w:color w:val="0070C0"/>
          <w:sz w:val="20"/>
        </w:rPr>
        <w:t>(4)</w:t>
      </w:r>
      <w:r w:rsidRPr="00D612BA">
        <w:rPr>
          <w:rFonts w:cs="Arial"/>
          <w:color w:val="0070C0"/>
          <w:sz w:val="20"/>
        </w:rPr>
        <w:tab/>
        <w:t>This section shall apply to business or projects undertaken for construction and sale of residential, commercial or other buildings initiated and approved after the 1</w:t>
      </w:r>
      <w:r w:rsidRPr="00D612BA">
        <w:rPr>
          <w:rFonts w:cs="Arial"/>
          <w:color w:val="0070C0"/>
          <w:sz w:val="20"/>
          <w:vertAlign w:val="superscript"/>
        </w:rPr>
        <w:t>st</w:t>
      </w:r>
      <w:r w:rsidRPr="00D612BA">
        <w:rPr>
          <w:rFonts w:cs="Arial"/>
          <w:color w:val="0070C0"/>
          <w:sz w:val="20"/>
        </w:rPr>
        <w:t xml:space="preserve"> July, 2016.”</w:t>
      </w:r>
      <w:r w:rsidR="00CE57F4" w:rsidRPr="00D612BA">
        <w:rPr>
          <w:rFonts w:cs="Arial"/>
          <w:color w:val="0070C0"/>
          <w:sz w:val="20"/>
        </w:rPr>
        <w:t>]</w:t>
      </w:r>
    </w:p>
    <w:p w:rsidR="007256C0" w:rsidRPr="00D612BA" w:rsidRDefault="007256C0" w:rsidP="007256C0">
      <w:pPr>
        <w:pStyle w:val="ListParagraph"/>
        <w:ind w:left="540" w:hanging="450"/>
        <w:jc w:val="both"/>
        <w:rPr>
          <w:rFonts w:cs="Arial"/>
          <w:strike/>
          <w:color w:val="0070C0"/>
          <w:sz w:val="14"/>
        </w:rPr>
      </w:pPr>
    </w:p>
    <w:p w:rsidR="007256C0" w:rsidRPr="00D612BA" w:rsidRDefault="00CE57F4" w:rsidP="007256C0">
      <w:pPr>
        <w:ind w:left="90"/>
        <w:jc w:val="both"/>
        <w:rPr>
          <w:rFonts w:cs="Arial"/>
          <w:color w:val="0070C0"/>
          <w:sz w:val="20"/>
        </w:rPr>
      </w:pPr>
      <w:r w:rsidRPr="00D612BA">
        <w:rPr>
          <w:rStyle w:val="FootnoteReference"/>
          <w:rFonts w:cs="Arial"/>
          <w:b/>
          <w:caps/>
          <w:color w:val="0070C0"/>
          <w:sz w:val="20"/>
        </w:rPr>
        <w:footnoteReference w:id="147"/>
      </w:r>
      <w:r w:rsidRPr="00D612BA">
        <w:rPr>
          <w:rFonts w:cs="Arial"/>
          <w:b/>
          <w:caps/>
          <w:color w:val="0070C0"/>
          <w:sz w:val="20"/>
        </w:rPr>
        <w:t>[“</w:t>
      </w:r>
      <w:r w:rsidR="007256C0" w:rsidRPr="00D612BA">
        <w:rPr>
          <w:rFonts w:cs="Arial"/>
          <w:b/>
          <w:caps/>
          <w:color w:val="0070C0"/>
          <w:sz w:val="20"/>
        </w:rPr>
        <w:t xml:space="preserve">7D. </w:t>
      </w:r>
      <w:r w:rsidR="007256C0" w:rsidRPr="00D612BA">
        <w:rPr>
          <w:rFonts w:cs="Arial"/>
          <w:b/>
          <w:color w:val="0070C0"/>
          <w:sz w:val="20"/>
        </w:rPr>
        <w:t>Tax on developers.—</w:t>
      </w:r>
      <w:r w:rsidR="007256C0" w:rsidRPr="00D612BA">
        <w:rPr>
          <w:rFonts w:cs="Arial"/>
          <w:caps/>
          <w:color w:val="0070C0"/>
          <w:sz w:val="20"/>
        </w:rPr>
        <w:t xml:space="preserve"> (1)  </w:t>
      </w:r>
      <w:r w:rsidR="007256C0" w:rsidRPr="00D612BA">
        <w:rPr>
          <w:rFonts w:cs="Arial"/>
          <w:color w:val="0070C0"/>
          <w:sz w:val="20"/>
        </w:rPr>
        <w:t>Subject to this Ordinance, a tax shall be imposed on the profits and gains of a person deriving income from the business of development and sale of residential, commercial or other plots at the rates specified in Division VIIIB of Part I of the First Schedule.</w:t>
      </w:r>
    </w:p>
    <w:p w:rsidR="007256C0" w:rsidRPr="00D612BA" w:rsidRDefault="007256C0" w:rsidP="007256C0">
      <w:pPr>
        <w:ind w:left="90"/>
        <w:jc w:val="both"/>
        <w:rPr>
          <w:rFonts w:cs="Arial"/>
          <w:color w:val="0070C0"/>
          <w:sz w:val="14"/>
        </w:rPr>
      </w:pPr>
    </w:p>
    <w:p w:rsidR="007256C0" w:rsidRPr="00D612BA" w:rsidRDefault="007256C0" w:rsidP="007256C0">
      <w:pPr>
        <w:ind w:left="90"/>
        <w:jc w:val="both"/>
        <w:rPr>
          <w:rFonts w:cs="Arial"/>
          <w:color w:val="0070C0"/>
          <w:sz w:val="20"/>
        </w:rPr>
      </w:pPr>
      <w:r w:rsidRPr="00D612BA">
        <w:rPr>
          <w:rFonts w:cs="Arial"/>
          <w:color w:val="0070C0"/>
          <w:sz w:val="20"/>
        </w:rPr>
        <w:lastRenderedPageBreak/>
        <w:t>(2)</w:t>
      </w:r>
      <w:r w:rsidRPr="00D612BA">
        <w:rPr>
          <w:rFonts w:cs="Arial"/>
          <w:color w:val="0070C0"/>
          <w:sz w:val="20"/>
        </w:rPr>
        <w:tab/>
        <w:t>The tax imposed under sub-section (1) shall be computed by applying the relevant rate of tax to the area of the residential, commercial or other plots for sale.</w:t>
      </w:r>
    </w:p>
    <w:p w:rsidR="007256C0" w:rsidRPr="00D612BA" w:rsidRDefault="007256C0" w:rsidP="007256C0">
      <w:pPr>
        <w:ind w:left="90"/>
        <w:jc w:val="both"/>
        <w:rPr>
          <w:rFonts w:cs="Arial"/>
          <w:color w:val="0070C0"/>
          <w:sz w:val="14"/>
        </w:rPr>
      </w:pPr>
    </w:p>
    <w:p w:rsidR="007256C0" w:rsidRPr="00D612BA" w:rsidRDefault="007256C0" w:rsidP="007256C0">
      <w:pPr>
        <w:ind w:left="540" w:hanging="450"/>
        <w:jc w:val="both"/>
        <w:rPr>
          <w:rFonts w:cs="Arial"/>
          <w:color w:val="0070C0"/>
          <w:sz w:val="20"/>
        </w:rPr>
      </w:pPr>
      <w:r w:rsidRPr="00D612BA">
        <w:rPr>
          <w:rFonts w:cs="Arial"/>
          <w:color w:val="0070C0"/>
          <w:sz w:val="20"/>
        </w:rPr>
        <w:t>(3)</w:t>
      </w:r>
      <w:r w:rsidRPr="00D612BA">
        <w:rPr>
          <w:rFonts w:cs="Arial"/>
          <w:color w:val="0070C0"/>
          <w:sz w:val="20"/>
        </w:rPr>
        <w:tab/>
        <w:t>The Board may prescribe:</w:t>
      </w:r>
    </w:p>
    <w:p w:rsidR="006B47EB" w:rsidRPr="00D612BA" w:rsidRDefault="006B47EB" w:rsidP="007256C0">
      <w:pPr>
        <w:ind w:left="540" w:hanging="450"/>
        <w:jc w:val="both"/>
        <w:rPr>
          <w:rFonts w:cs="Arial"/>
          <w:color w:val="0070C0"/>
          <w:sz w:val="14"/>
        </w:rPr>
      </w:pPr>
    </w:p>
    <w:p w:rsidR="007256C0" w:rsidRPr="00D612BA" w:rsidRDefault="007256C0" w:rsidP="006B47EB">
      <w:pPr>
        <w:pStyle w:val="ListParagraph"/>
        <w:numPr>
          <w:ilvl w:val="0"/>
          <w:numId w:val="84"/>
        </w:numPr>
        <w:ind w:left="990" w:hanging="450"/>
        <w:jc w:val="both"/>
        <w:rPr>
          <w:rFonts w:cs="Arial"/>
          <w:color w:val="0070C0"/>
          <w:sz w:val="20"/>
        </w:rPr>
      </w:pPr>
      <w:r w:rsidRPr="00D612BA">
        <w:rPr>
          <w:rFonts w:cs="Arial"/>
          <w:color w:val="0070C0"/>
          <w:sz w:val="20"/>
        </w:rPr>
        <w:t>the mode and manner for payment and collection of tax under this section;</w:t>
      </w:r>
    </w:p>
    <w:p w:rsidR="007256C0" w:rsidRPr="00D612BA" w:rsidRDefault="007256C0" w:rsidP="006B47EB">
      <w:pPr>
        <w:pStyle w:val="ListParagraph"/>
        <w:numPr>
          <w:ilvl w:val="0"/>
          <w:numId w:val="84"/>
        </w:numPr>
        <w:ind w:left="990" w:hanging="450"/>
        <w:jc w:val="both"/>
        <w:rPr>
          <w:rFonts w:cs="Arial"/>
          <w:color w:val="0070C0"/>
          <w:sz w:val="20"/>
        </w:rPr>
      </w:pPr>
      <w:r w:rsidRPr="00D612BA">
        <w:rPr>
          <w:rFonts w:cs="Arial"/>
          <w:color w:val="0070C0"/>
          <w:sz w:val="20"/>
        </w:rPr>
        <w:t>the authorities granting approval for computation and payment plan of tax; and</w:t>
      </w:r>
    </w:p>
    <w:p w:rsidR="007256C0" w:rsidRPr="00D612BA" w:rsidRDefault="007256C0" w:rsidP="006B47EB">
      <w:pPr>
        <w:pStyle w:val="ListParagraph"/>
        <w:numPr>
          <w:ilvl w:val="0"/>
          <w:numId w:val="84"/>
        </w:numPr>
        <w:ind w:left="990" w:hanging="450"/>
        <w:jc w:val="both"/>
        <w:rPr>
          <w:rFonts w:cs="Arial"/>
          <w:color w:val="0070C0"/>
          <w:sz w:val="20"/>
        </w:rPr>
      </w:pPr>
      <w:r w:rsidRPr="00D612BA">
        <w:rPr>
          <w:rFonts w:cs="Arial"/>
          <w:color w:val="0070C0"/>
          <w:sz w:val="20"/>
        </w:rPr>
        <w:t>responsibilities and powers of the authorities approving, suspending and cancelling no objection certificate to sell and the matters connected and ancillary thereto.</w:t>
      </w:r>
    </w:p>
    <w:p w:rsidR="006B47EB" w:rsidRPr="00D612BA" w:rsidRDefault="006B47EB" w:rsidP="006B47EB">
      <w:pPr>
        <w:pStyle w:val="ListParagraph"/>
        <w:ind w:left="990"/>
        <w:jc w:val="both"/>
        <w:rPr>
          <w:rFonts w:cs="Arial"/>
          <w:color w:val="0070C0"/>
          <w:sz w:val="14"/>
        </w:rPr>
      </w:pPr>
    </w:p>
    <w:p w:rsidR="007256C0" w:rsidRPr="00D612BA" w:rsidRDefault="007256C0" w:rsidP="006B47EB">
      <w:pPr>
        <w:pStyle w:val="ListParagraph"/>
        <w:ind w:left="90"/>
        <w:jc w:val="both"/>
        <w:rPr>
          <w:rFonts w:cs="Arial"/>
          <w:color w:val="0070C0"/>
          <w:sz w:val="20"/>
        </w:rPr>
      </w:pPr>
      <w:r w:rsidRPr="00D612BA">
        <w:rPr>
          <w:rFonts w:cs="Arial"/>
          <w:color w:val="0070C0"/>
          <w:sz w:val="20"/>
        </w:rPr>
        <w:t>(4)</w:t>
      </w:r>
      <w:r w:rsidRPr="00D612BA">
        <w:rPr>
          <w:rFonts w:cs="Arial"/>
          <w:color w:val="0070C0"/>
          <w:sz w:val="20"/>
        </w:rPr>
        <w:tab/>
        <w:t>This section shall apply to projects undertaken for development and sale of residential, commercial or other plots initiated and approved after the 1</w:t>
      </w:r>
      <w:r w:rsidRPr="00D612BA">
        <w:rPr>
          <w:rFonts w:cs="Arial"/>
          <w:color w:val="0070C0"/>
          <w:sz w:val="20"/>
          <w:vertAlign w:val="superscript"/>
        </w:rPr>
        <w:t>st</w:t>
      </w:r>
      <w:r w:rsidRPr="00D612BA">
        <w:rPr>
          <w:rFonts w:cs="Arial"/>
          <w:color w:val="0070C0"/>
          <w:sz w:val="20"/>
        </w:rPr>
        <w:t xml:space="preserve"> July, 2016.”</w:t>
      </w:r>
      <w:r w:rsidR="00871E52" w:rsidRPr="00D612BA">
        <w:rPr>
          <w:rFonts w:cs="Arial"/>
          <w:color w:val="0070C0"/>
          <w:sz w:val="20"/>
        </w:rPr>
        <w:t>]</w:t>
      </w:r>
    </w:p>
    <w:p w:rsidR="00050F97" w:rsidRPr="00050F97" w:rsidRDefault="00050F97" w:rsidP="00640021">
      <w:pPr>
        <w:autoSpaceDE w:val="0"/>
        <w:autoSpaceDN w:val="0"/>
        <w:adjustRightInd w:val="0"/>
        <w:rPr>
          <w:rFonts w:cs="Arial"/>
          <w:color w:val="984806" w:themeColor="accent6" w:themeShade="80"/>
          <w:sz w:val="20"/>
          <w:lang w:val="en-US"/>
        </w:rPr>
      </w:pPr>
    </w:p>
    <w:p w:rsidR="006A3F93" w:rsidRPr="00412620" w:rsidRDefault="006A3F93" w:rsidP="00416232">
      <w:pPr>
        <w:jc w:val="both"/>
        <w:rPr>
          <w:caps/>
          <w:snapToGrid w:val="0"/>
          <w:sz w:val="20"/>
        </w:rPr>
      </w:pPr>
      <w:r w:rsidRPr="00412620">
        <w:rPr>
          <w:rFonts w:cs="Arial"/>
          <w:b/>
          <w:caps/>
          <w:snapToGrid w:val="0"/>
          <w:sz w:val="20"/>
        </w:rPr>
        <w:t>8.</w:t>
      </w:r>
      <w:r w:rsidRPr="00412620">
        <w:rPr>
          <w:rFonts w:cs="Arial"/>
          <w:b/>
          <w:caps/>
          <w:snapToGrid w:val="0"/>
          <w:sz w:val="20"/>
        </w:rPr>
        <w:tab/>
      </w:r>
      <w:r w:rsidRPr="00412620">
        <w:rPr>
          <w:b/>
          <w:snapToGrid w:val="0"/>
          <w:sz w:val="20"/>
        </w:rPr>
        <w:t>General provisions relating to taxes im</w:t>
      </w:r>
      <w:r w:rsidR="00416232">
        <w:rPr>
          <w:b/>
          <w:snapToGrid w:val="0"/>
          <w:sz w:val="20"/>
        </w:rPr>
        <w:t xml:space="preserve">posed under sections 5, 6 and </w:t>
      </w:r>
      <w:r w:rsidR="00E41A2D">
        <w:rPr>
          <w:b/>
          <w:snapToGrid w:val="0"/>
          <w:sz w:val="20"/>
        </w:rPr>
        <w:t xml:space="preserve">7 </w:t>
      </w:r>
      <w:r w:rsidR="00416232">
        <w:rPr>
          <w:b/>
          <w:snapToGrid w:val="0"/>
          <w:sz w:val="20"/>
        </w:rPr>
        <w:t>(</w:t>
      </w:r>
      <w:r w:rsidR="00416232" w:rsidRPr="00416232">
        <w:rPr>
          <w:snapToGrid w:val="0"/>
          <w:sz w:val="20"/>
        </w:rPr>
        <w:t>1)</w:t>
      </w:r>
      <w:r w:rsidR="00203E57">
        <w:rPr>
          <w:snapToGrid w:val="0"/>
          <w:sz w:val="20"/>
        </w:rPr>
        <w:t>-</w:t>
      </w:r>
      <w:r w:rsidRPr="00412620">
        <w:rPr>
          <w:snapToGrid w:val="0"/>
          <w:sz w:val="20"/>
        </w:rPr>
        <w:t>Subject to this Ordinance, the tax imposed under Section</w:t>
      </w:r>
      <w:r w:rsidR="00443B1B">
        <w:rPr>
          <w:snapToGrid w:val="0"/>
          <w:sz w:val="20"/>
        </w:rPr>
        <w:t>s</w:t>
      </w:r>
      <w:r w:rsidRPr="00412620">
        <w:rPr>
          <w:snapToGrid w:val="0"/>
          <w:sz w:val="20"/>
        </w:rPr>
        <w:t xml:space="preserve">5, </w:t>
      </w:r>
      <w:r w:rsidR="00203E57" w:rsidRPr="00F90D95">
        <w:rPr>
          <w:rStyle w:val="FootnoteReference"/>
          <w:snapToGrid w:val="0"/>
          <w:color w:val="000000" w:themeColor="text1"/>
          <w:sz w:val="20"/>
        </w:rPr>
        <w:footnoteReference w:id="148"/>
      </w:r>
      <w:r w:rsidR="00203E57" w:rsidRPr="00F90D95">
        <w:rPr>
          <w:snapToGrid w:val="0"/>
          <w:color w:val="000000" w:themeColor="text1"/>
          <w:sz w:val="20"/>
        </w:rPr>
        <w:t>[5A,</w:t>
      </w:r>
      <w:r w:rsidR="007A7191">
        <w:rPr>
          <w:snapToGrid w:val="0"/>
          <w:color w:val="000000" w:themeColor="text1"/>
          <w:sz w:val="20"/>
        </w:rPr>
        <w:t xml:space="preserve"> </w:t>
      </w:r>
      <w:r w:rsidR="00337678" w:rsidRPr="00D41075">
        <w:rPr>
          <w:rStyle w:val="FootnoteReference"/>
          <w:rFonts w:cs="Arial"/>
          <w:color w:val="FF0000"/>
          <w:sz w:val="20"/>
        </w:rPr>
        <w:footnoteReference w:id="149"/>
      </w:r>
      <w:r w:rsidR="007A7191" w:rsidRPr="007A7191">
        <w:rPr>
          <w:snapToGrid w:val="0"/>
          <w:color w:val="FF0000"/>
          <w:sz w:val="20"/>
        </w:rPr>
        <w:t>[“5AA,”]</w:t>
      </w:r>
      <w:r w:rsidR="006F0FB5" w:rsidRPr="00F90D95">
        <w:rPr>
          <w:snapToGrid w:val="0"/>
          <w:color w:val="000000" w:themeColor="text1"/>
          <w:sz w:val="20"/>
        </w:rPr>
        <w:t xml:space="preserve"> </w:t>
      </w:r>
      <w:r w:rsidR="00203E57" w:rsidRPr="00F90D95">
        <w:rPr>
          <w:snapToGrid w:val="0"/>
          <w:color w:val="000000" w:themeColor="text1"/>
          <w:sz w:val="20"/>
        </w:rPr>
        <w:t>6,</w:t>
      </w:r>
      <w:r w:rsidR="006F0FB5" w:rsidRPr="00F90D95">
        <w:rPr>
          <w:snapToGrid w:val="0"/>
          <w:color w:val="000000" w:themeColor="text1"/>
          <w:sz w:val="20"/>
        </w:rPr>
        <w:t xml:space="preserve"> </w:t>
      </w:r>
      <w:r w:rsidR="00203E57" w:rsidRPr="00F90D95">
        <w:rPr>
          <w:snapToGrid w:val="0"/>
          <w:color w:val="000000" w:themeColor="text1"/>
          <w:sz w:val="20"/>
        </w:rPr>
        <w:t>7,</w:t>
      </w:r>
      <w:r w:rsidR="006F0FB5" w:rsidRPr="00F90D95">
        <w:rPr>
          <w:snapToGrid w:val="0"/>
          <w:color w:val="000000" w:themeColor="text1"/>
          <w:sz w:val="20"/>
        </w:rPr>
        <w:t xml:space="preserve"> </w:t>
      </w:r>
      <w:r w:rsidR="00203E57" w:rsidRPr="00F90D95">
        <w:rPr>
          <w:snapToGrid w:val="0"/>
          <w:color w:val="000000" w:themeColor="text1"/>
          <w:sz w:val="20"/>
        </w:rPr>
        <w:t>7A</w:t>
      </w:r>
      <w:r w:rsidR="00203E57" w:rsidRPr="00203E57">
        <w:rPr>
          <w:snapToGrid w:val="0"/>
          <w:color w:val="984806" w:themeColor="accent6" w:themeShade="80"/>
          <w:sz w:val="20"/>
        </w:rPr>
        <w:t xml:space="preserve"> </w:t>
      </w:r>
      <w:r w:rsidR="006F0FB5" w:rsidRPr="00D612BA">
        <w:rPr>
          <w:rStyle w:val="FootnoteReference"/>
          <w:snapToGrid w:val="0"/>
          <w:color w:val="0070C0"/>
          <w:sz w:val="20"/>
        </w:rPr>
        <w:footnoteReference w:id="150"/>
      </w:r>
      <w:r w:rsidR="006F0FB5" w:rsidRPr="00D612BA">
        <w:rPr>
          <w:snapToGrid w:val="0"/>
          <w:color w:val="0070C0"/>
          <w:sz w:val="20"/>
        </w:rPr>
        <w:t xml:space="preserve">[, </w:t>
      </w:r>
      <w:r w:rsidR="00203E57" w:rsidRPr="00D612BA">
        <w:rPr>
          <w:snapToGrid w:val="0"/>
          <w:color w:val="0070C0"/>
          <w:sz w:val="20"/>
        </w:rPr>
        <w:t>7B</w:t>
      </w:r>
      <w:r w:rsidR="006F0FB5" w:rsidRPr="00D612BA">
        <w:rPr>
          <w:snapToGrid w:val="0"/>
          <w:color w:val="0070C0"/>
          <w:sz w:val="20"/>
        </w:rPr>
        <w:t>, 7C and 7D</w:t>
      </w:r>
      <w:r w:rsidR="00203E57" w:rsidRPr="00D612BA">
        <w:rPr>
          <w:snapToGrid w:val="0"/>
          <w:color w:val="0070C0"/>
          <w:sz w:val="20"/>
        </w:rPr>
        <w:t>]</w:t>
      </w:r>
      <w:r w:rsidR="005B7050">
        <w:rPr>
          <w:snapToGrid w:val="0"/>
          <w:color w:val="984806" w:themeColor="accent6" w:themeShade="80"/>
          <w:sz w:val="20"/>
        </w:rPr>
        <w:t xml:space="preserve"> </w:t>
      </w:r>
      <w:r w:rsidRPr="00412620">
        <w:rPr>
          <w:snapToGrid w:val="0"/>
          <w:sz w:val="20"/>
        </w:rPr>
        <w:t>shall be a final tax on the amount in respect of which the tax is imposed and</w:t>
      </w:r>
      <w:r w:rsidR="008929FC" w:rsidRPr="00412620">
        <w:rPr>
          <w:snapToGrid w:val="0"/>
          <w:sz w:val="20"/>
        </w:rPr>
        <w:t>—</w:t>
      </w:r>
    </w:p>
    <w:p w:rsidR="006A3F93" w:rsidRPr="00412620" w:rsidRDefault="006A3F93">
      <w:pPr>
        <w:jc w:val="both"/>
        <w:rPr>
          <w:rFonts w:cs="Arial"/>
          <w:snapToGrid w:val="0"/>
          <w:sz w:val="20"/>
        </w:rPr>
      </w:pPr>
    </w:p>
    <w:p w:rsidR="006A3F93" w:rsidRPr="00412620" w:rsidRDefault="006A3F93">
      <w:pPr>
        <w:pStyle w:val="BodyTextIndent"/>
        <w:ind w:left="1635" w:hanging="555"/>
        <w:jc w:val="both"/>
        <w:rPr>
          <w:rFonts w:cs="Arial"/>
          <w:sz w:val="20"/>
        </w:rPr>
      </w:pPr>
      <w:r w:rsidRPr="00412620">
        <w:rPr>
          <w:rFonts w:cs="Arial"/>
          <w:sz w:val="20"/>
        </w:rPr>
        <w:t>(a)</w:t>
      </w:r>
      <w:r w:rsidRPr="00412620">
        <w:rPr>
          <w:rFonts w:cs="Arial"/>
          <w:sz w:val="20"/>
        </w:rPr>
        <w:tab/>
        <w:t>such amount shall not be chargeable to tax under any head of income in computing the taxable income of the person who derives it for any tax year;</w:t>
      </w:r>
    </w:p>
    <w:p w:rsidR="006A3F93" w:rsidRPr="00412620" w:rsidRDefault="006A3F93">
      <w:pPr>
        <w:jc w:val="both"/>
        <w:rPr>
          <w:rFonts w:cs="Arial"/>
          <w:snapToGrid w:val="0"/>
          <w:sz w:val="20"/>
        </w:rPr>
      </w:pPr>
    </w:p>
    <w:p w:rsidR="006A3F93" w:rsidRPr="00412620" w:rsidRDefault="006A3F93">
      <w:pPr>
        <w:pStyle w:val="BodyTextIndent"/>
        <w:ind w:left="1635" w:hanging="555"/>
        <w:jc w:val="both"/>
        <w:rPr>
          <w:rFonts w:cs="Arial"/>
          <w:sz w:val="20"/>
        </w:rPr>
      </w:pPr>
      <w:r w:rsidRPr="00412620">
        <w:rPr>
          <w:rFonts w:cs="Arial"/>
          <w:sz w:val="20"/>
        </w:rPr>
        <w:t>(b)</w:t>
      </w:r>
      <w:r w:rsidRPr="00412620">
        <w:rPr>
          <w:rFonts w:cs="Arial"/>
          <w:sz w:val="20"/>
        </w:rPr>
        <w:tab/>
        <w:t xml:space="preserve">no deduction shall be allowable under this Ordinance for any expenditure incurred in deriving the amount; </w:t>
      </w:r>
    </w:p>
    <w:p w:rsidR="006A3F93" w:rsidRPr="00412620" w:rsidRDefault="006A3F93">
      <w:pPr>
        <w:pStyle w:val="BodyTextIndent"/>
        <w:jc w:val="both"/>
        <w:rPr>
          <w:rFonts w:cs="Arial"/>
          <w:sz w:val="20"/>
        </w:rPr>
      </w:pPr>
    </w:p>
    <w:p w:rsidR="006A3F93" w:rsidRPr="00412620" w:rsidRDefault="006A3F93">
      <w:pPr>
        <w:pStyle w:val="BodyTextIndent"/>
        <w:ind w:left="1080" w:firstLine="0"/>
        <w:jc w:val="both"/>
        <w:rPr>
          <w:rFonts w:cs="Arial"/>
          <w:sz w:val="20"/>
        </w:rPr>
      </w:pPr>
      <w:r w:rsidRPr="00412620">
        <w:rPr>
          <w:rFonts w:cs="Arial"/>
          <w:sz w:val="20"/>
        </w:rPr>
        <w:t>(c)</w:t>
      </w:r>
      <w:r w:rsidRPr="00412620">
        <w:rPr>
          <w:rFonts w:cs="Arial"/>
          <w:sz w:val="20"/>
        </w:rPr>
        <w:tab/>
        <w:t xml:space="preserve">the amount shall not be reduced by </w:t>
      </w:r>
      <w:r w:rsidR="009C507F"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1634" w:firstLine="0"/>
        <w:jc w:val="both"/>
        <w:rPr>
          <w:rFonts w:cs="Arial"/>
          <w:sz w:val="20"/>
        </w:rPr>
      </w:pPr>
      <w:r w:rsidRPr="00412620">
        <w:rPr>
          <w:rFonts w:cs="Arial"/>
          <w:sz w:val="20"/>
        </w:rPr>
        <w:t>(i)</w:t>
      </w:r>
      <w:r w:rsidRPr="00412620">
        <w:rPr>
          <w:rFonts w:cs="Arial"/>
          <w:sz w:val="20"/>
        </w:rPr>
        <w:tab/>
        <w:t>any deductible allowance; or</w:t>
      </w:r>
    </w:p>
    <w:p w:rsidR="006A3F93" w:rsidRPr="00412620" w:rsidRDefault="006A3F93">
      <w:pPr>
        <w:pStyle w:val="BodyTextIndent"/>
        <w:jc w:val="both"/>
        <w:rPr>
          <w:rFonts w:cs="Arial"/>
          <w:sz w:val="20"/>
        </w:rPr>
      </w:pPr>
    </w:p>
    <w:p w:rsidR="006A3F93" w:rsidRPr="00412620" w:rsidRDefault="006A3F93">
      <w:pPr>
        <w:pStyle w:val="BodyTextIndent"/>
        <w:ind w:left="1634" w:firstLine="0"/>
        <w:jc w:val="both"/>
        <w:rPr>
          <w:rFonts w:cs="Arial"/>
          <w:sz w:val="20"/>
        </w:rPr>
      </w:pPr>
      <w:r w:rsidRPr="00412620">
        <w:rPr>
          <w:rFonts w:cs="Arial"/>
          <w:sz w:val="20"/>
        </w:rPr>
        <w:t>(ii)</w:t>
      </w:r>
      <w:r w:rsidRPr="00412620">
        <w:rPr>
          <w:rFonts w:cs="Arial"/>
          <w:sz w:val="20"/>
        </w:rPr>
        <w:tab/>
        <w:t>the set off of any loss;</w:t>
      </w:r>
    </w:p>
    <w:p w:rsidR="006A3F93" w:rsidRPr="00412620" w:rsidRDefault="006A3F93">
      <w:pPr>
        <w:pStyle w:val="BodyTextIndent"/>
        <w:jc w:val="both"/>
        <w:rPr>
          <w:rFonts w:cs="Arial"/>
          <w:sz w:val="20"/>
        </w:rPr>
      </w:pPr>
    </w:p>
    <w:p w:rsidR="006A3F93" w:rsidRPr="00412620" w:rsidRDefault="006A3F93">
      <w:pPr>
        <w:pStyle w:val="BodyTextIndent"/>
        <w:ind w:left="1634" w:hanging="554"/>
        <w:jc w:val="both"/>
        <w:rPr>
          <w:rFonts w:cs="Arial"/>
          <w:sz w:val="20"/>
        </w:rPr>
      </w:pPr>
      <w:r w:rsidRPr="00412620">
        <w:rPr>
          <w:rFonts w:cs="Arial"/>
          <w:sz w:val="20"/>
        </w:rPr>
        <w:t>(d)</w:t>
      </w:r>
      <w:r w:rsidRPr="00412620">
        <w:rPr>
          <w:rFonts w:cs="Arial"/>
          <w:sz w:val="20"/>
        </w:rPr>
        <w:tab/>
        <w:t>the tax payable by a person under</w:t>
      </w:r>
      <w:r w:rsidR="005B7050">
        <w:rPr>
          <w:rFonts w:cs="Arial"/>
          <w:sz w:val="20"/>
        </w:rPr>
        <w:t xml:space="preserve"> </w:t>
      </w:r>
      <w:r w:rsidR="00443B1B" w:rsidRPr="00245086">
        <w:rPr>
          <w:rStyle w:val="FootnoteReference"/>
          <w:rFonts w:cs="Arial"/>
          <w:color w:val="000000" w:themeColor="text1"/>
          <w:sz w:val="20"/>
        </w:rPr>
        <w:footnoteReference w:id="151"/>
      </w:r>
      <w:r w:rsidR="00443B1B" w:rsidRPr="00245086">
        <w:rPr>
          <w:rFonts w:cs="Arial"/>
          <w:color w:val="000000" w:themeColor="text1"/>
          <w:sz w:val="20"/>
        </w:rPr>
        <w:t>[</w:t>
      </w:r>
      <w:r w:rsidR="00D15C64" w:rsidRPr="00245086">
        <w:rPr>
          <w:rFonts w:cs="Arial"/>
          <w:color w:val="000000" w:themeColor="text1"/>
          <w:sz w:val="20"/>
        </w:rPr>
        <w:t>section</w:t>
      </w:r>
      <w:r w:rsidR="00443B1B" w:rsidRPr="00245086">
        <w:rPr>
          <w:rFonts w:cs="Arial"/>
          <w:color w:val="000000" w:themeColor="text1"/>
          <w:sz w:val="20"/>
        </w:rPr>
        <w:t>]</w:t>
      </w:r>
      <w:r w:rsidR="005B7050">
        <w:rPr>
          <w:rFonts w:cs="Arial"/>
          <w:color w:val="00B0F0"/>
          <w:sz w:val="20"/>
        </w:rPr>
        <w:t xml:space="preserve"> </w:t>
      </w:r>
      <w:r w:rsidRPr="00412620">
        <w:rPr>
          <w:rFonts w:cs="Arial"/>
          <w:sz w:val="20"/>
        </w:rPr>
        <w:t xml:space="preserve">5, </w:t>
      </w:r>
      <w:r w:rsidR="003B3A8B" w:rsidRPr="00F90D95">
        <w:rPr>
          <w:rStyle w:val="FootnoteReference"/>
          <w:rFonts w:cs="Arial"/>
          <w:color w:val="000000" w:themeColor="text1"/>
          <w:sz w:val="20"/>
        </w:rPr>
        <w:footnoteReference w:id="152"/>
      </w:r>
      <w:r w:rsidR="003B3A8B" w:rsidRPr="00F90D95">
        <w:rPr>
          <w:rFonts w:cs="Arial"/>
          <w:color w:val="000000" w:themeColor="text1"/>
          <w:sz w:val="20"/>
        </w:rPr>
        <w:t>[5A,</w:t>
      </w:r>
      <w:r w:rsidR="006B07E8">
        <w:rPr>
          <w:rFonts w:cs="Arial"/>
          <w:color w:val="000000" w:themeColor="text1"/>
          <w:sz w:val="20"/>
        </w:rPr>
        <w:t xml:space="preserve"> </w:t>
      </w:r>
      <w:r w:rsidR="006B07E8" w:rsidRPr="00D41075">
        <w:rPr>
          <w:rStyle w:val="FootnoteReference"/>
          <w:rFonts w:cs="Arial"/>
          <w:color w:val="FF0000"/>
          <w:sz w:val="20"/>
        </w:rPr>
        <w:footnoteReference w:id="153"/>
      </w:r>
      <w:r w:rsidR="006B07E8" w:rsidRPr="007A7191">
        <w:rPr>
          <w:snapToGrid w:val="0"/>
          <w:color w:val="FF0000"/>
          <w:sz w:val="20"/>
        </w:rPr>
        <w:t>[“5AA,”]</w:t>
      </w:r>
      <w:r w:rsidR="006B07E8" w:rsidRPr="00F90D95">
        <w:rPr>
          <w:snapToGrid w:val="0"/>
          <w:color w:val="000000" w:themeColor="text1"/>
          <w:sz w:val="20"/>
        </w:rPr>
        <w:t xml:space="preserve"> </w:t>
      </w:r>
      <w:r w:rsidR="003B3A8B" w:rsidRPr="00F90D95">
        <w:rPr>
          <w:rFonts w:cs="Arial"/>
          <w:color w:val="000000" w:themeColor="text1"/>
          <w:sz w:val="20"/>
        </w:rPr>
        <w:t xml:space="preserve"> 6</w:t>
      </w:r>
      <w:r w:rsidR="001035B7" w:rsidRPr="00F90D95">
        <w:rPr>
          <w:rFonts w:cs="Arial"/>
          <w:color w:val="000000" w:themeColor="text1"/>
          <w:sz w:val="20"/>
        </w:rPr>
        <w:t>,</w:t>
      </w:r>
      <w:r w:rsidR="003B3A8B" w:rsidRPr="00F90D95">
        <w:rPr>
          <w:rFonts w:cs="Arial"/>
          <w:color w:val="000000" w:themeColor="text1"/>
          <w:sz w:val="20"/>
        </w:rPr>
        <w:t xml:space="preserve"> 7, 7A</w:t>
      </w:r>
      <w:r w:rsidR="00E97C56">
        <w:rPr>
          <w:rFonts w:cs="Arial"/>
          <w:color w:val="984806" w:themeColor="accent6" w:themeShade="80"/>
          <w:sz w:val="20"/>
        </w:rPr>
        <w:t xml:space="preserve"> </w:t>
      </w:r>
      <w:r w:rsidR="00F866A0" w:rsidRPr="00D612BA">
        <w:rPr>
          <w:rStyle w:val="FootnoteReference"/>
          <w:rFonts w:cs="Arial"/>
          <w:color w:val="0070C0"/>
          <w:sz w:val="20"/>
        </w:rPr>
        <w:footnoteReference w:id="154"/>
      </w:r>
      <w:r w:rsidR="00E97C56" w:rsidRPr="00D612BA">
        <w:rPr>
          <w:rFonts w:cs="Arial"/>
          <w:color w:val="0070C0"/>
          <w:sz w:val="20"/>
        </w:rPr>
        <w:t>[</w:t>
      </w:r>
      <w:r w:rsidR="003B3A8B" w:rsidRPr="00D612BA">
        <w:rPr>
          <w:rFonts w:cs="Arial"/>
          <w:color w:val="0070C0"/>
          <w:sz w:val="20"/>
        </w:rPr>
        <w:t>,</w:t>
      </w:r>
      <w:r w:rsidR="00E97C56" w:rsidRPr="00D612BA">
        <w:rPr>
          <w:rFonts w:cs="Arial"/>
          <w:color w:val="0070C0"/>
          <w:sz w:val="20"/>
        </w:rPr>
        <w:t>]</w:t>
      </w:r>
      <w:r w:rsidR="003B3A8B" w:rsidRPr="003B3A8B">
        <w:rPr>
          <w:rFonts w:cs="Arial"/>
          <w:color w:val="984806" w:themeColor="accent6" w:themeShade="80"/>
          <w:sz w:val="20"/>
        </w:rPr>
        <w:t xml:space="preserve"> </w:t>
      </w:r>
      <w:r w:rsidR="003B3A8B" w:rsidRPr="00F90D95">
        <w:rPr>
          <w:rFonts w:cs="Arial"/>
          <w:color w:val="000000" w:themeColor="text1"/>
          <w:sz w:val="20"/>
        </w:rPr>
        <w:t>7B</w:t>
      </w:r>
      <w:r w:rsidR="001035B7">
        <w:rPr>
          <w:rFonts w:cs="Arial"/>
          <w:color w:val="984806" w:themeColor="accent6" w:themeShade="80"/>
          <w:sz w:val="20"/>
        </w:rPr>
        <w:t xml:space="preserve"> </w:t>
      </w:r>
      <w:r w:rsidR="00F866A0" w:rsidRPr="00D612BA">
        <w:rPr>
          <w:rStyle w:val="FootnoteReference"/>
          <w:rFonts w:cs="Arial"/>
          <w:color w:val="0070C0"/>
          <w:sz w:val="20"/>
        </w:rPr>
        <w:footnoteReference w:id="155"/>
      </w:r>
      <w:r w:rsidR="001035B7" w:rsidRPr="00D612BA">
        <w:rPr>
          <w:rFonts w:cs="Arial"/>
          <w:color w:val="0070C0"/>
          <w:sz w:val="20"/>
        </w:rPr>
        <w:t>[, 7C and</w:t>
      </w:r>
      <w:r w:rsidR="00F866A0" w:rsidRPr="00D612BA">
        <w:rPr>
          <w:rFonts w:cs="Arial"/>
          <w:color w:val="0070C0"/>
          <w:sz w:val="20"/>
        </w:rPr>
        <w:t xml:space="preserve"> 7D</w:t>
      </w:r>
      <w:r w:rsidR="001035B7" w:rsidRPr="00D612BA">
        <w:rPr>
          <w:rFonts w:cs="Arial"/>
          <w:color w:val="0070C0"/>
          <w:sz w:val="20"/>
        </w:rPr>
        <w:t>]</w:t>
      </w:r>
      <w:r w:rsidR="001035B7">
        <w:rPr>
          <w:rFonts w:cs="Arial"/>
          <w:color w:val="984806" w:themeColor="accent6" w:themeShade="80"/>
          <w:sz w:val="20"/>
        </w:rPr>
        <w:t xml:space="preserve"> </w:t>
      </w:r>
      <w:r w:rsidR="003B3A8B" w:rsidRPr="003B3A8B">
        <w:rPr>
          <w:rFonts w:cs="Arial"/>
          <w:color w:val="984806" w:themeColor="accent6" w:themeShade="80"/>
          <w:sz w:val="20"/>
        </w:rPr>
        <w:t>]</w:t>
      </w:r>
      <w:r w:rsidR="005B7050">
        <w:rPr>
          <w:rFonts w:cs="Arial"/>
          <w:color w:val="984806" w:themeColor="accent6" w:themeShade="80"/>
          <w:sz w:val="20"/>
        </w:rPr>
        <w:t xml:space="preserve"> </w:t>
      </w:r>
      <w:r w:rsidRPr="00412620">
        <w:rPr>
          <w:rFonts w:cs="Arial"/>
          <w:sz w:val="20"/>
        </w:rPr>
        <w:t>shall not be reduced by any tax credits allowed under this Ordinance; and</w:t>
      </w:r>
    </w:p>
    <w:p w:rsidR="006A3F93" w:rsidRPr="00412620" w:rsidRDefault="006A3F93">
      <w:pPr>
        <w:pStyle w:val="BodyTextIndent"/>
        <w:jc w:val="both"/>
        <w:rPr>
          <w:rFonts w:cs="Arial"/>
          <w:sz w:val="20"/>
        </w:rPr>
      </w:pPr>
    </w:p>
    <w:p w:rsidR="006A3F93" w:rsidRPr="00412620" w:rsidRDefault="006A3F93">
      <w:pPr>
        <w:pStyle w:val="BodyTextIndent"/>
        <w:ind w:left="1634" w:hanging="554"/>
        <w:jc w:val="both"/>
        <w:rPr>
          <w:rFonts w:cs="Arial"/>
          <w:sz w:val="20"/>
        </w:rPr>
      </w:pPr>
      <w:r w:rsidRPr="00412620">
        <w:rPr>
          <w:rFonts w:cs="Arial"/>
          <w:sz w:val="20"/>
        </w:rPr>
        <w:t>(e)</w:t>
      </w:r>
      <w:r w:rsidRPr="00412620">
        <w:rPr>
          <w:rFonts w:cs="Arial"/>
          <w:sz w:val="20"/>
        </w:rPr>
        <w:tab/>
        <w:t>the liability of a person under</w:t>
      </w:r>
      <w:r w:rsidR="005B7050">
        <w:rPr>
          <w:rFonts w:cs="Arial"/>
          <w:sz w:val="20"/>
        </w:rPr>
        <w:t xml:space="preserve"> </w:t>
      </w:r>
      <w:r w:rsidR="00443B1B" w:rsidRPr="00245086">
        <w:rPr>
          <w:rStyle w:val="FootnoteReference"/>
          <w:rFonts w:cs="Arial"/>
          <w:color w:val="000000" w:themeColor="text1"/>
          <w:sz w:val="20"/>
        </w:rPr>
        <w:footnoteReference w:id="156"/>
      </w:r>
      <w:r w:rsidR="00B12753" w:rsidRPr="00245086">
        <w:rPr>
          <w:rFonts w:cs="Arial"/>
          <w:color w:val="000000" w:themeColor="text1"/>
          <w:sz w:val="20"/>
        </w:rPr>
        <w:t>[</w:t>
      </w:r>
      <w:r w:rsidR="00D15C64" w:rsidRPr="00245086">
        <w:rPr>
          <w:rFonts w:cs="Arial"/>
          <w:color w:val="000000" w:themeColor="text1"/>
          <w:sz w:val="20"/>
        </w:rPr>
        <w:t>section</w:t>
      </w:r>
      <w:r w:rsidR="00B12753" w:rsidRPr="00245086">
        <w:rPr>
          <w:rFonts w:cs="Arial"/>
          <w:color w:val="000000" w:themeColor="text1"/>
          <w:sz w:val="20"/>
        </w:rPr>
        <w:t>]</w:t>
      </w:r>
      <w:r w:rsidRPr="00412620">
        <w:rPr>
          <w:rFonts w:cs="Arial"/>
          <w:sz w:val="20"/>
        </w:rPr>
        <w:t xml:space="preserve"> 5, 6 or 7 shall be discharged to the extent that </w:t>
      </w:r>
      <w:r w:rsidR="009C507F"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2188" w:hanging="554"/>
        <w:jc w:val="both"/>
        <w:rPr>
          <w:rFonts w:cs="Arial"/>
          <w:sz w:val="20"/>
        </w:rPr>
      </w:pPr>
      <w:r w:rsidRPr="00412620">
        <w:rPr>
          <w:rFonts w:cs="Arial"/>
          <w:sz w:val="20"/>
        </w:rPr>
        <w:t>(i)</w:t>
      </w:r>
      <w:r w:rsidRPr="00412620">
        <w:rPr>
          <w:rFonts w:cs="Arial"/>
          <w:sz w:val="20"/>
        </w:rPr>
        <w:tab/>
        <w:t>in the case of shipping and air transport income, the tax has been paid in accordance with section 143 or 144, as the case may be; or</w:t>
      </w:r>
    </w:p>
    <w:p w:rsidR="006A3F93" w:rsidRPr="00412620" w:rsidRDefault="006A3F93">
      <w:pPr>
        <w:pStyle w:val="BodyTextIndent"/>
        <w:jc w:val="both"/>
        <w:rPr>
          <w:rFonts w:cs="Arial"/>
          <w:sz w:val="20"/>
        </w:rPr>
      </w:pPr>
    </w:p>
    <w:p w:rsidR="006A3F93" w:rsidRPr="00412620" w:rsidRDefault="006A3F93">
      <w:pPr>
        <w:pStyle w:val="BodyTextIndent"/>
        <w:ind w:left="2188" w:hanging="554"/>
        <w:jc w:val="both"/>
        <w:rPr>
          <w:rFonts w:cs="Arial"/>
          <w:sz w:val="20"/>
        </w:rPr>
      </w:pPr>
      <w:r w:rsidRPr="00412620">
        <w:rPr>
          <w:rFonts w:cs="Arial"/>
          <w:sz w:val="20"/>
        </w:rPr>
        <w:t>(ii)</w:t>
      </w:r>
      <w:r w:rsidRPr="00412620">
        <w:rPr>
          <w:rFonts w:cs="Arial"/>
          <w:sz w:val="20"/>
        </w:rPr>
        <w:tab/>
        <w:t>in any other case, the tax payable has been deducted at source under Divi</w:t>
      </w:r>
      <w:r w:rsidR="006C4099" w:rsidRPr="00412620">
        <w:rPr>
          <w:rFonts w:cs="Arial"/>
          <w:sz w:val="20"/>
        </w:rPr>
        <w:t xml:space="preserve">sion III of Part V of Chapter X </w:t>
      </w:r>
      <w:r w:rsidR="006C4099" w:rsidRPr="00412620">
        <w:rPr>
          <w:rStyle w:val="FootnoteReference"/>
          <w:rFonts w:cs="Arial"/>
          <w:sz w:val="20"/>
        </w:rPr>
        <w:footnoteReference w:id="157"/>
      </w:r>
      <w:r w:rsidR="006C4099" w:rsidRPr="00412620">
        <w:rPr>
          <w:rFonts w:cs="Arial"/>
          <w:sz w:val="20"/>
        </w:rPr>
        <w:t>[</w:t>
      </w:r>
      <w:r w:rsidR="00E51098" w:rsidRPr="00412620">
        <w:rPr>
          <w:rFonts w:cs="Arial"/>
          <w:sz w:val="20"/>
        </w:rPr>
        <w:t>.</w:t>
      </w:r>
      <w:r w:rsidR="006C4099" w:rsidRPr="00412620">
        <w:rPr>
          <w:rFonts w:cs="Arial"/>
          <w:sz w:val="20"/>
        </w:rPr>
        <w:t>]</w:t>
      </w:r>
    </w:p>
    <w:p w:rsidR="006A3F93" w:rsidRPr="00412620" w:rsidRDefault="006A3F93">
      <w:pPr>
        <w:rPr>
          <w:rFonts w:cs="Arial"/>
          <w:b/>
          <w:sz w:val="20"/>
        </w:rPr>
      </w:pPr>
    </w:p>
    <w:p w:rsidR="006C4099" w:rsidRPr="00412620" w:rsidRDefault="00CC10A3" w:rsidP="00CC10A3">
      <w:pPr>
        <w:jc w:val="both"/>
        <w:rPr>
          <w:rFonts w:cs="Arial"/>
          <w:sz w:val="20"/>
        </w:rPr>
      </w:pPr>
      <w:r w:rsidRPr="00412620">
        <w:rPr>
          <w:rFonts w:cs="Arial"/>
          <w:sz w:val="20"/>
        </w:rPr>
        <w:tab/>
      </w:r>
      <w:r w:rsidRPr="00412620">
        <w:rPr>
          <w:rFonts w:cs="Arial"/>
          <w:sz w:val="20"/>
        </w:rPr>
        <w:tab/>
      </w:r>
      <w:r w:rsidRPr="00412620">
        <w:rPr>
          <w:rFonts w:cs="Arial"/>
          <w:sz w:val="20"/>
        </w:rPr>
        <w:tab/>
      </w:r>
      <w:r w:rsidRPr="00412620">
        <w:rPr>
          <w:rFonts w:cs="Arial"/>
          <w:sz w:val="20"/>
        </w:rPr>
        <w:tab/>
      </w:r>
      <w:r w:rsidR="006C4099" w:rsidRPr="00412620">
        <w:rPr>
          <w:rStyle w:val="FootnoteReference"/>
          <w:rFonts w:cs="Arial"/>
          <w:sz w:val="20"/>
        </w:rPr>
        <w:footnoteReference w:id="158"/>
      </w:r>
      <w:r w:rsidR="006C4099" w:rsidRPr="00412620">
        <w:rPr>
          <w:rFonts w:cs="Arial"/>
          <w:sz w:val="20"/>
        </w:rPr>
        <w:t>[</w:t>
      </w:r>
      <w:r w:rsidRPr="00412620">
        <w:rPr>
          <w:rFonts w:cs="Arial"/>
          <w:sz w:val="20"/>
        </w:rPr>
        <w:t xml:space="preserve">  ]</w:t>
      </w:r>
    </w:p>
    <w:p w:rsidR="006C4099" w:rsidRPr="00412620" w:rsidRDefault="006C4099">
      <w:pPr>
        <w:keepNext/>
        <w:jc w:val="center"/>
        <w:rPr>
          <w:rFonts w:cs="Arial"/>
          <w:b/>
          <w:sz w:val="20"/>
        </w:rPr>
      </w:pPr>
    </w:p>
    <w:p w:rsidR="006A3F93" w:rsidRPr="00412620" w:rsidRDefault="00FC533B">
      <w:pPr>
        <w:keepNext/>
        <w:jc w:val="center"/>
        <w:rPr>
          <w:rFonts w:cs="Arial"/>
          <w:b/>
          <w:sz w:val="32"/>
          <w:szCs w:val="32"/>
        </w:rPr>
      </w:pPr>
      <w:r w:rsidRPr="00412620">
        <w:rPr>
          <w:rFonts w:cs="Arial"/>
          <w:b/>
          <w:sz w:val="20"/>
        </w:rPr>
        <w:br w:type="page"/>
      </w:r>
      <w:r w:rsidR="006A3F93" w:rsidRPr="00412620">
        <w:rPr>
          <w:rFonts w:cs="Arial"/>
          <w:b/>
          <w:sz w:val="32"/>
          <w:szCs w:val="32"/>
        </w:rPr>
        <w:lastRenderedPageBreak/>
        <w:t>CHAPTER III</w:t>
      </w:r>
    </w:p>
    <w:p w:rsidR="006A3F93" w:rsidRPr="00412620" w:rsidRDefault="006A3F93">
      <w:pPr>
        <w:keepNext/>
        <w:jc w:val="center"/>
        <w:rPr>
          <w:rFonts w:cs="Arial"/>
          <w:b/>
          <w:sz w:val="20"/>
        </w:rPr>
      </w:pPr>
      <w:r w:rsidRPr="00412620">
        <w:rPr>
          <w:rFonts w:cs="Arial"/>
          <w:b/>
          <w:sz w:val="20"/>
        </w:rPr>
        <w:t>TAX ON TAXABLE INCOME</w:t>
      </w:r>
    </w:p>
    <w:p w:rsidR="006A3F93" w:rsidRPr="00412620" w:rsidRDefault="006A3F93">
      <w:pPr>
        <w:keepNext/>
        <w:rPr>
          <w:rFonts w:cs="Arial"/>
          <w:b/>
          <w:sz w:val="20"/>
        </w:rPr>
      </w:pPr>
    </w:p>
    <w:p w:rsidR="006A3F93" w:rsidRPr="00412620" w:rsidRDefault="006A3F93">
      <w:pPr>
        <w:pStyle w:val="Heading8"/>
        <w:rPr>
          <w:rFonts w:cs="Arial"/>
          <w:i w:val="0"/>
          <w:sz w:val="32"/>
          <w:szCs w:val="32"/>
        </w:rPr>
      </w:pPr>
      <w:r w:rsidRPr="00412620">
        <w:rPr>
          <w:rFonts w:cs="Arial"/>
          <w:i w:val="0"/>
          <w:sz w:val="32"/>
          <w:szCs w:val="32"/>
        </w:rPr>
        <w:t>PART I</w:t>
      </w:r>
    </w:p>
    <w:p w:rsidR="006A3F93" w:rsidRPr="00412620" w:rsidRDefault="006A3F93">
      <w:pPr>
        <w:keepNext/>
        <w:jc w:val="center"/>
        <w:rPr>
          <w:rFonts w:cs="Arial"/>
          <w:b/>
          <w:sz w:val="20"/>
        </w:rPr>
      </w:pPr>
      <w:r w:rsidRPr="00412620">
        <w:rPr>
          <w:rFonts w:cs="Arial"/>
          <w:b/>
          <w:sz w:val="20"/>
        </w:rPr>
        <w:t>COMPUTATION OF TAXABLE INCOME</w:t>
      </w:r>
    </w:p>
    <w:p w:rsidR="006A3F93" w:rsidRPr="00412620" w:rsidRDefault="006A3F93">
      <w:pPr>
        <w:pStyle w:val="Header"/>
        <w:keepNext/>
        <w:tabs>
          <w:tab w:val="left" w:pos="547"/>
        </w:tabs>
        <w:rPr>
          <w:rFonts w:cs="Arial"/>
          <w:sz w:val="20"/>
        </w:rPr>
      </w:pPr>
    </w:p>
    <w:p w:rsidR="006A3F93" w:rsidRPr="00412620" w:rsidRDefault="006A3F93">
      <w:pPr>
        <w:jc w:val="both"/>
        <w:rPr>
          <w:sz w:val="20"/>
        </w:rPr>
      </w:pPr>
      <w:r w:rsidRPr="00412620">
        <w:rPr>
          <w:rFonts w:cs="Arial"/>
          <w:b/>
          <w:caps/>
          <w:sz w:val="20"/>
        </w:rPr>
        <w:t>9.</w:t>
      </w:r>
      <w:r w:rsidRPr="00412620">
        <w:rPr>
          <w:rFonts w:cs="Arial"/>
          <w:b/>
          <w:caps/>
          <w:sz w:val="20"/>
        </w:rPr>
        <w:tab/>
      </w:r>
      <w:r w:rsidRPr="00412620">
        <w:rPr>
          <w:b/>
          <w:sz w:val="20"/>
        </w:rPr>
        <w:t>Taxable income.</w:t>
      </w:r>
      <w:r w:rsidR="008929FC" w:rsidRPr="00412620">
        <w:rPr>
          <w:b/>
          <w:sz w:val="20"/>
        </w:rPr>
        <w:t>—</w:t>
      </w:r>
      <w:r w:rsidRPr="00412620">
        <w:rPr>
          <w:sz w:val="20"/>
        </w:rPr>
        <w:t xml:space="preserve">The taxable income of a person for a tax year shall be the total income </w:t>
      </w:r>
      <w:r w:rsidR="002D1C19" w:rsidRPr="00412620">
        <w:rPr>
          <w:rStyle w:val="FootnoteReference"/>
          <w:sz w:val="20"/>
        </w:rPr>
        <w:footnoteReference w:id="159"/>
      </w:r>
      <w:r w:rsidR="002D1C19" w:rsidRPr="00412620">
        <w:rPr>
          <w:sz w:val="20"/>
        </w:rPr>
        <w:t xml:space="preserve">[under clause (a) of section 10] </w:t>
      </w:r>
      <w:r w:rsidRPr="00412620">
        <w:rPr>
          <w:sz w:val="20"/>
        </w:rPr>
        <w:t>of the person for the year reduced (but not below zero) by the total of any deductible allowances under Part IX of this Chapter of the person for the year.</w:t>
      </w:r>
    </w:p>
    <w:p w:rsidR="006A3F93" w:rsidRPr="00412620" w:rsidRDefault="006A3F93">
      <w:pPr>
        <w:jc w:val="both"/>
        <w:rPr>
          <w:rFonts w:cs="Arial"/>
          <w:b/>
          <w:caps/>
          <w:sz w:val="18"/>
        </w:rPr>
      </w:pPr>
    </w:p>
    <w:p w:rsidR="006A3F93" w:rsidRPr="00412620" w:rsidRDefault="006A3F93">
      <w:pPr>
        <w:jc w:val="both"/>
        <w:rPr>
          <w:sz w:val="20"/>
        </w:rPr>
      </w:pPr>
      <w:r w:rsidRPr="00412620">
        <w:rPr>
          <w:rFonts w:cs="Arial"/>
          <w:b/>
          <w:sz w:val="20"/>
        </w:rPr>
        <w:t>10.</w:t>
      </w:r>
      <w:r w:rsidRPr="00412620">
        <w:rPr>
          <w:rFonts w:cs="Arial"/>
          <w:b/>
          <w:sz w:val="20"/>
        </w:rPr>
        <w:tab/>
        <w:t>Total Income.</w:t>
      </w:r>
      <w:r w:rsidR="008929FC" w:rsidRPr="00412620">
        <w:rPr>
          <w:rFonts w:cs="Arial"/>
          <w:b/>
          <w:sz w:val="20"/>
        </w:rPr>
        <w:t>—</w:t>
      </w:r>
      <w:r w:rsidRPr="00412620">
        <w:rPr>
          <w:sz w:val="20"/>
        </w:rPr>
        <w:t xml:space="preserve"> The total income of a person for a tax year shall be the sum of the </w:t>
      </w:r>
      <w:r w:rsidR="00B4708E" w:rsidRPr="00412620">
        <w:rPr>
          <w:rStyle w:val="FootnoteReference"/>
          <w:sz w:val="20"/>
        </w:rPr>
        <w:footnoteReference w:id="160"/>
      </w:r>
      <w:r w:rsidR="0070395E" w:rsidRPr="00412620">
        <w:rPr>
          <w:sz w:val="20"/>
        </w:rPr>
        <w:t>[</w:t>
      </w:r>
      <w:r w:rsidR="00E91F2A" w:rsidRPr="00412620">
        <w:rPr>
          <w:rFonts w:cs="Arial"/>
          <w:sz w:val="20"/>
        </w:rPr>
        <w:t>—</w:t>
      </w:r>
      <w:r w:rsidR="0070395E" w:rsidRPr="00412620">
        <w:rPr>
          <w:sz w:val="20"/>
        </w:rPr>
        <w:t>]</w:t>
      </w:r>
    </w:p>
    <w:p w:rsidR="0070395E" w:rsidRPr="00412620" w:rsidRDefault="0070395E">
      <w:pPr>
        <w:jc w:val="both"/>
        <w:rPr>
          <w:sz w:val="20"/>
        </w:rPr>
      </w:pPr>
    </w:p>
    <w:p w:rsidR="0070395E" w:rsidRPr="00412620" w:rsidRDefault="0070395E">
      <w:pPr>
        <w:jc w:val="both"/>
        <w:rPr>
          <w:sz w:val="20"/>
        </w:rPr>
      </w:pPr>
      <w:r w:rsidRPr="00412620">
        <w:rPr>
          <w:sz w:val="20"/>
        </w:rPr>
        <w:tab/>
      </w:r>
      <w:r w:rsidRPr="00412620">
        <w:rPr>
          <w:sz w:val="20"/>
        </w:rPr>
        <w:tab/>
      </w:r>
      <w:r w:rsidR="00476893" w:rsidRPr="00412620">
        <w:rPr>
          <w:rStyle w:val="FootnoteReference"/>
          <w:sz w:val="20"/>
        </w:rPr>
        <w:footnoteReference w:id="161"/>
      </w:r>
      <w:r w:rsidRPr="00412620">
        <w:rPr>
          <w:sz w:val="20"/>
        </w:rPr>
        <w:t xml:space="preserve">[(a) </w:t>
      </w:r>
      <w:r w:rsidRPr="00412620">
        <w:rPr>
          <w:sz w:val="20"/>
        </w:rPr>
        <w:tab/>
        <w:t>person’s income under all heads of income for the year; and</w:t>
      </w:r>
      <w:r w:rsidR="00B4708E" w:rsidRPr="00412620">
        <w:rPr>
          <w:sz w:val="20"/>
        </w:rPr>
        <w:t>]</w:t>
      </w:r>
    </w:p>
    <w:p w:rsidR="0070395E" w:rsidRPr="00412620" w:rsidRDefault="0070395E">
      <w:pPr>
        <w:jc w:val="both"/>
        <w:rPr>
          <w:sz w:val="20"/>
        </w:rPr>
      </w:pPr>
    </w:p>
    <w:p w:rsidR="0070395E" w:rsidRPr="00412620" w:rsidRDefault="00476893" w:rsidP="0070395E">
      <w:pPr>
        <w:ind w:left="1641" w:hanging="546"/>
        <w:jc w:val="both"/>
        <w:rPr>
          <w:sz w:val="20"/>
        </w:rPr>
      </w:pPr>
      <w:r w:rsidRPr="00412620">
        <w:rPr>
          <w:rStyle w:val="FootnoteReference"/>
          <w:sz w:val="20"/>
        </w:rPr>
        <w:footnoteReference w:id="162"/>
      </w:r>
      <w:r w:rsidR="00B4708E" w:rsidRPr="00412620">
        <w:rPr>
          <w:sz w:val="20"/>
        </w:rPr>
        <w:t>[</w:t>
      </w:r>
      <w:r w:rsidR="0070395E" w:rsidRPr="00412620">
        <w:rPr>
          <w:sz w:val="20"/>
        </w:rPr>
        <w:t xml:space="preserve">(b) </w:t>
      </w:r>
      <w:r w:rsidR="0070395E" w:rsidRPr="00412620">
        <w:rPr>
          <w:sz w:val="20"/>
        </w:rPr>
        <w:tab/>
        <w:t>person’s income exempt from tax under any of the provisions of this Ordinance.]</w:t>
      </w:r>
    </w:p>
    <w:p w:rsidR="006A3F93" w:rsidRPr="00412620" w:rsidRDefault="006A3F93">
      <w:pPr>
        <w:pStyle w:val="Header"/>
        <w:tabs>
          <w:tab w:val="left" w:pos="547"/>
        </w:tabs>
        <w:jc w:val="both"/>
        <w:rPr>
          <w:rFonts w:cs="Arial"/>
          <w:sz w:val="18"/>
        </w:rPr>
      </w:pPr>
    </w:p>
    <w:p w:rsidR="006A3F93" w:rsidRPr="00412620" w:rsidRDefault="006A3F93">
      <w:pPr>
        <w:jc w:val="both"/>
        <w:rPr>
          <w:sz w:val="20"/>
        </w:rPr>
      </w:pPr>
      <w:r w:rsidRPr="00412620">
        <w:rPr>
          <w:rFonts w:cs="Arial"/>
          <w:b/>
          <w:sz w:val="20"/>
        </w:rPr>
        <w:t>11.</w:t>
      </w:r>
      <w:r w:rsidRPr="00412620">
        <w:rPr>
          <w:rFonts w:cs="Arial"/>
          <w:b/>
          <w:sz w:val="20"/>
        </w:rPr>
        <w:tab/>
        <w:t>Heads of income.</w:t>
      </w:r>
      <w:r w:rsidR="008929FC" w:rsidRPr="00412620">
        <w:rPr>
          <w:rFonts w:cs="Arial"/>
          <w:b/>
          <w:sz w:val="20"/>
        </w:rPr>
        <w:t>—</w:t>
      </w:r>
      <w:r w:rsidRPr="00412620">
        <w:rPr>
          <w:sz w:val="20"/>
        </w:rPr>
        <w:t xml:space="preserve"> (1)  For the purposes of the imposition of tax and the computation of total income, all income shall be classified under the following heads, namely:</w:t>
      </w:r>
      <w:r w:rsidR="00E91F2A" w:rsidRPr="00412620">
        <w:rPr>
          <w:rFonts w:cs="Arial"/>
          <w:sz w:val="20"/>
        </w:rPr>
        <w:t xml:space="preserve"> —</w:t>
      </w:r>
    </w:p>
    <w:p w:rsidR="006A3F93" w:rsidRPr="00412620" w:rsidRDefault="006A3F93">
      <w:pPr>
        <w:jc w:val="both"/>
        <w:rPr>
          <w:rFonts w:cs="Arial"/>
          <w:sz w:val="20"/>
        </w:rPr>
      </w:pPr>
    </w:p>
    <w:p w:rsidR="006A3F93" w:rsidRPr="00412620" w:rsidRDefault="006A3F93">
      <w:pPr>
        <w:ind w:left="1087" w:hanging="7"/>
        <w:jc w:val="both"/>
        <w:rPr>
          <w:rFonts w:cs="Arial"/>
          <w:sz w:val="20"/>
        </w:rPr>
      </w:pPr>
      <w:r w:rsidRPr="00412620">
        <w:rPr>
          <w:rFonts w:cs="Arial"/>
          <w:sz w:val="20"/>
        </w:rPr>
        <w:t>(a)</w:t>
      </w:r>
      <w:r w:rsidRPr="00412620">
        <w:rPr>
          <w:rFonts w:cs="Arial"/>
          <w:sz w:val="20"/>
        </w:rPr>
        <w:tab/>
        <w:t>Salary;</w:t>
      </w:r>
    </w:p>
    <w:p w:rsidR="006A3F93" w:rsidRPr="00BB058F" w:rsidRDefault="006A3F93">
      <w:pPr>
        <w:jc w:val="both"/>
        <w:rPr>
          <w:rFonts w:cs="Arial"/>
          <w:sz w:val="12"/>
        </w:rPr>
      </w:pPr>
    </w:p>
    <w:p w:rsidR="006A3F93" w:rsidRPr="00412620" w:rsidRDefault="006A3F93">
      <w:pPr>
        <w:ind w:left="1080" w:hanging="180"/>
        <w:rPr>
          <w:sz w:val="20"/>
        </w:rPr>
      </w:pPr>
      <w:r w:rsidRPr="00412620">
        <w:rPr>
          <w:rStyle w:val="FootnoteReference"/>
          <w:rFonts w:cs="Arial"/>
          <w:sz w:val="20"/>
        </w:rPr>
        <w:footnoteReference w:id="163"/>
      </w:r>
      <w:r w:rsidRPr="00412620">
        <w:rPr>
          <w:sz w:val="20"/>
        </w:rPr>
        <w:t>[(b)</w:t>
      </w:r>
      <w:r w:rsidRPr="00412620">
        <w:rPr>
          <w:sz w:val="20"/>
        </w:rPr>
        <w:tab/>
        <w:t>Income from Property;</w:t>
      </w:r>
      <w:r w:rsidR="00CD4A47" w:rsidRPr="00412620">
        <w:rPr>
          <w:sz w:val="20"/>
        </w:rPr>
        <w:t>]</w:t>
      </w:r>
    </w:p>
    <w:p w:rsidR="006A3F93" w:rsidRPr="00BB058F" w:rsidRDefault="006A3F93">
      <w:pPr>
        <w:rPr>
          <w:rFonts w:cs="Arial"/>
          <w:sz w:val="10"/>
        </w:rPr>
      </w:pPr>
    </w:p>
    <w:p w:rsidR="006A3F93" w:rsidRPr="00412620" w:rsidRDefault="00CD4A47" w:rsidP="00CD4A47">
      <w:pPr>
        <w:ind w:left="907" w:hanging="7"/>
        <w:jc w:val="both"/>
        <w:rPr>
          <w:rFonts w:cs="Arial"/>
          <w:sz w:val="20"/>
        </w:rPr>
      </w:pPr>
      <w:r w:rsidRPr="00412620">
        <w:rPr>
          <w:rStyle w:val="FootnoteReference"/>
          <w:rFonts w:cs="Arial"/>
          <w:sz w:val="20"/>
        </w:rPr>
        <w:footnoteReference w:id="164"/>
      </w:r>
      <w:r w:rsidRPr="00412620">
        <w:rPr>
          <w:rFonts w:cs="Arial"/>
          <w:sz w:val="20"/>
        </w:rPr>
        <w:t>[</w:t>
      </w:r>
      <w:r w:rsidR="006A3F93" w:rsidRPr="00412620">
        <w:rPr>
          <w:rFonts w:cs="Arial"/>
          <w:sz w:val="20"/>
        </w:rPr>
        <w:t xml:space="preserve">(c) </w:t>
      </w:r>
      <w:r w:rsidR="006A3F93" w:rsidRPr="00412620">
        <w:rPr>
          <w:rFonts w:cs="Arial"/>
          <w:sz w:val="20"/>
        </w:rPr>
        <w:tab/>
        <w:t>Income from Business;</w:t>
      </w:r>
      <w:r w:rsidRPr="00412620">
        <w:rPr>
          <w:rFonts w:cs="Arial"/>
          <w:sz w:val="20"/>
        </w:rPr>
        <w:t>]</w:t>
      </w:r>
    </w:p>
    <w:p w:rsidR="006A3F93" w:rsidRPr="00BB058F" w:rsidRDefault="006A3F93">
      <w:pPr>
        <w:jc w:val="both"/>
        <w:rPr>
          <w:rFonts w:cs="Arial"/>
          <w:sz w:val="10"/>
        </w:rPr>
      </w:pPr>
    </w:p>
    <w:p w:rsidR="006A3F93" w:rsidRPr="00412620" w:rsidRDefault="00CD4A47" w:rsidP="00BB058F">
      <w:pPr>
        <w:ind w:left="914" w:hanging="104"/>
        <w:jc w:val="both"/>
        <w:rPr>
          <w:rFonts w:cs="Arial"/>
          <w:sz w:val="20"/>
        </w:rPr>
      </w:pPr>
      <w:r w:rsidRPr="00412620">
        <w:rPr>
          <w:rStyle w:val="FootnoteReference"/>
          <w:rFonts w:cs="Arial"/>
          <w:sz w:val="20"/>
        </w:rPr>
        <w:footnoteReference w:id="165"/>
      </w:r>
      <w:r w:rsidRPr="00412620">
        <w:rPr>
          <w:rFonts w:cs="Arial"/>
          <w:sz w:val="20"/>
        </w:rPr>
        <w:t>[</w:t>
      </w:r>
      <w:r w:rsidR="006A3F93" w:rsidRPr="00412620">
        <w:rPr>
          <w:rFonts w:cs="Arial"/>
          <w:sz w:val="20"/>
        </w:rPr>
        <w:t xml:space="preserve">(d) </w:t>
      </w:r>
      <w:r w:rsidR="006A3F93" w:rsidRPr="00412620">
        <w:rPr>
          <w:rFonts w:cs="Arial"/>
          <w:sz w:val="20"/>
        </w:rPr>
        <w:tab/>
        <w:t>Capital Gains; and</w:t>
      </w:r>
      <w:r w:rsidRPr="00412620">
        <w:rPr>
          <w:rFonts w:cs="Arial"/>
          <w:sz w:val="20"/>
        </w:rPr>
        <w:t>]</w:t>
      </w:r>
    </w:p>
    <w:p w:rsidR="006A3F93" w:rsidRPr="00BB058F" w:rsidRDefault="006A3F93">
      <w:pPr>
        <w:jc w:val="both"/>
        <w:rPr>
          <w:rFonts w:cs="Arial"/>
          <w:sz w:val="8"/>
        </w:rPr>
      </w:pPr>
    </w:p>
    <w:p w:rsidR="006A3F93" w:rsidRPr="00412620" w:rsidRDefault="00CD4A47" w:rsidP="00BB058F">
      <w:pPr>
        <w:ind w:left="810"/>
        <w:jc w:val="both"/>
        <w:rPr>
          <w:rFonts w:cs="Arial"/>
          <w:sz w:val="20"/>
        </w:rPr>
      </w:pPr>
      <w:r w:rsidRPr="00412620">
        <w:rPr>
          <w:rStyle w:val="FootnoteReference"/>
          <w:rFonts w:cs="Arial"/>
          <w:sz w:val="20"/>
        </w:rPr>
        <w:footnoteReference w:id="166"/>
      </w:r>
      <w:r w:rsidRPr="00412620">
        <w:rPr>
          <w:rFonts w:cs="Arial"/>
          <w:sz w:val="20"/>
        </w:rPr>
        <w:t>[</w:t>
      </w:r>
      <w:r w:rsidR="006A3F93" w:rsidRPr="00412620">
        <w:rPr>
          <w:rFonts w:cs="Arial"/>
          <w:sz w:val="20"/>
        </w:rPr>
        <w:t xml:space="preserve">(e) </w:t>
      </w:r>
      <w:r w:rsidR="006A3F93" w:rsidRPr="00412620">
        <w:rPr>
          <w:rFonts w:cs="Arial"/>
          <w:sz w:val="20"/>
        </w:rPr>
        <w:tab/>
        <w:t>Income from Other Sources.]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lastRenderedPageBreak/>
        <w:tab/>
        <w:t>(2)</w:t>
      </w:r>
      <w:r w:rsidRPr="00412620">
        <w:rPr>
          <w:rFonts w:cs="Arial"/>
          <w:sz w:val="20"/>
        </w:rPr>
        <w:tab/>
        <w:t xml:space="preserve">Subject to this Ordinance, the income of a person under a head of income for a tax year shall be the total of the amounts derived by the person in that year that are chargeable to tax under the head as reduced by the total deductions, if any, allowed under this Ordinance to the person for the year under that head.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Subject to this Ordinance, where the total deductions allowed under this Ordinance to a person for a tax year under a head of income exceed the total of the amounts derived by the person in that year that are chargeable to tax under that head, the person shall be treated as sustaining a loss for that head for that year of an amount equal to the excess.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A loss for a head of income for a tax year shall be dealt with in accordance with Part VIII of this Chapter.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The income of a resident person under a head of income shall be computed by taking into account amounts that are Pakistan-source income and amounts that are foreign-source income.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The income of a non-resident person under a head of income shall be computed by taking into account only amounts that are Pakistan-source income.</w:t>
      </w:r>
    </w:p>
    <w:p w:rsidR="006A3F93" w:rsidRPr="00412620" w:rsidRDefault="006A3F93">
      <w:pPr>
        <w:pStyle w:val="Heading8"/>
        <w:rPr>
          <w:rFonts w:cs="Arial"/>
          <w:i w:val="0"/>
          <w:sz w:val="20"/>
        </w:rPr>
      </w:pPr>
    </w:p>
    <w:p w:rsidR="006A3F93" w:rsidRPr="00412620" w:rsidRDefault="00FC533B">
      <w:pPr>
        <w:pStyle w:val="Heading8"/>
        <w:rPr>
          <w:rFonts w:cs="Arial"/>
          <w:i w:val="0"/>
          <w:sz w:val="32"/>
          <w:szCs w:val="32"/>
        </w:rPr>
      </w:pPr>
      <w:r w:rsidRPr="00412620">
        <w:rPr>
          <w:rFonts w:cs="Arial"/>
          <w:i w:val="0"/>
          <w:sz w:val="20"/>
        </w:rPr>
        <w:br w:type="page"/>
      </w:r>
      <w:r w:rsidR="006A3F93" w:rsidRPr="00412620">
        <w:rPr>
          <w:rFonts w:cs="Arial"/>
          <w:i w:val="0"/>
          <w:sz w:val="32"/>
          <w:szCs w:val="32"/>
        </w:rPr>
        <w:lastRenderedPageBreak/>
        <w:t>PART II</w:t>
      </w:r>
    </w:p>
    <w:p w:rsidR="006A3F93" w:rsidRPr="00412620" w:rsidRDefault="006A3F93">
      <w:pPr>
        <w:keepNext/>
        <w:jc w:val="center"/>
        <w:rPr>
          <w:rFonts w:cs="Arial"/>
          <w:b/>
          <w:sz w:val="20"/>
        </w:rPr>
      </w:pPr>
      <w:r w:rsidRPr="00412620">
        <w:rPr>
          <w:rFonts w:cs="Arial"/>
          <w:b/>
          <w:sz w:val="20"/>
        </w:rPr>
        <w:t>HEAD OF INCOME: SALARY</w:t>
      </w:r>
    </w:p>
    <w:p w:rsidR="006A3F93" w:rsidRPr="00412620" w:rsidRDefault="006A3F93">
      <w:pPr>
        <w:pStyle w:val="Header"/>
        <w:keepNext/>
        <w:tabs>
          <w:tab w:val="left" w:pos="547"/>
        </w:tabs>
        <w:rPr>
          <w:rFonts w:cs="Arial"/>
          <w:sz w:val="20"/>
        </w:rPr>
      </w:pPr>
    </w:p>
    <w:p w:rsidR="006A3F93" w:rsidRPr="00412620" w:rsidRDefault="006A3F93">
      <w:pPr>
        <w:jc w:val="both"/>
        <w:rPr>
          <w:sz w:val="20"/>
        </w:rPr>
      </w:pPr>
      <w:r w:rsidRPr="00412620">
        <w:rPr>
          <w:rFonts w:cs="Arial"/>
          <w:b/>
          <w:sz w:val="20"/>
        </w:rPr>
        <w:t>12.</w:t>
      </w:r>
      <w:r w:rsidRPr="00412620">
        <w:rPr>
          <w:rFonts w:cs="Arial"/>
          <w:b/>
          <w:sz w:val="20"/>
        </w:rPr>
        <w:tab/>
        <w:t>Salary.</w:t>
      </w:r>
      <w:r w:rsidR="008929FC" w:rsidRPr="00412620">
        <w:rPr>
          <w:rFonts w:cs="Arial"/>
          <w:b/>
          <w:sz w:val="20"/>
        </w:rPr>
        <w:t>—</w:t>
      </w:r>
      <w:r w:rsidRPr="00412620">
        <w:rPr>
          <w:sz w:val="20"/>
        </w:rPr>
        <w:t xml:space="preserve"> (1)  Any salary received by an employee in a tax year, other than salary that is exempt from tax under this Ordinance, shall be chargeable to tax in that year under the head “Salary”.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Salary means any amount received by an employee from any employment, whether of a revenue or capital nature, including </w:t>
      </w:r>
      <w:r w:rsidR="008929FC" w:rsidRPr="00412620">
        <w:rPr>
          <w:rFonts w:cs="Arial"/>
          <w:sz w:val="20"/>
        </w:rPr>
        <w:t>—</w:t>
      </w:r>
    </w:p>
    <w:p w:rsidR="006A3F93" w:rsidRPr="00412620" w:rsidRDefault="006A3F93">
      <w:pPr>
        <w:jc w:val="both"/>
        <w:rPr>
          <w:rFonts w:cs="Arial"/>
          <w:sz w:val="10"/>
        </w:rPr>
      </w:pPr>
    </w:p>
    <w:p w:rsidR="006A3F93" w:rsidRPr="00F90D95" w:rsidRDefault="006A3F93">
      <w:pPr>
        <w:pStyle w:val="BodyTextIndent"/>
        <w:ind w:left="1620" w:hanging="540"/>
        <w:jc w:val="both"/>
        <w:rPr>
          <w:rFonts w:cs="Arial"/>
          <w:color w:val="000000" w:themeColor="text1"/>
          <w:sz w:val="20"/>
        </w:rPr>
      </w:pPr>
      <w:r w:rsidRPr="00412620">
        <w:rPr>
          <w:rFonts w:cs="Arial"/>
          <w:sz w:val="20"/>
        </w:rPr>
        <w:t>(a)</w:t>
      </w:r>
      <w:r w:rsidRPr="00412620">
        <w:rPr>
          <w:rFonts w:cs="Arial"/>
          <w:sz w:val="20"/>
        </w:rPr>
        <w:tab/>
        <w:t>any pay, wages or other remuneration provided to an employee, including leave pay, payment in lieu of leave, overtime payment, bonus, commission, fees, gratuity or work condition supplements (such as for unpleasant or dangerous working conditions</w:t>
      </w:r>
      <w:r w:rsidRPr="00F90D95">
        <w:rPr>
          <w:rFonts w:cs="Arial"/>
          <w:color w:val="000000" w:themeColor="text1"/>
          <w:sz w:val="20"/>
        </w:rPr>
        <w:t>)</w:t>
      </w:r>
      <w:r w:rsidR="00511710" w:rsidRPr="00F90D95">
        <w:rPr>
          <w:rStyle w:val="FootnoteReference"/>
          <w:rFonts w:cs="Arial"/>
          <w:color w:val="000000" w:themeColor="text1"/>
          <w:sz w:val="20"/>
        </w:rPr>
        <w:footnoteReference w:id="167"/>
      </w:r>
      <w:r w:rsidR="00511710" w:rsidRPr="00F90D95">
        <w:rPr>
          <w:rFonts w:cs="Arial"/>
          <w:color w:val="000000" w:themeColor="text1"/>
          <w:sz w:val="20"/>
        </w:rPr>
        <w:t>[</w:t>
      </w:r>
      <w:r w:rsidR="00A41E28" w:rsidRPr="00F90D95">
        <w:rPr>
          <w:rFonts w:cs="Arial"/>
          <w:color w:val="000000" w:themeColor="text1"/>
          <w:sz w:val="20"/>
        </w:rPr>
        <w:t>;</w:t>
      </w:r>
      <w:r w:rsidR="00511710" w:rsidRPr="00F90D95">
        <w:rPr>
          <w:rFonts w:cs="Arial"/>
          <w:color w:val="000000" w:themeColor="text1"/>
          <w:sz w:val="20"/>
        </w:rPr>
        <w:t>]</w:t>
      </w:r>
    </w:p>
    <w:p w:rsidR="006A3F93" w:rsidRPr="00F90D95" w:rsidRDefault="006A3F93">
      <w:pPr>
        <w:pStyle w:val="BodyTextIndent"/>
        <w:jc w:val="both"/>
        <w:rPr>
          <w:rFonts w:cs="Arial"/>
          <w:color w:val="000000" w:themeColor="text1"/>
          <w:sz w:val="10"/>
        </w:rPr>
      </w:pPr>
    </w:p>
    <w:p w:rsidR="00511710" w:rsidRPr="00F90D95" w:rsidRDefault="00E0091A" w:rsidP="00A41E28">
      <w:pPr>
        <w:pStyle w:val="BodyTextIndent"/>
        <w:ind w:left="1246" w:firstLine="374"/>
        <w:jc w:val="both"/>
        <w:rPr>
          <w:rFonts w:cs="Arial"/>
          <w:color w:val="000000" w:themeColor="text1"/>
          <w:sz w:val="20"/>
        </w:rPr>
      </w:pPr>
      <w:r w:rsidRPr="00F90D95">
        <w:rPr>
          <w:rStyle w:val="FootnoteReference"/>
          <w:rFonts w:cs="Arial"/>
          <w:color w:val="000000" w:themeColor="text1"/>
          <w:sz w:val="20"/>
        </w:rPr>
        <w:footnoteReference w:id="168"/>
      </w:r>
      <w:r w:rsidR="00511710" w:rsidRPr="00F90D95">
        <w:rPr>
          <w:rFonts w:cs="Arial"/>
          <w:color w:val="000000" w:themeColor="text1"/>
          <w:sz w:val="20"/>
        </w:rPr>
        <w:t>[</w:t>
      </w:r>
      <w:r w:rsidR="00A41E28" w:rsidRPr="00F90D95">
        <w:rPr>
          <w:rFonts w:cs="Arial"/>
          <w:color w:val="000000" w:themeColor="text1"/>
          <w:sz w:val="20"/>
        </w:rPr>
        <w:t xml:space="preserve">  ]</w:t>
      </w:r>
    </w:p>
    <w:p w:rsidR="00511710" w:rsidRPr="00F90D95" w:rsidRDefault="00511710">
      <w:pPr>
        <w:pStyle w:val="BodyTextIndent"/>
        <w:jc w:val="both"/>
        <w:rPr>
          <w:rFonts w:cs="Arial"/>
          <w:color w:val="000000" w:themeColor="text1"/>
          <w:sz w:val="1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any perquisite, whether convertible to money or not;</w:t>
      </w:r>
    </w:p>
    <w:p w:rsidR="006A3F93" w:rsidRPr="00412620" w:rsidRDefault="006A3F93">
      <w:pPr>
        <w:pStyle w:val="BodyTextIndent"/>
        <w:jc w:val="both"/>
        <w:rPr>
          <w:rFonts w:cs="Arial"/>
          <w:sz w:val="1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the amount of any allowance provided by an employer to an employee including a cost of living, subsistence, rent, utilities, education, entertainment or travel allowance, but shall not include any allowance solely expended in the performance of the employee’s duties of employment;</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 xml:space="preserve">the amount of any expenditure incurred by an employee that is paid or reimbursed by the employer, other than expenditure incurred on behalf of the employer in the performance of the employee’s duties of employment;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(e)</w:t>
      </w:r>
      <w:r w:rsidRPr="00412620">
        <w:rPr>
          <w:rFonts w:cs="Arial"/>
          <w:sz w:val="20"/>
        </w:rPr>
        <w:tab/>
        <w:t xml:space="preserve">the amount of any profits in lieu of, or in addition to, salary or wages, including any amount received </w:t>
      </w:r>
      <w:r w:rsidR="00B54205"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w:t>
      </w:r>
      <w:r w:rsidRPr="00412620">
        <w:rPr>
          <w:rFonts w:cs="Arial"/>
          <w:sz w:val="20"/>
        </w:rPr>
        <w:tab/>
        <w:t>as consideration for a person’s agreement to enter into an employment relationship;</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(ii)</w:t>
      </w:r>
      <w:r w:rsidRPr="00412620">
        <w:rPr>
          <w:rFonts w:cs="Arial"/>
          <w:sz w:val="20"/>
        </w:rPr>
        <w:tab/>
        <w:t>as consideration for an employee’s agreement to any conditions of employment or any changes to the employee’s conditions of employment;</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lastRenderedPageBreak/>
        <w:t>(iii)</w:t>
      </w:r>
      <w:r w:rsidRPr="00412620">
        <w:rPr>
          <w:rFonts w:cs="Arial"/>
          <w:sz w:val="20"/>
        </w:rPr>
        <w:tab/>
        <w:t xml:space="preserve">on termination of employment, whether paid voluntarily or under an agreement, including any compensation for redundancy or loss of employment and golden handshake payments; </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(iv)</w:t>
      </w:r>
      <w:r w:rsidRPr="00412620">
        <w:rPr>
          <w:rFonts w:cs="Arial"/>
          <w:sz w:val="20"/>
        </w:rPr>
        <w:tab/>
        <w:t>from a provident or other fund, to the extent to which the amount is not a repayment of contributions made by the employee to the fund in respect of which the employee was not entitled to a deduction; and</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(v)</w:t>
      </w:r>
      <w:r w:rsidRPr="00412620">
        <w:rPr>
          <w:rFonts w:cs="Arial"/>
          <w:sz w:val="20"/>
        </w:rPr>
        <w:tab/>
        <w:t>as consideration for an employee’s agreement to a restrictive covenant in respect of any past, present or prospective employment;</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(f)</w:t>
      </w:r>
      <w:r w:rsidRPr="00412620">
        <w:rPr>
          <w:rFonts w:cs="Arial"/>
          <w:sz w:val="20"/>
        </w:rPr>
        <w:tab/>
        <w:t>any pension or annuity, or any supplement to a pension or annuity;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(g)</w:t>
      </w:r>
      <w:r w:rsidRPr="00412620">
        <w:rPr>
          <w:rFonts w:cs="Arial"/>
          <w:sz w:val="20"/>
        </w:rPr>
        <w:tab/>
        <w:t>any amount chargeable to tax as “Salary” under section 14.</w:t>
      </w:r>
    </w:p>
    <w:p w:rsidR="006A3F93" w:rsidRPr="00412620" w:rsidRDefault="006A3F93">
      <w:pPr>
        <w:pStyle w:val="BodyTextIndent"/>
        <w:ind w:left="0" w:firstLine="0"/>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an employer agrees to pay the tax chargeable on an employee’s salary, the amount of the employee’s income chargeable under the head “Salary” shall be grossed up by the amount of tax payable by the employer.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No deduction shall be allowed for any expenditure incurred by an employee in deriving amounts chargeable to tax under the head “Salary”.</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For the purposes of this Ordinance, an amount or perquisite shall be treated as received by an employee from any employment regardless of whether the amount or perquisite is paid or provided </w:t>
      </w:r>
      <w:r w:rsidR="00B54205"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by the employee’s employer, an associate of the employer, or by a third party under an arrangement with the employer or an associate of the employer;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by a past employer or a prospective employer; or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to the employee or to an associate of the employee </w:t>
      </w:r>
      <w:r w:rsidRPr="00412620">
        <w:rPr>
          <w:rStyle w:val="FootnoteReference"/>
          <w:rFonts w:cs="Arial"/>
          <w:sz w:val="20"/>
        </w:rPr>
        <w:footnoteReference w:id="169"/>
      </w:r>
      <w:r w:rsidRPr="00412620">
        <w:rPr>
          <w:rFonts w:cs="Arial"/>
          <w:sz w:val="20"/>
        </w:rPr>
        <w:t>[or to a third party under an agreement with the employee or an associate of the employee.]</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An employee who has received an amount referred to in sub-clause (iii) of clause (e) of sub-section (2) in a tax year may, by notice in writing to the Commissioner, elect for the amount to be taxed at the rate computed in accordance with the following formula, namely:</w:t>
      </w:r>
      <w:r w:rsidR="004627D6" w:rsidRPr="00412620">
        <w:rPr>
          <w:rFonts w:cs="Arial"/>
          <w:sz w:val="20"/>
        </w:rPr>
        <w:t xml:space="preserve"> —</w:t>
      </w:r>
    </w:p>
    <w:p w:rsidR="006A3F93" w:rsidRPr="00412620" w:rsidRDefault="006A3F93">
      <w:pPr>
        <w:pStyle w:val="Header"/>
        <w:tabs>
          <w:tab w:val="left" w:pos="547"/>
        </w:tabs>
        <w:rPr>
          <w:rFonts w:cs="Arial"/>
          <w:sz w:val="20"/>
        </w:rPr>
      </w:pPr>
    </w:p>
    <w:p w:rsidR="006A3F93" w:rsidRPr="00412620" w:rsidRDefault="006A3F93">
      <w:pPr>
        <w:pStyle w:val="Heading2"/>
        <w:spacing w:line="240" w:lineRule="auto"/>
        <w:rPr>
          <w:rFonts w:cs="Arial"/>
          <w:sz w:val="20"/>
        </w:rPr>
      </w:pPr>
      <w:r w:rsidRPr="00412620">
        <w:rPr>
          <w:rFonts w:cs="Arial"/>
          <w:sz w:val="20"/>
        </w:rPr>
        <w:t>A/B%</w:t>
      </w:r>
    </w:p>
    <w:p w:rsidR="006A3F93" w:rsidRPr="00412620" w:rsidRDefault="006A3F93">
      <w:pPr>
        <w:jc w:val="both"/>
        <w:rPr>
          <w:rFonts w:cs="Arial"/>
          <w:sz w:val="20"/>
        </w:rPr>
      </w:pPr>
      <w:r w:rsidRPr="00412620">
        <w:rPr>
          <w:rFonts w:cs="Arial"/>
          <w:sz w:val="20"/>
        </w:rPr>
        <w:t xml:space="preserve">where </w:t>
      </w:r>
      <w:r w:rsidR="004627D6" w:rsidRPr="00412620">
        <w:rPr>
          <w:rFonts w:cs="Arial"/>
          <w:sz w:val="20"/>
        </w:rPr>
        <w:t>—</w:t>
      </w:r>
    </w:p>
    <w:p w:rsidR="006A3F93" w:rsidRPr="00412620" w:rsidRDefault="006A3F93">
      <w:pPr>
        <w:jc w:val="both"/>
        <w:rPr>
          <w:rFonts w:cs="Arial"/>
          <w:sz w:val="20"/>
        </w:rPr>
      </w:pPr>
    </w:p>
    <w:p w:rsidR="006A3F93" w:rsidRPr="00412620" w:rsidRDefault="006A3F93">
      <w:pPr>
        <w:ind w:left="720" w:hanging="720"/>
        <w:jc w:val="both"/>
        <w:rPr>
          <w:sz w:val="20"/>
        </w:rPr>
      </w:pPr>
      <w:r w:rsidRPr="00412620">
        <w:rPr>
          <w:rFonts w:cs="Arial"/>
          <w:b/>
          <w:sz w:val="20"/>
        </w:rPr>
        <w:t>A</w:t>
      </w:r>
      <w:r w:rsidRPr="00412620">
        <w:rPr>
          <w:sz w:val="20"/>
        </w:rPr>
        <w:tab/>
        <w:t xml:space="preserve">is the total tax paid or payable by the employee on the employee’s total taxable income for the three preceding tax years; and </w:t>
      </w:r>
    </w:p>
    <w:p w:rsidR="006A3F93" w:rsidRPr="00412620" w:rsidRDefault="006A3F93">
      <w:pPr>
        <w:ind w:left="720" w:hanging="720"/>
        <w:jc w:val="both"/>
        <w:rPr>
          <w:rFonts w:cs="Arial"/>
          <w:sz w:val="20"/>
        </w:rPr>
      </w:pPr>
    </w:p>
    <w:p w:rsidR="006A3F93" w:rsidRPr="00412620" w:rsidRDefault="006A3F93">
      <w:pPr>
        <w:ind w:left="720" w:hanging="720"/>
        <w:jc w:val="both"/>
        <w:rPr>
          <w:sz w:val="20"/>
        </w:rPr>
      </w:pPr>
      <w:r w:rsidRPr="00412620">
        <w:rPr>
          <w:rFonts w:cs="Arial"/>
          <w:b/>
          <w:sz w:val="20"/>
        </w:rPr>
        <w:t>B</w:t>
      </w:r>
      <w:r w:rsidRPr="00412620">
        <w:rPr>
          <w:sz w:val="20"/>
        </w:rPr>
        <w:tab/>
        <w:t xml:space="preserve">is the employee’s total taxable income for the three preceding tax years. </w:t>
      </w:r>
    </w:p>
    <w:p w:rsidR="006A3F93" w:rsidRPr="00412620" w:rsidRDefault="006A3F93">
      <w:pPr>
        <w:ind w:left="720" w:hanging="720"/>
        <w:jc w:val="both"/>
        <w:rPr>
          <w:rFonts w:cs="Arial"/>
          <w:b/>
          <w:sz w:val="20"/>
        </w:rPr>
      </w:pPr>
    </w:p>
    <w:p w:rsidR="006A3F93" w:rsidRPr="00412620" w:rsidRDefault="006A3F93">
      <w:pPr>
        <w:ind w:firstLine="547"/>
        <w:jc w:val="both"/>
        <w:rPr>
          <w:rFonts w:cs="Arial"/>
          <w:sz w:val="20"/>
        </w:rPr>
      </w:pPr>
      <w:r w:rsidRPr="00412620">
        <w:rPr>
          <w:rFonts w:cs="Arial"/>
          <w:sz w:val="20"/>
        </w:rPr>
        <w:t>(7)</w:t>
      </w:r>
      <w:r w:rsidRPr="00412620">
        <w:rPr>
          <w:rFonts w:cs="Arial"/>
          <w:sz w:val="20"/>
        </w:rPr>
        <w:tab/>
        <w:t xml:space="preserve">Where </w:t>
      </w:r>
      <w:r w:rsidR="00AF3A1C"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any amount chargeable under the head “Salary” is paid to an employee in arrears;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as a result the employee is chargeable at higher rates of tax than would have been applicable if the amount had been paid to the employee in the tax year in which the services were rendered,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the employee may, by notice in writing to the Commissioner, elect for the amount to be taxed at the rates of tax that would have been applicable if the salary had been paid to the employee in the tax year in which the services were rendered.</w:t>
      </w:r>
    </w:p>
    <w:p w:rsidR="006A3F93" w:rsidRPr="00412620" w:rsidRDefault="006A3F93">
      <w:pPr>
        <w:jc w:val="both"/>
        <w:rPr>
          <w:rFonts w:cs="Arial"/>
          <w:sz w:val="20"/>
        </w:rPr>
      </w:pPr>
    </w:p>
    <w:p w:rsidR="006A3F93" w:rsidRPr="00412620" w:rsidRDefault="006A3F93">
      <w:pPr>
        <w:jc w:val="both"/>
        <w:rPr>
          <w:rFonts w:cs="Arial"/>
          <w:b/>
          <w:sz w:val="20"/>
        </w:rPr>
      </w:pPr>
      <w:r w:rsidRPr="00412620">
        <w:rPr>
          <w:rFonts w:cs="Arial"/>
          <w:sz w:val="20"/>
        </w:rPr>
        <w:tab/>
        <w:t>(8)</w:t>
      </w:r>
      <w:r w:rsidRPr="00412620">
        <w:rPr>
          <w:rFonts w:cs="Arial"/>
          <w:sz w:val="20"/>
        </w:rPr>
        <w:tab/>
        <w:t xml:space="preserve">An election under sub-section (6) or (7) shall be made by the due date for furnishing the employee’s return of income or employer certificate, as the case may be, for the tax year in which the amount was received or by such later date as the Commissioner may allow. </w:t>
      </w:r>
    </w:p>
    <w:p w:rsidR="006A3F93" w:rsidRPr="00412620" w:rsidRDefault="006A3F93">
      <w:pPr>
        <w:pStyle w:val="BodyTextIndent"/>
        <w:jc w:val="both"/>
        <w:rPr>
          <w:rFonts w:cs="Arial"/>
          <w:sz w:val="20"/>
        </w:rPr>
      </w:pPr>
    </w:p>
    <w:p w:rsidR="006A3F93" w:rsidRPr="00412620" w:rsidRDefault="006A3F93">
      <w:pPr>
        <w:jc w:val="both"/>
        <w:rPr>
          <w:sz w:val="20"/>
        </w:rPr>
      </w:pPr>
      <w:r w:rsidRPr="00412620">
        <w:rPr>
          <w:rFonts w:cs="Arial"/>
          <w:b/>
          <w:sz w:val="20"/>
        </w:rPr>
        <w:t>13.</w:t>
      </w:r>
      <w:r w:rsidRPr="00412620">
        <w:rPr>
          <w:rFonts w:cs="Arial"/>
          <w:b/>
          <w:sz w:val="20"/>
        </w:rPr>
        <w:tab/>
        <w:t>Value of perquisites.</w:t>
      </w:r>
      <w:r w:rsidR="008929FC" w:rsidRPr="00412620">
        <w:rPr>
          <w:rFonts w:cs="Arial"/>
          <w:b/>
          <w:sz w:val="20"/>
        </w:rPr>
        <w:t>—</w:t>
      </w:r>
      <w:r w:rsidRPr="00412620">
        <w:rPr>
          <w:sz w:val="20"/>
        </w:rPr>
        <w:t xml:space="preserve"> (1)  For the purposes of computing the income of an employee for a tax year chargeable to tax under the head “Salary”, the value of any perquisite provided by an employer to the employee in that year that is included in the employee’s salary under section 12 shall be determined in accordance with this section.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This section shall not apply to any amount referred to in clause (c) or (d) of sub-section (2) of section 12. </w:t>
      </w:r>
    </w:p>
    <w:p w:rsidR="00AF3A1C" w:rsidRPr="00412620" w:rsidRDefault="00AF3A1C">
      <w:pPr>
        <w:rPr>
          <w:rFonts w:cs="Arial"/>
          <w:sz w:val="20"/>
        </w:rPr>
      </w:pPr>
    </w:p>
    <w:p w:rsidR="006A3F93" w:rsidRPr="00412620" w:rsidRDefault="00102085" w:rsidP="00BB058F">
      <w:pPr>
        <w:ind w:firstLine="450"/>
        <w:jc w:val="both"/>
        <w:rPr>
          <w:rFonts w:cs="Arial"/>
          <w:b/>
          <w:sz w:val="20"/>
        </w:rPr>
      </w:pPr>
      <w:r>
        <w:rPr>
          <w:rStyle w:val="FootnoteReference"/>
          <w:rFonts w:cs="Arial"/>
          <w:sz w:val="20"/>
        </w:rPr>
        <w:footnoteReference w:id="170"/>
      </w:r>
      <w:r w:rsidR="006A3F93" w:rsidRPr="00412620">
        <w:rPr>
          <w:rFonts w:cs="Arial"/>
          <w:sz w:val="20"/>
        </w:rPr>
        <w:t xml:space="preserve">(3) </w:t>
      </w:r>
      <w:r w:rsidR="006A3F93" w:rsidRPr="00412620">
        <w:rPr>
          <w:rFonts w:cs="Arial"/>
          <w:sz w:val="20"/>
        </w:rPr>
        <w:tab/>
        <w:t xml:space="preserve">Where, in a tax year, a motor vehicle is provided by an employer to an employee wholly or partly for the private use of the employee, the amount </w:t>
      </w:r>
      <w:r w:rsidR="006A3F93" w:rsidRPr="00412620">
        <w:rPr>
          <w:rFonts w:cs="Arial"/>
          <w:sz w:val="20"/>
        </w:rPr>
        <w:lastRenderedPageBreak/>
        <w:t>chargeable to tax to the employee under the head “Salary” for that year shall include an amount computed as may be prescribed.</w:t>
      </w:r>
      <w:r>
        <w:rPr>
          <w:rFonts w:cs="Arial"/>
          <w:sz w:val="20"/>
        </w:rPr>
        <w:t>]</w:t>
      </w:r>
    </w:p>
    <w:p w:rsidR="006A3F93" w:rsidRPr="00412620" w:rsidRDefault="006A3F93">
      <w:pPr>
        <w:jc w:val="both"/>
        <w:rPr>
          <w:rFonts w:cs="Arial"/>
          <w:sz w:val="20"/>
        </w:rPr>
      </w:pPr>
    </w:p>
    <w:p w:rsidR="006A3F93" w:rsidRPr="00412620" w:rsidRDefault="006A3F93">
      <w:pPr>
        <w:ind w:firstLine="360"/>
        <w:jc w:val="both"/>
        <w:rPr>
          <w:rFonts w:cs="Arial"/>
          <w:sz w:val="20"/>
        </w:rPr>
      </w:pPr>
      <w:r w:rsidRPr="00412620">
        <w:rPr>
          <w:rStyle w:val="FootnoteReference"/>
          <w:rFonts w:cs="Arial"/>
          <w:sz w:val="20"/>
        </w:rPr>
        <w:footnoteReference w:id="171"/>
      </w:r>
      <w:r w:rsidRPr="00412620">
        <w:rPr>
          <w:rFonts w:cs="Arial"/>
          <w:sz w:val="20"/>
        </w:rPr>
        <w:t>[   ]</w:t>
      </w:r>
    </w:p>
    <w:p w:rsidR="006A3F93" w:rsidRPr="00412620" w:rsidRDefault="006A3F93">
      <w:pPr>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Where, in a tax year, the services of a housekeeper, driver, garde</w:t>
      </w:r>
      <w:r w:rsidR="00D315CB">
        <w:rPr>
          <w:rFonts w:cs="Arial"/>
          <w:sz w:val="20"/>
        </w:rPr>
        <w:t>ner or other domestic assistant i</w:t>
      </w:r>
      <w:r w:rsidRPr="00412620">
        <w:rPr>
          <w:rFonts w:cs="Arial"/>
          <w:sz w:val="20"/>
        </w:rPr>
        <w:t xml:space="preserve">s provided by an employer to an employee, the amount chargeable to tax to the employee under the head “Salary” for that year shall include the total salary paid to the domestic assistant </w:t>
      </w:r>
      <w:r w:rsidRPr="00412620">
        <w:rPr>
          <w:rStyle w:val="FootnoteReference"/>
          <w:rFonts w:cs="Arial"/>
          <w:sz w:val="20"/>
        </w:rPr>
        <w:footnoteReference w:id="172"/>
      </w:r>
      <w:r w:rsidRPr="00412620">
        <w:rPr>
          <w:rFonts w:cs="Arial"/>
          <w:sz w:val="20"/>
        </w:rPr>
        <w:t xml:space="preserve">[such house keeper, driver, gardener or other domestic assistant] in that year for services rendered to the employee, as reduced by any payment made </w:t>
      </w:r>
      <w:r w:rsidRPr="00412620">
        <w:rPr>
          <w:rStyle w:val="FootnoteReference"/>
          <w:rFonts w:cs="Arial"/>
          <w:sz w:val="20"/>
        </w:rPr>
        <w:footnoteReference w:id="173"/>
      </w:r>
      <w:r w:rsidRPr="00412620">
        <w:rPr>
          <w:rFonts w:cs="Arial"/>
          <w:sz w:val="20"/>
        </w:rPr>
        <w:t>[to the employer]for such services.</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(6)</w:t>
      </w:r>
      <w:r w:rsidRPr="00412620">
        <w:rPr>
          <w:rFonts w:cs="Arial"/>
          <w:sz w:val="20"/>
        </w:rPr>
        <w:tab/>
        <w:t>Where, in a tax year, utilities are provided by an employer to an employee, the amount chargeable to tax to the employee under the head “Salary” for that year shall include the fair market value of the utilities provided, as reduced by any payment made by the employee for the utilities.</w:t>
      </w:r>
    </w:p>
    <w:p w:rsidR="006A3F93" w:rsidRPr="00412620" w:rsidRDefault="006A3F93">
      <w:pPr>
        <w:jc w:val="both"/>
        <w:rPr>
          <w:rFonts w:cs="Arial"/>
          <w:sz w:val="20"/>
        </w:rPr>
      </w:pPr>
    </w:p>
    <w:p w:rsidR="006A3F93" w:rsidRPr="00412620" w:rsidRDefault="006A3F93">
      <w:pPr>
        <w:ind w:firstLine="360"/>
        <w:jc w:val="both"/>
        <w:rPr>
          <w:sz w:val="20"/>
        </w:rPr>
      </w:pPr>
      <w:r w:rsidRPr="00412620">
        <w:rPr>
          <w:rStyle w:val="FootnoteReference"/>
          <w:rFonts w:cs="Arial"/>
          <w:sz w:val="20"/>
        </w:rPr>
        <w:footnoteReference w:id="174"/>
      </w:r>
      <w:r w:rsidRPr="00412620">
        <w:rPr>
          <w:sz w:val="20"/>
        </w:rPr>
        <w:t>[(7)</w:t>
      </w:r>
      <w:r w:rsidRPr="00412620">
        <w:rPr>
          <w:b/>
          <w:sz w:val="20"/>
        </w:rPr>
        <w:tab/>
      </w:r>
      <w:r w:rsidRPr="00412620">
        <w:rPr>
          <w:sz w:val="20"/>
        </w:rPr>
        <w:t>Where a loan is made, on or after the 1</w:t>
      </w:r>
      <w:r w:rsidRPr="00412620">
        <w:rPr>
          <w:sz w:val="20"/>
          <w:vertAlign w:val="superscript"/>
        </w:rPr>
        <w:t>st</w:t>
      </w:r>
      <w:r w:rsidRPr="00412620">
        <w:rPr>
          <w:sz w:val="20"/>
        </w:rPr>
        <w:t xml:space="preserve"> day of July, 2002, by an employer to an employee and either no profit on loan is payable by the employee or the rate of profit on loan is less than the benchmark rate, the amount chargeable to tax to the employee under the head “Salary” for a tax year shall include an amount equal to</w:t>
      </w:r>
      <w:r w:rsidR="008929FC" w:rsidRPr="00412620">
        <w:rPr>
          <w:sz w:val="20"/>
        </w:rPr>
        <w:t>—</w:t>
      </w:r>
    </w:p>
    <w:p w:rsidR="006A3F93" w:rsidRPr="00412620" w:rsidRDefault="006A3F93">
      <w:pPr>
        <w:jc w:val="both"/>
        <w:rPr>
          <w:rFonts w:cs="Arial"/>
          <w:sz w:val="20"/>
        </w:rPr>
      </w:pPr>
    </w:p>
    <w:p w:rsidR="006A3F93" w:rsidRPr="00412620" w:rsidRDefault="006A3F93">
      <w:pPr>
        <w:ind w:left="1635" w:hanging="555"/>
        <w:jc w:val="both"/>
        <w:rPr>
          <w:rFonts w:cs="Arial"/>
          <w:sz w:val="20"/>
        </w:rPr>
      </w:pPr>
      <w:r w:rsidRPr="00412620">
        <w:rPr>
          <w:rFonts w:cs="Arial"/>
          <w:sz w:val="20"/>
        </w:rPr>
        <w:t xml:space="preserve">(a) </w:t>
      </w:r>
      <w:r w:rsidRPr="00412620">
        <w:rPr>
          <w:rFonts w:cs="Arial"/>
          <w:sz w:val="20"/>
        </w:rPr>
        <w:tab/>
        <w:t>the profit on loan computed at the benchmark rate, where no profit on loan is payable by the employee, or</w:t>
      </w:r>
    </w:p>
    <w:p w:rsidR="006A3F93" w:rsidRPr="00412620" w:rsidRDefault="006A3F93">
      <w:pPr>
        <w:jc w:val="both"/>
        <w:rPr>
          <w:rFonts w:cs="Arial"/>
          <w:sz w:val="20"/>
        </w:rPr>
      </w:pPr>
    </w:p>
    <w:p w:rsidR="002467C8" w:rsidRPr="002467C8" w:rsidRDefault="006A3F93" w:rsidP="002467C8">
      <w:pPr>
        <w:pStyle w:val="ListParagraph"/>
        <w:numPr>
          <w:ilvl w:val="0"/>
          <w:numId w:val="14"/>
        </w:numPr>
        <w:jc w:val="both"/>
        <w:rPr>
          <w:rFonts w:cs="Arial"/>
          <w:sz w:val="20"/>
        </w:rPr>
      </w:pPr>
      <w:r w:rsidRPr="002467C8">
        <w:rPr>
          <w:rFonts w:cs="Arial"/>
          <w:sz w:val="20"/>
        </w:rPr>
        <w:lastRenderedPageBreak/>
        <w:t>the difference between the amount of profit on loan paid by the employee in that tax year and the amount of profit on loan</w:t>
      </w:r>
      <w:r w:rsidR="00C17BCB" w:rsidRPr="002467C8">
        <w:rPr>
          <w:rFonts w:cs="Arial"/>
          <w:sz w:val="20"/>
        </w:rPr>
        <w:t xml:space="preserve"> computed at the benchmark rate, </w:t>
      </w:r>
    </w:p>
    <w:p w:rsidR="006A3F93" w:rsidRPr="002467C8" w:rsidRDefault="006A3F93" w:rsidP="002467C8">
      <w:pPr>
        <w:ind w:left="533" w:firstLine="547"/>
        <w:jc w:val="both"/>
        <w:rPr>
          <w:rFonts w:cs="Arial"/>
          <w:sz w:val="20"/>
        </w:rPr>
      </w:pPr>
      <w:r w:rsidRPr="002467C8">
        <w:rPr>
          <w:rFonts w:cs="Arial"/>
          <w:sz w:val="20"/>
        </w:rPr>
        <w:t>as the case may be</w:t>
      </w:r>
      <w:r w:rsidR="00FB4353" w:rsidRPr="002467C8">
        <w:rPr>
          <w:rStyle w:val="FootnoteReference"/>
          <w:rFonts w:cs="Arial"/>
          <w:sz w:val="20"/>
        </w:rPr>
        <w:footnoteReference w:id="175"/>
      </w:r>
      <w:r w:rsidR="00FB4353" w:rsidRPr="002467C8">
        <w:rPr>
          <w:rFonts w:cs="Arial"/>
          <w:sz w:val="20"/>
        </w:rPr>
        <w:t xml:space="preserve">[:] </w:t>
      </w:r>
      <w:r w:rsidRPr="002467C8">
        <w:rPr>
          <w:rFonts w:cs="Arial"/>
          <w:sz w:val="20"/>
        </w:rPr>
        <w:t>]</w:t>
      </w:r>
    </w:p>
    <w:p w:rsidR="006A3F93" w:rsidRPr="00412620" w:rsidRDefault="006A3F93">
      <w:pPr>
        <w:rPr>
          <w:rFonts w:cs="Arial"/>
          <w:b/>
          <w:sz w:val="20"/>
        </w:rPr>
      </w:pPr>
    </w:p>
    <w:p w:rsidR="00716ADB" w:rsidRPr="00412620" w:rsidRDefault="00ED4653" w:rsidP="00C00473">
      <w:pPr>
        <w:ind w:left="1094" w:firstLine="547"/>
        <w:jc w:val="both"/>
        <w:rPr>
          <w:rFonts w:cs="Arial"/>
          <w:sz w:val="20"/>
        </w:rPr>
      </w:pPr>
      <w:r w:rsidRPr="00412620">
        <w:rPr>
          <w:rStyle w:val="FootnoteReference"/>
          <w:rFonts w:cs="Arial"/>
          <w:sz w:val="20"/>
        </w:rPr>
        <w:footnoteReference w:id="176"/>
      </w:r>
      <w:r w:rsidR="00716ADB" w:rsidRPr="00412620">
        <w:rPr>
          <w:rFonts w:cs="Arial"/>
          <w:sz w:val="20"/>
        </w:rPr>
        <w:t>[Provided that this sub-section shall not apply to such benefit arising to an employee due to waiver of interest by such employee on his account with the employer</w:t>
      </w:r>
      <w:r w:rsidR="00F36AB4" w:rsidRPr="00412620">
        <w:rPr>
          <w:rStyle w:val="FootnoteReference"/>
          <w:rFonts w:cs="Arial"/>
          <w:sz w:val="20"/>
        </w:rPr>
        <w:footnoteReference w:id="177"/>
      </w:r>
      <w:r w:rsidR="009F7299" w:rsidRPr="00412620">
        <w:rPr>
          <w:rFonts w:cs="Arial"/>
          <w:sz w:val="20"/>
        </w:rPr>
        <w:t xml:space="preserve">[:] </w:t>
      </w:r>
      <w:r w:rsidR="00716ADB" w:rsidRPr="00412620">
        <w:rPr>
          <w:rFonts w:cs="Arial"/>
          <w:sz w:val="20"/>
        </w:rPr>
        <w:t>]</w:t>
      </w:r>
    </w:p>
    <w:p w:rsidR="00716ADB" w:rsidRPr="00412620" w:rsidRDefault="00716ADB">
      <w:pPr>
        <w:rPr>
          <w:rFonts w:cs="Arial"/>
          <w:b/>
          <w:sz w:val="20"/>
        </w:rPr>
      </w:pPr>
    </w:p>
    <w:p w:rsidR="00F164F6" w:rsidRPr="00412620" w:rsidRDefault="00F164F6" w:rsidP="00F164F6">
      <w:pPr>
        <w:ind w:left="1094" w:firstLine="541"/>
        <w:rPr>
          <w:rFonts w:cs="Arial"/>
          <w:sz w:val="20"/>
        </w:rPr>
      </w:pPr>
      <w:r w:rsidRPr="00412620">
        <w:rPr>
          <w:rStyle w:val="FootnoteReference"/>
          <w:rFonts w:cs="Arial"/>
          <w:sz w:val="20"/>
        </w:rPr>
        <w:footnoteReference w:id="178"/>
      </w:r>
      <w:r w:rsidRPr="00412620">
        <w:rPr>
          <w:rFonts w:cs="Arial"/>
          <w:sz w:val="20"/>
        </w:rPr>
        <w:t>[Provided further that this sub-section shall not apply to loans not exceeding five hundred thousand rupees.]</w:t>
      </w:r>
    </w:p>
    <w:p w:rsidR="00F164F6" w:rsidRPr="00412620" w:rsidRDefault="00F164F6">
      <w:pPr>
        <w:rPr>
          <w:rFonts w:cs="Arial"/>
          <w:b/>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 xml:space="preserve">For the purposes of this Ordinance not including sub-section (7), where the employee uses a loan referred to in sub-section (7) wholly or partly for the acquisition of </w:t>
      </w:r>
      <w:r w:rsidRPr="00412620">
        <w:rPr>
          <w:rStyle w:val="FootnoteReference"/>
          <w:rFonts w:cs="Arial"/>
          <w:sz w:val="20"/>
        </w:rPr>
        <w:footnoteReference w:id="179"/>
      </w:r>
      <w:r w:rsidRPr="00412620">
        <w:rPr>
          <w:rFonts w:cs="Arial"/>
          <w:sz w:val="20"/>
        </w:rPr>
        <w:t>[any asset or property]</w:t>
      </w:r>
      <w:r w:rsidR="00245086">
        <w:rPr>
          <w:rFonts w:cs="Arial"/>
          <w:sz w:val="20"/>
        </w:rPr>
        <w:t xml:space="preserve"> </w:t>
      </w:r>
      <w:r w:rsidRPr="00412620">
        <w:rPr>
          <w:rFonts w:cs="Arial"/>
          <w:sz w:val="20"/>
        </w:rPr>
        <w:t xml:space="preserve">producing income chargeable to tax under any head of income, the employee shall be treated as having paid an amount as profit equal to the benchmark rate on the loan or that part of the loan used to </w:t>
      </w:r>
      <w:r w:rsidRPr="00245086">
        <w:rPr>
          <w:rFonts w:cs="Arial"/>
          <w:color w:val="000000" w:themeColor="text1"/>
          <w:sz w:val="20"/>
        </w:rPr>
        <w:t xml:space="preserve">acquire </w:t>
      </w:r>
      <w:r w:rsidR="00B31DB7" w:rsidRPr="00245086">
        <w:rPr>
          <w:rStyle w:val="FootnoteReference"/>
          <w:rFonts w:cs="Arial"/>
          <w:color w:val="000000" w:themeColor="text1"/>
          <w:sz w:val="20"/>
        </w:rPr>
        <w:footnoteReference w:id="180"/>
      </w:r>
      <w:r w:rsidR="00AE2950" w:rsidRPr="00245086">
        <w:rPr>
          <w:rFonts w:cs="Arial"/>
          <w:color w:val="000000" w:themeColor="text1"/>
          <w:sz w:val="20"/>
        </w:rPr>
        <w:t xml:space="preserve">[ </w:t>
      </w:r>
      <w:r w:rsidR="00706410" w:rsidRPr="00245086">
        <w:rPr>
          <w:rFonts w:cs="Arial"/>
          <w:color w:val="000000" w:themeColor="text1"/>
          <w:sz w:val="20"/>
        </w:rPr>
        <w:t>]</w:t>
      </w:r>
      <w:r w:rsidR="00BE2EA8">
        <w:rPr>
          <w:rFonts w:cs="Arial"/>
          <w:color w:val="00B0F0"/>
          <w:sz w:val="20"/>
        </w:rPr>
        <w:t xml:space="preserve"> </w:t>
      </w:r>
      <w:r w:rsidRPr="00412620">
        <w:rPr>
          <w:rFonts w:cs="Arial"/>
          <w:sz w:val="20"/>
        </w:rPr>
        <w:t>[asset or property.]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(9)</w:t>
      </w:r>
      <w:r w:rsidRPr="00412620">
        <w:rPr>
          <w:rFonts w:cs="Arial"/>
          <w:sz w:val="20"/>
        </w:rPr>
        <w:tab/>
        <w:t>Where, in a tax year, an obligation of an employee to pay or repay an amount owing by the employee to the employer is waived by the employer, the amount chargeable to tax to the employee under the head “Salary” for that year shall include the amount so waived.</w:t>
      </w:r>
    </w:p>
    <w:p w:rsidR="006A3F93" w:rsidRPr="00412620" w:rsidRDefault="006A3F93">
      <w:pPr>
        <w:jc w:val="both"/>
        <w:rPr>
          <w:rFonts w:cs="Arial"/>
          <w:sz w:val="20"/>
        </w:rPr>
      </w:pPr>
    </w:p>
    <w:p w:rsidR="006A3F93" w:rsidRPr="00412620" w:rsidRDefault="006A3F93">
      <w:pPr>
        <w:ind w:firstLine="432"/>
        <w:jc w:val="both"/>
        <w:rPr>
          <w:rFonts w:cs="Arial"/>
          <w:sz w:val="20"/>
        </w:rPr>
      </w:pPr>
      <w:r w:rsidRPr="00412620">
        <w:rPr>
          <w:rFonts w:cs="Arial"/>
          <w:sz w:val="20"/>
        </w:rPr>
        <w:t>(10)</w:t>
      </w:r>
      <w:r w:rsidRPr="00412620">
        <w:rPr>
          <w:rFonts w:cs="Arial"/>
          <w:sz w:val="20"/>
        </w:rPr>
        <w:tab/>
        <w:t xml:space="preserve">Where, in a tax year, an obligation of an employee to pay or repay an amount </w:t>
      </w:r>
      <w:r w:rsidRPr="00412620">
        <w:rPr>
          <w:rStyle w:val="FootnoteReference"/>
          <w:rFonts w:cs="Arial"/>
          <w:sz w:val="20"/>
        </w:rPr>
        <w:footnoteReference w:id="181"/>
      </w:r>
      <w:r w:rsidRPr="00412620">
        <w:rPr>
          <w:rFonts w:cs="Arial"/>
          <w:sz w:val="20"/>
        </w:rPr>
        <w:t>[owing]</w:t>
      </w:r>
      <w:r w:rsidR="00245086">
        <w:rPr>
          <w:rFonts w:cs="Arial"/>
          <w:sz w:val="20"/>
        </w:rPr>
        <w:t xml:space="preserve"> </w:t>
      </w:r>
      <w:r w:rsidRPr="00412620">
        <w:rPr>
          <w:rFonts w:cs="Arial"/>
          <w:sz w:val="20"/>
        </w:rPr>
        <w:t>by the employee to another person is paid by the employer, the amount chargeable to tax to the employee under the head “Salary” for that year shall include the amount so paid.</w:t>
      </w:r>
    </w:p>
    <w:p w:rsidR="006A3F93" w:rsidRPr="00412620" w:rsidRDefault="006A3F93">
      <w:pPr>
        <w:jc w:val="both"/>
        <w:rPr>
          <w:rFonts w:cs="Arial"/>
          <w:sz w:val="20"/>
        </w:rPr>
      </w:pPr>
    </w:p>
    <w:p w:rsidR="006A3F93" w:rsidRPr="00412620" w:rsidRDefault="006A3F93">
      <w:pPr>
        <w:ind w:firstLine="432"/>
        <w:jc w:val="both"/>
        <w:rPr>
          <w:rFonts w:cs="Arial"/>
          <w:sz w:val="20"/>
        </w:rPr>
      </w:pPr>
      <w:r w:rsidRPr="00412620">
        <w:rPr>
          <w:rFonts w:cs="Arial"/>
          <w:sz w:val="20"/>
        </w:rPr>
        <w:t>(11)</w:t>
      </w:r>
      <w:r w:rsidRPr="00412620">
        <w:rPr>
          <w:rFonts w:cs="Arial"/>
          <w:sz w:val="20"/>
        </w:rPr>
        <w:tab/>
        <w:t>Where, in a tax year, property is transferred or services are provided by an employer to an employee, the amount chargeable to tax to the employee under the head “Salary” for that year shall include the fair market value of the property or services determined at the time the property is transferred or the services are provided, as reduced by any payment made by the employee for the property or services.</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lastRenderedPageBreak/>
        <w:footnoteReference w:id="182"/>
      </w:r>
      <w:r w:rsidRPr="00412620">
        <w:rPr>
          <w:rFonts w:cs="Arial"/>
          <w:sz w:val="20"/>
        </w:rPr>
        <w:t>[(12)</w:t>
      </w:r>
      <w:r w:rsidRPr="00412620">
        <w:rPr>
          <w:rFonts w:cs="Arial"/>
          <w:sz w:val="20"/>
        </w:rPr>
        <w:tab/>
        <w:t>Where, in the tax year, accommodation or housing is provided by an employer to an employee, the amount chargeable to tax to the employee under the head “Salary" for that year shall include an amount computed as may be prescribed.]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(13)</w:t>
      </w:r>
      <w:r w:rsidRPr="00412620">
        <w:rPr>
          <w:rFonts w:cs="Arial"/>
          <w:sz w:val="20"/>
        </w:rPr>
        <w:tab/>
        <w:t xml:space="preserve">Where, in a tax year, an employer has provided an employee with a perquisite which is not covered by sub-sections (3) through (12), the amount chargeable to tax to the employee under the head “Salary” for that year shall include the fair market value of the perquisite, </w:t>
      </w:r>
      <w:r w:rsidRPr="00412620">
        <w:rPr>
          <w:rStyle w:val="FootnoteReference"/>
          <w:rFonts w:cs="Arial"/>
          <w:sz w:val="20"/>
        </w:rPr>
        <w:footnoteReference w:id="183"/>
      </w:r>
      <w:r w:rsidRPr="00412620">
        <w:rPr>
          <w:rFonts w:cs="Arial"/>
          <w:sz w:val="20"/>
        </w:rPr>
        <w:t>[except where the rules, if any, provide otherwise,] determined at the time it is provided, as reduced by any payment made by the employee for the perquisite.</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184"/>
      </w:r>
      <w:r w:rsidRPr="00412620">
        <w:rPr>
          <w:rFonts w:cs="Arial"/>
          <w:sz w:val="20"/>
        </w:rPr>
        <w:t>[(14)</w:t>
      </w:r>
      <w:r w:rsidRPr="00412620">
        <w:rPr>
          <w:rFonts w:cs="Arial"/>
          <w:sz w:val="20"/>
        </w:rPr>
        <w:tab/>
        <w:t>In this section,</w:t>
      </w:r>
      <w:r w:rsidR="008929FC"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 xml:space="preserve">(a) </w:t>
      </w:r>
      <w:r w:rsidRPr="00412620">
        <w:rPr>
          <w:rFonts w:cs="Arial"/>
          <w:sz w:val="20"/>
        </w:rPr>
        <w:tab/>
        <w:t xml:space="preserve">“benchmark rate” means </w:t>
      </w:r>
      <w:r w:rsidR="008929FC" w:rsidRPr="00412620">
        <w:rPr>
          <w:rFonts w:cs="Arial"/>
          <w:sz w:val="20"/>
        </w:rPr>
        <w:t>—</w:t>
      </w:r>
      <w:r w:rsidRPr="00412620">
        <w:rPr>
          <w:rFonts w:cs="Arial"/>
          <w:sz w:val="20"/>
        </w:rPr>
        <w:t>-</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 xml:space="preserve">(i) </w:t>
      </w:r>
      <w:r w:rsidRPr="00412620">
        <w:rPr>
          <w:rFonts w:cs="Arial"/>
          <w:sz w:val="20"/>
        </w:rPr>
        <w:tab/>
        <w:t xml:space="preserve">for the tax year commencing on the first day of July, 2002, a rate of five </w:t>
      </w:r>
      <w:r w:rsidR="00AB6F06">
        <w:rPr>
          <w:rFonts w:cs="Arial"/>
          <w:sz w:val="20"/>
        </w:rPr>
        <w:t>per cent</w:t>
      </w:r>
      <w:r w:rsidRPr="00412620">
        <w:rPr>
          <w:rFonts w:cs="Arial"/>
          <w:sz w:val="20"/>
        </w:rPr>
        <w:t xml:space="preserve"> per annum; and </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 xml:space="preserve">(ii) </w:t>
      </w:r>
      <w:r w:rsidRPr="00412620">
        <w:rPr>
          <w:rFonts w:cs="Arial"/>
          <w:sz w:val="20"/>
        </w:rPr>
        <w:tab/>
        <w:t>for the tax years next following the tax year referred to in sub-clause (</w:t>
      </w:r>
      <w:r w:rsidR="002F5E79" w:rsidRPr="00412620">
        <w:rPr>
          <w:rFonts w:cs="Arial"/>
          <w:sz w:val="20"/>
        </w:rPr>
        <w:t>i</w:t>
      </w:r>
      <w:r w:rsidRPr="00412620">
        <w:rPr>
          <w:rFonts w:cs="Arial"/>
          <w:sz w:val="20"/>
        </w:rPr>
        <w:t xml:space="preserve">), the rate for each successive year taken at one </w:t>
      </w:r>
      <w:r w:rsidR="00AB6F06">
        <w:rPr>
          <w:rFonts w:cs="Arial"/>
          <w:sz w:val="20"/>
        </w:rPr>
        <w:t>per cent</w:t>
      </w:r>
      <w:r w:rsidRPr="00412620">
        <w:rPr>
          <w:rFonts w:cs="Arial"/>
          <w:sz w:val="20"/>
        </w:rPr>
        <w:t xml:space="preserve"> above the rate applicable for the immediately preceding tax year, but not exceeding </w:t>
      </w:r>
      <w:r w:rsidR="006A7402" w:rsidRPr="00412620">
        <w:rPr>
          <w:rStyle w:val="FootnoteReference"/>
          <w:rFonts w:cs="Arial"/>
          <w:sz w:val="20"/>
        </w:rPr>
        <w:footnoteReference w:id="185"/>
      </w:r>
      <w:r w:rsidR="006A7402" w:rsidRPr="00412620">
        <w:rPr>
          <w:rFonts w:cs="Arial"/>
          <w:sz w:val="20"/>
        </w:rPr>
        <w:t xml:space="preserve">[ten </w:t>
      </w:r>
      <w:r w:rsidR="00AB6F06">
        <w:rPr>
          <w:rFonts w:cs="Arial"/>
          <w:sz w:val="20"/>
        </w:rPr>
        <w:t>per cent</w:t>
      </w:r>
      <w:r w:rsidR="006A7402" w:rsidRPr="00412620">
        <w:rPr>
          <w:rFonts w:cs="Arial"/>
          <w:sz w:val="20"/>
        </w:rPr>
        <w:t xml:space="preserve"> per annum]  </w:t>
      </w:r>
      <w:r w:rsidRPr="00412620">
        <w:rPr>
          <w:rFonts w:cs="Arial"/>
          <w:sz w:val="20"/>
        </w:rPr>
        <w:t xml:space="preserve">in respect of any tax year;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 xml:space="preserve">(b) </w:t>
      </w:r>
      <w:r w:rsidRPr="00412620">
        <w:rPr>
          <w:rFonts w:cs="Arial"/>
          <w:sz w:val="20"/>
        </w:rPr>
        <w:tab/>
        <w:t xml:space="preserve">“services” includes the provision of any facility; and </w:t>
      </w:r>
    </w:p>
    <w:p w:rsidR="006A3F93" w:rsidRPr="00412620" w:rsidRDefault="006A3F93">
      <w:pPr>
        <w:jc w:val="both"/>
        <w:rPr>
          <w:rFonts w:cs="Arial"/>
          <w:sz w:val="20"/>
        </w:rPr>
      </w:pPr>
    </w:p>
    <w:p w:rsidR="006A3F93" w:rsidRPr="00412620" w:rsidRDefault="006A3F93">
      <w:pPr>
        <w:ind w:left="1620" w:hanging="540"/>
        <w:jc w:val="both"/>
        <w:rPr>
          <w:rFonts w:cs="Arial"/>
          <w:b/>
          <w:sz w:val="20"/>
        </w:rPr>
      </w:pPr>
      <w:r w:rsidRPr="00412620">
        <w:rPr>
          <w:rFonts w:cs="Arial"/>
          <w:sz w:val="20"/>
        </w:rPr>
        <w:t xml:space="preserve">(c) </w:t>
      </w:r>
      <w:r w:rsidRPr="00412620">
        <w:rPr>
          <w:rFonts w:cs="Arial"/>
          <w:sz w:val="20"/>
        </w:rPr>
        <w:tab/>
        <w:t>“utilities” includes electricity, gas, water and telephone.]</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14.</w:t>
      </w:r>
      <w:r w:rsidRPr="00412620">
        <w:rPr>
          <w:rFonts w:cs="Arial"/>
          <w:b/>
          <w:sz w:val="20"/>
        </w:rPr>
        <w:tab/>
        <w:t>Employee share schemes.</w:t>
      </w:r>
      <w:r w:rsidR="008929FC" w:rsidRPr="00412620">
        <w:rPr>
          <w:rFonts w:cs="Arial"/>
          <w:b/>
          <w:sz w:val="20"/>
        </w:rPr>
        <w:t>—</w:t>
      </w:r>
      <w:r w:rsidRPr="00412620">
        <w:rPr>
          <w:sz w:val="20"/>
        </w:rPr>
        <w:t xml:space="preserve"> (1) The value of a right or option to acquire shares under an employee share scheme granted to an employee shall not be chargeable to tax.</w:t>
      </w:r>
    </w:p>
    <w:p w:rsidR="006A3F93" w:rsidRPr="00412620" w:rsidRDefault="006A3F93">
      <w:pPr>
        <w:jc w:val="both"/>
        <w:rPr>
          <w:rFonts w:cs="Arial"/>
          <w:b/>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Subject to sub-section (3), where, in a tax year, an employee is issued with shares under an employee share scheme including as a result of the exercise of an option or right to acquire the shares, the amount chargeable to tax to the employee under the head “Salary” for that year shall include the fair market value of the shares determined at the date of issue, as reduced by any consideration given by the employee for the shares including any amount given as consideration for the grant of a right or option to acquire the shares.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Where shares issued to an employee under an employee share scheme are subject to a restriction on the transfer of the shares </w:t>
      </w:r>
      <w:r w:rsidR="008929FC"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no amount shall be chargeable to tax to the employee under the head “Salary” until the earlier of </w:t>
      </w:r>
      <w:r w:rsidR="00A2204E"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2160" w:hanging="540"/>
        <w:jc w:val="both"/>
        <w:rPr>
          <w:rFonts w:cs="Arial"/>
          <w:sz w:val="20"/>
        </w:rPr>
      </w:pPr>
      <w:r w:rsidRPr="00412620">
        <w:rPr>
          <w:rFonts w:cs="Arial"/>
          <w:sz w:val="20"/>
        </w:rPr>
        <w:t xml:space="preserve"> (i)</w:t>
      </w:r>
      <w:r w:rsidRPr="00412620">
        <w:rPr>
          <w:rFonts w:cs="Arial"/>
          <w:sz w:val="20"/>
        </w:rPr>
        <w:tab/>
        <w:t>the time the employee has a free right to transfer the shares; or</w:t>
      </w:r>
    </w:p>
    <w:p w:rsidR="006A3F93" w:rsidRPr="00412620" w:rsidRDefault="006A3F93">
      <w:pPr>
        <w:pStyle w:val="BodyTextIndent"/>
        <w:jc w:val="both"/>
        <w:rPr>
          <w:rFonts w:cs="Arial"/>
          <w:sz w:val="20"/>
        </w:rPr>
      </w:pPr>
    </w:p>
    <w:p w:rsidR="006A3F93" w:rsidRPr="00412620" w:rsidRDefault="00170E8E" w:rsidP="00170E8E">
      <w:pPr>
        <w:pStyle w:val="BodyTextIndent"/>
        <w:ind w:left="2160" w:hanging="540"/>
        <w:jc w:val="both"/>
        <w:rPr>
          <w:sz w:val="20"/>
        </w:rPr>
      </w:pPr>
      <w:r w:rsidRPr="00412620">
        <w:rPr>
          <w:sz w:val="20"/>
        </w:rPr>
        <w:t xml:space="preserve">(ii) </w:t>
      </w:r>
      <w:r w:rsidRPr="00412620">
        <w:rPr>
          <w:sz w:val="20"/>
        </w:rPr>
        <w:tab/>
      </w:r>
      <w:r w:rsidR="006A3F93" w:rsidRPr="00412620">
        <w:rPr>
          <w:sz w:val="20"/>
        </w:rPr>
        <w:t xml:space="preserve">the time the employee disposes of the shares; and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amount chargeable to tax to the employee shall be the fair market value of the shares at the time the employee has a free right to transfer the shares or disposes of the shares, as the case may be, as reduced by any consideration given by the employee for the shares including any amount given as consideration for the grant of a right or option to acquire the shares.</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For purposes of this Ordinance, where sub-section (2) or (3) applies, the cost of the shares to the employee shall be the sum of </w:t>
      </w:r>
      <w:r w:rsidR="006649F9" w:rsidRPr="00412620">
        <w:rPr>
          <w:rFonts w:cs="Arial"/>
          <w:sz w:val="20"/>
        </w:rPr>
        <w:t>—</w:t>
      </w:r>
    </w:p>
    <w:p w:rsidR="006A3F93" w:rsidRPr="00412620" w:rsidRDefault="006A3F93">
      <w:pPr>
        <w:pStyle w:val="Header"/>
        <w:tabs>
          <w:tab w:val="left" w:pos="547"/>
        </w:tabs>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consideration, if any, given by the employee for the shares;</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consideration, if any, given by the employee for the grant of any right or option to acquire the shares;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the amount chargeable to tax under the head “Salary” under those sub-sections.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Where, in a tax year, an employee disposes of a right or option to acquire shares under an employee share scheme, the amount chargeable to tax to the employee under the head “Salary” for that year shall include the amount of </w:t>
      </w:r>
      <w:r w:rsidRPr="00412620">
        <w:rPr>
          <w:rFonts w:cs="Arial"/>
          <w:sz w:val="20"/>
        </w:rPr>
        <w:lastRenderedPageBreak/>
        <w:t>any gain made on the disposal computed in accordance with the following formula, namely:</w:t>
      </w:r>
      <w:r w:rsidR="00D2761C" w:rsidRPr="00412620">
        <w:rPr>
          <w:rFonts w:cs="Arial"/>
          <w:sz w:val="20"/>
        </w:rPr>
        <w:t>—</w:t>
      </w:r>
    </w:p>
    <w:p w:rsidR="006A3F93" w:rsidRPr="00412620" w:rsidRDefault="006A3F93">
      <w:pPr>
        <w:rPr>
          <w:rFonts w:cs="Arial"/>
          <w:sz w:val="20"/>
        </w:rPr>
      </w:pPr>
    </w:p>
    <w:p w:rsidR="006A3F93" w:rsidRPr="00412620" w:rsidRDefault="006A3F93">
      <w:pPr>
        <w:pStyle w:val="Heading2"/>
        <w:spacing w:line="240" w:lineRule="auto"/>
        <w:rPr>
          <w:rFonts w:cs="Arial"/>
          <w:sz w:val="20"/>
        </w:rPr>
      </w:pPr>
      <w:r w:rsidRPr="00412620">
        <w:rPr>
          <w:rFonts w:cs="Arial"/>
          <w:sz w:val="20"/>
        </w:rPr>
        <w:t>A</w:t>
      </w:r>
      <w:r w:rsidR="008929FC" w:rsidRPr="00412620">
        <w:rPr>
          <w:rFonts w:cs="Arial"/>
          <w:sz w:val="20"/>
        </w:rPr>
        <w:t>—</w:t>
      </w:r>
      <w:r w:rsidRPr="00412620">
        <w:rPr>
          <w:rFonts w:cs="Arial"/>
          <w:sz w:val="20"/>
        </w:rPr>
        <w:t>B</w:t>
      </w:r>
    </w:p>
    <w:p w:rsidR="006A3F93" w:rsidRPr="00412620" w:rsidRDefault="006A3F93">
      <w:pPr>
        <w:jc w:val="both"/>
        <w:rPr>
          <w:rFonts w:cs="Arial"/>
          <w:sz w:val="20"/>
        </w:rPr>
      </w:pPr>
      <w:r w:rsidRPr="00412620">
        <w:rPr>
          <w:rFonts w:cs="Arial"/>
          <w:sz w:val="20"/>
        </w:rPr>
        <w:t xml:space="preserve">where </w:t>
      </w:r>
      <w:r w:rsidR="00D2761C" w:rsidRPr="00412620">
        <w:rPr>
          <w:rFonts w:cs="Arial"/>
          <w:sz w:val="20"/>
        </w:rPr>
        <w:t>—</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A</w:t>
      </w:r>
      <w:r w:rsidRPr="00412620">
        <w:rPr>
          <w:sz w:val="20"/>
        </w:rPr>
        <w:tab/>
        <w:t>is the consideration received for the disposal of the right or option; and</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B</w:t>
      </w:r>
      <w:r w:rsidRPr="00412620">
        <w:rPr>
          <w:sz w:val="20"/>
        </w:rPr>
        <w:tab/>
        <w:t>is the employee’s cost in respect of the right or option.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In this sub-section, “employee share scheme” means any agreement or arrangement under which a company may issue shares in the company to </w:t>
      </w:r>
      <w:r w:rsidR="00D2761C"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 employee of the company or an employee of an associated company;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trustee of a trust and under the trust deed the trustee may transfer the shares to an employee of the company or an employee of an associated company.</w:t>
      </w:r>
    </w:p>
    <w:p w:rsidR="006A3F93" w:rsidRPr="00412620" w:rsidRDefault="006A3F93">
      <w:pPr>
        <w:rPr>
          <w:rFonts w:cs="Arial"/>
          <w:sz w:val="20"/>
        </w:rPr>
      </w:pPr>
    </w:p>
    <w:p w:rsidR="006A3F93" w:rsidRPr="00412620" w:rsidRDefault="00D2761C">
      <w:pPr>
        <w:pStyle w:val="Heading8"/>
        <w:rPr>
          <w:rFonts w:cs="Arial"/>
          <w:i w:val="0"/>
          <w:sz w:val="32"/>
          <w:szCs w:val="32"/>
        </w:rPr>
      </w:pPr>
      <w:r w:rsidRPr="00412620">
        <w:rPr>
          <w:rFonts w:cs="Arial"/>
          <w:i w:val="0"/>
          <w:sz w:val="20"/>
        </w:rPr>
        <w:br w:type="page"/>
      </w:r>
      <w:r w:rsidR="006A3F93" w:rsidRPr="00412620">
        <w:rPr>
          <w:rFonts w:cs="Arial"/>
          <w:i w:val="0"/>
          <w:sz w:val="32"/>
          <w:szCs w:val="32"/>
        </w:rPr>
        <w:lastRenderedPageBreak/>
        <w:t>PART III</w:t>
      </w:r>
    </w:p>
    <w:p w:rsidR="006A3F93" w:rsidRPr="00412620" w:rsidRDefault="006A3F93">
      <w:pPr>
        <w:keepNext/>
        <w:jc w:val="center"/>
        <w:rPr>
          <w:rFonts w:cs="Arial"/>
          <w:b/>
          <w:sz w:val="20"/>
        </w:rPr>
      </w:pPr>
      <w:r w:rsidRPr="00412620">
        <w:rPr>
          <w:rFonts w:cs="Arial"/>
          <w:b/>
          <w:sz w:val="20"/>
        </w:rPr>
        <w:t>HEAD OF INCOME: INCOME FROM PROPERTY</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15.</w:t>
      </w:r>
      <w:r w:rsidRPr="00412620">
        <w:rPr>
          <w:rFonts w:cs="Arial"/>
          <w:b/>
          <w:sz w:val="20"/>
        </w:rPr>
        <w:tab/>
        <w:t>Income from property.</w:t>
      </w:r>
      <w:r w:rsidR="008929FC" w:rsidRPr="00412620">
        <w:rPr>
          <w:rFonts w:cs="Arial"/>
          <w:b/>
          <w:sz w:val="20"/>
        </w:rPr>
        <w:t>—</w:t>
      </w:r>
      <w:r w:rsidRPr="00412620">
        <w:rPr>
          <w:sz w:val="20"/>
        </w:rPr>
        <w:t xml:space="preserve"> (1)  The rent received or receivable by a person </w:t>
      </w:r>
      <w:r w:rsidRPr="00412620">
        <w:rPr>
          <w:rStyle w:val="FootnoteReference"/>
          <w:sz w:val="20"/>
        </w:rPr>
        <w:footnoteReference w:id="186"/>
      </w:r>
      <w:r w:rsidRPr="00412620">
        <w:rPr>
          <w:sz w:val="20"/>
        </w:rPr>
        <w:t>[for] a tax year, other than rent exempt from tax under this Ordinance, shall be chargeable to tax in that year under the head “Income from Property”.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Subject to sub-section (3), “rent” means any amount received or receivable by the owner of land or a building as consideration for the use or occupation of, or the right to use or occupy, the land or building, and includes any forfeited deposit paid under a contract for the sale of land or a building.</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This section shall not apply to any rent received or receivable by any person in respect of the lease of a building together with plant and machinery and such rent shall be chargeable to tax under the head “Income from Other Sources”.</w:t>
      </w:r>
    </w:p>
    <w:p w:rsidR="006A3F93" w:rsidRPr="00412620" w:rsidRDefault="006A3F93">
      <w:pPr>
        <w:jc w:val="both"/>
        <w:rPr>
          <w:rFonts w:cs="Arial"/>
          <w:sz w:val="20"/>
        </w:rPr>
      </w:pPr>
    </w:p>
    <w:p w:rsidR="006A3F93" w:rsidRPr="00412620" w:rsidRDefault="006A3F93">
      <w:pPr>
        <w:ind w:firstLine="270"/>
        <w:jc w:val="both"/>
        <w:rPr>
          <w:sz w:val="20"/>
        </w:rPr>
      </w:pPr>
      <w:r w:rsidRPr="00412620">
        <w:rPr>
          <w:rStyle w:val="FootnoteReference"/>
          <w:rFonts w:cs="Arial"/>
          <w:sz w:val="20"/>
        </w:rPr>
        <w:footnoteReference w:id="187"/>
      </w:r>
      <w:r w:rsidRPr="00412620">
        <w:rPr>
          <w:sz w:val="20"/>
        </w:rPr>
        <w:t xml:space="preserve">[(3A) </w:t>
      </w:r>
      <w:r w:rsidRPr="00412620">
        <w:rPr>
          <w:sz w:val="20"/>
        </w:rPr>
        <w:tab/>
        <w:t>Where any amount is included in rent received or receivable by any person for the provision of amenities, utilities or any other service connected with the renting of the building, such amount shall be chargeable to tax under the head “Income from Other Sources”.]</w:t>
      </w:r>
    </w:p>
    <w:p w:rsidR="006A3F93" w:rsidRPr="00412620" w:rsidRDefault="006A3F93">
      <w:pPr>
        <w:jc w:val="both"/>
        <w:rPr>
          <w:rFonts w:cs="Arial"/>
          <w:sz w:val="14"/>
        </w:rPr>
      </w:pPr>
    </w:p>
    <w:p w:rsidR="006A3F93" w:rsidRPr="00412620" w:rsidRDefault="006A3F93">
      <w:pPr>
        <w:jc w:val="both"/>
        <w:rPr>
          <w:rFonts w:cs="Arial"/>
          <w:sz w:val="20"/>
        </w:rPr>
      </w:pPr>
      <w:r w:rsidRPr="00412620">
        <w:rPr>
          <w:rFonts w:cs="Arial"/>
          <w:sz w:val="20"/>
        </w:rPr>
        <w:tab/>
        <w:t>(4)</w:t>
      </w:r>
      <w:r w:rsidRPr="00412620">
        <w:rPr>
          <w:rFonts w:cs="Arial"/>
          <w:sz w:val="20"/>
        </w:rPr>
        <w:tab/>
        <w:t>Subject to sub-section (5), where the rent received or receivable by a person is less than the fair market rent for the property, the person shall be treated as having derived the fair market rent for the period the property is let on rent in the tax year.</w:t>
      </w:r>
    </w:p>
    <w:p w:rsidR="006A3F93" w:rsidRPr="00412620" w:rsidRDefault="006A3F93">
      <w:pPr>
        <w:jc w:val="both"/>
        <w:rPr>
          <w:rFonts w:cs="Arial"/>
          <w:sz w:val="14"/>
        </w:rPr>
      </w:pPr>
    </w:p>
    <w:p w:rsidR="006A3F93" w:rsidRPr="00412620" w:rsidRDefault="006A3F93">
      <w:pPr>
        <w:jc w:val="both"/>
        <w:rPr>
          <w:rFonts w:cs="Arial"/>
          <w:sz w:val="20"/>
        </w:rPr>
      </w:pPr>
      <w:r w:rsidRPr="00412620">
        <w:rPr>
          <w:rFonts w:cs="Arial"/>
          <w:sz w:val="20"/>
        </w:rPr>
        <w:tab/>
        <w:t>(5)</w:t>
      </w:r>
      <w:r w:rsidRPr="00412620">
        <w:rPr>
          <w:rFonts w:cs="Arial"/>
          <w:sz w:val="20"/>
        </w:rPr>
        <w:tab/>
        <w:t>Sub-section (4) shall not apply where the fair market rent is included in the income of the lessee chargeable to tax under the head “Salary”.</w:t>
      </w:r>
    </w:p>
    <w:p w:rsidR="006A3F93" w:rsidRPr="00412620" w:rsidRDefault="006A3F93">
      <w:pPr>
        <w:jc w:val="both"/>
        <w:rPr>
          <w:rFonts w:cs="Arial"/>
          <w:sz w:val="14"/>
        </w:rPr>
      </w:pPr>
    </w:p>
    <w:p w:rsidR="00E85C54" w:rsidRPr="00412620" w:rsidRDefault="00E85C54">
      <w:pPr>
        <w:jc w:val="both"/>
        <w:rPr>
          <w:rFonts w:cs="Arial"/>
          <w:sz w:val="20"/>
        </w:rPr>
      </w:pPr>
      <w:r w:rsidRPr="00412620">
        <w:rPr>
          <w:rFonts w:cs="Arial"/>
          <w:sz w:val="20"/>
        </w:rPr>
        <w:tab/>
      </w:r>
      <w:r w:rsidRPr="00412620">
        <w:rPr>
          <w:rStyle w:val="FootnoteReference"/>
          <w:rFonts w:cs="Arial"/>
          <w:sz w:val="20"/>
        </w:rPr>
        <w:footnoteReference w:id="188"/>
      </w:r>
      <w:r w:rsidRPr="00412620">
        <w:rPr>
          <w:rFonts w:cs="Arial"/>
          <w:sz w:val="20"/>
        </w:rPr>
        <w:t>[</w:t>
      </w:r>
      <w:r w:rsidR="00C22F1A" w:rsidRPr="00412620">
        <w:rPr>
          <w:rFonts w:cs="Arial"/>
          <w:sz w:val="20"/>
        </w:rPr>
        <w:t xml:space="preserve">  ] </w:t>
      </w:r>
    </w:p>
    <w:p w:rsidR="00EF779A" w:rsidRPr="00412620" w:rsidRDefault="00EF779A">
      <w:pPr>
        <w:jc w:val="both"/>
        <w:rPr>
          <w:rFonts w:cs="Arial"/>
          <w:sz w:val="14"/>
        </w:rPr>
      </w:pPr>
    </w:p>
    <w:p w:rsidR="00B7598E" w:rsidRDefault="00EF779A" w:rsidP="00B7598E">
      <w:pPr>
        <w:jc w:val="both"/>
        <w:rPr>
          <w:rFonts w:cs="Arial"/>
          <w:sz w:val="20"/>
        </w:rPr>
      </w:pPr>
      <w:r w:rsidRPr="00412620">
        <w:rPr>
          <w:rFonts w:cs="Arial"/>
          <w:sz w:val="20"/>
        </w:rPr>
        <w:tab/>
      </w:r>
      <w:r w:rsidRPr="00412620">
        <w:rPr>
          <w:rStyle w:val="FootnoteReference"/>
          <w:rFonts w:cs="Arial"/>
          <w:sz w:val="20"/>
        </w:rPr>
        <w:footnoteReference w:id="189"/>
      </w:r>
      <w:r w:rsidRPr="00412620">
        <w:rPr>
          <w:rFonts w:cs="Arial"/>
          <w:sz w:val="20"/>
        </w:rPr>
        <w:t>[</w:t>
      </w:r>
      <w:r w:rsidR="00C22F1A" w:rsidRPr="00412620">
        <w:rPr>
          <w:rFonts w:cs="Arial"/>
          <w:sz w:val="20"/>
        </w:rPr>
        <w:t xml:space="preserve">  ]  </w:t>
      </w:r>
    </w:p>
    <w:p w:rsidR="006C45DB" w:rsidRDefault="006C45DB" w:rsidP="00B7598E">
      <w:pPr>
        <w:jc w:val="both"/>
        <w:rPr>
          <w:rFonts w:cs="Arial"/>
          <w:sz w:val="20"/>
        </w:rPr>
      </w:pPr>
    </w:p>
    <w:p w:rsidR="006C45DB" w:rsidRPr="00D612BA" w:rsidRDefault="006C45DB" w:rsidP="006C45DB">
      <w:pPr>
        <w:pStyle w:val="FootnoteText"/>
        <w:ind w:left="0" w:firstLine="540"/>
        <w:jc w:val="both"/>
        <w:rPr>
          <w:rFonts w:cs="Arial"/>
          <w:color w:val="0070C0"/>
        </w:rPr>
      </w:pPr>
      <w:r w:rsidRPr="00D612BA">
        <w:rPr>
          <w:rStyle w:val="FootnoteReference"/>
          <w:rFonts w:cs="Arial"/>
          <w:color w:val="0070C0"/>
        </w:rPr>
        <w:lastRenderedPageBreak/>
        <w:footnoteReference w:id="190"/>
      </w:r>
      <w:r w:rsidRPr="00D612BA">
        <w:rPr>
          <w:rFonts w:cs="Arial"/>
          <w:color w:val="0070C0"/>
        </w:rPr>
        <w:t>[</w:t>
      </w:r>
      <w:r w:rsidRPr="00D612BA">
        <w:rPr>
          <w:rFonts w:cs="Arial"/>
          <w:color w:val="0070C0"/>
          <w:sz w:val="20"/>
        </w:rPr>
        <w:t>“(6)</w:t>
      </w:r>
      <w:r w:rsidRPr="00D612BA">
        <w:rPr>
          <w:rFonts w:cs="Arial"/>
          <w:color w:val="0070C0"/>
          <w:sz w:val="20"/>
        </w:rPr>
        <w:tab/>
        <w:t xml:space="preserve">Income under this section </w:t>
      </w:r>
      <w:r w:rsidRPr="00D612BA">
        <w:rPr>
          <w:rFonts w:cs="Arial"/>
          <w:bCs/>
          <w:color w:val="0070C0"/>
          <w:sz w:val="20"/>
        </w:rPr>
        <w:t>derived by an individual or an association of persons</w:t>
      </w:r>
      <w:r w:rsidRPr="00D612BA">
        <w:rPr>
          <w:rFonts w:cs="Arial"/>
          <w:color w:val="0070C0"/>
          <w:sz w:val="20"/>
        </w:rPr>
        <w:t xml:space="preserve"> shall be liable to tax at the rate specified in Division VIA of Part I of the First Schedule.</w:t>
      </w:r>
      <w:r w:rsidRPr="00D612BA">
        <w:rPr>
          <w:rFonts w:cs="Arial"/>
          <w:color w:val="0070C0"/>
        </w:rPr>
        <w:t>”]</w:t>
      </w:r>
    </w:p>
    <w:p w:rsidR="006C45DB" w:rsidRPr="00D612BA" w:rsidRDefault="006C45DB" w:rsidP="006C45DB">
      <w:pPr>
        <w:pStyle w:val="FootnoteText"/>
        <w:ind w:left="2160"/>
        <w:jc w:val="both"/>
        <w:rPr>
          <w:rFonts w:cs="Arial"/>
          <w:color w:val="0070C0"/>
          <w:sz w:val="20"/>
        </w:rPr>
      </w:pPr>
    </w:p>
    <w:p w:rsidR="006C45DB" w:rsidRPr="00D612BA" w:rsidRDefault="006C45DB" w:rsidP="006C45DB">
      <w:pPr>
        <w:pStyle w:val="FootnoteText"/>
        <w:ind w:left="0" w:firstLine="540"/>
        <w:jc w:val="both"/>
        <w:rPr>
          <w:rFonts w:cs="Arial"/>
          <w:color w:val="0070C0"/>
          <w:sz w:val="20"/>
        </w:rPr>
      </w:pPr>
      <w:r w:rsidRPr="00D612BA">
        <w:rPr>
          <w:rStyle w:val="FootnoteReference"/>
          <w:rFonts w:cs="Arial"/>
          <w:color w:val="0070C0"/>
        </w:rPr>
        <w:footnoteReference w:id="191"/>
      </w:r>
      <w:r w:rsidRPr="00D612BA">
        <w:rPr>
          <w:rFonts w:cs="Arial"/>
          <w:color w:val="0070C0"/>
        </w:rPr>
        <w:t>[“</w:t>
      </w:r>
      <w:r w:rsidRPr="00D612BA">
        <w:rPr>
          <w:rFonts w:cs="Arial"/>
          <w:color w:val="0070C0"/>
          <w:sz w:val="20"/>
        </w:rPr>
        <w:t>(7)</w:t>
      </w:r>
      <w:r w:rsidRPr="00D612BA">
        <w:rPr>
          <w:rFonts w:cs="Arial"/>
          <w:color w:val="0070C0"/>
          <w:sz w:val="20"/>
        </w:rPr>
        <w:tab/>
        <w:t>The provisions of sub-section (1), shall not apply in respect of an individual or association of persons who derive income chargeable to tax under this section not exceeding two hundred thousand rupees in a tax year and does not derive taxable income under any other head.”</w:t>
      </w:r>
      <w:r w:rsidRPr="00D612BA">
        <w:rPr>
          <w:rFonts w:cs="Arial"/>
          <w:color w:val="0070C0"/>
        </w:rPr>
        <w:t>]</w:t>
      </w:r>
    </w:p>
    <w:p w:rsidR="00CA6CED" w:rsidRPr="00412620" w:rsidRDefault="00CA6CED" w:rsidP="00B7598E">
      <w:pPr>
        <w:jc w:val="both"/>
        <w:rPr>
          <w:rFonts w:cs="Arial"/>
          <w:sz w:val="20"/>
        </w:rPr>
      </w:pPr>
    </w:p>
    <w:p w:rsidR="00EF779A" w:rsidRPr="00412620" w:rsidRDefault="00E504DB">
      <w:pPr>
        <w:jc w:val="both"/>
        <w:rPr>
          <w:rFonts w:cs="Arial"/>
          <w:sz w:val="20"/>
        </w:rPr>
      </w:pPr>
      <w:r>
        <w:rPr>
          <w:rStyle w:val="FootnoteReference"/>
          <w:rFonts w:cs="Arial"/>
          <w:sz w:val="20"/>
        </w:rPr>
        <w:footnoteReference w:id="192"/>
      </w:r>
      <w:r w:rsidR="008F06FF" w:rsidRPr="00412620">
        <w:rPr>
          <w:rFonts w:cs="Arial"/>
          <w:sz w:val="20"/>
        </w:rPr>
        <w:t>[</w:t>
      </w:r>
      <w:r w:rsidR="008F06FF" w:rsidRPr="00412620">
        <w:rPr>
          <w:rFonts w:cs="Arial"/>
          <w:b/>
          <w:sz w:val="20"/>
        </w:rPr>
        <w:t>15A.</w:t>
      </w:r>
      <w:r w:rsidR="008F06FF" w:rsidRPr="00412620">
        <w:rPr>
          <w:rFonts w:cs="Arial"/>
          <w:b/>
          <w:sz w:val="20"/>
        </w:rPr>
        <w:tab/>
        <w:t>Deductions in computing income chargeable under the head “Income from Pr</w:t>
      </w:r>
      <w:r w:rsidR="00435E95" w:rsidRPr="00412620">
        <w:rPr>
          <w:rFonts w:cs="Arial"/>
          <w:b/>
          <w:sz w:val="20"/>
        </w:rPr>
        <w:t>operty”.</w:t>
      </w:r>
      <w:r w:rsidR="008F06FF" w:rsidRPr="00412620">
        <w:rPr>
          <w:rFonts w:cs="Arial"/>
          <w:b/>
          <w:sz w:val="20"/>
        </w:rPr>
        <w:t xml:space="preserve">— </w:t>
      </w:r>
      <w:r w:rsidR="008F06FF" w:rsidRPr="00412620">
        <w:rPr>
          <w:rFonts w:cs="Arial"/>
          <w:sz w:val="20"/>
        </w:rPr>
        <w:t xml:space="preserve">(1) In computing the income of a </w:t>
      </w:r>
      <w:r w:rsidR="00727072" w:rsidRPr="00D612BA">
        <w:rPr>
          <w:rStyle w:val="FootnoteReference"/>
          <w:rFonts w:cs="Arial"/>
          <w:color w:val="0070C0"/>
          <w:sz w:val="20"/>
        </w:rPr>
        <w:footnoteReference w:id="193"/>
      </w:r>
      <w:r w:rsidR="00727072" w:rsidRPr="00D612BA">
        <w:rPr>
          <w:rFonts w:cs="Arial"/>
          <w:color w:val="0070C0"/>
          <w:sz w:val="20"/>
        </w:rPr>
        <w:t>[company]</w:t>
      </w:r>
      <w:r w:rsidR="00727072">
        <w:rPr>
          <w:rFonts w:cs="Arial"/>
          <w:sz w:val="20"/>
        </w:rPr>
        <w:t xml:space="preserve"> </w:t>
      </w:r>
      <w:r w:rsidR="008F06FF" w:rsidRPr="00412620">
        <w:rPr>
          <w:rFonts w:cs="Arial"/>
          <w:sz w:val="20"/>
        </w:rPr>
        <w:t xml:space="preserve">chargeable to tax under the head “Income from Property” for a tax year, </w:t>
      </w:r>
      <w:r w:rsidR="005928E6" w:rsidRPr="00412620">
        <w:rPr>
          <w:rFonts w:cs="Arial"/>
          <w:sz w:val="20"/>
        </w:rPr>
        <w:t xml:space="preserve">a </w:t>
      </w:r>
      <w:r w:rsidR="008F06FF" w:rsidRPr="00412620">
        <w:rPr>
          <w:rFonts w:cs="Arial"/>
          <w:sz w:val="20"/>
        </w:rPr>
        <w:t>deduction shall be allowed for the following expenditures or allowances, namely:-</w:t>
      </w:r>
    </w:p>
    <w:p w:rsidR="008F06FF" w:rsidRPr="00412620" w:rsidRDefault="008F06FF" w:rsidP="00260733">
      <w:pPr>
        <w:tabs>
          <w:tab w:val="left" w:pos="720"/>
          <w:tab w:val="left" w:pos="1440"/>
          <w:tab w:val="left" w:pos="2160"/>
          <w:tab w:val="left" w:pos="2880"/>
        </w:tabs>
        <w:jc w:val="both"/>
        <w:rPr>
          <w:rFonts w:cs="Arial"/>
          <w:sz w:val="20"/>
        </w:rPr>
      </w:pPr>
    </w:p>
    <w:p w:rsidR="008F06FF" w:rsidRPr="00412620" w:rsidRDefault="008F06FF" w:rsidP="00260733">
      <w:pPr>
        <w:ind w:left="1094" w:hanging="554"/>
        <w:jc w:val="both"/>
        <w:rPr>
          <w:rFonts w:cs="Arial"/>
          <w:sz w:val="20"/>
        </w:rPr>
      </w:pPr>
      <w:r w:rsidRPr="00412620">
        <w:rPr>
          <w:rFonts w:cs="Arial"/>
          <w:sz w:val="20"/>
        </w:rPr>
        <w:t xml:space="preserve">(a)  </w:t>
      </w:r>
      <w:r w:rsidRPr="00412620">
        <w:rPr>
          <w:rFonts w:cs="Arial"/>
          <w:sz w:val="20"/>
        </w:rPr>
        <w:tab/>
      </w:r>
      <w:r w:rsidR="00275F44" w:rsidRPr="00412620">
        <w:rPr>
          <w:rFonts w:cs="Arial"/>
          <w:sz w:val="20"/>
        </w:rPr>
        <w:t>In respect of repairs to a building, an allowance equal to one-fifth of the rent chargeable to tax in respect of the building for the year, computed before any deduction allowed under this section;</w:t>
      </w:r>
    </w:p>
    <w:p w:rsidR="008F06FF" w:rsidRPr="00412620" w:rsidRDefault="008F06FF">
      <w:pPr>
        <w:jc w:val="both"/>
        <w:rPr>
          <w:rFonts w:cs="Arial"/>
          <w:sz w:val="20"/>
        </w:rPr>
      </w:pPr>
    </w:p>
    <w:p w:rsidR="008F06FF" w:rsidRPr="00412620" w:rsidRDefault="008F06FF" w:rsidP="00275F44">
      <w:pPr>
        <w:ind w:left="1094" w:hanging="554"/>
        <w:jc w:val="both"/>
        <w:rPr>
          <w:rFonts w:cs="Arial"/>
          <w:sz w:val="20"/>
        </w:rPr>
      </w:pPr>
      <w:r w:rsidRPr="00412620">
        <w:rPr>
          <w:rFonts w:cs="Arial"/>
          <w:sz w:val="20"/>
        </w:rPr>
        <w:t>(b)</w:t>
      </w:r>
      <w:r w:rsidR="00275F44" w:rsidRPr="00412620">
        <w:rPr>
          <w:rFonts w:cs="Arial"/>
          <w:sz w:val="20"/>
        </w:rPr>
        <w:tab/>
        <w:t xml:space="preserve">any premium paid or payable by the </w:t>
      </w:r>
      <w:r w:rsidR="00727072" w:rsidRPr="00D612BA">
        <w:rPr>
          <w:rStyle w:val="FootnoteReference"/>
          <w:rFonts w:cs="Arial"/>
          <w:color w:val="0070C0"/>
          <w:sz w:val="20"/>
        </w:rPr>
        <w:footnoteReference w:id="194"/>
      </w:r>
      <w:r w:rsidR="00727072" w:rsidRPr="00D612BA">
        <w:rPr>
          <w:rFonts w:cs="Arial"/>
          <w:color w:val="0070C0"/>
          <w:sz w:val="20"/>
        </w:rPr>
        <w:t>[company]</w:t>
      </w:r>
      <w:r w:rsidR="00727072">
        <w:rPr>
          <w:rFonts w:cs="Arial"/>
          <w:sz w:val="20"/>
        </w:rPr>
        <w:t xml:space="preserve"> </w:t>
      </w:r>
      <w:r w:rsidR="00275F44" w:rsidRPr="00412620">
        <w:rPr>
          <w:rFonts w:cs="Arial"/>
          <w:sz w:val="20"/>
        </w:rPr>
        <w:t xml:space="preserve"> in the year to insure the building against the risk of damage or destruction;</w:t>
      </w:r>
    </w:p>
    <w:p w:rsidR="008F06FF" w:rsidRPr="00412620" w:rsidRDefault="008F06FF">
      <w:pPr>
        <w:jc w:val="both"/>
        <w:rPr>
          <w:rFonts w:cs="Arial"/>
          <w:sz w:val="20"/>
        </w:rPr>
      </w:pPr>
    </w:p>
    <w:p w:rsidR="008F06FF" w:rsidRPr="00412620" w:rsidRDefault="008F06FF" w:rsidP="00275F44">
      <w:pPr>
        <w:ind w:left="1094" w:hanging="554"/>
        <w:jc w:val="both"/>
        <w:rPr>
          <w:rFonts w:cs="Arial"/>
          <w:sz w:val="20"/>
        </w:rPr>
      </w:pPr>
      <w:r w:rsidRPr="00412620">
        <w:rPr>
          <w:rFonts w:cs="Arial"/>
          <w:sz w:val="20"/>
        </w:rPr>
        <w:t>(c)</w:t>
      </w:r>
      <w:r w:rsidR="00275F44" w:rsidRPr="00412620">
        <w:rPr>
          <w:rFonts w:cs="Arial"/>
          <w:sz w:val="20"/>
        </w:rPr>
        <w:tab/>
        <w:t xml:space="preserve">any local rate, tax, charge or cess in respect of the property or the rent from the property paid or payable by the </w:t>
      </w:r>
      <w:r w:rsidR="00727072" w:rsidRPr="00D612BA">
        <w:rPr>
          <w:rStyle w:val="FootnoteReference"/>
          <w:rFonts w:cs="Arial"/>
          <w:color w:val="0070C0"/>
          <w:sz w:val="20"/>
        </w:rPr>
        <w:footnoteReference w:id="195"/>
      </w:r>
      <w:r w:rsidR="00727072" w:rsidRPr="00D612BA">
        <w:rPr>
          <w:rFonts w:cs="Arial"/>
          <w:color w:val="0070C0"/>
          <w:sz w:val="20"/>
        </w:rPr>
        <w:t>[company]</w:t>
      </w:r>
      <w:r w:rsidR="00727072">
        <w:rPr>
          <w:rFonts w:cs="Arial"/>
          <w:sz w:val="20"/>
        </w:rPr>
        <w:t xml:space="preserve"> </w:t>
      </w:r>
      <w:r w:rsidR="00275F44" w:rsidRPr="00412620">
        <w:rPr>
          <w:rFonts w:cs="Arial"/>
          <w:sz w:val="20"/>
        </w:rPr>
        <w:t>to any local authority or government in the year, not being any tax payable under this Ordinance;</w:t>
      </w:r>
    </w:p>
    <w:p w:rsidR="008F06FF" w:rsidRPr="00412620" w:rsidRDefault="008F06FF">
      <w:pPr>
        <w:jc w:val="both"/>
        <w:rPr>
          <w:rFonts w:cs="Arial"/>
          <w:sz w:val="20"/>
        </w:rPr>
      </w:pPr>
    </w:p>
    <w:p w:rsidR="008F06FF" w:rsidRPr="00412620" w:rsidRDefault="008F06FF" w:rsidP="00AE6007">
      <w:pPr>
        <w:ind w:left="1094" w:hanging="554"/>
        <w:jc w:val="both"/>
        <w:rPr>
          <w:rFonts w:cs="Arial"/>
          <w:sz w:val="20"/>
        </w:rPr>
      </w:pPr>
      <w:r w:rsidRPr="00412620">
        <w:rPr>
          <w:rFonts w:cs="Arial"/>
          <w:sz w:val="20"/>
        </w:rPr>
        <w:t>(d)</w:t>
      </w:r>
      <w:r w:rsidR="00876C74" w:rsidRPr="00412620">
        <w:rPr>
          <w:rFonts w:cs="Arial"/>
          <w:sz w:val="20"/>
        </w:rPr>
        <w:tab/>
      </w:r>
      <w:r w:rsidR="00AE6007" w:rsidRPr="00412620">
        <w:rPr>
          <w:rFonts w:cs="Arial"/>
          <w:sz w:val="20"/>
        </w:rPr>
        <w:t xml:space="preserve">any ground rent paid or payable by the </w:t>
      </w:r>
      <w:r w:rsidR="00727072" w:rsidRPr="00D612BA">
        <w:rPr>
          <w:rStyle w:val="FootnoteReference"/>
          <w:rFonts w:cs="Arial"/>
          <w:color w:val="0070C0"/>
          <w:sz w:val="20"/>
        </w:rPr>
        <w:footnoteReference w:id="196"/>
      </w:r>
      <w:r w:rsidR="00727072" w:rsidRPr="00D612BA">
        <w:rPr>
          <w:rFonts w:cs="Arial"/>
          <w:color w:val="0070C0"/>
          <w:sz w:val="20"/>
        </w:rPr>
        <w:t>[company]</w:t>
      </w:r>
      <w:r w:rsidR="00727072">
        <w:rPr>
          <w:rFonts w:cs="Arial"/>
          <w:sz w:val="20"/>
        </w:rPr>
        <w:t xml:space="preserve"> </w:t>
      </w:r>
      <w:r w:rsidR="00AE6007" w:rsidRPr="00412620">
        <w:rPr>
          <w:rFonts w:cs="Arial"/>
          <w:sz w:val="20"/>
        </w:rPr>
        <w:t>in the year in respect  of the property;</w:t>
      </w:r>
    </w:p>
    <w:p w:rsidR="008F06FF" w:rsidRPr="00412620" w:rsidRDefault="008F06FF">
      <w:pPr>
        <w:jc w:val="both"/>
        <w:rPr>
          <w:rFonts w:cs="Arial"/>
          <w:sz w:val="20"/>
        </w:rPr>
      </w:pPr>
    </w:p>
    <w:p w:rsidR="008F06FF" w:rsidRPr="00412620" w:rsidRDefault="008F06FF" w:rsidP="00243CC4">
      <w:pPr>
        <w:ind w:left="1094" w:hanging="554"/>
        <w:jc w:val="both"/>
        <w:rPr>
          <w:rFonts w:cs="Arial"/>
          <w:sz w:val="20"/>
        </w:rPr>
      </w:pPr>
      <w:r w:rsidRPr="00412620">
        <w:rPr>
          <w:rFonts w:cs="Arial"/>
          <w:sz w:val="20"/>
        </w:rPr>
        <w:t>(e)</w:t>
      </w:r>
      <w:r w:rsidR="00AE6007" w:rsidRPr="00412620">
        <w:rPr>
          <w:rFonts w:cs="Arial"/>
          <w:sz w:val="20"/>
        </w:rPr>
        <w:tab/>
      </w:r>
      <w:r w:rsidR="0087624C" w:rsidRPr="00412620">
        <w:rPr>
          <w:rFonts w:cs="Arial"/>
          <w:sz w:val="20"/>
        </w:rPr>
        <w:t xml:space="preserve">any profit paid or payable by the </w:t>
      </w:r>
      <w:r w:rsidR="00210F31" w:rsidRPr="00D612BA">
        <w:rPr>
          <w:rStyle w:val="FootnoteReference"/>
          <w:rFonts w:cs="Arial"/>
          <w:color w:val="0070C0"/>
          <w:sz w:val="20"/>
        </w:rPr>
        <w:footnoteReference w:id="197"/>
      </w:r>
      <w:r w:rsidR="00210F31" w:rsidRPr="00D612BA">
        <w:rPr>
          <w:rFonts w:cs="Arial"/>
          <w:color w:val="0070C0"/>
          <w:sz w:val="20"/>
        </w:rPr>
        <w:t>[company]</w:t>
      </w:r>
      <w:r w:rsidR="00210F31">
        <w:rPr>
          <w:rFonts w:cs="Arial"/>
          <w:sz w:val="20"/>
        </w:rPr>
        <w:t xml:space="preserve"> </w:t>
      </w:r>
      <w:r w:rsidR="0087624C" w:rsidRPr="00412620">
        <w:rPr>
          <w:rFonts w:cs="Arial"/>
          <w:sz w:val="20"/>
        </w:rPr>
        <w:t>in the year on any money borrowed including by way of mortgage, to acquire, construct, renovate, extend or reconstruct the property</w:t>
      </w:r>
      <w:r w:rsidR="00243CC4" w:rsidRPr="00412620">
        <w:rPr>
          <w:rFonts w:cs="Arial"/>
          <w:sz w:val="20"/>
        </w:rPr>
        <w:t>;</w:t>
      </w:r>
    </w:p>
    <w:p w:rsidR="008F06FF" w:rsidRPr="00412620" w:rsidRDefault="008F06FF">
      <w:pPr>
        <w:jc w:val="both"/>
        <w:rPr>
          <w:rFonts w:cs="Arial"/>
          <w:sz w:val="20"/>
        </w:rPr>
      </w:pPr>
    </w:p>
    <w:p w:rsidR="008F06FF" w:rsidRPr="00412620" w:rsidRDefault="008F06FF" w:rsidP="000C5B6C">
      <w:pPr>
        <w:ind w:left="1094" w:hanging="554"/>
        <w:jc w:val="both"/>
        <w:rPr>
          <w:rFonts w:cs="Arial"/>
          <w:sz w:val="20"/>
        </w:rPr>
      </w:pPr>
      <w:r w:rsidRPr="00412620">
        <w:rPr>
          <w:rFonts w:cs="Arial"/>
          <w:sz w:val="20"/>
        </w:rPr>
        <w:t xml:space="preserve">(f) </w:t>
      </w:r>
      <w:r w:rsidR="00243CC4" w:rsidRPr="00412620">
        <w:rPr>
          <w:rFonts w:cs="Arial"/>
          <w:sz w:val="20"/>
        </w:rPr>
        <w:tab/>
      </w:r>
      <w:r w:rsidR="005F2E24" w:rsidRPr="00412620">
        <w:rPr>
          <w:rFonts w:cs="Arial"/>
          <w:sz w:val="20"/>
        </w:rPr>
        <w:t xml:space="preserve">where the property has been acquired, constructed, renovated, extended, or reconstructed by the </w:t>
      </w:r>
      <w:r w:rsidR="00210F31" w:rsidRPr="00D612BA">
        <w:rPr>
          <w:rStyle w:val="FootnoteReference"/>
          <w:rFonts w:cs="Arial"/>
          <w:color w:val="0070C0"/>
          <w:sz w:val="20"/>
        </w:rPr>
        <w:footnoteReference w:id="198"/>
      </w:r>
      <w:r w:rsidR="00210F31" w:rsidRPr="00D612BA">
        <w:rPr>
          <w:rFonts w:cs="Arial"/>
          <w:color w:val="0070C0"/>
          <w:sz w:val="20"/>
        </w:rPr>
        <w:t>[company]</w:t>
      </w:r>
      <w:r w:rsidR="00210F31">
        <w:rPr>
          <w:rFonts w:cs="Arial"/>
          <w:sz w:val="20"/>
        </w:rPr>
        <w:t xml:space="preserve"> </w:t>
      </w:r>
      <w:r w:rsidR="005F2E24" w:rsidRPr="00412620">
        <w:rPr>
          <w:rFonts w:cs="Arial"/>
          <w:sz w:val="20"/>
        </w:rPr>
        <w:t xml:space="preserve">with </w:t>
      </w:r>
      <w:r w:rsidR="000C5B6C" w:rsidRPr="00412620">
        <w:rPr>
          <w:rFonts w:cs="Arial"/>
          <w:sz w:val="20"/>
        </w:rPr>
        <w:t xml:space="preserve">capital contributed by the House Building Finance Corporation or a scheduled bank under a scheme of investment in property on the </w:t>
      </w:r>
      <w:r w:rsidR="000C5B6C" w:rsidRPr="00412620">
        <w:rPr>
          <w:rFonts w:cs="Arial"/>
          <w:sz w:val="20"/>
        </w:rPr>
        <w:lastRenderedPageBreak/>
        <w:t xml:space="preserve">basis of sharing the rent made by the Corporation or bank, the share in rent and share towards appreciation in the value of property (excluding the return of capital, if any) from the property paid or payable by the </w:t>
      </w:r>
      <w:r w:rsidR="00210F31" w:rsidRPr="00D612BA">
        <w:rPr>
          <w:rStyle w:val="FootnoteReference"/>
          <w:rFonts w:cs="Arial"/>
          <w:color w:val="0070C0"/>
          <w:sz w:val="20"/>
        </w:rPr>
        <w:footnoteReference w:id="199"/>
      </w:r>
      <w:r w:rsidR="00210F31" w:rsidRPr="00D612BA">
        <w:rPr>
          <w:rFonts w:cs="Arial"/>
          <w:color w:val="0070C0"/>
          <w:sz w:val="20"/>
        </w:rPr>
        <w:t>[company]</w:t>
      </w:r>
      <w:r w:rsidR="00210F31">
        <w:rPr>
          <w:rFonts w:cs="Arial"/>
          <w:sz w:val="20"/>
        </w:rPr>
        <w:t xml:space="preserve"> </w:t>
      </w:r>
      <w:r w:rsidR="000C5B6C" w:rsidRPr="00412620">
        <w:rPr>
          <w:rFonts w:cs="Arial"/>
          <w:sz w:val="20"/>
        </w:rPr>
        <w:t>to the said Corporation or the bank in the year under that scheme;</w:t>
      </w:r>
    </w:p>
    <w:p w:rsidR="008F06FF" w:rsidRPr="00412620" w:rsidRDefault="008F06FF">
      <w:pPr>
        <w:jc w:val="both"/>
        <w:rPr>
          <w:rFonts w:cs="Arial"/>
          <w:sz w:val="20"/>
        </w:rPr>
      </w:pPr>
    </w:p>
    <w:p w:rsidR="008F06FF" w:rsidRPr="00412620" w:rsidRDefault="008F06FF" w:rsidP="00985336">
      <w:pPr>
        <w:ind w:left="1094" w:hanging="554"/>
        <w:jc w:val="both"/>
        <w:rPr>
          <w:rFonts w:cs="Arial"/>
          <w:sz w:val="20"/>
        </w:rPr>
      </w:pPr>
      <w:r w:rsidRPr="00412620">
        <w:rPr>
          <w:rFonts w:cs="Arial"/>
          <w:sz w:val="20"/>
        </w:rPr>
        <w:t xml:space="preserve">(g) </w:t>
      </w:r>
      <w:r w:rsidR="00F361D0" w:rsidRPr="00412620">
        <w:rPr>
          <w:rFonts w:cs="Arial"/>
          <w:sz w:val="20"/>
        </w:rPr>
        <w:tab/>
      </w:r>
      <w:r w:rsidR="00985336" w:rsidRPr="00412620">
        <w:rPr>
          <w:rFonts w:cs="Arial"/>
          <w:sz w:val="20"/>
        </w:rPr>
        <w:t>where the property is subject to mortgage or other capital charge, the amount of profit or interest paid on such mortgage or charge;</w:t>
      </w:r>
    </w:p>
    <w:p w:rsidR="008F06FF" w:rsidRPr="00412620" w:rsidRDefault="008F06FF">
      <w:pPr>
        <w:jc w:val="both"/>
        <w:rPr>
          <w:rFonts w:cs="Arial"/>
          <w:sz w:val="20"/>
        </w:rPr>
      </w:pPr>
    </w:p>
    <w:p w:rsidR="00207607" w:rsidRPr="00AC737C" w:rsidRDefault="00AC737C" w:rsidP="00207607">
      <w:pPr>
        <w:autoSpaceDE w:val="0"/>
        <w:autoSpaceDN w:val="0"/>
        <w:adjustRightInd w:val="0"/>
        <w:ind w:left="1094" w:hanging="554"/>
        <w:jc w:val="both"/>
        <w:rPr>
          <w:rFonts w:cs="Arial"/>
          <w:color w:val="984806" w:themeColor="accent6" w:themeShade="80"/>
          <w:sz w:val="20"/>
          <w:lang w:val="en-US"/>
        </w:rPr>
      </w:pPr>
      <w:r w:rsidRPr="00F90C97">
        <w:rPr>
          <w:rStyle w:val="FootnoteReference"/>
          <w:rFonts w:cs="Arial"/>
          <w:color w:val="000000" w:themeColor="text1"/>
          <w:sz w:val="20"/>
          <w:lang w:val="en-US"/>
        </w:rPr>
        <w:footnoteReference w:id="200"/>
      </w:r>
      <w:r w:rsidR="00207607" w:rsidRPr="00F90C97">
        <w:rPr>
          <w:rFonts w:cs="Arial"/>
          <w:color w:val="000000" w:themeColor="text1"/>
          <w:sz w:val="20"/>
          <w:lang w:val="en-US"/>
        </w:rPr>
        <w:t xml:space="preserve">[(h) </w:t>
      </w:r>
      <w:r w:rsidR="00207607" w:rsidRPr="00F90C97">
        <w:rPr>
          <w:rFonts w:cs="Arial"/>
          <w:color w:val="000000" w:themeColor="text1"/>
          <w:sz w:val="20"/>
          <w:lang w:val="en-US"/>
        </w:rPr>
        <w:tab/>
        <w:t>any expenditure, not exceeding six per cent of the rent chargeable to tax in respect of the property for the year computed before any deduction allowed under this section, paid or payable by the</w:t>
      </w:r>
      <w:r w:rsidR="00207607" w:rsidRPr="00AC737C">
        <w:rPr>
          <w:rFonts w:cs="Arial"/>
          <w:color w:val="984806" w:themeColor="accent6" w:themeShade="80"/>
          <w:sz w:val="20"/>
          <w:lang w:val="en-US"/>
        </w:rPr>
        <w:t xml:space="preserve"> </w:t>
      </w:r>
      <w:r w:rsidR="00210F31" w:rsidRPr="00D612BA">
        <w:rPr>
          <w:rStyle w:val="FootnoteReference"/>
          <w:rFonts w:cs="Arial"/>
          <w:color w:val="0070C0"/>
          <w:sz w:val="20"/>
        </w:rPr>
        <w:footnoteReference w:id="201"/>
      </w:r>
      <w:r w:rsidR="00210F31" w:rsidRPr="00D612BA">
        <w:rPr>
          <w:rFonts w:cs="Arial"/>
          <w:color w:val="0070C0"/>
          <w:sz w:val="20"/>
        </w:rPr>
        <w:t>[company]</w:t>
      </w:r>
      <w:r w:rsidR="00210F31">
        <w:rPr>
          <w:rFonts w:cs="Arial"/>
          <w:sz w:val="20"/>
        </w:rPr>
        <w:t xml:space="preserve"> </w:t>
      </w:r>
      <w:r w:rsidR="00207607" w:rsidRPr="00F90C97">
        <w:rPr>
          <w:rFonts w:cs="Arial"/>
          <w:color w:val="000000" w:themeColor="text1"/>
          <w:sz w:val="20"/>
          <w:lang w:val="en-US"/>
        </w:rPr>
        <w:t>in the year wholly and exclusively for the purpose of deriving rent chargeable to tax under the head, “Income from Property” including administ</w:t>
      </w:r>
      <w:r w:rsidR="006F6997" w:rsidRPr="00F90C97">
        <w:rPr>
          <w:rFonts w:cs="Arial"/>
          <w:color w:val="000000" w:themeColor="text1"/>
          <w:sz w:val="20"/>
          <w:lang w:val="en-US"/>
        </w:rPr>
        <w:t>ration and collection charges;”</w:t>
      </w:r>
      <w:r w:rsidRPr="00F90C97">
        <w:rPr>
          <w:rFonts w:cs="Arial"/>
          <w:color w:val="000000" w:themeColor="text1"/>
          <w:sz w:val="20"/>
          <w:lang w:val="en-US"/>
        </w:rPr>
        <w:t>]</w:t>
      </w:r>
    </w:p>
    <w:p w:rsidR="00AC737C" w:rsidRPr="00207607" w:rsidRDefault="00AC737C" w:rsidP="00207607">
      <w:pPr>
        <w:autoSpaceDE w:val="0"/>
        <w:autoSpaceDN w:val="0"/>
        <w:adjustRightInd w:val="0"/>
        <w:ind w:left="1094" w:hanging="554"/>
        <w:jc w:val="both"/>
        <w:rPr>
          <w:rFonts w:cs="Arial"/>
          <w:sz w:val="20"/>
        </w:rPr>
      </w:pPr>
    </w:p>
    <w:p w:rsidR="008F06FF" w:rsidRPr="00412620" w:rsidRDefault="00985336" w:rsidP="004B20DC">
      <w:pPr>
        <w:numPr>
          <w:ilvl w:val="0"/>
          <w:numId w:val="32"/>
        </w:numPr>
        <w:ind w:left="1080" w:hanging="540"/>
        <w:jc w:val="both"/>
        <w:rPr>
          <w:rFonts w:cs="Arial"/>
          <w:sz w:val="20"/>
        </w:rPr>
      </w:pPr>
      <w:r w:rsidRPr="00412620">
        <w:rPr>
          <w:rFonts w:cs="Arial"/>
          <w:sz w:val="20"/>
        </w:rPr>
        <w:t xml:space="preserve">any expenditure paid or payable by the </w:t>
      </w:r>
      <w:r w:rsidR="00210F31" w:rsidRPr="00D612BA">
        <w:rPr>
          <w:rStyle w:val="FootnoteReference"/>
          <w:rFonts w:cs="Arial"/>
          <w:color w:val="0070C0"/>
          <w:sz w:val="20"/>
        </w:rPr>
        <w:footnoteReference w:id="202"/>
      </w:r>
      <w:r w:rsidR="00210F31" w:rsidRPr="00D612BA">
        <w:rPr>
          <w:rFonts w:cs="Arial"/>
          <w:color w:val="0070C0"/>
          <w:sz w:val="20"/>
        </w:rPr>
        <w:t>[company]</w:t>
      </w:r>
      <w:r w:rsidR="00210F31">
        <w:rPr>
          <w:rFonts w:cs="Arial"/>
          <w:sz w:val="20"/>
        </w:rPr>
        <w:t xml:space="preserve"> </w:t>
      </w:r>
      <w:r w:rsidRPr="00412620">
        <w:rPr>
          <w:rFonts w:cs="Arial"/>
          <w:sz w:val="20"/>
        </w:rPr>
        <w:t xml:space="preserve">in the tax year </w:t>
      </w:r>
      <w:r w:rsidR="0029142F" w:rsidRPr="00412620">
        <w:rPr>
          <w:rFonts w:cs="Arial"/>
          <w:sz w:val="20"/>
        </w:rPr>
        <w:t xml:space="preserve">for legal services acquired to defend the </w:t>
      </w:r>
      <w:r w:rsidR="00210F31" w:rsidRPr="00D612BA">
        <w:rPr>
          <w:rStyle w:val="FootnoteReference"/>
          <w:rFonts w:cs="Arial"/>
          <w:color w:val="0070C0"/>
          <w:sz w:val="20"/>
        </w:rPr>
        <w:footnoteReference w:id="203"/>
      </w:r>
      <w:r w:rsidR="00210F31" w:rsidRPr="00D612BA">
        <w:rPr>
          <w:rFonts w:cs="Arial"/>
          <w:color w:val="0070C0"/>
          <w:sz w:val="20"/>
        </w:rPr>
        <w:t>[company]</w:t>
      </w:r>
      <w:r w:rsidR="0029142F" w:rsidRPr="00412620">
        <w:rPr>
          <w:rFonts w:cs="Arial"/>
          <w:sz w:val="20"/>
        </w:rPr>
        <w:t>’s title to the property or any suit connected with the property in a court; and</w:t>
      </w:r>
    </w:p>
    <w:p w:rsidR="008F06FF" w:rsidRPr="00412620" w:rsidRDefault="008F06FF">
      <w:pPr>
        <w:jc w:val="both"/>
        <w:rPr>
          <w:rFonts w:cs="Arial"/>
          <w:sz w:val="20"/>
        </w:rPr>
      </w:pPr>
    </w:p>
    <w:p w:rsidR="008F06FF" w:rsidRPr="00412620" w:rsidRDefault="008F06FF" w:rsidP="00260733">
      <w:pPr>
        <w:ind w:left="1080" w:hanging="540"/>
        <w:jc w:val="both"/>
        <w:rPr>
          <w:rFonts w:cs="Arial"/>
          <w:sz w:val="20"/>
        </w:rPr>
      </w:pPr>
      <w:r w:rsidRPr="00412620">
        <w:rPr>
          <w:rFonts w:cs="Arial"/>
          <w:sz w:val="20"/>
        </w:rPr>
        <w:t>(j)</w:t>
      </w:r>
      <w:r w:rsidR="0029142F" w:rsidRPr="00412620">
        <w:rPr>
          <w:rFonts w:cs="Arial"/>
          <w:sz w:val="20"/>
        </w:rPr>
        <w:tab/>
        <w:t xml:space="preserve">where there </w:t>
      </w:r>
      <w:r w:rsidR="00CA5F89" w:rsidRPr="00412620">
        <w:rPr>
          <w:rFonts w:cs="Arial"/>
          <w:sz w:val="20"/>
        </w:rPr>
        <w:t>are reasonable grounds for believing that any unpaid rent in respect of the property is irrecoverable, an allowance equal to the unpaid rent where</w:t>
      </w:r>
      <w:r w:rsidR="00F95570" w:rsidRPr="00412620">
        <w:rPr>
          <w:rFonts w:cs="Arial"/>
          <w:b/>
          <w:sz w:val="20"/>
        </w:rPr>
        <w:t>—</w:t>
      </w:r>
    </w:p>
    <w:p w:rsidR="00260733" w:rsidRPr="00412620" w:rsidRDefault="00260733">
      <w:pPr>
        <w:jc w:val="both"/>
        <w:rPr>
          <w:rFonts w:cs="Arial"/>
          <w:sz w:val="20"/>
        </w:rPr>
      </w:pPr>
    </w:p>
    <w:p w:rsidR="00A71D14" w:rsidRPr="00412620" w:rsidRDefault="00500814" w:rsidP="004B20DC">
      <w:pPr>
        <w:numPr>
          <w:ilvl w:val="0"/>
          <w:numId w:val="33"/>
        </w:numPr>
        <w:tabs>
          <w:tab w:val="left" w:pos="720"/>
          <w:tab w:val="left" w:pos="1440"/>
          <w:tab w:val="left" w:pos="2160"/>
          <w:tab w:val="left" w:pos="2880"/>
        </w:tabs>
        <w:jc w:val="both"/>
        <w:rPr>
          <w:rFonts w:cs="Arial"/>
          <w:sz w:val="20"/>
        </w:rPr>
      </w:pPr>
      <w:r w:rsidRPr="00412620">
        <w:rPr>
          <w:rFonts w:cs="Arial"/>
          <w:sz w:val="20"/>
        </w:rPr>
        <w:t xml:space="preserve">the tenancy was </w:t>
      </w:r>
      <w:r w:rsidRPr="00412620">
        <w:rPr>
          <w:rFonts w:cs="Arial"/>
          <w:i/>
          <w:sz w:val="20"/>
        </w:rPr>
        <w:t>bona fide</w:t>
      </w:r>
      <w:r w:rsidRPr="00412620">
        <w:rPr>
          <w:rFonts w:cs="Arial"/>
          <w:sz w:val="20"/>
        </w:rPr>
        <w:t xml:space="preserve">, the defaulting tenant has vacated the property or steps have been taken to compel the tenant to vacate the property and the defaulting tenant is not in occupation of any other property of the </w:t>
      </w:r>
      <w:r w:rsidR="00210F31" w:rsidRPr="00D612BA">
        <w:rPr>
          <w:rStyle w:val="FootnoteReference"/>
          <w:rFonts w:cs="Arial"/>
          <w:color w:val="0070C0"/>
          <w:sz w:val="20"/>
        </w:rPr>
        <w:footnoteReference w:id="204"/>
      </w:r>
      <w:r w:rsidR="00210F31" w:rsidRPr="00D612BA">
        <w:rPr>
          <w:rFonts w:cs="Arial"/>
          <w:color w:val="0070C0"/>
          <w:sz w:val="20"/>
        </w:rPr>
        <w:t>[company]</w:t>
      </w:r>
      <w:r w:rsidRPr="00412620">
        <w:rPr>
          <w:rFonts w:cs="Arial"/>
          <w:sz w:val="20"/>
        </w:rPr>
        <w:t>;</w:t>
      </w:r>
    </w:p>
    <w:p w:rsidR="00500814" w:rsidRPr="00412620" w:rsidRDefault="00500814" w:rsidP="00500814">
      <w:pPr>
        <w:tabs>
          <w:tab w:val="left" w:pos="720"/>
          <w:tab w:val="left" w:pos="1440"/>
          <w:tab w:val="left" w:pos="2160"/>
          <w:tab w:val="left" w:pos="2880"/>
        </w:tabs>
        <w:ind w:left="2160"/>
        <w:jc w:val="both"/>
        <w:rPr>
          <w:rFonts w:cs="Arial"/>
          <w:sz w:val="20"/>
        </w:rPr>
      </w:pPr>
    </w:p>
    <w:p w:rsidR="00500814" w:rsidRPr="00412620" w:rsidRDefault="000D5870" w:rsidP="004B20DC">
      <w:pPr>
        <w:numPr>
          <w:ilvl w:val="0"/>
          <w:numId w:val="33"/>
        </w:numPr>
        <w:tabs>
          <w:tab w:val="left" w:pos="720"/>
          <w:tab w:val="left" w:pos="1440"/>
          <w:tab w:val="left" w:pos="2160"/>
          <w:tab w:val="left" w:pos="2880"/>
        </w:tabs>
        <w:jc w:val="both"/>
        <w:rPr>
          <w:rFonts w:cs="Arial"/>
          <w:sz w:val="20"/>
        </w:rPr>
      </w:pPr>
      <w:r w:rsidRPr="00412620">
        <w:rPr>
          <w:rFonts w:cs="Arial"/>
          <w:sz w:val="20"/>
        </w:rPr>
        <w:t xml:space="preserve">the </w:t>
      </w:r>
      <w:r w:rsidR="00210F31" w:rsidRPr="00D612BA">
        <w:rPr>
          <w:rStyle w:val="FootnoteReference"/>
          <w:rFonts w:cs="Arial"/>
          <w:color w:val="0070C0"/>
          <w:sz w:val="20"/>
        </w:rPr>
        <w:footnoteReference w:id="205"/>
      </w:r>
      <w:r w:rsidR="00210F31" w:rsidRPr="00D612BA">
        <w:rPr>
          <w:rFonts w:cs="Arial"/>
          <w:color w:val="0070C0"/>
          <w:sz w:val="20"/>
        </w:rPr>
        <w:t>[company]</w:t>
      </w:r>
      <w:r w:rsidR="00210F31">
        <w:rPr>
          <w:rFonts w:cs="Arial"/>
          <w:sz w:val="20"/>
        </w:rPr>
        <w:t xml:space="preserve"> </w:t>
      </w:r>
      <w:r w:rsidRPr="00412620">
        <w:rPr>
          <w:rFonts w:cs="Arial"/>
          <w:sz w:val="20"/>
        </w:rPr>
        <w:t xml:space="preserve"> has taken all reasonable steps to institute legal proceedings for the recovery of the unpaid rent or has reasonable grounds to believe that legal proceedings would be useless; and </w:t>
      </w:r>
    </w:p>
    <w:p w:rsidR="000D5870" w:rsidRPr="00412620" w:rsidRDefault="000D5870" w:rsidP="000D5870">
      <w:pPr>
        <w:pStyle w:val="ListParagraph"/>
        <w:rPr>
          <w:rFonts w:cs="Arial"/>
          <w:sz w:val="20"/>
        </w:rPr>
      </w:pPr>
    </w:p>
    <w:p w:rsidR="000D5870" w:rsidRPr="00412620" w:rsidRDefault="000D5870" w:rsidP="004B20DC">
      <w:pPr>
        <w:numPr>
          <w:ilvl w:val="0"/>
          <w:numId w:val="33"/>
        </w:numPr>
        <w:tabs>
          <w:tab w:val="left" w:pos="720"/>
          <w:tab w:val="left" w:pos="1440"/>
          <w:tab w:val="left" w:pos="2160"/>
          <w:tab w:val="left" w:pos="2880"/>
        </w:tabs>
        <w:jc w:val="both"/>
        <w:rPr>
          <w:rFonts w:cs="Arial"/>
          <w:sz w:val="20"/>
        </w:rPr>
      </w:pPr>
      <w:r w:rsidRPr="00412620">
        <w:rPr>
          <w:rFonts w:cs="Arial"/>
          <w:sz w:val="20"/>
        </w:rPr>
        <w:t xml:space="preserve">the unpaid rent has been included in the income of the </w:t>
      </w:r>
      <w:r w:rsidR="00210F31" w:rsidRPr="00B455DC">
        <w:rPr>
          <w:rStyle w:val="FootnoteReference"/>
          <w:rFonts w:cs="Arial"/>
          <w:color w:val="0070C0"/>
          <w:sz w:val="20"/>
        </w:rPr>
        <w:footnoteReference w:id="206"/>
      </w:r>
      <w:r w:rsidR="00210F31" w:rsidRPr="00B455DC">
        <w:rPr>
          <w:rFonts w:cs="Arial"/>
          <w:color w:val="0070C0"/>
          <w:sz w:val="20"/>
        </w:rPr>
        <w:t>[company]</w:t>
      </w:r>
      <w:r w:rsidR="00210F31">
        <w:rPr>
          <w:rFonts w:cs="Arial"/>
          <w:sz w:val="20"/>
        </w:rPr>
        <w:t xml:space="preserve"> </w:t>
      </w:r>
      <w:r w:rsidRPr="00412620">
        <w:rPr>
          <w:rFonts w:cs="Arial"/>
          <w:sz w:val="20"/>
        </w:rPr>
        <w:t>chargeable to tax under the head “Income from Property” for the tax year in which the rent was due and tax has</w:t>
      </w:r>
      <w:r w:rsidR="00A43D40" w:rsidRPr="00412620">
        <w:rPr>
          <w:rFonts w:cs="Arial"/>
          <w:sz w:val="20"/>
        </w:rPr>
        <w:t xml:space="preserve"> been duly paid on such income.</w:t>
      </w:r>
    </w:p>
    <w:p w:rsidR="00A71D14" w:rsidRPr="00412620" w:rsidRDefault="00A71D14" w:rsidP="00260733">
      <w:pPr>
        <w:tabs>
          <w:tab w:val="left" w:pos="720"/>
          <w:tab w:val="left" w:pos="1440"/>
          <w:tab w:val="left" w:pos="2160"/>
          <w:tab w:val="left" w:pos="2880"/>
        </w:tabs>
        <w:jc w:val="both"/>
        <w:rPr>
          <w:rFonts w:cs="Arial"/>
          <w:sz w:val="20"/>
        </w:rPr>
      </w:pPr>
    </w:p>
    <w:p w:rsidR="00A43D40" w:rsidRPr="00412620" w:rsidRDefault="00A43D40" w:rsidP="00260733">
      <w:pPr>
        <w:tabs>
          <w:tab w:val="left" w:pos="720"/>
          <w:tab w:val="left" w:pos="1440"/>
          <w:tab w:val="left" w:pos="2160"/>
          <w:tab w:val="left" w:pos="2880"/>
        </w:tabs>
        <w:jc w:val="both"/>
        <w:rPr>
          <w:rFonts w:cs="Arial"/>
          <w:sz w:val="20"/>
        </w:rPr>
      </w:pPr>
      <w:r w:rsidRPr="00412620">
        <w:rPr>
          <w:rFonts w:cs="Arial"/>
          <w:sz w:val="20"/>
        </w:rPr>
        <w:tab/>
        <w:t xml:space="preserve">(2) </w:t>
      </w:r>
      <w:r w:rsidRPr="00412620">
        <w:rPr>
          <w:rFonts w:cs="Arial"/>
          <w:sz w:val="20"/>
        </w:rPr>
        <w:tab/>
        <w:t>Where any unpaid rent allowed as a deduction under clause (j) of sub-section (1) is wholly or partly recovered, the amount recovered shall be chargeable to tax in the tax year in which it is recovered.</w:t>
      </w:r>
    </w:p>
    <w:p w:rsidR="00A43D40" w:rsidRPr="00412620" w:rsidRDefault="00A43D40" w:rsidP="00260733">
      <w:pPr>
        <w:tabs>
          <w:tab w:val="left" w:pos="720"/>
          <w:tab w:val="left" w:pos="1440"/>
          <w:tab w:val="left" w:pos="2160"/>
          <w:tab w:val="left" w:pos="2880"/>
        </w:tabs>
        <w:jc w:val="both"/>
        <w:rPr>
          <w:rFonts w:cs="Arial"/>
          <w:sz w:val="20"/>
        </w:rPr>
      </w:pPr>
    </w:p>
    <w:p w:rsidR="00A43D40" w:rsidRPr="00412620" w:rsidRDefault="00A43D40" w:rsidP="00260733">
      <w:pPr>
        <w:tabs>
          <w:tab w:val="left" w:pos="720"/>
          <w:tab w:val="left" w:pos="1440"/>
          <w:tab w:val="left" w:pos="2160"/>
          <w:tab w:val="left" w:pos="2880"/>
        </w:tabs>
        <w:jc w:val="both"/>
        <w:rPr>
          <w:rFonts w:cs="Arial"/>
          <w:sz w:val="20"/>
        </w:rPr>
      </w:pPr>
      <w:r w:rsidRPr="00412620">
        <w:rPr>
          <w:rFonts w:cs="Arial"/>
          <w:sz w:val="20"/>
        </w:rPr>
        <w:tab/>
        <w:t xml:space="preserve">(3) </w:t>
      </w:r>
      <w:r w:rsidRPr="00412620">
        <w:rPr>
          <w:rFonts w:cs="Arial"/>
          <w:sz w:val="20"/>
        </w:rPr>
        <w:tab/>
      </w:r>
      <w:r w:rsidR="00A540E5" w:rsidRPr="00412620">
        <w:rPr>
          <w:rFonts w:cs="Arial"/>
          <w:sz w:val="20"/>
        </w:rPr>
        <w:t>Where a person has been allowed a deduction for any expenditure incurred in deriving rent chargeable to tax under the head “Income from Property” and the person has not paid the liability or a part of the liability to which the deduction relates within three years of the end of the tax year in which the deduction was allowed, the unpaid amount of the liability shall be chargeable to tax under the head “Income from Property” in the first tax year following the end of the three years.</w:t>
      </w:r>
    </w:p>
    <w:p w:rsidR="00A540E5" w:rsidRPr="00412620" w:rsidRDefault="00A540E5" w:rsidP="00260733">
      <w:pPr>
        <w:tabs>
          <w:tab w:val="left" w:pos="720"/>
          <w:tab w:val="left" w:pos="1440"/>
          <w:tab w:val="left" w:pos="2160"/>
          <w:tab w:val="left" w:pos="2880"/>
        </w:tabs>
        <w:jc w:val="both"/>
        <w:rPr>
          <w:rFonts w:cs="Arial"/>
          <w:sz w:val="20"/>
        </w:rPr>
      </w:pPr>
    </w:p>
    <w:p w:rsidR="00A540E5" w:rsidRPr="00412620" w:rsidRDefault="00A540E5" w:rsidP="00260733">
      <w:pPr>
        <w:tabs>
          <w:tab w:val="left" w:pos="720"/>
          <w:tab w:val="left" w:pos="1440"/>
          <w:tab w:val="left" w:pos="2160"/>
          <w:tab w:val="left" w:pos="2880"/>
        </w:tabs>
        <w:jc w:val="both"/>
        <w:rPr>
          <w:rFonts w:cs="Arial"/>
          <w:sz w:val="20"/>
        </w:rPr>
      </w:pPr>
      <w:r w:rsidRPr="00412620">
        <w:rPr>
          <w:rFonts w:cs="Arial"/>
          <w:sz w:val="20"/>
        </w:rPr>
        <w:tab/>
        <w:t xml:space="preserve">(4) </w:t>
      </w:r>
      <w:r w:rsidRPr="00412620">
        <w:rPr>
          <w:rFonts w:cs="Arial"/>
          <w:sz w:val="20"/>
        </w:rPr>
        <w:tab/>
        <w:t>Where an unpaid liability is chargeable to tax as a result of the application of sub-section (3) and the person subsequently pays the liability or a part of the liability, the person shall be allowed a deduction for the amount paid in the tax year in which the payment is made.</w:t>
      </w:r>
    </w:p>
    <w:p w:rsidR="00A540E5" w:rsidRPr="00412620" w:rsidRDefault="00A540E5" w:rsidP="00260733">
      <w:pPr>
        <w:tabs>
          <w:tab w:val="left" w:pos="720"/>
          <w:tab w:val="left" w:pos="1440"/>
          <w:tab w:val="left" w:pos="2160"/>
          <w:tab w:val="left" w:pos="2880"/>
        </w:tabs>
        <w:jc w:val="both"/>
        <w:rPr>
          <w:rFonts w:cs="Arial"/>
          <w:sz w:val="20"/>
        </w:rPr>
      </w:pPr>
    </w:p>
    <w:p w:rsidR="00A540E5" w:rsidRPr="00412620" w:rsidRDefault="00A540E5" w:rsidP="00260733">
      <w:pPr>
        <w:tabs>
          <w:tab w:val="left" w:pos="720"/>
          <w:tab w:val="left" w:pos="1440"/>
          <w:tab w:val="left" w:pos="2160"/>
          <w:tab w:val="left" w:pos="2880"/>
        </w:tabs>
        <w:jc w:val="both"/>
        <w:rPr>
          <w:rFonts w:cs="Arial"/>
          <w:sz w:val="20"/>
        </w:rPr>
      </w:pPr>
      <w:r w:rsidRPr="00412620">
        <w:rPr>
          <w:rFonts w:cs="Arial"/>
          <w:sz w:val="20"/>
        </w:rPr>
        <w:tab/>
        <w:t xml:space="preserve">(5) </w:t>
      </w:r>
      <w:r w:rsidRPr="00412620">
        <w:rPr>
          <w:rFonts w:cs="Arial"/>
          <w:sz w:val="20"/>
        </w:rPr>
        <w:tab/>
        <w:t xml:space="preserve">Any expenditure allowed to a person under this section as a deduction shall not be allowed as a deduction in computing the income of the person chargeable to tax under any other head of income. </w:t>
      </w:r>
    </w:p>
    <w:p w:rsidR="00553CB9" w:rsidRPr="00412620" w:rsidRDefault="00553CB9" w:rsidP="00260733">
      <w:pPr>
        <w:tabs>
          <w:tab w:val="left" w:pos="720"/>
          <w:tab w:val="left" w:pos="1440"/>
          <w:tab w:val="left" w:pos="2160"/>
          <w:tab w:val="left" w:pos="2880"/>
        </w:tabs>
        <w:jc w:val="both"/>
        <w:rPr>
          <w:rFonts w:cs="Arial"/>
          <w:sz w:val="20"/>
        </w:rPr>
      </w:pPr>
    </w:p>
    <w:p w:rsidR="00553CB9" w:rsidRPr="00412620" w:rsidRDefault="00553CB9" w:rsidP="00260733">
      <w:pPr>
        <w:tabs>
          <w:tab w:val="left" w:pos="720"/>
          <w:tab w:val="left" w:pos="1440"/>
          <w:tab w:val="left" w:pos="2160"/>
          <w:tab w:val="left" w:pos="2880"/>
        </w:tabs>
        <w:jc w:val="both"/>
        <w:rPr>
          <w:rFonts w:cs="Arial"/>
          <w:sz w:val="20"/>
        </w:rPr>
      </w:pPr>
      <w:r w:rsidRPr="00412620">
        <w:rPr>
          <w:rFonts w:cs="Arial"/>
          <w:sz w:val="20"/>
        </w:rPr>
        <w:tab/>
        <w:t xml:space="preserve">(6) </w:t>
      </w:r>
      <w:r w:rsidRPr="00412620">
        <w:rPr>
          <w:rFonts w:cs="Arial"/>
          <w:sz w:val="20"/>
        </w:rPr>
        <w:tab/>
        <w:t>The provisions of section 21 shall apply in determining the deductions allowed to a person under this section in the same manner as they apply in determining the deductions allowed in computing the income of a person chargeable to tax unde</w:t>
      </w:r>
      <w:r w:rsidR="00BC296A">
        <w:rPr>
          <w:rFonts w:cs="Arial"/>
          <w:sz w:val="20"/>
        </w:rPr>
        <w:t>r the head “Income from</w:t>
      </w:r>
      <w:r w:rsidR="00BE2EA8">
        <w:rPr>
          <w:rFonts w:cs="Arial"/>
          <w:sz w:val="20"/>
        </w:rPr>
        <w:t xml:space="preserve"> </w:t>
      </w:r>
      <w:r w:rsidR="00B37D5E">
        <w:rPr>
          <w:rFonts w:cs="Arial"/>
          <w:sz w:val="20"/>
        </w:rPr>
        <w:t>B</w:t>
      </w:r>
      <w:r w:rsidR="002264D8" w:rsidRPr="002264D8">
        <w:rPr>
          <w:rFonts w:cs="Arial"/>
          <w:sz w:val="20"/>
        </w:rPr>
        <w:t>usiness</w:t>
      </w:r>
      <w:r w:rsidRPr="00412620">
        <w:rPr>
          <w:rFonts w:cs="Arial"/>
          <w:sz w:val="20"/>
        </w:rPr>
        <w:t>”.]</w:t>
      </w:r>
    </w:p>
    <w:p w:rsidR="00A43D40" w:rsidRPr="00412620" w:rsidRDefault="00A43D40" w:rsidP="00260733">
      <w:pPr>
        <w:tabs>
          <w:tab w:val="left" w:pos="720"/>
          <w:tab w:val="left" w:pos="1440"/>
          <w:tab w:val="left" w:pos="2160"/>
          <w:tab w:val="left" w:pos="2880"/>
        </w:tabs>
        <w:jc w:val="both"/>
        <w:rPr>
          <w:rFonts w:cs="Arial"/>
          <w:sz w:val="20"/>
        </w:rPr>
      </w:pPr>
    </w:p>
    <w:p w:rsidR="006A3F93" w:rsidRPr="00412620" w:rsidRDefault="006A3F93">
      <w:pPr>
        <w:jc w:val="both"/>
        <w:rPr>
          <w:sz w:val="20"/>
        </w:rPr>
      </w:pPr>
      <w:r w:rsidRPr="00412620">
        <w:rPr>
          <w:rFonts w:cs="Arial"/>
          <w:b/>
          <w:sz w:val="20"/>
        </w:rPr>
        <w:t>16.</w:t>
      </w:r>
      <w:r w:rsidRPr="00412620">
        <w:rPr>
          <w:rFonts w:cs="Arial"/>
          <w:b/>
          <w:sz w:val="20"/>
        </w:rPr>
        <w:tab/>
        <w:t>Non-adjustable amounts received in relation to buildings.</w:t>
      </w:r>
      <w:r w:rsidR="008929FC" w:rsidRPr="00412620">
        <w:rPr>
          <w:rFonts w:cs="Arial"/>
          <w:b/>
          <w:sz w:val="20"/>
        </w:rPr>
        <w:t>—</w:t>
      </w:r>
      <w:r w:rsidRPr="00412620">
        <w:rPr>
          <w:sz w:val="20"/>
        </w:rPr>
        <w:t xml:space="preserve"> (1)  Where the owner of a building receives from a tenant an amount which is not adjustable against the rent payable by the tenant, the amount shall be treated as rent chargeable to tax under the head “Income from Property” in the tax year in which it was received and the following nine tax years in equal proportion.</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(2)</w:t>
      </w:r>
      <w:r w:rsidRPr="00412620">
        <w:rPr>
          <w:rFonts w:cs="Arial"/>
          <w:sz w:val="20"/>
        </w:rPr>
        <w:tab/>
        <w:t>Where an amount (hereinafter referred to as the “earlier amount”) referred to in sub-section (1) is refunded by the owner to the tenant on termination of the tenancy before the expiry of ten years, no portion of the amount shall be allocated to the tax year in which it is refunded or to any subsequent tax year except as provided for in sub-section (3).</w:t>
      </w:r>
    </w:p>
    <w:p w:rsidR="006A3F93" w:rsidRPr="00412620" w:rsidRDefault="006A3F93">
      <w:pPr>
        <w:jc w:val="both"/>
        <w:rPr>
          <w:rFonts w:cs="Arial"/>
          <w:sz w:val="14"/>
        </w:rPr>
      </w:pPr>
    </w:p>
    <w:p w:rsidR="006A3F93" w:rsidRPr="00412620" w:rsidRDefault="006A3F93">
      <w:pPr>
        <w:jc w:val="both"/>
        <w:rPr>
          <w:rFonts w:cs="Arial"/>
          <w:sz w:val="20"/>
        </w:rPr>
      </w:pPr>
      <w:r w:rsidRPr="00412620">
        <w:rPr>
          <w:rFonts w:cs="Arial"/>
          <w:sz w:val="20"/>
        </w:rPr>
        <w:lastRenderedPageBreak/>
        <w:tab/>
        <w:t>(3)</w:t>
      </w:r>
      <w:r w:rsidRPr="00412620">
        <w:rPr>
          <w:rFonts w:cs="Arial"/>
          <w:sz w:val="20"/>
        </w:rPr>
        <w:tab/>
        <w:t>Where the circumstances specified in sub-section (2) occur and the owner lets out the building or part thereof to another person (hereinafter referred to as the “succeeding tenant”) and receives from the succeeding tenant any amount (hereinafter referred to as the “succeeding amount”) which is not adjustable against the rent payable by the succeeding tenant, the succeeding amount as reduced by such portion of the earlier amount as was charged to tax shall be treated as rent chargeable to tax under the head “Income from Property” as specified in sub-section (1).</w:t>
      </w:r>
    </w:p>
    <w:p w:rsidR="00E85C54" w:rsidRPr="00412620" w:rsidRDefault="00E807C9">
      <w:pPr>
        <w:jc w:val="both"/>
        <w:rPr>
          <w:rFonts w:cs="Arial"/>
          <w:b/>
          <w:sz w:val="20"/>
        </w:rPr>
      </w:pPr>
      <w:r w:rsidRPr="00412620">
        <w:rPr>
          <w:rFonts w:cs="Arial"/>
          <w:sz w:val="20"/>
        </w:rPr>
        <w:br w:type="page"/>
      </w:r>
      <w:r w:rsidR="00E85C54" w:rsidRPr="00412620">
        <w:rPr>
          <w:rStyle w:val="FootnoteReference"/>
          <w:rFonts w:cs="Arial"/>
          <w:sz w:val="20"/>
        </w:rPr>
        <w:lastRenderedPageBreak/>
        <w:footnoteReference w:id="207"/>
      </w:r>
      <w:r w:rsidR="00E85C54" w:rsidRPr="00412620">
        <w:rPr>
          <w:rFonts w:cs="Arial"/>
          <w:sz w:val="20"/>
        </w:rPr>
        <w:t>[</w:t>
      </w:r>
      <w:r w:rsidR="00245086">
        <w:rPr>
          <w:rFonts w:cs="Arial"/>
          <w:sz w:val="20"/>
        </w:rPr>
        <w:t xml:space="preserve">  </w:t>
      </w:r>
      <w:r w:rsidR="00E85C54" w:rsidRPr="00412620">
        <w:rPr>
          <w:rFonts w:cs="Arial"/>
          <w:sz w:val="20"/>
        </w:rPr>
        <w:t>]</w:t>
      </w:r>
    </w:p>
    <w:p w:rsidR="006A3F93" w:rsidRPr="00412620" w:rsidRDefault="006A3F93">
      <w:pPr>
        <w:keepNext/>
        <w:jc w:val="center"/>
        <w:rPr>
          <w:rFonts w:cs="Arial"/>
          <w:b/>
          <w:sz w:val="32"/>
          <w:szCs w:val="32"/>
        </w:rPr>
      </w:pPr>
      <w:r w:rsidRPr="00412620">
        <w:rPr>
          <w:rFonts w:cs="Arial"/>
          <w:b/>
          <w:sz w:val="32"/>
          <w:szCs w:val="32"/>
        </w:rPr>
        <w:lastRenderedPageBreak/>
        <w:t>PART IV</w:t>
      </w:r>
    </w:p>
    <w:p w:rsidR="006A3F93" w:rsidRPr="00412620" w:rsidRDefault="006A3F93">
      <w:pPr>
        <w:keepNext/>
        <w:jc w:val="center"/>
        <w:rPr>
          <w:rFonts w:cs="Arial"/>
          <w:b/>
          <w:sz w:val="20"/>
        </w:rPr>
      </w:pPr>
      <w:r w:rsidRPr="00412620">
        <w:rPr>
          <w:rFonts w:cs="Arial"/>
          <w:b/>
          <w:sz w:val="20"/>
        </w:rPr>
        <w:t>HEAD OF INCOME: INCOME FROM BUSINESS</w:t>
      </w:r>
    </w:p>
    <w:p w:rsidR="006A3F93" w:rsidRPr="00412620" w:rsidRDefault="006A3F93">
      <w:pPr>
        <w:keepNext/>
        <w:jc w:val="center"/>
        <w:rPr>
          <w:rFonts w:cs="Arial"/>
          <w:b/>
          <w:i/>
          <w:sz w:val="20"/>
        </w:rPr>
      </w:pPr>
    </w:p>
    <w:p w:rsidR="006A3F93" w:rsidRPr="00412620" w:rsidRDefault="006A3F93">
      <w:pPr>
        <w:keepNext/>
        <w:jc w:val="center"/>
        <w:rPr>
          <w:rFonts w:cs="Arial"/>
          <w:b/>
          <w:sz w:val="28"/>
        </w:rPr>
      </w:pPr>
      <w:r w:rsidRPr="00412620">
        <w:rPr>
          <w:rFonts w:cs="Arial"/>
          <w:b/>
          <w:sz w:val="28"/>
        </w:rPr>
        <w:t>Division I</w:t>
      </w:r>
    </w:p>
    <w:p w:rsidR="006A3F93" w:rsidRPr="00412620" w:rsidRDefault="006A3F93">
      <w:pPr>
        <w:keepNext/>
        <w:jc w:val="center"/>
        <w:rPr>
          <w:rFonts w:cs="Arial"/>
          <w:b/>
          <w:sz w:val="20"/>
        </w:rPr>
      </w:pPr>
      <w:r w:rsidRPr="00412620">
        <w:rPr>
          <w:rFonts w:cs="Arial"/>
          <w:b/>
          <w:sz w:val="20"/>
        </w:rPr>
        <w:t>Income from Business</w:t>
      </w:r>
    </w:p>
    <w:p w:rsidR="006A3F93" w:rsidRPr="00412620" w:rsidRDefault="006A3F93">
      <w:pPr>
        <w:pStyle w:val="Header"/>
        <w:keepNext/>
        <w:tabs>
          <w:tab w:val="left" w:pos="547"/>
        </w:tabs>
        <w:rPr>
          <w:rFonts w:cs="Arial"/>
          <w:sz w:val="20"/>
        </w:rPr>
      </w:pPr>
    </w:p>
    <w:p w:rsidR="006A3F93" w:rsidRPr="00412620" w:rsidRDefault="006A3F93">
      <w:pPr>
        <w:jc w:val="both"/>
        <w:rPr>
          <w:sz w:val="20"/>
        </w:rPr>
      </w:pPr>
      <w:r w:rsidRPr="00412620">
        <w:rPr>
          <w:rFonts w:cs="Arial"/>
          <w:b/>
          <w:sz w:val="20"/>
        </w:rPr>
        <w:t>18.</w:t>
      </w:r>
      <w:r w:rsidRPr="00412620">
        <w:rPr>
          <w:rFonts w:cs="Arial"/>
          <w:b/>
          <w:sz w:val="20"/>
        </w:rPr>
        <w:tab/>
        <w:t>Income from business.</w:t>
      </w:r>
      <w:r w:rsidR="008929FC" w:rsidRPr="00412620">
        <w:rPr>
          <w:rFonts w:cs="Arial"/>
          <w:b/>
          <w:sz w:val="20"/>
        </w:rPr>
        <w:t>—</w:t>
      </w:r>
      <w:r w:rsidRPr="00412620">
        <w:rPr>
          <w:sz w:val="20"/>
        </w:rPr>
        <w:t xml:space="preserve"> (1)  The following incomes of a person for a tax year, other than income exempt from tax under this Ordinance, shall be chargeable to tax under the head “Income from Business” </w:t>
      </w:r>
      <w:r w:rsidR="00117DD2"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profits and gains of any business carried on by a person at any time in the year;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any income derived by any trade, professional or similar association from the sale of goods or provision of services to its members;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any income from the hire or lease of tangible movable property;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the fair market value of any benefit or perquisite, whether convertible into money or not, derived by a person in the course of, or by virtue of, a past, present, or prospective business relationship</w:t>
      </w:r>
      <w:r w:rsidR="004E026F" w:rsidRPr="00412620">
        <w:rPr>
          <w:rStyle w:val="FootnoteReference"/>
          <w:rFonts w:cs="Arial"/>
          <w:sz w:val="20"/>
        </w:rPr>
        <w:footnoteReference w:id="208"/>
      </w:r>
      <w:r w:rsidR="004E026F" w:rsidRPr="00412620">
        <w:rPr>
          <w:rFonts w:cs="Arial"/>
          <w:sz w:val="20"/>
        </w:rPr>
        <w:t xml:space="preserve">[.] </w:t>
      </w:r>
    </w:p>
    <w:p w:rsidR="006A3F93" w:rsidRPr="00412620" w:rsidRDefault="006A3F93">
      <w:pPr>
        <w:pStyle w:val="BodyTextIndent"/>
        <w:jc w:val="both"/>
        <w:rPr>
          <w:rFonts w:cs="Arial"/>
          <w:sz w:val="20"/>
        </w:rPr>
      </w:pPr>
    </w:p>
    <w:p w:rsidR="004E026F" w:rsidRPr="00412620" w:rsidRDefault="004E026F" w:rsidP="004E026F">
      <w:pPr>
        <w:pStyle w:val="BodyTextIndent"/>
        <w:ind w:left="1620" w:firstLine="15"/>
        <w:jc w:val="both"/>
        <w:rPr>
          <w:rFonts w:cs="Arial"/>
          <w:sz w:val="20"/>
        </w:rPr>
      </w:pPr>
      <w:r w:rsidRPr="00412620">
        <w:rPr>
          <w:rStyle w:val="FootnoteReference"/>
          <w:rFonts w:cs="Arial"/>
          <w:sz w:val="20"/>
        </w:rPr>
        <w:footnoteReference w:id="209"/>
      </w:r>
      <w:r w:rsidRPr="00412620">
        <w:rPr>
          <w:rFonts w:cs="Arial"/>
          <w:sz w:val="20"/>
        </w:rPr>
        <w:t>[</w:t>
      </w:r>
      <w:r w:rsidRPr="00412620">
        <w:rPr>
          <w:rFonts w:cs="Arial"/>
          <w:i/>
          <w:sz w:val="20"/>
        </w:rPr>
        <w:t>Explanation.</w:t>
      </w:r>
      <w:r w:rsidRPr="00412620">
        <w:rPr>
          <w:rFonts w:cs="Arial"/>
          <w:sz w:val="20"/>
        </w:rPr>
        <w:t xml:space="preserve"> — For the purposes of this clause, it is declared that the word ‘benefit’ includes any benefit derived by way of waiver of profit on debt or the debt itself under the State Bank of Pakistan Banking Policy Department’s Circular No.29 of 2002 or in any other scheme issued by the State Bank of Pakistan;]</w:t>
      </w:r>
    </w:p>
    <w:p w:rsidR="004E026F" w:rsidRPr="00412620" w:rsidRDefault="004E026F">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(e)</w:t>
      </w:r>
      <w:r w:rsidRPr="00412620">
        <w:rPr>
          <w:rFonts w:cs="Arial"/>
          <w:sz w:val="20"/>
        </w:rPr>
        <w:tab/>
        <w:t>any management fee derived by a management company (including a modaraba</w:t>
      </w:r>
      <w:r w:rsidRPr="00412620">
        <w:rPr>
          <w:rStyle w:val="FootnoteReference"/>
          <w:rFonts w:cs="Arial"/>
          <w:sz w:val="20"/>
        </w:rPr>
        <w:footnoteReference w:id="210"/>
      </w:r>
      <w:r w:rsidRPr="00412620">
        <w:rPr>
          <w:rFonts w:cs="Arial"/>
          <w:sz w:val="20"/>
        </w:rPr>
        <w:t>[management company</w:t>
      </w:r>
      <w:r w:rsidR="00AA5295" w:rsidRPr="00412620">
        <w:rPr>
          <w:rFonts w:cs="Arial"/>
          <w:sz w:val="20"/>
        </w:rPr>
        <w:t>] )</w:t>
      </w:r>
      <w:r w:rsidRPr="00412620">
        <w:rPr>
          <w:rFonts w:cs="Arial"/>
          <w:sz w:val="20"/>
        </w:rPr>
        <w:t>.]</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Any profit on debt derived by a person where the person’s business is to derive such income shall be chargeable to tax under the head “Income from Business” and not under the head “Income from Other Sources”.</w:t>
      </w:r>
    </w:p>
    <w:p w:rsidR="006A3F93" w:rsidRPr="00412620" w:rsidRDefault="006A3F93">
      <w:pPr>
        <w:jc w:val="both"/>
        <w:rPr>
          <w:rFonts w:cs="Arial"/>
          <w:sz w:val="20"/>
        </w:rPr>
      </w:pPr>
    </w:p>
    <w:p w:rsidR="006A3F93" w:rsidRPr="00245086" w:rsidRDefault="006A3F93">
      <w:pPr>
        <w:jc w:val="both"/>
        <w:rPr>
          <w:rFonts w:cs="Arial"/>
          <w:color w:val="000000" w:themeColor="text1"/>
          <w:sz w:val="20"/>
        </w:rPr>
      </w:pPr>
      <w:r w:rsidRPr="00412620">
        <w:rPr>
          <w:rStyle w:val="FootnoteReference"/>
          <w:rFonts w:cs="Arial"/>
          <w:sz w:val="20"/>
        </w:rPr>
        <w:footnoteReference w:id="211"/>
      </w:r>
      <w:r w:rsidRPr="00412620">
        <w:rPr>
          <w:rFonts w:cs="Arial"/>
          <w:sz w:val="20"/>
        </w:rPr>
        <w:t>[(3)</w:t>
      </w:r>
      <w:r w:rsidRPr="00412620">
        <w:rPr>
          <w:rFonts w:cs="Arial"/>
          <w:sz w:val="20"/>
        </w:rPr>
        <w:tab/>
      </w:r>
      <w:r w:rsidRPr="00245086">
        <w:rPr>
          <w:rFonts w:cs="Arial"/>
          <w:color w:val="000000" w:themeColor="text1"/>
          <w:sz w:val="20"/>
        </w:rPr>
        <w:t xml:space="preserve">Where a </w:t>
      </w:r>
      <w:r w:rsidR="00706410" w:rsidRPr="00245086">
        <w:rPr>
          <w:rStyle w:val="FootnoteReference"/>
          <w:rFonts w:cs="Arial"/>
          <w:color w:val="000000" w:themeColor="text1"/>
          <w:sz w:val="20"/>
        </w:rPr>
        <w:footnoteReference w:id="212"/>
      </w:r>
      <w:r w:rsidR="00A5526E" w:rsidRPr="00245086">
        <w:rPr>
          <w:rFonts w:cs="Arial"/>
          <w:color w:val="000000" w:themeColor="text1"/>
          <w:sz w:val="20"/>
        </w:rPr>
        <w:t>[lessor</w:t>
      </w:r>
      <w:r w:rsidR="00706410" w:rsidRPr="00245086">
        <w:rPr>
          <w:rFonts w:cs="Arial"/>
          <w:color w:val="000000" w:themeColor="text1"/>
          <w:sz w:val="20"/>
        </w:rPr>
        <w:t>]</w:t>
      </w:r>
      <w:r w:rsidRPr="00245086">
        <w:rPr>
          <w:rFonts w:cs="Arial"/>
          <w:color w:val="000000" w:themeColor="text1"/>
          <w:sz w:val="20"/>
        </w:rPr>
        <w:t xml:space="preserve">, being a scheduled bank or an investment bank or a development finance institution or a modaraba or a leasing company has leased out any asset, whether owned by it or not, to another person, any amount paid or payable by the said person in connection with the lease of said asset shall be treated as the income of the said </w:t>
      </w:r>
      <w:r w:rsidR="00385616" w:rsidRPr="00245086">
        <w:rPr>
          <w:rStyle w:val="FootnoteReference"/>
          <w:rFonts w:cs="Arial"/>
          <w:color w:val="000000" w:themeColor="text1"/>
          <w:sz w:val="20"/>
        </w:rPr>
        <w:footnoteReference w:id="213"/>
      </w:r>
      <w:r w:rsidR="00A5526E" w:rsidRPr="00245086">
        <w:rPr>
          <w:rFonts w:cs="Arial"/>
          <w:color w:val="000000" w:themeColor="text1"/>
          <w:sz w:val="20"/>
        </w:rPr>
        <w:t>[lessor</w:t>
      </w:r>
      <w:r w:rsidR="00385616" w:rsidRPr="00245086">
        <w:rPr>
          <w:rFonts w:cs="Arial"/>
          <w:color w:val="000000" w:themeColor="text1"/>
          <w:sz w:val="20"/>
        </w:rPr>
        <w:t>]</w:t>
      </w:r>
      <w:r w:rsidRPr="00245086">
        <w:rPr>
          <w:rFonts w:cs="Arial"/>
          <w:color w:val="000000" w:themeColor="text1"/>
          <w:sz w:val="20"/>
        </w:rPr>
        <w:t xml:space="preserve"> and shall be chargeable to tax under the head “Income from Business”.]</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214"/>
      </w:r>
      <w:r w:rsidRPr="00412620">
        <w:rPr>
          <w:rFonts w:cs="Arial"/>
          <w:sz w:val="20"/>
        </w:rPr>
        <w:t>[(4)</w:t>
      </w:r>
      <w:r w:rsidRPr="00412620">
        <w:rPr>
          <w:rFonts w:cs="Arial"/>
          <w:sz w:val="20"/>
        </w:rPr>
        <w:tab/>
        <w:t xml:space="preserve">Any amount received by a banking company or a non-banking finance company, where such amount represents distribution by a mutual fund </w:t>
      </w:r>
      <w:r w:rsidR="00432D10" w:rsidRPr="00412620">
        <w:rPr>
          <w:rStyle w:val="FootnoteReference"/>
          <w:rFonts w:cs="Arial"/>
          <w:sz w:val="20"/>
        </w:rPr>
        <w:footnoteReference w:id="215"/>
      </w:r>
      <w:r w:rsidR="00432D10" w:rsidRPr="00412620">
        <w:rPr>
          <w:rFonts w:cs="Arial"/>
          <w:sz w:val="20"/>
        </w:rPr>
        <w:t xml:space="preserve">[or a Private Equity and Venture Capital Fund] </w:t>
      </w:r>
      <w:r w:rsidRPr="00412620">
        <w:rPr>
          <w:rFonts w:cs="Arial"/>
          <w:sz w:val="20"/>
        </w:rPr>
        <w:t>out of its income from profit on debt, shall be chargeable to tax under the head “Income from Business” and not under the head “Income from Other Sources”.]</w:t>
      </w:r>
    </w:p>
    <w:p w:rsidR="006A3F93" w:rsidRPr="00412620" w:rsidRDefault="006A3F93">
      <w:pPr>
        <w:jc w:val="both"/>
        <w:rPr>
          <w:rFonts w:cs="Arial"/>
          <w:sz w:val="20"/>
        </w:rPr>
      </w:pPr>
    </w:p>
    <w:p w:rsidR="006A3F93" w:rsidRPr="00412620" w:rsidRDefault="006A3F93" w:rsidP="0025600B">
      <w:pPr>
        <w:jc w:val="both"/>
        <w:rPr>
          <w:sz w:val="20"/>
        </w:rPr>
      </w:pPr>
      <w:r w:rsidRPr="00412620">
        <w:rPr>
          <w:rFonts w:cs="Arial"/>
          <w:b/>
          <w:sz w:val="20"/>
        </w:rPr>
        <w:t>19.</w:t>
      </w:r>
      <w:r w:rsidRPr="00412620">
        <w:rPr>
          <w:rFonts w:cs="Arial"/>
          <w:b/>
          <w:sz w:val="20"/>
        </w:rPr>
        <w:tab/>
        <w:t>Speculation business.</w:t>
      </w:r>
      <w:r w:rsidR="008929FC" w:rsidRPr="00412620">
        <w:rPr>
          <w:rFonts w:cs="Arial"/>
          <w:b/>
          <w:sz w:val="20"/>
        </w:rPr>
        <w:t>—</w:t>
      </w:r>
      <w:r w:rsidRPr="00412620">
        <w:rPr>
          <w:sz w:val="20"/>
        </w:rPr>
        <w:t xml:space="preserve"> (1)  Where a person carries on a speculation business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that business shall be treated as distinct and separate from any other business carried on </w:t>
      </w:r>
      <w:r w:rsidRPr="00412620">
        <w:rPr>
          <w:rStyle w:val="FootnoteReference"/>
          <w:rFonts w:cs="Arial"/>
          <w:sz w:val="20"/>
        </w:rPr>
        <w:footnoteReference w:id="216"/>
      </w:r>
      <w:r w:rsidRPr="00412620">
        <w:rPr>
          <w:rFonts w:cs="Arial"/>
          <w:sz w:val="20"/>
        </w:rPr>
        <w:t>[by]the person;</w:t>
      </w:r>
    </w:p>
    <w:p w:rsidR="006A3F93" w:rsidRPr="00412620" w:rsidRDefault="006A3F93">
      <w:pPr>
        <w:jc w:val="both"/>
        <w:rPr>
          <w:rFonts w:cs="Arial"/>
          <w:sz w:val="20"/>
        </w:rPr>
      </w:pPr>
    </w:p>
    <w:p w:rsidR="006A3F93" w:rsidRPr="00412620" w:rsidRDefault="006A3F93" w:rsidP="00B55B3E">
      <w:pPr>
        <w:ind w:left="1620" w:hanging="540"/>
        <w:jc w:val="both"/>
        <w:rPr>
          <w:rFonts w:cs="Arial"/>
          <w:sz w:val="20"/>
        </w:rPr>
      </w:pPr>
      <w:r w:rsidRPr="00412620">
        <w:rPr>
          <w:rFonts w:cs="Arial"/>
          <w:sz w:val="20"/>
        </w:rPr>
        <w:t>(b)</w:t>
      </w:r>
      <w:r w:rsidRPr="00412620">
        <w:rPr>
          <w:rFonts w:cs="Arial"/>
          <w:sz w:val="20"/>
        </w:rPr>
        <w:tab/>
        <w:t xml:space="preserve">this Part shall apply separately to the speculation business and the other business of the person; </w:t>
      </w:r>
      <w:r w:rsidR="00B55B3E">
        <w:rPr>
          <w:rFonts w:cs="Arial"/>
          <w:sz w:val="20"/>
        </w:rPr>
        <w:t>b</w:t>
      </w:r>
      <w:r w:rsidRPr="00412620">
        <w:rPr>
          <w:rFonts w:cs="Arial"/>
          <w:sz w:val="20"/>
        </w:rPr>
        <w:t xml:space="preserve"> head “Income from Business” for that year;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any loss of the person arising from the speculation business sustained for a tax year computed in accordance with this Part shall be dealt with under section 58.</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In this section, “speculation business” means any business in which a contract for the purchase and sale of any commodity (including </w:t>
      </w:r>
      <w:r w:rsidRPr="00412620">
        <w:rPr>
          <w:rStyle w:val="FootnoteReference"/>
          <w:rFonts w:cs="Arial"/>
          <w:sz w:val="20"/>
        </w:rPr>
        <w:footnoteReference w:id="217"/>
      </w:r>
      <w:r w:rsidRPr="00412620">
        <w:rPr>
          <w:rFonts w:cs="Arial"/>
          <w:sz w:val="20"/>
        </w:rPr>
        <w:t xml:space="preserve">[stocks] and shares) is periodically or ultimately settled otherwise than by the actual delivery or transfer of the commodity, but does not include a business in which </w:t>
      </w:r>
      <w:r w:rsidR="006F4DC7"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a contract in respect of raw materials or merchandise is entered into by a person in the course of a manufacturing or </w:t>
      </w:r>
      <w:r w:rsidRPr="00412620">
        <w:rPr>
          <w:rFonts w:cs="Arial"/>
          <w:sz w:val="20"/>
        </w:rPr>
        <w:lastRenderedPageBreak/>
        <w:t>mercantile business to guard against loss through future price fluctuations for the purpose of fulfilling the person’s other contracts for the actual delivery of the goods to be manufactured or merchandise to be sold;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 contract in respect of stocks and shares is entered into by a dealer or investor therein to guard against loss in the person’s holding of stocks and shares through price fluctuations;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a contract is entered into by a member of a forward market or stock exchange in the course of any transaction in the nature of jobbing </w:t>
      </w:r>
      <w:r w:rsidRPr="00412620">
        <w:rPr>
          <w:rStyle w:val="FootnoteReference"/>
          <w:rFonts w:cs="Arial"/>
          <w:sz w:val="20"/>
        </w:rPr>
        <w:footnoteReference w:id="218"/>
      </w:r>
      <w:r w:rsidRPr="00412620">
        <w:rPr>
          <w:rFonts w:cs="Arial"/>
          <w:sz w:val="20"/>
        </w:rPr>
        <w:t>[arbitrage] to guard against any loss which may arise in the ordinary course of the person’s business as such member.</w:t>
      </w:r>
    </w:p>
    <w:p w:rsidR="006A3F93" w:rsidRPr="00412620" w:rsidRDefault="006A3F93">
      <w:pPr>
        <w:rPr>
          <w:rFonts w:cs="Arial"/>
          <w:sz w:val="20"/>
        </w:rPr>
      </w:pPr>
    </w:p>
    <w:p w:rsidR="00BD1EF0" w:rsidRPr="00412620" w:rsidRDefault="00BD1EF0">
      <w:pPr>
        <w:rPr>
          <w:rFonts w:cs="Arial"/>
          <w:sz w:val="20"/>
        </w:rPr>
      </w:pPr>
    </w:p>
    <w:p w:rsidR="006A3F93" w:rsidRPr="00412620" w:rsidRDefault="006A3F93">
      <w:pPr>
        <w:pStyle w:val="Heading8"/>
        <w:rPr>
          <w:rFonts w:cs="Arial"/>
          <w:i w:val="0"/>
          <w:sz w:val="28"/>
        </w:rPr>
      </w:pPr>
      <w:r w:rsidRPr="00412620">
        <w:rPr>
          <w:rFonts w:cs="Arial"/>
          <w:i w:val="0"/>
          <w:sz w:val="28"/>
        </w:rPr>
        <w:t>Division II</w:t>
      </w:r>
    </w:p>
    <w:p w:rsidR="006A3F93" w:rsidRPr="00412620" w:rsidRDefault="006A3F93">
      <w:pPr>
        <w:keepNext/>
        <w:jc w:val="center"/>
        <w:rPr>
          <w:rFonts w:cs="Arial"/>
          <w:b/>
          <w:sz w:val="20"/>
        </w:rPr>
      </w:pPr>
      <w:r w:rsidRPr="00412620">
        <w:rPr>
          <w:rFonts w:cs="Arial"/>
          <w:b/>
          <w:sz w:val="20"/>
        </w:rPr>
        <w:t>Deductions: General Principles</w:t>
      </w:r>
    </w:p>
    <w:p w:rsidR="006A3F93" w:rsidRPr="00412620" w:rsidRDefault="006A3F93">
      <w:pPr>
        <w:pStyle w:val="Header"/>
        <w:keepNext/>
        <w:tabs>
          <w:tab w:val="left" w:pos="547"/>
        </w:tabs>
        <w:rPr>
          <w:rFonts w:cs="Arial"/>
          <w:sz w:val="20"/>
        </w:rPr>
      </w:pPr>
    </w:p>
    <w:p w:rsidR="006A3F93" w:rsidRPr="00412620" w:rsidRDefault="006A3F93">
      <w:pPr>
        <w:jc w:val="both"/>
        <w:rPr>
          <w:sz w:val="20"/>
        </w:rPr>
      </w:pPr>
      <w:r w:rsidRPr="00412620">
        <w:rPr>
          <w:rFonts w:cs="Arial"/>
          <w:b/>
          <w:sz w:val="20"/>
        </w:rPr>
        <w:t>20.</w:t>
      </w:r>
      <w:r w:rsidRPr="00412620">
        <w:rPr>
          <w:rFonts w:cs="Arial"/>
          <w:b/>
          <w:sz w:val="20"/>
        </w:rPr>
        <w:tab/>
        <w:t>Deductions in computing income chargeable under the head “Income from Business”.</w:t>
      </w:r>
      <w:r w:rsidR="008929FC" w:rsidRPr="00412620">
        <w:rPr>
          <w:rFonts w:cs="Arial"/>
          <w:b/>
          <w:sz w:val="20"/>
        </w:rPr>
        <w:t>—</w:t>
      </w:r>
      <w:r w:rsidRPr="00412620">
        <w:rPr>
          <w:sz w:val="20"/>
        </w:rPr>
        <w:t xml:space="preserve"> (1)  Subject to this Ordinance, in computing the income of a person chargeable to tax under the head “Income from Business” for a tax year, a deduction shall be allowed for any expenditure incurred by the person in the year </w:t>
      </w:r>
      <w:r w:rsidRPr="00412620">
        <w:rPr>
          <w:rStyle w:val="FootnoteReference"/>
          <w:sz w:val="20"/>
        </w:rPr>
        <w:footnoteReference w:id="219"/>
      </w:r>
      <w:r w:rsidRPr="00412620">
        <w:rPr>
          <w:sz w:val="20"/>
        </w:rPr>
        <w:t>[wholly and exclusively for the purposes of business].</w:t>
      </w:r>
    </w:p>
    <w:p w:rsidR="006A3F93" w:rsidRPr="00412620" w:rsidRDefault="006A3F93">
      <w:pPr>
        <w:jc w:val="both"/>
        <w:rPr>
          <w:rFonts w:cs="Arial"/>
          <w:sz w:val="20"/>
        </w:rPr>
      </w:pPr>
    </w:p>
    <w:p w:rsidR="000F32D8" w:rsidRPr="00412620" w:rsidRDefault="000F32D8">
      <w:pPr>
        <w:jc w:val="both"/>
        <w:rPr>
          <w:rFonts w:cs="Arial"/>
          <w:sz w:val="20"/>
        </w:rPr>
      </w:pPr>
      <w:r w:rsidRPr="00412620">
        <w:rPr>
          <w:rFonts w:cs="Arial"/>
          <w:sz w:val="20"/>
        </w:rPr>
        <w:tab/>
      </w:r>
      <w:r w:rsidR="00B42591" w:rsidRPr="00412620">
        <w:rPr>
          <w:rStyle w:val="FootnoteReference"/>
          <w:rFonts w:cs="Arial"/>
          <w:sz w:val="20"/>
        </w:rPr>
        <w:footnoteReference w:id="220"/>
      </w:r>
      <w:r w:rsidRPr="00412620">
        <w:rPr>
          <w:rFonts w:cs="Arial"/>
          <w:sz w:val="20"/>
        </w:rPr>
        <w:t xml:space="preserve">[(1A) </w:t>
      </w:r>
      <w:r w:rsidR="00CF7632" w:rsidRPr="00412620">
        <w:rPr>
          <w:rFonts w:cs="Arial"/>
          <w:sz w:val="20"/>
        </w:rPr>
        <w:t>S</w:t>
      </w:r>
      <w:r w:rsidRPr="00412620">
        <w:rPr>
          <w:rFonts w:cs="Arial"/>
          <w:sz w:val="20"/>
        </w:rPr>
        <w:t>ubject to this Ordinance, where animals which have been used for the purposes of the business or profession otherwise than as stock-in-trade and have died or become permanently useless for such purposes, the difference between the actual cost to the taxpayer of the animals and the amount, if any, realized in respect of the carcasses or animals.]</w:t>
      </w:r>
    </w:p>
    <w:p w:rsidR="000F32D8" w:rsidRPr="00412620" w:rsidRDefault="000F32D8">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Subject to this Ordinance, where the expenditure referred to in sub-section (1) is incurred in acquiring a depreciable asset or an intangible with a useful life of more than one year or is pre-commencement expenditure, the person must depreciate or amortise the expenditure in accordance with sections 22, 23, 24 and 25.</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221"/>
      </w:r>
      <w:r w:rsidRPr="00412620">
        <w:rPr>
          <w:rFonts w:cs="Arial"/>
          <w:sz w:val="20"/>
        </w:rPr>
        <w:t>[(3)</w:t>
      </w:r>
      <w:r w:rsidRPr="00412620">
        <w:rPr>
          <w:rFonts w:cs="Arial"/>
          <w:sz w:val="20"/>
        </w:rPr>
        <w:tab/>
        <w:t xml:space="preserve">Subject to this Ordinance, where any expenditure is incurred by an amalgamated company on legal and financial advisory services and other </w:t>
      </w:r>
      <w:r w:rsidRPr="00412620">
        <w:rPr>
          <w:rFonts w:cs="Arial"/>
          <w:sz w:val="20"/>
        </w:rPr>
        <w:lastRenderedPageBreak/>
        <w:t>administrative cost relating to planning and implementation of amalgamation, a deduction shall be allowed for such expenditure.]</w:t>
      </w:r>
    </w:p>
    <w:p w:rsidR="006A3F93" w:rsidRPr="00412620" w:rsidRDefault="006A3F93">
      <w:pPr>
        <w:jc w:val="both"/>
        <w:rPr>
          <w:rFonts w:cs="Arial"/>
          <w:sz w:val="20"/>
        </w:rPr>
      </w:pPr>
    </w:p>
    <w:p w:rsidR="006A3F93" w:rsidRPr="00412620" w:rsidRDefault="006A3F93" w:rsidP="00A569DA">
      <w:pPr>
        <w:jc w:val="both"/>
        <w:rPr>
          <w:sz w:val="20"/>
        </w:rPr>
      </w:pPr>
      <w:r w:rsidRPr="00412620">
        <w:rPr>
          <w:rFonts w:cs="Arial"/>
          <w:b/>
          <w:sz w:val="20"/>
        </w:rPr>
        <w:t>21.</w:t>
      </w:r>
      <w:r w:rsidRPr="00412620">
        <w:rPr>
          <w:rFonts w:cs="Arial"/>
          <w:b/>
          <w:sz w:val="20"/>
        </w:rPr>
        <w:tab/>
        <w:t>Deductions not allowed.</w:t>
      </w:r>
      <w:r w:rsidR="008929FC" w:rsidRPr="00412620">
        <w:rPr>
          <w:rFonts w:cs="Arial"/>
          <w:b/>
          <w:sz w:val="20"/>
        </w:rPr>
        <w:t>—</w:t>
      </w:r>
      <w:r w:rsidRPr="00412620">
        <w:rPr>
          <w:sz w:val="20"/>
        </w:rPr>
        <w:t xml:space="preserve"> Except as otherwise provided in this Ordinance, no deduction shall be allowed in computing the income of a person under the head “Income from Business” for </w:t>
      </w:r>
      <w:r w:rsidR="008929FC" w:rsidRPr="00412620">
        <w:rPr>
          <w:sz w:val="20"/>
        </w:rPr>
        <w:t>—</w:t>
      </w:r>
    </w:p>
    <w:p w:rsidR="006A3F93" w:rsidRPr="00412620" w:rsidRDefault="006A3F93">
      <w:pPr>
        <w:jc w:val="both"/>
        <w:rPr>
          <w:rFonts w:cs="Arial"/>
          <w:sz w:val="20"/>
        </w:rPr>
      </w:pPr>
    </w:p>
    <w:p w:rsidR="006A3F93" w:rsidRPr="00412620" w:rsidRDefault="006A3F93">
      <w:pPr>
        <w:pStyle w:val="BodyTextIndent"/>
        <w:spacing w:line="240" w:lineRule="exact"/>
        <w:ind w:left="1620" w:hanging="540"/>
        <w:jc w:val="both"/>
        <w:rPr>
          <w:rFonts w:cs="Arial"/>
          <w:sz w:val="20"/>
        </w:rPr>
      </w:pPr>
      <w:r w:rsidRPr="00412620">
        <w:rPr>
          <w:rFonts w:cs="Arial"/>
          <w:sz w:val="20"/>
        </w:rPr>
        <w:t>(a)</w:t>
      </w:r>
      <w:r w:rsidRPr="00412620">
        <w:rPr>
          <w:rFonts w:cs="Arial"/>
          <w:sz w:val="20"/>
        </w:rPr>
        <w:tab/>
        <w:t xml:space="preserve">any cess, rate or tax paid or payable by the person in Pakistan or a foreign country that is levied on the profits or gains of the business or assessed as a </w:t>
      </w:r>
      <w:r w:rsidR="00BC296A" w:rsidRPr="00096524">
        <w:rPr>
          <w:rFonts w:cs="Arial"/>
          <w:sz w:val="20"/>
        </w:rPr>
        <w:t>per</w:t>
      </w:r>
      <w:r w:rsidR="00AB6F06" w:rsidRPr="00096524">
        <w:rPr>
          <w:rFonts w:cs="Arial"/>
          <w:sz w:val="20"/>
        </w:rPr>
        <w:t>cent</w:t>
      </w:r>
      <w:r w:rsidRPr="00096524">
        <w:rPr>
          <w:rFonts w:cs="Arial"/>
          <w:sz w:val="20"/>
        </w:rPr>
        <w:t>age</w:t>
      </w:r>
      <w:r w:rsidRPr="00412620">
        <w:rPr>
          <w:rFonts w:cs="Arial"/>
          <w:sz w:val="20"/>
        </w:rPr>
        <w:t xml:space="preserve"> or otherwise on the basis of such profits or gains;</w:t>
      </w:r>
    </w:p>
    <w:p w:rsidR="006A3F93" w:rsidRPr="00412620" w:rsidRDefault="006A3F93">
      <w:pPr>
        <w:pStyle w:val="BodyTextIndent"/>
        <w:tabs>
          <w:tab w:val="left" w:pos="720"/>
          <w:tab w:val="left" w:pos="1440"/>
        </w:tabs>
        <w:spacing w:line="240" w:lineRule="exact"/>
        <w:jc w:val="both"/>
        <w:rPr>
          <w:rFonts w:cs="Arial"/>
          <w:sz w:val="20"/>
        </w:rPr>
      </w:pPr>
    </w:p>
    <w:p w:rsidR="006A3F93" w:rsidRPr="00412620" w:rsidRDefault="006A3F93">
      <w:pPr>
        <w:pStyle w:val="BodyTextIndent"/>
        <w:spacing w:line="240" w:lineRule="exact"/>
        <w:ind w:left="1620" w:hanging="540"/>
        <w:jc w:val="both"/>
        <w:rPr>
          <w:rFonts w:cs="Arial"/>
          <w:sz w:val="20"/>
        </w:rPr>
      </w:pPr>
      <w:r w:rsidRPr="00412620">
        <w:rPr>
          <w:rFonts w:cs="Arial"/>
          <w:sz w:val="20"/>
        </w:rPr>
        <w:t>(b)</w:t>
      </w:r>
      <w:r w:rsidRPr="00412620">
        <w:rPr>
          <w:rFonts w:cs="Arial"/>
          <w:sz w:val="20"/>
        </w:rPr>
        <w:tab/>
        <w:t xml:space="preserve">any amount of tax deducted under Division III of Part V of Chapter X from an amount derived by the person; </w:t>
      </w:r>
    </w:p>
    <w:p w:rsidR="006A3F93" w:rsidRPr="00412620" w:rsidRDefault="006A3F93">
      <w:pPr>
        <w:pStyle w:val="BodyTextIndent"/>
        <w:jc w:val="both"/>
        <w:rPr>
          <w:rFonts w:cs="Arial"/>
          <w:sz w:val="20"/>
        </w:rPr>
      </w:pPr>
    </w:p>
    <w:p w:rsidR="000B4C0F" w:rsidRPr="00B455DC" w:rsidRDefault="000B4C0F" w:rsidP="000B4C0F">
      <w:pPr>
        <w:ind w:left="1620" w:hanging="525"/>
        <w:jc w:val="both"/>
        <w:rPr>
          <w:rFonts w:cs="Arial"/>
          <w:color w:val="0070C0"/>
          <w:sz w:val="20"/>
        </w:rPr>
      </w:pPr>
      <w:r w:rsidRPr="00B455DC">
        <w:rPr>
          <w:rStyle w:val="FootnoteReference"/>
          <w:rFonts w:cs="Arial"/>
          <w:color w:val="0070C0"/>
          <w:sz w:val="20"/>
        </w:rPr>
        <w:footnoteReference w:id="222"/>
      </w:r>
      <w:r w:rsidRPr="00B455DC">
        <w:rPr>
          <w:rFonts w:cs="Arial"/>
          <w:color w:val="0070C0"/>
          <w:sz w:val="20"/>
        </w:rPr>
        <w:t>[“(c)</w:t>
      </w:r>
      <w:r w:rsidRPr="00B455DC">
        <w:rPr>
          <w:rFonts w:cs="Arial"/>
          <w:color w:val="0070C0"/>
          <w:sz w:val="20"/>
        </w:rPr>
        <w:tab/>
        <w:t>any expenditure from which the person is required to deduct or collect tax under Part V of Chapter X or Chapter XII, unless the person has paid or deducted and paid the tax as required by Division IV of Part V of Chapter X:</w:t>
      </w:r>
    </w:p>
    <w:p w:rsidR="000B4C0F" w:rsidRPr="00B455DC" w:rsidRDefault="000B4C0F" w:rsidP="000B4C0F">
      <w:pPr>
        <w:ind w:left="2160"/>
        <w:jc w:val="both"/>
        <w:rPr>
          <w:rFonts w:cs="Arial"/>
          <w:color w:val="0070C0"/>
          <w:sz w:val="20"/>
        </w:rPr>
      </w:pPr>
    </w:p>
    <w:p w:rsidR="000B4C0F" w:rsidRPr="00B455DC" w:rsidRDefault="000B4C0F" w:rsidP="000B4C0F">
      <w:pPr>
        <w:ind w:left="1620" w:firstLine="720"/>
        <w:jc w:val="both"/>
        <w:rPr>
          <w:rFonts w:cs="Arial"/>
          <w:color w:val="0070C0"/>
          <w:sz w:val="20"/>
        </w:rPr>
      </w:pPr>
      <w:r w:rsidRPr="00B455DC">
        <w:rPr>
          <w:rFonts w:cs="Arial"/>
          <w:color w:val="0070C0"/>
          <w:sz w:val="20"/>
        </w:rPr>
        <w:t xml:space="preserve">Provided that disallowance </w:t>
      </w:r>
      <w:r w:rsidRPr="00B455DC">
        <w:rPr>
          <w:rFonts w:cs="Arial"/>
          <w:bCs/>
          <w:color w:val="0070C0"/>
          <w:sz w:val="20"/>
        </w:rPr>
        <w:t>in respect of purchases of raw materials and finished goods</w:t>
      </w:r>
      <w:r w:rsidRPr="00B455DC">
        <w:rPr>
          <w:rFonts w:cs="Arial"/>
          <w:color w:val="0070C0"/>
          <w:sz w:val="20"/>
        </w:rPr>
        <w:t xml:space="preserve"> under this clause shall not exceed twenty per cent of purchases of raw materials and finished goods:</w:t>
      </w:r>
    </w:p>
    <w:p w:rsidR="000B4C0F" w:rsidRPr="00B455DC" w:rsidRDefault="000B4C0F" w:rsidP="000B4C0F">
      <w:pPr>
        <w:ind w:left="2160" w:firstLine="720"/>
        <w:jc w:val="both"/>
        <w:rPr>
          <w:rFonts w:cs="Arial"/>
          <w:color w:val="0070C0"/>
          <w:sz w:val="20"/>
        </w:rPr>
      </w:pPr>
    </w:p>
    <w:p w:rsidR="000B4C0F" w:rsidRPr="00B455DC" w:rsidRDefault="000B4C0F" w:rsidP="000B4C0F">
      <w:pPr>
        <w:pStyle w:val="ListParagraph"/>
        <w:ind w:left="1620" w:firstLine="720"/>
        <w:jc w:val="both"/>
        <w:rPr>
          <w:rFonts w:cs="Arial"/>
          <w:color w:val="0070C0"/>
          <w:sz w:val="20"/>
        </w:rPr>
      </w:pPr>
      <w:r w:rsidRPr="00B455DC">
        <w:rPr>
          <w:rFonts w:cs="Arial"/>
          <w:color w:val="0070C0"/>
          <w:sz w:val="20"/>
        </w:rPr>
        <w:t>Provided further that recovery of any amount of tax under sections 161 or 162 shall be considered as tax paid.”]</w:t>
      </w:r>
    </w:p>
    <w:p w:rsidR="006A3F93" w:rsidRPr="00412620" w:rsidRDefault="006A3F93">
      <w:pPr>
        <w:pStyle w:val="BodyTextIndent"/>
        <w:spacing w:line="240" w:lineRule="exact"/>
        <w:ind w:left="1620" w:hanging="540"/>
        <w:jc w:val="both"/>
        <w:rPr>
          <w:rFonts w:cs="Arial"/>
          <w:sz w:val="20"/>
        </w:rPr>
      </w:pPr>
    </w:p>
    <w:p w:rsidR="006A3F93" w:rsidRPr="00412620" w:rsidRDefault="006A3F93">
      <w:pPr>
        <w:pStyle w:val="BodyTextIndent"/>
        <w:spacing w:line="240" w:lineRule="exact"/>
        <w:ind w:left="1620" w:hanging="540"/>
        <w:jc w:val="both"/>
        <w:rPr>
          <w:rFonts w:cs="Arial"/>
          <w:sz w:val="20"/>
        </w:rPr>
      </w:pPr>
      <w:r w:rsidRPr="00412620">
        <w:rPr>
          <w:rFonts w:cs="Arial"/>
          <w:sz w:val="20"/>
        </w:rPr>
        <w:t>(d)</w:t>
      </w:r>
      <w:r w:rsidRPr="00412620">
        <w:rPr>
          <w:rFonts w:cs="Arial"/>
          <w:sz w:val="20"/>
        </w:rPr>
        <w:tab/>
        <w:t xml:space="preserve">any entertainment expenditure in excess of such limits </w:t>
      </w:r>
      <w:r w:rsidRPr="00412620">
        <w:rPr>
          <w:rStyle w:val="FootnoteReference"/>
          <w:rFonts w:cs="Arial"/>
          <w:sz w:val="20"/>
        </w:rPr>
        <w:footnoteReference w:id="223"/>
      </w:r>
      <w:r w:rsidRPr="00412620">
        <w:rPr>
          <w:rFonts w:cs="Arial"/>
          <w:sz w:val="20"/>
        </w:rPr>
        <w:t>[or in violation of such conditions] as may be prescribed;</w:t>
      </w:r>
    </w:p>
    <w:p w:rsidR="006A3F93" w:rsidRPr="00412620" w:rsidRDefault="006A3F93">
      <w:pPr>
        <w:pStyle w:val="BodyTextIndent"/>
        <w:jc w:val="both"/>
        <w:rPr>
          <w:rFonts w:cs="Arial"/>
          <w:sz w:val="20"/>
        </w:rPr>
      </w:pPr>
    </w:p>
    <w:p w:rsidR="006A3F93" w:rsidRPr="00412620" w:rsidRDefault="006A3F93">
      <w:pPr>
        <w:pStyle w:val="BodyTextIndent"/>
        <w:spacing w:line="240" w:lineRule="exact"/>
        <w:ind w:left="1620" w:hanging="540"/>
        <w:jc w:val="both"/>
        <w:rPr>
          <w:rFonts w:cs="Arial"/>
          <w:sz w:val="20"/>
        </w:rPr>
      </w:pPr>
      <w:r w:rsidRPr="00412620">
        <w:rPr>
          <w:rFonts w:cs="Arial"/>
          <w:sz w:val="20"/>
        </w:rPr>
        <w:t>(e)</w:t>
      </w:r>
      <w:r w:rsidRPr="00412620">
        <w:rPr>
          <w:rFonts w:cs="Arial"/>
          <w:sz w:val="20"/>
        </w:rPr>
        <w:tab/>
        <w:t>any contribution made by the person to a fund that is not a recognized provident fund</w:t>
      </w:r>
      <w:r w:rsidR="000B4C0F">
        <w:rPr>
          <w:rFonts w:cs="Arial"/>
          <w:sz w:val="20"/>
        </w:rPr>
        <w:t xml:space="preserve"> </w:t>
      </w:r>
      <w:r w:rsidR="003B0BB4" w:rsidRPr="008A63D1">
        <w:rPr>
          <w:rStyle w:val="FootnoteReference"/>
          <w:rFonts w:cs="Arial"/>
          <w:color w:val="000000" w:themeColor="text1"/>
          <w:sz w:val="20"/>
        </w:rPr>
        <w:footnoteReference w:id="224"/>
      </w:r>
      <w:r w:rsidR="003B0BB4" w:rsidRPr="008A63D1">
        <w:rPr>
          <w:rFonts w:cs="Arial"/>
          <w:color w:val="000000" w:themeColor="text1"/>
          <w:sz w:val="20"/>
        </w:rPr>
        <w:t>[,]</w:t>
      </w:r>
      <w:r w:rsidR="000B4C0F">
        <w:rPr>
          <w:rFonts w:cs="Arial"/>
          <w:color w:val="000000" w:themeColor="text1"/>
          <w:sz w:val="20"/>
        </w:rPr>
        <w:t xml:space="preserve"> </w:t>
      </w:r>
      <w:r w:rsidRPr="00412620">
        <w:rPr>
          <w:rStyle w:val="FootnoteReference"/>
          <w:rFonts w:cs="Arial"/>
          <w:sz w:val="20"/>
        </w:rPr>
        <w:footnoteReference w:id="225"/>
      </w:r>
      <w:r w:rsidRPr="00412620">
        <w:rPr>
          <w:rFonts w:cs="Arial"/>
          <w:sz w:val="20"/>
        </w:rPr>
        <w:t>[approved pension fund], approved superannuation fund</w:t>
      </w:r>
      <w:r w:rsidR="00BE2EA8">
        <w:rPr>
          <w:rFonts w:cs="Arial"/>
          <w:sz w:val="20"/>
        </w:rPr>
        <w:t xml:space="preserve"> </w:t>
      </w:r>
      <w:r w:rsidRPr="00412620">
        <w:rPr>
          <w:rFonts w:cs="Arial"/>
          <w:sz w:val="20"/>
        </w:rPr>
        <w:t>or approved gratuity fund;</w:t>
      </w:r>
    </w:p>
    <w:p w:rsidR="006A3F93" w:rsidRPr="00412620" w:rsidRDefault="006A3F93">
      <w:pPr>
        <w:pStyle w:val="BodyTextIndent"/>
        <w:jc w:val="both"/>
        <w:rPr>
          <w:rFonts w:cs="Arial"/>
          <w:sz w:val="20"/>
        </w:rPr>
      </w:pPr>
    </w:p>
    <w:p w:rsidR="006A3F93" w:rsidRPr="00412620" w:rsidRDefault="006A3F93">
      <w:pPr>
        <w:pStyle w:val="BodyTextIndent"/>
        <w:spacing w:line="240" w:lineRule="exact"/>
        <w:ind w:left="1620" w:hanging="540"/>
        <w:jc w:val="both"/>
        <w:rPr>
          <w:rFonts w:cs="Arial"/>
          <w:sz w:val="20"/>
        </w:rPr>
      </w:pPr>
      <w:r w:rsidRPr="00412620">
        <w:rPr>
          <w:rFonts w:cs="Arial"/>
          <w:sz w:val="20"/>
        </w:rPr>
        <w:t>(f)</w:t>
      </w:r>
      <w:r w:rsidRPr="00412620">
        <w:rPr>
          <w:rFonts w:cs="Arial"/>
          <w:sz w:val="20"/>
        </w:rPr>
        <w:tab/>
        <w:t xml:space="preserve">any contribution made by the person to any provident or other fund established for the benefit of employees of the person, </w:t>
      </w:r>
      <w:r w:rsidRPr="00412620">
        <w:rPr>
          <w:rFonts w:cs="Arial"/>
          <w:sz w:val="20"/>
        </w:rPr>
        <w:lastRenderedPageBreak/>
        <w:t xml:space="preserve">unless the person has made effective arrangements to secure that tax is deducted under section 149 from any payments made by the fund in respect of which the recipient is chargeable to tax under the head "Salary"; </w:t>
      </w:r>
    </w:p>
    <w:p w:rsidR="006A3F93" w:rsidRPr="00412620" w:rsidRDefault="006A3F93">
      <w:pPr>
        <w:pStyle w:val="BodyTextIndent"/>
        <w:jc w:val="both"/>
        <w:rPr>
          <w:rFonts w:cs="Arial"/>
          <w:sz w:val="20"/>
        </w:rPr>
      </w:pPr>
    </w:p>
    <w:p w:rsidR="006A3F93" w:rsidRPr="00412620" w:rsidRDefault="006A3F93">
      <w:pPr>
        <w:pStyle w:val="BodyTextIndent"/>
        <w:spacing w:line="240" w:lineRule="exact"/>
        <w:ind w:left="1620" w:hanging="540"/>
        <w:jc w:val="both"/>
        <w:rPr>
          <w:rFonts w:cs="Arial"/>
          <w:sz w:val="20"/>
        </w:rPr>
      </w:pPr>
      <w:r w:rsidRPr="00412620">
        <w:rPr>
          <w:rFonts w:cs="Arial"/>
          <w:sz w:val="20"/>
        </w:rPr>
        <w:t>(g)</w:t>
      </w:r>
      <w:r w:rsidRPr="00412620">
        <w:rPr>
          <w:rFonts w:cs="Arial"/>
          <w:sz w:val="20"/>
        </w:rPr>
        <w:tab/>
        <w:t>any fine or penalty paid or payable by the person for the violation of any law, rule or regulation;</w:t>
      </w:r>
    </w:p>
    <w:p w:rsidR="006A3F93" w:rsidRPr="00412620" w:rsidRDefault="006A3F93">
      <w:pPr>
        <w:pStyle w:val="BodyTextIndent"/>
        <w:jc w:val="both"/>
        <w:rPr>
          <w:rFonts w:cs="Arial"/>
          <w:sz w:val="20"/>
        </w:rPr>
      </w:pPr>
    </w:p>
    <w:p w:rsidR="006A3F93" w:rsidRPr="00412620" w:rsidRDefault="006A3F93">
      <w:pPr>
        <w:pStyle w:val="BodyTextIndent"/>
        <w:spacing w:line="240" w:lineRule="exact"/>
        <w:ind w:left="1620" w:hanging="540"/>
        <w:jc w:val="both"/>
        <w:rPr>
          <w:rFonts w:cs="Arial"/>
          <w:sz w:val="20"/>
        </w:rPr>
      </w:pPr>
      <w:r w:rsidRPr="00412620">
        <w:rPr>
          <w:rFonts w:cs="Arial"/>
          <w:sz w:val="20"/>
        </w:rPr>
        <w:t>(h)</w:t>
      </w:r>
      <w:r w:rsidRPr="00412620">
        <w:rPr>
          <w:rFonts w:cs="Arial"/>
          <w:sz w:val="20"/>
        </w:rPr>
        <w:tab/>
        <w:t xml:space="preserve">any personal expenditures incurred by the person; </w:t>
      </w:r>
    </w:p>
    <w:p w:rsidR="006A3F93" w:rsidRPr="00412620" w:rsidRDefault="006A3F93">
      <w:pPr>
        <w:pStyle w:val="BodyTextIndent"/>
        <w:jc w:val="both"/>
        <w:rPr>
          <w:rFonts w:cs="Arial"/>
          <w:sz w:val="20"/>
        </w:rPr>
      </w:pPr>
    </w:p>
    <w:p w:rsidR="006A3F93" w:rsidRPr="00412620" w:rsidRDefault="006A3F93" w:rsidP="00927BA8">
      <w:pPr>
        <w:pStyle w:val="BodyTextIndent"/>
        <w:spacing w:line="240" w:lineRule="exact"/>
        <w:ind w:left="1620" w:hanging="526"/>
        <w:jc w:val="both"/>
        <w:rPr>
          <w:rFonts w:cs="Arial"/>
          <w:sz w:val="20"/>
        </w:rPr>
      </w:pPr>
      <w:r w:rsidRPr="00412620">
        <w:rPr>
          <w:rFonts w:cs="Arial"/>
          <w:sz w:val="20"/>
        </w:rPr>
        <w:t>(i)</w:t>
      </w:r>
      <w:r w:rsidRPr="00412620">
        <w:rPr>
          <w:rFonts w:cs="Arial"/>
          <w:sz w:val="20"/>
        </w:rPr>
        <w:tab/>
        <w:t xml:space="preserve">any amount carried to a reserve fund or capitalised in any way; </w:t>
      </w:r>
    </w:p>
    <w:p w:rsidR="006A3F93" w:rsidRPr="00412620" w:rsidRDefault="006A3F93">
      <w:pPr>
        <w:pStyle w:val="BodyTextIndent"/>
        <w:jc w:val="both"/>
        <w:rPr>
          <w:rFonts w:cs="Arial"/>
          <w:sz w:val="20"/>
        </w:rPr>
      </w:pPr>
    </w:p>
    <w:p w:rsidR="006A3F93" w:rsidRPr="00412620" w:rsidRDefault="006A3F93">
      <w:pPr>
        <w:pStyle w:val="BodyTextIndent"/>
        <w:spacing w:line="240" w:lineRule="exact"/>
        <w:ind w:left="1620" w:hanging="540"/>
        <w:jc w:val="both"/>
        <w:rPr>
          <w:rFonts w:cs="Arial"/>
          <w:sz w:val="20"/>
        </w:rPr>
      </w:pPr>
      <w:r w:rsidRPr="00412620">
        <w:rPr>
          <w:rFonts w:cs="Arial"/>
          <w:sz w:val="20"/>
        </w:rPr>
        <w:t>(j)</w:t>
      </w:r>
      <w:r w:rsidRPr="00412620">
        <w:rPr>
          <w:rFonts w:cs="Arial"/>
          <w:sz w:val="20"/>
        </w:rPr>
        <w:tab/>
        <w:t xml:space="preserve">any profit on debt, brokerage, commission, salary or other remuneration paid by an association of persons to a member of the association; </w:t>
      </w:r>
    </w:p>
    <w:p w:rsidR="006A3F93" w:rsidRPr="00412620" w:rsidRDefault="006A3F93">
      <w:pPr>
        <w:pStyle w:val="BodyTextIndent"/>
        <w:jc w:val="both"/>
        <w:rPr>
          <w:rFonts w:cs="Arial"/>
          <w:sz w:val="20"/>
        </w:rPr>
      </w:pPr>
    </w:p>
    <w:p w:rsidR="00E30FB2" w:rsidRPr="00412620" w:rsidRDefault="00E30FB2">
      <w:pPr>
        <w:pStyle w:val="BodyTextIndent"/>
        <w:jc w:val="both"/>
        <w:rPr>
          <w:rFonts w:cs="Arial"/>
          <w:sz w:val="20"/>
        </w:rPr>
      </w:pPr>
      <w:r w:rsidRPr="00412620">
        <w:rPr>
          <w:rFonts w:cs="Arial"/>
          <w:sz w:val="20"/>
        </w:rPr>
        <w:tab/>
      </w:r>
      <w:r w:rsidRPr="00412620">
        <w:rPr>
          <w:rStyle w:val="FootnoteReference"/>
          <w:rFonts w:cs="Arial"/>
          <w:sz w:val="20"/>
        </w:rPr>
        <w:footnoteReference w:id="226"/>
      </w:r>
      <w:r w:rsidRPr="00412620">
        <w:rPr>
          <w:rFonts w:cs="Arial"/>
          <w:sz w:val="20"/>
        </w:rPr>
        <w:t>[  ]</w:t>
      </w:r>
    </w:p>
    <w:p w:rsidR="00E30FB2" w:rsidRPr="00412620" w:rsidRDefault="00E30FB2">
      <w:pPr>
        <w:pStyle w:val="BodyTextIndent"/>
        <w:jc w:val="both"/>
        <w:rPr>
          <w:rFonts w:cs="Arial"/>
          <w:sz w:val="20"/>
        </w:rPr>
      </w:pPr>
    </w:p>
    <w:p w:rsidR="00E30FB2" w:rsidRPr="00412620" w:rsidRDefault="00E30FB2" w:rsidP="00A86D5C">
      <w:pPr>
        <w:pStyle w:val="BodyTextIndent"/>
        <w:ind w:left="1641" w:hanging="741"/>
        <w:jc w:val="both"/>
        <w:rPr>
          <w:rFonts w:cs="Arial"/>
          <w:sz w:val="20"/>
        </w:rPr>
      </w:pPr>
      <w:r w:rsidRPr="00412620">
        <w:rPr>
          <w:rStyle w:val="FootnoteReference"/>
          <w:rFonts w:cs="Arial"/>
          <w:sz w:val="20"/>
        </w:rPr>
        <w:footnoteReference w:id="227"/>
      </w:r>
      <w:r w:rsidRPr="00412620">
        <w:rPr>
          <w:rFonts w:cs="Arial"/>
          <w:sz w:val="20"/>
        </w:rPr>
        <w:t xml:space="preserve">[(l) </w:t>
      </w:r>
      <w:r w:rsidRPr="00412620">
        <w:rPr>
          <w:rFonts w:cs="Arial"/>
          <w:sz w:val="20"/>
        </w:rPr>
        <w:tab/>
        <w:t>any expenditure for a transaction, paid or payable under a  single account head which, in aggregate, exceeds fifty thousand rupees, made other than by a crossed cheque drawn on a bank or by crossed bank draft or crossed pay order or any other crossed banking instrument showing transfer of amount from the business bank account of the taxpayer:</w:t>
      </w:r>
    </w:p>
    <w:p w:rsidR="00E30FB2" w:rsidRPr="00412620" w:rsidRDefault="00E30FB2">
      <w:pPr>
        <w:pStyle w:val="BodyTextIndent"/>
        <w:jc w:val="both"/>
        <w:rPr>
          <w:rFonts w:cs="Arial"/>
          <w:sz w:val="20"/>
        </w:rPr>
      </w:pPr>
    </w:p>
    <w:p w:rsidR="00E30FB2" w:rsidRPr="00412620" w:rsidRDefault="00E30FB2" w:rsidP="00D96538">
      <w:pPr>
        <w:pStyle w:val="BodyTextIndent"/>
        <w:ind w:left="1641" w:firstLine="549"/>
        <w:jc w:val="both"/>
        <w:rPr>
          <w:rFonts w:cs="Arial"/>
          <w:sz w:val="20"/>
        </w:rPr>
      </w:pPr>
      <w:r w:rsidRPr="00412620">
        <w:rPr>
          <w:rFonts w:cs="Arial"/>
          <w:sz w:val="20"/>
        </w:rPr>
        <w:t>Provided that online transfer of payme</w:t>
      </w:r>
      <w:r w:rsidR="00372397" w:rsidRPr="00412620">
        <w:rPr>
          <w:rFonts w:cs="Arial"/>
          <w:sz w:val="20"/>
        </w:rPr>
        <w:t xml:space="preserve">nt from the business account of </w:t>
      </w:r>
      <w:r w:rsidRPr="00412620">
        <w:rPr>
          <w:rFonts w:cs="Arial"/>
          <w:sz w:val="20"/>
        </w:rPr>
        <w:t>the payer to the business account of payee as well as payments through credit card shall be treated as transactions through the banking channel, subject to the condition that such transactions are verifiable from the bank statements of the respective payer and the payee:</w:t>
      </w:r>
    </w:p>
    <w:p w:rsidR="00E30FB2" w:rsidRPr="00412620" w:rsidRDefault="00E30FB2">
      <w:pPr>
        <w:pStyle w:val="BodyTextIndent"/>
        <w:jc w:val="both"/>
        <w:rPr>
          <w:rFonts w:cs="Arial"/>
          <w:sz w:val="20"/>
        </w:rPr>
      </w:pPr>
    </w:p>
    <w:p w:rsidR="00E30FB2" w:rsidRPr="00412620" w:rsidRDefault="00E30FB2" w:rsidP="00D96538">
      <w:pPr>
        <w:pStyle w:val="BodyTextIndent"/>
        <w:ind w:left="1641" w:firstLine="549"/>
        <w:jc w:val="both"/>
        <w:rPr>
          <w:rFonts w:cs="Arial"/>
          <w:sz w:val="20"/>
        </w:rPr>
      </w:pPr>
      <w:r w:rsidRPr="00412620">
        <w:rPr>
          <w:rFonts w:cs="Arial"/>
          <w:sz w:val="20"/>
        </w:rPr>
        <w:t>Provided further that this clause shall not apply in the case of</w:t>
      </w:r>
      <w:r w:rsidR="008929FC" w:rsidRPr="00412620">
        <w:rPr>
          <w:rFonts w:cs="Arial"/>
          <w:sz w:val="20"/>
        </w:rPr>
        <w:t>—</w:t>
      </w:r>
    </w:p>
    <w:p w:rsidR="00E30FB2" w:rsidRPr="00412620" w:rsidRDefault="00E30FB2">
      <w:pPr>
        <w:pStyle w:val="BodyTextIndent"/>
        <w:jc w:val="both"/>
        <w:rPr>
          <w:rFonts w:cs="Arial"/>
          <w:sz w:val="20"/>
        </w:rPr>
      </w:pPr>
    </w:p>
    <w:p w:rsidR="00E30FB2" w:rsidRPr="00412620" w:rsidRDefault="00E30FB2">
      <w:pPr>
        <w:pStyle w:val="BodyTextIndent"/>
        <w:jc w:val="both"/>
        <w:rPr>
          <w:rFonts w:cs="Arial"/>
          <w:sz w:val="20"/>
        </w:rPr>
      </w:pPr>
      <w:r w:rsidRPr="00412620">
        <w:rPr>
          <w:rFonts w:cs="Arial"/>
          <w:sz w:val="20"/>
        </w:rPr>
        <w:lastRenderedPageBreak/>
        <w:tab/>
      </w:r>
      <w:r w:rsidRPr="00412620">
        <w:rPr>
          <w:rFonts w:cs="Arial"/>
          <w:sz w:val="20"/>
        </w:rPr>
        <w:tab/>
      </w:r>
      <w:r w:rsidR="00927BA8">
        <w:rPr>
          <w:rFonts w:cs="Arial"/>
          <w:sz w:val="20"/>
        </w:rPr>
        <w:tab/>
      </w:r>
      <w:r w:rsidRPr="00412620">
        <w:rPr>
          <w:rFonts w:cs="Arial"/>
          <w:sz w:val="20"/>
        </w:rPr>
        <w:t xml:space="preserve">(a) </w:t>
      </w:r>
      <w:r w:rsidRPr="00412620">
        <w:rPr>
          <w:rFonts w:cs="Arial"/>
          <w:sz w:val="20"/>
        </w:rPr>
        <w:tab/>
        <w:t xml:space="preserve">expenditures not exceeding ten thousand rupees; </w:t>
      </w:r>
    </w:p>
    <w:p w:rsidR="00E30FB2" w:rsidRPr="00412620" w:rsidRDefault="00E30FB2">
      <w:pPr>
        <w:pStyle w:val="BodyTextIndent"/>
        <w:jc w:val="both"/>
        <w:rPr>
          <w:rFonts w:cs="Arial"/>
          <w:sz w:val="20"/>
        </w:rPr>
      </w:pPr>
    </w:p>
    <w:p w:rsidR="00E30FB2" w:rsidRPr="00412620" w:rsidRDefault="00E30FB2">
      <w:pPr>
        <w:pStyle w:val="BodyTextIndent"/>
        <w:jc w:val="both"/>
        <w:rPr>
          <w:rFonts w:cs="Arial"/>
          <w:sz w:val="20"/>
        </w:rPr>
      </w:pPr>
      <w:r w:rsidRPr="00412620">
        <w:rPr>
          <w:rFonts w:cs="Arial"/>
          <w:sz w:val="20"/>
        </w:rPr>
        <w:tab/>
      </w:r>
      <w:r w:rsidRPr="00412620">
        <w:rPr>
          <w:rFonts w:cs="Arial"/>
          <w:sz w:val="20"/>
        </w:rPr>
        <w:tab/>
      </w:r>
      <w:r w:rsidR="00927BA8">
        <w:rPr>
          <w:rFonts w:cs="Arial"/>
          <w:sz w:val="20"/>
        </w:rPr>
        <w:tab/>
      </w:r>
      <w:r w:rsidRPr="00412620">
        <w:rPr>
          <w:rFonts w:cs="Arial"/>
          <w:sz w:val="20"/>
        </w:rPr>
        <w:t xml:space="preserve">(b) </w:t>
      </w:r>
      <w:r w:rsidRPr="00412620">
        <w:rPr>
          <w:rFonts w:cs="Arial"/>
          <w:sz w:val="20"/>
        </w:rPr>
        <w:tab/>
        <w:t xml:space="preserve">expenditures on account of </w:t>
      </w:r>
      <w:r w:rsidR="00F92A6A" w:rsidRPr="00412620">
        <w:rPr>
          <w:rFonts w:cs="Arial"/>
          <w:b/>
          <w:sz w:val="20"/>
        </w:rPr>
        <w:t>—</w:t>
      </w:r>
    </w:p>
    <w:p w:rsidR="00E30FB2" w:rsidRPr="00412620" w:rsidRDefault="00E30FB2">
      <w:pPr>
        <w:pStyle w:val="BodyTextIndent"/>
        <w:jc w:val="both"/>
        <w:rPr>
          <w:rFonts w:cs="Arial"/>
          <w:sz w:val="20"/>
        </w:rPr>
      </w:pPr>
    </w:p>
    <w:p w:rsidR="00E30FB2" w:rsidRPr="00412620" w:rsidRDefault="00E30FB2">
      <w:pPr>
        <w:pStyle w:val="BodyTextIndent"/>
        <w:jc w:val="both"/>
        <w:rPr>
          <w:rFonts w:cs="Arial"/>
          <w:sz w:val="20"/>
        </w:rPr>
      </w:pPr>
      <w:r w:rsidRPr="00412620">
        <w:rPr>
          <w:rFonts w:cs="Arial"/>
          <w:sz w:val="20"/>
        </w:rPr>
        <w:tab/>
      </w:r>
      <w:r w:rsidRPr="00412620">
        <w:rPr>
          <w:rFonts w:cs="Arial"/>
          <w:sz w:val="20"/>
        </w:rPr>
        <w:tab/>
      </w:r>
      <w:r w:rsidRPr="00412620">
        <w:rPr>
          <w:rFonts w:cs="Arial"/>
          <w:sz w:val="20"/>
        </w:rPr>
        <w:tab/>
      </w:r>
      <w:r w:rsidR="00927BA8">
        <w:rPr>
          <w:rFonts w:cs="Arial"/>
          <w:sz w:val="20"/>
        </w:rPr>
        <w:tab/>
      </w:r>
      <w:r w:rsidRPr="00412620">
        <w:rPr>
          <w:rFonts w:cs="Arial"/>
          <w:sz w:val="20"/>
        </w:rPr>
        <w:t xml:space="preserve">(i) </w:t>
      </w:r>
      <w:r w:rsidRPr="00412620">
        <w:rPr>
          <w:rFonts w:cs="Arial"/>
          <w:sz w:val="20"/>
        </w:rPr>
        <w:tab/>
        <w:t>utility bills;</w:t>
      </w:r>
    </w:p>
    <w:p w:rsidR="00E30FB2" w:rsidRPr="00412620" w:rsidRDefault="00927BA8">
      <w:pPr>
        <w:pStyle w:val="BodyTextIndent"/>
        <w:jc w:val="both"/>
        <w:rPr>
          <w:rFonts w:cs="Arial"/>
          <w:sz w:val="20"/>
        </w:rPr>
      </w:pPr>
      <w:r>
        <w:rPr>
          <w:rFonts w:cs="Arial"/>
          <w:sz w:val="20"/>
        </w:rPr>
        <w:tab/>
      </w:r>
    </w:p>
    <w:p w:rsidR="00E30FB2" w:rsidRPr="00412620" w:rsidRDefault="00E30FB2">
      <w:pPr>
        <w:pStyle w:val="BodyTextIndent"/>
        <w:jc w:val="both"/>
        <w:rPr>
          <w:rFonts w:cs="Arial"/>
          <w:sz w:val="20"/>
        </w:rPr>
      </w:pPr>
      <w:r w:rsidRPr="00412620">
        <w:rPr>
          <w:rFonts w:cs="Arial"/>
          <w:sz w:val="20"/>
        </w:rPr>
        <w:tab/>
      </w:r>
      <w:r w:rsidRPr="00412620">
        <w:rPr>
          <w:rFonts w:cs="Arial"/>
          <w:sz w:val="20"/>
        </w:rPr>
        <w:tab/>
      </w:r>
      <w:r w:rsidRPr="00412620">
        <w:rPr>
          <w:rFonts w:cs="Arial"/>
          <w:sz w:val="20"/>
        </w:rPr>
        <w:tab/>
      </w:r>
      <w:r w:rsidR="00927BA8">
        <w:rPr>
          <w:rFonts w:cs="Arial"/>
          <w:sz w:val="20"/>
        </w:rPr>
        <w:tab/>
      </w:r>
      <w:r w:rsidRPr="00412620">
        <w:rPr>
          <w:rFonts w:cs="Arial"/>
          <w:sz w:val="20"/>
        </w:rPr>
        <w:t xml:space="preserve">(ii) </w:t>
      </w:r>
      <w:r w:rsidRPr="00412620">
        <w:rPr>
          <w:rFonts w:cs="Arial"/>
          <w:sz w:val="20"/>
        </w:rPr>
        <w:tab/>
        <w:t>freight charges;</w:t>
      </w:r>
    </w:p>
    <w:p w:rsidR="00E30FB2" w:rsidRPr="00412620" w:rsidRDefault="00E30FB2">
      <w:pPr>
        <w:pStyle w:val="BodyTextIndent"/>
        <w:jc w:val="both"/>
        <w:rPr>
          <w:rFonts w:cs="Arial"/>
          <w:sz w:val="20"/>
        </w:rPr>
      </w:pPr>
    </w:p>
    <w:p w:rsidR="00E30FB2" w:rsidRPr="00412620" w:rsidRDefault="00E30FB2">
      <w:pPr>
        <w:pStyle w:val="BodyTextIndent"/>
        <w:jc w:val="both"/>
        <w:rPr>
          <w:rFonts w:cs="Arial"/>
          <w:sz w:val="20"/>
        </w:rPr>
      </w:pPr>
      <w:r w:rsidRPr="00412620">
        <w:rPr>
          <w:rFonts w:cs="Arial"/>
          <w:sz w:val="20"/>
        </w:rPr>
        <w:tab/>
      </w:r>
      <w:r w:rsidRPr="00412620">
        <w:rPr>
          <w:rFonts w:cs="Arial"/>
          <w:sz w:val="20"/>
        </w:rPr>
        <w:tab/>
      </w:r>
      <w:r w:rsidRPr="00412620">
        <w:rPr>
          <w:rFonts w:cs="Arial"/>
          <w:sz w:val="20"/>
        </w:rPr>
        <w:tab/>
      </w:r>
      <w:r w:rsidR="00927BA8">
        <w:rPr>
          <w:rFonts w:cs="Arial"/>
          <w:sz w:val="20"/>
        </w:rPr>
        <w:tab/>
      </w:r>
      <w:r w:rsidRPr="00412620">
        <w:rPr>
          <w:rFonts w:cs="Arial"/>
          <w:sz w:val="20"/>
        </w:rPr>
        <w:t xml:space="preserve">(iii) </w:t>
      </w:r>
      <w:r w:rsidRPr="00412620">
        <w:rPr>
          <w:rFonts w:cs="Arial"/>
          <w:sz w:val="20"/>
        </w:rPr>
        <w:tab/>
        <w:t xml:space="preserve">travel fare; </w:t>
      </w:r>
    </w:p>
    <w:p w:rsidR="00E30FB2" w:rsidRPr="00A86D5C" w:rsidRDefault="00E30FB2">
      <w:pPr>
        <w:pStyle w:val="BodyTextIndent"/>
        <w:jc w:val="both"/>
        <w:rPr>
          <w:rFonts w:cs="Arial"/>
          <w:sz w:val="8"/>
        </w:rPr>
      </w:pPr>
    </w:p>
    <w:p w:rsidR="00E30FB2" w:rsidRPr="00412620" w:rsidRDefault="00E30FB2">
      <w:pPr>
        <w:pStyle w:val="BodyTextIndent"/>
        <w:jc w:val="both"/>
        <w:rPr>
          <w:rFonts w:cs="Arial"/>
          <w:sz w:val="20"/>
        </w:rPr>
      </w:pPr>
      <w:r w:rsidRPr="00412620">
        <w:rPr>
          <w:rFonts w:cs="Arial"/>
          <w:sz w:val="20"/>
        </w:rPr>
        <w:tab/>
      </w:r>
      <w:r w:rsidRPr="00412620">
        <w:rPr>
          <w:rFonts w:cs="Arial"/>
          <w:sz w:val="20"/>
        </w:rPr>
        <w:tab/>
      </w:r>
      <w:r w:rsidRPr="00412620">
        <w:rPr>
          <w:rFonts w:cs="Arial"/>
          <w:sz w:val="20"/>
        </w:rPr>
        <w:tab/>
      </w:r>
      <w:r w:rsidR="00927BA8">
        <w:rPr>
          <w:rFonts w:cs="Arial"/>
          <w:sz w:val="20"/>
        </w:rPr>
        <w:tab/>
      </w:r>
      <w:r w:rsidRPr="00412620">
        <w:rPr>
          <w:rFonts w:cs="Arial"/>
          <w:sz w:val="20"/>
        </w:rPr>
        <w:t xml:space="preserve">(iv) </w:t>
      </w:r>
      <w:r w:rsidRPr="00412620">
        <w:rPr>
          <w:rFonts w:cs="Arial"/>
          <w:sz w:val="20"/>
        </w:rPr>
        <w:tab/>
        <w:t>postage; and</w:t>
      </w:r>
    </w:p>
    <w:p w:rsidR="00E30FB2" w:rsidRPr="00A86D5C" w:rsidRDefault="00E30FB2">
      <w:pPr>
        <w:pStyle w:val="BodyTextIndent"/>
        <w:jc w:val="both"/>
        <w:rPr>
          <w:rFonts w:cs="Arial"/>
          <w:sz w:val="10"/>
        </w:rPr>
      </w:pPr>
    </w:p>
    <w:p w:rsidR="00E30FB2" w:rsidRPr="00412620" w:rsidRDefault="00E30FB2" w:rsidP="00927BA8">
      <w:pPr>
        <w:pStyle w:val="BodyTextIndent"/>
        <w:ind w:left="2728" w:hanging="540"/>
        <w:jc w:val="both"/>
        <w:rPr>
          <w:rFonts w:cs="Arial"/>
          <w:sz w:val="20"/>
        </w:rPr>
      </w:pPr>
      <w:r w:rsidRPr="00412620">
        <w:rPr>
          <w:rFonts w:cs="Arial"/>
          <w:sz w:val="20"/>
        </w:rPr>
        <w:t xml:space="preserve">(v) </w:t>
      </w:r>
      <w:r w:rsidRPr="00412620">
        <w:rPr>
          <w:rFonts w:cs="Arial"/>
          <w:sz w:val="20"/>
        </w:rPr>
        <w:tab/>
        <w:t>payment of taxes, duties, fee, fines or any other  statutory obligation;]</w:t>
      </w:r>
    </w:p>
    <w:p w:rsidR="006A3F93" w:rsidRPr="00A86D5C" w:rsidRDefault="00927BA8">
      <w:pPr>
        <w:pStyle w:val="BodyTextIndent"/>
        <w:spacing w:line="240" w:lineRule="exact"/>
        <w:jc w:val="both"/>
        <w:rPr>
          <w:rFonts w:cs="Arial"/>
          <w:sz w:val="2"/>
        </w:rPr>
      </w:pPr>
      <w:r>
        <w:rPr>
          <w:rFonts w:cs="Arial"/>
          <w:sz w:val="2"/>
        </w:rPr>
        <w:tab/>
      </w:r>
    </w:p>
    <w:p w:rsidR="006A3F93" w:rsidRPr="00412620" w:rsidRDefault="006A3F93">
      <w:pPr>
        <w:pStyle w:val="BodyTextIndent"/>
        <w:spacing w:line="240" w:lineRule="exact"/>
        <w:ind w:left="1620" w:hanging="540"/>
        <w:jc w:val="both"/>
        <w:rPr>
          <w:rFonts w:cs="Arial"/>
          <w:sz w:val="20"/>
        </w:rPr>
      </w:pPr>
      <w:r w:rsidRPr="00412620">
        <w:rPr>
          <w:rFonts w:cs="Arial"/>
          <w:sz w:val="20"/>
        </w:rPr>
        <w:t>(m)</w:t>
      </w:r>
      <w:r w:rsidRPr="00412620">
        <w:rPr>
          <w:rFonts w:cs="Arial"/>
          <w:sz w:val="20"/>
        </w:rPr>
        <w:tab/>
        <w:t xml:space="preserve">any salary paid or payable exceeding </w:t>
      </w:r>
      <w:r w:rsidR="00E864BA" w:rsidRPr="00412620">
        <w:rPr>
          <w:rStyle w:val="FootnoteReference"/>
          <w:rFonts w:cs="Arial"/>
          <w:sz w:val="20"/>
        </w:rPr>
        <w:footnoteReference w:id="228"/>
      </w:r>
      <w:r w:rsidR="00E864BA" w:rsidRPr="00412620">
        <w:rPr>
          <w:rFonts w:cs="Arial"/>
          <w:sz w:val="20"/>
        </w:rPr>
        <w:t xml:space="preserve">[fifteen] </w:t>
      </w:r>
      <w:r w:rsidRPr="00412620">
        <w:rPr>
          <w:rFonts w:cs="Arial"/>
          <w:sz w:val="20"/>
        </w:rPr>
        <w:t xml:space="preserve">thousand rupees per month other than by a crossed cheque or direct transfer of funds to the employee’s bank account; </w:t>
      </w:r>
      <w:r w:rsidR="00927BA8" w:rsidRPr="00B455DC">
        <w:rPr>
          <w:rStyle w:val="FootnoteReference"/>
          <w:rFonts w:cs="Arial"/>
          <w:color w:val="0070C0"/>
          <w:sz w:val="20"/>
        </w:rPr>
        <w:footnoteReference w:id="229"/>
      </w:r>
      <w:r w:rsidR="00927BA8" w:rsidRPr="00B455DC">
        <w:rPr>
          <w:rFonts w:cs="Arial"/>
          <w:color w:val="0070C0"/>
          <w:sz w:val="20"/>
        </w:rPr>
        <w:t>[   ]</w:t>
      </w:r>
    </w:p>
    <w:p w:rsidR="006A3F93" w:rsidRPr="00251DBA" w:rsidRDefault="006A3F93">
      <w:pPr>
        <w:jc w:val="both"/>
        <w:rPr>
          <w:rFonts w:cs="Arial"/>
          <w:sz w:val="8"/>
        </w:rPr>
      </w:pPr>
    </w:p>
    <w:p w:rsidR="006A3F93" w:rsidRPr="00412620" w:rsidRDefault="006A3F93">
      <w:pPr>
        <w:pStyle w:val="BodyTextIndent"/>
        <w:spacing w:line="240" w:lineRule="exact"/>
        <w:ind w:left="1620" w:hanging="540"/>
        <w:jc w:val="both"/>
        <w:rPr>
          <w:rFonts w:cs="Arial"/>
          <w:sz w:val="20"/>
        </w:rPr>
      </w:pPr>
      <w:r w:rsidRPr="00412620">
        <w:rPr>
          <w:rFonts w:cs="Arial"/>
          <w:sz w:val="20"/>
        </w:rPr>
        <w:t>(n)</w:t>
      </w:r>
      <w:r w:rsidRPr="00412620">
        <w:rPr>
          <w:rFonts w:cs="Arial"/>
          <w:sz w:val="20"/>
        </w:rPr>
        <w:tab/>
        <w:t xml:space="preserve">except </w:t>
      </w:r>
      <w:r w:rsidRPr="00EA02D5">
        <w:rPr>
          <w:rFonts w:cs="Arial"/>
          <w:color w:val="000000" w:themeColor="text1"/>
          <w:sz w:val="20"/>
        </w:rPr>
        <w:t>as provided in Division III of this Part, any expenditure paid or payable</w:t>
      </w:r>
      <w:r w:rsidRPr="00EA02D5">
        <w:rPr>
          <w:rFonts w:cs="Arial"/>
          <w:color w:val="FF3399"/>
          <w:sz w:val="20"/>
        </w:rPr>
        <w:t xml:space="preserve"> </w:t>
      </w:r>
      <w:r w:rsidRPr="00412620">
        <w:rPr>
          <w:rFonts w:cs="Arial"/>
          <w:sz w:val="20"/>
        </w:rPr>
        <w:t>of a capital nature</w:t>
      </w:r>
      <w:r w:rsidR="00B455DC">
        <w:rPr>
          <w:rFonts w:cs="Arial"/>
          <w:sz w:val="20"/>
        </w:rPr>
        <w:t xml:space="preserve"> </w:t>
      </w:r>
      <w:r w:rsidR="00180F22" w:rsidRPr="00B455DC">
        <w:rPr>
          <w:rStyle w:val="FootnoteReference"/>
          <w:rFonts w:cs="Arial"/>
          <w:color w:val="0070C0"/>
          <w:sz w:val="20"/>
        </w:rPr>
        <w:footnoteReference w:id="230"/>
      </w:r>
      <w:r w:rsidR="00F61906" w:rsidRPr="00B455DC">
        <w:rPr>
          <w:rFonts w:cs="Arial"/>
          <w:color w:val="0070C0"/>
          <w:sz w:val="20"/>
        </w:rPr>
        <w:t>[; and]</w:t>
      </w:r>
      <w:r w:rsidR="00F61906">
        <w:rPr>
          <w:rFonts w:cs="Arial"/>
          <w:sz w:val="20"/>
        </w:rPr>
        <w:t xml:space="preserve"> </w:t>
      </w:r>
    </w:p>
    <w:p w:rsidR="006A3F93" w:rsidRPr="00412620" w:rsidRDefault="006A3F93">
      <w:pPr>
        <w:rPr>
          <w:rFonts w:cs="Arial"/>
          <w:sz w:val="20"/>
        </w:rPr>
      </w:pPr>
    </w:p>
    <w:p w:rsidR="002E0783" w:rsidRPr="00251DBA" w:rsidRDefault="002E0783">
      <w:pPr>
        <w:rPr>
          <w:rFonts w:cs="Arial"/>
          <w:sz w:val="2"/>
        </w:rPr>
      </w:pPr>
    </w:p>
    <w:p w:rsidR="00F61906" w:rsidRPr="00B455DC" w:rsidRDefault="00180F22" w:rsidP="00EC2056">
      <w:pPr>
        <w:ind w:left="1620" w:hanging="526"/>
        <w:jc w:val="both"/>
        <w:rPr>
          <w:rFonts w:cs="Arial"/>
          <w:color w:val="0070C0"/>
          <w:sz w:val="20"/>
        </w:rPr>
      </w:pPr>
      <w:r w:rsidRPr="00B455DC">
        <w:rPr>
          <w:rStyle w:val="FootnoteReference"/>
          <w:rFonts w:cs="Arial"/>
          <w:color w:val="0070C0"/>
          <w:sz w:val="20"/>
        </w:rPr>
        <w:footnoteReference w:id="231"/>
      </w:r>
      <w:r w:rsidRPr="00B455DC">
        <w:rPr>
          <w:rFonts w:cs="Arial"/>
          <w:color w:val="0070C0"/>
          <w:sz w:val="20"/>
        </w:rPr>
        <w:t>[</w:t>
      </w:r>
      <w:r w:rsidR="00F61906" w:rsidRPr="00B455DC">
        <w:rPr>
          <w:rFonts w:cs="Arial"/>
          <w:color w:val="0070C0"/>
          <w:sz w:val="20"/>
        </w:rPr>
        <w:t>“(o)</w:t>
      </w:r>
      <w:r w:rsidR="00F61906" w:rsidRPr="00B455DC">
        <w:rPr>
          <w:rFonts w:cs="Arial"/>
          <w:color w:val="0070C0"/>
          <w:sz w:val="20"/>
        </w:rPr>
        <w:tab/>
        <w:t>any expenditure in respect of sales promotion, advertisement and publicity in excess  of five per cent of turnover incurred by pharmaceutical manufacturers.”</w:t>
      </w:r>
      <w:r w:rsidRPr="00B455DC">
        <w:rPr>
          <w:rFonts w:cs="Arial"/>
          <w:color w:val="0070C0"/>
          <w:sz w:val="20"/>
        </w:rPr>
        <w:t>]</w:t>
      </w:r>
    </w:p>
    <w:p w:rsidR="002E0783" w:rsidRPr="00412620" w:rsidRDefault="002E0783">
      <w:pPr>
        <w:rPr>
          <w:rFonts w:cs="Arial"/>
          <w:sz w:val="20"/>
        </w:rPr>
      </w:pPr>
    </w:p>
    <w:p w:rsidR="006A3F93" w:rsidRPr="00412620" w:rsidRDefault="006A3F93">
      <w:pPr>
        <w:pStyle w:val="Heading8"/>
        <w:rPr>
          <w:rFonts w:cs="Arial"/>
          <w:i w:val="0"/>
          <w:sz w:val="28"/>
        </w:rPr>
      </w:pPr>
      <w:r w:rsidRPr="00412620">
        <w:rPr>
          <w:rFonts w:cs="Arial"/>
          <w:i w:val="0"/>
          <w:sz w:val="28"/>
        </w:rPr>
        <w:t>Division III</w:t>
      </w:r>
    </w:p>
    <w:p w:rsidR="006A3F93" w:rsidRPr="00412620" w:rsidRDefault="006A3F93">
      <w:pPr>
        <w:keepNext/>
        <w:jc w:val="center"/>
        <w:rPr>
          <w:rFonts w:cs="Arial"/>
          <w:b/>
          <w:sz w:val="20"/>
        </w:rPr>
      </w:pPr>
      <w:r w:rsidRPr="00412620">
        <w:rPr>
          <w:rFonts w:cs="Arial"/>
          <w:b/>
          <w:sz w:val="20"/>
        </w:rPr>
        <w:t>Deductions: Special Provisions</w:t>
      </w:r>
    </w:p>
    <w:p w:rsidR="006A3F93" w:rsidRPr="00412620" w:rsidRDefault="006A3F93">
      <w:pPr>
        <w:pStyle w:val="CommentText"/>
        <w:keepNext/>
        <w:rPr>
          <w:rFonts w:cs="Arial"/>
        </w:rPr>
      </w:pPr>
    </w:p>
    <w:p w:rsidR="006A3F93" w:rsidRPr="00412620" w:rsidRDefault="006A3F93">
      <w:pPr>
        <w:jc w:val="both"/>
        <w:rPr>
          <w:sz w:val="20"/>
        </w:rPr>
      </w:pPr>
      <w:r w:rsidRPr="00412620">
        <w:rPr>
          <w:rFonts w:cs="Arial"/>
          <w:b/>
          <w:sz w:val="20"/>
        </w:rPr>
        <w:t>22.</w:t>
      </w:r>
      <w:r w:rsidRPr="00412620">
        <w:rPr>
          <w:rFonts w:cs="Arial"/>
          <w:b/>
          <w:sz w:val="20"/>
        </w:rPr>
        <w:tab/>
        <w:t>Depreciation.</w:t>
      </w:r>
      <w:r w:rsidR="008929FC" w:rsidRPr="00412620">
        <w:rPr>
          <w:rFonts w:cs="Arial"/>
          <w:b/>
          <w:sz w:val="20"/>
        </w:rPr>
        <w:t>—</w:t>
      </w:r>
      <w:r w:rsidRPr="00412620">
        <w:rPr>
          <w:sz w:val="20"/>
        </w:rPr>
        <w:t xml:space="preserve"> (1)  Subject to this section, a person shall be allowed a deduction for the depreciation of the person’s depreciable assets used in the person’s business in the tax year.</w:t>
      </w:r>
    </w:p>
    <w:p w:rsidR="006A3F93" w:rsidRPr="00A86D5C" w:rsidRDefault="006A3F93">
      <w:pPr>
        <w:jc w:val="both"/>
        <w:rPr>
          <w:rFonts w:cs="Arial"/>
          <w:sz w:val="12"/>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Subject to </w:t>
      </w:r>
      <w:r w:rsidRPr="00412620">
        <w:rPr>
          <w:rStyle w:val="FootnoteReference"/>
          <w:rFonts w:cs="Arial"/>
          <w:sz w:val="20"/>
        </w:rPr>
        <w:footnoteReference w:id="232"/>
      </w:r>
      <w:r w:rsidRPr="00412620">
        <w:rPr>
          <w:rFonts w:cs="Arial"/>
          <w:sz w:val="20"/>
        </w:rPr>
        <w:t xml:space="preserve">[sub-section] (3) </w:t>
      </w:r>
      <w:r w:rsidRPr="00412620">
        <w:rPr>
          <w:rStyle w:val="FootnoteReference"/>
          <w:rFonts w:cs="Arial"/>
          <w:sz w:val="20"/>
        </w:rPr>
        <w:footnoteReference w:id="233"/>
      </w:r>
      <w:r w:rsidRPr="00412620">
        <w:rPr>
          <w:rFonts w:cs="Arial"/>
          <w:sz w:val="20"/>
        </w:rPr>
        <w:t>[  ], the depreciation deduction for a tax year shall be computed by applying the rate specified in Part I of the Third Schedule against the written down value of the asset at the beginning of the year.</w:t>
      </w:r>
    </w:p>
    <w:p w:rsidR="006A3F93" w:rsidRPr="00A86D5C" w:rsidRDefault="006A3F93">
      <w:pPr>
        <w:jc w:val="both"/>
        <w:rPr>
          <w:rFonts w:cs="Arial"/>
          <w:sz w:val="8"/>
        </w:rPr>
      </w:pPr>
    </w:p>
    <w:p w:rsidR="00251DBA" w:rsidRDefault="006A3F93">
      <w:pPr>
        <w:jc w:val="both"/>
        <w:rPr>
          <w:rFonts w:cs="Arial"/>
          <w:sz w:val="20"/>
        </w:rPr>
      </w:pPr>
      <w:r w:rsidRPr="00412620">
        <w:rPr>
          <w:rFonts w:cs="Arial"/>
          <w:sz w:val="20"/>
        </w:rPr>
        <w:tab/>
        <w:t>(3)</w:t>
      </w:r>
      <w:r w:rsidRPr="00412620">
        <w:rPr>
          <w:rFonts w:cs="Arial"/>
          <w:sz w:val="20"/>
        </w:rPr>
        <w:tab/>
        <w:t xml:space="preserve">Where a depreciable asset is used in a tax year partly in deriving income from business chargeable to tax and partly for another use, the deduction allowed under this section for that year shall be restricted to the fair proportional </w:t>
      </w:r>
      <w:r w:rsidRPr="00412620">
        <w:rPr>
          <w:rFonts w:cs="Arial"/>
          <w:sz w:val="20"/>
        </w:rPr>
        <w:lastRenderedPageBreak/>
        <w:t xml:space="preserve">part of the amount that would be allowed if the asset </w:t>
      </w:r>
      <w:r w:rsidR="0068253E" w:rsidRPr="00412620">
        <w:rPr>
          <w:rStyle w:val="FootnoteReference"/>
          <w:rFonts w:cs="Arial"/>
          <w:sz w:val="20"/>
        </w:rPr>
        <w:footnoteReference w:id="234"/>
      </w:r>
      <w:r w:rsidR="0068253E" w:rsidRPr="00412620">
        <w:rPr>
          <w:rFonts w:cs="Arial"/>
          <w:sz w:val="20"/>
        </w:rPr>
        <w:t xml:space="preserve">[was] </w:t>
      </w:r>
      <w:r w:rsidRPr="00412620">
        <w:rPr>
          <w:rFonts w:cs="Arial"/>
          <w:sz w:val="20"/>
        </w:rPr>
        <w:t xml:space="preserve">wholly used to </w:t>
      </w:r>
      <w:r w:rsidRPr="00412620">
        <w:rPr>
          <w:rStyle w:val="FootnoteReference"/>
          <w:rFonts w:cs="Arial"/>
          <w:sz w:val="20"/>
        </w:rPr>
        <w:footnoteReference w:id="235"/>
      </w:r>
      <w:r w:rsidRPr="00412620">
        <w:rPr>
          <w:rFonts w:cs="Arial"/>
          <w:sz w:val="20"/>
        </w:rPr>
        <w:t>[derive] income from business chargeable to tax</w:t>
      </w:r>
      <w:r w:rsidR="00251DBA">
        <w:rPr>
          <w:rFonts w:cs="Arial"/>
          <w:sz w:val="20"/>
        </w:rPr>
        <w:t>.</w:t>
      </w:r>
    </w:p>
    <w:p w:rsidR="00251DBA" w:rsidRDefault="00251DBA">
      <w:pPr>
        <w:jc w:val="both"/>
        <w:rPr>
          <w:rFonts w:cs="Arial"/>
          <w:sz w:val="20"/>
        </w:rPr>
      </w:pPr>
    </w:p>
    <w:p w:rsidR="006A3F93" w:rsidRPr="00412620" w:rsidRDefault="006A3F93" w:rsidP="00251DBA">
      <w:pPr>
        <w:ind w:firstLine="450"/>
        <w:jc w:val="both"/>
        <w:rPr>
          <w:rFonts w:cs="Arial"/>
          <w:sz w:val="20"/>
        </w:rPr>
      </w:pPr>
      <w:r w:rsidRPr="00412620">
        <w:rPr>
          <w:rFonts w:cs="Arial"/>
          <w:sz w:val="20"/>
        </w:rPr>
        <w:tab/>
      </w:r>
      <w:r w:rsidRPr="00412620">
        <w:rPr>
          <w:rStyle w:val="FootnoteReference"/>
          <w:rFonts w:cs="Arial"/>
          <w:sz w:val="20"/>
        </w:rPr>
        <w:footnoteReference w:id="236"/>
      </w:r>
      <w:r w:rsidRPr="00412620">
        <w:rPr>
          <w:rFonts w:cs="Arial"/>
          <w:sz w:val="20"/>
        </w:rPr>
        <w:t>[  ]</w:t>
      </w:r>
    </w:p>
    <w:p w:rsidR="006A3F93" w:rsidRPr="00412620" w:rsidRDefault="006A3F93">
      <w:pPr>
        <w:rPr>
          <w:rFonts w:cs="Arial"/>
          <w:sz w:val="20"/>
        </w:rPr>
      </w:pPr>
    </w:p>
    <w:p w:rsidR="006A3F93" w:rsidRPr="00412620" w:rsidRDefault="006A3F93">
      <w:pPr>
        <w:rPr>
          <w:rFonts w:cs="Arial"/>
          <w:sz w:val="20"/>
        </w:rPr>
      </w:pPr>
      <w:r w:rsidRPr="00412620">
        <w:rPr>
          <w:rFonts w:cs="Arial"/>
          <w:sz w:val="20"/>
        </w:rPr>
        <w:tab/>
        <w:t>(5)</w:t>
      </w:r>
      <w:r w:rsidRPr="00412620">
        <w:rPr>
          <w:rFonts w:cs="Arial"/>
          <w:sz w:val="20"/>
        </w:rPr>
        <w:tab/>
        <w:t>The written down value of a depreciable asset of a person at the beginning of the tax year shall be –</w:t>
      </w:r>
      <w:r w:rsidR="00F92A6A" w:rsidRPr="00412620">
        <w:rPr>
          <w:rFonts w:cs="Arial"/>
          <w:b/>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where the asset was acquired in the tax year, the cost of the asset to the person as reduced by any initial allowance in respect of the asset under section 23; or</w:t>
      </w:r>
    </w:p>
    <w:p w:rsidR="006A3F93" w:rsidRPr="00412620" w:rsidRDefault="006A3F93">
      <w:pPr>
        <w:pStyle w:val="BodyTextIndent"/>
        <w:ind w:left="1620" w:hanging="540"/>
        <w:jc w:val="both"/>
        <w:rPr>
          <w:rFonts w:cs="Arial"/>
          <w:sz w:val="20"/>
        </w:rPr>
      </w:pPr>
    </w:p>
    <w:p w:rsidR="006A3F93" w:rsidRDefault="006A3F93">
      <w:pPr>
        <w:pStyle w:val="BodyTextIndent"/>
        <w:ind w:left="1620" w:hanging="540"/>
        <w:jc w:val="both"/>
        <w:rPr>
          <w:rFonts w:cs="Arial"/>
          <w:sz w:val="20"/>
        </w:rPr>
      </w:pPr>
      <w:r w:rsidRPr="00412620">
        <w:rPr>
          <w:rFonts w:cs="Arial"/>
          <w:sz w:val="20"/>
        </w:rPr>
        <w:t xml:space="preserve"> (b)</w:t>
      </w:r>
      <w:r w:rsidRPr="00412620">
        <w:rPr>
          <w:rFonts w:cs="Arial"/>
          <w:sz w:val="20"/>
        </w:rPr>
        <w:tab/>
        <w:t>in any other case, the cost of the asset to the person as reduced by the total depreciation deductions (including any initial allowance under section 23) allowed to the person in respect of the asset in previous tax years.</w:t>
      </w:r>
    </w:p>
    <w:p w:rsidR="00812403" w:rsidRDefault="00812403">
      <w:pPr>
        <w:pStyle w:val="BodyTextIndent"/>
        <w:ind w:left="1620" w:hanging="540"/>
        <w:jc w:val="both"/>
        <w:rPr>
          <w:rFonts w:cs="Arial"/>
          <w:sz w:val="20"/>
        </w:rPr>
      </w:pPr>
    </w:p>
    <w:p w:rsidR="00812403" w:rsidRPr="00B455DC" w:rsidRDefault="00812403" w:rsidP="00812403">
      <w:pPr>
        <w:pStyle w:val="BodyTextIndent"/>
        <w:ind w:left="1080" w:firstLine="0"/>
        <w:jc w:val="both"/>
        <w:rPr>
          <w:rFonts w:cs="Arial"/>
          <w:color w:val="0070C0"/>
          <w:sz w:val="20"/>
        </w:rPr>
      </w:pPr>
      <w:r w:rsidRPr="00B455DC">
        <w:rPr>
          <w:rStyle w:val="FootnoteReference"/>
          <w:rFonts w:cs="Arial"/>
          <w:color w:val="0070C0"/>
          <w:sz w:val="20"/>
        </w:rPr>
        <w:footnoteReference w:id="237"/>
      </w:r>
      <w:r w:rsidRPr="00B455DC">
        <w:rPr>
          <w:rFonts w:cs="Arial"/>
          <w:color w:val="0070C0"/>
          <w:sz w:val="20"/>
        </w:rPr>
        <w:t>[“</w:t>
      </w:r>
      <w:r w:rsidRPr="00B455DC">
        <w:rPr>
          <w:rFonts w:cs="Arial"/>
          <w:i/>
          <w:color w:val="0070C0"/>
          <w:sz w:val="20"/>
        </w:rPr>
        <w:t>Explanation</w:t>
      </w:r>
      <w:r w:rsidRPr="00B455DC">
        <w:rPr>
          <w:rFonts w:cs="Arial"/>
          <w:color w:val="0070C0"/>
          <w:sz w:val="20"/>
        </w:rPr>
        <w:t>,- For the removal of doubt, it is clarified that where any building, furniture, plant or machinery is used for the purposes of business during any tax year for which the income from such business is exempt, depreciation admissible under sub-section (1) shall be treated to have been allowed in respect of the said tax year and after expiration of the exemption period, written down value of such assets shall be determined after reducing total depreciation deductions (including any initial allowance under section 23) in accordance with clauses (a) and (b) of this sub-section.”]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Where sub-section (3) applies to a depreciable asset for a tax year, the written down value of the asset shall be computed on the basis that the asset has been solely used to derive income from business chargeable to tax.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The total deductions allowed to a person during the period of ownership of a depreciable asset under this section and section 23 shall not exceed the cost of the asset.</w:t>
      </w:r>
    </w:p>
    <w:p w:rsidR="006A3F93" w:rsidRPr="00412620" w:rsidRDefault="006A3F93">
      <w:pPr>
        <w:jc w:val="both"/>
        <w:rPr>
          <w:rFonts w:cs="Arial"/>
          <w:sz w:val="20"/>
        </w:rPr>
      </w:pPr>
    </w:p>
    <w:p w:rsidR="006A3F93" w:rsidRPr="00412620" w:rsidRDefault="006A3F93">
      <w:pPr>
        <w:rPr>
          <w:rFonts w:cs="Arial"/>
          <w:sz w:val="20"/>
        </w:rPr>
      </w:pPr>
      <w:r w:rsidRPr="00412620">
        <w:rPr>
          <w:rFonts w:cs="Arial"/>
          <w:sz w:val="20"/>
        </w:rPr>
        <w:tab/>
        <w:t>(8)</w:t>
      </w:r>
      <w:r w:rsidRPr="00412620">
        <w:rPr>
          <w:rFonts w:cs="Arial"/>
          <w:sz w:val="20"/>
        </w:rPr>
        <w:tab/>
        <w:t xml:space="preserve">Where, in any tax year, a person disposes of a depreciable asset, no depreciation deduction shall be allowed under this section for that year and </w:t>
      </w:r>
      <w:r w:rsidR="006F4DC7"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if the consideration received exceeds the written down value of the asset at the time of disposal, the excess shall be chargeable to tax in that year under the head “Income from Business”; or</w:t>
      </w:r>
      <w:r w:rsidRPr="00412620">
        <w:rPr>
          <w:rFonts w:cs="Arial"/>
          <w:sz w:val="20"/>
        </w:rPr>
        <w:tab/>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if the consideration received is less than the written down value of the asset at the time of disposal, the difference shall be allowed as a deduction in computing the person’s income chargeable under the head “Income from Business” for that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(9)</w:t>
      </w:r>
      <w:r w:rsidRPr="00412620">
        <w:rPr>
          <w:rFonts w:cs="Arial"/>
          <w:sz w:val="20"/>
        </w:rPr>
        <w:tab/>
        <w:t>Where sub-section (3) applies, the written down value of the asset for the purposes of sub-section (8) shall be increased by the amount that is not allowed as a deduction as a result of the application of sub-section (3).</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(10)</w:t>
      </w:r>
      <w:r w:rsidRPr="00412620">
        <w:rPr>
          <w:rFonts w:cs="Arial"/>
          <w:sz w:val="20"/>
        </w:rPr>
        <w:tab/>
        <w:t xml:space="preserve">Where clause (a) of sub-section (13) applies, the </w:t>
      </w:r>
      <w:r w:rsidRPr="00412620">
        <w:rPr>
          <w:rStyle w:val="FootnoteReference"/>
          <w:rFonts w:cs="Arial"/>
          <w:sz w:val="20"/>
        </w:rPr>
        <w:footnoteReference w:id="238"/>
      </w:r>
      <w:r w:rsidRPr="00412620">
        <w:rPr>
          <w:rFonts w:cs="Arial"/>
          <w:sz w:val="20"/>
        </w:rPr>
        <w:t xml:space="preserve">[consideration received on disposal] of the passenger transport vehicle for the purposes of sub-section (8) shall be computed according to the following formula </w:t>
      </w:r>
      <w:r w:rsidR="006F4DC7" w:rsidRPr="00412620">
        <w:rPr>
          <w:rFonts w:cs="Arial"/>
          <w:sz w:val="20"/>
        </w:rPr>
        <w:t>—</w:t>
      </w:r>
    </w:p>
    <w:p w:rsidR="006A3F93" w:rsidRPr="00412620" w:rsidRDefault="006A3F93">
      <w:pPr>
        <w:rPr>
          <w:rFonts w:cs="Arial"/>
          <w:sz w:val="20"/>
        </w:rPr>
      </w:pPr>
    </w:p>
    <w:p w:rsidR="006A3F93" w:rsidRPr="00412620" w:rsidRDefault="006A3F93">
      <w:pPr>
        <w:pStyle w:val="Heading2"/>
        <w:spacing w:line="240" w:lineRule="auto"/>
        <w:rPr>
          <w:rFonts w:cs="Arial"/>
          <w:sz w:val="20"/>
        </w:rPr>
      </w:pPr>
      <w:r w:rsidRPr="00412620">
        <w:rPr>
          <w:rFonts w:cs="Arial"/>
          <w:sz w:val="20"/>
        </w:rPr>
        <w:t>A x B/C</w:t>
      </w:r>
    </w:p>
    <w:p w:rsidR="006A3F93" w:rsidRPr="00412620" w:rsidRDefault="006A3F93">
      <w:pPr>
        <w:jc w:val="both"/>
        <w:rPr>
          <w:rFonts w:cs="Arial"/>
          <w:sz w:val="20"/>
        </w:rPr>
      </w:pPr>
      <w:r w:rsidRPr="00412620">
        <w:rPr>
          <w:rFonts w:cs="Arial"/>
          <w:sz w:val="20"/>
        </w:rPr>
        <w:t>where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A</w:t>
      </w:r>
      <w:r w:rsidRPr="00412620">
        <w:rPr>
          <w:sz w:val="20"/>
        </w:rPr>
        <w:tab/>
        <w:t xml:space="preserve">is the </w:t>
      </w:r>
      <w:r w:rsidRPr="00412620">
        <w:rPr>
          <w:rStyle w:val="FootnoteReference"/>
          <w:sz w:val="20"/>
        </w:rPr>
        <w:footnoteReference w:id="239"/>
      </w:r>
      <w:r w:rsidRPr="00412620">
        <w:rPr>
          <w:sz w:val="20"/>
        </w:rPr>
        <w:t>[amount] received on disposal of the vehicle;</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B</w:t>
      </w:r>
      <w:r w:rsidRPr="00412620">
        <w:rPr>
          <w:rFonts w:cs="Arial"/>
          <w:b/>
          <w:sz w:val="20"/>
        </w:rPr>
        <w:tab/>
      </w:r>
      <w:r w:rsidRPr="00412620">
        <w:rPr>
          <w:sz w:val="20"/>
        </w:rPr>
        <w:t>is the amount referred to in clause (a) of sub-section (13); and</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C</w:t>
      </w:r>
      <w:r w:rsidRPr="00412620">
        <w:rPr>
          <w:sz w:val="20"/>
        </w:rPr>
        <w:tab/>
        <w:t>is the actual cost of acquiring the vehicle.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(11)</w:t>
      </w:r>
      <w:r w:rsidRPr="00412620">
        <w:rPr>
          <w:rFonts w:cs="Arial"/>
          <w:sz w:val="20"/>
        </w:rPr>
        <w:tab/>
        <w:t>Subject to sub-sections (13) and (14), the rules in Part III of Chapter IV shall apply in determining the cost and consideration received in respect of a depreciable asset for the purposes of this section.</w:t>
      </w:r>
    </w:p>
    <w:p w:rsidR="006A3F93" w:rsidRPr="00412620" w:rsidRDefault="006A3F93">
      <w:pPr>
        <w:jc w:val="both"/>
        <w:rPr>
          <w:rFonts w:cs="Arial"/>
          <w:sz w:val="20"/>
        </w:rPr>
      </w:pPr>
    </w:p>
    <w:p w:rsidR="006A3F93" w:rsidRPr="00412620" w:rsidRDefault="006A3F93">
      <w:pPr>
        <w:jc w:val="both"/>
        <w:rPr>
          <w:rFonts w:cs="Arial"/>
          <w:b/>
          <w:sz w:val="20"/>
        </w:rPr>
      </w:pPr>
      <w:r w:rsidRPr="00412620">
        <w:rPr>
          <w:rStyle w:val="FootnoteReference"/>
          <w:rFonts w:cs="Arial"/>
          <w:sz w:val="20"/>
        </w:rPr>
        <w:footnoteReference w:id="240"/>
      </w:r>
      <w:r w:rsidRPr="00412620">
        <w:rPr>
          <w:rFonts w:cs="Arial"/>
          <w:sz w:val="20"/>
        </w:rPr>
        <w:t>[(12)</w:t>
      </w:r>
      <w:r w:rsidRPr="00412620">
        <w:rPr>
          <w:rFonts w:cs="Arial"/>
          <w:sz w:val="20"/>
        </w:rPr>
        <w:tab/>
        <w:t xml:space="preserve">The depreciation deductions allowed to a leasing company or an investment bank or a modaraba or a scheduled bank or a development finance institution in respect of assets owned by the leasing company or an investment </w:t>
      </w:r>
      <w:r w:rsidRPr="00412620">
        <w:rPr>
          <w:rFonts w:cs="Arial"/>
          <w:sz w:val="20"/>
        </w:rPr>
        <w:lastRenderedPageBreak/>
        <w:t>bank or a modaraba or a scheduled bank or a development finance institution and leased to another person shall be deductible only against the lease rental income derived in respect of such assets.]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(13)</w:t>
      </w:r>
      <w:r w:rsidRPr="00412620">
        <w:rPr>
          <w:rFonts w:cs="Arial"/>
          <w:sz w:val="20"/>
        </w:rPr>
        <w:tab/>
        <w:t xml:space="preserve">For the purposes of this section, </w:t>
      </w:r>
      <w:r w:rsidR="008929FC" w:rsidRPr="00412620">
        <w:rPr>
          <w:rFonts w:cs="Arial"/>
          <w:sz w:val="20"/>
        </w:rPr>
        <w:t>—</w:t>
      </w:r>
    </w:p>
    <w:p w:rsidR="006A3F93" w:rsidRPr="00412620" w:rsidRDefault="006A3F93">
      <w:pPr>
        <w:jc w:val="both"/>
        <w:rPr>
          <w:rFonts w:cs="Arial"/>
          <w:sz w:val="20"/>
        </w:rPr>
      </w:pPr>
    </w:p>
    <w:p w:rsidR="006A3F93" w:rsidRPr="00260CAF" w:rsidRDefault="006A3F93">
      <w:pPr>
        <w:ind w:left="1641" w:hanging="546"/>
        <w:jc w:val="both"/>
        <w:rPr>
          <w:rFonts w:cs="Arial"/>
          <w:sz w:val="20"/>
        </w:rPr>
      </w:pPr>
      <w:r w:rsidRPr="00412620">
        <w:rPr>
          <w:rFonts w:cs="Arial"/>
          <w:sz w:val="20"/>
        </w:rPr>
        <w:t>(a)</w:t>
      </w:r>
      <w:r w:rsidRPr="00412620">
        <w:rPr>
          <w:rFonts w:cs="Arial"/>
          <w:sz w:val="20"/>
        </w:rPr>
        <w:tab/>
        <w:t>the cost of a depreciable asset being a passenger transport vehicle not pl</w:t>
      </w:r>
      <w:r w:rsidR="0089717D" w:rsidRPr="00412620">
        <w:rPr>
          <w:rFonts w:cs="Arial"/>
          <w:sz w:val="20"/>
        </w:rPr>
        <w:t xml:space="preserve">ying for hire shall not </w:t>
      </w:r>
      <w:r w:rsidR="0089717D" w:rsidRPr="00260CAF">
        <w:rPr>
          <w:rFonts w:cs="Arial"/>
          <w:sz w:val="20"/>
        </w:rPr>
        <w:t xml:space="preserve">exceed </w:t>
      </w:r>
      <w:r w:rsidR="000D77BF" w:rsidRPr="00260CAF">
        <w:rPr>
          <w:rStyle w:val="FootnoteReference"/>
          <w:rFonts w:cs="Arial"/>
          <w:sz w:val="20"/>
        </w:rPr>
        <w:footnoteReference w:id="241"/>
      </w:r>
      <w:r w:rsidR="000D77BF" w:rsidRPr="00260CAF">
        <w:rPr>
          <w:rFonts w:cs="Arial"/>
          <w:sz w:val="20"/>
        </w:rPr>
        <w:t>[two]</w:t>
      </w:r>
      <w:r w:rsidR="0053325C" w:rsidRPr="00260CAF">
        <w:rPr>
          <w:rStyle w:val="FootnoteReference"/>
          <w:rFonts w:cs="Arial"/>
          <w:sz w:val="20"/>
        </w:rPr>
        <w:footnoteReference w:id="242"/>
      </w:r>
      <w:r w:rsidR="00EE2B98" w:rsidRPr="00260CAF">
        <w:rPr>
          <w:rFonts w:cs="Arial"/>
          <w:sz w:val="20"/>
        </w:rPr>
        <w:t>[and half</w:t>
      </w:r>
      <w:r w:rsidR="000B2FB1" w:rsidRPr="00260CAF">
        <w:rPr>
          <w:rFonts w:cs="Arial"/>
          <w:sz w:val="20"/>
        </w:rPr>
        <w:t>]</w:t>
      </w:r>
      <w:r w:rsidR="0089717D" w:rsidRPr="00260CAF">
        <w:rPr>
          <w:rFonts w:cs="Arial"/>
          <w:sz w:val="20"/>
        </w:rPr>
        <w:t>million</w:t>
      </w:r>
      <w:r w:rsidRPr="00260CAF">
        <w:rPr>
          <w:rFonts w:cs="Arial"/>
          <w:sz w:val="20"/>
        </w:rPr>
        <w:t xml:space="preserve"> rupees;</w:t>
      </w:r>
    </w:p>
    <w:p w:rsidR="006A3F93" w:rsidRPr="00251DBA" w:rsidRDefault="006A3F93">
      <w:pPr>
        <w:pStyle w:val="BodyTextIndent"/>
        <w:ind w:firstLine="0"/>
        <w:jc w:val="both"/>
        <w:rPr>
          <w:rFonts w:cs="Arial"/>
          <w:sz w:val="8"/>
        </w:rPr>
      </w:pPr>
    </w:p>
    <w:p w:rsidR="00ED093F" w:rsidRPr="00412620" w:rsidRDefault="00ED093F">
      <w:pPr>
        <w:pStyle w:val="BodyTextIndent"/>
        <w:ind w:firstLine="0"/>
        <w:jc w:val="both"/>
        <w:rPr>
          <w:rFonts w:cs="Arial"/>
          <w:sz w:val="20"/>
        </w:rPr>
      </w:pPr>
      <w:r w:rsidRPr="00412620">
        <w:rPr>
          <w:rFonts w:cs="Arial"/>
          <w:sz w:val="20"/>
        </w:rPr>
        <w:tab/>
      </w:r>
      <w:r w:rsidRPr="00412620">
        <w:rPr>
          <w:rFonts w:cs="Arial"/>
          <w:sz w:val="20"/>
        </w:rPr>
        <w:tab/>
      </w:r>
      <w:r w:rsidRPr="00412620">
        <w:rPr>
          <w:rStyle w:val="FootnoteReference"/>
          <w:rFonts w:cs="Arial"/>
          <w:sz w:val="20"/>
        </w:rPr>
        <w:footnoteReference w:id="243"/>
      </w:r>
      <w:r w:rsidRPr="00412620">
        <w:rPr>
          <w:rFonts w:cs="Arial"/>
          <w:sz w:val="20"/>
        </w:rPr>
        <w:t>[  ]</w:t>
      </w:r>
    </w:p>
    <w:p w:rsidR="006A3F93" w:rsidRPr="00251DBA" w:rsidRDefault="006A3F93">
      <w:pPr>
        <w:pStyle w:val="BodyTextIndent"/>
        <w:jc w:val="both"/>
        <w:rPr>
          <w:rFonts w:cs="Arial"/>
          <w:sz w:val="1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cost of immovable property or a structural improvement to immovable property shall not include the cost of the land;</w:t>
      </w:r>
    </w:p>
    <w:p w:rsidR="006A3F93" w:rsidRPr="00251DBA" w:rsidRDefault="006A3F93">
      <w:pPr>
        <w:pStyle w:val="BodyTextIndent"/>
        <w:jc w:val="both"/>
        <w:rPr>
          <w:rFonts w:cs="Arial"/>
          <w:sz w:val="10"/>
        </w:rPr>
      </w:pPr>
    </w:p>
    <w:p w:rsidR="006A3F93" w:rsidRPr="00412620" w:rsidRDefault="006A3F93">
      <w:pPr>
        <w:pStyle w:val="BodyTextIndent"/>
        <w:ind w:left="1620" w:hanging="630"/>
        <w:jc w:val="both"/>
        <w:rPr>
          <w:b/>
          <w:sz w:val="20"/>
        </w:rPr>
      </w:pPr>
      <w:r w:rsidRPr="00412620">
        <w:rPr>
          <w:rFonts w:cs="Arial"/>
          <w:sz w:val="20"/>
          <w:vertAlign w:val="superscript"/>
        </w:rPr>
        <w:footnoteReference w:id="244"/>
      </w:r>
      <w:r w:rsidRPr="00412620">
        <w:rPr>
          <w:sz w:val="20"/>
        </w:rPr>
        <w:t xml:space="preserve">[(c) </w:t>
      </w:r>
      <w:r w:rsidRPr="00412620">
        <w:rPr>
          <w:sz w:val="20"/>
        </w:rPr>
        <w:tab/>
        <w:t>any asset owned by a leasing company or an investment bank or a modaraba or a scheduled bank or a development finance institution and leased to another person is treated as used in the leasing company or the investment bank or the modaraba or the scheduled bank or the development finance institution’s business;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where the consideration received on the disposal of immovable property exceeds the cost of the property, the consideration received shall be treated as the cost of the property.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(14)</w:t>
      </w:r>
      <w:r w:rsidRPr="00412620">
        <w:rPr>
          <w:rFonts w:cs="Arial"/>
          <w:sz w:val="20"/>
        </w:rPr>
        <w:tab/>
        <w:t>Where a depreciable asset that has been used by a person in Pakistan is exported or transferred out of Pakistan, the person shall be treated as having disposed of the asset at the time of the export or transfer for a consideration received equal to the cost of the asset.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(15)</w:t>
      </w:r>
      <w:r w:rsidRPr="00412620">
        <w:rPr>
          <w:rFonts w:cs="Arial"/>
          <w:sz w:val="20"/>
        </w:rPr>
        <w:tab/>
        <w:t xml:space="preserve">In this section, </w:t>
      </w:r>
      <w:r w:rsidR="008929FC" w:rsidRPr="00412620">
        <w:rPr>
          <w:rFonts w:cs="Arial"/>
          <w:sz w:val="20"/>
        </w:rPr>
        <w:t>—</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 xml:space="preserve">“depreciable asset” means any tangible movable property, immovable property (other than unimproved land), or structural improvement to immovable property, owned by a person that </w:t>
      </w:r>
      <w:r w:rsidR="006F4DC7"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has a normal useful life exceeding one year;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is likely to lose value as a result of normal wear and tear, or obsolescence;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is used wholly or partly by the person in deriving income from business chargeable to tax,</w:t>
      </w:r>
    </w:p>
    <w:p w:rsidR="006A3F93" w:rsidRPr="00412620" w:rsidRDefault="006A3F93">
      <w:pPr>
        <w:pStyle w:val="BodyTextIndent3"/>
        <w:ind w:left="0" w:firstLine="0"/>
        <w:jc w:val="both"/>
        <w:rPr>
          <w:rFonts w:cs="Arial"/>
          <w:sz w:val="20"/>
        </w:rPr>
      </w:pPr>
    </w:p>
    <w:p w:rsidR="006A3F93" w:rsidRPr="00412620" w:rsidRDefault="006A3F93">
      <w:pPr>
        <w:ind w:left="1080"/>
        <w:jc w:val="both"/>
        <w:rPr>
          <w:rFonts w:cs="Arial"/>
          <w:sz w:val="20"/>
        </w:rPr>
      </w:pPr>
      <w:r w:rsidRPr="00412620">
        <w:rPr>
          <w:rFonts w:cs="Arial"/>
          <w:sz w:val="20"/>
        </w:rPr>
        <w:t>but shall not include any tangible movable property, immovable property, or structural improvement to immovable property in relation to which a deduction has been allowed under another section of this Ordinance for the entire cost of the property or improvement in the tax year in which the property is acquired or improvement made by the person; and</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“structural improvement” in relation to immovable property, includes any building, road, driveway, car park, railway line, pipeline, bridge, tunnel, airport runway, canal, dock, wharf, retaining wall, fence, power lines, water or sewerage pipes, drainage, landscaping or dam.</w:t>
      </w:r>
    </w:p>
    <w:p w:rsidR="006A3F93" w:rsidRPr="00412620" w:rsidRDefault="006A3F93">
      <w:pPr>
        <w:pStyle w:val="BodyTextIndent3"/>
        <w:ind w:left="0" w:firstLine="0"/>
        <w:jc w:val="both"/>
        <w:rPr>
          <w:rFonts w:cs="Arial"/>
          <w:sz w:val="20"/>
        </w:rPr>
      </w:pPr>
    </w:p>
    <w:p w:rsidR="0067339E" w:rsidRPr="00260CAF" w:rsidRDefault="006A3F93" w:rsidP="00D839EE">
      <w:pPr>
        <w:jc w:val="both"/>
        <w:rPr>
          <w:sz w:val="20"/>
        </w:rPr>
      </w:pPr>
      <w:r w:rsidRPr="00412620">
        <w:rPr>
          <w:rFonts w:cs="Arial"/>
          <w:b/>
          <w:sz w:val="20"/>
        </w:rPr>
        <w:t>23.</w:t>
      </w:r>
      <w:r w:rsidRPr="00412620">
        <w:rPr>
          <w:rFonts w:cs="Arial"/>
          <w:b/>
          <w:sz w:val="20"/>
        </w:rPr>
        <w:tab/>
        <w:t>Initial allowance.</w:t>
      </w:r>
      <w:r w:rsidR="008929FC" w:rsidRPr="00412620">
        <w:rPr>
          <w:rFonts w:cs="Arial"/>
          <w:b/>
          <w:sz w:val="20"/>
        </w:rPr>
        <w:t>—</w:t>
      </w:r>
      <w:r w:rsidR="0067339E" w:rsidRPr="00412620">
        <w:rPr>
          <w:sz w:val="20"/>
        </w:rPr>
        <w:t xml:space="preserve">(1)  A person who places an eligible depreciable asset into </w:t>
      </w:r>
      <w:r w:rsidR="0067339E" w:rsidRPr="00260CAF">
        <w:rPr>
          <w:sz w:val="20"/>
        </w:rPr>
        <w:t xml:space="preserve">service in Pakistan for the first time in a tax year shall be allowed a deduction (hereinafter referred to as an “initial allowance”) computed in accordance with sub-section (2), provided the asset is </w:t>
      </w:r>
      <w:r w:rsidR="00003276" w:rsidRPr="00260CAF">
        <w:rPr>
          <w:rStyle w:val="FootnoteReference"/>
          <w:sz w:val="20"/>
        </w:rPr>
        <w:footnoteReference w:id="245"/>
      </w:r>
      <w:r w:rsidR="007C6357" w:rsidRPr="00260CAF">
        <w:rPr>
          <w:sz w:val="20"/>
        </w:rPr>
        <w:t>[</w:t>
      </w:r>
      <w:r w:rsidR="0067339E" w:rsidRPr="00260CAF">
        <w:rPr>
          <w:sz w:val="20"/>
        </w:rPr>
        <w:t>used by the person for the purposes of his business for the first time or the tax year in which commercial production is commenced, whichever is later</w:t>
      </w:r>
      <w:r w:rsidR="007C6357" w:rsidRPr="00260CAF">
        <w:rPr>
          <w:sz w:val="20"/>
        </w:rPr>
        <w:t>]</w:t>
      </w:r>
      <w:r w:rsidR="0067339E" w:rsidRPr="00260CAF">
        <w:rPr>
          <w:sz w:val="20"/>
        </w:rPr>
        <w:t>.</w:t>
      </w:r>
    </w:p>
    <w:p w:rsidR="00BA266A" w:rsidRPr="00260CAF" w:rsidRDefault="00BA266A" w:rsidP="00124E12">
      <w:pPr>
        <w:ind w:firstLine="547"/>
        <w:jc w:val="both"/>
        <w:rPr>
          <w:sz w:val="20"/>
        </w:rPr>
      </w:pPr>
    </w:p>
    <w:p w:rsidR="00654859" w:rsidRPr="00260CAF" w:rsidRDefault="00654859" w:rsidP="00124E12">
      <w:pPr>
        <w:ind w:firstLine="547"/>
        <w:jc w:val="both"/>
        <w:rPr>
          <w:sz w:val="20"/>
        </w:rPr>
      </w:pPr>
      <w:r w:rsidRPr="00260CAF">
        <w:rPr>
          <w:sz w:val="20"/>
        </w:rPr>
        <w:t>(2)</w:t>
      </w:r>
      <w:r w:rsidRPr="00260CAF">
        <w:rPr>
          <w:sz w:val="20"/>
        </w:rPr>
        <w:tab/>
        <w:t>The amount of the initial allowance of a person shall be computed by applying the rate specified in Part II of the Third Schedule against the cost of the asset.</w:t>
      </w:r>
    </w:p>
    <w:p w:rsidR="006A3F93" w:rsidRPr="00260CAF" w:rsidRDefault="006A3F93">
      <w:pPr>
        <w:jc w:val="both"/>
        <w:rPr>
          <w:rFonts w:cs="Arial"/>
          <w:sz w:val="20"/>
        </w:rPr>
      </w:pPr>
    </w:p>
    <w:p w:rsidR="006A3F93" w:rsidRPr="00260CAF" w:rsidRDefault="006A3F93">
      <w:pPr>
        <w:jc w:val="both"/>
        <w:rPr>
          <w:rFonts w:cs="Arial"/>
          <w:sz w:val="20"/>
        </w:rPr>
      </w:pPr>
      <w:r w:rsidRPr="00260CAF">
        <w:rPr>
          <w:rFonts w:cs="Arial"/>
          <w:sz w:val="20"/>
        </w:rPr>
        <w:tab/>
        <w:t>(3)</w:t>
      </w:r>
      <w:r w:rsidRPr="00260CAF">
        <w:rPr>
          <w:rFonts w:cs="Arial"/>
          <w:sz w:val="20"/>
        </w:rPr>
        <w:tab/>
        <w:t>The rules in section 76 shall apply in determining the cost of an eligible depreciable asset for the purposes of this section.</w:t>
      </w:r>
    </w:p>
    <w:p w:rsidR="006A3F93" w:rsidRPr="00260CAF" w:rsidRDefault="006A3F93">
      <w:pPr>
        <w:jc w:val="both"/>
        <w:rPr>
          <w:rFonts w:cs="Arial"/>
          <w:sz w:val="20"/>
        </w:rPr>
      </w:pPr>
    </w:p>
    <w:p w:rsidR="006A3F93" w:rsidRPr="00412620" w:rsidRDefault="006A3F93">
      <w:pPr>
        <w:jc w:val="both"/>
        <w:rPr>
          <w:rFonts w:cs="Arial"/>
          <w:b/>
          <w:sz w:val="20"/>
        </w:rPr>
      </w:pPr>
      <w:r w:rsidRPr="00260CAF">
        <w:rPr>
          <w:rStyle w:val="FootnoteReference"/>
          <w:rFonts w:cs="Arial"/>
          <w:sz w:val="20"/>
        </w:rPr>
        <w:footnoteReference w:id="246"/>
      </w:r>
      <w:r w:rsidRPr="00260CAF">
        <w:rPr>
          <w:rFonts w:cs="Arial"/>
          <w:sz w:val="20"/>
        </w:rPr>
        <w:t>[(4)</w:t>
      </w:r>
      <w:r w:rsidRPr="00260CAF">
        <w:rPr>
          <w:rFonts w:cs="Arial"/>
          <w:sz w:val="20"/>
        </w:rPr>
        <w:tab/>
        <w:t>A deduction allowed under this section to a leasing company or an investment bank or a modaraba or a scheduled bank or a development finance institution in respect of assets owned by the leasing company or the investment bank or the modaraba or the scheduled</w:t>
      </w:r>
      <w:r w:rsidRPr="00412620">
        <w:rPr>
          <w:rFonts w:cs="Arial"/>
          <w:sz w:val="20"/>
        </w:rPr>
        <w:t xml:space="preserve"> bank or the development finance institution and leased to another person shall be deducted only against the leased rental income derived in respect of such assets.]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In this section, “eligible depreciable asset” means a depreciable asset </w:t>
      </w:r>
      <w:r w:rsidRPr="00412620">
        <w:rPr>
          <w:rStyle w:val="FootnoteReference"/>
          <w:rFonts w:cs="Arial"/>
          <w:sz w:val="20"/>
        </w:rPr>
        <w:footnoteReference w:id="247"/>
      </w:r>
      <w:r w:rsidRPr="00412620">
        <w:rPr>
          <w:rFonts w:cs="Arial"/>
          <w:sz w:val="20"/>
        </w:rPr>
        <w:t xml:space="preserve">[  ] other than </w:t>
      </w:r>
      <w:r w:rsidR="00F92A6A" w:rsidRPr="00412620">
        <w:rPr>
          <w:rFonts w:cs="Arial"/>
          <w:b/>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any road transport vehicle unless the vehicle is plying for hire;</w:t>
      </w:r>
    </w:p>
    <w:p w:rsidR="006A3F93" w:rsidRPr="006B57DA" w:rsidRDefault="006A3F93">
      <w:pPr>
        <w:jc w:val="both"/>
        <w:rPr>
          <w:rFonts w:cs="Arial"/>
          <w:sz w:val="6"/>
        </w:rPr>
      </w:pPr>
    </w:p>
    <w:p w:rsidR="006A3F93" w:rsidRPr="00412620" w:rsidRDefault="006A3F93" w:rsidP="00CC75DD">
      <w:pPr>
        <w:ind w:left="1620" w:hanging="540"/>
        <w:jc w:val="both"/>
        <w:rPr>
          <w:rFonts w:cs="Arial"/>
          <w:sz w:val="20"/>
        </w:rPr>
      </w:pPr>
      <w:r w:rsidRPr="00412620">
        <w:rPr>
          <w:rFonts w:cs="Arial"/>
          <w:sz w:val="20"/>
        </w:rPr>
        <w:t>(b)</w:t>
      </w:r>
      <w:r w:rsidRPr="00412620">
        <w:rPr>
          <w:rFonts w:cs="Arial"/>
          <w:sz w:val="20"/>
        </w:rPr>
        <w:tab/>
        <w:t>any furniture, including fittings;</w:t>
      </w: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any plant or machinery</w:t>
      </w:r>
      <w:r w:rsidR="00D4066D">
        <w:rPr>
          <w:rStyle w:val="FootnoteReference"/>
          <w:rFonts w:cs="Arial"/>
          <w:sz w:val="20"/>
        </w:rPr>
        <w:footnoteReference w:id="248"/>
      </w:r>
      <w:r w:rsidRPr="00412620">
        <w:rPr>
          <w:rFonts w:cs="Arial"/>
          <w:sz w:val="20"/>
        </w:rPr>
        <w:t>[that has been used previously in Pakistan]; or</w:t>
      </w:r>
    </w:p>
    <w:p w:rsidR="006A3F93" w:rsidRPr="006B57DA" w:rsidRDefault="006A3F93">
      <w:pPr>
        <w:jc w:val="both"/>
        <w:rPr>
          <w:rFonts w:cs="Arial"/>
          <w:sz w:val="2"/>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any plant or machinery in relation to which a deduction has been allowed under another section of this Ordinance for the entire cost of the asset in the tax year in which the asset is acquired.</w:t>
      </w:r>
      <w:r w:rsidRPr="00412620">
        <w:rPr>
          <w:rFonts w:cs="Arial"/>
          <w:sz w:val="20"/>
        </w:rPr>
        <w:tab/>
      </w:r>
    </w:p>
    <w:p w:rsidR="00875B6F" w:rsidRPr="00412620" w:rsidRDefault="00875B6F">
      <w:pPr>
        <w:jc w:val="both"/>
        <w:rPr>
          <w:rFonts w:cs="Arial"/>
          <w:sz w:val="20"/>
        </w:rPr>
      </w:pPr>
    </w:p>
    <w:p w:rsidR="00022C0A" w:rsidRPr="00412620" w:rsidRDefault="00E6514F" w:rsidP="00190133">
      <w:pPr>
        <w:autoSpaceDE w:val="0"/>
        <w:autoSpaceDN w:val="0"/>
        <w:adjustRightInd w:val="0"/>
        <w:jc w:val="both"/>
        <w:rPr>
          <w:rFonts w:cs="Arial"/>
          <w:sz w:val="20"/>
        </w:rPr>
      </w:pPr>
      <w:r>
        <w:rPr>
          <w:rStyle w:val="FootnoteReference"/>
          <w:rFonts w:cs="Arial"/>
          <w:b/>
          <w:sz w:val="20"/>
        </w:rPr>
        <w:footnoteReference w:id="249"/>
      </w:r>
      <w:r w:rsidR="00022C0A" w:rsidRPr="00412620">
        <w:rPr>
          <w:rFonts w:cs="Arial"/>
          <w:b/>
          <w:sz w:val="20"/>
        </w:rPr>
        <w:t>[23A.First Year Allowance</w:t>
      </w:r>
      <w:r w:rsidR="00022C0A" w:rsidRPr="00412620">
        <w:rPr>
          <w:rFonts w:cs="Arial"/>
          <w:sz w:val="20"/>
        </w:rPr>
        <w:t>.</w:t>
      </w:r>
      <w:r w:rsidR="008929FC" w:rsidRPr="00412620">
        <w:rPr>
          <w:rFonts w:cs="Arial"/>
          <w:sz w:val="20"/>
        </w:rPr>
        <w:t>—</w:t>
      </w:r>
      <w:r w:rsidR="00022C0A" w:rsidRPr="00412620">
        <w:rPr>
          <w:rFonts w:cs="Arial"/>
          <w:sz w:val="20"/>
        </w:rPr>
        <w:t xml:space="preserve">  (1)  Plant, machinery and equipment installed by</w:t>
      </w:r>
      <w:r w:rsidR="00BE2EA8">
        <w:rPr>
          <w:rFonts w:cs="Arial"/>
          <w:sz w:val="20"/>
        </w:rPr>
        <w:t xml:space="preserve"> </w:t>
      </w:r>
      <w:r w:rsidR="00022C0A" w:rsidRPr="00F90C97">
        <w:rPr>
          <w:rFonts w:cs="Arial"/>
          <w:color w:val="000000" w:themeColor="text1"/>
          <w:sz w:val="20"/>
        </w:rPr>
        <w:t>any industrial undertaking set up in specified rural and under developed areas</w:t>
      </w:r>
      <w:r w:rsidR="004B38CB" w:rsidRPr="00F90C97">
        <w:rPr>
          <w:rStyle w:val="FootnoteReference"/>
          <w:rFonts w:cs="Arial"/>
          <w:color w:val="000000" w:themeColor="text1"/>
          <w:sz w:val="20"/>
        </w:rPr>
        <w:footnoteReference w:id="250"/>
      </w:r>
      <w:r w:rsidR="00190133" w:rsidRPr="00F90C97">
        <w:rPr>
          <w:rFonts w:cs="Arial"/>
          <w:color w:val="000000" w:themeColor="text1"/>
          <w:sz w:val="20"/>
        </w:rPr>
        <w:t>[</w:t>
      </w:r>
      <w:r w:rsidR="00190133" w:rsidRPr="00F90C97">
        <w:rPr>
          <w:rFonts w:cs="Arial"/>
          <w:color w:val="000000" w:themeColor="text1"/>
          <w:sz w:val="20"/>
          <w:lang w:val="en-US"/>
        </w:rPr>
        <w:t>or</w:t>
      </w:r>
      <w:r w:rsidR="00BE2EA8" w:rsidRPr="00F90C97">
        <w:rPr>
          <w:rFonts w:cs="Arial"/>
          <w:color w:val="000000" w:themeColor="text1"/>
          <w:sz w:val="20"/>
          <w:lang w:val="en-US"/>
        </w:rPr>
        <w:t xml:space="preserve"> </w:t>
      </w:r>
      <w:r w:rsidR="00190133" w:rsidRPr="00F90C97">
        <w:rPr>
          <w:rFonts w:cs="Arial"/>
          <w:color w:val="000000" w:themeColor="text1"/>
          <w:sz w:val="20"/>
          <w:lang w:val="en-US"/>
        </w:rPr>
        <w:t>engaged in the manufacturing of cellular mobile phones and qualifying for exemption under clause (126N) of Part I of the Second Schedule]</w:t>
      </w:r>
      <w:r w:rsidR="00022C0A" w:rsidRPr="00F90C97">
        <w:rPr>
          <w:rFonts w:cs="Arial"/>
          <w:color w:val="000000" w:themeColor="text1"/>
          <w:sz w:val="20"/>
        </w:rPr>
        <w:t xml:space="preserve"> and owned and managed by a company shall be allowed </w:t>
      </w:r>
      <w:r w:rsidR="00E56718" w:rsidRPr="00F90C97">
        <w:rPr>
          <w:rFonts w:cs="Arial"/>
          <w:color w:val="000000" w:themeColor="text1"/>
          <w:sz w:val="20"/>
        </w:rPr>
        <w:t>f</w:t>
      </w:r>
      <w:r w:rsidR="00022C0A" w:rsidRPr="00F90C97">
        <w:rPr>
          <w:rFonts w:cs="Arial"/>
          <w:color w:val="000000" w:themeColor="text1"/>
          <w:sz w:val="20"/>
        </w:rPr>
        <w:t xml:space="preserve">irst </w:t>
      </w:r>
      <w:r w:rsidR="00E56718" w:rsidRPr="00F90C97">
        <w:rPr>
          <w:rFonts w:cs="Arial"/>
          <w:color w:val="000000" w:themeColor="text1"/>
          <w:sz w:val="20"/>
        </w:rPr>
        <w:t>y</w:t>
      </w:r>
      <w:r w:rsidR="00022C0A" w:rsidRPr="00F90C97">
        <w:rPr>
          <w:rFonts w:cs="Arial"/>
          <w:color w:val="000000" w:themeColor="text1"/>
          <w:sz w:val="20"/>
        </w:rPr>
        <w:t xml:space="preserve">ear </w:t>
      </w:r>
      <w:r w:rsidR="00E56718" w:rsidRPr="00F90C97">
        <w:rPr>
          <w:rFonts w:cs="Arial"/>
          <w:color w:val="000000" w:themeColor="text1"/>
          <w:sz w:val="20"/>
        </w:rPr>
        <w:t>a</w:t>
      </w:r>
      <w:r w:rsidR="00022C0A" w:rsidRPr="00F90C97">
        <w:rPr>
          <w:rFonts w:cs="Arial"/>
          <w:color w:val="000000" w:themeColor="text1"/>
          <w:sz w:val="20"/>
        </w:rPr>
        <w:t>llowance in lieu of initial</w:t>
      </w:r>
      <w:r w:rsidR="00022C0A" w:rsidRPr="00412620">
        <w:rPr>
          <w:rFonts w:cs="Arial"/>
          <w:sz w:val="20"/>
        </w:rPr>
        <w:t xml:space="preserve"> allowance under section 23 at the rate specified in Part II of the Third Schedule against the cost of the “eligible depreciable assets” put to use after July 1, 2008.</w:t>
      </w:r>
    </w:p>
    <w:p w:rsidR="00022C0A" w:rsidRPr="00412620" w:rsidRDefault="00022C0A" w:rsidP="00022C0A">
      <w:pPr>
        <w:jc w:val="both"/>
        <w:rPr>
          <w:rFonts w:cs="Arial"/>
          <w:sz w:val="20"/>
        </w:rPr>
      </w:pPr>
    </w:p>
    <w:p w:rsidR="00022C0A" w:rsidRPr="00412620" w:rsidRDefault="00022C0A" w:rsidP="00022C0A">
      <w:pPr>
        <w:ind w:firstLine="547"/>
        <w:jc w:val="both"/>
        <w:rPr>
          <w:rFonts w:cs="Arial"/>
          <w:sz w:val="20"/>
        </w:rPr>
      </w:pPr>
      <w:r w:rsidRPr="00412620">
        <w:rPr>
          <w:rFonts w:cs="Arial"/>
          <w:sz w:val="20"/>
        </w:rPr>
        <w:t>(2)</w:t>
      </w:r>
      <w:r w:rsidRPr="00412620">
        <w:rPr>
          <w:rFonts w:cs="Arial"/>
          <w:sz w:val="20"/>
        </w:rPr>
        <w:tab/>
        <w:t xml:space="preserve">The provisions of section 23 except sub-sections (1) and (2) </w:t>
      </w:r>
      <w:r w:rsidR="00E56718" w:rsidRPr="00412620">
        <w:rPr>
          <w:rFonts w:cs="Arial"/>
          <w:sz w:val="20"/>
        </w:rPr>
        <w:t xml:space="preserve">thereof, </w:t>
      </w:r>
      <w:r w:rsidRPr="00412620">
        <w:rPr>
          <w:rFonts w:cs="Arial"/>
          <w:sz w:val="20"/>
        </w:rPr>
        <w:t>shall mutatis mutandis apply.</w:t>
      </w:r>
    </w:p>
    <w:p w:rsidR="00022C0A" w:rsidRPr="00412620" w:rsidRDefault="00022C0A" w:rsidP="00022C0A">
      <w:pPr>
        <w:ind w:firstLine="547"/>
        <w:jc w:val="both"/>
        <w:rPr>
          <w:rFonts w:cs="Arial"/>
          <w:sz w:val="20"/>
        </w:rPr>
      </w:pPr>
    </w:p>
    <w:p w:rsidR="00022C0A" w:rsidRPr="00412620" w:rsidRDefault="00022C0A" w:rsidP="00022C0A">
      <w:pPr>
        <w:ind w:firstLine="547"/>
        <w:jc w:val="both"/>
        <w:rPr>
          <w:rFonts w:cs="Arial"/>
          <w:sz w:val="20"/>
        </w:rPr>
      </w:pPr>
      <w:r w:rsidRPr="00412620">
        <w:rPr>
          <w:rFonts w:cs="Arial"/>
          <w:sz w:val="20"/>
        </w:rPr>
        <w:t>(3)</w:t>
      </w:r>
      <w:r w:rsidRPr="00412620">
        <w:rPr>
          <w:rFonts w:cs="Arial"/>
          <w:sz w:val="20"/>
        </w:rPr>
        <w:tab/>
        <w:t>The Federal Government may notify “specified areas” for the purposes of sub-section (1).]</w:t>
      </w:r>
    </w:p>
    <w:p w:rsidR="00022C0A" w:rsidRPr="00412620" w:rsidRDefault="00022C0A">
      <w:pPr>
        <w:jc w:val="both"/>
        <w:rPr>
          <w:rFonts w:cs="Arial"/>
          <w:sz w:val="20"/>
        </w:rPr>
      </w:pPr>
    </w:p>
    <w:p w:rsidR="00875B6F" w:rsidRPr="00412620" w:rsidRDefault="00875B6F">
      <w:pPr>
        <w:jc w:val="both"/>
        <w:rPr>
          <w:rFonts w:cs="Arial"/>
          <w:sz w:val="20"/>
        </w:rPr>
      </w:pPr>
    </w:p>
    <w:p w:rsidR="005C4F51" w:rsidRPr="00412620" w:rsidRDefault="004657D9">
      <w:pPr>
        <w:jc w:val="both"/>
        <w:rPr>
          <w:rFonts w:cs="Arial"/>
          <w:sz w:val="20"/>
        </w:rPr>
      </w:pPr>
      <w:r w:rsidRPr="00412620">
        <w:rPr>
          <w:rStyle w:val="FootnoteReference"/>
          <w:rFonts w:cs="Arial"/>
          <w:sz w:val="20"/>
        </w:rPr>
        <w:footnoteReference w:id="251"/>
      </w:r>
      <w:r w:rsidR="005C4F51" w:rsidRPr="00412620">
        <w:rPr>
          <w:rFonts w:cs="Arial"/>
          <w:sz w:val="20"/>
        </w:rPr>
        <w:t>[</w:t>
      </w:r>
      <w:r w:rsidR="005C4F51" w:rsidRPr="00412620">
        <w:rPr>
          <w:rFonts w:cs="Arial"/>
          <w:b/>
          <w:sz w:val="20"/>
        </w:rPr>
        <w:t>23B. Accelerated depreciation to alternate energy projects.</w:t>
      </w:r>
      <w:r w:rsidR="008929FC" w:rsidRPr="00412620">
        <w:rPr>
          <w:rFonts w:cs="Arial"/>
          <w:b/>
          <w:sz w:val="20"/>
        </w:rPr>
        <w:t>—</w:t>
      </w:r>
      <w:r w:rsidR="005C4F51" w:rsidRPr="00412620">
        <w:rPr>
          <w:rFonts w:cs="Arial"/>
          <w:sz w:val="20"/>
        </w:rPr>
        <w:t xml:space="preserve"> (1) Any plant, machinery and equipments installed for generation of alternate energy by an industrial undertaking set up anywhere in Pakistan and owned and managed by a company shall be allowed first year allowance in lieu of initial allowance under section 23, at the rate specified in Part II of the Third Schedule against the cost of the eligible depreciation assets put to use after first day of July, 2009.</w:t>
      </w:r>
    </w:p>
    <w:p w:rsidR="005C4F51" w:rsidRPr="00412620" w:rsidRDefault="005C4F51">
      <w:pPr>
        <w:jc w:val="both"/>
        <w:rPr>
          <w:rFonts w:cs="Arial"/>
          <w:sz w:val="20"/>
        </w:rPr>
      </w:pPr>
    </w:p>
    <w:p w:rsidR="005C4F51" w:rsidRPr="00412620" w:rsidRDefault="005C4F51">
      <w:pPr>
        <w:jc w:val="both"/>
        <w:rPr>
          <w:rFonts w:cs="Arial"/>
          <w:sz w:val="20"/>
        </w:rPr>
      </w:pPr>
      <w:r w:rsidRPr="00412620">
        <w:rPr>
          <w:rFonts w:cs="Arial"/>
          <w:sz w:val="20"/>
        </w:rPr>
        <w:tab/>
        <w:t xml:space="preserve">(2) </w:t>
      </w:r>
      <w:r w:rsidRPr="00412620">
        <w:rPr>
          <w:rFonts w:cs="Arial"/>
          <w:sz w:val="20"/>
        </w:rPr>
        <w:tab/>
        <w:t xml:space="preserve">The provisions of section 23 except sub-sections (1) and (2) thereof, shall </w:t>
      </w:r>
      <w:r w:rsidRPr="00412620">
        <w:rPr>
          <w:rFonts w:cs="Arial"/>
          <w:i/>
          <w:sz w:val="20"/>
        </w:rPr>
        <w:t>mutatis mutandis</w:t>
      </w:r>
      <w:r w:rsidRPr="00412620">
        <w:rPr>
          <w:rFonts w:cs="Arial"/>
          <w:sz w:val="20"/>
        </w:rPr>
        <w:t xml:space="preserve"> apply.]</w:t>
      </w:r>
    </w:p>
    <w:p w:rsidR="00875B6F" w:rsidRPr="00412620" w:rsidRDefault="00875B6F">
      <w:pPr>
        <w:jc w:val="both"/>
        <w:rPr>
          <w:rFonts w:cs="Arial"/>
          <w:sz w:val="20"/>
        </w:rPr>
      </w:pPr>
    </w:p>
    <w:p w:rsidR="006A3F93" w:rsidRPr="00412620" w:rsidRDefault="006A3F93">
      <w:pPr>
        <w:jc w:val="both"/>
        <w:rPr>
          <w:sz w:val="20"/>
        </w:rPr>
      </w:pPr>
      <w:r w:rsidRPr="00412620">
        <w:rPr>
          <w:rFonts w:cs="Arial"/>
          <w:b/>
          <w:sz w:val="20"/>
        </w:rPr>
        <w:lastRenderedPageBreak/>
        <w:t>24.</w:t>
      </w:r>
      <w:r w:rsidRPr="00412620">
        <w:rPr>
          <w:rFonts w:cs="Arial"/>
          <w:b/>
          <w:sz w:val="20"/>
        </w:rPr>
        <w:tab/>
        <w:t>Intangibles.</w:t>
      </w:r>
      <w:r w:rsidR="00F92A6A" w:rsidRPr="00412620">
        <w:rPr>
          <w:rFonts w:cs="Arial"/>
          <w:b/>
          <w:sz w:val="20"/>
        </w:rPr>
        <w:t>—</w:t>
      </w:r>
      <w:r w:rsidRPr="00412620">
        <w:rPr>
          <w:sz w:val="20"/>
        </w:rPr>
        <w:t>(1)</w:t>
      </w:r>
      <w:r w:rsidRPr="00412620">
        <w:rPr>
          <w:sz w:val="20"/>
        </w:rPr>
        <w:tab/>
        <w:t>A person shall be allowed an amortisation deduction in accordance with this section in a tax year for the cost of the person’s intangibles–</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that are wholly or partly used by the person in the tax year in deriving income from business chargeable to tax;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that have a normal useful life exceeding one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No deduction shall be allowed under this section where a deduction has been allowed under another section of this Ordinance for the entire cost of the intangible in the tax year in which the intangible is acquired.</w:t>
      </w:r>
    </w:p>
    <w:p w:rsidR="006A3F93" w:rsidRPr="00412620" w:rsidRDefault="006A3F93">
      <w:pPr>
        <w:pStyle w:val="BodyTextIndent"/>
        <w:jc w:val="both"/>
        <w:rPr>
          <w:rFonts w:cs="Arial"/>
          <w:sz w:val="20"/>
        </w:rPr>
      </w:pPr>
    </w:p>
    <w:p w:rsidR="006A3F93" w:rsidRPr="00412620" w:rsidRDefault="006A3F93">
      <w:pPr>
        <w:rPr>
          <w:rFonts w:cs="Arial"/>
          <w:sz w:val="20"/>
        </w:rPr>
      </w:pPr>
      <w:r w:rsidRPr="00412620">
        <w:rPr>
          <w:rFonts w:cs="Arial"/>
          <w:sz w:val="20"/>
        </w:rPr>
        <w:tab/>
        <w:t>(3)</w:t>
      </w:r>
      <w:r w:rsidRPr="00412620">
        <w:rPr>
          <w:rFonts w:cs="Arial"/>
          <w:sz w:val="20"/>
        </w:rPr>
        <w:tab/>
        <w:t>Subject to sub-section (7), the amortization deduction of a person for a tax year shall be computed according to the following formula, namely:</w:t>
      </w:r>
      <w:r w:rsidR="00F92A6A" w:rsidRPr="00412620">
        <w:rPr>
          <w:rFonts w:cs="Arial"/>
          <w:b/>
          <w:sz w:val="20"/>
        </w:rPr>
        <w:t>—</w:t>
      </w:r>
    </w:p>
    <w:p w:rsidR="006A3F93" w:rsidRPr="00412620" w:rsidRDefault="006A3F93">
      <w:pPr>
        <w:rPr>
          <w:rFonts w:cs="Arial"/>
          <w:sz w:val="20"/>
        </w:rPr>
      </w:pPr>
    </w:p>
    <w:p w:rsidR="006A3F93" w:rsidRPr="00412620" w:rsidRDefault="006A3F93">
      <w:pPr>
        <w:pStyle w:val="Heading2"/>
        <w:spacing w:line="240" w:lineRule="auto"/>
        <w:rPr>
          <w:rFonts w:cs="Arial"/>
          <w:sz w:val="20"/>
          <w:u w:val="single"/>
        </w:rPr>
      </w:pPr>
      <w:r w:rsidRPr="00412620">
        <w:rPr>
          <w:rFonts w:cs="Arial"/>
          <w:sz w:val="20"/>
          <w:u w:val="single"/>
        </w:rPr>
        <w:t>A</w:t>
      </w:r>
    </w:p>
    <w:p w:rsidR="006A3F93" w:rsidRPr="00412620" w:rsidRDefault="006A3F93">
      <w:pPr>
        <w:jc w:val="center"/>
        <w:rPr>
          <w:rFonts w:cs="Arial"/>
          <w:b/>
          <w:sz w:val="20"/>
        </w:rPr>
      </w:pPr>
      <w:r w:rsidRPr="00412620">
        <w:rPr>
          <w:rFonts w:cs="Arial"/>
          <w:b/>
          <w:sz w:val="20"/>
        </w:rPr>
        <w:t>B</w:t>
      </w:r>
    </w:p>
    <w:p w:rsidR="006A3F93" w:rsidRPr="00412620" w:rsidRDefault="006A3F93">
      <w:pPr>
        <w:pStyle w:val="BodyTextIndent"/>
        <w:ind w:left="0" w:firstLine="0"/>
        <w:jc w:val="both"/>
        <w:rPr>
          <w:rFonts w:cs="Arial"/>
          <w:sz w:val="20"/>
        </w:rPr>
      </w:pPr>
      <w:r w:rsidRPr="00412620">
        <w:rPr>
          <w:rFonts w:cs="Arial"/>
          <w:sz w:val="20"/>
        </w:rPr>
        <w:t xml:space="preserve">where </w:t>
      </w:r>
      <w:r w:rsidR="00F263DD" w:rsidRPr="00412620">
        <w:rPr>
          <w:rFonts w:cs="Arial"/>
          <w:b/>
          <w:sz w:val="20"/>
        </w:rPr>
        <w:t>—</w:t>
      </w:r>
    </w:p>
    <w:p w:rsidR="006A3F93" w:rsidRPr="00412620" w:rsidRDefault="006A3F93">
      <w:pPr>
        <w:pStyle w:val="BodyTextIndent"/>
        <w:ind w:left="0" w:firstLine="0"/>
        <w:jc w:val="both"/>
        <w:rPr>
          <w:rFonts w:cs="Arial"/>
          <w:sz w:val="16"/>
        </w:rPr>
      </w:pPr>
    </w:p>
    <w:p w:rsidR="006A3F93" w:rsidRPr="00412620" w:rsidRDefault="006A3F93">
      <w:pPr>
        <w:pStyle w:val="BodyTextIndent"/>
        <w:ind w:left="0" w:firstLine="0"/>
        <w:rPr>
          <w:sz w:val="20"/>
        </w:rPr>
      </w:pPr>
      <w:r w:rsidRPr="00412620">
        <w:rPr>
          <w:rFonts w:cs="Arial"/>
          <w:b/>
          <w:sz w:val="20"/>
        </w:rPr>
        <w:t>A</w:t>
      </w:r>
      <w:r w:rsidRPr="00412620">
        <w:rPr>
          <w:sz w:val="20"/>
        </w:rPr>
        <w:tab/>
        <w:t xml:space="preserve">is the cost of the intangible; and </w:t>
      </w:r>
    </w:p>
    <w:p w:rsidR="006A3F93" w:rsidRPr="00412620" w:rsidRDefault="006A3F93">
      <w:pPr>
        <w:pStyle w:val="BodyTextIndent"/>
        <w:jc w:val="both"/>
        <w:rPr>
          <w:rFonts w:cs="Arial"/>
          <w:b/>
          <w:sz w:val="16"/>
        </w:rPr>
      </w:pPr>
    </w:p>
    <w:p w:rsidR="006A3F93" w:rsidRPr="00412620" w:rsidRDefault="006A3F93">
      <w:pPr>
        <w:pStyle w:val="BodyTextIndent"/>
        <w:ind w:left="0" w:firstLine="0"/>
        <w:rPr>
          <w:sz w:val="20"/>
        </w:rPr>
      </w:pPr>
      <w:r w:rsidRPr="00412620">
        <w:rPr>
          <w:rFonts w:cs="Arial"/>
          <w:b/>
          <w:sz w:val="20"/>
        </w:rPr>
        <w:t>B</w:t>
      </w:r>
      <w:r w:rsidRPr="00412620">
        <w:rPr>
          <w:sz w:val="20"/>
        </w:rPr>
        <w:tab/>
        <w:t>is the normal useful life of the intangible in whole years.</w:t>
      </w:r>
    </w:p>
    <w:p w:rsidR="006A3F93" w:rsidRPr="00412620" w:rsidRDefault="006A3F93">
      <w:pPr>
        <w:pStyle w:val="BodyTextIndent"/>
        <w:ind w:left="0" w:firstLine="0"/>
        <w:rPr>
          <w:rFonts w:cs="Arial"/>
          <w:b/>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An intangible </w:t>
      </w:r>
      <w:r w:rsidR="006F4DC7"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with a normal useful life of more than ten years;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that does not have an ascertainable useful life,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shall be treated as if it had a normal useful life of ten years.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Where an intangible is used in a tax year partly in deriving income from business chargeable to tax and partly for another use, the deduction allowed under this section for that year shall be restricted to the fair proportional part of the amount that would be allowed if the intangible were wholly used to derive income from business chargeable to tax.</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Where an intangible is not used for the whole of the tax year in deriving income from business chargeable to tax, the deduction allowed under this section shall be computed according to the following formula, namely:</w:t>
      </w:r>
      <w:r w:rsidR="00793901" w:rsidRPr="00412620">
        <w:rPr>
          <w:rFonts w:cs="Arial"/>
          <w:b/>
          <w:sz w:val="20"/>
        </w:rPr>
        <w:t xml:space="preserve"> —</w:t>
      </w:r>
    </w:p>
    <w:p w:rsidR="006A3F93" w:rsidRPr="00412620" w:rsidRDefault="006A3F93">
      <w:pPr>
        <w:rPr>
          <w:rFonts w:cs="Arial"/>
          <w:sz w:val="20"/>
        </w:rPr>
      </w:pPr>
    </w:p>
    <w:p w:rsidR="006A3F93" w:rsidRPr="00412620" w:rsidRDefault="006A3F93">
      <w:pPr>
        <w:pStyle w:val="Heading2"/>
        <w:spacing w:line="240" w:lineRule="auto"/>
        <w:rPr>
          <w:rFonts w:cs="Arial"/>
          <w:sz w:val="20"/>
        </w:rPr>
      </w:pPr>
      <w:r w:rsidRPr="00412620">
        <w:rPr>
          <w:rFonts w:cs="Arial"/>
          <w:sz w:val="20"/>
        </w:rPr>
        <w:t>A x B/C</w:t>
      </w:r>
    </w:p>
    <w:p w:rsidR="006A3F93" w:rsidRPr="00412620" w:rsidRDefault="006A3F93">
      <w:pPr>
        <w:pStyle w:val="Header"/>
        <w:tabs>
          <w:tab w:val="left" w:pos="547"/>
        </w:tabs>
        <w:jc w:val="both"/>
        <w:rPr>
          <w:rFonts w:cs="Arial"/>
          <w:sz w:val="20"/>
        </w:rPr>
      </w:pPr>
      <w:r w:rsidRPr="00412620">
        <w:rPr>
          <w:rFonts w:cs="Arial"/>
          <w:sz w:val="20"/>
        </w:rPr>
        <w:t xml:space="preserve">where </w:t>
      </w:r>
      <w:r w:rsidR="00793901" w:rsidRPr="00412620">
        <w:rPr>
          <w:rFonts w:cs="Arial"/>
          <w:b/>
          <w:sz w:val="20"/>
        </w:rPr>
        <w:t>—</w:t>
      </w:r>
    </w:p>
    <w:p w:rsidR="006A3F93" w:rsidRPr="00412620" w:rsidRDefault="006A3F93">
      <w:pPr>
        <w:jc w:val="both"/>
        <w:rPr>
          <w:rFonts w:cs="Arial"/>
          <w:sz w:val="18"/>
        </w:rPr>
      </w:pPr>
    </w:p>
    <w:p w:rsidR="006A3F93" w:rsidRPr="00412620" w:rsidRDefault="006A3F93">
      <w:pPr>
        <w:ind w:left="540" w:hanging="540"/>
        <w:jc w:val="both"/>
        <w:rPr>
          <w:sz w:val="20"/>
        </w:rPr>
      </w:pPr>
      <w:r w:rsidRPr="00412620">
        <w:rPr>
          <w:rFonts w:cs="Arial"/>
          <w:b/>
          <w:sz w:val="20"/>
        </w:rPr>
        <w:lastRenderedPageBreak/>
        <w:t>A</w:t>
      </w:r>
      <w:r w:rsidRPr="00412620">
        <w:rPr>
          <w:sz w:val="20"/>
        </w:rPr>
        <w:tab/>
        <w:t xml:space="preserve">is the amount of </w:t>
      </w:r>
      <w:r w:rsidRPr="00412620">
        <w:rPr>
          <w:rStyle w:val="FootnoteReference"/>
          <w:sz w:val="20"/>
        </w:rPr>
        <w:footnoteReference w:id="252"/>
      </w:r>
      <w:r w:rsidRPr="00412620">
        <w:rPr>
          <w:sz w:val="20"/>
        </w:rPr>
        <w:t>[amortization] computed under sub-section (3) or (5), as the case may be;</w:t>
      </w:r>
    </w:p>
    <w:p w:rsidR="006A3F93" w:rsidRPr="00412620" w:rsidRDefault="006A3F93">
      <w:pPr>
        <w:jc w:val="both"/>
        <w:rPr>
          <w:rFonts w:cs="Arial"/>
          <w:sz w:val="18"/>
        </w:rPr>
      </w:pPr>
    </w:p>
    <w:p w:rsidR="006A3F93" w:rsidRPr="00412620" w:rsidRDefault="006A3F93">
      <w:pPr>
        <w:ind w:left="540" w:hanging="540"/>
        <w:jc w:val="both"/>
        <w:rPr>
          <w:sz w:val="20"/>
        </w:rPr>
      </w:pPr>
      <w:r w:rsidRPr="00412620">
        <w:rPr>
          <w:rFonts w:cs="Arial"/>
          <w:b/>
          <w:sz w:val="20"/>
        </w:rPr>
        <w:t>B</w:t>
      </w:r>
      <w:r w:rsidRPr="00412620">
        <w:rPr>
          <w:sz w:val="20"/>
        </w:rPr>
        <w:tab/>
        <w:t>is the number of days in the tax year the intangible is used in deriving income from business chargeable to tax; and</w:t>
      </w:r>
    </w:p>
    <w:p w:rsidR="006A3F93" w:rsidRPr="00412620" w:rsidRDefault="006A3F93">
      <w:pPr>
        <w:ind w:left="720" w:hanging="720"/>
        <w:jc w:val="both"/>
        <w:rPr>
          <w:rFonts w:cs="Arial"/>
          <w:b/>
          <w:sz w:val="18"/>
        </w:rPr>
      </w:pPr>
    </w:p>
    <w:p w:rsidR="006A3F93" w:rsidRPr="00412620" w:rsidRDefault="006A3F93">
      <w:pPr>
        <w:ind w:left="540" w:hanging="540"/>
        <w:jc w:val="both"/>
        <w:rPr>
          <w:sz w:val="20"/>
        </w:rPr>
      </w:pPr>
      <w:r w:rsidRPr="00412620">
        <w:rPr>
          <w:rFonts w:cs="Arial"/>
          <w:b/>
          <w:sz w:val="20"/>
        </w:rPr>
        <w:t>C</w:t>
      </w:r>
      <w:r w:rsidRPr="00412620">
        <w:rPr>
          <w:sz w:val="20"/>
        </w:rPr>
        <w:tab/>
        <w:t>is the number of days in the tax year.</w:t>
      </w:r>
    </w:p>
    <w:p w:rsidR="006A3F93" w:rsidRPr="00412620" w:rsidRDefault="006A3F93">
      <w:pPr>
        <w:jc w:val="both"/>
        <w:rPr>
          <w:rFonts w:cs="Arial"/>
          <w:sz w:val="20"/>
        </w:rPr>
      </w:pPr>
    </w:p>
    <w:p w:rsidR="006A3F93" w:rsidRPr="00412620" w:rsidRDefault="006A3F93" w:rsidP="002552D3">
      <w:pPr>
        <w:jc w:val="both"/>
        <w:rPr>
          <w:rFonts w:cs="Arial"/>
          <w:sz w:val="20"/>
        </w:rPr>
      </w:pPr>
      <w:r w:rsidRPr="00412620">
        <w:rPr>
          <w:rFonts w:cs="Arial"/>
          <w:sz w:val="20"/>
        </w:rPr>
        <w:tab/>
        <w:t>(7)</w:t>
      </w:r>
      <w:r w:rsidRPr="00412620">
        <w:rPr>
          <w:rFonts w:cs="Arial"/>
          <w:sz w:val="20"/>
        </w:rPr>
        <w:tab/>
        <w:t>The total deductions allowed to a person under this section in the current tax year and all previous tax years in respect of an intangible shall not exceed the cost of the intangible.</w:t>
      </w:r>
    </w:p>
    <w:p w:rsidR="006A3F93" w:rsidRPr="00412620" w:rsidRDefault="006A3F93">
      <w:pPr>
        <w:jc w:val="both"/>
        <w:rPr>
          <w:rFonts w:cs="Arial"/>
          <w:sz w:val="20"/>
        </w:rPr>
      </w:pPr>
    </w:p>
    <w:p w:rsidR="006A3F93" w:rsidRPr="00412620" w:rsidRDefault="006A3F93" w:rsidP="002552D3">
      <w:pPr>
        <w:jc w:val="both"/>
        <w:rPr>
          <w:rFonts w:cs="Arial"/>
          <w:sz w:val="20"/>
        </w:rPr>
      </w:pPr>
      <w:r w:rsidRPr="00412620">
        <w:rPr>
          <w:rFonts w:cs="Arial"/>
          <w:sz w:val="20"/>
        </w:rPr>
        <w:tab/>
        <w:t>(8)</w:t>
      </w:r>
      <w:r w:rsidRPr="00412620">
        <w:rPr>
          <w:rFonts w:cs="Arial"/>
          <w:sz w:val="20"/>
        </w:rPr>
        <w:tab/>
        <w:t xml:space="preserve">Where, in any tax year, a person disposes of an intangible, no amortisation deduction shall be allowed under this section for that year and </w:t>
      </w:r>
      <w:r w:rsidR="000132FF"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if the consideration received by the person exceeds the written down value of the intangible at the time of disposal, the excess shall be income of the person chargeable to tax in that year under the head “Income from Business”; or</w:t>
      </w:r>
      <w:r w:rsidRPr="00412620">
        <w:rPr>
          <w:rFonts w:cs="Arial"/>
          <w:sz w:val="20"/>
        </w:rPr>
        <w:tab/>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if the consideration received is less than the written down value of the intangible at the time of disposal, the difference shall be allowed as a deduction in computing the person’s income chargeable under the head “Income from Business” in that year.</w:t>
      </w:r>
    </w:p>
    <w:p w:rsidR="006A3F93" w:rsidRPr="00412620" w:rsidRDefault="006A3F93">
      <w:pPr>
        <w:jc w:val="both"/>
        <w:rPr>
          <w:rFonts w:cs="Arial"/>
          <w:sz w:val="20"/>
        </w:rPr>
      </w:pPr>
    </w:p>
    <w:p w:rsidR="006A3F93" w:rsidRPr="00412620" w:rsidRDefault="006A3F93">
      <w:pPr>
        <w:rPr>
          <w:rFonts w:cs="Arial"/>
          <w:sz w:val="20"/>
        </w:rPr>
      </w:pPr>
      <w:r w:rsidRPr="00412620">
        <w:rPr>
          <w:rFonts w:cs="Arial"/>
          <w:sz w:val="20"/>
        </w:rPr>
        <w:tab/>
        <w:t>(9)</w:t>
      </w:r>
      <w:r w:rsidRPr="00412620">
        <w:rPr>
          <w:rFonts w:cs="Arial"/>
          <w:sz w:val="20"/>
        </w:rPr>
        <w:tab/>
        <w:t xml:space="preserve">For the purposes of sub-section (8) </w:t>
      </w:r>
      <w:r w:rsidR="00793901" w:rsidRPr="00412620">
        <w:rPr>
          <w:rFonts w:cs="Arial"/>
          <w:b/>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written down value of an intangible at the time of disposal shall be the cost of the intangible reduced by the total deductions allowed to the person under this section in respect of the intangible or, where the intangible is not wholly used to derive income chargeable to tax, the amount that would be allowed under this section if the intangible were wholly so used;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consideration received on disposal of an intangible shall be determined in accordance with section 77.</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(10)</w:t>
      </w:r>
      <w:r w:rsidRPr="00412620">
        <w:rPr>
          <w:rFonts w:cs="Arial"/>
          <w:sz w:val="20"/>
        </w:rPr>
        <w:tab/>
        <w:t>For the purposes of this section, an intangible that is available for use on a day (including a non-working day) is treated as used on that day.</w:t>
      </w:r>
    </w:p>
    <w:p w:rsidR="006A3F93" w:rsidRPr="00412620" w:rsidRDefault="006A3F93">
      <w:pPr>
        <w:pStyle w:val="BodyTextIndent"/>
        <w:ind w:left="0" w:firstLine="0"/>
        <w:jc w:val="both"/>
        <w:rPr>
          <w:rFonts w:cs="Arial"/>
          <w:sz w:val="20"/>
        </w:rPr>
      </w:pPr>
    </w:p>
    <w:p w:rsidR="006A3F93" w:rsidRPr="00412620" w:rsidRDefault="006A3F93">
      <w:pPr>
        <w:ind w:firstLine="547"/>
        <w:jc w:val="both"/>
        <w:rPr>
          <w:rFonts w:cs="Arial"/>
          <w:sz w:val="20"/>
        </w:rPr>
      </w:pPr>
      <w:r w:rsidRPr="00412620">
        <w:rPr>
          <w:rFonts w:cs="Arial"/>
          <w:sz w:val="20"/>
        </w:rPr>
        <w:t>(11)</w:t>
      </w:r>
      <w:r w:rsidRPr="00412620">
        <w:rPr>
          <w:rFonts w:cs="Arial"/>
          <w:sz w:val="20"/>
        </w:rPr>
        <w:tab/>
        <w:t xml:space="preserve">In this section, </w:t>
      </w:r>
      <w:r w:rsidR="008929FC"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1094" w:firstLine="0"/>
        <w:jc w:val="both"/>
        <w:rPr>
          <w:rFonts w:cs="Arial"/>
          <w:sz w:val="20"/>
        </w:rPr>
      </w:pPr>
      <w:r w:rsidRPr="00412620">
        <w:rPr>
          <w:rFonts w:cs="Arial"/>
          <w:sz w:val="20"/>
        </w:rPr>
        <w:lastRenderedPageBreak/>
        <w:t xml:space="preserve">“cost” in relation to an intangible, means any expenditure incurred in acquiring or creating the intangible, including any expenditure incurred in improving or renewing the intangible; and </w:t>
      </w:r>
    </w:p>
    <w:p w:rsidR="006A3F93" w:rsidRPr="00412620" w:rsidRDefault="006A3F93">
      <w:pPr>
        <w:pStyle w:val="BodyTextIndent"/>
        <w:jc w:val="both"/>
        <w:rPr>
          <w:rFonts w:cs="Arial"/>
          <w:sz w:val="20"/>
        </w:rPr>
      </w:pPr>
    </w:p>
    <w:p w:rsidR="006A3F93" w:rsidRPr="00412620" w:rsidRDefault="006A3F93">
      <w:pPr>
        <w:pStyle w:val="BodyTextIndent"/>
        <w:ind w:left="1094" w:firstLine="0"/>
        <w:jc w:val="both"/>
        <w:rPr>
          <w:rFonts w:cs="Arial"/>
          <w:sz w:val="20"/>
        </w:rPr>
      </w:pPr>
      <w:r w:rsidRPr="00412620">
        <w:rPr>
          <w:rFonts w:cs="Arial"/>
          <w:sz w:val="20"/>
        </w:rPr>
        <w:t xml:space="preserve">“intangible” means any patent, invention, design or model, secret formula or process, copyright </w:t>
      </w:r>
      <w:r w:rsidRPr="00412620">
        <w:rPr>
          <w:rStyle w:val="FootnoteReference"/>
          <w:rFonts w:cs="Arial"/>
          <w:sz w:val="20"/>
        </w:rPr>
        <w:footnoteReference w:id="253"/>
      </w:r>
      <w:r w:rsidRPr="00412620">
        <w:rPr>
          <w:rFonts w:cs="Arial"/>
          <w:sz w:val="20"/>
        </w:rPr>
        <w:t xml:space="preserve">[, trade mark, scientific or technical knowledge, computer software, motion picture film, export quotas, franchise, licence, intellectual property], or other like property or right, contractual rights and any expenditure that provides an advantage or benefit for a period of more than one year (other than expenditure incurred to acquire a depreciable asset or unimproved land).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25.</w:t>
      </w:r>
      <w:r w:rsidRPr="00412620">
        <w:rPr>
          <w:rFonts w:cs="Arial"/>
          <w:b/>
          <w:sz w:val="20"/>
        </w:rPr>
        <w:tab/>
        <w:t>Pre-commencement expenditure.</w:t>
      </w:r>
      <w:r w:rsidR="008929FC" w:rsidRPr="00412620">
        <w:rPr>
          <w:rFonts w:cs="Arial"/>
          <w:b/>
          <w:sz w:val="20"/>
        </w:rPr>
        <w:t>—</w:t>
      </w:r>
      <w:r w:rsidRPr="00412620">
        <w:rPr>
          <w:sz w:val="20"/>
        </w:rPr>
        <w:t xml:space="preserve"> (1)  A person shall be allowed a deduction for any pre-commencement expenditure in accordance with this section.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Pre-commencement expenditure shall be amortized on a straight-line basis at the rate specified in Part III of the Third Schedule.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The total deductions allowed under this section in the current tax year and all previous tax years in respect of an amount of pre-commencement expenditure shall not exceed the amount of the expenditure.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No deduction shall be allowed under this section where a deduction has been allowed under another section of this Ordinance for the entire amount of the pre-commencement expenditure in the tax year in which it is incurred.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In this section, “pre-commencement expenditure” means any expenditure incurred before the commencement of a business wholly and exclusively to derive income chargeable to tax, including the cost of feasibility studies, construction of prototypes, and trial production activities, but shall not include any expenditure which is incurred in acquiring land, or which is depreciated or amortised under section 22 or 24.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26.</w:t>
      </w:r>
      <w:r w:rsidRPr="00412620">
        <w:rPr>
          <w:rFonts w:cs="Arial"/>
          <w:b/>
          <w:sz w:val="20"/>
        </w:rPr>
        <w:tab/>
        <w:t>Scientific research expenditure.</w:t>
      </w:r>
      <w:r w:rsidR="00316A29" w:rsidRPr="00412620">
        <w:rPr>
          <w:rFonts w:cs="Arial"/>
          <w:b/>
          <w:sz w:val="20"/>
        </w:rPr>
        <w:t>—</w:t>
      </w:r>
      <w:r w:rsidRPr="00412620">
        <w:rPr>
          <w:sz w:val="20"/>
        </w:rPr>
        <w:t xml:space="preserve"> (1)  A person shall be allowed a deduction for scientific research expenditure incurred in Pakistan in a tax year wholly and exclusively for the purpose of deriving income from business chargeable to tax.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In this section </w:t>
      </w:r>
      <w:r w:rsidR="000132FF" w:rsidRPr="00412620">
        <w:rPr>
          <w:rFonts w:cs="Arial"/>
          <w:sz w:val="20"/>
        </w:rPr>
        <w:t>—</w:t>
      </w:r>
    </w:p>
    <w:p w:rsidR="006A3F93" w:rsidRPr="00412620" w:rsidRDefault="006A3F93">
      <w:pPr>
        <w:jc w:val="both"/>
        <w:rPr>
          <w:rFonts w:cs="Arial"/>
          <w:sz w:val="20"/>
        </w:rPr>
      </w:pPr>
    </w:p>
    <w:p w:rsidR="006A3F93" w:rsidRPr="00412620" w:rsidRDefault="006A3F93">
      <w:pPr>
        <w:pStyle w:val="BodyTextIndent2"/>
        <w:ind w:left="1080"/>
        <w:jc w:val="both"/>
        <w:rPr>
          <w:rFonts w:cs="Arial"/>
          <w:sz w:val="20"/>
        </w:rPr>
      </w:pPr>
      <w:r w:rsidRPr="00412620">
        <w:rPr>
          <w:rFonts w:cs="Arial"/>
          <w:sz w:val="20"/>
        </w:rPr>
        <w:lastRenderedPageBreak/>
        <w:t xml:space="preserve">“scientific research” means any </w:t>
      </w:r>
      <w:r w:rsidRPr="00412620">
        <w:rPr>
          <w:rStyle w:val="FootnoteReference"/>
          <w:rFonts w:cs="Arial"/>
          <w:sz w:val="20"/>
        </w:rPr>
        <w:footnoteReference w:id="254"/>
      </w:r>
      <w:r w:rsidRPr="00412620">
        <w:rPr>
          <w:rFonts w:cs="Arial"/>
          <w:sz w:val="20"/>
        </w:rPr>
        <w:t xml:space="preserve">[activity] </w:t>
      </w:r>
      <w:r w:rsidRPr="00412620">
        <w:rPr>
          <w:rStyle w:val="FootnoteReference"/>
          <w:rFonts w:cs="Arial"/>
          <w:sz w:val="20"/>
        </w:rPr>
        <w:footnoteReference w:id="255"/>
      </w:r>
      <w:r w:rsidRPr="00412620">
        <w:rPr>
          <w:rFonts w:cs="Arial"/>
          <w:sz w:val="20"/>
        </w:rPr>
        <w:t>[undertaken in Pakistan] in the fields of natural or applied science for the development of human knowledge;</w:t>
      </w:r>
    </w:p>
    <w:p w:rsidR="006A3F93" w:rsidRPr="00412620" w:rsidRDefault="006A3F93">
      <w:pPr>
        <w:jc w:val="both"/>
        <w:rPr>
          <w:rFonts w:cs="Arial"/>
          <w:sz w:val="20"/>
        </w:rPr>
      </w:pPr>
    </w:p>
    <w:p w:rsidR="006A3F93" w:rsidRPr="00412620" w:rsidRDefault="006A3F93">
      <w:pPr>
        <w:pStyle w:val="BodyTextIndent"/>
        <w:ind w:left="1094" w:firstLine="0"/>
        <w:jc w:val="both"/>
        <w:rPr>
          <w:rFonts w:cs="Arial"/>
          <w:sz w:val="20"/>
        </w:rPr>
      </w:pPr>
      <w:r w:rsidRPr="00412620">
        <w:rPr>
          <w:rFonts w:cs="Arial"/>
          <w:sz w:val="20"/>
        </w:rPr>
        <w:t xml:space="preserve">“scientific research expenditure” means any expenditure incurred by a person on scientific research </w:t>
      </w:r>
      <w:r w:rsidRPr="00412620">
        <w:rPr>
          <w:rStyle w:val="FootnoteReference"/>
          <w:rFonts w:cs="Arial"/>
          <w:sz w:val="20"/>
        </w:rPr>
        <w:footnoteReference w:id="256"/>
      </w:r>
      <w:r w:rsidRPr="00412620">
        <w:rPr>
          <w:rFonts w:cs="Arial"/>
          <w:sz w:val="20"/>
        </w:rPr>
        <w:t>[undertaken in Pakistan] for the purposes of developing the person’s business, including any contribution to a scientific research institution to undertake scientific research for the purposes of the person’s business, other than expenditure incurred –</w:t>
      </w:r>
    </w:p>
    <w:p w:rsidR="006A3F93" w:rsidRPr="00412620" w:rsidRDefault="006A3F93">
      <w:pPr>
        <w:jc w:val="both"/>
        <w:rPr>
          <w:rFonts w:cs="Arial"/>
          <w:sz w:val="20"/>
        </w:rPr>
      </w:pPr>
    </w:p>
    <w:p w:rsidR="006A3F93" w:rsidRPr="00412620" w:rsidRDefault="006A3F93">
      <w:pPr>
        <w:ind w:left="720"/>
        <w:jc w:val="both"/>
        <w:rPr>
          <w:rFonts w:cs="Arial"/>
          <w:sz w:val="20"/>
        </w:rPr>
      </w:pPr>
      <w:r w:rsidRPr="00412620">
        <w:rPr>
          <w:rFonts w:cs="Arial"/>
          <w:sz w:val="20"/>
        </w:rPr>
        <w:tab/>
        <w:t>(a)</w:t>
      </w:r>
      <w:r w:rsidRPr="00412620">
        <w:rPr>
          <w:rFonts w:cs="Arial"/>
          <w:sz w:val="20"/>
        </w:rPr>
        <w:tab/>
        <w:t>in the acquisition of any depreciable asset or intangible;</w:t>
      </w:r>
    </w:p>
    <w:p w:rsidR="006A3F93" w:rsidRPr="00412620" w:rsidRDefault="006A3F93">
      <w:pPr>
        <w:jc w:val="both"/>
        <w:rPr>
          <w:rFonts w:cs="Arial"/>
          <w:sz w:val="20"/>
        </w:rPr>
      </w:pPr>
    </w:p>
    <w:p w:rsidR="006A3F93" w:rsidRPr="00412620" w:rsidRDefault="006A3F93">
      <w:pPr>
        <w:ind w:left="720"/>
        <w:jc w:val="both"/>
        <w:rPr>
          <w:rFonts w:cs="Arial"/>
          <w:sz w:val="20"/>
        </w:rPr>
      </w:pPr>
      <w:r w:rsidRPr="00412620">
        <w:rPr>
          <w:rFonts w:cs="Arial"/>
          <w:sz w:val="20"/>
        </w:rPr>
        <w:tab/>
        <w:t>(b)</w:t>
      </w:r>
      <w:r w:rsidRPr="00412620">
        <w:rPr>
          <w:rFonts w:cs="Arial"/>
          <w:sz w:val="20"/>
        </w:rPr>
        <w:tab/>
        <w:t>in the acquisition of immovable property; or</w:t>
      </w:r>
    </w:p>
    <w:p w:rsidR="006A3F93" w:rsidRPr="00412620" w:rsidRDefault="006A3F93">
      <w:pPr>
        <w:jc w:val="both"/>
        <w:rPr>
          <w:rFonts w:cs="Arial"/>
          <w:sz w:val="20"/>
        </w:rPr>
      </w:pPr>
    </w:p>
    <w:p w:rsidR="006A3F93" w:rsidRPr="00412620" w:rsidRDefault="006A3F93">
      <w:pPr>
        <w:ind w:left="1634" w:hanging="540"/>
        <w:jc w:val="both"/>
        <w:rPr>
          <w:rFonts w:cs="Arial"/>
          <w:sz w:val="20"/>
        </w:rPr>
      </w:pPr>
      <w:r w:rsidRPr="00412620">
        <w:rPr>
          <w:rFonts w:cs="Arial"/>
          <w:sz w:val="20"/>
        </w:rPr>
        <w:t>(c)</w:t>
      </w:r>
      <w:r w:rsidRPr="00412620">
        <w:rPr>
          <w:rFonts w:cs="Arial"/>
          <w:sz w:val="20"/>
        </w:rPr>
        <w:tab/>
        <w:t>for the purpose of ascertaining the existence, location, extent or quality of a natural deposit; and</w:t>
      </w:r>
    </w:p>
    <w:p w:rsidR="006A3F93" w:rsidRPr="00412620" w:rsidRDefault="006A3F93">
      <w:pPr>
        <w:pStyle w:val="BodyTextIndent"/>
        <w:jc w:val="both"/>
        <w:rPr>
          <w:rFonts w:cs="Arial"/>
          <w:sz w:val="20"/>
        </w:rPr>
      </w:pPr>
    </w:p>
    <w:p w:rsidR="006A3F93" w:rsidRPr="00412620" w:rsidRDefault="006A3F93">
      <w:pPr>
        <w:pStyle w:val="BodyTextIndent"/>
        <w:ind w:left="1101" w:firstLine="0"/>
        <w:jc w:val="both"/>
        <w:rPr>
          <w:rFonts w:cs="Arial"/>
          <w:b/>
          <w:sz w:val="20"/>
        </w:rPr>
      </w:pPr>
      <w:r w:rsidRPr="00412620">
        <w:rPr>
          <w:rFonts w:cs="Arial"/>
          <w:sz w:val="20"/>
        </w:rPr>
        <w:t xml:space="preserve">“scientific research institution” means any institution certified by the </w:t>
      </w:r>
      <w:r w:rsidR="00ED0301" w:rsidRPr="00412620">
        <w:rPr>
          <w:rStyle w:val="FootnoteReference"/>
          <w:rFonts w:cs="Arial"/>
          <w:sz w:val="20"/>
        </w:rPr>
        <w:footnoteReference w:id="257"/>
      </w:r>
      <w:r w:rsidR="00ED0301" w:rsidRPr="00412620">
        <w:rPr>
          <w:rFonts w:cs="Arial"/>
          <w:sz w:val="20"/>
        </w:rPr>
        <w:t>[</w:t>
      </w:r>
      <w:r w:rsidRPr="00412620">
        <w:rPr>
          <w:rFonts w:cs="Arial"/>
          <w:sz w:val="20"/>
        </w:rPr>
        <w:t>Board</w:t>
      </w:r>
      <w:r w:rsidR="00ED0301" w:rsidRPr="00412620">
        <w:rPr>
          <w:rFonts w:cs="Arial"/>
          <w:sz w:val="20"/>
        </w:rPr>
        <w:t>]</w:t>
      </w:r>
      <w:r w:rsidRPr="00412620">
        <w:rPr>
          <w:rFonts w:cs="Arial"/>
          <w:sz w:val="20"/>
        </w:rPr>
        <w:t xml:space="preserve"> as conducting scientific research in Pakistan.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27.</w:t>
      </w:r>
      <w:r w:rsidRPr="00412620">
        <w:rPr>
          <w:rFonts w:cs="Arial"/>
          <w:b/>
          <w:sz w:val="20"/>
        </w:rPr>
        <w:tab/>
        <w:t>Employee training and facilities.</w:t>
      </w:r>
      <w:r w:rsidR="00316A29" w:rsidRPr="00412620">
        <w:rPr>
          <w:rFonts w:cs="Arial"/>
          <w:b/>
          <w:sz w:val="20"/>
        </w:rPr>
        <w:t>—</w:t>
      </w:r>
      <w:r w:rsidRPr="00412620">
        <w:rPr>
          <w:sz w:val="20"/>
        </w:rPr>
        <w:t xml:space="preserve"> A person shall be allowed a deduction for any expenditure (other than capital expenditure) incurred in a tax year in respect of</w:t>
      </w:r>
      <w:r w:rsidR="000132FF"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any educational institution or hospital in Pakistan established for the benefit of the person’s employees and their dependents;</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any institute in Pakistan established for the training of industrial workers recognized, aided, or run by the Federal Government </w:t>
      </w:r>
      <w:r w:rsidRPr="00412620">
        <w:rPr>
          <w:rStyle w:val="FootnoteReference"/>
          <w:rFonts w:cs="Arial"/>
          <w:sz w:val="20"/>
        </w:rPr>
        <w:footnoteReference w:id="258"/>
      </w:r>
      <w:r w:rsidRPr="00412620">
        <w:rPr>
          <w:rFonts w:cs="Arial"/>
          <w:sz w:val="20"/>
        </w:rPr>
        <w:t xml:space="preserve">[or a Provincial Government] or a </w:t>
      </w:r>
      <w:r w:rsidR="00AC3B47" w:rsidRPr="00412620">
        <w:rPr>
          <w:rStyle w:val="FootnoteReference"/>
          <w:rFonts w:cs="Arial"/>
          <w:sz w:val="20"/>
        </w:rPr>
        <w:footnoteReference w:id="259"/>
      </w:r>
      <w:r w:rsidR="00AC3B47" w:rsidRPr="00412620">
        <w:rPr>
          <w:rFonts w:cs="Arial"/>
          <w:sz w:val="20"/>
        </w:rPr>
        <w:t>[Local Government]</w:t>
      </w:r>
      <w:r w:rsidRPr="00412620">
        <w:rPr>
          <w:rFonts w:cs="Arial"/>
          <w:sz w:val="20"/>
        </w:rPr>
        <w:t>; or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the training of any person, being a citizen of Pakistan, in connection with a scheme approved by the </w:t>
      </w:r>
      <w:r w:rsidR="00ED0301" w:rsidRPr="00412620">
        <w:rPr>
          <w:rStyle w:val="FootnoteReference"/>
          <w:rFonts w:cs="Arial"/>
          <w:sz w:val="20"/>
        </w:rPr>
        <w:footnoteReference w:id="260"/>
      </w:r>
      <w:r w:rsidR="00ED0301" w:rsidRPr="00412620">
        <w:rPr>
          <w:rFonts w:cs="Arial"/>
          <w:sz w:val="20"/>
        </w:rPr>
        <w:t>[</w:t>
      </w:r>
      <w:r w:rsidRPr="00412620">
        <w:rPr>
          <w:rFonts w:cs="Arial"/>
          <w:sz w:val="20"/>
        </w:rPr>
        <w:t>Board</w:t>
      </w:r>
      <w:r w:rsidR="00ED0301" w:rsidRPr="00412620">
        <w:rPr>
          <w:rFonts w:cs="Arial"/>
          <w:sz w:val="20"/>
        </w:rPr>
        <w:t>]</w:t>
      </w:r>
      <w:r w:rsidRPr="00412620">
        <w:rPr>
          <w:rFonts w:cs="Arial"/>
          <w:sz w:val="20"/>
        </w:rPr>
        <w:t xml:space="preserve"> for the purposes of this section.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lastRenderedPageBreak/>
        <w:t>28.</w:t>
      </w:r>
      <w:r w:rsidRPr="00412620">
        <w:rPr>
          <w:rFonts w:cs="Arial"/>
          <w:b/>
          <w:sz w:val="20"/>
        </w:rPr>
        <w:tab/>
        <w:t>Profit on debt, financial costs and lease payments.</w:t>
      </w:r>
      <w:r w:rsidR="00316A29" w:rsidRPr="00412620">
        <w:rPr>
          <w:rFonts w:cs="Arial"/>
          <w:b/>
          <w:sz w:val="20"/>
        </w:rPr>
        <w:t>—</w:t>
      </w:r>
      <w:r w:rsidRPr="00412620">
        <w:rPr>
          <w:sz w:val="20"/>
        </w:rPr>
        <w:t xml:space="preserve"> (1) Subject to this Ordinance, a deduction shall be allowed for a tax year for </w:t>
      </w:r>
      <w:r w:rsidR="00D2761C"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any profit on debt incurred by a person in the tax year to the extent that the proceeds or benefit of the debt have been used by the person </w:t>
      </w:r>
      <w:r w:rsidRPr="00412620">
        <w:rPr>
          <w:rStyle w:val="FootnoteReference"/>
          <w:rFonts w:cs="Arial"/>
          <w:sz w:val="20"/>
        </w:rPr>
        <w:footnoteReference w:id="261"/>
      </w:r>
      <w:r w:rsidRPr="00412620">
        <w:rPr>
          <w:rFonts w:cs="Arial"/>
          <w:sz w:val="20"/>
        </w:rPr>
        <w:t>[for the purposes of business];</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any lease rental incurred by a person in the tax year to a scheduled bank, financial institution, an approved modaraba, an approved leasing company or a Special Purpose Vehicle on behalf of the Originator for an asset used by the person </w:t>
      </w:r>
      <w:r w:rsidRPr="00412620">
        <w:rPr>
          <w:rStyle w:val="FootnoteReference"/>
          <w:rFonts w:cs="Arial"/>
          <w:sz w:val="20"/>
        </w:rPr>
        <w:footnoteReference w:id="262"/>
      </w:r>
      <w:r w:rsidRPr="00412620">
        <w:rPr>
          <w:rFonts w:cs="Arial"/>
          <w:sz w:val="20"/>
        </w:rPr>
        <w:t>[for the purposes of business];</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any amount incurred by a person in the tax year to a modaraba or a participation term certificate holder for any funds borrowed and used by the person </w:t>
      </w:r>
      <w:r w:rsidRPr="00412620">
        <w:rPr>
          <w:rStyle w:val="FootnoteReference"/>
          <w:rFonts w:cs="Arial"/>
          <w:sz w:val="20"/>
        </w:rPr>
        <w:footnoteReference w:id="263"/>
      </w:r>
      <w:r w:rsidRPr="00412620">
        <w:rPr>
          <w:rFonts w:cs="Arial"/>
          <w:sz w:val="20"/>
        </w:rPr>
        <w:t>[for the purposes of business];</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any amount incurred by a scheduled bank in the tax year to a person maintaining a profit or loss sharing account or a deposit with the bank as a distribution of profits by the bank in respect of the account or deposit;</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(e)</w:t>
      </w:r>
      <w:r w:rsidRPr="00412620">
        <w:rPr>
          <w:rFonts w:cs="Arial"/>
          <w:sz w:val="20"/>
        </w:rPr>
        <w:tab/>
        <w:t>any amount incurred by the House Building Finance Corporation (hereinafter referred to as “the Corporation”) constituted under the House Building Finance Corporation Act, 1952 (XVIII of 1952), in the tax year to the State Bank of Pakistan (hereinafter referred to as “the Bank”) as the share of the Bank in the profits derived by the Corporation on its investment in property made under a scheme of partnership in profit and loss, where the investment is provided by the Bank under the House Building Finance Corporation (Issue and Redemption of Certificates) Regulations, 1982;</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(f)</w:t>
      </w:r>
      <w:r w:rsidRPr="00412620">
        <w:rPr>
          <w:rFonts w:cs="Arial"/>
          <w:sz w:val="20"/>
        </w:rPr>
        <w:tab/>
        <w:t xml:space="preserve">any amount incurred by the National Development Leasing Corporation Limited (hereinafter referred to as “the Corporation”) in the tax year to the State Bank of Pakistan (hereinafter referred to as “the Bank”) as the share of the Bank in the profits derived by the Corporation on its leasing </w:t>
      </w:r>
      <w:r w:rsidRPr="00412620">
        <w:rPr>
          <w:rFonts w:cs="Arial"/>
          <w:sz w:val="20"/>
        </w:rPr>
        <w:lastRenderedPageBreak/>
        <w:t>operations financed out of a credit line provided by the Bank on a profit and loss sharing basis;</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(g)</w:t>
      </w:r>
      <w:r w:rsidRPr="00412620">
        <w:rPr>
          <w:rFonts w:cs="Arial"/>
          <w:sz w:val="20"/>
        </w:rPr>
        <w:tab/>
        <w:t xml:space="preserve">any amount incurred by the </w:t>
      </w:r>
      <w:r w:rsidR="00182465" w:rsidRPr="00412620">
        <w:rPr>
          <w:rStyle w:val="FootnoteReference"/>
          <w:rFonts w:cs="Arial"/>
          <w:sz w:val="20"/>
        </w:rPr>
        <w:footnoteReference w:id="264"/>
      </w:r>
      <w:r w:rsidR="007E0537" w:rsidRPr="00412620">
        <w:rPr>
          <w:rFonts w:cs="Arial"/>
          <w:sz w:val="20"/>
        </w:rPr>
        <w:t>[Small and Medium Enterprises Bank (hereinafter referred to as “the SME Bank”)</w:t>
      </w:r>
      <w:r w:rsidR="00D126BF" w:rsidRPr="00412620">
        <w:rPr>
          <w:rFonts w:cs="Arial"/>
          <w:sz w:val="20"/>
        </w:rPr>
        <w:t>]</w:t>
      </w:r>
      <w:r w:rsidRPr="00412620">
        <w:rPr>
          <w:rFonts w:cs="Arial"/>
          <w:sz w:val="20"/>
        </w:rPr>
        <w:t xml:space="preserve">in the tax year to the State Bank of Pakistan (hereinafter referred to as the “Bank”) as the share of the Bank in the profits derived by the </w:t>
      </w:r>
      <w:r w:rsidR="00CE7B59" w:rsidRPr="00412620">
        <w:rPr>
          <w:rStyle w:val="FootnoteReference"/>
          <w:rFonts w:cs="Arial"/>
          <w:sz w:val="20"/>
        </w:rPr>
        <w:footnoteReference w:id="265"/>
      </w:r>
      <w:r w:rsidR="00CE7B59" w:rsidRPr="00412620">
        <w:rPr>
          <w:rFonts w:cs="Arial"/>
          <w:sz w:val="20"/>
        </w:rPr>
        <w:t>[SME Bank]</w:t>
      </w:r>
      <w:r w:rsidRPr="00412620">
        <w:rPr>
          <w:rFonts w:cs="Arial"/>
          <w:sz w:val="20"/>
        </w:rPr>
        <w:t xml:space="preserve"> on investments made in small business out of a credit line provided by the Bank on a profit and loss sharing basis;</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(h)</w:t>
      </w:r>
      <w:r w:rsidRPr="00412620">
        <w:rPr>
          <w:rFonts w:cs="Arial"/>
          <w:sz w:val="20"/>
        </w:rPr>
        <w:tab/>
        <w:t>any amount incurred by a person in the tax year to a banking company under a scheme of musharika representing the bank’s share in the profits of the musharika;</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(i)</w:t>
      </w:r>
      <w:r w:rsidRPr="00412620">
        <w:rPr>
          <w:rFonts w:cs="Arial"/>
          <w:sz w:val="20"/>
        </w:rPr>
        <w:tab/>
        <w:t>any amount incurred by a person in the tax year to a certificate holder under a musharika scheme approved by the Securities and Exchange Commission and Religious Board formed under the Modaraba Companies and Modaraba (Floatation and Control) Ordinance, 1980 (XXXI of 1980) representing the certificate holder’s share in the profits of the musharika; or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(j)</w:t>
      </w:r>
      <w:r w:rsidRPr="00412620">
        <w:rPr>
          <w:rFonts w:cs="Arial"/>
          <w:sz w:val="20"/>
        </w:rPr>
        <w:tab/>
        <w:t>the financial cost of the securitization of receivables incurred by an Originator in the tax year from a Special Purpose Vehicle being the difference between the amount received by the Originator and the amount of receivables securitized from a Special Purpose Vehicle.</w:t>
      </w:r>
    </w:p>
    <w:p w:rsidR="006A3F93" w:rsidRPr="00412620" w:rsidRDefault="006A3F93">
      <w:pPr>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Notwithstanding any other provision in this Ordinance, where any assets are transferred by an Originator, as a consequence of securitisation</w:t>
      </w:r>
      <w:r w:rsidR="00E81985">
        <w:rPr>
          <w:rFonts w:cs="Arial"/>
          <w:sz w:val="20"/>
        </w:rPr>
        <w:t xml:space="preserve"> </w:t>
      </w:r>
      <w:r w:rsidR="00E81985" w:rsidRPr="00D41075">
        <w:rPr>
          <w:rStyle w:val="FootnoteReference"/>
          <w:rFonts w:cs="Arial"/>
          <w:color w:val="FF0000"/>
          <w:sz w:val="20"/>
        </w:rPr>
        <w:footnoteReference w:id="266"/>
      </w:r>
      <w:r w:rsidR="00E81985" w:rsidRPr="007A7191">
        <w:rPr>
          <w:snapToGrid w:val="0"/>
          <w:color w:val="FF0000"/>
          <w:sz w:val="20"/>
        </w:rPr>
        <w:t>[“</w:t>
      </w:r>
      <w:r w:rsidR="00E81985">
        <w:rPr>
          <w:snapToGrid w:val="0"/>
          <w:color w:val="FF0000"/>
          <w:sz w:val="20"/>
        </w:rPr>
        <w:t xml:space="preserve">or issuance of </w:t>
      </w:r>
      <w:r w:rsidR="00E81985" w:rsidRPr="00E81985">
        <w:rPr>
          <w:i/>
          <w:snapToGrid w:val="0"/>
          <w:color w:val="FF0000"/>
          <w:sz w:val="20"/>
        </w:rPr>
        <w:t>sukuk</w:t>
      </w:r>
      <w:r w:rsidR="005F466D">
        <w:rPr>
          <w:i/>
          <w:snapToGrid w:val="0"/>
          <w:color w:val="FF0000"/>
          <w:sz w:val="20"/>
        </w:rPr>
        <w:t>s</w:t>
      </w:r>
      <w:r w:rsidR="00E81985" w:rsidRPr="007A7191">
        <w:rPr>
          <w:snapToGrid w:val="0"/>
          <w:color w:val="FF0000"/>
          <w:sz w:val="20"/>
        </w:rPr>
        <w:t>”]</w:t>
      </w:r>
      <w:r w:rsidRPr="00412620">
        <w:rPr>
          <w:rFonts w:cs="Arial"/>
          <w:sz w:val="20"/>
        </w:rPr>
        <w:t>, to a Special Purpose Vehicle, it shall be treated as a financing transaction irrespective of the method of accounting adopted by the Originator.</w:t>
      </w:r>
    </w:p>
    <w:p w:rsidR="006A3F93" w:rsidRPr="00412620" w:rsidRDefault="006A3F93">
      <w:pPr>
        <w:rPr>
          <w:rFonts w:cs="Arial"/>
          <w:sz w:val="20"/>
        </w:rPr>
      </w:pPr>
    </w:p>
    <w:p w:rsidR="006A3F93" w:rsidRPr="00412620" w:rsidRDefault="006A3F93">
      <w:pPr>
        <w:rPr>
          <w:rFonts w:cs="Arial"/>
          <w:sz w:val="20"/>
        </w:rPr>
      </w:pPr>
      <w:r w:rsidRPr="00412620">
        <w:rPr>
          <w:rFonts w:cs="Arial"/>
          <w:sz w:val="20"/>
        </w:rPr>
        <w:tab/>
        <w:t>(3)</w:t>
      </w:r>
      <w:r w:rsidRPr="00412620">
        <w:rPr>
          <w:rFonts w:cs="Arial"/>
          <w:sz w:val="20"/>
        </w:rPr>
        <w:tab/>
        <w:t xml:space="preserve">In this section, </w:t>
      </w:r>
      <w:r w:rsidR="00316A29" w:rsidRPr="00412620">
        <w:rPr>
          <w:rFonts w:cs="Arial"/>
          <w:sz w:val="20"/>
        </w:rPr>
        <w:t>—</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 xml:space="preserve">“approved leasing company” means a leasing company approved by the </w:t>
      </w:r>
      <w:r w:rsidR="00ED0301" w:rsidRPr="00412620">
        <w:rPr>
          <w:rStyle w:val="FootnoteReference"/>
          <w:rFonts w:cs="Arial"/>
          <w:sz w:val="20"/>
        </w:rPr>
        <w:footnoteReference w:id="267"/>
      </w:r>
      <w:r w:rsidR="00ED0301" w:rsidRPr="00412620">
        <w:rPr>
          <w:rFonts w:cs="Arial"/>
          <w:sz w:val="20"/>
        </w:rPr>
        <w:t>[</w:t>
      </w:r>
      <w:r w:rsidRPr="00412620">
        <w:rPr>
          <w:rFonts w:cs="Arial"/>
          <w:sz w:val="20"/>
        </w:rPr>
        <w:t>Board</w:t>
      </w:r>
      <w:r w:rsidR="00ED0301" w:rsidRPr="00412620">
        <w:rPr>
          <w:rFonts w:cs="Arial"/>
          <w:sz w:val="20"/>
        </w:rPr>
        <w:t>]</w:t>
      </w:r>
      <w:r w:rsidRPr="00412620">
        <w:rPr>
          <w:rFonts w:cs="Arial"/>
          <w:sz w:val="20"/>
        </w:rPr>
        <w:t xml:space="preserve"> for the purposes of clause (b) of sub-section (1); and </w:t>
      </w:r>
    </w:p>
    <w:p w:rsidR="00D2761C" w:rsidRPr="00412620" w:rsidRDefault="00D2761C">
      <w:pPr>
        <w:ind w:left="1080"/>
        <w:jc w:val="both"/>
        <w:rPr>
          <w:rFonts w:cs="Arial"/>
          <w:sz w:val="20"/>
        </w:rPr>
      </w:pPr>
    </w:p>
    <w:p w:rsidR="006A3F93" w:rsidRPr="00412620" w:rsidRDefault="006A3F93">
      <w:pPr>
        <w:ind w:left="1080"/>
        <w:jc w:val="both"/>
        <w:rPr>
          <w:rFonts w:cs="Arial"/>
          <w:sz w:val="20"/>
        </w:rPr>
      </w:pPr>
      <w:r w:rsidRPr="00412620">
        <w:rPr>
          <w:rFonts w:cs="Arial"/>
          <w:sz w:val="20"/>
        </w:rPr>
        <w:lastRenderedPageBreak/>
        <w:t xml:space="preserve">“approved  modaraba” means a modaraba approved by the </w:t>
      </w:r>
      <w:r w:rsidR="00ED0301" w:rsidRPr="00412620">
        <w:rPr>
          <w:rStyle w:val="FootnoteReference"/>
          <w:rFonts w:cs="Arial"/>
          <w:sz w:val="20"/>
        </w:rPr>
        <w:footnoteReference w:id="268"/>
      </w:r>
      <w:r w:rsidR="00ED0301" w:rsidRPr="00412620">
        <w:rPr>
          <w:rFonts w:cs="Arial"/>
          <w:sz w:val="20"/>
        </w:rPr>
        <w:t>[</w:t>
      </w:r>
      <w:r w:rsidRPr="00412620">
        <w:rPr>
          <w:rFonts w:cs="Arial"/>
          <w:sz w:val="20"/>
        </w:rPr>
        <w:t>Board</w:t>
      </w:r>
      <w:r w:rsidR="00ED0301" w:rsidRPr="00412620">
        <w:rPr>
          <w:rFonts w:cs="Arial"/>
          <w:sz w:val="20"/>
        </w:rPr>
        <w:t>]</w:t>
      </w:r>
      <w:r w:rsidRPr="00412620">
        <w:rPr>
          <w:rFonts w:cs="Arial"/>
          <w:sz w:val="20"/>
        </w:rPr>
        <w:t xml:space="preserve"> for the purposes of clause (b) of sub-section (1).</w:t>
      </w:r>
    </w:p>
    <w:p w:rsidR="006A3F93" w:rsidRPr="00412620" w:rsidRDefault="006A3F93">
      <w:pPr>
        <w:jc w:val="both"/>
        <w:rPr>
          <w:rFonts w:cs="Arial"/>
          <w:sz w:val="20"/>
        </w:rPr>
      </w:pPr>
    </w:p>
    <w:p w:rsidR="006A3F93" w:rsidRPr="00412620" w:rsidRDefault="006A3F93">
      <w:pPr>
        <w:rPr>
          <w:sz w:val="20"/>
        </w:rPr>
      </w:pPr>
      <w:r w:rsidRPr="00412620">
        <w:rPr>
          <w:rFonts w:cs="Arial"/>
          <w:b/>
          <w:sz w:val="20"/>
        </w:rPr>
        <w:t>29.</w:t>
      </w:r>
      <w:r w:rsidRPr="00412620">
        <w:rPr>
          <w:rFonts w:cs="Arial"/>
          <w:b/>
          <w:sz w:val="20"/>
        </w:rPr>
        <w:tab/>
        <w:t>Bad debts.</w:t>
      </w:r>
      <w:r w:rsidR="00316A29" w:rsidRPr="00412620">
        <w:rPr>
          <w:rFonts w:cs="Arial"/>
          <w:b/>
          <w:sz w:val="20"/>
        </w:rPr>
        <w:t>—</w:t>
      </w:r>
      <w:r w:rsidRPr="00412620">
        <w:rPr>
          <w:sz w:val="20"/>
        </w:rPr>
        <w:t xml:space="preserve"> (1)  A person shall be allowed a deduction for a bad debt in a tax year if the following conditions are satisfied, namely:</w:t>
      </w:r>
      <w:r w:rsidR="00316A29" w:rsidRPr="00412620">
        <w:rPr>
          <w:sz w:val="20"/>
        </w:rPr>
        <w:t>—</w:t>
      </w:r>
    </w:p>
    <w:p w:rsidR="006A3F93" w:rsidRPr="00412620" w:rsidRDefault="006A3F93">
      <w:pPr>
        <w:jc w:val="both"/>
        <w:rPr>
          <w:rFonts w:cs="Arial"/>
          <w:sz w:val="20"/>
        </w:rPr>
      </w:pPr>
    </w:p>
    <w:p w:rsidR="006A3F93" w:rsidRPr="00412620" w:rsidRDefault="000E0316" w:rsidP="000E0316">
      <w:pPr>
        <w:pStyle w:val="BodyTextIndent2"/>
        <w:ind w:left="1620" w:hanging="540"/>
        <w:jc w:val="both"/>
        <w:rPr>
          <w:sz w:val="20"/>
        </w:rPr>
      </w:pPr>
      <w:r w:rsidRPr="00412620">
        <w:rPr>
          <w:sz w:val="20"/>
        </w:rPr>
        <w:t xml:space="preserve">(a) </w:t>
      </w:r>
      <w:r w:rsidRPr="00412620">
        <w:rPr>
          <w:sz w:val="20"/>
        </w:rPr>
        <w:tab/>
        <w:t>t</w:t>
      </w:r>
      <w:r w:rsidR="006A3F93" w:rsidRPr="00412620">
        <w:rPr>
          <w:sz w:val="20"/>
        </w:rPr>
        <w:t>he amount of the debt was –</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w:t>
      </w:r>
      <w:r w:rsidRPr="00412620">
        <w:rPr>
          <w:rFonts w:cs="Arial"/>
          <w:sz w:val="20"/>
        </w:rPr>
        <w:tab/>
        <w:t>previously included in the person’s income from business chargeable to tax; or</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(ii)</w:t>
      </w:r>
      <w:r w:rsidRPr="00412620">
        <w:rPr>
          <w:rFonts w:cs="Arial"/>
          <w:sz w:val="20"/>
        </w:rPr>
        <w:tab/>
        <w:t xml:space="preserve">in respect of money lent by a financial institution in deriving income from business chargeable to tax; </w:t>
      </w:r>
    </w:p>
    <w:p w:rsidR="006A3F93" w:rsidRPr="00412620" w:rsidRDefault="006A3F93">
      <w:pPr>
        <w:jc w:val="both"/>
        <w:rPr>
          <w:rFonts w:cs="Arial"/>
          <w:sz w:val="20"/>
        </w:rPr>
      </w:pPr>
    </w:p>
    <w:p w:rsidR="006A3F93" w:rsidRPr="00412620" w:rsidRDefault="006A3F93">
      <w:pPr>
        <w:pStyle w:val="BodyTextIndent2"/>
        <w:ind w:left="1620" w:hanging="540"/>
        <w:jc w:val="both"/>
        <w:rPr>
          <w:rFonts w:cs="Arial"/>
          <w:sz w:val="20"/>
        </w:rPr>
      </w:pPr>
      <w:r w:rsidRPr="00412620">
        <w:rPr>
          <w:rFonts w:cs="Arial"/>
          <w:sz w:val="20"/>
        </w:rPr>
        <w:t>(b)</w:t>
      </w:r>
      <w:r w:rsidRPr="00412620">
        <w:rPr>
          <w:rFonts w:cs="Arial"/>
          <w:sz w:val="20"/>
        </w:rPr>
        <w:tab/>
        <w:t>the debt or part of the debt is written off in the accounts of the person in the tax year; and</w:t>
      </w:r>
    </w:p>
    <w:p w:rsidR="006A3F93" w:rsidRPr="00412620" w:rsidRDefault="006A3F93">
      <w:pPr>
        <w:jc w:val="both"/>
        <w:rPr>
          <w:rFonts w:cs="Arial"/>
          <w:sz w:val="20"/>
        </w:rPr>
      </w:pPr>
    </w:p>
    <w:p w:rsidR="006A3F93" w:rsidRPr="00412620" w:rsidRDefault="006A3F93">
      <w:pPr>
        <w:pStyle w:val="BodyTextIndent2"/>
        <w:ind w:left="1620" w:hanging="540"/>
        <w:jc w:val="both"/>
        <w:rPr>
          <w:rFonts w:cs="Arial"/>
          <w:sz w:val="20"/>
        </w:rPr>
      </w:pPr>
      <w:r w:rsidRPr="00412620">
        <w:rPr>
          <w:rFonts w:cs="Arial"/>
          <w:sz w:val="20"/>
        </w:rPr>
        <w:t>(c)</w:t>
      </w:r>
      <w:r w:rsidRPr="00412620">
        <w:rPr>
          <w:rFonts w:cs="Arial"/>
          <w:sz w:val="20"/>
        </w:rPr>
        <w:tab/>
        <w:t>there are reasonable grounds for believing that the debt is irrecoverable.</w:t>
      </w:r>
    </w:p>
    <w:p w:rsidR="006A3F93" w:rsidRPr="00412620" w:rsidRDefault="006A3F93">
      <w:pPr>
        <w:jc w:val="both"/>
        <w:rPr>
          <w:rFonts w:cs="Arial"/>
          <w:sz w:val="20"/>
        </w:rPr>
      </w:pPr>
    </w:p>
    <w:p w:rsidR="006A3F93" w:rsidRPr="00412620" w:rsidRDefault="006A3F93">
      <w:pPr>
        <w:rPr>
          <w:rFonts w:cs="Arial"/>
          <w:sz w:val="20"/>
        </w:rPr>
      </w:pPr>
      <w:r w:rsidRPr="00412620">
        <w:rPr>
          <w:rFonts w:cs="Arial"/>
          <w:sz w:val="20"/>
        </w:rPr>
        <w:tab/>
        <w:t>(2)</w:t>
      </w:r>
      <w:r w:rsidRPr="00412620">
        <w:rPr>
          <w:rFonts w:cs="Arial"/>
          <w:sz w:val="20"/>
        </w:rPr>
        <w:tab/>
        <w:t>The amount of the deduction allowed to a person under this section for a tax year shall not exceed the amount of the debt written off in the accounts of the person in the tax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a person has been allowed a deduction in a tax year for a bad debt and in a subsequent tax year the person receives in cash or kind any amount in respect of that debt, the following rules shall apply, namely:–</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r>
      <w:r w:rsidR="004A4D83" w:rsidRPr="00412620">
        <w:rPr>
          <w:rFonts w:cs="Arial"/>
          <w:sz w:val="20"/>
        </w:rPr>
        <w:t>w</w:t>
      </w:r>
      <w:r w:rsidRPr="00412620">
        <w:rPr>
          <w:rFonts w:cs="Arial"/>
          <w:sz w:val="20"/>
        </w:rPr>
        <w:t>here the amount received exceeds the difference between the whole of such bad debt and the amount previously allowed as a deduction under this section, the excess shall be included in the person’s income under the head “Income from Business” for the tax year in which it was received;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b/>
          <w:sz w:val="20"/>
        </w:rPr>
      </w:pPr>
      <w:r w:rsidRPr="00412620">
        <w:rPr>
          <w:rFonts w:cs="Arial"/>
          <w:sz w:val="20"/>
        </w:rPr>
        <w:t>(b)</w:t>
      </w:r>
      <w:r w:rsidRPr="00412620">
        <w:rPr>
          <w:rFonts w:cs="Arial"/>
          <w:sz w:val="20"/>
        </w:rPr>
        <w:tab/>
        <w:t>where the amount received is less than the difference between the whole of such bad debt and the amount allowed as a deduction under this section, the shortfall shall be allowed as a bad debt deduction in computing the person’s income under the head “Income from Business” for the tax year in which it was received.</w:t>
      </w:r>
    </w:p>
    <w:p w:rsidR="006A3F93" w:rsidRPr="00412620" w:rsidRDefault="006A3F93">
      <w:pPr>
        <w:jc w:val="both"/>
        <w:rPr>
          <w:rFonts w:cs="Arial"/>
          <w:sz w:val="20"/>
        </w:rPr>
      </w:pPr>
    </w:p>
    <w:p w:rsidR="006A3F93" w:rsidRPr="00412620" w:rsidRDefault="006A3F93">
      <w:pPr>
        <w:jc w:val="both"/>
        <w:rPr>
          <w:sz w:val="20"/>
        </w:rPr>
      </w:pPr>
      <w:r w:rsidRPr="00412620">
        <w:rPr>
          <w:rStyle w:val="FootnoteReference"/>
          <w:rFonts w:cs="Arial"/>
          <w:bCs/>
          <w:sz w:val="20"/>
        </w:rPr>
        <w:footnoteReference w:id="269"/>
      </w:r>
      <w:r w:rsidRPr="00412620">
        <w:rPr>
          <w:b/>
          <w:sz w:val="20"/>
        </w:rPr>
        <w:t>[29A.</w:t>
      </w:r>
      <w:r w:rsidRPr="00412620">
        <w:rPr>
          <w:b/>
          <w:sz w:val="20"/>
        </w:rPr>
        <w:tab/>
        <w:t>Provision regarding consumer loans.</w:t>
      </w:r>
      <w:r w:rsidR="00316A29" w:rsidRPr="00412620">
        <w:rPr>
          <w:b/>
          <w:sz w:val="20"/>
        </w:rPr>
        <w:t>—</w:t>
      </w:r>
      <w:r w:rsidRPr="00412620">
        <w:rPr>
          <w:sz w:val="20"/>
        </w:rPr>
        <w:t xml:space="preserve"> (1) A </w:t>
      </w:r>
      <w:r w:rsidR="002D5137" w:rsidRPr="00412620">
        <w:rPr>
          <w:rStyle w:val="FootnoteReference"/>
          <w:sz w:val="20"/>
        </w:rPr>
        <w:footnoteReference w:id="270"/>
      </w:r>
      <w:r w:rsidR="002D5137" w:rsidRPr="00412620">
        <w:rPr>
          <w:sz w:val="20"/>
        </w:rPr>
        <w:t xml:space="preserve">[ ] </w:t>
      </w:r>
      <w:r w:rsidRPr="00412620">
        <w:rPr>
          <w:rStyle w:val="FootnoteReference"/>
          <w:sz w:val="20"/>
        </w:rPr>
        <w:footnoteReference w:id="271"/>
      </w:r>
      <w:r w:rsidRPr="00412620">
        <w:rPr>
          <w:sz w:val="20"/>
        </w:rPr>
        <w:t xml:space="preserve">[non-banking finance company or the House Building Finance Corporation] shall be allowed a </w:t>
      </w:r>
      <w:r w:rsidRPr="00412620">
        <w:rPr>
          <w:sz w:val="20"/>
        </w:rPr>
        <w:lastRenderedPageBreak/>
        <w:t xml:space="preserve">deduction, not exceeding three </w:t>
      </w:r>
      <w:r w:rsidR="00AB6F06">
        <w:rPr>
          <w:sz w:val="20"/>
        </w:rPr>
        <w:t>per cent</w:t>
      </w:r>
      <w:r w:rsidRPr="00412620">
        <w:rPr>
          <w:sz w:val="20"/>
        </w:rPr>
        <w:t xml:space="preserve"> of the income for the tax year, arising out of consumer loans for creation of a reserve to off-set bad debts arising out of such loans.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Where bad debt can</w:t>
      </w:r>
      <w:r w:rsidR="00A7684E">
        <w:rPr>
          <w:rFonts w:cs="Arial"/>
          <w:sz w:val="20"/>
        </w:rPr>
        <w:t xml:space="preserve"> </w:t>
      </w:r>
      <w:r w:rsidRPr="00412620">
        <w:rPr>
          <w:rFonts w:cs="Arial"/>
          <w:sz w:val="20"/>
        </w:rPr>
        <w:t>not be wholly set off against reserve, any amount of bad debt, exceeding the reserves shall be carried forward for adjustment against the reserve for the following years.]</w:t>
      </w:r>
    </w:p>
    <w:p w:rsidR="006A3F93" w:rsidRPr="00412620" w:rsidRDefault="006A3F93">
      <w:pPr>
        <w:jc w:val="both"/>
        <w:rPr>
          <w:rFonts w:cs="Arial"/>
          <w:sz w:val="20"/>
        </w:rPr>
      </w:pPr>
    </w:p>
    <w:p w:rsidR="006A3F93" w:rsidRPr="00412620" w:rsidRDefault="006A3F93">
      <w:pPr>
        <w:ind w:left="1094" w:firstLine="1"/>
        <w:jc w:val="both"/>
        <w:rPr>
          <w:sz w:val="20"/>
        </w:rPr>
      </w:pPr>
      <w:r w:rsidRPr="00412620">
        <w:rPr>
          <w:rStyle w:val="FootnoteReference"/>
          <w:rFonts w:cs="Arial"/>
          <w:sz w:val="20"/>
        </w:rPr>
        <w:footnoteReference w:id="272"/>
      </w:r>
      <w:r w:rsidRPr="00412620">
        <w:rPr>
          <w:sz w:val="20"/>
        </w:rPr>
        <w:t>[</w:t>
      </w:r>
      <w:r w:rsidRPr="00412620">
        <w:rPr>
          <w:i/>
          <w:iCs/>
          <w:sz w:val="20"/>
        </w:rPr>
        <w:t>Explanation</w:t>
      </w:r>
      <w:r w:rsidRPr="00412620">
        <w:rPr>
          <w:sz w:val="20"/>
        </w:rPr>
        <w:t>.</w:t>
      </w:r>
      <w:r w:rsidR="00316A29" w:rsidRPr="00412620">
        <w:rPr>
          <w:sz w:val="20"/>
        </w:rPr>
        <w:t>—</w:t>
      </w:r>
      <w:r w:rsidRPr="00412620">
        <w:rPr>
          <w:sz w:val="20"/>
        </w:rPr>
        <w:t xml:space="preserve"> In this section, “consumer loan” means a loan of money or its equivalent made by </w:t>
      </w:r>
      <w:r w:rsidR="0058414E" w:rsidRPr="00412620">
        <w:rPr>
          <w:rStyle w:val="FootnoteReference"/>
          <w:sz w:val="20"/>
        </w:rPr>
        <w:footnoteReference w:id="273"/>
      </w:r>
      <w:r w:rsidR="0058414E" w:rsidRPr="00412620">
        <w:rPr>
          <w:sz w:val="20"/>
        </w:rPr>
        <w:t xml:space="preserve">[ ] </w:t>
      </w:r>
      <w:r w:rsidRPr="00412620">
        <w:rPr>
          <w:sz w:val="20"/>
        </w:rPr>
        <w:t>a non-banking finance company or the House Building Finance Corporation to a debtor (consumer) and the loan is entered primarily for personal, family or household purposes and includes debts created by the use of a lender credit card or similar arrangement as well as insurance premium financing.]</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30.</w:t>
      </w:r>
      <w:r w:rsidRPr="00412620">
        <w:rPr>
          <w:rFonts w:cs="Arial"/>
          <w:b/>
          <w:sz w:val="20"/>
        </w:rPr>
        <w:tab/>
        <w:t>Profit on non-performing debts of a banking company or development finance institution.</w:t>
      </w:r>
      <w:r w:rsidR="00316A29" w:rsidRPr="00412620">
        <w:rPr>
          <w:rFonts w:cs="Arial"/>
          <w:b/>
          <w:sz w:val="20"/>
        </w:rPr>
        <w:t>—</w:t>
      </w:r>
      <w:r w:rsidRPr="00412620">
        <w:rPr>
          <w:sz w:val="20"/>
        </w:rPr>
        <w:t xml:space="preserve"> (1)  A banking company or development finance institution </w:t>
      </w:r>
      <w:r w:rsidRPr="00412620">
        <w:rPr>
          <w:rStyle w:val="FootnoteReference"/>
          <w:sz w:val="20"/>
        </w:rPr>
        <w:footnoteReference w:id="274"/>
      </w:r>
      <w:r w:rsidRPr="00412620">
        <w:rPr>
          <w:sz w:val="20"/>
        </w:rPr>
        <w:t xml:space="preserve">[or Non-Banking Finance Company (NBFC) or modaraba] shall be allowed a deduction for any profit accruing on a non-performing debt of the banking company or institution </w:t>
      </w:r>
      <w:r w:rsidRPr="00412620">
        <w:rPr>
          <w:rStyle w:val="FootnoteReference"/>
          <w:sz w:val="20"/>
        </w:rPr>
        <w:footnoteReference w:id="275"/>
      </w:r>
      <w:r w:rsidRPr="00412620">
        <w:rPr>
          <w:sz w:val="20"/>
        </w:rPr>
        <w:t xml:space="preserve">[or Non-Banking Finance Company (NBFC) or modaraba] where the profit is credited to a suspense account in accordance with the Prudential Regulations for Banks or </w:t>
      </w:r>
      <w:r w:rsidRPr="00412620">
        <w:rPr>
          <w:rStyle w:val="FootnoteReference"/>
          <w:sz w:val="20"/>
        </w:rPr>
        <w:footnoteReference w:id="276"/>
      </w:r>
      <w:r w:rsidRPr="00412620">
        <w:rPr>
          <w:sz w:val="20"/>
        </w:rPr>
        <w:t xml:space="preserve">[Non-Banking Finance Company or modaraba] Non-bank Financial Institutions, as the case may be, issued by the State Bank of Pakistan </w:t>
      </w:r>
      <w:r w:rsidRPr="00412620">
        <w:rPr>
          <w:rStyle w:val="FootnoteReference"/>
          <w:sz w:val="20"/>
        </w:rPr>
        <w:footnoteReference w:id="277"/>
      </w:r>
      <w:r w:rsidRPr="00412620">
        <w:rPr>
          <w:sz w:val="20"/>
        </w:rPr>
        <w:t>[or the Securities and Exchange Commission of Pakistan].</w:t>
      </w:r>
    </w:p>
    <w:p w:rsidR="006A3F93" w:rsidRPr="00412620" w:rsidRDefault="006A3F93">
      <w:pPr>
        <w:jc w:val="both"/>
        <w:rPr>
          <w:rFonts w:cs="Arial"/>
          <w:b/>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Any profit deducted under sub-section (1) that is subsequently recovered by the banking company or development finance institution </w:t>
      </w:r>
      <w:r w:rsidRPr="00412620">
        <w:rPr>
          <w:rStyle w:val="FootnoteReference"/>
          <w:rFonts w:cs="Arial"/>
          <w:sz w:val="20"/>
        </w:rPr>
        <w:footnoteReference w:id="278"/>
      </w:r>
      <w:r w:rsidRPr="00412620">
        <w:rPr>
          <w:rFonts w:cs="Arial"/>
          <w:sz w:val="20"/>
        </w:rPr>
        <w:t xml:space="preserve">[or Non-Banking Finance Company (NBFC) or modaraba] shall be included in the income of the company or institution </w:t>
      </w:r>
      <w:r w:rsidRPr="00412620">
        <w:rPr>
          <w:rStyle w:val="FootnoteReference"/>
          <w:rFonts w:cs="Arial"/>
          <w:sz w:val="20"/>
        </w:rPr>
        <w:footnoteReference w:id="279"/>
      </w:r>
      <w:r w:rsidRPr="00412620">
        <w:rPr>
          <w:rFonts w:cs="Arial"/>
          <w:sz w:val="20"/>
        </w:rPr>
        <w:t>[or Non-Banking Finance Company (NBFC) or modaraba] chargeable under the head “Income from Business” for the tax year in which it is recovered.</w:t>
      </w:r>
    </w:p>
    <w:p w:rsidR="006A3F93" w:rsidRPr="00412620" w:rsidRDefault="006A3F93">
      <w:pPr>
        <w:jc w:val="both"/>
        <w:rPr>
          <w:rFonts w:cs="Arial"/>
          <w:sz w:val="20"/>
        </w:rPr>
      </w:pPr>
    </w:p>
    <w:p w:rsidR="006A3F93" w:rsidRPr="00A7684E" w:rsidRDefault="006A3F93">
      <w:pPr>
        <w:jc w:val="both"/>
        <w:rPr>
          <w:color w:val="000000" w:themeColor="text1"/>
          <w:sz w:val="20"/>
        </w:rPr>
      </w:pPr>
      <w:r w:rsidRPr="00412620">
        <w:rPr>
          <w:rFonts w:cs="Arial"/>
          <w:b/>
          <w:sz w:val="20"/>
        </w:rPr>
        <w:lastRenderedPageBreak/>
        <w:t>31.</w:t>
      </w:r>
      <w:r w:rsidRPr="00412620">
        <w:rPr>
          <w:sz w:val="20"/>
        </w:rPr>
        <w:tab/>
      </w:r>
      <w:r w:rsidRPr="00412620">
        <w:rPr>
          <w:b/>
          <w:sz w:val="20"/>
        </w:rPr>
        <w:t>Transfer to participatory reserve.</w:t>
      </w:r>
      <w:r w:rsidR="00316A29" w:rsidRPr="00412620">
        <w:rPr>
          <w:b/>
          <w:sz w:val="20"/>
        </w:rPr>
        <w:t>—</w:t>
      </w:r>
      <w:r w:rsidRPr="00412620">
        <w:rPr>
          <w:sz w:val="20"/>
        </w:rPr>
        <w:t>(1)</w:t>
      </w:r>
      <w:r w:rsidRPr="00412620">
        <w:rPr>
          <w:sz w:val="20"/>
        </w:rPr>
        <w:tab/>
        <w:t>Subject to this section, a company shall be allowed a deduction for a tax year for any amount transferred by the company in the year to a participatory reserve created under section 120 of the Companies Ordinance, 1984 (XLVII of 1984) in accordance with an agreement relating to participatory redeemable capital entered into between the company and a banking company as defined in the</w:t>
      </w:r>
      <w:r w:rsidR="00A7684E">
        <w:rPr>
          <w:sz w:val="20"/>
        </w:rPr>
        <w:t xml:space="preserve"> </w:t>
      </w:r>
      <w:r w:rsidR="00EC788E" w:rsidRPr="00A7684E">
        <w:rPr>
          <w:rStyle w:val="FootnoteReference"/>
          <w:color w:val="000000" w:themeColor="text1"/>
          <w:sz w:val="20"/>
        </w:rPr>
        <w:footnoteReference w:id="280"/>
      </w:r>
      <w:r w:rsidR="00DE667F" w:rsidRPr="00A7684E">
        <w:rPr>
          <w:color w:val="000000" w:themeColor="text1"/>
          <w:sz w:val="20"/>
        </w:rPr>
        <w:t>[Financial Institution</w:t>
      </w:r>
      <w:r w:rsidR="009E329B" w:rsidRPr="00A7684E">
        <w:rPr>
          <w:color w:val="000000" w:themeColor="text1"/>
          <w:sz w:val="20"/>
        </w:rPr>
        <w:t>s</w:t>
      </w:r>
      <w:r w:rsidR="00A7684E">
        <w:rPr>
          <w:color w:val="000000" w:themeColor="text1"/>
          <w:sz w:val="20"/>
        </w:rPr>
        <w:t xml:space="preserve"> </w:t>
      </w:r>
      <w:r w:rsidR="009E329B" w:rsidRPr="00A7684E">
        <w:rPr>
          <w:color w:val="000000" w:themeColor="text1"/>
          <w:sz w:val="20"/>
        </w:rPr>
        <w:t xml:space="preserve">(Recovery </w:t>
      </w:r>
      <w:r w:rsidR="00A7684E">
        <w:rPr>
          <w:color w:val="000000" w:themeColor="text1"/>
          <w:sz w:val="20"/>
        </w:rPr>
        <w:t>o</w:t>
      </w:r>
      <w:r w:rsidR="009E329B" w:rsidRPr="00A7684E">
        <w:rPr>
          <w:color w:val="000000" w:themeColor="text1"/>
          <w:sz w:val="20"/>
        </w:rPr>
        <w:t>f Finance</w:t>
      </w:r>
      <w:r w:rsidR="003C4F49" w:rsidRPr="00A7684E">
        <w:rPr>
          <w:color w:val="000000" w:themeColor="text1"/>
          <w:sz w:val="20"/>
        </w:rPr>
        <w:t>s</w:t>
      </w:r>
      <w:r w:rsidR="009E329B" w:rsidRPr="00A7684E">
        <w:rPr>
          <w:color w:val="000000" w:themeColor="text1"/>
          <w:sz w:val="20"/>
        </w:rPr>
        <w:t>)</w:t>
      </w:r>
      <w:r w:rsidR="00F6755F" w:rsidRPr="00A7684E">
        <w:rPr>
          <w:color w:val="000000" w:themeColor="text1"/>
          <w:sz w:val="20"/>
        </w:rPr>
        <w:t xml:space="preserve"> Ordinance,</w:t>
      </w:r>
      <w:r w:rsidR="00A7684E">
        <w:rPr>
          <w:color w:val="000000" w:themeColor="text1"/>
          <w:sz w:val="20"/>
        </w:rPr>
        <w:t xml:space="preserve"> </w:t>
      </w:r>
      <w:r w:rsidR="00F6755F" w:rsidRPr="00A7684E">
        <w:rPr>
          <w:color w:val="000000" w:themeColor="text1"/>
          <w:sz w:val="20"/>
        </w:rPr>
        <w:t>2001 (XLVI of 2001)</w:t>
      </w:r>
      <w:r w:rsidRPr="00A7684E">
        <w:rPr>
          <w:color w:val="000000" w:themeColor="text1"/>
          <w:sz w:val="20"/>
        </w:rPr>
        <w:t>.</w:t>
      </w:r>
      <w:r w:rsidR="00563587" w:rsidRPr="00A7684E">
        <w:rPr>
          <w:color w:val="000000" w:themeColor="text1"/>
          <w:sz w:val="20"/>
        </w:rPr>
        <w: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The deduction allowed under subsection (1) for a tax year shall be limited to five </w:t>
      </w:r>
      <w:r w:rsidR="00AB6F06">
        <w:rPr>
          <w:rFonts w:cs="Arial"/>
          <w:sz w:val="20"/>
        </w:rPr>
        <w:t>per cent</w:t>
      </w:r>
      <w:r w:rsidRPr="00412620">
        <w:rPr>
          <w:rFonts w:cs="Arial"/>
          <w:sz w:val="20"/>
        </w:rPr>
        <w:t xml:space="preserve"> of the value of the company’s participatory redeemable capital.</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No deduction shall be allowed under subsection (1) if the amount of the tax exempted accumulation in the participatory reserve exceeds ten </w:t>
      </w:r>
      <w:r w:rsidR="00AB6F06">
        <w:rPr>
          <w:rFonts w:cs="Arial"/>
          <w:sz w:val="20"/>
        </w:rPr>
        <w:t>per cent</w:t>
      </w:r>
      <w:r w:rsidRPr="00412620">
        <w:rPr>
          <w:rFonts w:cs="Arial"/>
          <w:sz w:val="20"/>
        </w:rPr>
        <w:t xml:space="preserve"> of the amount of the participatory redeemable capital.</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Where any amount accumulated in the participatory reserve of a company has been allowed as a deduction under this section is applied by the company towards any purpose other than payment of share of profit on the participatory redeemable capital or towards any purpose not allowable for deduction or exemption under this Ordinance the amount so applied shall be included in the income from business of the company in the tax year in which it is so applied.</w:t>
      </w:r>
    </w:p>
    <w:p w:rsidR="006A3F93" w:rsidRPr="00412620" w:rsidRDefault="006A3F93">
      <w:pPr>
        <w:rPr>
          <w:rFonts w:cs="Arial"/>
          <w:sz w:val="20"/>
        </w:rPr>
      </w:pPr>
    </w:p>
    <w:p w:rsidR="006A3F93" w:rsidRPr="00412620" w:rsidRDefault="006A3F93">
      <w:pPr>
        <w:pStyle w:val="Heading8"/>
        <w:rPr>
          <w:rFonts w:cs="Arial"/>
          <w:i w:val="0"/>
          <w:sz w:val="28"/>
        </w:rPr>
      </w:pPr>
      <w:r w:rsidRPr="00412620">
        <w:rPr>
          <w:rFonts w:cs="Arial"/>
          <w:i w:val="0"/>
          <w:sz w:val="28"/>
        </w:rPr>
        <w:t>Division IV</w:t>
      </w:r>
    </w:p>
    <w:p w:rsidR="006A3F93" w:rsidRPr="00412620" w:rsidRDefault="006A3F93">
      <w:pPr>
        <w:pStyle w:val="Heading8"/>
        <w:rPr>
          <w:rFonts w:cs="Arial"/>
          <w:i w:val="0"/>
          <w:sz w:val="20"/>
        </w:rPr>
      </w:pPr>
      <w:r w:rsidRPr="00412620">
        <w:rPr>
          <w:rFonts w:cs="Arial"/>
          <w:i w:val="0"/>
          <w:sz w:val="20"/>
        </w:rPr>
        <w:t>Tax Accounting</w:t>
      </w:r>
    </w:p>
    <w:p w:rsidR="006A3F93" w:rsidRPr="00412620" w:rsidRDefault="006A3F93">
      <w:pPr>
        <w:pStyle w:val="CommentText"/>
        <w:keepNext/>
        <w:rPr>
          <w:rFonts w:cs="Arial"/>
        </w:rPr>
      </w:pPr>
    </w:p>
    <w:p w:rsidR="006A3F93" w:rsidRPr="00412620" w:rsidRDefault="006A3F93">
      <w:pPr>
        <w:jc w:val="both"/>
        <w:rPr>
          <w:sz w:val="20"/>
        </w:rPr>
      </w:pPr>
      <w:r w:rsidRPr="00412620">
        <w:rPr>
          <w:rFonts w:cs="Arial"/>
          <w:b/>
          <w:sz w:val="20"/>
        </w:rPr>
        <w:t>32.</w:t>
      </w:r>
      <w:r w:rsidRPr="00412620">
        <w:rPr>
          <w:rFonts w:cs="Arial"/>
          <w:b/>
          <w:sz w:val="20"/>
        </w:rPr>
        <w:tab/>
        <w:t>Method of accounting.</w:t>
      </w:r>
      <w:r w:rsidR="00316A29" w:rsidRPr="00412620">
        <w:rPr>
          <w:rFonts w:cs="Arial"/>
          <w:b/>
          <w:sz w:val="20"/>
        </w:rPr>
        <w:t>—</w:t>
      </w:r>
      <w:r w:rsidRPr="00412620">
        <w:rPr>
          <w:rStyle w:val="FootnoteReference"/>
          <w:sz w:val="20"/>
        </w:rPr>
        <w:footnoteReference w:id="281"/>
      </w:r>
      <w:r w:rsidRPr="00412620">
        <w:rPr>
          <w:sz w:val="20"/>
        </w:rPr>
        <w:t xml:space="preserve">[(1) Subject to this Ordinance, a person’s income chargeable to tax shall be computed in accordance with the method of accounting regularly employed by such person.] </w:t>
      </w:r>
    </w:p>
    <w:p w:rsidR="006A3F93" w:rsidRPr="00412620" w:rsidRDefault="006A3F93">
      <w:pPr>
        <w:jc w:val="both"/>
        <w:rPr>
          <w:rFonts w:cs="Arial"/>
          <w:sz w:val="20"/>
        </w:rPr>
      </w:pPr>
    </w:p>
    <w:p w:rsidR="006A3F93" w:rsidRPr="00412620" w:rsidRDefault="006A3F93">
      <w:pPr>
        <w:jc w:val="both"/>
        <w:rPr>
          <w:rFonts w:cs="Arial"/>
          <w:snapToGrid w:val="0"/>
          <w:sz w:val="20"/>
        </w:rPr>
      </w:pPr>
      <w:r w:rsidRPr="00412620">
        <w:rPr>
          <w:rFonts w:cs="Arial"/>
          <w:sz w:val="20"/>
        </w:rPr>
        <w:tab/>
        <w:t>(2)</w:t>
      </w:r>
      <w:r w:rsidRPr="00412620">
        <w:rPr>
          <w:rFonts w:cs="Arial"/>
          <w:sz w:val="20"/>
        </w:rPr>
        <w:tab/>
      </w:r>
      <w:r w:rsidRPr="00412620">
        <w:rPr>
          <w:rFonts w:cs="Arial"/>
          <w:snapToGrid w:val="0"/>
          <w:sz w:val="20"/>
        </w:rPr>
        <w:t>Subject to sub-section (3), a company shall account for income chargeable to tax under the head “Income from Business” on an accrual basis, while other persons may account for such income on a cash or accrual basis.</w:t>
      </w:r>
    </w:p>
    <w:p w:rsidR="006A3F93" w:rsidRPr="00412620" w:rsidRDefault="006A3F93">
      <w:pPr>
        <w:jc w:val="both"/>
        <w:rPr>
          <w:rFonts w:cs="Arial"/>
          <w:snapToGrid w:val="0"/>
          <w:sz w:val="20"/>
        </w:rPr>
      </w:pPr>
    </w:p>
    <w:p w:rsidR="006A3F93" w:rsidRPr="00412620" w:rsidRDefault="006A3F93">
      <w:pPr>
        <w:jc w:val="both"/>
        <w:rPr>
          <w:rFonts w:cs="Arial"/>
          <w:snapToGrid w:val="0"/>
          <w:sz w:val="20"/>
        </w:rPr>
      </w:pPr>
      <w:r w:rsidRPr="00412620">
        <w:rPr>
          <w:rFonts w:cs="Arial"/>
          <w:snapToGrid w:val="0"/>
          <w:sz w:val="20"/>
        </w:rPr>
        <w:tab/>
        <w:t>(3)</w:t>
      </w:r>
      <w:r w:rsidRPr="00412620">
        <w:rPr>
          <w:rFonts w:cs="Arial"/>
          <w:snapToGrid w:val="0"/>
          <w:sz w:val="20"/>
        </w:rPr>
        <w:tab/>
        <w:t xml:space="preserve">The </w:t>
      </w:r>
      <w:r w:rsidR="00ED0301" w:rsidRPr="00412620">
        <w:rPr>
          <w:rStyle w:val="FootnoteReference"/>
          <w:rFonts w:cs="Arial"/>
          <w:snapToGrid w:val="0"/>
          <w:sz w:val="20"/>
        </w:rPr>
        <w:footnoteReference w:id="282"/>
      </w:r>
      <w:r w:rsidR="00ED0301" w:rsidRPr="00412620">
        <w:rPr>
          <w:rFonts w:cs="Arial"/>
          <w:snapToGrid w:val="0"/>
          <w:sz w:val="20"/>
        </w:rPr>
        <w:t>[</w:t>
      </w:r>
      <w:r w:rsidRPr="00412620">
        <w:rPr>
          <w:rFonts w:cs="Arial"/>
          <w:snapToGrid w:val="0"/>
          <w:sz w:val="20"/>
        </w:rPr>
        <w:t>Board</w:t>
      </w:r>
      <w:r w:rsidR="00ED0301" w:rsidRPr="00412620">
        <w:rPr>
          <w:rFonts w:cs="Arial"/>
          <w:snapToGrid w:val="0"/>
          <w:sz w:val="20"/>
        </w:rPr>
        <w:t>]</w:t>
      </w:r>
      <w:r w:rsidRPr="00412620">
        <w:rPr>
          <w:rFonts w:cs="Arial"/>
          <w:snapToGrid w:val="0"/>
          <w:sz w:val="20"/>
        </w:rPr>
        <w:t xml:space="preserve"> may prescribe that any class of persons shall account for income chargeable to tax under the head “Income from Business” on a cash or accrual basis.</w:t>
      </w:r>
    </w:p>
    <w:p w:rsidR="006A3F93" w:rsidRPr="00412620" w:rsidRDefault="006A3F93">
      <w:pPr>
        <w:jc w:val="both"/>
        <w:rPr>
          <w:rFonts w:cs="Arial"/>
          <w:snapToGrid w:val="0"/>
          <w:sz w:val="20"/>
        </w:rPr>
      </w:pPr>
    </w:p>
    <w:p w:rsidR="006A3F93" w:rsidRPr="00412620" w:rsidRDefault="006A3F93">
      <w:pPr>
        <w:jc w:val="both"/>
        <w:rPr>
          <w:rFonts w:cs="Arial"/>
          <w:snapToGrid w:val="0"/>
          <w:sz w:val="20"/>
        </w:rPr>
      </w:pPr>
      <w:r w:rsidRPr="00412620">
        <w:rPr>
          <w:rFonts w:cs="Arial"/>
          <w:snapToGrid w:val="0"/>
          <w:sz w:val="20"/>
        </w:rPr>
        <w:tab/>
        <w:t>(4)</w:t>
      </w:r>
      <w:r w:rsidRPr="00412620">
        <w:rPr>
          <w:rFonts w:cs="Arial"/>
          <w:snapToGrid w:val="0"/>
          <w:sz w:val="20"/>
        </w:rPr>
        <w:tab/>
        <w:t xml:space="preserve">A person may apply, in writing, for a change in the person’s  method of accounting and the Commissioner may, by </w:t>
      </w:r>
      <w:r w:rsidRPr="00412620">
        <w:rPr>
          <w:rStyle w:val="FootnoteReference"/>
          <w:rFonts w:cs="Arial"/>
          <w:snapToGrid w:val="0"/>
          <w:sz w:val="20"/>
        </w:rPr>
        <w:footnoteReference w:id="283"/>
      </w:r>
      <w:r w:rsidRPr="00412620">
        <w:rPr>
          <w:rFonts w:cs="Arial"/>
          <w:snapToGrid w:val="0"/>
          <w:sz w:val="20"/>
        </w:rPr>
        <w:t>[order] in writing, approve such an application but only if satisfied that the change is necessary to clearly reflect the person’s income chargeable to tax under the head “Income from Business”.</w:t>
      </w:r>
    </w:p>
    <w:p w:rsidR="006A3F93" w:rsidRPr="00412620" w:rsidRDefault="006A3F93">
      <w:pPr>
        <w:jc w:val="both"/>
        <w:rPr>
          <w:rFonts w:cs="Arial"/>
          <w:snapToGrid w:val="0"/>
          <w:sz w:val="20"/>
        </w:rPr>
      </w:pPr>
    </w:p>
    <w:p w:rsidR="006A3F93" w:rsidRPr="00412620" w:rsidRDefault="006A3F93">
      <w:pPr>
        <w:jc w:val="both"/>
        <w:rPr>
          <w:snapToGrid w:val="0"/>
          <w:sz w:val="20"/>
        </w:rPr>
      </w:pPr>
      <w:r w:rsidRPr="00412620">
        <w:rPr>
          <w:rFonts w:cs="Arial"/>
          <w:snapToGrid w:val="0"/>
          <w:sz w:val="20"/>
        </w:rPr>
        <w:tab/>
        <w:t>(5)</w:t>
      </w:r>
      <w:r w:rsidRPr="00412620">
        <w:rPr>
          <w:rFonts w:cs="Arial"/>
          <w:snapToGrid w:val="0"/>
          <w:sz w:val="20"/>
        </w:rPr>
        <w:tab/>
      </w:r>
      <w:r w:rsidRPr="00412620">
        <w:rPr>
          <w:sz w:val="20"/>
        </w:rPr>
        <w:t>If a person’s method of accounting has changed, the person shall make adjustments to items of income, deduction, or credit, or to any other items affected by the change so that no item is omitted and no item is taken into account more than once.</w:t>
      </w:r>
    </w:p>
    <w:p w:rsidR="006A3F93" w:rsidRPr="00412620" w:rsidRDefault="006A3F93">
      <w:pPr>
        <w:ind w:left="720" w:hanging="720"/>
        <w:jc w:val="both"/>
        <w:rPr>
          <w:rFonts w:cs="Arial"/>
          <w:snapToGrid w:val="0"/>
          <w:sz w:val="20"/>
        </w:rPr>
      </w:pPr>
    </w:p>
    <w:p w:rsidR="006A3F93" w:rsidRPr="00412620" w:rsidRDefault="006A3F93">
      <w:pPr>
        <w:jc w:val="both"/>
        <w:rPr>
          <w:sz w:val="20"/>
        </w:rPr>
      </w:pPr>
      <w:r w:rsidRPr="00412620">
        <w:rPr>
          <w:rFonts w:cs="Arial"/>
          <w:b/>
          <w:sz w:val="20"/>
        </w:rPr>
        <w:t>33.</w:t>
      </w:r>
      <w:r w:rsidRPr="00412620">
        <w:rPr>
          <w:rFonts w:cs="Arial"/>
          <w:b/>
          <w:sz w:val="20"/>
        </w:rPr>
        <w:tab/>
        <w:t>Cash-basis accounting.</w:t>
      </w:r>
      <w:r w:rsidR="00316A29" w:rsidRPr="00412620">
        <w:rPr>
          <w:rFonts w:cs="Arial"/>
          <w:b/>
          <w:sz w:val="20"/>
        </w:rPr>
        <w:t>—</w:t>
      </w:r>
      <w:r w:rsidRPr="00412620">
        <w:rPr>
          <w:sz w:val="20"/>
        </w:rPr>
        <w:t xml:space="preserve"> A person accounting for income chargeable to tax under the head “Income from Business” on a cash basis shall derive income when it is received and shall incur expenditure when it is paid. </w:t>
      </w:r>
    </w:p>
    <w:p w:rsidR="006A3F93" w:rsidRPr="00412620" w:rsidRDefault="006A3F93">
      <w:pPr>
        <w:rPr>
          <w:rFonts w:cs="Arial"/>
          <w:sz w:val="20"/>
        </w:rPr>
      </w:pPr>
    </w:p>
    <w:p w:rsidR="006A3F93" w:rsidRPr="00412620" w:rsidRDefault="006A3F93">
      <w:pPr>
        <w:jc w:val="both"/>
        <w:rPr>
          <w:sz w:val="20"/>
        </w:rPr>
      </w:pPr>
      <w:r w:rsidRPr="00412620">
        <w:rPr>
          <w:rFonts w:cs="Arial"/>
          <w:b/>
          <w:sz w:val="20"/>
        </w:rPr>
        <w:t>34.</w:t>
      </w:r>
      <w:r w:rsidRPr="00412620">
        <w:rPr>
          <w:rFonts w:cs="Arial"/>
          <w:b/>
          <w:sz w:val="20"/>
        </w:rPr>
        <w:tab/>
        <w:t>Accrual-basis accounting.</w:t>
      </w:r>
      <w:r w:rsidR="00316A29" w:rsidRPr="00412620">
        <w:rPr>
          <w:rFonts w:cs="Arial"/>
          <w:b/>
          <w:sz w:val="20"/>
        </w:rPr>
        <w:t>—</w:t>
      </w:r>
      <w:r w:rsidRPr="00412620">
        <w:rPr>
          <w:sz w:val="20"/>
        </w:rPr>
        <w:t xml:space="preserve"> (1)  A person accounting for income chargeable to tax under the head “Income from Business” on an accrual basis shall derive income when it is due to the person and shall incur expenditure when it is payable by the person. </w:t>
      </w:r>
    </w:p>
    <w:p w:rsidR="006A3F93" w:rsidRPr="00412620" w:rsidRDefault="006A3F93">
      <w:pPr>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Subject to this Ordinance, an amount shall be due to a person when the person becomes entitled to receive it even if the time for discharge of the entitlement is postponed or the amount is payable by instalments.</w:t>
      </w:r>
    </w:p>
    <w:p w:rsidR="006A3F93" w:rsidRPr="00412620" w:rsidRDefault="006A3F93">
      <w:pPr>
        <w:ind w:left="720" w:hanging="720"/>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Subject to this Ordinance, an amount shall be payable by a person when all the events that determine liability have occurred and the amount of the liability can be determined with reasonable accuracy </w:t>
      </w:r>
      <w:r w:rsidRPr="00412620">
        <w:rPr>
          <w:rStyle w:val="FootnoteReference"/>
          <w:rFonts w:cs="Arial"/>
          <w:sz w:val="20"/>
        </w:rPr>
        <w:footnoteReference w:id="284"/>
      </w:r>
      <w:r w:rsidRPr="00412620">
        <w:rPr>
          <w:rFonts w:cs="Arial"/>
          <w:sz w:val="20"/>
        </w:rPr>
        <w:t>[  ].</w:t>
      </w:r>
    </w:p>
    <w:p w:rsidR="006A3F93" w:rsidRPr="00412620" w:rsidRDefault="006A3F93">
      <w:pPr>
        <w:jc w:val="both"/>
        <w:rPr>
          <w:rFonts w:cs="Arial"/>
          <w:sz w:val="20"/>
        </w:rPr>
      </w:pPr>
    </w:p>
    <w:p w:rsidR="006A3F93" w:rsidRPr="00412620" w:rsidRDefault="004228EF">
      <w:pPr>
        <w:ind w:firstLine="450"/>
        <w:jc w:val="both"/>
        <w:rPr>
          <w:sz w:val="20"/>
        </w:rPr>
      </w:pPr>
      <w:r w:rsidRPr="00412620">
        <w:rPr>
          <w:sz w:val="20"/>
        </w:rPr>
        <w:br w:type="page"/>
      </w:r>
      <w:r w:rsidR="006A3F93" w:rsidRPr="00412620">
        <w:rPr>
          <w:rStyle w:val="FootnoteReference"/>
          <w:rFonts w:cs="Arial"/>
          <w:sz w:val="20"/>
        </w:rPr>
        <w:lastRenderedPageBreak/>
        <w:footnoteReference w:id="285"/>
      </w:r>
      <w:r w:rsidR="006A3F93" w:rsidRPr="00412620">
        <w:rPr>
          <w:sz w:val="20"/>
        </w:rPr>
        <w:t>[   ]</w:t>
      </w:r>
    </w:p>
    <w:p w:rsidR="006A3F93" w:rsidRPr="00412620" w:rsidRDefault="006A3F93">
      <w:pPr>
        <w:pStyle w:val="BodyTextIndent2"/>
        <w:ind w:left="0"/>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Where a person has been allowed a deduction for any expenditure incurred in deriving income chargeable to tax under the head “Income from Business” and the person has not paid the liability or a part of the liability to which the deduction relates within three years of the end of the tax year in which the deduction was allowed, the unpaid amount of the liability shall be chargeable to tax under the head “Income from Business” in the first tax year following the end of the three years.</w:t>
      </w:r>
    </w:p>
    <w:p w:rsidR="006A3F93" w:rsidRPr="00412620" w:rsidRDefault="006A3F93">
      <w:pPr>
        <w:jc w:val="both"/>
        <w:rPr>
          <w:rFonts w:cs="Arial"/>
          <w:sz w:val="20"/>
        </w:rPr>
      </w:pPr>
    </w:p>
    <w:p w:rsidR="006A3F93" w:rsidRPr="00412620" w:rsidRDefault="006A3F93">
      <w:pPr>
        <w:ind w:firstLine="360"/>
        <w:jc w:val="both"/>
        <w:rPr>
          <w:sz w:val="20"/>
        </w:rPr>
      </w:pPr>
      <w:r w:rsidRPr="00412620">
        <w:rPr>
          <w:rStyle w:val="FootnoteReference"/>
          <w:rFonts w:cs="Arial"/>
          <w:sz w:val="20"/>
        </w:rPr>
        <w:footnoteReference w:id="286"/>
      </w:r>
      <w:r w:rsidRPr="00412620">
        <w:rPr>
          <w:sz w:val="20"/>
        </w:rPr>
        <w:t xml:space="preserve">[(5A) </w:t>
      </w:r>
      <w:r w:rsidRPr="00412620">
        <w:rPr>
          <w:sz w:val="20"/>
        </w:rPr>
        <w:tab/>
        <w:t xml:space="preserve">Where a person has been allowed a deduction in respect of a trading liability and such person has derived any benefit in respect of such trading liability, the value of such benefit shall be chargeable to tax under </w:t>
      </w:r>
      <w:r w:rsidRPr="00412620">
        <w:rPr>
          <w:rStyle w:val="FootnoteReference"/>
          <w:sz w:val="20"/>
        </w:rPr>
        <w:footnoteReference w:id="287"/>
      </w:r>
      <w:r w:rsidRPr="00412620">
        <w:rPr>
          <w:sz w:val="20"/>
        </w:rPr>
        <w:t>[the] head “Income from Business” for the tax year in which such benefit is received.]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Where an unpaid liability is chargeable to tax as a result of the application of sub-section (5) and the person subsequently pays the liability or a part of the liability, the person shall be allowed a deduction for the amount paid in the tax year in which the payment is made. </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35.</w:t>
      </w:r>
      <w:r w:rsidRPr="00412620">
        <w:rPr>
          <w:rFonts w:cs="Arial"/>
          <w:b/>
          <w:sz w:val="20"/>
        </w:rPr>
        <w:tab/>
        <w:t>Stock-in-trade.</w:t>
      </w:r>
      <w:r w:rsidR="00316A29" w:rsidRPr="00412620">
        <w:rPr>
          <w:rFonts w:cs="Arial"/>
          <w:b/>
          <w:sz w:val="20"/>
        </w:rPr>
        <w:t>—</w:t>
      </w:r>
      <w:r w:rsidRPr="00412620">
        <w:rPr>
          <w:sz w:val="20"/>
        </w:rPr>
        <w:t xml:space="preserve"> (1)  For the purposes of determining a person’s income chargeable to tax under the head “Income from Business” for a tax year, the cost of stock-in-trade disposed of by the person in the year shall be computed in accordance with the following formula, namely:</w:t>
      </w:r>
      <w:r w:rsidR="00DB31D1" w:rsidRPr="00412620">
        <w:rPr>
          <w:rFonts w:cs="Arial"/>
          <w:sz w:val="20"/>
        </w:rPr>
        <w:t>—</w:t>
      </w:r>
    </w:p>
    <w:p w:rsidR="006A3F93" w:rsidRPr="00412620" w:rsidRDefault="006A3F93">
      <w:pPr>
        <w:rPr>
          <w:rFonts w:cs="Arial"/>
          <w:sz w:val="20"/>
        </w:rPr>
      </w:pPr>
    </w:p>
    <w:p w:rsidR="006A3F93" w:rsidRPr="00412620" w:rsidRDefault="006A3F93">
      <w:pPr>
        <w:keepNext/>
        <w:jc w:val="center"/>
        <w:rPr>
          <w:rFonts w:cs="Arial"/>
          <w:b/>
          <w:sz w:val="20"/>
        </w:rPr>
      </w:pPr>
      <w:r w:rsidRPr="00412620">
        <w:rPr>
          <w:rFonts w:cs="Arial"/>
          <w:b/>
          <w:sz w:val="20"/>
        </w:rPr>
        <w:t>(A + B) – C</w:t>
      </w:r>
    </w:p>
    <w:p w:rsidR="006A3F93" w:rsidRPr="00412620" w:rsidRDefault="006A3F93">
      <w:pPr>
        <w:pStyle w:val="Header"/>
        <w:tabs>
          <w:tab w:val="left" w:pos="547"/>
        </w:tabs>
        <w:jc w:val="both"/>
        <w:rPr>
          <w:rFonts w:cs="Arial"/>
          <w:sz w:val="20"/>
        </w:rPr>
      </w:pPr>
      <w:r w:rsidRPr="00412620">
        <w:rPr>
          <w:rFonts w:cs="Arial"/>
          <w:sz w:val="20"/>
        </w:rPr>
        <w:t xml:space="preserve">where </w:t>
      </w:r>
      <w:r w:rsidR="000132FF" w:rsidRPr="00412620">
        <w:rPr>
          <w:rFonts w:cs="Arial"/>
          <w:sz w:val="20"/>
        </w:rPr>
        <w:t>—</w:t>
      </w:r>
    </w:p>
    <w:p w:rsidR="006A3F93" w:rsidRPr="00412620" w:rsidRDefault="006A3F93">
      <w:pPr>
        <w:jc w:val="both"/>
        <w:rPr>
          <w:rFonts w:cs="Arial"/>
          <w:sz w:val="20"/>
        </w:rPr>
      </w:pPr>
    </w:p>
    <w:p w:rsidR="006A3F93" w:rsidRPr="00412620" w:rsidRDefault="006A3F93">
      <w:pPr>
        <w:ind w:left="540" w:hanging="540"/>
        <w:jc w:val="both"/>
        <w:rPr>
          <w:sz w:val="20"/>
        </w:rPr>
      </w:pPr>
      <w:r w:rsidRPr="00412620">
        <w:rPr>
          <w:rFonts w:cs="Arial"/>
          <w:b/>
          <w:sz w:val="20"/>
        </w:rPr>
        <w:t>A</w:t>
      </w:r>
      <w:r w:rsidRPr="00412620">
        <w:rPr>
          <w:sz w:val="20"/>
        </w:rPr>
        <w:tab/>
        <w:t>is the opening value of the person’s stock-in-trade for the year;</w:t>
      </w:r>
    </w:p>
    <w:p w:rsidR="006A3F93" w:rsidRPr="00412620" w:rsidRDefault="006A3F93">
      <w:pPr>
        <w:ind w:left="720" w:hanging="720"/>
        <w:jc w:val="both"/>
        <w:rPr>
          <w:rFonts w:cs="Arial"/>
          <w:b/>
          <w:sz w:val="20"/>
        </w:rPr>
      </w:pPr>
    </w:p>
    <w:p w:rsidR="006A3F93" w:rsidRPr="00412620" w:rsidRDefault="006A3F93">
      <w:pPr>
        <w:ind w:left="540" w:hanging="540"/>
        <w:jc w:val="both"/>
        <w:rPr>
          <w:sz w:val="20"/>
        </w:rPr>
      </w:pPr>
      <w:r w:rsidRPr="00412620">
        <w:rPr>
          <w:rFonts w:cs="Arial"/>
          <w:b/>
          <w:sz w:val="20"/>
        </w:rPr>
        <w:t>B</w:t>
      </w:r>
      <w:r w:rsidRPr="00412620">
        <w:rPr>
          <w:sz w:val="20"/>
        </w:rPr>
        <w:tab/>
        <w:t>is cost of stock-in-trade acquired by the person in the year; and</w:t>
      </w:r>
    </w:p>
    <w:p w:rsidR="006A3F93" w:rsidRPr="00412620" w:rsidRDefault="006A3F93">
      <w:pPr>
        <w:ind w:left="540" w:hanging="540"/>
        <w:jc w:val="both"/>
        <w:rPr>
          <w:rFonts w:cs="Arial"/>
          <w:sz w:val="20"/>
        </w:rPr>
      </w:pPr>
    </w:p>
    <w:p w:rsidR="006A3F93" w:rsidRPr="00412620" w:rsidRDefault="006A3F93">
      <w:pPr>
        <w:ind w:left="540" w:hanging="540"/>
        <w:jc w:val="both"/>
        <w:rPr>
          <w:sz w:val="20"/>
        </w:rPr>
      </w:pPr>
      <w:r w:rsidRPr="00412620">
        <w:rPr>
          <w:rFonts w:cs="Arial"/>
          <w:b/>
          <w:sz w:val="20"/>
        </w:rPr>
        <w:t>C</w:t>
      </w:r>
      <w:r w:rsidRPr="00412620">
        <w:rPr>
          <w:sz w:val="20"/>
        </w:rPr>
        <w:tab/>
        <w:t xml:space="preserve">is the closing value of stock-in-trade for the year.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The opening value of stock-in-trade of a person for a tax year shall be </w:t>
      </w:r>
      <w:r w:rsidR="00316A29"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(a)</w:t>
      </w:r>
      <w:r w:rsidRPr="00412620">
        <w:rPr>
          <w:rFonts w:cs="Arial"/>
          <w:sz w:val="20"/>
        </w:rPr>
        <w:tab/>
        <w:t>the closing value of the person’s stock-in-trade at the end of the previous year;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where the person commenced to carry on business in the year, the fair market value of any stock-in-trade acquired by the person prior to the commencement of the business.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The fair market value of stock-in-trade referred to in clause (b) of sub-section (2) shall be determined at the time the stock-in-trade is ventured in the business.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The closing value of a person’s stock-in-trade for a tax year shall be the lower of cost or </w:t>
      </w:r>
      <w:r w:rsidRPr="00412620">
        <w:rPr>
          <w:rStyle w:val="FootnoteReference"/>
          <w:rFonts w:cs="Arial"/>
          <w:sz w:val="20"/>
        </w:rPr>
        <w:footnoteReference w:id="288"/>
      </w:r>
      <w:r w:rsidRPr="00412620">
        <w:rPr>
          <w:rFonts w:cs="Arial"/>
          <w:sz w:val="20"/>
        </w:rPr>
        <w:t xml:space="preserve">[net realisable]value of the person’s stock-in-trade on hand at the end of the year.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A person accounting for income chargeable to tax under the head “Income from Business” on a cash basis may compute the person’s cost of stock-in-trade on the prime-cost method or absorption-cost method, and a person accounting for such income on an accrual basis shall compute the person’s cost of stock-in-trade on the absorption-cost method.</w:t>
      </w:r>
    </w:p>
    <w:p w:rsidR="006A3F93" w:rsidRPr="00412620" w:rsidRDefault="006A3F93">
      <w:pPr>
        <w:jc w:val="both"/>
        <w:rPr>
          <w:rFonts w:cs="Arial"/>
          <w:sz w:val="20"/>
        </w:rPr>
      </w:pPr>
    </w:p>
    <w:p w:rsidR="006A3F93" w:rsidRPr="00412620" w:rsidRDefault="006A3F93">
      <w:pPr>
        <w:pStyle w:val="BodyText3"/>
        <w:widowControl/>
        <w:rPr>
          <w:rFonts w:ascii="Arial" w:hAnsi="Arial"/>
          <w:sz w:val="20"/>
          <w:lang w:val="en-AU"/>
        </w:rPr>
      </w:pPr>
      <w:r w:rsidRPr="00412620">
        <w:rPr>
          <w:rFonts w:ascii="Arial" w:hAnsi="Arial"/>
          <w:sz w:val="20"/>
          <w:lang w:val="en-AU"/>
        </w:rPr>
        <w:tab/>
        <w:t>(6)</w:t>
      </w:r>
      <w:r w:rsidRPr="00412620">
        <w:rPr>
          <w:rFonts w:ascii="Arial" w:hAnsi="Arial"/>
          <w:sz w:val="20"/>
          <w:lang w:val="en-AU"/>
        </w:rPr>
        <w:tab/>
        <w:t>Where particular items of stock-in-trade are not readily identifiable, a person may account for that stock on the first-in-first-out method or the average-cost method but, once chosen, a stock valuation method may be changed only with the written permission of the Commissioner and in accordance with any conditions that the Commissioner may impose.</w:t>
      </w:r>
    </w:p>
    <w:p w:rsidR="006A3F93" w:rsidRPr="00412620" w:rsidRDefault="006A3F93">
      <w:pPr>
        <w:jc w:val="both"/>
        <w:rPr>
          <w:rFonts w:cs="Arial"/>
          <w:sz w:val="20"/>
        </w:rPr>
      </w:pPr>
    </w:p>
    <w:p w:rsidR="006A3F93" w:rsidRPr="00412620" w:rsidRDefault="006A3F93">
      <w:pPr>
        <w:rPr>
          <w:rFonts w:cs="Arial"/>
          <w:sz w:val="20"/>
        </w:rPr>
      </w:pPr>
      <w:r w:rsidRPr="00412620">
        <w:rPr>
          <w:rFonts w:cs="Arial"/>
          <w:sz w:val="20"/>
        </w:rPr>
        <w:tab/>
        <w:t>(7)</w:t>
      </w:r>
      <w:r w:rsidRPr="00412620">
        <w:rPr>
          <w:rFonts w:cs="Arial"/>
          <w:sz w:val="20"/>
        </w:rPr>
        <w:tab/>
        <w:t xml:space="preserve">In this section, </w:t>
      </w:r>
      <w:r w:rsidR="00316A29" w:rsidRPr="00412620">
        <w:rPr>
          <w:rFonts w:cs="Arial"/>
          <w:sz w:val="20"/>
        </w:rPr>
        <w:t>—</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“absorption-cost method” means the generally accepted accounting principle under which the cost of an item of stock-in-trade is the sum of direct material costs, direct labour costs, and factory overhead costs;</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“average-cost method” means the generally accepted accounting principle under which the valuation of stock-in-trade is based on a weighted average cost of units on hand;</w:t>
      </w:r>
    </w:p>
    <w:p w:rsidR="006A3F93" w:rsidRPr="00412620" w:rsidRDefault="006A3F93">
      <w:pPr>
        <w:pStyle w:val="Header"/>
        <w:tabs>
          <w:tab w:val="left" w:pos="547"/>
        </w:tabs>
        <w:jc w:val="both"/>
        <w:rPr>
          <w:rFonts w:cs="Arial"/>
          <w:sz w:val="20"/>
        </w:rPr>
      </w:pPr>
    </w:p>
    <w:p w:rsidR="006A3F93" w:rsidRPr="00412620" w:rsidRDefault="006A3F93">
      <w:pPr>
        <w:ind w:left="1080"/>
        <w:jc w:val="both"/>
        <w:rPr>
          <w:rFonts w:cs="Arial"/>
          <w:sz w:val="20"/>
        </w:rPr>
      </w:pPr>
      <w:r w:rsidRPr="00412620">
        <w:rPr>
          <w:rFonts w:cs="Arial"/>
          <w:sz w:val="20"/>
        </w:rPr>
        <w:t>“direct labour costs” means labour costs directly related to the manufacture or production of stock-in-trade;</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“direct material costs” means the cost of materials that become an integral part of the stock-in-trade manufactured or produced, or which are consumed in the manufacturing or production process;</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 xml:space="preserve">“factory overhead costs” means the total costs of manufacturing or producing stock-in-trade, other than direct labour and direct material costs; </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“first-in-first-out method” means the generally accepted accounting principle under which the valuation of stock-in-trade is based on the assumption that stock is sold in the order of its acquisition;</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“prime-cost method” means the generally accepted accounting principle under which the cost of stock-in-trade is the sum of direct material costs, direct labour costs, and variable factory overhead costs;</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“stock-in-trade” means anything produced, manufactured, purchased, or otherwise acquired for manufacture, sale or exchange, and any materials or supplies to be consumed in the production or manufacturing process, but does not include stocks or shares; and</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“variable factory overhead costs” means those factory overhead costs which vary directly with changes in volume of stock-in-trade manufactured or produced.</w:t>
      </w:r>
    </w:p>
    <w:p w:rsidR="006A3F93" w:rsidRPr="00412620" w:rsidRDefault="006A3F93">
      <w:pPr>
        <w:jc w:val="both"/>
        <w:rPr>
          <w:rFonts w:cs="Arial"/>
          <w:sz w:val="20"/>
        </w:rPr>
      </w:pPr>
    </w:p>
    <w:p w:rsidR="006A3F93" w:rsidRPr="00260CAF" w:rsidRDefault="006A3F93">
      <w:pPr>
        <w:jc w:val="both"/>
        <w:rPr>
          <w:sz w:val="20"/>
        </w:rPr>
      </w:pPr>
      <w:r w:rsidRPr="00412620">
        <w:rPr>
          <w:rFonts w:cs="Arial"/>
          <w:b/>
          <w:sz w:val="20"/>
        </w:rPr>
        <w:t>36.</w:t>
      </w:r>
      <w:r w:rsidRPr="00412620">
        <w:rPr>
          <w:rFonts w:cs="Arial"/>
          <w:b/>
          <w:sz w:val="20"/>
        </w:rPr>
        <w:tab/>
        <w:t>Long-term contracts.</w:t>
      </w:r>
      <w:r w:rsidR="002247DD" w:rsidRPr="00412620">
        <w:rPr>
          <w:rFonts w:cs="Arial"/>
          <w:b/>
          <w:sz w:val="20"/>
        </w:rPr>
        <w:t>—</w:t>
      </w:r>
      <w:r w:rsidRPr="00412620">
        <w:rPr>
          <w:sz w:val="20"/>
        </w:rPr>
        <w:t xml:space="preserve"> (1)  A person accounting for income chargeable to tax under the head “Income from Business” on an accrual basis shall compute </w:t>
      </w:r>
      <w:r w:rsidRPr="00260CAF">
        <w:rPr>
          <w:sz w:val="20"/>
        </w:rPr>
        <w:t xml:space="preserve">such income arising for a tax year under a long-term contract on the basis of the </w:t>
      </w:r>
      <w:r w:rsidR="00CA1F6D" w:rsidRPr="00260CAF">
        <w:rPr>
          <w:sz w:val="20"/>
        </w:rPr>
        <w:t>per</w:t>
      </w:r>
      <w:r w:rsidR="00AB6F06" w:rsidRPr="00260CAF">
        <w:rPr>
          <w:sz w:val="20"/>
        </w:rPr>
        <w:t>cent</w:t>
      </w:r>
      <w:r w:rsidRPr="00260CAF">
        <w:rPr>
          <w:sz w:val="20"/>
        </w:rPr>
        <w:t xml:space="preserve">age of completion method. </w:t>
      </w:r>
    </w:p>
    <w:p w:rsidR="006A3F93" w:rsidRPr="00260CAF" w:rsidRDefault="006A3F93">
      <w:pPr>
        <w:jc w:val="both"/>
        <w:rPr>
          <w:rFonts w:cs="Arial"/>
          <w:sz w:val="20"/>
        </w:rPr>
      </w:pPr>
    </w:p>
    <w:p w:rsidR="006A3F93" w:rsidRPr="00412620" w:rsidRDefault="006A3F93">
      <w:pPr>
        <w:jc w:val="both"/>
        <w:rPr>
          <w:rFonts w:cs="Arial"/>
          <w:sz w:val="20"/>
        </w:rPr>
      </w:pPr>
      <w:r w:rsidRPr="00260CAF">
        <w:rPr>
          <w:rFonts w:cs="Arial"/>
          <w:sz w:val="20"/>
        </w:rPr>
        <w:tab/>
        <w:t>(2)</w:t>
      </w:r>
      <w:r w:rsidRPr="00260CAF">
        <w:rPr>
          <w:rFonts w:cs="Arial"/>
          <w:sz w:val="20"/>
        </w:rPr>
        <w:tab/>
        <w:t xml:space="preserve">The </w:t>
      </w:r>
      <w:r w:rsidR="00CA1F6D" w:rsidRPr="00260CAF">
        <w:rPr>
          <w:rFonts w:cs="Arial"/>
          <w:sz w:val="20"/>
        </w:rPr>
        <w:t>per</w:t>
      </w:r>
      <w:r w:rsidR="00AB6F06" w:rsidRPr="00260CAF">
        <w:rPr>
          <w:rFonts w:cs="Arial"/>
          <w:sz w:val="20"/>
        </w:rPr>
        <w:t>cent</w:t>
      </w:r>
      <w:r w:rsidRPr="00260CAF">
        <w:rPr>
          <w:rFonts w:cs="Arial"/>
          <w:sz w:val="20"/>
        </w:rPr>
        <w:t>age of completion of a long-term contract in a tax year shall be determined by comparing the total costs allocated to the contract and</w:t>
      </w:r>
      <w:r w:rsidRPr="00412620">
        <w:rPr>
          <w:rFonts w:cs="Arial"/>
          <w:sz w:val="20"/>
        </w:rPr>
        <w:t xml:space="preserve"> incurred before the end of the year with the estimated total contract costs as determined at the commencement of the contract.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In this section, </w:t>
      </w:r>
      <w:r w:rsidR="00793901" w:rsidRPr="00412620">
        <w:rPr>
          <w:rFonts w:cs="Arial"/>
          <w:b/>
          <w:sz w:val="20"/>
        </w:rPr>
        <w:t>—</w:t>
      </w:r>
      <w:r w:rsidRPr="00412620">
        <w:rPr>
          <w:rFonts w:cs="Arial"/>
          <w:sz w:val="20"/>
        </w:rPr>
        <w:t>-</w:t>
      </w:r>
    </w:p>
    <w:p w:rsidR="006A3F93" w:rsidRPr="00412620" w:rsidRDefault="006A3F93">
      <w:pPr>
        <w:jc w:val="both"/>
        <w:rPr>
          <w:rFonts w:cs="Arial"/>
          <w:sz w:val="20"/>
        </w:rPr>
      </w:pPr>
    </w:p>
    <w:p w:rsidR="006A3F93" w:rsidRPr="00260CAF" w:rsidRDefault="006A3F93">
      <w:pPr>
        <w:ind w:left="1080"/>
        <w:jc w:val="both"/>
        <w:rPr>
          <w:rFonts w:cs="Arial"/>
          <w:sz w:val="20"/>
        </w:rPr>
      </w:pPr>
      <w:r w:rsidRPr="00412620">
        <w:rPr>
          <w:rFonts w:cs="Arial"/>
          <w:sz w:val="20"/>
        </w:rPr>
        <w:t xml:space="preserve">“long-term contract” means a contract for manufacture, installation, or construction, or, in relation to each, the performance of related services, which is not completed within the tax year in which work under the contract commenced, other than a contract estimated to </w:t>
      </w:r>
      <w:r w:rsidRPr="00260CAF">
        <w:rPr>
          <w:rFonts w:cs="Arial"/>
          <w:sz w:val="20"/>
        </w:rPr>
        <w:t xml:space="preserve">be completed within six months of the date on which work under the contract commenced; and </w:t>
      </w:r>
    </w:p>
    <w:p w:rsidR="006A3F93" w:rsidRPr="00260CAF" w:rsidRDefault="006A3F93">
      <w:pPr>
        <w:jc w:val="both"/>
        <w:rPr>
          <w:rFonts w:cs="Arial"/>
          <w:sz w:val="20"/>
        </w:rPr>
      </w:pPr>
    </w:p>
    <w:p w:rsidR="006A3F93" w:rsidRPr="00412620" w:rsidRDefault="006A3F93">
      <w:pPr>
        <w:ind w:left="1080"/>
        <w:jc w:val="both"/>
        <w:rPr>
          <w:rFonts w:cs="Arial"/>
          <w:sz w:val="20"/>
        </w:rPr>
      </w:pPr>
      <w:r w:rsidRPr="00260CAF">
        <w:rPr>
          <w:rFonts w:cs="Arial"/>
          <w:sz w:val="20"/>
        </w:rPr>
        <w:t>“</w:t>
      </w:r>
      <w:r w:rsidR="00CA1F6D" w:rsidRPr="00260CAF">
        <w:rPr>
          <w:rFonts w:cs="Arial"/>
          <w:sz w:val="20"/>
        </w:rPr>
        <w:t>per</w:t>
      </w:r>
      <w:r w:rsidR="00AB6F06" w:rsidRPr="00260CAF">
        <w:rPr>
          <w:rFonts w:cs="Arial"/>
          <w:sz w:val="20"/>
        </w:rPr>
        <w:t>cent</w:t>
      </w:r>
      <w:r w:rsidRPr="00260CAF">
        <w:rPr>
          <w:rFonts w:cs="Arial"/>
          <w:sz w:val="20"/>
        </w:rPr>
        <w:t>age of completion method” means the generally accepted accounting principle under which revenue and expenses arising under a long-term contract</w:t>
      </w:r>
      <w:r w:rsidRPr="00412620">
        <w:rPr>
          <w:rFonts w:cs="Arial"/>
          <w:sz w:val="20"/>
        </w:rPr>
        <w:t xml:space="preserve"> are recognised by reference to the stage of completion of the contract, as modified by sub-section (2).</w:t>
      </w:r>
    </w:p>
    <w:p w:rsidR="006A3F93" w:rsidRPr="00412620" w:rsidRDefault="007C372A">
      <w:pPr>
        <w:pStyle w:val="Heading8"/>
        <w:rPr>
          <w:rFonts w:cs="Arial"/>
          <w:i w:val="0"/>
          <w:sz w:val="32"/>
          <w:szCs w:val="32"/>
        </w:rPr>
      </w:pPr>
      <w:r w:rsidRPr="00412620">
        <w:rPr>
          <w:rFonts w:cs="Arial"/>
          <w:i w:val="0"/>
          <w:sz w:val="20"/>
        </w:rPr>
        <w:br w:type="page"/>
      </w:r>
      <w:r w:rsidR="006A3F93" w:rsidRPr="00412620">
        <w:rPr>
          <w:rFonts w:cs="Arial"/>
          <w:i w:val="0"/>
          <w:sz w:val="32"/>
          <w:szCs w:val="32"/>
        </w:rPr>
        <w:lastRenderedPageBreak/>
        <w:t>PART V</w:t>
      </w:r>
    </w:p>
    <w:p w:rsidR="006A3F93" w:rsidRPr="00412620" w:rsidRDefault="006A3F93">
      <w:pPr>
        <w:keepNext/>
        <w:jc w:val="center"/>
        <w:rPr>
          <w:rFonts w:cs="Arial"/>
          <w:b/>
          <w:sz w:val="20"/>
        </w:rPr>
      </w:pPr>
      <w:r w:rsidRPr="00412620">
        <w:rPr>
          <w:rFonts w:cs="Arial"/>
          <w:b/>
          <w:sz w:val="20"/>
        </w:rPr>
        <w:t>HEAD OF INCOME: CAPITAL GAINS</w:t>
      </w:r>
    </w:p>
    <w:p w:rsidR="006A3F93" w:rsidRPr="00412620" w:rsidRDefault="006A3F93">
      <w:pPr>
        <w:pStyle w:val="CommentText"/>
        <w:keepNext/>
        <w:rPr>
          <w:rFonts w:cs="Arial"/>
        </w:rPr>
      </w:pPr>
    </w:p>
    <w:p w:rsidR="006A3F93" w:rsidRPr="00412620" w:rsidRDefault="006A3F93">
      <w:pPr>
        <w:jc w:val="both"/>
        <w:rPr>
          <w:sz w:val="20"/>
        </w:rPr>
      </w:pPr>
      <w:r w:rsidRPr="00412620">
        <w:rPr>
          <w:rFonts w:cs="Arial"/>
          <w:b/>
          <w:sz w:val="20"/>
        </w:rPr>
        <w:t>37.</w:t>
      </w:r>
      <w:r w:rsidRPr="00412620">
        <w:rPr>
          <w:rFonts w:cs="Arial"/>
          <w:b/>
          <w:sz w:val="20"/>
        </w:rPr>
        <w:tab/>
        <w:t>Capital gains.</w:t>
      </w:r>
      <w:r w:rsidR="00793901" w:rsidRPr="00412620">
        <w:rPr>
          <w:rFonts w:cs="Arial"/>
          <w:b/>
          <w:sz w:val="20"/>
        </w:rPr>
        <w:t>—</w:t>
      </w:r>
      <w:r w:rsidRPr="00412620">
        <w:rPr>
          <w:sz w:val="20"/>
        </w:rPr>
        <w:t xml:space="preserve"> (1)  Subject to this Ordinance, a gain arising on the disposal of a capital asset by a person in a tax year, other than a gain that is exempt from tax under this Ordinance, shall be chargeable to tax in that year under the head “Capital Gains”.</w:t>
      </w:r>
    </w:p>
    <w:p w:rsidR="006A3F93" w:rsidRPr="00412620" w:rsidRDefault="006A3F93">
      <w:pPr>
        <w:jc w:val="both"/>
        <w:rPr>
          <w:rFonts w:cs="Arial"/>
          <w:sz w:val="20"/>
        </w:rPr>
      </w:pPr>
    </w:p>
    <w:p w:rsidR="00194B84" w:rsidRPr="00412620" w:rsidRDefault="00194B84">
      <w:pPr>
        <w:jc w:val="both"/>
        <w:rPr>
          <w:rFonts w:cs="Arial"/>
          <w:sz w:val="20"/>
        </w:rPr>
      </w:pPr>
      <w:r w:rsidRPr="00412620">
        <w:rPr>
          <w:rFonts w:cs="Arial"/>
          <w:sz w:val="20"/>
        </w:rPr>
        <w:tab/>
      </w:r>
      <w:r w:rsidRPr="00412620">
        <w:rPr>
          <w:rStyle w:val="FootnoteReference"/>
          <w:rFonts w:cs="Arial"/>
          <w:sz w:val="20"/>
        </w:rPr>
        <w:footnoteReference w:id="289"/>
      </w:r>
      <w:r w:rsidRPr="00412620">
        <w:rPr>
          <w:rFonts w:cs="Arial"/>
          <w:sz w:val="20"/>
        </w:rPr>
        <w:t>[(1A) Notwithstanding anything contained in sub-sections (1) and (3) gain arising on the disposal of immovable property</w:t>
      </w:r>
      <w:r w:rsidR="00A7684E">
        <w:rPr>
          <w:rFonts w:cs="Arial"/>
          <w:sz w:val="20"/>
        </w:rPr>
        <w:t xml:space="preserve"> </w:t>
      </w:r>
      <w:r w:rsidR="009E329B" w:rsidRPr="00A7684E">
        <w:rPr>
          <w:rStyle w:val="FootnoteReference"/>
          <w:rFonts w:cs="Arial"/>
          <w:color w:val="000000" w:themeColor="text1"/>
          <w:sz w:val="20"/>
        </w:rPr>
        <w:footnoteReference w:id="290"/>
      </w:r>
      <w:r w:rsidR="00B9589D" w:rsidRPr="00A7684E">
        <w:rPr>
          <w:rFonts w:cs="Arial"/>
          <w:color w:val="000000" w:themeColor="text1"/>
          <w:sz w:val="20"/>
        </w:rPr>
        <w:t>[</w:t>
      </w:r>
      <w:r w:rsidR="009E329B" w:rsidRPr="00A7684E">
        <w:rPr>
          <w:rFonts w:cs="Arial"/>
          <w:color w:val="000000" w:themeColor="text1"/>
          <w:sz w:val="20"/>
        </w:rPr>
        <w:t xml:space="preserve"> ]</w:t>
      </w:r>
      <w:r w:rsidRPr="00412620">
        <w:rPr>
          <w:rFonts w:cs="Arial"/>
          <w:sz w:val="20"/>
        </w:rPr>
        <w:t xml:space="preserve">  by a person in a tax year, shall be chargeable to tax in that year under the head Capital Gains at the rates specified in Division VIII of Part I of the First Schedule.]</w:t>
      </w:r>
    </w:p>
    <w:p w:rsidR="00194B84" w:rsidRPr="00412620" w:rsidRDefault="00194B84">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Subject to sub-sections (3) and (4), the gain arising on the disposal of a capital asset by a person shall be computed in accordance with the following formula, namely:–</w:t>
      </w:r>
    </w:p>
    <w:p w:rsidR="006A3F93" w:rsidRPr="00412620" w:rsidRDefault="006A3F93">
      <w:pPr>
        <w:rPr>
          <w:rFonts w:cs="Arial"/>
          <w:sz w:val="20"/>
        </w:rPr>
      </w:pPr>
    </w:p>
    <w:p w:rsidR="006A3F93" w:rsidRPr="00412620" w:rsidRDefault="006A3F93">
      <w:pPr>
        <w:pStyle w:val="Heading2"/>
        <w:spacing w:line="240" w:lineRule="auto"/>
        <w:rPr>
          <w:rFonts w:cs="Arial"/>
          <w:sz w:val="20"/>
        </w:rPr>
      </w:pPr>
      <w:r w:rsidRPr="00412620">
        <w:rPr>
          <w:rFonts w:cs="Arial"/>
          <w:sz w:val="20"/>
        </w:rPr>
        <w:t>A – B</w:t>
      </w:r>
    </w:p>
    <w:p w:rsidR="006A3F93" w:rsidRPr="00412620" w:rsidRDefault="006A3F93">
      <w:pPr>
        <w:jc w:val="both"/>
        <w:rPr>
          <w:rFonts w:cs="Arial"/>
          <w:sz w:val="20"/>
        </w:rPr>
      </w:pPr>
      <w:r w:rsidRPr="00412620">
        <w:rPr>
          <w:rFonts w:cs="Arial"/>
          <w:sz w:val="20"/>
        </w:rPr>
        <w:t xml:space="preserve">where </w:t>
      </w:r>
      <w:r w:rsidR="00793901" w:rsidRPr="00412620">
        <w:rPr>
          <w:rFonts w:cs="Arial"/>
          <w:b/>
          <w:sz w:val="20"/>
        </w:rPr>
        <w:t>—</w:t>
      </w:r>
    </w:p>
    <w:p w:rsidR="006A3F93" w:rsidRPr="00412620" w:rsidRDefault="006A3F93">
      <w:pPr>
        <w:jc w:val="both"/>
        <w:rPr>
          <w:rFonts w:cs="Arial"/>
          <w:sz w:val="20"/>
        </w:rPr>
      </w:pPr>
    </w:p>
    <w:p w:rsidR="006A3F93" w:rsidRPr="00412620" w:rsidRDefault="006A3F93" w:rsidP="002552D3">
      <w:pPr>
        <w:jc w:val="both"/>
        <w:rPr>
          <w:sz w:val="20"/>
        </w:rPr>
      </w:pPr>
      <w:r w:rsidRPr="00412620">
        <w:rPr>
          <w:rFonts w:cs="Arial"/>
          <w:b/>
          <w:sz w:val="20"/>
        </w:rPr>
        <w:t>A</w:t>
      </w:r>
      <w:r w:rsidRPr="00412620">
        <w:rPr>
          <w:sz w:val="20"/>
        </w:rPr>
        <w:tab/>
        <w:t xml:space="preserve">is the consideration received by the person on </w:t>
      </w:r>
      <w:r w:rsidRPr="00412620">
        <w:rPr>
          <w:rFonts w:cs="Arial"/>
          <w:sz w:val="20"/>
        </w:rPr>
        <w:t>disposal</w:t>
      </w:r>
      <w:r w:rsidRPr="00412620">
        <w:rPr>
          <w:sz w:val="20"/>
        </w:rPr>
        <w:t xml:space="preserve"> of the asset; and </w:t>
      </w:r>
    </w:p>
    <w:p w:rsidR="006A3F93" w:rsidRPr="00412620" w:rsidRDefault="006A3F93">
      <w:pPr>
        <w:jc w:val="both"/>
        <w:rPr>
          <w:rFonts w:cs="Arial"/>
          <w:sz w:val="20"/>
        </w:rPr>
      </w:pPr>
    </w:p>
    <w:p w:rsidR="006A3F93" w:rsidRPr="00412620" w:rsidRDefault="006A3F93">
      <w:pPr>
        <w:ind w:left="540" w:hanging="540"/>
        <w:jc w:val="both"/>
        <w:rPr>
          <w:sz w:val="20"/>
        </w:rPr>
      </w:pPr>
      <w:r w:rsidRPr="00412620">
        <w:rPr>
          <w:rFonts w:cs="Arial"/>
          <w:b/>
          <w:sz w:val="20"/>
        </w:rPr>
        <w:t>B</w:t>
      </w:r>
      <w:r w:rsidRPr="00412620">
        <w:rPr>
          <w:sz w:val="20"/>
        </w:rPr>
        <w:tab/>
        <w:t>is the cost of the asset.</w:t>
      </w:r>
    </w:p>
    <w:p w:rsidR="006A3F93" w:rsidRPr="00412620" w:rsidRDefault="006A3F93">
      <w:pPr>
        <w:jc w:val="both"/>
        <w:rPr>
          <w:rFonts w:cs="Arial"/>
          <w:sz w:val="20"/>
        </w:rPr>
      </w:pPr>
    </w:p>
    <w:p w:rsidR="006A3F93" w:rsidRPr="00412620" w:rsidRDefault="006A3F93" w:rsidP="002552D3">
      <w:pPr>
        <w:jc w:val="both"/>
        <w:rPr>
          <w:rFonts w:cs="Arial"/>
          <w:sz w:val="20"/>
        </w:rPr>
      </w:pPr>
      <w:r w:rsidRPr="00412620">
        <w:rPr>
          <w:rFonts w:cs="Arial"/>
          <w:sz w:val="20"/>
        </w:rPr>
        <w:tab/>
        <w:t>(3)</w:t>
      </w:r>
      <w:r w:rsidRPr="00412620">
        <w:rPr>
          <w:rFonts w:cs="Arial"/>
          <w:sz w:val="20"/>
        </w:rPr>
        <w:tab/>
        <w:t>Where a capital asset has been held by a person for more than one</w:t>
      </w:r>
      <w:r w:rsidR="002C3CF4" w:rsidRPr="00412620">
        <w:rPr>
          <w:rFonts w:cs="Arial"/>
          <w:sz w:val="20"/>
        </w:rPr>
        <w:t xml:space="preserve"> year,</w:t>
      </w:r>
      <w:r w:rsidR="00985F0A" w:rsidRPr="00412620">
        <w:rPr>
          <w:rStyle w:val="FootnoteReference"/>
          <w:rFonts w:cs="Arial"/>
          <w:sz w:val="20"/>
        </w:rPr>
        <w:footnoteReference w:id="291"/>
      </w:r>
      <w:r w:rsidR="00985F0A" w:rsidRPr="00412620">
        <w:rPr>
          <w:rFonts w:cs="Arial"/>
          <w:sz w:val="20"/>
        </w:rPr>
        <w:t>[other than shares of public companies including the vouchers of Pakistan Telecommunication Corporation, modaraba certificates or any instrument of redeemable capital as defined in the Companies Ordinance, 1984 (XLVII of 1984),</w:t>
      </w:r>
      <w:r w:rsidR="006B02B9" w:rsidRPr="00412620">
        <w:rPr>
          <w:rFonts w:cs="Arial"/>
          <w:sz w:val="20"/>
        </w:rPr>
        <w:t>]</w:t>
      </w:r>
      <w:r w:rsidRPr="00412620">
        <w:rPr>
          <w:rFonts w:cs="Arial"/>
          <w:sz w:val="20"/>
        </w:rPr>
        <w:t xml:space="preserve"> the amount of any gain arising on disposal of the asset shall be computed in accordance with the following formula, namely:</w:t>
      </w:r>
      <w:r w:rsidR="00793901" w:rsidRPr="00412620">
        <w:rPr>
          <w:rFonts w:cs="Arial"/>
          <w:b/>
          <w:sz w:val="20"/>
        </w:rPr>
        <w:t xml:space="preserve"> —</w:t>
      </w:r>
    </w:p>
    <w:p w:rsidR="006A3F93" w:rsidRPr="00412620" w:rsidRDefault="006A3F93">
      <w:pPr>
        <w:pStyle w:val="CommentText"/>
        <w:rPr>
          <w:rFonts w:cs="Arial"/>
        </w:rPr>
      </w:pPr>
    </w:p>
    <w:p w:rsidR="006A3F93" w:rsidRPr="00412620" w:rsidRDefault="006A3F93">
      <w:pPr>
        <w:pStyle w:val="Heading2"/>
        <w:spacing w:line="240" w:lineRule="auto"/>
        <w:rPr>
          <w:rFonts w:cs="Arial"/>
          <w:sz w:val="20"/>
        </w:rPr>
      </w:pPr>
      <w:r w:rsidRPr="00412620">
        <w:rPr>
          <w:rFonts w:cs="Arial"/>
          <w:sz w:val="20"/>
        </w:rPr>
        <w:t>A x ¾</w:t>
      </w:r>
    </w:p>
    <w:p w:rsidR="006A3F93" w:rsidRPr="00412620" w:rsidRDefault="006A3F93">
      <w:pPr>
        <w:pStyle w:val="CommentText"/>
        <w:rPr>
          <w:rFonts w:cs="Arial"/>
        </w:rPr>
      </w:pPr>
    </w:p>
    <w:p w:rsidR="006A3F93" w:rsidRPr="00412620" w:rsidRDefault="006A3F93">
      <w:pPr>
        <w:jc w:val="both"/>
        <w:rPr>
          <w:rFonts w:cs="Arial"/>
          <w:sz w:val="20"/>
        </w:rPr>
      </w:pPr>
      <w:r w:rsidRPr="00412620">
        <w:rPr>
          <w:rFonts w:cs="Arial"/>
          <w:sz w:val="20"/>
        </w:rPr>
        <w:t xml:space="preserve">where </w:t>
      </w:r>
      <w:r w:rsidRPr="00412620">
        <w:rPr>
          <w:rFonts w:cs="Arial"/>
          <w:b/>
          <w:sz w:val="20"/>
        </w:rPr>
        <w:t>A</w:t>
      </w:r>
      <w:r w:rsidRPr="00412620">
        <w:rPr>
          <w:rFonts w:cs="Arial"/>
          <w:sz w:val="20"/>
        </w:rPr>
        <w:t xml:space="preserve"> is the amount of the gain determined under sub-section (2).</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For the purposes of determining component </w:t>
      </w:r>
      <w:r w:rsidRPr="00412620">
        <w:rPr>
          <w:rFonts w:cs="Arial"/>
          <w:b/>
          <w:sz w:val="20"/>
        </w:rPr>
        <w:t>B</w:t>
      </w:r>
      <w:r w:rsidRPr="00412620">
        <w:rPr>
          <w:rFonts w:cs="Arial"/>
          <w:sz w:val="20"/>
        </w:rPr>
        <w:t xml:space="preserve"> of the formula in sub-section (2), no amount shall be included in the cost of a capital asset for any expenditure incurred by a person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that is or may be deducted under another provision of this Chapter;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that is referred to in section 21.</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292"/>
      </w:r>
      <w:r w:rsidRPr="00412620">
        <w:rPr>
          <w:rFonts w:cs="Arial"/>
          <w:sz w:val="20"/>
        </w:rPr>
        <w:t>[(4A)</w:t>
      </w:r>
      <w:r w:rsidRPr="00412620">
        <w:rPr>
          <w:rFonts w:cs="Arial"/>
          <w:sz w:val="20"/>
        </w:rPr>
        <w:tab/>
        <w:t xml:space="preserve">Where the capital asset becomes the property of the person </w:t>
      </w:r>
      <w:r w:rsidR="00793901" w:rsidRPr="00412620">
        <w:rPr>
          <w:rFonts w:cs="Arial"/>
          <w:b/>
          <w:sz w:val="20"/>
        </w:rPr>
        <w:t>—</w:t>
      </w:r>
      <w:r w:rsidRPr="00412620">
        <w:rPr>
          <w:rFonts w:cs="Arial"/>
          <w:sz w:val="20"/>
        </w:rPr>
        <w:t xml:space="preserve">-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r>
      <w:r w:rsidRPr="00412620">
        <w:rPr>
          <w:rFonts w:cs="Arial"/>
          <w:sz w:val="20"/>
        </w:rPr>
        <w:tab/>
        <w:t xml:space="preserve">(a) </w:t>
      </w:r>
      <w:r w:rsidRPr="00412620">
        <w:rPr>
          <w:rFonts w:cs="Arial"/>
          <w:sz w:val="20"/>
        </w:rPr>
        <w:tab/>
        <w:t xml:space="preserve">under a gift, bequest or will;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r>
      <w:r w:rsidRPr="00412620">
        <w:rPr>
          <w:rFonts w:cs="Arial"/>
          <w:sz w:val="20"/>
        </w:rPr>
        <w:tab/>
        <w:t xml:space="preserve">(b) </w:t>
      </w:r>
      <w:r w:rsidRPr="00412620">
        <w:rPr>
          <w:rFonts w:cs="Arial"/>
          <w:sz w:val="20"/>
        </w:rPr>
        <w:tab/>
        <w:t>by succession, inheritance or devolution;</w:t>
      </w:r>
    </w:p>
    <w:p w:rsidR="006A3F93" w:rsidRPr="00412620" w:rsidRDefault="006A3F93">
      <w:pPr>
        <w:jc w:val="both"/>
        <w:rPr>
          <w:rFonts w:cs="Arial"/>
          <w:sz w:val="20"/>
        </w:rPr>
      </w:pPr>
    </w:p>
    <w:p w:rsidR="006A3F93" w:rsidRPr="00412620" w:rsidRDefault="006A3F93">
      <w:pPr>
        <w:ind w:left="1641" w:hanging="546"/>
        <w:jc w:val="both"/>
        <w:rPr>
          <w:rFonts w:cs="Arial"/>
          <w:sz w:val="20"/>
        </w:rPr>
      </w:pPr>
      <w:r w:rsidRPr="00412620">
        <w:rPr>
          <w:rFonts w:cs="Arial"/>
          <w:sz w:val="20"/>
        </w:rPr>
        <w:t xml:space="preserve">(c) </w:t>
      </w:r>
      <w:r w:rsidRPr="00412620">
        <w:rPr>
          <w:rFonts w:cs="Arial"/>
          <w:sz w:val="20"/>
        </w:rPr>
        <w:tab/>
        <w:t xml:space="preserve">a distribution of assets on dissolution of an association of persons; or </w:t>
      </w:r>
    </w:p>
    <w:p w:rsidR="006A3F93" w:rsidRPr="00412620" w:rsidRDefault="006A3F93">
      <w:pPr>
        <w:jc w:val="both"/>
        <w:rPr>
          <w:rFonts w:cs="Arial"/>
          <w:sz w:val="20"/>
        </w:rPr>
      </w:pPr>
    </w:p>
    <w:p w:rsidR="006A3F93" w:rsidRPr="00412620" w:rsidRDefault="006A3F93">
      <w:pPr>
        <w:ind w:left="1641" w:hanging="546"/>
        <w:jc w:val="both"/>
        <w:rPr>
          <w:rFonts w:cs="Arial"/>
          <w:sz w:val="20"/>
        </w:rPr>
      </w:pPr>
      <w:r w:rsidRPr="00412620">
        <w:rPr>
          <w:rFonts w:cs="Arial"/>
          <w:sz w:val="20"/>
        </w:rPr>
        <w:t xml:space="preserve">(d) </w:t>
      </w:r>
      <w:r w:rsidRPr="00412620">
        <w:rPr>
          <w:rFonts w:cs="Arial"/>
          <w:sz w:val="20"/>
        </w:rPr>
        <w:tab/>
        <w:t xml:space="preserve">on distribution of assets on liquidation of a company, </w:t>
      </w:r>
    </w:p>
    <w:p w:rsidR="006A3F93" w:rsidRPr="00412620" w:rsidRDefault="006A3F93">
      <w:pPr>
        <w:jc w:val="both"/>
        <w:rPr>
          <w:rFonts w:cs="Arial"/>
          <w:sz w:val="20"/>
        </w:rPr>
      </w:pPr>
    </w:p>
    <w:p w:rsidR="006A3F93" w:rsidRPr="00412620" w:rsidRDefault="006A3F93">
      <w:pPr>
        <w:ind w:left="1080" w:firstLine="15"/>
        <w:jc w:val="both"/>
        <w:rPr>
          <w:rFonts w:cs="Arial"/>
          <w:sz w:val="20"/>
        </w:rPr>
      </w:pPr>
      <w:r w:rsidRPr="00412620">
        <w:rPr>
          <w:rFonts w:cs="Arial"/>
          <w:sz w:val="20"/>
        </w:rPr>
        <w:t>the fair market value of the asset, on the date of its transfer or acquisition by the person shall be treated to be the cost of the asset.]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In this section, “capital asset” means property of any kind held by a person, whether or not connected with a business, but does not include </w:t>
      </w:r>
      <w:r w:rsidR="003D2F99" w:rsidRPr="00412620">
        <w:rPr>
          <w:rFonts w:cs="Arial"/>
          <w:b/>
          <w:sz w:val="20"/>
        </w:rPr>
        <w:t>—</w:t>
      </w:r>
    </w:p>
    <w:p w:rsidR="006A3F93" w:rsidRPr="00412620" w:rsidRDefault="006A3F93">
      <w:pPr>
        <w:jc w:val="both"/>
        <w:rPr>
          <w:rFonts w:cs="Arial"/>
          <w:sz w:val="20"/>
        </w:rPr>
      </w:pPr>
    </w:p>
    <w:p w:rsidR="006A3F93" w:rsidRPr="00412620" w:rsidRDefault="006A3F93">
      <w:pPr>
        <w:ind w:left="1620" w:hanging="630"/>
        <w:jc w:val="both"/>
        <w:rPr>
          <w:sz w:val="20"/>
        </w:rPr>
      </w:pPr>
      <w:r w:rsidRPr="00412620">
        <w:rPr>
          <w:rStyle w:val="FootnoteReference"/>
          <w:rFonts w:cs="Arial"/>
          <w:sz w:val="20"/>
        </w:rPr>
        <w:footnoteReference w:id="293"/>
      </w:r>
      <w:r w:rsidRPr="00412620">
        <w:rPr>
          <w:sz w:val="20"/>
        </w:rPr>
        <w:t xml:space="preserve">[(a) </w:t>
      </w:r>
      <w:r w:rsidRPr="00412620">
        <w:rPr>
          <w:sz w:val="20"/>
        </w:rPr>
        <w:tab/>
        <w:t xml:space="preserve">any stock-in-trade </w:t>
      </w:r>
      <w:r w:rsidR="00137A87" w:rsidRPr="00412620">
        <w:rPr>
          <w:rStyle w:val="FootnoteReference"/>
          <w:sz w:val="20"/>
        </w:rPr>
        <w:footnoteReference w:id="294"/>
      </w:r>
      <w:r w:rsidR="00137A87" w:rsidRPr="00412620">
        <w:rPr>
          <w:sz w:val="20"/>
        </w:rPr>
        <w:t>[ ]</w:t>
      </w:r>
      <w:r w:rsidRPr="00412620">
        <w:rPr>
          <w:sz w:val="20"/>
        </w:rPr>
        <w:t>, consumable stores or raw materials held for the purpose of business;]</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any property with respect to which the person is entitled to a depreciation deduction under section 22 or amortisation deduction under section 24; </w:t>
      </w:r>
      <w:r w:rsidR="00E55956" w:rsidRPr="00412620">
        <w:rPr>
          <w:rStyle w:val="FootnoteReference"/>
          <w:rFonts w:cs="Arial"/>
          <w:sz w:val="20"/>
        </w:rPr>
        <w:footnoteReference w:id="295"/>
      </w:r>
      <w:r w:rsidR="00E55956" w:rsidRPr="00412620">
        <w:rPr>
          <w:rFonts w:cs="Arial"/>
          <w:sz w:val="20"/>
        </w:rPr>
        <w:t>[or]</w:t>
      </w:r>
    </w:p>
    <w:p w:rsidR="006A3F93" w:rsidRPr="00412620" w:rsidRDefault="006A3F93">
      <w:pPr>
        <w:jc w:val="both"/>
        <w:rPr>
          <w:rFonts w:cs="Arial"/>
          <w:sz w:val="20"/>
        </w:rPr>
      </w:pPr>
    </w:p>
    <w:p w:rsidR="00E55956" w:rsidRPr="00412620" w:rsidRDefault="00E55956">
      <w:pPr>
        <w:jc w:val="both"/>
        <w:rPr>
          <w:rFonts w:cs="Arial"/>
          <w:sz w:val="20"/>
        </w:rPr>
      </w:pPr>
      <w:r w:rsidRPr="00412620">
        <w:rPr>
          <w:rFonts w:cs="Arial"/>
          <w:sz w:val="20"/>
        </w:rPr>
        <w:tab/>
      </w:r>
      <w:r w:rsidRPr="00412620">
        <w:rPr>
          <w:rStyle w:val="FootnoteReference"/>
          <w:rFonts w:cs="Arial"/>
          <w:sz w:val="20"/>
        </w:rPr>
        <w:footnoteReference w:id="296"/>
      </w:r>
      <w:r w:rsidRPr="00412620">
        <w:rPr>
          <w:rFonts w:cs="Arial"/>
          <w:sz w:val="20"/>
        </w:rPr>
        <w:t>[  ]</w:t>
      </w:r>
    </w:p>
    <w:p w:rsidR="00E55956" w:rsidRPr="00412620" w:rsidRDefault="00E55956">
      <w:pPr>
        <w:jc w:val="both"/>
        <w:rPr>
          <w:rFonts w:cs="Arial"/>
          <w:sz w:val="20"/>
        </w:rPr>
      </w:pPr>
    </w:p>
    <w:p w:rsidR="006A3F93" w:rsidRPr="00412620" w:rsidRDefault="006A3F93">
      <w:pPr>
        <w:ind w:left="1620" w:hanging="540"/>
        <w:jc w:val="both"/>
        <w:rPr>
          <w:rFonts w:cs="Arial"/>
          <w:bCs/>
          <w:sz w:val="20"/>
        </w:rPr>
      </w:pPr>
      <w:r w:rsidRPr="00412620">
        <w:rPr>
          <w:rFonts w:cs="Arial"/>
          <w:sz w:val="20"/>
        </w:rPr>
        <w:t>(d)</w:t>
      </w:r>
      <w:r w:rsidRPr="00412620">
        <w:rPr>
          <w:rFonts w:cs="Arial"/>
          <w:sz w:val="20"/>
        </w:rPr>
        <w:tab/>
        <w:t xml:space="preserve">any movable property </w:t>
      </w:r>
      <w:r w:rsidRPr="00412620">
        <w:rPr>
          <w:rStyle w:val="FootnoteReference"/>
          <w:rFonts w:cs="Arial"/>
          <w:sz w:val="20"/>
        </w:rPr>
        <w:footnoteReference w:id="297"/>
      </w:r>
      <w:r w:rsidRPr="00412620">
        <w:rPr>
          <w:rFonts w:cs="Arial"/>
          <w:sz w:val="20"/>
        </w:rPr>
        <w:t>[excluding capital assets specified i</w:t>
      </w:r>
      <w:r w:rsidR="00E2694B" w:rsidRPr="00412620">
        <w:rPr>
          <w:rFonts w:cs="Arial"/>
          <w:sz w:val="20"/>
        </w:rPr>
        <w:t>n sub-section (5) of section 38</w:t>
      </w:r>
      <w:r w:rsidRPr="00412620">
        <w:rPr>
          <w:rFonts w:cs="Arial"/>
          <w:sz w:val="20"/>
        </w:rPr>
        <w:t>] held for personal use by the person or any member of the person’s family dependent on the person</w:t>
      </w:r>
      <w:r w:rsidRPr="00412620">
        <w:rPr>
          <w:rStyle w:val="FootnoteReference"/>
          <w:rFonts w:cs="Arial"/>
          <w:bCs/>
          <w:sz w:val="20"/>
        </w:rPr>
        <w:footnoteReference w:id="298"/>
      </w:r>
      <w:r w:rsidRPr="00412620">
        <w:rPr>
          <w:rFonts w:cs="Arial"/>
          <w:sz w:val="20"/>
        </w:rPr>
        <w:t>[</w:t>
      </w:r>
      <w:r w:rsidRPr="00412620">
        <w:rPr>
          <w:rFonts w:cs="Arial"/>
          <w:b/>
          <w:sz w:val="20"/>
        </w:rPr>
        <w:t>.</w:t>
      </w:r>
      <w:r w:rsidRPr="00412620">
        <w:rPr>
          <w:rFonts w:cs="Arial"/>
          <w:bCs/>
          <w:sz w:val="20"/>
        </w:rPr>
        <w:t>]</w:t>
      </w:r>
    </w:p>
    <w:p w:rsidR="006A3F93" w:rsidRPr="00412620" w:rsidRDefault="006A3F93">
      <w:pPr>
        <w:pStyle w:val="BodyTextIndent"/>
        <w:jc w:val="both"/>
        <w:rPr>
          <w:rFonts w:cs="Arial"/>
          <w:sz w:val="20"/>
        </w:rPr>
      </w:pPr>
    </w:p>
    <w:p w:rsidR="006A3F93" w:rsidRPr="00412620" w:rsidRDefault="006A3F93">
      <w:pPr>
        <w:ind w:left="533" w:firstLine="14"/>
        <w:jc w:val="both"/>
        <w:rPr>
          <w:rFonts w:cs="Arial"/>
          <w:sz w:val="20"/>
        </w:rPr>
      </w:pPr>
      <w:r w:rsidRPr="00412620">
        <w:rPr>
          <w:rStyle w:val="FootnoteReference"/>
          <w:rFonts w:cs="Arial"/>
          <w:sz w:val="20"/>
        </w:rPr>
        <w:lastRenderedPageBreak/>
        <w:footnoteReference w:id="299"/>
      </w:r>
      <w:r w:rsidRPr="00412620">
        <w:rPr>
          <w:rFonts w:cs="Arial"/>
          <w:sz w:val="20"/>
        </w:rPr>
        <w:t>[  ]</w:t>
      </w:r>
    </w:p>
    <w:p w:rsidR="006A3F93" w:rsidRPr="00412620" w:rsidRDefault="006A3F93">
      <w:pPr>
        <w:jc w:val="both"/>
        <w:rPr>
          <w:rFonts w:cs="Arial"/>
          <w:sz w:val="20"/>
        </w:rPr>
      </w:pPr>
    </w:p>
    <w:p w:rsidR="003F22AA" w:rsidRPr="00412620" w:rsidRDefault="0048592F">
      <w:pPr>
        <w:jc w:val="both"/>
        <w:rPr>
          <w:rFonts w:cs="Arial"/>
          <w:sz w:val="20"/>
        </w:rPr>
      </w:pPr>
      <w:r w:rsidRPr="00412620">
        <w:rPr>
          <w:rStyle w:val="FootnoteReference"/>
          <w:rFonts w:cs="Arial"/>
          <w:b/>
          <w:sz w:val="20"/>
        </w:rPr>
        <w:footnoteReference w:id="300"/>
      </w:r>
      <w:r w:rsidR="003F22AA" w:rsidRPr="00412620">
        <w:rPr>
          <w:rFonts w:cs="Arial"/>
          <w:b/>
          <w:sz w:val="20"/>
        </w:rPr>
        <w:t xml:space="preserve">[37A. </w:t>
      </w:r>
      <w:r w:rsidR="003F22AA" w:rsidRPr="00412620">
        <w:rPr>
          <w:rFonts w:cs="Arial"/>
          <w:b/>
          <w:sz w:val="20"/>
        </w:rPr>
        <w:tab/>
        <w:t>Capital gain on disposal of securities.</w:t>
      </w:r>
      <w:r w:rsidR="00157E97" w:rsidRPr="00412620">
        <w:rPr>
          <w:rFonts w:cs="Arial"/>
          <w:b/>
          <w:sz w:val="20"/>
        </w:rPr>
        <w:t>—</w:t>
      </w:r>
      <w:r w:rsidR="003C56FC" w:rsidRPr="00412620">
        <w:rPr>
          <w:rFonts w:cs="Arial"/>
          <w:sz w:val="20"/>
        </w:rPr>
        <w:t>(1) The capital gain arising on or after the first day of July 2010, from disposal of securities</w:t>
      </w:r>
      <w:r w:rsidR="002E0271">
        <w:rPr>
          <w:rStyle w:val="FootnoteReference"/>
          <w:rFonts w:cs="Arial"/>
          <w:sz w:val="20"/>
        </w:rPr>
        <w:footnoteReference w:id="301"/>
      </w:r>
      <w:r w:rsidR="002E0271" w:rsidRPr="002E0271">
        <w:rPr>
          <w:rFonts w:cs="Arial"/>
          <w:color w:val="984806" w:themeColor="accent6" w:themeShade="80"/>
          <w:sz w:val="20"/>
        </w:rPr>
        <w:t>[  ]</w:t>
      </w:r>
      <w:r w:rsidR="00186804" w:rsidRPr="00412620">
        <w:rPr>
          <w:rStyle w:val="FootnoteReference"/>
          <w:rFonts w:cs="Arial"/>
          <w:sz w:val="20"/>
        </w:rPr>
        <w:footnoteReference w:id="302"/>
      </w:r>
      <w:r w:rsidR="00186804" w:rsidRPr="00412620">
        <w:rPr>
          <w:rFonts w:cs="Arial"/>
          <w:sz w:val="20"/>
        </w:rPr>
        <w:t>[, other than a gain that is exempt from tax under this Ordinance]</w:t>
      </w:r>
      <w:r w:rsidR="003C56FC" w:rsidRPr="00412620">
        <w:rPr>
          <w:rFonts w:cs="Arial"/>
          <w:sz w:val="20"/>
        </w:rPr>
        <w:t>, shall be chargeable to tax at the rates specified in Division VII of Part I of the First Schedule:</w:t>
      </w:r>
    </w:p>
    <w:p w:rsidR="003C56FC" w:rsidRPr="00412620" w:rsidRDefault="003C56FC">
      <w:pPr>
        <w:jc w:val="both"/>
        <w:rPr>
          <w:rFonts w:cs="Arial"/>
          <w:sz w:val="20"/>
        </w:rPr>
      </w:pPr>
    </w:p>
    <w:p w:rsidR="003C56FC" w:rsidRPr="00A7684E" w:rsidRDefault="00C32E7C" w:rsidP="009918E9">
      <w:pPr>
        <w:ind w:left="1094" w:firstLine="541"/>
        <w:jc w:val="both"/>
        <w:rPr>
          <w:rFonts w:cs="Arial"/>
          <w:color w:val="000000" w:themeColor="text1"/>
          <w:sz w:val="20"/>
        </w:rPr>
      </w:pPr>
      <w:r w:rsidRPr="00A7684E">
        <w:rPr>
          <w:rStyle w:val="FootnoteReference"/>
          <w:rFonts w:cs="Arial"/>
          <w:color w:val="000000" w:themeColor="text1"/>
          <w:sz w:val="20"/>
        </w:rPr>
        <w:footnoteReference w:id="303"/>
      </w:r>
      <w:r w:rsidRPr="00A7684E">
        <w:rPr>
          <w:rFonts w:cs="Arial"/>
          <w:color w:val="000000" w:themeColor="text1"/>
          <w:sz w:val="20"/>
        </w:rPr>
        <w:t>[</w:t>
      </w:r>
      <w:r w:rsidR="00A7684E" w:rsidRPr="00A7684E">
        <w:rPr>
          <w:rFonts w:cs="Arial"/>
          <w:color w:val="000000" w:themeColor="text1"/>
          <w:sz w:val="20"/>
        </w:rPr>
        <w:t xml:space="preserve">  </w:t>
      </w:r>
      <w:r w:rsidRPr="00A7684E">
        <w:rPr>
          <w:rFonts w:cs="Arial"/>
          <w:color w:val="000000" w:themeColor="text1"/>
          <w:sz w:val="20"/>
        </w:rPr>
        <w:t>]</w:t>
      </w:r>
    </w:p>
    <w:p w:rsidR="003C56FC" w:rsidRPr="00412620" w:rsidRDefault="003C56FC">
      <w:pPr>
        <w:jc w:val="both"/>
        <w:rPr>
          <w:rFonts w:cs="Arial"/>
          <w:sz w:val="20"/>
        </w:rPr>
      </w:pPr>
    </w:p>
    <w:p w:rsidR="003C56FC" w:rsidRPr="00412620" w:rsidRDefault="003C56FC">
      <w:pPr>
        <w:jc w:val="both"/>
        <w:rPr>
          <w:rFonts w:cs="Arial"/>
          <w:sz w:val="20"/>
        </w:rPr>
      </w:pPr>
      <w:r w:rsidRPr="00412620">
        <w:rPr>
          <w:rFonts w:cs="Arial"/>
          <w:sz w:val="20"/>
        </w:rPr>
        <w:tab/>
      </w:r>
      <w:r w:rsidRPr="00412620">
        <w:rPr>
          <w:rFonts w:cs="Arial"/>
          <w:sz w:val="20"/>
        </w:rPr>
        <w:tab/>
      </w:r>
      <w:r w:rsidR="009918E9" w:rsidRPr="00412620">
        <w:rPr>
          <w:rFonts w:cs="Arial"/>
          <w:sz w:val="20"/>
        </w:rPr>
        <w:tab/>
      </w:r>
      <w:r w:rsidRPr="00412620">
        <w:rPr>
          <w:rFonts w:cs="Arial"/>
          <w:sz w:val="20"/>
        </w:rPr>
        <w:t xml:space="preserve">Provided </w:t>
      </w:r>
      <w:r w:rsidR="00C32E7C" w:rsidRPr="00A7684E">
        <w:rPr>
          <w:rStyle w:val="FootnoteReference"/>
          <w:rFonts w:cs="Arial"/>
          <w:color w:val="000000" w:themeColor="text1"/>
          <w:sz w:val="20"/>
        </w:rPr>
        <w:footnoteReference w:id="304"/>
      </w:r>
      <w:r w:rsidR="00367E6A" w:rsidRPr="00A7684E">
        <w:rPr>
          <w:rFonts w:cs="Arial"/>
          <w:color w:val="000000" w:themeColor="text1"/>
          <w:sz w:val="20"/>
        </w:rPr>
        <w:t>[</w:t>
      </w:r>
      <w:r w:rsidR="00A7684E" w:rsidRPr="00A7684E">
        <w:rPr>
          <w:rFonts w:cs="Arial"/>
          <w:color w:val="000000" w:themeColor="text1"/>
          <w:sz w:val="20"/>
        </w:rPr>
        <w:t xml:space="preserve"> </w:t>
      </w:r>
      <w:r w:rsidR="00C32E7C" w:rsidRPr="00A7684E">
        <w:rPr>
          <w:rFonts w:cs="Arial"/>
          <w:color w:val="000000" w:themeColor="text1"/>
          <w:sz w:val="20"/>
        </w:rPr>
        <w:t>]</w:t>
      </w:r>
      <w:r w:rsidRPr="00412620">
        <w:rPr>
          <w:rFonts w:cs="Arial"/>
          <w:sz w:val="20"/>
        </w:rPr>
        <w:t xml:space="preserve"> that this section s</w:t>
      </w:r>
      <w:r w:rsidR="009918E9" w:rsidRPr="00412620">
        <w:rPr>
          <w:rFonts w:cs="Arial"/>
          <w:sz w:val="20"/>
        </w:rPr>
        <w:t xml:space="preserve">hall not apply to a banking </w:t>
      </w:r>
      <w:r w:rsidR="009918E9" w:rsidRPr="00412620">
        <w:rPr>
          <w:rFonts w:cs="Arial"/>
          <w:sz w:val="20"/>
        </w:rPr>
        <w:tab/>
      </w:r>
      <w:r w:rsidR="009918E9" w:rsidRPr="00412620">
        <w:rPr>
          <w:rFonts w:cs="Arial"/>
          <w:sz w:val="20"/>
        </w:rPr>
        <w:tab/>
      </w:r>
      <w:r w:rsidR="009918E9" w:rsidRPr="00412620">
        <w:rPr>
          <w:rFonts w:cs="Arial"/>
          <w:sz w:val="20"/>
        </w:rPr>
        <w:tab/>
      </w:r>
      <w:r w:rsidRPr="00412620">
        <w:rPr>
          <w:rFonts w:cs="Arial"/>
          <w:sz w:val="20"/>
        </w:rPr>
        <w:t>company and an insurance company.</w:t>
      </w:r>
    </w:p>
    <w:p w:rsidR="003C56FC" w:rsidRPr="00412620" w:rsidRDefault="003C56FC">
      <w:pPr>
        <w:jc w:val="both"/>
        <w:rPr>
          <w:rFonts w:cs="Arial"/>
          <w:sz w:val="20"/>
        </w:rPr>
      </w:pPr>
    </w:p>
    <w:p w:rsidR="0099303E" w:rsidRPr="00412620" w:rsidRDefault="0099303E">
      <w:pPr>
        <w:jc w:val="both"/>
        <w:rPr>
          <w:rFonts w:cs="Arial"/>
          <w:sz w:val="20"/>
        </w:rPr>
      </w:pPr>
      <w:r w:rsidRPr="00412620">
        <w:rPr>
          <w:rFonts w:cs="Arial"/>
          <w:sz w:val="20"/>
        </w:rPr>
        <w:tab/>
      </w:r>
      <w:r w:rsidR="008671F3" w:rsidRPr="00412620">
        <w:rPr>
          <w:rStyle w:val="FootnoteReference"/>
          <w:rFonts w:cs="Arial"/>
          <w:sz w:val="20"/>
        </w:rPr>
        <w:footnoteReference w:id="305"/>
      </w:r>
      <w:r w:rsidR="00CA1F6D">
        <w:rPr>
          <w:rFonts w:cs="Arial"/>
          <w:sz w:val="20"/>
        </w:rPr>
        <w:t xml:space="preserve">[(1A) </w:t>
      </w:r>
      <w:r w:rsidRPr="00412620">
        <w:rPr>
          <w:rFonts w:cs="Arial"/>
          <w:sz w:val="20"/>
        </w:rPr>
        <w:t>The gain arising on the disposal of a security by a person shall be computed in accordance with the following formula, namely: —</w:t>
      </w:r>
    </w:p>
    <w:p w:rsidR="0099303E" w:rsidRPr="00412620" w:rsidRDefault="0099303E">
      <w:pPr>
        <w:jc w:val="both"/>
        <w:rPr>
          <w:rFonts w:cs="Arial"/>
          <w:sz w:val="20"/>
        </w:rPr>
      </w:pPr>
    </w:p>
    <w:p w:rsidR="0099303E" w:rsidRPr="00412620" w:rsidRDefault="0099303E" w:rsidP="0099303E">
      <w:pPr>
        <w:jc w:val="center"/>
        <w:rPr>
          <w:rFonts w:cs="Arial"/>
          <w:sz w:val="20"/>
        </w:rPr>
      </w:pPr>
      <w:r w:rsidRPr="00412620">
        <w:rPr>
          <w:rFonts w:cs="Arial"/>
          <w:sz w:val="20"/>
        </w:rPr>
        <w:t>A – B</w:t>
      </w:r>
    </w:p>
    <w:p w:rsidR="0099303E" w:rsidRPr="00412620" w:rsidRDefault="0099303E" w:rsidP="0099303E">
      <w:pPr>
        <w:jc w:val="both"/>
        <w:rPr>
          <w:rFonts w:cs="Arial"/>
          <w:sz w:val="20"/>
        </w:rPr>
      </w:pPr>
      <w:r w:rsidRPr="00412620">
        <w:rPr>
          <w:rFonts w:cs="Arial"/>
          <w:sz w:val="20"/>
        </w:rPr>
        <w:tab/>
      </w:r>
      <w:r w:rsidRPr="00412620">
        <w:rPr>
          <w:rFonts w:cs="Arial"/>
          <w:sz w:val="20"/>
        </w:rPr>
        <w:tab/>
        <w:t>Where —</w:t>
      </w:r>
    </w:p>
    <w:p w:rsidR="0099303E" w:rsidRPr="00412620" w:rsidRDefault="0099303E" w:rsidP="0099303E">
      <w:pPr>
        <w:jc w:val="both"/>
        <w:rPr>
          <w:rFonts w:cs="Arial"/>
          <w:sz w:val="20"/>
        </w:rPr>
      </w:pPr>
    </w:p>
    <w:p w:rsidR="0099303E" w:rsidRPr="00412620" w:rsidRDefault="0099303E" w:rsidP="0099303E">
      <w:pPr>
        <w:ind w:left="1641" w:hanging="546"/>
        <w:jc w:val="both"/>
        <w:rPr>
          <w:rFonts w:cs="Arial"/>
          <w:sz w:val="20"/>
        </w:rPr>
      </w:pPr>
      <w:r w:rsidRPr="00412620">
        <w:rPr>
          <w:rFonts w:cs="Arial"/>
          <w:sz w:val="20"/>
        </w:rPr>
        <w:t xml:space="preserve">(i) </w:t>
      </w:r>
      <w:r w:rsidRPr="00412620">
        <w:rPr>
          <w:rFonts w:cs="Arial"/>
          <w:sz w:val="20"/>
        </w:rPr>
        <w:tab/>
        <w:t>‘A’ is the consideration received by the person on disposal of the security; and</w:t>
      </w:r>
    </w:p>
    <w:p w:rsidR="0099303E" w:rsidRPr="00412620" w:rsidRDefault="0099303E">
      <w:pPr>
        <w:jc w:val="both"/>
        <w:rPr>
          <w:rFonts w:cs="Arial"/>
          <w:sz w:val="20"/>
        </w:rPr>
      </w:pPr>
    </w:p>
    <w:p w:rsidR="0099303E" w:rsidRPr="00412620" w:rsidRDefault="00146135">
      <w:pPr>
        <w:jc w:val="both"/>
        <w:rPr>
          <w:rFonts w:cs="Arial"/>
          <w:sz w:val="20"/>
        </w:rPr>
      </w:pPr>
      <w:r w:rsidRPr="00412620">
        <w:rPr>
          <w:rFonts w:cs="Arial"/>
          <w:sz w:val="20"/>
        </w:rPr>
        <w:tab/>
      </w:r>
      <w:r w:rsidRPr="00412620">
        <w:rPr>
          <w:rFonts w:cs="Arial"/>
          <w:sz w:val="20"/>
        </w:rPr>
        <w:tab/>
        <w:t xml:space="preserve">(ii) </w:t>
      </w:r>
      <w:r w:rsidRPr="00412620">
        <w:rPr>
          <w:rFonts w:cs="Arial"/>
          <w:sz w:val="20"/>
        </w:rPr>
        <w:tab/>
        <w:t>‘B’ is the cost of acquisition of the security.]</w:t>
      </w:r>
    </w:p>
    <w:p w:rsidR="0099303E" w:rsidRPr="00412620" w:rsidRDefault="0099303E">
      <w:pPr>
        <w:jc w:val="both"/>
        <w:rPr>
          <w:rFonts w:cs="Arial"/>
          <w:sz w:val="20"/>
        </w:rPr>
      </w:pPr>
    </w:p>
    <w:p w:rsidR="003C56FC" w:rsidRPr="00412620" w:rsidRDefault="003C56FC">
      <w:pPr>
        <w:jc w:val="both"/>
        <w:rPr>
          <w:rFonts w:cs="Arial"/>
          <w:sz w:val="20"/>
        </w:rPr>
      </w:pPr>
      <w:r w:rsidRPr="00412620">
        <w:rPr>
          <w:rFonts w:cs="Arial"/>
          <w:sz w:val="20"/>
        </w:rPr>
        <w:tab/>
        <w:t>(2)</w:t>
      </w:r>
      <w:r w:rsidRPr="00412620">
        <w:rPr>
          <w:rFonts w:cs="Arial"/>
          <w:sz w:val="20"/>
        </w:rPr>
        <w:tab/>
        <w:t>The holding period of a security, for the purposes of this section, shall be reckoned from the date of acquisition (whether before, on or after the thirtieth day of June, 2010) to the date of disposal of such security falling after the thirtieth day of June, 2010.</w:t>
      </w:r>
    </w:p>
    <w:p w:rsidR="003C56FC" w:rsidRPr="00412620" w:rsidRDefault="003C56FC">
      <w:pPr>
        <w:jc w:val="both"/>
        <w:rPr>
          <w:rFonts w:cs="Arial"/>
          <w:sz w:val="20"/>
        </w:rPr>
      </w:pPr>
    </w:p>
    <w:p w:rsidR="003C56FC" w:rsidRDefault="003C56FC">
      <w:pPr>
        <w:jc w:val="both"/>
        <w:rPr>
          <w:rFonts w:cs="Arial"/>
          <w:sz w:val="20"/>
        </w:rPr>
      </w:pPr>
      <w:r w:rsidRPr="00412620">
        <w:rPr>
          <w:rFonts w:cs="Arial"/>
          <w:sz w:val="20"/>
        </w:rPr>
        <w:tab/>
        <w:t>(3)</w:t>
      </w:r>
      <w:r w:rsidRPr="00412620">
        <w:rPr>
          <w:rFonts w:cs="Arial"/>
          <w:sz w:val="20"/>
        </w:rPr>
        <w:tab/>
        <w:t>For the purposes of this section “security” means share of a public company, voucher of Pakistan Telecommunication Corporation, Modaraba Certificate, an instrument of redeemable capital</w:t>
      </w:r>
      <w:r w:rsidR="00D92A58" w:rsidRPr="00A7684E">
        <w:rPr>
          <w:rStyle w:val="FootnoteReference"/>
          <w:rFonts w:cs="Arial"/>
          <w:color w:val="000000" w:themeColor="text1"/>
          <w:sz w:val="20"/>
        </w:rPr>
        <w:footnoteReference w:id="306"/>
      </w:r>
      <w:r w:rsidR="008E2417" w:rsidRPr="00A7684E">
        <w:rPr>
          <w:rFonts w:cs="Arial"/>
          <w:color w:val="000000" w:themeColor="text1"/>
          <w:sz w:val="20"/>
        </w:rPr>
        <w:t xml:space="preserve">[,debt </w:t>
      </w:r>
      <w:r w:rsidR="00D92A58" w:rsidRPr="00A7684E">
        <w:rPr>
          <w:rFonts w:cs="Arial"/>
          <w:color w:val="000000" w:themeColor="text1"/>
          <w:sz w:val="20"/>
        </w:rPr>
        <w:t>Securities</w:t>
      </w:r>
      <w:r w:rsidR="008E2417" w:rsidRPr="00A7684E">
        <w:rPr>
          <w:rFonts w:cs="Arial"/>
          <w:color w:val="000000" w:themeColor="text1"/>
          <w:sz w:val="20"/>
        </w:rPr>
        <w:t>]</w:t>
      </w:r>
      <w:r w:rsidRPr="00412620">
        <w:rPr>
          <w:rFonts w:cs="Arial"/>
          <w:sz w:val="20"/>
        </w:rPr>
        <w:t xml:space="preserve"> and derivative products.</w:t>
      </w:r>
    </w:p>
    <w:p w:rsidR="00BF0B5F" w:rsidRDefault="00BF0B5F">
      <w:pPr>
        <w:jc w:val="both"/>
        <w:rPr>
          <w:rFonts w:cs="Arial"/>
          <w:sz w:val="20"/>
        </w:rPr>
      </w:pPr>
    </w:p>
    <w:p w:rsidR="00BF0B5F" w:rsidRPr="00A7684E" w:rsidRDefault="004A53FA" w:rsidP="00E807F4">
      <w:pPr>
        <w:ind w:firstLine="540"/>
        <w:jc w:val="both"/>
        <w:rPr>
          <w:rFonts w:cs="Arial"/>
          <w:color w:val="000000" w:themeColor="text1"/>
          <w:sz w:val="20"/>
        </w:rPr>
      </w:pPr>
      <w:r w:rsidRPr="00A7684E">
        <w:rPr>
          <w:rStyle w:val="FootnoteReference"/>
          <w:rFonts w:cs="Arial"/>
          <w:color w:val="000000" w:themeColor="text1"/>
          <w:sz w:val="20"/>
        </w:rPr>
        <w:lastRenderedPageBreak/>
        <w:footnoteReference w:id="307"/>
      </w:r>
      <w:r w:rsidRPr="00A7684E">
        <w:rPr>
          <w:rFonts w:cs="Arial"/>
          <w:color w:val="000000" w:themeColor="text1"/>
          <w:sz w:val="20"/>
        </w:rPr>
        <w:t>[</w:t>
      </w:r>
      <w:r w:rsidR="00BF0B5F" w:rsidRPr="00A7684E">
        <w:rPr>
          <w:rFonts w:cs="Arial"/>
          <w:color w:val="000000" w:themeColor="text1"/>
          <w:sz w:val="20"/>
        </w:rPr>
        <w:t>(</w:t>
      </w:r>
      <w:r w:rsidRPr="00A7684E">
        <w:rPr>
          <w:rFonts w:cs="Arial"/>
          <w:color w:val="000000" w:themeColor="text1"/>
          <w:sz w:val="20"/>
        </w:rPr>
        <w:t>3A</w:t>
      </w:r>
      <w:r w:rsidR="00DD7E52" w:rsidRPr="00A7684E">
        <w:rPr>
          <w:rFonts w:cs="Arial"/>
          <w:color w:val="000000" w:themeColor="text1"/>
          <w:sz w:val="20"/>
        </w:rPr>
        <w:t xml:space="preserve">) </w:t>
      </w:r>
      <w:r w:rsidR="00BF0B5F" w:rsidRPr="00A7684E">
        <w:rPr>
          <w:rFonts w:cs="Arial"/>
          <w:color w:val="000000" w:themeColor="text1"/>
          <w:sz w:val="20"/>
        </w:rPr>
        <w:t>For the purpose of this section, “debt securities” means</w:t>
      </w:r>
      <w:r w:rsidR="00DD7E52" w:rsidRPr="00A7684E">
        <w:rPr>
          <w:rFonts w:cs="Arial"/>
          <w:color w:val="000000" w:themeColor="text1"/>
          <w:sz w:val="20"/>
        </w:rPr>
        <w:t xml:space="preserve"> -</w:t>
      </w:r>
    </w:p>
    <w:p w:rsidR="004A53FA" w:rsidRPr="00A7684E" w:rsidRDefault="004A53FA">
      <w:pPr>
        <w:jc w:val="both"/>
        <w:rPr>
          <w:rFonts w:cs="Arial"/>
          <w:color w:val="000000" w:themeColor="text1"/>
          <w:sz w:val="20"/>
        </w:rPr>
      </w:pPr>
    </w:p>
    <w:p w:rsidR="004A53FA" w:rsidRPr="00A7684E" w:rsidRDefault="004A53FA" w:rsidP="007A3C0F">
      <w:pPr>
        <w:ind w:left="1641" w:hanging="547"/>
        <w:contextualSpacing/>
        <w:jc w:val="both"/>
        <w:rPr>
          <w:rFonts w:cs="Arial"/>
          <w:color w:val="000000" w:themeColor="text1"/>
          <w:sz w:val="20"/>
        </w:rPr>
      </w:pPr>
      <w:r w:rsidRPr="00A7684E">
        <w:rPr>
          <w:rFonts w:cs="Arial"/>
          <w:color w:val="000000" w:themeColor="text1"/>
          <w:sz w:val="20"/>
        </w:rPr>
        <w:t>(a)</w:t>
      </w:r>
      <w:r w:rsidR="00DD7E52" w:rsidRPr="00A7684E">
        <w:rPr>
          <w:rFonts w:cs="Arial"/>
          <w:color w:val="000000" w:themeColor="text1"/>
          <w:sz w:val="20"/>
        </w:rPr>
        <w:tab/>
      </w:r>
      <w:r w:rsidRPr="00A7684E">
        <w:rPr>
          <w:rFonts w:cs="Arial"/>
          <w:color w:val="000000" w:themeColor="text1"/>
          <w:sz w:val="20"/>
        </w:rPr>
        <w:t xml:space="preserve">Corporate Debt Securities such as Term Finance Certificates (TFCs), Sukuk Certificates (Sharia Compliant Bonds), Registered Bonds, Commercial Papers, Participation Term Certificates (PTCs) and all kinds of debt instruments issued by any Pakistani or foreign company or corporation registered in Pakistan; and </w:t>
      </w:r>
    </w:p>
    <w:p w:rsidR="007A3C0F" w:rsidRPr="00A7684E" w:rsidRDefault="007A3C0F" w:rsidP="007A3C0F">
      <w:pPr>
        <w:ind w:left="1641" w:hanging="547"/>
        <w:contextualSpacing/>
        <w:jc w:val="both"/>
        <w:rPr>
          <w:rFonts w:cs="Arial"/>
          <w:color w:val="000000" w:themeColor="text1"/>
          <w:sz w:val="20"/>
        </w:rPr>
      </w:pPr>
    </w:p>
    <w:p w:rsidR="004A53FA" w:rsidRDefault="004A53FA" w:rsidP="007A3C0F">
      <w:pPr>
        <w:ind w:left="1641" w:hanging="547"/>
        <w:contextualSpacing/>
        <w:jc w:val="both"/>
        <w:rPr>
          <w:rFonts w:cs="Arial"/>
          <w:color w:val="000000" w:themeColor="text1"/>
          <w:sz w:val="20"/>
        </w:rPr>
      </w:pPr>
      <w:r w:rsidRPr="00A7684E">
        <w:rPr>
          <w:rFonts w:cs="Arial"/>
          <w:color w:val="000000" w:themeColor="text1"/>
          <w:sz w:val="20"/>
        </w:rPr>
        <w:t>(b)</w:t>
      </w:r>
      <w:r w:rsidR="00DD7E52" w:rsidRPr="00A7684E">
        <w:rPr>
          <w:rFonts w:cs="Arial"/>
          <w:color w:val="000000" w:themeColor="text1"/>
          <w:sz w:val="20"/>
        </w:rPr>
        <w:tab/>
      </w:r>
      <w:r w:rsidRPr="00A7684E">
        <w:rPr>
          <w:rFonts w:cs="Arial"/>
          <w:color w:val="000000" w:themeColor="text1"/>
          <w:sz w:val="20"/>
        </w:rPr>
        <w:t>Government Debt Securities such as Treasury Bills (T-bills), Federal Investment Bonds (FIBs), Pakistan Investment Bonds (PIBs), Foreign Currency Bonds, Government Papers, Municipal Bonds, Infrastructure Bonds and all kinds of debt instruments issued by Federal Government, Provincial Governments, Local Authorities and other statutory bodies.</w:t>
      </w:r>
      <w:r w:rsidR="00DD7E52" w:rsidRPr="00A7684E">
        <w:rPr>
          <w:rFonts w:cs="Arial"/>
          <w:color w:val="000000" w:themeColor="text1"/>
          <w:sz w:val="20"/>
        </w:rPr>
        <w:t>]</w:t>
      </w:r>
    </w:p>
    <w:p w:rsidR="00F85771" w:rsidRDefault="00F85771" w:rsidP="007A3C0F">
      <w:pPr>
        <w:ind w:left="1641" w:hanging="547"/>
        <w:contextualSpacing/>
        <w:jc w:val="both"/>
        <w:rPr>
          <w:rFonts w:cs="Arial"/>
          <w:color w:val="000000" w:themeColor="text1"/>
          <w:sz w:val="20"/>
        </w:rPr>
      </w:pPr>
    </w:p>
    <w:p w:rsidR="00F85771" w:rsidRPr="00B455DC" w:rsidRDefault="00F85771" w:rsidP="00F85771">
      <w:pPr>
        <w:ind w:left="1641"/>
        <w:contextualSpacing/>
        <w:jc w:val="both"/>
        <w:rPr>
          <w:rFonts w:cs="Arial"/>
          <w:color w:val="0070C0"/>
          <w:sz w:val="20"/>
        </w:rPr>
      </w:pPr>
      <w:r w:rsidRPr="00B455DC">
        <w:rPr>
          <w:rStyle w:val="FootnoteReference"/>
          <w:rFonts w:cs="Arial"/>
          <w:color w:val="0070C0"/>
          <w:sz w:val="20"/>
        </w:rPr>
        <w:footnoteReference w:id="308"/>
      </w:r>
      <w:r w:rsidRPr="00B455DC">
        <w:rPr>
          <w:rFonts w:cs="Arial"/>
          <w:color w:val="0070C0"/>
          <w:sz w:val="20"/>
        </w:rPr>
        <w:t>[“</w:t>
      </w:r>
      <w:r w:rsidRPr="00B455DC">
        <w:rPr>
          <w:rFonts w:cs="Arial"/>
          <w:i/>
          <w:color w:val="0070C0"/>
          <w:sz w:val="20"/>
        </w:rPr>
        <w:t>Explanation:</w:t>
      </w:r>
      <w:r w:rsidRPr="00B455DC">
        <w:rPr>
          <w:rFonts w:cs="Arial"/>
          <w:color w:val="0070C0"/>
          <w:sz w:val="20"/>
        </w:rPr>
        <w:t xml:space="preserve"> For removal of doubt it is clarified that derivative products include future commodity contracts entered into by the members of Pakistan Mercantile Exchange whether or not settled by physical delivery.”]</w:t>
      </w:r>
    </w:p>
    <w:p w:rsidR="003C56FC" w:rsidRPr="00412620" w:rsidRDefault="003C56FC">
      <w:pPr>
        <w:jc w:val="both"/>
        <w:rPr>
          <w:rFonts w:cs="Arial"/>
          <w:sz w:val="20"/>
        </w:rPr>
      </w:pPr>
    </w:p>
    <w:p w:rsidR="003C56FC" w:rsidRPr="00412620" w:rsidRDefault="003C56FC">
      <w:pPr>
        <w:jc w:val="both"/>
        <w:rPr>
          <w:rFonts w:cs="Arial"/>
          <w:sz w:val="20"/>
        </w:rPr>
      </w:pPr>
      <w:r w:rsidRPr="00412620">
        <w:rPr>
          <w:rFonts w:cs="Arial"/>
          <w:sz w:val="20"/>
        </w:rPr>
        <w:tab/>
        <w:t>(4)</w:t>
      </w:r>
      <w:r w:rsidRPr="00412620">
        <w:rPr>
          <w:rFonts w:cs="Arial"/>
          <w:sz w:val="20"/>
        </w:rPr>
        <w:tab/>
        <w:t>Gain under this section shall be treated as a separate block of income.</w:t>
      </w:r>
    </w:p>
    <w:p w:rsidR="003C56FC" w:rsidRPr="00412620" w:rsidRDefault="003C56FC">
      <w:pPr>
        <w:jc w:val="both"/>
        <w:rPr>
          <w:rFonts w:cs="Arial"/>
          <w:sz w:val="20"/>
        </w:rPr>
      </w:pPr>
    </w:p>
    <w:p w:rsidR="003C56FC" w:rsidRPr="00412620" w:rsidRDefault="003C56FC">
      <w:pPr>
        <w:jc w:val="both"/>
        <w:rPr>
          <w:rFonts w:cs="Arial"/>
          <w:sz w:val="20"/>
        </w:rPr>
      </w:pPr>
      <w:r w:rsidRPr="00412620">
        <w:rPr>
          <w:rFonts w:cs="Arial"/>
          <w:sz w:val="20"/>
        </w:rPr>
        <w:tab/>
        <w:t>(5)</w:t>
      </w:r>
      <w:r w:rsidRPr="00412620">
        <w:rPr>
          <w:rFonts w:cs="Arial"/>
          <w:sz w:val="20"/>
        </w:rPr>
        <w:tab/>
        <w:t>Notwithstanding anything contained in this Ordinance, where a person sustains a loss on disposal of securities in a tax year, the loss shall be set off only against the gain of the person from any other securities chargeable to tax under this section and no loss shall be carried forward to the subsequent tax year</w:t>
      </w:r>
      <w:r w:rsidR="00D500EC" w:rsidRPr="00412620">
        <w:rPr>
          <w:rFonts w:cs="Arial"/>
          <w:sz w:val="20"/>
        </w:rPr>
        <w:t>.</w:t>
      </w:r>
      <w:r w:rsidR="0048592F" w:rsidRPr="00412620">
        <w:rPr>
          <w:rFonts w:cs="Arial"/>
          <w:sz w:val="20"/>
        </w:rPr>
        <w:t>]</w:t>
      </w:r>
    </w:p>
    <w:p w:rsidR="001A0483" w:rsidRPr="00412620" w:rsidRDefault="001A0483">
      <w:pPr>
        <w:jc w:val="both"/>
        <w:rPr>
          <w:rFonts w:cs="Arial"/>
          <w:sz w:val="20"/>
        </w:rPr>
      </w:pPr>
    </w:p>
    <w:p w:rsidR="006A3F93" w:rsidRPr="00412620" w:rsidRDefault="006A3F93">
      <w:pPr>
        <w:jc w:val="both"/>
        <w:rPr>
          <w:sz w:val="20"/>
        </w:rPr>
      </w:pPr>
      <w:r w:rsidRPr="00412620">
        <w:rPr>
          <w:rFonts w:cs="Arial"/>
          <w:b/>
          <w:sz w:val="20"/>
        </w:rPr>
        <w:t>38.</w:t>
      </w:r>
      <w:r w:rsidRPr="00412620">
        <w:rPr>
          <w:rFonts w:cs="Arial"/>
          <w:b/>
          <w:sz w:val="20"/>
        </w:rPr>
        <w:tab/>
        <w:t>Deduction of losses in computing the amount chargeable under the head “Capital Gains”.</w:t>
      </w:r>
      <w:r w:rsidR="003D2F99" w:rsidRPr="00412620">
        <w:rPr>
          <w:rFonts w:cs="Arial"/>
          <w:b/>
          <w:sz w:val="20"/>
        </w:rPr>
        <w:t>—</w:t>
      </w:r>
      <w:r w:rsidRPr="00412620">
        <w:rPr>
          <w:sz w:val="20"/>
        </w:rPr>
        <w:t xml:space="preserve"> (1)  Subject to this Ordinance, in computing the amount of a person chargeable to tax under the head “Capital Gains” for a tax year, a deduction shall be allowed for any loss on the disposal of a capital asset by the person in the year.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No loss shall be deducted under this section on the disposal of a capital asset where a gain on the disposal of such asset would not be chargeable to tax. </w:t>
      </w:r>
    </w:p>
    <w:p w:rsidR="006A3F93" w:rsidRPr="00412620" w:rsidRDefault="006A3F93">
      <w:pPr>
        <w:jc w:val="both"/>
        <w:rPr>
          <w:rFonts w:cs="Arial"/>
          <w:sz w:val="20"/>
        </w:rPr>
      </w:pPr>
    </w:p>
    <w:p w:rsidR="006A3F93" w:rsidRPr="00412620" w:rsidRDefault="006A3F93" w:rsidP="002552D3">
      <w:pPr>
        <w:jc w:val="both"/>
        <w:rPr>
          <w:rFonts w:cs="Arial"/>
          <w:sz w:val="20"/>
        </w:rPr>
      </w:pPr>
      <w:r w:rsidRPr="00412620">
        <w:rPr>
          <w:rFonts w:cs="Arial"/>
          <w:sz w:val="20"/>
        </w:rPr>
        <w:tab/>
        <w:t>(3)</w:t>
      </w:r>
      <w:r w:rsidRPr="00412620">
        <w:rPr>
          <w:rFonts w:cs="Arial"/>
          <w:sz w:val="20"/>
        </w:rPr>
        <w:tab/>
        <w:t>The loss arising on the disposal of a capital asset by a person shall be computed in accordance with the following formula, namely:</w:t>
      </w:r>
      <w:r w:rsidR="00000480" w:rsidRPr="00412620">
        <w:rPr>
          <w:rFonts w:cs="Arial"/>
          <w:b/>
          <w:sz w:val="20"/>
        </w:rPr>
        <w:t xml:space="preserve"> —</w:t>
      </w:r>
    </w:p>
    <w:p w:rsidR="006A3F93" w:rsidRPr="00412620" w:rsidRDefault="006A3F93">
      <w:pPr>
        <w:rPr>
          <w:rFonts w:cs="Arial"/>
          <w:sz w:val="20"/>
        </w:rPr>
      </w:pPr>
    </w:p>
    <w:p w:rsidR="006A3F93" w:rsidRPr="00412620" w:rsidRDefault="006A3F93">
      <w:pPr>
        <w:pStyle w:val="Heading2"/>
        <w:spacing w:line="240" w:lineRule="auto"/>
        <w:rPr>
          <w:rFonts w:cs="Arial"/>
          <w:sz w:val="20"/>
        </w:rPr>
      </w:pPr>
      <w:r w:rsidRPr="00412620">
        <w:rPr>
          <w:rFonts w:cs="Arial"/>
          <w:sz w:val="20"/>
        </w:rPr>
        <w:lastRenderedPageBreak/>
        <w:t>A – B</w:t>
      </w:r>
    </w:p>
    <w:p w:rsidR="006A3F93" w:rsidRPr="00412620" w:rsidRDefault="006A3F93">
      <w:pPr>
        <w:jc w:val="both"/>
        <w:rPr>
          <w:rFonts w:cs="Arial"/>
          <w:sz w:val="20"/>
        </w:rPr>
      </w:pPr>
      <w:r w:rsidRPr="00412620">
        <w:rPr>
          <w:rFonts w:cs="Arial"/>
          <w:sz w:val="20"/>
        </w:rPr>
        <w:t xml:space="preserve">where </w:t>
      </w:r>
      <w:r w:rsidR="00CD34D3" w:rsidRPr="00412620">
        <w:rPr>
          <w:rFonts w:cs="Arial"/>
          <w:sz w:val="20"/>
        </w:rPr>
        <w:t>—</w:t>
      </w:r>
    </w:p>
    <w:p w:rsidR="006A3F93" w:rsidRPr="00412620" w:rsidRDefault="006A3F93">
      <w:pPr>
        <w:jc w:val="both"/>
        <w:rPr>
          <w:rFonts w:cs="Arial"/>
          <w:sz w:val="20"/>
        </w:rPr>
      </w:pPr>
    </w:p>
    <w:p w:rsidR="006A3F93" w:rsidRPr="00412620" w:rsidRDefault="006A3F93">
      <w:pPr>
        <w:ind w:left="540" w:hanging="540"/>
        <w:jc w:val="both"/>
        <w:rPr>
          <w:sz w:val="20"/>
        </w:rPr>
      </w:pPr>
      <w:r w:rsidRPr="00412620">
        <w:rPr>
          <w:rFonts w:cs="Arial"/>
          <w:b/>
          <w:sz w:val="20"/>
        </w:rPr>
        <w:t>A</w:t>
      </w:r>
      <w:r w:rsidRPr="00412620">
        <w:rPr>
          <w:sz w:val="20"/>
        </w:rPr>
        <w:tab/>
        <w:t xml:space="preserve">is the cost of the asset; and </w:t>
      </w:r>
    </w:p>
    <w:p w:rsidR="006A3F93" w:rsidRPr="00412620" w:rsidRDefault="006A3F93">
      <w:pPr>
        <w:jc w:val="both"/>
        <w:rPr>
          <w:rFonts w:cs="Arial"/>
          <w:sz w:val="20"/>
        </w:rPr>
      </w:pPr>
    </w:p>
    <w:p w:rsidR="006A3F93" w:rsidRPr="00412620" w:rsidRDefault="006A3F93">
      <w:pPr>
        <w:ind w:left="540" w:hanging="540"/>
        <w:jc w:val="both"/>
        <w:rPr>
          <w:sz w:val="20"/>
        </w:rPr>
      </w:pPr>
      <w:r w:rsidRPr="00412620">
        <w:rPr>
          <w:rFonts w:cs="Arial"/>
          <w:b/>
          <w:sz w:val="20"/>
        </w:rPr>
        <w:t>B</w:t>
      </w:r>
      <w:r w:rsidRPr="00412620">
        <w:rPr>
          <w:sz w:val="20"/>
        </w:rPr>
        <w:tab/>
        <w:t>is the consideration received by the person on disposal of the asset.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The provisions of sub-section (4) of section 37 shall apply in determining component </w:t>
      </w:r>
      <w:r w:rsidRPr="00412620">
        <w:rPr>
          <w:rFonts w:cs="Arial"/>
          <w:b/>
          <w:sz w:val="20"/>
        </w:rPr>
        <w:t>A</w:t>
      </w:r>
      <w:r w:rsidRPr="00412620">
        <w:rPr>
          <w:rFonts w:cs="Arial"/>
          <w:sz w:val="20"/>
        </w:rPr>
        <w:t xml:space="preserve"> of the formula in sub-section (3).</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No loss shall be recognized under this Ordinance on the disposal of the following capital assets, namely:</w:t>
      </w:r>
      <w:r w:rsidR="00CD34D3"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 painting, sculpture, drawing or other work of art;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jewellery;</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 rare manuscript, folio or book;</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a postage stamp or first day cover;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a coin or medallion;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(f)</w:t>
      </w:r>
      <w:r w:rsidRPr="00412620">
        <w:rPr>
          <w:rFonts w:cs="Arial"/>
          <w:sz w:val="20"/>
        </w:rPr>
        <w:tab/>
        <w:t>an antique.</w:t>
      </w:r>
    </w:p>
    <w:p w:rsidR="006A3F93" w:rsidRPr="00412620" w:rsidRDefault="006A3F93">
      <w:pPr>
        <w:rPr>
          <w:rFonts w:cs="Arial"/>
          <w:sz w:val="20"/>
        </w:rPr>
      </w:pPr>
    </w:p>
    <w:p w:rsidR="000F514E" w:rsidRPr="00412620" w:rsidRDefault="000F514E">
      <w:pPr>
        <w:rPr>
          <w:rFonts w:cs="Arial"/>
          <w:sz w:val="20"/>
        </w:rPr>
      </w:pPr>
    </w:p>
    <w:p w:rsidR="000F514E" w:rsidRPr="00412620" w:rsidRDefault="000F514E">
      <w:pPr>
        <w:rPr>
          <w:rFonts w:cs="Arial"/>
          <w:sz w:val="20"/>
        </w:rPr>
      </w:pPr>
    </w:p>
    <w:p w:rsidR="006A3F93" w:rsidRPr="00412620" w:rsidRDefault="000A1763">
      <w:pPr>
        <w:keepNext/>
        <w:jc w:val="center"/>
        <w:rPr>
          <w:rFonts w:cs="Arial"/>
          <w:b/>
          <w:sz w:val="32"/>
          <w:szCs w:val="32"/>
        </w:rPr>
      </w:pPr>
      <w:r w:rsidRPr="00412620">
        <w:rPr>
          <w:rFonts w:cs="Arial"/>
          <w:b/>
          <w:sz w:val="20"/>
        </w:rPr>
        <w:br w:type="page"/>
      </w:r>
      <w:r w:rsidR="006A3F93" w:rsidRPr="00412620">
        <w:rPr>
          <w:rFonts w:cs="Arial"/>
          <w:b/>
          <w:sz w:val="32"/>
          <w:szCs w:val="32"/>
        </w:rPr>
        <w:lastRenderedPageBreak/>
        <w:t>PART VI</w:t>
      </w:r>
    </w:p>
    <w:p w:rsidR="006A3F93" w:rsidRPr="00412620" w:rsidRDefault="006A3F93">
      <w:pPr>
        <w:keepNext/>
        <w:jc w:val="center"/>
        <w:rPr>
          <w:rFonts w:cs="Arial"/>
          <w:b/>
          <w:sz w:val="20"/>
        </w:rPr>
      </w:pPr>
      <w:r w:rsidRPr="00412620">
        <w:rPr>
          <w:rFonts w:cs="Arial"/>
          <w:b/>
          <w:sz w:val="20"/>
        </w:rPr>
        <w:t>HEAD OF INCOME: INCOME FROM OTHER SOURCES</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39.</w:t>
      </w:r>
      <w:r w:rsidRPr="00412620">
        <w:rPr>
          <w:rFonts w:cs="Arial"/>
          <w:b/>
          <w:sz w:val="20"/>
        </w:rPr>
        <w:tab/>
        <w:t>Income from other sources.</w:t>
      </w:r>
      <w:r w:rsidR="00AF7AD0" w:rsidRPr="00412620">
        <w:rPr>
          <w:rFonts w:cs="Arial"/>
          <w:b/>
          <w:sz w:val="20"/>
        </w:rPr>
        <w:t xml:space="preserve"> —</w:t>
      </w:r>
      <w:r w:rsidRPr="00412620">
        <w:rPr>
          <w:sz w:val="20"/>
        </w:rPr>
        <w:t xml:space="preserve"> (1</w:t>
      </w:r>
      <w:r w:rsidR="00172F16" w:rsidRPr="00412620">
        <w:rPr>
          <w:sz w:val="20"/>
        </w:rPr>
        <w:t>) Income</w:t>
      </w:r>
      <w:r w:rsidRPr="00412620">
        <w:rPr>
          <w:sz w:val="20"/>
        </w:rPr>
        <w:t xml:space="preserve"> of every kind received by a person in a tax year, </w:t>
      </w:r>
      <w:r w:rsidRPr="00412620">
        <w:rPr>
          <w:rStyle w:val="FootnoteReference"/>
          <w:sz w:val="20"/>
        </w:rPr>
        <w:footnoteReference w:id="309"/>
      </w:r>
      <w:r w:rsidRPr="00412620">
        <w:rPr>
          <w:sz w:val="20"/>
        </w:rPr>
        <w:t>[if it is not included in any other head,]other than income exempt from tax under this Ordinance, shall be chargeable to tax in that year under the head “Income from Other Sources”, including the following namely:</w:t>
      </w:r>
      <w:r w:rsidR="00AF7AD0" w:rsidRPr="00412620">
        <w:rPr>
          <w:rFonts w:cs="Arial"/>
          <w:b/>
          <w:sz w:val="20"/>
        </w:rPr>
        <w:t xml:space="preserve">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r>
      <w:r w:rsidRPr="00412620">
        <w:rPr>
          <w:rStyle w:val="FootnoteReference"/>
          <w:rFonts w:cs="Arial"/>
          <w:sz w:val="20"/>
        </w:rPr>
        <w:footnoteReference w:id="310"/>
      </w:r>
      <w:r w:rsidRPr="00412620">
        <w:rPr>
          <w:rFonts w:cs="Arial"/>
          <w:sz w:val="20"/>
        </w:rPr>
        <w:t>[Dividend;]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r>
      <w:r w:rsidRPr="00412620">
        <w:rPr>
          <w:rStyle w:val="FootnoteReference"/>
          <w:rFonts w:cs="Arial"/>
          <w:sz w:val="20"/>
        </w:rPr>
        <w:footnoteReference w:id="311"/>
      </w:r>
      <w:r w:rsidRPr="00412620">
        <w:rPr>
          <w:rFonts w:cs="Arial"/>
          <w:sz w:val="20"/>
        </w:rPr>
        <w:t>[royalty;]</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profit on debt;</w:t>
      </w:r>
    </w:p>
    <w:p w:rsidR="006A3F93" w:rsidRPr="00412620" w:rsidRDefault="006A3F93">
      <w:pPr>
        <w:jc w:val="both"/>
        <w:rPr>
          <w:rFonts w:cs="Arial"/>
          <w:sz w:val="20"/>
        </w:rPr>
      </w:pPr>
    </w:p>
    <w:p w:rsidR="00AC3ED9" w:rsidRPr="00412620" w:rsidRDefault="00AC3ED9">
      <w:pPr>
        <w:jc w:val="both"/>
        <w:rPr>
          <w:rFonts w:cs="Arial"/>
          <w:sz w:val="20"/>
        </w:rPr>
      </w:pPr>
      <w:r w:rsidRPr="00412620">
        <w:rPr>
          <w:rFonts w:cs="Arial"/>
          <w:sz w:val="20"/>
        </w:rPr>
        <w:tab/>
      </w:r>
      <w:r w:rsidRPr="00412620">
        <w:rPr>
          <w:rStyle w:val="FootnoteReference"/>
          <w:rFonts w:cs="Arial"/>
          <w:sz w:val="20"/>
        </w:rPr>
        <w:footnoteReference w:id="312"/>
      </w:r>
      <w:r w:rsidRPr="00412620">
        <w:rPr>
          <w:rFonts w:cs="Arial"/>
          <w:sz w:val="20"/>
        </w:rPr>
        <w:t xml:space="preserve">[(cc) </w:t>
      </w:r>
      <w:r w:rsidRPr="00412620">
        <w:rPr>
          <w:rFonts w:cs="Arial"/>
          <w:sz w:val="20"/>
        </w:rPr>
        <w:tab/>
        <w:t>additional payment on delayed refund under any tax law;]</w:t>
      </w:r>
    </w:p>
    <w:p w:rsidR="00AC3ED9" w:rsidRPr="00412620" w:rsidRDefault="00AC3ED9">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ground rent;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rent from the sub-lease of land or a building;</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(f)</w:t>
      </w:r>
      <w:r w:rsidRPr="00412620">
        <w:rPr>
          <w:rFonts w:cs="Arial"/>
          <w:sz w:val="20"/>
        </w:rPr>
        <w:tab/>
        <w:t>income from the lease of any building together with plant or machinery;</w:t>
      </w:r>
    </w:p>
    <w:p w:rsidR="006A3F93" w:rsidRPr="00412620" w:rsidRDefault="006A3F93">
      <w:pPr>
        <w:jc w:val="both"/>
        <w:rPr>
          <w:rFonts w:cs="Arial"/>
          <w:sz w:val="20"/>
        </w:rPr>
      </w:pPr>
    </w:p>
    <w:p w:rsidR="006A3F93" w:rsidRPr="00412620" w:rsidRDefault="006A3F93">
      <w:pPr>
        <w:ind w:left="1620" w:hanging="735"/>
        <w:jc w:val="both"/>
        <w:rPr>
          <w:sz w:val="20"/>
        </w:rPr>
      </w:pPr>
      <w:r w:rsidRPr="00412620">
        <w:rPr>
          <w:rStyle w:val="FootnoteReference"/>
          <w:rFonts w:cs="Arial"/>
          <w:sz w:val="20"/>
        </w:rPr>
        <w:footnoteReference w:id="313"/>
      </w:r>
      <w:r w:rsidRPr="00412620">
        <w:rPr>
          <w:sz w:val="20"/>
        </w:rPr>
        <w:t>[(fa)</w:t>
      </w:r>
      <w:r w:rsidRPr="00412620">
        <w:rPr>
          <w:sz w:val="20"/>
        </w:rPr>
        <w:tab/>
        <w:t>income from provision of amenities, utilities or any other service connected with renting of building;]</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(g)</w:t>
      </w:r>
      <w:r w:rsidRPr="00412620">
        <w:rPr>
          <w:rFonts w:cs="Arial"/>
          <w:sz w:val="20"/>
        </w:rPr>
        <w:tab/>
        <w:t>any annuity or pension;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(h)</w:t>
      </w:r>
      <w:r w:rsidRPr="00412620">
        <w:rPr>
          <w:rFonts w:cs="Arial"/>
          <w:sz w:val="20"/>
        </w:rPr>
        <w:tab/>
        <w:t>any prize bond, or winnings from a raffle, lottery</w:t>
      </w:r>
      <w:r w:rsidRPr="00412620">
        <w:rPr>
          <w:rStyle w:val="FootnoteReference"/>
          <w:rFonts w:cs="Arial"/>
          <w:sz w:val="20"/>
        </w:rPr>
        <w:footnoteReference w:id="314"/>
      </w:r>
      <w:r w:rsidRPr="00412620">
        <w:rPr>
          <w:rFonts w:cs="Arial"/>
          <w:sz w:val="20"/>
        </w:rPr>
        <w:t>[, prize on winning a quiz, prize offered by companies for promotion of sale] or cross-word puzzle;</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(i)</w:t>
      </w:r>
      <w:r w:rsidRPr="00412620">
        <w:rPr>
          <w:rFonts w:cs="Arial"/>
          <w:sz w:val="20"/>
        </w:rPr>
        <w:tab/>
        <w:t xml:space="preserve">any other amount received as consideration for the provision, use or exploitation of property, including from the grant of a right to explore for, or exploit, natural resources; </w:t>
      </w:r>
    </w:p>
    <w:p w:rsidR="006A3F93" w:rsidRPr="00412620" w:rsidRDefault="006A3F93">
      <w:pPr>
        <w:jc w:val="both"/>
        <w:rPr>
          <w:rFonts w:cs="Arial"/>
          <w:sz w:val="20"/>
        </w:rPr>
      </w:pPr>
    </w:p>
    <w:p w:rsidR="006A3F93" w:rsidRPr="00A7684E" w:rsidRDefault="006A3F93">
      <w:pPr>
        <w:ind w:left="1620" w:hanging="540"/>
        <w:jc w:val="both"/>
        <w:rPr>
          <w:rFonts w:cs="Arial"/>
          <w:color w:val="000000" w:themeColor="text1"/>
          <w:sz w:val="20"/>
        </w:rPr>
      </w:pPr>
      <w:r w:rsidRPr="00412620">
        <w:rPr>
          <w:rFonts w:cs="Arial"/>
          <w:sz w:val="20"/>
        </w:rPr>
        <w:lastRenderedPageBreak/>
        <w:t>(j)</w:t>
      </w:r>
      <w:r w:rsidRPr="00412620">
        <w:rPr>
          <w:rFonts w:cs="Arial"/>
          <w:sz w:val="20"/>
        </w:rPr>
        <w:tab/>
        <w:t xml:space="preserve">the fair market value of any benefit, whether convertible to money or not, received in connection with the provision, use or exploitation of property; </w:t>
      </w:r>
      <w:r w:rsidR="00B55D04" w:rsidRPr="00A7684E">
        <w:rPr>
          <w:rStyle w:val="FootnoteReference"/>
          <w:rFonts w:cs="Arial"/>
          <w:color w:val="000000" w:themeColor="text1"/>
          <w:sz w:val="20"/>
        </w:rPr>
        <w:footnoteReference w:id="315"/>
      </w:r>
      <w:r w:rsidR="0092466C" w:rsidRPr="00A7684E">
        <w:rPr>
          <w:rFonts w:cs="Arial"/>
          <w:color w:val="000000" w:themeColor="text1"/>
          <w:sz w:val="20"/>
        </w:rPr>
        <w:t xml:space="preserve">[ </w:t>
      </w:r>
      <w:r w:rsidR="00B55D04" w:rsidRPr="00A7684E">
        <w:rPr>
          <w:rFonts w:cs="Arial"/>
          <w:color w:val="000000" w:themeColor="text1"/>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(k)</w:t>
      </w:r>
      <w:r w:rsidRPr="00412620">
        <w:rPr>
          <w:rFonts w:cs="Arial"/>
          <w:sz w:val="20"/>
        </w:rPr>
        <w:tab/>
        <w:t>any amount received by a person as consideration for vacating the possession of a building or part thereof, reduced  by any amount paid by the person to acquire possession of such building or part thereof.</w:t>
      </w:r>
    </w:p>
    <w:p w:rsidR="006A3F93" w:rsidRPr="00412620" w:rsidRDefault="006A3F93">
      <w:pPr>
        <w:jc w:val="both"/>
        <w:rPr>
          <w:rFonts w:cs="Arial"/>
          <w:sz w:val="20"/>
        </w:rPr>
      </w:pPr>
    </w:p>
    <w:p w:rsidR="006A3F93" w:rsidRPr="00A7684E" w:rsidRDefault="006A3F93">
      <w:pPr>
        <w:ind w:left="1620" w:hanging="630"/>
        <w:jc w:val="both"/>
        <w:rPr>
          <w:color w:val="000000" w:themeColor="text1"/>
          <w:sz w:val="20"/>
        </w:rPr>
      </w:pPr>
      <w:r w:rsidRPr="00412620">
        <w:rPr>
          <w:rStyle w:val="FootnoteReference"/>
          <w:rFonts w:cs="Arial"/>
          <w:sz w:val="20"/>
        </w:rPr>
        <w:footnoteReference w:id="316"/>
      </w:r>
      <w:r w:rsidRPr="00412620">
        <w:rPr>
          <w:sz w:val="20"/>
        </w:rPr>
        <w:t xml:space="preserve">[(l) </w:t>
      </w:r>
      <w:r w:rsidRPr="00412620">
        <w:rPr>
          <w:sz w:val="20"/>
        </w:rPr>
        <w:tab/>
        <w:t>any amount received by a person from Approved Income Payment Plan or Approved Annuity Plan under Voluntary Pension System Rules, 2005</w:t>
      </w:r>
      <w:r w:rsidR="004938F4" w:rsidRPr="00A7684E">
        <w:rPr>
          <w:color w:val="000000" w:themeColor="text1"/>
          <w:sz w:val="20"/>
        </w:rPr>
        <w:t>;</w:t>
      </w:r>
      <w:r w:rsidR="0092466C" w:rsidRPr="00A7684E">
        <w:rPr>
          <w:rStyle w:val="FootnoteReference"/>
          <w:color w:val="000000" w:themeColor="text1"/>
          <w:sz w:val="20"/>
        </w:rPr>
        <w:footnoteReference w:id="317"/>
      </w:r>
      <w:r w:rsidR="004938F4" w:rsidRPr="00A7684E">
        <w:rPr>
          <w:color w:val="000000" w:themeColor="text1"/>
          <w:sz w:val="20"/>
        </w:rPr>
        <w:t>[</w:t>
      </w:r>
      <w:r w:rsidR="0082523A" w:rsidRPr="00A7684E">
        <w:rPr>
          <w:color w:val="000000" w:themeColor="text1"/>
          <w:sz w:val="20"/>
        </w:rPr>
        <w:t>and</w:t>
      </w:r>
      <w:r w:rsidRPr="00A7684E">
        <w:rPr>
          <w:color w:val="000000" w:themeColor="text1"/>
          <w:sz w:val="20"/>
        </w:rPr>
        <w:t>]</w:t>
      </w:r>
    </w:p>
    <w:p w:rsidR="0092466C" w:rsidRPr="00A7684E" w:rsidRDefault="0092466C">
      <w:pPr>
        <w:ind w:left="1620" w:hanging="630"/>
        <w:jc w:val="both"/>
        <w:rPr>
          <w:color w:val="000000" w:themeColor="text1"/>
          <w:sz w:val="20"/>
        </w:rPr>
      </w:pPr>
    </w:p>
    <w:p w:rsidR="007B712A" w:rsidRPr="00A7684E" w:rsidRDefault="007B712A" w:rsidP="0077783F">
      <w:pPr>
        <w:ind w:left="547" w:firstLine="443"/>
        <w:jc w:val="both"/>
        <w:rPr>
          <w:rFonts w:cs="Arial"/>
          <w:color w:val="000000" w:themeColor="text1"/>
          <w:sz w:val="20"/>
        </w:rPr>
      </w:pPr>
      <w:r w:rsidRPr="00A7684E">
        <w:rPr>
          <w:rStyle w:val="FootnoteReference"/>
          <w:color w:val="000000" w:themeColor="text1"/>
          <w:sz w:val="20"/>
        </w:rPr>
        <w:footnoteReference w:id="318"/>
      </w:r>
      <w:r w:rsidR="0092466C" w:rsidRPr="00A7684E">
        <w:rPr>
          <w:color w:val="000000" w:themeColor="text1"/>
          <w:sz w:val="20"/>
        </w:rPr>
        <w:t>[</w:t>
      </w:r>
      <w:r w:rsidRPr="00A7684E">
        <w:rPr>
          <w:color w:val="000000" w:themeColor="text1"/>
          <w:sz w:val="20"/>
        </w:rPr>
        <w:t>(</w:t>
      </w:r>
      <w:r w:rsidR="003B24C1" w:rsidRPr="00A7684E">
        <w:rPr>
          <w:color w:val="000000" w:themeColor="text1"/>
          <w:sz w:val="20"/>
        </w:rPr>
        <w:t>m</w:t>
      </w:r>
      <w:r w:rsidRPr="00A7684E">
        <w:rPr>
          <w:color w:val="000000" w:themeColor="text1"/>
          <w:sz w:val="20"/>
        </w:rPr>
        <w:t>)</w:t>
      </w:r>
      <w:r w:rsidR="0077783F" w:rsidRPr="00A7684E">
        <w:rPr>
          <w:color w:val="000000" w:themeColor="text1"/>
          <w:sz w:val="20"/>
        </w:rPr>
        <w:tab/>
      </w:r>
      <w:r w:rsidRPr="00A7684E">
        <w:rPr>
          <w:rFonts w:cs="Arial"/>
          <w:color w:val="000000" w:themeColor="text1"/>
          <w:sz w:val="20"/>
        </w:rPr>
        <w:t xml:space="preserve">income arising to the shareholder of a company, from the  </w:t>
      </w:r>
      <w:r w:rsidRPr="00A7684E">
        <w:rPr>
          <w:rFonts w:cs="Arial"/>
          <w:color w:val="000000" w:themeColor="text1"/>
          <w:sz w:val="20"/>
        </w:rPr>
        <w:tab/>
      </w:r>
      <w:r w:rsidRPr="00A7684E">
        <w:rPr>
          <w:rFonts w:cs="Arial"/>
          <w:color w:val="000000" w:themeColor="text1"/>
          <w:sz w:val="20"/>
        </w:rPr>
        <w:tab/>
      </w:r>
      <w:r w:rsidRPr="00A7684E">
        <w:rPr>
          <w:rFonts w:cs="Arial"/>
          <w:color w:val="000000" w:themeColor="text1"/>
          <w:sz w:val="20"/>
        </w:rPr>
        <w:tab/>
        <w:t>issuance of bonus shares.</w:t>
      </w:r>
      <w:r w:rsidR="0092466C" w:rsidRPr="00A7684E">
        <w:rPr>
          <w:rFonts w:cs="Arial"/>
          <w:color w:val="000000" w:themeColor="text1"/>
          <w:sz w:val="20"/>
        </w:rPr>
        <w:t>]</w:t>
      </w:r>
    </w:p>
    <w:p w:rsidR="006A3F93" w:rsidRPr="004938F4" w:rsidRDefault="006A3F93">
      <w:pPr>
        <w:jc w:val="both"/>
        <w:rPr>
          <w:rFonts w:cs="Arial"/>
          <w:color w:val="00B0F0"/>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a person receives an amount referred to in clause (k) of sub-section (1), the amount shall be chargeable to tax under the head “Income from Other Sources” in the tax year in which it was received and the following nine tax years in equal proportion.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Subject to sub-section (4), any amount received as a loan, advance, deposit </w:t>
      </w:r>
      <w:r w:rsidRPr="00412620">
        <w:rPr>
          <w:rStyle w:val="FootnoteReference"/>
          <w:rFonts w:cs="Arial"/>
          <w:sz w:val="20"/>
        </w:rPr>
        <w:footnoteReference w:id="319"/>
      </w:r>
      <w:r w:rsidRPr="00412620">
        <w:rPr>
          <w:rFonts w:cs="Arial"/>
          <w:sz w:val="20"/>
        </w:rPr>
        <w:t xml:space="preserve">[for issuance of shares] or gift by a person in </w:t>
      </w:r>
      <w:r w:rsidRPr="00412620">
        <w:rPr>
          <w:rStyle w:val="FootnoteReference"/>
          <w:rFonts w:cs="Arial"/>
          <w:sz w:val="20"/>
        </w:rPr>
        <w:footnoteReference w:id="320"/>
      </w:r>
      <w:r w:rsidRPr="00412620">
        <w:rPr>
          <w:rFonts w:cs="Arial"/>
          <w:sz w:val="20"/>
        </w:rPr>
        <w:t xml:space="preserve">[a tax year]from another person (not being a banking company or financial institution) otherwise than by a crossed cheque drawn on a bank or through a banking channel from a person holding a National Tax Number </w:t>
      </w:r>
      <w:r w:rsidR="00177473" w:rsidRPr="00412620">
        <w:rPr>
          <w:rStyle w:val="FootnoteReference"/>
          <w:rFonts w:cs="Arial"/>
          <w:sz w:val="20"/>
        </w:rPr>
        <w:footnoteReference w:id="321"/>
      </w:r>
      <w:r w:rsidR="00177473" w:rsidRPr="00412620">
        <w:rPr>
          <w:rFonts w:cs="Arial"/>
          <w:sz w:val="20"/>
        </w:rPr>
        <w:t xml:space="preserve">[ ] </w:t>
      </w:r>
      <w:r w:rsidRPr="00412620">
        <w:rPr>
          <w:rFonts w:cs="Arial"/>
          <w:sz w:val="20"/>
        </w:rPr>
        <w:t>shall be treated as income chargeable to tax under the head “Income from Other Sources” for the tax year in which it was received.</w:t>
      </w:r>
    </w:p>
    <w:p w:rsidR="006A3F93" w:rsidRPr="00412620" w:rsidRDefault="006A3F93">
      <w:pPr>
        <w:jc w:val="both"/>
        <w:rPr>
          <w:rFonts w:cs="Arial"/>
        </w:rPr>
      </w:pPr>
    </w:p>
    <w:p w:rsidR="006A3F93" w:rsidRPr="00412620" w:rsidRDefault="006A3F93">
      <w:pPr>
        <w:jc w:val="both"/>
        <w:rPr>
          <w:rFonts w:cs="Arial"/>
          <w:sz w:val="20"/>
        </w:rPr>
      </w:pPr>
      <w:r w:rsidRPr="00412620">
        <w:rPr>
          <w:rFonts w:cs="Arial"/>
          <w:sz w:val="20"/>
        </w:rPr>
        <w:tab/>
        <w:t>(4)</w:t>
      </w:r>
      <w:r w:rsidRPr="00412620">
        <w:rPr>
          <w:rFonts w:cs="Arial"/>
          <w:sz w:val="20"/>
        </w:rPr>
        <w:tab/>
        <w:t>Sub-section (3) shall not apply to an advance payment for the sale of goods or supply of services.</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322"/>
      </w:r>
      <w:r w:rsidRPr="00412620">
        <w:rPr>
          <w:rFonts w:cs="Arial"/>
          <w:sz w:val="20"/>
        </w:rPr>
        <w:t>[(4A)</w:t>
      </w:r>
      <w:r w:rsidRPr="00412620">
        <w:rPr>
          <w:rFonts w:cs="Arial"/>
          <w:sz w:val="20"/>
        </w:rPr>
        <w:tab/>
        <w:t xml:space="preserve">Where </w:t>
      </w:r>
      <w:r w:rsidR="00AF7AD0" w:rsidRPr="00412620">
        <w:rPr>
          <w:rFonts w:cs="Arial"/>
          <w:b/>
          <w:sz w:val="20"/>
        </w:rPr>
        <w:t>—</w:t>
      </w:r>
    </w:p>
    <w:p w:rsidR="006A3F93" w:rsidRPr="00412620" w:rsidRDefault="006A3F93">
      <w:pPr>
        <w:pStyle w:val="BodyTextIndent"/>
        <w:jc w:val="both"/>
        <w:rPr>
          <w:rFonts w:cs="Arial"/>
        </w:rPr>
      </w:pPr>
    </w:p>
    <w:p w:rsidR="006A3F93" w:rsidRPr="00412620" w:rsidRDefault="006A3F93">
      <w:pPr>
        <w:pStyle w:val="BodyTextIndent"/>
        <w:ind w:left="1641" w:hanging="546"/>
        <w:jc w:val="both"/>
        <w:rPr>
          <w:rFonts w:cs="Arial"/>
          <w:sz w:val="20"/>
        </w:rPr>
      </w:pPr>
      <w:r w:rsidRPr="00412620">
        <w:rPr>
          <w:rFonts w:cs="Arial"/>
          <w:sz w:val="20"/>
        </w:rPr>
        <w:t xml:space="preserve">(a) </w:t>
      </w:r>
      <w:r w:rsidRPr="00412620">
        <w:rPr>
          <w:rFonts w:cs="Arial"/>
          <w:sz w:val="20"/>
        </w:rPr>
        <w:tab/>
        <w:t xml:space="preserve">any profit on debt derived from investment in National Savings Deposit Certificates including Defence Savings Certificate paid </w:t>
      </w:r>
      <w:r w:rsidRPr="00412620">
        <w:rPr>
          <w:rFonts w:cs="Arial"/>
          <w:sz w:val="20"/>
        </w:rPr>
        <w:lastRenderedPageBreak/>
        <w:t>to a person in arrears or the amount received includes profit chargeable to tax in the tax year or years preceding the tax year in which it is received; and</w:t>
      </w:r>
    </w:p>
    <w:p w:rsidR="006A3F93" w:rsidRPr="00412620" w:rsidRDefault="006A3F93">
      <w:pPr>
        <w:pStyle w:val="BodyTextIndent"/>
        <w:jc w:val="both"/>
        <w:rPr>
          <w:rFonts w:cs="Arial"/>
        </w:rPr>
      </w:pPr>
    </w:p>
    <w:p w:rsidR="006A3F93" w:rsidRPr="00412620" w:rsidRDefault="006A3F93">
      <w:pPr>
        <w:pStyle w:val="BodyTextIndent"/>
        <w:ind w:left="1641" w:hanging="546"/>
        <w:jc w:val="both"/>
        <w:rPr>
          <w:rFonts w:cs="Arial"/>
          <w:sz w:val="20"/>
        </w:rPr>
      </w:pPr>
      <w:r w:rsidRPr="00412620">
        <w:rPr>
          <w:rFonts w:cs="Arial"/>
          <w:sz w:val="20"/>
        </w:rPr>
        <w:t xml:space="preserve">(b) </w:t>
      </w:r>
      <w:r w:rsidRPr="00412620">
        <w:rPr>
          <w:rFonts w:cs="Arial"/>
          <w:sz w:val="20"/>
        </w:rPr>
        <w:tab/>
        <w:t xml:space="preserve">as a result the person is chargeable at higher rate of tax than would have been applicable if the profit had been paid to the person in the tax year to which it relates, </w:t>
      </w:r>
    </w:p>
    <w:p w:rsidR="006A3F93" w:rsidRPr="00412620" w:rsidRDefault="006A3F93">
      <w:pPr>
        <w:pStyle w:val="BodyTextIndent"/>
        <w:jc w:val="both"/>
        <w:rPr>
          <w:rFonts w:cs="Arial"/>
        </w:rPr>
      </w:pPr>
    </w:p>
    <w:p w:rsidR="006A3F93" w:rsidRPr="00412620" w:rsidRDefault="006A3F93">
      <w:pPr>
        <w:jc w:val="both"/>
        <w:rPr>
          <w:rFonts w:cs="Arial"/>
          <w:sz w:val="20"/>
        </w:rPr>
      </w:pPr>
      <w:r w:rsidRPr="00412620">
        <w:rPr>
          <w:rFonts w:cs="Arial"/>
          <w:sz w:val="20"/>
        </w:rPr>
        <w:t xml:space="preserve">the person may, by notice in writing to the Commissioner, elect for the profit to be taxed at the rate of tax that would have been applicable if the profit had been paid to the person in the tax year to which it relates.] </w:t>
      </w:r>
    </w:p>
    <w:p w:rsidR="006A3F93" w:rsidRPr="00412620" w:rsidRDefault="006A3F93">
      <w:pPr>
        <w:pStyle w:val="BodyTextIndent"/>
        <w:jc w:val="both"/>
        <w:rPr>
          <w:rFonts w:cs="Arial"/>
        </w:rPr>
      </w:pPr>
    </w:p>
    <w:p w:rsidR="006A3F93" w:rsidRPr="00412620" w:rsidRDefault="006A3F93">
      <w:pPr>
        <w:jc w:val="both"/>
        <w:rPr>
          <w:rFonts w:cs="Arial"/>
          <w:sz w:val="20"/>
        </w:rPr>
      </w:pPr>
      <w:r w:rsidRPr="00412620">
        <w:rPr>
          <w:rStyle w:val="FootnoteReference"/>
          <w:rFonts w:cs="Arial"/>
          <w:sz w:val="20"/>
        </w:rPr>
        <w:footnoteReference w:id="323"/>
      </w:r>
      <w:r w:rsidRPr="00412620">
        <w:rPr>
          <w:rFonts w:cs="Arial"/>
          <w:sz w:val="20"/>
        </w:rPr>
        <w:t>[(4B)</w:t>
      </w:r>
      <w:r w:rsidRPr="00412620">
        <w:rPr>
          <w:rFonts w:cs="Arial"/>
          <w:sz w:val="20"/>
        </w:rPr>
        <w:tab/>
        <w:t xml:space="preserve"> An election under sub-section (4A) shall be made by the due date for furnishing the person’s return of income for the tax year in which the amount was received or by such later date as the Commissioner may allow by an order in writing.] </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This section shall not apply to any income received by a person in a tax year that is chargeable to tax under any other head of income or subject to tax under section 5, 6 or 7. </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324"/>
      </w:r>
      <w:r w:rsidRPr="00412620">
        <w:rPr>
          <w:rFonts w:cs="Arial"/>
          <w:sz w:val="20"/>
        </w:rPr>
        <w:t>[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40.</w:t>
      </w:r>
      <w:r w:rsidRPr="00412620">
        <w:rPr>
          <w:rFonts w:cs="Arial"/>
          <w:b/>
          <w:sz w:val="20"/>
        </w:rPr>
        <w:tab/>
        <w:t>Deductions in computing income chargeable under the head “Income from Other Sources”.</w:t>
      </w:r>
      <w:r w:rsidR="00AF7AD0" w:rsidRPr="00412620">
        <w:rPr>
          <w:rFonts w:cs="Arial"/>
          <w:b/>
          <w:sz w:val="20"/>
        </w:rPr>
        <w:t>—</w:t>
      </w:r>
      <w:r w:rsidRPr="00412620">
        <w:rPr>
          <w:sz w:val="20"/>
        </w:rPr>
        <w:t xml:space="preserve"> (1)  Subject to this Ordinance, in computing the income of a person chargeable to tax under the head “Income from Other Sources” for a tax year, a deduction shall be allowed for any expenditure paid by the person in the year to the extent to which the expenditure is paid in deriving income chargeable to tax under that head, other than expenditure of a capital nature.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 person receiving any profit on debt chargeable to tax under the head “Income from Other Sources” shall be allowed a deduction for any Zakat paid by the person </w:t>
      </w:r>
      <w:r w:rsidRPr="00412620">
        <w:rPr>
          <w:rStyle w:val="FootnoteReference"/>
          <w:rFonts w:cs="Arial"/>
          <w:sz w:val="20"/>
        </w:rPr>
        <w:footnoteReference w:id="325"/>
      </w:r>
      <w:r w:rsidRPr="00412620">
        <w:rPr>
          <w:rFonts w:cs="Arial"/>
          <w:sz w:val="20"/>
        </w:rPr>
        <w:t>[  ] under the Zakat and Ushr Ordinance, 1980 (XVIII of 1980), at the time the profit is paid to the person.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A person receiving income referred to in clause </w:t>
      </w:r>
      <w:r w:rsidRPr="00412620">
        <w:rPr>
          <w:rStyle w:val="FootnoteReference"/>
          <w:rFonts w:cs="Arial"/>
          <w:sz w:val="20"/>
        </w:rPr>
        <w:footnoteReference w:id="326"/>
      </w:r>
      <w:r w:rsidRPr="00412620">
        <w:rPr>
          <w:rFonts w:cs="Arial"/>
          <w:sz w:val="20"/>
        </w:rPr>
        <w:t xml:space="preserve">[  ] (f) of sub-section (1) of section 39 chargeable to tax under the head “Income from Other Sources” shall be allowed </w:t>
      </w:r>
      <w:r w:rsidR="00AF7AD0" w:rsidRPr="00412620">
        <w:rPr>
          <w:rFonts w:cs="Arial"/>
          <w:b/>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lastRenderedPageBreak/>
        <w:t>(a)</w:t>
      </w:r>
      <w:r w:rsidRPr="00412620">
        <w:rPr>
          <w:rFonts w:cs="Arial"/>
          <w:sz w:val="20"/>
        </w:rPr>
        <w:tab/>
        <w:t>a deduction for the depreciation of any plant, machinery or building used to derive that income in accordance with section 22;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an initial allowance for any plant or machinery used to derive that income in accordance with section 23.</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No deduction shall be allowed to a person under this section to the extent that the expenditure is deductible in computing the income of the person under another head of income.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The provisions of section 21 shall apply in determining the deductions allowed to a person under this section in the same manner as they apply in determining the deductions allowed in computing the income of the person chargeable to tax under the head "Income from Business".</w:t>
      </w:r>
    </w:p>
    <w:p w:rsidR="006A3F93" w:rsidRPr="00412620" w:rsidRDefault="006A3F93">
      <w:pPr>
        <w:rPr>
          <w:rFonts w:cs="Arial"/>
          <w:sz w:val="20"/>
        </w:rPr>
      </w:pPr>
    </w:p>
    <w:p w:rsidR="006A3F93" w:rsidRPr="00412620" w:rsidRDefault="006A3F93">
      <w:pPr>
        <w:rPr>
          <w:rFonts w:cs="Arial"/>
          <w:b/>
          <w:sz w:val="20"/>
        </w:rPr>
      </w:pPr>
      <w:r w:rsidRPr="00412620">
        <w:rPr>
          <w:rStyle w:val="FootnoteReference"/>
          <w:rFonts w:cs="Arial"/>
          <w:sz w:val="20"/>
        </w:rPr>
        <w:footnoteReference w:id="327"/>
      </w:r>
      <w:r w:rsidRPr="00412620">
        <w:rPr>
          <w:rFonts w:cs="Arial"/>
          <w:sz w:val="20"/>
        </w:rPr>
        <w:t xml:space="preserve">[(6) </w:t>
      </w:r>
      <w:r w:rsidRPr="00412620">
        <w:rPr>
          <w:rFonts w:cs="Arial"/>
          <w:sz w:val="20"/>
        </w:rPr>
        <w:tab/>
        <w:t>Expenditure is of a capital nature if it has a normal useful life of more than one year.]</w:t>
      </w:r>
    </w:p>
    <w:p w:rsidR="006A3F93" w:rsidRPr="00412620" w:rsidRDefault="006A3F93">
      <w:pPr>
        <w:jc w:val="center"/>
        <w:rPr>
          <w:rFonts w:cs="Arial"/>
          <w:sz w:val="20"/>
        </w:rPr>
      </w:pPr>
    </w:p>
    <w:p w:rsidR="006A3F93" w:rsidRPr="00412620" w:rsidRDefault="007C372A">
      <w:pPr>
        <w:keepNext/>
        <w:jc w:val="center"/>
        <w:rPr>
          <w:rFonts w:cs="Arial"/>
          <w:b/>
          <w:sz w:val="32"/>
          <w:szCs w:val="32"/>
        </w:rPr>
      </w:pPr>
      <w:r w:rsidRPr="00412620">
        <w:rPr>
          <w:rFonts w:cs="Arial"/>
          <w:b/>
          <w:sz w:val="20"/>
        </w:rPr>
        <w:br w:type="page"/>
      </w:r>
      <w:r w:rsidR="006A3F93" w:rsidRPr="00412620">
        <w:rPr>
          <w:rFonts w:cs="Arial"/>
          <w:b/>
          <w:sz w:val="32"/>
          <w:szCs w:val="32"/>
        </w:rPr>
        <w:lastRenderedPageBreak/>
        <w:t>PART VII</w:t>
      </w:r>
    </w:p>
    <w:p w:rsidR="006A3F93" w:rsidRPr="00412620" w:rsidRDefault="006A3F93">
      <w:pPr>
        <w:keepNext/>
        <w:jc w:val="center"/>
        <w:rPr>
          <w:rFonts w:cs="Arial"/>
          <w:b/>
          <w:sz w:val="20"/>
        </w:rPr>
      </w:pPr>
      <w:r w:rsidRPr="00412620">
        <w:rPr>
          <w:rFonts w:cs="Arial"/>
          <w:b/>
          <w:sz w:val="20"/>
        </w:rPr>
        <w:t>EXEMPTIONS AND TAX CONCESSIONS</w:t>
      </w:r>
    </w:p>
    <w:p w:rsidR="006A3F93" w:rsidRPr="00412620" w:rsidRDefault="006A3F93">
      <w:pPr>
        <w:keepNext/>
        <w:jc w:val="center"/>
        <w:rPr>
          <w:rFonts w:cs="Arial"/>
          <w:b/>
          <w:i/>
          <w:sz w:val="20"/>
        </w:rPr>
      </w:pPr>
    </w:p>
    <w:p w:rsidR="006A3F93" w:rsidRPr="00412620" w:rsidRDefault="006A3F93">
      <w:pPr>
        <w:jc w:val="both"/>
        <w:rPr>
          <w:sz w:val="20"/>
        </w:rPr>
      </w:pPr>
      <w:r w:rsidRPr="00412620">
        <w:rPr>
          <w:rFonts w:cs="Arial"/>
          <w:b/>
          <w:sz w:val="20"/>
        </w:rPr>
        <w:t>41.</w:t>
      </w:r>
      <w:r w:rsidRPr="00412620">
        <w:rPr>
          <w:rFonts w:cs="Arial"/>
          <w:b/>
          <w:sz w:val="20"/>
        </w:rPr>
        <w:tab/>
        <w:t>Agricultural income.</w:t>
      </w:r>
      <w:r w:rsidR="00AF7AD0" w:rsidRPr="00412620">
        <w:rPr>
          <w:rFonts w:cs="Arial"/>
          <w:b/>
          <w:sz w:val="20"/>
        </w:rPr>
        <w:t xml:space="preserve"> —</w:t>
      </w:r>
      <w:r w:rsidRPr="00412620">
        <w:rPr>
          <w:sz w:val="20"/>
        </w:rPr>
        <w:t xml:space="preserve"> (1) Agricultural income derived by a person shall be exempt from tax under this Ordinance.</w:t>
      </w:r>
    </w:p>
    <w:p w:rsidR="006A3F93" w:rsidRPr="00412620" w:rsidRDefault="006A3F93">
      <w:pPr>
        <w:jc w:val="both"/>
        <w:rPr>
          <w:rFonts w:cs="Arial"/>
          <w:sz w:val="20"/>
        </w:rPr>
      </w:pPr>
    </w:p>
    <w:p w:rsidR="006A3F93" w:rsidRPr="00412620" w:rsidRDefault="006A3F93">
      <w:pPr>
        <w:ind w:left="1080" w:hanging="540"/>
        <w:jc w:val="both"/>
        <w:rPr>
          <w:rFonts w:cs="Arial"/>
          <w:sz w:val="20"/>
        </w:rPr>
      </w:pPr>
      <w:r w:rsidRPr="00412620">
        <w:rPr>
          <w:rFonts w:cs="Arial"/>
          <w:sz w:val="20"/>
        </w:rPr>
        <w:t>(2)</w:t>
      </w:r>
      <w:r w:rsidRPr="00412620">
        <w:rPr>
          <w:rFonts w:cs="Arial"/>
          <w:sz w:val="20"/>
        </w:rPr>
        <w:tab/>
        <w:t xml:space="preserve">In this section, “agricultural income” means, </w:t>
      </w:r>
      <w:r w:rsidR="00AF7AD0" w:rsidRPr="00412620">
        <w:rPr>
          <w:rFonts w:cs="Arial"/>
          <w:b/>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any rent or revenue derived by a person from land which is situated in Pakistan and is used for agricultural purposes;</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any income derived by a person from land situated in Pakistan from </w:t>
      </w:r>
      <w:r w:rsidR="00AF7AD0" w:rsidRPr="00412620">
        <w:rPr>
          <w:rFonts w:cs="Arial"/>
          <w:b/>
          <w:sz w:val="20"/>
        </w:rPr>
        <w:t>—</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(i)</w:t>
      </w:r>
      <w:r w:rsidRPr="00412620">
        <w:rPr>
          <w:rFonts w:cs="Arial"/>
          <w:sz w:val="20"/>
        </w:rPr>
        <w:tab/>
        <w:t>agriculture;</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(ii)</w:t>
      </w:r>
      <w:r w:rsidRPr="00412620">
        <w:rPr>
          <w:rFonts w:cs="Arial"/>
          <w:sz w:val="20"/>
        </w:rPr>
        <w:tab/>
        <w:t>the performance by a cultivator or receiver of rent-in-kind of any process ordinarily employed by such person to render the produce raised or received by the person fit to be taken to market; or</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(iii)</w:t>
      </w:r>
      <w:r w:rsidRPr="00412620">
        <w:rPr>
          <w:rFonts w:cs="Arial"/>
          <w:sz w:val="20"/>
        </w:rPr>
        <w:tab/>
        <w:t>the sale by a cultivator or receiver of rent-in-kind of the produce raised or received by such person, in respect of which no process has been performed other than a process of the nature described in sub-clause (ii);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any income derived by a person from </w:t>
      </w:r>
      <w:r w:rsidR="00AF7AD0" w:rsidRPr="00412620">
        <w:rPr>
          <w:rFonts w:cs="Arial"/>
          <w:b/>
          <w:sz w:val="20"/>
        </w:rPr>
        <w:t>—</w:t>
      </w:r>
    </w:p>
    <w:p w:rsidR="006A3F93" w:rsidRPr="00412620" w:rsidRDefault="006A3F93">
      <w:pPr>
        <w:pStyle w:val="BodyTextIndent"/>
        <w:jc w:val="both"/>
        <w:rPr>
          <w:rFonts w:cs="Arial"/>
          <w:sz w:val="20"/>
        </w:rPr>
      </w:pPr>
    </w:p>
    <w:p w:rsidR="006A3F93" w:rsidRPr="00412620" w:rsidRDefault="006A3F93">
      <w:pPr>
        <w:pStyle w:val="BodyTextIndent"/>
        <w:ind w:left="2160" w:hanging="450"/>
        <w:jc w:val="both"/>
        <w:rPr>
          <w:rFonts w:cs="Arial"/>
          <w:sz w:val="20"/>
        </w:rPr>
      </w:pPr>
      <w:r w:rsidRPr="00412620">
        <w:rPr>
          <w:rFonts w:cs="Arial"/>
          <w:sz w:val="20"/>
        </w:rPr>
        <w:t>(i)</w:t>
      </w:r>
      <w:r w:rsidRPr="00412620">
        <w:rPr>
          <w:rFonts w:cs="Arial"/>
          <w:sz w:val="20"/>
        </w:rPr>
        <w:tab/>
        <w:t>any building owned and occupied by the receiver of the rent or revenue of any land described in clause (a) or (b);</w:t>
      </w:r>
    </w:p>
    <w:p w:rsidR="006A3F93" w:rsidRPr="00412620" w:rsidRDefault="006A3F93">
      <w:pPr>
        <w:pStyle w:val="BodyTextIndent"/>
        <w:jc w:val="both"/>
        <w:rPr>
          <w:rFonts w:cs="Arial"/>
          <w:sz w:val="20"/>
        </w:rPr>
      </w:pPr>
    </w:p>
    <w:p w:rsidR="006A3F93" w:rsidRPr="00412620" w:rsidRDefault="006A3F93">
      <w:pPr>
        <w:pStyle w:val="BodyTextIndent"/>
        <w:ind w:left="2160" w:hanging="450"/>
        <w:jc w:val="both"/>
        <w:rPr>
          <w:rFonts w:cs="Arial"/>
          <w:sz w:val="20"/>
        </w:rPr>
      </w:pPr>
      <w:r w:rsidRPr="00412620">
        <w:rPr>
          <w:rFonts w:cs="Arial"/>
          <w:sz w:val="20"/>
        </w:rPr>
        <w:t>(ii)</w:t>
      </w:r>
      <w:r w:rsidRPr="00412620">
        <w:rPr>
          <w:rFonts w:cs="Arial"/>
          <w:sz w:val="20"/>
        </w:rPr>
        <w:tab/>
        <w:t xml:space="preserve">any building occupied by the cultivator, or the receiver of rent-in-kind, of any land in respect of which, or the produce of which, any operation specified in sub-clauses (ii) or (iii) of clause (b) is carried on, </w:t>
      </w:r>
    </w:p>
    <w:p w:rsidR="006A3F93" w:rsidRPr="00412620" w:rsidRDefault="006A3F93">
      <w:pPr>
        <w:pStyle w:val="BodyTextIndent"/>
        <w:jc w:val="both"/>
        <w:rPr>
          <w:rFonts w:cs="Arial"/>
          <w:sz w:val="20"/>
        </w:rPr>
      </w:pPr>
    </w:p>
    <w:p w:rsidR="006A3F93" w:rsidRPr="00412620" w:rsidRDefault="006A3F93">
      <w:pPr>
        <w:pStyle w:val="BodyTextIndent"/>
        <w:ind w:left="1620" w:firstLine="0"/>
        <w:jc w:val="both"/>
        <w:rPr>
          <w:rFonts w:cs="Arial"/>
          <w:sz w:val="20"/>
        </w:rPr>
      </w:pPr>
      <w:r w:rsidRPr="00412620">
        <w:rPr>
          <w:rFonts w:cs="Arial"/>
          <w:sz w:val="20"/>
        </w:rPr>
        <w:t>but only where the building is on, or in the immediate vicinity of the land and is a building which the receiver of the rent or revenue, or the cultivator, or the receiver of the rent-in-kind by reason of the person’s connection with the land, requires as a dwelling-house, a store-house, or other out-building.</w:t>
      </w:r>
    </w:p>
    <w:p w:rsidR="006A3F93" w:rsidRPr="00412620" w:rsidRDefault="006A3F93">
      <w:pPr>
        <w:pStyle w:val="Header"/>
        <w:tabs>
          <w:tab w:val="left" w:pos="547"/>
        </w:tabs>
        <w:jc w:val="both"/>
        <w:rPr>
          <w:rFonts w:cs="Arial"/>
          <w:sz w:val="20"/>
        </w:rPr>
      </w:pPr>
    </w:p>
    <w:p w:rsidR="006A3F93" w:rsidRPr="00412620" w:rsidRDefault="006A3F93">
      <w:pPr>
        <w:jc w:val="both"/>
        <w:rPr>
          <w:sz w:val="20"/>
        </w:rPr>
      </w:pPr>
      <w:r w:rsidRPr="00412620">
        <w:rPr>
          <w:rFonts w:cs="Arial"/>
          <w:b/>
          <w:sz w:val="20"/>
        </w:rPr>
        <w:t>42.</w:t>
      </w:r>
      <w:r w:rsidRPr="00412620">
        <w:rPr>
          <w:rFonts w:cs="Arial"/>
          <w:b/>
          <w:sz w:val="20"/>
        </w:rPr>
        <w:tab/>
        <w:t>Diplomatic and United Nations exemptions.</w:t>
      </w:r>
      <w:r w:rsidR="00AF7AD0" w:rsidRPr="00412620">
        <w:rPr>
          <w:rFonts w:cs="Arial"/>
          <w:b/>
          <w:sz w:val="20"/>
        </w:rPr>
        <w:t xml:space="preserve"> —</w:t>
      </w:r>
      <w:r w:rsidR="000256B1">
        <w:rPr>
          <w:sz w:val="20"/>
        </w:rPr>
        <w:t xml:space="preserve"> (1) </w:t>
      </w:r>
      <w:r w:rsidRPr="00412620">
        <w:rPr>
          <w:sz w:val="20"/>
        </w:rPr>
        <w:t xml:space="preserve">The income of an individual entitled to privileges under the Diplomatic and Consular Privileges Act, </w:t>
      </w:r>
      <w:r w:rsidRPr="00412620">
        <w:rPr>
          <w:sz w:val="20"/>
        </w:rPr>
        <w:lastRenderedPageBreak/>
        <w:t>1972 (IX of 1972) shall be exempt from tax under this Ordinance to the extent provided for in that Act.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income of an individual entitled to privileges under the United Nations (Privileges and Immunities) Act, 1948 (XX of 1948), shall be exempt from tax under this Ordinance to the extent provided for in that Act.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Any pension received by a person, being a citizen of Pakistan, by virtue of the person’s former employment in the United Nations or its specialised agencies (including the International Court of Justice) provided the </w:t>
      </w:r>
      <w:r w:rsidR="007B11B3" w:rsidRPr="00412620">
        <w:rPr>
          <w:rFonts w:cs="Arial"/>
          <w:sz w:val="20"/>
        </w:rPr>
        <w:t>person’s salary</w:t>
      </w:r>
      <w:r w:rsidRPr="00412620">
        <w:rPr>
          <w:rFonts w:cs="Arial"/>
          <w:sz w:val="20"/>
        </w:rPr>
        <w:t xml:space="preserve"> from such employment was exempt under this Ordinance.</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43.</w:t>
      </w:r>
      <w:r w:rsidRPr="00412620">
        <w:rPr>
          <w:rFonts w:cs="Arial"/>
          <w:b/>
          <w:sz w:val="20"/>
        </w:rPr>
        <w:tab/>
        <w:t>Foreign government officials.</w:t>
      </w:r>
      <w:r w:rsidR="00AF7AD0" w:rsidRPr="00412620">
        <w:rPr>
          <w:rFonts w:cs="Arial"/>
          <w:b/>
          <w:sz w:val="20"/>
        </w:rPr>
        <w:t>—</w:t>
      </w:r>
      <w:r w:rsidRPr="00412620">
        <w:rPr>
          <w:sz w:val="20"/>
        </w:rPr>
        <w:t xml:space="preserve"> Any salary received by an employee of a foreign government as remuneration for services rendered to such government shall be exempt from tax under this Ordinance provided </w:t>
      </w:r>
      <w:r w:rsidR="00AF7AD0" w:rsidRPr="00412620">
        <w:rPr>
          <w:rFonts w:cs="Arial"/>
          <w:b/>
          <w:sz w:val="20"/>
        </w:rPr>
        <w:t>—</w:t>
      </w:r>
    </w:p>
    <w:p w:rsidR="006A3F93" w:rsidRPr="00412620" w:rsidRDefault="006A3F93">
      <w:pPr>
        <w:jc w:val="both"/>
        <w:rPr>
          <w:rFonts w:cs="Arial"/>
          <w:sz w:val="20"/>
        </w:rPr>
      </w:pPr>
    </w:p>
    <w:p w:rsidR="006A3F93" w:rsidRPr="00412620" w:rsidRDefault="006A3F93">
      <w:pPr>
        <w:pStyle w:val="BodyTextIndent3"/>
        <w:ind w:left="1620" w:hanging="540"/>
        <w:jc w:val="both"/>
        <w:rPr>
          <w:rFonts w:cs="Arial"/>
          <w:b/>
          <w:sz w:val="20"/>
        </w:rPr>
      </w:pPr>
      <w:r w:rsidRPr="00412620">
        <w:rPr>
          <w:rFonts w:cs="Arial"/>
          <w:sz w:val="20"/>
        </w:rPr>
        <w:t>(a)</w:t>
      </w:r>
      <w:r w:rsidRPr="00412620">
        <w:rPr>
          <w:rFonts w:cs="Arial"/>
          <w:sz w:val="20"/>
        </w:rPr>
        <w:tab/>
        <w:t>the employee is a citizen of the foreign country and not a citizen of Pakistan;</w:t>
      </w:r>
    </w:p>
    <w:p w:rsidR="006A3F93" w:rsidRPr="00412620" w:rsidRDefault="006A3F93">
      <w:pPr>
        <w:jc w:val="both"/>
        <w:rPr>
          <w:rFonts w:cs="Arial"/>
          <w:sz w:val="20"/>
        </w:rPr>
      </w:pPr>
    </w:p>
    <w:p w:rsidR="006A3F93" w:rsidRPr="00412620" w:rsidRDefault="006A3F93">
      <w:pPr>
        <w:pStyle w:val="BodyTextIndent3"/>
        <w:ind w:left="1620" w:hanging="540"/>
        <w:jc w:val="both"/>
        <w:rPr>
          <w:rFonts w:cs="Arial"/>
          <w:sz w:val="20"/>
        </w:rPr>
      </w:pPr>
      <w:r w:rsidRPr="00412620">
        <w:rPr>
          <w:rFonts w:cs="Arial"/>
          <w:sz w:val="20"/>
        </w:rPr>
        <w:t>(b)</w:t>
      </w:r>
      <w:r w:rsidRPr="00412620">
        <w:rPr>
          <w:rFonts w:cs="Arial"/>
          <w:sz w:val="20"/>
        </w:rPr>
        <w:tab/>
        <w:t xml:space="preserve">the services performed by the employee are of a character similar to those performed by employees of the Federal Government in foreign countries; </w:t>
      </w:r>
      <w:r w:rsidRPr="00412620">
        <w:rPr>
          <w:rFonts w:cs="Arial"/>
          <w:sz w:val="20"/>
          <w:vertAlign w:val="superscript"/>
        </w:rPr>
        <w:footnoteReference w:id="328"/>
      </w:r>
      <w:r w:rsidRPr="00412620">
        <w:rPr>
          <w:rFonts w:cs="Arial"/>
          <w:sz w:val="20"/>
        </w:rPr>
        <w:t xml:space="preserve">[and] </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1620" w:hanging="540"/>
        <w:jc w:val="both"/>
        <w:rPr>
          <w:rFonts w:cs="Arial"/>
          <w:sz w:val="20"/>
        </w:rPr>
      </w:pPr>
      <w:r w:rsidRPr="00412620">
        <w:rPr>
          <w:rFonts w:cs="Arial"/>
          <w:sz w:val="20"/>
        </w:rPr>
        <w:t>(c)</w:t>
      </w:r>
      <w:r w:rsidRPr="00412620">
        <w:rPr>
          <w:rFonts w:cs="Arial"/>
          <w:sz w:val="20"/>
        </w:rPr>
        <w:tab/>
        <w:t>the foreign government grants a similar exemption to employees of the Federal Government performing similar services in such foreign country</w:t>
      </w:r>
      <w:r w:rsidRPr="00412620">
        <w:rPr>
          <w:rStyle w:val="FootnoteReference"/>
          <w:rFonts w:cs="Arial"/>
          <w:sz w:val="20"/>
        </w:rPr>
        <w:footnoteReference w:id="329"/>
      </w:r>
      <w:r w:rsidRPr="00412620">
        <w:rPr>
          <w:rFonts w:cs="Arial"/>
          <w:sz w:val="20"/>
        </w:rPr>
        <w:t>[.]</w:t>
      </w:r>
    </w:p>
    <w:p w:rsidR="006A3F93" w:rsidRPr="00412620" w:rsidRDefault="006A3F93">
      <w:pPr>
        <w:jc w:val="both"/>
        <w:rPr>
          <w:rFonts w:cs="Arial"/>
          <w:sz w:val="20"/>
        </w:rPr>
      </w:pPr>
    </w:p>
    <w:p w:rsidR="006A3F93" w:rsidRPr="00412620" w:rsidRDefault="006A3F93">
      <w:pPr>
        <w:ind w:left="533" w:firstLine="457"/>
        <w:rPr>
          <w:sz w:val="20"/>
        </w:rPr>
      </w:pPr>
      <w:r w:rsidRPr="00412620">
        <w:rPr>
          <w:rStyle w:val="FootnoteReference"/>
          <w:rFonts w:cs="Arial"/>
          <w:sz w:val="20"/>
        </w:rPr>
        <w:footnoteReference w:id="330"/>
      </w:r>
      <w:r w:rsidRPr="00412620">
        <w:rPr>
          <w:sz w:val="20"/>
        </w:rPr>
        <w:t>[  ]</w:t>
      </w:r>
    </w:p>
    <w:p w:rsidR="006A3F93" w:rsidRPr="00412620" w:rsidRDefault="006A3F93">
      <w:pPr>
        <w:rPr>
          <w:rFonts w:cs="Arial"/>
          <w:sz w:val="20"/>
        </w:rPr>
      </w:pPr>
    </w:p>
    <w:p w:rsidR="006A3F93" w:rsidRPr="00412620" w:rsidRDefault="006A3F93" w:rsidP="00AF7AD0">
      <w:pPr>
        <w:jc w:val="both"/>
        <w:rPr>
          <w:sz w:val="20"/>
        </w:rPr>
      </w:pPr>
      <w:r w:rsidRPr="00412620">
        <w:rPr>
          <w:rFonts w:cs="Arial"/>
          <w:b/>
          <w:sz w:val="20"/>
        </w:rPr>
        <w:t>44.</w:t>
      </w:r>
      <w:r w:rsidRPr="00412620">
        <w:rPr>
          <w:rFonts w:cs="Arial"/>
          <w:b/>
          <w:sz w:val="20"/>
        </w:rPr>
        <w:tab/>
        <w:t>Exemptions under international agreements.</w:t>
      </w:r>
      <w:r w:rsidR="00AF7AD0" w:rsidRPr="00412620">
        <w:rPr>
          <w:rFonts w:cs="Arial"/>
          <w:b/>
          <w:sz w:val="20"/>
        </w:rPr>
        <w:t>—</w:t>
      </w:r>
      <w:r w:rsidRPr="00412620">
        <w:rPr>
          <w:sz w:val="20"/>
        </w:rPr>
        <w:t xml:space="preserve"> (1)  Any Pakistan-source income which Pakistan is not permitted to tax under a tax treaty shall be exempt from tax under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Any salary received by an individual (not being a citizen of Pakistan) shall be exempt from tax under this Ordinance to the extent provided for in an Aid Agreement between the Federal Government and a foreign government or public international organization, where –</w:t>
      </w:r>
    </w:p>
    <w:p w:rsidR="006A3F93" w:rsidRPr="00412620" w:rsidRDefault="00C3002E">
      <w:pPr>
        <w:jc w:val="both"/>
        <w:rPr>
          <w:rFonts w:cs="Arial"/>
          <w:sz w:val="20"/>
        </w:rPr>
      </w:pPr>
      <w:r w:rsidRPr="00412620">
        <w:rPr>
          <w:rFonts w:cs="Arial"/>
          <w:sz w:val="20"/>
        </w:rPr>
        <w:br w:type="page"/>
      </w:r>
    </w:p>
    <w:p w:rsidR="006A3F93" w:rsidRPr="00412620" w:rsidRDefault="006A3F93">
      <w:pPr>
        <w:pStyle w:val="BodyTextIndent"/>
        <w:ind w:left="1620" w:hanging="540"/>
        <w:jc w:val="both"/>
        <w:rPr>
          <w:rFonts w:cs="Arial"/>
          <w:sz w:val="20"/>
        </w:rPr>
      </w:pPr>
      <w:r w:rsidRPr="00412620">
        <w:rPr>
          <w:rFonts w:cs="Arial"/>
          <w:sz w:val="20"/>
        </w:rPr>
        <w:lastRenderedPageBreak/>
        <w:t>(a)</w:t>
      </w:r>
      <w:r w:rsidRPr="00412620">
        <w:rPr>
          <w:rFonts w:cs="Arial"/>
          <w:sz w:val="20"/>
        </w:rPr>
        <w:tab/>
        <w:t xml:space="preserve">the individual is either </w:t>
      </w:r>
      <w:r w:rsidRPr="00412620">
        <w:rPr>
          <w:rStyle w:val="FootnoteReference"/>
          <w:rFonts w:cs="Arial"/>
          <w:sz w:val="20"/>
        </w:rPr>
        <w:footnoteReference w:id="331"/>
      </w:r>
      <w:r w:rsidRPr="00412620">
        <w:rPr>
          <w:rFonts w:cs="Arial"/>
          <w:sz w:val="20"/>
        </w:rPr>
        <w:t>[not a resident] individual or a resident individual solely by reason of the performance of services under the Aid Agreement;</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if the Aid Agreement is with a foreign country, the individual is a citizen of that country;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the salary is paid by the foreign government or public international organisation out of funds or grants released as aid to Pakistan in pursuance of such Agreement.</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Any income received by a person (not being a citizen of Pakistan) engaged as a contractor, consultant, or expert on a project in Pakistan shall be exempt from tax under this Ordinance to the extent provided for in a bilateral or multilateral technical assistance agreement between the Federal Government and a foreign government or public international organisation, where </w:t>
      </w:r>
      <w:r w:rsidR="00A205C4" w:rsidRPr="00412620">
        <w:rPr>
          <w:rFonts w:cs="Arial"/>
          <w:sz w:val="20"/>
        </w:rPr>
        <w:t>—</w:t>
      </w:r>
    </w:p>
    <w:p w:rsidR="006A3F93" w:rsidRPr="00412620" w:rsidRDefault="006A3F93">
      <w:pPr>
        <w:pStyle w:val="Header"/>
        <w:tabs>
          <w:tab w:val="left" w:pos="547"/>
        </w:tabs>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project is financed out of grant funds in accordance with the agreement;</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person is either a non-resident person or a resident person solely by reason of the performance of services under the agreement;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the income is paid out of the funds of the grant in pursuance of the agreement.</w:t>
      </w:r>
    </w:p>
    <w:p w:rsidR="006A3F93" w:rsidRPr="00412620" w:rsidRDefault="006A3F93">
      <w:pPr>
        <w:pStyle w:val="BodyTextIndent"/>
        <w:jc w:val="both"/>
        <w:rPr>
          <w:rFonts w:cs="Arial"/>
          <w:sz w:val="20"/>
        </w:rPr>
      </w:pPr>
    </w:p>
    <w:p w:rsidR="006A3F93" w:rsidRPr="00412620" w:rsidRDefault="006A3F93">
      <w:pPr>
        <w:jc w:val="both"/>
        <w:rPr>
          <w:sz w:val="20"/>
        </w:rPr>
      </w:pPr>
      <w:r w:rsidRPr="00412620">
        <w:rPr>
          <w:rFonts w:cs="Arial"/>
          <w:b/>
          <w:sz w:val="20"/>
        </w:rPr>
        <w:t>45.</w:t>
      </w:r>
      <w:r w:rsidRPr="00412620">
        <w:rPr>
          <w:rFonts w:cs="Arial"/>
          <w:b/>
          <w:sz w:val="20"/>
        </w:rPr>
        <w:tab/>
        <w:t>President’s honours.</w:t>
      </w:r>
      <w:r w:rsidR="00F67672" w:rsidRPr="00412620">
        <w:rPr>
          <w:rFonts w:cs="Arial"/>
          <w:b/>
          <w:sz w:val="20"/>
        </w:rPr>
        <w:t>—</w:t>
      </w:r>
      <w:r w:rsidRPr="00412620">
        <w:rPr>
          <w:sz w:val="20"/>
        </w:rPr>
        <w:t xml:space="preserve"> (1)  Any allowance attached to any Honour, Award, or Medal awarded to a person by the President of Pakistan shall be exempt from tax under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Any monetary award granted to a person by the President of Pakistan shall be exempt from tax under this Ordinance.</w:t>
      </w:r>
    </w:p>
    <w:p w:rsidR="006A3F93" w:rsidRPr="00412620" w:rsidRDefault="006A3F93">
      <w:pPr>
        <w:jc w:val="both"/>
        <w:rPr>
          <w:rFonts w:cs="Arial"/>
          <w:sz w:val="20"/>
        </w:rPr>
      </w:pPr>
    </w:p>
    <w:p w:rsidR="006A3F93" w:rsidRPr="00412620" w:rsidRDefault="00F67672">
      <w:pPr>
        <w:jc w:val="both"/>
        <w:rPr>
          <w:sz w:val="20"/>
        </w:rPr>
      </w:pPr>
      <w:r w:rsidRPr="00412620">
        <w:rPr>
          <w:rFonts w:cs="Arial"/>
          <w:b/>
          <w:sz w:val="20"/>
        </w:rPr>
        <w:t>46.</w:t>
      </w:r>
      <w:r w:rsidRPr="00412620">
        <w:rPr>
          <w:rFonts w:cs="Arial"/>
          <w:b/>
          <w:sz w:val="20"/>
        </w:rPr>
        <w:tab/>
        <w:t>Profit on debt.—</w:t>
      </w:r>
      <w:r w:rsidR="006A3F93" w:rsidRPr="00412620">
        <w:rPr>
          <w:sz w:val="20"/>
        </w:rPr>
        <w:t xml:space="preserve"> Any profit received by a non-resident person on a security issued by a resident person shall be exempt from tax under this Ordinance where</w:t>
      </w:r>
      <w:r w:rsidR="004A6CA6"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persons are not associates;</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security was widely issued by the resident person outside Pakistan for the purposes of raising a loan outside Pakistan for use in a business carried on by the person in Pakistan;</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(c)</w:t>
      </w:r>
      <w:r w:rsidRPr="00412620">
        <w:rPr>
          <w:rFonts w:cs="Arial"/>
          <w:sz w:val="20"/>
        </w:rPr>
        <w:tab/>
        <w:t>the profit was paid outside Pakistan;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 xml:space="preserve">the security is approved by the </w:t>
      </w:r>
      <w:r w:rsidR="00ED0301" w:rsidRPr="00412620">
        <w:rPr>
          <w:rStyle w:val="FootnoteReference"/>
          <w:rFonts w:cs="Arial"/>
          <w:sz w:val="20"/>
        </w:rPr>
        <w:footnoteReference w:id="332"/>
      </w:r>
      <w:r w:rsidR="00ED0301" w:rsidRPr="00412620">
        <w:rPr>
          <w:rFonts w:cs="Arial"/>
          <w:sz w:val="20"/>
        </w:rPr>
        <w:t>[</w:t>
      </w:r>
      <w:r w:rsidRPr="00412620">
        <w:rPr>
          <w:rFonts w:cs="Arial"/>
          <w:sz w:val="20"/>
        </w:rPr>
        <w:t>Board</w:t>
      </w:r>
      <w:r w:rsidR="00ED0301" w:rsidRPr="00412620">
        <w:rPr>
          <w:rFonts w:cs="Arial"/>
          <w:sz w:val="20"/>
        </w:rPr>
        <w:t>]</w:t>
      </w:r>
      <w:r w:rsidRPr="00412620">
        <w:rPr>
          <w:rFonts w:cs="Arial"/>
          <w:sz w:val="20"/>
        </w:rPr>
        <w:t xml:space="preserve"> for the purposes of this section.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47.</w:t>
      </w:r>
      <w:r w:rsidRPr="00412620">
        <w:rPr>
          <w:rFonts w:cs="Arial"/>
          <w:b/>
          <w:sz w:val="20"/>
        </w:rPr>
        <w:tab/>
        <w:t>Scholarships.</w:t>
      </w:r>
      <w:r w:rsidR="00F67672" w:rsidRPr="00412620">
        <w:rPr>
          <w:rFonts w:cs="Arial"/>
          <w:b/>
          <w:sz w:val="20"/>
        </w:rPr>
        <w:t>—</w:t>
      </w:r>
      <w:r w:rsidRPr="00412620">
        <w:rPr>
          <w:sz w:val="20"/>
        </w:rPr>
        <w:t xml:space="preserve"> Any scholarship granted to a person to meet the cost of the person’s education shall be exempt from tax under this Ordinance, other than where the scholarship is paid directly or indirectly by an associate.</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48.</w:t>
      </w:r>
      <w:r w:rsidRPr="00412620">
        <w:rPr>
          <w:rFonts w:cs="Arial"/>
          <w:b/>
          <w:sz w:val="20"/>
        </w:rPr>
        <w:tab/>
        <w:t>Support payments under an agreement to live apart.</w:t>
      </w:r>
      <w:r w:rsidR="00F67672" w:rsidRPr="00412620">
        <w:rPr>
          <w:rFonts w:cs="Arial"/>
          <w:b/>
          <w:sz w:val="20"/>
        </w:rPr>
        <w:t>—</w:t>
      </w:r>
      <w:r w:rsidRPr="00412620">
        <w:rPr>
          <w:rStyle w:val="FootnoteReference"/>
          <w:sz w:val="20"/>
        </w:rPr>
        <w:footnoteReference w:id="333"/>
      </w:r>
      <w:r w:rsidRPr="00412620">
        <w:rPr>
          <w:sz w:val="20"/>
        </w:rPr>
        <w:t>[Any income received by a spouse as support payment under an agreement to live apart] shall be exempt from tax under this Ordinance.</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49.</w:t>
      </w:r>
      <w:r w:rsidRPr="00412620">
        <w:rPr>
          <w:rFonts w:cs="Arial"/>
          <w:b/>
          <w:sz w:val="20"/>
        </w:rPr>
        <w:tab/>
        <w:t xml:space="preserve">Federal </w:t>
      </w:r>
      <w:r w:rsidR="00FB20E8" w:rsidRPr="00412620">
        <w:rPr>
          <w:rStyle w:val="FootnoteReference"/>
          <w:rFonts w:cs="Arial"/>
          <w:b/>
          <w:sz w:val="20"/>
        </w:rPr>
        <w:footnoteReference w:id="334"/>
      </w:r>
      <w:r w:rsidR="00FB20E8" w:rsidRPr="00412620">
        <w:rPr>
          <w:rFonts w:cs="Arial"/>
          <w:b/>
          <w:sz w:val="20"/>
        </w:rPr>
        <w:t xml:space="preserve">[Government,] </w:t>
      </w:r>
      <w:r w:rsidRPr="00412620">
        <w:rPr>
          <w:rFonts w:cs="Arial"/>
          <w:b/>
          <w:sz w:val="20"/>
        </w:rPr>
        <w:t xml:space="preserve">Provincial Government, and </w:t>
      </w:r>
      <w:r w:rsidR="00721DEC" w:rsidRPr="00412620">
        <w:rPr>
          <w:rStyle w:val="FootnoteReference"/>
          <w:rFonts w:cs="Arial"/>
          <w:b/>
          <w:sz w:val="20"/>
        </w:rPr>
        <w:footnoteReference w:id="335"/>
      </w:r>
      <w:r w:rsidR="00721DEC" w:rsidRPr="00412620">
        <w:rPr>
          <w:rFonts w:cs="Arial"/>
          <w:b/>
          <w:sz w:val="20"/>
        </w:rPr>
        <w:t xml:space="preserve">[Local Government] </w:t>
      </w:r>
      <w:r w:rsidRPr="00412620">
        <w:rPr>
          <w:rFonts w:cs="Arial"/>
          <w:b/>
          <w:sz w:val="20"/>
        </w:rPr>
        <w:t>income.</w:t>
      </w:r>
      <w:r w:rsidR="00F67672" w:rsidRPr="00412620">
        <w:rPr>
          <w:rFonts w:cs="Arial"/>
          <w:b/>
          <w:sz w:val="20"/>
        </w:rPr>
        <w:t>—</w:t>
      </w:r>
      <w:r w:rsidRPr="00412620">
        <w:rPr>
          <w:sz w:val="20"/>
        </w:rPr>
        <w:t xml:space="preserve"> (1) The income of the Federal Government shall be exempt from tax under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The income of a Provincial Government or a </w:t>
      </w:r>
      <w:r w:rsidR="00721DEC" w:rsidRPr="00412620">
        <w:rPr>
          <w:rStyle w:val="FootnoteReference"/>
          <w:rFonts w:cs="Arial"/>
          <w:sz w:val="20"/>
        </w:rPr>
        <w:footnoteReference w:id="336"/>
      </w:r>
      <w:r w:rsidR="00721DEC" w:rsidRPr="00412620">
        <w:rPr>
          <w:rFonts w:cs="Arial"/>
          <w:sz w:val="20"/>
        </w:rPr>
        <w:t xml:space="preserve">[Local Government] </w:t>
      </w:r>
      <w:r w:rsidRPr="00412620">
        <w:rPr>
          <w:rFonts w:cs="Arial"/>
          <w:sz w:val="20"/>
        </w:rPr>
        <w:t xml:space="preserve">in Pakistan shall be exempt from tax under this Ordinance, other than income chargeable under the head “Income from Business” derived by a Provincial Government or </w:t>
      </w:r>
      <w:r w:rsidR="00721DEC" w:rsidRPr="00412620">
        <w:rPr>
          <w:rStyle w:val="FootnoteReference"/>
          <w:rFonts w:cs="Arial"/>
          <w:sz w:val="20"/>
        </w:rPr>
        <w:footnoteReference w:id="337"/>
      </w:r>
      <w:r w:rsidR="00721DEC" w:rsidRPr="00412620">
        <w:rPr>
          <w:rFonts w:cs="Arial"/>
          <w:sz w:val="20"/>
        </w:rPr>
        <w:t xml:space="preserve">[Local Government] </w:t>
      </w:r>
      <w:r w:rsidRPr="00412620">
        <w:rPr>
          <w:rFonts w:cs="Arial"/>
          <w:sz w:val="20"/>
        </w:rPr>
        <w:t>from a business carried on outside its jurisdictional area.</w:t>
      </w:r>
    </w:p>
    <w:p w:rsidR="00DD3E78" w:rsidRPr="00412620" w:rsidRDefault="00DD3E78">
      <w:pPr>
        <w:jc w:val="both"/>
        <w:rPr>
          <w:rFonts w:cs="Arial"/>
          <w:sz w:val="20"/>
        </w:rPr>
      </w:pPr>
    </w:p>
    <w:p w:rsidR="00DD3E78" w:rsidRPr="00412620" w:rsidRDefault="00DD3E78">
      <w:pPr>
        <w:jc w:val="both"/>
        <w:rPr>
          <w:rFonts w:cs="Arial"/>
          <w:sz w:val="20"/>
        </w:rPr>
      </w:pPr>
      <w:r w:rsidRPr="00412620">
        <w:rPr>
          <w:rFonts w:cs="Arial"/>
          <w:sz w:val="20"/>
        </w:rPr>
        <w:tab/>
      </w:r>
      <w:r w:rsidRPr="00412620">
        <w:rPr>
          <w:rStyle w:val="FootnoteReference"/>
          <w:rFonts w:cs="Arial"/>
          <w:sz w:val="20"/>
        </w:rPr>
        <w:footnoteReference w:id="338"/>
      </w:r>
      <w:r w:rsidRPr="00412620">
        <w:rPr>
          <w:rFonts w:cs="Arial"/>
          <w:sz w:val="20"/>
        </w:rPr>
        <w:t xml:space="preserve">[(3) </w:t>
      </w:r>
      <w:r w:rsidRPr="00412620">
        <w:rPr>
          <w:rFonts w:cs="Arial"/>
          <w:sz w:val="20"/>
        </w:rPr>
        <w:tab/>
        <w:t xml:space="preserve">Subject to sub-section (2), any payment received by the Federal Government, a Provincial Government or a </w:t>
      </w:r>
      <w:r w:rsidR="00721DEC" w:rsidRPr="00412620">
        <w:rPr>
          <w:rStyle w:val="FootnoteReference"/>
          <w:rFonts w:cs="Arial"/>
          <w:sz w:val="20"/>
        </w:rPr>
        <w:footnoteReference w:id="339"/>
      </w:r>
      <w:r w:rsidR="00721DEC" w:rsidRPr="00412620">
        <w:rPr>
          <w:rFonts w:cs="Arial"/>
          <w:sz w:val="20"/>
        </w:rPr>
        <w:t xml:space="preserve">[Local Government] </w:t>
      </w:r>
      <w:r w:rsidRPr="00412620">
        <w:rPr>
          <w:rFonts w:cs="Arial"/>
          <w:sz w:val="20"/>
        </w:rPr>
        <w:t>shall not be liable to any collection or deduction of advance tax.]</w:t>
      </w:r>
    </w:p>
    <w:p w:rsidR="006A3F93" w:rsidRPr="00412620" w:rsidRDefault="006A3F93">
      <w:pPr>
        <w:jc w:val="both"/>
        <w:rPr>
          <w:rFonts w:cs="Arial"/>
          <w:sz w:val="20"/>
        </w:rPr>
      </w:pPr>
    </w:p>
    <w:p w:rsidR="0062158D" w:rsidRDefault="00865CF2" w:rsidP="00663F26">
      <w:pPr>
        <w:jc w:val="both"/>
        <w:rPr>
          <w:rFonts w:cs="Arial"/>
          <w:sz w:val="20"/>
        </w:rPr>
      </w:pPr>
      <w:r w:rsidRPr="00412620">
        <w:rPr>
          <w:rFonts w:cs="Arial"/>
          <w:sz w:val="20"/>
        </w:rPr>
        <w:tab/>
      </w:r>
      <w:r w:rsidR="00AE33F8" w:rsidRPr="00412620">
        <w:rPr>
          <w:rStyle w:val="FootnoteReference"/>
          <w:rFonts w:cs="Arial"/>
          <w:sz w:val="20"/>
        </w:rPr>
        <w:footnoteReference w:id="340"/>
      </w:r>
      <w:r w:rsidRPr="00412620">
        <w:rPr>
          <w:rFonts w:cs="Arial"/>
          <w:sz w:val="20"/>
        </w:rPr>
        <w:t xml:space="preserve">[(4) </w:t>
      </w:r>
      <w:r w:rsidRPr="00412620">
        <w:rPr>
          <w:rFonts w:cs="Arial"/>
          <w:sz w:val="20"/>
        </w:rPr>
        <w:tab/>
        <w:t>Exemption under this section shall not be available in the case of corporation, company, a regulatory authority, a development authority, other body or institution established by or under a Fede</w:t>
      </w:r>
      <w:r w:rsidR="00721DEC" w:rsidRPr="00412620">
        <w:rPr>
          <w:rFonts w:cs="Arial"/>
          <w:sz w:val="20"/>
        </w:rPr>
        <w:t>r</w:t>
      </w:r>
      <w:r w:rsidRPr="00412620">
        <w:rPr>
          <w:rFonts w:cs="Arial"/>
          <w:sz w:val="20"/>
        </w:rPr>
        <w:t>al law or a Provincial law or an existing law or a corporation, company</w:t>
      </w:r>
      <w:r w:rsidR="00432133" w:rsidRPr="00412620">
        <w:rPr>
          <w:rFonts w:cs="Arial"/>
          <w:sz w:val="20"/>
        </w:rPr>
        <w:t>,</w:t>
      </w:r>
      <w:r w:rsidRPr="00412620">
        <w:rPr>
          <w:rFonts w:cs="Arial"/>
          <w:sz w:val="20"/>
        </w:rPr>
        <w:t xml:space="preserve"> a regulatory authority, a development authority or other body or institution set up, owned and controlled, either directly or indirectly, by the Federal Government or a Provincial Government, regardless of the ultimate destination of such income as laid down in Article 165A of the Constitution of t</w:t>
      </w:r>
      <w:r w:rsidR="00663F26">
        <w:rPr>
          <w:rFonts w:cs="Arial"/>
          <w:sz w:val="20"/>
        </w:rPr>
        <w:t>he Islamic Republic of Pakistan</w:t>
      </w:r>
      <w:r w:rsidR="0062158D" w:rsidRPr="00A7684E">
        <w:rPr>
          <w:rStyle w:val="FootnoteReference"/>
          <w:rFonts w:cs="Arial"/>
          <w:color w:val="000000" w:themeColor="text1"/>
          <w:sz w:val="20"/>
        </w:rPr>
        <w:footnoteReference w:id="341"/>
      </w:r>
      <w:r w:rsidR="0062158D" w:rsidRPr="00A7684E">
        <w:rPr>
          <w:rFonts w:cs="Arial"/>
          <w:color w:val="000000" w:themeColor="text1"/>
          <w:sz w:val="20"/>
        </w:rPr>
        <w:t>[</w:t>
      </w:r>
      <w:r w:rsidR="00663F26" w:rsidRPr="00A7684E">
        <w:rPr>
          <w:rFonts w:cs="Arial"/>
          <w:color w:val="000000" w:themeColor="text1"/>
          <w:sz w:val="20"/>
        </w:rPr>
        <w:t>:</w:t>
      </w:r>
      <w:r w:rsidR="0062158D" w:rsidRPr="00A7684E">
        <w:rPr>
          <w:rFonts w:cs="Arial"/>
          <w:color w:val="000000" w:themeColor="text1"/>
          <w:sz w:val="20"/>
        </w:rPr>
        <w:t>]</w:t>
      </w:r>
    </w:p>
    <w:p w:rsidR="00D30662" w:rsidRDefault="00D30662" w:rsidP="0062158D">
      <w:pPr>
        <w:ind w:left="1094"/>
        <w:jc w:val="both"/>
        <w:rPr>
          <w:rFonts w:cs="Arial"/>
          <w:color w:val="00B0F0"/>
          <w:sz w:val="20"/>
        </w:rPr>
      </w:pPr>
    </w:p>
    <w:p w:rsidR="00865CF2" w:rsidRPr="00A7684E" w:rsidRDefault="0030426C" w:rsidP="0062158D">
      <w:pPr>
        <w:ind w:left="1094"/>
        <w:jc w:val="both"/>
        <w:rPr>
          <w:rFonts w:cs="Arial"/>
          <w:color w:val="000000" w:themeColor="text1"/>
          <w:sz w:val="20"/>
        </w:rPr>
      </w:pPr>
      <w:r w:rsidRPr="00A7684E">
        <w:rPr>
          <w:rStyle w:val="FootnoteReference"/>
          <w:rFonts w:cs="Arial"/>
          <w:color w:val="000000" w:themeColor="text1"/>
          <w:sz w:val="20"/>
        </w:rPr>
        <w:lastRenderedPageBreak/>
        <w:footnoteReference w:id="342"/>
      </w:r>
      <w:r w:rsidR="0062158D" w:rsidRPr="00A7684E">
        <w:rPr>
          <w:rFonts w:cs="Arial"/>
          <w:color w:val="000000" w:themeColor="text1"/>
          <w:sz w:val="20"/>
        </w:rPr>
        <w:t>[</w:t>
      </w:r>
      <w:r w:rsidR="00663F26" w:rsidRPr="00A7684E">
        <w:rPr>
          <w:rFonts w:cs="Arial"/>
          <w:color w:val="000000" w:themeColor="text1"/>
          <w:sz w:val="20"/>
        </w:rPr>
        <w:t>Provided that the income from sale of spectrum licenses by Pakistan Telecommunication Authority on behalf of the Federal Government after the first day of March 2014 shall be treated as income of the Federal Government and not of the Pakistan Telecommunication Authority.</w:t>
      </w:r>
      <w:r w:rsidR="004B7B4F" w:rsidRPr="00A7684E">
        <w:rPr>
          <w:rFonts w:cs="Arial"/>
          <w:color w:val="000000" w:themeColor="text1"/>
          <w:sz w:val="20"/>
        </w:rPr>
        <w:t>]</w:t>
      </w:r>
    </w:p>
    <w:p w:rsidR="00865CF2" w:rsidRPr="00412620" w:rsidRDefault="00865CF2">
      <w:pPr>
        <w:jc w:val="both"/>
        <w:rPr>
          <w:rFonts w:cs="Arial"/>
          <w:sz w:val="20"/>
        </w:rPr>
      </w:pPr>
    </w:p>
    <w:p w:rsidR="006A3F93" w:rsidRPr="00412620" w:rsidRDefault="006A3F93" w:rsidP="00713820">
      <w:pPr>
        <w:jc w:val="both"/>
        <w:rPr>
          <w:sz w:val="20"/>
        </w:rPr>
      </w:pPr>
      <w:r w:rsidRPr="00412620">
        <w:rPr>
          <w:rFonts w:cs="Arial"/>
          <w:b/>
          <w:sz w:val="20"/>
        </w:rPr>
        <w:t>50.</w:t>
      </w:r>
      <w:r w:rsidRPr="00412620">
        <w:rPr>
          <w:rFonts w:cs="Arial"/>
          <w:b/>
          <w:sz w:val="20"/>
        </w:rPr>
        <w:tab/>
        <w:t>Foreign-source income of short-term resident individuals.</w:t>
      </w:r>
      <w:r w:rsidR="00F67672" w:rsidRPr="00412620">
        <w:rPr>
          <w:rFonts w:cs="Arial"/>
          <w:b/>
          <w:sz w:val="20"/>
        </w:rPr>
        <w:t>—</w:t>
      </w:r>
      <w:r w:rsidRPr="00412620">
        <w:rPr>
          <w:sz w:val="20"/>
        </w:rPr>
        <w:t xml:space="preserve"> (1)  Subject to sub-section (2), the foreign-source income of an individual </w:t>
      </w:r>
      <w:r w:rsidRPr="00412620">
        <w:rPr>
          <w:rStyle w:val="FootnoteReference"/>
          <w:sz w:val="20"/>
        </w:rPr>
        <w:footnoteReference w:id="343"/>
      </w:r>
      <w:r w:rsidRPr="00412620">
        <w:rPr>
          <w:sz w:val="20"/>
        </w:rPr>
        <w:t xml:space="preserve">[  ] </w:t>
      </w:r>
      <w:r w:rsidR="004A6CA6"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who is a resident individual solely by reason of the individual’s employment; and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who is present in Pakistan for a period or periods not exceeding three years,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shall be exempt from tax under this Ordinance.</w:t>
      </w:r>
    </w:p>
    <w:p w:rsidR="006A3F93" w:rsidRPr="00412620" w:rsidRDefault="006A3F93">
      <w:pPr>
        <w:jc w:val="both"/>
        <w:rPr>
          <w:rFonts w:cs="Arial"/>
          <w:sz w:val="20"/>
        </w:rPr>
      </w:pPr>
    </w:p>
    <w:p w:rsidR="006A3F93" w:rsidRPr="00412620" w:rsidRDefault="006A3F93">
      <w:pPr>
        <w:rPr>
          <w:rFonts w:cs="Arial"/>
          <w:sz w:val="20"/>
        </w:rPr>
      </w:pPr>
      <w:r w:rsidRPr="00412620">
        <w:rPr>
          <w:rFonts w:cs="Arial"/>
          <w:sz w:val="20"/>
        </w:rPr>
        <w:tab/>
        <w:t>(2)</w:t>
      </w:r>
      <w:r w:rsidRPr="00412620">
        <w:rPr>
          <w:rFonts w:cs="Arial"/>
          <w:sz w:val="20"/>
        </w:rPr>
        <w:tab/>
        <w:t xml:space="preserve">This section shall not apply to </w:t>
      </w:r>
      <w:r w:rsidR="00124A07"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any income derived from a business of the person established in Pakistan;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any foreign-source income brought into or received in Pakistan by the person.</w:t>
      </w:r>
    </w:p>
    <w:p w:rsidR="006A3F93" w:rsidRPr="00412620" w:rsidRDefault="006A3F93">
      <w:pPr>
        <w:pStyle w:val="Header"/>
        <w:tabs>
          <w:tab w:val="left" w:pos="547"/>
        </w:tabs>
        <w:jc w:val="both"/>
        <w:rPr>
          <w:rFonts w:cs="Arial"/>
          <w:sz w:val="20"/>
        </w:rPr>
      </w:pPr>
    </w:p>
    <w:p w:rsidR="006A3F93" w:rsidRPr="00412620" w:rsidRDefault="006A3F93">
      <w:pPr>
        <w:jc w:val="both"/>
        <w:rPr>
          <w:sz w:val="20"/>
        </w:rPr>
      </w:pPr>
      <w:r w:rsidRPr="00412620">
        <w:rPr>
          <w:rFonts w:cs="Arial"/>
          <w:b/>
          <w:sz w:val="20"/>
        </w:rPr>
        <w:t>51.</w:t>
      </w:r>
      <w:r w:rsidRPr="00412620">
        <w:rPr>
          <w:rFonts w:cs="Arial"/>
          <w:b/>
          <w:sz w:val="20"/>
        </w:rPr>
        <w:tab/>
        <w:t>Foreign-source income of returning expatriates.</w:t>
      </w:r>
      <w:r w:rsidR="00F67672" w:rsidRPr="00412620">
        <w:rPr>
          <w:rFonts w:cs="Arial"/>
          <w:b/>
          <w:sz w:val="20"/>
        </w:rPr>
        <w:t>—</w:t>
      </w:r>
      <w:r w:rsidRPr="00412620">
        <w:rPr>
          <w:rStyle w:val="FootnoteReference"/>
          <w:sz w:val="20"/>
        </w:rPr>
        <w:footnoteReference w:id="344"/>
      </w:r>
      <w:r w:rsidRPr="00412620">
        <w:rPr>
          <w:sz w:val="20"/>
        </w:rPr>
        <w:t>[(1)] Any foreign-source income derived by a citizen of Pakistan in a tax year who was not a resident individual in any of the four tax years preceding the tax year in which the individual became a resident shall be exempt from tax under this Ordinance in the tax year in which the individual became a resident individual and in the following tax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r>
      <w:r w:rsidRPr="00412620">
        <w:rPr>
          <w:rStyle w:val="FootnoteReference"/>
          <w:rFonts w:cs="Arial"/>
          <w:sz w:val="20"/>
        </w:rPr>
        <w:footnoteReference w:id="345"/>
      </w:r>
      <w:r w:rsidRPr="00412620">
        <w:rPr>
          <w:rFonts w:cs="Arial"/>
          <w:sz w:val="20"/>
        </w:rPr>
        <w:t xml:space="preserve">[(2) </w:t>
      </w:r>
      <w:r w:rsidRPr="00412620">
        <w:rPr>
          <w:rFonts w:cs="Arial"/>
          <w:sz w:val="20"/>
        </w:rPr>
        <w:tab/>
        <w:t>Where a citizen of Pakistan leaves Pakistan during a tax year and remains abroad during that tax year, any income chargeable under the head “Salary” earned by him outside Pakistan during that year shall be exempt from tax under this Ordinance.]</w:t>
      </w:r>
    </w:p>
    <w:p w:rsidR="006A3F93" w:rsidRPr="00412620" w:rsidRDefault="006A3F93">
      <w:pPr>
        <w:jc w:val="both"/>
        <w:rPr>
          <w:rFonts w:cs="Arial"/>
          <w:sz w:val="20"/>
        </w:rPr>
      </w:pPr>
    </w:p>
    <w:p w:rsidR="006A3F93" w:rsidRPr="00412620" w:rsidRDefault="006A3F93">
      <w:pPr>
        <w:rPr>
          <w:b/>
          <w:sz w:val="20"/>
        </w:rPr>
      </w:pPr>
      <w:r w:rsidRPr="00412620">
        <w:rPr>
          <w:rStyle w:val="FootnoteReference"/>
          <w:rFonts w:cs="Arial"/>
          <w:sz w:val="20"/>
        </w:rPr>
        <w:footnoteReference w:id="346"/>
      </w:r>
      <w:r w:rsidRPr="00412620">
        <w:rPr>
          <w:sz w:val="20"/>
        </w:rPr>
        <w:t>[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53.</w:t>
      </w:r>
      <w:r w:rsidRPr="00412620">
        <w:rPr>
          <w:rFonts w:cs="Arial"/>
          <w:b/>
          <w:sz w:val="20"/>
        </w:rPr>
        <w:tab/>
        <w:t>Exemptions and tax concessions in the Second Schedule.</w:t>
      </w:r>
      <w:r w:rsidR="00F67672" w:rsidRPr="00412620">
        <w:rPr>
          <w:rFonts w:cs="Arial"/>
          <w:b/>
          <w:sz w:val="20"/>
        </w:rPr>
        <w:t>—</w:t>
      </w:r>
      <w:r w:rsidRPr="00412620">
        <w:rPr>
          <w:sz w:val="20"/>
        </w:rPr>
        <w:t xml:space="preserve">(1)  The income or classes of income, or persons or classes of persons specified in the Second Schedule shall be </w:t>
      </w:r>
      <w:r w:rsidR="00B06F2F" w:rsidRPr="00412620">
        <w:rPr>
          <w:rFonts w:cs="Arial"/>
          <w:b/>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exempt from tax under this Ordinance, subject to any conditions and to the extent specified therein;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subject to tax under this Ordinance at such rates, which are less than the rates specified in the First Schedule, as are specified therein;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allowed a reduction in tax liability under this Ordinance, subject to any conditions and to the extent specified therein;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exempted from the operation of any provision of this Ordinance, subject to any conditions and to the extent specified therein.</w:t>
      </w:r>
    </w:p>
    <w:p w:rsidR="006A3F93" w:rsidRPr="00412620" w:rsidRDefault="006A3F93">
      <w:pPr>
        <w:jc w:val="both"/>
        <w:rPr>
          <w:rFonts w:cs="Arial"/>
          <w:sz w:val="20"/>
        </w:rPr>
      </w:pPr>
    </w:p>
    <w:p w:rsidR="0050009A" w:rsidRPr="00412620" w:rsidRDefault="0050009A">
      <w:pPr>
        <w:jc w:val="both"/>
        <w:rPr>
          <w:rFonts w:cs="Arial"/>
          <w:sz w:val="20"/>
        </w:rPr>
      </w:pPr>
      <w:r w:rsidRPr="00412620">
        <w:rPr>
          <w:rFonts w:cs="Arial"/>
          <w:sz w:val="20"/>
        </w:rPr>
        <w:tab/>
      </w:r>
      <w:r w:rsidR="00A6257E" w:rsidRPr="00412620">
        <w:rPr>
          <w:rStyle w:val="FootnoteReference"/>
          <w:rFonts w:cs="Arial"/>
          <w:sz w:val="20"/>
        </w:rPr>
        <w:footnoteReference w:id="347"/>
      </w:r>
      <w:r w:rsidRPr="00412620">
        <w:rPr>
          <w:rFonts w:cs="Arial"/>
          <w:sz w:val="20"/>
        </w:rPr>
        <w:t>[  ]</w:t>
      </w:r>
    </w:p>
    <w:p w:rsidR="006A3F93" w:rsidRPr="00412620" w:rsidRDefault="006A3F93">
      <w:pPr>
        <w:jc w:val="both"/>
        <w:rPr>
          <w:rFonts w:cs="Arial"/>
          <w:sz w:val="20"/>
        </w:rPr>
      </w:pPr>
    </w:p>
    <w:p w:rsidR="006A3F93" w:rsidRPr="00412620" w:rsidRDefault="006A3F93" w:rsidP="00786DB3">
      <w:pPr>
        <w:autoSpaceDE w:val="0"/>
        <w:autoSpaceDN w:val="0"/>
        <w:adjustRightInd w:val="0"/>
        <w:jc w:val="both"/>
        <w:rPr>
          <w:rFonts w:cs="Arial"/>
          <w:sz w:val="20"/>
        </w:rPr>
      </w:pPr>
      <w:r w:rsidRPr="00412620">
        <w:rPr>
          <w:rFonts w:cs="Arial"/>
          <w:sz w:val="20"/>
        </w:rPr>
        <w:tab/>
        <w:t>(2)</w:t>
      </w:r>
      <w:r w:rsidRPr="00412620">
        <w:rPr>
          <w:rFonts w:cs="Arial"/>
          <w:sz w:val="20"/>
        </w:rPr>
        <w:tab/>
      </w:r>
      <w:r w:rsidRPr="00F90C97">
        <w:rPr>
          <w:rFonts w:cs="Arial"/>
          <w:color w:val="000000" w:themeColor="text1"/>
          <w:sz w:val="20"/>
        </w:rPr>
        <w:t>The Federal Government may, from time to time</w:t>
      </w:r>
      <w:r w:rsidR="00ED6D54" w:rsidRPr="00F90C97">
        <w:rPr>
          <w:rFonts w:cs="Arial"/>
          <w:color w:val="000000" w:themeColor="text1"/>
          <w:sz w:val="20"/>
        </w:rPr>
        <w:t xml:space="preserve"> </w:t>
      </w:r>
      <w:r w:rsidR="00610DBD" w:rsidRPr="00F90C97">
        <w:rPr>
          <w:rStyle w:val="FootnoteReference"/>
          <w:rFonts w:cs="Arial"/>
          <w:color w:val="000000" w:themeColor="text1"/>
          <w:sz w:val="20"/>
        </w:rPr>
        <w:footnoteReference w:id="348"/>
      </w:r>
      <w:r w:rsidR="00452100" w:rsidRPr="00F90C97">
        <w:rPr>
          <w:rFonts w:cs="Arial"/>
          <w:color w:val="000000" w:themeColor="text1"/>
          <w:sz w:val="20"/>
        </w:rPr>
        <w:t>[“</w:t>
      </w:r>
      <w:r w:rsidR="00786DB3" w:rsidRPr="00F90C97">
        <w:rPr>
          <w:rFonts w:cs="Arial"/>
          <w:color w:val="000000" w:themeColor="text1"/>
          <w:sz w:val="20"/>
          <w:lang w:val="en-US"/>
        </w:rPr>
        <w:t>pursuant to the approval of the Economic Coordination Committee of Cabinet, whenever circumstances exist to take immediate action for the purposes of national security, natural disaster, national food security in emergency situations, protection of national economic interests in situations arising out of abnormal fluctuation in international commodity prices, removal of anomalies in taxes, development of backward areas</w:t>
      </w:r>
      <w:r w:rsidR="00786DB3" w:rsidRPr="00610DBD">
        <w:rPr>
          <w:rFonts w:cs="Arial"/>
          <w:color w:val="984806" w:themeColor="accent6" w:themeShade="80"/>
          <w:sz w:val="20"/>
          <w:lang w:val="en-US"/>
        </w:rPr>
        <w:t xml:space="preserve"> </w:t>
      </w:r>
      <w:r w:rsidR="00ED6D54" w:rsidRPr="00B455DC">
        <w:rPr>
          <w:rStyle w:val="FootnoteReference"/>
          <w:rFonts w:cs="Arial"/>
          <w:color w:val="0070C0"/>
          <w:sz w:val="20"/>
          <w:lang w:val="en-US"/>
        </w:rPr>
        <w:footnoteReference w:id="349"/>
      </w:r>
      <w:r w:rsidR="00ED6D54" w:rsidRPr="00B455DC">
        <w:rPr>
          <w:rFonts w:cs="Arial"/>
          <w:color w:val="0070C0"/>
          <w:sz w:val="20"/>
          <w:lang w:val="en-US"/>
        </w:rPr>
        <w:t>[,]</w:t>
      </w:r>
      <w:r w:rsidR="00ED6D54">
        <w:rPr>
          <w:rFonts w:cs="Arial"/>
          <w:color w:val="984806" w:themeColor="accent6" w:themeShade="80"/>
          <w:sz w:val="20"/>
          <w:lang w:val="en-US"/>
        </w:rPr>
        <w:t xml:space="preserve"> </w:t>
      </w:r>
      <w:r w:rsidR="00786DB3" w:rsidRPr="00F90C97">
        <w:rPr>
          <w:rFonts w:cs="Arial"/>
          <w:color w:val="000000" w:themeColor="text1"/>
          <w:sz w:val="20"/>
          <w:lang w:val="en-US"/>
        </w:rPr>
        <w:t>implementation of bilateral and multilateral agreements</w:t>
      </w:r>
      <w:r w:rsidR="006E09B0">
        <w:rPr>
          <w:rFonts w:cs="Arial"/>
          <w:color w:val="984806" w:themeColor="accent6" w:themeShade="80"/>
          <w:sz w:val="20"/>
          <w:lang w:val="en-US"/>
        </w:rPr>
        <w:t xml:space="preserve"> </w:t>
      </w:r>
      <w:r w:rsidR="006E09B0" w:rsidRPr="00B455DC">
        <w:rPr>
          <w:rStyle w:val="FootnoteReference"/>
          <w:rFonts w:cs="Arial"/>
          <w:color w:val="0070C0"/>
          <w:sz w:val="20"/>
          <w:lang w:val="en-US"/>
        </w:rPr>
        <w:footnoteReference w:id="350"/>
      </w:r>
      <w:r w:rsidR="006E09B0" w:rsidRPr="00B455DC">
        <w:rPr>
          <w:rFonts w:cs="Arial"/>
          <w:color w:val="0070C0"/>
          <w:sz w:val="20"/>
        </w:rPr>
        <w:t>["or granting  an exemption from any tax imposed under this Ordinance including a reduction in the rate of tax imposed under this Ordinance or a reduction in tax liability under this Ordinance or an exemption from the operation of any provision of this Ordinance to any international financial institution or foreign Government owned financial institution operating under an agreement, memorandum of understanding or any other arrangement with the</w:t>
      </w:r>
      <w:r w:rsidR="006E09B0" w:rsidRPr="008978DE">
        <w:rPr>
          <w:rFonts w:cs="Arial"/>
          <w:color w:val="FF0000"/>
          <w:sz w:val="20"/>
        </w:rPr>
        <w:t xml:space="preserve"> </w:t>
      </w:r>
      <w:r w:rsidR="006E09B0" w:rsidRPr="00B455DC">
        <w:rPr>
          <w:rFonts w:cs="Arial"/>
          <w:color w:val="0070C0"/>
          <w:sz w:val="20"/>
        </w:rPr>
        <w:lastRenderedPageBreak/>
        <w:t>Government of Pakistan"]</w:t>
      </w:r>
      <w:r w:rsidR="006E09B0">
        <w:rPr>
          <w:rFonts w:cs="Arial"/>
          <w:color w:val="FF0000"/>
          <w:sz w:val="20"/>
        </w:rPr>
        <w:t xml:space="preserve"> </w:t>
      </w:r>
      <w:r w:rsidR="00452100" w:rsidRPr="00610DBD">
        <w:rPr>
          <w:rFonts w:cs="Arial"/>
          <w:color w:val="984806" w:themeColor="accent6" w:themeShade="80"/>
          <w:sz w:val="20"/>
          <w:lang w:val="en-US"/>
        </w:rPr>
        <w:t>”]</w:t>
      </w:r>
      <w:r w:rsidRPr="00786DB3">
        <w:rPr>
          <w:rFonts w:cs="Arial"/>
          <w:sz w:val="20"/>
        </w:rPr>
        <w:t>,</w:t>
      </w:r>
      <w:r w:rsidRPr="00412620">
        <w:rPr>
          <w:rFonts w:cs="Arial"/>
          <w:sz w:val="20"/>
        </w:rPr>
        <w:t xml:space="preserve"> by notification in the official Gazette, make such amendment in the Second Schedule by </w:t>
      </w:r>
      <w:r w:rsidR="00124A07"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adding any clause or condition therein;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omitting any clause or condition therein; or</w:t>
      </w:r>
    </w:p>
    <w:p w:rsidR="006A3F93" w:rsidRPr="00412620" w:rsidRDefault="006A3F93">
      <w:pPr>
        <w:jc w:val="both"/>
        <w:rPr>
          <w:rFonts w:cs="Arial"/>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making any change in any clause or condition therein,</w:t>
      </w:r>
    </w:p>
    <w:p w:rsidR="006A3F93" w:rsidRPr="00412620" w:rsidRDefault="006A3F93">
      <w:pPr>
        <w:jc w:val="both"/>
        <w:rPr>
          <w:rFonts w:cs="Arial"/>
        </w:rPr>
      </w:pPr>
    </w:p>
    <w:p w:rsidR="006A3F93" w:rsidRPr="00412620" w:rsidRDefault="006A3F93">
      <w:pPr>
        <w:jc w:val="both"/>
        <w:rPr>
          <w:rFonts w:cs="Arial"/>
          <w:sz w:val="20"/>
        </w:rPr>
      </w:pPr>
      <w:r w:rsidRPr="00412620">
        <w:rPr>
          <w:rFonts w:cs="Arial"/>
          <w:sz w:val="20"/>
        </w:rPr>
        <w:t>as the Government may think fit, and all such amendments shall have effect in respect of any tax year beginning on any date before or after the commencement of the financial year in which the notification is issued.</w:t>
      </w:r>
    </w:p>
    <w:p w:rsidR="006A3F93" w:rsidRPr="00412620" w:rsidRDefault="006A3F93">
      <w:pPr>
        <w:jc w:val="both"/>
        <w:rPr>
          <w:rFonts w:cs="Arial"/>
        </w:rPr>
      </w:pPr>
    </w:p>
    <w:p w:rsidR="006A3F93" w:rsidRDefault="006A3F93">
      <w:pPr>
        <w:jc w:val="both"/>
        <w:rPr>
          <w:rFonts w:cs="Arial"/>
          <w:sz w:val="20"/>
        </w:rPr>
      </w:pPr>
      <w:r w:rsidRPr="00412620">
        <w:rPr>
          <w:rFonts w:cs="Arial"/>
          <w:sz w:val="20"/>
        </w:rPr>
        <w:tab/>
        <w:t>(3)</w:t>
      </w:r>
      <w:r w:rsidRPr="00412620">
        <w:rPr>
          <w:rFonts w:cs="Arial"/>
          <w:sz w:val="20"/>
        </w:rPr>
        <w:tab/>
        <w:t>The Federal Government shall place before the National Assembly all amendments made by it to the Second Schedule in a financial year.</w:t>
      </w:r>
    </w:p>
    <w:p w:rsidR="002F1EF5" w:rsidRDefault="002F1EF5">
      <w:pPr>
        <w:jc w:val="both"/>
        <w:rPr>
          <w:rFonts w:cs="Arial"/>
          <w:sz w:val="20"/>
        </w:rPr>
      </w:pPr>
    </w:p>
    <w:p w:rsidR="002F1EF5" w:rsidRPr="00F90C97" w:rsidRDefault="0091555D" w:rsidP="002F1EF5">
      <w:pPr>
        <w:autoSpaceDE w:val="0"/>
        <w:autoSpaceDN w:val="0"/>
        <w:adjustRightInd w:val="0"/>
        <w:ind w:firstLine="547"/>
        <w:jc w:val="both"/>
        <w:rPr>
          <w:rFonts w:cs="Arial"/>
          <w:color w:val="000000" w:themeColor="text1"/>
          <w:sz w:val="20"/>
        </w:rPr>
      </w:pPr>
      <w:r w:rsidRPr="00F90C97">
        <w:rPr>
          <w:rStyle w:val="FootnoteReference"/>
          <w:rFonts w:cs="Arial"/>
          <w:color w:val="000000" w:themeColor="text1"/>
          <w:sz w:val="20"/>
          <w:lang w:val="en-US"/>
        </w:rPr>
        <w:footnoteReference w:id="351"/>
      </w:r>
      <w:r w:rsidR="002F1EF5" w:rsidRPr="00F90C97">
        <w:rPr>
          <w:rFonts w:cs="Arial"/>
          <w:color w:val="000000" w:themeColor="text1"/>
          <w:sz w:val="20"/>
          <w:lang w:val="en-US"/>
        </w:rPr>
        <w:t>[“(4) Any notification issued under sub-section (2) after the commencement of the Finance Act, 2015, shall, if not earlier rescinded, stand rescinded on the expiry of the financia</w:t>
      </w:r>
      <w:r w:rsidR="006F6997" w:rsidRPr="00F90C97">
        <w:rPr>
          <w:rFonts w:cs="Arial"/>
          <w:color w:val="000000" w:themeColor="text1"/>
          <w:sz w:val="20"/>
          <w:lang w:val="en-US"/>
        </w:rPr>
        <w:t>l year in which it was issued.”</w:t>
      </w:r>
      <w:r w:rsidR="002F1EF5" w:rsidRPr="00F90C97">
        <w:rPr>
          <w:rFonts w:cs="Arial"/>
          <w:color w:val="000000" w:themeColor="text1"/>
          <w:sz w:val="20"/>
          <w:lang w:val="en-US"/>
        </w:rPr>
        <w:t>]</w:t>
      </w:r>
    </w:p>
    <w:p w:rsidR="006A3F93" w:rsidRPr="00412620" w:rsidRDefault="006A3F93">
      <w:pPr>
        <w:jc w:val="both"/>
        <w:rPr>
          <w:rFonts w:cs="Arial"/>
          <w:b/>
        </w:rPr>
      </w:pPr>
    </w:p>
    <w:p w:rsidR="006A3F93" w:rsidRPr="00412620" w:rsidRDefault="006A3F93">
      <w:pPr>
        <w:jc w:val="both"/>
        <w:rPr>
          <w:sz w:val="20"/>
        </w:rPr>
      </w:pPr>
      <w:r w:rsidRPr="00412620">
        <w:rPr>
          <w:rFonts w:cs="Arial"/>
          <w:b/>
          <w:sz w:val="20"/>
        </w:rPr>
        <w:t>54.</w:t>
      </w:r>
      <w:r w:rsidRPr="00412620">
        <w:rPr>
          <w:rFonts w:cs="Arial"/>
          <w:b/>
          <w:sz w:val="20"/>
        </w:rPr>
        <w:tab/>
        <w:t>Exemptions and tax provisions in other laws.</w:t>
      </w:r>
      <w:r w:rsidR="00B06F2F" w:rsidRPr="00412620">
        <w:rPr>
          <w:rFonts w:cs="Arial"/>
          <w:b/>
          <w:sz w:val="20"/>
        </w:rPr>
        <w:t>—</w:t>
      </w:r>
      <w:r w:rsidRPr="00412620">
        <w:rPr>
          <w:sz w:val="20"/>
        </w:rPr>
        <w:t xml:space="preserve">No provision in any other law providing for </w:t>
      </w:r>
      <w:r w:rsidR="00B06F2F" w:rsidRPr="00412620">
        <w:rPr>
          <w:rFonts w:cs="Arial"/>
          <w:b/>
          <w:sz w:val="20"/>
        </w:rPr>
        <w:t>—</w:t>
      </w:r>
    </w:p>
    <w:p w:rsidR="006A3F93" w:rsidRPr="00412620" w:rsidRDefault="006A3F93">
      <w:pPr>
        <w:jc w:val="both"/>
        <w:rPr>
          <w:rFonts w:cs="Arial"/>
          <w:sz w:val="22"/>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an exemption from any tax imposed under this Ordinance;</w:t>
      </w:r>
    </w:p>
    <w:p w:rsidR="006A3F93" w:rsidRPr="00412620" w:rsidRDefault="006A3F93">
      <w:pPr>
        <w:jc w:val="both"/>
        <w:rPr>
          <w:rFonts w:cs="Arial"/>
          <w:sz w:val="22"/>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 reduction in the rate of tax imposed under this Ordinance;</w:t>
      </w:r>
    </w:p>
    <w:p w:rsidR="006A3F93" w:rsidRPr="00412620" w:rsidRDefault="006A3F93">
      <w:pPr>
        <w:ind w:left="1620" w:hanging="540"/>
        <w:jc w:val="both"/>
        <w:rPr>
          <w:rFonts w:cs="Arial"/>
          <w:sz w:val="22"/>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 reduction in tax liability of any person under this Ordinance; or</w:t>
      </w:r>
    </w:p>
    <w:p w:rsidR="006A3F93" w:rsidRPr="00412620" w:rsidRDefault="006A3F93">
      <w:pPr>
        <w:jc w:val="both"/>
        <w:rPr>
          <w:rFonts w:cs="Arial"/>
          <w:sz w:val="22"/>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an exemption from the operation of any provision of this Ordinance,</w:t>
      </w:r>
    </w:p>
    <w:p w:rsidR="006A3F93" w:rsidRPr="00412620" w:rsidRDefault="006A3F93">
      <w:pPr>
        <w:jc w:val="both"/>
        <w:rPr>
          <w:rFonts w:cs="Arial"/>
        </w:rPr>
      </w:pPr>
    </w:p>
    <w:p w:rsidR="006A3F93" w:rsidRPr="00412620" w:rsidRDefault="006A3F93">
      <w:pPr>
        <w:jc w:val="both"/>
        <w:rPr>
          <w:rFonts w:cs="Arial"/>
          <w:sz w:val="20"/>
        </w:rPr>
      </w:pPr>
      <w:r w:rsidRPr="00412620">
        <w:rPr>
          <w:rFonts w:cs="Arial"/>
          <w:sz w:val="20"/>
        </w:rPr>
        <w:t xml:space="preserve">shall have legal effect unless also provided for in this Ordinance </w:t>
      </w:r>
      <w:r w:rsidR="003D65F3" w:rsidRPr="00412620">
        <w:rPr>
          <w:rStyle w:val="FootnoteReference"/>
          <w:rFonts w:cs="Arial"/>
          <w:sz w:val="20"/>
        </w:rPr>
        <w:footnoteReference w:id="352"/>
      </w:r>
      <w:r w:rsidR="003D65F3" w:rsidRPr="00412620">
        <w:rPr>
          <w:rFonts w:cs="Arial"/>
          <w:sz w:val="20"/>
        </w:rPr>
        <w:t xml:space="preserve">[.] </w:t>
      </w:r>
    </w:p>
    <w:p w:rsidR="003D65F3" w:rsidRPr="00412620" w:rsidRDefault="003D65F3">
      <w:pPr>
        <w:jc w:val="both"/>
        <w:rPr>
          <w:rFonts w:cs="Arial"/>
          <w:sz w:val="20"/>
        </w:rPr>
      </w:pPr>
    </w:p>
    <w:p w:rsidR="003D65F3" w:rsidRPr="00412620" w:rsidRDefault="003D65F3" w:rsidP="003D65F3">
      <w:pPr>
        <w:ind w:firstLine="547"/>
        <w:jc w:val="both"/>
        <w:rPr>
          <w:rFonts w:cs="Arial"/>
          <w:sz w:val="20"/>
        </w:rPr>
      </w:pPr>
      <w:r w:rsidRPr="00412620">
        <w:rPr>
          <w:rStyle w:val="FootnoteReference"/>
          <w:rFonts w:cs="Arial"/>
          <w:sz w:val="20"/>
        </w:rPr>
        <w:footnoteReference w:id="353"/>
      </w:r>
      <w:r w:rsidRPr="00412620">
        <w:rPr>
          <w:rFonts w:cs="Arial"/>
          <w:sz w:val="20"/>
        </w:rPr>
        <w:t>[  ]</w:t>
      </w:r>
    </w:p>
    <w:p w:rsidR="006A3F93" w:rsidRPr="00412620" w:rsidRDefault="006A3F93">
      <w:pPr>
        <w:jc w:val="both"/>
        <w:rPr>
          <w:rFonts w:cs="Arial"/>
          <w:sz w:val="20"/>
        </w:rPr>
      </w:pPr>
      <w:r w:rsidRPr="00412620">
        <w:rPr>
          <w:rFonts w:cs="Arial"/>
          <w:sz w:val="20"/>
        </w:rPr>
        <w:tab/>
      </w:r>
    </w:p>
    <w:p w:rsidR="006A3F93" w:rsidRPr="00412620" w:rsidRDefault="006A3F93">
      <w:pPr>
        <w:jc w:val="both"/>
        <w:rPr>
          <w:sz w:val="20"/>
        </w:rPr>
      </w:pPr>
      <w:r w:rsidRPr="00412620">
        <w:rPr>
          <w:rFonts w:cs="Arial"/>
          <w:b/>
          <w:sz w:val="20"/>
        </w:rPr>
        <w:lastRenderedPageBreak/>
        <w:t>55.</w:t>
      </w:r>
      <w:r w:rsidRPr="00412620">
        <w:rPr>
          <w:rFonts w:cs="Arial"/>
          <w:b/>
          <w:sz w:val="20"/>
        </w:rPr>
        <w:tab/>
        <w:t>Limitation of exemption.</w:t>
      </w:r>
      <w:r w:rsidR="00B06F2F" w:rsidRPr="00412620">
        <w:rPr>
          <w:rFonts w:cs="Arial"/>
          <w:b/>
          <w:sz w:val="20"/>
        </w:rPr>
        <w:t>—</w:t>
      </w:r>
      <w:r w:rsidRPr="00412620">
        <w:rPr>
          <w:sz w:val="20"/>
        </w:rPr>
        <w:t xml:space="preserve"> (1)  Where any income is exempt from tax under this Ordinance, the exemption shall be, in the absence of a specific provision to the contrary contained in this Ordinance, limited to the original recipient of that income and shall not extend to any person receiving any payment wholly or in part out of that income.</w:t>
      </w:r>
    </w:p>
    <w:p w:rsidR="006A3F93" w:rsidRPr="00412620" w:rsidRDefault="006A3F93">
      <w:pPr>
        <w:jc w:val="both"/>
        <w:rPr>
          <w:rFonts w:cs="Arial"/>
          <w:sz w:val="20"/>
        </w:rPr>
      </w:pPr>
    </w:p>
    <w:p w:rsidR="0075086A" w:rsidRDefault="0075086A">
      <w:pPr>
        <w:ind w:firstLine="547"/>
        <w:jc w:val="both"/>
        <w:rPr>
          <w:sz w:val="20"/>
        </w:rPr>
      </w:pPr>
    </w:p>
    <w:p w:rsidR="0075086A" w:rsidRDefault="0075086A">
      <w:pPr>
        <w:ind w:firstLine="547"/>
        <w:jc w:val="both"/>
        <w:rPr>
          <w:sz w:val="20"/>
        </w:rPr>
      </w:pPr>
    </w:p>
    <w:p w:rsidR="0075086A" w:rsidRDefault="0075086A">
      <w:pPr>
        <w:ind w:firstLine="547"/>
        <w:jc w:val="both"/>
        <w:rPr>
          <w:sz w:val="20"/>
        </w:rPr>
      </w:pPr>
    </w:p>
    <w:p w:rsidR="006A3F93" w:rsidRPr="00412620" w:rsidRDefault="006A3F93">
      <w:pPr>
        <w:ind w:firstLine="547"/>
        <w:jc w:val="both"/>
        <w:rPr>
          <w:sz w:val="20"/>
        </w:rPr>
      </w:pPr>
      <w:r w:rsidRPr="00412620">
        <w:rPr>
          <w:rStyle w:val="FootnoteReference"/>
          <w:rFonts w:cs="Arial"/>
          <w:sz w:val="20"/>
        </w:rPr>
        <w:footnoteReference w:id="354"/>
      </w:r>
      <w:r w:rsidRPr="00412620">
        <w:rPr>
          <w:sz w:val="20"/>
        </w:rPr>
        <w:t>[  ]</w:t>
      </w:r>
      <w:r w:rsidRPr="00412620">
        <w:rPr>
          <w:sz w:val="20"/>
        </w:rPr>
        <w:tab/>
      </w:r>
    </w:p>
    <w:p w:rsidR="006A3F93" w:rsidRPr="00412620" w:rsidRDefault="006A3F93">
      <w:pPr>
        <w:jc w:val="both"/>
        <w:rPr>
          <w:rFonts w:cs="Arial"/>
          <w:sz w:val="20"/>
        </w:rPr>
      </w:pPr>
    </w:p>
    <w:p w:rsidR="006A3F93" w:rsidRPr="00412620" w:rsidRDefault="007C372A">
      <w:pPr>
        <w:pStyle w:val="Heading8"/>
        <w:rPr>
          <w:rFonts w:cs="Arial"/>
          <w:i w:val="0"/>
          <w:sz w:val="32"/>
          <w:szCs w:val="32"/>
        </w:rPr>
      </w:pPr>
      <w:r w:rsidRPr="00412620">
        <w:rPr>
          <w:rFonts w:cs="Arial"/>
          <w:i w:val="0"/>
          <w:sz w:val="20"/>
        </w:rPr>
        <w:br w:type="page"/>
      </w:r>
      <w:r w:rsidR="006A3F93" w:rsidRPr="00412620">
        <w:rPr>
          <w:rFonts w:cs="Arial"/>
          <w:i w:val="0"/>
          <w:sz w:val="32"/>
          <w:szCs w:val="32"/>
        </w:rPr>
        <w:lastRenderedPageBreak/>
        <w:t>PART VIII</w:t>
      </w:r>
    </w:p>
    <w:p w:rsidR="006A3F93" w:rsidRPr="00412620" w:rsidRDefault="006A3F93">
      <w:pPr>
        <w:keepNext/>
        <w:jc w:val="center"/>
        <w:rPr>
          <w:rFonts w:cs="Arial"/>
          <w:b/>
          <w:sz w:val="20"/>
        </w:rPr>
      </w:pPr>
      <w:r w:rsidRPr="00412620">
        <w:rPr>
          <w:rFonts w:cs="Arial"/>
          <w:b/>
          <w:sz w:val="20"/>
        </w:rPr>
        <w:t>LOSSES</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56.</w:t>
      </w:r>
      <w:r w:rsidRPr="00412620">
        <w:rPr>
          <w:rFonts w:cs="Arial"/>
          <w:b/>
          <w:sz w:val="20"/>
        </w:rPr>
        <w:tab/>
        <w:t>Set off of losses.</w:t>
      </w:r>
      <w:r w:rsidR="00B06F2F" w:rsidRPr="00412620">
        <w:rPr>
          <w:rFonts w:cs="Arial"/>
          <w:b/>
          <w:sz w:val="20"/>
        </w:rPr>
        <w:t>—</w:t>
      </w:r>
      <w:r w:rsidRPr="00412620">
        <w:rPr>
          <w:sz w:val="20"/>
        </w:rPr>
        <w:t xml:space="preserve"> (1)  Subject to sections 58 and 59, where a person sustains a loss for any tax year under any head of income specified in section 11, the person shall be entitled to have the amount of the loss set off against the person’s income, if any, chargeable to tax under any other head of income </w:t>
      </w:r>
      <w:r w:rsidR="004F22B9" w:rsidRPr="00412620">
        <w:rPr>
          <w:rStyle w:val="FootnoteReference"/>
          <w:sz w:val="20"/>
        </w:rPr>
        <w:footnoteReference w:id="355"/>
      </w:r>
      <w:r w:rsidR="004F22B9" w:rsidRPr="00412620">
        <w:rPr>
          <w:sz w:val="20"/>
        </w:rPr>
        <w:t xml:space="preserve">[except income under the head salary or income from property] </w:t>
      </w:r>
      <w:r w:rsidRPr="00412620">
        <w:rPr>
          <w:sz w:val="20"/>
        </w:rPr>
        <w:t>for the year.</w:t>
      </w:r>
    </w:p>
    <w:p w:rsidR="006A3F93" w:rsidRPr="00412620" w:rsidRDefault="006A3F93">
      <w:pPr>
        <w:jc w:val="both"/>
        <w:rPr>
          <w:rFonts w:cs="Arial"/>
          <w:sz w:val="20"/>
        </w:rPr>
      </w:pPr>
    </w:p>
    <w:p w:rsidR="006A3F93" w:rsidRPr="00412620" w:rsidRDefault="006A3F93">
      <w:pPr>
        <w:pStyle w:val="BodyText3"/>
        <w:widowControl/>
        <w:rPr>
          <w:rFonts w:ascii="Arial" w:hAnsi="Arial"/>
          <w:sz w:val="20"/>
          <w:lang w:val="en-AU"/>
        </w:rPr>
      </w:pPr>
      <w:r w:rsidRPr="00412620">
        <w:rPr>
          <w:rFonts w:ascii="Arial" w:hAnsi="Arial"/>
          <w:sz w:val="20"/>
          <w:lang w:val="en-AU"/>
        </w:rPr>
        <w:tab/>
        <w:t>(2)</w:t>
      </w:r>
      <w:r w:rsidRPr="00412620">
        <w:rPr>
          <w:rFonts w:ascii="Arial" w:hAnsi="Arial"/>
          <w:sz w:val="20"/>
          <w:lang w:val="en-AU"/>
        </w:rPr>
        <w:tab/>
        <w:t>Except as provided in this Part, where a person sustains a loss under a head of income for a tax year that cannot be set off under sub-section (1), the person shall not be permitted to carry the loss forward to the next tax year.</w:t>
      </w:r>
    </w:p>
    <w:p w:rsidR="00E01608" w:rsidRPr="00412620" w:rsidRDefault="00E01608">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w:t>
      </w:r>
      <w:r w:rsidRPr="00412620">
        <w:rPr>
          <w:rFonts w:cs="Arial"/>
          <w:bCs/>
          <w:sz w:val="20"/>
        </w:rPr>
        <w:t>,</w:t>
      </w:r>
      <w:r w:rsidRPr="00412620">
        <w:rPr>
          <w:rStyle w:val="FootnoteReference"/>
          <w:rFonts w:cs="Arial"/>
          <w:sz w:val="20"/>
        </w:rPr>
        <w:footnoteReference w:id="356"/>
      </w:r>
      <w:r w:rsidRPr="00412620">
        <w:rPr>
          <w:rFonts w:cs="Arial"/>
          <w:sz w:val="20"/>
        </w:rPr>
        <w:t>[in a tax year,]a person sustains a loss under the head “Income from Business” and a loss under another head of income, the loss under the head “Income from Business shall be set off last.</w:t>
      </w:r>
    </w:p>
    <w:p w:rsidR="006A3F93" w:rsidRPr="00412620" w:rsidRDefault="006A3F93">
      <w:pPr>
        <w:jc w:val="both"/>
        <w:rPr>
          <w:rFonts w:cs="Arial"/>
          <w:sz w:val="20"/>
        </w:rPr>
      </w:pPr>
    </w:p>
    <w:p w:rsidR="007103D3" w:rsidRPr="00A170DD" w:rsidRDefault="007103D3">
      <w:pPr>
        <w:jc w:val="both"/>
        <w:rPr>
          <w:rFonts w:cs="Arial"/>
          <w:smallCaps/>
          <w:color w:val="00B0F0"/>
          <w:sz w:val="20"/>
        </w:rPr>
      </w:pPr>
      <w:r w:rsidRPr="00412620">
        <w:rPr>
          <w:rStyle w:val="FootnoteReference"/>
          <w:rFonts w:cs="Arial"/>
          <w:b/>
          <w:sz w:val="20"/>
        </w:rPr>
        <w:footnoteReference w:id="357"/>
      </w:r>
      <w:r w:rsidRPr="00412620">
        <w:rPr>
          <w:rFonts w:cs="Arial"/>
          <w:b/>
          <w:sz w:val="20"/>
        </w:rPr>
        <w:t>[56A. Set off of losses of companies operating hotels.</w:t>
      </w:r>
      <w:r w:rsidR="00B06F2F" w:rsidRPr="00412620">
        <w:rPr>
          <w:rFonts w:cs="Arial"/>
          <w:b/>
          <w:sz w:val="20"/>
        </w:rPr>
        <w:t>—</w:t>
      </w:r>
      <w:r w:rsidRPr="00412620">
        <w:rPr>
          <w:rFonts w:cs="Arial"/>
          <w:sz w:val="20"/>
        </w:rPr>
        <w:t xml:space="preserve"> Subject to sections 56 and 57, where a company registered in Pakistan or Azad Jammu and Kashmir (AJ&amp;K), operating hotels in Pakistan or AJ&amp;K, sustains a loss in Pakistan or AJ&amp;K for any tax year under the head “income from business” shall be entitled to have the amount of the loss set off against the company’s income in Pakistan or AJ&amp;K, as the case may be, from the tax year 2007 </w:t>
      </w:r>
      <w:r w:rsidR="00504998" w:rsidRPr="00A7684E">
        <w:rPr>
          <w:rStyle w:val="FootnoteReference"/>
          <w:rFonts w:cs="Arial"/>
          <w:color w:val="000000" w:themeColor="text1"/>
          <w:sz w:val="20"/>
        </w:rPr>
        <w:footnoteReference w:id="358"/>
      </w:r>
      <w:r w:rsidR="00504998" w:rsidRPr="00A7684E">
        <w:rPr>
          <w:rFonts w:cs="Arial"/>
          <w:color w:val="000000" w:themeColor="text1"/>
          <w:sz w:val="20"/>
        </w:rPr>
        <w:t>[</w:t>
      </w:r>
      <w:r w:rsidR="0027284A" w:rsidRPr="00A7684E">
        <w:rPr>
          <w:rFonts w:cs="Arial"/>
          <w:color w:val="000000" w:themeColor="text1"/>
          <w:sz w:val="20"/>
        </w:rPr>
        <w:t>onward</w:t>
      </w:r>
      <w:r w:rsidRPr="00A7684E">
        <w:rPr>
          <w:rFonts w:cs="Arial"/>
          <w:color w:val="000000" w:themeColor="text1"/>
          <w:sz w:val="20"/>
        </w:rPr>
        <w:t>]</w:t>
      </w:r>
      <w:r w:rsidR="0027284A" w:rsidRPr="00A7684E">
        <w:rPr>
          <w:rFonts w:cs="Arial"/>
          <w:color w:val="000000" w:themeColor="text1"/>
          <w:sz w:val="20"/>
        </w:rPr>
        <w:t>.</w:t>
      </w:r>
    </w:p>
    <w:p w:rsidR="007103D3" w:rsidRPr="00A170DD" w:rsidRDefault="007103D3">
      <w:pPr>
        <w:jc w:val="both"/>
        <w:rPr>
          <w:rFonts w:cs="Arial"/>
          <w:color w:val="00B0F0"/>
          <w:sz w:val="20"/>
        </w:rPr>
      </w:pPr>
    </w:p>
    <w:p w:rsidR="00E01608" w:rsidRPr="00412620" w:rsidRDefault="00E01608">
      <w:pPr>
        <w:jc w:val="both"/>
        <w:rPr>
          <w:rFonts w:cs="Arial"/>
          <w:sz w:val="20"/>
        </w:rPr>
      </w:pPr>
    </w:p>
    <w:p w:rsidR="00867284" w:rsidRPr="00412620" w:rsidRDefault="000A1763">
      <w:pPr>
        <w:jc w:val="both"/>
        <w:rPr>
          <w:sz w:val="20"/>
        </w:rPr>
      </w:pPr>
      <w:r w:rsidRPr="00412620">
        <w:rPr>
          <w:rFonts w:cs="Arial"/>
          <w:b/>
          <w:sz w:val="20"/>
        </w:rPr>
        <w:t xml:space="preserve">57. </w:t>
      </w:r>
      <w:r w:rsidR="006A3F93" w:rsidRPr="00412620">
        <w:rPr>
          <w:rFonts w:cs="Arial"/>
          <w:b/>
          <w:sz w:val="20"/>
        </w:rPr>
        <w:t>Carry forward of business losses.</w:t>
      </w:r>
      <w:r w:rsidR="00B06F2F" w:rsidRPr="00412620">
        <w:rPr>
          <w:rFonts w:cs="Arial"/>
          <w:b/>
          <w:sz w:val="20"/>
        </w:rPr>
        <w:t>—</w:t>
      </w:r>
      <w:r w:rsidR="00867284" w:rsidRPr="00412620">
        <w:rPr>
          <w:sz w:val="20"/>
        </w:rPr>
        <w:t xml:space="preserve">(1) </w:t>
      </w:r>
      <w:r w:rsidR="00E01608" w:rsidRPr="00412620">
        <w:rPr>
          <w:sz w:val="20"/>
        </w:rPr>
        <w:t>Where a person sustains a loss for a tax year under the head “Income from Business” (other than a loss to which section 58 applies) and the loss cannot be wholly set off under section 56, so much of the loss that has not been set off shall be carried forward to the following tax year and set off against the person’s income chargeable under the head “Income from Business” for that year.</w:t>
      </w:r>
    </w:p>
    <w:p w:rsidR="00867284" w:rsidRPr="00412620" w:rsidRDefault="00867284">
      <w:pPr>
        <w:jc w:val="both"/>
        <w:rPr>
          <w:rFonts w:cs="Arial"/>
          <w:sz w:val="20"/>
        </w:rPr>
      </w:pPr>
    </w:p>
    <w:p w:rsidR="00E01608" w:rsidRPr="00412620" w:rsidRDefault="00E01608">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If a loss sustained by a person for a tax year under the head “Income from Business” is not wholly set off under sub-section (1), then the amount of the loss not set off shall be carried forward to the following tax year and applied as specified in sub-section (1) in that year, and so on, but no loss can be carried forward to more than six tax years immediately succeeding the tax year for which the loss was first computed.</w:t>
      </w:r>
    </w:p>
    <w:p w:rsidR="006A3F93" w:rsidRPr="00412620" w:rsidRDefault="006A3F93">
      <w:pPr>
        <w:jc w:val="both"/>
        <w:rPr>
          <w:rFonts w:cs="Arial"/>
          <w:sz w:val="20"/>
        </w:rPr>
      </w:pPr>
    </w:p>
    <w:p w:rsidR="00E01608" w:rsidRPr="00412620" w:rsidRDefault="00E01608">
      <w:pPr>
        <w:jc w:val="both"/>
        <w:rPr>
          <w:rFonts w:cs="Arial"/>
          <w:sz w:val="20"/>
        </w:rPr>
      </w:pPr>
    </w:p>
    <w:p w:rsidR="006A3F93" w:rsidRPr="00412620" w:rsidRDefault="006A3F93">
      <w:pPr>
        <w:jc w:val="both"/>
        <w:rPr>
          <w:rFonts w:cs="Arial"/>
          <w:b/>
          <w:sz w:val="20"/>
        </w:rPr>
      </w:pPr>
      <w:r w:rsidRPr="00412620">
        <w:rPr>
          <w:rStyle w:val="FootnoteReference"/>
          <w:rFonts w:cs="Arial"/>
          <w:sz w:val="20"/>
        </w:rPr>
        <w:footnoteReference w:id="359"/>
      </w:r>
      <w:r w:rsidRPr="00412620">
        <w:rPr>
          <w:rFonts w:cs="Arial"/>
          <w:sz w:val="20"/>
        </w:rPr>
        <w:t>[(2A)</w:t>
      </w:r>
      <w:r w:rsidRPr="00412620">
        <w:rPr>
          <w:rFonts w:cs="Arial"/>
          <w:sz w:val="20"/>
        </w:rPr>
        <w:tab/>
        <w:t>Where a loss, referred to in sub-section (2), relating to any assessment year commencing on or after 1</w:t>
      </w:r>
      <w:r w:rsidRPr="00412620">
        <w:rPr>
          <w:rFonts w:cs="Arial"/>
          <w:sz w:val="20"/>
          <w:vertAlign w:val="superscript"/>
        </w:rPr>
        <w:t>st</w:t>
      </w:r>
      <w:r w:rsidRPr="00412620">
        <w:rPr>
          <w:rFonts w:cs="Arial"/>
          <w:sz w:val="20"/>
        </w:rPr>
        <w:t xml:space="preserve"> day of July, 1995, and ending on the 30</w:t>
      </w:r>
      <w:r w:rsidRPr="00412620">
        <w:rPr>
          <w:rFonts w:cs="Arial"/>
          <w:sz w:val="20"/>
          <w:vertAlign w:val="superscript"/>
        </w:rPr>
        <w:t>th</w:t>
      </w:r>
      <w:r w:rsidRPr="00412620">
        <w:rPr>
          <w:rFonts w:cs="Arial"/>
          <w:sz w:val="20"/>
        </w:rPr>
        <w:t xml:space="preserve"> day of June 2001, is sustained by a banking company wholly owned by the Federal Government as on first day of June, 2002, which is approved by the State Bank of Pakistan for the purpose of this sub-section, the said loss shall be carried forward for a period of ten years.]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a person has a loss carried forward under this section for more than one tax year, the loss of the earliest tax year shall be set off first.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Where the loss referred to in sub-section (1) includes deductions allowed under sections 22, 23 </w:t>
      </w:r>
      <w:r w:rsidR="00E71902" w:rsidRPr="00412620">
        <w:rPr>
          <w:rStyle w:val="FootnoteReference"/>
          <w:rFonts w:cs="Arial"/>
          <w:sz w:val="20"/>
        </w:rPr>
        <w:footnoteReference w:id="360"/>
      </w:r>
      <w:r w:rsidR="00E71902" w:rsidRPr="00412620">
        <w:rPr>
          <w:rFonts w:cs="Arial"/>
          <w:sz w:val="20"/>
        </w:rPr>
        <w:t xml:space="preserve">[23A, 23B] </w:t>
      </w:r>
      <w:r w:rsidRPr="00412620">
        <w:rPr>
          <w:rFonts w:cs="Arial"/>
          <w:sz w:val="20"/>
        </w:rPr>
        <w:t>and 24 that have not been set off against income, the amount not set off shall be added to the deductions allowed under those sections in the following tax year, and so on until completely set off.</w:t>
      </w:r>
    </w:p>
    <w:p w:rsidR="006A3F93" w:rsidRPr="00412620" w:rsidRDefault="006A3F93">
      <w:pPr>
        <w:jc w:val="both"/>
        <w:rPr>
          <w:rFonts w:cs="Arial"/>
          <w:sz w:val="10"/>
        </w:rPr>
      </w:pPr>
    </w:p>
    <w:p w:rsidR="006A3F93" w:rsidRPr="00412620" w:rsidRDefault="006A3F93">
      <w:pPr>
        <w:jc w:val="both"/>
        <w:rPr>
          <w:rFonts w:cs="Arial"/>
          <w:sz w:val="20"/>
        </w:rPr>
      </w:pPr>
      <w:r w:rsidRPr="00412620">
        <w:rPr>
          <w:rFonts w:cs="Arial"/>
          <w:sz w:val="20"/>
        </w:rPr>
        <w:tab/>
        <w:t>(5)</w:t>
      </w:r>
      <w:r w:rsidRPr="00412620">
        <w:rPr>
          <w:rFonts w:cs="Arial"/>
          <w:sz w:val="20"/>
        </w:rPr>
        <w:tab/>
        <w:t>In determining whether a person’s deductions under sections 22, 23</w:t>
      </w:r>
      <w:r w:rsidR="001D7A77" w:rsidRPr="00412620">
        <w:rPr>
          <w:rStyle w:val="FootnoteReference"/>
          <w:rFonts w:cs="Arial"/>
          <w:sz w:val="20"/>
        </w:rPr>
        <w:footnoteReference w:id="361"/>
      </w:r>
      <w:r w:rsidR="001D7A77" w:rsidRPr="00412620">
        <w:rPr>
          <w:rFonts w:cs="Arial"/>
          <w:sz w:val="20"/>
        </w:rPr>
        <w:t>[23A, 23B]</w:t>
      </w:r>
      <w:r w:rsidRPr="00412620">
        <w:rPr>
          <w:rFonts w:cs="Arial"/>
          <w:sz w:val="20"/>
        </w:rPr>
        <w:t xml:space="preserve"> and 24 have been set off against income, the deductions allowed under those sections shall be taken into account last. </w:t>
      </w:r>
    </w:p>
    <w:p w:rsidR="006A3F93" w:rsidRPr="00412620" w:rsidRDefault="006A3F93">
      <w:pPr>
        <w:jc w:val="both"/>
        <w:rPr>
          <w:rFonts w:cs="Arial"/>
          <w:sz w:val="14"/>
        </w:rPr>
      </w:pPr>
    </w:p>
    <w:p w:rsidR="000F4FCA" w:rsidRPr="00412620" w:rsidRDefault="006A3F93">
      <w:pPr>
        <w:jc w:val="both"/>
        <w:rPr>
          <w:sz w:val="20"/>
        </w:rPr>
      </w:pPr>
      <w:r w:rsidRPr="00412620">
        <w:rPr>
          <w:rStyle w:val="FootnoteReference"/>
          <w:rFonts w:cs="Arial"/>
          <w:sz w:val="20"/>
        </w:rPr>
        <w:footnoteReference w:id="362"/>
      </w:r>
      <w:r w:rsidRPr="00412620">
        <w:rPr>
          <w:sz w:val="20"/>
        </w:rPr>
        <w:t>[</w:t>
      </w:r>
      <w:r w:rsidRPr="00412620">
        <w:rPr>
          <w:b/>
          <w:sz w:val="20"/>
        </w:rPr>
        <w:t>57A. Set off of business loss consequent to amalgama</w:t>
      </w:r>
      <w:r w:rsidR="00D24AD1" w:rsidRPr="00412620">
        <w:rPr>
          <w:b/>
          <w:sz w:val="20"/>
        </w:rPr>
        <w:t>tion.</w:t>
      </w:r>
      <w:r w:rsidR="00D24AD1" w:rsidRPr="00412620">
        <w:rPr>
          <w:rFonts w:cs="Arial"/>
          <w:b/>
          <w:sz w:val="20"/>
        </w:rPr>
        <w:t>—</w:t>
      </w:r>
      <w:r w:rsidR="000F4FCA" w:rsidRPr="00412620">
        <w:rPr>
          <w:rStyle w:val="FootnoteReference"/>
          <w:sz w:val="20"/>
        </w:rPr>
        <w:footnoteReference w:id="363"/>
      </w:r>
      <w:r w:rsidR="000F4FCA" w:rsidRPr="00412620">
        <w:rPr>
          <w:sz w:val="20"/>
        </w:rPr>
        <w:t>[(1) The assessed loss (excluding capital loss) for the tax year, other than brought forward and capital loss, of the amalgamating company or companies shall be set off against business profits and gains of the amalgamated company, and vice versa, in the year of amalgamation and where the loss is not adjusted against the profits and gains for the tax year the unadjusted loss shall be carried forward for adjustment upto a period of six tax years succeeding the year of amalgamation.]</w:t>
      </w:r>
    </w:p>
    <w:p w:rsidR="006A3F93" w:rsidRPr="00412620" w:rsidRDefault="006A3F93">
      <w:pPr>
        <w:jc w:val="both"/>
        <w:rPr>
          <w:rFonts w:cs="Arial"/>
          <w:sz w:val="14"/>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 xml:space="preserve">The provisions of sub-section (4) and (5) of section 57 shall, </w:t>
      </w:r>
      <w:r w:rsidRPr="00412620">
        <w:rPr>
          <w:rFonts w:cs="Arial"/>
          <w:i/>
          <w:sz w:val="20"/>
          <w:u w:val="single"/>
        </w:rPr>
        <w:t>mutatis mutandis</w:t>
      </w:r>
      <w:r w:rsidRPr="00412620">
        <w:rPr>
          <w:rFonts w:cs="Arial"/>
          <w:sz w:val="20"/>
        </w:rPr>
        <w:t xml:space="preserve">, apply for the purposes of allowing unabsorbed depreciation of amalgamating company or companies in the assessment of amalgamated company </w:t>
      </w:r>
      <w:r w:rsidRPr="00412620">
        <w:rPr>
          <w:rStyle w:val="FootnoteReference"/>
          <w:rFonts w:cs="Arial"/>
          <w:sz w:val="20"/>
        </w:rPr>
        <w:footnoteReference w:id="364"/>
      </w:r>
      <w:r w:rsidRPr="00412620">
        <w:rPr>
          <w:rFonts w:cs="Arial"/>
          <w:sz w:val="20"/>
        </w:rPr>
        <w:t xml:space="preserve">[and </w:t>
      </w:r>
      <w:r w:rsidRPr="00412620">
        <w:rPr>
          <w:rFonts w:cs="Arial"/>
          <w:i/>
          <w:iCs/>
          <w:sz w:val="20"/>
        </w:rPr>
        <w:t xml:space="preserve">vice </w:t>
      </w:r>
      <w:r w:rsidRPr="00412620">
        <w:rPr>
          <w:rFonts w:cs="Arial"/>
          <w:sz w:val="20"/>
        </w:rPr>
        <w:t>versa]</w:t>
      </w:r>
      <w:r w:rsidRPr="00412620">
        <w:rPr>
          <w:rStyle w:val="FootnoteReference"/>
          <w:rFonts w:cs="Arial"/>
          <w:sz w:val="20"/>
        </w:rPr>
        <w:footnoteReference w:id="365"/>
      </w:r>
      <w:r w:rsidRPr="00412620">
        <w:rPr>
          <w:rFonts w:cs="Arial"/>
          <w:sz w:val="20"/>
        </w:rPr>
        <w:t xml:space="preserve">[:] </w:t>
      </w:r>
    </w:p>
    <w:p w:rsidR="006A3F93" w:rsidRPr="00412620" w:rsidRDefault="006A3F93">
      <w:pPr>
        <w:jc w:val="both"/>
        <w:rPr>
          <w:rFonts w:cs="Arial"/>
          <w:sz w:val="20"/>
        </w:rPr>
      </w:pPr>
    </w:p>
    <w:p w:rsidR="006A3F93" w:rsidRPr="00412620" w:rsidRDefault="00ED75E7" w:rsidP="00865EFD">
      <w:pPr>
        <w:ind w:left="1094" w:firstLine="766"/>
        <w:jc w:val="both"/>
        <w:rPr>
          <w:rFonts w:cs="Arial"/>
          <w:sz w:val="20"/>
        </w:rPr>
      </w:pPr>
      <w:r w:rsidRPr="00412620">
        <w:rPr>
          <w:rStyle w:val="FootnoteReference"/>
          <w:rFonts w:cs="Arial"/>
          <w:sz w:val="20"/>
        </w:rPr>
        <w:lastRenderedPageBreak/>
        <w:footnoteReference w:id="366"/>
      </w:r>
      <w:r w:rsidR="006A3F93" w:rsidRPr="00412620">
        <w:rPr>
          <w:rFonts w:cs="Arial"/>
          <w:sz w:val="20"/>
        </w:rPr>
        <w:t>[Provided that the losses referred to in sub-section (1) and unabsorbed depreciation referred to in sub-section (2) shall be allowed set off subject to the condition that the amalgamated company continues the business of the amalgamating company for a minimum period of five years from the date of amalgamation.]</w:t>
      </w:r>
    </w:p>
    <w:p w:rsidR="006A3F93" w:rsidRPr="00412620" w:rsidRDefault="006A3F93">
      <w:pPr>
        <w:jc w:val="both"/>
        <w:rPr>
          <w:rFonts w:cs="Arial"/>
          <w:sz w:val="20"/>
        </w:rPr>
      </w:pPr>
    </w:p>
    <w:p w:rsidR="004D371E" w:rsidRPr="00412620" w:rsidRDefault="00506B09">
      <w:pPr>
        <w:jc w:val="both"/>
        <w:rPr>
          <w:sz w:val="20"/>
        </w:rPr>
      </w:pPr>
      <w:r w:rsidRPr="00412620">
        <w:rPr>
          <w:rFonts w:cs="Arial"/>
          <w:sz w:val="20"/>
        </w:rPr>
        <w:tab/>
      </w:r>
      <w:r w:rsidR="00C313B4" w:rsidRPr="00412620">
        <w:rPr>
          <w:rStyle w:val="FootnoteReference"/>
          <w:rFonts w:cs="Arial"/>
          <w:sz w:val="20"/>
        </w:rPr>
        <w:footnoteReference w:id="367"/>
      </w:r>
      <w:r w:rsidRPr="00412620">
        <w:rPr>
          <w:rFonts w:cs="Arial"/>
          <w:sz w:val="20"/>
        </w:rPr>
        <w:t>[(2A)</w:t>
      </w:r>
      <w:r w:rsidR="00451E93" w:rsidRPr="00412620">
        <w:rPr>
          <w:rFonts w:cs="Arial"/>
          <w:sz w:val="20"/>
        </w:rPr>
        <w:t>.</w:t>
      </w:r>
      <w:r w:rsidR="00C313B4" w:rsidRPr="00412620">
        <w:rPr>
          <w:sz w:val="20"/>
        </w:rPr>
        <w:t xml:space="preserve">In case of amalgamation of </w:t>
      </w:r>
      <w:r w:rsidR="00A67B22" w:rsidRPr="00412620">
        <w:rPr>
          <w:sz w:val="20"/>
        </w:rPr>
        <w:t>B</w:t>
      </w:r>
      <w:r w:rsidR="00C313B4" w:rsidRPr="00412620">
        <w:rPr>
          <w:sz w:val="20"/>
        </w:rPr>
        <w:t>anking Company</w:t>
      </w:r>
      <w:r w:rsidR="00A67B22" w:rsidRPr="00412620">
        <w:rPr>
          <w:sz w:val="20"/>
        </w:rPr>
        <w:t xml:space="preserve"> or Non-banking Finance Company,</w:t>
      </w:r>
      <w:r w:rsidR="007B7C8F">
        <w:rPr>
          <w:sz w:val="20"/>
        </w:rPr>
        <w:t xml:space="preserve"> </w:t>
      </w:r>
      <w:r w:rsidR="00C313B4" w:rsidRPr="00412620">
        <w:rPr>
          <w:sz w:val="20"/>
        </w:rPr>
        <w:t xml:space="preserve">modarabas or insurance company, the accumulated loss under the head “Income from Business” (not being speculation business losses) of an amalgamating company or companies shall be set off or carried forward against the business profits and gains of the amalgamated company and </w:t>
      </w:r>
      <w:r w:rsidR="00C313B4" w:rsidRPr="00412620">
        <w:rPr>
          <w:i/>
          <w:sz w:val="20"/>
        </w:rPr>
        <w:t xml:space="preserve">vice versa, </w:t>
      </w:r>
      <w:r w:rsidR="00C313B4" w:rsidRPr="00412620">
        <w:rPr>
          <w:sz w:val="20"/>
        </w:rPr>
        <w:t>up to a period of six tax years immediately succeeding the tax year in which the loss was first computed in the case of amalgamated company or am</w:t>
      </w:r>
      <w:r w:rsidR="004D371E" w:rsidRPr="00412620">
        <w:rPr>
          <w:sz w:val="20"/>
        </w:rPr>
        <w:t>algamating company or companies:</w:t>
      </w:r>
    </w:p>
    <w:p w:rsidR="004D371E" w:rsidRPr="00412620" w:rsidRDefault="004D371E">
      <w:pPr>
        <w:jc w:val="both"/>
        <w:rPr>
          <w:sz w:val="20"/>
        </w:rPr>
      </w:pPr>
    </w:p>
    <w:p w:rsidR="00506B09" w:rsidRPr="00412620" w:rsidRDefault="004D371E" w:rsidP="005742A3">
      <w:pPr>
        <w:ind w:left="1094" w:firstLine="541"/>
        <w:jc w:val="both"/>
        <w:rPr>
          <w:rFonts w:cs="Arial"/>
          <w:sz w:val="20"/>
        </w:rPr>
      </w:pPr>
      <w:r w:rsidRPr="00412620">
        <w:rPr>
          <w:sz w:val="20"/>
        </w:rPr>
        <w:t>Provided that the provisions of this sub-section shall in the case of Banking companies be applica</w:t>
      </w:r>
      <w:r w:rsidR="00A67B22" w:rsidRPr="00412620">
        <w:rPr>
          <w:sz w:val="20"/>
        </w:rPr>
        <w:t>ble</w:t>
      </w:r>
      <w:r w:rsidRPr="00412620">
        <w:rPr>
          <w:sz w:val="20"/>
        </w:rPr>
        <w:t xml:space="preserve"> from July 1, 2007</w:t>
      </w:r>
      <w:r w:rsidR="00397262" w:rsidRPr="00412620">
        <w:rPr>
          <w:sz w:val="20"/>
        </w:rPr>
        <w:t>.</w:t>
      </w:r>
      <w:r w:rsidR="00C313B4" w:rsidRPr="00412620">
        <w:rPr>
          <w:sz w:val="20"/>
        </w:rPr>
        <w:t>]</w:t>
      </w:r>
    </w:p>
    <w:p w:rsidR="00506B09" w:rsidRPr="00412620" w:rsidRDefault="00506B09">
      <w:pPr>
        <w:jc w:val="both"/>
        <w:rPr>
          <w:rFonts w:cs="Arial"/>
          <w:sz w:val="20"/>
        </w:rPr>
      </w:pPr>
    </w:p>
    <w:p w:rsidR="006A3F93" w:rsidRPr="00412620" w:rsidRDefault="006A3F93">
      <w:pPr>
        <w:pStyle w:val="BodyText3"/>
        <w:widowControl/>
        <w:rPr>
          <w:rFonts w:ascii="Arial" w:hAnsi="Arial"/>
          <w:b/>
          <w:sz w:val="20"/>
          <w:lang w:val="en-AU"/>
        </w:rPr>
      </w:pPr>
      <w:r w:rsidRPr="00412620">
        <w:rPr>
          <w:rFonts w:ascii="Arial" w:hAnsi="Arial"/>
          <w:sz w:val="20"/>
          <w:lang w:val="en-AU"/>
        </w:rPr>
        <w:tab/>
        <w:t xml:space="preserve">(3) </w:t>
      </w:r>
      <w:r w:rsidRPr="00412620">
        <w:rPr>
          <w:rFonts w:ascii="Arial" w:hAnsi="Arial"/>
          <w:sz w:val="20"/>
          <w:lang w:val="en-AU"/>
        </w:rPr>
        <w:tab/>
        <w:t xml:space="preserve">Where any of the conditions as laid down by the State Bank of Pakistan or the Securities and Exchange Commission of Pakistan </w:t>
      </w:r>
      <w:r w:rsidRPr="00412620">
        <w:rPr>
          <w:rStyle w:val="FootnoteReference"/>
          <w:rFonts w:ascii="Arial" w:hAnsi="Arial"/>
          <w:sz w:val="20"/>
          <w:lang w:val="en-AU"/>
        </w:rPr>
        <w:footnoteReference w:id="368"/>
      </w:r>
      <w:r w:rsidRPr="00412620">
        <w:rPr>
          <w:rFonts w:ascii="Arial" w:hAnsi="Arial"/>
          <w:sz w:val="20"/>
          <w:lang w:val="en-AU"/>
        </w:rPr>
        <w:t xml:space="preserve">[or any court], as the case may be, in the scheme of amalgamation, are not fulfilled, the set off of loss or allowance for depreciation made in any tax year of the amalgamated company </w:t>
      </w:r>
      <w:r w:rsidRPr="00412620">
        <w:rPr>
          <w:rStyle w:val="FootnoteReference"/>
          <w:rFonts w:ascii="Arial" w:hAnsi="Arial"/>
          <w:sz w:val="20"/>
          <w:lang w:val="en-AU"/>
        </w:rPr>
        <w:footnoteReference w:id="369"/>
      </w:r>
      <w:r w:rsidRPr="00412620">
        <w:rPr>
          <w:rFonts w:ascii="Arial" w:hAnsi="Arial"/>
          <w:sz w:val="20"/>
          <w:lang w:val="en-AU"/>
        </w:rPr>
        <w:t xml:space="preserve">[or the amalgamating company or companies] shall be deemed to be the income of that amalgamated company </w:t>
      </w:r>
      <w:r w:rsidRPr="00412620">
        <w:rPr>
          <w:rStyle w:val="FootnoteReference"/>
          <w:rFonts w:ascii="Arial" w:hAnsi="Arial"/>
          <w:sz w:val="20"/>
          <w:lang w:val="en-AU"/>
        </w:rPr>
        <w:footnoteReference w:id="370"/>
      </w:r>
      <w:r w:rsidRPr="00412620">
        <w:rPr>
          <w:rFonts w:ascii="Arial" w:hAnsi="Arial"/>
          <w:sz w:val="20"/>
          <w:lang w:val="en-AU"/>
        </w:rPr>
        <w:t>[or the amalgamating company or companies, as the case may be,] for the year in which such default is discovered by the Commissioner or taxation officer, and all the provisions of this Ordinance shall apply accordingly.]</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58.Carry forward of speculation business losses.</w:t>
      </w:r>
      <w:r w:rsidR="00D24AD1" w:rsidRPr="00412620">
        <w:rPr>
          <w:rFonts w:cs="Arial"/>
          <w:b/>
          <w:sz w:val="20"/>
        </w:rPr>
        <w:t>—</w:t>
      </w:r>
      <w:r w:rsidRPr="00412620">
        <w:rPr>
          <w:sz w:val="20"/>
        </w:rPr>
        <w:t>(1)  Where a person sustains a loss for a tax year in respect of a speculation business carried on by the person (hereinafter referred to as a “speculation loss”), the loss shall be set off only against the income of the person from any other speculation business of the person chargeable to tax for that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If a speculation loss sustained by a person for a tax year is not wholly set off under sub-section (1), then the amount of the loss not set off shall be carried forward to the following tax year and applied against the income of any speculation business of the person in that year and applied as specified in sub-section (1) in that year, and so on, but no speculation loss shall be carried </w:t>
      </w:r>
      <w:r w:rsidRPr="00412620">
        <w:rPr>
          <w:rFonts w:cs="Arial"/>
          <w:sz w:val="20"/>
        </w:rPr>
        <w:lastRenderedPageBreak/>
        <w:t>forward to more than six tax years immediately succeeding the tax year for which the loss was first computed.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a person has a loss carried forward under this section for more than one tax year, the loss of the earliest tax year shall be set off first.</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59.Carry forward of capital losses.</w:t>
      </w:r>
      <w:r w:rsidR="00D24AD1" w:rsidRPr="00412620">
        <w:rPr>
          <w:rFonts w:cs="Arial"/>
          <w:b/>
          <w:sz w:val="20"/>
        </w:rPr>
        <w:t>—</w:t>
      </w:r>
      <w:r w:rsidRPr="00412620">
        <w:rPr>
          <w:sz w:val="20"/>
        </w:rPr>
        <w:t xml:space="preserve"> (1)  Where a person sustains a loss for a tax year under the head “Capital Gains” (hereinafter referred to as a “capital loss”), the loss shall not be set off against the person’s income, if any, chargeable under any other head of income for the year, but shall be carried forward to the next tax year and set off against the capital gain, if any, chargeable under the head “Capital Gains” for that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If a capital loss sustained by a person for a tax year under the head “Capital Gains” is not wholly set off under sub-section (1), then the amount of the loss not set off shall be carried forward to the following tax year, and so on, but no loss shall be carried forward to more than six tax years immediately succeeding the tax year for which the loss was first computed.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a person has a loss carried forward under this section for more than one tax year, the loss of the earliest tax year shall be set off first.</w:t>
      </w:r>
    </w:p>
    <w:p w:rsidR="006A3F93" w:rsidRPr="00412620" w:rsidRDefault="006A3F93">
      <w:pPr>
        <w:rPr>
          <w:rFonts w:cs="Arial"/>
          <w:sz w:val="20"/>
        </w:rPr>
      </w:pPr>
    </w:p>
    <w:p w:rsidR="008D05B0" w:rsidRPr="00412620" w:rsidRDefault="006A3F93">
      <w:pPr>
        <w:jc w:val="both"/>
        <w:rPr>
          <w:sz w:val="20"/>
        </w:rPr>
      </w:pPr>
      <w:r w:rsidRPr="00412620">
        <w:rPr>
          <w:rStyle w:val="FootnoteReference"/>
          <w:rFonts w:cs="Arial"/>
          <w:sz w:val="20"/>
        </w:rPr>
        <w:footnoteReference w:id="371"/>
      </w:r>
      <w:r w:rsidRPr="00412620">
        <w:rPr>
          <w:b/>
          <w:sz w:val="20"/>
        </w:rPr>
        <w:t>[59A. Limitations on set off and carry forward of losses.</w:t>
      </w:r>
      <w:r w:rsidR="00D24AD1" w:rsidRPr="00412620">
        <w:rPr>
          <w:rFonts w:cs="Arial"/>
          <w:b/>
          <w:sz w:val="20"/>
        </w:rPr>
        <w:t>—</w:t>
      </w:r>
    </w:p>
    <w:p w:rsidR="008D05B0" w:rsidRPr="00412620" w:rsidRDefault="008D05B0">
      <w:pPr>
        <w:jc w:val="both"/>
        <w:rPr>
          <w:sz w:val="20"/>
        </w:rPr>
      </w:pPr>
    </w:p>
    <w:p w:rsidR="008D05B0" w:rsidRPr="00412620" w:rsidRDefault="00A26594">
      <w:pPr>
        <w:jc w:val="both"/>
        <w:rPr>
          <w:sz w:val="20"/>
        </w:rPr>
      </w:pPr>
      <w:r w:rsidRPr="00412620">
        <w:rPr>
          <w:rStyle w:val="FootnoteReference"/>
          <w:sz w:val="20"/>
        </w:rPr>
        <w:footnoteReference w:id="372"/>
      </w:r>
      <w:r w:rsidR="008D05B0" w:rsidRPr="00412620">
        <w:rPr>
          <w:sz w:val="20"/>
        </w:rPr>
        <w:t>[  ]</w:t>
      </w:r>
    </w:p>
    <w:p w:rsidR="008D05B0" w:rsidRPr="00412620" w:rsidRDefault="008D05B0">
      <w:pPr>
        <w:jc w:val="both"/>
        <w:rPr>
          <w:sz w:val="20"/>
        </w:rPr>
      </w:pPr>
    </w:p>
    <w:p w:rsidR="008D05B0" w:rsidRPr="00412620" w:rsidRDefault="00A26594">
      <w:pPr>
        <w:jc w:val="both"/>
        <w:rPr>
          <w:sz w:val="20"/>
        </w:rPr>
      </w:pPr>
      <w:r w:rsidRPr="00412620">
        <w:rPr>
          <w:rStyle w:val="FootnoteReference"/>
          <w:sz w:val="20"/>
        </w:rPr>
        <w:footnoteReference w:id="373"/>
      </w:r>
      <w:r w:rsidR="008D05B0" w:rsidRPr="00412620">
        <w:rPr>
          <w:sz w:val="20"/>
        </w:rPr>
        <w:t>[  ]</w:t>
      </w:r>
    </w:p>
    <w:p w:rsidR="006A3F93" w:rsidRDefault="006A3F93">
      <w:pPr>
        <w:jc w:val="both"/>
        <w:rPr>
          <w:rFonts w:cs="Arial"/>
          <w:sz w:val="20"/>
        </w:rPr>
      </w:pPr>
      <w:r w:rsidRPr="00412620">
        <w:rPr>
          <w:rFonts w:cs="Arial"/>
          <w:sz w:val="20"/>
        </w:rPr>
        <w:tab/>
      </w:r>
    </w:p>
    <w:p w:rsidR="00D72128" w:rsidRPr="00412620" w:rsidRDefault="00D72128">
      <w:pPr>
        <w:jc w:val="both"/>
        <w:rPr>
          <w:rFonts w:cs="Arial"/>
          <w:sz w:val="16"/>
          <w:szCs w:val="16"/>
        </w:rPr>
      </w:pPr>
    </w:p>
    <w:p w:rsidR="006A3F93" w:rsidRPr="00412620" w:rsidRDefault="006A3F93">
      <w:pPr>
        <w:rPr>
          <w:rFonts w:cs="Arial"/>
          <w:sz w:val="20"/>
        </w:rPr>
      </w:pPr>
      <w:r w:rsidRPr="00412620">
        <w:rPr>
          <w:rFonts w:cs="Arial"/>
          <w:sz w:val="20"/>
        </w:rPr>
        <w:tab/>
        <w:t xml:space="preserve">(3) </w:t>
      </w:r>
      <w:r w:rsidRPr="00412620">
        <w:rPr>
          <w:rFonts w:cs="Arial"/>
          <w:sz w:val="20"/>
        </w:rPr>
        <w:tab/>
        <w:t>In case of association of persons</w:t>
      </w:r>
      <w:r w:rsidR="00FE3B67" w:rsidRPr="00412620">
        <w:rPr>
          <w:rStyle w:val="FootnoteReference"/>
          <w:rFonts w:cs="Arial"/>
          <w:sz w:val="20"/>
        </w:rPr>
        <w:footnoteReference w:id="374"/>
      </w:r>
      <w:r w:rsidR="00FF56A7" w:rsidRPr="00412620">
        <w:rPr>
          <w:rFonts w:cs="Arial"/>
          <w:sz w:val="20"/>
        </w:rPr>
        <w:t xml:space="preserve">[any loss] </w:t>
      </w:r>
      <w:r w:rsidRPr="00412620">
        <w:rPr>
          <w:rFonts w:cs="Arial"/>
          <w:sz w:val="20"/>
        </w:rPr>
        <w:t>shall be set off or carried forward and set off only against the income of the association.</w:t>
      </w:r>
    </w:p>
    <w:p w:rsidR="006A3F93" w:rsidRDefault="006A3F93">
      <w:pPr>
        <w:rPr>
          <w:rFonts w:cs="Arial"/>
          <w:sz w:val="20"/>
        </w:rPr>
      </w:pPr>
    </w:p>
    <w:p w:rsidR="00D72128" w:rsidRPr="00412620" w:rsidRDefault="00D72128">
      <w:pPr>
        <w:rPr>
          <w:rFonts w:cs="Arial"/>
          <w:sz w:val="20"/>
        </w:rPr>
      </w:pPr>
    </w:p>
    <w:p w:rsidR="006A3F93" w:rsidRPr="00412620" w:rsidRDefault="006A3F93">
      <w:pPr>
        <w:rPr>
          <w:rFonts w:cs="Arial"/>
          <w:sz w:val="20"/>
        </w:rPr>
      </w:pPr>
      <w:r w:rsidRPr="00412620">
        <w:rPr>
          <w:rFonts w:cs="Arial"/>
          <w:sz w:val="20"/>
        </w:rPr>
        <w:tab/>
        <w:t xml:space="preserve">(4) </w:t>
      </w:r>
      <w:r w:rsidRPr="00412620">
        <w:rPr>
          <w:rFonts w:cs="Arial"/>
          <w:sz w:val="20"/>
        </w:rPr>
        <w:tab/>
        <w:t xml:space="preserve">Nothing contained in section 56, 57, 58 or 59 shall entitle </w:t>
      </w:r>
      <w:r w:rsidR="00D72128">
        <w:rPr>
          <w:rFonts w:cs="Arial"/>
          <w:sz w:val="20"/>
        </w:rPr>
        <w:t>—</w:t>
      </w:r>
    </w:p>
    <w:p w:rsidR="006A3F93" w:rsidRPr="00412620" w:rsidRDefault="006A3F93">
      <w:pPr>
        <w:rPr>
          <w:rFonts w:cs="Arial"/>
          <w:sz w:val="20"/>
        </w:rPr>
      </w:pPr>
    </w:p>
    <w:p w:rsidR="006A3F93" w:rsidRPr="00412620" w:rsidRDefault="006A3F93">
      <w:pPr>
        <w:ind w:left="1641" w:hanging="546"/>
        <w:jc w:val="both"/>
        <w:rPr>
          <w:rFonts w:cs="Arial"/>
          <w:sz w:val="20"/>
        </w:rPr>
      </w:pPr>
      <w:r w:rsidRPr="00412620">
        <w:rPr>
          <w:rFonts w:cs="Arial"/>
          <w:sz w:val="20"/>
        </w:rPr>
        <w:lastRenderedPageBreak/>
        <w:t xml:space="preserve">(a) </w:t>
      </w:r>
      <w:r w:rsidRPr="00412620">
        <w:rPr>
          <w:rFonts w:cs="Arial"/>
          <w:sz w:val="20"/>
        </w:rPr>
        <w:tab/>
        <w:t xml:space="preserve">any member of an association of persons </w:t>
      </w:r>
      <w:r w:rsidR="0015072B">
        <w:rPr>
          <w:rStyle w:val="FootnoteReference"/>
          <w:rFonts w:cs="Arial"/>
          <w:sz w:val="20"/>
        </w:rPr>
        <w:footnoteReference w:id="375"/>
      </w:r>
      <w:r w:rsidR="0015072B">
        <w:rPr>
          <w:rFonts w:cs="Arial"/>
          <w:sz w:val="20"/>
        </w:rPr>
        <w:t>[  ]</w:t>
      </w:r>
      <w:r w:rsidRPr="00412620">
        <w:rPr>
          <w:rFonts w:cs="Arial"/>
          <w:sz w:val="20"/>
        </w:rPr>
        <w:t xml:space="preserve"> to set off any loss sustained by such association of persons, as the case may be, or have it carried forward and set off, against his income; or </w:t>
      </w:r>
    </w:p>
    <w:p w:rsidR="006A3F93" w:rsidRPr="00412620" w:rsidRDefault="006A3F93">
      <w:pPr>
        <w:rPr>
          <w:rFonts w:cs="Arial"/>
          <w:sz w:val="20"/>
        </w:rPr>
      </w:pPr>
    </w:p>
    <w:p w:rsidR="006A3F93" w:rsidRPr="00412620" w:rsidRDefault="006A3F93">
      <w:pPr>
        <w:ind w:left="1641" w:hanging="546"/>
        <w:jc w:val="both"/>
        <w:rPr>
          <w:rFonts w:cs="Arial"/>
          <w:sz w:val="20"/>
        </w:rPr>
      </w:pPr>
      <w:r w:rsidRPr="00412620">
        <w:rPr>
          <w:rFonts w:cs="Arial"/>
          <w:sz w:val="20"/>
        </w:rPr>
        <w:t xml:space="preserve">(b) </w:t>
      </w:r>
      <w:r w:rsidRPr="00412620">
        <w:rPr>
          <w:rFonts w:cs="Arial"/>
          <w:sz w:val="20"/>
        </w:rPr>
        <w:tab/>
        <w:t>any person who has succeeded, in such capacity, any other person carrying on any business or profession, otherwise than by inheritance, to carry forward and set off against his income, any loss sustained by such other person.</w:t>
      </w:r>
    </w:p>
    <w:p w:rsidR="006A3F93" w:rsidRPr="00412620" w:rsidRDefault="006A3F93">
      <w:pPr>
        <w:rPr>
          <w:rFonts w:cs="Arial"/>
          <w:sz w:val="20"/>
        </w:rPr>
      </w:pPr>
    </w:p>
    <w:p w:rsidR="006A3F93" w:rsidRPr="00412620" w:rsidRDefault="006A3F93">
      <w:pPr>
        <w:jc w:val="both"/>
        <w:rPr>
          <w:rFonts w:cs="Arial"/>
          <w:sz w:val="20"/>
        </w:rPr>
      </w:pPr>
      <w:r w:rsidRPr="00412620">
        <w:rPr>
          <w:rFonts w:cs="Arial"/>
          <w:sz w:val="20"/>
        </w:rPr>
        <w:tab/>
        <w:t xml:space="preserve">(5) </w:t>
      </w:r>
      <w:r w:rsidRPr="00412620">
        <w:rPr>
          <w:rFonts w:cs="Arial"/>
          <w:sz w:val="20"/>
        </w:rPr>
        <w:tab/>
        <w:t>Where in computing the taxable income for any tax year, full effect cannot be given to a deduction mentioned in section 22, 23, 24 or 25 owing to there being no profits or gains chargeable for that year or such profits or gains being less than the deduction, then, subject to sub-section (12) of section 22, and sub-section (6), the deduction or part of the deduction to which effect has not been given, as the case may be, shall be added to the amount of such deduction for the following year and be treated to be part of that deduction, or if there is no such deduction for that year, be treated to be the deduction for that year and so on for succeeding years.</w:t>
      </w:r>
    </w:p>
    <w:p w:rsidR="006A3F93" w:rsidRPr="00412620" w:rsidRDefault="006A3F93">
      <w:pPr>
        <w:rPr>
          <w:rFonts w:cs="Arial"/>
          <w:sz w:val="20"/>
        </w:rPr>
      </w:pPr>
    </w:p>
    <w:p w:rsidR="006A3F93" w:rsidRPr="00412620" w:rsidRDefault="006A3F93">
      <w:pPr>
        <w:jc w:val="both"/>
        <w:rPr>
          <w:rFonts w:cs="Arial"/>
          <w:sz w:val="20"/>
        </w:rPr>
      </w:pPr>
      <w:r w:rsidRPr="00412620">
        <w:rPr>
          <w:rFonts w:cs="Arial"/>
          <w:sz w:val="20"/>
        </w:rPr>
        <w:tab/>
        <w:t xml:space="preserve">(6) </w:t>
      </w:r>
      <w:r w:rsidRPr="00412620">
        <w:rPr>
          <w:rFonts w:cs="Arial"/>
          <w:sz w:val="20"/>
        </w:rPr>
        <w:tab/>
        <w:t>Where, under sub-section (5), deduction is also to be carried forward, effect shall first be given to the provisions of section 56 and sub-section (2) of section 58.</w:t>
      </w:r>
    </w:p>
    <w:p w:rsidR="006A3F93" w:rsidRPr="00412620" w:rsidRDefault="006A3F93">
      <w:pPr>
        <w:jc w:val="both"/>
        <w:rPr>
          <w:rFonts w:cs="Arial"/>
          <w:sz w:val="20"/>
        </w:rPr>
      </w:pPr>
    </w:p>
    <w:p w:rsidR="007C0A7A" w:rsidRPr="00412620" w:rsidRDefault="006A3F93">
      <w:pPr>
        <w:jc w:val="both"/>
        <w:rPr>
          <w:rFonts w:cs="Arial"/>
          <w:sz w:val="20"/>
        </w:rPr>
      </w:pPr>
      <w:r w:rsidRPr="00412620">
        <w:rPr>
          <w:rFonts w:cs="Arial"/>
          <w:sz w:val="20"/>
        </w:rPr>
        <w:tab/>
        <w:t xml:space="preserve">(7) </w:t>
      </w:r>
      <w:r w:rsidRPr="00412620">
        <w:rPr>
          <w:rFonts w:cs="Arial"/>
          <w:sz w:val="20"/>
        </w:rPr>
        <w:tab/>
        <w:t>Notwithstanding anything contained in this Ordinance, no loss which has not been assessed or determined in pursuance of an order made under section 59, 59A, 62, 63 or 65 of the repealed Ordinance or an order made or treated as made under section 120, 121 or 122 shall be carried forward and set off under section 57, sub-section (2)</w:t>
      </w:r>
    </w:p>
    <w:p w:rsidR="006A3F93" w:rsidRPr="00412620" w:rsidRDefault="006A3F93">
      <w:pPr>
        <w:jc w:val="both"/>
        <w:rPr>
          <w:rFonts w:cs="Arial"/>
          <w:sz w:val="20"/>
        </w:rPr>
      </w:pPr>
      <w:r w:rsidRPr="00412620">
        <w:rPr>
          <w:rFonts w:cs="Arial"/>
          <w:sz w:val="20"/>
        </w:rPr>
        <w:t xml:space="preserve"> of section 58 or section 59.]</w:t>
      </w:r>
    </w:p>
    <w:p w:rsidR="006A3F93" w:rsidRPr="00412620" w:rsidRDefault="006A3F93">
      <w:pPr>
        <w:rPr>
          <w:rFonts w:cs="Arial"/>
          <w:sz w:val="20"/>
        </w:rPr>
      </w:pPr>
    </w:p>
    <w:p w:rsidR="00840860" w:rsidRPr="00412620" w:rsidRDefault="000F0EF5" w:rsidP="005A471D">
      <w:pPr>
        <w:jc w:val="both"/>
        <w:rPr>
          <w:rFonts w:cs="Arial"/>
          <w:sz w:val="20"/>
        </w:rPr>
      </w:pPr>
      <w:r w:rsidRPr="00412620">
        <w:rPr>
          <w:rStyle w:val="FootnoteReference"/>
          <w:rFonts w:cs="Arial"/>
          <w:b/>
          <w:sz w:val="20"/>
        </w:rPr>
        <w:footnoteReference w:id="376"/>
      </w:r>
      <w:r w:rsidR="00840860" w:rsidRPr="00412620">
        <w:rPr>
          <w:rFonts w:cs="Arial"/>
          <w:b/>
          <w:sz w:val="20"/>
        </w:rPr>
        <w:t xml:space="preserve">[59AA. Group </w:t>
      </w:r>
      <w:r w:rsidR="0072015E" w:rsidRPr="00412620">
        <w:rPr>
          <w:rFonts w:cs="Arial"/>
          <w:b/>
          <w:sz w:val="20"/>
        </w:rPr>
        <w:t>t</w:t>
      </w:r>
      <w:r w:rsidR="00840860" w:rsidRPr="00412620">
        <w:rPr>
          <w:rFonts w:cs="Arial"/>
          <w:b/>
          <w:sz w:val="20"/>
        </w:rPr>
        <w:t>axation.</w:t>
      </w:r>
      <w:r w:rsidR="00D24AD1" w:rsidRPr="00412620">
        <w:rPr>
          <w:rFonts w:cs="Arial"/>
          <w:b/>
          <w:sz w:val="20"/>
        </w:rPr>
        <w:t>—</w:t>
      </w:r>
      <w:r w:rsidR="00840860" w:rsidRPr="00412620">
        <w:rPr>
          <w:rFonts w:cs="Arial"/>
          <w:sz w:val="20"/>
        </w:rPr>
        <w:t xml:space="preserve"> (1) Holding companies and subsidiary companies of 100% owned group may opt to be taxed as one fiscal unit. </w:t>
      </w:r>
      <w:r w:rsidR="005A471D" w:rsidRPr="00412620">
        <w:rPr>
          <w:rFonts w:cs="Arial"/>
          <w:sz w:val="20"/>
        </w:rPr>
        <w:t>In such cases, besides consolidated group accounts as required under the Companies Ordinance</w:t>
      </w:r>
      <w:r w:rsidR="005B1F55" w:rsidRPr="00412620">
        <w:rPr>
          <w:rFonts w:cs="Arial"/>
          <w:sz w:val="20"/>
        </w:rPr>
        <w:t>, 1984 (XLVII of 1984), computation of income and tax payable shall be made for tax purposes.</w:t>
      </w:r>
    </w:p>
    <w:p w:rsidR="005B1F55" w:rsidRPr="00412620" w:rsidRDefault="005B1F55" w:rsidP="005A471D">
      <w:pPr>
        <w:jc w:val="both"/>
        <w:rPr>
          <w:rFonts w:cs="Arial"/>
          <w:sz w:val="20"/>
        </w:rPr>
      </w:pPr>
    </w:p>
    <w:p w:rsidR="005B1F55" w:rsidRPr="00412620" w:rsidRDefault="005B1F55" w:rsidP="005A471D">
      <w:pPr>
        <w:jc w:val="both"/>
        <w:rPr>
          <w:rFonts w:cs="Arial"/>
          <w:sz w:val="20"/>
        </w:rPr>
      </w:pPr>
      <w:r w:rsidRPr="00412620">
        <w:rPr>
          <w:rFonts w:cs="Arial"/>
          <w:sz w:val="20"/>
        </w:rPr>
        <w:tab/>
        <w:t xml:space="preserve">(2) </w:t>
      </w:r>
      <w:r w:rsidRPr="00412620">
        <w:rPr>
          <w:rFonts w:cs="Arial"/>
          <w:sz w:val="20"/>
        </w:rPr>
        <w:tab/>
        <w:t>The companies in the group shall give irrevocable option for taxation under this section as one fiscal unit.</w:t>
      </w:r>
    </w:p>
    <w:p w:rsidR="005B1F55" w:rsidRPr="00412620" w:rsidRDefault="005B1F55" w:rsidP="005A471D">
      <w:pPr>
        <w:jc w:val="both"/>
        <w:rPr>
          <w:rFonts w:cs="Arial"/>
          <w:sz w:val="20"/>
        </w:rPr>
      </w:pPr>
    </w:p>
    <w:p w:rsidR="005B1F55" w:rsidRPr="00412620" w:rsidRDefault="005B1F55" w:rsidP="005A471D">
      <w:pPr>
        <w:jc w:val="both"/>
        <w:rPr>
          <w:rFonts w:cs="Arial"/>
          <w:sz w:val="20"/>
        </w:rPr>
      </w:pPr>
      <w:r w:rsidRPr="00412620">
        <w:rPr>
          <w:rFonts w:cs="Arial"/>
          <w:sz w:val="20"/>
        </w:rPr>
        <w:tab/>
        <w:t xml:space="preserve">(3) </w:t>
      </w:r>
      <w:r w:rsidRPr="00412620">
        <w:rPr>
          <w:rFonts w:cs="Arial"/>
          <w:sz w:val="20"/>
        </w:rPr>
        <w:tab/>
        <w:t xml:space="preserve">The group taxation </w:t>
      </w:r>
      <w:r w:rsidR="000F0EF5" w:rsidRPr="00412620">
        <w:rPr>
          <w:sz w:val="20"/>
        </w:rPr>
        <w:t>shall be restricted to companies locally incorporated under the Companies Ordinance, 1984 (XLVII of 1984).</w:t>
      </w:r>
    </w:p>
    <w:p w:rsidR="005B1F55" w:rsidRPr="00412620" w:rsidRDefault="005B1F55" w:rsidP="005A471D">
      <w:pPr>
        <w:jc w:val="both"/>
        <w:rPr>
          <w:rFonts w:cs="Arial"/>
          <w:sz w:val="20"/>
        </w:rPr>
      </w:pPr>
    </w:p>
    <w:p w:rsidR="000F0EF5" w:rsidRPr="00412620" w:rsidRDefault="000F0EF5" w:rsidP="000F0EF5">
      <w:pPr>
        <w:jc w:val="both"/>
        <w:rPr>
          <w:rFonts w:cs="Arial"/>
          <w:sz w:val="20"/>
        </w:rPr>
      </w:pPr>
      <w:r w:rsidRPr="00412620">
        <w:rPr>
          <w:rFonts w:cs="Arial"/>
          <w:sz w:val="20"/>
        </w:rPr>
        <w:tab/>
        <w:t>(4)</w:t>
      </w:r>
      <w:r w:rsidRPr="00412620">
        <w:rPr>
          <w:rFonts w:cs="Arial"/>
          <w:sz w:val="20"/>
        </w:rPr>
        <w:tab/>
        <w:t>The relief under group taxation would not be available to losses prior to the formation of the group.</w:t>
      </w:r>
    </w:p>
    <w:p w:rsidR="000F0EF5" w:rsidRPr="00412620" w:rsidRDefault="000F0EF5" w:rsidP="000F0EF5">
      <w:pPr>
        <w:pStyle w:val="4"/>
        <w:spacing w:line="272" w:lineRule="atLeast"/>
        <w:rPr>
          <w:rFonts w:ascii="Arial" w:hAnsi="Arial" w:cs="Arial"/>
          <w:color w:val="auto"/>
          <w:sz w:val="20"/>
          <w:szCs w:val="20"/>
        </w:rPr>
      </w:pPr>
    </w:p>
    <w:p w:rsidR="000F0EF5" w:rsidRPr="00412620" w:rsidRDefault="000F0EF5" w:rsidP="000F0EF5">
      <w:pPr>
        <w:jc w:val="both"/>
        <w:rPr>
          <w:rFonts w:cs="Arial"/>
          <w:sz w:val="20"/>
        </w:rPr>
      </w:pPr>
      <w:r w:rsidRPr="00412620">
        <w:rPr>
          <w:rFonts w:cs="Arial"/>
          <w:sz w:val="20"/>
        </w:rPr>
        <w:tab/>
        <w:t>(5)</w:t>
      </w:r>
      <w:r w:rsidRPr="00412620">
        <w:rPr>
          <w:rFonts w:cs="Arial"/>
          <w:sz w:val="20"/>
        </w:rPr>
        <w:tab/>
        <w:t xml:space="preserve">The option of group taxation shall be available to those group companies which comply with such corporate governance requirements </w:t>
      </w:r>
      <w:r w:rsidR="00C65DD9" w:rsidRPr="00412620">
        <w:rPr>
          <w:rStyle w:val="FootnoteReference"/>
          <w:rFonts w:cs="Arial"/>
          <w:sz w:val="20"/>
        </w:rPr>
        <w:footnoteReference w:id="377"/>
      </w:r>
      <w:r w:rsidR="00C65DD9" w:rsidRPr="00412620">
        <w:rPr>
          <w:rFonts w:cs="Arial"/>
          <w:sz w:val="20"/>
        </w:rPr>
        <w:t xml:space="preserve">[and group designation rules or regulations] </w:t>
      </w:r>
      <w:r w:rsidRPr="00412620">
        <w:rPr>
          <w:rFonts w:cs="Arial"/>
          <w:sz w:val="20"/>
        </w:rPr>
        <w:t xml:space="preserve">as may be specified by the Securities and Exchange </w:t>
      </w:r>
      <w:r w:rsidR="00B3305E" w:rsidRPr="00412620">
        <w:rPr>
          <w:rFonts w:cs="Arial"/>
          <w:sz w:val="20"/>
        </w:rPr>
        <w:t>C</w:t>
      </w:r>
      <w:r w:rsidRPr="00412620">
        <w:rPr>
          <w:rFonts w:cs="Arial"/>
          <w:sz w:val="20"/>
        </w:rPr>
        <w:t>ommission of Pakistan from time to time and are designated as companies entitled to avail group taxation.</w:t>
      </w:r>
    </w:p>
    <w:p w:rsidR="000F0EF5" w:rsidRPr="00412620" w:rsidRDefault="000F0EF5" w:rsidP="000F0EF5">
      <w:pPr>
        <w:pStyle w:val="4"/>
        <w:spacing w:line="274" w:lineRule="atLeast"/>
        <w:rPr>
          <w:rFonts w:ascii="Arial" w:hAnsi="Arial" w:cs="Arial"/>
          <w:color w:val="auto"/>
          <w:sz w:val="20"/>
          <w:szCs w:val="20"/>
        </w:rPr>
      </w:pPr>
    </w:p>
    <w:p w:rsidR="000F0EF5" w:rsidRPr="00412620" w:rsidRDefault="000F0EF5" w:rsidP="000F0EF5">
      <w:pPr>
        <w:jc w:val="both"/>
        <w:rPr>
          <w:rFonts w:cs="Arial"/>
          <w:sz w:val="20"/>
        </w:rPr>
      </w:pPr>
      <w:r w:rsidRPr="00412620">
        <w:rPr>
          <w:rFonts w:cs="Arial"/>
          <w:sz w:val="20"/>
        </w:rPr>
        <w:tab/>
        <w:t>(6)</w:t>
      </w:r>
      <w:r w:rsidRPr="00412620">
        <w:rPr>
          <w:rFonts w:cs="Arial"/>
          <w:sz w:val="20"/>
        </w:rPr>
        <w:tab/>
        <w:t>Group taxation may be regulated through rules as may be made by the</w:t>
      </w:r>
      <w:r w:rsidR="00A7684E">
        <w:rPr>
          <w:rFonts w:cs="Arial"/>
          <w:sz w:val="20"/>
        </w:rPr>
        <w:t xml:space="preserve"> </w:t>
      </w:r>
      <w:r w:rsidR="007D1CD9" w:rsidRPr="00A7684E">
        <w:rPr>
          <w:rStyle w:val="FootnoteReference"/>
          <w:rFonts w:cs="Arial"/>
          <w:color w:val="000000" w:themeColor="text1"/>
          <w:sz w:val="20"/>
        </w:rPr>
        <w:footnoteReference w:id="378"/>
      </w:r>
      <w:r w:rsidR="007D1CD9" w:rsidRPr="00A7684E">
        <w:rPr>
          <w:rFonts w:cs="Arial"/>
          <w:color w:val="000000" w:themeColor="text1"/>
          <w:sz w:val="20"/>
        </w:rPr>
        <w:t>[</w:t>
      </w:r>
      <w:r w:rsidRPr="00A7684E">
        <w:rPr>
          <w:rFonts w:cs="Arial"/>
          <w:color w:val="000000" w:themeColor="text1"/>
          <w:sz w:val="20"/>
        </w:rPr>
        <w:t>Board]</w:t>
      </w:r>
      <w:r w:rsidR="00820E84" w:rsidRPr="00A7684E">
        <w:rPr>
          <w:rFonts w:cs="Arial"/>
          <w:color w:val="000000" w:themeColor="text1"/>
          <w:sz w:val="20"/>
        </w:rPr>
        <w:t>.</w:t>
      </w:r>
    </w:p>
    <w:p w:rsidR="005F59D9" w:rsidRPr="00412620" w:rsidRDefault="005F59D9" w:rsidP="000F0EF5">
      <w:pPr>
        <w:jc w:val="both"/>
        <w:rPr>
          <w:rFonts w:cs="Arial"/>
          <w:sz w:val="20"/>
        </w:rPr>
      </w:pPr>
    </w:p>
    <w:p w:rsidR="005F59D9" w:rsidRPr="00412620" w:rsidRDefault="00BB6294" w:rsidP="005F59D9">
      <w:pPr>
        <w:jc w:val="both"/>
        <w:rPr>
          <w:rFonts w:cs="Arial"/>
          <w:sz w:val="20"/>
        </w:rPr>
      </w:pPr>
      <w:r w:rsidRPr="00412620">
        <w:rPr>
          <w:rStyle w:val="FootnoteReference"/>
          <w:rFonts w:cs="Arial"/>
          <w:b/>
          <w:sz w:val="20"/>
        </w:rPr>
        <w:footnoteReference w:id="379"/>
      </w:r>
      <w:r w:rsidR="005F59D9" w:rsidRPr="00412620">
        <w:rPr>
          <w:rFonts w:cs="Arial"/>
          <w:b/>
          <w:sz w:val="20"/>
        </w:rPr>
        <w:t>[59B. Group relief.</w:t>
      </w:r>
      <w:r w:rsidR="00D24AD1" w:rsidRPr="00412620">
        <w:rPr>
          <w:rFonts w:cs="Arial"/>
          <w:b/>
          <w:sz w:val="20"/>
        </w:rPr>
        <w:t>—</w:t>
      </w:r>
      <w:r w:rsidR="005F59D9" w:rsidRPr="00412620">
        <w:rPr>
          <w:rFonts w:cs="Arial"/>
          <w:sz w:val="20"/>
        </w:rPr>
        <w:t xml:space="preserve"> (1) Subject to sub-section (2), any company, being a subsidiary of a holding company, may surrender its assessed loss</w:t>
      </w:r>
      <w:r w:rsidR="00FD4DC7">
        <w:rPr>
          <w:rFonts w:cs="Arial"/>
          <w:sz w:val="20"/>
        </w:rPr>
        <w:t xml:space="preserve"> </w:t>
      </w:r>
      <w:r w:rsidR="00FD4DC7" w:rsidRPr="00B455DC">
        <w:rPr>
          <w:rStyle w:val="FootnoteReference"/>
          <w:rFonts w:cs="Arial"/>
          <w:color w:val="0070C0"/>
          <w:sz w:val="20"/>
        </w:rPr>
        <w:footnoteReference w:id="380"/>
      </w:r>
      <w:r w:rsidR="00FD4DC7" w:rsidRPr="00B455DC">
        <w:rPr>
          <w:rFonts w:cs="Arial"/>
          <w:color w:val="0070C0"/>
          <w:sz w:val="20"/>
        </w:rPr>
        <w:t>[“as computed in sub-section (1A)”]</w:t>
      </w:r>
      <w:r w:rsidR="005F59D9" w:rsidRPr="00412620">
        <w:rPr>
          <w:rFonts w:cs="Arial"/>
          <w:sz w:val="20"/>
        </w:rPr>
        <w:t xml:space="preserve"> (excluding capital loss) for the tax year (other than brought forward losses and capital losses), in favour of its holding company or its subsidiary or between another subsidiary of the holding company:</w:t>
      </w:r>
    </w:p>
    <w:p w:rsidR="005F59D9" w:rsidRPr="00412620" w:rsidRDefault="005F59D9" w:rsidP="005F59D9">
      <w:pPr>
        <w:pStyle w:val="4"/>
        <w:spacing w:line="274" w:lineRule="atLeast"/>
        <w:rPr>
          <w:rFonts w:ascii="Arial" w:hAnsi="Arial" w:cs="Arial"/>
          <w:color w:val="auto"/>
          <w:sz w:val="20"/>
          <w:szCs w:val="20"/>
        </w:rPr>
      </w:pPr>
    </w:p>
    <w:p w:rsidR="005F59D9" w:rsidRDefault="005F59D9" w:rsidP="00CC7232">
      <w:pPr>
        <w:ind w:left="1094" w:firstLine="541"/>
        <w:jc w:val="both"/>
        <w:rPr>
          <w:rFonts w:cs="Arial"/>
          <w:sz w:val="20"/>
        </w:rPr>
      </w:pPr>
      <w:r w:rsidRPr="00412620">
        <w:rPr>
          <w:rFonts w:cs="Arial"/>
          <w:sz w:val="20"/>
        </w:rPr>
        <w:t xml:space="preserve">Provided that where one of the company in the group is a public company listed on a registered stock exchange in Pakistan, the holding company shall directly hold fifty-five </w:t>
      </w:r>
      <w:r w:rsidR="00AB6F06">
        <w:rPr>
          <w:rFonts w:cs="Arial"/>
          <w:sz w:val="20"/>
        </w:rPr>
        <w:t>per cent</w:t>
      </w:r>
      <w:r w:rsidRPr="00412620">
        <w:rPr>
          <w:rFonts w:cs="Arial"/>
          <w:sz w:val="20"/>
        </w:rPr>
        <w:t xml:space="preserve"> or more of the share capital of the subsidiary company. Where none of the </w:t>
      </w:r>
      <w:r w:rsidRPr="00412620">
        <w:rPr>
          <w:rFonts w:cs="Arial"/>
          <w:sz w:val="20"/>
        </w:rPr>
        <w:lastRenderedPageBreak/>
        <w:t xml:space="preserve">companies in the group is a listed company, the holding company shall hold directly seventy-five </w:t>
      </w:r>
      <w:r w:rsidR="00AB6F06">
        <w:rPr>
          <w:rFonts w:cs="Arial"/>
          <w:sz w:val="20"/>
        </w:rPr>
        <w:t>per cent</w:t>
      </w:r>
      <w:r w:rsidRPr="00412620">
        <w:rPr>
          <w:rFonts w:cs="Arial"/>
          <w:sz w:val="20"/>
        </w:rPr>
        <w:t xml:space="preserve"> or more of the share capital of the subsidiary company.</w:t>
      </w:r>
    </w:p>
    <w:p w:rsidR="00715D9B" w:rsidRDefault="00715D9B" w:rsidP="00715D9B">
      <w:pPr>
        <w:ind w:left="1094" w:hanging="14"/>
        <w:jc w:val="both"/>
        <w:rPr>
          <w:rFonts w:cs="Arial"/>
          <w:sz w:val="20"/>
        </w:rPr>
      </w:pPr>
    </w:p>
    <w:p w:rsidR="00715D9B" w:rsidRPr="00B455DC" w:rsidRDefault="006E422B" w:rsidP="00970862">
      <w:pPr>
        <w:ind w:left="1080" w:firstLine="450"/>
        <w:jc w:val="both"/>
        <w:rPr>
          <w:rFonts w:cs="Arial"/>
          <w:color w:val="0070C0"/>
          <w:sz w:val="20"/>
        </w:rPr>
      </w:pPr>
      <w:r w:rsidRPr="00B455DC">
        <w:rPr>
          <w:rStyle w:val="FootnoteReference"/>
          <w:rFonts w:cs="Arial"/>
          <w:color w:val="0070C0"/>
          <w:sz w:val="20"/>
        </w:rPr>
        <w:footnoteReference w:id="381"/>
      </w:r>
      <w:r w:rsidR="00715D9B" w:rsidRPr="00B455DC">
        <w:rPr>
          <w:rFonts w:cs="Arial"/>
          <w:color w:val="0070C0"/>
          <w:sz w:val="20"/>
        </w:rPr>
        <w:t>[</w:t>
      </w:r>
      <w:r w:rsidR="00970862" w:rsidRPr="00B455DC">
        <w:rPr>
          <w:rFonts w:cs="Arial"/>
          <w:color w:val="0070C0"/>
          <w:sz w:val="20"/>
        </w:rPr>
        <w:t>“(1A)</w:t>
      </w:r>
      <w:r w:rsidR="00970862" w:rsidRPr="00B455DC">
        <w:rPr>
          <w:rFonts w:cs="Arial"/>
          <w:color w:val="0070C0"/>
          <w:sz w:val="20"/>
        </w:rPr>
        <w:tab/>
      </w:r>
      <w:r w:rsidR="00715D9B" w:rsidRPr="00B455DC">
        <w:rPr>
          <w:rFonts w:cs="Arial"/>
          <w:color w:val="0070C0"/>
          <w:sz w:val="20"/>
        </w:rPr>
        <w:t>The loss to be surrendered under sub-section (1) shall be allowed as per following formula, namely:-</w:t>
      </w:r>
    </w:p>
    <w:p w:rsidR="00715D9B" w:rsidRPr="00B455DC" w:rsidRDefault="00715D9B" w:rsidP="00715D9B">
      <w:pPr>
        <w:ind w:left="2160" w:firstLine="720"/>
        <w:jc w:val="both"/>
        <w:rPr>
          <w:rFonts w:cs="Arial"/>
          <w:color w:val="0070C0"/>
          <w:sz w:val="20"/>
        </w:rPr>
      </w:pPr>
    </w:p>
    <w:p w:rsidR="00715D9B" w:rsidRPr="00B455DC" w:rsidRDefault="00715D9B" w:rsidP="00715D9B">
      <w:pPr>
        <w:ind w:left="3254" w:firstLine="28"/>
        <w:rPr>
          <w:rFonts w:cs="Arial"/>
          <w:b/>
          <w:color w:val="0070C0"/>
          <w:sz w:val="20"/>
        </w:rPr>
      </w:pPr>
      <w:r w:rsidRPr="00B455DC">
        <w:rPr>
          <w:rFonts w:cs="Arial"/>
          <w:b/>
          <w:color w:val="0070C0"/>
          <w:sz w:val="20"/>
        </w:rPr>
        <w:t>(A/100) x B</w:t>
      </w:r>
    </w:p>
    <w:p w:rsidR="00715D9B" w:rsidRPr="00B455DC" w:rsidRDefault="00715D9B" w:rsidP="00715D9B">
      <w:pPr>
        <w:ind w:left="1094" w:firstLine="547"/>
        <w:jc w:val="both"/>
        <w:rPr>
          <w:rFonts w:cs="Arial"/>
          <w:color w:val="0070C0"/>
          <w:sz w:val="20"/>
        </w:rPr>
      </w:pPr>
      <w:r w:rsidRPr="00B455DC">
        <w:rPr>
          <w:rFonts w:cs="Arial"/>
          <w:color w:val="0070C0"/>
          <w:sz w:val="20"/>
        </w:rPr>
        <w:t>where—</w:t>
      </w:r>
    </w:p>
    <w:p w:rsidR="00715D9B" w:rsidRPr="00B455DC" w:rsidRDefault="00715D9B" w:rsidP="00715D9B">
      <w:pPr>
        <w:ind w:left="1094" w:firstLine="547"/>
        <w:jc w:val="both"/>
        <w:rPr>
          <w:rFonts w:cs="Arial"/>
          <w:color w:val="0070C0"/>
          <w:sz w:val="20"/>
        </w:rPr>
      </w:pPr>
    </w:p>
    <w:p w:rsidR="00715D9B" w:rsidRPr="00B455DC" w:rsidRDefault="00715D9B" w:rsidP="00715D9B">
      <w:pPr>
        <w:ind w:left="2700" w:hanging="450"/>
        <w:jc w:val="both"/>
        <w:rPr>
          <w:rFonts w:cs="Arial"/>
          <w:color w:val="0070C0"/>
          <w:sz w:val="20"/>
        </w:rPr>
      </w:pPr>
      <w:r w:rsidRPr="00B455DC">
        <w:rPr>
          <w:rFonts w:cs="Arial"/>
          <w:b/>
          <w:color w:val="0070C0"/>
          <w:sz w:val="20"/>
        </w:rPr>
        <w:t>A</w:t>
      </w:r>
      <w:r w:rsidRPr="00B455DC">
        <w:rPr>
          <w:rFonts w:cs="Arial"/>
          <w:color w:val="0070C0"/>
          <w:sz w:val="20"/>
        </w:rPr>
        <w:tab/>
        <w:t>is the percentage share capital held by the holding company of its subsidiary company; and</w:t>
      </w:r>
    </w:p>
    <w:p w:rsidR="00715D9B" w:rsidRPr="00B455DC" w:rsidRDefault="00715D9B" w:rsidP="00715D9B">
      <w:pPr>
        <w:ind w:left="2700" w:hanging="450"/>
        <w:jc w:val="both"/>
        <w:rPr>
          <w:rFonts w:cs="Arial"/>
          <w:color w:val="0070C0"/>
          <w:sz w:val="20"/>
        </w:rPr>
      </w:pPr>
    </w:p>
    <w:p w:rsidR="00715D9B" w:rsidRPr="00B455DC" w:rsidRDefault="00715D9B" w:rsidP="00715D9B">
      <w:pPr>
        <w:ind w:left="1641" w:firstLine="547"/>
        <w:jc w:val="both"/>
        <w:rPr>
          <w:rFonts w:cs="Arial"/>
          <w:color w:val="0070C0"/>
          <w:sz w:val="20"/>
        </w:rPr>
      </w:pPr>
      <w:r w:rsidRPr="00B455DC">
        <w:rPr>
          <w:rFonts w:cs="Arial"/>
          <w:b/>
          <w:color w:val="0070C0"/>
          <w:sz w:val="20"/>
        </w:rPr>
        <w:t>B</w:t>
      </w:r>
      <w:r w:rsidRPr="00B455DC">
        <w:rPr>
          <w:rFonts w:cs="Arial"/>
          <w:color w:val="0070C0"/>
          <w:sz w:val="20"/>
        </w:rPr>
        <w:tab/>
        <w:t>is the assessed loss of the subsidiary company.”]</w:t>
      </w:r>
      <w:r w:rsidRPr="00B455DC">
        <w:rPr>
          <w:rFonts w:cs="Arial"/>
          <w:color w:val="0070C0"/>
          <w:szCs w:val="24"/>
        </w:rPr>
        <w:t xml:space="preserve">  </w:t>
      </w:r>
    </w:p>
    <w:p w:rsidR="005F59D9" w:rsidRPr="00412620" w:rsidRDefault="005F59D9" w:rsidP="005F59D9">
      <w:pPr>
        <w:pStyle w:val="2"/>
        <w:spacing w:line="200" w:lineRule="atLeast"/>
        <w:rPr>
          <w:rFonts w:ascii="Arial" w:hAnsi="Arial" w:cs="Arial"/>
          <w:color w:val="auto"/>
          <w:sz w:val="20"/>
          <w:szCs w:val="20"/>
        </w:rPr>
      </w:pPr>
    </w:p>
    <w:p w:rsidR="005F59D9" w:rsidRPr="00412620" w:rsidRDefault="005F59D9" w:rsidP="005F59D9">
      <w:pPr>
        <w:jc w:val="both"/>
        <w:rPr>
          <w:rFonts w:cs="Arial"/>
          <w:sz w:val="20"/>
        </w:rPr>
      </w:pPr>
      <w:r w:rsidRPr="00412620">
        <w:rPr>
          <w:rFonts w:cs="Arial"/>
          <w:sz w:val="20"/>
        </w:rPr>
        <w:tab/>
        <w:t>(2)</w:t>
      </w:r>
      <w:r w:rsidRPr="00412620">
        <w:rPr>
          <w:rFonts w:cs="Arial"/>
          <w:sz w:val="20"/>
        </w:rPr>
        <w:tab/>
        <w:t>The loss surrendered by the subsidiary company may be claimed by the holding company or a subsidiary company for set off against its income under the head “</w:t>
      </w:r>
      <w:r w:rsidR="00873C6A" w:rsidRPr="00412620">
        <w:rPr>
          <w:rFonts w:cs="Arial"/>
          <w:sz w:val="20"/>
        </w:rPr>
        <w:t>I</w:t>
      </w:r>
      <w:r w:rsidRPr="00412620">
        <w:rPr>
          <w:rFonts w:cs="Arial"/>
          <w:sz w:val="20"/>
        </w:rPr>
        <w:t>ncome from Business” in the tax year and the following two tax years subject to the following conditions, namely:—</w:t>
      </w:r>
    </w:p>
    <w:p w:rsidR="005F59D9" w:rsidRPr="00412620" w:rsidRDefault="005F59D9" w:rsidP="005F59D9">
      <w:pPr>
        <w:pStyle w:val="2"/>
        <w:spacing w:line="200" w:lineRule="atLeast"/>
        <w:rPr>
          <w:rFonts w:ascii="Arial" w:hAnsi="Arial" w:cs="Arial"/>
          <w:color w:val="auto"/>
          <w:sz w:val="20"/>
          <w:szCs w:val="20"/>
        </w:rPr>
      </w:pPr>
    </w:p>
    <w:p w:rsidR="005F59D9" w:rsidRPr="00412620" w:rsidRDefault="005F59D9" w:rsidP="005F59D9">
      <w:pPr>
        <w:ind w:left="1641" w:hanging="546"/>
        <w:jc w:val="both"/>
        <w:rPr>
          <w:rFonts w:cs="Arial"/>
          <w:sz w:val="20"/>
        </w:rPr>
      </w:pPr>
      <w:r w:rsidRPr="00412620">
        <w:rPr>
          <w:rFonts w:cs="Arial"/>
          <w:sz w:val="20"/>
        </w:rPr>
        <w:t>(a)</w:t>
      </w:r>
      <w:r w:rsidRPr="00412620">
        <w:rPr>
          <w:rFonts w:cs="Arial"/>
          <w:sz w:val="20"/>
        </w:rPr>
        <w:tab/>
        <w:t xml:space="preserve">there is continued ownership for five years, of share capital of the subsidiary company to the extent of fifty-five </w:t>
      </w:r>
      <w:r w:rsidR="00AB6F06">
        <w:rPr>
          <w:rFonts w:cs="Arial"/>
          <w:sz w:val="20"/>
        </w:rPr>
        <w:t>per cent</w:t>
      </w:r>
      <w:r w:rsidRPr="00412620">
        <w:rPr>
          <w:rFonts w:cs="Arial"/>
          <w:sz w:val="20"/>
        </w:rPr>
        <w:t xml:space="preserve"> in the case of a listed company, or seventy-five </w:t>
      </w:r>
      <w:r w:rsidR="00AB6F06">
        <w:rPr>
          <w:rFonts w:cs="Arial"/>
          <w:sz w:val="20"/>
        </w:rPr>
        <w:t>per cent</w:t>
      </w:r>
      <w:r w:rsidRPr="00412620">
        <w:rPr>
          <w:rFonts w:cs="Arial"/>
          <w:sz w:val="20"/>
        </w:rPr>
        <w:t xml:space="preserve"> or more, in the case of other companies;</w:t>
      </w:r>
    </w:p>
    <w:p w:rsidR="005F59D9" w:rsidRPr="00412620" w:rsidRDefault="005F59D9" w:rsidP="005F59D9">
      <w:pPr>
        <w:jc w:val="both"/>
        <w:rPr>
          <w:rFonts w:cs="Arial"/>
          <w:sz w:val="20"/>
        </w:rPr>
      </w:pPr>
    </w:p>
    <w:p w:rsidR="005F59D9" w:rsidRPr="00412620" w:rsidRDefault="005F59D9" w:rsidP="005F59D9">
      <w:pPr>
        <w:ind w:left="1641" w:hanging="546"/>
        <w:jc w:val="both"/>
        <w:rPr>
          <w:rFonts w:cs="Arial"/>
          <w:sz w:val="20"/>
        </w:rPr>
      </w:pPr>
      <w:r w:rsidRPr="00412620">
        <w:rPr>
          <w:rFonts w:cs="Arial"/>
          <w:sz w:val="20"/>
        </w:rPr>
        <w:t>(b)</w:t>
      </w:r>
      <w:r w:rsidRPr="00412620">
        <w:rPr>
          <w:rFonts w:cs="Arial"/>
          <w:sz w:val="20"/>
        </w:rPr>
        <w:tab/>
        <w:t>a company within the group engaged in the business of trading shall not be entitled to avail group relief;</w:t>
      </w:r>
    </w:p>
    <w:p w:rsidR="005F59D9" w:rsidRPr="00412620" w:rsidRDefault="005F59D9" w:rsidP="005F59D9">
      <w:pPr>
        <w:pStyle w:val="5"/>
        <w:rPr>
          <w:rFonts w:ascii="Arial" w:hAnsi="Arial" w:cs="Arial"/>
          <w:color w:val="auto"/>
          <w:sz w:val="20"/>
          <w:szCs w:val="20"/>
        </w:rPr>
      </w:pPr>
    </w:p>
    <w:p w:rsidR="005F59D9" w:rsidRPr="00412620" w:rsidRDefault="005F59D9" w:rsidP="00BB6294">
      <w:pPr>
        <w:ind w:left="1641" w:hanging="546"/>
        <w:jc w:val="both"/>
        <w:rPr>
          <w:rFonts w:cs="Arial"/>
          <w:sz w:val="20"/>
        </w:rPr>
      </w:pPr>
      <w:r w:rsidRPr="00412620">
        <w:rPr>
          <w:rFonts w:cs="Arial"/>
          <w:sz w:val="20"/>
        </w:rPr>
        <w:t>(c)</w:t>
      </w:r>
      <w:r w:rsidRPr="00412620">
        <w:rPr>
          <w:rFonts w:cs="Arial"/>
          <w:sz w:val="20"/>
        </w:rPr>
        <w:tab/>
        <w:t xml:space="preserve">holding company, being a private limited company with seventy-five </w:t>
      </w:r>
      <w:r w:rsidR="00AB6F06">
        <w:rPr>
          <w:rFonts w:cs="Arial"/>
          <w:sz w:val="20"/>
        </w:rPr>
        <w:t>per cent</w:t>
      </w:r>
      <w:r w:rsidRPr="00412620">
        <w:rPr>
          <w:rFonts w:cs="Arial"/>
          <w:sz w:val="20"/>
        </w:rPr>
        <w:t xml:space="preserve"> of ownership of share capital gets itself listed within three years from the year in which loss is claimed;</w:t>
      </w:r>
    </w:p>
    <w:p w:rsidR="005F59D9" w:rsidRPr="00412620" w:rsidRDefault="005F59D9" w:rsidP="005F59D9">
      <w:pPr>
        <w:pStyle w:val="5"/>
        <w:rPr>
          <w:rFonts w:ascii="Arial" w:hAnsi="Arial" w:cs="Arial"/>
          <w:color w:val="auto"/>
          <w:sz w:val="20"/>
          <w:szCs w:val="20"/>
        </w:rPr>
      </w:pPr>
    </w:p>
    <w:p w:rsidR="005F59D9" w:rsidRPr="00412620" w:rsidRDefault="005F59D9" w:rsidP="00BB6294">
      <w:pPr>
        <w:ind w:left="1641" w:hanging="546"/>
        <w:jc w:val="both"/>
        <w:rPr>
          <w:rFonts w:cs="Arial"/>
          <w:sz w:val="20"/>
        </w:rPr>
      </w:pPr>
      <w:r w:rsidRPr="00412620">
        <w:rPr>
          <w:rFonts w:cs="Arial"/>
          <w:sz w:val="20"/>
        </w:rPr>
        <w:t>(d)</w:t>
      </w:r>
      <w:r w:rsidRPr="00412620">
        <w:rPr>
          <w:rFonts w:cs="Arial"/>
          <w:sz w:val="20"/>
        </w:rPr>
        <w:tab/>
        <w:t>the group companies are locally incorporated companies under the Companies Ordinance, 1984 (XLVII of 1984);</w:t>
      </w:r>
    </w:p>
    <w:p w:rsidR="005F59D9" w:rsidRPr="00412620" w:rsidRDefault="005F59D9" w:rsidP="005F59D9">
      <w:pPr>
        <w:pStyle w:val="5"/>
        <w:rPr>
          <w:rFonts w:ascii="Arial" w:hAnsi="Arial" w:cs="Arial"/>
          <w:color w:val="auto"/>
          <w:sz w:val="20"/>
          <w:szCs w:val="20"/>
        </w:rPr>
      </w:pPr>
    </w:p>
    <w:p w:rsidR="005F59D9" w:rsidRPr="00412620" w:rsidRDefault="005F59D9" w:rsidP="00BB6294">
      <w:pPr>
        <w:ind w:left="1641" w:hanging="546"/>
        <w:jc w:val="both"/>
        <w:rPr>
          <w:rFonts w:cs="Arial"/>
          <w:sz w:val="20"/>
        </w:rPr>
      </w:pPr>
      <w:r w:rsidRPr="00412620">
        <w:rPr>
          <w:rFonts w:cs="Arial"/>
          <w:sz w:val="20"/>
        </w:rPr>
        <w:t>(e)</w:t>
      </w:r>
      <w:r w:rsidRPr="00412620">
        <w:rPr>
          <w:rFonts w:cs="Arial"/>
          <w:sz w:val="20"/>
        </w:rPr>
        <w:tab/>
        <w:t>the loss surrendered and loss claimed under this section shall have approval of the Board of Directors of the respective companies;</w:t>
      </w:r>
    </w:p>
    <w:p w:rsidR="005F59D9" w:rsidRPr="00412620" w:rsidRDefault="005F59D9" w:rsidP="005F59D9">
      <w:pPr>
        <w:pStyle w:val="5"/>
        <w:rPr>
          <w:rFonts w:ascii="Arial" w:hAnsi="Arial" w:cs="Arial"/>
          <w:color w:val="auto"/>
          <w:sz w:val="20"/>
          <w:szCs w:val="20"/>
        </w:rPr>
      </w:pPr>
    </w:p>
    <w:p w:rsidR="005F59D9" w:rsidRPr="00412620" w:rsidRDefault="005F59D9" w:rsidP="00BB6294">
      <w:pPr>
        <w:ind w:left="1641" w:hanging="546"/>
        <w:jc w:val="both"/>
        <w:rPr>
          <w:rFonts w:cs="Arial"/>
          <w:sz w:val="20"/>
        </w:rPr>
      </w:pPr>
      <w:r w:rsidRPr="00412620">
        <w:rPr>
          <w:rFonts w:cs="Arial"/>
          <w:sz w:val="20"/>
        </w:rPr>
        <w:t>(f)</w:t>
      </w:r>
      <w:r w:rsidRPr="00412620">
        <w:rPr>
          <w:rFonts w:cs="Arial"/>
          <w:sz w:val="20"/>
        </w:rPr>
        <w:tab/>
        <w:t>the subsidiary company continues the same business during the said period of three years;</w:t>
      </w:r>
    </w:p>
    <w:p w:rsidR="005F59D9" w:rsidRPr="00412620" w:rsidRDefault="005F59D9" w:rsidP="005F59D9">
      <w:pPr>
        <w:pStyle w:val="5"/>
        <w:rPr>
          <w:rFonts w:ascii="Arial" w:hAnsi="Arial" w:cs="Arial"/>
          <w:color w:val="auto"/>
          <w:sz w:val="20"/>
          <w:szCs w:val="20"/>
        </w:rPr>
      </w:pPr>
    </w:p>
    <w:p w:rsidR="005F59D9" w:rsidRPr="00412620" w:rsidRDefault="005F59D9" w:rsidP="00BB6294">
      <w:pPr>
        <w:ind w:left="1641" w:hanging="546"/>
        <w:jc w:val="both"/>
        <w:rPr>
          <w:rFonts w:cs="Arial"/>
          <w:sz w:val="20"/>
        </w:rPr>
      </w:pPr>
      <w:r w:rsidRPr="00412620">
        <w:rPr>
          <w:rFonts w:cs="Arial"/>
          <w:sz w:val="20"/>
        </w:rPr>
        <w:t>(g)</w:t>
      </w:r>
      <w:r w:rsidRPr="00412620">
        <w:rPr>
          <w:rFonts w:cs="Arial"/>
          <w:sz w:val="20"/>
        </w:rPr>
        <w:tab/>
        <w:t xml:space="preserve">all the companies in the group shall comply with such corporate governance requirements </w:t>
      </w:r>
      <w:r w:rsidR="00C65DD9" w:rsidRPr="00412620">
        <w:rPr>
          <w:rStyle w:val="FootnoteReference"/>
          <w:rFonts w:cs="Arial"/>
          <w:sz w:val="20"/>
        </w:rPr>
        <w:footnoteReference w:id="382"/>
      </w:r>
      <w:r w:rsidR="00C65DD9" w:rsidRPr="00412620">
        <w:rPr>
          <w:rFonts w:cs="Arial"/>
          <w:sz w:val="20"/>
        </w:rPr>
        <w:t xml:space="preserve">[and group designation </w:t>
      </w:r>
      <w:r w:rsidR="00C65DD9" w:rsidRPr="00412620">
        <w:rPr>
          <w:rFonts w:cs="Arial"/>
          <w:sz w:val="20"/>
        </w:rPr>
        <w:lastRenderedPageBreak/>
        <w:t xml:space="preserve">rules or regulations] </w:t>
      </w:r>
      <w:r w:rsidRPr="00412620">
        <w:rPr>
          <w:rFonts w:cs="Arial"/>
          <w:sz w:val="20"/>
        </w:rPr>
        <w:t>as may be specified by the Securities and Exchange Commission of Pakistan from time to time, and are designated as companies entitled to avail group relief</w:t>
      </w:r>
      <w:r w:rsidR="00AC2848" w:rsidRPr="00412620">
        <w:rPr>
          <w:rFonts w:cs="Arial"/>
          <w:sz w:val="20"/>
        </w:rPr>
        <w:t>;</w:t>
      </w:r>
      <w:r w:rsidRPr="00412620">
        <w:rPr>
          <w:rFonts w:cs="Arial"/>
          <w:sz w:val="20"/>
        </w:rPr>
        <w:t xml:space="preserve"> and</w:t>
      </w:r>
    </w:p>
    <w:p w:rsidR="005F59D9" w:rsidRPr="00412620" w:rsidRDefault="005F59D9" w:rsidP="005F59D9">
      <w:pPr>
        <w:pStyle w:val="5"/>
        <w:rPr>
          <w:rFonts w:ascii="Arial" w:hAnsi="Arial" w:cs="Arial"/>
          <w:color w:val="auto"/>
          <w:sz w:val="20"/>
          <w:szCs w:val="20"/>
        </w:rPr>
      </w:pPr>
    </w:p>
    <w:p w:rsidR="005F59D9" w:rsidRPr="00412620" w:rsidRDefault="005F59D9" w:rsidP="00BB6294">
      <w:pPr>
        <w:ind w:left="1641" w:hanging="546"/>
        <w:jc w:val="both"/>
        <w:rPr>
          <w:rFonts w:cs="Arial"/>
          <w:sz w:val="20"/>
        </w:rPr>
      </w:pPr>
      <w:r w:rsidRPr="00412620">
        <w:rPr>
          <w:rFonts w:cs="Arial"/>
          <w:sz w:val="20"/>
        </w:rPr>
        <w:t>(h)</w:t>
      </w:r>
      <w:r w:rsidRPr="00412620">
        <w:rPr>
          <w:rFonts w:cs="Arial"/>
          <w:sz w:val="20"/>
        </w:rPr>
        <w:tab/>
        <w:t>any other condition as may be prescribed.</w:t>
      </w:r>
    </w:p>
    <w:p w:rsidR="005F59D9" w:rsidRPr="00412620" w:rsidRDefault="005F59D9" w:rsidP="005F59D9">
      <w:pPr>
        <w:pStyle w:val="4"/>
        <w:rPr>
          <w:rFonts w:ascii="Arial" w:hAnsi="Arial" w:cs="Arial"/>
          <w:color w:val="auto"/>
          <w:sz w:val="20"/>
          <w:szCs w:val="20"/>
        </w:rPr>
      </w:pPr>
    </w:p>
    <w:p w:rsidR="005F59D9" w:rsidRPr="00412620" w:rsidRDefault="005F59D9" w:rsidP="00BB6294">
      <w:pPr>
        <w:jc w:val="both"/>
        <w:rPr>
          <w:rFonts w:cs="Arial"/>
          <w:sz w:val="20"/>
        </w:rPr>
      </w:pPr>
      <w:r w:rsidRPr="00412620">
        <w:rPr>
          <w:rFonts w:cs="Arial"/>
          <w:sz w:val="20"/>
        </w:rPr>
        <w:tab/>
        <w:t>(3)</w:t>
      </w:r>
      <w:r w:rsidRPr="00412620">
        <w:rPr>
          <w:rFonts w:cs="Arial"/>
          <w:sz w:val="20"/>
        </w:rPr>
        <w:tab/>
        <w:t>The subsidiary company shall not be allowed to surrender its assessed losses for set off against income of the holding company for more than three tax years.</w:t>
      </w:r>
    </w:p>
    <w:p w:rsidR="005F59D9" w:rsidRPr="00412620" w:rsidRDefault="005F59D9" w:rsidP="005F59D9">
      <w:pPr>
        <w:pStyle w:val="4"/>
        <w:rPr>
          <w:rFonts w:ascii="Arial" w:hAnsi="Arial" w:cs="Arial"/>
          <w:color w:val="auto"/>
          <w:sz w:val="20"/>
          <w:szCs w:val="20"/>
        </w:rPr>
      </w:pPr>
    </w:p>
    <w:p w:rsidR="005F59D9" w:rsidRPr="00412620" w:rsidRDefault="005F59D9" w:rsidP="00BB6294">
      <w:pPr>
        <w:jc w:val="both"/>
        <w:rPr>
          <w:rFonts w:cs="Arial"/>
          <w:sz w:val="20"/>
        </w:rPr>
      </w:pPr>
      <w:r w:rsidRPr="00412620">
        <w:rPr>
          <w:rFonts w:cs="Arial"/>
          <w:sz w:val="20"/>
        </w:rPr>
        <w:tab/>
        <w:t>(4)</w:t>
      </w:r>
      <w:r w:rsidRPr="00412620">
        <w:rPr>
          <w:rFonts w:cs="Arial"/>
          <w:sz w:val="20"/>
        </w:rPr>
        <w:tab/>
        <w:t>Where the losses surrendered by a subsidiary company are not adjusted against income of the holding company in the said three tax years, the subsidiary company shall carry forward the unadjusted losses in accordance with section 57.</w:t>
      </w:r>
    </w:p>
    <w:p w:rsidR="005F59D9" w:rsidRPr="00412620" w:rsidRDefault="005F59D9" w:rsidP="005F59D9">
      <w:pPr>
        <w:pStyle w:val="4"/>
        <w:rPr>
          <w:rFonts w:ascii="Arial" w:hAnsi="Arial" w:cs="Arial"/>
          <w:color w:val="auto"/>
          <w:sz w:val="20"/>
          <w:szCs w:val="20"/>
        </w:rPr>
      </w:pPr>
    </w:p>
    <w:p w:rsidR="005F59D9" w:rsidRPr="00412620" w:rsidRDefault="005F59D9" w:rsidP="00BB6294">
      <w:pPr>
        <w:jc w:val="both"/>
        <w:rPr>
          <w:rFonts w:cs="Arial"/>
          <w:sz w:val="20"/>
        </w:rPr>
      </w:pPr>
      <w:r w:rsidRPr="00412620">
        <w:rPr>
          <w:rFonts w:cs="Arial"/>
          <w:sz w:val="20"/>
        </w:rPr>
        <w:tab/>
        <w:t>(5)</w:t>
      </w:r>
      <w:r w:rsidRPr="00412620">
        <w:rPr>
          <w:rFonts w:cs="Arial"/>
          <w:sz w:val="20"/>
        </w:rPr>
        <w:tab/>
        <w:t xml:space="preserve">If there has been any disposal of shares by the holding company during the aforesaid period of five years to bring the ownership of the holding company to less than fifty-five </w:t>
      </w:r>
      <w:r w:rsidR="00AB6F06">
        <w:rPr>
          <w:rFonts w:cs="Arial"/>
          <w:sz w:val="20"/>
        </w:rPr>
        <w:t>per cent</w:t>
      </w:r>
      <w:r w:rsidRPr="00412620">
        <w:rPr>
          <w:rFonts w:cs="Arial"/>
          <w:sz w:val="20"/>
        </w:rPr>
        <w:t xml:space="preserve"> or seventy-five </w:t>
      </w:r>
      <w:r w:rsidR="00AB6F06">
        <w:rPr>
          <w:rFonts w:cs="Arial"/>
          <w:sz w:val="20"/>
        </w:rPr>
        <w:t>per cent</w:t>
      </w:r>
      <w:r w:rsidRPr="00412620">
        <w:rPr>
          <w:rFonts w:cs="Arial"/>
          <w:sz w:val="20"/>
        </w:rPr>
        <w:t>, as the case may be, the holding company shall, in the year of disposal, offer the amount of profit on which taxes have not been paid due to set off of losses surrendered by the subsidiary company.</w:t>
      </w:r>
    </w:p>
    <w:p w:rsidR="00BB6294" w:rsidRPr="00412620" w:rsidRDefault="00BB6294" w:rsidP="00BB6294">
      <w:pPr>
        <w:jc w:val="both"/>
        <w:rPr>
          <w:rFonts w:cs="Arial"/>
          <w:sz w:val="20"/>
        </w:rPr>
      </w:pPr>
    </w:p>
    <w:p w:rsidR="005F59D9" w:rsidRPr="00412620" w:rsidRDefault="005F59D9" w:rsidP="00BB6294">
      <w:pPr>
        <w:jc w:val="both"/>
        <w:rPr>
          <w:rFonts w:cs="Arial"/>
          <w:sz w:val="20"/>
        </w:rPr>
      </w:pPr>
      <w:r w:rsidRPr="00412620">
        <w:rPr>
          <w:rFonts w:cs="Arial"/>
          <w:sz w:val="20"/>
        </w:rPr>
        <w:tab/>
        <w:t>(6)</w:t>
      </w:r>
      <w:r w:rsidRPr="00412620">
        <w:rPr>
          <w:rFonts w:cs="Arial"/>
          <w:sz w:val="20"/>
        </w:rPr>
        <w:tab/>
        <w:t>Loss claiming company shall, with the approval of the Board of Directors, transfer cash to the loss surrendering company equal to the amount of tax payable on the profits to be set off against the acquired loss at the applicable tax rate. The transfer of cash would not be taken as a taxable event in the case of either of the two companies.</w:t>
      </w:r>
    </w:p>
    <w:p w:rsidR="005F59D9" w:rsidRPr="00412620" w:rsidRDefault="005F59D9" w:rsidP="005F59D9">
      <w:pPr>
        <w:pStyle w:val="4"/>
        <w:rPr>
          <w:rFonts w:ascii="Arial" w:hAnsi="Arial" w:cs="Arial"/>
          <w:color w:val="auto"/>
          <w:sz w:val="20"/>
          <w:szCs w:val="20"/>
        </w:rPr>
      </w:pPr>
    </w:p>
    <w:p w:rsidR="005F59D9" w:rsidRPr="00412620" w:rsidRDefault="005F59D9" w:rsidP="005F59D9">
      <w:pPr>
        <w:jc w:val="both"/>
        <w:rPr>
          <w:rFonts w:cs="Arial"/>
          <w:sz w:val="20"/>
        </w:rPr>
      </w:pPr>
      <w:r w:rsidRPr="00412620">
        <w:rPr>
          <w:rFonts w:cs="Arial"/>
          <w:sz w:val="20"/>
        </w:rPr>
        <w:tab/>
        <w:t>(7)</w:t>
      </w:r>
      <w:r w:rsidRPr="00412620">
        <w:rPr>
          <w:rFonts w:cs="Arial"/>
          <w:sz w:val="20"/>
        </w:rPr>
        <w:tab/>
        <w:t>The transfer of shares between companies and the share holders, in one direction, would not be taken as a taxable event provided the transfer is to acquire share capital for formation of the group and approval of the Security and Exchange Commission of Pakistan or State Bank of Pakistan, as the case may be, has been obtained in this effect. Sale and purchase from third party would be taken as taxable event.]</w:t>
      </w:r>
    </w:p>
    <w:p w:rsidR="005F59D9" w:rsidRPr="00412620" w:rsidRDefault="005F59D9" w:rsidP="005F59D9">
      <w:pPr>
        <w:jc w:val="both"/>
        <w:rPr>
          <w:rFonts w:cs="Arial"/>
          <w:sz w:val="20"/>
        </w:rPr>
      </w:pPr>
    </w:p>
    <w:p w:rsidR="006A3F93" w:rsidRPr="00412620" w:rsidRDefault="006A3F93">
      <w:pPr>
        <w:jc w:val="both"/>
        <w:rPr>
          <w:rFonts w:cs="Arial"/>
          <w:sz w:val="20"/>
        </w:rPr>
      </w:pPr>
    </w:p>
    <w:p w:rsidR="006A3F93" w:rsidRPr="00412620" w:rsidRDefault="00E20A5F">
      <w:pPr>
        <w:pStyle w:val="Heading8"/>
        <w:rPr>
          <w:rFonts w:cs="Arial"/>
          <w:i w:val="0"/>
          <w:sz w:val="32"/>
          <w:szCs w:val="32"/>
        </w:rPr>
      </w:pPr>
      <w:r w:rsidRPr="00412620">
        <w:rPr>
          <w:rFonts w:cs="Arial"/>
          <w:i w:val="0"/>
          <w:sz w:val="20"/>
        </w:rPr>
        <w:br w:type="page"/>
      </w:r>
      <w:r w:rsidR="006A3F93" w:rsidRPr="00412620">
        <w:rPr>
          <w:rFonts w:cs="Arial"/>
          <w:i w:val="0"/>
          <w:sz w:val="32"/>
          <w:szCs w:val="32"/>
        </w:rPr>
        <w:lastRenderedPageBreak/>
        <w:t>PART IX</w:t>
      </w:r>
    </w:p>
    <w:p w:rsidR="006A3F93" w:rsidRPr="00412620" w:rsidRDefault="006A3F93">
      <w:pPr>
        <w:pStyle w:val="Heading8"/>
        <w:rPr>
          <w:rFonts w:cs="Arial"/>
          <w:i w:val="0"/>
          <w:sz w:val="20"/>
        </w:rPr>
      </w:pPr>
      <w:r w:rsidRPr="00412620">
        <w:rPr>
          <w:rFonts w:cs="Arial"/>
          <w:i w:val="0"/>
          <w:sz w:val="20"/>
        </w:rPr>
        <w:t>DEDUCTIBLE ALLOWANCES</w:t>
      </w:r>
    </w:p>
    <w:p w:rsidR="006A3F93" w:rsidRPr="00412620" w:rsidRDefault="006A3F93">
      <w:pPr>
        <w:pStyle w:val="Heading8"/>
        <w:jc w:val="left"/>
        <w:rPr>
          <w:rFonts w:cs="Arial"/>
          <w:b w:val="0"/>
          <w:i w:val="0"/>
          <w:sz w:val="20"/>
        </w:rPr>
      </w:pPr>
    </w:p>
    <w:p w:rsidR="006A3F93" w:rsidRPr="00412620" w:rsidRDefault="006A3F93">
      <w:pPr>
        <w:jc w:val="both"/>
        <w:rPr>
          <w:sz w:val="20"/>
        </w:rPr>
      </w:pPr>
      <w:r w:rsidRPr="00412620">
        <w:rPr>
          <w:rFonts w:cs="Arial"/>
          <w:b/>
          <w:sz w:val="20"/>
        </w:rPr>
        <w:t>60.Zakat.</w:t>
      </w:r>
      <w:r w:rsidR="00B5664E" w:rsidRPr="00412620">
        <w:rPr>
          <w:rFonts w:cs="Arial"/>
          <w:b/>
          <w:sz w:val="20"/>
        </w:rPr>
        <w:t>—</w:t>
      </w:r>
      <w:r w:rsidRPr="00412620">
        <w:rPr>
          <w:sz w:val="20"/>
        </w:rPr>
        <w:t xml:space="preserve"> (1)  A person shall be entitled to a deductible allowance for the amount of any Zakat paid by the person in a tax year under the Zakat and Ushr Ordinance, 1980 (XVIII of 1980).</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Sub-section (1) does not apply to any Zakat taken into account under sub-section (2) of section 40.</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Any allowance or part of an allowance under this section for a tax year that is not able to be deducted under section 9 for the year shall not be refunded, carried forward to a subsequent tax year, or carried back to a preceding tax year.</w:t>
      </w:r>
    </w:p>
    <w:p w:rsidR="006A3F93" w:rsidRPr="00412620" w:rsidRDefault="006A3F93">
      <w:pPr>
        <w:jc w:val="both"/>
        <w:rPr>
          <w:rFonts w:cs="Arial"/>
          <w:sz w:val="20"/>
        </w:rPr>
      </w:pPr>
    </w:p>
    <w:p w:rsidR="006A3F93" w:rsidRPr="00412620" w:rsidRDefault="006A3F93">
      <w:pPr>
        <w:jc w:val="both"/>
        <w:rPr>
          <w:sz w:val="20"/>
        </w:rPr>
      </w:pPr>
      <w:r w:rsidRPr="00412620">
        <w:rPr>
          <w:rStyle w:val="FootnoteReference"/>
          <w:rFonts w:cs="Arial"/>
          <w:sz w:val="20"/>
        </w:rPr>
        <w:footnoteReference w:id="383"/>
      </w:r>
      <w:r w:rsidRPr="00412620">
        <w:rPr>
          <w:b/>
          <w:sz w:val="20"/>
        </w:rPr>
        <w:t>[60A. Workers’ Welfare Fund.</w:t>
      </w:r>
      <w:r w:rsidR="00B5664E" w:rsidRPr="00412620">
        <w:rPr>
          <w:rFonts w:cs="Arial"/>
          <w:b/>
          <w:sz w:val="20"/>
        </w:rPr>
        <w:t>—</w:t>
      </w:r>
      <w:r w:rsidRPr="00412620">
        <w:rPr>
          <w:sz w:val="20"/>
        </w:rPr>
        <w:t xml:space="preserve"> A person shall be entitled to a deductible allowance for the amount of any Workers’ Welfare Fund paid by the person in tax year under Workers’ Welfare Fund Ordinance, 1971 (XXXVI of 1971)] </w:t>
      </w:r>
      <w:r w:rsidRPr="00412620">
        <w:rPr>
          <w:rStyle w:val="FootnoteReference"/>
          <w:sz w:val="20"/>
        </w:rPr>
        <w:footnoteReference w:id="384"/>
      </w:r>
      <w:r w:rsidRPr="00412620">
        <w:rPr>
          <w:sz w:val="20"/>
        </w:rPr>
        <w:t>[.]</w:t>
      </w:r>
    </w:p>
    <w:p w:rsidR="006A3F93" w:rsidRPr="00412620" w:rsidRDefault="006A3F93">
      <w:pPr>
        <w:jc w:val="both"/>
        <w:rPr>
          <w:rFonts w:cs="Arial"/>
          <w:sz w:val="20"/>
        </w:rPr>
      </w:pPr>
    </w:p>
    <w:p w:rsidR="006A3F93" w:rsidRPr="00412620" w:rsidRDefault="006A3F93">
      <w:pPr>
        <w:jc w:val="both"/>
        <w:rPr>
          <w:sz w:val="20"/>
        </w:rPr>
      </w:pPr>
      <w:r w:rsidRPr="00412620">
        <w:rPr>
          <w:rStyle w:val="FootnoteReference"/>
          <w:rFonts w:cs="Arial"/>
          <w:sz w:val="20"/>
        </w:rPr>
        <w:footnoteReference w:id="385"/>
      </w:r>
      <w:r w:rsidRPr="00412620">
        <w:rPr>
          <w:sz w:val="20"/>
        </w:rPr>
        <w:t>[</w:t>
      </w:r>
      <w:r w:rsidRPr="00412620">
        <w:rPr>
          <w:b/>
          <w:bCs/>
          <w:sz w:val="20"/>
        </w:rPr>
        <w:t>60B. Workers’ Participation Fund.</w:t>
      </w:r>
      <w:r w:rsidR="00B5664E" w:rsidRPr="00412620">
        <w:rPr>
          <w:rFonts w:cs="Arial"/>
          <w:b/>
          <w:sz w:val="20"/>
        </w:rPr>
        <w:t>—</w:t>
      </w:r>
      <w:r w:rsidRPr="00412620">
        <w:rPr>
          <w:sz w:val="20"/>
        </w:rPr>
        <w:t xml:space="preserve"> A person shall be entitled to a deductible allowance for the amount of any Workers’ Participation Fund paid by the person in a tax year in accordance with the provisions of the Companies Profit (Workers’ Participation) Act, 1968 (XII of 1968).]</w:t>
      </w:r>
    </w:p>
    <w:p w:rsidR="006A3F93" w:rsidRPr="00412620" w:rsidRDefault="006A3F93">
      <w:pPr>
        <w:rPr>
          <w:rFonts w:cs="Arial"/>
          <w:sz w:val="20"/>
        </w:rPr>
      </w:pPr>
    </w:p>
    <w:p w:rsidR="006A3F93" w:rsidRPr="00412620" w:rsidRDefault="00D65ED2">
      <w:pPr>
        <w:pStyle w:val="Heading8"/>
        <w:rPr>
          <w:rFonts w:cs="Arial"/>
          <w:i w:val="0"/>
          <w:sz w:val="32"/>
          <w:szCs w:val="32"/>
        </w:rPr>
      </w:pPr>
      <w:r w:rsidRPr="00412620">
        <w:rPr>
          <w:rFonts w:cs="Arial"/>
          <w:i w:val="0"/>
          <w:sz w:val="20"/>
        </w:rPr>
        <w:br w:type="page"/>
      </w:r>
      <w:r w:rsidR="006A3F93" w:rsidRPr="00412620">
        <w:rPr>
          <w:rFonts w:cs="Arial"/>
          <w:i w:val="0"/>
          <w:sz w:val="32"/>
          <w:szCs w:val="32"/>
        </w:rPr>
        <w:lastRenderedPageBreak/>
        <w:t>PART X</w:t>
      </w:r>
    </w:p>
    <w:p w:rsidR="006A3F93" w:rsidRPr="00412620" w:rsidRDefault="006A3F93">
      <w:pPr>
        <w:pStyle w:val="Heading8"/>
        <w:rPr>
          <w:rFonts w:cs="Arial"/>
          <w:i w:val="0"/>
          <w:sz w:val="20"/>
        </w:rPr>
      </w:pPr>
      <w:r w:rsidRPr="00412620">
        <w:rPr>
          <w:rFonts w:cs="Arial"/>
          <w:i w:val="0"/>
          <w:sz w:val="20"/>
        </w:rPr>
        <w:t>TAX CREDITS</w:t>
      </w:r>
    </w:p>
    <w:p w:rsidR="006A3F93" w:rsidRPr="00412620" w:rsidRDefault="006A3F93">
      <w:pPr>
        <w:keepNext/>
        <w:jc w:val="both"/>
        <w:rPr>
          <w:rFonts w:cs="Arial"/>
          <w:b/>
          <w:sz w:val="20"/>
        </w:rPr>
      </w:pPr>
    </w:p>
    <w:p w:rsidR="006A3F93" w:rsidRPr="00412620" w:rsidRDefault="006A3F93">
      <w:pPr>
        <w:jc w:val="both"/>
        <w:rPr>
          <w:sz w:val="20"/>
        </w:rPr>
      </w:pPr>
      <w:r w:rsidRPr="00412620">
        <w:rPr>
          <w:rFonts w:cs="Arial"/>
          <w:b/>
          <w:sz w:val="20"/>
        </w:rPr>
        <w:t>61.Charitable donations.</w:t>
      </w:r>
      <w:r w:rsidR="00C24A24" w:rsidRPr="00412620">
        <w:rPr>
          <w:rFonts w:cs="Arial"/>
          <w:b/>
          <w:sz w:val="20"/>
        </w:rPr>
        <w:t>—</w:t>
      </w:r>
      <w:r w:rsidRPr="00412620">
        <w:rPr>
          <w:rStyle w:val="FootnoteReference"/>
          <w:sz w:val="20"/>
        </w:rPr>
        <w:footnoteReference w:id="386"/>
      </w:r>
      <w:r w:rsidRPr="00412620">
        <w:rPr>
          <w:sz w:val="20"/>
        </w:rPr>
        <w:t xml:space="preserve">[(1) A person shall be entitled to a tax credit in respect of any sum paid, or any property given by the person in the tax year as a donation to </w:t>
      </w:r>
      <w:r w:rsidR="003C6EC2" w:rsidRPr="00412620">
        <w:rPr>
          <w:rFonts w:cs="Arial"/>
          <w:sz w:val="20"/>
        </w:rPr>
        <w:t>—</w:t>
      </w:r>
    </w:p>
    <w:p w:rsidR="006A3F93" w:rsidRPr="00412620" w:rsidRDefault="006A3F93">
      <w:pPr>
        <w:jc w:val="both"/>
        <w:rPr>
          <w:rFonts w:cs="Arial"/>
          <w:sz w:val="20"/>
        </w:rPr>
      </w:pPr>
    </w:p>
    <w:p w:rsidR="006A3F93" w:rsidRPr="00412620" w:rsidRDefault="006A3F93">
      <w:pPr>
        <w:ind w:left="1641" w:hanging="546"/>
        <w:jc w:val="both"/>
        <w:rPr>
          <w:rFonts w:cs="Arial"/>
          <w:sz w:val="20"/>
        </w:rPr>
      </w:pPr>
      <w:r w:rsidRPr="00412620">
        <w:rPr>
          <w:rFonts w:cs="Arial"/>
          <w:sz w:val="20"/>
        </w:rPr>
        <w:t xml:space="preserve">(a) </w:t>
      </w:r>
      <w:r w:rsidRPr="00412620">
        <w:rPr>
          <w:rFonts w:cs="Arial"/>
          <w:sz w:val="20"/>
        </w:rPr>
        <w:tab/>
        <w:t>any board of education or any university in Pakistan established by, or under, a Federal or a Provincial law;</w:t>
      </w:r>
    </w:p>
    <w:p w:rsidR="006A3F93" w:rsidRPr="00412620" w:rsidRDefault="006A3F93">
      <w:pPr>
        <w:jc w:val="both"/>
        <w:rPr>
          <w:rFonts w:cs="Arial"/>
          <w:sz w:val="20"/>
        </w:rPr>
      </w:pPr>
    </w:p>
    <w:p w:rsidR="006A3F93" w:rsidRPr="00412620" w:rsidRDefault="006A3F93">
      <w:pPr>
        <w:ind w:left="1641" w:hanging="546"/>
        <w:jc w:val="both"/>
        <w:rPr>
          <w:rFonts w:cs="Arial"/>
          <w:sz w:val="20"/>
        </w:rPr>
      </w:pPr>
      <w:r w:rsidRPr="00412620">
        <w:rPr>
          <w:rFonts w:cs="Arial"/>
          <w:sz w:val="20"/>
        </w:rPr>
        <w:t xml:space="preserve">(b) </w:t>
      </w:r>
      <w:r w:rsidRPr="00412620">
        <w:rPr>
          <w:rFonts w:cs="Arial"/>
          <w:sz w:val="20"/>
        </w:rPr>
        <w:tab/>
        <w:t>any educational institution, hospital or relief fund established or run in Pakistan by Federal Government or a Provincial Government or a</w:t>
      </w:r>
      <w:r w:rsidR="00721DEC" w:rsidRPr="00412620">
        <w:rPr>
          <w:rStyle w:val="FootnoteReference"/>
          <w:rFonts w:cs="Arial"/>
          <w:sz w:val="20"/>
        </w:rPr>
        <w:footnoteReference w:id="387"/>
      </w:r>
      <w:r w:rsidR="00721DEC" w:rsidRPr="00412620">
        <w:rPr>
          <w:rFonts w:cs="Arial"/>
          <w:sz w:val="20"/>
        </w:rPr>
        <w:t>[Local Government]</w:t>
      </w:r>
      <w:r w:rsidRPr="00412620">
        <w:rPr>
          <w:rFonts w:cs="Arial"/>
          <w:sz w:val="20"/>
        </w:rPr>
        <w:t>; or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r>
      <w:r w:rsidRPr="00412620">
        <w:rPr>
          <w:rFonts w:cs="Arial"/>
          <w:sz w:val="20"/>
        </w:rPr>
        <w:tab/>
        <w:t xml:space="preserve">(c) </w:t>
      </w:r>
      <w:r w:rsidRPr="00412620">
        <w:rPr>
          <w:rFonts w:cs="Arial"/>
          <w:sz w:val="20"/>
        </w:rPr>
        <w:tab/>
        <w:t>any non-profit organization.]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amount of a person’s tax credit allowed under sub-section (1) for a tax year shall be computed according to the following formula, namely:</w:t>
      </w:r>
      <w:r w:rsidR="003C6EC2" w:rsidRPr="00412620">
        <w:rPr>
          <w:rFonts w:cs="Arial"/>
          <w:sz w:val="20"/>
        </w:rPr>
        <w:t>—</w:t>
      </w:r>
    </w:p>
    <w:p w:rsidR="006A3F93" w:rsidRPr="00412620" w:rsidRDefault="006A3F93">
      <w:pPr>
        <w:rPr>
          <w:rFonts w:cs="Arial"/>
          <w:sz w:val="20"/>
        </w:rPr>
      </w:pPr>
    </w:p>
    <w:p w:rsidR="006A3F93" w:rsidRPr="00412620" w:rsidRDefault="006A3F93">
      <w:pPr>
        <w:pStyle w:val="Heading2"/>
        <w:spacing w:line="240" w:lineRule="auto"/>
        <w:rPr>
          <w:rFonts w:cs="Arial"/>
          <w:sz w:val="20"/>
        </w:rPr>
      </w:pPr>
      <w:r w:rsidRPr="00412620">
        <w:rPr>
          <w:rFonts w:cs="Arial"/>
          <w:sz w:val="20"/>
        </w:rPr>
        <w:t>(A/B) x C</w:t>
      </w:r>
    </w:p>
    <w:p w:rsidR="006A3F93" w:rsidRPr="00412620" w:rsidRDefault="006A3F93">
      <w:pPr>
        <w:jc w:val="both"/>
        <w:rPr>
          <w:rFonts w:cs="Arial"/>
          <w:sz w:val="20"/>
        </w:rPr>
      </w:pPr>
      <w:r w:rsidRPr="00412620">
        <w:rPr>
          <w:rFonts w:cs="Arial"/>
          <w:sz w:val="20"/>
        </w:rPr>
        <w:t xml:space="preserve">where </w:t>
      </w:r>
      <w:r w:rsidR="003C6EC2" w:rsidRPr="00412620">
        <w:rPr>
          <w:rFonts w:cs="Arial"/>
          <w:sz w:val="20"/>
        </w:rPr>
        <w:t>—</w:t>
      </w:r>
    </w:p>
    <w:p w:rsidR="006A3F93" w:rsidRPr="00412620" w:rsidRDefault="006A3F93">
      <w:pPr>
        <w:pStyle w:val="Header"/>
        <w:tabs>
          <w:tab w:val="left" w:pos="547"/>
        </w:tabs>
        <w:jc w:val="both"/>
        <w:rPr>
          <w:rFonts w:cs="Arial"/>
          <w:sz w:val="20"/>
        </w:rPr>
      </w:pPr>
    </w:p>
    <w:p w:rsidR="006A3F93" w:rsidRPr="00412620" w:rsidRDefault="006A3F93">
      <w:pPr>
        <w:ind w:left="540" w:hanging="540"/>
        <w:jc w:val="both"/>
        <w:rPr>
          <w:sz w:val="20"/>
        </w:rPr>
      </w:pPr>
      <w:r w:rsidRPr="00412620">
        <w:rPr>
          <w:rFonts w:cs="Arial"/>
          <w:b/>
          <w:sz w:val="20"/>
        </w:rPr>
        <w:t>A</w:t>
      </w:r>
      <w:r w:rsidRPr="00412620">
        <w:rPr>
          <w:sz w:val="20"/>
        </w:rPr>
        <w:tab/>
        <w:t>is the amount of tax assessed to the person for the tax year before allowance of any tax credit under this Part;</w:t>
      </w:r>
    </w:p>
    <w:p w:rsidR="006A3F93" w:rsidRPr="00412620" w:rsidRDefault="006A3F93">
      <w:pPr>
        <w:ind w:left="720" w:hanging="720"/>
        <w:jc w:val="both"/>
        <w:rPr>
          <w:rFonts w:cs="Arial"/>
          <w:b/>
          <w:sz w:val="20"/>
        </w:rPr>
      </w:pPr>
    </w:p>
    <w:p w:rsidR="006A3F93" w:rsidRPr="00412620" w:rsidRDefault="006A3F93">
      <w:pPr>
        <w:ind w:left="540" w:hanging="540"/>
        <w:jc w:val="both"/>
        <w:rPr>
          <w:sz w:val="20"/>
        </w:rPr>
      </w:pPr>
      <w:r w:rsidRPr="00412620">
        <w:rPr>
          <w:rFonts w:cs="Arial"/>
          <w:b/>
          <w:sz w:val="20"/>
        </w:rPr>
        <w:t>B</w:t>
      </w:r>
      <w:r w:rsidRPr="00412620">
        <w:rPr>
          <w:sz w:val="20"/>
        </w:rPr>
        <w:tab/>
        <w:t xml:space="preserve">is the person’s taxable income for the tax year; and </w:t>
      </w:r>
    </w:p>
    <w:p w:rsidR="006A3F93" w:rsidRPr="00412620" w:rsidRDefault="006A3F93">
      <w:pPr>
        <w:ind w:left="540" w:hanging="540"/>
        <w:jc w:val="both"/>
        <w:rPr>
          <w:rFonts w:cs="Arial"/>
          <w:sz w:val="20"/>
        </w:rPr>
      </w:pPr>
    </w:p>
    <w:p w:rsidR="006A3F93" w:rsidRPr="00412620" w:rsidRDefault="006A3F93">
      <w:pPr>
        <w:ind w:left="540" w:hanging="540"/>
        <w:jc w:val="both"/>
        <w:rPr>
          <w:sz w:val="20"/>
        </w:rPr>
      </w:pPr>
      <w:r w:rsidRPr="00412620">
        <w:rPr>
          <w:rFonts w:cs="Arial"/>
          <w:b/>
          <w:sz w:val="20"/>
        </w:rPr>
        <w:t>C</w:t>
      </w:r>
      <w:r w:rsidRPr="00412620">
        <w:rPr>
          <w:sz w:val="20"/>
        </w:rPr>
        <w:tab/>
        <w:t xml:space="preserve">is the lesser of </w:t>
      </w:r>
      <w:r w:rsidR="003C6EC2"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35" w:hanging="555"/>
        <w:jc w:val="both"/>
        <w:rPr>
          <w:rFonts w:cs="Arial"/>
          <w:sz w:val="20"/>
        </w:rPr>
      </w:pPr>
      <w:r w:rsidRPr="00412620">
        <w:rPr>
          <w:rFonts w:cs="Arial"/>
          <w:sz w:val="20"/>
        </w:rPr>
        <w:t>(a)</w:t>
      </w:r>
      <w:r w:rsidRPr="00412620">
        <w:rPr>
          <w:rFonts w:cs="Arial"/>
          <w:sz w:val="20"/>
        </w:rPr>
        <w:tab/>
        <w:t>the total amount of the person’s donations referred to in sub-section (1) in the year, including the fair market value of any property given; or</w:t>
      </w:r>
    </w:p>
    <w:p w:rsidR="006A3F93" w:rsidRPr="00412620" w:rsidRDefault="006A3F93">
      <w:pPr>
        <w:pStyle w:val="BodyTextIndent"/>
        <w:jc w:val="both"/>
        <w:rPr>
          <w:rFonts w:cs="Arial"/>
          <w:sz w:val="20"/>
        </w:rPr>
      </w:pPr>
    </w:p>
    <w:p w:rsidR="006A3F93" w:rsidRPr="00412620" w:rsidRDefault="006A3F93">
      <w:pPr>
        <w:pStyle w:val="BodyTextIndent"/>
        <w:ind w:left="1635" w:hanging="555"/>
        <w:jc w:val="both"/>
        <w:rPr>
          <w:rFonts w:cs="Arial"/>
          <w:sz w:val="20"/>
        </w:rPr>
      </w:pPr>
      <w:r w:rsidRPr="00412620">
        <w:rPr>
          <w:rFonts w:cs="Arial"/>
          <w:sz w:val="20"/>
        </w:rPr>
        <w:t>(b)</w:t>
      </w:r>
      <w:r w:rsidRPr="00412620">
        <w:rPr>
          <w:rFonts w:cs="Arial"/>
          <w:sz w:val="20"/>
        </w:rPr>
        <w:tab/>
        <w:t xml:space="preserve">where the person is </w:t>
      </w:r>
      <w:r w:rsidR="003C6EC2"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2188" w:hanging="553"/>
        <w:jc w:val="both"/>
        <w:rPr>
          <w:rFonts w:cs="Arial"/>
          <w:sz w:val="20"/>
        </w:rPr>
      </w:pPr>
      <w:r w:rsidRPr="00412620">
        <w:rPr>
          <w:rFonts w:cs="Arial"/>
          <w:sz w:val="20"/>
        </w:rPr>
        <w:t>(i)</w:t>
      </w:r>
      <w:r w:rsidRPr="00412620">
        <w:rPr>
          <w:rFonts w:cs="Arial"/>
          <w:sz w:val="20"/>
        </w:rPr>
        <w:tab/>
        <w:t xml:space="preserve">an individual or association of persons, thirty </w:t>
      </w:r>
      <w:r w:rsidR="00AB6F06">
        <w:rPr>
          <w:rFonts w:cs="Arial"/>
          <w:sz w:val="20"/>
        </w:rPr>
        <w:t>per cent</w:t>
      </w:r>
      <w:r w:rsidRPr="00412620">
        <w:rPr>
          <w:rFonts w:cs="Arial"/>
          <w:sz w:val="20"/>
        </w:rPr>
        <w:t xml:space="preserve"> of the taxable income of the person for the year; or </w:t>
      </w:r>
    </w:p>
    <w:p w:rsidR="006A3F93" w:rsidRPr="00412620" w:rsidRDefault="006A3F93">
      <w:pPr>
        <w:pStyle w:val="BodyTextIndent"/>
        <w:ind w:left="2880"/>
        <w:jc w:val="both"/>
        <w:rPr>
          <w:rFonts w:cs="Arial"/>
          <w:sz w:val="20"/>
        </w:rPr>
      </w:pPr>
    </w:p>
    <w:p w:rsidR="006A3F93" w:rsidRPr="00412620" w:rsidRDefault="006A3F93">
      <w:pPr>
        <w:pStyle w:val="BodyTextIndent"/>
        <w:ind w:left="2188" w:hanging="553"/>
        <w:jc w:val="both"/>
        <w:rPr>
          <w:rFonts w:cs="Arial"/>
          <w:sz w:val="20"/>
        </w:rPr>
      </w:pPr>
      <w:r w:rsidRPr="00412620">
        <w:rPr>
          <w:rFonts w:cs="Arial"/>
          <w:sz w:val="20"/>
        </w:rPr>
        <w:t>(ii)</w:t>
      </w:r>
      <w:r w:rsidRPr="00412620">
        <w:rPr>
          <w:rFonts w:cs="Arial"/>
          <w:sz w:val="20"/>
        </w:rPr>
        <w:tab/>
        <w:t xml:space="preserve">a company, </w:t>
      </w:r>
      <w:r w:rsidR="00857250" w:rsidRPr="00412620">
        <w:rPr>
          <w:rStyle w:val="FootnoteReference"/>
          <w:rFonts w:cs="Arial"/>
          <w:sz w:val="20"/>
        </w:rPr>
        <w:footnoteReference w:id="388"/>
      </w:r>
      <w:r w:rsidR="00857250" w:rsidRPr="00412620">
        <w:rPr>
          <w:rFonts w:cs="Arial"/>
          <w:sz w:val="20"/>
        </w:rPr>
        <w:t xml:space="preserve">[twenty] </w:t>
      </w:r>
      <w:r w:rsidR="00AB6F06">
        <w:rPr>
          <w:rFonts w:cs="Arial"/>
          <w:sz w:val="20"/>
        </w:rPr>
        <w:t>per cent</w:t>
      </w:r>
      <w:r w:rsidRPr="00412620">
        <w:rPr>
          <w:rFonts w:cs="Arial"/>
          <w:sz w:val="20"/>
        </w:rPr>
        <w:t xml:space="preserve"> of the taxable income of the person for the year.  </w:t>
      </w:r>
    </w:p>
    <w:p w:rsidR="006A3F93" w:rsidRPr="00412620" w:rsidRDefault="006A3F93">
      <w:pPr>
        <w:jc w:val="both"/>
        <w:rPr>
          <w:rFonts w:cs="Arial"/>
          <w:sz w:val="20"/>
        </w:rPr>
      </w:pPr>
    </w:p>
    <w:p w:rsidR="00450426" w:rsidRPr="00412620" w:rsidRDefault="00450426">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For the purposes of clause (a) of component </w:t>
      </w:r>
      <w:r w:rsidRPr="00412620">
        <w:rPr>
          <w:rFonts w:cs="Arial"/>
          <w:b/>
          <w:sz w:val="20"/>
        </w:rPr>
        <w:t xml:space="preserve">C </w:t>
      </w:r>
      <w:r w:rsidRPr="00412620">
        <w:rPr>
          <w:rFonts w:cs="Arial"/>
          <w:sz w:val="20"/>
        </w:rPr>
        <w:t>of the formula in sub-section (2), the fair market value of any property given shall be determined at the time it is given.</w:t>
      </w:r>
    </w:p>
    <w:p w:rsidR="006A3F93" w:rsidRPr="00412620" w:rsidRDefault="006A3F93">
      <w:pPr>
        <w:jc w:val="both"/>
        <w:rPr>
          <w:rFonts w:cs="Arial"/>
          <w:sz w:val="20"/>
        </w:rPr>
      </w:pPr>
    </w:p>
    <w:p w:rsidR="00450426" w:rsidRPr="00412620" w:rsidRDefault="00450426">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A cash amount paid by a person as a donation shall be taken into account under clause (a) of component </w:t>
      </w:r>
      <w:r w:rsidRPr="00412620">
        <w:rPr>
          <w:rFonts w:cs="Arial"/>
          <w:b/>
          <w:sz w:val="20"/>
        </w:rPr>
        <w:t>C</w:t>
      </w:r>
      <w:r w:rsidRPr="00412620">
        <w:rPr>
          <w:rStyle w:val="FootnoteReference"/>
          <w:rFonts w:cs="Arial"/>
          <w:sz w:val="20"/>
        </w:rPr>
        <w:footnoteReference w:id="389"/>
      </w:r>
      <w:r w:rsidRPr="00412620">
        <w:rPr>
          <w:rFonts w:cs="Arial"/>
          <w:sz w:val="20"/>
        </w:rPr>
        <w:t>[of]sub-section (2) only if it was paid by a crossed cheque drawn on a bank.</w:t>
      </w:r>
    </w:p>
    <w:p w:rsidR="006A3F93" w:rsidRPr="00412620" w:rsidRDefault="006A3F93">
      <w:pPr>
        <w:jc w:val="both"/>
        <w:rPr>
          <w:rFonts w:cs="Arial"/>
          <w:sz w:val="20"/>
        </w:rPr>
      </w:pPr>
    </w:p>
    <w:p w:rsidR="00450426" w:rsidRPr="00412620" w:rsidRDefault="00450426">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390"/>
      </w:r>
      <w:r w:rsidRPr="00412620">
        <w:rPr>
          <w:rFonts w:cs="Arial"/>
          <w:sz w:val="20"/>
        </w:rPr>
        <w:t>[(5)</w:t>
      </w:r>
      <w:r w:rsidRPr="00412620">
        <w:rPr>
          <w:rFonts w:cs="Arial"/>
          <w:sz w:val="20"/>
        </w:rPr>
        <w:tab/>
        <w:t xml:space="preserve">The </w:t>
      </w:r>
      <w:r w:rsidR="009B17E6" w:rsidRPr="00412620">
        <w:rPr>
          <w:rStyle w:val="FootnoteReference"/>
          <w:rFonts w:cs="Arial"/>
          <w:sz w:val="20"/>
        </w:rPr>
        <w:footnoteReference w:id="391"/>
      </w:r>
      <w:r w:rsidR="009B17E6" w:rsidRPr="00412620">
        <w:rPr>
          <w:rFonts w:cs="Arial"/>
          <w:sz w:val="20"/>
        </w:rPr>
        <w:t>[</w:t>
      </w:r>
      <w:r w:rsidRPr="00412620">
        <w:rPr>
          <w:rFonts w:cs="Arial"/>
          <w:sz w:val="20"/>
        </w:rPr>
        <w:t>Board</w:t>
      </w:r>
      <w:r w:rsidR="009B17E6" w:rsidRPr="00412620">
        <w:rPr>
          <w:rFonts w:cs="Arial"/>
          <w:sz w:val="20"/>
        </w:rPr>
        <w:t>]</w:t>
      </w:r>
      <w:r w:rsidRPr="00412620">
        <w:rPr>
          <w:rFonts w:cs="Arial"/>
          <w:sz w:val="20"/>
        </w:rPr>
        <w:t xml:space="preserve"> may make rules regulating the procedure of the grant of approval under sub-clause (c) of clause (36) of section 2 and any other matter connected with, or incidental to, the operation of this section.]</w:t>
      </w:r>
    </w:p>
    <w:p w:rsidR="006A3F93" w:rsidRPr="00412620" w:rsidRDefault="006A3F93">
      <w:pPr>
        <w:jc w:val="both"/>
        <w:rPr>
          <w:rFonts w:cs="Arial"/>
          <w:szCs w:val="24"/>
        </w:rPr>
      </w:pPr>
    </w:p>
    <w:p w:rsidR="00450426" w:rsidRPr="00412620" w:rsidRDefault="009431C4">
      <w:pPr>
        <w:jc w:val="both"/>
        <w:rPr>
          <w:rFonts w:cs="Arial"/>
          <w:sz w:val="20"/>
        </w:rPr>
      </w:pPr>
      <w:r w:rsidRPr="00412620">
        <w:rPr>
          <w:rStyle w:val="FootnoteReference"/>
          <w:rFonts w:cs="Arial"/>
          <w:sz w:val="20"/>
        </w:rPr>
        <w:footnoteReference w:id="392"/>
      </w:r>
      <w:r w:rsidR="007A078C" w:rsidRPr="00412620">
        <w:rPr>
          <w:rFonts w:cs="Arial"/>
          <w:sz w:val="20"/>
        </w:rPr>
        <w:t>[</w:t>
      </w:r>
      <w:r w:rsidR="007A078C" w:rsidRPr="00412620">
        <w:rPr>
          <w:rFonts w:cs="Arial"/>
          <w:b/>
          <w:sz w:val="20"/>
        </w:rPr>
        <w:t xml:space="preserve">62. </w:t>
      </w:r>
      <w:r w:rsidR="007A078C" w:rsidRPr="00412620">
        <w:rPr>
          <w:rFonts w:cs="Arial"/>
          <w:b/>
          <w:sz w:val="20"/>
        </w:rPr>
        <w:tab/>
        <w:t>Tax credit for investment in shares and insurance.</w:t>
      </w:r>
      <w:r w:rsidR="007A078C" w:rsidRPr="00412620">
        <w:rPr>
          <w:rFonts w:cs="Arial"/>
          <w:sz w:val="20"/>
        </w:rPr>
        <w:t xml:space="preserve"> — (1) A resident person other than a company shall be entitled to a tax credit for a tax year either—</w:t>
      </w:r>
    </w:p>
    <w:p w:rsidR="007A078C" w:rsidRPr="00412620" w:rsidRDefault="007A078C">
      <w:pPr>
        <w:jc w:val="both"/>
        <w:rPr>
          <w:rFonts w:cs="Arial"/>
          <w:sz w:val="20"/>
        </w:rPr>
      </w:pPr>
    </w:p>
    <w:p w:rsidR="007A078C" w:rsidRPr="00412620" w:rsidRDefault="007A078C" w:rsidP="007A078C">
      <w:pPr>
        <w:ind w:left="1094" w:hanging="434"/>
        <w:jc w:val="both"/>
        <w:rPr>
          <w:rFonts w:cs="Arial"/>
          <w:sz w:val="20"/>
        </w:rPr>
      </w:pPr>
      <w:r w:rsidRPr="00412620">
        <w:rPr>
          <w:rFonts w:cs="Arial"/>
          <w:sz w:val="20"/>
        </w:rPr>
        <w:t xml:space="preserve">(i) </w:t>
      </w:r>
      <w:r w:rsidRPr="00412620">
        <w:rPr>
          <w:rFonts w:cs="Arial"/>
          <w:sz w:val="20"/>
        </w:rPr>
        <w:tab/>
        <w:t xml:space="preserve">in respect of the cost of acquiring in the year new shares offered to the public by a public company listed on a stock exchange in Pakistan, provided the resident person is the original allottee of the shares or the shares are acquired from the Privatization Commission of Pakistan; or </w:t>
      </w:r>
    </w:p>
    <w:p w:rsidR="007A078C" w:rsidRPr="00412620" w:rsidRDefault="007A078C">
      <w:pPr>
        <w:jc w:val="both"/>
        <w:rPr>
          <w:rFonts w:cs="Arial"/>
          <w:b/>
          <w:sz w:val="20"/>
        </w:rPr>
      </w:pPr>
    </w:p>
    <w:p w:rsidR="007A078C" w:rsidRPr="00412620" w:rsidRDefault="007A078C" w:rsidP="007A078C">
      <w:pPr>
        <w:ind w:left="1094" w:hanging="554"/>
        <w:jc w:val="both"/>
        <w:rPr>
          <w:rFonts w:cs="Arial"/>
          <w:sz w:val="20"/>
        </w:rPr>
      </w:pPr>
      <w:r w:rsidRPr="00412620">
        <w:rPr>
          <w:rFonts w:cs="Arial"/>
          <w:sz w:val="20"/>
        </w:rPr>
        <w:t>(ii)</w:t>
      </w:r>
      <w:r w:rsidRPr="00412620">
        <w:rPr>
          <w:rFonts w:cs="Arial"/>
          <w:sz w:val="20"/>
        </w:rPr>
        <w:tab/>
        <w:t>in respect of any life insurance premium paid on a policy to a life insurance company registered by the Securities and Exchange Commission of Pakistan under the Insurance Ordinance, 2000 (XXXIX</w:t>
      </w:r>
      <w:r w:rsidR="009B054E" w:rsidRPr="00412620">
        <w:rPr>
          <w:rFonts w:cs="Arial"/>
          <w:sz w:val="20"/>
        </w:rPr>
        <w:t xml:space="preserve"> of 2000), provided</w:t>
      </w:r>
      <w:r w:rsidRPr="00412620">
        <w:rPr>
          <w:rFonts w:cs="Arial"/>
          <w:sz w:val="20"/>
        </w:rPr>
        <w:t xml:space="preserve"> the resident person is deriving income chargeable to tax under the head “sal</w:t>
      </w:r>
      <w:r w:rsidR="00634DFF" w:rsidRPr="00412620">
        <w:rPr>
          <w:rFonts w:cs="Arial"/>
          <w:sz w:val="20"/>
        </w:rPr>
        <w:t>ary” or “income from business”.</w:t>
      </w:r>
    </w:p>
    <w:p w:rsidR="007A078C" w:rsidRPr="00412620" w:rsidRDefault="007A078C">
      <w:pPr>
        <w:jc w:val="both"/>
        <w:rPr>
          <w:rFonts w:cs="Arial"/>
          <w:b/>
          <w:sz w:val="20"/>
        </w:rPr>
      </w:pPr>
    </w:p>
    <w:p w:rsidR="00634DFF" w:rsidRPr="00412620" w:rsidRDefault="00634DFF">
      <w:pPr>
        <w:jc w:val="both"/>
        <w:rPr>
          <w:rFonts w:cs="Arial"/>
          <w:sz w:val="20"/>
        </w:rPr>
      </w:pPr>
      <w:r w:rsidRPr="00412620">
        <w:rPr>
          <w:rFonts w:cs="Arial"/>
          <w:sz w:val="20"/>
        </w:rPr>
        <w:tab/>
        <w:t xml:space="preserve">(2) </w:t>
      </w:r>
      <w:r w:rsidRPr="00412620">
        <w:rPr>
          <w:rFonts w:cs="Arial"/>
          <w:sz w:val="20"/>
        </w:rPr>
        <w:tab/>
        <w:t>The amount of a person’s tax credit allowed under sub-section (1) for a tax year shall be computed according to the following formula, namely: —</w:t>
      </w:r>
    </w:p>
    <w:p w:rsidR="00634DFF" w:rsidRPr="00412620" w:rsidRDefault="00634DFF">
      <w:pPr>
        <w:jc w:val="both"/>
        <w:rPr>
          <w:rFonts w:cs="Arial"/>
          <w:sz w:val="20"/>
        </w:rPr>
      </w:pPr>
    </w:p>
    <w:p w:rsidR="00634DFF" w:rsidRPr="00412620" w:rsidRDefault="00634DFF" w:rsidP="00634DFF">
      <w:pPr>
        <w:jc w:val="center"/>
        <w:rPr>
          <w:rFonts w:cs="Arial"/>
          <w:sz w:val="20"/>
        </w:rPr>
      </w:pPr>
      <w:r w:rsidRPr="00412620">
        <w:rPr>
          <w:rFonts w:cs="Arial"/>
          <w:b/>
          <w:sz w:val="20"/>
        </w:rPr>
        <w:t>(A/B) x C</w:t>
      </w:r>
    </w:p>
    <w:p w:rsidR="00634DFF" w:rsidRPr="00412620" w:rsidRDefault="00634DFF" w:rsidP="00634DFF">
      <w:pPr>
        <w:jc w:val="center"/>
        <w:rPr>
          <w:rFonts w:cs="Arial"/>
          <w:sz w:val="20"/>
        </w:rPr>
      </w:pPr>
    </w:p>
    <w:p w:rsidR="00634DFF" w:rsidRPr="00412620" w:rsidRDefault="00634DFF" w:rsidP="00634DFF">
      <w:pPr>
        <w:jc w:val="both"/>
        <w:rPr>
          <w:rFonts w:cs="Arial"/>
          <w:sz w:val="20"/>
        </w:rPr>
      </w:pPr>
      <w:r w:rsidRPr="00412620">
        <w:rPr>
          <w:rFonts w:cs="Arial"/>
          <w:sz w:val="20"/>
        </w:rPr>
        <w:tab/>
        <w:t>where—</w:t>
      </w:r>
    </w:p>
    <w:p w:rsidR="00634DFF" w:rsidRPr="00412620" w:rsidRDefault="00634DFF">
      <w:pPr>
        <w:jc w:val="both"/>
        <w:rPr>
          <w:rFonts w:cs="Arial"/>
          <w:sz w:val="20"/>
        </w:rPr>
      </w:pPr>
    </w:p>
    <w:p w:rsidR="00634DFF" w:rsidRPr="00412620" w:rsidRDefault="00634DFF" w:rsidP="00634DFF">
      <w:pPr>
        <w:ind w:left="1635" w:hanging="540"/>
        <w:jc w:val="both"/>
        <w:rPr>
          <w:rFonts w:cs="Arial"/>
          <w:sz w:val="20"/>
        </w:rPr>
      </w:pPr>
      <w:r w:rsidRPr="00412620">
        <w:rPr>
          <w:rFonts w:cs="Arial"/>
          <w:b/>
          <w:sz w:val="20"/>
        </w:rPr>
        <w:t>A</w:t>
      </w:r>
      <w:r w:rsidRPr="00412620">
        <w:rPr>
          <w:rFonts w:cs="Arial"/>
          <w:sz w:val="20"/>
        </w:rPr>
        <w:tab/>
        <w:t>is the amount of tax assessed to the person for the tax year before allowance of</w:t>
      </w:r>
      <w:r w:rsidR="00BB5605" w:rsidRPr="00412620">
        <w:rPr>
          <w:rFonts w:cs="Arial"/>
          <w:sz w:val="20"/>
        </w:rPr>
        <w:t xml:space="preserve"> any tax credit under this Part;</w:t>
      </w:r>
    </w:p>
    <w:p w:rsidR="00634DFF" w:rsidRPr="00412620" w:rsidRDefault="00634DFF">
      <w:pPr>
        <w:jc w:val="both"/>
        <w:rPr>
          <w:rFonts w:cs="Arial"/>
          <w:sz w:val="20"/>
        </w:rPr>
      </w:pPr>
    </w:p>
    <w:p w:rsidR="00634DFF" w:rsidRPr="00412620" w:rsidRDefault="00634DFF">
      <w:pPr>
        <w:jc w:val="both"/>
        <w:rPr>
          <w:rFonts w:cs="Arial"/>
          <w:sz w:val="20"/>
        </w:rPr>
      </w:pPr>
      <w:r w:rsidRPr="00412620">
        <w:rPr>
          <w:rFonts w:cs="Arial"/>
          <w:sz w:val="20"/>
        </w:rPr>
        <w:tab/>
      </w:r>
      <w:r w:rsidRPr="00412620">
        <w:rPr>
          <w:rFonts w:cs="Arial"/>
          <w:sz w:val="20"/>
        </w:rPr>
        <w:tab/>
      </w:r>
      <w:r w:rsidRPr="00412620">
        <w:rPr>
          <w:rFonts w:cs="Arial"/>
          <w:b/>
          <w:sz w:val="20"/>
        </w:rPr>
        <w:t xml:space="preserve">B </w:t>
      </w:r>
      <w:r w:rsidRPr="00412620">
        <w:rPr>
          <w:rFonts w:cs="Arial"/>
          <w:b/>
          <w:sz w:val="20"/>
        </w:rPr>
        <w:tab/>
      </w:r>
      <w:r w:rsidRPr="00412620">
        <w:rPr>
          <w:rFonts w:cs="Arial"/>
          <w:sz w:val="20"/>
        </w:rPr>
        <w:t>is the person’s taxable income for the tax year; and</w:t>
      </w:r>
    </w:p>
    <w:p w:rsidR="00634DFF" w:rsidRPr="00412620" w:rsidRDefault="00634DFF">
      <w:pPr>
        <w:jc w:val="both"/>
        <w:rPr>
          <w:rFonts w:cs="Arial"/>
          <w:sz w:val="20"/>
        </w:rPr>
      </w:pPr>
    </w:p>
    <w:p w:rsidR="00634DFF" w:rsidRPr="00412620" w:rsidRDefault="00634DFF">
      <w:pPr>
        <w:jc w:val="both"/>
        <w:rPr>
          <w:rFonts w:cs="Arial"/>
          <w:sz w:val="20"/>
        </w:rPr>
      </w:pPr>
      <w:r w:rsidRPr="00412620">
        <w:rPr>
          <w:rFonts w:cs="Arial"/>
          <w:sz w:val="20"/>
        </w:rPr>
        <w:tab/>
      </w:r>
      <w:r w:rsidRPr="00412620">
        <w:rPr>
          <w:rFonts w:cs="Arial"/>
          <w:sz w:val="20"/>
        </w:rPr>
        <w:tab/>
      </w:r>
      <w:r w:rsidRPr="00412620">
        <w:rPr>
          <w:rFonts w:cs="Arial"/>
          <w:b/>
          <w:sz w:val="20"/>
        </w:rPr>
        <w:t>C</w:t>
      </w:r>
      <w:r w:rsidRPr="00412620">
        <w:rPr>
          <w:rFonts w:cs="Arial"/>
          <w:sz w:val="20"/>
        </w:rPr>
        <w:tab/>
        <w:t>is the lesser of —</w:t>
      </w:r>
    </w:p>
    <w:p w:rsidR="00634DFF" w:rsidRPr="00412620" w:rsidRDefault="00634DFF">
      <w:pPr>
        <w:jc w:val="both"/>
        <w:rPr>
          <w:rFonts w:cs="Arial"/>
          <w:sz w:val="20"/>
        </w:rPr>
      </w:pPr>
    </w:p>
    <w:p w:rsidR="00634DFF" w:rsidRPr="00412620" w:rsidRDefault="00634DFF" w:rsidP="00634DFF">
      <w:pPr>
        <w:ind w:left="2188" w:hanging="553"/>
        <w:jc w:val="both"/>
        <w:rPr>
          <w:rFonts w:cs="Arial"/>
          <w:sz w:val="20"/>
        </w:rPr>
      </w:pPr>
      <w:r w:rsidRPr="00412620">
        <w:rPr>
          <w:rFonts w:cs="Arial"/>
          <w:sz w:val="20"/>
        </w:rPr>
        <w:t xml:space="preserve">(a) </w:t>
      </w:r>
      <w:r w:rsidRPr="00412620">
        <w:rPr>
          <w:rFonts w:cs="Arial"/>
          <w:sz w:val="20"/>
        </w:rPr>
        <w:tab/>
        <w:t>the total cost of acquiring the shares, or the total contribution or premium paid by the person referred to in sub-section (1) in the year;</w:t>
      </w:r>
    </w:p>
    <w:p w:rsidR="00634DFF" w:rsidRPr="00412620" w:rsidRDefault="00634DFF">
      <w:pPr>
        <w:jc w:val="both"/>
        <w:rPr>
          <w:rFonts w:cs="Arial"/>
          <w:sz w:val="20"/>
        </w:rPr>
      </w:pPr>
    </w:p>
    <w:p w:rsidR="00634DFF" w:rsidRPr="00412620" w:rsidRDefault="00634DFF" w:rsidP="00634DFF">
      <w:pPr>
        <w:ind w:left="2188" w:hanging="553"/>
        <w:jc w:val="both"/>
        <w:rPr>
          <w:rFonts w:cs="Arial"/>
          <w:sz w:val="20"/>
        </w:rPr>
      </w:pPr>
      <w:r w:rsidRPr="00412620">
        <w:rPr>
          <w:rFonts w:cs="Arial"/>
          <w:sz w:val="20"/>
        </w:rPr>
        <w:t xml:space="preserve">(b) </w:t>
      </w:r>
      <w:r w:rsidRPr="00412620">
        <w:rPr>
          <w:rFonts w:cs="Arial"/>
          <w:sz w:val="20"/>
        </w:rPr>
        <w:tab/>
      </w:r>
      <w:r w:rsidR="00C257DB" w:rsidRPr="00412620">
        <w:rPr>
          <w:rStyle w:val="FootnoteReference"/>
          <w:rFonts w:cs="Arial"/>
          <w:sz w:val="20"/>
        </w:rPr>
        <w:footnoteReference w:id="393"/>
      </w:r>
      <w:r w:rsidR="00C257DB" w:rsidRPr="00412620">
        <w:rPr>
          <w:rFonts w:cs="Arial"/>
          <w:sz w:val="20"/>
        </w:rPr>
        <w:t xml:space="preserve">[twenty] </w:t>
      </w:r>
      <w:r w:rsidR="00AB6F06">
        <w:rPr>
          <w:rFonts w:cs="Arial"/>
          <w:sz w:val="20"/>
        </w:rPr>
        <w:t>per cent</w:t>
      </w:r>
      <w:r w:rsidRPr="00412620">
        <w:rPr>
          <w:rFonts w:cs="Arial"/>
          <w:sz w:val="20"/>
        </w:rPr>
        <w:t xml:space="preserve"> of the person’s taxable income for the year; or</w:t>
      </w:r>
    </w:p>
    <w:p w:rsidR="00634DFF" w:rsidRPr="00412620" w:rsidRDefault="00634DFF">
      <w:pPr>
        <w:jc w:val="both"/>
        <w:rPr>
          <w:rFonts w:cs="Arial"/>
          <w:sz w:val="20"/>
        </w:rPr>
      </w:pPr>
    </w:p>
    <w:p w:rsidR="00634DFF" w:rsidRPr="00412620" w:rsidRDefault="00634DFF">
      <w:pPr>
        <w:jc w:val="both"/>
        <w:rPr>
          <w:rFonts w:cs="Arial"/>
          <w:sz w:val="20"/>
        </w:rPr>
      </w:pPr>
    </w:p>
    <w:p w:rsidR="00634DFF" w:rsidRPr="00412620" w:rsidRDefault="00634DFF">
      <w:pPr>
        <w:jc w:val="both"/>
        <w:rPr>
          <w:rFonts w:cs="Arial"/>
          <w:sz w:val="20"/>
        </w:rPr>
      </w:pPr>
      <w:r w:rsidRPr="00412620">
        <w:rPr>
          <w:rFonts w:cs="Arial"/>
          <w:sz w:val="20"/>
        </w:rPr>
        <w:tab/>
      </w:r>
      <w:r w:rsidRPr="00412620">
        <w:rPr>
          <w:rFonts w:cs="Arial"/>
          <w:sz w:val="20"/>
        </w:rPr>
        <w:tab/>
      </w:r>
      <w:r w:rsidRPr="00412620">
        <w:rPr>
          <w:rFonts w:cs="Arial"/>
          <w:sz w:val="20"/>
        </w:rPr>
        <w:tab/>
        <w:t xml:space="preserve">(c) </w:t>
      </w:r>
      <w:r w:rsidRPr="00412620">
        <w:rPr>
          <w:rFonts w:cs="Arial"/>
          <w:sz w:val="20"/>
        </w:rPr>
        <w:tab/>
      </w:r>
      <w:r w:rsidR="00FD1580" w:rsidRPr="00F90C97">
        <w:rPr>
          <w:rStyle w:val="FootnoteReference"/>
          <w:rFonts w:cs="Arial"/>
          <w:color w:val="000000" w:themeColor="text1"/>
          <w:sz w:val="20"/>
        </w:rPr>
        <w:footnoteReference w:id="394"/>
      </w:r>
      <w:r w:rsidR="00FD1580" w:rsidRPr="00F90C97">
        <w:rPr>
          <w:rFonts w:cs="Arial"/>
          <w:color w:val="000000" w:themeColor="text1"/>
          <w:sz w:val="20"/>
        </w:rPr>
        <w:t>[one</w:t>
      </w:r>
      <w:r w:rsidR="002E247F">
        <w:rPr>
          <w:rFonts w:cs="Arial"/>
          <w:color w:val="000000" w:themeColor="text1"/>
          <w:sz w:val="20"/>
        </w:rPr>
        <w:t xml:space="preserve"> </w:t>
      </w:r>
      <w:r w:rsidR="00D56576" w:rsidRPr="00F90C97">
        <w:rPr>
          <w:rStyle w:val="FootnoteReference"/>
          <w:rFonts w:cs="Arial"/>
          <w:color w:val="000000" w:themeColor="text1"/>
          <w:sz w:val="20"/>
        </w:rPr>
        <w:footnoteReference w:id="395"/>
      </w:r>
      <w:r w:rsidR="00D56576" w:rsidRPr="00F90C97">
        <w:rPr>
          <w:rFonts w:cs="Arial"/>
          <w:color w:val="000000" w:themeColor="text1"/>
          <w:sz w:val="20"/>
        </w:rPr>
        <w:t>[and a half]</w:t>
      </w:r>
      <w:r w:rsidR="00FD1580" w:rsidRPr="00F90C97">
        <w:rPr>
          <w:rFonts w:cs="Arial"/>
          <w:color w:val="000000" w:themeColor="text1"/>
          <w:sz w:val="20"/>
        </w:rPr>
        <w:t xml:space="preserve"> million rupees]</w:t>
      </w:r>
      <w:r w:rsidRPr="00F90C97">
        <w:rPr>
          <w:rFonts w:cs="Arial"/>
          <w:color w:val="000000" w:themeColor="text1"/>
          <w:sz w:val="20"/>
        </w:rPr>
        <w:t>.</w:t>
      </w:r>
    </w:p>
    <w:p w:rsidR="00634DFF" w:rsidRPr="00412620" w:rsidRDefault="00634DFF">
      <w:pPr>
        <w:jc w:val="both"/>
        <w:rPr>
          <w:rFonts w:cs="Arial"/>
          <w:sz w:val="20"/>
        </w:rPr>
      </w:pPr>
    </w:p>
    <w:p w:rsidR="00634DFF" w:rsidRPr="00412620" w:rsidRDefault="00634DFF">
      <w:pPr>
        <w:jc w:val="both"/>
        <w:rPr>
          <w:rFonts w:cs="Arial"/>
          <w:sz w:val="20"/>
        </w:rPr>
      </w:pPr>
      <w:r w:rsidRPr="00412620">
        <w:rPr>
          <w:rFonts w:cs="Arial"/>
          <w:sz w:val="20"/>
        </w:rPr>
        <w:tab/>
        <w:t xml:space="preserve">(3) </w:t>
      </w:r>
      <w:r w:rsidRPr="00412620">
        <w:rPr>
          <w:rFonts w:cs="Arial"/>
          <w:sz w:val="20"/>
        </w:rPr>
        <w:tab/>
        <w:t>Where —</w:t>
      </w:r>
    </w:p>
    <w:p w:rsidR="00634DFF" w:rsidRPr="00412620" w:rsidRDefault="00634DFF">
      <w:pPr>
        <w:jc w:val="both"/>
        <w:rPr>
          <w:rFonts w:cs="Arial"/>
          <w:sz w:val="20"/>
        </w:rPr>
      </w:pPr>
    </w:p>
    <w:p w:rsidR="00634DFF" w:rsidRPr="00412620" w:rsidRDefault="00634DFF" w:rsidP="00634DFF">
      <w:pPr>
        <w:ind w:left="1641" w:hanging="546"/>
        <w:jc w:val="both"/>
        <w:rPr>
          <w:rFonts w:cs="Arial"/>
          <w:sz w:val="20"/>
        </w:rPr>
      </w:pPr>
      <w:r w:rsidRPr="00412620">
        <w:rPr>
          <w:rFonts w:cs="Arial"/>
          <w:sz w:val="20"/>
        </w:rPr>
        <w:t xml:space="preserve">(a) </w:t>
      </w:r>
      <w:r w:rsidRPr="00412620">
        <w:rPr>
          <w:rFonts w:cs="Arial"/>
          <w:sz w:val="20"/>
        </w:rPr>
        <w:tab/>
        <w:t>a person has been allowed a tax credit under sub-section (1) in a tax year in respect of the purchase of a share; and</w:t>
      </w:r>
    </w:p>
    <w:p w:rsidR="00634DFF" w:rsidRPr="00412620" w:rsidRDefault="00634DFF">
      <w:pPr>
        <w:jc w:val="both"/>
        <w:rPr>
          <w:rFonts w:cs="Arial"/>
          <w:sz w:val="20"/>
        </w:rPr>
      </w:pPr>
    </w:p>
    <w:p w:rsidR="00634DFF" w:rsidRDefault="00634DFF" w:rsidP="00634DFF">
      <w:pPr>
        <w:ind w:left="1641" w:hanging="546"/>
        <w:jc w:val="both"/>
        <w:rPr>
          <w:rFonts w:cs="Arial"/>
          <w:sz w:val="20"/>
        </w:rPr>
      </w:pPr>
      <w:r w:rsidRPr="00412620">
        <w:rPr>
          <w:rFonts w:cs="Arial"/>
          <w:sz w:val="20"/>
        </w:rPr>
        <w:lastRenderedPageBreak/>
        <w:t xml:space="preserve">(b) </w:t>
      </w:r>
      <w:r w:rsidRPr="00412620">
        <w:rPr>
          <w:rFonts w:cs="Arial"/>
          <w:sz w:val="20"/>
        </w:rPr>
        <w:tab/>
        <w:t xml:space="preserve">the person has made a disposal of the share within </w:t>
      </w:r>
      <w:r w:rsidR="001C413E" w:rsidRPr="00412620">
        <w:rPr>
          <w:rStyle w:val="FootnoteReference"/>
          <w:rFonts w:cs="Arial"/>
          <w:sz w:val="20"/>
        </w:rPr>
        <w:footnoteReference w:id="396"/>
      </w:r>
      <w:r w:rsidR="001C413E" w:rsidRPr="00412620">
        <w:rPr>
          <w:rFonts w:cs="Arial"/>
          <w:sz w:val="20"/>
        </w:rPr>
        <w:t xml:space="preserve">[twenty-four] </w:t>
      </w:r>
      <w:r w:rsidRPr="00412620">
        <w:rPr>
          <w:rFonts w:cs="Arial"/>
          <w:sz w:val="20"/>
        </w:rPr>
        <w:t>months of the date of acquisition, the amount of tax payable by the person for the tax year in which the shares were disposed of shall be increased by the amount of the credit allowed.]</w:t>
      </w:r>
    </w:p>
    <w:p w:rsidR="00500DAA" w:rsidRDefault="00500DAA" w:rsidP="00634DFF">
      <w:pPr>
        <w:ind w:left="1641" w:hanging="546"/>
        <w:jc w:val="both"/>
        <w:rPr>
          <w:rFonts w:cs="Arial"/>
          <w:sz w:val="20"/>
        </w:rPr>
      </w:pPr>
    </w:p>
    <w:p w:rsidR="00500DAA" w:rsidRPr="00B455DC" w:rsidRDefault="00466207" w:rsidP="00500DAA">
      <w:pPr>
        <w:jc w:val="both"/>
        <w:rPr>
          <w:rFonts w:cs="Arial"/>
          <w:color w:val="0070C0"/>
          <w:sz w:val="20"/>
        </w:rPr>
      </w:pPr>
      <w:r w:rsidRPr="00B455DC">
        <w:rPr>
          <w:rStyle w:val="FootnoteReference"/>
          <w:rFonts w:cs="Arial"/>
          <w:color w:val="0070C0"/>
          <w:sz w:val="20"/>
        </w:rPr>
        <w:footnoteReference w:id="397"/>
      </w:r>
      <w:r w:rsidR="00500DAA" w:rsidRPr="00B455DC">
        <w:rPr>
          <w:rFonts w:cs="Arial"/>
          <w:color w:val="0070C0"/>
          <w:sz w:val="20"/>
        </w:rPr>
        <w:t>[“</w:t>
      </w:r>
      <w:r w:rsidR="00500DAA" w:rsidRPr="00B455DC">
        <w:rPr>
          <w:rFonts w:cs="Arial"/>
          <w:b/>
          <w:color w:val="0070C0"/>
          <w:sz w:val="20"/>
        </w:rPr>
        <w:t>62A. Tax credit for investment in health insurance.</w:t>
      </w:r>
      <w:r w:rsidR="00500DAA" w:rsidRPr="00B455DC">
        <w:rPr>
          <w:rFonts w:cs="Arial"/>
          <w:color w:val="0070C0"/>
          <w:sz w:val="20"/>
        </w:rPr>
        <w:t xml:space="preserve"> — (1) A resident person </w:t>
      </w:r>
      <w:r w:rsidR="00500DAA" w:rsidRPr="00B455DC">
        <w:rPr>
          <w:rFonts w:cs="Arial"/>
          <w:bCs/>
          <w:color w:val="0070C0"/>
          <w:sz w:val="20"/>
        </w:rPr>
        <w:t>being a filer</w:t>
      </w:r>
      <w:r w:rsidR="00500DAA" w:rsidRPr="00B455DC">
        <w:rPr>
          <w:rFonts w:cs="Arial"/>
          <w:color w:val="0070C0"/>
          <w:sz w:val="20"/>
        </w:rPr>
        <w:t xml:space="preserve"> other than a company shall be entitled to a tax credit for a tax year in respect of any health insurance premium or contribution paid to any insurance company registered by the Securities and Exchange Commission of Pakistan under the Insurance Ordinance, 2000 (XXXIX of 2000), provided the resident person </w:t>
      </w:r>
      <w:r w:rsidR="00500DAA" w:rsidRPr="00B455DC">
        <w:rPr>
          <w:rFonts w:cs="Arial"/>
          <w:bCs/>
          <w:color w:val="0070C0"/>
          <w:sz w:val="20"/>
        </w:rPr>
        <w:t>being a filer</w:t>
      </w:r>
      <w:r w:rsidR="00500DAA" w:rsidRPr="00B455DC">
        <w:rPr>
          <w:rFonts w:cs="Arial"/>
          <w:color w:val="0070C0"/>
          <w:sz w:val="20"/>
        </w:rPr>
        <w:t xml:space="preserve"> is deriving income chargeable to tax under the head “salary” or “income from business”.</w:t>
      </w:r>
    </w:p>
    <w:p w:rsidR="00500DAA" w:rsidRPr="00B455DC" w:rsidRDefault="00500DAA" w:rsidP="00500DAA">
      <w:pPr>
        <w:ind w:left="2160"/>
        <w:jc w:val="both"/>
        <w:rPr>
          <w:rFonts w:cs="Arial"/>
          <w:color w:val="0070C0"/>
          <w:sz w:val="20"/>
        </w:rPr>
      </w:pPr>
    </w:p>
    <w:p w:rsidR="00500DAA" w:rsidRPr="00B455DC" w:rsidRDefault="00500DAA" w:rsidP="00500DAA">
      <w:pPr>
        <w:ind w:firstLine="720"/>
        <w:jc w:val="both"/>
        <w:rPr>
          <w:rFonts w:cs="Arial"/>
          <w:color w:val="0070C0"/>
          <w:sz w:val="20"/>
        </w:rPr>
      </w:pPr>
      <w:r w:rsidRPr="00B455DC">
        <w:rPr>
          <w:rFonts w:cs="Arial"/>
          <w:color w:val="0070C0"/>
          <w:sz w:val="20"/>
        </w:rPr>
        <w:t>(2)</w:t>
      </w:r>
      <w:r w:rsidRPr="00B455DC">
        <w:rPr>
          <w:rFonts w:cs="Arial"/>
          <w:color w:val="0070C0"/>
          <w:sz w:val="20"/>
        </w:rPr>
        <w:tab/>
        <w:t>The amount of a person’s tax credit allowed under sub-section (1) for a tax year shall be computed according to the following formula, namely: —</w:t>
      </w:r>
    </w:p>
    <w:p w:rsidR="00500DAA" w:rsidRPr="00B455DC" w:rsidRDefault="00500DAA" w:rsidP="00500DAA">
      <w:pPr>
        <w:ind w:left="2160" w:firstLine="720"/>
        <w:jc w:val="both"/>
        <w:rPr>
          <w:rFonts w:cs="Arial"/>
          <w:color w:val="0070C0"/>
          <w:sz w:val="20"/>
        </w:rPr>
      </w:pPr>
    </w:p>
    <w:p w:rsidR="00500DAA" w:rsidRPr="00B455DC" w:rsidRDefault="00500DAA" w:rsidP="00500DAA">
      <w:pPr>
        <w:ind w:left="2160"/>
        <w:jc w:val="center"/>
        <w:rPr>
          <w:rFonts w:cs="Arial"/>
          <w:color w:val="0070C0"/>
          <w:sz w:val="20"/>
        </w:rPr>
      </w:pPr>
      <w:r w:rsidRPr="00B455DC">
        <w:rPr>
          <w:rFonts w:cs="Arial"/>
          <w:b/>
          <w:color w:val="0070C0"/>
          <w:sz w:val="20"/>
        </w:rPr>
        <w:t>(A/B) x C</w:t>
      </w:r>
    </w:p>
    <w:p w:rsidR="00500DAA" w:rsidRPr="00B455DC" w:rsidRDefault="00500DAA" w:rsidP="00500DAA">
      <w:pPr>
        <w:ind w:left="720"/>
        <w:jc w:val="both"/>
        <w:rPr>
          <w:rFonts w:cs="Arial"/>
          <w:color w:val="0070C0"/>
          <w:sz w:val="20"/>
        </w:rPr>
      </w:pPr>
      <w:r w:rsidRPr="00B455DC">
        <w:rPr>
          <w:rFonts w:cs="Arial"/>
          <w:color w:val="0070C0"/>
          <w:sz w:val="20"/>
        </w:rPr>
        <w:t>where—</w:t>
      </w:r>
    </w:p>
    <w:p w:rsidR="00500DAA" w:rsidRPr="00B455DC" w:rsidRDefault="00500DAA" w:rsidP="00500DAA">
      <w:pPr>
        <w:ind w:left="2160"/>
        <w:jc w:val="both"/>
        <w:rPr>
          <w:rFonts w:cs="Arial"/>
          <w:color w:val="0070C0"/>
          <w:sz w:val="20"/>
        </w:rPr>
      </w:pPr>
    </w:p>
    <w:p w:rsidR="00500DAA" w:rsidRPr="00B455DC" w:rsidRDefault="00500DAA" w:rsidP="00500DAA">
      <w:pPr>
        <w:ind w:left="1260" w:hanging="540"/>
        <w:jc w:val="both"/>
        <w:rPr>
          <w:rFonts w:cs="Arial"/>
          <w:color w:val="0070C0"/>
          <w:sz w:val="20"/>
        </w:rPr>
      </w:pPr>
      <w:r w:rsidRPr="00B455DC">
        <w:rPr>
          <w:rFonts w:cs="Arial"/>
          <w:b/>
          <w:color w:val="0070C0"/>
          <w:sz w:val="20"/>
        </w:rPr>
        <w:t>A</w:t>
      </w:r>
      <w:r w:rsidRPr="00B455DC">
        <w:rPr>
          <w:rFonts w:cs="Arial"/>
          <w:color w:val="0070C0"/>
          <w:sz w:val="20"/>
        </w:rPr>
        <w:tab/>
        <w:t>is the amount of tax assessed to the person for the tax year before allowance of tax credit under this section;</w:t>
      </w:r>
    </w:p>
    <w:p w:rsidR="00500DAA" w:rsidRPr="00B455DC" w:rsidRDefault="00500DAA" w:rsidP="00500DAA">
      <w:pPr>
        <w:ind w:left="3600" w:hanging="720"/>
        <w:jc w:val="both"/>
        <w:rPr>
          <w:rFonts w:cs="Arial"/>
          <w:color w:val="0070C0"/>
          <w:sz w:val="20"/>
        </w:rPr>
      </w:pPr>
    </w:p>
    <w:p w:rsidR="00500DAA" w:rsidRPr="00B455DC" w:rsidRDefault="00500DAA" w:rsidP="00500DAA">
      <w:pPr>
        <w:ind w:left="1260" w:hanging="540"/>
        <w:jc w:val="both"/>
        <w:rPr>
          <w:rFonts w:cs="Arial"/>
          <w:color w:val="0070C0"/>
          <w:sz w:val="20"/>
        </w:rPr>
      </w:pPr>
      <w:r w:rsidRPr="00B455DC">
        <w:rPr>
          <w:rFonts w:cs="Arial"/>
          <w:b/>
          <w:color w:val="0070C0"/>
          <w:sz w:val="20"/>
        </w:rPr>
        <w:t xml:space="preserve">B </w:t>
      </w:r>
      <w:r w:rsidRPr="00B455DC">
        <w:rPr>
          <w:rFonts w:cs="Arial"/>
          <w:b/>
          <w:color w:val="0070C0"/>
          <w:sz w:val="20"/>
        </w:rPr>
        <w:tab/>
      </w:r>
      <w:r w:rsidRPr="00B455DC">
        <w:rPr>
          <w:rFonts w:cs="Arial"/>
          <w:color w:val="0070C0"/>
          <w:sz w:val="20"/>
        </w:rPr>
        <w:t>is the person’s taxable income for the tax year; and</w:t>
      </w:r>
    </w:p>
    <w:p w:rsidR="00500DAA" w:rsidRPr="00B455DC" w:rsidRDefault="00500DAA" w:rsidP="00500DAA">
      <w:pPr>
        <w:ind w:left="3600" w:hanging="720"/>
        <w:jc w:val="both"/>
        <w:rPr>
          <w:rFonts w:cs="Arial"/>
          <w:color w:val="0070C0"/>
          <w:sz w:val="20"/>
        </w:rPr>
      </w:pPr>
    </w:p>
    <w:p w:rsidR="00500DAA" w:rsidRPr="00B455DC" w:rsidRDefault="00500DAA" w:rsidP="00500DAA">
      <w:pPr>
        <w:ind w:left="1260" w:hanging="540"/>
        <w:jc w:val="both"/>
        <w:rPr>
          <w:rFonts w:cs="Arial"/>
          <w:color w:val="0070C0"/>
          <w:sz w:val="20"/>
        </w:rPr>
      </w:pPr>
      <w:r w:rsidRPr="00B455DC">
        <w:rPr>
          <w:rFonts w:cs="Arial"/>
          <w:b/>
          <w:color w:val="0070C0"/>
          <w:sz w:val="20"/>
        </w:rPr>
        <w:t>C</w:t>
      </w:r>
      <w:r w:rsidRPr="00B455DC">
        <w:rPr>
          <w:rFonts w:cs="Arial"/>
          <w:color w:val="0070C0"/>
          <w:sz w:val="20"/>
        </w:rPr>
        <w:tab/>
        <w:t>is the lesser of —</w:t>
      </w:r>
    </w:p>
    <w:p w:rsidR="00554CB8" w:rsidRPr="00B455DC" w:rsidRDefault="00554CB8" w:rsidP="00500DAA">
      <w:pPr>
        <w:ind w:left="1260" w:hanging="540"/>
        <w:jc w:val="both"/>
        <w:rPr>
          <w:rFonts w:cs="Arial"/>
          <w:color w:val="0070C0"/>
          <w:sz w:val="20"/>
        </w:rPr>
      </w:pPr>
    </w:p>
    <w:p w:rsidR="00500DAA" w:rsidRPr="00B455DC" w:rsidRDefault="00500DAA" w:rsidP="00554CB8">
      <w:pPr>
        <w:ind w:left="1800" w:hanging="540"/>
        <w:jc w:val="both"/>
        <w:rPr>
          <w:rFonts w:cs="Arial"/>
          <w:color w:val="0070C0"/>
          <w:sz w:val="20"/>
        </w:rPr>
      </w:pPr>
      <w:r w:rsidRPr="00B455DC">
        <w:rPr>
          <w:rFonts w:cs="Arial"/>
          <w:color w:val="0070C0"/>
          <w:sz w:val="20"/>
        </w:rPr>
        <w:t>(a)</w:t>
      </w:r>
      <w:r w:rsidRPr="00B455DC">
        <w:rPr>
          <w:rFonts w:cs="Arial"/>
          <w:color w:val="0070C0"/>
          <w:sz w:val="20"/>
        </w:rPr>
        <w:tab/>
        <w:t>the total contribution or premium paid by the person referred to in sub-section (1) in the year;</w:t>
      </w:r>
    </w:p>
    <w:p w:rsidR="00554CB8" w:rsidRPr="00B455DC" w:rsidRDefault="00554CB8" w:rsidP="00554CB8">
      <w:pPr>
        <w:ind w:left="1800" w:hanging="540"/>
        <w:jc w:val="both"/>
        <w:rPr>
          <w:rFonts w:cs="Arial"/>
          <w:color w:val="0070C0"/>
          <w:sz w:val="20"/>
        </w:rPr>
      </w:pPr>
    </w:p>
    <w:p w:rsidR="00500DAA" w:rsidRPr="00B455DC" w:rsidRDefault="00500DAA" w:rsidP="00554CB8">
      <w:pPr>
        <w:pStyle w:val="ListParagraph"/>
        <w:numPr>
          <w:ilvl w:val="1"/>
          <w:numId w:val="30"/>
        </w:numPr>
        <w:jc w:val="both"/>
        <w:rPr>
          <w:rFonts w:cs="Arial"/>
          <w:color w:val="0070C0"/>
          <w:sz w:val="20"/>
        </w:rPr>
      </w:pPr>
      <w:r w:rsidRPr="00B455DC">
        <w:rPr>
          <w:rFonts w:cs="Arial"/>
          <w:color w:val="0070C0"/>
          <w:sz w:val="20"/>
        </w:rPr>
        <w:t>five per cent of the person’s taxable income for the year; and</w:t>
      </w:r>
    </w:p>
    <w:p w:rsidR="00554CB8" w:rsidRPr="00B455DC" w:rsidRDefault="00554CB8" w:rsidP="00554CB8">
      <w:pPr>
        <w:pStyle w:val="ListParagraph"/>
        <w:ind w:left="1710"/>
        <w:jc w:val="both"/>
        <w:rPr>
          <w:rFonts w:cs="Arial"/>
          <w:color w:val="0070C0"/>
          <w:sz w:val="20"/>
        </w:rPr>
      </w:pPr>
    </w:p>
    <w:p w:rsidR="00500DAA" w:rsidRPr="00EA02D5" w:rsidRDefault="00500DAA" w:rsidP="00554CB8">
      <w:pPr>
        <w:pStyle w:val="ListParagraph"/>
        <w:numPr>
          <w:ilvl w:val="1"/>
          <w:numId w:val="30"/>
        </w:numPr>
        <w:jc w:val="both"/>
        <w:rPr>
          <w:rFonts w:cs="Arial"/>
          <w:color w:val="FF0066"/>
          <w:sz w:val="20"/>
        </w:rPr>
      </w:pPr>
      <w:r w:rsidRPr="00B455DC">
        <w:rPr>
          <w:rFonts w:cs="Arial"/>
          <w:color w:val="0070C0"/>
          <w:sz w:val="20"/>
        </w:rPr>
        <w:t>one hundred thousand rupees.”]</w:t>
      </w:r>
    </w:p>
    <w:p w:rsidR="003A5831" w:rsidRPr="00412620" w:rsidRDefault="003A5831">
      <w:pPr>
        <w:jc w:val="both"/>
        <w:rPr>
          <w:bCs/>
          <w:sz w:val="20"/>
        </w:rPr>
      </w:pPr>
    </w:p>
    <w:p w:rsidR="006A3F93" w:rsidRPr="00412620" w:rsidRDefault="006A3F93">
      <w:pPr>
        <w:jc w:val="both"/>
        <w:rPr>
          <w:bCs/>
          <w:sz w:val="20"/>
        </w:rPr>
      </w:pPr>
      <w:r w:rsidRPr="00412620">
        <w:rPr>
          <w:rStyle w:val="FootnoteReference"/>
          <w:rFonts w:cs="Arial"/>
          <w:bCs/>
          <w:sz w:val="20"/>
        </w:rPr>
        <w:lastRenderedPageBreak/>
        <w:footnoteReference w:id="398"/>
      </w:r>
      <w:r w:rsidRPr="00412620">
        <w:rPr>
          <w:bCs/>
          <w:sz w:val="20"/>
        </w:rPr>
        <w:t>[</w:t>
      </w:r>
      <w:r w:rsidRPr="00412620">
        <w:rPr>
          <w:b/>
          <w:sz w:val="20"/>
        </w:rPr>
        <w:t xml:space="preserve">63. </w:t>
      </w:r>
      <w:r w:rsidRPr="00412620">
        <w:rPr>
          <w:b/>
          <w:sz w:val="20"/>
        </w:rPr>
        <w:tab/>
        <w:t>Contribution to an Approved Pension Fund.</w:t>
      </w:r>
      <w:r w:rsidR="00C24A24" w:rsidRPr="00412620">
        <w:rPr>
          <w:rFonts w:cs="Arial"/>
          <w:b/>
          <w:sz w:val="20"/>
        </w:rPr>
        <w:t>—</w:t>
      </w:r>
      <w:r w:rsidRPr="00412620">
        <w:rPr>
          <w:bCs/>
          <w:sz w:val="20"/>
        </w:rPr>
        <w:t xml:space="preserve"> (1) An eligible person as defined in sub-section (19A) of section 2 deriving income chargeable to tax under</w:t>
      </w:r>
      <w:r w:rsidR="00D65ED2" w:rsidRPr="00412620">
        <w:rPr>
          <w:bCs/>
          <w:sz w:val="20"/>
        </w:rPr>
        <w:t xml:space="preserve"> t</w:t>
      </w:r>
      <w:r w:rsidRPr="00412620">
        <w:rPr>
          <w:bCs/>
          <w:sz w:val="20"/>
        </w:rPr>
        <w:t xml:space="preserve">he head “Salary” or the head “Income from Business” shall be entitled to a tax credit for a tax year in respect of any contribution or premium paid in the year by the person in approved pension fund under the Voluntary Pension System Rules, 2005. </w:t>
      </w:r>
    </w:p>
    <w:p w:rsidR="006A3F93" w:rsidRPr="00412620" w:rsidRDefault="006A3F93">
      <w:pPr>
        <w:jc w:val="both"/>
        <w:rPr>
          <w:rFonts w:cs="Arial"/>
          <w:bCs/>
          <w:sz w:val="20"/>
        </w:rPr>
      </w:pPr>
    </w:p>
    <w:p w:rsidR="006A3F93" w:rsidRPr="00412620" w:rsidRDefault="006A3F93">
      <w:pPr>
        <w:ind w:firstLine="547"/>
        <w:jc w:val="both"/>
        <w:rPr>
          <w:rFonts w:cs="Arial"/>
          <w:bCs/>
          <w:sz w:val="20"/>
        </w:rPr>
      </w:pPr>
      <w:r w:rsidRPr="00412620">
        <w:rPr>
          <w:rFonts w:cs="Arial"/>
          <w:bCs/>
          <w:sz w:val="20"/>
        </w:rPr>
        <w:t xml:space="preserve">(2) </w:t>
      </w:r>
      <w:r w:rsidRPr="00412620">
        <w:rPr>
          <w:rFonts w:cs="Arial"/>
          <w:bCs/>
          <w:sz w:val="20"/>
        </w:rPr>
        <w:tab/>
        <w:t xml:space="preserve">The amount of a person’s tax credit allowed under sub-section (1) for a tax year shall be computed according to the following formula, namely: </w:t>
      </w:r>
      <w:r w:rsidR="00D66EC5" w:rsidRPr="00412620">
        <w:rPr>
          <w:rFonts w:cs="Arial"/>
          <w:bCs/>
          <w:sz w:val="20"/>
        </w:rPr>
        <w:t>—</w:t>
      </w:r>
    </w:p>
    <w:p w:rsidR="006A3F93" w:rsidRPr="00412620" w:rsidRDefault="006A3F93">
      <w:pPr>
        <w:ind w:firstLine="547"/>
        <w:jc w:val="both"/>
        <w:rPr>
          <w:rFonts w:cs="Arial"/>
          <w:bCs/>
          <w:sz w:val="20"/>
        </w:rPr>
      </w:pPr>
    </w:p>
    <w:p w:rsidR="006A3F93" w:rsidRPr="00412620" w:rsidRDefault="006A3F93">
      <w:pPr>
        <w:keepNext/>
        <w:ind w:firstLine="547"/>
        <w:jc w:val="center"/>
        <w:rPr>
          <w:bCs/>
          <w:sz w:val="20"/>
        </w:rPr>
      </w:pPr>
      <w:r w:rsidRPr="00412620">
        <w:rPr>
          <w:rFonts w:cs="Arial"/>
          <w:b/>
          <w:sz w:val="20"/>
        </w:rPr>
        <w:t>(A/B) x C</w:t>
      </w:r>
    </w:p>
    <w:p w:rsidR="006A3F93" w:rsidRPr="00412620" w:rsidRDefault="006A3F93">
      <w:pPr>
        <w:ind w:firstLine="547"/>
        <w:jc w:val="both"/>
        <w:rPr>
          <w:rFonts w:cs="Arial"/>
          <w:bCs/>
          <w:sz w:val="20"/>
        </w:rPr>
      </w:pPr>
      <w:r w:rsidRPr="00412620">
        <w:rPr>
          <w:rFonts w:cs="Arial"/>
          <w:bCs/>
          <w:sz w:val="20"/>
        </w:rPr>
        <w:t>Where.-</w:t>
      </w:r>
    </w:p>
    <w:p w:rsidR="006A3F93" w:rsidRPr="00412620" w:rsidRDefault="006A3F93">
      <w:pPr>
        <w:ind w:firstLine="547"/>
        <w:jc w:val="both"/>
        <w:rPr>
          <w:rFonts w:cs="Arial"/>
          <w:bCs/>
          <w:sz w:val="20"/>
        </w:rPr>
      </w:pPr>
    </w:p>
    <w:p w:rsidR="006A3F93" w:rsidRPr="00412620" w:rsidRDefault="006A3F93">
      <w:pPr>
        <w:ind w:left="1094" w:hanging="547"/>
        <w:jc w:val="both"/>
        <w:rPr>
          <w:bCs/>
          <w:sz w:val="20"/>
        </w:rPr>
      </w:pPr>
      <w:r w:rsidRPr="00412620">
        <w:rPr>
          <w:rFonts w:cs="Arial"/>
          <w:b/>
          <w:sz w:val="20"/>
        </w:rPr>
        <w:t>A</w:t>
      </w:r>
      <w:r w:rsidRPr="00412620">
        <w:rPr>
          <w:rFonts w:cs="Arial"/>
          <w:b/>
          <w:sz w:val="20"/>
        </w:rPr>
        <w:tab/>
      </w:r>
      <w:r w:rsidRPr="00412620">
        <w:rPr>
          <w:bCs/>
          <w:sz w:val="20"/>
        </w:rPr>
        <w:t>is the amount of tax assessed to the person for the tax year, before allowance of any tax credit under this Part;</w:t>
      </w:r>
    </w:p>
    <w:p w:rsidR="006A3F93" w:rsidRPr="00412620" w:rsidRDefault="006A3F93">
      <w:pPr>
        <w:ind w:firstLine="547"/>
        <w:jc w:val="both"/>
        <w:rPr>
          <w:rFonts w:cs="Arial"/>
          <w:b/>
          <w:sz w:val="20"/>
        </w:rPr>
      </w:pPr>
    </w:p>
    <w:p w:rsidR="006A3F93" w:rsidRPr="00412620" w:rsidRDefault="006A3F93">
      <w:pPr>
        <w:ind w:firstLine="547"/>
        <w:jc w:val="both"/>
        <w:rPr>
          <w:bCs/>
          <w:sz w:val="20"/>
        </w:rPr>
      </w:pPr>
      <w:r w:rsidRPr="00412620">
        <w:rPr>
          <w:rFonts w:cs="Arial"/>
          <w:b/>
          <w:sz w:val="20"/>
        </w:rPr>
        <w:t>B</w:t>
      </w:r>
      <w:r w:rsidRPr="00412620">
        <w:rPr>
          <w:rFonts w:cs="Arial"/>
          <w:b/>
          <w:sz w:val="20"/>
        </w:rPr>
        <w:tab/>
      </w:r>
      <w:r w:rsidRPr="00412620">
        <w:rPr>
          <w:bCs/>
          <w:sz w:val="20"/>
        </w:rPr>
        <w:t>is the person’s taxable income for the tax year; and</w:t>
      </w:r>
    </w:p>
    <w:p w:rsidR="006A3F93" w:rsidRPr="00412620" w:rsidRDefault="006A3F93">
      <w:pPr>
        <w:ind w:firstLine="547"/>
        <w:jc w:val="both"/>
        <w:rPr>
          <w:rFonts w:cs="Arial"/>
          <w:b/>
          <w:sz w:val="20"/>
        </w:rPr>
      </w:pPr>
    </w:p>
    <w:p w:rsidR="006A3F93" w:rsidRPr="00412620" w:rsidRDefault="006A3F93">
      <w:pPr>
        <w:ind w:firstLine="547"/>
        <w:jc w:val="both"/>
        <w:rPr>
          <w:bCs/>
          <w:sz w:val="20"/>
        </w:rPr>
      </w:pPr>
      <w:r w:rsidRPr="00412620">
        <w:rPr>
          <w:rFonts w:cs="Arial"/>
          <w:b/>
          <w:sz w:val="20"/>
        </w:rPr>
        <w:t>C</w:t>
      </w:r>
      <w:r w:rsidRPr="00412620">
        <w:rPr>
          <w:rFonts w:cs="Arial"/>
          <w:b/>
          <w:sz w:val="20"/>
        </w:rPr>
        <w:tab/>
      </w:r>
      <w:r w:rsidRPr="00412620">
        <w:rPr>
          <w:bCs/>
          <w:sz w:val="20"/>
        </w:rPr>
        <w:t xml:space="preserve">is the lesser of </w:t>
      </w:r>
      <w:r w:rsidR="008B6F9B" w:rsidRPr="00412620">
        <w:rPr>
          <w:rFonts w:cs="Arial"/>
          <w:bCs/>
          <w:sz w:val="20"/>
        </w:rPr>
        <w:t>—</w:t>
      </w:r>
    </w:p>
    <w:p w:rsidR="006A3F93" w:rsidRPr="00412620" w:rsidRDefault="006A3F93">
      <w:pPr>
        <w:ind w:firstLine="547"/>
        <w:jc w:val="both"/>
        <w:rPr>
          <w:rFonts w:cs="Arial"/>
          <w:bCs/>
          <w:sz w:val="20"/>
        </w:rPr>
      </w:pPr>
    </w:p>
    <w:p w:rsidR="006A3F93" w:rsidRPr="00412620" w:rsidRDefault="006A3F93" w:rsidP="00082810">
      <w:pPr>
        <w:ind w:left="1641" w:hanging="547"/>
        <w:jc w:val="both"/>
        <w:rPr>
          <w:rFonts w:cs="Arial"/>
          <w:bCs/>
          <w:sz w:val="20"/>
        </w:rPr>
      </w:pPr>
      <w:r w:rsidRPr="00412620">
        <w:rPr>
          <w:rFonts w:cs="Arial"/>
          <w:bCs/>
          <w:sz w:val="20"/>
        </w:rPr>
        <w:t xml:space="preserve"> (i) </w:t>
      </w:r>
      <w:r w:rsidRPr="00412620">
        <w:rPr>
          <w:rFonts w:cs="Arial"/>
          <w:bCs/>
          <w:sz w:val="20"/>
        </w:rPr>
        <w:tab/>
        <w:t>the total contribution or premium referred to in sub-section (1) paid by the person in the year; or</w:t>
      </w:r>
    </w:p>
    <w:p w:rsidR="006A3F93" w:rsidRPr="00412620" w:rsidRDefault="006A3F93">
      <w:pPr>
        <w:ind w:firstLine="547"/>
        <w:jc w:val="both"/>
        <w:rPr>
          <w:rFonts w:cs="Arial"/>
          <w:bCs/>
          <w:sz w:val="18"/>
        </w:rPr>
      </w:pPr>
    </w:p>
    <w:p w:rsidR="00A547CF" w:rsidRPr="00412620" w:rsidRDefault="00A547CF">
      <w:pPr>
        <w:ind w:firstLine="547"/>
        <w:jc w:val="both"/>
        <w:rPr>
          <w:rFonts w:cs="Arial"/>
          <w:bCs/>
          <w:sz w:val="18"/>
        </w:rPr>
      </w:pPr>
    </w:p>
    <w:p w:rsidR="006A3F93" w:rsidRDefault="006A3F93" w:rsidP="00082810">
      <w:pPr>
        <w:ind w:left="1641" w:hanging="547"/>
        <w:jc w:val="both"/>
        <w:rPr>
          <w:rFonts w:cs="Arial"/>
          <w:bCs/>
          <w:sz w:val="20"/>
        </w:rPr>
      </w:pPr>
      <w:r w:rsidRPr="00412620">
        <w:rPr>
          <w:rFonts w:cs="Arial"/>
          <w:bCs/>
          <w:sz w:val="20"/>
        </w:rPr>
        <w:lastRenderedPageBreak/>
        <w:t xml:space="preserve">(ii) </w:t>
      </w:r>
      <w:r w:rsidRPr="00412620">
        <w:rPr>
          <w:rFonts w:cs="Arial"/>
          <w:bCs/>
          <w:sz w:val="20"/>
        </w:rPr>
        <w:tab/>
        <w:t xml:space="preserve">twenty </w:t>
      </w:r>
      <w:r w:rsidR="00AB6F06">
        <w:rPr>
          <w:rFonts w:cs="Arial"/>
          <w:bCs/>
          <w:sz w:val="20"/>
        </w:rPr>
        <w:t>per cent</w:t>
      </w:r>
      <w:r w:rsidRPr="00412620">
        <w:rPr>
          <w:rFonts w:cs="Arial"/>
          <w:bCs/>
          <w:sz w:val="20"/>
        </w:rPr>
        <w:t xml:space="preserve"> of the </w:t>
      </w:r>
      <w:r w:rsidR="00DD3E78" w:rsidRPr="00412620">
        <w:rPr>
          <w:rStyle w:val="FootnoteReference"/>
          <w:rFonts w:cs="Arial"/>
          <w:bCs/>
          <w:sz w:val="20"/>
        </w:rPr>
        <w:footnoteReference w:id="399"/>
      </w:r>
      <w:r w:rsidR="00DD3E78" w:rsidRPr="00412620">
        <w:rPr>
          <w:rFonts w:cs="Arial"/>
          <w:bCs/>
          <w:sz w:val="20"/>
        </w:rPr>
        <w:t xml:space="preserve">[eligible] </w:t>
      </w:r>
      <w:r w:rsidRPr="00412620">
        <w:rPr>
          <w:rFonts w:cs="Arial"/>
          <w:bCs/>
          <w:sz w:val="20"/>
        </w:rPr>
        <w:t xml:space="preserve">person’s taxable income for the relevant tax year; Provided that </w:t>
      </w:r>
      <w:r w:rsidR="00EC25B8" w:rsidRPr="00412620">
        <w:rPr>
          <w:rStyle w:val="FootnoteReference"/>
          <w:rFonts w:cs="Arial"/>
          <w:bCs/>
          <w:sz w:val="20"/>
        </w:rPr>
        <w:footnoteReference w:id="400"/>
      </w:r>
      <w:r w:rsidR="00EC25B8" w:rsidRPr="00412620">
        <w:rPr>
          <w:rFonts w:cs="Arial"/>
          <w:bCs/>
          <w:sz w:val="20"/>
        </w:rPr>
        <w:t xml:space="preserve">[an eligible person] </w:t>
      </w:r>
      <w:r w:rsidRPr="00412620">
        <w:rPr>
          <w:rFonts w:cs="Arial"/>
          <w:bCs/>
          <w:sz w:val="20"/>
        </w:rPr>
        <w:t xml:space="preserve">joining the pension fund at the age of forty-one years or above, during the first ten years </w:t>
      </w:r>
      <w:r w:rsidR="00EC25B8" w:rsidRPr="00412620">
        <w:rPr>
          <w:rStyle w:val="FootnoteReference"/>
          <w:rFonts w:cs="Arial"/>
          <w:bCs/>
          <w:sz w:val="20"/>
        </w:rPr>
        <w:footnoteReference w:id="401"/>
      </w:r>
      <w:r w:rsidR="00EC25B8" w:rsidRPr="00412620">
        <w:rPr>
          <w:rFonts w:cs="Arial"/>
          <w:bCs/>
          <w:sz w:val="20"/>
        </w:rPr>
        <w:t xml:space="preserve">[starting from July1, 2006] </w:t>
      </w:r>
      <w:r w:rsidRPr="00412620">
        <w:rPr>
          <w:rFonts w:cs="Arial"/>
          <w:bCs/>
          <w:sz w:val="20"/>
        </w:rPr>
        <w:t>shall be allowed additional contribution of 2% per annum for each year of age exceeding forty years. Provided further that the total contribution allowed to such person shall not exceed 50% of the total taxable income of the preceding year</w:t>
      </w:r>
      <w:r w:rsidR="00466207">
        <w:rPr>
          <w:rFonts w:cs="Arial"/>
          <w:bCs/>
          <w:sz w:val="20"/>
        </w:rPr>
        <w:t xml:space="preserve"> </w:t>
      </w:r>
      <w:r w:rsidR="003228EB" w:rsidRPr="00412620">
        <w:rPr>
          <w:rStyle w:val="FootnoteReference"/>
          <w:rFonts w:cs="Arial"/>
          <w:bCs/>
          <w:sz w:val="20"/>
        </w:rPr>
        <w:footnoteReference w:id="402"/>
      </w:r>
      <w:r w:rsidR="003228EB" w:rsidRPr="00412620">
        <w:rPr>
          <w:rFonts w:cs="Arial"/>
          <w:bCs/>
          <w:sz w:val="20"/>
        </w:rPr>
        <w:t>[</w:t>
      </w:r>
      <w:r w:rsidR="00466207">
        <w:rPr>
          <w:rFonts w:cs="Arial"/>
          <w:bCs/>
          <w:sz w:val="20"/>
        </w:rPr>
        <w:t xml:space="preserve"> </w:t>
      </w:r>
      <w:r w:rsidR="00466207" w:rsidRPr="002E247F">
        <w:rPr>
          <w:rStyle w:val="FootnoteReference"/>
          <w:rFonts w:cs="Arial"/>
          <w:bCs/>
          <w:color w:val="000000" w:themeColor="text1"/>
          <w:sz w:val="20"/>
        </w:rPr>
        <w:footnoteReference w:id="403"/>
      </w:r>
      <w:r w:rsidR="00466207" w:rsidRPr="002E247F">
        <w:rPr>
          <w:rFonts w:cs="Arial"/>
          <w:bCs/>
          <w:color w:val="000000" w:themeColor="text1"/>
          <w:sz w:val="20"/>
        </w:rPr>
        <w:t>[:]</w:t>
      </w:r>
      <w:r w:rsidR="00466207">
        <w:rPr>
          <w:rFonts w:cs="Arial"/>
          <w:bCs/>
          <w:sz w:val="20"/>
        </w:rPr>
        <w:t xml:space="preserve"> </w:t>
      </w:r>
      <w:r w:rsidR="003228EB" w:rsidRPr="00412620">
        <w:rPr>
          <w:rFonts w:cs="Arial"/>
          <w:bCs/>
          <w:sz w:val="20"/>
        </w:rPr>
        <w:t>]</w:t>
      </w:r>
      <w:r w:rsidR="00C80EA1" w:rsidRPr="00412620">
        <w:rPr>
          <w:rFonts w:cs="Arial"/>
          <w:bCs/>
          <w:sz w:val="20"/>
        </w:rPr>
        <w:t xml:space="preserve"> ]</w:t>
      </w:r>
    </w:p>
    <w:p w:rsidR="00913EC7" w:rsidRDefault="00913EC7" w:rsidP="00082810">
      <w:pPr>
        <w:ind w:left="1641" w:hanging="547"/>
        <w:jc w:val="both"/>
        <w:rPr>
          <w:rFonts w:cs="Arial"/>
          <w:bCs/>
          <w:sz w:val="20"/>
        </w:rPr>
      </w:pPr>
    </w:p>
    <w:p w:rsidR="00913EC7" w:rsidRPr="00B455DC" w:rsidRDefault="008005BA" w:rsidP="00082810">
      <w:pPr>
        <w:ind w:left="1641" w:hanging="547"/>
        <w:jc w:val="both"/>
        <w:rPr>
          <w:rFonts w:cs="Arial"/>
          <w:bCs/>
          <w:color w:val="0070C0"/>
          <w:sz w:val="20"/>
        </w:rPr>
      </w:pPr>
      <w:r>
        <w:rPr>
          <w:rFonts w:cs="Arial"/>
          <w:bCs/>
          <w:sz w:val="20"/>
        </w:rPr>
        <w:tab/>
      </w:r>
      <w:r>
        <w:rPr>
          <w:rFonts w:cs="Arial"/>
          <w:bCs/>
          <w:sz w:val="20"/>
        </w:rPr>
        <w:tab/>
      </w:r>
      <w:r w:rsidRPr="00B455DC">
        <w:rPr>
          <w:rStyle w:val="FootnoteReference"/>
          <w:rFonts w:cs="Arial"/>
          <w:bCs/>
          <w:color w:val="0070C0"/>
          <w:sz w:val="20"/>
        </w:rPr>
        <w:footnoteReference w:id="404"/>
      </w:r>
      <w:r w:rsidRPr="00B455DC">
        <w:rPr>
          <w:rFonts w:cs="Arial"/>
          <w:color w:val="0070C0"/>
          <w:sz w:val="20"/>
        </w:rPr>
        <w:t>[“</w:t>
      </w:r>
      <w:r w:rsidRPr="00B455DC">
        <w:rPr>
          <w:rFonts w:cs="Arial"/>
          <w:bCs/>
          <w:color w:val="0070C0"/>
          <w:sz w:val="20"/>
        </w:rPr>
        <w:t>Provided also that the additional contribution of two percent per annum for each year of age exceeding forty years shall be allowed upto the 30</w:t>
      </w:r>
      <w:r w:rsidRPr="00B455DC">
        <w:rPr>
          <w:rFonts w:cs="Arial"/>
          <w:bCs/>
          <w:color w:val="0070C0"/>
          <w:sz w:val="20"/>
          <w:vertAlign w:val="superscript"/>
        </w:rPr>
        <w:t>th</w:t>
      </w:r>
      <w:r w:rsidRPr="00B455DC">
        <w:rPr>
          <w:rFonts w:cs="Arial"/>
          <w:bCs/>
          <w:color w:val="0070C0"/>
          <w:sz w:val="20"/>
        </w:rPr>
        <w:t xml:space="preserve"> June, 2019 subject to the condition that the total contribution allowed to such person shall not exceed thirty percent of the total taxable income of the preceding year.”]</w:t>
      </w:r>
    </w:p>
    <w:p w:rsidR="006A3F93" w:rsidRPr="00412620" w:rsidRDefault="006A3F93">
      <w:pPr>
        <w:ind w:firstLine="547"/>
        <w:jc w:val="both"/>
        <w:rPr>
          <w:rFonts w:cs="Arial"/>
          <w:bCs/>
          <w:sz w:val="20"/>
        </w:rPr>
      </w:pPr>
    </w:p>
    <w:p w:rsidR="00C80EA1" w:rsidRPr="00412620" w:rsidRDefault="00C80EA1">
      <w:pPr>
        <w:ind w:firstLine="547"/>
        <w:jc w:val="both"/>
        <w:rPr>
          <w:rFonts w:cs="Arial"/>
          <w:bCs/>
          <w:sz w:val="20"/>
        </w:rPr>
      </w:pPr>
      <w:r w:rsidRPr="00412620">
        <w:rPr>
          <w:rFonts w:cs="Arial"/>
          <w:bCs/>
          <w:sz w:val="20"/>
        </w:rPr>
        <w:tab/>
      </w:r>
      <w:r w:rsidRPr="00412620">
        <w:rPr>
          <w:rStyle w:val="FootnoteReference"/>
          <w:rFonts w:cs="Arial"/>
          <w:bCs/>
          <w:sz w:val="20"/>
        </w:rPr>
        <w:footnoteReference w:id="405"/>
      </w:r>
      <w:r w:rsidRPr="00412620">
        <w:rPr>
          <w:rFonts w:cs="Arial"/>
          <w:bCs/>
          <w:sz w:val="20"/>
        </w:rPr>
        <w:t>[  ]</w:t>
      </w:r>
    </w:p>
    <w:p w:rsidR="00C80EA1" w:rsidRPr="00412620" w:rsidRDefault="00C80EA1">
      <w:pPr>
        <w:ind w:firstLine="547"/>
        <w:jc w:val="both"/>
        <w:rPr>
          <w:rFonts w:cs="Arial"/>
          <w:bCs/>
          <w:sz w:val="20"/>
        </w:rPr>
      </w:pPr>
    </w:p>
    <w:p w:rsidR="006A3F93" w:rsidRPr="00412620" w:rsidRDefault="006A3F93">
      <w:pPr>
        <w:jc w:val="both"/>
        <w:rPr>
          <w:rFonts w:cs="Arial"/>
          <w:b/>
          <w:sz w:val="20"/>
        </w:rPr>
      </w:pPr>
    </w:p>
    <w:p w:rsidR="008957C1" w:rsidRPr="00412620" w:rsidRDefault="008957C1">
      <w:pPr>
        <w:jc w:val="both"/>
        <w:rPr>
          <w:rFonts w:cs="Arial"/>
          <w:sz w:val="20"/>
        </w:rPr>
      </w:pPr>
      <w:r w:rsidRPr="00412620">
        <w:rPr>
          <w:rFonts w:cs="Arial"/>
          <w:sz w:val="20"/>
        </w:rPr>
        <w:tab/>
      </w:r>
      <w:r w:rsidRPr="00412620">
        <w:rPr>
          <w:rStyle w:val="FootnoteReference"/>
          <w:rFonts w:cs="Arial"/>
          <w:sz w:val="20"/>
        </w:rPr>
        <w:footnoteReference w:id="406"/>
      </w:r>
      <w:r w:rsidRPr="00412620">
        <w:rPr>
          <w:rFonts w:cs="Arial"/>
          <w:sz w:val="20"/>
        </w:rPr>
        <w:t xml:space="preserve">[(3) </w:t>
      </w:r>
      <w:r w:rsidRPr="00412620">
        <w:rPr>
          <w:rFonts w:cs="Arial"/>
          <w:sz w:val="20"/>
        </w:rPr>
        <w:tab/>
        <w:t>The transfer by the members of approved employment pension or annuity scheme or approved occupational saving scheme of their existing balance to their individual pension accounts maintained with one or more pension fund managers shall not quali</w:t>
      </w:r>
      <w:r w:rsidR="00E57891" w:rsidRPr="00412620">
        <w:rPr>
          <w:rFonts w:cs="Arial"/>
          <w:sz w:val="20"/>
        </w:rPr>
        <w:t>f</w:t>
      </w:r>
      <w:r w:rsidRPr="00412620">
        <w:rPr>
          <w:rFonts w:cs="Arial"/>
          <w:sz w:val="20"/>
        </w:rPr>
        <w:t>y for tax credit under this section.]</w:t>
      </w:r>
    </w:p>
    <w:p w:rsidR="008957C1" w:rsidRPr="00412620" w:rsidRDefault="008957C1">
      <w:pPr>
        <w:jc w:val="both"/>
        <w:rPr>
          <w:rFonts w:cs="Arial"/>
          <w:b/>
          <w:sz w:val="20"/>
        </w:rPr>
      </w:pPr>
    </w:p>
    <w:p w:rsidR="00B951BF" w:rsidRPr="002E247F" w:rsidRDefault="0075086A">
      <w:pPr>
        <w:jc w:val="both"/>
        <w:rPr>
          <w:rFonts w:cs="Arial"/>
          <w:color w:val="000000" w:themeColor="text1"/>
          <w:sz w:val="20"/>
        </w:rPr>
      </w:pPr>
      <w:r>
        <w:rPr>
          <w:rFonts w:cs="Arial"/>
          <w:sz w:val="20"/>
        </w:rPr>
        <w:tab/>
      </w:r>
      <w:r w:rsidRPr="002E247F">
        <w:rPr>
          <w:rStyle w:val="FootnoteReference"/>
          <w:rFonts w:cs="Arial"/>
          <w:color w:val="000000" w:themeColor="text1"/>
          <w:sz w:val="20"/>
        </w:rPr>
        <w:footnoteReference w:id="407"/>
      </w:r>
      <w:r w:rsidRPr="002E247F">
        <w:rPr>
          <w:rFonts w:cs="Arial"/>
          <w:color w:val="000000" w:themeColor="text1"/>
          <w:sz w:val="20"/>
        </w:rPr>
        <w:t>[  ]</w:t>
      </w:r>
    </w:p>
    <w:p w:rsidR="0075086A" w:rsidRDefault="0075086A">
      <w:pPr>
        <w:jc w:val="both"/>
        <w:rPr>
          <w:rFonts w:cs="Arial"/>
          <w:sz w:val="20"/>
        </w:rPr>
      </w:pPr>
    </w:p>
    <w:p w:rsidR="00B951BF" w:rsidRPr="002E247F" w:rsidRDefault="00233970" w:rsidP="00B951BF">
      <w:pPr>
        <w:autoSpaceDE w:val="0"/>
        <w:autoSpaceDN w:val="0"/>
        <w:adjustRightInd w:val="0"/>
        <w:jc w:val="both"/>
        <w:rPr>
          <w:rFonts w:cs="Arial"/>
          <w:color w:val="000000" w:themeColor="text1"/>
          <w:sz w:val="20"/>
          <w:lang w:val="en-US"/>
        </w:rPr>
      </w:pPr>
      <w:r w:rsidRPr="002E247F">
        <w:rPr>
          <w:rStyle w:val="FootnoteReference"/>
          <w:rFonts w:cs="Arial"/>
          <w:b/>
          <w:bCs/>
          <w:color w:val="000000" w:themeColor="text1"/>
          <w:sz w:val="20"/>
          <w:lang w:val="en-US"/>
        </w:rPr>
        <w:footnoteReference w:id="408"/>
      </w:r>
      <w:r w:rsidR="00B951BF" w:rsidRPr="002E247F">
        <w:rPr>
          <w:rFonts w:cs="Arial"/>
          <w:b/>
          <w:bCs/>
          <w:color w:val="000000" w:themeColor="text1"/>
          <w:sz w:val="20"/>
          <w:lang w:val="en-US"/>
        </w:rPr>
        <w:t>[64A. Deductible allowance for profit on debt.</w:t>
      </w:r>
      <w:r w:rsidR="00B951BF" w:rsidRPr="002E247F">
        <w:rPr>
          <w:rFonts w:cs="Arial"/>
          <w:color w:val="000000" w:themeColor="text1"/>
          <w:sz w:val="20"/>
          <w:lang w:val="en-US"/>
        </w:rPr>
        <w:t>— (1) Every individual shall be entitled to a deductible allowance for the amount of any profit or share in rent and share in appreciation for value of house paid by the individual in a tax year on a loan by a scheduled bank or non-banking finance institution regulated by the Securities and Exchange Commission of Pakistan or advanced by Government or the Local Government, Provincial Government or a statutory body or a public company listed on a registered stock exchange in Pakistan where the individual utilizes the loan for the construction of a new house or the acquisition of a house.</w:t>
      </w:r>
    </w:p>
    <w:p w:rsidR="00B951BF" w:rsidRPr="002E247F" w:rsidRDefault="00B951BF" w:rsidP="00B951BF">
      <w:pPr>
        <w:autoSpaceDE w:val="0"/>
        <w:autoSpaceDN w:val="0"/>
        <w:adjustRightInd w:val="0"/>
        <w:jc w:val="both"/>
        <w:rPr>
          <w:rFonts w:cs="Arial"/>
          <w:color w:val="000000" w:themeColor="text1"/>
          <w:sz w:val="20"/>
          <w:lang w:val="en-US"/>
        </w:rPr>
      </w:pPr>
    </w:p>
    <w:p w:rsidR="00B951BF" w:rsidRPr="00233970" w:rsidRDefault="00B951BF" w:rsidP="00B951BF">
      <w:pPr>
        <w:autoSpaceDE w:val="0"/>
        <w:autoSpaceDN w:val="0"/>
        <w:adjustRightInd w:val="0"/>
        <w:ind w:firstLine="547"/>
        <w:jc w:val="both"/>
        <w:rPr>
          <w:rFonts w:cs="Arial"/>
          <w:color w:val="984806" w:themeColor="accent6" w:themeShade="80"/>
          <w:sz w:val="20"/>
          <w:lang w:val="en-US"/>
        </w:rPr>
      </w:pPr>
      <w:r w:rsidRPr="002E247F">
        <w:rPr>
          <w:rFonts w:cs="Arial"/>
          <w:color w:val="000000" w:themeColor="text1"/>
          <w:sz w:val="20"/>
          <w:lang w:val="en-US"/>
        </w:rPr>
        <w:t>(2) The amount of an individual‘s deductible allowance allowed under sub-section (1) for a tax year shall not exceed fifty percent of taxable income or</w:t>
      </w:r>
      <w:r w:rsidRPr="00233970">
        <w:rPr>
          <w:rFonts w:cs="Arial"/>
          <w:color w:val="984806" w:themeColor="accent6" w:themeShade="80"/>
          <w:sz w:val="20"/>
          <w:lang w:val="en-US"/>
        </w:rPr>
        <w:t xml:space="preserve"> </w:t>
      </w:r>
      <w:r w:rsidR="008005BA" w:rsidRPr="00B455DC">
        <w:rPr>
          <w:rStyle w:val="FootnoteReference"/>
          <w:rFonts w:cs="Arial"/>
          <w:color w:val="0070C0"/>
          <w:sz w:val="20"/>
          <w:lang w:val="en-US"/>
        </w:rPr>
        <w:footnoteReference w:id="409"/>
      </w:r>
      <w:r w:rsidR="008005BA" w:rsidRPr="00B455DC">
        <w:rPr>
          <w:rFonts w:cs="Arial"/>
          <w:color w:val="0070C0"/>
          <w:sz w:val="20"/>
          <w:lang w:val="en-US"/>
        </w:rPr>
        <w:t>[“two”]</w:t>
      </w:r>
      <w:r w:rsidRPr="00233970">
        <w:rPr>
          <w:rFonts w:cs="Arial"/>
          <w:color w:val="984806" w:themeColor="accent6" w:themeShade="80"/>
          <w:sz w:val="20"/>
          <w:lang w:val="en-US"/>
        </w:rPr>
        <w:t xml:space="preserve"> </w:t>
      </w:r>
      <w:r w:rsidRPr="002E247F">
        <w:rPr>
          <w:rFonts w:cs="Arial"/>
          <w:color w:val="000000" w:themeColor="text1"/>
          <w:sz w:val="20"/>
          <w:lang w:val="en-US"/>
        </w:rPr>
        <w:t>million rupees, whichever is lower.</w:t>
      </w:r>
    </w:p>
    <w:p w:rsidR="00B951BF" w:rsidRPr="00B951BF" w:rsidRDefault="00B951BF" w:rsidP="00B951BF">
      <w:pPr>
        <w:autoSpaceDE w:val="0"/>
        <w:autoSpaceDN w:val="0"/>
        <w:adjustRightInd w:val="0"/>
        <w:jc w:val="both"/>
        <w:rPr>
          <w:rFonts w:cs="Arial"/>
          <w:sz w:val="20"/>
          <w:lang w:val="en-US"/>
        </w:rPr>
      </w:pPr>
    </w:p>
    <w:p w:rsidR="00B951BF" w:rsidRPr="002E247F" w:rsidRDefault="00B951BF" w:rsidP="00B951BF">
      <w:pPr>
        <w:autoSpaceDE w:val="0"/>
        <w:autoSpaceDN w:val="0"/>
        <w:adjustRightInd w:val="0"/>
        <w:ind w:firstLine="547"/>
        <w:jc w:val="both"/>
        <w:rPr>
          <w:rFonts w:cs="Arial"/>
          <w:color w:val="000000" w:themeColor="text1"/>
          <w:sz w:val="20"/>
          <w:lang w:val="en-US"/>
        </w:rPr>
      </w:pPr>
      <w:r w:rsidRPr="002E247F">
        <w:rPr>
          <w:rFonts w:cs="Arial"/>
          <w:color w:val="000000" w:themeColor="text1"/>
          <w:sz w:val="20"/>
          <w:lang w:val="en-US"/>
        </w:rPr>
        <w:t>(3) Any allowance or part of an allowance under this section for a tax year that is not able to be deducted for the year shall not be carried forward to a subsequent tax year.</w:t>
      </w:r>
      <w:r w:rsidR="00A70078" w:rsidRPr="002E247F">
        <w:rPr>
          <w:rFonts w:cs="Arial"/>
          <w:color w:val="000000" w:themeColor="text1"/>
          <w:sz w:val="20"/>
          <w:lang w:val="en-US"/>
        </w:rPr>
        <w:t>]</w:t>
      </w:r>
    </w:p>
    <w:p w:rsidR="00B951BF" w:rsidRDefault="00B951BF" w:rsidP="00B951BF">
      <w:pPr>
        <w:autoSpaceDE w:val="0"/>
        <w:autoSpaceDN w:val="0"/>
        <w:adjustRightInd w:val="0"/>
        <w:jc w:val="both"/>
        <w:rPr>
          <w:rFonts w:cs="Arial"/>
          <w:color w:val="984806" w:themeColor="accent6" w:themeShade="80"/>
          <w:sz w:val="20"/>
          <w:lang w:val="en-US"/>
        </w:rPr>
      </w:pPr>
    </w:p>
    <w:p w:rsidR="00543B67" w:rsidRPr="00B455DC" w:rsidRDefault="00543B67" w:rsidP="00543B67">
      <w:pPr>
        <w:autoSpaceDE w:val="0"/>
        <w:autoSpaceDN w:val="0"/>
        <w:adjustRightInd w:val="0"/>
        <w:jc w:val="both"/>
        <w:rPr>
          <w:rFonts w:cs="Arial"/>
          <w:color w:val="0070C0"/>
          <w:sz w:val="20"/>
        </w:rPr>
      </w:pPr>
      <w:r w:rsidRPr="00B455DC">
        <w:rPr>
          <w:rStyle w:val="FootnoteReference"/>
          <w:rFonts w:cs="Arial"/>
          <w:b/>
          <w:bCs/>
          <w:color w:val="0070C0"/>
          <w:sz w:val="20"/>
        </w:rPr>
        <w:footnoteReference w:id="410"/>
      </w:r>
      <w:r w:rsidRPr="00B455DC">
        <w:rPr>
          <w:rFonts w:cs="Arial"/>
          <w:b/>
          <w:bCs/>
          <w:color w:val="0070C0"/>
          <w:sz w:val="20"/>
        </w:rPr>
        <w:t>[“64AB. Deductible allowance for education expenses.</w:t>
      </w:r>
      <w:r w:rsidRPr="00B455DC">
        <w:rPr>
          <w:rFonts w:cs="Arial"/>
          <w:color w:val="0070C0"/>
          <w:sz w:val="20"/>
        </w:rPr>
        <w:t>— (1) Every individual shall be entitled to a deductible allowance in respect of tuition fee paid by the individual in a tax year provided that the taxable income of the individual is less than one million rupees.</w:t>
      </w:r>
    </w:p>
    <w:p w:rsidR="00543B67" w:rsidRPr="00B455DC" w:rsidRDefault="00543B67" w:rsidP="00543B67">
      <w:pPr>
        <w:autoSpaceDE w:val="0"/>
        <w:autoSpaceDN w:val="0"/>
        <w:adjustRightInd w:val="0"/>
        <w:jc w:val="both"/>
        <w:rPr>
          <w:rFonts w:cs="Arial"/>
          <w:color w:val="0070C0"/>
          <w:sz w:val="20"/>
        </w:rPr>
      </w:pPr>
    </w:p>
    <w:p w:rsidR="00543B67" w:rsidRPr="00B455DC" w:rsidRDefault="00543B67" w:rsidP="00543B67">
      <w:pPr>
        <w:autoSpaceDE w:val="0"/>
        <w:autoSpaceDN w:val="0"/>
        <w:adjustRightInd w:val="0"/>
        <w:ind w:firstLine="540"/>
        <w:jc w:val="both"/>
        <w:rPr>
          <w:rFonts w:cs="Arial"/>
          <w:color w:val="0070C0"/>
          <w:sz w:val="20"/>
        </w:rPr>
      </w:pPr>
      <w:r w:rsidRPr="00B455DC">
        <w:rPr>
          <w:rFonts w:cs="Arial"/>
          <w:color w:val="0070C0"/>
          <w:sz w:val="20"/>
        </w:rPr>
        <w:t>(2)</w:t>
      </w:r>
      <w:r w:rsidRPr="00B455DC">
        <w:rPr>
          <w:rFonts w:cs="Arial"/>
          <w:color w:val="0070C0"/>
          <w:sz w:val="20"/>
        </w:rPr>
        <w:tab/>
        <w:t>The amount of an individual‘s deductible allowance allowed under sub-section (1) for a tax year shall not exceed  the lesser of —</w:t>
      </w:r>
    </w:p>
    <w:p w:rsidR="00543B67" w:rsidRPr="00B455DC" w:rsidRDefault="00543B67" w:rsidP="00543B67">
      <w:pPr>
        <w:autoSpaceDE w:val="0"/>
        <w:autoSpaceDN w:val="0"/>
        <w:adjustRightInd w:val="0"/>
        <w:ind w:firstLine="540"/>
        <w:jc w:val="both"/>
        <w:rPr>
          <w:rFonts w:cs="Arial"/>
          <w:color w:val="0070C0"/>
          <w:sz w:val="20"/>
        </w:rPr>
      </w:pPr>
    </w:p>
    <w:p w:rsidR="00543B67" w:rsidRPr="00B455DC" w:rsidRDefault="00543B67" w:rsidP="00543B67">
      <w:pPr>
        <w:autoSpaceDE w:val="0"/>
        <w:autoSpaceDN w:val="0"/>
        <w:adjustRightInd w:val="0"/>
        <w:ind w:left="1080" w:hanging="540"/>
        <w:jc w:val="both"/>
        <w:rPr>
          <w:rFonts w:cs="Arial"/>
          <w:color w:val="0070C0"/>
          <w:sz w:val="20"/>
        </w:rPr>
      </w:pPr>
      <w:r w:rsidRPr="00B455DC">
        <w:rPr>
          <w:rFonts w:cs="Arial"/>
          <w:color w:val="0070C0"/>
          <w:sz w:val="20"/>
        </w:rPr>
        <w:t>(a)</w:t>
      </w:r>
      <w:r w:rsidRPr="00B455DC">
        <w:rPr>
          <w:rFonts w:cs="Arial"/>
          <w:color w:val="0070C0"/>
          <w:sz w:val="20"/>
        </w:rPr>
        <w:tab/>
        <w:t>five per cent of the total tuition fee paid by the individual referred to in sub-section (1) in the year;</w:t>
      </w:r>
    </w:p>
    <w:p w:rsidR="00543B67" w:rsidRPr="00B455DC" w:rsidRDefault="00543B67" w:rsidP="00543B67">
      <w:pPr>
        <w:autoSpaceDE w:val="0"/>
        <w:autoSpaceDN w:val="0"/>
        <w:adjustRightInd w:val="0"/>
        <w:ind w:left="1080" w:hanging="540"/>
        <w:jc w:val="both"/>
        <w:rPr>
          <w:rFonts w:cs="Arial"/>
          <w:color w:val="0070C0"/>
          <w:sz w:val="20"/>
        </w:rPr>
      </w:pPr>
    </w:p>
    <w:p w:rsidR="00543B67" w:rsidRPr="00B455DC" w:rsidRDefault="00543B67" w:rsidP="00543B67">
      <w:pPr>
        <w:autoSpaceDE w:val="0"/>
        <w:autoSpaceDN w:val="0"/>
        <w:adjustRightInd w:val="0"/>
        <w:ind w:left="1080" w:hanging="540"/>
        <w:jc w:val="both"/>
        <w:rPr>
          <w:rFonts w:cs="Arial"/>
          <w:color w:val="0070C0"/>
          <w:sz w:val="20"/>
        </w:rPr>
      </w:pPr>
      <w:r w:rsidRPr="00B455DC">
        <w:rPr>
          <w:rFonts w:cs="Arial"/>
          <w:color w:val="0070C0"/>
          <w:sz w:val="20"/>
        </w:rPr>
        <w:t>(b)</w:t>
      </w:r>
      <w:r w:rsidRPr="00B455DC">
        <w:rPr>
          <w:rFonts w:cs="Arial"/>
          <w:color w:val="0070C0"/>
          <w:sz w:val="20"/>
        </w:rPr>
        <w:tab/>
        <w:t>twenty-five per cent of the person’s taxable income for the year; and</w:t>
      </w:r>
    </w:p>
    <w:p w:rsidR="00543B67" w:rsidRPr="00B455DC" w:rsidRDefault="00543B67" w:rsidP="00543B67">
      <w:pPr>
        <w:autoSpaceDE w:val="0"/>
        <w:autoSpaceDN w:val="0"/>
        <w:adjustRightInd w:val="0"/>
        <w:ind w:left="1080" w:hanging="540"/>
        <w:jc w:val="both"/>
        <w:rPr>
          <w:rFonts w:cs="Arial"/>
          <w:color w:val="0070C0"/>
          <w:sz w:val="20"/>
        </w:rPr>
      </w:pPr>
    </w:p>
    <w:p w:rsidR="00543B67" w:rsidRPr="00EA02D5" w:rsidRDefault="00543B67" w:rsidP="00543B67">
      <w:pPr>
        <w:autoSpaceDE w:val="0"/>
        <w:autoSpaceDN w:val="0"/>
        <w:adjustRightInd w:val="0"/>
        <w:ind w:left="1080" w:hanging="540"/>
        <w:jc w:val="both"/>
        <w:rPr>
          <w:rFonts w:cs="Arial"/>
          <w:color w:val="FF0066"/>
          <w:sz w:val="20"/>
        </w:rPr>
      </w:pPr>
      <w:r w:rsidRPr="00B455DC">
        <w:rPr>
          <w:rFonts w:cs="Arial"/>
          <w:color w:val="0070C0"/>
          <w:sz w:val="20"/>
        </w:rPr>
        <w:t>(c)</w:t>
      </w:r>
      <w:r w:rsidRPr="00B455DC">
        <w:rPr>
          <w:rFonts w:cs="Arial"/>
          <w:color w:val="0070C0"/>
          <w:sz w:val="20"/>
        </w:rPr>
        <w:tab/>
        <w:t xml:space="preserve">an amount computed by multiplying sixty thousand with number of children of the individual. </w:t>
      </w:r>
    </w:p>
    <w:p w:rsidR="00543B67" w:rsidRPr="00EA02D5" w:rsidRDefault="00543B67" w:rsidP="00543B67">
      <w:pPr>
        <w:autoSpaceDE w:val="0"/>
        <w:autoSpaceDN w:val="0"/>
        <w:adjustRightInd w:val="0"/>
        <w:ind w:left="1080" w:hanging="540"/>
        <w:jc w:val="both"/>
        <w:rPr>
          <w:rFonts w:cs="Arial"/>
          <w:color w:val="FF0066"/>
          <w:sz w:val="20"/>
        </w:rPr>
      </w:pPr>
    </w:p>
    <w:p w:rsidR="00543B67" w:rsidRPr="00B455DC" w:rsidRDefault="00543B67" w:rsidP="00543B67">
      <w:pPr>
        <w:pStyle w:val="ListParagraph"/>
        <w:ind w:left="0" w:firstLine="540"/>
        <w:jc w:val="both"/>
        <w:rPr>
          <w:rFonts w:cs="Arial"/>
          <w:color w:val="0070C0"/>
          <w:sz w:val="20"/>
        </w:rPr>
      </w:pPr>
      <w:r w:rsidRPr="00B455DC">
        <w:rPr>
          <w:rFonts w:cs="Arial"/>
          <w:color w:val="0070C0"/>
          <w:sz w:val="20"/>
        </w:rPr>
        <w:lastRenderedPageBreak/>
        <w:t>(3)</w:t>
      </w:r>
      <w:r w:rsidRPr="00B455DC">
        <w:rPr>
          <w:rFonts w:cs="Arial"/>
          <w:color w:val="0070C0"/>
          <w:sz w:val="20"/>
        </w:rPr>
        <w:tab/>
        <w:t>Any allowance or part of an allowance under this section for a tax year that is not able to be deducted for the year shall not be carried forward to a subsequent tax year.</w:t>
      </w:r>
    </w:p>
    <w:p w:rsidR="00543B67" w:rsidRPr="00B455DC" w:rsidRDefault="00543B67" w:rsidP="00543B67">
      <w:pPr>
        <w:pStyle w:val="ListParagraph"/>
        <w:ind w:left="0" w:firstLine="540"/>
        <w:jc w:val="both"/>
        <w:rPr>
          <w:rFonts w:cs="Arial"/>
          <w:color w:val="0070C0"/>
          <w:sz w:val="20"/>
        </w:rPr>
      </w:pPr>
    </w:p>
    <w:p w:rsidR="00543B67" w:rsidRPr="00B455DC" w:rsidRDefault="00543B67" w:rsidP="00543B67">
      <w:pPr>
        <w:pStyle w:val="ListParagraph"/>
        <w:ind w:left="0" w:firstLine="540"/>
        <w:jc w:val="both"/>
        <w:rPr>
          <w:rFonts w:cs="Arial"/>
          <w:color w:val="0070C0"/>
          <w:sz w:val="20"/>
        </w:rPr>
      </w:pPr>
      <w:r w:rsidRPr="00B455DC">
        <w:rPr>
          <w:rFonts w:cs="Arial"/>
          <w:color w:val="0070C0"/>
          <w:sz w:val="20"/>
        </w:rPr>
        <w:t>(4)</w:t>
      </w:r>
      <w:r w:rsidRPr="00B455DC">
        <w:rPr>
          <w:rFonts w:cs="Arial"/>
          <w:color w:val="0070C0"/>
          <w:sz w:val="20"/>
        </w:rPr>
        <w:tab/>
        <w:t>Allowance under this section shall be allowed against the tax liability of either of the parents making payment of the fee</w:t>
      </w:r>
      <w:r w:rsidRPr="00B455DC">
        <w:rPr>
          <w:rFonts w:eastAsia="+mn-ea" w:cs="Arial"/>
          <w:color w:val="0070C0"/>
          <w:kern w:val="24"/>
          <w:sz w:val="20"/>
          <w:lang w:val="en-GB"/>
        </w:rPr>
        <w:t xml:space="preserve"> </w:t>
      </w:r>
      <w:r w:rsidRPr="00B455DC">
        <w:rPr>
          <w:rFonts w:cs="Arial"/>
          <w:color w:val="0070C0"/>
          <w:sz w:val="20"/>
          <w:lang w:val="en-GB"/>
        </w:rPr>
        <w:t>on furnishing national tax number (NTN) or name of the educational institution</w:t>
      </w:r>
      <w:r w:rsidRPr="00B455DC">
        <w:rPr>
          <w:rFonts w:cs="Arial"/>
          <w:color w:val="0070C0"/>
          <w:sz w:val="20"/>
        </w:rPr>
        <w:t>.</w:t>
      </w:r>
    </w:p>
    <w:p w:rsidR="00543B67" w:rsidRPr="00B455DC" w:rsidRDefault="00543B67" w:rsidP="00543B67">
      <w:pPr>
        <w:pStyle w:val="ListParagraph"/>
        <w:ind w:left="0" w:firstLine="540"/>
        <w:jc w:val="both"/>
        <w:rPr>
          <w:rFonts w:cs="Arial"/>
          <w:color w:val="0070C0"/>
          <w:sz w:val="20"/>
        </w:rPr>
      </w:pPr>
    </w:p>
    <w:p w:rsidR="00543B67" w:rsidRPr="00B455DC" w:rsidRDefault="00543B67" w:rsidP="00543B67">
      <w:pPr>
        <w:autoSpaceDE w:val="0"/>
        <w:autoSpaceDN w:val="0"/>
        <w:adjustRightInd w:val="0"/>
        <w:ind w:firstLine="540"/>
        <w:jc w:val="both"/>
        <w:rPr>
          <w:rFonts w:cs="Arial"/>
          <w:color w:val="0070C0"/>
          <w:sz w:val="20"/>
        </w:rPr>
      </w:pPr>
      <w:r w:rsidRPr="00B455DC">
        <w:rPr>
          <w:rFonts w:cs="Arial"/>
          <w:color w:val="0070C0"/>
          <w:sz w:val="20"/>
        </w:rPr>
        <w:t>(5)</w:t>
      </w:r>
      <w:r w:rsidRPr="00B455DC">
        <w:rPr>
          <w:rFonts w:cs="Arial"/>
          <w:color w:val="0070C0"/>
          <w:sz w:val="20"/>
        </w:rPr>
        <w:tab/>
        <w:t>Allowance under this section shall not be taken into account for computation of tax deduction under section 149.”]</w:t>
      </w:r>
    </w:p>
    <w:p w:rsidR="00543B67" w:rsidRPr="00233970" w:rsidRDefault="00543B67" w:rsidP="00543B67">
      <w:pPr>
        <w:autoSpaceDE w:val="0"/>
        <w:autoSpaceDN w:val="0"/>
        <w:adjustRightInd w:val="0"/>
        <w:ind w:firstLine="540"/>
        <w:jc w:val="both"/>
        <w:rPr>
          <w:rFonts w:cs="Arial"/>
          <w:color w:val="984806" w:themeColor="accent6" w:themeShade="80"/>
          <w:sz w:val="20"/>
          <w:lang w:val="en-US"/>
        </w:rPr>
      </w:pPr>
    </w:p>
    <w:p w:rsidR="00B951BF" w:rsidRPr="002E247F" w:rsidRDefault="00A70078" w:rsidP="00B951BF">
      <w:pPr>
        <w:autoSpaceDE w:val="0"/>
        <w:autoSpaceDN w:val="0"/>
        <w:adjustRightInd w:val="0"/>
        <w:jc w:val="both"/>
        <w:rPr>
          <w:rFonts w:cs="Arial"/>
          <w:color w:val="000000" w:themeColor="text1"/>
          <w:sz w:val="20"/>
          <w:lang w:val="en-US"/>
        </w:rPr>
      </w:pPr>
      <w:r w:rsidRPr="002E247F">
        <w:rPr>
          <w:rStyle w:val="FootnoteReference"/>
          <w:rFonts w:cs="Arial"/>
          <w:b/>
          <w:bCs/>
          <w:color w:val="000000" w:themeColor="text1"/>
          <w:sz w:val="20"/>
          <w:lang w:val="en-US"/>
        </w:rPr>
        <w:footnoteReference w:id="411"/>
      </w:r>
      <w:r w:rsidR="00233970" w:rsidRPr="002E247F">
        <w:rPr>
          <w:rFonts w:cs="Arial"/>
          <w:b/>
          <w:bCs/>
          <w:color w:val="000000" w:themeColor="text1"/>
          <w:sz w:val="20"/>
          <w:lang w:val="en-US"/>
        </w:rPr>
        <w:t>[</w:t>
      </w:r>
      <w:r w:rsidR="00B951BF" w:rsidRPr="002E247F">
        <w:rPr>
          <w:rFonts w:cs="Arial"/>
          <w:b/>
          <w:bCs/>
          <w:color w:val="000000" w:themeColor="text1"/>
          <w:sz w:val="20"/>
          <w:lang w:val="en-US"/>
        </w:rPr>
        <w:t>64B. Tax credit for employment generation by manufacturers</w:t>
      </w:r>
      <w:r w:rsidR="00B951BF" w:rsidRPr="002E247F">
        <w:rPr>
          <w:rFonts w:cs="Arial"/>
          <w:color w:val="000000" w:themeColor="text1"/>
          <w:sz w:val="20"/>
          <w:lang w:val="en-US"/>
        </w:rPr>
        <w:t>.—(1) Where a taxpayer being a company formed for establishing and operating a new manufacturing unit sets up a new manufacturing unit between the 1st day of July, 2015 and the 30th day of June,</w:t>
      </w:r>
      <w:r w:rsidR="00B951BF" w:rsidRPr="00233970">
        <w:rPr>
          <w:rFonts w:cs="Arial"/>
          <w:color w:val="984806" w:themeColor="accent6" w:themeShade="80"/>
          <w:sz w:val="20"/>
          <w:lang w:val="en-US"/>
        </w:rPr>
        <w:t xml:space="preserve"> </w:t>
      </w:r>
      <w:r w:rsidR="00843B18" w:rsidRPr="00B455DC">
        <w:rPr>
          <w:rStyle w:val="FootnoteReference"/>
          <w:rFonts w:cs="Arial"/>
          <w:color w:val="0070C0"/>
          <w:sz w:val="20"/>
          <w:lang w:val="en-US"/>
        </w:rPr>
        <w:footnoteReference w:id="412"/>
      </w:r>
      <w:r w:rsidR="00843B18" w:rsidRPr="00B455DC">
        <w:rPr>
          <w:rFonts w:cs="Arial"/>
          <w:color w:val="0070C0"/>
          <w:sz w:val="20"/>
          <w:lang w:val="en-US"/>
        </w:rPr>
        <w:t>[“</w:t>
      </w:r>
      <w:r w:rsidR="00B951BF" w:rsidRPr="00B455DC">
        <w:rPr>
          <w:rFonts w:cs="Arial"/>
          <w:color w:val="0070C0"/>
          <w:sz w:val="20"/>
          <w:lang w:val="en-US"/>
        </w:rPr>
        <w:t>201</w:t>
      </w:r>
      <w:r w:rsidR="00843B18" w:rsidRPr="00B455DC">
        <w:rPr>
          <w:rFonts w:cs="Arial"/>
          <w:color w:val="0070C0"/>
          <w:sz w:val="20"/>
          <w:lang w:val="en-US"/>
        </w:rPr>
        <w:t>9”]</w:t>
      </w:r>
      <w:r w:rsidR="00B951BF" w:rsidRPr="002E247F">
        <w:rPr>
          <w:rFonts w:cs="Arial"/>
          <w:color w:val="000000" w:themeColor="text1"/>
          <w:sz w:val="20"/>
          <w:lang w:val="en-US"/>
        </w:rPr>
        <w:t>,</w:t>
      </w:r>
      <w:r w:rsidR="00B951BF" w:rsidRPr="00233970">
        <w:rPr>
          <w:rFonts w:cs="Arial"/>
          <w:color w:val="984806" w:themeColor="accent6" w:themeShade="80"/>
          <w:sz w:val="20"/>
          <w:lang w:val="en-US"/>
        </w:rPr>
        <w:t xml:space="preserve"> </w:t>
      </w:r>
      <w:r w:rsidR="00B951BF" w:rsidRPr="002E247F">
        <w:rPr>
          <w:rFonts w:cs="Arial"/>
          <w:color w:val="000000" w:themeColor="text1"/>
          <w:sz w:val="20"/>
          <w:lang w:val="en-US"/>
        </w:rPr>
        <w:t>(both days inclusive) it shall be given a tax credit for a period of ten years.</w:t>
      </w:r>
    </w:p>
    <w:p w:rsidR="00B951BF" w:rsidRPr="002E247F" w:rsidRDefault="00B951BF" w:rsidP="00B951BF">
      <w:pPr>
        <w:autoSpaceDE w:val="0"/>
        <w:autoSpaceDN w:val="0"/>
        <w:adjustRightInd w:val="0"/>
        <w:jc w:val="both"/>
        <w:rPr>
          <w:rFonts w:cs="Arial"/>
          <w:color w:val="000000" w:themeColor="text1"/>
          <w:sz w:val="20"/>
          <w:lang w:val="en-US"/>
        </w:rPr>
      </w:pPr>
    </w:p>
    <w:p w:rsidR="00B951BF" w:rsidRPr="002E247F" w:rsidRDefault="00B951BF" w:rsidP="00B951BF">
      <w:pPr>
        <w:autoSpaceDE w:val="0"/>
        <w:autoSpaceDN w:val="0"/>
        <w:adjustRightInd w:val="0"/>
        <w:ind w:firstLine="547"/>
        <w:jc w:val="both"/>
        <w:rPr>
          <w:rFonts w:cs="Arial"/>
          <w:color w:val="000000" w:themeColor="text1"/>
          <w:sz w:val="20"/>
          <w:lang w:val="en-US"/>
        </w:rPr>
      </w:pPr>
      <w:r w:rsidRPr="002E247F">
        <w:rPr>
          <w:rFonts w:cs="Arial"/>
          <w:color w:val="000000" w:themeColor="text1"/>
          <w:sz w:val="20"/>
          <w:lang w:val="en-US"/>
        </w:rPr>
        <w:t>(2) The tax credit under sub-section (1) for a tax year shall be equal to</w:t>
      </w:r>
      <w:r w:rsidRPr="00233970">
        <w:rPr>
          <w:rFonts w:cs="Arial"/>
          <w:color w:val="984806" w:themeColor="accent6" w:themeShade="80"/>
          <w:sz w:val="20"/>
          <w:lang w:val="en-US"/>
        </w:rPr>
        <w:t xml:space="preserve"> </w:t>
      </w:r>
      <w:r w:rsidR="00763BF7" w:rsidRPr="00B455DC">
        <w:rPr>
          <w:rStyle w:val="FootnoteReference"/>
          <w:rFonts w:cs="Arial"/>
          <w:color w:val="0070C0"/>
          <w:sz w:val="20"/>
          <w:lang w:val="en-US"/>
        </w:rPr>
        <w:footnoteReference w:id="413"/>
      </w:r>
      <w:r w:rsidR="00E23EEF" w:rsidRPr="00B455DC">
        <w:rPr>
          <w:rFonts w:cs="Arial"/>
          <w:color w:val="0070C0"/>
          <w:sz w:val="20"/>
          <w:lang w:val="en-US"/>
        </w:rPr>
        <w:t>[“two”]</w:t>
      </w:r>
      <w:r w:rsidR="00E23EEF">
        <w:rPr>
          <w:rFonts w:cs="Arial"/>
          <w:color w:val="984806" w:themeColor="accent6" w:themeShade="80"/>
          <w:sz w:val="20"/>
          <w:lang w:val="en-US"/>
        </w:rPr>
        <w:t xml:space="preserve"> </w:t>
      </w:r>
      <w:r w:rsidRPr="002E247F">
        <w:rPr>
          <w:rFonts w:cs="Arial"/>
          <w:color w:val="000000" w:themeColor="text1"/>
          <w:sz w:val="20"/>
          <w:lang w:val="en-US"/>
        </w:rPr>
        <w:t>percent of the tax payable for every fifty employees registered with The Employees Old Age Benefits Institution or the Employees Social Security Institutions of Provincial Governments during the tax year, subject to a maximum of ten percent of the tax payable.</w:t>
      </w:r>
    </w:p>
    <w:p w:rsidR="00B951BF" w:rsidRPr="002E247F" w:rsidRDefault="00B951BF" w:rsidP="00B951BF">
      <w:pPr>
        <w:autoSpaceDE w:val="0"/>
        <w:autoSpaceDN w:val="0"/>
        <w:adjustRightInd w:val="0"/>
        <w:ind w:firstLine="547"/>
        <w:jc w:val="both"/>
        <w:rPr>
          <w:rFonts w:cs="Arial"/>
          <w:color w:val="000000" w:themeColor="text1"/>
          <w:sz w:val="20"/>
          <w:lang w:val="en-US"/>
        </w:rPr>
      </w:pPr>
    </w:p>
    <w:p w:rsidR="00B951BF" w:rsidRPr="002E247F" w:rsidRDefault="00B951BF" w:rsidP="00B951BF">
      <w:pPr>
        <w:autoSpaceDE w:val="0"/>
        <w:autoSpaceDN w:val="0"/>
        <w:adjustRightInd w:val="0"/>
        <w:ind w:firstLine="547"/>
        <w:jc w:val="both"/>
        <w:rPr>
          <w:rFonts w:cs="Arial"/>
          <w:color w:val="000000" w:themeColor="text1"/>
          <w:sz w:val="20"/>
          <w:lang w:val="en-US"/>
        </w:rPr>
      </w:pPr>
      <w:r w:rsidRPr="002E247F">
        <w:rPr>
          <w:rFonts w:cs="Arial"/>
          <w:color w:val="000000" w:themeColor="text1"/>
          <w:sz w:val="20"/>
          <w:lang w:val="en-US"/>
        </w:rPr>
        <w:t>(3) Tax credit under this section shall be admissible where—</w:t>
      </w:r>
    </w:p>
    <w:p w:rsidR="00B951BF" w:rsidRPr="002E247F" w:rsidRDefault="00B951BF" w:rsidP="00B951BF">
      <w:pPr>
        <w:autoSpaceDE w:val="0"/>
        <w:autoSpaceDN w:val="0"/>
        <w:adjustRightInd w:val="0"/>
        <w:jc w:val="both"/>
        <w:rPr>
          <w:rFonts w:cs="Arial"/>
          <w:color w:val="000000" w:themeColor="text1"/>
          <w:sz w:val="20"/>
          <w:lang w:val="en-US"/>
        </w:rPr>
      </w:pPr>
    </w:p>
    <w:p w:rsidR="00B951BF" w:rsidRPr="002E247F" w:rsidRDefault="00B951BF" w:rsidP="00B951BF">
      <w:pPr>
        <w:pStyle w:val="ListParagraph"/>
        <w:numPr>
          <w:ilvl w:val="0"/>
          <w:numId w:val="55"/>
        </w:numPr>
        <w:autoSpaceDE w:val="0"/>
        <w:autoSpaceDN w:val="0"/>
        <w:adjustRightInd w:val="0"/>
        <w:jc w:val="both"/>
        <w:rPr>
          <w:rFonts w:cs="Arial"/>
          <w:color w:val="000000" w:themeColor="text1"/>
          <w:sz w:val="20"/>
          <w:lang w:val="en-US"/>
        </w:rPr>
      </w:pPr>
      <w:r w:rsidRPr="002E247F">
        <w:rPr>
          <w:rFonts w:cs="Arial"/>
          <w:color w:val="000000" w:themeColor="text1"/>
          <w:sz w:val="20"/>
          <w:lang w:val="en-US"/>
        </w:rPr>
        <w:t>the company is incorporated and manufacturing unit is setup between the first day of July, 2015 and the 30th day of June, 2018, both days inclusive;</w:t>
      </w:r>
    </w:p>
    <w:p w:rsidR="00B951BF" w:rsidRPr="002E247F" w:rsidRDefault="00B951BF" w:rsidP="00B951BF">
      <w:pPr>
        <w:pStyle w:val="ListParagraph"/>
        <w:autoSpaceDE w:val="0"/>
        <w:autoSpaceDN w:val="0"/>
        <w:adjustRightInd w:val="0"/>
        <w:ind w:left="1994"/>
        <w:jc w:val="both"/>
        <w:rPr>
          <w:rFonts w:cs="Arial"/>
          <w:color w:val="000000" w:themeColor="text1"/>
          <w:sz w:val="20"/>
          <w:lang w:val="en-US"/>
        </w:rPr>
      </w:pPr>
    </w:p>
    <w:p w:rsidR="00B951BF" w:rsidRPr="002E247F" w:rsidRDefault="00B951BF" w:rsidP="00B951BF">
      <w:pPr>
        <w:pStyle w:val="ListParagraph"/>
        <w:numPr>
          <w:ilvl w:val="0"/>
          <w:numId w:val="55"/>
        </w:numPr>
        <w:autoSpaceDE w:val="0"/>
        <w:autoSpaceDN w:val="0"/>
        <w:adjustRightInd w:val="0"/>
        <w:jc w:val="both"/>
        <w:rPr>
          <w:rFonts w:cs="Arial"/>
          <w:color w:val="000000" w:themeColor="text1"/>
          <w:sz w:val="20"/>
          <w:lang w:val="en-US"/>
        </w:rPr>
      </w:pPr>
      <w:r w:rsidRPr="002E247F">
        <w:rPr>
          <w:rFonts w:cs="Arial"/>
          <w:color w:val="000000" w:themeColor="text1"/>
          <w:sz w:val="20"/>
          <w:lang w:val="en-US"/>
        </w:rPr>
        <w:t>employs more than fifty employees in a tax year registered with The Employees Old Age Benefits Institution and the Employees Social Security Institutions of Provincial Governments;</w:t>
      </w:r>
    </w:p>
    <w:p w:rsidR="008F277E" w:rsidRPr="002E247F" w:rsidRDefault="008F277E" w:rsidP="008F277E">
      <w:pPr>
        <w:pStyle w:val="ListParagraph"/>
        <w:rPr>
          <w:rFonts w:cs="Arial"/>
          <w:color w:val="000000" w:themeColor="text1"/>
          <w:sz w:val="20"/>
          <w:lang w:val="en-US"/>
        </w:rPr>
      </w:pPr>
    </w:p>
    <w:p w:rsidR="00B951BF" w:rsidRPr="002E247F" w:rsidRDefault="00B951BF" w:rsidP="008F277E">
      <w:pPr>
        <w:autoSpaceDE w:val="0"/>
        <w:autoSpaceDN w:val="0"/>
        <w:adjustRightInd w:val="0"/>
        <w:ind w:left="547" w:firstLine="547"/>
        <w:jc w:val="both"/>
        <w:rPr>
          <w:rFonts w:cs="Arial"/>
          <w:color w:val="000000" w:themeColor="text1"/>
          <w:sz w:val="20"/>
          <w:lang w:val="en-US"/>
        </w:rPr>
      </w:pPr>
      <w:r w:rsidRPr="002E247F">
        <w:rPr>
          <w:rFonts w:cs="Arial"/>
          <w:color w:val="000000" w:themeColor="text1"/>
          <w:sz w:val="20"/>
          <w:lang w:val="en-US"/>
        </w:rPr>
        <w:t xml:space="preserve">(c) </w:t>
      </w:r>
      <w:r w:rsidR="008F277E" w:rsidRPr="002E247F">
        <w:rPr>
          <w:rFonts w:cs="Arial"/>
          <w:color w:val="000000" w:themeColor="text1"/>
          <w:sz w:val="20"/>
          <w:lang w:val="en-US"/>
        </w:rPr>
        <w:tab/>
      </w:r>
      <w:r w:rsidR="008F277E" w:rsidRPr="002E247F">
        <w:rPr>
          <w:rFonts w:cs="Arial"/>
          <w:color w:val="000000" w:themeColor="text1"/>
          <w:sz w:val="20"/>
          <w:lang w:val="en-US"/>
        </w:rPr>
        <w:tab/>
      </w:r>
      <w:r w:rsidRPr="002E247F">
        <w:rPr>
          <w:rFonts w:cs="Arial"/>
          <w:color w:val="000000" w:themeColor="text1"/>
          <w:sz w:val="20"/>
          <w:lang w:val="en-US"/>
        </w:rPr>
        <w:t>manufacturing unit is managed by a company formed for</w:t>
      </w:r>
    </w:p>
    <w:p w:rsidR="00540B42" w:rsidRPr="002E247F" w:rsidRDefault="00B951BF" w:rsidP="008F277E">
      <w:pPr>
        <w:autoSpaceDE w:val="0"/>
        <w:autoSpaceDN w:val="0"/>
        <w:adjustRightInd w:val="0"/>
        <w:ind w:left="2188"/>
        <w:jc w:val="both"/>
        <w:rPr>
          <w:rFonts w:cs="Arial"/>
          <w:color w:val="000000" w:themeColor="text1"/>
          <w:sz w:val="20"/>
          <w:lang w:val="en-US"/>
        </w:rPr>
      </w:pPr>
      <w:r w:rsidRPr="002E247F">
        <w:rPr>
          <w:rFonts w:cs="Arial"/>
          <w:color w:val="000000" w:themeColor="text1"/>
          <w:sz w:val="20"/>
          <w:lang w:val="en-US"/>
        </w:rPr>
        <w:t>operating the said manufacturing unit and registered under</w:t>
      </w:r>
      <w:r w:rsidR="007B7C8F" w:rsidRPr="002E247F">
        <w:rPr>
          <w:rFonts w:cs="Arial"/>
          <w:color w:val="000000" w:themeColor="text1"/>
          <w:sz w:val="20"/>
          <w:lang w:val="en-US"/>
        </w:rPr>
        <w:t xml:space="preserve"> </w:t>
      </w:r>
      <w:r w:rsidRPr="002E247F">
        <w:rPr>
          <w:rFonts w:cs="Arial"/>
          <w:color w:val="000000" w:themeColor="text1"/>
          <w:sz w:val="20"/>
          <w:lang w:val="en-US"/>
        </w:rPr>
        <w:t>the Companies Ordinance, 1984 (XLVII of 1984) and having</w:t>
      </w:r>
      <w:r w:rsidR="007B7C8F" w:rsidRPr="002E247F">
        <w:rPr>
          <w:rFonts w:cs="Arial"/>
          <w:color w:val="000000" w:themeColor="text1"/>
          <w:sz w:val="20"/>
          <w:lang w:val="en-US"/>
        </w:rPr>
        <w:t xml:space="preserve"> </w:t>
      </w:r>
      <w:r w:rsidRPr="002E247F">
        <w:rPr>
          <w:rFonts w:cs="Arial"/>
          <w:color w:val="000000" w:themeColor="text1"/>
          <w:sz w:val="20"/>
          <w:lang w:val="en-US"/>
        </w:rPr>
        <w:t>its registered office in Pakistan; and</w:t>
      </w:r>
    </w:p>
    <w:p w:rsidR="00540B42" w:rsidRPr="002E247F" w:rsidRDefault="00540B42" w:rsidP="008F277E">
      <w:pPr>
        <w:autoSpaceDE w:val="0"/>
        <w:autoSpaceDN w:val="0"/>
        <w:adjustRightInd w:val="0"/>
        <w:ind w:left="2188"/>
        <w:jc w:val="both"/>
        <w:rPr>
          <w:rFonts w:cs="Arial"/>
          <w:color w:val="000000" w:themeColor="text1"/>
          <w:sz w:val="20"/>
          <w:lang w:val="en-US"/>
        </w:rPr>
      </w:pPr>
    </w:p>
    <w:p w:rsidR="00B951BF" w:rsidRPr="002E247F" w:rsidRDefault="00B951BF" w:rsidP="0037067E">
      <w:pPr>
        <w:autoSpaceDE w:val="0"/>
        <w:autoSpaceDN w:val="0"/>
        <w:adjustRightInd w:val="0"/>
        <w:ind w:left="2188" w:hanging="1108"/>
        <w:jc w:val="both"/>
        <w:rPr>
          <w:rFonts w:cs="Arial"/>
          <w:color w:val="000000" w:themeColor="text1"/>
          <w:sz w:val="20"/>
          <w:lang w:val="en-US"/>
        </w:rPr>
      </w:pPr>
      <w:r w:rsidRPr="002E247F">
        <w:rPr>
          <w:rFonts w:cs="Arial"/>
          <w:color w:val="000000" w:themeColor="text1"/>
          <w:sz w:val="20"/>
          <w:lang w:val="en-US"/>
        </w:rPr>
        <w:t xml:space="preserve">(d) </w:t>
      </w:r>
      <w:r w:rsidR="0037067E" w:rsidRPr="002E247F">
        <w:rPr>
          <w:rFonts w:cs="Arial"/>
          <w:color w:val="000000" w:themeColor="text1"/>
          <w:sz w:val="20"/>
          <w:lang w:val="en-US"/>
        </w:rPr>
        <w:tab/>
      </w:r>
      <w:r w:rsidRPr="002E247F">
        <w:rPr>
          <w:rFonts w:cs="Arial"/>
          <w:color w:val="000000" w:themeColor="text1"/>
          <w:sz w:val="20"/>
          <w:lang w:val="en-US"/>
        </w:rPr>
        <w:t>the manufacturing unit is not established by the splitting up</w:t>
      </w:r>
      <w:r w:rsidR="007B7C8F" w:rsidRPr="002E247F">
        <w:rPr>
          <w:rFonts w:cs="Arial"/>
          <w:color w:val="000000" w:themeColor="text1"/>
          <w:sz w:val="20"/>
          <w:lang w:val="en-US"/>
        </w:rPr>
        <w:t xml:space="preserve"> </w:t>
      </w:r>
      <w:r w:rsidRPr="002E247F">
        <w:rPr>
          <w:rFonts w:cs="Arial"/>
          <w:color w:val="000000" w:themeColor="text1"/>
          <w:sz w:val="20"/>
          <w:lang w:val="en-US"/>
        </w:rPr>
        <w:t>or reconstruction or reconstitution of an undertaking already</w:t>
      </w:r>
      <w:r w:rsidR="007B7C8F" w:rsidRPr="002E247F">
        <w:rPr>
          <w:rFonts w:cs="Arial"/>
          <w:color w:val="000000" w:themeColor="text1"/>
          <w:sz w:val="20"/>
          <w:lang w:val="en-US"/>
        </w:rPr>
        <w:t xml:space="preserve"> </w:t>
      </w:r>
      <w:r w:rsidRPr="002E247F">
        <w:rPr>
          <w:rFonts w:cs="Arial"/>
          <w:color w:val="000000" w:themeColor="text1"/>
          <w:sz w:val="20"/>
          <w:lang w:val="en-US"/>
        </w:rPr>
        <w:t>in existence or by transfer of machinery or plant</w:t>
      </w:r>
      <w:r w:rsidRPr="0037067E">
        <w:rPr>
          <w:rFonts w:cs="Arial"/>
          <w:color w:val="984806" w:themeColor="accent6" w:themeShade="80"/>
          <w:sz w:val="20"/>
          <w:lang w:val="en-US"/>
        </w:rPr>
        <w:t xml:space="preserve"> </w:t>
      </w:r>
      <w:r w:rsidRPr="002E247F">
        <w:rPr>
          <w:rFonts w:cs="Arial"/>
          <w:color w:val="000000" w:themeColor="text1"/>
          <w:sz w:val="20"/>
          <w:lang w:val="en-US"/>
        </w:rPr>
        <w:lastRenderedPageBreak/>
        <w:t>from an</w:t>
      </w:r>
      <w:r w:rsidR="007B7C8F" w:rsidRPr="002E247F">
        <w:rPr>
          <w:rFonts w:cs="Arial"/>
          <w:color w:val="000000" w:themeColor="text1"/>
          <w:sz w:val="20"/>
          <w:lang w:val="en-US"/>
        </w:rPr>
        <w:t xml:space="preserve"> </w:t>
      </w:r>
      <w:r w:rsidRPr="002E247F">
        <w:rPr>
          <w:rFonts w:cs="Arial"/>
          <w:color w:val="000000" w:themeColor="text1"/>
          <w:sz w:val="20"/>
          <w:lang w:val="en-US"/>
        </w:rPr>
        <w:t>undertaking established in Pakistan at any time before the1st July 2015.</w:t>
      </w:r>
    </w:p>
    <w:p w:rsidR="008F277E" w:rsidRPr="002E247F" w:rsidRDefault="008F277E" w:rsidP="008F277E">
      <w:pPr>
        <w:autoSpaceDE w:val="0"/>
        <w:autoSpaceDN w:val="0"/>
        <w:adjustRightInd w:val="0"/>
        <w:ind w:left="2188"/>
        <w:jc w:val="both"/>
        <w:rPr>
          <w:rFonts w:cs="Arial"/>
          <w:color w:val="000000" w:themeColor="text1"/>
          <w:sz w:val="20"/>
          <w:lang w:val="en-US"/>
        </w:rPr>
      </w:pPr>
    </w:p>
    <w:p w:rsidR="00B951BF" w:rsidRPr="002E247F" w:rsidRDefault="00B951BF" w:rsidP="008F277E">
      <w:pPr>
        <w:autoSpaceDE w:val="0"/>
        <w:autoSpaceDN w:val="0"/>
        <w:adjustRightInd w:val="0"/>
        <w:ind w:firstLine="547"/>
        <w:jc w:val="both"/>
        <w:rPr>
          <w:rFonts w:cs="Arial"/>
          <w:color w:val="000000" w:themeColor="text1"/>
          <w:sz w:val="20"/>
          <w:lang w:val="en-US"/>
        </w:rPr>
      </w:pPr>
      <w:r w:rsidRPr="002E247F">
        <w:rPr>
          <w:rFonts w:cs="Arial"/>
          <w:color w:val="000000" w:themeColor="text1"/>
          <w:sz w:val="20"/>
          <w:lang w:val="en-US"/>
        </w:rPr>
        <w:t>(4) Where any credit is allowed under this section and subsequently</w:t>
      </w:r>
      <w:r w:rsidR="007B7C8F" w:rsidRPr="002E247F">
        <w:rPr>
          <w:rFonts w:cs="Arial"/>
          <w:color w:val="000000" w:themeColor="text1"/>
          <w:sz w:val="20"/>
          <w:lang w:val="en-US"/>
        </w:rPr>
        <w:t xml:space="preserve"> </w:t>
      </w:r>
      <w:r w:rsidRPr="002E247F">
        <w:rPr>
          <w:rFonts w:cs="Arial"/>
          <w:color w:val="000000" w:themeColor="text1"/>
          <w:sz w:val="20"/>
          <w:lang w:val="en-US"/>
        </w:rPr>
        <w:t>it is discovered, on the basis of documents or otherwise, by the</w:t>
      </w:r>
      <w:r w:rsidR="007B7C8F" w:rsidRPr="002E247F">
        <w:rPr>
          <w:rFonts w:cs="Arial"/>
          <w:color w:val="000000" w:themeColor="text1"/>
          <w:sz w:val="20"/>
          <w:lang w:val="en-US"/>
        </w:rPr>
        <w:t xml:space="preserve"> </w:t>
      </w:r>
      <w:r w:rsidRPr="002E247F">
        <w:rPr>
          <w:rFonts w:cs="Arial"/>
          <w:color w:val="000000" w:themeColor="text1"/>
          <w:sz w:val="20"/>
          <w:lang w:val="en-US"/>
        </w:rPr>
        <w:t>Commissioner that any of the conditions specified in this section were not</w:t>
      </w:r>
      <w:r w:rsidR="007B7C8F" w:rsidRPr="002E247F">
        <w:rPr>
          <w:rFonts w:cs="Arial"/>
          <w:color w:val="000000" w:themeColor="text1"/>
          <w:sz w:val="20"/>
          <w:lang w:val="en-US"/>
        </w:rPr>
        <w:t xml:space="preserve"> </w:t>
      </w:r>
      <w:r w:rsidRPr="002E247F">
        <w:rPr>
          <w:rFonts w:cs="Arial"/>
          <w:color w:val="000000" w:themeColor="text1"/>
          <w:sz w:val="20"/>
          <w:lang w:val="en-US"/>
        </w:rPr>
        <w:t>fulfilled, the credit originally allowed shall be deemed to have been</w:t>
      </w:r>
      <w:r w:rsidR="007B7C8F" w:rsidRPr="002E247F">
        <w:rPr>
          <w:rFonts w:cs="Arial"/>
          <w:color w:val="000000" w:themeColor="text1"/>
          <w:sz w:val="20"/>
          <w:lang w:val="en-US"/>
        </w:rPr>
        <w:t xml:space="preserve"> </w:t>
      </w:r>
      <w:r w:rsidRPr="002E247F">
        <w:rPr>
          <w:rFonts w:cs="Arial"/>
          <w:color w:val="000000" w:themeColor="text1"/>
          <w:sz w:val="20"/>
          <w:lang w:val="en-US"/>
        </w:rPr>
        <w:t>wrongly allowed and the Commissioner may, notwithstanding anything</w:t>
      </w:r>
      <w:r w:rsidR="007B7C8F" w:rsidRPr="002E247F">
        <w:rPr>
          <w:rFonts w:cs="Arial"/>
          <w:color w:val="000000" w:themeColor="text1"/>
          <w:sz w:val="20"/>
          <w:lang w:val="en-US"/>
        </w:rPr>
        <w:t xml:space="preserve"> </w:t>
      </w:r>
      <w:r w:rsidRPr="002E247F">
        <w:rPr>
          <w:rFonts w:cs="Arial"/>
          <w:color w:val="000000" w:themeColor="text1"/>
          <w:sz w:val="20"/>
          <w:lang w:val="en-US"/>
        </w:rPr>
        <w:t>contained in this Ordinance, re-compute the tax payable by the taxpayer</w:t>
      </w:r>
      <w:r w:rsidR="007B7C8F" w:rsidRPr="002E247F">
        <w:rPr>
          <w:rFonts w:cs="Arial"/>
          <w:color w:val="000000" w:themeColor="text1"/>
          <w:sz w:val="20"/>
          <w:lang w:val="en-US"/>
        </w:rPr>
        <w:t xml:space="preserve"> </w:t>
      </w:r>
      <w:r w:rsidRPr="002E247F">
        <w:rPr>
          <w:rFonts w:cs="Arial"/>
          <w:color w:val="000000" w:themeColor="text1"/>
          <w:sz w:val="20"/>
          <w:lang w:val="en-US"/>
        </w:rPr>
        <w:t>for the relevant year and the provisions of this Ordinance shall, so far as</w:t>
      </w:r>
      <w:r w:rsidR="007B7C8F" w:rsidRPr="002E247F">
        <w:rPr>
          <w:rFonts w:cs="Arial"/>
          <w:color w:val="000000" w:themeColor="text1"/>
          <w:sz w:val="20"/>
          <w:lang w:val="en-US"/>
        </w:rPr>
        <w:t xml:space="preserve"> </w:t>
      </w:r>
      <w:r w:rsidRPr="002E247F">
        <w:rPr>
          <w:rFonts w:cs="Arial"/>
          <w:color w:val="000000" w:themeColor="text1"/>
          <w:sz w:val="20"/>
          <w:lang w:val="en-US"/>
        </w:rPr>
        <w:t>may be, apply accordingly.</w:t>
      </w:r>
    </w:p>
    <w:p w:rsidR="008F277E" w:rsidRPr="002E247F" w:rsidRDefault="008F277E" w:rsidP="008F277E">
      <w:pPr>
        <w:autoSpaceDE w:val="0"/>
        <w:autoSpaceDN w:val="0"/>
        <w:adjustRightInd w:val="0"/>
        <w:ind w:firstLine="547"/>
        <w:jc w:val="both"/>
        <w:rPr>
          <w:rFonts w:cs="Arial"/>
          <w:color w:val="000000" w:themeColor="text1"/>
          <w:sz w:val="20"/>
          <w:lang w:val="en-US"/>
        </w:rPr>
      </w:pPr>
    </w:p>
    <w:p w:rsidR="00B951BF" w:rsidRPr="002E247F" w:rsidRDefault="00B951BF" w:rsidP="008F277E">
      <w:pPr>
        <w:autoSpaceDE w:val="0"/>
        <w:autoSpaceDN w:val="0"/>
        <w:adjustRightInd w:val="0"/>
        <w:ind w:firstLine="547"/>
        <w:jc w:val="both"/>
        <w:rPr>
          <w:rFonts w:cs="Arial"/>
          <w:color w:val="000000" w:themeColor="text1"/>
          <w:sz w:val="20"/>
        </w:rPr>
      </w:pPr>
      <w:r w:rsidRPr="002E247F">
        <w:rPr>
          <w:rFonts w:cs="Arial"/>
          <w:color w:val="000000" w:themeColor="text1"/>
          <w:sz w:val="20"/>
          <w:lang w:val="en-US"/>
        </w:rPr>
        <w:t>(5) For the purposes of this section, a manufacturing unit shall be</w:t>
      </w:r>
      <w:r w:rsidR="007B7C8F" w:rsidRPr="002E247F">
        <w:rPr>
          <w:rFonts w:cs="Arial"/>
          <w:color w:val="000000" w:themeColor="text1"/>
          <w:sz w:val="20"/>
          <w:lang w:val="en-US"/>
        </w:rPr>
        <w:t xml:space="preserve"> </w:t>
      </w:r>
      <w:r w:rsidRPr="002E247F">
        <w:rPr>
          <w:rFonts w:cs="Arial"/>
          <w:color w:val="000000" w:themeColor="text1"/>
          <w:sz w:val="20"/>
          <w:lang w:val="en-US"/>
        </w:rPr>
        <w:t>treated to have been setup on the date on which the manufacturing unit is</w:t>
      </w:r>
      <w:r w:rsidR="007B7C8F" w:rsidRPr="002E247F">
        <w:rPr>
          <w:rFonts w:cs="Arial"/>
          <w:color w:val="000000" w:themeColor="text1"/>
          <w:sz w:val="20"/>
          <w:lang w:val="en-US"/>
        </w:rPr>
        <w:t xml:space="preserve"> </w:t>
      </w:r>
      <w:r w:rsidRPr="002E247F">
        <w:rPr>
          <w:rFonts w:cs="Arial"/>
          <w:color w:val="000000" w:themeColor="text1"/>
          <w:sz w:val="20"/>
          <w:lang w:val="en-US"/>
        </w:rPr>
        <w:t>ready to go into production, whether trial production or commercial</w:t>
      </w:r>
      <w:r w:rsidR="007B7C8F" w:rsidRPr="002E247F">
        <w:rPr>
          <w:rFonts w:cs="Arial"/>
          <w:color w:val="000000" w:themeColor="text1"/>
          <w:sz w:val="20"/>
          <w:lang w:val="en-US"/>
        </w:rPr>
        <w:t xml:space="preserve"> </w:t>
      </w:r>
      <w:r w:rsidRPr="002E247F">
        <w:rPr>
          <w:rFonts w:cs="Arial"/>
          <w:color w:val="000000" w:themeColor="text1"/>
          <w:sz w:val="20"/>
          <w:lang w:val="en-US"/>
        </w:rPr>
        <w:t>production.</w:t>
      </w:r>
      <w:r w:rsidR="008F277E" w:rsidRPr="002E247F">
        <w:rPr>
          <w:rFonts w:cs="Arial"/>
          <w:color w:val="000000" w:themeColor="text1"/>
          <w:sz w:val="20"/>
          <w:lang w:val="en-US"/>
        </w:rPr>
        <w:t>”</w:t>
      </w:r>
      <w:r w:rsidR="00233970" w:rsidRPr="002E247F">
        <w:rPr>
          <w:rFonts w:cs="Arial"/>
          <w:color w:val="000000" w:themeColor="text1"/>
          <w:sz w:val="20"/>
          <w:lang w:val="en-US"/>
        </w:rPr>
        <w:t>]</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65.</w:t>
      </w:r>
      <w:r w:rsidRPr="00412620">
        <w:rPr>
          <w:sz w:val="20"/>
        </w:rPr>
        <w:tab/>
      </w:r>
      <w:r w:rsidRPr="00412620">
        <w:rPr>
          <w:b/>
          <w:sz w:val="20"/>
        </w:rPr>
        <w:t xml:space="preserve"> Miscellaneous provisions relating to tax credits.</w:t>
      </w:r>
      <w:r w:rsidR="005B05A9" w:rsidRPr="00412620">
        <w:rPr>
          <w:rFonts w:cs="Arial"/>
          <w:b/>
          <w:sz w:val="20"/>
        </w:rPr>
        <w:t>—</w:t>
      </w:r>
      <w:r w:rsidRPr="00412620">
        <w:rPr>
          <w:sz w:val="20"/>
        </w:rPr>
        <w:t xml:space="preserve"> (1)  Where the person entitled to a tax credit under </w:t>
      </w:r>
      <w:r w:rsidRPr="00412620">
        <w:rPr>
          <w:rStyle w:val="FootnoteReference"/>
          <w:sz w:val="20"/>
        </w:rPr>
        <w:footnoteReference w:id="414"/>
      </w:r>
      <w:r w:rsidRPr="00412620">
        <w:rPr>
          <w:sz w:val="20"/>
        </w:rPr>
        <w:t>[this]Part is a member of an association of persons to which sub-section (1) of section 92 applies, the following shall apply</w:t>
      </w:r>
      <w:r w:rsidR="00A04023" w:rsidRPr="00412620">
        <w:rPr>
          <w:rFonts w:cs="Arial"/>
          <w:b/>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component </w:t>
      </w:r>
      <w:r w:rsidRPr="00412620">
        <w:rPr>
          <w:rFonts w:cs="Arial"/>
          <w:b/>
          <w:sz w:val="20"/>
        </w:rPr>
        <w:t>A</w:t>
      </w:r>
      <w:r w:rsidRPr="00412620">
        <w:rPr>
          <w:rFonts w:cs="Arial"/>
          <w:sz w:val="20"/>
        </w:rPr>
        <w:t xml:space="preserve"> of the formula in sub-section (2) of section 61, sub-section (2) of section 62, sub-section (2) of section 63 and sub-section (2) of section 64 shall be the amount of tax that would be assessed to the individual if any amount derived in the year that is exempt from tax under sub-section (1) of section 92 were chargeable to tax;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component </w:t>
      </w:r>
      <w:r w:rsidRPr="00412620">
        <w:rPr>
          <w:rFonts w:cs="Arial"/>
          <w:b/>
          <w:sz w:val="20"/>
        </w:rPr>
        <w:t>B</w:t>
      </w:r>
      <w:r w:rsidRPr="00412620">
        <w:rPr>
          <w:rFonts w:cs="Arial"/>
          <w:sz w:val="20"/>
        </w:rPr>
        <w:t xml:space="preserve"> of the formula in sub-section (2) of section 61, sub-section (2) of section 62, sub-section (2) of section 63 and sub-section (2) of section 64 shall be the taxable income of the individual for the year if any amount derived in the year that is exempt from tax under sub-section (1) of section 92 were chargeable to tax.</w:t>
      </w:r>
    </w:p>
    <w:p w:rsidR="006A3F93" w:rsidRPr="00412620" w:rsidRDefault="006A3F93">
      <w:pPr>
        <w:jc w:val="both"/>
        <w:rPr>
          <w:rFonts w:cs="Arial"/>
          <w:b/>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Any tax credit allowed under this Part shall be applied in accordance with sub-section (3) of section 4.</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Subject to sub-section (4), any tax credit or part of a tax credit allowed to a person under this Part for a tax year that is not able to be credited under sub-section (3) of section 4 for the year shall not be refunded, carried forward to a subsequent tax year, or carried back to a preceding tax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Where the person to whom sub-section (3) applies is a member of an association of persons to which sub-section (1) of section 92 applies, the </w:t>
      </w:r>
      <w:r w:rsidRPr="00412620">
        <w:rPr>
          <w:rFonts w:cs="Arial"/>
          <w:sz w:val="20"/>
        </w:rPr>
        <w:lastRenderedPageBreak/>
        <w:t xml:space="preserve">amount of any excess credit under sub-section (3) for a tax year may be claimed as a tax credit by the association for that year. </w:t>
      </w:r>
    </w:p>
    <w:p w:rsidR="006A3F93" w:rsidRPr="00412620" w:rsidRDefault="006A3F93">
      <w:pPr>
        <w:jc w:val="both"/>
        <w:rPr>
          <w:rFonts w:cs="Arial"/>
          <w:sz w:val="20"/>
        </w:rPr>
      </w:pPr>
    </w:p>
    <w:p w:rsidR="006A3F93" w:rsidRDefault="006A3F93">
      <w:pPr>
        <w:jc w:val="both"/>
        <w:rPr>
          <w:rFonts w:cs="Arial"/>
          <w:sz w:val="20"/>
        </w:rPr>
      </w:pPr>
      <w:r w:rsidRPr="00412620">
        <w:rPr>
          <w:rFonts w:cs="Arial"/>
          <w:sz w:val="20"/>
        </w:rPr>
        <w:tab/>
        <w:t>(5)</w:t>
      </w:r>
      <w:r w:rsidRPr="00412620">
        <w:rPr>
          <w:rFonts w:cs="Arial"/>
          <w:sz w:val="20"/>
        </w:rPr>
        <w:tab/>
        <w:t>Sub-section (4) applies only where the member and the association agree in writing for the sub-section to apply and such agreement in writing must be furnished with the association’s return of income for that year.</w:t>
      </w:r>
    </w:p>
    <w:p w:rsidR="00FC294E" w:rsidRDefault="00FC294E">
      <w:pPr>
        <w:jc w:val="both"/>
        <w:rPr>
          <w:rFonts w:cs="Arial"/>
          <w:sz w:val="20"/>
        </w:rPr>
      </w:pPr>
    </w:p>
    <w:p w:rsidR="00FC294E" w:rsidRPr="002E247F" w:rsidRDefault="00FC294E" w:rsidP="00FC294E">
      <w:pPr>
        <w:autoSpaceDE w:val="0"/>
        <w:autoSpaceDN w:val="0"/>
        <w:adjustRightInd w:val="0"/>
        <w:ind w:firstLine="547"/>
        <w:jc w:val="both"/>
        <w:rPr>
          <w:rFonts w:cs="Arial"/>
          <w:color w:val="000000" w:themeColor="text1"/>
          <w:sz w:val="20"/>
        </w:rPr>
      </w:pPr>
      <w:r w:rsidRPr="002E247F">
        <w:rPr>
          <w:rStyle w:val="FootnoteReference"/>
          <w:rFonts w:cs="Arial"/>
          <w:color w:val="000000" w:themeColor="text1"/>
          <w:sz w:val="20"/>
          <w:lang w:val="en-US"/>
        </w:rPr>
        <w:footnoteReference w:id="415"/>
      </w:r>
      <w:r w:rsidRPr="002E247F">
        <w:rPr>
          <w:rFonts w:cs="Arial"/>
          <w:color w:val="000000" w:themeColor="text1"/>
          <w:sz w:val="20"/>
          <w:lang w:val="en-US"/>
        </w:rPr>
        <w:t>[(6) Where the person is entitled to a tax credit under section 65B, 65D or 65E, provisions of clause (d) of sub-section (2) of section 169 and clause (d) of sub-section (1) o</w:t>
      </w:r>
      <w:r w:rsidR="00540B42" w:rsidRPr="002E247F">
        <w:rPr>
          <w:rFonts w:cs="Arial"/>
          <w:color w:val="000000" w:themeColor="text1"/>
          <w:sz w:val="20"/>
          <w:lang w:val="en-US"/>
        </w:rPr>
        <w:t>f section 113 shall not apply.”</w:t>
      </w:r>
      <w:r w:rsidRPr="002E247F">
        <w:rPr>
          <w:rFonts w:cs="Arial"/>
          <w:color w:val="000000" w:themeColor="text1"/>
          <w:sz w:val="20"/>
          <w:lang w:val="en-US"/>
        </w:rPr>
        <w:t>]</w:t>
      </w:r>
    </w:p>
    <w:p w:rsidR="006A3F93" w:rsidRPr="00412620" w:rsidRDefault="006A3F93">
      <w:pPr>
        <w:pStyle w:val="C"/>
        <w:widowControl/>
        <w:spacing w:before="0" w:after="0"/>
        <w:jc w:val="left"/>
        <w:rPr>
          <w:rFonts w:ascii="Arial" w:hAnsi="Arial"/>
          <w:sz w:val="20"/>
          <w:lang w:val="en-AU"/>
        </w:rPr>
      </w:pPr>
    </w:p>
    <w:p w:rsidR="00D147AA" w:rsidRPr="00412620" w:rsidRDefault="008F7ED3" w:rsidP="00B67FAF">
      <w:pPr>
        <w:pStyle w:val="C"/>
        <w:widowControl/>
        <w:spacing w:before="0" w:after="0"/>
        <w:jc w:val="both"/>
        <w:rPr>
          <w:rFonts w:ascii="Arial" w:hAnsi="Arial"/>
          <w:b w:val="0"/>
          <w:sz w:val="20"/>
          <w:lang w:val="en-AU"/>
        </w:rPr>
      </w:pPr>
      <w:r w:rsidRPr="00412620">
        <w:rPr>
          <w:rStyle w:val="FootnoteReference"/>
          <w:rFonts w:ascii="Arial" w:hAnsi="Arial"/>
          <w:sz w:val="20"/>
          <w:lang w:val="en-AU"/>
        </w:rPr>
        <w:footnoteReference w:id="416"/>
      </w:r>
      <w:r w:rsidR="00B67FAF" w:rsidRPr="00412620">
        <w:rPr>
          <w:rFonts w:ascii="Arial" w:hAnsi="Arial"/>
          <w:b w:val="0"/>
          <w:sz w:val="20"/>
          <w:lang w:val="en-AU"/>
        </w:rPr>
        <w:t>[</w:t>
      </w:r>
      <w:r w:rsidR="00B67FAF" w:rsidRPr="00412620">
        <w:rPr>
          <w:rFonts w:ascii="Arial" w:hAnsi="Arial"/>
          <w:sz w:val="20"/>
          <w:lang w:val="en-AU"/>
        </w:rPr>
        <w:t>65A. Tax credit to a person registered under the Sales Tax Act, 1990.</w:t>
      </w:r>
      <w:r w:rsidR="00242237" w:rsidRPr="00412620">
        <w:rPr>
          <w:rFonts w:cs="Arial"/>
          <w:b w:val="0"/>
          <w:sz w:val="20"/>
        </w:rPr>
        <w:t xml:space="preserve"> —</w:t>
      </w:r>
      <w:r w:rsidR="00B67FAF" w:rsidRPr="00412620">
        <w:rPr>
          <w:rFonts w:ascii="Arial" w:hAnsi="Arial"/>
          <w:b w:val="0"/>
          <w:sz w:val="20"/>
          <w:lang w:val="en-AU"/>
        </w:rPr>
        <w:t xml:space="preserve"> (1) Every manufacturer, registered under the Sales Tax Act, 1990, shall be entitled to a tax credit of </w:t>
      </w:r>
      <w:r w:rsidR="001C5D5B" w:rsidRPr="00B455DC">
        <w:rPr>
          <w:rStyle w:val="FootnoteReference"/>
          <w:rFonts w:ascii="Arial" w:hAnsi="Arial"/>
          <w:b w:val="0"/>
          <w:color w:val="0070C0"/>
          <w:sz w:val="20"/>
          <w:lang w:val="en-AU"/>
        </w:rPr>
        <w:footnoteReference w:id="417"/>
      </w:r>
      <w:r w:rsidR="001C5D5B" w:rsidRPr="00B455DC">
        <w:rPr>
          <w:rFonts w:ascii="Arial" w:hAnsi="Arial"/>
          <w:b w:val="0"/>
          <w:color w:val="0070C0"/>
          <w:sz w:val="20"/>
          <w:lang w:val="en-AU"/>
        </w:rPr>
        <w:t>[“three”]</w:t>
      </w:r>
      <w:r w:rsidR="00B67FAF" w:rsidRPr="00412620">
        <w:rPr>
          <w:rFonts w:ascii="Arial" w:hAnsi="Arial"/>
          <w:b w:val="0"/>
          <w:sz w:val="20"/>
          <w:lang w:val="en-AU"/>
        </w:rPr>
        <w:t xml:space="preserve"> </w:t>
      </w:r>
      <w:r w:rsidR="00AB6F06">
        <w:rPr>
          <w:rFonts w:ascii="Arial" w:hAnsi="Arial"/>
          <w:b w:val="0"/>
          <w:sz w:val="20"/>
          <w:lang w:val="en-AU"/>
        </w:rPr>
        <w:t>per cent</w:t>
      </w:r>
      <w:r w:rsidR="00B67FAF" w:rsidRPr="00412620">
        <w:rPr>
          <w:rFonts w:ascii="Arial" w:hAnsi="Arial"/>
          <w:b w:val="0"/>
          <w:sz w:val="20"/>
          <w:lang w:val="en-AU"/>
        </w:rPr>
        <w:t xml:space="preserve"> of tax payable for a tax year, if ninety </w:t>
      </w:r>
      <w:r w:rsidR="00AB6F06">
        <w:rPr>
          <w:rFonts w:ascii="Arial" w:hAnsi="Arial"/>
          <w:b w:val="0"/>
          <w:sz w:val="20"/>
          <w:lang w:val="en-AU"/>
        </w:rPr>
        <w:t>per cent</w:t>
      </w:r>
      <w:r w:rsidR="00B67FAF" w:rsidRPr="00412620">
        <w:rPr>
          <w:rFonts w:ascii="Arial" w:hAnsi="Arial"/>
          <w:b w:val="0"/>
          <w:sz w:val="20"/>
          <w:lang w:val="en-AU"/>
        </w:rPr>
        <w:t xml:space="preserve"> of his sales are to the person who is registered under the aforesaid Act during the said tax year.</w:t>
      </w:r>
    </w:p>
    <w:p w:rsidR="00B67FAF" w:rsidRPr="00412620" w:rsidRDefault="00B67FAF" w:rsidP="00B67FAF">
      <w:pPr>
        <w:pStyle w:val="C"/>
        <w:widowControl/>
        <w:spacing w:before="0" w:after="0"/>
        <w:jc w:val="both"/>
        <w:rPr>
          <w:rFonts w:ascii="Arial" w:hAnsi="Arial"/>
          <w:b w:val="0"/>
          <w:sz w:val="20"/>
          <w:lang w:val="en-AU"/>
        </w:rPr>
      </w:pPr>
    </w:p>
    <w:p w:rsidR="00B67FAF" w:rsidRPr="00412620" w:rsidRDefault="00B67FAF" w:rsidP="00B67FAF">
      <w:pPr>
        <w:pStyle w:val="C"/>
        <w:widowControl/>
        <w:spacing w:before="0" w:after="0"/>
        <w:jc w:val="both"/>
        <w:rPr>
          <w:rFonts w:ascii="Arial" w:hAnsi="Arial"/>
          <w:b w:val="0"/>
          <w:sz w:val="20"/>
          <w:lang w:val="en-AU"/>
        </w:rPr>
      </w:pPr>
      <w:r w:rsidRPr="00412620">
        <w:rPr>
          <w:rFonts w:ascii="Arial" w:hAnsi="Arial"/>
          <w:b w:val="0"/>
          <w:sz w:val="20"/>
          <w:lang w:val="en-AU"/>
        </w:rPr>
        <w:tab/>
        <w:t xml:space="preserve">(2) For claiming of the credit, the person shall provide complete details of the persons to whom the sales were made. </w:t>
      </w:r>
    </w:p>
    <w:p w:rsidR="00B67FAF" w:rsidRPr="00412620" w:rsidRDefault="00B67FAF" w:rsidP="00B67FAF">
      <w:pPr>
        <w:pStyle w:val="C"/>
        <w:widowControl/>
        <w:spacing w:before="0" w:after="0"/>
        <w:jc w:val="both"/>
        <w:rPr>
          <w:rFonts w:ascii="Arial" w:hAnsi="Arial"/>
          <w:b w:val="0"/>
          <w:sz w:val="20"/>
          <w:lang w:val="en-AU"/>
        </w:rPr>
      </w:pPr>
    </w:p>
    <w:p w:rsidR="00B67FAF" w:rsidRPr="00412620" w:rsidRDefault="00B67FAF" w:rsidP="00B67FAF">
      <w:pPr>
        <w:pStyle w:val="C"/>
        <w:widowControl/>
        <w:spacing w:before="0" w:after="0"/>
        <w:jc w:val="both"/>
        <w:rPr>
          <w:rFonts w:ascii="Arial" w:hAnsi="Arial"/>
          <w:b w:val="0"/>
          <w:sz w:val="20"/>
          <w:lang w:val="en-AU"/>
        </w:rPr>
      </w:pPr>
      <w:r w:rsidRPr="00412620">
        <w:rPr>
          <w:rFonts w:ascii="Arial" w:hAnsi="Arial"/>
          <w:b w:val="0"/>
          <w:sz w:val="20"/>
          <w:lang w:val="en-AU"/>
        </w:rPr>
        <w:tab/>
        <w:t>(3) No credit will be allowed to a person whose income is covered under final tax or minimum tax.</w:t>
      </w:r>
    </w:p>
    <w:p w:rsidR="00B67FAF" w:rsidRPr="00412620" w:rsidRDefault="00B67FAF" w:rsidP="00B67FAF">
      <w:pPr>
        <w:pStyle w:val="C"/>
        <w:widowControl/>
        <w:spacing w:before="0" w:after="0"/>
        <w:jc w:val="both"/>
        <w:rPr>
          <w:rFonts w:ascii="Arial" w:hAnsi="Arial"/>
          <w:b w:val="0"/>
          <w:sz w:val="20"/>
          <w:lang w:val="en-AU"/>
        </w:rPr>
      </w:pPr>
    </w:p>
    <w:p w:rsidR="00B67FAF" w:rsidRPr="00412620" w:rsidRDefault="00B67FAF" w:rsidP="00B67FAF">
      <w:pPr>
        <w:pStyle w:val="C"/>
        <w:widowControl/>
        <w:spacing w:before="0" w:after="0"/>
        <w:jc w:val="both"/>
        <w:rPr>
          <w:rFonts w:ascii="Arial" w:hAnsi="Arial"/>
          <w:b w:val="0"/>
          <w:sz w:val="20"/>
          <w:lang w:val="en-AU"/>
        </w:rPr>
      </w:pPr>
      <w:r w:rsidRPr="00412620">
        <w:rPr>
          <w:rFonts w:ascii="Arial" w:hAnsi="Arial"/>
          <w:b w:val="0"/>
          <w:sz w:val="20"/>
          <w:lang w:val="en-AU"/>
        </w:rPr>
        <w:tab/>
        <w:t>(4) Carry forward of any amount where full credit may not be allowed against the tax liability for the tax year, shall not be allowed.]</w:t>
      </w:r>
    </w:p>
    <w:p w:rsidR="00D147AA" w:rsidRPr="00412620" w:rsidRDefault="00D147AA">
      <w:pPr>
        <w:pStyle w:val="C"/>
        <w:widowControl/>
        <w:spacing w:before="0" w:after="0"/>
        <w:jc w:val="left"/>
        <w:rPr>
          <w:rFonts w:ascii="Arial" w:hAnsi="Arial"/>
          <w:sz w:val="20"/>
          <w:lang w:val="en-AU"/>
        </w:rPr>
      </w:pPr>
    </w:p>
    <w:p w:rsidR="0043114B" w:rsidRPr="00412620" w:rsidRDefault="00483012" w:rsidP="0043114B">
      <w:pPr>
        <w:pStyle w:val="C"/>
        <w:widowControl/>
        <w:spacing w:before="0" w:after="0"/>
        <w:jc w:val="both"/>
        <w:rPr>
          <w:rFonts w:ascii="Arial" w:hAnsi="Arial"/>
          <w:b w:val="0"/>
          <w:sz w:val="20"/>
          <w:lang w:val="en-AU"/>
        </w:rPr>
      </w:pPr>
      <w:r w:rsidRPr="00412620">
        <w:rPr>
          <w:rStyle w:val="FootnoteReference"/>
          <w:rFonts w:ascii="Arial" w:hAnsi="Arial"/>
          <w:sz w:val="20"/>
          <w:lang w:val="en-AU"/>
        </w:rPr>
        <w:footnoteReference w:id="418"/>
      </w:r>
      <w:r w:rsidR="0043114B" w:rsidRPr="00412620">
        <w:rPr>
          <w:rFonts w:ascii="Arial" w:hAnsi="Arial"/>
          <w:sz w:val="20"/>
          <w:lang w:val="en-AU"/>
        </w:rPr>
        <w:t>[65B. Tax credit for investment.</w:t>
      </w:r>
      <w:r w:rsidR="00242237" w:rsidRPr="00412620">
        <w:rPr>
          <w:rFonts w:cs="Arial"/>
          <w:b w:val="0"/>
          <w:sz w:val="20"/>
        </w:rPr>
        <w:t>—</w:t>
      </w:r>
      <w:r w:rsidR="0043114B" w:rsidRPr="00412620">
        <w:rPr>
          <w:rFonts w:ascii="Arial" w:hAnsi="Arial"/>
          <w:b w:val="0"/>
          <w:sz w:val="20"/>
          <w:lang w:val="en-AU"/>
        </w:rPr>
        <w:t xml:space="preserve"> (1) Where a taxpayer being a company invests any amount in the purchase of plant and machinery, for the purposes of </w:t>
      </w:r>
      <w:r w:rsidR="00747023" w:rsidRPr="00412620">
        <w:rPr>
          <w:rStyle w:val="FootnoteReference"/>
          <w:rFonts w:ascii="Arial" w:hAnsi="Arial"/>
          <w:b w:val="0"/>
          <w:sz w:val="20"/>
          <w:lang w:val="en-AU"/>
        </w:rPr>
        <w:footnoteReference w:id="419"/>
      </w:r>
      <w:r w:rsidR="00747023" w:rsidRPr="00412620">
        <w:rPr>
          <w:rFonts w:ascii="Arial" w:hAnsi="Arial"/>
          <w:b w:val="0"/>
          <w:sz w:val="20"/>
          <w:lang w:val="en-AU"/>
        </w:rPr>
        <w:t xml:space="preserve">[extension, expansion,] </w:t>
      </w:r>
      <w:r w:rsidR="0043114B" w:rsidRPr="00412620">
        <w:rPr>
          <w:rFonts w:ascii="Arial" w:hAnsi="Arial"/>
          <w:b w:val="0"/>
          <w:sz w:val="20"/>
          <w:lang w:val="en-AU"/>
        </w:rPr>
        <w:t xml:space="preserve">balancing, modernization and replacement of the plant and machinery, already installed therein, in an industrial undertaking set up in Pakistan and owned by it, credit equal to ten </w:t>
      </w:r>
      <w:r w:rsidR="00AB6F06">
        <w:rPr>
          <w:rFonts w:ascii="Arial" w:hAnsi="Arial"/>
          <w:b w:val="0"/>
          <w:sz w:val="20"/>
          <w:lang w:val="en-AU"/>
        </w:rPr>
        <w:t>per cent</w:t>
      </w:r>
      <w:r w:rsidR="0043114B" w:rsidRPr="00412620">
        <w:rPr>
          <w:rFonts w:ascii="Arial" w:hAnsi="Arial"/>
          <w:b w:val="0"/>
          <w:sz w:val="20"/>
          <w:lang w:val="en-AU"/>
        </w:rPr>
        <w:t xml:space="preserve"> of the amount so invested shall be allowed against the tax payable </w:t>
      </w:r>
      <w:r w:rsidR="005342EF" w:rsidRPr="00412620">
        <w:rPr>
          <w:rFonts w:ascii="Arial" w:hAnsi="Arial"/>
          <w:b w:val="0"/>
          <w:sz w:val="20"/>
          <w:lang w:val="en-AU"/>
        </w:rPr>
        <w:t xml:space="preserve">[, including on account of minimum tax and final taxes payable under any of the provisions of this Ordinance,] </w:t>
      </w:r>
      <w:r w:rsidR="0043114B" w:rsidRPr="00412620">
        <w:rPr>
          <w:rFonts w:ascii="Arial" w:hAnsi="Arial"/>
          <w:b w:val="0"/>
          <w:sz w:val="20"/>
          <w:lang w:val="en-AU"/>
        </w:rPr>
        <w:t>by it in the manner hereinafter provided.</w:t>
      </w:r>
    </w:p>
    <w:p w:rsidR="0043114B" w:rsidRPr="00412620" w:rsidRDefault="0043114B" w:rsidP="0043114B">
      <w:pPr>
        <w:pStyle w:val="C"/>
        <w:widowControl/>
        <w:spacing w:before="0" w:after="0"/>
        <w:jc w:val="both"/>
        <w:rPr>
          <w:rFonts w:ascii="Arial" w:hAnsi="Arial"/>
          <w:b w:val="0"/>
          <w:sz w:val="20"/>
          <w:lang w:val="en-AU"/>
        </w:rPr>
      </w:pPr>
    </w:p>
    <w:p w:rsidR="0043114B" w:rsidRPr="00412620" w:rsidRDefault="0043114B" w:rsidP="0043114B">
      <w:pPr>
        <w:pStyle w:val="C"/>
        <w:widowControl/>
        <w:spacing w:before="0" w:after="0"/>
        <w:jc w:val="both"/>
        <w:rPr>
          <w:rFonts w:ascii="Arial" w:hAnsi="Arial"/>
          <w:b w:val="0"/>
          <w:sz w:val="20"/>
          <w:lang w:val="en-AU"/>
        </w:rPr>
      </w:pPr>
      <w:r w:rsidRPr="00412620">
        <w:rPr>
          <w:rFonts w:ascii="Arial" w:hAnsi="Arial"/>
          <w:b w:val="0"/>
          <w:sz w:val="20"/>
          <w:lang w:val="en-AU"/>
        </w:rPr>
        <w:tab/>
        <w:t>(2)</w:t>
      </w:r>
      <w:r w:rsidRPr="00412620">
        <w:rPr>
          <w:rFonts w:ascii="Arial" w:hAnsi="Arial"/>
          <w:b w:val="0"/>
          <w:sz w:val="20"/>
          <w:lang w:val="en-AU"/>
        </w:rPr>
        <w:tab/>
        <w:t xml:space="preserve">The provisions of sub-section (1) shall apply if the plant and machinery </w:t>
      </w:r>
      <w:r w:rsidR="00D04490" w:rsidRPr="00412620">
        <w:rPr>
          <w:rFonts w:ascii="Arial" w:hAnsi="Arial"/>
          <w:b w:val="0"/>
          <w:sz w:val="20"/>
          <w:lang w:val="en-AU"/>
        </w:rPr>
        <w:t>is purchased and installed at any time between the first day of July, 2010, and the 30</w:t>
      </w:r>
      <w:r w:rsidR="00D04490" w:rsidRPr="00412620">
        <w:rPr>
          <w:rFonts w:ascii="Arial" w:hAnsi="Arial"/>
          <w:b w:val="0"/>
          <w:sz w:val="20"/>
          <w:vertAlign w:val="superscript"/>
          <w:lang w:val="en-AU"/>
        </w:rPr>
        <w:t>th</w:t>
      </w:r>
      <w:r w:rsidR="00D04490" w:rsidRPr="00412620">
        <w:rPr>
          <w:rFonts w:ascii="Arial" w:hAnsi="Arial"/>
          <w:b w:val="0"/>
          <w:sz w:val="20"/>
          <w:lang w:val="en-AU"/>
        </w:rPr>
        <w:t xml:space="preserve"> day of June, </w:t>
      </w:r>
      <w:r w:rsidR="00F8458C" w:rsidRPr="002E247F">
        <w:rPr>
          <w:rStyle w:val="FootnoteReference"/>
          <w:rFonts w:ascii="Arial" w:hAnsi="Arial"/>
          <w:b w:val="0"/>
          <w:color w:val="000000" w:themeColor="text1"/>
          <w:sz w:val="20"/>
          <w:lang w:val="en-AU"/>
        </w:rPr>
        <w:footnoteReference w:id="420"/>
      </w:r>
      <w:r w:rsidR="00F8458C" w:rsidRPr="002E247F">
        <w:rPr>
          <w:rFonts w:ascii="Arial" w:hAnsi="Arial"/>
          <w:b w:val="0"/>
          <w:color w:val="000000" w:themeColor="text1"/>
          <w:sz w:val="20"/>
          <w:lang w:val="en-AU"/>
        </w:rPr>
        <w:t>[</w:t>
      </w:r>
      <w:r w:rsidR="00912F73">
        <w:rPr>
          <w:rFonts w:ascii="Arial" w:hAnsi="Arial"/>
          <w:b w:val="0"/>
          <w:color w:val="984806" w:themeColor="accent6" w:themeShade="80"/>
          <w:sz w:val="20"/>
          <w:lang w:val="en-AU"/>
        </w:rPr>
        <w:t xml:space="preserve"> </w:t>
      </w:r>
      <w:r w:rsidR="00912F73" w:rsidRPr="00B455DC">
        <w:rPr>
          <w:rStyle w:val="FootnoteReference"/>
          <w:rFonts w:ascii="Arial" w:hAnsi="Arial"/>
          <w:b w:val="0"/>
          <w:color w:val="0070C0"/>
          <w:sz w:val="20"/>
          <w:lang w:val="en-AU"/>
        </w:rPr>
        <w:footnoteReference w:id="421"/>
      </w:r>
      <w:r w:rsidR="00912F73" w:rsidRPr="00B455DC">
        <w:rPr>
          <w:rFonts w:ascii="Arial" w:hAnsi="Arial"/>
          <w:b w:val="0"/>
          <w:color w:val="0070C0"/>
          <w:sz w:val="20"/>
          <w:lang w:val="en-AU"/>
        </w:rPr>
        <w:t>[“</w:t>
      </w:r>
      <w:r w:rsidR="00D04490" w:rsidRPr="00B455DC">
        <w:rPr>
          <w:rFonts w:ascii="Arial" w:hAnsi="Arial"/>
          <w:b w:val="0"/>
          <w:color w:val="0070C0"/>
          <w:sz w:val="20"/>
          <w:lang w:val="en-AU"/>
        </w:rPr>
        <w:t>201</w:t>
      </w:r>
      <w:r w:rsidR="00912F73" w:rsidRPr="00B455DC">
        <w:rPr>
          <w:rFonts w:ascii="Arial" w:hAnsi="Arial"/>
          <w:b w:val="0"/>
          <w:color w:val="0070C0"/>
          <w:sz w:val="20"/>
          <w:lang w:val="en-AU"/>
        </w:rPr>
        <w:t>9”]</w:t>
      </w:r>
      <w:r w:rsidR="00912F73" w:rsidRPr="002E247F">
        <w:rPr>
          <w:rFonts w:ascii="Arial" w:hAnsi="Arial"/>
          <w:b w:val="0"/>
          <w:color w:val="000000" w:themeColor="text1"/>
          <w:sz w:val="20"/>
          <w:lang w:val="en-AU"/>
        </w:rPr>
        <w:t xml:space="preserve"> </w:t>
      </w:r>
      <w:r w:rsidR="00F8458C" w:rsidRPr="002E247F">
        <w:rPr>
          <w:rFonts w:ascii="Arial" w:hAnsi="Arial"/>
          <w:b w:val="0"/>
          <w:color w:val="000000" w:themeColor="text1"/>
          <w:sz w:val="20"/>
          <w:lang w:val="en-AU"/>
        </w:rPr>
        <w:t>]</w:t>
      </w:r>
      <w:r w:rsidR="00D04490" w:rsidRPr="002E247F">
        <w:rPr>
          <w:rFonts w:ascii="Arial" w:hAnsi="Arial"/>
          <w:b w:val="0"/>
          <w:color w:val="000000" w:themeColor="text1"/>
          <w:sz w:val="20"/>
          <w:lang w:val="en-AU"/>
        </w:rPr>
        <w:t>.</w:t>
      </w:r>
    </w:p>
    <w:p w:rsidR="00D04490" w:rsidRPr="00412620" w:rsidRDefault="00D04490" w:rsidP="0043114B">
      <w:pPr>
        <w:pStyle w:val="C"/>
        <w:widowControl/>
        <w:spacing w:before="0" w:after="0"/>
        <w:jc w:val="both"/>
        <w:rPr>
          <w:rFonts w:ascii="Arial" w:hAnsi="Arial"/>
          <w:b w:val="0"/>
          <w:sz w:val="20"/>
          <w:lang w:val="en-AU"/>
        </w:rPr>
      </w:pPr>
    </w:p>
    <w:p w:rsidR="00D04490" w:rsidRPr="00412620" w:rsidRDefault="00D04490" w:rsidP="0043114B">
      <w:pPr>
        <w:pStyle w:val="C"/>
        <w:widowControl/>
        <w:spacing w:before="0" w:after="0"/>
        <w:jc w:val="both"/>
        <w:rPr>
          <w:rFonts w:ascii="Arial" w:hAnsi="Arial"/>
          <w:b w:val="0"/>
          <w:sz w:val="20"/>
          <w:lang w:val="en-AU"/>
        </w:rPr>
      </w:pPr>
      <w:r w:rsidRPr="00412620">
        <w:rPr>
          <w:rFonts w:ascii="Arial" w:hAnsi="Arial"/>
          <w:b w:val="0"/>
          <w:sz w:val="20"/>
          <w:lang w:val="en-AU"/>
        </w:rPr>
        <w:lastRenderedPageBreak/>
        <w:tab/>
        <w:t>(3)</w:t>
      </w:r>
      <w:r w:rsidRPr="00412620">
        <w:rPr>
          <w:rFonts w:ascii="Arial" w:hAnsi="Arial"/>
          <w:b w:val="0"/>
          <w:sz w:val="20"/>
          <w:lang w:val="en-AU"/>
        </w:rPr>
        <w:tab/>
        <w:t xml:space="preserve">The </w:t>
      </w:r>
      <w:r w:rsidR="00FE6E20" w:rsidRPr="00412620">
        <w:rPr>
          <w:rFonts w:ascii="Arial" w:hAnsi="Arial"/>
          <w:b w:val="0"/>
          <w:sz w:val="20"/>
          <w:lang w:val="en-AU"/>
        </w:rPr>
        <w:t xml:space="preserve">amount of credit admissible under this section shall be deducted from the tax payable by the taxpayer in respect of the tax year in which the plant or machinery in the </w:t>
      </w:r>
      <w:r w:rsidR="00392873" w:rsidRPr="00412620">
        <w:rPr>
          <w:rFonts w:ascii="Arial" w:hAnsi="Arial"/>
          <w:b w:val="0"/>
          <w:sz w:val="20"/>
          <w:lang w:val="en-AU"/>
        </w:rPr>
        <w:t>purchase of</w:t>
      </w:r>
      <w:r w:rsidR="00FE6E20" w:rsidRPr="00412620">
        <w:rPr>
          <w:rFonts w:ascii="Arial" w:hAnsi="Arial"/>
          <w:b w:val="0"/>
          <w:sz w:val="20"/>
          <w:lang w:val="en-AU"/>
        </w:rPr>
        <w:t xml:space="preserve"> which the amount referred to in sub-section (1) is invested and installed.</w:t>
      </w:r>
    </w:p>
    <w:p w:rsidR="00F650D8" w:rsidRPr="00412620" w:rsidRDefault="00F650D8" w:rsidP="00F650D8">
      <w:pPr>
        <w:jc w:val="both"/>
        <w:rPr>
          <w:sz w:val="20"/>
        </w:rPr>
      </w:pPr>
    </w:p>
    <w:p w:rsidR="00F650D8" w:rsidRPr="00412620" w:rsidRDefault="000B709B" w:rsidP="00F650D8">
      <w:pPr>
        <w:jc w:val="both"/>
        <w:rPr>
          <w:rFonts w:cs="Arial"/>
          <w:sz w:val="20"/>
        </w:rPr>
      </w:pPr>
      <w:r w:rsidRPr="00412620">
        <w:rPr>
          <w:rFonts w:cs="Arial"/>
          <w:sz w:val="20"/>
        </w:rPr>
        <w:tab/>
      </w:r>
      <w:r w:rsidR="00CD3C18" w:rsidRPr="00412620">
        <w:rPr>
          <w:rStyle w:val="FootnoteReference"/>
          <w:rFonts w:cs="Arial"/>
          <w:sz w:val="20"/>
        </w:rPr>
        <w:footnoteReference w:id="422"/>
      </w:r>
      <w:r w:rsidR="00F650D8" w:rsidRPr="00412620">
        <w:rPr>
          <w:rFonts w:cs="Arial"/>
          <w:sz w:val="20"/>
        </w:rPr>
        <w:t>[(4)</w:t>
      </w:r>
      <w:r w:rsidR="00F650D8" w:rsidRPr="00412620">
        <w:rPr>
          <w:rFonts w:cs="Arial"/>
          <w:sz w:val="20"/>
        </w:rPr>
        <w:tab/>
        <w:t xml:space="preserve">The provisions of this section shall </w:t>
      </w:r>
      <w:r w:rsidR="00F650D8" w:rsidRPr="00412620">
        <w:rPr>
          <w:rFonts w:cs="Arial"/>
          <w:i/>
          <w:iCs/>
          <w:sz w:val="20"/>
        </w:rPr>
        <w:t>mutatis mutandis</w:t>
      </w:r>
      <w:r w:rsidR="00F650D8" w:rsidRPr="00412620">
        <w:rPr>
          <w:rFonts w:cs="Arial"/>
          <w:sz w:val="20"/>
        </w:rPr>
        <w:t xml:space="preserve"> apply to a company setup in Pakistan before the first day of July, 2011, which makes investment, through hundred </w:t>
      </w:r>
      <w:r w:rsidR="00AB6F06">
        <w:rPr>
          <w:rFonts w:cs="Arial"/>
          <w:sz w:val="20"/>
        </w:rPr>
        <w:t>per cent</w:t>
      </w:r>
      <w:r w:rsidR="00F650D8" w:rsidRPr="00412620">
        <w:rPr>
          <w:rFonts w:cs="Arial"/>
          <w:sz w:val="20"/>
        </w:rPr>
        <w:t xml:space="preserve"> new equity, during first day of July, 2011 and 30th day of June, 2016, for the purposes of balancing, modernization and replacement of the plant and machinery already installed in an industrial undertaking owned by the company. However, credit equal to twenty </w:t>
      </w:r>
      <w:r w:rsidR="00AB6F06">
        <w:rPr>
          <w:rFonts w:cs="Arial"/>
          <w:sz w:val="20"/>
        </w:rPr>
        <w:t>per cent</w:t>
      </w:r>
      <w:r w:rsidR="00F650D8" w:rsidRPr="00412620">
        <w:rPr>
          <w:rFonts w:cs="Arial"/>
          <w:sz w:val="20"/>
        </w:rPr>
        <w:t xml:space="preserve"> of the amount so invested shall be allowed against the tax payable, including on account of minimum tax and final taxes payable under any of the provisions of this Ordinance. The credit shall be allowed in the year in which the plant and machinery in the purchase of which the investment as aforesaid is made, is installed therein. </w:t>
      </w:r>
    </w:p>
    <w:p w:rsidR="00F650D8" w:rsidRPr="00412620" w:rsidRDefault="00F650D8" w:rsidP="00F650D8">
      <w:pPr>
        <w:ind w:left="1440"/>
        <w:jc w:val="both"/>
        <w:rPr>
          <w:rFonts w:cs="Arial"/>
          <w:bCs/>
          <w:sz w:val="20"/>
        </w:rPr>
      </w:pPr>
    </w:p>
    <w:p w:rsidR="00F650D8" w:rsidRPr="00412620" w:rsidRDefault="00F650D8" w:rsidP="00F650D8">
      <w:pPr>
        <w:ind w:left="1440"/>
        <w:jc w:val="both"/>
        <w:rPr>
          <w:rFonts w:cs="Arial"/>
          <w:sz w:val="20"/>
        </w:rPr>
      </w:pPr>
      <w:r w:rsidRPr="00412620">
        <w:rPr>
          <w:rFonts w:cs="Arial"/>
          <w:bCs/>
          <w:sz w:val="20"/>
        </w:rPr>
        <w:t>“Explanation.</w:t>
      </w:r>
      <w:r w:rsidRPr="00412620">
        <w:rPr>
          <w:rFonts w:cs="Arial"/>
          <w:sz w:val="20"/>
        </w:rPr>
        <w:t>— For the purpose of this section the term “new equity” shall, have the same meaning as defined in sub-section (7) of section 65E.]</w:t>
      </w:r>
    </w:p>
    <w:p w:rsidR="00F650D8" w:rsidRPr="00412620" w:rsidRDefault="00F650D8" w:rsidP="00F650D8">
      <w:pPr>
        <w:jc w:val="both"/>
        <w:rPr>
          <w:rFonts w:cs="Arial"/>
          <w:sz w:val="20"/>
        </w:rPr>
      </w:pPr>
    </w:p>
    <w:p w:rsidR="00F650D8" w:rsidRPr="00412620" w:rsidRDefault="00F650D8" w:rsidP="00F650D8">
      <w:pPr>
        <w:jc w:val="both"/>
        <w:rPr>
          <w:rFonts w:cs="Arial"/>
          <w:sz w:val="20"/>
        </w:rPr>
      </w:pPr>
      <w:r w:rsidRPr="00412620">
        <w:rPr>
          <w:rFonts w:cs="Arial"/>
          <w:sz w:val="20"/>
        </w:rPr>
        <w:tab/>
      </w:r>
      <w:r w:rsidR="00823895" w:rsidRPr="00412620">
        <w:rPr>
          <w:rStyle w:val="FootnoteReference"/>
          <w:rFonts w:cs="Arial"/>
          <w:sz w:val="20"/>
        </w:rPr>
        <w:footnoteReference w:id="423"/>
      </w:r>
      <w:r w:rsidRPr="00412620">
        <w:rPr>
          <w:rFonts w:cs="Arial"/>
          <w:sz w:val="20"/>
        </w:rPr>
        <w:t>[(5)</w:t>
      </w:r>
      <w:r w:rsidRPr="00412620">
        <w:rPr>
          <w:rFonts w:cs="Arial"/>
          <w:sz w:val="20"/>
        </w:rPr>
        <w:tab/>
        <w:t>Where no tax is payable by the taxpayer in respect of the tax year in which such plant or machinery is installed, or where the tax payable is less than the amount of credit as aforesaid, the amount of the credit or so much of it as is in excess thereof, as the case may be, shall be carried forward and deducted from the tax payable by the taxpayer in respect of the following tax year and so on, but no such amount shall be carried forward for more than two tax years in the case of investment referred to in sub-section (1) and for more than five tax years in respect of investment referred to in sub-section (4), however, the deduction made under this section shall not exceed in aggregate the limit specified in sub-section (1) or sub-section (4), as the case may be.]</w:t>
      </w:r>
    </w:p>
    <w:p w:rsidR="00F650D8" w:rsidRPr="00412620" w:rsidRDefault="00F650D8" w:rsidP="00F650D8">
      <w:pPr>
        <w:ind w:left="1440" w:firstLine="780"/>
        <w:jc w:val="both"/>
        <w:rPr>
          <w:rFonts w:cs="Arial"/>
          <w:sz w:val="20"/>
        </w:rPr>
      </w:pPr>
    </w:p>
    <w:p w:rsidR="000B709B" w:rsidRPr="00412620" w:rsidRDefault="00823895" w:rsidP="00F650D8">
      <w:pPr>
        <w:pStyle w:val="C"/>
        <w:widowControl/>
        <w:spacing w:before="0" w:after="0"/>
        <w:jc w:val="both"/>
        <w:rPr>
          <w:rFonts w:ascii="Arial" w:hAnsi="Arial" w:cs="Arial"/>
          <w:b w:val="0"/>
          <w:sz w:val="20"/>
          <w:lang w:val="en-AU"/>
        </w:rPr>
      </w:pPr>
      <w:r w:rsidRPr="00412620">
        <w:rPr>
          <w:rFonts w:ascii="Arial" w:hAnsi="Arial" w:cs="Arial"/>
          <w:b w:val="0"/>
          <w:sz w:val="20"/>
        </w:rPr>
        <w:tab/>
      </w:r>
      <w:r w:rsidR="001734D3" w:rsidRPr="00412620">
        <w:rPr>
          <w:rStyle w:val="FootnoteReference"/>
          <w:rFonts w:ascii="Arial" w:hAnsi="Arial" w:cs="Arial"/>
          <w:b w:val="0"/>
          <w:sz w:val="20"/>
        </w:rPr>
        <w:footnoteReference w:id="424"/>
      </w:r>
      <w:r w:rsidR="00F650D8" w:rsidRPr="00412620">
        <w:rPr>
          <w:rFonts w:ascii="Arial" w:hAnsi="Arial" w:cs="Arial"/>
          <w:b w:val="0"/>
          <w:sz w:val="20"/>
        </w:rPr>
        <w:t>[(6)</w:t>
      </w:r>
      <w:r w:rsidR="00F650D8" w:rsidRPr="00412620">
        <w:rPr>
          <w:rFonts w:ascii="Arial" w:hAnsi="Arial" w:cs="Arial"/>
          <w:b w:val="0"/>
          <w:sz w:val="20"/>
        </w:rPr>
        <w:tab/>
        <w:t>Where any credit is allowed under this section and subsequently it is discovered by the Commissioner Inland Revenue that any one or more of the conditions specified in this section was, or were, not fulfilled, as the case may be, the credit originally allowed shall be deemed to have been wrongly allowed and the Commissioner, notwithstanding anything contained in this Ordinance, shall re-compute the tax payable by the taxpayer for the relevant year and the provisions of this Ordinance shall, so far as may be, apply accordingly.]</w:t>
      </w:r>
    </w:p>
    <w:p w:rsidR="00D04490" w:rsidRPr="00656B16" w:rsidRDefault="00FE6E20" w:rsidP="0043114B">
      <w:pPr>
        <w:pStyle w:val="C"/>
        <w:widowControl/>
        <w:spacing w:before="0" w:after="0"/>
        <w:jc w:val="both"/>
        <w:rPr>
          <w:rFonts w:ascii="Arial" w:hAnsi="Arial"/>
          <w:b w:val="0"/>
          <w:sz w:val="14"/>
          <w:lang w:val="en-AU"/>
        </w:rPr>
      </w:pPr>
      <w:r w:rsidRPr="00412620">
        <w:rPr>
          <w:rFonts w:ascii="Arial" w:hAnsi="Arial"/>
          <w:b w:val="0"/>
          <w:sz w:val="20"/>
          <w:lang w:val="en-AU"/>
        </w:rPr>
        <w:tab/>
      </w:r>
    </w:p>
    <w:p w:rsidR="00FE6E20" w:rsidRPr="00412620" w:rsidRDefault="00483012" w:rsidP="0043114B">
      <w:pPr>
        <w:pStyle w:val="C"/>
        <w:widowControl/>
        <w:spacing w:before="0" w:after="0"/>
        <w:jc w:val="both"/>
        <w:rPr>
          <w:rFonts w:ascii="Arial" w:hAnsi="Arial"/>
          <w:b w:val="0"/>
          <w:sz w:val="20"/>
          <w:lang w:val="en-AU"/>
        </w:rPr>
      </w:pPr>
      <w:r w:rsidRPr="00412620">
        <w:rPr>
          <w:rStyle w:val="FootnoteReference"/>
          <w:rFonts w:ascii="Arial" w:hAnsi="Arial"/>
          <w:sz w:val="20"/>
          <w:lang w:val="en-AU"/>
        </w:rPr>
        <w:footnoteReference w:id="425"/>
      </w:r>
      <w:r w:rsidRPr="00412620">
        <w:rPr>
          <w:rFonts w:ascii="Arial" w:hAnsi="Arial"/>
          <w:sz w:val="20"/>
          <w:lang w:val="en-AU"/>
        </w:rPr>
        <w:t xml:space="preserve">[65C. </w:t>
      </w:r>
      <w:r w:rsidR="004A7AB5" w:rsidRPr="00412620">
        <w:rPr>
          <w:rFonts w:ascii="Arial" w:hAnsi="Arial"/>
          <w:sz w:val="20"/>
          <w:lang w:val="en-AU"/>
        </w:rPr>
        <w:t>Tax credit for enlistment.</w:t>
      </w:r>
      <w:r w:rsidR="00242237" w:rsidRPr="00412620">
        <w:rPr>
          <w:rFonts w:cs="Arial"/>
          <w:b w:val="0"/>
          <w:sz w:val="20"/>
        </w:rPr>
        <w:t xml:space="preserve"> —</w:t>
      </w:r>
      <w:r w:rsidR="004A7AB5" w:rsidRPr="00412620">
        <w:rPr>
          <w:rFonts w:ascii="Arial" w:hAnsi="Arial"/>
          <w:b w:val="0"/>
          <w:sz w:val="20"/>
          <w:lang w:val="en-AU"/>
        </w:rPr>
        <w:t xml:space="preserve">(1) Where a taxpayer being a company opts for enlistment in any registered stock exchange in Pakistan, a tax credit equal to </w:t>
      </w:r>
      <w:r w:rsidR="00C80EA1" w:rsidRPr="002E247F">
        <w:rPr>
          <w:rStyle w:val="FootnoteReference"/>
          <w:rFonts w:ascii="Arial" w:hAnsi="Arial"/>
          <w:b w:val="0"/>
          <w:color w:val="000000" w:themeColor="text1"/>
          <w:sz w:val="20"/>
          <w:lang w:val="en-AU"/>
        </w:rPr>
        <w:footnoteReference w:id="426"/>
      </w:r>
      <w:r w:rsidR="00C80EA1" w:rsidRPr="002E247F">
        <w:rPr>
          <w:rFonts w:ascii="Arial" w:hAnsi="Arial"/>
          <w:b w:val="0"/>
          <w:color w:val="000000" w:themeColor="text1"/>
          <w:sz w:val="20"/>
          <w:lang w:val="en-AU"/>
        </w:rPr>
        <w:t>[</w:t>
      </w:r>
      <w:r w:rsidR="00233B10" w:rsidRPr="002E247F">
        <w:rPr>
          <w:rFonts w:ascii="Arial" w:hAnsi="Arial"/>
          <w:b w:val="0"/>
          <w:color w:val="000000" w:themeColor="text1"/>
          <w:sz w:val="20"/>
          <w:lang w:val="en-AU"/>
        </w:rPr>
        <w:t>twenty</w:t>
      </w:r>
      <w:r w:rsidR="00392873" w:rsidRPr="002E247F">
        <w:rPr>
          <w:rFonts w:ascii="Arial" w:hAnsi="Arial"/>
          <w:b w:val="0"/>
          <w:color w:val="000000" w:themeColor="text1"/>
          <w:sz w:val="20"/>
          <w:lang w:val="en-AU"/>
        </w:rPr>
        <w:t>] per</w:t>
      </w:r>
      <w:r w:rsidR="00392873" w:rsidRPr="002E247F">
        <w:rPr>
          <w:rFonts w:ascii="Arial" w:hAnsi="Arial"/>
          <w:b w:val="0"/>
          <w:i/>
          <w:color w:val="000000" w:themeColor="text1"/>
          <w:sz w:val="20"/>
          <w:lang w:val="en-AU"/>
        </w:rPr>
        <w:t>cent</w:t>
      </w:r>
      <w:r w:rsidR="00D129AA">
        <w:rPr>
          <w:rFonts w:ascii="Arial" w:hAnsi="Arial"/>
          <w:b w:val="0"/>
          <w:i/>
          <w:sz w:val="20"/>
          <w:lang w:val="en-AU"/>
        </w:rPr>
        <w:t xml:space="preserve"> </w:t>
      </w:r>
      <w:r w:rsidR="00392873" w:rsidRPr="00412620">
        <w:rPr>
          <w:rFonts w:ascii="Arial" w:hAnsi="Arial"/>
          <w:b w:val="0"/>
          <w:sz w:val="20"/>
          <w:lang w:val="en-AU"/>
        </w:rPr>
        <w:t>of</w:t>
      </w:r>
      <w:r w:rsidR="004A7AB5" w:rsidRPr="00412620">
        <w:rPr>
          <w:rFonts w:ascii="Arial" w:hAnsi="Arial"/>
          <w:b w:val="0"/>
          <w:sz w:val="20"/>
          <w:lang w:val="en-AU"/>
        </w:rPr>
        <w:t xml:space="preserve"> the tax payable shall be allowed for the tax year in whic</w:t>
      </w:r>
      <w:r w:rsidRPr="00412620">
        <w:rPr>
          <w:rFonts w:ascii="Arial" w:hAnsi="Arial"/>
          <w:b w:val="0"/>
          <w:sz w:val="20"/>
          <w:lang w:val="en-AU"/>
        </w:rPr>
        <w:t>h the said company is enlisted</w:t>
      </w:r>
      <w:r w:rsidR="00912F73">
        <w:rPr>
          <w:rFonts w:ascii="Arial" w:hAnsi="Arial"/>
          <w:b w:val="0"/>
          <w:sz w:val="20"/>
          <w:lang w:val="en-AU"/>
        </w:rPr>
        <w:t xml:space="preserve"> </w:t>
      </w:r>
      <w:r w:rsidR="007F05A7" w:rsidRPr="00B455DC">
        <w:rPr>
          <w:rStyle w:val="FootnoteReference"/>
          <w:rFonts w:ascii="Arial" w:hAnsi="Arial"/>
          <w:b w:val="0"/>
          <w:color w:val="0070C0"/>
          <w:sz w:val="20"/>
          <w:lang w:val="en-AU"/>
        </w:rPr>
        <w:footnoteReference w:id="427"/>
      </w:r>
      <w:r w:rsidR="00912F73" w:rsidRPr="00B455DC">
        <w:rPr>
          <w:rFonts w:ascii="Arial" w:hAnsi="Arial"/>
          <w:b w:val="0"/>
          <w:color w:val="0070C0"/>
          <w:sz w:val="20"/>
          <w:lang w:val="en-AU"/>
        </w:rPr>
        <w:t>[“and for the following tax year”]</w:t>
      </w:r>
      <w:r w:rsidRPr="00412620">
        <w:rPr>
          <w:rFonts w:ascii="Arial" w:hAnsi="Arial"/>
          <w:b w:val="0"/>
          <w:sz w:val="20"/>
          <w:lang w:val="en-AU"/>
        </w:rPr>
        <w:t>.]</w:t>
      </w:r>
    </w:p>
    <w:p w:rsidR="0043114B" w:rsidRPr="00656B16" w:rsidRDefault="0043114B">
      <w:pPr>
        <w:pStyle w:val="C"/>
        <w:widowControl/>
        <w:spacing w:before="0" w:after="0"/>
        <w:jc w:val="left"/>
        <w:rPr>
          <w:rFonts w:ascii="Arial" w:hAnsi="Arial"/>
          <w:sz w:val="14"/>
          <w:lang w:val="en-AU"/>
        </w:rPr>
      </w:pPr>
    </w:p>
    <w:p w:rsidR="00DD30F3" w:rsidRDefault="00850DCD" w:rsidP="00DD30F3">
      <w:pPr>
        <w:pStyle w:val="C"/>
        <w:widowControl/>
        <w:spacing w:before="0" w:after="0"/>
        <w:jc w:val="both"/>
        <w:rPr>
          <w:rFonts w:ascii="Arial" w:hAnsi="Arial" w:cs="Arial"/>
          <w:b w:val="0"/>
          <w:sz w:val="20"/>
        </w:rPr>
      </w:pPr>
      <w:r w:rsidRPr="00412620">
        <w:rPr>
          <w:rStyle w:val="FootnoteReference"/>
          <w:rFonts w:ascii="Arial" w:hAnsi="Arial"/>
          <w:sz w:val="20"/>
          <w:lang w:val="en-AU"/>
        </w:rPr>
        <w:footnoteReference w:id="428"/>
      </w:r>
      <w:r w:rsidR="009A3F11" w:rsidRPr="00412620">
        <w:rPr>
          <w:rFonts w:ascii="Arial" w:hAnsi="Arial"/>
          <w:sz w:val="20"/>
          <w:lang w:val="en-AU"/>
        </w:rPr>
        <w:t xml:space="preserve">[65D. </w:t>
      </w:r>
      <w:r w:rsidR="00DD30F3" w:rsidRPr="00412620">
        <w:rPr>
          <w:rFonts w:ascii="Arial" w:hAnsi="Arial"/>
          <w:sz w:val="20"/>
          <w:lang w:val="en-AU"/>
        </w:rPr>
        <w:t>Tax credit for newly established industrial undertakings.</w:t>
      </w:r>
      <w:r w:rsidR="00DD30F3" w:rsidRPr="00412620">
        <w:rPr>
          <w:rFonts w:cs="Arial"/>
          <w:b w:val="0"/>
          <w:sz w:val="20"/>
        </w:rPr>
        <w:t xml:space="preserve"> — </w:t>
      </w:r>
      <w:r w:rsidR="00DD30F3" w:rsidRPr="00412620">
        <w:rPr>
          <w:rFonts w:ascii="Arial" w:hAnsi="Arial" w:cs="Arial"/>
          <w:b w:val="0"/>
          <w:sz w:val="20"/>
        </w:rPr>
        <w:t xml:space="preserve">(1) Where a taxpayer being a company formed for establishing and operating a new industrial undertaking </w:t>
      </w:r>
      <w:r w:rsidR="00F04AC6" w:rsidRPr="00412620">
        <w:rPr>
          <w:rStyle w:val="FootnoteReference"/>
          <w:rFonts w:ascii="Arial" w:hAnsi="Arial" w:cs="Arial"/>
          <w:b w:val="0"/>
          <w:sz w:val="20"/>
        </w:rPr>
        <w:footnoteReference w:id="429"/>
      </w:r>
      <w:r w:rsidR="007D6441" w:rsidRPr="00412620">
        <w:rPr>
          <w:rFonts w:ascii="Arial" w:hAnsi="Arial" w:cs="Arial"/>
          <w:b w:val="0"/>
          <w:sz w:val="20"/>
        </w:rPr>
        <w:t xml:space="preserve">[including corporate dairy farming] </w:t>
      </w:r>
      <w:r w:rsidR="00DD30F3" w:rsidRPr="00412620">
        <w:rPr>
          <w:rFonts w:ascii="Arial" w:hAnsi="Arial" w:cs="Arial"/>
          <w:b w:val="0"/>
          <w:sz w:val="20"/>
        </w:rPr>
        <w:t>sets up a new industrial undertaking</w:t>
      </w:r>
      <w:r w:rsidR="007570FB" w:rsidRPr="00412620">
        <w:rPr>
          <w:rStyle w:val="FootnoteReference"/>
          <w:rFonts w:ascii="Arial" w:hAnsi="Arial" w:cs="Arial"/>
          <w:b w:val="0"/>
          <w:sz w:val="20"/>
        </w:rPr>
        <w:footnoteReference w:id="430"/>
      </w:r>
      <w:r w:rsidR="007570FB" w:rsidRPr="00412620">
        <w:rPr>
          <w:rFonts w:ascii="Arial" w:hAnsi="Arial" w:cs="Arial"/>
          <w:b w:val="0"/>
          <w:sz w:val="20"/>
        </w:rPr>
        <w:t>[including a corporate dairy farm]</w:t>
      </w:r>
      <w:r w:rsidR="00DD30F3" w:rsidRPr="00412620">
        <w:rPr>
          <w:rFonts w:ascii="Arial" w:hAnsi="Arial" w:cs="Arial"/>
          <w:b w:val="0"/>
          <w:sz w:val="20"/>
        </w:rPr>
        <w:t xml:space="preserve">, it shall be given a tax credit equal to </w:t>
      </w:r>
      <w:r w:rsidR="00CE5854" w:rsidRPr="00B455DC">
        <w:rPr>
          <w:rStyle w:val="FootnoteReference"/>
          <w:rFonts w:ascii="Arial" w:hAnsi="Arial" w:cs="Arial"/>
          <w:b w:val="0"/>
          <w:color w:val="0070C0"/>
          <w:sz w:val="20"/>
        </w:rPr>
        <w:footnoteReference w:id="431"/>
      </w:r>
      <w:r w:rsidR="00CE5854" w:rsidRPr="00B455DC">
        <w:rPr>
          <w:rFonts w:ascii="Arial" w:hAnsi="Arial" w:cs="Arial"/>
          <w:b w:val="0"/>
          <w:color w:val="0070C0"/>
          <w:sz w:val="20"/>
        </w:rPr>
        <w:t xml:space="preserve">[“an amount as computed in sub-section (1A)”] </w:t>
      </w:r>
      <w:r w:rsidR="00DD30F3" w:rsidRPr="00412620">
        <w:rPr>
          <w:rFonts w:ascii="Arial" w:hAnsi="Arial" w:cs="Arial"/>
          <w:b w:val="0"/>
          <w:sz w:val="20"/>
        </w:rPr>
        <w:t xml:space="preserve">of the tax payable </w:t>
      </w:r>
      <w:r w:rsidR="007F57AE" w:rsidRPr="00412620">
        <w:rPr>
          <w:rStyle w:val="FootnoteReference"/>
          <w:rFonts w:ascii="Arial" w:hAnsi="Arial" w:cs="Arial"/>
          <w:b w:val="0"/>
          <w:sz w:val="20"/>
        </w:rPr>
        <w:footnoteReference w:id="432"/>
      </w:r>
      <w:r w:rsidR="005A4295" w:rsidRPr="00412620">
        <w:rPr>
          <w:rFonts w:ascii="Arial" w:hAnsi="Arial" w:cs="Arial"/>
          <w:b w:val="0"/>
          <w:sz w:val="20"/>
        </w:rPr>
        <w:t xml:space="preserve">[, including on account of minimum tax and final taxes payable under any of the provisions of this Ordinance,] </w:t>
      </w:r>
      <w:r w:rsidR="00DD30F3" w:rsidRPr="00412620">
        <w:rPr>
          <w:rFonts w:ascii="Arial" w:hAnsi="Arial" w:cs="Arial"/>
          <w:b w:val="0"/>
          <w:sz w:val="20"/>
        </w:rPr>
        <w:t>on the taxable income arising fr</w:t>
      </w:r>
      <w:r w:rsidR="006B2283" w:rsidRPr="00412620">
        <w:rPr>
          <w:rFonts w:ascii="Arial" w:hAnsi="Arial" w:cs="Arial"/>
          <w:b w:val="0"/>
          <w:sz w:val="20"/>
        </w:rPr>
        <w:t xml:space="preserve">om such industrial undertaking </w:t>
      </w:r>
      <w:r w:rsidR="00DD30F3" w:rsidRPr="00412620">
        <w:rPr>
          <w:rFonts w:ascii="Arial" w:hAnsi="Arial" w:cs="Arial"/>
          <w:b w:val="0"/>
          <w:sz w:val="20"/>
        </w:rPr>
        <w:t>for a period of five years beginning from the date of setting up or commencement of commercial production, whichever is later.</w:t>
      </w:r>
    </w:p>
    <w:p w:rsidR="00656B16" w:rsidRPr="00656B16" w:rsidRDefault="00656B16" w:rsidP="00DD30F3">
      <w:pPr>
        <w:pStyle w:val="C"/>
        <w:widowControl/>
        <w:spacing w:before="0" w:after="0"/>
        <w:jc w:val="both"/>
        <w:rPr>
          <w:rFonts w:ascii="Arial" w:hAnsi="Arial" w:cs="Arial"/>
          <w:b w:val="0"/>
          <w:sz w:val="14"/>
        </w:rPr>
      </w:pPr>
    </w:p>
    <w:p w:rsidR="00656B16" w:rsidRPr="00B455DC" w:rsidRDefault="00656B16" w:rsidP="00656B16">
      <w:pPr>
        <w:jc w:val="both"/>
        <w:rPr>
          <w:rFonts w:cs="Arial"/>
          <w:color w:val="0070C0"/>
          <w:sz w:val="20"/>
        </w:rPr>
      </w:pPr>
      <w:r>
        <w:rPr>
          <w:rFonts w:cs="Arial"/>
          <w:b/>
          <w:sz w:val="20"/>
        </w:rPr>
        <w:tab/>
      </w:r>
      <w:r w:rsidR="007223BE" w:rsidRPr="00B455DC">
        <w:rPr>
          <w:rStyle w:val="FootnoteReference"/>
          <w:rFonts w:cs="Arial"/>
          <w:b/>
          <w:color w:val="0070C0"/>
          <w:sz w:val="20"/>
        </w:rPr>
        <w:footnoteReference w:id="433"/>
      </w:r>
      <w:r w:rsidRPr="00B455DC">
        <w:rPr>
          <w:rFonts w:cs="Arial"/>
          <w:bCs/>
          <w:color w:val="0070C0"/>
          <w:sz w:val="20"/>
        </w:rPr>
        <w:t>[“</w:t>
      </w:r>
      <w:r w:rsidRPr="00B455DC">
        <w:rPr>
          <w:rFonts w:cs="Arial"/>
          <w:color w:val="0070C0"/>
          <w:sz w:val="20"/>
        </w:rPr>
        <w:t>(1A)</w:t>
      </w:r>
      <w:r w:rsidRPr="00B455DC">
        <w:rPr>
          <w:rFonts w:cs="Arial"/>
          <w:color w:val="0070C0"/>
          <w:sz w:val="20"/>
        </w:rPr>
        <w:tab/>
        <w:t>The amount of a person’s tax credit allowed under sub-section (1) for a tax year shall be computed according to the following formula, namely: —</w:t>
      </w:r>
    </w:p>
    <w:p w:rsidR="00656B16" w:rsidRPr="00B455DC" w:rsidRDefault="00656B16" w:rsidP="00656B16">
      <w:pPr>
        <w:ind w:firstLine="540"/>
        <w:jc w:val="both"/>
        <w:rPr>
          <w:rFonts w:cs="Arial"/>
          <w:color w:val="0070C0"/>
          <w:sz w:val="20"/>
        </w:rPr>
      </w:pPr>
    </w:p>
    <w:p w:rsidR="00656B16" w:rsidRPr="00B455DC" w:rsidRDefault="00656B16" w:rsidP="00656B16">
      <w:pPr>
        <w:ind w:left="3060"/>
        <w:rPr>
          <w:rFonts w:cs="Arial"/>
          <w:b/>
          <w:color w:val="0070C0"/>
          <w:sz w:val="20"/>
        </w:rPr>
      </w:pPr>
      <w:r w:rsidRPr="00B455DC">
        <w:rPr>
          <w:rFonts w:cs="Arial"/>
          <w:b/>
          <w:color w:val="0070C0"/>
          <w:sz w:val="20"/>
        </w:rPr>
        <w:t>A x (B/C)</w:t>
      </w:r>
    </w:p>
    <w:p w:rsidR="00656B16" w:rsidRPr="00B455DC" w:rsidRDefault="00656B16" w:rsidP="00656B16">
      <w:pPr>
        <w:ind w:firstLine="547"/>
        <w:rPr>
          <w:rFonts w:cs="Arial"/>
          <w:color w:val="0070C0"/>
          <w:sz w:val="20"/>
        </w:rPr>
      </w:pPr>
      <w:r w:rsidRPr="00B455DC">
        <w:rPr>
          <w:rFonts w:cs="Arial"/>
          <w:color w:val="0070C0"/>
          <w:sz w:val="20"/>
        </w:rPr>
        <w:t>where—</w:t>
      </w:r>
    </w:p>
    <w:p w:rsidR="00656B16" w:rsidRPr="00B455DC" w:rsidRDefault="00656B16" w:rsidP="00656B16">
      <w:pPr>
        <w:ind w:firstLine="547"/>
        <w:rPr>
          <w:rFonts w:cs="Arial"/>
          <w:color w:val="0070C0"/>
          <w:sz w:val="10"/>
        </w:rPr>
      </w:pPr>
      <w:r w:rsidRPr="00B455DC">
        <w:rPr>
          <w:rFonts w:cs="Arial"/>
          <w:color w:val="0070C0"/>
          <w:sz w:val="20"/>
        </w:rPr>
        <w:t xml:space="preserve"> </w:t>
      </w:r>
    </w:p>
    <w:p w:rsidR="00656B16" w:rsidRPr="00B455DC" w:rsidRDefault="00656B16" w:rsidP="00656B16">
      <w:pPr>
        <w:ind w:left="1890" w:hanging="450"/>
        <w:rPr>
          <w:rFonts w:cs="Arial"/>
          <w:color w:val="0070C0"/>
          <w:sz w:val="20"/>
        </w:rPr>
      </w:pPr>
      <w:r w:rsidRPr="00B455DC">
        <w:rPr>
          <w:rFonts w:cs="Arial"/>
          <w:color w:val="0070C0"/>
          <w:sz w:val="20"/>
        </w:rPr>
        <w:t>A</w:t>
      </w:r>
      <w:r w:rsidRPr="00B455DC">
        <w:rPr>
          <w:rFonts w:cs="Arial"/>
          <w:color w:val="0070C0"/>
          <w:sz w:val="20"/>
        </w:rPr>
        <w:tab/>
        <w:t>is the amount of tax assessed to the person for the tax year before allowance of any tax credit for the tax year;</w:t>
      </w:r>
    </w:p>
    <w:p w:rsidR="00656B16" w:rsidRPr="00B455DC" w:rsidRDefault="00656B16" w:rsidP="00656B16">
      <w:pPr>
        <w:ind w:left="1890" w:hanging="450"/>
        <w:rPr>
          <w:rFonts w:cs="Arial"/>
          <w:color w:val="0070C0"/>
          <w:sz w:val="20"/>
        </w:rPr>
      </w:pPr>
      <w:r w:rsidRPr="00B455DC">
        <w:rPr>
          <w:rFonts w:cs="Arial"/>
          <w:color w:val="0070C0"/>
          <w:sz w:val="20"/>
        </w:rPr>
        <w:t xml:space="preserve"> </w:t>
      </w:r>
    </w:p>
    <w:p w:rsidR="00656B16" w:rsidRPr="00B455DC" w:rsidRDefault="00656B16" w:rsidP="00656B16">
      <w:pPr>
        <w:ind w:left="1890" w:hanging="450"/>
        <w:rPr>
          <w:rFonts w:cs="Arial"/>
          <w:color w:val="0070C0"/>
          <w:sz w:val="20"/>
        </w:rPr>
      </w:pPr>
      <w:r w:rsidRPr="00B455DC">
        <w:rPr>
          <w:rFonts w:cs="Arial"/>
          <w:color w:val="0070C0"/>
          <w:sz w:val="20"/>
        </w:rPr>
        <w:t>B</w:t>
      </w:r>
      <w:r w:rsidRPr="00B455DC">
        <w:rPr>
          <w:rFonts w:cs="Arial"/>
          <w:color w:val="0070C0"/>
          <w:sz w:val="20"/>
        </w:rPr>
        <w:tab/>
        <w:t>is the equity raised through issuance of new shares for cash consideration; and</w:t>
      </w:r>
    </w:p>
    <w:p w:rsidR="00656B16" w:rsidRPr="00656B16" w:rsidRDefault="00656B16" w:rsidP="00656B16">
      <w:pPr>
        <w:ind w:left="1890" w:hanging="450"/>
        <w:rPr>
          <w:rFonts w:cs="Arial"/>
          <w:color w:val="FF0000"/>
          <w:sz w:val="12"/>
        </w:rPr>
      </w:pPr>
    </w:p>
    <w:p w:rsidR="00656B16" w:rsidRPr="00B455DC" w:rsidRDefault="00656B16" w:rsidP="00656B16">
      <w:pPr>
        <w:pStyle w:val="C"/>
        <w:widowControl/>
        <w:spacing w:before="0" w:after="0"/>
        <w:ind w:left="1890" w:hanging="450"/>
        <w:jc w:val="both"/>
        <w:rPr>
          <w:rFonts w:ascii="Arial" w:hAnsi="Arial" w:cs="Arial"/>
          <w:b w:val="0"/>
          <w:color w:val="0070C0"/>
          <w:sz w:val="20"/>
        </w:rPr>
      </w:pPr>
      <w:r w:rsidRPr="00B455DC">
        <w:rPr>
          <w:rFonts w:ascii="Arial" w:hAnsi="Arial" w:cs="Arial"/>
          <w:b w:val="0"/>
          <w:color w:val="0070C0"/>
          <w:sz w:val="20"/>
        </w:rPr>
        <w:lastRenderedPageBreak/>
        <w:t>C</w:t>
      </w:r>
      <w:r w:rsidRPr="00B455DC">
        <w:rPr>
          <w:rFonts w:ascii="Arial" w:hAnsi="Arial" w:cs="Arial"/>
          <w:b w:val="0"/>
          <w:color w:val="0070C0"/>
          <w:sz w:val="20"/>
        </w:rPr>
        <w:tab/>
        <w:t>is the total amount invested in setting up the new industrial undertaking.</w:t>
      </w:r>
      <w:r w:rsidRPr="00B455DC">
        <w:rPr>
          <w:rFonts w:ascii="Arial" w:hAnsi="Arial" w:cs="Arial"/>
          <w:b w:val="0"/>
          <w:color w:val="0070C0"/>
          <w:sz w:val="20"/>
          <w:lang w:val="en-AU"/>
        </w:rPr>
        <w:t>”]</w:t>
      </w:r>
      <w:r w:rsidRPr="00B455DC">
        <w:rPr>
          <w:rFonts w:ascii="Arial" w:hAnsi="Arial" w:cs="Arial"/>
          <w:b w:val="0"/>
          <w:color w:val="0070C0"/>
          <w:szCs w:val="24"/>
          <w:lang w:val="en-AU"/>
        </w:rPr>
        <w:t xml:space="preserve">  </w:t>
      </w:r>
    </w:p>
    <w:p w:rsidR="00DD30F3" w:rsidRPr="00412620" w:rsidRDefault="00DD30F3" w:rsidP="00DD30F3">
      <w:pPr>
        <w:pStyle w:val="C"/>
        <w:widowControl/>
        <w:spacing w:before="0" w:after="0"/>
        <w:jc w:val="both"/>
        <w:rPr>
          <w:rFonts w:ascii="Arial" w:hAnsi="Arial" w:cs="Arial"/>
          <w:b w:val="0"/>
          <w:sz w:val="20"/>
        </w:rPr>
      </w:pPr>
    </w:p>
    <w:p w:rsidR="00AE1BCD" w:rsidRPr="00412620" w:rsidRDefault="00DD30F3" w:rsidP="00DD30F3">
      <w:pPr>
        <w:pStyle w:val="C"/>
        <w:widowControl/>
        <w:spacing w:before="0" w:after="0"/>
        <w:jc w:val="both"/>
        <w:rPr>
          <w:rFonts w:cs="Arial"/>
          <w:b w:val="0"/>
          <w:sz w:val="20"/>
        </w:rPr>
      </w:pPr>
      <w:r w:rsidRPr="00412620">
        <w:rPr>
          <w:rFonts w:ascii="Arial" w:hAnsi="Arial" w:cs="Arial"/>
          <w:b w:val="0"/>
          <w:sz w:val="20"/>
        </w:rPr>
        <w:tab/>
        <w:t xml:space="preserve">(2) </w:t>
      </w:r>
      <w:r w:rsidR="00AE1BCD" w:rsidRPr="00412620">
        <w:rPr>
          <w:rFonts w:ascii="Arial" w:hAnsi="Arial" w:cs="Arial"/>
          <w:b w:val="0"/>
          <w:sz w:val="20"/>
        </w:rPr>
        <w:tab/>
        <w:t>Tax credit under this section shall be admissible where</w:t>
      </w:r>
      <w:r w:rsidR="00AE1BCD" w:rsidRPr="00412620">
        <w:rPr>
          <w:rFonts w:cs="Arial"/>
          <w:b w:val="0"/>
          <w:sz w:val="20"/>
        </w:rPr>
        <w:t>—</w:t>
      </w:r>
    </w:p>
    <w:p w:rsidR="00AE1BCD" w:rsidRPr="00412620" w:rsidRDefault="00AE1BCD" w:rsidP="00DD30F3">
      <w:pPr>
        <w:pStyle w:val="C"/>
        <w:widowControl/>
        <w:spacing w:before="0" w:after="0"/>
        <w:jc w:val="both"/>
        <w:rPr>
          <w:rFonts w:ascii="Arial" w:hAnsi="Arial"/>
          <w:sz w:val="20"/>
          <w:lang w:val="en-AU"/>
        </w:rPr>
      </w:pPr>
    </w:p>
    <w:p w:rsidR="00AE1BCD" w:rsidRPr="00412620" w:rsidRDefault="00AE1BCD" w:rsidP="00AE1BCD">
      <w:pPr>
        <w:pStyle w:val="C"/>
        <w:widowControl/>
        <w:spacing w:before="0" w:after="0"/>
        <w:ind w:left="1641" w:hanging="546"/>
        <w:jc w:val="both"/>
        <w:rPr>
          <w:rFonts w:ascii="Arial" w:hAnsi="Arial"/>
          <w:sz w:val="20"/>
          <w:lang w:val="en-AU"/>
        </w:rPr>
      </w:pPr>
      <w:r w:rsidRPr="00412620">
        <w:rPr>
          <w:rFonts w:ascii="Arial" w:hAnsi="Arial"/>
          <w:b w:val="0"/>
          <w:sz w:val="20"/>
          <w:lang w:val="en-AU"/>
        </w:rPr>
        <w:t xml:space="preserve">(a) </w:t>
      </w:r>
      <w:r w:rsidRPr="00412620">
        <w:rPr>
          <w:rFonts w:ascii="Arial" w:hAnsi="Arial"/>
          <w:b w:val="0"/>
          <w:sz w:val="20"/>
          <w:lang w:val="en-AU"/>
        </w:rPr>
        <w:tab/>
        <w:t>the company is incorporated and industrial undertaking is setup between the first day of July, 2011 and 30</w:t>
      </w:r>
      <w:r w:rsidRPr="00412620">
        <w:rPr>
          <w:rFonts w:ascii="Arial" w:hAnsi="Arial"/>
          <w:b w:val="0"/>
          <w:sz w:val="20"/>
          <w:vertAlign w:val="superscript"/>
          <w:lang w:val="en-AU"/>
        </w:rPr>
        <w:t>th</w:t>
      </w:r>
      <w:r w:rsidRPr="00412620">
        <w:rPr>
          <w:rFonts w:ascii="Arial" w:hAnsi="Arial"/>
          <w:b w:val="0"/>
          <w:sz w:val="20"/>
          <w:lang w:val="en-AU"/>
        </w:rPr>
        <w:t xml:space="preserve"> day of June, </w:t>
      </w:r>
      <w:r w:rsidR="00F64C2D" w:rsidRPr="00B455DC">
        <w:rPr>
          <w:rStyle w:val="FootnoteReference"/>
          <w:rFonts w:ascii="Arial" w:hAnsi="Arial"/>
          <w:b w:val="0"/>
          <w:color w:val="0070C0"/>
          <w:sz w:val="20"/>
          <w:lang w:val="en-AU"/>
        </w:rPr>
        <w:footnoteReference w:id="434"/>
      </w:r>
      <w:r w:rsidR="00F64C2D" w:rsidRPr="00B455DC">
        <w:rPr>
          <w:rFonts w:ascii="Arial" w:hAnsi="Arial"/>
          <w:b w:val="0"/>
          <w:color w:val="0070C0"/>
          <w:sz w:val="20"/>
          <w:lang w:val="en-AU"/>
        </w:rPr>
        <w:t>[“</w:t>
      </w:r>
      <w:r w:rsidRPr="00B455DC">
        <w:rPr>
          <w:rFonts w:ascii="Arial" w:hAnsi="Arial"/>
          <w:b w:val="0"/>
          <w:color w:val="0070C0"/>
          <w:sz w:val="20"/>
          <w:lang w:val="en-AU"/>
        </w:rPr>
        <w:t>201</w:t>
      </w:r>
      <w:r w:rsidR="00F64C2D" w:rsidRPr="00B455DC">
        <w:rPr>
          <w:rFonts w:ascii="Arial" w:hAnsi="Arial"/>
          <w:b w:val="0"/>
          <w:color w:val="0070C0"/>
          <w:sz w:val="20"/>
          <w:lang w:val="en-AU"/>
        </w:rPr>
        <w:t>9”]</w:t>
      </w:r>
      <w:r w:rsidRPr="00412620">
        <w:rPr>
          <w:rFonts w:ascii="Arial" w:hAnsi="Arial"/>
          <w:b w:val="0"/>
          <w:sz w:val="20"/>
          <w:lang w:val="en-AU"/>
        </w:rPr>
        <w:t>;</w:t>
      </w:r>
    </w:p>
    <w:p w:rsidR="00AE1BCD" w:rsidRPr="00412620" w:rsidRDefault="00AE1BCD" w:rsidP="00DD30F3">
      <w:pPr>
        <w:pStyle w:val="C"/>
        <w:widowControl/>
        <w:spacing w:before="0" w:after="0"/>
        <w:jc w:val="both"/>
        <w:rPr>
          <w:rFonts w:ascii="Arial" w:hAnsi="Arial"/>
          <w:sz w:val="20"/>
          <w:lang w:val="en-AU"/>
        </w:rPr>
      </w:pPr>
    </w:p>
    <w:p w:rsidR="00AE1BCD" w:rsidRPr="00412620" w:rsidRDefault="00AE1BCD" w:rsidP="000A6A61">
      <w:pPr>
        <w:pStyle w:val="C"/>
        <w:widowControl/>
        <w:spacing w:before="0" w:after="0"/>
        <w:ind w:left="1641" w:hanging="546"/>
        <w:jc w:val="both"/>
        <w:rPr>
          <w:rFonts w:ascii="Arial" w:hAnsi="Arial"/>
          <w:b w:val="0"/>
          <w:sz w:val="20"/>
          <w:lang w:val="en-AU"/>
        </w:rPr>
      </w:pPr>
      <w:r w:rsidRPr="00412620">
        <w:rPr>
          <w:rFonts w:ascii="Arial" w:hAnsi="Arial"/>
          <w:b w:val="0"/>
          <w:sz w:val="20"/>
          <w:lang w:val="en-AU"/>
        </w:rPr>
        <w:t xml:space="preserve">(b) </w:t>
      </w:r>
      <w:r w:rsidRPr="00412620">
        <w:rPr>
          <w:rFonts w:ascii="Arial" w:hAnsi="Arial"/>
          <w:b w:val="0"/>
          <w:sz w:val="20"/>
          <w:lang w:val="en-AU"/>
        </w:rPr>
        <w:tab/>
      </w:r>
      <w:r w:rsidR="000A6A61" w:rsidRPr="00412620">
        <w:rPr>
          <w:rFonts w:ascii="Arial" w:hAnsi="Arial"/>
          <w:b w:val="0"/>
          <w:sz w:val="20"/>
          <w:lang w:val="en-AU"/>
        </w:rPr>
        <w:t>industrial undertaking is managed by a company formed for operating the said industrial undertaking and registered under the Companies Ordinance, 1984 (XLVII of 1984) and having its registered office in Pakistan;</w:t>
      </w:r>
    </w:p>
    <w:p w:rsidR="00AE1BCD" w:rsidRPr="00412620" w:rsidRDefault="00AE1BCD" w:rsidP="00DD30F3">
      <w:pPr>
        <w:pStyle w:val="C"/>
        <w:widowControl/>
        <w:spacing w:before="0" w:after="0"/>
        <w:jc w:val="both"/>
        <w:rPr>
          <w:rFonts w:ascii="Arial" w:hAnsi="Arial"/>
          <w:b w:val="0"/>
          <w:sz w:val="20"/>
          <w:lang w:val="en-AU"/>
        </w:rPr>
      </w:pPr>
    </w:p>
    <w:p w:rsidR="000A6A61" w:rsidRPr="00412620" w:rsidRDefault="000A6A61" w:rsidP="000A6A61">
      <w:pPr>
        <w:pStyle w:val="C"/>
        <w:widowControl/>
        <w:spacing w:before="0" w:after="0"/>
        <w:ind w:left="1641" w:hanging="546"/>
        <w:jc w:val="both"/>
        <w:rPr>
          <w:rFonts w:ascii="Arial" w:hAnsi="Arial"/>
          <w:b w:val="0"/>
          <w:sz w:val="20"/>
          <w:lang w:val="en-AU"/>
        </w:rPr>
      </w:pPr>
      <w:r w:rsidRPr="00412620">
        <w:rPr>
          <w:rFonts w:ascii="Arial" w:hAnsi="Arial"/>
          <w:b w:val="0"/>
          <w:sz w:val="20"/>
          <w:lang w:val="en-AU"/>
        </w:rPr>
        <w:t xml:space="preserve">(c) </w:t>
      </w:r>
      <w:r w:rsidRPr="00412620">
        <w:rPr>
          <w:rFonts w:ascii="Arial" w:hAnsi="Arial"/>
          <w:b w:val="0"/>
          <w:sz w:val="20"/>
          <w:lang w:val="en-AU"/>
        </w:rPr>
        <w:tab/>
        <w:t>the industrial undertaking is not established by the splitting up or reconstruction or reconstitution of an undertaking already in existence or by transfer of machinery or plant from an industrial undertaking established in Pakistan at any time before 1</w:t>
      </w:r>
      <w:r w:rsidRPr="00412620">
        <w:rPr>
          <w:rFonts w:ascii="Arial" w:hAnsi="Arial"/>
          <w:b w:val="0"/>
          <w:sz w:val="20"/>
          <w:vertAlign w:val="superscript"/>
          <w:lang w:val="en-AU"/>
        </w:rPr>
        <w:t>st</w:t>
      </w:r>
      <w:r w:rsidRPr="00412620">
        <w:rPr>
          <w:rFonts w:ascii="Arial" w:hAnsi="Arial"/>
          <w:b w:val="0"/>
          <w:sz w:val="20"/>
          <w:lang w:val="en-AU"/>
        </w:rPr>
        <w:t xml:space="preserve"> July 2011; and</w:t>
      </w:r>
    </w:p>
    <w:p w:rsidR="000A6A61" w:rsidRPr="00412620" w:rsidRDefault="000A6A61" w:rsidP="00DD30F3">
      <w:pPr>
        <w:pStyle w:val="C"/>
        <w:widowControl/>
        <w:spacing w:before="0" w:after="0"/>
        <w:jc w:val="both"/>
        <w:rPr>
          <w:rFonts w:ascii="Arial" w:hAnsi="Arial"/>
          <w:b w:val="0"/>
          <w:sz w:val="20"/>
          <w:lang w:val="en-AU"/>
        </w:rPr>
      </w:pPr>
    </w:p>
    <w:p w:rsidR="000A6A61" w:rsidRPr="00412620" w:rsidRDefault="000A6A61" w:rsidP="000A6A61">
      <w:pPr>
        <w:pStyle w:val="C"/>
        <w:widowControl/>
        <w:spacing w:before="0" w:after="0"/>
        <w:ind w:left="1641" w:hanging="546"/>
        <w:jc w:val="both"/>
        <w:rPr>
          <w:rFonts w:ascii="Arial" w:hAnsi="Arial"/>
          <w:b w:val="0"/>
          <w:sz w:val="20"/>
          <w:lang w:val="en-AU"/>
        </w:rPr>
      </w:pPr>
      <w:r w:rsidRPr="00412620">
        <w:rPr>
          <w:rFonts w:ascii="Arial" w:hAnsi="Arial"/>
          <w:b w:val="0"/>
          <w:sz w:val="20"/>
          <w:lang w:val="en-AU"/>
        </w:rPr>
        <w:t xml:space="preserve">(d) </w:t>
      </w:r>
      <w:r w:rsidRPr="00412620">
        <w:rPr>
          <w:rFonts w:ascii="Arial" w:hAnsi="Arial"/>
          <w:b w:val="0"/>
          <w:sz w:val="20"/>
          <w:lang w:val="en-AU"/>
        </w:rPr>
        <w:tab/>
        <w:t xml:space="preserve">the industrial undertaking is set up with </w:t>
      </w:r>
      <w:r w:rsidR="00EA02D5" w:rsidRPr="00B455DC">
        <w:rPr>
          <w:rStyle w:val="FootnoteReference"/>
          <w:rFonts w:ascii="Arial" w:hAnsi="Arial"/>
          <w:b w:val="0"/>
          <w:color w:val="0070C0"/>
          <w:sz w:val="20"/>
          <w:lang w:val="en-AU"/>
        </w:rPr>
        <w:footnoteReference w:id="435"/>
      </w:r>
      <w:r w:rsidR="00381423" w:rsidRPr="00B455DC">
        <w:rPr>
          <w:rFonts w:ascii="Arial" w:hAnsi="Arial"/>
          <w:b w:val="0"/>
          <w:color w:val="0070C0"/>
          <w:sz w:val="20"/>
          <w:lang w:val="en-AU"/>
        </w:rPr>
        <w:t xml:space="preserve">[“at least seventy </w:t>
      </w:r>
      <w:r w:rsidR="00AB6F06" w:rsidRPr="00B455DC">
        <w:rPr>
          <w:rFonts w:ascii="Arial" w:hAnsi="Arial"/>
          <w:b w:val="0"/>
          <w:color w:val="0070C0"/>
          <w:sz w:val="20"/>
          <w:lang w:val="en-AU"/>
        </w:rPr>
        <w:t>per cent</w:t>
      </w:r>
      <w:r w:rsidR="00381423" w:rsidRPr="00B455DC">
        <w:rPr>
          <w:rFonts w:ascii="Arial" w:hAnsi="Arial"/>
          <w:b w:val="0"/>
          <w:color w:val="0070C0"/>
          <w:sz w:val="20"/>
          <w:lang w:val="en-AU"/>
        </w:rPr>
        <w:t>”]</w:t>
      </w:r>
      <w:r w:rsidRPr="00412620">
        <w:rPr>
          <w:rFonts w:ascii="Arial" w:hAnsi="Arial"/>
          <w:b w:val="0"/>
          <w:sz w:val="20"/>
          <w:lang w:val="en-AU"/>
        </w:rPr>
        <w:t xml:space="preserve"> equity</w:t>
      </w:r>
      <w:r w:rsidR="00245083">
        <w:rPr>
          <w:rFonts w:ascii="Arial" w:hAnsi="Arial"/>
          <w:b w:val="0"/>
          <w:sz w:val="20"/>
          <w:lang w:val="en-AU"/>
        </w:rPr>
        <w:t xml:space="preserve"> </w:t>
      </w:r>
      <w:r w:rsidR="00A143DB" w:rsidRPr="00412620">
        <w:rPr>
          <w:rStyle w:val="FootnoteReference"/>
          <w:rFonts w:ascii="Arial" w:hAnsi="Arial"/>
          <w:b w:val="0"/>
          <w:sz w:val="20"/>
          <w:lang w:val="en-AU"/>
        </w:rPr>
        <w:footnoteReference w:id="436"/>
      </w:r>
      <w:r w:rsidR="00A143DB" w:rsidRPr="00412620">
        <w:rPr>
          <w:rFonts w:ascii="Arial" w:hAnsi="Arial"/>
          <w:b w:val="0"/>
          <w:sz w:val="20"/>
          <w:lang w:val="en-AU"/>
        </w:rPr>
        <w:t>[raised through issuance of new shares for cash consideration:</w:t>
      </w:r>
      <w:r w:rsidR="002B39B5" w:rsidRPr="00412620">
        <w:rPr>
          <w:rFonts w:ascii="Arial" w:hAnsi="Arial"/>
          <w:b w:val="0"/>
          <w:sz w:val="20"/>
          <w:lang w:val="en-AU"/>
        </w:rPr>
        <w:t>]</w:t>
      </w:r>
    </w:p>
    <w:p w:rsidR="000A6A61" w:rsidRPr="00412620" w:rsidRDefault="000A6A61" w:rsidP="00DD30F3">
      <w:pPr>
        <w:pStyle w:val="C"/>
        <w:widowControl/>
        <w:spacing w:before="0" w:after="0"/>
        <w:jc w:val="both"/>
        <w:rPr>
          <w:rFonts w:ascii="Arial" w:hAnsi="Arial"/>
          <w:b w:val="0"/>
          <w:sz w:val="20"/>
          <w:lang w:val="en-AU"/>
        </w:rPr>
      </w:pPr>
    </w:p>
    <w:p w:rsidR="002B39B5" w:rsidRPr="00412620" w:rsidRDefault="0075467A" w:rsidP="002B39B5">
      <w:pPr>
        <w:pStyle w:val="C"/>
        <w:widowControl/>
        <w:spacing w:before="0" w:after="0"/>
        <w:ind w:left="1641" w:firstLine="549"/>
        <w:jc w:val="both"/>
        <w:rPr>
          <w:rFonts w:ascii="Arial" w:hAnsi="Arial"/>
          <w:b w:val="0"/>
          <w:sz w:val="20"/>
          <w:lang w:val="en-AU"/>
        </w:rPr>
      </w:pPr>
      <w:r w:rsidRPr="00412620">
        <w:rPr>
          <w:rStyle w:val="FootnoteReference"/>
          <w:rFonts w:ascii="Arial" w:hAnsi="Arial"/>
          <w:b w:val="0"/>
          <w:sz w:val="20"/>
          <w:lang w:val="en-AU"/>
        </w:rPr>
        <w:footnoteReference w:id="437"/>
      </w:r>
      <w:r w:rsidR="002B39B5" w:rsidRPr="00412620">
        <w:rPr>
          <w:rFonts w:ascii="Arial" w:hAnsi="Arial"/>
          <w:b w:val="0"/>
          <w:sz w:val="20"/>
          <w:lang w:val="en-AU"/>
        </w:rPr>
        <w:t>[Provided that short term loans and finances obtained from banking companies or non-banking financial institutions for the purposes of meeting working capital requirements shall not disqualify the taxpayer from claiming tax credit under this section.]</w:t>
      </w:r>
    </w:p>
    <w:p w:rsidR="002B39B5" w:rsidRPr="00412620" w:rsidRDefault="002B39B5" w:rsidP="00DD30F3">
      <w:pPr>
        <w:pStyle w:val="C"/>
        <w:widowControl/>
        <w:spacing w:before="0" w:after="0"/>
        <w:jc w:val="both"/>
        <w:rPr>
          <w:rFonts w:ascii="Arial" w:hAnsi="Arial"/>
          <w:b w:val="0"/>
          <w:sz w:val="20"/>
          <w:lang w:val="en-AU"/>
        </w:rPr>
      </w:pPr>
    </w:p>
    <w:p w:rsidR="006E6232" w:rsidRPr="00412620" w:rsidRDefault="006E6232" w:rsidP="00DD30F3">
      <w:pPr>
        <w:pStyle w:val="C"/>
        <w:widowControl/>
        <w:spacing w:before="0" w:after="0"/>
        <w:jc w:val="both"/>
        <w:rPr>
          <w:rFonts w:ascii="Arial" w:hAnsi="Arial"/>
          <w:b w:val="0"/>
          <w:sz w:val="20"/>
          <w:lang w:val="en-AU"/>
        </w:rPr>
      </w:pPr>
      <w:r w:rsidRPr="00412620">
        <w:rPr>
          <w:rFonts w:ascii="Arial" w:hAnsi="Arial"/>
          <w:b w:val="0"/>
          <w:sz w:val="20"/>
          <w:lang w:val="en-AU"/>
        </w:rPr>
        <w:tab/>
      </w:r>
      <w:r w:rsidRPr="00412620">
        <w:rPr>
          <w:rStyle w:val="FootnoteReference"/>
          <w:rFonts w:ascii="Arial" w:hAnsi="Arial"/>
          <w:b w:val="0"/>
          <w:sz w:val="20"/>
          <w:lang w:val="en-AU"/>
        </w:rPr>
        <w:footnoteReference w:id="438"/>
      </w:r>
      <w:r w:rsidRPr="00412620">
        <w:rPr>
          <w:rFonts w:ascii="Arial" w:hAnsi="Arial"/>
          <w:b w:val="0"/>
          <w:sz w:val="20"/>
          <w:lang w:val="en-AU"/>
        </w:rPr>
        <w:t>[  ]</w:t>
      </w:r>
    </w:p>
    <w:p w:rsidR="002B39B5" w:rsidRPr="00412620" w:rsidRDefault="002B39B5" w:rsidP="00DD30F3">
      <w:pPr>
        <w:pStyle w:val="C"/>
        <w:widowControl/>
        <w:spacing w:before="0" w:after="0"/>
        <w:jc w:val="both"/>
        <w:rPr>
          <w:rFonts w:ascii="Arial" w:hAnsi="Arial"/>
          <w:b w:val="0"/>
          <w:sz w:val="20"/>
          <w:lang w:val="en-AU"/>
        </w:rPr>
      </w:pPr>
    </w:p>
    <w:p w:rsidR="000A6A61" w:rsidRPr="00412620" w:rsidRDefault="000A6A61" w:rsidP="00DD30F3">
      <w:pPr>
        <w:pStyle w:val="C"/>
        <w:widowControl/>
        <w:spacing w:before="0" w:after="0"/>
        <w:jc w:val="both"/>
        <w:rPr>
          <w:rFonts w:ascii="Arial" w:hAnsi="Arial"/>
          <w:b w:val="0"/>
          <w:sz w:val="20"/>
          <w:lang w:val="en-AU"/>
        </w:rPr>
      </w:pPr>
      <w:r w:rsidRPr="00412620">
        <w:rPr>
          <w:rFonts w:ascii="Arial" w:hAnsi="Arial"/>
          <w:b w:val="0"/>
          <w:sz w:val="20"/>
          <w:lang w:val="en-AU"/>
        </w:rPr>
        <w:tab/>
        <w:t xml:space="preserve">(4) </w:t>
      </w:r>
      <w:r w:rsidRPr="00412620">
        <w:rPr>
          <w:rFonts w:ascii="Arial" w:hAnsi="Arial"/>
          <w:b w:val="0"/>
          <w:sz w:val="20"/>
          <w:lang w:val="en-AU"/>
        </w:rPr>
        <w:tab/>
        <w:t>Where any credit is allowed under this section and subsequently it is discovered, on the basis of documents or otherwise, by the Commissioner Inland Revenue that</w:t>
      </w:r>
      <w:r w:rsidR="00443FC5">
        <w:rPr>
          <w:rFonts w:ascii="Arial" w:hAnsi="Arial"/>
          <w:b w:val="0"/>
          <w:sz w:val="20"/>
          <w:lang w:val="en-AU"/>
        </w:rPr>
        <w:t xml:space="preserve"> </w:t>
      </w:r>
      <w:r w:rsidR="00443FC5" w:rsidRPr="00B455DC">
        <w:rPr>
          <w:rStyle w:val="FootnoteReference"/>
          <w:rFonts w:ascii="Arial" w:hAnsi="Arial"/>
          <w:b w:val="0"/>
          <w:color w:val="0070C0"/>
          <w:sz w:val="20"/>
          <w:lang w:val="en-AU"/>
        </w:rPr>
        <w:footnoteReference w:id="439"/>
      </w:r>
      <w:r w:rsidR="00443FC5" w:rsidRPr="00B455DC">
        <w:rPr>
          <w:rFonts w:ascii="Arial" w:hAnsi="Arial" w:cs="Arial"/>
          <w:b w:val="0"/>
          <w:color w:val="0070C0"/>
          <w:sz w:val="20"/>
        </w:rPr>
        <w:t>[“</w:t>
      </w:r>
      <w:r w:rsidR="00443FC5" w:rsidRPr="00B455DC">
        <w:rPr>
          <w:rFonts w:ascii="Arial" w:hAnsi="Arial" w:cs="Arial"/>
          <w:b w:val="0"/>
          <w:color w:val="0070C0"/>
          <w:sz w:val="20"/>
          <w:lang w:val="en-AU"/>
        </w:rPr>
        <w:t>the business has been discontinued in the subsequent five  years after the credit has been allowed or</w:t>
      </w:r>
      <w:r w:rsidR="00443FC5" w:rsidRPr="00B455DC">
        <w:rPr>
          <w:rFonts w:ascii="Arial" w:hAnsi="Arial" w:cs="Arial"/>
          <w:b w:val="0"/>
          <w:color w:val="0070C0"/>
          <w:sz w:val="20"/>
        </w:rPr>
        <w:t>”]</w:t>
      </w:r>
      <w:r w:rsidRPr="00412620">
        <w:rPr>
          <w:rFonts w:ascii="Arial" w:hAnsi="Arial"/>
          <w:b w:val="0"/>
          <w:sz w:val="20"/>
          <w:lang w:val="en-AU"/>
        </w:rPr>
        <w:t xml:space="preserve"> any of the </w:t>
      </w:r>
      <w:r w:rsidR="00BF0B40" w:rsidRPr="00412620">
        <w:rPr>
          <w:rStyle w:val="FootnoteReference"/>
          <w:rFonts w:ascii="Arial" w:hAnsi="Arial"/>
          <w:b w:val="0"/>
          <w:sz w:val="20"/>
          <w:lang w:val="en-AU"/>
        </w:rPr>
        <w:footnoteReference w:id="440"/>
      </w:r>
      <w:r w:rsidR="00BF0B40" w:rsidRPr="00412620">
        <w:rPr>
          <w:rFonts w:ascii="Arial" w:hAnsi="Arial"/>
          <w:b w:val="0"/>
          <w:sz w:val="20"/>
          <w:lang w:val="en-AU"/>
        </w:rPr>
        <w:t>[</w:t>
      </w:r>
      <w:r w:rsidRPr="00412620">
        <w:rPr>
          <w:rFonts w:ascii="Arial" w:hAnsi="Arial"/>
          <w:b w:val="0"/>
          <w:sz w:val="20"/>
          <w:lang w:val="en-AU"/>
        </w:rPr>
        <w:t>condition</w:t>
      </w:r>
      <w:r w:rsidR="00BF0B40" w:rsidRPr="00412620">
        <w:rPr>
          <w:rFonts w:ascii="Arial" w:hAnsi="Arial"/>
          <w:b w:val="0"/>
          <w:sz w:val="20"/>
          <w:lang w:val="en-AU"/>
        </w:rPr>
        <w:t>s]</w:t>
      </w:r>
      <w:r w:rsidRPr="00412620">
        <w:rPr>
          <w:rFonts w:ascii="Arial" w:hAnsi="Arial"/>
          <w:b w:val="0"/>
          <w:sz w:val="20"/>
          <w:lang w:val="en-AU"/>
        </w:rPr>
        <w:t xml:space="preserve"> specified in </w:t>
      </w:r>
      <w:r w:rsidRPr="00412620">
        <w:rPr>
          <w:rFonts w:ascii="Arial" w:hAnsi="Arial"/>
          <w:b w:val="0"/>
          <w:sz w:val="20"/>
          <w:lang w:val="en-AU"/>
        </w:rPr>
        <w:lastRenderedPageBreak/>
        <w:t xml:space="preserve">this section </w:t>
      </w:r>
      <w:r w:rsidR="00E240ED" w:rsidRPr="00412620">
        <w:rPr>
          <w:rStyle w:val="FootnoteReference"/>
          <w:rFonts w:ascii="Arial" w:hAnsi="Arial"/>
          <w:b w:val="0"/>
          <w:sz w:val="20"/>
          <w:lang w:val="en-AU"/>
        </w:rPr>
        <w:footnoteReference w:id="441"/>
      </w:r>
      <w:r w:rsidR="00E240ED" w:rsidRPr="00412620">
        <w:rPr>
          <w:rFonts w:ascii="Arial" w:hAnsi="Arial"/>
          <w:b w:val="0"/>
          <w:sz w:val="20"/>
          <w:lang w:val="en-AU"/>
        </w:rPr>
        <w:t>[were]</w:t>
      </w:r>
      <w:r w:rsidRPr="00412620">
        <w:rPr>
          <w:rFonts w:ascii="Arial" w:hAnsi="Arial"/>
          <w:b w:val="0"/>
          <w:sz w:val="20"/>
          <w:lang w:val="en-AU"/>
        </w:rPr>
        <w:t xml:space="preserve"> not fulfilled, the credit originally allowed shall be deemed to have been wrongly allowed and the Commissioner Inland Revenue may, notwithstanding anything contained in this Ordinance, re-compute the tax payable by the taxpayer for the relevant year and the provisions of this Ordinance shall, so far as may be</w:t>
      </w:r>
      <w:r w:rsidR="00AF21B9" w:rsidRPr="00412620">
        <w:rPr>
          <w:rFonts w:ascii="Arial" w:hAnsi="Arial"/>
          <w:b w:val="0"/>
          <w:sz w:val="20"/>
          <w:lang w:val="en-AU"/>
        </w:rPr>
        <w:t>,</w:t>
      </w:r>
      <w:r w:rsidRPr="00412620">
        <w:rPr>
          <w:rFonts w:ascii="Arial" w:hAnsi="Arial"/>
          <w:b w:val="0"/>
          <w:sz w:val="20"/>
          <w:lang w:val="en-AU"/>
        </w:rPr>
        <w:t xml:space="preserve"> apply accordingly.]</w:t>
      </w:r>
    </w:p>
    <w:p w:rsidR="000A6A61" w:rsidRPr="00412620" w:rsidRDefault="000A6A61" w:rsidP="00DD30F3">
      <w:pPr>
        <w:pStyle w:val="C"/>
        <w:widowControl/>
        <w:spacing w:before="0" w:after="0"/>
        <w:jc w:val="both"/>
        <w:rPr>
          <w:rFonts w:ascii="Arial" w:hAnsi="Arial"/>
          <w:b w:val="0"/>
          <w:sz w:val="20"/>
          <w:lang w:val="en-AU"/>
        </w:rPr>
      </w:pPr>
    </w:p>
    <w:p w:rsidR="00952258" w:rsidRPr="00412620" w:rsidRDefault="00F46B5A" w:rsidP="00952258">
      <w:pPr>
        <w:pStyle w:val="C"/>
        <w:widowControl/>
        <w:spacing w:before="0" w:after="0"/>
        <w:ind w:firstLine="547"/>
        <w:jc w:val="both"/>
        <w:rPr>
          <w:rFonts w:ascii="Arial" w:hAnsi="Arial" w:cs="Arial"/>
          <w:b w:val="0"/>
          <w:sz w:val="20"/>
          <w:lang w:val="en-AU"/>
        </w:rPr>
      </w:pPr>
      <w:r w:rsidRPr="00412620">
        <w:rPr>
          <w:rStyle w:val="FootnoteReference"/>
          <w:rFonts w:ascii="Arial" w:hAnsi="Arial" w:cs="Arial"/>
          <w:b w:val="0"/>
          <w:sz w:val="20"/>
        </w:rPr>
        <w:footnoteReference w:id="442"/>
      </w:r>
      <w:r w:rsidR="00952258" w:rsidRPr="00412620">
        <w:rPr>
          <w:rFonts w:ascii="Arial" w:hAnsi="Arial" w:cs="Arial"/>
          <w:b w:val="0"/>
          <w:sz w:val="20"/>
        </w:rPr>
        <w:t>[(5)</w:t>
      </w:r>
      <w:r w:rsidR="00952258" w:rsidRPr="00412620">
        <w:rPr>
          <w:rFonts w:ascii="Arial" w:hAnsi="Arial" w:cs="Arial"/>
          <w:b w:val="0"/>
          <w:sz w:val="20"/>
        </w:rPr>
        <w:tab/>
        <w:t>For the purposes of this section and sections 65B and 65E, an industrial undertaking shall be treated to have been setup on the date on which the industrial undertaking is ready to go into production, whether trial production or commercial production.]</w:t>
      </w:r>
    </w:p>
    <w:p w:rsidR="00952258" w:rsidRPr="00412620" w:rsidRDefault="00952258" w:rsidP="00DD30F3">
      <w:pPr>
        <w:pStyle w:val="C"/>
        <w:widowControl/>
        <w:spacing w:before="0" w:after="0"/>
        <w:jc w:val="both"/>
        <w:rPr>
          <w:rFonts w:ascii="Arial" w:hAnsi="Arial"/>
          <w:b w:val="0"/>
          <w:sz w:val="20"/>
          <w:lang w:val="en-AU"/>
        </w:rPr>
      </w:pPr>
    </w:p>
    <w:p w:rsidR="00EA6289" w:rsidRPr="00412620" w:rsidRDefault="00850DCD" w:rsidP="00EA6289">
      <w:pPr>
        <w:pStyle w:val="C"/>
        <w:widowControl/>
        <w:spacing w:before="0" w:after="0"/>
        <w:jc w:val="both"/>
        <w:rPr>
          <w:rFonts w:ascii="Arial" w:hAnsi="Arial" w:cs="Arial"/>
          <w:b w:val="0"/>
          <w:sz w:val="20"/>
        </w:rPr>
      </w:pPr>
      <w:r w:rsidRPr="00412620">
        <w:rPr>
          <w:rStyle w:val="FootnoteReference"/>
          <w:rFonts w:ascii="Arial" w:hAnsi="Arial"/>
          <w:b w:val="0"/>
          <w:sz w:val="20"/>
          <w:lang w:val="en-AU"/>
        </w:rPr>
        <w:footnoteReference w:id="443"/>
      </w:r>
      <w:r w:rsidR="000A6A61" w:rsidRPr="00412620">
        <w:rPr>
          <w:rFonts w:ascii="Arial" w:hAnsi="Arial"/>
          <w:sz w:val="20"/>
          <w:lang w:val="en-AU"/>
        </w:rPr>
        <w:t>[65E. Tax credit for industrial undertakings established before the first day of July, 2011</w:t>
      </w:r>
      <w:r w:rsidR="009F31A5">
        <w:rPr>
          <w:rFonts w:ascii="Arial" w:hAnsi="Arial"/>
          <w:sz w:val="20"/>
          <w:lang w:val="en-AU"/>
        </w:rPr>
        <w:t>.</w:t>
      </w:r>
      <w:r w:rsidR="000A6A61" w:rsidRPr="00412620">
        <w:rPr>
          <w:rFonts w:cs="Arial"/>
          <w:b w:val="0"/>
          <w:sz w:val="20"/>
        </w:rPr>
        <w:t>—</w:t>
      </w:r>
      <w:r w:rsidR="00E13352" w:rsidRPr="00412620">
        <w:rPr>
          <w:rStyle w:val="FootnoteReference"/>
          <w:rFonts w:cs="Arial"/>
          <w:b w:val="0"/>
          <w:sz w:val="20"/>
        </w:rPr>
        <w:footnoteReference w:id="444"/>
      </w:r>
      <w:r w:rsidR="00E13352" w:rsidRPr="00412620">
        <w:rPr>
          <w:rFonts w:cs="Arial"/>
          <w:b w:val="0"/>
          <w:sz w:val="20"/>
        </w:rPr>
        <w:t>[</w:t>
      </w:r>
      <w:r w:rsidR="00EA6289" w:rsidRPr="00412620">
        <w:rPr>
          <w:rFonts w:ascii="Arial" w:hAnsi="Arial" w:cs="Arial"/>
          <w:b w:val="0"/>
          <w:sz w:val="20"/>
        </w:rPr>
        <w:t xml:space="preserve">(1) Where a taxpayer being a company, setup in Pakistan before the first day of July, 2011, invests any amount, with </w:t>
      </w:r>
      <w:r w:rsidR="00153440" w:rsidRPr="00B455DC">
        <w:rPr>
          <w:rStyle w:val="FootnoteReference"/>
          <w:rFonts w:ascii="Arial" w:hAnsi="Arial" w:cs="Arial"/>
          <w:b w:val="0"/>
          <w:color w:val="0070C0"/>
          <w:sz w:val="20"/>
        </w:rPr>
        <w:footnoteReference w:id="445"/>
      </w:r>
      <w:r w:rsidR="00153440" w:rsidRPr="00B455DC">
        <w:rPr>
          <w:rFonts w:ascii="Arial" w:hAnsi="Arial" w:cs="Arial"/>
          <w:b w:val="0"/>
          <w:color w:val="0070C0"/>
          <w:sz w:val="20"/>
        </w:rPr>
        <w:t>[“at least seventy</w:t>
      </w:r>
      <w:r w:rsidR="00EA6289" w:rsidRPr="00B455DC">
        <w:rPr>
          <w:rFonts w:ascii="Arial" w:hAnsi="Arial" w:cs="Arial"/>
          <w:b w:val="0"/>
          <w:color w:val="0070C0"/>
          <w:sz w:val="20"/>
        </w:rPr>
        <w:t xml:space="preserve"> </w:t>
      </w:r>
      <w:r w:rsidR="00AB6F06" w:rsidRPr="00B455DC">
        <w:rPr>
          <w:rFonts w:ascii="Arial" w:hAnsi="Arial" w:cs="Arial"/>
          <w:b w:val="0"/>
          <w:color w:val="0070C0"/>
          <w:sz w:val="20"/>
        </w:rPr>
        <w:t>per cent</w:t>
      </w:r>
      <w:r w:rsidR="00153440" w:rsidRPr="00B455DC">
        <w:rPr>
          <w:rFonts w:ascii="Arial" w:hAnsi="Arial" w:cs="Arial"/>
          <w:b w:val="0"/>
          <w:color w:val="0070C0"/>
          <w:sz w:val="20"/>
        </w:rPr>
        <w:t>”]</w:t>
      </w:r>
      <w:r w:rsidR="00EA6289" w:rsidRPr="00412620">
        <w:rPr>
          <w:rFonts w:ascii="Arial" w:hAnsi="Arial" w:cs="Arial"/>
          <w:b w:val="0"/>
          <w:sz w:val="20"/>
        </w:rPr>
        <w:t xml:space="preserve"> new equity raised through issuance of new shares, in the purchase and installation of plant and machinery for an industrial undertaking, including corporate dairy farming, for the purposes of-</w:t>
      </w:r>
    </w:p>
    <w:p w:rsidR="00EA6289" w:rsidRPr="00412620" w:rsidRDefault="00EA6289" w:rsidP="00EA6289">
      <w:pPr>
        <w:jc w:val="both"/>
        <w:rPr>
          <w:rFonts w:cs="Arial"/>
          <w:sz w:val="20"/>
        </w:rPr>
      </w:pPr>
    </w:p>
    <w:p w:rsidR="00EA6289" w:rsidRPr="00412620" w:rsidRDefault="00EA6289" w:rsidP="00EA6289">
      <w:pPr>
        <w:ind w:left="1641" w:hanging="540"/>
        <w:jc w:val="both"/>
        <w:rPr>
          <w:rFonts w:cs="Arial"/>
          <w:sz w:val="20"/>
        </w:rPr>
      </w:pPr>
      <w:r w:rsidRPr="00412620">
        <w:rPr>
          <w:rFonts w:cs="Arial"/>
          <w:sz w:val="20"/>
        </w:rPr>
        <w:t xml:space="preserve">(i) </w:t>
      </w:r>
      <w:r w:rsidRPr="00412620">
        <w:rPr>
          <w:rFonts w:cs="Arial"/>
          <w:sz w:val="20"/>
        </w:rPr>
        <w:tab/>
        <w:t xml:space="preserve">expansion of the plant and machinery already installed therein; or </w:t>
      </w:r>
    </w:p>
    <w:p w:rsidR="00EA6289" w:rsidRPr="00412620" w:rsidRDefault="00EA6289" w:rsidP="00EA6289">
      <w:pPr>
        <w:ind w:left="1641" w:hanging="540"/>
        <w:jc w:val="both"/>
        <w:rPr>
          <w:rFonts w:cs="Arial"/>
          <w:sz w:val="20"/>
        </w:rPr>
      </w:pPr>
    </w:p>
    <w:p w:rsidR="00D56B77" w:rsidRDefault="00EA6289" w:rsidP="00331F57">
      <w:pPr>
        <w:ind w:left="1641" w:hanging="546"/>
        <w:jc w:val="both"/>
        <w:rPr>
          <w:rFonts w:cs="Arial"/>
          <w:sz w:val="20"/>
        </w:rPr>
      </w:pPr>
      <w:r w:rsidRPr="00412620">
        <w:rPr>
          <w:rFonts w:cs="Arial"/>
          <w:sz w:val="20"/>
        </w:rPr>
        <w:t xml:space="preserve">(ii)  </w:t>
      </w:r>
      <w:r w:rsidRPr="00412620">
        <w:rPr>
          <w:rFonts w:cs="Arial"/>
          <w:sz w:val="20"/>
        </w:rPr>
        <w:tab/>
        <w:t>undertaking a new project,</w:t>
      </w:r>
    </w:p>
    <w:p w:rsidR="00D56B77" w:rsidRDefault="00D56B77" w:rsidP="00D56B77">
      <w:pPr>
        <w:jc w:val="both"/>
        <w:rPr>
          <w:rFonts w:cs="Arial"/>
          <w:sz w:val="20"/>
        </w:rPr>
      </w:pPr>
    </w:p>
    <w:p w:rsidR="00EA6289" w:rsidRPr="00412620" w:rsidRDefault="00EA6289" w:rsidP="00D56B77">
      <w:pPr>
        <w:jc w:val="both"/>
      </w:pPr>
      <w:r w:rsidRPr="00412620">
        <w:rPr>
          <w:rFonts w:cs="Arial"/>
          <w:sz w:val="20"/>
        </w:rPr>
        <w:t>a tax credit shall be allowed against the tax payable in the manner provided in sub-section (2) and sub-section (3), as the case may be, for a period of five years beginning from the date of setting up or commencement of commercial production from the new plant or expansion project, whichever is later.</w:t>
      </w:r>
      <w:r w:rsidR="00832779" w:rsidRPr="00412620">
        <w:rPr>
          <w:rFonts w:cs="Arial"/>
          <w:sz w:val="20"/>
        </w:rPr>
        <w:t>]</w:t>
      </w:r>
    </w:p>
    <w:p w:rsidR="00EA6289" w:rsidRPr="00412620" w:rsidRDefault="00EA6289" w:rsidP="00DD30F3">
      <w:pPr>
        <w:pStyle w:val="C"/>
        <w:widowControl/>
        <w:spacing w:before="0" w:after="0"/>
        <w:jc w:val="both"/>
        <w:rPr>
          <w:rFonts w:cs="Arial"/>
          <w:b w:val="0"/>
          <w:sz w:val="20"/>
        </w:rPr>
      </w:pPr>
    </w:p>
    <w:p w:rsidR="00FF7684" w:rsidRPr="00412620" w:rsidRDefault="00FF7684" w:rsidP="00FF7684">
      <w:pPr>
        <w:jc w:val="both"/>
        <w:rPr>
          <w:rFonts w:cs="Arial"/>
          <w:sz w:val="20"/>
        </w:rPr>
      </w:pPr>
      <w:r w:rsidRPr="00412620">
        <w:rPr>
          <w:rFonts w:cs="Arial"/>
          <w:sz w:val="20"/>
        </w:rPr>
        <w:tab/>
      </w:r>
      <w:r w:rsidR="003537EB" w:rsidRPr="00412620">
        <w:rPr>
          <w:rStyle w:val="FootnoteReference"/>
          <w:rFonts w:cs="Arial"/>
          <w:sz w:val="20"/>
        </w:rPr>
        <w:footnoteReference w:id="446"/>
      </w:r>
      <w:r w:rsidRPr="00412620">
        <w:rPr>
          <w:rFonts w:cs="Arial"/>
          <w:sz w:val="20"/>
        </w:rPr>
        <w:t>[(2)</w:t>
      </w:r>
      <w:r w:rsidRPr="00412620">
        <w:rPr>
          <w:rFonts w:cs="Arial"/>
          <w:sz w:val="20"/>
        </w:rPr>
        <w:tab/>
        <w:t xml:space="preserve">Where a taxpayer maintains separate accounts of an expansion project or a new project, as the case may be, the taxpayer shall be allowed a tax </w:t>
      </w:r>
      <w:r w:rsidRPr="00412620">
        <w:rPr>
          <w:rFonts w:cs="Arial"/>
          <w:sz w:val="20"/>
        </w:rPr>
        <w:lastRenderedPageBreak/>
        <w:t xml:space="preserve">credit equal to one </w:t>
      </w:r>
      <w:r w:rsidR="00A92A39" w:rsidRPr="0026128B">
        <w:rPr>
          <w:rStyle w:val="FootnoteReference"/>
          <w:rFonts w:cs="Arial"/>
          <w:color w:val="0070C0"/>
          <w:sz w:val="20"/>
        </w:rPr>
        <w:footnoteReference w:id="447"/>
      </w:r>
      <w:r w:rsidR="00A92A39" w:rsidRPr="0026128B">
        <w:rPr>
          <w:rFonts w:cs="Arial"/>
          <w:color w:val="0070C0"/>
          <w:sz w:val="20"/>
        </w:rPr>
        <w:t>[“an amount as computed in sub-section (3A)”]</w:t>
      </w:r>
      <w:r w:rsidRPr="00412620">
        <w:rPr>
          <w:rFonts w:cs="Arial"/>
          <w:sz w:val="20"/>
        </w:rPr>
        <w:t xml:space="preserve"> of the tax payable, including minimum tax and final taxes payable under any of the provisions of this Ordinance, attributable to such expansion project or new project.]</w:t>
      </w:r>
    </w:p>
    <w:p w:rsidR="00FF7684" w:rsidRPr="00412620" w:rsidRDefault="00FF7684" w:rsidP="00FF7684">
      <w:pPr>
        <w:jc w:val="both"/>
        <w:rPr>
          <w:rFonts w:cs="Arial"/>
          <w:sz w:val="20"/>
        </w:rPr>
      </w:pPr>
    </w:p>
    <w:p w:rsidR="00FF7684" w:rsidRDefault="00FF7684" w:rsidP="00FF7684">
      <w:pPr>
        <w:jc w:val="both"/>
        <w:rPr>
          <w:rFonts w:cs="Arial"/>
          <w:sz w:val="20"/>
        </w:rPr>
      </w:pPr>
      <w:r w:rsidRPr="00412620">
        <w:rPr>
          <w:rFonts w:cs="Arial"/>
          <w:sz w:val="20"/>
        </w:rPr>
        <w:tab/>
      </w:r>
      <w:r w:rsidR="00D36B13" w:rsidRPr="00412620">
        <w:rPr>
          <w:rStyle w:val="FootnoteReference"/>
          <w:rFonts w:cs="Arial"/>
          <w:sz w:val="20"/>
        </w:rPr>
        <w:footnoteReference w:id="448"/>
      </w:r>
      <w:r w:rsidRPr="00412620">
        <w:rPr>
          <w:rFonts w:cs="Arial"/>
          <w:sz w:val="20"/>
        </w:rPr>
        <w:t>[(3)</w:t>
      </w:r>
      <w:r w:rsidRPr="00412620">
        <w:rPr>
          <w:rFonts w:cs="Arial"/>
          <w:sz w:val="20"/>
        </w:rPr>
        <w:tab/>
        <w:t xml:space="preserve">In all other cases, the credit under </w:t>
      </w:r>
      <w:r w:rsidR="004C70E7" w:rsidRPr="0026128B">
        <w:rPr>
          <w:rStyle w:val="FootnoteReference"/>
          <w:rFonts w:cs="Arial"/>
          <w:color w:val="0070C0"/>
          <w:sz w:val="20"/>
        </w:rPr>
        <w:footnoteReference w:id="449"/>
      </w:r>
      <w:r w:rsidR="00092CA1" w:rsidRPr="0026128B">
        <w:rPr>
          <w:rFonts w:cs="Arial"/>
          <w:color w:val="0070C0"/>
          <w:sz w:val="20"/>
        </w:rPr>
        <w:t>[“sub-</w:t>
      </w:r>
      <w:r w:rsidRPr="0026128B">
        <w:rPr>
          <w:rFonts w:cs="Arial"/>
          <w:color w:val="0070C0"/>
          <w:sz w:val="20"/>
        </w:rPr>
        <w:t>section</w:t>
      </w:r>
      <w:r w:rsidR="00092CA1" w:rsidRPr="0026128B">
        <w:rPr>
          <w:rFonts w:cs="Arial"/>
          <w:color w:val="0070C0"/>
          <w:sz w:val="20"/>
        </w:rPr>
        <w:t xml:space="preserve"> (3A)”]</w:t>
      </w:r>
      <w:r w:rsidRPr="00412620">
        <w:rPr>
          <w:rFonts w:cs="Arial"/>
          <w:sz w:val="20"/>
        </w:rPr>
        <w:t xml:space="preserve"> shall be such proportion of the tax payable, including minimum tax and final taxes payable under any of the provisions of this Ordinance, as is the proportion between the new equity and the total equity including new equity.]</w:t>
      </w:r>
    </w:p>
    <w:p w:rsidR="008A1FFD" w:rsidRPr="00412620" w:rsidRDefault="008A1FFD" w:rsidP="00FF7684">
      <w:pPr>
        <w:jc w:val="both"/>
        <w:rPr>
          <w:rFonts w:cs="Arial"/>
          <w:sz w:val="20"/>
        </w:rPr>
      </w:pPr>
    </w:p>
    <w:p w:rsidR="008A1FFD" w:rsidRPr="0026128B" w:rsidRDefault="00E336F6" w:rsidP="008A1FFD">
      <w:pPr>
        <w:ind w:firstLine="540"/>
        <w:jc w:val="both"/>
        <w:rPr>
          <w:rFonts w:cs="Arial"/>
          <w:color w:val="0070C0"/>
          <w:sz w:val="20"/>
        </w:rPr>
      </w:pPr>
      <w:r w:rsidRPr="0026128B">
        <w:rPr>
          <w:rStyle w:val="FootnoteReference"/>
          <w:rFonts w:cs="Arial"/>
          <w:bCs/>
          <w:color w:val="0070C0"/>
          <w:sz w:val="20"/>
        </w:rPr>
        <w:footnoteReference w:id="450"/>
      </w:r>
      <w:r w:rsidR="008A1FFD" w:rsidRPr="0026128B">
        <w:rPr>
          <w:rFonts w:cs="Arial"/>
          <w:bCs/>
          <w:color w:val="0070C0"/>
          <w:sz w:val="20"/>
        </w:rPr>
        <w:t>[“</w:t>
      </w:r>
      <w:r w:rsidR="008A1FFD" w:rsidRPr="0026128B">
        <w:rPr>
          <w:rFonts w:cs="Arial"/>
          <w:color w:val="0070C0"/>
          <w:sz w:val="20"/>
        </w:rPr>
        <w:t>(3A)</w:t>
      </w:r>
      <w:r w:rsidRPr="0026128B">
        <w:rPr>
          <w:rFonts w:cs="Arial"/>
          <w:color w:val="0070C0"/>
          <w:sz w:val="20"/>
        </w:rPr>
        <w:t xml:space="preserve"> </w:t>
      </w:r>
      <w:r w:rsidR="008A1FFD" w:rsidRPr="0026128B">
        <w:rPr>
          <w:rFonts w:cs="Arial"/>
          <w:color w:val="0070C0"/>
          <w:sz w:val="20"/>
        </w:rPr>
        <w:t>The amount of a person’s tax credit allowed under sub-section (1) for a tax year shall be computed according to the following formula, namely: —</w:t>
      </w:r>
    </w:p>
    <w:p w:rsidR="008A1FFD" w:rsidRPr="0026128B" w:rsidRDefault="008A1FFD" w:rsidP="008A1FFD">
      <w:pPr>
        <w:ind w:firstLine="540"/>
        <w:jc w:val="both"/>
        <w:rPr>
          <w:rFonts w:cs="Arial"/>
          <w:color w:val="0070C0"/>
          <w:sz w:val="20"/>
        </w:rPr>
      </w:pPr>
    </w:p>
    <w:p w:rsidR="008A1FFD" w:rsidRPr="0026128B" w:rsidRDefault="008A1FFD" w:rsidP="008A1FFD">
      <w:pPr>
        <w:ind w:left="3060"/>
        <w:rPr>
          <w:rFonts w:cs="Arial"/>
          <w:b/>
          <w:color w:val="0070C0"/>
          <w:sz w:val="20"/>
        </w:rPr>
      </w:pPr>
      <w:r w:rsidRPr="0026128B">
        <w:rPr>
          <w:rFonts w:cs="Arial"/>
          <w:b/>
          <w:color w:val="0070C0"/>
          <w:sz w:val="20"/>
        </w:rPr>
        <w:t>A x (B/C)</w:t>
      </w:r>
    </w:p>
    <w:p w:rsidR="008A1FFD" w:rsidRPr="0026128B" w:rsidRDefault="008A1FFD" w:rsidP="008A1FFD">
      <w:pPr>
        <w:ind w:left="2880" w:hanging="1710"/>
        <w:rPr>
          <w:rFonts w:cs="Arial"/>
          <w:color w:val="0070C0"/>
          <w:sz w:val="20"/>
        </w:rPr>
      </w:pPr>
      <w:r w:rsidRPr="0026128B">
        <w:rPr>
          <w:rFonts w:cs="Arial"/>
          <w:color w:val="0070C0"/>
          <w:sz w:val="20"/>
        </w:rPr>
        <w:t xml:space="preserve">where— </w:t>
      </w:r>
    </w:p>
    <w:p w:rsidR="00E336F6" w:rsidRPr="0026128B" w:rsidRDefault="00E336F6" w:rsidP="008A1FFD">
      <w:pPr>
        <w:ind w:left="2880" w:hanging="1710"/>
        <w:rPr>
          <w:rFonts w:cs="Arial"/>
          <w:color w:val="0070C0"/>
          <w:sz w:val="20"/>
        </w:rPr>
      </w:pPr>
    </w:p>
    <w:p w:rsidR="008A1FFD" w:rsidRPr="0026128B" w:rsidRDefault="008A1FFD" w:rsidP="007230C2">
      <w:pPr>
        <w:ind w:left="2430" w:hanging="450"/>
        <w:jc w:val="both"/>
        <w:rPr>
          <w:rFonts w:cs="Arial"/>
          <w:color w:val="0070C0"/>
          <w:sz w:val="20"/>
        </w:rPr>
      </w:pPr>
      <w:r w:rsidRPr="0026128B">
        <w:rPr>
          <w:rFonts w:cs="Arial"/>
          <w:color w:val="0070C0"/>
          <w:sz w:val="20"/>
        </w:rPr>
        <w:t>A</w:t>
      </w:r>
      <w:r w:rsidRPr="0026128B">
        <w:rPr>
          <w:rFonts w:cs="Arial"/>
          <w:color w:val="0070C0"/>
          <w:sz w:val="20"/>
        </w:rPr>
        <w:tab/>
        <w:t xml:space="preserve">is the amount of tax assessed to the person for the tax year before allowance of any tax credit for the tax year;  </w:t>
      </w:r>
    </w:p>
    <w:p w:rsidR="008A1FFD" w:rsidRPr="0026128B" w:rsidRDefault="008A1FFD" w:rsidP="008A1FFD">
      <w:pPr>
        <w:ind w:left="2430" w:hanging="450"/>
        <w:rPr>
          <w:rFonts w:cs="Arial"/>
          <w:color w:val="0070C0"/>
          <w:sz w:val="20"/>
        </w:rPr>
      </w:pPr>
    </w:p>
    <w:p w:rsidR="008A1FFD" w:rsidRPr="0026128B" w:rsidRDefault="008A1FFD" w:rsidP="007230C2">
      <w:pPr>
        <w:ind w:left="2430" w:hanging="450"/>
        <w:jc w:val="both"/>
        <w:rPr>
          <w:rFonts w:cs="Arial"/>
          <w:color w:val="0070C0"/>
          <w:sz w:val="20"/>
        </w:rPr>
      </w:pPr>
      <w:r w:rsidRPr="0026128B">
        <w:rPr>
          <w:rFonts w:cs="Arial"/>
          <w:color w:val="0070C0"/>
          <w:sz w:val="20"/>
        </w:rPr>
        <w:t>B</w:t>
      </w:r>
      <w:r w:rsidRPr="0026128B">
        <w:rPr>
          <w:rFonts w:cs="Arial"/>
          <w:color w:val="0070C0"/>
          <w:sz w:val="20"/>
        </w:rPr>
        <w:tab/>
        <w:t>is the equity raised through issuance of new shares for cash consideration; and</w:t>
      </w:r>
    </w:p>
    <w:p w:rsidR="008A1FFD" w:rsidRPr="0026128B" w:rsidRDefault="008A1FFD" w:rsidP="008A1FFD">
      <w:pPr>
        <w:ind w:left="2430" w:hanging="450"/>
        <w:rPr>
          <w:rFonts w:cs="Arial"/>
          <w:color w:val="0070C0"/>
          <w:sz w:val="20"/>
        </w:rPr>
      </w:pPr>
    </w:p>
    <w:p w:rsidR="00FF7684" w:rsidRPr="0026128B" w:rsidRDefault="008A1FFD" w:rsidP="008A1FFD">
      <w:pPr>
        <w:ind w:left="2430" w:hanging="450"/>
        <w:jc w:val="both"/>
        <w:rPr>
          <w:rFonts w:cs="Arial"/>
          <w:color w:val="0070C0"/>
          <w:sz w:val="20"/>
        </w:rPr>
      </w:pPr>
      <w:r w:rsidRPr="0026128B">
        <w:rPr>
          <w:rFonts w:cs="Arial"/>
          <w:color w:val="0070C0"/>
          <w:sz w:val="20"/>
        </w:rPr>
        <w:t>C</w:t>
      </w:r>
      <w:r w:rsidRPr="0026128B">
        <w:rPr>
          <w:rFonts w:cs="Arial"/>
          <w:color w:val="0070C0"/>
          <w:sz w:val="20"/>
        </w:rPr>
        <w:tab/>
        <w:t>is the total amount invested in the purchase and installation of plant and machinery for the industrial undertaking.”]</w:t>
      </w:r>
    </w:p>
    <w:p w:rsidR="008A1FFD" w:rsidRPr="00412620" w:rsidRDefault="008A1FFD" w:rsidP="00FF7684">
      <w:pPr>
        <w:jc w:val="both"/>
        <w:rPr>
          <w:rFonts w:cs="Arial"/>
          <w:sz w:val="20"/>
        </w:rPr>
      </w:pPr>
    </w:p>
    <w:p w:rsidR="00FF7684" w:rsidRPr="00412620" w:rsidRDefault="00FF7684" w:rsidP="00FF7684">
      <w:pPr>
        <w:jc w:val="both"/>
        <w:rPr>
          <w:rFonts w:cs="Arial"/>
          <w:sz w:val="20"/>
        </w:rPr>
      </w:pPr>
      <w:r w:rsidRPr="00412620">
        <w:rPr>
          <w:rFonts w:cs="Arial"/>
          <w:sz w:val="20"/>
        </w:rPr>
        <w:tab/>
      </w:r>
      <w:r w:rsidR="002A2680" w:rsidRPr="00412620">
        <w:rPr>
          <w:rStyle w:val="FootnoteReference"/>
          <w:rFonts w:cs="Arial"/>
          <w:sz w:val="20"/>
        </w:rPr>
        <w:footnoteReference w:id="451"/>
      </w:r>
      <w:r w:rsidRPr="00412620">
        <w:rPr>
          <w:rFonts w:cs="Arial"/>
          <w:sz w:val="20"/>
        </w:rPr>
        <w:t>[(4)</w:t>
      </w:r>
      <w:r w:rsidRPr="00412620">
        <w:rPr>
          <w:rFonts w:cs="Arial"/>
          <w:sz w:val="20"/>
        </w:rPr>
        <w:tab/>
        <w:t xml:space="preserve">The provisions of sub-section (1) shall apply if the plant and machinery is installed at any time between the first day of July, 2011 and the 30th day of June, </w:t>
      </w:r>
      <w:r w:rsidR="00EC40AD" w:rsidRPr="0026128B">
        <w:rPr>
          <w:rStyle w:val="FootnoteReference"/>
          <w:rFonts w:cs="Arial"/>
          <w:color w:val="0070C0"/>
          <w:sz w:val="20"/>
        </w:rPr>
        <w:footnoteReference w:id="452"/>
      </w:r>
      <w:r w:rsidR="00EC40AD" w:rsidRPr="0026128B">
        <w:rPr>
          <w:rFonts w:cs="Arial"/>
          <w:color w:val="0070C0"/>
          <w:sz w:val="20"/>
        </w:rPr>
        <w:t>[“</w:t>
      </w:r>
      <w:r w:rsidRPr="0026128B">
        <w:rPr>
          <w:rFonts w:cs="Arial"/>
          <w:color w:val="0070C0"/>
          <w:sz w:val="20"/>
        </w:rPr>
        <w:t>201</w:t>
      </w:r>
      <w:r w:rsidR="00EC40AD" w:rsidRPr="0026128B">
        <w:rPr>
          <w:rFonts w:cs="Arial"/>
          <w:color w:val="0070C0"/>
          <w:sz w:val="20"/>
        </w:rPr>
        <w:t>9”]</w:t>
      </w:r>
      <w:r w:rsidR="00EC40AD">
        <w:rPr>
          <w:rFonts w:cs="Arial"/>
          <w:sz w:val="20"/>
        </w:rPr>
        <w:t xml:space="preserve"> </w:t>
      </w:r>
      <w:r w:rsidRPr="00412620">
        <w:rPr>
          <w:rFonts w:cs="Arial"/>
          <w:sz w:val="20"/>
        </w:rPr>
        <w:t>.]</w:t>
      </w:r>
    </w:p>
    <w:p w:rsidR="003D1AA6" w:rsidRPr="00412620" w:rsidRDefault="003D1AA6" w:rsidP="00FF7684">
      <w:pPr>
        <w:pStyle w:val="C"/>
        <w:widowControl/>
        <w:spacing w:before="0" w:after="0"/>
        <w:jc w:val="both"/>
        <w:rPr>
          <w:rFonts w:ascii="Arial" w:hAnsi="Arial" w:cs="Arial"/>
          <w:b w:val="0"/>
          <w:sz w:val="20"/>
        </w:rPr>
      </w:pPr>
    </w:p>
    <w:p w:rsidR="009F7FA3" w:rsidRPr="003D1AA6" w:rsidRDefault="00FF7684" w:rsidP="003D1AA6">
      <w:pPr>
        <w:autoSpaceDE w:val="0"/>
        <w:autoSpaceDN w:val="0"/>
        <w:adjustRightInd w:val="0"/>
        <w:jc w:val="both"/>
        <w:rPr>
          <w:rFonts w:cs="Arial"/>
          <w:sz w:val="20"/>
        </w:rPr>
      </w:pPr>
      <w:r w:rsidRPr="00412620">
        <w:rPr>
          <w:rFonts w:cs="Arial"/>
          <w:b/>
          <w:sz w:val="20"/>
        </w:rPr>
        <w:tab/>
      </w:r>
      <w:r w:rsidR="00FA7FCF" w:rsidRPr="003D1AA6">
        <w:rPr>
          <w:rStyle w:val="FootnoteReference"/>
          <w:rFonts w:cs="Arial"/>
          <w:sz w:val="20"/>
        </w:rPr>
        <w:footnoteReference w:id="453"/>
      </w:r>
      <w:r w:rsidRPr="003D1AA6">
        <w:rPr>
          <w:rFonts w:cs="Arial"/>
          <w:sz w:val="20"/>
        </w:rPr>
        <w:t>[(5)</w:t>
      </w:r>
      <w:r w:rsidRPr="003D1AA6">
        <w:rPr>
          <w:rFonts w:cs="Arial"/>
          <w:sz w:val="20"/>
        </w:rPr>
        <w:tab/>
        <w:t>The amount of credit admissible under this section shall be deducted from the tax payable, including minimum tax and final taxes payable under any of the provisions of this Ordinance, by the taxpayer</w:t>
      </w:r>
      <w:r w:rsidR="00A7684E">
        <w:rPr>
          <w:rFonts w:cs="Arial"/>
          <w:sz w:val="20"/>
        </w:rPr>
        <w:t xml:space="preserve"> </w:t>
      </w:r>
      <w:r w:rsidR="003D1AA6" w:rsidRPr="002E247F">
        <w:rPr>
          <w:rStyle w:val="FootnoteReference"/>
          <w:rFonts w:cs="Arial"/>
          <w:color w:val="000000" w:themeColor="text1"/>
          <w:sz w:val="20"/>
        </w:rPr>
        <w:footnoteReference w:id="454"/>
      </w:r>
      <w:r w:rsidR="003D1AA6" w:rsidRPr="002E247F">
        <w:rPr>
          <w:rFonts w:cs="Arial"/>
          <w:color w:val="000000" w:themeColor="text1"/>
          <w:sz w:val="20"/>
        </w:rPr>
        <w:t xml:space="preserve">[“, </w:t>
      </w:r>
      <w:r w:rsidR="003D1AA6" w:rsidRPr="002E247F">
        <w:rPr>
          <w:rFonts w:cs="Arial"/>
          <w:color w:val="000000" w:themeColor="text1"/>
          <w:sz w:val="20"/>
          <w:lang w:val="en-US"/>
        </w:rPr>
        <w:t>for a period of five years beginning from the date of setting up or commencement of commercial production from the new plant or expansion project, whichever is later.”</w:t>
      </w:r>
      <w:r w:rsidRPr="002E247F">
        <w:rPr>
          <w:rFonts w:cs="Arial"/>
          <w:color w:val="000000" w:themeColor="text1"/>
          <w:sz w:val="20"/>
        </w:rPr>
        <w:t>]</w:t>
      </w:r>
    </w:p>
    <w:p w:rsidR="00742278" w:rsidRPr="00412620" w:rsidRDefault="00742278" w:rsidP="00742278">
      <w:pPr>
        <w:pStyle w:val="C"/>
        <w:widowControl/>
        <w:spacing w:before="0" w:after="0"/>
        <w:ind w:left="1094" w:firstLine="541"/>
        <w:jc w:val="both"/>
        <w:rPr>
          <w:rFonts w:ascii="Arial" w:hAnsi="Arial" w:cs="Arial"/>
          <w:b w:val="0"/>
          <w:sz w:val="20"/>
          <w:lang w:val="en-AU"/>
        </w:rPr>
      </w:pPr>
    </w:p>
    <w:p w:rsidR="004B776C" w:rsidRPr="00412620" w:rsidRDefault="00742278" w:rsidP="00DD30F3">
      <w:pPr>
        <w:pStyle w:val="C"/>
        <w:widowControl/>
        <w:spacing w:before="0" w:after="0"/>
        <w:jc w:val="both"/>
        <w:rPr>
          <w:rFonts w:ascii="Arial" w:hAnsi="Arial" w:cs="Arial"/>
          <w:b w:val="0"/>
          <w:sz w:val="20"/>
          <w:lang w:val="en-AU"/>
        </w:rPr>
      </w:pPr>
      <w:r w:rsidRPr="00412620">
        <w:rPr>
          <w:rFonts w:ascii="Arial" w:hAnsi="Arial" w:cs="Arial"/>
          <w:b w:val="0"/>
          <w:sz w:val="20"/>
          <w:lang w:val="en-AU"/>
        </w:rPr>
        <w:tab/>
      </w:r>
      <w:r w:rsidR="007961E7" w:rsidRPr="00412620">
        <w:rPr>
          <w:rStyle w:val="FootnoteReference"/>
          <w:rFonts w:ascii="Arial" w:hAnsi="Arial" w:cs="Arial"/>
          <w:b w:val="0"/>
          <w:sz w:val="20"/>
          <w:lang w:val="en-AU"/>
        </w:rPr>
        <w:footnoteReference w:id="455"/>
      </w:r>
      <w:r w:rsidR="007961E7" w:rsidRPr="00412620">
        <w:rPr>
          <w:rFonts w:ascii="Arial" w:hAnsi="Arial" w:cs="Arial"/>
          <w:b w:val="0"/>
          <w:sz w:val="20"/>
          <w:lang w:val="en-AU"/>
        </w:rPr>
        <w:t>[</w:t>
      </w:r>
      <w:r w:rsidRPr="00412620">
        <w:rPr>
          <w:rFonts w:ascii="Arial" w:hAnsi="Arial" w:cs="Arial"/>
          <w:b w:val="0"/>
          <w:sz w:val="20"/>
          <w:lang w:val="en-AU"/>
        </w:rPr>
        <w:t>(</w:t>
      </w:r>
      <w:r w:rsidR="007961E7" w:rsidRPr="00412620">
        <w:rPr>
          <w:rFonts w:ascii="Arial" w:hAnsi="Arial" w:cs="Arial"/>
          <w:b w:val="0"/>
          <w:sz w:val="20"/>
          <w:lang w:val="en-AU"/>
        </w:rPr>
        <w:t>6</w:t>
      </w:r>
      <w:r w:rsidRPr="00412620">
        <w:rPr>
          <w:rFonts w:ascii="Arial" w:hAnsi="Arial" w:cs="Arial"/>
          <w:b w:val="0"/>
          <w:sz w:val="20"/>
          <w:lang w:val="en-AU"/>
        </w:rPr>
        <w:t>)</w:t>
      </w:r>
      <w:r w:rsidR="007961E7" w:rsidRPr="00412620">
        <w:rPr>
          <w:rFonts w:ascii="Arial" w:hAnsi="Arial" w:cs="Arial"/>
          <w:b w:val="0"/>
          <w:sz w:val="20"/>
          <w:lang w:val="en-AU"/>
        </w:rPr>
        <w:t>]</w:t>
      </w:r>
      <w:r w:rsidRPr="00412620">
        <w:rPr>
          <w:rFonts w:ascii="Arial" w:hAnsi="Arial" w:cs="Arial"/>
          <w:b w:val="0"/>
          <w:sz w:val="20"/>
          <w:lang w:val="en-AU"/>
        </w:rPr>
        <w:tab/>
      </w:r>
      <w:r w:rsidR="00FA11AE" w:rsidRPr="00412620">
        <w:rPr>
          <w:rFonts w:ascii="Arial" w:hAnsi="Arial" w:cs="Arial"/>
          <w:b w:val="0"/>
          <w:sz w:val="20"/>
          <w:lang w:val="en-AU"/>
        </w:rPr>
        <w:t xml:space="preserve">Where any credit is allowed under this section and subsequently it is discovered, on the basis of documents or otherwise, by the Commissioner Inland Revenue that </w:t>
      </w:r>
      <w:r w:rsidR="00361178" w:rsidRPr="0026128B">
        <w:rPr>
          <w:rStyle w:val="FootnoteReference"/>
          <w:rFonts w:ascii="Arial" w:hAnsi="Arial"/>
          <w:b w:val="0"/>
          <w:color w:val="0070C0"/>
          <w:sz w:val="20"/>
          <w:lang w:val="en-AU"/>
        </w:rPr>
        <w:footnoteReference w:id="456"/>
      </w:r>
      <w:r w:rsidR="00361178" w:rsidRPr="0026128B">
        <w:rPr>
          <w:rFonts w:ascii="Arial" w:hAnsi="Arial" w:cs="Arial"/>
          <w:b w:val="0"/>
          <w:color w:val="0070C0"/>
          <w:sz w:val="20"/>
        </w:rPr>
        <w:t>[“</w:t>
      </w:r>
      <w:r w:rsidR="00361178" w:rsidRPr="0026128B">
        <w:rPr>
          <w:rFonts w:ascii="Arial" w:hAnsi="Arial" w:cs="Arial"/>
          <w:b w:val="0"/>
          <w:color w:val="0070C0"/>
          <w:sz w:val="20"/>
          <w:lang w:val="en-AU"/>
        </w:rPr>
        <w:t>the business has been discontinued in the subsequent five  years after the credit has been allowed or</w:t>
      </w:r>
      <w:r w:rsidR="00361178" w:rsidRPr="0026128B">
        <w:rPr>
          <w:rFonts w:ascii="Arial" w:hAnsi="Arial" w:cs="Arial"/>
          <w:b w:val="0"/>
          <w:color w:val="0070C0"/>
          <w:sz w:val="20"/>
        </w:rPr>
        <w:t>”]</w:t>
      </w:r>
      <w:r w:rsidR="00361178" w:rsidRPr="00412620">
        <w:rPr>
          <w:rFonts w:ascii="Arial" w:hAnsi="Arial"/>
          <w:b w:val="0"/>
          <w:sz w:val="20"/>
          <w:lang w:val="en-AU"/>
        </w:rPr>
        <w:t xml:space="preserve"> </w:t>
      </w:r>
      <w:r w:rsidR="00FA11AE" w:rsidRPr="00412620">
        <w:rPr>
          <w:rFonts w:ascii="Arial" w:hAnsi="Arial" w:cs="Arial"/>
          <w:b w:val="0"/>
          <w:sz w:val="20"/>
          <w:lang w:val="en-AU"/>
        </w:rPr>
        <w:t>any of the condition specified in this section was not fulfilled, the credit originally allowed shall be deemed to have been wrongly allowed and the Commissioner Inland Revenue may, notwithstanding anything contained in this Ordinance, re-compute the tax payable by the taxpayer for the relevant year and the provisions of this Ord</w:t>
      </w:r>
      <w:r w:rsidR="00DC5F9B" w:rsidRPr="00412620">
        <w:rPr>
          <w:rFonts w:ascii="Arial" w:hAnsi="Arial" w:cs="Arial"/>
          <w:b w:val="0"/>
          <w:sz w:val="20"/>
          <w:lang w:val="en-AU"/>
        </w:rPr>
        <w:t>inance shall apply accordingly.</w:t>
      </w:r>
    </w:p>
    <w:p w:rsidR="004B776C" w:rsidRPr="00412620" w:rsidRDefault="004B776C" w:rsidP="00DD30F3">
      <w:pPr>
        <w:pStyle w:val="C"/>
        <w:widowControl/>
        <w:spacing w:before="0" w:after="0"/>
        <w:jc w:val="both"/>
        <w:rPr>
          <w:rFonts w:ascii="Arial" w:hAnsi="Arial" w:cs="Arial"/>
          <w:b w:val="0"/>
          <w:sz w:val="20"/>
          <w:lang w:val="en-AU"/>
        </w:rPr>
      </w:pPr>
    </w:p>
    <w:p w:rsidR="00954A6C" w:rsidRPr="00412620" w:rsidRDefault="00DC5F9B" w:rsidP="00954A6C">
      <w:pPr>
        <w:jc w:val="both"/>
        <w:rPr>
          <w:sz w:val="20"/>
        </w:rPr>
      </w:pPr>
      <w:r w:rsidRPr="00412620">
        <w:rPr>
          <w:rFonts w:cs="Arial"/>
          <w:sz w:val="20"/>
        </w:rPr>
        <w:tab/>
      </w:r>
      <w:r w:rsidR="00F1768C" w:rsidRPr="00412620">
        <w:rPr>
          <w:rStyle w:val="FootnoteReference"/>
          <w:rFonts w:cs="Arial"/>
          <w:sz w:val="20"/>
        </w:rPr>
        <w:footnoteReference w:id="457"/>
      </w:r>
      <w:r w:rsidRPr="00412620">
        <w:rPr>
          <w:rFonts w:cs="Arial"/>
          <w:sz w:val="20"/>
        </w:rPr>
        <w:t xml:space="preserve">[(7) </w:t>
      </w:r>
      <w:r w:rsidR="00954A6C" w:rsidRPr="00412620">
        <w:rPr>
          <w:sz w:val="20"/>
        </w:rPr>
        <w:t>For the purposes of this section, ‘new equity’ means equity raised through fresh issue of shares against cash by the company and shall not include loans obtained from shareholders or directors:</w:t>
      </w:r>
    </w:p>
    <w:p w:rsidR="00954A6C" w:rsidRPr="00412620" w:rsidRDefault="00954A6C" w:rsidP="00954A6C">
      <w:pPr>
        <w:jc w:val="both"/>
        <w:rPr>
          <w:sz w:val="20"/>
        </w:rPr>
      </w:pPr>
    </w:p>
    <w:p w:rsidR="00954A6C" w:rsidRPr="00412620" w:rsidRDefault="00954A6C" w:rsidP="00954A6C">
      <w:pPr>
        <w:ind w:left="1094" w:firstLine="541"/>
        <w:jc w:val="both"/>
        <w:rPr>
          <w:sz w:val="20"/>
        </w:rPr>
      </w:pPr>
      <w:r w:rsidRPr="00412620">
        <w:rPr>
          <w:sz w:val="20"/>
        </w:rPr>
        <w:t>Provided that short term loans and finances obtained from banking companies or non-banking financial institutions for the purposes of meeting working capital requirements shall not disqualify the taxpayer from claiming tax credit under this section.]</w:t>
      </w:r>
    </w:p>
    <w:p w:rsidR="004B776C" w:rsidRPr="00412620" w:rsidRDefault="00DC5F9B" w:rsidP="00DD30F3">
      <w:pPr>
        <w:pStyle w:val="C"/>
        <w:widowControl/>
        <w:spacing w:before="0" w:after="0"/>
        <w:jc w:val="both"/>
        <w:rPr>
          <w:rFonts w:ascii="Arial" w:hAnsi="Arial" w:cs="Arial"/>
          <w:b w:val="0"/>
          <w:sz w:val="20"/>
          <w:lang w:val="en-AU"/>
        </w:rPr>
      </w:pPr>
      <w:r w:rsidRPr="00412620">
        <w:rPr>
          <w:rFonts w:ascii="Arial" w:hAnsi="Arial" w:cs="Arial"/>
          <w:b w:val="0"/>
          <w:sz w:val="20"/>
          <w:lang w:val="en-AU"/>
        </w:rPr>
        <w:tab/>
      </w:r>
    </w:p>
    <w:p w:rsidR="004B776C" w:rsidRPr="00412620" w:rsidRDefault="004B776C" w:rsidP="00DD30F3">
      <w:pPr>
        <w:pStyle w:val="C"/>
        <w:widowControl/>
        <w:spacing w:before="0" w:after="0"/>
        <w:jc w:val="both"/>
        <w:rPr>
          <w:rFonts w:ascii="Arial" w:hAnsi="Arial" w:cs="Arial"/>
          <w:b w:val="0"/>
          <w:sz w:val="20"/>
          <w:lang w:val="en-AU"/>
        </w:rPr>
      </w:pPr>
    </w:p>
    <w:p w:rsidR="000A6A61" w:rsidRPr="00412620" w:rsidRDefault="000A6A61" w:rsidP="00DD30F3">
      <w:pPr>
        <w:pStyle w:val="C"/>
        <w:widowControl/>
        <w:spacing w:before="0" w:after="0"/>
        <w:jc w:val="both"/>
        <w:rPr>
          <w:rFonts w:ascii="Arial" w:hAnsi="Arial"/>
          <w:b w:val="0"/>
          <w:sz w:val="20"/>
          <w:lang w:val="en-AU"/>
        </w:rPr>
      </w:pPr>
    </w:p>
    <w:p w:rsidR="0026128B" w:rsidRDefault="0026128B">
      <w:pPr>
        <w:keepNext/>
        <w:jc w:val="center"/>
        <w:rPr>
          <w:rFonts w:cs="Arial"/>
          <w:b/>
          <w:sz w:val="32"/>
          <w:szCs w:val="32"/>
        </w:rPr>
      </w:pPr>
    </w:p>
    <w:p w:rsidR="006A3F93" w:rsidRPr="00412620" w:rsidRDefault="006A3F93">
      <w:pPr>
        <w:keepNext/>
        <w:jc w:val="center"/>
        <w:rPr>
          <w:rFonts w:cs="Arial"/>
          <w:b/>
          <w:sz w:val="32"/>
          <w:szCs w:val="32"/>
        </w:rPr>
      </w:pPr>
      <w:r w:rsidRPr="00412620">
        <w:rPr>
          <w:rFonts w:cs="Arial"/>
          <w:b/>
          <w:sz w:val="32"/>
          <w:szCs w:val="32"/>
        </w:rPr>
        <w:t>CHAPTER IV</w:t>
      </w:r>
    </w:p>
    <w:p w:rsidR="006A3F93" w:rsidRPr="00412620" w:rsidRDefault="006A3F93">
      <w:pPr>
        <w:keepNext/>
        <w:jc w:val="center"/>
        <w:rPr>
          <w:rFonts w:cs="Arial"/>
          <w:b/>
          <w:sz w:val="20"/>
        </w:rPr>
      </w:pPr>
      <w:r w:rsidRPr="00412620">
        <w:rPr>
          <w:rFonts w:cs="Arial"/>
          <w:b/>
          <w:sz w:val="20"/>
        </w:rPr>
        <w:t>COMMON RULES</w:t>
      </w:r>
    </w:p>
    <w:p w:rsidR="00D147AA" w:rsidRPr="00412620" w:rsidRDefault="00D147AA">
      <w:pPr>
        <w:keepNext/>
        <w:rPr>
          <w:rFonts w:cs="Arial"/>
          <w:b/>
          <w:sz w:val="20"/>
        </w:rPr>
      </w:pPr>
    </w:p>
    <w:p w:rsidR="006A3F93" w:rsidRPr="00412620" w:rsidRDefault="006A3F93">
      <w:pPr>
        <w:keepNext/>
        <w:jc w:val="center"/>
        <w:rPr>
          <w:rFonts w:cs="Arial"/>
          <w:b/>
          <w:sz w:val="32"/>
          <w:szCs w:val="32"/>
        </w:rPr>
      </w:pPr>
      <w:r w:rsidRPr="00412620">
        <w:rPr>
          <w:rFonts w:cs="Arial"/>
          <w:b/>
          <w:sz w:val="32"/>
          <w:szCs w:val="32"/>
        </w:rPr>
        <w:t>PART I</w:t>
      </w:r>
    </w:p>
    <w:p w:rsidR="006A3F93" w:rsidRPr="00412620" w:rsidRDefault="006A3F93">
      <w:pPr>
        <w:pStyle w:val="Heading8"/>
        <w:rPr>
          <w:rFonts w:cs="Arial"/>
          <w:i w:val="0"/>
          <w:sz w:val="20"/>
        </w:rPr>
      </w:pPr>
      <w:r w:rsidRPr="00412620">
        <w:rPr>
          <w:rFonts w:cs="Arial"/>
          <w:i w:val="0"/>
          <w:sz w:val="20"/>
        </w:rPr>
        <w:t>GENERAL</w:t>
      </w:r>
    </w:p>
    <w:p w:rsidR="006A3F93" w:rsidRPr="00412620" w:rsidRDefault="006A3F93">
      <w:pPr>
        <w:keepNext/>
        <w:jc w:val="both"/>
        <w:rPr>
          <w:rFonts w:cs="Arial"/>
          <w:b/>
          <w:i/>
          <w:sz w:val="20"/>
        </w:rPr>
      </w:pPr>
    </w:p>
    <w:p w:rsidR="006A3F93" w:rsidRPr="00412620" w:rsidRDefault="00501FB1">
      <w:pPr>
        <w:jc w:val="both"/>
        <w:rPr>
          <w:sz w:val="20"/>
        </w:rPr>
      </w:pPr>
      <w:r w:rsidRPr="00412620">
        <w:rPr>
          <w:rFonts w:cs="Arial"/>
          <w:b/>
          <w:sz w:val="20"/>
        </w:rPr>
        <w:t xml:space="preserve">66. </w:t>
      </w:r>
      <w:r w:rsidR="006A3F93" w:rsidRPr="00412620">
        <w:rPr>
          <w:rFonts w:cs="Arial"/>
          <w:b/>
          <w:sz w:val="20"/>
        </w:rPr>
        <w:t>Income of joint owners.</w:t>
      </w:r>
      <w:r w:rsidR="00242237" w:rsidRPr="00412620">
        <w:rPr>
          <w:rFonts w:cs="Arial"/>
          <w:b/>
          <w:sz w:val="20"/>
        </w:rPr>
        <w:t>—</w:t>
      </w:r>
      <w:r w:rsidR="006A3F93" w:rsidRPr="00412620">
        <w:rPr>
          <w:sz w:val="20"/>
        </w:rPr>
        <w:t xml:space="preserve"> (1)  For the purposes of this Ordinance and subject to sub-section (2), where any property is owned by two or more persons and their respective shares are definite and ascertainable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persons shall not be assessed as an association of persons in respect of the property;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share of each person in the income from the property for a tax year shall be taken into account in the computation of the person’s taxable income for that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This section shall not apply in computing income chargeable under the head “Income from Business”.</w:t>
      </w:r>
    </w:p>
    <w:p w:rsidR="006A3F93" w:rsidRPr="00412620" w:rsidRDefault="006A3F93">
      <w:pPr>
        <w:jc w:val="both"/>
        <w:rPr>
          <w:rFonts w:cs="Arial"/>
          <w:sz w:val="20"/>
        </w:rPr>
      </w:pPr>
    </w:p>
    <w:p w:rsidR="006A3F93" w:rsidRPr="00412620" w:rsidRDefault="006A3F93" w:rsidP="00242237">
      <w:pPr>
        <w:jc w:val="both"/>
        <w:rPr>
          <w:sz w:val="20"/>
        </w:rPr>
      </w:pPr>
      <w:r w:rsidRPr="00412620">
        <w:rPr>
          <w:rFonts w:cs="Arial"/>
          <w:b/>
          <w:sz w:val="20"/>
        </w:rPr>
        <w:t>67.</w:t>
      </w:r>
      <w:r w:rsidR="008051C5">
        <w:rPr>
          <w:rFonts w:cs="Arial"/>
          <w:b/>
          <w:sz w:val="20"/>
        </w:rPr>
        <w:t xml:space="preserve"> </w:t>
      </w:r>
      <w:r w:rsidRPr="00412620">
        <w:rPr>
          <w:rFonts w:cs="Arial"/>
          <w:b/>
          <w:sz w:val="20"/>
        </w:rPr>
        <w:t>Apportionment of deductions.</w:t>
      </w:r>
      <w:r w:rsidR="00242237" w:rsidRPr="00412620">
        <w:rPr>
          <w:rFonts w:cs="Arial"/>
          <w:b/>
          <w:sz w:val="20"/>
        </w:rPr>
        <w:t>—</w:t>
      </w:r>
      <w:r w:rsidRPr="00412620">
        <w:rPr>
          <w:sz w:val="20"/>
        </w:rPr>
        <w:t xml:space="preserve"> (1)  Subject to this Ordinance, where an expenditure</w:t>
      </w:r>
      <w:r w:rsidR="00366037">
        <w:rPr>
          <w:sz w:val="20"/>
        </w:rPr>
        <w:t xml:space="preserve"> </w:t>
      </w:r>
      <w:r w:rsidR="000C0B93" w:rsidRPr="0026128B">
        <w:rPr>
          <w:rStyle w:val="FootnoteReference"/>
          <w:color w:val="0070C0"/>
          <w:sz w:val="20"/>
        </w:rPr>
        <w:footnoteReference w:id="458"/>
      </w:r>
      <w:r w:rsidR="00366037" w:rsidRPr="0026128B">
        <w:rPr>
          <w:color w:val="0070C0"/>
          <w:sz w:val="20"/>
        </w:rPr>
        <w:t>[“</w:t>
      </w:r>
      <w:r w:rsidR="000C0B93" w:rsidRPr="0026128B">
        <w:rPr>
          <w:color w:val="0070C0"/>
          <w:sz w:val="20"/>
        </w:rPr>
        <w:t>expenditures, deductions and allowances”]</w:t>
      </w:r>
      <w:r w:rsidRPr="00412620">
        <w:rPr>
          <w:sz w:val="20"/>
        </w:rPr>
        <w:t xml:space="preserve"> relates to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the derivation of more than one head of income; or</w:t>
      </w:r>
    </w:p>
    <w:p w:rsidR="006A3F93" w:rsidRPr="00412620" w:rsidRDefault="006A3F93">
      <w:pPr>
        <w:jc w:val="both"/>
        <w:rPr>
          <w:rFonts w:cs="Arial"/>
          <w:sz w:val="20"/>
        </w:rPr>
      </w:pPr>
    </w:p>
    <w:p w:rsidR="006A3F93" w:rsidRPr="00412620" w:rsidRDefault="006A3F93">
      <w:pPr>
        <w:ind w:left="1620" w:hanging="788"/>
        <w:jc w:val="both"/>
        <w:rPr>
          <w:sz w:val="20"/>
        </w:rPr>
      </w:pPr>
      <w:r w:rsidRPr="00412620">
        <w:rPr>
          <w:rStyle w:val="FootnoteReference"/>
          <w:rFonts w:cs="Arial"/>
          <w:sz w:val="20"/>
        </w:rPr>
        <w:footnoteReference w:id="459"/>
      </w:r>
      <w:r w:rsidRPr="00412620">
        <w:rPr>
          <w:sz w:val="20"/>
        </w:rPr>
        <w:t>[(ab)</w:t>
      </w:r>
      <w:r w:rsidRPr="00412620">
        <w:rPr>
          <w:sz w:val="20"/>
        </w:rPr>
        <w:tab/>
        <w:t>derivation of income comprising of taxable income and any class of income to which sub-sections (4) and (5) of section 4 apply,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the derivation of income chargeable to tax under a head of income and to some other purpose,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 xml:space="preserve">the expenditure </w:t>
      </w:r>
      <w:r w:rsidR="000C0B93" w:rsidRPr="0026128B">
        <w:rPr>
          <w:rStyle w:val="FootnoteReference"/>
          <w:color w:val="0070C0"/>
          <w:sz w:val="20"/>
        </w:rPr>
        <w:footnoteReference w:id="460"/>
      </w:r>
      <w:r w:rsidR="000C0B93" w:rsidRPr="0026128B">
        <w:rPr>
          <w:color w:val="0070C0"/>
          <w:sz w:val="20"/>
        </w:rPr>
        <w:t>[“expenditures, deductions and allowances”]</w:t>
      </w:r>
      <w:r w:rsidR="000C0B93" w:rsidRPr="00412620">
        <w:rPr>
          <w:sz w:val="20"/>
        </w:rPr>
        <w:t xml:space="preserve"> </w:t>
      </w:r>
      <w:r w:rsidRPr="00412620">
        <w:rPr>
          <w:rFonts w:cs="Arial"/>
          <w:sz w:val="20"/>
        </w:rPr>
        <w:t>shall be apportioned on any reasonable basis taking account of the relative nature and size of the activities to which the amount relates.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The </w:t>
      </w:r>
      <w:r w:rsidR="009B17E6" w:rsidRPr="00412620">
        <w:rPr>
          <w:rStyle w:val="FootnoteReference"/>
          <w:rFonts w:cs="Arial"/>
          <w:sz w:val="20"/>
        </w:rPr>
        <w:footnoteReference w:id="461"/>
      </w:r>
      <w:r w:rsidR="009B17E6" w:rsidRPr="00412620">
        <w:rPr>
          <w:rFonts w:cs="Arial"/>
          <w:sz w:val="20"/>
        </w:rPr>
        <w:t>[</w:t>
      </w:r>
      <w:r w:rsidRPr="00412620">
        <w:rPr>
          <w:rFonts w:cs="Arial"/>
          <w:sz w:val="20"/>
        </w:rPr>
        <w:t>Board</w:t>
      </w:r>
      <w:r w:rsidR="009B17E6" w:rsidRPr="00412620">
        <w:rPr>
          <w:rFonts w:cs="Arial"/>
          <w:sz w:val="20"/>
        </w:rPr>
        <w:t>]</w:t>
      </w:r>
      <w:r w:rsidRPr="00412620">
        <w:rPr>
          <w:rFonts w:cs="Arial"/>
          <w:sz w:val="20"/>
        </w:rPr>
        <w:t xml:space="preserve"> may make rules under section </w:t>
      </w:r>
      <w:r w:rsidRPr="00412620">
        <w:rPr>
          <w:rStyle w:val="FootnoteReference"/>
          <w:rFonts w:cs="Arial"/>
          <w:sz w:val="20"/>
        </w:rPr>
        <w:footnoteReference w:id="462"/>
      </w:r>
      <w:r w:rsidRPr="00412620">
        <w:rPr>
          <w:rFonts w:cs="Arial"/>
          <w:sz w:val="20"/>
        </w:rPr>
        <w:t>[237]</w:t>
      </w:r>
      <w:r w:rsidR="00A82E55">
        <w:rPr>
          <w:rFonts w:cs="Arial"/>
          <w:sz w:val="20"/>
        </w:rPr>
        <w:t xml:space="preserve"> </w:t>
      </w:r>
      <w:r w:rsidRPr="00412620">
        <w:rPr>
          <w:rFonts w:cs="Arial"/>
          <w:sz w:val="20"/>
        </w:rPr>
        <w:t>for the purposes of apportioning deductions</w:t>
      </w:r>
      <w:r w:rsidR="00A82E55">
        <w:rPr>
          <w:rFonts w:cs="Arial"/>
          <w:sz w:val="20"/>
        </w:rPr>
        <w:t xml:space="preserve"> </w:t>
      </w:r>
      <w:r w:rsidR="00A82E55" w:rsidRPr="0026128B">
        <w:rPr>
          <w:rStyle w:val="FootnoteReference"/>
          <w:rFonts w:cs="Arial"/>
          <w:color w:val="0070C0"/>
          <w:sz w:val="20"/>
        </w:rPr>
        <w:footnoteReference w:id="463"/>
      </w:r>
      <w:r w:rsidR="00A82E55" w:rsidRPr="0026128B">
        <w:rPr>
          <w:rFonts w:cs="Arial"/>
          <w:color w:val="0070C0"/>
          <w:sz w:val="20"/>
        </w:rPr>
        <w:t>[“expenditures and allowances”]</w:t>
      </w:r>
      <w:r w:rsidRPr="0026128B">
        <w:rPr>
          <w:rFonts w:cs="Arial"/>
          <w:color w:val="0070C0"/>
          <w:sz w:val="20"/>
        </w:rPr>
        <w:t>.</w:t>
      </w:r>
      <w:r w:rsidRPr="00412620">
        <w:rPr>
          <w:rFonts w:cs="Arial"/>
          <w:sz w:val="20"/>
        </w:rPr>
        <w:t xml:space="preserve">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68.</w:t>
      </w:r>
      <w:r w:rsidR="008051C5">
        <w:rPr>
          <w:rFonts w:cs="Arial"/>
          <w:b/>
          <w:sz w:val="20"/>
        </w:rPr>
        <w:t xml:space="preserve"> </w:t>
      </w:r>
      <w:r w:rsidRPr="00412620">
        <w:rPr>
          <w:rFonts w:cs="Arial"/>
          <w:b/>
          <w:sz w:val="20"/>
        </w:rPr>
        <w:t>Fair market value.</w:t>
      </w:r>
      <w:r w:rsidR="005D33DA" w:rsidRPr="00412620">
        <w:rPr>
          <w:rFonts w:cs="Arial"/>
          <w:b/>
          <w:sz w:val="20"/>
        </w:rPr>
        <w:t>—</w:t>
      </w:r>
      <w:r w:rsidRPr="00412620">
        <w:rPr>
          <w:sz w:val="20"/>
        </w:rPr>
        <w:t xml:space="preserve"> (1)  For the purposes of this Ordinance, the fair market value of any property </w:t>
      </w:r>
      <w:r w:rsidRPr="00412620">
        <w:rPr>
          <w:rStyle w:val="FootnoteReference"/>
          <w:sz w:val="20"/>
        </w:rPr>
        <w:footnoteReference w:id="464"/>
      </w:r>
      <w:r w:rsidRPr="00412620">
        <w:rPr>
          <w:sz w:val="20"/>
        </w:rPr>
        <w:t xml:space="preserve">[or rent], asset, service, benefit or perquisite at a particular time shall be the price which the property </w:t>
      </w:r>
      <w:r w:rsidRPr="00412620">
        <w:rPr>
          <w:rStyle w:val="FootnoteReference"/>
          <w:sz w:val="20"/>
        </w:rPr>
        <w:footnoteReference w:id="465"/>
      </w:r>
      <w:r w:rsidRPr="00412620">
        <w:rPr>
          <w:sz w:val="20"/>
        </w:rPr>
        <w:t xml:space="preserve">[or rent], asset, service, benefit or perquisite would ordinarily fetch on sale or supply in the open market at that time. </w:t>
      </w:r>
    </w:p>
    <w:p w:rsidR="006A3F93" w:rsidRPr="00412620" w:rsidRDefault="006A3F93">
      <w:pPr>
        <w:jc w:val="both"/>
        <w:rPr>
          <w:rFonts w:cs="Arial"/>
          <w:sz w:val="20"/>
        </w:rPr>
      </w:pPr>
    </w:p>
    <w:p w:rsidR="006A3F93" w:rsidRPr="00412620" w:rsidRDefault="006A3F93">
      <w:pPr>
        <w:pStyle w:val="BodyText3"/>
        <w:widowControl/>
        <w:rPr>
          <w:rFonts w:ascii="Arial" w:hAnsi="Arial"/>
          <w:sz w:val="20"/>
          <w:lang w:val="en-AU"/>
        </w:rPr>
      </w:pPr>
      <w:r w:rsidRPr="00412620">
        <w:rPr>
          <w:rFonts w:ascii="Arial" w:hAnsi="Arial"/>
          <w:sz w:val="20"/>
          <w:lang w:val="en-AU"/>
        </w:rPr>
        <w:tab/>
        <w:t>(2)</w:t>
      </w:r>
      <w:r w:rsidRPr="00412620">
        <w:rPr>
          <w:rFonts w:ascii="Arial" w:hAnsi="Arial"/>
          <w:sz w:val="20"/>
          <w:lang w:val="en-AU"/>
        </w:rPr>
        <w:tab/>
        <w:t xml:space="preserve">The fair market value of any property </w:t>
      </w:r>
      <w:r w:rsidRPr="00412620">
        <w:rPr>
          <w:rStyle w:val="FootnoteReference"/>
          <w:rFonts w:ascii="Arial" w:hAnsi="Arial"/>
          <w:sz w:val="20"/>
          <w:lang w:val="en-AU"/>
        </w:rPr>
        <w:footnoteReference w:id="466"/>
      </w:r>
      <w:r w:rsidRPr="00412620">
        <w:rPr>
          <w:rFonts w:ascii="Arial" w:hAnsi="Arial"/>
          <w:sz w:val="20"/>
        </w:rPr>
        <w:t>[or rent]</w:t>
      </w:r>
      <w:r w:rsidRPr="00412620">
        <w:rPr>
          <w:rFonts w:ascii="Arial" w:hAnsi="Arial"/>
          <w:sz w:val="20"/>
          <w:lang w:val="en-AU"/>
        </w:rPr>
        <w:t>, asset, service, benefit or perquisite shall be determined without regard to any restriction on transfer or to the fact that it is not otherwise convertible to cash.</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467"/>
      </w:r>
      <w:r w:rsidRPr="00412620">
        <w:rPr>
          <w:rFonts w:cs="Arial"/>
          <w:sz w:val="20"/>
        </w:rPr>
        <w:t xml:space="preserve">[(3) </w:t>
      </w:r>
      <w:r w:rsidRPr="00412620">
        <w:rPr>
          <w:rFonts w:cs="Arial"/>
          <w:sz w:val="20"/>
        </w:rPr>
        <w:tab/>
        <w:t>Where the price</w:t>
      </w:r>
      <w:r w:rsidR="00A5749C">
        <w:rPr>
          <w:rFonts w:cs="Arial"/>
          <w:sz w:val="20"/>
        </w:rPr>
        <w:t xml:space="preserve"> </w:t>
      </w:r>
      <w:r w:rsidR="00A5749C" w:rsidRPr="0026128B">
        <w:rPr>
          <w:rStyle w:val="FootnoteReference"/>
          <w:rFonts w:cs="Arial"/>
          <w:color w:val="0070C0"/>
          <w:sz w:val="20"/>
        </w:rPr>
        <w:footnoteReference w:id="468"/>
      </w:r>
      <w:r w:rsidR="00A5749C" w:rsidRPr="0026128B">
        <w:rPr>
          <w:rFonts w:cs="Arial"/>
          <w:color w:val="0070C0"/>
          <w:sz w:val="20"/>
        </w:rPr>
        <w:t>[“other than the price of immoveable property”]</w:t>
      </w:r>
      <w:r w:rsidRPr="00412620">
        <w:rPr>
          <w:rFonts w:cs="Arial"/>
          <w:sz w:val="20"/>
        </w:rPr>
        <w:t xml:space="preserve"> referred to in sub-section (1) is not ordinarily ascertainable, such price may be determined by the Commissioner.]</w:t>
      </w:r>
    </w:p>
    <w:p w:rsidR="006A3F93" w:rsidRDefault="006A3F93">
      <w:pPr>
        <w:jc w:val="both"/>
        <w:rPr>
          <w:rFonts w:cs="Arial"/>
          <w:sz w:val="20"/>
        </w:rPr>
      </w:pPr>
    </w:p>
    <w:p w:rsidR="00ED783C" w:rsidRPr="0026128B" w:rsidRDefault="00ED783C">
      <w:pPr>
        <w:jc w:val="both"/>
        <w:rPr>
          <w:rFonts w:cs="Arial"/>
          <w:color w:val="0070C0"/>
          <w:sz w:val="20"/>
        </w:rPr>
      </w:pPr>
      <w:r w:rsidRPr="0026128B">
        <w:rPr>
          <w:rStyle w:val="FootnoteReference"/>
          <w:rFonts w:cs="Arial"/>
          <w:color w:val="0070C0"/>
          <w:sz w:val="20"/>
        </w:rPr>
        <w:footnoteReference w:id="469"/>
      </w:r>
      <w:r w:rsidRPr="0026128B">
        <w:rPr>
          <w:rFonts w:cs="Arial"/>
          <w:color w:val="0070C0"/>
          <w:sz w:val="20"/>
        </w:rPr>
        <w:t xml:space="preserve">[“(4) Notwithstanding anything contained in sub-sections (1) and (3), </w:t>
      </w:r>
      <w:r w:rsidR="00D41075" w:rsidRPr="00D41075">
        <w:rPr>
          <w:rStyle w:val="FootnoteReference"/>
          <w:rFonts w:cs="Arial"/>
          <w:color w:val="FF0000"/>
          <w:sz w:val="20"/>
        </w:rPr>
        <w:footnoteReference w:id="470"/>
      </w:r>
      <w:r w:rsidR="00D41075" w:rsidRPr="00D41075">
        <w:rPr>
          <w:rFonts w:cs="Arial"/>
          <w:color w:val="FF0000"/>
          <w:sz w:val="20"/>
        </w:rPr>
        <w:t>[</w:t>
      </w:r>
      <w:r w:rsidR="00D41075">
        <w:rPr>
          <w:rFonts w:cs="Arial"/>
          <w:color w:val="FF0000"/>
          <w:sz w:val="20"/>
        </w:rPr>
        <w:t>“</w:t>
      </w:r>
      <w:r w:rsidR="00D41075" w:rsidRPr="00927BA1">
        <w:rPr>
          <w:rFonts w:cs="Arial"/>
          <w:color w:val="FF0000"/>
          <w:sz w:val="20"/>
        </w:rPr>
        <w:t xml:space="preserve">the Board </w:t>
      </w:r>
      <w:r w:rsidR="00D41075">
        <w:rPr>
          <w:rFonts w:cs="Arial"/>
          <w:color w:val="FF0000"/>
          <w:sz w:val="20"/>
        </w:rPr>
        <w:t>m</w:t>
      </w:r>
      <w:r w:rsidR="00D41075" w:rsidRPr="00927BA1">
        <w:rPr>
          <w:rFonts w:cs="Arial"/>
          <w:color w:val="FF0000"/>
          <w:sz w:val="20"/>
        </w:rPr>
        <w:t xml:space="preserve">ay, from time to time, by notification in the official Gazette, determine the fair market value of immovable property of the area or areas as may be </w:t>
      </w:r>
      <w:r w:rsidR="00D41075">
        <w:rPr>
          <w:rFonts w:cs="Arial"/>
          <w:color w:val="FF0000"/>
          <w:sz w:val="20"/>
        </w:rPr>
        <w:t>s</w:t>
      </w:r>
      <w:r w:rsidR="00D41075" w:rsidRPr="00927BA1">
        <w:rPr>
          <w:rFonts w:cs="Arial"/>
          <w:color w:val="FF0000"/>
          <w:sz w:val="20"/>
        </w:rPr>
        <w:t>pecified in the notification</w:t>
      </w:r>
      <w:r w:rsidR="00D41075">
        <w:rPr>
          <w:rFonts w:cs="Arial"/>
          <w:color w:val="FF0000"/>
          <w:sz w:val="20"/>
        </w:rPr>
        <w:t xml:space="preserve">”] </w:t>
      </w:r>
      <w:r w:rsidRPr="0026128B">
        <w:rPr>
          <w:rFonts w:cs="Arial"/>
          <w:color w:val="0070C0"/>
          <w:sz w:val="20"/>
        </w:rPr>
        <w:t>.”]</w:t>
      </w:r>
    </w:p>
    <w:p w:rsidR="00ED783C" w:rsidRDefault="00ED783C">
      <w:pPr>
        <w:jc w:val="both"/>
        <w:rPr>
          <w:rFonts w:cs="Arial"/>
          <w:sz w:val="20"/>
        </w:rPr>
      </w:pPr>
    </w:p>
    <w:p w:rsidR="006F198B" w:rsidRPr="004D14A4" w:rsidRDefault="0015014F" w:rsidP="006F198B">
      <w:pPr>
        <w:ind w:left="450" w:hanging="450"/>
        <w:jc w:val="both"/>
        <w:rPr>
          <w:rFonts w:cs="Arial"/>
          <w:color w:val="FF0000"/>
          <w:sz w:val="20"/>
        </w:rPr>
      </w:pPr>
      <w:r w:rsidRPr="00D41075">
        <w:rPr>
          <w:rStyle w:val="FootnoteReference"/>
          <w:rFonts w:cs="Arial"/>
          <w:color w:val="FF0000"/>
          <w:sz w:val="20"/>
        </w:rPr>
        <w:footnoteReference w:id="471"/>
      </w:r>
      <w:r w:rsidR="006F198B" w:rsidRPr="004D14A4">
        <w:rPr>
          <w:rFonts w:cs="Arial"/>
          <w:color w:val="FF0000"/>
          <w:sz w:val="20"/>
        </w:rPr>
        <w:t xml:space="preserve">["(5) Where the fair market value of any immovable property of an area or areas has not been determined by the Board in the notification referred to in </w:t>
      </w:r>
      <w:r w:rsidR="006F198B">
        <w:rPr>
          <w:rFonts w:cs="Arial"/>
          <w:color w:val="FF0000"/>
          <w:sz w:val="20"/>
        </w:rPr>
        <w:t xml:space="preserve">   </w:t>
      </w:r>
      <w:r w:rsidR="006F198B" w:rsidRPr="004D14A4">
        <w:rPr>
          <w:rFonts w:cs="Arial"/>
          <w:color w:val="FF0000"/>
          <w:sz w:val="20"/>
        </w:rPr>
        <w:t>sub-section (4), the fair market value of such immovable property shall be deemed to be the value fixed by the District Officer (Revenue) or provincial or any other authority authorized in this behalf for the purposes of stamp duty.”]</w:t>
      </w:r>
    </w:p>
    <w:p w:rsidR="006F198B" w:rsidRPr="004D14A4" w:rsidRDefault="006F198B" w:rsidP="006F198B">
      <w:pPr>
        <w:jc w:val="both"/>
        <w:rPr>
          <w:rFonts w:cs="Arial"/>
          <w:color w:val="FF0000"/>
          <w:sz w:val="20"/>
        </w:rPr>
      </w:pPr>
    </w:p>
    <w:p w:rsidR="006F198B" w:rsidRPr="004D14A4" w:rsidRDefault="0015014F" w:rsidP="006F198B">
      <w:pPr>
        <w:jc w:val="both"/>
        <w:rPr>
          <w:rFonts w:cs="Arial"/>
          <w:color w:val="FF0000"/>
          <w:sz w:val="20"/>
        </w:rPr>
      </w:pPr>
      <w:r w:rsidRPr="00D41075">
        <w:rPr>
          <w:rStyle w:val="FootnoteReference"/>
          <w:rFonts w:cs="Arial"/>
          <w:color w:val="FF0000"/>
          <w:sz w:val="20"/>
        </w:rPr>
        <w:footnoteReference w:id="472"/>
      </w:r>
      <w:r w:rsidR="006F198B">
        <w:rPr>
          <w:rFonts w:cs="Arial"/>
          <w:color w:val="FF0000"/>
          <w:sz w:val="20"/>
        </w:rPr>
        <w:t>[“</w:t>
      </w:r>
      <w:r w:rsidR="006F198B" w:rsidRPr="004D14A4">
        <w:rPr>
          <w:rFonts w:cs="Arial"/>
          <w:color w:val="FF0000"/>
          <w:sz w:val="20"/>
        </w:rPr>
        <w:t>(6) In respect of immovable property</w:t>
      </w:r>
      <w:r w:rsidR="006F198B" w:rsidRPr="004D14A4">
        <w:rPr>
          <w:rFonts w:cs="Arial"/>
          <w:color w:val="FF0000"/>
          <w:sz w:val="20"/>
        </w:rPr>
        <w:noBreakHyphen/>
      </w:r>
    </w:p>
    <w:p w:rsidR="006F198B" w:rsidRPr="004D14A4" w:rsidRDefault="006F198B" w:rsidP="006F198B">
      <w:pPr>
        <w:jc w:val="both"/>
        <w:rPr>
          <w:rFonts w:cs="Arial"/>
          <w:color w:val="FF0000"/>
          <w:sz w:val="20"/>
        </w:rPr>
      </w:pPr>
    </w:p>
    <w:p w:rsidR="006F198B" w:rsidRPr="004D14A4" w:rsidRDefault="006F198B" w:rsidP="006F198B">
      <w:pPr>
        <w:widowControl w:val="0"/>
        <w:numPr>
          <w:ilvl w:val="0"/>
          <w:numId w:val="99"/>
        </w:numPr>
        <w:autoSpaceDE w:val="0"/>
        <w:autoSpaceDN w:val="0"/>
        <w:jc w:val="both"/>
        <w:rPr>
          <w:rFonts w:cs="Arial"/>
          <w:color w:val="FF0000"/>
          <w:sz w:val="20"/>
        </w:rPr>
      </w:pPr>
      <w:r w:rsidRPr="004D14A4">
        <w:rPr>
          <w:rFonts w:cs="Arial"/>
          <w:color w:val="FF0000"/>
          <w:sz w:val="20"/>
        </w:rPr>
        <w:t xml:space="preserve">component </w:t>
      </w:r>
      <w:r w:rsidRPr="004D14A4">
        <w:rPr>
          <w:rFonts w:cs="Arial"/>
          <w:b/>
          <w:color w:val="FF0000"/>
          <w:sz w:val="20"/>
        </w:rPr>
        <w:t>A</w:t>
      </w:r>
      <w:r w:rsidRPr="004D14A4">
        <w:rPr>
          <w:rFonts w:cs="Arial"/>
          <w:color w:val="FF0000"/>
          <w:sz w:val="20"/>
        </w:rPr>
        <w:t xml:space="preserve"> of the formula in sub-section (2) of section 37;</w:t>
      </w:r>
    </w:p>
    <w:p w:rsidR="006F198B" w:rsidRPr="004D14A4" w:rsidRDefault="006F198B" w:rsidP="006F198B">
      <w:pPr>
        <w:ind w:left="1170"/>
        <w:jc w:val="both"/>
        <w:rPr>
          <w:rFonts w:cs="Arial"/>
          <w:color w:val="FF0000"/>
          <w:sz w:val="20"/>
        </w:rPr>
      </w:pPr>
    </w:p>
    <w:p w:rsidR="006F198B" w:rsidRPr="004D14A4" w:rsidRDefault="006F198B" w:rsidP="006F198B">
      <w:pPr>
        <w:widowControl w:val="0"/>
        <w:numPr>
          <w:ilvl w:val="0"/>
          <w:numId w:val="99"/>
        </w:numPr>
        <w:autoSpaceDE w:val="0"/>
        <w:autoSpaceDN w:val="0"/>
        <w:jc w:val="both"/>
        <w:rPr>
          <w:rFonts w:cs="Arial"/>
          <w:color w:val="FF0000"/>
          <w:sz w:val="20"/>
        </w:rPr>
      </w:pPr>
      <w:r w:rsidRPr="004D14A4">
        <w:rPr>
          <w:rFonts w:cs="Arial"/>
          <w:color w:val="FF0000"/>
          <w:sz w:val="20"/>
        </w:rPr>
        <w:t>“consideration received"</w:t>
      </w:r>
      <w:r w:rsidR="00773278">
        <w:rPr>
          <w:rFonts w:cs="Arial"/>
          <w:color w:val="FF0000"/>
          <w:sz w:val="20"/>
        </w:rPr>
        <w:t xml:space="preserve"> </w:t>
      </w:r>
      <w:r w:rsidRPr="004D14A4">
        <w:rPr>
          <w:rFonts w:cs="Arial"/>
          <w:color w:val="FF0000"/>
          <w:sz w:val="20"/>
        </w:rPr>
        <w:t>as mentioned in Division X of Part IV of First Schedule;</w:t>
      </w:r>
      <w:r w:rsidRPr="004D14A4">
        <w:rPr>
          <w:rFonts w:cs="Arial"/>
          <w:color w:val="FF0000"/>
          <w:sz w:val="20"/>
        </w:rPr>
        <w:tab/>
      </w:r>
    </w:p>
    <w:p w:rsidR="006F198B" w:rsidRPr="004D14A4" w:rsidRDefault="006F198B" w:rsidP="006F198B">
      <w:pPr>
        <w:jc w:val="both"/>
        <w:rPr>
          <w:rFonts w:cs="Arial"/>
          <w:color w:val="FF0000"/>
          <w:sz w:val="20"/>
        </w:rPr>
      </w:pPr>
    </w:p>
    <w:p w:rsidR="006F198B" w:rsidRPr="00591073" w:rsidRDefault="006F198B" w:rsidP="00591073">
      <w:pPr>
        <w:pStyle w:val="ListParagraph"/>
        <w:numPr>
          <w:ilvl w:val="0"/>
          <w:numId w:val="99"/>
        </w:numPr>
        <w:jc w:val="both"/>
        <w:rPr>
          <w:rFonts w:cs="Arial"/>
          <w:color w:val="FF0000"/>
          <w:sz w:val="20"/>
        </w:rPr>
      </w:pPr>
      <w:r w:rsidRPr="00591073">
        <w:rPr>
          <w:rFonts w:cs="Arial"/>
          <w:color w:val="FF0000"/>
          <w:sz w:val="20"/>
        </w:rPr>
        <w:t xml:space="preserve">“value of Immovable property" as mentioned in Division XVIII of </w:t>
      </w:r>
      <w:r w:rsidR="003D68D7">
        <w:rPr>
          <w:rFonts w:cs="Arial"/>
          <w:color w:val="FF0000"/>
          <w:sz w:val="20"/>
        </w:rPr>
        <w:t xml:space="preserve"> </w:t>
      </w:r>
      <w:r w:rsidRPr="00591073">
        <w:rPr>
          <w:rFonts w:cs="Arial"/>
          <w:color w:val="FF0000"/>
          <w:sz w:val="20"/>
        </w:rPr>
        <w:t>Part IV of the First Schedule;</w:t>
      </w:r>
      <w:r w:rsidR="00591073">
        <w:rPr>
          <w:rFonts w:cs="Arial"/>
          <w:color w:val="FF0000"/>
          <w:sz w:val="20"/>
        </w:rPr>
        <w:t xml:space="preserve"> and</w:t>
      </w:r>
    </w:p>
    <w:p w:rsidR="006F198B" w:rsidRPr="004D14A4" w:rsidRDefault="006F198B" w:rsidP="006F198B">
      <w:pPr>
        <w:ind w:left="720"/>
        <w:jc w:val="both"/>
        <w:rPr>
          <w:rFonts w:cs="Arial"/>
          <w:color w:val="FF0000"/>
          <w:sz w:val="20"/>
        </w:rPr>
      </w:pPr>
    </w:p>
    <w:p w:rsidR="006F198B" w:rsidRPr="004D14A4" w:rsidRDefault="006F198B" w:rsidP="006F198B">
      <w:pPr>
        <w:widowControl w:val="0"/>
        <w:numPr>
          <w:ilvl w:val="0"/>
          <w:numId w:val="99"/>
        </w:numPr>
        <w:autoSpaceDE w:val="0"/>
        <w:autoSpaceDN w:val="0"/>
        <w:jc w:val="both"/>
        <w:rPr>
          <w:rFonts w:cs="Arial"/>
          <w:color w:val="FF0000"/>
          <w:sz w:val="20"/>
        </w:rPr>
      </w:pPr>
      <w:r w:rsidRPr="004D14A4">
        <w:rPr>
          <w:rFonts w:cs="Arial"/>
          <w:color w:val="FF0000"/>
          <w:sz w:val="20"/>
        </w:rPr>
        <w:t xml:space="preserve"> valuation for the purposes of section 111,</w:t>
      </w:r>
    </w:p>
    <w:p w:rsidR="006F198B" w:rsidRPr="004D14A4" w:rsidRDefault="006F198B" w:rsidP="006F198B">
      <w:pPr>
        <w:ind w:left="1170"/>
        <w:jc w:val="both"/>
        <w:rPr>
          <w:rFonts w:cs="Arial"/>
          <w:color w:val="FF0000"/>
          <w:sz w:val="20"/>
        </w:rPr>
      </w:pPr>
    </w:p>
    <w:p w:rsidR="006F198B" w:rsidRPr="004D14A4" w:rsidRDefault="006F198B" w:rsidP="006F198B">
      <w:pPr>
        <w:jc w:val="both"/>
        <w:rPr>
          <w:rFonts w:cs="Arial"/>
          <w:color w:val="FF0000"/>
          <w:sz w:val="20"/>
        </w:rPr>
      </w:pPr>
      <w:r w:rsidRPr="004D14A4">
        <w:rPr>
          <w:rFonts w:cs="Arial"/>
          <w:color w:val="FF0000"/>
          <w:sz w:val="20"/>
        </w:rPr>
        <w:t>shall not be less than the fair market value as determined under sub-section (4) or (5).</w:t>
      </w:r>
    </w:p>
    <w:p w:rsidR="006F198B" w:rsidRPr="007A63C4" w:rsidRDefault="006F198B" w:rsidP="006F198B">
      <w:pPr>
        <w:jc w:val="both"/>
        <w:rPr>
          <w:rFonts w:cs="Arial"/>
          <w:color w:val="FF0000"/>
          <w:sz w:val="10"/>
        </w:rPr>
      </w:pPr>
    </w:p>
    <w:p w:rsidR="006F198B" w:rsidRPr="005E68F1" w:rsidRDefault="006F198B" w:rsidP="006F198B">
      <w:pPr>
        <w:jc w:val="both"/>
        <w:rPr>
          <w:rFonts w:cs="Arial"/>
          <w:color w:val="FF0000"/>
          <w:sz w:val="10"/>
        </w:rPr>
      </w:pPr>
      <w:r w:rsidRPr="004D14A4">
        <w:rPr>
          <w:rFonts w:cs="Arial"/>
          <w:color w:val="FF0000"/>
          <w:sz w:val="20"/>
        </w:rPr>
        <w:tab/>
      </w:r>
    </w:p>
    <w:p w:rsidR="006F198B" w:rsidRPr="004D14A4" w:rsidRDefault="006F198B" w:rsidP="006F198B">
      <w:pPr>
        <w:ind w:firstLine="720"/>
        <w:jc w:val="both"/>
        <w:rPr>
          <w:rFonts w:cs="Arial"/>
          <w:color w:val="FF0000"/>
          <w:sz w:val="20"/>
        </w:rPr>
      </w:pPr>
      <w:r w:rsidRPr="004D14A4">
        <w:rPr>
          <w:rFonts w:cs="Arial"/>
          <w:i/>
          <w:iCs/>
          <w:color w:val="FF0000"/>
          <w:sz w:val="20"/>
        </w:rPr>
        <w:t xml:space="preserve">Explanation.—(1) </w:t>
      </w:r>
      <w:r w:rsidRPr="004D14A4">
        <w:rPr>
          <w:rFonts w:cs="Arial"/>
          <w:color w:val="FF0000"/>
          <w:sz w:val="20"/>
        </w:rPr>
        <w:t>For the removal of doubt, it is clarified that the fair market value as determined under sub-section (4) or</w:t>
      </w:r>
      <w:r w:rsidRPr="004D14A4">
        <w:rPr>
          <w:rFonts w:cs="Arial"/>
          <w:color w:val="FF0000"/>
          <w:sz w:val="20"/>
          <w:vertAlign w:val="superscript"/>
        </w:rPr>
        <w:t xml:space="preserve"> </w:t>
      </w:r>
      <w:r w:rsidRPr="004D14A4">
        <w:rPr>
          <w:rFonts w:cs="Arial"/>
          <w:color w:val="FF0000"/>
          <w:sz w:val="20"/>
        </w:rPr>
        <w:t>(5) shall be for</w:t>
      </w:r>
      <w:r w:rsidRPr="004D14A4">
        <w:rPr>
          <w:rFonts w:cs="Arial"/>
          <w:color w:val="FF0000"/>
          <w:sz w:val="20"/>
          <w:vertAlign w:val="subscript"/>
        </w:rPr>
        <w:t xml:space="preserve"> </w:t>
      </w:r>
      <w:r w:rsidRPr="004D14A4">
        <w:rPr>
          <w:rFonts w:cs="Arial"/>
          <w:color w:val="FF0000"/>
          <w:sz w:val="20"/>
        </w:rPr>
        <w:t>carrying out the purposes of this Ordinance only.</w:t>
      </w:r>
    </w:p>
    <w:p w:rsidR="006F198B" w:rsidRPr="004D14A4" w:rsidRDefault="006F198B" w:rsidP="006F198B">
      <w:pPr>
        <w:jc w:val="both"/>
        <w:rPr>
          <w:rFonts w:cs="Arial"/>
          <w:color w:val="FF0000"/>
          <w:sz w:val="20"/>
        </w:rPr>
      </w:pPr>
    </w:p>
    <w:p w:rsidR="006F198B" w:rsidRDefault="006F198B" w:rsidP="006F198B">
      <w:pPr>
        <w:jc w:val="both"/>
        <w:rPr>
          <w:rFonts w:cs="Arial"/>
          <w:sz w:val="20"/>
        </w:rPr>
      </w:pPr>
      <w:r w:rsidRPr="004D14A4">
        <w:rPr>
          <w:rFonts w:cs="Arial"/>
          <w:color w:val="FF0000"/>
          <w:sz w:val="20"/>
        </w:rPr>
        <w:t xml:space="preserve">(2) It is further clarified that for the </w:t>
      </w:r>
      <w:r>
        <w:rPr>
          <w:rFonts w:cs="Arial"/>
          <w:color w:val="FF0000"/>
          <w:sz w:val="20"/>
        </w:rPr>
        <w:t>pur</w:t>
      </w:r>
      <w:r w:rsidRPr="004D14A4">
        <w:rPr>
          <w:rFonts w:cs="Arial"/>
          <w:color w:val="FF0000"/>
          <w:sz w:val="20"/>
        </w:rPr>
        <w:t xml:space="preserve">poses of clauses (i) to (iv) of this sub-section if the fair market Value determined under sub-section (4) or (5) is </w:t>
      </w:r>
      <w:r w:rsidRPr="004D14A4">
        <w:rPr>
          <w:rFonts w:cs="Arial"/>
          <w:color w:val="FF0000"/>
          <w:sz w:val="20"/>
        </w:rPr>
        <w:lastRenderedPageBreak/>
        <w:t>different than the auction price the applicable price shall be the higher of the two."]</w:t>
      </w:r>
    </w:p>
    <w:p w:rsidR="006F198B" w:rsidRPr="007A63C4" w:rsidRDefault="006F198B">
      <w:pPr>
        <w:jc w:val="both"/>
        <w:rPr>
          <w:rFonts w:cs="Arial"/>
          <w:sz w:val="14"/>
        </w:rPr>
      </w:pPr>
    </w:p>
    <w:p w:rsidR="006F198B" w:rsidRPr="0015014F" w:rsidRDefault="006F198B">
      <w:pPr>
        <w:jc w:val="both"/>
        <w:rPr>
          <w:rFonts w:cs="Arial"/>
          <w:sz w:val="10"/>
        </w:rPr>
      </w:pPr>
    </w:p>
    <w:p w:rsidR="006A3F93" w:rsidRPr="00412620" w:rsidRDefault="006A3F93">
      <w:pPr>
        <w:jc w:val="both"/>
        <w:rPr>
          <w:sz w:val="20"/>
        </w:rPr>
      </w:pPr>
      <w:r w:rsidRPr="00412620">
        <w:rPr>
          <w:rFonts w:cs="Arial"/>
          <w:b/>
          <w:sz w:val="20"/>
        </w:rPr>
        <w:t>69.</w:t>
      </w:r>
      <w:r w:rsidR="00ED783C">
        <w:rPr>
          <w:rFonts w:cs="Arial"/>
          <w:b/>
          <w:sz w:val="20"/>
        </w:rPr>
        <w:t xml:space="preserve"> </w:t>
      </w:r>
      <w:r w:rsidRPr="00412620">
        <w:rPr>
          <w:rFonts w:cs="Arial"/>
          <w:b/>
          <w:sz w:val="20"/>
        </w:rPr>
        <w:t>Receipt of income.</w:t>
      </w:r>
      <w:r w:rsidR="005D33DA" w:rsidRPr="00412620">
        <w:rPr>
          <w:rFonts w:cs="Arial"/>
          <w:b/>
          <w:sz w:val="20"/>
        </w:rPr>
        <w:t>—</w:t>
      </w:r>
      <w:r w:rsidRPr="00412620">
        <w:rPr>
          <w:sz w:val="20"/>
        </w:rPr>
        <w:t xml:space="preserve"> For the purposes of this Ordinance, a person shall be treated as having received an amount, benefit, or perquisite if it is </w:t>
      </w:r>
      <w:r w:rsidR="00D66EC5"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actually received by the person;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applied on behalf of the person, at the instruction of the person or under any law;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made available to the person.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70.</w:t>
      </w:r>
      <w:r w:rsidR="00ED783C">
        <w:rPr>
          <w:rFonts w:cs="Arial"/>
          <w:b/>
          <w:sz w:val="20"/>
        </w:rPr>
        <w:t xml:space="preserve"> </w:t>
      </w:r>
      <w:r w:rsidRPr="00412620">
        <w:rPr>
          <w:rFonts w:cs="Arial"/>
          <w:b/>
          <w:sz w:val="20"/>
        </w:rPr>
        <w:t>Recouped expenditure.</w:t>
      </w:r>
      <w:r w:rsidR="005D33DA" w:rsidRPr="00412620">
        <w:rPr>
          <w:rFonts w:cs="Arial"/>
          <w:b/>
          <w:sz w:val="20"/>
        </w:rPr>
        <w:t xml:space="preserve"> —</w:t>
      </w:r>
      <w:r w:rsidRPr="00412620">
        <w:rPr>
          <w:sz w:val="20"/>
        </w:rPr>
        <w:t xml:space="preserve"> Where a person has been allowed a deduction for any expenditure or loss incurred in a tax year in the computation of the person’s income chargeable to tax under a head of income and, subsequently, the person has received, in cash or in kind, any amount in respect of such expenditure or loss, the amount so received shall be included in the income chargeable under that head for the tax year in which it is received.</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71.</w:t>
      </w:r>
      <w:r w:rsidR="00ED783C">
        <w:rPr>
          <w:rFonts w:cs="Arial"/>
          <w:b/>
          <w:sz w:val="20"/>
        </w:rPr>
        <w:t xml:space="preserve"> </w:t>
      </w:r>
      <w:r w:rsidRPr="00412620">
        <w:rPr>
          <w:rFonts w:cs="Arial"/>
          <w:b/>
          <w:sz w:val="20"/>
        </w:rPr>
        <w:t>Currency conversion.</w:t>
      </w:r>
      <w:r w:rsidR="005D33DA" w:rsidRPr="00412620">
        <w:rPr>
          <w:rFonts w:cs="Arial"/>
          <w:b/>
          <w:sz w:val="20"/>
        </w:rPr>
        <w:t>—</w:t>
      </w:r>
      <w:r w:rsidRPr="00412620">
        <w:rPr>
          <w:sz w:val="20"/>
        </w:rPr>
        <w:t xml:space="preserve"> (1)  Every amount taken into account under this Ordinance shall be in Rupees.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an amount is in a currency other than rupees, the amount shall be converted to the Rupee at the State Bank of Pakistan </w:t>
      </w:r>
      <w:r w:rsidRPr="00412620">
        <w:rPr>
          <w:rStyle w:val="FootnoteReference"/>
          <w:rFonts w:cs="Arial"/>
          <w:sz w:val="20"/>
        </w:rPr>
        <w:footnoteReference w:id="473"/>
      </w:r>
      <w:r w:rsidRPr="00412620">
        <w:rPr>
          <w:rFonts w:cs="Arial"/>
          <w:sz w:val="20"/>
        </w:rPr>
        <w:t>[  ] rate applying between the foreign currency and the Rupee on the date the amount is taken into account for the purposes of this Ordinance.</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72.</w:t>
      </w:r>
      <w:r w:rsidR="00ED783C">
        <w:rPr>
          <w:rFonts w:cs="Arial"/>
          <w:b/>
          <w:sz w:val="20"/>
        </w:rPr>
        <w:t xml:space="preserve"> </w:t>
      </w:r>
      <w:r w:rsidRPr="00412620">
        <w:rPr>
          <w:rFonts w:cs="Arial"/>
          <w:b/>
          <w:sz w:val="20"/>
        </w:rPr>
        <w:t>Cessation of source of income.</w:t>
      </w:r>
      <w:r w:rsidR="005D33DA" w:rsidRPr="00412620">
        <w:rPr>
          <w:rFonts w:cs="Arial"/>
          <w:b/>
          <w:sz w:val="20"/>
        </w:rPr>
        <w:t>—</w:t>
      </w:r>
      <w:r w:rsidRPr="00412620">
        <w:rPr>
          <w:sz w:val="20"/>
        </w:rPr>
        <w:t xml:space="preserve"> Where </w:t>
      </w:r>
      <w:r w:rsidR="00993A07"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35" w:hanging="555"/>
        <w:jc w:val="both"/>
        <w:rPr>
          <w:rFonts w:cs="Arial"/>
          <w:sz w:val="20"/>
        </w:rPr>
      </w:pPr>
      <w:r w:rsidRPr="00412620">
        <w:rPr>
          <w:rFonts w:cs="Arial"/>
          <w:sz w:val="20"/>
        </w:rPr>
        <w:t>(a)</w:t>
      </w:r>
      <w:r w:rsidRPr="00412620">
        <w:rPr>
          <w:rFonts w:cs="Arial"/>
          <w:sz w:val="20"/>
        </w:rPr>
        <w:tab/>
        <w:t>any income is derived by a person in a tax year from any business, activity, investment or other source that has ceased either before the commencement of the year or during the year; and</w:t>
      </w:r>
    </w:p>
    <w:p w:rsidR="006A3F93" w:rsidRPr="00412620" w:rsidRDefault="006A3F93">
      <w:pPr>
        <w:pStyle w:val="BodyTextIndent"/>
        <w:jc w:val="both"/>
        <w:rPr>
          <w:rFonts w:cs="Arial"/>
          <w:sz w:val="20"/>
        </w:rPr>
      </w:pPr>
    </w:p>
    <w:p w:rsidR="006A3F93" w:rsidRPr="00412620" w:rsidRDefault="006A3F93">
      <w:pPr>
        <w:pStyle w:val="BodyTextIndent"/>
        <w:ind w:left="1635" w:hanging="555"/>
        <w:jc w:val="both"/>
        <w:rPr>
          <w:rFonts w:cs="Arial"/>
          <w:sz w:val="20"/>
        </w:rPr>
      </w:pPr>
      <w:r w:rsidRPr="00412620">
        <w:rPr>
          <w:rFonts w:cs="Arial"/>
          <w:sz w:val="20"/>
        </w:rPr>
        <w:t>(b)</w:t>
      </w:r>
      <w:r w:rsidRPr="00412620">
        <w:rPr>
          <w:rFonts w:cs="Arial"/>
          <w:sz w:val="20"/>
        </w:rPr>
        <w:tab/>
        <w:t>if the income had been derived before the business, activity, investment or other source ceased it would have been chargeable to tax under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this Ordinance shall apply to the income on the basis that the business, activity, investment or other source had not ceased at the time the income was derived.</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73.</w:t>
      </w:r>
      <w:r w:rsidR="00ED783C">
        <w:rPr>
          <w:rFonts w:cs="Arial"/>
          <w:b/>
          <w:sz w:val="20"/>
        </w:rPr>
        <w:t xml:space="preserve"> </w:t>
      </w:r>
      <w:r w:rsidRPr="00412620">
        <w:rPr>
          <w:rFonts w:cs="Arial"/>
          <w:b/>
          <w:sz w:val="20"/>
        </w:rPr>
        <w:t>Rules to prevent double derivation and double deductions.</w:t>
      </w:r>
      <w:r w:rsidR="007113BB" w:rsidRPr="00412620">
        <w:rPr>
          <w:rFonts w:cs="Arial"/>
          <w:b/>
          <w:sz w:val="20"/>
        </w:rPr>
        <w:t>—</w:t>
      </w:r>
      <w:r w:rsidRPr="00412620">
        <w:rPr>
          <w:sz w:val="20"/>
        </w:rPr>
        <w:t xml:space="preserve"> (1)  For the purposes of this Ordinance, where –</w:t>
      </w:r>
    </w:p>
    <w:p w:rsidR="006A3F93" w:rsidRPr="00412620" w:rsidRDefault="006A3F93">
      <w:pPr>
        <w:pStyle w:val="Header"/>
        <w:tabs>
          <w:tab w:val="left" w:pos="547"/>
        </w:tabs>
        <w:jc w:val="both"/>
        <w:rPr>
          <w:rFonts w:cs="Arial"/>
          <w:sz w:val="20"/>
        </w:rPr>
      </w:pPr>
    </w:p>
    <w:p w:rsidR="006A3F93" w:rsidRPr="00412620" w:rsidRDefault="006A3F93">
      <w:pPr>
        <w:pStyle w:val="BodyTextIndent"/>
        <w:ind w:left="1634" w:hanging="540"/>
        <w:jc w:val="both"/>
        <w:rPr>
          <w:rFonts w:cs="Arial"/>
          <w:sz w:val="20"/>
        </w:rPr>
      </w:pPr>
      <w:r w:rsidRPr="00412620">
        <w:rPr>
          <w:rFonts w:cs="Arial"/>
          <w:sz w:val="20"/>
        </w:rPr>
        <w:t>(a)</w:t>
      </w:r>
      <w:r w:rsidRPr="00412620">
        <w:rPr>
          <w:rFonts w:cs="Arial"/>
          <w:sz w:val="20"/>
        </w:rPr>
        <w:tab/>
        <w:t>any amount is chargeable to tax under this Ordinance on the basis that it is receivable, the amount shall not be chargeable again on the basis that it is received; or</w:t>
      </w:r>
    </w:p>
    <w:p w:rsidR="006A3F93" w:rsidRPr="00412620" w:rsidRDefault="006A3F93">
      <w:pPr>
        <w:jc w:val="both"/>
        <w:rPr>
          <w:rFonts w:cs="Arial"/>
          <w:sz w:val="20"/>
        </w:rPr>
      </w:pPr>
    </w:p>
    <w:p w:rsidR="006A3F93" w:rsidRPr="00412620" w:rsidRDefault="006A3F93">
      <w:pPr>
        <w:pStyle w:val="BodyTextIndent"/>
        <w:ind w:left="1634" w:hanging="540"/>
        <w:jc w:val="both"/>
        <w:rPr>
          <w:rFonts w:cs="Arial"/>
          <w:sz w:val="20"/>
        </w:rPr>
      </w:pPr>
      <w:r w:rsidRPr="00412620">
        <w:rPr>
          <w:rFonts w:cs="Arial"/>
          <w:sz w:val="20"/>
        </w:rPr>
        <w:t>(b)</w:t>
      </w:r>
      <w:r w:rsidRPr="00412620">
        <w:rPr>
          <w:rFonts w:cs="Arial"/>
          <w:sz w:val="20"/>
        </w:rPr>
        <w:tab/>
        <w:t>any amount is chargeable to tax under this Ordinance on the basis that it is received, the amount shall not be chargeable again on the basis that it is receivable.</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For the purposes of this Ordinance, where </w:t>
      </w:r>
      <w:r w:rsidR="00C708D3" w:rsidRPr="00412620">
        <w:rPr>
          <w:rFonts w:cs="Arial"/>
          <w:sz w:val="20"/>
        </w:rPr>
        <w:t>—</w:t>
      </w:r>
    </w:p>
    <w:p w:rsidR="006A3F93" w:rsidRPr="00412620" w:rsidRDefault="006A3F93">
      <w:pPr>
        <w:pStyle w:val="Header"/>
        <w:tabs>
          <w:tab w:val="left" w:pos="547"/>
        </w:tabs>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any expenditure is deductible under this Ordinance on the basis that it is payable, the expenditure shall not be deductible again on the basis that it is paid;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any expenditure is deductible under this Ordinance on the basis that it is paid, the expenditure shall not be deductible again on the basis that it is payable.</w:t>
      </w:r>
    </w:p>
    <w:p w:rsidR="006A3F93" w:rsidRPr="00412620" w:rsidRDefault="006A3F93">
      <w:pPr>
        <w:pStyle w:val="CommentText"/>
        <w:rPr>
          <w:rFonts w:cs="Arial"/>
        </w:rPr>
      </w:pPr>
    </w:p>
    <w:p w:rsidR="006A3F93" w:rsidRPr="00412620" w:rsidRDefault="006A3F93">
      <w:pPr>
        <w:pStyle w:val="Heading8"/>
        <w:rPr>
          <w:rFonts w:cs="Arial"/>
          <w:i w:val="0"/>
          <w:sz w:val="32"/>
          <w:szCs w:val="32"/>
        </w:rPr>
      </w:pPr>
      <w:r w:rsidRPr="00412620">
        <w:rPr>
          <w:rFonts w:cs="Arial"/>
          <w:i w:val="0"/>
          <w:sz w:val="32"/>
          <w:szCs w:val="32"/>
        </w:rPr>
        <w:t>PART II</w:t>
      </w:r>
    </w:p>
    <w:p w:rsidR="006A3F93" w:rsidRPr="00412620" w:rsidRDefault="006A3F93">
      <w:pPr>
        <w:pStyle w:val="Heading8"/>
        <w:rPr>
          <w:rFonts w:cs="Arial"/>
          <w:i w:val="0"/>
          <w:sz w:val="20"/>
        </w:rPr>
      </w:pPr>
      <w:r w:rsidRPr="00412620">
        <w:rPr>
          <w:rFonts w:cs="Arial"/>
          <w:i w:val="0"/>
          <w:sz w:val="20"/>
        </w:rPr>
        <w:t>TAX YEAR</w:t>
      </w:r>
    </w:p>
    <w:p w:rsidR="006A3F93" w:rsidRPr="00412620" w:rsidRDefault="006A3F93">
      <w:pPr>
        <w:keepNext/>
        <w:jc w:val="center"/>
        <w:rPr>
          <w:rFonts w:cs="Arial"/>
          <w:sz w:val="20"/>
        </w:rPr>
      </w:pPr>
    </w:p>
    <w:p w:rsidR="006A3F93" w:rsidRPr="00412620" w:rsidRDefault="006A3F93">
      <w:pPr>
        <w:jc w:val="both"/>
        <w:rPr>
          <w:sz w:val="20"/>
        </w:rPr>
      </w:pPr>
      <w:r w:rsidRPr="00412620">
        <w:rPr>
          <w:rStyle w:val="FootnoteReference"/>
          <w:rFonts w:cs="Arial"/>
          <w:sz w:val="20"/>
        </w:rPr>
        <w:footnoteReference w:id="474"/>
      </w:r>
      <w:r w:rsidRPr="00412620">
        <w:rPr>
          <w:sz w:val="20"/>
        </w:rPr>
        <w:t>[</w:t>
      </w:r>
      <w:r w:rsidRPr="00412620">
        <w:rPr>
          <w:b/>
          <w:sz w:val="20"/>
        </w:rPr>
        <w:t>74</w:t>
      </w:r>
      <w:r w:rsidRPr="00412620">
        <w:rPr>
          <w:sz w:val="20"/>
        </w:rPr>
        <w:t xml:space="preserve">. </w:t>
      </w:r>
      <w:r w:rsidRPr="00412620">
        <w:rPr>
          <w:sz w:val="20"/>
        </w:rPr>
        <w:tab/>
      </w:r>
      <w:r w:rsidRPr="00412620">
        <w:rPr>
          <w:b/>
          <w:sz w:val="20"/>
        </w:rPr>
        <w:t>Tax year.</w:t>
      </w:r>
      <w:r w:rsidR="005D33DA" w:rsidRPr="00412620">
        <w:rPr>
          <w:rFonts w:cs="Arial"/>
          <w:b/>
          <w:sz w:val="20"/>
        </w:rPr>
        <w:t>—</w:t>
      </w:r>
      <w:r w:rsidRPr="00412620">
        <w:rPr>
          <w:sz w:val="20"/>
        </w:rPr>
        <w:t xml:space="preserve"> (1) </w:t>
      </w:r>
      <w:r w:rsidR="00B3442E" w:rsidRPr="00412620">
        <w:rPr>
          <w:sz w:val="20"/>
        </w:rPr>
        <w:t>F</w:t>
      </w:r>
      <w:r w:rsidRPr="00412620">
        <w:rPr>
          <w:sz w:val="20"/>
        </w:rPr>
        <w:t>or the purpose of this Ordinance and subject to this section, the tax year shall be a period of twelve months ending on the 30</w:t>
      </w:r>
      <w:r w:rsidRPr="00412620">
        <w:rPr>
          <w:sz w:val="20"/>
          <w:vertAlign w:val="superscript"/>
        </w:rPr>
        <w:t>th</w:t>
      </w:r>
      <w:r w:rsidRPr="00412620">
        <w:rPr>
          <w:sz w:val="20"/>
        </w:rPr>
        <w:t xml:space="preserve"> day of </w:t>
      </w:r>
      <w:r w:rsidRPr="00412620">
        <w:rPr>
          <w:sz w:val="20"/>
        </w:rPr>
        <w:lastRenderedPageBreak/>
        <w:t xml:space="preserve">June (hereinafter referred to as ‘normal tax year’) and shall, subject to sub-section (3), be denoted by the calendar year in which the said date falls.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Where a person’s income year, under the repealed Ordinance, is different from the normal tax year, or where a person is allowed, by an order under sub-section (3), to use a twelve months’ period different from normal tax year, such income year or such period shall be that person’s tax year (hereinafter referred to as ‘special tax year’) and shall, subject to sub-section (3), be denoted by the calendar year relevant to normal tax year in which the closing date of the special tax year falls.</w:t>
      </w:r>
    </w:p>
    <w:p w:rsidR="006A3F93" w:rsidRPr="00412620" w:rsidRDefault="006A3F93">
      <w:pPr>
        <w:rPr>
          <w:rFonts w:cs="Arial"/>
          <w:sz w:val="20"/>
        </w:rPr>
      </w:pPr>
    </w:p>
    <w:p w:rsidR="006A3F93" w:rsidRPr="00412620" w:rsidRDefault="006A3F93">
      <w:pPr>
        <w:rPr>
          <w:rFonts w:cs="Arial"/>
          <w:sz w:val="20"/>
        </w:rPr>
      </w:pPr>
      <w:r w:rsidRPr="00412620">
        <w:rPr>
          <w:rStyle w:val="FootnoteReference"/>
          <w:rFonts w:cs="Arial"/>
          <w:sz w:val="20"/>
        </w:rPr>
        <w:footnoteReference w:id="475"/>
      </w:r>
      <w:r w:rsidRPr="00412620">
        <w:rPr>
          <w:rFonts w:cs="Arial"/>
          <w:sz w:val="20"/>
        </w:rPr>
        <w:t>[(2A)</w:t>
      </w:r>
      <w:r w:rsidRPr="00412620">
        <w:rPr>
          <w:rFonts w:cs="Arial"/>
          <w:sz w:val="20"/>
        </w:rPr>
        <w:tab/>
        <w:t xml:space="preserve">The </w:t>
      </w:r>
      <w:r w:rsidR="009B17E6" w:rsidRPr="00412620">
        <w:rPr>
          <w:rStyle w:val="FootnoteReference"/>
          <w:rFonts w:cs="Arial"/>
          <w:sz w:val="20"/>
        </w:rPr>
        <w:footnoteReference w:id="476"/>
      </w:r>
      <w:r w:rsidR="009B17E6" w:rsidRPr="00412620">
        <w:rPr>
          <w:rFonts w:cs="Arial"/>
          <w:sz w:val="20"/>
        </w:rPr>
        <w:t>[</w:t>
      </w:r>
      <w:r w:rsidRPr="00412620">
        <w:rPr>
          <w:rFonts w:cs="Arial"/>
          <w:sz w:val="20"/>
        </w:rPr>
        <w:t>Board</w:t>
      </w:r>
      <w:r w:rsidR="009B17E6" w:rsidRPr="00412620">
        <w:rPr>
          <w:rFonts w:cs="Arial"/>
          <w:sz w:val="20"/>
        </w:rPr>
        <w:t>]</w:t>
      </w:r>
      <w:r w:rsidRPr="00412620">
        <w:rPr>
          <w:rFonts w:cs="Arial"/>
          <w:sz w:val="20"/>
        </w:rPr>
        <w:t>,</w:t>
      </w:r>
      <w:r w:rsidR="006F02A2" w:rsidRPr="00412620">
        <w:rPr>
          <w:rFonts w:cs="Arial"/>
          <w:b/>
          <w:sz w:val="20"/>
        </w:rPr>
        <w:t>—</w:t>
      </w:r>
    </w:p>
    <w:p w:rsidR="006A3F93" w:rsidRPr="00412620" w:rsidRDefault="006A3F93">
      <w:pPr>
        <w:rPr>
          <w:rFonts w:cs="Arial"/>
          <w:sz w:val="20"/>
        </w:rPr>
      </w:pPr>
    </w:p>
    <w:p w:rsidR="006A3F93" w:rsidRPr="00412620" w:rsidRDefault="006A3F93" w:rsidP="00605794">
      <w:pPr>
        <w:ind w:left="1635" w:hanging="481"/>
        <w:jc w:val="both"/>
        <w:rPr>
          <w:rFonts w:cs="Arial"/>
          <w:sz w:val="20"/>
        </w:rPr>
      </w:pPr>
      <w:r w:rsidRPr="00412620">
        <w:rPr>
          <w:rFonts w:cs="Arial"/>
          <w:sz w:val="20"/>
        </w:rPr>
        <w:t xml:space="preserve">(i) </w:t>
      </w:r>
      <w:r w:rsidRPr="00412620">
        <w:rPr>
          <w:rFonts w:cs="Arial"/>
          <w:sz w:val="20"/>
        </w:rPr>
        <w:tab/>
        <w:t>in the case of a class of persons having a special tax year different from a normal tax year may permit, by a notification in the official Gazette, to use a normal tax year; and</w:t>
      </w:r>
    </w:p>
    <w:p w:rsidR="006A3F93" w:rsidRPr="00412620" w:rsidRDefault="006A3F93">
      <w:pPr>
        <w:rPr>
          <w:rFonts w:cs="Arial"/>
          <w:sz w:val="20"/>
        </w:rPr>
      </w:pPr>
    </w:p>
    <w:p w:rsidR="006A3F93" w:rsidRPr="00412620" w:rsidRDefault="006A3F93" w:rsidP="00605794">
      <w:pPr>
        <w:ind w:left="1635" w:hanging="481"/>
        <w:jc w:val="both"/>
        <w:rPr>
          <w:rFonts w:cs="Arial"/>
          <w:sz w:val="20"/>
        </w:rPr>
      </w:pPr>
      <w:r w:rsidRPr="00412620">
        <w:rPr>
          <w:rFonts w:cs="Arial"/>
          <w:sz w:val="20"/>
        </w:rPr>
        <w:t xml:space="preserve">(ii) </w:t>
      </w:r>
      <w:r w:rsidRPr="00412620">
        <w:rPr>
          <w:rFonts w:cs="Arial"/>
          <w:sz w:val="20"/>
        </w:rPr>
        <w:tab/>
        <w:t xml:space="preserve">in the case of a class of persons having a normal tax year may permit, by a notification in the official Gazette, to use a special tax year.] </w:t>
      </w:r>
    </w:p>
    <w:p w:rsidR="006A3F93" w:rsidRPr="00412620" w:rsidRDefault="006A3F93">
      <w:pPr>
        <w:rPr>
          <w:rFonts w:cs="Arial"/>
          <w:sz w:val="20"/>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A person may apply, in writing, to the Commissioner to allow him to use a twelve months’ period, other than normal tax year, as special tax year and the Commissioner may, subject to sub-section (5), by an order, allow him to use such special tax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(4) </w:t>
      </w:r>
      <w:r w:rsidRPr="00412620">
        <w:rPr>
          <w:rFonts w:cs="Arial"/>
          <w:sz w:val="20"/>
        </w:rPr>
        <w:tab/>
        <w:t>A person using a special tax year, under sub-section (2), may apply in writing, to the Commissioner to allow him to use normal tax year and the Commissioner may, subject to sub-section (5), by an order, allow him to use normal tax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(5) </w:t>
      </w:r>
      <w:r w:rsidRPr="00412620">
        <w:rPr>
          <w:rFonts w:cs="Arial"/>
          <w:sz w:val="20"/>
        </w:rPr>
        <w:tab/>
        <w:t>The Commissioner shall grant permission under sub-section (3) or (4) only if the person has shown a compelling need to use special tax year or normal tax year, as the case may be, and the permission shall be subject to such conditions, if any, as the Commissioner may impose.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(6) </w:t>
      </w:r>
      <w:r w:rsidRPr="00412620">
        <w:rPr>
          <w:rFonts w:cs="Arial"/>
          <w:sz w:val="20"/>
        </w:rPr>
        <w:tab/>
        <w:t>An order under sub-section (3) or (4) shall be made after providing to the applicant an opportunity of being heard and where his application is rejected the Commissioner shall record in the order the reasons for rejection.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(7) </w:t>
      </w:r>
      <w:r w:rsidRPr="00412620">
        <w:rPr>
          <w:rFonts w:cs="Arial"/>
          <w:sz w:val="20"/>
        </w:rPr>
        <w:tab/>
        <w:t>The Commissioner may, after providing to the person concerned an opportunity of being heard, by an order, withdraw the permission granted under sub-section (3) or (4).</w:t>
      </w:r>
    </w:p>
    <w:p w:rsidR="006A3F93" w:rsidRPr="00412620" w:rsidRDefault="006A3F93">
      <w:pPr>
        <w:pStyle w:val="Heading8"/>
        <w:keepNext w:val="0"/>
        <w:jc w:val="both"/>
        <w:rPr>
          <w:rFonts w:cs="Arial"/>
          <w:b w:val="0"/>
          <w:i w:val="0"/>
          <w:sz w:val="20"/>
        </w:rPr>
      </w:pPr>
    </w:p>
    <w:p w:rsidR="006A3F93" w:rsidRPr="00412620" w:rsidRDefault="006A3F93">
      <w:pPr>
        <w:pStyle w:val="Heading8"/>
        <w:keepNext w:val="0"/>
        <w:jc w:val="both"/>
        <w:rPr>
          <w:rFonts w:cs="Arial"/>
          <w:b w:val="0"/>
          <w:i w:val="0"/>
          <w:sz w:val="20"/>
        </w:rPr>
      </w:pPr>
      <w:r w:rsidRPr="00412620">
        <w:rPr>
          <w:rFonts w:cs="Arial"/>
          <w:b w:val="0"/>
          <w:i w:val="0"/>
          <w:sz w:val="20"/>
        </w:rPr>
        <w:tab/>
        <w:t xml:space="preserve">(8) </w:t>
      </w:r>
      <w:r w:rsidRPr="00412620">
        <w:rPr>
          <w:rFonts w:cs="Arial"/>
          <w:b w:val="0"/>
          <w:i w:val="0"/>
          <w:sz w:val="20"/>
        </w:rPr>
        <w:tab/>
        <w:t>An order under sub-section (3) or (4) shall take effect from such date, being the first day of the special tax year or the normal tax year, as the case may be, as may be specified in the order.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(9) </w:t>
      </w:r>
      <w:r w:rsidRPr="00412620">
        <w:rPr>
          <w:rFonts w:cs="Arial"/>
          <w:sz w:val="20"/>
        </w:rPr>
        <w:tab/>
        <w:t>Where the tax year of a person changes as a result of an order under sub-section (3) or sub-section (4), the period between the end of the last tax year prior to change and the date on which the changed tax year commences shall be treated as a separate tax year, to be known as the “transitional tax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(10) </w:t>
      </w:r>
      <w:r w:rsidRPr="00412620">
        <w:rPr>
          <w:rFonts w:cs="Arial"/>
          <w:sz w:val="20"/>
        </w:rPr>
        <w:tab/>
        <w:t>In this Ordinance, a reference to a particular financial year shall, unless the context otherwise requires, include a special tax year or a transitional tax year commencing during the financial year.</w:t>
      </w:r>
    </w:p>
    <w:p w:rsidR="006A3F93" w:rsidRPr="00412620" w:rsidRDefault="006A3F93">
      <w:pPr>
        <w:jc w:val="both"/>
        <w:rPr>
          <w:rFonts w:cs="Arial"/>
          <w:sz w:val="20"/>
        </w:rPr>
      </w:pPr>
    </w:p>
    <w:p w:rsidR="006A3F93" w:rsidRPr="00412620" w:rsidRDefault="006A3F93">
      <w:pPr>
        <w:pStyle w:val="BodyText3"/>
        <w:widowControl/>
        <w:rPr>
          <w:rFonts w:ascii="Arial" w:hAnsi="Arial"/>
          <w:b/>
          <w:sz w:val="20"/>
          <w:lang w:val="en-AU"/>
        </w:rPr>
      </w:pPr>
      <w:r w:rsidRPr="00412620">
        <w:rPr>
          <w:rFonts w:ascii="Arial" w:hAnsi="Arial"/>
          <w:sz w:val="20"/>
          <w:lang w:val="en-AU"/>
        </w:rPr>
        <w:tab/>
        <w:t xml:space="preserve">(11) </w:t>
      </w:r>
      <w:r w:rsidRPr="00412620">
        <w:rPr>
          <w:rFonts w:ascii="Arial" w:hAnsi="Arial"/>
          <w:sz w:val="20"/>
          <w:lang w:val="en-AU"/>
        </w:rPr>
        <w:tab/>
        <w:t xml:space="preserve">A person dissatisfied with an order under sub-section (3), (4) or (7) may file a review application to the </w:t>
      </w:r>
      <w:r w:rsidR="009B17E6" w:rsidRPr="00412620">
        <w:rPr>
          <w:rStyle w:val="FootnoteReference"/>
          <w:rFonts w:ascii="Arial" w:hAnsi="Arial"/>
          <w:sz w:val="20"/>
          <w:lang w:val="en-AU"/>
        </w:rPr>
        <w:footnoteReference w:id="477"/>
      </w:r>
      <w:r w:rsidR="009B17E6" w:rsidRPr="00412620">
        <w:rPr>
          <w:rFonts w:ascii="Arial" w:hAnsi="Arial"/>
          <w:sz w:val="20"/>
          <w:lang w:val="en-AU"/>
        </w:rPr>
        <w:t>[</w:t>
      </w:r>
      <w:r w:rsidRPr="00412620">
        <w:rPr>
          <w:rFonts w:ascii="Arial" w:hAnsi="Arial"/>
          <w:sz w:val="20"/>
          <w:lang w:val="en-AU"/>
        </w:rPr>
        <w:t>Board</w:t>
      </w:r>
      <w:r w:rsidR="009B17E6" w:rsidRPr="00412620">
        <w:rPr>
          <w:rFonts w:ascii="Arial" w:hAnsi="Arial"/>
          <w:sz w:val="20"/>
          <w:lang w:val="en-AU"/>
        </w:rPr>
        <w:t>]</w:t>
      </w:r>
      <w:r w:rsidRPr="00412620">
        <w:rPr>
          <w:rFonts w:ascii="Arial" w:hAnsi="Arial"/>
          <w:sz w:val="20"/>
          <w:lang w:val="en-AU"/>
        </w:rPr>
        <w:t xml:space="preserve">, and the decision by the </w:t>
      </w:r>
      <w:r w:rsidR="009B17E6" w:rsidRPr="00412620">
        <w:rPr>
          <w:rStyle w:val="FootnoteReference"/>
          <w:rFonts w:ascii="Arial" w:hAnsi="Arial"/>
          <w:sz w:val="20"/>
          <w:lang w:val="en-AU"/>
        </w:rPr>
        <w:footnoteReference w:id="478"/>
      </w:r>
      <w:r w:rsidR="009B17E6" w:rsidRPr="00412620">
        <w:rPr>
          <w:rFonts w:ascii="Arial" w:hAnsi="Arial"/>
          <w:sz w:val="20"/>
          <w:lang w:val="en-AU"/>
        </w:rPr>
        <w:t>[</w:t>
      </w:r>
      <w:r w:rsidRPr="00412620">
        <w:rPr>
          <w:rFonts w:ascii="Arial" w:hAnsi="Arial"/>
          <w:sz w:val="20"/>
          <w:lang w:val="en-AU"/>
        </w:rPr>
        <w:t>Board</w:t>
      </w:r>
      <w:r w:rsidR="009B17E6" w:rsidRPr="00412620">
        <w:rPr>
          <w:rFonts w:ascii="Arial" w:hAnsi="Arial"/>
          <w:sz w:val="20"/>
          <w:lang w:val="en-AU"/>
        </w:rPr>
        <w:t>]</w:t>
      </w:r>
      <w:r w:rsidRPr="00412620">
        <w:rPr>
          <w:rFonts w:ascii="Arial" w:hAnsi="Arial"/>
          <w:sz w:val="20"/>
          <w:lang w:val="en-AU"/>
        </w:rPr>
        <w:t xml:space="preserve"> on such application shall be final.]</w:t>
      </w:r>
    </w:p>
    <w:p w:rsidR="006A3F93" w:rsidRPr="00412620" w:rsidRDefault="006A3F93">
      <w:pPr>
        <w:rPr>
          <w:rFonts w:cs="Arial"/>
          <w:sz w:val="20"/>
        </w:rPr>
      </w:pPr>
    </w:p>
    <w:p w:rsidR="006A3F93" w:rsidRPr="00412620" w:rsidRDefault="006A3F93">
      <w:pPr>
        <w:pStyle w:val="Heading8"/>
        <w:rPr>
          <w:rFonts w:cs="Arial"/>
          <w:i w:val="0"/>
          <w:sz w:val="32"/>
          <w:szCs w:val="32"/>
        </w:rPr>
      </w:pPr>
      <w:r w:rsidRPr="00412620">
        <w:rPr>
          <w:rFonts w:cs="Arial"/>
          <w:i w:val="0"/>
          <w:sz w:val="32"/>
          <w:szCs w:val="32"/>
        </w:rPr>
        <w:t>PART III</w:t>
      </w:r>
    </w:p>
    <w:p w:rsidR="006A3F93" w:rsidRPr="00412620" w:rsidRDefault="006A3F93">
      <w:pPr>
        <w:keepNext/>
        <w:jc w:val="center"/>
        <w:rPr>
          <w:rFonts w:cs="Arial"/>
          <w:b/>
          <w:sz w:val="20"/>
        </w:rPr>
      </w:pPr>
      <w:r w:rsidRPr="00412620">
        <w:rPr>
          <w:rFonts w:cs="Arial"/>
          <w:b/>
          <w:sz w:val="20"/>
        </w:rPr>
        <w:t>ASSETS</w:t>
      </w:r>
    </w:p>
    <w:p w:rsidR="006A3F93" w:rsidRPr="00412620" w:rsidRDefault="006A3F93">
      <w:pPr>
        <w:keepNext/>
        <w:rPr>
          <w:rFonts w:cs="Arial"/>
          <w:b/>
          <w:i/>
          <w:sz w:val="20"/>
        </w:rPr>
      </w:pPr>
    </w:p>
    <w:p w:rsidR="006A3F93" w:rsidRPr="00412620" w:rsidRDefault="000F2CE8">
      <w:pPr>
        <w:jc w:val="both"/>
        <w:rPr>
          <w:sz w:val="20"/>
        </w:rPr>
      </w:pPr>
      <w:r w:rsidRPr="00412620">
        <w:rPr>
          <w:rFonts w:cs="Arial"/>
          <w:b/>
          <w:sz w:val="20"/>
        </w:rPr>
        <w:t xml:space="preserve">75. </w:t>
      </w:r>
      <w:r w:rsidR="006A3F93" w:rsidRPr="00412620">
        <w:rPr>
          <w:rFonts w:cs="Arial"/>
          <w:b/>
          <w:sz w:val="20"/>
        </w:rPr>
        <w:t>Disposal and acquisition of assets.</w:t>
      </w:r>
      <w:r w:rsidR="008D320C" w:rsidRPr="00412620">
        <w:rPr>
          <w:rFonts w:cs="Arial"/>
          <w:b/>
          <w:sz w:val="20"/>
        </w:rPr>
        <w:t>—</w:t>
      </w:r>
      <w:r w:rsidR="006A3F93" w:rsidRPr="00412620">
        <w:rPr>
          <w:sz w:val="20"/>
        </w:rPr>
        <w:t xml:space="preserve">(1) A person who holds an asset shall be treated as having made a disposal of the asset at the time the person parts with the ownership of the asset, including when the asset is </w:t>
      </w:r>
      <w:r w:rsidR="008A5A8E"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sold, exchanged, transferred or distributed;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cancelled, redeemed, relinquished, destroyed, lost, expired or surrendered.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transmission of an asset by succession or under a will shall be treated as a disposal of the asset by the deceased at the time asset is transmitted.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The application of a business asset to personal use shall be treated as a disposal of the asset by the owner of the asset at the time the asset is so applied.</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479"/>
      </w:r>
      <w:r w:rsidRPr="00412620">
        <w:rPr>
          <w:rFonts w:cs="Arial"/>
          <w:sz w:val="20"/>
        </w:rPr>
        <w:t>[(3A)</w:t>
      </w:r>
      <w:r w:rsidRPr="00412620">
        <w:rPr>
          <w:rFonts w:cs="Arial"/>
          <w:sz w:val="20"/>
        </w:rPr>
        <w:tab/>
        <w:t>Where a business asset is discarded or ceases to be used in business, it shall be treated to have been disposed of.]</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A disposal shall include the disposal of a part of an asset.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A person shall be treated as having acquired an asset at the time the person begins to own the asset, including at the time the person is granted any right.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The application of a personal asset to business use shall be treated as an acquisition of the asset by the owner at the time the asset is so applied.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 xml:space="preserve">In this section, - </w:t>
      </w:r>
    </w:p>
    <w:p w:rsidR="006A3F93" w:rsidRPr="00412620" w:rsidRDefault="006A3F93">
      <w:pPr>
        <w:jc w:val="both"/>
        <w:rPr>
          <w:rFonts w:cs="Arial"/>
          <w:sz w:val="20"/>
        </w:rPr>
      </w:pPr>
    </w:p>
    <w:p w:rsidR="006A3F93" w:rsidRPr="00412620" w:rsidRDefault="006A3F93">
      <w:pPr>
        <w:pStyle w:val="BodyTextIndent2"/>
        <w:ind w:left="1080"/>
        <w:jc w:val="both"/>
        <w:rPr>
          <w:rFonts w:cs="Arial"/>
          <w:sz w:val="20"/>
        </w:rPr>
      </w:pPr>
      <w:r w:rsidRPr="00412620">
        <w:rPr>
          <w:rFonts w:cs="Arial"/>
          <w:sz w:val="20"/>
        </w:rPr>
        <w:t>“business asset” means an asset held wholly or partly for use in a business, including stock-in-trade and a depreciable asset; and</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“personal asset” means an asset held wholly for personal use.</w:t>
      </w:r>
    </w:p>
    <w:p w:rsidR="006A3F93" w:rsidRPr="00412620" w:rsidRDefault="006A3F93">
      <w:pPr>
        <w:pStyle w:val="Heading3"/>
        <w:keepNext w:val="0"/>
        <w:spacing w:line="240" w:lineRule="auto"/>
        <w:jc w:val="both"/>
        <w:rPr>
          <w:rFonts w:cs="Arial"/>
          <w:caps w:val="0"/>
          <w:sz w:val="20"/>
        </w:rPr>
      </w:pPr>
    </w:p>
    <w:p w:rsidR="006A3F93" w:rsidRPr="00412620" w:rsidRDefault="006A3F93">
      <w:pPr>
        <w:jc w:val="both"/>
        <w:rPr>
          <w:sz w:val="20"/>
        </w:rPr>
      </w:pPr>
      <w:r w:rsidRPr="00412620">
        <w:rPr>
          <w:rFonts w:cs="Arial"/>
          <w:b/>
          <w:sz w:val="20"/>
        </w:rPr>
        <w:t>76.</w:t>
      </w:r>
      <w:r w:rsidR="00ED783C">
        <w:rPr>
          <w:rFonts w:cs="Arial"/>
          <w:b/>
          <w:sz w:val="20"/>
        </w:rPr>
        <w:t xml:space="preserve"> </w:t>
      </w:r>
      <w:r w:rsidRPr="00412620">
        <w:rPr>
          <w:rFonts w:cs="Arial"/>
          <w:b/>
          <w:sz w:val="20"/>
        </w:rPr>
        <w:t>Cost.</w:t>
      </w:r>
      <w:r w:rsidR="008D320C" w:rsidRPr="00412620">
        <w:rPr>
          <w:rFonts w:cs="Arial"/>
          <w:b/>
          <w:sz w:val="20"/>
        </w:rPr>
        <w:t>—</w:t>
      </w:r>
      <w:r w:rsidRPr="00412620">
        <w:rPr>
          <w:sz w:val="20"/>
        </w:rPr>
        <w:t xml:space="preserve"> (1)  Except as otherwise provided in this Ordinance, this section shall establish the cost of an asset for the purposes of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Subject to sub-section (3), the cost of an asset purchased by a person shall be the sum of the following amounts, namely:</w:t>
      </w:r>
      <w:r w:rsidR="008A5A8E" w:rsidRPr="00412620">
        <w:rPr>
          <w:rFonts w:cs="Arial"/>
          <w:sz w:val="20"/>
        </w:rPr>
        <w:t xml:space="preserve">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total consideration given by the person for the asset, including the fair market value of any consideration in kind determined at the time the asset is acquired;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any incidental expenditure incurred by the person in acquiring and disposing of the asset; and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any expenditure incurred by the person to alter or improve the asset,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but shall not include any expenditure under clauses (b) and (c) that has been fully allowed as a deduction under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The cost of an asset treated as acquired under sub-section (6) of section 75 shall be the fair market value of the asset determined at the date it is applied to business use.</w:t>
      </w:r>
    </w:p>
    <w:p w:rsidR="006A3F93" w:rsidRPr="00412620" w:rsidRDefault="006A3F93">
      <w:pPr>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The cost of an asset produced or constructed by a person shall be the total costs incurred by the person in producing or constructing the asset plus any expenditure referred to </w:t>
      </w:r>
      <w:r w:rsidRPr="00412620">
        <w:rPr>
          <w:rStyle w:val="FootnoteReference"/>
          <w:rFonts w:cs="Arial"/>
          <w:sz w:val="20"/>
        </w:rPr>
        <w:footnoteReference w:id="480"/>
      </w:r>
      <w:r w:rsidRPr="00412620">
        <w:rPr>
          <w:rFonts w:cs="Arial"/>
          <w:sz w:val="20"/>
        </w:rPr>
        <w:t>[in] clauses (b) and (c) of sub-section (2) incurred by the person.</w:t>
      </w:r>
    </w:p>
    <w:p w:rsidR="006A3F93" w:rsidRPr="00412620" w:rsidRDefault="006A3F93">
      <w:pPr>
        <w:rPr>
          <w:rFonts w:cs="Arial"/>
          <w:sz w:val="20"/>
        </w:rPr>
      </w:pPr>
    </w:p>
    <w:p w:rsidR="006A3F93" w:rsidRPr="00412620" w:rsidRDefault="006A3F93">
      <w:pPr>
        <w:pStyle w:val="PlainText"/>
        <w:jc w:val="both"/>
        <w:rPr>
          <w:rFonts w:ascii="Arial" w:hAnsi="Arial"/>
        </w:rPr>
      </w:pPr>
      <w:r w:rsidRPr="00412620">
        <w:rPr>
          <w:rFonts w:ascii="Arial" w:hAnsi="Arial"/>
        </w:rPr>
        <w:lastRenderedPageBreak/>
        <w:tab/>
        <w:t>(5)</w:t>
      </w:r>
      <w:r w:rsidRPr="00412620">
        <w:rPr>
          <w:rFonts w:ascii="Arial" w:hAnsi="Arial"/>
        </w:rPr>
        <w:tab/>
        <w:t>Where an asset has been acquired by a person with a loan denominated in a foreign currency and, before full and final repayment of the loan, there is an increase or decrease in the liability of the person under the loan as expressed in Rupees, the amount by which the liability is increased or reduced shall be added to or deducted from the cost of the asset, as the case may be.</w:t>
      </w:r>
    </w:p>
    <w:p w:rsidR="006A3F93" w:rsidRPr="00412620" w:rsidRDefault="006A3F93">
      <w:pPr>
        <w:rPr>
          <w:rFonts w:cs="Arial"/>
          <w:sz w:val="20"/>
        </w:rPr>
      </w:pPr>
    </w:p>
    <w:p w:rsidR="008F7ED3" w:rsidRPr="00412620" w:rsidRDefault="008F7ED3" w:rsidP="008F7ED3">
      <w:pPr>
        <w:jc w:val="both"/>
        <w:rPr>
          <w:rFonts w:cs="Arial"/>
          <w:sz w:val="20"/>
        </w:rPr>
      </w:pPr>
      <w:r w:rsidRPr="00412620">
        <w:rPr>
          <w:rFonts w:cs="Arial"/>
          <w:sz w:val="20"/>
        </w:rPr>
        <w:tab/>
      </w:r>
      <w:r w:rsidRPr="00412620">
        <w:rPr>
          <w:rFonts w:cs="Arial"/>
          <w:sz w:val="20"/>
        </w:rPr>
        <w:tab/>
      </w:r>
      <w:r w:rsidR="00F52DA8" w:rsidRPr="00412620">
        <w:rPr>
          <w:rStyle w:val="FootnoteReference"/>
          <w:rFonts w:cs="Arial"/>
          <w:sz w:val="20"/>
        </w:rPr>
        <w:footnoteReference w:id="481"/>
      </w:r>
      <w:r w:rsidRPr="00412620">
        <w:rPr>
          <w:rFonts w:cs="Arial"/>
          <w:sz w:val="20"/>
        </w:rPr>
        <w:t>[Explanation.- Difference, if any, on account of foreign currency fluctuation, shall be taken into account in the year of occurrence for the purposes of depreciation.]</w:t>
      </w:r>
    </w:p>
    <w:p w:rsidR="003676B6" w:rsidRPr="00412620" w:rsidRDefault="003676B6" w:rsidP="008F7ED3">
      <w:pPr>
        <w:jc w:val="both"/>
        <w:rPr>
          <w:rFonts w:cs="Arial"/>
          <w:sz w:val="20"/>
        </w:rPr>
      </w:pPr>
    </w:p>
    <w:p w:rsidR="006A3F93" w:rsidRPr="00412620" w:rsidRDefault="006A3F93">
      <w:pPr>
        <w:ind w:firstLine="547"/>
        <w:jc w:val="both"/>
        <w:rPr>
          <w:rFonts w:cs="Arial"/>
          <w:sz w:val="20"/>
        </w:rPr>
      </w:pPr>
      <w:r w:rsidRPr="00412620">
        <w:rPr>
          <w:rFonts w:cs="Arial"/>
          <w:sz w:val="20"/>
        </w:rPr>
        <w:t>(6)</w:t>
      </w:r>
      <w:r w:rsidRPr="00412620">
        <w:rPr>
          <w:rFonts w:cs="Arial"/>
          <w:sz w:val="20"/>
        </w:rPr>
        <w:tab/>
        <w:t>In determining whether the liability of a person has increased or decreased for the purposes of sub-section (5), account shall be taken of the person’s position under any hedging agreement relating to the loan.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Where a part of an asset is disposed of by a person, the cost of the asset shall be apportioned between the part of the asset retained and the part disposed of in accordance with their respective fair market values determined at the time the person acquired the asset.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Where the acquisition of an asset by a person is the derivation of an amount chargeable to tax, the cost of the asset shall be the amount so charged plus any amount paid by the person for the asset.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(9)</w:t>
      </w:r>
      <w:r w:rsidRPr="00412620">
        <w:rPr>
          <w:rFonts w:cs="Arial"/>
          <w:sz w:val="20"/>
        </w:rPr>
        <w:tab/>
        <w:t>Where the acquisition of an asset by a person is the derivation of an amount exempt from tax, the cost of the asset shall be the exempt amount plus any amount paid by the person for the asset.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(10)</w:t>
      </w:r>
      <w:r w:rsidRPr="00412620">
        <w:rPr>
          <w:rFonts w:cs="Arial"/>
          <w:sz w:val="20"/>
        </w:rPr>
        <w:tab/>
        <w:t>The cost of an asset does not include the amount of any grant, subsidy, rebate, commission or any other assistance (other than a loan repayable with or without profit) received or receivable by a person in respect of the acquisition of the asset, except to the extent to which the amount is chargeable to tax under this Ordinance.</w:t>
      </w:r>
    </w:p>
    <w:p w:rsidR="006A3F93" w:rsidRPr="00412620" w:rsidRDefault="006A3F93">
      <w:pPr>
        <w:jc w:val="both"/>
        <w:rPr>
          <w:rFonts w:cs="Arial"/>
          <w:sz w:val="20"/>
        </w:rPr>
      </w:pPr>
    </w:p>
    <w:p w:rsidR="00F07CC9" w:rsidRPr="00412620" w:rsidRDefault="00824E18" w:rsidP="00824E18">
      <w:pPr>
        <w:jc w:val="both"/>
        <w:rPr>
          <w:sz w:val="20"/>
        </w:rPr>
      </w:pPr>
      <w:r w:rsidRPr="00412620">
        <w:rPr>
          <w:rFonts w:cs="Arial"/>
          <w:sz w:val="20"/>
        </w:rPr>
        <w:tab/>
      </w:r>
      <w:r w:rsidRPr="00412620">
        <w:rPr>
          <w:rStyle w:val="FootnoteReference"/>
          <w:rFonts w:cs="Arial"/>
          <w:sz w:val="20"/>
        </w:rPr>
        <w:footnoteReference w:id="482"/>
      </w:r>
      <w:r w:rsidR="00F07CC9" w:rsidRPr="00412620">
        <w:rPr>
          <w:rFonts w:cs="Arial"/>
          <w:sz w:val="20"/>
        </w:rPr>
        <w:t>[</w:t>
      </w:r>
      <w:r w:rsidR="00F07CC9" w:rsidRPr="00412620">
        <w:rPr>
          <w:sz w:val="20"/>
        </w:rPr>
        <w:t>(11)</w:t>
      </w:r>
      <w:r w:rsidR="00F07CC9" w:rsidRPr="00412620">
        <w:rPr>
          <w:sz w:val="20"/>
        </w:rPr>
        <w:tab/>
        <w:t>Notwithstanding anything contained in this section, the Board may prescribe rules for determination of cost for any asset.]</w:t>
      </w:r>
    </w:p>
    <w:p w:rsidR="00A26958" w:rsidRPr="00412620" w:rsidRDefault="00A26958">
      <w:pPr>
        <w:jc w:val="both"/>
        <w:rPr>
          <w:rFonts w:cs="Arial"/>
          <w:sz w:val="20"/>
        </w:rPr>
      </w:pPr>
    </w:p>
    <w:p w:rsidR="006A3F93" w:rsidRPr="00412620" w:rsidRDefault="006A3F93">
      <w:pPr>
        <w:jc w:val="both"/>
        <w:rPr>
          <w:sz w:val="20"/>
        </w:rPr>
      </w:pPr>
      <w:r w:rsidRPr="00412620">
        <w:rPr>
          <w:rFonts w:cs="Arial"/>
          <w:b/>
          <w:sz w:val="20"/>
        </w:rPr>
        <w:t>77.Consideration received.</w:t>
      </w:r>
      <w:r w:rsidR="00D02E68" w:rsidRPr="00412620">
        <w:rPr>
          <w:rFonts w:cs="Arial"/>
          <w:b/>
          <w:sz w:val="20"/>
        </w:rPr>
        <w:t>—</w:t>
      </w:r>
      <w:r w:rsidRPr="00412620">
        <w:rPr>
          <w:sz w:val="20"/>
        </w:rPr>
        <w:t xml:space="preserve">(1)  The consideration received by a person on disposal of an asset shall be the total amount received by the person for the asset </w:t>
      </w:r>
      <w:r w:rsidRPr="00412620">
        <w:rPr>
          <w:rStyle w:val="FootnoteReference"/>
          <w:sz w:val="20"/>
        </w:rPr>
        <w:footnoteReference w:id="483"/>
      </w:r>
      <w:r w:rsidRPr="00412620">
        <w:rPr>
          <w:sz w:val="20"/>
        </w:rPr>
        <w:t>[or the fair market value thereof, whichever is the higher], including the fair market value of any consideration received in kind determined at the time of disposal.</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an asset has been lost or destroyed by a person, the consideration received for the asset shall include any compensation, indemnity or damages received by the person under </w:t>
      </w:r>
      <w:r w:rsidR="00223027"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an insurance policy, indemnity or other agreement;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 settlement;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 judicial decision.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The consideration received for an asset treated as disposed of under sub-section (3) </w:t>
      </w:r>
      <w:r w:rsidRPr="00412620">
        <w:rPr>
          <w:rStyle w:val="FootnoteReference"/>
          <w:rFonts w:cs="Arial"/>
          <w:sz w:val="20"/>
        </w:rPr>
        <w:footnoteReference w:id="484"/>
      </w:r>
      <w:r w:rsidRPr="00412620">
        <w:rPr>
          <w:rFonts w:cs="Arial"/>
          <w:sz w:val="20"/>
        </w:rPr>
        <w:t xml:space="preserve">[or (3A)] of section 75 shall be the fair market value of the asset determined at the time it is applied to personal use </w:t>
      </w:r>
      <w:r w:rsidRPr="00412620">
        <w:rPr>
          <w:rStyle w:val="FootnoteReference"/>
          <w:rFonts w:cs="Arial"/>
          <w:sz w:val="20"/>
        </w:rPr>
        <w:footnoteReference w:id="485"/>
      </w:r>
      <w:r w:rsidRPr="00412620">
        <w:rPr>
          <w:rFonts w:cs="Arial"/>
          <w:sz w:val="20"/>
        </w:rPr>
        <w:t>[or discarded or ceased to be used in business, as the case may be].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The consideration received by a scheduled bank, financial institution, modaraba, or leasing company approved by the Commissioner (hereinafter referred to as a “leasing company”) in respect of an asset leased by the company to another person shall be the residual value received by the leasing company on maturity of the lease agreement subject to the condition that the residual value plus the amount realized during the term of the lease towards the cost of the asset is not less than the original cost of the asset.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Where two or more assets are disposed of by a person in a single transaction and the consideration received for each asset is not specified, the total consideration received by the person shall be apportioned among the assets disposed of in proportion to their respective fair market values determined at the time of the transaction.</w:t>
      </w:r>
    </w:p>
    <w:p w:rsidR="006A3F93" w:rsidRPr="00412620" w:rsidRDefault="006A3F93">
      <w:pPr>
        <w:jc w:val="both"/>
        <w:rPr>
          <w:rFonts w:cs="Arial"/>
          <w:sz w:val="20"/>
        </w:rPr>
      </w:pPr>
    </w:p>
    <w:p w:rsidR="0088775E" w:rsidRPr="00412620" w:rsidRDefault="0088775E" w:rsidP="0088775E">
      <w:pPr>
        <w:jc w:val="both"/>
        <w:rPr>
          <w:sz w:val="20"/>
        </w:rPr>
      </w:pPr>
      <w:r w:rsidRPr="00412620">
        <w:rPr>
          <w:sz w:val="20"/>
        </w:rPr>
        <w:tab/>
      </w:r>
      <w:r w:rsidRPr="00412620">
        <w:rPr>
          <w:rStyle w:val="FootnoteReference"/>
          <w:sz w:val="20"/>
        </w:rPr>
        <w:footnoteReference w:id="486"/>
      </w:r>
      <w:r w:rsidRPr="00412620">
        <w:rPr>
          <w:sz w:val="20"/>
        </w:rPr>
        <w:t>[(6)</w:t>
      </w:r>
      <w:r w:rsidRPr="00412620">
        <w:rPr>
          <w:sz w:val="20"/>
        </w:rPr>
        <w:tab/>
        <w:t>Notwithstanding anything contained in this section, the Board may prescribe rules for determination of consideration received for any asset.]</w:t>
      </w:r>
    </w:p>
    <w:p w:rsidR="009F785B" w:rsidRPr="00412620" w:rsidRDefault="009F785B">
      <w:pPr>
        <w:jc w:val="both"/>
        <w:rPr>
          <w:rFonts w:cs="Arial"/>
          <w:sz w:val="20"/>
        </w:rPr>
      </w:pPr>
    </w:p>
    <w:p w:rsidR="006A3F93" w:rsidRPr="00412620" w:rsidRDefault="006A3F93">
      <w:pPr>
        <w:jc w:val="both"/>
        <w:rPr>
          <w:sz w:val="20"/>
        </w:rPr>
      </w:pPr>
      <w:r w:rsidRPr="00412620">
        <w:rPr>
          <w:rFonts w:cs="Arial"/>
          <w:b/>
          <w:sz w:val="20"/>
        </w:rPr>
        <w:t>78.</w:t>
      </w:r>
      <w:r w:rsidR="00ED783C">
        <w:rPr>
          <w:rFonts w:cs="Arial"/>
          <w:b/>
          <w:sz w:val="20"/>
        </w:rPr>
        <w:t xml:space="preserve"> </w:t>
      </w:r>
      <w:r w:rsidRPr="00412620">
        <w:rPr>
          <w:rFonts w:cs="Arial"/>
          <w:b/>
          <w:sz w:val="20"/>
        </w:rPr>
        <w:t>Non-arm’s length transactions.</w:t>
      </w:r>
      <w:r w:rsidR="00D02E68" w:rsidRPr="00412620">
        <w:rPr>
          <w:rFonts w:cs="Arial"/>
          <w:b/>
          <w:sz w:val="20"/>
        </w:rPr>
        <w:t>—</w:t>
      </w:r>
      <w:r w:rsidRPr="00412620">
        <w:rPr>
          <w:sz w:val="20"/>
        </w:rPr>
        <w:t xml:space="preserve"> Where an asset is disposed of in a non-arm’s length transaction </w:t>
      </w:r>
      <w:r w:rsidR="00A677DB"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34" w:hanging="540"/>
        <w:jc w:val="both"/>
        <w:rPr>
          <w:rFonts w:cs="Arial"/>
          <w:sz w:val="20"/>
        </w:rPr>
      </w:pPr>
      <w:r w:rsidRPr="00412620">
        <w:rPr>
          <w:rFonts w:cs="Arial"/>
          <w:sz w:val="20"/>
        </w:rPr>
        <w:t>(a)</w:t>
      </w:r>
      <w:r w:rsidRPr="00412620">
        <w:rPr>
          <w:rFonts w:cs="Arial"/>
          <w:sz w:val="20"/>
        </w:rPr>
        <w:tab/>
        <w:t>the person disposing of the asset shall be treated as having received consideration equal to the fair market value of the asset determined at the time the asset is disposed; and</w:t>
      </w:r>
    </w:p>
    <w:p w:rsidR="006A3F93" w:rsidRPr="00412620" w:rsidRDefault="006A3F93">
      <w:pPr>
        <w:jc w:val="both"/>
        <w:rPr>
          <w:rFonts w:cs="Arial"/>
          <w:sz w:val="20"/>
        </w:rPr>
      </w:pPr>
    </w:p>
    <w:p w:rsidR="006A3F93" w:rsidRPr="00412620" w:rsidRDefault="006A3F93">
      <w:pPr>
        <w:pStyle w:val="BodyTextIndent"/>
        <w:ind w:left="1634" w:hanging="540"/>
        <w:jc w:val="both"/>
        <w:rPr>
          <w:rFonts w:cs="Arial"/>
          <w:sz w:val="20"/>
        </w:rPr>
      </w:pPr>
      <w:r w:rsidRPr="00412620">
        <w:rPr>
          <w:rFonts w:cs="Arial"/>
          <w:sz w:val="20"/>
        </w:rPr>
        <w:t>(b)</w:t>
      </w:r>
      <w:r w:rsidRPr="00412620">
        <w:rPr>
          <w:rFonts w:cs="Arial"/>
          <w:sz w:val="20"/>
        </w:rPr>
        <w:tab/>
        <w:t xml:space="preserve">the person acquiring the asset shall be treated as having a cost equal to the amount determined under clause (a).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lastRenderedPageBreak/>
        <w:t>79.</w:t>
      </w:r>
      <w:r w:rsidR="00ED783C">
        <w:rPr>
          <w:rFonts w:cs="Arial"/>
          <w:b/>
          <w:sz w:val="20"/>
        </w:rPr>
        <w:t xml:space="preserve"> </w:t>
      </w:r>
      <w:r w:rsidRPr="00412620">
        <w:rPr>
          <w:rFonts w:cs="Arial"/>
          <w:b/>
          <w:sz w:val="20"/>
        </w:rPr>
        <w:t>Non-recognition rules.</w:t>
      </w:r>
      <w:r w:rsidR="00D02E68" w:rsidRPr="00412620">
        <w:rPr>
          <w:rFonts w:cs="Arial"/>
          <w:b/>
          <w:sz w:val="20"/>
        </w:rPr>
        <w:t>—</w:t>
      </w:r>
      <w:r w:rsidRPr="00412620">
        <w:rPr>
          <w:sz w:val="20"/>
        </w:rPr>
        <w:t xml:space="preserve"> (1)  For the purposes of this Ordinance and subject to sub-section (2), no gain or loss shall be taken to arise on the disposal of an asset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between spouses under an agreement to live apart;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by reason of the transmission of the asset to an executor or beneficiary on the death of a person;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by reason of a gift of the asset;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 xml:space="preserve">by reason of the compulsory acquisition of the asset under any law where the consideration received for the disposal is reinvested by the recipient in an asset of a like kind within one year of the disposal;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by a company to its shareholders on liquidation of the company;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(f)</w:t>
      </w:r>
      <w:r w:rsidRPr="00412620">
        <w:rPr>
          <w:rFonts w:cs="Arial"/>
          <w:sz w:val="20"/>
        </w:rPr>
        <w:tab/>
        <w:t>by an association of persons to its members on dissolution of the association where the assets are distributed to members in accordance with their interests in the capital of the association.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Sub-section (1) shall not apply where the person acquiring the asset is a non-resident person at the time of the acquisition.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Where clause (a), (b), (c), (e) or (f) of sub-section (1) applies, the person acquiring the asset shall be treated as </w:t>
      </w:r>
      <w:r w:rsidR="000F4756"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acquiring an asset of the same character as the person disposing of the asset;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acquiring the asset for a cost equal to the cost of the asset for the person disposing of the asset at the time of the disposal.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The person’s cost of a replacement asset referred to in clause (d) of sub-section (1) shall be the cost of the asset disposed of plus the amount by which any consideration given by the person for the replacement asset exceeds the consideration received by the person for the asset disposed of.</w:t>
      </w:r>
    </w:p>
    <w:p w:rsidR="006A3F93" w:rsidRPr="00412620" w:rsidRDefault="006A3F93">
      <w:pPr>
        <w:rPr>
          <w:rFonts w:cs="Arial"/>
          <w:sz w:val="20"/>
        </w:rPr>
      </w:pPr>
    </w:p>
    <w:p w:rsidR="006A3F93" w:rsidRPr="00412620" w:rsidRDefault="00145A67">
      <w:pPr>
        <w:pStyle w:val="Heading3"/>
        <w:spacing w:line="240" w:lineRule="auto"/>
        <w:jc w:val="center"/>
        <w:rPr>
          <w:rFonts w:cs="Arial"/>
          <w:caps w:val="0"/>
          <w:sz w:val="32"/>
          <w:szCs w:val="32"/>
        </w:rPr>
      </w:pPr>
      <w:r w:rsidRPr="00412620">
        <w:rPr>
          <w:rFonts w:cs="Arial"/>
          <w:caps w:val="0"/>
          <w:sz w:val="20"/>
        </w:rPr>
        <w:br w:type="page"/>
      </w:r>
      <w:r w:rsidR="006A3F93" w:rsidRPr="00412620">
        <w:rPr>
          <w:rFonts w:cs="Arial"/>
          <w:caps w:val="0"/>
          <w:sz w:val="32"/>
          <w:szCs w:val="32"/>
        </w:rPr>
        <w:lastRenderedPageBreak/>
        <w:t>CHAPTER V</w:t>
      </w:r>
    </w:p>
    <w:p w:rsidR="006A3F93" w:rsidRPr="00412620" w:rsidRDefault="006A3F93">
      <w:pPr>
        <w:pStyle w:val="Heading3"/>
        <w:spacing w:line="240" w:lineRule="auto"/>
        <w:jc w:val="center"/>
        <w:rPr>
          <w:rFonts w:cs="Arial"/>
          <w:caps w:val="0"/>
          <w:sz w:val="20"/>
        </w:rPr>
      </w:pPr>
      <w:r w:rsidRPr="00412620">
        <w:rPr>
          <w:rFonts w:cs="Arial"/>
          <w:caps w:val="0"/>
          <w:sz w:val="20"/>
        </w:rPr>
        <w:t>PROVISIONS GOVERNING PERSONS</w:t>
      </w:r>
    </w:p>
    <w:p w:rsidR="006A3F93" w:rsidRPr="00412620" w:rsidRDefault="006A3F93">
      <w:pPr>
        <w:pStyle w:val="CommentText"/>
        <w:keepNext/>
        <w:rPr>
          <w:rFonts w:cs="Arial"/>
        </w:rPr>
      </w:pPr>
    </w:p>
    <w:p w:rsidR="006A3F93" w:rsidRPr="00412620" w:rsidRDefault="006A3F93">
      <w:pPr>
        <w:pStyle w:val="Heading8"/>
        <w:rPr>
          <w:rFonts w:cs="Arial"/>
          <w:i w:val="0"/>
          <w:sz w:val="28"/>
          <w:szCs w:val="28"/>
        </w:rPr>
      </w:pPr>
      <w:r w:rsidRPr="00412620">
        <w:rPr>
          <w:rFonts w:cs="Arial"/>
          <w:i w:val="0"/>
          <w:sz w:val="28"/>
          <w:szCs w:val="28"/>
        </w:rPr>
        <w:t>PART I</w:t>
      </w:r>
    </w:p>
    <w:p w:rsidR="006A3F93" w:rsidRPr="00412620" w:rsidRDefault="006A3F93">
      <w:pPr>
        <w:keepNext/>
        <w:jc w:val="center"/>
        <w:rPr>
          <w:rFonts w:cs="Arial"/>
          <w:b/>
          <w:sz w:val="20"/>
        </w:rPr>
      </w:pPr>
      <w:r w:rsidRPr="00412620">
        <w:rPr>
          <w:rFonts w:cs="Arial"/>
          <w:b/>
          <w:sz w:val="20"/>
        </w:rPr>
        <w:t>CENTRAL CONCEPTS</w:t>
      </w:r>
    </w:p>
    <w:p w:rsidR="006A3F93" w:rsidRPr="00412620" w:rsidRDefault="006A3F93">
      <w:pPr>
        <w:pStyle w:val="Header"/>
        <w:keepNext/>
        <w:tabs>
          <w:tab w:val="left" w:pos="547"/>
        </w:tabs>
        <w:rPr>
          <w:rFonts w:cs="Arial"/>
          <w:sz w:val="20"/>
        </w:rPr>
      </w:pPr>
    </w:p>
    <w:p w:rsidR="006A3F93" w:rsidRPr="00412620" w:rsidRDefault="006A3F93">
      <w:pPr>
        <w:pStyle w:val="Heading8"/>
        <w:rPr>
          <w:rFonts w:cs="Arial"/>
          <w:i w:val="0"/>
          <w:sz w:val="28"/>
        </w:rPr>
      </w:pPr>
      <w:r w:rsidRPr="00412620">
        <w:rPr>
          <w:rFonts w:cs="Arial"/>
          <w:i w:val="0"/>
          <w:sz w:val="28"/>
        </w:rPr>
        <w:t>Division I</w:t>
      </w:r>
    </w:p>
    <w:p w:rsidR="006A3F93" w:rsidRPr="00412620" w:rsidRDefault="006A3F93">
      <w:pPr>
        <w:pStyle w:val="Heading8"/>
        <w:rPr>
          <w:rFonts w:cs="Arial"/>
          <w:i w:val="0"/>
          <w:sz w:val="20"/>
        </w:rPr>
      </w:pPr>
      <w:r w:rsidRPr="00412620">
        <w:rPr>
          <w:rFonts w:cs="Arial"/>
          <w:i w:val="0"/>
          <w:sz w:val="20"/>
        </w:rPr>
        <w:t>Persons</w:t>
      </w:r>
    </w:p>
    <w:p w:rsidR="006A3F93" w:rsidRPr="00412620" w:rsidRDefault="006A3F93">
      <w:pPr>
        <w:keepNext/>
        <w:jc w:val="center"/>
        <w:rPr>
          <w:rFonts w:cs="Arial"/>
          <w:sz w:val="20"/>
        </w:rPr>
      </w:pPr>
    </w:p>
    <w:p w:rsidR="006A3F93" w:rsidRPr="00412620" w:rsidRDefault="006A3F93">
      <w:pPr>
        <w:jc w:val="both"/>
        <w:rPr>
          <w:sz w:val="20"/>
        </w:rPr>
      </w:pPr>
      <w:r w:rsidRPr="00412620">
        <w:rPr>
          <w:rFonts w:cs="Arial"/>
          <w:b/>
          <w:sz w:val="20"/>
        </w:rPr>
        <w:t>80.</w:t>
      </w:r>
      <w:r w:rsidR="00ED783C">
        <w:rPr>
          <w:rFonts w:cs="Arial"/>
          <w:b/>
          <w:sz w:val="20"/>
        </w:rPr>
        <w:t xml:space="preserve"> </w:t>
      </w:r>
      <w:r w:rsidRPr="00412620">
        <w:rPr>
          <w:rFonts w:cs="Arial"/>
          <w:b/>
          <w:sz w:val="20"/>
        </w:rPr>
        <w:t>Person.</w:t>
      </w:r>
      <w:r w:rsidR="00D02E68" w:rsidRPr="00412620">
        <w:rPr>
          <w:rFonts w:cs="Arial"/>
          <w:b/>
          <w:sz w:val="20"/>
        </w:rPr>
        <w:t xml:space="preserve"> —</w:t>
      </w:r>
      <w:r w:rsidRPr="00412620">
        <w:rPr>
          <w:sz w:val="20"/>
        </w:rPr>
        <w:t xml:space="preserve"> (1)  The following shall be treated as persons for the purposes of this Ordinance, namely:</w:t>
      </w:r>
      <w:r w:rsidR="000F4756" w:rsidRPr="00412620">
        <w:rPr>
          <w:rFonts w:cs="Arial"/>
          <w:sz w:val="20"/>
        </w:rPr>
        <w:t xml:space="preserve">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An individual;</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a company or association of persons incorporated, formed, organised or established in Pakistan or elsewhere;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the Federal Government, a foreign government, a political </w:t>
      </w:r>
      <w:r w:rsidR="00F345AC" w:rsidRPr="00412620">
        <w:rPr>
          <w:rFonts w:cs="Arial"/>
          <w:sz w:val="20"/>
        </w:rPr>
        <w:t>sub-Division</w:t>
      </w:r>
      <w:r w:rsidRPr="00412620">
        <w:rPr>
          <w:rFonts w:cs="Arial"/>
          <w:sz w:val="20"/>
        </w:rPr>
        <w:t xml:space="preserve"> of a foreign government, or public international organisation.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For the purposes of this Ordinance </w:t>
      </w:r>
      <w:r w:rsidR="00D02E68" w:rsidRPr="00412620">
        <w:rPr>
          <w:rFonts w:cs="Arial"/>
          <w:b/>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“association of persons” includes a firm, a Hindu undivided family, any artificial juridical person and any</w:t>
      </w:r>
      <w:r w:rsidR="00A7684E">
        <w:rPr>
          <w:rFonts w:cs="Arial"/>
          <w:sz w:val="20"/>
        </w:rPr>
        <w:t xml:space="preserve"> </w:t>
      </w:r>
      <w:r w:rsidRPr="00412620">
        <w:rPr>
          <w:rFonts w:cs="Arial"/>
          <w:sz w:val="20"/>
        </w:rPr>
        <w:t xml:space="preserve">body of persons formed under a foreign law, but does not include a company;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“company” means </w:t>
      </w:r>
      <w:r w:rsidR="00D02E68" w:rsidRPr="00412620">
        <w:rPr>
          <w:rFonts w:cs="Arial"/>
          <w:b/>
          <w:sz w:val="20"/>
        </w:rPr>
        <w:t>—</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 xml:space="preserve">  (i)</w:t>
      </w:r>
      <w:r w:rsidRPr="00412620">
        <w:rPr>
          <w:rFonts w:cs="Arial"/>
          <w:sz w:val="20"/>
        </w:rPr>
        <w:tab/>
        <w:t xml:space="preserve">a company as defined in the Companies Ordinance, 1984 (XLVII of 1984); </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 xml:space="preserve"> (ii)</w:t>
      </w:r>
      <w:r w:rsidRPr="00412620">
        <w:rPr>
          <w:rFonts w:cs="Arial"/>
          <w:sz w:val="20"/>
        </w:rPr>
        <w:tab/>
        <w:t xml:space="preserve">a body corporate formed by or under any law in force in Pakistan; </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(iii)</w:t>
      </w:r>
      <w:r w:rsidRPr="00412620">
        <w:rPr>
          <w:rFonts w:cs="Arial"/>
          <w:sz w:val="20"/>
        </w:rPr>
        <w:tab/>
        <w:t xml:space="preserve">a modaraba; </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(iv)</w:t>
      </w:r>
      <w:r w:rsidRPr="00412620">
        <w:rPr>
          <w:rFonts w:cs="Arial"/>
          <w:sz w:val="20"/>
        </w:rPr>
        <w:tab/>
        <w:t xml:space="preserve">a body incorporated by or under the law of a country outside Pakistan relating to incorporation of companies; </w:t>
      </w:r>
    </w:p>
    <w:p w:rsidR="006A3F93" w:rsidRPr="00412620" w:rsidRDefault="006A3F93">
      <w:pPr>
        <w:jc w:val="both"/>
        <w:rPr>
          <w:rFonts w:cs="Arial"/>
          <w:sz w:val="20"/>
        </w:rPr>
      </w:pPr>
    </w:p>
    <w:p w:rsidR="00E00460" w:rsidRPr="00412620" w:rsidRDefault="00E00460" w:rsidP="00E00460">
      <w:pPr>
        <w:ind w:left="2160" w:hanging="525"/>
        <w:jc w:val="both"/>
        <w:rPr>
          <w:rFonts w:cs="Arial"/>
          <w:sz w:val="20"/>
        </w:rPr>
      </w:pPr>
      <w:r w:rsidRPr="00412620">
        <w:rPr>
          <w:rStyle w:val="FootnoteReference"/>
          <w:rFonts w:cs="Arial"/>
          <w:sz w:val="20"/>
        </w:rPr>
        <w:footnoteReference w:id="487"/>
      </w:r>
      <w:r w:rsidRPr="00412620">
        <w:rPr>
          <w:rFonts w:cs="Arial"/>
          <w:sz w:val="20"/>
        </w:rPr>
        <w:t xml:space="preserve">[(v) </w:t>
      </w:r>
      <w:r w:rsidRPr="00412620">
        <w:rPr>
          <w:rFonts w:cs="Arial"/>
          <w:sz w:val="20"/>
        </w:rPr>
        <w:tab/>
        <w:t>a co-operative society, a finance society or any other society;]</w:t>
      </w:r>
    </w:p>
    <w:p w:rsidR="00FA3BB8" w:rsidRPr="00412620" w:rsidRDefault="00FA3BB8" w:rsidP="00E00460">
      <w:pPr>
        <w:ind w:left="2160" w:hanging="525"/>
        <w:jc w:val="both"/>
        <w:rPr>
          <w:rFonts w:cs="Arial"/>
          <w:sz w:val="20"/>
        </w:rPr>
      </w:pPr>
      <w:r w:rsidRPr="00412620">
        <w:rPr>
          <w:rStyle w:val="FootnoteReference"/>
          <w:rFonts w:cs="Arial"/>
          <w:sz w:val="20"/>
        </w:rPr>
        <w:lastRenderedPageBreak/>
        <w:footnoteReference w:id="488"/>
      </w:r>
      <w:r w:rsidRPr="00412620">
        <w:rPr>
          <w:rFonts w:cs="Arial"/>
          <w:sz w:val="20"/>
        </w:rPr>
        <w:t xml:space="preserve">[(va) </w:t>
      </w:r>
      <w:r w:rsidRPr="00412620">
        <w:rPr>
          <w:rFonts w:cs="Arial"/>
          <w:sz w:val="20"/>
        </w:rPr>
        <w:tab/>
        <w:t>a non-profit organization;]</w:t>
      </w:r>
    </w:p>
    <w:p w:rsidR="00FA3BB8" w:rsidRPr="00412620" w:rsidRDefault="00FA3BB8" w:rsidP="00E00460">
      <w:pPr>
        <w:ind w:left="2160" w:hanging="525"/>
        <w:jc w:val="both"/>
        <w:rPr>
          <w:rFonts w:cs="Arial"/>
          <w:sz w:val="20"/>
        </w:rPr>
      </w:pPr>
    </w:p>
    <w:p w:rsidR="00FA3BB8" w:rsidRPr="00412620" w:rsidRDefault="00FA3BB8" w:rsidP="00E00460">
      <w:pPr>
        <w:ind w:left="2160" w:hanging="525"/>
        <w:jc w:val="both"/>
        <w:rPr>
          <w:rFonts w:cs="Arial"/>
          <w:sz w:val="20"/>
        </w:rPr>
      </w:pPr>
      <w:r w:rsidRPr="00412620">
        <w:rPr>
          <w:rStyle w:val="FootnoteReference"/>
          <w:rFonts w:cs="Arial"/>
          <w:sz w:val="20"/>
        </w:rPr>
        <w:footnoteReference w:id="489"/>
      </w:r>
      <w:r w:rsidRPr="00412620">
        <w:rPr>
          <w:rFonts w:cs="Arial"/>
          <w:sz w:val="20"/>
        </w:rPr>
        <w:t xml:space="preserve">[(vb) </w:t>
      </w:r>
      <w:r w:rsidRPr="00412620">
        <w:rPr>
          <w:rFonts w:cs="Arial"/>
          <w:sz w:val="20"/>
        </w:rPr>
        <w:tab/>
        <w:t>a trust, an entity or a body of persons established or constituted by or under any law for the time being in force;]</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(vi)</w:t>
      </w:r>
      <w:r w:rsidRPr="00412620">
        <w:rPr>
          <w:rFonts w:cs="Arial"/>
          <w:sz w:val="20"/>
        </w:rPr>
        <w:tab/>
        <w:t xml:space="preserve">a foreign association, whether incorporated or not, which the </w:t>
      </w:r>
      <w:r w:rsidR="009B17E6" w:rsidRPr="00412620">
        <w:rPr>
          <w:rStyle w:val="FootnoteReference"/>
          <w:rFonts w:cs="Arial"/>
          <w:sz w:val="20"/>
        </w:rPr>
        <w:footnoteReference w:id="490"/>
      </w:r>
      <w:r w:rsidR="009B17E6" w:rsidRPr="00412620">
        <w:rPr>
          <w:rFonts w:cs="Arial"/>
          <w:sz w:val="20"/>
        </w:rPr>
        <w:t>[</w:t>
      </w:r>
      <w:r w:rsidRPr="00412620">
        <w:rPr>
          <w:rFonts w:cs="Arial"/>
          <w:sz w:val="20"/>
        </w:rPr>
        <w:t>Board</w:t>
      </w:r>
      <w:r w:rsidR="009B17E6" w:rsidRPr="00412620">
        <w:rPr>
          <w:rFonts w:cs="Arial"/>
          <w:sz w:val="20"/>
        </w:rPr>
        <w:t>]</w:t>
      </w:r>
      <w:r w:rsidRPr="00412620">
        <w:rPr>
          <w:rFonts w:cs="Arial"/>
          <w:sz w:val="20"/>
        </w:rPr>
        <w:t xml:space="preserve"> has, by general or special order, declared to be a company for the purposes of this Ordinance;</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(vii)</w:t>
      </w:r>
      <w:r w:rsidRPr="00412620">
        <w:rPr>
          <w:rFonts w:cs="Arial"/>
          <w:sz w:val="20"/>
        </w:rPr>
        <w:tab/>
        <w:t xml:space="preserve">a Provincial Government; </w:t>
      </w:r>
      <w:r w:rsidRPr="00412620">
        <w:rPr>
          <w:rStyle w:val="FootnoteReference"/>
          <w:rFonts w:cs="Arial"/>
          <w:sz w:val="20"/>
        </w:rPr>
        <w:footnoteReference w:id="491"/>
      </w:r>
      <w:r w:rsidRPr="00412620">
        <w:rPr>
          <w:rFonts w:cs="Arial"/>
          <w:sz w:val="20"/>
        </w:rPr>
        <w:t xml:space="preserve">[  ] </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(viii)</w:t>
      </w:r>
      <w:r w:rsidRPr="00412620">
        <w:rPr>
          <w:rFonts w:cs="Arial"/>
          <w:sz w:val="20"/>
        </w:rPr>
        <w:tab/>
        <w:t xml:space="preserve">a </w:t>
      </w:r>
      <w:r w:rsidR="00721DEC" w:rsidRPr="00412620">
        <w:rPr>
          <w:rStyle w:val="FootnoteReference"/>
          <w:rFonts w:cs="Arial"/>
          <w:sz w:val="20"/>
        </w:rPr>
        <w:footnoteReference w:id="492"/>
      </w:r>
      <w:r w:rsidR="00721DEC" w:rsidRPr="00412620">
        <w:rPr>
          <w:rFonts w:cs="Arial"/>
          <w:sz w:val="20"/>
        </w:rPr>
        <w:t xml:space="preserve">[Local Government] </w:t>
      </w:r>
      <w:r w:rsidRPr="00412620">
        <w:rPr>
          <w:rFonts w:cs="Arial"/>
          <w:sz w:val="20"/>
        </w:rPr>
        <w:t xml:space="preserve">in Pakistan; </w:t>
      </w:r>
      <w:r w:rsidRPr="00412620">
        <w:rPr>
          <w:rStyle w:val="FootnoteReference"/>
          <w:rFonts w:cs="Arial"/>
          <w:sz w:val="20"/>
        </w:rPr>
        <w:footnoteReference w:id="493"/>
      </w:r>
      <w:r w:rsidRPr="00412620">
        <w:rPr>
          <w:rFonts w:cs="Arial"/>
          <w:sz w:val="20"/>
        </w:rPr>
        <w:t>[or]</w:t>
      </w:r>
    </w:p>
    <w:p w:rsidR="006A3F93" w:rsidRPr="00412620" w:rsidRDefault="006A3F93">
      <w:pPr>
        <w:jc w:val="both"/>
        <w:rPr>
          <w:rFonts w:cs="Arial"/>
          <w:sz w:val="20"/>
        </w:rPr>
      </w:pPr>
    </w:p>
    <w:p w:rsidR="006A3F93" w:rsidRPr="00412620" w:rsidRDefault="006A3F93">
      <w:pPr>
        <w:ind w:left="2160" w:hanging="630"/>
        <w:jc w:val="both"/>
        <w:rPr>
          <w:sz w:val="20"/>
        </w:rPr>
      </w:pPr>
      <w:r w:rsidRPr="00412620">
        <w:rPr>
          <w:rStyle w:val="FootnoteReference"/>
          <w:rFonts w:cs="Arial"/>
          <w:sz w:val="20"/>
        </w:rPr>
        <w:footnoteReference w:id="494"/>
      </w:r>
      <w:r w:rsidRPr="00412620">
        <w:rPr>
          <w:sz w:val="20"/>
        </w:rPr>
        <w:t xml:space="preserve">[(ix) </w:t>
      </w:r>
      <w:r w:rsidRPr="00412620">
        <w:rPr>
          <w:sz w:val="20"/>
        </w:rPr>
        <w:tab/>
        <w:t>a Small Company as defined in section 2;]</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“firm” means the relation between persons who have agreed to share the profits of a business carried on by all or any of them acting for all;</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“trust” means an obligation annexed to the ownership of property and arising out of the confidence reposed in and accepted by the owner, or declared and accepted by the owner for the benefit of another, or of another and the owner, and includes a unit trust;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“unit trust” means any trust under which beneficial interests are divided into units such that the entitlements of the beneficiaries to income or capital are determined by the number of units held.</w:t>
      </w:r>
    </w:p>
    <w:p w:rsidR="006A3F93" w:rsidRPr="00412620" w:rsidRDefault="006A3F93">
      <w:pPr>
        <w:rPr>
          <w:rFonts w:cs="Arial"/>
          <w:sz w:val="20"/>
        </w:rPr>
      </w:pPr>
    </w:p>
    <w:p w:rsidR="006A3F93" w:rsidRPr="00412620" w:rsidRDefault="006A3F93">
      <w:pPr>
        <w:keepNext/>
        <w:jc w:val="center"/>
        <w:rPr>
          <w:rFonts w:cs="Arial"/>
          <w:b/>
          <w:sz w:val="28"/>
        </w:rPr>
      </w:pPr>
      <w:r w:rsidRPr="00412620">
        <w:rPr>
          <w:rFonts w:cs="Arial"/>
          <w:b/>
          <w:sz w:val="28"/>
        </w:rPr>
        <w:t>Division II</w:t>
      </w:r>
    </w:p>
    <w:p w:rsidR="006A3F93" w:rsidRPr="00412620" w:rsidRDefault="006A3F93">
      <w:pPr>
        <w:keepNext/>
        <w:jc w:val="center"/>
        <w:rPr>
          <w:rFonts w:cs="Arial"/>
          <w:b/>
          <w:sz w:val="20"/>
        </w:rPr>
      </w:pPr>
      <w:r w:rsidRPr="00412620">
        <w:rPr>
          <w:rFonts w:cs="Arial"/>
          <w:b/>
          <w:sz w:val="20"/>
        </w:rPr>
        <w:t>Resident and Non-Resident Persons</w:t>
      </w:r>
    </w:p>
    <w:p w:rsidR="006A3F93" w:rsidRPr="00412620" w:rsidRDefault="006A3F93">
      <w:pPr>
        <w:keepNext/>
        <w:rPr>
          <w:rFonts w:cs="Arial"/>
          <w:b/>
          <w:i/>
          <w:sz w:val="20"/>
        </w:rPr>
      </w:pPr>
    </w:p>
    <w:p w:rsidR="006A3F93" w:rsidRPr="00412620" w:rsidRDefault="00A64580">
      <w:pPr>
        <w:jc w:val="both"/>
        <w:rPr>
          <w:sz w:val="20"/>
        </w:rPr>
      </w:pPr>
      <w:r w:rsidRPr="00412620">
        <w:rPr>
          <w:rFonts w:cs="Arial"/>
          <w:b/>
          <w:sz w:val="20"/>
        </w:rPr>
        <w:t xml:space="preserve">81. </w:t>
      </w:r>
      <w:r w:rsidR="006A3F93" w:rsidRPr="00412620">
        <w:rPr>
          <w:rFonts w:cs="Arial"/>
          <w:b/>
          <w:sz w:val="20"/>
        </w:rPr>
        <w:t>Resident and non-resident persons.</w:t>
      </w:r>
      <w:r w:rsidR="00D02E68" w:rsidRPr="00412620">
        <w:rPr>
          <w:rFonts w:cs="Arial"/>
          <w:b/>
          <w:sz w:val="20"/>
        </w:rPr>
        <w:t>—</w:t>
      </w:r>
      <w:r w:rsidR="006A3F93" w:rsidRPr="00412620">
        <w:rPr>
          <w:sz w:val="20"/>
        </w:rPr>
        <w:t xml:space="preserve"> (1)  A person shall be a resident person for a tax year if the person is </w:t>
      </w:r>
      <w:r w:rsidR="00D02E68" w:rsidRPr="00412620">
        <w:rPr>
          <w:rFonts w:cs="Arial"/>
          <w:b/>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 resident individual, resident company or resident association of persons for the year;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Federal Government.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 person shall be a non-resident person for a tax year if the person is not a resident person for that year.</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82.</w:t>
      </w:r>
      <w:r w:rsidR="00ED783C">
        <w:rPr>
          <w:rFonts w:cs="Arial"/>
          <w:b/>
          <w:sz w:val="20"/>
        </w:rPr>
        <w:t xml:space="preserve"> </w:t>
      </w:r>
      <w:r w:rsidRPr="00412620">
        <w:rPr>
          <w:rFonts w:cs="Arial"/>
          <w:b/>
          <w:sz w:val="20"/>
        </w:rPr>
        <w:t>Resident individual.</w:t>
      </w:r>
      <w:r w:rsidR="00D02E68" w:rsidRPr="00412620">
        <w:rPr>
          <w:rFonts w:cs="Arial"/>
          <w:b/>
          <w:sz w:val="20"/>
        </w:rPr>
        <w:t xml:space="preserve"> —</w:t>
      </w:r>
      <w:r w:rsidRPr="00412620">
        <w:rPr>
          <w:sz w:val="20"/>
        </w:rPr>
        <w:t xml:space="preserve"> An individual shall be a resident individual for a tax year if the individual </w:t>
      </w:r>
      <w:r w:rsidR="00D02E68" w:rsidRPr="00412620">
        <w:rPr>
          <w:rFonts w:cs="Arial"/>
          <w:b/>
          <w:sz w:val="20"/>
        </w:rPr>
        <w:t>—</w:t>
      </w:r>
    </w:p>
    <w:p w:rsidR="006A3F93" w:rsidRPr="00412620" w:rsidRDefault="006A3F93">
      <w:pPr>
        <w:jc w:val="both"/>
        <w:rPr>
          <w:rFonts w:cs="Arial"/>
          <w:sz w:val="20"/>
        </w:rPr>
      </w:pPr>
    </w:p>
    <w:p w:rsidR="006A3F93" w:rsidRPr="00412620" w:rsidRDefault="006A3F93">
      <w:pPr>
        <w:ind w:left="1634" w:hanging="540"/>
        <w:jc w:val="both"/>
        <w:rPr>
          <w:rFonts w:cs="Arial"/>
          <w:sz w:val="20"/>
        </w:rPr>
      </w:pPr>
      <w:r w:rsidRPr="00412620">
        <w:rPr>
          <w:rFonts w:cs="Arial"/>
          <w:sz w:val="20"/>
        </w:rPr>
        <w:t>(a)</w:t>
      </w:r>
      <w:r w:rsidRPr="00412620">
        <w:rPr>
          <w:rFonts w:cs="Arial"/>
          <w:sz w:val="20"/>
        </w:rPr>
        <w:tab/>
        <w:t xml:space="preserve">is present in Pakistan for a period of, or periods amounting in aggregate to, one hundred and </w:t>
      </w:r>
      <w:r w:rsidR="00D97865" w:rsidRPr="00412620">
        <w:rPr>
          <w:rStyle w:val="FootnoteReference"/>
          <w:rFonts w:cs="Arial"/>
          <w:sz w:val="20"/>
        </w:rPr>
        <w:footnoteReference w:id="495"/>
      </w:r>
      <w:r w:rsidR="00D97865" w:rsidRPr="00412620">
        <w:rPr>
          <w:rFonts w:cs="Arial"/>
          <w:sz w:val="20"/>
        </w:rPr>
        <w:t xml:space="preserve">[eighty-three] </w:t>
      </w:r>
      <w:r w:rsidRPr="00412620">
        <w:rPr>
          <w:rFonts w:cs="Arial"/>
          <w:sz w:val="20"/>
        </w:rPr>
        <w:t xml:space="preserve">days or more in the tax year; </w:t>
      </w:r>
      <w:r w:rsidRPr="00412620">
        <w:rPr>
          <w:rStyle w:val="FootnoteReference"/>
          <w:rFonts w:cs="Arial"/>
          <w:sz w:val="20"/>
        </w:rPr>
        <w:footnoteReference w:id="496"/>
      </w:r>
      <w:r w:rsidRPr="00412620">
        <w:rPr>
          <w:rFonts w:cs="Arial"/>
          <w:sz w:val="20"/>
        </w:rPr>
        <w:t>[or]</w:t>
      </w:r>
    </w:p>
    <w:p w:rsidR="006A3F93" w:rsidRPr="00412620" w:rsidRDefault="006A3F93">
      <w:pPr>
        <w:jc w:val="both"/>
        <w:rPr>
          <w:rFonts w:cs="Arial"/>
          <w:sz w:val="20"/>
        </w:rPr>
      </w:pPr>
    </w:p>
    <w:p w:rsidR="006A3F93" w:rsidRPr="00412620" w:rsidRDefault="006A3F93">
      <w:pPr>
        <w:ind w:left="547" w:firstLine="443"/>
        <w:jc w:val="both"/>
        <w:rPr>
          <w:sz w:val="20"/>
        </w:rPr>
      </w:pPr>
      <w:r w:rsidRPr="00412620">
        <w:rPr>
          <w:rStyle w:val="FootnoteReference"/>
          <w:rFonts w:cs="Arial"/>
          <w:sz w:val="20"/>
        </w:rPr>
        <w:footnoteReference w:id="497"/>
      </w:r>
      <w:r w:rsidRPr="00412620">
        <w:rPr>
          <w:sz w:val="20"/>
        </w:rPr>
        <w:t>[   ]</w:t>
      </w:r>
    </w:p>
    <w:p w:rsidR="006A3F93" w:rsidRPr="00412620" w:rsidRDefault="006A3F93">
      <w:pPr>
        <w:ind w:left="1094" w:hanging="540"/>
        <w:jc w:val="both"/>
        <w:rPr>
          <w:rFonts w:cs="Arial"/>
          <w:sz w:val="20"/>
        </w:rPr>
      </w:pPr>
    </w:p>
    <w:p w:rsidR="006A3F93" w:rsidRPr="00412620" w:rsidRDefault="006A3F93">
      <w:pPr>
        <w:ind w:left="1641" w:hanging="547"/>
        <w:jc w:val="both"/>
        <w:rPr>
          <w:rFonts w:cs="Arial"/>
          <w:sz w:val="20"/>
        </w:rPr>
      </w:pPr>
      <w:r w:rsidRPr="00412620">
        <w:rPr>
          <w:rFonts w:cs="Arial"/>
          <w:sz w:val="20"/>
        </w:rPr>
        <w:t>(c)</w:t>
      </w:r>
      <w:r w:rsidRPr="00412620">
        <w:rPr>
          <w:rFonts w:cs="Arial"/>
          <w:sz w:val="20"/>
        </w:rPr>
        <w:tab/>
        <w:t>is an employee or official of the Federal Government or a Provincial Government posted abroad in the tax year.</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83.</w:t>
      </w:r>
      <w:r w:rsidR="00ED783C">
        <w:rPr>
          <w:rFonts w:cs="Arial"/>
          <w:b/>
          <w:sz w:val="20"/>
        </w:rPr>
        <w:t xml:space="preserve"> </w:t>
      </w:r>
      <w:r w:rsidRPr="00412620">
        <w:rPr>
          <w:rFonts w:cs="Arial"/>
          <w:b/>
          <w:sz w:val="20"/>
        </w:rPr>
        <w:t>Resident company.</w:t>
      </w:r>
      <w:r w:rsidR="00D02E68" w:rsidRPr="00412620">
        <w:rPr>
          <w:rFonts w:cs="Arial"/>
          <w:b/>
          <w:sz w:val="20"/>
        </w:rPr>
        <w:t>—</w:t>
      </w:r>
      <w:r w:rsidRPr="00412620">
        <w:rPr>
          <w:sz w:val="20"/>
        </w:rPr>
        <w:t xml:space="preserve"> A company shall be a resident company for a tax year if </w:t>
      </w:r>
      <w:r w:rsidR="00D02E68" w:rsidRPr="00412620">
        <w:rPr>
          <w:rFonts w:cs="Arial"/>
          <w:b/>
          <w:sz w:val="20"/>
        </w:rPr>
        <w:t>—</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ind w:left="1634" w:hanging="540"/>
        <w:jc w:val="both"/>
        <w:rPr>
          <w:rFonts w:cs="Arial"/>
          <w:sz w:val="20"/>
        </w:rPr>
      </w:pPr>
      <w:r w:rsidRPr="00412620">
        <w:rPr>
          <w:rFonts w:cs="Arial"/>
          <w:sz w:val="20"/>
        </w:rPr>
        <w:t>(a)</w:t>
      </w:r>
      <w:r w:rsidRPr="00412620">
        <w:rPr>
          <w:rFonts w:cs="Arial"/>
          <w:sz w:val="20"/>
        </w:rPr>
        <w:tab/>
        <w:t xml:space="preserve">it is incorporated or formed by or under any law in force in Pakistan; </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ind w:left="1634" w:hanging="540"/>
        <w:jc w:val="both"/>
        <w:rPr>
          <w:rFonts w:cs="Arial"/>
          <w:sz w:val="20"/>
        </w:rPr>
      </w:pPr>
      <w:r w:rsidRPr="00412620">
        <w:rPr>
          <w:rFonts w:cs="Arial"/>
          <w:sz w:val="20"/>
        </w:rPr>
        <w:t>(b)</w:t>
      </w:r>
      <w:r w:rsidRPr="00412620">
        <w:rPr>
          <w:rFonts w:cs="Arial"/>
          <w:sz w:val="20"/>
        </w:rPr>
        <w:tab/>
        <w:t xml:space="preserve">the control and management of the affairs of the company is situated wholly </w:t>
      </w:r>
      <w:r w:rsidRPr="00412620">
        <w:rPr>
          <w:rStyle w:val="FootnoteReference"/>
          <w:rFonts w:cs="Arial"/>
          <w:sz w:val="20"/>
        </w:rPr>
        <w:footnoteReference w:id="498"/>
      </w:r>
      <w:r w:rsidRPr="00412620">
        <w:rPr>
          <w:rFonts w:cs="Arial"/>
          <w:sz w:val="20"/>
        </w:rPr>
        <w:t xml:space="preserve">[  ] in Pakistan at any time in the year; or </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ind w:left="547" w:firstLine="547"/>
        <w:jc w:val="both"/>
        <w:rPr>
          <w:rFonts w:cs="Arial"/>
          <w:sz w:val="20"/>
        </w:rPr>
      </w:pPr>
      <w:r w:rsidRPr="00412620">
        <w:rPr>
          <w:rFonts w:cs="Arial"/>
          <w:sz w:val="20"/>
        </w:rPr>
        <w:t>(c)</w:t>
      </w:r>
      <w:r w:rsidRPr="00412620">
        <w:rPr>
          <w:rFonts w:cs="Arial"/>
          <w:sz w:val="20"/>
        </w:rPr>
        <w:tab/>
        <w:t xml:space="preserve">it is a Provincial Government or </w:t>
      </w:r>
      <w:r w:rsidR="00721DEC" w:rsidRPr="00412620">
        <w:rPr>
          <w:rStyle w:val="FootnoteReference"/>
          <w:rFonts w:cs="Arial"/>
          <w:sz w:val="20"/>
        </w:rPr>
        <w:footnoteReference w:id="499"/>
      </w:r>
      <w:r w:rsidR="00721DEC" w:rsidRPr="00412620">
        <w:rPr>
          <w:rFonts w:cs="Arial"/>
          <w:sz w:val="20"/>
        </w:rPr>
        <w:t xml:space="preserve">[Local Government] </w:t>
      </w:r>
      <w:r w:rsidRPr="00412620">
        <w:rPr>
          <w:rFonts w:cs="Arial"/>
          <w:sz w:val="20"/>
        </w:rPr>
        <w:t>in Pakistan.</w:t>
      </w:r>
    </w:p>
    <w:p w:rsidR="006A3F93" w:rsidRPr="00412620" w:rsidRDefault="006A3F93">
      <w:pPr>
        <w:pStyle w:val="Header"/>
        <w:tabs>
          <w:tab w:val="left" w:pos="547"/>
        </w:tabs>
        <w:jc w:val="both"/>
        <w:rPr>
          <w:rFonts w:cs="Arial"/>
          <w:sz w:val="20"/>
        </w:rPr>
      </w:pPr>
    </w:p>
    <w:p w:rsidR="006A3F93" w:rsidRPr="00412620" w:rsidRDefault="006A3F93">
      <w:pPr>
        <w:jc w:val="both"/>
        <w:rPr>
          <w:sz w:val="20"/>
        </w:rPr>
      </w:pPr>
      <w:r w:rsidRPr="00412620">
        <w:rPr>
          <w:rFonts w:cs="Arial"/>
          <w:b/>
          <w:sz w:val="20"/>
        </w:rPr>
        <w:t>84.</w:t>
      </w:r>
      <w:r w:rsidR="00ED783C">
        <w:rPr>
          <w:rFonts w:cs="Arial"/>
          <w:b/>
          <w:sz w:val="20"/>
        </w:rPr>
        <w:t xml:space="preserve"> </w:t>
      </w:r>
      <w:r w:rsidRPr="00412620">
        <w:rPr>
          <w:rFonts w:cs="Arial"/>
          <w:b/>
          <w:sz w:val="20"/>
        </w:rPr>
        <w:t>Resident association of persons.</w:t>
      </w:r>
      <w:r w:rsidR="00D02E68" w:rsidRPr="00412620">
        <w:rPr>
          <w:rFonts w:cs="Arial"/>
          <w:b/>
          <w:sz w:val="20"/>
        </w:rPr>
        <w:t xml:space="preserve"> —</w:t>
      </w:r>
      <w:r w:rsidRPr="00412620">
        <w:rPr>
          <w:sz w:val="20"/>
        </w:rPr>
        <w:t xml:space="preserve"> An association of persons shall be a resident association of persons for a tax year if the control and management of the affairs of the association is situated wholly or partly in Pakistan at any time in the year.</w:t>
      </w:r>
    </w:p>
    <w:p w:rsidR="006A3F93" w:rsidRPr="00412620" w:rsidRDefault="006A3F93">
      <w:pPr>
        <w:rPr>
          <w:rFonts w:cs="Arial"/>
          <w:sz w:val="20"/>
        </w:rPr>
      </w:pPr>
    </w:p>
    <w:p w:rsidR="006A3F93" w:rsidRPr="00412620" w:rsidRDefault="006A3F93">
      <w:pPr>
        <w:pStyle w:val="Heading8"/>
        <w:rPr>
          <w:rFonts w:cs="Arial"/>
          <w:i w:val="0"/>
          <w:sz w:val="28"/>
          <w:szCs w:val="32"/>
        </w:rPr>
      </w:pPr>
      <w:r w:rsidRPr="00412620">
        <w:rPr>
          <w:rFonts w:cs="Arial"/>
          <w:i w:val="0"/>
          <w:sz w:val="28"/>
          <w:szCs w:val="32"/>
        </w:rPr>
        <w:lastRenderedPageBreak/>
        <w:t>Division III</w:t>
      </w:r>
    </w:p>
    <w:p w:rsidR="006A3F93" w:rsidRPr="00412620" w:rsidRDefault="006A3F93">
      <w:pPr>
        <w:keepNext/>
        <w:jc w:val="center"/>
        <w:rPr>
          <w:rFonts w:cs="Arial"/>
          <w:b/>
          <w:szCs w:val="24"/>
        </w:rPr>
      </w:pPr>
      <w:r w:rsidRPr="00412620">
        <w:rPr>
          <w:rFonts w:cs="Arial"/>
          <w:b/>
          <w:szCs w:val="24"/>
        </w:rPr>
        <w:t>Associates</w:t>
      </w:r>
    </w:p>
    <w:p w:rsidR="006A3F93" w:rsidRPr="00412620" w:rsidRDefault="006A3F93">
      <w:pPr>
        <w:keepNext/>
        <w:rPr>
          <w:rFonts w:cs="Arial"/>
          <w:b/>
          <w:sz w:val="20"/>
        </w:rPr>
      </w:pPr>
    </w:p>
    <w:p w:rsidR="006A3F93" w:rsidRPr="00412620" w:rsidRDefault="006A3F93">
      <w:pPr>
        <w:jc w:val="both"/>
        <w:rPr>
          <w:sz w:val="20"/>
        </w:rPr>
      </w:pPr>
      <w:r w:rsidRPr="00412620">
        <w:rPr>
          <w:rFonts w:cs="Arial"/>
          <w:b/>
          <w:sz w:val="20"/>
        </w:rPr>
        <w:t>85.</w:t>
      </w:r>
      <w:r w:rsidR="00ED783C">
        <w:rPr>
          <w:rFonts w:cs="Arial"/>
          <w:b/>
          <w:sz w:val="20"/>
        </w:rPr>
        <w:t xml:space="preserve"> </w:t>
      </w:r>
      <w:r w:rsidRPr="00412620">
        <w:rPr>
          <w:rFonts w:cs="Arial"/>
          <w:b/>
          <w:sz w:val="20"/>
        </w:rPr>
        <w:t>Associates.</w:t>
      </w:r>
      <w:r w:rsidR="00D02E68" w:rsidRPr="00412620">
        <w:rPr>
          <w:rFonts w:cs="Arial"/>
          <w:b/>
          <w:sz w:val="20"/>
        </w:rPr>
        <w:t>—</w:t>
      </w:r>
      <w:r w:rsidRPr="00412620">
        <w:rPr>
          <w:sz w:val="20"/>
        </w:rPr>
        <w:t>(1)  Subject to sub-section (2), two persons shall be associates where the relationship between the two is such that one may reasonably be expected to act in accordance with the intentions of the other, or both persons may reasonably be expected to act in accordance with the intentions of a third person.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Two persons shall not be associates solely by reason of the fact that one person is an employee of the other or both persons are employees of a third person.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Without limiting the generality of sub-section (1) and subject to sub-section (4), the following shall be treated as associates </w:t>
      </w:r>
      <w:r w:rsidR="00380055"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 individual and a relative of the individual;</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members of an association of persons;</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a member of an association of persons and the association, where the member, either alone or together with an associate or associates under another application of this section, controls fifty </w:t>
      </w:r>
      <w:r w:rsidR="00AB6F06">
        <w:rPr>
          <w:rFonts w:cs="Arial"/>
          <w:sz w:val="20"/>
        </w:rPr>
        <w:t>per cent</w:t>
      </w:r>
      <w:r w:rsidRPr="00412620">
        <w:rPr>
          <w:rFonts w:cs="Arial"/>
          <w:sz w:val="20"/>
        </w:rPr>
        <w:t xml:space="preserve"> or more of the rights to income or capital of the association;</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a trust and any person who benefits or may benefit under the trust;</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(e)</w:t>
      </w:r>
      <w:r w:rsidRPr="00412620">
        <w:rPr>
          <w:rFonts w:cs="Arial"/>
          <w:sz w:val="20"/>
        </w:rPr>
        <w:tab/>
        <w:t xml:space="preserve">a shareholder in a company and the company, where the shareholder, either alone or together with an associate or associates under another application of this section, controls either directly or through one or more interposed persons </w:t>
      </w:r>
      <w:r w:rsidR="00380055"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2188" w:hanging="568"/>
        <w:jc w:val="both"/>
        <w:rPr>
          <w:rFonts w:cs="Arial"/>
          <w:sz w:val="20"/>
        </w:rPr>
      </w:pPr>
      <w:r w:rsidRPr="00412620">
        <w:rPr>
          <w:rFonts w:cs="Arial"/>
          <w:sz w:val="20"/>
        </w:rPr>
        <w:t xml:space="preserve">  (i)</w:t>
      </w:r>
      <w:r w:rsidRPr="00412620">
        <w:rPr>
          <w:rFonts w:cs="Arial"/>
          <w:sz w:val="20"/>
        </w:rPr>
        <w:tab/>
      </w:r>
      <w:r w:rsidRPr="00412620">
        <w:rPr>
          <w:rFonts w:cs="Arial"/>
          <w:sz w:val="20"/>
        </w:rPr>
        <w:tab/>
        <w:t xml:space="preserve">fifty </w:t>
      </w:r>
      <w:r w:rsidR="00AB6F06">
        <w:rPr>
          <w:rFonts w:cs="Arial"/>
          <w:sz w:val="20"/>
        </w:rPr>
        <w:t>per cent</w:t>
      </w:r>
      <w:r w:rsidRPr="00412620">
        <w:rPr>
          <w:rFonts w:cs="Arial"/>
          <w:sz w:val="20"/>
        </w:rPr>
        <w:t xml:space="preserve"> or more of the voting power in the company;</w:t>
      </w:r>
    </w:p>
    <w:p w:rsidR="006A3F93" w:rsidRPr="00412620" w:rsidRDefault="006A3F93">
      <w:pPr>
        <w:pStyle w:val="BodyTextIndent"/>
        <w:jc w:val="both"/>
        <w:rPr>
          <w:rFonts w:cs="Arial"/>
          <w:sz w:val="20"/>
        </w:rPr>
      </w:pPr>
    </w:p>
    <w:p w:rsidR="006A3F93" w:rsidRPr="00412620" w:rsidRDefault="006A3F93">
      <w:pPr>
        <w:pStyle w:val="BodyTextIndent"/>
        <w:ind w:left="2181" w:hanging="540"/>
        <w:jc w:val="both"/>
        <w:rPr>
          <w:rFonts w:cs="Arial"/>
          <w:sz w:val="20"/>
        </w:rPr>
      </w:pPr>
      <w:r w:rsidRPr="00412620">
        <w:rPr>
          <w:rFonts w:cs="Arial"/>
          <w:sz w:val="20"/>
        </w:rPr>
        <w:t xml:space="preserve"> (ii)</w:t>
      </w:r>
      <w:r w:rsidRPr="00412620">
        <w:rPr>
          <w:rFonts w:cs="Arial"/>
          <w:sz w:val="20"/>
        </w:rPr>
        <w:tab/>
        <w:t xml:space="preserve">fifty </w:t>
      </w:r>
      <w:r w:rsidR="00AB6F06">
        <w:rPr>
          <w:rFonts w:cs="Arial"/>
          <w:sz w:val="20"/>
        </w:rPr>
        <w:t>per cent</w:t>
      </w:r>
      <w:r w:rsidRPr="00412620">
        <w:rPr>
          <w:rFonts w:cs="Arial"/>
          <w:sz w:val="20"/>
        </w:rPr>
        <w:t xml:space="preserve"> or more of the rights to dividends; or</w:t>
      </w:r>
    </w:p>
    <w:p w:rsidR="006A3F93" w:rsidRPr="00412620" w:rsidRDefault="006A3F93">
      <w:pPr>
        <w:pStyle w:val="BodyTextIndent"/>
        <w:jc w:val="both"/>
        <w:rPr>
          <w:rFonts w:cs="Arial"/>
          <w:sz w:val="20"/>
        </w:rPr>
      </w:pPr>
    </w:p>
    <w:p w:rsidR="006A3F93" w:rsidRPr="00412620" w:rsidRDefault="006A3F93">
      <w:pPr>
        <w:pStyle w:val="BodyTextIndent"/>
        <w:ind w:left="2181" w:hanging="540"/>
        <w:jc w:val="both"/>
        <w:rPr>
          <w:rFonts w:cs="Arial"/>
          <w:sz w:val="20"/>
        </w:rPr>
      </w:pPr>
      <w:r w:rsidRPr="00412620">
        <w:rPr>
          <w:rFonts w:cs="Arial"/>
          <w:sz w:val="20"/>
        </w:rPr>
        <w:t>(iii)</w:t>
      </w:r>
      <w:r w:rsidRPr="00412620">
        <w:rPr>
          <w:rFonts w:cs="Arial"/>
          <w:sz w:val="20"/>
        </w:rPr>
        <w:tab/>
        <w:t xml:space="preserve">fifty </w:t>
      </w:r>
      <w:r w:rsidR="00AB6F06">
        <w:rPr>
          <w:rFonts w:cs="Arial"/>
          <w:sz w:val="20"/>
        </w:rPr>
        <w:t>per cent</w:t>
      </w:r>
      <w:r w:rsidRPr="00412620">
        <w:rPr>
          <w:rFonts w:cs="Arial"/>
          <w:sz w:val="20"/>
        </w:rPr>
        <w:t xml:space="preserve"> or more of the rights to capital;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(f)</w:t>
      </w:r>
      <w:r w:rsidRPr="00412620">
        <w:rPr>
          <w:rFonts w:cs="Arial"/>
          <w:sz w:val="20"/>
        </w:rPr>
        <w:tab/>
        <w:t xml:space="preserve">two companies, where a person, either alone or together with an associate or associates under another application of this section, controls either directly or through one or more interposed persons </w:t>
      </w:r>
      <w:r w:rsidR="00B42E2A"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2188" w:hanging="540"/>
        <w:jc w:val="both"/>
        <w:rPr>
          <w:rFonts w:cs="Arial"/>
          <w:sz w:val="20"/>
        </w:rPr>
      </w:pPr>
      <w:r w:rsidRPr="00412620">
        <w:rPr>
          <w:rFonts w:cs="Arial"/>
          <w:sz w:val="20"/>
        </w:rPr>
        <w:lastRenderedPageBreak/>
        <w:t xml:space="preserve">  (i)</w:t>
      </w:r>
      <w:r w:rsidRPr="00412620">
        <w:rPr>
          <w:rFonts w:cs="Arial"/>
          <w:sz w:val="20"/>
        </w:rPr>
        <w:tab/>
        <w:t xml:space="preserve">fifty </w:t>
      </w:r>
      <w:r w:rsidR="00AB6F06">
        <w:rPr>
          <w:rFonts w:cs="Arial"/>
          <w:sz w:val="20"/>
        </w:rPr>
        <w:t>per cent</w:t>
      </w:r>
      <w:r w:rsidRPr="00412620">
        <w:rPr>
          <w:rFonts w:cs="Arial"/>
          <w:sz w:val="20"/>
        </w:rPr>
        <w:t xml:space="preserve"> or more of the voting power in both companies;</w:t>
      </w:r>
    </w:p>
    <w:p w:rsidR="006A3F93" w:rsidRPr="00412620" w:rsidRDefault="006A3F93">
      <w:pPr>
        <w:pStyle w:val="BodyTextIndent"/>
        <w:jc w:val="both"/>
        <w:rPr>
          <w:rFonts w:cs="Arial"/>
          <w:sz w:val="20"/>
        </w:rPr>
      </w:pPr>
    </w:p>
    <w:p w:rsidR="006A3F93" w:rsidRPr="00412620" w:rsidRDefault="006A3F93">
      <w:pPr>
        <w:pStyle w:val="BodyTextIndent"/>
        <w:ind w:left="2188" w:hanging="540"/>
        <w:jc w:val="both"/>
        <w:rPr>
          <w:rFonts w:cs="Arial"/>
          <w:sz w:val="20"/>
        </w:rPr>
      </w:pPr>
      <w:r w:rsidRPr="00412620">
        <w:rPr>
          <w:rFonts w:cs="Arial"/>
          <w:sz w:val="20"/>
        </w:rPr>
        <w:t xml:space="preserve"> (ii)</w:t>
      </w:r>
      <w:r w:rsidRPr="00412620">
        <w:rPr>
          <w:rFonts w:cs="Arial"/>
          <w:sz w:val="20"/>
        </w:rPr>
        <w:tab/>
        <w:t xml:space="preserve">fifty </w:t>
      </w:r>
      <w:r w:rsidR="00AB6F06">
        <w:rPr>
          <w:rFonts w:cs="Arial"/>
          <w:sz w:val="20"/>
        </w:rPr>
        <w:t>per cent</w:t>
      </w:r>
      <w:r w:rsidRPr="00412620">
        <w:rPr>
          <w:rFonts w:cs="Arial"/>
          <w:sz w:val="20"/>
        </w:rPr>
        <w:t xml:space="preserve"> or more of the rights to dividends in both companies; or</w:t>
      </w:r>
    </w:p>
    <w:p w:rsidR="006A3F93" w:rsidRPr="00412620" w:rsidRDefault="006A3F93">
      <w:pPr>
        <w:pStyle w:val="BodyTextIndent"/>
        <w:jc w:val="both"/>
        <w:rPr>
          <w:rFonts w:cs="Arial"/>
          <w:sz w:val="20"/>
        </w:rPr>
      </w:pPr>
    </w:p>
    <w:p w:rsidR="006A3F93" w:rsidRPr="00412620" w:rsidRDefault="006A3F93">
      <w:pPr>
        <w:pStyle w:val="BodyTextIndent"/>
        <w:ind w:left="2188" w:hanging="540"/>
        <w:jc w:val="both"/>
        <w:rPr>
          <w:rFonts w:cs="Arial"/>
          <w:sz w:val="20"/>
        </w:rPr>
      </w:pPr>
      <w:r w:rsidRPr="00412620">
        <w:rPr>
          <w:rFonts w:cs="Arial"/>
          <w:sz w:val="20"/>
        </w:rPr>
        <w:t>(iii)</w:t>
      </w:r>
      <w:r w:rsidRPr="00412620">
        <w:rPr>
          <w:rFonts w:cs="Arial"/>
          <w:sz w:val="20"/>
        </w:rPr>
        <w:tab/>
        <w:t xml:space="preserve">fifty </w:t>
      </w:r>
      <w:r w:rsidR="00AB6F06">
        <w:rPr>
          <w:rFonts w:cs="Arial"/>
          <w:sz w:val="20"/>
        </w:rPr>
        <w:t>per cent</w:t>
      </w:r>
      <w:r w:rsidRPr="00412620">
        <w:rPr>
          <w:rFonts w:cs="Arial"/>
          <w:sz w:val="20"/>
        </w:rPr>
        <w:t xml:space="preserve"> or more of the rights to capital in both companies.</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Two persons shall not be associates under clause (a) or (b) of sub-section (3) where the Commissioner is satisfied that neither person may reasonably be expected to act in accordance with the intentions of the other.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In this section, “relative” in relation to an individual, means </w:t>
      </w:r>
      <w:r w:rsidR="00B42E2A"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 ancestor, a descendant of any of the grandparents, or an adopted child, of the individual, or of a spouse of the individual;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 spouse of the individual or of any person specified in clause (a).</w:t>
      </w:r>
    </w:p>
    <w:p w:rsidR="006A3F93" w:rsidRPr="00412620" w:rsidRDefault="006A3F93">
      <w:pPr>
        <w:rPr>
          <w:rFonts w:cs="Arial"/>
          <w:sz w:val="20"/>
        </w:rPr>
      </w:pPr>
    </w:p>
    <w:p w:rsidR="007C6BD7" w:rsidRPr="00412620" w:rsidRDefault="007C6BD7">
      <w:pPr>
        <w:rPr>
          <w:rFonts w:cs="Arial"/>
          <w:sz w:val="20"/>
        </w:rPr>
      </w:pPr>
    </w:p>
    <w:p w:rsidR="007C6BD7" w:rsidRPr="00412620" w:rsidRDefault="007C6BD7">
      <w:pPr>
        <w:rPr>
          <w:rFonts w:cs="Arial"/>
          <w:sz w:val="20"/>
        </w:rPr>
      </w:pPr>
    </w:p>
    <w:p w:rsidR="006A3F93" w:rsidRPr="00412620" w:rsidRDefault="00F05056">
      <w:pPr>
        <w:pStyle w:val="Heading3"/>
        <w:spacing w:line="240" w:lineRule="auto"/>
        <w:jc w:val="center"/>
        <w:rPr>
          <w:rFonts w:cs="Arial"/>
          <w:caps w:val="0"/>
          <w:sz w:val="32"/>
          <w:szCs w:val="32"/>
        </w:rPr>
      </w:pPr>
      <w:r w:rsidRPr="00412620">
        <w:rPr>
          <w:rFonts w:cs="Arial"/>
          <w:caps w:val="0"/>
          <w:sz w:val="20"/>
        </w:rPr>
        <w:br w:type="page"/>
      </w:r>
      <w:r w:rsidR="006A3F93" w:rsidRPr="00412620">
        <w:rPr>
          <w:rFonts w:cs="Arial"/>
          <w:caps w:val="0"/>
          <w:sz w:val="32"/>
          <w:szCs w:val="32"/>
        </w:rPr>
        <w:lastRenderedPageBreak/>
        <w:t>PART II</w:t>
      </w:r>
    </w:p>
    <w:p w:rsidR="006A3F93" w:rsidRPr="00412620" w:rsidRDefault="006A3F93">
      <w:pPr>
        <w:pStyle w:val="Heading3"/>
        <w:spacing w:line="240" w:lineRule="auto"/>
        <w:jc w:val="center"/>
        <w:rPr>
          <w:rFonts w:cs="Arial"/>
          <w:caps w:val="0"/>
          <w:sz w:val="20"/>
        </w:rPr>
      </w:pPr>
      <w:r w:rsidRPr="00412620">
        <w:rPr>
          <w:rFonts w:cs="Arial"/>
          <w:caps w:val="0"/>
          <w:sz w:val="20"/>
        </w:rPr>
        <w:t>INDIVIDUALS</w:t>
      </w:r>
    </w:p>
    <w:p w:rsidR="006A3F93" w:rsidRPr="00412620" w:rsidRDefault="006A3F93">
      <w:pPr>
        <w:pStyle w:val="Header"/>
        <w:keepNext/>
        <w:tabs>
          <w:tab w:val="left" w:pos="547"/>
        </w:tabs>
        <w:rPr>
          <w:rFonts w:cs="Arial"/>
          <w:sz w:val="20"/>
        </w:rPr>
      </w:pPr>
    </w:p>
    <w:p w:rsidR="006A3F93" w:rsidRPr="00412620" w:rsidRDefault="006A3F93">
      <w:pPr>
        <w:pStyle w:val="Heading8"/>
        <w:rPr>
          <w:rFonts w:cs="Arial"/>
          <w:i w:val="0"/>
          <w:sz w:val="28"/>
        </w:rPr>
      </w:pPr>
      <w:r w:rsidRPr="00412620">
        <w:rPr>
          <w:rFonts w:cs="Arial"/>
          <w:i w:val="0"/>
          <w:sz w:val="28"/>
        </w:rPr>
        <w:t>Division I</w:t>
      </w:r>
    </w:p>
    <w:p w:rsidR="006A3F93" w:rsidRPr="00412620" w:rsidRDefault="006A3F93">
      <w:pPr>
        <w:keepNext/>
        <w:jc w:val="center"/>
        <w:rPr>
          <w:rFonts w:cs="Arial"/>
          <w:b/>
          <w:sz w:val="20"/>
        </w:rPr>
      </w:pPr>
      <w:r w:rsidRPr="00412620">
        <w:rPr>
          <w:rFonts w:cs="Arial"/>
          <w:b/>
          <w:sz w:val="20"/>
        </w:rPr>
        <w:t>Taxation of Individuals</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86.</w:t>
      </w:r>
      <w:r w:rsidR="00ED783C">
        <w:rPr>
          <w:rFonts w:cs="Arial"/>
          <w:b/>
          <w:sz w:val="20"/>
        </w:rPr>
        <w:t xml:space="preserve"> </w:t>
      </w:r>
      <w:r w:rsidRPr="00412620">
        <w:rPr>
          <w:rFonts w:cs="Arial"/>
          <w:b/>
          <w:sz w:val="20"/>
        </w:rPr>
        <w:t>Principle of taxation of individuals.</w:t>
      </w:r>
      <w:r w:rsidR="009A3F8A" w:rsidRPr="00412620">
        <w:rPr>
          <w:rFonts w:cs="Arial"/>
          <w:b/>
          <w:sz w:val="20"/>
        </w:rPr>
        <w:t>—</w:t>
      </w:r>
      <w:r w:rsidRPr="00412620">
        <w:rPr>
          <w:sz w:val="20"/>
        </w:rPr>
        <w:t xml:space="preserve"> Subject to this Ordinance, the taxable income of each individual shall be determined separately.</w:t>
      </w:r>
    </w:p>
    <w:p w:rsidR="006A3F93" w:rsidRPr="00412620" w:rsidRDefault="006A3F93">
      <w:pPr>
        <w:jc w:val="both"/>
        <w:rPr>
          <w:rFonts w:cs="Arial"/>
          <w:sz w:val="20"/>
        </w:rPr>
      </w:pPr>
    </w:p>
    <w:p w:rsidR="006A3F93" w:rsidRPr="00412620" w:rsidRDefault="006A3F93" w:rsidP="00605794">
      <w:pPr>
        <w:jc w:val="both"/>
        <w:rPr>
          <w:sz w:val="20"/>
        </w:rPr>
      </w:pPr>
      <w:r w:rsidRPr="00412620">
        <w:rPr>
          <w:rFonts w:cs="Arial"/>
          <w:b/>
          <w:sz w:val="20"/>
        </w:rPr>
        <w:t>87.</w:t>
      </w:r>
      <w:r w:rsidR="00ED783C">
        <w:rPr>
          <w:rFonts w:cs="Arial"/>
          <w:b/>
          <w:sz w:val="20"/>
        </w:rPr>
        <w:t xml:space="preserve"> </w:t>
      </w:r>
      <w:r w:rsidRPr="00412620">
        <w:rPr>
          <w:rFonts w:cs="Arial"/>
          <w:b/>
          <w:sz w:val="20"/>
        </w:rPr>
        <w:t>Deceased individuals.</w:t>
      </w:r>
      <w:r w:rsidR="009A3F8A" w:rsidRPr="00412620">
        <w:rPr>
          <w:rFonts w:cs="Arial"/>
          <w:b/>
          <w:sz w:val="20"/>
        </w:rPr>
        <w:t>—</w:t>
      </w:r>
      <w:r w:rsidRPr="00412620">
        <w:rPr>
          <w:sz w:val="20"/>
        </w:rPr>
        <w:t xml:space="preserve"> (1)  The legal representative of a deceased individual shall be liable for </w:t>
      </w:r>
      <w:r w:rsidR="00B42E2A"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any tax that the individual would have become liable for if the individual had not died;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any tax payable in respect of the income of the deceased’s estate.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liability of a legal representative under this section shall be limited to the extent to which the deceased’s estate is capable of meeting the liability.</w:t>
      </w:r>
    </w:p>
    <w:p w:rsidR="00B440D7" w:rsidRPr="00412620" w:rsidRDefault="00B440D7">
      <w:pPr>
        <w:jc w:val="both"/>
        <w:rPr>
          <w:rFonts w:cs="Arial"/>
          <w:sz w:val="20"/>
        </w:rPr>
      </w:pPr>
    </w:p>
    <w:p w:rsidR="00B440D7" w:rsidRPr="00412620" w:rsidRDefault="00B440D7">
      <w:pPr>
        <w:jc w:val="both"/>
        <w:rPr>
          <w:rFonts w:cs="Arial"/>
          <w:sz w:val="20"/>
        </w:rPr>
      </w:pPr>
      <w:r w:rsidRPr="00412620">
        <w:rPr>
          <w:rFonts w:cs="Arial"/>
          <w:sz w:val="20"/>
        </w:rPr>
        <w:tab/>
      </w:r>
      <w:r w:rsidRPr="00412620">
        <w:rPr>
          <w:rStyle w:val="FootnoteReference"/>
          <w:rFonts w:cs="Arial"/>
          <w:sz w:val="20"/>
        </w:rPr>
        <w:footnoteReference w:id="500"/>
      </w:r>
      <w:r w:rsidRPr="00412620">
        <w:rPr>
          <w:rFonts w:cs="Arial"/>
          <w:sz w:val="20"/>
        </w:rPr>
        <w:t>[(2A) The liability under this Ordinance shall be the first charge on the deceased’s estate.]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For the purpose of this Ordinance, </w:t>
      </w:r>
      <w:r w:rsidR="009A3F8A" w:rsidRPr="00412620">
        <w:rPr>
          <w:rFonts w:cs="Arial"/>
          <w:b/>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any proceeding taken under this Ordinance against the deceased before his or her death shall be treated as taken against the legal representative and may be continued against the legal representative from the stage at which the proceeding stood on the date of the deceased’s death;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any proceeding which could have been taken under this Ordinance against the deceased if the deceased had survived may be taken against the legal representative of the deceased.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In this section, “legal representative” means a person who in law represents the estate of a deceased person, and includes any person who intermeddles with the estate of the deceased and where a party sues or is sued in representative character the person on whom the estate devolves on the death of the party so suing or sued.</w:t>
      </w:r>
    </w:p>
    <w:p w:rsidR="006A3F93" w:rsidRPr="00412620" w:rsidRDefault="006A3F93">
      <w:pPr>
        <w:rPr>
          <w:rFonts w:cs="Arial"/>
          <w:sz w:val="20"/>
        </w:rPr>
      </w:pPr>
    </w:p>
    <w:p w:rsidR="006A3F93" w:rsidRPr="00412620" w:rsidRDefault="006A3F93">
      <w:pPr>
        <w:pStyle w:val="Heading8"/>
        <w:rPr>
          <w:rFonts w:cs="Arial"/>
          <w:i w:val="0"/>
          <w:sz w:val="28"/>
        </w:rPr>
      </w:pPr>
      <w:r w:rsidRPr="00412620">
        <w:rPr>
          <w:rFonts w:cs="Arial"/>
          <w:i w:val="0"/>
          <w:sz w:val="28"/>
        </w:rPr>
        <w:lastRenderedPageBreak/>
        <w:t>Division II</w:t>
      </w:r>
    </w:p>
    <w:p w:rsidR="006A3F93" w:rsidRPr="00412620" w:rsidRDefault="006A3F93">
      <w:pPr>
        <w:keepNext/>
        <w:jc w:val="center"/>
        <w:rPr>
          <w:rFonts w:cs="Arial"/>
          <w:b/>
          <w:sz w:val="20"/>
        </w:rPr>
      </w:pPr>
      <w:r w:rsidRPr="00412620">
        <w:rPr>
          <w:rFonts w:cs="Arial"/>
          <w:b/>
          <w:sz w:val="20"/>
        </w:rPr>
        <w:t>Provisions Relating to Averaging</w:t>
      </w:r>
    </w:p>
    <w:p w:rsidR="006A3F93" w:rsidRPr="00412620" w:rsidRDefault="006A3F93">
      <w:pPr>
        <w:pStyle w:val="Header"/>
        <w:keepNext/>
        <w:tabs>
          <w:tab w:val="left" w:pos="547"/>
        </w:tabs>
        <w:rPr>
          <w:rFonts w:cs="Arial"/>
          <w:sz w:val="20"/>
        </w:rPr>
      </w:pPr>
    </w:p>
    <w:p w:rsidR="006A3F93" w:rsidRPr="00412620" w:rsidRDefault="006A3F93">
      <w:pPr>
        <w:jc w:val="both"/>
        <w:rPr>
          <w:sz w:val="20"/>
        </w:rPr>
      </w:pPr>
      <w:r w:rsidRPr="00412620">
        <w:rPr>
          <w:rFonts w:cs="Arial"/>
          <w:b/>
          <w:sz w:val="20"/>
        </w:rPr>
        <w:t>88.</w:t>
      </w:r>
      <w:r w:rsidRPr="00412620">
        <w:rPr>
          <w:rFonts w:cs="Arial"/>
          <w:b/>
          <w:sz w:val="20"/>
        </w:rPr>
        <w:tab/>
        <w:t>An individual as a member of an association of persons.</w:t>
      </w:r>
      <w:r w:rsidR="009A3F8A" w:rsidRPr="00412620">
        <w:rPr>
          <w:rFonts w:cs="Arial"/>
          <w:b/>
          <w:sz w:val="20"/>
        </w:rPr>
        <w:t>—</w:t>
      </w:r>
      <w:r w:rsidRPr="00412620">
        <w:rPr>
          <w:sz w:val="20"/>
        </w:rPr>
        <w:t xml:space="preserve"> If, for a tax year, an individual has taxable income and derives an amount or amounts exempt from tax under sub-section (1) of section 92, the amount of tax payable on the taxable income of the individual shall be computed in accordance with the following formula, namely:</w:t>
      </w:r>
      <w:r w:rsidR="009A3F8A" w:rsidRPr="00412620">
        <w:rPr>
          <w:rFonts w:cs="Arial"/>
          <w:b/>
          <w:sz w:val="20"/>
        </w:rPr>
        <w:t xml:space="preserve"> —</w:t>
      </w:r>
    </w:p>
    <w:p w:rsidR="006A3F93" w:rsidRPr="00412620" w:rsidRDefault="006A3F93">
      <w:pPr>
        <w:rPr>
          <w:rFonts w:cs="Arial"/>
          <w:sz w:val="20"/>
        </w:rPr>
      </w:pPr>
    </w:p>
    <w:p w:rsidR="006A3F93" w:rsidRPr="00412620" w:rsidRDefault="006A3F93">
      <w:pPr>
        <w:pStyle w:val="Heading2"/>
        <w:spacing w:line="240" w:lineRule="auto"/>
        <w:rPr>
          <w:b w:val="0"/>
          <w:sz w:val="20"/>
        </w:rPr>
      </w:pPr>
      <w:r w:rsidRPr="00412620">
        <w:rPr>
          <w:rFonts w:cs="Arial"/>
          <w:sz w:val="20"/>
        </w:rPr>
        <w:t>(A/B) x C</w:t>
      </w:r>
    </w:p>
    <w:p w:rsidR="006A3F93" w:rsidRPr="00412620" w:rsidRDefault="006A3F93">
      <w:pPr>
        <w:jc w:val="both"/>
        <w:rPr>
          <w:rFonts w:cs="Arial"/>
          <w:sz w:val="20"/>
        </w:rPr>
      </w:pPr>
      <w:r w:rsidRPr="00412620">
        <w:rPr>
          <w:rFonts w:cs="Arial"/>
          <w:sz w:val="20"/>
        </w:rPr>
        <w:t xml:space="preserve">where </w:t>
      </w:r>
      <w:r w:rsidR="009A3F8A" w:rsidRPr="00412620">
        <w:rPr>
          <w:rFonts w:cs="Arial"/>
          <w:b/>
          <w:sz w:val="20"/>
        </w:rPr>
        <w:t>—</w:t>
      </w:r>
    </w:p>
    <w:p w:rsidR="006A3F93" w:rsidRPr="00412620" w:rsidRDefault="006A3F93">
      <w:pPr>
        <w:jc w:val="both"/>
        <w:rPr>
          <w:rFonts w:cs="Arial"/>
          <w:sz w:val="20"/>
        </w:rPr>
      </w:pPr>
    </w:p>
    <w:p w:rsidR="006A3F93" w:rsidRPr="00412620" w:rsidRDefault="006A3F93">
      <w:pPr>
        <w:ind w:left="540" w:hanging="540"/>
        <w:jc w:val="both"/>
        <w:rPr>
          <w:sz w:val="20"/>
        </w:rPr>
      </w:pPr>
      <w:r w:rsidRPr="00412620">
        <w:rPr>
          <w:rFonts w:cs="Arial"/>
          <w:b/>
          <w:sz w:val="20"/>
        </w:rPr>
        <w:t>A</w:t>
      </w:r>
      <w:r w:rsidRPr="00412620">
        <w:rPr>
          <w:sz w:val="20"/>
        </w:rPr>
        <w:tab/>
        <w:t>is the amount of tax that would be assessed to the individual for the year if the amount or amounts exempt from tax under sub-section (1) of section 92 were chargeable to tax;</w:t>
      </w:r>
    </w:p>
    <w:p w:rsidR="006A3F93" w:rsidRPr="00412620" w:rsidRDefault="006A3F93">
      <w:pPr>
        <w:ind w:left="720" w:hanging="720"/>
        <w:jc w:val="both"/>
        <w:rPr>
          <w:rFonts w:cs="Arial"/>
          <w:b/>
          <w:sz w:val="20"/>
        </w:rPr>
      </w:pPr>
    </w:p>
    <w:p w:rsidR="006A3F93" w:rsidRPr="00412620" w:rsidRDefault="006A3F93">
      <w:pPr>
        <w:ind w:left="540" w:hanging="540"/>
        <w:jc w:val="both"/>
        <w:rPr>
          <w:sz w:val="20"/>
        </w:rPr>
      </w:pPr>
      <w:r w:rsidRPr="00412620">
        <w:rPr>
          <w:rFonts w:cs="Arial"/>
          <w:b/>
          <w:sz w:val="20"/>
        </w:rPr>
        <w:t>B</w:t>
      </w:r>
      <w:r w:rsidRPr="00412620">
        <w:rPr>
          <w:sz w:val="20"/>
        </w:rPr>
        <w:tab/>
        <w:t xml:space="preserve">is the taxable income of the individual for the year if the amount or amounts exempt from tax under sub-section (1) of section 92 were chargeable to tax; and </w:t>
      </w:r>
    </w:p>
    <w:p w:rsidR="006A3F93" w:rsidRPr="00412620" w:rsidRDefault="006A3F93">
      <w:pPr>
        <w:ind w:left="540" w:hanging="540"/>
        <w:jc w:val="both"/>
        <w:rPr>
          <w:rFonts w:cs="Arial"/>
          <w:sz w:val="20"/>
        </w:rPr>
      </w:pPr>
    </w:p>
    <w:p w:rsidR="006A3F93" w:rsidRPr="00412620" w:rsidRDefault="006A3F93">
      <w:pPr>
        <w:ind w:left="540" w:hanging="540"/>
        <w:jc w:val="both"/>
        <w:rPr>
          <w:sz w:val="20"/>
        </w:rPr>
      </w:pPr>
      <w:r w:rsidRPr="00412620">
        <w:rPr>
          <w:rFonts w:cs="Arial"/>
          <w:b/>
          <w:sz w:val="20"/>
        </w:rPr>
        <w:t>C</w:t>
      </w:r>
      <w:r w:rsidRPr="00412620">
        <w:rPr>
          <w:sz w:val="20"/>
        </w:rPr>
        <w:tab/>
        <w:t>is the individual’s actual taxable income for the year.</w:t>
      </w:r>
    </w:p>
    <w:p w:rsidR="006A3F93" w:rsidRPr="00412620" w:rsidRDefault="006A3F93">
      <w:pPr>
        <w:jc w:val="both"/>
        <w:rPr>
          <w:rFonts w:cs="Arial"/>
          <w:b/>
          <w:sz w:val="20"/>
        </w:rPr>
      </w:pPr>
    </w:p>
    <w:p w:rsidR="006A3F93" w:rsidRPr="00A7684E" w:rsidRDefault="009F6F84">
      <w:pPr>
        <w:jc w:val="both"/>
        <w:rPr>
          <w:rFonts w:cs="Arial"/>
          <w:color w:val="000000" w:themeColor="text1"/>
          <w:sz w:val="20"/>
        </w:rPr>
      </w:pPr>
      <w:r w:rsidRPr="00A7684E">
        <w:rPr>
          <w:rStyle w:val="FootnoteReference"/>
          <w:color w:val="000000" w:themeColor="text1"/>
          <w:sz w:val="20"/>
        </w:rPr>
        <w:footnoteReference w:id="501"/>
      </w:r>
      <w:r w:rsidR="003E66F4" w:rsidRPr="00A7684E">
        <w:rPr>
          <w:color w:val="000000" w:themeColor="text1"/>
          <w:sz w:val="20"/>
        </w:rPr>
        <w:t>[</w:t>
      </w:r>
      <w:r w:rsidR="00A7684E" w:rsidRPr="00A7684E">
        <w:rPr>
          <w:color w:val="000000" w:themeColor="text1"/>
          <w:sz w:val="20"/>
        </w:rPr>
        <w:t xml:space="preserve">  </w:t>
      </w:r>
      <w:r w:rsidR="00CF2558" w:rsidRPr="00A7684E">
        <w:rPr>
          <w:color w:val="000000" w:themeColor="text1"/>
          <w:sz w:val="20"/>
        </w:rPr>
        <w:t>]</w:t>
      </w:r>
    </w:p>
    <w:p w:rsidR="006A3F93" w:rsidRPr="00E15DE9" w:rsidRDefault="006A3F93">
      <w:pPr>
        <w:jc w:val="both"/>
        <w:rPr>
          <w:rFonts w:cs="Arial"/>
          <w:color w:val="00B0F0"/>
          <w:sz w:val="16"/>
          <w:szCs w:val="16"/>
        </w:rPr>
      </w:pPr>
    </w:p>
    <w:p w:rsidR="006A3F93" w:rsidRPr="00412620" w:rsidRDefault="006A3F93">
      <w:pPr>
        <w:jc w:val="both"/>
        <w:rPr>
          <w:sz w:val="20"/>
        </w:rPr>
      </w:pPr>
      <w:r w:rsidRPr="00412620">
        <w:rPr>
          <w:rFonts w:cs="Arial"/>
          <w:b/>
          <w:sz w:val="20"/>
        </w:rPr>
        <w:t>89.</w:t>
      </w:r>
      <w:r w:rsidRPr="00412620">
        <w:rPr>
          <w:rFonts w:cs="Arial"/>
          <w:b/>
          <w:sz w:val="20"/>
        </w:rPr>
        <w:tab/>
        <w:t>Authors</w:t>
      </w:r>
      <w:r w:rsidR="00116C07" w:rsidRPr="00412620">
        <w:rPr>
          <w:rFonts w:cs="Arial"/>
          <w:b/>
          <w:sz w:val="20"/>
        </w:rPr>
        <w:t>. —</w:t>
      </w:r>
      <w:r w:rsidRPr="00412620">
        <w:rPr>
          <w:sz w:val="20"/>
        </w:rPr>
        <w:t xml:space="preserve"> Where the time taken by an author of a literary or artistic work to complete the work exceeds twenty-four months, the author may elect to treat any lump sum amount received by the author in a tax year on account of royalties in respect of the work as having been received in that tax year and the preceding two tax years in equal proportions.</w:t>
      </w:r>
    </w:p>
    <w:p w:rsidR="006A3F93" w:rsidRPr="00412620" w:rsidRDefault="006A3F93">
      <w:pPr>
        <w:jc w:val="both"/>
        <w:rPr>
          <w:rFonts w:cs="Arial"/>
          <w:sz w:val="20"/>
        </w:rPr>
      </w:pPr>
    </w:p>
    <w:p w:rsidR="006A3F93" w:rsidRPr="00412620" w:rsidRDefault="006A3F93">
      <w:pPr>
        <w:pStyle w:val="Heading8"/>
        <w:rPr>
          <w:rFonts w:cs="Arial"/>
          <w:i w:val="0"/>
          <w:sz w:val="28"/>
        </w:rPr>
      </w:pPr>
      <w:r w:rsidRPr="00412620">
        <w:rPr>
          <w:rFonts w:cs="Arial"/>
          <w:i w:val="0"/>
          <w:sz w:val="28"/>
        </w:rPr>
        <w:lastRenderedPageBreak/>
        <w:t>Division III</w:t>
      </w:r>
    </w:p>
    <w:p w:rsidR="006A3F93" w:rsidRPr="00412620" w:rsidRDefault="006A3F93">
      <w:pPr>
        <w:keepNext/>
        <w:jc w:val="center"/>
        <w:rPr>
          <w:rFonts w:cs="Arial"/>
          <w:b/>
          <w:sz w:val="20"/>
        </w:rPr>
      </w:pPr>
      <w:r w:rsidRPr="00412620">
        <w:rPr>
          <w:rFonts w:cs="Arial"/>
          <w:b/>
          <w:sz w:val="20"/>
        </w:rPr>
        <w:t>Income Splitting</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90.</w:t>
      </w:r>
      <w:r w:rsidRPr="00412620">
        <w:rPr>
          <w:rFonts w:cs="Arial"/>
          <w:b/>
          <w:sz w:val="20"/>
        </w:rPr>
        <w:tab/>
        <w:t>Transfers of assets</w:t>
      </w:r>
      <w:r w:rsidR="00116C07" w:rsidRPr="00412620">
        <w:rPr>
          <w:rFonts w:cs="Arial"/>
          <w:b/>
          <w:sz w:val="20"/>
        </w:rPr>
        <w:t>. —</w:t>
      </w:r>
      <w:r w:rsidRPr="00412620">
        <w:rPr>
          <w:sz w:val="20"/>
        </w:rPr>
        <w:t xml:space="preserve"> (1</w:t>
      </w:r>
      <w:r w:rsidR="00116C07" w:rsidRPr="00412620">
        <w:rPr>
          <w:sz w:val="20"/>
        </w:rPr>
        <w:t>) For</w:t>
      </w:r>
      <w:r w:rsidRPr="00412620">
        <w:rPr>
          <w:sz w:val="20"/>
        </w:rPr>
        <w:t xml:space="preserve"> the purposes of this Ordinance and subject to sub-section (2), where there has been a revocable transfer of an asset, any income arising from the asset shall be treated as the income of the transferor and not of the transferee.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Sub-section (1) shall not apply to any income derived by a person by virtue of a transfer that is not revocable during the lifetime of the person and the transferor derives no direct or indirect benefit from such income.</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(3)</w:t>
      </w:r>
      <w:r w:rsidRPr="00412620">
        <w:rPr>
          <w:rFonts w:cs="Arial"/>
          <w:sz w:val="20"/>
        </w:rPr>
        <w:tab/>
        <w:t xml:space="preserve">For the purposes of this Ordinance, where there has been a transfer of an asset but the asset remains the property of the transferor, any income arising from the asset shall be treated as the income of the transferor.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For the purposes of this Ordinance and subject to sub-section (5), any income arising from any asset transferred by a person directly or indirectly to</w:t>
      </w:r>
      <w:r w:rsidR="009A3F8A" w:rsidRPr="00412620">
        <w:rPr>
          <w:rFonts w:cs="Arial"/>
          <w:b/>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the person’s spouse or minor child; or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any other person for the benefit of a person or persons referred to in clause (a),</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shall be treated as the income of the transferor.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Sub-section (4) shall not apply to any transfer made </w:t>
      </w:r>
      <w:r w:rsidR="009A3F8A" w:rsidRPr="00412620">
        <w:rPr>
          <w:rFonts w:cs="Arial"/>
          <w:b/>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for adequate consideration; or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in connection with an agreement to live apart.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For the purposes of clause (a) of sub-section (5), a transfer shall not be treated as made for adequate consideration if the transferor has provided, by way of loan or otherwise, to the transferee, directly or indirectly, with the funds for the acquisition of the asset.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Sub-section (5) does not apply where the transferor fails to produce evidence of the transfer of the asset by way of its registration or mutation in the relevant record and the income arising from the asset shall be treated as the income of the transferor for the purposes of this Ordinance.</w:t>
      </w:r>
    </w:p>
    <w:p w:rsidR="006A3F93" w:rsidRPr="00412620" w:rsidRDefault="006A3F93">
      <w:pPr>
        <w:jc w:val="both"/>
        <w:rPr>
          <w:rFonts w:cs="Arial"/>
          <w:sz w:val="20"/>
        </w:rPr>
      </w:pPr>
    </w:p>
    <w:p w:rsidR="006A3F93" w:rsidRPr="00412620" w:rsidRDefault="006A3F93">
      <w:pPr>
        <w:rPr>
          <w:rFonts w:cs="Arial"/>
          <w:sz w:val="20"/>
        </w:rPr>
      </w:pPr>
      <w:r w:rsidRPr="00412620">
        <w:rPr>
          <w:rFonts w:cs="Arial"/>
          <w:sz w:val="20"/>
        </w:rPr>
        <w:tab/>
        <w:t>(8)</w:t>
      </w:r>
      <w:r w:rsidRPr="00412620">
        <w:rPr>
          <w:rFonts w:cs="Arial"/>
          <w:sz w:val="20"/>
        </w:rPr>
        <w:tab/>
        <w:t xml:space="preserve">For the purposes of this section, </w:t>
      </w:r>
      <w:r w:rsidR="009A3F8A" w:rsidRPr="00412620">
        <w:rPr>
          <w:rFonts w:cs="Arial"/>
          <w:b/>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a transfer of an asset shall be treated as revocable if </w:t>
      </w:r>
      <w:r w:rsidR="009A3F8A" w:rsidRPr="00412620">
        <w:rPr>
          <w:rFonts w:cs="Arial"/>
          <w:b/>
          <w:sz w:val="20"/>
        </w:rPr>
        <w:t>—</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w:t>
      </w:r>
      <w:r w:rsidRPr="00412620">
        <w:rPr>
          <w:rFonts w:cs="Arial"/>
          <w:sz w:val="20"/>
        </w:rPr>
        <w:tab/>
        <w:t>there is any provision for the re-transfer, directly or indirectly, of the whole or any part of the asset to the transferor; or</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(ii)</w:t>
      </w:r>
      <w:r w:rsidRPr="00412620">
        <w:rPr>
          <w:rFonts w:cs="Arial"/>
          <w:sz w:val="20"/>
        </w:rPr>
        <w:tab/>
        <w:t xml:space="preserve">the transferor has, in any way, the right to resume power, directly or indirectly, over the whole or any part of the asset;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“minor child” shall not include a married daughter;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“transfer” includes any disposition, settlement, trust, covenant, agreement or arrangement.</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91.</w:t>
      </w:r>
      <w:r w:rsidRPr="00412620">
        <w:rPr>
          <w:rFonts w:cs="Arial"/>
          <w:b/>
          <w:sz w:val="20"/>
        </w:rPr>
        <w:tab/>
        <w:t>Income of a minor child.</w:t>
      </w:r>
      <w:r w:rsidR="009A3F8A" w:rsidRPr="00412620">
        <w:rPr>
          <w:rFonts w:cs="Arial"/>
          <w:b/>
          <w:sz w:val="20"/>
        </w:rPr>
        <w:t>—</w:t>
      </w:r>
      <w:r w:rsidRPr="00412620">
        <w:rPr>
          <w:sz w:val="20"/>
        </w:rPr>
        <w:t xml:space="preserve"> (1)  Any income of a minor child for a tax year chargeable under the head "Income from Business" shall be chargeable to tax as the income of the parent of the child with the highest taxable income for that year.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 Sub-section (1) shall not apply to the income of a minor child from a business acquired by the child through an inheritance.</w:t>
      </w:r>
    </w:p>
    <w:p w:rsidR="006A3F93" w:rsidRPr="00412620" w:rsidRDefault="006A3F93">
      <w:pPr>
        <w:pStyle w:val="BodyText2"/>
        <w:jc w:val="left"/>
        <w:rPr>
          <w:rFonts w:cs="Arial"/>
          <w:sz w:val="20"/>
        </w:rPr>
      </w:pPr>
    </w:p>
    <w:p w:rsidR="006A3F93" w:rsidRPr="00412620" w:rsidRDefault="00BB377D">
      <w:pPr>
        <w:pStyle w:val="Heading8"/>
        <w:rPr>
          <w:rFonts w:cs="Arial"/>
          <w:i w:val="0"/>
          <w:sz w:val="32"/>
          <w:szCs w:val="32"/>
        </w:rPr>
      </w:pPr>
      <w:r w:rsidRPr="00412620">
        <w:rPr>
          <w:rFonts w:cs="Arial"/>
          <w:i w:val="0"/>
          <w:sz w:val="20"/>
        </w:rPr>
        <w:br w:type="page"/>
      </w:r>
      <w:r w:rsidR="006A3F93" w:rsidRPr="00412620">
        <w:rPr>
          <w:rFonts w:cs="Arial"/>
          <w:i w:val="0"/>
          <w:sz w:val="32"/>
          <w:szCs w:val="32"/>
        </w:rPr>
        <w:lastRenderedPageBreak/>
        <w:t>PART III</w:t>
      </w:r>
    </w:p>
    <w:p w:rsidR="006A3F93" w:rsidRPr="00412620" w:rsidRDefault="006A3F93">
      <w:pPr>
        <w:keepNext/>
        <w:jc w:val="center"/>
        <w:rPr>
          <w:rFonts w:cs="Arial"/>
          <w:b/>
          <w:sz w:val="20"/>
        </w:rPr>
      </w:pPr>
      <w:r w:rsidRPr="00412620">
        <w:rPr>
          <w:rFonts w:cs="Arial"/>
          <w:b/>
          <w:sz w:val="20"/>
        </w:rPr>
        <w:t>ASSOCIATIONS OF PERSONS</w:t>
      </w:r>
    </w:p>
    <w:p w:rsidR="006A3F93" w:rsidRPr="00412620" w:rsidRDefault="006A3F93">
      <w:pPr>
        <w:pStyle w:val="Header"/>
        <w:keepNext/>
        <w:tabs>
          <w:tab w:val="left" w:pos="547"/>
        </w:tabs>
        <w:rPr>
          <w:rFonts w:cs="Arial"/>
          <w:sz w:val="20"/>
        </w:rPr>
      </w:pPr>
    </w:p>
    <w:p w:rsidR="00BD5F07" w:rsidRPr="00A7684E" w:rsidRDefault="006A3F93">
      <w:pPr>
        <w:jc w:val="both"/>
        <w:rPr>
          <w:color w:val="000000" w:themeColor="text1"/>
          <w:sz w:val="20"/>
        </w:rPr>
      </w:pPr>
      <w:r w:rsidRPr="00412620">
        <w:rPr>
          <w:rFonts w:cs="Arial"/>
          <w:b/>
          <w:sz w:val="20"/>
        </w:rPr>
        <w:t>92.</w:t>
      </w:r>
      <w:r w:rsidR="00ED783C">
        <w:rPr>
          <w:rFonts w:cs="Arial"/>
          <w:b/>
          <w:sz w:val="20"/>
        </w:rPr>
        <w:t xml:space="preserve"> </w:t>
      </w:r>
      <w:r w:rsidRPr="00412620">
        <w:rPr>
          <w:rFonts w:cs="Arial"/>
          <w:b/>
          <w:sz w:val="20"/>
        </w:rPr>
        <w:t>Principles of taxation of associations of persons.</w:t>
      </w:r>
      <w:r w:rsidR="00F74756" w:rsidRPr="00412620">
        <w:rPr>
          <w:rFonts w:cs="Arial"/>
          <w:sz w:val="20"/>
        </w:rPr>
        <w:t>—</w:t>
      </w:r>
      <w:r w:rsidRPr="00412620">
        <w:rPr>
          <w:sz w:val="20"/>
        </w:rPr>
        <w:t xml:space="preserve">(1) </w:t>
      </w:r>
      <w:r w:rsidR="00F038FE" w:rsidRPr="00412620">
        <w:rPr>
          <w:rStyle w:val="FootnoteReference"/>
          <w:sz w:val="20"/>
        </w:rPr>
        <w:footnoteReference w:id="502"/>
      </w:r>
      <w:r w:rsidR="00F038FE" w:rsidRPr="00412620">
        <w:rPr>
          <w:sz w:val="20"/>
        </w:rPr>
        <w:t xml:space="preserve">[ ] </w:t>
      </w:r>
      <w:r w:rsidR="00AC2848" w:rsidRPr="00412620">
        <w:rPr>
          <w:sz w:val="20"/>
        </w:rPr>
        <w:t>A</w:t>
      </w:r>
      <w:r w:rsidRPr="00412620">
        <w:rPr>
          <w:sz w:val="20"/>
        </w:rPr>
        <w:t xml:space="preserve">n association of persons shall be liable to tax separately from the members of the association and </w:t>
      </w:r>
      <w:r w:rsidRPr="00412620">
        <w:rPr>
          <w:rStyle w:val="FootnoteReference"/>
          <w:sz w:val="20"/>
        </w:rPr>
        <w:footnoteReference w:id="503"/>
      </w:r>
      <w:r w:rsidRPr="00412620">
        <w:rPr>
          <w:sz w:val="20"/>
        </w:rPr>
        <w:t>[where the association of persons has paid tax the] amount received by a member of the association in the capacity as member out of the income of the association shall be exempt from tax</w:t>
      </w:r>
      <w:r w:rsidR="00990FF2" w:rsidRPr="00A7684E">
        <w:rPr>
          <w:rStyle w:val="FootnoteReference"/>
          <w:color w:val="000000" w:themeColor="text1"/>
          <w:sz w:val="20"/>
        </w:rPr>
        <w:footnoteReference w:id="504"/>
      </w:r>
      <w:r w:rsidR="00990FF2" w:rsidRPr="00A7684E">
        <w:rPr>
          <w:color w:val="000000" w:themeColor="text1"/>
          <w:sz w:val="20"/>
        </w:rPr>
        <w:t>[</w:t>
      </w:r>
      <w:r w:rsidR="00BD5F07" w:rsidRPr="00A7684E">
        <w:rPr>
          <w:color w:val="000000" w:themeColor="text1"/>
          <w:sz w:val="20"/>
        </w:rPr>
        <w:t>:</w:t>
      </w:r>
      <w:r w:rsidR="00990FF2" w:rsidRPr="00A7684E">
        <w:rPr>
          <w:color w:val="000000" w:themeColor="text1"/>
          <w:sz w:val="20"/>
        </w:rPr>
        <w:t>]</w:t>
      </w:r>
    </w:p>
    <w:p w:rsidR="00BD5F07" w:rsidRDefault="00BD5F07">
      <w:pPr>
        <w:jc w:val="both"/>
        <w:rPr>
          <w:sz w:val="20"/>
        </w:rPr>
      </w:pPr>
    </w:p>
    <w:p w:rsidR="00BD5F07" w:rsidRPr="00A7684E" w:rsidRDefault="00990FF2" w:rsidP="00990FF2">
      <w:pPr>
        <w:tabs>
          <w:tab w:val="left" w:pos="720"/>
        </w:tabs>
        <w:spacing w:line="276" w:lineRule="auto"/>
        <w:ind w:left="547"/>
        <w:jc w:val="both"/>
        <w:rPr>
          <w:rFonts w:cs="Arial"/>
          <w:color w:val="000000" w:themeColor="text1"/>
          <w:sz w:val="20"/>
        </w:rPr>
      </w:pPr>
      <w:r>
        <w:rPr>
          <w:color w:val="00B0F0"/>
          <w:sz w:val="20"/>
        </w:rPr>
        <w:tab/>
      </w:r>
      <w:r w:rsidR="00BD5F07" w:rsidRPr="00A7684E">
        <w:rPr>
          <w:rStyle w:val="FootnoteReference"/>
          <w:color w:val="000000" w:themeColor="text1"/>
          <w:sz w:val="20"/>
        </w:rPr>
        <w:footnoteReference w:id="505"/>
      </w:r>
      <w:r w:rsidR="00BD5F07" w:rsidRPr="00A7684E">
        <w:rPr>
          <w:color w:val="000000" w:themeColor="text1"/>
          <w:sz w:val="20"/>
        </w:rPr>
        <w:t>[</w:t>
      </w:r>
      <w:r w:rsidR="00BD5F07" w:rsidRPr="00A7684E">
        <w:rPr>
          <w:rFonts w:cs="Arial"/>
          <w:color w:val="000000" w:themeColor="text1"/>
          <w:sz w:val="20"/>
        </w:rPr>
        <w:t>Provided that if at least one member of the association of persons is a company, the share of such company or companies shall be excluded  for the purpose of computing the total income of the association of persons and the company or the companies shall be taxed separately, at the rate applicable to the companies, according to their share.]</w:t>
      </w:r>
    </w:p>
    <w:p w:rsidR="006A3F93" w:rsidRPr="00BD5F07" w:rsidRDefault="006A3F93">
      <w:pPr>
        <w:jc w:val="both"/>
        <w:rPr>
          <w:color w:val="00B0F0"/>
          <w:sz w:val="20"/>
        </w:rPr>
      </w:pPr>
    </w:p>
    <w:p w:rsidR="006A3F93" w:rsidRPr="00412620" w:rsidRDefault="006A3F93">
      <w:pPr>
        <w:jc w:val="both"/>
        <w:rPr>
          <w:rFonts w:cs="Arial"/>
          <w:b/>
          <w:sz w:val="20"/>
        </w:rPr>
      </w:pPr>
    </w:p>
    <w:p w:rsidR="00F82323" w:rsidRPr="00412620" w:rsidRDefault="00F82323">
      <w:pPr>
        <w:jc w:val="both"/>
        <w:rPr>
          <w:rFonts w:cs="Arial"/>
          <w:sz w:val="20"/>
        </w:rPr>
      </w:pPr>
      <w:r w:rsidRPr="00412620">
        <w:rPr>
          <w:rFonts w:cs="Arial"/>
          <w:b/>
          <w:sz w:val="20"/>
        </w:rPr>
        <w:tab/>
      </w:r>
      <w:r w:rsidRPr="00412620">
        <w:rPr>
          <w:rStyle w:val="FootnoteReference"/>
          <w:rFonts w:cs="Arial"/>
          <w:b/>
          <w:sz w:val="20"/>
        </w:rPr>
        <w:footnoteReference w:id="506"/>
      </w:r>
      <w:r w:rsidRPr="00412620">
        <w:rPr>
          <w:rFonts w:cs="Arial"/>
          <w:sz w:val="20"/>
        </w:rPr>
        <w:t>[  ]</w:t>
      </w:r>
    </w:p>
    <w:p w:rsidR="00F82323" w:rsidRPr="00412620" w:rsidRDefault="00F82323">
      <w:pPr>
        <w:jc w:val="both"/>
        <w:rPr>
          <w:rFonts w:cs="Arial"/>
          <w:sz w:val="20"/>
        </w:rPr>
      </w:pPr>
    </w:p>
    <w:p w:rsidR="00F82323" w:rsidRPr="00412620" w:rsidRDefault="00F82323">
      <w:pPr>
        <w:jc w:val="both"/>
        <w:rPr>
          <w:rFonts w:cs="Arial"/>
          <w:sz w:val="20"/>
        </w:rPr>
      </w:pPr>
      <w:r w:rsidRPr="00412620">
        <w:rPr>
          <w:rFonts w:cs="Arial"/>
          <w:sz w:val="20"/>
        </w:rPr>
        <w:tab/>
      </w:r>
      <w:r w:rsidR="00E741E9" w:rsidRPr="00412620">
        <w:rPr>
          <w:rStyle w:val="FootnoteReference"/>
          <w:rFonts w:cs="Arial"/>
          <w:sz w:val="20"/>
        </w:rPr>
        <w:footnoteReference w:id="507"/>
      </w:r>
      <w:r w:rsidRPr="00412620">
        <w:rPr>
          <w:rFonts w:cs="Arial"/>
          <w:sz w:val="20"/>
        </w:rPr>
        <w:t>[  ]</w:t>
      </w:r>
    </w:p>
    <w:p w:rsidR="00F82323" w:rsidRPr="00412620" w:rsidRDefault="00F82323">
      <w:pPr>
        <w:jc w:val="both"/>
        <w:rPr>
          <w:rFonts w:cs="Arial"/>
          <w:sz w:val="20"/>
        </w:rPr>
      </w:pPr>
    </w:p>
    <w:p w:rsidR="00F82323" w:rsidRPr="00412620" w:rsidRDefault="00F82323">
      <w:pPr>
        <w:jc w:val="both"/>
        <w:rPr>
          <w:rFonts w:cs="Arial"/>
          <w:sz w:val="20"/>
        </w:rPr>
      </w:pPr>
      <w:r w:rsidRPr="00412620">
        <w:rPr>
          <w:rFonts w:cs="Arial"/>
          <w:sz w:val="20"/>
        </w:rPr>
        <w:tab/>
      </w:r>
      <w:r w:rsidR="00E741E9" w:rsidRPr="00412620">
        <w:rPr>
          <w:rStyle w:val="FootnoteReference"/>
          <w:rFonts w:cs="Arial"/>
          <w:sz w:val="20"/>
        </w:rPr>
        <w:footnoteReference w:id="508"/>
      </w:r>
      <w:r w:rsidRPr="00412620">
        <w:rPr>
          <w:rFonts w:cs="Arial"/>
          <w:sz w:val="20"/>
        </w:rPr>
        <w:t>[  ]</w:t>
      </w:r>
    </w:p>
    <w:p w:rsidR="00F82323" w:rsidRPr="00412620" w:rsidRDefault="00F82323">
      <w:pPr>
        <w:jc w:val="both"/>
        <w:rPr>
          <w:rFonts w:cs="Arial"/>
          <w:sz w:val="20"/>
        </w:rPr>
      </w:pPr>
    </w:p>
    <w:p w:rsidR="00F82323" w:rsidRPr="00412620" w:rsidRDefault="00F82323">
      <w:pPr>
        <w:jc w:val="both"/>
        <w:rPr>
          <w:rFonts w:cs="Arial"/>
          <w:sz w:val="20"/>
        </w:rPr>
      </w:pPr>
      <w:r w:rsidRPr="00412620">
        <w:rPr>
          <w:rFonts w:cs="Arial"/>
          <w:sz w:val="20"/>
        </w:rPr>
        <w:tab/>
      </w:r>
      <w:r w:rsidR="003976FE" w:rsidRPr="00412620">
        <w:rPr>
          <w:rStyle w:val="FootnoteReference"/>
          <w:rFonts w:cs="Arial"/>
          <w:sz w:val="20"/>
        </w:rPr>
        <w:footnoteReference w:id="509"/>
      </w:r>
      <w:r w:rsidRPr="00412620">
        <w:rPr>
          <w:rFonts w:cs="Arial"/>
          <w:sz w:val="20"/>
        </w:rPr>
        <w:t>[  ]</w:t>
      </w:r>
    </w:p>
    <w:p w:rsidR="00F82323" w:rsidRPr="00412620" w:rsidRDefault="00F82323">
      <w:pPr>
        <w:jc w:val="both"/>
        <w:rPr>
          <w:rFonts w:cs="Arial"/>
          <w:b/>
          <w:sz w:val="20"/>
        </w:rPr>
      </w:pPr>
    </w:p>
    <w:p w:rsidR="003976FE" w:rsidRPr="00412620" w:rsidRDefault="003976FE">
      <w:pPr>
        <w:rPr>
          <w:rFonts w:cs="Arial"/>
          <w:sz w:val="20"/>
        </w:rPr>
      </w:pPr>
      <w:r w:rsidRPr="00412620">
        <w:rPr>
          <w:rStyle w:val="FootnoteReference"/>
          <w:rFonts w:cs="Arial"/>
          <w:sz w:val="20"/>
        </w:rPr>
        <w:footnoteReference w:id="510"/>
      </w:r>
      <w:r w:rsidRPr="00412620">
        <w:rPr>
          <w:rFonts w:cs="Arial"/>
          <w:sz w:val="20"/>
        </w:rPr>
        <w:t>[  ]</w:t>
      </w:r>
    </w:p>
    <w:p w:rsidR="003976FE" w:rsidRPr="00412620" w:rsidRDefault="003976FE">
      <w:pPr>
        <w:rPr>
          <w:rFonts w:cs="Arial"/>
          <w:sz w:val="20"/>
        </w:rPr>
      </w:pPr>
    </w:p>
    <w:p w:rsidR="006A3F93" w:rsidRPr="00412620" w:rsidRDefault="006A3F93">
      <w:pPr>
        <w:pStyle w:val="Heading3"/>
        <w:spacing w:line="240" w:lineRule="auto"/>
        <w:jc w:val="center"/>
        <w:rPr>
          <w:rFonts w:cs="Arial"/>
          <w:caps w:val="0"/>
          <w:sz w:val="32"/>
          <w:szCs w:val="32"/>
        </w:rPr>
      </w:pPr>
      <w:r w:rsidRPr="00412620">
        <w:rPr>
          <w:rFonts w:cs="Arial"/>
          <w:caps w:val="0"/>
          <w:sz w:val="32"/>
          <w:szCs w:val="32"/>
        </w:rPr>
        <w:t>PART IV</w:t>
      </w:r>
    </w:p>
    <w:p w:rsidR="006A3F93" w:rsidRPr="00412620" w:rsidRDefault="006A3F93">
      <w:pPr>
        <w:pStyle w:val="Heading3"/>
        <w:spacing w:line="240" w:lineRule="auto"/>
        <w:jc w:val="center"/>
        <w:rPr>
          <w:rFonts w:cs="Arial"/>
          <w:caps w:val="0"/>
          <w:sz w:val="20"/>
        </w:rPr>
      </w:pPr>
      <w:r w:rsidRPr="00412620">
        <w:rPr>
          <w:rFonts w:cs="Arial"/>
          <w:caps w:val="0"/>
          <w:sz w:val="20"/>
        </w:rPr>
        <w:t>COMPANIES</w:t>
      </w:r>
    </w:p>
    <w:p w:rsidR="006A3F93" w:rsidRPr="00412620" w:rsidRDefault="006A3F93">
      <w:pPr>
        <w:pStyle w:val="Header"/>
        <w:keepNext/>
        <w:tabs>
          <w:tab w:val="left" w:pos="547"/>
        </w:tabs>
        <w:rPr>
          <w:rFonts w:cs="Arial"/>
          <w:sz w:val="20"/>
        </w:rPr>
      </w:pPr>
    </w:p>
    <w:p w:rsidR="006A3F93" w:rsidRPr="00412620" w:rsidRDefault="006A3F93">
      <w:pPr>
        <w:jc w:val="both"/>
        <w:rPr>
          <w:sz w:val="20"/>
        </w:rPr>
      </w:pPr>
      <w:r w:rsidRPr="00412620">
        <w:rPr>
          <w:rFonts w:cs="Arial"/>
          <w:b/>
          <w:sz w:val="20"/>
        </w:rPr>
        <w:t>94.</w:t>
      </w:r>
      <w:r w:rsidR="00ED783C">
        <w:rPr>
          <w:rFonts w:cs="Arial"/>
          <w:b/>
          <w:sz w:val="20"/>
        </w:rPr>
        <w:t xml:space="preserve"> </w:t>
      </w:r>
      <w:r w:rsidRPr="00412620">
        <w:rPr>
          <w:rFonts w:cs="Arial"/>
          <w:b/>
          <w:sz w:val="20"/>
        </w:rPr>
        <w:t>Principles of taxation of companies.-</w:t>
      </w:r>
      <w:r w:rsidRPr="00412620">
        <w:rPr>
          <w:sz w:val="20"/>
        </w:rPr>
        <w:t xml:space="preserve"> (1)  A company shall be liable to tax separately from its shareholders.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 dividend paid by a </w:t>
      </w:r>
      <w:r w:rsidR="00F363E7" w:rsidRPr="00B70268">
        <w:rPr>
          <w:rStyle w:val="FootnoteReference"/>
          <w:rFonts w:cs="Arial"/>
          <w:color w:val="000000" w:themeColor="text1"/>
          <w:sz w:val="20"/>
        </w:rPr>
        <w:footnoteReference w:id="511"/>
      </w:r>
      <w:r w:rsidR="00F363E7" w:rsidRPr="00B70268">
        <w:rPr>
          <w:rFonts w:cs="Arial"/>
          <w:color w:val="000000" w:themeColor="text1"/>
          <w:sz w:val="20"/>
        </w:rPr>
        <w:t>[  ]</w:t>
      </w:r>
      <w:r w:rsidRPr="00412620">
        <w:rPr>
          <w:rFonts w:cs="Arial"/>
          <w:sz w:val="20"/>
        </w:rPr>
        <w:t xml:space="preserve"> company shall be taxable in accordance with Section 5.</w:t>
      </w:r>
    </w:p>
    <w:p w:rsidR="006A3F93" w:rsidRPr="00412620" w:rsidRDefault="006A3F93">
      <w:pPr>
        <w:jc w:val="both"/>
        <w:rPr>
          <w:rFonts w:cs="Arial"/>
          <w:sz w:val="20"/>
        </w:rPr>
      </w:pPr>
    </w:p>
    <w:p w:rsidR="006A3F93" w:rsidRPr="00412620" w:rsidRDefault="006A3F93">
      <w:pPr>
        <w:jc w:val="both"/>
        <w:rPr>
          <w:rFonts w:cs="Arial"/>
          <w:b/>
          <w:sz w:val="20"/>
        </w:rPr>
      </w:pPr>
      <w:r w:rsidRPr="00412620">
        <w:rPr>
          <w:rFonts w:cs="Arial"/>
          <w:sz w:val="20"/>
        </w:rPr>
        <w:tab/>
        <w:t>(3)</w:t>
      </w:r>
      <w:r w:rsidRPr="00412620">
        <w:rPr>
          <w:rFonts w:cs="Arial"/>
          <w:sz w:val="20"/>
        </w:rPr>
        <w:tab/>
        <w:t>A dividend paid by a non-resident company to a resident person shall be chargeable to tax under the head “Income from Business” or “Income from Other Sources”, as the case may be, unless the dividend is exempt from tax.</w:t>
      </w:r>
    </w:p>
    <w:p w:rsidR="006A3F93" w:rsidRPr="00412620" w:rsidRDefault="006A3F93">
      <w:pPr>
        <w:pStyle w:val="Heading3"/>
        <w:keepNext w:val="0"/>
        <w:spacing w:line="240" w:lineRule="auto"/>
        <w:jc w:val="both"/>
        <w:rPr>
          <w:rFonts w:cs="Arial"/>
          <w:i/>
          <w:caps w:val="0"/>
          <w:sz w:val="20"/>
        </w:rPr>
      </w:pPr>
    </w:p>
    <w:p w:rsidR="006A3F93" w:rsidRPr="00412620" w:rsidRDefault="006A3F93">
      <w:pPr>
        <w:jc w:val="both"/>
        <w:rPr>
          <w:sz w:val="20"/>
        </w:rPr>
      </w:pPr>
      <w:r w:rsidRPr="00412620">
        <w:rPr>
          <w:rFonts w:cs="Arial"/>
          <w:b/>
          <w:sz w:val="20"/>
        </w:rPr>
        <w:t>95.</w:t>
      </w:r>
      <w:r w:rsidR="00ED783C">
        <w:rPr>
          <w:rFonts w:cs="Arial"/>
          <w:b/>
          <w:sz w:val="20"/>
        </w:rPr>
        <w:t xml:space="preserve"> </w:t>
      </w:r>
      <w:r w:rsidRPr="00412620">
        <w:rPr>
          <w:rFonts w:cs="Arial"/>
          <w:b/>
          <w:sz w:val="20"/>
        </w:rPr>
        <w:t>Disposal of business by individual to wholly-owned company.-</w:t>
      </w:r>
      <w:r w:rsidRPr="00412620">
        <w:rPr>
          <w:sz w:val="20"/>
        </w:rPr>
        <w:t xml:space="preserve"> (1)  Where a resident individual (hereinafter referred to as the “transferor”) disposes of all the assets of a business of the transferor to a resident company, no gain or loss shall be taken to arise on the disposal if the following conditions are satisfied, namely:</w:t>
      </w:r>
      <w:r w:rsidR="008A1960"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consideration received by the transferor for the disposal is a share or shares in the company (other than redeemable shares);</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(b)</w:t>
      </w:r>
      <w:r w:rsidRPr="00412620">
        <w:rPr>
          <w:rFonts w:cs="Arial"/>
          <w:sz w:val="20"/>
        </w:rPr>
        <w:tab/>
        <w:t>the transferor must beneficially own all the issued shares in the company immediately after the disposal;</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the company must undertake to discharge any liability in respect of the assets disposed of to the company;</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any liability in respect of the assets disposed of to the company must not exceed the transferor’s cost of the assets at the time of the disposal;</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(e)</w:t>
      </w:r>
      <w:r w:rsidRPr="00412620">
        <w:rPr>
          <w:rFonts w:cs="Arial"/>
          <w:sz w:val="20"/>
        </w:rPr>
        <w:tab/>
        <w:t>the fair market value of the share or shares received by the transferor for the disposal must be substantially the same as the fair market value of the assets disposed of to the company, less any liability that the company has undertaken to discharge in respect of the assets;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(f)</w:t>
      </w:r>
      <w:r w:rsidRPr="00412620">
        <w:rPr>
          <w:rFonts w:cs="Arial"/>
          <w:sz w:val="20"/>
        </w:rPr>
        <w:tab/>
        <w:t>the company must not be exempt from tax for the tax year in which the disposal takes place.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sub-section (1) applies </w:t>
      </w:r>
      <w:r w:rsidR="00341E2F"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each of the assets acquired by the company shall be treated as having the same character as it had in the hands of the transferor;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the company’s cost in respect of the acquisition of the assets shall be </w:t>
      </w:r>
      <w:r w:rsidR="00341E2F" w:rsidRPr="00412620">
        <w:rPr>
          <w:rFonts w:cs="Arial"/>
          <w:sz w:val="20"/>
        </w:rPr>
        <w:t>—</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w:t>
      </w:r>
      <w:r w:rsidRPr="00412620">
        <w:rPr>
          <w:rFonts w:cs="Arial"/>
          <w:sz w:val="20"/>
        </w:rPr>
        <w:tab/>
        <w:t xml:space="preserve">in the case of a depreciable asset or amortised intangible, the written down value of the asset or intangible immediately before the disposal; </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(ii)</w:t>
      </w:r>
      <w:r w:rsidRPr="00412620">
        <w:rPr>
          <w:rFonts w:cs="Arial"/>
          <w:sz w:val="20"/>
        </w:rPr>
        <w:tab/>
        <w:t xml:space="preserve">in the case of stock-in-trade valued for tax purposes under sub-section (4) of section 35 </w:t>
      </w:r>
      <w:r w:rsidR="00E95B2E" w:rsidRPr="00412620">
        <w:rPr>
          <w:rStyle w:val="FootnoteReference"/>
          <w:rFonts w:cs="Arial"/>
          <w:sz w:val="20"/>
        </w:rPr>
        <w:footnoteReference w:id="512"/>
      </w:r>
      <w:r w:rsidR="00334587" w:rsidRPr="00412620">
        <w:rPr>
          <w:rFonts w:cs="Arial"/>
          <w:sz w:val="20"/>
        </w:rPr>
        <w:t>[  ]</w:t>
      </w:r>
      <w:r w:rsidRPr="00412620">
        <w:rPr>
          <w:rFonts w:cs="Arial"/>
          <w:sz w:val="20"/>
        </w:rPr>
        <w:t xml:space="preserve">, that value; or </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(iii)</w:t>
      </w:r>
      <w:r w:rsidRPr="00412620">
        <w:rPr>
          <w:rFonts w:cs="Arial"/>
          <w:sz w:val="20"/>
        </w:rPr>
        <w:tab/>
        <w:t>in any other case, the transferor’s cost at the time of the disposal;</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if, immediately before the disposal, the transferor has deductions allowed under sections 22, 23 and 24 in respect of the assets transferred which have not been set off against the transferor’s income, the amount not set off shall be added to the deductions allowed under those sections to the company in the tax year in which the transfer is made;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 xml:space="preserve">the transferor’s cost in respect of the share or shares received as consideration for the disposal shall be </w:t>
      </w:r>
      <w:r w:rsidR="004E1AA3"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2160" w:hanging="540"/>
        <w:jc w:val="both"/>
        <w:rPr>
          <w:rFonts w:cs="Arial"/>
          <w:sz w:val="20"/>
        </w:rPr>
      </w:pPr>
      <w:r w:rsidRPr="00412620">
        <w:rPr>
          <w:rFonts w:cs="Arial"/>
          <w:sz w:val="20"/>
        </w:rPr>
        <w:t>(i)</w:t>
      </w:r>
      <w:r w:rsidRPr="00412620">
        <w:rPr>
          <w:rFonts w:cs="Arial"/>
          <w:sz w:val="20"/>
        </w:rPr>
        <w:tab/>
        <w:t xml:space="preserve">in the case of a consideration of one share, the transferor’s cost of the assets transferred as determined under clause (b), less the amount of any liability that the company has undertaken to discharge in respect of the assets; or </w:t>
      </w:r>
    </w:p>
    <w:p w:rsidR="006A3F93" w:rsidRPr="00412620" w:rsidRDefault="006A3F93">
      <w:pPr>
        <w:pStyle w:val="BodyTextIndent"/>
        <w:jc w:val="both"/>
        <w:rPr>
          <w:rFonts w:cs="Arial"/>
          <w:sz w:val="20"/>
        </w:rPr>
      </w:pPr>
    </w:p>
    <w:p w:rsidR="006A3F93" w:rsidRPr="00412620" w:rsidRDefault="006A3F93">
      <w:pPr>
        <w:pStyle w:val="BodyTextIndent"/>
        <w:ind w:left="2160" w:hanging="540"/>
        <w:jc w:val="both"/>
        <w:rPr>
          <w:rFonts w:cs="Arial"/>
          <w:sz w:val="20"/>
        </w:rPr>
      </w:pPr>
      <w:r w:rsidRPr="00412620">
        <w:rPr>
          <w:rFonts w:cs="Arial"/>
          <w:sz w:val="20"/>
        </w:rPr>
        <w:t>(ii)</w:t>
      </w:r>
      <w:r w:rsidRPr="00412620">
        <w:rPr>
          <w:rFonts w:cs="Arial"/>
          <w:sz w:val="20"/>
        </w:rPr>
        <w:tab/>
        <w:t>in the case of a consideration of more than one share, the amount determined under sub-clause (i) divided by the number of shares received.</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In determining whether the transferor’s deductions under sections 22, 23 or 24 have been set off against income for the purposes of clause (c) of sub-section (2), those deductions shall be taken into account last. </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96.</w:t>
      </w:r>
      <w:r w:rsidR="00ED783C">
        <w:rPr>
          <w:rFonts w:cs="Arial"/>
          <w:b/>
          <w:sz w:val="20"/>
        </w:rPr>
        <w:t xml:space="preserve"> </w:t>
      </w:r>
      <w:r w:rsidRPr="00412620">
        <w:rPr>
          <w:rFonts w:cs="Arial"/>
          <w:b/>
          <w:sz w:val="20"/>
        </w:rPr>
        <w:t>Disposal of business by association of persons to wholly-owned company.</w:t>
      </w:r>
      <w:r w:rsidR="004E1AA3" w:rsidRPr="00412620">
        <w:rPr>
          <w:rFonts w:cs="Arial"/>
          <w:sz w:val="20"/>
        </w:rPr>
        <w:t>—</w:t>
      </w:r>
      <w:r w:rsidRPr="00412620">
        <w:rPr>
          <w:sz w:val="20"/>
        </w:rPr>
        <w:t xml:space="preserve"> (1)  Where a resident association of persons disposes of all the assets of a business of the association to a resident company, no gain or loss shall be taken to arise on the disposal if the following conditions are satisfied, namely:</w:t>
      </w:r>
      <w:r w:rsidR="00875EF6" w:rsidRPr="00412620">
        <w:rPr>
          <w:rFonts w:cs="Arial"/>
          <w:sz w:val="20"/>
        </w:rPr>
        <w:t xml:space="preserve">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consideration received by the association for the disposal is a share or shares in the company (other than redeemable shares);</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association must own all the issued shares in the company immediately after the disposal;</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each member of the association must have an interest in the shares in the same proportion to the member’s interest in the business assets immediately before the disposal;</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the company must undertake to discharge any liability in respect of the assets disposed of to the company;</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(e)</w:t>
      </w:r>
      <w:r w:rsidRPr="00412620">
        <w:rPr>
          <w:rFonts w:cs="Arial"/>
          <w:sz w:val="20"/>
        </w:rPr>
        <w:tab/>
        <w:t>any liability in respect of the assets disposed of to the company must not exceed the association’s cost of the asset at the time of the disposal;</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(f)</w:t>
      </w:r>
      <w:r w:rsidRPr="00412620">
        <w:rPr>
          <w:rFonts w:cs="Arial"/>
          <w:sz w:val="20"/>
        </w:rPr>
        <w:tab/>
        <w:t xml:space="preserve">the fair market value of the share or shares received by the association for the disposal must be substantially the same as the fair market value of the assets disposed of to the company, </w:t>
      </w:r>
      <w:r w:rsidRPr="00412620">
        <w:rPr>
          <w:rFonts w:cs="Arial"/>
          <w:sz w:val="20"/>
        </w:rPr>
        <w:lastRenderedPageBreak/>
        <w:t>as reduced by any liability that the company has undertaken to discharge in respect of the assets;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(g)</w:t>
      </w:r>
      <w:r w:rsidRPr="00412620">
        <w:rPr>
          <w:rFonts w:cs="Arial"/>
          <w:sz w:val="20"/>
        </w:rPr>
        <w:tab/>
        <w:t>the company must not be exempt from tax for the tax year in which the disposal takes place.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sub-section (1) applies </w:t>
      </w:r>
      <w:r w:rsidR="00875EF6"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each of the assets acquired by the company shall be treated as having the same character as it had in the hands of the association;</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the company’s cost in respect of the acquisition of the assets shall be </w:t>
      </w:r>
      <w:r w:rsidR="00F62A17" w:rsidRPr="00412620">
        <w:rPr>
          <w:rFonts w:cs="Arial"/>
          <w:sz w:val="20"/>
        </w:rPr>
        <w:t>—</w:t>
      </w:r>
    </w:p>
    <w:p w:rsidR="006A3F93" w:rsidRPr="00412620" w:rsidRDefault="006A3F93">
      <w:pPr>
        <w:jc w:val="both"/>
        <w:rPr>
          <w:rFonts w:cs="Arial"/>
          <w:sz w:val="20"/>
        </w:rPr>
      </w:pPr>
    </w:p>
    <w:p w:rsidR="006A3F93" w:rsidRPr="00412620" w:rsidRDefault="006A3F93">
      <w:pPr>
        <w:pStyle w:val="BodyTextIndent3"/>
        <w:ind w:left="2188" w:hanging="540"/>
        <w:jc w:val="both"/>
        <w:rPr>
          <w:rFonts w:cs="Arial"/>
          <w:sz w:val="20"/>
        </w:rPr>
      </w:pPr>
      <w:r w:rsidRPr="00412620">
        <w:rPr>
          <w:rFonts w:cs="Arial"/>
          <w:sz w:val="20"/>
        </w:rPr>
        <w:t xml:space="preserve">  (i)</w:t>
      </w:r>
      <w:r w:rsidRPr="00412620">
        <w:rPr>
          <w:rFonts w:cs="Arial"/>
          <w:sz w:val="20"/>
        </w:rPr>
        <w:tab/>
        <w:t xml:space="preserve">in the case of a depreciable asset or amortised intangible, the written down value of the asset or intangible immediately before the disposal; </w:t>
      </w:r>
    </w:p>
    <w:p w:rsidR="006A3F93" w:rsidRPr="00412620" w:rsidRDefault="006A3F93">
      <w:pPr>
        <w:jc w:val="both"/>
        <w:rPr>
          <w:rFonts w:cs="Arial"/>
          <w:sz w:val="20"/>
        </w:rPr>
      </w:pPr>
    </w:p>
    <w:p w:rsidR="006A3F93" w:rsidRPr="00412620" w:rsidRDefault="006A3F93">
      <w:pPr>
        <w:pStyle w:val="BodyTextIndent3"/>
        <w:ind w:left="2188" w:hanging="540"/>
        <w:jc w:val="both"/>
        <w:rPr>
          <w:rFonts w:cs="Arial"/>
          <w:sz w:val="20"/>
        </w:rPr>
      </w:pPr>
      <w:r w:rsidRPr="00412620">
        <w:rPr>
          <w:rFonts w:cs="Arial"/>
          <w:sz w:val="20"/>
        </w:rPr>
        <w:t xml:space="preserve"> (ii)</w:t>
      </w:r>
      <w:r w:rsidRPr="00412620">
        <w:rPr>
          <w:rFonts w:cs="Arial"/>
          <w:sz w:val="20"/>
        </w:rPr>
        <w:tab/>
        <w:t>in the case of stock-in-trade valued for tax purposes under sub-section (4) of section 35</w:t>
      </w:r>
      <w:r w:rsidR="00E95B2E" w:rsidRPr="00412620">
        <w:rPr>
          <w:rStyle w:val="FootnoteReference"/>
          <w:rFonts w:cs="Arial"/>
          <w:sz w:val="20"/>
        </w:rPr>
        <w:footnoteReference w:id="513"/>
      </w:r>
      <w:r w:rsidR="00E95B2E" w:rsidRPr="00412620">
        <w:rPr>
          <w:rFonts w:cs="Arial"/>
          <w:sz w:val="20"/>
        </w:rPr>
        <w:t>[  ]</w:t>
      </w:r>
      <w:r w:rsidRPr="00412620">
        <w:rPr>
          <w:rFonts w:cs="Arial"/>
          <w:sz w:val="20"/>
        </w:rPr>
        <w:t xml:space="preserve">, that value; or </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2188" w:hanging="540"/>
        <w:jc w:val="both"/>
        <w:rPr>
          <w:rFonts w:cs="Arial"/>
          <w:sz w:val="20"/>
        </w:rPr>
      </w:pPr>
      <w:r w:rsidRPr="00412620">
        <w:rPr>
          <w:rFonts w:cs="Arial"/>
          <w:sz w:val="20"/>
        </w:rPr>
        <w:t>(iii)</w:t>
      </w:r>
      <w:r w:rsidRPr="00412620">
        <w:rPr>
          <w:rFonts w:cs="Arial"/>
          <w:sz w:val="20"/>
        </w:rPr>
        <w:tab/>
        <w:t>in any other case, the association’s cost at the time of the disposal;</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if, immediately before the disposal, the association is subject to tax in accordance with sub-section (1) of section 92 and the association has deductions allowed under sections 22, 23 and 24 in respect of the assets transferred which have not been set off against the association’s income, the amount not set off shall be added to the deductions allowed under those sections to the company in the tax year in which the transfer is made;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 xml:space="preserve">the association’s cost in respect of the share or shares received as consideration for the disposal shall be </w:t>
      </w:r>
      <w:r w:rsidR="00875EF6" w:rsidRPr="00412620">
        <w:rPr>
          <w:rFonts w:cs="Arial"/>
          <w:sz w:val="20"/>
        </w:rPr>
        <w:t>—</w:t>
      </w:r>
    </w:p>
    <w:p w:rsidR="006A3F93" w:rsidRPr="00412620" w:rsidRDefault="006A3F93">
      <w:pPr>
        <w:pStyle w:val="BodyTextIndent"/>
        <w:jc w:val="both"/>
        <w:rPr>
          <w:rFonts w:cs="Arial"/>
          <w:sz w:val="20"/>
        </w:rPr>
      </w:pPr>
    </w:p>
    <w:p w:rsidR="006A3F93" w:rsidRPr="00412620" w:rsidRDefault="006A3F93">
      <w:pPr>
        <w:pStyle w:val="BodyTextIndent"/>
        <w:ind w:left="2160" w:hanging="540"/>
        <w:jc w:val="both"/>
        <w:rPr>
          <w:rFonts w:cs="Arial"/>
          <w:sz w:val="20"/>
        </w:rPr>
      </w:pPr>
      <w:r w:rsidRPr="00412620">
        <w:rPr>
          <w:rFonts w:cs="Arial"/>
          <w:sz w:val="20"/>
        </w:rPr>
        <w:t xml:space="preserve"> (i)</w:t>
      </w:r>
      <w:r w:rsidRPr="00412620">
        <w:rPr>
          <w:rFonts w:cs="Arial"/>
          <w:sz w:val="20"/>
        </w:rPr>
        <w:tab/>
        <w:t xml:space="preserve">in the case of a consideration of one share, the association’s cost of the assets transferred as determined under clause (b), as reduced by the amount of any liability that the company has undertaken to discharge in respect of the assets; or </w:t>
      </w:r>
    </w:p>
    <w:p w:rsidR="006A3F93" w:rsidRPr="00412620" w:rsidRDefault="006A3F93">
      <w:pPr>
        <w:pStyle w:val="BodyTextIndent"/>
        <w:jc w:val="both"/>
        <w:rPr>
          <w:rFonts w:cs="Arial"/>
          <w:sz w:val="20"/>
        </w:rPr>
      </w:pPr>
    </w:p>
    <w:p w:rsidR="006A3F93" w:rsidRPr="00412620" w:rsidRDefault="006A3F93">
      <w:pPr>
        <w:pStyle w:val="BodyTextIndent"/>
        <w:ind w:left="2160" w:hanging="540"/>
        <w:jc w:val="both"/>
        <w:rPr>
          <w:rFonts w:cs="Arial"/>
          <w:sz w:val="20"/>
        </w:rPr>
      </w:pPr>
      <w:r w:rsidRPr="00412620">
        <w:rPr>
          <w:rFonts w:cs="Arial"/>
          <w:sz w:val="20"/>
        </w:rPr>
        <w:lastRenderedPageBreak/>
        <w:t>(ii)</w:t>
      </w:r>
      <w:r w:rsidRPr="00412620">
        <w:rPr>
          <w:rFonts w:cs="Arial"/>
          <w:sz w:val="20"/>
        </w:rPr>
        <w:tab/>
        <w:t>in the case of a consideration of more than one share, the amount determined under sub-clause (i) divided by the number of shares received.</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In determining whether the association’s deductions under Sections 22, 23 or 24 have been set off against income for the purposes of clause (c) of sub-section (2), those deductions are taken into account last.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97.</w:t>
      </w:r>
      <w:r w:rsidR="00ED783C">
        <w:rPr>
          <w:rFonts w:cs="Arial"/>
          <w:b/>
          <w:sz w:val="20"/>
        </w:rPr>
        <w:t xml:space="preserve"> </w:t>
      </w:r>
      <w:r w:rsidRPr="00412620">
        <w:rPr>
          <w:rFonts w:cs="Arial"/>
          <w:b/>
          <w:sz w:val="20"/>
        </w:rPr>
        <w:t>Disposal of asset between wholly-owned companies.</w:t>
      </w:r>
      <w:r w:rsidR="00DC5B2D" w:rsidRPr="00412620">
        <w:rPr>
          <w:rFonts w:cs="Arial"/>
          <w:sz w:val="20"/>
        </w:rPr>
        <w:t>—</w:t>
      </w:r>
      <w:r w:rsidRPr="00412620">
        <w:rPr>
          <w:sz w:val="20"/>
        </w:rPr>
        <w:t xml:space="preserve"> (1)  Where a resident company (hereinafter referred to as the “transferor”) disposes of an asset to another resident company (hereinafter referred to as the “transferee”), no gain or loss shall be taken to arise on the disposal if the following conditions are satisfied, namely:-</w:t>
      </w:r>
    </w:p>
    <w:p w:rsidR="006A3F93" w:rsidRPr="00412620" w:rsidRDefault="006A3F93">
      <w:pPr>
        <w:jc w:val="both"/>
        <w:rPr>
          <w:rFonts w:cs="Arial"/>
          <w:sz w:val="20"/>
        </w:rPr>
      </w:pPr>
    </w:p>
    <w:p w:rsidR="006A3F93" w:rsidRPr="00412620" w:rsidRDefault="006A3F93">
      <w:pPr>
        <w:pStyle w:val="BodyTextIndent"/>
        <w:ind w:left="1800"/>
        <w:jc w:val="both"/>
        <w:rPr>
          <w:rFonts w:cs="Arial"/>
          <w:sz w:val="20"/>
        </w:rPr>
      </w:pPr>
      <w:r w:rsidRPr="00412620">
        <w:rPr>
          <w:rFonts w:cs="Arial"/>
          <w:sz w:val="20"/>
        </w:rPr>
        <w:t>(a)</w:t>
      </w:r>
      <w:r w:rsidRPr="00412620">
        <w:rPr>
          <w:rFonts w:cs="Arial"/>
          <w:sz w:val="20"/>
        </w:rPr>
        <w:tab/>
        <w:t xml:space="preserve">Both companies belong to a wholly-owned group of </w:t>
      </w:r>
      <w:r w:rsidRPr="00412620">
        <w:rPr>
          <w:rStyle w:val="FootnoteReference"/>
          <w:rFonts w:cs="Arial"/>
          <w:sz w:val="20"/>
        </w:rPr>
        <w:footnoteReference w:id="514"/>
      </w:r>
      <w:r w:rsidRPr="00412620">
        <w:rPr>
          <w:rFonts w:cs="Arial"/>
          <w:sz w:val="20"/>
        </w:rPr>
        <w:t>[resident] companies at the time of the disposal;</w:t>
      </w:r>
    </w:p>
    <w:p w:rsidR="006A3F93" w:rsidRPr="00412620" w:rsidRDefault="006A3F93">
      <w:pPr>
        <w:pStyle w:val="BodyTextIndent"/>
        <w:jc w:val="both"/>
        <w:rPr>
          <w:rFonts w:cs="Arial"/>
          <w:sz w:val="20"/>
        </w:rPr>
      </w:pPr>
    </w:p>
    <w:p w:rsidR="006A3F93" w:rsidRPr="00412620" w:rsidRDefault="006A3F93">
      <w:pPr>
        <w:pStyle w:val="BodyTextIndent"/>
        <w:ind w:left="1800"/>
        <w:jc w:val="both"/>
        <w:rPr>
          <w:rFonts w:cs="Arial"/>
          <w:sz w:val="20"/>
        </w:rPr>
      </w:pPr>
      <w:r w:rsidRPr="00412620">
        <w:rPr>
          <w:rFonts w:cs="Arial"/>
          <w:sz w:val="20"/>
        </w:rPr>
        <w:t>(b)</w:t>
      </w:r>
      <w:r w:rsidRPr="00412620">
        <w:rPr>
          <w:rFonts w:cs="Arial"/>
          <w:sz w:val="20"/>
        </w:rPr>
        <w:tab/>
        <w:t>the transferee must undertake to discharge any liability in respect of the asset acquired;</w:t>
      </w:r>
    </w:p>
    <w:p w:rsidR="006A3F93" w:rsidRPr="00412620" w:rsidRDefault="006A3F93">
      <w:pPr>
        <w:pStyle w:val="BodyTextIndent"/>
        <w:jc w:val="both"/>
        <w:rPr>
          <w:rFonts w:cs="Arial"/>
          <w:sz w:val="20"/>
        </w:rPr>
      </w:pPr>
    </w:p>
    <w:p w:rsidR="006A3F93" w:rsidRPr="00412620" w:rsidRDefault="006A3F93">
      <w:pPr>
        <w:pStyle w:val="BodyTextIndent"/>
        <w:ind w:left="1800"/>
        <w:jc w:val="both"/>
        <w:rPr>
          <w:rFonts w:cs="Arial"/>
          <w:sz w:val="20"/>
        </w:rPr>
      </w:pPr>
      <w:r w:rsidRPr="00412620">
        <w:rPr>
          <w:rFonts w:cs="Arial"/>
          <w:sz w:val="20"/>
        </w:rPr>
        <w:t>(c)</w:t>
      </w:r>
      <w:r w:rsidRPr="00412620">
        <w:rPr>
          <w:rFonts w:cs="Arial"/>
          <w:sz w:val="20"/>
        </w:rPr>
        <w:tab/>
        <w:t>any liability in respect of the asset must not exceed the transferor’s cost of the asset at the time of the disposal; and</w:t>
      </w:r>
    </w:p>
    <w:p w:rsidR="006A3F93" w:rsidRPr="00412620" w:rsidRDefault="006A3F93">
      <w:pPr>
        <w:pStyle w:val="BodyTextIndent"/>
        <w:jc w:val="both"/>
        <w:rPr>
          <w:rFonts w:cs="Arial"/>
          <w:sz w:val="20"/>
        </w:rPr>
      </w:pPr>
    </w:p>
    <w:p w:rsidR="006A3F93" w:rsidRPr="00412620" w:rsidRDefault="006A3F93">
      <w:pPr>
        <w:pStyle w:val="BodyTextIndent"/>
        <w:ind w:left="1800"/>
        <w:jc w:val="both"/>
        <w:rPr>
          <w:rFonts w:cs="Arial"/>
          <w:sz w:val="20"/>
        </w:rPr>
      </w:pPr>
      <w:r w:rsidRPr="00412620">
        <w:rPr>
          <w:rFonts w:cs="Arial"/>
          <w:sz w:val="20"/>
        </w:rPr>
        <w:t>(d)</w:t>
      </w:r>
      <w:r w:rsidRPr="00412620">
        <w:rPr>
          <w:rFonts w:cs="Arial"/>
          <w:sz w:val="20"/>
        </w:rPr>
        <w:tab/>
        <w:t>the transferee must not be exempt from tax for the tax year in which the disposal takes place.</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sub-section (1) applies </w:t>
      </w:r>
      <w:r w:rsidR="00F62A17"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asset acquired by the transferee shall be treated as having the same character as it had in the hands of the transferor;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the transferee’s cost in respect of the acquisition of the asset shall be </w:t>
      </w:r>
      <w:r w:rsidR="00DC5B2D" w:rsidRPr="00412620">
        <w:rPr>
          <w:rFonts w:cs="Arial"/>
          <w:sz w:val="20"/>
        </w:rPr>
        <w:t>—</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w:t>
      </w:r>
      <w:r w:rsidRPr="00412620">
        <w:rPr>
          <w:rFonts w:cs="Arial"/>
          <w:sz w:val="20"/>
        </w:rPr>
        <w:tab/>
        <w:t xml:space="preserve">in the case of a depreciable asset or amortized intangible, the written down value of the asset or intangible immediately before the disposal; </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(ii)</w:t>
      </w:r>
      <w:r w:rsidRPr="00412620">
        <w:rPr>
          <w:rFonts w:cs="Arial"/>
          <w:sz w:val="20"/>
        </w:rPr>
        <w:tab/>
        <w:t xml:space="preserve">in the case of stock-in-trade valued for tax purposes under sub-section (4) of section 35 </w:t>
      </w:r>
      <w:r w:rsidR="00E95B2E" w:rsidRPr="00412620">
        <w:rPr>
          <w:rStyle w:val="FootnoteReference"/>
          <w:rFonts w:cs="Arial"/>
          <w:sz w:val="20"/>
        </w:rPr>
        <w:footnoteReference w:id="515"/>
      </w:r>
      <w:r w:rsidR="00E95B2E" w:rsidRPr="00412620">
        <w:rPr>
          <w:rFonts w:cs="Arial"/>
          <w:sz w:val="20"/>
        </w:rPr>
        <w:t>[  ]</w:t>
      </w:r>
      <w:r w:rsidRPr="00412620">
        <w:rPr>
          <w:rFonts w:cs="Arial"/>
          <w:sz w:val="20"/>
        </w:rPr>
        <w:t xml:space="preserve">, that value; or </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(iii)</w:t>
      </w:r>
      <w:r w:rsidRPr="00412620">
        <w:rPr>
          <w:rFonts w:cs="Arial"/>
          <w:sz w:val="20"/>
        </w:rPr>
        <w:tab/>
        <w:t xml:space="preserve">in any other case, the transferor’s cost at the time of the disposal;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(c)</w:t>
      </w:r>
      <w:r w:rsidRPr="00412620">
        <w:rPr>
          <w:rFonts w:cs="Arial"/>
          <w:sz w:val="20"/>
        </w:rPr>
        <w:tab/>
        <w:t>if, immediately before the disposal, the transferor has deductions allowed under sections 22, 23 and 24 in respect of the asset transferred which have not been set off against the transferor’s income, the amount not set off shall be added to the deductions allowed under those sections to the transferee in the tax year in which the transfer is made;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the transferor’s cost in respect of any consideration in kind received for the asset shall be the transferor’s cost of the asset transferred as determined under clause (b), as reduced by the amount of any liability that the transferee has undertaken to discharge in respect of the asset.</w:t>
      </w:r>
    </w:p>
    <w:p w:rsidR="006A3F93" w:rsidRPr="00412620" w:rsidRDefault="006A3F93">
      <w:pPr>
        <w:pStyle w:val="BodyTextIndent"/>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In determining whether the transferor’s deductions under sections 22, 23 or 24 in respect of the asset transferred have been set off against income for the purposes of clause (c) of sub-section (2), those deductions shall be taken into account last.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The transferor and transferee companies belong to a wholly-owned group if </w:t>
      </w:r>
      <w:r w:rsidR="00DC5B2D"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one company beneficially holds all the issued shares of the other company;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 third company beneficially holds all the issued shares in both companies.</w:t>
      </w:r>
    </w:p>
    <w:p w:rsidR="006A3F93" w:rsidRPr="00412620" w:rsidRDefault="006A3F93">
      <w:pPr>
        <w:jc w:val="both"/>
        <w:rPr>
          <w:rFonts w:cs="Arial"/>
          <w:sz w:val="20"/>
        </w:rPr>
      </w:pPr>
    </w:p>
    <w:p w:rsidR="00B14827" w:rsidRPr="00412620" w:rsidRDefault="00B14827" w:rsidP="00B14827">
      <w:pPr>
        <w:jc w:val="both"/>
        <w:rPr>
          <w:rFonts w:cs="Arial"/>
          <w:sz w:val="20"/>
        </w:rPr>
      </w:pPr>
      <w:r w:rsidRPr="00412620">
        <w:rPr>
          <w:rStyle w:val="FootnoteReference"/>
          <w:rFonts w:cs="Arial"/>
          <w:b/>
          <w:sz w:val="20"/>
        </w:rPr>
        <w:footnoteReference w:id="516"/>
      </w:r>
      <w:r w:rsidRPr="00412620">
        <w:rPr>
          <w:rFonts w:cs="Arial"/>
          <w:b/>
          <w:sz w:val="20"/>
        </w:rPr>
        <w:t>[97A.</w:t>
      </w:r>
      <w:r w:rsidR="00ED783C">
        <w:rPr>
          <w:rFonts w:cs="Arial"/>
          <w:b/>
          <w:sz w:val="20"/>
        </w:rPr>
        <w:t xml:space="preserve"> </w:t>
      </w:r>
      <w:r w:rsidRPr="00412620">
        <w:rPr>
          <w:rFonts w:cs="Arial"/>
          <w:b/>
          <w:iCs/>
          <w:sz w:val="20"/>
        </w:rPr>
        <w:t xml:space="preserve">Disposal of asset under a scheme of arrangement and </w:t>
      </w:r>
      <w:r w:rsidRPr="00412620">
        <w:rPr>
          <w:rFonts w:cs="Arial"/>
          <w:b/>
          <w:sz w:val="20"/>
        </w:rPr>
        <w:t>reconstruction</w:t>
      </w:r>
      <w:r w:rsidRPr="00412620">
        <w:rPr>
          <w:rFonts w:cs="Arial"/>
          <w:i/>
          <w:iCs/>
          <w:sz w:val="20"/>
        </w:rPr>
        <w:t>.—</w:t>
      </w:r>
      <w:r w:rsidRPr="00412620">
        <w:rPr>
          <w:rFonts w:cs="Arial"/>
          <w:sz w:val="20"/>
        </w:rPr>
        <w:t>(1)No gain or loss shall be taken to arise on disposal of asset from one company (hereinafter referred to as the “transferor”) to another company (hereinafter referred to as the “transferee”) by virtue of operation of a Scheme of Arrangement and Reconstruction under sections 282L and 284 to 287 of the Companies Ordinance, 1984 (XLVII of 1984) or section 48 of the Banking Companies Ordinance, 1962 (LVII of 1962), if the following conditions are satisfied, namely:—</w:t>
      </w:r>
    </w:p>
    <w:p w:rsidR="00B14827" w:rsidRPr="00412620" w:rsidRDefault="00B14827" w:rsidP="00B14827">
      <w:pPr>
        <w:pStyle w:val="1"/>
        <w:spacing w:line="250" w:lineRule="atLeast"/>
        <w:rPr>
          <w:rFonts w:ascii="Arial" w:hAnsi="Arial" w:cs="Arial"/>
          <w:color w:val="auto"/>
          <w:sz w:val="20"/>
          <w:szCs w:val="20"/>
        </w:rPr>
      </w:pPr>
    </w:p>
    <w:p w:rsidR="00B14827" w:rsidRPr="00412620" w:rsidRDefault="00B14827" w:rsidP="00B14827">
      <w:pPr>
        <w:ind w:left="1620" w:hanging="540"/>
        <w:jc w:val="both"/>
        <w:rPr>
          <w:rFonts w:cs="Arial"/>
          <w:sz w:val="20"/>
        </w:rPr>
      </w:pPr>
      <w:r w:rsidRPr="00412620">
        <w:rPr>
          <w:rFonts w:cs="Arial"/>
          <w:sz w:val="20"/>
        </w:rPr>
        <w:t>(a)</w:t>
      </w:r>
      <w:r w:rsidRPr="00412620">
        <w:rPr>
          <w:rFonts w:cs="Arial"/>
          <w:sz w:val="20"/>
        </w:rPr>
        <w:tab/>
        <w:t>the transferee must undertake to discharge any liability in respect of the asset acquired;</w:t>
      </w:r>
    </w:p>
    <w:p w:rsidR="00B14827" w:rsidRPr="00412620" w:rsidRDefault="00B14827" w:rsidP="00B14827">
      <w:pPr>
        <w:pStyle w:val="4"/>
        <w:spacing w:line="250" w:lineRule="atLeast"/>
        <w:rPr>
          <w:rFonts w:ascii="Arial" w:hAnsi="Arial" w:cs="Arial"/>
          <w:color w:val="auto"/>
          <w:sz w:val="20"/>
          <w:szCs w:val="20"/>
        </w:rPr>
      </w:pPr>
    </w:p>
    <w:p w:rsidR="00B14827" w:rsidRPr="00412620" w:rsidRDefault="00B14827" w:rsidP="00B14827">
      <w:pPr>
        <w:ind w:left="1620" w:hanging="540"/>
        <w:jc w:val="both"/>
        <w:rPr>
          <w:rFonts w:cs="Arial"/>
          <w:sz w:val="20"/>
        </w:rPr>
      </w:pPr>
      <w:r w:rsidRPr="00412620">
        <w:rPr>
          <w:rFonts w:cs="Arial"/>
          <w:sz w:val="20"/>
        </w:rPr>
        <w:t>(b)</w:t>
      </w:r>
      <w:r w:rsidRPr="00412620">
        <w:rPr>
          <w:rFonts w:cs="Arial"/>
          <w:sz w:val="20"/>
        </w:rPr>
        <w:tab/>
        <w:t>any liability in respect of the asset must not exceed the transferor’s cost of the asset at the time of the disposal;</w:t>
      </w:r>
    </w:p>
    <w:p w:rsidR="00B14827" w:rsidRPr="00412620" w:rsidRDefault="00B14827" w:rsidP="00B14827">
      <w:pPr>
        <w:ind w:left="1620" w:hanging="540"/>
        <w:jc w:val="both"/>
        <w:rPr>
          <w:rFonts w:cs="Arial"/>
          <w:sz w:val="20"/>
        </w:rPr>
      </w:pPr>
    </w:p>
    <w:p w:rsidR="00B14827" w:rsidRPr="00412620" w:rsidRDefault="00B14827" w:rsidP="00B14827">
      <w:pPr>
        <w:ind w:left="1620" w:hanging="540"/>
        <w:jc w:val="both"/>
        <w:rPr>
          <w:rFonts w:cs="Arial"/>
          <w:sz w:val="20"/>
        </w:rPr>
      </w:pPr>
      <w:r w:rsidRPr="00412620">
        <w:rPr>
          <w:rFonts w:cs="Arial"/>
          <w:sz w:val="20"/>
        </w:rPr>
        <w:t>(c)</w:t>
      </w:r>
      <w:r w:rsidRPr="00412620">
        <w:rPr>
          <w:rFonts w:cs="Arial"/>
          <w:sz w:val="20"/>
        </w:rPr>
        <w:tab/>
        <w:t>the transferee must not be exempt from tax for the tax year in which the disposal takes place; and</w:t>
      </w:r>
    </w:p>
    <w:p w:rsidR="00B14827" w:rsidRPr="00412620" w:rsidRDefault="00B14827" w:rsidP="00B14827">
      <w:pPr>
        <w:ind w:left="1620" w:hanging="540"/>
        <w:jc w:val="both"/>
        <w:rPr>
          <w:rFonts w:cs="Arial"/>
          <w:sz w:val="20"/>
        </w:rPr>
      </w:pPr>
    </w:p>
    <w:p w:rsidR="00B14827" w:rsidRPr="00412620" w:rsidRDefault="00B14827" w:rsidP="00B14827">
      <w:pPr>
        <w:ind w:left="1620" w:hanging="540"/>
        <w:jc w:val="both"/>
        <w:rPr>
          <w:rFonts w:cs="Arial"/>
          <w:sz w:val="20"/>
        </w:rPr>
      </w:pPr>
      <w:r w:rsidRPr="00412620">
        <w:rPr>
          <w:rFonts w:cs="Arial"/>
          <w:sz w:val="20"/>
        </w:rPr>
        <w:t>(d)</w:t>
      </w:r>
      <w:r w:rsidRPr="00412620">
        <w:rPr>
          <w:rFonts w:cs="Arial"/>
          <w:sz w:val="20"/>
        </w:rPr>
        <w:tab/>
        <w:t>scheme is approved by the High Court, State Bank of Pakistan or Securities and Exchange Commission of Pakistan, as the case may be, on or after first day of July, 2007.</w:t>
      </w:r>
    </w:p>
    <w:p w:rsidR="00B14827" w:rsidRPr="00412620" w:rsidRDefault="00B14827" w:rsidP="00B14827">
      <w:pPr>
        <w:pStyle w:val="4"/>
        <w:spacing w:line="250" w:lineRule="atLeast"/>
        <w:rPr>
          <w:rFonts w:ascii="Arial" w:hAnsi="Arial" w:cs="Arial"/>
          <w:color w:val="auto"/>
          <w:sz w:val="20"/>
          <w:szCs w:val="20"/>
        </w:rPr>
      </w:pPr>
    </w:p>
    <w:p w:rsidR="00B14827" w:rsidRPr="00412620" w:rsidRDefault="00B14827" w:rsidP="00B14827">
      <w:pPr>
        <w:jc w:val="both"/>
        <w:rPr>
          <w:rFonts w:cs="Arial"/>
          <w:sz w:val="20"/>
        </w:rPr>
      </w:pPr>
      <w:r w:rsidRPr="00412620">
        <w:rPr>
          <w:rFonts w:cs="Arial"/>
          <w:sz w:val="20"/>
        </w:rPr>
        <w:tab/>
        <w:t>(2)</w:t>
      </w:r>
      <w:r w:rsidRPr="00412620">
        <w:rPr>
          <w:rFonts w:cs="Arial"/>
          <w:sz w:val="20"/>
        </w:rPr>
        <w:tab/>
        <w:t xml:space="preserve">No gain or loss shall be taken to arise on issue, cancellation, exchange or receipt of shares as a result of </w:t>
      </w:r>
      <w:r w:rsidR="00A52910" w:rsidRPr="00412620">
        <w:rPr>
          <w:rFonts w:cs="Arial"/>
          <w:sz w:val="20"/>
        </w:rPr>
        <w:t>S</w:t>
      </w:r>
      <w:r w:rsidRPr="00412620">
        <w:rPr>
          <w:rFonts w:cs="Arial"/>
          <w:sz w:val="20"/>
        </w:rPr>
        <w:t xml:space="preserve">cheme of </w:t>
      </w:r>
      <w:r w:rsidR="00A52910" w:rsidRPr="00412620">
        <w:rPr>
          <w:rFonts w:cs="Arial"/>
          <w:sz w:val="20"/>
        </w:rPr>
        <w:t>A</w:t>
      </w:r>
      <w:r w:rsidRPr="00412620">
        <w:rPr>
          <w:rFonts w:cs="Arial"/>
          <w:sz w:val="20"/>
        </w:rPr>
        <w:t xml:space="preserve">rrangement and </w:t>
      </w:r>
      <w:r w:rsidR="00A52910" w:rsidRPr="00412620">
        <w:rPr>
          <w:rFonts w:cs="Arial"/>
          <w:sz w:val="20"/>
        </w:rPr>
        <w:t>R</w:t>
      </w:r>
      <w:r w:rsidRPr="00412620">
        <w:rPr>
          <w:rFonts w:cs="Arial"/>
          <w:sz w:val="20"/>
        </w:rPr>
        <w:t>econstruction under sections 282L and 284 to 287 of the companies Ordinance, 1984 (XLVII of 1984) or section 48 of the Banking Companies Ordinance, 1962 (LVII of 1962) and approved by:—</w:t>
      </w:r>
    </w:p>
    <w:p w:rsidR="00B14827" w:rsidRPr="00412620" w:rsidRDefault="00B14827" w:rsidP="00B14827">
      <w:pPr>
        <w:pStyle w:val="3"/>
        <w:spacing w:line="250" w:lineRule="atLeast"/>
        <w:rPr>
          <w:rFonts w:ascii="Arial" w:hAnsi="Arial" w:cs="Arial"/>
          <w:color w:val="auto"/>
          <w:sz w:val="20"/>
          <w:szCs w:val="20"/>
        </w:rPr>
      </w:pPr>
    </w:p>
    <w:p w:rsidR="00B14827" w:rsidRPr="00412620" w:rsidRDefault="00B14827" w:rsidP="00B14827">
      <w:pPr>
        <w:ind w:left="1620" w:hanging="540"/>
        <w:jc w:val="both"/>
        <w:rPr>
          <w:rFonts w:cs="Arial"/>
          <w:sz w:val="20"/>
        </w:rPr>
      </w:pPr>
      <w:r w:rsidRPr="00412620">
        <w:rPr>
          <w:rFonts w:cs="Arial"/>
          <w:sz w:val="20"/>
        </w:rPr>
        <w:t>(a)</w:t>
      </w:r>
      <w:r w:rsidRPr="00412620">
        <w:rPr>
          <w:rFonts w:cs="Arial"/>
          <w:sz w:val="20"/>
        </w:rPr>
        <w:tab/>
        <w:t>the High Court;</w:t>
      </w:r>
    </w:p>
    <w:p w:rsidR="00B14827" w:rsidRPr="00412620" w:rsidRDefault="00B14827" w:rsidP="00B14827">
      <w:pPr>
        <w:ind w:left="1620" w:hanging="540"/>
        <w:jc w:val="both"/>
        <w:rPr>
          <w:rFonts w:cs="Arial"/>
          <w:sz w:val="20"/>
        </w:rPr>
      </w:pPr>
    </w:p>
    <w:p w:rsidR="00B14827" w:rsidRPr="00412620" w:rsidRDefault="00B14827" w:rsidP="00B14827">
      <w:pPr>
        <w:ind w:left="1620" w:hanging="540"/>
        <w:jc w:val="both"/>
        <w:rPr>
          <w:rFonts w:cs="Arial"/>
          <w:sz w:val="20"/>
        </w:rPr>
      </w:pPr>
      <w:r w:rsidRPr="00412620">
        <w:rPr>
          <w:rFonts w:cs="Arial"/>
          <w:sz w:val="20"/>
        </w:rPr>
        <w:t>(b)</w:t>
      </w:r>
      <w:r w:rsidRPr="00412620">
        <w:rPr>
          <w:rFonts w:cs="Arial"/>
          <w:sz w:val="20"/>
        </w:rPr>
        <w:tab/>
        <w:t>State Bank of Pakistan; or</w:t>
      </w:r>
    </w:p>
    <w:p w:rsidR="00B14827" w:rsidRPr="00412620" w:rsidRDefault="00B14827" w:rsidP="00B14827">
      <w:pPr>
        <w:ind w:left="1620" w:hanging="540"/>
        <w:jc w:val="both"/>
        <w:rPr>
          <w:rFonts w:cs="Arial"/>
          <w:sz w:val="20"/>
        </w:rPr>
      </w:pPr>
    </w:p>
    <w:p w:rsidR="00B14827" w:rsidRPr="00412620" w:rsidRDefault="00B14827" w:rsidP="00B14827">
      <w:pPr>
        <w:ind w:left="1620" w:hanging="540"/>
        <w:jc w:val="both"/>
        <w:rPr>
          <w:rFonts w:cs="Arial"/>
          <w:sz w:val="20"/>
        </w:rPr>
      </w:pPr>
      <w:r w:rsidRPr="00412620">
        <w:rPr>
          <w:rFonts w:cs="Arial"/>
          <w:sz w:val="20"/>
        </w:rPr>
        <w:t>(c)</w:t>
      </w:r>
      <w:r w:rsidRPr="00412620">
        <w:rPr>
          <w:rFonts w:cs="Arial"/>
          <w:sz w:val="20"/>
        </w:rPr>
        <w:tab/>
        <w:t>Securities and Exchange Commission of Pakistan, as the case may be, on or after first day of July, 2007.</w:t>
      </w:r>
    </w:p>
    <w:p w:rsidR="00B14827" w:rsidRPr="00412620" w:rsidRDefault="00B14827" w:rsidP="00B14827">
      <w:pPr>
        <w:pStyle w:val="2"/>
        <w:spacing w:line="250" w:lineRule="atLeast"/>
        <w:rPr>
          <w:rFonts w:ascii="Arial" w:hAnsi="Arial" w:cs="Arial"/>
          <w:color w:val="auto"/>
          <w:sz w:val="20"/>
          <w:szCs w:val="20"/>
        </w:rPr>
      </w:pPr>
    </w:p>
    <w:p w:rsidR="00B14827" w:rsidRPr="00412620" w:rsidRDefault="00B14827" w:rsidP="00B14827">
      <w:pPr>
        <w:jc w:val="both"/>
        <w:rPr>
          <w:rFonts w:cs="Arial"/>
          <w:sz w:val="20"/>
        </w:rPr>
      </w:pPr>
      <w:r w:rsidRPr="00412620">
        <w:rPr>
          <w:rFonts w:cs="Arial"/>
          <w:sz w:val="20"/>
        </w:rPr>
        <w:tab/>
        <w:t>(3)</w:t>
      </w:r>
      <w:r w:rsidRPr="00412620">
        <w:rPr>
          <w:rFonts w:cs="Arial"/>
          <w:sz w:val="20"/>
        </w:rPr>
        <w:tab/>
        <w:t>Where sub-section (1) applies—</w:t>
      </w:r>
    </w:p>
    <w:p w:rsidR="00B14827" w:rsidRPr="00412620" w:rsidRDefault="00B14827" w:rsidP="00B14827">
      <w:pPr>
        <w:pStyle w:val="1"/>
        <w:spacing w:line="250" w:lineRule="atLeast"/>
        <w:rPr>
          <w:rFonts w:ascii="Arial" w:hAnsi="Arial" w:cs="Arial"/>
          <w:color w:val="auto"/>
          <w:sz w:val="20"/>
          <w:szCs w:val="20"/>
        </w:rPr>
      </w:pPr>
    </w:p>
    <w:p w:rsidR="00B14827" w:rsidRPr="00412620" w:rsidRDefault="00B14827" w:rsidP="00B14827">
      <w:pPr>
        <w:ind w:left="1620" w:hanging="540"/>
        <w:jc w:val="both"/>
        <w:rPr>
          <w:rFonts w:cs="Arial"/>
          <w:sz w:val="20"/>
        </w:rPr>
      </w:pPr>
      <w:r w:rsidRPr="00412620">
        <w:rPr>
          <w:rFonts w:cs="Arial"/>
          <w:sz w:val="20"/>
        </w:rPr>
        <w:t>(a)</w:t>
      </w:r>
      <w:r w:rsidRPr="00412620">
        <w:rPr>
          <w:rFonts w:cs="Arial"/>
          <w:sz w:val="20"/>
        </w:rPr>
        <w:tab/>
        <w:t>the asset acquired by the transferee shall be treated as having the same character as it had in the hands of the transferor;</w:t>
      </w:r>
    </w:p>
    <w:p w:rsidR="00B14827" w:rsidRPr="00412620" w:rsidRDefault="00B14827" w:rsidP="00B14827">
      <w:pPr>
        <w:ind w:left="1620" w:hanging="540"/>
        <w:jc w:val="both"/>
        <w:rPr>
          <w:rFonts w:cs="Arial"/>
          <w:sz w:val="20"/>
        </w:rPr>
      </w:pPr>
    </w:p>
    <w:p w:rsidR="00B14827" w:rsidRPr="00412620" w:rsidRDefault="00B14827" w:rsidP="00B14827">
      <w:pPr>
        <w:ind w:left="1620" w:hanging="540"/>
        <w:jc w:val="both"/>
        <w:rPr>
          <w:rFonts w:cs="Arial"/>
          <w:sz w:val="20"/>
        </w:rPr>
      </w:pPr>
      <w:r w:rsidRPr="00412620">
        <w:rPr>
          <w:rFonts w:cs="Arial"/>
          <w:sz w:val="20"/>
        </w:rPr>
        <w:t>(b)</w:t>
      </w:r>
      <w:r w:rsidRPr="00412620">
        <w:rPr>
          <w:rFonts w:cs="Arial"/>
          <w:sz w:val="20"/>
        </w:rPr>
        <w:tab/>
        <w:t>the transferee’s cost in respect of acquisition of the asset shall be—</w:t>
      </w:r>
    </w:p>
    <w:p w:rsidR="00B14827" w:rsidRPr="00412620" w:rsidRDefault="00B14827" w:rsidP="00B14827">
      <w:pPr>
        <w:pStyle w:val="1"/>
        <w:spacing w:line="250" w:lineRule="atLeast"/>
        <w:rPr>
          <w:rFonts w:ascii="Arial" w:hAnsi="Arial" w:cs="Arial"/>
          <w:color w:val="auto"/>
          <w:sz w:val="20"/>
          <w:szCs w:val="20"/>
        </w:rPr>
      </w:pPr>
    </w:p>
    <w:p w:rsidR="00E95B2E" w:rsidRPr="00412620" w:rsidRDefault="00B14827" w:rsidP="00B14827">
      <w:pPr>
        <w:ind w:left="2188" w:hanging="568"/>
        <w:jc w:val="both"/>
        <w:rPr>
          <w:rFonts w:cs="Arial"/>
          <w:sz w:val="20"/>
        </w:rPr>
      </w:pPr>
      <w:r w:rsidRPr="00412620">
        <w:rPr>
          <w:rFonts w:cs="Arial"/>
          <w:sz w:val="20"/>
        </w:rPr>
        <w:t>(i)</w:t>
      </w:r>
      <w:r w:rsidRPr="00412620">
        <w:rPr>
          <w:rFonts w:cs="Arial"/>
          <w:sz w:val="20"/>
        </w:rPr>
        <w:tab/>
        <w:t>in the case of a depreciable asset or amortised intangible, the written down value of the asset or intangible immediately before the disposal;</w:t>
      </w:r>
    </w:p>
    <w:p w:rsidR="00B14827" w:rsidRPr="00412620" w:rsidRDefault="00B14827" w:rsidP="00B14827">
      <w:pPr>
        <w:ind w:left="1620" w:hanging="540"/>
        <w:jc w:val="both"/>
        <w:rPr>
          <w:rFonts w:cs="Arial"/>
          <w:sz w:val="20"/>
        </w:rPr>
      </w:pPr>
    </w:p>
    <w:p w:rsidR="00B14827" w:rsidRPr="00412620" w:rsidRDefault="00B14827" w:rsidP="00B14827">
      <w:pPr>
        <w:ind w:left="2188" w:hanging="568"/>
        <w:jc w:val="both"/>
        <w:rPr>
          <w:rFonts w:cs="Arial"/>
          <w:sz w:val="20"/>
        </w:rPr>
      </w:pPr>
      <w:r w:rsidRPr="00412620">
        <w:rPr>
          <w:rFonts w:cs="Arial"/>
          <w:sz w:val="20"/>
        </w:rPr>
        <w:t>(ii)</w:t>
      </w:r>
      <w:r w:rsidRPr="00412620">
        <w:rPr>
          <w:rFonts w:cs="Arial"/>
          <w:sz w:val="20"/>
        </w:rPr>
        <w:tab/>
        <w:t>in the case of stock-in-trade valued for tax purposes under sub-section (4) of section 35</w:t>
      </w:r>
      <w:r w:rsidR="00586E55" w:rsidRPr="00412620">
        <w:rPr>
          <w:rFonts w:cs="Arial"/>
          <w:sz w:val="20"/>
        </w:rPr>
        <w:t>,</w:t>
      </w:r>
      <w:r w:rsidRPr="00412620">
        <w:rPr>
          <w:rFonts w:cs="Arial"/>
          <w:sz w:val="20"/>
        </w:rPr>
        <w:t xml:space="preserve"> that value; or</w:t>
      </w:r>
    </w:p>
    <w:p w:rsidR="00B14827" w:rsidRPr="00412620" w:rsidRDefault="00B14827" w:rsidP="00B14827">
      <w:pPr>
        <w:ind w:left="1620" w:hanging="540"/>
        <w:jc w:val="both"/>
        <w:rPr>
          <w:rFonts w:cs="Arial"/>
          <w:sz w:val="20"/>
        </w:rPr>
      </w:pPr>
    </w:p>
    <w:p w:rsidR="00B14827" w:rsidRPr="00412620" w:rsidRDefault="00B14827" w:rsidP="00B14827">
      <w:pPr>
        <w:ind w:left="2160" w:hanging="540"/>
        <w:jc w:val="both"/>
        <w:rPr>
          <w:rFonts w:cs="Arial"/>
          <w:sz w:val="20"/>
        </w:rPr>
      </w:pPr>
      <w:r w:rsidRPr="00412620">
        <w:rPr>
          <w:rFonts w:cs="Arial"/>
          <w:sz w:val="20"/>
        </w:rPr>
        <w:t>(iii)</w:t>
      </w:r>
      <w:r w:rsidRPr="00412620">
        <w:rPr>
          <w:rFonts w:cs="Arial"/>
          <w:sz w:val="20"/>
        </w:rPr>
        <w:tab/>
        <w:t>in any other case, the transferor’s cost at the time of the disposal;</w:t>
      </w:r>
    </w:p>
    <w:p w:rsidR="00B14827" w:rsidRPr="00412620" w:rsidRDefault="00B14827" w:rsidP="00B14827">
      <w:pPr>
        <w:pStyle w:val="1"/>
        <w:spacing w:line="236" w:lineRule="atLeast"/>
        <w:rPr>
          <w:rFonts w:ascii="Arial" w:hAnsi="Arial" w:cs="Arial"/>
          <w:color w:val="auto"/>
          <w:sz w:val="20"/>
          <w:szCs w:val="20"/>
        </w:rPr>
      </w:pPr>
    </w:p>
    <w:p w:rsidR="00B14827" w:rsidRPr="00412620" w:rsidRDefault="00B14827" w:rsidP="00B14827">
      <w:pPr>
        <w:ind w:left="1620" w:hanging="540"/>
        <w:jc w:val="both"/>
        <w:rPr>
          <w:rFonts w:cs="Arial"/>
          <w:sz w:val="20"/>
        </w:rPr>
      </w:pPr>
      <w:r w:rsidRPr="00412620">
        <w:rPr>
          <w:rFonts w:cs="Arial"/>
          <w:sz w:val="20"/>
        </w:rPr>
        <w:t>(c)</w:t>
      </w:r>
      <w:r w:rsidRPr="00412620">
        <w:rPr>
          <w:rFonts w:cs="Arial"/>
          <w:sz w:val="20"/>
        </w:rPr>
        <w:tab/>
        <w:t>if, immediately before the disposal, the transferor has deductions allowed under sections 22, 23 and 24 in respect of the asset transferred which have not been set off against the transferor’s income, the amount not set off shall be added to the deduction allowed under those sections to the transferee in the tax year in which the transfer is made.</w:t>
      </w:r>
    </w:p>
    <w:p w:rsidR="00B14827" w:rsidRPr="00412620" w:rsidRDefault="00B14827" w:rsidP="00B14827">
      <w:pPr>
        <w:pStyle w:val="2"/>
        <w:spacing w:line="236" w:lineRule="atLeast"/>
        <w:rPr>
          <w:rFonts w:ascii="Arial" w:hAnsi="Arial" w:cs="Arial"/>
          <w:color w:val="auto"/>
          <w:sz w:val="20"/>
          <w:szCs w:val="20"/>
        </w:rPr>
      </w:pPr>
    </w:p>
    <w:p w:rsidR="00B14827" w:rsidRPr="00412620" w:rsidRDefault="00B14827" w:rsidP="00B14827">
      <w:pPr>
        <w:jc w:val="both"/>
        <w:rPr>
          <w:rFonts w:cs="Arial"/>
          <w:sz w:val="20"/>
        </w:rPr>
      </w:pPr>
      <w:r w:rsidRPr="00412620">
        <w:rPr>
          <w:rFonts w:cs="Arial"/>
          <w:sz w:val="20"/>
        </w:rPr>
        <w:tab/>
        <w:t>(4)</w:t>
      </w:r>
      <w:r w:rsidRPr="00412620">
        <w:rPr>
          <w:rFonts w:cs="Arial"/>
          <w:sz w:val="20"/>
        </w:rPr>
        <w:tab/>
        <w:t xml:space="preserve">In determining whether the transferor’s deductions under sections 22, 23 or 24 in respect of the asset transferred have been set off against income </w:t>
      </w:r>
      <w:r w:rsidRPr="00412620">
        <w:rPr>
          <w:rFonts w:cs="Arial"/>
          <w:sz w:val="20"/>
        </w:rPr>
        <w:lastRenderedPageBreak/>
        <w:t>for the purposes of clause (c) of sub-section (2), those deductions shall be taken into account last.</w:t>
      </w:r>
    </w:p>
    <w:p w:rsidR="00B14827" w:rsidRPr="00412620" w:rsidRDefault="00B14827" w:rsidP="00B14827">
      <w:pPr>
        <w:pStyle w:val="3"/>
        <w:spacing w:line="236" w:lineRule="atLeast"/>
        <w:rPr>
          <w:rFonts w:ascii="Arial" w:hAnsi="Arial" w:cs="Arial"/>
          <w:color w:val="auto"/>
          <w:sz w:val="20"/>
          <w:szCs w:val="20"/>
        </w:rPr>
      </w:pPr>
    </w:p>
    <w:p w:rsidR="00B14827" w:rsidRPr="00412620" w:rsidRDefault="00B14827" w:rsidP="00B14827">
      <w:pPr>
        <w:jc w:val="both"/>
        <w:rPr>
          <w:rFonts w:cs="Arial"/>
          <w:b/>
          <w:sz w:val="20"/>
        </w:rPr>
      </w:pPr>
      <w:r w:rsidRPr="00412620">
        <w:rPr>
          <w:rFonts w:cs="Arial"/>
          <w:sz w:val="20"/>
        </w:rPr>
        <w:tab/>
        <w:t>(5)</w:t>
      </w:r>
      <w:r w:rsidRPr="00412620">
        <w:rPr>
          <w:rFonts w:cs="Arial"/>
          <w:sz w:val="20"/>
        </w:rPr>
        <w:tab/>
        <w:t>Where sub-section (2) applies and the shares issued vested by virtue of the Scheme of Arrangement and Reconstruction under sections 282L and 284 to 287 of the Companies Ordinance, 1984 (XLVII of 1984) or section 48 of the Banking Companies Ordinance, 1962 (LVII of 1962) and approved by the Court or State Bank of Pakistan or Securities and Exchange Commission of Pakistan as the case may be, are disposed of, the cost of shares shall be the cost prior to the operation of the said scheme.]</w:t>
      </w:r>
    </w:p>
    <w:p w:rsidR="00E95B2E" w:rsidRPr="00412620" w:rsidRDefault="00E95B2E">
      <w:pPr>
        <w:jc w:val="both"/>
        <w:rPr>
          <w:rFonts w:cs="Arial"/>
          <w:sz w:val="20"/>
        </w:rPr>
      </w:pPr>
    </w:p>
    <w:p w:rsidR="006A3F93" w:rsidRPr="00412620" w:rsidRDefault="006A3F93">
      <w:pPr>
        <w:keepNext/>
        <w:jc w:val="center"/>
        <w:rPr>
          <w:rFonts w:cs="Arial"/>
          <w:b/>
          <w:sz w:val="32"/>
          <w:szCs w:val="32"/>
        </w:rPr>
      </w:pPr>
      <w:r w:rsidRPr="00412620">
        <w:rPr>
          <w:rFonts w:cs="Arial"/>
          <w:b/>
          <w:sz w:val="32"/>
          <w:szCs w:val="32"/>
        </w:rPr>
        <w:t>PART V</w:t>
      </w:r>
    </w:p>
    <w:p w:rsidR="006A3F93" w:rsidRPr="00412620" w:rsidRDefault="006A3F93">
      <w:pPr>
        <w:pStyle w:val="BodyText2"/>
        <w:keepNext/>
        <w:rPr>
          <w:rFonts w:cs="Arial"/>
          <w:b/>
          <w:sz w:val="20"/>
        </w:rPr>
      </w:pPr>
      <w:r w:rsidRPr="00412620">
        <w:rPr>
          <w:rFonts w:cs="Arial"/>
          <w:b/>
          <w:sz w:val="20"/>
        </w:rPr>
        <w:t xml:space="preserve">COMMON PROVISIONS APPLICABLE TO </w:t>
      </w:r>
    </w:p>
    <w:p w:rsidR="006A3F93" w:rsidRPr="00412620" w:rsidRDefault="006A3F93">
      <w:pPr>
        <w:pStyle w:val="BodyText2"/>
        <w:keepNext/>
        <w:rPr>
          <w:sz w:val="20"/>
        </w:rPr>
      </w:pPr>
      <w:r w:rsidRPr="00412620">
        <w:rPr>
          <w:rFonts w:cs="Arial"/>
          <w:b/>
          <w:sz w:val="20"/>
        </w:rPr>
        <w:t>ASSOCIATIONS OF PERSONS AND COMPANIES</w:t>
      </w:r>
    </w:p>
    <w:p w:rsidR="006A3F93" w:rsidRPr="00412620" w:rsidRDefault="006A3F93">
      <w:pPr>
        <w:pStyle w:val="CommentText"/>
        <w:keepNext/>
        <w:rPr>
          <w:rFonts w:cs="Arial"/>
        </w:rPr>
      </w:pPr>
    </w:p>
    <w:p w:rsidR="006A3F93" w:rsidRPr="00412620" w:rsidRDefault="00E52197">
      <w:pPr>
        <w:jc w:val="both"/>
        <w:rPr>
          <w:sz w:val="20"/>
        </w:rPr>
      </w:pPr>
      <w:r w:rsidRPr="00412620">
        <w:rPr>
          <w:rFonts w:cs="Arial"/>
          <w:b/>
          <w:sz w:val="20"/>
        </w:rPr>
        <w:t xml:space="preserve">98. </w:t>
      </w:r>
      <w:r w:rsidR="006A3F93" w:rsidRPr="00412620">
        <w:rPr>
          <w:rFonts w:cs="Arial"/>
          <w:b/>
          <w:sz w:val="20"/>
        </w:rPr>
        <w:t>Change in control of an entity.-</w:t>
      </w:r>
      <w:r w:rsidR="006A3F93" w:rsidRPr="00412620">
        <w:rPr>
          <w:sz w:val="20"/>
        </w:rPr>
        <w:t xml:space="preserve"> (1)  Where there is a change of fifty </w:t>
      </w:r>
      <w:r w:rsidR="00AB6F06">
        <w:rPr>
          <w:sz w:val="20"/>
        </w:rPr>
        <w:t>per cent</w:t>
      </w:r>
      <w:r w:rsidR="006A3F93" w:rsidRPr="00412620">
        <w:rPr>
          <w:sz w:val="20"/>
        </w:rPr>
        <w:t xml:space="preserve"> or more in the underlying ownership of an entity, any loss incurred for a tax year before the change shall not be allowed as a deduction in a tax year after the change, unless the entity </w:t>
      </w:r>
      <w:r w:rsidR="00DC5B2D"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continues to conduct the same business after the change as it conducted before the change until the loss has been fully set off;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does not, until the loss has been fully set off, engage in any new business or investment after the change where the principal purpose of the entity or the beneficial owners of the entity is to utilise the loss so as to reduce the income tax payable on the income arising from the new business or investment.</w:t>
      </w:r>
    </w:p>
    <w:p w:rsidR="006A3F93" w:rsidRPr="00412620" w:rsidRDefault="006A3F93">
      <w:pPr>
        <w:jc w:val="both"/>
        <w:rPr>
          <w:rFonts w:cs="Arial"/>
          <w:sz w:val="20"/>
        </w:rPr>
      </w:pPr>
    </w:p>
    <w:p w:rsidR="006A3F93" w:rsidRPr="00412620" w:rsidRDefault="006A3F93">
      <w:pPr>
        <w:rPr>
          <w:rFonts w:cs="Arial"/>
          <w:sz w:val="20"/>
        </w:rPr>
      </w:pPr>
      <w:r w:rsidRPr="00412620">
        <w:rPr>
          <w:rFonts w:cs="Arial"/>
          <w:sz w:val="20"/>
        </w:rPr>
        <w:tab/>
        <w:t>(2)</w:t>
      </w:r>
      <w:r w:rsidRPr="00412620">
        <w:rPr>
          <w:rFonts w:cs="Arial"/>
          <w:sz w:val="20"/>
        </w:rPr>
        <w:tab/>
        <w:t xml:space="preserve">In this section, </w:t>
      </w:r>
      <w:r w:rsidR="000A1057" w:rsidRPr="00412620">
        <w:rPr>
          <w:rFonts w:cs="Arial"/>
          <w:sz w:val="20"/>
        </w:rPr>
        <w:t>—</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“entity” means a company or association of persons to which sub-section (1) of section 92 applies;</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“ownership interest” means a share in a company or the interest of a member in an association of persons; and</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“underlying ownership” in relation to an entity, means an ownership interest in the entity held, directly or indirectly through an interposed entity or entities, by an individual or by a person not ultimately owned by individuals.</w:t>
      </w:r>
    </w:p>
    <w:p w:rsidR="006A3F93" w:rsidRPr="00412620" w:rsidRDefault="006A3F93">
      <w:pPr>
        <w:rPr>
          <w:rFonts w:cs="Arial"/>
          <w:sz w:val="20"/>
        </w:rPr>
      </w:pPr>
    </w:p>
    <w:p w:rsidR="006A3F93" w:rsidRPr="00412620" w:rsidRDefault="008E2079">
      <w:pPr>
        <w:keepNext/>
        <w:jc w:val="center"/>
        <w:rPr>
          <w:b/>
          <w:sz w:val="20"/>
        </w:rPr>
      </w:pPr>
      <w:r w:rsidRPr="00412620">
        <w:rPr>
          <w:b/>
          <w:sz w:val="20"/>
        </w:rPr>
        <w:br w:type="page"/>
      </w:r>
      <w:r w:rsidR="006A3F93" w:rsidRPr="00412620">
        <w:rPr>
          <w:rStyle w:val="FootnoteReference"/>
          <w:rFonts w:cs="Arial"/>
          <w:bCs/>
          <w:sz w:val="20"/>
        </w:rPr>
        <w:lastRenderedPageBreak/>
        <w:footnoteReference w:id="517"/>
      </w:r>
      <w:r w:rsidR="006A3F93" w:rsidRPr="00412620">
        <w:rPr>
          <w:sz w:val="32"/>
          <w:szCs w:val="32"/>
        </w:rPr>
        <w:t>[</w:t>
      </w:r>
      <w:r w:rsidR="006A3F93" w:rsidRPr="00412620">
        <w:rPr>
          <w:b/>
          <w:sz w:val="32"/>
          <w:szCs w:val="32"/>
        </w:rPr>
        <w:t>PART VA</w:t>
      </w:r>
    </w:p>
    <w:p w:rsidR="006A3F93" w:rsidRPr="00412620" w:rsidRDefault="006A3F93">
      <w:pPr>
        <w:keepNext/>
        <w:jc w:val="center"/>
        <w:rPr>
          <w:sz w:val="20"/>
        </w:rPr>
      </w:pPr>
      <w:r w:rsidRPr="00412620">
        <w:rPr>
          <w:rFonts w:cs="Arial"/>
          <w:b/>
          <w:sz w:val="20"/>
        </w:rPr>
        <w:t>TAX LIABILITY IN CERTAIN CASES</w:t>
      </w:r>
    </w:p>
    <w:p w:rsidR="006A3F93" w:rsidRPr="00412620" w:rsidRDefault="006A3F93">
      <w:pPr>
        <w:pStyle w:val="CommentText"/>
        <w:keepNext/>
        <w:rPr>
          <w:rFonts w:cs="Arial"/>
        </w:rPr>
      </w:pPr>
    </w:p>
    <w:p w:rsidR="006A3F93" w:rsidRPr="00412620" w:rsidRDefault="006A3F93">
      <w:pPr>
        <w:jc w:val="both"/>
        <w:rPr>
          <w:sz w:val="20"/>
        </w:rPr>
      </w:pPr>
      <w:r w:rsidRPr="00412620">
        <w:rPr>
          <w:rFonts w:cs="Arial"/>
          <w:b/>
          <w:sz w:val="20"/>
        </w:rPr>
        <w:t xml:space="preserve">98A. </w:t>
      </w:r>
      <w:r w:rsidRPr="00412620">
        <w:rPr>
          <w:rFonts w:cs="Arial"/>
          <w:b/>
          <w:sz w:val="20"/>
        </w:rPr>
        <w:tab/>
        <w:t>Change in the constitution of an association of persons.</w:t>
      </w:r>
      <w:r w:rsidR="000A1057" w:rsidRPr="00412620">
        <w:rPr>
          <w:rFonts w:cs="Arial"/>
          <w:sz w:val="20"/>
        </w:rPr>
        <w:t>—</w:t>
      </w:r>
      <w:r w:rsidRPr="00412620">
        <w:rPr>
          <w:sz w:val="20"/>
        </w:rPr>
        <w:t xml:space="preserve">Where, during the course of a tax year, a change occurs in the constitution of an association of persons, liability of filing the return on behalf of the association of persons for the tax year shall be on the association of persons as constituted at the time of filing of such return but the income of the association of persons shall be apportioned among the members who were entitled to receive it and, where the tax assessed on a member cannot be recovered from him it shall be recovered from the association of persons as constituted at the time of filing the return.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 xml:space="preserve">98B. </w:t>
      </w:r>
      <w:r w:rsidRPr="00412620">
        <w:rPr>
          <w:rFonts w:cs="Arial"/>
          <w:b/>
          <w:sz w:val="20"/>
        </w:rPr>
        <w:tab/>
        <w:t>Discontinuance of business or dissolution of an association of persons.</w:t>
      </w:r>
      <w:r w:rsidR="000A1057" w:rsidRPr="00412620">
        <w:rPr>
          <w:rFonts w:cs="Arial"/>
          <w:sz w:val="20"/>
        </w:rPr>
        <w:t>—</w:t>
      </w:r>
      <w:r w:rsidRPr="00412620">
        <w:rPr>
          <w:sz w:val="20"/>
        </w:rPr>
        <w:t xml:space="preserve"> (1) Subject to the provisions of section 117, where any business or profession carried on by an association of persons has been discontinued, or where an association of persons is dissolved, all the provisions of this Ordinance, shall, so far as may be, apply as if no such discontinuance or dissolution had taken place.</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(2) Every person, who was, at the time of such discontinuance or dissolution, a member of such association of persons and the legal representative of any such person who is deceased, shall be jointly and severally liable for the amount of tax payable by the association of persons.</w:t>
      </w:r>
    </w:p>
    <w:p w:rsidR="006A3F93" w:rsidRPr="00412620" w:rsidRDefault="006A3F93">
      <w:pPr>
        <w:ind w:firstLine="547"/>
        <w:jc w:val="both"/>
        <w:rPr>
          <w:rFonts w:cs="Arial"/>
          <w:sz w:val="20"/>
        </w:rPr>
      </w:pPr>
    </w:p>
    <w:p w:rsidR="006A3F93" w:rsidRPr="00412620" w:rsidRDefault="006A3F93">
      <w:pPr>
        <w:jc w:val="both"/>
        <w:rPr>
          <w:sz w:val="20"/>
        </w:rPr>
      </w:pPr>
      <w:r w:rsidRPr="00412620">
        <w:rPr>
          <w:rFonts w:cs="Arial"/>
          <w:b/>
          <w:sz w:val="20"/>
        </w:rPr>
        <w:t>98C.</w:t>
      </w:r>
      <w:r w:rsidRPr="00412620">
        <w:rPr>
          <w:rFonts w:cs="Arial"/>
          <w:b/>
          <w:sz w:val="20"/>
        </w:rPr>
        <w:tab/>
        <w:t>Succession to business, otherwise than on death.</w:t>
      </w:r>
      <w:r w:rsidR="000A1057" w:rsidRPr="00412620">
        <w:rPr>
          <w:rFonts w:cs="Arial"/>
          <w:sz w:val="20"/>
        </w:rPr>
        <w:t>—</w:t>
      </w:r>
      <w:r w:rsidRPr="00412620">
        <w:rPr>
          <w:sz w:val="20"/>
        </w:rPr>
        <w:t xml:space="preserve"> (1) Where a person carrying on any business or profession has been succeeded in any tax year by any other person (hereafter in this section referred to as the “predecessor” and “successor” respectively), otherwise than on the death of the predecessor, and the successor continues to carry on that business or profession,- </w:t>
      </w:r>
    </w:p>
    <w:p w:rsidR="006A3F93" w:rsidRPr="00412620" w:rsidRDefault="006A3F93">
      <w:pPr>
        <w:jc w:val="both"/>
        <w:rPr>
          <w:rFonts w:cs="Arial"/>
          <w:sz w:val="20"/>
        </w:rPr>
      </w:pPr>
    </w:p>
    <w:p w:rsidR="006A3F93" w:rsidRPr="00412620" w:rsidRDefault="006A3F93">
      <w:pPr>
        <w:ind w:left="1641" w:hanging="554"/>
        <w:jc w:val="both"/>
        <w:rPr>
          <w:rFonts w:cs="Arial"/>
          <w:sz w:val="20"/>
        </w:rPr>
      </w:pPr>
      <w:r w:rsidRPr="00412620">
        <w:rPr>
          <w:rFonts w:cs="Arial"/>
          <w:sz w:val="20"/>
        </w:rPr>
        <w:t xml:space="preserve">(a) </w:t>
      </w:r>
      <w:r w:rsidRPr="00412620">
        <w:rPr>
          <w:rFonts w:cs="Arial"/>
          <w:sz w:val="20"/>
        </w:rPr>
        <w:tab/>
        <w:t xml:space="preserve">the predecessor shall be liable to pay tax in respect of the income of the tax year in which the succession took place upto the date of succession and of the tax year or years preceding that year; and </w:t>
      </w:r>
    </w:p>
    <w:p w:rsidR="006A3F93" w:rsidRPr="00412620" w:rsidRDefault="006A3F93">
      <w:pPr>
        <w:rPr>
          <w:rFonts w:cs="Arial"/>
          <w:sz w:val="20"/>
        </w:rPr>
      </w:pPr>
    </w:p>
    <w:p w:rsidR="006A3F93" w:rsidRPr="00412620" w:rsidRDefault="006A3F93">
      <w:pPr>
        <w:ind w:left="1641" w:hanging="546"/>
        <w:jc w:val="both"/>
        <w:rPr>
          <w:rFonts w:cs="Arial"/>
          <w:sz w:val="20"/>
        </w:rPr>
      </w:pPr>
      <w:r w:rsidRPr="00412620">
        <w:rPr>
          <w:rFonts w:cs="Arial"/>
          <w:sz w:val="20"/>
        </w:rPr>
        <w:t xml:space="preserve">(b) </w:t>
      </w:r>
      <w:r w:rsidRPr="00412620">
        <w:rPr>
          <w:rFonts w:cs="Arial"/>
          <w:sz w:val="20"/>
        </w:rPr>
        <w:tab/>
        <w:t xml:space="preserve">the successor shall be liable to pay tax in respect of the income of such tax year after the date of succession. </w:t>
      </w:r>
    </w:p>
    <w:p w:rsidR="006A3F93" w:rsidRPr="00412620" w:rsidRDefault="006A3F93">
      <w:pPr>
        <w:pStyle w:val="CommentText"/>
        <w:rPr>
          <w:rFonts w:cs="Arial"/>
        </w:rPr>
      </w:pPr>
    </w:p>
    <w:p w:rsidR="006A3F93" w:rsidRPr="00412620" w:rsidRDefault="006A3F93">
      <w:pPr>
        <w:pStyle w:val="CommentText"/>
        <w:jc w:val="both"/>
      </w:pPr>
      <w:r w:rsidRPr="00412620">
        <w:rPr>
          <w:rFonts w:cs="Arial"/>
        </w:rPr>
        <w:tab/>
        <w:t xml:space="preserve">(2) </w:t>
      </w:r>
      <w:r w:rsidRPr="00412620">
        <w:rPr>
          <w:rFonts w:cs="Arial"/>
        </w:rPr>
        <w:tab/>
        <w:t xml:space="preserve">Notwithstanding anything contained in sub-section (1), where the predecessor cannot be found, the tax liability in respect of the tax year in which the succession took place upto the date of succession and of the tax year or years preceding that year shall be that of the successor in like manner and to the </w:t>
      </w:r>
      <w:r w:rsidRPr="00412620">
        <w:rPr>
          <w:rFonts w:cs="Arial"/>
        </w:rPr>
        <w:lastRenderedPageBreak/>
        <w:t>same extent as it would have been that of the predecessor, and all the provisions of this Ordinance shall, so far as may be, apply accordingly.</w:t>
      </w:r>
    </w:p>
    <w:p w:rsidR="006A3F93" w:rsidRPr="00412620" w:rsidRDefault="006A3F93">
      <w:pPr>
        <w:pStyle w:val="CommentText"/>
        <w:jc w:val="both"/>
        <w:rPr>
          <w:rFonts w:cs="Arial"/>
        </w:rPr>
      </w:pPr>
    </w:p>
    <w:p w:rsidR="006A3F93" w:rsidRPr="00412620" w:rsidRDefault="006A3F93">
      <w:pPr>
        <w:pStyle w:val="CommentText"/>
        <w:jc w:val="both"/>
      </w:pPr>
      <w:r w:rsidRPr="00412620">
        <w:rPr>
          <w:rFonts w:cs="Arial"/>
        </w:rPr>
        <w:tab/>
        <w:t xml:space="preserve">(3) </w:t>
      </w:r>
      <w:r w:rsidRPr="00412620">
        <w:rPr>
          <w:rFonts w:cs="Arial"/>
        </w:rPr>
        <w:tab/>
        <w:t>Where any tax payable under this section in respect of such business or profession cannot be recovered from the predecessor, it shall be recoverable from the successor, who shall be entitled to recover it from the predecessor.]</w:t>
      </w:r>
    </w:p>
    <w:p w:rsidR="006A3F93" w:rsidRPr="00412620" w:rsidRDefault="006A3F93">
      <w:pPr>
        <w:pStyle w:val="CommentText"/>
        <w:rPr>
          <w:rFonts w:cs="Arial"/>
        </w:rPr>
      </w:pPr>
    </w:p>
    <w:p w:rsidR="006A3F93" w:rsidRPr="00412620" w:rsidRDefault="008E2079">
      <w:pPr>
        <w:pStyle w:val="Heading3"/>
        <w:spacing w:line="240" w:lineRule="auto"/>
        <w:jc w:val="center"/>
        <w:rPr>
          <w:rFonts w:cs="Arial"/>
          <w:caps w:val="0"/>
          <w:sz w:val="32"/>
          <w:szCs w:val="32"/>
        </w:rPr>
      </w:pPr>
      <w:r w:rsidRPr="00412620">
        <w:rPr>
          <w:rFonts w:cs="Arial"/>
          <w:caps w:val="0"/>
          <w:sz w:val="20"/>
        </w:rPr>
        <w:br w:type="page"/>
      </w:r>
      <w:r w:rsidR="006A3F93" w:rsidRPr="00412620">
        <w:rPr>
          <w:rFonts w:cs="Arial"/>
          <w:caps w:val="0"/>
          <w:sz w:val="32"/>
          <w:szCs w:val="32"/>
        </w:rPr>
        <w:lastRenderedPageBreak/>
        <w:t>CHAPTER VI</w:t>
      </w:r>
    </w:p>
    <w:p w:rsidR="006A3F93" w:rsidRPr="00412620" w:rsidRDefault="006A3F93">
      <w:pPr>
        <w:pStyle w:val="Heading2"/>
        <w:spacing w:line="240" w:lineRule="auto"/>
        <w:rPr>
          <w:rFonts w:cs="Arial"/>
          <w:sz w:val="20"/>
        </w:rPr>
      </w:pPr>
      <w:r w:rsidRPr="00412620">
        <w:rPr>
          <w:rFonts w:cs="Arial"/>
          <w:sz w:val="20"/>
        </w:rPr>
        <w:t>SPECIAL INDUSTRIES</w:t>
      </w:r>
    </w:p>
    <w:p w:rsidR="006A3F93" w:rsidRPr="00412620" w:rsidRDefault="006A3F93">
      <w:pPr>
        <w:pStyle w:val="CommentText"/>
        <w:keepNext/>
        <w:rPr>
          <w:rFonts w:cs="Arial"/>
        </w:rPr>
      </w:pPr>
    </w:p>
    <w:p w:rsidR="006A3F93" w:rsidRPr="00412620" w:rsidRDefault="006A3F93">
      <w:pPr>
        <w:keepNext/>
        <w:jc w:val="center"/>
        <w:rPr>
          <w:rFonts w:cs="Arial"/>
          <w:b/>
          <w:sz w:val="28"/>
          <w:szCs w:val="28"/>
        </w:rPr>
      </w:pPr>
      <w:r w:rsidRPr="00412620">
        <w:rPr>
          <w:rFonts w:cs="Arial"/>
          <w:b/>
          <w:sz w:val="28"/>
          <w:szCs w:val="28"/>
        </w:rPr>
        <w:t>PART I</w:t>
      </w:r>
    </w:p>
    <w:p w:rsidR="006A3F93" w:rsidRPr="00412620" w:rsidRDefault="006A3F93">
      <w:pPr>
        <w:keepNext/>
        <w:jc w:val="center"/>
        <w:rPr>
          <w:sz w:val="20"/>
        </w:rPr>
      </w:pPr>
      <w:r w:rsidRPr="00412620">
        <w:rPr>
          <w:rFonts w:cs="Arial"/>
          <w:b/>
          <w:sz w:val="20"/>
        </w:rPr>
        <w:t>INSURANCE BUSINESS</w:t>
      </w:r>
    </w:p>
    <w:p w:rsidR="006A3F93" w:rsidRPr="00412620" w:rsidRDefault="006A3F93">
      <w:pPr>
        <w:pStyle w:val="CommentText"/>
        <w:keepNext/>
        <w:rPr>
          <w:rFonts w:cs="Arial"/>
        </w:rPr>
      </w:pPr>
    </w:p>
    <w:p w:rsidR="006A3F93" w:rsidRPr="00412620" w:rsidRDefault="006A3F93">
      <w:pPr>
        <w:jc w:val="both"/>
        <w:rPr>
          <w:sz w:val="20"/>
        </w:rPr>
      </w:pPr>
      <w:r w:rsidRPr="00412620">
        <w:rPr>
          <w:rFonts w:cs="Arial"/>
          <w:b/>
          <w:sz w:val="20"/>
        </w:rPr>
        <w:t>99.</w:t>
      </w:r>
      <w:r w:rsidRPr="00412620">
        <w:rPr>
          <w:rFonts w:cs="Arial"/>
          <w:b/>
          <w:sz w:val="20"/>
        </w:rPr>
        <w:tab/>
        <w:t>Special provisions relating to insurance business.</w:t>
      </w:r>
      <w:r w:rsidR="006E47A3" w:rsidRPr="00412620">
        <w:rPr>
          <w:rFonts w:cs="Arial"/>
          <w:sz w:val="20"/>
        </w:rPr>
        <w:t xml:space="preserve"> —</w:t>
      </w:r>
      <w:r w:rsidRPr="00412620">
        <w:rPr>
          <w:sz w:val="20"/>
        </w:rPr>
        <w:t xml:space="preserve"> The profits and gains of any insurance business shall be computed in accordance with the rules in the Fourth Schedule.</w:t>
      </w:r>
    </w:p>
    <w:p w:rsidR="006A3F93" w:rsidRPr="00412620" w:rsidRDefault="006A3F93">
      <w:pPr>
        <w:rPr>
          <w:rFonts w:cs="Arial"/>
          <w:sz w:val="20"/>
        </w:rPr>
      </w:pPr>
    </w:p>
    <w:p w:rsidR="0046753A" w:rsidRPr="00B70268" w:rsidRDefault="00C13665" w:rsidP="0046753A">
      <w:pPr>
        <w:jc w:val="both"/>
        <w:rPr>
          <w:rFonts w:cs="Arial"/>
          <w:color w:val="000000" w:themeColor="text1"/>
          <w:sz w:val="20"/>
        </w:rPr>
      </w:pPr>
      <w:r w:rsidRPr="00B70268">
        <w:rPr>
          <w:rStyle w:val="FootnoteReference"/>
          <w:rFonts w:cs="Arial"/>
          <w:color w:val="000000" w:themeColor="text1"/>
          <w:sz w:val="20"/>
        </w:rPr>
        <w:footnoteReference w:id="518"/>
      </w:r>
      <w:r w:rsidR="0046753A" w:rsidRPr="00B70268">
        <w:rPr>
          <w:rFonts w:cs="Arial"/>
          <w:color w:val="000000" w:themeColor="text1"/>
          <w:sz w:val="20"/>
        </w:rPr>
        <w:t>[“</w:t>
      </w:r>
      <w:r w:rsidR="0046753A" w:rsidRPr="00B70268">
        <w:rPr>
          <w:rFonts w:cs="Arial"/>
          <w:b/>
          <w:color w:val="000000" w:themeColor="text1"/>
          <w:sz w:val="20"/>
        </w:rPr>
        <w:t>99A. Special provisions relating to trader</w:t>
      </w:r>
      <w:r w:rsidR="0046753A" w:rsidRPr="00B70268">
        <w:rPr>
          <w:rFonts w:cs="Arial"/>
          <w:color w:val="000000" w:themeColor="text1"/>
          <w:sz w:val="20"/>
        </w:rPr>
        <w:t>s.-(1) Subject to sub-section (3), tax payable on the profits and gains of a trader as defined in sub-section (4) who upto thirty first day of December, 2015 has not filed a return for any of the preceding ten tax years shall be computed in accordance with the rules laid down in Part I of the Ninth Schedule.</w:t>
      </w:r>
    </w:p>
    <w:p w:rsidR="0046753A" w:rsidRPr="00B70268" w:rsidRDefault="0046753A" w:rsidP="0046753A">
      <w:pPr>
        <w:ind w:left="2430"/>
        <w:jc w:val="both"/>
        <w:rPr>
          <w:rFonts w:cs="Arial"/>
          <w:color w:val="000000" w:themeColor="text1"/>
          <w:sz w:val="20"/>
        </w:rPr>
      </w:pPr>
    </w:p>
    <w:p w:rsidR="0046753A" w:rsidRPr="00B70268" w:rsidRDefault="0046753A" w:rsidP="0046753A">
      <w:pPr>
        <w:ind w:firstLine="450"/>
        <w:jc w:val="both"/>
        <w:rPr>
          <w:rFonts w:cs="Arial"/>
          <w:color w:val="000000" w:themeColor="text1"/>
          <w:sz w:val="20"/>
        </w:rPr>
      </w:pPr>
      <w:r w:rsidRPr="00B70268">
        <w:rPr>
          <w:rFonts w:cs="Arial"/>
          <w:color w:val="000000" w:themeColor="text1"/>
          <w:sz w:val="20"/>
        </w:rPr>
        <w:t xml:space="preserve">(2) Subject to sub-section (3), tax payable on the profits and gains of any trader as defined in sub-section (4), who- </w:t>
      </w:r>
    </w:p>
    <w:p w:rsidR="0046753A" w:rsidRPr="00B70268" w:rsidRDefault="0046753A" w:rsidP="0046753A">
      <w:pPr>
        <w:ind w:firstLine="450"/>
        <w:jc w:val="both"/>
        <w:rPr>
          <w:rFonts w:cs="Arial"/>
          <w:color w:val="000000" w:themeColor="text1"/>
          <w:sz w:val="20"/>
        </w:rPr>
      </w:pPr>
    </w:p>
    <w:p w:rsidR="0046753A" w:rsidRPr="00B70268" w:rsidRDefault="0046753A" w:rsidP="0046753A">
      <w:pPr>
        <w:spacing w:line="360" w:lineRule="auto"/>
        <w:ind w:left="3150" w:hanging="2250"/>
        <w:jc w:val="both"/>
        <w:rPr>
          <w:rFonts w:cs="Arial"/>
          <w:color w:val="000000" w:themeColor="text1"/>
          <w:sz w:val="20"/>
        </w:rPr>
      </w:pPr>
      <w:r w:rsidRPr="00B70268">
        <w:rPr>
          <w:rFonts w:cs="Arial"/>
          <w:color w:val="000000" w:themeColor="text1"/>
          <w:sz w:val="20"/>
        </w:rPr>
        <w:t>(a) is a filer; or</w:t>
      </w:r>
    </w:p>
    <w:p w:rsidR="0046753A" w:rsidRPr="00B70268" w:rsidRDefault="0046753A" w:rsidP="0046753A">
      <w:pPr>
        <w:ind w:left="1170" w:hanging="270"/>
        <w:jc w:val="both"/>
        <w:rPr>
          <w:rFonts w:cs="Arial"/>
          <w:color w:val="000000" w:themeColor="text1"/>
          <w:sz w:val="20"/>
        </w:rPr>
      </w:pPr>
      <w:r w:rsidRPr="00B70268">
        <w:rPr>
          <w:rFonts w:cs="Arial"/>
          <w:color w:val="000000" w:themeColor="text1"/>
          <w:sz w:val="20"/>
        </w:rPr>
        <w:t xml:space="preserve">(b) is NTN holder and a non-filer  but has filed return or returns in any of the last ten preceding tax years, shall be computed in accordance with the rules laid down in Part II of  the Ninth Schedule. </w:t>
      </w:r>
    </w:p>
    <w:p w:rsidR="0046753A" w:rsidRPr="00B70268" w:rsidRDefault="0046753A" w:rsidP="0046753A">
      <w:pPr>
        <w:ind w:left="3690"/>
        <w:jc w:val="both"/>
        <w:rPr>
          <w:rFonts w:cs="Arial"/>
          <w:color w:val="000000" w:themeColor="text1"/>
          <w:sz w:val="20"/>
        </w:rPr>
      </w:pPr>
    </w:p>
    <w:p w:rsidR="0046753A" w:rsidRPr="00B70268" w:rsidRDefault="0046753A" w:rsidP="0046753A">
      <w:pPr>
        <w:spacing w:line="360" w:lineRule="auto"/>
        <w:ind w:left="2430" w:hanging="1980"/>
        <w:jc w:val="both"/>
        <w:rPr>
          <w:rFonts w:cs="Arial"/>
          <w:color w:val="000000" w:themeColor="text1"/>
          <w:sz w:val="20"/>
        </w:rPr>
      </w:pPr>
      <w:r w:rsidRPr="00B70268">
        <w:rPr>
          <w:rFonts w:cs="Arial"/>
          <w:color w:val="000000" w:themeColor="text1"/>
          <w:sz w:val="20"/>
        </w:rPr>
        <w:t>(3) Sub-sections (1) and (2) shall apply, if-</w:t>
      </w:r>
    </w:p>
    <w:p w:rsidR="0046753A" w:rsidRPr="00B70268" w:rsidRDefault="0046753A" w:rsidP="0046753A">
      <w:pPr>
        <w:ind w:left="1170" w:hanging="270"/>
        <w:jc w:val="both"/>
        <w:rPr>
          <w:rFonts w:cs="Arial"/>
          <w:color w:val="000000" w:themeColor="text1"/>
          <w:sz w:val="20"/>
        </w:rPr>
      </w:pPr>
      <w:r w:rsidRPr="00B70268">
        <w:rPr>
          <w:rFonts w:cs="Arial"/>
          <w:color w:val="000000" w:themeColor="text1"/>
          <w:sz w:val="20"/>
        </w:rPr>
        <w:t>(a) the return filed by the trader qualifies for acceptance in accordance with the rules laid down in the Ninth Schedule;</w:t>
      </w:r>
    </w:p>
    <w:p w:rsidR="0046753A" w:rsidRPr="00B70268" w:rsidRDefault="0046753A" w:rsidP="0046753A">
      <w:pPr>
        <w:ind w:left="1170" w:hanging="270"/>
        <w:jc w:val="both"/>
        <w:rPr>
          <w:rFonts w:cs="Arial"/>
          <w:color w:val="000000" w:themeColor="text1"/>
          <w:sz w:val="20"/>
        </w:rPr>
      </w:pPr>
      <w:r w:rsidRPr="00B70268">
        <w:rPr>
          <w:rFonts w:cs="Arial"/>
          <w:color w:val="000000" w:themeColor="text1"/>
          <w:sz w:val="20"/>
        </w:rPr>
        <w:t xml:space="preserve"> </w:t>
      </w:r>
    </w:p>
    <w:p w:rsidR="0046753A" w:rsidRPr="00B70268" w:rsidRDefault="0046753A" w:rsidP="0046753A">
      <w:pPr>
        <w:spacing w:line="360" w:lineRule="auto"/>
        <w:ind w:left="3150" w:hanging="2250"/>
        <w:jc w:val="both"/>
        <w:rPr>
          <w:rFonts w:cs="Arial"/>
          <w:color w:val="000000" w:themeColor="text1"/>
          <w:sz w:val="20"/>
        </w:rPr>
      </w:pPr>
      <w:r w:rsidRPr="00B70268">
        <w:rPr>
          <w:rFonts w:cs="Arial"/>
          <w:color w:val="000000" w:themeColor="text1"/>
          <w:sz w:val="20"/>
        </w:rPr>
        <w:t xml:space="preserve">(b)  return relates to tax years 2015 to 2018; and </w:t>
      </w:r>
    </w:p>
    <w:p w:rsidR="0046753A" w:rsidRPr="00B70268" w:rsidRDefault="0046753A" w:rsidP="0046753A">
      <w:pPr>
        <w:ind w:left="1260" w:hanging="360"/>
        <w:jc w:val="both"/>
        <w:rPr>
          <w:rFonts w:cs="Arial"/>
          <w:color w:val="000000" w:themeColor="text1"/>
          <w:sz w:val="20"/>
        </w:rPr>
      </w:pPr>
      <w:r w:rsidRPr="00B70268">
        <w:rPr>
          <w:rFonts w:cs="Arial"/>
          <w:color w:val="000000" w:themeColor="text1"/>
          <w:sz w:val="20"/>
        </w:rPr>
        <w:t>(c) income from business consists of profits and  gains from trading activity only.</w:t>
      </w:r>
    </w:p>
    <w:p w:rsidR="0046753A" w:rsidRPr="00B70268" w:rsidRDefault="0046753A" w:rsidP="0046753A">
      <w:pPr>
        <w:ind w:left="4050" w:hanging="450"/>
        <w:jc w:val="both"/>
        <w:rPr>
          <w:rFonts w:cs="Arial"/>
          <w:color w:val="000000" w:themeColor="text1"/>
          <w:sz w:val="20"/>
        </w:rPr>
      </w:pPr>
    </w:p>
    <w:p w:rsidR="0046753A" w:rsidRPr="00B70268" w:rsidRDefault="0046753A" w:rsidP="009D0E15">
      <w:pPr>
        <w:ind w:firstLine="450"/>
        <w:jc w:val="both"/>
        <w:rPr>
          <w:rFonts w:cs="Arial"/>
          <w:color w:val="000000" w:themeColor="text1"/>
          <w:sz w:val="20"/>
        </w:rPr>
      </w:pPr>
      <w:r w:rsidRPr="00B70268">
        <w:rPr>
          <w:rFonts w:cs="Arial"/>
          <w:color w:val="000000" w:themeColor="text1"/>
          <w:sz w:val="20"/>
        </w:rPr>
        <w:t xml:space="preserve">(4) For the purpose of this section and the Ninth Schedule, ‘trader’ means an individual or an association of persons (AOP) buying goods or merchandise and selling the same without further processing and providing, business-related after sales, services by doing repair jobs. </w:t>
      </w:r>
    </w:p>
    <w:p w:rsidR="0046753A" w:rsidRPr="00B70268" w:rsidRDefault="0046753A" w:rsidP="0046753A">
      <w:pPr>
        <w:spacing w:line="360" w:lineRule="auto"/>
        <w:ind w:left="2430" w:firstLine="450"/>
        <w:jc w:val="both"/>
        <w:rPr>
          <w:rFonts w:cs="Arial"/>
          <w:color w:val="000000" w:themeColor="text1"/>
          <w:sz w:val="16"/>
        </w:rPr>
      </w:pPr>
    </w:p>
    <w:p w:rsidR="0046753A" w:rsidRPr="00B70268" w:rsidRDefault="0046753A" w:rsidP="00474A32">
      <w:pPr>
        <w:ind w:firstLine="450"/>
        <w:jc w:val="both"/>
        <w:rPr>
          <w:rFonts w:cs="Arial"/>
          <w:color w:val="000000" w:themeColor="text1"/>
          <w:sz w:val="20"/>
        </w:rPr>
      </w:pPr>
      <w:r w:rsidRPr="00B70268">
        <w:rPr>
          <w:rFonts w:cs="Arial"/>
          <w:i/>
          <w:color w:val="000000" w:themeColor="text1"/>
          <w:sz w:val="20"/>
        </w:rPr>
        <w:t>Explanation 1</w:t>
      </w:r>
      <w:r w:rsidRPr="00B70268">
        <w:rPr>
          <w:rFonts w:cs="Arial"/>
          <w:color w:val="000000" w:themeColor="text1"/>
          <w:sz w:val="20"/>
        </w:rPr>
        <w:t>.-  For the removal of doubt it is clarified that any person engaged in-</w:t>
      </w:r>
    </w:p>
    <w:p w:rsidR="0046753A" w:rsidRPr="0046753A" w:rsidRDefault="0046753A" w:rsidP="0046753A">
      <w:pPr>
        <w:ind w:left="2430" w:right="-360" w:firstLine="450"/>
        <w:jc w:val="both"/>
        <w:rPr>
          <w:rFonts w:cs="Arial"/>
          <w:color w:val="7030A0"/>
          <w:sz w:val="20"/>
        </w:rPr>
      </w:pPr>
    </w:p>
    <w:p w:rsidR="0046753A" w:rsidRPr="00B70268" w:rsidRDefault="0046753A" w:rsidP="00375E5A">
      <w:pPr>
        <w:numPr>
          <w:ilvl w:val="0"/>
          <w:numId w:val="77"/>
        </w:numPr>
        <w:ind w:left="450" w:hanging="450"/>
        <w:jc w:val="both"/>
        <w:rPr>
          <w:rFonts w:cs="Arial"/>
          <w:color w:val="000000" w:themeColor="text1"/>
          <w:sz w:val="20"/>
        </w:rPr>
      </w:pPr>
      <w:r w:rsidRPr="00B70268">
        <w:rPr>
          <w:rFonts w:cs="Arial"/>
          <w:color w:val="000000" w:themeColor="text1"/>
          <w:sz w:val="20"/>
        </w:rPr>
        <w:lastRenderedPageBreak/>
        <w:t>rendering of, or providing, services as defined in clause (ii) of sub-section (7) of section 153; or</w:t>
      </w:r>
    </w:p>
    <w:p w:rsidR="0046753A" w:rsidRPr="00B70268" w:rsidRDefault="0046753A" w:rsidP="0046753A">
      <w:pPr>
        <w:spacing w:line="360" w:lineRule="auto"/>
        <w:ind w:left="2880" w:right="-360"/>
        <w:jc w:val="both"/>
        <w:rPr>
          <w:rFonts w:cs="Arial"/>
          <w:color w:val="000000" w:themeColor="text1"/>
          <w:sz w:val="20"/>
        </w:rPr>
      </w:pPr>
    </w:p>
    <w:p w:rsidR="0046753A" w:rsidRPr="00B70268" w:rsidRDefault="0046753A" w:rsidP="00375E5A">
      <w:pPr>
        <w:numPr>
          <w:ilvl w:val="0"/>
          <w:numId w:val="77"/>
        </w:numPr>
        <w:ind w:left="450" w:hanging="450"/>
        <w:jc w:val="both"/>
        <w:rPr>
          <w:rFonts w:cs="Arial"/>
          <w:color w:val="000000" w:themeColor="text1"/>
          <w:sz w:val="20"/>
        </w:rPr>
      </w:pPr>
      <w:r w:rsidRPr="00B70268">
        <w:rPr>
          <w:rFonts w:cs="Arial"/>
          <w:color w:val="000000" w:themeColor="text1"/>
          <w:sz w:val="20"/>
        </w:rPr>
        <w:t>business of retailer falling under rule (5) of Chapter II of the Sales Tax Special Procedures Rules, 2007, shall not be treated as a trader for the purposes of this section.</w:t>
      </w:r>
    </w:p>
    <w:p w:rsidR="0046753A" w:rsidRPr="00B70268" w:rsidRDefault="0046753A" w:rsidP="0046753A">
      <w:pPr>
        <w:pStyle w:val="ListParagraph"/>
        <w:rPr>
          <w:rFonts w:cs="Arial"/>
          <w:color w:val="000000" w:themeColor="text1"/>
          <w:sz w:val="20"/>
        </w:rPr>
      </w:pPr>
    </w:p>
    <w:p w:rsidR="0046753A" w:rsidRPr="00B70268" w:rsidRDefault="0046753A" w:rsidP="00474A32">
      <w:pPr>
        <w:ind w:firstLine="450"/>
        <w:jc w:val="both"/>
        <w:rPr>
          <w:rFonts w:cs="Arial"/>
          <w:color w:val="000000" w:themeColor="text1"/>
          <w:sz w:val="20"/>
        </w:rPr>
      </w:pPr>
      <w:r w:rsidRPr="00B70268">
        <w:rPr>
          <w:rFonts w:cs="Arial"/>
          <w:i/>
          <w:color w:val="000000" w:themeColor="text1"/>
          <w:sz w:val="20"/>
        </w:rPr>
        <w:t>Explanation 2.-</w:t>
      </w:r>
      <w:r w:rsidRPr="00B70268">
        <w:rPr>
          <w:rFonts w:cs="Arial"/>
          <w:color w:val="000000" w:themeColor="text1"/>
          <w:sz w:val="20"/>
        </w:rPr>
        <w:t xml:space="preserve"> It is also clarified that this section shall not apply to a person who is a Member of the Senate of Pakistan, the National Assembly of Pakistan or a Provincial Assembly.”]</w:t>
      </w:r>
    </w:p>
    <w:p w:rsidR="006A3F93" w:rsidRPr="00412620" w:rsidRDefault="005947E8">
      <w:pPr>
        <w:pStyle w:val="Heading8"/>
        <w:rPr>
          <w:rFonts w:cs="Arial"/>
          <w:i w:val="0"/>
          <w:sz w:val="28"/>
          <w:szCs w:val="28"/>
        </w:rPr>
      </w:pPr>
      <w:r w:rsidRPr="00412620">
        <w:rPr>
          <w:rFonts w:cs="Arial"/>
          <w:i w:val="0"/>
          <w:sz w:val="28"/>
          <w:szCs w:val="28"/>
        </w:rPr>
        <w:br w:type="page"/>
      </w:r>
      <w:r w:rsidR="006A3F93" w:rsidRPr="00412620">
        <w:rPr>
          <w:rFonts w:cs="Arial"/>
          <w:i w:val="0"/>
          <w:sz w:val="28"/>
          <w:szCs w:val="28"/>
        </w:rPr>
        <w:lastRenderedPageBreak/>
        <w:t>PART II</w:t>
      </w:r>
    </w:p>
    <w:p w:rsidR="006A3F93" w:rsidRPr="00412620" w:rsidRDefault="006A3F93">
      <w:pPr>
        <w:pStyle w:val="Heading8"/>
        <w:rPr>
          <w:rFonts w:cs="Arial"/>
          <w:i w:val="0"/>
          <w:sz w:val="20"/>
        </w:rPr>
      </w:pPr>
      <w:r w:rsidRPr="00412620">
        <w:rPr>
          <w:rFonts w:cs="Arial"/>
          <w:i w:val="0"/>
          <w:sz w:val="20"/>
        </w:rPr>
        <w:t>OIL, NATURAL GAS AND OTHER MINERAL DEPOSITS</w:t>
      </w:r>
    </w:p>
    <w:p w:rsidR="006A3F93" w:rsidRPr="00412620" w:rsidRDefault="006A3F93">
      <w:pPr>
        <w:pStyle w:val="CommentText"/>
        <w:keepNext/>
        <w:rPr>
          <w:rFonts w:cs="Arial"/>
        </w:rPr>
      </w:pPr>
    </w:p>
    <w:p w:rsidR="006A3F93" w:rsidRPr="00412620" w:rsidRDefault="006A3F93">
      <w:pPr>
        <w:jc w:val="both"/>
        <w:rPr>
          <w:sz w:val="20"/>
        </w:rPr>
      </w:pPr>
      <w:r w:rsidRPr="00412620">
        <w:rPr>
          <w:rFonts w:cs="Arial"/>
          <w:b/>
          <w:sz w:val="20"/>
        </w:rPr>
        <w:t>100.</w:t>
      </w:r>
      <w:r w:rsidRPr="00412620">
        <w:rPr>
          <w:rFonts w:cs="Arial"/>
          <w:b/>
          <w:sz w:val="20"/>
        </w:rPr>
        <w:tab/>
        <w:t>Special provisions relating to the production of oil and natural gas, and exploration and extraction of other mineral deposits.</w:t>
      </w:r>
      <w:r w:rsidR="000960A5" w:rsidRPr="00412620">
        <w:rPr>
          <w:rFonts w:cs="Arial"/>
          <w:sz w:val="20"/>
        </w:rPr>
        <w:t>—</w:t>
      </w:r>
      <w:r w:rsidRPr="00412620">
        <w:rPr>
          <w:sz w:val="20"/>
        </w:rPr>
        <w:t xml:space="preserve">(1) Subject to sub-section (2), the profits and gains from </w:t>
      </w:r>
      <w:r w:rsidR="000960A5"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exploration and production of petroleum including natural gas and from refineries set up at the Dhodak and Bobi fields;</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pipeline operations of exploration and production companies; or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the manufacture and sale of liquified petroleum gas or compressed natural gas,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and the tax payable thereon shall be computed in accordance with the rules in Part I of the Fifth Schedule.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Sub-section (1) shall not apply to the profits and gains attributable to the production of petroleum including natural gas discovered before the 24</w:t>
      </w:r>
      <w:r w:rsidRPr="00412620">
        <w:rPr>
          <w:rFonts w:cs="Arial"/>
          <w:sz w:val="20"/>
          <w:vertAlign w:val="superscript"/>
        </w:rPr>
        <w:t>th</w:t>
      </w:r>
      <w:r w:rsidRPr="00412620">
        <w:rPr>
          <w:rFonts w:cs="Arial"/>
          <w:sz w:val="20"/>
        </w:rPr>
        <w:t xml:space="preserve"> day of September, 1954.</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The profits and gains of any business which consists of, or includes, the exploration and extraction of such mineral deposits of a wasting nature (not being petroleum or natural gas) as may be specified in this behalf by the Federal Government carried on by a person in Pakistan shall be computed in accordance with the rules in Part II of the Fifth Schedule.</w:t>
      </w:r>
    </w:p>
    <w:p w:rsidR="0080730D" w:rsidRPr="00412620" w:rsidRDefault="0080730D">
      <w:pPr>
        <w:jc w:val="both"/>
        <w:rPr>
          <w:rFonts w:cs="Arial"/>
          <w:sz w:val="20"/>
        </w:rPr>
      </w:pPr>
    </w:p>
    <w:p w:rsidR="00A058E3" w:rsidRPr="00412620" w:rsidRDefault="00A058E3" w:rsidP="00A058E3">
      <w:pPr>
        <w:jc w:val="both"/>
        <w:rPr>
          <w:rFonts w:cs="Arial"/>
          <w:sz w:val="20"/>
        </w:rPr>
      </w:pPr>
      <w:r w:rsidRPr="00412620">
        <w:rPr>
          <w:rStyle w:val="FootnoteReference"/>
          <w:rFonts w:cs="Arial"/>
          <w:b/>
          <w:sz w:val="20"/>
        </w:rPr>
        <w:footnoteReference w:id="519"/>
      </w:r>
      <w:r w:rsidR="006A615D" w:rsidRPr="00412620">
        <w:rPr>
          <w:rFonts w:cs="Arial"/>
          <w:b/>
          <w:sz w:val="20"/>
        </w:rPr>
        <w:t>[</w:t>
      </w:r>
      <w:r w:rsidRPr="00412620">
        <w:rPr>
          <w:rFonts w:cs="Arial"/>
          <w:b/>
          <w:sz w:val="20"/>
        </w:rPr>
        <w:t>100A</w:t>
      </w:r>
      <w:r w:rsidR="005F2A7E">
        <w:rPr>
          <w:rFonts w:cs="Arial"/>
          <w:b/>
          <w:sz w:val="20"/>
        </w:rPr>
        <w:t>.</w:t>
      </w:r>
      <w:r w:rsidRPr="00412620">
        <w:rPr>
          <w:rFonts w:cs="Arial"/>
          <w:b/>
          <w:iCs/>
          <w:sz w:val="20"/>
        </w:rPr>
        <w:t>Special provisions relating to banking business.—</w:t>
      </w:r>
      <w:r w:rsidRPr="00412620">
        <w:rPr>
          <w:rFonts w:cs="Arial"/>
          <w:sz w:val="20"/>
        </w:rPr>
        <w:t>(1) Subject to sub-section (2), the income, profits and gains of any banking company as defined in clause (7) of section 2 and tax payable thereon shall be computed in accordance with the rules in the Seventh Schedule.</w:t>
      </w:r>
    </w:p>
    <w:p w:rsidR="00A058E3" w:rsidRPr="00412620" w:rsidRDefault="00A058E3" w:rsidP="00A058E3">
      <w:pPr>
        <w:pStyle w:val="2"/>
        <w:spacing w:line="236" w:lineRule="atLeast"/>
        <w:rPr>
          <w:rFonts w:ascii="Arial" w:hAnsi="Arial" w:cs="Arial"/>
          <w:color w:val="auto"/>
          <w:sz w:val="20"/>
          <w:szCs w:val="20"/>
        </w:rPr>
      </w:pPr>
    </w:p>
    <w:p w:rsidR="006A3F93" w:rsidRPr="00412620" w:rsidRDefault="00A058E3" w:rsidP="00A058E3">
      <w:pPr>
        <w:jc w:val="both"/>
        <w:rPr>
          <w:rFonts w:cs="Arial"/>
          <w:sz w:val="20"/>
        </w:rPr>
      </w:pPr>
      <w:r w:rsidRPr="00412620">
        <w:rPr>
          <w:rFonts w:cs="Arial"/>
          <w:sz w:val="20"/>
        </w:rPr>
        <w:tab/>
        <w:t>(2)</w:t>
      </w:r>
      <w:r w:rsidRPr="00412620">
        <w:rPr>
          <w:rFonts w:cs="Arial"/>
          <w:sz w:val="20"/>
        </w:rPr>
        <w:tab/>
        <w:t>Sub-section (1) shall apply to the profits and gains of the banking companies relevant to tax year 2009 and onwards.]</w:t>
      </w:r>
    </w:p>
    <w:p w:rsidR="00A058E3" w:rsidRPr="00412620" w:rsidRDefault="00A058E3" w:rsidP="00A058E3">
      <w:pPr>
        <w:pStyle w:val="2"/>
        <w:spacing w:line="236" w:lineRule="atLeast"/>
        <w:rPr>
          <w:rFonts w:ascii="Arial" w:hAnsi="Arial" w:cs="Arial"/>
          <w:color w:val="auto"/>
          <w:sz w:val="20"/>
          <w:szCs w:val="20"/>
        </w:rPr>
      </w:pPr>
    </w:p>
    <w:p w:rsidR="00EE4363" w:rsidRPr="00412620" w:rsidRDefault="006A615D" w:rsidP="00EE4363">
      <w:pPr>
        <w:jc w:val="both"/>
        <w:rPr>
          <w:sz w:val="20"/>
        </w:rPr>
      </w:pPr>
      <w:r w:rsidRPr="00412620">
        <w:rPr>
          <w:rStyle w:val="FootnoteReference"/>
          <w:b/>
          <w:sz w:val="20"/>
        </w:rPr>
        <w:footnoteReference w:id="520"/>
      </w:r>
      <w:r w:rsidRPr="00412620">
        <w:rPr>
          <w:b/>
          <w:sz w:val="20"/>
        </w:rPr>
        <w:t>[</w:t>
      </w:r>
      <w:r w:rsidR="00EE4363" w:rsidRPr="00412620">
        <w:rPr>
          <w:b/>
          <w:sz w:val="20"/>
        </w:rPr>
        <w:t>100B</w:t>
      </w:r>
      <w:r w:rsidRPr="00412620">
        <w:rPr>
          <w:b/>
          <w:sz w:val="20"/>
        </w:rPr>
        <w:t>.</w:t>
      </w:r>
      <w:r w:rsidR="00EE4363" w:rsidRPr="00412620">
        <w:rPr>
          <w:sz w:val="20"/>
        </w:rPr>
        <w:tab/>
      </w:r>
      <w:r w:rsidR="00EE4363" w:rsidRPr="00412620">
        <w:rPr>
          <w:b/>
          <w:sz w:val="20"/>
        </w:rPr>
        <w:t>Special provision relating to capital gain tax</w:t>
      </w:r>
      <w:r w:rsidR="00EE4363" w:rsidRPr="00412620">
        <w:rPr>
          <w:sz w:val="20"/>
        </w:rPr>
        <w:t>.</w:t>
      </w:r>
      <w:r w:rsidR="006D53E5" w:rsidRPr="00412620">
        <w:rPr>
          <w:rFonts w:cs="Arial"/>
          <w:sz w:val="20"/>
        </w:rPr>
        <w:t>—</w:t>
      </w:r>
      <w:r w:rsidR="00EE4363" w:rsidRPr="00412620">
        <w:rPr>
          <w:sz w:val="20"/>
        </w:rPr>
        <w:t xml:space="preserve"> (1)   Capital gains on disposal of listed securities and tax thereon, subject to section 37A, shall be computed, determined, collected and deposited in accordance with the rules laid down in the Eighth Schedule.</w:t>
      </w:r>
    </w:p>
    <w:p w:rsidR="00EE4363" w:rsidRPr="00412620" w:rsidRDefault="00EE4363" w:rsidP="00EE4363">
      <w:pPr>
        <w:jc w:val="both"/>
        <w:rPr>
          <w:sz w:val="20"/>
        </w:rPr>
      </w:pPr>
    </w:p>
    <w:p w:rsidR="00EE4363" w:rsidRDefault="00EE4363" w:rsidP="00EE4363">
      <w:pPr>
        <w:jc w:val="both"/>
        <w:rPr>
          <w:sz w:val="20"/>
        </w:rPr>
      </w:pPr>
      <w:r w:rsidRPr="00412620">
        <w:rPr>
          <w:sz w:val="20"/>
        </w:rPr>
        <w:lastRenderedPageBreak/>
        <w:tab/>
        <w:t>(2)</w:t>
      </w:r>
      <w:r w:rsidRPr="00412620">
        <w:rPr>
          <w:sz w:val="20"/>
        </w:rPr>
        <w:tab/>
        <w:t>The provisions of sub–section (1) shall not apply to the following persons or class of persons, namely:-</w:t>
      </w:r>
    </w:p>
    <w:p w:rsidR="001347D7" w:rsidRPr="00412620" w:rsidRDefault="001347D7" w:rsidP="00EE4363">
      <w:pPr>
        <w:jc w:val="both"/>
        <w:rPr>
          <w:sz w:val="20"/>
        </w:rPr>
      </w:pPr>
    </w:p>
    <w:p w:rsidR="00EE4363" w:rsidRPr="00412620" w:rsidRDefault="00EE4363" w:rsidP="00EE4363">
      <w:pPr>
        <w:rPr>
          <w:sz w:val="20"/>
        </w:rPr>
      </w:pPr>
      <w:r w:rsidRPr="00412620">
        <w:rPr>
          <w:sz w:val="20"/>
        </w:rPr>
        <w:tab/>
      </w:r>
      <w:r w:rsidRPr="00412620">
        <w:rPr>
          <w:sz w:val="20"/>
        </w:rPr>
        <w:tab/>
        <w:t xml:space="preserve">(a) </w:t>
      </w:r>
      <w:r w:rsidRPr="00412620">
        <w:rPr>
          <w:sz w:val="20"/>
        </w:rPr>
        <w:tab/>
        <w:t>a mutual fund;</w:t>
      </w:r>
    </w:p>
    <w:p w:rsidR="00EE4363" w:rsidRPr="00412620" w:rsidRDefault="00EE4363" w:rsidP="00EE4363">
      <w:pPr>
        <w:ind w:left="1080" w:hanging="527"/>
        <w:rPr>
          <w:sz w:val="20"/>
        </w:rPr>
      </w:pPr>
      <w:r w:rsidRPr="00412620">
        <w:rPr>
          <w:sz w:val="20"/>
        </w:rPr>
        <w:tab/>
      </w:r>
    </w:p>
    <w:p w:rsidR="00EE4363" w:rsidRPr="00412620" w:rsidRDefault="00EE4363" w:rsidP="006B62C2">
      <w:pPr>
        <w:ind w:left="1641" w:hanging="548"/>
        <w:rPr>
          <w:sz w:val="20"/>
        </w:rPr>
      </w:pPr>
      <w:r w:rsidRPr="00412620">
        <w:rPr>
          <w:sz w:val="20"/>
        </w:rPr>
        <w:t xml:space="preserve">(b) </w:t>
      </w:r>
      <w:r w:rsidRPr="00412620">
        <w:rPr>
          <w:sz w:val="20"/>
        </w:rPr>
        <w:tab/>
        <w:t xml:space="preserve">banking company, a non-banking finance company and an </w:t>
      </w:r>
      <w:r w:rsidR="006B62C2" w:rsidRPr="00412620">
        <w:rPr>
          <w:sz w:val="20"/>
        </w:rPr>
        <w:t xml:space="preserve"> insurance company subject to tax under the Fourth Schedule;</w:t>
      </w:r>
    </w:p>
    <w:p w:rsidR="00EE4363" w:rsidRPr="00412620" w:rsidRDefault="00EE4363" w:rsidP="00EE4363">
      <w:pPr>
        <w:ind w:left="1080" w:hanging="527"/>
        <w:rPr>
          <w:sz w:val="20"/>
        </w:rPr>
      </w:pPr>
    </w:p>
    <w:p w:rsidR="00EE4363" w:rsidRPr="00412620" w:rsidRDefault="00EE4363" w:rsidP="00EE4363">
      <w:pPr>
        <w:rPr>
          <w:sz w:val="20"/>
        </w:rPr>
      </w:pPr>
      <w:r w:rsidRPr="00412620">
        <w:rPr>
          <w:sz w:val="20"/>
        </w:rPr>
        <w:tab/>
      </w:r>
      <w:r w:rsidRPr="00412620">
        <w:rPr>
          <w:sz w:val="20"/>
        </w:rPr>
        <w:tab/>
        <w:t xml:space="preserve">(c) </w:t>
      </w:r>
      <w:r w:rsidRPr="00412620">
        <w:rPr>
          <w:sz w:val="20"/>
        </w:rPr>
        <w:tab/>
        <w:t xml:space="preserve">a modaraba; </w:t>
      </w:r>
    </w:p>
    <w:p w:rsidR="006B62C2" w:rsidRPr="00412620" w:rsidRDefault="006B62C2" w:rsidP="006B62C2">
      <w:pPr>
        <w:ind w:left="1641" w:hanging="548"/>
        <w:rPr>
          <w:sz w:val="20"/>
        </w:rPr>
      </w:pPr>
    </w:p>
    <w:p w:rsidR="00EA462C" w:rsidRPr="00ED783C" w:rsidRDefault="004328CA" w:rsidP="00ED783C">
      <w:pPr>
        <w:spacing w:line="480" w:lineRule="auto"/>
        <w:ind w:left="547" w:firstLine="547"/>
        <w:jc w:val="both"/>
        <w:rPr>
          <w:rFonts w:cs="Arial"/>
          <w:color w:val="000000" w:themeColor="text1"/>
          <w:sz w:val="20"/>
        </w:rPr>
      </w:pPr>
      <w:r w:rsidRPr="00ED783C">
        <w:rPr>
          <w:rStyle w:val="FootnoteReference"/>
          <w:color w:val="000000" w:themeColor="text1"/>
          <w:sz w:val="20"/>
        </w:rPr>
        <w:footnoteReference w:id="521"/>
      </w:r>
      <w:r w:rsidRPr="00ED783C">
        <w:rPr>
          <w:color w:val="000000" w:themeColor="text1"/>
          <w:sz w:val="20"/>
        </w:rPr>
        <w:t>[</w:t>
      </w:r>
      <w:r w:rsidR="00EE4363" w:rsidRPr="00ED783C">
        <w:rPr>
          <w:color w:val="000000" w:themeColor="text1"/>
          <w:sz w:val="20"/>
        </w:rPr>
        <w:t xml:space="preserve">(d) </w:t>
      </w:r>
      <w:r w:rsidR="00EA462C" w:rsidRPr="00ED783C">
        <w:rPr>
          <w:rFonts w:cs="Arial"/>
          <w:color w:val="000000" w:themeColor="text1"/>
          <w:sz w:val="20"/>
        </w:rPr>
        <w:t>a company, in respe</w:t>
      </w:r>
      <w:r w:rsidR="00784CB9" w:rsidRPr="00ED783C">
        <w:rPr>
          <w:rFonts w:cs="Arial"/>
          <w:color w:val="000000" w:themeColor="text1"/>
          <w:sz w:val="20"/>
        </w:rPr>
        <w:t>ct of debt securities only; and</w:t>
      </w:r>
      <w:r w:rsidRPr="00ED783C">
        <w:rPr>
          <w:rFonts w:cs="Arial"/>
          <w:color w:val="000000" w:themeColor="text1"/>
          <w:sz w:val="20"/>
        </w:rPr>
        <w:t>]</w:t>
      </w:r>
    </w:p>
    <w:p w:rsidR="00A058E3" w:rsidRPr="00ED783C" w:rsidRDefault="00C826E4" w:rsidP="004328CA">
      <w:pPr>
        <w:ind w:left="1641" w:hanging="546"/>
        <w:rPr>
          <w:sz w:val="20"/>
        </w:rPr>
      </w:pPr>
      <w:r w:rsidRPr="00ED783C">
        <w:rPr>
          <w:sz w:val="20"/>
        </w:rPr>
        <w:t xml:space="preserve">(e) </w:t>
      </w:r>
      <w:r w:rsidRPr="00ED783C">
        <w:rPr>
          <w:sz w:val="20"/>
        </w:rPr>
        <w:tab/>
      </w:r>
      <w:r w:rsidR="00EE4363" w:rsidRPr="00ED783C">
        <w:rPr>
          <w:sz w:val="20"/>
        </w:rPr>
        <w:t>any other person or class of persons notified by the Board.]</w:t>
      </w:r>
    </w:p>
    <w:p w:rsidR="00B47D69" w:rsidRPr="009A1AFA" w:rsidRDefault="00B47D69" w:rsidP="00EE4363">
      <w:pPr>
        <w:rPr>
          <w:color w:val="00B0F0"/>
          <w:sz w:val="20"/>
        </w:rPr>
      </w:pPr>
      <w:r w:rsidRPr="009A1AFA">
        <w:rPr>
          <w:color w:val="00B0F0"/>
          <w:sz w:val="20"/>
        </w:rPr>
        <w:tab/>
      </w:r>
    </w:p>
    <w:p w:rsidR="004328CA" w:rsidRPr="00ED783C" w:rsidRDefault="00C8607E" w:rsidP="004328CA">
      <w:pPr>
        <w:jc w:val="both"/>
        <w:rPr>
          <w:rFonts w:cs="Arial"/>
          <w:color w:val="000000" w:themeColor="text1"/>
          <w:sz w:val="20"/>
        </w:rPr>
      </w:pPr>
      <w:r w:rsidRPr="00ED783C">
        <w:rPr>
          <w:rStyle w:val="FootnoteReference"/>
          <w:rFonts w:cs="Arial"/>
          <w:color w:val="000000" w:themeColor="text1"/>
          <w:sz w:val="20"/>
        </w:rPr>
        <w:footnoteReference w:id="522"/>
      </w:r>
      <w:r w:rsidRPr="00ED783C">
        <w:rPr>
          <w:rFonts w:cs="Arial"/>
          <w:color w:val="000000" w:themeColor="text1"/>
          <w:sz w:val="20"/>
        </w:rPr>
        <w:t>[</w:t>
      </w:r>
      <w:r w:rsidR="00FE3654" w:rsidRPr="00ED783C">
        <w:rPr>
          <w:rFonts w:cs="Arial"/>
          <w:b/>
          <w:color w:val="000000" w:themeColor="text1"/>
          <w:sz w:val="20"/>
        </w:rPr>
        <w:t>100C. Tax credit for certain persons.-</w:t>
      </w:r>
      <w:r w:rsidR="00FE3654" w:rsidRPr="00ED783C">
        <w:rPr>
          <w:rFonts w:cs="Arial"/>
          <w:color w:val="000000" w:themeColor="text1"/>
          <w:sz w:val="20"/>
        </w:rPr>
        <w:t xml:space="preserve"> (1) </w:t>
      </w:r>
      <w:r w:rsidR="0093066A" w:rsidRPr="00ED783C">
        <w:rPr>
          <w:rStyle w:val="FootnoteReference"/>
          <w:rFonts w:cs="Arial"/>
          <w:color w:val="000000" w:themeColor="text1"/>
          <w:sz w:val="20"/>
        </w:rPr>
        <w:footnoteReference w:id="523"/>
      </w:r>
      <w:r w:rsidR="0093066A" w:rsidRPr="00ED783C">
        <w:rPr>
          <w:rFonts w:cs="Arial"/>
          <w:color w:val="000000" w:themeColor="text1"/>
          <w:sz w:val="20"/>
        </w:rPr>
        <w:t>[The income of]</w:t>
      </w:r>
      <w:r w:rsidR="00FE3654" w:rsidRPr="00ED783C">
        <w:rPr>
          <w:rFonts w:cs="Arial"/>
          <w:color w:val="000000" w:themeColor="text1"/>
          <w:sz w:val="20"/>
        </w:rPr>
        <w:t xml:space="preserve">Non-profit organizations, </w:t>
      </w:r>
      <w:r w:rsidR="00FE3654" w:rsidRPr="00ED783C">
        <w:rPr>
          <w:rFonts w:cs="Arial"/>
          <w:snapToGrid w:val="0"/>
          <w:color w:val="000000" w:themeColor="text1"/>
          <w:sz w:val="20"/>
        </w:rPr>
        <w:t xml:space="preserve">trusts or welfare institutions, as mentioned in sub-section (2) </w:t>
      </w:r>
      <w:r w:rsidR="00FE3654" w:rsidRPr="00ED783C">
        <w:rPr>
          <w:rFonts w:cs="Arial"/>
          <w:color w:val="000000" w:themeColor="text1"/>
          <w:sz w:val="20"/>
        </w:rPr>
        <w:t>shall be allowed a tax credit equal to one hundred per cent of the tax payable, including minimum tax and final taxes payable under any of the provisions of this Ordinance, subject to the following conditions, namely:-</w:t>
      </w:r>
    </w:p>
    <w:p w:rsidR="004328CA" w:rsidRPr="00ED783C" w:rsidRDefault="004328CA" w:rsidP="004328CA">
      <w:pPr>
        <w:jc w:val="both"/>
        <w:rPr>
          <w:rFonts w:cs="Arial"/>
          <w:color w:val="000000" w:themeColor="text1"/>
          <w:sz w:val="20"/>
        </w:rPr>
      </w:pPr>
    </w:p>
    <w:p w:rsidR="004328CA" w:rsidRPr="00ED783C" w:rsidRDefault="00FE3654" w:rsidP="004B20DC">
      <w:pPr>
        <w:pStyle w:val="ListParagraph"/>
        <w:numPr>
          <w:ilvl w:val="0"/>
          <w:numId w:val="36"/>
        </w:numPr>
        <w:jc w:val="both"/>
        <w:rPr>
          <w:rFonts w:cs="Arial"/>
          <w:color w:val="000000" w:themeColor="text1"/>
          <w:sz w:val="20"/>
        </w:rPr>
      </w:pPr>
      <w:r w:rsidRPr="00ED783C">
        <w:rPr>
          <w:rFonts w:cs="Arial"/>
          <w:color w:val="000000" w:themeColor="text1"/>
          <w:sz w:val="20"/>
        </w:rPr>
        <w:t>return has been filed;</w:t>
      </w:r>
    </w:p>
    <w:p w:rsidR="004328CA" w:rsidRPr="00ED783C" w:rsidRDefault="00FE3654" w:rsidP="004B20DC">
      <w:pPr>
        <w:pStyle w:val="ListParagraph"/>
        <w:numPr>
          <w:ilvl w:val="0"/>
          <w:numId w:val="36"/>
        </w:numPr>
        <w:spacing w:after="200"/>
        <w:contextualSpacing/>
        <w:rPr>
          <w:rFonts w:cs="Arial"/>
          <w:color w:val="000000" w:themeColor="text1"/>
          <w:sz w:val="20"/>
        </w:rPr>
      </w:pPr>
      <w:r w:rsidRPr="00ED783C">
        <w:rPr>
          <w:rFonts w:cs="Arial"/>
          <w:color w:val="000000" w:themeColor="text1"/>
          <w:sz w:val="20"/>
        </w:rPr>
        <w:t>tax required to be deducted or collected has been deducted or collected and paid; and</w:t>
      </w:r>
    </w:p>
    <w:p w:rsidR="00FE3654" w:rsidRPr="00ED783C" w:rsidRDefault="00FE3654" w:rsidP="004B20DC">
      <w:pPr>
        <w:pStyle w:val="ListParagraph"/>
        <w:numPr>
          <w:ilvl w:val="0"/>
          <w:numId w:val="36"/>
        </w:numPr>
        <w:spacing w:after="200"/>
        <w:contextualSpacing/>
        <w:rPr>
          <w:rFonts w:cs="Arial"/>
          <w:color w:val="000000" w:themeColor="text1"/>
          <w:sz w:val="20"/>
        </w:rPr>
      </w:pPr>
      <w:r w:rsidRPr="00ED783C">
        <w:rPr>
          <w:rFonts w:cs="Arial"/>
          <w:color w:val="000000" w:themeColor="text1"/>
          <w:sz w:val="20"/>
        </w:rPr>
        <w:t>withholding tax statements for the immediately preceding tax year have been filed.</w:t>
      </w:r>
    </w:p>
    <w:p w:rsidR="00FE3654" w:rsidRPr="00ED783C" w:rsidRDefault="00FE3654" w:rsidP="00ED783C">
      <w:pPr>
        <w:ind w:firstLine="360"/>
        <w:jc w:val="both"/>
        <w:rPr>
          <w:rFonts w:cs="Arial"/>
          <w:snapToGrid w:val="0"/>
          <w:color w:val="000000" w:themeColor="text1"/>
          <w:sz w:val="20"/>
        </w:rPr>
      </w:pPr>
      <w:r w:rsidRPr="00ED783C">
        <w:rPr>
          <w:rFonts w:cs="Arial"/>
          <w:snapToGrid w:val="0"/>
          <w:color w:val="000000" w:themeColor="text1"/>
          <w:sz w:val="20"/>
        </w:rPr>
        <w:t>(2)</w:t>
      </w:r>
      <w:r w:rsidR="00ED783C">
        <w:rPr>
          <w:rFonts w:cs="Arial"/>
          <w:snapToGrid w:val="0"/>
          <w:color w:val="000000" w:themeColor="text1"/>
          <w:sz w:val="20"/>
        </w:rPr>
        <w:tab/>
      </w:r>
      <w:r w:rsidRPr="00ED783C">
        <w:rPr>
          <w:rFonts w:cs="Arial"/>
          <w:color w:val="000000" w:themeColor="text1"/>
          <w:sz w:val="20"/>
        </w:rPr>
        <w:t>Persons</w:t>
      </w:r>
      <w:r w:rsidR="00ED783C">
        <w:rPr>
          <w:rFonts w:cs="Arial"/>
          <w:color w:val="000000" w:themeColor="text1"/>
          <w:sz w:val="20"/>
        </w:rPr>
        <w:t xml:space="preserve"> </w:t>
      </w:r>
      <w:r w:rsidR="0049680D" w:rsidRPr="00B70268">
        <w:rPr>
          <w:rStyle w:val="FootnoteReference"/>
          <w:rFonts w:cs="Arial"/>
          <w:color w:val="000000" w:themeColor="text1"/>
          <w:sz w:val="20"/>
        </w:rPr>
        <w:footnoteReference w:id="524"/>
      </w:r>
      <w:r w:rsidR="0049680D" w:rsidRPr="00B70268">
        <w:rPr>
          <w:rFonts w:cs="Arial"/>
          <w:color w:val="000000" w:themeColor="text1"/>
          <w:sz w:val="20"/>
        </w:rPr>
        <w:t>[and incomes]</w:t>
      </w:r>
      <w:r w:rsidRPr="00ED783C">
        <w:rPr>
          <w:rFonts w:cs="Arial"/>
          <w:snapToGrid w:val="0"/>
          <w:color w:val="00B0F0"/>
          <w:sz w:val="20"/>
        </w:rPr>
        <w:t xml:space="preserve"> </w:t>
      </w:r>
      <w:r w:rsidRPr="00ED783C">
        <w:rPr>
          <w:rFonts w:cs="Arial"/>
          <w:snapToGrid w:val="0"/>
          <w:color w:val="000000" w:themeColor="text1"/>
          <w:sz w:val="20"/>
        </w:rPr>
        <w:t>eligible for tax credit under this section include-</w:t>
      </w:r>
    </w:p>
    <w:p w:rsidR="009671B1" w:rsidRPr="00A7684E" w:rsidRDefault="009671B1" w:rsidP="00200BDA">
      <w:pPr>
        <w:ind w:left="1440" w:hanging="1440"/>
        <w:jc w:val="both"/>
        <w:rPr>
          <w:rFonts w:cs="Arial"/>
          <w:snapToGrid w:val="0"/>
          <w:color w:val="000000" w:themeColor="text1"/>
          <w:sz w:val="22"/>
          <w:szCs w:val="22"/>
        </w:rPr>
      </w:pPr>
    </w:p>
    <w:p w:rsidR="00FE3654" w:rsidRPr="00ED783C" w:rsidRDefault="00FE3654" w:rsidP="004B20DC">
      <w:pPr>
        <w:pStyle w:val="ListParagraph"/>
        <w:widowControl w:val="0"/>
        <w:numPr>
          <w:ilvl w:val="0"/>
          <w:numId w:val="38"/>
        </w:numPr>
        <w:spacing w:after="200"/>
        <w:contextualSpacing/>
        <w:jc w:val="both"/>
        <w:rPr>
          <w:rFonts w:cs="Arial"/>
          <w:snapToGrid w:val="0"/>
          <w:color w:val="000000" w:themeColor="text1"/>
          <w:sz w:val="20"/>
        </w:rPr>
      </w:pPr>
      <w:r w:rsidRPr="00ED783C">
        <w:rPr>
          <w:rFonts w:cs="Arial"/>
          <w:snapToGrid w:val="0"/>
          <w:color w:val="000000" w:themeColor="text1"/>
          <w:sz w:val="20"/>
        </w:rPr>
        <w:t>any income of a trust or welfare institution or non-profit organization from donations, voluntary contributions, subscriptions, house property, investments in the securities of the Federal Government and so much of the income chargeable under the head "income from business" as is expended in Pakistan for the purposes of carrying out welfare activities:</w:t>
      </w:r>
    </w:p>
    <w:p w:rsidR="00FE3654" w:rsidRDefault="00FE3654" w:rsidP="00200BDA">
      <w:pPr>
        <w:widowControl w:val="0"/>
        <w:ind w:left="1641"/>
        <w:jc w:val="both"/>
        <w:rPr>
          <w:rFonts w:cs="Arial"/>
          <w:snapToGrid w:val="0"/>
          <w:color w:val="000000" w:themeColor="text1"/>
          <w:sz w:val="20"/>
        </w:rPr>
      </w:pPr>
      <w:r w:rsidRPr="00ED783C">
        <w:rPr>
          <w:rFonts w:cs="Arial"/>
          <w:snapToGrid w:val="0"/>
          <w:color w:val="000000" w:themeColor="text1"/>
          <w:sz w:val="20"/>
        </w:rPr>
        <w:t>Provided that in the case of income under the head "income from business", the exemption in respect of</w:t>
      </w:r>
      <w:r w:rsidRPr="00A7684E">
        <w:rPr>
          <w:rFonts w:cs="Arial"/>
          <w:snapToGrid w:val="0"/>
          <w:color w:val="000000" w:themeColor="text1"/>
          <w:sz w:val="22"/>
          <w:szCs w:val="22"/>
        </w:rPr>
        <w:t xml:space="preserve"> </w:t>
      </w:r>
      <w:r w:rsidRPr="00ED783C">
        <w:rPr>
          <w:rFonts w:cs="Arial"/>
          <w:snapToGrid w:val="0"/>
          <w:color w:val="000000" w:themeColor="text1"/>
          <w:sz w:val="20"/>
        </w:rPr>
        <w:t>income under the said head shall not exceed an amount which bears to</w:t>
      </w:r>
      <w:r w:rsidRPr="00A7684E">
        <w:rPr>
          <w:rFonts w:cs="Arial"/>
          <w:snapToGrid w:val="0"/>
          <w:color w:val="000000" w:themeColor="text1"/>
          <w:sz w:val="22"/>
          <w:szCs w:val="22"/>
        </w:rPr>
        <w:t xml:space="preserve"> </w:t>
      </w:r>
      <w:r w:rsidRPr="00ED783C">
        <w:rPr>
          <w:rFonts w:cs="Arial"/>
          <w:snapToGrid w:val="0"/>
          <w:color w:val="000000" w:themeColor="text1"/>
          <w:sz w:val="20"/>
        </w:rPr>
        <w:t>the</w:t>
      </w:r>
      <w:r w:rsidRPr="00A7684E">
        <w:rPr>
          <w:rFonts w:cs="Arial"/>
          <w:snapToGrid w:val="0"/>
          <w:color w:val="000000" w:themeColor="text1"/>
          <w:sz w:val="22"/>
          <w:szCs w:val="22"/>
        </w:rPr>
        <w:t xml:space="preserve"> </w:t>
      </w:r>
      <w:r w:rsidRPr="00ED783C">
        <w:rPr>
          <w:rFonts w:cs="Arial"/>
          <w:snapToGrid w:val="0"/>
          <w:color w:val="000000" w:themeColor="text1"/>
          <w:sz w:val="20"/>
        </w:rPr>
        <w:t xml:space="preserve">income, under the said head, the same proportion as the said </w:t>
      </w:r>
      <w:r w:rsidRPr="00ED783C">
        <w:rPr>
          <w:rFonts w:cs="Arial"/>
          <w:snapToGrid w:val="0"/>
          <w:color w:val="000000" w:themeColor="text1"/>
          <w:sz w:val="20"/>
        </w:rPr>
        <w:lastRenderedPageBreak/>
        <w:t>amount bears to the aggregate of the incomes from the aforesaid sources of income.</w:t>
      </w:r>
    </w:p>
    <w:p w:rsidR="00ED783C" w:rsidRPr="00ED783C" w:rsidRDefault="00ED783C" w:rsidP="00200BDA">
      <w:pPr>
        <w:widowControl w:val="0"/>
        <w:ind w:left="1641"/>
        <w:jc w:val="both"/>
        <w:rPr>
          <w:rFonts w:cs="Arial"/>
          <w:snapToGrid w:val="0"/>
          <w:color w:val="000000" w:themeColor="text1"/>
          <w:sz w:val="20"/>
        </w:rPr>
      </w:pPr>
    </w:p>
    <w:p w:rsidR="00FE3654" w:rsidRPr="00ED783C" w:rsidRDefault="00FE3654" w:rsidP="004B20DC">
      <w:pPr>
        <w:pStyle w:val="ListParagraph"/>
        <w:widowControl w:val="0"/>
        <w:numPr>
          <w:ilvl w:val="0"/>
          <w:numId w:val="37"/>
        </w:numPr>
        <w:spacing w:after="200"/>
        <w:contextualSpacing/>
        <w:jc w:val="both"/>
        <w:rPr>
          <w:rFonts w:cs="Arial"/>
          <w:snapToGrid w:val="0"/>
          <w:color w:val="000000" w:themeColor="text1"/>
          <w:sz w:val="20"/>
        </w:rPr>
      </w:pPr>
      <w:r w:rsidRPr="00ED783C">
        <w:rPr>
          <w:rFonts w:cs="Arial"/>
          <w:snapToGrid w:val="0"/>
          <w:color w:val="000000" w:themeColor="text1"/>
          <w:sz w:val="20"/>
        </w:rPr>
        <w:t>a trust administered under a scheme approved by the Federal Government in this behalf and established in Pakistan exclusively for the purposes of carrying out such activities as are for the benefit and welfare of</w:t>
      </w:r>
      <w:r w:rsidRPr="00ED783C">
        <w:rPr>
          <w:rFonts w:cs="Arial"/>
          <w:color w:val="000000" w:themeColor="text1"/>
          <w:sz w:val="20"/>
        </w:rPr>
        <w:t>—</w:t>
      </w:r>
    </w:p>
    <w:p w:rsidR="009671B1" w:rsidRPr="00ED783C" w:rsidRDefault="009671B1" w:rsidP="009671B1">
      <w:pPr>
        <w:pStyle w:val="ListParagraph"/>
        <w:widowControl w:val="0"/>
        <w:spacing w:after="200"/>
        <w:contextualSpacing/>
        <w:jc w:val="both"/>
        <w:rPr>
          <w:rFonts w:cs="Arial"/>
          <w:snapToGrid w:val="0"/>
          <w:color w:val="000000" w:themeColor="text1"/>
          <w:sz w:val="20"/>
        </w:rPr>
      </w:pPr>
    </w:p>
    <w:p w:rsidR="00200BDA" w:rsidRPr="00ED783C" w:rsidRDefault="00FE3654" w:rsidP="004B20DC">
      <w:pPr>
        <w:pStyle w:val="ListParagraph"/>
        <w:widowControl w:val="0"/>
        <w:numPr>
          <w:ilvl w:val="0"/>
          <w:numId w:val="39"/>
        </w:numPr>
        <w:spacing w:after="200"/>
        <w:contextualSpacing/>
        <w:jc w:val="both"/>
        <w:rPr>
          <w:rFonts w:cs="Arial"/>
          <w:snapToGrid w:val="0"/>
          <w:color w:val="000000" w:themeColor="text1"/>
          <w:sz w:val="20"/>
        </w:rPr>
      </w:pPr>
      <w:r w:rsidRPr="00ED783C">
        <w:rPr>
          <w:rFonts w:cs="Arial"/>
          <w:snapToGrid w:val="0"/>
          <w:color w:val="000000" w:themeColor="text1"/>
          <w:sz w:val="20"/>
        </w:rPr>
        <w:t>ex-servicemen and serving personnel, including civilian employees of the Armed Forces, and their dependents; or</w:t>
      </w:r>
    </w:p>
    <w:p w:rsidR="00FE3654" w:rsidRPr="00ED783C" w:rsidRDefault="00FE3654" w:rsidP="004B20DC">
      <w:pPr>
        <w:pStyle w:val="ListParagraph"/>
        <w:widowControl w:val="0"/>
        <w:numPr>
          <w:ilvl w:val="0"/>
          <w:numId w:val="39"/>
        </w:numPr>
        <w:spacing w:after="200"/>
        <w:contextualSpacing/>
        <w:jc w:val="both"/>
        <w:rPr>
          <w:rFonts w:cs="Arial"/>
          <w:snapToGrid w:val="0"/>
          <w:color w:val="000000" w:themeColor="text1"/>
          <w:sz w:val="20"/>
        </w:rPr>
      </w:pPr>
      <w:r w:rsidRPr="00ED783C">
        <w:rPr>
          <w:rFonts w:cs="Arial"/>
          <w:snapToGrid w:val="0"/>
          <w:color w:val="000000" w:themeColor="text1"/>
          <w:sz w:val="20"/>
        </w:rPr>
        <w:t>ex-employees and serving personnel of the Federal Government or a Provincial Government and their dependents, where the said trust is administered by a committee nominated by the Federal Government or, as the case may be, a Provincial Government;</w:t>
      </w:r>
    </w:p>
    <w:p w:rsidR="00200BDA" w:rsidRPr="00ED783C" w:rsidRDefault="00200BDA" w:rsidP="00200BDA">
      <w:pPr>
        <w:pStyle w:val="ListParagraph"/>
        <w:widowControl w:val="0"/>
        <w:spacing w:after="200"/>
        <w:ind w:left="1627"/>
        <w:contextualSpacing/>
        <w:jc w:val="both"/>
        <w:rPr>
          <w:rFonts w:cs="Arial"/>
          <w:snapToGrid w:val="0"/>
          <w:color w:val="000000" w:themeColor="text1"/>
          <w:sz w:val="20"/>
        </w:rPr>
      </w:pPr>
    </w:p>
    <w:p w:rsidR="00200BDA" w:rsidRPr="00ED783C" w:rsidRDefault="00FE3654" w:rsidP="004B20DC">
      <w:pPr>
        <w:pStyle w:val="ListParagraph"/>
        <w:widowControl w:val="0"/>
        <w:numPr>
          <w:ilvl w:val="0"/>
          <w:numId w:val="37"/>
        </w:numPr>
        <w:spacing w:after="200"/>
        <w:contextualSpacing/>
        <w:jc w:val="both"/>
        <w:rPr>
          <w:rFonts w:cs="Arial"/>
          <w:snapToGrid w:val="0"/>
          <w:color w:val="00B0F0"/>
          <w:sz w:val="20"/>
        </w:rPr>
      </w:pPr>
      <w:r w:rsidRPr="00ED783C">
        <w:rPr>
          <w:rFonts w:cs="Arial"/>
          <w:snapToGrid w:val="0"/>
          <w:color w:val="000000" w:themeColor="text1"/>
          <w:sz w:val="20"/>
        </w:rPr>
        <w:t>a trust or welfare institution or non-profit organization approved by Chief Commissioner for the purposes of this</w:t>
      </w:r>
      <w:r w:rsidRPr="00ED783C">
        <w:rPr>
          <w:rFonts w:cs="Arial"/>
          <w:snapToGrid w:val="0"/>
          <w:color w:val="00B0F0"/>
          <w:sz w:val="20"/>
        </w:rPr>
        <w:t xml:space="preserve"> </w:t>
      </w:r>
      <w:r w:rsidR="00EC72D4" w:rsidRPr="00B70268">
        <w:rPr>
          <w:rStyle w:val="FootnoteReference"/>
          <w:rFonts w:cs="Arial"/>
          <w:snapToGrid w:val="0"/>
          <w:color w:val="000000" w:themeColor="text1"/>
          <w:sz w:val="20"/>
        </w:rPr>
        <w:footnoteReference w:id="525"/>
      </w:r>
      <w:r w:rsidR="00EC72D4" w:rsidRPr="00B70268">
        <w:rPr>
          <w:rFonts w:cs="Arial"/>
          <w:snapToGrid w:val="0"/>
          <w:color w:val="000000" w:themeColor="text1"/>
          <w:sz w:val="20"/>
        </w:rPr>
        <w:t>[  ]</w:t>
      </w:r>
      <w:r w:rsidR="00A7684E" w:rsidRPr="00ED783C">
        <w:rPr>
          <w:rFonts w:cs="Arial"/>
          <w:snapToGrid w:val="0"/>
          <w:color w:val="984806" w:themeColor="accent6" w:themeShade="80"/>
          <w:sz w:val="20"/>
        </w:rPr>
        <w:t xml:space="preserve"> </w:t>
      </w:r>
      <w:r w:rsidRPr="00ED783C">
        <w:rPr>
          <w:rFonts w:cs="Arial"/>
          <w:snapToGrid w:val="0"/>
          <w:color w:val="000000" w:themeColor="text1"/>
          <w:sz w:val="20"/>
        </w:rPr>
        <w:t>clause;</w:t>
      </w:r>
    </w:p>
    <w:p w:rsidR="00200BDA" w:rsidRDefault="00200BDA" w:rsidP="00200BDA">
      <w:pPr>
        <w:pStyle w:val="ListParagraph"/>
        <w:widowControl w:val="0"/>
        <w:spacing w:after="200"/>
        <w:contextualSpacing/>
        <w:jc w:val="both"/>
        <w:rPr>
          <w:rFonts w:cs="Arial"/>
          <w:snapToGrid w:val="0"/>
          <w:color w:val="00B0F0"/>
          <w:sz w:val="22"/>
          <w:szCs w:val="22"/>
        </w:rPr>
      </w:pPr>
    </w:p>
    <w:p w:rsidR="00200BDA" w:rsidRPr="00ED783C" w:rsidRDefault="00FE3654" w:rsidP="004B20DC">
      <w:pPr>
        <w:pStyle w:val="ListParagraph"/>
        <w:widowControl w:val="0"/>
        <w:numPr>
          <w:ilvl w:val="0"/>
          <w:numId w:val="37"/>
        </w:numPr>
        <w:spacing w:after="200"/>
        <w:contextualSpacing/>
        <w:jc w:val="both"/>
        <w:rPr>
          <w:rFonts w:cs="Arial"/>
          <w:snapToGrid w:val="0"/>
          <w:color w:val="000000" w:themeColor="text1"/>
          <w:sz w:val="20"/>
        </w:rPr>
      </w:pPr>
      <w:r w:rsidRPr="00ED783C">
        <w:rPr>
          <w:rFonts w:cs="Arial"/>
          <w:snapToGrid w:val="0"/>
          <w:color w:val="000000" w:themeColor="text1"/>
          <w:sz w:val="20"/>
        </w:rPr>
        <w:t>income of a university or other educational institution being run by a non-profit organization existing solely for educational purposes and not for purposes of profit;</w:t>
      </w:r>
      <w:r w:rsidRPr="00ED783C">
        <w:rPr>
          <w:rFonts w:cs="Arial"/>
          <w:snapToGrid w:val="0"/>
          <w:color w:val="000000" w:themeColor="text1"/>
          <w:sz w:val="20"/>
        </w:rPr>
        <w:tab/>
      </w:r>
    </w:p>
    <w:p w:rsidR="00200BDA" w:rsidRPr="00ED783C" w:rsidRDefault="00200BDA" w:rsidP="00200BDA">
      <w:pPr>
        <w:pStyle w:val="ListParagraph"/>
        <w:rPr>
          <w:rFonts w:cs="Arial"/>
          <w:snapToGrid w:val="0"/>
          <w:color w:val="00B0F0"/>
          <w:sz w:val="20"/>
        </w:rPr>
      </w:pPr>
    </w:p>
    <w:p w:rsidR="00FE3654" w:rsidRPr="00ED783C" w:rsidRDefault="00FE3654" w:rsidP="004B20DC">
      <w:pPr>
        <w:pStyle w:val="ListParagraph"/>
        <w:widowControl w:val="0"/>
        <w:numPr>
          <w:ilvl w:val="0"/>
          <w:numId w:val="37"/>
        </w:numPr>
        <w:spacing w:after="200"/>
        <w:contextualSpacing/>
        <w:jc w:val="both"/>
        <w:rPr>
          <w:rFonts w:cs="Arial"/>
          <w:snapToGrid w:val="0"/>
          <w:color w:val="000000" w:themeColor="text1"/>
          <w:sz w:val="20"/>
        </w:rPr>
      </w:pPr>
      <w:r w:rsidRPr="00ED783C">
        <w:rPr>
          <w:rFonts w:cs="Arial"/>
          <w:snapToGrid w:val="0"/>
          <w:color w:val="000000" w:themeColor="text1"/>
          <w:sz w:val="20"/>
        </w:rPr>
        <w:t>any income which is derived from investments in securities of the Federal Government</w:t>
      </w:r>
      <w:r w:rsidRPr="00ED783C">
        <w:rPr>
          <w:rFonts w:cs="Arial"/>
          <w:b/>
          <w:snapToGrid w:val="0"/>
          <w:color w:val="000000" w:themeColor="text1"/>
          <w:sz w:val="20"/>
        </w:rPr>
        <w:t xml:space="preserve">, </w:t>
      </w:r>
      <w:r w:rsidRPr="00ED783C">
        <w:rPr>
          <w:rFonts w:cs="Arial"/>
          <w:snapToGrid w:val="0"/>
          <w:color w:val="000000" w:themeColor="text1"/>
          <w:sz w:val="20"/>
        </w:rPr>
        <w:t>profit on de</w:t>
      </w:r>
      <w:r w:rsidR="00200BDA" w:rsidRPr="00ED783C">
        <w:rPr>
          <w:rFonts w:cs="Arial"/>
          <w:snapToGrid w:val="0"/>
          <w:color w:val="000000" w:themeColor="text1"/>
          <w:sz w:val="20"/>
        </w:rPr>
        <w:t xml:space="preserve">bt from scheduled banks, grant </w:t>
      </w:r>
      <w:r w:rsidRPr="00ED783C">
        <w:rPr>
          <w:rFonts w:cs="Arial"/>
          <w:snapToGrid w:val="0"/>
          <w:color w:val="000000" w:themeColor="text1"/>
          <w:sz w:val="20"/>
        </w:rPr>
        <w:t>received from Federal Government or Provincial Government or District Governments, foreign grants and house property held under trust or other legal obligations wholly, or in part only, for religious or charitable purposes and is actually applied or finally set apart for application thereto:</w:t>
      </w:r>
    </w:p>
    <w:p w:rsidR="00FE3654" w:rsidRPr="00ED783C" w:rsidRDefault="00FE3654" w:rsidP="00ED783C">
      <w:pPr>
        <w:widowControl w:val="0"/>
        <w:ind w:left="1094" w:firstLine="436"/>
        <w:jc w:val="both"/>
        <w:rPr>
          <w:rFonts w:cs="Arial"/>
          <w:snapToGrid w:val="0"/>
          <w:color w:val="000000" w:themeColor="text1"/>
          <w:sz w:val="20"/>
        </w:rPr>
      </w:pPr>
      <w:r w:rsidRPr="00ED783C">
        <w:rPr>
          <w:rFonts w:cs="Arial"/>
          <w:snapToGrid w:val="0"/>
          <w:color w:val="000000" w:themeColor="text1"/>
          <w:sz w:val="20"/>
        </w:rPr>
        <w:t>Provided that nothing in this clause shall apply to so much of the income as is not expended within Pakistan:</w:t>
      </w:r>
    </w:p>
    <w:p w:rsidR="00200BDA" w:rsidRPr="00ED783C" w:rsidRDefault="00200BDA" w:rsidP="00200BDA">
      <w:pPr>
        <w:widowControl w:val="0"/>
        <w:jc w:val="both"/>
        <w:rPr>
          <w:rFonts w:cs="Arial"/>
          <w:snapToGrid w:val="0"/>
          <w:color w:val="000000" w:themeColor="text1"/>
          <w:sz w:val="20"/>
        </w:rPr>
      </w:pPr>
    </w:p>
    <w:p w:rsidR="00FE3654" w:rsidRPr="00ED783C" w:rsidRDefault="00FE3654" w:rsidP="00ED783C">
      <w:pPr>
        <w:widowControl w:val="0"/>
        <w:ind w:left="1094" w:firstLine="436"/>
        <w:jc w:val="both"/>
        <w:rPr>
          <w:rFonts w:cs="Arial"/>
          <w:snapToGrid w:val="0"/>
          <w:color w:val="000000" w:themeColor="text1"/>
          <w:sz w:val="20"/>
        </w:rPr>
      </w:pPr>
      <w:r w:rsidRPr="00ED783C">
        <w:rPr>
          <w:rFonts w:cs="Arial"/>
          <w:snapToGrid w:val="0"/>
          <w:color w:val="000000" w:themeColor="text1"/>
          <w:sz w:val="20"/>
        </w:rPr>
        <w:t>Provided further that if any sum out of the amount so set apart is expended outside Pakistan, it shall be included in the total</w:t>
      </w:r>
      <w:r w:rsidRPr="00ED783C">
        <w:rPr>
          <w:rFonts w:cs="Arial"/>
          <w:snapToGrid w:val="0"/>
          <w:color w:val="00B0F0"/>
          <w:sz w:val="20"/>
        </w:rPr>
        <w:t xml:space="preserve"> </w:t>
      </w:r>
      <w:r w:rsidRPr="00ED783C">
        <w:rPr>
          <w:rFonts w:cs="Arial"/>
          <w:snapToGrid w:val="0"/>
          <w:color w:val="000000" w:themeColor="text1"/>
          <w:sz w:val="20"/>
        </w:rPr>
        <w:t>income of the tax year in which it is so expended or of the year in which it was set apart, whichever is the greater, and the provisions of section 122 shall not apply to any assessment made or to be made in pursuance of this proviso.</w:t>
      </w:r>
    </w:p>
    <w:p w:rsidR="00200BDA" w:rsidRPr="00ED783C" w:rsidRDefault="00200BDA" w:rsidP="00200BDA">
      <w:pPr>
        <w:widowControl w:val="0"/>
        <w:ind w:left="1094"/>
        <w:jc w:val="both"/>
        <w:rPr>
          <w:rFonts w:cs="Arial"/>
          <w:snapToGrid w:val="0"/>
          <w:color w:val="000000" w:themeColor="text1"/>
          <w:sz w:val="20"/>
        </w:rPr>
      </w:pPr>
    </w:p>
    <w:p w:rsidR="00FE3654" w:rsidRPr="00ED783C" w:rsidRDefault="00FE3654" w:rsidP="00200BDA">
      <w:pPr>
        <w:widowControl w:val="0"/>
        <w:ind w:left="1094"/>
        <w:jc w:val="both"/>
        <w:rPr>
          <w:rFonts w:cs="Arial"/>
          <w:snapToGrid w:val="0"/>
          <w:color w:val="000000" w:themeColor="text1"/>
          <w:sz w:val="20"/>
        </w:rPr>
      </w:pPr>
      <w:r w:rsidRPr="00ED783C">
        <w:rPr>
          <w:rFonts w:cs="Arial"/>
          <w:i/>
          <w:snapToGrid w:val="0"/>
          <w:color w:val="000000" w:themeColor="text1"/>
          <w:sz w:val="20"/>
        </w:rPr>
        <w:t>Explanation</w:t>
      </w:r>
      <w:r w:rsidRPr="00ED783C">
        <w:rPr>
          <w:rFonts w:cs="Arial"/>
          <w:snapToGrid w:val="0"/>
          <w:color w:val="000000" w:themeColor="text1"/>
          <w:sz w:val="20"/>
        </w:rPr>
        <w:t>.</w:t>
      </w:r>
      <w:r w:rsidRPr="00ED783C">
        <w:rPr>
          <w:rFonts w:cs="Arial"/>
          <w:color w:val="000000" w:themeColor="text1"/>
          <w:sz w:val="20"/>
        </w:rPr>
        <w:t>—</w:t>
      </w:r>
      <w:r w:rsidRPr="00ED783C">
        <w:rPr>
          <w:rFonts w:cs="Arial"/>
          <w:snapToGrid w:val="0"/>
          <w:color w:val="000000" w:themeColor="text1"/>
          <w:sz w:val="20"/>
        </w:rPr>
        <w:t xml:space="preserve"> Notwithstanding anything contained in the MussalmanWakf Validating Act, 1913 (VI of 1913), or any other law for the time being in force or in the instrument relating to the trust or </w:t>
      </w:r>
      <w:r w:rsidRPr="00ED783C">
        <w:rPr>
          <w:rFonts w:cs="Arial"/>
          <w:snapToGrid w:val="0"/>
          <w:color w:val="000000" w:themeColor="text1"/>
          <w:sz w:val="20"/>
        </w:rPr>
        <w:lastRenderedPageBreak/>
        <w:t>the institution, if any amount is set apart, expended or disbursed for the maintenance and support wholly or partially of the family, children or descendents of the author of the trust or the donor or, the maker of the institution or for his own maintenance and support during his life time or payment to himself or his family, children, relations or descendents or for the payment of his or their debts out of the income from house property dedicated, or if any expenditure is made other than for charitable purposes, in each case such expenditure, provision, setting apart, payment or disbursement shall not be deemed, for the purposes of this clause, to be for religious or charitable purposes; or</w:t>
      </w:r>
    </w:p>
    <w:p w:rsidR="00200BDA" w:rsidRPr="00ED783C" w:rsidRDefault="00200BDA" w:rsidP="00200BDA">
      <w:pPr>
        <w:widowControl w:val="0"/>
        <w:ind w:left="1094"/>
        <w:jc w:val="both"/>
        <w:rPr>
          <w:rFonts w:cs="Arial"/>
          <w:snapToGrid w:val="0"/>
          <w:color w:val="000000" w:themeColor="text1"/>
          <w:sz w:val="20"/>
          <w:u w:val="single"/>
        </w:rPr>
      </w:pPr>
    </w:p>
    <w:p w:rsidR="00FE3654" w:rsidRPr="00ED783C" w:rsidRDefault="00FE3654" w:rsidP="004B20DC">
      <w:pPr>
        <w:pStyle w:val="ListParagraph"/>
        <w:widowControl w:val="0"/>
        <w:numPr>
          <w:ilvl w:val="0"/>
          <w:numId w:val="37"/>
        </w:numPr>
        <w:contextualSpacing/>
        <w:jc w:val="both"/>
        <w:rPr>
          <w:rFonts w:cs="Arial"/>
          <w:snapToGrid w:val="0"/>
          <w:color w:val="000000" w:themeColor="text1"/>
          <w:sz w:val="20"/>
        </w:rPr>
      </w:pPr>
      <w:r w:rsidRPr="00ED783C">
        <w:rPr>
          <w:rFonts w:cs="Arial"/>
          <w:snapToGrid w:val="0"/>
          <w:color w:val="000000" w:themeColor="text1"/>
          <w:sz w:val="20"/>
        </w:rPr>
        <w:t xml:space="preserve">any income of a religious or charitable institution derived from voluntary </w:t>
      </w:r>
      <w:r w:rsidRPr="00ED783C">
        <w:rPr>
          <w:rFonts w:cs="Arial"/>
          <w:color w:val="000000" w:themeColor="text1"/>
          <w:sz w:val="20"/>
        </w:rPr>
        <w:t>contributions applicable solely to religious or charitable purposes of the institution:</w:t>
      </w:r>
    </w:p>
    <w:p w:rsidR="00BF3C05" w:rsidRPr="00ED783C" w:rsidRDefault="00BF3C05" w:rsidP="00BF3C05">
      <w:pPr>
        <w:pStyle w:val="BodyText3"/>
        <w:rPr>
          <w:color w:val="000000" w:themeColor="text1"/>
          <w:sz w:val="20"/>
          <w:lang w:val="en-AU"/>
        </w:rPr>
      </w:pPr>
    </w:p>
    <w:p w:rsidR="00FE3654" w:rsidRPr="00ED783C" w:rsidRDefault="00FE3654" w:rsidP="00BF3C05">
      <w:pPr>
        <w:pStyle w:val="BodyText3"/>
        <w:ind w:left="1267"/>
        <w:rPr>
          <w:rFonts w:ascii="Arial" w:hAnsi="Arial" w:cs="Arial"/>
          <w:b/>
          <w:color w:val="000000" w:themeColor="text1"/>
          <w:sz w:val="20"/>
          <w:lang w:val="en-AU"/>
        </w:rPr>
      </w:pPr>
      <w:r w:rsidRPr="00ED783C">
        <w:rPr>
          <w:rFonts w:ascii="Arial" w:hAnsi="Arial" w:cs="Arial"/>
          <w:color w:val="000000" w:themeColor="text1"/>
          <w:sz w:val="20"/>
          <w:lang w:val="en-AU"/>
        </w:rPr>
        <w:t>Provided that nothing contained in this clause shall apply to the income of a private religious trust whic</w:t>
      </w:r>
      <w:r w:rsidR="007C33C4" w:rsidRPr="00ED783C">
        <w:rPr>
          <w:rFonts w:ascii="Arial" w:hAnsi="Arial" w:cs="Arial"/>
          <w:color w:val="000000" w:themeColor="text1"/>
          <w:sz w:val="20"/>
          <w:lang w:val="en-AU"/>
        </w:rPr>
        <w:t>h does not en</w:t>
      </w:r>
      <w:r w:rsidR="00116C07" w:rsidRPr="00ED783C">
        <w:rPr>
          <w:rFonts w:ascii="Arial" w:hAnsi="Arial" w:cs="Arial"/>
          <w:color w:val="000000" w:themeColor="text1"/>
          <w:sz w:val="20"/>
          <w:lang w:val="en-AU"/>
        </w:rPr>
        <w:t>s</w:t>
      </w:r>
      <w:r w:rsidRPr="00ED783C">
        <w:rPr>
          <w:rFonts w:ascii="Arial" w:hAnsi="Arial" w:cs="Arial"/>
          <w:color w:val="000000" w:themeColor="text1"/>
          <w:sz w:val="20"/>
          <w:lang w:val="en-AU"/>
        </w:rPr>
        <w:t>ure for the benefit of the public.”</w:t>
      </w:r>
      <w:r w:rsidR="00BF3C05" w:rsidRPr="00ED783C">
        <w:rPr>
          <w:rFonts w:ascii="Arial" w:hAnsi="Arial" w:cs="Arial"/>
          <w:color w:val="000000" w:themeColor="text1"/>
          <w:sz w:val="20"/>
          <w:lang w:val="en-AU"/>
        </w:rPr>
        <w:t>;]</w:t>
      </w:r>
    </w:p>
    <w:p w:rsidR="006A3F93" w:rsidRPr="00412620" w:rsidRDefault="008E2079">
      <w:pPr>
        <w:pStyle w:val="Heading2"/>
        <w:spacing w:line="240" w:lineRule="auto"/>
        <w:rPr>
          <w:rFonts w:cs="Arial"/>
          <w:sz w:val="32"/>
          <w:szCs w:val="32"/>
        </w:rPr>
      </w:pPr>
      <w:r w:rsidRPr="00C8607E">
        <w:rPr>
          <w:rFonts w:cs="Arial"/>
          <w:color w:val="00B0F0"/>
          <w:sz w:val="22"/>
          <w:szCs w:val="22"/>
        </w:rPr>
        <w:br w:type="page"/>
      </w:r>
      <w:r w:rsidR="006A3F93" w:rsidRPr="00412620">
        <w:rPr>
          <w:rFonts w:cs="Arial"/>
          <w:sz w:val="32"/>
          <w:szCs w:val="32"/>
        </w:rPr>
        <w:lastRenderedPageBreak/>
        <w:t>CHAPTER VII</w:t>
      </w:r>
    </w:p>
    <w:p w:rsidR="006A3F93" w:rsidRPr="00412620" w:rsidRDefault="006A3F93">
      <w:pPr>
        <w:pStyle w:val="Heading2"/>
        <w:spacing w:line="240" w:lineRule="auto"/>
        <w:rPr>
          <w:rFonts w:cs="Arial"/>
          <w:sz w:val="20"/>
        </w:rPr>
      </w:pPr>
      <w:r w:rsidRPr="00412620">
        <w:rPr>
          <w:rFonts w:cs="Arial"/>
          <w:sz w:val="20"/>
        </w:rPr>
        <w:t>INTERNATIONAL</w:t>
      </w:r>
    </w:p>
    <w:p w:rsidR="006A3F93" w:rsidRPr="00412620" w:rsidRDefault="006A3F93">
      <w:pPr>
        <w:pStyle w:val="Heading3"/>
        <w:spacing w:line="240" w:lineRule="auto"/>
        <w:rPr>
          <w:rFonts w:cs="Arial"/>
          <w:caps w:val="0"/>
          <w:sz w:val="20"/>
        </w:rPr>
      </w:pPr>
    </w:p>
    <w:p w:rsidR="006A3F93" w:rsidRPr="00412620" w:rsidRDefault="006A3F93">
      <w:pPr>
        <w:pStyle w:val="Heading8"/>
        <w:rPr>
          <w:rFonts w:cs="Arial"/>
          <w:i w:val="0"/>
          <w:sz w:val="28"/>
          <w:szCs w:val="28"/>
        </w:rPr>
      </w:pPr>
      <w:r w:rsidRPr="00412620">
        <w:rPr>
          <w:rFonts w:cs="Arial"/>
          <w:i w:val="0"/>
          <w:sz w:val="28"/>
          <w:szCs w:val="28"/>
        </w:rPr>
        <w:t>PART I</w:t>
      </w:r>
    </w:p>
    <w:p w:rsidR="006A3F93" w:rsidRPr="00412620" w:rsidRDefault="006A3F93">
      <w:pPr>
        <w:keepNext/>
        <w:jc w:val="center"/>
        <w:rPr>
          <w:rFonts w:cs="Arial"/>
          <w:b/>
          <w:sz w:val="20"/>
        </w:rPr>
      </w:pPr>
      <w:r w:rsidRPr="00412620">
        <w:rPr>
          <w:rFonts w:cs="Arial"/>
          <w:b/>
          <w:sz w:val="20"/>
        </w:rPr>
        <w:t>GEOGRAPHICAL SOURCE OF INCOME</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101.</w:t>
      </w:r>
      <w:r w:rsidRPr="00412620">
        <w:rPr>
          <w:rFonts w:cs="Arial"/>
          <w:b/>
          <w:sz w:val="20"/>
        </w:rPr>
        <w:tab/>
        <w:t>Geographical source of income.</w:t>
      </w:r>
      <w:r w:rsidR="00E268A3" w:rsidRPr="00412620">
        <w:rPr>
          <w:rFonts w:cs="Arial"/>
          <w:sz w:val="20"/>
        </w:rPr>
        <w:t xml:space="preserve"> —</w:t>
      </w:r>
      <w:r w:rsidRPr="00412620">
        <w:rPr>
          <w:sz w:val="20"/>
        </w:rPr>
        <w:t xml:space="preserve"> (1</w:t>
      </w:r>
      <w:r w:rsidR="00EA7A86" w:rsidRPr="00412620">
        <w:rPr>
          <w:sz w:val="20"/>
        </w:rPr>
        <w:t>) Salary</w:t>
      </w:r>
      <w:r w:rsidRPr="00412620">
        <w:rPr>
          <w:sz w:val="20"/>
        </w:rPr>
        <w:t xml:space="preserve"> shall be Pakistan-source income to the extent to which the salary </w:t>
      </w:r>
      <w:r w:rsidR="00E268A3"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is received from any employment exercised in Pakistan, wherever paid;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is paid by, or on behalf of, the Federal Government, a Provincial Government, or a </w:t>
      </w:r>
      <w:r w:rsidR="00721DEC" w:rsidRPr="00412620">
        <w:rPr>
          <w:rStyle w:val="FootnoteReference"/>
          <w:rFonts w:cs="Arial"/>
          <w:sz w:val="20"/>
        </w:rPr>
        <w:footnoteReference w:id="526"/>
      </w:r>
      <w:r w:rsidR="00721DEC" w:rsidRPr="00412620">
        <w:rPr>
          <w:rFonts w:cs="Arial"/>
          <w:sz w:val="20"/>
        </w:rPr>
        <w:t xml:space="preserve">[Local Government] </w:t>
      </w:r>
      <w:r w:rsidRPr="00412620">
        <w:rPr>
          <w:rFonts w:cs="Arial"/>
          <w:sz w:val="20"/>
        </w:rPr>
        <w:t>in Pakistan, wherever the employment is exercised.</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(2)</w:t>
      </w:r>
      <w:r w:rsidRPr="00412620">
        <w:rPr>
          <w:rFonts w:cs="Arial"/>
          <w:sz w:val="20"/>
        </w:rPr>
        <w:tab/>
        <w:t xml:space="preserve">Business income of a resident person shall be Pakistan-source income to the extent to which the income is derived from any business carried on in Pakistan. </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(3)</w:t>
      </w:r>
      <w:r w:rsidRPr="00412620">
        <w:rPr>
          <w:rFonts w:cs="Arial"/>
          <w:sz w:val="20"/>
        </w:rPr>
        <w:tab/>
        <w:t>Business income of a non-resident person shall be Pakistan-source income to the extent to which it is directly or indirectly attributable to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a permanent establishment of the non-resident person in Pakistan;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sales in Pakistan of goods  merchandise of the same or similar kind as those sold by the person through a permanent establishment in Pakistan; </w:t>
      </w:r>
      <w:r w:rsidRPr="00412620">
        <w:rPr>
          <w:rStyle w:val="FootnoteReference"/>
          <w:rFonts w:cs="Arial"/>
          <w:sz w:val="20"/>
        </w:rPr>
        <w:footnoteReference w:id="527"/>
      </w:r>
      <w:r w:rsidRPr="00412620">
        <w:rPr>
          <w:rFonts w:cs="Arial"/>
          <w:sz w:val="20"/>
        </w:rPr>
        <w: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other business activities carried on in Pakistan of the same or similar kind as those effected by the non-resident through a permanent establishment in Pakistan </w:t>
      </w:r>
      <w:r w:rsidRPr="00412620">
        <w:rPr>
          <w:rStyle w:val="FootnoteReference"/>
          <w:rFonts w:cs="Arial"/>
          <w:sz w:val="20"/>
        </w:rPr>
        <w:footnoteReference w:id="528"/>
      </w:r>
      <w:r w:rsidRPr="00412620">
        <w:rPr>
          <w:rFonts w:cs="Arial"/>
          <w:sz w:val="20"/>
        </w:rPr>
        <w:t>[; or]</w:t>
      </w:r>
    </w:p>
    <w:p w:rsidR="006A3F93" w:rsidRPr="00412620" w:rsidRDefault="006A3F93">
      <w:pPr>
        <w:jc w:val="both"/>
        <w:rPr>
          <w:rFonts w:cs="Arial"/>
          <w:sz w:val="20"/>
        </w:rPr>
      </w:pPr>
    </w:p>
    <w:p w:rsidR="006A3F93" w:rsidRPr="00412620" w:rsidRDefault="006A3F93">
      <w:pPr>
        <w:ind w:firstLine="990"/>
        <w:jc w:val="both"/>
        <w:rPr>
          <w:sz w:val="20"/>
        </w:rPr>
      </w:pPr>
      <w:r w:rsidRPr="00412620">
        <w:rPr>
          <w:rStyle w:val="FootnoteReference"/>
          <w:rFonts w:cs="Arial"/>
          <w:sz w:val="20"/>
        </w:rPr>
        <w:footnoteReference w:id="529"/>
      </w:r>
      <w:r w:rsidRPr="00412620">
        <w:rPr>
          <w:sz w:val="20"/>
        </w:rPr>
        <w:t xml:space="preserve">[(d) </w:t>
      </w:r>
      <w:r w:rsidRPr="00412620">
        <w:rPr>
          <w:sz w:val="20"/>
        </w:rPr>
        <w:tab/>
        <w:t>any business connection in Pakistan.]</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530"/>
      </w:r>
      <w:r w:rsidRPr="00412620">
        <w:rPr>
          <w:rFonts w:cs="Arial"/>
          <w:sz w:val="20"/>
        </w:rPr>
        <w:t>[(4)</w:t>
      </w:r>
      <w:r w:rsidRPr="00412620">
        <w:rPr>
          <w:rFonts w:cs="Arial"/>
          <w:sz w:val="20"/>
        </w:rPr>
        <w:tab/>
        <w:t xml:space="preserve">Where the business of a non-resident person comprises the rendering of independent services (including professional services and the services of </w:t>
      </w:r>
      <w:r w:rsidRPr="00412620">
        <w:rPr>
          <w:rFonts w:cs="Arial"/>
          <w:sz w:val="20"/>
        </w:rPr>
        <w:lastRenderedPageBreak/>
        <w:t>entertainers and sports persons), the Pakistan-source business income of the person shall include [in addition to any amounts treated as Pakistan-source income under sub-section (3)] any remuneration derived by the person where the remuneration is paid by a resident person or borne by a permanent establishment in Pakistan of a non-resident person.]</w:t>
      </w:r>
    </w:p>
    <w:p w:rsidR="006A3F93" w:rsidRPr="00412620" w:rsidRDefault="006A3F93">
      <w:pPr>
        <w:ind w:firstLine="720"/>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Any gain from the disposal of any asset or property used in deriving any business income referred to in sub-section (2), (3) or (4) shall be Pakistan-source income.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A dividend shall be Pakistan-source income if it is </w:t>
      </w:r>
      <w:r w:rsidR="003319AD" w:rsidRPr="00412620">
        <w:rPr>
          <w:rStyle w:val="FootnoteReference"/>
          <w:rFonts w:cs="Arial"/>
          <w:sz w:val="20"/>
        </w:rPr>
        <w:footnoteReference w:id="531"/>
      </w:r>
      <w:r w:rsidR="00CF5F82" w:rsidRPr="00412620">
        <w:rPr>
          <w:rFonts w:cs="Arial"/>
          <w:sz w:val="20"/>
        </w:rPr>
        <w:t>[—]</w:t>
      </w:r>
    </w:p>
    <w:p w:rsidR="006A3F93" w:rsidRPr="00412620" w:rsidRDefault="006A3F93">
      <w:pPr>
        <w:jc w:val="both"/>
        <w:rPr>
          <w:rFonts w:cs="Arial"/>
          <w:sz w:val="20"/>
        </w:rPr>
      </w:pPr>
    </w:p>
    <w:p w:rsidR="00CF5F82" w:rsidRPr="00412620" w:rsidRDefault="00CF5F82">
      <w:pPr>
        <w:jc w:val="both"/>
        <w:rPr>
          <w:rFonts w:cs="Arial"/>
          <w:sz w:val="20"/>
        </w:rPr>
      </w:pPr>
      <w:r w:rsidRPr="00412620">
        <w:rPr>
          <w:rFonts w:cs="Arial"/>
          <w:sz w:val="20"/>
        </w:rPr>
        <w:tab/>
      </w:r>
      <w:r w:rsidRPr="00412620">
        <w:rPr>
          <w:rFonts w:cs="Arial"/>
          <w:sz w:val="20"/>
        </w:rPr>
        <w:tab/>
      </w:r>
      <w:r w:rsidR="003319AD" w:rsidRPr="00412620">
        <w:rPr>
          <w:rStyle w:val="FootnoteReference"/>
          <w:rFonts w:cs="Arial"/>
          <w:sz w:val="20"/>
        </w:rPr>
        <w:footnoteReference w:id="532"/>
      </w:r>
      <w:r w:rsidRPr="00412620">
        <w:rPr>
          <w:rFonts w:cs="Arial"/>
          <w:sz w:val="20"/>
        </w:rPr>
        <w:t xml:space="preserve">[( a) </w:t>
      </w:r>
      <w:r w:rsidRPr="00412620">
        <w:rPr>
          <w:rFonts w:cs="Arial"/>
          <w:sz w:val="20"/>
        </w:rPr>
        <w:tab/>
        <w:t>paid by a resident company; or]</w:t>
      </w:r>
    </w:p>
    <w:p w:rsidR="00CF5F82" w:rsidRPr="00412620" w:rsidRDefault="00CF5F82">
      <w:pPr>
        <w:jc w:val="both"/>
        <w:rPr>
          <w:rFonts w:cs="Arial"/>
          <w:sz w:val="20"/>
        </w:rPr>
      </w:pPr>
    </w:p>
    <w:p w:rsidR="00CF5F82" w:rsidRPr="00412620" w:rsidRDefault="003319AD" w:rsidP="00CF5F82">
      <w:pPr>
        <w:ind w:left="1641" w:hanging="546"/>
        <w:jc w:val="both"/>
        <w:rPr>
          <w:rFonts w:cs="Arial"/>
          <w:sz w:val="20"/>
        </w:rPr>
      </w:pPr>
      <w:r w:rsidRPr="00412620">
        <w:rPr>
          <w:rStyle w:val="FootnoteReference"/>
          <w:rFonts w:cs="Arial"/>
          <w:sz w:val="20"/>
        </w:rPr>
        <w:footnoteReference w:id="533"/>
      </w:r>
      <w:r w:rsidR="00CF5F82" w:rsidRPr="00412620">
        <w:rPr>
          <w:rFonts w:cs="Arial"/>
          <w:sz w:val="20"/>
        </w:rPr>
        <w:t xml:space="preserve">[(b) </w:t>
      </w:r>
      <w:r w:rsidR="00CF5F82" w:rsidRPr="00412620">
        <w:rPr>
          <w:rFonts w:cs="Arial"/>
          <w:sz w:val="20"/>
        </w:rPr>
        <w:tab/>
        <w:t>dividend as per provisions of sub-clause (f) of clause (19) of section 2.]</w:t>
      </w:r>
    </w:p>
    <w:p w:rsidR="00CF5F82" w:rsidRPr="00412620" w:rsidRDefault="00CF5F82">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 xml:space="preserve">Profit on debt shall be Pakistan-source income if it is </w:t>
      </w:r>
      <w:r w:rsidR="00CF5F82"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paid by a resident person, except where the profit is payable in respect of any debt used for the purposes of a business carried on by the resident outside Pakistan through a permanent establishment;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borne by a permanent establishment in Pakistan of a non-resident person.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 xml:space="preserve">A royalty shall be Pakistan-source income if it is </w:t>
      </w:r>
      <w:r w:rsidR="00E268A3"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paid by a resident person, except where the royalty is payable in respect of any right, property, or information used, or services utilised for the purposes of a business carried on by the resident outside Pakistan through a permanent establishment; or</w:t>
      </w:r>
    </w:p>
    <w:p w:rsidR="006A3F93" w:rsidRPr="00412620" w:rsidRDefault="006A3F93">
      <w:pPr>
        <w:pStyle w:val="BodyTextIndent"/>
        <w:jc w:val="both"/>
        <w:rPr>
          <w:rFonts w:cs="Arial"/>
          <w:sz w:val="20"/>
        </w:rPr>
      </w:pPr>
    </w:p>
    <w:p w:rsidR="006A3F93" w:rsidRPr="00412620" w:rsidRDefault="006A3F93">
      <w:pPr>
        <w:ind w:left="1620" w:hanging="540"/>
        <w:jc w:val="both"/>
        <w:rPr>
          <w:rFonts w:cs="Arial"/>
          <w:sz w:val="20"/>
        </w:rPr>
      </w:pPr>
      <w:r w:rsidRPr="00412620">
        <w:rPr>
          <w:rFonts w:cs="Arial"/>
          <w:sz w:val="20"/>
        </w:rPr>
        <w:lastRenderedPageBreak/>
        <w:t>(b)</w:t>
      </w:r>
      <w:r w:rsidRPr="00412620">
        <w:rPr>
          <w:rFonts w:cs="Arial"/>
          <w:sz w:val="20"/>
        </w:rPr>
        <w:tab/>
        <w:t>borne by a permanent establishment in Pakistan of a non-resident person.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(9)</w:t>
      </w:r>
      <w:r w:rsidRPr="00412620">
        <w:rPr>
          <w:rFonts w:cs="Arial"/>
          <w:sz w:val="20"/>
        </w:rPr>
        <w:tab/>
        <w:t xml:space="preserve">Rental income shall be Pakistan-source income if it is derived from the lease of immovable property in Pakistan whether improved or not, or from any other interest in or over immovable property, including a right to explore for, or exploit, natural resources in Pakistan. </w:t>
      </w:r>
    </w:p>
    <w:p w:rsidR="006A3F93" w:rsidRPr="00412620" w:rsidRDefault="006A3F93">
      <w:pPr>
        <w:jc w:val="both"/>
        <w:rPr>
          <w:rFonts w:cs="Arial"/>
          <w:sz w:val="16"/>
        </w:rPr>
      </w:pPr>
    </w:p>
    <w:p w:rsidR="006A3F93" w:rsidRPr="00412620" w:rsidRDefault="006A3F93">
      <w:pPr>
        <w:jc w:val="both"/>
        <w:rPr>
          <w:rFonts w:cs="Arial"/>
          <w:sz w:val="20"/>
        </w:rPr>
      </w:pPr>
      <w:r w:rsidRPr="00412620">
        <w:rPr>
          <w:rFonts w:cs="Arial"/>
          <w:sz w:val="20"/>
        </w:rPr>
        <w:tab/>
        <w:t>(10)</w:t>
      </w:r>
      <w:r w:rsidRPr="00412620">
        <w:rPr>
          <w:rFonts w:cs="Arial"/>
          <w:sz w:val="20"/>
        </w:rPr>
        <w:tab/>
        <w:t xml:space="preserve"> Any gain from the alienation of any property or right referred to in sub-section (9) or from the alienation of any share in a company the assets of which consist wholly or principally, directly or indirectly, of property or rights referred to in sub-section (9) shall be Pakistan-source income.</w:t>
      </w:r>
    </w:p>
    <w:p w:rsidR="006A3F93" w:rsidRPr="00412620" w:rsidRDefault="006A3F93">
      <w:pPr>
        <w:jc w:val="both"/>
        <w:rPr>
          <w:rFonts w:cs="Arial"/>
          <w:sz w:val="16"/>
        </w:rPr>
      </w:pPr>
    </w:p>
    <w:p w:rsidR="006A3F93" w:rsidRPr="00412620" w:rsidRDefault="006A3F93">
      <w:pPr>
        <w:jc w:val="both"/>
        <w:rPr>
          <w:rFonts w:cs="Arial"/>
          <w:sz w:val="20"/>
        </w:rPr>
      </w:pPr>
      <w:r w:rsidRPr="00412620">
        <w:rPr>
          <w:rFonts w:cs="Arial"/>
          <w:sz w:val="20"/>
        </w:rPr>
        <w:tab/>
        <w:t>(11)</w:t>
      </w:r>
      <w:r w:rsidRPr="00412620">
        <w:rPr>
          <w:rFonts w:cs="Arial"/>
          <w:sz w:val="20"/>
        </w:rPr>
        <w:tab/>
        <w:t xml:space="preserve"> A pension or annuity shall be Pakistan-source income if it is paid by a resident or borne by a permanent establishment in Pakistan of a non-resident person.</w:t>
      </w:r>
    </w:p>
    <w:p w:rsidR="006A3F93" w:rsidRPr="00412620" w:rsidRDefault="006A3F93">
      <w:pPr>
        <w:jc w:val="both"/>
        <w:rPr>
          <w:rFonts w:cs="Arial"/>
          <w:sz w:val="16"/>
        </w:rPr>
      </w:pPr>
    </w:p>
    <w:p w:rsidR="006A3F93" w:rsidRPr="00412620" w:rsidRDefault="006A3F93">
      <w:pPr>
        <w:jc w:val="both"/>
        <w:rPr>
          <w:rFonts w:cs="Arial"/>
          <w:sz w:val="20"/>
        </w:rPr>
      </w:pPr>
      <w:r w:rsidRPr="00412620">
        <w:rPr>
          <w:rFonts w:cs="Arial"/>
          <w:sz w:val="20"/>
        </w:rPr>
        <w:tab/>
        <w:t>(12)</w:t>
      </w:r>
      <w:r w:rsidRPr="00412620">
        <w:rPr>
          <w:rFonts w:cs="Arial"/>
          <w:sz w:val="20"/>
        </w:rPr>
        <w:tab/>
        <w:t xml:space="preserve"> A technical fee shall be Pakistan-source income if it is –</w:t>
      </w:r>
    </w:p>
    <w:p w:rsidR="006A3F93" w:rsidRPr="00412620" w:rsidRDefault="006A3F93">
      <w:pPr>
        <w:jc w:val="both"/>
        <w:rPr>
          <w:rFonts w:cs="Arial"/>
          <w:sz w:val="16"/>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paid by a resident person, except where the fee is payable in respect of services utilised in a business carried on by the resident outside Pakistan through a permanent establishment; or</w:t>
      </w:r>
    </w:p>
    <w:p w:rsidR="006A3F93" w:rsidRPr="00412620" w:rsidRDefault="006A3F93">
      <w:pPr>
        <w:pStyle w:val="BodyTextIndent"/>
        <w:jc w:val="both"/>
        <w:rPr>
          <w:rFonts w:cs="Arial"/>
          <w:sz w:val="16"/>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borne by a permanent establishment in Pakistan of a non-resident person.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(13)</w:t>
      </w:r>
      <w:r w:rsidRPr="00412620">
        <w:rPr>
          <w:rFonts w:cs="Arial"/>
          <w:sz w:val="20"/>
        </w:rPr>
        <w:tab/>
        <w:t xml:space="preserve"> Any gain arising on the disposal of shares in a resident company shall be Pakistan-source income.</w:t>
      </w:r>
    </w:p>
    <w:p w:rsidR="006A3F93" w:rsidRPr="00412620" w:rsidRDefault="006A3F93">
      <w:pPr>
        <w:jc w:val="both"/>
        <w:rPr>
          <w:rFonts w:cs="Arial"/>
          <w:sz w:val="20"/>
        </w:rPr>
      </w:pPr>
    </w:p>
    <w:p w:rsidR="00BC1B5E" w:rsidRPr="00412620" w:rsidRDefault="00512888" w:rsidP="00B70268">
      <w:pPr>
        <w:ind w:firstLine="547"/>
        <w:jc w:val="both"/>
        <w:rPr>
          <w:rFonts w:cs="Arial"/>
          <w:sz w:val="20"/>
        </w:rPr>
      </w:pPr>
      <w:r w:rsidRPr="00412620">
        <w:rPr>
          <w:rStyle w:val="FootnoteReference"/>
          <w:rFonts w:cs="Arial"/>
          <w:sz w:val="20"/>
        </w:rPr>
        <w:footnoteReference w:id="534"/>
      </w:r>
      <w:r w:rsidR="00090020" w:rsidRPr="00412620">
        <w:rPr>
          <w:rFonts w:cs="Arial"/>
          <w:sz w:val="20"/>
        </w:rPr>
        <w:t>[(13A).</w:t>
      </w:r>
      <w:r w:rsidRPr="00412620">
        <w:rPr>
          <w:rFonts w:cs="Arial"/>
          <w:sz w:val="20"/>
        </w:rPr>
        <w:t>Any amount paid on account of insurance or re-insurance premium by an insurance company to an overseas insurance or re-insurance company shall be deemed to be Pakistan source income.]</w:t>
      </w:r>
    </w:p>
    <w:p w:rsidR="00BC1B5E" w:rsidRPr="00412620" w:rsidRDefault="00BC1B5E">
      <w:pPr>
        <w:jc w:val="both"/>
        <w:rPr>
          <w:rFonts w:cs="Arial"/>
          <w:sz w:val="18"/>
        </w:rPr>
      </w:pPr>
    </w:p>
    <w:p w:rsidR="006A3F93" w:rsidRPr="00412620" w:rsidRDefault="006A3F93">
      <w:pPr>
        <w:jc w:val="both"/>
        <w:rPr>
          <w:rFonts w:cs="Arial"/>
          <w:sz w:val="20"/>
        </w:rPr>
      </w:pPr>
      <w:r w:rsidRPr="00412620">
        <w:rPr>
          <w:rFonts w:cs="Arial"/>
          <w:sz w:val="20"/>
        </w:rPr>
        <w:tab/>
        <w:t>(14)</w:t>
      </w:r>
      <w:r w:rsidRPr="00412620">
        <w:rPr>
          <w:rFonts w:cs="Arial"/>
          <w:sz w:val="20"/>
        </w:rPr>
        <w:tab/>
        <w:t xml:space="preserve"> Any amount not mentioned in the preceding sub-sections shall be Pakistan-source income if it is paid by a resident person or borne by a permanent establishment in Pakistan of a non-resident person. </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(15)</w:t>
      </w:r>
      <w:r w:rsidRPr="00412620">
        <w:rPr>
          <w:rFonts w:cs="Arial"/>
          <w:sz w:val="20"/>
        </w:rPr>
        <w:tab/>
        <w:t xml:space="preserve"> Where an amount may be dealt with under sub-section (3) and under another sub-section (other than sub-section </w:t>
      </w:r>
      <w:r w:rsidR="00B12C4E" w:rsidRPr="00412620">
        <w:rPr>
          <w:rFonts w:cs="Arial"/>
          <w:sz w:val="20"/>
        </w:rPr>
        <w:t>(14)), this section shall apply—</w:t>
      </w:r>
    </w:p>
    <w:p w:rsidR="006A3F93" w:rsidRPr="00412620" w:rsidRDefault="006A3F93">
      <w:pPr>
        <w:jc w:val="both"/>
        <w:rPr>
          <w:rFonts w:cs="Arial"/>
          <w:sz w:val="16"/>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by first determining whether the amount is Pakistan-source income under that other sub-section; and</w:t>
      </w:r>
    </w:p>
    <w:p w:rsidR="006A3F93" w:rsidRPr="00412620" w:rsidRDefault="006A3F93">
      <w:pPr>
        <w:jc w:val="both"/>
        <w:rPr>
          <w:rFonts w:cs="Arial"/>
          <w:sz w:val="16"/>
        </w:rPr>
      </w:pPr>
    </w:p>
    <w:p w:rsidR="006A3F93" w:rsidRPr="00412620" w:rsidRDefault="006A3F93">
      <w:pPr>
        <w:ind w:left="1620" w:hanging="540"/>
        <w:jc w:val="both"/>
        <w:rPr>
          <w:rFonts w:cs="Arial"/>
          <w:sz w:val="20"/>
        </w:rPr>
      </w:pPr>
      <w:r w:rsidRPr="00412620">
        <w:rPr>
          <w:rFonts w:cs="Arial"/>
          <w:sz w:val="20"/>
        </w:rPr>
        <w:lastRenderedPageBreak/>
        <w:t>(b)</w:t>
      </w:r>
      <w:r w:rsidRPr="00412620">
        <w:rPr>
          <w:rFonts w:cs="Arial"/>
          <w:sz w:val="20"/>
        </w:rPr>
        <w:tab/>
        <w:t xml:space="preserve">if the amount is not Pakistan-source income under that sub-section, then determining whether it is Pakistan-source income under sub-section (3). </w:t>
      </w:r>
    </w:p>
    <w:p w:rsidR="006A3F93" w:rsidRPr="00412620" w:rsidRDefault="006A3F93">
      <w:pPr>
        <w:pStyle w:val="Header"/>
        <w:tabs>
          <w:tab w:val="left" w:pos="547"/>
        </w:tabs>
        <w:jc w:val="both"/>
        <w:rPr>
          <w:rFonts w:cs="Arial"/>
          <w:sz w:val="20"/>
        </w:rPr>
      </w:pPr>
    </w:p>
    <w:p w:rsidR="006A3F93" w:rsidRPr="00412620" w:rsidRDefault="006A3F93">
      <w:pPr>
        <w:jc w:val="both"/>
        <w:rPr>
          <w:rFonts w:cs="Arial"/>
          <w:sz w:val="20"/>
        </w:rPr>
      </w:pPr>
      <w:r w:rsidRPr="00412620">
        <w:rPr>
          <w:rFonts w:cs="Arial"/>
          <w:sz w:val="20"/>
        </w:rPr>
        <w:tab/>
        <w:t>(16)</w:t>
      </w:r>
      <w:r w:rsidRPr="00412620">
        <w:rPr>
          <w:rFonts w:cs="Arial"/>
          <w:sz w:val="20"/>
        </w:rPr>
        <w:tab/>
        <w:t>An amount shall be foreign-source income to the extent to which it is not Pakistan-source income.</w:t>
      </w:r>
    </w:p>
    <w:p w:rsidR="006A3F93" w:rsidRPr="00412620" w:rsidRDefault="006A3F93">
      <w:pPr>
        <w:rPr>
          <w:rFonts w:cs="Arial"/>
          <w:sz w:val="20"/>
        </w:rPr>
      </w:pPr>
    </w:p>
    <w:p w:rsidR="006A3F93" w:rsidRPr="00412620" w:rsidRDefault="00C5669D">
      <w:pPr>
        <w:pStyle w:val="Heading8"/>
        <w:rPr>
          <w:rFonts w:cs="Arial"/>
          <w:i w:val="0"/>
          <w:sz w:val="32"/>
          <w:szCs w:val="32"/>
        </w:rPr>
      </w:pPr>
      <w:r>
        <w:rPr>
          <w:rFonts w:cs="Arial"/>
          <w:i w:val="0"/>
          <w:sz w:val="32"/>
          <w:szCs w:val="32"/>
        </w:rPr>
        <w:br w:type="page"/>
      </w:r>
      <w:r w:rsidR="006A3F93" w:rsidRPr="00412620">
        <w:rPr>
          <w:rFonts w:cs="Arial"/>
          <w:i w:val="0"/>
          <w:sz w:val="32"/>
          <w:szCs w:val="32"/>
        </w:rPr>
        <w:lastRenderedPageBreak/>
        <w:t>PART II</w:t>
      </w:r>
    </w:p>
    <w:p w:rsidR="006A3F93" w:rsidRPr="00412620" w:rsidRDefault="006A3F93">
      <w:pPr>
        <w:pStyle w:val="Heading8"/>
        <w:rPr>
          <w:rFonts w:cs="Arial"/>
          <w:i w:val="0"/>
          <w:sz w:val="20"/>
        </w:rPr>
      </w:pPr>
      <w:r w:rsidRPr="00412620">
        <w:rPr>
          <w:rFonts w:cs="Arial"/>
          <w:i w:val="0"/>
          <w:sz w:val="20"/>
        </w:rPr>
        <w:t xml:space="preserve">TAXATION OF FOREIGN-SOURCE INCOME OF RESIDENTS </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102.</w:t>
      </w:r>
      <w:r w:rsidRPr="00412620">
        <w:rPr>
          <w:rFonts w:cs="Arial"/>
          <w:b/>
          <w:sz w:val="20"/>
        </w:rPr>
        <w:tab/>
        <w:t xml:space="preserve"> Foreign source salary of resident individuals.</w:t>
      </w:r>
      <w:r w:rsidR="00660542" w:rsidRPr="00412620">
        <w:rPr>
          <w:rFonts w:cs="Arial"/>
          <w:sz w:val="20"/>
        </w:rPr>
        <w:t>—</w:t>
      </w:r>
      <w:r w:rsidRPr="00412620">
        <w:rPr>
          <w:sz w:val="20"/>
        </w:rPr>
        <w:t xml:space="preserve"> (1)  Any foreign-source salary received by a resident individual shall be exempt from tax if the individual has paid foreign income tax in respect of the salary.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 resident individual shall be treated as having paid foreign income tax in respect of foreign-source salary if tax has been withheld from the salary by the individual’s employer and paid to the revenue authority of the foreign country in which the employment was exercised.</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 xml:space="preserve">103. </w:t>
      </w:r>
      <w:r w:rsidRPr="00412620">
        <w:rPr>
          <w:rFonts w:cs="Arial"/>
          <w:b/>
          <w:sz w:val="20"/>
        </w:rPr>
        <w:tab/>
        <w:t>Foreign tax credit.</w:t>
      </w:r>
      <w:r w:rsidR="00660542" w:rsidRPr="00412620">
        <w:rPr>
          <w:rFonts w:cs="Arial"/>
          <w:sz w:val="20"/>
        </w:rPr>
        <w:t>—</w:t>
      </w:r>
      <w:r w:rsidRPr="00412620">
        <w:rPr>
          <w:sz w:val="20"/>
        </w:rPr>
        <w:t xml:space="preserve"> (1)  Where a resident taxpayer derives foreign source income chargeable to tax under this Ordinance in respect of which the taxpayer has paid foreign income tax, the taxpayer shall be allowed a tax credit of an amount equal to the lesser of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the foreign income tax paid;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the Pakistan tax payable in respect of the income.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For the purposes of clause (b) of sub-section (1), the Pakistan tax payable in respect of foreign source income derived by a taxpayer in a tax year shall be computed by applying the average rate of Pakistan income tax applicable to the taxpayer for the year against the taxpayer’s net foreign-source income for the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Where, in a tax year, a taxpayer has foreign income under more than one head of income, this section shall apply separately to each head of income.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For the purposes of sub-section (3), income derived by a taxpayer from carrying on a speculation business shall be treated as a separate head of income.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The tax credit allowed under this section shall be applied in accordance with sub-section (3) of section 4.</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Any tax credit or part of a tax credit allowed under this section for a tax year that is not credited under sub-section (3) of section 4 shall not be refunded, carried back to the preceding tax year, or carried forward to the following tax year.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A credit shall be allowed under this section only if the foreign income tax is paid within two years after the end of the tax year in which the foreign income to which the tax relates was derived by the resident taxpayer.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lastRenderedPageBreak/>
        <w:tab/>
        <w:t>(8)</w:t>
      </w:r>
      <w:r w:rsidRPr="00412620">
        <w:rPr>
          <w:rFonts w:cs="Arial"/>
          <w:sz w:val="20"/>
        </w:rPr>
        <w:tab/>
        <w:t>In this section,</w:t>
      </w:r>
      <w:r w:rsidR="006D53E5" w:rsidRPr="00412620">
        <w:rPr>
          <w:rFonts w:cs="Arial"/>
          <w:sz w:val="20"/>
        </w:rPr>
        <w:t>—</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 xml:space="preserve">“average rate of Pakistan income tax” in relation to a taxpayer for a tax year, means the </w:t>
      </w:r>
      <w:r w:rsidR="00AB6F06">
        <w:rPr>
          <w:rFonts w:cs="Arial"/>
          <w:sz w:val="20"/>
        </w:rPr>
        <w:t>percent</w:t>
      </w:r>
      <w:r w:rsidRPr="00412620">
        <w:rPr>
          <w:rFonts w:cs="Arial"/>
          <w:sz w:val="20"/>
        </w:rPr>
        <w:t>age that the Pakistani income tax (before allowance of the tax credit under this section) is of the taxable income of the taxpayer for the year;</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 xml:space="preserve">“foreign income tax” includes a foreign withholding tax; and  </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“net foreign-source income” in relation to a taxpayer for a tax year, means the total foreign-source income of the taxpayer charged to tax in the year, as reduced by any deductions allowed to the taxpayer under this Ordinance for the year that –</w:t>
      </w:r>
    </w:p>
    <w:p w:rsidR="006A3F93" w:rsidRPr="00412620" w:rsidRDefault="006A3F93">
      <w:pPr>
        <w:jc w:val="both"/>
        <w:rPr>
          <w:rFonts w:cs="Arial"/>
          <w:sz w:val="20"/>
        </w:rPr>
      </w:pPr>
    </w:p>
    <w:p w:rsidR="006A3F93" w:rsidRPr="00412620" w:rsidRDefault="006A3F93">
      <w:pPr>
        <w:pStyle w:val="BodyTextIndent3"/>
        <w:ind w:left="1620" w:hanging="540"/>
        <w:jc w:val="both"/>
        <w:rPr>
          <w:rFonts w:cs="Arial"/>
          <w:sz w:val="20"/>
        </w:rPr>
      </w:pPr>
      <w:r w:rsidRPr="00412620">
        <w:rPr>
          <w:rFonts w:cs="Arial"/>
          <w:sz w:val="20"/>
        </w:rPr>
        <w:t>(a)</w:t>
      </w:r>
      <w:r w:rsidRPr="00412620">
        <w:rPr>
          <w:rFonts w:cs="Arial"/>
          <w:sz w:val="20"/>
        </w:rPr>
        <w:tab/>
        <w:t xml:space="preserve">relate exclusively to the derivation of the foreign-source income; and </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1620" w:hanging="540"/>
        <w:jc w:val="both"/>
        <w:rPr>
          <w:rFonts w:cs="Arial"/>
          <w:sz w:val="20"/>
        </w:rPr>
      </w:pPr>
      <w:r w:rsidRPr="00412620">
        <w:rPr>
          <w:rFonts w:cs="Arial"/>
          <w:sz w:val="20"/>
        </w:rPr>
        <w:t>(b)</w:t>
      </w:r>
      <w:r w:rsidRPr="00412620">
        <w:rPr>
          <w:rFonts w:cs="Arial"/>
          <w:sz w:val="20"/>
        </w:rPr>
        <w:tab/>
        <w:t>are reasonably related to the derivation of foreign-source income in accordance with sub-section (1) of section 67 and any rules made for the purposes of that section.</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104.</w:t>
      </w:r>
      <w:r w:rsidRPr="00412620">
        <w:rPr>
          <w:rFonts w:cs="Arial"/>
          <w:b/>
          <w:sz w:val="20"/>
        </w:rPr>
        <w:tab/>
        <w:t xml:space="preserve"> Foreign losses.</w:t>
      </w:r>
      <w:r w:rsidR="002B076D" w:rsidRPr="00412620">
        <w:rPr>
          <w:rFonts w:cs="Arial"/>
          <w:sz w:val="20"/>
        </w:rPr>
        <w:t>—</w:t>
      </w:r>
      <w:r w:rsidRPr="00412620">
        <w:rPr>
          <w:sz w:val="20"/>
        </w:rPr>
        <w:t xml:space="preserve"> (1)  Deductible expenditures incurred by a person in deriving foreign-source income chargeable to tax under a head of income shall be deductible only against that income.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If the total deductible expenditures referred to in sub-section (1) exceed the total foreign source income for a tax year chargeable to tax under a head of income (hereinafter referred to as a “foreign loss”), the foreign loss shall be carried forward to the following tax year and set off against the foreign source income chargeable to tax under that head in that year, and so on, but no foreign loss shall be carried forward to more than six tax years immediately succeeding the tax year for which the loss was computed.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a taxpayer has a foreign loss carried forward for more than one tax year, the loss for the earliest year shall be set off first.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Section 67 shall apply for the purposes of this section on the basis that </w:t>
      </w:r>
      <w:r w:rsidR="002B076D"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income from carrying on a speculation business is a separate head of income;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foreign source income chargeable under a head of income (including the head specified in clause (a)) shall be a separate head of income.</w:t>
      </w:r>
    </w:p>
    <w:p w:rsidR="006A3F93" w:rsidRPr="00412620" w:rsidRDefault="006A3F93">
      <w:pPr>
        <w:jc w:val="both"/>
        <w:rPr>
          <w:rFonts w:cs="Arial"/>
          <w:sz w:val="20"/>
        </w:rPr>
      </w:pPr>
    </w:p>
    <w:p w:rsidR="006A3F93" w:rsidRPr="00412620" w:rsidRDefault="00D21485">
      <w:pPr>
        <w:pStyle w:val="Heading8"/>
        <w:rPr>
          <w:rFonts w:cs="Arial"/>
          <w:i w:val="0"/>
          <w:sz w:val="32"/>
          <w:szCs w:val="32"/>
        </w:rPr>
      </w:pPr>
      <w:r>
        <w:rPr>
          <w:rFonts w:cs="Arial"/>
          <w:i w:val="0"/>
          <w:sz w:val="32"/>
          <w:szCs w:val="32"/>
        </w:rPr>
        <w:br w:type="page"/>
      </w:r>
      <w:r w:rsidR="006A3F93" w:rsidRPr="00412620">
        <w:rPr>
          <w:rFonts w:cs="Arial"/>
          <w:i w:val="0"/>
          <w:sz w:val="32"/>
          <w:szCs w:val="32"/>
        </w:rPr>
        <w:lastRenderedPageBreak/>
        <w:t>PART III</w:t>
      </w:r>
    </w:p>
    <w:p w:rsidR="006A3F93" w:rsidRPr="00412620" w:rsidRDefault="006A3F93">
      <w:pPr>
        <w:keepNext/>
        <w:jc w:val="center"/>
        <w:rPr>
          <w:rFonts w:cs="Arial"/>
          <w:b/>
          <w:sz w:val="20"/>
        </w:rPr>
      </w:pPr>
      <w:r w:rsidRPr="00412620">
        <w:rPr>
          <w:rFonts w:cs="Arial"/>
          <w:b/>
          <w:sz w:val="20"/>
        </w:rPr>
        <w:t>TAXATION OF NON-RESIDENTS</w:t>
      </w:r>
    </w:p>
    <w:p w:rsidR="006A3F93" w:rsidRPr="00412620" w:rsidRDefault="006A3F93">
      <w:pPr>
        <w:keepNext/>
        <w:jc w:val="both"/>
        <w:rPr>
          <w:rFonts w:cs="Arial"/>
          <w:b/>
          <w:sz w:val="20"/>
        </w:rPr>
      </w:pPr>
    </w:p>
    <w:p w:rsidR="006A3F93" w:rsidRPr="00412620" w:rsidRDefault="006A3F93">
      <w:pPr>
        <w:jc w:val="both"/>
        <w:rPr>
          <w:sz w:val="20"/>
        </w:rPr>
      </w:pPr>
      <w:r w:rsidRPr="00412620">
        <w:rPr>
          <w:rFonts w:cs="Arial"/>
          <w:b/>
          <w:sz w:val="20"/>
        </w:rPr>
        <w:t>105.</w:t>
      </w:r>
      <w:r w:rsidRPr="00412620">
        <w:rPr>
          <w:rFonts w:cs="Arial"/>
          <w:b/>
          <w:sz w:val="20"/>
        </w:rPr>
        <w:tab/>
        <w:t xml:space="preserve"> Taxation of a permanent establishment in Pakistan of a non-resident person.</w:t>
      </w:r>
      <w:r w:rsidR="002B076D" w:rsidRPr="00412620">
        <w:rPr>
          <w:rFonts w:cs="Arial"/>
          <w:sz w:val="20"/>
        </w:rPr>
        <w:t>—</w:t>
      </w:r>
      <w:r w:rsidRPr="00412620">
        <w:rPr>
          <w:sz w:val="20"/>
        </w:rPr>
        <w:t xml:space="preserve"> (1)  The following principles shall apply in determining the income of a permanent establishment in Pakistan of a non-resident person chargeable to tax under the head “Income from Business”, namely:</w:t>
      </w:r>
      <w:r w:rsidR="002B076D" w:rsidRPr="00412620">
        <w:rPr>
          <w:rFonts w:cs="Arial"/>
          <w:sz w:val="20"/>
        </w:rPr>
        <w:t xml:space="preserve"> —</w:t>
      </w:r>
    </w:p>
    <w:p w:rsidR="006A3F93" w:rsidRPr="00412620" w:rsidRDefault="006A3F93">
      <w:pPr>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profit of the permanent establishment shall be computed on the basis that it is a distinct and separate person engaged in the same or similar activities under the same or similar conditions and dealing wholly independently with the non-resident person of which it is a permanent establishment;</w:t>
      </w:r>
    </w:p>
    <w:p w:rsidR="006A3F93" w:rsidRPr="00412620" w:rsidRDefault="006A3F93">
      <w:pPr>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subject to this Ordinance, there shall be allowed as deductions any expenses incurred for the purposes of the business activities of the permanent establishment including executive and administrative expenses so incurred, whether in Pakistan or elsewhere;</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no deduction shall be allowed for amounts paid or payable by the permanent establishment to its head office or to another permanent establishment of the non-resident person (other than towards reimbursement of actual expenses incurred by the non-resident person to third parties) by way of:</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w:t>
      </w:r>
      <w:r w:rsidRPr="00412620">
        <w:rPr>
          <w:rFonts w:cs="Arial"/>
          <w:sz w:val="20"/>
        </w:rPr>
        <w:tab/>
        <w:t>royalties, fees or other similar payments for the use of any tangible or intangible asset by the permanent establishment;</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(ii)</w:t>
      </w:r>
      <w:r w:rsidRPr="00412620">
        <w:rPr>
          <w:rFonts w:cs="Arial"/>
          <w:sz w:val="20"/>
        </w:rPr>
        <w:tab/>
        <w:t>compensation for any services including management services performed for the permanent establishment; or</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(iii)</w:t>
      </w:r>
      <w:r w:rsidRPr="00412620">
        <w:rPr>
          <w:rFonts w:cs="Arial"/>
          <w:sz w:val="20"/>
        </w:rPr>
        <w:tab/>
        <w:t>profit on debt on moneys lent to the permanent establishment, except in connection with a banking business;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no account shall be taken in the determination of the income of a permanent establishment of amounts charged by the permanent establishment to the head office or to another permanent establishment of the non-resident person (other than towards reimbursement of actual expenses incurred by the permanent establishment to third parties) by way of:</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 xml:space="preserve">  (i)</w:t>
      </w:r>
      <w:r w:rsidRPr="00412620">
        <w:rPr>
          <w:rFonts w:cs="Arial"/>
          <w:sz w:val="20"/>
        </w:rPr>
        <w:tab/>
        <w:t>royalties, fees or other similar payments for the use of any tangible or intangible asset;</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 xml:space="preserve"> (ii)</w:t>
      </w:r>
      <w:r w:rsidRPr="00412620">
        <w:rPr>
          <w:rFonts w:cs="Arial"/>
          <w:sz w:val="20"/>
        </w:rPr>
        <w:tab/>
        <w:t>compensation for any services including management services performed by the permanent establishment; or</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(iii)</w:t>
      </w:r>
      <w:r w:rsidRPr="00412620">
        <w:rPr>
          <w:rFonts w:cs="Arial"/>
          <w:sz w:val="20"/>
        </w:rPr>
        <w:tab/>
        <w:t>profit on debt on moneys lent by the permanent establishment, except in connection with a banking business.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No deduction shall be allowed in computing the income of a permanent establishment in Pakistan of a non-resident person chargeable to tax under the head “Income from Business” for a tax year for head office expenditure in excess of the amount as bears to the turnover of the permanent establishment in Pakistan the same proportion as the non-resident’s total head office expenditure bears to its worldwide turnover.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In this section, “head office expenditure” means any executive or general administration expenditure incurred by the non-resident person outside Pakistan for the purposes of the business of the Pakistan permanent establishment of the person, including </w:t>
      </w:r>
      <w:r w:rsidR="006D53E5"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any rent, local rates and taxes excluding any foreign income tax, current repairs, or insurance against risks of damage or destruction outside Pakistan;</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any salary paid to an employee employed by the head office outside Pakistan;</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any travelling expenditures of such employee;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any other expenditures which may be prescribed.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No deduction shall be allowed in computing the income of a permanent establishment in Pakistan of a non-resident person chargeable under the head “Income from Business” for </w:t>
      </w:r>
      <w:r w:rsidR="006D53E5"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any profit paid or payable by the non-resident person on debt to finance the operations of the permanent establishment;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any insurance premium paid or payable by the non-resident person in respect of such debt.</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106.</w:t>
      </w:r>
      <w:r w:rsidRPr="00412620">
        <w:rPr>
          <w:rFonts w:cs="Arial"/>
          <w:b/>
          <w:sz w:val="20"/>
        </w:rPr>
        <w:tab/>
        <w:t xml:space="preserve"> Thin capitalisation.</w:t>
      </w:r>
      <w:r w:rsidR="002B076D" w:rsidRPr="00412620">
        <w:rPr>
          <w:rFonts w:cs="Arial"/>
          <w:sz w:val="20"/>
        </w:rPr>
        <w:t xml:space="preserve"> —</w:t>
      </w:r>
      <w:r w:rsidRPr="00412620">
        <w:rPr>
          <w:sz w:val="20"/>
        </w:rPr>
        <w:t xml:space="preserve"> (1)  Where a foreign-controlled resident company (other than a financial institution </w:t>
      </w:r>
      <w:r w:rsidRPr="00412620">
        <w:rPr>
          <w:rStyle w:val="FootnoteReference"/>
          <w:sz w:val="20"/>
        </w:rPr>
        <w:footnoteReference w:id="535"/>
      </w:r>
      <w:r w:rsidRPr="00412620">
        <w:rPr>
          <w:sz w:val="20"/>
        </w:rPr>
        <w:t>[or a banking company)]</w:t>
      </w:r>
      <w:r w:rsidR="001621CD" w:rsidRPr="00412620">
        <w:rPr>
          <w:rStyle w:val="FootnoteReference"/>
          <w:b/>
          <w:sz w:val="20"/>
        </w:rPr>
        <w:footnoteReference w:id="536"/>
      </w:r>
      <w:r w:rsidR="00B32767" w:rsidRPr="00412620">
        <w:rPr>
          <w:sz w:val="20"/>
        </w:rPr>
        <w:t xml:space="preserve">[or a branch of a </w:t>
      </w:r>
      <w:r w:rsidR="00B32767" w:rsidRPr="00412620">
        <w:rPr>
          <w:sz w:val="20"/>
        </w:rPr>
        <w:lastRenderedPageBreak/>
        <w:t>foreign company operating in Pakistan,]</w:t>
      </w:r>
      <w:r w:rsidRPr="00412620">
        <w:rPr>
          <w:sz w:val="20"/>
        </w:rPr>
        <w:t xml:space="preserve">has a foreign debt-to-foreign equity ratio in excess of threeto one at any time during a tax year, a deduction shall be disallowed for the profit on debt paid by the company in that year on that part of the debt which exceeds the three to one ratio.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In this section, </w:t>
      </w:r>
      <w:r w:rsidR="002B076D" w:rsidRPr="00412620">
        <w:rPr>
          <w:rFonts w:cs="Arial"/>
          <w:sz w:val="20"/>
        </w:rPr>
        <w:t>—</w:t>
      </w:r>
    </w:p>
    <w:p w:rsidR="006A3F93" w:rsidRPr="00412620" w:rsidRDefault="006A3F93">
      <w:pPr>
        <w:jc w:val="both"/>
        <w:rPr>
          <w:rFonts w:cs="Arial"/>
          <w:sz w:val="20"/>
        </w:rPr>
      </w:pPr>
    </w:p>
    <w:p w:rsidR="006A3F93" w:rsidRPr="00412620" w:rsidRDefault="006A3F93">
      <w:pPr>
        <w:pStyle w:val="BodyTextIndent2"/>
        <w:ind w:left="1080"/>
        <w:jc w:val="both"/>
        <w:rPr>
          <w:rFonts w:cs="Arial"/>
          <w:sz w:val="20"/>
        </w:rPr>
      </w:pPr>
      <w:r w:rsidRPr="00412620">
        <w:rPr>
          <w:rFonts w:cs="Arial"/>
          <w:sz w:val="20"/>
        </w:rPr>
        <w:t xml:space="preserve">“foreign-controlled resident company” means a resident company in which fifty </w:t>
      </w:r>
      <w:r w:rsidR="00AB6F06">
        <w:rPr>
          <w:rFonts w:cs="Arial"/>
          <w:sz w:val="20"/>
        </w:rPr>
        <w:t>per cent</w:t>
      </w:r>
      <w:r w:rsidRPr="00412620">
        <w:rPr>
          <w:rFonts w:cs="Arial"/>
          <w:sz w:val="20"/>
        </w:rPr>
        <w:t xml:space="preserve"> or more of the underlying ownership of the company is held by a non-resident person (hereinafter referred to as the “foreign controller”) either alone or together with an associate or associates;</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“foreign debt” in relation to a foreign-controlled resident company, means the greatest amount, at any time in a tax year, of the sum of the following amounts, namely:</w:t>
      </w:r>
      <w:r w:rsidR="002B076D" w:rsidRPr="00412620">
        <w:rPr>
          <w:rFonts w:cs="Arial"/>
          <w:sz w:val="20"/>
        </w:rPr>
        <w:t xml:space="preserve">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The balance outstanding at that time on any debt obligation owed by the foreign-controlled resident company to a foreign controller or non-resident associate of the foreign controller on which profit on debt is payable which profit on debt is deductible to the foreign-controlled resident company and is not taxed under this Ordinance or is taxable at a rate lower than the </w:t>
      </w:r>
      <w:r w:rsidRPr="00412620">
        <w:rPr>
          <w:rStyle w:val="FootnoteReference"/>
          <w:rFonts w:cs="Arial"/>
          <w:sz w:val="20"/>
        </w:rPr>
        <w:footnoteReference w:id="537"/>
      </w:r>
      <w:r w:rsidRPr="00412620">
        <w:rPr>
          <w:rFonts w:cs="Arial"/>
          <w:sz w:val="20"/>
        </w:rPr>
        <w:t>[corporate rate] of tax applicable on assessment to the foreign controller or associate;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balance outstanding at that time on any debt obligation owed by the foreign-controlled resident company to a person other than the foreign controller or an associate of the foreign controller where that</w:t>
      </w:r>
      <w:r w:rsidR="005B584C">
        <w:rPr>
          <w:rFonts w:cs="Arial"/>
          <w:sz w:val="20"/>
        </w:rPr>
        <w:t xml:space="preserve"> </w:t>
      </w:r>
      <w:r w:rsidRPr="00412620">
        <w:rPr>
          <w:rFonts w:cs="Arial"/>
          <w:sz w:val="20"/>
        </w:rPr>
        <w:t>person has a balance outstanding of a similar amount on a debt obligation owed by the person to the foreign controller or a non-resident associate of the foreign controller; and</w:t>
      </w:r>
    </w:p>
    <w:p w:rsidR="006A3F93" w:rsidRPr="00412620" w:rsidRDefault="006A3F93">
      <w:pPr>
        <w:jc w:val="both"/>
        <w:rPr>
          <w:rFonts w:cs="Arial"/>
          <w:sz w:val="20"/>
        </w:rPr>
      </w:pPr>
    </w:p>
    <w:p w:rsidR="006A3F93" w:rsidRPr="00412620" w:rsidRDefault="006A3F93">
      <w:pPr>
        <w:ind w:left="1620"/>
        <w:jc w:val="both"/>
        <w:rPr>
          <w:rFonts w:cs="Arial"/>
          <w:sz w:val="20"/>
        </w:rPr>
      </w:pPr>
      <w:r w:rsidRPr="00412620">
        <w:rPr>
          <w:rFonts w:cs="Arial"/>
          <w:sz w:val="20"/>
        </w:rPr>
        <w:t>“foreign equity” in relation to a foreign-controlled resident company and for a tax year, means the sum of the following amounts, namely:</w:t>
      </w:r>
      <w:r w:rsidR="005E53A5" w:rsidRPr="00412620">
        <w:rPr>
          <w:rFonts w:cs="Arial"/>
          <w:sz w:val="20"/>
        </w:rPr>
        <w:t xml:space="preserve"> —</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(a)</w:t>
      </w:r>
      <w:r w:rsidRPr="00412620">
        <w:rPr>
          <w:rFonts w:cs="Arial"/>
          <w:sz w:val="20"/>
        </w:rPr>
        <w:tab/>
        <w:t xml:space="preserve">The paid-up value of all shares in the company owned by the foreign controller or a non-resident associate of the foreign controller at the beginning of the tax year; </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(b)</w:t>
      </w:r>
      <w:r w:rsidRPr="00412620">
        <w:rPr>
          <w:rFonts w:cs="Arial"/>
          <w:sz w:val="20"/>
        </w:rPr>
        <w:tab/>
        <w:t xml:space="preserve">so much of the amount standing to the credit of the share premium account of the company at the beginning </w:t>
      </w:r>
      <w:r w:rsidRPr="00412620">
        <w:rPr>
          <w:rFonts w:cs="Arial"/>
          <w:sz w:val="20"/>
        </w:rPr>
        <w:lastRenderedPageBreak/>
        <w:t>of the tax year as the foreign controller or a non-resident associate would be entitled to if the company were wound up at that time; and</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(c)</w:t>
      </w:r>
      <w:r w:rsidRPr="00412620">
        <w:rPr>
          <w:rFonts w:cs="Arial"/>
          <w:sz w:val="20"/>
        </w:rPr>
        <w:tab/>
        <w:t>so much of the accumulated profits and asset revaluation reserves of the company at the beginning of the tax year as the foreign controller or a non-resident associate of the foreign controller would be entitled to if the company were wound up at that time;</w:t>
      </w:r>
    </w:p>
    <w:p w:rsidR="006A3F93" w:rsidRPr="00412620" w:rsidRDefault="006A3F93">
      <w:pPr>
        <w:jc w:val="both"/>
        <w:rPr>
          <w:rFonts w:cs="Arial"/>
          <w:sz w:val="20"/>
        </w:rPr>
      </w:pPr>
    </w:p>
    <w:p w:rsidR="006A3F93" w:rsidRPr="00412620" w:rsidRDefault="006A3F93">
      <w:pPr>
        <w:ind w:left="1728"/>
        <w:jc w:val="both"/>
        <w:rPr>
          <w:rFonts w:cs="Arial"/>
          <w:sz w:val="20"/>
        </w:rPr>
      </w:pPr>
      <w:r w:rsidRPr="00412620">
        <w:rPr>
          <w:rFonts w:cs="Arial"/>
          <w:sz w:val="20"/>
        </w:rPr>
        <w:t>reduced by the sum of the following amounts, namely:</w:t>
      </w:r>
      <w:r w:rsidR="001359BA" w:rsidRPr="00412620">
        <w:rPr>
          <w:rFonts w:cs="Arial"/>
          <w:sz w:val="20"/>
        </w:rPr>
        <w:t xml:space="preserve"> —</w:t>
      </w:r>
    </w:p>
    <w:p w:rsidR="006A3F93" w:rsidRPr="00412620" w:rsidRDefault="006A3F93">
      <w:pPr>
        <w:jc w:val="both"/>
        <w:rPr>
          <w:rFonts w:cs="Arial"/>
          <w:sz w:val="20"/>
        </w:rPr>
      </w:pPr>
    </w:p>
    <w:p w:rsidR="006A3F93" w:rsidRPr="00412620" w:rsidRDefault="006A3F93">
      <w:pPr>
        <w:ind w:left="2700" w:hanging="540"/>
        <w:jc w:val="both"/>
        <w:rPr>
          <w:rFonts w:cs="Arial"/>
          <w:sz w:val="20"/>
        </w:rPr>
      </w:pPr>
      <w:r w:rsidRPr="00412620">
        <w:rPr>
          <w:rFonts w:cs="Arial"/>
          <w:sz w:val="20"/>
        </w:rPr>
        <w:t xml:space="preserve"> (i)</w:t>
      </w:r>
      <w:r w:rsidRPr="00412620">
        <w:rPr>
          <w:rFonts w:cs="Arial"/>
          <w:sz w:val="20"/>
        </w:rPr>
        <w:tab/>
      </w:r>
      <w:r w:rsidR="00DA2C37" w:rsidRPr="00412620">
        <w:rPr>
          <w:rFonts w:cs="Arial"/>
          <w:sz w:val="20"/>
        </w:rPr>
        <w:t>t</w:t>
      </w:r>
      <w:r w:rsidRPr="00412620">
        <w:rPr>
          <w:rFonts w:cs="Arial"/>
          <w:sz w:val="20"/>
        </w:rPr>
        <w:t>he balance outstanding at the beginning of the tax year on any debt obligation owed to the foreign-controlled resident company by the foreign controller or a non-resident associate of the foreign controller; and</w:t>
      </w:r>
    </w:p>
    <w:p w:rsidR="006A3F93" w:rsidRPr="00412620" w:rsidRDefault="006A3F93">
      <w:pPr>
        <w:jc w:val="both"/>
        <w:rPr>
          <w:rFonts w:cs="Arial"/>
          <w:sz w:val="20"/>
        </w:rPr>
      </w:pPr>
    </w:p>
    <w:p w:rsidR="006A3F93" w:rsidRPr="00412620" w:rsidRDefault="006A3F93">
      <w:pPr>
        <w:ind w:left="2700" w:hanging="540"/>
        <w:jc w:val="both"/>
        <w:rPr>
          <w:rFonts w:cs="Arial"/>
          <w:sz w:val="20"/>
        </w:rPr>
      </w:pPr>
      <w:r w:rsidRPr="00412620">
        <w:rPr>
          <w:rFonts w:cs="Arial"/>
          <w:sz w:val="20"/>
        </w:rPr>
        <w:t>(ii)</w:t>
      </w:r>
      <w:r w:rsidRPr="00412620">
        <w:rPr>
          <w:rFonts w:cs="Arial"/>
          <w:sz w:val="20"/>
        </w:rPr>
        <w:tab/>
        <w:t>where the foreign-controlled resident company has accumulated losses at the beginning of the tax year, the amount by which the return of capital to the foreign controller or non-resident associate of the foreign controller would be reduced by virtue of the losses if the company were wound up at that time.</w:t>
      </w:r>
    </w:p>
    <w:p w:rsidR="006A3F93" w:rsidRPr="00412620" w:rsidRDefault="006A3F93">
      <w:pPr>
        <w:rPr>
          <w:rFonts w:cs="Arial"/>
          <w:sz w:val="20"/>
        </w:rPr>
      </w:pPr>
    </w:p>
    <w:p w:rsidR="006A3F93" w:rsidRPr="00412620" w:rsidRDefault="008E2079">
      <w:pPr>
        <w:pStyle w:val="Heading8"/>
        <w:rPr>
          <w:rFonts w:cs="Arial"/>
          <w:i w:val="0"/>
          <w:sz w:val="32"/>
          <w:szCs w:val="32"/>
        </w:rPr>
      </w:pPr>
      <w:r w:rsidRPr="00412620">
        <w:rPr>
          <w:rFonts w:cs="Arial"/>
          <w:i w:val="0"/>
          <w:sz w:val="20"/>
        </w:rPr>
        <w:br w:type="page"/>
      </w:r>
      <w:r w:rsidR="006A3F93" w:rsidRPr="00412620">
        <w:rPr>
          <w:rFonts w:cs="Arial"/>
          <w:i w:val="0"/>
          <w:sz w:val="32"/>
          <w:szCs w:val="32"/>
        </w:rPr>
        <w:lastRenderedPageBreak/>
        <w:t>PART IV</w:t>
      </w:r>
    </w:p>
    <w:p w:rsidR="006A3F93" w:rsidRPr="00412620" w:rsidRDefault="006A3F93">
      <w:pPr>
        <w:keepNext/>
        <w:jc w:val="center"/>
        <w:rPr>
          <w:rFonts w:cs="Arial"/>
          <w:b/>
          <w:sz w:val="20"/>
        </w:rPr>
      </w:pPr>
      <w:r w:rsidRPr="00412620">
        <w:rPr>
          <w:rFonts w:cs="Arial"/>
          <w:b/>
          <w:sz w:val="20"/>
        </w:rPr>
        <w:t xml:space="preserve">AGREEMENTS FOR THE AVOIDANCE OF DOUBLE TAXATION </w:t>
      </w:r>
    </w:p>
    <w:p w:rsidR="006A3F93" w:rsidRPr="00412620" w:rsidRDefault="006A3F93">
      <w:pPr>
        <w:keepNext/>
        <w:jc w:val="center"/>
        <w:rPr>
          <w:rFonts w:cs="Arial"/>
          <w:b/>
          <w:sz w:val="20"/>
        </w:rPr>
      </w:pPr>
      <w:r w:rsidRPr="00412620">
        <w:rPr>
          <w:rFonts w:cs="Arial"/>
          <w:b/>
          <w:sz w:val="20"/>
        </w:rPr>
        <w:t>AND PREVENTION OF FISCAL EVASION</w:t>
      </w:r>
    </w:p>
    <w:p w:rsidR="006A3F93" w:rsidRPr="00412620" w:rsidRDefault="006A3F93">
      <w:pPr>
        <w:keepNext/>
        <w:rPr>
          <w:rFonts w:cs="Arial"/>
          <w:b/>
          <w:i/>
          <w:sz w:val="20"/>
        </w:rPr>
      </w:pPr>
    </w:p>
    <w:p w:rsidR="00247882" w:rsidRDefault="006A3F93" w:rsidP="000D6194">
      <w:pPr>
        <w:autoSpaceDE w:val="0"/>
        <w:autoSpaceDN w:val="0"/>
        <w:adjustRightInd w:val="0"/>
        <w:jc w:val="both"/>
        <w:rPr>
          <w:color w:val="984806" w:themeColor="accent6" w:themeShade="80"/>
          <w:sz w:val="20"/>
        </w:rPr>
      </w:pPr>
      <w:r w:rsidRPr="00412620">
        <w:rPr>
          <w:rFonts w:cs="Arial"/>
          <w:b/>
          <w:sz w:val="20"/>
        </w:rPr>
        <w:t>107.</w:t>
      </w:r>
      <w:r w:rsidRPr="00412620">
        <w:rPr>
          <w:rFonts w:cs="Arial"/>
          <w:b/>
          <w:sz w:val="20"/>
        </w:rPr>
        <w:tab/>
        <w:t xml:space="preserve"> Agreements for the avoidance of double taxation and prevention of fiscal evasion.</w:t>
      </w:r>
      <w:r w:rsidR="001359BA" w:rsidRPr="00412620">
        <w:rPr>
          <w:rFonts w:cs="Arial"/>
          <w:sz w:val="20"/>
        </w:rPr>
        <w:t xml:space="preserve"> —</w:t>
      </w:r>
      <w:r w:rsidR="000D6194" w:rsidRPr="00214261">
        <w:rPr>
          <w:rStyle w:val="FootnoteReference"/>
          <w:color w:val="000000" w:themeColor="text1"/>
          <w:sz w:val="20"/>
        </w:rPr>
        <w:footnoteReference w:id="538"/>
      </w:r>
      <w:r w:rsidR="000D6194" w:rsidRPr="00214261">
        <w:rPr>
          <w:color w:val="000000" w:themeColor="text1"/>
          <w:sz w:val="20"/>
        </w:rPr>
        <w:t>[</w:t>
      </w:r>
      <w:r w:rsidR="003B6F0B">
        <w:rPr>
          <w:color w:val="984806" w:themeColor="accent6" w:themeShade="80"/>
          <w:sz w:val="20"/>
        </w:rPr>
        <w:t xml:space="preserve"> </w:t>
      </w:r>
      <w:r w:rsidR="003B6F0B" w:rsidRPr="0026128B">
        <w:rPr>
          <w:rStyle w:val="FootnoteReference"/>
          <w:color w:val="0070C0"/>
          <w:sz w:val="20"/>
        </w:rPr>
        <w:footnoteReference w:id="539"/>
      </w:r>
      <w:r w:rsidR="003B6F0B" w:rsidRPr="0026128B">
        <w:rPr>
          <w:rFonts w:cs="Arial"/>
          <w:color w:val="0070C0"/>
          <w:sz w:val="20"/>
        </w:rPr>
        <w:t>[</w:t>
      </w:r>
      <w:r w:rsidR="00C26EAD" w:rsidRPr="0026128B">
        <w:rPr>
          <w:rFonts w:cs="Arial"/>
          <w:color w:val="0070C0"/>
          <w:sz w:val="20"/>
        </w:rPr>
        <w:t>“</w:t>
      </w:r>
      <w:r w:rsidR="003B6F0B" w:rsidRPr="0026128B">
        <w:rPr>
          <w:rFonts w:cs="Arial"/>
          <w:color w:val="0070C0"/>
          <w:sz w:val="20"/>
        </w:rPr>
        <w:t>(1) The Federal Government may enter into a tax treaty, a tax information exchange agreement, a multilateral convention, an inter-governmental agreement or similar agreement or mechanism for the avoidance of double taxation or for the exchange of information for the prevention of fiscal evasion or avoidance of taxes including automatic exchange of information with respect to taxes on income imposed under this Ordinance or any other law for the time being in force and under the corresponding laws in force in that country and may, by notification in the official Gazette, make such provisions as may be necessary for implementing the said instruments.”;]</w:t>
      </w:r>
      <w:r w:rsidR="00247882">
        <w:rPr>
          <w:rFonts w:cs="Arial"/>
          <w:color w:val="984806" w:themeColor="accent6" w:themeShade="80"/>
          <w:sz w:val="20"/>
          <w:lang w:val="en-US"/>
        </w:rPr>
        <w:t xml:space="preserve"> </w:t>
      </w:r>
      <w:r w:rsidR="00247882" w:rsidRPr="00214261">
        <w:rPr>
          <w:rFonts w:cs="Arial"/>
          <w:color w:val="000000" w:themeColor="text1"/>
          <w:sz w:val="20"/>
          <w:lang w:val="en-US"/>
        </w:rPr>
        <w:t>and</w:t>
      </w:r>
      <w:r w:rsidR="000D6194" w:rsidRPr="00214261">
        <w:rPr>
          <w:color w:val="000000" w:themeColor="text1"/>
          <w:sz w:val="20"/>
        </w:rPr>
        <w:t>]</w:t>
      </w:r>
    </w:p>
    <w:p w:rsidR="00247882" w:rsidRDefault="00247882" w:rsidP="000D6194">
      <w:pPr>
        <w:autoSpaceDE w:val="0"/>
        <w:autoSpaceDN w:val="0"/>
        <w:adjustRightInd w:val="0"/>
        <w:jc w:val="both"/>
        <w:rPr>
          <w:color w:val="984806" w:themeColor="accent6" w:themeShade="80"/>
          <w:sz w:val="20"/>
        </w:rPr>
      </w:pPr>
    </w:p>
    <w:p w:rsidR="00247882" w:rsidRPr="00214261" w:rsidRDefault="000951D6" w:rsidP="00247882">
      <w:pPr>
        <w:autoSpaceDE w:val="0"/>
        <w:autoSpaceDN w:val="0"/>
        <w:adjustRightInd w:val="0"/>
        <w:ind w:firstLine="547"/>
        <w:jc w:val="both"/>
        <w:rPr>
          <w:rFonts w:cs="Arial"/>
          <w:color w:val="000000" w:themeColor="text1"/>
          <w:sz w:val="20"/>
          <w:lang w:val="en-US"/>
        </w:rPr>
      </w:pPr>
      <w:r w:rsidRPr="00214261">
        <w:rPr>
          <w:rStyle w:val="FootnoteReference"/>
          <w:color w:val="000000" w:themeColor="text1"/>
          <w:sz w:val="20"/>
        </w:rPr>
        <w:footnoteReference w:id="540"/>
      </w:r>
      <w:r w:rsidR="00247882" w:rsidRPr="00214261">
        <w:rPr>
          <w:color w:val="000000" w:themeColor="text1"/>
          <w:sz w:val="20"/>
        </w:rPr>
        <w:t>[“</w:t>
      </w:r>
      <w:r w:rsidR="00247882" w:rsidRPr="00214261">
        <w:rPr>
          <w:rFonts w:cs="Arial"/>
          <w:color w:val="000000" w:themeColor="text1"/>
          <w:sz w:val="20"/>
          <w:lang w:val="en-US"/>
        </w:rPr>
        <w:t>(1A) Notwithstanding anything contained in any other</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law to the contrary, the Board shall have the powers to</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obtain and collect information when solicited by another</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country under a tax treaty, a tax information exchange</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agreement, a multilateral convention, an inter-governmental</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agreement, a similar arrangement or mechanism.</w:t>
      </w:r>
      <w:r w:rsidRPr="00214261">
        <w:rPr>
          <w:rFonts w:cs="Arial"/>
          <w:color w:val="000000" w:themeColor="text1"/>
          <w:sz w:val="20"/>
          <w:lang w:val="en-US"/>
        </w:rPr>
        <w:t>]</w:t>
      </w:r>
    </w:p>
    <w:p w:rsidR="00247882" w:rsidRPr="00214261" w:rsidRDefault="00247882" w:rsidP="00247882">
      <w:pPr>
        <w:autoSpaceDE w:val="0"/>
        <w:autoSpaceDN w:val="0"/>
        <w:adjustRightInd w:val="0"/>
        <w:jc w:val="both"/>
        <w:rPr>
          <w:rFonts w:cs="Arial"/>
          <w:color w:val="000000" w:themeColor="text1"/>
          <w:sz w:val="20"/>
          <w:lang w:val="en-US"/>
        </w:rPr>
      </w:pPr>
    </w:p>
    <w:p w:rsidR="006A3F93" w:rsidRPr="00412620" w:rsidRDefault="000951D6" w:rsidP="00247882">
      <w:pPr>
        <w:autoSpaceDE w:val="0"/>
        <w:autoSpaceDN w:val="0"/>
        <w:adjustRightInd w:val="0"/>
        <w:ind w:firstLine="547"/>
        <w:jc w:val="both"/>
        <w:rPr>
          <w:sz w:val="20"/>
        </w:rPr>
      </w:pPr>
      <w:r w:rsidRPr="00214261">
        <w:rPr>
          <w:rStyle w:val="FootnoteReference"/>
          <w:rFonts w:cs="Arial"/>
          <w:color w:val="000000" w:themeColor="text1"/>
          <w:sz w:val="20"/>
          <w:lang w:val="en-US"/>
        </w:rPr>
        <w:footnoteReference w:id="541"/>
      </w:r>
      <w:r w:rsidRPr="00214261">
        <w:rPr>
          <w:rFonts w:cs="Arial"/>
          <w:color w:val="000000" w:themeColor="text1"/>
          <w:sz w:val="20"/>
          <w:lang w:val="en-US"/>
        </w:rPr>
        <w:t>[</w:t>
      </w:r>
      <w:r w:rsidR="00247882" w:rsidRPr="00214261">
        <w:rPr>
          <w:rFonts w:cs="Arial"/>
          <w:color w:val="000000" w:themeColor="text1"/>
          <w:sz w:val="20"/>
          <w:lang w:val="en-US"/>
        </w:rPr>
        <w:t>(1B) Notwithstanding the provisions of the Freedom of</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Information Ordinance, 2002 (XCVI of 2002), any information</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received or supplied, and any concomitant communication or</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correspondence made, under a tax treaty, a tax information</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exchange agreement, a multilateral convention, a similar</w:t>
      </w:r>
      <w:r w:rsidR="005B584C" w:rsidRPr="00214261">
        <w:rPr>
          <w:rFonts w:cs="Arial"/>
          <w:color w:val="000000" w:themeColor="text1"/>
          <w:sz w:val="20"/>
          <w:lang w:val="en-US"/>
        </w:rPr>
        <w:t xml:space="preserve"> </w:t>
      </w:r>
      <w:r w:rsidR="00247882" w:rsidRPr="00214261">
        <w:rPr>
          <w:rFonts w:cs="Arial"/>
          <w:color w:val="000000" w:themeColor="text1"/>
          <w:sz w:val="20"/>
          <w:lang w:val="en-US"/>
        </w:rPr>
        <w:t>arrangement or mechanism, shall be confidential</w:t>
      </w:r>
      <w:r w:rsidR="00247882" w:rsidRPr="00247882">
        <w:rPr>
          <w:rFonts w:cs="Arial"/>
          <w:color w:val="984806" w:themeColor="accent6" w:themeShade="80"/>
          <w:sz w:val="20"/>
          <w:lang w:val="en-US"/>
        </w:rPr>
        <w:t xml:space="preserve"> </w:t>
      </w:r>
      <w:r w:rsidR="0077439D" w:rsidRPr="0026128B">
        <w:rPr>
          <w:rStyle w:val="FootnoteReference"/>
          <w:rFonts w:cs="Arial"/>
          <w:color w:val="0070C0"/>
          <w:sz w:val="20"/>
          <w:lang w:val="en-US"/>
        </w:rPr>
        <w:footnoteReference w:id="542"/>
      </w:r>
      <w:r w:rsidR="0077439D" w:rsidRPr="0026128B">
        <w:rPr>
          <w:rFonts w:cs="Arial"/>
          <w:color w:val="0070C0"/>
          <w:sz w:val="20"/>
          <w:lang w:val="en-US"/>
        </w:rPr>
        <w:t xml:space="preserve">[  </w:t>
      </w:r>
      <w:r w:rsidR="00247882" w:rsidRPr="0026128B">
        <w:rPr>
          <w:rFonts w:cs="Arial"/>
          <w:color w:val="0070C0"/>
          <w:sz w:val="20"/>
          <w:lang w:val="en-US"/>
        </w:rPr>
        <w:t>]</w:t>
      </w:r>
      <w:r w:rsidR="0077439D">
        <w:rPr>
          <w:rFonts w:cs="Arial"/>
          <w:color w:val="984806" w:themeColor="accent6" w:themeShade="80"/>
          <w:sz w:val="20"/>
          <w:lang w:val="en-US"/>
        </w:rPr>
        <w: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any agreement is made in accordance with sub-section (1), the agreement and the provisions made by notification for implementing the agreement shall, notwithstanding anything contained in any law for the time </w:t>
      </w:r>
      <w:r w:rsidRPr="00412620">
        <w:rPr>
          <w:rFonts w:cs="Arial"/>
          <w:sz w:val="20"/>
        </w:rPr>
        <w:lastRenderedPageBreak/>
        <w:t xml:space="preserve">being in force, have effect in so far as they provide for </w:t>
      </w:r>
      <w:r w:rsidR="0000524A" w:rsidRPr="0026128B">
        <w:rPr>
          <w:rStyle w:val="FootnoteReference"/>
          <w:rFonts w:cs="Arial"/>
          <w:color w:val="0070C0"/>
          <w:sz w:val="20"/>
        </w:rPr>
        <w:footnoteReference w:id="543"/>
      </w:r>
      <w:r w:rsidR="0000524A" w:rsidRPr="0026128B">
        <w:rPr>
          <w:rFonts w:cs="Arial"/>
          <w:color w:val="0070C0"/>
          <w:sz w:val="20"/>
        </w:rPr>
        <w:t>[at least one of the following]</w:t>
      </w:r>
      <w:r w:rsidR="0000524A">
        <w:rPr>
          <w:rFonts w:cs="Arial"/>
          <w:sz w:val="20"/>
        </w:rPr>
        <w:t xml:space="preserve"> </w:t>
      </w:r>
      <w:r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relief from the tax payable under this Ordinance;</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the determination of the Pakistan-source income of non-resident persons;</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where all the operations of a business are not carried on within Pakistan, the determination of the income attributable to operations carried on within and outside Pakistan, or the income chargeable to tax in Pakistan in the hands of non-resident persons, including their agents, branches, and permanent establishments in Pakistan;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the determination of the income to be attributed to any resident person having a special relationship with a non-resident person;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the exchange of information for the prevention of fiscal evasion or avoidance of taxes on income chargeable under this Ordinance and under the corresponding laws in force in that other country.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Notwithstanding anything</w:t>
      </w:r>
      <w:r w:rsidR="00C95B6F">
        <w:rPr>
          <w:rFonts w:cs="Arial"/>
          <w:sz w:val="20"/>
        </w:rPr>
        <w:t xml:space="preserve"> </w:t>
      </w:r>
      <w:r w:rsidR="00C95B6F" w:rsidRPr="0026128B">
        <w:rPr>
          <w:rStyle w:val="FootnoteReference"/>
          <w:rFonts w:cs="Arial"/>
          <w:color w:val="0070C0"/>
          <w:sz w:val="20"/>
        </w:rPr>
        <w:footnoteReference w:id="544"/>
      </w:r>
      <w:r w:rsidR="00C95B6F" w:rsidRPr="0026128B">
        <w:rPr>
          <w:rFonts w:cs="Arial"/>
          <w:color w:val="0070C0"/>
          <w:sz w:val="20"/>
        </w:rPr>
        <w:t>[contained]</w:t>
      </w:r>
      <w:r w:rsidRPr="00412620">
        <w:rPr>
          <w:rFonts w:cs="Arial"/>
          <w:sz w:val="20"/>
        </w:rPr>
        <w:t xml:space="preserve"> in sub-sections (1) or (2), any agreement referred to in sub-section (1) may include provisions for the relief from tax for any period before the commencement of this Ordinance or before the making of the agreement. </w:t>
      </w:r>
    </w:p>
    <w:p w:rsidR="006A3F93" w:rsidRPr="00412620" w:rsidRDefault="006A3F93">
      <w:pPr>
        <w:rPr>
          <w:rFonts w:cs="Arial"/>
          <w:sz w:val="20"/>
        </w:rPr>
      </w:pPr>
    </w:p>
    <w:p w:rsidR="00B85760" w:rsidRDefault="00B85760">
      <w:pPr>
        <w:pStyle w:val="Heading2"/>
        <w:spacing w:line="240" w:lineRule="auto"/>
        <w:rPr>
          <w:rFonts w:cs="Arial"/>
          <w:sz w:val="32"/>
          <w:szCs w:val="32"/>
        </w:rPr>
      </w:pPr>
    </w:p>
    <w:p w:rsidR="00B85760" w:rsidRDefault="00B85760">
      <w:pPr>
        <w:pStyle w:val="Heading2"/>
        <w:spacing w:line="240" w:lineRule="auto"/>
        <w:rPr>
          <w:rFonts w:cs="Arial"/>
          <w:sz w:val="32"/>
          <w:szCs w:val="32"/>
        </w:rPr>
      </w:pPr>
    </w:p>
    <w:p w:rsidR="00032E6C" w:rsidRDefault="00032E6C" w:rsidP="00032E6C"/>
    <w:p w:rsidR="00032E6C" w:rsidRDefault="00032E6C" w:rsidP="00032E6C"/>
    <w:p w:rsidR="00032E6C" w:rsidRDefault="00032E6C" w:rsidP="00032E6C"/>
    <w:p w:rsidR="00032E6C" w:rsidRDefault="00032E6C" w:rsidP="00032E6C"/>
    <w:p w:rsidR="00032E6C" w:rsidRDefault="00032E6C" w:rsidP="00032E6C"/>
    <w:p w:rsidR="00032E6C" w:rsidRDefault="00032E6C" w:rsidP="00032E6C"/>
    <w:p w:rsidR="00032E6C" w:rsidRDefault="00032E6C" w:rsidP="00032E6C"/>
    <w:p w:rsidR="00032E6C" w:rsidRDefault="00032E6C" w:rsidP="00032E6C"/>
    <w:p w:rsidR="00032E6C" w:rsidRDefault="00032E6C" w:rsidP="00032E6C"/>
    <w:p w:rsidR="00032E6C" w:rsidRDefault="00032E6C" w:rsidP="00032E6C"/>
    <w:p w:rsidR="006A3F93" w:rsidRPr="00412620" w:rsidRDefault="006A3F93">
      <w:pPr>
        <w:pStyle w:val="Heading2"/>
        <w:spacing w:line="240" w:lineRule="auto"/>
        <w:rPr>
          <w:rFonts w:cs="Arial"/>
          <w:sz w:val="32"/>
          <w:szCs w:val="32"/>
        </w:rPr>
      </w:pPr>
      <w:r w:rsidRPr="00412620">
        <w:rPr>
          <w:rFonts w:cs="Arial"/>
          <w:sz w:val="32"/>
          <w:szCs w:val="32"/>
        </w:rPr>
        <w:t>CHAPTER VIII</w:t>
      </w:r>
    </w:p>
    <w:p w:rsidR="006A3F93" w:rsidRPr="00412620" w:rsidRDefault="006A3F93">
      <w:pPr>
        <w:keepNext/>
        <w:jc w:val="center"/>
        <w:rPr>
          <w:rFonts w:cs="Arial"/>
          <w:b/>
          <w:sz w:val="20"/>
        </w:rPr>
      </w:pPr>
      <w:r w:rsidRPr="00412620">
        <w:rPr>
          <w:rFonts w:cs="Arial"/>
          <w:b/>
          <w:sz w:val="20"/>
        </w:rPr>
        <w:t>ANTI-AVOIDANCE</w:t>
      </w:r>
    </w:p>
    <w:p w:rsidR="006A3F93" w:rsidRPr="00412620" w:rsidRDefault="006A3F93">
      <w:pPr>
        <w:keepNext/>
        <w:rPr>
          <w:rFonts w:cs="Arial"/>
          <w:b/>
          <w:sz w:val="20"/>
        </w:rPr>
      </w:pPr>
    </w:p>
    <w:p w:rsidR="006A3F93" w:rsidRPr="00412620" w:rsidRDefault="006A3F93">
      <w:pPr>
        <w:jc w:val="both"/>
        <w:rPr>
          <w:sz w:val="20"/>
        </w:rPr>
      </w:pPr>
      <w:r w:rsidRPr="00412620">
        <w:rPr>
          <w:rFonts w:cs="Arial"/>
          <w:b/>
          <w:sz w:val="20"/>
        </w:rPr>
        <w:t>108.</w:t>
      </w:r>
      <w:r w:rsidRPr="00412620">
        <w:rPr>
          <w:rFonts w:cs="Arial"/>
          <w:b/>
          <w:sz w:val="20"/>
        </w:rPr>
        <w:tab/>
        <w:t xml:space="preserve"> Transactions between associates.</w:t>
      </w:r>
      <w:r w:rsidR="001359BA" w:rsidRPr="00412620">
        <w:rPr>
          <w:rFonts w:cs="Arial"/>
          <w:sz w:val="20"/>
        </w:rPr>
        <w:t xml:space="preserve"> —</w:t>
      </w:r>
      <w:r w:rsidRPr="00412620">
        <w:rPr>
          <w:sz w:val="20"/>
        </w:rPr>
        <w:t xml:space="preserve"> (1)  The Commissioner may, in respect of any transaction between persons who are associates, distribute, apportion or allocate income, deductions or tax credits between the persons as is necessary to reflect the income that the persons would have realised in an arm’s length transaction.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In making any adjustment under sub-section (1), the Commissioner may determine the source of income and the nature of any payment or loss as revenue, capital or otherwise.</w:t>
      </w:r>
    </w:p>
    <w:p w:rsidR="006A3F93" w:rsidRDefault="006A3F93">
      <w:pPr>
        <w:jc w:val="both"/>
        <w:rPr>
          <w:rFonts w:cs="Arial"/>
          <w:sz w:val="20"/>
        </w:rPr>
      </w:pPr>
    </w:p>
    <w:p w:rsidR="006808FC" w:rsidRPr="0026128B" w:rsidRDefault="00A7712C" w:rsidP="00A64BF6">
      <w:pPr>
        <w:pStyle w:val="ListParagraph"/>
        <w:ind w:left="0" w:firstLine="450"/>
        <w:jc w:val="both"/>
        <w:rPr>
          <w:rFonts w:cs="Arial"/>
          <w:color w:val="0070C0"/>
          <w:sz w:val="20"/>
        </w:rPr>
      </w:pPr>
      <w:r w:rsidRPr="0026128B">
        <w:rPr>
          <w:rStyle w:val="FootnoteReference"/>
          <w:rFonts w:cs="Arial"/>
          <w:color w:val="0070C0"/>
          <w:sz w:val="20"/>
        </w:rPr>
        <w:footnoteReference w:id="545"/>
      </w:r>
      <w:r w:rsidR="006808FC" w:rsidRPr="0026128B">
        <w:rPr>
          <w:rFonts w:cs="Arial"/>
          <w:color w:val="0070C0"/>
          <w:sz w:val="20"/>
        </w:rPr>
        <w:t>[“(3)</w:t>
      </w:r>
      <w:r w:rsidR="006808FC" w:rsidRPr="0026128B">
        <w:rPr>
          <w:rFonts w:cs="Arial"/>
          <w:color w:val="0070C0"/>
          <w:sz w:val="20"/>
        </w:rPr>
        <w:tab/>
        <w:t>Every taxpayer who has entered into a transaction with its associate shall:</w:t>
      </w:r>
    </w:p>
    <w:p w:rsidR="006808FC" w:rsidRPr="0026128B" w:rsidRDefault="006808FC" w:rsidP="007B723E">
      <w:pPr>
        <w:pStyle w:val="ListParagraph"/>
        <w:numPr>
          <w:ilvl w:val="0"/>
          <w:numId w:val="88"/>
        </w:numPr>
        <w:ind w:left="1080" w:hanging="450"/>
        <w:contextualSpacing/>
        <w:jc w:val="both"/>
        <w:rPr>
          <w:rFonts w:cs="Arial"/>
          <w:color w:val="0070C0"/>
          <w:sz w:val="20"/>
        </w:rPr>
      </w:pPr>
      <w:r w:rsidRPr="0026128B">
        <w:rPr>
          <w:rFonts w:cs="Arial"/>
          <w:color w:val="0070C0"/>
          <w:sz w:val="20"/>
        </w:rPr>
        <w:t>maintain a master file and a local file containing documents and information as may be prescribed;</w:t>
      </w:r>
    </w:p>
    <w:p w:rsidR="00A64BF6" w:rsidRPr="0026128B" w:rsidRDefault="00A64BF6" w:rsidP="00A64BF6">
      <w:pPr>
        <w:pStyle w:val="ListParagraph"/>
        <w:ind w:left="1080"/>
        <w:contextualSpacing/>
        <w:jc w:val="both"/>
        <w:rPr>
          <w:rFonts w:cs="Arial"/>
          <w:color w:val="0070C0"/>
          <w:sz w:val="20"/>
        </w:rPr>
      </w:pPr>
    </w:p>
    <w:p w:rsidR="006808FC" w:rsidRPr="0026128B" w:rsidRDefault="006808FC" w:rsidP="007B723E">
      <w:pPr>
        <w:pStyle w:val="ListParagraph"/>
        <w:numPr>
          <w:ilvl w:val="0"/>
          <w:numId w:val="88"/>
        </w:numPr>
        <w:ind w:left="1080" w:hanging="450"/>
        <w:contextualSpacing/>
        <w:jc w:val="both"/>
        <w:rPr>
          <w:rFonts w:cs="Arial"/>
          <w:color w:val="0070C0"/>
          <w:sz w:val="20"/>
        </w:rPr>
      </w:pPr>
      <w:r w:rsidRPr="0026128B">
        <w:rPr>
          <w:rFonts w:cs="Arial"/>
          <w:color w:val="0070C0"/>
          <w:sz w:val="20"/>
        </w:rPr>
        <w:t>keep and maintain prescribed country-by-country report, where applicable;</w:t>
      </w:r>
    </w:p>
    <w:p w:rsidR="00A64BF6" w:rsidRPr="0026128B" w:rsidRDefault="00A64BF6" w:rsidP="00A64BF6">
      <w:pPr>
        <w:pStyle w:val="ListParagraph"/>
        <w:rPr>
          <w:rFonts w:cs="Arial"/>
          <w:color w:val="0070C0"/>
          <w:sz w:val="20"/>
        </w:rPr>
      </w:pPr>
    </w:p>
    <w:p w:rsidR="006808FC" w:rsidRPr="0026128B" w:rsidRDefault="006808FC" w:rsidP="007B723E">
      <w:pPr>
        <w:pStyle w:val="ListParagraph"/>
        <w:numPr>
          <w:ilvl w:val="0"/>
          <w:numId w:val="88"/>
        </w:numPr>
        <w:ind w:left="1080" w:hanging="450"/>
        <w:contextualSpacing/>
        <w:jc w:val="both"/>
        <w:rPr>
          <w:rFonts w:cs="Arial"/>
          <w:color w:val="0070C0"/>
          <w:sz w:val="20"/>
        </w:rPr>
      </w:pPr>
      <w:r w:rsidRPr="0026128B">
        <w:rPr>
          <w:rFonts w:cs="Arial"/>
          <w:color w:val="0070C0"/>
          <w:sz w:val="20"/>
        </w:rPr>
        <w:t>keep and maintain any other information and document in respect of transaction with its associate as may be prescribed; and</w:t>
      </w:r>
    </w:p>
    <w:p w:rsidR="00A64BF6" w:rsidRPr="0026128B" w:rsidRDefault="00A64BF6" w:rsidP="00A64BF6">
      <w:pPr>
        <w:pStyle w:val="ListParagraph"/>
        <w:rPr>
          <w:rFonts w:cs="Arial"/>
          <w:color w:val="0070C0"/>
          <w:sz w:val="20"/>
        </w:rPr>
      </w:pPr>
    </w:p>
    <w:p w:rsidR="006808FC" w:rsidRPr="0026128B" w:rsidRDefault="006808FC" w:rsidP="007B723E">
      <w:pPr>
        <w:pStyle w:val="ListParagraph"/>
        <w:numPr>
          <w:ilvl w:val="0"/>
          <w:numId w:val="88"/>
        </w:numPr>
        <w:ind w:left="1080" w:hanging="450"/>
        <w:contextualSpacing/>
        <w:jc w:val="both"/>
        <w:rPr>
          <w:rFonts w:cs="Arial"/>
          <w:color w:val="0070C0"/>
          <w:sz w:val="20"/>
        </w:rPr>
      </w:pPr>
      <w:r w:rsidRPr="0026128B">
        <w:rPr>
          <w:rFonts w:cs="Arial"/>
          <w:color w:val="0070C0"/>
          <w:sz w:val="20"/>
        </w:rPr>
        <w:t>keep the files, documents, information and reports specified in clauses (a) to (c) for the period as may be prescribed.</w:t>
      </w:r>
    </w:p>
    <w:p w:rsidR="00A64BF6" w:rsidRPr="0026128B" w:rsidRDefault="00A64BF6" w:rsidP="00A64BF6">
      <w:pPr>
        <w:pStyle w:val="ListParagraph"/>
        <w:rPr>
          <w:rFonts w:cs="Arial"/>
          <w:color w:val="0070C0"/>
          <w:sz w:val="20"/>
        </w:rPr>
      </w:pPr>
    </w:p>
    <w:p w:rsidR="006808FC" w:rsidRPr="0026128B" w:rsidRDefault="00A64BF6" w:rsidP="00A64BF6">
      <w:pPr>
        <w:ind w:firstLine="540"/>
        <w:jc w:val="both"/>
        <w:rPr>
          <w:rFonts w:cs="Arial"/>
          <w:color w:val="0070C0"/>
          <w:sz w:val="20"/>
        </w:rPr>
      </w:pPr>
      <w:r w:rsidRPr="0026128B">
        <w:rPr>
          <w:rFonts w:cs="Arial"/>
          <w:color w:val="0070C0"/>
          <w:sz w:val="20"/>
        </w:rPr>
        <w:t xml:space="preserve"> </w:t>
      </w:r>
      <w:r w:rsidR="006808FC" w:rsidRPr="0026128B">
        <w:rPr>
          <w:rFonts w:cs="Arial"/>
          <w:color w:val="0070C0"/>
          <w:sz w:val="20"/>
        </w:rPr>
        <w:t>(4)</w:t>
      </w:r>
      <w:r w:rsidR="006808FC" w:rsidRPr="0026128B">
        <w:rPr>
          <w:rFonts w:cs="Arial"/>
          <w:color w:val="0070C0"/>
          <w:sz w:val="20"/>
        </w:rPr>
        <w:tab/>
        <w:t>A taxpayer who has entered into a transaction with its associate shall furnish, within thirty days the documents and information to be kept and maintained under sub-section (3) if required by the Commissioner in the course of any proceedings under this Ordinance.;</w:t>
      </w:r>
    </w:p>
    <w:p w:rsidR="00A64BF6" w:rsidRPr="0026128B" w:rsidRDefault="00A64BF6" w:rsidP="00A64BF6">
      <w:pPr>
        <w:ind w:firstLine="540"/>
        <w:jc w:val="both"/>
        <w:rPr>
          <w:rFonts w:cs="Arial"/>
          <w:color w:val="0070C0"/>
          <w:sz w:val="20"/>
        </w:rPr>
      </w:pPr>
    </w:p>
    <w:p w:rsidR="006808FC" w:rsidRPr="0026128B" w:rsidRDefault="006808FC" w:rsidP="00A64BF6">
      <w:pPr>
        <w:ind w:firstLine="630"/>
        <w:jc w:val="both"/>
        <w:rPr>
          <w:rFonts w:cs="Arial"/>
          <w:color w:val="0070C0"/>
          <w:sz w:val="20"/>
        </w:rPr>
      </w:pPr>
      <w:r w:rsidRPr="0026128B">
        <w:rPr>
          <w:rFonts w:cs="Arial"/>
          <w:color w:val="0070C0"/>
          <w:sz w:val="20"/>
        </w:rPr>
        <w:t>(5)</w:t>
      </w:r>
      <w:r w:rsidRPr="0026128B">
        <w:rPr>
          <w:rFonts w:cs="Arial"/>
          <w:color w:val="0070C0"/>
          <w:sz w:val="20"/>
        </w:rPr>
        <w:tab/>
        <w:t>The Commissioner may, by an order in writing, grant the taxpayer an extension of time for furnishing the documents and information under sub-section (4), if the taxpayer applies in writing to the Commissioner for an extension of time to furnish the said documents or information:</w:t>
      </w:r>
    </w:p>
    <w:p w:rsidR="00A64BF6" w:rsidRPr="0026128B" w:rsidRDefault="00A64BF6" w:rsidP="00A64BF6">
      <w:pPr>
        <w:ind w:firstLine="630"/>
        <w:jc w:val="both"/>
        <w:rPr>
          <w:rFonts w:cs="Arial"/>
          <w:color w:val="0070C0"/>
          <w:sz w:val="20"/>
        </w:rPr>
      </w:pPr>
    </w:p>
    <w:p w:rsidR="006808FC" w:rsidRPr="0026128B" w:rsidRDefault="006808FC" w:rsidP="00A64BF6">
      <w:pPr>
        <w:ind w:firstLine="630"/>
        <w:jc w:val="both"/>
        <w:rPr>
          <w:rFonts w:cs="Arial"/>
          <w:color w:val="0070C0"/>
          <w:sz w:val="20"/>
        </w:rPr>
      </w:pPr>
      <w:r w:rsidRPr="0026128B">
        <w:rPr>
          <w:rFonts w:cs="Arial"/>
          <w:color w:val="0070C0"/>
          <w:sz w:val="20"/>
        </w:rPr>
        <w:t>Provided that the Commissioner shall not grant an extension of more than forty-five days, when such information or documents were required to be furnished under sub-section (4), unless there are exceptional circumstances justifying a longer extension of time.”]</w:t>
      </w:r>
    </w:p>
    <w:p w:rsidR="006808FC" w:rsidRDefault="006808FC">
      <w:pPr>
        <w:jc w:val="both"/>
        <w:rPr>
          <w:rFonts w:cs="Arial"/>
          <w:sz w:val="20"/>
        </w:rPr>
      </w:pPr>
    </w:p>
    <w:p w:rsidR="006808FC" w:rsidRPr="00412620" w:rsidRDefault="006808FC">
      <w:pPr>
        <w:jc w:val="both"/>
        <w:rPr>
          <w:rFonts w:cs="Arial"/>
          <w:sz w:val="20"/>
        </w:rPr>
      </w:pPr>
    </w:p>
    <w:p w:rsidR="006A3F93" w:rsidRPr="00412620" w:rsidRDefault="006A3F93">
      <w:pPr>
        <w:jc w:val="both"/>
        <w:rPr>
          <w:sz w:val="20"/>
        </w:rPr>
      </w:pPr>
      <w:r w:rsidRPr="00412620">
        <w:rPr>
          <w:rFonts w:cs="Arial"/>
          <w:b/>
          <w:sz w:val="20"/>
        </w:rPr>
        <w:lastRenderedPageBreak/>
        <w:t>109.</w:t>
      </w:r>
      <w:r w:rsidRPr="00412620">
        <w:rPr>
          <w:rFonts w:cs="Arial"/>
          <w:b/>
          <w:sz w:val="20"/>
        </w:rPr>
        <w:tab/>
        <w:t>Recharacterisation of income and deductions.</w:t>
      </w:r>
      <w:r w:rsidR="00BC3ABA" w:rsidRPr="00412620">
        <w:rPr>
          <w:rFonts w:cs="Arial"/>
          <w:sz w:val="20"/>
        </w:rPr>
        <w:t xml:space="preserve"> —</w:t>
      </w:r>
      <w:r w:rsidRPr="00412620">
        <w:rPr>
          <w:sz w:val="20"/>
        </w:rPr>
        <w:t xml:space="preserve"> (1)  For the purposes of determining liability to tax under this Ordinance, the Commissioner may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recharacterise a transaction or an element of a transaction that was entered into as part of a tax avoidance scheme;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disregard a transaction that does not have substantial economic effect; or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recharacterise a transaction where the form of the transaction does not reflect the substance.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In this section, “tax avoidance scheme” means any transaction where one of the main purposes of a person in entering into the transaction is the avoidance or reduction of any person’s liability to tax under this Ordinance.</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110.</w:t>
      </w:r>
      <w:r w:rsidRPr="00412620">
        <w:rPr>
          <w:rFonts w:cs="Arial"/>
          <w:b/>
          <w:sz w:val="20"/>
        </w:rPr>
        <w:tab/>
        <w:t>Salary paid by private companies.</w:t>
      </w:r>
      <w:r w:rsidR="00BC3ABA" w:rsidRPr="00412620">
        <w:rPr>
          <w:rFonts w:cs="Arial"/>
          <w:sz w:val="20"/>
        </w:rPr>
        <w:t xml:space="preserve"> —</w:t>
      </w:r>
      <w:r w:rsidRPr="00412620">
        <w:rPr>
          <w:sz w:val="20"/>
        </w:rPr>
        <w:t xml:space="preserve"> Where, in any tax year, salary is paid by a private company to an employee of the company for services rendered by the employee in an earlier tax year and the salary has not been included in the employee’s salary chargeable to tax in that earlier year, the Commissioner may, if there are reasonable grounds to believe that payment of the salary was deferred, include the amount in the employee’s income under the head “Salary” in that earlier year.</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111.</w:t>
      </w:r>
      <w:r w:rsidRPr="00412620">
        <w:rPr>
          <w:rFonts w:cs="Arial"/>
          <w:b/>
          <w:sz w:val="20"/>
        </w:rPr>
        <w:tab/>
        <w:t>Unexplained income or assets.</w:t>
      </w:r>
      <w:r w:rsidR="00BC3ABA" w:rsidRPr="00412620">
        <w:rPr>
          <w:rFonts w:cs="Arial"/>
          <w:sz w:val="20"/>
        </w:rPr>
        <w:t xml:space="preserve"> —</w:t>
      </w:r>
      <w:r w:rsidRPr="00412620">
        <w:rPr>
          <w:sz w:val="20"/>
        </w:rPr>
        <w:t xml:space="preserve"> (1)  Where </w:t>
      </w:r>
      <w:r w:rsidR="00034779"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any amount is credited in a person’s books of account;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a person has made any investment or is the owner of any money or valuable article; </w:t>
      </w:r>
      <w:r w:rsidR="00AF73DF" w:rsidRPr="00412620">
        <w:rPr>
          <w:rStyle w:val="FootnoteReference"/>
          <w:rFonts w:cs="Arial"/>
          <w:sz w:val="20"/>
        </w:rPr>
        <w:footnoteReference w:id="546"/>
      </w:r>
      <w:r w:rsidR="00AF73DF" w:rsidRPr="00412620">
        <w:rPr>
          <w:rFonts w:cs="Arial"/>
          <w:sz w:val="20"/>
        </w:rPr>
        <w:t>[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a person has incurred any expenditure</w:t>
      </w:r>
      <w:r w:rsidR="00034779" w:rsidRPr="00412620">
        <w:rPr>
          <w:rStyle w:val="FootnoteReference"/>
          <w:rFonts w:cs="Arial"/>
          <w:sz w:val="20"/>
        </w:rPr>
        <w:footnoteReference w:id="547"/>
      </w:r>
      <w:r w:rsidR="00034779" w:rsidRPr="00412620">
        <w:rPr>
          <w:rFonts w:cs="Arial"/>
          <w:sz w:val="20"/>
        </w:rPr>
        <w:t>[; or]</w:t>
      </w:r>
    </w:p>
    <w:p w:rsidR="006A3F93" w:rsidRPr="004523C8" w:rsidRDefault="006A3F93">
      <w:pPr>
        <w:jc w:val="both"/>
        <w:rPr>
          <w:rFonts w:cs="Arial"/>
          <w:sz w:val="12"/>
        </w:rPr>
      </w:pPr>
    </w:p>
    <w:p w:rsidR="00034779" w:rsidRPr="00412620" w:rsidRDefault="00B54BD8" w:rsidP="00034779">
      <w:pPr>
        <w:ind w:left="1620" w:hanging="525"/>
        <w:jc w:val="both"/>
        <w:rPr>
          <w:rFonts w:cs="Arial"/>
          <w:sz w:val="20"/>
        </w:rPr>
      </w:pPr>
      <w:r w:rsidRPr="00412620">
        <w:rPr>
          <w:rStyle w:val="FootnoteReference"/>
          <w:rFonts w:cs="Arial"/>
          <w:sz w:val="20"/>
        </w:rPr>
        <w:footnoteReference w:id="548"/>
      </w:r>
      <w:r w:rsidR="00034779" w:rsidRPr="00412620">
        <w:rPr>
          <w:rFonts w:cs="Arial"/>
          <w:sz w:val="20"/>
        </w:rPr>
        <w:t xml:space="preserve">[(d) </w:t>
      </w:r>
      <w:r w:rsidR="00034779" w:rsidRPr="00412620">
        <w:rPr>
          <w:rFonts w:cs="Arial"/>
          <w:sz w:val="20"/>
        </w:rPr>
        <w:tab/>
        <w:t>any person has concealed income or furnished inaccurate particulars of income including —</w:t>
      </w:r>
    </w:p>
    <w:p w:rsidR="00034779" w:rsidRPr="004523C8" w:rsidRDefault="00034779">
      <w:pPr>
        <w:jc w:val="both"/>
        <w:rPr>
          <w:rFonts w:cs="Arial"/>
          <w:sz w:val="12"/>
        </w:rPr>
      </w:pPr>
    </w:p>
    <w:p w:rsidR="00034779" w:rsidRPr="00412620" w:rsidRDefault="00034779" w:rsidP="00034779">
      <w:pPr>
        <w:ind w:left="2188" w:hanging="553"/>
        <w:jc w:val="both"/>
        <w:rPr>
          <w:rFonts w:cs="Arial"/>
          <w:sz w:val="20"/>
        </w:rPr>
      </w:pPr>
      <w:r w:rsidRPr="00412620">
        <w:rPr>
          <w:rFonts w:cs="Arial"/>
          <w:sz w:val="20"/>
        </w:rPr>
        <w:t xml:space="preserve">(i) </w:t>
      </w:r>
      <w:r w:rsidRPr="00412620">
        <w:rPr>
          <w:rFonts w:cs="Arial"/>
          <w:sz w:val="20"/>
        </w:rPr>
        <w:tab/>
        <w:t xml:space="preserve">the suppression of any production, sales or any amount chargeable to tax; or </w:t>
      </w:r>
    </w:p>
    <w:p w:rsidR="00034779" w:rsidRPr="004523C8" w:rsidRDefault="00034779">
      <w:pPr>
        <w:jc w:val="both"/>
        <w:rPr>
          <w:rFonts w:cs="Arial"/>
          <w:sz w:val="12"/>
        </w:rPr>
      </w:pPr>
    </w:p>
    <w:p w:rsidR="00034779" w:rsidRPr="00412620" w:rsidRDefault="00034779" w:rsidP="00034779">
      <w:pPr>
        <w:ind w:left="2188" w:hanging="553"/>
        <w:jc w:val="both"/>
        <w:rPr>
          <w:rFonts w:cs="Arial"/>
          <w:sz w:val="20"/>
        </w:rPr>
      </w:pPr>
      <w:r w:rsidRPr="00412620">
        <w:rPr>
          <w:rFonts w:cs="Arial"/>
          <w:sz w:val="20"/>
        </w:rPr>
        <w:t xml:space="preserve">(ii) </w:t>
      </w:r>
      <w:r w:rsidRPr="00412620">
        <w:rPr>
          <w:rFonts w:cs="Arial"/>
          <w:sz w:val="20"/>
        </w:rPr>
        <w:tab/>
        <w:t>the suppression of any item of receipt liable to tax in whole</w:t>
      </w:r>
      <w:r w:rsidR="00405FDF" w:rsidRPr="00412620">
        <w:rPr>
          <w:rFonts w:cs="Arial"/>
          <w:sz w:val="20"/>
        </w:rPr>
        <w:t xml:space="preserve"> or</w:t>
      </w:r>
      <w:r w:rsidRPr="00412620">
        <w:rPr>
          <w:rFonts w:cs="Arial"/>
          <w:sz w:val="20"/>
        </w:rPr>
        <w:t xml:space="preserve"> in part,]</w:t>
      </w:r>
    </w:p>
    <w:p w:rsidR="00034779" w:rsidRPr="004523C8" w:rsidRDefault="00034779">
      <w:pPr>
        <w:jc w:val="both"/>
        <w:rPr>
          <w:rFonts w:cs="Arial"/>
          <w:sz w:val="12"/>
        </w:rPr>
      </w:pPr>
    </w:p>
    <w:p w:rsidR="006A3F93" w:rsidRPr="00412620" w:rsidRDefault="006A3F93">
      <w:pPr>
        <w:jc w:val="both"/>
        <w:rPr>
          <w:rFonts w:cs="Arial"/>
          <w:sz w:val="20"/>
        </w:rPr>
      </w:pPr>
      <w:r w:rsidRPr="00412620">
        <w:rPr>
          <w:rFonts w:cs="Arial"/>
          <w:sz w:val="20"/>
        </w:rPr>
        <w:t xml:space="preserve">and the person offers no explanation about the nature and source of the amount credited or the investment, money, valuable article, or funds from which the </w:t>
      </w:r>
      <w:r w:rsidRPr="00412620">
        <w:rPr>
          <w:rFonts w:cs="Arial"/>
          <w:sz w:val="20"/>
        </w:rPr>
        <w:lastRenderedPageBreak/>
        <w:t xml:space="preserve">expenditure was made </w:t>
      </w:r>
      <w:r w:rsidR="008E5A34" w:rsidRPr="00412620">
        <w:rPr>
          <w:rStyle w:val="FootnoteReference"/>
          <w:rFonts w:cs="Arial"/>
          <w:sz w:val="20"/>
        </w:rPr>
        <w:footnoteReference w:id="549"/>
      </w:r>
      <w:r w:rsidR="008E5A34" w:rsidRPr="00412620">
        <w:rPr>
          <w:rFonts w:cs="Arial"/>
          <w:sz w:val="20"/>
        </w:rPr>
        <w:t xml:space="preserve">[suppression of any production, sales, any amount chargeable to tax and of any item of receipt liable to tax] </w:t>
      </w:r>
      <w:r w:rsidRPr="00412620">
        <w:rPr>
          <w:rFonts w:cs="Arial"/>
          <w:sz w:val="20"/>
        </w:rPr>
        <w:t xml:space="preserve">or the explanation offered by the person is not, in the Commissioner’s opinion, satisfactory, the amount credited, value of the investment, money, value of the article, or amount of expenditure </w:t>
      </w:r>
      <w:r w:rsidR="00583740" w:rsidRPr="00412620">
        <w:rPr>
          <w:rStyle w:val="FootnoteReference"/>
          <w:rFonts w:cs="Arial"/>
          <w:sz w:val="20"/>
        </w:rPr>
        <w:footnoteReference w:id="550"/>
      </w:r>
      <w:r w:rsidR="00B35458" w:rsidRPr="00412620">
        <w:rPr>
          <w:rFonts w:cs="Arial"/>
          <w:sz w:val="20"/>
        </w:rPr>
        <w:t xml:space="preserve">[suppressed amount of production, sales or any amount chargeable to tax or of any item of receipt liable to tax] </w:t>
      </w:r>
      <w:r w:rsidRPr="00412620">
        <w:rPr>
          <w:rFonts w:cs="Arial"/>
          <w:sz w:val="20"/>
        </w:rPr>
        <w:t xml:space="preserve">shall be included in the person’s income chargeable to tax under head “Income from </w:t>
      </w:r>
      <w:r w:rsidRPr="00412620">
        <w:rPr>
          <w:rStyle w:val="FootnoteReference"/>
          <w:rFonts w:cs="Arial"/>
          <w:sz w:val="20"/>
        </w:rPr>
        <w:footnoteReference w:id="551"/>
      </w:r>
      <w:r w:rsidRPr="00412620">
        <w:rPr>
          <w:rFonts w:cs="Arial"/>
          <w:sz w:val="20"/>
        </w:rPr>
        <w:t>[Other Sources”] to the extent</w:t>
      </w:r>
      <w:r w:rsidR="00192D7D" w:rsidRPr="00412620">
        <w:rPr>
          <w:rFonts w:cs="Arial"/>
          <w:sz w:val="20"/>
        </w:rPr>
        <w:t xml:space="preserve"> it is not adequately explained </w:t>
      </w:r>
      <w:r w:rsidR="00192D7D" w:rsidRPr="00412620">
        <w:rPr>
          <w:rStyle w:val="FootnoteReference"/>
          <w:rFonts w:cs="Arial"/>
          <w:sz w:val="20"/>
        </w:rPr>
        <w:footnoteReference w:id="552"/>
      </w:r>
      <w:r w:rsidR="00192D7D" w:rsidRPr="00412620">
        <w:rPr>
          <w:rFonts w:cs="Arial"/>
          <w:sz w:val="20"/>
        </w:rPr>
        <w:t>[:]</w:t>
      </w:r>
    </w:p>
    <w:p w:rsidR="00192D7D" w:rsidRPr="004523C8" w:rsidRDefault="00192D7D">
      <w:pPr>
        <w:jc w:val="both"/>
        <w:rPr>
          <w:rFonts w:cs="Arial"/>
          <w:sz w:val="12"/>
        </w:rPr>
      </w:pPr>
    </w:p>
    <w:p w:rsidR="00192D7D" w:rsidRPr="00412620" w:rsidRDefault="00192D7D" w:rsidP="00192D7D">
      <w:pPr>
        <w:ind w:left="1094" w:firstLine="547"/>
        <w:jc w:val="both"/>
        <w:rPr>
          <w:rFonts w:cs="Arial"/>
          <w:sz w:val="20"/>
        </w:rPr>
      </w:pPr>
      <w:r w:rsidRPr="00412620">
        <w:rPr>
          <w:rStyle w:val="FootnoteReference"/>
          <w:rFonts w:cs="Arial"/>
          <w:sz w:val="20"/>
        </w:rPr>
        <w:footnoteReference w:id="553"/>
      </w:r>
      <w:r w:rsidRPr="00412620">
        <w:rPr>
          <w:rFonts w:cs="Arial"/>
          <w:sz w:val="20"/>
        </w:rPr>
        <w:t>[Provided that where a taxpayer explains the nature and source of the amount credited or the investment made, money or valuable article owned or funds from which the expenditure was made, by way of agricultural income, such explanation shall be accepted to the extent of agricultural income worked back on the basis of agricultural income tax paid under the relevant provincial law.]</w:t>
      </w:r>
    </w:p>
    <w:p w:rsidR="006A3F93" w:rsidRPr="004523C8" w:rsidRDefault="006A3F93">
      <w:pPr>
        <w:jc w:val="both"/>
        <w:rPr>
          <w:rFonts w:cs="Arial"/>
          <w:sz w:val="12"/>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The amount referred to in sub-section (1) shall be included in the person’s income chargeable to tax in the tax year </w:t>
      </w:r>
      <w:r w:rsidR="00DA229A" w:rsidRPr="00412620">
        <w:rPr>
          <w:rStyle w:val="FootnoteReference"/>
          <w:rFonts w:cs="Arial"/>
          <w:sz w:val="20"/>
        </w:rPr>
        <w:footnoteReference w:id="554"/>
      </w:r>
      <w:r w:rsidR="00DA229A" w:rsidRPr="00412620">
        <w:rPr>
          <w:rFonts w:cs="Arial"/>
          <w:sz w:val="20"/>
        </w:rPr>
        <w:t>[to which such amount relates]</w:t>
      </w:r>
      <w:r w:rsidRPr="00412620">
        <w:rPr>
          <w:rFonts w:cs="Arial"/>
          <w:sz w:val="20"/>
        </w:rPr>
        <w:t>.</w:t>
      </w:r>
    </w:p>
    <w:p w:rsidR="006A3F93" w:rsidRPr="004523C8" w:rsidRDefault="006A3F93">
      <w:pPr>
        <w:jc w:val="both"/>
        <w:rPr>
          <w:rFonts w:cs="Arial"/>
          <w:sz w:val="12"/>
        </w:rPr>
      </w:pPr>
    </w:p>
    <w:p w:rsidR="006A3F93" w:rsidRPr="00412620" w:rsidRDefault="006A3F93" w:rsidP="00D6086A">
      <w:pPr>
        <w:ind w:firstLine="547"/>
        <w:jc w:val="both"/>
        <w:rPr>
          <w:rFonts w:cs="Arial"/>
          <w:sz w:val="20"/>
        </w:rPr>
      </w:pPr>
      <w:r w:rsidRPr="00412620">
        <w:rPr>
          <w:rStyle w:val="FootnoteReference"/>
          <w:rFonts w:cs="Arial"/>
          <w:sz w:val="20"/>
        </w:rPr>
        <w:footnoteReference w:id="555"/>
      </w:r>
      <w:r w:rsidRPr="00412620">
        <w:rPr>
          <w:rFonts w:cs="Arial"/>
          <w:sz w:val="20"/>
        </w:rPr>
        <w:t>[(3)</w:t>
      </w:r>
      <w:r w:rsidRPr="00412620">
        <w:rPr>
          <w:rFonts w:cs="Arial"/>
          <w:sz w:val="20"/>
        </w:rPr>
        <w:tab/>
        <w:t xml:space="preserve">Where the declared cost of any investment or valuable article or the declared amount of expenditure of a person is less than reasonable cost of the investment or the valuable article, or the reasonable amount of the expenditure, the Commissioner may, having regard to all the circumstances, include the difference in the person’s income chargeable to tax under the head “Income from Other Sources” in the tax year </w:t>
      </w:r>
      <w:r w:rsidR="00B6277B" w:rsidRPr="00412620">
        <w:rPr>
          <w:rStyle w:val="FootnoteReference"/>
          <w:rFonts w:cs="Arial"/>
          <w:sz w:val="20"/>
        </w:rPr>
        <w:footnoteReference w:id="556"/>
      </w:r>
      <w:r w:rsidR="00B6277B" w:rsidRPr="00412620">
        <w:rPr>
          <w:rFonts w:cs="Arial"/>
          <w:sz w:val="20"/>
        </w:rPr>
        <w:t>[to which the investment, valuable article or the expenditure relates]</w:t>
      </w:r>
      <w:r w:rsidRPr="00412620">
        <w:rPr>
          <w:rFonts w:cs="Arial"/>
          <w:sz w:val="20"/>
        </w:rPr>
        <w:t>.]</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lastRenderedPageBreak/>
        <w:footnoteReference w:id="557"/>
      </w:r>
      <w:r w:rsidRPr="00412620">
        <w:rPr>
          <w:rFonts w:cs="Arial"/>
          <w:sz w:val="20"/>
        </w:rPr>
        <w:t>[(4)</w:t>
      </w:r>
      <w:r w:rsidRPr="00412620">
        <w:rPr>
          <w:rFonts w:cs="Arial"/>
          <w:sz w:val="20"/>
        </w:rPr>
        <w:tab/>
        <w:t>Sub-section (1) does not apply,</w:t>
      </w:r>
      <w:r w:rsidR="00034779" w:rsidRPr="00412620">
        <w:rPr>
          <w:rFonts w:cs="Arial"/>
          <w:sz w:val="20"/>
        </w:rPr>
        <w:t xml:space="preserve"> —</w:t>
      </w:r>
    </w:p>
    <w:p w:rsidR="006A3F93" w:rsidRPr="00412620" w:rsidRDefault="006A3F93">
      <w:pPr>
        <w:jc w:val="both"/>
        <w:rPr>
          <w:rFonts w:cs="Arial"/>
          <w:sz w:val="20"/>
        </w:rPr>
      </w:pPr>
    </w:p>
    <w:p w:rsidR="006A3F93" w:rsidRPr="00412620" w:rsidRDefault="006A3F93">
      <w:pPr>
        <w:numPr>
          <w:ilvl w:val="0"/>
          <w:numId w:val="16"/>
        </w:numPr>
        <w:jc w:val="both"/>
        <w:rPr>
          <w:sz w:val="20"/>
        </w:rPr>
      </w:pPr>
      <w:r w:rsidRPr="00412620">
        <w:rPr>
          <w:sz w:val="20"/>
        </w:rPr>
        <w:t>to any amount of foreign exchange remitted from outside Pakistan through normal banking channels that is encashed into rupees by a scheduled bank and a certificate from such bank is produced to that effect</w:t>
      </w:r>
      <w:r w:rsidR="00515356" w:rsidRPr="00412620">
        <w:rPr>
          <w:rStyle w:val="FootnoteReference"/>
          <w:sz w:val="20"/>
        </w:rPr>
        <w:footnoteReference w:id="558"/>
      </w:r>
      <w:r w:rsidR="00515356" w:rsidRPr="00412620">
        <w:rPr>
          <w:sz w:val="20"/>
        </w:rPr>
        <w:t xml:space="preserve">[.] </w:t>
      </w:r>
    </w:p>
    <w:p w:rsidR="006A3F93" w:rsidRPr="00412620" w:rsidRDefault="006A3F93">
      <w:pPr>
        <w:ind w:left="1095"/>
        <w:jc w:val="both"/>
        <w:rPr>
          <w:rFonts w:cs="Arial"/>
          <w:sz w:val="20"/>
        </w:rPr>
      </w:pPr>
    </w:p>
    <w:p w:rsidR="00AF2AF6" w:rsidRPr="00412620" w:rsidRDefault="00AF2AF6">
      <w:pPr>
        <w:ind w:left="1095"/>
        <w:jc w:val="both"/>
        <w:rPr>
          <w:rFonts w:cs="Arial"/>
          <w:sz w:val="20"/>
        </w:rPr>
      </w:pPr>
      <w:r w:rsidRPr="00412620">
        <w:rPr>
          <w:rStyle w:val="FootnoteReference"/>
          <w:rFonts w:cs="Arial"/>
          <w:sz w:val="20"/>
        </w:rPr>
        <w:footnoteReference w:id="559"/>
      </w:r>
      <w:r w:rsidRPr="00412620">
        <w:rPr>
          <w:rFonts w:cs="Arial"/>
          <w:sz w:val="20"/>
        </w:rPr>
        <w:t>[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The </w:t>
      </w:r>
      <w:r w:rsidR="009B17E6" w:rsidRPr="00412620">
        <w:rPr>
          <w:rStyle w:val="FootnoteReference"/>
          <w:rFonts w:cs="Arial"/>
          <w:sz w:val="20"/>
        </w:rPr>
        <w:footnoteReference w:id="560"/>
      </w:r>
      <w:r w:rsidR="009B17E6" w:rsidRPr="00412620">
        <w:rPr>
          <w:rFonts w:cs="Arial"/>
          <w:sz w:val="20"/>
        </w:rPr>
        <w:t>[</w:t>
      </w:r>
      <w:r w:rsidRPr="00412620">
        <w:rPr>
          <w:rFonts w:cs="Arial"/>
          <w:sz w:val="20"/>
        </w:rPr>
        <w:t>Board</w:t>
      </w:r>
      <w:r w:rsidR="009B17E6" w:rsidRPr="00412620">
        <w:rPr>
          <w:rFonts w:cs="Arial"/>
          <w:sz w:val="20"/>
        </w:rPr>
        <w:t>]</w:t>
      </w:r>
      <w:r w:rsidRPr="00412620">
        <w:rPr>
          <w:rFonts w:cs="Arial"/>
          <w:sz w:val="20"/>
        </w:rPr>
        <w:t xml:space="preserve"> may make rules under section </w:t>
      </w:r>
      <w:r w:rsidRPr="00412620">
        <w:rPr>
          <w:rStyle w:val="FootnoteReference"/>
          <w:rFonts w:cs="Arial"/>
          <w:sz w:val="20"/>
        </w:rPr>
        <w:footnoteReference w:id="561"/>
      </w:r>
      <w:r w:rsidRPr="00412620">
        <w:rPr>
          <w:rFonts w:cs="Arial"/>
          <w:sz w:val="20"/>
        </w:rPr>
        <w:t>[237]</w:t>
      </w:r>
      <w:r w:rsidR="00376629">
        <w:rPr>
          <w:rFonts w:cs="Arial"/>
          <w:sz w:val="20"/>
        </w:rPr>
        <w:t xml:space="preserve"> </w:t>
      </w:r>
      <w:r w:rsidRPr="00412620">
        <w:rPr>
          <w:rFonts w:cs="Arial"/>
          <w:sz w:val="20"/>
        </w:rPr>
        <w:t xml:space="preserve">for the purposes of this section. </w:t>
      </w:r>
    </w:p>
    <w:p w:rsidR="006A3F93" w:rsidRPr="00412620" w:rsidRDefault="006A3F93">
      <w:pPr>
        <w:jc w:val="both"/>
        <w:rPr>
          <w:rFonts w:cs="Arial"/>
          <w:sz w:val="20"/>
        </w:rPr>
      </w:pPr>
    </w:p>
    <w:p w:rsidR="006A3F93" w:rsidRPr="00412620" w:rsidRDefault="006A3F93">
      <w:pPr>
        <w:jc w:val="both"/>
        <w:rPr>
          <w:sz w:val="20"/>
          <w:lang w:val="en-GB"/>
        </w:rPr>
      </w:pPr>
      <w:r w:rsidRPr="00412620">
        <w:rPr>
          <w:rFonts w:cs="Arial"/>
          <w:b/>
          <w:sz w:val="20"/>
        </w:rPr>
        <w:t>112.</w:t>
      </w:r>
      <w:r w:rsidRPr="00412620">
        <w:rPr>
          <w:sz w:val="20"/>
        </w:rPr>
        <w:tab/>
      </w:r>
      <w:r w:rsidRPr="00412620">
        <w:rPr>
          <w:b/>
          <w:sz w:val="20"/>
          <w:lang w:val="en-GB"/>
        </w:rPr>
        <w:t>Liability in respect of certain security transactions.</w:t>
      </w:r>
      <w:r w:rsidR="00BC3ABA" w:rsidRPr="00412620">
        <w:rPr>
          <w:rFonts w:cs="Arial"/>
          <w:sz w:val="20"/>
        </w:rPr>
        <w:t xml:space="preserve"> —</w:t>
      </w:r>
      <w:r w:rsidRPr="00412620">
        <w:rPr>
          <w:sz w:val="20"/>
          <w:lang w:val="en-GB"/>
        </w:rPr>
        <w:t xml:space="preserve"> (1) Where the owner of any security disposes of the security and thereafter re-acquires the security and the result of the transaction is that any income payable in respect of the security is receivable by any person other than the owner, the income shall be treated, for all purposes of the Ordinance, as the income of the owner and not of the other person. </w:t>
      </w:r>
    </w:p>
    <w:p w:rsidR="006A3F93" w:rsidRPr="00412620" w:rsidRDefault="006A3F93">
      <w:pPr>
        <w:rPr>
          <w:rFonts w:cs="Arial"/>
          <w:sz w:val="20"/>
        </w:rPr>
      </w:pPr>
      <w:r w:rsidRPr="00412620">
        <w:rPr>
          <w:rFonts w:cs="Arial"/>
          <w:sz w:val="20"/>
        </w:rPr>
        <w:tab/>
        <w:t>(2)</w:t>
      </w:r>
      <w:r w:rsidRPr="00412620">
        <w:rPr>
          <w:rFonts w:cs="Arial"/>
          <w:sz w:val="20"/>
        </w:rPr>
        <w:tab/>
        <w:t xml:space="preserve">In this section, “security” includes </w:t>
      </w:r>
      <w:r w:rsidR="005568D3" w:rsidRPr="00412620">
        <w:rPr>
          <w:rStyle w:val="FootnoteReference"/>
          <w:rFonts w:cs="Arial"/>
          <w:sz w:val="20"/>
        </w:rPr>
        <w:footnoteReference w:id="562"/>
      </w:r>
      <w:r w:rsidRPr="00412620">
        <w:rPr>
          <w:rFonts w:cs="Arial"/>
          <w:sz w:val="20"/>
        </w:rPr>
        <w:t>[bonds, certificates, debentures,] stocks and shares.</w:t>
      </w:r>
    </w:p>
    <w:p w:rsidR="006A3F93" w:rsidRPr="00412620" w:rsidRDefault="000E2D02">
      <w:pPr>
        <w:pStyle w:val="Heading2"/>
        <w:spacing w:line="240" w:lineRule="auto"/>
        <w:rPr>
          <w:rFonts w:cs="Arial"/>
          <w:sz w:val="32"/>
          <w:szCs w:val="32"/>
        </w:rPr>
      </w:pPr>
      <w:r w:rsidRPr="00412620">
        <w:rPr>
          <w:rFonts w:cs="Arial"/>
          <w:sz w:val="20"/>
        </w:rPr>
        <w:br w:type="page"/>
      </w:r>
      <w:r w:rsidR="006A3F93" w:rsidRPr="00412620">
        <w:rPr>
          <w:rFonts w:cs="Arial"/>
          <w:sz w:val="32"/>
          <w:szCs w:val="32"/>
        </w:rPr>
        <w:lastRenderedPageBreak/>
        <w:t xml:space="preserve">CHAPTER IX </w:t>
      </w:r>
    </w:p>
    <w:p w:rsidR="006A3F93" w:rsidRPr="00412620" w:rsidRDefault="006A3F93">
      <w:pPr>
        <w:keepNext/>
        <w:jc w:val="center"/>
        <w:rPr>
          <w:rFonts w:cs="Arial"/>
          <w:b/>
          <w:sz w:val="20"/>
        </w:rPr>
      </w:pPr>
      <w:r w:rsidRPr="00412620">
        <w:rPr>
          <w:rFonts w:cs="Arial"/>
          <w:b/>
          <w:sz w:val="20"/>
        </w:rPr>
        <w:t>MINIMUM TAX</w:t>
      </w:r>
    </w:p>
    <w:p w:rsidR="006A3F93" w:rsidRPr="00412620" w:rsidRDefault="006A3F93">
      <w:pPr>
        <w:pStyle w:val="C"/>
        <w:keepNext/>
        <w:widowControl/>
        <w:spacing w:before="0" w:after="0"/>
        <w:jc w:val="left"/>
        <w:rPr>
          <w:rFonts w:ascii="Arial" w:hAnsi="Arial"/>
          <w:sz w:val="20"/>
          <w:lang w:val="en-AU"/>
        </w:rPr>
      </w:pPr>
    </w:p>
    <w:p w:rsidR="00C67407" w:rsidRPr="00412620" w:rsidRDefault="00B956C2" w:rsidP="00C67407">
      <w:pPr>
        <w:pStyle w:val="C"/>
        <w:keepNext/>
        <w:widowControl/>
        <w:spacing w:before="0" w:after="0"/>
        <w:jc w:val="both"/>
        <w:rPr>
          <w:rFonts w:ascii="Arial" w:hAnsi="Arial"/>
          <w:b w:val="0"/>
          <w:sz w:val="20"/>
          <w:lang w:val="en-AU"/>
        </w:rPr>
      </w:pPr>
      <w:r w:rsidRPr="00412620">
        <w:rPr>
          <w:rStyle w:val="FootnoteReference"/>
          <w:rFonts w:ascii="Arial" w:hAnsi="Arial"/>
          <w:b w:val="0"/>
          <w:sz w:val="20"/>
          <w:lang w:val="en-AU"/>
        </w:rPr>
        <w:footnoteReference w:id="563"/>
      </w:r>
      <w:r w:rsidRPr="00412620">
        <w:rPr>
          <w:rFonts w:ascii="Arial" w:hAnsi="Arial"/>
          <w:b w:val="0"/>
          <w:sz w:val="20"/>
          <w:lang w:val="en-AU"/>
        </w:rPr>
        <w:t>[</w:t>
      </w:r>
      <w:r w:rsidR="00C67407" w:rsidRPr="00412620">
        <w:rPr>
          <w:rFonts w:ascii="Arial" w:hAnsi="Arial"/>
          <w:sz w:val="20"/>
          <w:lang w:val="en-AU"/>
        </w:rPr>
        <w:t>113. Minimum tax on the income of certain persons.-</w:t>
      </w:r>
      <w:r w:rsidR="00C67407" w:rsidRPr="00412620">
        <w:rPr>
          <w:rFonts w:ascii="Arial" w:hAnsi="Arial"/>
          <w:b w:val="0"/>
          <w:sz w:val="20"/>
          <w:lang w:val="en-AU"/>
        </w:rPr>
        <w:t xml:space="preserve"> (1) This section shall apply to a resident company </w:t>
      </w:r>
      <w:r w:rsidR="00FB0C7D" w:rsidRPr="00412620">
        <w:rPr>
          <w:rStyle w:val="FootnoteReference"/>
          <w:rFonts w:ascii="Arial" w:hAnsi="Arial"/>
          <w:b w:val="0"/>
          <w:sz w:val="20"/>
          <w:lang w:val="en-AU"/>
        </w:rPr>
        <w:footnoteReference w:id="564"/>
      </w:r>
      <w:r w:rsidR="00290B65" w:rsidRPr="00412620">
        <w:rPr>
          <w:rFonts w:ascii="Arial" w:hAnsi="Arial"/>
          <w:b w:val="0"/>
          <w:sz w:val="20"/>
          <w:lang w:val="en-AU"/>
        </w:rPr>
        <w:t xml:space="preserve">[, an individual (having turnover of </w:t>
      </w:r>
      <w:r w:rsidR="009D71A4" w:rsidRPr="0026128B">
        <w:rPr>
          <w:rStyle w:val="FootnoteReference"/>
          <w:rFonts w:ascii="Arial" w:hAnsi="Arial"/>
          <w:b w:val="0"/>
          <w:color w:val="0070C0"/>
          <w:sz w:val="20"/>
          <w:lang w:val="en-AU"/>
        </w:rPr>
        <w:footnoteReference w:id="565"/>
      </w:r>
      <w:r w:rsidR="009D71A4" w:rsidRPr="0026128B">
        <w:rPr>
          <w:rFonts w:ascii="Arial" w:hAnsi="Arial"/>
          <w:b w:val="0"/>
          <w:color w:val="0070C0"/>
          <w:sz w:val="20"/>
          <w:lang w:val="en-AU"/>
        </w:rPr>
        <w:t>[ten]</w:t>
      </w:r>
      <w:r w:rsidR="009D71A4">
        <w:rPr>
          <w:rFonts w:ascii="Arial" w:hAnsi="Arial"/>
          <w:b w:val="0"/>
          <w:sz w:val="20"/>
          <w:lang w:val="en-AU"/>
        </w:rPr>
        <w:t xml:space="preserve"> </w:t>
      </w:r>
      <w:r w:rsidR="00290B65" w:rsidRPr="00412620">
        <w:rPr>
          <w:rFonts w:ascii="Arial" w:hAnsi="Arial"/>
          <w:b w:val="0"/>
          <w:sz w:val="20"/>
          <w:lang w:val="en-AU"/>
        </w:rPr>
        <w:t xml:space="preserve">million rupees or above in the tax year </w:t>
      </w:r>
      <w:r w:rsidR="005917BE" w:rsidRPr="0026128B">
        <w:rPr>
          <w:rStyle w:val="FootnoteReference"/>
          <w:rFonts w:ascii="Arial" w:hAnsi="Arial"/>
          <w:b w:val="0"/>
          <w:color w:val="0070C0"/>
          <w:sz w:val="20"/>
          <w:lang w:val="en-AU"/>
        </w:rPr>
        <w:footnoteReference w:id="566"/>
      </w:r>
      <w:r w:rsidR="005917BE" w:rsidRPr="0026128B">
        <w:rPr>
          <w:rFonts w:ascii="Arial" w:hAnsi="Arial"/>
          <w:b w:val="0"/>
          <w:color w:val="0070C0"/>
          <w:sz w:val="20"/>
          <w:lang w:val="en-AU"/>
        </w:rPr>
        <w:t>[</w:t>
      </w:r>
      <w:r w:rsidR="00290B65" w:rsidRPr="0026128B">
        <w:rPr>
          <w:rFonts w:ascii="Arial" w:hAnsi="Arial"/>
          <w:b w:val="0"/>
          <w:color w:val="0070C0"/>
          <w:sz w:val="20"/>
          <w:lang w:val="en-AU"/>
        </w:rPr>
        <w:t>20</w:t>
      </w:r>
      <w:r w:rsidR="005917BE" w:rsidRPr="0026128B">
        <w:rPr>
          <w:rFonts w:ascii="Arial" w:hAnsi="Arial"/>
          <w:b w:val="0"/>
          <w:color w:val="0070C0"/>
          <w:sz w:val="20"/>
          <w:lang w:val="en-AU"/>
        </w:rPr>
        <w:t>17]</w:t>
      </w:r>
      <w:r w:rsidR="00290B65" w:rsidRPr="00412620">
        <w:rPr>
          <w:rFonts w:ascii="Arial" w:hAnsi="Arial"/>
          <w:b w:val="0"/>
          <w:sz w:val="20"/>
          <w:lang w:val="en-AU"/>
        </w:rPr>
        <w:t xml:space="preserve"> or in any subsequent tax year) and an association of persons (having turnover of </w:t>
      </w:r>
      <w:r w:rsidR="009D71A4" w:rsidRPr="0026128B">
        <w:rPr>
          <w:rStyle w:val="FootnoteReference"/>
          <w:rFonts w:ascii="Arial" w:hAnsi="Arial"/>
          <w:b w:val="0"/>
          <w:color w:val="0070C0"/>
          <w:sz w:val="20"/>
          <w:lang w:val="en-AU"/>
        </w:rPr>
        <w:footnoteReference w:id="567"/>
      </w:r>
      <w:r w:rsidR="009D71A4" w:rsidRPr="0026128B">
        <w:rPr>
          <w:rFonts w:ascii="Arial" w:hAnsi="Arial"/>
          <w:b w:val="0"/>
          <w:color w:val="0070C0"/>
          <w:sz w:val="20"/>
          <w:lang w:val="en-AU"/>
        </w:rPr>
        <w:t>[ten]</w:t>
      </w:r>
      <w:r w:rsidR="009D71A4">
        <w:rPr>
          <w:rFonts w:ascii="Arial" w:hAnsi="Arial"/>
          <w:b w:val="0"/>
          <w:sz w:val="20"/>
          <w:lang w:val="en-AU"/>
        </w:rPr>
        <w:t xml:space="preserve"> </w:t>
      </w:r>
      <w:r w:rsidR="00290B65" w:rsidRPr="00412620">
        <w:rPr>
          <w:rFonts w:ascii="Arial" w:hAnsi="Arial"/>
          <w:b w:val="0"/>
          <w:sz w:val="20"/>
          <w:lang w:val="en-AU"/>
        </w:rPr>
        <w:t xml:space="preserve">million rupees or above in the tax year </w:t>
      </w:r>
      <w:r w:rsidR="005917BE" w:rsidRPr="0026128B">
        <w:rPr>
          <w:rStyle w:val="FootnoteReference"/>
          <w:rFonts w:ascii="Arial" w:hAnsi="Arial"/>
          <w:b w:val="0"/>
          <w:color w:val="0070C0"/>
          <w:sz w:val="20"/>
          <w:lang w:val="en-AU"/>
        </w:rPr>
        <w:footnoteReference w:id="568"/>
      </w:r>
      <w:r w:rsidR="005917BE" w:rsidRPr="0026128B">
        <w:rPr>
          <w:rFonts w:ascii="Arial" w:hAnsi="Arial"/>
          <w:b w:val="0"/>
          <w:color w:val="0070C0"/>
          <w:sz w:val="20"/>
          <w:lang w:val="en-AU"/>
        </w:rPr>
        <w:t>[</w:t>
      </w:r>
      <w:r w:rsidR="00290B65" w:rsidRPr="0026128B">
        <w:rPr>
          <w:rFonts w:ascii="Arial" w:hAnsi="Arial"/>
          <w:b w:val="0"/>
          <w:color w:val="0070C0"/>
          <w:sz w:val="20"/>
          <w:lang w:val="en-AU"/>
        </w:rPr>
        <w:t>20</w:t>
      </w:r>
      <w:r w:rsidR="005917BE" w:rsidRPr="0026128B">
        <w:rPr>
          <w:rFonts w:ascii="Arial" w:hAnsi="Arial"/>
          <w:b w:val="0"/>
          <w:color w:val="0070C0"/>
          <w:sz w:val="20"/>
          <w:lang w:val="en-AU"/>
        </w:rPr>
        <w:t>1</w:t>
      </w:r>
      <w:r w:rsidR="00290B65" w:rsidRPr="0026128B">
        <w:rPr>
          <w:rFonts w:ascii="Arial" w:hAnsi="Arial"/>
          <w:b w:val="0"/>
          <w:color w:val="0070C0"/>
          <w:sz w:val="20"/>
          <w:lang w:val="en-AU"/>
        </w:rPr>
        <w:t>7</w:t>
      </w:r>
      <w:r w:rsidR="005917BE" w:rsidRPr="0026128B">
        <w:rPr>
          <w:rFonts w:ascii="Arial" w:hAnsi="Arial"/>
          <w:b w:val="0"/>
          <w:color w:val="0070C0"/>
          <w:sz w:val="20"/>
          <w:lang w:val="en-AU"/>
        </w:rPr>
        <w:t>]</w:t>
      </w:r>
      <w:r w:rsidR="00290B65" w:rsidRPr="00412620">
        <w:rPr>
          <w:rFonts w:ascii="Arial" w:hAnsi="Arial"/>
          <w:b w:val="0"/>
          <w:sz w:val="20"/>
          <w:lang w:val="en-AU"/>
        </w:rPr>
        <w:t xml:space="preserve"> or in any subsequent tax year)] </w:t>
      </w:r>
      <w:r w:rsidR="00C67407" w:rsidRPr="00412620">
        <w:rPr>
          <w:rFonts w:ascii="Arial" w:hAnsi="Arial"/>
          <w:b w:val="0"/>
          <w:sz w:val="20"/>
          <w:lang w:val="en-AU"/>
        </w:rPr>
        <w:t>where, for any reason whatsoever allowed under this Ordinance, including any other law for the time being in force</w:t>
      </w:r>
      <w:r w:rsidR="00BC3ABA" w:rsidRPr="00412620">
        <w:rPr>
          <w:rFonts w:cs="Arial"/>
          <w:sz w:val="20"/>
        </w:rPr>
        <w:t>—</w:t>
      </w:r>
    </w:p>
    <w:p w:rsidR="00C67407" w:rsidRPr="00412620" w:rsidRDefault="00C67407" w:rsidP="00C67407">
      <w:pPr>
        <w:pStyle w:val="C"/>
        <w:keepNext/>
        <w:widowControl/>
        <w:spacing w:before="0" w:after="0"/>
        <w:jc w:val="both"/>
        <w:rPr>
          <w:rFonts w:ascii="Arial" w:hAnsi="Arial"/>
          <w:b w:val="0"/>
          <w:sz w:val="20"/>
          <w:lang w:val="en-AU"/>
        </w:rPr>
      </w:pPr>
    </w:p>
    <w:p w:rsidR="00C67407" w:rsidRPr="00412620" w:rsidRDefault="00C67407" w:rsidP="00C67407">
      <w:pPr>
        <w:pStyle w:val="C"/>
        <w:keepNext/>
        <w:widowControl/>
        <w:spacing w:before="0" w:after="0"/>
        <w:jc w:val="both"/>
        <w:rPr>
          <w:rFonts w:ascii="Arial" w:hAnsi="Arial"/>
          <w:b w:val="0"/>
          <w:sz w:val="20"/>
          <w:lang w:val="en-AU"/>
        </w:rPr>
      </w:pPr>
      <w:r w:rsidRPr="00412620">
        <w:rPr>
          <w:rFonts w:ascii="Arial" w:hAnsi="Arial"/>
          <w:b w:val="0"/>
          <w:sz w:val="20"/>
          <w:lang w:val="en-AU"/>
        </w:rPr>
        <w:tab/>
      </w:r>
      <w:r w:rsidRPr="00412620">
        <w:rPr>
          <w:rFonts w:ascii="Arial" w:hAnsi="Arial"/>
          <w:b w:val="0"/>
          <w:sz w:val="20"/>
          <w:lang w:val="en-AU"/>
        </w:rPr>
        <w:tab/>
        <w:t xml:space="preserve">(a) </w:t>
      </w:r>
      <w:r w:rsidRPr="00412620">
        <w:rPr>
          <w:rFonts w:ascii="Arial" w:hAnsi="Arial"/>
          <w:b w:val="0"/>
          <w:sz w:val="20"/>
          <w:lang w:val="en-AU"/>
        </w:rPr>
        <w:tab/>
        <w:t xml:space="preserve">loss for the year; </w:t>
      </w:r>
    </w:p>
    <w:p w:rsidR="00C67407" w:rsidRPr="00412620" w:rsidRDefault="00C67407" w:rsidP="00C67407">
      <w:pPr>
        <w:pStyle w:val="C"/>
        <w:keepNext/>
        <w:widowControl/>
        <w:spacing w:before="0" w:after="0"/>
        <w:ind w:left="1095"/>
        <w:jc w:val="both"/>
        <w:rPr>
          <w:rFonts w:ascii="Arial" w:hAnsi="Arial"/>
          <w:b w:val="0"/>
          <w:sz w:val="20"/>
          <w:lang w:val="en-AU"/>
        </w:rPr>
      </w:pPr>
    </w:p>
    <w:p w:rsidR="00C67407" w:rsidRPr="00412620" w:rsidRDefault="00C67407" w:rsidP="00C67407">
      <w:pPr>
        <w:pStyle w:val="C"/>
        <w:keepNext/>
        <w:widowControl/>
        <w:spacing w:before="0" w:after="0"/>
        <w:ind w:left="1095"/>
        <w:jc w:val="both"/>
        <w:rPr>
          <w:rFonts w:ascii="Arial" w:hAnsi="Arial"/>
          <w:b w:val="0"/>
          <w:sz w:val="20"/>
          <w:lang w:val="en-AU"/>
        </w:rPr>
      </w:pPr>
      <w:r w:rsidRPr="00412620">
        <w:rPr>
          <w:rFonts w:ascii="Arial" w:hAnsi="Arial"/>
          <w:b w:val="0"/>
          <w:sz w:val="20"/>
          <w:lang w:val="en-AU"/>
        </w:rPr>
        <w:t xml:space="preserve">(b) </w:t>
      </w:r>
      <w:r w:rsidRPr="00412620">
        <w:rPr>
          <w:rFonts w:ascii="Arial" w:hAnsi="Arial"/>
          <w:b w:val="0"/>
          <w:sz w:val="20"/>
          <w:lang w:val="en-AU"/>
        </w:rPr>
        <w:tab/>
        <w:t xml:space="preserve">the setting off </w:t>
      </w:r>
      <w:r w:rsidR="00E322A4" w:rsidRPr="00412620">
        <w:rPr>
          <w:rFonts w:ascii="Arial" w:hAnsi="Arial"/>
          <w:b w:val="0"/>
          <w:sz w:val="20"/>
          <w:lang w:val="en-AU"/>
        </w:rPr>
        <w:t xml:space="preserve">of </w:t>
      </w:r>
      <w:r w:rsidRPr="00412620">
        <w:rPr>
          <w:rFonts w:ascii="Arial" w:hAnsi="Arial"/>
          <w:b w:val="0"/>
          <w:sz w:val="20"/>
          <w:lang w:val="en-AU"/>
        </w:rPr>
        <w:t>a loss of an earlier year;</w:t>
      </w:r>
    </w:p>
    <w:p w:rsidR="00C67407" w:rsidRPr="00412620" w:rsidRDefault="00C67407" w:rsidP="00C67407">
      <w:pPr>
        <w:pStyle w:val="C"/>
        <w:keepNext/>
        <w:widowControl/>
        <w:spacing w:before="0" w:after="0"/>
        <w:ind w:left="1095"/>
        <w:jc w:val="both"/>
        <w:rPr>
          <w:rFonts w:ascii="Arial" w:hAnsi="Arial"/>
          <w:b w:val="0"/>
          <w:sz w:val="20"/>
          <w:lang w:val="en-AU"/>
        </w:rPr>
      </w:pPr>
    </w:p>
    <w:p w:rsidR="00C67407" w:rsidRPr="00412620" w:rsidRDefault="00C67407" w:rsidP="00C67407">
      <w:pPr>
        <w:pStyle w:val="C"/>
        <w:keepNext/>
        <w:widowControl/>
        <w:spacing w:before="0" w:after="0"/>
        <w:ind w:left="1095"/>
        <w:jc w:val="both"/>
        <w:rPr>
          <w:rFonts w:ascii="Arial" w:hAnsi="Arial"/>
          <w:b w:val="0"/>
          <w:sz w:val="20"/>
          <w:lang w:val="en-AU"/>
        </w:rPr>
      </w:pPr>
      <w:r w:rsidRPr="00412620">
        <w:rPr>
          <w:rFonts w:ascii="Arial" w:hAnsi="Arial"/>
          <w:b w:val="0"/>
          <w:sz w:val="20"/>
          <w:lang w:val="en-AU"/>
        </w:rPr>
        <w:t>(c)</w:t>
      </w:r>
      <w:r w:rsidRPr="00412620">
        <w:rPr>
          <w:rFonts w:ascii="Arial" w:hAnsi="Arial"/>
          <w:b w:val="0"/>
          <w:sz w:val="20"/>
          <w:lang w:val="en-AU"/>
        </w:rPr>
        <w:tab/>
        <w:t>exemption from tax;</w:t>
      </w:r>
    </w:p>
    <w:p w:rsidR="00C67407" w:rsidRPr="00412620" w:rsidRDefault="00C67407" w:rsidP="00C67407">
      <w:pPr>
        <w:pStyle w:val="C"/>
        <w:keepNext/>
        <w:widowControl/>
        <w:spacing w:before="0" w:after="0"/>
        <w:ind w:left="1095"/>
        <w:jc w:val="both"/>
        <w:rPr>
          <w:rFonts w:ascii="Arial" w:hAnsi="Arial"/>
          <w:b w:val="0"/>
          <w:sz w:val="20"/>
          <w:lang w:val="en-AU"/>
        </w:rPr>
      </w:pPr>
    </w:p>
    <w:p w:rsidR="00C67407" w:rsidRPr="00412620" w:rsidRDefault="00C67407" w:rsidP="00C67407">
      <w:pPr>
        <w:pStyle w:val="C"/>
        <w:keepNext/>
        <w:widowControl/>
        <w:spacing w:before="0" w:after="0"/>
        <w:ind w:left="1095"/>
        <w:jc w:val="both"/>
        <w:rPr>
          <w:rFonts w:ascii="Arial" w:hAnsi="Arial"/>
          <w:b w:val="0"/>
          <w:sz w:val="20"/>
          <w:lang w:val="en-AU"/>
        </w:rPr>
      </w:pPr>
      <w:r w:rsidRPr="00412620">
        <w:rPr>
          <w:rFonts w:ascii="Arial" w:hAnsi="Arial"/>
          <w:b w:val="0"/>
          <w:sz w:val="20"/>
          <w:lang w:val="en-AU"/>
        </w:rPr>
        <w:t xml:space="preserve">(d) </w:t>
      </w:r>
      <w:r w:rsidRPr="00412620">
        <w:rPr>
          <w:rFonts w:ascii="Arial" w:hAnsi="Arial"/>
          <w:b w:val="0"/>
          <w:sz w:val="20"/>
          <w:lang w:val="en-AU"/>
        </w:rPr>
        <w:tab/>
        <w:t>the application of credits or rebates; or</w:t>
      </w:r>
    </w:p>
    <w:p w:rsidR="00C67407" w:rsidRPr="00412620" w:rsidRDefault="00C67407" w:rsidP="00C67407">
      <w:pPr>
        <w:pStyle w:val="C"/>
        <w:keepNext/>
        <w:widowControl/>
        <w:spacing w:before="0" w:after="0"/>
        <w:ind w:left="1095"/>
        <w:jc w:val="both"/>
        <w:rPr>
          <w:rFonts w:ascii="Arial" w:hAnsi="Arial"/>
          <w:b w:val="0"/>
          <w:sz w:val="20"/>
          <w:lang w:val="en-AU"/>
        </w:rPr>
      </w:pPr>
    </w:p>
    <w:p w:rsidR="00C67407" w:rsidRPr="00412620" w:rsidRDefault="00C67407" w:rsidP="00C67407">
      <w:pPr>
        <w:pStyle w:val="C"/>
        <w:keepNext/>
        <w:widowControl/>
        <w:spacing w:before="0" w:after="0"/>
        <w:ind w:left="1635" w:hanging="540"/>
        <w:jc w:val="both"/>
        <w:rPr>
          <w:rFonts w:ascii="Arial" w:hAnsi="Arial"/>
          <w:b w:val="0"/>
          <w:sz w:val="20"/>
          <w:lang w:val="en-AU"/>
        </w:rPr>
      </w:pPr>
      <w:r w:rsidRPr="00412620">
        <w:rPr>
          <w:rFonts w:ascii="Arial" w:hAnsi="Arial"/>
          <w:b w:val="0"/>
          <w:sz w:val="20"/>
          <w:lang w:val="en-AU"/>
        </w:rPr>
        <w:t xml:space="preserve">(e) </w:t>
      </w:r>
      <w:r w:rsidRPr="00412620">
        <w:rPr>
          <w:rFonts w:ascii="Arial" w:hAnsi="Arial"/>
          <w:b w:val="0"/>
          <w:sz w:val="20"/>
          <w:lang w:val="en-AU"/>
        </w:rPr>
        <w:tab/>
        <w:t>the claiming of allowance</w:t>
      </w:r>
      <w:r w:rsidR="00E322A4" w:rsidRPr="00412620">
        <w:rPr>
          <w:rFonts w:ascii="Arial" w:hAnsi="Arial"/>
          <w:b w:val="0"/>
          <w:sz w:val="20"/>
          <w:lang w:val="en-AU"/>
        </w:rPr>
        <w:t>s</w:t>
      </w:r>
      <w:r w:rsidRPr="00412620">
        <w:rPr>
          <w:rFonts w:ascii="Arial" w:hAnsi="Arial"/>
          <w:b w:val="0"/>
          <w:sz w:val="20"/>
          <w:lang w:val="en-AU"/>
        </w:rPr>
        <w:t xml:space="preserve"> or deductions (including depreciation and amortization deductions) no tax is payable or paid by the person for a tax year or the tax payable or paid  by the person for a tax year is less than </w:t>
      </w:r>
      <w:r w:rsidR="00E86E8C" w:rsidRPr="00412620">
        <w:rPr>
          <w:rStyle w:val="FootnoteReference"/>
          <w:rFonts w:ascii="Arial" w:hAnsi="Arial"/>
          <w:b w:val="0"/>
          <w:sz w:val="20"/>
          <w:lang w:val="en-AU"/>
        </w:rPr>
        <w:footnoteReference w:id="569"/>
      </w:r>
      <w:r w:rsidR="00E86E8C" w:rsidRPr="00412620">
        <w:rPr>
          <w:rFonts w:ascii="Arial" w:hAnsi="Arial"/>
          <w:b w:val="0"/>
          <w:sz w:val="20"/>
          <w:lang w:val="en-AU"/>
        </w:rPr>
        <w:t>[one]</w:t>
      </w:r>
      <w:r w:rsidR="005917BE">
        <w:rPr>
          <w:rFonts w:ascii="Arial" w:hAnsi="Arial"/>
          <w:b w:val="0"/>
          <w:sz w:val="20"/>
          <w:lang w:val="en-AU"/>
        </w:rPr>
        <w:t xml:space="preserve"> </w:t>
      </w:r>
      <w:r w:rsidR="00AB6F06">
        <w:rPr>
          <w:rFonts w:ascii="Arial" w:hAnsi="Arial"/>
          <w:b w:val="0"/>
          <w:sz w:val="20"/>
          <w:lang w:val="en-AU"/>
        </w:rPr>
        <w:t>per cent</w:t>
      </w:r>
      <w:r w:rsidRPr="00412620">
        <w:rPr>
          <w:rFonts w:ascii="Arial" w:hAnsi="Arial"/>
          <w:b w:val="0"/>
          <w:sz w:val="20"/>
          <w:lang w:val="en-AU"/>
        </w:rPr>
        <w:t xml:space="preserve"> of the amount representing the person’s turnover from all sources for that year:</w:t>
      </w:r>
    </w:p>
    <w:p w:rsidR="00C67407" w:rsidRPr="00412620" w:rsidRDefault="00C67407" w:rsidP="00C67407">
      <w:pPr>
        <w:pStyle w:val="C"/>
        <w:keepNext/>
        <w:widowControl/>
        <w:spacing w:before="0" w:after="0"/>
        <w:ind w:left="1095"/>
        <w:jc w:val="both"/>
        <w:rPr>
          <w:rFonts w:ascii="Arial" w:hAnsi="Arial"/>
          <w:b w:val="0"/>
          <w:sz w:val="20"/>
          <w:lang w:val="en-AU"/>
        </w:rPr>
      </w:pPr>
    </w:p>
    <w:p w:rsidR="00835180" w:rsidRPr="0026128B" w:rsidRDefault="00C67407" w:rsidP="00C67407">
      <w:pPr>
        <w:pStyle w:val="C"/>
        <w:keepNext/>
        <w:widowControl/>
        <w:spacing w:before="0" w:after="0"/>
        <w:ind w:left="1095"/>
        <w:jc w:val="both"/>
        <w:rPr>
          <w:rFonts w:ascii="Arial" w:hAnsi="Arial"/>
          <w:b w:val="0"/>
          <w:color w:val="0070C0"/>
          <w:sz w:val="20"/>
          <w:lang w:val="en-AU"/>
        </w:rPr>
      </w:pPr>
      <w:r w:rsidRPr="00412620">
        <w:rPr>
          <w:rFonts w:ascii="Arial" w:hAnsi="Arial"/>
          <w:b w:val="0"/>
          <w:sz w:val="20"/>
          <w:lang w:val="en-AU"/>
        </w:rPr>
        <w:tab/>
      </w:r>
      <w:r w:rsidR="00E31C11" w:rsidRPr="0026128B">
        <w:rPr>
          <w:rStyle w:val="FootnoteReference"/>
          <w:rFonts w:ascii="Arial" w:hAnsi="Arial"/>
          <w:b w:val="0"/>
          <w:color w:val="0070C0"/>
          <w:sz w:val="20"/>
          <w:lang w:val="en-AU"/>
        </w:rPr>
        <w:footnoteReference w:id="570"/>
      </w:r>
      <w:r w:rsidR="00E31C11" w:rsidRPr="0026128B">
        <w:rPr>
          <w:rFonts w:ascii="Arial" w:hAnsi="Arial"/>
          <w:b w:val="0"/>
          <w:color w:val="0070C0"/>
          <w:sz w:val="20"/>
          <w:lang w:val="en-AU"/>
        </w:rPr>
        <w:t>[    ]</w:t>
      </w:r>
    </w:p>
    <w:p w:rsidR="00835180" w:rsidRPr="00412620" w:rsidRDefault="00835180" w:rsidP="00835180">
      <w:pPr>
        <w:pStyle w:val="C"/>
        <w:keepNext/>
        <w:widowControl/>
        <w:spacing w:before="0" w:after="0"/>
        <w:jc w:val="both"/>
        <w:rPr>
          <w:rFonts w:ascii="Arial" w:hAnsi="Arial"/>
          <w:b w:val="0"/>
          <w:sz w:val="20"/>
          <w:lang w:val="en-AU"/>
        </w:rPr>
      </w:pPr>
    </w:p>
    <w:p w:rsidR="00BB1E2D" w:rsidRDefault="008D012C" w:rsidP="00BB1E2D">
      <w:pPr>
        <w:pStyle w:val="C"/>
        <w:keepNext/>
        <w:widowControl/>
        <w:spacing w:before="0" w:after="0"/>
        <w:ind w:left="1260" w:hanging="180"/>
        <w:jc w:val="both"/>
        <w:rPr>
          <w:rFonts w:ascii="Arial" w:hAnsi="Arial" w:cs="Arial"/>
          <w:b w:val="0"/>
          <w:color w:val="FF0066"/>
          <w:sz w:val="20"/>
        </w:rPr>
      </w:pPr>
      <w:r w:rsidRPr="00412620">
        <w:rPr>
          <w:rStyle w:val="FootnoteReference"/>
          <w:rFonts w:ascii="Arial" w:hAnsi="Arial" w:cs="Arial"/>
          <w:b w:val="0"/>
          <w:bCs/>
          <w:sz w:val="20"/>
        </w:rPr>
        <w:footnoteReference w:id="571"/>
      </w:r>
      <w:r w:rsidR="003E6C57" w:rsidRPr="00412620">
        <w:rPr>
          <w:rFonts w:ascii="Arial" w:hAnsi="Arial" w:cs="Arial"/>
          <w:b w:val="0"/>
          <w:bCs/>
          <w:sz w:val="20"/>
        </w:rPr>
        <w:t>[</w:t>
      </w:r>
      <w:r w:rsidR="00BB1E2D">
        <w:rPr>
          <w:rFonts w:ascii="Arial" w:hAnsi="Arial" w:cs="Arial"/>
          <w:b w:val="0"/>
          <w:bCs/>
          <w:sz w:val="20"/>
        </w:rPr>
        <w:t xml:space="preserve">  </w:t>
      </w:r>
      <w:r w:rsidR="00BB1E2D">
        <w:rPr>
          <w:rFonts w:ascii="Arial" w:hAnsi="Arial" w:cs="Arial"/>
          <w:b w:val="0"/>
          <w:bCs/>
          <w:sz w:val="20"/>
        </w:rPr>
        <w:tab/>
      </w:r>
      <w:r w:rsidR="00BB1E2D" w:rsidRPr="0026128B">
        <w:rPr>
          <w:rStyle w:val="FootnoteReference"/>
          <w:rFonts w:ascii="Arial" w:hAnsi="Arial" w:cs="Arial"/>
          <w:b w:val="0"/>
          <w:bCs/>
          <w:color w:val="0070C0"/>
          <w:sz w:val="20"/>
        </w:rPr>
        <w:footnoteReference w:id="572"/>
      </w:r>
      <w:r w:rsidR="00BB1E2D" w:rsidRPr="0026128B">
        <w:rPr>
          <w:rFonts w:ascii="Arial" w:hAnsi="Arial" w:cs="Arial"/>
          <w:b w:val="0"/>
          <w:color w:val="0070C0"/>
          <w:sz w:val="20"/>
        </w:rPr>
        <w:t>[“</w:t>
      </w:r>
      <w:r w:rsidR="00BB1E2D" w:rsidRPr="0026128B">
        <w:rPr>
          <w:rFonts w:ascii="Arial" w:hAnsi="Arial" w:cs="Arial"/>
          <w:b w:val="0"/>
          <w:bCs/>
          <w:i/>
          <w:color w:val="0070C0"/>
          <w:sz w:val="20"/>
        </w:rPr>
        <w:t>Explanation</w:t>
      </w:r>
      <w:r w:rsidR="00BB1E2D" w:rsidRPr="0026128B">
        <w:rPr>
          <w:rFonts w:ascii="Arial" w:hAnsi="Arial" w:cs="Arial"/>
          <w:b w:val="0"/>
          <w:bCs/>
          <w:color w:val="0070C0"/>
          <w:sz w:val="20"/>
        </w:rPr>
        <w:t>.-</w:t>
      </w:r>
      <w:r w:rsidR="00BB1E2D" w:rsidRPr="0026128B">
        <w:rPr>
          <w:rFonts w:ascii="Arial" w:hAnsi="Arial" w:cs="Arial"/>
          <w:b w:val="0"/>
          <w:color w:val="0070C0"/>
          <w:sz w:val="20"/>
        </w:rPr>
        <w:t>For the purpose of this sub-section, the expression “tax payable or paid” does not include-</w:t>
      </w:r>
      <w:r w:rsidR="00BB1E2D" w:rsidRPr="00AC1215">
        <w:rPr>
          <w:rFonts w:ascii="Arial" w:hAnsi="Arial" w:cs="Arial"/>
          <w:b w:val="0"/>
          <w:color w:val="FF0066"/>
          <w:sz w:val="20"/>
        </w:rPr>
        <w:t xml:space="preserve"> </w:t>
      </w:r>
    </w:p>
    <w:p w:rsidR="00BB1E2D" w:rsidRPr="00AC1215" w:rsidRDefault="00BB1E2D" w:rsidP="00BB1E2D">
      <w:pPr>
        <w:pStyle w:val="C"/>
        <w:keepNext/>
        <w:widowControl/>
        <w:spacing w:before="0" w:after="0"/>
        <w:ind w:left="1260" w:hanging="180"/>
        <w:jc w:val="both"/>
        <w:rPr>
          <w:rFonts w:ascii="Arial" w:hAnsi="Arial" w:cs="Arial"/>
          <w:b w:val="0"/>
          <w:color w:val="FF0066"/>
          <w:sz w:val="20"/>
        </w:rPr>
      </w:pPr>
    </w:p>
    <w:p w:rsidR="00BB1E2D" w:rsidRPr="00C3232C" w:rsidRDefault="00BB1E2D" w:rsidP="00BB1E2D">
      <w:pPr>
        <w:pStyle w:val="C"/>
        <w:keepNext/>
        <w:widowControl/>
        <w:numPr>
          <w:ilvl w:val="1"/>
          <w:numId w:val="27"/>
        </w:numPr>
        <w:tabs>
          <w:tab w:val="clear" w:pos="1620"/>
        </w:tabs>
        <w:spacing w:before="0" w:after="0"/>
        <w:jc w:val="both"/>
        <w:rPr>
          <w:rFonts w:ascii="Arial" w:hAnsi="Arial" w:cs="Arial"/>
          <w:b w:val="0"/>
          <w:color w:val="0070C0"/>
          <w:sz w:val="20"/>
          <w:lang w:val="en-AU"/>
        </w:rPr>
      </w:pPr>
      <w:r w:rsidRPr="00C3232C">
        <w:rPr>
          <w:rFonts w:ascii="Arial" w:hAnsi="Arial" w:cs="Arial"/>
          <w:b w:val="0"/>
          <w:color w:val="0070C0"/>
          <w:sz w:val="20"/>
        </w:rPr>
        <w:t>tax already paid or payable in respect of deemed income which is assessed as final discharge  of the tax liability under section 169 or under any other provision of this Ordinance; and</w:t>
      </w:r>
    </w:p>
    <w:p w:rsidR="00BB1E2D" w:rsidRPr="00C3232C" w:rsidRDefault="00BB1E2D" w:rsidP="00BB1E2D">
      <w:pPr>
        <w:pStyle w:val="C"/>
        <w:keepNext/>
        <w:widowControl/>
        <w:spacing w:before="0" w:after="0"/>
        <w:ind w:left="1087"/>
        <w:jc w:val="both"/>
        <w:rPr>
          <w:rFonts w:ascii="Arial" w:hAnsi="Arial" w:cs="Arial"/>
          <w:b w:val="0"/>
          <w:color w:val="0070C0"/>
          <w:sz w:val="20"/>
          <w:lang w:val="en-AU"/>
        </w:rPr>
      </w:pPr>
    </w:p>
    <w:p w:rsidR="003E6C57" w:rsidRPr="00C3232C" w:rsidRDefault="00BB1E2D" w:rsidP="00835180">
      <w:pPr>
        <w:pStyle w:val="C"/>
        <w:keepNext/>
        <w:widowControl/>
        <w:numPr>
          <w:ilvl w:val="1"/>
          <w:numId w:val="27"/>
        </w:numPr>
        <w:tabs>
          <w:tab w:val="clear" w:pos="1620"/>
        </w:tabs>
        <w:spacing w:before="0" w:after="0"/>
        <w:jc w:val="both"/>
        <w:rPr>
          <w:rFonts w:ascii="Arial" w:hAnsi="Arial"/>
          <w:b w:val="0"/>
          <w:color w:val="0070C0"/>
          <w:sz w:val="20"/>
          <w:lang w:val="en-AU"/>
        </w:rPr>
      </w:pPr>
      <w:r w:rsidRPr="00C3232C">
        <w:rPr>
          <w:rFonts w:ascii="Arial" w:hAnsi="Arial" w:cs="Arial"/>
          <w:b w:val="0"/>
          <w:color w:val="0070C0"/>
          <w:sz w:val="20"/>
        </w:rPr>
        <w:t>tax payable or paid under section 4B.”]</w:t>
      </w:r>
      <w:r w:rsidRPr="00C3232C">
        <w:rPr>
          <w:rFonts w:ascii="Arial" w:hAnsi="Arial" w:cs="Arial"/>
          <w:b w:val="0"/>
          <w:color w:val="0070C0"/>
          <w:szCs w:val="24"/>
        </w:rPr>
        <w:t xml:space="preserve"> </w:t>
      </w:r>
      <w:r w:rsidRPr="00C3232C">
        <w:rPr>
          <w:rFonts w:ascii="Arial" w:hAnsi="Arial" w:cs="Arial"/>
          <w:b w:val="0"/>
          <w:bCs/>
          <w:color w:val="0070C0"/>
          <w:sz w:val="20"/>
        </w:rPr>
        <w:t xml:space="preserve"> </w:t>
      </w:r>
    </w:p>
    <w:p w:rsidR="00BB1E2D" w:rsidRDefault="00BB1E2D" w:rsidP="00BB1E2D">
      <w:pPr>
        <w:pStyle w:val="ListParagraph"/>
        <w:rPr>
          <w:b/>
          <w:sz w:val="20"/>
        </w:rPr>
      </w:pPr>
    </w:p>
    <w:p w:rsidR="00835180" w:rsidRPr="00412620" w:rsidRDefault="00835180" w:rsidP="004B20DC">
      <w:pPr>
        <w:pStyle w:val="C"/>
        <w:keepNext/>
        <w:widowControl/>
        <w:numPr>
          <w:ilvl w:val="0"/>
          <w:numId w:val="27"/>
        </w:numPr>
        <w:spacing w:before="0" w:after="0"/>
        <w:jc w:val="both"/>
        <w:rPr>
          <w:rFonts w:ascii="Arial" w:hAnsi="Arial"/>
          <w:b w:val="0"/>
          <w:sz w:val="20"/>
          <w:lang w:val="en-AU"/>
        </w:rPr>
      </w:pPr>
      <w:r w:rsidRPr="00412620">
        <w:rPr>
          <w:rFonts w:ascii="Arial" w:hAnsi="Arial"/>
          <w:b w:val="0"/>
          <w:sz w:val="20"/>
          <w:lang w:val="en-AU"/>
        </w:rPr>
        <w:t>Where this section applies:</w:t>
      </w:r>
    </w:p>
    <w:p w:rsidR="00835180" w:rsidRPr="00412620" w:rsidRDefault="00835180" w:rsidP="00835180">
      <w:pPr>
        <w:pStyle w:val="C"/>
        <w:keepNext/>
        <w:widowControl/>
        <w:spacing w:before="0" w:after="0"/>
        <w:jc w:val="both"/>
        <w:rPr>
          <w:rFonts w:ascii="Arial" w:hAnsi="Arial"/>
          <w:b w:val="0"/>
          <w:sz w:val="20"/>
          <w:lang w:val="en-AU"/>
        </w:rPr>
      </w:pPr>
    </w:p>
    <w:p w:rsidR="00835180" w:rsidRPr="00412620" w:rsidRDefault="00835180" w:rsidP="00BB1E2D">
      <w:pPr>
        <w:pStyle w:val="C"/>
        <w:keepNext/>
        <w:widowControl/>
        <w:spacing w:before="0" w:after="0"/>
        <w:ind w:left="2070" w:hanging="540"/>
        <w:jc w:val="both"/>
        <w:rPr>
          <w:rFonts w:ascii="Arial" w:hAnsi="Arial"/>
          <w:b w:val="0"/>
          <w:sz w:val="20"/>
          <w:lang w:val="en-AU"/>
        </w:rPr>
      </w:pPr>
      <w:r w:rsidRPr="00412620">
        <w:rPr>
          <w:rFonts w:ascii="Arial" w:hAnsi="Arial"/>
          <w:b w:val="0"/>
          <w:sz w:val="20"/>
          <w:lang w:val="en-AU"/>
        </w:rPr>
        <w:t xml:space="preserve">(a) </w:t>
      </w:r>
      <w:r w:rsidRPr="00412620">
        <w:rPr>
          <w:rFonts w:ascii="Arial" w:hAnsi="Arial"/>
          <w:b w:val="0"/>
          <w:sz w:val="20"/>
          <w:lang w:val="en-AU"/>
        </w:rPr>
        <w:tab/>
      </w:r>
      <w:r w:rsidR="00CF4D47" w:rsidRPr="00412620">
        <w:rPr>
          <w:rFonts w:ascii="Arial" w:hAnsi="Arial"/>
          <w:b w:val="0"/>
          <w:sz w:val="20"/>
          <w:lang w:val="en-AU"/>
        </w:rPr>
        <w:t>the aggregate of the person’s turnover as defined in sub-section (3) for the tax year shall be treated as the income of the person for the year chargeable to tax;</w:t>
      </w:r>
    </w:p>
    <w:p w:rsidR="00835180" w:rsidRPr="00412620" w:rsidRDefault="00835180" w:rsidP="005D0229">
      <w:pPr>
        <w:pStyle w:val="C"/>
        <w:keepNext/>
        <w:widowControl/>
        <w:spacing w:before="0" w:after="0"/>
        <w:jc w:val="both"/>
        <w:rPr>
          <w:rFonts w:ascii="Arial" w:hAnsi="Arial"/>
          <w:b w:val="0"/>
          <w:sz w:val="20"/>
          <w:lang w:val="en-AU"/>
        </w:rPr>
      </w:pPr>
    </w:p>
    <w:p w:rsidR="00C70E73" w:rsidRPr="00F53D60" w:rsidRDefault="00CF4D47" w:rsidP="005D0229">
      <w:pPr>
        <w:pStyle w:val="ListParagraph"/>
        <w:numPr>
          <w:ilvl w:val="0"/>
          <w:numId w:val="16"/>
        </w:numPr>
        <w:jc w:val="both"/>
        <w:rPr>
          <w:rFonts w:cs="Arial"/>
          <w:color w:val="000000" w:themeColor="text1"/>
          <w:sz w:val="20"/>
        </w:rPr>
      </w:pPr>
      <w:r w:rsidRPr="00F53D60">
        <w:rPr>
          <w:color w:val="000000" w:themeColor="text1"/>
          <w:sz w:val="20"/>
        </w:rPr>
        <w:t>the person shall pay as income tax for the tax year (instead of the actual tax payable under this Ordinance),</w:t>
      </w:r>
      <w:r w:rsidR="00C86FC1" w:rsidRPr="00F53D60">
        <w:rPr>
          <w:rStyle w:val="FootnoteReference"/>
          <w:b/>
          <w:color w:val="000000" w:themeColor="text1"/>
          <w:sz w:val="20"/>
        </w:rPr>
        <w:footnoteReference w:id="573"/>
      </w:r>
      <w:r w:rsidR="00C86FC1" w:rsidRPr="00F53D60">
        <w:rPr>
          <w:color w:val="000000" w:themeColor="text1"/>
          <w:sz w:val="20"/>
        </w:rPr>
        <w:t>[</w:t>
      </w:r>
      <w:r w:rsidR="00C70E73" w:rsidRPr="00F53D60">
        <w:rPr>
          <w:rFonts w:cs="Arial"/>
          <w:color w:val="000000" w:themeColor="text1"/>
          <w:sz w:val="20"/>
        </w:rPr>
        <w:t>minimum tax  computed on the basis of rates as specified in Division IX of Part I of First Schedule</w:t>
      </w:r>
      <w:r w:rsidR="00683807" w:rsidRPr="00F53D60">
        <w:rPr>
          <w:rFonts w:cs="Arial"/>
          <w:color w:val="000000" w:themeColor="text1"/>
          <w:sz w:val="20"/>
        </w:rPr>
        <w:t>]</w:t>
      </w:r>
      <w:r w:rsidR="00871BF3" w:rsidRPr="00F53D60">
        <w:rPr>
          <w:rFonts w:cs="Arial"/>
          <w:color w:val="000000" w:themeColor="text1"/>
          <w:sz w:val="20"/>
        </w:rPr>
        <w:t>;</w:t>
      </w:r>
    </w:p>
    <w:p w:rsidR="00683807" w:rsidRPr="00683807" w:rsidRDefault="00683807" w:rsidP="00683807">
      <w:pPr>
        <w:pStyle w:val="ListParagraph"/>
        <w:ind w:left="1635"/>
        <w:rPr>
          <w:rFonts w:cs="Arial"/>
          <w:color w:val="00B0F0"/>
          <w:sz w:val="20"/>
        </w:rPr>
      </w:pPr>
    </w:p>
    <w:p w:rsidR="004C0DE0" w:rsidRDefault="00CF4D47" w:rsidP="005D0229">
      <w:pPr>
        <w:pStyle w:val="ListParagraph"/>
        <w:numPr>
          <w:ilvl w:val="0"/>
          <w:numId w:val="16"/>
        </w:numPr>
        <w:jc w:val="both"/>
        <w:rPr>
          <w:sz w:val="20"/>
        </w:rPr>
      </w:pPr>
      <w:r w:rsidRPr="00372DDD">
        <w:rPr>
          <w:sz w:val="20"/>
        </w:rPr>
        <w:t>where tax paid under sub-section (1) exceeds the actual tax payable under Part I,</w:t>
      </w:r>
      <w:r w:rsidR="009B3272" w:rsidRPr="00C70E73">
        <w:rPr>
          <w:rStyle w:val="FootnoteReference"/>
          <w:sz w:val="20"/>
        </w:rPr>
        <w:footnoteReference w:id="574"/>
      </w:r>
      <w:r w:rsidR="009B3272" w:rsidRPr="00372DDD">
        <w:rPr>
          <w:sz w:val="20"/>
        </w:rPr>
        <w:t xml:space="preserve">[clause (1) of Division I, or] </w:t>
      </w:r>
      <w:r w:rsidRPr="00372DDD">
        <w:rPr>
          <w:sz w:val="20"/>
        </w:rPr>
        <w:t xml:space="preserve"> Division II of the First Schedule, the excess amount of tax paid shall be carried forward for adjustment against tax liability under the aforesaid Part of the subsequent tax year:</w:t>
      </w:r>
    </w:p>
    <w:p w:rsidR="004C0DE0" w:rsidRPr="004C0DE0" w:rsidRDefault="004C0DE0" w:rsidP="004C0DE0">
      <w:pPr>
        <w:pStyle w:val="ListParagraph"/>
        <w:rPr>
          <w:sz w:val="20"/>
        </w:rPr>
      </w:pPr>
    </w:p>
    <w:p w:rsidR="005953FC" w:rsidRPr="00372DDD" w:rsidRDefault="00CF4D47" w:rsidP="004C0DE0">
      <w:pPr>
        <w:pStyle w:val="ListParagraph"/>
        <w:ind w:left="1641" w:firstLine="547"/>
        <w:jc w:val="both"/>
        <w:rPr>
          <w:sz w:val="20"/>
        </w:rPr>
      </w:pPr>
      <w:r w:rsidRPr="00372DDD">
        <w:rPr>
          <w:sz w:val="20"/>
        </w:rPr>
        <w:t xml:space="preserve">Provided that the amount under this clause shall be carried forward and adjusted against tax liability for </w:t>
      </w:r>
      <w:r w:rsidR="00C15E22" w:rsidRPr="00C70E73">
        <w:rPr>
          <w:rStyle w:val="FootnoteReference"/>
          <w:sz w:val="20"/>
        </w:rPr>
        <w:footnoteReference w:id="575"/>
      </w:r>
      <w:r w:rsidR="00C15E22" w:rsidRPr="00372DDD">
        <w:rPr>
          <w:sz w:val="20"/>
        </w:rPr>
        <w:t xml:space="preserve">[five] </w:t>
      </w:r>
      <w:r w:rsidRPr="00372DDD">
        <w:rPr>
          <w:sz w:val="20"/>
        </w:rPr>
        <w:t>tax years immediately succeeding the tax year for which the amount was paid.</w:t>
      </w:r>
    </w:p>
    <w:p w:rsidR="00372DDD" w:rsidRPr="00372DDD" w:rsidRDefault="00372DDD" w:rsidP="00372DDD">
      <w:pPr>
        <w:rPr>
          <w:sz w:val="20"/>
        </w:rPr>
      </w:pPr>
    </w:p>
    <w:p w:rsidR="00372DDD" w:rsidRDefault="00206E3E" w:rsidP="00372DDD">
      <w:pPr>
        <w:pStyle w:val="ListParagraph"/>
        <w:numPr>
          <w:ilvl w:val="0"/>
          <w:numId w:val="27"/>
        </w:numPr>
        <w:rPr>
          <w:sz w:val="20"/>
        </w:rPr>
      </w:pPr>
      <w:r w:rsidRPr="00372DDD">
        <w:rPr>
          <w:sz w:val="20"/>
        </w:rPr>
        <w:t>“turnover” means,-</w:t>
      </w:r>
    </w:p>
    <w:p w:rsidR="00372DDD" w:rsidRPr="00372DDD" w:rsidRDefault="00372DDD" w:rsidP="00372DDD">
      <w:pPr>
        <w:pStyle w:val="ListParagraph"/>
        <w:ind w:left="1095"/>
        <w:rPr>
          <w:sz w:val="20"/>
        </w:rPr>
      </w:pPr>
    </w:p>
    <w:p w:rsidR="004C0DE0" w:rsidRDefault="00206E3E" w:rsidP="00BB1E2D">
      <w:pPr>
        <w:ind w:left="1635" w:hanging="555"/>
        <w:jc w:val="both"/>
        <w:rPr>
          <w:sz w:val="20"/>
        </w:rPr>
      </w:pPr>
      <w:r w:rsidRPr="00412620">
        <w:rPr>
          <w:b/>
          <w:sz w:val="20"/>
        </w:rPr>
        <w:t>(</w:t>
      </w:r>
      <w:r w:rsidRPr="005953FC">
        <w:rPr>
          <w:sz w:val="20"/>
        </w:rPr>
        <w:t>a)</w:t>
      </w:r>
      <w:r w:rsidRPr="005953FC">
        <w:rPr>
          <w:sz w:val="20"/>
        </w:rPr>
        <w:tab/>
        <w:t xml:space="preserve">the </w:t>
      </w:r>
      <w:r w:rsidR="00C85226" w:rsidRPr="005953FC">
        <w:rPr>
          <w:rStyle w:val="FootnoteReference"/>
          <w:sz w:val="20"/>
        </w:rPr>
        <w:footnoteReference w:id="576"/>
      </w:r>
      <w:r w:rsidR="004045DA" w:rsidRPr="005953FC">
        <w:rPr>
          <w:sz w:val="20"/>
        </w:rPr>
        <w:t>[gross sales</w:t>
      </w:r>
      <w:r w:rsidR="00BA59E2" w:rsidRPr="005953FC">
        <w:rPr>
          <w:sz w:val="20"/>
        </w:rPr>
        <w:t xml:space="preserve"> or</w:t>
      </w:r>
      <w:r w:rsidR="004045DA" w:rsidRPr="005953FC">
        <w:rPr>
          <w:sz w:val="20"/>
        </w:rPr>
        <w:t xml:space="preserve">] </w:t>
      </w:r>
      <w:r w:rsidRPr="005953FC">
        <w:rPr>
          <w:sz w:val="20"/>
        </w:rPr>
        <w:t xml:space="preserve">gross receipts, exclusive of Sales Tax and Federal Excise duty or any trade discounts shown on invoices, </w:t>
      </w:r>
      <w:r w:rsidRPr="005953FC">
        <w:rPr>
          <w:sz w:val="20"/>
        </w:rPr>
        <w:lastRenderedPageBreak/>
        <w:t>or bills, derived from the sale of goods, and also excluding any amount taken as deemed income and is assessed as final discharge of the tax liability for which tax is already paid or payable;</w:t>
      </w:r>
    </w:p>
    <w:p w:rsidR="004C0DE0" w:rsidRDefault="004C0DE0" w:rsidP="004C0DE0">
      <w:pPr>
        <w:ind w:left="1635" w:hanging="1635"/>
        <w:jc w:val="both"/>
        <w:rPr>
          <w:sz w:val="20"/>
        </w:rPr>
      </w:pPr>
    </w:p>
    <w:p w:rsidR="004C0DE0" w:rsidRDefault="00206E3E" w:rsidP="004C0DE0">
      <w:pPr>
        <w:ind w:left="1635" w:hanging="555"/>
        <w:jc w:val="both"/>
        <w:rPr>
          <w:sz w:val="20"/>
        </w:rPr>
      </w:pPr>
      <w:r w:rsidRPr="00412620">
        <w:rPr>
          <w:sz w:val="20"/>
        </w:rPr>
        <w:t>(b)</w:t>
      </w:r>
      <w:r w:rsidRPr="00412620">
        <w:rPr>
          <w:sz w:val="20"/>
        </w:rPr>
        <w:tab/>
      </w:r>
      <w:r w:rsidR="00E6596B" w:rsidRPr="00412620">
        <w:rPr>
          <w:sz w:val="20"/>
        </w:rPr>
        <w:t>the gross fees for the rendering of services for giving benefits including commissions; except covered by final discharge of tax liability for which tax is separately paid or payable;</w:t>
      </w:r>
    </w:p>
    <w:p w:rsidR="004C0DE0" w:rsidRDefault="004C0DE0" w:rsidP="004C0DE0">
      <w:pPr>
        <w:ind w:left="1635" w:hanging="555"/>
        <w:jc w:val="both"/>
        <w:rPr>
          <w:sz w:val="20"/>
        </w:rPr>
      </w:pPr>
    </w:p>
    <w:p w:rsidR="00206E3E" w:rsidRPr="00412620" w:rsidRDefault="00206E3E" w:rsidP="004C0DE0">
      <w:pPr>
        <w:ind w:left="1635" w:hanging="555"/>
        <w:jc w:val="both"/>
        <w:rPr>
          <w:b/>
          <w:sz w:val="20"/>
        </w:rPr>
      </w:pPr>
      <w:r w:rsidRPr="00412620">
        <w:rPr>
          <w:sz w:val="20"/>
        </w:rPr>
        <w:t>(c)</w:t>
      </w:r>
      <w:r w:rsidRPr="00412620">
        <w:rPr>
          <w:sz w:val="20"/>
        </w:rPr>
        <w:tab/>
      </w:r>
      <w:r w:rsidR="00297A34" w:rsidRPr="00412620">
        <w:rPr>
          <w:sz w:val="20"/>
        </w:rPr>
        <w:t>the gross receipts from the execution of contracts; except covered by final discharge of tax liability for which tax is separately paid or payable; and</w:t>
      </w:r>
    </w:p>
    <w:p w:rsidR="00206E3E" w:rsidRPr="00412620" w:rsidRDefault="00206E3E" w:rsidP="005D0229">
      <w:pPr>
        <w:pStyle w:val="C"/>
        <w:keepNext/>
        <w:widowControl/>
        <w:spacing w:before="0" w:after="0"/>
        <w:ind w:left="1095"/>
        <w:jc w:val="both"/>
        <w:rPr>
          <w:rFonts w:ascii="Arial" w:hAnsi="Arial"/>
          <w:b w:val="0"/>
          <w:sz w:val="20"/>
          <w:lang w:val="en-AU"/>
        </w:rPr>
      </w:pPr>
    </w:p>
    <w:p w:rsidR="00B956C2" w:rsidRPr="00412620" w:rsidRDefault="00206E3E" w:rsidP="005D0229">
      <w:pPr>
        <w:pStyle w:val="C"/>
        <w:keepNext/>
        <w:widowControl/>
        <w:spacing w:before="0" w:after="0"/>
        <w:ind w:left="1635" w:hanging="540"/>
        <w:jc w:val="both"/>
        <w:rPr>
          <w:rFonts w:ascii="Arial" w:hAnsi="Arial"/>
          <w:b w:val="0"/>
          <w:sz w:val="20"/>
          <w:lang w:val="en-AU"/>
        </w:rPr>
      </w:pPr>
      <w:r w:rsidRPr="00412620">
        <w:rPr>
          <w:rFonts w:ascii="Arial" w:hAnsi="Arial"/>
          <w:b w:val="0"/>
          <w:sz w:val="20"/>
          <w:lang w:val="en-AU"/>
        </w:rPr>
        <w:t>(d)</w:t>
      </w:r>
      <w:r w:rsidRPr="00412620">
        <w:rPr>
          <w:rFonts w:ascii="Arial" w:hAnsi="Arial"/>
          <w:b w:val="0"/>
          <w:sz w:val="20"/>
          <w:lang w:val="en-AU"/>
        </w:rPr>
        <w:tab/>
      </w:r>
      <w:r w:rsidR="002E7430" w:rsidRPr="00412620">
        <w:rPr>
          <w:rFonts w:ascii="Arial" w:hAnsi="Arial"/>
          <w:b w:val="0"/>
          <w:sz w:val="20"/>
          <w:lang w:val="en-AU"/>
        </w:rPr>
        <w:t>the company’s share of the amounts stated above of any association of persons of which the company is a member.</w:t>
      </w:r>
      <w:r w:rsidR="00B956C2" w:rsidRPr="00412620">
        <w:rPr>
          <w:rFonts w:ascii="Arial" w:hAnsi="Arial"/>
          <w:b w:val="0"/>
          <w:sz w:val="20"/>
          <w:lang w:val="en-AU"/>
        </w:rPr>
        <w:t>]</w:t>
      </w:r>
    </w:p>
    <w:p w:rsidR="006A3F93" w:rsidRPr="00412620" w:rsidRDefault="006A3F93">
      <w:pPr>
        <w:pStyle w:val="Header"/>
        <w:tabs>
          <w:tab w:val="left" w:pos="547"/>
        </w:tabs>
        <w:rPr>
          <w:rFonts w:cs="Arial"/>
          <w:sz w:val="18"/>
        </w:rPr>
      </w:pPr>
    </w:p>
    <w:p w:rsidR="00EE6015" w:rsidRPr="00EE6015" w:rsidRDefault="00980BA4" w:rsidP="00B96522">
      <w:pPr>
        <w:pStyle w:val="Header"/>
        <w:tabs>
          <w:tab w:val="left" w:pos="547"/>
        </w:tabs>
        <w:jc w:val="both"/>
        <w:rPr>
          <w:rFonts w:cs="Arial"/>
          <w:color w:val="984806" w:themeColor="accent6" w:themeShade="80"/>
          <w:sz w:val="20"/>
        </w:rPr>
      </w:pPr>
      <w:r w:rsidRPr="00412620">
        <w:rPr>
          <w:rStyle w:val="FootnoteReference"/>
          <w:rFonts w:cs="Arial"/>
          <w:sz w:val="20"/>
        </w:rPr>
        <w:footnoteReference w:id="577"/>
      </w:r>
      <w:r w:rsidR="009D1AB3" w:rsidRPr="00412620">
        <w:rPr>
          <w:rFonts w:cs="Arial"/>
          <w:sz w:val="20"/>
        </w:rPr>
        <w:t>[</w:t>
      </w:r>
      <w:r w:rsidR="00B96522">
        <w:rPr>
          <w:rFonts w:cs="Arial"/>
          <w:sz w:val="20"/>
        </w:rPr>
        <w:t xml:space="preserve"> </w:t>
      </w:r>
      <w:r w:rsidR="00B96522" w:rsidRPr="00C3232C">
        <w:rPr>
          <w:rStyle w:val="FootnoteReference"/>
          <w:rFonts w:cs="Arial"/>
          <w:color w:val="0070C0"/>
          <w:sz w:val="20"/>
        </w:rPr>
        <w:footnoteReference w:id="578"/>
      </w:r>
      <w:r w:rsidR="00B96522" w:rsidRPr="00C3232C">
        <w:rPr>
          <w:rFonts w:cs="Arial"/>
          <w:color w:val="0070C0"/>
          <w:sz w:val="20"/>
        </w:rPr>
        <w:t>[  ]</w:t>
      </w:r>
      <w:r w:rsidR="00B96522">
        <w:rPr>
          <w:rFonts w:cs="Arial"/>
          <w:sz w:val="20"/>
        </w:rPr>
        <w:t xml:space="preserve"> ] </w:t>
      </w:r>
    </w:p>
    <w:p w:rsidR="00EE6015" w:rsidRDefault="00EE6015" w:rsidP="00980BA4">
      <w:pPr>
        <w:pStyle w:val="Header"/>
        <w:tabs>
          <w:tab w:val="left" w:pos="547"/>
          <w:tab w:val="left" w:pos="1440"/>
        </w:tabs>
        <w:jc w:val="both"/>
        <w:rPr>
          <w:rFonts w:cs="Arial"/>
          <w:sz w:val="20"/>
        </w:rPr>
      </w:pPr>
    </w:p>
    <w:p w:rsidR="003C4E5A" w:rsidRDefault="003C4E5A" w:rsidP="00B96522">
      <w:pPr>
        <w:pStyle w:val="Header"/>
        <w:tabs>
          <w:tab w:val="left" w:pos="547"/>
        </w:tabs>
        <w:jc w:val="both"/>
        <w:rPr>
          <w:rFonts w:cs="Arial"/>
          <w:sz w:val="20"/>
        </w:rPr>
      </w:pPr>
      <w:r w:rsidRPr="00412620">
        <w:rPr>
          <w:rStyle w:val="FootnoteReference"/>
          <w:rFonts w:cs="Arial"/>
          <w:sz w:val="20"/>
        </w:rPr>
        <w:footnoteReference w:id="579"/>
      </w:r>
      <w:r w:rsidR="00B86952" w:rsidRPr="00412620">
        <w:rPr>
          <w:rFonts w:cs="Arial"/>
          <w:sz w:val="20"/>
        </w:rPr>
        <w:t>[</w:t>
      </w:r>
      <w:r w:rsidR="00B96522">
        <w:rPr>
          <w:rFonts w:cs="Arial"/>
          <w:sz w:val="20"/>
        </w:rPr>
        <w:t xml:space="preserve"> </w:t>
      </w:r>
      <w:r w:rsidR="00B96522" w:rsidRPr="00C3232C">
        <w:rPr>
          <w:rStyle w:val="FootnoteReference"/>
          <w:rFonts w:cs="Arial"/>
          <w:color w:val="0070C0"/>
          <w:sz w:val="20"/>
        </w:rPr>
        <w:footnoteReference w:id="580"/>
      </w:r>
      <w:r w:rsidR="00B96522" w:rsidRPr="00C3232C">
        <w:rPr>
          <w:rFonts w:cs="Arial"/>
          <w:color w:val="0070C0"/>
          <w:sz w:val="20"/>
        </w:rPr>
        <w:t>[  ]</w:t>
      </w:r>
      <w:r w:rsidR="00B96522">
        <w:rPr>
          <w:rFonts w:cs="Arial"/>
          <w:sz w:val="20"/>
        </w:rPr>
        <w:t xml:space="preserve"> ]</w:t>
      </w:r>
    </w:p>
    <w:p w:rsidR="00D64581" w:rsidRDefault="00D64581" w:rsidP="003C4E5A">
      <w:pPr>
        <w:jc w:val="both"/>
        <w:rPr>
          <w:rFonts w:cs="Arial"/>
          <w:sz w:val="20"/>
        </w:rPr>
      </w:pPr>
    </w:p>
    <w:p w:rsidR="001959F0" w:rsidRPr="00214261" w:rsidRDefault="00C95D3A" w:rsidP="009C4825">
      <w:pPr>
        <w:autoSpaceDE w:val="0"/>
        <w:autoSpaceDN w:val="0"/>
        <w:adjustRightInd w:val="0"/>
        <w:jc w:val="both"/>
        <w:rPr>
          <w:rFonts w:cs="Arial"/>
          <w:iCs/>
          <w:color w:val="000000" w:themeColor="text1"/>
          <w:sz w:val="20"/>
        </w:rPr>
      </w:pPr>
      <w:r w:rsidRPr="00F53D60">
        <w:rPr>
          <w:rStyle w:val="FootnoteReference"/>
          <w:rFonts w:cs="Arial"/>
          <w:color w:val="000000" w:themeColor="text1"/>
          <w:sz w:val="20"/>
        </w:rPr>
        <w:footnoteReference w:id="581"/>
      </w:r>
      <w:r w:rsidR="001959F0" w:rsidRPr="00F53D60">
        <w:rPr>
          <w:rFonts w:cs="Arial"/>
          <w:color w:val="000000" w:themeColor="text1"/>
          <w:sz w:val="20"/>
        </w:rPr>
        <w:t>[</w:t>
      </w:r>
      <w:r w:rsidR="001959F0" w:rsidRPr="00F53D60">
        <w:rPr>
          <w:rFonts w:cs="Arial"/>
          <w:b/>
          <w:color w:val="000000" w:themeColor="text1"/>
          <w:sz w:val="20"/>
        </w:rPr>
        <w:t>113C. Alternative Corporate Tax</w:t>
      </w:r>
      <w:r w:rsidR="001959F0" w:rsidRPr="00F53D60">
        <w:rPr>
          <w:rFonts w:cs="Arial"/>
          <w:color w:val="000000" w:themeColor="text1"/>
          <w:sz w:val="20"/>
        </w:rPr>
        <w:t xml:space="preserve">.- (1) </w:t>
      </w:r>
      <w:r w:rsidR="001959F0" w:rsidRPr="00F53D60">
        <w:rPr>
          <w:rFonts w:cs="Arial"/>
          <w:iCs/>
          <w:color w:val="000000" w:themeColor="text1"/>
          <w:sz w:val="20"/>
        </w:rPr>
        <w:t>Notwithstanding anything contained in this Ordinance, for tax year 2014 and onwards</w:t>
      </w:r>
      <w:r w:rsidR="001959F0" w:rsidRPr="00214261">
        <w:rPr>
          <w:rFonts w:cs="Arial"/>
          <w:iCs/>
          <w:color w:val="000000" w:themeColor="text1"/>
          <w:sz w:val="20"/>
        </w:rPr>
        <w:t xml:space="preserve">, tax payable by a company </w:t>
      </w:r>
      <w:r w:rsidR="009C4825" w:rsidRPr="00214261">
        <w:rPr>
          <w:rStyle w:val="FootnoteReference"/>
          <w:rFonts w:cs="Arial"/>
          <w:iCs/>
          <w:color w:val="000000" w:themeColor="text1"/>
          <w:sz w:val="20"/>
        </w:rPr>
        <w:footnoteReference w:id="582"/>
      </w:r>
      <w:r w:rsidR="009C4825" w:rsidRPr="00214261">
        <w:rPr>
          <w:rFonts w:cs="Arial"/>
          <w:iCs/>
          <w:color w:val="000000" w:themeColor="text1"/>
          <w:sz w:val="20"/>
        </w:rPr>
        <w:t>[</w:t>
      </w:r>
      <w:r w:rsidR="009C4825" w:rsidRPr="00214261">
        <w:rPr>
          <w:rFonts w:cs="Arial"/>
          <w:color w:val="000000" w:themeColor="text1"/>
          <w:sz w:val="20"/>
          <w:lang w:val="en-US"/>
        </w:rPr>
        <w:t>in</w:t>
      </w:r>
      <w:r w:rsidR="00943037" w:rsidRPr="00214261">
        <w:rPr>
          <w:rFonts w:cs="Arial"/>
          <w:color w:val="000000" w:themeColor="text1"/>
          <w:sz w:val="20"/>
          <w:lang w:val="en-US"/>
        </w:rPr>
        <w:t xml:space="preserve"> </w:t>
      </w:r>
      <w:r w:rsidR="009C4825" w:rsidRPr="00214261">
        <w:rPr>
          <w:rFonts w:cs="Arial"/>
          <w:color w:val="000000" w:themeColor="text1"/>
          <w:sz w:val="20"/>
          <w:lang w:val="en-US"/>
        </w:rPr>
        <w:t>respect of income which is subject to tax under Division II of Part I</w:t>
      </w:r>
      <w:r w:rsidR="00B96522" w:rsidRPr="00214261">
        <w:rPr>
          <w:rFonts w:cs="Arial"/>
          <w:color w:val="000000" w:themeColor="text1"/>
          <w:sz w:val="20"/>
          <w:lang w:val="en-US"/>
        </w:rPr>
        <w:t xml:space="preserve"> </w:t>
      </w:r>
      <w:r w:rsidR="009C4825" w:rsidRPr="00214261">
        <w:rPr>
          <w:rFonts w:cs="Arial"/>
          <w:color w:val="000000" w:themeColor="text1"/>
          <w:sz w:val="20"/>
          <w:lang w:val="en-US"/>
        </w:rPr>
        <w:t>of the First Schedule or minimum tax under any of the provisions of</w:t>
      </w:r>
      <w:r w:rsidR="00B96522" w:rsidRPr="00214261">
        <w:rPr>
          <w:rFonts w:cs="Arial"/>
          <w:color w:val="000000" w:themeColor="text1"/>
          <w:sz w:val="20"/>
          <w:lang w:val="en-US"/>
        </w:rPr>
        <w:t xml:space="preserve"> </w:t>
      </w:r>
      <w:r w:rsidR="009C4825" w:rsidRPr="00214261">
        <w:rPr>
          <w:rFonts w:cs="Arial"/>
          <w:color w:val="000000" w:themeColor="text1"/>
          <w:sz w:val="20"/>
          <w:lang w:val="en-US"/>
        </w:rPr>
        <w:t>this Ordinance”</w:t>
      </w:r>
      <w:r w:rsidR="009C4825" w:rsidRPr="00214261">
        <w:rPr>
          <w:rFonts w:cs="Arial"/>
          <w:iCs/>
          <w:color w:val="000000" w:themeColor="text1"/>
          <w:sz w:val="20"/>
        </w:rPr>
        <w:t xml:space="preserve">] </w:t>
      </w:r>
      <w:r w:rsidR="001959F0" w:rsidRPr="00214261">
        <w:rPr>
          <w:rFonts w:cs="Arial"/>
          <w:iCs/>
          <w:color w:val="000000" w:themeColor="text1"/>
          <w:sz w:val="20"/>
        </w:rPr>
        <w:t xml:space="preserve">shall be higher of the Corporate Tax or </w:t>
      </w:r>
      <w:r w:rsidR="001959F0" w:rsidRPr="00214261">
        <w:rPr>
          <w:rFonts w:cs="Arial"/>
          <w:color w:val="000000" w:themeColor="text1"/>
          <w:sz w:val="20"/>
        </w:rPr>
        <w:t>Alternative Corporate Tax</w:t>
      </w:r>
      <w:r w:rsidR="001959F0" w:rsidRPr="00214261">
        <w:rPr>
          <w:rFonts w:cs="Arial"/>
          <w:iCs/>
          <w:color w:val="000000" w:themeColor="text1"/>
          <w:sz w:val="20"/>
        </w:rPr>
        <w:t>.</w:t>
      </w:r>
    </w:p>
    <w:p w:rsidR="00D64581" w:rsidRPr="00214261" w:rsidRDefault="00D64581" w:rsidP="00D64581">
      <w:pPr>
        <w:pStyle w:val="indent1"/>
        <w:spacing w:before="0" w:beforeAutospacing="0" w:after="0" w:afterAutospacing="0"/>
        <w:jc w:val="both"/>
        <w:rPr>
          <w:rFonts w:ascii="Arial" w:hAnsi="Arial" w:cs="Arial"/>
          <w:color w:val="000000" w:themeColor="text1"/>
          <w:sz w:val="20"/>
          <w:szCs w:val="20"/>
        </w:rPr>
      </w:pPr>
    </w:p>
    <w:p w:rsidR="001959F0" w:rsidRPr="00F53D60" w:rsidRDefault="001959F0" w:rsidP="00D64581">
      <w:pPr>
        <w:pStyle w:val="indent1"/>
        <w:spacing w:before="0" w:beforeAutospacing="0" w:after="0" w:afterAutospacing="0"/>
        <w:jc w:val="both"/>
        <w:rPr>
          <w:rFonts w:ascii="Arial" w:hAnsi="Arial" w:cs="Arial"/>
          <w:color w:val="000000" w:themeColor="text1"/>
          <w:sz w:val="20"/>
          <w:szCs w:val="20"/>
        </w:rPr>
      </w:pPr>
      <w:r w:rsidRPr="00F53D60">
        <w:rPr>
          <w:rFonts w:ascii="Arial" w:hAnsi="Arial" w:cs="Arial"/>
          <w:color w:val="000000" w:themeColor="text1"/>
          <w:sz w:val="20"/>
          <w:szCs w:val="20"/>
        </w:rPr>
        <w:t>(2)</w:t>
      </w:r>
      <w:r w:rsidRPr="00F53D60">
        <w:rPr>
          <w:rFonts w:ascii="Arial" w:hAnsi="Arial" w:cs="Arial"/>
          <w:color w:val="000000" w:themeColor="text1"/>
          <w:sz w:val="20"/>
          <w:szCs w:val="20"/>
        </w:rPr>
        <w:tab/>
        <w:t>For the purposes of this section.-</w:t>
      </w:r>
    </w:p>
    <w:p w:rsidR="00D64581" w:rsidRPr="00F53D60" w:rsidRDefault="00D64581" w:rsidP="00D64581">
      <w:pPr>
        <w:pStyle w:val="indent1"/>
        <w:spacing w:before="0" w:beforeAutospacing="0" w:after="0" w:afterAutospacing="0"/>
        <w:jc w:val="both"/>
        <w:rPr>
          <w:rFonts w:ascii="Arial" w:hAnsi="Arial" w:cs="Arial"/>
          <w:color w:val="000000" w:themeColor="text1"/>
          <w:sz w:val="20"/>
          <w:szCs w:val="20"/>
        </w:rPr>
      </w:pPr>
    </w:p>
    <w:p w:rsidR="00D64581" w:rsidRPr="00F53D60" w:rsidRDefault="001959F0" w:rsidP="004B20DC">
      <w:pPr>
        <w:pStyle w:val="indent1"/>
        <w:numPr>
          <w:ilvl w:val="1"/>
          <w:numId w:val="27"/>
        </w:numPr>
        <w:spacing w:before="0" w:beforeAutospacing="0" w:after="0" w:afterAutospacing="0"/>
        <w:jc w:val="both"/>
        <w:rPr>
          <w:rFonts w:ascii="Arial" w:hAnsi="Arial" w:cs="Arial"/>
          <w:color w:val="000000" w:themeColor="text1"/>
          <w:sz w:val="20"/>
          <w:szCs w:val="20"/>
        </w:rPr>
      </w:pPr>
      <w:r w:rsidRPr="00F53D60">
        <w:rPr>
          <w:rFonts w:ascii="Arial" w:hAnsi="Arial" w:cs="Arial"/>
          <w:color w:val="000000" w:themeColor="text1"/>
          <w:sz w:val="20"/>
          <w:szCs w:val="20"/>
        </w:rPr>
        <w:t>“Accounting Income” means the accounting profit before tax for the tax year, as disclosed in the financial statements or as adjusted under sub-section (7) or sub-section (11) excluding share from the associate recognized under equity method of accounting;</w:t>
      </w:r>
    </w:p>
    <w:p w:rsidR="00D64581" w:rsidRPr="00F53D60" w:rsidRDefault="00D64581" w:rsidP="00D64581">
      <w:pPr>
        <w:pStyle w:val="indent1"/>
        <w:spacing w:before="0" w:beforeAutospacing="0" w:after="0" w:afterAutospacing="0"/>
        <w:ind w:left="1620"/>
        <w:jc w:val="both"/>
        <w:rPr>
          <w:rFonts w:ascii="Arial" w:hAnsi="Arial" w:cs="Arial"/>
          <w:color w:val="000000" w:themeColor="text1"/>
          <w:sz w:val="20"/>
          <w:szCs w:val="20"/>
        </w:rPr>
      </w:pPr>
    </w:p>
    <w:p w:rsidR="001C4313" w:rsidRPr="00F53D60" w:rsidRDefault="001959F0" w:rsidP="004B20DC">
      <w:pPr>
        <w:pStyle w:val="indent1"/>
        <w:numPr>
          <w:ilvl w:val="1"/>
          <w:numId w:val="27"/>
        </w:numPr>
        <w:spacing w:before="0" w:beforeAutospacing="0" w:after="0" w:afterAutospacing="0"/>
        <w:jc w:val="both"/>
        <w:rPr>
          <w:rFonts w:ascii="Arial" w:hAnsi="Arial" w:cs="Arial"/>
          <w:color w:val="000000" w:themeColor="text1"/>
          <w:sz w:val="20"/>
          <w:szCs w:val="20"/>
        </w:rPr>
      </w:pPr>
      <w:r w:rsidRPr="00F53D60">
        <w:rPr>
          <w:rFonts w:ascii="Arial" w:hAnsi="Arial" w:cs="Arial"/>
          <w:color w:val="000000" w:themeColor="text1"/>
          <w:sz w:val="20"/>
          <w:szCs w:val="20"/>
        </w:rPr>
        <w:t>"Alternative Corporate Tax" means the tax at a rate of seventeen per cent of a sum equal to accounting income less the amounts, as specified in sub-section (8), and determined in accordance with provisions of sub-section (7) hereinafter;</w:t>
      </w:r>
    </w:p>
    <w:p w:rsidR="001C4313" w:rsidRDefault="001C4313" w:rsidP="001C4313">
      <w:pPr>
        <w:pStyle w:val="ListParagraph"/>
        <w:rPr>
          <w:rFonts w:cs="Arial"/>
          <w:color w:val="00B0F0"/>
          <w:sz w:val="20"/>
        </w:rPr>
      </w:pPr>
    </w:p>
    <w:p w:rsidR="001959F0" w:rsidRPr="00214261" w:rsidRDefault="00303D9E" w:rsidP="00500A50">
      <w:pPr>
        <w:autoSpaceDE w:val="0"/>
        <w:autoSpaceDN w:val="0"/>
        <w:adjustRightInd w:val="0"/>
        <w:ind w:left="1620" w:hanging="360"/>
        <w:jc w:val="both"/>
        <w:rPr>
          <w:rFonts w:cs="Arial"/>
          <w:color w:val="000000" w:themeColor="text1"/>
          <w:sz w:val="20"/>
        </w:rPr>
      </w:pPr>
      <w:r w:rsidRPr="00214261">
        <w:rPr>
          <w:rStyle w:val="FootnoteReference"/>
          <w:rFonts w:cs="Arial"/>
          <w:color w:val="000000" w:themeColor="text1"/>
          <w:sz w:val="20"/>
        </w:rPr>
        <w:footnoteReference w:id="583"/>
      </w:r>
      <w:r w:rsidR="001C4313" w:rsidRPr="00214261">
        <w:rPr>
          <w:rFonts w:cs="Arial"/>
          <w:color w:val="000000" w:themeColor="text1"/>
          <w:sz w:val="20"/>
        </w:rPr>
        <w:t>[“(c)“</w:t>
      </w:r>
      <w:r w:rsidR="001C4313" w:rsidRPr="00214261">
        <w:rPr>
          <w:rFonts w:cs="Arial"/>
          <w:color w:val="000000" w:themeColor="text1"/>
          <w:sz w:val="20"/>
          <w:lang w:val="en-US"/>
        </w:rPr>
        <w:t>corporate tax” means higher of tax payable by the company</w:t>
      </w:r>
      <w:r w:rsidR="00943037" w:rsidRPr="00214261">
        <w:rPr>
          <w:rFonts w:cs="Arial"/>
          <w:color w:val="000000" w:themeColor="text1"/>
          <w:sz w:val="20"/>
          <w:lang w:val="en-US"/>
        </w:rPr>
        <w:t xml:space="preserve"> </w:t>
      </w:r>
      <w:r w:rsidR="001C4313" w:rsidRPr="00214261">
        <w:rPr>
          <w:rFonts w:cs="Arial"/>
          <w:color w:val="000000" w:themeColor="text1"/>
          <w:sz w:val="20"/>
          <w:lang w:val="en-US"/>
        </w:rPr>
        <w:t>under Division II of Part I of the First Schedule and minimum</w:t>
      </w:r>
      <w:r w:rsidR="00943037" w:rsidRPr="00214261">
        <w:rPr>
          <w:rFonts w:cs="Arial"/>
          <w:color w:val="000000" w:themeColor="text1"/>
          <w:sz w:val="20"/>
          <w:lang w:val="en-US"/>
        </w:rPr>
        <w:t xml:space="preserve"> </w:t>
      </w:r>
      <w:r w:rsidR="001C4313" w:rsidRPr="00214261">
        <w:rPr>
          <w:rFonts w:cs="Arial"/>
          <w:color w:val="000000" w:themeColor="text1"/>
          <w:sz w:val="20"/>
          <w:lang w:val="en-US"/>
        </w:rPr>
        <w:t>tax payable under any of the provisions of this Ordinance.</w:t>
      </w:r>
      <w:r w:rsidR="00500A50" w:rsidRPr="00214261">
        <w:rPr>
          <w:rFonts w:cs="Arial"/>
          <w:color w:val="000000" w:themeColor="text1"/>
          <w:sz w:val="20"/>
          <w:lang w:val="en-US"/>
        </w:rPr>
        <w:t>”]</w:t>
      </w:r>
      <w:r w:rsidR="001C4313" w:rsidRPr="00214261">
        <w:rPr>
          <w:rFonts w:cs="Arial"/>
          <w:color w:val="000000" w:themeColor="text1"/>
          <w:sz w:val="20"/>
        </w:rPr>
        <w:tab/>
      </w:r>
    </w:p>
    <w:p w:rsidR="001C4313" w:rsidRDefault="001C4313" w:rsidP="001C4313">
      <w:pPr>
        <w:pStyle w:val="ListParagraph"/>
        <w:rPr>
          <w:rFonts w:cs="Arial"/>
          <w:color w:val="00B0F0"/>
          <w:sz w:val="20"/>
        </w:rPr>
      </w:pPr>
    </w:p>
    <w:p w:rsidR="00D64581" w:rsidRPr="00D25A30" w:rsidRDefault="00D64581" w:rsidP="00D64581">
      <w:pPr>
        <w:pStyle w:val="indent1"/>
        <w:spacing w:before="0" w:beforeAutospacing="0" w:after="0" w:afterAutospacing="0"/>
        <w:ind w:left="1635"/>
        <w:jc w:val="both"/>
        <w:rPr>
          <w:rFonts w:ascii="Arial" w:hAnsi="Arial" w:cs="Arial"/>
          <w:color w:val="00B0F0"/>
          <w:sz w:val="12"/>
          <w:szCs w:val="20"/>
        </w:rPr>
      </w:pPr>
    </w:p>
    <w:p w:rsidR="001959F0" w:rsidRPr="00F53D60" w:rsidRDefault="00077B9D" w:rsidP="00077B9D">
      <w:pPr>
        <w:pStyle w:val="indent1"/>
        <w:spacing w:before="0" w:beforeAutospacing="0" w:after="0" w:afterAutospacing="0"/>
        <w:jc w:val="both"/>
        <w:rPr>
          <w:rFonts w:ascii="Arial" w:hAnsi="Arial" w:cs="Arial"/>
          <w:color w:val="000000" w:themeColor="text1"/>
          <w:sz w:val="20"/>
          <w:szCs w:val="20"/>
        </w:rPr>
      </w:pPr>
      <w:r w:rsidRPr="00F53D60">
        <w:rPr>
          <w:rFonts w:ascii="Arial" w:hAnsi="Arial" w:cs="Arial"/>
          <w:color w:val="000000" w:themeColor="text1"/>
          <w:sz w:val="20"/>
          <w:szCs w:val="20"/>
        </w:rPr>
        <w:t>(3)</w:t>
      </w:r>
      <w:r w:rsidRPr="00F53D60">
        <w:rPr>
          <w:rFonts w:ascii="Arial" w:hAnsi="Arial" w:cs="Arial"/>
          <w:color w:val="000000" w:themeColor="text1"/>
          <w:sz w:val="20"/>
          <w:szCs w:val="20"/>
        </w:rPr>
        <w:tab/>
      </w:r>
      <w:r w:rsidR="001959F0" w:rsidRPr="00F53D60">
        <w:rPr>
          <w:rFonts w:ascii="Arial" w:hAnsi="Arial" w:cs="Arial"/>
          <w:color w:val="000000" w:themeColor="text1"/>
          <w:sz w:val="20"/>
          <w:szCs w:val="20"/>
        </w:rPr>
        <w:t>The sum equal to accounting income,</w:t>
      </w:r>
      <w:r w:rsidR="00D64581" w:rsidRPr="00F53D60">
        <w:rPr>
          <w:rFonts w:ascii="Arial" w:hAnsi="Arial" w:cs="Arial"/>
          <w:color w:val="000000" w:themeColor="text1"/>
          <w:sz w:val="20"/>
          <w:szCs w:val="20"/>
        </w:rPr>
        <w:t xml:space="preserve"> less any amount to be excluded </w:t>
      </w:r>
      <w:r w:rsidR="001959F0" w:rsidRPr="00F53D60">
        <w:rPr>
          <w:rFonts w:ascii="Arial" w:hAnsi="Arial" w:cs="Arial"/>
          <w:color w:val="000000" w:themeColor="text1"/>
          <w:sz w:val="20"/>
          <w:szCs w:val="20"/>
        </w:rPr>
        <w:t>therefrom under sub-section (8), shall be treated as taxable income for the purpose of this section.</w:t>
      </w:r>
    </w:p>
    <w:p w:rsidR="00D64581" w:rsidRPr="00F53D60" w:rsidRDefault="00D64581" w:rsidP="00D64581">
      <w:pPr>
        <w:pStyle w:val="indent1"/>
        <w:spacing w:before="0" w:beforeAutospacing="0" w:after="0" w:afterAutospacing="0"/>
        <w:ind w:left="1095"/>
        <w:jc w:val="both"/>
        <w:rPr>
          <w:rFonts w:ascii="Arial" w:hAnsi="Arial" w:cs="Arial"/>
          <w:color w:val="000000" w:themeColor="text1"/>
          <w:sz w:val="20"/>
          <w:szCs w:val="20"/>
        </w:rPr>
      </w:pPr>
    </w:p>
    <w:p w:rsidR="001959F0" w:rsidRPr="00F53D60" w:rsidRDefault="001959F0" w:rsidP="00D64581">
      <w:pPr>
        <w:pStyle w:val="indent1"/>
        <w:spacing w:before="0" w:beforeAutospacing="0" w:after="0" w:afterAutospacing="0"/>
        <w:jc w:val="both"/>
        <w:rPr>
          <w:rFonts w:ascii="Arial" w:hAnsi="Arial" w:cs="Arial"/>
          <w:color w:val="000000" w:themeColor="text1"/>
          <w:sz w:val="20"/>
          <w:szCs w:val="20"/>
        </w:rPr>
      </w:pPr>
      <w:r w:rsidRPr="00F53D60">
        <w:rPr>
          <w:rFonts w:ascii="Arial" w:hAnsi="Arial" w:cs="Arial"/>
          <w:color w:val="000000" w:themeColor="text1"/>
          <w:sz w:val="20"/>
          <w:szCs w:val="20"/>
        </w:rPr>
        <w:t>(4)</w:t>
      </w:r>
      <w:r w:rsidRPr="00F53D60">
        <w:rPr>
          <w:rFonts w:ascii="Arial" w:hAnsi="Arial" w:cs="Arial"/>
          <w:color w:val="000000" w:themeColor="text1"/>
          <w:sz w:val="20"/>
          <w:szCs w:val="20"/>
        </w:rPr>
        <w:tab/>
        <w:t>The excess of Alternative Corporate Tax paid over the Corporate Tax payable for the tax year shall be carried forward and adjusted against the tax payable under Division II of Part I of the First Schedule, for following year.</w:t>
      </w:r>
    </w:p>
    <w:p w:rsidR="00D64581" w:rsidRPr="00F53D60" w:rsidRDefault="00D64581" w:rsidP="00D64581">
      <w:pPr>
        <w:pStyle w:val="indent1"/>
        <w:spacing w:before="0" w:beforeAutospacing="0" w:after="0" w:afterAutospacing="0"/>
        <w:jc w:val="both"/>
        <w:rPr>
          <w:rFonts w:ascii="Arial" w:hAnsi="Arial" w:cs="Arial"/>
          <w:color w:val="000000" w:themeColor="text1"/>
          <w:sz w:val="20"/>
          <w:szCs w:val="20"/>
        </w:rPr>
      </w:pPr>
    </w:p>
    <w:p w:rsidR="001959F0" w:rsidRPr="00F53D60" w:rsidRDefault="001959F0" w:rsidP="00D64581">
      <w:pPr>
        <w:pStyle w:val="indent1"/>
        <w:spacing w:before="0" w:beforeAutospacing="0" w:after="0" w:afterAutospacing="0"/>
        <w:jc w:val="both"/>
        <w:rPr>
          <w:rFonts w:ascii="Arial" w:hAnsi="Arial" w:cs="Arial"/>
          <w:color w:val="000000" w:themeColor="text1"/>
          <w:sz w:val="20"/>
          <w:szCs w:val="20"/>
        </w:rPr>
      </w:pPr>
      <w:r w:rsidRPr="00F53D60">
        <w:rPr>
          <w:rFonts w:ascii="Arial" w:hAnsi="Arial" w:cs="Arial"/>
          <w:color w:val="000000" w:themeColor="text1"/>
          <w:sz w:val="20"/>
          <w:szCs w:val="20"/>
        </w:rPr>
        <w:t>(5)</w:t>
      </w:r>
      <w:r w:rsidRPr="00F53D60">
        <w:rPr>
          <w:rFonts w:ascii="Arial" w:hAnsi="Arial" w:cs="Arial"/>
          <w:color w:val="000000" w:themeColor="text1"/>
          <w:sz w:val="20"/>
          <w:szCs w:val="20"/>
        </w:rPr>
        <w:tab/>
        <w:t>If the excess tax, as mentioned in sub-section (4), is not wholly adjusted, the amount not adjusted shall be carried forward to the following tax year and adjusted as specified in sub-section (4) in that year, and so on, but the said excess cannot be carried forward to more than ten tax years immediately succeeding the tax year for which the excess was first computed.</w:t>
      </w:r>
    </w:p>
    <w:p w:rsidR="001959F0" w:rsidRPr="00F53D60" w:rsidRDefault="001959F0" w:rsidP="00D64581">
      <w:pPr>
        <w:pStyle w:val="indent1"/>
        <w:spacing w:after="80" w:afterAutospacing="0"/>
        <w:ind w:firstLine="547"/>
        <w:jc w:val="both"/>
        <w:rPr>
          <w:rFonts w:ascii="Arial" w:hAnsi="Arial" w:cs="Arial"/>
          <w:color w:val="000000" w:themeColor="text1"/>
          <w:sz w:val="20"/>
          <w:szCs w:val="20"/>
        </w:rPr>
      </w:pPr>
      <w:r w:rsidRPr="00F53D60">
        <w:rPr>
          <w:rFonts w:ascii="Arial" w:hAnsi="Arial" w:cs="Arial"/>
          <w:bCs/>
          <w:i/>
          <w:color w:val="000000" w:themeColor="text1"/>
          <w:sz w:val="20"/>
          <w:szCs w:val="20"/>
        </w:rPr>
        <w:t>Explanation.</w:t>
      </w:r>
      <w:r w:rsidRPr="00F53D60">
        <w:rPr>
          <w:rFonts w:ascii="Arial" w:hAnsi="Arial" w:cs="Arial"/>
          <w:bCs/>
          <w:color w:val="000000" w:themeColor="text1"/>
          <w:sz w:val="20"/>
          <w:szCs w:val="20"/>
        </w:rPr>
        <w:t>-</w:t>
      </w:r>
      <w:r w:rsidRPr="00F53D60">
        <w:rPr>
          <w:rFonts w:ascii="Arial" w:hAnsi="Arial" w:cs="Arial"/>
          <w:color w:val="000000" w:themeColor="text1"/>
          <w:sz w:val="20"/>
          <w:szCs w:val="20"/>
        </w:rPr>
        <w:t xml:space="preserve"> For the purpose of this sub-section the mechanism for adjustment of excess of Alternative </w:t>
      </w:r>
      <w:r w:rsidR="009F3519" w:rsidRPr="00F53D60">
        <w:rPr>
          <w:rFonts w:ascii="Arial" w:hAnsi="Arial" w:cs="Arial"/>
          <w:color w:val="000000" w:themeColor="text1"/>
          <w:sz w:val="20"/>
          <w:szCs w:val="20"/>
        </w:rPr>
        <w:t>Corporate</w:t>
      </w:r>
      <w:r w:rsidRPr="00F53D60">
        <w:rPr>
          <w:rFonts w:ascii="Arial" w:hAnsi="Arial" w:cs="Arial"/>
          <w:color w:val="000000" w:themeColor="text1"/>
          <w:sz w:val="20"/>
          <w:szCs w:val="20"/>
        </w:rPr>
        <w:t xml:space="preserve"> Tax over Corporate Tax, specified in this section, shall not prejudice or affect the entitlement of the taxpayer regarding carrying forward and adjustment of minimum tax referred to in section 113 of this Ordinance.</w:t>
      </w:r>
    </w:p>
    <w:p w:rsidR="001959F0" w:rsidRPr="00F53D60" w:rsidRDefault="001959F0" w:rsidP="00D64581">
      <w:pPr>
        <w:pStyle w:val="indent1"/>
        <w:spacing w:before="0" w:beforeAutospacing="0" w:after="0" w:afterAutospacing="0"/>
        <w:jc w:val="both"/>
        <w:rPr>
          <w:rFonts w:ascii="Arial" w:hAnsi="Arial" w:cs="Arial"/>
          <w:iCs/>
          <w:color w:val="000000" w:themeColor="text1"/>
          <w:sz w:val="20"/>
          <w:szCs w:val="20"/>
        </w:rPr>
      </w:pPr>
      <w:r w:rsidRPr="00F53D60">
        <w:rPr>
          <w:rFonts w:ascii="Arial" w:hAnsi="Arial" w:cs="Arial"/>
          <w:color w:val="000000" w:themeColor="text1"/>
          <w:sz w:val="20"/>
          <w:szCs w:val="20"/>
        </w:rPr>
        <w:t>(6)</w:t>
      </w:r>
      <w:r w:rsidRPr="00F53D60">
        <w:rPr>
          <w:rFonts w:ascii="Arial" w:hAnsi="Arial" w:cs="Arial"/>
          <w:color w:val="000000" w:themeColor="text1"/>
          <w:sz w:val="20"/>
          <w:szCs w:val="20"/>
        </w:rPr>
        <w:tab/>
        <w:t xml:space="preserve">If </w:t>
      </w:r>
      <w:r w:rsidRPr="00F53D60">
        <w:rPr>
          <w:rFonts w:ascii="Arial" w:hAnsi="Arial" w:cs="Arial"/>
          <w:iCs/>
          <w:color w:val="000000" w:themeColor="text1"/>
          <w:sz w:val="20"/>
          <w:szCs w:val="20"/>
        </w:rPr>
        <w:t xml:space="preserve">Corporate Tax or </w:t>
      </w:r>
      <w:r w:rsidR="002C63E9" w:rsidRPr="00F53D60">
        <w:rPr>
          <w:rFonts w:ascii="Arial" w:hAnsi="Arial" w:cs="Arial"/>
          <w:color w:val="000000" w:themeColor="text1"/>
          <w:sz w:val="20"/>
          <w:szCs w:val="20"/>
        </w:rPr>
        <w:t xml:space="preserve">Alternative Corporate </w:t>
      </w:r>
      <w:r w:rsidRPr="00F53D60">
        <w:rPr>
          <w:rFonts w:ascii="Arial" w:hAnsi="Arial" w:cs="Arial"/>
          <w:color w:val="000000" w:themeColor="text1"/>
          <w:sz w:val="20"/>
          <w:szCs w:val="20"/>
        </w:rPr>
        <w:t>Tax is enhanced or reduced as a result of any amendment, or as a result of any order under the Ordinance</w:t>
      </w:r>
      <w:r w:rsidRPr="00F53D60">
        <w:rPr>
          <w:rFonts w:ascii="Arial" w:hAnsi="Arial" w:cs="Arial"/>
          <w:iCs/>
          <w:color w:val="000000" w:themeColor="text1"/>
          <w:sz w:val="20"/>
          <w:szCs w:val="20"/>
        </w:rPr>
        <w:t>, the excess amount to be carried forward shall be reduced or enhanced accordingly.</w:t>
      </w:r>
    </w:p>
    <w:p w:rsidR="001959F0" w:rsidRPr="00F53D60" w:rsidRDefault="001959F0" w:rsidP="00D64581">
      <w:pPr>
        <w:pStyle w:val="indent1"/>
        <w:spacing w:after="80" w:afterAutospacing="0"/>
        <w:jc w:val="both"/>
        <w:rPr>
          <w:rFonts w:ascii="Arial" w:hAnsi="Arial" w:cs="Arial"/>
          <w:color w:val="000000" w:themeColor="text1"/>
          <w:sz w:val="20"/>
          <w:szCs w:val="20"/>
        </w:rPr>
      </w:pPr>
      <w:r w:rsidRPr="00F53D60">
        <w:rPr>
          <w:rFonts w:ascii="Arial" w:hAnsi="Arial" w:cs="Arial"/>
          <w:iCs/>
          <w:color w:val="000000" w:themeColor="text1"/>
          <w:sz w:val="20"/>
          <w:szCs w:val="20"/>
        </w:rPr>
        <w:t>(7)</w:t>
      </w:r>
      <w:r w:rsidRPr="00F53D60">
        <w:rPr>
          <w:rFonts w:ascii="Arial" w:hAnsi="Arial" w:cs="Arial"/>
          <w:color w:val="000000" w:themeColor="text1"/>
          <w:sz w:val="20"/>
          <w:szCs w:val="20"/>
        </w:rPr>
        <w:tab/>
        <w:t xml:space="preserve">For the purposes of determining the “Accounting Income”, expenses shall be apportioned between the amount to be excluded from accounting income under sub-section (8) and the amount to be treated as taxable income under sub-section (2). </w:t>
      </w:r>
    </w:p>
    <w:p w:rsidR="001959F0" w:rsidRPr="00F53D60" w:rsidRDefault="001959F0" w:rsidP="00D64581">
      <w:pPr>
        <w:pStyle w:val="indent1"/>
        <w:spacing w:before="0" w:beforeAutospacing="0" w:after="0" w:afterAutospacing="0"/>
        <w:jc w:val="both"/>
        <w:rPr>
          <w:rFonts w:ascii="Arial" w:hAnsi="Arial" w:cs="Arial"/>
          <w:iCs/>
          <w:color w:val="000000" w:themeColor="text1"/>
          <w:sz w:val="20"/>
          <w:szCs w:val="20"/>
        </w:rPr>
      </w:pPr>
      <w:r w:rsidRPr="00F53D60">
        <w:rPr>
          <w:rFonts w:ascii="Arial" w:hAnsi="Arial" w:cs="Arial"/>
          <w:iCs/>
          <w:color w:val="000000" w:themeColor="text1"/>
          <w:sz w:val="20"/>
          <w:szCs w:val="20"/>
        </w:rPr>
        <w:t>(8)</w:t>
      </w:r>
      <w:r w:rsidRPr="00F53D60">
        <w:rPr>
          <w:rFonts w:ascii="Arial" w:hAnsi="Arial" w:cs="Arial"/>
          <w:iCs/>
          <w:color w:val="000000" w:themeColor="text1"/>
          <w:sz w:val="20"/>
          <w:szCs w:val="20"/>
        </w:rPr>
        <w:tab/>
        <w:t>The following amounts shall be excluded from accounting income for the purposes of computing Alternative Corporate Tax:-</w:t>
      </w:r>
    </w:p>
    <w:p w:rsidR="001959F0" w:rsidRPr="00F53D60" w:rsidRDefault="001959F0" w:rsidP="004B20DC">
      <w:pPr>
        <w:pStyle w:val="ListParagraph"/>
        <w:numPr>
          <w:ilvl w:val="0"/>
          <w:numId w:val="35"/>
        </w:numPr>
        <w:ind w:left="1620" w:hanging="630"/>
        <w:contextualSpacing/>
        <w:rPr>
          <w:rFonts w:cs="Arial"/>
          <w:iCs/>
          <w:color w:val="000000" w:themeColor="text1"/>
          <w:sz w:val="20"/>
        </w:rPr>
      </w:pPr>
      <w:r w:rsidRPr="00F53D60">
        <w:rPr>
          <w:rFonts w:cs="Arial"/>
          <w:iCs/>
          <w:color w:val="000000" w:themeColor="text1"/>
          <w:sz w:val="20"/>
        </w:rPr>
        <w:t>exempt income;</w:t>
      </w:r>
    </w:p>
    <w:p w:rsidR="00D64581" w:rsidRPr="001959F0" w:rsidRDefault="00D64581" w:rsidP="00D64581">
      <w:pPr>
        <w:pStyle w:val="ListParagraph"/>
        <w:ind w:left="1620"/>
        <w:contextualSpacing/>
        <w:rPr>
          <w:rFonts w:cs="Arial"/>
          <w:iCs/>
          <w:color w:val="00B0F0"/>
          <w:sz w:val="20"/>
        </w:rPr>
      </w:pPr>
    </w:p>
    <w:p w:rsidR="000B41AE" w:rsidRPr="00214261" w:rsidRDefault="00805E58" w:rsidP="000B41AE">
      <w:pPr>
        <w:autoSpaceDE w:val="0"/>
        <w:autoSpaceDN w:val="0"/>
        <w:adjustRightInd w:val="0"/>
        <w:ind w:left="1620" w:hanging="810"/>
        <w:jc w:val="both"/>
        <w:rPr>
          <w:rFonts w:cs="Arial"/>
          <w:color w:val="000000" w:themeColor="text1"/>
          <w:sz w:val="20"/>
        </w:rPr>
      </w:pPr>
      <w:r w:rsidRPr="00214261">
        <w:rPr>
          <w:rStyle w:val="FootnoteReference"/>
          <w:rFonts w:cs="Arial"/>
          <w:color w:val="000000" w:themeColor="text1"/>
          <w:sz w:val="20"/>
        </w:rPr>
        <w:footnoteReference w:id="584"/>
      </w:r>
      <w:r w:rsidR="000B41AE" w:rsidRPr="00214261">
        <w:rPr>
          <w:rFonts w:cs="Arial"/>
          <w:color w:val="000000" w:themeColor="text1"/>
          <w:sz w:val="20"/>
        </w:rPr>
        <w:t>[</w:t>
      </w:r>
      <w:r w:rsidRPr="00214261">
        <w:rPr>
          <w:rFonts w:cs="Arial"/>
          <w:color w:val="000000" w:themeColor="text1"/>
          <w:sz w:val="20"/>
        </w:rPr>
        <w:t>“</w:t>
      </w:r>
      <w:r w:rsidR="000B41AE" w:rsidRPr="00214261">
        <w:rPr>
          <w:rFonts w:cs="Arial"/>
          <w:color w:val="000000" w:themeColor="text1"/>
          <w:sz w:val="20"/>
        </w:rPr>
        <w:t xml:space="preserve">(ii) </w:t>
      </w:r>
      <w:r w:rsidR="000B41AE" w:rsidRPr="00214261">
        <w:rPr>
          <w:rFonts w:cs="Arial"/>
          <w:color w:val="000000" w:themeColor="text1"/>
          <w:sz w:val="20"/>
        </w:rPr>
        <w:tab/>
        <w:t>income which is subject to tax other than under Division II of Part I of the First Schedule or minimum tax under any of the provisions of this Ordinance;</w:t>
      </w:r>
      <w:r w:rsidRPr="00214261">
        <w:rPr>
          <w:rFonts w:cs="Arial"/>
          <w:color w:val="000000" w:themeColor="text1"/>
          <w:sz w:val="20"/>
        </w:rPr>
        <w:t>”</w:t>
      </w:r>
      <w:r w:rsidR="000B41AE" w:rsidRPr="00214261">
        <w:rPr>
          <w:rFonts w:cs="Arial"/>
          <w:color w:val="000000" w:themeColor="text1"/>
          <w:sz w:val="20"/>
        </w:rPr>
        <w:t>;]</w:t>
      </w:r>
    </w:p>
    <w:p w:rsidR="000220C3" w:rsidRDefault="000220C3" w:rsidP="000B41AE">
      <w:pPr>
        <w:autoSpaceDE w:val="0"/>
        <w:autoSpaceDN w:val="0"/>
        <w:adjustRightInd w:val="0"/>
        <w:ind w:left="1620" w:hanging="810"/>
        <w:jc w:val="both"/>
        <w:rPr>
          <w:rFonts w:cs="Arial"/>
          <w:sz w:val="20"/>
        </w:rPr>
      </w:pPr>
    </w:p>
    <w:p w:rsidR="000B41AE" w:rsidRPr="00D25A30" w:rsidRDefault="000B41AE" w:rsidP="000B41AE">
      <w:pPr>
        <w:autoSpaceDE w:val="0"/>
        <w:autoSpaceDN w:val="0"/>
        <w:adjustRightInd w:val="0"/>
        <w:ind w:left="1620" w:hanging="810"/>
        <w:jc w:val="both"/>
        <w:rPr>
          <w:rFonts w:cs="Arial"/>
          <w:sz w:val="14"/>
        </w:rPr>
      </w:pPr>
    </w:p>
    <w:p w:rsidR="001959F0" w:rsidRPr="00214261" w:rsidRDefault="001959F0" w:rsidP="000B41AE">
      <w:pPr>
        <w:pStyle w:val="ListParagraph"/>
        <w:numPr>
          <w:ilvl w:val="0"/>
          <w:numId w:val="39"/>
        </w:numPr>
        <w:autoSpaceDE w:val="0"/>
        <w:autoSpaceDN w:val="0"/>
        <w:adjustRightInd w:val="0"/>
        <w:jc w:val="both"/>
        <w:rPr>
          <w:rFonts w:cs="Arial"/>
          <w:color w:val="000000" w:themeColor="text1"/>
          <w:sz w:val="20"/>
        </w:rPr>
      </w:pPr>
      <w:r w:rsidRPr="00F53D60">
        <w:rPr>
          <w:rFonts w:cs="Arial"/>
          <w:iCs/>
          <w:color w:val="000000" w:themeColor="text1"/>
          <w:sz w:val="20"/>
        </w:rPr>
        <w:lastRenderedPageBreak/>
        <w:t xml:space="preserve">income subject to tax credit under section 65D </w:t>
      </w:r>
      <w:r w:rsidR="00D25A30" w:rsidRPr="00214261">
        <w:rPr>
          <w:rStyle w:val="FootnoteReference"/>
          <w:rFonts w:cs="Arial"/>
          <w:iCs/>
          <w:color w:val="000000" w:themeColor="text1"/>
          <w:sz w:val="20"/>
        </w:rPr>
        <w:footnoteReference w:id="585"/>
      </w:r>
      <w:r w:rsidR="00D25A30" w:rsidRPr="00214261">
        <w:rPr>
          <w:rFonts w:cs="Arial"/>
          <w:iCs/>
          <w:color w:val="000000" w:themeColor="text1"/>
          <w:sz w:val="20"/>
        </w:rPr>
        <w:t>[,</w:t>
      </w:r>
      <w:r w:rsidRPr="00214261">
        <w:rPr>
          <w:rFonts w:cs="Arial"/>
          <w:iCs/>
          <w:color w:val="000000" w:themeColor="text1"/>
          <w:sz w:val="20"/>
        </w:rPr>
        <w:t>65E</w:t>
      </w:r>
      <w:r w:rsidR="00D25A30" w:rsidRPr="00214261">
        <w:rPr>
          <w:rFonts w:cs="Arial"/>
          <w:iCs/>
          <w:color w:val="000000" w:themeColor="text1"/>
          <w:sz w:val="20"/>
        </w:rPr>
        <w:t xml:space="preserve"> and 100C]</w:t>
      </w:r>
    </w:p>
    <w:p w:rsidR="00D64581" w:rsidRPr="00214261" w:rsidRDefault="00E022AA" w:rsidP="00E022AA">
      <w:pPr>
        <w:pStyle w:val="ListParagraph"/>
        <w:ind w:left="900"/>
        <w:contextualSpacing/>
        <w:rPr>
          <w:rFonts w:cs="Arial"/>
          <w:color w:val="000000" w:themeColor="text1"/>
          <w:sz w:val="20"/>
        </w:rPr>
      </w:pPr>
      <w:r w:rsidRPr="00214261">
        <w:rPr>
          <w:rStyle w:val="FootnoteReference"/>
          <w:rFonts w:cs="Arial"/>
          <w:color w:val="000000" w:themeColor="text1"/>
          <w:sz w:val="20"/>
        </w:rPr>
        <w:footnoteReference w:id="586"/>
      </w:r>
      <w:r w:rsidRPr="00214261">
        <w:rPr>
          <w:rFonts w:cs="Arial"/>
          <w:color w:val="000000" w:themeColor="text1"/>
          <w:sz w:val="20"/>
        </w:rPr>
        <w:t>[    ]</w:t>
      </w:r>
    </w:p>
    <w:p w:rsidR="00E022AA" w:rsidRPr="00E022AA" w:rsidRDefault="00E022AA" w:rsidP="00E022AA">
      <w:pPr>
        <w:pStyle w:val="ListParagraph"/>
        <w:ind w:left="900"/>
        <w:contextualSpacing/>
        <w:rPr>
          <w:rFonts w:cs="Arial"/>
          <w:color w:val="984806" w:themeColor="accent6" w:themeShade="80"/>
          <w:sz w:val="20"/>
        </w:rPr>
      </w:pPr>
    </w:p>
    <w:p w:rsidR="00E022AA" w:rsidRPr="001959F0" w:rsidRDefault="00E022AA" w:rsidP="00E022AA">
      <w:pPr>
        <w:pStyle w:val="ListParagraph"/>
        <w:ind w:left="900"/>
        <w:contextualSpacing/>
        <w:rPr>
          <w:rFonts w:cs="Arial"/>
          <w:color w:val="00B0F0"/>
          <w:sz w:val="20"/>
        </w:rPr>
      </w:pPr>
    </w:p>
    <w:p w:rsidR="001959F0" w:rsidRPr="00F53D60" w:rsidRDefault="001959F0" w:rsidP="00D64581">
      <w:pPr>
        <w:pStyle w:val="indent1"/>
        <w:spacing w:before="0" w:beforeAutospacing="0" w:after="0" w:afterAutospacing="0"/>
        <w:jc w:val="both"/>
        <w:rPr>
          <w:rFonts w:ascii="Arial" w:hAnsi="Arial" w:cs="Arial"/>
          <w:color w:val="000000" w:themeColor="text1"/>
          <w:sz w:val="20"/>
          <w:szCs w:val="20"/>
        </w:rPr>
      </w:pPr>
      <w:r w:rsidRPr="00F53D60">
        <w:rPr>
          <w:rFonts w:ascii="Arial" w:hAnsi="Arial" w:cs="Arial"/>
          <w:color w:val="000000" w:themeColor="text1"/>
          <w:sz w:val="20"/>
          <w:szCs w:val="20"/>
        </w:rPr>
        <w:t>(9)</w:t>
      </w:r>
      <w:r w:rsidRPr="00F53D60">
        <w:rPr>
          <w:rFonts w:ascii="Arial" w:hAnsi="Arial" w:cs="Arial"/>
          <w:color w:val="000000" w:themeColor="text1"/>
          <w:sz w:val="20"/>
          <w:szCs w:val="20"/>
        </w:rPr>
        <w:tab/>
        <w:t>T</w:t>
      </w:r>
      <w:r w:rsidRPr="00F53D60">
        <w:rPr>
          <w:rFonts w:ascii="Arial" w:hAnsi="Arial" w:cs="Arial"/>
          <w:iCs/>
          <w:color w:val="000000" w:themeColor="text1"/>
          <w:sz w:val="20"/>
          <w:szCs w:val="20"/>
        </w:rPr>
        <w:t>he</w:t>
      </w:r>
      <w:r w:rsidRPr="00F53D60">
        <w:rPr>
          <w:rFonts w:ascii="Arial" w:hAnsi="Arial" w:cs="Arial"/>
          <w:color w:val="000000" w:themeColor="text1"/>
          <w:sz w:val="20"/>
          <w:szCs w:val="20"/>
        </w:rPr>
        <w:t xml:space="preserve"> provisions of this section shall not apply to taxpayers chargeable to tax in accordance with the provisions contained in the Fourth, Fifth and Seventh Schedules.</w:t>
      </w:r>
    </w:p>
    <w:p w:rsidR="00D64581" w:rsidRPr="00F53D60" w:rsidRDefault="00D64581" w:rsidP="00D64581">
      <w:pPr>
        <w:pStyle w:val="indent1"/>
        <w:spacing w:before="0" w:beforeAutospacing="0" w:after="0" w:afterAutospacing="0"/>
        <w:jc w:val="both"/>
        <w:rPr>
          <w:rFonts w:ascii="Arial" w:hAnsi="Arial" w:cs="Arial"/>
          <w:color w:val="000000" w:themeColor="text1"/>
          <w:sz w:val="20"/>
          <w:szCs w:val="20"/>
        </w:rPr>
      </w:pPr>
    </w:p>
    <w:p w:rsidR="001959F0" w:rsidRPr="00F53D60" w:rsidRDefault="001959F0" w:rsidP="00D64581">
      <w:pPr>
        <w:pStyle w:val="indent1"/>
        <w:spacing w:before="0" w:beforeAutospacing="0" w:after="0" w:afterAutospacing="0"/>
        <w:jc w:val="both"/>
        <w:rPr>
          <w:rFonts w:ascii="Arial" w:hAnsi="Arial" w:cs="Arial"/>
          <w:iCs/>
          <w:color w:val="000000" w:themeColor="text1"/>
          <w:sz w:val="20"/>
          <w:szCs w:val="20"/>
        </w:rPr>
      </w:pPr>
      <w:r w:rsidRPr="00F53D60">
        <w:rPr>
          <w:rFonts w:ascii="Arial" w:hAnsi="Arial" w:cs="Arial"/>
          <w:color w:val="000000" w:themeColor="text1"/>
          <w:sz w:val="20"/>
          <w:szCs w:val="20"/>
        </w:rPr>
        <w:t>(10)</w:t>
      </w:r>
      <w:r w:rsidRPr="00F53D60">
        <w:rPr>
          <w:rFonts w:ascii="Arial" w:hAnsi="Arial" w:cs="Arial"/>
          <w:color w:val="000000" w:themeColor="text1"/>
          <w:sz w:val="20"/>
          <w:szCs w:val="20"/>
        </w:rPr>
        <w:tab/>
        <w:t xml:space="preserve">Tax </w:t>
      </w:r>
      <w:r w:rsidRPr="00F53D60">
        <w:rPr>
          <w:rFonts w:ascii="Arial" w:hAnsi="Arial" w:cs="Arial"/>
          <w:iCs/>
          <w:color w:val="000000" w:themeColor="text1"/>
          <w:sz w:val="20"/>
          <w:szCs w:val="20"/>
        </w:rPr>
        <w:t>credit</w:t>
      </w:r>
      <w:r w:rsidRPr="00F53D60">
        <w:rPr>
          <w:rFonts w:ascii="Arial" w:hAnsi="Arial" w:cs="Arial"/>
          <w:color w:val="000000" w:themeColor="text1"/>
          <w:sz w:val="20"/>
          <w:szCs w:val="20"/>
        </w:rPr>
        <w:t xml:space="preserve"> under</w:t>
      </w:r>
      <w:r w:rsidRPr="001959F0">
        <w:rPr>
          <w:rFonts w:ascii="Arial" w:hAnsi="Arial" w:cs="Arial"/>
          <w:color w:val="00B0F0"/>
          <w:sz w:val="20"/>
          <w:szCs w:val="20"/>
        </w:rPr>
        <w:t xml:space="preserve"> </w:t>
      </w:r>
      <w:r w:rsidR="003F0858" w:rsidRPr="00214261">
        <w:rPr>
          <w:rStyle w:val="FootnoteReference"/>
          <w:rFonts w:ascii="Arial" w:hAnsi="Arial" w:cs="Arial"/>
          <w:color w:val="000000" w:themeColor="text1"/>
          <w:sz w:val="20"/>
          <w:szCs w:val="20"/>
        </w:rPr>
        <w:footnoteReference w:id="587"/>
      </w:r>
      <w:r w:rsidR="003F0858" w:rsidRPr="00214261">
        <w:rPr>
          <w:rFonts w:ascii="Arial" w:hAnsi="Arial" w:cs="Arial"/>
          <w:color w:val="000000" w:themeColor="text1"/>
          <w:sz w:val="20"/>
          <w:szCs w:val="20"/>
        </w:rPr>
        <w:t>[</w:t>
      </w:r>
      <w:r w:rsidRPr="00214261">
        <w:rPr>
          <w:rFonts w:ascii="Arial" w:hAnsi="Arial" w:cs="Arial"/>
          <w:color w:val="000000" w:themeColor="text1"/>
          <w:sz w:val="20"/>
          <w:szCs w:val="20"/>
        </w:rPr>
        <w:t>section</w:t>
      </w:r>
      <w:r w:rsidR="003F0858" w:rsidRPr="00214261">
        <w:rPr>
          <w:rFonts w:ascii="Arial" w:hAnsi="Arial" w:cs="Arial"/>
          <w:color w:val="000000" w:themeColor="text1"/>
          <w:sz w:val="20"/>
          <w:szCs w:val="20"/>
        </w:rPr>
        <w:t>s 64B and]</w:t>
      </w:r>
      <w:r w:rsidR="00943037">
        <w:rPr>
          <w:rFonts w:ascii="Arial" w:hAnsi="Arial" w:cs="Arial"/>
          <w:color w:val="984806" w:themeColor="accent6" w:themeShade="80"/>
          <w:sz w:val="20"/>
          <w:szCs w:val="20"/>
        </w:rPr>
        <w:t xml:space="preserve"> </w:t>
      </w:r>
      <w:r w:rsidRPr="00F53D60">
        <w:rPr>
          <w:rFonts w:ascii="Arial" w:hAnsi="Arial" w:cs="Arial"/>
          <w:color w:val="000000" w:themeColor="text1"/>
          <w:sz w:val="20"/>
          <w:szCs w:val="20"/>
        </w:rPr>
        <w:t xml:space="preserve">65B shall be allowed against </w:t>
      </w:r>
      <w:r w:rsidRPr="00F53D60">
        <w:rPr>
          <w:rFonts w:ascii="Arial" w:hAnsi="Arial" w:cs="Arial"/>
          <w:iCs/>
          <w:color w:val="000000" w:themeColor="text1"/>
          <w:sz w:val="20"/>
          <w:szCs w:val="20"/>
        </w:rPr>
        <w:t>Alternative Corporate Tax.</w:t>
      </w:r>
    </w:p>
    <w:p w:rsidR="00D64581" w:rsidRPr="001959F0" w:rsidRDefault="00D64581" w:rsidP="00D64581">
      <w:pPr>
        <w:pStyle w:val="indent1"/>
        <w:spacing w:before="0" w:beforeAutospacing="0" w:after="0" w:afterAutospacing="0"/>
        <w:jc w:val="both"/>
        <w:rPr>
          <w:rFonts w:ascii="Arial" w:hAnsi="Arial" w:cs="Arial"/>
          <w:iCs/>
          <w:color w:val="00B0F0"/>
          <w:sz w:val="20"/>
          <w:szCs w:val="20"/>
        </w:rPr>
      </w:pPr>
    </w:p>
    <w:p w:rsidR="001959F0" w:rsidRPr="00F53D60" w:rsidRDefault="001959F0" w:rsidP="00D64581">
      <w:pPr>
        <w:pStyle w:val="indent1"/>
        <w:spacing w:before="0" w:beforeAutospacing="0" w:after="0" w:afterAutospacing="0"/>
        <w:jc w:val="both"/>
        <w:rPr>
          <w:rFonts w:ascii="Arial" w:hAnsi="Arial" w:cs="Arial"/>
          <w:iCs/>
          <w:color w:val="000000" w:themeColor="text1"/>
          <w:sz w:val="20"/>
          <w:szCs w:val="20"/>
        </w:rPr>
      </w:pPr>
      <w:r w:rsidRPr="00F53D60">
        <w:rPr>
          <w:rFonts w:ascii="Arial" w:hAnsi="Arial" w:cs="Arial"/>
          <w:iCs/>
          <w:color w:val="000000" w:themeColor="text1"/>
          <w:sz w:val="20"/>
          <w:szCs w:val="20"/>
        </w:rPr>
        <w:t>(11)</w:t>
      </w:r>
      <w:r w:rsidRPr="00F53D60">
        <w:rPr>
          <w:rFonts w:ascii="Arial" w:hAnsi="Arial" w:cs="Arial"/>
          <w:iCs/>
          <w:color w:val="000000" w:themeColor="text1"/>
          <w:sz w:val="20"/>
          <w:szCs w:val="20"/>
        </w:rPr>
        <w:tab/>
        <w:t xml:space="preserve">The </w:t>
      </w:r>
      <w:r w:rsidRPr="00F53D60">
        <w:rPr>
          <w:rFonts w:ascii="Arial" w:hAnsi="Arial" w:cs="Arial"/>
          <w:color w:val="000000" w:themeColor="text1"/>
          <w:sz w:val="20"/>
          <w:szCs w:val="20"/>
        </w:rPr>
        <w:t>Commissioner</w:t>
      </w:r>
      <w:r w:rsidRPr="00F53D60">
        <w:rPr>
          <w:rFonts w:ascii="Arial" w:hAnsi="Arial" w:cs="Arial"/>
          <w:iCs/>
          <w:color w:val="000000" w:themeColor="text1"/>
          <w:sz w:val="20"/>
          <w:szCs w:val="20"/>
        </w:rPr>
        <w:t xml:space="preserve"> may make adjustments and proceed to compute accounting income as per historical accounting pattern after providing an opportunity of being heard.”;</w:t>
      </w:r>
      <w:r w:rsidR="00D64581" w:rsidRPr="00F53D60">
        <w:rPr>
          <w:rFonts w:ascii="Arial" w:hAnsi="Arial" w:cs="Arial"/>
          <w:iCs/>
          <w:color w:val="000000" w:themeColor="text1"/>
          <w:sz w:val="20"/>
          <w:szCs w:val="20"/>
        </w:rPr>
        <w:t>]</w:t>
      </w:r>
    </w:p>
    <w:p w:rsidR="00DD7F34" w:rsidRDefault="00DD7F34" w:rsidP="00D64581">
      <w:pPr>
        <w:pStyle w:val="indent1"/>
        <w:spacing w:before="0" w:beforeAutospacing="0" w:after="0" w:afterAutospacing="0"/>
        <w:jc w:val="both"/>
        <w:rPr>
          <w:rFonts w:ascii="Arial" w:hAnsi="Arial" w:cs="Arial"/>
          <w:iCs/>
          <w:color w:val="00B0F0"/>
          <w:sz w:val="20"/>
          <w:szCs w:val="20"/>
        </w:rPr>
      </w:pPr>
    </w:p>
    <w:p w:rsidR="00DD7F34" w:rsidRPr="00214261" w:rsidRDefault="00DD7F34" w:rsidP="00DD7F34">
      <w:pPr>
        <w:autoSpaceDE w:val="0"/>
        <w:autoSpaceDN w:val="0"/>
        <w:adjustRightInd w:val="0"/>
        <w:jc w:val="both"/>
        <w:rPr>
          <w:rFonts w:cs="Arial"/>
          <w:iCs/>
          <w:color w:val="000000" w:themeColor="text1"/>
          <w:sz w:val="20"/>
        </w:rPr>
      </w:pPr>
      <w:r>
        <w:rPr>
          <w:rFonts w:cs="Arial"/>
          <w:iCs/>
          <w:color w:val="00B0F0"/>
          <w:sz w:val="20"/>
        </w:rPr>
        <w:tab/>
      </w:r>
      <w:r w:rsidR="00632002" w:rsidRPr="00214261">
        <w:rPr>
          <w:rStyle w:val="FootnoteReference"/>
          <w:rFonts w:cs="Arial"/>
          <w:iCs/>
          <w:color w:val="000000" w:themeColor="text1"/>
          <w:sz w:val="20"/>
        </w:rPr>
        <w:footnoteReference w:id="588"/>
      </w:r>
      <w:r w:rsidRPr="00214261">
        <w:rPr>
          <w:rFonts w:cs="Arial"/>
          <w:iCs/>
          <w:color w:val="000000" w:themeColor="text1"/>
          <w:sz w:val="20"/>
        </w:rPr>
        <w:t>[“</w:t>
      </w:r>
      <w:r w:rsidRPr="00214261">
        <w:rPr>
          <w:rFonts w:cs="Arial"/>
          <w:i/>
          <w:iCs/>
          <w:color w:val="000000" w:themeColor="text1"/>
          <w:sz w:val="20"/>
          <w:lang w:val="en-US"/>
        </w:rPr>
        <w:t>Explanation.</w:t>
      </w:r>
      <w:r w:rsidRPr="00214261">
        <w:rPr>
          <w:rFonts w:ascii="Arial,Italic" w:hAnsi="Arial,Italic" w:cs="Arial,Italic"/>
          <w:i/>
          <w:iCs/>
          <w:color w:val="000000" w:themeColor="text1"/>
          <w:sz w:val="20"/>
          <w:lang w:val="en-US"/>
        </w:rPr>
        <w:t xml:space="preserve">— </w:t>
      </w:r>
      <w:r w:rsidRPr="00214261">
        <w:rPr>
          <w:rFonts w:cs="Arial"/>
          <w:color w:val="000000" w:themeColor="text1"/>
          <w:sz w:val="20"/>
          <w:lang w:val="en-US"/>
        </w:rPr>
        <w:t>For the removal of doubt, it is clarified that taxes paid or payable other than payable under Division II of Part I of the First Schedule shall remain payable in accordance with the mode or manner prescribed under the respective</w:t>
      </w:r>
      <w:r w:rsidR="00315DF9" w:rsidRPr="00214261">
        <w:rPr>
          <w:rFonts w:cs="Arial"/>
          <w:color w:val="000000" w:themeColor="text1"/>
          <w:sz w:val="20"/>
          <w:lang w:val="en-US"/>
        </w:rPr>
        <w:t xml:space="preserve"> provisions of this Ordinance.”</w:t>
      </w:r>
      <w:r w:rsidRPr="00214261">
        <w:rPr>
          <w:rFonts w:cs="Arial"/>
          <w:color w:val="000000" w:themeColor="text1"/>
          <w:sz w:val="20"/>
          <w:lang w:val="en-US"/>
        </w:rPr>
        <w:t>]</w:t>
      </w:r>
    </w:p>
    <w:p w:rsidR="006A3F93" w:rsidRPr="00412620" w:rsidRDefault="00D570C2">
      <w:pPr>
        <w:pStyle w:val="Title"/>
        <w:keepNext/>
        <w:rPr>
          <w:rFonts w:cs="Arial"/>
          <w:sz w:val="32"/>
          <w:szCs w:val="32"/>
        </w:rPr>
      </w:pPr>
      <w:r w:rsidRPr="00412620">
        <w:rPr>
          <w:rFonts w:cs="Arial"/>
          <w:sz w:val="20"/>
        </w:rPr>
        <w:br w:type="page"/>
      </w:r>
      <w:r w:rsidR="006A3F93" w:rsidRPr="00412620">
        <w:rPr>
          <w:rFonts w:cs="Arial"/>
          <w:sz w:val="32"/>
          <w:szCs w:val="32"/>
        </w:rPr>
        <w:lastRenderedPageBreak/>
        <w:t>CHAPTER X</w:t>
      </w:r>
    </w:p>
    <w:p w:rsidR="006A3F93" w:rsidRPr="00412620" w:rsidRDefault="006A3F93">
      <w:pPr>
        <w:pStyle w:val="Subtitle"/>
        <w:keepNext/>
      </w:pPr>
      <w:r w:rsidRPr="00412620">
        <w:rPr>
          <w:rFonts w:cs="Arial"/>
        </w:rPr>
        <w:t>PROCEDURE</w:t>
      </w:r>
    </w:p>
    <w:p w:rsidR="006A3F93" w:rsidRPr="00412620" w:rsidRDefault="006A3F93">
      <w:pPr>
        <w:keepNext/>
        <w:rPr>
          <w:rFonts w:cs="Arial"/>
          <w:b/>
          <w:sz w:val="20"/>
        </w:rPr>
      </w:pPr>
    </w:p>
    <w:p w:rsidR="006A3F93" w:rsidRPr="00412620" w:rsidRDefault="006A3F93">
      <w:pPr>
        <w:pStyle w:val="Heading8"/>
        <w:keepNext w:val="0"/>
        <w:rPr>
          <w:rFonts w:cs="Arial"/>
          <w:i w:val="0"/>
          <w:sz w:val="32"/>
          <w:szCs w:val="32"/>
        </w:rPr>
      </w:pPr>
      <w:r w:rsidRPr="00412620">
        <w:rPr>
          <w:rFonts w:cs="Arial"/>
          <w:i w:val="0"/>
          <w:sz w:val="32"/>
          <w:szCs w:val="32"/>
        </w:rPr>
        <w:t xml:space="preserve">PART I </w:t>
      </w:r>
    </w:p>
    <w:p w:rsidR="006A3F93" w:rsidRPr="00412620" w:rsidRDefault="006A3F93">
      <w:pPr>
        <w:keepNext/>
        <w:jc w:val="center"/>
        <w:rPr>
          <w:rFonts w:cs="Arial"/>
          <w:b/>
          <w:sz w:val="20"/>
        </w:rPr>
      </w:pPr>
      <w:r w:rsidRPr="00412620">
        <w:rPr>
          <w:rFonts w:cs="Arial"/>
          <w:b/>
          <w:sz w:val="20"/>
        </w:rPr>
        <w:t>RETURNS</w:t>
      </w:r>
    </w:p>
    <w:p w:rsidR="006A3F93" w:rsidRPr="00412620" w:rsidRDefault="006A3F93">
      <w:pPr>
        <w:keepNext/>
        <w:jc w:val="center"/>
        <w:rPr>
          <w:rFonts w:cs="Arial"/>
          <w:b/>
          <w:i/>
          <w:sz w:val="20"/>
        </w:rPr>
      </w:pPr>
    </w:p>
    <w:p w:rsidR="006A3F93" w:rsidRPr="00412620" w:rsidRDefault="006A3F93">
      <w:pPr>
        <w:jc w:val="both"/>
        <w:rPr>
          <w:sz w:val="20"/>
        </w:rPr>
      </w:pPr>
      <w:r w:rsidRPr="00412620">
        <w:rPr>
          <w:rFonts w:cs="Arial"/>
          <w:b/>
          <w:sz w:val="20"/>
        </w:rPr>
        <w:t>114.</w:t>
      </w:r>
      <w:r w:rsidRPr="00412620">
        <w:rPr>
          <w:rFonts w:cs="Arial"/>
          <w:b/>
          <w:sz w:val="20"/>
        </w:rPr>
        <w:tab/>
        <w:t>Return of income.</w:t>
      </w:r>
      <w:r w:rsidR="00487926" w:rsidRPr="00412620">
        <w:rPr>
          <w:rFonts w:cs="Arial"/>
          <w:sz w:val="20"/>
        </w:rPr>
        <w:t xml:space="preserve"> —</w:t>
      </w:r>
      <w:r w:rsidRPr="00412620">
        <w:rPr>
          <w:sz w:val="20"/>
        </w:rPr>
        <w:t xml:space="preserve"> (1</w:t>
      </w:r>
      <w:r w:rsidR="00726F54" w:rsidRPr="00412620">
        <w:rPr>
          <w:sz w:val="20"/>
        </w:rPr>
        <w:t>) Subject</w:t>
      </w:r>
      <w:r w:rsidRPr="00412620">
        <w:rPr>
          <w:sz w:val="20"/>
        </w:rPr>
        <w:t xml:space="preserve"> to this Ordinance, the following persons are required to furnish a return of income for a tax year, namely:–</w:t>
      </w:r>
    </w:p>
    <w:p w:rsidR="006A3F93" w:rsidRPr="00412620" w:rsidRDefault="006A3F93">
      <w:pPr>
        <w:ind w:left="1530" w:hanging="548"/>
        <w:rPr>
          <w:rFonts w:cs="Arial"/>
          <w:sz w:val="20"/>
        </w:rPr>
      </w:pPr>
    </w:p>
    <w:p w:rsidR="006A3F93" w:rsidRPr="00412620" w:rsidRDefault="006A3F93">
      <w:pPr>
        <w:ind w:left="1530" w:hanging="548"/>
        <w:rPr>
          <w:sz w:val="20"/>
        </w:rPr>
      </w:pPr>
      <w:r w:rsidRPr="00412620">
        <w:rPr>
          <w:rStyle w:val="FootnoteReference"/>
          <w:rFonts w:cs="Arial"/>
          <w:sz w:val="20"/>
        </w:rPr>
        <w:footnoteReference w:id="589"/>
      </w:r>
      <w:r w:rsidRPr="00412620">
        <w:rPr>
          <w:sz w:val="20"/>
        </w:rPr>
        <w:t>[(a)</w:t>
      </w:r>
      <w:r w:rsidRPr="00412620">
        <w:rPr>
          <w:sz w:val="20"/>
        </w:rPr>
        <w:tab/>
        <w:t>every company;]</w:t>
      </w:r>
    </w:p>
    <w:p w:rsidR="006A3F93" w:rsidRPr="00412620" w:rsidRDefault="006A3F93">
      <w:pPr>
        <w:rPr>
          <w:rFonts w:cs="Arial"/>
          <w:sz w:val="20"/>
        </w:rPr>
      </w:pPr>
    </w:p>
    <w:p w:rsidR="006A3F93" w:rsidRPr="00412620" w:rsidRDefault="006A3F93">
      <w:pPr>
        <w:ind w:left="1530" w:hanging="645"/>
        <w:jc w:val="both"/>
        <w:rPr>
          <w:sz w:val="20"/>
        </w:rPr>
      </w:pPr>
      <w:r w:rsidRPr="00412620">
        <w:rPr>
          <w:rStyle w:val="FootnoteReference"/>
          <w:rFonts w:cs="Arial"/>
          <w:sz w:val="20"/>
        </w:rPr>
        <w:footnoteReference w:id="590"/>
      </w:r>
      <w:r w:rsidRPr="00412620">
        <w:rPr>
          <w:sz w:val="20"/>
        </w:rPr>
        <w:t>[(ab)</w:t>
      </w:r>
      <w:r w:rsidRPr="00412620">
        <w:rPr>
          <w:sz w:val="20"/>
        </w:rPr>
        <w:tab/>
        <w:t>every person (other than a company) whose taxable income for the year exceeds the maximum amount that is not chargeable to tax under this Ordinance for the year;</w:t>
      </w:r>
      <w:r w:rsidR="00214261">
        <w:rPr>
          <w:sz w:val="20"/>
        </w:rPr>
        <w:t xml:space="preserve"> </w:t>
      </w:r>
      <w:r w:rsidR="000D3DA5" w:rsidRPr="00412620">
        <w:rPr>
          <w:rStyle w:val="FootnoteReference"/>
          <w:sz w:val="20"/>
        </w:rPr>
        <w:footnoteReference w:id="591"/>
      </w:r>
      <w:r w:rsidR="000D3DA5" w:rsidRPr="00412620">
        <w:rPr>
          <w:sz w:val="20"/>
        </w:rPr>
        <w:t>[or]</w:t>
      </w:r>
      <w:r w:rsidRPr="00412620">
        <w:rPr>
          <w:sz w:val="20"/>
        </w:rPr>
        <w:t>]</w:t>
      </w:r>
    </w:p>
    <w:p w:rsidR="006A3F93" w:rsidRPr="00412620" w:rsidRDefault="006A3F93">
      <w:pPr>
        <w:rPr>
          <w:rFonts w:cs="Arial"/>
          <w:sz w:val="26"/>
        </w:rPr>
      </w:pPr>
    </w:p>
    <w:p w:rsidR="00704C23" w:rsidRPr="00412620" w:rsidRDefault="00704C23" w:rsidP="00704C23">
      <w:pPr>
        <w:ind w:left="1530" w:hanging="645"/>
        <w:jc w:val="both"/>
        <w:rPr>
          <w:rFonts w:cs="Arial"/>
          <w:sz w:val="20"/>
        </w:rPr>
      </w:pPr>
      <w:r w:rsidRPr="00412620">
        <w:rPr>
          <w:rStyle w:val="FootnoteReference"/>
          <w:rFonts w:cs="Arial"/>
          <w:sz w:val="20"/>
        </w:rPr>
        <w:footnoteReference w:id="592"/>
      </w:r>
      <w:r w:rsidRPr="00412620">
        <w:rPr>
          <w:rFonts w:cs="Arial"/>
          <w:sz w:val="20"/>
        </w:rPr>
        <w:t xml:space="preserve">[(ac) </w:t>
      </w:r>
      <w:r w:rsidRPr="00412620">
        <w:rPr>
          <w:rFonts w:cs="Arial"/>
          <w:sz w:val="20"/>
        </w:rPr>
        <w:tab/>
        <w:t xml:space="preserve">any non-profit organization as defined in clause (36) of section 2; </w:t>
      </w:r>
      <w:r w:rsidR="000D3DA5" w:rsidRPr="00412620">
        <w:rPr>
          <w:rStyle w:val="FootnoteReference"/>
          <w:rFonts w:cs="Arial"/>
          <w:sz w:val="20"/>
        </w:rPr>
        <w:footnoteReference w:id="593"/>
      </w:r>
      <w:r w:rsidR="000D3DA5" w:rsidRPr="00412620">
        <w:rPr>
          <w:rFonts w:cs="Arial"/>
          <w:sz w:val="20"/>
        </w:rPr>
        <w:t xml:space="preserve">[ ] </w:t>
      </w:r>
      <w:r w:rsidRPr="00412620">
        <w:rPr>
          <w:rFonts w:cs="Arial"/>
          <w:sz w:val="20"/>
        </w:rPr>
        <w:t>]</w:t>
      </w:r>
    </w:p>
    <w:p w:rsidR="00704C23" w:rsidRPr="00412620" w:rsidRDefault="00704C23" w:rsidP="00704C23">
      <w:pPr>
        <w:ind w:left="1530" w:hanging="645"/>
        <w:jc w:val="both"/>
        <w:rPr>
          <w:rFonts w:cs="Arial"/>
          <w:sz w:val="26"/>
        </w:rPr>
      </w:pPr>
    </w:p>
    <w:p w:rsidR="00704C23" w:rsidRPr="00412620" w:rsidRDefault="00704C23" w:rsidP="00704C23">
      <w:pPr>
        <w:ind w:left="1530" w:hanging="645"/>
        <w:jc w:val="both"/>
        <w:rPr>
          <w:rFonts w:cs="Arial"/>
          <w:sz w:val="20"/>
        </w:rPr>
      </w:pPr>
      <w:r w:rsidRPr="00412620">
        <w:rPr>
          <w:rStyle w:val="FootnoteReference"/>
          <w:rFonts w:cs="Arial"/>
          <w:sz w:val="20"/>
        </w:rPr>
        <w:footnoteReference w:id="594"/>
      </w:r>
      <w:r w:rsidRPr="00412620">
        <w:rPr>
          <w:rFonts w:cs="Arial"/>
          <w:sz w:val="20"/>
        </w:rPr>
        <w:t xml:space="preserve">[(ad) </w:t>
      </w:r>
      <w:r w:rsidRPr="00412620">
        <w:rPr>
          <w:rFonts w:cs="Arial"/>
          <w:sz w:val="20"/>
        </w:rPr>
        <w:tab/>
        <w:t>any welfare institution approved under clause (58) of Part I of the Second Schedule;]</w:t>
      </w:r>
      <w:r w:rsidRPr="00412620">
        <w:rPr>
          <w:rFonts w:cs="Arial"/>
          <w:sz w:val="20"/>
        </w:rPr>
        <w:tab/>
      </w:r>
      <w:r w:rsidRPr="00412620">
        <w:rPr>
          <w:rFonts w:cs="Arial"/>
          <w:sz w:val="20"/>
        </w:rPr>
        <w:tab/>
      </w:r>
    </w:p>
    <w:p w:rsidR="00704C23" w:rsidRPr="00412620" w:rsidRDefault="00704C23">
      <w:pPr>
        <w:rPr>
          <w:rFonts w:cs="Arial"/>
          <w:sz w:val="28"/>
        </w:rPr>
      </w:pPr>
    </w:p>
    <w:p w:rsidR="006A3F93" w:rsidRPr="00412620" w:rsidRDefault="006A3F93">
      <w:pPr>
        <w:pStyle w:val="BodyTextIndent"/>
        <w:ind w:left="1530" w:hanging="630"/>
        <w:jc w:val="both"/>
        <w:rPr>
          <w:sz w:val="20"/>
        </w:rPr>
      </w:pPr>
      <w:r w:rsidRPr="00412620">
        <w:rPr>
          <w:rStyle w:val="FootnoteReference"/>
          <w:rFonts w:cs="Arial"/>
          <w:sz w:val="20"/>
        </w:rPr>
        <w:footnoteReference w:id="595"/>
      </w:r>
      <w:r w:rsidRPr="00412620">
        <w:rPr>
          <w:sz w:val="20"/>
        </w:rPr>
        <w:t xml:space="preserve">[(b) </w:t>
      </w:r>
      <w:r w:rsidRPr="00412620">
        <w:rPr>
          <w:sz w:val="20"/>
        </w:rPr>
        <w:tab/>
        <w:t xml:space="preserve">any person not covered by clause </w:t>
      </w:r>
      <w:r w:rsidR="00704C23" w:rsidRPr="00412620">
        <w:rPr>
          <w:rStyle w:val="FootnoteReference"/>
          <w:sz w:val="20"/>
        </w:rPr>
        <w:footnoteReference w:id="596"/>
      </w:r>
      <w:r w:rsidR="00704C23" w:rsidRPr="00412620">
        <w:rPr>
          <w:sz w:val="20"/>
        </w:rPr>
        <w:t xml:space="preserve">[(a), (ab), (ac) or (ad)] </w:t>
      </w:r>
      <w:r w:rsidRPr="00412620">
        <w:rPr>
          <w:sz w:val="20"/>
        </w:rPr>
        <w:t>who,</w:t>
      </w:r>
      <w:r w:rsidR="00203C2B" w:rsidRPr="00412620">
        <w:rPr>
          <w:rFonts w:cs="Arial"/>
          <w:bCs/>
          <w:sz w:val="20"/>
        </w:rPr>
        <w:t>—</w:t>
      </w:r>
    </w:p>
    <w:p w:rsidR="006A3F93" w:rsidRPr="00412620" w:rsidRDefault="006A3F93">
      <w:pPr>
        <w:pStyle w:val="BodyTextIndent"/>
        <w:ind w:left="0" w:firstLine="0"/>
        <w:jc w:val="both"/>
        <w:rPr>
          <w:rFonts w:cs="Arial"/>
          <w:sz w:val="28"/>
        </w:rPr>
      </w:pPr>
    </w:p>
    <w:p w:rsidR="006A3F93" w:rsidRPr="00412620" w:rsidRDefault="006A3F93">
      <w:pPr>
        <w:pStyle w:val="BodyTextIndent"/>
        <w:ind w:left="2188" w:hanging="553"/>
        <w:jc w:val="both"/>
        <w:rPr>
          <w:rFonts w:cs="Arial"/>
          <w:sz w:val="20"/>
        </w:rPr>
      </w:pPr>
      <w:r w:rsidRPr="00412620">
        <w:rPr>
          <w:rFonts w:cs="Arial"/>
          <w:sz w:val="20"/>
        </w:rPr>
        <w:lastRenderedPageBreak/>
        <w:t xml:space="preserve">(i) </w:t>
      </w:r>
      <w:r w:rsidRPr="00412620">
        <w:rPr>
          <w:rFonts w:cs="Arial"/>
          <w:sz w:val="20"/>
        </w:rPr>
        <w:tab/>
        <w:t>has been charged to tax in respect of any of the two preceding tax years;</w:t>
      </w:r>
    </w:p>
    <w:p w:rsidR="006A3F93" w:rsidRPr="00412620" w:rsidRDefault="006A3F93">
      <w:pPr>
        <w:pStyle w:val="BodyTextIndent"/>
        <w:ind w:left="2188" w:hanging="553"/>
        <w:jc w:val="both"/>
        <w:rPr>
          <w:rFonts w:cs="Arial"/>
          <w:sz w:val="28"/>
        </w:rPr>
      </w:pPr>
    </w:p>
    <w:p w:rsidR="006A3F93" w:rsidRPr="00412620" w:rsidRDefault="006A3F93">
      <w:pPr>
        <w:pStyle w:val="BodyTextIndent"/>
        <w:ind w:left="2188" w:hanging="553"/>
        <w:jc w:val="both"/>
        <w:rPr>
          <w:rFonts w:cs="Arial"/>
          <w:sz w:val="20"/>
        </w:rPr>
      </w:pPr>
      <w:r w:rsidRPr="00412620">
        <w:rPr>
          <w:rFonts w:cs="Arial"/>
          <w:sz w:val="20"/>
        </w:rPr>
        <w:t xml:space="preserve">(ii) </w:t>
      </w:r>
      <w:r w:rsidRPr="00412620">
        <w:rPr>
          <w:rFonts w:cs="Arial"/>
          <w:sz w:val="20"/>
        </w:rPr>
        <w:tab/>
        <w:t>claims a loss carried forward under this Ordinance for a tax year;</w:t>
      </w:r>
      <w:r w:rsidRPr="00412620">
        <w:rPr>
          <w:rFonts w:cs="Arial"/>
          <w:sz w:val="20"/>
        </w:rPr>
        <w:tab/>
      </w:r>
    </w:p>
    <w:p w:rsidR="006A3F93" w:rsidRPr="00412620" w:rsidRDefault="006A3F93">
      <w:pPr>
        <w:pStyle w:val="BodyTextIndent"/>
        <w:ind w:left="2188" w:hanging="553"/>
        <w:jc w:val="both"/>
        <w:rPr>
          <w:rFonts w:cs="Arial"/>
          <w:sz w:val="26"/>
        </w:rPr>
      </w:pPr>
    </w:p>
    <w:p w:rsidR="006A3F93" w:rsidRPr="00412620" w:rsidRDefault="006A3F93">
      <w:pPr>
        <w:pStyle w:val="BodyTextIndent"/>
        <w:ind w:left="2188" w:hanging="553"/>
        <w:jc w:val="both"/>
        <w:rPr>
          <w:rFonts w:cs="Arial"/>
          <w:sz w:val="20"/>
        </w:rPr>
      </w:pPr>
      <w:r w:rsidRPr="00412620">
        <w:rPr>
          <w:rFonts w:cs="Arial"/>
          <w:sz w:val="20"/>
        </w:rPr>
        <w:t xml:space="preserve">(iii) </w:t>
      </w:r>
      <w:r w:rsidRPr="00412620">
        <w:rPr>
          <w:rFonts w:cs="Arial"/>
          <w:sz w:val="20"/>
        </w:rPr>
        <w:tab/>
        <w:t>owns immovable property with a land area of two hundred and fifty square yards or more or owns any flat located in areas falling within the municipal limits existing immediately before the commencement of Local Government laws in the provinces; or areas in a Cantonment; or the Islamabad Capital Territory</w:t>
      </w:r>
      <w:r w:rsidR="003C165C" w:rsidRPr="00412620">
        <w:rPr>
          <w:rStyle w:val="FootnoteReference"/>
          <w:rFonts w:cs="Arial"/>
          <w:sz w:val="20"/>
        </w:rPr>
        <w:footnoteReference w:id="597"/>
      </w:r>
      <w:r w:rsidR="003C165C" w:rsidRPr="00412620">
        <w:rPr>
          <w:rFonts w:cs="Arial"/>
          <w:sz w:val="20"/>
        </w:rPr>
        <w:t xml:space="preserve">[;] </w:t>
      </w:r>
      <w:r w:rsidRPr="00412620">
        <w:rPr>
          <w:rFonts w:cs="Arial"/>
          <w:sz w:val="20"/>
        </w:rPr>
        <w:t>]</w:t>
      </w:r>
    </w:p>
    <w:p w:rsidR="006C536D" w:rsidRPr="00412620" w:rsidRDefault="006C536D">
      <w:pPr>
        <w:jc w:val="both"/>
        <w:rPr>
          <w:rFonts w:cs="Arial"/>
          <w:sz w:val="20"/>
        </w:rPr>
      </w:pPr>
    </w:p>
    <w:p w:rsidR="00E177AE" w:rsidRPr="00412620" w:rsidRDefault="00C87AAD" w:rsidP="00E177AE">
      <w:pPr>
        <w:ind w:left="2188" w:hanging="553"/>
        <w:jc w:val="both"/>
        <w:rPr>
          <w:rFonts w:cs="Arial"/>
          <w:sz w:val="20"/>
        </w:rPr>
      </w:pPr>
      <w:r w:rsidRPr="00412620">
        <w:rPr>
          <w:rStyle w:val="FootnoteReference"/>
          <w:rFonts w:cs="Arial"/>
          <w:sz w:val="20"/>
        </w:rPr>
        <w:footnoteReference w:id="598"/>
      </w:r>
      <w:r w:rsidR="00E177AE" w:rsidRPr="00412620">
        <w:rPr>
          <w:rFonts w:cs="Arial"/>
          <w:sz w:val="20"/>
        </w:rPr>
        <w:t xml:space="preserve">[(iv) </w:t>
      </w:r>
      <w:r w:rsidR="00E177AE" w:rsidRPr="00412620">
        <w:rPr>
          <w:rFonts w:cs="Arial"/>
          <w:sz w:val="20"/>
        </w:rPr>
        <w:tab/>
        <w:t>owns immoveable property with a land area of five hundred square yards or more located in a rating area;]</w:t>
      </w:r>
    </w:p>
    <w:p w:rsidR="00E177AE" w:rsidRPr="00412620" w:rsidRDefault="00E177AE">
      <w:pPr>
        <w:jc w:val="both"/>
        <w:rPr>
          <w:rFonts w:cs="Arial"/>
          <w:sz w:val="20"/>
        </w:rPr>
      </w:pPr>
    </w:p>
    <w:p w:rsidR="00E177AE" w:rsidRPr="00412620" w:rsidRDefault="00C87AAD" w:rsidP="00E177AE">
      <w:pPr>
        <w:ind w:left="2188" w:hanging="553"/>
        <w:jc w:val="both"/>
        <w:rPr>
          <w:rFonts w:cs="Arial"/>
          <w:sz w:val="20"/>
        </w:rPr>
      </w:pPr>
      <w:r w:rsidRPr="00412620">
        <w:rPr>
          <w:rStyle w:val="FootnoteReference"/>
          <w:rFonts w:cs="Arial"/>
          <w:sz w:val="20"/>
        </w:rPr>
        <w:footnoteReference w:id="599"/>
      </w:r>
      <w:r w:rsidR="00E177AE" w:rsidRPr="00412620">
        <w:rPr>
          <w:rFonts w:cs="Arial"/>
          <w:sz w:val="20"/>
        </w:rPr>
        <w:t>[(v)</w:t>
      </w:r>
      <w:r w:rsidR="00E177AE" w:rsidRPr="00412620">
        <w:rPr>
          <w:rFonts w:cs="Arial"/>
          <w:sz w:val="20"/>
        </w:rPr>
        <w:tab/>
        <w:t>owns a flat having covered area of two thousand square feet or more located in a rating area;]</w:t>
      </w:r>
    </w:p>
    <w:p w:rsidR="00E177AE" w:rsidRPr="00412620" w:rsidRDefault="00E177AE">
      <w:pPr>
        <w:jc w:val="both"/>
        <w:rPr>
          <w:rFonts w:cs="Arial"/>
          <w:sz w:val="20"/>
        </w:rPr>
      </w:pPr>
    </w:p>
    <w:p w:rsidR="00E177AE" w:rsidRPr="00412620" w:rsidRDefault="00C87AAD" w:rsidP="00E177AE">
      <w:pPr>
        <w:ind w:left="2188" w:hanging="553"/>
        <w:jc w:val="both"/>
        <w:rPr>
          <w:rFonts w:cs="Arial"/>
          <w:sz w:val="20"/>
        </w:rPr>
      </w:pPr>
      <w:r w:rsidRPr="00412620">
        <w:rPr>
          <w:rStyle w:val="FootnoteReference"/>
          <w:rFonts w:cs="Arial"/>
          <w:sz w:val="20"/>
        </w:rPr>
        <w:footnoteReference w:id="600"/>
      </w:r>
      <w:r w:rsidR="00E177AE" w:rsidRPr="00412620">
        <w:rPr>
          <w:rFonts w:cs="Arial"/>
          <w:sz w:val="20"/>
        </w:rPr>
        <w:t>[(vi)</w:t>
      </w:r>
      <w:r w:rsidR="00E177AE" w:rsidRPr="00412620">
        <w:rPr>
          <w:rFonts w:cs="Arial"/>
          <w:sz w:val="20"/>
        </w:rPr>
        <w:tab/>
        <w:t xml:space="preserve">owns a motor vehicle having engine capacity above 1000 CC; </w:t>
      </w:r>
      <w:r w:rsidR="00F51E92" w:rsidRPr="00412620">
        <w:rPr>
          <w:rStyle w:val="FootnoteReference"/>
          <w:rFonts w:cs="Arial"/>
          <w:sz w:val="20"/>
        </w:rPr>
        <w:footnoteReference w:id="601"/>
      </w:r>
      <w:r w:rsidR="00F51E92" w:rsidRPr="00412620">
        <w:rPr>
          <w:rFonts w:cs="Arial"/>
          <w:sz w:val="20"/>
        </w:rPr>
        <w:t xml:space="preserve">[ ] </w:t>
      </w:r>
      <w:r w:rsidR="00E177AE" w:rsidRPr="00412620">
        <w:rPr>
          <w:rFonts w:cs="Arial"/>
          <w:sz w:val="20"/>
        </w:rPr>
        <w:t>]</w:t>
      </w:r>
    </w:p>
    <w:p w:rsidR="00E177AE" w:rsidRPr="00412620" w:rsidRDefault="00E177AE">
      <w:pPr>
        <w:jc w:val="both"/>
        <w:rPr>
          <w:rFonts w:cs="Arial"/>
          <w:sz w:val="20"/>
        </w:rPr>
      </w:pPr>
    </w:p>
    <w:p w:rsidR="00E177AE" w:rsidRPr="00412620" w:rsidRDefault="00E177AE">
      <w:pPr>
        <w:jc w:val="both"/>
        <w:rPr>
          <w:rFonts w:cs="Arial"/>
          <w:sz w:val="20"/>
        </w:rPr>
      </w:pPr>
      <w:r w:rsidRPr="00412620">
        <w:rPr>
          <w:rFonts w:cs="Arial"/>
          <w:sz w:val="20"/>
        </w:rPr>
        <w:tab/>
      </w:r>
      <w:r w:rsidRPr="00412620">
        <w:rPr>
          <w:rFonts w:cs="Arial"/>
          <w:sz w:val="20"/>
        </w:rPr>
        <w:tab/>
      </w:r>
      <w:r w:rsidRPr="00412620">
        <w:rPr>
          <w:rFonts w:cs="Arial"/>
          <w:sz w:val="20"/>
        </w:rPr>
        <w:tab/>
      </w:r>
      <w:r w:rsidR="00C87AAD" w:rsidRPr="00412620">
        <w:rPr>
          <w:rStyle w:val="FootnoteReference"/>
          <w:rFonts w:cs="Arial"/>
          <w:sz w:val="20"/>
        </w:rPr>
        <w:footnoteReference w:id="602"/>
      </w:r>
      <w:r w:rsidRPr="00412620">
        <w:rPr>
          <w:rFonts w:cs="Arial"/>
          <w:sz w:val="20"/>
        </w:rPr>
        <w:t>[(vii)</w:t>
      </w:r>
      <w:r w:rsidRPr="00412620">
        <w:rPr>
          <w:rFonts w:cs="Arial"/>
          <w:sz w:val="20"/>
        </w:rPr>
        <w:tab/>
        <w:t>has obtained National Tax Number</w:t>
      </w:r>
      <w:r w:rsidR="00CF7FA3" w:rsidRPr="00412620">
        <w:rPr>
          <w:rStyle w:val="FootnoteReference"/>
          <w:rFonts w:cs="Arial"/>
          <w:sz w:val="20"/>
        </w:rPr>
        <w:footnoteReference w:id="603"/>
      </w:r>
      <w:r w:rsidR="00CF7FA3" w:rsidRPr="00412620">
        <w:rPr>
          <w:rFonts w:cs="Arial"/>
          <w:sz w:val="20"/>
        </w:rPr>
        <w:t xml:space="preserve">[; or] </w:t>
      </w:r>
      <w:r w:rsidRPr="00412620">
        <w:rPr>
          <w:rFonts w:cs="Arial"/>
          <w:sz w:val="20"/>
        </w:rPr>
        <w:t>]</w:t>
      </w:r>
    </w:p>
    <w:p w:rsidR="00E177AE" w:rsidRPr="00412620" w:rsidRDefault="00E177AE">
      <w:pPr>
        <w:jc w:val="both"/>
        <w:rPr>
          <w:rFonts w:cs="Arial"/>
          <w:sz w:val="20"/>
        </w:rPr>
      </w:pPr>
    </w:p>
    <w:p w:rsidR="004542BF" w:rsidRPr="00412620" w:rsidRDefault="007B7E39" w:rsidP="004542BF">
      <w:pPr>
        <w:ind w:left="2188" w:hanging="553"/>
        <w:jc w:val="both"/>
        <w:rPr>
          <w:rFonts w:cs="Arial"/>
          <w:sz w:val="20"/>
        </w:rPr>
      </w:pPr>
      <w:r w:rsidRPr="00412620">
        <w:rPr>
          <w:rStyle w:val="FootnoteReference"/>
          <w:rFonts w:cs="Arial"/>
          <w:sz w:val="20"/>
        </w:rPr>
        <w:footnoteReference w:id="604"/>
      </w:r>
      <w:r w:rsidR="004542BF" w:rsidRPr="00412620">
        <w:rPr>
          <w:rFonts w:cs="Arial"/>
          <w:sz w:val="20"/>
        </w:rPr>
        <w:t>[(vi</w:t>
      </w:r>
      <w:r w:rsidR="006A49A6" w:rsidRPr="00412620">
        <w:rPr>
          <w:rFonts w:cs="Arial"/>
          <w:sz w:val="20"/>
        </w:rPr>
        <w:t>i</w:t>
      </w:r>
      <w:r w:rsidR="004542BF" w:rsidRPr="00412620">
        <w:rPr>
          <w:rFonts w:cs="Arial"/>
          <w:sz w:val="20"/>
        </w:rPr>
        <w:t xml:space="preserve">i) </w:t>
      </w:r>
      <w:r w:rsidR="004542BF" w:rsidRPr="00412620">
        <w:rPr>
          <w:rFonts w:cs="Arial"/>
          <w:sz w:val="20"/>
        </w:rPr>
        <w:tab/>
        <w:t xml:space="preserve">is the holder of commercial or industrial connection of electricity where the amount of annual bill exceeds rupees </w:t>
      </w:r>
      <w:r w:rsidR="003641D3" w:rsidRPr="00412620">
        <w:rPr>
          <w:rStyle w:val="FootnoteReference"/>
          <w:rFonts w:cs="Arial"/>
          <w:sz w:val="20"/>
        </w:rPr>
        <w:footnoteReference w:id="605"/>
      </w:r>
      <w:r w:rsidR="003641D3" w:rsidRPr="00412620">
        <w:rPr>
          <w:rFonts w:cs="Arial"/>
          <w:sz w:val="20"/>
        </w:rPr>
        <w:t>[five hundred thousand]</w:t>
      </w:r>
      <w:r w:rsidR="00BA4196" w:rsidRPr="00412620">
        <w:rPr>
          <w:rStyle w:val="FootnoteReference"/>
          <w:rFonts w:cs="Arial"/>
          <w:sz w:val="20"/>
        </w:rPr>
        <w:footnoteReference w:id="606"/>
      </w:r>
      <w:r w:rsidR="00BA4196" w:rsidRPr="00412620">
        <w:rPr>
          <w:rFonts w:cs="Arial"/>
          <w:sz w:val="20"/>
        </w:rPr>
        <w:t xml:space="preserve">[; or] </w:t>
      </w:r>
      <w:r w:rsidR="004542BF" w:rsidRPr="00412620">
        <w:rPr>
          <w:rFonts w:cs="Arial"/>
          <w:sz w:val="20"/>
        </w:rPr>
        <w:t>]</w:t>
      </w:r>
    </w:p>
    <w:p w:rsidR="004542BF" w:rsidRPr="00412620" w:rsidRDefault="004542BF">
      <w:pPr>
        <w:jc w:val="both"/>
        <w:rPr>
          <w:rFonts w:cs="Arial"/>
          <w:sz w:val="20"/>
        </w:rPr>
      </w:pPr>
    </w:p>
    <w:p w:rsidR="00660707" w:rsidRPr="00412620" w:rsidRDefault="00A56A1C" w:rsidP="00A56A1C">
      <w:pPr>
        <w:ind w:left="2188" w:hanging="553"/>
        <w:jc w:val="both"/>
        <w:rPr>
          <w:rFonts w:cs="Arial"/>
          <w:sz w:val="20"/>
        </w:rPr>
      </w:pPr>
      <w:r w:rsidRPr="00412620">
        <w:rPr>
          <w:rStyle w:val="FootnoteReference"/>
          <w:rFonts w:cs="Arial"/>
          <w:sz w:val="20"/>
        </w:rPr>
        <w:footnoteReference w:id="607"/>
      </w:r>
      <w:r w:rsidR="00660707" w:rsidRPr="00412620">
        <w:rPr>
          <w:rFonts w:cs="Arial"/>
          <w:sz w:val="20"/>
        </w:rPr>
        <w:t>[(ix)</w:t>
      </w:r>
      <w:r w:rsidR="003127E1">
        <w:rPr>
          <w:rFonts w:cs="Arial"/>
          <w:sz w:val="20"/>
        </w:rPr>
        <w:t xml:space="preserve"> is </w:t>
      </w:r>
      <w:r w:rsidR="00C95D3A" w:rsidRPr="00F53D60">
        <w:rPr>
          <w:rStyle w:val="FootnoteReference"/>
          <w:rFonts w:cs="Arial"/>
          <w:color w:val="000000" w:themeColor="text1"/>
          <w:sz w:val="20"/>
        </w:rPr>
        <w:footnoteReference w:id="608"/>
      </w:r>
      <w:r w:rsidR="00C95D3A" w:rsidRPr="00F53D60">
        <w:rPr>
          <w:rFonts w:cs="Arial"/>
          <w:color w:val="000000" w:themeColor="text1"/>
          <w:sz w:val="20"/>
        </w:rPr>
        <w:t>[a resident person]</w:t>
      </w:r>
      <w:r w:rsidR="00660707" w:rsidRPr="00412620">
        <w:rPr>
          <w:rFonts w:cs="Arial"/>
          <w:sz w:val="20"/>
        </w:rPr>
        <w:t xml:space="preserve"> registered with any chamber of commerce and industry or any trade or business association or any market committee or any professional body including Pakistan Engineering Council, Pakistan </w:t>
      </w:r>
      <w:r w:rsidR="00660707" w:rsidRPr="00412620">
        <w:rPr>
          <w:rFonts w:cs="Arial"/>
          <w:sz w:val="20"/>
        </w:rPr>
        <w:lastRenderedPageBreak/>
        <w:t xml:space="preserve">Medical and </w:t>
      </w:r>
      <w:r w:rsidR="00E3729F" w:rsidRPr="00412620">
        <w:rPr>
          <w:rFonts w:cs="Arial"/>
          <w:sz w:val="20"/>
        </w:rPr>
        <w:t>Dental Council, Pakistan Bar Council or any Provincial Bar Council, Institute of Chartered Accountants of Pakistan or Institute of Cost and Management Accountants of Pakistan.]</w:t>
      </w:r>
    </w:p>
    <w:p w:rsidR="00660707" w:rsidRPr="000707EC" w:rsidRDefault="00660707">
      <w:pPr>
        <w:jc w:val="both"/>
        <w:rPr>
          <w:rFonts w:cs="Arial"/>
          <w:sz w:val="12"/>
        </w:rPr>
      </w:pPr>
    </w:p>
    <w:p w:rsidR="00A63906" w:rsidRPr="00412620" w:rsidRDefault="00A63906">
      <w:pPr>
        <w:jc w:val="both"/>
        <w:rPr>
          <w:rFonts w:cs="Arial"/>
          <w:sz w:val="20"/>
        </w:rPr>
      </w:pPr>
      <w:r w:rsidRPr="00412620">
        <w:rPr>
          <w:rFonts w:cs="Arial"/>
          <w:sz w:val="20"/>
        </w:rPr>
        <w:tab/>
      </w:r>
      <w:r w:rsidRPr="00412620">
        <w:rPr>
          <w:rStyle w:val="FootnoteReference"/>
          <w:rFonts w:cs="Arial"/>
          <w:sz w:val="20"/>
        </w:rPr>
        <w:footnoteReference w:id="609"/>
      </w:r>
      <w:r w:rsidRPr="00412620">
        <w:rPr>
          <w:rFonts w:cs="Arial"/>
          <w:sz w:val="20"/>
        </w:rPr>
        <w:t xml:space="preserve">[(1A) </w:t>
      </w:r>
      <w:r w:rsidRPr="00412620">
        <w:rPr>
          <w:rFonts w:cs="Arial"/>
          <w:sz w:val="20"/>
        </w:rPr>
        <w:tab/>
        <w:t xml:space="preserve">Every individual whose income under the head ‘Income from business’ exceeds rupees three hundred thousand but does not exceed rupees </w:t>
      </w:r>
      <w:r w:rsidR="00242F9D" w:rsidRPr="00412620">
        <w:rPr>
          <w:rStyle w:val="FootnoteReference"/>
          <w:rFonts w:cs="Arial"/>
          <w:sz w:val="20"/>
        </w:rPr>
        <w:footnoteReference w:id="610"/>
      </w:r>
      <w:r w:rsidR="00242F9D" w:rsidRPr="00412620">
        <w:rPr>
          <w:rFonts w:cs="Arial"/>
          <w:sz w:val="20"/>
        </w:rPr>
        <w:t xml:space="preserve">[four hundred thousand] </w:t>
      </w:r>
      <w:r w:rsidR="0039507E" w:rsidRPr="00412620">
        <w:rPr>
          <w:rFonts w:cs="Arial"/>
          <w:sz w:val="20"/>
        </w:rPr>
        <w:t>in a tax year i</w:t>
      </w:r>
      <w:r w:rsidRPr="00412620">
        <w:rPr>
          <w:rFonts w:cs="Arial"/>
          <w:sz w:val="20"/>
        </w:rPr>
        <w:t>s also required to furnish return of income from the tax year.]</w:t>
      </w:r>
    </w:p>
    <w:p w:rsidR="00A63906" w:rsidRPr="000707EC" w:rsidRDefault="00A63906">
      <w:pPr>
        <w:jc w:val="both"/>
        <w:rPr>
          <w:rFonts w:cs="Arial"/>
          <w:sz w:val="12"/>
        </w:rPr>
      </w:pPr>
    </w:p>
    <w:p w:rsidR="006A3F93" w:rsidRPr="00412620" w:rsidRDefault="006A3F93">
      <w:pPr>
        <w:jc w:val="both"/>
        <w:rPr>
          <w:rFonts w:cs="Arial"/>
          <w:sz w:val="20"/>
        </w:rPr>
      </w:pPr>
      <w:r w:rsidRPr="00412620">
        <w:rPr>
          <w:rStyle w:val="FootnoteReference"/>
          <w:rFonts w:cs="Arial"/>
          <w:sz w:val="20"/>
        </w:rPr>
        <w:footnoteReference w:id="611"/>
      </w:r>
      <w:r w:rsidRPr="00412620">
        <w:rPr>
          <w:rFonts w:cs="Arial"/>
          <w:sz w:val="20"/>
        </w:rPr>
        <w:t>[(2)</w:t>
      </w:r>
      <w:r w:rsidRPr="00412620">
        <w:rPr>
          <w:rFonts w:cs="Arial"/>
          <w:sz w:val="20"/>
        </w:rPr>
        <w:tab/>
        <w:t>A return of income -</w:t>
      </w:r>
    </w:p>
    <w:p w:rsidR="006A3F93" w:rsidRPr="000707EC" w:rsidRDefault="006A3F93">
      <w:pPr>
        <w:jc w:val="both"/>
        <w:rPr>
          <w:rFonts w:cs="Arial"/>
          <w:sz w:val="12"/>
        </w:rPr>
      </w:pPr>
    </w:p>
    <w:p w:rsidR="006A3F93" w:rsidRPr="00412620" w:rsidRDefault="006A3F93" w:rsidP="000707EC">
      <w:pPr>
        <w:ind w:left="1710" w:hanging="615"/>
        <w:jc w:val="both"/>
        <w:rPr>
          <w:rFonts w:cs="Arial"/>
          <w:sz w:val="20"/>
        </w:rPr>
      </w:pPr>
      <w:r w:rsidRPr="00412620">
        <w:rPr>
          <w:rFonts w:cs="Arial"/>
          <w:sz w:val="20"/>
        </w:rPr>
        <w:t xml:space="preserve">(a) </w:t>
      </w:r>
      <w:r w:rsidRPr="00412620">
        <w:rPr>
          <w:rFonts w:cs="Arial"/>
          <w:sz w:val="20"/>
        </w:rPr>
        <w:tab/>
        <w:t>shall be in the prescribed f</w:t>
      </w:r>
      <w:r w:rsidR="000707EC">
        <w:rPr>
          <w:rFonts w:cs="Arial"/>
          <w:sz w:val="20"/>
        </w:rPr>
        <w:t xml:space="preserve">orm and shall be accompanied by </w:t>
      </w:r>
      <w:r w:rsidRPr="00412620">
        <w:rPr>
          <w:rFonts w:cs="Arial"/>
          <w:sz w:val="20"/>
        </w:rPr>
        <w:t>such annexures, statements or documents as may be prescribed;</w:t>
      </w:r>
    </w:p>
    <w:p w:rsidR="006A3F93" w:rsidRPr="000707EC" w:rsidRDefault="006A3F93">
      <w:pPr>
        <w:jc w:val="both"/>
        <w:rPr>
          <w:rFonts w:cs="Arial"/>
          <w:sz w:val="12"/>
        </w:rPr>
      </w:pPr>
    </w:p>
    <w:p w:rsidR="006A3F93" w:rsidRPr="00412620" w:rsidRDefault="006A3F93">
      <w:pPr>
        <w:ind w:left="1641" w:hanging="546"/>
        <w:jc w:val="both"/>
        <w:rPr>
          <w:rFonts w:cs="Arial"/>
          <w:sz w:val="20"/>
        </w:rPr>
      </w:pPr>
      <w:r w:rsidRPr="00412620">
        <w:rPr>
          <w:rFonts w:cs="Arial"/>
          <w:sz w:val="20"/>
        </w:rPr>
        <w:t xml:space="preserve">(b) </w:t>
      </w:r>
      <w:r w:rsidRPr="00412620">
        <w:rPr>
          <w:rFonts w:cs="Arial"/>
          <w:sz w:val="20"/>
        </w:rPr>
        <w:tab/>
        <w:t xml:space="preserve">shall fully state all the relevant particulars or information as specified in the form of return, including a declaration of the records kept by the taxpayer; </w:t>
      </w:r>
      <w:r w:rsidR="00FB752C" w:rsidRPr="00412620">
        <w:rPr>
          <w:rStyle w:val="FootnoteReference"/>
          <w:rFonts w:cs="Arial"/>
          <w:sz w:val="20"/>
        </w:rPr>
        <w:footnoteReference w:id="612"/>
      </w:r>
      <w:r w:rsidR="00FB752C" w:rsidRPr="00412620">
        <w:rPr>
          <w:rFonts w:cs="Arial"/>
          <w:sz w:val="20"/>
        </w:rPr>
        <w:t>[ ]</w:t>
      </w:r>
    </w:p>
    <w:p w:rsidR="006A3F93" w:rsidRPr="000707EC" w:rsidRDefault="006A3F93">
      <w:pPr>
        <w:jc w:val="both"/>
        <w:rPr>
          <w:rFonts w:cs="Arial"/>
          <w:sz w:val="12"/>
        </w:rPr>
      </w:pPr>
    </w:p>
    <w:p w:rsidR="006A3F93" w:rsidRPr="00412620" w:rsidRDefault="006A3F93">
      <w:pPr>
        <w:ind w:left="1641" w:hanging="546"/>
        <w:jc w:val="both"/>
        <w:rPr>
          <w:rFonts w:cs="Arial"/>
          <w:sz w:val="20"/>
        </w:rPr>
      </w:pPr>
      <w:r w:rsidRPr="00412620">
        <w:rPr>
          <w:rFonts w:cs="Arial"/>
          <w:sz w:val="20"/>
        </w:rPr>
        <w:t xml:space="preserve">(c) </w:t>
      </w:r>
      <w:r w:rsidRPr="00412620">
        <w:rPr>
          <w:rFonts w:cs="Arial"/>
          <w:sz w:val="20"/>
        </w:rPr>
        <w:tab/>
        <w:t>shall be signed by the person, being an individual, or the person’s representative where section 172 applies</w:t>
      </w:r>
      <w:r w:rsidR="00BD7D0C" w:rsidRPr="00412620">
        <w:rPr>
          <w:rStyle w:val="FootnoteReference"/>
          <w:rFonts w:cs="Arial"/>
          <w:sz w:val="20"/>
        </w:rPr>
        <w:footnoteReference w:id="613"/>
      </w:r>
      <w:r w:rsidR="00BD7D0C" w:rsidRPr="00412620">
        <w:rPr>
          <w:rFonts w:cs="Arial"/>
          <w:sz w:val="20"/>
        </w:rPr>
        <w:t xml:space="preserve">[;] </w:t>
      </w:r>
      <w:r w:rsidRPr="00412620">
        <w:rPr>
          <w:rFonts w:cs="Arial"/>
          <w:sz w:val="20"/>
        </w:rPr>
        <w:t>]</w:t>
      </w:r>
    </w:p>
    <w:p w:rsidR="006A3F93" w:rsidRPr="000707EC" w:rsidRDefault="006A3F93">
      <w:pPr>
        <w:ind w:firstLine="270"/>
        <w:jc w:val="both"/>
        <w:rPr>
          <w:rFonts w:cs="Arial"/>
          <w:sz w:val="12"/>
        </w:rPr>
      </w:pPr>
    </w:p>
    <w:p w:rsidR="00B73F6B" w:rsidRPr="00412620" w:rsidRDefault="00B73F6B" w:rsidP="00B73F6B">
      <w:pPr>
        <w:ind w:left="1620" w:hanging="630"/>
        <w:jc w:val="both"/>
        <w:rPr>
          <w:rFonts w:cs="Arial"/>
          <w:sz w:val="20"/>
        </w:rPr>
      </w:pPr>
      <w:r w:rsidRPr="00412620">
        <w:rPr>
          <w:rStyle w:val="FootnoteReference"/>
          <w:rFonts w:cs="Arial"/>
          <w:sz w:val="20"/>
        </w:rPr>
        <w:footnoteReference w:id="614"/>
      </w:r>
      <w:r w:rsidRPr="00412620">
        <w:rPr>
          <w:rFonts w:cs="Arial"/>
          <w:sz w:val="20"/>
        </w:rPr>
        <w:t xml:space="preserve">[(d) </w:t>
      </w:r>
      <w:r w:rsidRPr="00412620">
        <w:rPr>
          <w:rFonts w:cs="Arial"/>
          <w:sz w:val="20"/>
        </w:rPr>
        <w:tab/>
        <w:t xml:space="preserve">shall be accompanied with evidence of payment of due tax as per </w:t>
      </w:r>
      <w:r w:rsidR="00800B82" w:rsidRPr="00412620">
        <w:rPr>
          <w:rFonts w:cs="Arial"/>
          <w:sz w:val="20"/>
        </w:rPr>
        <w:t>re</w:t>
      </w:r>
      <w:r w:rsidRPr="00412620">
        <w:rPr>
          <w:rFonts w:cs="Arial"/>
          <w:sz w:val="20"/>
        </w:rPr>
        <w:t>turn of income; and]</w:t>
      </w:r>
    </w:p>
    <w:p w:rsidR="00B73F6B" w:rsidRPr="00412620" w:rsidRDefault="00B73F6B" w:rsidP="00B73F6B">
      <w:pPr>
        <w:ind w:left="1620" w:hanging="630"/>
        <w:jc w:val="both"/>
        <w:rPr>
          <w:sz w:val="20"/>
        </w:rPr>
      </w:pPr>
    </w:p>
    <w:p w:rsidR="00B73F6B" w:rsidRPr="00412620" w:rsidRDefault="00B73F6B" w:rsidP="00B73F6B">
      <w:pPr>
        <w:ind w:left="1620" w:hanging="630"/>
        <w:jc w:val="both"/>
        <w:rPr>
          <w:sz w:val="20"/>
        </w:rPr>
      </w:pPr>
      <w:r w:rsidRPr="00412620">
        <w:rPr>
          <w:rStyle w:val="FootnoteReference"/>
          <w:sz w:val="20"/>
        </w:rPr>
        <w:footnoteReference w:id="615"/>
      </w:r>
      <w:r w:rsidRPr="00412620">
        <w:rPr>
          <w:sz w:val="20"/>
        </w:rPr>
        <w:t xml:space="preserve">[(e) </w:t>
      </w:r>
      <w:r w:rsidRPr="00412620">
        <w:rPr>
          <w:sz w:val="20"/>
        </w:rPr>
        <w:tab/>
        <w:t>shall be accompanied with a wealth statement as required under section 116.]</w:t>
      </w:r>
    </w:p>
    <w:p w:rsidR="00B73F6B" w:rsidRPr="000707EC" w:rsidRDefault="00B73F6B">
      <w:pPr>
        <w:ind w:firstLine="270"/>
        <w:jc w:val="both"/>
        <w:rPr>
          <w:rFonts w:cs="Arial"/>
          <w:sz w:val="12"/>
        </w:rPr>
      </w:pPr>
    </w:p>
    <w:p w:rsidR="006A3F93" w:rsidRPr="00412620" w:rsidRDefault="006A3F93">
      <w:pPr>
        <w:ind w:firstLine="360"/>
        <w:jc w:val="both"/>
        <w:rPr>
          <w:sz w:val="20"/>
        </w:rPr>
      </w:pPr>
      <w:r w:rsidRPr="00412620">
        <w:rPr>
          <w:rFonts w:cs="Arial"/>
          <w:sz w:val="20"/>
          <w:vertAlign w:val="superscript"/>
        </w:rPr>
        <w:footnoteReference w:id="616"/>
      </w:r>
      <w:r w:rsidRPr="00412620">
        <w:rPr>
          <w:sz w:val="20"/>
        </w:rPr>
        <w:t xml:space="preserve">[(2A) </w:t>
      </w:r>
      <w:r w:rsidRPr="00412620">
        <w:rPr>
          <w:sz w:val="20"/>
        </w:rPr>
        <w:tab/>
        <w:t xml:space="preserve">A return of income filed electronically on the web or any magnetic media or any other computer readable media as may be specified by the Board shall also be deemed to be a return for the purpose of sub-section (1); and the Board may, by notification in the official Gazette, make rules for determining </w:t>
      </w:r>
      <w:r w:rsidRPr="00412620">
        <w:rPr>
          <w:sz w:val="20"/>
        </w:rPr>
        <w:lastRenderedPageBreak/>
        <w:t>eligibility of the data of such returns and e-intermediaries who will digitise the data of such returns and transmit the same electronically to the Income Tax Department under their digital signatures</w:t>
      </w:r>
      <w:r w:rsidR="009B2BE5" w:rsidRPr="00412620">
        <w:rPr>
          <w:rStyle w:val="FootnoteReference"/>
          <w:sz w:val="20"/>
        </w:rPr>
        <w:footnoteReference w:id="617"/>
      </w:r>
      <w:r w:rsidR="009B2BE5" w:rsidRPr="00412620">
        <w:rPr>
          <w:sz w:val="20"/>
        </w:rPr>
        <w:t>[and other matters relating to electronic filing of returns, statements or documents, etc.]</w:t>
      </w:r>
      <w:r w:rsidRPr="00412620">
        <w:rPr>
          <w:sz w:val="20"/>
        </w:rPr>
        <w: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The Commissioner may, by notice in writing, require a person, or a person’s representative, as the case may be, to furnish a return of income by the date specified in the notice for a period of less than twelve months, where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the person has died;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the person has become bankrupt or gone into liquidation;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the person is about to leave Pakistan permanently;</w:t>
      </w:r>
    </w:p>
    <w:p w:rsidR="00B73F6B" w:rsidRPr="00412620" w:rsidRDefault="00B73F6B">
      <w:pPr>
        <w:ind w:left="1620" w:hanging="630"/>
        <w:jc w:val="both"/>
        <w:rPr>
          <w:sz w:val="20"/>
        </w:rPr>
      </w:pPr>
    </w:p>
    <w:p w:rsidR="006A3F93" w:rsidRPr="00412620" w:rsidRDefault="006A3F93">
      <w:pPr>
        <w:ind w:left="1620" w:hanging="630"/>
        <w:jc w:val="both"/>
        <w:rPr>
          <w:sz w:val="20"/>
        </w:rPr>
      </w:pPr>
      <w:r w:rsidRPr="00412620">
        <w:rPr>
          <w:rStyle w:val="FootnoteReference"/>
          <w:rFonts w:cs="Arial"/>
          <w:sz w:val="20"/>
        </w:rPr>
        <w:footnoteReference w:id="618"/>
      </w:r>
      <w:r w:rsidRPr="00412620">
        <w:rPr>
          <w:sz w:val="20"/>
        </w:rPr>
        <w: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 xml:space="preserve">the Commissioner otherwise considers it appropriate to require such a return to be furnished.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Subject to sub-section (5), the Commissioner may, by notice in writing, require any person who, in the Commissioner’s opinion, is required to file a return of income under this section for a tax year </w:t>
      </w:r>
      <w:r w:rsidRPr="00412620">
        <w:rPr>
          <w:rStyle w:val="FootnoteReference"/>
          <w:rFonts w:cs="Arial"/>
          <w:sz w:val="20"/>
        </w:rPr>
        <w:footnoteReference w:id="619"/>
      </w:r>
      <w:r w:rsidRPr="00412620">
        <w:rPr>
          <w:rFonts w:cs="Arial"/>
          <w:sz w:val="20"/>
        </w:rPr>
        <w:t xml:space="preserve">[or assessment year] but who has failed to do so to furnish a return of income for that year within thirty days from the date of service of such notice or such longer </w:t>
      </w:r>
      <w:r w:rsidR="009A11C7" w:rsidRPr="00412620">
        <w:rPr>
          <w:rStyle w:val="FootnoteReference"/>
          <w:rFonts w:cs="Arial"/>
          <w:sz w:val="20"/>
        </w:rPr>
        <w:footnoteReference w:id="620"/>
      </w:r>
      <w:r w:rsidR="00871749" w:rsidRPr="00412620">
        <w:rPr>
          <w:rFonts w:cs="Arial"/>
          <w:sz w:val="20"/>
        </w:rPr>
        <w:t>[or shorter]</w:t>
      </w:r>
      <w:r w:rsidRPr="00412620">
        <w:rPr>
          <w:rFonts w:cs="Arial"/>
          <w:sz w:val="20"/>
        </w:rPr>
        <w:t>period as may be specified in such notice or as the Commissioner may allow.</w:t>
      </w:r>
    </w:p>
    <w:p w:rsidR="006A3F93" w:rsidRPr="00412620" w:rsidRDefault="006A3F93">
      <w:pPr>
        <w:jc w:val="both"/>
        <w:rPr>
          <w:rFonts w:cs="Arial"/>
          <w:sz w:val="26"/>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A notice under sub-section (4) may be issued </w:t>
      </w:r>
      <w:r w:rsidRPr="00412620">
        <w:rPr>
          <w:rStyle w:val="FootnoteReference"/>
          <w:rFonts w:cs="Arial"/>
          <w:sz w:val="20"/>
        </w:rPr>
        <w:footnoteReference w:id="621"/>
      </w:r>
      <w:r w:rsidRPr="00412620">
        <w:rPr>
          <w:rFonts w:cs="Arial"/>
          <w:sz w:val="20"/>
        </w:rPr>
        <w:t xml:space="preserve">[in respect of one or more] </w:t>
      </w:r>
      <w:r w:rsidRPr="00412620">
        <w:rPr>
          <w:rStyle w:val="FootnoteReference"/>
          <w:rFonts w:cs="Arial"/>
          <w:sz w:val="20"/>
        </w:rPr>
        <w:footnoteReference w:id="622"/>
      </w:r>
      <w:r w:rsidRPr="00412620">
        <w:rPr>
          <w:rFonts w:cs="Arial"/>
          <w:sz w:val="20"/>
        </w:rPr>
        <w:t xml:space="preserve">[of the] last five completed tax years </w:t>
      </w:r>
      <w:r w:rsidRPr="00412620">
        <w:rPr>
          <w:rStyle w:val="FootnoteReference"/>
          <w:rFonts w:cs="Arial"/>
          <w:sz w:val="20"/>
        </w:rPr>
        <w:footnoteReference w:id="623"/>
      </w:r>
      <w:r w:rsidRPr="00412620">
        <w:rPr>
          <w:rFonts w:cs="Arial"/>
          <w:sz w:val="20"/>
        </w:rPr>
        <w:t>[or assessment years]</w:t>
      </w:r>
      <w:r w:rsidR="003641C6">
        <w:rPr>
          <w:rFonts w:cs="Arial"/>
          <w:sz w:val="20"/>
        </w:rPr>
        <w:t xml:space="preserve"> </w:t>
      </w:r>
      <w:r w:rsidR="003641C6" w:rsidRPr="00C3232C">
        <w:rPr>
          <w:rStyle w:val="FootnoteReference"/>
          <w:rFonts w:cs="Arial"/>
          <w:color w:val="0070C0"/>
          <w:sz w:val="20"/>
        </w:rPr>
        <w:footnoteReference w:id="624"/>
      </w:r>
      <w:r w:rsidR="003641C6" w:rsidRPr="00C3232C">
        <w:rPr>
          <w:rFonts w:cs="Arial"/>
          <w:color w:val="0070C0"/>
          <w:sz w:val="20"/>
        </w:rPr>
        <w:t>[:]</w:t>
      </w:r>
    </w:p>
    <w:p w:rsidR="00A83619" w:rsidRDefault="00A83619" w:rsidP="00A83619">
      <w:pPr>
        <w:tabs>
          <w:tab w:val="left" w:pos="72"/>
        </w:tabs>
        <w:jc w:val="both"/>
        <w:rPr>
          <w:rFonts w:cs="Arial"/>
          <w:sz w:val="20"/>
        </w:rPr>
      </w:pPr>
    </w:p>
    <w:p w:rsidR="003641C6" w:rsidRPr="00C3232C" w:rsidRDefault="003641C6" w:rsidP="007A7612">
      <w:pPr>
        <w:pStyle w:val="ListParagraph"/>
        <w:ind w:left="1080" w:firstLine="720"/>
        <w:jc w:val="both"/>
        <w:rPr>
          <w:rFonts w:cs="Arial"/>
          <w:color w:val="0070C0"/>
          <w:sz w:val="20"/>
        </w:rPr>
      </w:pPr>
      <w:r w:rsidRPr="00C3232C">
        <w:rPr>
          <w:rStyle w:val="FootnoteReference"/>
          <w:rFonts w:cs="Arial"/>
          <w:bCs/>
          <w:color w:val="0070C0"/>
          <w:sz w:val="20"/>
        </w:rPr>
        <w:footnoteReference w:id="625"/>
      </w:r>
      <w:r w:rsidRPr="00C3232C">
        <w:rPr>
          <w:rFonts w:cs="Arial"/>
          <w:bCs/>
          <w:color w:val="0070C0"/>
          <w:sz w:val="20"/>
        </w:rPr>
        <w:t>[“</w:t>
      </w:r>
      <w:r w:rsidRPr="00C3232C">
        <w:rPr>
          <w:rFonts w:cs="Arial"/>
          <w:color w:val="0070C0"/>
          <w:sz w:val="20"/>
        </w:rPr>
        <w:t>Provided that in case of a person who has not filed return for any of the last five completed tax years, notice under sub-section (4) may be issued in respect of one or more of the last ten completed tax years.”]</w:t>
      </w:r>
    </w:p>
    <w:p w:rsidR="003641C6" w:rsidRDefault="003641C6" w:rsidP="00A83619">
      <w:pPr>
        <w:tabs>
          <w:tab w:val="left" w:pos="72"/>
        </w:tabs>
        <w:jc w:val="both"/>
        <w:rPr>
          <w:rFonts w:cs="Arial"/>
          <w:sz w:val="20"/>
        </w:rPr>
      </w:pPr>
    </w:p>
    <w:p w:rsidR="003641C6" w:rsidRPr="00412620" w:rsidRDefault="003641C6" w:rsidP="00A83619">
      <w:pPr>
        <w:tabs>
          <w:tab w:val="left" w:pos="72"/>
        </w:tabs>
        <w:jc w:val="both"/>
        <w:rPr>
          <w:rFonts w:cs="Arial"/>
          <w:sz w:val="20"/>
        </w:rPr>
      </w:pPr>
    </w:p>
    <w:p w:rsidR="009B6323" w:rsidRPr="00412620" w:rsidRDefault="009B6323" w:rsidP="00A83619">
      <w:pPr>
        <w:tabs>
          <w:tab w:val="left" w:pos="72"/>
        </w:tabs>
        <w:jc w:val="both"/>
        <w:rPr>
          <w:rFonts w:cs="Arial"/>
          <w:sz w:val="20"/>
        </w:rPr>
      </w:pPr>
      <w:r w:rsidRPr="00412620">
        <w:rPr>
          <w:rFonts w:cs="Arial"/>
          <w:sz w:val="20"/>
        </w:rPr>
        <w:tab/>
      </w:r>
      <w:r w:rsidRPr="00412620">
        <w:rPr>
          <w:rFonts w:cs="Arial"/>
          <w:sz w:val="20"/>
        </w:rPr>
        <w:tab/>
      </w:r>
      <w:r w:rsidR="00BF32C7" w:rsidRPr="00412620">
        <w:rPr>
          <w:rStyle w:val="FootnoteReference"/>
          <w:rFonts w:cs="Arial"/>
          <w:sz w:val="20"/>
        </w:rPr>
        <w:footnoteReference w:id="626"/>
      </w:r>
      <w:r w:rsidRPr="00412620">
        <w:rPr>
          <w:rFonts w:cs="Arial"/>
          <w:sz w:val="20"/>
        </w:rPr>
        <w:t xml:space="preserve">[(6) </w:t>
      </w:r>
      <w:r w:rsidRPr="00412620">
        <w:rPr>
          <w:rFonts w:cs="Arial"/>
          <w:sz w:val="20"/>
        </w:rPr>
        <w:tab/>
        <w:t>Subject to sub-section (6A), any person who, having furnished a return, discovers any omission or wrong statement therein, may file revised return subject to the following conditions, namely:</w:t>
      </w:r>
      <w:r w:rsidR="005870BB" w:rsidRPr="00412620">
        <w:rPr>
          <w:rFonts w:cs="Arial"/>
          <w:sz w:val="20"/>
        </w:rPr>
        <w:t xml:space="preserve"> —</w:t>
      </w:r>
    </w:p>
    <w:p w:rsidR="009B6323" w:rsidRPr="00412620" w:rsidRDefault="009B6323" w:rsidP="00A83619">
      <w:pPr>
        <w:tabs>
          <w:tab w:val="left" w:pos="72"/>
        </w:tabs>
        <w:jc w:val="both"/>
        <w:rPr>
          <w:rFonts w:cs="Arial"/>
          <w:sz w:val="20"/>
        </w:rPr>
      </w:pPr>
    </w:p>
    <w:p w:rsidR="009B6323" w:rsidRPr="00412620" w:rsidRDefault="009B6323" w:rsidP="009B6323">
      <w:pPr>
        <w:ind w:left="1094" w:hanging="553"/>
        <w:jc w:val="both"/>
        <w:rPr>
          <w:rFonts w:cs="Arial"/>
          <w:sz w:val="20"/>
        </w:rPr>
      </w:pPr>
      <w:r w:rsidRPr="00412620">
        <w:rPr>
          <w:rFonts w:cs="Arial"/>
          <w:sz w:val="20"/>
        </w:rPr>
        <w:t>(a)</w:t>
      </w:r>
      <w:r w:rsidRPr="00412620">
        <w:rPr>
          <w:rFonts w:cs="Arial"/>
          <w:sz w:val="20"/>
        </w:rPr>
        <w:tab/>
        <w:t xml:space="preserve">it is accompanied by the revised accounts or revised audited accounts, as the case may be; </w:t>
      </w:r>
      <w:r w:rsidR="00B935F2" w:rsidRPr="00412620">
        <w:rPr>
          <w:rStyle w:val="FootnoteReference"/>
          <w:rFonts w:cs="Arial"/>
          <w:sz w:val="20"/>
        </w:rPr>
        <w:footnoteReference w:id="627"/>
      </w:r>
      <w:r w:rsidR="00B935F2" w:rsidRPr="00412620">
        <w:rPr>
          <w:rFonts w:cs="Arial"/>
          <w:sz w:val="20"/>
        </w:rPr>
        <w:t>[  ]</w:t>
      </w:r>
    </w:p>
    <w:p w:rsidR="009B6323" w:rsidRPr="00412620" w:rsidRDefault="009B6323" w:rsidP="00A83619">
      <w:pPr>
        <w:tabs>
          <w:tab w:val="left" w:pos="72"/>
        </w:tabs>
        <w:jc w:val="both"/>
        <w:rPr>
          <w:rFonts w:cs="Arial"/>
          <w:sz w:val="20"/>
        </w:rPr>
      </w:pPr>
    </w:p>
    <w:p w:rsidR="009B6323" w:rsidRPr="00412620" w:rsidRDefault="009B6323" w:rsidP="007B1028">
      <w:pPr>
        <w:ind w:left="1094" w:hanging="554"/>
        <w:jc w:val="both"/>
        <w:rPr>
          <w:rFonts w:cs="Arial"/>
          <w:sz w:val="20"/>
        </w:rPr>
      </w:pPr>
      <w:r w:rsidRPr="00412620">
        <w:rPr>
          <w:rFonts w:cs="Arial"/>
          <w:sz w:val="20"/>
        </w:rPr>
        <w:t>(b)</w:t>
      </w:r>
      <w:r w:rsidRPr="00412620">
        <w:rPr>
          <w:rFonts w:cs="Arial"/>
          <w:sz w:val="20"/>
        </w:rPr>
        <w:tab/>
      </w:r>
      <w:r w:rsidR="000F64BB" w:rsidRPr="00412620">
        <w:rPr>
          <w:rFonts w:cs="Arial"/>
          <w:sz w:val="20"/>
        </w:rPr>
        <w:t>the reasons for revision of return, in writing, duly signed, by the taxpayers are filed with the return</w:t>
      </w:r>
      <w:r w:rsidR="00121AA8">
        <w:rPr>
          <w:rStyle w:val="FootnoteReference"/>
          <w:rFonts w:cs="Arial"/>
          <w:sz w:val="20"/>
        </w:rPr>
        <w:footnoteReference w:id="628"/>
      </w:r>
      <w:r w:rsidR="002C0C95" w:rsidRPr="00412620">
        <w:rPr>
          <w:rFonts w:cs="Arial"/>
          <w:sz w:val="20"/>
        </w:rPr>
        <w:t xml:space="preserve">[; </w:t>
      </w:r>
      <w:r w:rsidR="008863E9" w:rsidRPr="00412620">
        <w:rPr>
          <w:rStyle w:val="FootnoteReference"/>
          <w:rFonts w:cs="Arial"/>
          <w:sz w:val="20"/>
        </w:rPr>
        <w:footnoteReference w:id="629"/>
      </w:r>
      <w:r w:rsidR="005736F2">
        <w:rPr>
          <w:rFonts w:cs="Arial"/>
          <w:sz w:val="20"/>
        </w:rPr>
        <w:t>[</w:t>
      </w:r>
      <w:r w:rsidR="002C0C95" w:rsidRPr="00412620">
        <w:rPr>
          <w:rFonts w:cs="Arial"/>
          <w:sz w:val="20"/>
        </w:rPr>
        <w:t xml:space="preserve">] </w:t>
      </w:r>
      <w:r w:rsidR="000F64BB" w:rsidRPr="00412620">
        <w:rPr>
          <w:rFonts w:cs="Arial"/>
          <w:sz w:val="20"/>
        </w:rPr>
        <w:t>]</w:t>
      </w:r>
    </w:p>
    <w:p w:rsidR="00450DCA" w:rsidRPr="00412620" w:rsidRDefault="00450DCA" w:rsidP="00450DCA">
      <w:pPr>
        <w:jc w:val="both"/>
        <w:rPr>
          <w:rFonts w:cs="Arial"/>
          <w:sz w:val="20"/>
        </w:rPr>
      </w:pPr>
    </w:p>
    <w:p w:rsidR="008863E9" w:rsidRPr="00412620" w:rsidRDefault="008863E9" w:rsidP="008863E9">
      <w:pPr>
        <w:ind w:left="1094" w:hanging="554"/>
        <w:jc w:val="both"/>
        <w:rPr>
          <w:rFonts w:cs="Arial"/>
          <w:sz w:val="20"/>
        </w:rPr>
      </w:pPr>
      <w:r w:rsidRPr="00412620">
        <w:rPr>
          <w:rStyle w:val="FootnoteReference"/>
          <w:rFonts w:cs="Arial"/>
          <w:sz w:val="20"/>
        </w:rPr>
        <w:footnoteReference w:id="630"/>
      </w:r>
      <w:r w:rsidRPr="00412620">
        <w:rPr>
          <w:rFonts w:cs="Arial"/>
          <w:sz w:val="20"/>
        </w:rPr>
        <w:t xml:space="preserve">[(ba) </w:t>
      </w:r>
      <w:r w:rsidRPr="00412620">
        <w:rPr>
          <w:rFonts w:cs="Arial"/>
          <w:sz w:val="20"/>
        </w:rPr>
        <w:tab/>
        <w:t>it is accompanied by approval of the Commissioner in writing for revision of return; and]</w:t>
      </w:r>
    </w:p>
    <w:p w:rsidR="008863E9" w:rsidRPr="00412620" w:rsidRDefault="008863E9" w:rsidP="00450DCA">
      <w:pPr>
        <w:jc w:val="both"/>
        <w:rPr>
          <w:rFonts w:cs="Arial"/>
          <w:sz w:val="20"/>
        </w:rPr>
      </w:pPr>
    </w:p>
    <w:p w:rsidR="00450DCA" w:rsidRPr="00412620" w:rsidRDefault="00B13B32" w:rsidP="00450DCA">
      <w:pPr>
        <w:ind w:left="1094" w:hanging="554"/>
        <w:jc w:val="both"/>
        <w:rPr>
          <w:sz w:val="20"/>
        </w:rPr>
      </w:pPr>
      <w:r w:rsidRPr="00412620">
        <w:rPr>
          <w:rStyle w:val="FootnoteReference"/>
          <w:rFonts w:cs="Arial"/>
          <w:sz w:val="20"/>
        </w:rPr>
        <w:footnoteReference w:id="631"/>
      </w:r>
      <w:r w:rsidR="003B5F1D" w:rsidRPr="00412620">
        <w:rPr>
          <w:rFonts w:cs="Arial"/>
          <w:sz w:val="20"/>
        </w:rPr>
        <w:t>[</w:t>
      </w:r>
      <w:r w:rsidR="002C0C95" w:rsidRPr="00412620">
        <w:rPr>
          <w:rFonts w:cs="Arial"/>
          <w:sz w:val="20"/>
        </w:rPr>
        <w:t xml:space="preserve">(c) </w:t>
      </w:r>
      <w:r w:rsidR="002C0C95" w:rsidRPr="00412620">
        <w:rPr>
          <w:rFonts w:cs="Arial"/>
          <w:sz w:val="20"/>
        </w:rPr>
        <w:tab/>
      </w:r>
      <w:r w:rsidR="00450DCA" w:rsidRPr="00412620">
        <w:rPr>
          <w:sz w:val="20"/>
        </w:rPr>
        <w:t>taxable income declared is not less than and loss declared is not more than income or loss, as the case may be, determined by an order issued under sections 121, 122, 122A, 122C, 129, 132, 133 or 221:</w:t>
      </w:r>
      <w:r w:rsidR="00001171">
        <w:rPr>
          <w:sz w:val="20"/>
        </w:rPr>
        <w:t>-</w:t>
      </w:r>
    </w:p>
    <w:p w:rsidR="00450DCA" w:rsidRPr="00412620" w:rsidRDefault="00450DCA" w:rsidP="00450DCA">
      <w:pPr>
        <w:jc w:val="both"/>
        <w:rPr>
          <w:sz w:val="20"/>
        </w:rPr>
      </w:pPr>
    </w:p>
    <w:p w:rsidR="002C0C95" w:rsidRDefault="00450DCA" w:rsidP="00450DCA">
      <w:pPr>
        <w:ind w:left="1094" w:firstLine="541"/>
        <w:jc w:val="both"/>
        <w:rPr>
          <w:color w:val="984806" w:themeColor="accent6" w:themeShade="80"/>
          <w:sz w:val="20"/>
        </w:rPr>
      </w:pPr>
      <w:r w:rsidRPr="00412620">
        <w:rPr>
          <w:sz w:val="20"/>
        </w:rPr>
        <w:t>Provided that if any of the above conditions is not fulfilled, the return furnished shall be treated as an invalid return as if it had not been furnished</w:t>
      </w:r>
      <w:r w:rsidR="003310FB">
        <w:rPr>
          <w:sz w:val="20"/>
        </w:rPr>
        <w:t xml:space="preserve">] </w:t>
      </w:r>
      <w:r w:rsidR="003310FB" w:rsidRPr="00214261">
        <w:rPr>
          <w:rStyle w:val="FootnoteReference"/>
          <w:color w:val="000000" w:themeColor="text1"/>
          <w:sz w:val="20"/>
        </w:rPr>
        <w:footnoteReference w:id="632"/>
      </w:r>
      <w:r w:rsidR="003310FB" w:rsidRPr="00214261">
        <w:rPr>
          <w:color w:val="000000" w:themeColor="text1"/>
          <w:sz w:val="20"/>
        </w:rPr>
        <w:t>[</w:t>
      </w:r>
      <w:r w:rsidR="00B947E5" w:rsidRPr="00214261">
        <w:rPr>
          <w:color w:val="000000" w:themeColor="text1"/>
          <w:sz w:val="20"/>
        </w:rPr>
        <w:t>:</w:t>
      </w:r>
      <w:r w:rsidR="003310FB" w:rsidRPr="00214261">
        <w:rPr>
          <w:color w:val="000000" w:themeColor="text1"/>
          <w:sz w:val="20"/>
        </w:rPr>
        <w:t>]</w:t>
      </w:r>
    </w:p>
    <w:p w:rsidR="00935389" w:rsidRDefault="00935389" w:rsidP="00450DCA">
      <w:pPr>
        <w:ind w:left="1094" w:firstLine="541"/>
        <w:jc w:val="both"/>
        <w:rPr>
          <w:color w:val="984806" w:themeColor="accent6" w:themeShade="80"/>
          <w:sz w:val="20"/>
        </w:rPr>
      </w:pPr>
    </w:p>
    <w:p w:rsidR="00935389" w:rsidRPr="00214261" w:rsidRDefault="001D0DF7" w:rsidP="00935389">
      <w:pPr>
        <w:autoSpaceDE w:val="0"/>
        <w:autoSpaceDN w:val="0"/>
        <w:adjustRightInd w:val="0"/>
        <w:ind w:left="1094" w:firstLine="547"/>
        <w:jc w:val="both"/>
        <w:rPr>
          <w:rFonts w:cs="Arial"/>
          <w:color w:val="000000" w:themeColor="text1"/>
          <w:sz w:val="20"/>
          <w:lang w:val="en-US"/>
        </w:rPr>
      </w:pPr>
      <w:r w:rsidRPr="00214261">
        <w:rPr>
          <w:rStyle w:val="FootnoteReference"/>
          <w:rFonts w:cs="Arial"/>
          <w:color w:val="000000" w:themeColor="text1"/>
          <w:sz w:val="20"/>
          <w:lang w:val="en-US"/>
        </w:rPr>
        <w:footnoteReference w:id="633"/>
      </w:r>
      <w:r w:rsidRPr="00214261">
        <w:rPr>
          <w:rFonts w:cs="Arial"/>
          <w:color w:val="000000" w:themeColor="text1"/>
          <w:sz w:val="20"/>
          <w:lang w:val="en-US"/>
        </w:rPr>
        <w:t>[</w:t>
      </w:r>
      <w:r w:rsidR="00935389" w:rsidRPr="00214261">
        <w:rPr>
          <w:rFonts w:cs="Arial"/>
          <w:color w:val="000000" w:themeColor="text1"/>
          <w:sz w:val="20"/>
          <w:lang w:val="en-US"/>
        </w:rPr>
        <w:t>Provided further that the condition specified in clause (ba) shall not apply if revised return is filed within sixty days of filing of return:</w:t>
      </w:r>
    </w:p>
    <w:p w:rsidR="00935389" w:rsidRPr="00214261" w:rsidRDefault="00935389" w:rsidP="00935389">
      <w:pPr>
        <w:autoSpaceDE w:val="0"/>
        <w:autoSpaceDN w:val="0"/>
        <w:adjustRightInd w:val="0"/>
        <w:ind w:left="1094" w:firstLine="547"/>
        <w:jc w:val="both"/>
        <w:rPr>
          <w:rFonts w:cs="Arial"/>
          <w:color w:val="000000" w:themeColor="text1"/>
          <w:sz w:val="20"/>
          <w:lang w:val="en-US"/>
        </w:rPr>
      </w:pPr>
    </w:p>
    <w:p w:rsidR="00935389" w:rsidRPr="001D0DF7" w:rsidRDefault="00935389" w:rsidP="00935389">
      <w:pPr>
        <w:autoSpaceDE w:val="0"/>
        <w:autoSpaceDN w:val="0"/>
        <w:adjustRightInd w:val="0"/>
        <w:ind w:left="1094" w:firstLine="547"/>
        <w:jc w:val="both"/>
        <w:rPr>
          <w:rFonts w:cs="Arial"/>
          <w:color w:val="984806" w:themeColor="accent6" w:themeShade="80"/>
          <w:sz w:val="20"/>
          <w:lang w:val="en-US"/>
        </w:rPr>
      </w:pPr>
      <w:r w:rsidRPr="00214261">
        <w:rPr>
          <w:rFonts w:cs="Arial"/>
          <w:color w:val="000000" w:themeColor="text1"/>
          <w:sz w:val="20"/>
          <w:lang w:val="en-US"/>
        </w:rPr>
        <w:t>Provided also that where the Commissioner has not made an order of approval in writing, for revision of return, before the</w:t>
      </w:r>
      <w:r w:rsidRPr="001D0DF7">
        <w:rPr>
          <w:rFonts w:cs="Arial"/>
          <w:color w:val="984806" w:themeColor="accent6" w:themeShade="80"/>
          <w:sz w:val="20"/>
          <w:lang w:val="en-US"/>
        </w:rPr>
        <w:t xml:space="preserve"> </w:t>
      </w:r>
      <w:r w:rsidRPr="00214261">
        <w:rPr>
          <w:rFonts w:cs="Arial"/>
          <w:color w:val="000000" w:themeColor="text1"/>
          <w:sz w:val="20"/>
          <w:lang w:val="en-US"/>
        </w:rPr>
        <w:lastRenderedPageBreak/>
        <w:t>expiration of sixty days from the date when the revision of return was sought, the approval required under clause (ba) shall be deemed to have been granted by the Commissioner, and condition specified in clause (ba) shall not apply:</w:t>
      </w:r>
    </w:p>
    <w:p w:rsidR="001D0DF7" w:rsidRPr="001D0DF7" w:rsidRDefault="001D0DF7" w:rsidP="00935389">
      <w:pPr>
        <w:autoSpaceDE w:val="0"/>
        <w:autoSpaceDN w:val="0"/>
        <w:adjustRightInd w:val="0"/>
        <w:ind w:left="1094" w:firstLine="547"/>
        <w:jc w:val="both"/>
        <w:rPr>
          <w:rFonts w:cs="Arial"/>
          <w:color w:val="984806" w:themeColor="accent6" w:themeShade="80"/>
          <w:sz w:val="20"/>
          <w:lang w:val="en-US"/>
        </w:rPr>
      </w:pPr>
    </w:p>
    <w:p w:rsidR="007A7612" w:rsidRPr="00C3232C" w:rsidRDefault="007A7612" w:rsidP="007A7612">
      <w:pPr>
        <w:ind w:left="1080" w:firstLine="540"/>
        <w:jc w:val="both"/>
        <w:rPr>
          <w:rFonts w:cs="Arial"/>
          <w:color w:val="0070C0"/>
          <w:sz w:val="20"/>
        </w:rPr>
      </w:pPr>
      <w:r w:rsidRPr="00C3232C">
        <w:rPr>
          <w:rStyle w:val="FootnoteReference"/>
          <w:rFonts w:cs="Arial"/>
          <w:color w:val="0070C0"/>
          <w:sz w:val="20"/>
        </w:rPr>
        <w:footnoteReference w:id="634"/>
      </w:r>
      <w:r w:rsidRPr="00C3232C">
        <w:rPr>
          <w:rFonts w:cs="Arial"/>
          <w:color w:val="0070C0"/>
          <w:sz w:val="20"/>
        </w:rPr>
        <w:t>[“Provided also that condition specified in clause (ba) shall not apply and the approval required thereunder shall be deemed to have been granted by the Commissioner, if-</w:t>
      </w:r>
    </w:p>
    <w:p w:rsidR="007A7612" w:rsidRPr="00C3232C" w:rsidRDefault="007A7612" w:rsidP="007A7612">
      <w:pPr>
        <w:ind w:left="1080" w:firstLine="540"/>
        <w:jc w:val="both"/>
        <w:rPr>
          <w:rFonts w:cs="Arial"/>
          <w:color w:val="0070C0"/>
          <w:sz w:val="20"/>
        </w:rPr>
      </w:pPr>
    </w:p>
    <w:p w:rsidR="007A7612" w:rsidRPr="00C3232C" w:rsidRDefault="007A7612" w:rsidP="007B723E">
      <w:pPr>
        <w:pStyle w:val="ListParagraph"/>
        <w:numPr>
          <w:ilvl w:val="0"/>
          <w:numId w:val="89"/>
        </w:numPr>
        <w:autoSpaceDE w:val="0"/>
        <w:autoSpaceDN w:val="0"/>
        <w:adjustRightInd w:val="0"/>
        <w:ind w:left="1094" w:firstLine="547"/>
        <w:contextualSpacing/>
        <w:jc w:val="both"/>
        <w:rPr>
          <w:rFonts w:cs="Arial"/>
          <w:color w:val="0070C0"/>
          <w:sz w:val="20"/>
          <w:lang w:val="en-US"/>
        </w:rPr>
      </w:pPr>
      <w:r w:rsidRPr="00C3232C">
        <w:rPr>
          <w:rFonts w:cs="Arial"/>
          <w:color w:val="0070C0"/>
          <w:sz w:val="20"/>
        </w:rPr>
        <w:t>the Commissioner has not made an order of approval in writing, for revision of return, before the expiration of sixty days from the date when the revision of return was sought; or</w:t>
      </w:r>
    </w:p>
    <w:p w:rsidR="007A7612" w:rsidRPr="00C3232C" w:rsidRDefault="007A7612" w:rsidP="007A7612">
      <w:pPr>
        <w:pStyle w:val="ListParagraph"/>
        <w:autoSpaceDE w:val="0"/>
        <w:autoSpaceDN w:val="0"/>
        <w:adjustRightInd w:val="0"/>
        <w:ind w:left="1641"/>
        <w:contextualSpacing/>
        <w:jc w:val="both"/>
        <w:rPr>
          <w:rFonts w:cs="Arial"/>
          <w:color w:val="0070C0"/>
          <w:sz w:val="20"/>
          <w:lang w:val="en-US"/>
        </w:rPr>
      </w:pPr>
    </w:p>
    <w:p w:rsidR="001D0DF7" w:rsidRPr="007A7612" w:rsidRDefault="007A7612" w:rsidP="007B723E">
      <w:pPr>
        <w:pStyle w:val="ListParagraph"/>
        <w:numPr>
          <w:ilvl w:val="0"/>
          <w:numId w:val="89"/>
        </w:numPr>
        <w:autoSpaceDE w:val="0"/>
        <w:autoSpaceDN w:val="0"/>
        <w:adjustRightInd w:val="0"/>
        <w:ind w:left="1094" w:firstLine="547"/>
        <w:contextualSpacing/>
        <w:jc w:val="both"/>
        <w:rPr>
          <w:rFonts w:cs="Arial"/>
          <w:color w:val="984806" w:themeColor="accent6" w:themeShade="80"/>
          <w:sz w:val="20"/>
        </w:rPr>
      </w:pPr>
      <w:r w:rsidRPr="00C3232C">
        <w:rPr>
          <w:rFonts w:cs="Arial"/>
          <w:color w:val="0070C0"/>
          <w:sz w:val="20"/>
        </w:rPr>
        <w:t>taxable income declared is more than or the loss declared is less than the income or loss, as the case may be, determined under section 120.”]</w:t>
      </w:r>
      <w:r w:rsidRPr="007A7612">
        <w:rPr>
          <w:rFonts w:cs="Arial"/>
          <w:color w:val="FF0066"/>
          <w:sz w:val="20"/>
        </w:rPr>
        <w:t xml:space="preserve"> </w:t>
      </w:r>
      <w:r w:rsidR="00166E24">
        <w:rPr>
          <w:rFonts w:cs="Arial"/>
          <w:color w:val="FF0066"/>
          <w:sz w:val="20"/>
        </w:rPr>
        <w:t xml:space="preserve"> </w:t>
      </w:r>
      <w:r w:rsidR="001D0DF7" w:rsidRPr="00214261">
        <w:rPr>
          <w:rFonts w:cs="Arial"/>
          <w:color w:val="000000" w:themeColor="text1"/>
          <w:sz w:val="20"/>
          <w:lang w:val="en-US"/>
        </w:rPr>
        <w:t>]</w:t>
      </w:r>
    </w:p>
    <w:p w:rsidR="002C0C95" w:rsidRPr="00412620" w:rsidRDefault="002C0C95" w:rsidP="002C0C95">
      <w:pPr>
        <w:jc w:val="both"/>
        <w:rPr>
          <w:rFonts w:cs="Arial"/>
          <w:sz w:val="20"/>
        </w:rPr>
      </w:pPr>
    </w:p>
    <w:p w:rsidR="00AF5ADA" w:rsidRPr="00412620" w:rsidRDefault="00FE74FE" w:rsidP="0042462C">
      <w:pPr>
        <w:ind w:firstLine="547"/>
        <w:jc w:val="both"/>
        <w:rPr>
          <w:rFonts w:cs="Arial"/>
          <w:sz w:val="20"/>
          <w:shd w:val="clear" w:color="auto" w:fill="FFFFFF"/>
          <w:lang w:val="en-GB"/>
        </w:rPr>
      </w:pPr>
      <w:r w:rsidRPr="00412620">
        <w:rPr>
          <w:rStyle w:val="FootnoteReference"/>
          <w:rFonts w:cs="Arial"/>
          <w:sz w:val="20"/>
          <w:shd w:val="clear" w:color="auto" w:fill="FFFFFF"/>
          <w:lang w:val="en-GB"/>
        </w:rPr>
        <w:footnoteReference w:id="635"/>
      </w:r>
      <w:r w:rsidR="00AF5ADA" w:rsidRPr="00412620">
        <w:rPr>
          <w:rFonts w:cs="Arial"/>
          <w:sz w:val="20"/>
          <w:shd w:val="clear" w:color="auto" w:fill="FFFFFF"/>
          <w:lang w:val="en-GB"/>
        </w:rPr>
        <w:t xml:space="preserve">[(6A) If a taxpayer </w:t>
      </w:r>
      <w:r w:rsidR="00FB1257" w:rsidRPr="00412620">
        <w:rPr>
          <w:rStyle w:val="FootnoteReference"/>
          <w:rFonts w:cs="Arial"/>
          <w:sz w:val="20"/>
          <w:shd w:val="clear" w:color="auto" w:fill="FFFFFF"/>
          <w:lang w:val="en-GB"/>
        </w:rPr>
        <w:footnoteReference w:id="636"/>
      </w:r>
      <w:r w:rsidR="00FB1257" w:rsidRPr="00412620">
        <w:rPr>
          <w:rFonts w:cs="Arial"/>
          <w:sz w:val="20"/>
          <w:shd w:val="clear" w:color="auto" w:fill="FFFFFF"/>
          <w:lang w:val="en-GB"/>
        </w:rPr>
        <w:t xml:space="preserve">[files] </w:t>
      </w:r>
      <w:r w:rsidR="00AF5ADA" w:rsidRPr="00412620">
        <w:rPr>
          <w:rFonts w:cs="Arial"/>
          <w:sz w:val="20"/>
          <w:shd w:val="clear" w:color="auto" w:fill="FFFFFF"/>
          <w:lang w:val="en-GB"/>
        </w:rPr>
        <w:t xml:space="preserve"> a revised return voluntarily along with deposit of the amount of tax short paid or amount of tax</w:t>
      </w:r>
      <w:r w:rsidR="00AF5ADA" w:rsidRPr="00412620">
        <w:rPr>
          <w:rFonts w:cs="Arial"/>
          <w:sz w:val="20"/>
          <w:lang w:val="en-GB"/>
        </w:rPr>
        <w:t xml:space="preserve"> sought to be </w:t>
      </w:r>
      <w:r w:rsidR="00AF5ADA" w:rsidRPr="00412620">
        <w:rPr>
          <w:rFonts w:cs="Arial"/>
          <w:sz w:val="20"/>
          <w:shd w:val="clear" w:color="auto" w:fill="FFFFFF"/>
          <w:lang w:val="en-GB"/>
        </w:rPr>
        <w:t>evaded along with the default surcharge, whenever it comes to his notice, before receipt of notice under sections 177 or sub-section(9) of 122, no penalty shall be recovered from him:</w:t>
      </w:r>
    </w:p>
    <w:p w:rsidR="00AF5ADA" w:rsidRPr="00412620" w:rsidRDefault="00AF5ADA" w:rsidP="00AF5ADA">
      <w:pPr>
        <w:ind w:left="2157" w:right="-135"/>
        <w:jc w:val="both"/>
        <w:rPr>
          <w:sz w:val="20"/>
          <w:shd w:val="clear" w:color="auto" w:fill="FFFFFF"/>
          <w:lang w:val="en-GB"/>
        </w:rPr>
      </w:pPr>
    </w:p>
    <w:p w:rsidR="00AF5ADA" w:rsidRPr="00412620" w:rsidRDefault="00AF5ADA" w:rsidP="0042462C">
      <w:pPr>
        <w:ind w:left="1094" w:firstLine="547"/>
        <w:jc w:val="both"/>
        <w:rPr>
          <w:rFonts w:cs="Arial"/>
          <w:sz w:val="20"/>
          <w:shd w:val="clear" w:color="auto" w:fill="FFFFFF"/>
          <w:lang w:val="en-GB"/>
        </w:rPr>
      </w:pPr>
      <w:r w:rsidRPr="00412620">
        <w:rPr>
          <w:rFonts w:cs="Arial"/>
          <w:sz w:val="20"/>
          <w:shd w:val="clear" w:color="auto" w:fill="FFFFFF"/>
          <w:lang w:val="en-GB"/>
        </w:rPr>
        <w:t xml:space="preserve">Provided that in case the taxpayer </w:t>
      </w:r>
      <w:r w:rsidR="00791A03" w:rsidRPr="00412620">
        <w:rPr>
          <w:rStyle w:val="FootnoteReference"/>
          <w:rFonts w:cs="Arial"/>
          <w:sz w:val="20"/>
          <w:shd w:val="clear" w:color="auto" w:fill="FFFFFF"/>
          <w:lang w:val="en-GB"/>
        </w:rPr>
        <w:footnoteReference w:id="637"/>
      </w:r>
      <w:r w:rsidR="00791A03" w:rsidRPr="00412620">
        <w:rPr>
          <w:rFonts w:cs="Arial"/>
          <w:sz w:val="20"/>
          <w:shd w:val="clear" w:color="auto" w:fill="FFFFFF"/>
          <w:lang w:val="en-GB"/>
        </w:rPr>
        <w:t xml:space="preserve">[deposits] </w:t>
      </w:r>
      <w:r w:rsidRPr="00412620">
        <w:rPr>
          <w:rFonts w:cs="Arial"/>
          <w:sz w:val="20"/>
          <w:shd w:val="clear" w:color="auto" w:fill="FFFFFF"/>
          <w:lang w:val="en-GB"/>
        </w:rPr>
        <w:t xml:space="preserve">the amount of tax as pointed out by the Commissioner during the audit or before the issuance of notice under sub-section (9) of section 122, he shall deposit the amount of tax sought to be evaded, the default surcharge and twenty-five </w:t>
      </w:r>
      <w:r w:rsidR="00AB6F06">
        <w:rPr>
          <w:rFonts w:cs="Arial"/>
          <w:i/>
          <w:sz w:val="20"/>
          <w:shd w:val="clear" w:color="auto" w:fill="FFFFFF"/>
          <w:lang w:val="en-GB"/>
        </w:rPr>
        <w:t>per cent</w:t>
      </w:r>
      <w:r w:rsidRPr="00412620">
        <w:rPr>
          <w:rFonts w:cs="Arial"/>
          <w:sz w:val="20"/>
          <w:shd w:val="clear" w:color="auto" w:fill="FFFFFF"/>
          <w:lang w:val="en-GB"/>
        </w:rPr>
        <w:t xml:space="preserve"> of the penalties leviable under the Ordinance along with</w:t>
      </w:r>
      <w:r w:rsidR="00943037">
        <w:rPr>
          <w:rFonts w:cs="Arial"/>
          <w:sz w:val="20"/>
          <w:shd w:val="clear" w:color="auto" w:fill="FFFFFF"/>
          <w:lang w:val="en-GB"/>
        </w:rPr>
        <w:t xml:space="preserve"> </w:t>
      </w:r>
      <w:r w:rsidRPr="00412620">
        <w:rPr>
          <w:rFonts w:cs="Arial"/>
          <w:sz w:val="20"/>
          <w:shd w:val="clear" w:color="auto" w:fill="FFFFFF"/>
          <w:lang w:val="en-GB"/>
        </w:rPr>
        <w:t>the revised return:</w:t>
      </w:r>
    </w:p>
    <w:p w:rsidR="00AF5ADA" w:rsidRPr="00412620" w:rsidRDefault="00AF5ADA" w:rsidP="00AF5ADA">
      <w:pPr>
        <w:ind w:left="2157" w:right="-135"/>
        <w:jc w:val="both"/>
        <w:rPr>
          <w:rFonts w:cs="Arial"/>
          <w:sz w:val="20"/>
          <w:shd w:val="clear" w:color="auto" w:fill="FFFFFF"/>
          <w:lang w:val="en-GB"/>
        </w:rPr>
      </w:pPr>
    </w:p>
    <w:p w:rsidR="00AF5ADA" w:rsidRPr="00412620" w:rsidRDefault="00AF5ADA" w:rsidP="0042462C">
      <w:pPr>
        <w:ind w:left="1094" w:firstLine="547"/>
        <w:jc w:val="both"/>
        <w:rPr>
          <w:rFonts w:cs="Arial"/>
          <w:sz w:val="20"/>
          <w:shd w:val="clear" w:color="auto" w:fill="FFFFFF"/>
          <w:lang w:val="en-GB"/>
        </w:rPr>
      </w:pPr>
      <w:r w:rsidRPr="00412620">
        <w:rPr>
          <w:rFonts w:cs="Arial"/>
          <w:sz w:val="20"/>
          <w:shd w:val="clear" w:color="auto" w:fill="FFFFFF"/>
          <w:lang w:val="en-GB"/>
        </w:rPr>
        <w:t xml:space="preserve">Provided further that in case the taxpayer </w:t>
      </w:r>
      <w:r w:rsidR="00791A03" w:rsidRPr="00412620">
        <w:rPr>
          <w:rStyle w:val="FootnoteReference"/>
          <w:rFonts w:cs="Arial"/>
          <w:sz w:val="20"/>
          <w:shd w:val="clear" w:color="auto" w:fill="FFFFFF"/>
          <w:lang w:val="en-GB"/>
        </w:rPr>
        <w:footnoteReference w:id="638"/>
      </w:r>
      <w:r w:rsidR="00791A03" w:rsidRPr="00412620">
        <w:rPr>
          <w:rFonts w:cs="Arial"/>
          <w:sz w:val="20"/>
          <w:shd w:val="clear" w:color="auto" w:fill="FFFFFF"/>
          <w:lang w:val="en-GB"/>
        </w:rPr>
        <w:t xml:space="preserve">[revises] </w:t>
      </w:r>
      <w:r w:rsidRPr="00412620">
        <w:rPr>
          <w:rFonts w:cs="Arial"/>
          <w:sz w:val="20"/>
          <w:shd w:val="clear" w:color="auto" w:fill="FFFFFF"/>
          <w:lang w:val="en-GB"/>
        </w:rPr>
        <w:t>the return after</w:t>
      </w:r>
      <w:r w:rsidRPr="00412620">
        <w:rPr>
          <w:rFonts w:cs="Arial"/>
          <w:sz w:val="20"/>
          <w:lang w:val="en-GB"/>
        </w:rPr>
        <w:t xml:space="preserve"> the </w:t>
      </w:r>
      <w:r w:rsidRPr="00412620">
        <w:rPr>
          <w:rFonts w:cs="Arial"/>
          <w:sz w:val="20"/>
          <w:shd w:val="clear" w:color="auto" w:fill="FFFFFF"/>
          <w:lang w:val="en-GB"/>
        </w:rPr>
        <w:t>issuance of a show cause notice under sub</w:t>
      </w:r>
      <w:r w:rsidR="0042462C" w:rsidRPr="00412620">
        <w:rPr>
          <w:rFonts w:cs="Arial"/>
          <w:sz w:val="20"/>
          <w:shd w:val="clear" w:color="auto" w:fill="FFFFFF"/>
          <w:lang w:val="en-GB"/>
        </w:rPr>
        <w:t>-</w:t>
      </w:r>
      <w:r w:rsidRPr="00412620">
        <w:rPr>
          <w:rFonts w:cs="Arial"/>
          <w:sz w:val="20"/>
          <w:shd w:val="clear" w:color="auto" w:fill="FFFFFF"/>
          <w:lang w:val="en-GB"/>
        </w:rPr>
        <w:t xml:space="preserve">section (9) of section 122, he shall deposit the amount of tax sought to be evaded, default surcharge and fifty </w:t>
      </w:r>
      <w:r w:rsidR="00AB6F06">
        <w:rPr>
          <w:rFonts w:cs="Arial"/>
          <w:i/>
          <w:sz w:val="20"/>
          <w:shd w:val="clear" w:color="auto" w:fill="FFFFFF"/>
          <w:lang w:val="en-GB"/>
        </w:rPr>
        <w:t>per cent</w:t>
      </w:r>
      <w:r w:rsidRPr="00412620">
        <w:rPr>
          <w:rFonts w:cs="Arial"/>
          <w:sz w:val="20"/>
          <w:shd w:val="clear" w:color="auto" w:fill="FFFFFF"/>
          <w:lang w:val="en-GB"/>
        </w:rPr>
        <w:t xml:space="preserve"> of the leviable penalties under the Ordinance along with the revised return and thereafter, the show cause notice shall stand abated.]</w:t>
      </w:r>
    </w:p>
    <w:p w:rsidR="00AF5ADA" w:rsidRPr="00412620" w:rsidRDefault="00AF5ADA">
      <w:pPr>
        <w:jc w:val="both"/>
        <w:rPr>
          <w:rFonts w:cs="Arial"/>
          <w:sz w:val="16"/>
          <w:lang w:val="en-GB"/>
        </w:rPr>
      </w:pPr>
    </w:p>
    <w:p w:rsidR="006A3F93" w:rsidRPr="00412620" w:rsidRDefault="006A3F93">
      <w:pPr>
        <w:jc w:val="both"/>
        <w:rPr>
          <w:rFonts w:cs="Arial"/>
          <w:sz w:val="20"/>
        </w:rPr>
      </w:pPr>
      <w:r w:rsidRPr="00412620">
        <w:rPr>
          <w:rFonts w:cs="Arial"/>
          <w:sz w:val="20"/>
        </w:rPr>
        <w:tab/>
        <w:t>(7)</w:t>
      </w:r>
      <w:r w:rsidRPr="00412620">
        <w:rPr>
          <w:rFonts w:cs="Arial"/>
          <w:sz w:val="20"/>
        </w:rPr>
        <w:tab/>
        <w:t>Every return purporting to be made or signed by, or on behalf of a person shall be treated as having been duly made by the person or with the person’s authority until the person proves the contrary.</w:t>
      </w:r>
    </w:p>
    <w:p w:rsidR="00135FFB" w:rsidRPr="005736F2" w:rsidRDefault="00135FFB" w:rsidP="00135FFB">
      <w:pPr>
        <w:jc w:val="both"/>
        <w:rPr>
          <w:rFonts w:cs="Arial"/>
          <w:sz w:val="12"/>
        </w:rPr>
      </w:pPr>
    </w:p>
    <w:p w:rsidR="005F3D3B" w:rsidRPr="00412620" w:rsidRDefault="006A3F93" w:rsidP="00BE4862">
      <w:pPr>
        <w:spacing w:before="120" w:after="120"/>
        <w:jc w:val="both"/>
        <w:rPr>
          <w:rFonts w:cs="Arial"/>
          <w:sz w:val="20"/>
        </w:rPr>
      </w:pPr>
      <w:r w:rsidRPr="00412620">
        <w:rPr>
          <w:rFonts w:cs="Arial"/>
          <w:b/>
          <w:sz w:val="20"/>
        </w:rPr>
        <w:lastRenderedPageBreak/>
        <w:t>115.</w:t>
      </w:r>
      <w:r w:rsidRPr="00412620">
        <w:rPr>
          <w:rFonts w:cs="Arial"/>
          <w:b/>
          <w:sz w:val="20"/>
        </w:rPr>
        <w:tab/>
        <w:t>Persons not required to furnish a return of income.</w:t>
      </w:r>
      <w:r w:rsidR="00023EDD" w:rsidRPr="00412620">
        <w:rPr>
          <w:rFonts w:cs="Arial"/>
          <w:sz w:val="20"/>
        </w:rPr>
        <w:t xml:space="preserve"> —</w:t>
      </w:r>
      <w:r w:rsidR="005F3D3B" w:rsidRPr="00412620">
        <w:rPr>
          <w:rStyle w:val="FootnoteReference"/>
          <w:rFonts w:cs="Arial"/>
          <w:sz w:val="20"/>
        </w:rPr>
        <w:footnoteReference w:id="639"/>
      </w:r>
      <w:r w:rsidR="005F3D3B" w:rsidRPr="00412620">
        <w:rPr>
          <w:rFonts w:cs="Arial"/>
          <w:sz w:val="20"/>
        </w:rPr>
        <w:t>[  ]</w:t>
      </w:r>
    </w:p>
    <w:p w:rsidR="006A3F93" w:rsidRPr="00412620" w:rsidRDefault="006A3F93">
      <w:pPr>
        <w:pStyle w:val="BodyTextIndent"/>
        <w:ind w:left="0" w:firstLine="450"/>
        <w:jc w:val="both"/>
        <w:rPr>
          <w:sz w:val="20"/>
        </w:rPr>
      </w:pPr>
      <w:r w:rsidRPr="00412620">
        <w:rPr>
          <w:rStyle w:val="FootnoteReference"/>
          <w:rFonts w:cs="Arial"/>
          <w:sz w:val="20"/>
        </w:rPr>
        <w:footnoteReference w:id="640"/>
      </w:r>
      <w:r w:rsidRPr="00412620">
        <w:rPr>
          <w:sz w:val="20"/>
        </w:rPr>
        <w:t>[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The following persons shall not be required to furnish a return of income for a tax year solely by reason of </w:t>
      </w:r>
      <w:r w:rsidR="003D296C" w:rsidRPr="00412620">
        <w:rPr>
          <w:rStyle w:val="FootnoteReference"/>
          <w:rFonts w:cs="Arial"/>
          <w:sz w:val="20"/>
        </w:rPr>
        <w:footnoteReference w:id="641"/>
      </w:r>
      <w:r w:rsidR="003D296C" w:rsidRPr="00412620">
        <w:rPr>
          <w:rFonts w:cs="Arial"/>
          <w:sz w:val="20"/>
        </w:rPr>
        <w:t>[sub-clause (iii)]</w:t>
      </w:r>
      <w:r w:rsidRPr="00412620">
        <w:rPr>
          <w:rFonts w:cs="Arial"/>
          <w:sz w:val="20"/>
        </w:rPr>
        <w:t xml:space="preserve"> of clause (b) of sub-section (1) of section 114 –</w:t>
      </w:r>
    </w:p>
    <w:p w:rsidR="006A3F93" w:rsidRPr="005736F2" w:rsidRDefault="006A3F93">
      <w:pPr>
        <w:jc w:val="both"/>
        <w:rPr>
          <w:rFonts w:cs="Arial"/>
          <w:sz w:val="12"/>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 widow;</w:t>
      </w:r>
    </w:p>
    <w:p w:rsidR="006A3F93" w:rsidRPr="005736F2" w:rsidRDefault="006A3F93">
      <w:pPr>
        <w:jc w:val="both"/>
        <w:rPr>
          <w:rFonts w:cs="Arial"/>
          <w:sz w:val="12"/>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an orphan below the age of twenty-five years;</w:t>
      </w:r>
    </w:p>
    <w:p w:rsidR="006A3F93" w:rsidRPr="005736F2" w:rsidRDefault="006A3F93">
      <w:pPr>
        <w:jc w:val="both"/>
        <w:rPr>
          <w:rFonts w:cs="Arial"/>
          <w:sz w:val="12"/>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 disabled person; or</w:t>
      </w:r>
    </w:p>
    <w:p w:rsidR="006A3F93" w:rsidRPr="005736F2" w:rsidRDefault="006A3F93">
      <w:pPr>
        <w:jc w:val="both"/>
        <w:rPr>
          <w:rFonts w:cs="Arial"/>
          <w:sz w:val="12"/>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in the case of ownership of immovable property, a non-resident person.</w:t>
      </w:r>
    </w:p>
    <w:p w:rsidR="006A3F93" w:rsidRPr="005736F2" w:rsidRDefault="006A3F93">
      <w:pPr>
        <w:jc w:val="both"/>
        <w:rPr>
          <w:rFonts w:cs="Arial"/>
          <w:sz w:val="12"/>
        </w:rPr>
      </w:pPr>
    </w:p>
    <w:p w:rsidR="00C516D5" w:rsidRPr="00412620" w:rsidRDefault="00C516D5">
      <w:pPr>
        <w:jc w:val="both"/>
        <w:rPr>
          <w:rFonts w:cs="Arial"/>
          <w:sz w:val="20"/>
        </w:rPr>
      </w:pPr>
      <w:r w:rsidRPr="00412620">
        <w:rPr>
          <w:rFonts w:cs="Arial"/>
          <w:sz w:val="22"/>
        </w:rPr>
        <w:tab/>
      </w:r>
      <w:r w:rsidRPr="00412620">
        <w:rPr>
          <w:rStyle w:val="FootnoteReference"/>
          <w:rFonts w:cs="Arial"/>
          <w:sz w:val="20"/>
        </w:rPr>
        <w:footnoteReference w:id="642"/>
      </w:r>
      <w:r w:rsidRPr="00412620">
        <w:rPr>
          <w:rFonts w:cs="Arial"/>
          <w:sz w:val="20"/>
        </w:rPr>
        <w:t xml:space="preserve">[(4) </w:t>
      </w:r>
      <w:r w:rsidRPr="00412620">
        <w:rPr>
          <w:rFonts w:cs="Arial"/>
          <w:sz w:val="20"/>
        </w:rPr>
        <w:tab/>
        <w:t>Any person who is not obliged to furnish a return for a tax year because all the person’s income is subject to final taxation under sections 5, 6, 7, 148, 151 and 152, sub-section (3) of section 153, sections 154, 156 and 156A, sub-section (3) of section 233 or sub-section (3) of section 234A shall furnish to the Commissioner a statement showing such particulars relating to the person’s income for the tax year in such form and verified in such manner as may be prescribed.]</w:t>
      </w:r>
    </w:p>
    <w:p w:rsidR="006A3F93" w:rsidRPr="00412620" w:rsidRDefault="006A3F93">
      <w:pPr>
        <w:jc w:val="both"/>
        <w:rPr>
          <w:rFonts w:cs="Arial"/>
          <w:sz w:val="20"/>
        </w:rPr>
      </w:pPr>
    </w:p>
    <w:p w:rsidR="002B3751" w:rsidRPr="00412620" w:rsidRDefault="002B3751">
      <w:pPr>
        <w:jc w:val="both"/>
        <w:rPr>
          <w:rFonts w:cs="Arial"/>
          <w:sz w:val="20"/>
        </w:rPr>
      </w:pPr>
      <w:r w:rsidRPr="00412620">
        <w:rPr>
          <w:rFonts w:cs="Arial"/>
          <w:sz w:val="20"/>
        </w:rPr>
        <w:tab/>
      </w:r>
      <w:r w:rsidR="00E2077A" w:rsidRPr="00412620">
        <w:rPr>
          <w:rStyle w:val="FootnoteReference"/>
          <w:rFonts w:cs="Arial"/>
          <w:sz w:val="20"/>
        </w:rPr>
        <w:footnoteReference w:id="643"/>
      </w:r>
      <w:r w:rsidRPr="00412620">
        <w:rPr>
          <w:rFonts w:cs="Arial"/>
          <w:sz w:val="20"/>
        </w:rPr>
        <w:t xml:space="preserve">[(4A) </w:t>
      </w:r>
      <w:r w:rsidRPr="00412620">
        <w:rPr>
          <w:rFonts w:cs="Arial"/>
          <w:sz w:val="20"/>
        </w:rPr>
        <w:tab/>
        <w:t xml:space="preserve">Any person who, having furnished a statement, discovers any omission or wrong statement therein, he may, without prejudice to any other liability which he may incur under this Ordinance, furnish a revised statement for </w:t>
      </w:r>
      <w:r w:rsidRPr="00412620">
        <w:rPr>
          <w:rFonts w:cs="Arial"/>
          <w:sz w:val="20"/>
        </w:rPr>
        <w:lastRenderedPageBreak/>
        <w:t>that tax year, at any time within five years from the end of the financial year in which the original statement was furnished.]</w:t>
      </w:r>
    </w:p>
    <w:p w:rsidR="002B3751" w:rsidRPr="00412620" w:rsidRDefault="002B3751">
      <w:pPr>
        <w:jc w:val="both"/>
        <w:rPr>
          <w:rFonts w:cs="Arial"/>
          <w:sz w:val="20"/>
        </w:rPr>
      </w:pPr>
    </w:p>
    <w:p w:rsidR="0093403A" w:rsidRPr="00412620" w:rsidRDefault="0093403A">
      <w:pPr>
        <w:jc w:val="both"/>
        <w:rPr>
          <w:rFonts w:cs="Arial"/>
          <w:sz w:val="20"/>
        </w:rPr>
      </w:pPr>
      <w:r w:rsidRPr="00412620">
        <w:rPr>
          <w:rFonts w:cs="Arial"/>
          <w:sz w:val="20"/>
        </w:rPr>
        <w:tab/>
      </w:r>
      <w:r w:rsidRPr="00412620">
        <w:rPr>
          <w:rStyle w:val="FootnoteReference"/>
          <w:rFonts w:cs="Arial"/>
          <w:sz w:val="20"/>
        </w:rPr>
        <w:footnoteReference w:id="644"/>
      </w:r>
      <w:r w:rsidRPr="00412620">
        <w:rPr>
          <w:rFonts w:cs="Arial"/>
          <w:sz w:val="20"/>
        </w:rPr>
        <w:t>[  ]</w:t>
      </w:r>
    </w:p>
    <w:p w:rsidR="0093403A" w:rsidRDefault="0093403A">
      <w:pPr>
        <w:jc w:val="both"/>
        <w:rPr>
          <w:rFonts w:cs="Arial"/>
          <w:sz w:val="20"/>
        </w:rPr>
      </w:pPr>
    </w:p>
    <w:p w:rsidR="00D21485" w:rsidRPr="00412620" w:rsidRDefault="00D21485">
      <w:pPr>
        <w:jc w:val="both"/>
        <w:rPr>
          <w:rFonts w:cs="Arial"/>
          <w:sz w:val="20"/>
        </w:rPr>
      </w:pPr>
    </w:p>
    <w:p w:rsidR="009B2BE5" w:rsidRPr="00412620" w:rsidRDefault="002B3751" w:rsidP="00C64F68">
      <w:pPr>
        <w:jc w:val="both"/>
        <w:rPr>
          <w:rFonts w:cs="Arial"/>
          <w:sz w:val="20"/>
        </w:rPr>
      </w:pPr>
      <w:r w:rsidRPr="00412620">
        <w:rPr>
          <w:rFonts w:cs="Arial"/>
          <w:sz w:val="20"/>
        </w:rPr>
        <w:tab/>
      </w:r>
      <w:r w:rsidR="009B2BE5" w:rsidRPr="00412620">
        <w:rPr>
          <w:rStyle w:val="FootnoteReference"/>
          <w:rFonts w:cs="Arial"/>
          <w:sz w:val="20"/>
        </w:rPr>
        <w:footnoteReference w:id="645"/>
      </w:r>
      <w:r w:rsidR="009B2BE5" w:rsidRPr="00412620">
        <w:rPr>
          <w:rFonts w:cs="Arial"/>
          <w:sz w:val="20"/>
        </w:rPr>
        <w:t>[(5)</w:t>
      </w:r>
      <w:r w:rsidR="009B2BE5" w:rsidRPr="00412620">
        <w:rPr>
          <w:rFonts w:cs="Arial"/>
          <w:sz w:val="20"/>
        </w:rPr>
        <w:tab/>
        <w:t>Subject to sub-section (6), the Commissioner may, by notice in writing, require any person who, in his opinion, is required to file a prescribed statement under this section for a tax year but who has failed to do so, to furnish a prescribed statement for that year within thirty days from the date of service of such notice or such longer period as may be specified in such notice or as he may, allow.]</w:t>
      </w:r>
    </w:p>
    <w:p w:rsidR="009B2BE5" w:rsidRPr="00412620" w:rsidRDefault="009B2BE5" w:rsidP="009B2BE5">
      <w:pPr>
        <w:pStyle w:val="3"/>
        <w:rPr>
          <w:rFonts w:ascii="Arial" w:hAnsi="Arial" w:cs="Arial"/>
          <w:color w:val="auto"/>
          <w:sz w:val="20"/>
          <w:szCs w:val="20"/>
        </w:rPr>
      </w:pPr>
    </w:p>
    <w:p w:rsidR="009B2BE5" w:rsidRPr="00412620" w:rsidRDefault="009B2BE5" w:rsidP="009B2BE5">
      <w:pPr>
        <w:jc w:val="both"/>
        <w:rPr>
          <w:rFonts w:cs="Arial"/>
          <w:sz w:val="20"/>
        </w:rPr>
      </w:pPr>
      <w:r w:rsidRPr="00412620">
        <w:rPr>
          <w:rFonts w:cs="Arial"/>
          <w:sz w:val="20"/>
        </w:rPr>
        <w:tab/>
      </w:r>
      <w:r w:rsidRPr="00412620">
        <w:rPr>
          <w:rStyle w:val="FootnoteReference"/>
          <w:rFonts w:cs="Arial"/>
          <w:sz w:val="20"/>
        </w:rPr>
        <w:footnoteReference w:id="646"/>
      </w:r>
      <w:r w:rsidRPr="00412620">
        <w:rPr>
          <w:rFonts w:cs="Arial"/>
          <w:sz w:val="20"/>
        </w:rPr>
        <w:t>[(6)</w:t>
      </w:r>
      <w:r w:rsidRPr="00412620">
        <w:rPr>
          <w:rFonts w:cs="Arial"/>
          <w:sz w:val="20"/>
        </w:rPr>
        <w:tab/>
        <w:t>A notice under sub-section (5) may be issued in respect of one or more of the last five completed tax years.]</w:t>
      </w:r>
    </w:p>
    <w:p w:rsidR="003F2B20" w:rsidRDefault="003F2B20">
      <w:pPr>
        <w:jc w:val="both"/>
        <w:rPr>
          <w:rFonts w:cs="Arial"/>
          <w:b/>
          <w:sz w:val="20"/>
        </w:rPr>
      </w:pPr>
    </w:p>
    <w:p w:rsidR="00D21485" w:rsidRPr="00412620" w:rsidRDefault="00D21485">
      <w:pPr>
        <w:jc w:val="both"/>
        <w:rPr>
          <w:rFonts w:cs="Arial"/>
          <w:b/>
          <w:sz w:val="20"/>
        </w:rPr>
      </w:pPr>
    </w:p>
    <w:p w:rsidR="006A3F93" w:rsidRPr="00412620" w:rsidRDefault="006A3F93">
      <w:pPr>
        <w:jc w:val="both"/>
        <w:rPr>
          <w:sz w:val="20"/>
        </w:rPr>
      </w:pPr>
      <w:r w:rsidRPr="00412620">
        <w:rPr>
          <w:rFonts w:cs="Arial"/>
          <w:b/>
          <w:sz w:val="20"/>
        </w:rPr>
        <w:t>116.</w:t>
      </w:r>
      <w:r w:rsidRPr="00412620">
        <w:rPr>
          <w:rFonts w:cs="Arial"/>
          <w:b/>
          <w:sz w:val="20"/>
        </w:rPr>
        <w:tab/>
        <w:t>Wealth statement.</w:t>
      </w:r>
      <w:r w:rsidR="006D53E5" w:rsidRPr="00412620">
        <w:rPr>
          <w:rFonts w:cs="Arial"/>
          <w:b/>
          <w:sz w:val="20"/>
        </w:rPr>
        <w:t>—</w:t>
      </w:r>
      <w:r w:rsidRPr="00412620">
        <w:rPr>
          <w:sz w:val="20"/>
        </w:rPr>
        <w:t xml:space="preserve"> (1)  </w:t>
      </w:r>
      <w:r w:rsidR="009D4EB6" w:rsidRPr="00412620">
        <w:rPr>
          <w:rStyle w:val="FootnoteReference"/>
          <w:sz w:val="20"/>
        </w:rPr>
        <w:footnoteReference w:id="647"/>
      </w:r>
      <w:r w:rsidR="009D4EB6" w:rsidRPr="00412620">
        <w:rPr>
          <w:sz w:val="20"/>
        </w:rPr>
        <w:t>[The]</w:t>
      </w:r>
      <w:r w:rsidRPr="00412620">
        <w:rPr>
          <w:sz w:val="20"/>
        </w:rPr>
        <w:t xml:space="preserve"> Commissioner may, by notice in writing, require any person </w:t>
      </w:r>
      <w:r w:rsidR="0058574A" w:rsidRPr="00412620">
        <w:rPr>
          <w:rStyle w:val="FootnoteReference"/>
          <w:sz w:val="20"/>
        </w:rPr>
        <w:footnoteReference w:id="648"/>
      </w:r>
      <w:r w:rsidR="0058574A" w:rsidRPr="00412620">
        <w:rPr>
          <w:sz w:val="20"/>
        </w:rPr>
        <w:t xml:space="preserve">[being an individual] </w:t>
      </w:r>
      <w:r w:rsidRPr="00412620">
        <w:rPr>
          <w:sz w:val="20"/>
        </w:rPr>
        <w:t xml:space="preserve">to furnish, on the date specified in the notice, a statement (hereinafter referred to as the "wealth statement") in the prescribed form and verified in the prescribed manner giving particulars of </w:t>
      </w:r>
      <w:r w:rsidR="001D7F30"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the person’s total assets and liabilities as on the date or dates specified in such notice;</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the total assets and liabilities of the person’s spouse, minor children, and other dependents as on the date or dates specified in such notice;</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any assets transferred by the person to any other person during the period or periods specified in such notice and the consideration for the transfer; </w:t>
      </w:r>
      <w:r w:rsidR="00151134" w:rsidRPr="00412620">
        <w:rPr>
          <w:rStyle w:val="FootnoteReference"/>
          <w:rFonts w:cs="Arial"/>
          <w:sz w:val="20"/>
        </w:rPr>
        <w:footnoteReference w:id="649"/>
      </w:r>
      <w:r w:rsidR="00151134" w:rsidRPr="00412620">
        <w:rPr>
          <w:rFonts w:cs="Arial"/>
          <w:sz w:val="20"/>
        </w:rPr>
        <w: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 xml:space="preserve">the total expenditures incurred by the person, and the person’s spouse, minor children, and other dependents during the </w:t>
      </w:r>
      <w:r w:rsidRPr="00412620">
        <w:rPr>
          <w:rFonts w:cs="Arial"/>
          <w:sz w:val="20"/>
        </w:rPr>
        <w:lastRenderedPageBreak/>
        <w:t>period or periods specified in the notice and t</w:t>
      </w:r>
      <w:r w:rsidR="006E37B6" w:rsidRPr="00412620">
        <w:rPr>
          <w:rFonts w:cs="Arial"/>
          <w:sz w:val="20"/>
        </w:rPr>
        <w:t xml:space="preserve">he details of such expenditures </w:t>
      </w:r>
      <w:r w:rsidR="006E37B6" w:rsidRPr="00412620">
        <w:rPr>
          <w:rStyle w:val="FootnoteReference"/>
          <w:rFonts w:cs="Arial"/>
          <w:sz w:val="20"/>
        </w:rPr>
        <w:footnoteReference w:id="650"/>
      </w:r>
      <w:r w:rsidR="006E37B6" w:rsidRPr="00412620">
        <w:rPr>
          <w:rFonts w:cs="Arial"/>
          <w:sz w:val="20"/>
        </w:rPr>
        <w:t>[; and]</w:t>
      </w:r>
    </w:p>
    <w:p w:rsidR="006A3F93" w:rsidRPr="00412620" w:rsidRDefault="006A3F93">
      <w:pPr>
        <w:jc w:val="both"/>
        <w:rPr>
          <w:rFonts w:cs="Arial"/>
          <w:sz w:val="20"/>
        </w:rPr>
      </w:pPr>
    </w:p>
    <w:p w:rsidR="004B5AF2" w:rsidRPr="00412620" w:rsidRDefault="004B5AF2">
      <w:pPr>
        <w:jc w:val="both"/>
        <w:rPr>
          <w:rFonts w:cs="Arial"/>
          <w:sz w:val="20"/>
        </w:rPr>
      </w:pPr>
      <w:r w:rsidRPr="00412620">
        <w:rPr>
          <w:rFonts w:cs="Arial"/>
          <w:sz w:val="20"/>
        </w:rPr>
        <w:tab/>
      </w:r>
      <w:r w:rsidRPr="00412620">
        <w:rPr>
          <w:rFonts w:cs="Arial"/>
          <w:sz w:val="20"/>
        </w:rPr>
        <w:tab/>
      </w:r>
      <w:r w:rsidR="003B19C8" w:rsidRPr="00412620">
        <w:rPr>
          <w:rStyle w:val="FootnoteReference"/>
          <w:rFonts w:cs="Arial"/>
          <w:sz w:val="20"/>
        </w:rPr>
        <w:footnoteReference w:id="651"/>
      </w:r>
      <w:r w:rsidRPr="00412620">
        <w:rPr>
          <w:rFonts w:cs="Arial"/>
          <w:sz w:val="20"/>
        </w:rPr>
        <w:t xml:space="preserve">[(e) </w:t>
      </w:r>
      <w:r w:rsidRPr="00412620">
        <w:rPr>
          <w:rFonts w:cs="Arial"/>
          <w:sz w:val="20"/>
        </w:rPr>
        <w:tab/>
        <w:t>the reconciliation statement of wealth.]</w:t>
      </w:r>
    </w:p>
    <w:p w:rsidR="004B5AF2" w:rsidRDefault="004B5AF2">
      <w:pPr>
        <w:jc w:val="both"/>
        <w:rPr>
          <w:rFonts w:cs="Arial"/>
          <w:sz w:val="20"/>
        </w:rPr>
      </w:pPr>
    </w:p>
    <w:p w:rsidR="00EF26C5" w:rsidRDefault="00EF26C5">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Every resident taxpayer</w:t>
      </w:r>
      <w:r w:rsidR="00214261">
        <w:rPr>
          <w:rFonts w:cs="Arial"/>
          <w:sz w:val="20"/>
        </w:rPr>
        <w:t xml:space="preserve"> </w:t>
      </w:r>
      <w:r w:rsidR="002D43FF" w:rsidRPr="00412620">
        <w:rPr>
          <w:rStyle w:val="FootnoteReference"/>
          <w:rFonts w:cs="Arial"/>
          <w:sz w:val="20"/>
        </w:rPr>
        <w:footnoteReference w:id="652"/>
      </w:r>
      <w:r w:rsidR="002D43FF" w:rsidRPr="00412620">
        <w:rPr>
          <w:rFonts w:cs="Arial"/>
          <w:sz w:val="20"/>
        </w:rPr>
        <w:t xml:space="preserve">[being an individual] </w:t>
      </w:r>
      <w:r w:rsidRPr="00412620">
        <w:rPr>
          <w:rFonts w:cs="Arial"/>
          <w:sz w:val="20"/>
        </w:rPr>
        <w:t>filing a return of income for any tax year</w:t>
      </w:r>
      <w:r w:rsidR="00214261">
        <w:rPr>
          <w:rFonts w:cs="Arial"/>
          <w:sz w:val="20"/>
        </w:rPr>
        <w:t xml:space="preserve"> </w:t>
      </w:r>
      <w:r w:rsidR="00D836BD" w:rsidRPr="00412620">
        <w:rPr>
          <w:rStyle w:val="FootnoteReference"/>
          <w:rFonts w:cs="Arial"/>
          <w:sz w:val="20"/>
        </w:rPr>
        <w:footnoteReference w:id="653"/>
      </w:r>
      <w:r w:rsidR="00D836BD" w:rsidRPr="00412620">
        <w:rPr>
          <w:rFonts w:cs="Arial"/>
          <w:sz w:val="20"/>
        </w:rPr>
        <w:t>[  ]</w:t>
      </w:r>
      <w:r w:rsidRPr="00412620">
        <w:rPr>
          <w:rFonts w:cs="Arial"/>
          <w:sz w:val="20"/>
        </w:rPr>
        <w:t xml:space="preserve"> shall furnish a wealth statement</w:t>
      </w:r>
      <w:r w:rsidR="00214261">
        <w:rPr>
          <w:rFonts w:cs="Arial"/>
          <w:sz w:val="20"/>
        </w:rPr>
        <w:t xml:space="preserve"> </w:t>
      </w:r>
      <w:r w:rsidR="008F6C16" w:rsidRPr="00412620">
        <w:rPr>
          <w:rStyle w:val="FootnoteReference"/>
          <w:rFonts w:cs="Arial"/>
          <w:sz w:val="20"/>
        </w:rPr>
        <w:footnoteReference w:id="654"/>
      </w:r>
      <w:r w:rsidR="00F051FD" w:rsidRPr="00412620">
        <w:rPr>
          <w:rFonts w:cs="Arial"/>
          <w:sz w:val="20"/>
        </w:rPr>
        <w:t xml:space="preserve">[and wealth reconciliation statement] </w:t>
      </w:r>
      <w:r w:rsidRPr="00412620">
        <w:rPr>
          <w:rFonts w:cs="Arial"/>
          <w:sz w:val="20"/>
        </w:rPr>
        <w:t>for t</w:t>
      </w:r>
      <w:r w:rsidR="00093315" w:rsidRPr="00412620">
        <w:rPr>
          <w:rFonts w:cs="Arial"/>
          <w:sz w:val="20"/>
        </w:rPr>
        <w:t xml:space="preserve">hat year along with such return </w:t>
      </w:r>
      <w:r w:rsidR="00093315" w:rsidRPr="00412620">
        <w:rPr>
          <w:rStyle w:val="FootnoteReference"/>
          <w:rFonts w:cs="Arial"/>
          <w:sz w:val="20"/>
        </w:rPr>
        <w:footnoteReference w:id="655"/>
      </w:r>
      <w:r w:rsidR="00093315" w:rsidRPr="00412620">
        <w:rPr>
          <w:rFonts w:cs="Arial"/>
          <w:sz w:val="20"/>
        </w:rPr>
        <w:t>[:]</w:t>
      </w:r>
    </w:p>
    <w:p w:rsidR="00093315" w:rsidRPr="00412620" w:rsidRDefault="00093315">
      <w:pPr>
        <w:jc w:val="both"/>
        <w:rPr>
          <w:rFonts w:cs="Arial"/>
          <w:sz w:val="20"/>
        </w:rPr>
      </w:pPr>
    </w:p>
    <w:p w:rsidR="00093315" w:rsidRPr="00412620" w:rsidRDefault="00093315" w:rsidP="00093315">
      <w:pPr>
        <w:ind w:left="1094" w:firstLine="541"/>
        <w:jc w:val="both"/>
        <w:rPr>
          <w:rFonts w:cs="Arial"/>
          <w:sz w:val="20"/>
        </w:rPr>
      </w:pPr>
      <w:r w:rsidRPr="00412620">
        <w:rPr>
          <w:rStyle w:val="FootnoteReference"/>
          <w:rFonts w:cs="Arial"/>
          <w:sz w:val="20"/>
        </w:rPr>
        <w:footnoteReference w:id="656"/>
      </w:r>
      <w:r w:rsidRPr="00412620">
        <w:rPr>
          <w:rFonts w:cs="Arial"/>
          <w:sz w:val="20"/>
        </w:rPr>
        <w:t xml:space="preserve">[Provided that every member of an association of persons </w:t>
      </w:r>
      <w:r w:rsidR="00E926A5" w:rsidRPr="00412620">
        <w:rPr>
          <w:rStyle w:val="FootnoteReference"/>
          <w:rFonts w:cs="Arial"/>
          <w:sz w:val="20"/>
        </w:rPr>
        <w:footnoteReference w:id="657"/>
      </w:r>
      <w:r w:rsidR="00E926A5" w:rsidRPr="00412620">
        <w:rPr>
          <w:rFonts w:cs="Arial"/>
          <w:sz w:val="20"/>
        </w:rPr>
        <w:t xml:space="preserve">[  ] </w:t>
      </w:r>
      <w:r w:rsidRPr="00412620">
        <w:rPr>
          <w:rFonts w:cs="Arial"/>
          <w:sz w:val="20"/>
        </w:rPr>
        <w:t xml:space="preserve">shall also furnish wealth statement and wealth reconciliation statement for the year </w:t>
      </w:r>
      <w:r w:rsidR="008B09DB" w:rsidRPr="00412620">
        <w:rPr>
          <w:rFonts w:cs="Arial"/>
          <w:sz w:val="20"/>
        </w:rPr>
        <w:t>along with</w:t>
      </w:r>
      <w:r w:rsidRPr="00412620">
        <w:rPr>
          <w:rFonts w:cs="Arial"/>
          <w:sz w:val="20"/>
        </w:rPr>
        <w:t xml:space="preserve"> return of income of the association.]</w:t>
      </w:r>
    </w:p>
    <w:p w:rsidR="00093315" w:rsidRPr="00412620" w:rsidRDefault="00093315">
      <w:pPr>
        <w:jc w:val="both"/>
        <w:rPr>
          <w:rFonts w:cs="Arial"/>
          <w:sz w:val="20"/>
        </w:rPr>
      </w:pPr>
    </w:p>
    <w:p w:rsidR="00677B63" w:rsidRPr="00412620" w:rsidRDefault="00677B63">
      <w:pPr>
        <w:jc w:val="both"/>
        <w:rPr>
          <w:rFonts w:cs="Arial"/>
          <w:sz w:val="20"/>
        </w:rPr>
      </w:pPr>
      <w:r w:rsidRPr="00412620">
        <w:rPr>
          <w:rFonts w:cs="Arial"/>
          <w:sz w:val="20"/>
        </w:rPr>
        <w:tab/>
      </w:r>
      <w:r w:rsidR="009C44B5" w:rsidRPr="00412620">
        <w:rPr>
          <w:rStyle w:val="FootnoteReference"/>
          <w:rFonts w:cs="Arial"/>
          <w:sz w:val="20"/>
        </w:rPr>
        <w:footnoteReference w:id="658"/>
      </w:r>
      <w:r w:rsidRPr="00412620">
        <w:rPr>
          <w:rFonts w:cs="Arial"/>
          <w:sz w:val="20"/>
        </w:rPr>
        <w:t xml:space="preserve">[(2A) Where a person, being an individual or an association of persons, files a return in response to a provisional assessment order under section 122C, such return shall be accompanied by wealth statement </w:t>
      </w:r>
      <w:r w:rsidR="008B09DB" w:rsidRPr="00412620">
        <w:rPr>
          <w:rFonts w:cs="Arial"/>
          <w:sz w:val="20"/>
        </w:rPr>
        <w:t>along with</w:t>
      </w:r>
      <w:r w:rsidRPr="00412620">
        <w:rPr>
          <w:rFonts w:cs="Arial"/>
          <w:sz w:val="20"/>
        </w:rPr>
        <w:t xml:space="preserve"> a wealth reconciliation statement and an explanation of source of acquisition of assets specified therein in the case of an individual and wealth statements of all members </w:t>
      </w:r>
      <w:r w:rsidR="003F0650" w:rsidRPr="00412620">
        <w:rPr>
          <w:rFonts w:cs="Arial"/>
          <w:sz w:val="20"/>
        </w:rPr>
        <w:t>in the case of an association of persons and such wealth statements shall be accompanied by wealth reconciliation statements and explanation of source of acquisition of assets specified therein.]</w:t>
      </w:r>
    </w:p>
    <w:p w:rsidR="00677B63" w:rsidRPr="00412620" w:rsidRDefault="00677B63">
      <w:pPr>
        <w:jc w:val="both"/>
        <w:rPr>
          <w:rFonts w:cs="Arial"/>
          <w:sz w:val="20"/>
        </w:rPr>
      </w:pPr>
    </w:p>
    <w:p w:rsidR="006A3F93" w:rsidRPr="00412620" w:rsidRDefault="004220DB">
      <w:pPr>
        <w:jc w:val="both"/>
        <w:rPr>
          <w:rFonts w:cs="Arial"/>
          <w:sz w:val="20"/>
        </w:rPr>
      </w:pPr>
      <w:r w:rsidRPr="00412620">
        <w:rPr>
          <w:rFonts w:cs="Arial"/>
          <w:sz w:val="20"/>
        </w:rPr>
        <w:tab/>
      </w:r>
      <w:r w:rsidR="006A3F93" w:rsidRPr="00412620">
        <w:rPr>
          <w:rStyle w:val="FootnoteReference"/>
          <w:rFonts w:cs="Arial"/>
          <w:sz w:val="20"/>
        </w:rPr>
        <w:footnoteReference w:id="659"/>
      </w:r>
      <w:r w:rsidR="006A3F93" w:rsidRPr="00412620">
        <w:rPr>
          <w:rFonts w:cs="Arial"/>
          <w:sz w:val="20"/>
        </w:rPr>
        <w:t>[(3)</w:t>
      </w:r>
      <w:r w:rsidR="006A3F93" w:rsidRPr="00412620">
        <w:rPr>
          <w:rFonts w:cs="Arial"/>
          <w:sz w:val="20"/>
        </w:rPr>
        <w:tab/>
        <w:t xml:space="preserve">Where a person, who has furnished a wealth statement, discovers any omission or wrong statement therein, he may, without prejudice to any liability incurred by him under any provision of this Ordinance, furnish a revised wealth statement </w:t>
      </w:r>
      <w:r w:rsidR="005509BD" w:rsidRPr="00412620">
        <w:rPr>
          <w:rStyle w:val="FootnoteReference"/>
          <w:rFonts w:cs="Arial"/>
          <w:sz w:val="20"/>
        </w:rPr>
        <w:footnoteReference w:id="660"/>
      </w:r>
      <w:r w:rsidR="005509BD" w:rsidRPr="00412620">
        <w:rPr>
          <w:rFonts w:cs="Arial"/>
          <w:sz w:val="20"/>
        </w:rPr>
        <w:t xml:space="preserve">[along with the revised wealth reconciliation and the reasons </w:t>
      </w:r>
      <w:r w:rsidR="005509BD" w:rsidRPr="00412620">
        <w:rPr>
          <w:rFonts w:cs="Arial"/>
          <w:sz w:val="20"/>
        </w:rPr>
        <w:lastRenderedPageBreak/>
        <w:t xml:space="preserve">for filing revised wealth statement,] </w:t>
      </w:r>
      <w:r w:rsidR="006A3F93" w:rsidRPr="00412620">
        <w:rPr>
          <w:rFonts w:cs="Arial"/>
          <w:sz w:val="20"/>
        </w:rPr>
        <w:t>at any time before an assessment, for the tax year to which it relates, is made under sub-section (1) or sub-section (4) of section 122.]</w:t>
      </w:r>
    </w:p>
    <w:p w:rsidR="006A3F93" w:rsidRDefault="006A3F93">
      <w:pPr>
        <w:jc w:val="both"/>
        <w:rPr>
          <w:rFonts w:cs="Arial"/>
          <w:b/>
          <w:sz w:val="20"/>
        </w:rPr>
      </w:pPr>
    </w:p>
    <w:p w:rsidR="00163C44" w:rsidRPr="00412620" w:rsidRDefault="00163C44">
      <w:pPr>
        <w:jc w:val="both"/>
        <w:rPr>
          <w:rFonts w:cs="Arial"/>
          <w:sz w:val="20"/>
        </w:rPr>
      </w:pPr>
      <w:r w:rsidRPr="00412620">
        <w:rPr>
          <w:rFonts w:cs="Arial"/>
          <w:sz w:val="20"/>
        </w:rPr>
        <w:tab/>
      </w:r>
      <w:r w:rsidR="00CB2005" w:rsidRPr="00412620">
        <w:rPr>
          <w:rStyle w:val="FootnoteReference"/>
          <w:rFonts w:cs="Arial"/>
          <w:sz w:val="20"/>
        </w:rPr>
        <w:footnoteReference w:id="661"/>
      </w:r>
      <w:r w:rsidRPr="00412620">
        <w:rPr>
          <w:rFonts w:cs="Arial"/>
          <w:sz w:val="20"/>
        </w:rPr>
        <w:t>[(4)</w:t>
      </w:r>
      <w:r w:rsidRPr="00412620">
        <w:rPr>
          <w:rFonts w:cs="Arial"/>
          <w:b/>
          <w:sz w:val="20"/>
        </w:rPr>
        <w:tab/>
      </w:r>
      <w:r w:rsidRPr="00412620">
        <w:rPr>
          <w:rFonts w:cs="Arial"/>
          <w:sz w:val="20"/>
        </w:rPr>
        <w:t>Every person (other than a company</w:t>
      </w:r>
      <w:r w:rsidR="00214261">
        <w:rPr>
          <w:rFonts w:cs="Arial"/>
          <w:sz w:val="20"/>
        </w:rPr>
        <w:t xml:space="preserve"> </w:t>
      </w:r>
      <w:r w:rsidR="00222225" w:rsidRPr="00412620">
        <w:rPr>
          <w:rStyle w:val="FootnoteReference"/>
          <w:rFonts w:cs="Arial"/>
          <w:sz w:val="20"/>
        </w:rPr>
        <w:footnoteReference w:id="662"/>
      </w:r>
      <w:r w:rsidR="00222225" w:rsidRPr="00412620">
        <w:rPr>
          <w:rFonts w:cs="Arial"/>
          <w:sz w:val="20"/>
        </w:rPr>
        <w:t>[or an association of persons]</w:t>
      </w:r>
      <w:r w:rsidRPr="00412620">
        <w:rPr>
          <w:rFonts w:cs="Arial"/>
          <w:sz w:val="20"/>
        </w:rPr>
        <w:t>)</w:t>
      </w:r>
      <w:r w:rsidR="00214261">
        <w:rPr>
          <w:rFonts w:cs="Arial"/>
          <w:sz w:val="20"/>
        </w:rPr>
        <w:t xml:space="preserve"> </w:t>
      </w:r>
      <w:r w:rsidRPr="00412620">
        <w:rPr>
          <w:rFonts w:cs="Arial"/>
          <w:sz w:val="20"/>
        </w:rPr>
        <w:t xml:space="preserve">filing statement under sub-section (4) of section 115, falling under final tax regime (FTR) </w:t>
      </w:r>
      <w:r w:rsidR="00222225" w:rsidRPr="00412620">
        <w:rPr>
          <w:rStyle w:val="FootnoteReference"/>
          <w:rFonts w:cs="Arial"/>
          <w:sz w:val="20"/>
        </w:rPr>
        <w:footnoteReference w:id="663"/>
      </w:r>
      <w:r w:rsidR="00222225" w:rsidRPr="00412620">
        <w:rPr>
          <w:rFonts w:cs="Arial"/>
          <w:sz w:val="20"/>
        </w:rPr>
        <w:t xml:space="preserve">[  ] </w:t>
      </w:r>
      <w:r w:rsidRPr="00412620">
        <w:rPr>
          <w:rFonts w:cs="Arial"/>
          <w:sz w:val="20"/>
        </w:rPr>
        <w:t xml:space="preserve">shall file a wealth statement </w:t>
      </w:r>
      <w:r w:rsidR="00F33A55" w:rsidRPr="00412620">
        <w:rPr>
          <w:rFonts w:cs="Arial"/>
          <w:sz w:val="20"/>
        </w:rPr>
        <w:t>along with</w:t>
      </w:r>
      <w:r w:rsidRPr="00412620">
        <w:rPr>
          <w:rFonts w:cs="Arial"/>
          <w:sz w:val="20"/>
        </w:rPr>
        <w:t xml:space="preserve"> reconciliation of wealth statement.]</w:t>
      </w:r>
    </w:p>
    <w:p w:rsidR="00163C44" w:rsidRPr="00412620" w:rsidRDefault="00163C44">
      <w:pPr>
        <w:jc w:val="both"/>
        <w:rPr>
          <w:rFonts w:cs="Arial"/>
          <w:b/>
          <w:sz w:val="20"/>
        </w:rPr>
      </w:pPr>
    </w:p>
    <w:p w:rsidR="006A3F93" w:rsidRPr="00412620" w:rsidRDefault="006A3F93">
      <w:pPr>
        <w:jc w:val="both"/>
        <w:rPr>
          <w:sz w:val="20"/>
        </w:rPr>
      </w:pPr>
      <w:r w:rsidRPr="00412620">
        <w:rPr>
          <w:rFonts w:cs="Arial"/>
          <w:b/>
          <w:sz w:val="20"/>
        </w:rPr>
        <w:t>117.</w:t>
      </w:r>
      <w:r w:rsidRPr="00412620">
        <w:rPr>
          <w:rFonts w:cs="Arial"/>
          <w:b/>
          <w:sz w:val="20"/>
        </w:rPr>
        <w:tab/>
        <w:t>Notice of discontinued business.</w:t>
      </w:r>
      <w:r w:rsidR="00023EDD" w:rsidRPr="00412620">
        <w:rPr>
          <w:rFonts w:cs="Arial"/>
          <w:sz w:val="20"/>
        </w:rPr>
        <w:t xml:space="preserve"> —</w:t>
      </w:r>
      <w:r w:rsidRPr="00412620">
        <w:rPr>
          <w:sz w:val="20"/>
        </w:rPr>
        <w:t xml:space="preserve"> (1) Any person discontinuing a business shall give the Commissioner a notice in writing to that effect within fifteen days of the discontinuance.</w:t>
      </w:r>
    </w:p>
    <w:p w:rsidR="006A3F93" w:rsidRPr="00412620" w:rsidRDefault="006A3F93">
      <w:pPr>
        <w:jc w:val="both"/>
        <w:rPr>
          <w:rFonts w:cs="Arial"/>
          <w:b/>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person discontinuing a business shall, under the provisions of this Ordinance or on being required by the Commissioner by notice, in writing, furnish a return of income for the period commencing on the first day of the tax year in which the discontinuance occurred and ending on the date of discontinuance and this period shall be treated as a separate tax year for the purposes of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no notice has been given under sub-section (1) but the Commissioner has reasonable grounds to believe that a business has discontinued or is likely to discontinue, the Commissioner may serve a notice on the person who has discontinued the business or is likely to discontinue the business to furnish to the Commissioner within the time specified in the notice a return of income for the period specified in the notice.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A return furnished under this section shall be treated for all purposes of this Ordinance as a return of income, including the application of Section 120.</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118.</w:t>
      </w:r>
      <w:r w:rsidRPr="00412620">
        <w:rPr>
          <w:rFonts w:cs="Arial"/>
          <w:b/>
          <w:sz w:val="20"/>
        </w:rPr>
        <w:tab/>
        <w:t>Method of furnishing returns and other documents.</w:t>
      </w:r>
      <w:r w:rsidR="006A2467" w:rsidRPr="00412620">
        <w:rPr>
          <w:rFonts w:cs="Arial"/>
          <w:sz w:val="20"/>
        </w:rPr>
        <w:t xml:space="preserve"> —</w:t>
      </w:r>
      <w:r w:rsidRPr="00412620">
        <w:rPr>
          <w:sz w:val="20"/>
        </w:rPr>
        <w:t xml:space="preserve"> (1) A return of income under section 114, </w:t>
      </w:r>
      <w:r w:rsidR="004B2E76" w:rsidRPr="00412620">
        <w:rPr>
          <w:rStyle w:val="FootnoteReference"/>
          <w:sz w:val="20"/>
        </w:rPr>
        <w:footnoteReference w:id="664"/>
      </w:r>
      <w:r w:rsidR="004B2E76" w:rsidRPr="00412620">
        <w:rPr>
          <w:sz w:val="20"/>
        </w:rPr>
        <w:t xml:space="preserve">[  ] </w:t>
      </w:r>
      <w:r w:rsidRPr="00412620">
        <w:rPr>
          <w:sz w:val="20"/>
        </w:rPr>
        <w:t>a statement required under sub-section (4) of section 115 or a wealth statement under section 116 shall be furnished in the prescribed manner.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 return of income </w:t>
      </w:r>
      <w:r w:rsidRPr="00412620">
        <w:rPr>
          <w:rStyle w:val="FootnoteReference"/>
          <w:rFonts w:cs="Arial"/>
          <w:sz w:val="20"/>
        </w:rPr>
        <w:footnoteReference w:id="665"/>
      </w:r>
      <w:r w:rsidRPr="00412620">
        <w:rPr>
          <w:rFonts w:cs="Arial"/>
          <w:sz w:val="20"/>
        </w:rPr>
        <w:t xml:space="preserve">[under section 114 or a statement under sub-section (4) of section 115] of a company shall be furnished </w:t>
      </w:r>
      <w:r w:rsidR="001D7F30"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lastRenderedPageBreak/>
        <w:t>(a)</w:t>
      </w:r>
      <w:r w:rsidRPr="00412620">
        <w:rPr>
          <w:rFonts w:cs="Arial"/>
          <w:sz w:val="20"/>
        </w:rPr>
        <w:tab/>
        <w:t>in the case of a company with a tax year ending any time between the first day of January and the thirtieth day of June, on or before the thirty-first day of December next following the end of the tax year to which the return relates;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in any other case, on or before the thirtieth day of September next following the end of the tax year to which the return relates.</w:t>
      </w:r>
    </w:p>
    <w:p w:rsidR="006A3F93" w:rsidRPr="00412620" w:rsidRDefault="006A3F93">
      <w:pPr>
        <w:jc w:val="both"/>
        <w:rPr>
          <w:rFonts w:cs="Arial"/>
          <w:sz w:val="20"/>
        </w:rPr>
      </w:pPr>
    </w:p>
    <w:p w:rsidR="008133BF" w:rsidRDefault="008133BF">
      <w:pPr>
        <w:jc w:val="both"/>
        <w:rPr>
          <w:rFonts w:cs="Arial"/>
          <w:color w:val="984806" w:themeColor="accent6" w:themeShade="80"/>
          <w:sz w:val="20"/>
        </w:rPr>
      </w:pPr>
      <w:r w:rsidRPr="00412620">
        <w:rPr>
          <w:rFonts w:cs="Arial"/>
          <w:sz w:val="20"/>
        </w:rPr>
        <w:tab/>
      </w:r>
      <w:r w:rsidR="002C33B4" w:rsidRPr="00412620">
        <w:rPr>
          <w:rStyle w:val="FootnoteReference"/>
          <w:rFonts w:cs="Arial"/>
          <w:sz w:val="20"/>
        </w:rPr>
        <w:footnoteReference w:id="666"/>
      </w:r>
      <w:r w:rsidRPr="00412620">
        <w:rPr>
          <w:rFonts w:cs="Arial"/>
          <w:sz w:val="20"/>
        </w:rPr>
        <w:t>[(2A) Where salary income for the tax year is five hundred thousand rupees or more, the taxpayer shall file return of income electronically in the prescribed form and it shall be accompanied by the proof of deduction or payment of tax and wealth statement as required under section 116]</w:t>
      </w:r>
      <w:r w:rsidR="00214261">
        <w:rPr>
          <w:rFonts w:cs="Arial"/>
          <w:sz w:val="20"/>
        </w:rPr>
        <w:t xml:space="preserve"> </w:t>
      </w:r>
      <w:r w:rsidR="00EB26C3" w:rsidRPr="00214261">
        <w:rPr>
          <w:rStyle w:val="FootnoteReference"/>
          <w:rFonts w:cs="Arial"/>
          <w:color w:val="000000" w:themeColor="text1"/>
          <w:sz w:val="20"/>
        </w:rPr>
        <w:footnoteReference w:id="667"/>
      </w:r>
      <w:r w:rsidR="00EB26C3" w:rsidRPr="00214261">
        <w:rPr>
          <w:rFonts w:cs="Arial"/>
          <w:color w:val="000000" w:themeColor="text1"/>
          <w:sz w:val="20"/>
        </w:rPr>
        <w:t>[:]</w:t>
      </w:r>
    </w:p>
    <w:p w:rsidR="00EB26C3" w:rsidRPr="00412620" w:rsidRDefault="00EB26C3">
      <w:pPr>
        <w:jc w:val="both"/>
        <w:rPr>
          <w:rFonts w:cs="Arial"/>
          <w:sz w:val="20"/>
        </w:rPr>
      </w:pPr>
    </w:p>
    <w:p w:rsidR="008133BF" w:rsidRPr="00214261" w:rsidRDefault="00EB26C3" w:rsidP="002A0A92">
      <w:pPr>
        <w:autoSpaceDE w:val="0"/>
        <w:autoSpaceDN w:val="0"/>
        <w:adjustRightInd w:val="0"/>
        <w:ind w:left="630" w:firstLine="990"/>
        <w:jc w:val="both"/>
        <w:rPr>
          <w:rFonts w:cs="Arial"/>
          <w:color w:val="000000" w:themeColor="text1"/>
          <w:sz w:val="20"/>
          <w:lang w:val="en-US"/>
        </w:rPr>
      </w:pPr>
      <w:r w:rsidRPr="00214261">
        <w:rPr>
          <w:rStyle w:val="FootnoteReference"/>
          <w:rFonts w:cs="Arial"/>
          <w:color w:val="000000" w:themeColor="text1"/>
          <w:sz w:val="20"/>
          <w:lang w:val="en-US"/>
        </w:rPr>
        <w:footnoteReference w:id="668"/>
      </w:r>
      <w:r w:rsidRPr="00214261">
        <w:rPr>
          <w:rFonts w:cs="Arial"/>
          <w:color w:val="000000" w:themeColor="text1"/>
          <w:sz w:val="20"/>
          <w:lang w:val="en-US"/>
        </w:rPr>
        <w:t>[“Provided that the Board may amend the condition specified in this sub-section or direct that the said condition shall not apply for a tax year.”;]</w:t>
      </w:r>
    </w:p>
    <w:p w:rsidR="009A2F40" w:rsidRPr="00214261" w:rsidRDefault="009A2F40" w:rsidP="002A0A92">
      <w:pPr>
        <w:autoSpaceDE w:val="0"/>
        <w:autoSpaceDN w:val="0"/>
        <w:adjustRightInd w:val="0"/>
        <w:ind w:left="630" w:firstLine="990"/>
        <w:jc w:val="both"/>
        <w:rPr>
          <w:rFonts w:cs="Arial"/>
          <w:color w:val="000000" w:themeColor="text1"/>
          <w:sz w:val="20"/>
          <w:lang w:val="en-US"/>
        </w:rPr>
      </w:pPr>
    </w:p>
    <w:p w:rsidR="009A2F40" w:rsidRPr="00214261" w:rsidRDefault="009A2F40" w:rsidP="009A2F40">
      <w:pPr>
        <w:autoSpaceDE w:val="0"/>
        <w:autoSpaceDN w:val="0"/>
        <w:adjustRightInd w:val="0"/>
        <w:ind w:left="630"/>
        <w:jc w:val="both"/>
        <w:rPr>
          <w:rFonts w:ascii="Times New Roman" w:hAnsi="Times New Roman"/>
          <w:color w:val="000000" w:themeColor="text1"/>
          <w:sz w:val="20"/>
        </w:rPr>
      </w:pPr>
      <w:r w:rsidRPr="00214261">
        <w:rPr>
          <w:rStyle w:val="FootnoteReference"/>
          <w:rFonts w:cs="Arial"/>
          <w:color w:val="000000" w:themeColor="text1"/>
          <w:sz w:val="20"/>
          <w:lang w:val="en-US"/>
        </w:rPr>
        <w:footnoteReference w:id="669"/>
      </w:r>
      <w:r w:rsidRPr="00214261">
        <w:rPr>
          <w:rFonts w:cs="Arial"/>
          <w:color w:val="000000" w:themeColor="text1"/>
          <w:sz w:val="20"/>
          <w:lang w:val="en-US"/>
        </w:rPr>
        <w:t xml:space="preserve">[ *  ] </w:t>
      </w:r>
    </w:p>
    <w:p w:rsidR="009A2F40" w:rsidRPr="00EB26C3" w:rsidRDefault="009A2F40" w:rsidP="009A2F40">
      <w:pPr>
        <w:autoSpaceDE w:val="0"/>
        <w:autoSpaceDN w:val="0"/>
        <w:adjustRightInd w:val="0"/>
        <w:ind w:left="630"/>
        <w:jc w:val="both"/>
        <w:rPr>
          <w:rFonts w:cs="Arial"/>
          <w:color w:val="984806" w:themeColor="accent6" w:themeShade="80"/>
          <w:sz w:val="20"/>
        </w:rPr>
      </w:pPr>
    </w:p>
    <w:p w:rsidR="00CA34ED" w:rsidRPr="00412620" w:rsidRDefault="00CA34ED" w:rsidP="00CA34ED">
      <w:pPr>
        <w:jc w:val="both"/>
        <w:rPr>
          <w:rFonts w:cs="Arial"/>
          <w:sz w:val="20"/>
        </w:rPr>
      </w:pPr>
      <w:r w:rsidRPr="00412620">
        <w:rPr>
          <w:rFonts w:cs="Arial"/>
          <w:sz w:val="20"/>
        </w:rPr>
        <w:tab/>
      </w:r>
      <w:r w:rsidR="00521673" w:rsidRPr="00412620">
        <w:rPr>
          <w:rStyle w:val="FootnoteReference"/>
          <w:rFonts w:cs="Arial"/>
          <w:sz w:val="20"/>
        </w:rPr>
        <w:footnoteReference w:id="670"/>
      </w:r>
      <w:r w:rsidRPr="00412620">
        <w:rPr>
          <w:rFonts w:cs="Arial"/>
          <w:sz w:val="20"/>
        </w:rPr>
        <w:t>[(3)</w:t>
      </w:r>
      <w:r w:rsidRPr="00412620">
        <w:rPr>
          <w:rFonts w:cs="Arial"/>
          <w:sz w:val="20"/>
        </w:rPr>
        <w:tab/>
        <w:t xml:space="preserve">A return of income for any person (other than a company), </w:t>
      </w:r>
      <w:r w:rsidR="00301359" w:rsidRPr="00412620">
        <w:rPr>
          <w:rStyle w:val="FootnoteReference"/>
          <w:rFonts w:cs="Arial"/>
          <w:sz w:val="20"/>
        </w:rPr>
        <w:footnoteReference w:id="671"/>
      </w:r>
      <w:r w:rsidR="00301359" w:rsidRPr="00412620">
        <w:rPr>
          <w:rFonts w:cs="Arial"/>
          <w:sz w:val="20"/>
        </w:rPr>
        <w:t xml:space="preserve">[  ] </w:t>
      </w:r>
      <w:r w:rsidRPr="00412620">
        <w:rPr>
          <w:rFonts w:cs="Arial"/>
          <w:sz w:val="20"/>
        </w:rPr>
        <w:t>or a statement required under sub-section (4) of section 115 shall be furnished as per the following schedule, namely:</w:t>
      </w:r>
      <w:r w:rsidR="001D7F30" w:rsidRPr="00412620">
        <w:rPr>
          <w:rFonts w:cs="Arial"/>
          <w:sz w:val="20"/>
        </w:rPr>
        <w:t>—</w:t>
      </w:r>
    </w:p>
    <w:p w:rsidR="00CA34ED" w:rsidRPr="00D931EC" w:rsidRDefault="00CA34ED" w:rsidP="00CA34ED">
      <w:pPr>
        <w:rPr>
          <w:rFonts w:cs="Arial"/>
          <w:sz w:val="16"/>
        </w:rPr>
      </w:pPr>
    </w:p>
    <w:p w:rsidR="00E51617" w:rsidRPr="00412620" w:rsidRDefault="00AB5D13" w:rsidP="00AB5D13">
      <w:pPr>
        <w:ind w:left="1634" w:hanging="539"/>
        <w:jc w:val="both"/>
        <w:rPr>
          <w:rFonts w:cs="Arial"/>
          <w:sz w:val="20"/>
        </w:rPr>
      </w:pPr>
      <w:r w:rsidRPr="00412620">
        <w:rPr>
          <w:rStyle w:val="FootnoteReference"/>
          <w:rFonts w:cs="Arial"/>
          <w:sz w:val="20"/>
        </w:rPr>
        <w:footnoteReference w:id="672"/>
      </w:r>
      <w:r w:rsidR="00E51617" w:rsidRPr="00412620">
        <w:rPr>
          <w:rFonts w:cs="Arial"/>
          <w:sz w:val="20"/>
        </w:rPr>
        <w:t xml:space="preserve">[(a) </w:t>
      </w:r>
      <w:r w:rsidR="00E51617" w:rsidRPr="00412620">
        <w:rPr>
          <w:rFonts w:cs="Arial"/>
          <w:sz w:val="20"/>
        </w:rPr>
        <w:tab/>
      </w:r>
      <w:r w:rsidR="009760FD" w:rsidRPr="00412620">
        <w:rPr>
          <w:rFonts w:cs="Arial"/>
          <w:sz w:val="20"/>
        </w:rPr>
        <w:t xml:space="preserve">in the case of a statement required under sub-section (4) of section 115 or a return required to be filed through e-portal in </w:t>
      </w:r>
      <w:r w:rsidR="009760FD" w:rsidRPr="00412620">
        <w:rPr>
          <w:rFonts w:cs="Arial"/>
          <w:sz w:val="20"/>
        </w:rPr>
        <w:lastRenderedPageBreak/>
        <w:t>the case of a salaried individual, on or before the 31</w:t>
      </w:r>
      <w:r w:rsidR="009760FD" w:rsidRPr="00412620">
        <w:rPr>
          <w:rFonts w:cs="Arial"/>
          <w:sz w:val="20"/>
          <w:vertAlign w:val="superscript"/>
        </w:rPr>
        <w:t>st</w:t>
      </w:r>
      <w:r w:rsidR="009760FD" w:rsidRPr="00412620">
        <w:rPr>
          <w:rFonts w:cs="Arial"/>
          <w:sz w:val="20"/>
        </w:rPr>
        <w:t>day of August next following the end of the tax year to which the statement or return relates; or]</w:t>
      </w:r>
    </w:p>
    <w:p w:rsidR="00CA34ED" w:rsidRPr="00D931EC" w:rsidRDefault="00CA34ED" w:rsidP="00CA34ED">
      <w:pPr>
        <w:jc w:val="both"/>
        <w:rPr>
          <w:rFonts w:cs="Arial"/>
          <w:sz w:val="16"/>
        </w:rPr>
      </w:pPr>
    </w:p>
    <w:p w:rsidR="00CA34ED" w:rsidRPr="00412620" w:rsidRDefault="00CA34ED" w:rsidP="00CA34ED">
      <w:pPr>
        <w:ind w:left="1634" w:hanging="540"/>
        <w:jc w:val="both"/>
        <w:rPr>
          <w:rFonts w:cs="Arial"/>
          <w:sz w:val="20"/>
        </w:rPr>
      </w:pPr>
      <w:r w:rsidRPr="00412620">
        <w:rPr>
          <w:rFonts w:cs="Arial"/>
          <w:sz w:val="20"/>
        </w:rPr>
        <w:t>(b)</w:t>
      </w:r>
      <w:r w:rsidRPr="00412620">
        <w:rPr>
          <w:rFonts w:cs="Arial"/>
          <w:sz w:val="20"/>
        </w:rPr>
        <w:tab/>
        <w:t>in the case of a return of income for any person (other than a company), as described under clause (a), on or before the 30th day of September next following the end of the tax year to which the return relates.</w:t>
      </w:r>
      <w:r w:rsidR="00F07E9B" w:rsidRPr="00412620">
        <w:rPr>
          <w:rFonts w:cs="Arial"/>
          <w:sz w:val="20"/>
        </w:rPr>
        <w:t>]</w:t>
      </w:r>
      <w:r w:rsidRPr="00412620">
        <w:rPr>
          <w:rFonts w:cs="Arial"/>
          <w:sz w:val="20"/>
        </w:rPr>
        <w:tab/>
      </w:r>
    </w:p>
    <w:p w:rsidR="006A3F93" w:rsidRPr="00D931EC" w:rsidRDefault="006A3F93">
      <w:pPr>
        <w:jc w:val="both"/>
        <w:rPr>
          <w:rFonts w:cs="Arial"/>
          <w:sz w:val="16"/>
        </w:rPr>
      </w:pPr>
    </w:p>
    <w:p w:rsidR="006A3F93" w:rsidRPr="00412620" w:rsidRDefault="006A3F93">
      <w:pPr>
        <w:jc w:val="both"/>
        <w:rPr>
          <w:rFonts w:cs="Arial"/>
          <w:sz w:val="20"/>
        </w:rPr>
      </w:pPr>
      <w:r w:rsidRPr="00412620">
        <w:rPr>
          <w:rFonts w:cs="Arial"/>
          <w:sz w:val="20"/>
        </w:rPr>
        <w:tab/>
        <w:t>(4)</w:t>
      </w:r>
      <w:r w:rsidRPr="00412620">
        <w:rPr>
          <w:rFonts w:cs="Arial"/>
          <w:sz w:val="20"/>
        </w:rPr>
        <w:tab/>
        <w:t>A wealth statement shall be furnished by the due date specified in the notice requiring the person to furnish such statement or, where the person is required to furnish the wealth statement for a tax year under sub-section (2) of section 116, by the due date for furnishing the return of income for that year.</w:t>
      </w:r>
    </w:p>
    <w:p w:rsidR="006A3F93" w:rsidRPr="00D931EC" w:rsidRDefault="006A3F93">
      <w:pPr>
        <w:jc w:val="both"/>
        <w:rPr>
          <w:rFonts w:cs="Arial"/>
          <w:sz w:val="16"/>
        </w:rPr>
      </w:pPr>
    </w:p>
    <w:p w:rsidR="006A3F93" w:rsidRPr="00412620" w:rsidRDefault="006A3F93">
      <w:pPr>
        <w:jc w:val="both"/>
        <w:rPr>
          <w:rFonts w:cs="Arial"/>
          <w:sz w:val="20"/>
        </w:rPr>
      </w:pPr>
      <w:r w:rsidRPr="00412620">
        <w:rPr>
          <w:rFonts w:cs="Arial"/>
          <w:sz w:val="20"/>
        </w:rPr>
        <w:tab/>
        <w:t>(5)</w:t>
      </w:r>
      <w:r w:rsidRPr="00412620">
        <w:rPr>
          <w:rFonts w:cs="Arial"/>
          <w:sz w:val="20"/>
        </w:rPr>
        <w:tab/>
        <w:t>A return required to be furnished by a notice issued under section 117 shall be furnished by the due date specified in the notice.</w:t>
      </w:r>
    </w:p>
    <w:p w:rsidR="006A3F93" w:rsidRPr="00D931EC" w:rsidRDefault="006A3F93">
      <w:pPr>
        <w:jc w:val="both"/>
        <w:rPr>
          <w:rFonts w:cs="Arial"/>
          <w:sz w:val="16"/>
        </w:rPr>
      </w:pPr>
    </w:p>
    <w:p w:rsidR="00D931EC" w:rsidRDefault="006A3F93">
      <w:pPr>
        <w:jc w:val="both"/>
        <w:rPr>
          <w:rFonts w:cs="Arial"/>
          <w:sz w:val="20"/>
        </w:rPr>
      </w:pPr>
      <w:r w:rsidRPr="00412620">
        <w:rPr>
          <w:rFonts w:cs="Arial"/>
          <w:sz w:val="20"/>
        </w:rPr>
        <w:tab/>
        <w:t>(6)</w:t>
      </w:r>
      <w:r w:rsidRPr="00412620">
        <w:rPr>
          <w:rFonts w:cs="Arial"/>
          <w:sz w:val="20"/>
        </w:rPr>
        <w:tab/>
        <w:t xml:space="preserve">Where a taxpayer is not borne on the National Tax Number Register and fails to file an application in the prescribed form and manner with the taxpayer’s return of income </w:t>
      </w:r>
      <w:r w:rsidR="00A35A66" w:rsidRPr="00412620">
        <w:rPr>
          <w:rStyle w:val="FootnoteReference"/>
          <w:rFonts w:cs="Arial"/>
          <w:sz w:val="20"/>
        </w:rPr>
        <w:footnoteReference w:id="673"/>
      </w:r>
      <w:r w:rsidR="00A35A66" w:rsidRPr="00412620">
        <w:rPr>
          <w:rFonts w:cs="Arial"/>
          <w:sz w:val="20"/>
        </w:rPr>
        <w:t>[  ]</w:t>
      </w:r>
      <w:r w:rsidRPr="00412620">
        <w:rPr>
          <w:rFonts w:cs="Arial"/>
          <w:sz w:val="20"/>
        </w:rPr>
        <w:t xml:space="preserve">, such return </w:t>
      </w:r>
      <w:r w:rsidR="00A35A66" w:rsidRPr="00412620">
        <w:rPr>
          <w:rStyle w:val="FootnoteReference"/>
          <w:rFonts w:cs="Arial"/>
          <w:sz w:val="20"/>
        </w:rPr>
        <w:footnoteReference w:id="674"/>
      </w:r>
      <w:r w:rsidR="00A35A66" w:rsidRPr="00412620">
        <w:rPr>
          <w:rFonts w:cs="Arial"/>
          <w:sz w:val="20"/>
        </w:rPr>
        <w:t xml:space="preserve">[  ] </w:t>
      </w:r>
      <w:r w:rsidRPr="00412620">
        <w:rPr>
          <w:rFonts w:cs="Arial"/>
          <w:sz w:val="20"/>
        </w:rPr>
        <w:t>shall not be treated as a return</w:t>
      </w:r>
      <w:r w:rsidR="00FD1600">
        <w:rPr>
          <w:rFonts w:cs="Arial"/>
          <w:sz w:val="20"/>
        </w:rPr>
        <w:t xml:space="preserve"> </w:t>
      </w:r>
      <w:r w:rsidR="00A35A66" w:rsidRPr="00412620">
        <w:rPr>
          <w:rStyle w:val="FootnoteReference"/>
          <w:rFonts w:cs="Arial"/>
          <w:sz w:val="20"/>
        </w:rPr>
        <w:footnoteReference w:id="675"/>
      </w:r>
      <w:r w:rsidR="00A35A66" w:rsidRPr="00412620">
        <w:rPr>
          <w:rFonts w:cs="Arial"/>
          <w:sz w:val="20"/>
        </w:rPr>
        <w:t xml:space="preserve">[  ] </w:t>
      </w:r>
      <w:r w:rsidRPr="00412620">
        <w:rPr>
          <w:rFonts w:cs="Arial"/>
          <w:sz w:val="20"/>
        </w:rPr>
        <w:t>furnished under this section.</w:t>
      </w:r>
    </w:p>
    <w:p w:rsidR="00FD1600" w:rsidRDefault="00FD1600">
      <w:pPr>
        <w:jc w:val="both"/>
        <w:rPr>
          <w:rFonts w:cs="Arial"/>
          <w:sz w:val="20"/>
        </w:rPr>
      </w:pPr>
    </w:p>
    <w:p w:rsidR="006A3F93" w:rsidRPr="00412620" w:rsidRDefault="006A3F93">
      <w:pPr>
        <w:jc w:val="both"/>
        <w:rPr>
          <w:sz w:val="20"/>
        </w:rPr>
      </w:pPr>
      <w:r w:rsidRPr="00412620">
        <w:rPr>
          <w:rFonts w:cs="Arial"/>
          <w:b/>
          <w:sz w:val="20"/>
        </w:rPr>
        <w:t>119.</w:t>
      </w:r>
      <w:r w:rsidRPr="00412620">
        <w:rPr>
          <w:rFonts w:cs="Arial"/>
          <w:b/>
          <w:sz w:val="20"/>
        </w:rPr>
        <w:tab/>
        <w:t>Extension of time for furnishing returns and other documents.</w:t>
      </w:r>
      <w:r w:rsidR="00DA6124" w:rsidRPr="00412620">
        <w:rPr>
          <w:rFonts w:cs="Arial"/>
          <w:sz w:val="20"/>
        </w:rPr>
        <w:t>—</w:t>
      </w:r>
      <w:r w:rsidRPr="00412620">
        <w:rPr>
          <w:sz w:val="20"/>
        </w:rPr>
        <w:t xml:space="preserve"> (1)  A person required to furnish </w:t>
      </w:r>
      <w:r w:rsidR="00EF2893" w:rsidRPr="00412620">
        <w:rPr>
          <w:rFonts w:cs="Arial"/>
          <w:sz w:val="20"/>
        </w:rPr>
        <w:t>—</w:t>
      </w:r>
    </w:p>
    <w:p w:rsidR="006A3F93" w:rsidRPr="00412620" w:rsidRDefault="006A3F93">
      <w:pPr>
        <w:pStyle w:val="Header"/>
        <w:tabs>
          <w:tab w:val="left" w:pos="547"/>
        </w:tabs>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 return of income under section 114 or 117;</w:t>
      </w:r>
    </w:p>
    <w:p w:rsidR="006A3F93" w:rsidRPr="00412620" w:rsidRDefault="006A3F93">
      <w:pPr>
        <w:jc w:val="both"/>
        <w:rPr>
          <w:rFonts w:cs="Arial"/>
          <w:sz w:val="20"/>
        </w:rPr>
      </w:pPr>
    </w:p>
    <w:p w:rsidR="004A28D4" w:rsidRPr="00412620" w:rsidRDefault="004A28D4">
      <w:pPr>
        <w:jc w:val="both"/>
        <w:rPr>
          <w:rFonts w:cs="Arial"/>
          <w:sz w:val="20"/>
        </w:rPr>
      </w:pPr>
      <w:r w:rsidRPr="00412620">
        <w:rPr>
          <w:rFonts w:cs="Arial"/>
          <w:sz w:val="20"/>
        </w:rPr>
        <w:tab/>
      </w:r>
      <w:r w:rsidRPr="00412620">
        <w:rPr>
          <w:rFonts w:cs="Arial"/>
          <w:sz w:val="20"/>
        </w:rPr>
        <w:tab/>
      </w:r>
      <w:r w:rsidRPr="00412620">
        <w:rPr>
          <w:rStyle w:val="FootnoteReference"/>
          <w:rFonts w:cs="Arial"/>
          <w:sz w:val="20"/>
        </w:rPr>
        <w:footnoteReference w:id="676"/>
      </w:r>
      <w:r w:rsidRPr="00412620">
        <w:rPr>
          <w:rFonts w:cs="Arial"/>
          <w:sz w:val="20"/>
        </w:rPr>
        <w:t>[  ]</w:t>
      </w:r>
    </w:p>
    <w:p w:rsidR="004A28D4" w:rsidRPr="00412620" w:rsidRDefault="004A28D4">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 statement required under sub-section (4) of section 115;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a wealth statement under section 116,</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 xml:space="preserve">may apply, in writing, to the Commissioner for an extension of time to furnish the return, </w:t>
      </w:r>
      <w:r w:rsidR="001B2D30" w:rsidRPr="00412620">
        <w:rPr>
          <w:rStyle w:val="FootnoteReference"/>
          <w:rFonts w:cs="Arial"/>
          <w:sz w:val="20"/>
        </w:rPr>
        <w:footnoteReference w:id="677"/>
      </w:r>
      <w:r w:rsidR="001B2D30" w:rsidRPr="00412620">
        <w:rPr>
          <w:rFonts w:cs="Arial"/>
          <w:sz w:val="20"/>
        </w:rPr>
        <w:t>[  ]</w:t>
      </w:r>
      <w:r w:rsidRPr="00412620">
        <w:rPr>
          <w:rFonts w:cs="Arial"/>
          <w:sz w:val="20"/>
        </w:rPr>
        <w:t xml:space="preserve"> or statement, as the case may be.</w:t>
      </w:r>
    </w:p>
    <w:p w:rsidR="00FC1968" w:rsidRPr="00412620" w:rsidRDefault="00FC1968">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An application under sub-section (1) shall be made by the due date for furnishing the return of income, </w:t>
      </w:r>
      <w:r w:rsidR="00367872" w:rsidRPr="00412620">
        <w:rPr>
          <w:rStyle w:val="FootnoteReference"/>
          <w:rFonts w:cs="Arial"/>
          <w:sz w:val="20"/>
        </w:rPr>
        <w:footnoteReference w:id="678"/>
      </w:r>
      <w:r w:rsidR="00367872" w:rsidRPr="00412620">
        <w:rPr>
          <w:rFonts w:cs="Arial"/>
          <w:sz w:val="20"/>
        </w:rPr>
        <w:t>[  ]</w:t>
      </w:r>
      <w:r w:rsidRPr="00412620">
        <w:rPr>
          <w:rFonts w:cs="Arial"/>
          <w:sz w:val="20"/>
        </w:rPr>
        <w:t xml:space="preserve"> or </w:t>
      </w:r>
      <w:r w:rsidRPr="00412620">
        <w:rPr>
          <w:rStyle w:val="FootnoteReference"/>
          <w:rFonts w:cs="Arial"/>
          <w:sz w:val="20"/>
        </w:rPr>
        <w:footnoteReference w:id="679"/>
      </w:r>
      <w:r w:rsidRPr="00412620">
        <w:rPr>
          <w:rFonts w:cs="Arial"/>
          <w:sz w:val="20"/>
        </w:rPr>
        <w:t>[  ] statement to which the application relates.</w:t>
      </w:r>
    </w:p>
    <w:p w:rsidR="0001357C" w:rsidRPr="00412620" w:rsidRDefault="0001357C">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Where an application has been made under sub-section (1) and the Commissioner is satisfied that the applicant is unable to furnish the return of income, </w:t>
      </w:r>
      <w:r w:rsidR="00664E4F" w:rsidRPr="00412620">
        <w:rPr>
          <w:rStyle w:val="FootnoteReference"/>
          <w:rFonts w:cs="Arial"/>
          <w:sz w:val="20"/>
        </w:rPr>
        <w:footnoteReference w:id="680"/>
      </w:r>
      <w:r w:rsidR="00664E4F" w:rsidRPr="00412620">
        <w:rPr>
          <w:rFonts w:cs="Arial"/>
          <w:sz w:val="20"/>
        </w:rPr>
        <w:t>[ ]</w:t>
      </w:r>
      <w:r w:rsidRPr="00412620">
        <w:rPr>
          <w:rFonts w:cs="Arial"/>
          <w:sz w:val="20"/>
        </w:rPr>
        <w:t xml:space="preserve"> or </w:t>
      </w:r>
      <w:r w:rsidRPr="00412620">
        <w:rPr>
          <w:rStyle w:val="FootnoteReference"/>
          <w:rFonts w:cs="Arial"/>
          <w:sz w:val="20"/>
        </w:rPr>
        <w:footnoteReference w:id="681"/>
      </w:r>
      <w:r w:rsidRPr="00412620">
        <w:rPr>
          <w:rFonts w:cs="Arial"/>
          <w:sz w:val="20"/>
        </w:rPr>
        <w:t xml:space="preserve">[ ] statement to which the application relates by the due date because of </w:t>
      </w:r>
      <w:r w:rsidR="004456C3" w:rsidRPr="00412620">
        <w:rPr>
          <w:rFonts w:cs="Arial"/>
          <w:sz w:val="20"/>
        </w:rPr>
        <w:t>—</w:t>
      </w:r>
    </w:p>
    <w:p w:rsidR="004456C3" w:rsidRPr="00412620" w:rsidRDefault="004456C3">
      <w:pPr>
        <w:ind w:left="1620" w:hanging="540"/>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absence from Pakistan;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sickness or other misadventure;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any other reasonable cause,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 xml:space="preserve">the Commissioner may, by </w:t>
      </w:r>
      <w:r w:rsidRPr="00412620">
        <w:rPr>
          <w:rStyle w:val="FootnoteReference"/>
          <w:rFonts w:cs="Arial"/>
          <w:sz w:val="20"/>
        </w:rPr>
        <w:footnoteReference w:id="682"/>
      </w:r>
      <w:r w:rsidRPr="00412620">
        <w:rPr>
          <w:rFonts w:cs="Arial"/>
          <w:sz w:val="20"/>
        </w:rPr>
        <w:t xml:space="preserve">[order], in writing, grant the applicant an extension of time for furnishing the return, </w:t>
      </w:r>
      <w:r w:rsidR="00664E4F" w:rsidRPr="00412620">
        <w:rPr>
          <w:rStyle w:val="FootnoteReference"/>
          <w:rFonts w:cs="Arial"/>
          <w:sz w:val="20"/>
        </w:rPr>
        <w:footnoteReference w:id="683"/>
      </w:r>
      <w:r w:rsidR="00664E4F" w:rsidRPr="00412620">
        <w:rPr>
          <w:rFonts w:cs="Arial"/>
          <w:sz w:val="20"/>
        </w:rPr>
        <w:t>[  ]</w:t>
      </w:r>
      <w:r w:rsidRPr="00412620">
        <w:rPr>
          <w:rFonts w:cs="Arial"/>
          <w:sz w:val="20"/>
        </w:rPr>
        <w:t xml:space="preserve"> or statement, as the case may be.</w:t>
      </w:r>
    </w:p>
    <w:p w:rsidR="00FC1968" w:rsidRPr="00412620" w:rsidRDefault="00FC1968">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An extension of time under sub-section (3) should not exceed fifteen days from the due date for furnishing the return of income, employer’s certificate, or </w:t>
      </w:r>
      <w:r w:rsidRPr="00412620">
        <w:rPr>
          <w:rStyle w:val="FootnoteReference"/>
          <w:rFonts w:cs="Arial"/>
          <w:sz w:val="20"/>
        </w:rPr>
        <w:footnoteReference w:id="684"/>
      </w:r>
      <w:r w:rsidRPr="00412620">
        <w:rPr>
          <w:rFonts w:cs="Arial"/>
          <w:sz w:val="20"/>
        </w:rPr>
        <w:t xml:space="preserve">[ ] statement, as the case may be, unless there are exceptional circumstances justifying a longer extension of time. </w:t>
      </w:r>
    </w:p>
    <w:p w:rsidR="00FC1968" w:rsidRPr="00412620" w:rsidRDefault="00FC1968">
      <w:pPr>
        <w:jc w:val="both"/>
        <w:rPr>
          <w:rFonts w:cs="Arial"/>
          <w:sz w:val="20"/>
        </w:rPr>
      </w:pPr>
    </w:p>
    <w:p w:rsidR="006A3F93" w:rsidRPr="00412620" w:rsidRDefault="006A3F93">
      <w:pPr>
        <w:pStyle w:val="BodyText3"/>
        <w:widowControl/>
        <w:rPr>
          <w:rFonts w:ascii="Arial" w:hAnsi="Arial"/>
          <w:strike/>
          <w:sz w:val="20"/>
          <w:lang w:val="en-AU"/>
        </w:rPr>
      </w:pPr>
      <w:r w:rsidRPr="00412620">
        <w:rPr>
          <w:rFonts w:ascii="Arial" w:hAnsi="Arial"/>
          <w:sz w:val="20"/>
          <w:lang w:val="en-AU"/>
        </w:rPr>
        <w:tab/>
      </w:r>
      <w:r w:rsidRPr="00412620">
        <w:rPr>
          <w:rStyle w:val="FootnoteReference"/>
          <w:rFonts w:ascii="Arial" w:hAnsi="Arial"/>
          <w:sz w:val="20"/>
          <w:lang w:val="en-AU"/>
        </w:rPr>
        <w:footnoteReference w:id="685"/>
      </w:r>
      <w:r w:rsidRPr="00412620">
        <w:rPr>
          <w:rFonts w:ascii="Arial" w:hAnsi="Arial"/>
          <w:sz w:val="20"/>
          <w:lang w:val="en-AU"/>
        </w:rPr>
        <w:t>[  ]</w:t>
      </w:r>
    </w:p>
    <w:p w:rsidR="00FC1968" w:rsidRPr="00412620" w:rsidRDefault="00FC1968">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An extension of time granted under sub-section (3) shall not </w:t>
      </w:r>
      <w:r w:rsidRPr="00412620">
        <w:rPr>
          <w:rStyle w:val="FootnoteReference"/>
          <w:rFonts w:cs="Arial"/>
          <w:sz w:val="20"/>
        </w:rPr>
        <w:footnoteReference w:id="686"/>
      </w:r>
      <w:r w:rsidRPr="00412620">
        <w:rPr>
          <w:rFonts w:cs="Arial"/>
          <w:sz w:val="20"/>
        </w:rPr>
        <w:t xml:space="preserve">[, for the purpose of charge of </w:t>
      </w:r>
      <w:r w:rsidR="003F5E12" w:rsidRPr="00412620">
        <w:rPr>
          <w:rStyle w:val="FootnoteReference"/>
          <w:rFonts w:cs="Arial"/>
          <w:sz w:val="20"/>
        </w:rPr>
        <w:footnoteReference w:id="687"/>
      </w:r>
      <w:r w:rsidR="003F5E12" w:rsidRPr="00412620">
        <w:rPr>
          <w:rFonts w:cs="Arial"/>
          <w:sz w:val="20"/>
        </w:rPr>
        <w:t>[</w:t>
      </w:r>
      <w:r w:rsidR="000C6B74" w:rsidRPr="00412620">
        <w:rPr>
          <w:rFonts w:cs="Arial"/>
          <w:sz w:val="20"/>
        </w:rPr>
        <w:t>default surcharge</w:t>
      </w:r>
      <w:r w:rsidR="003F5E12" w:rsidRPr="00412620">
        <w:rPr>
          <w:rFonts w:cs="Arial"/>
          <w:sz w:val="20"/>
        </w:rPr>
        <w:t>]</w:t>
      </w:r>
      <w:r w:rsidR="00FD1600">
        <w:rPr>
          <w:rFonts w:cs="Arial"/>
          <w:sz w:val="20"/>
        </w:rPr>
        <w:t xml:space="preserve"> </w:t>
      </w:r>
      <w:r w:rsidRPr="00412620">
        <w:rPr>
          <w:rFonts w:cs="Arial"/>
          <w:sz w:val="20"/>
        </w:rPr>
        <w:t>under sub-section (1) of section 205,]</w:t>
      </w:r>
      <w:r w:rsidR="00FD1600">
        <w:rPr>
          <w:rFonts w:cs="Arial"/>
          <w:sz w:val="20"/>
        </w:rPr>
        <w:t xml:space="preserve"> </w:t>
      </w:r>
      <w:r w:rsidRPr="00412620">
        <w:rPr>
          <w:rFonts w:cs="Arial"/>
          <w:sz w:val="20"/>
        </w:rPr>
        <w:t>change the due date for payment of income tax under section 137.</w:t>
      </w:r>
    </w:p>
    <w:p w:rsidR="006A3F93" w:rsidRPr="00412620" w:rsidRDefault="006A3F93">
      <w:pPr>
        <w:pStyle w:val="Heading8"/>
        <w:keepNext w:val="0"/>
        <w:jc w:val="left"/>
        <w:rPr>
          <w:rFonts w:cs="Arial"/>
          <w:i w:val="0"/>
          <w:sz w:val="20"/>
        </w:rPr>
      </w:pPr>
    </w:p>
    <w:p w:rsidR="006A3F93" w:rsidRPr="00412620" w:rsidRDefault="000312BC">
      <w:pPr>
        <w:pStyle w:val="Heading8"/>
        <w:rPr>
          <w:rFonts w:cs="Arial"/>
          <w:i w:val="0"/>
          <w:sz w:val="32"/>
          <w:szCs w:val="32"/>
        </w:rPr>
      </w:pPr>
      <w:r w:rsidRPr="00412620">
        <w:rPr>
          <w:rFonts w:cs="Arial"/>
          <w:i w:val="0"/>
          <w:sz w:val="32"/>
          <w:szCs w:val="32"/>
        </w:rPr>
        <w:br w:type="page"/>
      </w:r>
      <w:r w:rsidR="006A3F93" w:rsidRPr="00412620">
        <w:rPr>
          <w:rFonts w:cs="Arial"/>
          <w:i w:val="0"/>
          <w:sz w:val="32"/>
          <w:szCs w:val="32"/>
        </w:rPr>
        <w:lastRenderedPageBreak/>
        <w:t>PART II</w:t>
      </w:r>
    </w:p>
    <w:p w:rsidR="006A3F93" w:rsidRPr="00412620" w:rsidRDefault="006A3F93">
      <w:pPr>
        <w:keepNext/>
        <w:jc w:val="center"/>
        <w:rPr>
          <w:rFonts w:cs="Arial"/>
          <w:b/>
          <w:sz w:val="20"/>
        </w:rPr>
      </w:pPr>
      <w:r w:rsidRPr="00412620">
        <w:rPr>
          <w:rFonts w:cs="Arial"/>
          <w:b/>
          <w:sz w:val="20"/>
        </w:rPr>
        <w:t>ASSESSMENTS</w:t>
      </w:r>
    </w:p>
    <w:p w:rsidR="006A3F93" w:rsidRPr="00412620" w:rsidRDefault="006A3F93">
      <w:pPr>
        <w:pStyle w:val="CommentText"/>
        <w:keepNext/>
        <w:rPr>
          <w:rFonts w:cs="Arial"/>
          <w:bCs/>
        </w:rPr>
      </w:pPr>
    </w:p>
    <w:p w:rsidR="006A3F93" w:rsidRPr="00412620" w:rsidRDefault="006A3F93">
      <w:pPr>
        <w:jc w:val="both"/>
        <w:rPr>
          <w:sz w:val="20"/>
        </w:rPr>
      </w:pPr>
      <w:r w:rsidRPr="00B73853">
        <w:rPr>
          <w:rStyle w:val="FootnoteReference"/>
          <w:rFonts w:cs="Arial"/>
          <w:sz w:val="20"/>
        </w:rPr>
        <w:footnoteReference w:id="688"/>
      </w:r>
      <w:r w:rsidRPr="00412620">
        <w:rPr>
          <w:b/>
          <w:sz w:val="20"/>
        </w:rPr>
        <w:t>[120. Assessments.</w:t>
      </w:r>
      <w:r w:rsidR="005E2A41" w:rsidRPr="00412620">
        <w:rPr>
          <w:rFonts w:cs="Arial"/>
          <w:b/>
          <w:sz w:val="20"/>
        </w:rPr>
        <w:t>—</w:t>
      </w:r>
      <w:r w:rsidRPr="00412620">
        <w:rPr>
          <w:sz w:val="20"/>
        </w:rPr>
        <w:t>(1) Where a taxpayer has furnished a complete return of income (other than a revised return under sub-section (6) of section 114) for a tax year ending on or after the 1</w:t>
      </w:r>
      <w:r w:rsidRPr="00412620">
        <w:rPr>
          <w:sz w:val="20"/>
          <w:vertAlign w:val="superscript"/>
        </w:rPr>
        <w:t>st</w:t>
      </w:r>
      <w:r w:rsidRPr="00412620">
        <w:rPr>
          <w:sz w:val="20"/>
        </w:rPr>
        <w:t xml:space="preserve"> day of July, 2002,</w:t>
      </w:r>
      <w:r w:rsidR="00EF2893" w:rsidRPr="00412620">
        <w:rPr>
          <w:rFonts w:cs="Arial"/>
          <w:sz w:val="20"/>
        </w:rPr>
        <w:t>—</w:t>
      </w:r>
    </w:p>
    <w:p w:rsidR="006A3F93" w:rsidRPr="00412620" w:rsidRDefault="006A3F93">
      <w:pPr>
        <w:rPr>
          <w:rFonts w:cs="Arial"/>
          <w:bCs/>
          <w:sz w:val="20"/>
        </w:rPr>
      </w:pPr>
    </w:p>
    <w:p w:rsidR="006A3F93" w:rsidRPr="00412620" w:rsidRDefault="006A3F93">
      <w:pPr>
        <w:ind w:left="1641" w:hanging="546"/>
        <w:jc w:val="both"/>
        <w:rPr>
          <w:rFonts w:cs="Arial"/>
          <w:b/>
          <w:sz w:val="20"/>
        </w:rPr>
      </w:pPr>
      <w:r w:rsidRPr="00412620">
        <w:rPr>
          <w:rFonts w:cs="Arial"/>
          <w:sz w:val="20"/>
        </w:rPr>
        <w:t xml:space="preserve">(a) </w:t>
      </w:r>
      <w:r w:rsidRPr="00412620">
        <w:rPr>
          <w:rFonts w:cs="Arial"/>
          <w:sz w:val="20"/>
        </w:rPr>
        <w:tab/>
        <w:t>the Commissioner shall be taken to have made an assessment of taxable income for that tax year, and the tax due thereon, equal to those respective amounts specified in the return; and</w:t>
      </w:r>
      <w:r w:rsidRPr="00412620">
        <w:rPr>
          <w:rFonts w:cs="Arial"/>
          <w:b/>
          <w:sz w:val="20"/>
        </w:rPr>
        <w:tab/>
      </w:r>
    </w:p>
    <w:p w:rsidR="006A3F93" w:rsidRPr="00412620" w:rsidRDefault="006A3F93">
      <w:pPr>
        <w:rPr>
          <w:rFonts w:cs="Arial"/>
          <w:b/>
          <w:sz w:val="20"/>
        </w:rPr>
      </w:pPr>
    </w:p>
    <w:p w:rsidR="006A3F93" w:rsidRPr="00412620" w:rsidRDefault="006A3F93">
      <w:pPr>
        <w:ind w:left="1641" w:hanging="546"/>
        <w:jc w:val="both"/>
        <w:rPr>
          <w:rFonts w:cs="Arial"/>
          <w:sz w:val="20"/>
        </w:rPr>
      </w:pPr>
      <w:r w:rsidRPr="00412620">
        <w:rPr>
          <w:rFonts w:cs="Arial"/>
          <w:sz w:val="20"/>
        </w:rPr>
        <w:t xml:space="preserve">(b) </w:t>
      </w:r>
      <w:r w:rsidRPr="00412620">
        <w:rPr>
          <w:rFonts w:cs="Arial"/>
          <w:sz w:val="20"/>
        </w:rPr>
        <w:tab/>
        <w:t>the return shall be taken for all purposes of this Ordinance to be an assessment order issued to the taxpayer by the Commissioner on the day the return was furnished.</w:t>
      </w:r>
    </w:p>
    <w:p w:rsidR="006A3F93" w:rsidRPr="00412620" w:rsidRDefault="006A3F93">
      <w:pPr>
        <w:rPr>
          <w:rFonts w:cs="Arial"/>
          <w:bCs/>
          <w:sz w:val="20"/>
        </w:rPr>
      </w:pPr>
    </w:p>
    <w:p w:rsidR="006A3F93" w:rsidRPr="00412620" w:rsidRDefault="006A3F93">
      <w:pPr>
        <w:ind w:firstLine="180"/>
        <w:jc w:val="both"/>
        <w:rPr>
          <w:rFonts w:cs="Arial"/>
          <w:bCs/>
          <w:sz w:val="20"/>
        </w:rPr>
      </w:pPr>
      <w:r w:rsidRPr="00412620">
        <w:rPr>
          <w:rStyle w:val="FootnoteReference"/>
          <w:rFonts w:cs="Arial"/>
          <w:bCs/>
          <w:sz w:val="20"/>
        </w:rPr>
        <w:footnoteReference w:id="689"/>
      </w:r>
      <w:r w:rsidRPr="00412620">
        <w:rPr>
          <w:rFonts w:cs="Arial"/>
          <w:bCs/>
          <w:sz w:val="20"/>
        </w:rPr>
        <w:t>[(</w:t>
      </w:r>
      <w:r w:rsidR="00A458C5" w:rsidRPr="00412620">
        <w:rPr>
          <w:rFonts w:cs="Arial"/>
          <w:bCs/>
          <w:sz w:val="20"/>
        </w:rPr>
        <w:t>1A</w:t>
      </w:r>
      <w:r w:rsidRPr="00412620">
        <w:rPr>
          <w:rFonts w:cs="Arial"/>
          <w:bCs/>
          <w:sz w:val="20"/>
        </w:rPr>
        <w:t xml:space="preserve">) Notwithstanding the provisions of sub-section (1), the Commissioner may </w:t>
      </w:r>
      <w:r w:rsidR="001D0C5C" w:rsidRPr="00412620">
        <w:rPr>
          <w:rStyle w:val="FootnoteReference"/>
          <w:rFonts w:cs="Arial"/>
          <w:bCs/>
          <w:sz w:val="20"/>
        </w:rPr>
        <w:footnoteReference w:id="690"/>
      </w:r>
      <w:r w:rsidR="001D0C5C" w:rsidRPr="00412620">
        <w:rPr>
          <w:rFonts w:cs="Arial"/>
          <w:bCs/>
          <w:sz w:val="20"/>
        </w:rPr>
        <w:t xml:space="preserve">[conduct audit of the income tax affairs of a person] </w:t>
      </w:r>
      <w:r w:rsidRPr="00412620">
        <w:rPr>
          <w:rFonts w:cs="Arial"/>
          <w:bCs/>
          <w:sz w:val="20"/>
        </w:rPr>
        <w:t>under section 177 and all the provisions of that section shall apply accordingly.]</w:t>
      </w:r>
    </w:p>
    <w:p w:rsidR="006A3F93" w:rsidRPr="00412620" w:rsidRDefault="006A3F93">
      <w:pPr>
        <w:rPr>
          <w:rFonts w:cs="Arial"/>
          <w:bCs/>
          <w:sz w:val="20"/>
        </w:rPr>
      </w:pPr>
    </w:p>
    <w:p w:rsidR="006A3F93" w:rsidRPr="00412620" w:rsidRDefault="006A3F93">
      <w:pPr>
        <w:rPr>
          <w:sz w:val="20"/>
        </w:rPr>
      </w:pPr>
      <w:r w:rsidRPr="00412620">
        <w:rPr>
          <w:rFonts w:cs="Arial"/>
          <w:b/>
          <w:sz w:val="20"/>
        </w:rPr>
        <w:tab/>
      </w:r>
      <w:r w:rsidRPr="00412620">
        <w:rPr>
          <w:sz w:val="20"/>
        </w:rPr>
        <w:t xml:space="preserve">(2) </w:t>
      </w:r>
      <w:r w:rsidRPr="00412620">
        <w:rPr>
          <w:sz w:val="20"/>
        </w:rPr>
        <w:tab/>
        <w:t>A return of income shall be taken to be complete if it is in accordance with the provisions of sub-section (2) of section 114.</w:t>
      </w:r>
    </w:p>
    <w:p w:rsidR="006A3F93" w:rsidRPr="00412620" w:rsidRDefault="006A3F93">
      <w:pPr>
        <w:rPr>
          <w:rFonts w:cs="Arial"/>
          <w:bCs/>
          <w:sz w:val="20"/>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Where the return of income furnished is not complete, the Commissioner shall issue a notice to the taxpayer informing him of the deficiencies (other than incorrect amount of tax payable on taxable income, as specified in the return, or short payment of tax payable) and directing him to provide such information, particulars, statement or documents by such date specified in the notice.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lastRenderedPageBreak/>
        <w:tab/>
        <w:t xml:space="preserve">(4) </w:t>
      </w:r>
      <w:r w:rsidRPr="00412620">
        <w:rPr>
          <w:rFonts w:cs="Arial"/>
          <w:sz w:val="20"/>
        </w:rPr>
        <w:tab/>
        <w:t>Where a taxpayer fails to fully comply, by the due date, with the requirements of the notice under sub-section (3), the return furnished shall be treated as an invalid return as if it had not been furnished.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(5) </w:t>
      </w:r>
      <w:r w:rsidRPr="00412620">
        <w:rPr>
          <w:rFonts w:cs="Arial"/>
          <w:sz w:val="20"/>
        </w:rPr>
        <w:tab/>
        <w:t>Where, in response to a notice under sub-section (3), the taxpayer has, by the due date, fully complied with the requirements of the notice, the return furnished shall be treated to be complete on the day it was furnished and the provisions of sub-section (1) shall apply accordingly.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(6) </w:t>
      </w:r>
      <w:r w:rsidRPr="00412620">
        <w:rPr>
          <w:rFonts w:cs="Arial"/>
          <w:sz w:val="20"/>
        </w:rPr>
        <w:tab/>
        <w:t xml:space="preserve">No notice under sub-section (3) shall be issued after the </w:t>
      </w:r>
      <w:r w:rsidR="005D2BE5" w:rsidRPr="00412620">
        <w:rPr>
          <w:rStyle w:val="FootnoteReference"/>
          <w:rFonts w:cs="Arial"/>
          <w:sz w:val="20"/>
        </w:rPr>
        <w:footnoteReference w:id="691"/>
      </w:r>
      <w:r w:rsidR="005D2BE5" w:rsidRPr="00412620">
        <w:rPr>
          <w:rFonts w:cs="Arial"/>
          <w:sz w:val="20"/>
        </w:rPr>
        <w:t>[expiry of one hundred and eighty days from the end of the financial year in which return was furnished]</w:t>
      </w:r>
      <w:r w:rsidRPr="00412620">
        <w:rPr>
          <w:rFonts w:cs="Arial"/>
          <w:sz w:val="20"/>
        </w:rPr>
        <w:t xml:space="preserve">, and the provisions of sub-section (1) shall apply accordingly.] </w:t>
      </w:r>
    </w:p>
    <w:p w:rsidR="006A3F93" w:rsidRPr="00412620" w:rsidRDefault="006A3F93">
      <w:pPr>
        <w:jc w:val="both"/>
        <w:rPr>
          <w:rFonts w:cs="Arial"/>
          <w:b/>
          <w:sz w:val="20"/>
        </w:rPr>
      </w:pPr>
    </w:p>
    <w:p w:rsidR="008C39D4" w:rsidRPr="00412620" w:rsidRDefault="008C39D4">
      <w:pPr>
        <w:jc w:val="both"/>
        <w:rPr>
          <w:rFonts w:cs="Arial"/>
          <w:sz w:val="20"/>
        </w:rPr>
      </w:pPr>
      <w:r w:rsidRPr="00412620">
        <w:rPr>
          <w:rStyle w:val="FootnoteReference"/>
          <w:rFonts w:cs="Arial"/>
          <w:sz w:val="20"/>
        </w:rPr>
        <w:footnoteReference w:id="692"/>
      </w:r>
      <w:r w:rsidRPr="00412620">
        <w:rPr>
          <w:rFonts w:cs="Arial"/>
          <w:sz w:val="20"/>
        </w:rPr>
        <w:t xml:space="preserve">[  ] </w:t>
      </w:r>
    </w:p>
    <w:p w:rsidR="008C39D4" w:rsidRPr="00412620" w:rsidRDefault="008C39D4">
      <w:pPr>
        <w:jc w:val="both"/>
        <w:rPr>
          <w:rFonts w:cs="Arial"/>
          <w:b/>
          <w:sz w:val="20"/>
        </w:rPr>
      </w:pPr>
    </w:p>
    <w:p w:rsidR="006A3F93" w:rsidRPr="00412620" w:rsidRDefault="006A3F93">
      <w:pPr>
        <w:jc w:val="both"/>
        <w:rPr>
          <w:sz w:val="20"/>
        </w:rPr>
      </w:pPr>
      <w:r w:rsidRPr="00412620">
        <w:rPr>
          <w:rStyle w:val="FootnoteReference"/>
          <w:rFonts w:cs="Arial"/>
          <w:bCs/>
          <w:sz w:val="20"/>
        </w:rPr>
        <w:footnoteReference w:id="693"/>
      </w:r>
      <w:r w:rsidRPr="00412620">
        <w:rPr>
          <w:b/>
          <w:sz w:val="20"/>
        </w:rPr>
        <w:t>[121. Best judgement assessment.</w:t>
      </w:r>
      <w:r w:rsidR="002D444D" w:rsidRPr="00412620">
        <w:rPr>
          <w:rFonts w:cs="Arial"/>
          <w:sz w:val="20"/>
        </w:rPr>
        <w:t>—</w:t>
      </w:r>
      <w:r w:rsidRPr="00412620">
        <w:rPr>
          <w:sz w:val="20"/>
        </w:rPr>
        <w:t xml:space="preserve"> (1) Where a person fails to </w:t>
      </w:r>
      <w:r w:rsidR="00302A00" w:rsidRPr="00412620">
        <w:rPr>
          <w:rFonts w:cs="Arial"/>
          <w:sz w:val="20"/>
        </w:rPr>
        <w:t>—</w:t>
      </w:r>
    </w:p>
    <w:p w:rsidR="006A3F93" w:rsidRPr="00412620" w:rsidRDefault="006A3F93">
      <w:pPr>
        <w:jc w:val="both"/>
        <w:rPr>
          <w:rFonts w:cs="Arial"/>
          <w:sz w:val="20"/>
        </w:rPr>
      </w:pPr>
    </w:p>
    <w:p w:rsidR="006A3F93" w:rsidRPr="00412620" w:rsidRDefault="00E82510" w:rsidP="00B73853">
      <w:pPr>
        <w:ind w:left="353" w:firstLine="547"/>
        <w:jc w:val="both"/>
        <w:rPr>
          <w:rFonts w:cs="Arial"/>
          <w:sz w:val="20"/>
        </w:rPr>
      </w:pPr>
      <w:r w:rsidRPr="00412620">
        <w:rPr>
          <w:rStyle w:val="FootnoteReference"/>
          <w:rFonts w:cs="Arial"/>
          <w:sz w:val="20"/>
        </w:rPr>
        <w:lastRenderedPageBreak/>
        <w:footnoteReference w:id="694"/>
      </w:r>
      <w:r w:rsidR="003929D4" w:rsidRPr="00412620">
        <w:rPr>
          <w:rFonts w:cs="Arial"/>
          <w:sz w:val="20"/>
        </w:rPr>
        <w:t>[ ]</w:t>
      </w:r>
    </w:p>
    <w:p w:rsidR="006A3F93" w:rsidRPr="00412620" w:rsidRDefault="006A3F93">
      <w:pPr>
        <w:jc w:val="both"/>
        <w:rPr>
          <w:rFonts w:cs="Arial"/>
          <w:sz w:val="20"/>
        </w:rPr>
      </w:pPr>
    </w:p>
    <w:p w:rsidR="008A0643" w:rsidRPr="00412620" w:rsidRDefault="008A0643" w:rsidP="00ED719E">
      <w:pPr>
        <w:ind w:left="1641" w:hanging="741"/>
        <w:jc w:val="both"/>
        <w:rPr>
          <w:rFonts w:cs="Arial"/>
          <w:sz w:val="20"/>
        </w:rPr>
      </w:pPr>
      <w:r w:rsidRPr="00412620">
        <w:rPr>
          <w:rStyle w:val="FootnoteReference"/>
          <w:rFonts w:cs="Arial"/>
          <w:sz w:val="20"/>
        </w:rPr>
        <w:footnoteReference w:id="695"/>
      </w:r>
      <w:r w:rsidRPr="00412620">
        <w:rPr>
          <w:rFonts w:cs="Arial"/>
          <w:sz w:val="20"/>
        </w:rPr>
        <w:t xml:space="preserve">[(aa) </w:t>
      </w:r>
      <w:r w:rsidRPr="00412620">
        <w:rPr>
          <w:rFonts w:cs="Arial"/>
          <w:sz w:val="20"/>
        </w:rPr>
        <w:tab/>
        <w:t>furnish a statement as required by a notice under sub-section (5) of section 115; or]</w:t>
      </w:r>
    </w:p>
    <w:p w:rsidR="008A0643" w:rsidRPr="00412620" w:rsidRDefault="008A0643">
      <w:pPr>
        <w:jc w:val="both"/>
        <w:rPr>
          <w:rFonts w:cs="Arial"/>
          <w:sz w:val="20"/>
        </w:rPr>
      </w:pPr>
    </w:p>
    <w:p w:rsidR="006A3F93" w:rsidRPr="00412620" w:rsidRDefault="006A3F93">
      <w:pPr>
        <w:ind w:left="1641" w:hanging="546"/>
        <w:jc w:val="both"/>
        <w:rPr>
          <w:rFonts w:cs="Arial"/>
          <w:sz w:val="20"/>
        </w:rPr>
      </w:pPr>
      <w:r w:rsidRPr="00412620">
        <w:rPr>
          <w:rFonts w:cs="Arial"/>
          <w:sz w:val="20"/>
        </w:rPr>
        <w:t xml:space="preserve">(b) </w:t>
      </w:r>
      <w:r w:rsidRPr="00412620">
        <w:rPr>
          <w:rFonts w:cs="Arial"/>
          <w:sz w:val="20"/>
        </w:rPr>
        <w:tab/>
        <w:t>furnish a return as required under section 143 or section 144; or</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r>
      <w:r w:rsidRPr="00412620">
        <w:rPr>
          <w:rFonts w:cs="Arial"/>
          <w:sz w:val="20"/>
        </w:rPr>
        <w:tab/>
        <w:t xml:space="preserve">(c) </w:t>
      </w:r>
      <w:r w:rsidRPr="00412620">
        <w:rPr>
          <w:rFonts w:cs="Arial"/>
          <w:sz w:val="20"/>
        </w:rPr>
        <w:tab/>
        <w:t xml:space="preserve">furnish the statement as required under section 116; or </w:t>
      </w:r>
    </w:p>
    <w:p w:rsidR="006A3F93" w:rsidRPr="00412620" w:rsidRDefault="006A3F93">
      <w:pPr>
        <w:jc w:val="both"/>
        <w:rPr>
          <w:rFonts w:cs="Arial"/>
          <w:sz w:val="18"/>
        </w:rPr>
      </w:pPr>
    </w:p>
    <w:p w:rsidR="006A3F93" w:rsidRPr="000A2BDF" w:rsidRDefault="006A3F93">
      <w:pPr>
        <w:ind w:left="1641" w:hanging="546"/>
        <w:jc w:val="both"/>
        <w:rPr>
          <w:rFonts w:cs="Arial"/>
          <w:sz w:val="20"/>
        </w:rPr>
      </w:pPr>
      <w:r w:rsidRPr="00412620">
        <w:rPr>
          <w:rFonts w:cs="Arial"/>
          <w:sz w:val="20"/>
        </w:rPr>
        <w:t xml:space="preserve">(d) </w:t>
      </w:r>
      <w:r w:rsidRPr="00412620">
        <w:rPr>
          <w:rFonts w:cs="Arial"/>
          <w:sz w:val="20"/>
        </w:rPr>
        <w:tab/>
        <w:t xml:space="preserve">produce before the Commissioner, </w:t>
      </w:r>
      <w:r w:rsidRPr="006055BD">
        <w:rPr>
          <w:rFonts w:cs="Arial"/>
          <w:color w:val="000000" w:themeColor="text1"/>
          <w:sz w:val="20"/>
        </w:rPr>
        <w:t xml:space="preserve">or </w:t>
      </w:r>
      <w:r w:rsidR="00CE75D6" w:rsidRPr="006055BD">
        <w:rPr>
          <w:rStyle w:val="FootnoteReference"/>
          <w:rFonts w:cs="Arial"/>
          <w:color w:val="000000" w:themeColor="text1"/>
          <w:sz w:val="20"/>
        </w:rPr>
        <w:footnoteReference w:id="696"/>
      </w:r>
      <w:r w:rsidR="00E779B0" w:rsidRPr="006055BD">
        <w:rPr>
          <w:rFonts w:cs="Arial"/>
          <w:color w:val="000000" w:themeColor="text1"/>
          <w:sz w:val="20"/>
        </w:rPr>
        <w:t xml:space="preserve">[a special audit panel </w:t>
      </w:r>
      <w:r w:rsidR="00BC2871" w:rsidRPr="006055BD">
        <w:rPr>
          <w:rFonts w:cs="Arial"/>
          <w:color w:val="000000" w:themeColor="text1"/>
          <w:sz w:val="20"/>
        </w:rPr>
        <w:t>a</w:t>
      </w:r>
      <w:r w:rsidR="00E779B0" w:rsidRPr="006055BD">
        <w:rPr>
          <w:rFonts w:cs="Arial"/>
          <w:color w:val="000000" w:themeColor="text1"/>
          <w:sz w:val="20"/>
        </w:rPr>
        <w:t>ppointed under sub-section (11) of section 177 or]</w:t>
      </w:r>
      <w:r w:rsidR="001A2A0D" w:rsidRPr="006055BD">
        <w:rPr>
          <w:rFonts w:cs="Arial"/>
          <w:color w:val="000000" w:themeColor="text1"/>
          <w:sz w:val="20"/>
        </w:rPr>
        <w:t xml:space="preserve"> </w:t>
      </w:r>
      <w:r w:rsidRPr="006055BD">
        <w:rPr>
          <w:rFonts w:cs="Arial"/>
          <w:color w:val="000000" w:themeColor="text1"/>
          <w:sz w:val="20"/>
        </w:rPr>
        <w:t xml:space="preserve">any person employed by a firm of chartered accountants </w:t>
      </w:r>
      <w:r w:rsidR="00E43526" w:rsidRPr="006055BD">
        <w:rPr>
          <w:rStyle w:val="FootnoteReference"/>
          <w:rFonts w:cs="Arial"/>
          <w:color w:val="000000" w:themeColor="text1"/>
          <w:sz w:val="20"/>
        </w:rPr>
        <w:footnoteReference w:id="697"/>
      </w:r>
      <w:r w:rsidR="00E43526" w:rsidRPr="006055BD">
        <w:rPr>
          <w:rFonts w:cs="Arial"/>
          <w:color w:val="000000" w:themeColor="text1"/>
          <w:sz w:val="20"/>
        </w:rPr>
        <w:t>[or a</w:t>
      </w:r>
      <w:r w:rsidR="00E43526" w:rsidRPr="000A2BDF">
        <w:rPr>
          <w:rFonts w:cs="Arial"/>
          <w:sz w:val="20"/>
        </w:rPr>
        <w:t xml:space="preserve"> firm of cost and management accountants] </w:t>
      </w:r>
      <w:r w:rsidRPr="000A2BDF">
        <w:rPr>
          <w:rFonts w:cs="Arial"/>
          <w:sz w:val="20"/>
        </w:rPr>
        <w:t>under section 177, accounts, documents and records required to be maintained under section 174, or any other relevant document or evidence that may be required by him for the purpose of making assessment of income and determination of tax due thereon</w:t>
      </w:r>
      <w:r w:rsidR="006F22AD" w:rsidRPr="000A2BDF">
        <w:rPr>
          <w:rFonts w:cs="Arial"/>
          <w:sz w:val="20"/>
        </w:rPr>
        <w:t>,</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 xml:space="preserve">the Commissioner may, based on any available information or material and to the best of his judgement, make an assessment of the taxable income </w:t>
      </w:r>
      <w:r w:rsidR="00ED719E" w:rsidRPr="00412620">
        <w:rPr>
          <w:rStyle w:val="FootnoteReference"/>
          <w:rFonts w:cs="Arial"/>
          <w:sz w:val="20"/>
        </w:rPr>
        <w:footnoteReference w:id="698"/>
      </w:r>
      <w:r w:rsidR="00ED719E" w:rsidRPr="00412620">
        <w:rPr>
          <w:rFonts w:cs="Arial"/>
          <w:sz w:val="20"/>
        </w:rPr>
        <w:t xml:space="preserve">[or income] </w:t>
      </w:r>
      <w:r w:rsidRPr="00412620">
        <w:rPr>
          <w:rFonts w:cs="Arial"/>
          <w:sz w:val="20"/>
        </w:rPr>
        <w:t>of the p</w:t>
      </w:r>
      <w:r w:rsidR="006F22AD">
        <w:rPr>
          <w:rFonts w:cs="Arial"/>
          <w:sz w:val="20"/>
        </w:rPr>
        <w:t xml:space="preserve">erson and the tax due thereon </w:t>
      </w:r>
      <w:r w:rsidR="00A02813">
        <w:rPr>
          <w:rStyle w:val="FootnoteReference"/>
          <w:rFonts w:cs="Arial"/>
          <w:sz w:val="20"/>
        </w:rPr>
        <w:footnoteReference w:id="699"/>
      </w:r>
      <w:r w:rsidR="00A02813">
        <w:rPr>
          <w:rFonts w:cs="Arial"/>
          <w:sz w:val="20"/>
        </w:rPr>
        <w:t>[</w:t>
      </w:r>
      <w:r w:rsidR="006F22AD">
        <w:rPr>
          <w:rFonts w:cs="Arial"/>
          <w:sz w:val="20"/>
        </w:rPr>
        <w:t xml:space="preserve">and the </w:t>
      </w:r>
      <w:r w:rsidR="00A02813">
        <w:rPr>
          <w:rFonts w:cs="Arial"/>
          <w:sz w:val="20"/>
        </w:rPr>
        <w:t>assessment</w:t>
      </w:r>
      <w:r w:rsidR="006F22AD">
        <w:rPr>
          <w:rFonts w:cs="Arial"/>
          <w:sz w:val="20"/>
        </w:rPr>
        <w:t>, if any, treated t</w:t>
      </w:r>
      <w:r w:rsidR="00CA2621">
        <w:rPr>
          <w:rFonts w:cs="Arial"/>
          <w:sz w:val="20"/>
        </w:rPr>
        <w:t>o have been made on the basis of</w:t>
      </w:r>
      <w:r w:rsidR="006F22AD">
        <w:rPr>
          <w:rFonts w:cs="Arial"/>
          <w:sz w:val="20"/>
        </w:rPr>
        <w:t xml:space="preserve"> return or revised return file</w:t>
      </w:r>
      <w:r w:rsidR="00CA2621">
        <w:rPr>
          <w:rFonts w:cs="Arial"/>
          <w:sz w:val="20"/>
        </w:rPr>
        <w:t>d</w:t>
      </w:r>
      <w:r w:rsidR="006F22AD">
        <w:rPr>
          <w:rFonts w:cs="Arial"/>
          <w:sz w:val="20"/>
        </w:rPr>
        <w:t xml:space="preserve"> by the </w:t>
      </w:r>
      <w:r w:rsidR="00A02813">
        <w:rPr>
          <w:rFonts w:cs="Arial"/>
          <w:sz w:val="20"/>
        </w:rPr>
        <w:t>taxpayer shall be of no legal effect].</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As soon as possible after making an assessment under this section, the Commissioner shall issue the assessment order to the taxpayer stating</w:t>
      </w:r>
      <w:r w:rsidR="005D060E" w:rsidRPr="00412620">
        <w:rPr>
          <w:rFonts w:cs="Arial"/>
          <w:sz w:val="20"/>
        </w:rPr>
        <w:t>—</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r>
      <w:r w:rsidRPr="00412620">
        <w:rPr>
          <w:rFonts w:cs="Arial"/>
          <w:sz w:val="20"/>
        </w:rPr>
        <w:tab/>
        <w:t xml:space="preserve">(a) </w:t>
      </w:r>
      <w:r w:rsidRPr="00412620">
        <w:rPr>
          <w:rFonts w:cs="Arial"/>
          <w:sz w:val="20"/>
        </w:rPr>
        <w:tab/>
        <w:t>the taxable income;</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r>
      <w:r w:rsidRPr="00412620">
        <w:rPr>
          <w:rFonts w:cs="Arial"/>
          <w:sz w:val="20"/>
        </w:rPr>
        <w:tab/>
        <w:t xml:space="preserve">(b) </w:t>
      </w:r>
      <w:r w:rsidRPr="00412620">
        <w:rPr>
          <w:rFonts w:cs="Arial"/>
          <w:sz w:val="20"/>
        </w:rPr>
        <w:tab/>
        <w:t>the amount of tax due;</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r>
      <w:r w:rsidRPr="00412620">
        <w:rPr>
          <w:rFonts w:cs="Arial"/>
          <w:sz w:val="20"/>
        </w:rPr>
        <w:tab/>
        <w:t xml:space="preserve">(c) </w:t>
      </w:r>
      <w:r w:rsidRPr="00412620">
        <w:rPr>
          <w:rFonts w:cs="Arial"/>
          <w:sz w:val="20"/>
        </w:rPr>
        <w:tab/>
        <w:t xml:space="preserve">the amount of tax paid, if any; and </w:t>
      </w:r>
    </w:p>
    <w:p w:rsidR="006A3F93" w:rsidRPr="00412620" w:rsidRDefault="006A3F93">
      <w:pPr>
        <w:jc w:val="both"/>
        <w:rPr>
          <w:rFonts w:cs="Arial"/>
          <w:sz w:val="18"/>
        </w:rPr>
      </w:pPr>
    </w:p>
    <w:p w:rsidR="006A3F93" w:rsidRPr="00412620" w:rsidRDefault="006A3F93">
      <w:pPr>
        <w:ind w:left="1641" w:hanging="546"/>
        <w:jc w:val="both"/>
        <w:rPr>
          <w:rFonts w:cs="Arial"/>
          <w:sz w:val="20"/>
        </w:rPr>
      </w:pPr>
      <w:r w:rsidRPr="00412620">
        <w:rPr>
          <w:rFonts w:cs="Arial"/>
          <w:sz w:val="20"/>
        </w:rPr>
        <w:t xml:space="preserve">(d) </w:t>
      </w:r>
      <w:r w:rsidRPr="00412620">
        <w:rPr>
          <w:rFonts w:cs="Arial"/>
          <w:sz w:val="20"/>
        </w:rPr>
        <w:tab/>
        <w:t>the time, place and manner of appealing the assessment order.</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An assessment order under this section shall only be issued within five years after the end of the tax year or the income year to which it relates.]</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lastRenderedPageBreak/>
        <w:t>122.</w:t>
      </w:r>
      <w:r w:rsidRPr="00412620">
        <w:rPr>
          <w:rFonts w:cs="Arial"/>
          <w:b/>
          <w:sz w:val="20"/>
        </w:rPr>
        <w:tab/>
        <w:t>Amendment of assessments.</w:t>
      </w:r>
      <w:r w:rsidR="005D060E" w:rsidRPr="00412620">
        <w:rPr>
          <w:rFonts w:cs="Arial"/>
          <w:sz w:val="20"/>
        </w:rPr>
        <w:t>—</w:t>
      </w:r>
      <w:r w:rsidR="00B73853">
        <w:rPr>
          <w:sz w:val="20"/>
        </w:rPr>
        <w:t xml:space="preserve"> (1) </w:t>
      </w:r>
      <w:r w:rsidRPr="00412620">
        <w:rPr>
          <w:sz w:val="20"/>
        </w:rPr>
        <w:t>Subject to this section, the Commissioner may amend an assessment order treated as issued under section 120 or issued under section 121</w:t>
      </w:r>
      <w:r w:rsidR="00141DDE" w:rsidRPr="00412620">
        <w:rPr>
          <w:rStyle w:val="FootnoteReference"/>
          <w:sz w:val="20"/>
        </w:rPr>
        <w:footnoteReference w:id="700"/>
      </w:r>
      <w:r w:rsidR="00FB01FB" w:rsidRPr="00412620">
        <w:rPr>
          <w:sz w:val="20"/>
        </w:rPr>
        <w:t>[, or issued under section 122C]</w:t>
      </w:r>
      <w:r w:rsidRPr="00412620">
        <w:rPr>
          <w:b/>
          <w:sz w:val="20"/>
        </w:rPr>
        <w:t>,</w:t>
      </w:r>
      <w:r w:rsidR="006055BD">
        <w:rPr>
          <w:b/>
          <w:sz w:val="20"/>
        </w:rPr>
        <w:t xml:space="preserve"> </w:t>
      </w:r>
      <w:r w:rsidRPr="00412620">
        <w:rPr>
          <w:rStyle w:val="FootnoteReference"/>
          <w:sz w:val="20"/>
        </w:rPr>
        <w:footnoteReference w:id="701"/>
      </w:r>
      <w:r w:rsidRPr="00412620">
        <w:rPr>
          <w:sz w:val="20"/>
        </w:rPr>
        <w:t>[or</w:t>
      </w:r>
      <w:r w:rsidR="006055BD">
        <w:rPr>
          <w:sz w:val="20"/>
        </w:rPr>
        <w:t xml:space="preserve"> </w:t>
      </w:r>
      <w:r w:rsidR="00E04D78" w:rsidRPr="00BC616F">
        <w:rPr>
          <w:rStyle w:val="FootnoteReference"/>
          <w:sz w:val="20"/>
        </w:rPr>
        <w:footnoteReference w:id="702"/>
      </w:r>
      <w:r w:rsidR="00E04D78" w:rsidRPr="00BC616F">
        <w:rPr>
          <w:sz w:val="20"/>
        </w:rPr>
        <w:t>[ ]</w:t>
      </w:r>
      <w:r w:rsidRPr="00BC616F">
        <w:rPr>
          <w:sz w:val="20"/>
        </w:rPr>
        <w:t>,]</w:t>
      </w:r>
      <w:r w:rsidR="001A2A0D">
        <w:rPr>
          <w:sz w:val="20"/>
        </w:rPr>
        <w:t xml:space="preserve"> </w:t>
      </w:r>
      <w:r w:rsidRPr="00412620">
        <w:rPr>
          <w:sz w:val="20"/>
        </w:rPr>
        <w:t>by making such alterations or additions as the Commissioner considers necessary</w:t>
      </w:r>
      <w:r w:rsidR="00166E24">
        <w:rPr>
          <w:sz w:val="20"/>
        </w:rPr>
        <w:t xml:space="preserve"> </w:t>
      </w:r>
      <w:r w:rsidRPr="00412620">
        <w:rPr>
          <w:rStyle w:val="FootnoteReference"/>
          <w:sz w:val="20"/>
        </w:rPr>
        <w:footnoteReference w:id="703"/>
      </w:r>
      <w:r w:rsidRPr="00412620">
        <w:rPr>
          <w:sz w:val="20"/>
        </w:rPr>
        <w:t xml:space="preserve">[  ]. </w:t>
      </w:r>
    </w:p>
    <w:p w:rsidR="006A3F93" w:rsidRPr="00412620" w:rsidRDefault="006A3F93">
      <w:pPr>
        <w:jc w:val="both"/>
        <w:rPr>
          <w:rFonts w:cs="Arial"/>
          <w:sz w:val="22"/>
        </w:rPr>
      </w:pPr>
    </w:p>
    <w:p w:rsidR="00EC46CE" w:rsidRPr="00412620" w:rsidRDefault="00EC46CE">
      <w:pPr>
        <w:jc w:val="both"/>
        <w:rPr>
          <w:rFonts w:cs="Arial"/>
          <w:sz w:val="20"/>
        </w:rPr>
      </w:pPr>
      <w:r w:rsidRPr="00412620">
        <w:rPr>
          <w:rFonts w:cs="Arial"/>
          <w:sz w:val="20"/>
        </w:rPr>
        <w:tab/>
      </w:r>
      <w:r w:rsidRPr="00412620">
        <w:rPr>
          <w:rStyle w:val="FootnoteReference"/>
          <w:rFonts w:cs="Arial"/>
          <w:sz w:val="20"/>
        </w:rPr>
        <w:footnoteReference w:id="704"/>
      </w:r>
      <w:r w:rsidRPr="00412620">
        <w:rPr>
          <w:rFonts w:cs="Arial"/>
          <w:sz w:val="20"/>
        </w:rPr>
        <w:t xml:space="preserve">[(2) </w:t>
      </w:r>
      <w:r w:rsidRPr="00412620">
        <w:rPr>
          <w:rFonts w:cs="Arial"/>
          <w:sz w:val="20"/>
        </w:rPr>
        <w:tab/>
        <w:t>No order under sub-section (1) shall be amended by the Commissioner after the expiry of five years from the end of the financial year in which the Commissioner has issued or treated to have issued the assessment order to the taxpayer.]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a taxpayer furnishes a revised return under sub-section (6)</w:t>
      </w:r>
      <w:r w:rsidR="008974E5" w:rsidRPr="00412620">
        <w:rPr>
          <w:rStyle w:val="FootnoteReference"/>
          <w:rFonts w:cs="Arial"/>
          <w:sz w:val="20"/>
        </w:rPr>
        <w:footnoteReference w:id="705"/>
      </w:r>
      <w:r w:rsidR="008974E5" w:rsidRPr="00412620">
        <w:rPr>
          <w:rFonts w:cs="Arial"/>
          <w:sz w:val="20"/>
        </w:rPr>
        <w:t>[or (6A)]</w:t>
      </w:r>
      <w:r w:rsidRPr="00412620">
        <w:rPr>
          <w:rFonts w:cs="Arial"/>
          <w:sz w:val="20"/>
        </w:rPr>
        <w:t xml:space="preserve">of section 114 </w:t>
      </w:r>
      <w:r w:rsidR="001E2EA0"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Commissioner shall be treated as having made an amended assessment of the taxable income and tax payable thereon as set out in the revised return;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the taxpayer’s revised return shall be taken for all purposes of this Ordinance to be an amended assessment order issued to the taxpayer by the Commissioner on the day on which the revised return was furnished.</w:t>
      </w:r>
    </w:p>
    <w:p w:rsidR="0092184A" w:rsidRPr="00412620" w:rsidRDefault="0092184A">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Where an assessment order (hereinafter referred to as the “original assessment”) has been amended under sub-section (1) </w:t>
      </w:r>
      <w:r w:rsidR="000D6B12" w:rsidRPr="00412620">
        <w:rPr>
          <w:rStyle w:val="FootnoteReference"/>
          <w:rFonts w:cs="Arial"/>
          <w:sz w:val="20"/>
        </w:rPr>
        <w:footnoteReference w:id="706"/>
      </w:r>
      <w:r w:rsidR="000D6B12" w:rsidRPr="00412620">
        <w:rPr>
          <w:rFonts w:cs="Arial"/>
          <w:sz w:val="20"/>
        </w:rPr>
        <w:t xml:space="preserve">[,] (3) </w:t>
      </w:r>
      <w:r w:rsidR="000D6B12" w:rsidRPr="00412620">
        <w:rPr>
          <w:rStyle w:val="FootnoteReference"/>
          <w:rFonts w:cs="Arial"/>
          <w:sz w:val="20"/>
        </w:rPr>
        <w:footnoteReference w:id="707"/>
      </w:r>
      <w:r w:rsidR="000D6B12" w:rsidRPr="00412620">
        <w:rPr>
          <w:rFonts w:cs="Arial"/>
          <w:sz w:val="20"/>
        </w:rPr>
        <w:t>[or (5A)]</w:t>
      </w:r>
      <w:r w:rsidRPr="00412620">
        <w:rPr>
          <w:rFonts w:cs="Arial"/>
          <w:sz w:val="20"/>
        </w:rPr>
        <w:t>, the Commissioner may further amend,</w:t>
      </w:r>
      <w:r w:rsidRPr="00412620">
        <w:rPr>
          <w:rStyle w:val="FootnoteReference"/>
          <w:rFonts w:cs="Arial"/>
          <w:sz w:val="20"/>
        </w:rPr>
        <w:footnoteReference w:id="708"/>
      </w:r>
      <w:r w:rsidRPr="00412620">
        <w:rPr>
          <w:rFonts w:cs="Arial"/>
          <w:sz w:val="20"/>
        </w:rPr>
        <w:t xml:space="preserve">[as many times as may be necessary,] the original assessment within the later of </w:t>
      </w:r>
      <w:r w:rsidR="00F935CA"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(a)</w:t>
      </w:r>
      <w:r w:rsidRPr="00412620">
        <w:rPr>
          <w:rFonts w:cs="Arial"/>
          <w:sz w:val="20"/>
        </w:rPr>
        <w:tab/>
        <w:t xml:space="preserve">five years </w:t>
      </w:r>
      <w:r w:rsidR="00D46966" w:rsidRPr="00412620">
        <w:rPr>
          <w:rStyle w:val="FootnoteReference"/>
          <w:rFonts w:cs="Arial"/>
          <w:sz w:val="20"/>
        </w:rPr>
        <w:footnoteReference w:id="709"/>
      </w:r>
      <w:r w:rsidR="00D46966" w:rsidRPr="00412620">
        <w:rPr>
          <w:rFonts w:cs="Arial"/>
          <w:sz w:val="20"/>
        </w:rPr>
        <w:t xml:space="preserve">[from the end of the financial year in which] </w:t>
      </w:r>
      <w:r w:rsidRPr="00412620">
        <w:rPr>
          <w:rFonts w:cs="Arial"/>
          <w:sz w:val="20"/>
        </w:rPr>
        <w:t>the Commissioner has issued or is treated as having issued the original assessment order to the taxpayer;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one year </w:t>
      </w:r>
      <w:r w:rsidR="000166BD" w:rsidRPr="00412620">
        <w:rPr>
          <w:rStyle w:val="FootnoteReference"/>
          <w:rFonts w:cs="Arial"/>
          <w:sz w:val="20"/>
        </w:rPr>
        <w:footnoteReference w:id="710"/>
      </w:r>
      <w:r w:rsidR="000166BD" w:rsidRPr="00412620">
        <w:rPr>
          <w:rFonts w:cs="Arial"/>
          <w:sz w:val="20"/>
        </w:rPr>
        <w:t xml:space="preserve">[from the end of the financial year in which] </w:t>
      </w:r>
      <w:r w:rsidRPr="00412620">
        <w:rPr>
          <w:rFonts w:cs="Arial"/>
          <w:sz w:val="20"/>
        </w:rPr>
        <w:t>the Commissioner has issued or is treated as having issued the amended assessment order to the taxpayer.</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711"/>
      </w:r>
      <w:r w:rsidRPr="00412620">
        <w:rPr>
          <w:rFonts w:cs="Arial"/>
          <w:sz w:val="20"/>
        </w:rPr>
        <w:t>[(4A)</w:t>
      </w:r>
      <w:r w:rsidRPr="00412620">
        <w:rPr>
          <w:rFonts w:cs="Arial"/>
          <w:sz w:val="20"/>
        </w:rPr>
        <w:tab/>
        <w:t>In respect of an assessment made under the repealed Ordinance, nothing contained in sub-section (2) or, as the case may be, sub-section (4) shall be so construed as to have extended or curtailed the time limit specified in section 65 of the aforesaid Ordinance in respect of an assessment order passed under that section and the time-limit specified in that section shall apply accordingly.]</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712"/>
      </w:r>
      <w:r w:rsidRPr="00412620">
        <w:rPr>
          <w:rFonts w:cs="Arial"/>
          <w:sz w:val="20"/>
        </w:rPr>
        <w:t>[(5)</w:t>
      </w:r>
      <w:r w:rsidRPr="00412620">
        <w:rPr>
          <w:rFonts w:cs="Arial"/>
          <w:sz w:val="20"/>
        </w:rPr>
        <w:tab/>
        <w:t xml:space="preserve">An assessment order in respect of tax year, or an assessment year, shall only be amended under sub-section (1) and an amended assessment for that year shall only be further amended under sub-section (4) where, on the basis of definite information acquired from an audit or otherwise, the Commissioner is satisfied that </w:t>
      </w:r>
      <w:r w:rsidR="00060DDA" w:rsidRPr="00412620">
        <w:rPr>
          <w:rFonts w:cs="Arial"/>
          <w:bCs/>
          <w:sz w:val="20"/>
        </w:rPr>
        <w:t>—</w:t>
      </w:r>
    </w:p>
    <w:p w:rsidR="006A3F93" w:rsidRPr="00412620" w:rsidRDefault="006A3F93">
      <w:pPr>
        <w:jc w:val="both"/>
        <w:rPr>
          <w:rFonts w:cs="Arial"/>
          <w:sz w:val="20"/>
        </w:rPr>
      </w:pPr>
    </w:p>
    <w:p w:rsidR="006A3F93" w:rsidRPr="00412620" w:rsidRDefault="006A3F93">
      <w:pPr>
        <w:ind w:left="2188" w:hanging="547"/>
        <w:jc w:val="both"/>
        <w:rPr>
          <w:rFonts w:cs="Arial"/>
          <w:sz w:val="20"/>
        </w:rPr>
      </w:pPr>
      <w:r w:rsidRPr="00412620">
        <w:rPr>
          <w:rFonts w:cs="Arial"/>
          <w:sz w:val="20"/>
        </w:rPr>
        <w:t xml:space="preserve">(i) </w:t>
      </w:r>
      <w:r w:rsidRPr="00412620">
        <w:rPr>
          <w:rFonts w:cs="Arial"/>
          <w:sz w:val="20"/>
        </w:rPr>
        <w:tab/>
        <w:t>any income chargeable to tax has escaped assessment; or</w:t>
      </w:r>
    </w:p>
    <w:p w:rsidR="006A3F93" w:rsidRPr="00412620" w:rsidRDefault="006A3F93">
      <w:pPr>
        <w:jc w:val="both"/>
        <w:rPr>
          <w:rFonts w:cs="Arial"/>
          <w:sz w:val="20"/>
        </w:rPr>
      </w:pPr>
    </w:p>
    <w:p w:rsidR="006A3F93" w:rsidRPr="00412620" w:rsidRDefault="006A3F93">
      <w:pPr>
        <w:ind w:left="2188" w:hanging="547"/>
        <w:jc w:val="both"/>
        <w:rPr>
          <w:rFonts w:cs="Arial"/>
          <w:sz w:val="20"/>
        </w:rPr>
      </w:pPr>
      <w:r w:rsidRPr="00412620">
        <w:rPr>
          <w:rFonts w:cs="Arial"/>
          <w:sz w:val="20"/>
        </w:rPr>
        <w:t xml:space="preserve">(ii) </w:t>
      </w:r>
      <w:r w:rsidRPr="00412620">
        <w:rPr>
          <w:rFonts w:cs="Arial"/>
          <w:sz w:val="20"/>
        </w:rPr>
        <w:tab/>
        <w:t xml:space="preserve">total income has been under-assessed, or assessed at too low a rate, or has been the subject of excessive relief or refund; or </w:t>
      </w:r>
    </w:p>
    <w:p w:rsidR="006A3F93" w:rsidRPr="00412620" w:rsidRDefault="006A3F93">
      <w:pPr>
        <w:jc w:val="both"/>
        <w:rPr>
          <w:rFonts w:cs="Arial"/>
          <w:sz w:val="20"/>
        </w:rPr>
      </w:pPr>
    </w:p>
    <w:p w:rsidR="006A3F93" w:rsidRPr="00412620" w:rsidRDefault="006A3F93">
      <w:pPr>
        <w:ind w:left="2188" w:hanging="547"/>
        <w:jc w:val="both"/>
        <w:rPr>
          <w:rFonts w:cs="Arial"/>
          <w:sz w:val="20"/>
        </w:rPr>
      </w:pPr>
      <w:r w:rsidRPr="00412620">
        <w:rPr>
          <w:rFonts w:cs="Arial"/>
          <w:sz w:val="20"/>
        </w:rPr>
        <w:t xml:space="preserve">(iii) </w:t>
      </w:r>
      <w:r w:rsidRPr="00412620">
        <w:rPr>
          <w:rFonts w:cs="Arial"/>
          <w:sz w:val="20"/>
        </w:rPr>
        <w:tab/>
        <w:t>any amount under a head of income has been mis-classified.]</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lastRenderedPageBreak/>
        <w:footnoteReference w:id="713"/>
      </w:r>
      <w:r w:rsidRPr="00412620">
        <w:rPr>
          <w:rFonts w:cs="Arial"/>
          <w:sz w:val="20"/>
        </w:rPr>
        <w:t>[(5A)</w:t>
      </w:r>
      <w:r w:rsidRPr="00DE74D1">
        <w:rPr>
          <w:rFonts w:cs="Arial"/>
          <w:sz w:val="20"/>
        </w:rPr>
        <w:tab/>
        <w:t>Subject to sub-section (9), the Commissioner may</w:t>
      </w:r>
      <w:r w:rsidR="00940E16" w:rsidRPr="00DE74D1">
        <w:rPr>
          <w:rStyle w:val="FootnoteReference"/>
          <w:rFonts w:cs="Arial"/>
          <w:sz w:val="20"/>
        </w:rPr>
        <w:footnoteReference w:id="714"/>
      </w:r>
      <w:r w:rsidR="00712C1A" w:rsidRPr="00DE74D1">
        <w:rPr>
          <w:rFonts w:cs="Arial"/>
          <w:sz w:val="20"/>
        </w:rPr>
        <w:t>[</w:t>
      </w:r>
      <w:r w:rsidR="00B67508" w:rsidRPr="00DE74D1">
        <w:rPr>
          <w:rFonts w:cs="Arial"/>
          <w:sz w:val="20"/>
        </w:rPr>
        <w:t>, after makin</w:t>
      </w:r>
      <w:r w:rsidR="0004560A" w:rsidRPr="00DE74D1">
        <w:rPr>
          <w:rFonts w:cs="Arial"/>
          <w:sz w:val="20"/>
        </w:rPr>
        <w:t>g</w:t>
      </w:r>
      <w:r w:rsidR="00B67508" w:rsidRPr="00DE74D1">
        <w:rPr>
          <w:rFonts w:cs="Arial"/>
          <w:sz w:val="20"/>
        </w:rPr>
        <w:t>, or</w:t>
      </w:r>
      <w:r w:rsidR="007C2DE8" w:rsidRPr="00DE74D1">
        <w:rPr>
          <w:rFonts w:cs="Arial"/>
          <w:sz w:val="20"/>
        </w:rPr>
        <w:t xml:space="preserve"> causing to be made, such enquiries as he deems necessary,</w:t>
      </w:r>
      <w:r w:rsidR="00C302D4" w:rsidRPr="00DE74D1">
        <w:rPr>
          <w:rFonts w:cs="Arial"/>
          <w:sz w:val="20"/>
        </w:rPr>
        <w:t>]</w:t>
      </w:r>
      <w:r w:rsidRPr="00DE74D1">
        <w:rPr>
          <w:rFonts w:cs="Arial"/>
          <w:sz w:val="20"/>
        </w:rPr>
        <w:t>amend, or further amend, an assessment order, if</w:t>
      </w:r>
      <w:r w:rsidRPr="00412620">
        <w:rPr>
          <w:rFonts w:cs="Arial"/>
          <w:sz w:val="20"/>
        </w:rPr>
        <w:t xml:space="preserve"> he considers that the assessment order is erroneous in so far it is prejudicial to the interest of revenue.]</w:t>
      </w:r>
    </w:p>
    <w:p w:rsidR="006A3F93" w:rsidRPr="00412620" w:rsidRDefault="006A3F93">
      <w:pPr>
        <w:jc w:val="both"/>
        <w:rPr>
          <w:rFonts w:cs="Arial"/>
          <w:sz w:val="20"/>
        </w:rPr>
      </w:pPr>
    </w:p>
    <w:p w:rsidR="008053B5" w:rsidRPr="00412620" w:rsidRDefault="008053B5">
      <w:pPr>
        <w:jc w:val="both"/>
        <w:rPr>
          <w:rFonts w:cs="Arial"/>
          <w:sz w:val="20"/>
        </w:rPr>
      </w:pPr>
      <w:r w:rsidRPr="00412620">
        <w:rPr>
          <w:rStyle w:val="FootnoteReference"/>
          <w:rFonts w:cs="Arial"/>
          <w:sz w:val="20"/>
        </w:rPr>
        <w:footnoteReference w:id="715"/>
      </w:r>
      <w:r w:rsidRPr="00412620">
        <w:rPr>
          <w:rFonts w:cs="Arial"/>
          <w:sz w:val="20"/>
        </w:rPr>
        <w:t>[(5AA)</w:t>
      </w:r>
      <w:r w:rsidRPr="00412620">
        <w:rPr>
          <w:rFonts w:cs="Arial"/>
          <w:sz w:val="20"/>
        </w:rPr>
        <w:tab/>
        <w:t>In respect of any subject matter which was not in dispute in an appeal the Commissioner shall have and shall be deemed always to have had the powers to amend or further amend an assessment order under sub-section (5A).]</w:t>
      </w:r>
    </w:p>
    <w:p w:rsidR="008053B5" w:rsidRPr="00412620" w:rsidRDefault="008053B5">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716"/>
      </w:r>
      <w:r w:rsidRPr="00412620">
        <w:rPr>
          <w:rFonts w:cs="Arial"/>
          <w:sz w:val="20"/>
        </w:rPr>
        <w:t>[(5B)</w:t>
      </w:r>
      <w:r w:rsidRPr="00412620">
        <w:rPr>
          <w:rFonts w:cs="Arial"/>
          <w:sz w:val="20"/>
        </w:rPr>
        <w:tab/>
        <w:t>Any amended assessment order under sub-section (5A) may be passed within the time-limit specified in sub-section (2) or sub-section (4), as the case may be.]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As soon as possible after making an amended assessment under </w:t>
      </w:r>
      <w:r w:rsidRPr="00412620">
        <w:rPr>
          <w:rStyle w:val="FootnoteReference"/>
          <w:rFonts w:cs="Arial"/>
          <w:sz w:val="20"/>
        </w:rPr>
        <w:footnoteReference w:id="717"/>
      </w:r>
      <w:r w:rsidRPr="00412620">
        <w:rPr>
          <w:rFonts w:cs="Arial"/>
          <w:sz w:val="20"/>
        </w:rPr>
        <w:t>[sub-section (1), sub-section (4) or sub-section (5A)], the Commissioner shall issue an amended assessment order to the taxpayer stating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the amended taxable income of the taxpayer;</w:t>
      </w:r>
    </w:p>
    <w:p w:rsidR="006A3F93" w:rsidRPr="00B67508" w:rsidRDefault="006A3F93">
      <w:pPr>
        <w:jc w:val="both"/>
        <w:rPr>
          <w:rFonts w:cs="Arial"/>
          <w:sz w:val="16"/>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the amended amount of tax due;</w:t>
      </w:r>
    </w:p>
    <w:p w:rsidR="006A3F93" w:rsidRPr="00B67508" w:rsidRDefault="006A3F93">
      <w:pPr>
        <w:jc w:val="both"/>
        <w:rPr>
          <w:rFonts w:cs="Arial"/>
          <w:sz w:val="16"/>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the amount of tax paid, if any; and</w:t>
      </w:r>
    </w:p>
    <w:p w:rsidR="006A3F93" w:rsidRPr="00B67508" w:rsidRDefault="006A3F93">
      <w:pPr>
        <w:jc w:val="both"/>
        <w:rPr>
          <w:rFonts w:cs="Arial"/>
          <w:sz w:val="16"/>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the time, place, and manner of appealing the amended assessment.</w:t>
      </w:r>
    </w:p>
    <w:p w:rsidR="006A3F93" w:rsidRPr="00B67508" w:rsidRDefault="006A3F93">
      <w:pPr>
        <w:jc w:val="both"/>
        <w:rPr>
          <w:rFonts w:cs="Arial"/>
          <w:sz w:val="16"/>
        </w:rPr>
      </w:pPr>
    </w:p>
    <w:p w:rsidR="006A3F93" w:rsidRPr="00412620" w:rsidRDefault="006A3F93">
      <w:pPr>
        <w:jc w:val="both"/>
        <w:rPr>
          <w:rFonts w:cs="Arial"/>
          <w:sz w:val="20"/>
        </w:rPr>
      </w:pPr>
      <w:r w:rsidRPr="00412620">
        <w:rPr>
          <w:rFonts w:cs="Arial"/>
          <w:sz w:val="20"/>
        </w:rPr>
        <w:tab/>
        <w:t>(7)</w:t>
      </w:r>
      <w:r w:rsidRPr="00412620">
        <w:rPr>
          <w:rFonts w:cs="Arial"/>
          <w:sz w:val="20"/>
        </w:rPr>
        <w:tab/>
        <w:t>An amended assessment order shall be treated in all respects as an assessment order for the purposes of this Ordinance, other than for the purposes of sub-section (1).</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 xml:space="preserve">For the purposes of this section, “definite information” includes information on sales or purchases of any goods made by the taxpayer, </w:t>
      </w:r>
      <w:r w:rsidRPr="00412620">
        <w:rPr>
          <w:rStyle w:val="FootnoteReference"/>
          <w:rFonts w:cs="Arial"/>
          <w:sz w:val="20"/>
        </w:rPr>
        <w:footnoteReference w:id="718"/>
      </w:r>
      <w:r w:rsidRPr="00412620">
        <w:rPr>
          <w:rFonts w:cs="Arial"/>
          <w:sz w:val="20"/>
        </w:rPr>
        <w:t xml:space="preserve">[receipts of the taxpayer from services rendered or any other receipts that may be chargeable to tax under this Ordinance,]and on the acquisition, possession or </w:t>
      </w:r>
      <w:r w:rsidRPr="00412620">
        <w:rPr>
          <w:rFonts w:cs="Arial"/>
          <w:sz w:val="20"/>
        </w:rPr>
        <w:lastRenderedPageBreak/>
        <w:t>disposal of any money, asset, valuable article or investment made or expenditure incurred by the taxpayer.</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719"/>
      </w:r>
      <w:r w:rsidRPr="00412620">
        <w:rPr>
          <w:rFonts w:cs="Arial"/>
          <w:sz w:val="20"/>
        </w:rPr>
        <w:t>[(9)</w:t>
      </w:r>
      <w:r w:rsidRPr="00412620">
        <w:rPr>
          <w:rFonts w:cs="Arial"/>
          <w:sz w:val="20"/>
        </w:rPr>
        <w:tab/>
        <w:t>No assessment shall be amended, or further amended, under this section unless the taxpayer has been provided with an opportunity of being heard.]</w:t>
      </w:r>
    </w:p>
    <w:p w:rsidR="006A3F93" w:rsidRPr="00412620" w:rsidRDefault="006A3F93">
      <w:pPr>
        <w:jc w:val="both"/>
        <w:rPr>
          <w:rFonts w:cs="Arial"/>
          <w:sz w:val="20"/>
        </w:rPr>
      </w:pPr>
    </w:p>
    <w:p w:rsidR="006A3F93" w:rsidRPr="00412620" w:rsidRDefault="006A3F93">
      <w:pPr>
        <w:jc w:val="both"/>
        <w:rPr>
          <w:sz w:val="20"/>
        </w:rPr>
      </w:pPr>
      <w:r w:rsidRPr="00412620">
        <w:rPr>
          <w:rStyle w:val="FootnoteReference"/>
          <w:rFonts w:cs="Arial"/>
          <w:b/>
          <w:sz w:val="20"/>
        </w:rPr>
        <w:footnoteReference w:id="720"/>
      </w:r>
      <w:r w:rsidRPr="00412620">
        <w:rPr>
          <w:b/>
          <w:sz w:val="20"/>
        </w:rPr>
        <w:t>[122A.Revision by the Commissioner.</w:t>
      </w:r>
      <w:r w:rsidR="005D060E" w:rsidRPr="00412620">
        <w:rPr>
          <w:rFonts w:cs="Arial"/>
          <w:sz w:val="20"/>
        </w:rPr>
        <w:t>—</w:t>
      </w:r>
      <w:r w:rsidRPr="00412620">
        <w:rPr>
          <w:sz w:val="20"/>
        </w:rPr>
        <w:t>(1) The Commissioner may</w:t>
      </w:r>
      <w:r w:rsidR="006055BD">
        <w:rPr>
          <w:sz w:val="20"/>
        </w:rPr>
        <w:t xml:space="preserve"> </w:t>
      </w:r>
      <w:r w:rsidRPr="00412620">
        <w:rPr>
          <w:rStyle w:val="FootnoteReference"/>
          <w:sz w:val="20"/>
        </w:rPr>
        <w:footnoteReference w:id="721"/>
      </w:r>
      <w:r w:rsidRPr="00412620">
        <w:rPr>
          <w:sz w:val="20"/>
        </w:rPr>
        <w:t>[</w:t>
      </w:r>
      <w:r w:rsidR="006055BD">
        <w:rPr>
          <w:sz w:val="20"/>
        </w:rPr>
        <w:t xml:space="preserve"> </w:t>
      </w:r>
      <w:r w:rsidRPr="00173144">
        <w:rPr>
          <w:rStyle w:val="FootnoteReference"/>
          <w:sz w:val="20"/>
        </w:rPr>
        <w:footnoteReference w:id="722"/>
      </w:r>
      <w:r w:rsidRPr="00173144">
        <w:rPr>
          <w:sz w:val="20"/>
        </w:rPr>
        <w:t>[</w:t>
      </w:r>
      <w:r w:rsidRPr="003D10FB">
        <w:rPr>
          <w:i/>
          <w:sz w:val="20"/>
        </w:rPr>
        <w:t xml:space="preserve">, </w:t>
      </w:r>
      <w:r w:rsidRPr="003D10FB">
        <w:rPr>
          <w:i/>
          <w:iCs/>
          <w:sz w:val="20"/>
        </w:rPr>
        <w:t>suomoto,</w:t>
      </w:r>
      <w:r w:rsidRPr="00F42A51">
        <w:rPr>
          <w:sz w:val="20"/>
        </w:rPr>
        <w:t>] ] call for the record of any proceeding under this Ordinance or under the</w:t>
      </w:r>
      <w:r w:rsidRPr="00412620">
        <w:rPr>
          <w:sz w:val="20"/>
        </w:rPr>
        <w:t xml:space="preserve"> repealed Ordinance in which an order has been passed by any </w:t>
      </w:r>
      <w:r w:rsidR="006E626A" w:rsidRPr="00412620">
        <w:rPr>
          <w:rStyle w:val="FootnoteReference"/>
          <w:sz w:val="20"/>
        </w:rPr>
        <w:footnoteReference w:id="723"/>
      </w:r>
      <w:r w:rsidR="009A770A" w:rsidRPr="00412620">
        <w:rPr>
          <w:sz w:val="20"/>
        </w:rPr>
        <w:t>[</w:t>
      </w:r>
      <w:r w:rsidR="009A770A" w:rsidRPr="00412620">
        <w:rPr>
          <w:rFonts w:cs="Arial"/>
          <w:sz w:val="20"/>
        </w:rPr>
        <w:t>Officer of Inland Revenue]</w:t>
      </w:r>
      <w:r w:rsidRPr="00412620">
        <w:rPr>
          <w:sz w:val="20"/>
        </w:rPr>
        <w:t xml:space="preserve">other than the Commissioner (Appeals).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 xml:space="preserve">Subject to sub-section (3), where, after making such inquiry as is necessary, Commissioner considers that the order requires revision, the Commissioner may </w:t>
      </w:r>
      <w:r w:rsidR="00502938">
        <w:rPr>
          <w:rStyle w:val="FootnoteReference"/>
          <w:rFonts w:cs="Arial"/>
          <w:sz w:val="20"/>
        </w:rPr>
        <w:footnoteReference w:id="724"/>
      </w:r>
      <w:r w:rsidR="00502938">
        <w:rPr>
          <w:rFonts w:cs="Arial"/>
          <w:sz w:val="20"/>
        </w:rPr>
        <w:t>[</w:t>
      </w:r>
      <w:r w:rsidR="00502938" w:rsidRPr="003D10FB">
        <w:rPr>
          <w:i/>
          <w:iCs/>
          <w:sz w:val="20"/>
        </w:rPr>
        <w:t>suomoto</w:t>
      </w:r>
      <w:r w:rsidR="00502938" w:rsidRPr="00F42A51">
        <w:rPr>
          <w:iCs/>
          <w:sz w:val="20"/>
        </w:rPr>
        <w:t>]</w:t>
      </w:r>
      <w:r w:rsidR="001A2A0D">
        <w:rPr>
          <w:iCs/>
          <w:sz w:val="20"/>
        </w:rPr>
        <w:t xml:space="preserve"> </w:t>
      </w:r>
      <w:r w:rsidRPr="00412620">
        <w:rPr>
          <w:rFonts w:cs="Arial"/>
          <w:sz w:val="20"/>
        </w:rPr>
        <w:t>make such revision to the order as the Commissioner deems fit.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An order under sub-section (2) shall not be prejudicial to the person to whom the order relates.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(4) </w:t>
      </w:r>
      <w:r w:rsidRPr="00412620">
        <w:rPr>
          <w:rFonts w:cs="Arial"/>
          <w:sz w:val="20"/>
        </w:rPr>
        <w:tab/>
        <w:t>The Commissioner shall not revise any order under sub-section (2) if</w:t>
      </w:r>
      <w:r w:rsidR="0070172C" w:rsidRPr="00412620">
        <w:rPr>
          <w:rFonts w:cs="Arial"/>
          <w:sz w:val="20"/>
        </w:rPr>
        <w:t>—</w:t>
      </w:r>
    </w:p>
    <w:p w:rsidR="006A3F93" w:rsidRPr="00412620" w:rsidRDefault="006A3F93">
      <w:pPr>
        <w:jc w:val="both"/>
        <w:rPr>
          <w:rFonts w:cs="Arial"/>
          <w:sz w:val="20"/>
        </w:rPr>
      </w:pPr>
    </w:p>
    <w:p w:rsidR="006A3F93" w:rsidRPr="00412620" w:rsidRDefault="006A3F93">
      <w:pPr>
        <w:ind w:left="1641" w:hanging="546"/>
        <w:jc w:val="both"/>
        <w:rPr>
          <w:rFonts w:cs="Arial"/>
          <w:sz w:val="20"/>
        </w:rPr>
      </w:pPr>
      <w:r w:rsidRPr="00412620">
        <w:rPr>
          <w:rFonts w:cs="Arial"/>
          <w:sz w:val="20"/>
        </w:rPr>
        <w:t xml:space="preserve">(a) </w:t>
      </w:r>
      <w:r w:rsidRPr="00412620">
        <w:rPr>
          <w:rFonts w:cs="Arial"/>
          <w:sz w:val="20"/>
        </w:rPr>
        <w:tab/>
        <w:t xml:space="preserve">an appeal against the order lies to the Commissioner (Appeals) or to the Appellate Tribunal, the time within which such appeal may be made has not expired; or </w:t>
      </w:r>
    </w:p>
    <w:p w:rsidR="006A3F93" w:rsidRPr="00412620" w:rsidRDefault="006A3F93">
      <w:pPr>
        <w:jc w:val="both"/>
        <w:rPr>
          <w:rFonts w:cs="Arial"/>
          <w:sz w:val="20"/>
        </w:rPr>
      </w:pPr>
    </w:p>
    <w:p w:rsidR="006A3F93" w:rsidRPr="00412620" w:rsidRDefault="006A3F93">
      <w:pPr>
        <w:ind w:left="1641" w:hanging="546"/>
        <w:jc w:val="both"/>
        <w:rPr>
          <w:rFonts w:cs="Arial"/>
          <w:sz w:val="20"/>
        </w:rPr>
      </w:pPr>
      <w:r w:rsidRPr="00412620">
        <w:rPr>
          <w:rFonts w:cs="Arial"/>
          <w:sz w:val="20"/>
        </w:rPr>
        <w:t xml:space="preserve">(b) </w:t>
      </w:r>
      <w:r w:rsidRPr="00412620">
        <w:rPr>
          <w:rFonts w:cs="Arial"/>
          <w:sz w:val="20"/>
        </w:rPr>
        <w:tab/>
        <w:t>the order is pending in appeal before the Commissioner (Appeals) or has been made the subject of an appeal to the Appellate Tribunal.]</w:t>
      </w:r>
    </w:p>
    <w:p w:rsidR="006A3F93" w:rsidRPr="00412620" w:rsidRDefault="006A3F93">
      <w:pPr>
        <w:jc w:val="both"/>
        <w:rPr>
          <w:rFonts w:cs="Arial"/>
          <w:sz w:val="20"/>
        </w:rPr>
      </w:pPr>
    </w:p>
    <w:p w:rsidR="00845F80" w:rsidRPr="00412620" w:rsidRDefault="00845F80">
      <w:pPr>
        <w:jc w:val="both"/>
        <w:rPr>
          <w:rFonts w:cs="Arial"/>
          <w:sz w:val="20"/>
        </w:rPr>
      </w:pPr>
      <w:r w:rsidRPr="00412620">
        <w:rPr>
          <w:rStyle w:val="FootnoteReference"/>
          <w:rFonts w:cs="Arial"/>
          <w:sz w:val="20"/>
        </w:rPr>
        <w:footnoteReference w:id="725"/>
      </w:r>
      <w:r w:rsidRPr="00412620">
        <w:rPr>
          <w:rFonts w:cs="Arial"/>
          <w:sz w:val="20"/>
        </w:rPr>
        <w:t>[</w:t>
      </w:r>
      <w:r w:rsidRPr="00412620">
        <w:rPr>
          <w:rFonts w:cs="Arial"/>
          <w:b/>
          <w:sz w:val="20"/>
        </w:rPr>
        <w:t xml:space="preserve">122B. Revision by the </w:t>
      </w:r>
      <w:r w:rsidR="00135F9E" w:rsidRPr="00F53D60">
        <w:rPr>
          <w:rStyle w:val="FootnoteReference"/>
          <w:rFonts w:cs="Arial"/>
          <w:b/>
          <w:color w:val="000000" w:themeColor="text1"/>
          <w:sz w:val="20"/>
        </w:rPr>
        <w:footnoteReference w:id="726"/>
      </w:r>
      <w:r w:rsidR="00135F9E" w:rsidRPr="00F53D60">
        <w:rPr>
          <w:rFonts w:cs="Arial"/>
          <w:b/>
          <w:color w:val="000000" w:themeColor="text1"/>
          <w:sz w:val="20"/>
        </w:rPr>
        <w:t xml:space="preserve">[Chief </w:t>
      </w:r>
      <w:r w:rsidRPr="00F53D60">
        <w:rPr>
          <w:rFonts w:cs="Arial"/>
          <w:b/>
          <w:color w:val="000000" w:themeColor="text1"/>
          <w:sz w:val="20"/>
        </w:rPr>
        <w:t>Commissioner</w:t>
      </w:r>
      <w:r w:rsidR="00135F9E" w:rsidRPr="00F53D60">
        <w:rPr>
          <w:rFonts w:cs="Arial"/>
          <w:b/>
          <w:color w:val="000000" w:themeColor="text1"/>
          <w:sz w:val="20"/>
        </w:rPr>
        <w:t>]</w:t>
      </w:r>
      <w:r w:rsidRPr="00F53D60">
        <w:rPr>
          <w:rFonts w:cs="Arial"/>
          <w:b/>
          <w:color w:val="000000" w:themeColor="text1"/>
          <w:sz w:val="20"/>
        </w:rPr>
        <w:t>.</w:t>
      </w:r>
      <w:r w:rsidR="005D060E" w:rsidRPr="00F53D60">
        <w:rPr>
          <w:rFonts w:cs="Arial"/>
          <w:color w:val="000000" w:themeColor="text1"/>
          <w:sz w:val="20"/>
        </w:rPr>
        <w:t>—</w:t>
      </w:r>
      <w:r w:rsidRPr="00412620">
        <w:rPr>
          <w:rFonts w:cs="Arial"/>
          <w:sz w:val="20"/>
        </w:rPr>
        <w:t xml:space="preserve"> (1) The </w:t>
      </w:r>
      <w:r w:rsidR="00135F9E" w:rsidRPr="00F53D60">
        <w:rPr>
          <w:rStyle w:val="FootnoteReference"/>
          <w:rFonts w:cs="Arial"/>
          <w:color w:val="000000" w:themeColor="text1"/>
          <w:sz w:val="20"/>
        </w:rPr>
        <w:footnoteReference w:id="727"/>
      </w:r>
      <w:r w:rsidR="00135F9E" w:rsidRPr="00F53D60">
        <w:rPr>
          <w:rFonts w:cs="Arial"/>
          <w:color w:val="000000" w:themeColor="text1"/>
          <w:sz w:val="20"/>
        </w:rPr>
        <w:t>[Chief</w:t>
      </w:r>
      <w:r w:rsidRPr="00F53D60">
        <w:rPr>
          <w:rFonts w:cs="Arial"/>
          <w:color w:val="000000" w:themeColor="text1"/>
          <w:sz w:val="20"/>
        </w:rPr>
        <w:t xml:space="preserve"> Commissioner</w:t>
      </w:r>
      <w:r w:rsidR="00135F9E" w:rsidRPr="00F53D60">
        <w:rPr>
          <w:rFonts w:cs="Arial"/>
          <w:color w:val="000000" w:themeColor="text1"/>
          <w:sz w:val="20"/>
        </w:rPr>
        <w:t>]</w:t>
      </w:r>
      <w:r w:rsidRPr="00412620">
        <w:rPr>
          <w:rFonts w:cs="Arial"/>
          <w:sz w:val="20"/>
        </w:rPr>
        <w:t xml:space="preserve"> may, either of his own motion or on an application made by the taxpayer for revision, call for the record of any proceedings relating to issuance of an exemption or lower rate certificate with regard to collection or deduction of tax at source under this Ordinance, in which an order has been passed by any authority subordinate to him.</w:t>
      </w:r>
    </w:p>
    <w:p w:rsidR="00845F80" w:rsidRPr="00412620" w:rsidRDefault="00845F80">
      <w:pPr>
        <w:jc w:val="both"/>
        <w:rPr>
          <w:rFonts w:cs="Arial"/>
          <w:sz w:val="20"/>
        </w:rPr>
      </w:pPr>
    </w:p>
    <w:p w:rsidR="00845F80" w:rsidRPr="00412620" w:rsidRDefault="00845F80">
      <w:pPr>
        <w:jc w:val="both"/>
        <w:rPr>
          <w:rFonts w:cs="Arial"/>
          <w:sz w:val="20"/>
        </w:rPr>
      </w:pPr>
      <w:r w:rsidRPr="00412620">
        <w:rPr>
          <w:rFonts w:cs="Arial"/>
          <w:sz w:val="20"/>
        </w:rPr>
        <w:tab/>
      </w:r>
      <w:r w:rsidRPr="00F53D60">
        <w:rPr>
          <w:rFonts w:cs="Arial"/>
          <w:color w:val="000000" w:themeColor="text1"/>
          <w:sz w:val="20"/>
        </w:rPr>
        <w:t xml:space="preserve">(2) </w:t>
      </w:r>
      <w:r w:rsidRPr="00F53D60">
        <w:rPr>
          <w:rFonts w:cs="Arial"/>
          <w:color w:val="000000" w:themeColor="text1"/>
          <w:sz w:val="20"/>
        </w:rPr>
        <w:tab/>
        <w:t xml:space="preserve">Where, after making such inquiry as is necessary, </w:t>
      </w:r>
      <w:r w:rsidR="00135F9E" w:rsidRPr="00F53D60">
        <w:rPr>
          <w:rStyle w:val="FootnoteReference"/>
          <w:rFonts w:cs="Arial"/>
          <w:color w:val="000000" w:themeColor="text1"/>
          <w:sz w:val="20"/>
        </w:rPr>
        <w:footnoteReference w:id="728"/>
      </w:r>
      <w:r w:rsidR="00135F9E" w:rsidRPr="00F53D60">
        <w:rPr>
          <w:rFonts w:cs="Arial"/>
          <w:color w:val="000000" w:themeColor="text1"/>
          <w:sz w:val="20"/>
        </w:rPr>
        <w:t>[Chief</w:t>
      </w:r>
      <w:r w:rsidRPr="00F53D60">
        <w:rPr>
          <w:rFonts w:cs="Arial"/>
          <w:color w:val="000000" w:themeColor="text1"/>
          <w:sz w:val="20"/>
        </w:rPr>
        <w:t xml:space="preserve"> Commissioner</w:t>
      </w:r>
      <w:r w:rsidR="00135F9E" w:rsidRPr="00F53D60">
        <w:rPr>
          <w:rFonts w:cs="Arial"/>
          <w:color w:val="000000" w:themeColor="text1"/>
          <w:sz w:val="20"/>
        </w:rPr>
        <w:t>]</w:t>
      </w:r>
      <w:r w:rsidRPr="00F53D60">
        <w:rPr>
          <w:rFonts w:cs="Arial"/>
          <w:color w:val="000000" w:themeColor="text1"/>
          <w:sz w:val="20"/>
        </w:rPr>
        <w:t xml:space="preserve"> considers that the order requires revision, the</w:t>
      </w:r>
      <w:r w:rsidR="00135F9E" w:rsidRPr="00F53D60">
        <w:rPr>
          <w:rStyle w:val="FootnoteReference"/>
          <w:rFonts w:cs="Arial"/>
          <w:color w:val="000000" w:themeColor="text1"/>
          <w:sz w:val="20"/>
        </w:rPr>
        <w:footnoteReference w:id="729"/>
      </w:r>
      <w:r w:rsidR="00135F9E" w:rsidRPr="00F53D60">
        <w:rPr>
          <w:rFonts w:cs="Arial"/>
          <w:color w:val="000000" w:themeColor="text1"/>
          <w:sz w:val="20"/>
        </w:rPr>
        <w:t>[</w:t>
      </w:r>
      <w:r w:rsidR="00B21E5F" w:rsidRPr="00F53D60">
        <w:rPr>
          <w:rFonts w:cs="Arial"/>
          <w:color w:val="000000" w:themeColor="text1"/>
          <w:sz w:val="20"/>
        </w:rPr>
        <w:t>Chief</w:t>
      </w:r>
      <w:r w:rsidRPr="00F53D60">
        <w:rPr>
          <w:rFonts w:cs="Arial"/>
          <w:color w:val="000000" w:themeColor="text1"/>
          <w:sz w:val="20"/>
        </w:rPr>
        <w:t xml:space="preserve"> Commissioner</w:t>
      </w:r>
      <w:r w:rsidR="00135F9E" w:rsidRPr="00F53D60">
        <w:rPr>
          <w:rFonts w:cs="Arial"/>
          <w:color w:val="000000" w:themeColor="text1"/>
          <w:sz w:val="20"/>
        </w:rPr>
        <w:t>]</w:t>
      </w:r>
      <w:r w:rsidRPr="00F53D60">
        <w:rPr>
          <w:rFonts w:cs="Arial"/>
          <w:color w:val="000000" w:themeColor="text1"/>
          <w:sz w:val="20"/>
        </w:rPr>
        <w:t>may, after providing reasonable opportunity of being heard to the taxpayer, make such order</w:t>
      </w:r>
      <w:r w:rsidRPr="00412620">
        <w:rPr>
          <w:rFonts w:cs="Arial"/>
          <w:sz w:val="20"/>
        </w:rPr>
        <w:t xml:space="preserve"> as he may deem fit in the circumstances of the case.] </w:t>
      </w:r>
    </w:p>
    <w:p w:rsidR="00845F80" w:rsidRPr="00412620" w:rsidRDefault="00845F80">
      <w:pPr>
        <w:jc w:val="both"/>
        <w:rPr>
          <w:rFonts w:cs="Arial"/>
          <w:sz w:val="20"/>
        </w:rPr>
      </w:pPr>
    </w:p>
    <w:p w:rsidR="00E227F4" w:rsidRPr="00412620" w:rsidRDefault="00040FD0" w:rsidP="00E227F4">
      <w:pPr>
        <w:jc w:val="both"/>
        <w:rPr>
          <w:rFonts w:cs="Arial"/>
          <w:sz w:val="20"/>
        </w:rPr>
      </w:pPr>
      <w:r w:rsidRPr="00412620">
        <w:rPr>
          <w:rStyle w:val="FootnoteReference"/>
          <w:rFonts w:cs="Arial"/>
          <w:b/>
          <w:sz w:val="20"/>
        </w:rPr>
        <w:footnoteReference w:id="730"/>
      </w:r>
      <w:r w:rsidR="00E227F4" w:rsidRPr="00412620">
        <w:rPr>
          <w:rFonts w:cs="Arial"/>
          <w:b/>
          <w:sz w:val="20"/>
        </w:rPr>
        <w:t>[122C. Provisional assessment.</w:t>
      </w:r>
      <w:r w:rsidR="00950D72" w:rsidRPr="00412620">
        <w:rPr>
          <w:rFonts w:cs="Arial"/>
          <w:sz w:val="20"/>
        </w:rPr>
        <w:t>—</w:t>
      </w:r>
      <w:r w:rsidR="00E227F4" w:rsidRPr="00412620">
        <w:rPr>
          <w:rFonts w:cs="Arial"/>
          <w:sz w:val="20"/>
        </w:rPr>
        <w:t xml:space="preserve">  (1) Where in response to a notice under sub-section (3) or sub-section (4) of section 114 a person fails to furnish return of income for any tax year, the Commissioner may, based on any available information or material and to the best of his judgment, make a provisional assessment of the taxable income </w:t>
      </w:r>
      <w:r w:rsidR="00584168" w:rsidRPr="00412620">
        <w:rPr>
          <w:rFonts w:cs="Arial"/>
          <w:sz w:val="20"/>
        </w:rPr>
        <w:t xml:space="preserve">or income </w:t>
      </w:r>
      <w:r w:rsidR="00E227F4" w:rsidRPr="00412620">
        <w:rPr>
          <w:rFonts w:cs="Arial"/>
          <w:sz w:val="20"/>
        </w:rPr>
        <w:t xml:space="preserve">of the person and issue a provisional assessment order specifying the taxable income </w:t>
      </w:r>
      <w:r w:rsidR="00584168" w:rsidRPr="00412620">
        <w:rPr>
          <w:rFonts w:cs="Arial"/>
          <w:sz w:val="20"/>
        </w:rPr>
        <w:t xml:space="preserve">or income </w:t>
      </w:r>
      <w:r w:rsidR="00E227F4" w:rsidRPr="00412620">
        <w:rPr>
          <w:rFonts w:cs="Arial"/>
          <w:sz w:val="20"/>
        </w:rPr>
        <w:t xml:space="preserve">assessed and the tax due thereon. </w:t>
      </w:r>
    </w:p>
    <w:p w:rsidR="00E227F4" w:rsidRPr="00412620" w:rsidRDefault="00E227F4" w:rsidP="00E227F4">
      <w:pPr>
        <w:ind w:left="720"/>
        <w:jc w:val="both"/>
        <w:rPr>
          <w:rFonts w:cs="Arial"/>
          <w:sz w:val="20"/>
        </w:rPr>
      </w:pPr>
    </w:p>
    <w:p w:rsidR="00E227F4" w:rsidRDefault="00E227F4" w:rsidP="00E227F4">
      <w:pPr>
        <w:ind w:firstLine="720"/>
        <w:jc w:val="both"/>
        <w:rPr>
          <w:rFonts w:cs="Arial"/>
          <w:sz w:val="20"/>
        </w:rPr>
      </w:pPr>
      <w:r w:rsidRPr="00412620">
        <w:rPr>
          <w:rFonts w:cs="Arial"/>
          <w:sz w:val="20"/>
        </w:rPr>
        <w:t xml:space="preserve">(2)  Notwithstanding anything contained in this Ordinance, the provisional assessment </w:t>
      </w:r>
      <w:r w:rsidR="00D4419D" w:rsidRPr="00412620">
        <w:rPr>
          <w:rFonts w:cs="Arial"/>
          <w:sz w:val="20"/>
        </w:rPr>
        <w:t xml:space="preserve">order </w:t>
      </w:r>
      <w:r w:rsidRPr="00412620">
        <w:rPr>
          <w:rFonts w:cs="Arial"/>
          <w:sz w:val="20"/>
        </w:rPr>
        <w:t xml:space="preserve">completed under sub-section (1) shall be treated as the final assessment </w:t>
      </w:r>
      <w:r w:rsidR="00D4419D" w:rsidRPr="00412620">
        <w:rPr>
          <w:rFonts w:cs="Arial"/>
          <w:sz w:val="20"/>
        </w:rPr>
        <w:t xml:space="preserve">order </w:t>
      </w:r>
      <w:r w:rsidRPr="00412620">
        <w:rPr>
          <w:rFonts w:cs="Arial"/>
          <w:sz w:val="20"/>
        </w:rPr>
        <w:t xml:space="preserve">after the expiry of </w:t>
      </w:r>
      <w:r w:rsidR="008801BC" w:rsidRPr="00412620">
        <w:rPr>
          <w:rStyle w:val="FootnoteReference"/>
          <w:rFonts w:cs="Arial"/>
          <w:sz w:val="20"/>
        </w:rPr>
        <w:footnoteReference w:id="731"/>
      </w:r>
      <w:r w:rsidR="008801BC" w:rsidRPr="00412620">
        <w:rPr>
          <w:rFonts w:cs="Arial"/>
          <w:sz w:val="20"/>
        </w:rPr>
        <w:t xml:space="preserve">[forty-five] </w:t>
      </w:r>
      <w:r w:rsidRPr="00412620">
        <w:rPr>
          <w:rFonts w:cs="Arial"/>
          <w:sz w:val="20"/>
        </w:rPr>
        <w:t>days from the date of service of order of provisional assessment and the provisions of this Ordinance shall apply accordingly:</w:t>
      </w:r>
    </w:p>
    <w:p w:rsidR="00166E24" w:rsidRPr="00412620" w:rsidRDefault="00166E24" w:rsidP="00E227F4">
      <w:pPr>
        <w:ind w:firstLine="720"/>
        <w:jc w:val="both"/>
        <w:rPr>
          <w:rFonts w:cs="Arial"/>
          <w:sz w:val="20"/>
        </w:rPr>
      </w:pPr>
    </w:p>
    <w:p w:rsidR="00166E24" w:rsidRPr="00C3232C" w:rsidRDefault="00CD60C5" w:rsidP="00166E24">
      <w:pPr>
        <w:ind w:left="1080" w:firstLine="540"/>
        <w:jc w:val="both"/>
        <w:rPr>
          <w:rFonts w:cs="Arial"/>
          <w:snapToGrid w:val="0"/>
          <w:color w:val="0070C0"/>
          <w:sz w:val="20"/>
        </w:rPr>
      </w:pPr>
      <w:r w:rsidRPr="00C3232C">
        <w:rPr>
          <w:rStyle w:val="FootnoteReference"/>
          <w:rFonts w:cs="Arial"/>
          <w:color w:val="0070C0"/>
          <w:sz w:val="20"/>
        </w:rPr>
        <w:footnoteReference w:id="732"/>
      </w:r>
      <w:r w:rsidRPr="00C3232C">
        <w:rPr>
          <w:rFonts w:cs="Arial"/>
          <w:color w:val="0070C0"/>
          <w:sz w:val="20"/>
        </w:rPr>
        <w:t>[</w:t>
      </w:r>
      <w:r w:rsidR="00166E24" w:rsidRPr="00C3232C">
        <w:rPr>
          <w:rFonts w:cs="Arial"/>
          <w:color w:val="0070C0"/>
          <w:sz w:val="20"/>
        </w:rPr>
        <w:t>“Provided that the provisions of this sub-section shall not apply, if</w:t>
      </w:r>
      <w:r w:rsidR="00166E24" w:rsidRPr="00C3232C">
        <w:rPr>
          <w:rFonts w:cs="Arial"/>
          <w:snapToGrid w:val="0"/>
          <w:color w:val="0070C0"/>
          <w:sz w:val="20"/>
        </w:rPr>
        <w:t>—</w:t>
      </w:r>
    </w:p>
    <w:p w:rsidR="00166E24" w:rsidRPr="00C3232C" w:rsidRDefault="00166E24" w:rsidP="007B723E">
      <w:pPr>
        <w:pStyle w:val="ListParagraph"/>
        <w:numPr>
          <w:ilvl w:val="0"/>
          <w:numId w:val="91"/>
        </w:numPr>
        <w:ind w:left="2430" w:hanging="450"/>
        <w:contextualSpacing/>
        <w:jc w:val="both"/>
        <w:rPr>
          <w:rFonts w:cs="Arial"/>
          <w:color w:val="0070C0"/>
          <w:sz w:val="20"/>
        </w:rPr>
      </w:pPr>
      <w:r w:rsidRPr="00C3232C">
        <w:rPr>
          <w:rFonts w:cs="Arial"/>
          <w:color w:val="0070C0"/>
          <w:sz w:val="20"/>
        </w:rPr>
        <w:lastRenderedPageBreak/>
        <w:t>return of income along with wealth statement, wealth reconciliation statement and other documents required under sub-section (2A) of section 116 are filed by the person being an individual or an association of persons for the relevant tax year during the said period of forty-five days; and</w:t>
      </w:r>
    </w:p>
    <w:p w:rsidR="00CD60C5" w:rsidRPr="00C3232C" w:rsidRDefault="00CD60C5" w:rsidP="00CD60C5">
      <w:pPr>
        <w:pStyle w:val="ListParagraph"/>
        <w:ind w:left="2430"/>
        <w:contextualSpacing/>
        <w:jc w:val="both"/>
        <w:rPr>
          <w:rFonts w:cs="Arial"/>
          <w:color w:val="0070C0"/>
          <w:sz w:val="20"/>
        </w:rPr>
      </w:pPr>
    </w:p>
    <w:p w:rsidR="00166E24" w:rsidRPr="00C3232C" w:rsidRDefault="00166E24" w:rsidP="007B723E">
      <w:pPr>
        <w:pStyle w:val="ListParagraph"/>
        <w:numPr>
          <w:ilvl w:val="0"/>
          <w:numId w:val="91"/>
        </w:numPr>
        <w:ind w:left="2520" w:hanging="540"/>
        <w:contextualSpacing/>
        <w:jc w:val="both"/>
        <w:rPr>
          <w:rFonts w:cs="Arial"/>
          <w:color w:val="0070C0"/>
          <w:sz w:val="20"/>
        </w:rPr>
      </w:pPr>
      <w:r w:rsidRPr="00C3232C">
        <w:rPr>
          <w:rFonts w:cs="Arial"/>
          <w:color w:val="0070C0"/>
          <w:sz w:val="20"/>
        </w:rPr>
        <w:t xml:space="preserve">the individual or an association of persons </w:t>
      </w:r>
      <w:r w:rsidRPr="00C3232C">
        <w:rPr>
          <w:rFonts w:cs="Arial"/>
          <w:snapToGrid w:val="0"/>
          <w:color w:val="0070C0"/>
          <w:sz w:val="20"/>
        </w:rPr>
        <w:t>presents accounts and documents for conducting audit of income tax affairs for that tax year</w:t>
      </w:r>
      <w:r w:rsidRPr="00C3232C">
        <w:rPr>
          <w:rFonts w:cs="Arial"/>
          <w:color w:val="0070C0"/>
          <w:sz w:val="20"/>
        </w:rPr>
        <w:t>:</w:t>
      </w:r>
    </w:p>
    <w:p w:rsidR="00166E24" w:rsidRPr="00C3232C" w:rsidRDefault="00166E24" w:rsidP="00166E24">
      <w:pPr>
        <w:pStyle w:val="ListParagraph"/>
        <w:ind w:left="2520"/>
        <w:contextualSpacing/>
        <w:jc w:val="both"/>
        <w:rPr>
          <w:rFonts w:cs="Arial"/>
          <w:color w:val="0070C0"/>
          <w:sz w:val="20"/>
        </w:rPr>
      </w:pPr>
    </w:p>
    <w:p w:rsidR="00166E24" w:rsidRPr="00C3232C" w:rsidRDefault="00166E24" w:rsidP="00166E24">
      <w:pPr>
        <w:ind w:left="1080" w:firstLine="540"/>
        <w:jc w:val="both"/>
        <w:rPr>
          <w:rFonts w:cs="Arial"/>
          <w:snapToGrid w:val="0"/>
          <w:color w:val="0070C0"/>
          <w:sz w:val="20"/>
        </w:rPr>
      </w:pPr>
      <w:r w:rsidRPr="00C3232C">
        <w:rPr>
          <w:rFonts w:cs="Arial"/>
          <w:color w:val="0070C0"/>
          <w:sz w:val="20"/>
        </w:rPr>
        <w:t>Provided further that the provisions of sub-section (2) shall not apply</w:t>
      </w:r>
      <w:r w:rsidRPr="00C3232C">
        <w:rPr>
          <w:rFonts w:cs="Arial"/>
          <w:snapToGrid w:val="0"/>
          <w:color w:val="0070C0"/>
          <w:sz w:val="20"/>
        </w:rPr>
        <w:t>—</w:t>
      </w:r>
    </w:p>
    <w:p w:rsidR="00166E24" w:rsidRPr="00C3232C" w:rsidRDefault="00166E24" w:rsidP="007B723E">
      <w:pPr>
        <w:pStyle w:val="ListParagraph"/>
        <w:numPr>
          <w:ilvl w:val="1"/>
          <w:numId w:val="90"/>
        </w:numPr>
        <w:ind w:left="2520" w:hanging="540"/>
        <w:contextualSpacing/>
        <w:jc w:val="both"/>
        <w:rPr>
          <w:rFonts w:cs="Arial"/>
          <w:color w:val="0070C0"/>
          <w:sz w:val="20"/>
        </w:rPr>
      </w:pPr>
      <w:r w:rsidRPr="00C3232C">
        <w:rPr>
          <w:rFonts w:cs="Arial"/>
          <w:color w:val="0070C0"/>
          <w:sz w:val="20"/>
        </w:rPr>
        <w:t xml:space="preserve">to a company, if return of income tax alongwith audited accounts or final accounts, as the case may be, for the relevant tax year are filed by the company electronically during the said period of forty-five days; and </w:t>
      </w:r>
    </w:p>
    <w:p w:rsidR="00166E24" w:rsidRPr="00C3232C" w:rsidRDefault="00166E24" w:rsidP="00166E24">
      <w:pPr>
        <w:pStyle w:val="ListParagraph"/>
        <w:ind w:left="2520"/>
        <w:contextualSpacing/>
        <w:jc w:val="both"/>
        <w:rPr>
          <w:rFonts w:cs="Arial"/>
          <w:color w:val="0070C0"/>
          <w:sz w:val="20"/>
        </w:rPr>
      </w:pPr>
    </w:p>
    <w:p w:rsidR="00E227F4" w:rsidRPr="00166E24" w:rsidRDefault="00166E24" w:rsidP="007B723E">
      <w:pPr>
        <w:pStyle w:val="ListParagraph"/>
        <w:numPr>
          <w:ilvl w:val="1"/>
          <w:numId w:val="90"/>
        </w:numPr>
        <w:ind w:left="2520" w:hanging="540"/>
        <w:contextualSpacing/>
        <w:jc w:val="both"/>
        <w:rPr>
          <w:rFonts w:cs="Arial"/>
          <w:sz w:val="20"/>
        </w:rPr>
      </w:pPr>
      <w:r w:rsidRPr="00C3232C">
        <w:rPr>
          <w:rFonts w:cs="Arial"/>
          <w:color w:val="0070C0"/>
          <w:sz w:val="20"/>
        </w:rPr>
        <w:t xml:space="preserve">if the company </w:t>
      </w:r>
      <w:r w:rsidRPr="00C3232C">
        <w:rPr>
          <w:rFonts w:cs="Arial"/>
          <w:snapToGrid w:val="0"/>
          <w:color w:val="0070C0"/>
          <w:sz w:val="20"/>
        </w:rPr>
        <w:t>presents accounts and documents for conducting audit of its income tax affairs for that tax year</w:t>
      </w:r>
      <w:r w:rsidRPr="00C3232C">
        <w:rPr>
          <w:rFonts w:cs="Arial"/>
          <w:color w:val="0070C0"/>
          <w:sz w:val="20"/>
        </w:rPr>
        <w:t>.”</w:t>
      </w:r>
      <w:r w:rsidR="00CD60C5" w:rsidRPr="00C3232C">
        <w:rPr>
          <w:rFonts w:cs="Arial"/>
          <w:color w:val="0070C0"/>
          <w:sz w:val="20"/>
        </w:rPr>
        <w:t>]</w:t>
      </w:r>
    </w:p>
    <w:p w:rsidR="00166E24" w:rsidRDefault="00166E24" w:rsidP="00E227F4">
      <w:pPr>
        <w:ind w:left="547" w:firstLine="547"/>
        <w:jc w:val="both"/>
        <w:rPr>
          <w:rFonts w:cs="Arial"/>
          <w:sz w:val="20"/>
        </w:rPr>
      </w:pPr>
    </w:p>
    <w:p w:rsidR="006A3F93" w:rsidRPr="00412620" w:rsidRDefault="006A3F93">
      <w:pPr>
        <w:jc w:val="both"/>
        <w:rPr>
          <w:sz w:val="20"/>
        </w:rPr>
      </w:pPr>
      <w:r w:rsidRPr="00412620">
        <w:rPr>
          <w:rFonts w:cs="Arial"/>
          <w:b/>
          <w:sz w:val="20"/>
        </w:rPr>
        <w:t>123.</w:t>
      </w:r>
      <w:r w:rsidRPr="00412620">
        <w:rPr>
          <w:rFonts w:cs="Arial"/>
          <w:b/>
          <w:sz w:val="20"/>
        </w:rPr>
        <w:tab/>
        <w:t>Provisional assessment in certain cases.</w:t>
      </w:r>
      <w:r w:rsidR="0067573F" w:rsidRPr="00412620">
        <w:rPr>
          <w:rFonts w:cs="Arial"/>
          <w:sz w:val="20"/>
        </w:rPr>
        <w:t>—</w:t>
      </w:r>
      <w:r w:rsidRPr="00412620">
        <w:rPr>
          <w:sz w:val="20"/>
        </w:rPr>
        <w:t xml:space="preserve"> (1)  Where a concealed asset of any person is impounded by any department or agency of the Federal Government or a Provincial Government, the Commissioner may, at any time before issuing any assessment order under section 121 or any amended assessment order under section 122, issue to the person a provisional assessment order or provisional amended assessment order, as the case may be, for the last completed tax year of the person taking into account the concealed asset.</w:t>
      </w:r>
    </w:p>
    <w:p w:rsidR="006A3F93" w:rsidRPr="00412620" w:rsidRDefault="006A3F93">
      <w:pPr>
        <w:jc w:val="both"/>
        <w:rPr>
          <w:rFonts w:cs="Arial"/>
          <w:b/>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The Commissioner shall finalise a provisional assessment order or a provisional amended assessment order as soon as practicable </w:t>
      </w:r>
      <w:r w:rsidRPr="00412620">
        <w:rPr>
          <w:rStyle w:val="FootnoteReference"/>
          <w:rFonts w:cs="Arial"/>
          <w:sz w:val="20"/>
        </w:rPr>
        <w:footnoteReference w:id="733"/>
      </w:r>
      <w:r w:rsidRPr="00412620">
        <w:rPr>
          <w:rFonts w:cs="Arial"/>
          <w:sz w:val="20"/>
        </w:rPr>
        <w:t xml:space="preserve">[  ]. </w:t>
      </w:r>
    </w:p>
    <w:p w:rsidR="006A3F93" w:rsidRPr="00412620" w:rsidRDefault="006A3F93">
      <w:pPr>
        <w:jc w:val="both"/>
        <w:rPr>
          <w:rFonts w:cs="Arial"/>
          <w:b/>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In this section, “concealed asset” means any property or asset which, in the opinion of the Commissioner, was acquired from any income subject to tax under this Ordinance.</w:t>
      </w:r>
      <w:r w:rsidRPr="00412620">
        <w:rPr>
          <w:rFonts w:cs="Arial"/>
          <w:b/>
          <w:sz w:val="20"/>
        </w:rPr>
        <w:tab/>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124.</w:t>
      </w:r>
      <w:r w:rsidRPr="00412620">
        <w:rPr>
          <w:rFonts w:cs="Arial"/>
          <w:b/>
          <w:sz w:val="20"/>
        </w:rPr>
        <w:tab/>
        <w:t>Assessment giving effect to an order.</w:t>
      </w:r>
      <w:r w:rsidR="00F605F7" w:rsidRPr="00412620">
        <w:rPr>
          <w:rFonts w:cs="Arial"/>
          <w:sz w:val="20"/>
        </w:rPr>
        <w:t xml:space="preserve"> —</w:t>
      </w:r>
      <w:r w:rsidRPr="00412620">
        <w:rPr>
          <w:sz w:val="20"/>
        </w:rPr>
        <w:t xml:space="preserve">  (1)  Except where sub-section (2) applies, where, in consequence of, or to give effect to, any finding or direction </w:t>
      </w:r>
      <w:r w:rsidRPr="00412620">
        <w:rPr>
          <w:sz w:val="20"/>
        </w:rPr>
        <w:lastRenderedPageBreak/>
        <w:t>in any order made under Part III of this Chapter by the Commissioner (Appeals), Appellate Tribunal, High Court, or Supreme Court an assessment order or amended assessment order is to be issued to any person, the Commissioner shall issue the order within two years from the end of the financial year in which the order of the Commissioner (Appeals), Appellate Tribunal, High Court or Supreme Court, as the case may be, was served on the Commissioner.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by an order made under Part III of this Chapter by the </w:t>
      </w:r>
      <w:r w:rsidR="00B23DD6" w:rsidRPr="00412620">
        <w:rPr>
          <w:rStyle w:val="FootnoteReference"/>
          <w:rFonts w:cs="Arial"/>
          <w:sz w:val="20"/>
        </w:rPr>
        <w:footnoteReference w:id="734"/>
      </w:r>
      <w:r w:rsidR="00B23DD6" w:rsidRPr="00412620">
        <w:rPr>
          <w:rFonts w:cs="Arial"/>
          <w:sz w:val="20"/>
        </w:rPr>
        <w:t>[  ]</w:t>
      </w:r>
      <w:r w:rsidRPr="00412620">
        <w:rPr>
          <w:rFonts w:cs="Arial"/>
          <w:sz w:val="20"/>
        </w:rPr>
        <w:t xml:space="preserve"> Appellate Tribunal, High Court, or Supreme Court, an assessment order is set aside </w:t>
      </w:r>
      <w:r w:rsidRPr="00412620">
        <w:rPr>
          <w:rStyle w:val="FootnoteReference"/>
          <w:rFonts w:cs="Arial"/>
          <w:sz w:val="20"/>
        </w:rPr>
        <w:footnoteReference w:id="735"/>
      </w:r>
      <w:r w:rsidRPr="00412620">
        <w:rPr>
          <w:rFonts w:cs="Arial"/>
          <w:sz w:val="20"/>
        </w:rPr>
        <w:t xml:space="preserve">[wholly or partly,] and the Commissioner </w:t>
      </w:r>
      <w:r w:rsidR="008F2F53" w:rsidRPr="00412620">
        <w:rPr>
          <w:rStyle w:val="FootnoteReference"/>
          <w:rFonts w:cs="Arial"/>
          <w:sz w:val="20"/>
        </w:rPr>
        <w:footnoteReference w:id="736"/>
      </w:r>
      <w:r w:rsidR="00A22CE9" w:rsidRPr="00412620">
        <w:rPr>
          <w:rFonts w:cs="Arial"/>
          <w:sz w:val="20"/>
        </w:rPr>
        <w:t xml:space="preserve">[or Commissioner (Appeals), as the case may be,] </w:t>
      </w:r>
      <w:r w:rsidRPr="00412620">
        <w:rPr>
          <w:rFonts w:cs="Arial"/>
          <w:sz w:val="20"/>
        </w:rPr>
        <w:t xml:space="preserve">is directed to </w:t>
      </w:r>
      <w:r w:rsidR="00957729" w:rsidRPr="00412620">
        <w:rPr>
          <w:rStyle w:val="FootnoteReference"/>
          <w:rFonts w:cs="Arial"/>
          <w:sz w:val="20"/>
        </w:rPr>
        <w:footnoteReference w:id="737"/>
      </w:r>
      <w:r w:rsidR="00957729" w:rsidRPr="00412620">
        <w:rPr>
          <w:rFonts w:cs="Arial"/>
          <w:sz w:val="20"/>
        </w:rPr>
        <w:t xml:space="preserve">[pass] </w:t>
      </w:r>
      <w:r w:rsidRPr="00412620">
        <w:rPr>
          <w:rFonts w:cs="Arial"/>
          <w:sz w:val="20"/>
        </w:rPr>
        <w:t xml:space="preserve">a new assessment order, the Commissioner </w:t>
      </w:r>
      <w:r w:rsidR="00500006" w:rsidRPr="00412620">
        <w:rPr>
          <w:rStyle w:val="FootnoteReference"/>
          <w:rFonts w:cs="Arial"/>
          <w:sz w:val="20"/>
        </w:rPr>
        <w:footnoteReference w:id="738"/>
      </w:r>
      <w:r w:rsidR="005863D5" w:rsidRPr="00412620">
        <w:rPr>
          <w:rFonts w:cs="Arial"/>
          <w:sz w:val="20"/>
        </w:rPr>
        <w:t xml:space="preserve">[or Commissioner (Appeals), as the case may be,] </w:t>
      </w:r>
      <w:r w:rsidRPr="00412620">
        <w:rPr>
          <w:rFonts w:cs="Arial"/>
          <w:sz w:val="20"/>
        </w:rPr>
        <w:t xml:space="preserve">shall </w:t>
      </w:r>
      <w:r w:rsidR="008518F5" w:rsidRPr="00412620">
        <w:rPr>
          <w:rStyle w:val="FootnoteReference"/>
          <w:rFonts w:cs="Arial"/>
          <w:sz w:val="20"/>
        </w:rPr>
        <w:footnoteReference w:id="739"/>
      </w:r>
      <w:r w:rsidR="00D3098C" w:rsidRPr="00412620">
        <w:rPr>
          <w:rFonts w:cs="Arial"/>
          <w:sz w:val="20"/>
        </w:rPr>
        <w:t xml:space="preserve">[pass] </w:t>
      </w:r>
      <w:r w:rsidRPr="00412620">
        <w:rPr>
          <w:rFonts w:cs="Arial"/>
          <w:sz w:val="20"/>
        </w:rPr>
        <w:t xml:space="preserve">the new order within </w:t>
      </w:r>
      <w:r w:rsidRPr="00412620">
        <w:rPr>
          <w:rStyle w:val="FootnoteReference"/>
          <w:rFonts w:cs="Arial"/>
          <w:sz w:val="20"/>
        </w:rPr>
        <w:footnoteReference w:id="740"/>
      </w:r>
      <w:r w:rsidRPr="00412620">
        <w:rPr>
          <w:rFonts w:cs="Arial"/>
          <w:sz w:val="20"/>
        </w:rPr>
        <w:t xml:space="preserve">[one year from the end of the financial year in which] the Commissioner </w:t>
      </w:r>
      <w:r w:rsidR="008F2F53" w:rsidRPr="00412620">
        <w:rPr>
          <w:rStyle w:val="FootnoteReference"/>
          <w:rFonts w:cs="Arial"/>
          <w:sz w:val="20"/>
        </w:rPr>
        <w:footnoteReference w:id="741"/>
      </w:r>
      <w:r w:rsidR="00A22CE9" w:rsidRPr="00412620">
        <w:rPr>
          <w:rFonts w:cs="Arial"/>
          <w:sz w:val="20"/>
        </w:rPr>
        <w:t xml:space="preserve">[or Commissioner (Appeals), as the case may be,] </w:t>
      </w:r>
      <w:r w:rsidRPr="00412620">
        <w:rPr>
          <w:rFonts w:cs="Arial"/>
          <w:sz w:val="20"/>
        </w:rPr>
        <w:t xml:space="preserve">is served with the order </w:t>
      </w:r>
      <w:r w:rsidRPr="00412620">
        <w:rPr>
          <w:rStyle w:val="FootnoteReference"/>
          <w:rFonts w:cs="Arial"/>
          <w:sz w:val="20"/>
        </w:rPr>
        <w:footnoteReference w:id="742"/>
      </w:r>
      <w:r w:rsidRPr="00412620">
        <w:rPr>
          <w:rFonts w:cs="Arial"/>
          <w:sz w:val="20"/>
        </w:rPr>
        <w:t>[:]</w:t>
      </w:r>
    </w:p>
    <w:p w:rsidR="006A3F93" w:rsidRPr="00412620" w:rsidRDefault="006A3F93">
      <w:pPr>
        <w:jc w:val="both"/>
        <w:rPr>
          <w:rFonts w:cs="Arial"/>
          <w:sz w:val="20"/>
        </w:rPr>
      </w:pPr>
    </w:p>
    <w:p w:rsidR="006A3F93" w:rsidRPr="00412620" w:rsidRDefault="00861DED" w:rsidP="00C567FB">
      <w:pPr>
        <w:ind w:left="1094" w:firstLine="765"/>
        <w:jc w:val="both"/>
        <w:rPr>
          <w:rFonts w:cs="Arial"/>
          <w:sz w:val="20"/>
        </w:rPr>
      </w:pPr>
      <w:r w:rsidRPr="00412620">
        <w:rPr>
          <w:rStyle w:val="FootnoteReference"/>
          <w:rFonts w:cs="Arial"/>
          <w:sz w:val="20"/>
        </w:rPr>
        <w:footnoteReference w:id="743"/>
      </w:r>
      <w:r w:rsidR="006A3F93" w:rsidRPr="00412620">
        <w:rPr>
          <w:rFonts w:cs="Arial"/>
          <w:sz w:val="20"/>
        </w:rPr>
        <w:t xml:space="preserve">[Provided that limitation under this sub-section shall not apply, if an appeal or reference has been preferred, against the order </w:t>
      </w:r>
      <w:r w:rsidR="00D73543" w:rsidRPr="00412620">
        <w:rPr>
          <w:rStyle w:val="FootnoteReference"/>
          <w:rFonts w:cs="Arial"/>
          <w:sz w:val="20"/>
        </w:rPr>
        <w:footnoteReference w:id="744"/>
      </w:r>
      <w:r w:rsidR="00D73543" w:rsidRPr="00412620">
        <w:rPr>
          <w:rFonts w:cs="Arial"/>
          <w:sz w:val="20"/>
        </w:rPr>
        <w:t>[ ]</w:t>
      </w:r>
      <w:r w:rsidR="006A3F93" w:rsidRPr="00412620">
        <w:rPr>
          <w:rFonts w:cs="Arial"/>
          <w:sz w:val="20"/>
        </w:rPr>
        <w:t xml:space="preserve">, passed by </w:t>
      </w:r>
      <w:r w:rsidR="006247F0" w:rsidRPr="00412620">
        <w:rPr>
          <w:rStyle w:val="FootnoteReference"/>
          <w:rFonts w:cs="Arial"/>
          <w:sz w:val="20"/>
        </w:rPr>
        <w:footnoteReference w:id="745"/>
      </w:r>
      <w:r w:rsidR="006247F0" w:rsidRPr="00412620">
        <w:rPr>
          <w:rFonts w:cs="Arial"/>
          <w:sz w:val="20"/>
        </w:rPr>
        <w:t>[ ]</w:t>
      </w:r>
      <w:r w:rsidR="006A3F93" w:rsidRPr="00412620">
        <w:rPr>
          <w:rFonts w:cs="Arial"/>
          <w:sz w:val="20"/>
        </w:rPr>
        <w:t xml:space="preserve"> Appellate Tribunal or a High Court.]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an assessment order has been set aside or modified, the proceedings may commence from the stage next preceding the stage at which such setting aside or modification took place and nothing contained in this Ordinance shall render necessary the re-issue of any notice which had already been issued or the re-furnishing or re-filing of any return, statement, or other particulars which had already been furnished or filed.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Where direct relief is provided in an order under section 129 or 132, the Commissioner shall issue appeal effect orders within two months of the date the Commissioner is served with the order.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Where, by any order referred to in sub-section (1), any income is excluded </w:t>
      </w:r>
      <w:r w:rsidR="009828B7"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(a)</w:t>
      </w:r>
      <w:r w:rsidRPr="00412620">
        <w:rPr>
          <w:rFonts w:cs="Arial"/>
          <w:sz w:val="20"/>
        </w:rPr>
        <w:tab/>
        <w:t>from the computation of the taxable income of a taxpayer for any year and held to be included in the computation of the taxable income of the taxpayer for another year;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from the computation of the taxable income of one taxpayer and held to be included in the computation of the taxable income of another taxpayer,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the assessment or amended assessment relating to that other tax year or other taxpayer, as the case may be, shall be treated as an assessment or amended assessment to be made in consequence of, or to give effect to, a finding or direction contained in such order.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Nothing in this Part shall prevent the issuing of an assessment order or an amended assessment order to give effect to an order made under Part III of this Chapter by the Commissioner (Appeals), Appellate Tribunal, High Court, or Supreme Court. </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746"/>
      </w:r>
      <w:r w:rsidRPr="00412620">
        <w:rPr>
          <w:rFonts w:cs="Arial"/>
          <w:sz w:val="20"/>
        </w:rPr>
        <w:t>[(7)</w:t>
      </w:r>
      <w:r w:rsidRPr="00412620">
        <w:rPr>
          <w:rFonts w:cs="Arial"/>
          <w:sz w:val="20"/>
        </w:rPr>
        <w:tab/>
        <w:t>The provisions of this section shall in like manner apply to any order issued by any High Court or the Supreme Court in exercise of original or appellate jurisdiction.]</w:t>
      </w:r>
    </w:p>
    <w:p w:rsidR="006A3F93" w:rsidRPr="00412620" w:rsidRDefault="006A3F93">
      <w:pPr>
        <w:jc w:val="both"/>
        <w:rPr>
          <w:rFonts w:cs="Arial"/>
          <w:sz w:val="20"/>
        </w:rPr>
      </w:pPr>
    </w:p>
    <w:p w:rsidR="006A3F93" w:rsidRPr="00412620" w:rsidRDefault="006A3F93">
      <w:pPr>
        <w:jc w:val="both"/>
        <w:rPr>
          <w:sz w:val="20"/>
        </w:rPr>
      </w:pPr>
      <w:r w:rsidRPr="00412620">
        <w:rPr>
          <w:rStyle w:val="FootnoteReference"/>
          <w:rFonts w:cs="Arial"/>
          <w:sz w:val="20"/>
        </w:rPr>
        <w:footnoteReference w:id="747"/>
      </w:r>
      <w:r w:rsidRPr="00412620">
        <w:rPr>
          <w:sz w:val="20"/>
        </w:rPr>
        <w:t>[</w:t>
      </w:r>
      <w:r w:rsidRPr="00412620">
        <w:rPr>
          <w:b/>
          <w:sz w:val="20"/>
        </w:rPr>
        <w:t>124A. Powers of tax authorities to modify orders, etc.</w:t>
      </w:r>
      <w:r w:rsidR="009828B7" w:rsidRPr="00412620">
        <w:rPr>
          <w:rFonts w:cs="Arial"/>
          <w:sz w:val="20"/>
        </w:rPr>
        <w:t>—</w:t>
      </w:r>
      <w:r w:rsidRPr="00412620">
        <w:rPr>
          <w:sz w:val="20"/>
        </w:rPr>
        <w:t xml:space="preserve">(1) Where a question of law has been decided by a High Court or the Appellate Tribunal in the case of a taxpayer, on or after first day of July 2002, the Commissioner may, notwithstanding that he has preferred an appeal against the decision of the High Court or made an application for reference against the order of the Appellate Tribunal, as the case may be, follow the said decision in the case of the said taxpayer in so far as it applies to said question of law arising in any assessment pending before the Commissioner until the decision of the High Court or of the Appellate Tribunal is reversed or modified. </w:t>
      </w:r>
    </w:p>
    <w:p w:rsidR="006A3F93" w:rsidRPr="00412620" w:rsidRDefault="006A3F93">
      <w:pPr>
        <w:jc w:val="both"/>
        <w:rPr>
          <w:rFonts w:cs="Arial"/>
          <w:sz w:val="20"/>
        </w:rPr>
      </w:pPr>
    </w:p>
    <w:p w:rsidR="006A3F93" w:rsidRPr="00412620" w:rsidRDefault="006A3F93">
      <w:pPr>
        <w:pStyle w:val="BodyText3"/>
        <w:widowControl/>
        <w:rPr>
          <w:rFonts w:ascii="Arial" w:hAnsi="Arial"/>
          <w:b/>
          <w:sz w:val="20"/>
          <w:lang w:val="en-AU"/>
        </w:rPr>
      </w:pPr>
      <w:r w:rsidRPr="00412620">
        <w:rPr>
          <w:rFonts w:ascii="Arial" w:hAnsi="Arial"/>
          <w:sz w:val="20"/>
          <w:lang w:val="en-AU"/>
        </w:rPr>
        <w:tab/>
        <w:t xml:space="preserve">(2) </w:t>
      </w:r>
      <w:r w:rsidRPr="00412620">
        <w:rPr>
          <w:rFonts w:ascii="Arial" w:hAnsi="Arial"/>
          <w:sz w:val="20"/>
          <w:lang w:val="en-AU"/>
        </w:rPr>
        <w:tab/>
        <w:t>In case the decision of High Court or the Appellate Tribunal, referred to in sub-section (1), is reversed or modified, the Commissioner may, notwithstanding the expiry of period of limitation prescribed for making any assessment or order, within a period of one year from the date of receipt of decision, modify the assessment or order in which the said decision was applied so that it conforms to the final decision.]</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125.</w:t>
      </w:r>
      <w:r w:rsidRPr="00412620">
        <w:rPr>
          <w:rFonts w:cs="Arial"/>
          <w:b/>
          <w:sz w:val="20"/>
        </w:rPr>
        <w:tab/>
        <w:t xml:space="preserve"> Assessment in relation to disputed property.</w:t>
      </w:r>
      <w:r w:rsidR="00F605F7" w:rsidRPr="00412620">
        <w:rPr>
          <w:rFonts w:cs="Arial"/>
          <w:sz w:val="20"/>
        </w:rPr>
        <w:t>—</w:t>
      </w:r>
      <w:r w:rsidRPr="00412620">
        <w:rPr>
          <w:sz w:val="20"/>
        </w:rPr>
        <w:t xml:space="preserve"> Where the ownership of any property the income from which is chargeable to tax under this Ordinance is in dispute in any Civil Court in Pakistan, an assessment order or amended assessment order in respect of such income may be issued at any time within </w:t>
      </w:r>
      <w:r w:rsidRPr="00412620">
        <w:rPr>
          <w:sz w:val="20"/>
        </w:rPr>
        <w:lastRenderedPageBreak/>
        <w:t>one year after the end of the financial year in which the decision of the Court is made.</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126.</w:t>
      </w:r>
      <w:r w:rsidRPr="00412620">
        <w:rPr>
          <w:rFonts w:cs="Arial"/>
          <w:b/>
          <w:sz w:val="20"/>
        </w:rPr>
        <w:tab/>
        <w:t xml:space="preserve"> Evidence of assessment.</w:t>
      </w:r>
      <w:r w:rsidR="00F605F7" w:rsidRPr="00412620">
        <w:rPr>
          <w:rFonts w:cs="Arial"/>
          <w:sz w:val="20"/>
        </w:rPr>
        <w:t>—</w:t>
      </w:r>
      <w:r w:rsidRPr="00412620">
        <w:rPr>
          <w:sz w:val="20"/>
        </w:rPr>
        <w:t xml:space="preserve"> (1)  The production of an assessment order or a certified copy of an assessment order shall be conclusive evidence of the due making of the assessment and, except in proceedings under Part III of this Chapter relating to the assessment, that the amount and all particulars of the assessment are correct.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Any </w:t>
      </w:r>
      <w:r w:rsidRPr="00412620">
        <w:rPr>
          <w:rStyle w:val="FootnoteReference"/>
          <w:rFonts w:cs="Arial"/>
          <w:sz w:val="20"/>
        </w:rPr>
        <w:footnoteReference w:id="748"/>
      </w:r>
      <w:r w:rsidRPr="00412620">
        <w:rPr>
          <w:rFonts w:cs="Arial"/>
          <w:sz w:val="20"/>
        </w:rPr>
        <w:t>[order] of assessment or other document purporting to be made, issued, or executed under this Ordinance may not be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quashed or deemed to be void or voidable for want of form;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affected by reason of any mistake, defect, or omission therein,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if it is, in substance and effect, in conformity with this Ordinance and the person assessed, or intended to be assessed or affected by the document, is designated in it according to common understanding.</w:t>
      </w:r>
    </w:p>
    <w:p w:rsidR="006A3F93" w:rsidRPr="00412620" w:rsidRDefault="006A3F93">
      <w:pPr>
        <w:rPr>
          <w:rFonts w:cs="Arial"/>
          <w:sz w:val="20"/>
        </w:rPr>
      </w:pPr>
    </w:p>
    <w:p w:rsidR="00280ADF" w:rsidRDefault="00A808DD">
      <w:pPr>
        <w:keepNext/>
        <w:jc w:val="center"/>
        <w:rPr>
          <w:rFonts w:cs="Arial"/>
          <w:b/>
          <w:sz w:val="20"/>
        </w:rPr>
      </w:pPr>
      <w:r w:rsidRPr="00412620">
        <w:rPr>
          <w:rFonts w:cs="Arial"/>
          <w:b/>
          <w:sz w:val="20"/>
        </w:rPr>
        <w:br w:type="page"/>
      </w:r>
    </w:p>
    <w:p w:rsidR="00280ADF" w:rsidRDefault="00280ADF">
      <w:pPr>
        <w:keepNext/>
        <w:jc w:val="center"/>
        <w:rPr>
          <w:rFonts w:cs="Arial"/>
          <w:b/>
          <w:sz w:val="20"/>
        </w:rPr>
      </w:pPr>
    </w:p>
    <w:p w:rsidR="006A3F93" w:rsidRPr="00412620" w:rsidRDefault="006A3F93">
      <w:pPr>
        <w:keepNext/>
        <w:jc w:val="center"/>
        <w:rPr>
          <w:rFonts w:cs="Arial"/>
          <w:b/>
          <w:sz w:val="32"/>
          <w:szCs w:val="32"/>
        </w:rPr>
      </w:pPr>
      <w:r w:rsidRPr="00412620">
        <w:rPr>
          <w:rFonts w:cs="Arial"/>
          <w:b/>
          <w:sz w:val="32"/>
          <w:szCs w:val="32"/>
        </w:rPr>
        <w:t>PART III</w:t>
      </w:r>
    </w:p>
    <w:p w:rsidR="006A3F93" w:rsidRPr="00412620" w:rsidRDefault="006A3F93">
      <w:pPr>
        <w:keepNext/>
        <w:jc w:val="center"/>
        <w:rPr>
          <w:rFonts w:cs="Arial"/>
          <w:b/>
          <w:sz w:val="20"/>
        </w:rPr>
      </w:pPr>
      <w:r w:rsidRPr="00412620">
        <w:rPr>
          <w:rFonts w:cs="Arial"/>
          <w:b/>
          <w:sz w:val="20"/>
        </w:rPr>
        <w:t>APPEALS</w:t>
      </w:r>
    </w:p>
    <w:p w:rsidR="00280ADF" w:rsidRPr="00280ADF" w:rsidRDefault="00280ADF">
      <w:pPr>
        <w:pStyle w:val="CommentText"/>
        <w:keepNext/>
        <w:rPr>
          <w:rFonts w:cs="Arial"/>
          <w:sz w:val="24"/>
        </w:rPr>
      </w:pPr>
    </w:p>
    <w:p w:rsidR="006A3F93" w:rsidRPr="00412620" w:rsidRDefault="006A3F93">
      <w:pPr>
        <w:jc w:val="both"/>
        <w:rPr>
          <w:b/>
          <w:sz w:val="20"/>
        </w:rPr>
      </w:pPr>
      <w:r w:rsidRPr="00412620">
        <w:rPr>
          <w:rFonts w:cs="Arial"/>
          <w:b/>
          <w:sz w:val="20"/>
        </w:rPr>
        <w:t>127.</w:t>
      </w:r>
      <w:r w:rsidR="00966F3F">
        <w:rPr>
          <w:rFonts w:cs="Arial"/>
          <w:b/>
          <w:sz w:val="20"/>
        </w:rPr>
        <w:t xml:space="preserve"> </w:t>
      </w:r>
      <w:r w:rsidRPr="00412620">
        <w:rPr>
          <w:b/>
          <w:sz w:val="20"/>
        </w:rPr>
        <w:t>Appeal to the Commissioner (Appeals).</w:t>
      </w:r>
      <w:r w:rsidR="003E5D64" w:rsidRPr="00412620">
        <w:rPr>
          <w:rFonts w:cs="Arial"/>
          <w:sz w:val="20"/>
        </w:rPr>
        <w:t>—</w:t>
      </w:r>
      <w:r w:rsidRPr="00412620">
        <w:rPr>
          <w:rStyle w:val="FootnoteReference"/>
          <w:sz w:val="20"/>
        </w:rPr>
        <w:footnoteReference w:id="749"/>
      </w:r>
      <w:r w:rsidRPr="00412620">
        <w:rPr>
          <w:sz w:val="20"/>
        </w:rPr>
        <w:t>[(1) Any person dissatisfied with any order passed by a Commissioner or a</w:t>
      </w:r>
      <w:r w:rsidR="008852BF" w:rsidRPr="00412620">
        <w:rPr>
          <w:sz w:val="20"/>
        </w:rPr>
        <w:t>n</w:t>
      </w:r>
      <w:r w:rsidR="00F53D60">
        <w:rPr>
          <w:sz w:val="20"/>
        </w:rPr>
        <w:t xml:space="preserve"> </w:t>
      </w:r>
      <w:r w:rsidR="003C71F2" w:rsidRPr="00F53D60">
        <w:rPr>
          <w:rStyle w:val="FootnoteReference"/>
          <w:color w:val="000000" w:themeColor="text1"/>
          <w:sz w:val="20"/>
        </w:rPr>
        <w:footnoteReference w:id="750"/>
      </w:r>
      <w:r w:rsidR="008852BF" w:rsidRPr="00F53D60">
        <w:rPr>
          <w:color w:val="000000" w:themeColor="text1"/>
          <w:sz w:val="20"/>
        </w:rPr>
        <w:t>[</w:t>
      </w:r>
      <w:r w:rsidR="008852BF" w:rsidRPr="00F53D60">
        <w:rPr>
          <w:rFonts w:cs="Arial"/>
          <w:color w:val="000000" w:themeColor="text1"/>
          <w:sz w:val="20"/>
        </w:rPr>
        <w:t>Officer of Inland Revenue]</w:t>
      </w:r>
      <w:r w:rsidR="00F53D60">
        <w:rPr>
          <w:rFonts w:cs="Arial"/>
          <w:color w:val="000000" w:themeColor="text1"/>
          <w:sz w:val="20"/>
        </w:rPr>
        <w:t xml:space="preserve"> </w:t>
      </w:r>
      <w:r w:rsidR="008A6EB0">
        <w:rPr>
          <w:sz w:val="20"/>
        </w:rPr>
        <w:t>under section 121</w:t>
      </w:r>
      <w:r w:rsidRPr="00412620">
        <w:rPr>
          <w:sz w:val="20"/>
        </w:rPr>
        <w:t xml:space="preserve">,122, 143, 144, </w:t>
      </w:r>
      <w:r w:rsidRPr="00412620">
        <w:rPr>
          <w:rStyle w:val="FootnoteReference"/>
          <w:sz w:val="20"/>
        </w:rPr>
        <w:footnoteReference w:id="751"/>
      </w:r>
      <w:r w:rsidRPr="00412620">
        <w:rPr>
          <w:sz w:val="20"/>
        </w:rPr>
        <w:t xml:space="preserve">[162,] 170, 182, </w:t>
      </w:r>
      <w:r w:rsidR="00785928" w:rsidRPr="00412620">
        <w:rPr>
          <w:rStyle w:val="FootnoteReference"/>
          <w:sz w:val="20"/>
        </w:rPr>
        <w:footnoteReference w:id="752"/>
      </w:r>
      <w:r w:rsidR="00785928" w:rsidRPr="00412620">
        <w:rPr>
          <w:sz w:val="20"/>
        </w:rPr>
        <w:t>[  ]</w:t>
      </w:r>
      <w:r w:rsidR="009D7124" w:rsidRPr="00412620">
        <w:rPr>
          <w:rStyle w:val="FootnoteReference"/>
          <w:sz w:val="20"/>
        </w:rPr>
        <w:footnoteReference w:id="753"/>
      </w:r>
      <w:r w:rsidR="009D7124" w:rsidRPr="00412620">
        <w:rPr>
          <w:sz w:val="20"/>
        </w:rPr>
        <w:t>[or 205]</w:t>
      </w:r>
      <w:r w:rsidRPr="00412620">
        <w:rPr>
          <w:sz w:val="20"/>
        </w:rPr>
        <w:t xml:space="preserve">, or an order under sub-section (1) of section 161 holding a person to be personally liable to pay an amount of tax, or an order under clause (f) of sub-section (3) of section 172 </w:t>
      </w:r>
      <w:r w:rsidRPr="00412620">
        <w:rPr>
          <w:rStyle w:val="FootnoteReference"/>
          <w:sz w:val="20"/>
        </w:rPr>
        <w:footnoteReference w:id="754"/>
      </w:r>
      <w:r w:rsidRPr="00412620">
        <w:rPr>
          <w:sz w:val="20"/>
        </w:rPr>
        <w:t>[declaring] a person to be the representative of a non-resident person</w:t>
      </w:r>
      <w:r w:rsidR="00947786" w:rsidRPr="00412620">
        <w:rPr>
          <w:sz w:val="20"/>
        </w:rPr>
        <w:t xml:space="preserve"> [or an order giving effect to any finding or directions in any order made under this Part by the Commissioner (Appeals), Appellate Tribunal, High Court or Supreme Court]</w:t>
      </w:r>
      <w:r w:rsidRPr="00412620">
        <w:rPr>
          <w:sz w:val="20"/>
        </w:rPr>
        <w:t>, or an order under section 221 refusing to rectify the mistake, either in full or in part, as claimed by the taxpayer or an order having the effect of enhancing the assessment or reducing a refund or otherwise increasing the liability of the person</w:t>
      </w:r>
      <w:r w:rsidR="00556A8F" w:rsidRPr="00412620">
        <w:rPr>
          <w:rStyle w:val="FootnoteReference"/>
          <w:sz w:val="20"/>
        </w:rPr>
        <w:footnoteReference w:id="755"/>
      </w:r>
      <w:r w:rsidR="00556A8F" w:rsidRPr="00412620">
        <w:rPr>
          <w:sz w:val="20"/>
        </w:rPr>
        <w:t xml:space="preserve">[, except </w:t>
      </w:r>
      <w:r w:rsidR="004C4334" w:rsidRPr="00412620">
        <w:rPr>
          <w:rStyle w:val="FootnoteReference"/>
          <w:sz w:val="20"/>
        </w:rPr>
        <w:footnoteReference w:id="756"/>
      </w:r>
      <w:r w:rsidR="004C4334" w:rsidRPr="00412620">
        <w:rPr>
          <w:sz w:val="20"/>
        </w:rPr>
        <w:t xml:space="preserve">[an] </w:t>
      </w:r>
      <w:r w:rsidR="00556A8F" w:rsidRPr="00412620">
        <w:rPr>
          <w:sz w:val="20"/>
        </w:rPr>
        <w:t>assessment order under section 122C,]</w:t>
      </w:r>
      <w:r w:rsidRPr="00412620">
        <w:rPr>
          <w:sz w:val="20"/>
        </w:rPr>
        <w:t xml:space="preserve"> may prefer an appeal to the Commissioner (Appeals) against the order.]</w:t>
      </w:r>
    </w:p>
    <w:p w:rsidR="006A3F93" w:rsidRPr="00652764" w:rsidRDefault="006A3F93">
      <w:pPr>
        <w:jc w:val="both"/>
        <w:rPr>
          <w:rFonts w:cs="Arial"/>
          <w:sz w:val="12"/>
        </w:rPr>
      </w:pPr>
    </w:p>
    <w:p w:rsidR="00A5569C" w:rsidRDefault="006A3F93">
      <w:pPr>
        <w:ind w:firstLine="547"/>
        <w:jc w:val="both"/>
        <w:rPr>
          <w:rFonts w:cs="Arial"/>
          <w:sz w:val="20"/>
        </w:rPr>
      </w:pPr>
      <w:r w:rsidRPr="00412620">
        <w:rPr>
          <w:rStyle w:val="FootnoteReference"/>
          <w:rFonts w:cs="Arial"/>
          <w:sz w:val="20"/>
        </w:rPr>
        <w:footnoteReference w:id="757"/>
      </w:r>
      <w:r w:rsidRPr="00412620">
        <w:rPr>
          <w:sz w:val="20"/>
        </w:rPr>
        <w:t>[(2)</w:t>
      </w:r>
      <w:r w:rsidRPr="00412620">
        <w:rPr>
          <w:sz w:val="20"/>
        </w:rPr>
        <w:tab/>
        <w:t xml:space="preserve">No appeal under sub-section (1), shall be made by a taxpayer </w:t>
      </w:r>
      <w:r w:rsidRPr="00277024">
        <w:rPr>
          <w:sz w:val="20"/>
        </w:rPr>
        <w:t xml:space="preserve">against </w:t>
      </w:r>
      <w:r w:rsidRPr="00412620">
        <w:rPr>
          <w:sz w:val="20"/>
        </w:rPr>
        <w:t>an order of assessment unless the taxpayer has paid</w:t>
      </w:r>
      <w:r w:rsidR="00D13199">
        <w:rPr>
          <w:sz w:val="20"/>
        </w:rPr>
        <w:t xml:space="preserve">, </w:t>
      </w:r>
      <w:r w:rsidR="00ED1AEF" w:rsidRPr="00412620">
        <w:rPr>
          <w:rFonts w:cs="Arial"/>
          <w:sz w:val="20"/>
        </w:rPr>
        <w:t>—</w:t>
      </w:r>
    </w:p>
    <w:p w:rsidR="00ED1AEF" w:rsidRPr="00652764" w:rsidRDefault="00ED1AEF">
      <w:pPr>
        <w:ind w:firstLine="547"/>
        <w:jc w:val="both"/>
        <w:rPr>
          <w:sz w:val="12"/>
        </w:rPr>
      </w:pPr>
    </w:p>
    <w:p w:rsidR="006A3F93" w:rsidRPr="006055BD" w:rsidRDefault="006A3F93" w:rsidP="006055BD">
      <w:pPr>
        <w:pStyle w:val="ListParagraph"/>
        <w:numPr>
          <w:ilvl w:val="0"/>
          <w:numId w:val="98"/>
        </w:numPr>
        <w:jc w:val="both"/>
        <w:rPr>
          <w:sz w:val="20"/>
        </w:rPr>
      </w:pPr>
      <w:r w:rsidRPr="006055BD">
        <w:rPr>
          <w:sz w:val="20"/>
        </w:rPr>
        <w:t xml:space="preserve">the amount of tax due under </w:t>
      </w:r>
      <w:r w:rsidR="00B767FA" w:rsidRPr="006055BD">
        <w:rPr>
          <w:sz w:val="20"/>
        </w:rPr>
        <w:t>sub-section (1) of section 137 and</w:t>
      </w:r>
    </w:p>
    <w:p w:rsidR="00280ADF" w:rsidRPr="00652764" w:rsidRDefault="00280ADF" w:rsidP="00A5569C">
      <w:pPr>
        <w:pStyle w:val="ListParagraph"/>
        <w:ind w:left="1080"/>
        <w:jc w:val="both"/>
        <w:rPr>
          <w:sz w:val="12"/>
        </w:rPr>
      </w:pPr>
    </w:p>
    <w:p w:rsidR="00CA2621" w:rsidRDefault="00A5569C" w:rsidP="00280ADF">
      <w:pPr>
        <w:ind w:left="1080" w:hanging="561"/>
        <w:jc w:val="both"/>
        <w:rPr>
          <w:sz w:val="20"/>
        </w:rPr>
      </w:pPr>
      <w:r>
        <w:rPr>
          <w:rStyle w:val="FootnoteReference"/>
          <w:sz w:val="20"/>
        </w:rPr>
        <w:footnoteReference w:id="758"/>
      </w:r>
      <w:r>
        <w:rPr>
          <w:sz w:val="20"/>
        </w:rPr>
        <w:t>[</w:t>
      </w:r>
      <w:r w:rsidR="00277024">
        <w:rPr>
          <w:sz w:val="20"/>
        </w:rPr>
        <w:t>(</w:t>
      </w:r>
      <w:r>
        <w:rPr>
          <w:sz w:val="20"/>
        </w:rPr>
        <w:t>b)</w:t>
      </w:r>
      <w:r>
        <w:rPr>
          <w:sz w:val="20"/>
        </w:rPr>
        <w:tab/>
      </w:r>
      <w:r w:rsidR="0007672B" w:rsidRPr="00A5569C">
        <w:rPr>
          <w:sz w:val="20"/>
        </w:rPr>
        <w:t xml:space="preserve">no appeal under sub-section (1) shall be made by a taxpayer </w:t>
      </w:r>
      <w:r w:rsidR="00277024" w:rsidRPr="00F53D60">
        <w:rPr>
          <w:rStyle w:val="FootnoteReference"/>
          <w:color w:val="000000" w:themeColor="text1"/>
          <w:sz w:val="20"/>
        </w:rPr>
        <w:footnoteReference w:id="759"/>
      </w:r>
      <w:r w:rsidR="00277024" w:rsidRPr="00F53D60">
        <w:rPr>
          <w:color w:val="000000" w:themeColor="text1"/>
          <w:sz w:val="20"/>
        </w:rPr>
        <w:t>[</w:t>
      </w:r>
      <w:r w:rsidR="0007672B" w:rsidRPr="00F53D60">
        <w:rPr>
          <w:color w:val="000000" w:themeColor="text1"/>
          <w:sz w:val="20"/>
        </w:rPr>
        <w:t>against</w:t>
      </w:r>
      <w:r w:rsidR="00277024" w:rsidRPr="00F53D60">
        <w:rPr>
          <w:color w:val="000000" w:themeColor="text1"/>
          <w:sz w:val="20"/>
        </w:rPr>
        <w:t>]</w:t>
      </w:r>
      <w:r w:rsidR="0007672B" w:rsidRPr="00A5569C">
        <w:rPr>
          <w:sz w:val="20"/>
        </w:rPr>
        <w:t xml:space="preserve"> an order of assessment unless the taxpayer has paid the amount of tax due under sub-section (1) of section 137</w:t>
      </w:r>
      <w:r>
        <w:rPr>
          <w:sz w:val="20"/>
        </w:rPr>
        <w:t>.]</w:t>
      </w:r>
    </w:p>
    <w:p w:rsidR="00CA2621" w:rsidRDefault="00CA2621" w:rsidP="00280ADF">
      <w:pPr>
        <w:ind w:left="1080" w:hanging="561"/>
        <w:jc w:val="both"/>
        <w:rPr>
          <w:sz w:val="20"/>
        </w:rPr>
      </w:pPr>
    </w:p>
    <w:p w:rsidR="006A3F93" w:rsidRPr="00412620" w:rsidRDefault="006A3F93" w:rsidP="00CA2621">
      <w:pPr>
        <w:ind w:left="540" w:hanging="561"/>
        <w:jc w:val="both"/>
        <w:rPr>
          <w:rFonts w:cs="Arial"/>
          <w:sz w:val="20"/>
        </w:rPr>
      </w:pPr>
      <w:r w:rsidRPr="00412620">
        <w:rPr>
          <w:rFonts w:cs="Arial"/>
          <w:sz w:val="20"/>
        </w:rPr>
        <w:tab/>
        <w:t>(3)</w:t>
      </w:r>
      <w:r w:rsidRPr="00412620">
        <w:rPr>
          <w:rFonts w:cs="Arial"/>
          <w:sz w:val="20"/>
        </w:rPr>
        <w:tab/>
        <w:t>An appeal under sub-section (1) shall</w:t>
      </w:r>
      <w:r w:rsidR="003E5D64" w:rsidRPr="00412620">
        <w:rPr>
          <w:rFonts w:cs="Arial"/>
          <w:sz w:val="20"/>
        </w:rPr>
        <w:t xml:space="preserve">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be in the prescribed form;</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be verified in the prescribed manner;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state precisely the grounds upon which the appeal is made;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be accompanied by the prescribed fee specified in sub-section (4);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be lodged with the Commissioner (Appeals) within the time set out in sub-section (5).</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The prescribed fee </w:t>
      </w:r>
      <w:r w:rsidRPr="00412620">
        <w:rPr>
          <w:rStyle w:val="FootnoteReference"/>
          <w:rFonts w:cs="Arial"/>
          <w:sz w:val="20"/>
        </w:rPr>
        <w:footnoteReference w:id="760"/>
      </w:r>
      <w:r w:rsidRPr="00412620">
        <w:rPr>
          <w:rFonts w:cs="Arial"/>
          <w:sz w:val="20"/>
        </w:rPr>
        <w:t xml:space="preserve">[shall be] </w:t>
      </w:r>
      <w:r w:rsidR="0087570C"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in the case of an appeal against an assessment, </w:t>
      </w:r>
      <w:r w:rsidR="00FD347F" w:rsidRPr="00412620">
        <w:rPr>
          <w:rStyle w:val="FootnoteReference"/>
          <w:rFonts w:cs="Arial"/>
          <w:sz w:val="20"/>
        </w:rPr>
        <w:footnoteReference w:id="761"/>
      </w:r>
      <w:r w:rsidR="00FD347F" w:rsidRPr="00412620">
        <w:rPr>
          <w:rFonts w:cs="Arial"/>
          <w:sz w:val="20"/>
        </w:rPr>
        <w:t>[</w:t>
      </w:r>
      <w:r w:rsidRPr="00412620">
        <w:rPr>
          <w:rFonts w:cs="Arial"/>
          <w:sz w:val="20"/>
        </w:rPr>
        <w:t>one thousand rupees</w:t>
      </w:r>
      <w:r w:rsidR="00FD347F" w:rsidRPr="00412620">
        <w:rPr>
          <w:rFonts w:cs="Arial"/>
          <w:sz w:val="20"/>
        </w:rPr>
        <w:t>]</w:t>
      </w:r>
      <w:r w:rsidR="00197F93" w:rsidRPr="00412620">
        <w:rPr>
          <w:rStyle w:val="FootnoteReference"/>
          <w:rFonts w:cs="Arial"/>
          <w:sz w:val="20"/>
        </w:rPr>
        <w:footnoteReference w:id="762"/>
      </w:r>
      <w:r w:rsidR="00197F93" w:rsidRPr="00412620">
        <w:rPr>
          <w:rFonts w:cs="Arial"/>
          <w:sz w:val="20"/>
        </w:rPr>
        <w:t>[ ]</w:t>
      </w:r>
      <w:r w:rsidRPr="00412620">
        <w:rPr>
          <w:rFonts w:cs="Arial"/>
          <w:sz w:val="20"/>
        </w:rPr>
        <w:t>;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in any other case </w:t>
      </w:r>
      <w:r w:rsidR="0087570C" w:rsidRPr="00412620">
        <w:rPr>
          <w:rFonts w:cs="Arial"/>
          <w:sz w:val="20"/>
        </w:rPr>
        <w:t>—</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 xml:space="preserve"> (i)</w:t>
      </w:r>
      <w:r w:rsidRPr="00412620">
        <w:rPr>
          <w:rFonts w:cs="Arial"/>
          <w:sz w:val="20"/>
        </w:rPr>
        <w:tab/>
        <w:t>where the appellant is a company, one thousand rupees; or</w:t>
      </w:r>
    </w:p>
    <w:p w:rsidR="006A3F93" w:rsidRPr="00412620" w:rsidRDefault="006A3F93">
      <w:pPr>
        <w:jc w:val="both"/>
        <w:rPr>
          <w:rFonts w:cs="Arial"/>
          <w:sz w:val="20"/>
        </w:rPr>
      </w:pPr>
    </w:p>
    <w:p w:rsidR="006A3F93" w:rsidRPr="00412620" w:rsidRDefault="006A3F93">
      <w:pPr>
        <w:ind w:left="2160" w:hanging="540"/>
        <w:jc w:val="both"/>
        <w:rPr>
          <w:rFonts w:cs="Arial"/>
          <w:sz w:val="20"/>
        </w:rPr>
      </w:pPr>
      <w:r w:rsidRPr="00412620">
        <w:rPr>
          <w:rFonts w:cs="Arial"/>
          <w:sz w:val="20"/>
        </w:rPr>
        <w:t>(ii)</w:t>
      </w:r>
      <w:r w:rsidRPr="00412620">
        <w:rPr>
          <w:rFonts w:cs="Arial"/>
          <w:sz w:val="20"/>
        </w:rPr>
        <w:tab/>
        <w:t>where the appellant is not a company, two hundred rupees.</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763"/>
      </w:r>
      <w:r w:rsidRPr="00412620">
        <w:rPr>
          <w:rFonts w:cs="Arial"/>
          <w:sz w:val="20"/>
        </w:rPr>
        <w:t xml:space="preserve">[(5) </w:t>
      </w:r>
      <w:r w:rsidRPr="00412620">
        <w:rPr>
          <w:rFonts w:cs="Arial"/>
          <w:sz w:val="20"/>
        </w:rPr>
        <w:tab/>
        <w:t>An appeal shall be preferred to the Commissioner (Appeals) within thirty days of the following</w:t>
      </w:r>
      <w:r w:rsidR="0087570C"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 xml:space="preserve">(a) </w:t>
      </w:r>
      <w:r w:rsidRPr="00412620">
        <w:rPr>
          <w:rFonts w:cs="Arial"/>
          <w:sz w:val="20"/>
        </w:rPr>
        <w:tab/>
        <w:t xml:space="preserve">where the appeal relates to any assessment or penalty, the date of service of the notice of demand relating to the said assessment or penalty, as the case may be; and </w:t>
      </w:r>
    </w:p>
    <w:p w:rsidR="006A3F93" w:rsidRPr="00412620" w:rsidRDefault="006A3F93">
      <w:pPr>
        <w:jc w:val="both"/>
        <w:rPr>
          <w:rFonts w:cs="Arial"/>
          <w:sz w:val="20"/>
        </w:rPr>
      </w:pPr>
    </w:p>
    <w:p w:rsidR="006A3F93" w:rsidRPr="00412620" w:rsidRDefault="006A3F93">
      <w:pPr>
        <w:ind w:left="1620" w:hanging="540"/>
        <w:jc w:val="both"/>
        <w:rPr>
          <w:rFonts w:cs="Arial"/>
          <w:b/>
          <w:sz w:val="20"/>
        </w:rPr>
      </w:pPr>
      <w:r w:rsidRPr="00412620">
        <w:rPr>
          <w:rFonts w:cs="Arial"/>
          <w:sz w:val="20"/>
        </w:rPr>
        <w:lastRenderedPageBreak/>
        <w:t xml:space="preserve">(b) </w:t>
      </w:r>
      <w:r w:rsidRPr="00412620">
        <w:rPr>
          <w:rFonts w:cs="Arial"/>
          <w:sz w:val="20"/>
        </w:rPr>
        <w:tab/>
        <w:t>in any other case, the date on which the order to be appealed against is served.]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The Commissioner (Appeals) may, upon application in writing by the appellant, admit an appeal after the expiration of the period specified in sub-section (5) if the Commissioner (Appeals) is satisfied that the appellant was prevented by sufficient cause from lodging the appeal within that period.</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128.</w:t>
      </w:r>
      <w:r w:rsidRPr="00412620">
        <w:rPr>
          <w:rFonts w:cs="Arial"/>
          <w:b/>
          <w:sz w:val="20"/>
        </w:rPr>
        <w:tab/>
        <w:t>Procedure in appeal.</w:t>
      </w:r>
      <w:r w:rsidR="0087570C" w:rsidRPr="00412620">
        <w:rPr>
          <w:rFonts w:cs="Arial"/>
          <w:sz w:val="20"/>
        </w:rPr>
        <w:t>—</w:t>
      </w:r>
      <w:r w:rsidRPr="00412620">
        <w:rPr>
          <w:sz w:val="20"/>
        </w:rPr>
        <w:t xml:space="preserve"> (1)  The Commissioner (Appeals) shall give notice of the day fixed for the hearing of the appeal to the appellant and to the Commissioner against whose order the appeal has been made.</w:t>
      </w:r>
    </w:p>
    <w:p w:rsidR="00421EDB" w:rsidRPr="00412620" w:rsidRDefault="00421EDB">
      <w:pPr>
        <w:jc w:val="both"/>
      </w:pPr>
    </w:p>
    <w:p w:rsidR="006A3F93" w:rsidRDefault="00421EDB">
      <w:pPr>
        <w:jc w:val="both"/>
        <w:rPr>
          <w:sz w:val="20"/>
        </w:rPr>
      </w:pPr>
      <w:r w:rsidRPr="00412620">
        <w:rPr>
          <w:sz w:val="20"/>
        </w:rPr>
        <w:tab/>
      </w:r>
      <w:r w:rsidRPr="00412620">
        <w:rPr>
          <w:rStyle w:val="FootnoteReference"/>
          <w:sz w:val="20"/>
        </w:rPr>
        <w:footnoteReference w:id="764"/>
      </w:r>
      <w:r w:rsidRPr="00412620">
        <w:rPr>
          <w:sz w:val="20"/>
        </w:rPr>
        <w:t>[(1A)</w:t>
      </w:r>
      <w:r w:rsidRPr="00412620">
        <w:rPr>
          <w:sz w:val="20"/>
        </w:rPr>
        <w:tab/>
        <w:t>Where in a particular case, the Commissioner (Appeals) is of the opinion that the recovery of tax levied under this Ordinance, shall cause undue hardship to the taxpayer, he, after affording opportunity of being heard to the Commissioner against whose order appeal has been made, may stay the recovery of such tax for a period not exceeding thirty days in aggregate.]</w:t>
      </w:r>
    </w:p>
    <w:p w:rsidR="00777E2E" w:rsidRDefault="00777E2E">
      <w:pPr>
        <w:jc w:val="both"/>
        <w:rPr>
          <w:sz w:val="20"/>
        </w:rPr>
      </w:pPr>
    </w:p>
    <w:p w:rsidR="00777E2E" w:rsidRPr="006055BD" w:rsidRDefault="00777E2E" w:rsidP="00777E2E">
      <w:pPr>
        <w:autoSpaceDE w:val="0"/>
        <w:autoSpaceDN w:val="0"/>
        <w:adjustRightInd w:val="0"/>
        <w:jc w:val="both"/>
        <w:rPr>
          <w:rFonts w:cs="Arial"/>
          <w:color w:val="000000" w:themeColor="text1"/>
          <w:sz w:val="20"/>
        </w:rPr>
      </w:pPr>
      <w:r>
        <w:rPr>
          <w:sz w:val="20"/>
        </w:rPr>
        <w:tab/>
      </w:r>
      <w:r w:rsidRPr="006055BD">
        <w:rPr>
          <w:rStyle w:val="FootnoteReference"/>
          <w:color w:val="000000" w:themeColor="text1"/>
          <w:sz w:val="20"/>
        </w:rPr>
        <w:footnoteReference w:id="765"/>
      </w:r>
      <w:r w:rsidRPr="006055BD">
        <w:rPr>
          <w:color w:val="000000" w:themeColor="text1"/>
          <w:sz w:val="20"/>
        </w:rPr>
        <w:t>[“</w:t>
      </w:r>
      <w:r w:rsidRPr="006055BD">
        <w:rPr>
          <w:rFonts w:cs="Arial"/>
          <w:color w:val="000000" w:themeColor="text1"/>
          <w:sz w:val="20"/>
          <w:lang w:val="en-US"/>
        </w:rPr>
        <w:t>(1AA) The Commissioner (Appeals), after affording opportunity of being heard to the Commissioner against whose order appeal has been made, may stay the recovery of such tax for a further period of thirty days, provided that the order on appeal shall be passed within the said period of t</w:t>
      </w:r>
      <w:r w:rsidR="00BE748C" w:rsidRPr="006055BD">
        <w:rPr>
          <w:rFonts w:cs="Arial"/>
          <w:color w:val="000000" w:themeColor="text1"/>
          <w:sz w:val="20"/>
          <w:lang w:val="en-US"/>
        </w:rPr>
        <w:t>hirty days.”</w:t>
      </w:r>
      <w:r w:rsidRPr="006055BD">
        <w:rPr>
          <w:rFonts w:cs="Arial"/>
          <w:color w:val="000000" w:themeColor="text1"/>
          <w:sz w:val="20"/>
          <w:lang w:val="en-US"/>
        </w:rPr>
        <w:t>]</w:t>
      </w:r>
    </w:p>
    <w:p w:rsidR="00421EDB" w:rsidRPr="00412620" w:rsidRDefault="00421EDB">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Commissioner (Appeals) may adjourn the hearing of the appeal from time to time.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The Commissioner (Appeals) may, before the hearing of an appeal, allow an appellant to file any new ground of appeal not specified in the grounds of appeal already filed by the appellant where the Commissioner (Appeals) is satisfied that the omission of the ground from the form of the appeal was not wilful or unreasonable.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The Commissioner (Appeals) may, before disposing of an appeal, call for such particulars as the Commissioner (Appeals) may require respecting the matters arising in the appeal or cause further enquiry to be made by the Commissioner.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The Commissioner (Appeals) shall not admit any documentary material or evidence which was not produced before the Commissioner unless the Commissioner (Appeals) is satisfied that the appellant was prevented by sufficient cause from producing such material or evidence before the Commissioner.</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lastRenderedPageBreak/>
        <w:t>129.</w:t>
      </w:r>
      <w:r w:rsidRPr="00412620">
        <w:rPr>
          <w:rFonts w:cs="Arial"/>
          <w:b/>
          <w:sz w:val="20"/>
        </w:rPr>
        <w:tab/>
        <w:t>Decision in appeal.</w:t>
      </w:r>
      <w:r w:rsidR="00751AC5" w:rsidRPr="00412620">
        <w:rPr>
          <w:rFonts w:cs="Arial"/>
          <w:sz w:val="20"/>
        </w:rPr>
        <w:t>—</w:t>
      </w:r>
      <w:r w:rsidRPr="00412620">
        <w:rPr>
          <w:sz w:val="20"/>
        </w:rPr>
        <w:t xml:space="preserve"> (1)  In disposing of an appeal lodged under section 127, the Commissioner (Appeals) may –</w:t>
      </w:r>
    </w:p>
    <w:p w:rsidR="006A3F93" w:rsidRPr="00412620" w:rsidRDefault="006A3F93">
      <w:pPr>
        <w:jc w:val="both"/>
        <w:rPr>
          <w:rFonts w:cs="Arial"/>
          <w:sz w:val="20"/>
        </w:rPr>
      </w:pPr>
    </w:p>
    <w:p w:rsidR="006A3F93" w:rsidRPr="00412620" w:rsidRDefault="006A3F93">
      <w:pPr>
        <w:ind w:left="1620" w:hanging="720"/>
        <w:jc w:val="both"/>
        <w:rPr>
          <w:sz w:val="20"/>
        </w:rPr>
      </w:pPr>
      <w:r w:rsidRPr="00412620">
        <w:rPr>
          <w:rStyle w:val="FootnoteReference"/>
          <w:rFonts w:cs="Arial"/>
          <w:sz w:val="20"/>
        </w:rPr>
        <w:footnoteReference w:id="766"/>
      </w:r>
      <w:r w:rsidRPr="00412620">
        <w:rPr>
          <w:sz w:val="20"/>
        </w:rPr>
        <w:t xml:space="preserve">[(a) </w:t>
      </w:r>
      <w:r w:rsidRPr="00412620">
        <w:rPr>
          <w:sz w:val="20"/>
        </w:rPr>
        <w:tab/>
        <w:t>make an order to confirm, modify or annul the assessment order after examining such evidence as required by him respecting the matters arising in appeal or causing such further enquires to be made as he deems fit; or]</w:t>
      </w:r>
    </w:p>
    <w:p w:rsidR="006A3F93" w:rsidRPr="00412620" w:rsidRDefault="006A3F93">
      <w:pPr>
        <w:jc w:val="both"/>
        <w:rPr>
          <w:rFonts w:cs="Arial"/>
          <w:sz w:val="20"/>
        </w:rPr>
      </w:pPr>
    </w:p>
    <w:p w:rsidR="006A3F93" w:rsidRPr="00412620" w:rsidRDefault="006A3F93">
      <w:pPr>
        <w:ind w:left="1620" w:hanging="630"/>
        <w:jc w:val="both"/>
        <w:rPr>
          <w:rFonts w:cs="Arial"/>
          <w:sz w:val="20"/>
        </w:rPr>
      </w:pPr>
      <w:r w:rsidRPr="00412620">
        <w:rPr>
          <w:rFonts w:cs="Arial"/>
          <w:sz w:val="20"/>
        </w:rPr>
        <w:t>(b)</w:t>
      </w:r>
      <w:r w:rsidRPr="00412620">
        <w:rPr>
          <w:rFonts w:cs="Arial"/>
          <w:sz w:val="20"/>
        </w:rPr>
        <w:tab/>
        <w:t>in any other case, make such order as the Commissioner (Appeals) thinks fit.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Commissioner (Appeals) shall not increase the amount of any assessment order or decrease the amount of any refund unless the appellant has been given a reasonable opportunity of showing cause against such increase or decrease, as the case may be.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Where, as the result of an appeal, any change is made in the assessment of an association of persons or a new assessment of an association of persons is ordered to be made, the Commissioner (Appeals) may authorise the Commissioner to amend accordingly any assessment order made on a member of the association and the time limit in sub-section (2) of section 122 shall not apply to the making such amended assessment.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As soon as practicable after deciding an appeal, the Commissioner (Appeals) shall serve </w:t>
      </w:r>
      <w:r w:rsidRPr="00412620">
        <w:rPr>
          <w:rStyle w:val="FootnoteReference"/>
          <w:rFonts w:cs="Arial"/>
          <w:sz w:val="20"/>
        </w:rPr>
        <w:footnoteReference w:id="767"/>
      </w:r>
      <w:r w:rsidRPr="00412620">
        <w:rPr>
          <w:rFonts w:cs="Arial"/>
          <w:sz w:val="20"/>
        </w:rPr>
        <w:t>[  ] his order on the</w:t>
      </w:r>
      <w:r w:rsidR="007C1416" w:rsidRPr="00412620">
        <w:rPr>
          <w:rFonts w:cs="Arial"/>
          <w:sz w:val="20"/>
        </w:rPr>
        <w:t xml:space="preserve"> appellant and the Commissioner </w:t>
      </w:r>
      <w:r w:rsidR="007C1416" w:rsidRPr="00412620">
        <w:rPr>
          <w:rStyle w:val="FootnoteReference"/>
          <w:rFonts w:cs="Arial"/>
          <w:sz w:val="20"/>
        </w:rPr>
        <w:footnoteReference w:id="768"/>
      </w:r>
      <w:r w:rsidR="007C1416" w:rsidRPr="00412620">
        <w:rPr>
          <w:rFonts w:cs="Arial"/>
          <w:sz w:val="20"/>
        </w:rPr>
        <w:t>[:]</w:t>
      </w:r>
    </w:p>
    <w:p w:rsidR="006A3F93" w:rsidRPr="00412620" w:rsidRDefault="006A3F93">
      <w:pPr>
        <w:jc w:val="both"/>
        <w:rPr>
          <w:rFonts w:cs="Arial"/>
          <w:sz w:val="20"/>
        </w:rPr>
      </w:pPr>
    </w:p>
    <w:p w:rsidR="00D7013A" w:rsidRPr="00412620" w:rsidRDefault="00237795" w:rsidP="008F6E46">
      <w:pPr>
        <w:ind w:left="1094" w:firstLine="541"/>
        <w:jc w:val="both"/>
        <w:rPr>
          <w:rFonts w:cs="Arial"/>
          <w:sz w:val="20"/>
        </w:rPr>
      </w:pPr>
      <w:r w:rsidRPr="00412620">
        <w:rPr>
          <w:rStyle w:val="FootnoteReference"/>
          <w:rFonts w:cs="Arial"/>
          <w:sz w:val="20"/>
        </w:rPr>
        <w:footnoteReference w:id="769"/>
      </w:r>
      <w:r w:rsidR="008E5AD7" w:rsidRPr="00412620">
        <w:rPr>
          <w:rFonts w:cs="Arial"/>
          <w:sz w:val="20"/>
        </w:rPr>
        <w:t>[</w:t>
      </w:r>
      <w:r w:rsidR="00D7013A" w:rsidRPr="00412620">
        <w:rPr>
          <w:rFonts w:cs="Arial"/>
          <w:sz w:val="20"/>
        </w:rPr>
        <w:t>Provided that such order shall be passed not later than one hundred and twenty days from the date of filing of appeal or within an extended period of sixty days, for reasons to be recorded in writing by the Commissioner (Appeals):</w:t>
      </w:r>
    </w:p>
    <w:p w:rsidR="00D7013A" w:rsidRPr="00412620" w:rsidRDefault="00D7013A">
      <w:pPr>
        <w:jc w:val="both"/>
        <w:rPr>
          <w:rFonts w:cs="Arial"/>
          <w:sz w:val="20"/>
        </w:rPr>
      </w:pPr>
    </w:p>
    <w:p w:rsidR="00D7013A" w:rsidRPr="00412620" w:rsidRDefault="00D7013A" w:rsidP="008F6E46">
      <w:pPr>
        <w:ind w:left="1094" w:firstLine="541"/>
        <w:jc w:val="both"/>
        <w:rPr>
          <w:rFonts w:cs="Arial"/>
          <w:sz w:val="20"/>
        </w:rPr>
      </w:pPr>
      <w:r w:rsidRPr="00412620">
        <w:rPr>
          <w:rFonts w:cs="Arial"/>
          <w:sz w:val="20"/>
        </w:rPr>
        <w:t>Provided further that any period during which the hearing of an appeal is adjourned at the request o</w:t>
      </w:r>
      <w:r w:rsidR="00B8641B" w:rsidRPr="00412620">
        <w:rPr>
          <w:rFonts w:cs="Arial"/>
          <w:sz w:val="20"/>
        </w:rPr>
        <w:t>f</w:t>
      </w:r>
      <w:r w:rsidRPr="00412620">
        <w:rPr>
          <w:rFonts w:cs="Arial"/>
          <w:sz w:val="20"/>
        </w:rPr>
        <w:t xml:space="preserve"> the appellant or is postponed due to any appeal or proceedings or stay order, remand or alternative dispute resolution proceedings </w:t>
      </w:r>
      <w:r w:rsidR="00343CAE" w:rsidRPr="00412620">
        <w:rPr>
          <w:rFonts w:cs="Arial"/>
          <w:sz w:val="20"/>
        </w:rPr>
        <w:t>or f</w:t>
      </w:r>
      <w:r w:rsidRPr="00412620">
        <w:rPr>
          <w:rFonts w:cs="Arial"/>
          <w:sz w:val="20"/>
        </w:rPr>
        <w:t>or any other reason, shall be excluded in the computation of the aforementioned periods.</w:t>
      </w:r>
      <w:r w:rsidR="008E5AD7" w:rsidRPr="00412620">
        <w:rPr>
          <w:rFonts w:cs="Arial"/>
          <w:sz w:val="20"/>
        </w:rPr>
        <w:t>]</w:t>
      </w:r>
    </w:p>
    <w:p w:rsidR="00D7013A" w:rsidRPr="00412620" w:rsidRDefault="00D7013A">
      <w:pPr>
        <w:jc w:val="both"/>
        <w:rPr>
          <w:rFonts w:cs="Arial"/>
          <w:sz w:val="20"/>
        </w:rPr>
      </w:pPr>
    </w:p>
    <w:p w:rsidR="0012019B" w:rsidRPr="00412620" w:rsidRDefault="0012019B">
      <w:pPr>
        <w:jc w:val="both"/>
        <w:rPr>
          <w:rFonts w:cs="Arial"/>
          <w:sz w:val="20"/>
        </w:rPr>
      </w:pPr>
      <w:r w:rsidRPr="00412620">
        <w:rPr>
          <w:rFonts w:cs="Arial"/>
          <w:sz w:val="20"/>
        </w:rPr>
        <w:lastRenderedPageBreak/>
        <w:tab/>
      </w:r>
      <w:r w:rsidR="006E1FE6" w:rsidRPr="00412620">
        <w:rPr>
          <w:rStyle w:val="FootnoteReference"/>
          <w:rFonts w:cs="Arial"/>
          <w:sz w:val="20"/>
        </w:rPr>
        <w:footnoteReference w:id="770"/>
      </w:r>
      <w:r w:rsidRPr="00412620">
        <w:rPr>
          <w:rFonts w:cs="Arial"/>
          <w:sz w:val="20"/>
        </w:rPr>
        <w:t>[  ]</w:t>
      </w:r>
    </w:p>
    <w:p w:rsidR="0012019B" w:rsidRPr="00412620" w:rsidRDefault="0012019B">
      <w:pPr>
        <w:jc w:val="both"/>
        <w:rPr>
          <w:rFonts w:cs="Arial"/>
          <w:sz w:val="20"/>
        </w:rPr>
      </w:pPr>
    </w:p>
    <w:p w:rsidR="0012019B" w:rsidRPr="00412620" w:rsidRDefault="0012019B">
      <w:pPr>
        <w:jc w:val="both"/>
        <w:rPr>
          <w:rFonts w:cs="Arial"/>
          <w:sz w:val="20"/>
        </w:rPr>
      </w:pPr>
      <w:r w:rsidRPr="00412620">
        <w:rPr>
          <w:rFonts w:cs="Arial"/>
          <w:sz w:val="20"/>
        </w:rPr>
        <w:tab/>
      </w:r>
      <w:r w:rsidR="006C5F88" w:rsidRPr="00412620">
        <w:rPr>
          <w:rStyle w:val="FootnoteReference"/>
          <w:rFonts w:cs="Arial"/>
          <w:sz w:val="20"/>
        </w:rPr>
        <w:footnoteReference w:id="771"/>
      </w:r>
      <w:r w:rsidRPr="00412620">
        <w:rPr>
          <w:rFonts w:cs="Arial"/>
          <w:sz w:val="20"/>
        </w:rPr>
        <w:t>[  ]</w:t>
      </w:r>
    </w:p>
    <w:p w:rsidR="0012019B" w:rsidRPr="00412620" w:rsidRDefault="0012019B">
      <w:pPr>
        <w:jc w:val="both"/>
        <w:rPr>
          <w:rFonts w:cs="Arial"/>
          <w:sz w:val="20"/>
        </w:rPr>
      </w:pPr>
    </w:p>
    <w:p w:rsidR="0012019B" w:rsidRPr="00412620" w:rsidRDefault="0012019B">
      <w:pPr>
        <w:jc w:val="both"/>
        <w:rPr>
          <w:rFonts w:cs="Arial"/>
          <w:sz w:val="20"/>
        </w:rPr>
      </w:pPr>
      <w:r w:rsidRPr="00412620">
        <w:rPr>
          <w:rFonts w:cs="Arial"/>
          <w:sz w:val="20"/>
        </w:rPr>
        <w:tab/>
      </w:r>
      <w:r w:rsidR="004E3FB1" w:rsidRPr="00412620">
        <w:rPr>
          <w:rStyle w:val="FootnoteReference"/>
          <w:rFonts w:cs="Arial"/>
          <w:sz w:val="20"/>
        </w:rPr>
        <w:footnoteReference w:id="772"/>
      </w:r>
      <w:r w:rsidRPr="00412620">
        <w:rPr>
          <w:rFonts w:cs="Arial"/>
          <w:sz w:val="20"/>
        </w:rPr>
        <w:t>[  ]</w:t>
      </w:r>
    </w:p>
    <w:p w:rsidR="006A3F93" w:rsidRPr="00412620" w:rsidRDefault="006A3F93">
      <w:pPr>
        <w:jc w:val="both"/>
        <w:rPr>
          <w:rFonts w:cs="Arial"/>
          <w:sz w:val="20"/>
        </w:rPr>
      </w:pPr>
      <w:r w:rsidRPr="00412620">
        <w:rPr>
          <w:rFonts w:cs="Arial"/>
          <w:sz w:val="20"/>
        </w:rPr>
        <w:tab/>
      </w:r>
    </w:p>
    <w:p w:rsidR="006A3F93" w:rsidRPr="00412620" w:rsidRDefault="006A3F93">
      <w:pPr>
        <w:jc w:val="both"/>
        <w:rPr>
          <w:sz w:val="20"/>
        </w:rPr>
      </w:pPr>
      <w:r w:rsidRPr="00412620">
        <w:rPr>
          <w:rFonts w:cs="Arial"/>
          <w:b/>
          <w:sz w:val="20"/>
        </w:rPr>
        <w:t>130.</w:t>
      </w:r>
      <w:r w:rsidRPr="00412620">
        <w:rPr>
          <w:rFonts w:cs="Arial"/>
          <w:b/>
          <w:sz w:val="20"/>
        </w:rPr>
        <w:tab/>
        <w:t>Appointment of the Appellate Tribunal.</w:t>
      </w:r>
      <w:r w:rsidR="00751AC5" w:rsidRPr="00412620">
        <w:rPr>
          <w:rFonts w:cs="Arial"/>
          <w:sz w:val="20"/>
        </w:rPr>
        <w:t>—</w:t>
      </w:r>
      <w:r w:rsidRPr="00412620">
        <w:rPr>
          <w:sz w:val="20"/>
        </w:rPr>
        <w:t>(1)</w:t>
      </w:r>
      <w:r w:rsidRPr="00412620">
        <w:rPr>
          <w:sz w:val="20"/>
        </w:rPr>
        <w:tab/>
        <w:t>There shall be established an Appellate Tribunal to exercise the functions conferred on the Tribunal by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 (2)</w:t>
      </w:r>
      <w:r w:rsidRPr="00412620">
        <w:rPr>
          <w:rFonts w:cs="Arial"/>
          <w:sz w:val="20"/>
        </w:rPr>
        <w:tab/>
        <w:t>The Appellate Tribunal shall consist of a chairperson and such other judicial and accountant members as are appointed by the Federal Government having regard to the needs of the Tribunal.</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 xml:space="preserve"> (3)</w:t>
      </w:r>
      <w:r w:rsidRPr="00412620">
        <w:rPr>
          <w:rFonts w:cs="Arial"/>
          <w:sz w:val="20"/>
        </w:rPr>
        <w:tab/>
        <w:t>A person may be appointed as a judicial member of the Appellate Tribunal if the person –</w:t>
      </w:r>
    </w:p>
    <w:p w:rsidR="006A3F93" w:rsidRPr="00412620" w:rsidRDefault="006A3F93" w:rsidP="00822679">
      <w:pPr>
        <w:pStyle w:val="BodyTextIndent"/>
        <w:jc w:val="both"/>
        <w:rPr>
          <w:rFonts w:cs="Arial"/>
          <w:sz w:val="20"/>
        </w:rPr>
      </w:pPr>
    </w:p>
    <w:p w:rsidR="006A3F93" w:rsidRPr="00412620" w:rsidRDefault="00822679" w:rsidP="00C57AAA">
      <w:pPr>
        <w:pStyle w:val="BodyTextIndent"/>
        <w:ind w:left="1094" w:hanging="614"/>
        <w:jc w:val="both"/>
        <w:rPr>
          <w:rFonts w:cs="Arial"/>
          <w:sz w:val="20"/>
        </w:rPr>
      </w:pPr>
      <w:r w:rsidRPr="00412620">
        <w:rPr>
          <w:rFonts w:cs="Arial"/>
          <w:sz w:val="20"/>
        </w:rPr>
        <w:t xml:space="preserve">(a) </w:t>
      </w:r>
      <w:r w:rsidRPr="00412620">
        <w:rPr>
          <w:rFonts w:cs="Arial"/>
          <w:sz w:val="20"/>
        </w:rPr>
        <w:tab/>
      </w:r>
      <w:r w:rsidR="006A3F93" w:rsidRPr="00412620">
        <w:rPr>
          <w:rFonts w:cs="Arial"/>
          <w:sz w:val="20"/>
        </w:rPr>
        <w:t xml:space="preserve">has exercised the powers of a District Judge and </w:t>
      </w:r>
      <w:r w:rsidRPr="00412620">
        <w:rPr>
          <w:rFonts w:cs="Arial"/>
          <w:sz w:val="20"/>
        </w:rPr>
        <w:t xml:space="preserve">is qualified to be a Judge of the  </w:t>
      </w:r>
      <w:r w:rsidR="006A3F93" w:rsidRPr="00412620">
        <w:rPr>
          <w:rFonts w:cs="Arial"/>
          <w:sz w:val="20"/>
        </w:rPr>
        <w:t xml:space="preserve">High Court; </w:t>
      </w:r>
      <w:r w:rsidR="008E5870" w:rsidRPr="00412620">
        <w:rPr>
          <w:rStyle w:val="FootnoteReference"/>
          <w:rFonts w:cs="Arial"/>
          <w:sz w:val="20"/>
        </w:rPr>
        <w:footnoteReference w:id="773"/>
      </w:r>
      <w:r w:rsidR="008E5870" w:rsidRPr="00412620">
        <w:rPr>
          <w:rFonts w:cs="Arial"/>
          <w:sz w:val="20"/>
        </w:rPr>
        <w:t xml:space="preserve">[  ] </w:t>
      </w:r>
    </w:p>
    <w:p w:rsidR="00822679" w:rsidRPr="00412620" w:rsidRDefault="00822679" w:rsidP="00822679">
      <w:pPr>
        <w:pStyle w:val="BodyTextIndent"/>
        <w:jc w:val="both"/>
        <w:rPr>
          <w:rFonts w:cs="Arial"/>
          <w:sz w:val="20"/>
        </w:rPr>
      </w:pPr>
    </w:p>
    <w:p w:rsidR="006A3F93" w:rsidRPr="00412620" w:rsidRDefault="00822679" w:rsidP="00C57AAA">
      <w:pPr>
        <w:pStyle w:val="BodyTextIndent"/>
        <w:ind w:left="1094" w:hanging="614"/>
        <w:jc w:val="both"/>
        <w:rPr>
          <w:rFonts w:cs="Arial"/>
          <w:sz w:val="20"/>
        </w:rPr>
      </w:pPr>
      <w:r w:rsidRPr="00412620">
        <w:rPr>
          <w:rFonts w:cs="Arial"/>
          <w:sz w:val="20"/>
        </w:rPr>
        <w:t xml:space="preserve">(b)  </w:t>
      </w:r>
      <w:r w:rsidRPr="00412620">
        <w:rPr>
          <w:rFonts w:cs="Arial"/>
          <w:sz w:val="20"/>
        </w:rPr>
        <w:tab/>
      </w:r>
      <w:r w:rsidR="006A3F93" w:rsidRPr="00412620">
        <w:rPr>
          <w:rFonts w:cs="Arial"/>
          <w:sz w:val="20"/>
        </w:rPr>
        <w:t xml:space="preserve">is or has been an advocate of a High Court and is qualified </w:t>
      </w:r>
      <w:r w:rsidR="00C75EDB" w:rsidRPr="00412620">
        <w:rPr>
          <w:rFonts w:cs="Arial"/>
          <w:sz w:val="20"/>
        </w:rPr>
        <w:t xml:space="preserve">to be a Judge of the High Court </w:t>
      </w:r>
      <w:r w:rsidR="00C75EDB" w:rsidRPr="00412620">
        <w:rPr>
          <w:rStyle w:val="FootnoteReference"/>
          <w:rFonts w:cs="Arial"/>
          <w:sz w:val="20"/>
        </w:rPr>
        <w:footnoteReference w:id="774"/>
      </w:r>
      <w:r w:rsidR="00C75EDB" w:rsidRPr="00412620">
        <w:rPr>
          <w:rFonts w:cs="Arial"/>
          <w:sz w:val="20"/>
        </w:rPr>
        <w:t>[; or]</w:t>
      </w:r>
    </w:p>
    <w:p w:rsidR="00822679" w:rsidRPr="00412620" w:rsidRDefault="00822679" w:rsidP="00822679">
      <w:pPr>
        <w:pStyle w:val="BodyTextIndent"/>
        <w:jc w:val="both"/>
        <w:rPr>
          <w:rFonts w:cs="Arial"/>
          <w:sz w:val="20"/>
        </w:rPr>
      </w:pPr>
    </w:p>
    <w:p w:rsidR="0049044C" w:rsidRPr="00412620" w:rsidRDefault="00822679" w:rsidP="00C57AAA">
      <w:pPr>
        <w:pStyle w:val="BodyTextIndent"/>
        <w:ind w:left="1094" w:hanging="734"/>
        <w:jc w:val="both"/>
        <w:rPr>
          <w:rFonts w:cs="Arial"/>
          <w:sz w:val="20"/>
        </w:rPr>
      </w:pPr>
      <w:r w:rsidRPr="00412620">
        <w:rPr>
          <w:rStyle w:val="FootnoteReference"/>
          <w:rFonts w:cs="Arial"/>
          <w:sz w:val="20"/>
        </w:rPr>
        <w:footnoteReference w:id="775"/>
      </w:r>
      <w:r w:rsidR="0049044C" w:rsidRPr="00412620">
        <w:rPr>
          <w:rFonts w:cs="Arial"/>
          <w:sz w:val="20"/>
        </w:rPr>
        <w:t>[(c)</w:t>
      </w:r>
      <w:r w:rsidR="00C57AAA" w:rsidRPr="00412620">
        <w:rPr>
          <w:rFonts w:cs="Arial"/>
          <w:sz w:val="20"/>
        </w:rPr>
        <w:tab/>
      </w:r>
      <w:r w:rsidRPr="00412620">
        <w:rPr>
          <w:rFonts w:cs="Arial"/>
          <w:sz w:val="20"/>
        </w:rPr>
        <w:t>is an officer of Inland Revenue Service in BS-20 or above and is a law graduate.]</w:t>
      </w:r>
      <w:r w:rsidR="0049044C" w:rsidRPr="00412620">
        <w:rPr>
          <w:rFonts w:cs="Arial"/>
          <w:sz w:val="20"/>
        </w:rPr>
        <w:tab/>
      </w:r>
    </w:p>
    <w:p w:rsidR="0049044C" w:rsidRPr="00412620" w:rsidRDefault="0049044C" w:rsidP="0049044C">
      <w:pPr>
        <w:pStyle w:val="BodyTextIndent"/>
        <w:jc w:val="both"/>
        <w:rPr>
          <w:rFonts w:cs="Arial"/>
          <w:sz w:val="20"/>
        </w:rPr>
      </w:pPr>
    </w:p>
    <w:p w:rsidR="0060159D" w:rsidRPr="00412620" w:rsidRDefault="0049044C">
      <w:pPr>
        <w:jc w:val="both"/>
        <w:rPr>
          <w:rFonts w:cs="Arial"/>
          <w:sz w:val="20"/>
        </w:rPr>
      </w:pPr>
      <w:r w:rsidRPr="00412620">
        <w:rPr>
          <w:rFonts w:cs="Arial"/>
          <w:sz w:val="20"/>
        </w:rPr>
        <w:tab/>
      </w:r>
      <w:r w:rsidR="005D325E" w:rsidRPr="00412620">
        <w:rPr>
          <w:rStyle w:val="FootnoteReference"/>
          <w:rFonts w:cs="Arial"/>
          <w:sz w:val="20"/>
        </w:rPr>
        <w:footnoteReference w:id="776"/>
      </w:r>
      <w:r w:rsidR="007403C7" w:rsidRPr="00412620">
        <w:rPr>
          <w:rFonts w:cs="Arial"/>
          <w:sz w:val="20"/>
        </w:rPr>
        <w:t xml:space="preserve">[(4) </w:t>
      </w:r>
      <w:r w:rsidR="007403C7" w:rsidRPr="00412620">
        <w:rPr>
          <w:rFonts w:cs="Arial"/>
          <w:sz w:val="20"/>
        </w:rPr>
        <w:tab/>
        <w:t>A person may be appointed as an accountant member of an appellate tribunal if,</w:t>
      </w:r>
      <w:r w:rsidR="003577F7" w:rsidRPr="00412620">
        <w:rPr>
          <w:rFonts w:cs="Arial"/>
          <w:sz w:val="20"/>
        </w:rPr>
        <w:t>—</w:t>
      </w:r>
    </w:p>
    <w:p w:rsidR="007403C7" w:rsidRPr="00412620" w:rsidRDefault="007403C7">
      <w:pPr>
        <w:jc w:val="both"/>
        <w:rPr>
          <w:rFonts w:cs="Arial"/>
          <w:sz w:val="20"/>
        </w:rPr>
      </w:pPr>
    </w:p>
    <w:p w:rsidR="007403C7" w:rsidRPr="00412620" w:rsidRDefault="007403C7" w:rsidP="007403C7">
      <w:pPr>
        <w:ind w:left="1641" w:hanging="546"/>
        <w:jc w:val="both"/>
        <w:rPr>
          <w:rFonts w:cs="Arial"/>
          <w:sz w:val="20"/>
        </w:rPr>
      </w:pPr>
      <w:r w:rsidRPr="00412620">
        <w:rPr>
          <w:rFonts w:cs="Arial"/>
          <w:sz w:val="20"/>
        </w:rPr>
        <w:t xml:space="preserve">(a) </w:t>
      </w:r>
      <w:r w:rsidRPr="00412620">
        <w:rPr>
          <w:rFonts w:cs="Arial"/>
          <w:sz w:val="20"/>
        </w:rPr>
        <w:tab/>
        <w:t xml:space="preserve">he is an officer of Inland Revenue </w:t>
      </w:r>
      <w:r w:rsidR="00054052" w:rsidRPr="00412620">
        <w:rPr>
          <w:rStyle w:val="FootnoteReference"/>
          <w:rFonts w:cs="Arial"/>
          <w:sz w:val="20"/>
        </w:rPr>
        <w:footnoteReference w:id="777"/>
      </w:r>
      <w:r w:rsidR="0048776E" w:rsidRPr="00412620">
        <w:rPr>
          <w:rFonts w:cs="Arial"/>
          <w:sz w:val="20"/>
        </w:rPr>
        <w:t xml:space="preserve">[Service] </w:t>
      </w:r>
      <w:r w:rsidRPr="00412620">
        <w:rPr>
          <w:rFonts w:cs="Arial"/>
          <w:sz w:val="20"/>
        </w:rPr>
        <w:t xml:space="preserve">equivalent to the rank of Regional Commissioner; </w:t>
      </w:r>
      <w:r w:rsidR="0078247F" w:rsidRPr="00412620">
        <w:rPr>
          <w:rStyle w:val="FootnoteReference"/>
          <w:rFonts w:cs="Arial"/>
          <w:sz w:val="20"/>
        </w:rPr>
        <w:footnoteReference w:id="778"/>
      </w:r>
      <w:r w:rsidR="0078247F" w:rsidRPr="00412620">
        <w:rPr>
          <w:rFonts w:cs="Arial"/>
          <w:sz w:val="20"/>
        </w:rPr>
        <w:t>[  ]</w:t>
      </w:r>
    </w:p>
    <w:p w:rsidR="007403C7" w:rsidRPr="00412620" w:rsidRDefault="007403C7">
      <w:pPr>
        <w:jc w:val="both"/>
        <w:rPr>
          <w:rFonts w:cs="Arial"/>
          <w:sz w:val="20"/>
        </w:rPr>
      </w:pPr>
    </w:p>
    <w:p w:rsidR="007403C7" w:rsidRPr="00412620" w:rsidRDefault="007403C7" w:rsidP="007403C7">
      <w:pPr>
        <w:ind w:left="1641" w:hanging="546"/>
        <w:jc w:val="both"/>
        <w:rPr>
          <w:rFonts w:cs="Arial"/>
          <w:sz w:val="20"/>
        </w:rPr>
      </w:pPr>
      <w:r w:rsidRPr="00412620">
        <w:rPr>
          <w:rFonts w:cs="Arial"/>
          <w:sz w:val="20"/>
        </w:rPr>
        <w:t xml:space="preserve">(b) </w:t>
      </w:r>
      <w:r w:rsidRPr="00412620">
        <w:rPr>
          <w:rFonts w:cs="Arial"/>
          <w:sz w:val="20"/>
        </w:rPr>
        <w:tab/>
        <w:t xml:space="preserve">a Commissioner Inland Revenue or Commissioner Inland Revenue (Appeals) having at least </w:t>
      </w:r>
      <w:r w:rsidR="00843717" w:rsidRPr="00412620">
        <w:rPr>
          <w:rStyle w:val="FootnoteReference"/>
          <w:rFonts w:cs="Arial"/>
          <w:sz w:val="20"/>
        </w:rPr>
        <w:footnoteReference w:id="779"/>
      </w:r>
      <w:r w:rsidR="00843717" w:rsidRPr="00412620">
        <w:rPr>
          <w:rFonts w:cs="Arial"/>
          <w:sz w:val="20"/>
        </w:rPr>
        <w:t>[three]</w:t>
      </w:r>
      <w:r w:rsidRPr="00412620">
        <w:rPr>
          <w:rFonts w:cs="Arial"/>
          <w:sz w:val="20"/>
        </w:rPr>
        <w:t>years experience as Commissioner or Collector</w:t>
      </w:r>
      <w:r w:rsidR="0078247F" w:rsidRPr="00412620">
        <w:rPr>
          <w:rStyle w:val="FootnoteReference"/>
          <w:rFonts w:cs="Arial"/>
          <w:sz w:val="20"/>
        </w:rPr>
        <w:footnoteReference w:id="780"/>
      </w:r>
      <w:r w:rsidR="0078247F" w:rsidRPr="00412620">
        <w:rPr>
          <w:rFonts w:cs="Arial"/>
          <w:sz w:val="20"/>
        </w:rPr>
        <w:t xml:space="preserve">[; </w:t>
      </w:r>
      <w:r w:rsidR="0070604E" w:rsidRPr="00F53D60">
        <w:rPr>
          <w:rStyle w:val="FootnoteReference"/>
          <w:rFonts w:cs="Arial"/>
          <w:color w:val="000000" w:themeColor="text1"/>
          <w:sz w:val="20"/>
        </w:rPr>
        <w:footnoteReference w:id="781"/>
      </w:r>
      <w:r w:rsidR="0070604E" w:rsidRPr="00F53D60">
        <w:rPr>
          <w:rFonts w:cs="Arial"/>
          <w:color w:val="000000" w:themeColor="text1"/>
          <w:sz w:val="20"/>
        </w:rPr>
        <w:t>[</w:t>
      </w:r>
      <w:r w:rsidR="00F53D60">
        <w:rPr>
          <w:rFonts w:cs="Arial"/>
          <w:color w:val="000000" w:themeColor="text1"/>
          <w:sz w:val="20"/>
        </w:rPr>
        <w:t xml:space="preserve">  </w:t>
      </w:r>
      <w:r w:rsidR="0078247F" w:rsidRPr="00F53D60">
        <w:rPr>
          <w:rFonts w:cs="Arial"/>
          <w:color w:val="000000" w:themeColor="text1"/>
          <w:sz w:val="20"/>
        </w:rPr>
        <w:t>]</w:t>
      </w:r>
      <w:r w:rsidR="00F53D60">
        <w:rPr>
          <w:rFonts w:cs="Arial"/>
          <w:color w:val="000000" w:themeColor="text1"/>
          <w:sz w:val="20"/>
        </w:rPr>
        <w:t xml:space="preserve">  </w:t>
      </w:r>
      <w:r w:rsidRPr="00412620">
        <w:rPr>
          <w:rFonts w:cs="Arial"/>
          <w:sz w:val="20"/>
        </w:rPr>
        <w:t>]</w:t>
      </w:r>
    </w:p>
    <w:p w:rsidR="0060159D" w:rsidRPr="00412620" w:rsidRDefault="0060159D">
      <w:pPr>
        <w:jc w:val="both"/>
        <w:rPr>
          <w:rFonts w:cs="Arial"/>
          <w:sz w:val="20"/>
        </w:rPr>
      </w:pPr>
    </w:p>
    <w:p w:rsidR="00EB79B6" w:rsidRDefault="00F70371" w:rsidP="00EB79B6">
      <w:pPr>
        <w:ind w:left="1641" w:hanging="546"/>
        <w:jc w:val="both"/>
        <w:rPr>
          <w:rFonts w:cs="Arial"/>
          <w:color w:val="00B0F0"/>
          <w:sz w:val="20"/>
        </w:rPr>
      </w:pPr>
      <w:r w:rsidRPr="00412620">
        <w:rPr>
          <w:rStyle w:val="FootnoteReference"/>
          <w:rFonts w:cs="Arial"/>
          <w:sz w:val="20"/>
        </w:rPr>
        <w:footnoteReference w:id="782"/>
      </w:r>
      <w:r w:rsidR="00EB79B6" w:rsidRPr="00412620">
        <w:rPr>
          <w:rFonts w:cs="Arial"/>
          <w:sz w:val="20"/>
        </w:rPr>
        <w:t xml:space="preserve">[(c) </w:t>
      </w:r>
      <w:r w:rsidR="00EB79B6" w:rsidRPr="00412620">
        <w:rPr>
          <w:rFonts w:cs="Arial"/>
          <w:sz w:val="20"/>
        </w:rPr>
        <w:tab/>
        <w:t>a person who has, for a period of not less than ten years, practiced professionally as a chartered accountant within the meaning of the Chartered Accountants Ordinance, 1961 (X of 1961</w:t>
      </w:r>
      <w:r w:rsidR="0070604E" w:rsidRPr="0070604E">
        <w:rPr>
          <w:rFonts w:cs="Arial"/>
          <w:color w:val="000000" w:themeColor="text1"/>
          <w:sz w:val="20"/>
        </w:rPr>
        <w:t>)</w:t>
      </w:r>
      <w:r w:rsidR="00F53D60">
        <w:rPr>
          <w:rFonts w:cs="Arial"/>
          <w:color w:val="000000" w:themeColor="text1"/>
          <w:sz w:val="20"/>
        </w:rPr>
        <w:t xml:space="preserve"> </w:t>
      </w:r>
      <w:r w:rsidR="0070604E" w:rsidRPr="00F53D60">
        <w:rPr>
          <w:rStyle w:val="FootnoteReference"/>
          <w:rFonts w:cs="Arial"/>
          <w:color w:val="000000" w:themeColor="text1"/>
          <w:sz w:val="20"/>
        </w:rPr>
        <w:footnoteReference w:id="783"/>
      </w:r>
      <w:r w:rsidR="0070604E" w:rsidRPr="00F53D60">
        <w:rPr>
          <w:rFonts w:cs="Arial"/>
          <w:color w:val="000000" w:themeColor="text1"/>
          <w:sz w:val="20"/>
        </w:rPr>
        <w:t>[;or</w:t>
      </w:r>
      <w:r w:rsidR="00EB79B6" w:rsidRPr="00F53D60">
        <w:rPr>
          <w:rFonts w:cs="Arial"/>
          <w:color w:val="000000" w:themeColor="text1"/>
          <w:sz w:val="20"/>
        </w:rPr>
        <w:t>]</w:t>
      </w:r>
    </w:p>
    <w:p w:rsidR="00430F54" w:rsidRDefault="00430F54" w:rsidP="00EB79B6">
      <w:pPr>
        <w:ind w:left="1641" w:hanging="546"/>
        <w:jc w:val="both"/>
        <w:rPr>
          <w:rFonts w:cs="Arial"/>
          <w:color w:val="00B0F0"/>
          <w:sz w:val="20"/>
        </w:rPr>
      </w:pPr>
    </w:p>
    <w:p w:rsidR="002D414E" w:rsidRPr="00F53D60" w:rsidRDefault="00DD2C02" w:rsidP="00EB79B6">
      <w:pPr>
        <w:ind w:left="1641" w:hanging="546"/>
        <w:jc w:val="both"/>
        <w:rPr>
          <w:rFonts w:cs="Arial"/>
          <w:color w:val="000000" w:themeColor="text1"/>
          <w:sz w:val="20"/>
        </w:rPr>
      </w:pPr>
      <w:r w:rsidRPr="00F53D60">
        <w:rPr>
          <w:rStyle w:val="FootnoteReference"/>
          <w:rFonts w:cs="Arial"/>
          <w:color w:val="000000" w:themeColor="text1"/>
          <w:sz w:val="20"/>
        </w:rPr>
        <w:footnoteReference w:id="784"/>
      </w:r>
      <w:r w:rsidRPr="00F53D60">
        <w:rPr>
          <w:rFonts w:cs="Arial"/>
          <w:color w:val="000000" w:themeColor="text1"/>
          <w:sz w:val="20"/>
        </w:rPr>
        <w:t>[</w:t>
      </w:r>
      <w:r w:rsidR="002D414E" w:rsidRPr="00F53D60">
        <w:rPr>
          <w:rFonts w:cs="Arial"/>
          <w:color w:val="000000" w:themeColor="text1"/>
          <w:sz w:val="20"/>
        </w:rPr>
        <w:t>(d)</w:t>
      </w:r>
      <w:r w:rsidR="002D414E" w:rsidRPr="00F53D60">
        <w:rPr>
          <w:rFonts w:cs="Arial"/>
          <w:color w:val="000000" w:themeColor="text1"/>
          <w:sz w:val="20"/>
        </w:rPr>
        <w:tab/>
        <w:t>a person who has, for a period of not less than ten years, practiced professionally as a cost and management accountant within the meaning of Cost and Management Accountants Act,1966 (XIV of 1966).</w:t>
      </w:r>
      <w:r w:rsidR="00D6732D" w:rsidRPr="00F53D60">
        <w:rPr>
          <w:rFonts w:cs="Arial"/>
          <w:color w:val="000000" w:themeColor="text1"/>
          <w:sz w:val="20"/>
        </w:rPr>
        <w:t>]</w:t>
      </w:r>
    </w:p>
    <w:p w:rsidR="00EB79B6" w:rsidRPr="00412620" w:rsidRDefault="00EB79B6">
      <w:pPr>
        <w:jc w:val="both"/>
        <w:rPr>
          <w:rFonts w:cs="Arial"/>
          <w:sz w:val="20"/>
        </w:rPr>
      </w:pPr>
    </w:p>
    <w:p w:rsidR="006A3F93" w:rsidRPr="00412620" w:rsidRDefault="00F70371">
      <w:pPr>
        <w:jc w:val="both"/>
        <w:rPr>
          <w:rFonts w:cs="Arial"/>
          <w:sz w:val="20"/>
        </w:rPr>
      </w:pPr>
      <w:r w:rsidRPr="00412620">
        <w:rPr>
          <w:rFonts w:cs="Arial"/>
          <w:sz w:val="20"/>
        </w:rPr>
        <w:tab/>
      </w:r>
      <w:r w:rsidR="006A3F93" w:rsidRPr="00412620">
        <w:rPr>
          <w:rFonts w:cs="Arial"/>
          <w:sz w:val="20"/>
        </w:rPr>
        <w:t>(5)</w:t>
      </w:r>
      <w:r w:rsidR="006A3F93" w:rsidRPr="00412620">
        <w:rPr>
          <w:rFonts w:cs="Arial"/>
          <w:sz w:val="20"/>
        </w:rPr>
        <w:tab/>
        <w:t>The Federal Government shall appoint a member of the Appellate Tribunal as Chairperson of the Tribunal</w:t>
      </w:r>
      <w:r w:rsidR="006055BD">
        <w:rPr>
          <w:rFonts w:cs="Arial"/>
          <w:sz w:val="20"/>
        </w:rPr>
        <w:t xml:space="preserve"> </w:t>
      </w:r>
      <w:r w:rsidR="00382E2F" w:rsidRPr="00412620">
        <w:rPr>
          <w:rStyle w:val="FootnoteReference"/>
          <w:rFonts w:cs="Arial"/>
          <w:sz w:val="20"/>
        </w:rPr>
        <w:footnoteReference w:id="785"/>
      </w:r>
      <w:r w:rsidR="00382E2F" w:rsidRPr="00412620">
        <w:rPr>
          <w:rFonts w:cs="Arial"/>
          <w:sz w:val="20"/>
        </w:rPr>
        <w:t>[and, except in special circumstances, the person appointed should be a judicial member]</w:t>
      </w:r>
      <w:r w:rsidR="00F66059" w:rsidRPr="00412620">
        <w:rPr>
          <w:rStyle w:val="FootnoteReference"/>
          <w:rFonts w:cs="Arial"/>
          <w:sz w:val="20"/>
        </w:rPr>
        <w:footnoteReference w:id="786"/>
      </w:r>
      <w:r w:rsidR="00F66059" w:rsidRPr="00412620">
        <w:rPr>
          <w:rFonts w:cs="Arial"/>
          <w:sz w:val="20"/>
        </w:rPr>
        <w:t>[ ]</w:t>
      </w:r>
      <w:r w:rsidR="006A3F93" w:rsidRPr="00412620">
        <w:rPr>
          <w:rFonts w:cs="Arial"/>
          <w:sz w:val="20"/>
        </w:rPr>
        <w: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 (6)</w:t>
      </w:r>
      <w:r w:rsidRPr="00412620">
        <w:rPr>
          <w:rFonts w:cs="Arial"/>
          <w:sz w:val="20"/>
        </w:rPr>
        <w:tab/>
        <w:t>The powers and functions of the Appellate Tribunal shall be exercised and discharged by Benches constituted from members of the Tribunal by the Chairperson of the Tribunal.</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 xml:space="preserve"> (7)</w:t>
      </w:r>
      <w:r w:rsidRPr="00412620">
        <w:rPr>
          <w:rFonts w:cs="Arial"/>
          <w:sz w:val="20"/>
        </w:rPr>
        <w:tab/>
        <w:t xml:space="preserve">Subject to sub-section (8), a Bench shall consist of not less than two members of the Appellate Tribunal and shall be constituted so as to contain an equal number of judicial and accountant members, or so that the number of members of one class does not exceed the number of members of the other class by more than one.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lastRenderedPageBreak/>
        <w:tab/>
        <w:t xml:space="preserve"> (8)</w:t>
      </w:r>
      <w:r w:rsidRPr="00412620">
        <w:rPr>
          <w:rFonts w:cs="Arial"/>
          <w:sz w:val="20"/>
        </w:rPr>
        <w:tab/>
        <w:t xml:space="preserve">The Federal Government may direct that all or any of the powers of the Appellate Tribunal shall be exercised by </w:t>
      </w:r>
      <w:r w:rsidR="00060DDA" w:rsidRPr="00412620">
        <w:rPr>
          <w:rFonts w:cs="Arial"/>
          <w:bCs/>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any one member;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more members than one, jointly or severally.</w:t>
      </w:r>
    </w:p>
    <w:p w:rsidR="006A3F93" w:rsidRPr="00412620" w:rsidRDefault="006A3F93">
      <w:pPr>
        <w:jc w:val="both"/>
        <w:rPr>
          <w:rFonts w:cs="Arial"/>
          <w:sz w:val="20"/>
        </w:rPr>
      </w:pPr>
    </w:p>
    <w:p w:rsidR="00785B7B" w:rsidRPr="00412620" w:rsidRDefault="00C45C83" w:rsidP="006055BD">
      <w:pPr>
        <w:ind w:firstLine="547"/>
        <w:jc w:val="both"/>
        <w:rPr>
          <w:rFonts w:cs="Arial"/>
          <w:sz w:val="20"/>
        </w:rPr>
      </w:pPr>
      <w:r w:rsidRPr="00412620">
        <w:rPr>
          <w:rStyle w:val="FootnoteReference"/>
          <w:rFonts w:cs="Arial"/>
          <w:sz w:val="20"/>
        </w:rPr>
        <w:footnoteReference w:id="787"/>
      </w:r>
      <w:r w:rsidR="00292DED" w:rsidRPr="00412620">
        <w:rPr>
          <w:rFonts w:cs="Arial"/>
          <w:sz w:val="20"/>
        </w:rPr>
        <w:t xml:space="preserve">[(8A) Notwithstanding anything contained in sub-sections (7) and (8), the </w:t>
      </w:r>
      <w:r w:rsidR="00740526" w:rsidRPr="00412620">
        <w:rPr>
          <w:rStyle w:val="FootnoteReference"/>
          <w:rFonts w:cs="Arial"/>
          <w:sz w:val="20"/>
        </w:rPr>
        <w:footnoteReference w:id="788"/>
      </w:r>
      <w:r w:rsidR="00740526" w:rsidRPr="00412620">
        <w:rPr>
          <w:rFonts w:cs="Arial"/>
          <w:sz w:val="20"/>
        </w:rPr>
        <w:t xml:space="preserve">[Chairperson] </w:t>
      </w:r>
      <w:r w:rsidR="00292DED" w:rsidRPr="00412620">
        <w:rPr>
          <w:rFonts w:cs="Arial"/>
          <w:sz w:val="20"/>
        </w:rPr>
        <w:t>may constitute as many benches consisting of a single member as he may deem necessary to hear such cases or class of cases as the Federal Government may by order in writing, specify.</w:t>
      </w:r>
      <w:r w:rsidR="009F032D" w:rsidRPr="00412620">
        <w:rPr>
          <w:rFonts w:cs="Arial"/>
          <w:sz w:val="20"/>
        </w:rPr>
        <w:t>]</w:t>
      </w:r>
    </w:p>
    <w:p w:rsidR="009F032D" w:rsidRPr="00412620" w:rsidRDefault="009F032D">
      <w:pPr>
        <w:jc w:val="both"/>
        <w:rPr>
          <w:rFonts w:cs="Arial"/>
          <w:sz w:val="20"/>
        </w:rPr>
      </w:pPr>
    </w:p>
    <w:p w:rsidR="009F032D" w:rsidRPr="00412620" w:rsidRDefault="00C45C83" w:rsidP="006055BD">
      <w:pPr>
        <w:ind w:firstLine="547"/>
        <w:jc w:val="both"/>
        <w:rPr>
          <w:rFonts w:cs="Arial"/>
          <w:sz w:val="20"/>
        </w:rPr>
      </w:pPr>
      <w:r w:rsidRPr="00412620">
        <w:rPr>
          <w:rStyle w:val="FootnoteReference"/>
          <w:rFonts w:cs="Arial"/>
          <w:sz w:val="20"/>
        </w:rPr>
        <w:footnoteReference w:id="789"/>
      </w:r>
      <w:r w:rsidR="009F032D" w:rsidRPr="00412620">
        <w:rPr>
          <w:rFonts w:cs="Arial"/>
          <w:sz w:val="20"/>
        </w:rPr>
        <w:t xml:space="preserve">[(8AA) The </w:t>
      </w:r>
      <w:r w:rsidR="00CA2109" w:rsidRPr="00412620">
        <w:rPr>
          <w:rStyle w:val="FootnoteReference"/>
          <w:rFonts w:cs="Arial"/>
          <w:sz w:val="20"/>
        </w:rPr>
        <w:footnoteReference w:id="790"/>
      </w:r>
      <w:r w:rsidR="00CA2109" w:rsidRPr="00412620">
        <w:rPr>
          <w:rFonts w:cs="Arial"/>
          <w:sz w:val="20"/>
        </w:rPr>
        <w:t>[Chairperson]</w:t>
      </w:r>
      <w:r w:rsidR="009F032D" w:rsidRPr="00412620">
        <w:rPr>
          <w:rFonts w:cs="Arial"/>
          <w:sz w:val="20"/>
        </w:rPr>
        <w:t xml:space="preserve"> or other member of the Appellate Tribunal authorized, in this behalf by the </w:t>
      </w:r>
      <w:r w:rsidR="00CA2109" w:rsidRPr="00412620">
        <w:rPr>
          <w:rStyle w:val="FootnoteReference"/>
          <w:rFonts w:cs="Arial"/>
          <w:sz w:val="20"/>
        </w:rPr>
        <w:footnoteReference w:id="791"/>
      </w:r>
      <w:r w:rsidR="00CA2109" w:rsidRPr="00412620">
        <w:rPr>
          <w:rFonts w:cs="Arial"/>
          <w:sz w:val="20"/>
        </w:rPr>
        <w:t>[Chairperson]</w:t>
      </w:r>
      <w:r w:rsidR="009F032D" w:rsidRPr="00412620">
        <w:rPr>
          <w:rFonts w:cs="Arial"/>
          <w:sz w:val="20"/>
        </w:rPr>
        <w:t xml:space="preserve"> may, sitting singly, dispose of any case where the amount of tax or penalty involved does not exceed </w:t>
      </w:r>
      <w:r w:rsidR="00CA2109" w:rsidRPr="00412620">
        <w:rPr>
          <w:rStyle w:val="FootnoteReference"/>
          <w:rFonts w:cs="Arial"/>
          <w:sz w:val="20"/>
        </w:rPr>
        <w:footnoteReference w:id="792"/>
      </w:r>
      <w:r w:rsidR="00CA2109" w:rsidRPr="00412620">
        <w:rPr>
          <w:rFonts w:cs="Arial"/>
          <w:sz w:val="20"/>
        </w:rPr>
        <w:t>[one]</w:t>
      </w:r>
      <w:r w:rsidR="009F032D" w:rsidRPr="00412620">
        <w:rPr>
          <w:rFonts w:cs="Arial"/>
          <w:sz w:val="20"/>
        </w:rPr>
        <w:t xml:space="preserve"> million rupees.]</w:t>
      </w:r>
    </w:p>
    <w:p w:rsidR="00785B7B" w:rsidRPr="00412620" w:rsidRDefault="00785B7B">
      <w:pPr>
        <w:jc w:val="both"/>
        <w:rPr>
          <w:rFonts w:cs="Arial"/>
          <w:sz w:val="20"/>
        </w:rPr>
      </w:pPr>
    </w:p>
    <w:p w:rsidR="006A3F93" w:rsidRPr="00412620" w:rsidRDefault="006A3F93">
      <w:pPr>
        <w:jc w:val="both"/>
        <w:rPr>
          <w:rFonts w:cs="Arial"/>
          <w:sz w:val="20"/>
        </w:rPr>
      </w:pPr>
      <w:r w:rsidRPr="00412620">
        <w:rPr>
          <w:rFonts w:cs="Arial"/>
          <w:sz w:val="20"/>
        </w:rPr>
        <w:tab/>
        <w:t xml:space="preserve"> (9)</w:t>
      </w:r>
      <w:r w:rsidRPr="00412620">
        <w:rPr>
          <w:rFonts w:cs="Arial"/>
          <w:sz w:val="20"/>
        </w:rPr>
        <w:tab/>
        <w:t>Subject to sub-section (10), if the members of a Bench differ in opinion on any point, the point shall be decided according to the opinion of the majority.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(10)</w:t>
      </w:r>
      <w:r w:rsidRPr="00412620">
        <w:rPr>
          <w:rFonts w:cs="Arial"/>
          <w:sz w:val="20"/>
        </w:rPr>
        <w:tab/>
        <w:t xml:space="preserve"> If the members of a </w:t>
      </w:r>
      <w:r w:rsidRPr="00412620">
        <w:rPr>
          <w:rStyle w:val="FootnoteReference"/>
          <w:rFonts w:cs="Arial"/>
          <w:sz w:val="20"/>
        </w:rPr>
        <w:footnoteReference w:id="793"/>
      </w:r>
      <w:r w:rsidRPr="00412620">
        <w:rPr>
          <w:rFonts w:cs="Arial"/>
          <w:sz w:val="20"/>
        </w:rPr>
        <w:t>[Bench] are equally divided on a point, they shall state the point on which they differ and the case shall be referred by the Chairperson for hearing on that point by one or more other members of the Appellate Tribunal, and the point shall be decided according to the opinion of the majority of the members of the Tribunal who have heard the case including those who first heard it.</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(11)</w:t>
      </w:r>
      <w:r w:rsidRPr="00412620">
        <w:rPr>
          <w:rFonts w:cs="Arial"/>
          <w:sz w:val="20"/>
        </w:rPr>
        <w:tab/>
        <w:t xml:space="preserve"> If there are an equal number of members of the Appellate Tribunal, the Federal Government may appoint an additional member for the purpose of deciding the case on which there is a difference of opinion.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(12)</w:t>
      </w:r>
      <w:r w:rsidRPr="00412620">
        <w:rPr>
          <w:rFonts w:cs="Arial"/>
          <w:sz w:val="20"/>
        </w:rPr>
        <w:tab/>
        <w:t xml:space="preserve"> Subject to this Ordinance, the Appellate Tribunal shall have the power to regulate its own procedure, and the procedure of Benches of the Tribunal in all matters arising out of the discharge of its functions including the places at which the Benches shall hold their sittings.</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131.</w:t>
      </w:r>
      <w:r w:rsidRPr="00412620">
        <w:rPr>
          <w:rFonts w:cs="Arial"/>
          <w:b/>
          <w:sz w:val="20"/>
        </w:rPr>
        <w:tab/>
        <w:t>Appeal to the Appellate Tribunal.</w:t>
      </w:r>
      <w:r w:rsidR="00751AC5" w:rsidRPr="00412620">
        <w:rPr>
          <w:rFonts w:cs="Arial"/>
          <w:sz w:val="20"/>
        </w:rPr>
        <w:t>—</w:t>
      </w:r>
      <w:r w:rsidRPr="00412620">
        <w:rPr>
          <w:sz w:val="20"/>
        </w:rPr>
        <w:t xml:space="preserve"> (1)  Where the </w:t>
      </w:r>
      <w:r w:rsidRPr="00412620">
        <w:rPr>
          <w:rStyle w:val="FootnoteReference"/>
          <w:sz w:val="20"/>
        </w:rPr>
        <w:footnoteReference w:id="794"/>
      </w:r>
      <w:r w:rsidRPr="00412620">
        <w:rPr>
          <w:sz w:val="20"/>
        </w:rPr>
        <w:t xml:space="preserve">[taxpayer] or Commissioner objects to an order passed by the Commissioner (Appeals), the </w:t>
      </w:r>
      <w:r w:rsidRPr="00412620">
        <w:rPr>
          <w:rStyle w:val="FootnoteReference"/>
          <w:sz w:val="20"/>
        </w:rPr>
        <w:lastRenderedPageBreak/>
        <w:footnoteReference w:id="795"/>
      </w:r>
      <w:r w:rsidRPr="00412620">
        <w:rPr>
          <w:sz w:val="20"/>
        </w:rPr>
        <w:t>[taxpayer] or Commissioner may appeal to the Appellate Tribunal against such order.</w:t>
      </w:r>
    </w:p>
    <w:p w:rsidR="006A3F93" w:rsidRPr="00412620" w:rsidRDefault="006A3F93">
      <w:pPr>
        <w:jc w:val="both"/>
        <w:rPr>
          <w:rFonts w:cs="Arial"/>
          <w:b/>
          <w:sz w:val="20"/>
        </w:rPr>
      </w:pPr>
    </w:p>
    <w:p w:rsidR="00BF60C8" w:rsidRPr="00412620" w:rsidRDefault="006A3F93" w:rsidP="00BF60C8">
      <w:pPr>
        <w:jc w:val="both"/>
        <w:rPr>
          <w:rFonts w:cs="Arial"/>
          <w:sz w:val="20"/>
        </w:rPr>
      </w:pPr>
      <w:r w:rsidRPr="00412620">
        <w:rPr>
          <w:rFonts w:cs="Arial"/>
          <w:sz w:val="20"/>
        </w:rPr>
        <w:tab/>
        <w:t>(2)</w:t>
      </w:r>
      <w:r w:rsidRPr="00412620">
        <w:rPr>
          <w:rFonts w:cs="Arial"/>
          <w:sz w:val="20"/>
        </w:rPr>
        <w:tab/>
        <w:t>An appeal under sub-section (1) shall be–</w:t>
      </w:r>
      <w:r w:rsidR="00805DD4" w:rsidRPr="00412620">
        <w:rPr>
          <w:rFonts w:cs="Arial"/>
          <w:sz w:val="20"/>
        </w:rPr>
        <w:t>—</w:t>
      </w:r>
    </w:p>
    <w:p w:rsidR="00BF60C8" w:rsidRPr="00412620" w:rsidRDefault="00BF60C8" w:rsidP="00BF60C8">
      <w:pPr>
        <w:jc w:val="both"/>
        <w:rPr>
          <w:rFonts w:cs="Arial"/>
          <w:sz w:val="20"/>
        </w:rPr>
      </w:pPr>
    </w:p>
    <w:p w:rsidR="006A3F93" w:rsidRPr="00412620" w:rsidRDefault="00BF60C8" w:rsidP="00BF60C8">
      <w:pPr>
        <w:jc w:val="both"/>
        <w:rPr>
          <w:rFonts w:cs="Arial"/>
          <w:sz w:val="20"/>
        </w:rPr>
      </w:pPr>
      <w:r w:rsidRPr="00412620">
        <w:rPr>
          <w:rFonts w:cs="Arial"/>
          <w:sz w:val="20"/>
        </w:rPr>
        <w:tab/>
      </w:r>
      <w:r w:rsidRPr="00412620">
        <w:rPr>
          <w:rFonts w:cs="Arial"/>
          <w:sz w:val="20"/>
        </w:rPr>
        <w:tab/>
      </w:r>
      <w:r w:rsidR="006A3F93" w:rsidRPr="00412620">
        <w:rPr>
          <w:rFonts w:cs="Arial"/>
          <w:sz w:val="20"/>
        </w:rPr>
        <w:t>(a)</w:t>
      </w:r>
      <w:r w:rsidR="006A3F93" w:rsidRPr="00412620">
        <w:rPr>
          <w:rFonts w:cs="Arial"/>
          <w:sz w:val="20"/>
        </w:rPr>
        <w:tab/>
        <w:t>in the prescribed form;</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verified in the prescribed manner;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accompanied </w:t>
      </w:r>
      <w:r w:rsidRPr="00412620">
        <w:rPr>
          <w:rStyle w:val="FootnoteReference"/>
          <w:rFonts w:cs="Arial"/>
          <w:sz w:val="20"/>
        </w:rPr>
        <w:footnoteReference w:id="796"/>
      </w:r>
      <w:r w:rsidRPr="00412620">
        <w:rPr>
          <w:rFonts w:cs="Arial"/>
          <w:sz w:val="20"/>
        </w:rPr>
        <w:t>[, except in case of an appeal preferred by the Commissioner,] by the prescribed fee specified in sub-section (3); and</w:t>
      </w:r>
    </w:p>
    <w:p w:rsidR="006A3F93" w:rsidRPr="00412620" w:rsidRDefault="006A3F93">
      <w:pPr>
        <w:jc w:val="both"/>
        <w:rPr>
          <w:rFonts w:cs="Arial"/>
          <w:sz w:val="20"/>
        </w:rPr>
      </w:pPr>
    </w:p>
    <w:p w:rsidR="006A3F93" w:rsidRPr="00412620" w:rsidRDefault="006A3F93">
      <w:pPr>
        <w:ind w:left="1620" w:hanging="720"/>
        <w:jc w:val="both"/>
        <w:rPr>
          <w:rFonts w:cs="Arial"/>
          <w:sz w:val="20"/>
        </w:rPr>
      </w:pPr>
      <w:r w:rsidRPr="00412620">
        <w:rPr>
          <w:rStyle w:val="FootnoteReference"/>
          <w:rFonts w:cs="Arial"/>
          <w:sz w:val="20"/>
        </w:rPr>
        <w:footnoteReference w:id="797"/>
      </w:r>
      <w:r w:rsidRPr="00412620">
        <w:rPr>
          <w:rFonts w:cs="Arial"/>
          <w:sz w:val="20"/>
        </w:rPr>
        <w:t>[(d)</w:t>
      </w:r>
      <w:r w:rsidRPr="00412620">
        <w:rPr>
          <w:rFonts w:cs="Arial"/>
          <w:sz w:val="20"/>
        </w:rPr>
        <w:tab/>
        <w:t>preferred to the Appellate Tribunal within sixty days of the date of service of order of the Commissioner (Appeals) on the taxpayer or the Commissioner, as the case may be.]</w:t>
      </w:r>
    </w:p>
    <w:p w:rsidR="006A3F93" w:rsidRPr="00412620" w:rsidRDefault="006A3F93">
      <w:pPr>
        <w:jc w:val="both"/>
        <w:rPr>
          <w:rFonts w:cs="Arial"/>
          <w:sz w:val="20"/>
        </w:rPr>
      </w:pPr>
    </w:p>
    <w:p w:rsidR="00894CDC" w:rsidRPr="00412620" w:rsidRDefault="00894CDC">
      <w:pPr>
        <w:jc w:val="both"/>
        <w:rPr>
          <w:rFonts w:cs="Arial"/>
          <w:sz w:val="20"/>
        </w:rPr>
      </w:pPr>
      <w:r w:rsidRPr="00412620">
        <w:rPr>
          <w:rFonts w:cs="Arial"/>
          <w:sz w:val="20"/>
        </w:rPr>
        <w:tab/>
      </w:r>
      <w:r w:rsidRPr="00412620">
        <w:rPr>
          <w:rStyle w:val="FootnoteReference"/>
          <w:rFonts w:cs="Arial"/>
          <w:sz w:val="20"/>
        </w:rPr>
        <w:footnoteReference w:id="798"/>
      </w:r>
      <w:r w:rsidRPr="00412620">
        <w:rPr>
          <w:rFonts w:cs="Arial"/>
          <w:sz w:val="20"/>
        </w:rPr>
        <w:t xml:space="preserve">[(3) </w:t>
      </w:r>
      <w:r w:rsidRPr="00412620">
        <w:rPr>
          <w:rFonts w:cs="Arial"/>
          <w:sz w:val="20"/>
        </w:rPr>
        <w:tab/>
        <w:t>The prescribed fee shall be two thousand rupees.]</w:t>
      </w:r>
    </w:p>
    <w:p w:rsidR="00894CDC" w:rsidRPr="00412620" w:rsidRDefault="00894CDC">
      <w:pPr>
        <w:jc w:val="both"/>
        <w:rPr>
          <w:rFonts w:cs="Arial"/>
          <w:sz w:val="20"/>
        </w:rPr>
      </w:pPr>
    </w:p>
    <w:p w:rsidR="006A3F93" w:rsidRPr="00412620" w:rsidRDefault="006A3F93">
      <w:pPr>
        <w:ind w:left="2160" w:hanging="540"/>
        <w:jc w:val="both"/>
        <w:rPr>
          <w:rFonts w:cs="Arial"/>
          <w:sz w:val="20"/>
        </w:rPr>
      </w:pPr>
      <w:r w:rsidRPr="00412620">
        <w:rPr>
          <w:rFonts w:cs="Arial"/>
          <w:sz w:val="20"/>
        </w:rPr>
        <w:tab/>
      </w:r>
    </w:p>
    <w:p w:rsidR="006A3F93" w:rsidRPr="00412620" w:rsidRDefault="006A3F93">
      <w:pPr>
        <w:jc w:val="both"/>
        <w:rPr>
          <w:rFonts w:cs="Arial"/>
          <w:sz w:val="20"/>
        </w:rPr>
      </w:pPr>
      <w:r w:rsidRPr="00412620">
        <w:rPr>
          <w:rFonts w:cs="Arial"/>
          <w:sz w:val="20"/>
        </w:rPr>
        <w:tab/>
        <w:t>(4)</w:t>
      </w:r>
      <w:r w:rsidRPr="00412620">
        <w:rPr>
          <w:rFonts w:cs="Arial"/>
          <w:sz w:val="20"/>
        </w:rPr>
        <w:tab/>
        <w:t>The Appellate Tribunal may, upon application in writing, admit an appeal after the expiration of the period specified in clause (d) of sub-section (2) if it is satisfied that the person appealing was prevented by sufficient cause from filing the appeal within that period.</w:t>
      </w:r>
    </w:p>
    <w:p w:rsidR="006A3F93" w:rsidRPr="00412620" w:rsidRDefault="006A3F93">
      <w:pPr>
        <w:jc w:val="both"/>
        <w:rPr>
          <w:rFonts w:cs="Arial"/>
          <w:sz w:val="12"/>
        </w:rPr>
      </w:pPr>
    </w:p>
    <w:p w:rsidR="006A3F93" w:rsidRPr="00412620" w:rsidRDefault="006A3F93">
      <w:pPr>
        <w:jc w:val="both"/>
        <w:rPr>
          <w:rFonts w:cs="Arial"/>
          <w:sz w:val="20"/>
        </w:rPr>
      </w:pPr>
      <w:r w:rsidRPr="00412620">
        <w:rPr>
          <w:rFonts w:cs="Arial"/>
          <w:sz w:val="20"/>
        </w:rPr>
        <w:tab/>
      </w:r>
      <w:r w:rsidRPr="00412620">
        <w:rPr>
          <w:rStyle w:val="FootnoteReference"/>
          <w:rFonts w:cs="Arial"/>
          <w:sz w:val="20"/>
        </w:rPr>
        <w:footnoteReference w:id="799"/>
      </w:r>
      <w:r w:rsidRPr="00412620">
        <w:rPr>
          <w:rFonts w:cs="Arial"/>
          <w:sz w:val="20"/>
        </w:rPr>
        <w:t xml:space="preserve">[(5) </w:t>
      </w:r>
      <w:r w:rsidRPr="00412620">
        <w:rPr>
          <w:rFonts w:cs="Arial"/>
          <w:sz w:val="20"/>
        </w:rPr>
        <w:tab/>
        <w:t xml:space="preserve">Notwithstanding that an appeal has been filed under this section, tax shall, unless recovery thereof has been stayed by the Appellate Tribunal, be payable in accordance with the assessment made in the case: </w:t>
      </w:r>
    </w:p>
    <w:p w:rsidR="006A3F93" w:rsidRPr="00412620" w:rsidRDefault="006A3F93">
      <w:pPr>
        <w:jc w:val="both"/>
        <w:rPr>
          <w:rFonts w:cs="Arial"/>
          <w:sz w:val="12"/>
        </w:rPr>
      </w:pPr>
    </w:p>
    <w:p w:rsidR="001B1F6A" w:rsidRPr="00412620" w:rsidRDefault="00263F76" w:rsidP="001B1F6A">
      <w:pPr>
        <w:ind w:left="1094" w:firstLine="541"/>
        <w:jc w:val="both"/>
        <w:rPr>
          <w:sz w:val="20"/>
        </w:rPr>
      </w:pPr>
      <w:r w:rsidRPr="00412620">
        <w:rPr>
          <w:rStyle w:val="FootnoteReference"/>
          <w:rFonts w:cs="Arial"/>
          <w:sz w:val="20"/>
        </w:rPr>
        <w:footnoteReference w:id="800"/>
      </w:r>
      <w:r w:rsidR="007F5196" w:rsidRPr="00412620">
        <w:rPr>
          <w:rFonts w:cs="Arial"/>
          <w:sz w:val="20"/>
        </w:rPr>
        <w:t>[</w:t>
      </w:r>
      <w:r w:rsidR="001B1F6A" w:rsidRPr="00412620">
        <w:rPr>
          <w:sz w:val="20"/>
        </w:rPr>
        <w:t xml:space="preserve">Provided that if on filing of application in a particular case, the Appellate Tribunal is of the opinion that the recovery of tax levied </w:t>
      </w:r>
      <w:r w:rsidR="001B1F6A" w:rsidRPr="00412620">
        <w:rPr>
          <w:sz w:val="20"/>
        </w:rPr>
        <w:lastRenderedPageBreak/>
        <w:t>under this Ordinance and upheld by the Commissioner (Appeals), shall cause undue hardship to the taxpayer, the Tribunal, after affording opportunity of being heard to the Commissioner, may stay the recovery of such tax for a period not exceeding one hundred and eighty days in aggregate:</w:t>
      </w:r>
      <w:r w:rsidR="004D76FF">
        <w:rPr>
          <w:sz w:val="20"/>
        </w:rPr>
        <w:t>-</w:t>
      </w:r>
    </w:p>
    <w:p w:rsidR="001B1F6A" w:rsidRPr="00412620" w:rsidRDefault="001B1F6A" w:rsidP="001B1F6A">
      <w:pPr>
        <w:ind w:left="1094" w:firstLine="541"/>
        <w:jc w:val="both"/>
        <w:rPr>
          <w:sz w:val="20"/>
        </w:rPr>
      </w:pPr>
    </w:p>
    <w:p w:rsidR="007B7DB1" w:rsidRPr="00412620" w:rsidRDefault="001B1F6A" w:rsidP="00DE6486">
      <w:pPr>
        <w:ind w:left="1094" w:firstLine="541"/>
        <w:jc w:val="both"/>
        <w:rPr>
          <w:rFonts w:cs="Arial"/>
          <w:sz w:val="20"/>
        </w:rPr>
      </w:pPr>
      <w:r w:rsidRPr="00412620">
        <w:rPr>
          <w:sz w:val="20"/>
        </w:rPr>
        <w:tab/>
        <w:t>Provided further that in computing the aforesaid period of one hundred and eighty days, the period, if any, for which the recovery of tax was stayed by a High Court, shall be excluded.]</w:t>
      </w:r>
      <w:r w:rsidR="00367FA1">
        <w:rPr>
          <w:sz w:val="20"/>
        </w:rPr>
        <w:t>]</w:t>
      </w:r>
    </w:p>
    <w:p w:rsidR="007B7DB1" w:rsidRPr="00412620" w:rsidRDefault="007B7DB1">
      <w:pPr>
        <w:jc w:val="both"/>
        <w:rPr>
          <w:rFonts w:cs="Arial"/>
          <w:sz w:val="20"/>
        </w:rPr>
      </w:pPr>
    </w:p>
    <w:p w:rsidR="006A3F93" w:rsidRPr="00412620" w:rsidRDefault="006A3F93">
      <w:pPr>
        <w:jc w:val="both"/>
        <w:rPr>
          <w:sz w:val="20"/>
        </w:rPr>
      </w:pPr>
      <w:r w:rsidRPr="00412620">
        <w:rPr>
          <w:rFonts w:cs="Arial"/>
          <w:b/>
          <w:sz w:val="20"/>
        </w:rPr>
        <w:t>132.</w:t>
      </w:r>
      <w:r w:rsidRPr="00412620">
        <w:rPr>
          <w:rFonts w:cs="Arial"/>
          <w:b/>
          <w:sz w:val="20"/>
        </w:rPr>
        <w:tab/>
        <w:t>Disposal of appeals by the Appellate Tribunal.</w:t>
      </w:r>
      <w:r w:rsidR="00363EF1" w:rsidRPr="00412620">
        <w:rPr>
          <w:rFonts w:cs="Arial"/>
          <w:sz w:val="20"/>
        </w:rPr>
        <w:t>—</w:t>
      </w:r>
      <w:r w:rsidRPr="00412620">
        <w:rPr>
          <w:sz w:val="20"/>
        </w:rPr>
        <w:t xml:space="preserve"> (1)  The Appellate Tribunal may, before disposing of an appeal, call for such particulars as it may require in respect of the matters arising on the appeal or cause further enquiry to be made by the Commissioner.</w:t>
      </w:r>
    </w:p>
    <w:p w:rsidR="006A3F93" w:rsidRPr="00412620" w:rsidRDefault="006A3F93">
      <w:pPr>
        <w:tabs>
          <w:tab w:val="left" w:pos="1590"/>
        </w:tabs>
        <w:jc w:val="both"/>
        <w:rPr>
          <w:rFonts w:cs="Arial"/>
          <w:sz w:val="12"/>
        </w:rPr>
      </w:pPr>
    </w:p>
    <w:p w:rsidR="006A3F93" w:rsidRPr="00412620" w:rsidRDefault="006A3F93" w:rsidP="006055BD">
      <w:pPr>
        <w:ind w:firstLine="360"/>
        <w:jc w:val="both"/>
        <w:rPr>
          <w:rFonts w:cs="Arial"/>
          <w:sz w:val="20"/>
        </w:rPr>
      </w:pPr>
      <w:r w:rsidRPr="00412620">
        <w:rPr>
          <w:rStyle w:val="FootnoteReference"/>
          <w:rFonts w:cs="Arial"/>
          <w:sz w:val="20"/>
        </w:rPr>
        <w:footnoteReference w:id="801"/>
      </w:r>
      <w:r w:rsidRPr="00412620">
        <w:rPr>
          <w:rFonts w:cs="Arial"/>
          <w:sz w:val="20"/>
        </w:rPr>
        <w:t>[(2)</w:t>
      </w:r>
      <w:r w:rsidRPr="00412620">
        <w:rPr>
          <w:rFonts w:cs="Arial"/>
          <w:sz w:val="20"/>
        </w:rPr>
        <w:tab/>
        <w:t xml:space="preserve">The Appellate Tribunal shall afford an opportunity of being heard to the parties to the appeal and, in case of default by any of the party on the date of hearing, the Tribunal </w:t>
      </w:r>
      <w:r w:rsidR="00F93133" w:rsidRPr="00412620">
        <w:rPr>
          <w:rStyle w:val="FootnoteReference"/>
          <w:rFonts w:cs="Arial"/>
          <w:sz w:val="20"/>
        </w:rPr>
        <w:footnoteReference w:id="802"/>
      </w:r>
      <w:r w:rsidR="00F93133" w:rsidRPr="00412620">
        <w:rPr>
          <w:rFonts w:cs="Arial"/>
          <w:sz w:val="20"/>
        </w:rPr>
        <w:t>[ ]</w:t>
      </w:r>
      <w:r w:rsidRPr="00412620">
        <w:rPr>
          <w:rFonts w:cs="Arial"/>
          <w:sz w:val="20"/>
        </w:rPr>
        <w:t xml:space="preserve"> may proceed </w:t>
      </w:r>
      <w:r w:rsidRPr="00412620">
        <w:rPr>
          <w:rFonts w:cs="Arial"/>
          <w:i/>
          <w:sz w:val="20"/>
          <w:u w:val="single"/>
        </w:rPr>
        <w:t>ex parte</w:t>
      </w:r>
      <w:r w:rsidRPr="00412620">
        <w:rPr>
          <w:rFonts w:cs="Arial"/>
          <w:sz w:val="20"/>
        </w:rPr>
        <w:t xml:space="preserve"> to decide the appeal on the basis of the available record.]</w:t>
      </w:r>
    </w:p>
    <w:p w:rsidR="006A3F93" w:rsidRPr="00412620" w:rsidRDefault="006A3F93">
      <w:pPr>
        <w:jc w:val="both"/>
        <w:rPr>
          <w:rFonts w:cs="Arial"/>
          <w:sz w:val="12"/>
        </w:rPr>
      </w:pPr>
    </w:p>
    <w:p w:rsidR="006A3F93" w:rsidRPr="00412620" w:rsidRDefault="006A3F93">
      <w:pPr>
        <w:ind w:firstLine="360"/>
        <w:jc w:val="both"/>
        <w:rPr>
          <w:rFonts w:cs="Arial"/>
          <w:sz w:val="20"/>
        </w:rPr>
      </w:pPr>
      <w:r w:rsidRPr="00412620">
        <w:rPr>
          <w:rStyle w:val="FootnoteReference"/>
          <w:rFonts w:cs="Arial"/>
          <w:sz w:val="20"/>
        </w:rPr>
        <w:footnoteReference w:id="803"/>
      </w:r>
      <w:r w:rsidRPr="00412620">
        <w:rPr>
          <w:rFonts w:cs="Arial"/>
          <w:sz w:val="20"/>
        </w:rPr>
        <w:t>[(2A)</w:t>
      </w:r>
      <w:r w:rsidRPr="00412620">
        <w:rPr>
          <w:rFonts w:cs="Arial"/>
          <w:sz w:val="20"/>
        </w:rPr>
        <w:tab/>
        <w:t>The Appellate Tribunal shall decide the appeal within six months of its filing;]</w:t>
      </w:r>
    </w:p>
    <w:p w:rsidR="006A3F93" w:rsidRPr="00412620" w:rsidRDefault="006A3F93">
      <w:pPr>
        <w:jc w:val="both"/>
        <w:rPr>
          <w:rFonts w:cs="Arial"/>
          <w:sz w:val="12"/>
        </w:rPr>
      </w:pPr>
    </w:p>
    <w:p w:rsidR="006A3F93" w:rsidRPr="00412620" w:rsidRDefault="006A3F93">
      <w:pPr>
        <w:jc w:val="both"/>
        <w:rPr>
          <w:rFonts w:cs="Arial"/>
          <w:sz w:val="12"/>
        </w:rPr>
      </w:pPr>
      <w:r w:rsidRPr="00412620">
        <w:rPr>
          <w:rFonts w:cs="Arial"/>
          <w:sz w:val="20"/>
        </w:rPr>
        <w:tab/>
        <w:t>(3)</w:t>
      </w:r>
      <w:r w:rsidRPr="00412620">
        <w:rPr>
          <w:rFonts w:cs="Arial"/>
          <w:sz w:val="20"/>
        </w:rPr>
        <w:tab/>
        <w:t xml:space="preserve">Where the appeal relates to an assessment order, the Appellate Tribunal may, </w:t>
      </w:r>
      <w:r w:rsidRPr="00412620">
        <w:rPr>
          <w:rStyle w:val="FootnoteReference"/>
          <w:rFonts w:cs="Arial"/>
          <w:sz w:val="20"/>
        </w:rPr>
        <w:footnoteReference w:id="804"/>
      </w:r>
      <w:r w:rsidRPr="00412620">
        <w:rPr>
          <w:rFonts w:cs="Arial"/>
          <w:sz w:val="20"/>
        </w:rPr>
        <w:t xml:space="preserve">[without prejudice to the powers specified in sub-section (2),]  make an order to </w:t>
      </w:r>
      <w:r w:rsidR="00BE1B44" w:rsidRPr="00412620">
        <w:rPr>
          <w:rFonts w:cs="Arial"/>
          <w:sz w:val="20"/>
        </w:rPr>
        <w:t>—</w:t>
      </w: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affirm, modify or annul the assessment order; or</w:t>
      </w:r>
    </w:p>
    <w:p w:rsidR="006A3F93" w:rsidRPr="00412620" w:rsidRDefault="006A3F93">
      <w:pPr>
        <w:pStyle w:val="BodyTextIndent"/>
        <w:jc w:val="both"/>
        <w:rPr>
          <w:rFonts w:cs="Arial"/>
          <w:sz w:val="14"/>
        </w:rPr>
      </w:pPr>
    </w:p>
    <w:p w:rsidR="00F64F6E" w:rsidRPr="00412620" w:rsidRDefault="00F64F6E">
      <w:pPr>
        <w:pStyle w:val="BodyTextIndent"/>
        <w:jc w:val="both"/>
        <w:rPr>
          <w:rFonts w:cs="Arial"/>
          <w:sz w:val="20"/>
        </w:rPr>
      </w:pPr>
      <w:r w:rsidRPr="00412620">
        <w:rPr>
          <w:rFonts w:cs="Arial"/>
          <w:sz w:val="20"/>
        </w:rPr>
        <w:tab/>
      </w:r>
      <w:r w:rsidRPr="00412620">
        <w:rPr>
          <w:rStyle w:val="FootnoteReference"/>
          <w:rFonts w:cs="Arial"/>
          <w:sz w:val="20"/>
        </w:rPr>
        <w:footnoteReference w:id="805"/>
      </w:r>
      <w:r w:rsidRPr="00412620">
        <w:rPr>
          <w:rFonts w:cs="Arial"/>
          <w:sz w:val="20"/>
        </w:rPr>
        <w:t>[  ]</w:t>
      </w:r>
    </w:p>
    <w:p w:rsidR="00F64F6E" w:rsidRPr="00412620" w:rsidRDefault="00F64F6E">
      <w:pPr>
        <w:pStyle w:val="BodyTextIndent"/>
        <w:jc w:val="both"/>
        <w:rPr>
          <w:rFonts w:cs="Arial"/>
          <w:sz w:val="20"/>
        </w:rPr>
      </w:pPr>
    </w:p>
    <w:p w:rsidR="006A3F93" w:rsidRPr="00412620" w:rsidRDefault="006A3F93">
      <w:pPr>
        <w:jc w:val="both"/>
        <w:rPr>
          <w:rFonts w:cs="Arial"/>
          <w:sz w:val="12"/>
        </w:rPr>
      </w:pPr>
    </w:p>
    <w:p w:rsidR="006A3F93" w:rsidRPr="00412620" w:rsidRDefault="006A3F93">
      <w:pPr>
        <w:pStyle w:val="BodyTextIndent"/>
        <w:ind w:left="1620" w:hanging="623"/>
        <w:jc w:val="both"/>
        <w:rPr>
          <w:sz w:val="20"/>
        </w:rPr>
      </w:pPr>
      <w:r w:rsidRPr="00412620">
        <w:rPr>
          <w:rStyle w:val="FootnoteReference"/>
          <w:rFonts w:cs="Arial"/>
          <w:sz w:val="20"/>
        </w:rPr>
        <w:footnoteReference w:id="806"/>
      </w:r>
      <w:r w:rsidRPr="00412620">
        <w:rPr>
          <w:sz w:val="20"/>
        </w:rPr>
        <w:t>[(c)</w:t>
      </w:r>
      <w:r w:rsidRPr="00412620">
        <w:rPr>
          <w:sz w:val="20"/>
        </w:rPr>
        <w:tab/>
        <w:t>remand the case to the Commissioner or the Commissioner (Appeals) for making such enquiry or taking such action as the Tribunal may direct.]</w:t>
      </w:r>
    </w:p>
    <w:p w:rsidR="006A3F93" w:rsidRPr="00412620" w:rsidRDefault="006A3F93">
      <w:pPr>
        <w:jc w:val="both"/>
        <w:rPr>
          <w:rFonts w:cs="Arial"/>
          <w:sz w:val="12"/>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The Appellate Tribunal shall not increase the amount of any assessment </w:t>
      </w:r>
      <w:r w:rsidRPr="00412620">
        <w:rPr>
          <w:rStyle w:val="FootnoteReference"/>
          <w:rFonts w:cs="Arial"/>
          <w:sz w:val="20"/>
        </w:rPr>
        <w:footnoteReference w:id="807"/>
      </w:r>
      <w:r w:rsidRPr="00412620">
        <w:rPr>
          <w:rFonts w:cs="Arial"/>
          <w:sz w:val="20"/>
        </w:rPr>
        <w:t xml:space="preserve">[or penalty] or decrease the amount of any refund unless the taxpayer has been given a reasonable opportunity of showing cause against such increase or decrease, as the case may be. </w:t>
      </w:r>
    </w:p>
    <w:p w:rsidR="006A3F93" w:rsidRPr="00412620" w:rsidRDefault="006A3F93">
      <w:pPr>
        <w:jc w:val="both"/>
        <w:rPr>
          <w:rFonts w:cs="Arial"/>
          <w:sz w:val="12"/>
        </w:rPr>
      </w:pPr>
    </w:p>
    <w:p w:rsidR="006A3F93" w:rsidRPr="00412620" w:rsidRDefault="006A3F93">
      <w:pPr>
        <w:jc w:val="both"/>
        <w:rPr>
          <w:rFonts w:cs="Arial"/>
          <w:sz w:val="20"/>
        </w:rPr>
      </w:pPr>
      <w:r w:rsidRPr="00412620">
        <w:rPr>
          <w:rFonts w:cs="Arial"/>
          <w:sz w:val="20"/>
        </w:rPr>
        <w:tab/>
        <w:t>(5)</w:t>
      </w:r>
      <w:r w:rsidRPr="00412620">
        <w:rPr>
          <w:rFonts w:cs="Arial"/>
          <w:sz w:val="20"/>
        </w:rPr>
        <w:tab/>
        <w:t>Where, as the result of an appeal, any change is made in the assessment of an association of persons or a new assessment of an association of persons is ordered to be made, the Appellate Tribunal may authorise the Commissioner to amend accordingly any assessment order made on a member of the association and the time limit in sub-section (2) of section 122 shall not apply to the making of such amended assessment.</w:t>
      </w:r>
    </w:p>
    <w:p w:rsidR="006A3F93" w:rsidRPr="00412620" w:rsidRDefault="006A3F93">
      <w:pPr>
        <w:jc w:val="both"/>
        <w:rPr>
          <w:rFonts w:cs="Arial"/>
          <w:sz w:val="12"/>
        </w:rPr>
      </w:pPr>
    </w:p>
    <w:p w:rsidR="006A3F93" w:rsidRPr="00412620" w:rsidRDefault="006A3F93">
      <w:pPr>
        <w:jc w:val="both"/>
        <w:rPr>
          <w:rFonts w:cs="Arial"/>
          <w:sz w:val="20"/>
        </w:rPr>
      </w:pPr>
      <w:r w:rsidRPr="00412620">
        <w:rPr>
          <w:rFonts w:cs="Arial"/>
          <w:sz w:val="20"/>
        </w:rPr>
        <w:tab/>
        <w:t>(6)</w:t>
      </w:r>
      <w:r w:rsidRPr="00412620">
        <w:rPr>
          <w:rFonts w:cs="Arial"/>
          <w:sz w:val="20"/>
        </w:rPr>
        <w:tab/>
        <w:t>Where the appeal relates to a decision other than in respect of an assessment, the Appellate Tribunal may make an order to affirm, vary or annul the decision, and issue such consequential directions as the case may require.</w:t>
      </w:r>
    </w:p>
    <w:p w:rsidR="006A3F93" w:rsidRPr="00412620" w:rsidRDefault="006A3F93">
      <w:pPr>
        <w:jc w:val="both"/>
        <w:rPr>
          <w:rFonts w:cs="Arial"/>
          <w:sz w:val="12"/>
        </w:rPr>
      </w:pPr>
    </w:p>
    <w:p w:rsidR="006A3F93" w:rsidRPr="00412620" w:rsidRDefault="006A3F93" w:rsidP="006055BD">
      <w:pPr>
        <w:ind w:firstLine="547"/>
        <w:jc w:val="both"/>
        <w:rPr>
          <w:rFonts w:cs="Arial"/>
          <w:sz w:val="20"/>
        </w:rPr>
      </w:pPr>
      <w:r w:rsidRPr="00412620">
        <w:rPr>
          <w:rStyle w:val="FootnoteReference"/>
          <w:rFonts w:cs="Arial"/>
          <w:sz w:val="20"/>
        </w:rPr>
        <w:footnoteReference w:id="808"/>
      </w:r>
      <w:r w:rsidRPr="00412620">
        <w:rPr>
          <w:rFonts w:cs="Arial"/>
          <w:sz w:val="20"/>
        </w:rPr>
        <w:t>[(7)</w:t>
      </w:r>
      <w:r w:rsidRPr="00412620">
        <w:rPr>
          <w:rFonts w:cs="Arial"/>
          <w:sz w:val="20"/>
        </w:rPr>
        <w:tab/>
        <w:t>The Appellate Tribunal shall communicate its order to the taxpayer and the Commissioner.]</w:t>
      </w:r>
    </w:p>
    <w:p w:rsidR="006A3F93" w:rsidRPr="00412620" w:rsidRDefault="006A3F93">
      <w:pPr>
        <w:pStyle w:val="BodyText3"/>
        <w:widowControl/>
        <w:rPr>
          <w:rFonts w:ascii="Arial" w:hAnsi="Arial"/>
          <w:sz w:val="14"/>
          <w:lang w:val="en-AU"/>
        </w:rPr>
      </w:pPr>
    </w:p>
    <w:p w:rsidR="006A3F93" w:rsidRPr="00412620" w:rsidRDefault="006A3F93">
      <w:pPr>
        <w:pStyle w:val="BodyText3"/>
        <w:widowControl/>
        <w:rPr>
          <w:rFonts w:ascii="Arial" w:hAnsi="Arial"/>
          <w:sz w:val="20"/>
          <w:lang w:val="en-AU"/>
        </w:rPr>
      </w:pPr>
      <w:r w:rsidRPr="00412620">
        <w:rPr>
          <w:rStyle w:val="FootnoteReference"/>
          <w:rFonts w:ascii="Arial" w:hAnsi="Arial"/>
          <w:sz w:val="20"/>
          <w:lang w:val="en-AU"/>
        </w:rPr>
        <w:footnoteReference w:id="809"/>
      </w:r>
      <w:r w:rsidRPr="00412620">
        <w:rPr>
          <w:rFonts w:ascii="Arial" w:hAnsi="Arial"/>
          <w:sz w:val="20"/>
          <w:lang w:val="en-AU"/>
        </w:rPr>
        <w:t>[  ]</w:t>
      </w:r>
    </w:p>
    <w:p w:rsidR="006A3F93" w:rsidRPr="00412620" w:rsidRDefault="006A3F93">
      <w:pPr>
        <w:jc w:val="both"/>
        <w:rPr>
          <w:rFonts w:cs="Arial"/>
          <w:sz w:val="16"/>
        </w:rPr>
      </w:pPr>
    </w:p>
    <w:p w:rsidR="006A3F93" w:rsidRPr="00412620" w:rsidRDefault="006A3F93">
      <w:pPr>
        <w:jc w:val="both"/>
        <w:rPr>
          <w:rFonts w:cs="Arial"/>
          <w:sz w:val="20"/>
        </w:rPr>
      </w:pPr>
      <w:r w:rsidRPr="00412620">
        <w:rPr>
          <w:rFonts w:cs="Arial"/>
          <w:sz w:val="20"/>
        </w:rPr>
        <w:tab/>
      </w:r>
      <w:r w:rsidRPr="00412620">
        <w:rPr>
          <w:rStyle w:val="FootnoteReference"/>
          <w:rFonts w:cs="Arial"/>
          <w:sz w:val="20"/>
        </w:rPr>
        <w:footnoteReference w:id="810"/>
      </w:r>
      <w:r w:rsidRPr="00412620">
        <w:rPr>
          <w:rFonts w:cs="Arial"/>
          <w:sz w:val="20"/>
        </w:rPr>
        <w:t>[  ]</w:t>
      </w:r>
    </w:p>
    <w:p w:rsidR="006A3F93" w:rsidRPr="00412620" w:rsidRDefault="006A3F93">
      <w:pPr>
        <w:jc w:val="both"/>
        <w:rPr>
          <w:rFonts w:cs="Arial"/>
          <w:sz w:val="12"/>
        </w:rPr>
      </w:pPr>
    </w:p>
    <w:p w:rsidR="006A3F93" w:rsidRPr="00412620" w:rsidRDefault="006A3F93">
      <w:pPr>
        <w:jc w:val="both"/>
        <w:rPr>
          <w:rFonts w:cs="Arial"/>
          <w:sz w:val="20"/>
        </w:rPr>
      </w:pPr>
      <w:r w:rsidRPr="00412620">
        <w:rPr>
          <w:rFonts w:cs="Arial"/>
          <w:sz w:val="20"/>
        </w:rPr>
        <w:tab/>
        <w:t>(10)</w:t>
      </w:r>
      <w:r w:rsidRPr="00412620">
        <w:rPr>
          <w:rFonts w:cs="Arial"/>
          <w:sz w:val="20"/>
        </w:rPr>
        <w:tab/>
        <w:t>Save as provided in section 133, the decision of the Appellate Tribunal on an appeal shall be final.</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sz w:val="20"/>
        </w:rPr>
      </w:pPr>
      <w:r w:rsidRPr="009C505A">
        <w:rPr>
          <w:rStyle w:val="FootnoteReference"/>
          <w:rFonts w:cs="Arial"/>
          <w:bCs/>
          <w:sz w:val="20"/>
        </w:rPr>
        <w:footnoteReference w:id="811"/>
      </w:r>
      <w:r w:rsidRPr="009C505A">
        <w:rPr>
          <w:bCs/>
          <w:sz w:val="20"/>
        </w:rPr>
        <w:t>[</w:t>
      </w:r>
      <w:r w:rsidRPr="00412620">
        <w:rPr>
          <w:b/>
          <w:bCs/>
          <w:sz w:val="20"/>
        </w:rPr>
        <w:t>133. Reference to High Court</w:t>
      </w:r>
      <w:r w:rsidRPr="00412620">
        <w:rPr>
          <w:sz w:val="20"/>
        </w:rPr>
        <w:t>.</w:t>
      </w:r>
      <w:r w:rsidR="00785B36" w:rsidRPr="00412620">
        <w:rPr>
          <w:rFonts w:cs="Arial"/>
          <w:sz w:val="20"/>
        </w:rPr>
        <w:t>—</w:t>
      </w:r>
      <w:r w:rsidRPr="00412620">
        <w:rPr>
          <w:sz w:val="20"/>
        </w:rPr>
        <w:t xml:space="preserve"> (1) Within ninety days of the communication of the order of the Appellate Tribunal under sub-section (7) of section 132, the </w:t>
      </w:r>
      <w:r w:rsidRPr="00412620">
        <w:rPr>
          <w:sz w:val="20"/>
        </w:rPr>
        <w:lastRenderedPageBreak/>
        <w:t>aggrieved person or the Commissioner may prefer an application, in the prescribed form along with a statement of the case, to the High Court, stating any question of law arising out of such order.</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tab/>
        <w:t xml:space="preserve">(2) </w:t>
      </w:r>
      <w:r w:rsidRPr="00412620">
        <w:rPr>
          <w:rFonts w:cs="Arial"/>
          <w:sz w:val="20"/>
        </w:rPr>
        <w:tab/>
        <w:t>The statement to the High Court referred to in sub-section (1), shall set out the facts, the determination of the Appellate Tribunal and the question of law which arises out of its order.</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tab/>
        <w:t xml:space="preserve">(3) </w:t>
      </w:r>
      <w:r w:rsidRPr="00412620">
        <w:rPr>
          <w:rFonts w:cs="Arial"/>
          <w:sz w:val="20"/>
        </w:rPr>
        <w:tab/>
        <w:t>Where, on an application made under sub-section (1), the High Court is satisfied that a question of law arises out of the order referred to in sub-section (1), it may proceed to hear the case.</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lastRenderedPageBreak/>
        <w:tab/>
        <w:t xml:space="preserve">(4) </w:t>
      </w:r>
      <w:r w:rsidRPr="00412620">
        <w:rPr>
          <w:rFonts w:cs="Arial"/>
          <w:sz w:val="20"/>
        </w:rPr>
        <w:tab/>
        <w:t>A reference to the High Court under this section shall be heard by a Bench of not less than two judges of the High Court and, in respect of the reference, the provisions of section 98 of the Code of Civil Procedure, 1908 (Act V of 1908), shall apply, so far as may be, notwithstanding anything contained in any other law for the time being in force.</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tab/>
        <w:t xml:space="preserve">(5) </w:t>
      </w:r>
      <w:r w:rsidRPr="00412620">
        <w:rPr>
          <w:rFonts w:cs="Arial"/>
          <w:sz w:val="20"/>
        </w:rPr>
        <w:tab/>
        <w:t>The High Court upon hearing a reference under this section shall decide the question of law raised by the reference and pass judgment thereon specifying the grounds on which such judgment is based and the Tribunal’s order shall stand modified accordingly. The Court shall send a copy of the judgment under the seal of the Court to the Appellate Tribunal.</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tab/>
        <w:t xml:space="preserve">(6) </w:t>
      </w:r>
      <w:r w:rsidRPr="00412620">
        <w:rPr>
          <w:rFonts w:cs="Arial"/>
          <w:sz w:val="20"/>
        </w:rPr>
        <w:tab/>
        <w:t>Notwithstanding that a reference has been made to the High Court, the tax shall be payable in accordance with the order of the Appellate Tribunal:</w:t>
      </w:r>
    </w:p>
    <w:p w:rsidR="006A3F93" w:rsidRPr="00412620" w:rsidRDefault="006A3F93">
      <w:pPr>
        <w:pStyle w:val="Header"/>
        <w:tabs>
          <w:tab w:val="left" w:pos="547"/>
        </w:tabs>
        <w:jc w:val="both"/>
        <w:rPr>
          <w:rFonts w:cs="Arial"/>
          <w:sz w:val="20"/>
        </w:rPr>
      </w:pPr>
    </w:p>
    <w:p w:rsidR="006A3F93" w:rsidRPr="00412620" w:rsidRDefault="006A3F93" w:rsidP="00F609EB">
      <w:pPr>
        <w:ind w:left="1094" w:firstLine="541"/>
        <w:jc w:val="both"/>
        <w:rPr>
          <w:rFonts w:cs="Arial"/>
          <w:sz w:val="20"/>
        </w:rPr>
      </w:pPr>
      <w:r w:rsidRPr="00412620">
        <w:rPr>
          <w:rFonts w:cs="Arial"/>
          <w:sz w:val="20"/>
        </w:rPr>
        <w:t>Provided that, if the amount of tax is reduced as a result of the judgment in the reference by the High Court and the amount of tax found refundable, the High Court may, on application by the Commissioner within thirty days of the receipt of the judgment of the High Court that he wants to prefer petition for leave to appeal to the Supreme Court, make an order authorizing the Commissioner to postpone the refund until the disposal of the appeal by the Supreme Court.</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tab/>
        <w:t xml:space="preserve">(7) </w:t>
      </w:r>
      <w:r w:rsidRPr="00412620">
        <w:rPr>
          <w:rFonts w:cs="Arial"/>
          <w:sz w:val="20"/>
        </w:rPr>
        <w:tab/>
        <w:t>Where recovery of tax has been stayed by the High Court by an order, such order shall cease to have effect on the expiration of a period of six months following the day on which it was made unless the appeal is decided or such order is withdrawn by the High Court earlier.</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tab/>
        <w:t xml:space="preserve">(8) </w:t>
      </w:r>
      <w:r w:rsidRPr="00412620">
        <w:rPr>
          <w:rFonts w:cs="Arial"/>
          <w:sz w:val="20"/>
        </w:rPr>
        <w:tab/>
        <w:t>Section 5 of the Limitation Act, 1908 (IX of 1908), shall apply to an application made to the High Court under sub-section (1).</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tab/>
        <w:t xml:space="preserve">(9) </w:t>
      </w:r>
      <w:r w:rsidRPr="00412620">
        <w:rPr>
          <w:rFonts w:cs="Arial"/>
          <w:sz w:val="20"/>
        </w:rPr>
        <w:tab/>
        <w:t>An application under sub-section (1) by a person other than the Commissioner shall be accompanied by a fee of one hundred rupees.]</w:t>
      </w:r>
    </w:p>
    <w:p w:rsidR="006A3F93" w:rsidRPr="00412620" w:rsidRDefault="006A3F93">
      <w:pPr>
        <w:jc w:val="both"/>
        <w:rPr>
          <w:rFonts w:cs="Arial"/>
          <w:b/>
          <w:sz w:val="20"/>
        </w:rPr>
      </w:pPr>
    </w:p>
    <w:p w:rsidR="006A3F93" w:rsidRPr="00412620" w:rsidRDefault="0028632A">
      <w:pPr>
        <w:jc w:val="both"/>
        <w:rPr>
          <w:bCs/>
          <w:sz w:val="20"/>
        </w:rPr>
      </w:pPr>
      <w:r w:rsidRPr="00412620">
        <w:rPr>
          <w:bCs/>
          <w:sz w:val="20"/>
        </w:rPr>
        <w:br w:type="page"/>
      </w:r>
      <w:r w:rsidR="006A3F93" w:rsidRPr="00412620">
        <w:rPr>
          <w:rStyle w:val="FootnoteReference"/>
          <w:rFonts w:cs="Arial"/>
          <w:bCs/>
          <w:sz w:val="20"/>
        </w:rPr>
        <w:lastRenderedPageBreak/>
        <w:footnoteReference w:id="812"/>
      </w:r>
      <w:r w:rsidR="006A3F93" w:rsidRPr="00412620">
        <w:rPr>
          <w:bCs/>
          <w:sz w:val="20"/>
        </w:rPr>
        <w:t>[  ]</w:t>
      </w:r>
    </w:p>
    <w:p w:rsidR="006A3F93" w:rsidRPr="00412620" w:rsidRDefault="006A3F93">
      <w:pPr>
        <w:jc w:val="both"/>
        <w:rPr>
          <w:rFonts w:cs="Arial"/>
          <w:sz w:val="20"/>
        </w:rPr>
      </w:pPr>
    </w:p>
    <w:p w:rsidR="006A3F93" w:rsidRPr="00412620" w:rsidRDefault="006A3F93">
      <w:pPr>
        <w:jc w:val="both"/>
        <w:rPr>
          <w:sz w:val="20"/>
        </w:rPr>
      </w:pPr>
      <w:r w:rsidRPr="00412620">
        <w:rPr>
          <w:rStyle w:val="FootnoteReference"/>
          <w:rFonts w:cs="Arial"/>
          <w:sz w:val="20"/>
        </w:rPr>
        <w:footnoteReference w:id="813"/>
      </w:r>
      <w:r w:rsidRPr="00412620">
        <w:rPr>
          <w:sz w:val="20"/>
        </w:rPr>
        <w:t>[</w:t>
      </w:r>
      <w:r w:rsidRPr="00412620">
        <w:rPr>
          <w:b/>
          <w:bCs/>
          <w:sz w:val="20"/>
        </w:rPr>
        <w:t xml:space="preserve">134A. </w:t>
      </w:r>
      <w:r w:rsidR="00845F80" w:rsidRPr="00412620">
        <w:rPr>
          <w:rStyle w:val="FootnoteReference"/>
          <w:b/>
          <w:bCs/>
          <w:sz w:val="20"/>
        </w:rPr>
        <w:footnoteReference w:id="814"/>
      </w:r>
      <w:r w:rsidR="00845F80" w:rsidRPr="00412620">
        <w:rPr>
          <w:b/>
          <w:bCs/>
          <w:sz w:val="20"/>
        </w:rPr>
        <w:t xml:space="preserve">[Alternative] </w:t>
      </w:r>
      <w:r w:rsidRPr="00412620">
        <w:rPr>
          <w:b/>
          <w:bCs/>
          <w:sz w:val="20"/>
        </w:rPr>
        <w:t>Dispute Resolution.</w:t>
      </w:r>
      <w:r w:rsidR="00785B36" w:rsidRPr="00412620">
        <w:rPr>
          <w:rFonts w:cs="Arial"/>
          <w:b/>
          <w:bCs/>
          <w:sz w:val="20"/>
        </w:rPr>
        <w:t>—</w:t>
      </w:r>
      <w:r w:rsidR="00FD457B" w:rsidRPr="00412620">
        <w:rPr>
          <w:rStyle w:val="FootnoteReference"/>
          <w:sz w:val="20"/>
        </w:rPr>
        <w:footnoteReference w:id="815"/>
      </w:r>
      <w:r w:rsidR="00845F80" w:rsidRPr="00412620">
        <w:rPr>
          <w:sz w:val="20"/>
        </w:rPr>
        <w:t>[(1) Notwithstanding any other provision</w:t>
      </w:r>
      <w:r w:rsidR="00FD457B" w:rsidRPr="00412620">
        <w:rPr>
          <w:sz w:val="20"/>
        </w:rPr>
        <w:t xml:space="preserve"> of this Ordinance, or the rules made thereunder an aggrieved person, in connection with any matter pending before an Appellate Authority, may apply to Board for the appointment of a committee for the resolution of any hardship or dispute mentioned in detail in the application</w:t>
      </w:r>
      <w:r w:rsidR="00AB2D29" w:rsidRPr="00412620">
        <w:rPr>
          <w:rStyle w:val="FootnoteReference"/>
          <w:sz w:val="20"/>
        </w:rPr>
        <w:footnoteReference w:id="816"/>
      </w:r>
      <w:r w:rsidR="00AB2D29" w:rsidRPr="00412620">
        <w:rPr>
          <w:sz w:val="20"/>
        </w:rPr>
        <w:t>[except where prosecution proceedings have been initiated or where interpretation of question of law having effect on identical other cases]</w:t>
      </w:r>
      <w:r w:rsidR="00FD457B" w:rsidRPr="00412620">
        <w:rPr>
          <w:sz w:val="20"/>
        </w:rPr>
        <w:t xml:space="preserve">.]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 xml:space="preserve">The </w:t>
      </w:r>
      <w:r w:rsidR="009B17E6" w:rsidRPr="00412620">
        <w:rPr>
          <w:rStyle w:val="FootnoteReference"/>
          <w:rFonts w:cs="Arial"/>
          <w:sz w:val="20"/>
        </w:rPr>
        <w:footnoteReference w:id="817"/>
      </w:r>
      <w:r w:rsidR="009B17E6" w:rsidRPr="00412620">
        <w:rPr>
          <w:rFonts w:cs="Arial"/>
          <w:sz w:val="20"/>
        </w:rPr>
        <w:t>[</w:t>
      </w:r>
      <w:r w:rsidRPr="00412620">
        <w:rPr>
          <w:rFonts w:cs="Arial"/>
          <w:sz w:val="20"/>
        </w:rPr>
        <w:t>Board</w:t>
      </w:r>
      <w:r w:rsidR="009B17E6" w:rsidRPr="00412620">
        <w:rPr>
          <w:rFonts w:cs="Arial"/>
          <w:sz w:val="20"/>
        </w:rPr>
        <w:t>]</w:t>
      </w:r>
      <w:r w:rsidRPr="00412620">
        <w:rPr>
          <w:rFonts w:cs="Arial"/>
          <w:sz w:val="20"/>
        </w:rPr>
        <w:t xml:space="preserve"> after examination of the application of an aggrieved person, shall </w:t>
      </w:r>
      <w:r w:rsidR="007B0314" w:rsidRPr="00412620">
        <w:rPr>
          <w:rStyle w:val="FootnoteReference"/>
          <w:rFonts w:cs="Arial"/>
          <w:sz w:val="20"/>
        </w:rPr>
        <w:footnoteReference w:id="818"/>
      </w:r>
      <w:r w:rsidR="007B0314" w:rsidRPr="00412620">
        <w:rPr>
          <w:rFonts w:cs="Arial"/>
          <w:sz w:val="20"/>
        </w:rPr>
        <w:t xml:space="preserve">[within sixty days of receipt of such application in the Board] </w:t>
      </w:r>
      <w:r w:rsidRPr="00412620">
        <w:rPr>
          <w:rFonts w:cs="Arial"/>
          <w:sz w:val="20"/>
        </w:rPr>
        <w:t>appoint a committee consisting of an officer of</w:t>
      </w:r>
      <w:r w:rsidR="00BD4DFE">
        <w:rPr>
          <w:rFonts w:cs="Arial"/>
          <w:sz w:val="20"/>
        </w:rPr>
        <w:t xml:space="preserve"> </w:t>
      </w:r>
      <w:r w:rsidR="00C257B7" w:rsidRPr="00412620">
        <w:rPr>
          <w:rStyle w:val="FootnoteReference"/>
          <w:rFonts w:cs="Arial"/>
          <w:sz w:val="20"/>
        </w:rPr>
        <w:footnoteReference w:id="819"/>
      </w:r>
      <w:r w:rsidR="00C257B7" w:rsidRPr="00412620">
        <w:rPr>
          <w:rFonts w:cs="Arial"/>
          <w:sz w:val="20"/>
        </w:rPr>
        <w:t>[Inland Revenue</w:t>
      </w:r>
      <w:r w:rsidR="00BD4DFE">
        <w:rPr>
          <w:rFonts w:cs="Arial"/>
          <w:sz w:val="20"/>
        </w:rPr>
        <w:t xml:space="preserve"> </w:t>
      </w:r>
      <w:r w:rsidR="00BD4DFE" w:rsidRPr="00966F3F">
        <w:rPr>
          <w:rStyle w:val="FootnoteReference"/>
          <w:rFonts w:cs="Arial"/>
          <w:color w:val="0070C0"/>
          <w:sz w:val="20"/>
        </w:rPr>
        <w:footnoteReference w:id="820"/>
      </w:r>
      <w:r w:rsidR="00BD4DFE" w:rsidRPr="00966F3F">
        <w:rPr>
          <w:rFonts w:cs="Arial"/>
          <w:color w:val="0070C0"/>
          <w:sz w:val="20"/>
        </w:rPr>
        <w:t>[not below the rank of Commissioner]</w:t>
      </w:r>
      <w:r w:rsidR="00BD4DFE">
        <w:rPr>
          <w:rFonts w:cs="Arial"/>
          <w:sz w:val="20"/>
        </w:rPr>
        <w:t xml:space="preserve"> </w:t>
      </w:r>
      <w:r w:rsidR="00C257B7" w:rsidRPr="00412620">
        <w:rPr>
          <w:rFonts w:cs="Arial"/>
          <w:sz w:val="20"/>
        </w:rPr>
        <w:t xml:space="preserve">] </w:t>
      </w:r>
      <w:r w:rsidRPr="00412620">
        <w:rPr>
          <w:rFonts w:cs="Arial"/>
          <w:sz w:val="20"/>
        </w:rPr>
        <w:t xml:space="preserve">and two persons from a </w:t>
      </w:r>
      <w:r w:rsidRPr="00412620">
        <w:rPr>
          <w:rStyle w:val="FootnoteReference"/>
          <w:rFonts w:cs="Arial"/>
          <w:sz w:val="20"/>
        </w:rPr>
        <w:footnoteReference w:id="821"/>
      </w:r>
      <w:r w:rsidRPr="00412620">
        <w:rPr>
          <w:rFonts w:cs="Arial"/>
          <w:sz w:val="20"/>
        </w:rPr>
        <w:t>[panel comprising] of Chartered or Cost Accountants, Advocates, Income Tax Practitioners or reputable taxpayers for the resolution of the hardship or dispute.</w:t>
      </w:r>
    </w:p>
    <w:p w:rsidR="006A3F93" w:rsidRPr="00412620" w:rsidRDefault="006A3F93">
      <w:pPr>
        <w:jc w:val="both"/>
        <w:rPr>
          <w:rFonts w:cs="Arial"/>
          <w:sz w:val="20"/>
        </w:rPr>
      </w:pPr>
    </w:p>
    <w:p w:rsidR="004E6CA6" w:rsidRPr="00412620" w:rsidRDefault="004E6CA6">
      <w:pPr>
        <w:jc w:val="both"/>
        <w:rPr>
          <w:rFonts w:cs="Arial"/>
          <w:sz w:val="20"/>
        </w:rPr>
      </w:pPr>
      <w:r w:rsidRPr="00412620">
        <w:rPr>
          <w:rFonts w:cs="Arial"/>
          <w:sz w:val="20"/>
        </w:rPr>
        <w:tab/>
      </w:r>
      <w:r w:rsidR="00C76BB0" w:rsidRPr="00412620">
        <w:rPr>
          <w:rStyle w:val="FootnoteReference"/>
          <w:rFonts w:cs="Arial"/>
          <w:sz w:val="20"/>
        </w:rPr>
        <w:footnoteReference w:id="822"/>
      </w:r>
      <w:r w:rsidR="002C3652" w:rsidRPr="00412620">
        <w:rPr>
          <w:rFonts w:cs="Arial"/>
          <w:sz w:val="20"/>
        </w:rPr>
        <w:t xml:space="preserve">[(3) </w:t>
      </w:r>
      <w:r w:rsidR="002C3652" w:rsidRPr="00412620">
        <w:rPr>
          <w:rFonts w:cs="Arial"/>
          <w:sz w:val="20"/>
        </w:rPr>
        <w:tab/>
        <w:t>The Committee constituted under sub-section (2) shall examine the issue and may if it deem fit necessary conduct inquiry seek expert opin</w:t>
      </w:r>
      <w:r w:rsidR="000D6E2D" w:rsidRPr="00412620">
        <w:rPr>
          <w:rFonts w:cs="Arial"/>
          <w:sz w:val="20"/>
        </w:rPr>
        <w:t>i</w:t>
      </w:r>
      <w:r w:rsidR="002C3652" w:rsidRPr="00412620">
        <w:rPr>
          <w:rFonts w:cs="Arial"/>
          <w:sz w:val="20"/>
        </w:rPr>
        <w:t xml:space="preserve">on, direct </w:t>
      </w:r>
      <w:r w:rsidR="002C3652" w:rsidRPr="00412620">
        <w:rPr>
          <w:rFonts w:cs="Arial"/>
          <w:sz w:val="20"/>
        </w:rPr>
        <w:lastRenderedPageBreak/>
        <w:t xml:space="preserve">any officer of the </w:t>
      </w:r>
      <w:r w:rsidR="004D22FB" w:rsidRPr="00412620">
        <w:rPr>
          <w:rStyle w:val="FootnoteReference"/>
          <w:rFonts w:cs="Arial"/>
          <w:sz w:val="20"/>
        </w:rPr>
        <w:footnoteReference w:id="823"/>
      </w:r>
      <w:r w:rsidR="004D22FB" w:rsidRPr="00412620">
        <w:rPr>
          <w:rFonts w:cs="Arial"/>
          <w:sz w:val="20"/>
        </w:rPr>
        <w:t xml:space="preserve">[Inland Revenue] </w:t>
      </w:r>
      <w:r w:rsidR="002C3652" w:rsidRPr="00412620">
        <w:rPr>
          <w:rFonts w:cs="Arial"/>
          <w:sz w:val="20"/>
        </w:rPr>
        <w:t>or any other person to conduct an audit and shall make recommendations within ninety days of its constitution in respect of the resolution of the dispute. If the committee fails to make recommendations within the said period the Board shall dissolve the committee and constitute a new committee which shall decide the matter within a further period of ninety days. If after the expiry of that period the dispute is not resolved the matter shall be taken up by the appropriate forum for decision.]</w:t>
      </w:r>
    </w:p>
    <w:p w:rsidR="004E6CA6" w:rsidRPr="00412620" w:rsidRDefault="004E6CA6">
      <w:pPr>
        <w:jc w:val="both"/>
        <w:rPr>
          <w:rFonts w:cs="Arial"/>
          <w:sz w:val="20"/>
        </w:rPr>
      </w:pPr>
    </w:p>
    <w:p w:rsidR="006A3F93" w:rsidRPr="00412620" w:rsidRDefault="006A3F93">
      <w:pPr>
        <w:jc w:val="both"/>
        <w:rPr>
          <w:rFonts w:cs="Arial"/>
          <w:sz w:val="20"/>
        </w:rPr>
      </w:pPr>
      <w:r w:rsidRPr="00412620">
        <w:rPr>
          <w:rFonts w:cs="Arial"/>
          <w:sz w:val="20"/>
        </w:rPr>
        <w:tab/>
        <w:t xml:space="preserve">(4) </w:t>
      </w:r>
      <w:r w:rsidRPr="00412620">
        <w:rPr>
          <w:rFonts w:cs="Arial"/>
          <w:sz w:val="20"/>
        </w:rPr>
        <w:tab/>
        <w:t xml:space="preserve">The </w:t>
      </w:r>
      <w:r w:rsidR="009B17E6" w:rsidRPr="00412620">
        <w:rPr>
          <w:rStyle w:val="FootnoteReference"/>
          <w:rFonts w:cs="Arial"/>
          <w:sz w:val="20"/>
        </w:rPr>
        <w:footnoteReference w:id="824"/>
      </w:r>
      <w:r w:rsidR="009B17E6" w:rsidRPr="00412620">
        <w:rPr>
          <w:rFonts w:cs="Arial"/>
          <w:sz w:val="20"/>
        </w:rPr>
        <w:t>[</w:t>
      </w:r>
      <w:r w:rsidRPr="00412620">
        <w:rPr>
          <w:rFonts w:cs="Arial"/>
          <w:sz w:val="20"/>
        </w:rPr>
        <w:t>Board</w:t>
      </w:r>
      <w:r w:rsidR="009B17E6" w:rsidRPr="00412620">
        <w:rPr>
          <w:rFonts w:cs="Arial"/>
          <w:sz w:val="20"/>
        </w:rPr>
        <w:t>]</w:t>
      </w:r>
      <w:r w:rsidRPr="00412620">
        <w:rPr>
          <w:rFonts w:cs="Arial"/>
          <w:sz w:val="20"/>
        </w:rPr>
        <w:t xml:space="preserve"> may, on the recommendation of the committee, pass such order, as it may deem appropriate</w:t>
      </w:r>
      <w:r w:rsidR="00FE513A">
        <w:rPr>
          <w:rFonts w:cs="Arial"/>
          <w:sz w:val="20"/>
        </w:rPr>
        <w:t xml:space="preserve"> </w:t>
      </w:r>
      <w:r w:rsidR="00520596" w:rsidRPr="00412620">
        <w:rPr>
          <w:rStyle w:val="FootnoteReference"/>
          <w:rFonts w:cs="Arial"/>
          <w:sz w:val="20"/>
        </w:rPr>
        <w:footnoteReference w:id="825"/>
      </w:r>
      <w:r w:rsidR="00C45680" w:rsidRPr="00412620">
        <w:rPr>
          <w:rFonts w:cs="Arial"/>
          <w:sz w:val="20"/>
        </w:rPr>
        <w:t xml:space="preserve">[within </w:t>
      </w:r>
      <w:r w:rsidR="00FE513A" w:rsidRPr="00966F3F">
        <w:rPr>
          <w:rStyle w:val="FootnoteReference"/>
          <w:rFonts w:cs="Arial"/>
          <w:color w:val="0070C0"/>
          <w:sz w:val="20"/>
        </w:rPr>
        <w:footnoteReference w:id="826"/>
      </w:r>
      <w:r w:rsidR="00FE513A" w:rsidRPr="00966F3F">
        <w:rPr>
          <w:rFonts w:cs="Arial"/>
          <w:color w:val="0070C0"/>
          <w:sz w:val="20"/>
        </w:rPr>
        <w:t>[ninety]</w:t>
      </w:r>
      <w:r w:rsidR="00FE513A">
        <w:rPr>
          <w:rFonts w:cs="Arial"/>
          <w:sz w:val="20"/>
        </w:rPr>
        <w:t xml:space="preserve"> </w:t>
      </w:r>
      <w:r w:rsidR="00C45680" w:rsidRPr="00412620">
        <w:rPr>
          <w:rFonts w:cs="Arial"/>
          <w:sz w:val="20"/>
        </w:rPr>
        <w:t>days of the receipt of recommendations of the Committee]</w:t>
      </w:r>
      <w:r w:rsidR="00284B64">
        <w:rPr>
          <w:rFonts w:cs="Arial"/>
          <w:sz w:val="20"/>
        </w:rPr>
        <w:t xml:space="preserve"> </w:t>
      </w:r>
      <w:r w:rsidR="00284B64" w:rsidRPr="00966F3F">
        <w:rPr>
          <w:rStyle w:val="FootnoteReference"/>
          <w:rFonts w:cs="Arial"/>
          <w:color w:val="0070C0"/>
          <w:sz w:val="20"/>
        </w:rPr>
        <w:footnoteReference w:id="827"/>
      </w:r>
      <w:r w:rsidR="00284B64" w:rsidRPr="00966F3F">
        <w:rPr>
          <w:rFonts w:cs="Arial"/>
          <w:color w:val="0070C0"/>
          <w:sz w:val="20"/>
        </w:rPr>
        <w:t>[:]</w:t>
      </w:r>
    </w:p>
    <w:p w:rsidR="006A3F93" w:rsidRDefault="006A3F93">
      <w:pPr>
        <w:jc w:val="both"/>
        <w:rPr>
          <w:rFonts w:cs="Arial"/>
          <w:sz w:val="20"/>
        </w:rPr>
      </w:pPr>
    </w:p>
    <w:p w:rsidR="00284B64" w:rsidRPr="00966F3F" w:rsidRDefault="00284B64" w:rsidP="00284B64">
      <w:pPr>
        <w:ind w:left="1094" w:firstLine="547"/>
        <w:jc w:val="both"/>
        <w:rPr>
          <w:rFonts w:cs="Arial"/>
          <w:color w:val="0070C0"/>
          <w:sz w:val="20"/>
        </w:rPr>
      </w:pPr>
      <w:r w:rsidRPr="00966F3F">
        <w:rPr>
          <w:rStyle w:val="FootnoteReference"/>
          <w:rFonts w:cs="Arial"/>
          <w:bCs/>
          <w:color w:val="0070C0"/>
          <w:sz w:val="20"/>
        </w:rPr>
        <w:footnoteReference w:id="828"/>
      </w:r>
      <w:r w:rsidRPr="00966F3F">
        <w:rPr>
          <w:rFonts w:cs="Arial"/>
          <w:bCs/>
          <w:color w:val="0070C0"/>
          <w:sz w:val="20"/>
        </w:rPr>
        <w:t>[“</w:t>
      </w:r>
      <w:r w:rsidRPr="00966F3F">
        <w:rPr>
          <w:rFonts w:cs="Arial"/>
          <w:color w:val="0070C0"/>
          <w:sz w:val="20"/>
        </w:rPr>
        <w:t>Provided that if such order is not passed within the aforesaid period, recommendations of the committee shall be treated to be an order passed by the Board under this sub-section.”]</w:t>
      </w:r>
    </w:p>
    <w:p w:rsidR="00284B64" w:rsidRPr="00412620" w:rsidRDefault="00284B64">
      <w:pPr>
        <w:jc w:val="both"/>
        <w:rPr>
          <w:rFonts w:cs="Arial"/>
          <w:sz w:val="20"/>
        </w:rPr>
      </w:pPr>
    </w:p>
    <w:p w:rsidR="001C28EA" w:rsidRPr="00412620" w:rsidRDefault="001C28EA">
      <w:pPr>
        <w:jc w:val="both"/>
        <w:rPr>
          <w:rFonts w:cs="Arial"/>
          <w:sz w:val="20"/>
        </w:rPr>
      </w:pPr>
      <w:r w:rsidRPr="00412620">
        <w:rPr>
          <w:rFonts w:cs="Arial"/>
          <w:sz w:val="20"/>
        </w:rPr>
        <w:tab/>
      </w:r>
      <w:r w:rsidRPr="00412620">
        <w:rPr>
          <w:rStyle w:val="FootnoteReference"/>
          <w:rFonts w:cs="Arial"/>
          <w:sz w:val="20"/>
        </w:rPr>
        <w:footnoteReference w:id="829"/>
      </w:r>
      <w:r w:rsidRPr="00412620">
        <w:rPr>
          <w:rFonts w:cs="Arial"/>
          <w:sz w:val="20"/>
        </w:rPr>
        <w:t xml:space="preserve">[(4A) Notwithstanding anything contained in sub-section (4), the Chairman </w:t>
      </w:r>
      <w:r w:rsidR="00F672A3" w:rsidRPr="00412620">
        <w:rPr>
          <w:rFonts w:cs="Arial"/>
          <w:sz w:val="20"/>
        </w:rPr>
        <w:t xml:space="preserve">Federal Board of Revenue may, on the application of an aggrieved person, for reasons to be recorded in writing, and on being satisfied that there is an error in order or decision, pass such order as may be deemed just </w:t>
      </w:r>
      <w:r w:rsidRPr="00412620">
        <w:rPr>
          <w:rFonts w:cs="Arial"/>
          <w:sz w:val="20"/>
        </w:rPr>
        <w:t>and equitable.]</w:t>
      </w:r>
    </w:p>
    <w:p w:rsidR="001C28EA" w:rsidRPr="00412620" w:rsidRDefault="001C28EA">
      <w:pPr>
        <w:jc w:val="both"/>
        <w:rPr>
          <w:rFonts w:cs="Arial"/>
          <w:sz w:val="20"/>
        </w:rPr>
      </w:pPr>
    </w:p>
    <w:p w:rsidR="006A3F93" w:rsidRPr="00412620" w:rsidRDefault="006A3F93">
      <w:pPr>
        <w:jc w:val="both"/>
        <w:rPr>
          <w:rFonts w:cs="Arial"/>
          <w:sz w:val="20"/>
        </w:rPr>
      </w:pPr>
      <w:r w:rsidRPr="00412620">
        <w:rPr>
          <w:rFonts w:cs="Arial"/>
          <w:sz w:val="20"/>
        </w:rPr>
        <w:tab/>
        <w:t xml:space="preserve">(5) </w:t>
      </w:r>
      <w:r w:rsidRPr="00412620">
        <w:rPr>
          <w:rFonts w:cs="Arial"/>
          <w:sz w:val="20"/>
        </w:rPr>
        <w:tab/>
        <w:t xml:space="preserve">The aggrieved person may make the payment of income tax and other taxes as determined by the </w:t>
      </w:r>
      <w:r w:rsidR="00F1789E" w:rsidRPr="00412620">
        <w:rPr>
          <w:rStyle w:val="FootnoteReference"/>
          <w:rFonts w:cs="Arial"/>
          <w:sz w:val="20"/>
        </w:rPr>
        <w:footnoteReference w:id="830"/>
      </w:r>
      <w:r w:rsidR="00F1789E" w:rsidRPr="00412620">
        <w:rPr>
          <w:rFonts w:cs="Arial"/>
          <w:sz w:val="20"/>
        </w:rPr>
        <w:t>[</w:t>
      </w:r>
      <w:r w:rsidRPr="00412620">
        <w:rPr>
          <w:rFonts w:cs="Arial"/>
          <w:sz w:val="20"/>
        </w:rPr>
        <w:t>Board</w:t>
      </w:r>
      <w:r w:rsidR="00F1789E" w:rsidRPr="00412620">
        <w:rPr>
          <w:rFonts w:cs="Arial"/>
          <w:sz w:val="20"/>
        </w:rPr>
        <w:t>]</w:t>
      </w:r>
      <w:r w:rsidRPr="00412620">
        <w:rPr>
          <w:rFonts w:cs="Arial"/>
          <w:sz w:val="20"/>
        </w:rPr>
        <w:t xml:space="preserve"> in its order under sub-section (4) and all decisions, orders and judgements made or passed shall stand modified to that extent and all proceedings under this Ordinance or the rules made thereunder by any authority shall abate:</w:t>
      </w:r>
    </w:p>
    <w:p w:rsidR="006A3F93" w:rsidRPr="00412620" w:rsidRDefault="006A3F93">
      <w:pPr>
        <w:jc w:val="both"/>
        <w:rPr>
          <w:rFonts w:cs="Arial"/>
          <w:sz w:val="20"/>
        </w:rPr>
      </w:pPr>
    </w:p>
    <w:p w:rsidR="006A3F93" w:rsidRPr="00412620" w:rsidRDefault="006A3F93" w:rsidP="006E7C76">
      <w:pPr>
        <w:ind w:left="1094" w:firstLine="541"/>
        <w:jc w:val="both"/>
        <w:rPr>
          <w:rFonts w:cs="Arial"/>
          <w:sz w:val="20"/>
        </w:rPr>
      </w:pPr>
      <w:r w:rsidRPr="00412620">
        <w:rPr>
          <w:rFonts w:cs="Arial"/>
          <w:sz w:val="20"/>
        </w:rPr>
        <w:t>Provided that</w:t>
      </w:r>
      <w:r w:rsidR="00A3662B" w:rsidRPr="00412620">
        <w:rPr>
          <w:rStyle w:val="FootnoteReference"/>
          <w:rFonts w:cs="Arial"/>
          <w:sz w:val="20"/>
        </w:rPr>
        <w:footnoteReference w:id="831"/>
      </w:r>
      <w:r w:rsidR="00A3662B" w:rsidRPr="00412620">
        <w:rPr>
          <w:rFonts w:cs="Arial"/>
          <w:sz w:val="20"/>
        </w:rPr>
        <w:t xml:space="preserve">[ ] </w:t>
      </w:r>
      <w:r w:rsidRPr="00412620">
        <w:rPr>
          <w:rFonts w:cs="Arial"/>
          <w:sz w:val="20"/>
        </w:rPr>
        <w:t xml:space="preserve">an </w:t>
      </w:r>
      <w:r w:rsidRPr="00412620">
        <w:rPr>
          <w:rStyle w:val="FootnoteReference"/>
          <w:rFonts w:cs="Arial"/>
          <w:sz w:val="20"/>
        </w:rPr>
        <w:footnoteReference w:id="832"/>
      </w:r>
      <w:r w:rsidRPr="00412620">
        <w:rPr>
          <w:rFonts w:cs="Arial"/>
          <w:sz w:val="20"/>
        </w:rPr>
        <w:t xml:space="preserve">[order passed by] the Board in the light of recommendations of the committee shall be submitted before that authority, tribunal or the court </w:t>
      </w:r>
      <w:r w:rsidR="00FA60D0" w:rsidRPr="00412620">
        <w:rPr>
          <w:rStyle w:val="FootnoteReference"/>
          <w:rFonts w:cs="Arial"/>
          <w:sz w:val="20"/>
        </w:rPr>
        <w:footnoteReference w:id="833"/>
      </w:r>
      <w:r w:rsidR="00FA60D0" w:rsidRPr="00412620">
        <w:rPr>
          <w:rFonts w:cs="Arial"/>
          <w:sz w:val="20"/>
        </w:rPr>
        <w:t xml:space="preserve">[where the matter is </w:t>
      </w:r>
      <w:r w:rsidR="00FA60D0" w:rsidRPr="00412620">
        <w:rPr>
          <w:rFonts w:cs="Arial"/>
          <w:i/>
          <w:sz w:val="20"/>
        </w:rPr>
        <w:t>subjudice</w:t>
      </w:r>
      <w:r w:rsidR="00FA60D0" w:rsidRPr="00412620">
        <w:rPr>
          <w:rFonts w:cs="Arial"/>
          <w:sz w:val="20"/>
        </w:rPr>
        <w:t xml:space="preserve">] </w:t>
      </w:r>
      <w:r w:rsidR="003424D8" w:rsidRPr="00412620">
        <w:rPr>
          <w:rFonts w:cs="Arial"/>
          <w:sz w:val="20"/>
        </w:rPr>
        <w:t xml:space="preserve">for </w:t>
      </w:r>
      <w:r w:rsidRPr="00412620">
        <w:rPr>
          <w:rFonts w:cs="Arial"/>
          <w:sz w:val="20"/>
        </w:rPr>
        <w:t xml:space="preserve">consideration and orders as deemed appropriate </w:t>
      </w:r>
      <w:r w:rsidRPr="00412620">
        <w:rPr>
          <w:rStyle w:val="FootnoteReference"/>
          <w:rFonts w:cs="Arial"/>
          <w:sz w:val="20"/>
        </w:rPr>
        <w:footnoteReference w:id="834"/>
      </w:r>
      <w:r w:rsidRPr="00412620">
        <w:rPr>
          <w:rFonts w:cs="Arial"/>
          <w:sz w:val="20"/>
        </w:rPr>
        <w:t>[:]</w:t>
      </w:r>
    </w:p>
    <w:p w:rsidR="006A3F93" w:rsidRPr="00412620" w:rsidRDefault="006A3F93">
      <w:pPr>
        <w:jc w:val="both"/>
        <w:rPr>
          <w:rFonts w:cs="Arial"/>
          <w:sz w:val="20"/>
        </w:rPr>
      </w:pPr>
    </w:p>
    <w:p w:rsidR="006A3F93" w:rsidRPr="00412620" w:rsidRDefault="0028632A" w:rsidP="006E7C76">
      <w:pPr>
        <w:ind w:left="1094" w:firstLine="765"/>
        <w:jc w:val="both"/>
        <w:rPr>
          <w:sz w:val="20"/>
        </w:rPr>
      </w:pPr>
      <w:r w:rsidRPr="00412620">
        <w:rPr>
          <w:rStyle w:val="FootnoteReference"/>
          <w:rFonts w:cs="Arial"/>
          <w:sz w:val="20"/>
        </w:rPr>
        <w:footnoteReference w:id="835"/>
      </w:r>
      <w:r w:rsidR="006A3F93" w:rsidRPr="00412620">
        <w:rPr>
          <w:sz w:val="20"/>
        </w:rPr>
        <w:t>[Provided further that if the taxpayer is not satisfied with the said order, he may continue to pursue his remedy before the relevant authority, tribunal or court as if no such order had been made by the Board.]</w:t>
      </w:r>
    </w:p>
    <w:p w:rsidR="006A3F93" w:rsidRPr="00412620" w:rsidRDefault="006A3F93">
      <w:pPr>
        <w:jc w:val="both"/>
        <w:rPr>
          <w:rFonts w:cs="Arial"/>
          <w:sz w:val="20"/>
        </w:rPr>
      </w:pPr>
    </w:p>
    <w:p w:rsidR="006A3F93" w:rsidRPr="00412620" w:rsidRDefault="006A3F93">
      <w:pPr>
        <w:ind w:firstLine="450"/>
        <w:jc w:val="both"/>
        <w:rPr>
          <w:sz w:val="20"/>
        </w:rPr>
      </w:pPr>
      <w:r w:rsidRPr="00412620">
        <w:rPr>
          <w:rStyle w:val="FootnoteReference"/>
          <w:rFonts w:cs="Arial"/>
          <w:sz w:val="20"/>
        </w:rPr>
        <w:footnoteReference w:id="836"/>
      </w:r>
      <w:r w:rsidRPr="00412620">
        <w:rPr>
          <w:sz w:val="20"/>
        </w:rPr>
        <w:t>[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(7) </w:t>
      </w:r>
      <w:r w:rsidRPr="00412620">
        <w:rPr>
          <w:rFonts w:cs="Arial"/>
          <w:sz w:val="20"/>
        </w:rPr>
        <w:tab/>
        <w:t>The Board may, by notification in the official Gazette, make rules for carrying out the purposes of this section.]</w:t>
      </w:r>
    </w:p>
    <w:p w:rsidR="00E47DC3" w:rsidRPr="009C505A" w:rsidRDefault="00E47DC3">
      <w:pPr>
        <w:jc w:val="both"/>
        <w:rPr>
          <w:rFonts w:cs="Arial"/>
          <w:sz w:val="12"/>
        </w:rPr>
      </w:pPr>
    </w:p>
    <w:p w:rsidR="006A3F93" w:rsidRPr="00412620" w:rsidRDefault="006A3F93">
      <w:pPr>
        <w:jc w:val="both"/>
        <w:rPr>
          <w:sz w:val="20"/>
        </w:rPr>
      </w:pPr>
      <w:r w:rsidRPr="00412620">
        <w:rPr>
          <w:rStyle w:val="FootnoteReference"/>
          <w:rFonts w:cs="Arial"/>
          <w:sz w:val="20"/>
        </w:rPr>
        <w:footnoteReference w:id="837"/>
      </w:r>
      <w:r w:rsidRPr="00412620">
        <w:rPr>
          <w:sz w:val="20"/>
        </w:rPr>
        <w:t>[  ]</w:t>
      </w:r>
    </w:p>
    <w:p w:rsidR="006A3F93" w:rsidRPr="009C505A" w:rsidRDefault="006A3F93">
      <w:pPr>
        <w:jc w:val="both"/>
        <w:rPr>
          <w:rFonts w:cs="Arial"/>
          <w:sz w:val="12"/>
        </w:rPr>
      </w:pPr>
    </w:p>
    <w:p w:rsidR="006A3F93" w:rsidRPr="00412620" w:rsidRDefault="006A3F93" w:rsidP="00454050">
      <w:pPr>
        <w:jc w:val="both"/>
        <w:rPr>
          <w:sz w:val="20"/>
        </w:rPr>
      </w:pPr>
      <w:r w:rsidRPr="00412620">
        <w:rPr>
          <w:rFonts w:cs="Arial"/>
          <w:b/>
          <w:sz w:val="20"/>
        </w:rPr>
        <w:t>136.</w:t>
      </w:r>
      <w:r w:rsidRPr="00412620">
        <w:rPr>
          <w:rFonts w:cs="Arial"/>
          <w:b/>
          <w:sz w:val="20"/>
        </w:rPr>
        <w:tab/>
        <w:t xml:space="preserve"> Burden of proof.</w:t>
      </w:r>
      <w:r w:rsidR="00E47DC3" w:rsidRPr="00412620">
        <w:rPr>
          <w:rFonts w:cs="Arial"/>
          <w:sz w:val="20"/>
        </w:rPr>
        <w:t>—</w:t>
      </w:r>
      <w:r w:rsidRPr="00412620">
        <w:rPr>
          <w:sz w:val="20"/>
        </w:rPr>
        <w:t xml:space="preserve"> In any appeal </w:t>
      </w:r>
      <w:r w:rsidRPr="00412620">
        <w:rPr>
          <w:rStyle w:val="FootnoteReference"/>
          <w:sz w:val="20"/>
        </w:rPr>
        <w:footnoteReference w:id="838"/>
      </w:r>
      <w:r w:rsidRPr="00412620">
        <w:rPr>
          <w:sz w:val="20"/>
        </w:rPr>
        <w:t xml:space="preserve">[by a taxpayer] under this Part, the burden shall be on the taxpayer to prove, on the balance of probabilities </w:t>
      </w:r>
      <w:r w:rsidR="00454050" w:rsidRPr="00412620">
        <w:rPr>
          <w:rFonts w:cs="Arial"/>
          <w:sz w:val="20"/>
        </w:rPr>
        <w:t>—</w:t>
      </w:r>
    </w:p>
    <w:p w:rsidR="00454050" w:rsidRPr="009C505A" w:rsidRDefault="00454050" w:rsidP="00454050">
      <w:pPr>
        <w:jc w:val="both"/>
        <w:rPr>
          <w:rFonts w:cs="Arial"/>
          <w:sz w:val="12"/>
        </w:rPr>
      </w:pPr>
    </w:p>
    <w:p w:rsidR="006A3F93" w:rsidRPr="00412620" w:rsidRDefault="006A3F93">
      <w:pPr>
        <w:pStyle w:val="BodyTextIndent"/>
        <w:ind w:left="1635" w:hanging="555"/>
        <w:rPr>
          <w:rFonts w:cs="Arial"/>
          <w:sz w:val="20"/>
        </w:rPr>
      </w:pPr>
      <w:r w:rsidRPr="00412620">
        <w:rPr>
          <w:rFonts w:cs="Arial"/>
          <w:sz w:val="20"/>
        </w:rPr>
        <w:lastRenderedPageBreak/>
        <w:t>(a)</w:t>
      </w:r>
      <w:r w:rsidRPr="00412620">
        <w:rPr>
          <w:rFonts w:cs="Arial"/>
          <w:sz w:val="20"/>
        </w:rPr>
        <w:tab/>
        <w:t>in the case of an assessment order, the extent to which the order does not correctly reflect the taxpayer’s tax liability for the tax year; or</w:t>
      </w:r>
    </w:p>
    <w:p w:rsidR="006A3F93" w:rsidRPr="009C505A" w:rsidRDefault="006A3F93">
      <w:pPr>
        <w:pStyle w:val="CommentText"/>
        <w:rPr>
          <w:rFonts w:cs="Arial"/>
          <w:sz w:val="12"/>
        </w:rPr>
      </w:pPr>
    </w:p>
    <w:p w:rsidR="006A3F93" w:rsidRPr="00412620" w:rsidRDefault="006A3F93">
      <w:pPr>
        <w:pStyle w:val="BodyTextIndent"/>
        <w:ind w:left="1635" w:hanging="555"/>
        <w:rPr>
          <w:rFonts w:cs="Arial"/>
          <w:sz w:val="20"/>
        </w:rPr>
      </w:pPr>
      <w:r w:rsidRPr="00412620">
        <w:rPr>
          <w:rFonts w:cs="Arial"/>
          <w:sz w:val="20"/>
        </w:rPr>
        <w:t>(b)</w:t>
      </w:r>
      <w:r w:rsidRPr="00412620">
        <w:rPr>
          <w:rFonts w:cs="Arial"/>
          <w:sz w:val="20"/>
        </w:rPr>
        <w:tab/>
        <w:t>in the case of any other decision, that the decision is erroneous.</w:t>
      </w:r>
    </w:p>
    <w:p w:rsidR="006A3F93" w:rsidRPr="00412620" w:rsidRDefault="00DC7192">
      <w:pPr>
        <w:keepNext/>
        <w:jc w:val="center"/>
        <w:rPr>
          <w:rFonts w:cs="Arial"/>
          <w:b/>
          <w:sz w:val="32"/>
          <w:szCs w:val="32"/>
        </w:rPr>
      </w:pPr>
      <w:r w:rsidRPr="00412620">
        <w:rPr>
          <w:rFonts w:cs="Arial"/>
          <w:b/>
          <w:sz w:val="32"/>
          <w:szCs w:val="32"/>
        </w:rPr>
        <w:br w:type="page"/>
      </w:r>
      <w:r w:rsidR="006A3F93" w:rsidRPr="00412620">
        <w:rPr>
          <w:rFonts w:cs="Arial"/>
          <w:b/>
          <w:sz w:val="32"/>
          <w:szCs w:val="32"/>
        </w:rPr>
        <w:lastRenderedPageBreak/>
        <w:t>PART IV</w:t>
      </w:r>
    </w:p>
    <w:p w:rsidR="006A3F93" w:rsidRPr="00412620" w:rsidRDefault="006A3F93">
      <w:pPr>
        <w:keepNext/>
        <w:jc w:val="center"/>
        <w:rPr>
          <w:rFonts w:cs="Arial"/>
          <w:b/>
          <w:sz w:val="20"/>
        </w:rPr>
      </w:pPr>
      <w:r w:rsidRPr="00412620">
        <w:rPr>
          <w:rFonts w:cs="Arial"/>
          <w:b/>
          <w:sz w:val="20"/>
        </w:rPr>
        <w:t>COLLECTION AND RECOVERY OF TAX</w:t>
      </w:r>
    </w:p>
    <w:p w:rsidR="006A3F93" w:rsidRPr="00412620" w:rsidRDefault="006A3F93">
      <w:pPr>
        <w:pStyle w:val="Header"/>
        <w:keepNext/>
        <w:tabs>
          <w:tab w:val="left" w:pos="547"/>
        </w:tabs>
        <w:rPr>
          <w:rFonts w:cs="Arial"/>
          <w:sz w:val="20"/>
        </w:rPr>
      </w:pPr>
    </w:p>
    <w:p w:rsidR="006A3F93" w:rsidRPr="00412620" w:rsidRDefault="006A3F93">
      <w:pPr>
        <w:jc w:val="both"/>
        <w:rPr>
          <w:sz w:val="20"/>
        </w:rPr>
      </w:pPr>
      <w:r w:rsidRPr="00412620">
        <w:rPr>
          <w:rFonts w:cs="Arial"/>
          <w:b/>
          <w:sz w:val="20"/>
        </w:rPr>
        <w:t>137.</w:t>
      </w:r>
      <w:r w:rsidRPr="00412620">
        <w:rPr>
          <w:rFonts w:cs="Arial"/>
          <w:b/>
          <w:sz w:val="20"/>
        </w:rPr>
        <w:tab/>
        <w:t xml:space="preserve"> Due date for payment of tax.</w:t>
      </w:r>
      <w:r w:rsidR="00E47DC3" w:rsidRPr="00412620">
        <w:rPr>
          <w:rFonts w:cs="Arial"/>
          <w:sz w:val="20"/>
        </w:rPr>
        <w:t>—</w:t>
      </w:r>
      <w:r w:rsidRPr="00412620">
        <w:rPr>
          <w:sz w:val="20"/>
        </w:rPr>
        <w:t xml:space="preserve"> (1)  The tax payable by a taxpayer on the taxable income of the taxpayer </w:t>
      </w:r>
      <w:r w:rsidRPr="00412620">
        <w:rPr>
          <w:rStyle w:val="FootnoteReference"/>
          <w:sz w:val="20"/>
        </w:rPr>
        <w:footnoteReference w:id="839"/>
      </w:r>
      <w:r w:rsidRPr="00412620">
        <w:rPr>
          <w:sz w:val="20"/>
        </w:rPr>
        <w:t xml:space="preserve">[including the tax payable under </w:t>
      </w:r>
      <w:r w:rsidR="00582B5D" w:rsidRPr="00412620">
        <w:rPr>
          <w:rStyle w:val="FootnoteReference"/>
          <w:sz w:val="20"/>
        </w:rPr>
        <w:footnoteReference w:id="840"/>
      </w:r>
      <w:r w:rsidR="00582B5D" w:rsidRPr="00412620">
        <w:rPr>
          <w:sz w:val="20"/>
        </w:rPr>
        <w:t>[ ]</w:t>
      </w:r>
      <w:r w:rsidR="001A5BB7">
        <w:rPr>
          <w:sz w:val="20"/>
        </w:rPr>
        <w:t xml:space="preserve"> </w:t>
      </w:r>
      <w:r w:rsidRPr="00412620">
        <w:rPr>
          <w:sz w:val="20"/>
        </w:rPr>
        <w:t xml:space="preserve">] </w:t>
      </w:r>
      <w:r w:rsidRPr="00412620">
        <w:rPr>
          <w:rStyle w:val="FootnoteReference"/>
          <w:sz w:val="20"/>
        </w:rPr>
        <w:footnoteReference w:id="841"/>
      </w:r>
      <w:r w:rsidRPr="00412620">
        <w:rPr>
          <w:sz w:val="20"/>
        </w:rPr>
        <w:t xml:space="preserve">[section </w:t>
      </w:r>
      <w:r w:rsidR="00DE7B18" w:rsidRPr="00412620">
        <w:rPr>
          <w:rStyle w:val="FootnoteReference"/>
          <w:sz w:val="20"/>
        </w:rPr>
        <w:footnoteReference w:id="842"/>
      </w:r>
      <w:r w:rsidR="00DE7B18" w:rsidRPr="00412620">
        <w:rPr>
          <w:sz w:val="20"/>
        </w:rPr>
        <w:t xml:space="preserve">[113 or] </w:t>
      </w:r>
      <w:r w:rsidRPr="00412620">
        <w:rPr>
          <w:sz w:val="20"/>
        </w:rPr>
        <w:t>113A] for a tax year shall be due on the due date for furnishing the taxpayer’s return of income for that year.</w:t>
      </w:r>
    </w:p>
    <w:p w:rsidR="006A3F93" w:rsidRPr="00AC40F7" w:rsidRDefault="006A3F93">
      <w:pPr>
        <w:rPr>
          <w:rFonts w:cs="Arial"/>
          <w:b/>
          <w:sz w:val="12"/>
        </w:rPr>
      </w:pPr>
    </w:p>
    <w:p w:rsidR="006A3F93" w:rsidRPr="001A5BB7" w:rsidRDefault="006A3F93" w:rsidP="00BC6C6A">
      <w:pPr>
        <w:ind w:firstLine="547"/>
        <w:jc w:val="both"/>
        <w:rPr>
          <w:rFonts w:cs="Arial"/>
          <w:color w:val="000000" w:themeColor="text1"/>
          <w:sz w:val="20"/>
        </w:rPr>
      </w:pPr>
      <w:r w:rsidRPr="00412620">
        <w:rPr>
          <w:rStyle w:val="FootnoteReference"/>
          <w:rFonts w:cs="Arial"/>
          <w:sz w:val="20"/>
        </w:rPr>
        <w:footnoteReference w:id="843"/>
      </w:r>
      <w:r w:rsidRPr="00412620">
        <w:rPr>
          <w:rFonts w:cs="Arial"/>
          <w:sz w:val="20"/>
        </w:rPr>
        <w:t>[(2)</w:t>
      </w:r>
      <w:r w:rsidRPr="00412620">
        <w:rPr>
          <w:rFonts w:cs="Arial"/>
          <w:sz w:val="20"/>
        </w:rPr>
        <w:tab/>
        <w:t xml:space="preserve">Where any tax is payable under an assessment order or an amended assessment order or any other order issued by the Commissioner under this Ordinance, a notice shall be served upon the taxpayer in the prescribed form specifying the amount payable and thereupon the sum so specified shall be paid </w:t>
      </w:r>
      <w:r w:rsidRPr="001A5BB7">
        <w:rPr>
          <w:rFonts w:cs="Arial"/>
          <w:color w:val="000000" w:themeColor="text1"/>
          <w:sz w:val="20"/>
        </w:rPr>
        <w:t xml:space="preserve">within </w:t>
      </w:r>
      <w:r w:rsidR="00C14960" w:rsidRPr="001A5BB7">
        <w:rPr>
          <w:rStyle w:val="FootnoteReference"/>
          <w:rFonts w:cs="Arial"/>
          <w:color w:val="000000" w:themeColor="text1"/>
          <w:sz w:val="20"/>
        </w:rPr>
        <w:footnoteReference w:id="844"/>
      </w:r>
      <w:r w:rsidR="00C14960" w:rsidRPr="001A5BB7">
        <w:rPr>
          <w:rFonts w:cs="Arial"/>
          <w:color w:val="000000" w:themeColor="text1"/>
          <w:sz w:val="20"/>
        </w:rPr>
        <w:t>[</w:t>
      </w:r>
      <w:r w:rsidR="001A5BB7">
        <w:rPr>
          <w:rFonts w:cs="Arial"/>
          <w:color w:val="000000" w:themeColor="text1"/>
          <w:sz w:val="20"/>
        </w:rPr>
        <w:t xml:space="preserve"> </w:t>
      </w:r>
      <w:r w:rsidR="004021FE" w:rsidRPr="001A5BB7">
        <w:rPr>
          <w:rStyle w:val="FootnoteReference"/>
          <w:rFonts w:cs="Arial"/>
          <w:color w:val="000000" w:themeColor="text1"/>
          <w:sz w:val="20"/>
        </w:rPr>
        <w:footnoteReference w:id="845"/>
      </w:r>
      <w:r w:rsidR="004021FE" w:rsidRPr="001A5BB7">
        <w:rPr>
          <w:rFonts w:cs="Arial"/>
          <w:color w:val="000000" w:themeColor="text1"/>
          <w:sz w:val="20"/>
        </w:rPr>
        <w:t>[thirty]</w:t>
      </w:r>
      <w:r w:rsidR="001A5BB7">
        <w:rPr>
          <w:rFonts w:cs="Arial"/>
          <w:color w:val="000000" w:themeColor="text1"/>
          <w:sz w:val="20"/>
        </w:rPr>
        <w:t xml:space="preserve"> </w:t>
      </w:r>
      <w:r w:rsidR="00C14960" w:rsidRPr="001A5BB7">
        <w:rPr>
          <w:rFonts w:cs="Arial"/>
          <w:color w:val="000000" w:themeColor="text1"/>
          <w:sz w:val="20"/>
        </w:rPr>
        <w:t xml:space="preserve">] </w:t>
      </w:r>
      <w:r w:rsidRPr="001A5BB7">
        <w:rPr>
          <w:rFonts w:cs="Arial"/>
          <w:color w:val="000000" w:themeColor="text1"/>
          <w:sz w:val="20"/>
        </w:rPr>
        <w:t>days from the date of service of the notice</w:t>
      </w:r>
      <w:r w:rsidR="00407978" w:rsidRPr="001A5BB7">
        <w:rPr>
          <w:rFonts w:cs="Arial"/>
          <w:color w:val="000000" w:themeColor="text1"/>
          <w:sz w:val="20"/>
        </w:rPr>
        <w:t>:</w:t>
      </w:r>
      <w:r w:rsidRPr="001A5BB7">
        <w:rPr>
          <w:rFonts w:cs="Arial"/>
          <w:color w:val="000000" w:themeColor="text1"/>
          <w:sz w:val="20"/>
        </w:rPr>
        <w:t>]</w:t>
      </w:r>
    </w:p>
    <w:p w:rsidR="006A3F93" w:rsidRPr="001A5BB7" w:rsidRDefault="006A3F93">
      <w:pPr>
        <w:jc w:val="both"/>
        <w:rPr>
          <w:rFonts w:cs="Arial"/>
          <w:color w:val="000000" w:themeColor="text1"/>
          <w:sz w:val="12"/>
        </w:rPr>
      </w:pPr>
    </w:p>
    <w:p w:rsidR="00407978" w:rsidRPr="001A5BB7" w:rsidRDefault="003A4505" w:rsidP="00847A5C">
      <w:pPr>
        <w:ind w:left="1094" w:firstLine="547"/>
        <w:jc w:val="both"/>
        <w:rPr>
          <w:rFonts w:cs="Arial"/>
          <w:color w:val="000000" w:themeColor="text1"/>
          <w:sz w:val="16"/>
        </w:rPr>
      </w:pPr>
      <w:r w:rsidRPr="001A5BB7">
        <w:rPr>
          <w:rStyle w:val="FootnoteReference"/>
          <w:rFonts w:cs="Arial"/>
          <w:color w:val="000000" w:themeColor="text1"/>
          <w:sz w:val="20"/>
        </w:rPr>
        <w:footnoteReference w:id="846"/>
      </w:r>
      <w:r w:rsidRPr="001A5BB7">
        <w:rPr>
          <w:rFonts w:cs="Arial"/>
          <w:color w:val="000000" w:themeColor="text1"/>
          <w:sz w:val="20"/>
        </w:rPr>
        <w:t>[</w:t>
      </w:r>
      <w:r w:rsidR="00407978" w:rsidRPr="001A5BB7">
        <w:rPr>
          <w:rFonts w:cs="Arial"/>
          <w:color w:val="000000" w:themeColor="text1"/>
          <w:sz w:val="20"/>
        </w:rPr>
        <w:t>Provided that the tax payable as a result of provisional assessment</w:t>
      </w:r>
      <w:r w:rsidR="002A374F" w:rsidRPr="001A5BB7">
        <w:rPr>
          <w:rStyle w:val="FootnoteReference"/>
          <w:rFonts w:cs="Arial"/>
          <w:color w:val="000000" w:themeColor="text1"/>
          <w:sz w:val="20"/>
        </w:rPr>
        <w:footnoteReference w:id="847"/>
      </w:r>
      <w:r w:rsidR="002A374F" w:rsidRPr="001A5BB7">
        <w:rPr>
          <w:rFonts w:cs="Arial"/>
          <w:color w:val="000000" w:themeColor="text1"/>
          <w:sz w:val="20"/>
        </w:rPr>
        <w:t>[order]</w:t>
      </w:r>
      <w:r w:rsidR="00407978" w:rsidRPr="001A5BB7">
        <w:rPr>
          <w:rFonts w:cs="Arial"/>
          <w:color w:val="000000" w:themeColor="text1"/>
          <w:sz w:val="20"/>
        </w:rPr>
        <w:t xml:space="preserve"> under section 122C, as specified in the notice under sub-section (2) shall be payable </w:t>
      </w:r>
      <w:r w:rsidR="00741430" w:rsidRPr="001A5BB7">
        <w:rPr>
          <w:rStyle w:val="FootnoteReference"/>
          <w:rFonts w:cs="Arial"/>
          <w:color w:val="000000" w:themeColor="text1"/>
          <w:sz w:val="20"/>
        </w:rPr>
        <w:footnoteReference w:id="848"/>
      </w:r>
      <w:r w:rsidR="00741430" w:rsidRPr="001A5BB7">
        <w:rPr>
          <w:rFonts w:cs="Arial"/>
          <w:color w:val="000000" w:themeColor="text1"/>
          <w:sz w:val="20"/>
        </w:rPr>
        <w:t xml:space="preserve">[immediately] </w:t>
      </w:r>
      <w:r w:rsidR="00407978" w:rsidRPr="001A5BB7">
        <w:rPr>
          <w:rFonts w:cs="Arial"/>
          <w:color w:val="000000" w:themeColor="text1"/>
          <w:sz w:val="20"/>
        </w:rPr>
        <w:t xml:space="preserve">after a period of </w:t>
      </w:r>
      <w:r w:rsidR="000B52B6" w:rsidRPr="001A5BB7">
        <w:rPr>
          <w:rStyle w:val="FootnoteReference"/>
          <w:rFonts w:cs="Arial"/>
          <w:color w:val="000000" w:themeColor="text1"/>
          <w:sz w:val="20"/>
        </w:rPr>
        <w:footnoteReference w:id="849"/>
      </w:r>
      <w:r w:rsidR="000B52B6" w:rsidRPr="001A5BB7">
        <w:rPr>
          <w:rFonts w:cs="Arial"/>
          <w:color w:val="000000" w:themeColor="text1"/>
          <w:sz w:val="20"/>
        </w:rPr>
        <w:t>[forty-five]</w:t>
      </w:r>
      <w:r w:rsidR="00F53D60" w:rsidRPr="001A5BB7">
        <w:rPr>
          <w:rFonts w:cs="Arial"/>
          <w:color w:val="000000" w:themeColor="text1"/>
          <w:sz w:val="20"/>
        </w:rPr>
        <w:t xml:space="preserve"> </w:t>
      </w:r>
      <w:r w:rsidR="00407978" w:rsidRPr="001A5BB7">
        <w:rPr>
          <w:rFonts w:cs="Arial"/>
          <w:color w:val="000000" w:themeColor="text1"/>
          <w:sz w:val="20"/>
        </w:rPr>
        <w:t>days from the date of service of the notice</w:t>
      </w:r>
      <w:r w:rsidR="001A7379" w:rsidRPr="001A5BB7">
        <w:rPr>
          <w:rStyle w:val="FootnoteReference"/>
          <w:rFonts w:cs="Arial"/>
          <w:color w:val="000000" w:themeColor="text1"/>
          <w:sz w:val="20"/>
        </w:rPr>
        <w:footnoteReference w:id="850"/>
      </w:r>
      <w:r w:rsidR="008362F2" w:rsidRPr="001A5BB7">
        <w:rPr>
          <w:rFonts w:cs="Arial"/>
          <w:color w:val="000000" w:themeColor="text1"/>
          <w:sz w:val="20"/>
        </w:rPr>
        <w:t>[:]</w:t>
      </w:r>
      <w:r w:rsidR="001A5BB7">
        <w:rPr>
          <w:rFonts w:cs="Arial"/>
          <w:color w:val="000000" w:themeColor="text1"/>
          <w:sz w:val="20"/>
        </w:rPr>
        <w:t xml:space="preserve"> </w:t>
      </w:r>
      <w:r w:rsidRPr="001A5BB7">
        <w:rPr>
          <w:rFonts w:cs="Arial"/>
          <w:color w:val="000000" w:themeColor="text1"/>
          <w:sz w:val="20"/>
        </w:rPr>
        <w:t>]</w:t>
      </w:r>
    </w:p>
    <w:p w:rsidR="00407978" w:rsidRPr="001A5BB7" w:rsidRDefault="00407978">
      <w:pPr>
        <w:jc w:val="both"/>
        <w:rPr>
          <w:rFonts w:cs="Arial"/>
          <w:color w:val="000000" w:themeColor="text1"/>
          <w:sz w:val="12"/>
        </w:rPr>
      </w:pPr>
    </w:p>
    <w:p w:rsidR="00120439" w:rsidRPr="00412620" w:rsidRDefault="00432A62" w:rsidP="001A7379">
      <w:pPr>
        <w:ind w:left="1094" w:firstLine="541"/>
        <w:jc w:val="both"/>
        <w:rPr>
          <w:rFonts w:cs="Arial"/>
          <w:sz w:val="20"/>
        </w:rPr>
      </w:pPr>
      <w:r w:rsidRPr="001A5BB7">
        <w:rPr>
          <w:rStyle w:val="FootnoteReference"/>
          <w:rFonts w:cs="Arial"/>
          <w:color w:val="000000" w:themeColor="text1"/>
          <w:sz w:val="20"/>
        </w:rPr>
        <w:footnoteReference w:id="851"/>
      </w:r>
      <w:r w:rsidR="00120439" w:rsidRPr="001A5BB7">
        <w:rPr>
          <w:rFonts w:cs="Arial"/>
          <w:color w:val="000000" w:themeColor="text1"/>
          <w:sz w:val="20"/>
        </w:rPr>
        <w:t>[</w:t>
      </w:r>
      <w:r w:rsidR="001A7379" w:rsidRPr="001A5BB7">
        <w:rPr>
          <w:color w:val="000000" w:themeColor="text1"/>
          <w:sz w:val="20"/>
        </w:rPr>
        <w:t xml:space="preserve">Provided further that the taxpayer may pay the tax payable prior to expiry of the period of </w:t>
      </w:r>
      <w:r w:rsidR="002262E3" w:rsidRPr="001A5BB7">
        <w:rPr>
          <w:rStyle w:val="FootnoteReference"/>
          <w:color w:val="000000" w:themeColor="text1"/>
          <w:sz w:val="20"/>
        </w:rPr>
        <w:footnoteReference w:id="852"/>
      </w:r>
      <w:r w:rsidR="002262E3" w:rsidRPr="001A5BB7">
        <w:rPr>
          <w:color w:val="000000" w:themeColor="text1"/>
          <w:sz w:val="20"/>
        </w:rPr>
        <w:t>[forty-five]</w:t>
      </w:r>
      <w:r w:rsidR="001A2A0D" w:rsidRPr="001A5BB7">
        <w:rPr>
          <w:color w:val="000000" w:themeColor="text1"/>
          <w:sz w:val="20"/>
        </w:rPr>
        <w:t xml:space="preserve"> </w:t>
      </w:r>
      <w:r w:rsidR="001A7379" w:rsidRPr="001A5BB7">
        <w:rPr>
          <w:color w:val="000000" w:themeColor="text1"/>
          <w:sz w:val="20"/>
        </w:rPr>
        <w:t>days</w:t>
      </w:r>
      <w:r w:rsidR="001A7379" w:rsidRPr="00412620">
        <w:rPr>
          <w:sz w:val="20"/>
        </w:rPr>
        <w:t xml:space="preserve"> specified in the first proviso.]</w:t>
      </w:r>
    </w:p>
    <w:p w:rsidR="00120439" w:rsidRPr="00AC40F7" w:rsidRDefault="00120439">
      <w:pPr>
        <w:jc w:val="both"/>
        <w:rPr>
          <w:rFonts w:cs="Arial"/>
          <w:sz w:val="12"/>
          <w:szCs w:val="12"/>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Nothing in sub-section (2) </w:t>
      </w:r>
      <w:r w:rsidRPr="00412620">
        <w:rPr>
          <w:rStyle w:val="FootnoteReference"/>
          <w:rFonts w:cs="Arial"/>
          <w:sz w:val="20"/>
        </w:rPr>
        <w:footnoteReference w:id="853"/>
      </w:r>
      <w:r w:rsidRPr="00412620">
        <w:rPr>
          <w:rFonts w:cs="Arial"/>
          <w:sz w:val="20"/>
        </w:rPr>
        <w:t>[or (4)] shall affect the operation of sub-section (1).</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lastRenderedPageBreak/>
        <w:tab/>
        <w:t>(4)</w:t>
      </w:r>
      <w:r w:rsidRPr="00412620">
        <w:rPr>
          <w:rFonts w:cs="Arial"/>
          <w:sz w:val="20"/>
        </w:rPr>
        <w:tab/>
        <w:t xml:space="preserve">Upon written application by a taxpayer, the Commissioner may, where good cause is shown, grant the taxpayer an extension of time for payment of tax due </w:t>
      </w:r>
      <w:r w:rsidRPr="00412620">
        <w:rPr>
          <w:rStyle w:val="FootnoteReference"/>
          <w:rFonts w:cs="Arial"/>
          <w:sz w:val="20"/>
        </w:rPr>
        <w:footnoteReference w:id="854"/>
      </w:r>
      <w:r w:rsidRPr="00412620">
        <w:rPr>
          <w:rFonts w:cs="Arial"/>
          <w:sz w:val="20"/>
        </w:rPr>
        <w:t xml:space="preserve">[under sub-section (2)] or allow the taxpayer to pay </w:t>
      </w:r>
      <w:r w:rsidRPr="00412620">
        <w:rPr>
          <w:rStyle w:val="FootnoteReference"/>
          <w:rFonts w:cs="Arial"/>
          <w:sz w:val="20"/>
        </w:rPr>
        <w:footnoteReference w:id="855"/>
      </w:r>
      <w:r w:rsidRPr="00412620">
        <w:rPr>
          <w:rFonts w:cs="Arial"/>
          <w:sz w:val="20"/>
        </w:rPr>
        <w:t>[such tax] in installments of equal or varying amounts as the Commissioner may determine having regard to the circumstances of the case.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Where a taxpayer is permitted to pay tax by installments and the taxpayer defaults in payment of any installments, the whole balance of the tax outstanding shall become immediately payable.</w:t>
      </w:r>
    </w:p>
    <w:p w:rsidR="006A3F93" w:rsidRPr="00412620" w:rsidRDefault="006A3F93">
      <w:pPr>
        <w:pStyle w:val="Header"/>
        <w:tabs>
          <w:tab w:val="left" w:pos="547"/>
        </w:tabs>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The grant of an extension of time to pay tax due or the grant of permission to pay tax due by installments shall not preclude the liability for </w:t>
      </w:r>
      <w:r w:rsidR="00FE5599" w:rsidRPr="00412620">
        <w:rPr>
          <w:rStyle w:val="FootnoteReference"/>
          <w:rFonts w:cs="Arial"/>
          <w:sz w:val="20"/>
        </w:rPr>
        <w:footnoteReference w:id="856"/>
      </w:r>
      <w:r w:rsidR="00FE5599" w:rsidRPr="00412620">
        <w:rPr>
          <w:rFonts w:cs="Arial"/>
          <w:sz w:val="20"/>
        </w:rPr>
        <w:t>[</w:t>
      </w:r>
      <w:r w:rsidR="00407978" w:rsidRPr="00412620">
        <w:rPr>
          <w:rFonts w:cs="Arial"/>
          <w:sz w:val="20"/>
        </w:rPr>
        <w:t>default surcharge</w:t>
      </w:r>
      <w:r w:rsidR="00FE5599" w:rsidRPr="00412620">
        <w:rPr>
          <w:rFonts w:cs="Arial"/>
          <w:sz w:val="20"/>
        </w:rPr>
        <w:t>]</w:t>
      </w:r>
      <w:r w:rsidRPr="00412620">
        <w:rPr>
          <w:rFonts w:cs="Arial"/>
          <w:sz w:val="20"/>
        </w:rPr>
        <w:t xml:space="preserve">arising under section 205 from the due date of the tax under sub-section </w:t>
      </w:r>
      <w:r w:rsidRPr="00412620">
        <w:rPr>
          <w:rStyle w:val="FootnoteReference"/>
          <w:rFonts w:cs="Arial"/>
          <w:sz w:val="20"/>
        </w:rPr>
        <w:footnoteReference w:id="857"/>
      </w:r>
      <w:r w:rsidRPr="00412620">
        <w:rPr>
          <w:rFonts w:cs="Arial"/>
          <w:sz w:val="20"/>
        </w:rPr>
        <w:t>[(2)].</w:t>
      </w:r>
    </w:p>
    <w:p w:rsidR="006A3F93" w:rsidRPr="00412620" w:rsidRDefault="006A3F93">
      <w:pPr>
        <w:jc w:val="both"/>
        <w:rPr>
          <w:rFonts w:cs="Arial"/>
          <w:bCs/>
          <w:strike/>
          <w:sz w:val="20"/>
        </w:rPr>
      </w:pPr>
    </w:p>
    <w:p w:rsidR="006A3F93" w:rsidRPr="00412620" w:rsidRDefault="006A3F93">
      <w:pPr>
        <w:ind w:firstLine="547"/>
        <w:jc w:val="both"/>
        <w:rPr>
          <w:sz w:val="20"/>
        </w:rPr>
      </w:pPr>
      <w:r w:rsidRPr="00412620">
        <w:rPr>
          <w:rStyle w:val="FootnoteReference"/>
          <w:rFonts w:cs="Arial"/>
          <w:sz w:val="20"/>
        </w:rPr>
        <w:footnoteReference w:id="858"/>
      </w:r>
      <w:r w:rsidRPr="00412620">
        <w:rPr>
          <w:sz w:val="20"/>
        </w:rPr>
        <w:t>[  ]</w:t>
      </w:r>
    </w:p>
    <w:p w:rsidR="006A3F93" w:rsidRPr="00412620" w:rsidRDefault="006A3F93">
      <w:pPr>
        <w:ind w:firstLine="720"/>
        <w:jc w:val="both"/>
        <w:rPr>
          <w:rFonts w:cs="Arial"/>
          <w:sz w:val="20"/>
        </w:rPr>
      </w:pPr>
    </w:p>
    <w:p w:rsidR="006A3F93" w:rsidRPr="00412620" w:rsidRDefault="006A3F93">
      <w:pPr>
        <w:jc w:val="both"/>
        <w:rPr>
          <w:sz w:val="20"/>
        </w:rPr>
      </w:pPr>
      <w:r w:rsidRPr="00412620">
        <w:rPr>
          <w:rStyle w:val="FootnoteReference"/>
          <w:rFonts w:cs="Arial"/>
          <w:sz w:val="20"/>
        </w:rPr>
        <w:footnoteReference w:id="859"/>
      </w:r>
      <w:r w:rsidRPr="00412620">
        <w:rPr>
          <w:sz w:val="20"/>
        </w:rPr>
        <w:t>[</w:t>
      </w:r>
      <w:r w:rsidRPr="00412620">
        <w:rPr>
          <w:b/>
          <w:sz w:val="20"/>
        </w:rPr>
        <w:t>138. Recovery of tax out of property and through arrest of taxpayer.</w:t>
      </w:r>
      <w:r w:rsidR="00785B36" w:rsidRPr="00412620">
        <w:rPr>
          <w:rFonts w:cs="Arial"/>
          <w:b/>
          <w:sz w:val="20"/>
        </w:rPr>
        <w:t>—</w:t>
      </w:r>
      <w:r w:rsidRPr="00412620">
        <w:rPr>
          <w:sz w:val="20"/>
        </w:rPr>
        <w:t xml:space="preserve"> (1) For the purpose of recovering any tax due by a taxpayer, the Commissioner may serve upon the taxpayer a notice in the prescribed form requiring him to pay the said amount within such time as may be specified in the notice.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If the amount referred to in the notice issued under sub-section (1) is not paid within the time specified therein or within the further time, if any, allowed by the Commissioner, the Commissioner may proceed to recover from the taxpayer the said amount by one or more of the following modes, namely:</w:t>
      </w:r>
      <w:r w:rsidR="00785B36"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 xml:space="preserve">(a) </w:t>
      </w:r>
      <w:r w:rsidRPr="00412620">
        <w:rPr>
          <w:rFonts w:cs="Arial"/>
          <w:sz w:val="20"/>
        </w:rPr>
        <w:tab/>
        <w:t>attachment and sale of any movable or immovable property of the taxpayer;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 xml:space="preserve">(b) </w:t>
      </w:r>
      <w:r w:rsidRPr="00412620">
        <w:rPr>
          <w:rFonts w:cs="Arial"/>
          <w:sz w:val="20"/>
        </w:rPr>
        <w:tab/>
        <w:t>appointment of a receiver for the management of the movable or immovable property of the taxpayer;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 xml:space="preserve">(c) </w:t>
      </w:r>
      <w:r w:rsidRPr="00412620">
        <w:rPr>
          <w:rFonts w:cs="Arial"/>
          <w:sz w:val="20"/>
        </w:rPr>
        <w:tab/>
        <w:t>arrest of the taxpayer and his detention in prison for a period not exceeding six months.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For the purposes of recovery of tax under sub-section (2), the Commissioner shall have the same powers as a Civil Court has under the Code of Civil Procedure, 1908 (Act V of 1908), for the purposes of the recovery of any amount due under a decree.</w:t>
      </w:r>
    </w:p>
    <w:p w:rsidR="006A3F93" w:rsidRPr="00412620" w:rsidRDefault="006A3F93">
      <w:pPr>
        <w:jc w:val="both"/>
        <w:rPr>
          <w:rFonts w:cs="Arial"/>
          <w:sz w:val="20"/>
        </w:rPr>
      </w:pPr>
    </w:p>
    <w:p w:rsidR="006A3F93" w:rsidRPr="00412620" w:rsidRDefault="006A3F93">
      <w:pPr>
        <w:pStyle w:val="BodyText3"/>
        <w:widowControl/>
        <w:rPr>
          <w:rFonts w:ascii="Arial" w:hAnsi="Arial"/>
          <w:b/>
          <w:sz w:val="20"/>
          <w:lang w:val="en-AU"/>
        </w:rPr>
      </w:pPr>
      <w:r w:rsidRPr="00412620">
        <w:rPr>
          <w:rFonts w:ascii="Arial" w:hAnsi="Arial"/>
          <w:sz w:val="20"/>
          <w:lang w:val="en-AU"/>
        </w:rPr>
        <w:tab/>
        <w:t>(4)</w:t>
      </w:r>
      <w:r w:rsidRPr="00412620">
        <w:rPr>
          <w:rFonts w:ascii="Arial" w:hAnsi="Arial"/>
          <w:sz w:val="20"/>
          <w:lang w:val="en-AU"/>
        </w:rPr>
        <w:tab/>
        <w:t xml:space="preserve">The </w:t>
      </w:r>
      <w:r w:rsidR="00F1789E" w:rsidRPr="00412620">
        <w:rPr>
          <w:rStyle w:val="FootnoteReference"/>
          <w:rFonts w:ascii="Arial" w:hAnsi="Arial"/>
          <w:sz w:val="20"/>
          <w:lang w:val="en-AU"/>
        </w:rPr>
        <w:footnoteReference w:id="860"/>
      </w:r>
      <w:r w:rsidR="00F1789E" w:rsidRPr="00412620">
        <w:rPr>
          <w:rFonts w:ascii="Arial" w:hAnsi="Arial"/>
          <w:sz w:val="20"/>
          <w:lang w:val="en-AU"/>
        </w:rPr>
        <w:t>[</w:t>
      </w:r>
      <w:r w:rsidRPr="00412620">
        <w:rPr>
          <w:rFonts w:ascii="Arial" w:hAnsi="Arial"/>
          <w:sz w:val="20"/>
          <w:lang w:val="en-AU"/>
        </w:rPr>
        <w:t>Board</w:t>
      </w:r>
      <w:r w:rsidR="00F1789E" w:rsidRPr="00412620">
        <w:rPr>
          <w:rFonts w:ascii="Arial" w:hAnsi="Arial"/>
          <w:sz w:val="20"/>
          <w:lang w:val="en-AU"/>
        </w:rPr>
        <w:t>]</w:t>
      </w:r>
      <w:r w:rsidRPr="00412620">
        <w:rPr>
          <w:rFonts w:ascii="Arial" w:hAnsi="Arial"/>
          <w:sz w:val="20"/>
          <w:lang w:val="en-AU"/>
        </w:rPr>
        <w:t xml:space="preserve"> may make rules regulating the procedure for the recovery of tax under this section and any other matter connected with, or incidental to, the operation of this section.]</w:t>
      </w:r>
    </w:p>
    <w:p w:rsidR="006A3F93" w:rsidRPr="00412620" w:rsidRDefault="006A3F93">
      <w:pPr>
        <w:jc w:val="both"/>
        <w:rPr>
          <w:rFonts w:cs="Arial"/>
          <w:sz w:val="20"/>
        </w:rPr>
      </w:pPr>
    </w:p>
    <w:p w:rsidR="006A3F93" w:rsidRPr="00412620" w:rsidRDefault="006A3F93">
      <w:pPr>
        <w:jc w:val="both"/>
        <w:rPr>
          <w:sz w:val="20"/>
        </w:rPr>
      </w:pPr>
      <w:r w:rsidRPr="00412620">
        <w:rPr>
          <w:rStyle w:val="FootnoteReference"/>
          <w:rFonts w:cs="Arial"/>
          <w:sz w:val="20"/>
        </w:rPr>
        <w:footnoteReference w:id="861"/>
      </w:r>
      <w:r w:rsidRPr="00412620">
        <w:rPr>
          <w:sz w:val="20"/>
        </w:rPr>
        <w:t>[</w:t>
      </w:r>
      <w:r w:rsidRPr="00412620">
        <w:rPr>
          <w:b/>
          <w:sz w:val="20"/>
        </w:rPr>
        <w:t>138A. Recovery of tax by District Officer (Revenue).</w:t>
      </w:r>
      <w:r w:rsidR="001A4D82" w:rsidRPr="00412620">
        <w:rPr>
          <w:rFonts w:cs="Arial"/>
          <w:b/>
          <w:sz w:val="20"/>
        </w:rPr>
        <w:t>—</w:t>
      </w:r>
      <w:r w:rsidRPr="00412620">
        <w:rPr>
          <w:sz w:val="20"/>
        </w:rPr>
        <w:t xml:space="preserve"> (1) The Commissioner may forward to the District Officer (Revenue) of the district in which the taxpayer resides or carries on business or in which any property belonging to the taxpayer is situated, a certificate specifying the amount of any tax due from the taxpayer, and, on receipt of such certificate, the District Officer (Revenue) shall proceed to recover from the taxpayer the amount so specified as, it were an arrear of land revenue.</w:t>
      </w:r>
    </w:p>
    <w:p w:rsidR="006A3F93" w:rsidRPr="00412620" w:rsidRDefault="006A3F93">
      <w:pPr>
        <w:jc w:val="both"/>
        <w:rPr>
          <w:rFonts w:cs="Arial"/>
          <w:sz w:val="20"/>
        </w:rPr>
      </w:pPr>
    </w:p>
    <w:p w:rsidR="006A3F93" w:rsidRPr="00412620" w:rsidRDefault="006A3F93">
      <w:pPr>
        <w:pStyle w:val="BodyText3"/>
        <w:widowControl/>
        <w:rPr>
          <w:rFonts w:ascii="Arial" w:hAnsi="Arial"/>
          <w:b/>
          <w:sz w:val="20"/>
          <w:lang w:val="en-AU"/>
        </w:rPr>
      </w:pPr>
      <w:r w:rsidRPr="00412620">
        <w:rPr>
          <w:rFonts w:ascii="Arial" w:hAnsi="Arial"/>
          <w:sz w:val="20"/>
          <w:lang w:val="en-AU"/>
        </w:rPr>
        <w:tab/>
        <w:t xml:space="preserve">(2) </w:t>
      </w:r>
      <w:r w:rsidRPr="00412620">
        <w:rPr>
          <w:rFonts w:ascii="Arial" w:hAnsi="Arial"/>
          <w:sz w:val="20"/>
          <w:lang w:val="en-AU"/>
        </w:rPr>
        <w:tab/>
        <w:t>Without prejudice to any other power of the District Officer (Revenue) in this behalf, he shall have the same powers as a Civil Court has under the Code of Civil Procedure, 1908 (Act V of 1908), for the purpose of the recovery of the amount due under a decree.]</w:t>
      </w:r>
    </w:p>
    <w:p w:rsidR="006A3F93" w:rsidRPr="00412620" w:rsidRDefault="006A3F93">
      <w:pPr>
        <w:jc w:val="both"/>
        <w:rPr>
          <w:rFonts w:cs="Arial"/>
          <w:sz w:val="20"/>
        </w:rPr>
      </w:pPr>
    </w:p>
    <w:p w:rsidR="00DC58ED" w:rsidRPr="00412620" w:rsidRDefault="00DC58ED">
      <w:pPr>
        <w:jc w:val="both"/>
        <w:rPr>
          <w:rFonts w:cs="Arial"/>
          <w:sz w:val="20"/>
        </w:rPr>
      </w:pPr>
      <w:r w:rsidRPr="00661F9B">
        <w:rPr>
          <w:rStyle w:val="FootnoteReference"/>
          <w:rFonts w:cs="Arial"/>
          <w:sz w:val="20"/>
        </w:rPr>
        <w:footnoteReference w:id="862"/>
      </w:r>
      <w:r w:rsidRPr="00661F9B">
        <w:rPr>
          <w:rFonts w:cs="Arial"/>
          <w:sz w:val="20"/>
        </w:rPr>
        <w:t>[</w:t>
      </w:r>
      <w:r w:rsidRPr="00412620">
        <w:rPr>
          <w:rFonts w:cs="Arial"/>
          <w:b/>
          <w:sz w:val="20"/>
        </w:rPr>
        <w:t>138B. Estate in bankruptcy.</w:t>
      </w:r>
      <w:r w:rsidR="001155FF" w:rsidRPr="00412620">
        <w:rPr>
          <w:rFonts w:cs="Arial"/>
          <w:sz w:val="20"/>
        </w:rPr>
        <w:t>—</w:t>
      </w:r>
      <w:r w:rsidRPr="00412620">
        <w:rPr>
          <w:rFonts w:cs="Arial"/>
          <w:sz w:val="20"/>
        </w:rPr>
        <w:t>(1) If a taxpayer is declared bankrupt, the tax liability under this Ordinance shall pass on to the estate in bankruptcy.</w:t>
      </w:r>
    </w:p>
    <w:p w:rsidR="00DC58ED" w:rsidRPr="00412620" w:rsidRDefault="00DC58ED">
      <w:pPr>
        <w:jc w:val="both"/>
        <w:rPr>
          <w:rFonts w:cs="Arial"/>
          <w:sz w:val="20"/>
        </w:rPr>
      </w:pPr>
    </w:p>
    <w:p w:rsidR="00DC58ED" w:rsidRPr="00412620" w:rsidRDefault="00DC58ED">
      <w:pPr>
        <w:jc w:val="both"/>
        <w:rPr>
          <w:rFonts w:cs="Arial"/>
          <w:sz w:val="20"/>
        </w:rPr>
      </w:pPr>
      <w:r w:rsidRPr="00412620">
        <w:rPr>
          <w:rFonts w:cs="Arial"/>
          <w:sz w:val="20"/>
        </w:rPr>
        <w:tab/>
        <w:t xml:space="preserve">(2) </w:t>
      </w:r>
      <w:r w:rsidRPr="00412620">
        <w:rPr>
          <w:rFonts w:cs="Arial"/>
          <w:sz w:val="20"/>
        </w:rPr>
        <w:tab/>
        <w:t>If tax liability is incurred by an estate in bankruptcy, the tax shall be deemed to be a current expenditure in the operations of the estate in bankruptcy and shall be paid before the claims preferred by other creditors are settled.]</w:t>
      </w:r>
    </w:p>
    <w:p w:rsidR="00DC58ED" w:rsidRPr="00412620" w:rsidRDefault="00DC58ED">
      <w:pPr>
        <w:jc w:val="both"/>
        <w:rPr>
          <w:rFonts w:cs="Arial"/>
          <w:sz w:val="20"/>
        </w:rPr>
      </w:pPr>
    </w:p>
    <w:p w:rsidR="006A3F93" w:rsidRPr="00412620" w:rsidRDefault="006A3F93">
      <w:pPr>
        <w:jc w:val="both"/>
        <w:rPr>
          <w:rFonts w:cs="Arial"/>
          <w:sz w:val="20"/>
        </w:rPr>
      </w:pPr>
      <w:r w:rsidRPr="00412620">
        <w:rPr>
          <w:rFonts w:cs="Arial"/>
          <w:b/>
          <w:sz w:val="20"/>
        </w:rPr>
        <w:t>139.</w:t>
      </w:r>
      <w:r w:rsidRPr="00412620">
        <w:rPr>
          <w:rFonts w:cs="Arial"/>
          <w:b/>
          <w:sz w:val="20"/>
        </w:rPr>
        <w:tab/>
        <w:t xml:space="preserve"> Collection of tax in the case of private companies and associations of persons.</w:t>
      </w:r>
      <w:r w:rsidR="001A4D82" w:rsidRPr="00412620">
        <w:rPr>
          <w:rFonts w:cs="Arial"/>
          <w:b/>
          <w:sz w:val="20"/>
        </w:rPr>
        <w:t>—</w:t>
      </w:r>
      <w:r w:rsidRPr="00412620">
        <w:rPr>
          <w:sz w:val="20"/>
        </w:rPr>
        <w:t xml:space="preserve">(1)  Notwithstanding anything in the Companies Ordinance, 1984 (XLVII of 1984), where any tax payable by a private company (including a private company that has been wound up or gone into liquidation) in respect of any tax year cannot be recovered from the company, every person who was, at any time in that tax year </w:t>
      </w:r>
      <w:r w:rsidR="00454050" w:rsidRPr="00412620">
        <w:rPr>
          <w:rFonts w:cs="Arial"/>
          <w:sz w:val="20"/>
        </w:rPr>
        <w:t>—</w:t>
      </w:r>
    </w:p>
    <w:p w:rsidR="00454050" w:rsidRPr="00412620" w:rsidRDefault="00454050">
      <w:pPr>
        <w:jc w:val="both"/>
        <w:rPr>
          <w:rFonts w:cs="Arial"/>
          <w:sz w:val="20"/>
        </w:rPr>
      </w:pPr>
    </w:p>
    <w:p w:rsidR="00454050" w:rsidRPr="00412620" w:rsidRDefault="00454050">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 director of the company, other than an employed director;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(b)</w:t>
      </w:r>
      <w:r w:rsidRPr="00412620">
        <w:rPr>
          <w:rFonts w:cs="Arial"/>
          <w:sz w:val="20"/>
        </w:rPr>
        <w:tab/>
        <w:t xml:space="preserve">a shareholder in the company owning not less than ten </w:t>
      </w:r>
      <w:r w:rsidR="00AB6F06">
        <w:rPr>
          <w:rFonts w:cs="Arial"/>
          <w:sz w:val="20"/>
        </w:rPr>
        <w:t>per cent</w:t>
      </w:r>
      <w:r w:rsidRPr="00412620">
        <w:rPr>
          <w:rFonts w:cs="Arial"/>
          <w:sz w:val="20"/>
        </w:rPr>
        <w:t xml:space="preserve"> of the paid-up capital of the company,</w:t>
      </w:r>
    </w:p>
    <w:p w:rsidR="006A3F93" w:rsidRPr="00412620" w:rsidRDefault="006A3F93">
      <w:pPr>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t>shall be jointly and severally liable for payment of the tax due by the company.</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rFonts w:cs="Arial"/>
          <w:sz w:val="20"/>
        </w:rPr>
      </w:pPr>
      <w:r w:rsidRPr="00412620">
        <w:rPr>
          <w:rFonts w:cs="Arial"/>
          <w:sz w:val="20"/>
        </w:rPr>
        <w:tab/>
        <w:t>(2)</w:t>
      </w:r>
      <w:r w:rsidRPr="00412620">
        <w:rPr>
          <w:rFonts w:cs="Arial"/>
          <w:sz w:val="20"/>
        </w:rPr>
        <w:tab/>
        <w:t>Any director who pays tax under sub-section (1) shall be entitled to recover the tax paid from the company or a share of the tax from any other director.</w:t>
      </w:r>
    </w:p>
    <w:p w:rsidR="006A3F93" w:rsidRPr="00412620" w:rsidRDefault="006A3F93">
      <w:pPr>
        <w:pStyle w:val="Header"/>
        <w:tabs>
          <w:tab w:val="left" w:pos="547"/>
        </w:tabs>
        <w:jc w:val="both"/>
        <w:rPr>
          <w:rFonts w:cs="Arial"/>
          <w:sz w:val="20"/>
        </w:rPr>
      </w:pPr>
    </w:p>
    <w:p w:rsidR="006A3F93" w:rsidRPr="00412620" w:rsidRDefault="006A3F93" w:rsidP="004F5FFF">
      <w:pPr>
        <w:jc w:val="both"/>
        <w:rPr>
          <w:rFonts w:cs="Arial"/>
          <w:sz w:val="20"/>
        </w:rPr>
      </w:pPr>
      <w:r w:rsidRPr="00412620">
        <w:rPr>
          <w:rFonts w:cs="Arial"/>
          <w:sz w:val="20"/>
        </w:rPr>
        <w:tab/>
        <w:t>(3)</w:t>
      </w:r>
      <w:r w:rsidRPr="00412620">
        <w:rPr>
          <w:rFonts w:cs="Arial"/>
          <w:sz w:val="20"/>
        </w:rPr>
        <w:tab/>
        <w:t>A shareholder who pays tax under sub-section (1) shall be entitled to recover the tax paid from the company or from any other shareholder to whom clause (b) of sub-section (1) applies in proportion to the shares owned by that other shareholder.</w:t>
      </w:r>
    </w:p>
    <w:p w:rsidR="006A3F93" w:rsidRPr="00412620" w:rsidRDefault="006A3F93">
      <w:pPr>
        <w:pStyle w:val="Header"/>
        <w:tabs>
          <w:tab w:val="left" w:pos="547"/>
        </w:tabs>
        <w:jc w:val="both"/>
        <w:rPr>
          <w:rFonts w:cs="Arial"/>
          <w:sz w:val="20"/>
        </w:rPr>
      </w:pPr>
    </w:p>
    <w:p w:rsidR="006A3F93" w:rsidRPr="00412620" w:rsidRDefault="006A3F93" w:rsidP="004F5FFF">
      <w:pPr>
        <w:jc w:val="both"/>
        <w:rPr>
          <w:rFonts w:cs="Arial"/>
          <w:sz w:val="20"/>
        </w:rPr>
      </w:pPr>
      <w:r w:rsidRPr="00412620">
        <w:rPr>
          <w:rFonts w:cs="Arial"/>
          <w:sz w:val="20"/>
        </w:rPr>
        <w:tab/>
        <w:t>(4)</w:t>
      </w:r>
      <w:r w:rsidRPr="00412620">
        <w:rPr>
          <w:rFonts w:cs="Arial"/>
          <w:sz w:val="20"/>
        </w:rPr>
        <w:tab/>
        <w:t xml:space="preserve">Notwithstanding anything in any law, where any tax payable by a member of an association of persons in respect of the member’s share of the income of the association in respect of any tax year cannot be recovered from the member, the association shall be liable for the tax due by the member. </w:t>
      </w:r>
    </w:p>
    <w:p w:rsidR="006A3F93" w:rsidRPr="00412620" w:rsidRDefault="006A3F93">
      <w:pPr>
        <w:pStyle w:val="Header"/>
        <w:tabs>
          <w:tab w:val="left" w:pos="547"/>
        </w:tabs>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The provisions of this Ordinance shall apply to any amount due under this section as if it were tax due under an assessment order.</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140.</w:t>
      </w:r>
      <w:r w:rsidRPr="00412620">
        <w:rPr>
          <w:rFonts w:cs="Arial"/>
          <w:b/>
          <w:sz w:val="20"/>
        </w:rPr>
        <w:tab/>
        <w:t>Recovery of tax from persons holding money on behalf of a taxpayer.</w:t>
      </w:r>
      <w:r w:rsidR="001155FF" w:rsidRPr="00412620">
        <w:rPr>
          <w:rFonts w:cs="Arial"/>
          <w:sz w:val="20"/>
        </w:rPr>
        <w:t>—</w:t>
      </w:r>
      <w:r w:rsidRPr="00412620">
        <w:rPr>
          <w:sz w:val="20"/>
        </w:rPr>
        <w:t xml:space="preserve"> (1)  For the purpose of recovering any tax due by a taxpayer, the Commissioner may, by notice, in writing, require any person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owing or who may owe money to the taxpayer;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holding or who may hold money for, or on account of the taxpayer;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holding or who may hold money on account of some other person for payment to the taxpayer;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having authority of some other person to pay money to the taxpayer,</w:t>
      </w:r>
    </w:p>
    <w:p w:rsidR="006A3F93" w:rsidRPr="00412620" w:rsidRDefault="006A3F93">
      <w:pPr>
        <w:jc w:val="both"/>
        <w:rPr>
          <w:rFonts w:cs="Arial"/>
          <w:sz w:val="20"/>
        </w:rPr>
      </w:pPr>
    </w:p>
    <w:p w:rsidR="006A3F93" w:rsidRPr="00966F3F" w:rsidRDefault="006A3F93">
      <w:pPr>
        <w:jc w:val="both"/>
        <w:rPr>
          <w:rFonts w:cs="Arial"/>
          <w:color w:val="0070C0"/>
          <w:sz w:val="20"/>
        </w:rPr>
      </w:pPr>
      <w:r w:rsidRPr="00412620">
        <w:rPr>
          <w:rFonts w:cs="Arial"/>
          <w:sz w:val="20"/>
        </w:rPr>
        <w:t>to pay to the Commissioner so much of the money as set out in the notice by the date set out in the notice</w:t>
      </w:r>
      <w:r w:rsidR="0075716E">
        <w:rPr>
          <w:rFonts w:cs="Arial"/>
          <w:sz w:val="20"/>
        </w:rPr>
        <w:t xml:space="preserve"> </w:t>
      </w:r>
      <w:r w:rsidR="0075716E" w:rsidRPr="00966F3F">
        <w:rPr>
          <w:rStyle w:val="FootnoteReference"/>
          <w:rFonts w:cs="Arial"/>
          <w:color w:val="0070C0"/>
          <w:sz w:val="20"/>
        </w:rPr>
        <w:footnoteReference w:id="863"/>
      </w:r>
      <w:r w:rsidR="0075716E" w:rsidRPr="00966F3F">
        <w:rPr>
          <w:rFonts w:cs="Arial"/>
          <w:color w:val="0070C0"/>
          <w:sz w:val="20"/>
        </w:rPr>
        <w:t>[:]</w:t>
      </w:r>
      <w:r w:rsidRPr="00966F3F">
        <w:rPr>
          <w:rFonts w:cs="Arial"/>
          <w:color w:val="0070C0"/>
          <w:sz w:val="20"/>
        </w:rPr>
        <w:t xml:space="preserve"> </w:t>
      </w:r>
    </w:p>
    <w:p w:rsidR="006A3F93" w:rsidRPr="00966F3F" w:rsidRDefault="006A3F93">
      <w:pPr>
        <w:jc w:val="both"/>
        <w:rPr>
          <w:rFonts w:cs="Arial"/>
          <w:color w:val="0070C0"/>
          <w:sz w:val="20"/>
        </w:rPr>
      </w:pPr>
    </w:p>
    <w:p w:rsidR="0075716E" w:rsidRPr="00966F3F" w:rsidRDefault="00D8296D" w:rsidP="0075716E">
      <w:pPr>
        <w:ind w:left="1094" w:firstLine="547"/>
        <w:jc w:val="both"/>
        <w:rPr>
          <w:rFonts w:cs="Arial"/>
          <w:color w:val="0070C0"/>
          <w:sz w:val="20"/>
        </w:rPr>
      </w:pPr>
      <w:r w:rsidRPr="00966F3F">
        <w:rPr>
          <w:rStyle w:val="FootnoteReference"/>
          <w:rFonts w:cs="Arial"/>
          <w:color w:val="0070C0"/>
          <w:sz w:val="20"/>
        </w:rPr>
        <w:footnoteReference w:id="864"/>
      </w:r>
      <w:r w:rsidR="0075716E" w:rsidRPr="00966F3F">
        <w:rPr>
          <w:rFonts w:cs="Arial"/>
          <w:color w:val="0070C0"/>
          <w:sz w:val="20"/>
        </w:rPr>
        <w:t>[“Provided that the Commissioner shall not issue notice under this sub-section for recovery of any tax due from a taxpayer if the said taxpayer has filed an appeal under section 127 in respect of the order under which the tax sought to be recovered has become</w:t>
      </w:r>
      <w:r w:rsidR="0075716E" w:rsidRPr="00711ABC">
        <w:rPr>
          <w:rFonts w:cs="Arial"/>
          <w:color w:val="FF0066"/>
          <w:sz w:val="20"/>
        </w:rPr>
        <w:t xml:space="preserve"> </w:t>
      </w:r>
      <w:r w:rsidR="0075716E" w:rsidRPr="00966F3F">
        <w:rPr>
          <w:rFonts w:cs="Arial"/>
          <w:color w:val="0070C0"/>
          <w:sz w:val="20"/>
        </w:rPr>
        <w:lastRenderedPageBreak/>
        <w:t>payable and the appeal has not been decided by the Commissioner (Appeals), subject to the condition that twenty-five per cent of the said amount of tax due has been paid by the taxpayer.”]</w:t>
      </w:r>
    </w:p>
    <w:p w:rsidR="0075716E" w:rsidRDefault="0075716E">
      <w:pPr>
        <w:jc w:val="both"/>
        <w:rPr>
          <w:rFonts w:cs="Arial"/>
          <w:sz w:val="20"/>
        </w:rPr>
      </w:pPr>
    </w:p>
    <w:p w:rsidR="0075716E" w:rsidRPr="00412620" w:rsidRDefault="0075716E">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Subject to sub-section (3), the amount set out in a notice under sub-section (1) </w:t>
      </w:r>
      <w:r w:rsidR="00454050"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where the amount of the money is equal to or less than the amount of tax due by the taxpayer, shall not exceed the amount of the money;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in any other case, shall be so much of the money as is sufficient to pay the amount of tax due by the taxpayer.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Where a person is liable to make a series of payments (such as salary) to a taxpayer, a notice under sub-section (1) may specify an amount to be paid out of each payment until the amount of tax due by the taxpayer has been paid.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The date for payment specified in a notice under sub-section (1) shall not be a date before the money becomes payable to the taxpayer or held on the taxpayer’s behalf.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The provisions of sections 160, 161, 162 and 163, so far as may be, shall apply to an amount due under this section as if the amount were required to be deducted from a payment under Division III of Part V of this Chapter.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 Any person who has paid any amount in compliance with a notice under sub-section (1) shall be treated as having paid such amount under the authority of the taxpayer and the receipt of the Commissioner constitutes a good and sufficient discharge of the liability of such person to the taxpayer to the extent of the amount referred to in such receipt.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r>
      <w:r w:rsidRPr="00412620">
        <w:rPr>
          <w:rStyle w:val="FootnoteReference"/>
          <w:rFonts w:cs="Arial"/>
          <w:sz w:val="20"/>
        </w:rPr>
        <w:footnoteReference w:id="865"/>
      </w:r>
      <w:r w:rsidRPr="00412620">
        <w:rPr>
          <w:rFonts w:cs="Arial"/>
          <w:sz w:val="20"/>
        </w:rPr>
        <w:t>[  ]</w:t>
      </w:r>
    </w:p>
    <w:p w:rsidR="00E15D0C" w:rsidRPr="00412620" w:rsidRDefault="00E15D0C">
      <w:pPr>
        <w:jc w:val="both"/>
        <w:rPr>
          <w:rFonts w:cs="Arial"/>
          <w:sz w:val="20"/>
        </w:rPr>
      </w:pPr>
    </w:p>
    <w:p w:rsidR="006A3F93" w:rsidRPr="00412620" w:rsidRDefault="006A3F93">
      <w:pPr>
        <w:jc w:val="both"/>
        <w:rPr>
          <w:rFonts w:cs="Arial"/>
          <w:sz w:val="20"/>
        </w:rPr>
      </w:pPr>
      <w:r w:rsidRPr="00412620">
        <w:rPr>
          <w:rFonts w:cs="Arial"/>
          <w:sz w:val="20"/>
        </w:rPr>
        <w:tab/>
      </w:r>
      <w:r w:rsidRPr="00412620">
        <w:rPr>
          <w:rStyle w:val="FootnoteReference"/>
          <w:rFonts w:cs="Arial"/>
          <w:sz w:val="20"/>
        </w:rPr>
        <w:footnoteReference w:id="866"/>
      </w:r>
      <w:r w:rsidRPr="00412620">
        <w:rPr>
          <w:rFonts w:cs="Arial"/>
          <w:sz w:val="20"/>
        </w:rPr>
        <w:t>[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r>
      <w:r w:rsidRPr="00412620">
        <w:rPr>
          <w:rStyle w:val="FootnoteReference"/>
          <w:rFonts w:cs="Arial"/>
          <w:sz w:val="20"/>
        </w:rPr>
        <w:footnoteReference w:id="867"/>
      </w:r>
      <w:r w:rsidRPr="00412620">
        <w:rPr>
          <w:rFonts w:cs="Arial"/>
          <w:sz w:val="20"/>
        </w:rPr>
        <w:t>[  ]</w:t>
      </w:r>
    </w:p>
    <w:p w:rsidR="006A3F93" w:rsidRPr="00412620" w:rsidRDefault="006A3F93">
      <w:pPr>
        <w:pStyle w:val="CommentText"/>
        <w:rPr>
          <w:rFonts w:cs="Arial"/>
        </w:rPr>
      </w:pPr>
    </w:p>
    <w:p w:rsidR="006A3F93" w:rsidRPr="00412620" w:rsidRDefault="006A3F93">
      <w:pPr>
        <w:jc w:val="both"/>
        <w:rPr>
          <w:rFonts w:cs="Arial"/>
          <w:sz w:val="20"/>
        </w:rPr>
      </w:pPr>
      <w:r w:rsidRPr="00412620">
        <w:rPr>
          <w:rFonts w:cs="Arial"/>
          <w:sz w:val="20"/>
        </w:rPr>
        <w:tab/>
        <w:t>(10)</w:t>
      </w:r>
      <w:r w:rsidRPr="00412620">
        <w:rPr>
          <w:rFonts w:cs="Arial"/>
          <w:sz w:val="20"/>
        </w:rPr>
        <w:tab/>
        <w:t xml:space="preserve"> In this section, "person" includes any Court, Tribunal or any other authority.</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141.</w:t>
      </w:r>
      <w:r w:rsidRPr="00412620">
        <w:rPr>
          <w:rFonts w:cs="Arial"/>
          <w:b/>
          <w:sz w:val="20"/>
        </w:rPr>
        <w:tab/>
        <w:t>Liquidators.</w:t>
      </w:r>
      <w:r w:rsidR="00542FB2" w:rsidRPr="00412620">
        <w:rPr>
          <w:rFonts w:cs="Arial"/>
          <w:sz w:val="20"/>
        </w:rPr>
        <w:t>—</w:t>
      </w:r>
      <w:r w:rsidRPr="00412620">
        <w:rPr>
          <w:sz w:val="20"/>
        </w:rPr>
        <w:t xml:space="preserve"> (1)  Every person (hereinafter referred to as a “liquidator”) who is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 liquidator of a company;</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 receiver appointed by a Court or appointed out of Court;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 trustee for a bankrupt;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a mortgagee in possession,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shall, within fourteen days of being appointed or taking possession of an asset in Pakistan, whichever occurs first, give written notice thereof to the Commissioner.</w:t>
      </w:r>
    </w:p>
    <w:p w:rsidR="006A3F93" w:rsidRPr="00412620" w:rsidRDefault="006A3F93">
      <w:pPr>
        <w:jc w:val="both"/>
        <w:rPr>
          <w:rFonts w:cs="Arial"/>
          <w:b/>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Commissioner shall, within three months of being notified under sub-section (1), notify the liquidator in writing of the amount which appears to the Commissioner to be sufficient to provide for any tax which is or will become payable by the person whose assets are in the possession of the liquidator.</w:t>
      </w:r>
    </w:p>
    <w:p w:rsidR="006A3F93" w:rsidRPr="00412620" w:rsidRDefault="006A3F93">
      <w:pPr>
        <w:jc w:val="both"/>
        <w:rPr>
          <w:rFonts w:cs="Arial"/>
          <w:b/>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A liquidator shall not, without leave of the Commissioner, part with any asset held as liquidator until the liquidator has been notified under sub-section (2).</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A liquidator </w:t>
      </w:r>
      <w:r w:rsidR="001A4D82"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shall set aside, out of the proceeds of sale of any asset by the liquidator, the amount notified by the Commissioner under sub-section (2), or such lesser amount as is subsequently agreed to by the Commissioner;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shall be liable to the extent of the amount set aside for the tax of the person who owned the asset; and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may pay any debt that has priority over the tax referred to in this section notwithstanding any provision of this section.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A liquidator shall be personally liable to the extent of any amount required to be set aside under sub-section (4) for the tax referred to in sub-</w:t>
      </w:r>
      <w:r w:rsidRPr="00412620">
        <w:rPr>
          <w:rFonts w:cs="Arial"/>
          <w:sz w:val="20"/>
        </w:rPr>
        <w:lastRenderedPageBreak/>
        <w:t>section (2) if, and to the extent that, the liquidator fails to comply with the requirements of this section.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Where the proceeds of sale of any asset are less than the amount notified by the Commissioner under sub-section (2), the application of sub-sections (4) and (5) shall be limited to the proceeds of sale.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This section shall have effect notwithstanding anything contained in any other law for the time being in force.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The provisions of this Ordinance shall apply to any amount due under this section as if it were tax due under an assessment order.</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142.</w:t>
      </w:r>
      <w:r w:rsidRPr="00412620">
        <w:rPr>
          <w:rFonts w:cs="Arial"/>
          <w:b/>
          <w:sz w:val="20"/>
        </w:rPr>
        <w:tab/>
        <w:t>Recovery of tax due by non-resident member of an association of persons.</w:t>
      </w:r>
      <w:r w:rsidR="00202D3B" w:rsidRPr="00412620">
        <w:rPr>
          <w:rFonts w:cs="Arial"/>
          <w:sz w:val="20"/>
        </w:rPr>
        <w:t>—</w:t>
      </w:r>
      <w:r w:rsidRPr="00412620">
        <w:rPr>
          <w:sz w:val="20"/>
        </w:rPr>
        <w:t xml:space="preserve"> (1)  The tax due by a non-resident member of an association of persons in respect of the member’s share of the profits of the association shall be assessable in the name of the association or of any resident member of the association and may be recovered out of the assets of the association or from the resident member personally.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 person making a payment under this section shall be treated as acting under the authority of the non-resident member and is hereby indemnified in respect of the payment against all proceedings, civil or criminal, and all processes, judicial or extra-judicial, notwithstanding any provisions to the contrary in any written law, contract or agreement.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The provisions of this Ordinance shall apply to any amount due under this section as if it were tax due under an assessment order.</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143.</w:t>
      </w:r>
      <w:r w:rsidRPr="00412620">
        <w:rPr>
          <w:rFonts w:cs="Arial"/>
          <w:b/>
          <w:sz w:val="20"/>
        </w:rPr>
        <w:tab/>
        <w:t xml:space="preserve"> Non-resident ship owner or charterer.</w:t>
      </w:r>
      <w:r w:rsidR="00877377" w:rsidRPr="00412620">
        <w:rPr>
          <w:rFonts w:cs="Arial"/>
          <w:sz w:val="20"/>
        </w:rPr>
        <w:t>—</w:t>
      </w:r>
      <w:r w:rsidRPr="00412620">
        <w:rPr>
          <w:sz w:val="20"/>
        </w:rPr>
        <w:t xml:space="preserve"> (1)  Before the departure of a ship owned or chartered by a non-resident person from any port in Pakistan, the master of the ship shall furnish to the Commissioner a return showing the gross amount specified in sub-section (1) of section 7 in respect of the ship.</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the master of a ship has furnished a return under sub-section (1), the Commissioner shall </w:t>
      </w:r>
      <w:r w:rsidRPr="00412620">
        <w:rPr>
          <w:rStyle w:val="FootnoteReference"/>
          <w:rFonts w:cs="Arial"/>
          <w:sz w:val="20"/>
        </w:rPr>
        <w:footnoteReference w:id="868"/>
      </w:r>
      <w:r w:rsidRPr="00412620">
        <w:rPr>
          <w:rFonts w:cs="Arial"/>
          <w:sz w:val="20"/>
        </w:rPr>
        <w:t>[, after calling for such particulars, accounts or documents as he may require,]  determine the amount of tax due under section 7 in respect of the ship and, as soon as possible, notify the master, in writing, of the amount payable.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The master of a ship shall be liable for the tax notified under sub-section (2) and the provisions of this Ordinance shall apply to such tax as if it were tax due under an assessment order. </w:t>
      </w:r>
    </w:p>
    <w:p w:rsidR="006A3F93" w:rsidRPr="00412620" w:rsidRDefault="006A3F93">
      <w:pPr>
        <w:jc w:val="both"/>
        <w:rPr>
          <w:rFonts w:cs="Arial"/>
          <w:sz w:val="20"/>
        </w:rPr>
      </w:pPr>
    </w:p>
    <w:p w:rsidR="006A3F93" w:rsidRPr="00412620" w:rsidRDefault="006A3F93">
      <w:pPr>
        <w:pStyle w:val="BodyText3"/>
        <w:widowControl/>
        <w:rPr>
          <w:rFonts w:ascii="Arial" w:hAnsi="Arial"/>
          <w:sz w:val="20"/>
          <w:lang w:val="en-AU"/>
        </w:rPr>
      </w:pPr>
      <w:r w:rsidRPr="00412620">
        <w:rPr>
          <w:rFonts w:ascii="Arial" w:hAnsi="Arial"/>
          <w:sz w:val="20"/>
          <w:lang w:val="en-AU"/>
        </w:rPr>
        <w:lastRenderedPageBreak/>
        <w:tab/>
        <w:t>(4)</w:t>
      </w:r>
      <w:r w:rsidRPr="00412620">
        <w:rPr>
          <w:rFonts w:ascii="Arial" w:hAnsi="Arial"/>
          <w:sz w:val="20"/>
          <w:lang w:val="en-AU"/>
        </w:rPr>
        <w:tab/>
        <w:t>Where the Commissioner is satisfied that the master of a ship or non-resident owner or charterer of the ship is unable to furnish the return required under sub-section (1) before the departure of the ship from a port in Pakistan, the Commissioner may allow the return to be furnished within thirty days of departure of the ship provided the non-resident owner or charterer has made satisfactory arrangements for the payment of the tax due under section 7 in respect of the ship.</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The Collector of Customs or other authorised officer shall not grant a port clearance for a ship owned or chartered by a non-resident person until the Collector or officer is satisfied that any tax due under section 7 in respect of the ship has been paid or that arrangements for its payment have been made to the satisfaction of the Commissioner.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This section shall not relieve the non-resident owner or charterer of the ship from liability to pay any tax due under this section that is not paid by the master of the ship.</w:t>
      </w:r>
    </w:p>
    <w:p w:rsidR="006A3F93" w:rsidRPr="00661F9B" w:rsidRDefault="006A3F93">
      <w:pPr>
        <w:jc w:val="both"/>
        <w:rPr>
          <w:rFonts w:cs="Arial"/>
          <w:sz w:val="12"/>
        </w:rPr>
      </w:pPr>
    </w:p>
    <w:p w:rsidR="006A3F93" w:rsidRPr="00412620" w:rsidRDefault="006A3F93">
      <w:pPr>
        <w:jc w:val="both"/>
        <w:rPr>
          <w:sz w:val="20"/>
        </w:rPr>
      </w:pPr>
      <w:r w:rsidRPr="00412620">
        <w:rPr>
          <w:rFonts w:cs="Arial"/>
          <w:b/>
          <w:sz w:val="20"/>
        </w:rPr>
        <w:t>144.</w:t>
      </w:r>
      <w:r w:rsidRPr="00412620">
        <w:rPr>
          <w:rFonts w:cs="Arial"/>
          <w:b/>
          <w:sz w:val="20"/>
        </w:rPr>
        <w:tab/>
        <w:t xml:space="preserve"> Non-resident aircraft owner or charterer.</w:t>
      </w:r>
      <w:r w:rsidR="000B4F8E" w:rsidRPr="00412620">
        <w:rPr>
          <w:rFonts w:cs="Arial"/>
          <w:sz w:val="20"/>
        </w:rPr>
        <w:t xml:space="preserve"> —</w:t>
      </w:r>
      <w:r w:rsidRPr="00412620">
        <w:rPr>
          <w:sz w:val="20"/>
        </w:rPr>
        <w:t xml:space="preserve"> (1)  A non-resident owner or charterer of an aircraft </w:t>
      </w:r>
      <w:r w:rsidRPr="00412620">
        <w:rPr>
          <w:rStyle w:val="FootnoteReference"/>
          <w:sz w:val="20"/>
        </w:rPr>
        <w:footnoteReference w:id="869"/>
      </w:r>
      <w:r w:rsidRPr="00412620">
        <w:rPr>
          <w:sz w:val="20"/>
        </w:rPr>
        <w:t xml:space="preserve">[  ] liable for tax under section 7, or an agent authorised by the non-resident person for this purpose, shall furnish to the Commissioner, within forty-five days from the last day of each quarter of the financial year, a return, in respect of the quarter, showing the gross amount specified in sub-section (1) of section 7 of the non-resident person for the quarter. </w:t>
      </w:r>
    </w:p>
    <w:p w:rsidR="006A3F93" w:rsidRPr="00661F9B" w:rsidRDefault="006A3F93">
      <w:pPr>
        <w:jc w:val="both"/>
        <w:rPr>
          <w:rFonts w:cs="Arial"/>
          <w:sz w:val="12"/>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a return has been furnished under sub-section (1), the Commissioner shall </w:t>
      </w:r>
      <w:r w:rsidRPr="00412620">
        <w:rPr>
          <w:rStyle w:val="FootnoteReference"/>
          <w:rFonts w:cs="Arial"/>
          <w:sz w:val="20"/>
        </w:rPr>
        <w:footnoteReference w:id="870"/>
      </w:r>
      <w:r w:rsidRPr="00412620">
        <w:rPr>
          <w:rFonts w:cs="Arial"/>
          <w:sz w:val="20"/>
        </w:rPr>
        <w:t>[, after calling for such particulars, accounts or documents as he may require,] determine the amount of tax due under section 7 by the non-resident person for the quarter and notify the non-resident person, in writing, of the amount payable.</w:t>
      </w:r>
    </w:p>
    <w:p w:rsidR="006A3F93" w:rsidRPr="00661F9B" w:rsidRDefault="006A3F93">
      <w:pPr>
        <w:pStyle w:val="Header"/>
        <w:tabs>
          <w:tab w:val="left" w:pos="547"/>
        </w:tabs>
        <w:jc w:val="both"/>
        <w:rPr>
          <w:rFonts w:cs="Arial"/>
          <w:sz w:val="12"/>
        </w:rPr>
      </w:pPr>
    </w:p>
    <w:p w:rsidR="006A3F93" w:rsidRPr="00412620" w:rsidRDefault="006A3F93">
      <w:pPr>
        <w:jc w:val="both"/>
        <w:rPr>
          <w:rFonts w:cs="Arial"/>
          <w:sz w:val="20"/>
        </w:rPr>
      </w:pPr>
      <w:r w:rsidRPr="00412620">
        <w:rPr>
          <w:rFonts w:cs="Arial"/>
          <w:sz w:val="20"/>
        </w:rPr>
        <w:tab/>
        <w:t>(3)</w:t>
      </w:r>
      <w:r w:rsidRPr="00412620">
        <w:rPr>
          <w:rFonts w:cs="Arial"/>
          <w:sz w:val="20"/>
        </w:rPr>
        <w:tab/>
        <w:t>The non-resident person shall be liable to pay the tax notified under sub-section (2) within the time specified in the notice and the provisions of this Ordinance shall apply to such tax as if it were tax due under an assessment order.</w:t>
      </w:r>
    </w:p>
    <w:p w:rsidR="006A3F93" w:rsidRPr="00661F9B" w:rsidRDefault="006A3F93">
      <w:pPr>
        <w:jc w:val="both"/>
        <w:rPr>
          <w:rFonts w:cs="Arial"/>
          <w:sz w:val="12"/>
        </w:rPr>
      </w:pPr>
    </w:p>
    <w:p w:rsidR="006A3F93" w:rsidRPr="00412620" w:rsidRDefault="006A3F93">
      <w:pPr>
        <w:pStyle w:val="BodyText3"/>
        <w:widowControl/>
        <w:rPr>
          <w:rFonts w:ascii="Arial" w:hAnsi="Arial"/>
          <w:sz w:val="20"/>
          <w:lang w:val="en-AU"/>
        </w:rPr>
      </w:pPr>
      <w:r w:rsidRPr="00412620">
        <w:rPr>
          <w:rFonts w:ascii="Arial" w:hAnsi="Arial"/>
          <w:sz w:val="20"/>
          <w:lang w:val="en-AU"/>
        </w:rPr>
        <w:tab/>
        <w:t>(4)</w:t>
      </w:r>
      <w:r w:rsidRPr="00412620">
        <w:rPr>
          <w:rFonts w:ascii="Arial" w:hAnsi="Arial"/>
          <w:sz w:val="20"/>
          <w:lang w:val="en-AU"/>
        </w:rPr>
        <w:tab/>
        <w:t>Where the tax referred to in sub-section (3) is not paid within three months of service of the notice, the Commissioner may issue to the authority by whom clearance may be granted to the aircraft operated by the non-resident person a certificate specifying the name of the non-resident person and the amount of tax due.</w:t>
      </w:r>
    </w:p>
    <w:p w:rsidR="006A3F93" w:rsidRPr="00661F9B" w:rsidRDefault="006A3F93">
      <w:pPr>
        <w:jc w:val="both"/>
        <w:rPr>
          <w:rFonts w:cs="Arial"/>
          <w:sz w:val="12"/>
        </w:rPr>
      </w:pPr>
    </w:p>
    <w:p w:rsidR="00661F9B" w:rsidRDefault="006A3F93">
      <w:pPr>
        <w:jc w:val="both"/>
        <w:rPr>
          <w:rFonts w:cs="Arial"/>
          <w:sz w:val="20"/>
        </w:rPr>
      </w:pPr>
      <w:r w:rsidRPr="00412620">
        <w:rPr>
          <w:rFonts w:cs="Arial"/>
          <w:sz w:val="20"/>
        </w:rPr>
        <w:tab/>
        <w:t>(5)</w:t>
      </w:r>
      <w:r w:rsidRPr="00412620">
        <w:rPr>
          <w:rFonts w:cs="Arial"/>
          <w:sz w:val="20"/>
        </w:rPr>
        <w:tab/>
        <w:t>The authority to whom a certificate is issued under sub-section (4) shall refuse clearance from any airport in Pakistan to any aircraft owned or chartered by the non-resident until the tax due has been paid.</w:t>
      </w:r>
    </w:p>
    <w:p w:rsidR="00661F9B" w:rsidRPr="00661F9B" w:rsidRDefault="00661F9B">
      <w:pPr>
        <w:jc w:val="both"/>
        <w:rPr>
          <w:b/>
          <w:sz w:val="12"/>
        </w:rPr>
      </w:pPr>
    </w:p>
    <w:p w:rsidR="006A3F93" w:rsidRPr="00412620" w:rsidRDefault="006A3F93">
      <w:pPr>
        <w:jc w:val="both"/>
        <w:rPr>
          <w:sz w:val="20"/>
        </w:rPr>
      </w:pPr>
      <w:r w:rsidRPr="00661F9B">
        <w:rPr>
          <w:rStyle w:val="FootnoteReference"/>
          <w:rFonts w:cs="Arial"/>
          <w:sz w:val="20"/>
        </w:rPr>
        <w:footnoteReference w:id="871"/>
      </w:r>
      <w:r w:rsidRPr="00661F9B">
        <w:rPr>
          <w:sz w:val="20"/>
        </w:rPr>
        <w:t>[</w:t>
      </w:r>
      <w:r w:rsidRPr="00412620">
        <w:rPr>
          <w:b/>
          <w:sz w:val="20"/>
        </w:rPr>
        <w:t>145.</w:t>
      </w:r>
      <w:r w:rsidRPr="00412620">
        <w:rPr>
          <w:b/>
          <w:sz w:val="20"/>
        </w:rPr>
        <w:tab/>
        <w:t xml:space="preserve"> Assessment of persons about to leave Pakistan.</w:t>
      </w:r>
      <w:r w:rsidR="000B4F8E" w:rsidRPr="00412620">
        <w:rPr>
          <w:rFonts w:cs="Arial"/>
          <w:sz w:val="20"/>
        </w:rPr>
        <w:t xml:space="preserve"> —</w:t>
      </w:r>
      <w:r w:rsidRPr="00412620">
        <w:rPr>
          <w:sz w:val="20"/>
        </w:rPr>
        <w:t xml:space="preserve"> (1) Where any person is likely to leave Pakistan during the currency of tax year or shortly after its expiry with no intention of returning to Pakistan, he shall give to the Commissioner a notice to that effect not less than fifteen days before the probable date of his departure (hereinafter in this section referred to as the ‘said date’).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The notice under sub-section (1) shall be accompanied by a return or returns of taxable income in respect of the period commencing from the end of the latest tax year for which an assessment has been or, where no such assessment has been made, a return has been made, as the case may be, and ending on the said date, or where no such assessment or return has been made, the tax year or tax years comprising the period ending on the said date; and the period commencing from the end of the latest tax year to the said date shall, for the purposes of this section, be deemed to be a tax year (distinct and separate from any other tax year) in which the said date falls.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Notwithstanding anything contained in sub-sections (1) and (2), the Commissioner may serve a notice on any person who, in his opinion, is likely to leave Pakistan during the current tax year or shortly after its expiry and has no intention of returning to Pakistan, to furnish within such time as may be specified in such notice, a return or returns of taxable income for the tax year or tax years for which the taxpayer is required to furnish such return or returns under sub-section (2).</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The taxable income shall be charged to tax at the rates applicable to the relevant tax year and all the provisions of this Ordinance shall, so far as may be, apply accordingly.]</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146.</w:t>
      </w:r>
      <w:r w:rsidRPr="00412620">
        <w:rPr>
          <w:rFonts w:cs="Arial"/>
          <w:b/>
          <w:sz w:val="20"/>
        </w:rPr>
        <w:tab/>
        <w:t xml:space="preserve"> Recovery of tax from persons assessed in Azad Jammu and Kashmir.</w:t>
      </w:r>
      <w:r w:rsidR="000B4F8E" w:rsidRPr="00412620">
        <w:rPr>
          <w:rFonts w:cs="Arial"/>
          <w:sz w:val="20"/>
        </w:rPr>
        <w:t>—</w:t>
      </w:r>
      <w:r w:rsidRPr="00412620">
        <w:rPr>
          <w:sz w:val="20"/>
        </w:rPr>
        <w:t xml:space="preserve"> (1)  Where any person assessed to tax for any tax year under the law relating to income tax in the Azad Jammu and Kashmir has failed to pay the </w:t>
      </w:r>
      <w:r w:rsidRPr="00412620">
        <w:rPr>
          <w:sz w:val="20"/>
        </w:rPr>
        <w:lastRenderedPageBreak/>
        <w:t xml:space="preserve">tax and the income tax authorities of the Azad Jammu and Kashmir cannot recover the tax because </w:t>
      </w:r>
      <w:r w:rsidR="001A4D82" w:rsidRPr="00412620">
        <w:rPr>
          <w:rFonts w:cs="Arial"/>
          <w:sz w:val="20"/>
        </w:rPr>
        <w:t>—</w:t>
      </w:r>
    </w:p>
    <w:p w:rsidR="006A3F93" w:rsidRPr="00412620" w:rsidRDefault="006A3F93">
      <w:pPr>
        <w:jc w:val="both"/>
        <w:rPr>
          <w:rFonts w:cs="Arial"/>
          <w:sz w:val="20"/>
        </w:rPr>
      </w:pPr>
    </w:p>
    <w:p w:rsidR="006A3F93" w:rsidRPr="00412620" w:rsidRDefault="006A3F93">
      <w:pPr>
        <w:ind w:left="1530" w:hanging="450"/>
        <w:jc w:val="both"/>
        <w:rPr>
          <w:rFonts w:cs="Arial"/>
          <w:sz w:val="20"/>
        </w:rPr>
      </w:pPr>
      <w:r w:rsidRPr="00412620">
        <w:rPr>
          <w:rFonts w:cs="Arial"/>
          <w:sz w:val="20"/>
        </w:rPr>
        <w:t>(a)</w:t>
      </w:r>
      <w:r w:rsidRPr="00412620">
        <w:rPr>
          <w:rFonts w:cs="Arial"/>
          <w:sz w:val="20"/>
        </w:rPr>
        <w:tab/>
        <w:t>the person’s residence is in Pakistan; or</w:t>
      </w:r>
    </w:p>
    <w:p w:rsidR="006A3F93" w:rsidRPr="00412620" w:rsidRDefault="006A3F93">
      <w:pPr>
        <w:jc w:val="both"/>
        <w:rPr>
          <w:rFonts w:cs="Arial"/>
          <w:sz w:val="20"/>
        </w:rPr>
      </w:pPr>
    </w:p>
    <w:p w:rsidR="006A3F93" w:rsidRPr="00412620" w:rsidRDefault="006A3F93">
      <w:pPr>
        <w:ind w:left="1530" w:hanging="450"/>
        <w:jc w:val="both"/>
        <w:rPr>
          <w:rFonts w:cs="Arial"/>
          <w:sz w:val="20"/>
        </w:rPr>
      </w:pPr>
      <w:r w:rsidRPr="00412620">
        <w:rPr>
          <w:rFonts w:cs="Arial"/>
          <w:sz w:val="20"/>
        </w:rPr>
        <w:t>(b)</w:t>
      </w:r>
      <w:r w:rsidRPr="00412620">
        <w:rPr>
          <w:rFonts w:cs="Arial"/>
          <w:sz w:val="20"/>
        </w:rPr>
        <w:tab/>
        <w:t>the person has no movable or immovable property in the Azad Jammu and Kashmir,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the Deputy Commissioner in the Azad Jammu and Kashmir may forward a certificate of recovery to the Commissioner and, on receipt of such certificate, the Commissioner shall recover the tax referred to in the certificate in accordance with this Part.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 certificate of recovery under sub-section (1) shall be in the prescribed form specifying </w:t>
      </w:r>
      <w:r w:rsidR="001A4D82"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the place of residence of the person in Pakistan;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the description and location of movable or immovable property of the person in Pakistan;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the amount of tax payable by the person.</w:t>
      </w:r>
    </w:p>
    <w:p w:rsidR="006A3F93" w:rsidRPr="00412620" w:rsidRDefault="006A3F93">
      <w:pPr>
        <w:pStyle w:val="Header"/>
        <w:tabs>
          <w:tab w:val="left" w:pos="547"/>
        </w:tabs>
        <w:jc w:val="both"/>
        <w:rPr>
          <w:rFonts w:cs="Arial"/>
          <w:sz w:val="20"/>
        </w:rPr>
      </w:pPr>
    </w:p>
    <w:p w:rsidR="006A3F93" w:rsidRPr="00412620" w:rsidRDefault="006A3F93">
      <w:pPr>
        <w:pStyle w:val="Header"/>
        <w:tabs>
          <w:tab w:val="left" w:pos="547"/>
        </w:tabs>
        <w:jc w:val="both"/>
        <w:rPr>
          <w:sz w:val="20"/>
        </w:rPr>
      </w:pPr>
      <w:r w:rsidRPr="00412620">
        <w:rPr>
          <w:rStyle w:val="FootnoteReference"/>
          <w:rFonts w:cs="Arial"/>
          <w:sz w:val="20"/>
        </w:rPr>
        <w:footnoteReference w:id="872"/>
      </w:r>
      <w:r w:rsidRPr="00412620">
        <w:rPr>
          <w:sz w:val="20"/>
        </w:rPr>
        <w:t>[</w:t>
      </w:r>
      <w:r w:rsidRPr="00412620">
        <w:rPr>
          <w:b/>
          <w:sz w:val="20"/>
        </w:rPr>
        <w:t>146A. Initiation, validity, etc., of recovery proceedings.</w:t>
      </w:r>
      <w:r w:rsidR="004440DF" w:rsidRPr="00412620">
        <w:rPr>
          <w:rFonts w:cs="Arial"/>
          <w:sz w:val="20"/>
        </w:rPr>
        <w:t>—</w:t>
      </w:r>
      <w:r w:rsidRPr="00412620">
        <w:rPr>
          <w:sz w:val="20"/>
        </w:rPr>
        <w:t xml:space="preserve"> (1) Any proceedings for the recovery of tax under this Part may be initiated at any time.</w:t>
      </w:r>
    </w:p>
    <w:p w:rsidR="006A3F93" w:rsidRPr="00412620" w:rsidRDefault="006A3F93">
      <w:pPr>
        <w:pStyle w:val="Header"/>
        <w:tabs>
          <w:tab w:val="left" w:pos="547"/>
        </w:tabs>
        <w:jc w:val="both"/>
        <w:rPr>
          <w:rFonts w:cs="Arial"/>
          <w:sz w:val="20"/>
        </w:rPr>
      </w:pPr>
    </w:p>
    <w:p w:rsidR="006A3F93" w:rsidRPr="00412620" w:rsidRDefault="006A3F93" w:rsidP="00DD4484">
      <w:pPr>
        <w:jc w:val="both"/>
        <w:rPr>
          <w:rFonts w:cs="Arial"/>
          <w:sz w:val="20"/>
        </w:rPr>
      </w:pPr>
      <w:r w:rsidRPr="00412620">
        <w:rPr>
          <w:rFonts w:cs="Arial"/>
          <w:sz w:val="20"/>
        </w:rPr>
        <w:tab/>
        <w:t>(2)</w:t>
      </w:r>
      <w:r w:rsidRPr="00412620">
        <w:rPr>
          <w:rFonts w:cs="Arial"/>
          <w:sz w:val="20"/>
        </w:rPr>
        <w:tab/>
        <w:t>The Commissioner may, at any time, amend the certificate issued under section 138A, or recall such certificate and issue fresh certificate, as he thinks fit.</w:t>
      </w:r>
    </w:p>
    <w:p w:rsidR="006A3F93" w:rsidRPr="00412620" w:rsidRDefault="006A3F93">
      <w:pPr>
        <w:pStyle w:val="Header"/>
        <w:tabs>
          <w:tab w:val="left" w:pos="547"/>
        </w:tabs>
        <w:jc w:val="both"/>
        <w:rPr>
          <w:rFonts w:cs="Arial"/>
          <w:sz w:val="20"/>
        </w:rPr>
      </w:pPr>
    </w:p>
    <w:p w:rsidR="006A3F93" w:rsidRPr="00412620" w:rsidRDefault="006A3F93" w:rsidP="00DD4484">
      <w:pPr>
        <w:jc w:val="both"/>
        <w:rPr>
          <w:rFonts w:cs="Arial"/>
          <w:sz w:val="20"/>
        </w:rPr>
      </w:pPr>
      <w:r w:rsidRPr="00412620">
        <w:rPr>
          <w:rFonts w:cs="Arial"/>
          <w:sz w:val="20"/>
        </w:rPr>
        <w:tab/>
        <w:t>(3)</w:t>
      </w:r>
      <w:r w:rsidRPr="00412620">
        <w:rPr>
          <w:rFonts w:cs="Arial"/>
          <w:sz w:val="20"/>
        </w:rPr>
        <w:tab/>
        <w:t>It shall not be open to a taxpayer to question before the District Officer (Revenue) the validity or correctness of any certificate issued under section 138A, or any such certificate as amended, or any fresh certificate issued, under sub-section (2).</w:t>
      </w:r>
    </w:p>
    <w:p w:rsidR="006A3F93" w:rsidRPr="00412620" w:rsidRDefault="006A3F93">
      <w:pPr>
        <w:pStyle w:val="Header"/>
        <w:tabs>
          <w:tab w:val="left" w:pos="547"/>
        </w:tabs>
        <w:jc w:val="both"/>
        <w:rPr>
          <w:rFonts w:cs="Arial"/>
          <w:sz w:val="20"/>
        </w:rPr>
      </w:pPr>
    </w:p>
    <w:p w:rsidR="006A3F93" w:rsidRPr="00412620" w:rsidRDefault="006A3F93" w:rsidP="00DD4484">
      <w:pPr>
        <w:jc w:val="both"/>
        <w:rPr>
          <w:rFonts w:cs="Arial"/>
          <w:sz w:val="20"/>
        </w:rPr>
      </w:pPr>
      <w:r w:rsidRPr="00412620">
        <w:rPr>
          <w:rFonts w:cs="Arial"/>
          <w:sz w:val="20"/>
        </w:rPr>
        <w:tab/>
        <w:t>(4)</w:t>
      </w:r>
      <w:r w:rsidRPr="00412620">
        <w:rPr>
          <w:rFonts w:cs="Arial"/>
          <w:sz w:val="20"/>
        </w:rPr>
        <w:tab/>
        <w:t>The several modes of recovery provided in this Part shall be deemed to be neither mutually exclusive nor affect in any way any other law for the time being in force relating to the recovery of debts due to the Government and the Commissioner may have recourse to any such mode of recovery notwithstanding that the tax due is being recovered from a taxpayer by any other mode.]</w:t>
      </w:r>
    </w:p>
    <w:p w:rsidR="006A3F93" w:rsidRPr="00412620" w:rsidRDefault="006A3F93">
      <w:pPr>
        <w:pStyle w:val="Header"/>
        <w:tabs>
          <w:tab w:val="left" w:pos="547"/>
        </w:tabs>
        <w:rPr>
          <w:rFonts w:cs="Arial"/>
          <w:sz w:val="20"/>
        </w:rPr>
      </w:pPr>
    </w:p>
    <w:p w:rsidR="00715FF5" w:rsidRPr="00412620" w:rsidRDefault="00715FF5" w:rsidP="00715FF5">
      <w:pPr>
        <w:spacing w:before="120" w:after="120"/>
        <w:jc w:val="both"/>
        <w:rPr>
          <w:rFonts w:cs="Arial"/>
          <w:sz w:val="20"/>
        </w:rPr>
      </w:pPr>
      <w:r w:rsidRPr="00412620">
        <w:rPr>
          <w:rStyle w:val="FootnoteReference"/>
          <w:rFonts w:cs="Arial"/>
          <w:sz w:val="20"/>
        </w:rPr>
        <w:footnoteReference w:id="873"/>
      </w:r>
      <w:r w:rsidR="00E60F16" w:rsidRPr="00412620">
        <w:rPr>
          <w:rFonts w:cs="Arial"/>
          <w:sz w:val="20"/>
        </w:rPr>
        <w:t>[</w:t>
      </w:r>
      <w:r w:rsidRPr="00412620">
        <w:rPr>
          <w:rFonts w:cs="Arial"/>
          <w:b/>
          <w:sz w:val="20"/>
        </w:rPr>
        <w:t>146B.Tax arrears settlement incentives scheme.</w:t>
      </w:r>
      <w:r w:rsidR="00E81318" w:rsidRPr="00412620">
        <w:rPr>
          <w:rFonts w:cs="Arial"/>
          <w:b/>
          <w:sz w:val="20"/>
        </w:rPr>
        <w:t>—</w:t>
      </w:r>
      <w:r w:rsidRPr="00412620">
        <w:rPr>
          <w:rFonts w:cs="Arial"/>
          <w:sz w:val="20"/>
        </w:rPr>
        <w:t xml:space="preserve">  (1)  Subject to provisions of this Ordinance, the Board may make scheme in respect of recovery of tax </w:t>
      </w:r>
      <w:r w:rsidRPr="00412620">
        <w:rPr>
          <w:rFonts w:cs="Arial"/>
          <w:sz w:val="20"/>
        </w:rPr>
        <w:lastRenderedPageBreak/>
        <w:t xml:space="preserve">arrears or withholding taxes and waiver of </w:t>
      </w:r>
      <w:r w:rsidR="00880A5D" w:rsidRPr="00412620">
        <w:rPr>
          <w:rStyle w:val="FootnoteReference"/>
          <w:rFonts w:cs="Arial"/>
          <w:sz w:val="20"/>
        </w:rPr>
        <w:footnoteReference w:id="874"/>
      </w:r>
      <w:r w:rsidR="00880A5D" w:rsidRPr="00412620">
        <w:rPr>
          <w:rFonts w:cs="Arial"/>
          <w:sz w:val="20"/>
        </w:rPr>
        <w:t>[</w:t>
      </w:r>
      <w:r w:rsidR="00407978" w:rsidRPr="00412620">
        <w:rPr>
          <w:rFonts w:cs="Arial"/>
          <w:sz w:val="20"/>
        </w:rPr>
        <w:t>default surcharge</w:t>
      </w:r>
      <w:r w:rsidR="00880A5D" w:rsidRPr="00412620">
        <w:rPr>
          <w:rFonts w:cs="Arial"/>
          <w:sz w:val="20"/>
        </w:rPr>
        <w:t>]</w:t>
      </w:r>
      <w:r w:rsidRPr="00412620">
        <w:rPr>
          <w:rFonts w:cs="Arial"/>
          <w:sz w:val="20"/>
        </w:rPr>
        <w:t xml:space="preserve">or penalty levied thereon. </w:t>
      </w:r>
    </w:p>
    <w:p w:rsidR="00E60F16" w:rsidRPr="00412620" w:rsidRDefault="004440DF" w:rsidP="001721AE">
      <w:pPr>
        <w:pStyle w:val="Header"/>
        <w:tabs>
          <w:tab w:val="left" w:pos="547"/>
        </w:tabs>
        <w:jc w:val="both"/>
        <w:rPr>
          <w:rFonts w:cs="Arial"/>
          <w:sz w:val="20"/>
        </w:rPr>
      </w:pPr>
      <w:r w:rsidRPr="00412620">
        <w:rPr>
          <w:rFonts w:cs="Arial"/>
          <w:sz w:val="20"/>
        </w:rPr>
        <w:tab/>
      </w:r>
      <w:r w:rsidR="00715FF5" w:rsidRPr="00412620">
        <w:rPr>
          <w:rFonts w:cs="Arial"/>
          <w:sz w:val="20"/>
        </w:rPr>
        <w:t>(2) The Board may make rules under section 237 for implementation of such scheme.]</w:t>
      </w:r>
    </w:p>
    <w:p w:rsidR="00E60F16" w:rsidRPr="00412620" w:rsidRDefault="00E60F16">
      <w:pPr>
        <w:pStyle w:val="Header"/>
        <w:tabs>
          <w:tab w:val="left" w:pos="547"/>
        </w:tabs>
        <w:rPr>
          <w:rFonts w:cs="Arial"/>
          <w:sz w:val="20"/>
        </w:rPr>
      </w:pPr>
    </w:p>
    <w:p w:rsidR="006A3F93" w:rsidRPr="00412620" w:rsidRDefault="00BF5057">
      <w:pPr>
        <w:keepNext/>
        <w:jc w:val="center"/>
        <w:rPr>
          <w:rFonts w:cs="Arial"/>
          <w:b/>
          <w:sz w:val="32"/>
          <w:szCs w:val="32"/>
        </w:rPr>
      </w:pPr>
      <w:r w:rsidRPr="00412620">
        <w:rPr>
          <w:rFonts w:cs="Arial"/>
          <w:b/>
          <w:sz w:val="20"/>
        </w:rPr>
        <w:br w:type="page"/>
      </w:r>
      <w:r w:rsidR="006A3F93" w:rsidRPr="00412620">
        <w:rPr>
          <w:rFonts w:cs="Arial"/>
          <w:b/>
          <w:sz w:val="32"/>
          <w:szCs w:val="32"/>
        </w:rPr>
        <w:lastRenderedPageBreak/>
        <w:t>PART V</w:t>
      </w:r>
    </w:p>
    <w:p w:rsidR="006A3F93" w:rsidRPr="00412620" w:rsidRDefault="006A3F93">
      <w:pPr>
        <w:keepNext/>
        <w:jc w:val="center"/>
        <w:rPr>
          <w:rFonts w:cs="Arial"/>
          <w:b/>
          <w:sz w:val="20"/>
        </w:rPr>
      </w:pPr>
      <w:r w:rsidRPr="00412620">
        <w:rPr>
          <w:rFonts w:cs="Arial"/>
          <w:b/>
          <w:sz w:val="20"/>
        </w:rPr>
        <w:t>ADVANCE TAX AND DEDUCTION OF TAX AT SOURCE</w:t>
      </w:r>
    </w:p>
    <w:p w:rsidR="006A3F93" w:rsidRPr="00412620" w:rsidRDefault="006A3F93">
      <w:pPr>
        <w:keepNext/>
        <w:rPr>
          <w:rFonts w:cs="Arial"/>
          <w:b/>
          <w:sz w:val="20"/>
        </w:rPr>
      </w:pPr>
    </w:p>
    <w:p w:rsidR="006A3F93" w:rsidRPr="00412620" w:rsidRDefault="006A3F93">
      <w:pPr>
        <w:keepNext/>
        <w:jc w:val="center"/>
        <w:rPr>
          <w:rFonts w:cs="Arial"/>
          <w:b/>
          <w:sz w:val="28"/>
        </w:rPr>
      </w:pPr>
      <w:r w:rsidRPr="00412620">
        <w:rPr>
          <w:rFonts w:cs="Arial"/>
          <w:b/>
          <w:sz w:val="28"/>
        </w:rPr>
        <w:t>Division I</w:t>
      </w:r>
    </w:p>
    <w:p w:rsidR="006A3F93" w:rsidRPr="00412620" w:rsidRDefault="006A3F93">
      <w:pPr>
        <w:keepNext/>
        <w:jc w:val="center"/>
        <w:rPr>
          <w:rFonts w:cs="Arial"/>
          <w:b/>
          <w:sz w:val="20"/>
        </w:rPr>
      </w:pPr>
      <w:r w:rsidRPr="00412620">
        <w:rPr>
          <w:rFonts w:cs="Arial"/>
          <w:b/>
          <w:sz w:val="20"/>
        </w:rPr>
        <w:t>Advance Tax Paid by the Taxpayer</w:t>
      </w:r>
    </w:p>
    <w:p w:rsidR="006A3F93" w:rsidRPr="00412620" w:rsidRDefault="006A3F93">
      <w:pPr>
        <w:pStyle w:val="Header"/>
        <w:keepNext/>
        <w:tabs>
          <w:tab w:val="left" w:pos="547"/>
        </w:tabs>
        <w:rPr>
          <w:rFonts w:cs="Arial"/>
          <w:sz w:val="20"/>
        </w:rPr>
      </w:pPr>
    </w:p>
    <w:p w:rsidR="006A3F93" w:rsidRPr="00412620" w:rsidRDefault="006A3F93">
      <w:pPr>
        <w:jc w:val="both"/>
        <w:rPr>
          <w:sz w:val="20"/>
        </w:rPr>
      </w:pPr>
      <w:r w:rsidRPr="00412620">
        <w:rPr>
          <w:rFonts w:cs="Arial"/>
          <w:b/>
          <w:sz w:val="20"/>
        </w:rPr>
        <w:t>147.</w:t>
      </w:r>
      <w:r w:rsidRPr="00412620">
        <w:rPr>
          <w:rFonts w:cs="Arial"/>
          <w:b/>
          <w:sz w:val="20"/>
        </w:rPr>
        <w:tab/>
        <w:t>Advance tax paid by the taxpayer.</w:t>
      </w:r>
      <w:r w:rsidR="000943E2" w:rsidRPr="00412620">
        <w:rPr>
          <w:rFonts w:cs="Arial"/>
          <w:b/>
          <w:sz w:val="20"/>
        </w:rPr>
        <w:t>—</w:t>
      </w:r>
      <w:r w:rsidRPr="00412620">
        <w:rPr>
          <w:sz w:val="20"/>
        </w:rPr>
        <w:t xml:space="preserve"> (1) Subject to sub-section (2), every taxpayer </w:t>
      </w:r>
      <w:r w:rsidRPr="00412620">
        <w:rPr>
          <w:rStyle w:val="FootnoteReference"/>
          <w:sz w:val="20"/>
        </w:rPr>
        <w:footnoteReference w:id="875"/>
      </w:r>
      <w:r w:rsidRPr="00412620">
        <w:rPr>
          <w:sz w:val="20"/>
        </w:rPr>
        <w:t>[whose income was charged to tax for the latest tax year under this Ordinance or latest assessment year under the repealed Ordinance] other than –</w:t>
      </w:r>
    </w:p>
    <w:p w:rsidR="006A3F93" w:rsidRPr="00412620" w:rsidRDefault="006A3F93">
      <w:pPr>
        <w:jc w:val="both"/>
        <w:rPr>
          <w:rFonts w:cs="Arial"/>
          <w:sz w:val="20"/>
        </w:rPr>
      </w:pPr>
    </w:p>
    <w:p w:rsidR="008D3734" w:rsidRPr="00412620" w:rsidRDefault="008D3734">
      <w:pPr>
        <w:jc w:val="both"/>
        <w:rPr>
          <w:rFonts w:cs="Arial"/>
          <w:sz w:val="20"/>
        </w:rPr>
      </w:pPr>
      <w:r w:rsidRPr="00412620">
        <w:rPr>
          <w:rFonts w:cs="Arial"/>
          <w:sz w:val="20"/>
        </w:rPr>
        <w:tab/>
      </w:r>
      <w:r w:rsidRPr="00412620">
        <w:rPr>
          <w:rStyle w:val="FootnoteReference"/>
          <w:rFonts w:cs="Arial"/>
          <w:sz w:val="20"/>
        </w:rPr>
        <w:footnoteReference w:id="876"/>
      </w:r>
      <w:r w:rsidRPr="00412620">
        <w:rPr>
          <w:rFonts w:cs="Arial"/>
          <w:sz w:val="20"/>
        </w:rPr>
        <w:t>[  ]</w:t>
      </w:r>
    </w:p>
    <w:p w:rsidR="008D3734" w:rsidRPr="004E3ABA" w:rsidRDefault="008D3734">
      <w:pPr>
        <w:jc w:val="both"/>
        <w:rPr>
          <w:rFonts w:cs="Arial"/>
          <w:sz w:val="12"/>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income chargeable to tax under sections 5, 6 and 7; </w:t>
      </w:r>
    </w:p>
    <w:p w:rsidR="006A3F93" w:rsidRPr="004E3ABA" w:rsidRDefault="006A3F93">
      <w:pPr>
        <w:jc w:val="both"/>
        <w:rPr>
          <w:rFonts w:cs="Arial"/>
          <w:sz w:val="12"/>
        </w:rPr>
      </w:pPr>
    </w:p>
    <w:p w:rsidR="00AF07D4" w:rsidRPr="00412620" w:rsidRDefault="00AF07D4">
      <w:pPr>
        <w:jc w:val="both"/>
        <w:rPr>
          <w:rFonts w:cs="Arial"/>
          <w:sz w:val="20"/>
        </w:rPr>
      </w:pPr>
      <w:r w:rsidRPr="00412620">
        <w:rPr>
          <w:rFonts w:cs="Arial"/>
          <w:sz w:val="20"/>
        </w:rPr>
        <w:tab/>
      </w:r>
      <w:r w:rsidRPr="00412620">
        <w:rPr>
          <w:rFonts w:cs="Arial"/>
          <w:sz w:val="20"/>
        </w:rPr>
        <w:tab/>
      </w:r>
      <w:r w:rsidRPr="00412620">
        <w:rPr>
          <w:rStyle w:val="FootnoteReference"/>
          <w:rFonts w:cs="Arial"/>
          <w:sz w:val="20"/>
        </w:rPr>
        <w:footnoteReference w:id="877"/>
      </w:r>
      <w:r w:rsidRPr="00412620">
        <w:rPr>
          <w:rFonts w:cs="Arial"/>
          <w:sz w:val="20"/>
        </w:rPr>
        <w:t>[  ]</w:t>
      </w:r>
    </w:p>
    <w:p w:rsidR="006A3F93" w:rsidRPr="004E3ABA" w:rsidRDefault="006A3F93" w:rsidP="004E3ABA">
      <w:pPr>
        <w:ind w:left="1620" w:hanging="990"/>
        <w:jc w:val="both"/>
        <w:rPr>
          <w:rFonts w:cs="Arial"/>
          <w:sz w:val="12"/>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income subject to deduction of tax at source under section 149; </w:t>
      </w:r>
      <w:r w:rsidR="002615CB" w:rsidRPr="00412620">
        <w:rPr>
          <w:rStyle w:val="FootnoteReference"/>
          <w:rFonts w:cs="Arial"/>
          <w:sz w:val="20"/>
        </w:rPr>
        <w:footnoteReference w:id="878"/>
      </w:r>
      <w:r w:rsidR="002615CB" w:rsidRPr="00412620">
        <w:rPr>
          <w:rFonts w:cs="Arial"/>
          <w:sz w:val="20"/>
        </w:rPr>
        <w:t>[and]</w:t>
      </w:r>
    </w:p>
    <w:p w:rsidR="008D3734" w:rsidRPr="004E3ABA" w:rsidRDefault="008D3734" w:rsidP="008D3734">
      <w:pPr>
        <w:jc w:val="both"/>
        <w:rPr>
          <w:rFonts w:cs="Arial"/>
          <w:sz w:val="12"/>
        </w:rPr>
      </w:pPr>
    </w:p>
    <w:p w:rsidR="009E7901" w:rsidRPr="00412620" w:rsidRDefault="00C3641F" w:rsidP="00C3641F">
      <w:pPr>
        <w:jc w:val="both"/>
        <w:rPr>
          <w:rFonts w:cs="Arial"/>
          <w:sz w:val="20"/>
        </w:rPr>
      </w:pPr>
      <w:r w:rsidRPr="00412620">
        <w:rPr>
          <w:rFonts w:cs="Arial"/>
          <w:sz w:val="20"/>
        </w:rPr>
        <w:tab/>
      </w:r>
      <w:r w:rsidR="009E7901" w:rsidRPr="00412620">
        <w:rPr>
          <w:rStyle w:val="FootnoteReference"/>
          <w:rFonts w:cs="Arial"/>
          <w:sz w:val="20"/>
        </w:rPr>
        <w:footnoteReference w:id="879"/>
      </w:r>
      <w:r w:rsidR="009E7901" w:rsidRPr="00412620">
        <w:rPr>
          <w:rFonts w:cs="Arial"/>
          <w:sz w:val="20"/>
        </w:rPr>
        <w:t>[  ]</w:t>
      </w:r>
    </w:p>
    <w:p w:rsidR="009E7901" w:rsidRPr="004E3ABA" w:rsidRDefault="009E7901">
      <w:pPr>
        <w:ind w:left="1620" w:hanging="540"/>
        <w:jc w:val="both"/>
        <w:rPr>
          <w:rFonts w:cs="Arial"/>
          <w:sz w:val="12"/>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income from which tax has been collected under Division II or deducted under Division III</w:t>
      </w:r>
      <w:r w:rsidR="0007798F" w:rsidRPr="00412620">
        <w:rPr>
          <w:rStyle w:val="FootnoteReference"/>
          <w:rFonts w:cs="Arial"/>
          <w:sz w:val="20"/>
        </w:rPr>
        <w:footnoteReference w:id="880"/>
      </w:r>
      <w:r w:rsidR="0007798F" w:rsidRPr="00412620">
        <w:rPr>
          <w:rFonts w:cs="Arial"/>
          <w:sz w:val="20"/>
        </w:rPr>
        <w:t xml:space="preserve">[or deducted or collected under Chapter XII] </w:t>
      </w:r>
      <w:r w:rsidRPr="00412620">
        <w:rPr>
          <w:rFonts w:cs="Arial"/>
          <w:sz w:val="20"/>
        </w:rPr>
        <w:t xml:space="preserve"> and for which no tax credit is allowed as a result of sub-section (3) of section 168,</w:t>
      </w:r>
    </w:p>
    <w:p w:rsidR="006A3F93" w:rsidRPr="004E3ABA" w:rsidRDefault="006A3F93">
      <w:pPr>
        <w:jc w:val="both"/>
        <w:rPr>
          <w:rFonts w:cs="Arial"/>
          <w:sz w:val="12"/>
        </w:rPr>
      </w:pPr>
    </w:p>
    <w:p w:rsidR="00BF5057" w:rsidRPr="00412620" w:rsidRDefault="006A3F93">
      <w:pPr>
        <w:jc w:val="both"/>
        <w:rPr>
          <w:rFonts w:cs="Arial"/>
          <w:sz w:val="20"/>
        </w:rPr>
      </w:pPr>
      <w:r w:rsidRPr="00412620">
        <w:rPr>
          <w:rFonts w:cs="Arial"/>
          <w:sz w:val="20"/>
        </w:rPr>
        <w:t xml:space="preserve">shall be liable to pay advance tax for the year in accordance with this section. </w:t>
      </w:r>
    </w:p>
    <w:p w:rsidR="00BF5057" w:rsidRPr="004E3ABA" w:rsidRDefault="00BF5057">
      <w:pPr>
        <w:jc w:val="both"/>
        <w:rPr>
          <w:rFonts w:cs="Arial"/>
          <w:sz w:val="12"/>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This section does not apply to an individual  where the individual’s </w:t>
      </w:r>
      <w:r w:rsidR="005C40CD" w:rsidRPr="00412620">
        <w:rPr>
          <w:rStyle w:val="FootnoteReference"/>
          <w:rFonts w:cs="Arial"/>
          <w:sz w:val="20"/>
        </w:rPr>
        <w:footnoteReference w:id="881"/>
      </w:r>
      <w:r w:rsidR="00C36E07" w:rsidRPr="00412620">
        <w:rPr>
          <w:rFonts w:cs="Arial"/>
          <w:sz w:val="20"/>
        </w:rPr>
        <w:t>[</w:t>
      </w:r>
      <w:r w:rsidR="005C40CD" w:rsidRPr="00412620">
        <w:rPr>
          <w:rFonts w:cs="Arial"/>
          <w:sz w:val="20"/>
        </w:rPr>
        <w:t xml:space="preserve">] </w:t>
      </w:r>
      <w:r w:rsidRPr="00412620">
        <w:rPr>
          <w:rFonts w:cs="Arial"/>
          <w:sz w:val="20"/>
        </w:rPr>
        <w:t xml:space="preserve">latest assessed taxable income excluding income referred to in clauses (a), (b), </w:t>
      </w:r>
      <w:r w:rsidRPr="00412620">
        <w:rPr>
          <w:rStyle w:val="FootnoteReference"/>
          <w:rFonts w:cs="Arial"/>
          <w:sz w:val="20"/>
        </w:rPr>
        <w:footnoteReference w:id="882"/>
      </w:r>
      <w:r w:rsidRPr="00412620">
        <w:rPr>
          <w:rFonts w:cs="Arial"/>
          <w:sz w:val="20"/>
        </w:rPr>
        <w:t>[(ba),]</w:t>
      </w:r>
      <w:r w:rsidR="006420B7">
        <w:rPr>
          <w:rFonts w:cs="Arial"/>
          <w:sz w:val="20"/>
        </w:rPr>
        <w:t xml:space="preserve"> </w:t>
      </w:r>
      <w:r w:rsidRPr="00412620">
        <w:rPr>
          <w:rFonts w:cs="Arial"/>
          <w:sz w:val="20"/>
        </w:rPr>
        <w:t xml:space="preserve">(c) and (d) of sub-section (1) is less than </w:t>
      </w:r>
      <w:r w:rsidRPr="00412620">
        <w:rPr>
          <w:rStyle w:val="FootnoteReference"/>
          <w:rFonts w:cs="Arial"/>
          <w:sz w:val="20"/>
        </w:rPr>
        <w:footnoteReference w:id="883"/>
      </w:r>
      <w:r w:rsidRPr="00412620">
        <w:rPr>
          <w:rFonts w:cs="Arial"/>
          <w:sz w:val="20"/>
        </w:rPr>
        <w:t>[</w:t>
      </w:r>
      <w:r w:rsidR="00A01798" w:rsidRPr="00412620">
        <w:rPr>
          <w:rStyle w:val="FootnoteReference"/>
          <w:rFonts w:cs="Arial"/>
          <w:sz w:val="20"/>
        </w:rPr>
        <w:footnoteReference w:id="884"/>
      </w:r>
      <w:r w:rsidR="00CC1EA3" w:rsidRPr="00412620">
        <w:rPr>
          <w:rFonts w:cs="Arial"/>
          <w:sz w:val="20"/>
        </w:rPr>
        <w:t xml:space="preserve">[five] </w:t>
      </w:r>
      <w:r w:rsidRPr="00412620">
        <w:rPr>
          <w:rFonts w:cs="Arial"/>
          <w:sz w:val="20"/>
        </w:rPr>
        <w:t>hundred thousand] rupees.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lastRenderedPageBreak/>
        <w:tab/>
      </w:r>
      <w:r w:rsidRPr="00412620">
        <w:rPr>
          <w:rStyle w:val="FootnoteReference"/>
          <w:rFonts w:cs="Arial"/>
          <w:sz w:val="20"/>
        </w:rPr>
        <w:footnoteReference w:id="885"/>
      </w:r>
      <w:r w:rsidRPr="00412620">
        <w:rPr>
          <w:rFonts w:cs="Arial"/>
          <w:sz w:val="20"/>
        </w:rPr>
        <w:t>[  ]</w:t>
      </w:r>
    </w:p>
    <w:p w:rsidR="00614281" w:rsidRPr="00412620" w:rsidRDefault="00614281" w:rsidP="00614281">
      <w:pPr>
        <w:jc w:val="both"/>
        <w:rPr>
          <w:rFonts w:cs="Arial"/>
          <w:sz w:val="20"/>
        </w:rPr>
      </w:pPr>
    </w:p>
    <w:p w:rsidR="00614281" w:rsidRPr="00412620" w:rsidRDefault="00614281" w:rsidP="00614281">
      <w:pPr>
        <w:jc w:val="both"/>
        <w:rPr>
          <w:rFonts w:cs="Arial"/>
          <w:sz w:val="20"/>
        </w:rPr>
      </w:pPr>
      <w:r w:rsidRPr="00412620">
        <w:rPr>
          <w:rFonts w:cs="Arial"/>
          <w:sz w:val="20"/>
        </w:rPr>
        <w:tab/>
      </w:r>
      <w:r w:rsidR="00687ACC" w:rsidRPr="00412620">
        <w:rPr>
          <w:rStyle w:val="FootnoteReference"/>
          <w:rFonts w:cs="Arial"/>
          <w:sz w:val="20"/>
        </w:rPr>
        <w:footnoteReference w:id="886"/>
      </w:r>
      <w:r w:rsidRPr="00412620">
        <w:rPr>
          <w:rFonts w:cs="Arial"/>
          <w:sz w:val="20"/>
        </w:rPr>
        <w:t xml:space="preserve">[(4) </w:t>
      </w:r>
      <w:r w:rsidRPr="00412620">
        <w:rPr>
          <w:rFonts w:cs="Arial"/>
          <w:sz w:val="20"/>
        </w:rPr>
        <w:tab/>
        <w:t>Where the taxpayer is</w:t>
      </w:r>
      <w:r w:rsidR="00C22014" w:rsidRPr="00412620">
        <w:rPr>
          <w:rStyle w:val="FootnoteReference"/>
          <w:rFonts w:cs="Arial"/>
          <w:sz w:val="20"/>
        </w:rPr>
        <w:footnoteReference w:id="887"/>
      </w:r>
      <w:r w:rsidR="00C22014" w:rsidRPr="00412620">
        <w:rPr>
          <w:rFonts w:cs="Arial"/>
          <w:sz w:val="20"/>
        </w:rPr>
        <w:t>[an association of persons or]</w:t>
      </w:r>
      <w:r w:rsidRPr="00412620">
        <w:rPr>
          <w:rFonts w:cs="Arial"/>
          <w:sz w:val="20"/>
        </w:rPr>
        <w:t xml:space="preserve"> a company, the amount of advance tax due for a quarter shall be computed according to the following formula, namely:-</w:t>
      </w:r>
    </w:p>
    <w:p w:rsidR="00614281" w:rsidRPr="00412620" w:rsidRDefault="00614281" w:rsidP="00614281">
      <w:pPr>
        <w:jc w:val="both"/>
        <w:rPr>
          <w:rFonts w:cs="Arial"/>
          <w:sz w:val="20"/>
        </w:rPr>
      </w:pPr>
    </w:p>
    <w:p w:rsidR="009579DA" w:rsidRPr="00412620" w:rsidRDefault="009579DA" w:rsidP="00614281">
      <w:pPr>
        <w:jc w:val="both"/>
        <w:rPr>
          <w:rFonts w:cs="Arial"/>
          <w:sz w:val="20"/>
        </w:rPr>
      </w:pPr>
    </w:p>
    <w:p w:rsidR="00614281" w:rsidRPr="00412620" w:rsidRDefault="00614281" w:rsidP="00614281">
      <w:pPr>
        <w:jc w:val="center"/>
        <w:rPr>
          <w:rFonts w:cs="Arial"/>
          <w:sz w:val="20"/>
        </w:rPr>
      </w:pPr>
      <w:r w:rsidRPr="00412620">
        <w:rPr>
          <w:rFonts w:cs="Arial"/>
          <w:b/>
          <w:sz w:val="20"/>
        </w:rPr>
        <w:t>(A x B/C) –D</w:t>
      </w:r>
    </w:p>
    <w:p w:rsidR="00614281" w:rsidRPr="00412620" w:rsidRDefault="00614281" w:rsidP="00614281">
      <w:pPr>
        <w:jc w:val="center"/>
        <w:rPr>
          <w:rFonts w:cs="Arial"/>
          <w:sz w:val="20"/>
        </w:rPr>
      </w:pPr>
    </w:p>
    <w:p w:rsidR="00614281" w:rsidRPr="00412620" w:rsidRDefault="00614281" w:rsidP="00614281">
      <w:pPr>
        <w:jc w:val="both"/>
        <w:rPr>
          <w:rFonts w:cs="Arial"/>
          <w:sz w:val="20"/>
        </w:rPr>
      </w:pPr>
      <w:r w:rsidRPr="00412620">
        <w:rPr>
          <w:rFonts w:cs="Arial"/>
          <w:sz w:val="20"/>
        </w:rPr>
        <w:tab/>
      </w:r>
      <w:r w:rsidRPr="00412620">
        <w:rPr>
          <w:rFonts w:cs="Arial"/>
          <w:sz w:val="20"/>
        </w:rPr>
        <w:tab/>
        <w:t xml:space="preserve">Where – </w:t>
      </w:r>
    </w:p>
    <w:p w:rsidR="00614281" w:rsidRPr="00412620" w:rsidRDefault="00614281" w:rsidP="00614281">
      <w:pPr>
        <w:jc w:val="both"/>
        <w:rPr>
          <w:rFonts w:cs="Arial"/>
          <w:sz w:val="20"/>
        </w:rPr>
      </w:pPr>
    </w:p>
    <w:p w:rsidR="00614281" w:rsidRPr="00412620" w:rsidRDefault="00614281" w:rsidP="00614281">
      <w:pPr>
        <w:jc w:val="both"/>
        <w:rPr>
          <w:rFonts w:cs="Arial"/>
          <w:sz w:val="20"/>
        </w:rPr>
      </w:pPr>
      <w:r w:rsidRPr="00412620">
        <w:rPr>
          <w:rFonts w:cs="Arial"/>
          <w:sz w:val="20"/>
        </w:rPr>
        <w:tab/>
      </w:r>
      <w:r w:rsidRPr="00412620">
        <w:rPr>
          <w:rFonts w:cs="Arial"/>
          <w:sz w:val="20"/>
        </w:rPr>
        <w:tab/>
      </w:r>
      <w:r w:rsidRPr="00412620">
        <w:rPr>
          <w:rFonts w:cs="Arial"/>
          <w:sz w:val="20"/>
        </w:rPr>
        <w:tab/>
        <w:t xml:space="preserve">A </w:t>
      </w:r>
      <w:r w:rsidRPr="00412620">
        <w:rPr>
          <w:rFonts w:cs="Arial"/>
          <w:sz w:val="20"/>
        </w:rPr>
        <w:tab/>
        <w:t>is the taxpayer’s turnover for the quarter;</w:t>
      </w:r>
    </w:p>
    <w:p w:rsidR="00614281" w:rsidRPr="00412620" w:rsidRDefault="00614281" w:rsidP="00614281">
      <w:pPr>
        <w:jc w:val="both"/>
        <w:rPr>
          <w:rFonts w:cs="Arial"/>
          <w:sz w:val="20"/>
        </w:rPr>
      </w:pPr>
    </w:p>
    <w:p w:rsidR="00614281" w:rsidRPr="00966F3F" w:rsidRDefault="00614281" w:rsidP="00614281">
      <w:pPr>
        <w:ind w:left="2188" w:hanging="553"/>
        <w:jc w:val="both"/>
        <w:rPr>
          <w:rFonts w:cs="Arial"/>
          <w:color w:val="0070C0"/>
          <w:sz w:val="20"/>
        </w:rPr>
      </w:pPr>
      <w:r w:rsidRPr="00412620">
        <w:rPr>
          <w:rFonts w:cs="Arial"/>
          <w:sz w:val="20"/>
        </w:rPr>
        <w:t xml:space="preserve">B </w:t>
      </w:r>
      <w:r w:rsidRPr="00412620">
        <w:rPr>
          <w:rFonts w:cs="Arial"/>
          <w:sz w:val="20"/>
        </w:rPr>
        <w:tab/>
        <w:t>is the tax assessed to the taxpayer for the latest tax year</w:t>
      </w:r>
      <w:r w:rsidR="000E510B">
        <w:rPr>
          <w:rFonts w:cs="Arial"/>
          <w:sz w:val="20"/>
        </w:rPr>
        <w:t xml:space="preserve"> </w:t>
      </w:r>
      <w:r w:rsidR="000E510B" w:rsidRPr="00966F3F">
        <w:rPr>
          <w:rStyle w:val="FootnoteReference"/>
          <w:rFonts w:cs="Arial"/>
          <w:color w:val="0070C0"/>
          <w:sz w:val="20"/>
        </w:rPr>
        <w:footnoteReference w:id="888"/>
      </w:r>
      <w:r w:rsidR="000E510B" w:rsidRPr="00966F3F">
        <w:rPr>
          <w:rFonts w:cs="Arial"/>
          <w:color w:val="0070C0"/>
          <w:sz w:val="20"/>
        </w:rPr>
        <w:t>[.]</w:t>
      </w:r>
    </w:p>
    <w:p w:rsidR="00614281" w:rsidRDefault="00614281" w:rsidP="00614281">
      <w:pPr>
        <w:jc w:val="both"/>
        <w:rPr>
          <w:rFonts w:cs="Arial"/>
          <w:sz w:val="20"/>
        </w:rPr>
      </w:pPr>
    </w:p>
    <w:p w:rsidR="000E510B" w:rsidRPr="00966F3F" w:rsidRDefault="001768FA" w:rsidP="007C5127">
      <w:pPr>
        <w:ind w:left="2188" w:firstLine="547"/>
        <w:jc w:val="both"/>
        <w:rPr>
          <w:rFonts w:cs="Arial"/>
          <w:color w:val="0070C0"/>
          <w:sz w:val="20"/>
        </w:rPr>
      </w:pPr>
      <w:r w:rsidRPr="00966F3F">
        <w:rPr>
          <w:rStyle w:val="FootnoteReference"/>
          <w:rFonts w:cs="Arial"/>
          <w:color w:val="0070C0"/>
          <w:sz w:val="20"/>
        </w:rPr>
        <w:footnoteReference w:id="889"/>
      </w:r>
      <w:r w:rsidR="007C5127" w:rsidRPr="00966F3F">
        <w:rPr>
          <w:rFonts w:cs="Arial"/>
          <w:color w:val="0070C0"/>
          <w:sz w:val="20"/>
        </w:rPr>
        <w:t>[“</w:t>
      </w:r>
      <w:r w:rsidR="007C5127" w:rsidRPr="00966F3F">
        <w:rPr>
          <w:rFonts w:cs="Arial"/>
          <w:i/>
          <w:color w:val="0070C0"/>
          <w:sz w:val="20"/>
        </w:rPr>
        <w:t>Explanation</w:t>
      </w:r>
      <w:r w:rsidR="007C5127" w:rsidRPr="00966F3F">
        <w:rPr>
          <w:rFonts w:cs="Arial"/>
          <w:color w:val="0070C0"/>
          <w:sz w:val="20"/>
        </w:rPr>
        <w:t>.- For removal of doubt it is clarified that tax assessed includes  tax under sections 113 and 113C.”]</w:t>
      </w:r>
    </w:p>
    <w:p w:rsidR="000E510B" w:rsidRPr="00412620" w:rsidRDefault="000E510B" w:rsidP="00614281">
      <w:pPr>
        <w:jc w:val="both"/>
        <w:rPr>
          <w:rFonts w:cs="Arial"/>
          <w:sz w:val="20"/>
        </w:rPr>
      </w:pPr>
    </w:p>
    <w:p w:rsidR="00614281" w:rsidRPr="00412620" w:rsidRDefault="00614281" w:rsidP="00614281">
      <w:pPr>
        <w:jc w:val="both"/>
        <w:rPr>
          <w:rFonts w:cs="Arial"/>
          <w:sz w:val="20"/>
        </w:rPr>
      </w:pPr>
      <w:r w:rsidRPr="00412620">
        <w:rPr>
          <w:rFonts w:cs="Arial"/>
          <w:sz w:val="20"/>
        </w:rPr>
        <w:tab/>
      </w:r>
      <w:r w:rsidRPr="00412620">
        <w:rPr>
          <w:rFonts w:cs="Arial"/>
          <w:sz w:val="20"/>
        </w:rPr>
        <w:tab/>
      </w:r>
      <w:r w:rsidRPr="00412620">
        <w:rPr>
          <w:rFonts w:cs="Arial"/>
          <w:sz w:val="20"/>
        </w:rPr>
        <w:tab/>
        <w:t xml:space="preserve">C </w:t>
      </w:r>
      <w:r w:rsidRPr="00412620">
        <w:rPr>
          <w:rFonts w:cs="Arial"/>
          <w:sz w:val="20"/>
        </w:rPr>
        <w:tab/>
        <w:t xml:space="preserve">is the taxpayer’s turnover for the latest tax year; and </w:t>
      </w:r>
    </w:p>
    <w:p w:rsidR="00614281" w:rsidRPr="00412620" w:rsidRDefault="00614281" w:rsidP="00614281">
      <w:pPr>
        <w:jc w:val="both"/>
        <w:rPr>
          <w:rFonts w:cs="Arial"/>
          <w:sz w:val="20"/>
        </w:rPr>
      </w:pPr>
    </w:p>
    <w:p w:rsidR="00614281" w:rsidRDefault="00614281" w:rsidP="00614281">
      <w:pPr>
        <w:ind w:left="2188" w:hanging="553"/>
        <w:jc w:val="both"/>
        <w:rPr>
          <w:rFonts w:cs="Arial"/>
          <w:sz w:val="20"/>
        </w:rPr>
      </w:pPr>
      <w:r w:rsidRPr="00412620">
        <w:rPr>
          <w:rFonts w:cs="Arial"/>
          <w:sz w:val="20"/>
        </w:rPr>
        <w:t xml:space="preserve">D </w:t>
      </w:r>
      <w:r w:rsidRPr="00412620">
        <w:rPr>
          <w:rFonts w:cs="Arial"/>
          <w:sz w:val="20"/>
        </w:rPr>
        <w:tab/>
        <w:t>is the tax paid in the quarter for which a tax credit is allowed under section 168</w:t>
      </w:r>
      <w:r w:rsidR="005066F2" w:rsidRPr="00412620">
        <w:rPr>
          <w:rStyle w:val="FootnoteReference"/>
          <w:rFonts w:cs="Arial"/>
          <w:sz w:val="20"/>
        </w:rPr>
        <w:footnoteReference w:id="890"/>
      </w:r>
      <w:r w:rsidR="005066F2" w:rsidRPr="00412620">
        <w:rPr>
          <w:rFonts w:cs="Arial"/>
          <w:sz w:val="20"/>
        </w:rPr>
        <w:t xml:space="preserve">[  ] </w:t>
      </w:r>
      <w:r w:rsidRPr="00412620">
        <w:rPr>
          <w:rFonts w:cs="Arial"/>
          <w:sz w:val="20"/>
        </w:rPr>
        <w:t>.]</w:t>
      </w:r>
    </w:p>
    <w:p w:rsidR="00C96762" w:rsidRPr="00412620" w:rsidRDefault="00C96762" w:rsidP="00614281">
      <w:pPr>
        <w:ind w:left="2188" w:hanging="553"/>
        <w:jc w:val="both"/>
        <w:rPr>
          <w:rFonts w:cs="Arial"/>
          <w:sz w:val="20"/>
        </w:rPr>
      </w:pPr>
    </w:p>
    <w:p w:rsidR="006A3F93" w:rsidRPr="006420B7" w:rsidRDefault="006A3F93" w:rsidP="00C96762">
      <w:pPr>
        <w:autoSpaceDE w:val="0"/>
        <w:autoSpaceDN w:val="0"/>
        <w:adjustRightInd w:val="0"/>
        <w:jc w:val="both"/>
        <w:rPr>
          <w:rFonts w:cs="Arial"/>
          <w:color w:val="000000" w:themeColor="text1"/>
          <w:sz w:val="20"/>
        </w:rPr>
      </w:pPr>
      <w:r w:rsidRPr="00412620">
        <w:rPr>
          <w:rFonts w:cs="Arial"/>
          <w:sz w:val="20"/>
        </w:rPr>
        <w:lastRenderedPageBreak/>
        <w:tab/>
      </w:r>
      <w:r w:rsidR="00C96762" w:rsidRPr="006420B7">
        <w:rPr>
          <w:rStyle w:val="FootnoteReference"/>
          <w:rFonts w:cs="Arial"/>
          <w:color w:val="000000" w:themeColor="text1"/>
          <w:sz w:val="20"/>
        </w:rPr>
        <w:footnoteReference w:id="891"/>
      </w:r>
      <w:r w:rsidR="00C96762" w:rsidRPr="006420B7">
        <w:rPr>
          <w:rFonts w:cs="Arial"/>
          <w:color w:val="000000" w:themeColor="text1"/>
          <w:sz w:val="20"/>
        </w:rPr>
        <w:t>[“</w:t>
      </w:r>
      <w:r w:rsidR="00C96762" w:rsidRPr="006420B7">
        <w:rPr>
          <w:rFonts w:cs="Arial"/>
          <w:color w:val="000000" w:themeColor="text1"/>
          <w:sz w:val="20"/>
          <w:lang w:val="en-US"/>
        </w:rPr>
        <w:t>(4A) Any taxpayer who is required to make payment of advance tax in accordance with sub-section (4), shall estimate the tax payable for the relevant tax year, at any time before the second installment is due. In case the tax payable is likely to be more than the amount that the taxpayer is required to pay under sub-section (4), the taxpayer shall furnish to the Commissioner on or before the due date of the second quarter an estimate of the amount of tax</w:t>
      </w:r>
      <w:r w:rsidR="001A2A0D" w:rsidRPr="006420B7">
        <w:rPr>
          <w:rFonts w:cs="Arial"/>
          <w:color w:val="000000" w:themeColor="text1"/>
          <w:sz w:val="20"/>
          <w:lang w:val="en-US"/>
        </w:rPr>
        <w:t xml:space="preserve"> </w:t>
      </w:r>
      <w:r w:rsidR="00C96762" w:rsidRPr="006420B7">
        <w:rPr>
          <w:rFonts w:cs="Arial"/>
          <w:color w:val="000000" w:themeColor="text1"/>
          <w:sz w:val="20"/>
          <w:lang w:val="en-US"/>
        </w:rPr>
        <w:t>payable by the taxpayer and thereafter pay fifty per cent of such amount by the due date of the second quarter of the tax year after making adjustment for the amount, if any, already paid in terms of sub-section (4). The remaining fifty per cent of the estimate shall be paid after the second quarter in two equal installments payable by the due date of the third and f</w:t>
      </w:r>
      <w:r w:rsidR="00BE748C" w:rsidRPr="006420B7">
        <w:rPr>
          <w:rFonts w:cs="Arial"/>
          <w:color w:val="000000" w:themeColor="text1"/>
          <w:sz w:val="20"/>
          <w:lang w:val="en-US"/>
        </w:rPr>
        <w:t>ourth quarter of the tax year.”</w:t>
      </w:r>
      <w:r w:rsidR="00C96762" w:rsidRPr="006420B7">
        <w:rPr>
          <w:rFonts w:cs="Arial"/>
          <w:color w:val="000000" w:themeColor="text1"/>
          <w:sz w:val="20"/>
          <w:lang w:val="en-US"/>
        </w:rPr>
        <w:t>]</w:t>
      </w:r>
    </w:p>
    <w:p w:rsidR="006A3F93" w:rsidRPr="00412620" w:rsidRDefault="006A3F93" w:rsidP="00C96762">
      <w:pPr>
        <w:ind w:firstLine="7"/>
        <w:jc w:val="both"/>
        <w:rPr>
          <w:rFonts w:cs="Arial"/>
          <w:b/>
          <w:bCs/>
          <w:sz w:val="20"/>
        </w:rPr>
      </w:pPr>
      <w:r w:rsidRPr="00412620">
        <w:tab/>
      </w:r>
      <w:r w:rsidRPr="00412620">
        <w:rPr>
          <w:rFonts w:cs="Arial"/>
          <w:bCs/>
          <w:sz w:val="20"/>
        </w:rPr>
        <w:tab/>
      </w:r>
    </w:p>
    <w:p w:rsidR="00934D7F" w:rsidRPr="00412620" w:rsidRDefault="001A32CA" w:rsidP="00AE6D5C">
      <w:pPr>
        <w:jc w:val="both"/>
        <w:rPr>
          <w:sz w:val="20"/>
        </w:rPr>
      </w:pPr>
      <w:r w:rsidRPr="00412620">
        <w:rPr>
          <w:sz w:val="20"/>
        </w:rPr>
        <w:tab/>
      </w:r>
      <w:r w:rsidRPr="00412620">
        <w:rPr>
          <w:rStyle w:val="FootnoteReference"/>
          <w:sz w:val="20"/>
        </w:rPr>
        <w:footnoteReference w:id="892"/>
      </w:r>
      <w:r w:rsidRPr="00412620">
        <w:rPr>
          <w:sz w:val="20"/>
        </w:rPr>
        <w:t xml:space="preserve">[(4AA) Tax liability under </w:t>
      </w:r>
      <w:r w:rsidR="001768FA" w:rsidRPr="00966F3F">
        <w:rPr>
          <w:rStyle w:val="FootnoteReference"/>
          <w:color w:val="0070C0"/>
          <w:sz w:val="20"/>
        </w:rPr>
        <w:footnoteReference w:id="893"/>
      </w:r>
      <w:r w:rsidR="001768FA" w:rsidRPr="00966F3F">
        <w:rPr>
          <w:color w:val="0070C0"/>
          <w:sz w:val="20"/>
        </w:rPr>
        <w:t>[</w:t>
      </w:r>
      <w:r w:rsidRPr="00966F3F">
        <w:rPr>
          <w:color w:val="0070C0"/>
          <w:sz w:val="20"/>
        </w:rPr>
        <w:t>section</w:t>
      </w:r>
      <w:r w:rsidR="001768FA" w:rsidRPr="00966F3F">
        <w:rPr>
          <w:color w:val="0070C0"/>
          <w:sz w:val="20"/>
        </w:rPr>
        <w:t>s</w:t>
      </w:r>
      <w:r w:rsidRPr="00966F3F">
        <w:rPr>
          <w:color w:val="0070C0"/>
          <w:sz w:val="20"/>
        </w:rPr>
        <w:t xml:space="preserve"> 113</w:t>
      </w:r>
      <w:r w:rsidR="001768FA" w:rsidRPr="00966F3F">
        <w:rPr>
          <w:color w:val="0070C0"/>
          <w:sz w:val="20"/>
        </w:rPr>
        <w:t xml:space="preserve"> and 113C]</w:t>
      </w:r>
      <w:r w:rsidRPr="00412620">
        <w:rPr>
          <w:sz w:val="20"/>
        </w:rPr>
        <w:t xml:space="preserve"> shall also be taken into account while working out payment of advance tax liability under this section.]</w:t>
      </w:r>
    </w:p>
    <w:p w:rsidR="001A32CA" w:rsidRPr="00412620" w:rsidRDefault="001A32CA" w:rsidP="00934D7F">
      <w:pPr>
        <w:rPr>
          <w:sz w:val="20"/>
        </w:rPr>
      </w:pPr>
    </w:p>
    <w:p w:rsidR="006A3F93" w:rsidRPr="00412620" w:rsidRDefault="002160B5">
      <w:pPr>
        <w:jc w:val="both"/>
        <w:rPr>
          <w:rFonts w:cs="Arial"/>
          <w:sz w:val="20"/>
        </w:rPr>
      </w:pPr>
      <w:r w:rsidRPr="00412620">
        <w:tab/>
      </w:r>
      <w:r w:rsidR="006A3F93" w:rsidRPr="00412620">
        <w:rPr>
          <w:rStyle w:val="FootnoteReference"/>
          <w:rFonts w:cs="Arial"/>
          <w:sz w:val="20"/>
        </w:rPr>
        <w:footnoteReference w:id="894"/>
      </w:r>
      <w:r w:rsidR="006A3F93" w:rsidRPr="00412620">
        <w:rPr>
          <w:rFonts w:cs="Arial"/>
          <w:sz w:val="20"/>
        </w:rPr>
        <w:t>[(</w:t>
      </w:r>
      <w:r w:rsidR="00CE3CE1" w:rsidRPr="00412620">
        <w:rPr>
          <w:rStyle w:val="FootnoteReference"/>
          <w:rFonts w:cs="Arial"/>
          <w:sz w:val="20"/>
        </w:rPr>
        <w:footnoteReference w:id="895"/>
      </w:r>
      <w:r w:rsidR="00CE3CE1" w:rsidRPr="00412620">
        <w:rPr>
          <w:rFonts w:cs="Arial"/>
          <w:sz w:val="20"/>
        </w:rPr>
        <w:t>[4B]</w:t>
      </w:r>
      <w:r w:rsidR="006A3F93" w:rsidRPr="00412620">
        <w:rPr>
          <w:rFonts w:cs="Arial"/>
          <w:sz w:val="20"/>
        </w:rPr>
        <w:t xml:space="preserve">) Where the taxpayer is an individual </w:t>
      </w:r>
      <w:r w:rsidR="00C925D7" w:rsidRPr="00412620">
        <w:rPr>
          <w:rStyle w:val="FootnoteReference"/>
          <w:rFonts w:cs="Arial"/>
          <w:sz w:val="20"/>
        </w:rPr>
        <w:footnoteReference w:id="896"/>
      </w:r>
      <w:r w:rsidR="00C925D7" w:rsidRPr="00412620">
        <w:rPr>
          <w:rFonts w:cs="Arial"/>
          <w:sz w:val="20"/>
        </w:rPr>
        <w:t xml:space="preserve">[  ] </w:t>
      </w:r>
      <w:r w:rsidR="006A3F93" w:rsidRPr="00412620">
        <w:rPr>
          <w:rFonts w:cs="Arial"/>
          <w:sz w:val="20"/>
        </w:rPr>
        <w:t xml:space="preserve">having latest assessed income of </w:t>
      </w:r>
      <w:r w:rsidR="00D05511" w:rsidRPr="00412620">
        <w:rPr>
          <w:rStyle w:val="FootnoteReference"/>
          <w:rFonts w:cs="Arial"/>
          <w:sz w:val="20"/>
        </w:rPr>
        <w:footnoteReference w:id="897"/>
      </w:r>
      <w:r w:rsidR="00D05511" w:rsidRPr="00412620">
        <w:rPr>
          <w:rFonts w:cs="Arial"/>
          <w:sz w:val="20"/>
        </w:rPr>
        <w:t xml:space="preserve">[five] </w:t>
      </w:r>
      <w:r w:rsidR="006A3F93" w:rsidRPr="00412620">
        <w:rPr>
          <w:rFonts w:cs="Arial"/>
          <w:sz w:val="20"/>
        </w:rPr>
        <w:t>hundred thousand rupees or more as determined under sub-section (2), the amount of advance tax due for a quarter shall be computed according to the following formula, namely: -</w:t>
      </w:r>
    </w:p>
    <w:p w:rsidR="006A3F93" w:rsidRPr="00412620" w:rsidRDefault="006A3F93">
      <w:pPr>
        <w:rPr>
          <w:rFonts w:cs="Arial"/>
          <w:sz w:val="20"/>
        </w:rPr>
      </w:pPr>
    </w:p>
    <w:p w:rsidR="006A3F93" w:rsidRPr="00412620" w:rsidRDefault="006A3F93">
      <w:pPr>
        <w:keepNext/>
        <w:jc w:val="center"/>
        <w:rPr>
          <w:rFonts w:cs="Arial"/>
          <w:sz w:val="20"/>
        </w:rPr>
      </w:pPr>
      <w:r w:rsidRPr="00412620">
        <w:rPr>
          <w:rFonts w:cs="Arial"/>
          <w:sz w:val="20"/>
        </w:rPr>
        <w:t>“(A/4) - B</w:t>
      </w:r>
    </w:p>
    <w:p w:rsidR="006A3F93" w:rsidRPr="00412620" w:rsidRDefault="006A3F93">
      <w:pPr>
        <w:rPr>
          <w:rFonts w:cs="Arial"/>
          <w:sz w:val="20"/>
        </w:rPr>
      </w:pPr>
      <w:r w:rsidRPr="00412620">
        <w:rPr>
          <w:rFonts w:cs="Arial"/>
          <w:sz w:val="20"/>
        </w:rPr>
        <w:t>Where –</w:t>
      </w:r>
    </w:p>
    <w:p w:rsidR="006A3F93" w:rsidRPr="004E3ABA" w:rsidRDefault="006A3F93">
      <w:pPr>
        <w:rPr>
          <w:rFonts w:cs="Arial"/>
          <w:sz w:val="12"/>
        </w:rPr>
      </w:pPr>
    </w:p>
    <w:p w:rsidR="006A3F93" w:rsidRPr="00412620" w:rsidRDefault="006A3F93">
      <w:pPr>
        <w:ind w:left="547" w:hanging="547"/>
        <w:jc w:val="both"/>
        <w:rPr>
          <w:sz w:val="20"/>
        </w:rPr>
      </w:pPr>
      <w:r w:rsidRPr="00412620">
        <w:rPr>
          <w:rFonts w:cs="Arial"/>
          <w:b/>
          <w:bCs/>
          <w:sz w:val="20"/>
        </w:rPr>
        <w:t>A</w:t>
      </w:r>
      <w:r w:rsidRPr="00412620">
        <w:rPr>
          <w:sz w:val="20"/>
        </w:rPr>
        <w:tab/>
        <w:t>is the tax assessed to the taxpayer for the latest tax year or latest assessment year under the repealed Ordinance; and</w:t>
      </w:r>
    </w:p>
    <w:p w:rsidR="006A3F93" w:rsidRPr="004E3ABA" w:rsidRDefault="006A3F93">
      <w:pPr>
        <w:jc w:val="both"/>
        <w:rPr>
          <w:rFonts w:cs="Arial"/>
          <w:sz w:val="12"/>
        </w:rPr>
      </w:pPr>
    </w:p>
    <w:p w:rsidR="006A3F93" w:rsidRPr="00412620" w:rsidRDefault="006A3F93">
      <w:pPr>
        <w:ind w:left="547" w:hanging="547"/>
        <w:jc w:val="both"/>
        <w:rPr>
          <w:sz w:val="20"/>
        </w:rPr>
      </w:pPr>
      <w:r w:rsidRPr="00412620">
        <w:rPr>
          <w:rFonts w:cs="Arial"/>
          <w:b/>
          <w:bCs/>
          <w:sz w:val="20"/>
        </w:rPr>
        <w:t>B</w:t>
      </w:r>
      <w:r w:rsidRPr="00412620">
        <w:rPr>
          <w:sz w:val="20"/>
        </w:rPr>
        <w:tab/>
        <w:t xml:space="preserve">is the tax paid in the quarter for which a tax credit is allowed under section 168, other than tax deducted under section 149 </w:t>
      </w:r>
      <w:r w:rsidR="00FE31CE" w:rsidRPr="00412620">
        <w:rPr>
          <w:rStyle w:val="FootnoteReference"/>
          <w:sz w:val="20"/>
        </w:rPr>
        <w:footnoteReference w:id="898"/>
      </w:r>
      <w:r w:rsidR="00FE31CE" w:rsidRPr="00412620">
        <w:rPr>
          <w:sz w:val="20"/>
        </w:rPr>
        <w:t>[  ]</w:t>
      </w:r>
      <w:r w:rsidRPr="00412620">
        <w:rPr>
          <w:sz w:val="20"/>
        </w:rPr>
        <w:t>.]</w:t>
      </w:r>
    </w:p>
    <w:p w:rsidR="006A3F93" w:rsidRPr="004E3ABA" w:rsidRDefault="006A3F93">
      <w:pPr>
        <w:rPr>
          <w:rFonts w:cs="Arial"/>
          <w:sz w:val="12"/>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Advance tax is payable by </w:t>
      </w:r>
      <w:r w:rsidR="006137C1" w:rsidRPr="00412620">
        <w:rPr>
          <w:rStyle w:val="FootnoteReference"/>
          <w:rFonts w:cs="Arial"/>
          <w:sz w:val="20"/>
        </w:rPr>
        <w:footnoteReference w:id="899"/>
      </w:r>
      <w:r w:rsidR="006137C1" w:rsidRPr="00412620">
        <w:rPr>
          <w:rFonts w:cs="Arial"/>
          <w:sz w:val="20"/>
        </w:rPr>
        <w:t xml:space="preserve">[an individual </w:t>
      </w:r>
      <w:r w:rsidR="006205F7" w:rsidRPr="00412620">
        <w:rPr>
          <w:rStyle w:val="FootnoteReference"/>
          <w:rFonts w:cs="Arial"/>
          <w:sz w:val="20"/>
        </w:rPr>
        <w:footnoteReference w:id="900"/>
      </w:r>
      <w:r w:rsidR="006205F7" w:rsidRPr="00412620">
        <w:rPr>
          <w:rFonts w:cs="Arial"/>
          <w:sz w:val="20"/>
        </w:rPr>
        <w:t>[</w:t>
      </w:r>
      <w:r w:rsidR="006420B7">
        <w:rPr>
          <w:rFonts w:cs="Arial"/>
          <w:sz w:val="20"/>
        </w:rPr>
        <w:t xml:space="preserve"> </w:t>
      </w:r>
      <w:r w:rsidR="006205F7" w:rsidRPr="00412620">
        <w:rPr>
          <w:rFonts w:cs="Arial"/>
          <w:sz w:val="20"/>
        </w:rPr>
        <w:t>]</w:t>
      </w:r>
      <w:r w:rsidR="006420B7">
        <w:rPr>
          <w:rFonts w:cs="Arial"/>
          <w:sz w:val="20"/>
        </w:rPr>
        <w:t xml:space="preserve"> </w:t>
      </w:r>
      <w:r w:rsidR="006137C1" w:rsidRPr="00412620">
        <w:rPr>
          <w:rFonts w:cs="Arial"/>
          <w:sz w:val="20"/>
        </w:rPr>
        <w:t xml:space="preserve">] </w:t>
      </w:r>
      <w:r w:rsidRPr="00412620">
        <w:rPr>
          <w:rFonts w:cs="Arial"/>
          <w:sz w:val="20"/>
        </w:rPr>
        <w:t>to the Commissioner</w:t>
      </w:r>
      <w:r w:rsidR="007E7507"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lastRenderedPageBreak/>
        <w:t>(a)</w:t>
      </w:r>
      <w:r w:rsidRPr="00412620">
        <w:rPr>
          <w:rFonts w:cs="Arial"/>
          <w:sz w:val="20"/>
        </w:rPr>
        <w:tab/>
        <w:t xml:space="preserve">in respect of the September quarter, on or </w:t>
      </w:r>
      <w:r w:rsidRPr="00412620">
        <w:rPr>
          <w:rStyle w:val="FootnoteReference"/>
          <w:rFonts w:cs="Arial"/>
          <w:sz w:val="20"/>
        </w:rPr>
        <w:footnoteReference w:id="901"/>
      </w:r>
      <w:r w:rsidRPr="00412620">
        <w:rPr>
          <w:rFonts w:cs="Arial"/>
          <w:sz w:val="20"/>
        </w:rPr>
        <w:t xml:space="preserve">[before] the </w:t>
      </w:r>
      <w:r w:rsidRPr="00412620">
        <w:rPr>
          <w:rStyle w:val="FootnoteReference"/>
          <w:rFonts w:cs="Arial"/>
          <w:sz w:val="20"/>
        </w:rPr>
        <w:footnoteReference w:id="902"/>
      </w:r>
      <w:r w:rsidRPr="00412620">
        <w:rPr>
          <w:rFonts w:cs="Arial"/>
          <w:sz w:val="20"/>
        </w:rPr>
        <w:t>[15th day of September];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in respect of the December quarter, on or before the </w:t>
      </w:r>
      <w:r w:rsidRPr="00412620">
        <w:rPr>
          <w:rStyle w:val="FootnoteReference"/>
          <w:rFonts w:cs="Arial"/>
          <w:sz w:val="20"/>
        </w:rPr>
        <w:footnoteReference w:id="903"/>
      </w:r>
      <w:r w:rsidRPr="00412620">
        <w:rPr>
          <w:rFonts w:cs="Arial"/>
          <w:sz w:val="20"/>
        </w:rPr>
        <w:t>[15th day of December];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in respect of the March quarter, on or before the </w:t>
      </w:r>
      <w:r w:rsidRPr="00412620">
        <w:rPr>
          <w:rStyle w:val="FootnoteReference"/>
          <w:rFonts w:cs="Arial"/>
          <w:sz w:val="20"/>
        </w:rPr>
        <w:footnoteReference w:id="904"/>
      </w:r>
      <w:r w:rsidRPr="00412620">
        <w:rPr>
          <w:rFonts w:cs="Arial"/>
          <w:sz w:val="20"/>
        </w:rPr>
        <w:t>[15th day of March]; and</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 xml:space="preserve">in respect of the June quarter, on or before the </w:t>
      </w:r>
      <w:r w:rsidRPr="00412620">
        <w:rPr>
          <w:rStyle w:val="FootnoteReference"/>
          <w:rFonts w:cs="Arial"/>
          <w:sz w:val="20"/>
        </w:rPr>
        <w:footnoteReference w:id="905"/>
      </w:r>
      <w:r w:rsidRPr="00412620">
        <w:rPr>
          <w:rFonts w:cs="Arial"/>
          <w:sz w:val="20"/>
        </w:rPr>
        <w:t>[15th day of June].</w:t>
      </w:r>
    </w:p>
    <w:p w:rsidR="006A3F93" w:rsidRPr="00412620" w:rsidRDefault="006A3F93">
      <w:pPr>
        <w:jc w:val="both"/>
        <w:rPr>
          <w:rFonts w:cs="Arial"/>
          <w:sz w:val="20"/>
        </w:rPr>
      </w:pPr>
    </w:p>
    <w:p w:rsidR="001171D0" w:rsidRPr="00412620" w:rsidRDefault="001171D0">
      <w:pPr>
        <w:jc w:val="both"/>
        <w:rPr>
          <w:rFonts w:cs="Arial"/>
          <w:sz w:val="20"/>
        </w:rPr>
      </w:pPr>
      <w:r w:rsidRPr="00412620">
        <w:rPr>
          <w:rFonts w:cs="Arial"/>
          <w:sz w:val="20"/>
        </w:rPr>
        <w:tab/>
      </w:r>
      <w:r w:rsidR="007C0307" w:rsidRPr="00412620">
        <w:rPr>
          <w:rStyle w:val="FootnoteReference"/>
          <w:rFonts w:cs="Arial"/>
          <w:sz w:val="20"/>
        </w:rPr>
        <w:footnoteReference w:id="906"/>
      </w:r>
      <w:r w:rsidRPr="00412620">
        <w:rPr>
          <w:rFonts w:cs="Arial"/>
          <w:sz w:val="20"/>
        </w:rPr>
        <w:t>[(5A) Advance tax shall be payable by an association of persons or a company to the Commissioner —</w:t>
      </w:r>
    </w:p>
    <w:p w:rsidR="001171D0" w:rsidRPr="00412620" w:rsidRDefault="001171D0">
      <w:pPr>
        <w:jc w:val="both"/>
        <w:rPr>
          <w:rFonts w:cs="Arial"/>
          <w:sz w:val="20"/>
        </w:rPr>
      </w:pPr>
    </w:p>
    <w:p w:rsidR="001171D0" w:rsidRPr="00412620" w:rsidRDefault="001171D0" w:rsidP="001171D0">
      <w:pPr>
        <w:ind w:left="1641" w:hanging="546"/>
        <w:jc w:val="both"/>
        <w:rPr>
          <w:rFonts w:cs="Arial"/>
          <w:sz w:val="20"/>
        </w:rPr>
      </w:pPr>
      <w:r w:rsidRPr="00412620">
        <w:rPr>
          <w:rFonts w:cs="Arial"/>
          <w:sz w:val="20"/>
        </w:rPr>
        <w:t xml:space="preserve">(a) </w:t>
      </w:r>
      <w:r w:rsidRPr="00412620">
        <w:rPr>
          <w:rFonts w:cs="Arial"/>
          <w:sz w:val="20"/>
        </w:rPr>
        <w:tab/>
        <w:t>in respect of the September quarter, on or before the 25</w:t>
      </w:r>
      <w:r w:rsidRPr="00412620">
        <w:rPr>
          <w:rFonts w:cs="Arial"/>
          <w:sz w:val="20"/>
          <w:vertAlign w:val="superscript"/>
        </w:rPr>
        <w:t>th</w:t>
      </w:r>
      <w:r w:rsidRPr="00412620">
        <w:rPr>
          <w:rFonts w:cs="Arial"/>
          <w:sz w:val="20"/>
        </w:rPr>
        <w:t xml:space="preserve"> day of September;</w:t>
      </w:r>
    </w:p>
    <w:p w:rsidR="001171D0" w:rsidRPr="00412620" w:rsidRDefault="001171D0">
      <w:pPr>
        <w:jc w:val="both"/>
        <w:rPr>
          <w:rFonts w:cs="Arial"/>
          <w:sz w:val="20"/>
        </w:rPr>
      </w:pPr>
    </w:p>
    <w:p w:rsidR="001171D0" w:rsidRPr="00412620" w:rsidRDefault="001171D0" w:rsidP="001171D0">
      <w:pPr>
        <w:ind w:left="1641" w:hanging="546"/>
        <w:jc w:val="both"/>
        <w:rPr>
          <w:rFonts w:cs="Arial"/>
          <w:sz w:val="20"/>
        </w:rPr>
      </w:pPr>
      <w:r w:rsidRPr="00412620">
        <w:rPr>
          <w:rFonts w:cs="Arial"/>
          <w:sz w:val="20"/>
        </w:rPr>
        <w:t>(b)</w:t>
      </w:r>
      <w:r w:rsidRPr="00412620">
        <w:rPr>
          <w:rFonts w:cs="Arial"/>
          <w:sz w:val="20"/>
        </w:rPr>
        <w:tab/>
        <w:t>in respect of the December quarter, on or before the 25</w:t>
      </w:r>
      <w:r w:rsidRPr="00412620">
        <w:rPr>
          <w:rFonts w:cs="Arial"/>
          <w:sz w:val="20"/>
          <w:vertAlign w:val="superscript"/>
        </w:rPr>
        <w:t>th</w:t>
      </w:r>
      <w:r w:rsidRPr="00412620">
        <w:rPr>
          <w:rFonts w:cs="Arial"/>
          <w:sz w:val="20"/>
        </w:rPr>
        <w:t xml:space="preserve"> day of December;</w:t>
      </w:r>
    </w:p>
    <w:p w:rsidR="001171D0" w:rsidRPr="00412620" w:rsidRDefault="001171D0">
      <w:pPr>
        <w:jc w:val="both"/>
        <w:rPr>
          <w:rFonts w:cs="Arial"/>
          <w:sz w:val="20"/>
        </w:rPr>
      </w:pPr>
    </w:p>
    <w:p w:rsidR="001171D0" w:rsidRPr="00412620" w:rsidRDefault="001171D0" w:rsidP="001171D0">
      <w:pPr>
        <w:ind w:left="1641" w:hanging="546"/>
        <w:jc w:val="both"/>
        <w:rPr>
          <w:rFonts w:cs="Arial"/>
          <w:sz w:val="20"/>
        </w:rPr>
      </w:pPr>
      <w:r w:rsidRPr="00412620">
        <w:rPr>
          <w:rFonts w:cs="Arial"/>
          <w:sz w:val="20"/>
        </w:rPr>
        <w:t xml:space="preserve">(c) </w:t>
      </w:r>
      <w:r w:rsidRPr="00412620">
        <w:rPr>
          <w:rFonts w:cs="Arial"/>
          <w:sz w:val="20"/>
        </w:rPr>
        <w:tab/>
        <w:t>in respect of the March quarter, on or before the 25</w:t>
      </w:r>
      <w:r w:rsidRPr="00412620">
        <w:rPr>
          <w:rFonts w:cs="Arial"/>
          <w:sz w:val="20"/>
          <w:vertAlign w:val="superscript"/>
        </w:rPr>
        <w:t>th</w:t>
      </w:r>
      <w:r w:rsidRPr="00412620">
        <w:rPr>
          <w:rFonts w:cs="Arial"/>
          <w:sz w:val="20"/>
        </w:rPr>
        <w:t xml:space="preserve"> day of March; and </w:t>
      </w:r>
    </w:p>
    <w:p w:rsidR="001171D0" w:rsidRPr="00412620" w:rsidRDefault="001171D0">
      <w:pPr>
        <w:jc w:val="both"/>
        <w:rPr>
          <w:rFonts w:cs="Arial"/>
          <w:sz w:val="20"/>
        </w:rPr>
      </w:pPr>
    </w:p>
    <w:p w:rsidR="001171D0" w:rsidRPr="00412620" w:rsidRDefault="001171D0" w:rsidP="001171D0">
      <w:pPr>
        <w:ind w:left="1641" w:hanging="546"/>
        <w:jc w:val="both"/>
        <w:rPr>
          <w:rFonts w:cs="Arial"/>
          <w:sz w:val="20"/>
        </w:rPr>
      </w:pPr>
      <w:r w:rsidRPr="00412620">
        <w:rPr>
          <w:rFonts w:cs="Arial"/>
          <w:sz w:val="20"/>
        </w:rPr>
        <w:t xml:space="preserve">(d) </w:t>
      </w:r>
      <w:r w:rsidRPr="00412620">
        <w:rPr>
          <w:rFonts w:cs="Arial"/>
          <w:sz w:val="20"/>
        </w:rPr>
        <w:tab/>
        <w:t>in respect of the June quarter, on or before the 15</w:t>
      </w:r>
      <w:r w:rsidRPr="00412620">
        <w:rPr>
          <w:rFonts w:cs="Arial"/>
          <w:sz w:val="20"/>
          <w:vertAlign w:val="superscript"/>
        </w:rPr>
        <w:t>th</w:t>
      </w:r>
      <w:r w:rsidRPr="00412620">
        <w:rPr>
          <w:rFonts w:cs="Arial"/>
          <w:sz w:val="20"/>
        </w:rPr>
        <w:t xml:space="preserve"> day of June.]</w:t>
      </w:r>
    </w:p>
    <w:p w:rsidR="00F904CF" w:rsidRPr="00412620" w:rsidRDefault="00F904CF" w:rsidP="00F904CF">
      <w:pPr>
        <w:jc w:val="both"/>
        <w:rPr>
          <w:rFonts w:cs="Arial"/>
          <w:sz w:val="20"/>
        </w:rPr>
      </w:pPr>
    </w:p>
    <w:p w:rsidR="00520F7F" w:rsidRPr="00412620" w:rsidRDefault="00F904CF" w:rsidP="00F904CF">
      <w:pPr>
        <w:jc w:val="both"/>
        <w:rPr>
          <w:rFonts w:cs="Arial"/>
          <w:sz w:val="20"/>
        </w:rPr>
      </w:pPr>
      <w:r w:rsidRPr="00412620">
        <w:rPr>
          <w:rFonts w:cs="Arial"/>
          <w:sz w:val="20"/>
        </w:rPr>
        <w:tab/>
      </w:r>
      <w:r w:rsidR="00E007B5" w:rsidRPr="00412620">
        <w:rPr>
          <w:rStyle w:val="FootnoteReference"/>
          <w:rFonts w:cs="Arial"/>
          <w:sz w:val="20"/>
        </w:rPr>
        <w:footnoteReference w:id="907"/>
      </w:r>
      <w:r w:rsidRPr="00412620">
        <w:rPr>
          <w:rFonts w:cs="Arial"/>
          <w:sz w:val="20"/>
        </w:rPr>
        <w:t>[(5B)</w:t>
      </w:r>
      <w:r w:rsidR="00520F7F" w:rsidRPr="00412620">
        <w:rPr>
          <w:rFonts w:cs="Arial"/>
          <w:sz w:val="20"/>
        </w:rPr>
        <w:tab/>
      </w:r>
      <w:r w:rsidRPr="00412620">
        <w:rPr>
          <w:rFonts w:cs="Arial"/>
          <w:sz w:val="20"/>
        </w:rPr>
        <w:t>Adjustable advance tax on capital gain from sale of securities shall be chargeable as under, namely:—</w:t>
      </w:r>
    </w:p>
    <w:p w:rsidR="00F904CF" w:rsidRPr="00412620" w:rsidRDefault="00F904CF" w:rsidP="00F904CF">
      <w:pPr>
        <w:jc w:val="both"/>
        <w:rPr>
          <w:rFonts w:cs="Arial"/>
          <w:sz w:val="14"/>
        </w:rPr>
      </w:pPr>
    </w:p>
    <w:p w:rsidR="00074E9B" w:rsidRPr="00412620" w:rsidRDefault="00074E9B" w:rsidP="00F904CF">
      <w:pPr>
        <w:jc w:val="both"/>
        <w:rPr>
          <w:rFonts w:cs="Arial"/>
          <w:sz w:val="14"/>
        </w:rPr>
      </w:pPr>
    </w:p>
    <w:p w:rsidR="00F904CF" w:rsidRPr="00412620" w:rsidRDefault="00F904CF" w:rsidP="00F904CF">
      <w:pPr>
        <w:jc w:val="center"/>
        <w:rPr>
          <w:rFonts w:cs="Arial"/>
          <w:sz w:val="20"/>
        </w:rPr>
      </w:pPr>
      <w:r w:rsidRPr="00412620">
        <w:rPr>
          <w:rFonts w:cs="Arial"/>
          <w:sz w:val="20"/>
        </w:rPr>
        <w:t>TABLE</w:t>
      </w:r>
    </w:p>
    <w:p w:rsidR="00F904CF" w:rsidRPr="00412620" w:rsidRDefault="00F904CF" w:rsidP="00F904CF">
      <w:pPr>
        <w:jc w:val="both"/>
        <w:rPr>
          <w:rFonts w:cs="Arial"/>
          <w:sz w:val="20"/>
        </w:rPr>
      </w:pPr>
      <w:r w:rsidRPr="00412620">
        <w:rPr>
          <w:rFonts w:cs="Arial"/>
          <w:sz w:val="20"/>
        </w:rPr>
        <w:t>________________________________________________________________</w:t>
      </w:r>
    </w:p>
    <w:p w:rsidR="00F904CF" w:rsidRPr="00412620" w:rsidRDefault="00F904CF" w:rsidP="00F904CF">
      <w:pPr>
        <w:jc w:val="both"/>
        <w:rPr>
          <w:rFonts w:cs="Arial"/>
          <w:sz w:val="20"/>
        </w:rPr>
      </w:pPr>
      <w:r w:rsidRPr="00412620">
        <w:rPr>
          <w:rFonts w:cs="Arial"/>
          <w:sz w:val="20"/>
        </w:rPr>
        <w:t>S.No.                      Period                             Rate of Advance Tax</w:t>
      </w:r>
    </w:p>
    <w:p w:rsidR="00F904CF" w:rsidRPr="00412620" w:rsidRDefault="00F904CF" w:rsidP="00F904CF">
      <w:pPr>
        <w:jc w:val="both"/>
        <w:rPr>
          <w:rFonts w:cs="Arial"/>
          <w:sz w:val="20"/>
        </w:rPr>
      </w:pPr>
      <w:r w:rsidRPr="00412620">
        <w:rPr>
          <w:rFonts w:cs="Arial"/>
          <w:sz w:val="20"/>
        </w:rPr>
        <w:lastRenderedPageBreak/>
        <w:t>-----------------------------------------------------------------------------------------------------------</w:t>
      </w:r>
    </w:p>
    <w:p w:rsidR="00F904CF" w:rsidRPr="00412620" w:rsidRDefault="00F904CF" w:rsidP="00F904CF">
      <w:pPr>
        <w:jc w:val="both"/>
        <w:rPr>
          <w:rFonts w:cs="Arial"/>
          <w:sz w:val="20"/>
        </w:rPr>
      </w:pPr>
      <w:r w:rsidRPr="00412620">
        <w:rPr>
          <w:rFonts w:cs="Arial"/>
          <w:sz w:val="20"/>
        </w:rPr>
        <w:t xml:space="preserve">            1                               2                                                 3</w:t>
      </w:r>
    </w:p>
    <w:p w:rsidR="00F904CF" w:rsidRPr="00412620" w:rsidRDefault="00F904CF" w:rsidP="00F904CF">
      <w:pPr>
        <w:jc w:val="both"/>
        <w:rPr>
          <w:rFonts w:cs="Arial"/>
          <w:sz w:val="20"/>
        </w:rPr>
      </w:pPr>
      <w:r w:rsidRPr="00412620">
        <w:rPr>
          <w:rFonts w:cs="Arial"/>
          <w:sz w:val="20"/>
        </w:rPr>
        <w:t>-----------------------------------------------------------------------------------------------------------</w:t>
      </w:r>
    </w:p>
    <w:tbl>
      <w:tblPr>
        <w:tblW w:w="6570" w:type="dxa"/>
        <w:tblInd w:w="468" w:type="dxa"/>
        <w:tblLook w:val="01E0"/>
      </w:tblPr>
      <w:tblGrid>
        <w:gridCol w:w="720"/>
        <w:gridCol w:w="3060"/>
        <w:gridCol w:w="2790"/>
      </w:tblGrid>
      <w:tr w:rsidR="00F904CF" w:rsidRPr="00412620" w:rsidTr="00321D5C">
        <w:tc>
          <w:tcPr>
            <w:tcW w:w="720" w:type="dxa"/>
          </w:tcPr>
          <w:p w:rsidR="00F904CF" w:rsidRPr="00412620" w:rsidRDefault="00F904CF" w:rsidP="00321D5C">
            <w:pPr>
              <w:jc w:val="center"/>
              <w:rPr>
                <w:rFonts w:cs="Arial"/>
                <w:sz w:val="20"/>
              </w:rPr>
            </w:pPr>
            <w:r w:rsidRPr="00412620">
              <w:rPr>
                <w:rFonts w:cs="Arial"/>
                <w:sz w:val="20"/>
              </w:rPr>
              <w:t>1.</w:t>
            </w:r>
          </w:p>
        </w:tc>
        <w:tc>
          <w:tcPr>
            <w:tcW w:w="3060" w:type="dxa"/>
          </w:tcPr>
          <w:p w:rsidR="00F904CF" w:rsidRPr="00412620" w:rsidRDefault="00F904CF" w:rsidP="00321D5C">
            <w:pPr>
              <w:jc w:val="both"/>
              <w:rPr>
                <w:rFonts w:cs="Arial"/>
                <w:sz w:val="20"/>
              </w:rPr>
            </w:pPr>
            <w:r w:rsidRPr="00412620">
              <w:rPr>
                <w:rFonts w:cs="Arial"/>
                <w:sz w:val="20"/>
              </w:rPr>
              <w:t>Where holding period of a security is less than six months.</w:t>
            </w:r>
          </w:p>
          <w:p w:rsidR="00F904CF" w:rsidRPr="00412620" w:rsidRDefault="00F904CF" w:rsidP="00321D5C">
            <w:pPr>
              <w:jc w:val="both"/>
              <w:rPr>
                <w:rFonts w:cs="Arial"/>
                <w:sz w:val="20"/>
              </w:rPr>
            </w:pPr>
          </w:p>
        </w:tc>
        <w:tc>
          <w:tcPr>
            <w:tcW w:w="2790" w:type="dxa"/>
          </w:tcPr>
          <w:p w:rsidR="00F904CF" w:rsidRPr="00412620" w:rsidRDefault="00F904CF" w:rsidP="00321D5C">
            <w:pPr>
              <w:jc w:val="both"/>
              <w:rPr>
                <w:rFonts w:cs="Arial"/>
                <w:sz w:val="20"/>
              </w:rPr>
            </w:pPr>
            <w:r w:rsidRPr="00412620">
              <w:rPr>
                <w:rFonts w:cs="Arial"/>
                <w:sz w:val="20"/>
              </w:rPr>
              <w:t>2% of the capital gains derived during the quarter.</w:t>
            </w:r>
          </w:p>
        </w:tc>
      </w:tr>
      <w:tr w:rsidR="00F904CF" w:rsidRPr="00412620" w:rsidTr="00321D5C">
        <w:tc>
          <w:tcPr>
            <w:tcW w:w="720" w:type="dxa"/>
          </w:tcPr>
          <w:p w:rsidR="00F904CF" w:rsidRPr="00412620" w:rsidRDefault="00F904CF" w:rsidP="00321D5C">
            <w:pPr>
              <w:jc w:val="center"/>
              <w:rPr>
                <w:rFonts w:cs="Arial"/>
                <w:sz w:val="20"/>
              </w:rPr>
            </w:pPr>
            <w:r w:rsidRPr="00412620">
              <w:rPr>
                <w:rFonts w:cs="Arial"/>
                <w:sz w:val="20"/>
              </w:rPr>
              <w:t>2.</w:t>
            </w:r>
          </w:p>
        </w:tc>
        <w:tc>
          <w:tcPr>
            <w:tcW w:w="3060" w:type="dxa"/>
          </w:tcPr>
          <w:p w:rsidR="00F904CF" w:rsidRPr="00412620" w:rsidRDefault="00F904CF" w:rsidP="00321D5C">
            <w:pPr>
              <w:jc w:val="both"/>
              <w:rPr>
                <w:rFonts w:cs="Arial"/>
                <w:sz w:val="20"/>
              </w:rPr>
            </w:pPr>
            <w:r w:rsidRPr="00412620">
              <w:rPr>
                <w:rFonts w:cs="Arial"/>
                <w:sz w:val="20"/>
              </w:rPr>
              <w:t>Where holding period of a security is more than six months but less than twelve months.</w:t>
            </w:r>
          </w:p>
          <w:p w:rsidR="00F904CF" w:rsidRPr="00412620" w:rsidRDefault="00F904CF" w:rsidP="00321D5C">
            <w:pPr>
              <w:jc w:val="both"/>
              <w:rPr>
                <w:rFonts w:cs="Arial"/>
                <w:sz w:val="20"/>
              </w:rPr>
            </w:pPr>
          </w:p>
        </w:tc>
        <w:tc>
          <w:tcPr>
            <w:tcW w:w="2790" w:type="dxa"/>
          </w:tcPr>
          <w:p w:rsidR="00F904CF" w:rsidRPr="00412620" w:rsidRDefault="00F904CF" w:rsidP="00321D5C">
            <w:pPr>
              <w:jc w:val="both"/>
              <w:rPr>
                <w:rFonts w:cs="Arial"/>
                <w:sz w:val="20"/>
              </w:rPr>
            </w:pPr>
            <w:r w:rsidRPr="00412620">
              <w:rPr>
                <w:rFonts w:cs="Arial"/>
                <w:sz w:val="20"/>
              </w:rPr>
              <w:t>1.5% of the capital gains derived during the quarter:</w:t>
            </w:r>
          </w:p>
        </w:tc>
      </w:tr>
    </w:tbl>
    <w:p w:rsidR="00F904CF" w:rsidRPr="00412620" w:rsidRDefault="00F904CF" w:rsidP="00F904CF">
      <w:pPr>
        <w:jc w:val="both"/>
        <w:rPr>
          <w:rFonts w:cs="Arial"/>
          <w:sz w:val="20"/>
        </w:rPr>
      </w:pPr>
      <w:r w:rsidRPr="00412620">
        <w:rPr>
          <w:rFonts w:cs="Arial"/>
          <w:sz w:val="20"/>
        </w:rPr>
        <w:t>------------------------------------------------------------------------------------------------------------</w:t>
      </w:r>
    </w:p>
    <w:p w:rsidR="00F904CF" w:rsidRPr="00412620" w:rsidRDefault="00F904CF" w:rsidP="00F904CF">
      <w:pPr>
        <w:ind w:left="1094" w:firstLine="541"/>
        <w:jc w:val="both"/>
        <w:rPr>
          <w:rFonts w:cs="Arial"/>
          <w:sz w:val="20"/>
        </w:rPr>
      </w:pPr>
      <w:r w:rsidRPr="00412620">
        <w:rPr>
          <w:rFonts w:cs="Arial"/>
          <w:sz w:val="20"/>
        </w:rPr>
        <w:t xml:space="preserve">Provided that such advance tax shall be payable to the Commissioner within a period of </w:t>
      </w:r>
      <w:r w:rsidR="00E25A32" w:rsidRPr="00412620">
        <w:rPr>
          <w:rStyle w:val="FootnoteReference"/>
          <w:rFonts w:cs="Arial"/>
          <w:sz w:val="20"/>
        </w:rPr>
        <w:footnoteReference w:id="908"/>
      </w:r>
      <w:r w:rsidR="00E25A32" w:rsidRPr="00412620">
        <w:rPr>
          <w:rFonts w:cs="Arial"/>
          <w:sz w:val="20"/>
        </w:rPr>
        <w:t>[twenty-one]</w:t>
      </w:r>
      <w:r w:rsidRPr="00412620">
        <w:rPr>
          <w:rFonts w:cs="Arial"/>
          <w:sz w:val="20"/>
        </w:rPr>
        <w:t xml:space="preserve"> days after the close of each quarter:</w:t>
      </w:r>
    </w:p>
    <w:p w:rsidR="00F904CF" w:rsidRPr="00412620" w:rsidRDefault="00F904CF" w:rsidP="00F904CF">
      <w:pPr>
        <w:jc w:val="both"/>
        <w:rPr>
          <w:rFonts w:cs="Arial"/>
          <w:sz w:val="20"/>
        </w:rPr>
      </w:pPr>
    </w:p>
    <w:p w:rsidR="00F904CF" w:rsidRPr="00412620" w:rsidRDefault="006E13F5" w:rsidP="006E13F5">
      <w:pPr>
        <w:ind w:left="1094" w:firstLine="541"/>
        <w:jc w:val="both"/>
        <w:rPr>
          <w:rFonts w:cs="Arial"/>
          <w:sz w:val="20"/>
        </w:rPr>
      </w:pPr>
      <w:r w:rsidRPr="00412620">
        <w:rPr>
          <w:rFonts w:cs="Arial"/>
          <w:sz w:val="20"/>
        </w:rPr>
        <w:t>Provided further that the provisions of this sub-section shall not be applicable to individual investors.]</w:t>
      </w:r>
    </w:p>
    <w:p w:rsidR="00520F7F" w:rsidRPr="00412620" w:rsidRDefault="00520F7F">
      <w:pPr>
        <w:jc w:val="both"/>
        <w:rPr>
          <w:rFonts w:cs="Arial"/>
          <w:sz w:val="20"/>
        </w:rPr>
      </w:pPr>
    </w:p>
    <w:p w:rsidR="006A3F93" w:rsidRPr="00412620" w:rsidRDefault="006A3F93">
      <w:pPr>
        <w:jc w:val="both"/>
        <w:rPr>
          <w:rFonts w:cs="Arial"/>
          <w:sz w:val="20"/>
        </w:rPr>
      </w:pPr>
      <w:r w:rsidRPr="00412620">
        <w:rPr>
          <w:rFonts w:cs="Arial"/>
          <w:sz w:val="20"/>
        </w:rPr>
        <w:tab/>
      </w:r>
      <w:r w:rsidRPr="00412620">
        <w:rPr>
          <w:rStyle w:val="FootnoteReference"/>
          <w:rFonts w:cs="Arial"/>
          <w:sz w:val="20"/>
        </w:rPr>
        <w:footnoteReference w:id="909"/>
      </w:r>
      <w:r w:rsidRPr="00412620">
        <w:rPr>
          <w:rFonts w:cs="Arial"/>
          <w:sz w:val="20"/>
        </w:rPr>
        <w:t xml:space="preserve">[(6) </w:t>
      </w:r>
      <w:r w:rsidRPr="00412620">
        <w:rPr>
          <w:rFonts w:cs="Arial"/>
          <w:sz w:val="20"/>
        </w:rPr>
        <w:tab/>
        <w:t>If any taxpayer who is required to make payment of advance tax under sub-section (1) estimates at any time before the last installment is due, that the tax payable by him for the relevant tax year is likely to be less than the amount he is required to pay under sub-section (1), the taxpayer may furnish to the Commissioner an estimate of the amount of the tax payable by him, and thereafter pay such estimated amount, as reduced by the amount, if any, already paid under sub-section (1), in equal installments on such dates as have not expired.]</w:t>
      </w:r>
    </w:p>
    <w:p w:rsidR="006A3F93" w:rsidRPr="00412620" w:rsidRDefault="006A3F93">
      <w:pPr>
        <w:jc w:val="both"/>
        <w:rPr>
          <w:rFonts w:cs="Arial"/>
          <w:sz w:val="20"/>
        </w:rPr>
      </w:pPr>
    </w:p>
    <w:p w:rsidR="00DF5368" w:rsidRPr="00412620" w:rsidRDefault="00DF5368">
      <w:pPr>
        <w:jc w:val="both"/>
        <w:rPr>
          <w:rFonts w:cs="Arial"/>
          <w:sz w:val="20"/>
        </w:rPr>
      </w:pPr>
      <w:r w:rsidRPr="00412620">
        <w:rPr>
          <w:rFonts w:cs="Arial"/>
          <w:sz w:val="20"/>
        </w:rPr>
        <w:tab/>
      </w:r>
      <w:r w:rsidR="00A5611B" w:rsidRPr="00412620">
        <w:rPr>
          <w:rStyle w:val="FootnoteReference"/>
          <w:rFonts w:cs="Arial"/>
          <w:sz w:val="20"/>
        </w:rPr>
        <w:footnoteReference w:id="910"/>
      </w:r>
      <w:r w:rsidRPr="00412620">
        <w:rPr>
          <w:rFonts w:cs="Arial"/>
          <w:sz w:val="20"/>
        </w:rPr>
        <w:t xml:space="preserve">[(6A) Notwithstanding anything contained in this section, where the taxpayer is a company or an association of persons, advance tax shall be payable by it in the absence of last assessed income or declared turnover also. The taxpayer shall estimate the amount of advance tax payable on the basis of quarterly turnover of the company or an association of persons, as the case may be, and thereafter pay such amount after, </w:t>
      </w:r>
      <w:r w:rsidR="00AD52AD" w:rsidRPr="00412620">
        <w:rPr>
          <w:rFonts w:cs="Arial"/>
          <w:sz w:val="20"/>
        </w:rPr>
        <w:t>—</w:t>
      </w:r>
    </w:p>
    <w:p w:rsidR="00504353" w:rsidRPr="00412620" w:rsidRDefault="00504353">
      <w:pPr>
        <w:jc w:val="both"/>
        <w:rPr>
          <w:rFonts w:cs="Arial"/>
          <w:sz w:val="20"/>
        </w:rPr>
      </w:pPr>
    </w:p>
    <w:p w:rsidR="00504353" w:rsidRPr="00412620" w:rsidRDefault="00504353" w:rsidP="00504353">
      <w:pPr>
        <w:ind w:left="1641" w:hanging="546"/>
        <w:jc w:val="both"/>
        <w:rPr>
          <w:rFonts w:cs="Arial"/>
          <w:sz w:val="20"/>
        </w:rPr>
      </w:pPr>
      <w:r w:rsidRPr="00412620">
        <w:rPr>
          <w:rFonts w:cs="Arial"/>
          <w:sz w:val="20"/>
        </w:rPr>
        <w:lastRenderedPageBreak/>
        <w:t xml:space="preserve">(a) </w:t>
      </w:r>
      <w:r w:rsidRPr="00412620">
        <w:rPr>
          <w:rFonts w:cs="Arial"/>
          <w:sz w:val="20"/>
        </w:rPr>
        <w:tab/>
        <w:t xml:space="preserve">taking into account tax payable under </w:t>
      </w:r>
      <w:r w:rsidR="00663B02" w:rsidRPr="00966F3F">
        <w:rPr>
          <w:rStyle w:val="FootnoteReference"/>
          <w:color w:val="0070C0"/>
          <w:sz w:val="20"/>
        </w:rPr>
        <w:footnoteReference w:id="911"/>
      </w:r>
      <w:r w:rsidR="00663B02" w:rsidRPr="00966F3F">
        <w:rPr>
          <w:color w:val="0070C0"/>
          <w:sz w:val="20"/>
        </w:rPr>
        <w:t>[sections 113 and 113C]</w:t>
      </w:r>
      <w:r w:rsidR="00663B02" w:rsidRPr="00412620">
        <w:rPr>
          <w:sz w:val="20"/>
        </w:rPr>
        <w:t xml:space="preserve"> </w:t>
      </w:r>
      <w:r w:rsidRPr="00412620">
        <w:rPr>
          <w:rFonts w:cs="Arial"/>
          <w:sz w:val="20"/>
        </w:rPr>
        <w:t>as provided in sub-section (4AA); and</w:t>
      </w:r>
    </w:p>
    <w:p w:rsidR="00504353" w:rsidRPr="00412620" w:rsidRDefault="00504353">
      <w:pPr>
        <w:jc w:val="both"/>
        <w:rPr>
          <w:rFonts w:cs="Arial"/>
          <w:sz w:val="20"/>
        </w:rPr>
      </w:pPr>
    </w:p>
    <w:p w:rsidR="00504353" w:rsidRPr="00412620" w:rsidRDefault="00504353">
      <w:pPr>
        <w:jc w:val="both"/>
        <w:rPr>
          <w:rFonts w:cs="Arial"/>
          <w:sz w:val="20"/>
        </w:rPr>
      </w:pPr>
      <w:r w:rsidRPr="00412620">
        <w:rPr>
          <w:rFonts w:cs="Arial"/>
          <w:sz w:val="20"/>
        </w:rPr>
        <w:tab/>
      </w:r>
      <w:r w:rsidRPr="00412620">
        <w:rPr>
          <w:rFonts w:cs="Arial"/>
          <w:sz w:val="20"/>
        </w:rPr>
        <w:tab/>
        <w:t xml:space="preserve">(b) </w:t>
      </w:r>
      <w:r w:rsidRPr="00412620">
        <w:rPr>
          <w:rFonts w:cs="Arial"/>
          <w:sz w:val="20"/>
        </w:rPr>
        <w:tab/>
        <w:t>making adjustment for the amount (if any) already paid.]</w:t>
      </w:r>
    </w:p>
    <w:p w:rsidR="00DF5368" w:rsidRPr="00412620" w:rsidRDefault="00DF5368">
      <w:pPr>
        <w:jc w:val="both"/>
        <w:rPr>
          <w:rFonts w:cs="Arial"/>
          <w:sz w:val="20"/>
        </w:rPr>
      </w:pPr>
    </w:p>
    <w:p w:rsidR="002160B5" w:rsidRPr="00412620" w:rsidRDefault="002160B5" w:rsidP="00A5611B">
      <w:pPr>
        <w:jc w:val="both"/>
        <w:rPr>
          <w:rFonts w:cs="Arial"/>
          <w:sz w:val="20"/>
        </w:rPr>
      </w:pPr>
      <w:r w:rsidRPr="00412620">
        <w:tab/>
      </w:r>
      <w:r w:rsidR="00A5611B" w:rsidRPr="00412620">
        <w:tab/>
      </w:r>
      <w:r w:rsidR="008A3C8F" w:rsidRPr="00412620">
        <w:rPr>
          <w:rStyle w:val="FootnoteReference"/>
          <w:rFonts w:cs="Arial"/>
          <w:sz w:val="20"/>
        </w:rPr>
        <w:footnoteReference w:id="912"/>
      </w:r>
      <w:r w:rsidR="008A3C8F" w:rsidRPr="00412620">
        <w:rPr>
          <w:rFonts w:cs="Arial"/>
          <w:sz w:val="20"/>
        </w:rPr>
        <w:t>[  ]</w:t>
      </w:r>
    </w:p>
    <w:p w:rsidR="002160B5" w:rsidRPr="00412620" w:rsidRDefault="002160B5" w:rsidP="002160B5">
      <w:pPr>
        <w:pStyle w:val="4"/>
        <w:spacing w:line="226" w:lineRule="atLeast"/>
        <w:rPr>
          <w:rFonts w:ascii="Arial" w:hAnsi="Arial" w:cs="Arial"/>
          <w:color w:val="auto"/>
          <w:sz w:val="20"/>
          <w:szCs w:val="20"/>
        </w:rPr>
      </w:pPr>
    </w:p>
    <w:p w:rsidR="002160B5" w:rsidRPr="00412620" w:rsidRDefault="008A3C8F" w:rsidP="002160B5">
      <w:pPr>
        <w:ind w:left="1620" w:hanging="540"/>
        <w:jc w:val="both"/>
        <w:rPr>
          <w:rFonts w:cs="Arial"/>
          <w:sz w:val="20"/>
        </w:rPr>
      </w:pPr>
      <w:r w:rsidRPr="00412620">
        <w:rPr>
          <w:rStyle w:val="FootnoteReference"/>
          <w:rFonts w:cs="Arial"/>
          <w:sz w:val="20"/>
        </w:rPr>
        <w:footnoteReference w:id="913"/>
      </w:r>
      <w:r w:rsidRPr="00412620">
        <w:rPr>
          <w:rFonts w:cs="Arial"/>
          <w:sz w:val="20"/>
        </w:rPr>
        <w:t>[  ]</w:t>
      </w:r>
    </w:p>
    <w:p w:rsidR="002160B5" w:rsidRPr="00412620" w:rsidRDefault="002160B5">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The provisions of this Ordinance shall apply to any advance tax due under this section as if the amount due were tax due under an assessment order.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A taxpayer who has paid advance tax under this section for a tax year shall be allowed a tax credit for that tax in computing the tax due by the taxpayer on the taxable income of the taxpayer for that year.</w:t>
      </w:r>
    </w:p>
    <w:p w:rsidR="006A3F93" w:rsidRPr="00412620" w:rsidRDefault="006A3F93">
      <w:pPr>
        <w:pStyle w:val="CommentText"/>
        <w:rPr>
          <w:rFonts w:cs="Arial"/>
        </w:rPr>
      </w:pPr>
    </w:p>
    <w:p w:rsidR="006A3F93" w:rsidRPr="00412620" w:rsidRDefault="006A3F93">
      <w:pPr>
        <w:jc w:val="both"/>
        <w:rPr>
          <w:rFonts w:cs="Arial"/>
          <w:sz w:val="20"/>
        </w:rPr>
      </w:pPr>
      <w:r w:rsidRPr="00412620">
        <w:rPr>
          <w:rFonts w:cs="Arial"/>
          <w:sz w:val="20"/>
        </w:rPr>
        <w:tab/>
        <w:t>(9)</w:t>
      </w:r>
      <w:r w:rsidRPr="00412620">
        <w:rPr>
          <w:rFonts w:cs="Arial"/>
          <w:sz w:val="20"/>
        </w:rPr>
        <w:tab/>
        <w:t xml:space="preserve"> A tax credit allowed for advance tax paid under this section shall be applied in accordance with sub-section (3) of section 4.</w:t>
      </w:r>
    </w:p>
    <w:p w:rsidR="006A3F93" w:rsidRPr="00412620" w:rsidRDefault="006A3F93">
      <w:pPr>
        <w:pStyle w:val="CommentText"/>
        <w:rPr>
          <w:rFonts w:cs="Arial"/>
        </w:rPr>
      </w:pPr>
    </w:p>
    <w:p w:rsidR="006A3F93" w:rsidRPr="00412620" w:rsidRDefault="006A3F93">
      <w:pPr>
        <w:jc w:val="both"/>
        <w:rPr>
          <w:rFonts w:cs="Arial"/>
          <w:sz w:val="20"/>
        </w:rPr>
      </w:pPr>
      <w:r w:rsidRPr="00412620">
        <w:rPr>
          <w:rFonts w:cs="Arial"/>
          <w:sz w:val="20"/>
        </w:rPr>
        <w:tab/>
        <w:t>(10)</w:t>
      </w:r>
      <w:r w:rsidRPr="00412620">
        <w:rPr>
          <w:rFonts w:cs="Arial"/>
          <w:sz w:val="20"/>
        </w:rPr>
        <w:tab/>
        <w:t xml:space="preserve"> A tax credit or part of a tax credit allowed under this section for a tax year that is not able to be credited under sub-section (3) of section 4 for the year shall be refunded to the taxpayer in accordance with section 170.</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r>
      <w:r w:rsidRPr="00412620">
        <w:rPr>
          <w:rStyle w:val="FootnoteReference"/>
          <w:rFonts w:cs="Arial"/>
          <w:sz w:val="20"/>
        </w:rPr>
        <w:footnoteReference w:id="914"/>
      </w:r>
      <w:r w:rsidRPr="00412620">
        <w:rPr>
          <w:rFonts w:cs="Arial"/>
          <w:sz w:val="20"/>
        </w:rPr>
        <w:t>[  ]</w:t>
      </w:r>
    </w:p>
    <w:p w:rsidR="006A3F93" w:rsidRPr="00412620" w:rsidRDefault="006A3F93">
      <w:pPr>
        <w:rPr>
          <w:rFonts w:cs="Arial"/>
          <w:sz w:val="20"/>
        </w:rPr>
      </w:pPr>
    </w:p>
    <w:p w:rsidR="00FA19C5" w:rsidRPr="00966F3F" w:rsidRDefault="009730B0" w:rsidP="00FA19C5">
      <w:pPr>
        <w:pStyle w:val="ListParagraph"/>
        <w:ind w:left="0"/>
        <w:jc w:val="both"/>
        <w:rPr>
          <w:rFonts w:cs="Arial"/>
          <w:color w:val="0070C0"/>
          <w:sz w:val="20"/>
        </w:rPr>
      </w:pPr>
      <w:r w:rsidRPr="00966F3F">
        <w:rPr>
          <w:rStyle w:val="FootnoteReference"/>
          <w:rFonts w:cs="Arial"/>
          <w:color w:val="0070C0"/>
          <w:sz w:val="20"/>
        </w:rPr>
        <w:footnoteReference w:id="915"/>
      </w:r>
      <w:r w:rsidR="00FA19C5" w:rsidRPr="00966F3F">
        <w:rPr>
          <w:rFonts w:cs="Arial"/>
          <w:color w:val="0070C0"/>
          <w:sz w:val="20"/>
        </w:rPr>
        <w:t xml:space="preserve">[“147A. </w:t>
      </w:r>
      <w:r w:rsidR="00FA19C5" w:rsidRPr="00966F3F">
        <w:rPr>
          <w:rFonts w:cs="Arial"/>
          <w:b/>
          <w:bCs/>
          <w:color w:val="0070C0"/>
          <w:sz w:val="20"/>
        </w:rPr>
        <w:t xml:space="preserve">Advance tax from provincial sales tax registered person.- </w:t>
      </w:r>
      <w:r w:rsidR="00FA19C5" w:rsidRPr="00966F3F">
        <w:rPr>
          <w:rFonts w:cs="Arial"/>
          <w:color w:val="0070C0"/>
          <w:sz w:val="20"/>
        </w:rPr>
        <w:t xml:space="preserve">(1) Every provincial </w:t>
      </w:r>
      <w:r w:rsidR="00FA19C5" w:rsidRPr="00966F3F">
        <w:rPr>
          <w:rFonts w:cs="Arial"/>
          <w:bCs/>
          <w:color w:val="0070C0"/>
          <w:sz w:val="20"/>
        </w:rPr>
        <w:t>sales tax registered person</w:t>
      </w:r>
      <w:r w:rsidR="00FA19C5" w:rsidRPr="00966F3F">
        <w:rPr>
          <w:rFonts w:cs="Arial"/>
          <w:color w:val="0070C0"/>
          <w:sz w:val="20"/>
        </w:rPr>
        <w:t xml:space="preserve"> shall be liable to pay adjustable advance tax at the rate of three per cent of the turnover declared before the provincial revenue authority.</w:t>
      </w:r>
    </w:p>
    <w:p w:rsidR="00FA19C5" w:rsidRPr="00966F3F" w:rsidRDefault="00FA19C5" w:rsidP="00FA19C5">
      <w:pPr>
        <w:pStyle w:val="ListParagraph"/>
        <w:ind w:left="0"/>
        <w:jc w:val="both"/>
        <w:rPr>
          <w:rFonts w:cs="Arial"/>
          <w:color w:val="0070C0"/>
          <w:sz w:val="20"/>
        </w:rPr>
      </w:pPr>
    </w:p>
    <w:p w:rsidR="00FA19C5" w:rsidRPr="00966F3F" w:rsidRDefault="00FA19C5" w:rsidP="00FA19C5">
      <w:pPr>
        <w:pStyle w:val="ListParagraph"/>
        <w:ind w:left="0" w:firstLine="540"/>
        <w:jc w:val="both"/>
        <w:rPr>
          <w:rFonts w:cs="Arial"/>
          <w:color w:val="0070C0"/>
          <w:sz w:val="20"/>
        </w:rPr>
      </w:pPr>
      <w:r w:rsidRPr="00966F3F">
        <w:rPr>
          <w:rFonts w:cs="Arial"/>
          <w:color w:val="0070C0"/>
          <w:sz w:val="20"/>
        </w:rPr>
        <w:t>(2)</w:t>
      </w:r>
      <w:r w:rsidRPr="00966F3F">
        <w:rPr>
          <w:rFonts w:cs="Arial"/>
          <w:color w:val="0070C0"/>
          <w:sz w:val="20"/>
        </w:rPr>
        <w:tab/>
        <w:t>The advance tax under sub-section (1) shall be paid monthly at the time when sales tax return is to be filed with the provincial revenue authority.</w:t>
      </w:r>
    </w:p>
    <w:p w:rsidR="00FA19C5" w:rsidRPr="00966F3F" w:rsidRDefault="00FA19C5" w:rsidP="00FA19C5">
      <w:pPr>
        <w:pStyle w:val="ListParagraph"/>
        <w:ind w:left="0" w:firstLine="540"/>
        <w:jc w:val="both"/>
        <w:rPr>
          <w:rFonts w:cs="Arial"/>
          <w:color w:val="0070C0"/>
          <w:sz w:val="20"/>
        </w:rPr>
      </w:pPr>
    </w:p>
    <w:p w:rsidR="00FA19C5" w:rsidRPr="00966F3F" w:rsidRDefault="00FA19C5" w:rsidP="00FA19C5">
      <w:pPr>
        <w:pStyle w:val="ListParagraph"/>
        <w:ind w:left="0" w:firstLine="540"/>
        <w:jc w:val="both"/>
        <w:rPr>
          <w:rFonts w:cs="Arial"/>
          <w:color w:val="0070C0"/>
          <w:sz w:val="20"/>
        </w:rPr>
      </w:pPr>
      <w:r w:rsidRPr="00966F3F">
        <w:rPr>
          <w:rFonts w:cs="Arial"/>
          <w:color w:val="0070C0"/>
          <w:sz w:val="20"/>
        </w:rPr>
        <w:t>(3)</w:t>
      </w:r>
      <w:r w:rsidRPr="00966F3F">
        <w:rPr>
          <w:rFonts w:cs="Arial"/>
          <w:color w:val="0070C0"/>
          <w:sz w:val="20"/>
        </w:rPr>
        <w:tab/>
        <w:t>Advance tax paid under this section may be taken into account while working out advance tax payable under section 147.</w:t>
      </w:r>
    </w:p>
    <w:p w:rsidR="00FA19C5" w:rsidRPr="00966F3F" w:rsidRDefault="00FA19C5" w:rsidP="00FA19C5">
      <w:pPr>
        <w:pStyle w:val="ListParagraph"/>
        <w:ind w:left="0" w:firstLine="540"/>
        <w:jc w:val="both"/>
        <w:rPr>
          <w:rFonts w:cs="Arial"/>
          <w:color w:val="0070C0"/>
          <w:sz w:val="20"/>
        </w:rPr>
      </w:pPr>
    </w:p>
    <w:p w:rsidR="00FA19C5" w:rsidRPr="00966F3F" w:rsidRDefault="00FA19C5" w:rsidP="00FA19C5">
      <w:pPr>
        <w:pStyle w:val="ListParagraph"/>
        <w:ind w:left="0" w:firstLine="540"/>
        <w:jc w:val="both"/>
        <w:rPr>
          <w:rFonts w:cs="Arial"/>
          <w:color w:val="0070C0"/>
          <w:sz w:val="20"/>
        </w:rPr>
      </w:pPr>
      <w:r w:rsidRPr="00966F3F">
        <w:rPr>
          <w:rFonts w:cs="Arial"/>
          <w:color w:val="0070C0"/>
          <w:sz w:val="20"/>
        </w:rPr>
        <w:t>(4)</w:t>
      </w:r>
      <w:r w:rsidRPr="00966F3F">
        <w:rPr>
          <w:rFonts w:cs="Arial"/>
          <w:color w:val="0070C0"/>
          <w:sz w:val="20"/>
        </w:rPr>
        <w:tab/>
        <w:t>The provisions of this Ordinance shall apply to any advance tax due under this section as if the amount due were tax due under an assessment order.</w:t>
      </w:r>
    </w:p>
    <w:p w:rsidR="00FA19C5" w:rsidRPr="00966F3F" w:rsidRDefault="00FA19C5" w:rsidP="00FA19C5">
      <w:pPr>
        <w:pStyle w:val="ListParagraph"/>
        <w:ind w:left="0" w:firstLine="540"/>
        <w:jc w:val="both"/>
        <w:rPr>
          <w:rFonts w:cs="Arial"/>
          <w:color w:val="0070C0"/>
          <w:sz w:val="20"/>
        </w:rPr>
      </w:pPr>
      <w:r w:rsidRPr="00966F3F">
        <w:rPr>
          <w:rFonts w:cs="Arial"/>
          <w:color w:val="0070C0"/>
          <w:sz w:val="20"/>
        </w:rPr>
        <w:lastRenderedPageBreak/>
        <w:t>(5)</w:t>
      </w:r>
      <w:r w:rsidRPr="00966F3F">
        <w:rPr>
          <w:rFonts w:cs="Arial"/>
          <w:color w:val="0070C0"/>
          <w:sz w:val="20"/>
        </w:rPr>
        <w:tab/>
        <w:t>A taxpayer who has paid advance tax under this section for a tax year shall be allowed a tax credit for that tax in computing the tax due by the taxpayer on the taxable income of the taxpayer for that year.</w:t>
      </w:r>
    </w:p>
    <w:p w:rsidR="00FA19C5" w:rsidRPr="00966F3F" w:rsidRDefault="00FA19C5" w:rsidP="00FA19C5">
      <w:pPr>
        <w:pStyle w:val="ListParagraph"/>
        <w:ind w:left="0" w:firstLine="540"/>
        <w:jc w:val="both"/>
        <w:rPr>
          <w:rFonts w:cs="Arial"/>
          <w:color w:val="0070C0"/>
          <w:sz w:val="20"/>
        </w:rPr>
      </w:pPr>
    </w:p>
    <w:p w:rsidR="00FA19C5" w:rsidRPr="00966F3F" w:rsidRDefault="00FA19C5" w:rsidP="00FA19C5">
      <w:pPr>
        <w:pStyle w:val="ListParagraph"/>
        <w:ind w:left="0" w:firstLine="540"/>
        <w:jc w:val="both"/>
        <w:rPr>
          <w:rFonts w:cs="Arial"/>
          <w:color w:val="0070C0"/>
          <w:sz w:val="20"/>
        </w:rPr>
      </w:pPr>
      <w:r w:rsidRPr="00966F3F">
        <w:rPr>
          <w:rFonts w:cs="Arial"/>
          <w:color w:val="0070C0"/>
          <w:sz w:val="20"/>
        </w:rPr>
        <w:t>(6)</w:t>
      </w:r>
      <w:r w:rsidRPr="00966F3F">
        <w:rPr>
          <w:rFonts w:cs="Arial"/>
          <w:color w:val="0070C0"/>
          <w:sz w:val="20"/>
        </w:rPr>
        <w:tab/>
        <w:t>A tax credit allowed for advance tax paid under this section shall be applied in accordance with sub-section (3) of section 4.</w:t>
      </w:r>
    </w:p>
    <w:p w:rsidR="00FA19C5" w:rsidRPr="00966F3F" w:rsidRDefault="00FA19C5" w:rsidP="00FA19C5">
      <w:pPr>
        <w:pStyle w:val="ListParagraph"/>
        <w:ind w:left="0" w:firstLine="540"/>
        <w:jc w:val="both"/>
        <w:rPr>
          <w:rFonts w:cs="Arial"/>
          <w:color w:val="0070C0"/>
          <w:sz w:val="20"/>
        </w:rPr>
      </w:pPr>
    </w:p>
    <w:p w:rsidR="00FA19C5" w:rsidRPr="00966F3F" w:rsidRDefault="00FA19C5" w:rsidP="00FA19C5">
      <w:pPr>
        <w:pStyle w:val="ListParagraph"/>
        <w:ind w:left="0" w:firstLine="540"/>
        <w:jc w:val="both"/>
        <w:rPr>
          <w:rFonts w:cs="Arial"/>
          <w:color w:val="0070C0"/>
          <w:sz w:val="20"/>
        </w:rPr>
      </w:pPr>
      <w:r w:rsidRPr="00966F3F">
        <w:rPr>
          <w:rFonts w:cs="Arial"/>
          <w:color w:val="0070C0"/>
          <w:sz w:val="20"/>
        </w:rPr>
        <w:t>(7)</w:t>
      </w:r>
      <w:r w:rsidRPr="00966F3F">
        <w:rPr>
          <w:rFonts w:cs="Arial"/>
          <w:color w:val="0070C0"/>
          <w:sz w:val="20"/>
        </w:rPr>
        <w:tab/>
        <w:t>A tax credit or part of a tax credit allowed under this section for a tax year that is not able to be credited under sub-section (3) of section 4 for the year shall be refunded to the taxpayer in accordance with section 170.</w:t>
      </w:r>
    </w:p>
    <w:p w:rsidR="00FA19C5" w:rsidRPr="00966F3F" w:rsidRDefault="00FA19C5" w:rsidP="00FA19C5">
      <w:pPr>
        <w:pStyle w:val="ListParagraph"/>
        <w:ind w:left="0" w:firstLine="540"/>
        <w:jc w:val="both"/>
        <w:rPr>
          <w:rFonts w:cs="Arial"/>
          <w:color w:val="0070C0"/>
          <w:sz w:val="20"/>
        </w:rPr>
      </w:pPr>
    </w:p>
    <w:p w:rsidR="00FA19C5" w:rsidRPr="00966F3F" w:rsidRDefault="00FA19C5" w:rsidP="00FA19C5">
      <w:pPr>
        <w:pStyle w:val="ListParagraph"/>
        <w:ind w:left="0" w:firstLine="540"/>
        <w:jc w:val="both"/>
        <w:rPr>
          <w:rFonts w:cs="Arial"/>
          <w:color w:val="0070C0"/>
          <w:sz w:val="20"/>
        </w:rPr>
      </w:pPr>
      <w:r w:rsidRPr="00966F3F">
        <w:rPr>
          <w:rFonts w:cs="Arial"/>
          <w:color w:val="0070C0"/>
          <w:sz w:val="20"/>
        </w:rPr>
        <w:t>(8)</w:t>
      </w:r>
      <w:r w:rsidRPr="00966F3F">
        <w:rPr>
          <w:rFonts w:cs="Arial"/>
          <w:color w:val="0070C0"/>
          <w:sz w:val="20"/>
        </w:rPr>
        <w:tab/>
        <w:t>This section shall not apply to a person who was filer on the thirtieth day of June of the previous tax year.”]</w:t>
      </w:r>
    </w:p>
    <w:p w:rsidR="00FA19C5" w:rsidRPr="00966F3F" w:rsidRDefault="00FA19C5" w:rsidP="00FA19C5">
      <w:pPr>
        <w:pStyle w:val="Heading8"/>
        <w:jc w:val="left"/>
        <w:rPr>
          <w:rFonts w:cs="Arial"/>
          <w:i w:val="0"/>
          <w:color w:val="0070C0"/>
          <w:sz w:val="20"/>
        </w:rPr>
      </w:pPr>
    </w:p>
    <w:p w:rsidR="00FA19C5" w:rsidRDefault="00FA19C5">
      <w:pPr>
        <w:pStyle w:val="Heading8"/>
        <w:rPr>
          <w:rFonts w:cs="Arial"/>
          <w:i w:val="0"/>
          <w:sz w:val="28"/>
        </w:rPr>
      </w:pPr>
    </w:p>
    <w:p w:rsidR="006A3F93" w:rsidRPr="00412620" w:rsidRDefault="006A3F93">
      <w:pPr>
        <w:pStyle w:val="Heading8"/>
        <w:rPr>
          <w:rFonts w:cs="Arial"/>
          <w:i w:val="0"/>
          <w:sz w:val="28"/>
        </w:rPr>
      </w:pPr>
      <w:r w:rsidRPr="00412620">
        <w:rPr>
          <w:rFonts w:cs="Arial"/>
          <w:i w:val="0"/>
          <w:sz w:val="28"/>
        </w:rPr>
        <w:t>Division II</w:t>
      </w:r>
    </w:p>
    <w:p w:rsidR="006A3F93" w:rsidRPr="00412620" w:rsidRDefault="006A3F93">
      <w:pPr>
        <w:keepNext/>
        <w:jc w:val="center"/>
        <w:rPr>
          <w:rFonts w:cs="Arial"/>
          <w:b/>
          <w:sz w:val="20"/>
        </w:rPr>
      </w:pPr>
      <w:r w:rsidRPr="00412620">
        <w:rPr>
          <w:rFonts w:cs="Arial"/>
          <w:b/>
          <w:sz w:val="20"/>
        </w:rPr>
        <w:t>Advance Tax Paid to a Collection Agent</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148.</w:t>
      </w:r>
      <w:r w:rsidRPr="00412620">
        <w:rPr>
          <w:rFonts w:cs="Arial"/>
          <w:b/>
          <w:sz w:val="20"/>
        </w:rPr>
        <w:tab/>
        <w:t xml:space="preserve"> Imports.</w:t>
      </w:r>
      <w:r w:rsidR="000B7DC8" w:rsidRPr="00412620">
        <w:rPr>
          <w:rFonts w:cs="Arial"/>
          <w:b/>
          <w:sz w:val="20"/>
        </w:rPr>
        <w:t>—</w:t>
      </w:r>
      <w:r w:rsidRPr="00412620">
        <w:rPr>
          <w:sz w:val="20"/>
        </w:rPr>
        <w:t xml:space="preserve"> (1)  The Collector of Customs shall collect advance tax from every importer of goods on the value of the goods at the rate specified in Part II of the First Schedule.</w:t>
      </w:r>
    </w:p>
    <w:p w:rsidR="006A3F93" w:rsidRPr="00412620" w:rsidRDefault="006A3F93">
      <w:pPr>
        <w:jc w:val="both"/>
        <w:rPr>
          <w:rFonts w:cs="Arial"/>
          <w:sz w:val="20"/>
        </w:rPr>
      </w:pPr>
    </w:p>
    <w:p w:rsidR="00F66A78" w:rsidRDefault="00F66A78">
      <w:pPr>
        <w:jc w:val="both"/>
        <w:rPr>
          <w:sz w:val="20"/>
        </w:rPr>
      </w:pPr>
      <w:r w:rsidRPr="00412620">
        <w:rPr>
          <w:rFonts w:cs="Arial"/>
          <w:sz w:val="20"/>
        </w:rPr>
        <w:tab/>
      </w:r>
      <w:r w:rsidRPr="00412620">
        <w:rPr>
          <w:rStyle w:val="FootnoteReference"/>
          <w:rFonts w:cs="Arial"/>
          <w:sz w:val="20"/>
        </w:rPr>
        <w:footnoteReference w:id="916"/>
      </w:r>
      <w:r w:rsidRPr="00412620">
        <w:rPr>
          <w:rFonts w:cs="Arial"/>
          <w:sz w:val="20"/>
        </w:rPr>
        <w:t>[</w:t>
      </w:r>
      <w:r w:rsidR="006420B7">
        <w:rPr>
          <w:rFonts w:cs="Arial"/>
          <w:sz w:val="20"/>
        </w:rPr>
        <w:t xml:space="preserve"> </w:t>
      </w:r>
      <w:r w:rsidR="001B7D2E" w:rsidRPr="006420B7">
        <w:rPr>
          <w:rStyle w:val="FootnoteReference"/>
          <w:rFonts w:cs="Arial"/>
          <w:color w:val="000000" w:themeColor="text1"/>
          <w:sz w:val="20"/>
        </w:rPr>
        <w:footnoteReference w:id="917"/>
      </w:r>
      <w:r w:rsidR="001B7D2E" w:rsidRPr="006420B7">
        <w:rPr>
          <w:rFonts w:cs="Arial"/>
          <w:color w:val="000000" w:themeColor="text1"/>
          <w:sz w:val="20"/>
        </w:rPr>
        <w:t>[    ]</w:t>
      </w:r>
      <w:r w:rsidR="001B7D2E">
        <w:rPr>
          <w:rFonts w:cs="Arial"/>
          <w:sz w:val="20"/>
        </w:rPr>
        <w:t xml:space="preserve">  ] </w:t>
      </w:r>
    </w:p>
    <w:p w:rsidR="001B7D2E" w:rsidRDefault="001B7D2E">
      <w:pPr>
        <w:jc w:val="both"/>
        <w:rPr>
          <w:sz w:val="20"/>
        </w:rPr>
      </w:pPr>
    </w:p>
    <w:p w:rsidR="001B7D2E" w:rsidRPr="006420B7" w:rsidRDefault="001B7D2E" w:rsidP="001B7D2E">
      <w:pPr>
        <w:autoSpaceDE w:val="0"/>
        <w:autoSpaceDN w:val="0"/>
        <w:adjustRightInd w:val="0"/>
        <w:jc w:val="both"/>
        <w:rPr>
          <w:color w:val="000000" w:themeColor="text1"/>
          <w:sz w:val="20"/>
        </w:rPr>
      </w:pPr>
      <w:r>
        <w:rPr>
          <w:sz w:val="20"/>
        </w:rPr>
        <w:tab/>
      </w:r>
      <w:r w:rsidR="00215B4F" w:rsidRPr="006420B7">
        <w:rPr>
          <w:rStyle w:val="FootnoteReference"/>
          <w:color w:val="000000" w:themeColor="text1"/>
          <w:sz w:val="20"/>
        </w:rPr>
        <w:footnoteReference w:id="918"/>
      </w:r>
      <w:r w:rsidRPr="006420B7">
        <w:rPr>
          <w:color w:val="000000" w:themeColor="text1"/>
          <w:sz w:val="20"/>
        </w:rPr>
        <w:t>[“</w:t>
      </w:r>
      <w:r w:rsidRPr="006420B7">
        <w:rPr>
          <w:rFonts w:cs="Arial"/>
          <w:color w:val="000000" w:themeColor="text1"/>
          <w:sz w:val="20"/>
          <w:lang w:val="en-US"/>
        </w:rPr>
        <w:t>(2A) Notwithstanding omission of sub-section (2), any notification issued under the said sub-section and for the time being in force, shall continue to remain in force, unless rescinded by the Board through notification in the official Gazette.”;]</w:t>
      </w:r>
    </w:p>
    <w:p w:rsidR="00A8366F" w:rsidRPr="00412620" w:rsidRDefault="00A8366F">
      <w:pPr>
        <w:jc w:val="both"/>
        <w:rPr>
          <w:sz w:val="20"/>
        </w:rPr>
      </w:pPr>
    </w:p>
    <w:p w:rsidR="00AD52AD" w:rsidRPr="00412620" w:rsidRDefault="00AD52AD">
      <w:pPr>
        <w:jc w:val="both"/>
        <w:rPr>
          <w:sz w:val="20"/>
        </w:rPr>
      </w:pPr>
    </w:p>
    <w:p w:rsidR="00A8366F" w:rsidRPr="00412620" w:rsidRDefault="00A8366F">
      <w:pPr>
        <w:jc w:val="both"/>
        <w:rPr>
          <w:sz w:val="20"/>
        </w:rPr>
      </w:pPr>
      <w:r w:rsidRPr="00412620">
        <w:rPr>
          <w:sz w:val="20"/>
        </w:rPr>
        <w:tab/>
      </w:r>
      <w:r w:rsidRPr="00412620">
        <w:rPr>
          <w:rStyle w:val="FootnoteReference"/>
          <w:sz w:val="20"/>
        </w:rPr>
        <w:footnoteReference w:id="919"/>
      </w:r>
      <w:r w:rsidRPr="00412620">
        <w:rPr>
          <w:sz w:val="20"/>
        </w:rPr>
        <w:t>[  ]</w:t>
      </w:r>
    </w:p>
    <w:p w:rsidR="00A8366F" w:rsidRPr="00412620" w:rsidRDefault="00A8366F">
      <w:pPr>
        <w:jc w:val="both"/>
        <w:rPr>
          <w:sz w:val="20"/>
        </w:rPr>
      </w:pPr>
    </w:p>
    <w:p w:rsidR="00A8366F" w:rsidRPr="00412620" w:rsidRDefault="00A8366F">
      <w:pPr>
        <w:jc w:val="both"/>
        <w:rPr>
          <w:rFonts w:cs="Arial"/>
          <w:sz w:val="20"/>
        </w:rPr>
      </w:pPr>
      <w:r w:rsidRPr="00412620">
        <w:rPr>
          <w:sz w:val="20"/>
        </w:rPr>
        <w:tab/>
      </w:r>
      <w:r w:rsidR="000352F5" w:rsidRPr="00412620">
        <w:rPr>
          <w:rStyle w:val="FootnoteReference"/>
          <w:sz w:val="20"/>
        </w:rPr>
        <w:footnoteReference w:id="920"/>
      </w:r>
      <w:r w:rsidRPr="00412620">
        <w:rPr>
          <w:sz w:val="20"/>
        </w:rPr>
        <w:t>[  ]</w:t>
      </w:r>
    </w:p>
    <w:p w:rsidR="00AA5464" w:rsidRPr="00412620" w:rsidRDefault="00AA5464">
      <w:pPr>
        <w:jc w:val="both"/>
        <w:rPr>
          <w:rFonts w:cs="Arial"/>
          <w:sz w:val="20"/>
        </w:rPr>
      </w:pPr>
    </w:p>
    <w:p w:rsidR="00E40208" w:rsidRPr="00412620" w:rsidRDefault="00E40208">
      <w:pPr>
        <w:jc w:val="both"/>
        <w:rPr>
          <w:rFonts w:cs="Arial"/>
          <w:sz w:val="20"/>
        </w:rPr>
      </w:pPr>
      <w:r w:rsidRPr="00412620">
        <w:rPr>
          <w:rFonts w:cs="Arial"/>
          <w:sz w:val="20"/>
        </w:rPr>
        <w:tab/>
      </w:r>
      <w:r w:rsidRPr="00412620">
        <w:rPr>
          <w:rStyle w:val="FootnoteReference"/>
          <w:rFonts w:cs="Arial"/>
          <w:sz w:val="20"/>
        </w:rPr>
        <w:footnoteReference w:id="921"/>
      </w:r>
      <w:r w:rsidRPr="00412620">
        <w:rPr>
          <w:rFonts w:cs="Arial"/>
          <w:sz w:val="20"/>
        </w:rPr>
        <w:t>[  ]</w:t>
      </w:r>
    </w:p>
    <w:p w:rsidR="00AA5464" w:rsidRPr="00412620" w:rsidRDefault="00AA5464">
      <w:pPr>
        <w:jc w:val="both"/>
        <w:rPr>
          <w:rFonts w:cs="Arial"/>
          <w:sz w:val="20"/>
        </w:rPr>
      </w:pPr>
      <w:r w:rsidRPr="00412620">
        <w:rPr>
          <w:rFonts w:cs="Arial"/>
          <w:sz w:val="20"/>
        </w:rPr>
        <w:tab/>
      </w:r>
    </w:p>
    <w:p w:rsidR="006A3F93" w:rsidRPr="00412620" w:rsidRDefault="006A3F93">
      <w:pPr>
        <w:jc w:val="both"/>
        <w:rPr>
          <w:rFonts w:cs="Arial"/>
          <w:sz w:val="20"/>
        </w:rPr>
      </w:pPr>
      <w:r w:rsidRPr="00412620">
        <w:rPr>
          <w:rFonts w:cs="Arial"/>
          <w:sz w:val="20"/>
        </w:rPr>
        <w:tab/>
        <w:t>(5)</w:t>
      </w:r>
      <w:r w:rsidRPr="00412620">
        <w:rPr>
          <w:rFonts w:cs="Arial"/>
          <w:sz w:val="20"/>
        </w:rPr>
        <w:tab/>
        <w:t>Advance tax shall be collected in the same manner and at the same time as the customs-duty payable in respect of the import or, if the goods are exempt from customs-duty, at the time customs-duty would be payable if the goods were dutiable.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The provisions of the Customs Act, 1969 (IV of 1969), in so far as relevant, shall apply to the collection of tax under this section.</w:t>
      </w:r>
    </w:p>
    <w:p w:rsidR="006A3F93" w:rsidRPr="00412620" w:rsidRDefault="006A3F93">
      <w:pPr>
        <w:jc w:val="both"/>
        <w:rPr>
          <w:rFonts w:cs="Arial"/>
          <w:sz w:val="20"/>
        </w:rPr>
      </w:pPr>
    </w:p>
    <w:p w:rsidR="00B417B0" w:rsidRPr="00412620" w:rsidRDefault="00B417B0">
      <w:pPr>
        <w:jc w:val="both"/>
        <w:rPr>
          <w:rFonts w:cs="Arial"/>
          <w:sz w:val="20"/>
        </w:rPr>
      </w:pPr>
      <w:r w:rsidRPr="00412620">
        <w:rPr>
          <w:rFonts w:cs="Arial"/>
          <w:sz w:val="20"/>
        </w:rPr>
        <w:tab/>
      </w:r>
      <w:r w:rsidRPr="00412620">
        <w:rPr>
          <w:rStyle w:val="FootnoteReference"/>
          <w:rFonts w:cs="Arial"/>
          <w:sz w:val="20"/>
        </w:rPr>
        <w:footnoteReference w:id="922"/>
      </w:r>
      <w:r w:rsidRPr="00412620">
        <w:rPr>
          <w:rFonts w:cs="Arial"/>
          <w:sz w:val="20"/>
        </w:rPr>
        <w:t xml:space="preserve">[(7) </w:t>
      </w:r>
      <w:r w:rsidRPr="00412620">
        <w:rPr>
          <w:rFonts w:cs="Arial"/>
          <w:sz w:val="20"/>
        </w:rPr>
        <w:tab/>
        <w:t xml:space="preserve">The tax </w:t>
      </w:r>
      <w:r w:rsidR="0055094C" w:rsidRPr="00412620">
        <w:rPr>
          <w:rStyle w:val="FootnoteReference"/>
          <w:rFonts w:cs="Arial"/>
          <w:sz w:val="20"/>
        </w:rPr>
        <w:footnoteReference w:id="923"/>
      </w:r>
      <w:r w:rsidR="0055094C" w:rsidRPr="00412620">
        <w:rPr>
          <w:rFonts w:cs="Arial"/>
          <w:sz w:val="20"/>
        </w:rPr>
        <w:t xml:space="preserve">[required to be] </w:t>
      </w:r>
      <w:r w:rsidRPr="00412620">
        <w:rPr>
          <w:rFonts w:cs="Arial"/>
          <w:sz w:val="20"/>
        </w:rPr>
        <w:t>collected under this section shall be a final tax</w:t>
      </w:r>
      <w:r w:rsidR="007E13AA" w:rsidRPr="00412620">
        <w:rPr>
          <w:rStyle w:val="FootnoteReference"/>
          <w:rFonts w:cs="Arial"/>
          <w:sz w:val="20"/>
        </w:rPr>
        <w:footnoteReference w:id="924"/>
      </w:r>
      <w:r w:rsidR="007E13AA" w:rsidRPr="00412620">
        <w:rPr>
          <w:rFonts w:cs="Arial"/>
          <w:sz w:val="20"/>
        </w:rPr>
        <w:t>[except as provided under sub-section (8)</w:t>
      </w:r>
      <w:r w:rsidR="004B1ECE" w:rsidRPr="00412620">
        <w:rPr>
          <w:rFonts w:cs="Arial"/>
          <w:sz w:val="20"/>
        </w:rPr>
        <w:t>]</w:t>
      </w:r>
      <w:r w:rsidRPr="00412620">
        <w:rPr>
          <w:rFonts w:cs="Arial"/>
          <w:sz w:val="20"/>
        </w:rPr>
        <w:t>on the income of the importer arising from the imports subject to sub-section (1) and this sub-section shall not apply in the case of impor</w:t>
      </w:r>
      <w:r w:rsidR="003A240E" w:rsidRPr="00412620">
        <w:rPr>
          <w:rFonts w:cs="Arial"/>
          <w:sz w:val="20"/>
        </w:rPr>
        <w:t>t of</w:t>
      </w:r>
      <w:r w:rsidR="008418F0" w:rsidRPr="00412620">
        <w:rPr>
          <w:rFonts w:cs="Arial"/>
          <w:sz w:val="20"/>
        </w:rPr>
        <w:t>—</w:t>
      </w:r>
    </w:p>
    <w:p w:rsidR="00B417B0" w:rsidRPr="00412620" w:rsidRDefault="00B417B0">
      <w:pPr>
        <w:jc w:val="both"/>
        <w:rPr>
          <w:rFonts w:cs="Arial"/>
          <w:sz w:val="20"/>
        </w:rPr>
      </w:pPr>
    </w:p>
    <w:p w:rsidR="00B417B0" w:rsidRPr="00412620" w:rsidRDefault="00B417B0" w:rsidP="003647B7">
      <w:pPr>
        <w:ind w:left="1634" w:hanging="540"/>
        <w:jc w:val="both"/>
        <w:rPr>
          <w:rFonts w:cs="Arial"/>
          <w:sz w:val="20"/>
        </w:rPr>
      </w:pPr>
      <w:r w:rsidRPr="00412620">
        <w:rPr>
          <w:rFonts w:cs="Arial"/>
          <w:sz w:val="20"/>
        </w:rPr>
        <w:t xml:space="preserve">(a) </w:t>
      </w:r>
      <w:r w:rsidRPr="00412620">
        <w:rPr>
          <w:rFonts w:cs="Arial"/>
          <w:sz w:val="20"/>
        </w:rPr>
        <w:tab/>
        <w:t>raw material, plant, machinery, equipment and parts by an industrial  undertaking for its own use;</w:t>
      </w:r>
    </w:p>
    <w:p w:rsidR="00B417B0" w:rsidRPr="00412620" w:rsidRDefault="00B417B0">
      <w:pPr>
        <w:jc w:val="both"/>
        <w:rPr>
          <w:rFonts w:cs="Arial"/>
          <w:sz w:val="20"/>
        </w:rPr>
      </w:pPr>
    </w:p>
    <w:p w:rsidR="00B417B0" w:rsidRPr="00412620" w:rsidRDefault="00B417B0" w:rsidP="003647B7">
      <w:pPr>
        <w:ind w:firstLine="540"/>
        <w:jc w:val="both"/>
        <w:rPr>
          <w:rFonts w:cs="Arial"/>
          <w:sz w:val="20"/>
        </w:rPr>
      </w:pPr>
      <w:r w:rsidRPr="00412620">
        <w:rPr>
          <w:rFonts w:cs="Arial"/>
          <w:sz w:val="20"/>
        </w:rPr>
        <w:tab/>
        <w:t xml:space="preserve">(b) </w:t>
      </w:r>
      <w:r w:rsidRPr="00412620">
        <w:rPr>
          <w:rFonts w:cs="Arial"/>
          <w:sz w:val="20"/>
        </w:rPr>
        <w:tab/>
        <w:t>fertilizer by manufacturer of fertilizer; and</w:t>
      </w:r>
    </w:p>
    <w:p w:rsidR="00B417B0" w:rsidRPr="00412620" w:rsidRDefault="00B417B0">
      <w:pPr>
        <w:jc w:val="both"/>
        <w:rPr>
          <w:rFonts w:cs="Arial"/>
          <w:sz w:val="20"/>
        </w:rPr>
      </w:pPr>
    </w:p>
    <w:p w:rsidR="00B417B0" w:rsidRPr="00412620" w:rsidRDefault="00B417B0" w:rsidP="003647B7">
      <w:pPr>
        <w:ind w:left="1641" w:hanging="547"/>
        <w:jc w:val="both"/>
        <w:rPr>
          <w:rFonts w:cs="Arial"/>
          <w:sz w:val="20"/>
        </w:rPr>
      </w:pPr>
      <w:r w:rsidRPr="00412620">
        <w:rPr>
          <w:rFonts w:cs="Arial"/>
          <w:sz w:val="20"/>
        </w:rPr>
        <w:t xml:space="preserve">(c) </w:t>
      </w:r>
      <w:r w:rsidRPr="00412620">
        <w:rPr>
          <w:rFonts w:cs="Arial"/>
          <w:sz w:val="20"/>
        </w:rPr>
        <w:tab/>
      </w:r>
      <w:r w:rsidR="000B3718" w:rsidRPr="00412620">
        <w:rPr>
          <w:rStyle w:val="FootnoteReference"/>
          <w:rFonts w:cs="Arial"/>
          <w:sz w:val="20"/>
        </w:rPr>
        <w:footnoteReference w:id="925"/>
      </w:r>
      <w:r w:rsidR="005760CA" w:rsidRPr="00412620">
        <w:rPr>
          <w:rFonts w:cs="Arial"/>
          <w:sz w:val="20"/>
        </w:rPr>
        <w:t xml:space="preserve">[motor vehicles] </w:t>
      </w:r>
      <w:r w:rsidRPr="00412620">
        <w:rPr>
          <w:rFonts w:cs="Arial"/>
          <w:sz w:val="20"/>
        </w:rPr>
        <w:t>in CB</w:t>
      </w:r>
      <w:r w:rsidR="002F17D0" w:rsidRPr="00412620">
        <w:rPr>
          <w:rFonts w:cs="Arial"/>
          <w:sz w:val="20"/>
        </w:rPr>
        <w:t>U</w:t>
      </w:r>
      <w:r w:rsidRPr="00412620">
        <w:rPr>
          <w:rFonts w:cs="Arial"/>
          <w:sz w:val="20"/>
        </w:rPr>
        <w:t xml:space="preserve"> condition by manufacturer of</w:t>
      </w:r>
      <w:r w:rsidR="000B3718" w:rsidRPr="00412620">
        <w:rPr>
          <w:rStyle w:val="FootnoteReference"/>
          <w:rFonts w:cs="Arial"/>
          <w:sz w:val="20"/>
        </w:rPr>
        <w:footnoteReference w:id="926"/>
      </w:r>
      <w:r w:rsidR="005760CA" w:rsidRPr="00412620">
        <w:rPr>
          <w:rFonts w:cs="Arial"/>
          <w:sz w:val="20"/>
        </w:rPr>
        <w:t>[motor vehicles]</w:t>
      </w:r>
      <w:r w:rsidRPr="00412620">
        <w:rPr>
          <w:rFonts w:cs="Arial"/>
          <w:sz w:val="20"/>
        </w:rPr>
        <w:t>.]</w:t>
      </w:r>
    </w:p>
    <w:p w:rsidR="006A3F93" w:rsidRPr="00412620" w:rsidRDefault="006A3F93">
      <w:pPr>
        <w:jc w:val="both"/>
        <w:rPr>
          <w:rFonts w:cs="Arial"/>
          <w:sz w:val="20"/>
        </w:rPr>
      </w:pPr>
    </w:p>
    <w:p w:rsidR="000B3718" w:rsidRPr="00412620" w:rsidRDefault="003647B7">
      <w:pPr>
        <w:jc w:val="both"/>
        <w:rPr>
          <w:rFonts w:cs="Arial"/>
          <w:sz w:val="20"/>
        </w:rPr>
      </w:pPr>
      <w:r w:rsidRPr="00412620">
        <w:rPr>
          <w:rFonts w:cs="Arial"/>
          <w:sz w:val="20"/>
        </w:rPr>
        <w:tab/>
      </w:r>
      <w:r w:rsidR="000B3718" w:rsidRPr="00412620">
        <w:rPr>
          <w:rFonts w:cs="Arial"/>
          <w:sz w:val="20"/>
        </w:rPr>
        <w:tab/>
      </w:r>
      <w:r w:rsidRPr="00412620">
        <w:rPr>
          <w:rStyle w:val="FootnoteReference"/>
          <w:rFonts w:cs="Arial"/>
          <w:sz w:val="20"/>
        </w:rPr>
        <w:footnoteReference w:id="927"/>
      </w:r>
      <w:r w:rsidR="000B3718" w:rsidRPr="00412620">
        <w:rPr>
          <w:rFonts w:cs="Arial"/>
          <w:sz w:val="20"/>
        </w:rPr>
        <w:t xml:space="preserve">[(d) </w:t>
      </w:r>
      <w:r w:rsidR="000B3718" w:rsidRPr="00412620">
        <w:rPr>
          <w:rFonts w:cs="Arial"/>
          <w:sz w:val="20"/>
        </w:rPr>
        <w:tab/>
        <w:t>large import houses, who,</w:t>
      </w:r>
      <w:r w:rsidR="007976E1" w:rsidRPr="00412620">
        <w:rPr>
          <w:rFonts w:cs="Arial"/>
          <w:sz w:val="20"/>
        </w:rPr>
        <w:t>—</w:t>
      </w:r>
    </w:p>
    <w:p w:rsidR="003647B7" w:rsidRPr="00412620" w:rsidRDefault="003647B7" w:rsidP="003647B7">
      <w:pPr>
        <w:pStyle w:val="6"/>
        <w:tabs>
          <w:tab w:val="clear" w:pos="2880"/>
          <w:tab w:val="clear" w:pos="3120"/>
        </w:tabs>
        <w:ind w:left="0" w:firstLine="0"/>
        <w:rPr>
          <w:rFonts w:ascii="Arial" w:hAnsi="Arial" w:cs="Arial"/>
          <w:color w:val="auto"/>
          <w:sz w:val="20"/>
          <w:szCs w:val="20"/>
        </w:rPr>
      </w:pPr>
      <w:r w:rsidRPr="00412620">
        <w:rPr>
          <w:rFonts w:ascii="Arial" w:hAnsi="Arial" w:cs="Arial"/>
          <w:color w:val="auto"/>
          <w:sz w:val="20"/>
          <w:szCs w:val="20"/>
        </w:rPr>
        <w:tab/>
      </w:r>
      <w:r w:rsidRPr="00412620">
        <w:rPr>
          <w:rFonts w:ascii="Arial" w:hAnsi="Arial" w:cs="Arial"/>
          <w:color w:val="auto"/>
          <w:sz w:val="20"/>
          <w:szCs w:val="20"/>
        </w:rPr>
        <w:tab/>
      </w:r>
    </w:p>
    <w:p w:rsidR="003647B7" w:rsidRPr="00412620" w:rsidRDefault="003647B7" w:rsidP="003647B7">
      <w:pPr>
        <w:pStyle w:val="6"/>
        <w:tabs>
          <w:tab w:val="clear" w:pos="2880"/>
          <w:tab w:val="clear" w:pos="3120"/>
        </w:tabs>
        <w:ind w:left="0" w:firstLine="0"/>
        <w:rPr>
          <w:rFonts w:ascii="Arial" w:hAnsi="Arial" w:cs="Arial"/>
          <w:color w:val="auto"/>
          <w:sz w:val="20"/>
          <w:szCs w:val="20"/>
        </w:rPr>
      </w:pPr>
      <w:r w:rsidRPr="00412620">
        <w:rPr>
          <w:rFonts w:ascii="Arial" w:hAnsi="Arial" w:cs="Arial"/>
          <w:color w:val="auto"/>
          <w:sz w:val="20"/>
          <w:szCs w:val="20"/>
        </w:rPr>
        <w:tab/>
      </w:r>
      <w:r w:rsidRPr="00412620">
        <w:rPr>
          <w:rFonts w:ascii="Arial" w:hAnsi="Arial" w:cs="Arial"/>
          <w:color w:val="auto"/>
          <w:sz w:val="20"/>
          <w:szCs w:val="20"/>
        </w:rPr>
        <w:tab/>
      </w:r>
      <w:r w:rsidRPr="00412620">
        <w:rPr>
          <w:rFonts w:ascii="Arial" w:hAnsi="Arial" w:cs="Arial"/>
          <w:color w:val="auto"/>
          <w:sz w:val="20"/>
          <w:szCs w:val="20"/>
        </w:rPr>
        <w:tab/>
        <w:t>(i)</w:t>
      </w:r>
      <w:r w:rsidRPr="00412620">
        <w:rPr>
          <w:rFonts w:ascii="Arial" w:hAnsi="Arial" w:cs="Arial"/>
          <w:color w:val="auto"/>
          <w:sz w:val="20"/>
          <w:szCs w:val="20"/>
        </w:rPr>
        <w:tab/>
        <w:t>have paid-up capital of exceeding Rs.</w:t>
      </w:r>
      <w:r w:rsidR="00261A39" w:rsidRPr="00412620">
        <w:rPr>
          <w:rStyle w:val="FootnoteReference"/>
          <w:rFonts w:ascii="Arial" w:hAnsi="Arial" w:cs="Arial"/>
          <w:color w:val="auto"/>
          <w:sz w:val="20"/>
          <w:szCs w:val="20"/>
        </w:rPr>
        <w:footnoteReference w:id="928"/>
      </w:r>
      <w:r w:rsidR="00261A39" w:rsidRPr="00412620">
        <w:rPr>
          <w:rFonts w:ascii="Arial" w:hAnsi="Arial" w:cs="Arial"/>
          <w:color w:val="auto"/>
          <w:sz w:val="20"/>
          <w:szCs w:val="20"/>
        </w:rPr>
        <w:t xml:space="preserve">[250] </w:t>
      </w:r>
      <w:r w:rsidRPr="00412620">
        <w:rPr>
          <w:rFonts w:ascii="Arial" w:hAnsi="Arial" w:cs="Arial"/>
          <w:color w:val="auto"/>
          <w:sz w:val="20"/>
          <w:szCs w:val="20"/>
        </w:rPr>
        <w:t>million;</w:t>
      </w:r>
    </w:p>
    <w:p w:rsidR="003647B7" w:rsidRPr="00412620" w:rsidRDefault="003647B7" w:rsidP="003647B7">
      <w:pPr>
        <w:pStyle w:val="6"/>
        <w:rPr>
          <w:rFonts w:ascii="Arial" w:hAnsi="Arial" w:cs="Arial"/>
          <w:color w:val="auto"/>
          <w:sz w:val="20"/>
          <w:szCs w:val="20"/>
        </w:rPr>
      </w:pPr>
    </w:p>
    <w:p w:rsidR="003647B7" w:rsidRPr="00412620" w:rsidRDefault="003647B7" w:rsidP="003647B7">
      <w:pPr>
        <w:pStyle w:val="6"/>
        <w:tabs>
          <w:tab w:val="clear" w:pos="2880"/>
          <w:tab w:val="clear" w:pos="3120"/>
        </w:tabs>
        <w:ind w:left="2188" w:hanging="547"/>
        <w:rPr>
          <w:rFonts w:ascii="Arial" w:hAnsi="Arial" w:cs="Arial"/>
          <w:color w:val="auto"/>
          <w:sz w:val="20"/>
          <w:szCs w:val="20"/>
        </w:rPr>
      </w:pPr>
      <w:r w:rsidRPr="00412620">
        <w:rPr>
          <w:rFonts w:ascii="Arial" w:hAnsi="Arial" w:cs="Arial"/>
          <w:color w:val="auto"/>
          <w:sz w:val="20"/>
          <w:szCs w:val="20"/>
        </w:rPr>
        <w:t>(ii)</w:t>
      </w:r>
      <w:r w:rsidRPr="00412620">
        <w:rPr>
          <w:rFonts w:ascii="Arial" w:hAnsi="Arial" w:cs="Arial"/>
          <w:color w:val="auto"/>
          <w:sz w:val="20"/>
          <w:szCs w:val="20"/>
        </w:rPr>
        <w:tab/>
        <w:t>have imports exceeding Rs.500 million during the tax year;</w:t>
      </w:r>
    </w:p>
    <w:p w:rsidR="003647B7" w:rsidRPr="004E3ABA" w:rsidRDefault="003647B7" w:rsidP="003647B7">
      <w:pPr>
        <w:pStyle w:val="6"/>
        <w:tabs>
          <w:tab w:val="clear" w:pos="2880"/>
          <w:tab w:val="clear" w:pos="3120"/>
        </w:tabs>
        <w:ind w:left="0" w:firstLine="0"/>
        <w:rPr>
          <w:rFonts w:ascii="Arial" w:hAnsi="Arial" w:cs="Arial"/>
          <w:color w:val="auto"/>
          <w:sz w:val="12"/>
          <w:szCs w:val="20"/>
        </w:rPr>
      </w:pPr>
    </w:p>
    <w:p w:rsidR="003647B7" w:rsidRPr="00412620" w:rsidRDefault="003647B7" w:rsidP="003647B7">
      <w:pPr>
        <w:pStyle w:val="6"/>
        <w:tabs>
          <w:tab w:val="clear" w:pos="2880"/>
          <w:tab w:val="clear" w:pos="3120"/>
        </w:tabs>
        <w:ind w:left="2188" w:hanging="553"/>
        <w:rPr>
          <w:rFonts w:ascii="Arial" w:hAnsi="Arial" w:cs="Arial"/>
          <w:color w:val="auto"/>
          <w:sz w:val="20"/>
          <w:szCs w:val="20"/>
        </w:rPr>
      </w:pPr>
      <w:r w:rsidRPr="00412620">
        <w:rPr>
          <w:rFonts w:ascii="Arial" w:hAnsi="Arial" w:cs="Arial"/>
          <w:color w:val="auto"/>
          <w:sz w:val="20"/>
          <w:szCs w:val="20"/>
        </w:rPr>
        <w:t>(iii)</w:t>
      </w:r>
      <w:r w:rsidRPr="00412620">
        <w:rPr>
          <w:rFonts w:ascii="Arial" w:hAnsi="Arial" w:cs="Arial"/>
          <w:color w:val="auto"/>
          <w:sz w:val="20"/>
          <w:szCs w:val="20"/>
        </w:rPr>
        <w:tab/>
        <w:t>own total assets exceeding Rs.</w:t>
      </w:r>
      <w:r w:rsidR="008D713E" w:rsidRPr="00412620">
        <w:rPr>
          <w:rStyle w:val="FootnoteReference"/>
          <w:rFonts w:ascii="Arial" w:hAnsi="Arial" w:cs="Arial"/>
          <w:color w:val="auto"/>
          <w:sz w:val="20"/>
          <w:szCs w:val="20"/>
        </w:rPr>
        <w:footnoteReference w:id="929"/>
      </w:r>
      <w:r w:rsidR="008D713E" w:rsidRPr="00412620">
        <w:rPr>
          <w:rFonts w:ascii="Arial" w:hAnsi="Arial" w:cs="Arial"/>
          <w:color w:val="auto"/>
          <w:sz w:val="20"/>
          <w:szCs w:val="20"/>
        </w:rPr>
        <w:t>[350]</w:t>
      </w:r>
      <w:r w:rsidRPr="00412620">
        <w:rPr>
          <w:rFonts w:ascii="Arial" w:hAnsi="Arial" w:cs="Arial"/>
          <w:color w:val="auto"/>
          <w:sz w:val="20"/>
          <w:szCs w:val="20"/>
        </w:rPr>
        <w:t xml:space="preserve"> million at the close of the tax year;</w:t>
      </w:r>
    </w:p>
    <w:p w:rsidR="003647B7" w:rsidRPr="004E3ABA" w:rsidRDefault="003647B7" w:rsidP="003647B7">
      <w:pPr>
        <w:pStyle w:val="6"/>
        <w:tabs>
          <w:tab w:val="clear" w:pos="2880"/>
          <w:tab w:val="clear" w:pos="3120"/>
        </w:tabs>
        <w:ind w:left="0" w:firstLine="0"/>
        <w:rPr>
          <w:rFonts w:ascii="Arial" w:hAnsi="Arial" w:cs="Arial"/>
          <w:color w:val="auto"/>
          <w:sz w:val="12"/>
          <w:szCs w:val="20"/>
        </w:rPr>
      </w:pPr>
    </w:p>
    <w:p w:rsidR="003647B7" w:rsidRPr="00412620" w:rsidRDefault="003647B7" w:rsidP="003647B7">
      <w:pPr>
        <w:pStyle w:val="6"/>
        <w:tabs>
          <w:tab w:val="clear" w:pos="2880"/>
          <w:tab w:val="clear" w:pos="3120"/>
        </w:tabs>
        <w:ind w:left="2188" w:hanging="553"/>
        <w:rPr>
          <w:rFonts w:ascii="Arial" w:hAnsi="Arial" w:cs="Arial"/>
          <w:color w:val="auto"/>
          <w:sz w:val="20"/>
          <w:szCs w:val="20"/>
        </w:rPr>
      </w:pPr>
      <w:r w:rsidRPr="00412620">
        <w:rPr>
          <w:rFonts w:ascii="Arial" w:hAnsi="Arial" w:cs="Arial"/>
          <w:color w:val="auto"/>
          <w:sz w:val="20"/>
          <w:szCs w:val="20"/>
        </w:rPr>
        <w:t>(iv)</w:t>
      </w:r>
      <w:r w:rsidRPr="00412620">
        <w:rPr>
          <w:rFonts w:ascii="Arial" w:hAnsi="Arial" w:cs="Arial"/>
          <w:color w:val="auto"/>
          <w:sz w:val="20"/>
          <w:szCs w:val="20"/>
        </w:rPr>
        <w:tab/>
        <w:t>is single object company;</w:t>
      </w:r>
    </w:p>
    <w:p w:rsidR="003647B7" w:rsidRPr="004E3ABA" w:rsidRDefault="003647B7" w:rsidP="003647B7">
      <w:pPr>
        <w:pStyle w:val="6"/>
        <w:tabs>
          <w:tab w:val="clear" w:pos="2880"/>
          <w:tab w:val="clear" w:pos="3120"/>
        </w:tabs>
        <w:ind w:left="0" w:firstLine="0"/>
        <w:rPr>
          <w:rFonts w:ascii="Arial" w:hAnsi="Arial" w:cs="Arial"/>
          <w:color w:val="auto"/>
          <w:sz w:val="12"/>
          <w:szCs w:val="20"/>
        </w:rPr>
      </w:pPr>
    </w:p>
    <w:p w:rsidR="003647B7" w:rsidRPr="00412620" w:rsidRDefault="003647B7" w:rsidP="003647B7">
      <w:pPr>
        <w:pStyle w:val="6"/>
        <w:tabs>
          <w:tab w:val="clear" w:pos="2880"/>
          <w:tab w:val="clear" w:pos="3120"/>
        </w:tabs>
        <w:ind w:left="2188" w:hanging="553"/>
        <w:rPr>
          <w:rFonts w:ascii="Arial" w:hAnsi="Arial" w:cs="Arial"/>
          <w:color w:val="auto"/>
          <w:sz w:val="20"/>
          <w:szCs w:val="20"/>
        </w:rPr>
      </w:pPr>
      <w:r w:rsidRPr="00412620">
        <w:rPr>
          <w:rFonts w:ascii="Arial" w:hAnsi="Arial" w:cs="Arial"/>
          <w:color w:val="auto"/>
          <w:sz w:val="20"/>
          <w:szCs w:val="20"/>
        </w:rPr>
        <w:t>(v)</w:t>
      </w:r>
      <w:r w:rsidRPr="00412620">
        <w:rPr>
          <w:rFonts w:ascii="Arial" w:hAnsi="Arial" w:cs="Arial"/>
          <w:color w:val="auto"/>
          <w:sz w:val="20"/>
          <w:szCs w:val="20"/>
        </w:rPr>
        <w:tab/>
        <w:t xml:space="preserve">maintain computerized records of imports and sale of goods; </w:t>
      </w:r>
    </w:p>
    <w:p w:rsidR="003647B7" w:rsidRPr="004E3ABA" w:rsidRDefault="003647B7" w:rsidP="003647B7">
      <w:pPr>
        <w:pStyle w:val="6"/>
        <w:tabs>
          <w:tab w:val="clear" w:pos="2880"/>
          <w:tab w:val="clear" w:pos="3120"/>
        </w:tabs>
        <w:ind w:left="2188" w:hanging="553"/>
        <w:rPr>
          <w:rFonts w:ascii="Arial" w:hAnsi="Arial" w:cs="Arial"/>
          <w:color w:val="auto"/>
          <w:sz w:val="12"/>
          <w:szCs w:val="20"/>
        </w:rPr>
      </w:pPr>
    </w:p>
    <w:p w:rsidR="003647B7" w:rsidRPr="00412620" w:rsidRDefault="003647B7" w:rsidP="003647B7">
      <w:pPr>
        <w:pStyle w:val="6"/>
        <w:tabs>
          <w:tab w:val="clear" w:pos="2880"/>
          <w:tab w:val="clear" w:pos="3120"/>
        </w:tabs>
        <w:ind w:left="2188" w:hanging="553"/>
        <w:rPr>
          <w:rFonts w:ascii="Arial" w:hAnsi="Arial" w:cs="Arial"/>
          <w:color w:val="auto"/>
          <w:sz w:val="20"/>
          <w:szCs w:val="20"/>
        </w:rPr>
      </w:pPr>
      <w:r w:rsidRPr="00412620">
        <w:rPr>
          <w:rFonts w:ascii="Arial" w:hAnsi="Arial" w:cs="Arial"/>
          <w:color w:val="auto"/>
          <w:sz w:val="20"/>
          <w:szCs w:val="20"/>
        </w:rPr>
        <w:t>(vi)</w:t>
      </w:r>
      <w:r w:rsidRPr="00412620">
        <w:rPr>
          <w:rFonts w:ascii="Arial" w:hAnsi="Arial" w:cs="Arial"/>
          <w:color w:val="auto"/>
          <w:sz w:val="20"/>
          <w:szCs w:val="20"/>
        </w:rPr>
        <w:tab/>
        <w:t>maintain a system for issuance of 100% cash receipts on sales;</w:t>
      </w:r>
    </w:p>
    <w:p w:rsidR="003647B7" w:rsidRPr="004E3ABA" w:rsidRDefault="003647B7" w:rsidP="003647B7">
      <w:pPr>
        <w:pStyle w:val="6"/>
        <w:tabs>
          <w:tab w:val="clear" w:pos="2880"/>
          <w:tab w:val="clear" w:pos="3120"/>
        </w:tabs>
        <w:ind w:left="2188" w:hanging="553"/>
        <w:rPr>
          <w:rFonts w:ascii="Arial" w:hAnsi="Arial" w:cs="Arial"/>
          <w:color w:val="auto"/>
          <w:sz w:val="12"/>
          <w:szCs w:val="20"/>
        </w:rPr>
      </w:pPr>
    </w:p>
    <w:p w:rsidR="003647B7" w:rsidRPr="00412620" w:rsidRDefault="003647B7" w:rsidP="003647B7">
      <w:pPr>
        <w:pStyle w:val="6"/>
        <w:tabs>
          <w:tab w:val="clear" w:pos="2880"/>
          <w:tab w:val="clear" w:pos="3120"/>
        </w:tabs>
        <w:ind w:left="2188" w:hanging="553"/>
        <w:rPr>
          <w:rFonts w:ascii="Arial" w:hAnsi="Arial" w:cs="Arial"/>
          <w:color w:val="auto"/>
          <w:sz w:val="20"/>
          <w:szCs w:val="20"/>
        </w:rPr>
      </w:pPr>
      <w:r w:rsidRPr="00412620">
        <w:rPr>
          <w:rFonts w:ascii="Arial" w:hAnsi="Arial" w:cs="Arial"/>
          <w:color w:val="auto"/>
          <w:sz w:val="20"/>
          <w:szCs w:val="20"/>
        </w:rPr>
        <w:t>(vii)</w:t>
      </w:r>
      <w:r w:rsidRPr="00412620">
        <w:rPr>
          <w:rFonts w:ascii="Arial" w:hAnsi="Arial" w:cs="Arial"/>
          <w:color w:val="auto"/>
          <w:sz w:val="20"/>
          <w:szCs w:val="20"/>
        </w:rPr>
        <w:tab/>
        <w:t>present accounts for tax audit every year;</w:t>
      </w:r>
    </w:p>
    <w:p w:rsidR="003647B7" w:rsidRPr="00412620" w:rsidRDefault="003647B7" w:rsidP="003647B7">
      <w:pPr>
        <w:pStyle w:val="6"/>
        <w:tabs>
          <w:tab w:val="clear" w:pos="2880"/>
          <w:tab w:val="clear" w:pos="3120"/>
        </w:tabs>
        <w:ind w:left="2188" w:hanging="553"/>
        <w:rPr>
          <w:rFonts w:ascii="Arial" w:hAnsi="Arial" w:cs="Arial"/>
          <w:color w:val="auto"/>
          <w:sz w:val="20"/>
          <w:szCs w:val="20"/>
        </w:rPr>
      </w:pPr>
    </w:p>
    <w:p w:rsidR="003647B7" w:rsidRPr="00412620" w:rsidRDefault="003647B7" w:rsidP="003647B7">
      <w:pPr>
        <w:pStyle w:val="6"/>
        <w:tabs>
          <w:tab w:val="clear" w:pos="2880"/>
          <w:tab w:val="clear" w:pos="3120"/>
        </w:tabs>
        <w:ind w:left="2188" w:hanging="553"/>
        <w:rPr>
          <w:rFonts w:ascii="Arial" w:hAnsi="Arial" w:cs="Arial"/>
          <w:color w:val="auto"/>
          <w:sz w:val="20"/>
          <w:szCs w:val="20"/>
        </w:rPr>
      </w:pPr>
      <w:r w:rsidRPr="00412620">
        <w:rPr>
          <w:rFonts w:ascii="Arial" w:hAnsi="Arial" w:cs="Arial"/>
          <w:color w:val="auto"/>
          <w:sz w:val="20"/>
          <w:szCs w:val="20"/>
        </w:rPr>
        <w:t>(viii)</w:t>
      </w:r>
      <w:r w:rsidRPr="00412620">
        <w:rPr>
          <w:rFonts w:ascii="Arial" w:hAnsi="Arial" w:cs="Arial"/>
          <w:color w:val="auto"/>
          <w:sz w:val="20"/>
          <w:szCs w:val="20"/>
        </w:rPr>
        <w:tab/>
        <w:t xml:space="preserve">is </w:t>
      </w:r>
      <w:r w:rsidRPr="00F53D60">
        <w:rPr>
          <w:rFonts w:ascii="Arial" w:hAnsi="Arial" w:cs="Arial"/>
          <w:color w:val="000000" w:themeColor="text1"/>
          <w:sz w:val="20"/>
          <w:szCs w:val="20"/>
        </w:rPr>
        <w:t>registered</w:t>
      </w:r>
      <w:r w:rsidR="00F53D60" w:rsidRPr="00F53D60">
        <w:rPr>
          <w:rFonts w:ascii="Arial" w:hAnsi="Arial" w:cs="Arial"/>
          <w:color w:val="000000" w:themeColor="text1"/>
          <w:sz w:val="20"/>
          <w:szCs w:val="20"/>
        </w:rPr>
        <w:t xml:space="preserve"> </w:t>
      </w:r>
      <w:r w:rsidR="00DD2C02" w:rsidRPr="00F53D60">
        <w:rPr>
          <w:rStyle w:val="FootnoteReference"/>
          <w:rFonts w:ascii="Arial" w:hAnsi="Arial" w:cs="Arial"/>
          <w:color w:val="000000" w:themeColor="text1"/>
          <w:sz w:val="20"/>
          <w:szCs w:val="20"/>
        </w:rPr>
        <w:footnoteReference w:id="930"/>
      </w:r>
      <w:r w:rsidR="00DD2C02" w:rsidRPr="00F53D60">
        <w:rPr>
          <w:rFonts w:ascii="Arial" w:hAnsi="Arial" w:cs="Arial"/>
          <w:color w:val="000000" w:themeColor="text1"/>
          <w:sz w:val="20"/>
          <w:szCs w:val="20"/>
        </w:rPr>
        <w:t>[under the Sales Tax Act</w:t>
      </w:r>
      <w:r w:rsidR="00E86A28" w:rsidRPr="00F53D60">
        <w:rPr>
          <w:rFonts w:ascii="Arial" w:hAnsi="Arial" w:cs="Arial"/>
          <w:color w:val="000000" w:themeColor="text1"/>
          <w:sz w:val="20"/>
          <w:szCs w:val="20"/>
        </w:rPr>
        <w:t xml:space="preserve">, </w:t>
      </w:r>
      <w:r w:rsidR="008B284A" w:rsidRPr="00F53D60">
        <w:rPr>
          <w:rFonts w:ascii="Arial" w:hAnsi="Arial" w:cs="Arial"/>
          <w:color w:val="000000" w:themeColor="text1"/>
          <w:sz w:val="20"/>
          <w:szCs w:val="20"/>
        </w:rPr>
        <w:t>1990</w:t>
      </w:r>
      <w:r w:rsidR="00DD2C02" w:rsidRPr="00F53D60">
        <w:rPr>
          <w:rFonts w:ascii="Arial" w:hAnsi="Arial" w:cs="Arial"/>
          <w:color w:val="000000" w:themeColor="text1"/>
          <w:sz w:val="20"/>
          <w:szCs w:val="20"/>
        </w:rPr>
        <w:t>]</w:t>
      </w:r>
      <w:r w:rsidRPr="00F53D60">
        <w:rPr>
          <w:rFonts w:ascii="Arial" w:hAnsi="Arial" w:cs="Arial"/>
          <w:color w:val="000000" w:themeColor="text1"/>
          <w:sz w:val="20"/>
          <w:szCs w:val="20"/>
        </w:rPr>
        <w:t xml:space="preserve"> and</w:t>
      </w:r>
    </w:p>
    <w:p w:rsidR="00165758" w:rsidRPr="00412620" w:rsidRDefault="00165758" w:rsidP="003647B7">
      <w:pPr>
        <w:pStyle w:val="6"/>
        <w:tabs>
          <w:tab w:val="clear" w:pos="2880"/>
          <w:tab w:val="clear" w:pos="3120"/>
        </w:tabs>
        <w:ind w:left="2188" w:hanging="553"/>
        <w:rPr>
          <w:rFonts w:ascii="Arial" w:hAnsi="Arial" w:cs="Arial"/>
          <w:color w:val="auto"/>
          <w:sz w:val="20"/>
          <w:szCs w:val="20"/>
        </w:rPr>
      </w:pPr>
    </w:p>
    <w:p w:rsidR="000B3718" w:rsidRPr="00412620" w:rsidRDefault="003647B7" w:rsidP="003647B7">
      <w:pPr>
        <w:pStyle w:val="6"/>
        <w:tabs>
          <w:tab w:val="clear" w:pos="2880"/>
          <w:tab w:val="clear" w:pos="3120"/>
        </w:tabs>
        <w:ind w:left="2188" w:hanging="553"/>
        <w:rPr>
          <w:rFonts w:ascii="Arial" w:hAnsi="Arial" w:cs="Arial"/>
          <w:color w:val="auto"/>
          <w:sz w:val="20"/>
          <w:szCs w:val="20"/>
        </w:rPr>
      </w:pPr>
      <w:r w:rsidRPr="00412620">
        <w:rPr>
          <w:rFonts w:ascii="Arial" w:hAnsi="Arial" w:cs="Arial"/>
          <w:color w:val="auto"/>
          <w:sz w:val="20"/>
          <w:szCs w:val="20"/>
        </w:rPr>
        <w:t>(ix)</w:t>
      </w:r>
      <w:r w:rsidRPr="00412620">
        <w:rPr>
          <w:rFonts w:ascii="Arial" w:hAnsi="Arial" w:cs="Arial"/>
          <w:color w:val="auto"/>
          <w:sz w:val="20"/>
          <w:szCs w:val="20"/>
        </w:rPr>
        <w:tab/>
        <w:t xml:space="preserve">make sales of industrial raw material of manufacturer </w:t>
      </w:r>
      <w:r w:rsidRPr="00F53D60">
        <w:rPr>
          <w:rFonts w:ascii="Arial" w:hAnsi="Arial" w:cs="Arial"/>
          <w:color w:val="000000" w:themeColor="text1"/>
          <w:sz w:val="20"/>
          <w:szCs w:val="20"/>
        </w:rPr>
        <w:t>registered</w:t>
      </w:r>
      <w:r w:rsidR="00F53D60" w:rsidRPr="00F53D60">
        <w:rPr>
          <w:rFonts w:ascii="Arial" w:hAnsi="Arial" w:cs="Arial"/>
          <w:color w:val="000000" w:themeColor="text1"/>
          <w:sz w:val="20"/>
          <w:szCs w:val="20"/>
        </w:rPr>
        <w:t xml:space="preserve"> </w:t>
      </w:r>
      <w:r w:rsidR="009B0AE5" w:rsidRPr="00F53D60">
        <w:rPr>
          <w:rStyle w:val="FootnoteReference"/>
          <w:rFonts w:ascii="Arial" w:hAnsi="Arial" w:cs="Arial"/>
          <w:color w:val="000000" w:themeColor="text1"/>
          <w:sz w:val="20"/>
          <w:szCs w:val="20"/>
        </w:rPr>
        <w:footnoteReference w:id="931"/>
      </w:r>
      <w:r w:rsidR="009B0AE5" w:rsidRPr="00F53D60">
        <w:rPr>
          <w:rFonts w:ascii="Arial" w:hAnsi="Arial" w:cs="Arial"/>
          <w:color w:val="000000" w:themeColor="text1"/>
          <w:sz w:val="20"/>
          <w:szCs w:val="20"/>
        </w:rPr>
        <w:t>[Under the Sales Tax Act,1990]</w:t>
      </w:r>
      <w:r w:rsidR="001E6311" w:rsidRPr="00F53D60">
        <w:rPr>
          <w:rStyle w:val="FootnoteReference"/>
          <w:rFonts w:ascii="Arial" w:hAnsi="Arial" w:cs="Arial"/>
          <w:color w:val="000000" w:themeColor="text1"/>
          <w:sz w:val="20"/>
          <w:szCs w:val="20"/>
        </w:rPr>
        <w:footnoteReference w:id="932"/>
      </w:r>
      <w:r w:rsidR="001E6311" w:rsidRPr="00F53D60">
        <w:rPr>
          <w:rFonts w:ascii="Arial" w:hAnsi="Arial" w:cs="Arial"/>
          <w:color w:val="000000" w:themeColor="text1"/>
          <w:sz w:val="20"/>
          <w:szCs w:val="20"/>
        </w:rPr>
        <w:t>[; and</w:t>
      </w:r>
      <w:r w:rsidR="001E6311" w:rsidRPr="00412620">
        <w:rPr>
          <w:rFonts w:ascii="Arial" w:hAnsi="Arial" w:cs="Arial"/>
          <w:color w:val="auto"/>
          <w:sz w:val="20"/>
          <w:szCs w:val="20"/>
        </w:rPr>
        <w:t xml:space="preserve">] </w:t>
      </w:r>
      <w:r w:rsidRPr="00412620">
        <w:rPr>
          <w:rFonts w:ascii="Arial" w:hAnsi="Arial" w:cs="Arial"/>
          <w:color w:val="auto"/>
          <w:sz w:val="20"/>
          <w:szCs w:val="20"/>
        </w:rPr>
        <w:t>]</w:t>
      </w:r>
    </w:p>
    <w:p w:rsidR="00165758" w:rsidRPr="00412620" w:rsidRDefault="00165758" w:rsidP="00165758">
      <w:pPr>
        <w:ind w:left="1635" w:hanging="540"/>
        <w:jc w:val="both"/>
        <w:rPr>
          <w:rFonts w:cs="Arial"/>
          <w:sz w:val="20"/>
        </w:rPr>
      </w:pPr>
    </w:p>
    <w:p w:rsidR="008418F0" w:rsidRPr="00412620" w:rsidRDefault="00165758" w:rsidP="00165758">
      <w:pPr>
        <w:ind w:left="1635" w:hanging="540"/>
        <w:jc w:val="both"/>
        <w:rPr>
          <w:rFonts w:cs="Arial"/>
          <w:sz w:val="20"/>
        </w:rPr>
      </w:pPr>
      <w:r w:rsidRPr="00412620">
        <w:rPr>
          <w:rStyle w:val="FootnoteReference"/>
          <w:rFonts w:cs="Arial"/>
          <w:sz w:val="20"/>
        </w:rPr>
        <w:footnoteReference w:id="933"/>
      </w:r>
      <w:r w:rsidRPr="00412620">
        <w:rPr>
          <w:rFonts w:cs="Arial"/>
          <w:sz w:val="20"/>
        </w:rPr>
        <w:t>[(</w:t>
      </w:r>
      <w:r w:rsidR="00C41B48" w:rsidRPr="00412620">
        <w:rPr>
          <w:rFonts w:cs="Arial"/>
          <w:sz w:val="20"/>
        </w:rPr>
        <w:t>e</w:t>
      </w:r>
      <w:r w:rsidRPr="00412620">
        <w:rPr>
          <w:rFonts w:cs="Arial"/>
          <w:sz w:val="20"/>
        </w:rPr>
        <w:t xml:space="preserve">) </w:t>
      </w:r>
      <w:r w:rsidRPr="00412620">
        <w:rPr>
          <w:rFonts w:cs="Arial"/>
          <w:sz w:val="20"/>
        </w:rPr>
        <w:tab/>
        <w:t>a foreign produced film imported for the purposes of screening and viewing.]</w:t>
      </w:r>
    </w:p>
    <w:p w:rsidR="00165758" w:rsidRPr="00412620" w:rsidRDefault="00165758">
      <w:pPr>
        <w:jc w:val="both"/>
        <w:rPr>
          <w:rFonts w:cs="Arial"/>
          <w:sz w:val="20"/>
        </w:rPr>
      </w:pPr>
    </w:p>
    <w:p w:rsidR="006A3F93" w:rsidRDefault="006A3F93">
      <w:pPr>
        <w:jc w:val="both"/>
        <w:rPr>
          <w:rFonts w:cs="Arial"/>
          <w:sz w:val="20"/>
        </w:rPr>
      </w:pPr>
      <w:r w:rsidRPr="00412620">
        <w:rPr>
          <w:rStyle w:val="FootnoteReference"/>
          <w:rFonts w:cs="Arial"/>
          <w:sz w:val="20"/>
        </w:rPr>
        <w:footnoteReference w:id="934"/>
      </w:r>
      <w:r w:rsidRPr="00412620">
        <w:rPr>
          <w:rFonts w:cs="Arial"/>
          <w:sz w:val="20"/>
        </w:rPr>
        <w:t>[(8)</w:t>
      </w:r>
      <w:r w:rsidRPr="00412620">
        <w:rPr>
          <w:rFonts w:cs="Arial"/>
          <w:sz w:val="20"/>
        </w:rPr>
        <w:tab/>
        <w:t xml:space="preserve">The tax </w:t>
      </w:r>
      <w:r w:rsidR="00672567" w:rsidRPr="00412620">
        <w:rPr>
          <w:rStyle w:val="FootnoteReference"/>
          <w:rFonts w:cs="Arial"/>
          <w:sz w:val="20"/>
        </w:rPr>
        <w:footnoteReference w:id="935"/>
      </w:r>
      <w:r w:rsidR="00672567" w:rsidRPr="00412620">
        <w:rPr>
          <w:rFonts w:cs="Arial"/>
          <w:sz w:val="20"/>
        </w:rPr>
        <w:t xml:space="preserve">[required to be] </w:t>
      </w:r>
      <w:r w:rsidRPr="00412620">
        <w:rPr>
          <w:rFonts w:cs="Arial"/>
          <w:sz w:val="20"/>
        </w:rPr>
        <w:t xml:space="preserve">collected from a person under this section on the import of edible oil </w:t>
      </w:r>
      <w:r w:rsidR="00882932" w:rsidRPr="00412620">
        <w:rPr>
          <w:rStyle w:val="FootnoteReference"/>
          <w:rFonts w:cs="Arial"/>
          <w:sz w:val="20"/>
        </w:rPr>
        <w:footnoteReference w:id="936"/>
      </w:r>
      <w:r w:rsidR="00882932" w:rsidRPr="00412620">
        <w:rPr>
          <w:rFonts w:cs="Arial"/>
          <w:sz w:val="20"/>
        </w:rPr>
        <w:t xml:space="preserve">[and packing material] </w:t>
      </w:r>
      <w:r w:rsidRPr="00412620">
        <w:rPr>
          <w:rFonts w:cs="Arial"/>
          <w:sz w:val="20"/>
        </w:rPr>
        <w:t xml:space="preserve">for a tax year shall be </w:t>
      </w:r>
      <w:r w:rsidR="0063525C" w:rsidRPr="00412620">
        <w:rPr>
          <w:rStyle w:val="FootnoteReference"/>
          <w:rFonts w:cs="Arial"/>
          <w:sz w:val="20"/>
        </w:rPr>
        <w:footnoteReference w:id="937"/>
      </w:r>
      <w:r w:rsidR="0063525C" w:rsidRPr="00412620">
        <w:rPr>
          <w:rFonts w:cs="Arial"/>
          <w:sz w:val="20"/>
        </w:rPr>
        <w:t xml:space="preserve">[minimum] </w:t>
      </w:r>
      <w:r w:rsidRPr="00412620">
        <w:rPr>
          <w:rFonts w:cs="Arial"/>
          <w:sz w:val="20"/>
        </w:rPr>
        <w:t>tax.]</w:t>
      </w:r>
    </w:p>
    <w:p w:rsidR="000F7BA2" w:rsidRDefault="000F7BA2">
      <w:pPr>
        <w:jc w:val="both"/>
        <w:rPr>
          <w:rFonts w:cs="Arial"/>
          <w:sz w:val="20"/>
        </w:rPr>
      </w:pPr>
    </w:p>
    <w:p w:rsidR="00E20221" w:rsidRPr="00F53D60" w:rsidRDefault="000F7BA2" w:rsidP="004E3ABA">
      <w:pPr>
        <w:spacing w:line="276" w:lineRule="auto"/>
        <w:ind w:firstLine="450"/>
        <w:jc w:val="both"/>
        <w:rPr>
          <w:rFonts w:cs="Arial"/>
          <w:iCs/>
          <w:color w:val="000000" w:themeColor="text1"/>
          <w:sz w:val="20"/>
        </w:rPr>
      </w:pPr>
      <w:r w:rsidRPr="00F53D60">
        <w:rPr>
          <w:rStyle w:val="FootnoteReference"/>
          <w:rFonts w:cs="Arial"/>
          <w:iCs/>
          <w:color w:val="000000" w:themeColor="text1"/>
          <w:sz w:val="20"/>
        </w:rPr>
        <w:lastRenderedPageBreak/>
        <w:footnoteReference w:id="938"/>
      </w:r>
      <w:r w:rsidR="008B284A" w:rsidRPr="00F53D60">
        <w:rPr>
          <w:rFonts w:cs="Arial"/>
          <w:iCs/>
          <w:color w:val="000000" w:themeColor="text1"/>
          <w:sz w:val="20"/>
        </w:rPr>
        <w:t>[</w:t>
      </w:r>
      <w:r w:rsidRPr="00F53D60">
        <w:rPr>
          <w:rFonts w:cs="Arial"/>
          <w:iCs/>
          <w:color w:val="000000" w:themeColor="text1"/>
          <w:sz w:val="20"/>
        </w:rPr>
        <w:t>(8A) The tax collected under this section at the time of import of ships   by ship-breakers shall be final tax.]</w:t>
      </w:r>
    </w:p>
    <w:p w:rsidR="004E3ABA" w:rsidRPr="00412620" w:rsidRDefault="004E3ABA" w:rsidP="000B0330">
      <w:pPr>
        <w:spacing w:line="276" w:lineRule="auto"/>
        <w:ind w:firstLine="547"/>
        <w:jc w:val="both"/>
        <w:rPr>
          <w:rFonts w:cs="Arial"/>
          <w:sz w:val="20"/>
        </w:rPr>
      </w:pPr>
    </w:p>
    <w:p w:rsidR="006A3F93" w:rsidRPr="00412620" w:rsidRDefault="006A3F93">
      <w:pPr>
        <w:jc w:val="both"/>
        <w:rPr>
          <w:rFonts w:cs="Arial"/>
          <w:sz w:val="20"/>
        </w:rPr>
      </w:pPr>
      <w:r w:rsidRPr="00412620">
        <w:rPr>
          <w:rFonts w:cs="Arial"/>
          <w:sz w:val="20"/>
        </w:rPr>
        <w:tab/>
        <w:t>(9)</w:t>
      </w:r>
      <w:r w:rsidRPr="00412620">
        <w:rPr>
          <w:rFonts w:cs="Arial"/>
          <w:sz w:val="20"/>
        </w:rPr>
        <w:tab/>
        <w:t>In this section –</w:t>
      </w:r>
    </w:p>
    <w:p w:rsidR="006A3F93" w:rsidRPr="00412620" w:rsidRDefault="006A3F93">
      <w:pPr>
        <w:jc w:val="both"/>
        <w:rPr>
          <w:rFonts w:cs="Arial"/>
          <w:sz w:val="20"/>
        </w:rPr>
      </w:pPr>
    </w:p>
    <w:p w:rsidR="006A3F93" w:rsidRPr="00412620" w:rsidRDefault="006A3F93">
      <w:pPr>
        <w:pStyle w:val="BodyTextIndent2"/>
        <w:ind w:left="1094" w:firstLine="1"/>
        <w:jc w:val="both"/>
        <w:rPr>
          <w:rFonts w:cs="Arial"/>
          <w:sz w:val="20"/>
        </w:rPr>
      </w:pPr>
      <w:r w:rsidRPr="00412620">
        <w:rPr>
          <w:rFonts w:cs="Arial"/>
          <w:sz w:val="20"/>
        </w:rPr>
        <w:t xml:space="preserve">“Collector of Customs” means the person appointed as Collector of Customs under section 3 of the Customs Act, 1969 (IV of 1969), and includes a Deputy Collector of Customs, an Additional Collector of Customs, or an officer of customs appointed as such under the aforesaid section; </w:t>
      </w:r>
      <w:r w:rsidRPr="00412620">
        <w:rPr>
          <w:rStyle w:val="FootnoteReference"/>
          <w:rFonts w:cs="Arial"/>
          <w:sz w:val="20"/>
        </w:rPr>
        <w:footnoteReference w:id="939"/>
      </w:r>
      <w:r w:rsidRPr="00412620">
        <w:rPr>
          <w:rFonts w:cs="Arial"/>
          <w:sz w:val="20"/>
        </w:rPr>
        <w:t>[  ]</w:t>
      </w:r>
    </w:p>
    <w:p w:rsidR="006A3F93" w:rsidRPr="00391B77" w:rsidRDefault="006A3F93">
      <w:pPr>
        <w:pStyle w:val="BodyTextIndent2"/>
        <w:ind w:left="0"/>
        <w:jc w:val="both"/>
        <w:rPr>
          <w:rFonts w:cs="Arial"/>
          <w:sz w:val="12"/>
        </w:rPr>
      </w:pPr>
    </w:p>
    <w:p w:rsidR="003647B7" w:rsidRPr="00412620" w:rsidRDefault="00E848D4" w:rsidP="003647B7">
      <w:pPr>
        <w:pStyle w:val="BodyTextIndent2"/>
        <w:ind w:left="1094" w:firstLine="1"/>
        <w:jc w:val="both"/>
        <w:rPr>
          <w:rFonts w:cs="Arial"/>
          <w:sz w:val="20"/>
        </w:rPr>
      </w:pPr>
      <w:r w:rsidRPr="00412620">
        <w:rPr>
          <w:rStyle w:val="FootnoteReference"/>
          <w:rFonts w:cs="Arial"/>
          <w:sz w:val="20"/>
        </w:rPr>
        <w:footnoteReference w:id="940"/>
      </w:r>
      <w:r w:rsidR="003647B7" w:rsidRPr="00412620">
        <w:rPr>
          <w:rFonts w:cs="Arial"/>
          <w:sz w:val="20"/>
        </w:rPr>
        <w:t>[“</w:t>
      </w:r>
      <w:r w:rsidR="003647B7" w:rsidRPr="00412620">
        <w:rPr>
          <w:sz w:val="20"/>
        </w:rPr>
        <w:t xml:space="preserve">value of goods” means the value of the goods as determined under the Customs Act, 1969 (IV of 1969), as if the goods were subject to </w:t>
      </w:r>
      <w:r w:rsidR="003647B7" w:rsidRPr="00412620">
        <w:rPr>
          <w:i/>
          <w:iCs/>
          <w:sz w:val="20"/>
        </w:rPr>
        <w:t>ad valorem</w:t>
      </w:r>
      <w:r w:rsidR="003647B7" w:rsidRPr="00412620">
        <w:rPr>
          <w:sz w:val="20"/>
        </w:rPr>
        <w:t xml:space="preserve"> duty increased by the customs-duty, federal excise duty and sales tax, if any, payable in respect of the import of the goods.]</w:t>
      </w:r>
    </w:p>
    <w:p w:rsidR="006A3F93" w:rsidRPr="00391B77" w:rsidRDefault="006A3F93">
      <w:pPr>
        <w:rPr>
          <w:rFonts w:cs="Arial"/>
          <w:sz w:val="12"/>
        </w:rPr>
      </w:pPr>
    </w:p>
    <w:p w:rsidR="00E22573" w:rsidRDefault="00E22573" w:rsidP="00E22573">
      <w:pPr>
        <w:pStyle w:val="BodyTextIndent2"/>
        <w:ind w:left="1094"/>
        <w:jc w:val="both"/>
        <w:rPr>
          <w:rFonts w:cs="Arial"/>
          <w:sz w:val="20"/>
        </w:rPr>
      </w:pPr>
      <w:r w:rsidRPr="00412620">
        <w:rPr>
          <w:rStyle w:val="FootnoteReference"/>
          <w:rFonts w:cs="Arial"/>
          <w:sz w:val="20"/>
        </w:rPr>
        <w:footnoteReference w:id="941"/>
      </w:r>
      <w:r w:rsidRPr="00412620">
        <w:rPr>
          <w:rFonts w:cs="Arial"/>
          <w:sz w:val="20"/>
        </w:rPr>
        <w:t>[</w:t>
      </w:r>
      <w:r w:rsidRPr="00412620">
        <w:rPr>
          <w:rFonts w:cs="Arial"/>
          <w:i/>
          <w:sz w:val="20"/>
        </w:rPr>
        <w:t>Explanation</w:t>
      </w:r>
      <w:r w:rsidRPr="00412620">
        <w:rPr>
          <w:rFonts w:cs="Arial"/>
          <w:sz w:val="20"/>
        </w:rPr>
        <w:t>.- For the purpose of this section the expression “edible   oils” includes crude oil, imported as raw material for manufacture of ghee or cooking oil.]</w:t>
      </w:r>
    </w:p>
    <w:p w:rsidR="008E3620" w:rsidRDefault="008E3620" w:rsidP="00E22573">
      <w:pPr>
        <w:pStyle w:val="BodyTextIndent2"/>
        <w:ind w:left="1094"/>
        <w:jc w:val="both"/>
        <w:rPr>
          <w:rFonts w:cs="Arial"/>
          <w:sz w:val="20"/>
        </w:rPr>
      </w:pPr>
    </w:p>
    <w:p w:rsidR="008E3620" w:rsidRPr="006420B7" w:rsidRDefault="008E3620" w:rsidP="008E3620">
      <w:pPr>
        <w:autoSpaceDE w:val="0"/>
        <w:autoSpaceDN w:val="0"/>
        <w:adjustRightInd w:val="0"/>
        <w:jc w:val="both"/>
        <w:rPr>
          <w:rFonts w:cs="Arial"/>
          <w:color w:val="000000" w:themeColor="text1"/>
          <w:sz w:val="20"/>
          <w:lang w:val="en-US"/>
        </w:rPr>
      </w:pPr>
      <w:r w:rsidRPr="006420B7">
        <w:rPr>
          <w:rStyle w:val="FootnoteReference"/>
          <w:rFonts w:cs="Arial"/>
          <w:b/>
          <w:bCs/>
          <w:color w:val="000000" w:themeColor="text1"/>
          <w:sz w:val="20"/>
          <w:lang w:val="en-US"/>
        </w:rPr>
        <w:footnoteReference w:id="942"/>
      </w:r>
      <w:r w:rsidRPr="006420B7">
        <w:rPr>
          <w:rFonts w:cs="Arial"/>
          <w:b/>
          <w:bCs/>
          <w:color w:val="000000" w:themeColor="text1"/>
          <w:sz w:val="20"/>
          <w:lang w:val="en-US"/>
        </w:rPr>
        <w:t>[“148A. Tax on local purchase of cooking oil or vegetable ghee by certain persons.</w:t>
      </w:r>
      <w:r w:rsidRPr="006420B7">
        <w:rPr>
          <w:rFonts w:ascii="Arial,Bold" w:hAnsi="Arial,Bold" w:cs="Arial,Bold"/>
          <w:b/>
          <w:bCs/>
          <w:color w:val="000000" w:themeColor="text1"/>
          <w:sz w:val="20"/>
          <w:lang w:val="en-US"/>
        </w:rPr>
        <w:t xml:space="preserve">— </w:t>
      </w:r>
      <w:r w:rsidRPr="006420B7">
        <w:rPr>
          <w:rFonts w:cs="Arial"/>
          <w:color w:val="000000" w:themeColor="text1"/>
          <w:sz w:val="20"/>
          <w:lang w:val="en-US"/>
        </w:rPr>
        <w:t>(1)The manufacturers of cooking oil or vegetable ghee, or both, shall be chargeable to tax at the rate of two percent on purchase of locally produced edible oil.</w:t>
      </w:r>
    </w:p>
    <w:p w:rsidR="008E3620" w:rsidRPr="006420B7" w:rsidRDefault="008E3620" w:rsidP="008E3620">
      <w:pPr>
        <w:autoSpaceDE w:val="0"/>
        <w:autoSpaceDN w:val="0"/>
        <w:adjustRightInd w:val="0"/>
        <w:jc w:val="both"/>
        <w:rPr>
          <w:rFonts w:cs="Arial"/>
          <w:color w:val="000000" w:themeColor="text1"/>
          <w:sz w:val="20"/>
          <w:lang w:val="en-US"/>
        </w:rPr>
      </w:pPr>
      <w:r w:rsidRPr="006420B7">
        <w:rPr>
          <w:rFonts w:cs="Arial"/>
          <w:color w:val="000000" w:themeColor="text1"/>
          <w:sz w:val="20"/>
          <w:lang w:val="en-US"/>
        </w:rPr>
        <w:tab/>
      </w:r>
    </w:p>
    <w:p w:rsidR="008E3620" w:rsidRPr="006420B7" w:rsidRDefault="008E3620" w:rsidP="008E3620">
      <w:pPr>
        <w:autoSpaceDE w:val="0"/>
        <w:autoSpaceDN w:val="0"/>
        <w:adjustRightInd w:val="0"/>
        <w:ind w:firstLine="547"/>
        <w:jc w:val="both"/>
        <w:rPr>
          <w:rFonts w:cs="Arial"/>
          <w:color w:val="000000" w:themeColor="text1"/>
          <w:sz w:val="20"/>
        </w:rPr>
      </w:pPr>
      <w:r w:rsidRPr="006420B7">
        <w:rPr>
          <w:rFonts w:cs="Arial"/>
          <w:color w:val="000000" w:themeColor="text1"/>
          <w:sz w:val="20"/>
          <w:lang w:val="en-US"/>
        </w:rPr>
        <w:t>(2) The tax payable under sub-section (1) shall be final tax in respect of income accruing fro</w:t>
      </w:r>
      <w:r w:rsidR="00BE748C" w:rsidRPr="006420B7">
        <w:rPr>
          <w:rFonts w:cs="Arial"/>
          <w:color w:val="000000" w:themeColor="text1"/>
          <w:sz w:val="20"/>
          <w:lang w:val="en-US"/>
        </w:rPr>
        <w:t>m locally produced edible oil.”</w:t>
      </w:r>
      <w:r w:rsidRPr="006420B7">
        <w:rPr>
          <w:rFonts w:cs="Arial"/>
          <w:color w:val="000000" w:themeColor="text1"/>
          <w:sz w:val="20"/>
          <w:lang w:val="en-US"/>
        </w:rPr>
        <w:t>]</w:t>
      </w:r>
    </w:p>
    <w:p w:rsidR="00674121" w:rsidRPr="00412620" w:rsidRDefault="00674121" w:rsidP="00674121">
      <w:pPr>
        <w:pStyle w:val="BodyTextIndent2"/>
        <w:jc w:val="both"/>
        <w:rPr>
          <w:rFonts w:cs="Arial"/>
          <w:sz w:val="20"/>
        </w:rPr>
      </w:pPr>
    </w:p>
    <w:p w:rsidR="008418F0" w:rsidRPr="00391B77" w:rsidRDefault="008418F0">
      <w:pPr>
        <w:pStyle w:val="BodyTextIndent2"/>
        <w:ind w:left="990" w:firstLine="104"/>
        <w:jc w:val="both"/>
        <w:rPr>
          <w:sz w:val="12"/>
        </w:rPr>
      </w:pPr>
    </w:p>
    <w:p w:rsidR="006A3F93" w:rsidRPr="00412620" w:rsidRDefault="006A3F93">
      <w:pPr>
        <w:keepNext/>
        <w:jc w:val="center"/>
        <w:rPr>
          <w:rFonts w:cs="Arial"/>
          <w:b/>
          <w:sz w:val="28"/>
        </w:rPr>
      </w:pPr>
      <w:r w:rsidRPr="00412620">
        <w:rPr>
          <w:rFonts w:cs="Arial"/>
          <w:b/>
          <w:sz w:val="28"/>
        </w:rPr>
        <w:t>Division III</w:t>
      </w:r>
    </w:p>
    <w:p w:rsidR="006A3F93" w:rsidRDefault="006A3F93">
      <w:pPr>
        <w:keepNext/>
        <w:jc w:val="center"/>
        <w:rPr>
          <w:rFonts w:cs="Arial"/>
          <w:b/>
          <w:sz w:val="20"/>
        </w:rPr>
      </w:pPr>
      <w:r w:rsidRPr="00412620">
        <w:rPr>
          <w:rFonts w:cs="Arial"/>
          <w:b/>
          <w:sz w:val="20"/>
        </w:rPr>
        <w:t>Deduction of Tax at Source</w:t>
      </w:r>
    </w:p>
    <w:p w:rsidR="004E3ABA" w:rsidRPr="00391B77" w:rsidRDefault="004E3ABA">
      <w:pPr>
        <w:keepNext/>
        <w:jc w:val="center"/>
        <w:rPr>
          <w:rFonts w:cs="Arial"/>
          <w:b/>
          <w:sz w:val="12"/>
        </w:rPr>
      </w:pPr>
    </w:p>
    <w:p w:rsidR="006A3F93" w:rsidRPr="00412620" w:rsidRDefault="006A3F93">
      <w:pPr>
        <w:jc w:val="both"/>
        <w:rPr>
          <w:sz w:val="20"/>
        </w:rPr>
      </w:pPr>
      <w:r w:rsidRPr="00412620">
        <w:rPr>
          <w:rFonts w:cs="Arial"/>
          <w:b/>
          <w:sz w:val="20"/>
        </w:rPr>
        <w:t>149.</w:t>
      </w:r>
      <w:r w:rsidRPr="00412620">
        <w:rPr>
          <w:rFonts w:cs="Arial"/>
          <w:b/>
          <w:sz w:val="20"/>
        </w:rPr>
        <w:tab/>
        <w:t xml:space="preserve"> Salary.</w:t>
      </w:r>
      <w:r w:rsidR="00F457FE" w:rsidRPr="00412620">
        <w:rPr>
          <w:rFonts w:cs="Arial"/>
          <w:sz w:val="20"/>
        </w:rPr>
        <w:t xml:space="preserve"> —</w:t>
      </w:r>
      <w:r w:rsidRPr="00412620">
        <w:rPr>
          <w:sz w:val="20"/>
        </w:rPr>
        <w:t xml:space="preserve"> (1)  Every </w:t>
      </w:r>
      <w:r w:rsidR="000D6865" w:rsidRPr="00412620">
        <w:rPr>
          <w:rStyle w:val="FootnoteReference"/>
          <w:sz w:val="20"/>
        </w:rPr>
        <w:footnoteReference w:id="943"/>
      </w:r>
      <w:r w:rsidR="000D6865" w:rsidRPr="00412620">
        <w:rPr>
          <w:sz w:val="20"/>
        </w:rPr>
        <w:t xml:space="preserve">[person responsible for] </w:t>
      </w:r>
      <w:r w:rsidRPr="00412620">
        <w:rPr>
          <w:sz w:val="20"/>
        </w:rPr>
        <w:t xml:space="preserve">paying salary to an employee shall, at the time of payment, deduct tax from the amount paid at the employee’s average rate of tax computed at the rates specified in Division I of Part I of the First Schedule on the estimated income of the employee chargeable </w:t>
      </w:r>
      <w:r w:rsidRPr="00412620">
        <w:rPr>
          <w:sz w:val="20"/>
        </w:rPr>
        <w:lastRenderedPageBreak/>
        <w:t>under the head “Salary” for the tax year in which the payment is made after making</w:t>
      </w:r>
      <w:r w:rsidR="00C73BEE" w:rsidRPr="00412620">
        <w:rPr>
          <w:rStyle w:val="FootnoteReference"/>
          <w:sz w:val="20"/>
        </w:rPr>
        <w:footnoteReference w:id="944"/>
      </w:r>
      <w:r w:rsidR="000470F3" w:rsidRPr="00412620">
        <w:rPr>
          <w:sz w:val="20"/>
        </w:rPr>
        <w:t>[adjustment of tax withheld from employee under other heads and tax credit admissible under section 61, 62, 63 and 64 during the tax year after obtaining documentary evidence]</w:t>
      </w:r>
      <w:r w:rsidRPr="00412620">
        <w:rPr>
          <w:sz w:val="20"/>
        </w:rPr>
        <w:t>, as may be necessary, for</w:t>
      </w:r>
      <w:r w:rsidR="006616B6" w:rsidRPr="00412620">
        <w:rPr>
          <w:rStyle w:val="FootnoteReference"/>
          <w:sz w:val="20"/>
        </w:rPr>
        <w:footnoteReference w:id="945"/>
      </w:r>
      <w:r w:rsidR="006616B6" w:rsidRPr="00412620">
        <w:rPr>
          <w:sz w:val="20"/>
        </w:rPr>
        <w:t>[:]</w:t>
      </w:r>
    </w:p>
    <w:p w:rsidR="006A3F93" w:rsidRPr="00391B77" w:rsidRDefault="006A3F93">
      <w:pPr>
        <w:jc w:val="both"/>
        <w:rPr>
          <w:rFonts w:cs="Arial"/>
          <w:sz w:val="12"/>
        </w:rPr>
      </w:pPr>
    </w:p>
    <w:p w:rsidR="006616B6" w:rsidRDefault="006616B6" w:rsidP="00391B77">
      <w:pPr>
        <w:ind w:left="1634" w:hanging="540"/>
        <w:jc w:val="both"/>
        <w:rPr>
          <w:sz w:val="20"/>
        </w:rPr>
      </w:pPr>
      <w:r w:rsidRPr="00412620">
        <w:rPr>
          <w:rStyle w:val="FootnoteReference"/>
          <w:sz w:val="20"/>
        </w:rPr>
        <w:footnoteReference w:id="946"/>
      </w:r>
      <w:r w:rsidRPr="00412620">
        <w:rPr>
          <w:sz w:val="20"/>
        </w:rPr>
        <w:t>[(i)</w:t>
      </w:r>
      <w:r w:rsidRPr="00412620">
        <w:rPr>
          <w:sz w:val="20"/>
        </w:rPr>
        <w:tab/>
        <w:t>tax withheld from the employee under this Ordinance during the tax year;</w:t>
      </w:r>
    </w:p>
    <w:p w:rsidR="00391B77" w:rsidRPr="00391B77" w:rsidRDefault="00391B77" w:rsidP="00391B77">
      <w:pPr>
        <w:ind w:left="1634" w:hanging="540"/>
        <w:jc w:val="both"/>
        <w:rPr>
          <w:sz w:val="8"/>
        </w:rPr>
      </w:pPr>
    </w:p>
    <w:p w:rsidR="006616B6" w:rsidRDefault="006616B6" w:rsidP="00391B77">
      <w:pPr>
        <w:ind w:left="1634" w:hanging="540"/>
        <w:jc w:val="both"/>
        <w:rPr>
          <w:sz w:val="20"/>
        </w:rPr>
      </w:pPr>
      <w:r w:rsidRPr="00412620">
        <w:rPr>
          <w:sz w:val="20"/>
        </w:rPr>
        <w:t>(ii)</w:t>
      </w:r>
      <w:r w:rsidRPr="00412620">
        <w:rPr>
          <w:sz w:val="20"/>
        </w:rPr>
        <w:tab/>
        <w:t>any excess deduction or deficiency arising out of any previous deduction; or</w:t>
      </w:r>
    </w:p>
    <w:p w:rsidR="00391B77" w:rsidRPr="00391B77" w:rsidRDefault="00391B77" w:rsidP="00391B77">
      <w:pPr>
        <w:ind w:left="1634" w:hanging="540"/>
        <w:jc w:val="both"/>
        <w:rPr>
          <w:sz w:val="8"/>
        </w:rPr>
      </w:pPr>
    </w:p>
    <w:p w:rsidR="006616B6" w:rsidRDefault="006616B6">
      <w:pPr>
        <w:jc w:val="both"/>
        <w:rPr>
          <w:sz w:val="20"/>
        </w:rPr>
      </w:pPr>
      <w:r w:rsidRPr="00412620">
        <w:rPr>
          <w:sz w:val="20"/>
        </w:rPr>
        <w:tab/>
      </w:r>
      <w:r w:rsidR="00A714EA" w:rsidRPr="00412620">
        <w:rPr>
          <w:sz w:val="20"/>
        </w:rPr>
        <w:tab/>
      </w:r>
      <w:r w:rsidRPr="00412620">
        <w:rPr>
          <w:sz w:val="20"/>
        </w:rPr>
        <w:t>(iii)</w:t>
      </w:r>
      <w:r w:rsidRPr="00412620">
        <w:rPr>
          <w:sz w:val="20"/>
        </w:rPr>
        <w:tab/>
        <w:t>failure to make deduction during the year;]</w:t>
      </w:r>
    </w:p>
    <w:p w:rsidR="00391B77" w:rsidRPr="00412620" w:rsidRDefault="00391B77">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average rate of tax of an employee for a tax year for the purposes of sub-section (1) shall be computed in accordance with the following formula, namely:–</w:t>
      </w:r>
    </w:p>
    <w:p w:rsidR="006A3F93" w:rsidRPr="004E3ABA" w:rsidRDefault="006A3F93">
      <w:pPr>
        <w:pStyle w:val="CommentText"/>
        <w:rPr>
          <w:rFonts w:cs="Arial"/>
          <w:sz w:val="12"/>
        </w:rPr>
      </w:pPr>
    </w:p>
    <w:p w:rsidR="006A3F93" w:rsidRPr="00412620" w:rsidRDefault="006A3F93">
      <w:pPr>
        <w:pStyle w:val="Heading2"/>
        <w:spacing w:line="240" w:lineRule="auto"/>
        <w:rPr>
          <w:rFonts w:cs="Arial"/>
          <w:sz w:val="20"/>
        </w:rPr>
      </w:pPr>
      <w:r w:rsidRPr="00412620">
        <w:rPr>
          <w:rFonts w:cs="Arial"/>
          <w:sz w:val="20"/>
        </w:rPr>
        <w:t>A/B</w:t>
      </w:r>
    </w:p>
    <w:p w:rsidR="006A3F93" w:rsidRPr="00412620" w:rsidRDefault="006A3F93">
      <w:pPr>
        <w:jc w:val="both"/>
        <w:rPr>
          <w:rFonts w:cs="Arial"/>
          <w:sz w:val="20"/>
        </w:rPr>
      </w:pPr>
      <w:r w:rsidRPr="00412620">
        <w:rPr>
          <w:rFonts w:cs="Arial"/>
          <w:sz w:val="20"/>
        </w:rPr>
        <w:t>where –</w:t>
      </w:r>
    </w:p>
    <w:p w:rsidR="006A3F93" w:rsidRPr="00412620" w:rsidRDefault="006A3F93">
      <w:pPr>
        <w:jc w:val="both"/>
        <w:rPr>
          <w:rFonts w:cs="Arial"/>
          <w:sz w:val="20"/>
        </w:rPr>
      </w:pPr>
    </w:p>
    <w:p w:rsidR="006A3F93" w:rsidRPr="00412620" w:rsidRDefault="006A3F93">
      <w:pPr>
        <w:ind w:left="540" w:hanging="540"/>
        <w:jc w:val="both"/>
        <w:rPr>
          <w:sz w:val="20"/>
        </w:rPr>
      </w:pPr>
      <w:r w:rsidRPr="00412620">
        <w:rPr>
          <w:rFonts w:cs="Arial"/>
          <w:b/>
          <w:sz w:val="20"/>
        </w:rPr>
        <w:t>A</w:t>
      </w:r>
      <w:r w:rsidRPr="00412620">
        <w:rPr>
          <w:sz w:val="20"/>
        </w:rPr>
        <w:tab/>
        <w:t xml:space="preserve">is the tax that would be payable if the amount referred to in component </w:t>
      </w:r>
      <w:r w:rsidRPr="00412620">
        <w:rPr>
          <w:b/>
          <w:sz w:val="20"/>
        </w:rPr>
        <w:t xml:space="preserve">B </w:t>
      </w:r>
      <w:r w:rsidRPr="00412620">
        <w:rPr>
          <w:sz w:val="20"/>
        </w:rPr>
        <w:t>of the formula were the employee’s taxable income for that year; and</w:t>
      </w:r>
    </w:p>
    <w:p w:rsidR="006A3F93" w:rsidRPr="00412620" w:rsidRDefault="006A3F93">
      <w:pPr>
        <w:ind w:left="720" w:hanging="720"/>
        <w:jc w:val="both"/>
        <w:rPr>
          <w:rFonts w:cs="Arial"/>
          <w:b/>
          <w:sz w:val="20"/>
        </w:rPr>
      </w:pPr>
    </w:p>
    <w:p w:rsidR="006A3F93" w:rsidRDefault="006A3F93">
      <w:pPr>
        <w:ind w:left="540" w:hanging="540"/>
        <w:jc w:val="both"/>
        <w:rPr>
          <w:sz w:val="20"/>
        </w:rPr>
      </w:pPr>
      <w:r w:rsidRPr="00412620">
        <w:rPr>
          <w:rFonts w:cs="Arial"/>
          <w:b/>
          <w:sz w:val="20"/>
        </w:rPr>
        <w:t>B</w:t>
      </w:r>
      <w:r w:rsidRPr="00412620">
        <w:rPr>
          <w:sz w:val="20"/>
        </w:rPr>
        <w:tab/>
        <w:t>is the employee’s estimated income under the head “Salary” for that year.</w:t>
      </w:r>
    </w:p>
    <w:p w:rsidR="004E3ABA" w:rsidRPr="004E3ABA" w:rsidRDefault="004E3ABA" w:rsidP="004E3ABA">
      <w:pPr>
        <w:jc w:val="both"/>
        <w:rPr>
          <w:sz w:val="12"/>
        </w:rPr>
      </w:pPr>
    </w:p>
    <w:p w:rsidR="00641832" w:rsidRPr="00F53D60" w:rsidRDefault="00DD6CBE" w:rsidP="004E3ABA">
      <w:pPr>
        <w:ind w:firstLine="540"/>
        <w:jc w:val="both"/>
        <w:rPr>
          <w:rFonts w:cs="Arial"/>
          <w:color w:val="000000" w:themeColor="text1"/>
          <w:sz w:val="20"/>
        </w:rPr>
      </w:pPr>
      <w:r w:rsidRPr="00F53D60">
        <w:rPr>
          <w:rStyle w:val="FootnoteReference"/>
          <w:rFonts w:cs="Arial"/>
          <w:color w:val="000000" w:themeColor="text1"/>
          <w:sz w:val="20"/>
        </w:rPr>
        <w:footnoteReference w:id="947"/>
      </w:r>
      <w:r w:rsidR="00641832" w:rsidRPr="00F53D60">
        <w:rPr>
          <w:rFonts w:cs="Arial"/>
          <w:color w:val="000000" w:themeColor="text1"/>
          <w:sz w:val="20"/>
        </w:rPr>
        <w:t>[(3) Notwithstanding anything contained in sub-sections (1) and (2), every person responsible for making payment for directorship fee or fee for attending board meeting or such fee by whatever name called, shall at the time of payment, deduct tax at the rate of twenty percent of the gross amount payable.</w:t>
      </w:r>
    </w:p>
    <w:p w:rsidR="00DD6CBE" w:rsidRPr="00F53D60" w:rsidRDefault="00DD6CBE" w:rsidP="00DD6CBE">
      <w:pPr>
        <w:jc w:val="both"/>
        <w:rPr>
          <w:rFonts w:cs="Arial"/>
          <w:color w:val="000000" w:themeColor="text1"/>
          <w:sz w:val="20"/>
        </w:rPr>
      </w:pPr>
    </w:p>
    <w:p w:rsidR="006A3F93" w:rsidRPr="00F53D60" w:rsidRDefault="00641832" w:rsidP="004E3ABA">
      <w:pPr>
        <w:spacing w:line="480" w:lineRule="auto"/>
        <w:ind w:firstLine="540"/>
        <w:jc w:val="both"/>
        <w:rPr>
          <w:rFonts w:cs="Arial"/>
          <w:color w:val="000000" w:themeColor="text1"/>
          <w:sz w:val="20"/>
        </w:rPr>
      </w:pPr>
      <w:r w:rsidRPr="00F53D60">
        <w:rPr>
          <w:rFonts w:cs="Arial"/>
          <w:color w:val="000000" w:themeColor="text1"/>
          <w:sz w:val="20"/>
        </w:rPr>
        <w:t>(4) Tax deductible under sub-section (3) shall be adjustable.</w:t>
      </w:r>
      <w:r w:rsidR="00DD6CBE" w:rsidRPr="00F53D60">
        <w:rPr>
          <w:rFonts w:cs="Arial"/>
          <w:color w:val="000000" w:themeColor="text1"/>
          <w:sz w:val="20"/>
        </w:rPr>
        <w:t>]</w:t>
      </w:r>
    </w:p>
    <w:p w:rsidR="006A3F93" w:rsidRDefault="006A3F93">
      <w:pPr>
        <w:jc w:val="both"/>
        <w:rPr>
          <w:color w:val="00B0F0"/>
          <w:sz w:val="20"/>
        </w:rPr>
      </w:pPr>
      <w:r w:rsidRPr="00412620">
        <w:rPr>
          <w:rFonts w:cs="Arial"/>
          <w:b/>
          <w:sz w:val="20"/>
        </w:rPr>
        <w:t>150.</w:t>
      </w:r>
      <w:r w:rsidRPr="00412620">
        <w:rPr>
          <w:rFonts w:cs="Arial"/>
          <w:b/>
          <w:sz w:val="20"/>
        </w:rPr>
        <w:tab/>
        <w:t xml:space="preserve"> Dividends.</w:t>
      </w:r>
      <w:r w:rsidR="00B3369D" w:rsidRPr="00412620">
        <w:rPr>
          <w:rFonts w:cs="Arial"/>
          <w:sz w:val="20"/>
        </w:rPr>
        <w:t xml:space="preserve"> —</w:t>
      </w:r>
      <w:r w:rsidRPr="00412620">
        <w:rPr>
          <w:sz w:val="20"/>
        </w:rPr>
        <w:t xml:space="preserve"> Every </w:t>
      </w:r>
      <w:r w:rsidR="00606218" w:rsidRPr="00412620">
        <w:rPr>
          <w:rStyle w:val="FootnoteReference"/>
          <w:sz w:val="20"/>
        </w:rPr>
        <w:footnoteReference w:id="948"/>
      </w:r>
      <w:r w:rsidR="00606218" w:rsidRPr="00412620">
        <w:rPr>
          <w:sz w:val="20"/>
        </w:rPr>
        <w:t xml:space="preserve">[person] </w:t>
      </w:r>
      <w:r w:rsidRPr="00412620">
        <w:rPr>
          <w:sz w:val="20"/>
        </w:rPr>
        <w:t xml:space="preserve">paying a dividend shall deduct tax from the gross amount of the dividend paid </w:t>
      </w:r>
      <w:r w:rsidRPr="00412620">
        <w:rPr>
          <w:rStyle w:val="FootnoteReference"/>
          <w:sz w:val="20"/>
        </w:rPr>
        <w:footnoteReference w:id="949"/>
      </w:r>
      <w:r w:rsidRPr="00412620">
        <w:rPr>
          <w:sz w:val="20"/>
        </w:rPr>
        <w:t>[  ] at the rate specified in</w:t>
      </w:r>
      <w:r w:rsidR="00F53D60">
        <w:rPr>
          <w:sz w:val="20"/>
        </w:rPr>
        <w:t xml:space="preserve"> </w:t>
      </w:r>
      <w:r w:rsidR="00931619" w:rsidRPr="00F53D60">
        <w:rPr>
          <w:rStyle w:val="FootnoteReference"/>
          <w:color w:val="000000" w:themeColor="text1"/>
          <w:sz w:val="20"/>
        </w:rPr>
        <w:footnoteReference w:id="950"/>
      </w:r>
      <w:r w:rsidR="00931619" w:rsidRPr="00F53D60">
        <w:rPr>
          <w:color w:val="000000" w:themeColor="text1"/>
          <w:sz w:val="20"/>
        </w:rPr>
        <w:t>[</w:t>
      </w:r>
      <w:r w:rsidRPr="00F53D60">
        <w:rPr>
          <w:color w:val="000000" w:themeColor="text1"/>
          <w:sz w:val="20"/>
        </w:rPr>
        <w:t xml:space="preserve">Division I of Part </w:t>
      </w:r>
      <w:r w:rsidR="00931619" w:rsidRPr="00F53D60">
        <w:rPr>
          <w:color w:val="000000" w:themeColor="text1"/>
          <w:sz w:val="20"/>
        </w:rPr>
        <w:t>II</w:t>
      </w:r>
      <w:r w:rsidRPr="00F53D60">
        <w:rPr>
          <w:color w:val="000000" w:themeColor="text1"/>
          <w:sz w:val="20"/>
        </w:rPr>
        <w:t>I</w:t>
      </w:r>
      <w:r w:rsidR="00DD6CBE" w:rsidRPr="00F53D60">
        <w:rPr>
          <w:color w:val="000000" w:themeColor="text1"/>
          <w:sz w:val="20"/>
        </w:rPr>
        <w:t>]</w:t>
      </w:r>
      <w:r w:rsidR="00F53D60">
        <w:rPr>
          <w:sz w:val="20"/>
        </w:rPr>
        <w:t xml:space="preserve"> </w:t>
      </w:r>
      <w:r w:rsidRPr="00DD6CBE">
        <w:rPr>
          <w:sz w:val="20"/>
        </w:rPr>
        <w:t>of the First Schedule</w:t>
      </w:r>
      <w:r w:rsidRPr="00931619">
        <w:rPr>
          <w:color w:val="00B0F0"/>
          <w:sz w:val="20"/>
        </w:rPr>
        <w:t>.</w:t>
      </w:r>
    </w:p>
    <w:p w:rsidR="00332AA6" w:rsidRDefault="00332AA6">
      <w:pPr>
        <w:jc w:val="both"/>
        <w:rPr>
          <w:color w:val="00B0F0"/>
          <w:sz w:val="20"/>
        </w:rPr>
      </w:pPr>
    </w:p>
    <w:p w:rsidR="00332AA6" w:rsidRPr="00EA5546" w:rsidRDefault="00437EF0" w:rsidP="00332AA6">
      <w:pPr>
        <w:tabs>
          <w:tab w:val="left" w:pos="1278"/>
        </w:tabs>
        <w:spacing w:after="144" w:line="307" w:lineRule="auto"/>
        <w:ind w:left="90" w:hanging="90"/>
        <w:jc w:val="both"/>
        <w:rPr>
          <w:rFonts w:cs="Arial"/>
          <w:color w:val="FF0000"/>
          <w:sz w:val="20"/>
        </w:rPr>
      </w:pPr>
      <w:r w:rsidRPr="00D41075">
        <w:rPr>
          <w:rStyle w:val="FootnoteReference"/>
          <w:rFonts w:cs="Arial"/>
          <w:color w:val="FF0000"/>
          <w:sz w:val="20"/>
        </w:rPr>
        <w:footnoteReference w:id="951"/>
      </w:r>
      <w:r w:rsidR="00332AA6" w:rsidRPr="00EA5546">
        <w:rPr>
          <w:rFonts w:cs="Arial"/>
          <w:b/>
          <w:color w:val="FF0000"/>
          <w:sz w:val="20"/>
        </w:rPr>
        <w:t>[“150A. Deduction of tax by special purpose vehicle</w:t>
      </w:r>
      <w:r w:rsidR="00332AA6" w:rsidRPr="00EA5546">
        <w:rPr>
          <w:rFonts w:cs="Arial"/>
          <w:color w:val="FF0000"/>
          <w:sz w:val="20"/>
        </w:rPr>
        <w:t xml:space="preserve">.- Every special purpose vehicle making payment of a return on investment in </w:t>
      </w:r>
      <w:r w:rsidR="00332AA6" w:rsidRPr="00EA5546">
        <w:rPr>
          <w:rFonts w:cs="Arial"/>
          <w:i/>
          <w:color w:val="FF0000"/>
          <w:sz w:val="20"/>
        </w:rPr>
        <w:t>sukuks</w:t>
      </w:r>
      <w:r w:rsidR="00332AA6" w:rsidRPr="00EA5546">
        <w:rPr>
          <w:rFonts w:cs="Arial"/>
          <w:color w:val="FF0000"/>
          <w:sz w:val="20"/>
        </w:rPr>
        <w:t xml:space="preserve"> to a sukuk holder  </w:t>
      </w:r>
      <w:r w:rsidR="00332AA6" w:rsidRPr="00EA5546">
        <w:rPr>
          <w:rFonts w:cs="Arial"/>
          <w:color w:val="FF0000"/>
          <w:sz w:val="20"/>
        </w:rPr>
        <w:lastRenderedPageBreak/>
        <w:t>shall deduct tax from the gross amount of return on investment at the rate specified in Division IB of Part III of the First Schedule.”]</w:t>
      </w:r>
    </w:p>
    <w:p w:rsidR="006A3F93" w:rsidRPr="00367FA1" w:rsidRDefault="006A3F93">
      <w:pPr>
        <w:pStyle w:val="CommentText"/>
        <w:rPr>
          <w:rFonts w:cs="Arial"/>
          <w:sz w:val="10"/>
        </w:rPr>
      </w:pPr>
    </w:p>
    <w:p w:rsidR="006A3F93" w:rsidRPr="00412620" w:rsidRDefault="006A3F93">
      <w:pPr>
        <w:jc w:val="both"/>
        <w:rPr>
          <w:sz w:val="20"/>
        </w:rPr>
      </w:pPr>
      <w:r w:rsidRPr="00412620">
        <w:rPr>
          <w:rFonts w:cs="Arial"/>
          <w:b/>
          <w:sz w:val="20"/>
        </w:rPr>
        <w:t>151.</w:t>
      </w:r>
      <w:r w:rsidRPr="00412620">
        <w:rPr>
          <w:rFonts w:cs="Arial"/>
          <w:b/>
          <w:sz w:val="20"/>
        </w:rPr>
        <w:tab/>
        <w:t xml:space="preserve"> Profit on debt.</w:t>
      </w:r>
      <w:r w:rsidR="00B3369D" w:rsidRPr="00412620">
        <w:rPr>
          <w:rFonts w:cs="Arial"/>
          <w:sz w:val="20"/>
        </w:rPr>
        <w:t xml:space="preserve"> —</w:t>
      </w:r>
      <w:r w:rsidRPr="00412620">
        <w:rPr>
          <w:sz w:val="20"/>
        </w:rPr>
        <w:t xml:space="preserve"> (1)  Where –</w:t>
      </w:r>
    </w:p>
    <w:p w:rsidR="006A3F93" w:rsidRPr="00367FA1" w:rsidRDefault="006A3F93">
      <w:pPr>
        <w:pStyle w:val="Header"/>
        <w:tabs>
          <w:tab w:val="left" w:pos="547"/>
        </w:tabs>
        <w:jc w:val="both"/>
        <w:rPr>
          <w:rFonts w:cs="Arial"/>
          <w:sz w:val="8"/>
        </w:rPr>
      </w:pPr>
    </w:p>
    <w:p w:rsidR="006A3F93" w:rsidRPr="00412620" w:rsidRDefault="006A3F93">
      <w:pPr>
        <w:pStyle w:val="Header"/>
        <w:tabs>
          <w:tab w:val="left" w:pos="547"/>
        </w:tabs>
        <w:ind w:left="1634" w:hanging="540"/>
        <w:jc w:val="both"/>
        <w:rPr>
          <w:sz w:val="20"/>
        </w:rPr>
      </w:pPr>
      <w:r w:rsidRPr="00412620">
        <w:rPr>
          <w:rStyle w:val="FootnoteReference"/>
          <w:rFonts w:cs="Arial"/>
          <w:sz w:val="20"/>
        </w:rPr>
        <w:footnoteReference w:id="952"/>
      </w:r>
      <w:r w:rsidRPr="00412620">
        <w:rPr>
          <w:sz w:val="20"/>
        </w:rPr>
        <w:t>[(a)</w:t>
      </w:r>
      <w:r w:rsidRPr="00412620">
        <w:rPr>
          <w:sz w:val="20"/>
        </w:rPr>
        <w:tab/>
        <w:t>a person pays yield on an account, deposit or a certificate    under the National Savings Scheme or Post Office Savings Account;]</w:t>
      </w:r>
    </w:p>
    <w:p w:rsidR="006A3F93" w:rsidRPr="00407513" w:rsidRDefault="006A3F93">
      <w:pPr>
        <w:pStyle w:val="Header"/>
        <w:tabs>
          <w:tab w:val="left" w:pos="547"/>
        </w:tabs>
        <w:jc w:val="both"/>
        <w:rPr>
          <w:rFonts w:cs="Arial"/>
          <w:sz w:val="8"/>
        </w:rPr>
      </w:pPr>
    </w:p>
    <w:p w:rsidR="006A3F93" w:rsidRPr="00412620" w:rsidRDefault="006A3F93">
      <w:pPr>
        <w:pStyle w:val="BodyTextIndent"/>
        <w:ind w:left="1634" w:hanging="540"/>
        <w:jc w:val="both"/>
        <w:rPr>
          <w:rFonts w:cs="Arial"/>
          <w:sz w:val="20"/>
        </w:rPr>
      </w:pPr>
      <w:r w:rsidRPr="00412620">
        <w:rPr>
          <w:rFonts w:cs="Arial"/>
          <w:sz w:val="20"/>
        </w:rPr>
        <w:t xml:space="preserve">  (b)</w:t>
      </w:r>
      <w:r w:rsidRPr="00412620">
        <w:rPr>
          <w:rFonts w:cs="Arial"/>
          <w:sz w:val="20"/>
        </w:rPr>
        <w:tab/>
        <w:t xml:space="preserve">a banking company </w:t>
      </w:r>
      <w:r w:rsidRPr="00412620">
        <w:rPr>
          <w:rStyle w:val="FootnoteReference"/>
          <w:rFonts w:cs="Arial"/>
          <w:sz w:val="20"/>
        </w:rPr>
        <w:footnoteReference w:id="953"/>
      </w:r>
      <w:r w:rsidRPr="00412620">
        <w:rPr>
          <w:rFonts w:cs="Arial"/>
          <w:sz w:val="20"/>
        </w:rPr>
        <w:t xml:space="preserve">[or] financial institution pays any profit on a debt, being an account or deposit maintained with the company or institution; </w:t>
      </w:r>
      <w:r w:rsidRPr="00412620">
        <w:rPr>
          <w:rFonts w:cs="Arial"/>
          <w:sz w:val="20"/>
          <w:vertAlign w:val="superscript"/>
        </w:rPr>
        <w:footnoteReference w:id="954"/>
      </w:r>
      <w:r w:rsidRPr="00412620">
        <w:rPr>
          <w:rFonts w:cs="Arial"/>
          <w:sz w:val="20"/>
        </w:rPr>
        <w:t>[  ]</w:t>
      </w:r>
    </w:p>
    <w:p w:rsidR="006A3F93" w:rsidRPr="00407513" w:rsidRDefault="006A3F93">
      <w:pPr>
        <w:pStyle w:val="BodyTextIndent"/>
        <w:tabs>
          <w:tab w:val="left" w:pos="2329"/>
        </w:tabs>
        <w:jc w:val="both"/>
        <w:rPr>
          <w:rFonts w:cs="Arial"/>
          <w:sz w:val="8"/>
        </w:rPr>
      </w:pPr>
    </w:p>
    <w:p w:rsidR="006A3F93" w:rsidRPr="00412620" w:rsidRDefault="006A3F93">
      <w:pPr>
        <w:pStyle w:val="BodyTextIndent"/>
        <w:ind w:left="1634" w:hanging="540"/>
        <w:jc w:val="both"/>
        <w:rPr>
          <w:sz w:val="20"/>
        </w:rPr>
      </w:pPr>
      <w:r w:rsidRPr="00412620">
        <w:rPr>
          <w:rFonts w:cs="Arial"/>
          <w:sz w:val="20"/>
          <w:vertAlign w:val="superscript"/>
        </w:rPr>
        <w:footnoteReference w:id="955"/>
      </w:r>
      <w:r w:rsidRPr="00412620">
        <w:rPr>
          <w:sz w:val="20"/>
        </w:rPr>
        <w:t>[(c)</w:t>
      </w:r>
      <w:r w:rsidRPr="00412620">
        <w:rPr>
          <w:sz w:val="20"/>
        </w:rPr>
        <w:tab/>
        <w:t xml:space="preserve">the Federal Government, a Provincial Government or a </w:t>
      </w:r>
      <w:r w:rsidR="00721DEC" w:rsidRPr="00412620">
        <w:rPr>
          <w:rStyle w:val="FootnoteReference"/>
          <w:sz w:val="20"/>
        </w:rPr>
        <w:footnoteReference w:id="956"/>
      </w:r>
      <w:r w:rsidR="00721DEC" w:rsidRPr="00412620">
        <w:rPr>
          <w:sz w:val="20"/>
        </w:rPr>
        <w:t xml:space="preserve">[Local Government] </w:t>
      </w:r>
      <w:r w:rsidRPr="00412620">
        <w:rPr>
          <w:sz w:val="20"/>
        </w:rPr>
        <w:t xml:space="preserve">pays to any person </w:t>
      </w:r>
      <w:r w:rsidRPr="00412620">
        <w:rPr>
          <w:rStyle w:val="FootnoteReference"/>
          <w:sz w:val="20"/>
        </w:rPr>
        <w:footnoteReference w:id="957"/>
      </w:r>
      <w:r w:rsidRPr="00412620">
        <w:rPr>
          <w:sz w:val="20"/>
        </w:rPr>
        <w:t xml:space="preserve">[ ] profit on any security </w:t>
      </w:r>
      <w:r w:rsidRPr="00412620">
        <w:rPr>
          <w:rStyle w:val="FootnoteReference"/>
          <w:sz w:val="20"/>
        </w:rPr>
        <w:footnoteReference w:id="958"/>
      </w:r>
      <w:r w:rsidRPr="00412620">
        <w:rPr>
          <w:sz w:val="20"/>
        </w:rPr>
        <w:t xml:space="preserve">[other than that referred to in clause (a)] issued by such Government or authority; or] </w:t>
      </w:r>
    </w:p>
    <w:p w:rsidR="006A3F93" w:rsidRPr="00407513" w:rsidRDefault="006A3F93">
      <w:pPr>
        <w:pStyle w:val="BodyTextIndent"/>
        <w:jc w:val="both"/>
        <w:rPr>
          <w:rFonts w:cs="Arial"/>
          <w:sz w:val="8"/>
        </w:rPr>
      </w:pPr>
    </w:p>
    <w:p w:rsidR="006A3F93" w:rsidRPr="00412620" w:rsidRDefault="006A3F93">
      <w:pPr>
        <w:pStyle w:val="BodyTextIndent"/>
        <w:ind w:left="0" w:firstLine="0"/>
        <w:jc w:val="both"/>
        <w:rPr>
          <w:rFonts w:cs="Arial"/>
          <w:sz w:val="20"/>
        </w:rPr>
      </w:pPr>
      <w:r w:rsidRPr="00412620">
        <w:rPr>
          <w:rFonts w:cs="Arial"/>
          <w:sz w:val="20"/>
        </w:rPr>
        <w:tab/>
      </w:r>
      <w:r w:rsidRPr="00412620">
        <w:rPr>
          <w:rFonts w:cs="Arial"/>
          <w:sz w:val="20"/>
        </w:rPr>
        <w:tab/>
      </w:r>
      <w:r w:rsidRPr="00412620">
        <w:rPr>
          <w:rFonts w:cs="Arial"/>
          <w:sz w:val="20"/>
          <w:vertAlign w:val="superscript"/>
        </w:rPr>
        <w:footnoteReference w:id="959"/>
      </w:r>
      <w:r w:rsidRPr="00412620">
        <w:rPr>
          <w:rFonts w:cs="Arial"/>
          <w:sz w:val="20"/>
        </w:rPr>
        <w:t>[(d)</w:t>
      </w:r>
      <w:r w:rsidRPr="00412620">
        <w:rPr>
          <w:rFonts w:cs="Arial"/>
          <w:sz w:val="20"/>
        </w:rPr>
        <w:tab/>
        <w:t xml:space="preserve">a banking company, a financial institution,  a company referred </w:t>
      </w:r>
    </w:p>
    <w:p w:rsidR="006A3F93" w:rsidRPr="00412620" w:rsidRDefault="006A3F93">
      <w:pPr>
        <w:pStyle w:val="BodyTextIndent"/>
        <w:ind w:left="1641" w:firstLine="0"/>
        <w:jc w:val="both"/>
        <w:rPr>
          <w:rFonts w:cs="Arial"/>
          <w:sz w:val="20"/>
        </w:rPr>
      </w:pPr>
      <w:r w:rsidRPr="00412620">
        <w:rPr>
          <w:rFonts w:cs="Arial"/>
          <w:sz w:val="20"/>
        </w:rPr>
        <w:t xml:space="preserve">to in </w:t>
      </w:r>
      <w:r w:rsidRPr="00412620">
        <w:rPr>
          <w:rStyle w:val="FootnoteReference"/>
          <w:rFonts w:cs="Arial"/>
          <w:sz w:val="20"/>
        </w:rPr>
        <w:footnoteReference w:id="960"/>
      </w:r>
      <w:r w:rsidRPr="00412620">
        <w:rPr>
          <w:rFonts w:cs="Arial"/>
          <w:sz w:val="20"/>
        </w:rPr>
        <w:t>[sub-clauses (i) and (ii) of clause (b)] of sub-section (2) of section 80, or a finance society pays any profit on any bond, certificate, debenture, security or instrument of any kind (other than a loan agreement between a borrower and a banking company or a development finance institution) to any person other than financial institution.]</w:t>
      </w:r>
    </w:p>
    <w:p w:rsidR="006A3F93" w:rsidRPr="00407513" w:rsidRDefault="006A3F93">
      <w:pPr>
        <w:pStyle w:val="BodyTextIndent"/>
        <w:jc w:val="both"/>
        <w:rPr>
          <w:rFonts w:cs="Arial"/>
          <w:sz w:val="8"/>
        </w:rPr>
      </w:pPr>
    </w:p>
    <w:p w:rsidR="006A3F93" w:rsidRPr="00412620" w:rsidRDefault="006A3F93">
      <w:pPr>
        <w:jc w:val="both"/>
        <w:rPr>
          <w:rFonts w:cs="Arial"/>
          <w:sz w:val="20"/>
        </w:rPr>
      </w:pPr>
      <w:r w:rsidRPr="00412620">
        <w:rPr>
          <w:rFonts w:cs="Arial"/>
          <w:sz w:val="20"/>
        </w:rPr>
        <w:t>the payer of the profit shall deduct tax at the rate specified in Division I</w:t>
      </w:r>
      <w:r w:rsidR="00E92CE1">
        <w:rPr>
          <w:rFonts w:cs="Arial"/>
          <w:sz w:val="20"/>
        </w:rPr>
        <w:t>A</w:t>
      </w:r>
      <w:r w:rsidRPr="00412620">
        <w:rPr>
          <w:rFonts w:cs="Arial"/>
          <w:sz w:val="20"/>
        </w:rPr>
        <w:t xml:space="preserve"> of Part III of the First Schedule from the gross amount of the yield or profit paid as reduced by the amount of Zakat, if any, paid by the recipient under the Zakat and Ushr Ordinance, 1980 (XVII of 1980), at the time the profit is paid to the recipient. </w:t>
      </w:r>
    </w:p>
    <w:p w:rsidR="006A3F93" w:rsidRPr="00407513" w:rsidRDefault="006A3F93">
      <w:pPr>
        <w:jc w:val="both"/>
        <w:rPr>
          <w:rFonts w:cs="Arial"/>
          <w:sz w:val="10"/>
        </w:rPr>
      </w:pPr>
    </w:p>
    <w:p w:rsidR="006A3F93" w:rsidRPr="00412620" w:rsidRDefault="006A3F93">
      <w:pPr>
        <w:jc w:val="both"/>
        <w:rPr>
          <w:rFonts w:cs="Arial"/>
          <w:sz w:val="20"/>
        </w:rPr>
      </w:pPr>
      <w:r w:rsidRPr="00412620">
        <w:rPr>
          <w:rFonts w:cs="Arial"/>
          <w:sz w:val="20"/>
        </w:rPr>
        <w:tab/>
        <w:t>(2)</w:t>
      </w:r>
      <w:r w:rsidRPr="00412620">
        <w:rPr>
          <w:rFonts w:cs="Arial"/>
          <w:sz w:val="20"/>
        </w:rPr>
        <w:tab/>
        <w:t>This section shall not apply to any profit on debt that is subject to sub-section (2) of section 152.</w:t>
      </w:r>
    </w:p>
    <w:p w:rsidR="006A3F93" w:rsidRPr="003E721D" w:rsidRDefault="006A3F93">
      <w:pPr>
        <w:jc w:val="both"/>
        <w:rPr>
          <w:rFonts w:cs="Arial"/>
          <w:sz w:val="14"/>
        </w:rPr>
      </w:pPr>
    </w:p>
    <w:p w:rsidR="003E721D" w:rsidRPr="006420B7" w:rsidRDefault="009A3674" w:rsidP="003E721D">
      <w:pPr>
        <w:autoSpaceDE w:val="0"/>
        <w:autoSpaceDN w:val="0"/>
        <w:adjustRightInd w:val="0"/>
        <w:jc w:val="both"/>
        <w:rPr>
          <w:rFonts w:cs="Arial"/>
          <w:color w:val="000000" w:themeColor="text1"/>
          <w:sz w:val="20"/>
          <w:lang w:val="en-US"/>
        </w:rPr>
      </w:pPr>
      <w:r w:rsidRPr="00412620">
        <w:rPr>
          <w:rFonts w:cs="Arial"/>
          <w:sz w:val="20"/>
        </w:rPr>
        <w:lastRenderedPageBreak/>
        <w:tab/>
      </w:r>
      <w:r w:rsidRPr="006420B7">
        <w:rPr>
          <w:rStyle w:val="FootnoteReference"/>
          <w:rFonts w:cs="Arial"/>
          <w:color w:val="000000" w:themeColor="text1"/>
          <w:sz w:val="20"/>
        </w:rPr>
        <w:footnoteReference w:id="961"/>
      </w:r>
      <w:r w:rsidRPr="006420B7">
        <w:rPr>
          <w:rFonts w:cs="Arial"/>
          <w:color w:val="000000" w:themeColor="text1"/>
          <w:sz w:val="20"/>
        </w:rPr>
        <w:t>[</w:t>
      </w:r>
      <w:r w:rsidR="003E721D" w:rsidRPr="006420B7">
        <w:rPr>
          <w:rFonts w:cs="Arial"/>
          <w:color w:val="000000" w:themeColor="text1"/>
          <w:sz w:val="20"/>
        </w:rPr>
        <w:t>“</w:t>
      </w:r>
      <w:r w:rsidR="003E721D" w:rsidRPr="006420B7">
        <w:rPr>
          <w:rFonts w:cs="Arial"/>
          <w:color w:val="000000" w:themeColor="text1"/>
          <w:sz w:val="20"/>
          <w:lang w:val="en-US"/>
        </w:rPr>
        <w:t>(3) Tax deductible under this section shall be a final tax on the profit on debt arising to a taxpayer, except where —</w:t>
      </w:r>
    </w:p>
    <w:p w:rsidR="003E721D" w:rsidRPr="006420B7" w:rsidRDefault="003E721D" w:rsidP="003E721D">
      <w:pPr>
        <w:autoSpaceDE w:val="0"/>
        <w:autoSpaceDN w:val="0"/>
        <w:adjustRightInd w:val="0"/>
        <w:jc w:val="both"/>
        <w:rPr>
          <w:rFonts w:cs="Arial"/>
          <w:color w:val="000000" w:themeColor="text1"/>
          <w:sz w:val="20"/>
          <w:lang w:val="en-US"/>
        </w:rPr>
      </w:pPr>
    </w:p>
    <w:p w:rsidR="003E721D" w:rsidRPr="006420B7" w:rsidRDefault="003E721D" w:rsidP="003E721D">
      <w:pPr>
        <w:autoSpaceDE w:val="0"/>
        <w:autoSpaceDN w:val="0"/>
        <w:adjustRightInd w:val="0"/>
        <w:ind w:left="547" w:firstLine="547"/>
        <w:rPr>
          <w:rFonts w:cs="Arial"/>
          <w:color w:val="000000" w:themeColor="text1"/>
          <w:sz w:val="20"/>
          <w:lang w:val="en-US"/>
        </w:rPr>
      </w:pPr>
      <w:r w:rsidRPr="006420B7">
        <w:rPr>
          <w:rFonts w:cs="Arial"/>
          <w:color w:val="000000" w:themeColor="text1"/>
          <w:sz w:val="20"/>
          <w:lang w:val="en-US"/>
        </w:rPr>
        <w:t>(a) taxpayer is a company; or</w:t>
      </w:r>
    </w:p>
    <w:p w:rsidR="003E721D" w:rsidRPr="006420B7" w:rsidRDefault="003E721D" w:rsidP="003E721D">
      <w:pPr>
        <w:tabs>
          <w:tab w:val="left" w:pos="720"/>
        </w:tabs>
        <w:rPr>
          <w:rFonts w:cs="Arial"/>
          <w:color w:val="000000" w:themeColor="text1"/>
          <w:sz w:val="20"/>
          <w:lang w:val="en-US"/>
        </w:rPr>
      </w:pPr>
      <w:r w:rsidRPr="006420B7">
        <w:rPr>
          <w:rFonts w:cs="Arial"/>
          <w:color w:val="000000" w:themeColor="text1"/>
          <w:sz w:val="20"/>
          <w:lang w:val="en-US"/>
        </w:rPr>
        <w:tab/>
      </w:r>
      <w:r w:rsidRPr="006420B7">
        <w:rPr>
          <w:rFonts w:cs="Arial"/>
          <w:color w:val="000000" w:themeColor="text1"/>
          <w:sz w:val="20"/>
          <w:lang w:val="en-US"/>
        </w:rPr>
        <w:tab/>
        <w:t>(b) profit on deb</w:t>
      </w:r>
      <w:r w:rsidR="00BE748C" w:rsidRPr="006420B7">
        <w:rPr>
          <w:rFonts w:cs="Arial"/>
          <w:color w:val="000000" w:themeColor="text1"/>
          <w:sz w:val="20"/>
          <w:lang w:val="en-US"/>
        </w:rPr>
        <w:t>t is taxable under section 7B.”</w:t>
      </w:r>
      <w:r w:rsidRPr="006420B7">
        <w:rPr>
          <w:rFonts w:cs="Arial"/>
          <w:color w:val="000000" w:themeColor="text1"/>
          <w:sz w:val="20"/>
          <w:lang w:val="en-US"/>
        </w:rPr>
        <w:t>]</w:t>
      </w:r>
    </w:p>
    <w:p w:rsidR="00407513" w:rsidRPr="003E721D" w:rsidRDefault="00407513" w:rsidP="003E721D">
      <w:pPr>
        <w:tabs>
          <w:tab w:val="left" w:pos="720"/>
        </w:tabs>
        <w:rPr>
          <w:rFonts w:cs="Arial"/>
          <w:color w:val="00B0F0"/>
          <w:sz w:val="20"/>
        </w:rPr>
      </w:pPr>
    </w:p>
    <w:p w:rsidR="006A3F93" w:rsidRPr="00412620" w:rsidRDefault="006A3F93">
      <w:pPr>
        <w:jc w:val="both"/>
        <w:rPr>
          <w:sz w:val="20"/>
        </w:rPr>
      </w:pPr>
      <w:r w:rsidRPr="00412620">
        <w:rPr>
          <w:rFonts w:cs="Arial"/>
          <w:b/>
          <w:sz w:val="20"/>
        </w:rPr>
        <w:t>152.</w:t>
      </w:r>
      <w:r w:rsidRPr="00412620">
        <w:rPr>
          <w:rFonts w:cs="Arial"/>
          <w:b/>
          <w:sz w:val="20"/>
        </w:rPr>
        <w:tab/>
        <w:t>Payments to non-residents.</w:t>
      </w:r>
      <w:r w:rsidR="00670037" w:rsidRPr="00412620">
        <w:rPr>
          <w:rFonts w:cs="Arial"/>
          <w:sz w:val="20"/>
        </w:rPr>
        <w:t xml:space="preserve"> —</w:t>
      </w:r>
      <w:r w:rsidRPr="00412620">
        <w:rPr>
          <w:sz w:val="20"/>
        </w:rPr>
        <w:t xml:space="preserve"> (1)  Every person paying an amount of </w:t>
      </w:r>
      <w:r w:rsidRPr="00412620">
        <w:rPr>
          <w:rStyle w:val="FootnoteReference"/>
          <w:sz w:val="20"/>
        </w:rPr>
        <w:footnoteReference w:id="962"/>
      </w:r>
      <w:r w:rsidRPr="00412620">
        <w:rPr>
          <w:sz w:val="20"/>
        </w:rPr>
        <w:t>[royalty] or fees for technical services to a non-resident person that is chargeable to tax under section 6 shall deduct tax from the gross amount paid at the rate specified in Division IV of Part I of the First Schedule.</w:t>
      </w:r>
    </w:p>
    <w:p w:rsidR="006A3F93" w:rsidRPr="00412620" w:rsidRDefault="006A3F93">
      <w:pPr>
        <w:jc w:val="both"/>
        <w:rPr>
          <w:rFonts w:cs="Arial"/>
          <w:sz w:val="20"/>
        </w:rPr>
      </w:pPr>
    </w:p>
    <w:p w:rsidR="009A3674" w:rsidRPr="00412620" w:rsidRDefault="009A3674">
      <w:pPr>
        <w:jc w:val="both"/>
        <w:rPr>
          <w:rFonts w:cs="Arial"/>
          <w:sz w:val="20"/>
        </w:rPr>
      </w:pPr>
      <w:r w:rsidRPr="00412620">
        <w:rPr>
          <w:rFonts w:cs="Arial"/>
          <w:sz w:val="20"/>
        </w:rPr>
        <w:tab/>
      </w:r>
      <w:r w:rsidRPr="00412620">
        <w:rPr>
          <w:rStyle w:val="FootnoteReference"/>
          <w:rFonts w:cs="Arial"/>
          <w:sz w:val="20"/>
        </w:rPr>
        <w:footnoteReference w:id="963"/>
      </w:r>
      <w:r w:rsidRPr="00412620">
        <w:rPr>
          <w:rFonts w:cs="Arial"/>
          <w:sz w:val="20"/>
        </w:rPr>
        <w:t xml:space="preserve">[(1A) Every person making a payment in full or part (including a payment by way of advance) to a non-resident person on the execution of – </w:t>
      </w:r>
    </w:p>
    <w:p w:rsidR="009A3674" w:rsidRPr="00412620" w:rsidRDefault="009A3674">
      <w:pPr>
        <w:jc w:val="both"/>
        <w:rPr>
          <w:rFonts w:cs="Arial"/>
          <w:sz w:val="20"/>
        </w:rPr>
      </w:pPr>
    </w:p>
    <w:p w:rsidR="009A3674" w:rsidRPr="00412620" w:rsidRDefault="009A3674" w:rsidP="009A3674">
      <w:pPr>
        <w:ind w:left="1094" w:hanging="554"/>
        <w:jc w:val="both"/>
        <w:rPr>
          <w:rFonts w:cs="Arial"/>
          <w:sz w:val="20"/>
        </w:rPr>
      </w:pPr>
      <w:r w:rsidRPr="00412620">
        <w:rPr>
          <w:rFonts w:cs="Arial"/>
          <w:sz w:val="20"/>
        </w:rPr>
        <w:t xml:space="preserve">(a) </w:t>
      </w:r>
      <w:r w:rsidRPr="00412620">
        <w:rPr>
          <w:rFonts w:cs="Arial"/>
          <w:sz w:val="20"/>
        </w:rPr>
        <w:tab/>
        <w:t>a contract or sub-contract under a construction, assembly or  installation project in Pakistan, including a contract for the supply of supervisory activities in relation to such project; or</w:t>
      </w:r>
    </w:p>
    <w:p w:rsidR="009A3674" w:rsidRPr="00412620" w:rsidRDefault="009A3674">
      <w:pPr>
        <w:jc w:val="both"/>
        <w:rPr>
          <w:rFonts w:cs="Arial"/>
          <w:sz w:val="20"/>
        </w:rPr>
      </w:pPr>
    </w:p>
    <w:p w:rsidR="009A3674" w:rsidRPr="00412620" w:rsidRDefault="009A3674" w:rsidP="009A3674">
      <w:pPr>
        <w:ind w:left="1094" w:hanging="554"/>
        <w:jc w:val="both"/>
        <w:rPr>
          <w:rFonts w:cs="Arial"/>
          <w:sz w:val="20"/>
        </w:rPr>
      </w:pPr>
      <w:r w:rsidRPr="00412620">
        <w:rPr>
          <w:rFonts w:cs="Arial"/>
          <w:sz w:val="20"/>
        </w:rPr>
        <w:t xml:space="preserve">(b) </w:t>
      </w:r>
      <w:r w:rsidRPr="00412620">
        <w:rPr>
          <w:rFonts w:cs="Arial"/>
          <w:sz w:val="20"/>
        </w:rPr>
        <w:tab/>
        <w:t>any other contract for construction or services rendered relating  thereto; or</w:t>
      </w:r>
    </w:p>
    <w:p w:rsidR="009A3674" w:rsidRPr="00412620" w:rsidRDefault="009A3674">
      <w:pPr>
        <w:jc w:val="both"/>
        <w:rPr>
          <w:rFonts w:cs="Arial"/>
          <w:sz w:val="20"/>
        </w:rPr>
      </w:pPr>
    </w:p>
    <w:p w:rsidR="009A3674" w:rsidRPr="00412620" w:rsidRDefault="009A3674" w:rsidP="009A3674">
      <w:pPr>
        <w:ind w:left="1094" w:hanging="554"/>
        <w:jc w:val="both"/>
        <w:rPr>
          <w:rFonts w:cs="Arial"/>
          <w:sz w:val="20"/>
        </w:rPr>
      </w:pPr>
      <w:r w:rsidRPr="00412620">
        <w:rPr>
          <w:rFonts w:cs="Arial"/>
          <w:sz w:val="20"/>
        </w:rPr>
        <w:t xml:space="preserve">(c) </w:t>
      </w:r>
      <w:r w:rsidRPr="00412620">
        <w:rPr>
          <w:rFonts w:cs="Arial"/>
          <w:sz w:val="20"/>
        </w:rPr>
        <w:tab/>
        <w:t>a contract for advertisement services rendered by T.V. Satellite  Channels,</w:t>
      </w:r>
    </w:p>
    <w:p w:rsidR="009A3674" w:rsidRPr="00412620" w:rsidRDefault="009A3674">
      <w:pPr>
        <w:jc w:val="both"/>
        <w:rPr>
          <w:rFonts w:cs="Arial"/>
          <w:sz w:val="20"/>
        </w:rPr>
      </w:pPr>
    </w:p>
    <w:p w:rsidR="009A3674" w:rsidRPr="00412620" w:rsidRDefault="009A3674">
      <w:pPr>
        <w:jc w:val="both"/>
        <w:rPr>
          <w:rFonts w:cs="Arial"/>
          <w:sz w:val="20"/>
        </w:rPr>
      </w:pPr>
      <w:r w:rsidRPr="00412620">
        <w:rPr>
          <w:rFonts w:cs="Arial"/>
          <w:sz w:val="20"/>
        </w:rPr>
        <w:t>shall deduct tax from the gross amount payable under the contract at the rate specified in Division II of Part III of the First Schedule.]</w:t>
      </w:r>
    </w:p>
    <w:p w:rsidR="009A3674" w:rsidRPr="00412620" w:rsidRDefault="009A3674">
      <w:pPr>
        <w:jc w:val="both"/>
        <w:rPr>
          <w:rFonts w:cs="Arial"/>
          <w:sz w:val="20"/>
        </w:rPr>
      </w:pPr>
    </w:p>
    <w:p w:rsidR="00995ADF" w:rsidRPr="00412620" w:rsidRDefault="00995ADF" w:rsidP="00995ADF">
      <w:pPr>
        <w:ind w:firstLine="547"/>
        <w:jc w:val="both"/>
        <w:rPr>
          <w:rFonts w:cs="Arial"/>
          <w:sz w:val="20"/>
        </w:rPr>
      </w:pPr>
      <w:r w:rsidRPr="00412620">
        <w:rPr>
          <w:rStyle w:val="FootnoteReference"/>
          <w:rFonts w:cs="Arial"/>
          <w:sz w:val="20"/>
        </w:rPr>
        <w:footnoteReference w:id="964"/>
      </w:r>
      <w:r w:rsidRPr="00412620">
        <w:rPr>
          <w:rFonts w:cs="Arial"/>
          <w:sz w:val="20"/>
        </w:rPr>
        <w:t>[</w:t>
      </w:r>
      <w:r w:rsidR="000F11AE" w:rsidRPr="00412620">
        <w:rPr>
          <w:rFonts w:cs="Arial"/>
          <w:sz w:val="20"/>
        </w:rPr>
        <w:t>(1AA) Every person making a payment of insurance premium or re-insurance premium to a non-resident person shall deduct tax from the gross amount paid at the rate specified in Division II of Part III of the First Schedule</w:t>
      </w:r>
      <w:r w:rsidR="00E75ADE" w:rsidRPr="00412620">
        <w:rPr>
          <w:rFonts w:cs="Arial"/>
          <w:sz w:val="20"/>
        </w:rPr>
        <w:t>.</w:t>
      </w:r>
      <w:r w:rsidRPr="00412620">
        <w:rPr>
          <w:rFonts w:cs="Arial"/>
          <w:sz w:val="20"/>
        </w:rPr>
        <w:t xml:space="preserve">] </w:t>
      </w:r>
    </w:p>
    <w:p w:rsidR="00CE166D" w:rsidRPr="00412620" w:rsidRDefault="00CE166D">
      <w:pPr>
        <w:jc w:val="both"/>
      </w:pPr>
    </w:p>
    <w:p w:rsidR="00995ADF" w:rsidRPr="00412620" w:rsidRDefault="00CE166D">
      <w:pPr>
        <w:jc w:val="both"/>
        <w:rPr>
          <w:rFonts w:cs="Arial"/>
          <w:sz w:val="20"/>
        </w:rPr>
      </w:pPr>
      <w:r w:rsidRPr="00412620">
        <w:rPr>
          <w:sz w:val="20"/>
        </w:rPr>
        <w:tab/>
      </w:r>
      <w:r w:rsidRPr="00412620">
        <w:rPr>
          <w:rStyle w:val="FootnoteReference"/>
          <w:sz w:val="20"/>
        </w:rPr>
        <w:footnoteReference w:id="965"/>
      </w:r>
      <w:r w:rsidRPr="00412620">
        <w:rPr>
          <w:sz w:val="20"/>
        </w:rPr>
        <w:t>[(1AAA)</w:t>
      </w:r>
      <w:r w:rsidR="006420B7">
        <w:rPr>
          <w:sz w:val="20"/>
        </w:rPr>
        <w:t xml:space="preserve"> </w:t>
      </w:r>
      <w:r w:rsidRPr="00412620">
        <w:rPr>
          <w:sz w:val="20"/>
        </w:rPr>
        <w:t>Every person making a payment for advertisement services to a non-resident media person relaying from outside Pakistan shall deduct tax from the gross amount paid at the rate specified in Division IIIA of Part III of the First Schedule.]</w:t>
      </w:r>
    </w:p>
    <w:p w:rsidR="00CE166D" w:rsidRPr="00412620" w:rsidRDefault="00CE166D">
      <w:pPr>
        <w:jc w:val="both"/>
        <w:rPr>
          <w:rFonts w:cs="Arial"/>
          <w:sz w:val="20"/>
        </w:rPr>
      </w:pPr>
    </w:p>
    <w:p w:rsidR="009A3674" w:rsidRPr="00412620" w:rsidRDefault="009A3674">
      <w:pPr>
        <w:jc w:val="both"/>
        <w:rPr>
          <w:rFonts w:cs="Arial"/>
          <w:sz w:val="20"/>
        </w:rPr>
      </w:pPr>
      <w:r w:rsidRPr="00412620">
        <w:rPr>
          <w:rFonts w:cs="Arial"/>
          <w:sz w:val="20"/>
        </w:rPr>
        <w:lastRenderedPageBreak/>
        <w:tab/>
      </w:r>
      <w:r w:rsidRPr="00412620">
        <w:rPr>
          <w:rStyle w:val="FootnoteReference"/>
          <w:rFonts w:cs="Arial"/>
          <w:sz w:val="20"/>
        </w:rPr>
        <w:footnoteReference w:id="966"/>
      </w:r>
      <w:r w:rsidRPr="00412620">
        <w:rPr>
          <w:rFonts w:cs="Arial"/>
          <w:sz w:val="20"/>
        </w:rPr>
        <w:t xml:space="preserve">[(1B) The tax </w:t>
      </w:r>
      <w:r w:rsidR="00915BBA" w:rsidRPr="00412620">
        <w:rPr>
          <w:rStyle w:val="FootnoteReference"/>
          <w:rFonts w:cs="Arial"/>
          <w:sz w:val="20"/>
        </w:rPr>
        <w:footnoteReference w:id="967"/>
      </w:r>
      <w:r w:rsidR="00915BBA" w:rsidRPr="00412620">
        <w:rPr>
          <w:rFonts w:cs="Arial"/>
          <w:sz w:val="20"/>
        </w:rPr>
        <w:t>[deductible]</w:t>
      </w:r>
      <w:r w:rsidRPr="00412620">
        <w:rPr>
          <w:rFonts w:cs="Arial"/>
          <w:sz w:val="20"/>
        </w:rPr>
        <w:t xml:space="preserve"> under sub-section (1A) shall be a final tax on the income of a non-resident person arising from a contract.]</w:t>
      </w:r>
    </w:p>
    <w:p w:rsidR="009A3674" w:rsidRPr="00412620" w:rsidRDefault="009A3674">
      <w:pPr>
        <w:jc w:val="both"/>
        <w:rPr>
          <w:rFonts w:cs="Arial"/>
          <w:sz w:val="20"/>
        </w:rPr>
      </w:pPr>
    </w:p>
    <w:p w:rsidR="000C5EF5" w:rsidRPr="00412620" w:rsidRDefault="000C5EF5">
      <w:pPr>
        <w:jc w:val="both"/>
        <w:rPr>
          <w:rFonts w:cs="Arial"/>
          <w:sz w:val="20"/>
        </w:rPr>
      </w:pPr>
      <w:r w:rsidRPr="00412620">
        <w:rPr>
          <w:rFonts w:cs="Arial"/>
          <w:sz w:val="20"/>
        </w:rPr>
        <w:tab/>
      </w:r>
      <w:r w:rsidRPr="00412620">
        <w:rPr>
          <w:rStyle w:val="FootnoteReference"/>
          <w:rFonts w:cs="Arial"/>
          <w:sz w:val="20"/>
        </w:rPr>
        <w:footnoteReference w:id="968"/>
      </w:r>
      <w:r w:rsidRPr="00412620">
        <w:rPr>
          <w:rFonts w:cs="Arial"/>
          <w:sz w:val="20"/>
        </w:rPr>
        <w:t xml:space="preserve">[(1BB) The tax </w:t>
      </w:r>
      <w:r w:rsidR="00FC0742" w:rsidRPr="00412620">
        <w:rPr>
          <w:rStyle w:val="FootnoteReference"/>
          <w:rFonts w:cs="Arial"/>
          <w:sz w:val="20"/>
        </w:rPr>
        <w:footnoteReference w:id="969"/>
      </w:r>
      <w:r w:rsidR="00FC0742" w:rsidRPr="00412620">
        <w:rPr>
          <w:rFonts w:cs="Arial"/>
          <w:sz w:val="20"/>
        </w:rPr>
        <w:t xml:space="preserve">[deductible] </w:t>
      </w:r>
      <w:r w:rsidRPr="00412620">
        <w:rPr>
          <w:rFonts w:cs="Arial"/>
          <w:sz w:val="20"/>
        </w:rPr>
        <w:t xml:space="preserve"> under sub-section (1AA) shall be a final tax on the income of the non-resident person arising out of such payment.]</w:t>
      </w:r>
    </w:p>
    <w:p w:rsidR="000C5EF5" w:rsidRPr="00412620" w:rsidRDefault="000C5EF5">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Subject to sub-section (3), every person paying an amount to a non-resident person (other than an amount to which sub-section (1)</w:t>
      </w:r>
      <w:r w:rsidR="007A1B5E" w:rsidRPr="00412620">
        <w:rPr>
          <w:rStyle w:val="FootnoteReference"/>
          <w:rFonts w:cs="Arial"/>
          <w:sz w:val="20"/>
        </w:rPr>
        <w:footnoteReference w:id="970"/>
      </w:r>
      <w:r w:rsidR="007A1B5E" w:rsidRPr="00412620">
        <w:rPr>
          <w:rFonts w:cs="Arial"/>
          <w:sz w:val="20"/>
        </w:rPr>
        <w:t xml:space="preserve">[or sub-section (1A) </w:t>
      </w:r>
      <w:r w:rsidR="003267BC" w:rsidRPr="00412620">
        <w:rPr>
          <w:rStyle w:val="FootnoteReference"/>
          <w:rFonts w:cs="Arial"/>
          <w:sz w:val="20"/>
        </w:rPr>
        <w:footnoteReference w:id="971"/>
      </w:r>
      <w:r w:rsidR="008F37C2">
        <w:rPr>
          <w:rFonts w:cs="Arial"/>
          <w:sz w:val="20"/>
        </w:rPr>
        <w:t xml:space="preserve">[, </w:t>
      </w:r>
      <w:r w:rsidR="003267BC" w:rsidRPr="00412620">
        <w:rPr>
          <w:rFonts w:cs="Arial"/>
          <w:sz w:val="20"/>
        </w:rPr>
        <w:t>(1AA)</w:t>
      </w:r>
      <w:r w:rsidR="00B90D8F">
        <w:rPr>
          <w:rFonts w:cs="Arial"/>
          <w:sz w:val="20"/>
        </w:rPr>
        <w:t>]</w:t>
      </w:r>
      <w:r w:rsidR="00907DF6" w:rsidRPr="00412620">
        <w:rPr>
          <w:rStyle w:val="FootnoteReference"/>
          <w:rFonts w:cs="Arial"/>
          <w:sz w:val="20"/>
        </w:rPr>
        <w:footnoteReference w:id="972"/>
      </w:r>
      <w:r w:rsidR="00907DF6" w:rsidRPr="00412620">
        <w:rPr>
          <w:rFonts w:cs="Arial"/>
          <w:sz w:val="20"/>
        </w:rPr>
        <w:t>[, (1AAA) or (2A)</w:t>
      </w:r>
      <w:r w:rsidR="003267BC" w:rsidRPr="00412620">
        <w:rPr>
          <w:rFonts w:cs="Arial"/>
          <w:sz w:val="20"/>
        </w:rPr>
        <w:t>]</w:t>
      </w:r>
      <w:r w:rsidRPr="00412620">
        <w:rPr>
          <w:rFonts w:cs="Arial"/>
          <w:sz w:val="20"/>
        </w:rPr>
        <w:t>applies)</w:t>
      </w:r>
      <w:r w:rsidR="00297A29" w:rsidRPr="00412620">
        <w:rPr>
          <w:rFonts w:cs="Arial"/>
          <w:sz w:val="20"/>
        </w:rPr>
        <w:t>]</w:t>
      </w:r>
      <w:r w:rsidRPr="00412620">
        <w:rPr>
          <w:rFonts w:cs="Arial"/>
          <w:sz w:val="20"/>
        </w:rPr>
        <w:t xml:space="preserve"> shall deduct tax from the gross amount paid at the rate specified in Division II of Part III of the First Schedule.</w:t>
      </w:r>
    </w:p>
    <w:p w:rsidR="006A3F93" w:rsidRPr="00412620" w:rsidRDefault="006A3F93">
      <w:pPr>
        <w:jc w:val="both"/>
        <w:rPr>
          <w:rFonts w:cs="Arial"/>
          <w:sz w:val="20"/>
        </w:rPr>
      </w:pPr>
    </w:p>
    <w:p w:rsidR="003C1D75" w:rsidRPr="00412620" w:rsidRDefault="00C1360B" w:rsidP="00C1360B">
      <w:pPr>
        <w:jc w:val="both"/>
        <w:rPr>
          <w:sz w:val="20"/>
        </w:rPr>
      </w:pPr>
      <w:r w:rsidRPr="00412620">
        <w:rPr>
          <w:sz w:val="20"/>
        </w:rPr>
        <w:tab/>
      </w:r>
      <w:r w:rsidR="0093578C" w:rsidRPr="00412620">
        <w:rPr>
          <w:rStyle w:val="FootnoteReference"/>
          <w:sz w:val="20"/>
        </w:rPr>
        <w:footnoteReference w:id="973"/>
      </w:r>
      <w:r w:rsidRPr="00412620">
        <w:rPr>
          <w:sz w:val="20"/>
        </w:rPr>
        <w:t>[</w:t>
      </w:r>
      <w:r w:rsidR="003C1D75" w:rsidRPr="00412620">
        <w:rPr>
          <w:sz w:val="20"/>
        </w:rPr>
        <w:t>(2A)</w:t>
      </w:r>
      <w:r w:rsidR="003C1D75" w:rsidRPr="00412620">
        <w:rPr>
          <w:sz w:val="20"/>
        </w:rPr>
        <w:tab/>
        <w:t>Every prescribed person making a payment in full or part including a payment by way of advance to a permanent establishment in Pakistan of a non-resident person</w:t>
      </w:r>
      <w:r w:rsidRPr="00412620">
        <w:rPr>
          <w:rFonts w:cs="Arial"/>
          <w:sz w:val="20"/>
        </w:rPr>
        <w:t>—</w:t>
      </w:r>
    </w:p>
    <w:p w:rsidR="003C1D75" w:rsidRPr="00412620" w:rsidRDefault="00C1360B" w:rsidP="00515861">
      <w:pPr>
        <w:numPr>
          <w:ilvl w:val="3"/>
          <w:numId w:val="0"/>
        </w:numPr>
        <w:ind w:left="1620" w:hanging="540"/>
        <w:jc w:val="both"/>
        <w:rPr>
          <w:sz w:val="20"/>
        </w:rPr>
      </w:pPr>
      <w:r w:rsidRPr="00412620">
        <w:rPr>
          <w:sz w:val="20"/>
        </w:rPr>
        <w:t xml:space="preserve">(i) </w:t>
      </w:r>
      <w:r w:rsidRPr="00412620">
        <w:rPr>
          <w:sz w:val="20"/>
        </w:rPr>
        <w:tab/>
      </w:r>
      <w:r w:rsidR="003C1D75" w:rsidRPr="00412620">
        <w:rPr>
          <w:sz w:val="20"/>
        </w:rPr>
        <w:t>for the sale of goods</w:t>
      </w:r>
      <w:r w:rsidR="00515861">
        <w:rPr>
          <w:sz w:val="20"/>
        </w:rPr>
        <w:t xml:space="preserve"> </w:t>
      </w:r>
      <w:r w:rsidR="005D7995" w:rsidRPr="00966F3F">
        <w:rPr>
          <w:rStyle w:val="FootnoteReference"/>
          <w:color w:val="0070C0"/>
          <w:sz w:val="20"/>
        </w:rPr>
        <w:footnoteReference w:id="974"/>
      </w:r>
      <w:r w:rsidR="00515861" w:rsidRPr="00966F3F">
        <w:rPr>
          <w:rFonts w:cs="Arial"/>
          <w:color w:val="0070C0"/>
          <w:sz w:val="20"/>
        </w:rPr>
        <w:t>[“except where the sale is made by the importer of the goods and tax under section 148 in respect of such goods has been paid and the goods are sold in the same condition as they were when imported”]</w:t>
      </w:r>
      <w:r w:rsidR="003C1D75" w:rsidRPr="00412620">
        <w:rPr>
          <w:sz w:val="20"/>
        </w:rPr>
        <w:t>;</w:t>
      </w:r>
    </w:p>
    <w:p w:rsidR="003C1D75" w:rsidRPr="00412620" w:rsidRDefault="00C1360B" w:rsidP="00C1360B">
      <w:pPr>
        <w:numPr>
          <w:ilvl w:val="3"/>
          <w:numId w:val="0"/>
        </w:numPr>
        <w:ind w:left="547" w:firstLine="547"/>
        <w:jc w:val="both"/>
        <w:rPr>
          <w:sz w:val="20"/>
        </w:rPr>
      </w:pPr>
      <w:r w:rsidRPr="00412620">
        <w:rPr>
          <w:sz w:val="20"/>
        </w:rPr>
        <w:t xml:space="preserve">(ii) </w:t>
      </w:r>
      <w:r w:rsidRPr="00412620">
        <w:rPr>
          <w:sz w:val="20"/>
        </w:rPr>
        <w:tab/>
      </w:r>
      <w:r w:rsidR="003C1D75" w:rsidRPr="00412620">
        <w:rPr>
          <w:sz w:val="20"/>
        </w:rPr>
        <w:t>for the rendering of or providing services; and</w:t>
      </w:r>
    </w:p>
    <w:p w:rsidR="003C1D75" w:rsidRPr="00412620" w:rsidRDefault="00C1360B" w:rsidP="00C1360B">
      <w:pPr>
        <w:numPr>
          <w:ilvl w:val="3"/>
          <w:numId w:val="0"/>
        </w:numPr>
        <w:ind w:left="1641" w:hanging="546"/>
        <w:jc w:val="both"/>
        <w:rPr>
          <w:sz w:val="20"/>
        </w:rPr>
      </w:pPr>
      <w:r w:rsidRPr="00412620">
        <w:rPr>
          <w:sz w:val="20"/>
        </w:rPr>
        <w:t xml:space="preserve">(iii) </w:t>
      </w:r>
      <w:r w:rsidRPr="00412620">
        <w:rPr>
          <w:sz w:val="20"/>
        </w:rPr>
        <w:tab/>
      </w:r>
      <w:r w:rsidR="003C1D75" w:rsidRPr="00412620">
        <w:rPr>
          <w:sz w:val="20"/>
        </w:rPr>
        <w:t>on the execution of a contract, other than a contract for the sale of goods or the rendering of or providing services, shall, at the time of making the payment, deduct tax from the gross amount payable (including sales tax, if any) at the rate specified in Division II of Part III of the First Schedule.</w:t>
      </w:r>
      <w:r w:rsidRPr="00412620">
        <w:rPr>
          <w:sz w:val="20"/>
        </w:rPr>
        <w:t>]</w:t>
      </w:r>
    </w:p>
    <w:p w:rsidR="00C1360B" w:rsidRPr="00412620" w:rsidRDefault="00C1360B" w:rsidP="00C1360B">
      <w:pPr>
        <w:jc w:val="both"/>
        <w:rPr>
          <w:sz w:val="20"/>
        </w:rPr>
      </w:pPr>
    </w:p>
    <w:p w:rsidR="008531BC" w:rsidRPr="00412620" w:rsidRDefault="0093578C" w:rsidP="00C1360B">
      <w:pPr>
        <w:ind w:firstLine="547"/>
        <w:jc w:val="both"/>
        <w:rPr>
          <w:rFonts w:cs="Arial"/>
          <w:sz w:val="20"/>
        </w:rPr>
      </w:pPr>
      <w:r w:rsidRPr="00412620">
        <w:rPr>
          <w:rStyle w:val="FootnoteReference"/>
          <w:sz w:val="20"/>
        </w:rPr>
        <w:footnoteReference w:id="975"/>
      </w:r>
      <w:r w:rsidR="00C1360B" w:rsidRPr="00412620">
        <w:rPr>
          <w:sz w:val="20"/>
        </w:rPr>
        <w:t>[</w:t>
      </w:r>
      <w:r w:rsidR="003C1D75" w:rsidRPr="00412620">
        <w:rPr>
          <w:sz w:val="20"/>
        </w:rPr>
        <w:t>(2AA)</w:t>
      </w:r>
      <w:r w:rsidR="003C1D75" w:rsidRPr="00412620">
        <w:rPr>
          <w:sz w:val="20"/>
        </w:rPr>
        <w:tab/>
        <w:t>sub-section (1AA) shall not apply to an amount, with the written approval of the Commissioner,</w:t>
      </w:r>
      <w:r w:rsidR="001A2A0D">
        <w:rPr>
          <w:sz w:val="20"/>
        </w:rPr>
        <w:t xml:space="preserve"> </w:t>
      </w:r>
      <w:r w:rsidR="003C1D75" w:rsidRPr="00412620">
        <w:rPr>
          <w:sz w:val="20"/>
        </w:rPr>
        <w:t>that is taxable to a permanent establishment in Pakistan of the non-resident person.</w:t>
      </w:r>
      <w:r w:rsidR="00C1360B" w:rsidRPr="00412620">
        <w:rPr>
          <w:sz w:val="20"/>
        </w:rPr>
        <w:t>]</w:t>
      </w:r>
    </w:p>
    <w:p w:rsidR="008531BC" w:rsidRPr="00412620" w:rsidRDefault="008531BC">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Sub-section (2) does not apply to an amount  </w:t>
      </w:r>
      <w:r w:rsidR="00670037"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that is subject to deduction of tax under section 149, 150, </w:t>
      </w:r>
      <w:r w:rsidR="001340E8" w:rsidRPr="00412620">
        <w:rPr>
          <w:rStyle w:val="FootnoteReference"/>
          <w:rFonts w:cs="Arial"/>
          <w:sz w:val="20"/>
        </w:rPr>
        <w:footnoteReference w:id="976"/>
      </w:r>
      <w:r w:rsidR="001340E8" w:rsidRPr="00412620">
        <w:rPr>
          <w:rFonts w:cs="Arial"/>
          <w:sz w:val="20"/>
        </w:rPr>
        <w:t xml:space="preserve">[  ] </w:t>
      </w:r>
      <w:r w:rsidR="008B409A" w:rsidRPr="00412620">
        <w:rPr>
          <w:rStyle w:val="FootnoteReference"/>
          <w:rFonts w:cs="Arial"/>
          <w:sz w:val="20"/>
        </w:rPr>
        <w:footnoteReference w:id="977"/>
      </w:r>
      <w:r w:rsidR="008B409A" w:rsidRPr="00412620">
        <w:rPr>
          <w:rFonts w:cs="Arial"/>
          <w:sz w:val="20"/>
        </w:rPr>
        <w:t xml:space="preserve">[  ] </w:t>
      </w:r>
      <w:r w:rsidRPr="00412620">
        <w:rPr>
          <w:rFonts w:cs="Arial"/>
          <w:sz w:val="20"/>
        </w:rPr>
        <w:t>156</w:t>
      </w:r>
      <w:r w:rsidR="00966F3F">
        <w:rPr>
          <w:rFonts w:cs="Arial"/>
          <w:sz w:val="20"/>
        </w:rPr>
        <w:t xml:space="preserve"> </w:t>
      </w:r>
      <w:r w:rsidR="00794CD3" w:rsidRPr="00412620">
        <w:rPr>
          <w:rStyle w:val="FootnoteReference"/>
          <w:rFonts w:cs="Arial"/>
          <w:sz w:val="20"/>
        </w:rPr>
        <w:footnoteReference w:id="978"/>
      </w:r>
      <w:r w:rsidR="00794CD3" w:rsidRPr="00412620">
        <w:rPr>
          <w:rFonts w:cs="Arial"/>
          <w:sz w:val="20"/>
        </w:rPr>
        <w:t>[or 233]</w:t>
      </w:r>
      <w:r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lastRenderedPageBreak/>
        <w:t>(b)</w:t>
      </w:r>
      <w:r w:rsidRPr="00412620">
        <w:rPr>
          <w:rFonts w:cs="Arial"/>
          <w:sz w:val="20"/>
        </w:rPr>
        <w:tab/>
        <w:t>with the written approval of the Commissioner, that is taxable to a permanent establishment in Pakistan of the non-resident person;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that is payable by a person who is liable to pay tax on the amount as representative of the non-resident person under sub-section (3) of section 172;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where the non-resident person is not chargeable to tax in respect of the amount.</w:t>
      </w:r>
    </w:p>
    <w:p w:rsidR="006A3F93" w:rsidRPr="00412620" w:rsidRDefault="006A3F93">
      <w:pPr>
        <w:jc w:val="both"/>
        <w:rPr>
          <w:rFonts w:cs="Arial"/>
          <w:sz w:val="20"/>
        </w:rPr>
      </w:pPr>
    </w:p>
    <w:p w:rsidR="006A3F93" w:rsidRDefault="006A3F93">
      <w:pPr>
        <w:jc w:val="both"/>
        <w:rPr>
          <w:rFonts w:cs="Arial"/>
          <w:sz w:val="20"/>
        </w:rPr>
      </w:pPr>
      <w:r w:rsidRPr="00412620">
        <w:rPr>
          <w:rFonts w:cs="Arial"/>
          <w:sz w:val="20"/>
        </w:rPr>
        <w:tab/>
        <w:t>(4)</w:t>
      </w:r>
      <w:r w:rsidRPr="00412620">
        <w:rPr>
          <w:rFonts w:cs="Arial"/>
          <w:sz w:val="20"/>
        </w:rPr>
        <w:tab/>
        <w:t xml:space="preserve">Where a person claims to be a representative of a non-resident person for the purposes of clause (c) of sub-section (3), the person shall file a declaration to that effect with the Commissioner prior to making any payment to the non-resident person. </w:t>
      </w:r>
    </w:p>
    <w:p w:rsidR="0063154E" w:rsidRDefault="0063154E">
      <w:pPr>
        <w:jc w:val="both"/>
        <w:rPr>
          <w:rFonts w:cs="Arial"/>
          <w:sz w:val="20"/>
        </w:rPr>
      </w:pPr>
    </w:p>
    <w:p w:rsidR="0063154E" w:rsidRPr="006420B7" w:rsidRDefault="003C08D7" w:rsidP="003C08D7">
      <w:pPr>
        <w:autoSpaceDE w:val="0"/>
        <w:autoSpaceDN w:val="0"/>
        <w:adjustRightInd w:val="0"/>
        <w:ind w:firstLine="547"/>
        <w:jc w:val="both"/>
        <w:rPr>
          <w:rFonts w:cs="Arial"/>
          <w:color w:val="000000" w:themeColor="text1"/>
          <w:sz w:val="20"/>
        </w:rPr>
      </w:pPr>
      <w:r w:rsidRPr="006420B7">
        <w:rPr>
          <w:rStyle w:val="FootnoteReference"/>
          <w:rFonts w:cs="Arial"/>
          <w:color w:val="000000" w:themeColor="text1"/>
          <w:sz w:val="20"/>
          <w:lang w:val="en-US"/>
        </w:rPr>
        <w:footnoteReference w:id="979"/>
      </w:r>
      <w:r w:rsidR="0063154E" w:rsidRPr="006420B7">
        <w:rPr>
          <w:rFonts w:cs="Arial"/>
          <w:color w:val="000000" w:themeColor="text1"/>
          <w:sz w:val="20"/>
          <w:lang w:val="en-US"/>
        </w:rPr>
        <w:t>[“(4A) The Commissioner may, on application made by the recipient of a payment referred to in sub-section (2A) and after making such inquiry as the Commissioner thinks fit, may allow in cases where the tax deductable under sub-section (2A) is adjustable, by order in writing, any person to make the payment, without deduction of tax or deduction of tax</w:t>
      </w:r>
      <w:r w:rsidR="001A2A0D" w:rsidRPr="006420B7">
        <w:rPr>
          <w:rFonts w:cs="Arial"/>
          <w:color w:val="000000" w:themeColor="text1"/>
          <w:sz w:val="20"/>
          <w:lang w:val="en-US"/>
        </w:rPr>
        <w:t xml:space="preserve"> </w:t>
      </w:r>
      <w:r w:rsidR="0063154E" w:rsidRPr="006420B7">
        <w:rPr>
          <w:rFonts w:cs="Arial"/>
          <w:color w:val="000000" w:themeColor="text1"/>
          <w:sz w:val="20"/>
          <w:lang w:val="en-US"/>
        </w:rPr>
        <w:t>at a reduced rate.”;]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Where a person intends to make a payment to a non-resident person without deduction of tax under this section</w:t>
      </w:r>
      <w:r w:rsidR="00D15C95" w:rsidRPr="00412620">
        <w:rPr>
          <w:rFonts w:cs="Arial"/>
          <w:sz w:val="20"/>
        </w:rPr>
        <w:t>,</w:t>
      </w:r>
      <w:r w:rsidR="00D15C95" w:rsidRPr="00412620">
        <w:rPr>
          <w:rStyle w:val="FootnoteReference"/>
          <w:rFonts w:cs="Arial"/>
          <w:sz w:val="20"/>
        </w:rPr>
        <w:footnoteReference w:id="980"/>
      </w:r>
      <w:r w:rsidR="000C5EF5" w:rsidRPr="00412620">
        <w:rPr>
          <w:rFonts w:cs="Arial"/>
          <w:sz w:val="20"/>
        </w:rPr>
        <w:t>[other than payments liable to reduced rate under relevant agreement for avoidance of double taxation,]</w:t>
      </w:r>
      <w:r w:rsidRPr="00412620">
        <w:rPr>
          <w:rFonts w:cs="Arial"/>
          <w:sz w:val="20"/>
        </w:rPr>
        <w:t xml:space="preserve"> the person shall, before making the payment, furnish to the Commissioner a notice in writing setting out </w:t>
      </w:r>
      <w:r w:rsidR="00C204B7"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the name and address of the non-resident person; and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the nature and amount of the payment. </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981"/>
      </w:r>
      <w:r w:rsidRPr="00412620">
        <w:rPr>
          <w:rFonts w:cs="Arial"/>
          <w:sz w:val="20"/>
        </w:rPr>
        <w:t>[(5A)</w:t>
      </w:r>
      <w:r w:rsidRPr="00412620">
        <w:rPr>
          <w:rFonts w:cs="Arial"/>
          <w:sz w:val="20"/>
        </w:rPr>
        <w:tab/>
        <w:t xml:space="preserve">The Commissioner on receipt of notice shall </w:t>
      </w:r>
      <w:r w:rsidRPr="00412620">
        <w:rPr>
          <w:rStyle w:val="FootnoteReference"/>
          <w:rFonts w:cs="Arial"/>
          <w:sz w:val="20"/>
        </w:rPr>
        <w:footnoteReference w:id="982"/>
      </w:r>
      <w:r w:rsidRPr="00412620">
        <w:rPr>
          <w:rFonts w:cs="Arial"/>
          <w:sz w:val="20"/>
        </w:rPr>
        <w:t>[, within thirty days,] pass an order accepting the contention or making the order under sub-section (6).]</w:t>
      </w:r>
    </w:p>
    <w:p w:rsidR="006A3F93" w:rsidRPr="00391B77" w:rsidRDefault="006A3F93">
      <w:pPr>
        <w:jc w:val="both"/>
        <w:rPr>
          <w:rFonts w:cs="Arial"/>
          <w:sz w:val="12"/>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Where a person has notified the Commissioner of a payment under sub-section (5) and the Commissioner has reasonable grounds to believe that the non-resident person is chargeable to tax under this Ordinance in respect of the payment, the Commissioner may, by </w:t>
      </w:r>
      <w:r w:rsidRPr="00412620">
        <w:rPr>
          <w:rStyle w:val="FootnoteReference"/>
          <w:rFonts w:cs="Arial"/>
          <w:sz w:val="20"/>
        </w:rPr>
        <w:footnoteReference w:id="983"/>
      </w:r>
      <w:r w:rsidRPr="00412620">
        <w:rPr>
          <w:rFonts w:cs="Arial"/>
          <w:sz w:val="20"/>
        </w:rPr>
        <w:t>[order] in writing, direct the person making the payment to deduct tax from the payment in accordance with sub-section (2).</w:t>
      </w:r>
    </w:p>
    <w:p w:rsidR="006A3F93" w:rsidRPr="00391B77" w:rsidRDefault="006A3F93">
      <w:pPr>
        <w:jc w:val="both"/>
        <w:rPr>
          <w:rFonts w:cs="Arial"/>
          <w:sz w:val="12"/>
        </w:rPr>
      </w:pPr>
    </w:p>
    <w:p w:rsidR="006A3F93" w:rsidRPr="00412620" w:rsidRDefault="006A3F93">
      <w:pPr>
        <w:jc w:val="both"/>
        <w:rPr>
          <w:rFonts w:cs="Arial"/>
          <w:sz w:val="20"/>
        </w:rPr>
      </w:pPr>
      <w:r w:rsidRPr="00412620">
        <w:rPr>
          <w:rFonts w:cs="Arial"/>
          <w:sz w:val="20"/>
        </w:rPr>
        <w:lastRenderedPageBreak/>
        <w:tab/>
        <w:t>(7)</w:t>
      </w:r>
      <w:r w:rsidRPr="00412620">
        <w:rPr>
          <w:rFonts w:cs="Arial"/>
          <w:sz w:val="20"/>
        </w:rPr>
        <w:tab/>
        <w:t>Sub-section (5) shall not apply to a payment on account of –</w:t>
      </w:r>
    </w:p>
    <w:p w:rsidR="006A3F93" w:rsidRPr="00391B77" w:rsidRDefault="006A3F93">
      <w:pPr>
        <w:jc w:val="both"/>
        <w:rPr>
          <w:rFonts w:cs="Arial"/>
          <w:sz w:val="12"/>
        </w:rPr>
      </w:pPr>
    </w:p>
    <w:p w:rsidR="006A3F93" w:rsidRPr="00412620" w:rsidRDefault="006A3F93">
      <w:pPr>
        <w:pStyle w:val="BodyTextIndent"/>
        <w:ind w:left="1620" w:hanging="518"/>
        <w:jc w:val="both"/>
        <w:rPr>
          <w:rFonts w:cs="Arial"/>
          <w:sz w:val="20"/>
        </w:rPr>
      </w:pPr>
      <w:r w:rsidRPr="00412620">
        <w:rPr>
          <w:rFonts w:cs="Arial"/>
          <w:sz w:val="20"/>
        </w:rPr>
        <w:t>(a)</w:t>
      </w:r>
      <w:r w:rsidRPr="00412620">
        <w:rPr>
          <w:rFonts w:cs="Arial"/>
          <w:sz w:val="20"/>
        </w:rPr>
        <w:tab/>
        <w:t>an import of goods where title to the goods passes outside Pakistan</w:t>
      </w:r>
      <w:r w:rsidR="000C5EF5" w:rsidRPr="00412620">
        <w:rPr>
          <w:rStyle w:val="FootnoteReference"/>
          <w:rFonts w:cs="Arial"/>
          <w:sz w:val="20"/>
        </w:rPr>
        <w:footnoteReference w:id="984"/>
      </w:r>
      <w:r w:rsidR="000C5EF5" w:rsidRPr="00412620">
        <w:rPr>
          <w:rFonts w:cs="Arial"/>
          <w:sz w:val="20"/>
        </w:rPr>
        <w:t>[and is supported by import documents]</w:t>
      </w:r>
      <w:r w:rsidRPr="00412620">
        <w:rPr>
          <w:rFonts w:cs="Arial"/>
          <w:sz w:val="20"/>
        </w:rPr>
        <w:t xml:space="preserve">, except an </w:t>
      </w:r>
      <w:r w:rsidRPr="00412620">
        <w:rPr>
          <w:rStyle w:val="FootnoteReference"/>
          <w:rFonts w:cs="Arial"/>
          <w:sz w:val="20"/>
        </w:rPr>
        <w:footnoteReference w:id="985"/>
      </w:r>
      <w:r w:rsidRPr="00412620">
        <w:rPr>
          <w:rFonts w:cs="Arial"/>
          <w:sz w:val="20"/>
        </w:rPr>
        <w:t>[ ] import that is part of an overall arrangement for the supply of goods, their installation, and any commission and guarantees in respect of the supply where –</w:t>
      </w:r>
    </w:p>
    <w:p w:rsidR="006A3F93" w:rsidRPr="00391B77" w:rsidRDefault="006A3F93">
      <w:pPr>
        <w:pStyle w:val="BodyTextIndent"/>
        <w:jc w:val="both"/>
        <w:rPr>
          <w:rFonts w:cs="Arial"/>
          <w:sz w:val="12"/>
        </w:rPr>
      </w:pPr>
    </w:p>
    <w:p w:rsidR="006A3F93" w:rsidRPr="00412620" w:rsidRDefault="006A3F93">
      <w:pPr>
        <w:pStyle w:val="BodyTextIndent"/>
        <w:ind w:left="2160" w:hanging="540"/>
        <w:jc w:val="both"/>
        <w:rPr>
          <w:rFonts w:cs="Arial"/>
          <w:sz w:val="20"/>
        </w:rPr>
      </w:pPr>
      <w:r w:rsidRPr="00412620">
        <w:rPr>
          <w:rFonts w:cs="Arial"/>
          <w:sz w:val="20"/>
        </w:rPr>
        <w:t xml:space="preserve">  (i)</w:t>
      </w:r>
      <w:r w:rsidRPr="00412620">
        <w:rPr>
          <w:rFonts w:cs="Arial"/>
          <w:sz w:val="20"/>
        </w:rPr>
        <w:tab/>
        <w:t>the supply is made by the head office outside Pakistan of a person to a permanent establishment of the person in Pakistan;</w:t>
      </w:r>
    </w:p>
    <w:p w:rsidR="006A3F93" w:rsidRPr="00391B77" w:rsidRDefault="006A3F93">
      <w:pPr>
        <w:pStyle w:val="BodyTextIndent"/>
        <w:jc w:val="both"/>
        <w:rPr>
          <w:rFonts w:cs="Arial"/>
          <w:sz w:val="12"/>
        </w:rPr>
      </w:pPr>
    </w:p>
    <w:p w:rsidR="006A3F93" w:rsidRPr="00412620" w:rsidRDefault="006A3F93">
      <w:pPr>
        <w:pStyle w:val="BodyTextIndent"/>
        <w:ind w:left="2160" w:hanging="540"/>
        <w:jc w:val="both"/>
        <w:rPr>
          <w:rFonts w:cs="Arial"/>
          <w:sz w:val="20"/>
        </w:rPr>
      </w:pPr>
      <w:r w:rsidRPr="00412620">
        <w:rPr>
          <w:rFonts w:cs="Arial"/>
          <w:sz w:val="20"/>
        </w:rPr>
        <w:t xml:space="preserve"> (ii)</w:t>
      </w:r>
      <w:r w:rsidRPr="00412620">
        <w:rPr>
          <w:rFonts w:cs="Arial"/>
          <w:sz w:val="20"/>
        </w:rPr>
        <w:tab/>
        <w:t>the supply is made by a permanent establishment of the person outside Pakistan to a permanent establishment of the person in Pakistan;</w:t>
      </w:r>
    </w:p>
    <w:p w:rsidR="006A3F93" w:rsidRPr="00391B77" w:rsidRDefault="006A3F93">
      <w:pPr>
        <w:pStyle w:val="BodyTextIndent"/>
        <w:jc w:val="both"/>
        <w:rPr>
          <w:rFonts w:cs="Arial"/>
          <w:sz w:val="12"/>
        </w:rPr>
      </w:pPr>
    </w:p>
    <w:p w:rsidR="006A3F93" w:rsidRPr="00412620" w:rsidRDefault="006A3F93">
      <w:pPr>
        <w:pStyle w:val="BodyTextIndent"/>
        <w:ind w:left="2160" w:hanging="540"/>
        <w:jc w:val="both"/>
        <w:rPr>
          <w:rFonts w:cs="Arial"/>
          <w:sz w:val="20"/>
        </w:rPr>
      </w:pPr>
      <w:r w:rsidRPr="00412620">
        <w:rPr>
          <w:rFonts w:cs="Arial"/>
          <w:sz w:val="20"/>
        </w:rPr>
        <w:t>(iii)</w:t>
      </w:r>
      <w:r w:rsidRPr="00412620">
        <w:rPr>
          <w:rFonts w:cs="Arial"/>
          <w:sz w:val="20"/>
        </w:rPr>
        <w:tab/>
        <w:t>the supply is made between associates; or</w:t>
      </w:r>
    </w:p>
    <w:p w:rsidR="006A3F93" w:rsidRPr="00391B77" w:rsidRDefault="006A3F93">
      <w:pPr>
        <w:pStyle w:val="BodyTextIndent"/>
        <w:jc w:val="both"/>
        <w:rPr>
          <w:rFonts w:cs="Arial"/>
          <w:sz w:val="12"/>
        </w:rPr>
      </w:pPr>
    </w:p>
    <w:p w:rsidR="006A3F93" w:rsidRPr="00412620" w:rsidRDefault="006A3F93">
      <w:pPr>
        <w:pStyle w:val="BodyTextIndent"/>
        <w:ind w:left="2160" w:hanging="540"/>
        <w:jc w:val="both"/>
        <w:rPr>
          <w:rFonts w:cs="Arial"/>
          <w:sz w:val="20"/>
        </w:rPr>
      </w:pPr>
      <w:r w:rsidRPr="00412620">
        <w:rPr>
          <w:rFonts w:cs="Arial"/>
          <w:sz w:val="20"/>
        </w:rPr>
        <w:t>(iv)</w:t>
      </w:r>
      <w:r w:rsidRPr="00412620">
        <w:rPr>
          <w:rFonts w:cs="Arial"/>
          <w:sz w:val="20"/>
        </w:rPr>
        <w:tab/>
        <w:t>the supply is made by a resident person or a Pakistan permanent establishment of a non-resident person; or</w:t>
      </w:r>
    </w:p>
    <w:p w:rsidR="006A3F93" w:rsidRPr="00391B77" w:rsidRDefault="006A3F93">
      <w:pPr>
        <w:jc w:val="both"/>
        <w:rPr>
          <w:rFonts w:cs="Arial"/>
          <w:sz w:val="12"/>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educational and medical expenses remitted in accordance with the regulations of the State Bank of Pakistan.</w:t>
      </w:r>
    </w:p>
    <w:p w:rsidR="006A3F93" w:rsidRPr="00412620" w:rsidRDefault="006A3F93">
      <w:pPr>
        <w:jc w:val="both"/>
        <w:rPr>
          <w:rFonts w:cs="Arial"/>
          <w:sz w:val="20"/>
        </w:rPr>
      </w:pPr>
    </w:p>
    <w:p w:rsidR="000E6B44" w:rsidRPr="00412620" w:rsidRDefault="000E6B44">
      <w:pPr>
        <w:jc w:val="both"/>
        <w:rPr>
          <w:rFonts w:cs="Arial"/>
          <w:sz w:val="20"/>
        </w:rPr>
      </w:pPr>
      <w:r w:rsidRPr="00412620">
        <w:rPr>
          <w:rFonts w:cs="Arial"/>
          <w:sz w:val="20"/>
        </w:rPr>
        <w:tab/>
      </w:r>
      <w:r w:rsidR="00C13C1D" w:rsidRPr="00412620">
        <w:rPr>
          <w:rStyle w:val="FootnoteReference"/>
          <w:rFonts w:cs="Arial"/>
          <w:sz w:val="20"/>
        </w:rPr>
        <w:footnoteReference w:id="986"/>
      </w:r>
      <w:r w:rsidR="00C13C1D" w:rsidRPr="00412620">
        <w:rPr>
          <w:rFonts w:cs="Arial"/>
          <w:sz w:val="20"/>
        </w:rPr>
        <w:t>[</w:t>
      </w:r>
      <w:r w:rsidRPr="00412620">
        <w:rPr>
          <w:rFonts w:cs="Arial"/>
          <w:sz w:val="20"/>
        </w:rPr>
        <w:t xml:space="preserve">(8) </w:t>
      </w:r>
      <w:r w:rsidRPr="00412620">
        <w:rPr>
          <w:rFonts w:cs="Arial"/>
          <w:sz w:val="20"/>
        </w:rPr>
        <w:tab/>
      </w:r>
      <w:r w:rsidR="00C13C1D" w:rsidRPr="00412620">
        <w:rPr>
          <w:rFonts w:cs="Arial"/>
          <w:sz w:val="20"/>
        </w:rPr>
        <w:t>In this section “prescribed person” means a prescribed person as defined in sub-section (7) of section 153.]</w:t>
      </w:r>
    </w:p>
    <w:p w:rsidR="000E6B44" w:rsidRDefault="000E6B44">
      <w:pPr>
        <w:jc w:val="both"/>
        <w:rPr>
          <w:rFonts w:cs="Arial"/>
          <w:sz w:val="20"/>
        </w:rPr>
      </w:pPr>
    </w:p>
    <w:p w:rsidR="007F1960" w:rsidRPr="00F55609" w:rsidRDefault="001E41EE" w:rsidP="007F1960">
      <w:pPr>
        <w:pStyle w:val="ListParagraph"/>
        <w:ind w:left="0"/>
        <w:jc w:val="both"/>
        <w:rPr>
          <w:rFonts w:cs="Arial"/>
          <w:color w:val="0070C0"/>
          <w:sz w:val="20"/>
        </w:rPr>
      </w:pPr>
      <w:r w:rsidRPr="00F55609">
        <w:rPr>
          <w:rStyle w:val="FootnoteReference"/>
          <w:rFonts w:cs="Arial"/>
          <w:b/>
          <w:color w:val="0070C0"/>
          <w:sz w:val="20"/>
        </w:rPr>
        <w:footnoteReference w:id="987"/>
      </w:r>
      <w:r w:rsidR="007F1960" w:rsidRPr="00F55609">
        <w:rPr>
          <w:rFonts w:cs="Arial"/>
          <w:b/>
          <w:color w:val="0070C0"/>
          <w:sz w:val="20"/>
        </w:rPr>
        <w:t>[“152A. Payment for foreign produced commercials</w:t>
      </w:r>
      <w:r w:rsidR="007F1960" w:rsidRPr="00F55609">
        <w:rPr>
          <w:rFonts w:cs="Arial"/>
          <w:color w:val="0070C0"/>
          <w:sz w:val="20"/>
        </w:rPr>
        <w:t>.─ (1) Every person responsible for making payment directly or through an agent or intermediary to a non resident person for foreign produced commercial for advertisement on any television channel or any other media shall deduct tax at the rate of twenty percent from the gross amount paid.</w:t>
      </w:r>
    </w:p>
    <w:p w:rsidR="007F1960" w:rsidRPr="00F55609" w:rsidRDefault="007F1960" w:rsidP="007F1960">
      <w:pPr>
        <w:pStyle w:val="ListParagraph"/>
        <w:ind w:left="0"/>
        <w:jc w:val="both"/>
        <w:rPr>
          <w:rFonts w:cs="Arial"/>
          <w:color w:val="0070C0"/>
          <w:sz w:val="20"/>
        </w:rPr>
      </w:pPr>
    </w:p>
    <w:p w:rsidR="007F1960" w:rsidRPr="00F55609" w:rsidRDefault="007F1960" w:rsidP="007F1960">
      <w:pPr>
        <w:pStyle w:val="ListParagraph"/>
        <w:ind w:left="0" w:firstLine="630"/>
        <w:jc w:val="both"/>
        <w:rPr>
          <w:rFonts w:cs="Arial"/>
          <w:color w:val="0070C0"/>
          <w:sz w:val="20"/>
        </w:rPr>
      </w:pPr>
      <w:r w:rsidRPr="00F55609">
        <w:rPr>
          <w:rFonts w:cs="Arial"/>
          <w:color w:val="0070C0"/>
          <w:sz w:val="20"/>
        </w:rPr>
        <w:t>(2)</w:t>
      </w:r>
      <w:r w:rsidRPr="00F55609">
        <w:rPr>
          <w:rFonts w:cs="Arial"/>
          <w:color w:val="0070C0"/>
          <w:sz w:val="20"/>
        </w:rPr>
        <w:tab/>
        <w:t>The tax deductable under sub-section (1), shall be final tax on the income of non-resident person arising out of such payment.”]</w:t>
      </w:r>
    </w:p>
    <w:p w:rsidR="007F1960" w:rsidRDefault="007F1960">
      <w:pPr>
        <w:jc w:val="both"/>
        <w:rPr>
          <w:rFonts w:cs="Arial"/>
          <w:sz w:val="20"/>
        </w:rPr>
      </w:pPr>
    </w:p>
    <w:p w:rsidR="007D4FDD" w:rsidRPr="00412620" w:rsidRDefault="0033616E">
      <w:pPr>
        <w:jc w:val="both"/>
        <w:rPr>
          <w:rFonts w:cs="Arial"/>
          <w:b/>
          <w:sz w:val="20"/>
        </w:rPr>
      </w:pPr>
      <w:r w:rsidRPr="00412620">
        <w:rPr>
          <w:rStyle w:val="FootnoteReference"/>
          <w:rFonts w:cs="Arial"/>
          <w:sz w:val="20"/>
        </w:rPr>
        <w:footnoteReference w:id="988"/>
      </w:r>
      <w:r w:rsidR="007D4FDD" w:rsidRPr="00412620">
        <w:rPr>
          <w:rFonts w:cs="Arial"/>
          <w:sz w:val="20"/>
        </w:rPr>
        <w:t>[</w:t>
      </w:r>
      <w:r w:rsidR="00391B77">
        <w:rPr>
          <w:rFonts w:cs="Arial"/>
          <w:b/>
          <w:sz w:val="20"/>
        </w:rPr>
        <w:t xml:space="preserve">153. </w:t>
      </w:r>
      <w:r w:rsidR="007D4FDD" w:rsidRPr="00412620">
        <w:rPr>
          <w:rFonts w:cs="Arial"/>
          <w:b/>
          <w:sz w:val="20"/>
        </w:rPr>
        <w:t>Payments for goods, services and contracts.</w:t>
      </w:r>
      <w:r w:rsidR="00862D16" w:rsidRPr="00412620">
        <w:rPr>
          <w:rFonts w:cs="Arial"/>
          <w:b/>
          <w:sz w:val="20"/>
        </w:rPr>
        <w:t>—</w:t>
      </w:r>
      <w:r w:rsidR="007D4FDD" w:rsidRPr="00412620">
        <w:rPr>
          <w:rFonts w:cs="Arial"/>
          <w:sz w:val="20"/>
        </w:rPr>
        <w:t xml:space="preserve">(1) Every </w:t>
      </w:r>
      <w:r w:rsidR="00541C59" w:rsidRPr="00412620">
        <w:rPr>
          <w:rFonts w:cs="Arial"/>
          <w:sz w:val="20"/>
        </w:rPr>
        <w:br w:type="page"/>
      </w:r>
      <w:r w:rsidR="007D4FDD" w:rsidRPr="00412620">
        <w:rPr>
          <w:rFonts w:cs="Arial"/>
          <w:sz w:val="20"/>
        </w:rPr>
        <w:lastRenderedPageBreak/>
        <w:t xml:space="preserve">prescribed person making a payment in full or part including a payment by way of advance to a resident person or </w:t>
      </w:r>
      <w:r w:rsidR="00CC7D35" w:rsidRPr="00412620">
        <w:rPr>
          <w:rStyle w:val="FootnoteReference"/>
          <w:rFonts w:cs="Arial"/>
          <w:sz w:val="20"/>
        </w:rPr>
        <w:footnoteReference w:id="989"/>
      </w:r>
      <w:r w:rsidR="00CC7D35" w:rsidRPr="00412620">
        <w:rPr>
          <w:rFonts w:cs="Arial"/>
          <w:sz w:val="20"/>
        </w:rPr>
        <w:t>[  ]</w:t>
      </w:r>
      <w:r w:rsidR="00CC7D35" w:rsidRPr="00412620">
        <w:rPr>
          <w:rFonts w:cs="Arial"/>
          <w:b/>
          <w:sz w:val="20"/>
        </w:rPr>
        <w:t>—</w:t>
      </w:r>
    </w:p>
    <w:p w:rsidR="007D4FDD" w:rsidRPr="00412620" w:rsidRDefault="007D4FDD">
      <w:pPr>
        <w:jc w:val="both"/>
        <w:rPr>
          <w:rFonts w:cs="Arial"/>
          <w:b/>
          <w:sz w:val="20"/>
        </w:rPr>
      </w:pPr>
    </w:p>
    <w:p w:rsidR="007D4FDD" w:rsidRPr="00412620" w:rsidRDefault="007D4FDD">
      <w:pPr>
        <w:jc w:val="both"/>
        <w:rPr>
          <w:rFonts w:cs="Arial"/>
          <w:sz w:val="20"/>
        </w:rPr>
      </w:pPr>
      <w:r w:rsidRPr="00412620">
        <w:rPr>
          <w:rFonts w:cs="Arial"/>
          <w:b/>
          <w:sz w:val="20"/>
        </w:rPr>
        <w:tab/>
      </w:r>
      <w:r w:rsidRPr="00412620">
        <w:rPr>
          <w:rFonts w:cs="Arial"/>
          <w:b/>
          <w:sz w:val="20"/>
        </w:rPr>
        <w:tab/>
      </w:r>
      <w:r w:rsidRPr="00412620">
        <w:rPr>
          <w:rFonts w:cs="Arial"/>
          <w:sz w:val="20"/>
        </w:rPr>
        <w:t xml:space="preserve">(a) </w:t>
      </w:r>
      <w:r w:rsidRPr="00412620">
        <w:rPr>
          <w:rFonts w:cs="Arial"/>
          <w:sz w:val="20"/>
        </w:rPr>
        <w:tab/>
        <w:t xml:space="preserve">for the sale of goods; </w:t>
      </w:r>
    </w:p>
    <w:p w:rsidR="007D4FDD" w:rsidRPr="00412620" w:rsidRDefault="007D4FDD">
      <w:pPr>
        <w:jc w:val="both"/>
        <w:rPr>
          <w:rFonts w:cs="Arial"/>
          <w:sz w:val="20"/>
        </w:rPr>
      </w:pPr>
    </w:p>
    <w:p w:rsidR="007D4FDD" w:rsidRPr="00412620" w:rsidRDefault="007D4FDD">
      <w:pPr>
        <w:jc w:val="both"/>
        <w:rPr>
          <w:rFonts w:cs="Arial"/>
          <w:sz w:val="20"/>
        </w:rPr>
      </w:pPr>
      <w:r w:rsidRPr="00412620">
        <w:rPr>
          <w:rFonts w:cs="Arial"/>
          <w:sz w:val="20"/>
        </w:rPr>
        <w:tab/>
      </w:r>
      <w:r w:rsidRPr="00412620">
        <w:rPr>
          <w:rFonts w:cs="Arial"/>
          <w:sz w:val="20"/>
        </w:rPr>
        <w:tab/>
        <w:t xml:space="preserve">(b) </w:t>
      </w:r>
      <w:r w:rsidRPr="00412620">
        <w:rPr>
          <w:rFonts w:cs="Arial"/>
          <w:sz w:val="20"/>
        </w:rPr>
        <w:tab/>
        <w:t>for the rendering of or providing of services;</w:t>
      </w:r>
    </w:p>
    <w:p w:rsidR="007D4FDD" w:rsidRPr="00412620" w:rsidRDefault="007D4FDD">
      <w:pPr>
        <w:jc w:val="both"/>
        <w:rPr>
          <w:rFonts w:cs="Arial"/>
          <w:sz w:val="20"/>
        </w:rPr>
      </w:pPr>
    </w:p>
    <w:p w:rsidR="007D4FDD" w:rsidRPr="00412620" w:rsidRDefault="007D4FDD" w:rsidP="007D4FDD">
      <w:pPr>
        <w:ind w:left="1641" w:hanging="546"/>
        <w:jc w:val="both"/>
        <w:rPr>
          <w:rFonts w:cs="Arial"/>
          <w:sz w:val="20"/>
        </w:rPr>
      </w:pPr>
      <w:r w:rsidRPr="00412620">
        <w:rPr>
          <w:rFonts w:cs="Arial"/>
          <w:sz w:val="20"/>
        </w:rPr>
        <w:t xml:space="preserve">(c) </w:t>
      </w:r>
      <w:r w:rsidRPr="00412620">
        <w:rPr>
          <w:rFonts w:cs="Arial"/>
          <w:sz w:val="20"/>
        </w:rPr>
        <w:tab/>
        <w:t>on the execution of a contract</w:t>
      </w:r>
      <w:r w:rsidRPr="00185A2D">
        <w:rPr>
          <w:rFonts w:cs="Arial"/>
          <w:sz w:val="20"/>
        </w:rPr>
        <w:t>,</w:t>
      </w:r>
      <w:r w:rsidR="00F53D60">
        <w:rPr>
          <w:rFonts w:cs="Arial"/>
          <w:sz w:val="20"/>
        </w:rPr>
        <w:t xml:space="preserve"> </w:t>
      </w:r>
      <w:r w:rsidR="00AB15C8" w:rsidRPr="00F53D60">
        <w:rPr>
          <w:rStyle w:val="FootnoteReference"/>
          <w:rFonts w:cs="Arial"/>
          <w:color w:val="000000" w:themeColor="text1"/>
          <w:sz w:val="20"/>
        </w:rPr>
        <w:footnoteReference w:id="990"/>
      </w:r>
      <w:r w:rsidR="00AB15C8" w:rsidRPr="00F53D60">
        <w:rPr>
          <w:rFonts w:cs="Arial"/>
          <w:color w:val="000000" w:themeColor="text1"/>
          <w:sz w:val="20"/>
        </w:rPr>
        <w:t>[including contract signed by a sportsperson</w:t>
      </w:r>
      <w:r w:rsidR="00AB15C8" w:rsidRPr="00F53D60">
        <w:rPr>
          <w:rFonts w:cs="Arial"/>
          <w:color w:val="000000" w:themeColor="text1"/>
        </w:rPr>
        <w:t>]</w:t>
      </w:r>
      <w:r w:rsidR="00E122F6">
        <w:rPr>
          <w:rFonts w:cs="Arial"/>
          <w:color w:val="000000" w:themeColor="text1"/>
        </w:rPr>
        <w:t xml:space="preserve"> </w:t>
      </w:r>
      <w:r w:rsidR="008B5829" w:rsidRPr="00F53D60">
        <w:rPr>
          <w:rStyle w:val="FootnoteReference"/>
          <w:rFonts w:cs="Arial"/>
          <w:color w:val="000000" w:themeColor="text1"/>
          <w:sz w:val="20"/>
        </w:rPr>
        <w:footnoteReference w:id="991"/>
      </w:r>
      <w:r w:rsidR="008B5829" w:rsidRPr="00F53D60">
        <w:rPr>
          <w:rFonts w:cs="Arial"/>
          <w:color w:val="000000" w:themeColor="text1"/>
        </w:rPr>
        <w:t>[</w:t>
      </w:r>
      <w:r w:rsidR="008B5829" w:rsidRPr="00F53D60">
        <w:rPr>
          <w:rFonts w:cs="Arial"/>
          <w:color w:val="000000" w:themeColor="text1"/>
          <w:sz w:val="20"/>
        </w:rPr>
        <w:t>but not including</w:t>
      </w:r>
      <w:r w:rsidR="008B5829" w:rsidRPr="00F53D60">
        <w:rPr>
          <w:rFonts w:cs="Arial"/>
          <w:color w:val="000000" w:themeColor="text1"/>
        </w:rPr>
        <w:t>]</w:t>
      </w:r>
      <w:r w:rsidR="00E122F6">
        <w:rPr>
          <w:rFonts w:cs="Arial"/>
          <w:sz w:val="20"/>
        </w:rPr>
        <w:t xml:space="preserve"> </w:t>
      </w:r>
      <w:r w:rsidRPr="00412620">
        <w:rPr>
          <w:rFonts w:cs="Arial"/>
          <w:sz w:val="20"/>
        </w:rPr>
        <w:t>a contract for the sale of goods or the rendering of or providing services,</w:t>
      </w:r>
      <w:r w:rsidR="00BA41EB" w:rsidRPr="00412620">
        <w:rPr>
          <w:rFonts w:cs="Arial"/>
          <w:sz w:val="20"/>
        </w:rPr>
        <w:t xml:space="preserve"> shall, at the time of making the payment, deduct tax from the gross amount payable (including sales tax, if any) at the rate specified in Division III of Part III of the First Schedule.</w:t>
      </w:r>
    </w:p>
    <w:p w:rsidR="007D4FDD" w:rsidRPr="00412620" w:rsidRDefault="007D4FDD">
      <w:pPr>
        <w:jc w:val="both"/>
        <w:rPr>
          <w:rFonts w:cs="Arial"/>
          <w:sz w:val="20"/>
        </w:rPr>
      </w:pPr>
    </w:p>
    <w:p w:rsidR="00D9167B" w:rsidRPr="00412620" w:rsidRDefault="003C08D7">
      <w:pPr>
        <w:jc w:val="both"/>
        <w:rPr>
          <w:rFonts w:cs="Arial"/>
          <w:sz w:val="20"/>
        </w:rPr>
      </w:pPr>
      <w:r>
        <w:rPr>
          <w:rFonts w:cs="Arial"/>
          <w:sz w:val="20"/>
        </w:rPr>
        <w:tab/>
      </w:r>
      <w:r w:rsidR="00D9167B" w:rsidRPr="00412620">
        <w:rPr>
          <w:rFonts w:cs="Arial"/>
          <w:sz w:val="20"/>
        </w:rPr>
        <w:t xml:space="preserve">(2) </w:t>
      </w:r>
      <w:r w:rsidR="00D9167B" w:rsidRPr="00412620">
        <w:rPr>
          <w:rFonts w:cs="Arial"/>
          <w:sz w:val="20"/>
        </w:rPr>
        <w:tab/>
        <w:t>Every exporter or an export house making a payment in full or part including a payment by way of advance to a resident person or permanent establishment in Pakistan o</w:t>
      </w:r>
      <w:r w:rsidR="008C3C85" w:rsidRPr="00412620">
        <w:rPr>
          <w:rFonts w:cs="Arial"/>
          <w:sz w:val="20"/>
        </w:rPr>
        <w:t>f</w:t>
      </w:r>
      <w:r w:rsidR="00D9167B" w:rsidRPr="00412620">
        <w:rPr>
          <w:rFonts w:cs="Arial"/>
          <w:sz w:val="20"/>
        </w:rPr>
        <w:t xml:space="preserve"> a non-resident person for rendering of or providing services of stitching, dying, printing, embroider</w:t>
      </w:r>
      <w:r w:rsidR="008C3C85" w:rsidRPr="00412620">
        <w:rPr>
          <w:rFonts w:cs="Arial"/>
          <w:sz w:val="20"/>
        </w:rPr>
        <w:t>y</w:t>
      </w:r>
      <w:r w:rsidR="00D9167B" w:rsidRPr="00412620">
        <w:rPr>
          <w:rFonts w:cs="Arial"/>
          <w:sz w:val="20"/>
        </w:rPr>
        <w:t>, washing, sizing and weaving, shall at the time of making the payment, deduct t</w:t>
      </w:r>
      <w:r w:rsidR="008C3C85" w:rsidRPr="00412620">
        <w:rPr>
          <w:rFonts w:cs="Arial"/>
          <w:sz w:val="20"/>
        </w:rPr>
        <w:t>ax from the gross amount payable</w:t>
      </w:r>
      <w:r w:rsidR="00D9167B" w:rsidRPr="00412620">
        <w:rPr>
          <w:rFonts w:cs="Arial"/>
          <w:sz w:val="20"/>
        </w:rPr>
        <w:t xml:space="preserve"> at the rate specified in Division IV of Part III of the First Schedule.</w:t>
      </w:r>
    </w:p>
    <w:p w:rsidR="00D9167B" w:rsidRPr="00412620" w:rsidRDefault="00D9167B">
      <w:pPr>
        <w:jc w:val="both"/>
        <w:rPr>
          <w:rFonts w:cs="Arial"/>
          <w:sz w:val="20"/>
        </w:rPr>
      </w:pPr>
    </w:p>
    <w:p w:rsidR="00D9167B" w:rsidRPr="00412620" w:rsidRDefault="00D9167B">
      <w:pPr>
        <w:jc w:val="both"/>
        <w:rPr>
          <w:rFonts w:cs="Arial"/>
          <w:sz w:val="20"/>
        </w:rPr>
      </w:pPr>
      <w:r w:rsidRPr="00412620">
        <w:rPr>
          <w:rFonts w:cs="Arial"/>
          <w:sz w:val="20"/>
        </w:rPr>
        <w:lastRenderedPageBreak/>
        <w:tab/>
        <w:t xml:space="preserve">(3) </w:t>
      </w:r>
      <w:r w:rsidRPr="00412620">
        <w:rPr>
          <w:rFonts w:cs="Arial"/>
          <w:sz w:val="20"/>
        </w:rPr>
        <w:tab/>
        <w:t xml:space="preserve">The tax </w:t>
      </w:r>
      <w:r w:rsidR="00CA3F1D" w:rsidRPr="00412620">
        <w:rPr>
          <w:rStyle w:val="FootnoteReference"/>
          <w:rFonts w:cs="Arial"/>
          <w:sz w:val="20"/>
        </w:rPr>
        <w:footnoteReference w:id="992"/>
      </w:r>
      <w:r w:rsidR="00CA3F1D" w:rsidRPr="00412620">
        <w:rPr>
          <w:rFonts w:cs="Arial"/>
          <w:sz w:val="20"/>
        </w:rPr>
        <w:t xml:space="preserve">[deductible] </w:t>
      </w:r>
      <w:r w:rsidRPr="00412620">
        <w:rPr>
          <w:rFonts w:cs="Arial"/>
          <w:sz w:val="20"/>
        </w:rPr>
        <w:t xml:space="preserve">under clauses (a) and (c) of sub-section (1) and under sub-section (2) of this section, on the income of a resident person </w:t>
      </w:r>
      <w:r w:rsidR="00080682">
        <w:rPr>
          <w:rFonts w:cs="Arial"/>
          <w:sz w:val="20"/>
        </w:rPr>
        <w:t xml:space="preserve">or </w:t>
      </w:r>
      <w:r w:rsidR="00126F81" w:rsidRPr="00D81A21">
        <w:rPr>
          <w:rStyle w:val="FootnoteReference"/>
          <w:rFonts w:cs="Arial"/>
          <w:color w:val="7030A0"/>
          <w:sz w:val="20"/>
        </w:rPr>
        <w:footnoteReference w:id="993"/>
      </w:r>
      <w:r w:rsidR="00126F81" w:rsidRPr="00D81A21">
        <w:rPr>
          <w:rFonts w:cs="Arial"/>
          <w:color w:val="7030A0"/>
          <w:sz w:val="20"/>
        </w:rPr>
        <w:t>[  ]</w:t>
      </w:r>
      <w:r w:rsidRPr="00412620">
        <w:rPr>
          <w:rFonts w:cs="Arial"/>
          <w:sz w:val="20"/>
        </w:rPr>
        <w:t xml:space="preserve">, shall be final tax. </w:t>
      </w:r>
    </w:p>
    <w:p w:rsidR="004E05FF" w:rsidRPr="00412620" w:rsidRDefault="004E05FF">
      <w:pPr>
        <w:jc w:val="both"/>
        <w:rPr>
          <w:rFonts w:cs="Arial"/>
          <w:sz w:val="20"/>
        </w:rPr>
      </w:pPr>
    </w:p>
    <w:p w:rsidR="00D9167B" w:rsidRPr="00412620" w:rsidRDefault="00D9167B">
      <w:pPr>
        <w:jc w:val="both"/>
        <w:rPr>
          <w:rFonts w:cs="Arial"/>
          <w:b/>
          <w:sz w:val="20"/>
        </w:rPr>
      </w:pPr>
      <w:r w:rsidRPr="00412620">
        <w:rPr>
          <w:rFonts w:cs="Arial"/>
          <w:sz w:val="20"/>
        </w:rPr>
        <w:tab/>
      </w:r>
      <w:r w:rsidRPr="00412620">
        <w:rPr>
          <w:rFonts w:cs="Arial"/>
          <w:sz w:val="20"/>
        </w:rPr>
        <w:tab/>
        <w:t>Provided that,</w:t>
      </w:r>
      <w:r w:rsidR="004E05FF" w:rsidRPr="00412620">
        <w:rPr>
          <w:rFonts w:cs="Arial"/>
          <w:b/>
          <w:sz w:val="20"/>
        </w:rPr>
        <w:t>—</w:t>
      </w:r>
    </w:p>
    <w:p w:rsidR="00D9167B" w:rsidRPr="00412620" w:rsidRDefault="00D9167B">
      <w:pPr>
        <w:jc w:val="both"/>
        <w:rPr>
          <w:rFonts w:cs="Arial"/>
          <w:b/>
          <w:sz w:val="20"/>
        </w:rPr>
      </w:pPr>
    </w:p>
    <w:p w:rsidR="00D9167B" w:rsidRPr="00412620" w:rsidRDefault="00D9167B" w:rsidP="00D9167B">
      <w:pPr>
        <w:ind w:left="1641" w:hanging="546"/>
        <w:jc w:val="both"/>
        <w:rPr>
          <w:rFonts w:cs="Arial"/>
          <w:sz w:val="20"/>
        </w:rPr>
      </w:pPr>
      <w:r w:rsidRPr="00412620">
        <w:rPr>
          <w:rFonts w:cs="Arial"/>
          <w:sz w:val="20"/>
        </w:rPr>
        <w:t xml:space="preserve">(a) </w:t>
      </w:r>
      <w:r w:rsidRPr="00412620">
        <w:rPr>
          <w:rFonts w:cs="Arial"/>
          <w:sz w:val="20"/>
        </w:rPr>
        <w:tab/>
        <w:t>tax deducted under clause (a) of sub-section (1) shall be adjustable where payments are received on sale or supply of goods, by a,</w:t>
      </w:r>
      <w:r w:rsidR="000F5841" w:rsidRPr="00412620">
        <w:rPr>
          <w:rFonts w:cs="Arial"/>
          <w:sz w:val="20"/>
        </w:rPr>
        <w:t xml:space="preserve"> —</w:t>
      </w:r>
    </w:p>
    <w:p w:rsidR="00D9167B" w:rsidRPr="00412620" w:rsidRDefault="00D9167B">
      <w:pPr>
        <w:jc w:val="both"/>
        <w:rPr>
          <w:rFonts w:cs="Arial"/>
          <w:sz w:val="20"/>
        </w:rPr>
      </w:pPr>
    </w:p>
    <w:p w:rsidR="00D9167B" w:rsidRPr="00412620" w:rsidRDefault="00D9167B">
      <w:pPr>
        <w:jc w:val="both"/>
        <w:rPr>
          <w:rFonts w:cs="Arial"/>
          <w:sz w:val="20"/>
        </w:rPr>
      </w:pPr>
      <w:r w:rsidRPr="00412620">
        <w:rPr>
          <w:rFonts w:cs="Arial"/>
          <w:sz w:val="20"/>
        </w:rPr>
        <w:tab/>
      </w:r>
      <w:r w:rsidRPr="00412620">
        <w:rPr>
          <w:rFonts w:cs="Arial"/>
          <w:sz w:val="20"/>
        </w:rPr>
        <w:tab/>
      </w:r>
      <w:r w:rsidRPr="00412620">
        <w:rPr>
          <w:rFonts w:cs="Arial"/>
          <w:sz w:val="20"/>
        </w:rPr>
        <w:tab/>
        <w:t xml:space="preserve">(i) </w:t>
      </w:r>
      <w:r w:rsidRPr="00412620">
        <w:rPr>
          <w:rFonts w:cs="Arial"/>
          <w:sz w:val="20"/>
        </w:rPr>
        <w:tab/>
        <w:t xml:space="preserve">company being a manufacturer of such goods; or </w:t>
      </w:r>
    </w:p>
    <w:p w:rsidR="00D9167B" w:rsidRPr="00412620" w:rsidRDefault="00D9167B">
      <w:pPr>
        <w:jc w:val="both"/>
        <w:rPr>
          <w:rFonts w:cs="Arial"/>
          <w:sz w:val="20"/>
        </w:rPr>
      </w:pPr>
    </w:p>
    <w:p w:rsidR="00D9167B" w:rsidRPr="00412620" w:rsidRDefault="00D9167B" w:rsidP="00D9167B">
      <w:pPr>
        <w:ind w:left="2188" w:hanging="553"/>
        <w:jc w:val="both"/>
        <w:rPr>
          <w:rFonts w:cs="Arial"/>
          <w:sz w:val="20"/>
        </w:rPr>
      </w:pPr>
      <w:r w:rsidRPr="00412620">
        <w:rPr>
          <w:rFonts w:cs="Arial"/>
          <w:sz w:val="20"/>
        </w:rPr>
        <w:t xml:space="preserve">(ii) </w:t>
      </w:r>
      <w:r w:rsidRPr="00412620">
        <w:rPr>
          <w:rFonts w:cs="Arial"/>
          <w:sz w:val="20"/>
        </w:rPr>
        <w:tab/>
        <w:t>public company listed on a registered stock exchange in Pakistan;</w:t>
      </w:r>
    </w:p>
    <w:p w:rsidR="00D9167B" w:rsidRPr="00412620" w:rsidRDefault="00D9167B">
      <w:pPr>
        <w:jc w:val="both"/>
        <w:rPr>
          <w:rFonts w:cs="Arial"/>
          <w:sz w:val="20"/>
        </w:rPr>
      </w:pPr>
    </w:p>
    <w:p w:rsidR="00D9167B" w:rsidRPr="005E7420" w:rsidRDefault="00D9167B" w:rsidP="00D9167B">
      <w:pPr>
        <w:ind w:left="1635" w:hanging="540"/>
        <w:jc w:val="both"/>
        <w:rPr>
          <w:rFonts w:cs="Arial"/>
          <w:color w:val="7030A0"/>
          <w:sz w:val="20"/>
        </w:rPr>
      </w:pPr>
      <w:r w:rsidRPr="00412620">
        <w:rPr>
          <w:rFonts w:cs="Arial"/>
          <w:sz w:val="20"/>
        </w:rPr>
        <w:t xml:space="preserve">(b) </w:t>
      </w:r>
      <w:r w:rsidRPr="00412620">
        <w:rPr>
          <w:rFonts w:cs="Arial"/>
          <w:sz w:val="20"/>
        </w:rPr>
        <w:tab/>
        <w:t xml:space="preserve">tax </w:t>
      </w:r>
      <w:r w:rsidR="00126F81" w:rsidRPr="00412620">
        <w:rPr>
          <w:rStyle w:val="FootnoteReference"/>
          <w:rFonts w:cs="Arial"/>
          <w:sz w:val="20"/>
        </w:rPr>
        <w:footnoteReference w:id="994"/>
      </w:r>
      <w:r w:rsidR="00126F81" w:rsidRPr="00412620">
        <w:rPr>
          <w:rFonts w:cs="Arial"/>
          <w:sz w:val="20"/>
        </w:rPr>
        <w:t xml:space="preserve">[deductible] </w:t>
      </w:r>
      <w:r w:rsidRPr="00412620">
        <w:rPr>
          <w:rFonts w:cs="Arial"/>
          <w:sz w:val="20"/>
        </w:rPr>
        <w:t>shall be a minimum tax on transactions referred to in clause (b) of sub-section (1)</w:t>
      </w:r>
      <w:r w:rsidR="002D2B3B">
        <w:rPr>
          <w:rFonts w:cs="Arial"/>
          <w:sz w:val="20"/>
        </w:rPr>
        <w:t xml:space="preserve"> </w:t>
      </w:r>
      <w:r w:rsidR="00041468" w:rsidRPr="006420B7">
        <w:rPr>
          <w:rStyle w:val="FootnoteReference"/>
          <w:rFonts w:cs="Arial"/>
          <w:color w:val="000000" w:themeColor="text1"/>
          <w:sz w:val="20"/>
        </w:rPr>
        <w:footnoteReference w:id="995"/>
      </w:r>
      <w:r w:rsidR="002D2B3B" w:rsidRPr="006420B7">
        <w:rPr>
          <w:rFonts w:cs="Arial"/>
          <w:color w:val="000000" w:themeColor="text1"/>
          <w:sz w:val="20"/>
        </w:rPr>
        <w:t>[</w:t>
      </w:r>
      <w:r w:rsidR="00041468" w:rsidRPr="006420B7">
        <w:rPr>
          <w:rFonts w:cs="Arial"/>
          <w:color w:val="000000" w:themeColor="text1"/>
          <w:sz w:val="20"/>
        </w:rPr>
        <w:t>, provided that-]</w:t>
      </w:r>
    </w:p>
    <w:p w:rsidR="002D2B3B" w:rsidRPr="006420B7" w:rsidRDefault="0079759E" w:rsidP="002D2B3B">
      <w:pPr>
        <w:spacing w:before="324" w:after="144"/>
        <w:ind w:left="2160" w:hanging="540"/>
        <w:jc w:val="both"/>
        <w:rPr>
          <w:color w:val="000000" w:themeColor="text1"/>
          <w:sz w:val="20"/>
        </w:rPr>
      </w:pPr>
      <w:r w:rsidRPr="006420B7">
        <w:rPr>
          <w:rStyle w:val="FootnoteReference"/>
          <w:color w:val="000000" w:themeColor="text1"/>
          <w:sz w:val="20"/>
        </w:rPr>
        <w:footnoteReference w:id="996"/>
      </w:r>
      <w:r w:rsidR="00041468" w:rsidRPr="006420B7">
        <w:rPr>
          <w:color w:val="000000" w:themeColor="text1"/>
          <w:sz w:val="20"/>
        </w:rPr>
        <w:t>[“</w:t>
      </w:r>
      <w:r w:rsidR="002D2B3B" w:rsidRPr="006420B7">
        <w:rPr>
          <w:color w:val="000000" w:themeColor="text1"/>
          <w:sz w:val="20"/>
        </w:rPr>
        <w:t xml:space="preserve">(i) </w:t>
      </w:r>
      <w:r w:rsidR="002D2B3B" w:rsidRPr="006420B7">
        <w:rPr>
          <w:color w:val="000000" w:themeColor="text1"/>
          <w:sz w:val="20"/>
        </w:rPr>
        <w:tab/>
        <w:t xml:space="preserve">where the aforesaid minimum tax for providing or rendering services, in respect of sectors as specified in clause (94) of Part IV of the Second Schedule is in excess of tax payable </w:t>
      </w:r>
      <w:r w:rsidR="00C43BDE" w:rsidRPr="006420B7">
        <w:rPr>
          <w:color w:val="000000" w:themeColor="text1"/>
          <w:sz w:val="20"/>
        </w:rPr>
        <w:t>under Division II of Part. I of</w:t>
      </w:r>
      <w:r w:rsidR="002D2B3B" w:rsidRPr="006420B7">
        <w:rPr>
          <w:color w:val="000000" w:themeColor="text1"/>
          <w:sz w:val="20"/>
        </w:rPr>
        <w:t xml:space="preserve"> the First Schedule, the excess amount of tax paid shall be carried forward for adjustment against tax liability under the aforesaid Part of the subsequent tax year;</w:t>
      </w:r>
      <w:r w:rsidR="00041468" w:rsidRPr="006420B7">
        <w:rPr>
          <w:color w:val="000000" w:themeColor="text1"/>
          <w:sz w:val="20"/>
        </w:rPr>
        <w:t>”]</w:t>
      </w:r>
    </w:p>
    <w:p w:rsidR="002D2B3B" w:rsidRPr="006420B7" w:rsidRDefault="002D2B3B" w:rsidP="002D2B3B">
      <w:pPr>
        <w:rPr>
          <w:color w:val="000000" w:themeColor="text1"/>
          <w:sz w:val="20"/>
        </w:rPr>
      </w:pPr>
    </w:p>
    <w:p w:rsidR="002D2B3B" w:rsidRPr="006420B7" w:rsidRDefault="0079759E" w:rsidP="00041468">
      <w:pPr>
        <w:widowControl w:val="0"/>
        <w:autoSpaceDE w:val="0"/>
        <w:autoSpaceDN w:val="0"/>
        <w:ind w:left="2160" w:hanging="540"/>
        <w:jc w:val="both"/>
        <w:rPr>
          <w:color w:val="000000" w:themeColor="text1"/>
          <w:sz w:val="20"/>
        </w:rPr>
      </w:pPr>
      <w:r w:rsidRPr="006420B7">
        <w:rPr>
          <w:rStyle w:val="FootnoteReference"/>
          <w:color w:val="000000" w:themeColor="text1"/>
          <w:sz w:val="20"/>
        </w:rPr>
        <w:footnoteReference w:id="997"/>
      </w:r>
      <w:r w:rsidR="00041468" w:rsidRPr="006420B7">
        <w:rPr>
          <w:color w:val="000000" w:themeColor="text1"/>
          <w:sz w:val="20"/>
        </w:rPr>
        <w:t>[“(ii)</w:t>
      </w:r>
      <w:r w:rsidR="00041468" w:rsidRPr="006420B7">
        <w:rPr>
          <w:color w:val="000000" w:themeColor="text1"/>
          <w:sz w:val="20"/>
        </w:rPr>
        <w:tab/>
      </w:r>
      <w:r w:rsidR="002D2B3B" w:rsidRPr="006420B7">
        <w:rPr>
          <w:color w:val="000000" w:themeColor="text1"/>
          <w:sz w:val="20"/>
        </w:rPr>
        <w:t xml:space="preserve">where the excess tax is not </w:t>
      </w:r>
      <w:r w:rsidR="003C5100" w:rsidRPr="006420B7">
        <w:rPr>
          <w:color w:val="000000" w:themeColor="text1"/>
          <w:sz w:val="20"/>
        </w:rPr>
        <w:t>w</w:t>
      </w:r>
      <w:r w:rsidR="002D2B3B" w:rsidRPr="006420B7">
        <w:rPr>
          <w:color w:val="000000" w:themeColor="text1"/>
          <w:sz w:val="20"/>
        </w:rPr>
        <w:t>holly adjusted, the amount not adjusted shall be carried forward to the following tax year and adjusted against tax liability under the aforesaid Part for that year, and so on, but the said excess shall not be carried forward to more than five tax years immediately succeeding the tax year for which the excess was first paid</w:t>
      </w:r>
      <w:r w:rsidR="003C5100" w:rsidRPr="006420B7">
        <w:rPr>
          <w:color w:val="000000" w:themeColor="text1"/>
          <w:sz w:val="20"/>
        </w:rPr>
        <w:t>;</w:t>
      </w:r>
      <w:r w:rsidR="002D2B3B" w:rsidRPr="006420B7">
        <w:rPr>
          <w:color w:val="000000" w:themeColor="text1"/>
          <w:sz w:val="20"/>
        </w:rPr>
        <w:t xml:space="preserve"> and</w:t>
      </w:r>
      <w:r w:rsidR="00041468" w:rsidRPr="006420B7">
        <w:rPr>
          <w:color w:val="000000" w:themeColor="text1"/>
          <w:sz w:val="20"/>
        </w:rPr>
        <w:t>”]</w:t>
      </w:r>
    </w:p>
    <w:p w:rsidR="002D2B3B" w:rsidRPr="006420B7" w:rsidRDefault="002D2B3B" w:rsidP="002D2B3B">
      <w:pPr>
        <w:ind w:left="3240"/>
        <w:jc w:val="both"/>
        <w:rPr>
          <w:color w:val="000000" w:themeColor="text1"/>
          <w:sz w:val="20"/>
        </w:rPr>
      </w:pPr>
    </w:p>
    <w:p w:rsidR="002D2B3B" w:rsidRPr="00041468" w:rsidRDefault="0079759E" w:rsidP="00041468">
      <w:pPr>
        <w:widowControl w:val="0"/>
        <w:autoSpaceDE w:val="0"/>
        <w:autoSpaceDN w:val="0"/>
        <w:spacing w:after="100" w:afterAutospacing="1"/>
        <w:ind w:left="2160" w:right="144" w:hanging="540"/>
        <w:jc w:val="both"/>
        <w:rPr>
          <w:color w:val="FF0000"/>
        </w:rPr>
      </w:pPr>
      <w:r w:rsidRPr="006420B7">
        <w:rPr>
          <w:rStyle w:val="FootnoteReference"/>
          <w:color w:val="000000" w:themeColor="text1"/>
          <w:sz w:val="20"/>
        </w:rPr>
        <w:footnoteReference w:id="998"/>
      </w:r>
      <w:r w:rsidR="00041468" w:rsidRPr="006420B7">
        <w:rPr>
          <w:color w:val="000000" w:themeColor="text1"/>
          <w:sz w:val="20"/>
        </w:rPr>
        <w:t>[“(iii)</w:t>
      </w:r>
      <w:r w:rsidR="00041468" w:rsidRPr="006420B7">
        <w:rPr>
          <w:color w:val="000000" w:themeColor="text1"/>
          <w:sz w:val="20"/>
        </w:rPr>
        <w:tab/>
      </w:r>
      <w:r w:rsidR="002D2B3B" w:rsidRPr="006420B7">
        <w:rPr>
          <w:color w:val="000000" w:themeColor="text1"/>
          <w:sz w:val="20"/>
        </w:rPr>
        <w:t xml:space="preserve">the said excess amount shall not be carried forward in case of a company for which provisions of this clause </w:t>
      </w:r>
      <w:r w:rsidR="002D2B3B" w:rsidRPr="006420B7">
        <w:rPr>
          <w:color w:val="000000" w:themeColor="text1"/>
          <w:sz w:val="20"/>
        </w:rPr>
        <w:lastRenderedPageBreak/>
        <w:t>are not applicable under clause (94) of Part IV of the Second Schedule;</w:t>
      </w:r>
      <w:r w:rsidR="002D2B3B" w:rsidRPr="005E7420">
        <w:rPr>
          <w:color w:val="7030A0"/>
          <w:sz w:val="20"/>
        </w:rPr>
        <w:t xml:space="preserve"> </w:t>
      </w:r>
      <w:r w:rsidR="00AF4302" w:rsidRPr="00F55609">
        <w:rPr>
          <w:rStyle w:val="FootnoteReference"/>
          <w:color w:val="0070C0"/>
          <w:sz w:val="20"/>
        </w:rPr>
        <w:footnoteReference w:id="999"/>
      </w:r>
      <w:r w:rsidR="00AF4302" w:rsidRPr="00F55609">
        <w:rPr>
          <w:color w:val="0070C0"/>
          <w:sz w:val="20"/>
        </w:rPr>
        <w:t>[   ]</w:t>
      </w:r>
      <w:r w:rsidR="00AF4302">
        <w:rPr>
          <w:color w:val="7030A0"/>
          <w:sz w:val="20"/>
        </w:rPr>
        <w:t xml:space="preserve"> </w:t>
      </w:r>
      <w:r w:rsidR="002D2B3B" w:rsidRPr="006420B7">
        <w:rPr>
          <w:color w:val="000000" w:themeColor="text1"/>
          <w:sz w:val="20"/>
        </w:rPr>
        <w:t>";</w:t>
      </w:r>
      <w:r w:rsidR="00041468" w:rsidRPr="006420B7">
        <w:rPr>
          <w:color w:val="000000" w:themeColor="text1"/>
          <w:sz w:val="20"/>
        </w:rPr>
        <w:t>]</w:t>
      </w:r>
      <w:r w:rsidR="002D2B3B" w:rsidRPr="006420B7">
        <w:rPr>
          <w:color w:val="000000" w:themeColor="text1"/>
          <w:sz w:val="20"/>
        </w:rPr>
        <w:t xml:space="preserve"> </w:t>
      </w:r>
    </w:p>
    <w:p w:rsidR="00D9167B" w:rsidRPr="00AF4302" w:rsidRDefault="00D9167B" w:rsidP="007B723E">
      <w:pPr>
        <w:pStyle w:val="ListParagraph"/>
        <w:numPr>
          <w:ilvl w:val="1"/>
          <w:numId w:val="90"/>
        </w:numPr>
        <w:ind w:left="1620" w:hanging="540"/>
        <w:jc w:val="both"/>
        <w:rPr>
          <w:rFonts w:cs="Arial"/>
          <w:color w:val="984806" w:themeColor="accent6" w:themeShade="80"/>
          <w:sz w:val="20"/>
        </w:rPr>
      </w:pPr>
      <w:r w:rsidRPr="00AF4302">
        <w:rPr>
          <w:rFonts w:cs="Arial"/>
          <w:sz w:val="20"/>
        </w:rPr>
        <w:t>tax deducted under clause (c) of sub-section (1) shall be adjustable if payments are received by a public company listed on a registered stock exchange in Pakistan, on account of execution of contracts</w:t>
      </w:r>
      <w:r w:rsidR="006420B7">
        <w:rPr>
          <w:rFonts w:cs="Arial"/>
          <w:sz w:val="20"/>
        </w:rPr>
        <w:t xml:space="preserve"> </w:t>
      </w:r>
      <w:r w:rsidR="00C77199" w:rsidRPr="006420B7">
        <w:rPr>
          <w:rStyle w:val="FootnoteReference"/>
          <w:rFonts w:cs="Arial"/>
          <w:color w:val="000000" w:themeColor="text1"/>
          <w:sz w:val="20"/>
        </w:rPr>
        <w:footnoteReference w:id="1000"/>
      </w:r>
      <w:r w:rsidR="00061A10" w:rsidRPr="006420B7">
        <w:rPr>
          <w:rFonts w:cs="Arial"/>
          <w:color w:val="000000" w:themeColor="text1"/>
          <w:sz w:val="20"/>
        </w:rPr>
        <w:t>[;</w:t>
      </w:r>
      <w:r w:rsidR="00061A10" w:rsidRPr="00AF4302">
        <w:rPr>
          <w:rFonts w:cs="Arial"/>
          <w:color w:val="984806" w:themeColor="accent6" w:themeShade="80"/>
          <w:sz w:val="20"/>
        </w:rPr>
        <w:t xml:space="preserve"> </w:t>
      </w:r>
      <w:r w:rsidR="00AF4302" w:rsidRPr="00F55609">
        <w:rPr>
          <w:rStyle w:val="FootnoteReference"/>
          <w:rFonts w:cs="Arial"/>
          <w:color w:val="0070C0"/>
          <w:sz w:val="20"/>
        </w:rPr>
        <w:footnoteReference w:id="1001"/>
      </w:r>
      <w:r w:rsidR="00AF4302" w:rsidRPr="00F55609">
        <w:rPr>
          <w:rFonts w:cs="Arial"/>
          <w:color w:val="0070C0"/>
          <w:sz w:val="20"/>
        </w:rPr>
        <w:t>[     ]</w:t>
      </w:r>
      <w:r w:rsidR="00AF4302">
        <w:rPr>
          <w:rFonts w:cs="Arial"/>
          <w:color w:val="984806" w:themeColor="accent6" w:themeShade="80"/>
          <w:sz w:val="20"/>
        </w:rPr>
        <w:t xml:space="preserve"> </w:t>
      </w:r>
      <w:r w:rsidR="00061A10" w:rsidRPr="006420B7">
        <w:rPr>
          <w:rFonts w:cs="Arial"/>
          <w:color w:val="000000" w:themeColor="text1"/>
          <w:sz w:val="20"/>
        </w:rPr>
        <w:t>]</w:t>
      </w:r>
      <w:r w:rsidR="00061A10" w:rsidRPr="00AF4302">
        <w:rPr>
          <w:rFonts w:cs="Arial"/>
          <w:color w:val="984806" w:themeColor="accent6" w:themeShade="80"/>
          <w:sz w:val="20"/>
        </w:rPr>
        <w:t xml:space="preserve"> </w:t>
      </w:r>
    </w:p>
    <w:p w:rsidR="00061A10" w:rsidRPr="00061A10" w:rsidRDefault="00061A10" w:rsidP="00061A10">
      <w:pPr>
        <w:pStyle w:val="ListParagraph"/>
        <w:ind w:left="1710"/>
        <w:jc w:val="both"/>
        <w:rPr>
          <w:rFonts w:cs="Arial"/>
          <w:color w:val="984806" w:themeColor="accent6" w:themeShade="80"/>
          <w:sz w:val="20"/>
        </w:rPr>
      </w:pPr>
    </w:p>
    <w:p w:rsidR="00061A10" w:rsidRDefault="00C77199" w:rsidP="00220330">
      <w:pPr>
        <w:autoSpaceDE w:val="0"/>
        <w:autoSpaceDN w:val="0"/>
        <w:adjustRightInd w:val="0"/>
        <w:ind w:left="1635" w:hanging="555"/>
        <w:jc w:val="both"/>
        <w:rPr>
          <w:rFonts w:cs="Arial"/>
          <w:color w:val="984806" w:themeColor="accent6" w:themeShade="80"/>
          <w:sz w:val="20"/>
          <w:lang w:val="en-US"/>
        </w:rPr>
      </w:pPr>
      <w:r w:rsidRPr="006420B7">
        <w:rPr>
          <w:rStyle w:val="FootnoteReference"/>
          <w:rFonts w:cs="Arial"/>
          <w:color w:val="000000" w:themeColor="text1"/>
          <w:sz w:val="20"/>
        </w:rPr>
        <w:footnoteReference w:id="1002"/>
      </w:r>
      <w:r w:rsidR="00061A10" w:rsidRPr="006420B7">
        <w:rPr>
          <w:rFonts w:cs="Arial"/>
          <w:color w:val="000000" w:themeColor="text1"/>
          <w:sz w:val="20"/>
        </w:rPr>
        <w:t>[“(d)</w:t>
      </w:r>
      <w:r w:rsidR="00220330" w:rsidRPr="006420B7">
        <w:rPr>
          <w:rFonts w:cs="Arial"/>
          <w:color w:val="000000" w:themeColor="text1"/>
          <w:sz w:val="20"/>
        </w:rPr>
        <w:tab/>
      </w:r>
      <w:r w:rsidR="00061A10" w:rsidRPr="006420B7">
        <w:rPr>
          <w:rFonts w:cs="Arial"/>
          <w:color w:val="000000" w:themeColor="text1"/>
          <w:sz w:val="20"/>
          <w:lang w:val="en-US"/>
        </w:rPr>
        <w:t>tax deducted under clause (c) of sub-section (1) in respect of a</w:t>
      </w:r>
      <w:r w:rsidR="00F077EC" w:rsidRPr="006420B7">
        <w:rPr>
          <w:rFonts w:cs="Arial"/>
          <w:color w:val="000000" w:themeColor="text1"/>
          <w:sz w:val="20"/>
          <w:lang w:val="en-US"/>
        </w:rPr>
        <w:t xml:space="preserve"> </w:t>
      </w:r>
      <w:r w:rsidR="00061A10" w:rsidRPr="006420B7">
        <w:rPr>
          <w:rFonts w:cs="Arial"/>
          <w:color w:val="000000" w:themeColor="text1"/>
          <w:sz w:val="20"/>
          <w:lang w:val="en-US"/>
        </w:rPr>
        <w:t>sportsperson shall be final tax with effect from tax year 2013</w:t>
      </w:r>
      <w:r w:rsidR="00AF4302">
        <w:rPr>
          <w:rFonts w:cs="Arial"/>
          <w:color w:val="984806" w:themeColor="accent6" w:themeShade="80"/>
          <w:sz w:val="20"/>
          <w:lang w:val="en-US"/>
        </w:rPr>
        <w:t xml:space="preserve"> </w:t>
      </w:r>
      <w:r w:rsidR="00AF4302" w:rsidRPr="00F55609">
        <w:rPr>
          <w:rStyle w:val="FootnoteReference"/>
          <w:rFonts w:cs="Arial"/>
          <w:color w:val="0070C0"/>
          <w:sz w:val="20"/>
          <w:lang w:val="en-US"/>
        </w:rPr>
        <w:footnoteReference w:id="1003"/>
      </w:r>
      <w:r w:rsidR="00AF4302" w:rsidRPr="00F55609">
        <w:rPr>
          <w:rFonts w:cs="Arial"/>
          <w:color w:val="0070C0"/>
          <w:sz w:val="20"/>
          <w:lang w:val="en-US"/>
        </w:rPr>
        <w:t>[;</w:t>
      </w:r>
      <w:r w:rsidR="006F1958" w:rsidRPr="00F55609">
        <w:rPr>
          <w:rFonts w:cs="Arial"/>
          <w:color w:val="0070C0"/>
          <w:sz w:val="20"/>
          <w:lang w:val="en-US"/>
        </w:rPr>
        <w:t xml:space="preserve"> and</w:t>
      </w:r>
      <w:r w:rsidR="00AF4302" w:rsidRPr="00F55609">
        <w:rPr>
          <w:rFonts w:cs="Arial"/>
          <w:color w:val="0070C0"/>
          <w:sz w:val="20"/>
          <w:lang w:val="en-US"/>
        </w:rPr>
        <w:t>]</w:t>
      </w:r>
      <w:r w:rsidR="00AF4302">
        <w:rPr>
          <w:rFonts w:cs="Arial"/>
          <w:color w:val="984806" w:themeColor="accent6" w:themeShade="80"/>
          <w:sz w:val="20"/>
          <w:lang w:val="en-US"/>
        </w:rPr>
        <w:t xml:space="preserve"> </w:t>
      </w:r>
      <w:r w:rsidR="00061A10" w:rsidRPr="006420B7">
        <w:rPr>
          <w:rFonts w:cs="Arial"/>
          <w:color w:val="000000" w:themeColor="text1"/>
          <w:sz w:val="20"/>
          <w:lang w:val="en-US"/>
        </w:rPr>
        <w:t>”]</w:t>
      </w:r>
    </w:p>
    <w:p w:rsidR="006F1958" w:rsidRPr="00061A10" w:rsidRDefault="006F1958" w:rsidP="00220330">
      <w:pPr>
        <w:autoSpaceDE w:val="0"/>
        <w:autoSpaceDN w:val="0"/>
        <w:adjustRightInd w:val="0"/>
        <w:ind w:left="1635" w:hanging="555"/>
        <w:jc w:val="both"/>
        <w:rPr>
          <w:rFonts w:cs="Arial"/>
          <w:color w:val="984806" w:themeColor="accent6" w:themeShade="80"/>
          <w:sz w:val="20"/>
        </w:rPr>
      </w:pPr>
    </w:p>
    <w:p w:rsidR="00061A10" w:rsidRPr="00F55609" w:rsidRDefault="006F1958" w:rsidP="00D9167B">
      <w:pPr>
        <w:ind w:left="1635" w:hanging="540"/>
        <w:jc w:val="both"/>
        <w:rPr>
          <w:rFonts w:cs="Arial"/>
          <w:color w:val="0070C0"/>
          <w:sz w:val="20"/>
        </w:rPr>
      </w:pPr>
      <w:r w:rsidRPr="00F55609">
        <w:rPr>
          <w:rStyle w:val="FootnoteReference"/>
          <w:rFonts w:cs="Arial"/>
          <w:color w:val="0070C0"/>
          <w:sz w:val="20"/>
        </w:rPr>
        <w:footnoteReference w:id="1004"/>
      </w:r>
      <w:r w:rsidRPr="00F55609">
        <w:rPr>
          <w:rFonts w:cs="Arial"/>
          <w:color w:val="0070C0"/>
          <w:sz w:val="20"/>
        </w:rPr>
        <w:t>[“(e) tax deducted under clause (b) of sub-section (1) by person making payments to electronic and print media for advertising services shall be final tax with effect from the 1</w:t>
      </w:r>
      <w:r w:rsidRPr="00F55609">
        <w:rPr>
          <w:rFonts w:cs="Arial"/>
          <w:color w:val="0070C0"/>
          <w:sz w:val="20"/>
          <w:vertAlign w:val="superscript"/>
        </w:rPr>
        <w:t>st</w:t>
      </w:r>
      <w:r w:rsidRPr="00F55609">
        <w:rPr>
          <w:rFonts w:cs="Arial"/>
          <w:color w:val="0070C0"/>
          <w:sz w:val="20"/>
        </w:rPr>
        <w:t xml:space="preserve"> July, 2016.”]</w:t>
      </w:r>
    </w:p>
    <w:p w:rsidR="00D9167B" w:rsidRPr="00412620" w:rsidRDefault="00D9167B">
      <w:pPr>
        <w:jc w:val="both"/>
        <w:rPr>
          <w:rFonts w:cs="Arial"/>
          <w:sz w:val="20"/>
        </w:rPr>
      </w:pPr>
    </w:p>
    <w:p w:rsidR="00D9167B" w:rsidRPr="00412620" w:rsidRDefault="00D9167B">
      <w:pPr>
        <w:jc w:val="both"/>
        <w:rPr>
          <w:rFonts w:cs="Arial"/>
          <w:sz w:val="20"/>
        </w:rPr>
      </w:pPr>
      <w:r w:rsidRPr="00412620">
        <w:rPr>
          <w:rFonts w:cs="Arial"/>
          <w:sz w:val="20"/>
        </w:rPr>
        <w:tab/>
        <w:t xml:space="preserve">(4) </w:t>
      </w:r>
      <w:r w:rsidRPr="00412620">
        <w:rPr>
          <w:rFonts w:cs="Arial"/>
          <w:sz w:val="20"/>
        </w:rPr>
        <w:tab/>
      </w:r>
      <w:r w:rsidR="002628BD" w:rsidRPr="00412620">
        <w:rPr>
          <w:rFonts w:cs="Arial"/>
          <w:sz w:val="20"/>
        </w:rPr>
        <w:t>The Commissioner may, on application made by the recipient of a payment referred to in sub-section (1) and after making such inquiry as the Commissioner thinks</w:t>
      </w:r>
      <w:r w:rsidR="008D19E7" w:rsidRPr="00412620">
        <w:rPr>
          <w:rFonts w:cs="Arial"/>
          <w:sz w:val="20"/>
        </w:rPr>
        <w:t xml:space="preserve"> fit, </w:t>
      </w:r>
      <w:r w:rsidR="002628BD" w:rsidRPr="00412620">
        <w:rPr>
          <w:rFonts w:cs="Arial"/>
          <w:sz w:val="20"/>
        </w:rPr>
        <w:t>m</w:t>
      </w:r>
      <w:r w:rsidR="008D19E7" w:rsidRPr="00412620">
        <w:rPr>
          <w:rFonts w:cs="Arial"/>
          <w:sz w:val="20"/>
        </w:rPr>
        <w:t>a</w:t>
      </w:r>
      <w:r w:rsidR="002628BD" w:rsidRPr="00412620">
        <w:rPr>
          <w:rFonts w:cs="Arial"/>
          <w:sz w:val="20"/>
        </w:rPr>
        <w:t>y allow in cases where tax deductible under sub-section (1) is adjustable, by an order in writing, any person to make the payment,</w:t>
      </w:r>
      <w:r w:rsidR="000F5841" w:rsidRPr="00412620">
        <w:rPr>
          <w:rFonts w:cs="Arial"/>
          <w:sz w:val="20"/>
        </w:rPr>
        <w:t>—</w:t>
      </w:r>
    </w:p>
    <w:p w:rsidR="000F5841" w:rsidRPr="00412620" w:rsidRDefault="000F5841">
      <w:pPr>
        <w:jc w:val="both"/>
        <w:rPr>
          <w:rFonts w:cs="Arial"/>
          <w:sz w:val="20"/>
        </w:rPr>
      </w:pPr>
    </w:p>
    <w:p w:rsidR="000F5841" w:rsidRPr="00412620" w:rsidRDefault="00845552">
      <w:pPr>
        <w:jc w:val="both"/>
        <w:rPr>
          <w:rFonts w:cs="Arial"/>
          <w:sz w:val="20"/>
        </w:rPr>
      </w:pPr>
      <w:r w:rsidRPr="00412620">
        <w:rPr>
          <w:rFonts w:cs="Arial"/>
          <w:sz w:val="20"/>
        </w:rPr>
        <w:tab/>
      </w:r>
      <w:r w:rsidRPr="00412620">
        <w:rPr>
          <w:rFonts w:cs="Arial"/>
          <w:sz w:val="20"/>
        </w:rPr>
        <w:tab/>
        <w:t xml:space="preserve">(a) </w:t>
      </w:r>
      <w:r w:rsidRPr="00412620">
        <w:rPr>
          <w:rFonts w:cs="Arial"/>
          <w:sz w:val="20"/>
        </w:rPr>
        <w:tab/>
        <w:t>without deduction</w:t>
      </w:r>
      <w:r w:rsidR="000F5841" w:rsidRPr="00412620">
        <w:rPr>
          <w:rFonts w:cs="Arial"/>
          <w:sz w:val="20"/>
        </w:rPr>
        <w:t xml:space="preserve"> of tax; or</w:t>
      </w:r>
    </w:p>
    <w:p w:rsidR="000F5841" w:rsidRPr="00412620" w:rsidRDefault="000F5841">
      <w:pPr>
        <w:jc w:val="both"/>
        <w:rPr>
          <w:rFonts w:cs="Arial"/>
          <w:sz w:val="20"/>
        </w:rPr>
      </w:pPr>
    </w:p>
    <w:p w:rsidR="000F5841" w:rsidRDefault="000F5841">
      <w:pPr>
        <w:jc w:val="both"/>
        <w:rPr>
          <w:rFonts w:cs="Arial"/>
          <w:sz w:val="20"/>
        </w:rPr>
      </w:pPr>
      <w:r w:rsidRPr="00412620">
        <w:rPr>
          <w:rFonts w:cs="Arial"/>
          <w:sz w:val="20"/>
        </w:rPr>
        <w:tab/>
      </w:r>
      <w:r w:rsidRPr="00412620">
        <w:rPr>
          <w:rFonts w:cs="Arial"/>
          <w:sz w:val="20"/>
        </w:rPr>
        <w:tab/>
        <w:t xml:space="preserve">(b) </w:t>
      </w:r>
      <w:r w:rsidRPr="00412620">
        <w:rPr>
          <w:rFonts w:cs="Arial"/>
          <w:sz w:val="20"/>
        </w:rPr>
        <w:tab/>
        <w:t>deduction of tax at a reduced rate.</w:t>
      </w:r>
    </w:p>
    <w:p w:rsidR="000A7B6A" w:rsidRDefault="000A7B6A">
      <w:pPr>
        <w:jc w:val="both"/>
        <w:rPr>
          <w:rFonts w:cs="Arial"/>
          <w:sz w:val="20"/>
        </w:rPr>
      </w:pPr>
    </w:p>
    <w:p w:rsidR="000A7B6A" w:rsidRPr="006420B7" w:rsidRDefault="000A7B6A" w:rsidP="000A7B6A">
      <w:pPr>
        <w:spacing w:before="36"/>
        <w:ind w:right="144" w:firstLine="540"/>
        <w:jc w:val="both"/>
        <w:rPr>
          <w:color w:val="000000" w:themeColor="text1"/>
          <w:sz w:val="20"/>
        </w:rPr>
      </w:pPr>
      <w:r w:rsidRPr="006420B7">
        <w:rPr>
          <w:rStyle w:val="FootnoteReference"/>
          <w:rFonts w:cs="Arial"/>
          <w:color w:val="000000" w:themeColor="text1"/>
          <w:sz w:val="20"/>
        </w:rPr>
        <w:footnoteReference w:id="1005"/>
      </w:r>
      <w:r w:rsidRPr="006420B7">
        <w:rPr>
          <w:rFonts w:cs="Arial"/>
          <w:color w:val="000000" w:themeColor="text1"/>
          <w:sz w:val="20"/>
        </w:rPr>
        <w:t>[</w:t>
      </w:r>
      <w:r w:rsidRPr="006420B7">
        <w:rPr>
          <w:color w:val="000000" w:themeColor="text1"/>
          <w:sz w:val="20"/>
        </w:rPr>
        <w:t>"(4A) The Commissioner, on an application made by the recipient of a payment referred to in clause (94) of Part IV of the Second Schedule, in cases where the said recipient has fulfilled the conditions as specified in the said clause, by an order in writing for a period of at least three months, may allow any person to make the payment without deduction of tax in respect of payments as referred to in clauses (b) of sub-section (1) of section 153:</w:t>
      </w:r>
    </w:p>
    <w:p w:rsidR="000A7B6A" w:rsidRPr="006420B7" w:rsidRDefault="000A7B6A" w:rsidP="000A7B6A">
      <w:pPr>
        <w:spacing w:before="324" w:after="180"/>
        <w:ind w:left="540" w:right="144" w:firstLine="540"/>
        <w:jc w:val="both"/>
        <w:rPr>
          <w:color w:val="000000" w:themeColor="text1"/>
          <w:sz w:val="20"/>
        </w:rPr>
      </w:pPr>
      <w:r w:rsidRPr="006420B7">
        <w:rPr>
          <w:color w:val="000000" w:themeColor="text1"/>
          <w:sz w:val="20"/>
        </w:rPr>
        <w:t>. Provided that the recipient of the payment has made advance payment of tax equal to two percent of the total turnover of the corresponding period of the immediately preceding tax year."]</w:t>
      </w:r>
    </w:p>
    <w:p w:rsidR="000F5841" w:rsidRPr="00412620" w:rsidRDefault="000F5841">
      <w:pPr>
        <w:jc w:val="both"/>
        <w:rPr>
          <w:rFonts w:cs="Arial"/>
          <w:sz w:val="20"/>
        </w:rPr>
      </w:pPr>
    </w:p>
    <w:p w:rsidR="00D9167B" w:rsidRPr="00412620" w:rsidRDefault="000F5841">
      <w:pPr>
        <w:jc w:val="both"/>
        <w:rPr>
          <w:rFonts w:cs="Arial"/>
          <w:sz w:val="20"/>
        </w:rPr>
      </w:pPr>
      <w:r w:rsidRPr="00412620">
        <w:rPr>
          <w:rFonts w:cs="Arial"/>
          <w:sz w:val="20"/>
        </w:rPr>
        <w:lastRenderedPageBreak/>
        <w:tab/>
        <w:t xml:space="preserve">(5) </w:t>
      </w:r>
      <w:r w:rsidRPr="00412620">
        <w:rPr>
          <w:rFonts w:cs="Arial"/>
          <w:sz w:val="20"/>
        </w:rPr>
        <w:tab/>
        <w:t>Sub-section (1) shall not apply to —</w:t>
      </w:r>
    </w:p>
    <w:p w:rsidR="00D9167B" w:rsidRPr="00412620" w:rsidRDefault="00D9167B">
      <w:pPr>
        <w:jc w:val="both"/>
        <w:rPr>
          <w:rFonts w:cs="Arial"/>
          <w:sz w:val="20"/>
        </w:rPr>
      </w:pPr>
    </w:p>
    <w:p w:rsidR="000F5841" w:rsidRPr="00412620" w:rsidRDefault="000F5841" w:rsidP="000F5841">
      <w:pPr>
        <w:ind w:left="1641" w:hanging="546"/>
        <w:jc w:val="both"/>
        <w:rPr>
          <w:rFonts w:cs="Arial"/>
          <w:sz w:val="20"/>
        </w:rPr>
      </w:pPr>
      <w:r w:rsidRPr="00412620">
        <w:rPr>
          <w:rFonts w:cs="Arial"/>
          <w:sz w:val="20"/>
        </w:rPr>
        <w:t xml:space="preserve">(a) </w:t>
      </w:r>
      <w:r w:rsidRPr="00412620">
        <w:rPr>
          <w:rFonts w:cs="Arial"/>
          <w:sz w:val="20"/>
        </w:rPr>
        <w:tab/>
        <w:t xml:space="preserve">a sale of goods where the sale is made by the importer of the goods and tax under section 148 in respect of such goods has been paid and the goods are sold in the same condition as they were when imported; </w:t>
      </w:r>
    </w:p>
    <w:p w:rsidR="000F5841" w:rsidRPr="00412620" w:rsidRDefault="000F5841">
      <w:pPr>
        <w:jc w:val="both"/>
        <w:rPr>
          <w:rFonts w:cs="Arial"/>
          <w:sz w:val="20"/>
        </w:rPr>
      </w:pPr>
    </w:p>
    <w:p w:rsidR="000F5841" w:rsidRPr="00412620" w:rsidRDefault="000F5841" w:rsidP="00DE2D79">
      <w:pPr>
        <w:ind w:left="1641" w:hanging="546"/>
        <w:jc w:val="both"/>
        <w:rPr>
          <w:rFonts w:cs="Arial"/>
          <w:sz w:val="20"/>
        </w:rPr>
      </w:pPr>
      <w:r w:rsidRPr="00412620">
        <w:rPr>
          <w:rFonts w:cs="Arial"/>
          <w:sz w:val="20"/>
        </w:rPr>
        <w:t xml:space="preserve">(b) </w:t>
      </w:r>
      <w:r w:rsidRPr="00412620">
        <w:rPr>
          <w:rFonts w:cs="Arial"/>
          <w:sz w:val="20"/>
        </w:rPr>
        <w:tab/>
      </w:r>
      <w:r w:rsidR="00DE2D79" w:rsidRPr="00412620">
        <w:rPr>
          <w:rFonts w:cs="Arial"/>
          <w:sz w:val="20"/>
        </w:rPr>
        <w:t>payments made to traders of yarn by the taxpayers specified in the zero-rated regime of sales tax (as provided under clause (45A) of Part-IV of the Second Schedule);</w:t>
      </w:r>
    </w:p>
    <w:p w:rsidR="00DE2D79" w:rsidRPr="00412620" w:rsidRDefault="00DE2D79">
      <w:pPr>
        <w:jc w:val="both"/>
        <w:rPr>
          <w:rFonts w:cs="Arial"/>
          <w:sz w:val="20"/>
        </w:rPr>
      </w:pPr>
    </w:p>
    <w:p w:rsidR="00DE2D79" w:rsidRPr="00412620" w:rsidRDefault="00DE2D79">
      <w:pPr>
        <w:jc w:val="both"/>
        <w:rPr>
          <w:rFonts w:cs="Arial"/>
          <w:sz w:val="20"/>
        </w:rPr>
      </w:pPr>
      <w:r w:rsidRPr="00412620">
        <w:rPr>
          <w:rFonts w:cs="Arial"/>
          <w:sz w:val="20"/>
        </w:rPr>
        <w:tab/>
      </w:r>
      <w:r w:rsidRPr="00412620">
        <w:rPr>
          <w:rFonts w:cs="Arial"/>
          <w:sz w:val="20"/>
        </w:rPr>
        <w:tab/>
        <w:t xml:space="preserve">(c) </w:t>
      </w:r>
      <w:r w:rsidRPr="00412620">
        <w:rPr>
          <w:rFonts w:cs="Arial"/>
          <w:sz w:val="20"/>
        </w:rPr>
        <w:tab/>
      </w:r>
      <w:r w:rsidR="006957BA" w:rsidRPr="00412620">
        <w:rPr>
          <w:rFonts w:cs="Arial"/>
          <w:sz w:val="20"/>
        </w:rPr>
        <w:t>a refund of any security deposit;</w:t>
      </w:r>
    </w:p>
    <w:p w:rsidR="000F5841" w:rsidRPr="00412620" w:rsidRDefault="000F5841">
      <w:pPr>
        <w:jc w:val="both"/>
        <w:rPr>
          <w:rFonts w:cs="Arial"/>
          <w:sz w:val="20"/>
        </w:rPr>
      </w:pPr>
    </w:p>
    <w:p w:rsidR="006957BA" w:rsidRPr="00412620" w:rsidRDefault="006957BA" w:rsidP="006957BA">
      <w:pPr>
        <w:ind w:left="1641" w:hanging="546"/>
        <w:jc w:val="both"/>
        <w:rPr>
          <w:rFonts w:cs="Arial"/>
          <w:sz w:val="20"/>
        </w:rPr>
      </w:pPr>
      <w:r w:rsidRPr="00412620">
        <w:rPr>
          <w:rFonts w:cs="Arial"/>
          <w:sz w:val="20"/>
        </w:rPr>
        <w:t xml:space="preserve">(d) </w:t>
      </w:r>
      <w:r w:rsidRPr="00412620">
        <w:rPr>
          <w:rFonts w:cs="Arial"/>
          <w:sz w:val="20"/>
        </w:rPr>
        <w:tab/>
        <w:t>a payment made by the Federal Government, a Provincial Government or a Local Government to a contractor for construction materials supplied to the contractor by the said Government or the authority;</w:t>
      </w:r>
    </w:p>
    <w:p w:rsidR="006957BA" w:rsidRPr="00412620" w:rsidRDefault="006957BA">
      <w:pPr>
        <w:jc w:val="both"/>
        <w:rPr>
          <w:rFonts w:cs="Arial"/>
          <w:sz w:val="20"/>
        </w:rPr>
      </w:pPr>
    </w:p>
    <w:p w:rsidR="000F5841" w:rsidRPr="00F55609" w:rsidRDefault="00FB21E1" w:rsidP="009574C4">
      <w:pPr>
        <w:ind w:left="1641" w:hanging="546"/>
        <w:jc w:val="both"/>
        <w:rPr>
          <w:rFonts w:cs="Arial"/>
          <w:color w:val="0070C0"/>
          <w:sz w:val="20"/>
        </w:rPr>
      </w:pPr>
      <w:r w:rsidRPr="00F55609">
        <w:rPr>
          <w:rStyle w:val="FootnoteReference"/>
          <w:rFonts w:cs="Arial"/>
          <w:color w:val="0070C0"/>
          <w:sz w:val="20"/>
        </w:rPr>
        <w:footnoteReference w:id="1006"/>
      </w:r>
      <w:r w:rsidRPr="00F55609">
        <w:rPr>
          <w:rFonts w:cs="Arial"/>
          <w:color w:val="0070C0"/>
          <w:sz w:val="20"/>
        </w:rPr>
        <w:t xml:space="preserve">[    ] </w:t>
      </w:r>
    </w:p>
    <w:p w:rsidR="000F5841" w:rsidRPr="00412620" w:rsidRDefault="000F5841">
      <w:pPr>
        <w:jc w:val="both"/>
        <w:rPr>
          <w:rFonts w:cs="Arial"/>
          <w:sz w:val="20"/>
        </w:rPr>
      </w:pPr>
    </w:p>
    <w:p w:rsidR="00D9167B" w:rsidRPr="00412620" w:rsidRDefault="009574C4" w:rsidP="009574C4">
      <w:pPr>
        <w:ind w:left="1641" w:hanging="546"/>
        <w:jc w:val="both"/>
        <w:rPr>
          <w:rFonts w:cs="Arial"/>
          <w:sz w:val="20"/>
        </w:rPr>
      </w:pPr>
      <w:r w:rsidRPr="00412620">
        <w:rPr>
          <w:rFonts w:cs="Arial"/>
          <w:sz w:val="20"/>
        </w:rPr>
        <w:t xml:space="preserve">(f) </w:t>
      </w:r>
      <w:r w:rsidRPr="00412620">
        <w:rPr>
          <w:rFonts w:cs="Arial"/>
          <w:sz w:val="20"/>
        </w:rPr>
        <w:tab/>
        <w:t>the purchase of an asset under a lease and buy back agreement by a modaraba, leasing company, banking company or financial institution; or</w:t>
      </w:r>
    </w:p>
    <w:p w:rsidR="009574C4" w:rsidRPr="00412620" w:rsidRDefault="009574C4">
      <w:pPr>
        <w:jc w:val="both"/>
        <w:rPr>
          <w:rFonts w:cs="Arial"/>
          <w:sz w:val="20"/>
        </w:rPr>
      </w:pPr>
    </w:p>
    <w:p w:rsidR="009574C4" w:rsidRPr="00412620" w:rsidRDefault="009574C4" w:rsidP="009574C4">
      <w:pPr>
        <w:ind w:left="1641" w:hanging="546"/>
        <w:jc w:val="both"/>
        <w:rPr>
          <w:rFonts w:cs="Arial"/>
          <w:sz w:val="20"/>
        </w:rPr>
      </w:pPr>
      <w:r w:rsidRPr="00412620">
        <w:rPr>
          <w:rFonts w:cs="Arial"/>
          <w:sz w:val="20"/>
        </w:rPr>
        <w:t xml:space="preserve">(g) </w:t>
      </w:r>
      <w:r w:rsidRPr="00412620">
        <w:rPr>
          <w:rFonts w:cs="Arial"/>
          <w:sz w:val="20"/>
        </w:rPr>
        <w:tab/>
        <w:t>any payment for securitization of receivables</w:t>
      </w:r>
      <w:r w:rsidR="00E843BA">
        <w:rPr>
          <w:rFonts w:cs="Arial"/>
          <w:sz w:val="20"/>
        </w:rPr>
        <w:t xml:space="preserve"> </w:t>
      </w:r>
      <w:r w:rsidR="00E843BA" w:rsidRPr="00D41075">
        <w:rPr>
          <w:rStyle w:val="FootnoteReference"/>
          <w:rFonts w:cs="Arial"/>
          <w:color w:val="FF0000"/>
          <w:sz w:val="20"/>
        </w:rPr>
        <w:footnoteReference w:id="1007"/>
      </w:r>
      <w:r w:rsidR="00E843BA" w:rsidRPr="007A7191">
        <w:rPr>
          <w:snapToGrid w:val="0"/>
          <w:color w:val="FF0000"/>
          <w:sz w:val="20"/>
        </w:rPr>
        <w:t>[“</w:t>
      </w:r>
      <w:r w:rsidR="00E843BA">
        <w:rPr>
          <w:snapToGrid w:val="0"/>
          <w:color w:val="FF0000"/>
          <w:sz w:val="20"/>
        </w:rPr>
        <w:t xml:space="preserve">or issuance of </w:t>
      </w:r>
      <w:r w:rsidR="00E843BA" w:rsidRPr="00E81985">
        <w:rPr>
          <w:i/>
          <w:snapToGrid w:val="0"/>
          <w:color w:val="FF0000"/>
          <w:sz w:val="20"/>
        </w:rPr>
        <w:t>sukuk</w:t>
      </w:r>
      <w:r w:rsidR="00E843BA">
        <w:rPr>
          <w:i/>
          <w:snapToGrid w:val="0"/>
          <w:color w:val="FF0000"/>
          <w:sz w:val="20"/>
        </w:rPr>
        <w:t>s</w:t>
      </w:r>
      <w:r w:rsidR="00E843BA" w:rsidRPr="007A7191">
        <w:rPr>
          <w:snapToGrid w:val="0"/>
          <w:color w:val="FF0000"/>
          <w:sz w:val="20"/>
        </w:rPr>
        <w:t>”]</w:t>
      </w:r>
      <w:r w:rsidRPr="00412620">
        <w:rPr>
          <w:rFonts w:cs="Arial"/>
          <w:sz w:val="20"/>
        </w:rPr>
        <w:t xml:space="preserve"> by a Special Purpose Vehicle to the Originator.</w:t>
      </w:r>
    </w:p>
    <w:p w:rsidR="009574C4" w:rsidRPr="00412620" w:rsidRDefault="009574C4">
      <w:pPr>
        <w:jc w:val="both"/>
        <w:rPr>
          <w:rFonts w:cs="Arial"/>
          <w:sz w:val="20"/>
        </w:rPr>
      </w:pPr>
    </w:p>
    <w:p w:rsidR="009574C4" w:rsidRPr="00412620" w:rsidRDefault="009574C4">
      <w:pPr>
        <w:jc w:val="both"/>
        <w:rPr>
          <w:rFonts w:cs="Arial"/>
          <w:sz w:val="20"/>
        </w:rPr>
      </w:pPr>
    </w:p>
    <w:p w:rsidR="009574C4" w:rsidRPr="00412620" w:rsidRDefault="009574C4">
      <w:pPr>
        <w:jc w:val="both"/>
        <w:rPr>
          <w:rFonts w:cs="Arial"/>
          <w:sz w:val="20"/>
        </w:rPr>
      </w:pPr>
      <w:r w:rsidRPr="00412620">
        <w:rPr>
          <w:rFonts w:cs="Arial"/>
          <w:sz w:val="20"/>
        </w:rPr>
        <w:tab/>
        <w:t xml:space="preserve">(6) </w:t>
      </w:r>
      <w:r w:rsidRPr="00412620">
        <w:rPr>
          <w:rFonts w:cs="Arial"/>
          <w:sz w:val="20"/>
        </w:rPr>
        <w:tab/>
        <w:t>Where any tax is deducted by a person making a payment for a Special Purpose Vehicle, on behalf of the Originator, the tax is credited to the Originator.</w:t>
      </w:r>
    </w:p>
    <w:p w:rsidR="009574C4" w:rsidRPr="00412620" w:rsidRDefault="009574C4">
      <w:pPr>
        <w:jc w:val="both"/>
        <w:rPr>
          <w:rFonts w:cs="Arial"/>
          <w:sz w:val="20"/>
        </w:rPr>
      </w:pPr>
    </w:p>
    <w:p w:rsidR="009574C4" w:rsidRPr="00412620" w:rsidRDefault="009574C4">
      <w:pPr>
        <w:jc w:val="both"/>
        <w:rPr>
          <w:rFonts w:cs="Arial"/>
          <w:sz w:val="20"/>
        </w:rPr>
      </w:pPr>
      <w:r w:rsidRPr="00412620">
        <w:rPr>
          <w:rFonts w:cs="Arial"/>
          <w:sz w:val="20"/>
        </w:rPr>
        <w:tab/>
        <w:t xml:space="preserve">(7) </w:t>
      </w:r>
      <w:r w:rsidRPr="00412620">
        <w:rPr>
          <w:rFonts w:cs="Arial"/>
          <w:sz w:val="20"/>
        </w:rPr>
        <w:tab/>
        <w:t>In this section, —</w:t>
      </w:r>
    </w:p>
    <w:p w:rsidR="009574C4" w:rsidRPr="00412620" w:rsidRDefault="009574C4">
      <w:pPr>
        <w:jc w:val="both"/>
        <w:rPr>
          <w:rFonts w:cs="Arial"/>
          <w:sz w:val="20"/>
        </w:rPr>
      </w:pPr>
    </w:p>
    <w:p w:rsidR="009574C4" w:rsidRPr="00412620" w:rsidRDefault="009574C4">
      <w:pPr>
        <w:jc w:val="both"/>
        <w:rPr>
          <w:rFonts w:cs="Arial"/>
          <w:sz w:val="20"/>
        </w:rPr>
      </w:pPr>
      <w:r w:rsidRPr="00412620">
        <w:rPr>
          <w:rFonts w:cs="Arial"/>
          <w:sz w:val="20"/>
        </w:rPr>
        <w:tab/>
      </w:r>
      <w:r w:rsidRPr="00412620">
        <w:rPr>
          <w:rFonts w:cs="Arial"/>
          <w:sz w:val="20"/>
        </w:rPr>
        <w:tab/>
        <w:t xml:space="preserve">(i) </w:t>
      </w:r>
      <w:r w:rsidRPr="00412620">
        <w:rPr>
          <w:rFonts w:cs="Arial"/>
          <w:sz w:val="20"/>
        </w:rPr>
        <w:tab/>
        <w:t>“prescribed person” means—</w:t>
      </w:r>
    </w:p>
    <w:p w:rsidR="009574C4" w:rsidRPr="00412620" w:rsidRDefault="009574C4">
      <w:pPr>
        <w:jc w:val="both"/>
        <w:rPr>
          <w:rFonts w:cs="Arial"/>
          <w:sz w:val="20"/>
        </w:rPr>
      </w:pPr>
    </w:p>
    <w:p w:rsidR="009574C4" w:rsidRPr="00412620" w:rsidRDefault="009574C4">
      <w:pPr>
        <w:jc w:val="both"/>
        <w:rPr>
          <w:rFonts w:cs="Arial"/>
          <w:sz w:val="20"/>
        </w:rPr>
      </w:pPr>
      <w:r w:rsidRPr="00412620">
        <w:rPr>
          <w:rFonts w:cs="Arial"/>
          <w:sz w:val="20"/>
        </w:rPr>
        <w:tab/>
      </w:r>
      <w:r w:rsidRPr="00412620">
        <w:rPr>
          <w:rFonts w:cs="Arial"/>
          <w:sz w:val="20"/>
        </w:rPr>
        <w:tab/>
      </w:r>
      <w:r w:rsidRPr="00412620">
        <w:rPr>
          <w:rFonts w:cs="Arial"/>
          <w:sz w:val="20"/>
        </w:rPr>
        <w:tab/>
        <w:t xml:space="preserve">(a) </w:t>
      </w:r>
      <w:r w:rsidRPr="00412620">
        <w:rPr>
          <w:rFonts w:cs="Arial"/>
          <w:sz w:val="20"/>
        </w:rPr>
        <w:tab/>
        <w:t>the Federal Government;</w:t>
      </w:r>
    </w:p>
    <w:p w:rsidR="009574C4" w:rsidRPr="00412620" w:rsidRDefault="009574C4">
      <w:pPr>
        <w:jc w:val="both"/>
        <w:rPr>
          <w:rFonts w:cs="Arial"/>
          <w:sz w:val="20"/>
        </w:rPr>
      </w:pPr>
    </w:p>
    <w:p w:rsidR="009574C4" w:rsidRPr="00412620" w:rsidRDefault="009574C4">
      <w:pPr>
        <w:jc w:val="both"/>
        <w:rPr>
          <w:rFonts w:cs="Arial"/>
          <w:sz w:val="20"/>
        </w:rPr>
      </w:pPr>
      <w:r w:rsidRPr="00412620">
        <w:rPr>
          <w:rFonts w:cs="Arial"/>
          <w:sz w:val="20"/>
        </w:rPr>
        <w:tab/>
      </w:r>
      <w:r w:rsidRPr="00412620">
        <w:rPr>
          <w:rFonts w:cs="Arial"/>
          <w:sz w:val="20"/>
        </w:rPr>
        <w:tab/>
      </w:r>
      <w:r w:rsidRPr="00412620">
        <w:rPr>
          <w:rFonts w:cs="Arial"/>
          <w:sz w:val="20"/>
        </w:rPr>
        <w:tab/>
        <w:t xml:space="preserve">(b) </w:t>
      </w:r>
      <w:r w:rsidR="00D20C63" w:rsidRPr="00412620">
        <w:rPr>
          <w:rFonts w:cs="Arial"/>
          <w:sz w:val="20"/>
        </w:rPr>
        <w:tab/>
        <w:t>a company;</w:t>
      </w:r>
    </w:p>
    <w:p w:rsidR="009574C4" w:rsidRPr="00412620" w:rsidRDefault="009574C4">
      <w:pPr>
        <w:jc w:val="both"/>
        <w:rPr>
          <w:rFonts w:cs="Arial"/>
          <w:sz w:val="20"/>
        </w:rPr>
      </w:pPr>
    </w:p>
    <w:p w:rsidR="00D20C63" w:rsidRPr="00412620" w:rsidRDefault="00D20C63">
      <w:pPr>
        <w:jc w:val="both"/>
        <w:rPr>
          <w:rFonts w:cs="Arial"/>
          <w:sz w:val="20"/>
        </w:rPr>
      </w:pPr>
      <w:r w:rsidRPr="00412620">
        <w:rPr>
          <w:rFonts w:cs="Arial"/>
          <w:sz w:val="20"/>
        </w:rPr>
        <w:tab/>
      </w:r>
      <w:r w:rsidRPr="00412620">
        <w:rPr>
          <w:rFonts w:cs="Arial"/>
          <w:sz w:val="20"/>
        </w:rPr>
        <w:tab/>
      </w:r>
      <w:r w:rsidRPr="00412620">
        <w:rPr>
          <w:rFonts w:cs="Arial"/>
          <w:sz w:val="20"/>
        </w:rPr>
        <w:tab/>
        <w:t xml:space="preserve">(c) </w:t>
      </w:r>
      <w:r w:rsidRPr="00412620">
        <w:rPr>
          <w:rFonts w:cs="Arial"/>
          <w:sz w:val="20"/>
        </w:rPr>
        <w:tab/>
      </w:r>
      <w:r w:rsidR="00F34DB0" w:rsidRPr="00412620">
        <w:rPr>
          <w:rFonts w:cs="Arial"/>
          <w:sz w:val="20"/>
        </w:rPr>
        <w:t>an association of persons constituted by, or under law;</w:t>
      </w:r>
    </w:p>
    <w:p w:rsidR="00D20C63" w:rsidRPr="00412620" w:rsidRDefault="00D20C63">
      <w:pPr>
        <w:jc w:val="both"/>
        <w:rPr>
          <w:rFonts w:cs="Arial"/>
          <w:sz w:val="20"/>
        </w:rPr>
      </w:pPr>
    </w:p>
    <w:p w:rsidR="00F34DB0" w:rsidRPr="00412620" w:rsidRDefault="00F34DB0">
      <w:pPr>
        <w:jc w:val="both"/>
        <w:rPr>
          <w:rFonts w:cs="Arial"/>
          <w:sz w:val="20"/>
        </w:rPr>
      </w:pPr>
      <w:r w:rsidRPr="00412620">
        <w:rPr>
          <w:rFonts w:cs="Arial"/>
          <w:sz w:val="20"/>
        </w:rPr>
        <w:tab/>
      </w:r>
      <w:r w:rsidRPr="00412620">
        <w:rPr>
          <w:rFonts w:cs="Arial"/>
          <w:sz w:val="20"/>
        </w:rPr>
        <w:tab/>
      </w:r>
      <w:r w:rsidRPr="00412620">
        <w:rPr>
          <w:rFonts w:cs="Arial"/>
          <w:sz w:val="20"/>
        </w:rPr>
        <w:tab/>
        <w:t xml:space="preserve">(d) </w:t>
      </w:r>
      <w:r w:rsidRPr="00412620">
        <w:rPr>
          <w:rFonts w:cs="Arial"/>
          <w:sz w:val="20"/>
        </w:rPr>
        <w:tab/>
        <w:t>a non-profit organization;</w:t>
      </w:r>
    </w:p>
    <w:p w:rsidR="00F34DB0" w:rsidRPr="00412620" w:rsidRDefault="00F34DB0">
      <w:pPr>
        <w:jc w:val="both"/>
        <w:rPr>
          <w:rFonts w:cs="Arial"/>
          <w:sz w:val="20"/>
        </w:rPr>
      </w:pPr>
    </w:p>
    <w:p w:rsidR="00F34DB0" w:rsidRPr="00412620" w:rsidRDefault="00F34DB0">
      <w:pPr>
        <w:jc w:val="both"/>
        <w:rPr>
          <w:rFonts w:cs="Arial"/>
          <w:sz w:val="20"/>
        </w:rPr>
      </w:pPr>
      <w:r w:rsidRPr="00412620">
        <w:rPr>
          <w:rFonts w:cs="Arial"/>
          <w:sz w:val="20"/>
        </w:rPr>
        <w:tab/>
      </w:r>
      <w:r w:rsidRPr="00412620">
        <w:rPr>
          <w:rFonts w:cs="Arial"/>
          <w:sz w:val="20"/>
        </w:rPr>
        <w:tab/>
      </w:r>
      <w:r w:rsidRPr="00412620">
        <w:rPr>
          <w:rFonts w:cs="Arial"/>
          <w:sz w:val="20"/>
        </w:rPr>
        <w:tab/>
        <w:t xml:space="preserve">(e) </w:t>
      </w:r>
      <w:r w:rsidRPr="00412620">
        <w:rPr>
          <w:rFonts w:cs="Arial"/>
          <w:sz w:val="20"/>
        </w:rPr>
        <w:tab/>
        <w:t>a foreign contractor or consultant;</w:t>
      </w:r>
    </w:p>
    <w:p w:rsidR="00F34DB0" w:rsidRPr="00412620" w:rsidRDefault="00F34DB0">
      <w:pPr>
        <w:jc w:val="both"/>
        <w:rPr>
          <w:rFonts w:cs="Arial"/>
          <w:sz w:val="20"/>
        </w:rPr>
      </w:pPr>
    </w:p>
    <w:p w:rsidR="00F34DB0" w:rsidRPr="00412620" w:rsidRDefault="00F34DB0">
      <w:pPr>
        <w:jc w:val="both"/>
        <w:rPr>
          <w:rFonts w:cs="Arial"/>
          <w:sz w:val="20"/>
        </w:rPr>
      </w:pPr>
      <w:r w:rsidRPr="00412620">
        <w:rPr>
          <w:rFonts w:cs="Arial"/>
          <w:sz w:val="20"/>
        </w:rPr>
        <w:tab/>
      </w:r>
      <w:r w:rsidRPr="00412620">
        <w:rPr>
          <w:rFonts w:cs="Arial"/>
          <w:sz w:val="20"/>
        </w:rPr>
        <w:tab/>
      </w:r>
      <w:r w:rsidRPr="00412620">
        <w:rPr>
          <w:rFonts w:cs="Arial"/>
          <w:sz w:val="20"/>
        </w:rPr>
        <w:tab/>
        <w:t xml:space="preserve">(f) </w:t>
      </w:r>
      <w:r w:rsidRPr="00412620">
        <w:rPr>
          <w:rFonts w:cs="Arial"/>
          <w:sz w:val="20"/>
        </w:rPr>
        <w:tab/>
        <w:t>a consortium or joint venture;</w:t>
      </w:r>
    </w:p>
    <w:p w:rsidR="00F34DB0" w:rsidRPr="00412620" w:rsidRDefault="00F34DB0">
      <w:pPr>
        <w:jc w:val="both"/>
        <w:rPr>
          <w:rFonts w:cs="Arial"/>
          <w:sz w:val="20"/>
        </w:rPr>
      </w:pPr>
    </w:p>
    <w:p w:rsidR="00F34DB0" w:rsidRPr="00412620" w:rsidRDefault="00F34DB0" w:rsidP="00410B52">
      <w:pPr>
        <w:ind w:left="2188" w:hanging="553"/>
        <w:jc w:val="both"/>
        <w:rPr>
          <w:rFonts w:cs="Arial"/>
          <w:sz w:val="20"/>
        </w:rPr>
      </w:pPr>
      <w:r w:rsidRPr="00412620">
        <w:rPr>
          <w:rFonts w:cs="Arial"/>
          <w:sz w:val="20"/>
        </w:rPr>
        <w:t xml:space="preserve">(g) </w:t>
      </w:r>
      <w:r w:rsidR="00410B52" w:rsidRPr="00412620">
        <w:rPr>
          <w:rFonts w:cs="Arial"/>
          <w:sz w:val="20"/>
        </w:rPr>
        <w:tab/>
        <w:t>an exporter or an export house for the purpose of sub-section (2);</w:t>
      </w:r>
    </w:p>
    <w:p w:rsidR="00F34DB0" w:rsidRPr="00412620" w:rsidRDefault="00F34DB0">
      <w:pPr>
        <w:jc w:val="both"/>
        <w:rPr>
          <w:rFonts w:cs="Arial"/>
          <w:sz w:val="20"/>
        </w:rPr>
      </w:pPr>
      <w:r w:rsidRPr="00412620">
        <w:rPr>
          <w:rFonts w:cs="Arial"/>
          <w:sz w:val="20"/>
        </w:rPr>
        <w:tab/>
      </w:r>
      <w:r w:rsidRPr="00412620">
        <w:rPr>
          <w:rFonts w:cs="Arial"/>
          <w:sz w:val="20"/>
        </w:rPr>
        <w:tab/>
      </w:r>
      <w:r w:rsidRPr="00412620">
        <w:rPr>
          <w:rFonts w:cs="Arial"/>
          <w:sz w:val="20"/>
        </w:rPr>
        <w:tab/>
      </w:r>
      <w:r w:rsidRPr="00412620">
        <w:rPr>
          <w:rFonts w:cs="Arial"/>
          <w:sz w:val="20"/>
        </w:rPr>
        <w:tab/>
      </w:r>
    </w:p>
    <w:p w:rsidR="00F34DB0" w:rsidRPr="00412620" w:rsidRDefault="00410B52" w:rsidP="00410B52">
      <w:pPr>
        <w:ind w:left="2188" w:hanging="553"/>
        <w:jc w:val="both"/>
        <w:rPr>
          <w:rFonts w:cs="Arial"/>
          <w:sz w:val="20"/>
        </w:rPr>
      </w:pPr>
      <w:r w:rsidRPr="00412620">
        <w:rPr>
          <w:rFonts w:cs="Arial"/>
          <w:sz w:val="20"/>
        </w:rPr>
        <w:t xml:space="preserve">(h) </w:t>
      </w:r>
      <w:r w:rsidRPr="00412620">
        <w:rPr>
          <w:rFonts w:cs="Arial"/>
          <w:sz w:val="20"/>
        </w:rPr>
        <w:tab/>
        <w:t xml:space="preserve">an association of persons, having turnover of fifty million rupees or above </w:t>
      </w:r>
      <w:r w:rsidR="00380817" w:rsidRPr="00412620">
        <w:rPr>
          <w:rFonts w:cs="Arial"/>
          <w:sz w:val="20"/>
        </w:rPr>
        <w:t>i</w:t>
      </w:r>
      <w:r w:rsidRPr="00412620">
        <w:rPr>
          <w:rFonts w:cs="Arial"/>
          <w:sz w:val="20"/>
        </w:rPr>
        <w:t xml:space="preserve">n tax year 2007 or in any subsequent tax year; </w:t>
      </w:r>
      <w:r w:rsidR="004F79DA" w:rsidRPr="00412620">
        <w:rPr>
          <w:rStyle w:val="FootnoteReference"/>
          <w:rFonts w:cs="Arial"/>
          <w:sz w:val="20"/>
        </w:rPr>
        <w:footnoteReference w:id="1008"/>
      </w:r>
      <w:r w:rsidR="004F79DA" w:rsidRPr="00412620">
        <w:rPr>
          <w:rFonts w:cs="Arial"/>
          <w:sz w:val="20"/>
        </w:rPr>
        <w:t>[  ]</w:t>
      </w:r>
    </w:p>
    <w:p w:rsidR="00F34DB0" w:rsidRPr="00412620" w:rsidRDefault="00F34DB0">
      <w:pPr>
        <w:jc w:val="both"/>
        <w:rPr>
          <w:rFonts w:cs="Arial"/>
          <w:sz w:val="20"/>
        </w:rPr>
      </w:pPr>
    </w:p>
    <w:p w:rsidR="00410B52" w:rsidRPr="00412620" w:rsidRDefault="00410B52" w:rsidP="00410B52">
      <w:pPr>
        <w:ind w:left="2188" w:hanging="553"/>
        <w:jc w:val="both"/>
        <w:rPr>
          <w:rFonts w:cs="Arial"/>
          <w:sz w:val="20"/>
        </w:rPr>
      </w:pPr>
      <w:r w:rsidRPr="00412620">
        <w:rPr>
          <w:rFonts w:cs="Arial"/>
          <w:sz w:val="20"/>
        </w:rPr>
        <w:t xml:space="preserve">(i) </w:t>
      </w:r>
      <w:r w:rsidRPr="00412620">
        <w:rPr>
          <w:rFonts w:cs="Arial"/>
          <w:sz w:val="20"/>
        </w:rPr>
        <w:tab/>
        <w:t>an individual, having turnover of fifty million rupees or above in the tax year 2009 or in any subsequent year;</w:t>
      </w:r>
      <w:r w:rsidR="004F79DA" w:rsidRPr="00412620">
        <w:rPr>
          <w:rStyle w:val="FootnoteReference"/>
          <w:rFonts w:cs="Arial"/>
          <w:sz w:val="20"/>
        </w:rPr>
        <w:footnoteReference w:id="1009"/>
      </w:r>
      <w:r w:rsidR="004F79DA" w:rsidRPr="00412620">
        <w:rPr>
          <w:rFonts w:cs="Arial"/>
          <w:sz w:val="20"/>
        </w:rPr>
        <w:t>[or]</w:t>
      </w:r>
    </w:p>
    <w:p w:rsidR="00F34DB0" w:rsidRPr="00412620" w:rsidRDefault="00F34DB0">
      <w:pPr>
        <w:jc w:val="both"/>
        <w:rPr>
          <w:rFonts w:cs="Arial"/>
          <w:sz w:val="20"/>
        </w:rPr>
      </w:pPr>
    </w:p>
    <w:p w:rsidR="00C104FE" w:rsidRPr="00412620" w:rsidRDefault="00C104FE">
      <w:pPr>
        <w:jc w:val="both"/>
        <w:rPr>
          <w:rFonts w:cs="Arial"/>
          <w:sz w:val="20"/>
        </w:rPr>
      </w:pPr>
      <w:r w:rsidRPr="00412620">
        <w:rPr>
          <w:rFonts w:cs="Arial"/>
          <w:sz w:val="20"/>
        </w:rPr>
        <w:tab/>
      </w:r>
      <w:r w:rsidRPr="00412620">
        <w:rPr>
          <w:rFonts w:cs="Arial"/>
          <w:sz w:val="20"/>
        </w:rPr>
        <w:tab/>
      </w:r>
      <w:r w:rsidRPr="00412620">
        <w:rPr>
          <w:rFonts w:cs="Arial"/>
          <w:sz w:val="20"/>
        </w:rPr>
        <w:tab/>
      </w:r>
      <w:r w:rsidRPr="00412620">
        <w:rPr>
          <w:rStyle w:val="FootnoteReference"/>
          <w:rFonts w:cs="Arial"/>
          <w:sz w:val="20"/>
        </w:rPr>
        <w:footnoteReference w:id="1010"/>
      </w:r>
      <w:r w:rsidRPr="00412620">
        <w:rPr>
          <w:rFonts w:cs="Arial"/>
          <w:sz w:val="20"/>
        </w:rPr>
        <w:t xml:space="preserve">[(j) </w:t>
      </w:r>
      <w:r w:rsidRPr="00412620">
        <w:rPr>
          <w:rFonts w:cs="Arial"/>
          <w:sz w:val="20"/>
        </w:rPr>
        <w:tab/>
        <w:t>a person registered under the Sales Tax Act, 1990;]</w:t>
      </w:r>
    </w:p>
    <w:p w:rsidR="00C104FE" w:rsidRPr="00412620" w:rsidRDefault="00C104FE">
      <w:pPr>
        <w:jc w:val="both"/>
        <w:rPr>
          <w:rFonts w:cs="Arial"/>
          <w:sz w:val="20"/>
        </w:rPr>
      </w:pPr>
    </w:p>
    <w:p w:rsidR="009574C4" w:rsidRPr="00412620" w:rsidRDefault="00A91F53" w:rsidP="00A91F53">
      <w:pPr>
        <w:ind w:left="1635" w:hanging="540"/>
        <w:jc w:val="both"/>
        <w:rPr>
          <w:rFonts w:cs="Arial"/>
          <w:sz w:val="20"/>
        </w:rPr>
      </w:pPr>
      <w:r w:rsidRPr="00412620">
        <w:rPr>
          <w:rFonts w:cs="Arial"/>
          <w:sz w:val="20"/>
        </w:rPr>
        <w:t xml:space="preserve">(ii) </w:t>
      </w:r>
      <w:r w:rsidRPr="00412620">
        <w:rPr>
          <w:rFonts w:cs="Arial"/>
          <w:sz w:val="20"/>
        </w:rPr>
        <w:tab/>
        <w:t>“services” includes the services of accountants, architects, dentists, doctors, engineers, interior decorators and lawyers, otherwise than as an employee;</w:t>
      </w:r>
    </w:p>
    <w:p w:rsidR="00A91F53" w:rsidRPr="00412620" w:rsidRDefault="00A91F53">
      <w:pPr>
        <w:jc w:val="both"/>
        <w:rPr>
          <w:rFonts w:cs="Arial"/>
          <w:sz w:val="20"/>
        </w:rPr>
      </w:pPr>
    </w:p>
    <w:p w:rsidR="00A91F53" w:rsidRPr="00412620" w:rsidRDefault="00A91F53" w:rsidP="00A91F53">
      <w:pPr>
        <w:ind w:left="1635" w:hanging="540"/>
        <w:jc w:val="both"/>
        <w:rPr>
          <w:rFonts w:cs="Arial"/>
          <w:sz w:val="20"/>
        </w:rPr>
      </w:pPr>
      <w:r w:rsidRPr="00412620">
        <w:rPr>
          <w:rFonts w:cs="Arial"/>
          <w:sz w:val="20"/>
        </w:rPr>
        <w:t xml:space="preserve">(iii) </w:t>
      </w:r>
      <w:r w:rsidRPr="00412620">
        <w:rPr>
          <w:rFonts w:cs="Arial"/>
          <w:sz w:val="20"/>
        </w:rPr>
        <w:tab/>
        <w:t>“sale of goods” includes a sale of goods for cash or on credit, whether under written contract or not;</w:t>
      </w:r>
    </w:p>
    <w:p w:rsidR="00A91F53" w:rsidRPr="00412620" w:rsidRDefault="00A91F53">
      <w:pPr>
        <w:jc w:val="both"/>
        <w:rPr>
          <w:rFonts w:cs="Arial"/>
          <w:sz w:val="20"/>
        </w:rPr>
      </w:pPr>
    </w:p>
    <w:p w:rsidR="00A91F53" w:rsidRPr="00412620" w:rsidRDefault="00A91F53" w:rsidP="00EB6AE3">
      <w:pPr>
        <w:ind w:left="1635" w:hanging="540"/>
        <w:jc w:val="both"/>
        <w:rPr>
          <w:rFonts w:cs="Arial"/>
          <w:sz w:val="20"/>
        </w:rPr>
      </w:pPr>
      <w:r w:rsidRPr="00412620">
        <w:rPr>
          <w:rFonts w:cs="Arial"/>
          <w:sz w:val="20"/>
        </w:rPr>
        <w:t xml:space="preserve">(iv) </w:t>
      </w:r>
      <w:r w:rsidRPr="00412620">
        <w:rPr>
          <w:rFonts w:cs="Arial"/>
          <w:sz w:val="20"/>
        </w:rPr>
        <w:tab/>
      </w:r>
      <w:r w:rsidR="00EB6AE3" w:rsidRPr="00412620">
        <w:rPr>
          <w:rFonts w:cs="Arial"/>
          <w:sz w:val="20"/>
        </w:rPr>
        <w:t>“manufacturer” means a person who is engaged in production or manufacturing of goods, which includes—</w:t>
      </w:r>
    </w:p>
    <w:p w:rsidR="00A91F53" w:rsidRPr="00412620" w:rsidRDefault="00A91F53">
      <w:pPr>
        <w:jc w:val="both"/>
        <w:rPr>
          <w:rFonts w:cs="Arial"/>
          <w:sz w:val="20"/>
        </w:rPr>
      </w:pPr>
    </w:p>
    <w:p w:rsidR="006D60A2" w:rsidRPr="00412620" w:rsidRDefault="006D60A2" w:rsidP="006D60A2">
      <w:pPr>
        <w:ind w:left="2188" w:hanging="553"/>
        <w:jc w:val="both"/>
        <w:rPr>
          <w:rFonts w:cs="Arial"/>
          <w:sz w:val="20"/>
        </w:rPr>
      </w:pPr>
      <w:r w:rsidRPr="00412620">
        <w:rPr>
          <w:rFonts w:cs="Arial"/>
          <w:sz w:val="20"/>
        </w:rPr>
        <w:t xml:space="preserve">(a) </w:t>
      </w:r>
      <w:r w:rsidRPr="00412620">
        <w:rPr>
          <w:rFonts w:cs="Arial"/>
          <w:sz w:val="20"/>
        </w:rPr>
        <w:tab/>
        <w:t xml:space="preserve">any process in which </w:t>
      </w:r>
      <w:r w:rsidR="00A144F9" w:rsidRPr="00412620">
        <w:rPr>
          <w:rFonts w:cs="Arial"/>
          <w:sz w:val="20"/>
        </w:rPr>
        <w:t>an article singly</w:t>
      </w:r>
      <w:r w:rsidRPr="00412620">
        <w:rPr>
          <w:rFonts w:cs="Arial"/>
          <w:sz w:val="20"/>
        </w:rPr>
        <w:t xml:space="preserve"> or in combination with other articles, material, components, is either converted into another distinct article or product is so changed, transferred, or reshaped that it becomes capable of being put to use differently or distinctly; or </w:t>
      </w:r>
    </w:p>
    <w:p w:rsidR="006D60A2" w:rsidRPr="00412620" w:rsidRDefault="006D60A2">
      <w:pPr>
        <w:jc w:val="both"/>
        <w:rPr>
          <w:rFonts w:cs="Arial"/>
          <w:sz w:val="20"/>
        </w:rPr>
      </w:pPr>
    </w:p>
    <w:p w:rsidR="006D60A2" w:rsidRPr="00412620" w:rsidRDefault="006D60A2" w:rsidP="004B7D0E">
      <w:pPr>
        <w:ind w:left="2188" w:hanging="553"/>
        <w:jc w:val="both"/>
        <w:rPr>
          <w:rFonts w:cs="Arial"/>
          <w:sz w:val="20"/>
        </w:rPr>
      </w:pPr>
      <w:r w:rsidRPr="00412620">
        <w:rPr>
          <w:rFonts w:cs="Arial"/>
          <w:sz w:val="20"/>
        </w:rPr>
        <w:t xml:space="preserve">(b) </w:t>
      </w:r>
      <w:r w:rsidRPr="00412620">
        <w:rPr>
          <w:rFonts w:cs="Arial"/>
          <w:sz w:val="20"/>
        </w:rPr>
        <w:tab/>
      </w:r>
      <w:r w:rsidR="004B7D0E" w:rsidRPr="00412620">
        <w:rPr>
          <w:rFonts w:cs="Arial"/>
          <w:sz w:val="20"/>
        </w:rPr>
        <w:t xml:space="preserve">a process of assembling, mixing, cutting or preparation of goods in any other manner; and </w:t>
      </w:r>
    </w:p>
    <w:p w:rsidR="006D60A2" w:rsidRPr="00412620" w:rsidRDefault="006D60A2">
      <w:pPr>
        <w:jc w:val="both"/>
        <w:rPr>
          <w:rFonts w:cs="Arial"/>
          <w:sz w:val="20"/>
        </w:rPr>
      </w:pPr>
    </w:p>
    <w:p w:rsidR="00EB6AE3" w:rsidRPr="00412620" w:rsidRDefault="00EB6AE3">
      <w:pPr>
        <w:jc w:val="both"/>
        <w:rPr>
          <w:rFonts w:cs="Arial"/>
          <w:sz w:val="20"/>
        </w:rPr>
      </w:pPr>
      <w:r w:rsidRPr="00412620">
        <w:rPr>
          <w:rFonts w:cs="Arial"/>
          <w:sz w:val="20"/>
        </w:rPr>
        <w:tab/>
      </w:r>
      <w:r w:rsidRPr="00412620">
        <w:rPr>
          <w:rFonts w:cs="Arial"/>
          <w:sz w:val="20"/>
        </w:rPr>
        <w:tab/>
        <w:t xml:space="preserve">(v) </w:t>
      </w:r>
      <w:r w:rsidRPr="00412620">
        <w:rPr>
          <w:rFonts w:cs="Arial"/>
          <w:sz w:val="20"/>
        </w:rPr>
        <w:tab/>
      </w:r>
      <w:r w:rsidR="00584000" w:rsidRPr="00412620">
        <w:rPr>
          <w:rFonts w:cs="Arial"/>
          <w:sz w:val="20"/>
        </w:rPr>
        <w:t>“turnover” means—</w:t>
      </w:r>
    </w:p>
    <w:p w:rsidR="00EB6AE3" w:rsidRPr="00412620" w:rsidRDefault="00EB6AE3">
      <w:pPr>
        <w:jc w:val="both"/>
        <w:rPr>
          <w:rFonts w:cs="Arial"/>
          <w:sz w:val="20"/>
        </w:rPr>
      </w:pPr>
    </w:p>
    <w:p w:rsidR="00584000" w:rsidRPr="00412620" w:rsidRDefault="00584000" w:rsidP="0033616E">
      <w:pPr>
        <w:ind w:left="2188" w:hanging="553"/>
        <w:jc w:val="both"/>
        <w:rPr>
          <w:rFonts w:cs="Arial"/>
          <w:sz w:val="20"/>
        </w:rPr>
      </w:pPr>
      <w:r w:rsidRPr="00412620">
        <w:rPr>
          <w:rFonts w:cs="Arial"/>
          <w:sz w:val="20"/>
        </w:rPr>
        <w:lastRenderedPageBreak/>
        <w:t xml:space="preserve">(a) </w:t>
      </w:r>
      <w:r w:rsidRPr="00412620">
        <w:rPr>
          <w:rFonts w:cs="Arial"/>
          <w:sz w:val="20"/>
        </w:rPr>
        <w:tab/>
      </w:r>
      <w:r w:rsidR="0033616E" w:rsidRPr="00412620">
        <w:rPr>
          <w:rFonts w:cs="Arial"/>
          <w:sz w:val="20"/>
        </w:rPr>
        <w:t xml:space="preserve">the gross sales or gross receipts, inclusive of sales tax and federal excise duty or any trade discounts shown on invoices, or bills, derived from the sale of goods; </w:t>
      </w:r>
    </w:p>
    <w:p w:rsidR="00584000" w:rsidRPr="00412620" w:rsidRDefault="00584000">
      <w:pPr>
        <w:jc w:val="both"/>
        <w:rPr>
          <w:rFonts w:cs="Arial"/>
          <w:sz w:val="20"/>
        </w:rPr>
      </w:pPr>
    </w:p>
    <w:p w:rsidR="00584000" w:rsidRPr="00412620" w:rsidRDefault="0033616E" w:rsidP="0033616E">
      <w:pPr>
        <w:ind w:left="2188" w:hanging="553"/>
        <w:jc w:val="both"/>
        <w:rPr>
          <w:rFonts w:cs="Arial"/>
          <w:sz w:val="20"/>
        </w:rPr>
      </w:pPr>
      <w:r w:rsidRPr="00412620">
        <w:rPr>
          <w:rFonts w:cs="Arial"/>
          <w:sz w:val="20"/>
        </w:rPr>
        <w:t xml:space="preserve">(b) </w:t>
      </w:r>
      <w:r w:rsidRPr="00412620">
        <w:rPr>
          <w:rFonts w:cs="Arial"/>
          <w:sz w:val="20"/>
        </w:rPr>
        <w:tab/>
        <w:t xml:space="preserve">the gross fees for the rendering of services for giving benefits including commissions; </w:t>
      </w:r>
    </w:p>
    <w:p w:rsidR="0033616E" w:rsidRPr="00412620" w:rsidRDefault="0033616E">
      <w:pPr>
        <w:jc w:val="both"/>
        <w:rPr>
          <w:rFonts w:cs="Arial"/>
          <w:sz w:val="20"/>
        </w:rPr>
      </w:pPr>
      <w:r w:rsidRPr="00412620">
        <w:rPr>
          <w:rFonts w:cs="Arial"/>
          <w:sz w:val="20"/>
        </w:rPr>
        <w:tab/>
      </w:r>
      <w:r w:rsidRPr="00412620">
        <w:rPr>
          <w:rFonts w:cs="Arial"/>
          <w:sz w:val="20"/>
        </w:rPr>
        <w:tab/>
      </w:r>
      <w:r w:rsidRPr="00412620">
        <w:rPr>
          <w:rFonts w:cs="Arial"/>
          <w:sz w:val="20"/>
        </w:rPr>
        <w:tab/>
      </w:r>
    </w:p>
    <w:p w:rsidR="0033616E" w:rsidRPr="00412620" w:rsidRDefault="0033616E">
      <w:pPr>
        <w:jc w:val="both"/>
        <w:rPr>
          <w:rFonts w:cs="Arial"/>
          <w:sz w:val="20"/>
        </w:rPr>
      </w:pPr>
      <w:r w:rsidRPr="00412620">
        <w:rPr>
          <w:rFonts w:cs="Arial"/>
          <w:sz w:val="20"/>
        </w:rPr>
        <w:tab/>
      </w:r>
      <w:r w:rsidRPr="00412620">
        <w:rPr>
          <w:rFonts w:cs="Arial"/>
          <w:sz w:val="20"/>
        </w:rPr>
        <w:tab/>
      </w:r>
      <w:r w:rsidRPr="00412620">
        <w:rPr>
          <w:rFonts w:cs="Arial"/>
          <w:sz w:val="20"/>
        </w:rPr>
        <w:tab/>
        <w:t xml:space="preserve">(c) </w:t>
      </w:r>
      <w:r w:rsidRPr="00412620">
        <w:rPr>
          <w:rFonts w:cs="Arial"/>
          <w:sz w:val="20"/>
        </w:rPr>
        <w:tab/>
        <w:t>the gross receipts from the execution of contracts; and</w:t>
      </w:r>
    </w:p>
    <w:p w:rsidR="0033616E" w:rsidRPr="00412620" w:rsidRDefault="0033616E">
      <w:pPr>
        <w:jc w:val="both"/>
        <w:rPr>
          <w:rFonts w:cs="Arial"/>
          <w:sz w:val="20"/>
        </w:rPr>
      </w:pPr>
    </w:p>
    <w:p w:rsidR="0033616E" w:rsidRPr="00412620" w:rsidRDefault="0033616E" w:rsidP="0033616E">
      <w:pPr>
        <w:ind w:left="2188" w:hanging="553"/>
        <w:jc w:val="both"/>
        <w:rPr>
          <w:rFonts w:cs="Arial"/>
          <w:sz w:val="20"/>
        </w:rPr>
      </w:pPr>
      <w:r w:rsidRPr="00412620">
        <w:rPr>
          <w:rFonts w:cs="Arial"/>
          <w:sz w:val="20"/>
        </w:rPr>
        <w:t xml:space="preserve">(d) </w:t>
      </w:r>
      <w:r w:rsidRPr="00412620">
        <w:rPr>
          <w:rFonts w:cs="Arial"/>
          <w:sz w:val="20"/>
        </w:rPr>
        <w:tab/>
        <w:t>the company’s share of the amounts stated above of any association of persons of which the company is a member.]</w:t>
      </w:r>
    </w:p>
    <w:p w:rsidR="0033616E" w:rsidRPr="00412620" w:rsidRDefault="0033616E">
      <w:pPr>
        <w:jc w:val="both"/>
        <w:rPr>
          <w:rFonts w:cs="Arial"/>
          <w:sz w:val="20"/>
        </w:rPr>
      </w:pPr>
    </w:p>
    <w:p w:rsidR="00721886" w:rsidRPr="00412620" w:rsidRDefault="00721886">
      <w:pPr>
        <w:jc w:val="both"/>
        <w:rPr>
          <w:rFonts w:cs="Arial"/>
          <w:sz w:val="20"/>
        </w:rPr>
      </w:pPr>
      <w:r w:rsidRPr="00412620">
        <w:rPr>
          <w:rStyle w:val="FootnoteReference"/>
          <w:rFonts w:cs="Arial"/>
          <w:sz w:val="20"/>
        </w:rPr>
        <w:footnoteReference w:id="1011"/>
      </w:r>
      <w:r w:rsidRPr="00412620">
        <w:rPr>
          <w:rFonts w:cs="Arial"/>
          <w:sz w:val="20"/>
        </w:rPr>
        <w:t>[  ]</w:t>
      </w:r>
    </w:p>
    <w:p w:rsidR="00A357FD" w:rsidRPr="00412620" w:rsidRDefault="00A357FD">
      <w:pPr>
        <w:pStyle w:val="BodyTextIndent2"/>
        <w:ind w:left="0"/>
        <w:jc w:val="both"/>
        <w:rPr>
          <w:rFonts w:cs="Arial"/>
          <w:sz w:val="20"/>
        </w:rPr>
      </w:pPr>
    </w:p>
    <w:p w:rsidR="006A3F93" w:rsidRPr="00412620" w:rsidRDefault="006A3F93">
      <w:pPr>
        <w:jc w:val="both"/>
        <w:rPr>
          <w:sz w:val="20"/>
        </w:rPr>
      </w:pPr>
      <w:r w:rsidRPr="00412620">
        <w:rPr>
          <w:rFonts w:cs="Arial"/>
          <w:b/>
          <w:sz w:val="20"/>
        </w:rPr>
        <w:t>154.</w:t>
      </w:r>
      <w:r w:rsidRPr="00412620">
        <w:rPr>
          <w:rFonts w:cs="Arial"/>
          <w:b/>
          <w:sz w:val="20"/>
        </w:rPr>
        <w:tab/>
        <w:t xml:space="preserve"> Exports.</w:t>
      </w:r>
      <w:r w:rsidR="00B15B11" w:rsidRPr="00412620">
        <w:rPr>
          <w:rFonts w:cs="Arial"/>
          <w:sz w:val="20"/>
        </w:rPr>
        <w:t xml:space="preserve"> —</w:t>
      </w:r>
      <w:r w:rsidRPr="00412620">
        <w:rPr>
          <w:sz w:val="20"/>
        </w:rPr>
        <w:t xml:space="preserve"> (1)  Every authorised dealer in foreign exchange shall, at the time of realisation of foreign exchange proceeds on account of the export of goods by an exporter, deduct tax from the proceeds at the rate specified in Division IV of Part III of the First Schedule.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Every authorised dealer in foreign exchange shall, at the time of realisation of foreign exchange proceeds on account of the commission due to an indenting commission agent, deduct tax from the proceeds at the rate specified in Division IV of Part III of the First Schedule.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Every banking company shall, at the time of realisation of the proceeds on account of a sale of goods to an exporter under an inland back-to-back letter of credit or any other arrangement as prescribed by the </w:t>
      </w:r>
      <w:r w:rsidR="00F1789E" w:rsidRPr="00412620">
        <w:rPr>
          <w:rStyle w:val="FootnoteReference"/>
          <w:rFonts w:cs="Arial"/>
          <w:sz w:val="20"/>
        </w:rPr>
        <w:footnoteReference w:id="1012"/>
      </w:r>
      <w:r w:rsidR="00F1789E" w:rsidRPr="00412620">
        <w:rPr>
          <w:rFonts w:cs="Arial"/>
          <w:sz w:val="20"/>
        </w:rPr>
        <w:t>[</w:t>
      </w:r>
      <w:r w:rsidRPr="00412620">
        <w:rPr>
          <w:rFonts w:cs="Arial"/>
          <w:sz w:val="20"/>
        </w:rPr>
        <w:t>Board</w:t>
      </w:r>
      <w:r w:rsidR="00F1789E" w:rsidRPr="00412620">
        <w:rPr>
          <w:rFonts w:cs="Arial"/>
          <w:sz w:val="20"/>
        </w:rPr>
        <w:t>]</w:t>
      </w:r>
      <w:r w:rsidRPr="00412620">
        <w:rPr>
          <w:rFonts w:cs="Arial"/>
          <w:sz w:val="20"/>
        </w:rPr>
        <w:t xml:space="preserve">, deduct tax from the amount of the proceeds at the rate specified in Division IV of Part III of the First </w:t>
      </w:r>
      <w:r w:rsidR="00F1789E" w:rsidRPr="00412620">
        <w:rPr>
          <w:rFonts w:cs="Arial"/>
          <w:sz w:val="20"/>
        </w:rPr>
        <w:t>S</w:t>
      </w:r>
      <w:r w:rsidRPr="00412620">
        <w:rPr>
          <w:rFonts w:cs="Arial"/>
          <w:sz w:val="20"/>
        </w:rPr>
        <w:t>chedule.</w:t>
      </w:r>
    </w:p>
    <w:p w:rsidR="006A3F93" w:rsidRPr="00412620" w:rsidRDefault="006A3F93">
      <w:pPr>
        <w:jc w:val="both"/>
        <w:rPr>
          <w:rFonts w:cs="Arial"/>
          <w:sz w:val="20"/>
        </w:rPr>
      </w:pPr>
    </w:p>
    <w:p w:rsidR="006A3F93" w:rsidRPr="00412620" w:rsidRDefault="006A3F93" w:rsidP="00710001">
      <w:pPr>
        <w:ind w:firstLine="547"/>
        <w:jc w:val="both"/>
        <w:rPr>
          <w:rFonts w:cs="Arial"/>
          <w:sz w:val="20"/>
        </w:rPr>
      </w:pPr>
      <w:r w:rsidRPr="00412620">
        <w:rPr>
          <w:rStyle w:val="FootnoteReference"/>
          <w:rFonts w:cs="Arial"/>
          <w:sz w:val="20"/>
        </w:rPr>
        <w:footnoteReference w:id="1013"/>
      </w:r>
      <w:r w:rsidRPr="00412620">
        <w:rPr>
          <w:rFonts w:cs="Arial"/>
          <w:sz w:val="20"/>
        </w:rPr>
        <w:t xml:space="preserve">[(3A) </w:t>
      </w:r>
      <w:r w:rsidRPr="00412620">
        <w:rPr>
          <w:rFonts w:cs="Arial"/>
          <w:sz w:val="20"/>
        </w:rPr>
        <w:tab/>
        <w:t>The Export Processing Zone Authority established under the Export Processing Zone Authority Ordinance, 1980 (VI of 1980), shall at the time of export of goods by an industrial undertaking located in the areas declared by the Federal Government to be a Zone within the meaning of the aforesaid Ordinance, collect tax at the rate specified in Division IV of Part III of the First Schedule.]</w:t>
      </w:r>
    </w:p>
    <w:p w:rsidR="006A3F93" w:rsidRPr="00412620" w:rsidRDefault="006A3F93">
      <w:pPr>
        <w:jc w:val="both"/>
        <w:rPr>
          <w:rFonts w:cs="Arial"/>
          <w:sz w:val="20"/>
        </w:rPr>
      </w:pPr>
    </w:p>
    <w:p w:rsidR="006A3F93" w:rsidRPr="00412620" w:rsidRDefault="006A3F93" w:rsidP="00710001">
      <w:pPr>
        <w:ind w:firstLine="547"/>
        <w:jc w:val="both"/>
        <w:rPr>
          <w:rFonts w:cs="Arial"/>
          <w:sz w:val="20"/>
        </w:rPr>
      </w:pPr>
      <w:r w:rsidRPr="00412620">
        <w:rPr>
          <w:rStyle w:val="FootnoteReference"/>
          <w:rFonts w:cs="Arial"/>
          <w:sz w:val="20"/>
        </w:rPr>
        <w:lastRenderedPageBreak/>
        <w:footnoteReference w:id="1014"/>
      </w:r>
      <w:r w:rsidRPr="00412620">
        <w:rPr>
          <w:rFonts w:cs="Arial"/>
          <w:sz w:val="20"/>
        </w:rPr>
        <w:t xml:space="preserve">[(3B) </w:t>
      </w:r>
      <w:r w:rsidRPr="00412620">
        <w:rPr>
          <w:rFonts w:cs="Arial"/>
          <w:sz w:val="20"/>
        </w:rPr>
        <w:tab/>
        <w:t>Every direct exporter and an export house registered under the Duty and Tax Remission for Exports Rules, 2001 provided in Sub-Chapter 7 of Chapter XII of the Customs Rules, 2001 shall, at the time of making payment for a firm contract to an indirect exporter defined under the said rules, deduct tax at the rates specified in Division IV of Part III of the First Schedule.]</w:t>
      </w:r>
    </w:p>
    <w:p w:rsidR="006A3F93" w:rsidRPr="00412620" w:rsidRDefault="006A3F93">
      <w:pPr>
        <w:jc w:val="both"/>
        <w:rPr>
          <w:rFonts w:cs="Arial"/>
          <w:sz w:val="20"/>
        </w:rPr>
      </w:pPr>
    </w:p>
    <w:p w:rsidR="00E476BF" w:rsidRPr="00412620" w:rsidRDefault="00E476BF">
      <w:pPr>
        <w:jc w:val="both"/>
        <w:rPr>
          <w:rFonts w:cs="Arial"/>
          <w:sz w:val="20"/>
        </w:rPr>
      </w:pPr>
      <w:r w:rsidRPr="00412620">
        <w:rPr>
          <w:rFonts w:cs="Arial"/>
          <w:sz w:val="20"/>
        </w:rPr>
        <w:tab/>
      </w:r>
      <w:r w:rsidRPr="00412620">
        <w:rPr>
          <w:rStyle w:val="FootnoteReference"/>
          <w:rFonts w:cs="Arial"/>
          <w:sz w:val="20"/>
        </w:rPr>
        <w:footnoteReference w:id="1015"/>
      </w:r>
      <w:r w:rsidRPr="00412620">
        <w:rPr>
          <w:rFonts w:cs="Arial"/>
          <w:sz w:val="20"/>
        </w:rPr>
        <w:t>[(3C) The Collector of Customs at the time of clearing of goods exported shall collect tax from the gross value of such goods at the rate specified in Division IV of Part III of the First Schedule.]</w:t>
      </w:r>
    </w:p>
    <w:p w:rsidR="00E476BF" w:rsidRPr="00412620" w:rsidRDefault="00E476BF">
      <w:pPr>
        <w:jc w:val="both"/>
        <w:rPr>
          <w:rFonts w:cs="Arial"/>
          <w:sz w:val="20"/>
        </w:rPr>
      </w:pPr>
    </w:p>
    <w:p w:rsidR="00710001" w:rsidRDefault="006A3F93">
      <w:pPr>
        <w:jc w:val="both"/>
        <w:rPr>
          <w:rFonts w:cs="Arial"/>
          <w:sz w:val="20"/>
        </w:rPr>
      </w:pPr>
      <w:r w:rsidRPr="00412620">
        <w:rPr>
          <w:rFonts w:cs="Arial"/>
          <w:sz w:val="20"/>
        </w:rPr>
        <w:tab/>
        <w:t>(4)</w:t>
      </w:r>
      <w:r w:rsidRPr="00412620">
        <w:rPr>
          <w:rFonts w:cs="Arial"/>
          <w:sz w:val="20"/>
        </w:rPr>
        <w:tab/>
        <w:t xml:space="preserve">The tax </w:t>
      </w:r>
      <w:r w:rsidR="00FC35D9" w:rsidRPr="00412620">
        <w:rPr>
          <w:rStyle w:val="FootnoteReference"/>
          <w:rFonts w:cs="Arial"/>
          <w:sz w:val="20"/>
        </w:rPr>
        <w:footnoteReference w:id="1016"/>
      </w:r>
      <w:r w:rsidR="00FC35D9" w:rsidRPr="00412620">
        <w:rPr>
          <w:rFonts w:cs="Arial"/>
          <w:sz w:val="20"/>
        </w:rPr>
        <w:t>[deductible]</w:t>
      </w:r>
      <w:r w:rsidRPr="00412620">
        <w:rPr>
          <w:rFonts w:cs="Arial"/>
          <w:sz w:val="20"/>
        </w:rPr>
        <w:t xml:space="preserve"> under </w:t>
      </w:r>
      <w:r w:rsidR="00076DEC" w:rsidRPr="00412620">
        <w:rPr>
          <w:rStyle w:val="FootnoteReference"/>
          <w:rFonts w:cs="Arial"/>
          <w:sz w:val="20"/>
        </w:rPr>
        <w:footnoteReference w:id="1017"/>
      </w:r>
      <w:r w:rsidR="00076DEC" w:rsidRPr="00412620">
        <w:rPr>
          <w:rFonts w:cs="Arial"/>
          <w:sz w:val="20"/>
        </w:rPr>
        <w:t xml:space="preserve">[this section] </w:t>
      </w:r>
      <w:r w:rsidRPr="00412620">
        <w:rPr>
          <w:rFonts w:cs="Arial"/>
          <w:sz w:val="20"/>
        </w:rPr>
        <w:t xml:space="preserve">shall be a final tax on the income arising from the </w:t>
      </w:r>
      <w:r w:rsidR="0000551B" w:rsidRPr="00412620">
        <w:rPr>
          <w:rStyle w:val="FootnoteReference"/>
          <w:rFonts w:cs="Arial"/>
          <w:sz w:val="20"/>
        </w:rPr>
        <w:footnoteReference w:id="1018"/>
      </w:r>
      <w:r w:rsidR="0000551B" w:rsidRPr="00412620">
        <w:rPr>
          <w:rFonts w:cs="Arial"/>
          <w:sz w:val="20"/>
        </w:rPr>
        <w:t>[transactions referred to in this section]</w:t>
      </w:r>
      <w:r w:rsidRPr="00412620">
        <w:rPr>
          <w:rFonts w:cs="Arial"/>
          <w:sz w:val="20"/>
        </w:rPr>
        <w:t>.</w:t>
      </w:r>
    </w:p>
    <w:p w:rsidR="00710001" w:rsidRDefault="00710001">
      <w:pPr>
        <w:jc w:val="both"/>
        <w:rPr>
          <w:rFonts w:cs="Arial"/>
          <w:sz w:val="20"/>
        </w:rPr>
      </w:pPr>
    </w:p>
    <w:p w:rsidR="00710001" w:rsidRPr="006420B7" w:rsidRDefault="004D16B9" w:rsidP="00710001">
      <w:pPr>
        <w:autoSpaceDE w:val="0"/>
        <w:autoSpaceDN w:val="0"/>
        <w:adjustRightInd w:val="0"/>
        <w:ind w:firstLine="547"/>
        <w:rPr>
          <w:rFonts w:cs="Arial"/>
          <w:color w:val="000000" w:themeColor="text1"/>
          <w:sz w:val="20"/>
          <w:lang w:val="en-US"/>
        </w:rPr>
      </w:pPr>
      <w:r w:rsidRPr="006420B7">
        <w:rPr>
          <w:rStyle w:val="FootnoteReference"/>
          <w:rFonts w:cs="Arial"/>
          <w:color w:val="000000" w:themeColor="text1"/>
          <w:sz w:val="20"/>
          <w:lang w:val="en-US"/>
        </w:rPr>
        <w:footnoteReference w:id="1019"/>
      </w:r>
      <w:r w:rsidR="00710001" w:rsidRPr="006420B7">
        <w:rPr>
          <w:rFonts w:cs="Arial"/>
          <w:color w:val="000000" w:themeColor="text1"/>
          <w:sz w:val="20"/>
          <w:lang w:val="en-US"/>
        </w:rPr>
        <w:t>[“(5) The provisions of sub-section (4) shall not apply to a person who opts not to be subject to final taxation:</w:t>
      </w:r>
    </w:p>
    <w:p w:rsidR="00710001" w:rsidRPr="006420B7" w:rsidRDefault="00710001" w:rsidP="00710001">
      <w:pPr>
        <w:autoSpaceDE w:val="0"/>
        <w:autoSpaceDN w:val="0"/>
        <w:adjustRightInd w:val="0"/>
        <w:ind w:firstLine="547"/>
        <w:rPr>
          <w:rFonts w:cs="Arial"/>
          <w:color w:val="000000" w:themeColor="text1"/>
          <w:sz w:val="20"/>
          <w:lang w:val="en-US"/>
        </w:rPr>
      </w:pPr>
    </w:p>
    <w:p w:rsidR="00710001" w:rsidRPr="006420B7" w:rsidRDefault="00710001" w:rsidP="00710001">
      <w:pPr>
        <w:autoSpaceDE w:val="0"/>
        <w:autoSpaceDN w:val="0"/>
        <w:adjustRightInd w:val="0"/>
        <w:ind w:left="547" w:firstLine="547"/>
        <w:jc w:val="both"/>
        <w:rPr>
          <w:rFonts w:cs="Arial"/>
          <w:color w:val="000000" w:themeColor="text1"/>
          <w:sz w:val="20"/>
          <w:lang w:val="en-US"/>
        </w:rPr>
      </w:pPr>
      <w:r w:rsidRPr="006420B7">
        <w:rPr>
          <w:rFonts w:cs="Arial"/>
          <w:color w:val="000000" w:themeColor="text1"/>
          <w:sz w:val="20"/>
          <w:lang w:val="en-US"/>
        </w:rPr>
        <w:t>Provided that this sub-section shall be applicable from tax year 2015 and the option shall be exercised every year at the time of filing of return under section 114:</w:t>
      </w:r>
    </w:p>
    <w:p w:rsidR="00710001" w:rsidRPr="006420B7" w:rsidRDefault="00710001" w:rsidP="00710001">
      <w:pPr>
        <w:autoSpaceDE w:val="0"/>
        <w:autoSpaceDN w:val="0"/>
        <w:adjustRightInd w:val="0"/>
        <w:ind w:left="547" w:firstLine="547"/>
        <w:jc w:val="both"/>
        <w:rPr>
          <w:rFonts w:cs="Arial"/>
          <w:color w:val="000000" w:themeColor="text1"/>
          <w:sz w:val="20"/>
          <w:lang w:val="en-US"/>
        </w:rPr>
      </w:pPr>
    </w:p>
    <w:p w:rsidR="006A3F93" w:rsidRPr="006420B7" w:rsidRDefault="00710001" w:rsidP="00710001">
      <w:pPr>
        <w:autoSpaceDE w:val="0"/>
        <w:autoSpaceDN w:val="0"/>
        <w:adjustRightInd w:val="0"/>
        <w:ind w:left="547" w:firstLine="547"/>
        <w:rPr>
          <w:rFonts w:cs="Arial"/>
          <w:color w:val="000000" w:themeColor="text1"/>
          <w:sz w:val="20"/>
        </w:rPr>
      </w:pPr>
      <w:r w:rsidRPr="006420B7">
        <w:rPr>
          <w:rFonts w:cs="Arial"/>
          <w:color w:val="000000" w:themeColor="text1"/>
          <w:sz w:val="20"/>
          <w:lang w:val="en-US"/>
        </w:rPr>
        <w:t>Provided further that the tax deducted under this sub-section shall be minimum tax.”]</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155.</w:t>
      </w:r>
      <w:r w:rsidRPr="00412620">
        <w:rPr>
          <w:rFonts w:cs="Arial"/>
          <w:b/>
          <w:sz w:val="20"/>
        </w:rPr>
        <w:tab/>
        <w:t>Income from property.</w:t>
      </w:r>
      <w:r w:rsidR="00B15B11" w:rsidRPr="00412620">
        <w:rPr>
          <w:rFonts w:cs="Arial"/>
          <w:sz w:val="20"/>
        </w:rPr>
        <w:t>—</w:t>
      </w:r>
      <w:r w:rsidRPr="00412620">
        <w:rPr>
          <w:sz w:val="20"/>
        </w:rPr>
        <w:t xml:space="preserve"> (1)  </w:t>
      </w:r>
      <w:r w:rsidR="00076DEC" w:rsidRPr="00412620">
        <w:rPr>
          <w:rStyle w:val="FootnoteReference"/>
          <w:sz w:val="20"/>
        </w:rPr>
        <w:footnoteReference w:id="1020"/>
      </w:r>
      <w:r w:rsidR="00076DEC" w:rsidRPr="00412620">
        <w:rPr>
          <w:sz w:val="20"/>
        </w:rPr>
        <w:t xml:space="preserve">[Every]  </w:t>
      </w:r>
      <w:r w:rsidRPr="00412620">
        <w:rPr>
          <w:sz w:val="20"/>
        </w:rPr>
        <w:t>prescribed person making a payment in full or part (including a payment by way of advance) to any person on account of rent of immovable property (including rent of furniture and fixtures, and amounts for services relating to such property) shall deduct tax from the gross amount of rent paid at the rate specified in Division V of Part III of the First Schedule.</w:t>
      </w:r>
    </w:p>
    <w:p w:rsidR="006A3F93" w:rsidRPr="00412620" w:rsidRDefault="006A3F93">
      <w:pPr>
        <w:jc w:val="both"/>
        <w:rPr>
          <w:rFonts w:cs="Arial"/>
          <w:b/>
          <w:sz w:val="20"/>
        </w:rPr>
      </w:pPr>
    </w:p>
    <w:p w:rsidR="002E6A2F" w:rsidRPr="00412620" w:rsidRDefault="002E6A2F">
      <w:pPr>
        <w:jc w:val="both"/>
        <w:rPr>
          <w:rFonts w:cs="Arial"/>
          <w:sz w:val="20"/>
        </w:rPr>
      </w:pPr>
      <w:r w:rsidRPr="00412620">
        <w:rPr>
          <w:rFonts w:cs="Arial"/>
          <w:sz w:val="20"/>
        </w:rPr>
        <w:tab/>
      </w:r>
      <w:r w:rsidRPr="00412620">
        <w:rPr>
          <w:rFonts w:cs="Arial"/>
          <w:sz w:val="20"/>
        </w:rPr>
        <w:tab/>
      </w:r>
      <w:r w:rsidRPr="00412620">
        <w:rPr>
          <w:rStyle w:val="FootnoteReference"/>
          <w:rFonts w:cs="Arial"/>
          <w:sz w:val="20"/>
        </w:rPr>
        <w:footnoteReference w:id="1021"/>
      </w:r>
      <w:r w:rsidRPr="00412620">
        <w:rPr>
          <w:rFonts w:cs="Arial"/>
          <w:sz w:val="20"/>
        </w:rPr>
        <w:t>[</w:t>
      </w:r>
      <w:r w:rsidRPr="00412620">
        <w:rPr>
          <w:rFonts w:cs="Arial"/>
          <w:i/>
          <w:sz w:val="20"/>
        </w:rPr>
        <w:t>Explanation.</w:t>
      </w:r>
      <w:r w:rsidRPr="00412620">
        <w:rPr>
          <w:rFonts w:cs="Arial"/>
          <w:sz w:val="20"/>
        </w:rPr>
        <w:t>- “gross amount of rent” includes the amount referred to in sub-section (1) or (3) of section 16, if any.]</w:t>
      </w:r>
    </w:p>
    <w:p w:rsidR="002E6A2F" w:rsidRPr="00412620" w:rsidRDefault="002E6A2F">
      <w:pPr>
        <w:jc w:val="both"/>
        <w:rPr>
          <w:rFonts w:cs="Arial"/>
          <w:b/>
          <w:sz w:val="20"/>
        </w:rPr>
      </w:pPr>
    </w:p>
    <w:p w:rsidR="00DC460A" w:rsidRPr="00412620" w:rsidRDefault="00DC460A">
      <w:pPr>
        <w:jc w:val="both"/>
        <w:rPr>
          <w:rFonts w:cs="Arial"/>
          <w:sz w:val="20"/>
        </w:rPr>
      </w:pPr>
      <w:r w:rsidRPr="00412620">
        <w:rPr>
          <w:rFonts w:cs="Arial"/>
          <w:b/>
          <w:sz w:val="20"/>
        </w:rPr>
        <w:tab/>
      </w:r>
      <w:r w:rsidRPr="00412620">
        <w:rPr>
          <w:rStyle w:val="FootnoteReference"/>
          <w:rFonts w:cs="Arial"/>
          <w:b/>
          <w:sz w:val="20"/>
        </w:rPr>
        <w:footnoteReference w:id="1022"/>
      </w:r>
      <w:r w:rsidRPr="00412620">
        <w:rPr>
          <w:rFonts w:cs="Arial"/>
          <w:sz w:val="20"/>
        </w:rPr>
        <w:t>[  ]</w:t>
      </w:r>
    </w:p>
    <w:p w:rsidR="002E6A2F" w:rsidRPr="00412620" w:rsidRDefault="002E6A2F">
      <w:pPr>
        <w:jc w:val="both"/>
        <w:rPr>
          <w:rFonts w:cs="Arial"/>
          <w:sz w:val="20"/>
        </w:rPr>
      </w:pPr>
      <w:r w:rsidRPr="00412620">
        <w:rPr>
          <w:rFonts w:cs="Arial"/>
          <w:sz w:val="20"/>
        </w:rPr>
        <w:tab/>
      </w:r>
    </w:p>
    <w:p w:rsidR="006A3F93" w:rsidRPr="00412620" w:rsidRDefault="006A3F93">
      <w:pPr>
        <w:jc w:val="both"/>
        <w:rPr>
          <w:rFonts w:cs="Arial"/>
          <w:sz w:val="20"/>
        </w:rPr>
      </w:pPr>
    </w:p>
    <w:p w:rsidR="002E6A2F" w:rsidRPr="00412620" w:rsidRDefault="002E6A2F" w:rsidP="002E6A2F">
      <w:pPr>
        <w:jc w:val="both"/>
        <w:rPr>
          <w:rFonts w:cs="Arial"/>
          <w:sz w:val="20"/>
        </w:rPr>
      </w:pPr>
      <w:r w:rsidRPr="00412620">
        <w:rPr>
          <w:rFonts w:cs="Arial"/>
          <w:sz w:val="20"/>
        </w:rPr>
        <w:tab/>
      </w:r>
      <w:r w:rsidRPr="00412620">
        <w:rPr>
          <w:rStyle w:val="FootnoteReference"/>
          <w:rFonts w:cs="Arial"/>
          <w:sz w:val="20"/>
        </w:rPr>
        <w:footnoteReference w:id="1023"/>
      </w:r>
      <w:r w:rsidRPr="00412620">
        <w:rPr>
          <w:rFonts w:cs="Arial"/>
          <w:sz w:val="20"/>
        </w:rPr>
        <w:t xml:space="preserve">[(3) </w:t>
      </w:r>
      <w:r w:rsidRPr="00412620">
        <w:rPr>
          <w:rFonts w:cs="Arial"/>
          <w:sz w:val="20"/>
        </w:rPr>
        <w:tab/>
        <w:t>In this section, “prescribed person” means –</w:t>
      </w:r>
    </w:p>
    <w:p w:rsidR="002E6A2F" w:rsidRPr="00412620" w:rsidRDefault="002E6A2F" w:rsidP="002E6A2F">
      <w:pPr>
        <w:jc w:val="both"/>
        <w:rPr>
          <w:rFonts w:cs="Arial"/>
          <w:sz w:val="20"/>
        </w:rPr>
      </w:pPr>
    </w:p>
    <w:p w:rsidR="002E6A2F" w:rsidRPr="00412620" w:rsidRDefault="002E6A2F" w:rsidP="002E6A2F">
      <w:pPr>
        <w:jc w:val="both"/>
        <w:rPr>
          <w:rFonts w:cs="Arial"/>
          <w:sz w:val="20"/>
        </w:rPr>
      </w:pPr>
      <w:r w:rsidRPr="00412620">
        <w:rPr>
          <w:rFonts w:cs="Arial"/>
          <w:sz w:val="20"/>
        </w:rPr>
        <w:tab/>
        <w:t xml:space="preserve"> (i) </w:t>
      </w:r>
      <w:r w:rsidRPr="00412620">
        <w:rPr>
          <w:rFonts w:cs="Arial"/>
          <w:sz w:val="20"/>
        </w:rPr>
        <w:tab/>
        <w:t xml:space="preserve">the Federal Government; </w:t>
      </w:r>
    </w:p>
    <w:p w:rsidR="002E6A2F" w:rsidRPr="00412620" w:rsidRDefault="002E6A2F" w:rsidP="002E6A2F">
      <w:pPr>
        <w:jc w:val="both"/>
        <w:rPr>
          <w:rFonts w:cs="Arial"/>
          <w:sz w:val="20"/>
        </w:rPr>
      </w:pPr>
    </w:p>
    <w:p w:rsidR="002E6A2F" w:rsidRPr="00412620" w:rsidRDefault="002E6A2F" w:rsidP="002E6A2F">
      <w:pPr>
        <w:jc w:val="both"/>
        <w:rPr>
          <w:rFonts w:cs="Arial"/>
          <w:sz w:val="20"/>
        </w:rPr>
      </w:pPr>
      <w:r w:rsidRPr="00412620">
        <w:rPr>
          <w:rFonts w:cs="Arial"/>
          <w:sz w:val="20"/>
        </w:rPr>
        <w:tab/>
        <w:t xml:space="preserve">(ii) </w:t>
      </w:r>
      <w:r w:rsidRPr="00412620">
        <w:rPr>
          <w:rFonts w:cs="Arial"/>
          <w:sz w:val="20"/>
        </w:rPr>
        <w:tab/>
        <w:t>a Provincial Government;</w:t>
      </w:r>
    </w:p>
    <w:p w:rsidR="002E6A2F" w:rsidRPr="00412620" w:rsidRDefault="002E6A2F" w:rsidP="002E6A2F">
      <w:pPr>
        <w:jc w:val="both"/>
        <w:rPr>
          <w:rFonts w:cs="Arial"/>
          <w:sz w:val="20"/>
        </w:rPr>
      </w:pPr>
    </w:p>
    <w:p w:rsidR="002E6A2F" w:rsidRPr="00412620" w:rsidRDefault="002E6A2F" w:rsidP="002E6A2F">
      <w:pPr>
        <w:jc w:val="both"/>
        <w:rPr>
          <w:rFonts w:cs="Arial"/>
          <w:sz w:val="20"/>
        </w:rPr>
      </w:pPr>
      <w:r w:rsidRPr="00412620">
        <w:rPr>
          <w:rFonts w:cs="Arial"/>
          <w:sz w:val="20"/>
        </w:rPr>
        <w:tab/>
        <w:t xml:space="preserve">(iii) </w:t>
      </w:r>
      <w:r w:rsidRPr="00412620">
        <w:rPr>
          <w:rFonts w:cs="Arial"/>
          <w:sz w:val="20"/>
        </w:rPr>
        <w:tab/>
      </w:r>
      <w:r w:rsidR="00721DEC" w:rsidRPr="00412620">
        <w:rPr>
          <w:rStyle w:val="FootnoteReference"/>
          <w:rFonts w:cs="Arial"/>
          <w:sz w:val="20"/>
        </w:rPr>
        <w:footnoteReference w:id="1024"/>
      </w:r>
      <w:r w:rsidR="00721DEC" w:rsidRPr="00412620">
        <w:rPr>
          <w:rFonts w:cs="Arial"/>
          <w:sz w:val="20"/>
        </w:rPr>
        <w:t>[Local Government]</w:t>
      </w:r>
      <w:r w:rsidRPr="00412620">
        <w:rPr>
          <w:rFonts w:cs="Arial"/>
          <w:sz w:val="20"/>
        </w:rPr>
        <w:t>;</w:t>
      </w:r>
    </w:p>
    <w:p w:rsidR="002E6A2F" w:rsidRPr="00412620" w:rsidRDefault="002E6A2F" w:rsidP="002E6A2F">
      <w:pPr>
        <w:jc w:val="both"/>
        <w:rPr>
          <w:rFonts w:cs="Arial"/>
          <w:sz w:val="20"/>
        </w:rPr>
      </w:pPr>
    </w:p>
    <w:p w:rsidR="002E6A2F" w:rsidRPr="00412620" w:rsidRDefault="002E6A2F" w:rsidP="002E6A2F">
      <w:pPr>
        <w:jc w:val="both"/>
        <w:rPr>
          <w:rFonts w:cs="Arial"/>
          <w:sz w:val="20"/>
        </w:rPr>
      </w:pPr>
      <w:r w:rsidRPr="00412620">
        <w:rPr>
          <w:rFonts w:cs="Arial"/>
          <w:sz w:val="20"/>
        </w:rPr>
        <w:tab/>
        <w:t xml:space="preserve">(iv) </w:t>
      </w:r>
      <w:r w:rsidRPr="00412620">
        <w:rPr>
          <w:rFonts w:cs="Arial"/>
          <w:sz w:val="20"/>
        </w:rPr>
        <w:tab/>
        <w:t>a company;</w:t>
      </w:r>
    </w:p>
    <w:p w:rsidR="002E6A2F" w:rsidRPr="00412620" w:rsidRDefault="002E6A2F" w:rsidP="002E6A2F">
      <w:pPr>
        <w:jc w:val="both"/>
        <w:rPr>
          <w:rFonts w:cs="Arial"/>
          <w:sz w:val="20"/>
        </w:rPr>
      </w:pPr>
    </w:p>
    <w:p w:rsidR="002E6A2F" w:rsidRPr="00412620" w:rsidRDefault="002E6A2F" w:rsidP="002E6A2F">
      <w:pPr>
        <w:jc w:val="both"/>
        <w:rPr>
          <w:rFonts w:cs="Arial"/>
          <w:sz w:val="20"/>
        </w:rPr>
      </w:pPr>
      <w:r w:rsidRPr="00412620">
        <w:rPr>
          <w:rFonts w:cs="Arial"/>
          <w:sz w:val="20"/>
        </w:rPr>
        <w:tab/>
        <w:t xml:space="preserve">(v) </w:t>
      </w:r>
      <w:r w:rsidRPr="00412620">
        <w:rPr>
          <w:rFonts w:cs="Arial"/>
          <w:sz w:val="20"/>
        </w:rPr>
        <w:tab/>
        <w:t>a non-profit organization</w:t>
      </w:r>
      <w:r w:rsidR="00252F50" w:rsidRPr="00412620">
        <w:rPr>
          <w:rStyle w:val="FootnoteReference"/>
          <w:rFonts w:cs="Arial"/>
          <w:sz w:val="20"/>
        </w:rPr>
        <w:footnoteReference w:id="1025"/>
      </w:r>
      <w:r w:rsidR="00252F50" w:rsidRPr="00412620">
        <w:rPr>
          <w:rFonts w:cs="Arial"/>
          <w:sz w:val="20"/>
        </w:rPr>
        <w:t>[or a charitable institution]</w:t>
      </w:r>
      <w:r w:rsidRPr="00412620">
        <w:rPr>
          <w:rFonts w:cs="Arial"/>
          <w:sz w:val="20"/>
        </w:rPr>
        <w:t>;</w:t>
      </w:r>
    </w:p>
    <w:p w:rsidR="002E6A2F" w:rsidRPr="00412620" w:rsidRDefault="002E6A2F" w:rsidP="002E6A2F">
      <w:pPr>
        <w:jc w:val="both"/>
        <w:rPr>
          <w:rFonts w:cs="Arial"/>
          <w:sz w:val="20"/>
        </w:rPr>
      </w:pPr>
    </w:p>
    <w:p w:rsidR="002E6A2F" w:rsidRPr="00412620" w:rsidRDefault="002E6A2F" w:rsidP="002E6A2F">
      <w:pPr>
        <w:jc w:val="both"/>
        <w:rPr>
          <w:rFonts w:cs="Arial"/>
          <w:sz w:val="20"/>
        </w:rPr>
      </w:pPr>
      <w:r w:rsidRPr="00412620">
        <w:rPr>
          <w:rFonts w:cs="Arial"/>
          <w:sz w:val="20"/>
        </w:rPr>
        <w:tab/>
        <w:t xml:space="preserve">(vi) </w:t>
      </w:r>
      <w:r w:rsidRPr="00412620">
        <w:rPr>
          <w:rFonts w:cs="Arial"/>
          <w:sz w:val="20"/>
        </w:rPr>
        <w:tab/>
        <w:t xml:space="preserve">a diplomatic mission of a foreign state; </w:t>
      </w:r>
      <w:r w:rsidR="009833B3" w:rsidRPr="00412620">
        <w:rPr>
          <w:rStyle w:val="FootnoteReference"/>
          <w:rFonts w:cs="Arial"/>
          <w:sz w:val="20"/>
        </w:rPr>
        <w:footnoteReference w:id="1026"/>
      </w:r>
      <w:r w:rsidR="009833B3" w:rsidRPr="00412620">
        <w:rPr>
          <w:rFonts w:cs="Arial"/>
          <w:sz w:val="20"/>
        </w:rPr>
        <w:t>[  ]</w:t>
      </w:r>
    </w:p>
    <w:p w:rsidR="002E6A2F" w:rsidRPr="00412620" w:rsidRDefault="002E6A2F" w:rsidP="002E6A2F">
      <w:pPr>
        <w:jc w:val="both"/>
        <w:rPr>
          <w:rFonts w:cs="Arial"/>
          <w:sz w:val="20"/>
        </w:rPr>
      </w:pPr>
    </w:p>
    <w:p w:rsidR="006965F5" w:rsidRPr="00412620" w:rsidRDefault="006965F5" w:rsidP="006965F5">
      <w:pPr>
        <w:ind w:left="1094" w:hanging="794"/>
        <w:jc w:val="both"/>
        <w:rPr>
          <w:rFonts w:cs="Arial"/>
          <w:sz w:val="20"/>
        </w:rPr>
      </w:pPr>
      <w:r w:rsidRPr="00412620">
        <w:rPr>
          <w:rStyle w:val="FootnoteReference"/>
          <w:rFonts w:cs="Arial"/>
          <w:sz w:val="20"/>
        </w:rPr>
        <w:footnoteReference w:id="1027"/>
      </w:r>
      <w:r w:rsidRPr="00412620">
        <w:rPr>
          <w:rFonts w:cs="Arial"/>
          <w:sz w:val="20"/>
        </w:rPr>
        <w:t xml:space="preserve">[(via) </w:t>
      </w:r>
      <w:r w:rsidRPr="00412620">
        <w:rPr>
          <w:rFonts w:cs="Arial"/>
          <w:sz w:val="20"/>
        </w:rPr>
        <w:tab/>
        <w:t>a private educational institution, a boutique, a beauty parlour, a hospital, a clinic or a maternity home;]</w:t>
      </w:r>
    </w:p>
    <w:p w:rsidR="006965F5" w:rsidRPr="00412620" w:rsidRDefault="006965F5" w:rsidP="002E6A2F">
      <w:pPr>
        <w:jc w:val="both"/>
        <w:rPr>
          <w:rFonts w:cs="Arial"/>
          <w:sz w:val="20"/>
        </w:rPr>
      </w:pPr>
    </w:p>
    <w:p w:rsidR="006965F5" w:rsidRPr="00412620" w:rsidRDefault="006965F5" w:rsidP="006965F5">
      <w:pPr>
        <w:ind w:left="1094" w:hanging="854"/>
        <w:jc w:val="both"/>
        <w:rPr>
          <w:rFonts w:cs="Arial"/>
          <w:sz w:val="20"/>
        </w:rPr>
      </w:pPr>
      <w:r w:rsidRPr="00412620">
        <w:rPr>
          <w:rStyle w:val="FootnoteReference"/>
          <w:rFonts w:cs="Arial"/>
          <w:sz w:val="20"/>
        </w:rPr>
        <w:footnoteReference w:id="1028"/>
      </w:r>
      <w:r w:rsidRPr="00412620">
        <w:rPr>
          <w:rFonts w:cs="Arial"/>
          <w:sz w:val="20"/>
        </w:rPr>
        <w:t xml:space="preserve">[(vib) </w:t>
      </w:r>
      <w:r w:rsidRPr="00412620">
        <w:rPr>
          <w:rFonts w:cs="Arial"/>
          <w:sz w:val="20"/>
        </w:rPr>
        <w:tab/>
        <w:t>individuals or association of persons paying gross rent of rupees one and a half million and above in a year; or]</w:t>
      </w:r>
    </w:p>
    <w:p w:rsidR="006965F5" w:rsidRPr="00412620" w:rsidRDefault="006965F5" w:rsidP="002E6A2F">
      <w:pPr>
        <w:jc w:val="both"/>
        <w:rPr>
          <w:rFonts w:cs="Arial"/>
          <w:sz w:val="20"/>
        </w:rPr>
      </w:pPr>
    </w:p>
    <w:p w:rsidR="002E6A2F" w:rsidRPr="00412620" w:rsidRDefault="002E6A2F" w:rsidP="00845C64">
      <w:pPr>
        <w:ind w:left="1094" w:hanging="554"/>
        <w:jc w:val="both"/>
        <w:rPr>
          <w:rFonts w:cs="Arial"/>
          <w:sz w:val="20"/>
        </w:rPr>
      </w:pPr>
      <w:r w:rsidRPr="00412620">
        <w:rPr>
          <w:rFonts w:cs="Arial"/>
          <w:sz w:val="20"/>
        </w:rPr>
        <w:t xml:space="preserve">(vii) </w:t>
      </w:r>
      <w:r w:rsidRPr="00412620">
        <w:rPr>
          <w:rFonts w:cs="Arial"/>
          <w:sz w:val="20"/>
        </w:rPr>
        <w:tab/>
        <w:t xml:space="preserve">any other person notified by the </w:t>
      </w:r>
      <w:r w:rsidR="00845C64" w:rsidRPr="00412620">
        <w:rPr>
          <w:rStyle w:val="FootnoteReference"/>
          <w:rFonts w:cs="Arial"/>
          <w:sz w:val="20"/>
        </w:rPr>
        <w:footnoteReference w:id="1029"/>
      </w:r>
      <w:r w:rsidR="00845C64" w:rsidRPr="00412620">
        <w:rPr>
          <w:rFonts w:cs="Arial"/>
          <w:sz w:val="20"/>
        </w:rPr>
        <w:t>[</w:t>
      </w:r>
      <w:r w:rsidRPr="00412620">
        <w:rPr>
          <w:rFonts w:cs="Arial"/>
          <w:sz w:val="20"/>
        </w:rPr>
        <w:t>Board</w:t>
      </w:r>
      <w:r w:rsidR="00845C64" w:rsidRPr="00412620">
        <w:rPr>
          <w:rFonts w:cs="Arial"/>
          <w:sz w:val="20"/>
        </w:rPr>
        <w:t>]</w:t>
      </w:r>
      <w:r w:rsidRPr="00412620">
        <w:rPr>
          <w:rFonts w:cs="Arial"/>
          <w:sz w:val="20"/>
        </w:rPr>
        <w:t xml:space="preserve"> for the purpose of this section.]</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156.</w:t>
      </w:r>
      <w:r w:rsidRPr="00412620">
        <w:rPr>
          <w:rFonts w:cs="Arial"/>
          <w:b/>
          <w:sz w:val="20"/>
        </w:rPr>
        <w:tab/>
        <w:t>Prizes and winnings.</w:t>
      </w:r>
      <w:r w:rsidR="00B15B11" w:rsidRPr="00412620">
        <w:rPr>
          <w:rFonts w:cs="Arial"/>
          <w:sz w:val="20"/>
        </w:rPr>
        <w:t>—</w:t>
      </w:r>
      <w:r w:rsidRPr="00412620">
        <w:rPr>
          <w:sz w:val="20"/>
        </w:rPr>
        <w:t xml:space="preserve">(1)  Every person paying </w:t>
      </w:r>
      <w:r w:rsidRPr="00412620">
        <w:rPr>
          <w:rStyle w:val="FootnoteReference"/>
          <w:sz w:val="20"/>
        </w:rPr>
        <w:footnoteReference w:id="1030"/>
      </w:r>
      <w:r w:rsidRPr="00412620">
        <w:rPr>
          <w:sz w:val="20"/>
        </w:rPr>
        <w:t xml:space="preserve">[prize on] a prize bond, or winnings from a raffle, lottery, </w:t>
      </w:r>
      <w:r w:rsidRPr="00412620">
        <w:rPr>
          <w:rStyle w:val="FootnoteReference"/>
          <w:sz w:val="20"/>
        </w:rPr>
        <w:footnoteReference w:id="1031"/>
      </w:r>
      <w:r w:rsidRPr="00412620">
        <w:rPr>
          <w:sz w:val="20"/>
        </w:rPr>
        <w:t xml:space="preserve">[prize on winning a quiz, prize offered by companies for promotion of sale,] or cross-word puzzle shall deduct tax from the gross amount paid at the rate specified in Division VI of Part III of the First Schedule. </w:t>
      </w:r>
    </w:p>
    <w:p w:rsidR="002E6A2F" w:rsidRPr="00412620" w:rsidRDefault="002E6A2F">
      <w:pPr>
        <w:jc w:val="both"/>
        <w:rPr>
          <w:sz w:val="20"/>
        </w:rPr>
      </w:pPr>
    </w:p>
    <w:p w:rsidR="002E6A2F" w:rsidRPr="00412620" w:rsidRDefault="002E6A2F">
      <w:pPr>
        <w:jc w:val="both"/>
        <w:rPr>
          <w:sz w:val="20"/>
        </w:rPr>
      </w:pPr>
      <w:r w:rsidRPr="00412620">
        <w:rPr>
          <w:sz w:val="20"/>
        </w:rPr>
        <w:tab/>
        <w:t>(2) Where a prize, referred to in sub-section (1), is not in cash, the person while giving the prize shall collect tax on the fair market value of the prize.</w:t>
      </w:r>
    </w:p>
    <w:p w:rsidR="006F79EC" w:rsidRPr="00412620" w:rsidRDefault="006F79EC">
      <w:pPr>
        <w:jc w:val="both"/>
        <w:rPr>
          <w:rFonts w:cs="Arial"/>
          <w:sz w:val="20"/>
        </w:rPr>
      </w:pPr>
    </w:p>
    <w:p w:rsidR="006A3F93" w:rsidRPr="00412620" w:rsidRDefault="006A3F93" w:rsidP="008B5829">
      <w:pPr>
        <w:jc w:val="both"/>
        <w:rPr>
          <w:sz w:val="20"/>
        </w:rPr>
      </w:pPr>
      <w:r w:rsidRPr="00412620">
        <w:rPr>
          <w:rStyle w:val="FootnoteReference"/>
          <w:rFonts w:cs="Arial"/>
          <w:sz w:val="20"/>
        </w:rPr>
        <w:lastRenderedPageBreak/>
        <w:footnoteReference w:id="1032"/>
      </w:r>
      <w:r w:rsidRPr="00412620">
        <w:rPr>
          <w:sz w:val="20"/>
        </w:rPr>
        <w:t xml:space="preserve">[(3) The tax </w:t>
      </w:r>
      <w:r w:rsidR="00D571C1" w:rsidRPr="00412620">
        <w:rPr>
          <w:rStyle w:val="FootnoteReference"/>
          <w:rFonts w:cs="Arial"/>
          <w:sz w:val="20"/>
        </w:rPr>
        <w:footnoteReference w:id="1033"/>
      </w:r>
      <w:r w:rsidR="00D571C1" w:rsidRPr="00412620">
        <w:rPr>
          <w:rFonts w:cs="Arial"/>
          <w:sz w:val="20"/>
        </w:rPr>
        <w:t>[deductible]</w:t>
      </w:r>
      <w:r w:rsidRPr="00412620">
        <w:rPr>
          <w:sz w:val="20"/>
        </w:rPr>
        <w:t xml:space="preserve"> under sub-section (1) or collected under</w:t>
      </w:r>
      <w:r w:rsidR="00E122F6">
        <w:rPr>
          <w:sz w:val="20"/>
        </w:rPr>
        <w:t xml:space="preserve"> </w:t>
      </w:r>
      <w:r w:rsidR="008B5829" w:rsidRPr="00E122F6">
        <w:rPr>
          <w:rStyle w:val="FootnoteReference"/>
          <w:color w:val="000000" w:themeColor="text1"/>
          <w:sz w:val="20"/>
        </w:rPr>
        <w:footnoteReference w:id="1034"/>
      </w:r>
      <w:r w:rsidR="008B5829" w:rsidRPr="00E122F6">
        <w:rPr>
          <w:color w:val="000000" w:themeColor="text1"/>
          <w:sz w:val="20"/>
        </w:rPr>
        <w:t>[sub</w:t>
      </w:r>
      <w:r w:rsidR="00EA3C85" w:rsidRPr="00E122F6">
        <w:rPr>
          <w:color w:val="000000" w:themeColor="text1"/>
          <w:sz w:val="20"/>
        </w:rPr>
        <w:t>-</w:t>
      </w:r>
      <w:r w:rsidR="008B5829" w:rsidRPr="00E122F6">
        <w:rPr>
          <w:color w:val="000000" w:themeColor="text1"/>
          <w:sz w:val="20"/>
        </w:rPr>
        <w:t>]</w:t>
      </w:r>
      <w:r w:rsidR="00E122F6">
        <w:rPr>
          <w:color w:val="00B0F0"/>
          <w:sz w:val="20"/>
        </w:rPr>
        <w:t xml:space="preserve"> </w:t>
      </w:r>
      <w:r w:rsidRPr="00412620">
        <w:rPr>
          <w:sz w:val="20"/>
        </w:rPr>
        <w:t>section (2) shall be final tax on the income from prizes or winnings referred to in the said sub-sections.]</w:t>
      </w:r>
    </w:p>
    <w:p w:rsidR="006A3F93" w:rsidRPr="00412620" w:rsidRDefault="006A3F93">
      <w:pPr>
        <w:jc w:val="both"/>
        <w:rPr>
          <w:rFonts w:cs="Arial"/>
          <w:b/>
          <w:sz w:val="20"/>
        </w:rPr>
      </w:pPr>
    </w:p>
    <w:p w:rsidR="006A3F93" w:rsidRPr="00412620" w:rsidRDefault="006A3F93">
      <w:pPr>
        <w:jc w:val="both"/>
        <w:rPr>
          <w:bCs/>
          <w:sz w:val="20"/>
        </w:rPr>
      </w:pPr>
      <w:r w:rsidRPr="00412620">
        <w:rPr>
          <w:rStyle w:val="FootnoteReference"/>
          <w:rFonts w:cs="Arial"/>
          <w:bCs/>
          <w:sz w:val="20"/>
        </w:rPr>
        <w:footnoteReference w:id="1035"/>
      </w:r>
      <w:r w:rsidRPr="00412620">
        <w:rPr>
          <w:bCs/>
          <w:sz w:val="20"/>
        </w:rPr>
        <w:t>[</w:t>
      </w:r>
      <w:r w:rsidRPr="00412620">
        <w:rPr>
          <w:b/>
          <w:sz w:val="20"/>
        </w:rPr>
        <w:t>156A. Petroleum Products.</w:t>
      </w:r>
      <w:r w:rsidR="00A35E24" w:rsidRPr="00412620">
        <w:rPr>
          <w:rFonts w:cs="Arial"/>
          <w:b/>
          <w:sz w:val="20"/>
        </w:rPr>
        <w:t>—</w:t>
      </w:r>
      <w:r w:rsidRPr="00412620">
        <w:rPr>
          <w:bCs/>
          <w:sz w:val="20"/>
        </w:rPr>
        <w:t xml:space="preserve"> (1) Every person selling petroleum products to a petrol pump operator shall deduct tax from the amount of commission or discount allowed to the operator at the rate specified in Division VIA of Part III of the First schedule.</w:t>
      </w:r>
    </w:p>
    <w:p w:rsidR="006A3F93" w:rsidRPr="00412620" w:rsidRDefault="006A3F93">
      <w:pPr>
        <w:jc w:val="both"/>
        <w:rPr>
          <w:rFonts w:cs="Arial"/>
          <w:bCs/>
          <w:sz w:val="20"/>
        </w:rPr>
      </w:pPr>
    </w:p>
    <w:p w:rsidR="006A3F93" w:rsidRPr="00412620" w:rsidRDefault="006A3F93">
      <w:pPr>
        <w:jc w:val="both"/>
        <w:rPr>
          <w:rFonts w:cs="Arial"/>
          <w:bCs/>
          <w:sz w:val="20"/>
        </w:rPr>
      </w:pPr>
      <w:r w:rsidRPr="00412620">
        <w:rPr>
          <w:rFonts w:cs="Arial"/>
          <w:bCs/>
          <w:sz w:val="20"/>
        </w:rPr>
        <w:tab/>
        <w:t>(2)</w:t>
      </w:r>
      <w:r w:rsidRPr="00412620">
        <w:rPr>
          <w:rFonts w:cs="Arial"/>
          <w:bCs/>
          <w:sz w:val="20"/>
        </w:rPr>
        <w:tab/>
        <w:t xml:space="preserve">The tax </w:t>
      </w:r>
      <w:r w:rsidR="00757825" w:rsidRPr="00412620">
        <w:rPr>
          <w:rStyle w:val="FootnoteReference"/>
          <w:rFonts w:cs="Arial"/>
          <w:sz w:val="20"/>
        </w:rPr>
        <w:footnoteReference w:id="1036"/>
      </w:r>
      <w:r w:rsidR="00757825" w:rsidRPr="00412620">
        <w:rPr>
          <w:rFonts w:cs="Arial"/>
          <w:sz w:val="20"/>
        </w:rPr>
        <w:t>[deductible]</w:t>
      </w:r>
      <w:r w:rsidRPr="00412620">
        <w:rPr>
          <w:rFonts w:cs="Arial"/>
          <w:bCs/>
          <w:sz w:val="20"/>
        </w:rPr>
        <w:t xml:space="preserve"> under sub-section (1) shall be a final tax on the income arising from the sale of petroleum products to which sub-section (1) applies.]</w:t>
      </w:r>
    </w:p>
    <w:p w:rsidR="006A3F93" w:rsidRPr="00412620" w:rsidRDefault="006A3F93">
      <w:pPr>
        <w:jc w:val="both"/>
        <w:rPr>
          <w:rFonts w:cs="Arial"/>
          <w:b/>
          <w:sz w:val="20"/>
        </w:rPr>
      </w:pPr>
    </w:p>
    <w:p w:rsidR="006A3F93" w:rsidRPr="00412620" w:rsidRDefault="006A3F93">
      <w:pPr>
        <w:jc w:val="both"/>
        <w:rPr>
          <w:bCs/>
          <w:sz w:val="20"/>
        </w:rPr>
      </w:pPr>
      <w:r w:rsidRPr="00391B77">
        <w:rPr>
          <w:rStyle w:val="FootnoteReference"/>
          <w:rFonts w:cs="Arial"/>
          <w:sz w:val="20"/>
        </w:rPr>
        <w:footnoteReference w:id="1037"/>
      </w:r>
      <w:r w:rsidRPr="00391B77">
        <w:rPr>
          <w:sz w:val="20"/>
        </w:rPr>
        <w:t>[</w:t>
      </w:r>
      <w:r w:rsidRPr="00412620">
        <w:rPr>
          <w:b/>
          <w:sz w:val="20"/>
        </w:rPr>
        <w:t>156B. Withdrawal of balance under Pension Fund</w:t>
      </w:r>
      <w:r w:rsidRPr="00412620">
        <w:rPr>
          <w:bCs/>
          <w:sz w:val="20"/>
        </w:rPr>
        <w:t>.</w:t>
      </w:r>
      <w:r w:rsidR="00B15B11" w:rsidRPr="00412620">
        <w:rPr>
          <w:rFonts w:cs="Arial"/>
          <w:sz w:val="20"/>
        </w:rPr>
        <w:t>—</w:t>
      </w:r>
      <w:r w:rsidRPr="00412620">
        <w:rPr>
          <w:bCs/>
          <w:sz w:val="20"/>
        </w:rPr>
        <w:t xml:space="preserve"> (1) A pension fund manager making payment from individual pension accounts, maintained under any approved Pension Fund, shall deduct tax at the rate specified in sub-section (6) of section 12 from any amount –</w:t>
      </w:r>
    </w:p>
    <w:p w:rsidR="006A3F93" w:rsidRPr="00391B77" w:rsidRDefault="006A3F93">
      <w:pPr>
        <w:jc w:val="both"/>
        <w:rPr>
          <w:rFonts w:cs="Arial"/>
          <w:bCs/>
          <w:sz w:val="12"/>
        </w:rPr>
      </w:pPr>
    </w:p>
    <w:p w:rsidR="006A3F93" w:rsidRPr="00412620" w:rsidRDefault="006A3F93">
      <w:pPr>
        <w:ind w:firstLine="547"/>
        <w:jc w:val="both"/>
        <w:rPr>
          <w:rFonts w:cs="Arial"/>
          <w:bCs/>
          <w:sz w:val="20"/>
        </w:rPr>
      </w:pPr>
      <w:r w:rsidRPr="00412620">
        <w:rPr>
          <w:rFonts w:cs="Arial"/>
          <w:bCs/>
          <w:sz w:val="20"/>
        </w:rPr>
        <w:tab/>
        <w:t>(a)</w:t>
      </w:r>
      <w:r w:rsidRPr="00412620">
        <w:rPr>
          <w:rFonts w:cs="Arial"/>
          <w:bCs/>
          <w:sz w:val="20"/>
        </w:rPr>
        <w:tab/>
        <w:t>withdrawn before the retirement age</w:t>
      </w:r>
      <w:r w:rsidR="005D2843" w:rsidRPr="00412620">
        <w:rPr>
          <w:rStyle w:val="FootnoteReference"/>
          <w:rFonts w:cs="Arial"/>
          <w:bCs/>
          <w:sz w:val="20"/>
        </w:rPr>
        <w:footnoteReference w:id="1038"/>
      </w:r>
      <w:r w:rsidR="007E1EE4" w:rsidRPr="00412620">
        <w:rPr>
          <w:rFonts w:cs="Arial"/>
          <w:bCs/>
          <w:sz w:val="20"/>
        </w:rPr>
        <w:t>[:]</w:t>
      </w:r>
    </w:p>
    <w:p w:rsidR="006A3F93" w:rsidRPr="00391B77" w:rsidRDefault="006A3F93">
      <w:pPr>
        <w:jc w:val="both"/>
        <w:rPr>
          <w:rFonts w:cs="Arial"/>
          <w:bCs/>
          <w:sz w:val="12"/>
        </w:rPr>
      </w:pPr>
    </w:p>
    <w:p w:rsidR="007E1EE4" w:rsidRPr="00412620" w:rsidRDefault="00981B8C" w:rsidP="006E7C76">
      <w:pPr>
        <w:ind w:left="1094" w:firstLine="721"/>
        <w:jc w:val="both"/>
        <w:rPr>
          <w:rFonts w:cs="Arial"/>
          <w:bCs/>
          <w:sz w:val="20"/>
        </w:rPr>
      </w:pPr>
      <w:r w:rsidRPr="00412620">
        <w:rPr>
          <w:rStyle w:val="FootnoteReference"/>
          <w:rFonts w:cs="Arial"/>
          <w:bCs/>
          <w:sz w:val="20"/>
        </w:rPr>
        <w:footnoteReference w:id="1039"/>
      </w:r>
      <w:r w:rsidR="007E1EE4" w:rsidRPr="00412620">
        <w:rPr>
          <w:rFonts w:cs="Arial"/>
          <w:bCs/>
          <w:sz w:val="18"/>
        </w:rPr>
        <w:t>[</w:t>
      </w:r>
      <w:r w:rsidR="007E1EE4" w:rsidRPr="00412620">
        <w:rPr>
          <w:rFonts w:cs="Arial"/>
          <w:bCs/>
          <w:sz w:val="20"/>
        </w:rPr>
        <w:t>Provided that the tax shall not be deducted in case of the eligible person suffering from any disability as mentioned in sub-rule (2) of rule 17 of the Voluntary Pension System Rules, 2005 which renders him unable to continue with any employment at the age which he may so elect to be treated as the retirement age or the age as on the date of such disability if not so elected by him.]</w:t>
      </w:r>
    </w:p>
    <w:p w:rsidR="007E1EE4" w:rsidRPr="00391B77" w:rsidRDefault="007E1EE4">
      <w:pPr>
        <w:jc w:val="both"/>
        <w:rPr>
          <w:rFonts w:cs="Arial"/>
          <w:bCs/>
          <w:sz w:val="12"/>
        </w:rPr>
      </w:pPr>
    </w:p>
    <w:p w:rsidR="007E1EE4" w:rsidRPr="00412620" w:rsidRDefault="004D224C" w:rsidP="006E7C76">
      <w:pPr>
        <w:ind w:left="1094" w:firstLine="600"/>
        <w:jc w:val="both"/>
        <w:rPr>
          <w:rFonts w:cs="Arial"/>
          <w:bCs/>
          <w:sz w:val="20"/>
        </w:rPr>
      </w:pPr>
      <w:r w:rsidRPr="00412620">
        <w:rPr>
          <w:rStyle w:val="FootnoteReference"/>
          <w:rFonts w:cs="Arial"/>
          <w:bCs/>
          <w:sz w:val="20"/>
        </w:rPr>
        <w:footnoteReference w:id="1040"/>
      </w:r>
      <w:r w:rsidR="007E1EE4" w:rsidRPr="00412620">
        <w:rPr>
          <w:rFonts w:cs="Arial"/>
          <w:bCs/>
          <w:sz w:val="20"/>
        </w:rPr>
        <w:t>[Provided further that the tax shall not be deducted on the share of the nominated survivor of the deceased eligible person and would be treated as if the eligible person had reached the age of retirement.]</w:t>
      </w:r>
    </w:p>
    <w:p w:rsidR="007E1EE4" w:rsidRPr="00391B77" w:rsidRDefault="007E1EE4">
      <w:pPr>
        <w:jc w:val="both"/>
        <w:rPr>
          <w:rFonts w:cs="Arial"/>
          <w:bCs/>
          <w:sz w:val="12"/>
        </w:rPr>
      </w:pPr>
    </w:p>
    <w:p w:rsidR="006A3F93" w:rsidRPr="00412620" w:rsidRDefault="006A3F93">
      <w:pPr>
        <w:ind w:left="1634" w:hanging="540"/>
        <w:jc w:val="both"/>
        <w:rPr>
          <w:rFonts w:cs="Arial"/>
          <w:bCs/>
          <w:sz w:val="20"/>
        </w:rPr>
      </w:pPr>
      <w:r w:rsidRPr="00412620">
        <w:rPr>
          <w:rFonts w:cs="Arial"/>
          <w:bCs/>
          <w:sz w:val="20"/>
        </w:rPr>
        <w:t xml:space="preserve">(b) </w:t>
      </w:r>
      <w:r w:rsidRPr="00412620">
        <w:rPr>
          <w:rFonts w:cs="Arial"/>
          <w:bCs/>
          <w:sz w:val="20"/>
        </w:rPr>
        <w:tab/>
        <w:t xml:space="preserve">withdrawn, if in excess of </w:t>
      </w:r>
      <w:r w:rsidR="000672DA" w:rsidRPr="00412620">
        <w:rPr>
          <w:rStyle w:val="FootnoteReference"/>
          <w:rFonts w:cs="Arial"/>
          <w:bCs/>
          <w:sz w:val="20"/>
        </w:rPr>
        <w:footnoteReference w:id="1041"/>
      </w:r>
      <w:r w:rsidR="000672DA" w:rsidRPr="00412620">
        <w:rPr>
          <w:rFonts w:cs="Arial"/>
          <w:bCs/>
          <w:sz w:val="20"/>
        </w:rPr>
        <w:t xml:space="preserve">[fifty </w:t>
      </w:r>
      <w:r w:rsidR="00AB6F06">
        <w:rPr>
          <w:rFonts w:cs="Arial"/>
          <w:bCs/>
          <w:sz w:val="20"/>
        </w:rPr>
        <w:t>per cent</w:t>
      </w:r>
      <w:r w:rsidR="000672DA" w:rsidRPr="00412620">
        <w:rPr>
          <w:rFonts w:cs="Arial"/>
          <w:bCs/>
          <w:sz w:val="20"/>
        </w:rPr>
        <w:t>]</w:t>
      </w:r>
      <w:r w:rsidRPr="00412620">
        <w:rPr>
          <w:rFonts w:cs="Arial"/>
          <w:bCs/>
          <w:sz w:val="20"/>
        </w:rPr>
        <w:t xml:space="preserve"> of his accumulated balance at or after the retirement age:</w:t>
      </w:r>
    </w:p>
    <w:p w:rsidR="006A3F93" w:rsidRPr="00391B77" w:rsidRDefault="006A3F93">
      <w:pPr>
        <w:jc w:val="both"/>
        <w:rPr>
          <w:rFonts w:cs="Arial"/>
          <w:bCs/>
          <w:sz w:val="12"/>
        </w:rPr>
      </w:pPr>
    </w:p>
    <w:p w:rsidR="00391B77" w:rsidRDefault="003950B8" w:rsidP="00391B77">
      <w:pPr>
        <w:ind w:left="1094" w:firstLine="541"/>
        <w:jc w:val="both"/>
        <w:rPr>
          <w:rFonts w:cs="Arial"/>
          <w:sz w:val="20"/>
          <w:lang w:val="en-US"/>
        </w:rPr>
      </w:pPr>
      <w:r w:rsidRPr="00412620">
        <w:rPr>
          <w:rStyle w:val="FootnoteReference"/>
          <w:rFonts w:cs="Arial"/>
          <w:bCs/>
          <w:sz w:val="20"/>
        </w:rPr>
        <w:footnoteReference w:id="1042"/>
      </w:r>
      <w:r w:rsidR="00185F35" w:rsidRPr="00412620">
        <w:rPr>
          <w:rFonts w:cs="Arial"/>
          <w:bCs/>
          <w:sz w:val="18"/>
        </w:rPr>
        <w:t>[</w:t>
      </w:r>
      <w:r w:rsidR="00185F35" w:rsidRPr="00412620">
        <w:rPr>
          <w:rFonts w:cs="Arial"/>
          <w:bCs/>
          <w:sz w:val="20"/>
        </w:rPr>
        <w:t>Provided</w:t>
      </w:r>
      <w:r w:rsidR="00185F35" w:rsidRPr="00412620">
        <w:rPr>
          <w:rFonts w:cs="Arial"/>
          <w:sz w:val="20"/>
          <w:lang w:val="en-US"/>
        </w:rPr>
        <w:t xml:space="preserve"> that the tax sha</w:t>
      </w:r>
      <w:r w:rsidR="00C43516" w:rsidRPr="00412620">
        <w:rPr>
          <w:rFonts w:cs="Arial"/>
          <w:sz w:val="20"/>
          <w:lang w:val="en-US"/>
        </w:rPr>
        <w:t xml:space="preserve">ll not be deducted in case, the </w:t>
      </w:r>
      <w:r w:rsidR="00185F35" w:rsidRPr="00412620">
        <w:rPr>
          <w:rFonts w:cs="Arial"/>
          <w:sz w:val="20"/>
          <w:lang w:val="en-US"/>
        </w:rPr>
        <w:t xml:space="preserve">balance in the eligible persons’ individual pension account is </w:t>
      </w:r>
      <w:r w:rsidR="00185F35" w:rsidRPr="00412620">
        <w:rPr>
          <w:rFonts w:cs="Arial"/>
          <w:sz w:val="20"/>
          <w:lang w:val="en-US"/>
        </w:rPr>
        <w:lastRenderedPageBreak/>
        <w:t>invested in an approved income payment plan of a pension fund manager or paid to a life insurance company for the purchase of an approved annuity plan or is transferred to another individual pension account of the eligible person or the survivors’ pension account in case of death of the eligible person maintained with any other pension fund manager as specified in the Voluntary Pension System Rules, 2005.]</w:t>
      </w:r>
    </w:p>
    <w:p w:rsidR="00391B77" w:rsidRDefault="00391B77" w:rsidP="00391B77">
      <w:pPr>
        <w:ind w:left="1094" w:firstLine="541"/>
        <w:jc w:val="both"/>
        <w:rPr>
          <w:rFonts w:cs="Arial"/>
          <w:sz w:val="20"/>
          <w:lang w:val="en-US"/>
        </w:rPr>
      </w:pPr>
    </w:p>
    <w:p w:rsidR="006A3F93" w:rsidRPr="00412620" w:rsidRDefault="006A3F93" w:rsidP="00391B77">
      <w:pPr>
        <w:ind w:left="1094" w:hanging="1094"/>
        <w:jc w:val="both"/>
        <w:rPr>
          <w:b/>
          <w:sz w:val="20"/>
        </w:rPr>
      </w:pPr>
      <w:r w:rsidRPr="00412620">
        <w:rPr>
          <w:rStyle w:val="FootnoteReference"/>
          <w:rFonts w:cs="Arial"/>
          <w:sz w:val="20"/>
        </w:rPr>
        <w:footnoteReference w:id="1043"/>
      </w:r>
      <w:r w:rsidRPr="00412620">
        <w:rPr>
          <w:sz w:val="20"/>
        </w:rPr>
        <w:t>[  ]</w:t>
      </w:r>
    </w:p>
    <w:p w:rsidR="006A3F93" w:rsidRPr="00412620" w:rsidRDefault="006A3F93">
      <w:pPr>
        <w:pStyle w:val="BodyTextIndent"/>
        <w:ind w:left="0" w:firstLine="0"/>
        <w:jc w:val="both"/>
        <w:rPr>
          <w:rFonts w:cs="Arial"/>
          <w:b/>
          <w:sz w:val="18"/>
        </w:rPr>
      </w:pPr>
    </w:p>
    <w:p w:rsidR="000D14ED" w:rsidRDefault="000D14ED">
      <w:pPr>
        <w:pStyle w:val="BodyTextIndent"/>
        <w:ind w:left="0" w:firstLine="0"/>
        <w:jc w:val="both"/>
        <w:rPr>
          <w:sz w:val="20"/>
        </w:rPr>
      </w:pPr>
    </w:p>
    <w:p w:rsidR="006A3F93" w:rsidRPr="00412620" w:rsidRDefault="006A3F93">
      <w:pPr>
        <w:pStyle w:val="BodyTextIndent"/>
        <w:ind w:left="0" w:firstLine="0"/>
        <w:jc w:val="both"/>
        <w:rPr>
          <w:sz w:val="20"/>
        </w:rPr>
      </w:pPr>
      <w:r w:rsidRPr="00412620">
        <w:rPr>
          <w:rStyle w:val="FootnoteReference"/>
          <w:rFonts w:cs="Arial"/>
          <w:sz w:val="20"/>
        </w:rPr>
        <w:footnoteReference w:id="1044"/>
      </w:r>
      <w:r w:rsidRPr="00412620">
        <w:rPr>
          <w:sz w:val="20"/>
        </w:rPr>
        <w:t>[</w:t>
      </w:r>
      <w:r w:rsidRPr="00412620">
        <w:rPr>
          <w:b/>
          <w:sz w:val="20"/>
        </w:rPr>
        <w:t>158.Time of deduction of tax.</w:t>
      </w:r>
      <w:r w:rsidR="003504B5" w:rsidRPr="00412620">
        <w:rPr>
          <w:rFonts w:cs="Arial"/>
          <w:sz w:val="20"/>
        </w:rPr>
        <w:t>—</w:t>
      </w:r>
      <w:r w:rsidRPr="00412620">
        <w:rPr>
          <w:sz w:val="20"/>
        </w:rPr>
        <w:t xml:space="preserve"> A person required to deduct tax from an  amount paid by the person shall deduct tax </w:t>
      </w:r>
      <w:r w:rsidR="00A37475" w:rsidRPr="00412620">
        <w:rPr>
          <w:rFonts w:cs="Arial"/>
          <w:sz w:val="20"/>
        </w:rPr>
        <w:t>—</w:t>
      </w:r>
    </w:p>
    <w:p w:rsidR="004D5DAC" w:rsidRPr="00412620" w:rsidRDefault="004D5DAC">
      <w:pPr>
        <w:pStyle w:val="BodyTextIndent"/>
        <w:ind w:left="0" w:firstLine="0"/>
        <w:rPr>
          <w:rFonts w:cs="Arial"/>
          <w:sz w:val="18"/>
        </w:rPr>
      </w:pPr>
    </w:p>
    <w:p w:rsidR="006A3F93" w:rsidRPr="00412620" w:rsidRDefault="006A3F93">
      <w:pPr>
        <w:pStyle w:val="BodyTextIndent"/>
        <w:ind w:left="1620" w:hanging="540"/>
        <w:jc w:val="both"/>
        <w:rPr>
          <w:rFonts w:cs="Arial"/>
          <w:sz w:val="20"/>
        </w:rPr>
      </w:pPr>
      <w:r w:rsidRPr="00412620">
        <w:rPr>
          <w:rFonts w:cs="Arial"/>
          <w:sz w:val="20"/>
        </w:rPr>
        <w:t xml:space="preserve">(a) </w:t>
      </w:r>
      <w:r w:rsidRPr="00412620">
        <w:rPr>
          <w:rFonts w:cs="Arial"/>
          <w:sz w:val="20"/>
        </w:rPr>
        <w:tab/>
        <w:t xml:space="preserve">in the case of deduction under section 151, at the time the amount is </w:t>
      </w:r>
      <w:r w:rsidRPr="00412620">
        <w:rPr>
          <w:rStyle w:val="FootnoteReference"/>
          <w:rFonts w:cs="Arial"/>
          <w:sz w:val="20"/>
        </w:rPr>
        <w:footnoteReference w:id="1045"/>
      </w:r>
      <w:r w:rsidRPr="00412620">
        <w:rPr>
          <w:rFonts w:cs="Arial"/>
          <w:sz w:val="20"/>
        </w:rPr>
        <w:t xml:space="preserve">[paid or] credited to the account of recipient </w:t>
      </w:r>
      <w:r w:rsidRPr="00412620">
        <w:rPr>
          <w:rStyle w:val="FootnoteReference"/>
          <w:rFonts w:cs="Arial"/>
          <w:sz w:val="20"/>
        </w:rPr>
        <w:footnoteReference w:id="1046"/>
      </w:r>
      <w:r w:rsidRPr="00412620">
        <w:rPr>
          <w:rFonts w:cs="Arial"/>
          <w:sz w:val="20"/>
        </w:rPr>
        <w:t xml:space="preserve">[, whichever is earlier]; and </w:t>
      </w:r>
    </w:p>
    <w:p w:rsidR="006A3F93" w:rsidRPr="00412620" w:rsidRDefault="006A3F93">
      <w:pPr>
        <w:pStyle w:val="BodyTextIndent"/>
        <w:rPr>
          <w:rFonts w:cs="Arial"/>
          <w:sz w:val="18"/>
        </w:rPr>
      </w:pPr>
    </w:p>
    <w:p w:rsidR="006A3F93" w:rsidRDefault="006A3F93">
      <w:pPr>
        <w:pStyle w:val="BodyTextIndent"/>
        <w:ind w:left="1620" w:hanging="540"/>
        <w:rPr>
          <w:rFonts w:cs="Arial"/>
          <w:color w:val="984806" w:themeColor="accent6" w:themeShade="80"/>
          <w:sz w:val="20"/>
        </w:rPr>
      </w:pPr>
      <w:r w:rsidRPr="00412620">
        <w:rPr>
          <w:rFonts w:cs="Arial"/>
          <w:sz w:val="20"/>
        </w:rPr>
        <w:t xml:space="preserve">(b) </w:t>
      </w:r>
      <w:r w:rsidRPr="00412620">
        <w:rPr>
          <w:rFonts w:cs="Arial"/>
          <w:sz w:val="20"/>
        </w:rPr>
        <w:tab/>
        <w:t>in other cases, at the time the amount is actually paid</w:t>
      </w:r>
      <w:r w:rsidR="006420B7">
        <w:rPr>
          <w:rFonts w:cs="Arial"/>
          <w:sz w:val="20"/>
        </w:rPr>
        <w:t xml:space="preserve"> </w:t>
      </w:r>
      <w:r w:rsidR="000A0ED0" w:rsidRPr="006420B7">
        <w:rPr>
          <w:rStyle w:val="FootnoteReference"/>
          <w:rFonts w:cs="Arial"/>
          <w:color w:val="000000" w:themeColor="text1"/>
          <w:sz w:val="20"/>
        </w:rPr>
        <w:footnoteReference w:id="1047"/>
      </w:r>
      <w:r w:rsidR="00BC4C9C" w:rsidRPr="006420B7">
        <w:rPr>
          <w:rFonts w:cs="Arial"/>
          <w:color w:val="000000" w:themeColor="text1"/>
          <w:sz w:val="20"/>
        </w:rPr>
        <w:t>[;and</w:t>
      </w:r>
      <w:r w:rsidRPr="006420B7">
        <w:rPr>
          <w:rFonts w:cs="Arial"/>
          <w:color w:val="000000" w:themeColor="text1"/>
          <w:sz w:val="20"/>
        </w:rPr>
        <w:t>]</w:t>
      </w:r>
    </w:p>
    <w:p w:rsidR="000A0ED0" w:rsidRDefault="000A0ED0">
      <w:pPr>
        <w:pStyle w:val="BodyTextIndent"/>
        <w:ind w:left="1620" w:hanging="540"/>
        <w:rPr>
          <w:rFonts w:cs="Arial"/>
          <w:b/>
          <w:sz w:val="20"/>
        </w:rPr>
      </w:pPr>
    </w:p>
    <w:p w:rsidR="000A0ED0" w:rsidRPr="006420B7" w:rsidRDefault="000A0ED0" w:rsidP="000A0ED0">
      <w:pPr>
        <w:autoSpaceDE w:val="0"/>
        <w:autoSpaceDN w:val="0"/>
        <w:adjustRightInd w:val="0"/>
        <w:ind w:left="1620" w:hanging="540"/>
        <w:jc w:val="both"/>
        <w:rPr>
          <w:rFonts w:cs="Arial"/>
          <w:color w:val="000000" w:themeColor="text1"/>
          <w:sz w:val="20"/>
        </w:rPr>
      </w:pPr>
      <w:r w:rsidRPr="006420B7">
        <w:rPr>
          <w:rStyle w:val="FootnoteReference"/>
          <w:rFonts w:cs="Arial"/>
          <w:color w:val="000000" w:themeColor="text1"/>
          <w:sz w:val="20"/>
        </w:rPr>
        <w:footnoteReference w:id="1048"/>
      </w:r>
      <w:r w:rsidRPr="006420B7">
        <w:rPr>
          <w:rFonts w:cs="Arial"/>
          <w:color w:val="000000" w:themeColor="text1"/>
          <w:sz w:val="20"/>
        </w:rPr>
        <w:t>[“(c)</w:t>
      </w:r>
      <w:r w:rsidRPr="006420B7">
        <w:rPr>
          <w:rFonts w:cs="Arial"/>
          <w:color w:val="000000" w:themeColor="text1"/>
          <w:sz w:val="20"/>
          <w:lang w:val="en-US"/>
        </w:rPr>
        <w:t xml:space="preserve"> amount actually paid shall have the meaning as may be prescribed.”;]</w:t>
      </w:r>
    </w:p>
    <w:p w:rsidR="006A3F93" w:rsidRPr="006420B7" w:rsidRDefault="006A3F93">
      <w:pPr>
        <w:pStyle w:val="BodyTextIndent"/>
        <w:rPr>
          <w:rFonts w:cs="Arial"/>
          <w:color w:val="000000" w:themeColor="text1"/>
          <w:sz w:val="18"/>
        </w:rPr>
      </w:pPr>
    </w:p>
    <w:p w:rsidR="006E7D08" w:rsidRPr="00412620" w:rsidRDefault="006E7D08">
      <w:pPr>
        <w:pStyle w:val="BodyTextIndent"/>
        <w:rPr>
          <w:rFonts w:cs="Arial"/>
          <w:sz w:val="18"/>
        </w:rPr>
      </w:pPr>
    </w:p>
    <w:p w:rsidR="006A3F93" w:rsidRPr="00412620" w:rsidRDefault="006A3F93">
      <w:pPr>
        <w:pStyle w:val="Heading2"/>
        <w:spacing w:line="240" w:lineRule="auto"/>
        <w:rPr>
          <w:rFonts w:cs="Arial"/>
          <w:sz w:val="28"/>
        </w:rPr>
      </w:pPr>
      <w:r w:rsidRPr="00412620">
        <w:rPr>
          <w:rFonts w:cs="Arial"/>
          <w:sz w:val="28"/>
        </w:rPr>
        <w:lastRenderedPageBreak/>
        <w:t>Division IV</w:t>
      </w:r>
    </w:p>
    <w:p w:rsidR="006A3F93" w:rsidRPr="00412620" w:rsidRDefault="006A3F93">
      <w:pPr>
        <w:keepNext/>
        <w:jc w:val="center"/>
        <w:rPr>
          <w:rFonts w:cs="Arial"/>
          <w:b/>
          <w:sz w:val="20"/>
        </w:rPr>
      </w:pPr>
      <w:r w:rsidRPr="00412620">
        <w:rPr>
          <w:rFonts w:cs="Arial"/>
          <w:b/>
          <w:sz w:val="20"/>
        </w:rPr>
        <w:t>General Provisions Relating to the Advance Payment of Tax or the Deduction of Tax at Source</w:t>
      </w:r>
    </w:p>
    <w:p w:rsidR="006A3F93" w:rsidRPr="00412620" w:rsidRDefault="006A3F93">
      <w:pPr>
        <w:pStyle w:val="Header"/>
        <w:keepNext/>
        <w:tabs>
          <w:tab w:val="left" w:pos="547"/>
        </w:tabs>
        <w:rPr>
          <w:rFonts w:cs="Arial"/>
          <w:sz w:val="18"/>
        </w:rPr>
      </w:pPr>
    </w:p>
    <w:p w:rsidR="006A3F93" w:rsidRPr="00412620" w:rsidRDefault="006A3F93">
      <w:pPr>
        <w:jc w:val="both"/>
        <w:rPr>
          <w:sz w:val="20"/>
        </w:rPr>
      </w:pPr>
      <w:r w:rsidRPr="00412620">
        <w:rPr>
          <w:rFonts w:cs="Arial"/>
          <w:b/>
          <w:sz w:val="20"/>
        </w:rPr>
        <w:t>159.</w:t>
      </w:r>
      <w:r w:rsidRPr="00412620">
        <w:rPr>
          <w:rFonts w:cs="Arial"/>
          <w:b/>
          <w:sz w:val="20"/>
        </w:rPr>
        <w:tab/>
        <w:t xml:space="preserve"> Exemption or lower rate certificate.</w:t>
      </w:r>
      <w:r w:rsidR="003504B5" w:rsidRPr="00412620">
        <w:rPr>
          <w:rFonts w:cs="Arial"/>
          <w:sz w:val="20"/>
        </w:rPr>
        <w:t>—</w:t>
      </w:r>
      <w:r w:rsidRPr="00412620">
        <w:rPr>
          <w:sz w:val="20"/>
        </w:rPr>
        <w:t xml:space="preserve"> (1)  Where the Commissioner is satisfied that an amount </w:t>
      </w:r>
      <w:r w:rsidRPr="00412620">
        <w:rPr>
          <w:rStyle w:val="FootnoteReference"/>
          <w:sz w:val="20"/>
        </w:rPr>
        <w:footnoteReference w:id="1049"/>
      </w:r>
      <w:r w:rsidRPr="00412620">
        <w:rPr>
          <w:sz w:val="20"/>
        </w:rPr>
        <w:t xml:space="preserve">[  ] to which Division II or III of this Part </w:t>
      </w:r>
      <w:r w:rsidRPr="00412620">
        <w:rPr>
          <w:rStyle w:val="FootnoteReference"/>
          <w:sz w:val="20"/>
        </w:rPr>
        <w:footnoteReference w:id="1050"/>
      </w:r>
      <w:r w:rsidRPr="00412620">
        <w:rPr>
          <w:sz w:val="20"/>
        </w:rPr>
        <w:t>[or Chapter XII] applies is –</w:t>
      </w:r>
    </w:p>
    <w:p w:rsidR="006A3F93" w:rsidRPr="00412620" w:rsidRDefault="006A3F93">
      <w:pPr>
        <w:jc w:val="both"/>
        <w:rPr>
          <w:rFonts w:cs="Arial"/>
          <w:sz w:val="18"/>
        </w:rPr>
      </w:pPr>
    </w:p>
    <w:p w:rsidR="006A3F93" w:rsidRPr="00412620" w:rsidRDefault="006A3F93">
      <w:pPr>
        <w:ind w:left="1094"/>
        <w:jc w:val="both"/>
        <w:rPr>
          <w:rFonts w:cs="Arial"/>
          <w:sz w:val="20"/>
        </w:rPr>
      </w:pPr>
      <w:r w:rsidRPr="00412620">
        <w:rPr>
          <w:rFonts w:cs="Arial"/>
          <w:sz w:val="20"/>
        </w:rPr>
        <w:t>(a)</w:t>
      </w:r>
      <w:r w:rsidRPr="00412620">
        <w:rPr>
          <w:rFonts w:cs="Arial"/>
          <w:sz w:val="20"/>
        </w:rPr>
        <w:tab/>
        <w:t>exempt from tax under this Ordinance; or</w:t>
      </w:r>
    </w:p>
    <w:p w:rsidR="006A3F93" w:rsidRPr="00412620" w:rsidRDefault="006A3F93">
      <w:pPr>
        <w:jc w:val="both"/>
        <w:rPr>
          <w:rFonts w:cs="Arial"/>
          <w:sz w:val="18"/>
        </w:rPr>
      </w:pPr>
    </w:p>
    <w:p w:rsidR="006A3F93" w:rsidRPr="000561B5" w:rsidRDefault="006A3F93">
      <w:pPr>
        <w:ind w:left="1641" w:hanging="568"/>
        <w:jc w:val="both"/>
        <w:rPr>
          <w:rFonts w:cs="Arial"/>
          <w:color w:val="00B0F0"/>
          <w:sz w:val="20"/>
        </w:rPr>
      </w:pPr>
      <w:r w:rsidRPr="00412620">
        <w:rPr>
          <w:rFonts w:cs="Arial"/>
          <w:sz w:val="20"/>
        </w:rPr>
        <w:t>(b)</w:t>
      </w:r>
      <w:r w:rsidRPr="00412620">
        <w:rPr>
          <w:rFonts w:cs="Arial"/>
          <w:sz w:val="20"/>
        </w:rPr>
        <w:tab/>
        <w:t xml:space="preserve">subject to tax at a rate lower than that </w:t>
      </w:r>
      <w:r w:rsidR="004E46B2">
        <w:rPr>
          <w:rFonts w:cs="Arial"/>
          <w:sz w:val="20"/>
        </w:rPr>
        <w:t xml:space="preserve">specified in the First </w:t>
      </w:r>
      <w:r w:rsidR="004E46B2" w:rsidRPr="00E122F6">
        <w:rPr>
          <w:rFonts w:cs="Arial"/>
          <w:color w:val="000000" w:themeColor="text1"/>
          <w:sz w:val="20"/>
        </w:rPr>
        <w:t xml:space="preserve">Schedule </w:t>
      </w:r>
      <w:r w:rsidR="004E46B2" w:rsidRPr="00E122F6">
        <w:rPr>
          <w:rStyle w:val="FootnoteReference"/>
          <w:rFonts w:cs="Arial"/>
          <w:color w:val="000000" w:themeColor="text1"/>
          <w:sz w:val="20"/>
        </w:rPr>
        <w:footnoteReference w:id="1051"/>
      </w:r>
      <w:r w:rsidR="004E46B2" w:rsidRPr="00E122F6">
        <w:rPr>
          <w:rFonts w:cs="Arial"/>
          <w:color w:val="000000" w:themeColor="text1"/>
          <w:sz w:val="20"/>
        </w:rPr>
        <w:t>[; or</w:t>
      </w:r>
    </w:p>
    <w:p w:rsidR="004E46B2" w:rsidRPr="00E122F6" w:rsidRDefault="004E46B2">
      <w:pPr>
        <w:ind w:left="1641" w:hanging="568"/>
        <w:jc w:val="both"/>
        <w:rPr>
          <w:rFonts w:cs="Arial"/>
          <w:color w:val="000000" w:themeColor="text1"/>
          <w:sz w:val="20"/>
        </w:rPr>
      </w:pPr>
      <w:r w:rsidRPr="00E122F6">
        <w:rPr>
          <w:rFonts w:cs="Arial"/>
          <w:color w:val="000000" w:themeColor="text1"/>
          <w:sz w:val="20"/>
        </w:rPr>
        <w:t>(c)</w:t>
      </w:r>
      <w:r w:rsidRPr="00E122F6">
        <w:rPr>
          <w:rFonts w:cs="Arial"/>
          <w:color w:val="000000" w:themeColor="text1"/>
          <w:sz w:val="20"/>
        </w:rPr>
        <w:tab/>
        <w:t>is subject to hundred percent tax credit under section 100C</w:t>
      </w:r>
      <w:r w:rsidR="000561B5" w:rsidRPr="00E122F6">
        <w:rPr>
          <w:rFonts w:cs="Arial"/>
          <w:color w:val="000000" w:themeColor="text1"/>
          <w:sz w:val="20"/>
        </w:rPr>
        <w:t>, ]</w:t>
      </w:r>
    </w:p>
    <w:p w:rsidR="006A3F93" w:rsidRPr="00E122F6" w:rsidRDefault="006A3F93">
      <w:pPr>
        <w:jc w:val="both"/>
        <w:rPr>
          <w:rFonts w:cs="Arial"/>
          <w:color w:val="000000" w:themeColor="text1"/>
          <w:sz w:val="20"/>
        </w:rPr>
      </w:pPr>
    </w:p>
    <w:p w:rsidR="006A3F93" w:rsidRPr="00412620" w:rsidRDefault="006A3F93">
      <w:pPr>
        <w:jc w:val="both"/>
        <w:rPr>
          <w:rFonts w:cs="Arial"/>
          <w:sz w:val="20"/>
        </w:rPr>
      </w:pPr>
      <w:r w:rsidRPr="00412620">
        <w:rPr>
          <w:rFonts w:cs="Arial"/>
          <w:sz w:val="20"/>
        </w:rPr>
        <w:t>the Commissioner shall, upon application in writing by the person, issue the person with an exemption or lower rate certificate.</w:t>
      </w:r>
    </w:p>
    <w:p w:rsidR="006A3F93" w:rsidRPr="00412620" w:rsidRDefault="006A3F93">
      <w:pPr>
        <w:jc w:val="both"/>
        <w:rPr>
          <w:rFonts w:cs="Arial"/>
          <w:sz w:val="20"/>
        </w:rPr>
      </w:pPr>
    </w:p>
    <w:p w:rsidR="006A3F93" w:rsidRPr="00412620" w:rsidRDefault="006A3F93" w:rsidP="00B71805">
      <w:pPr>
        <w:ind w:firstLine="547"/>
        <w:jc w:val="both"/>
        <w:rPr>
          <w:rFonts w:cs="Arial"/>
          <w:sz w:val="20"/>
        </w:rPr>
      </w:pPr>
      <w:r w:rsidRPr="00412620">
        <w:rPr>
          <w:rStyle w:val="FootnoteReference"/>
          <w:rFonts w:cs="Arial"/>
          <w:sz w:val="20"/>
        </w:rPr>
        <w:footnoteReference w:id="1052"/>
      </w:r>
      <w:r w:rsidRPr="00412620">
        <w:rPr>
          <w:rFonts w:cs="Arial"/>
          <w:sz w:val="20"/>
        </w:rPr>
        <w:t>[(1A)</w:t>
      </w:r>
      <w:r w:rsidRPr="00412620">
        <w:rPr>
          <w:rFonts w:cs="Arial"/>
          <w:sz w:val="20"/>
        </w:rPr>
        <w:tab/>
        <w:t xml:space="preserve">The Commissioner shall, upon application from a person whose income is not likely to be chargeable to tax under </w:t>
      </w:r>
      <w:r w:rsidRPr="00412620">
        <w:rPr>
          <w:rStyle w:val="FootnoteReference"/>
          <w:rFonts w:cs="Arial"/>
          <w:sz w:val="20"/>
        </w:rPr>
        <w:footnoteReference w:id="1053"/>
      </w:r>
      <w:r w:rsidRPr="00412620">
        <w:rPr>
          <w:rFonts w:cs="Arial"/>
          <w:sz w:val="20"/>
        </w:rPr>
        <w:t>[  ] this Ordinance, issue exemption certificate for the profit on debt referred to in clause (c) of sub-section (1) of section 151.]</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 person required to collect advance tax under Division II of this Part or deduct tax from a payment under Division III of this Part </w:t>
      </w:r>
      <w:r w:rsidRPr="00412620">
        <w:rPr>
          <w:rStyle w:val="FootnoteReference"/>
          <w:rFonts w:cs="Arial"/>
          <w:sz w:val="20"/>
        </w:rPr>
        <w:footnoteReference w:id="1054"/>
      </w:r>
      <w:r w:rsidRPr="00412620">
        <w:rPr>
          <w:rFonts w:cs="Arial"/>
          <w:sz w:val="20"/>
        </w:rPr>
        <w:t xml:space="preserve">[or deduct or collect tax under Chapter XII] shall collect or deduct the full amount of tax specified in Division II or III </w:t>
      </w:r>
      <w:r w:rsidRPr="00412620">
        <w:rPr>
          <w:rStyle w:val="FootnoteReference"/>
          <w:rFonts w:cs="Arial"/>
          <w:sz w:val="20"/>
        </w:rPr>
        <w:footnoteReference w:id="1055"/>
      </w:r>
      <w:r w:rsidRPr="00412620">
        <w:rPr>
          <w:rFonts w:cs="Arial"/>
          <w:sz w:val="20"/>
        </w:rPr>
        <w:t xml:space="preserve">[or Chapter XII], as the case may be, unless there is in force a certificate issued under sub-section (1) relating to the collection or deduction of such tax, in which case the person shall comply with the certificate. </w:t>
      </w:r>
    </w:p>
    <w:p w:rsidR="006A3F93" w:rsidRPr="00412620" w:rsidRDefault="006A3F93">
      <w:pPr>
        <w:jc w:val="both"/>
        <w:rPr>
          <w:rFonts w:cs="Arial"/>
          <w:sz w:val="20"/>
        </w:rPr>
      </w:pPr>
    </w:p>
    <w:p w:rsidR="00116194" w:rsidRPr="006420B7" w:rsidRDefault="005349A1" w:rsidP="00B71805">
      <w:pPr>
        <w:spacing w:before="120" w:after="120"/>
        <w:ind w:firstLine="7"/>
        <w:jc w:val="both"/>
        <w:rPr>
          <w:rFonts w:cs="Arial"/>
          <w:color w:val="000000" w:themeColor="text1"/>
          <w:sz w:val="20"/>
        </w:rPr>
      </w:pPr>
      <w:r w:rsidRPr="00412620">
        <w:rPr>
          <w:rFonts w:cs="Arial"/>
          <w:sz w:val="20"/>
        </w:rPr>
        <w:tab/>
      </w:r>
      <w:r w:rsidR="00EB760C" w:rsidRPr="006420B7">
        <w:rPr>
          <w:rStyle w:val="FootnoteReference"/>
          <w:rFonts w:cs="Arial"/>
          <w:color w:val="000000" w:themeColor="text1"/>
          <w:sz w:val="20"/>
        </w:rPr>
        <w:footnoteReference w:id="1056"/>
      </w:r>
      <w:r w:rsidRPr="006420B7">
        <w:rPr>
          <w:rFonts w:cs="Arial"/>
          <w:color w:val="000000" w:themeColor="text1"/>
          <w:sz w:val="20"/>
        </w:rPr>
        <w:t>[</w:t>
      </w:r>
      <w:r w:rsidR="006420B7">
        <w:rPr>
          <w:rFonts w:cs="Arial"/>
          <w:color w:val="000000" w:themeColor="text1"/>
          <w:sz w:val="20"/>
        </w:rPr>
        <w:t xml:space="preserve"> </w:t>
      </w:r>
      <w:r w:rsidR="00B71805" w:rsidRPr="006420B7">
        <w:rPr>
          <w:rStyle w:val="FootnoteReference"/>
          <w:rFonts w:cs="Arial"/>
          <w:color w:val="000000" w:themeColor="text1"/>
          <w:sz w:val="20"/>
        </w:rPr>
        <w:footnoteReference w:id="1057"/>
      </w:r>
      <w:r w:rsidR="00B71805" w:rsidRPr="006420B7">
        <w:rPr>
          <w:rFonts w:cs="Arial"/>
          <w:color w:val="000000" w:themeColor="text1"/>
          <w:sz w:val="20"/>
        </w:rPr>
        <w:t>[   ]</w:t>
      </w:r>
    </w:p>
    <w:p w:rsidR="00B71805" w:rsidRPr="006420B7" w:rsidRDefault="00B71805" w:rsidP="00B71805">
      <w:pPr>
        <w:spacing w:before="120" w:after="120"/>
        <w:ind w:firstLine="7"/>
        <w:jc w:val="both"/>
        <w:rPr>
          <w:rFonts w:cs="Arial"/>
          <w:color w:val="000000" w:themeColor="text1"/>
          <w:sz w:val="20"/>
        </w:rPr>
      </w:pPr>
      <w:r w:rsidRPr="006420B7">
        <w:rPr>
          <w:rFonts w:cs="Arial"/>
          <w:color w:val="000000" w:themeColor="text1"/>
          <w:sz w:val="20"/>
        </w:rPr>
        <w:tab/>
      </w:r>
      <w:r w:rsidR="0055557B" w:rsidRPr="006420B7">
        <w:rPr>
          <w:rStyle w:val="FootnoteReference"/>
          <w:rFonts w:cs="Arial"/>
          <w:color w:val="000000" w:themeColor="text1"/>
          <w:sz w:val="20"/>
        </w:rPr>
        <w:footnoteReference w:id="1058"/>
      </w:r>
      <w:r w:rsidRPr="006420B7">
        <w:rPr>
          <w:rFonts w:cs="Arial"/>
          <w:color w:val="000000" w:themeColor="text1"/>
          <w:sz w:val="20"/>
        </w:rPr>
        <w:t>[</w:t>
      </w:r>
      <w:r w:rsidR="0055557B" w:rsidRPr="006420B7">
        <w:rPr>
          <w:rFonts w:cs="Arial"/>
          <w:color w:val="000000" w:themeColor="text1"/>
          <w:sz w:val="20"/>
        </w:rPr>
        <w:t xml:space="preserve"> </w:t>
      </w:r>
      <w:r w:rsidR="006420B7">
        <w:rPr>
          <w:rFonts w:cs="Arial"/>
          <w:color w:val="000000" w:themeColor="text1"/>
          <w:sz w:val="20"/>
        </w:rPr>
        <w:t xml:space="preserve">  </w:t>
      </w:r>
      <w:r w:rsidR="0055557B" w:rsidRPr="006420B7">
        <w:rPr>
          <w:rFonts w:cs="Arial"/>
          <w:color w:val="000000" w:themeColor="text1"/>
          <w:sz w:val="20"/>
        </w:rPr>
        <w:t xml:space="preserve"> ]</w:t>
      </w:r>
    </w:p>
    <w:p w:rsidR="0055557B" w:rsidRPr="006420B7" w:rsidRDefault="0055557B" w:rsidP="00B71805">
      <w:pPr>
        <w:spacing w:before="120" w:after="120"/>
        <w:ind w:firstLine="7"/>
        <w:jc w:val="both"/>
        <w:rPr>
          <w:rFonts w:cs="Arial"/>
          <w:color w:val="000000" w:themeColor="text1"/>
          <w:sz w:val="20"/>
        </w:rPr>
      </w:pPr>
      <w:r w:rsidRPr="006420B7">
        <w:rPr>
          <w:rFonts w:cs="Arial"/>
          <w:color w:val="000000" w:themeColor="text1"/>
          <w:sz w:val="20"/>
        </w:rPr>
        <w:lastRenderedPageBreak/>
        <w:tab/>
      </w:r>
      <w:r w:rsidRPr="006420B7">
        <w:rPr>
          <w:rStyle w:val="FootnoteReference"/>
          <w:rFonts w:cs="Arial"/>
          <w:color w:val="000000" w:themeColor="text1"/>
          <w:sz w:val="20"/>
        </w:rPr>
        <w:footnoteReference w:id="1059"/>
      </w:r>
      <w:r w:rsidRPr="006420B7">
        <w:rPr>
          <w:rFonts w:cs="Arial"/>
          <w:color w:val="000000" w:themeColor="text1"/>
          <w:sz w:val="20"/>
        </w:rPr>
        <w:t>[     ]</w:t>
      </w:r>
      <w:r w:rsidR="00E122F6" w:rsidRPr="006420B7">
        <w:rPr>
          <w:rFonts w:cs="Arial"/>
          <w:color w:val="000000" w:themeColor="text1"/>
          <w:sz w:val="20"/>
        </w:rPr>
        <w:t xml:space="preserve"> </w:t>
      </w:r>
      <w:r w:rsidR="00A368A6" w:rsidRPr="006420B7">
        <w:rPr>
          <w:rFonts w:cs="Arial"/>
          <w:color w:val="000000" w:themeColor="text1"/>
          <w:sz w:val="20"/>
        </w:rPr>
        <w:t>]</w:t>
      </w:r>
    </w:p>
    <w:p w:rsidR="00EF1C74" w:rsidRPr="00EF1C74" w:rsidRDefault="00AD0647" w:rsidP="00EF1C74">
      <w:pPr>
        <w:autoSpaceDE w:val="0"/>
        <w:autoSpaceDN w:val="0"/>
        <w:adjustRightInd w:val="0"/>
        <w:ind w:firstLine="547"/>
        <w:jc w:val="both"/>
        <w:rPr>
          <w:rFonts w:cs="Arial"/>
          <w:color w:val="984806" w:themeColor="accent6" w:themeShade="80"/>
          <w:sz w:val="20"/>
        </w:rPr>
      </w:pPr>
      <w:r w:rsidRPr="006420B7">
        <w:rPr>
          <w:rStyle w:val="FootnoteReference"/>
          <w:rFonts w:cs="Arial"/>
          <w:color w:val="000000" w:themeColor="text1"/>
          <w:sz w:val="20"/>
          <w:lang w:val="en-US"/>
        </w:rPr>
        <w:footnoteReference w:id="1060"/>
      </w:r>
      <w:r w:rsidR="00EF1C74" w:rsidRPr="006420B7">
        <w:rPr>
          <w:rFonts w:cs="Arial"/>
          <w:color w:val="000000" w:themeColor="text1"/>
          <w:sz w:val="20"/>
          <w:lang w:val="en-US"/>
        </w:rPr>
        <w:t>[(6) Notwithstanding omission of sub-sections (3), (4) and (5), any notification issued under the said sub-sections and for the time being in force,</w:t>
      </w:r>
      <w:r w:rsidR="00EF1C74" w:rsidRPr="00EF1C74">
        <w:rPr>
          <w:rFonts w:cs="Arial"/>
          <w:color w:val="984806" w:themeColor="accent6" w:themeShade="80"/>
          <w:sz w:val="20"/>
          <w:lang w:val="en-US"/>
        </w:rPr>
        <w:t xml:space="preserve"> shall continue to remain in force, unless rescinded by the Board through notific</w:t>
      </w:r>
      <w:r w:rsidR="00601B1B">
        <w:rPr>
          <w:rFonts w:cs="Arial"/>
          <w:color w:val="984806" w:themeColor="accent6" w:themeShade="80"/>
          <w:sz w:val="20"/>
          <w:lang w:val="en-US"/>
        </w:rPr>
        <w:t>ation in the official Gazette.”</w:t>
      </w:r>
      <w:r w:rsidR="00EF1C74" w:rsidRPr="00EF1C74">
        <w:rPr>
          <w:rFonts w:cs="Arial"/>
          <w:color w:val="984806" w:themeColor="accent6" w:themeShade="80"/>
          <w:sz w:val="20"/>
          <w:lang w:val="en-US"/>
        </w:rPr>
        <w:t>]</w:t>
      </w:r>
    </w:p>
    <w:p w:rsidR="00116194" w:rsidRPr="00412620" w:rsidRDefault="00116194">
      <w:pPr>
        <w:jc w:val="both"/>
        <w:rPr>
          <w:rFonts w:cs="Arial"/>
          <w:sz w:val="20"/>
        </w:rPr>
      </w:pPr>
    </w:p>
    <w:p w:rsidR="006A3F93" w:rsidRPr="00412620" w:rsidRDefault="006A3F93">
      <w:pPr>
        <w:jc w:val="both"/>
        <w:rPr>
          <w:sz w:val="20"/>
        </w:rPr>
      </w:pPr>
      <w:r w:rsidRPr="00412620">
        <w:rPr>
          <w:rFonts w:cs="Arial"/>
          <w:b/>
          <w:sz w:val="20"/>
        </w:rPr>
        <w:t>160.</w:t>
      </w:r>
      <w:r w:rsidRPr="00412620">
        <w:rPr>
          <w:rFonts w:cs="Arial"/>
          <w:b/>
          <w:sz w:val="20"/>
        </w:rPr>
        <w:tab/>
        <w:t xml:space="preserve"> Payment of tax collected or deducted.</w:t>
      </w:r>
      <w:r w:rsidR="00465880" w:rsidRPr="00412620">
        <w:rPr>
          <w:rFonts w:cs="Arial"/>
          <w:sz w:val="20"/>
        </w:rPr>
        <w:t>—</w:t>
      </w:r>
      <w:r w:rsidRPr="00412620">
        <w:rPr>
          <w:sz w:val="20"/>
        </w:rPr>
        <w:t xml:space="preserve"> Any tax that has been collected or purported to be collected under Division II of this Part or deducted or purported to be deducted under Division III of this Part </w:t>
      </w:r>
      <w:r w:rsidRPr="00412620">
        <w:rPr>
          <w:rStyle w:val="FootnoteReference"/>
          <w:sz w:val="20"/>
        </w:rPr>
        <w:footnoteReference w:id="1061"/>
      </w:r>
      <w:r w:rsidRPr="00412620">
        <w:rPr>
          <w:sz w:val="20"/>
        </w:rPr>
        <w:t xml:space="preserve">[or deducted or collected, or purported to be deducted or collected under Chapter XII] shall be paid to the Commissioner by the person making the collection or deduction within the time and in the manner as may be prescribed. </w:t>
      </w:r>
    </w:p>
    <w:p w:rsidR="006A3F93" w:rsidRPr="00412620" w:rsidRDefault="006A3F93">
      <w:pPr>
        <w:pStyle w:val="CommentText"/>
        <w:rPr>
          <w:rFonts w:cs="Arial"/>
        </w:rPr>
      </w:pPr>
    </w:p>
    <w:p w:rsidR="006A3F93" w:rsidRPr="00412620" w:rsidRDefault="006A3F93">
      <w:pPr>
        <w:jc w:val="both"/>
        <w:rPr>
          <w:sz w:val="20"/>
        </w:rPr>
      </w:pPr>
      <w:r w:rsidRPr="00412620">
        <w:rPr>
          <w:rFonts w:cs="Arial"/>
          <w:b/>
          <w:sz w:val="20"/>
        </w:rPr>
        <w:t>161.</w:t>
      </w:r>
      <w:r w:rsidRPr="00412620">
        <w:rPr>
          <w:rFonts w:cs="Arial"/>
          <w:b/>
          <w:sz w:val="20"/>
        </w:rPr>
        <w:tab/>
        <w:t xml:space="preserve"> Failure to pay tax collected or deducted.</w:t>
      </w:r>
      <w:r w:rsidR="00465880" w:rsidRPr="00412620">
        <w:rPr>
          <w:rFonts w:cs="Arial"/>
          <w:sz w:val="20"/>
        </w:rPr>
        <w:t>—</w:t>
      </w:r>
      <w:r w:rsidRPr="00412620">
        <w:rPr>
          <w:sz w:val="20"/>
        </w:rPr>
        <w:t xml:space="preserve"> (1)  Where a person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fails to collect tax as required under Division II of this Part </w:t>
      </w:r>
      <w:r w:rsidRPr="00412620">
        <w:rPr>
          <w:rStyle w:val="FootnoteReference"/>
          <w:rFonts w:cs="Arial"/>
          <w:sz w:val="20"/>
        </w:rPr>
        <w:footnoteReference w:id="1062"/>
      </w:r>
      <w:r w:rsidRPr="00412620">
        <w:rPr>
          <w:rFonts w:cs="Arial"/>
          <w:sz w:val="20"/>
        </w:rPr>
        <w:t xml:space="preserve">[or Chapter XII] or deduct tax from a payment as required under Division III of this Part </w:t>
      </w:r>
      <w:r w:rsidRPr="00412620">
        <w:rPr>
          <w:rStyle w:val="FootnoteReference"/>
          <w:rFonts w:cs="Arial"/>
          <w:sz w:val="20"/>
        </w:rPr>
        <w:footnoteReference w:id="1063"/>
      </w:r>
      <w:r w:rsidRPr="00412620">
        <w:rPr>
          <w:rFonts w:cs="Arial"/>
          <w:sz w:val="20"/>
        </w:rPr>
        <w:t xml:space="preserve">[or Chapter XII] </w:t>
      </w:r>
      <w:r w:rsidRPr="00412620">
        <w:rPr>
          <w:rStyle w:val="FootnoteReference"/>
          <w:rFonts w:cs="Arial"/>
          <w:sz w:val="20"/>
        </w:rPr>
        <w:footnoteReference w:id="1064"/>
      </w:r>
      <w:r w:rsidRPr="00412620">
        <w:rPr>
          <w:rFonts w:cs="Arial"/>
          <w:sz w:val="20"/>
        </w:rPr>
        <w:t>[or as required under section 50 of the repealed Ordinance]; or</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having collected tax under Division II of this Part </w:t>
      </w:r>
      <w:r w:rsidRPr="00412620">
        <w:rPr>
          <w:rStyle w:val="FootnoteReference"/>
          <w:rFonts w:cs="Arial"/>
          <w:sz w:val="20"/>
        </w:rPr>
        <w:footnoteReference w:id="1065"/>
      </w:r>
      <w:r w:rsidRPr="00412620">
        <w:rPr>
          <w:rFonts w:cs="Arial"/>
          <w:sz w:val="20"/>
        </w:rPr>
        <w:t xml:space="preserve">[or Chapter XII] or deducted tax under Division III of this Part </w:t>
      </w:r>
      <w:r w:rsidRPr="00412620">
        <w:rPr>
          <w:rStyle w:val="FootnoteReference"/>
          <w:rFonts w:cs="Arial"/>
          <w:sz w:val="20"/>
        </w:rPr>
        <w:footnoteReference w:id="1066"/>
      </w:r>
      <w:r w:rsidRPr="00412620">
        <w:rPr>
          <w:rFonts w:cs="Arial"/>
          <w:sz w:val="20"/>
        </w:rPr>
        <w:t xml:space="preserve">[or Chapter XII] fails to pay the tax to the Commissioner as required under section 160, </w:t>
      </w:r>
      <w:r w:rsidRPr="00412620">
        <w:rPr>
          <w:rStyle w:val="FootnoteReference"/>
          <w:rFonts w:cs="Arial"/>
          <w:sz w:val="20"/>
        </w:rPr>
        <w:footnoteReference w:id="1067"/>
      </w:r>
      <w:r w:rsidRPr="00412620">
        <w:rPr>
          <w:rFonts w:cs="Arial"/>
          <w:sz w:val="20"/>
        </w:rPr>
        <w:t>[or having collected tax under section 50 of the repealed Ordinance pay to the credit of the Federal Government as required under sub-section (8) of section 50 of the repealed Ordinance,]</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lastRenderedPageBreak/>
        <w:t xml:space="preserve">the person shall be personally liable to pay the amount of tax to the Commissioner </w:t>
      </w:r>
      <w:r w:rsidRPr="00412620">
        <w:rPr>
          <w:rStyle w:val="FootnoteReference"/>
          <w:rFonts w:cs="Arial"/>
          <w:sz w:val="20"/>
        </w:rPr>
        <w:footnoteReference w:id="1068"/>
      </w:r>
      <w:r w:rsidRPr="00412620">
        <w:rPr>
          <w:rFonts w:cs="Arial"/>
          <w:sz w:val="20"/>
        </w:rPr>
        <w:t xml:space="preserve">[who may </w:t>
      </w:r>
      <w:r w:rsidRPr="00412620">
        <w:rPr>
          <w:rStyle w:val="FootnoteReference"/>
          <w:rFonts w:cs="Arial"/>
          <w:sz w:val="20"/>
        </w:rPr>
        <w:footnoteReference w:id="1069"/>
      </w:r>
      <w:r w:rsidRPr="00412620">
        <w:rPr>
          <w:rFonts w:cs="Arial"/>
          <w:sz w:val="20"/>
        </w:rPr>
        <w:t>[pass an order to that effect and] proceed to recover the same.]</w:t>
      </w:r>
    </w:p>
    <w:p w:rsidR="006A3F93" w:rsidRPr="00412620" w:rsidRDefault="006A3F93">
      <w:pPr>
        <w:jc w:val="both"/>
        <w:rPr>
          <w:rFonts w:cs="Arial"/>
          <w:sz w:val="18"/>
        </w:rPr>
      </w:pPr>
    </w:p>
    <w:p w:rsidR="006A3F93" w:rsidRPr="00412620" w:rsidRDefault="006A3F93" w:rsidP="00041BA7">
      <w:pPr>
        <w:ind w:firstLine="547"/>
        <w:jc w:val="both"/>
        <w:rPr>
          <w:rFonts w:cs="Arial"/>
          <w:sz w:val="20"/>
        </w:rPr>
      </w:pPr>
      <w:r w:rsidRPr="00412620">
        <w:rPr>
          <w:rStyle w:val="FootnoteReference"/>
          <w:rFonts w:cs="Arial"/>
          <w:sz w:val="20"/>
        </w:rPr>
        <w:footnoteReference w:id="1070"/>
      </w:r>
      <w:r w:rsidRPr="00412620">
        <w:rPr>
          <w:rFonts w:cs="Arial"/>
          <w:sz w:val="20"/>
        </w:rPr>
        <w:t>[(1A)</w:t>
      </w:r>
      <w:r w:rsidRPr="00412620">
        <w:rPr>
          <w:rFonts w:cs="Arial"/>
          <w:sz w:val="20"/>
        </w:rPr>
        <w:tab/>
        <w:t xml:space="preserve">No recovery under sub-section (1) shall be made unless the person referred to in sub-section (1) has been provided with an opportunity of being heard. </w:t>
      </w:r>
    </w:p>
    <w:p w:rsidR="006A3F93" w:rsidRPr="00412620" w:rsidRDefault="006A3F93">
      <w:pPr>
        <w:jc w:val="both"/>
        <w:rPr>
          <w:rFonts w:cs="Arial"/>
          <w:sz w:val="18"/>
        </w:rPr>
      </w:pPr>
    </w:p>
    <w:p w:rsidR="006A3F93" w:rsidRPr="00412620" w:rsidRDefault="006A3F93">
      <w:pPr>
        <w:pStyle w:val="BodyText3"/>
        <w:widowControl/>
        <w:rPr>
          <w:rFonts w:ascii="Arial" w:hAnsi="Arial"/>
          <w:b/>
          <w:sz w:val="20"/>
          <w:lang w:val="en-AU"/>
        </w:rPr>
      </w:pPr>
      <w:r w:rsidRPr="00412620">
        <w:rPr>
          <w:rFonts w:ascii="Arial" w:hAnsi="Arial"/>
          <w:sz w:val="20"/>
          <w:lang w:val="en-AU"/>
        </w:rPr>
        <w:t xml:space="preserve">         (1B)</w:t>
      </w:r>
      <w:r w:rsidRPr="00412620">
        <w:rPr>
          <w:rFonts w:ascii="Arial" w:hAnsi="Arial"/>
          <w:sz w:val="20"/>
          <w:lang w:val="en-AU"/>
        </w:rPr>
        <w:tab/>
        <w:t xml:space="preserve"> Where at the time of recovery of tax under sub-section (1) it is established that the tax that was to be deducted from the payment made to a person or collected from a person has meanwhile been paid by that person, no recovery shall be made from the person who had failed to collect or deduct the tax but the said person shall be liable to pay </w:t>
      </w:r>
      <w:r w:rsidR="00482D4D" w:rsidRPr="00412620">
        <w:rPr>
          <w:rStyle w:val="FootnoteReference"/>
          <w:rFonts w:ascii="Arial" w:hAnsi="Arial"/>
          <w:sz w:val="20"/>
          <w:lang w:val="en-AU"/>
        </w:rPr>
        <w:footnoteReference w:id="1071"/>
      </w:r>
      <w:r w:rsidR="00482D4D" w:rsidRPr="00412620">
        <w:rPr>
          <w:rFonts w:ascii="Arial" w:hAnsi="Arial"/>
          <w:sz w:val="20"/>
          <w:lang w:val="en-AU"/>
        </w:rPr>
        <w:t>[</w:t>
      </w:r>
      <w:r w:rsidR="00407978" w:rsidRPr="00412620">
        <w:rPr>
          <w:rFonts w:ascii="Arial" w:hAnsi="Arial" w:cs="Arial"/>
          <w:sz w:val="20"/>
        </w:rPr>
        <w:t>default surcharge</w:t>
      </w:r>
      <w:r w:rsidR="00482D4D" w:rsidRPr="00412620">
        <w:rPr>
          <w:rFonts w:ascii="Arial" w:hAnsi="Arial" w:cs="Arial"/>
          <w:sz w:val="20"/>
        </w:rPr>
        <w:t>]</w:t>
      </w:r>
      <w:r w:rsidRPr="00412620">
        <w:rPr>
          <w:rFonts w:ascii="Arial" w:hAnsi="Arial"/>
          <w:sz w:val="20"/>
          <w:lang w:val="en-AU"/>
        </w:rPr>
        <w:t xml:space="preserve">at the rate of </w:t>
      </w:r>
      <w:r w:rsidR="006A7A80" w:rsidRPr="006420B7">
        <w:rPr>
          <w:rStyle w:val="FootnoteReference"/>
          <w:rFonts w:ascii="Arial" w:hAnsi="Arial"/>
          <w:color w:val="000000" w:themeColor="text1"/>
          <w:sz w:val="20"/>
          <w:lang w:val="en-AU"/>
        </w:rPr>
        <w:footnoteReference w:id="1072"/>
      </w:r>
      <w:r w:rsidR="00041BA7" w:rsidRPr="006420B7">
        <w:rPr>
          <w:rFonts w:ascii="Arial" w:hAnsi="Arial"/>
          <w:color w:val="000000" w:themeColor="text1"/>
          <w:sz w:val="20"/>
          <w:lang w:val="en-AU"/>
        </w:rPr>
        <w:t>[“</w:t>
      </w:r>
      <w:r w:rsidR="006A7A80" w:rsidRPr="006420B7">
        <w:rPr>
          <w:rFonts w:ascii="Arial" w:hAnsi="Arial"/>
          <w:color w:val="000000" w:themeColor="text1"/>
          <w:sz w:val="20"/>
          <w:lang w:val="en-AU"/>
        </w:rPr>
        <w:t>twelve</w:t>
      </w:r>
      <w:r w:rsidR="00041BA7" w:rsidRPr="006420B7">
        <w:rPr>
          <w:rFonts w:ascii="Arial" w:hAnsi="Arial"/>
          <w:color w:val="000000" w:themeColor="text1"/>
          <w:sz w:val="20"/>
          <w:lang w:val="en-AU"/>
        </w:rPr>
        <w:t>”]</w:t>
      </w:r>
      <w:r w:rsidR="00E122F6" w:rsidRPr="006420B7">
        <w:rPr>
          <w:rFonts w:ascii="Arial" w:hAnsi="Arial"/>
          <w:color w:val="000000" w:themeColor="text1"/>
          <w:sz w:val="20"/>
          <w:lang w:val="en-AU"/>
        </w:rPr>
        <w:t xml:space="preserve"> </w:t>
      </w:r>
      <w:r w:rsidR="00AB6F06" w:rsidRPr="006420B7">
        <w:rPr>
          <w:rFonts w:ascii="Arial" w:hAnsi="Arial"/>
          <w:color w:val="000000" w:themeColor="text1"/>
          <w:sz w:val="20"/>
          <w:lang w:val="en-AU"/>
        </w:rPr>
        <w:t>per</w:t>
      </w:r>
      <w:r w:rsidR="00AB6F06">
        <w:rPr>
          <w:rFonts w:ascii="Arial" w:hAnsi="Arial"/>
          <w:sz w:val="20"/>
          <w:lang w:val="en-AU"/>
        </w:rPr>
        <w:t xml:space="preserve"> cent</w:t>
      </w:r>
      <w:r w:rsidRPr="00412620">
        <w:rPr>
          <w:rFonts w:ascii="Arial" w:hAnsi="Arial"/>
          <w:sz w:val="20"/>
          <w:lang w:val="en-AU"/>
        </w:rPr>
        <w:t xml:space="preserve"> per annum from the date he failed to collect or deduct the tax to the date the tax was paid.]</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 person personally liable for an amount of tax under sub-section (1) as a result of failing to collect or deduct the tax shall be entitled to recover the tax from the person from whom the tax should have been collected or deducted. </w:t>
      </w:r>
    </w:p>
    <w:p w:rsidR="006A3F93" w:rsidRPr="00412620" w:rsidRDefault="006A3F93">
      <w:pPr>
        <w:jc w:val="both"/>
        <w:rPr>
          <w:rFonts w:cs="Arial"/>
          <w:sz w:val="18"/>
        </w:rPr>
      </w:pPr>
    </w:p>
    <w:p w:rsidR="006A3F93" w:rsidRPr="00412620" w:rsidRDefault="006A3F93">
      <w:pPr>
        <w:jc w:val="both"/>
        <w:rPr>
          <w:sz w:val="20"/>
        </w:rPr>
      </w:pPr>
      <w:r w:rsidRPr="00412620">
        <w:rPr>
          <w:rFonts w:cs="Arial"/>
          <w:b/>
          <w:sz w:val="20"/>
        </w:rPr>
        <w:t>162.</w:t>
      </w:r>
      <w:r w:rsidRPr="00412620">
        <w:rPr>
          <w:rFonts w:cs="Arial"/>
          <w:b/>
          <w:sz w:val="20"/>
        </w:rPr>
        <w:tab/>
        <w:t xml:space="preserve"> Recovery of tax from the person from whom tax was not collected or deducted.</w:t>
      </w:r>
      <w:r w:rsidR="00925E50" w:rsidRPr="00412620">
        <w:rPr>
          <w:rFonts w:cs="Arial"/>
          <w:b/>
          <w:sz w:val="20"/>
        </w:rPr>
        <w:t>—</w:t>
      </w:r>
      <w:r w:rsidRPr="00412620">
        <w:rPr>
          <w:sz w:val="20"/>
        </w:rPr>
        <w:t xml:space="preserve"> (1)  Where a person fails to collect tax as required under Division II of this Part </w:t>
      </w:r>
      <w:r w:rsidRPr="00412620">
        <w:rPr>
          <w:rStyle w:val="FootnoteReference"/>
          <w:sz w:val="20"/>
        </w:rPr>
        <w:footnoteReference w:id="1073"/>
      </w:r>
      <w:r w:rsidRPr="00412620">
        <w:rPr>
          <w:sz w:val="20"/>
        </w:rPr>
        <w:t xml:space="preserve">[or Chapter XII] or deduct tax from a payment as required under Division III of this Part </w:t>
      </w:r>
      <w:r w:rsidRPr="00412620">
        <w:rPr>
          <w:rStyle w:val="FootnoteReference"/>
          <w:sz w:val="20"/>
        </w:rPr>
        <w:footnoteReference w:id="1074"/>
      </w:r>
      <w:r w:rsidRPr="00412620">
        <w:rPr>
          <w:sz w:val="20"/>
        </w:rPr>
        <w:t xml:space="preserve">[or Chapter XII,] the Commissioner may </w:t>
      </w:r>
      <w:r w:rsidRPr="00412620">
        <w:rPr>
          <w:rStyle w:val="FootnoteReference"/>
          <w:sz w:val="20"/>
        </w:rPr>
        <w:footnoteReference w:id="1075"/>
      </w:r>
      <w:r w:rsidRPr="00412620">
        <w:rPr>
          <w:sz w:val="20"/>
        </w:rPr>
        <w:t xml:space="preserve">[pass an order to that effect and] recover the amount not collected or deducted from the person from whom the tax should have been collected or to whom the payment was made. </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The recovery of tax under sub-section (1) does not absolve the person who failed to deduct tax as required under Division III of this Part </w:t>
      </w:r>
      <w:r w:rsidRPr="00412620">
        <w:rPr>
          <w:rStyle w:val="FootnoteReference"/>
          <w:rFonts w:cs="Arial"/>
          <w:sz w:val="20"/>
        </w:rPr>
        <w:footnoteReference w:id="1076"/>
      </w:r>
      <w:r w:rsidRPr="00412620">
        <w:rPr>
          <w:rFonts w:cs="Arial"/>
          <w:sz w:val="20"/>
        </w:rPr>
        <w:t xml:space="preserve">[or Chapter XII] from any other legal action in relation to the failure, or from a charge of </w:t>
      </w:r>
      <w:r w:rsidR="00482D4D" w:rsidRPr="00412620">
        <w:rPr>
          <w:rStyle w:val="FootnoteReference"/>
          <w:rFonts w:cs="Arial"/>
          <w:sz w:val="20"/>
        </w:rPr>
        <w:footnoteReference w:id="1077"/>
      </w:r>
      <w:r w:rsidR="00482D4D" w:rsidRPr="00412620">
        <w:rPr>
          <w:rFonts w:cs="Arial"/>
          <w:sz w:val="20"/>
        </w:rPr>
        <w:t>[</w:t>
      </w:r>
      <w:r w:rsidR="00407978" w:rsidRPr="00412620">
        <w:rPr>
          <w:rFonts w:cs="Arial"/>
          <w:sz w:val="20"/>
        </w:rPr>
        <w:t>default surcharge</w:t>
      </w:r>
      <w:r w:rsidR="00482D4D" w:rsidRPr="00412620">
        <w:rPr>
          <w:rFonts w:cs="Arial"/>
          <w:sz w:val="20"/>
        </w:rPr>
        <w:t>]</w:t>
      </w:r>
      <w:r w:rsidRPr="00412620">
        <w:rPr>
          <w:rFonts w:cs="Arial"/>
          <w:sz w:val="20"/>
        </w:rPr>
        <w:t xml:space="preserve">or the disallowance of a deduction for the expense to which the failure relates, as provided for under this Ordinance. </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lastRenderedPageBreak/>
        <w:t>163.</w:t>
      </w:r>
      <w:r w:rsidRPr="00412620">
        <w:rPr>
          <w:rFonts w:cs="Arial"/>
          <w:b/>
          <w:sz w:val="20"/>
        </w:rPr>
        <w:tab/>
        <w:t xml:space="preserve"> Recovery of amounts payable under this Division.</w:t>
      </w:r>
      <w:r w:rsidR="00DF7F19" w:rsidRPr="00412620">
        <w:rPr>
          <w:rFonts w:cs="Arial"/>
          <w:sz w:val="20"/>
        </w:rPr>
        <w:t>—</w:t>
      </w:r>
      <w:r w:rsidRPr="00412620">
        <w:rPr>
          <w:sz w:val="20"/>
        </w:rPr>
        <w:t>The provisions of this Ordinance shall apply to any amount required to be paid to the Commissioner under this Division as if it were tax due under an assessment order.</w:t>
      </w:r>
    </w:p>
    <w:p w:rsidR="006A3F93" w:rsidRPr="00412620" w:rsidRDefault="006A3F93">
      <w:pPr>
        <w:rPr>
          <w:rFonts w:cs="Arial"/>
          <w:sz w:val="20"/>
        </w:rPr>
      </w:pPr>
    </w:p>
    <w:p w:rsidR="006A3F93" w:rsidRPr="00412620" w:rsidRDefault="006A3F93">
      <w:pPr>
        <w:jc w:val="both"/>
        <w:rPr>
          <w:sz w:val="20"/>
        </w:rPr>
      </w:pPr>
      <w:r w:rsidRPr="00412620">
        <w:rPr>
          <w:rFonts w:cs="Arial"/>
          <w:b/>
          <w:sz w:val="20"/>
        </w:rPr>
        <w:t>164.</w:t>
      </w:r>
      <w:r w:rsidRPr="00412620">
        <w:rPr>
          <w:rFonts w:cs="Arial"/>
          <w:b/>
          <w:sz w:val="20"/>
        </w:rPr>
        <w:tab/>
        <w:t xml:space="preserve"> Certificate of collection or deduction of tax.</w:t>
      </w:r>
      <w:r w:rsidR="00DF7F19" w:rsidRPr="00412620">
        <w:rPr>
          <w:rFonts w:cs="Arial"/>
          <w:sz w:val="20"/>
        </w:rPr>
        <w:t>—</w:t>
      </w:r>
      <w:r w:rsidRPr="00412620">
        <w:rPr>
          <w:sz w:val="20"/>
        </w:rPr>
        <w:t xml:space="preserve"> (1)  Every person collecting tax under Division II of this Part or deducting tax from a payment under Division III of this Part </w:t>
      </w:r>
      <w:r w:rsidRPr="00412620">
        <w:rPr>
          <w:rStyle w:val="FootnoteReference"/>
          <w:sz w:val="20"/>
        </w:rPr>
        <w:footnoteReference w:id="1078"/>
      </w:r>
      <w:r w:rsidRPr="00412620">
        <w:rPr>
          <w:sz w:val="20"/>
        </w:rPr>
        <w:t xml:space="preserve">[or </w:t>
      </w:r>
      <w:r w:rsidRPr="00412620">
        <w:rPr>
          <w:rStyle w:val="FootnoteReference"/>
          <w:sz w:val="20"/>
        </w:rPr>
        <w:footnoteReference w:id="1079"/>
      </w:r>
      <w:r w:rsidRPr="00412620">
        <w:rPr>
          <w:sz w:val="20"/>
        </w:rPr>
        <w:t xml:space="preserve">[deducting or collecting tax under] Chapter XII] shall, at the time of collection or deduction of the tax, furnish to the person from whom the tax has been collected or to whom the payment from which tax has been deducted has been made, </w:t>
      </w:r>
      <w:r w:rsidR="00757D13" w:rsidRPr="00412620">
        <w:rPr>
          <w:rStyle w:val="FootnoteReference"/>
          <w:sz w:val="20"/>
        </w:rPr>
        <w:footnoteReference w:id="1080"/>
      </w:r>
      <w:r w:rsidR="003D5918" w:rsidRPr="00412620">
        <w:rPr>
          <w:sz w:val="20"/>
        </w:rPr>
        <w:t xml:space="preserve">[copies of the challan of payment </w:t>
      </w:r>
      <w:r w:rsidR="00B5187B" w:rsidRPr="00412620">
        <w:rPr>
          <w:sz w:val="20"/>
        </w:rPr>
        <w:t xml:space="preserve">or any other equivalent document </w:t>
      </w:r>
      <w:r w:rsidR="008B09DB" w:rsidRPr="00412620">
        <w:rPr>
          <w:sz w:val="20"/>
        </w:rPr>
        <w:t>along with</w:t>
      </w:r>
      <w:r w:rsidR="003D5918" w:rsidRPr="00412620">
        <w:rPr>
          <w:sz w:val="20"/>
        </w:rPr>
        <w:t xml:space="preserve">] </w:t>
      </w:r>
      <w:r w:rsidRPr="00412620">
        <w:rPr>
          <w:sz w:val="20"/>
        </w:rPr>
        <w:t xml:space="preserve">a certificate setting out the amount of tax collected or deducted and such other particulars as may </w:t>
      </w:r>
      <w:r w:rsidRPr="00412620">
        <w:rPr>
          <w:rStyle w:val="FootnoteReference"/>
          <w:sz w:val="20"/>
        </w:rPr>
        <w:footnoteReference w:id="1081"/>
      </w:r>
      <w:r w:rsidRPr="00412620">
        <w:rPr>
          <w:sz w:val="20"/>
        </w:rPr>
        <w:t>[  ] be prescribed.</w:t>
      </w:r>
    </w:p>
    <w:p w:rsidR="006A3F93" w:rsidRPr="00412620" w:rsidRDefault="006A3F93">
      <w:pPr>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 person required to furnish a return of taxable income for a tax year shall attach to the return </w:t>
      </w:r>
      <w:r w:rsidR="00A54C10" w:rsidRPr="00412620">
        <w:rPr>
          <w:rStyle w:val="FootnoteReference"/>
          <w:rFonts w:cs="Arial"/>
          <w:sz w:val="20"/>
        </w:rPr>
        <w:footnoteReference w:id="1082"/>
      </w:r>
      <w:r w:rsidR="00A54C10" w:rsidRPr="00412620">
        <w:rPr>
          <w:rFonts w:cs="Arial"/>
          <w:sz w:val="20"/>
        </w:rPr>
        <w:t xml:space="preserve">[copies of the challan of payment on the basis of which a certificate is] </w:t>
      </w:r>
      <w:r w:rsidRPr="00412620">
        <w:rPr>
          <w:rFonts w:cs="Arial"/>
          <w:sz w:val="20"/>
        </w:rPr>
        <w:t xml:space="preserve">provided to the person under this section in respect of tax collected or deducted in that year </w:t>
      </w:r>
      <w:r w:rsidR="00E30435" w:rsidRPr="00412620">
        <w:rPr>
          <w:rStyle w:val="FootnoteReference"/>
          <w:rFonts w:cs="Arial"/>
          <w:sz w:val="20"/>
        </w:rPr>
        <w:footnoteReference w:id="1083"/>
      </w:r>
      <w:r w:rsidR="00E30435" w:rsidRPr="00412620">
        <w:rPr>
          <w:rFonts w:cs="Arial"/>
          <w:sz w:val="20"/>
        </w:rPr>
        <w:t>[  ]</w:t>
      </w:r>
      <w:r w:rsidRPr="00412620">
        <w:rPr>
          <w:rFonts w:cs="Arial"/>
          <w:sz w:val="20"/>
        </w:rPr>
        <w:t>.]</w:t>
      </w:r>
    </w:p>
    <w:p w:rsidR="006A3F93" w:rsidRPr="00412620" w:rsidRDefault="006A3F93">
      <w:pPr>
        <w:rPr>
          <w:rFonts w:cs="Arial"/>
          <w:sz w:val="20"/>
        </w:rPr>
      </w:pPr>
    </w:p>
    <w:p w:rsidR="006A3F93" w:rsidRPr="00412620" w:rsidRDefault="006A3F93">
      <w:pPr>
        <w:jc w:val="both"/>
        <w:rPr>
          <w:sz w:val="20"/>
        </w:rPr>
      </w:pPr>
      <w:r w:rsidRPr="00412620">
        <w:rPr>
          <w:rFonts w:cs="Arial"/>
          <w:b/>
          <w:sz w:val="20"/>
        </w:rPr>
        <w:t>165.</w:t>
      </w:r>
      <w:r w:rsidRPr="00412620">
        <w:rPr>
          <w:rFonts w:cs="Arial"/>
          <w:b/>
          <w:sz w:val="20"/>
        </w:rPr>
        <w:tab/>
        <w:t xml:space="preserve"> Statements.</w:t>
      </w:r>
      <w:r w:rsidR="001433DF" w:rsidRPr="00412620">
        <w:rPr>
          <w:rFonts w:cs="Arial"/>
          <w:b/>
          <w:sz w:val="20"/>
        </w:rPr>
        <w:t>—</w:t>
      </w:r>
      <w:r w:rsidRPr="00412620">
        <w:rPr>
          <w:sz w:val="20"/>
        </w:rPr>
        <w:t xml:space="preserve"> (1)  Every person collecting tax under Division II of this Part </w:t>
      </w:r>
      <w:r w:rsidRPr="00412620">
        <w:rPr>
          <w:rStyle w:val="FootnoteReference"/>
          <w:sz w:val="20"/>
        </w:rPr>
        <w:footnoteReference w:id="1084"/>
      </w:r>
      <w:r w:rsidRPr="00412620">
        <w:rPr>
          <w:sz w:val="20"/>
        </w:rPr>
        <w:t xml:space="preserve">[or Chapter XII] or deducting tax from a payment under Division III of this Part </w:t>
      </w:r>
      <w:r w:rsidRPr="00412620">
        <w:rPr>
          <w:rStyle w:val="FootnoteReference"/>
          <w:sz w:val="20"/>
        </w:rPr>
        <w:footnoteReference w:id="1085"/>
      </w:r>
      <w:r w:rsidRPr="00412620">
        <w:rPr>
          <w:sz w:val="20"/>
        </w:rPr>
        <w:t xml:space="preserve">[or Chapter XII]shall, </w:t>
      </w:r>
      <w:r w:rsidR="00720BC2" w:rsidRPr="00412620">
        <w:rPr>
          <w:rStyle w:val="FootnoteReference"/>
          <w:sz w:val="20"/>
        </w:rPr>
        <w:footnoteReference w:id="1086"/>
      </w:r>
      <w:r w:rsidR="00720BC2" w:rsidRPr="00412620">
        <w:rPr>
          <w:sz w:val="20"/>
        </w:rPr>
        <w:t>[  ]</w:t>
      </w:r>
      <w:r w:rsidRPr="00412620">
        <w:rPr>
          <w:sz w:val="20"/>
        </w:rPr>
        <w:t xml:space="preserve"> furnish to the Commissioner a </w:t>
      </w:r>
      <w:r w:rsidR="007D7054" w:rsidRPr="00412620">
        <w:rPr>
          <w:rStyle w:val="FootnoteReference"/>
          <w:sz w:val="20"/>
        </w:rPr>
        <w:footnoteReference w:id="1087"/>
      </w:r>
      <w:r w:rsidR="007D7054" w:rsidRPr="00412620">
        <w:rPr>
          <w:sz w:val="20"/>
        </w:rPr>
        <w:t xml:space="preserve">[monthly] </w:t>
      </w:r>
      <w:r w:rsidRPr="00412620">
        <w:rPr>
          <w:sz w:val="20"/>
        </w:rPr>
        <w:t>statement in the prescribed form setting out</w:t>
      </w:r>
      <w:r w:rsidR="001433DF"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name</w:t>
      </w:r>
      <w:r w:rsidR="00E51FEE" w:rsidRPr="00412620">
        <w:rPr>
          <w:rFonts w:cs="Arial"/>
          <w:sz w:val="20"/>
        </w:rPr>
        <w:t>,</w:t>
      </w:r>
      <w:r w:rsidR="00E51FEE" w:rsidRPr="00412620">
        <w:rPr>
          <w:rStyle w:val="FootnoteReference"/>
          <w:rFonts w:cs="Arial"/>
          <w:sz w:val="20"/>
        </w:rPr>
        <w:footnoteReference w:id="1088"/>
      </w:r>
      <w:r w:rsidR="00E51FEE" w:rsidRPr="00412620">
        <w:rPr>
          <w:rFonts w:cs="Arial"/>
          <w:sz w:val="20"/>
        </w:rPr>
        <w:t xml:space="preserve">[Computerized National Identity Card Number, National Tax Number] </w:t>
      </w:r>
      <w:r w:rsidRPr="00412620">
        <w:rPr>
          <w:rFonts w:cs="Arial"/>
          <w:sz w:val="20"/>
        </w:rPr>
        <w:t xml:space="preserve">and address of each person from whom tax has been collected under Division II of this Part </w:t>
      </w:r>
      <w:r w:rsidRPr="00412620">
        <w:rPr>
          <w:rStyle w:val="FootnoteReference"/>
          <w:rFonts w:cs="Arial"/>
          <w:sz w:val="20"/>
        </w:rPr>
        <w:footnoteReference w:id="1089"/>
      </w:r>
      <w:r w:rsidRPr="00412620">
        <w:rPr>
          <w:rFonts w:cs="Arial"/>
          <w:sz w:val="20"/>
        </w:rPr>
        <w:t xml:space="preserve">[or Chapter XII] or to whom payments have been made from which tax has been deducted under Division III of this Part </w:t>
      </w:r>
      <w:r w:rsidRPr="00412620">
        <w:rPr>
          <w:rStyle w:val="FootnoteReference"/>
          <w:rFonts w:cs="Arial"/>
          <w:sz w:val="20"/>
        </w:rPr>
        <w:footnoteReference w:id="1090"/>
      </w:r>
      <w:r w:rsidRPr="00412620">
        <w:rPr>
          <w:rFonts w:cs="Arial"/>
          <w:sz w:val="20"/>
        </w:rPr>
        <w:t xml:space="preserve">[or Chapter XII] in </w:t>
      </w:r>
      <w:r w:rsidR="000E3E98" w:rsidRPr="00412620">
        <w:rPr>
          <w:rStyle w:val="FootnoteReference"/>
          <w:rFonts w:cs="Arial"/>
          <w:sz w:val="20"/>
        </w:rPr>
        <w:footnoteReference w:id="1091"/>
      </w:r>
      <w:r w:rsidR="000E3E98" w:rsidRPr="00412620">
        <w:rPr>
          <w:rFonts w:cs="Arial"/>
          <w:sz w:val="20"/>
        </w:rPr>
        <w:t xml:space="preserve">[each </w:t>
      </w:r>
      <w:r w:rsidR="00E51FEE" w:rsidRPr="00412620">
        <w:rPr>
          <w:rStyle w:val="FootnoteReference"/>
          <w:rFonts w:cs="Arial"/>
          <w:sz w:val="20"/>
        </w:rPr>
        <w:footnoteReference w:id="1092"/>
      </w:r>
      <w:r w:rsidR="00E51FEE" w:rsidRPr="00412620">
        <w:rPr>
          <w:rFonts w:cs="Arial"/>
          <w:sz w:val="20"/>
        </w:rPr>
        <w:t xml:space="preserve">[month] </w:t>
      </w:r>
      <w:r w:rsidR="000E3E98" w:rsidRPr="00412620">
        <w:rPr>
          <w:rFonts w:cs="Arial"/>
          <w:sz w:val="20"/>
        </w:rPr>
        <w:t>]</w:t>
      </w:r>
      <w:r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(b)</w:t>
      </w:r>
      <w:r w:rsidRPr="00412620">
        <w:rPr>
          <w:rFonts w:cs="Arial"/>
          <w:sz w:val="20"/>
        </w:rPr>
        <w:tab/>
        <w:t xml:space="preserve">the total amount of payments made to a person from which tax has been deducted under Division III of this Part </w:t>
      </w:r>
      <w:r w:rsidRPr="00412620">
        <w:rPr>
          <w:rStyle w:val="FootnoteReference"/>
          <w:rFonts w:cs="Arial"/>
          <w:sz w:val="20"/>
        </w:rPr>
        <w:footnoteReference w:id="1093"/>
      </w:r>
      <w:r w:rsidRPr="00412620">
        <w:rPr>
          <w:rFonts w:cs="Arial"/>
          <w:sz w:val="20"/>
        </w:rPr>
        <w:t xml:space="preserve">[or Chapter XII] in </w:t>
      </w:r>
      <w:r w:rsidR="00F8697B" w:rsidRPr="00412620">
        <w:rPr>
          <w:rStyle w:val="FootnoteReference"/>
          <w:rFonts w:cs="Arial"/>
          <w:sz w:val="20"/>
        </w:rPr>
        <w:footnoteReference w:id="1094"/>
      </w:r>
      <w:r w:rsidR="00F8697B" w:rsidRPr="00412620">
        <w:rPr>
          <w:rFonts w:cs="Arial"/>
          <w:sz w:val="20"/>
        </w:rPr>
        <w:t xml:space="preserve">[each </w:t>
      </w:r>
      <w:r w:rsidR="006B77B0" w:rsidRPr="00412620">
        <w:rPr>
          <w:rStyle w:val="FootnoteReference"/>
          <w:rFonts w:cs="Arial"/>
          <w:sz w:val="20"/>
        </w:rPr>
        <w:footnoteReference w:id="1095"/>
      </w:r>
      <w:r w:rsidR="006B77B0" w:rsidRPr="00412620">
        <w:rPr>
          <w:rFonts w:cs="Arial"/>
          <w:sz w:val="20"/>
        </w:rPr>
        <w:t xml:space="preserve">[month] </w:t>
      </w:r>
      <w:r w:rsidR="00F8697B" w:rsidRPr="00412620">
        <w:rPr>
          <w:rFonts w:cs="Arial"/>
          <w:sz w:val="20"/>
        </w:rPr>
        <w:t>]</w:t>
      </w:r>
      <w:r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the total amount of tax collected from a person under Division II of this Part </w:t>
      </w:r>
      <w:r w:rsidRPr="00412620">
        <w:rPr>
          <w:rStyle w:val="FootnoteReference"/>
          <w:rFonts w:cs="Arial"/>
          <w:sz w:val="20"/>
        </w:rPr>
        <w:footnoteReference w:id="1096"/>
      </w:r>
      <w:r w:rsidRPr="00412620">
        <w:rPr>
          <w:rFonts w:cs="Arial"/>
          <w:sz w:val="20"/>
        </w:rPr>
        <w:t xml:space="preserve">[or Chapter XII] or deducted from payments made to a person under Division III of this Part </w:t>
      </w:r>
      <w:r w:rsidRPr="00412620">
        <w:rPr>
          <w:rStyle w:val="FootnoteReference"/>
          <w:rFonts w:cs="Arial"/>
          <w:sz w:val="20"/>
        </w:rPr>
        <w:footnoteReference w:id="1097"/>
      </w:r>
      <w:r w:rsidRPr="00412620">
        <w:rPr>
          <w:rFonts w:cs="Arial"/>
          <w:sz w:val="20"/>
        </w:rPr>
        <w:t>[or Chapter XII] in</w:t>
      </w:r>
      <w:r w:rsidR="00F8697B" w:rsidRPr="00412620">
        <w:rPr>
          <w:rStyle w:val="FootnoteReference"/>
          <w:rFonts w:cs="Arial"/>
          <w:sz w:val="20"/>
        </w:rPr>
        <w:footnoteReference w:id="1098"/>
      </w:r>
      <w:r w:rsidR="00F8697B" w:rsidRPr="00412620">
        <w:rPr>
          <w:rFonts w:cs="Arial"/>
          <w:sz w:val="20"/>
        </w:rPr>
        <w:t xml:space="preserve">[each </w:t>
      </w:r>
      <w:r w:rsidR="000017D7" w:rsidRPr="00412620">
        <w:rPr>
          <w:rStyle w:val="FootnoteReference"/>
          <w:rFonts w:cs="Arial"/>
          <w:sz w:val="20"/>
        </w:rPr>
        <w:footnoteReference w:id="1099"/>
      </w:r>
      <w:r w:rsidR="000017D7" w:rsidRPr="00412620">
        <w:rPr>
          <w:rFonts w:cs="Arial"/>
          <w:sz w:val="20"/>
        </w:rPr>
        <w:t>[month]</w:t>
      </w:r>
      <w:r w:rsidR="00F8697B" w:rsidRPr="00412620">
        <w:rPr>
          <w:rFonts w:cs="Arial"/>
          <w:sz w:val="20"/>
        </w:rPr>
        <w:t>]</w:t>
      </w:r>
      <w:r w:rsidRPr="00412620">
        <w:rPr>
          <w:rFonts w:cs="Arial"/>
          <w:sz w:val="20"/>
        </w:rPr>
        <w:t xml:space="preserve">; and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such other p</w:t>
      </w:r>
      <w:r w:rsidR="00F8697B" w:rsidRPr="00412620">
        <w:rPr>
          <w:rFonts w:cs="Arial"/>
          <w:sz w:val="20"/>
        </w:rPr>
        <w:t xml:space="preserve">articulars as may be prescribed </w:t>
      </w:r>
      <w:r w:rsidR="00F8697B" w:rsidRPr="00412620">
        <w:rPr>
          <w:rStyle w:val="FootnoteReference"/>
          <w:rFonts w:cs="Arial"/>
          <w:sz w:val="20"/>
        </w:rPr>
        <w:footnoteReference w:id="1100"/>
      </w:r>
      <w:r w:rsidR="00F8697B" w:rsidRPr="00412620">
        <w:rPr>
          <w:rFonts w:cs="Arial"/>
          <w:sz w:val="20"/>
        </w:rPr>
        <w:t>[:]</w:t>
      </w:r>
    </w:p>
    <w:p w:rsidR="006A3F93" w:rsidRPr="00412620" w:rsidRDefault="006A3F93">
      <w:pPr>
        <w:jc w:val="both"/>
        <w:rPr>
          <w:rFonts w:cs="Arial"/>
          <w:sz w:val="20"/>
        </w:rPr>
      </w:pPr>
    </w:p>
    <w:p w:rsidR="00931FBF" w:rsidRPr="00412620" w:rsidRDefault="00F86672" w:rsidP="00931FBF">
      <w:pPr>
        <w:ind w:left="1620" w:firstLine="570"/>
        <w:jc w:val="both"/>
        <w:rPr>
          <w:rFonts w:cs="Arial"/>
          <w:sz w:val="20"/>
        </w:rPr>
      </w:pPr>
      <w:r w:rsidRPr="00412620">
        <w:rPr>
          <w:rStyle w:val="FootnoteReference"/>
          <w:rFonts w:cs="Arial"/>
          <w:sz w:val="20"/>
        </w:rPr>
        <w:footnoteReference w:id="1101"/>
      </w:r>
      <w:r w:rsidR="00931FBF" w:rsidRPr="00412620">
        <w:rPr>
          <w:rFonts w:cs="Arial"/>
          <w:sz w:val="20"/>
        </w:rPr>
        <w:t>[Provided that every person as provided in sub-section (1) shall be required to file withholding statement even where no withholding tax is collected or deducted during the period.]</w:t>
      </w:r>
    </w:p>
    <w:p w:rsidR="001433DF" w:rsidRPr="00412620" w:rsidRDefault="001433DF" w:rsidP="001433DF">
      <w:pPr>
        <w:jc w:val="both"/>
        <w:rPr>
          <w:rFonts w:cs="Arial"/>
          <w:sz w:val="20"/>
        </w:rPr>
      </w:pPr>
    </w:p>
    <w:p w:rsidR="001433DF" w:rsidRPr="00412620" w:rsidRDefault="009C0BA3" w:rsidP="001433DF">
      <w:pPr>
        <w:ind w:left="1620" w:firstLine="15"/>
        <w:jc w:val="both"/>
        <w:rPr>
          <w:rFonts w:cs="Arial"/>
          <w:sz w:val="20"/>
        </w:rPr>
      </w:pPr>
      <w:r w:rsidRPr="00412620">
        <w:rPr>
          <w:rStyle w:val="FootnoteReference"/>
          <w:rFonts w:cs="Arial"/>
          <w:sz w:val="20"/>
        </w:rPr>
        <w:footnoteReference w:id="1102"/>
      </w:r>
      <w:r w:rsidR="001433DF" w:rsidRPr="00412620">
        <w:rPr>
          <w:rFonts w:cs="Arial"/>
          <w:sz w:val="20"/>
        </w:rPr>
        <w:t>[</w:t>
      </w:r>
      <w:r w:rsidR="001433DF" w:rsidRPr="00412620">
        <w:rPr>
          <w:rFonts w:cs="Arial"/>
          <w:b/>
          <w:i/>
          <w:sz w:val="20"/>
        </w:rPr>
        <w:t>Explanation.</w:t>
      </w:r>
      <w:r w:rsidR="001433DF" w:rsidRPr="00412620">
        <w:rPr>
          <w:rFonts w:cs="Arial"/>
          <w:i/>
          <w:sz w:val="20"/>
        </w:rPr>
        <w:t xml:space="preserve">— </w:t>
      </w:r>
      <w:r w:rsidR="001433DF" w:rsidRPr="00412620">
        <w:rPr>
          <w:rFonts w:cs="Arial"/>
          <w:sz w:val="20"/>
        </w:rPr>
        <w:t xml:space="preserve">For the removal of doubt, it is clarified that this sub-section overrides all conflicting provisions contained in the Protection of Economic Reforms Act, 1992 (XII of 1992), the Banking Companies Ordinance, 1962 (LVII of 1962), the </w:t>
      </w:r>
      <w:r w:rsidR="002F16A9">
        <w:rPr>
          <w:rFonts w:cs="Arial"/>
          <w:sz w:val="20"/>
        </w:rPr>
        <w:t>F</w:t>
      </w:r>
      <w:r w:rsidR="001433DF" w:rsidRPr="00412620">
        <w:rPr>
          <w:rFonts w:cs="Arial"/>
          <w:sz w:val="20"/>
        </w:rPr>
        <w:t>oreign Exchange Regulation Act, 1947 (VII of 1947) and the regulations made under the State Bank of Pakistan Act, 1956 (XXXIII of 1956), if any, on the subject, in so far as divulgence of information under section 165 is concerned.]</w:t>
      </w:r>
    </w:p>
    <w:p w:rsidR="00966097" w:rsidRPr="00412620" w:rsidRDefault="00966097" w:rsidP="001433DF">
      <w:pPr>
        <w:jc w:val="both"/>
        <w:rPr>
          <w:rFonts w:cs="Arial"/>
          <w:sz w:val="20"/>
        </w:rPr>
      </w:pPr>
    </w:p>
    <w:p w:rsidR="009D3A67" w:rsidRPr="00412620" w:rsidRDefault="00966097">
      <w:pPr>
        <w:jc w:val="both"/>
        <w:rPr>
          <w:rFonts w:cs="Arial"/>
          <w:sz w:val="20"/>
        </w:rPr>
      </w:pPr>
      <w:r w:rsidRPr="00412620">
        <w:rPr>
          <w:rFonts w:cs="Arial"/>
          <w:sz w:val="20"/>
        </w:rPr>
        <w:tab/>
      </w:r>
    </w:p>
    <w:p w:rsidR="009D3A67" w:rsidRPr="00412620" w:rsidRDefault="009D3A67">
      <w:pPr>
        <w:jc w:val="both"/>
        <w:rPr>
          <w:rFonts w:cs="Arial"/>
          <w:sz w:val="20"/>
        </w:rPr>
      </w:pPr>
      <w:r w:rsidRPr="00412620">
        <w:rPr>
          <w:rFonts w:cs="Arial"/>
          <w:sz w:val="20"/>
        </w:rPr>
        <w:tab/>
      </w:r>
      <w:r w:rsidR="00C73AE1" w:rsidRPr="00412620">
        <w:rPr>
          <w:rStyle w:val="FootnoteReference"/>
          <w:rFonts w:cs="Arial"/>
          <w:sz w:val="20"/>
        </w:rPr>
        <w:footnoteReference w:id="1103"/>
      </w:r>
      <w:r w:rsidRPr="00412620">
        <w:rPr>
          <w:rFonts w:cs="Arial"/>
          <w:sz w:val="20"/>
        </w:rPr>
        <w:t xml:space="preserve">[(2) </w:t>
      </w:r>
      <w:r w:rsidRPr="00412620">
        <w:rPr>
          <w:rFonts w:cs="Arial"/>
          <w:sz w:val="20"/>
        </w:rPr>
        <w:tab/>
      </w:r>
      <w:r w:rsidR="00C73AE1" w:rsidRPr="00412620">
        <w:rPr>
          <w:rFonts w:cs="Arial"/>
          <w:sz w:val="20"/>
        </w:rPr>
        <w:t>Every prescribed person collecting tax under Division II of this Part or Chapter XII or deducting tax from payment under Division III of this Part or Chapter XII shall furnish or e-file statements under sub-section (1) by the 15</w:t>
      </w:r>
      <w:r w:rsidR="00C73AE1" w:rsidRPr="00412620">
        <w:rPr>
          <w:rFonts w:cs="Arial"/>
          <w:sz w:val="20"/>
          <w:vertAlign w:val="superscript"/>
        </w:rPr>
        <w:t>th</w:t>
      </w:r>
      <w:r w:rsidR="00C73AE1" w:rsidRPr="00412620">
        <w:rPr>
          <w:rFonts w:cs="Arial"/>
          <w:sz w:val="20"/>
        </w:rPr>
        <w:t xml:space="preserve"> day of the month following the month to which the withholding tax pertains.]</w:t>
      </w:r>
    </w:p>
    <w:p w:rsidR="009D3A67" w:rsidRPr="00412620" w:rsidRDefault="009D3A67">
      <w:pPr>
        <w:jc w:val="both"/>
        <w:rPr>
          <w:rFonts w:cs="Arial"/>
          <w:sz w:val="20"/>
        </w:rPr>
      </w:pPr>
    </w:p>
    <w:p w:rsidR="00560D9D" w:rsidRPr="00412620" w:rsidRDefault="00560D9D">
      <w:pPr>
        <w:jc w:val="both"/>
        <w:rPr>
          <w:rFonts w:cs="Arial"/>
          <w:sz w:val="20"/>
        </w:rPr>
      </w:pPr>
      <w:r w:rsidRPr="00412620">
        <w:rPr>
          <w:rFonts w:cs="Arial"/>
          <w:sz w:val="20"/>
        </w:rPr>
        <w:tab/>
      </w:r>
      <w:r w:rsidRPr="00412620">
        <w:rPr>
          <w:rStyle w:val="FootnoteReference"/>
          <w:rFonts w:cs="Arial"/>
          <w:sz w:val="20"/>
        </w:rPr>
        <w:footnoteReference w:id="1104"/>
      </w:r>
      <w:r w:rsidRPr="00412620">
        <w:rPr>
          <w:rFonts w:cs="Arial"/>
          <w:sz w:val="20"/>
        </w:rPr>
        <w:t>[(3)</w:t>
      </w:r>
      <w:r w:rsidRPr="00412620">
        <w:rPr>
          <w:rFonts w:cs="Arial"/>
          <w:sz w:val="20"/>
        </w:rPr>
        <w:tab/>
      </w:r>
      <w:r w:rsidR="00845C64" w:rsidRPr="00412620">
        <w:rPr>
          <w:rStyle w:val="FootnoteReference"/>
          <w:rFonts w:cs="Arial"/>
          <w:sz w:val="20"/>
        </w:rPr>
        <w:footnoteReference w:id="1105"/>
      </w:r>
      <w:r w:rsidR="00845C64" w:rsidRPr="00412620">
        <w:rPr>
          <w:rFonts w:cs="Arial"/>
          <w:sz w:val="20"/>
        </w:rPr>
        <w:t>[</w:t>
      </w:r>
      <w:r w:rsidRPr="00412620">
        <w:rPr>
          <w:rFonts w:cs="Arial"/>
          <w:sz w:val="20"/>
        </w:rPr>
        <w:t>Board</w:t>
      </w:r>
      <w:r w:rsidR="00845C64" w:rsidRPr="00412620">
        <w:rPr>
          <w:rFonts w:cs="Arial"/>
          <w:sz w:val="20"/>
        </w:rPr>
        <w:t>]</w:t>
      </w:r>
      <w:r w:rsidRPr="00412620">
        <w:rPr>
          <w:rFonts w:cs="Arial"/>
          <w:sz w:val="20"/>
        </w:rPr>
        <w:t xml:space="preserve"> may prescribe a statement requiring any person to furnish information </w:t>
      </w:r>
      <w:r w:rsidR="00841DFF" w:rsidRPr="00412620">
        <w:rPr>
          <w:rStyle w:val="FootnoteReference"/>
          <w:rFonts w:cs="Arial"/>
          <w:sz w:val="20"/>
        </w:rPr>
        <w:footnoteReference w:id="1106"/>
      </w:r>
      <w:r w:rsidR="00841DFF" w:rsidRPr="00412620">
        <w:rPr>
          <w:rFonts w:cs="Arial"/>
          <w:sz w:val="20"/>
        </w:rPr>
        <w:t xml:space="preserve">[  ] </w:t>
      </w:r>
      <w:r w:rsidRPr="00412620">
        <w:rPr>
          <w:rFonts w:cs="Arial"/>
          <w:sz w:val="20"/>
        </w:rPr>
        <w:t>in respect of any transactions in the prescribed form and verifi</w:t>
      </w:r>
      <w:r w:rsidR="00592FCE" w:rsidRPr="00412620">
        <w:rPr>
          <w:rFonts w:cs="Arial"/>
          <w:sz w:val="20"/>
        </w:rPr>
        <w:t xml:space="preserve">ed in the prescribed manner </w:t>
      </w:r>
      <w:r w:rsidR="00592FCE" w:rsidRPr="00412620">
        <w:rPr>
          <w:rStyle w:val="FootnoteReference"/>
          <w:rFonts w:cs="Arial"/>
          <w:sz w:val="20"/>
        </w:rPr>
        <w:footnoteReference w:id="1107"/>
      </w:r>
      <w:r w:rsidR="00592FCE" w:rsidRPr="00412620">
        <w:rPr>
          <w:rFonts w:cs="Arial"/>
          <w:sz w:val="20"/>
        </w:rPr>
        <w:t xml:space="preserve">[.] </w:t>
      </w:r>
      <w:r w:rsidRPr="00412620">
        <w:rPr>
          <w:rFonts w:cs="Arial"/>
          <w:sz w:val="20"/>
        </w:rPr>
        <w:t>]</w:t>
      </w:r>
    </w:p>
    <w:p w:rsidR="00560D9D" w:rsidRPr="00412620" w:rsidRDefault="00560D9D">
      <w:pPr>
        <w:jc w:val="both"/>
        <w:rPr>
          <w:rFonts w:cs="Arial"/>
          <w:sz w:val="20"/>
        </w:rPr>
      </w:pPr>
    </w:p>
    <w:p w:rsidR="00560D9D" w:rsidRPr="00412620" w:rsidRDefault="00560D9D">
      <w:pPr>
        <w:jc w:val="both"/>
        <w:rPr>
          <w:rFonts w:cs="Arial"/>
          <w:sz w:val="20"/>
        </w:rPr>
      </w:pPr>
      <w:r w:rsidRPr="00412620">
        <w:rPr>
          <w:rFonts w:cs="Arial"/>
          <w:sz w:val="20"/>
        </w:rPr>
        <w:tab/>
      </w:r>
      <w:r w:rsidRPr="00412620">
        <w:rPr>
          <w:rStyle w:val="FootnoteReference"/>
          <w:rFonts w:cs="Arial"/>
          <w:sz w:val="20"/>
        </w:rPr>
        <w:footnoteReference w:id="1108"/>
      </w:r>
      <w:r w:rsidRPr="00412620">
        <w:rPr>
          <w:rFonts w:cs="Arial"/>
          <w:sz w:val="20"/>
        </w:rPr>
        <w:t>[(4)</w:t>
      </w:r>
      <w:r w:rsidRPr="00412620">
        <w:rPr>
          <w:rFonts w:cs="Arial"/>
          <w:sz w:val="20"/>
        </w:rPr>
        <w:tab/>
        <w:t xml:space="preserve">A person required to furnish a statement under sub-section </w:t>
      </w:r>
      <w:r w:rsidR="006425FF" w:rsidRPr="00412620">
        <w:rPr>
          <w:rStyle w:val="FootnoteReference"/>
          <w:rFonts w:cs="Arial"/>
          <w:sz w:val="20"/>
        </w:rPr>
        <w:footnoteReference w:id="1109"/>
      </w:r>
      <w:r w:rsidR="006425FF" w:rsidRPr="00412620">
        <w:rPr>
          <w:rFonts w:cs="Arial"/>
          <w:sz w:val="20"/>
        </w:rPr>
        <w:t>[</w:t>
      </w:r>
      <w:r w:rsidRPr="00412620">
        <w:rPr>
          <w:rFonts w:cs="Arial"/>
          <w:sz w:val="20"/>
        </w:rPr>
        <w:t>(</w:t>
      </w:r>
      <w:r w:rsidR="006425FF" w:rsidRPr="00412620">
        <w:rPr>
          <w:rFonts w:cs="Arial"/>
          <w:sz w:val="20"/>
        </w:rPr>
        <w:t>1</w:t>
      </w:r>
      <w:r w:rsidRPr="00412620">
        <w:rPr>
          <w:rFonts w:cs="Arial"/>
          <w:sz w:val="20"/>
        </w:rPr>
        <w:t>)</w:t>
      </w:r>
      <w:r w:rsidR="006425FF" w:rsidRPr="00412620">
        <w:rPr>
          <w:rFonts w:cs="Arial"/>
          <w:sz w:val="20"/>
        </w:rPr>
        <w:t>]</w:t>
      </w:r>
      <w:r w:rsidRPr="00412620">
        <w:rPr>
          <w:rFonts w:cs="Arial"/>
          <w:sz w:val="20"/>
        </w:rPr>
        <w:t>, may apply in writing, to the Commissioner for an extension of time to furnish the statement after the due date and the Commissioner if satisfied that a reasonable cause exists for non-furnishing of the statement by the due date may, by an order in writing, grant the applicant an extension of time to furnish the statement.]</w:t>
      </w:r>
    </w:p>
    <w:p w:rsidR="00560D9D" w:rsidRPr="00412620" w:rsidRDefault="00560D9D">
      <w:pPr>
        <w:jc w:val="both"/>
        <w:rPr>
          <w:rFonts w:cs="Arial"/>
          <w:sz w:val="20"/>
        </w:rPr>
      </w:pPr>
    </w:p>
    <w:p w:rsidR="00560D9D" w:rsidRPr="00412620" w:rsidRDefault="00560D9D">
      <w:pPr>
        <w:jc w:val="both"/>
        <w:rPr>
          <w:rFonts w:cs="Arial"/>
          <w:sz w:val="20"/>
        </w:rPr>
      </w:pPr>
      <w:r w:rsidRPr="00412620">
        <w:rPr>
          <w:rFonts w:cs="Arial"/>
          <w:sz w:val="20"/>
        </w:rPr>
        <w:tab/>
      </w:r>
      <w:r w:rsidRPr="00412620">
        <w:rPr>
          <w:rStyle w:val="FootnoteReference"/>
          <w:rFonts w:cs="Arial"/>
          <w:sz w:val="20"/>
        </w:rPr>
        <w:footnoteReference w:id="1110"/>
      </w:r>
      <w:r w:rsidRPr="00412620">
        <w:rPr>
          <w:rFonts w:cs="Arial"/>
          <w:sz w:val="20"/>
        </w:rPr>
        <w:t xml:space="preserve">[(5) </w:t>
      </w:r>
      <w:r w:rsidRPr="00412620">
        <w:rPr>
          <w:rFonts w:cs="Arial"/>
          <w:sz w:val="20"/>
        </w:rPr>
        <w:tab/>
        <w:t xml:space="preserve">The Board may make rules relating to electronic furnishing of statements under this section including,- </w:t>
      </w:r>
    </w:p>
    <w:p w:rsidR="00560D9D" w:rsidRPr="00412620" w:rsidRDefault="00560D9D">
      <w:pPr>
        <w:jc w:val="both"/>
        <w:rPr>
          <w:rFonts w:cs="Arial"/>
          <w:sz w:val="20"/>
        </w:rPr>
      </w:pPr>
    </w:p>
    <w:p w:rsidR="00560D9D" w:rsidRPr="00412620" w:rsidRDefault="00560D9D">
      <w:pPr>
        <w:jc w:val="both"/>
        <w:rPr>
          <w:rFonts w:cs="Arial"/>
          <w:sz w:val="20"/>
        </w:rPr>
      </w:pPr>
      <w:r w:rsidRPr="00412620">
        <w:rPr>
          <w:rFonts w:cs="Arial"/>
          <w:sz w:val="20"/>
        </w:rPr>
        <w:tab/>
      </w:r>
      <w:r w:rsidRPr="00412620">
        <w:rPr>
          <w:rFonts w:cs="Arial"/>
          <w:sz w:val="20"/>
        </w:rPr>
        <w:tab/>
        <w:t xml:space="preserve">(a) </w:t>
      </w:r>
      <w:r w:rsidRPr="00412620">
        <w:rPr>
          <w:rFonts w:cs="Arial"/>
          <w:sz w:val="20"/>
        </w:rPr>
        <w:tab/>
        <w:t>mandatory electronic filing of statements; and</w:t>
      </w:r>
    </w:p>
    <w:p w:rsidR="00560D9D" w:rsidRPr="00412620" w:rsidRDefault="00560D9D">
      <w:pPr>
        <w:jc w:val="both"/>
        <w:rPr>
          <w:rFonts w:cs="Arial"/>
          <w:sz w:val="20"/>
        </w:rPr>
      </w:pPr>
    </w:p>
    <w:p w:rsidR="00560D9D" w:rsidRPr="00412620" w:rsidRDefault="00560D9D" w:rsidP="00560D9D">
      <w:pPr>
        <w:ind w:left="1641" w:hanging="546"/>
        <w:jc w:val="both"/>
        <w:rPr>
          <w:rFonts w:cs="Arial"/>
          <w:sz w:val="20"/>
        </w:rPr>
      </w:pPr>
      <w:r w:rsidRPr="00412620">
        <w:rPr>
          <w:rFonts w:cs="Arial"/>
          <w:sz w:val="20"/>
        </w:rPr>
        <w:t xml:space="preserve">(b) </w:t>
      </w:r>
      <w:r w:rsidRPr="00412620">
        <w:rPr>
          <w:rFonts w:cs="Arial"/>
          <w:sz w:val="20"/>
        </w:rPr>
        <w:tab/>
        <w:t>determination of eligibility of the data of such statements and e-intermediaries, etc.]</w:t>
      </w:r>
    </w:p>
    <w:p w:rsidR="00560D9D" w:rsidRPr="00412620" w:rsidRDefault="00560D9D">
      <w:pPr>
        <w:jc w:val="both"/>
        <w:rPr>
          <w:rFonts w:cs="Arial"/>
          <w:sz w:val="20"/>
        </w:rPr>
      </w:pPr>
    </w:p>
    <w:p w:rsidR="001E405F" w:rsidRPr="00412620" w:rsidRDefault="001E405F">
      <w:pPr>
        <w:jc w:val="both"/>
        <w:rPr>
          <w:rFonts w:cs="Arial"/>
          <w:sz w:val="20"/>
        </w:rPr>
      </w:pPr>
      <w:r w:rsidRPr="00412620">
        <w:rPr>
          <w:rFonts w:cs="Arial"/>
          <w:sz w:val="20"/>
        </w:rPr>
        <w:tab/>
      </w:r>
      <w:r w:rsidR="00CF4582" w:rsidRPr="00412620">
        <w:rPr>
          <w:rStyle w:val="FootnoteReference"/>
          <w:rFonts w:cs="Arial"/>
          <w:sz w:val="20"/>
        </w:rPr>
        <w:footnoteReference w:id="1111"/>
      </w:r>
      <w:r w:rsidRPr="00412620">
        <w:rPr>
          <w:rFonts w:cs="Arial"/>
          <w:sz w:val="20"/>
        </w:rPr>
        <w:t xml:space="preserve">[(6) </w:t>
      </w:r>
      <w:r w:rsidRPr="00412620">
        <w:rPr>
          <w:rFonts w:cs="Arial"/>
          <w:sz w:val="20"/>
        </w:rPr>
        <w:tab/>
        <w:t>Every person deducting tax from payment under section 149 shall furnish to the Commissioner an annual statement in the prescribed form and manner</w:t>
      </w:r>
      <w:r w:rsidR="00297C01" w:rsidRPr="00412620">
        <w:rPr>
          <w:rStyle w:val="FootnoteReference"/>
          <w:rFonts w:cs="Arial"/>
          <w:sz w:val="20"/>
        </w:rPr>
        <w:footnoteReference w:id="1112"/>
      </w:r>
      <w:r w:rsidR="00297C01" w:rsidRPr="00412620">
        <w:rPr>
          <w:rFonts w:cs="Arial"/>
          <w:sz w:val="20"/>
        </w:rPr>
        <w:t>[.]</w:t>
      </w:r>
    </w:p>
    <w:p w:rsidR="001E405F" w:rsidRPr="00412620" w:rsidRDefault="001E405F">
      <w:pPr>
        <w:jc w:val="both"/>
        <w:rPr>
          <w:rFonts w:cs="Arial"/>
          <w:sz w:val="20"/>
        </w:rPr>
      </w:pPr>
    </w:p>
    <w:p w:rsidR="00297C01" w:rsidRPr="00412620" w:rsidRDefault="00297C01">
      <w:pPr>
        <w:jc w:val="both"/>
        <w:rPr>
          <w:rFonts w:cs="Arial"/>
          <w:sz w:val="20"/>
        </w:rPr>
      </w:pPr>
      <w:r w:rsidRPr="00412620">
        <w:rPr>
          <w:rFonts w:cs="Arial"/>
          <w:sz w:val="20"/>
        </w:rPr>
        <w:tab/>
      </w:r>
      <w:r w:rsidRPr="00412620">
        <w:rPr>
          <w:rStyle w:val="FootnoteReference"/>
          <w:rFonts w:cs="Arial"/>
          <w:sz w:val="20"/>
        </w:rPr>
        <w:footnoteReference w:id="1113"/>
      </w:r>
      <w:r w:rsidRPr="00412620">
        <w:rPr>
          <w:rFonts w:cs="Arial"/>
          <w:sz w:val="20"/>
        </w:rPr>
        <w:t>[  ]</w:t>
      </w:r>
    </w:p>
    <w:p w:rsidR="001E405F" w:rsidRPr="00412620" w:rsidRDefault="001E405F">
      <w:pPr>
        <w:jc w:val="both"/>
        <w:rPr>
          <w:rFonts w:cs="Arial"/>
          <w:sz w:val="20"/>
        </w:rPr>
      </w:pPr>
    </w:p>
    <w:p w:rsidR="000458F3" w:rsidRPr="00412620" w:rsidRDefault="007E5672">
      <w:pPr>
        <w:jc w:val="both"/>
        <w:rPr>
          <w:rFonts w:cs="Arial"/>
          <w:sz w:val="20"/>
        </w:rPr>
      </w:pPr>
      <w:r w:rsidRPr="00412620">
        <w:rPr>
          <w:rStyle w:val="FootnoteReference"/>
          <w:rFonts w:cs="Arial"/>
          <w:sz w:val="20"/>
        </w:rPr>
        <w:footnoteReference w:id="1114"/>
      </w:r>
      <w:r w:rsidR="000458F3" w:rsidRPr="00412620">
        <w:rPr>
          <w:rFonts w:cs="Arial"/>
          <w:sz w:val="20"/>
        </w:rPr>
        <w:t>[</w:t>
      </w:r>
      <w:r w:rsidR="000458F3" w:rsidRPr="00412620">
        <w:rPr>
          <w:rFonts w:cs="Arial"/>
          <w:b/>
          <w:sz w:val="20"/>
        </w:rPr>
        <w:t>165A.  Furnishing of information by banks.</w:t>
      </w:r>
      <w:r w:rsidR="000458F3" w:rsidRPr="00412620">
        <w:rPr>
          <w:rFonts w:cs="Arial"/>
          <w:sz w:val="20"/>
        </w:rPr>
        <w:t xml:space="preserve">— </w:t>
      </w:r>
      <w:r w:rsidR="001D68B5" w:rsidRPr="00412620">
        <w:rPr>
          <w:rFonts w:cs="Arial"/>
          <w:sz w:val="20"/>
        </w:rPr>
        <w:t xml:space="preserve">(1) </w:t>
      </w:r>
      <w:r w:rsidR="000458F3" w:rsidRPr="00412620">
        <w:rPr>
          <w:rFonts w:cs="Arial"/>
          <w:sz w:val="20"/>
        </w:rPr>
        <w:t>Notwithstanding anything contained in any law for the time being in force including but not limited to the Banking Companies Ordinance, 1962 (LVII of 1962), the Protection of Economic Reforms Act, 1992 (XII of 1992), the Foreign Exchange Regulation Act, 1947 (VII of 1947) and the regulations made under the State Bank of Pakistan Act, 1956 (XXXIII of 1956), if any, on the subject every banking company shall make arrangements to provide to the Board in the prescribed form and manner,—</w:t>
      </w:r>
    </w:p>
    <w:p w:rsidR="00814D8D" w:rsidRPr="00412620" w:rsidRDefault="00814D8D">
      <w:pPr>
        <w:jc w:val="both"/>
        <w:rPr>
          <w:rFonts w:cs="Arial"/>
          <w:sz w:val="20"/>
        </w:rPr>
      </w:pPr>
    </w:p>
    <w:p w:rsidR="00814D8D" w:rsidRPr="00412620" w:rsidRDefault="00814D8D" w:rsidP="00814D8D">
      <w:pPr>
        <w:ind w:left="1094" w:hanging="554"/>
        <w:jc w:val="both"/>
        <w:rPr>
          <w:rFonts w:cs="Arial"/>
          <w:sz w:val="20"/>
        </w:rPr>
      </w:pPr>
      <w:r w:rsidRPr="00412620">
        <w:rPr>
          <w:rFonts w:cs="Arial"/>
          <w:sz w:val="20"/>
        </w:rPr>
        <w:lastRenderedPageBreak/>
        <w:t xml:space="preserve">(a) </w:t>
      </w:r>
      <w:r w:rsidRPr="00412620">
        <w:rPr>
          <w:rFonts w:cs="Arial"/>
          <w:sz w:val="20"/>
        </w:rPr>
        <w:tab/>
        <w:t xml:space="preserve">online access to its central database containing details of its account  holders and all transactions made in their accounts; </w:t>
      </w:r>
    </w:p>
    <w:p w:rsidR="00814D8D" w:rsidRPr="00412620" w:rsidRDefault="00814D8D">
      <w:pPr>
        <w:jc w:val="both"/>
        <w:rPr>
          <w:rFonts w:cs="Arial"/>
          <w:sz w:val="20"/>
        </w:rPr>
      </w:pPr>
    </w:p>
    <w:p w:rsidR="00814D8D" w:rsidRPr="00412620" w:rsidRDefault="00814D8D" w:rsidP="00641BDA">
      <w:pPr>
        <w:ind w:left="1094" w:hanging="554"/>
        <w:jc w:val="both"/>
        <w:rPr>
          <w:rFonts w:cs="Arial"/>
          <w:sz w:val="20"/>
        </w:rPr>
      </w:pPr>
      <w:r w:rsidRPr="00412620">
        <w:rPr>
          <w:rFonts w:cs="Arial"/>
          <w:sz w:val="20"/>
        </w:rPr>
        <w:t xml:space="preserve">(b) </w:t>
      </w:r>
      <w:r w:rsidRPr="00412620">
        <w:rPr>
          <w:rFonts w:cs="Arial"/>
          <w:sz w:val="20"/>
        </w:rPr>
        <w:tab/>
        <w:t>a list containing particulars of deposits aggregating rupees one  million or more made during the preceding calendar month;</w:t>
      </w:r>
    </w:p>
    <w:p w:rsidR="00641BDA" w:rsidRPr="00412620" w:rsidRDefault="00641BDA" w:rsidP="00641BDA">
      <w:pPr>
        <w:jc w:val="both"/>
        <w:rPr>
          <w:rFonts w:cs="Arial"/>
          <w:sz w:val="20"/>
        </w:rPr>
      </w:pPr>
    </w:p>
    <w:p w:rsidR="00641BDA" w:rsidRPr="00412620" w:rsidRDefault="00641BDA" w:rsidP="0008561D">
      <w:pPr>
        <w:ind w:left="1094" w:hanging="554"/>
        <w:jc w:val="both"/>
        <w:rPr>
          <w:rFonts w:cs="Arial"/>
          <w:sz w:val="20"/>
        </w:rPr>
      </w:pPr>
      <w:r w:rsidRPr="00412620">
        <w:rPr>
          <w:rFonts w:cs="Arial"/>
          <w:sz w:val="20"/>
        </w:rPr>
        <w:t xml:space="preserve">(c) </w:t>
      </w:r>
      <w:r w:rsidR="0008561D" w:rsidRPr="00412620">
        <w:rPr>
          <w:rFonts w:cs="Arial"/>
          <w:sz w:val="20"/>
        </w:rPr>
        <w:tab/>
        <w:t>a list of payments made by any person against bills raised in respect of a credit card issued to that person, aggregating to rupees one hundred thousand or more during the preceding calendar month;</w:t>
      </w:r>
    </w:p>
    <w:p w:rsidR="00641BDA" w:rsidRPr="00412620" w:rsidRDefault="00641BDA" w:rsidP="0008561D">
      <w:pPr>
        <w:jc w:val="both"/>
        <w:rPr>
          <w:rFonts w:cs="Arial"/>
          <w:sz w:val="20"/>
        </w:rPr>
      </w:pPr>
    </w:p>
    <w:p w:rsidR="0008561D" w:rsidRPr="00412620" w:rsidRDefault="0008561D" w:rsidP="00972BDF">
      <w:pPr>
        <w:ind w:left="1094" w:hanging="554"/>
        <w:jc w:val="both"/>
        <w:rPr>
          <w:rFonts w:cs="Arial"/>
          <w:sz w:val="20"/>
        </w:rPr>
      </w:pPr>
      <w:r w:rsidRPr="00412620">
        <w:rPr>
          <w:rFonts w:cs="Arial"/>
          <w:sz w:val="20"/>
        </w:rPr>
        <w:t xml:space="preserve">(d) </w:t>
      </w:r>
      <w:r w:rsidR="00972BDF" w:rsidRPr="00412620">
        <w:rPr>
          <w:rFonts w:cs="Arial"/>
          <w:sz w:val="20"/>
        </w:rPr>
        <w:tab/>
        <w:t>a consolidated list of loans written off exceeding rupees one million during a calendar year; and</w:t>
      </w:r>
    </w:p>
    <w:p w:rsidR="0008561D" w:rsidRPr="00412620" w:rsidRDefault="0008561D" w:rsidP="0008561D">
      <w:pPr>
        <w:jc w:val="both"/>
        <w:rPr>
          <w:rFonts w:cs="Arial"/>
          <w:sz w:val="20"/>
        </w:rPr>
      </w:pPr>
    </w:p>
    <w:p w:rsidR="00972BDF" w:rsidRPr="00412620" w:rsidRDefault="00972BDF" w:rsidP="003F6057">
      <w:pPr>
        <w:ind w:left="1094" w:hanging="554"/>
        <w:jc w:val="both"/>
        <w:rPr>
          <w:rFonts w:cs="Arial"/>
          <w:sz w:val="20"/>
        </w:rPr>
      </w:pPr>
      <w:r w:rsidRPr="00412620">
        <w:rPr>
          <w:rFonts w:cs="Arial"/>
          <w:sz w:val="20"/>
        </w:rPr>
        <w:t xml:space="preserve">(e) </w:t>
      </w:r>
      <w:r w:rsidRPr="00412620">
        <w:rPr>
          <w:rFonts w:cs="Arial"/>
          <w:sz w:val="20"/>
        </w:rPr>
        <w:tab/>
      </w:r>
      <w:r w:rsidR="003F6057" w:rsidRPr="00412620">
        <w:rPr>
          <w:rFonts w:cs="Arial"/>
          <w:sz w:val="20"/>
        </w:rPr>
        <w:t>a copy of each currency transactions report and suspicious transactions report generated and submitted by it to the Financial Monitoring Unit under the Anti-Money Laundering Act, 2010 (VII of 2010).</w:t>
      </w:r>
    </w:p>
    <w:p w:rsidR="0008561D" w:rsidRPr="00412620" w:rsidRDefault="0008561D" w:rsidP="0008561D">
      <w:pPr>
        <w:jc w:val="both"/>
        <w:rPr>
          <w:rFonts w:cs="Arial"/>
          <w:sz w:val="20"/>
        </w:rPr>
      </w:pPr>
    </w:p>
    <w:p w:rsidR="00096F16" w:rsidRPr="00412620" w:rsidRDefault="00096F16" w:rsidP="0008561D">
      <w:pPr>
        <w:jc w:val="both"/>
        <w:rPr>
          <w:rFonts w:cs="Arial"/>
          <w:sz w:val="20"/>
        </w:rPr>
      </w:pPr>
      <w:r w:rsidRPr="00412620">
        <w:rPr>
          <w:rFonts w:cs="Arial"/>
          <w:sz w:val="20"/>
        </w:rPr>
        <w:tab/>
        <w:t xml:space="preserve">(2) </w:t>
      </w:r>
      <w:r w:rsidRPr="00412620">
        <w:rPr>
          <w:rFonts w:cs="Arial"/>
          <w:sz w:val="20"/>
        </w:rPr>
        <w:tab/>
        <w:t>Each banking company shall also make arrangements to nominate a senior officer at the head office to coordinate with the Board for provision of any information and documents in addition to those listed in sub-section (1), as may be required by the Board.</w:t>
      </w:r>
    </w:p>
    <w:p w:rsidR="00096F16" w:rsidRPr="00412620" w:rsidRDefault="00096F16" w:rsidP="0008561D">
      <w:pPr>
        <w:jc w:val="both"/>
        <w:rPr>
          <w:rFonts w:cs="Arial"/>
          <w:sz w:val="20"/>
        </w:rPr>
      </w:pPr>
    </w:p>
    <w:p w:rsidR="003F6057" w:rsidRPr="00412620" w:rsidRDefault="00A92A1D" w:rsidP="00A92A1D">
      <w:pPr>
        <w:jc w:val="both"/>
        <w:rPr>
          <w:rFonts w:cs="Arial"/>
          <w:sz w:val="20"/>
        </w:rPr>
      </w:pPr>
      <w:r w:rsidRPr="00412620">
        <w:rPr>
          <w:rFonts w:cs="Arial"/>
          <w:sz w:val="20"/>
        </w:rPr>
        <w:tab/>
        <w:t>(3)</w:t>
      </w:r>
      <w:r w:rsidRPr="00412620">
        <w:rPr>
          <w:rFonts w:cs="Arial"/>
          <w:sz w:val="20"/>
        </w:rPr>
        <w:tab/>
      </w:r>
      <w:r w:rsidR="00BA3E11" w:rsidRPr="00412620">
        <w:rPr>
          <w:rFonts w:cs="Arial"/>
          <w:sz w:val="20"/>
        </w:rPr>
        <w:t xml:space="preserve">The banking companies and their officers shall not be liable to any civil, criminal or disciplinary proceedings against them for furnishing information required under this Ordinance. </w:t>
      </w:r>
    </w:p>
    <w:p w:rsidR="00D804D0" w:rsidRPr="00412620" w:rsidRDefault="00D804D0" w:rsidP="00A92A1D">
      <w:pPr>
        <w:jc w:val="both"/>
        <w:rPr>
          <w:rFonts w:cs="Arial"/>
          <w:sz w:val="20"/>
        </w:rPr>
      </w:pPr>
    </w:p>
    <w:p w:rsidR="00D804D0" w:rsidRPr="002E784E" w:rsidRDefault="00A50395" w:rsidP="002E784E">
      <w:pPr>
        <w:pStyle w:val="ListParagraph"/>
        <w:numPr>
          <w:ilvl w:val="0"/>
          <w:numId w:val="27"/>
        </w:numPr>
        <w:jc w:val="both"/>
        <w:rPr>
          <w:rFonts w:cs="Arial"/>
          <w:sz w:val="20"/>
        </w:rPr>
      </w:pPr>
      <w:r w:rsidRPr="002E784E">
        <w:rPr>
          <w:rFonts w:cs="Arial"/>
          <w:sz w:val="20"/>
        </w:rPr>
        <w:t>Subject to section 216, all information received under this section shall be used only for tax purposes and kept confidential.]</w:t>
      </w:r>
    </w:p>
    <w:p w:rsidR="002E784E" w:rsidRDefault="002E784E" w:rsidP="002E784E">
      <w:pPr>
        <w:jc w:val="both"/>
        <w:rPr>
          <w:rFonts w:cs="Arial"/>
          <w:sz w:val="20"/>
        </w:rPr>
      </w:pPr>
    </w:p>
    <w:p w:rsidR="002E784E" w:rsidRPr="006420B7" w:rsidRDefault="006479E5" w:rsidP="002E784E">
      <w:pPr>
        <w:autoSpaceDE w:val="0"/>
        <w:autoSpaceDN w:val="0"/>
        <w:adjustRightInd w:val="0"/>
        <w:jc w:val="both"/>
        <w:rPr>
          <w:rFonts w:cs="Arial"/>
          <w:color w:val="000000" w:themeColor="text1"/>
          <w:sz w:val="20"/>
          <w:lang w:val="en-US"/>
        </w:rPr>
      </w:pPr>
      <w:r w:rsidRPr="006420B7">
        <w:rPr>
          <w:rStyle w:val="FootnoteReference"/>
          <w:rFonts w:cs="Arial"/>
          <w:b/>
          <w:bCs/>
          <w:color w:val="000000" w:themeColor="text1"/>
          <w:sz w:val="20"/>
          <w:lang w:val="en-US"/>
        </w:rPr>
        <w:footnoteReference w:id="1115"/>
      </w:r>
      <w:r w:rsidR="002E784E" w:rsidRPr="006420B7">
        <w:rPr>
          <w:rFonts w:cs="Arial"/>
          <w:b/>
          <w:bCs/>
          <w:color w:val="000000" w:themeColor="text1"/>
          <w:sz w:val="20"/>
          <w:lang w:val="en-US"/>
        </w:rPr>
        <w:t>[“165B. Furnishing of information by financial institutions</w:t>
      </w:r>
      <w:r w:rsidR="00716C91" w:rsidRPr="006420B7">
        <w:rPr>
          <w:rFonts w:cs="Arial"/>
          <w:b/>
          <w:bCs/>
          <w:color w:val="000000" w:themeColor="text1"/>
          <w:sz w:val="20"/>
          <w:lang w:val="en-US"/>
        </w:rPr>
        <w:t xml:space="preserve"> </w:t>
      </w:r>
      <w:r w:rsidR="002E784E" w:rsidRPr="006420B7">
        <w:rPr>
          <w:rFonts w:cs="Arial"/>
          <w:b/>
          <w:bCs/>
          <w:color w:val="000000" w:themeColor="text1"/>
          <w:sz w:val="20"/>
          <w:lang w:val="en-US"/>
        </w:rPr>
        <w:t>including banks.</w:t>
      </w:r>
      <w:r w:rsidR="002E784E" w:rsidRPr="006420B7">
        <w:rPr>
          <w:rFonts w:cs="Arial"/>
          <w:color w:val="000000" w:themeColor="text1"/>
          <w:sz w:val="20"/>
          <w:lang w:val="en-US"/>
        </w:rPr>
        <w:t>—(1) Notwithstanding anything contained in any law for</w:t>
      </w:r>
      <w:r w:rsidR="00716C91" w:rsidRPr="006420B7">
        <w:rPr>
          <w:rFonts w:cs="Arial"/>
          <w:color w:val="000000" w:themeColor="text1"/>
          <w:sz w:val="20"/>
          <w:lang w:val="en-US"/>
        </w:rPr>
        <w:t xml:space="preserve"> </w:t>
      </w:r>
      <w:r w:rsidR="002E784E" w:rsidRPr="006420B7">
        <w:rPr>
          <w:rFonts w:cs="Arial"/>
          <w:color w:val="000000" w:themeColor="text1"/>
          <w:sz w:val="20"/>
          <w:lang w:val="en-US"/>
        </w:rPr>
        <w:t>the time being in force including but not limited to the Banking Companies</w:t>
      </w:r>
      <w:r w:rsidR="00716C91" w:rsidRPr="006420B7">
        <w:rPr>
          <w:rFonts w:cs="Arial"/>
          <w:color w:val="000000" w:themeColor="text1"/>
          <w:sz w:val="20"/>
          <w:lang w:val="en-US"/>
        </w:rPr>
        <w:t xml:space="preserve"> </w:t>
      </w:r>
      <w:r w:rsidR="002E784E" w:rsidRPr="006420B7">
        <w:rPr>
          <w:rFonts w:cs="Arial"/>
          <w:color w:val="000000" w:themeColor="text1"/>
          <w:sz w:val="20"/>
          <w:lang w:val="en-US"/>
        </w:rPr>
        <w:t>Ordinance, 1962 (LVII of 1962), the Protection of Economic Reforms Act,1992 (XII of 1992), the Foreign Exchange Regulation Act, 1947 (VII of1947) and any regulations made under the State Bank of Pakistan Act,1956 (XXXIII of 1956) on the subject, every financial institution shall make</w:t>
      </w:r>
      <w:r w:rsidR="00716C91" w:rsidRPr="006420B7">
        <w:rPr>
          <w:rFonts w:cs="Arial"/>
          <w:color w:val="000000" w:themeColor="text1"/>
          <w:sz w:val="20"/>
          <w:lang w:val="en-US"/>
        </w:rPr>
        <w:t xml:space="preserve"> </w:t>
      </w:r>
      <w:r w:rsidR="002E784E" w:rsidRPr="006420B7">
        <w:rPr>
          <w:rFonts w:cs="Arial"/>
          <w:color w:val="000000" w:themeColor="text1"/>
          <w:sz w:val="20"/>
          <w:lang w:val="en-US"/>
        </w:rPr>
        <w:t>arrangements to provide information regarding non-resident persons to</w:t>
      </w:r>
      <w:r w:rsidR="00716C91" w:rsidRPr="006420B7">
        <w:rPr>
          <w:rFonts w:cs="Arial"/>
          <w:color w:val="000000" w:themeColor="text1"/>
          <w:sz w:val="20"/>
          <w:lang w:val="en-US"/>
        </w:rPr>
        <w:t xml:space="preserve"> </w:t>
      </w:r>
      <w:r w:rsidR="002E784E" w:rsidRPr="006420B7">
        <w:rPr>
          <w:rFonts w:cs="Arial"/>
          <w:color w:val="000000" w:themeColor="text1"/>
          <w:sz w:val="20"/>
          <w:lang w:val="en-US"/>
        </w:rPr>
        <w:t>the Board in the prescribed form and manner for the purpose of automatic</w:t>
      </w:r>
      <w:r w:rsidR="00716C91" w:rsidRPr="006420B7">
        <w:rPr>
          <w:rFonts w:cs="Arial"/>
          <w:color w:val="000000" w:themeColor="text1"/>
          <w:sz w:val="20"/>
          <w:lang w:val="en-US"/>
        </w:rPr>
        <w:t xml:space="preserve"> </w:t>
      </w:r>
      <w:r w:rsidR="002E784E" w:rsidRPr="006420B7">
        <w:rPr>
          <w:rFonts w:cs="Arial"/>
          <w:color w:val="000000" w:themeColor="text1"/>
          <w:sz w:val="20"/>
          <w:lang w:val="en-US"/>
        </w:rPr>
        <w:t>exchange of information under bilateral agreement or multilateral</w:t>
      </w:r>
      <w:r w:rsidR="00716C91" w:rsidRPr="006420B7">
        <w:rPr>
          <w:rFonts w:cs="Arial"/>
          <w:color w:val="000000" w:themeColor="text1"/>
          <w:sz w:val="20"/>
          <w:lang w:val="en-US"/>
        </w:rPr>
        <w:t xml:space="preserve"> </w:t>
      </w:r>
      <w:r w:rsidR="002E784E" w:rsidRPr="006420B7">
        <w:rPr>
          <w:rFonts w:cs="Arial"/>
          <w:color w:val="000000" w:themeColor="text1"/>
          <w:sz w:val="20"/>
          <w:lang w:val="en-US"/>
        </w:rPr>
        <w:t>convention.</w:t>
      </w:r>
    </w:p>
    <w:p w:rsidR="00F43D73" w:rsidRPr="006420B7" w:rsidRDefault="00F43D73" w:rsidP="002E784E">
      <w:pPr>
        <w:autoSpaceDE w:val="0"/>
        <w:autoSpaceDN w:val="0"/>
        <w:adjustRightInd w:val="0"/>
        <w:jc w:val="both"/>
        <w:rPr>
          <w:rFonts w:cs="Arial"/>
          <w:color w:val="000000" w:themeColor="text1"/>
          <w:sz w:val="20"/>
          <w:lang w:val="en-US"/>
        </w:rPr>
      </w:pPr>
    </w:p>
    <w:p w:rsidR="002E784E" w:rsidRPr="002E784E" w:rsidRDefault="002E784E" w:rsidP="00F43D73">
      <w:pPr>
        <w:autoSpaceDE w:val="0"/>
        <w:autoSpaceDN w:val="0"/>
        <w:adjustRightInd w:val="0"/>
        <w:ind w:firstLine="547"/>
        <w:jc w:val="both"/>
        <w:rPr>
          <w:rFonts w:cs="Arial"/>
          <w:sz w:val="20"/>
        </w:rPr>
      </w:pPr>
      <w:r w:rsidRPr="006420B7">
        <w:rPr>
          <w:rFonts w:cs="Arial"/>
          <w:color w:val="000000" w:themeColor="text1"/>
          <w:sz w:val="20"/>
          <w:lang w:val="en-US"/>
        </w:rPr>
        <w:t>(2)</w:t>
      </w:r>
      <w:r w:rsidRPr="00F43D73">
        <w:rPr>
          <w:rFonts w:cs="Arial"/>
          <w:color w:val="984806" w:themeColor="accent6" w:themeShade="80"/>
          <w:sz w:val="20"/>
          <w:lang w:val="en-US"/>
        </w:rPr>
        <w:t xml:space="preserve"> </w:t>
      </w:r>
      <w:r w:rsidR="00B72828" w:rsidRPr="00F55609">
        <w:rPr>
          <w:rStyle w:val="FootnoteReference"/>
          <w:rFonts w:cs="Arial"/>
          <w:color w:val="0070C0"/>
          <w:sz w:val="20"/>
          <w:lang w:val="en-US"/>
        </w:rPr>
        <w:footnoteReference w:id="1116"/>
      </w:r>
      <w:r w:rsidR="00215914" w:rsidRPr="00F55609">
        <w:rPr>
          <w:rFonts w:cs="Arial"/>
          <w:color w:val="0070C0"/>
          <w:sz w:val="20"/>
          <w:lang w:val="en-US"/>
        </w:rPr>
        <w:t>[All]</w:t>
      </w:r>
      <w:r w:rsidR="00215914">
        <w:rPr>
          <w:rFonts w:cs="Arial"/>
          <w:color w:val="984806" w:themeColor="accent6" w:themeShade="80"/>
          <w:sz w:val="20"/>
          <w:lang w:val="en-US"/>
        </w:rPr>
        <w:t xml:space="preserve"> </w:t>
      </w:r>
      <w:r w:rsidRPr="006420B7">
        <w:rPr>
          <w:rFonts w:cs="Arial"/>
          <w:color w:val="000000" w:themeColor="text1"/>
          <w:sz w:val="20"/>
          <w:lang w:val="en-US"/>
        </w:rPr>
        <w:t>information received under this section</w:t>
      </w:r>
      <w:r w:rsidR="00716C91" w:rsidRPr="006420B7">
        <w:rPr>
          <w:rFonts w:cs="Arial"/>
          <w:color w:val="000000" w:themeColor="text1"/>
          <w:sz w:val="20"/>
          <w:lang w:val="en-US"/>
        </w:rPr>
        <w:t xml:space="preserve"> </w:t>
      </w:r>
      <w:r w:rsidRPr="006420B7">
        <w:rPr>
          <w:rFonts w:cs="Arial"/>
          <w:color w:val="000000" w:themeColor="text1"/>
          <w:sz w:val="20"/>
          <w:lang w:val="en-US"/>
        </w:rPr>
        <w:t>shall be used only for tax and related purposes and kept confidential.</w:t>
      </w:r>
      <w:r w:rsidR="00F43D73" w:rsidRPr="006420B7">
        <w:rPr>
          <w:rFonts w:cs="Arial"/>
          <w:color w:val="000000" w:themeColor="text1"/>
          <w:sz w:val="20"/>
          <w:lang w:val="en-US"/>
        </w:rPr>
        <w:t>”]</w:t>
      </w:r>
    </w:p>
    <w:p w:rsidR="003F6057" w:rsidRPr="00412620" w:rsidRDefault="003F6057" w:rsidP="0008561D">
      <w:pPr>
        <w:jc w:val="both"/>
        <w:rPr>
          <w:rFonts w:cs="Arial"/>
          <w:sz w:val="20"/>
        </w:rPr>
      </w:pPr>
    </w:p>
    <w:p w:rsidR="006A3F93" w:rsidRPr="00412620" w:rsidRDefault="006A3F93" w:rsidP="0076089C">
      <w:pPr>
        <w:jc w:val="both"/>
        <w:rPr>
          <w:rFonts w:cs="Arial"/>
          <w:sz w:val="20"/>
        </w:rPr>
      </w:pPr>
      <w:r w:rsidRPr="00412620">
        <w:rPr>
          <w:rFonts w:cs="Arial"/>
          <w:b/>
          <w:sz w:val="20"/>
        </w:rPr>
        <w:t>166.</w:t>
      </w:r>
      <w:r w:rsidRPr="00412620">
        <w:rPr>
          <w:rFonts w:cs="Arial"/>
          <w:b/>
          <w:sz w:val="20"/>
        </w:rPr>
        <w:tab/>
        <w:t xml:space="preserve"> Priority of tax collected or deducted.</w:t>
      </w:r>
      <w:r w:rsidR="00602C6E" w:rsidRPr="00412620">
        <w:rPr>
          <w:rFonts w:cs="Arial"/>
          <w:sz w:val="20"/>
        </w:rPr>
        <w:t xml:space="preserve"> —</w:t>
      </w:r>
      <w:r w:rsidRPr="00412620">
        <w:rPr>
          <w:sz w:val="20"/>
        </w:rPr>
        <w:t xml:space="preserve"> (1) Tax collected by a person under Division II </w:t>
      </w:r>
      <w:r w:rsidRPr="00412620">
        <w:rPr>
          <w:rStyle w:val="FootnoteReference"/>
          <w:sz w:val="20"/>
        </w:rPr>
        <w:footnoteReference w:id="1117"/>
      </w:r>
      <w:r w:rsidRPr="00412620">
        <w:rPr>
          <w:sz w:val="20"/>
        </w:rPr>
        <w:t xml:space="preserve">[of this Part or Chapter XII] or deducted from a payment under Division III of this Part </w:t>
      </w:r>
      <w:r w:rsidRPr="00412620">
        <w:rPr>
          <w:rStyle w:val="FootnoteReference"/>
          <w:sz w:val="20"/>
        </w:rPr>
        <w:footnoteReference w:id="1118"/>
      </w:r>
      <w:r w:rsidRPr="00412620">
        <w:rPr>
          <w:sz w:val="20"/>
        </w:rPr>
        <w:t xml:space="preserve">[or Chapter XII] shall be </w:t>
      </w:r>
      <w:r w:rsidR="0076089C" w:rsidRPr="00412620">
        <w:rPr>
          <w:rFonts w:cs="Arial"/>
          <w:sz w:val="20"/>
        </w:rPr>
        <w:t>—</w:t>
      </w:r>
    </w:p>
    <w:p w:rsidR="006A3F93" w:rsidRDefault="006A3F93" w:rsidP="00812FA6">
      <w:pPr>
        <w:pStyle w:val="BodyTextIndent"/>
        <w:ind w:left="1620" w:hanging="540"/>
        <w:jc w:val="both"/>
        <w:rPr>
          <w:rFonts w:cs="Arial"/>
          <w:sz w:val="20"/>
        </w:rPr>
      </w:pPr>
      <w:r w:rsidRPr="00412620">
        <w:rPr>
          <w:rFonts w:cs="Arial"/>
          <w:sz w:val="20"/>
        </w:rPr>
        <w:t>(a)</w:t>
      </w:r>
      <w:r w:rsidRPr="00412620">
        <w:rPr>
          <w:rFonts w:cs="Arial"/>
          <w:sz w:val="20"/>
        </w:rPr>
        <w:tab/>
        <w:t xml:space="preserve">held by the person in trust for the </w:t>
      </w:r>
      <w:r w:rsidRPr="00412620">
        <w:rPr>
          <w:rStyle w:val="FootnoteReference"/>
          <w:rFonts w:cs="Arial"/>
          <w:sz w:val="20"/>
        </w:rPr>
        <w:footnoteReference w:id="1119"/>
      </w:r>
      <w:r w:rsidRPr="00412620">
        <w:rPr>
          <w:rFonts w:cs="Arial"/>
          <w:sz w:val="20"/>
        </w:rPr>
        <w:t>[Federal] Government; and</w:t>
      </w:r>
    </w:p>
    <w:p w:rsidR="00812FA6" w:rsidRPr="00812FA6" w:rsidRDefault="00812FA6" w:rsidP="00812FA6">
      <w:pPr>
        <w:pStyle w:val="BodyTextIndent"/>
        <w:ind w:left="1620" w:hanging="540"/>
        <w:jc w:val="both"/>
        <w:rPr>
          <w:rFonts w:cs="Arial"/>
          <w:sz w:val="12"/>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not subject to attachment in respect of any debt or liability of the person.</w:t>
      </w:r>
    </w:p>
    <w:p w:rsidR="006A3F93" w:rsidRPr="00812FA6" w:rsidRDefault="006A3F93">
      <w:pPr>
        <w:jc w:val="both"/>
        <w:rPr>
          <w:rFonts w:cs="Arial"/>
          <w:sz w:val="12"/>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In the event of the liquidation or bankruptcy of a person who has collected </w:t>
      </w:r>
      <w:r w:rsidRPr="00412620">
        <w:rPr>
          <w:rStyle w:val="FootnoteReference"/>
          <w:rFonts w:cs="Arial"/>
          <w:sz w:val="20"/>
        </w:rPr>
        <w:footnoteReference w:id="1120"/>
      </w:r>
      <w:r w:rsidRPr="00412620">
        <w:rPr>
          <w:rFonts w:cs="Arial"/>
          <w:sz w:val="20"/>
        </w:rPr>
        <w:t xml:space="preserve">[  ] or deducted tax from a payment under Division III of this Part </w:t>
      </w:r>
      <w:r w:rsidRPr="00412620">
        <w:rPr>
          <w:rStyle w:val="FootnoteReference"/>
          <w:rFonts w:cs="Arial"/>
          <w:sz w:val="20"/>
        </w:rPr>
        <w:footnoteReference w:id="1121"/>
      </w:r>
      <w:r w:rsidRPr="00412620">
        <w:rPr>
          <w:rFonts w:cs="Arial"/>
          <w:sz w:val="20"/>
        </w:rPr>
        <w:t>[or Chapter XII], the amount collected or deducted shall not form part of the estate of the person in liquidation or bankruptcy and the Commissioner shall have a first claim for that amount before any distribution of property is made.</w:t>
      </w:r>
    </w:p>
    <w:p w:rsidR="003E2FAB" w:rsidRPr="00812FA6" w:rsidRDefault="003E2FAB">
      <w:pPr>
        <w:jc w:val="both"/>
        <w:rPr>
          <w:rFonts w:cs="Arial"/>
          <w:sz w:val="12"/>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Every amount that a person is required to deduct from a payment under Division III of this Part </w:t>
      </w:r>
      <w:r w:rsidRPr="00412620">
        <w:rPr>
          <w:rStyle w:val="FootnoteReference"/>
          <w:rFonts w:cs="Arial"/>
          <w:sz w:val="20"/>
        </w:rPr>
        <w:footnoteReference w:id="1122"/>
      </w:r>
      <w:r w:rsidRPr="00412620">
        <w:rPr>
          <w:rFonts w:cs="Arial"/>
          <w:sz w:val="20"/>
        </w:rPr>
        <w:t>[or Chapter XII] shall be –</w:t>
      </w:r>
    </w:p>
    <w:p w:rsidR="006456DA" w:rsidRPr="00812FA6" w:rsidRDefault="006456DA">
      <w:pPr>
        <w:jc w:val="both"/>
        <w:rPr>
          <w:rFonts w:cs="Arial"/>
          <w:sz w:val="12"/>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a first charge on the payment; and</w:t>
      </w:r>
    </w:p>
    <w:p w:rsidR="006456DA" w:rsidRPr="00812FA6" w:rsidRDefault="006456DA">
      <w:pPr>
        <w:jc w:val="both"/>
        <w:rPr>
          <w:rFonts w:cs="Arial"/>
          <w:sz w:val="12"/>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deducted prior to any other amount that the person may be required to deduct from the payment by virtue of an order of any Court or under any other law.</w:t>
      </w:r>
    </w:p>
    <w:p w:rsidR="006456DA" w:rsidRPr="00812FA6" w:rsidRDefault="006456DA">
      <w:pPr>
        <w:jc w:val="both"/>
        <w:rPr>
          <w:rFonts w:cs="Arial"/>
          <w:sz w:val="12"/>
        </w:rPr>
      </w:pPr>
    </w:p>
    <w:p w:rsidR="006A3F93" w:rsidRPr="00412620" w:rsidRDefault="006A3F93">
      <w:pPr>
        <w:jc w:val="both"/>
        <w:rPr>
          <w:sz w:val="20"/>
        </w:rPr>
      </w:pPr>
      <w:r w:rsidRPr="00412620">
        <w:rPr>
          <w:rFonts w:cs="Arial"/>
          <w:b/>
          <w:sz w:val="20"/>
        </w:rPr>
        <w:t>167.</w:t>
      </w:r>
      <w:r w:rsidRPr="00412620">
        <w:rPr>
          <w:rFonts w:cs="Arial"/>
          <w:b/>
          <w:sz w:val="20"/>
        </w:rPr>
        <w:tab/>
        <w:t>Indemnity.</w:t>
      </w:r>
      <w:r w:rsidR="007B50ED" w:rsidRPr="00412620">
        <w:rPr>
          <w:rFonts w:cs="Arial"/>
          <w:sz w:val="20"/>
        </w:rPr>
        <w:t>—</w:t>
      </w:r>
      <w:r w:rsidRPr="00412620">
        <w:rPr>
          <w:sz w:val="20"/>
        </w:rPr>
        <w:t xml:space="preserve"> A person who has deducted tax from a payment under </w:t>
      </w:r>
      <w:r w:rsidRPr="00412620">
        <w:rPr>
          <w:rStyle w:val="FootnoteReference"/>
          <w:sz w:val="20"/>
        </w:rPr>
        <w:footnoteReference w:id="1123"/>
      </w:r>
      <w:r w:rsidRPr="00412620">
        <w:rPr>
          <w:sz w:val="20"/>
        </w:rPr>
        <w:t xml:space="preserve">[Division III of this Part] </w:t>
      </w:r>
      <w:r w:rsidRPr="00412620">
        <w:rPr>
          <w:rStyle w:val="FootnoteReference"/>
          <w:sz w:val="20"/>
        </w:rPr>
        <w:footnoteReference w:id="1124"/>
      </w:r>
      <w:r w:rsidRPr="00412620">
        <w:rPr>
          <w:sz w:val="20"/>
        </w:rPr>
        <w:t>[or Chapter XII] and remitted the deducted amount to the Commissioner shall be treated as having paid the deducted amount to the recipient of the payment for the purposes of any claim by the recipient for payment of the deducted tax.</w:t>
      </w:r>
    </w:p>
    <w:p w:rsidR="006A3F93" w:rsidRPr="00812FA6" w:rsidRDefault="006A3F93">
      <w:pPr>
        <w:jc w:val="both"/>
        <w:rPr>
          <w:rFonts w:cs="Arial"/>
          <w:sz w:val="12"/>
        </w:rPr>
      </w:pPr>
    </w:p>
    <w:p w:rsidR="006A3F93" w:rsidRPr="00412620" w:rsidRDefault="006A3F93">
      <w:pPr>
        <w:jc w:val="both"/>
        <w:rPr>
          <w:sz w:val="20"/>
        </w:rPr>
      </w:pPr>
      <w:r w:rsidRPr="00412620">
        <w:rPr>
          <w:rFonts w:cs="Arial"/>
          <w:b/>
          <w:sz w:val="20"/>
        </w:rPr>
        <w:t>168.</w:t>
      </w:r>
      <w:r w:rsidRPr="00412620">
        <w:rPr>
          <w:rFonts w:cs="Arial"/>
          <w:b/>
          <w:sz w:val="20"/>
        </w:rPr>
        <w:tab/>
        <w:t>Credit for tax collected or deducted.</w:t>
      </w:r>
      <w:r w:rsidR="007B50ED" w:rsidRPr="00412620">
        <w:rPr>
          <w:rFonts w:cs="Arial"/>
          <w:sz w:val="20"/>
        </w:rPr>
        <w:t xml:space="preserve"> —</w:t>
      </w:r>
      <w:r w:rsidRPr="00412620">
        <w:rPr>
          <w:sz w:val="20"/>
        </w:rPr>
        <w:t xml:space="preserve"> (1) For the purposes of this Ordinance </w:t>
      </w:r>
      <w:r w:rsidR="0076089C" w:rsidRPr="00412620">
        <w:rPr>
          <w:rFonts w:cs="Arial"/>
          <w:sz w:val="20"/>
        </w:rPr>
        <w:t>—</w:t>
      </w:r>
    </w:p>
    <w:p w:rsidR="006A3F93" w:rsidRPr="00812FA6" w:rsidRDefault="006A3F93">
      <w:pPr>
        <w:jc w:val="both"/>
        <w:rPr>
          <w:rFonts w:cs="Arial"/>
          <w:sz w:val="12"/>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the amount of any tax deducted from a payment under Division III of this Part </w:t>
      </w:r>
      <w:r w:rsidRPr="00412620">
        <w:rPr>
          <w:rStyle w:val="FootnoteReference"/>
          <w:rFonts w:cs="Arial"/>
          <w:sz w:val="20"/>
        </w:rPr>
        <w:footnoteReference w:id="1125"/>
      </w:r>
      <w:r w:rsidRPr="00412620">
        <w:rPr>
          <w:rFonts w:cs="Arial"/>
          <w:sz w:val="20"/>
        </w:rPr>
        <w:t>[or Chapter XII] shall be treated as income derived by the person to whom the payment was made; and</w:t>
      </w:r>
    </w:p>
    <w:p w:rsidR="006A3F93" w:rsidRPr="00812FA6" w:rsidRDefault="006A3F93">
      <w:pPr>
        <w:jc w:val="both"/>
        <w:rPr>
          <w:rFonts w:cs="Arial"/>
          <w:sz w:val="12"/>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the amount of any tax collected under Division II of this Part </w:t>
      </w:r>
      <w:r w:rsidRPr="00412620">
        <w:rPr>
          <w:rStyle w:val="FootnoteReference"/>
          <w:rFonts w:cs="Arial"/>
          <w:sz w:val="20"/>
        </w:rPr>
        <w:footnoteReference w:id="1126"/>
      </w:r>
      <w:r w:rsidRPr="00412620">
        <w:rPr>
          <w:rFonts w:cs="Arial"/>
          <w:sz w:val="20"/>
        </w:rPr>
        <w:t xml:space="preserve">[or Chapter XII] or deducted under Division III of this Part </w:t>
      </w:r>
      <w:r w:rsidRPr="00412620">
        <w:rPr>
          <w:rStyle w:val="FootnoteReference"/>
          <w:rFonts w:cs="Arial"/>
          <w:sz w:val="20"/>
        </w:rPr>
        <w:footnoteReference w:id="1127"/>
      </w:r>
      <w:r w:rsidRPr="00412620">
        <w:rPr>
          <w:rFonts w:cs="Arial"/>
          <w:sz w:val="20"/>
        </w:rPr>
        <w:t xml:space="preserve">[or </w:t>
      </w:r>
      <w:r w:rsidRPr="00412620">
        <w:rPr>
          <w:rFonts w:cs="Arial"/>
          <w:sz w:val="20"/>
        </w:rPr>
        <w:lastRenderedPageBreak/>
        <w:t>Chapter XII] shall be treated as tax paid by the person from whom the tax was collected or deducted.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Subject to sub-sections (3) and (4), where an amount of tax has been collected from a person under Division II of this Part </w:t>
      </w:r>
      <w:r w:rsidRPr="00412620">
        <w:rPr>
          <w:rStyle w:val="FootnoteReference"/>
          <w:rFonts w:cs="Arial"/>
          <w:sz w:val="20"/>
        </w:rPr>
        <w:footnoteReference w:id="1128"/>
      </w:r>
      <w:r w:rsidRPr="00412620">
        <w:rPr>
          <w:rFonts w:cs="Arial"/>
          <w:sz w:val="20"/>
        </w:rPr>
        <w:t xml:space="preserve">[or Chapter XII] or deducted from a payment made to a person under Division III of this Part </w:t>
      </w:r>
      <w:r w:rsidRPr="00412620">
        <w:rPr>
          <w:rStyle w:val="FootnoteReference"/>
          <w:rFonts w:cs="Arial"/>
          <w:sz w:val="20"/>
        </w:rPr>
        <w:footnoteReference w:id="1129"/>
      </w:r>
      <w:r w:rsidRPr="00412620">
        <w:rPr>
          <w:rFonts w:cs="Arial"/>
          <w:sz w:val="20"/>
        </w:rPr>
        <w:t>[or Chapter XII], the person shall be allowed a tax credit for that tax in computing the tax due by the person on the taxable income of the person for the tax year in which the tax was collected or deducted.</w:t>
      </w:r>
    </w:p>
    <w:p w:rsidR="006A3F93" w:rsidRPr="00412620" w:rsidRDefault="006A3F93">
      <w:pPr>
        <w:jc w:val="both"/>
        <w:rPr>
          <w:rFonts w:cs="Arial"/>
          <w:sz w:val="20"/>
        </w:rPr>
      </w:pPr>
    </w:p>
    <w:p w:rsidR="003768BC" w:rsidRPr="00412620" w:rsidRDefault="003768BC">
      <w:pPr>
        <w:jc w:val="both"/>
        <w:rPr>
          <w:rFonts w:cs="Arial"/>
          <w:sz w:val="20"/>
        </w:rPr>
      </w:pPr>
      <w:r w:rsidRPr="00412620">
        <w:rPr>
          <w:rFonts w:cs="Arial"/>
          <w:sz w:val="20"/>
        </w:rPr>
        <w:tab/>
      </w:r>
      <w:r w:rsidR="00F32BD7" w:rsidRPr="00412620">
        <w:rPr>
          <w:rStyle w:val="FootnoteReference"/>
          <w:rFonts w:cs="Arial"/>
          <w:sz w:val="20"/>
        </w:rPr>
        <w:footnoteReference w:id="1130"/>
      </w:r>
      <w:r w:rsidR="00F32BD7" w:rsidRPr="00412620">
        <w:rPr>
          <w:rFonts w:cs="Arial"/>
          <w:sz w:val="20"/>
        </w:rPr>
        <w:t xml:space="preserve">[(3) </w:t>
      </w:r>
      <w:r w:rsidR="00F32BD7" w:rsidRPr="00412620">
        <w:rPr>
          <w:rFonts w:cs="Arial"/>
          <w:sz w:val="20"/>
        </w:rPr>
        <w:tab/>
        <w:t>No tax credit shall be allowed for any tax collected or deducted that is a final tax under—</w:t>
      </w:r>
    </w:p>
    <w:p w:rsidR="00F32BD7" w:rsidRPr="00412620" w:rsidRDefault="00F32BD7">
      <w:pPr>
        <w:jc w:val="both"/>
        <w:rPr>
          <w:rFonts w:cs="Arial"/>
          <w:sz w:val="20"/>
        </w:rPr>
      </w:pPr>
    </w:p>
    <w:p w:rsidR="00F32BD7" w:rsidRPr="00412620" w:rsidRDefault="00F32BD7">
      <w:pPr>
        <w:jc w:val="both"/>
        <w:rPr>
          <w:rFonts w:cs="Arial"/>
          <w:sz w:val="20"/>
        </w:rPr>
      </w:pPr>
      <w:r w:rsidRPr="00412620">
        <w:rPr>
          <w:rFonts w:cs="Arial"/>
          <w:sz w:val="20"/>
        </w:rPr>
        <w:tab/>
      </w:r>
      <w:r w:rsidRPr="00412620">
        <w:rPr>
          <w:rFonts w:cs="Arial"/>
          <w:sz w:val="20"/>
        </w:rPr>
        <w:tab/>
        <w:t xml:space="preserve">(a) </w:t>
      </w:r>
      <w:r w:rsidRPr="00412620">
        <w:rPr>
          <w:rFonts w:cs="Arial"/>
          <w:sz w:val="20"/>
        </w:rPr>
        <w:tab/>
        <w:t xml:space="preserve">sub-section (7) of section 148; </w:t>
      </w:r>
      <w:r w:rsidRPr="00412620">
        <w:rPr>
          <w:rFonts w:cs="Arial"/>
          <w:sz w:val="20"/>
        </w:rPr>
        <w:tab/>
      </w:r>
      <w:r w:rsidRPr="00412620">
        <w:rPr>
          <w:rFonts w:cs="Arial"/>
          <w:sz w:val="20"/>
        </w:rPr>
        <w:tab/>
      </w:r>
    </w:p>
    <w:p w:rsidR="00F32BD7" w:rsidRPr="00412620" w:rsidRDefault="00F32BD7">
      <w:pPr>
        <w:jc w:val="both"/>
        <w:rPr>
          <w:rFonts w:cs="Arial"/>
          <w:sz w:val="20"/>
        </w:rPr>
      </w:pPr>
    </w:p>
    <w:p w:rsidR="00F32BD7" w:rsidRPr="00412620" w:rsidRDefault="00F32BD7">
      <w:pPr>
        <w:jc w:val="both"/>
        <w:rPr>
          <w:rFonts w:cs="Arial"/>
          <w:sz w:val="20"/>
        </w:rPr>
      </w:pPr>
      <w:r w:rsidRPr="00412620">
        <w:rPr>
          <w:rFonts w:cs="Arial"/>
          <w:sz w:val="20"/>
        </w:rPr>
        <w:tab/>
      </w:r>
      <w:r w:rsidRPr="00412620">
        <w:rPr>
          <w:rFonts w:cs="Arial"/>
          <w:sz w:val="20"/>
        </w:rPr>
        <w:tab/>
        <w:t xml:space="preserve">(b) </w:t>
      </w:r>
      <w:r w:rsidRPr="00412620">
        <w:rPr>
          <w:rFonts w:cs="Arial"/>
          <w:sz w:val="20"/>
        </w:rPr>
        <w:tab/>
        <w:t>sub-section (3) of section 151;</w:t>
      </w:r>
    </w:p>
    <w:p w:rsidR="00F32BD7" w:rsidRPr="00412620" w:rsidRDefault="00F32BD7">
      <w:pPr>
        <w:jc w:val="both"/>
        <w:rPr>
          <w:rFonts w:cs="Arial"/>
          <w:sz w:val="20"/>
        </w:rPr>
      </w:pPr>
    </w:p>
    <w:p w:rsidR="00F32BD7" w:rsidRPr="00412620" w:rsidRDefault="00F32BD7">
      <w:pPr>
        <w:jc w:val="both"/>
        <w:rPr>
          <w:rFonts w:cs="Arial"/>
          <w:sz w:val="20"/>
        </w:rPr>
      </w:pPr>
      <w:r w:rsidRPr="00412620">
        <w:rPr>
          <w:rFonts w:cs="Arial"/>
          <w:sz w:val="20"/>
        </w:rPr>
        <w:tab/>
      </w:r>
      <w:r w:rsidRPr="00412620">
        <w:rPr>
          <w:rFonts w:cs="Arial"/>
          <w:sz w:val="20"/>
        </w:rPr>
        <w:tab/>
        <w:t xml:space="preserve">(c) </w:t>
      </w:r>
      <w:r w:rsidRPr="00412620">
        <w:rPr>
          <w:rFonts w:cs="Arial"/>
          <w:sz w:val="20"/>
        </w:rPr>
        <w:tab/>
        <w:t>sub-sectio</w:t>
      </w:r>
      <w:r w:rsidR="00546F68" w:rsidRPr="00412620">
        <w:rPr>
          <w:rFonts w:cs="Arial"/>
          <w:sz w:val="20"/>
        </w:rPr>
        <w:t>n (1B) and (1BB) of section 152;</w:t>
      </w:r>
    </w:p>
    <w:p w:rsidR="00F32BD7" w:rsidRPr="00412620" w:rsidRDefault="00F32BD7">
      <w:pPr>
        <w:jc w:val="both"/>
        <w:rPr>
          <w:rFonts w:cs="Arial"/>
          <w:sz w:val="20"/>
        </w:rPr>
      </w:pPr>
    </w:p>
    <w:p w:rsidR="00F32BD7" w:rsidRPr="00412620" w:rsidRDefault="00F32BD7">
      <w:pPr>
        <w:jc w:val="both"/>
        <w:rPr>
          <w:rFonts w:cs="Arial"/>
          <w:sz w:val="20"/>
        </w:rPr>
      </w:pPr>
      <w:r w:rsidRPr="00412620">
        <w:rPr>
          <w:rFonts w:cs="Arial"/>
          <w:sz w:val="20"/>
        </w:rPr>
        <w:tab/>
      </w:r>
      <w:r w:rsidRPr="00412620">
        <w:rPr>
          <w:rFonts w:cs="Arial"/>
          <w:sz w:val="20"/>
        </w:rPr>
        <w:tab/>
        <w:t xml:space="preserve">(d) </w:t>
      </w:r>
      <w:r w:rsidRPr="00412620">
        <w:rPr>
          <w:rFonts w:cs="Arial"/>
          <w:sz w:val="20"/>
        </w:rPr>
        <w:tab/>
      </w:r>
      <w:r w:rsidR="00C0570E" w:rsidRPr="00412620">
        <w:rPr>
          <w:rStyle w:val="FootnoteReference"/>
          <w:rFonts w:cs="Arial"/>
          <w:sz w:val="20"/>
        </w:rPr>
        <w:footnoteReference w:id="1131"/>
      </w:r>
      <w:r w:rsidR="00C0570E" w:rsidRPr="00412620">
        <w:rPr>
          <w:rFonts w:cs="Arial"/>
          <w:sz w:val="20"/>
        </w:rPr>
        <w:t xml:space="preserve">[  ] </w:t>
      </w:r>
      <w:r w:rsidRPr="00412620">
        <w:rPr>
          <w:rFonts w:cs="Arial"/>
          <w:sz w:val="20"/>
        </w:rPr>
        <w:t>sub-section (3) of section 153;</w:t>
      </w:r>
    </w:p>
    <w:p w:rsidR="00F32BD7" w:rsidRPr="00412620" w:rsidRDefault="00F32BD7">
      <w:pPr>
        <w:jc w:val="both"/>
        <w:rPr>
          <w:rFonts w:cs="Arial"/>
          <w:sz w:val="20"/>
        </w:rPr>
      </w:pPr>
    </w:p>
    <w:p w:rsidR="00F32BD7" w:rsidRPr="00412620" w:rsidRDefault="00F32BD7">
      <w:pPr>
        <w:jc w:val="both"/>
        <w:rPr>
          <w:rFonts w:cs="Arial"/>
          <w:sz w:val="20"/>
        </w:rPr>
      </w:pPr>
      <w:r w:rsidRPr="00412620">
        <w:rPr>
          <w:rFonts w:cs="Arial"/>
          <w:sz w:val="20"/>
        </w:rPr>
        <w:tab/>
      </w:r>
      <w:r w:rsidRPr="00412620">
        <w:rPr>
          <w:rFonts w:cs="Arial"/>
          <w:sz w:val="20"/>
        </w:rPr>
        <w:tab/>
        <w:t xml:space="preserve">(e) </w:t>
      </w:r>
      <w:r w:rsidRPr="00412620">
        <w:rPr>
          <w:rFonts w:cs="Arial"/>
          <w:sz w:val="20"/>
        </w:rPr>
        <w:tab/>
        <w:t>sub-section (4) of section 154;</w:t>
      </w:r>
    </w:p>
    <w:p w:rsidR="00F32BD7" w:rsidRPr="00412620" w:rsidRDefault="00F32BD7">
      <w:pPr>
        <w:jc w:val="both"/>
        <w:rPr>
          <w:rFonts w:cs="Arial"/>
          <w:sz w:val="20"/>
        </w:rPr>
      </w:pPr>
    </w:p>
    <w:p w:rsidR="00F32BD7" w:rsidRPr="00412620" w:rsidRDefault="00F32BD7">
      <w:pPr>
        <w:jc w:val="both"/>
        <w:rPr>
          <w:rFonts w:cs="Arial"/>
          <w:sz w:val="20"/>
        </w:rPr>
      </w:pPr>
      <w:r w:rsidRPr="00412620">
        <w:rPr>
          <w:rFonts w:cs="Arial"/>
          <w:sz w:val="20"/>
        </w:rPr>
        <w:tab/>
      </w:r>
      <w:r w:rsidRPr="00412620">
        <w:rPr>
          <w:rFonts w:cs="Arial"/>
          <w:sz w:val="20"/>
        </w:rPr>
        <w:tab/>
        <w:t xml:space="preserve">(f) </w:t>
      </w:r>
      <w:r w:rsidRPr="00412620">
        <w:rPr>
          <w:rFonts w:cs="Arial"/>
          <w:sz w:val="20"/>
        </w:rPr>
        <w:tab/>
        <w:t>sub-section (3) of section 156;</w:t>
      </w:r>
    </w:p>
    <w:p w:rsidR="00F32BD7" w:rsidRPr="00412620" w:rsidRDefault="00F32BD7">
      <w:pPr>
        <w:jc w:val="both"/>
        <w:rPr>
          <w:rFonts w:cs="Arial"/>
          <w:sz w:val="20"/>
        </w:rPr>
      </w:pPr>
    </w:p>
    <w:p w:rsidR="00F32BD7" w:rsidRPr="00412620" w:rsidRDefault="00F32BD7">
      <w:pPr>
        <w:jc w:val="both"/>
        <w:rPr>
          <w:rFonts w:cs="Arial"/>
          <w:sz w:val="20"/>
        </w:rPr>
      </w:pPr>
      <w:r w:rsidRPr="00412620">
        <w:rPr>
          <w:rFonts w:cs="Arial"/>
          <w:sz w:val="20"/>
        </w:rPr>
        <w:tab/>
      </w:r>
      <w:r w:rsidRPr="00412620">
        <w:rPr>
          <w:rFonts w:cs="Arial"/>
          <w:sz w:val="20"/>
        </w:rPr>
        <w:tab/>
        <w:t xml:space="preserve">(g) </w:t>
      </w:r>
      <w:r w:rsidRPr="00412620">
        <w:rPr>
          <w:rFonts w:cs="Arial"/>
          <w:sz w:val="20"/>
        </w:rPr>
        <w:tab/>
        <w:t>sub-section (2) of section 156A;</w:t>
      </w:r>
    </w:p>
    <w:p w:rsidR="00F32BD7" w:rsidRPr="00412620" w:rsidRDefault="00F32BD7">
      <w:pPr>
        <w:jc w:val="both"/>
        <w:rPr>
          <w:rFonts w:cs="Arial"/>
          <w:sz w:val="20"/>
        </w:rPr>
      </w:pPr>
    </w:p>
    <w:p w:rsidR="00F32BD7" w:rsidRPr="00412620" w:rsidRDefault="00F32BD7">
      <w:pPr>
        <w:jc w:val="both"/>
        <w:rPr>
          <w:rFonts w:cs="Arial"/>
          <w:sz w:val="20"/>
        </w:rPr>
      </w:pPr>
      <w:r w:rsidRPr="00412620">
        <w:rPr>
          <w:rFonts w:cs="Arial"/>
          <w:sz w:val="20"/>
        </w:rPr>
        <w:tab/>
      </w:r>
      <w:r w:rsidRPr="00412620">
        <w:rPr>
          <w:rFonts w:cs="Arial"/>
          <w:sz w:val="20"/>
        </w:rPr>
        <w:tab/>
        <w:t xml:space="preserve">(h) </w:t>
      </w:r>
      <w:r w:rsidRPr="00412620">
        <w:rPr>
          <w:rFonts w:cs="Arial"/>
          <w:sz w:val="20"/>
        </w:rPr>
        <w:tab/>
        <w:t>sub-section (3) of section 233;</w:t>
      </w:r>
      <w:r w:rsidR="003A0544" w:rsidRPr="00412620">
        <w:rPr>
          <w:rStyle w:val="FootnoteReference"/>
          <w:rFonts w:cs="Arial"/>
          <w:sz w:val="20"/>
        </w:rPr>
        <w:footnoteReference w:id="1132"/>
      </w:r>
      <w:r w:rsidR="003A0544" w:rsidRPr="00412620">
        <w:rPr>
          <w:rFonts w:cs="Arial"/>
          <w:sz w:val="20"/>
        </w:rPr>
        <w:t>[and]</w:t>
      </w:r>
    </w:p>
    <w:p w:rsidR="00F32BD7" w:rsidRPr="00412620" w:rsidRDefault="00F32BD7">
      <w:pPr>
        <w:jc w:val="both"/>
        <w:rPr>
          <w:rFonts w:cs="Arial"/>
          <w:sz w:val="20"/>
        </w:rPr>
      </w:pPr>
    </w:p>
    <w:p w:rsidR="003A0544" w:rsidRPr="00412620" w:rsidRDefault="003A0544">
      <w:pPr>
        <w:jc w:val="both"/>
        <w:rPr>
          <w:rFonts w:cs="Arial"/>
          <w:sz w:val="20"/>
        </w:rPr>
      </w:pPr>
      <w:r w:rsidRPr="00412620">
        <w:rPr>
          <w:rFonts w:cs="Arial"/>
          <w:sz w:val="20"/>
        </w:rPr>
        <w:tab/>
      </w:r>
      <w:r w:rsidRPr="00412620">
        <w:rPr>
          <w:rFonts w:cs="Arial"/>
          <w:sz w:val="20"/>
        </w:rPr>
        <w:tab/>
      </w:r>
      <w:r w:rsidRPr="00412620">
        <w:rPr>
          <w:rStyle w:val="FootnoteReference"/>
          <w:rFonts w:cs="Arial"/>
          <w:sz w:val="20"/>
        </w:rPr>
        <w:footnoteReference w:id="1133"/>
      </w:r>
      <w:r w:rsidRPr="00412620">
        <w:rPr>
          <w:rFonts w:cs="Arial"/>
          <w:sz w:val="20"/>
        </w:rPr>
        <w:t>[  ]</w:t>
      </w:r>
    </w:p>
    <w:p w:rsidR="00F32BD7" w:rsidRPr="00412620" w:rsidRDefault="00F32BD7">
      <w:pPr>
        <w:jc w:val="both"/>
        <w:rPr>
          <w:rFonts w:cs="Arial"/>
          <w:sz w:val="20"/>
        </w:rPr>
      </w:pPr>
      <w:r w:rsidRPr="00412620">
        <w:rPr>
          <w:rFonts w:cs="Arial"/>
          <w:sz w:val="20"/>
        </w:rPr>
        <w:tab/>
      </w:r>
      <w:r w:rsidRPr="00412620">
        <w:rPr>
          <w:rFonts w:cs="Arial"/>
          <w:sz w:val="20"/>
        </w:rPr>
        <w:tab/>
      </w:r>
    </w:p>
    <w:p w:rsidR="00F32BD7" w:rsidRPr="00412620" w:rsidRDefault="00F32BD7">
      <w:pPr>
        <w:jc w:val="both"/>
        <w:rPr>
          <w:rFonts w:cs="Arial"/>
          <w:sz w:val="20"/>
        </w:rPr>
      </w:pPr>
      <w:r w:rsidRPr="00412620">
        <w:rPr>
          <w:rFonts w:cs="Arial"/>
          <w:sz w:val="20"/>
        </w:rPr>
        <w:tab/>
      </w:r>
      <w:r w:rsidRPr="00412620">
        <w:rPr>
          <w:rFonts w:cs="Arial"/>
          <w:sz w:val="20"/>
        </w:rPr>
        <w:tab/>
        <w:t xml:space="preserve">(j) </w:t>
      </w:r>
      <w:r w:rsidRPr="00412620">
        <w:rPr>
          <w:rFonts w:cs="Arial"/>
          <w:sz w:val="20"/>
        </w:rPr>
        <w:tab/>
        <w:t>sub-section (3) of section 234A.]</w:t>
      </w:r>
    </w:p>
    <w:p w:rsidR="00F32BD7" w:rsidRPr="00412620" w:rsidRDefault="00F32BD7">
      <w:pPr>
        <w:jc w:val="both"/>
        <w:rPr>
          <w:rFonts w:cs="Arial"/>
          <w:sz w:val="20"/>
        </w:rPr>
      </w:pPr>
    </w:p>
    <w:p w:rsidR="006A3F93" w:rsidRPr="00412620" w:rsidRDefault="006A3F93">
      <w:pPr>
        <w:jc w:val="both"/>
        <w:rPr>
          <w:rFonts w:cs="Arial"/>
          <w:sz w:val="20"/>
        </w:rPr>
      </w:pPr>
      <w:r w:rsidRPr="00412620">
        <w:rPr>
          <w:rFonts w:cs="Arial"/>
          <w:sz w:val="20"/>
        </w:rPr>
        <w:lastRenderedPageBreak/>
        <w:tab/>
        <w:t>(4)</w:t>
      </w:r>
      <w:r w:rsidRPr="00412620">
        <w:rPr>
          <w:rFonts w:cs="Arial"/>
          <w:sz w:val="20"/>
        </w:rPr>
        <w:tab/>
        <w:t>A tax credit allowed under this section shall be applied in accordance with sub-section (3) of section 4.</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A tax credit or part of a tax credit allowed under this section for a tax year that is not able to be credited under sub-section (3) of section 4 for the year shall be refunded to the taxpayer in accordance with section 170.</w:t>
      </w:r>
    </w:p>
    <w:p w:rsidR="006A3F93" w:rsidRPr="00412620" w:rsidRDefault="006A3F93">
      <w:pPr>
        <w:jc w:val="both"/>
        <w:rPr>
          <w:rFonts w:cs="Arial"/>
          <w:sz w:val="20"/>
        </w:rPr>
      </w:pPr>
    </w:p>
    <w:p w:rsidR="00227D52" w:rsidRPr="00412620" w:rsidRDefault="00227D52">
      <w:pPr>
        <w:jc w:val="both"/>
        <w:rPr>
          <w:rFonts w:cs="Arial"/>
          <w:sz w:val="20"/>
        </w:rPr>
      </w:pPr>
      <w:r w:rsidRPr="00412620">
        <w:rPr>
          <w:rFonts w:cs="Arial"/>
          <w:sz w:val="20"/>
        </w:rPr>
        <w:tab/>
      </w:r>
      <w:r w:rsidR="00237905" w:rsidRPr="00412620">
        <w:rPr>
          <w:rStyle w:val="FootnoteReference"/>
          <w:rFonts w:cs="Arial"/>
          <w:sz w:val="20"/>
        </w:rPr>
        <w:footnoteReference w:id="1134"/>
      </w:r>
      <w:r w:rsidRPr="00412620">
        <w:rPr>
          <w:rFonts w:cs="Arial"/>
          <w:sz w:val="20"/>
        </w:rPr>
        <w:t xml:space="preserve">[(6) </w:t>
      </w:r>
      <w:r w:rsidRPr="00412620">
        <w:rPr>
          <w:rFonts w:cs="Arial"/>
          <w:sz w:val="20"/>
        </w:rPr>
        <w:tab/>
        <w:t>Notwithstanding anything contained in any other law or any rules for the time being in force, no amount shall be deducted on account of service charges fr</w:t>
      </w:r>
      <w:r w:rsidR="005E34BC" w:rsidRPr="00412620">
        <w:rPr>
          <w:rFonts w:cs="Arial"/>
          <w:sz w:val="20"/>
        </w:rPr>
        <w:t>o</w:t>
      </w:r>
      <w:r w:rsidRPr="00412620">
        <w:rPr>
          <w:rFonts w:cs="Arial"/>
          <w:sz w:val="20"/>
        </w:rPr>
        <w:t>m the tax withheld or collected by any person under the provisions of this Ordinance.]</w:t>
      </w:r>
    </w:p>
    <w:p w:rsidR="00227D52" w:rsidRPr="00412620" w:rsidRDefault="00227D52">
      <w:pPr>
        <w:jc w:val="both"/>
        <w:rPr>
          <w:rFonts w:cs="Arial"/>
          <w:sz w:val="20"/>
        </w:rPr>
      </w:pPr>
    </w:p>
    <w:p w:rsidR="00227D52" w:rsidRPr="00412620" w:rsidRDefault="00227D52">
      <w:pPr>
        <w:jc w:val="both"/>
        <w:rPr>
          <w:rFonts w:cs="Arial"/>
          <w:sz w:val="20"/>
        </w:rPr>
      </w:pPr>
      <w:r w:rsidRPr="00412620">
        <w:rPr>
          <w:rFonts w:cs="Arial"/>
          <w:sz w:val="20"/>
        </w:rPr>
        <w:tab/>
      </w:r>
      <w:r w:rsidR="00237905" w:rsidRPr="00412620">
        <w:rPr>
          <w:rStyle w:val="FootnoteReference"/>
          <w:rFonts w:cs="Arial"/>
          <w:sz w:val="20"/>
        </w:rPr>
        <w:footnoteReference w:id="1135"/>
      </w:r>
      <w:r w:rsidRPr="00412620">
        <w:rPr>
          <w:rFonts w:cs="Arial"/>
          <w:sz w:val="20"/>
        </w:rPr>
        <w:t xml:space="preserve">[(7) </w:t>
      </w:r>
      <w:r w:rsidRPr="00412620">
        <w:rPr>
          <w:rFonts w:cs="Arial"/>
          <w:sz w:val="20"/>
        </w:rPr>
        <w:tab/>
        <w:t>In case any amount is deducted on account of service charges, by the person, the said person will be liable to pay the said amount to the Federal Government and all the provisions of this Ordinance shall apply in so far as they apply to the recovery of tax.]</w:t>
      </w:r>
    </w:p>
    <w:p w:rsidR="00227D52" w:rsidRPr="00412620" w:rsidRDefault="00227D52">
      <w:pPr>
        <w:jc w:val="both"/>
        <w:rPr>
          <w:rFonts w:cs="Arial"/>
          <w:sz w:val="20"/>
        </w:rPr>
      </w:pPr>
    </w:p>
    <w:p w:rsidR="006A3F93" w:rsidRPr="00412620" w:rsidRDefault="006A3F93">
      <w:pPr>
        <w:jc w:val="both"/>
        <w:rPr>
          <w:sz w:val="20"/>
        </w:rPr>
      </w:pPr>
      <w:r w:rsidRPr="00412620">
        <w:rPr>
          <w:rFonts w:cs="Arial"/>
          <w:b/>
          <w:sz w:val="20"/>
        </w:rPr>
        <w:t>169.</w:t>
      </w:r>
      <w:r w:rsidRPr="00412620">
        <w:rPr>
          <w:rFonts w:cs="Arial"/>
          <w:b/>
          <w:sz w:val="20"/>
        </w:rPr>
        <w:tab/>
        <w:t xml:space="preserve"> Tax collected or deducted as a final tax.</w:t>
      </w:r>
      <w:r w:rsidR="00BC7451" w:rsidRPr="00412620">
        <w:rPr>
          <w:rFonts w:cs="Arial"/>
          <w:sz w:val="20"/>
        </w:rPr>
        <w:t>—</w:t>
      </w:r>
      <w:r w:rsidRPr="00412620">
        <w:rPr>
          <w:sz w:val="20"/>
        </w:rPr>
        <w:t xml:space="preserve">(1) This section shall apply where </w:t>
      </w:r>
      <w:r w:rsidR="000E1495" w:rsidRPr="00412620">
        <w:rPr>
          <w:rFonts w:cs="Arial"/>
          <w:sz w:val="20"/>
        </w:rPr>
        <w:t>—</w:t>
      </w:r>
    </w:p>
    <w:p w:rsidR="006A3F93" w:rsidRPr="006420B7" w:rsidRDefault="006A3F93">
      <w:pPr>
        <w:jc w:val="both"/>
        <w:rPr>
          <w:rFonts w:cs="Arial"/>
          <w:b/>
          <w:color w:val="000000" w:themeColor="text1"/>
          <w:sz w:val="20"/>
        </w:rPr>
      </w:pPr>
    </w:p>
    <w:p w:rsidR="006A3F93" w:rsidRPr="006420B7" w:rsidRDefault="006A3F93" w:rsidP="00792592">
      <w:pPr>
        <w:pStyle w:val="BodyTextIndent"/>
        <w:ind w:left="990" w:hanging="360"/>
        <w:jc w:val="both"/>
        <w:rPr>
          <w:rFonts w:cs="Arial"/>
          <w:color w:val="000000" w:themeColor="text1"/>
          <w:sz w:val="20"/>
        </w:rPr>
      </w:pPr>
      <w:r w:rsidRPr="006420B7">
        <w:rPr>
          <w:rFonts w:cs="Arial"/>
          <w:color w:val="000000" w:themeColor="text1"/>
          <w:sz w:val="20"/>
        </w:rPr>
        <w:t>(a)</w:t>
      </w:r>
      <w:r w:rsidRPr="006420B7">
        <w:rPr>
          <w:rFonts w:cs="Arial"/>
          <w:color w:val="000000" w:themeColor="text1"/>
          <w:sz w:val="20"/>
        </w:rPr>
        <w:tab/>
        <w:t xml:space="preserve">the </w:t>
      </w:r>
      <w:r w:rsidR="00E664ED" w:rsidRPr="006420B7">
        <w:rPr>
          <w:rStyle w:val="FootnoteReference"/>
          <w:rFonts w:cs="Arial"/>
          <w:color w:val="000000" w:themeColor="text1"/>
          <w:sz w:val="20"/>
        </w:rPr>
        <w:footnoteReference w:id="1136"/>
      </w:r>
      <w:r w:rsidR="00E664ED" w:rsidRPr="006420B7">
        <w:rPr>
          <w:rFonts w:cs="Arial"/>
          <w:color w:val="000000" w:themeColor="text1"/>
          <w:sz w:val="20"/>
        </w:rPr>
        <w:t>[advance tax required to be collected</w:t>
      </w:r>
      <w:r w:rsidR="00051E71" w:rsidRPr="006420B7">
        <w:rPr>
          <w:rFonts w:cs="Arial"/>
          <w:color w:val="000000" w:themeColor="text1"/>
          <w:sz w:val="20"/>
        </w:rPr>
        <w:t xml:space="preserve"> </w:t>
      </w:r>
      <w:r w:rsidR="00C96266" w:rsidRPr="006420B7">
        <w:rPr>
          <w:rStyle w:val="FootnoteReference"/>
          <w:rFonts w:cs="Arial"/>
          <w:color w:val="000000" w:themeColor="text1"/>
          <w:sz w:val="20"/>
        </w:rPr>
        <w:footnoteReference w:id="1137"/>
      </w:r>
      <w:r w:rsidR="00C96266" w:rsidRPr="006420B7">
        <w:rPr>
          <w:rFonts w:cs="Arial"/>
          <w:color w:val="000000" w:themeColor="text1"/>
          <w:sz w:val="20"/>
        </w:rPr>
        <w:t>[or paid]</w:t>
      </w:r>
      <w:r w:rsidR="00E664ED" w:rsidRPr="006420B7">
        <w:rPr>
          <w:rFonts w:cs="Arial"/>
          <w:color w:val="000000" w:themeColor="text1"/>
          <w:sz w:val="20"/>
        </w:rPr>
        <w:t>]</w:t>
      </w:r>
      <w:r w:rsidRPr="006420B7">
        <w:rPr>
          <w:rFonts w:cs="Arial"/>
          <w:color w:val="000000" w:themeColor="text1"/>
          <w:sz w:val="20"/>
        </w:rPr>
        <w:t xml:space="preserve"> is a final tax under sub-section (7) of section 148</w:t>
      </w:r>
      <w:r w:rsidR="00051E71" w:rsidRPr="006420B7">
        <w:rPr>
          <w:rFonts w:cs="Arial"/>
          <w:color w:val="000000" w:themeColor="text1"/>
          <w:sz w:val="20"/>
        </w:rPr>
        <w:t xml:space="preserve"> </w:t>
      </w:r>
      <w:r w:rsidR="00792592" w:rsidRPr="006420B7">
        <w:rPr>
          <w:rStyle w:val="FootnoteReference"/>
          <w:rFonts w:cs="Arial"/>
          <w:color w:val="000000" w:themeColor="text1"/>
          <w:sz w:val="20"/>
        </w:rPr>
        <w:footnoteReference w:id="1138"/>
      </w:r>
      <w:r w:rsidR="00792592" w:rsidRPr="006420B7">
        <w:rPr>
          <w:rFonts w:cs="Arial"/>
          <w:color w:val="000000" w:themeColor="text1"/>
          <w:sz w:val="20"/>
        </w:rPr>
        <w:t>[,148</w:t>
      </w:r>
      <w:r w:rsidR="00885B38" w:rsidRPr="006420B7">
        <w:rPr>
          <w:rFonts w:cs="Arial"/>
          <w:color w:val="000000" w:themeColor="text1"/>
          <w:sz w:val="20"/>
        </w:rPr>
        <w:t>A</w:t>
      </w:r>
      <w:r w:rsidR="00792592" w:rsidRPr="006420B7">
        <w:rPr>
          <w:rFonts w:cs="Arial"/>
          <w:color w:val="000000" w:themeColor="text1"/>
          <w:sz w:val="20"/>
        </w:rPr>
        <w:t>]</w:t>
      </w:r>
      <w:r w:rsidR="00051E71" w:rsidRPr="006420B7">
        <w:rPr>
          <w:rFonts w:cs="Arial"/>
          <w:color w:val="000000" w:themeColor="text1"/>
          <w:sz w:val="20"/>
        </w:rPr>
        <w:t xml:space="preserve"> </w:t>
      </w:r>
      <w:r w:rsidR="00395137" w:rsidRPr="006420B7">
        <w:rPr>
          <w:rStyle w:val="FootnoteReference"/>
          <w:rFonts w:cs="Arial"/>
          <w:color w:val="000000" w:themeColor="text1"/>
          <w:sz w:val="20"/>
        </w:rPr>
        <w:footnoteReference w:id="1139"/>
      </w:r>
      <w:r w:rsidR="00395137" w:rsidRPr="006420B7">
        <w:rPr>
          <w:rFonts w:cs="Arial"/>
          <w:color w:val="000000" w:themeColor="text1"/>
          <w:sz w:val="20"/>
        </w:rPr>
        <w:t xml:space="preserve">[  ] </w:t>
      </w:r>
      <w:r w:rsidR="00FD2655" w:rsidRPr="006420B7">
        <w:rPr>
          <w:rStyle w:val="FootnoteReference"/>
          <w:rFonts w:cs="Arial"/>
          <w:color w:val="000000" w:themeColor="text1"/>
          <w:sz w:val="20"/>
        </w:rPr>
        <w:footnoteReference w:id="1140"/>
      </w:r>
      <w:r w:rsidR="00FD2655" w:rsidRPr="006420B7">
        <w:rPr>
          <w:rFonts w:cs="Arial"/>
          <w:color w:val="000000" w:themeColor="text1"/>
          <w:sz w:val="20"/>
        </w:rPr>
        <w:t xml:space="preserve">[or section 234A] </w:t>
      </w:r>
      <w:r w:rsidRPr="006420B7">
        <w:rPr>
          <w:rFonts w:cs="Arial"/>
          <w:color w:val="000000" w:themeColor="text1"/>
          <w:sz w:val="20"/>
        </w:rPr>
        <w:t xml:space="preserve"> on the income to which it relates; or </w:t>
      </w:r>
    </w:p>
    <w:p w:rsidR="006A3F93" w:rsidRPr="00412620" w:rsidRDefault="006A3F93">
      <w:pPr>
        <w:pStyle w:val="BodyTextIndent"/>
        <w:jc w:val="both"/>
        <w:rPr>
          <w:rFonts w:cs="Arial"/>
          <w:sz w:val="20"/>
        </w:rPr>
      </w:pPr>
    </w:p>
    <w:p w:rsidR="006A3F93" w:rsidRPr="00412620" w:rsidRDefault="006A3F93" w:rsidP="00051E71">
      <w:pPr>
        <w:pStyle w:val="BodyTextIndent"/>
        <w:ind w:left="990" w:hanging="360"/>
        <w:jc w:val="both"/>
        <w:rPr>
          <w:rFonts w:cs="Arial"/>
          <w:sz w:val="20"/>
        </w:rPr>
      </w:pPr>
      <w:r w:rsidRPr="00412620">
        <w:rPr>
          <w:rFonts w:cs="Arial"/>
          <w:sz w:val="20"/>
        </w:rPr>
        <w:t>(b)</w:t>
      </w:r>
      <w:r w:rsidRPr="00412620">
        <w:rPr>
          <w:rFonts w:cs="Arial"/>
          <w:sz w:val="20"/>
        </w:rPr>
        <w:tab/>
        <w:t xml:space="preserve">the </w:t>
      </w:r>
      <w:r w:rsidR="007D012D" w:rsidRPr="00412620">
        <w:rPr>
          <w:rStyle w:val="FootnoteReference"/>
          <w:rFonts w:cs="Arial"/>
          <w:sz w:val="20"/>
        </w:rPr>
        <w:footnoteReference w:id="1141"/>
      </w:r>
      <w:r w:rsidR="007D012D" w:rsidRPr="00412620">
        <w:rPr>
          <w:rFonts w:cs="Arial"/>
          <w:sz w:val="20"/>
        </w:rPr>
        <w:t xml:space="preserve">[tax required to be deducted] </w:t>
      </w:r>
      <w:r w:rsidRPr="00412620">
        <w:rPr>
          <w:rFonts w:cs="Arial"/>
          <w:sz w:val="20"/>
        </w:rPr>
        <w:t>is a final tax under</w:t>
      </w:r>
      <w:r w:rsidR="001E2A96" w:rsidRPr="00412620">
        <w:rPr>
          <w:rStyle w:val="FootnoteReference"/>
          <w:rFonts w:cs="Arial"/>
          <w:sz w:val="20"/>
        </w:rPr>
        <w:footnoteReference w:id="1142"/>
      </w:r>
      <w:r w:rsidR="001E2A96" w:rsidRPr="00412620">
        <w:rPr>
          <w:rFonts w:cs="Arial"/>
          <w:sz w:val="20"/>
        </w:rPr>
        <w:t>[sub-section (3) of section 151]</w:t>
      </w:r>
      <w:r w:rsidR="00361358" w:rsidRPr="00412620">
        <w:rPr>
          <w:rFonts w:cs="Arial"/>
          <w:sz w:val="20"/>
        </w:rPr>
        <w:t xml:space="preserve">, sub-section (1B) </w:t>
      </w:r>
      <w:r w:rsidR="007544D4" w:rsidRPr="00412620">
        <w:rPr>
          <w:rStyle w:val="FootnoteReference"/>
          <w:rFonts w:cs="Arial"/>
          <w:sz w:val="20"/>
        </w:rPr>
        <w:footnoteReference w:id="1143"/>
      </w:r>
      <w:r w:rsidR="007544D4" w:rsidRPr="00412620">
        <w:rPr>
          <w:rFonts w:cs="Arial"/>
          <w:sz w:val="20"/>
        </w:rPr>
        <w:t xml:space="preserve">[or sub-section (1BB)] </w:t>
      </w:r>
      <w:r w:rsidR="00361358" w:rsidRPr="00412620">
        <w:rPr>
          <w:rFonts w:cs="Arial"/>
          <w:sz w:val="20"/>
        </w:rPr>
        <w:t>of section 152,</w:t>
      </w:r>
      <w:r w:rsidR="007B72F5" w:rsidRPr="00412620">
        <w:rPr>
          <w:rStyle w:val="FootnoteReference"/>
          <w:rFonts w:cs="Arial"/>
          <w:sz w:val="20"/>
        </w:rPr>
        <w:footnoteReference w:id="1144"/>
      </w:r>
      <w:r w:rsidR="007B72F5" w:rsidRPr="00412620">
        <w:rPr>
          <w:rFonts w:cs="Arial"/>
          <w:sz w:val="20"/>
        </w:rPr>
        <w:t>[</w:t>
      </w:r>
      <w:r w:rsidR="008755C7" w:rsidRPr="00412620">
        <w:rPr>
          <w:rStyle w:val="FootnoteReference"/>
          <w:rFonts w:cs="Arial"/>
          <w:sz w:val="20"/>
        </w:rPr>
        <w:footnoteReference w:id="1145"/>
      </w:r>
      <w:r w:rsidR="008755C7" w:rsidRPr="00412620">
        <w:rPr>
          <w:rFonts w:cs="Arial"/>
          <w:sz w:val="20"/>
        </w:rPr>
        <w:t xml:space="preserve">[  ] </w:t>
      </w:r>
      <w:r w:rsidR="007B72F5" w:rsidRPr="00412620">
        <w:rPr>
          <w:rFonts w:cs="Arial"/>
          <w:sz w:val="20"/>
        </w:rPr>
        <w:t>sub-section (3) of section 153]</w:t>
      </w:r>
      <w:r w:rsidRPr="00412620">
        <w:rPr>
          <w:rFonts w:cs="Arial"/>
          <w:sz w:val="20"/>
        </w:rPr>
        <w:t xml:space="preserve">, </w:t>
      </w:r>
      <w:r w:rsidR="007544D4" w:rsidRPr="00412620">
        <w:rPr>
          <w:rStyle w:val="FootnoteReference"/>
          <w:rFonts w:cs="Arial"/>
          <w:sz w:val="20"/>
        </w:rPr>
        <w:footnoteReference w:id="1146"/>
      </w:r>
      <w:r w:rsidR="007544D4" w:rsidRPr="00412620">
        <w:rPr>
          <w:rFonts w:cs="Arial"/>
          <w:sz w:val="20"/>
        </w:rPr>
        <w:t>[</w:t>
      </w:r>
      <w:r w:rsidR="00FA1117" w:rsidRPr="00412620">
        <w:rPr>
          <w:rStyle w:val="FootnoteReference"/>
          <w:rFonts w:cs="Arial"/>
          <w:sz w:val="20"/>
        </w:rPr>
        <w:footnoteReference w:id="1147"/>
      </w:r>
      <w:r w:rsidR="00FA1117" w:rsidRPr="00412620">
        <w:rPr>
          <w:rFonts w:cs="Arial"/>
          <w:sz w:val="20"/>
        </w:rPr>
        <w:t>[sub-section (1AAA)</w:t>
      </w:r>
      <w:r w:rsidR="00365362" w:rsidRPr="00412620">
        <w:rPr>
          <w:rFonts w:cs="Arial"/>
          <w:sz w:val="20"/>
        </w:rPr>
        <w:t xml:space="preserve"> of section 152</w:t>
      </w:r>
      <w:r w:rsidR="00335F5A" w:rsidRPr="00412620">
        <w:rPr>
          <w:rFonts w:cs="Arial"/>
          <w:sz w:val="20"/>
        </w:rPr>
        <w:t>]</w:t>
      </w:r>
      <w:r w:rsidR="007544D4" w:rsidRPr="00412620">
        <w:rPr>
          <w:rFonts w:cs="Arial"/>
          <w:sz w:val="20"/>
        </w:rPr>
        <w:t xml:space="preserve">,] </w:t>
      </w:r>
      <w:r w:rsidRPr="00412620">
        <w:rPr>
          <w:rFonts w:cs="Arial"/>
          <w:sz w:val="20"/>
        </w:rPr>
        <w:t xml:space="preserve">sub-section (4) of section 154, </w:t>
      </w:r>
      <w:r w:rsidR="0088751E" w:rsidRPr="00412620">
        <w:rPr>
          <w:rStyle w:val="FootnoteReference"/>
          <w:rFonts w:cs="Arial"/>
          <w:sz w:val="20"/>
        </w:rPr>
        <w:footnoteReference w:id="1148"/>
      </w:r>
      <w:r w:rsidR="0088751E" w:rsidRPr="00412620">
        <w:rPr>
          <w:rFonts w:cs="Arial"/>
          <w:sz w:val="20"/>
        </w:rPr>
        <w:t xml:space="preserve">[  ] </w:t>
      </w:r>
      <w:r w:rsidRPr="00412620">
        <w:rPr>
          <w:rFonts w:cs="Arial"/>
          <w:sz w:val="20"/>
        </w:rPr>
        <w:t xml:space="preserve">sub-section (3) of section 156, </w:t>
      </w:r>
      <w:r w:rsidRPr="00412620">
        <w:rPr>
          <w:rStyle w:val="FootnoteReference"/>
          <w:rFonts w:cs="Arial"/>
          <w:sz w:val="20"/>
        </w:rPr>
        <w:footnoteReference w:id="1149"/>
      </w:r>
      <w:r w:rsidRPr="00412620">
        <w:rPr>
          <w:rFonts w:cs="Arial"/>
          <w:sz w:val="20"/>
        </w:rPr>
        <w:t xml:space="preserve">[  ] </w:t>
      </w:r>
      <w:r w:rsidRPr="00412620">
        <w:rPr>
          <w:rStyle w:val="FootnoteReference"/>
          <w:rFonts w:cs="Arial"/>
          <w:sz w:val="20"/>
        </w:rPr>
        <w:footnoteReference w:id="1150"/>
      </w:r>
      <w:r w:rsidRPr="00412620">
        <w:rPr>
          <w:rFonts w:cs="Arial"/>
          <w:sz w:val="20"/>
        </w:rPr>
        <w:t>[sub-section (2</w:t>
      </w:r>
      <w:r w:rsidRPr="00E122F6">
        <w:rPr>
          <w:rFonts w:cs="Arial"/>
          <w:color w:val="000000" w:themeColor="text1"/>
          <w:sz w:val="20"/>
        </w:rPr>
        <w:t xml:space="preserve">) </w:t>
      </w:r>
      <w:r w:rsidR="00920EE8" w:rsidRPr="00E122F6">
        <w:rPr>
          <w:rFonts w:cs="Arial"/>
          <w:color w:val="000000" w:themeColor="text1"/>
          <w:sz w:val="20"/>
        </w:rPr>
        <w:t>[</w:t>
      </w:r>
      <w:r w:rsidRPr="00E122F6">
        <w:rPr>
          <w:rFonts w:cs="Arial"/>
          <w:color w:val="000000" w:themeColor="text1"/>
          <w:sz w:val="20"/>
        </w:rPr>
        <w:t>o</w:t>
      </w:r>
      <w:r w:rsidR="00920EE8" w:rsidRPr="00E122F6">
        <w:rPr>
          <w:rFonts w:cs="Arial"/>
          <w:color w:val="000000" w:themeColor="text1"/>
          <w:sz w:val="20"/>
        </w:rPr>
        <w:t>r]</w:t>
      </w:r>
      <w:r w:rsidR="00E122F6">
        <w:rPr>
          <w:rFonts w:cs="Arial"/>
          <w:color w:val="000000" w:themeColor="text1"/>
          <w:sz w:val="20"/>
        </w:rPr>
        <w:t xml:space="preserve"> </w:t>
      </w:r>
      <w:r w:rsidR="00920EE8" w:rsidRPr="00E122F6">
        <w:rPr>
          <w:rStyle w:val="FootnoteReference"/>
          <w:rFonts w:cs="Arial"/>
          <w:color w:val="000000" w:themeColor="text1"/>
          <w:sz w:val="20"/>
        </w:rPr>
        <w:footnoteReference w:id="1151"/>
      </w:r>
      <w:r w:rsidRPr="00412620">
        <w:rPr>
          <w:rFonts w:cs="Arial"/>
          <w:sz w:val="20"/>
        </w:rPr>
        <w:t xml:space="preserve">section 156A or sub-section </w:t>
      </w:r>
      <w:r w:rsidRPr="00412620">
        <w:rPr>
          <w:rStyle w:val="FootnoteReference"/>
          <w:rFonts w:cs="Arial"/>
          <w:sz w:val="20"/>
        </w:rPr>
        <w:lastRenderedPageBreak/>
        <w:footnoteReference w:id="1152"/>
      </w:r>
      <w:r w:rsidRPr="00412620">
        <w:rPr>
          <w:rFonts w:cs="Arial"/>
          <w:sz w:val="20"/>
        </w:rPr>
        <w:t>[(1) and] (3</w:t>
      </w:r>
      <w:r w:rsidRPr="004B53FC">
        <w:rPr>
          <w:rFonts w:cs="Arial"/>
          <w:color w:val="000000" w:themeColor="text1"/>
          <w:sz w:val="20"/>
        </w:rPr>
        <w:t>)</w:t>
      </w:r>
      <w:r w:rsidR="004B53FC" w:rsidRPr="00920EE8">
        <w:rPr>
          <w:rFonts w:cs="Arial"/>
          <w:sz w:val="20"/>
        </w:rPr>
        <w:t>o</w:t>
      </w:r>
      <w:r w:rsidR="00920EE8" w:rsidRPr="00920EE8">
        <w:rPr>
          <w:rFonts w:cs="Arial"/>
          <w:sz w:val="20"/>
        </w:rPr>
        <w:t>f</w:t>
      </w:r>
      <w:r w:rsidRPr="00412620">
        <w:rPr>
          <w:rFonts w:cs="Arial"/>
          <w:sz w:val="20"/>
        </w:rPr>
        <w:t xml:space="preserve"> section 233 </w:t>
      </w:r>
      <w:r w:rsidR="00D4424B" w:rsidRPr="00412620">
        <w:rPr>
          <w:rStyle w:val="FootnoteReference"/>
          <w:rFonts w:cs="Arial"/>
          <w:sz w:val="20"/>
        </w:rPr>
        <w:footnoteReference w:id="1153"/>
      </w:r>
      <w:r w:rsidR="00D4424B" w:rsidRPr="00412620">
        <w:rPr>
          <w:rFonts w:cs="Arial"/>
          <w:sz w:val="20"/>
        </w:rPr>
        <w:t>[ ]</w:t>
      </w:r>
      <w:r w:rsidR="00E122F6">
        <w:rPr>
          <w:rFonts w:cs="Arial"/>
          <w:sz w:val="20"/>
        </w:rPr>
        <w:t xml:space="preserve"> </w:t>
      </w:r>
      <w:r w:rsidRPr="00412620">
        <w:rPr>
          <w:rFonts w:cs="Arial"/>
          <w:sz w:val="20"/>
        </w:rPr>
        <w:t xml:space="preserve">] on the income from which it </w:t>
      </w:r>
      <w:r w:rsidR="006C1C93" w:rsidRPr="00412620">
        <w:rPr>
          <w:rStyle w:val="FootnoteReference"/>
          <w:rFonts w:cs="Arial"/>
          <w:sz w:val="20"/>
        </w:rPr>
        <w:footnoteReference w:id="1154"/>
      </w:r>
      <w:r w:rsidR="006C1C93" w:rsidRPr="00412620">
        <w:rPr>
          <w:rFonts w:cs="Arial"/>
          <w:sz w:val="20"/>
        </w:rPr>
        <w:t>[was deductible]</w:t>
      </w:r>
      <w:r w:rsidRPr="00412620">
        <w:rPr>
          <w:rFonts w:cs="Arial"/>
          <w:sz w:val="20"/>
        </w:rPr>
        <w:t>.</w:t>
      </w:r>
    </w:p>
    <w:p w:rsidR="006A3F93" w:rsidRPr="00412620" w:rsidRDefault="006A3F93">
      <w:pPr>
        <w:pStyle w:val="BodyTextIndent"/>
        <w:ind w:left="0" w:firstLine="0"/>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Where this section applies </w:t>
      </w:r>
      <w:r w:rsidR="007041F7" w:rsidRPr="00412620">
        <w:rPr>
          <w:rFonts w:cs="Arial"/>
          <w:sz w:val="20"/>
        </w:rPr>
        <w:t>—</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income shall not be chargeable to tax under any head of income in computing the taxable income of the person;</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no deduction shall be allowable under this Ordinance for any expenditure incurred in deriving the income;</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the amount of the income shall not be reduced by </w:t>
      </w:r>
      <w:r w:rsidR="007041F7" w:rsidRPr="00412620">
        <w:rPr>
          <w:rFonts w:cs="Arial"/>
          <w:sz w:val="20"/>
        </w:rPr>
        <w:t>—</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w:t>
      </w:r>
      <w:r w:rsidRPr="00412620">
        <w:rPr>
          <w:rFonts w:cs="Arial"/>
          <w:sz w:val="20"/>
        </w:rPr>
        <w:tab/>
        <w:t>any deductible allowance under Part IX of Chapter III; or</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(ii)</w:t>
      </w:r>
      <w:r w:rsidRPr="00412620">
        <w:rPr>
          <w:rFonts w:cs="Arial"/>
          <w:sz w:val="20"/>
        </w:rPr>
        <w:tab/>
        <w:t>the set off of any loss;</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 xml:space="preserve">the tax deducted shall not be reduced by any tax credit allowed under this Ordinance; </w:t>
      </w:r>
      <w:r w:rsidR="009507C3" w:rsidRPr="00412620">
        <w:rPr>
          <w:rStyle w:val="FootnoteReference"/>
          <w:rFonts w:cs="Arial"/>
          <w:sz w:val="20"/>
        </w:rPr>
        <w:footnoteReference w:id="1155"/>
      </w:r>
      <w:r w:rsidR="009507C3" w:rsidRPr="00412620">
        <w:rPr>
          <w:rFonts w:cs="Arial"/>
          <w:sz w:val="20"/>
        </w:rPr>
        <w:t>[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(e)</w:t>
      </w:r>
      <w:r w:rsidRPr="00412620">
        <w:rPr>
          <w:rFonts w:cs="Arial"/>
          <w:sz w:val="20"/>
        </w:rPr>
        <w:tab/>
        <w:t xml:space="preserve">there shall be no refund of the tax collected or deducted </w:t>
      </w:r>
      <w:r w:rsidRPr="00412620">
        <w:rPr>
          <w:rFonts w:cs="Arial"/>
          <w:sz w:val="20"/>
          <w:vertAlign w:val="superscript"/>
        </w:rPr>
        <w:footnoteReference w:id="1156"/>
      </w:r>
      <w:r w:rsidRPr="00412620">
        <w:rPr>
          <w:rFonts w:cs="Arial"/>
          <w:sz w:val="20"/>
        </w:rPr>
        <w:t>[unless the tax so collected or deducted is in excess of the amount for which the taxpayer is chargeable under this Ordinance</w:t>
      </w:r>
      <w:r w:rsidR="00A96877" w:rsidRPr="00412620">
        <w:rPr>
          <w:rStyle w:val="FootnoteReference"/>
          <w:rFonts w:cs="Arial"/>
          <w:sz w:val="20"/>
        </w:rPr>
        <w:footnoteReference w:id="1157"/>
      </w:r>
      <w:r w:rsidR="00A96877" w:rsidRPr="00412620">
        <w:rPr>
          <w:rFonts w:cs="Arial"/>
          <w:sz w:val="20"/>
        </w:rPr>
        <w:t>[; and]</w:t>
      </w:r>
      <w:r w:rsidRPr="00412620">
        <w:rPr>
          <w:rFonts w:cs="Arial"/>
          <w:sz w:val="20"/>
        </w:rPr>
        <w:t>.]</w:t>
      </w:r>
    </w:p>
    <w:p w:rsidR="006A3F93" w:rsidRPr="00412620" w:rsidRDefault="006A3F93">
      <w:pPr>
        <w:jc w:val="both"/>
        <w:rPr>
          <w:rFonts w:cs="Arial"/>
          <w:sz w:val="20"/>
        </w:rPr>
      </w:pPr>
    </w:p>
    <w:p w:rsidR="0087702C" w:rsidRPr="00412620" w:rsidRDefault="00997430" w:rsidP="00997430">
      <w:pPr>
        <w:ind w:left="1620" w:hanging="721"/>
        <w:jc w:val="both"/>
        <w:rPr>
          <w:rFonts w:cs="Arial"/>
          <w:sz w:val="20"/>
        </w:rPr>
      </w:pPr>
      <w:r w:rsidRPr="00412620">
        <w:rPr>
          <w:rStyle w:val="FootnoteReference"/>
          <w:rFonts w:cs="Arial"/>
          <w:sz w:val="20"/>
        </w:rPr>
        <w:footnoteReference w:id="1158"/>
      </w:r>
      <w:r w:rsidR="0087702C" w:rsidRPr="00412620">
        <w:rPr>
          <w:rFonts w:cs="Arial"/>
          <w:sz w:val="20"/>
        </w:rPr>
        <w:t xml:space="preserve">[(f) </w:t>
      </w:r>
      <w:r w:rsidR="0087702C" w:rsidRPr="00412620">
        <w:rPr>
          <w:rFonts w:cs="Arial"/>
          <w:sz w:val="20"/>
        </w:rPr>
        <w:tab/>
      </w:r>
      <w:r w:rsidRPr="00412620">
        <w:rPr>
          <w:sz w:val="20"/>
        </w:rPr>
        <w:t>tax deductible has not been deducted, or short deducted, the   said non-deduction or short deduction may be recovered under section 162, and all the provisions of this Ordinance shall apply accordingly.]</w:t>
      </w:r>
    </w:p>
    <w:p w:rsidR="0087702C" w:rsidRPr="00412620" w:rsidRDefault="0087702C">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Where all the income derived by a person in a tax year is subject to final taxation under the provisions referred to in sub-section (1) or under sections 5, 6 </w:t>
      </w:r>
      <w:r w:rsidR="004E2BA1" w:rsidRPr="00412620">
        <w:rPr>
          <w:rStyle w:val="FootnoteReference"/>
          <w:rFonts w:cs="Arial"/>
          <w:sz w:val="20"/>
        </w:rPr>
        <w:footnoteReference w:id="1159"/>
      </w:r>
      <w:r w:rsidR="004E2BA1" w:rsidRPr="00412620">
        <w:rPr>
          <w:rFonts w:cs="Arial"/>
          <w:sz w:val="20"/>
        </w:rPr>
        <w:t xml:space="preserve">[and] </w:t>
      </w:r>
      <w:r w:rsidRPr="00412620">
        <w:rPr>
          <w:rFonts w:cs="Arial"/>
          <w:sz w:val="20"/>
        </w:rPr>
        <w:t>7</w:t>
      </w:r>
      <w:r w:rsidR="00051E71">
        <w:rPr>
          <w:rFonts w:cs="Arial"/>
          <w:sz w:val="20"/>
        </w:rPr>
        <w:t xml:space="preserve"> </w:t>
      </w:r>
      <w:r w:rsidR="004E2BA1" w:rsidRPr="00412620">
        <w:rPr>
          <w:rStyle w:val="FootnoteReference"/>
          <w:rFonts w:cs="Arial"/>
          <w:sz w:val="20"/>
        </w:rPr>
        <w:footnoteReference w:id="1160"/>
      </w:r>
      <w:r w:rsidR="004E2BA1" w:rsidRPr="00412620">
        <w:t xml:space="preserve">[ ] </w:t>
      </w:r>
      <w:r w:rsidRPr="00412620">
        <w:rPr>
          <w:rStyle w:val="FootnoteReference"/>
          <w:rFonts w:cs="Arial"/>
          <w:sz w:val="20"/>
        </w:rPr>
        <w:footnoteReference w:id="1161"/>
      </w:r>
      <w:r w:rsidRPr="00412620">
        <w:rPr>
          <w:rFonts w:cs="Arial"/>
          <w:sz w:val="20"/>
        </w:rPr>
        <w:t>[an assessment shall be treated to have been made under section 120 and]the person shall not be required to furnish a return of income under section 114 for the year.</w:t>
      </w:r>
    </w:p>
    <w:p w:rsidR="006A3F93" w:rsidRPr="00412620" w:rsidRDefault="006A3F93">
      <w:pPr>
        <w:rPr>
          <w:rFonts w:cs="Arial"/>
          <w:sz w:val="20"/>
        </w:rPr>
      </w:pPr>
    </w:p>
    <w:p w:rsidR="0085152D" w:rsidRPr="00412620" w:rsidRDefault="00CD18B9" w:rsidP="00051E71">
      <w:pPr>
        <w:ind w:left="540" w:firstLine="555"/>
        <w:rPr>
          <w:rFonts w:cs="Arial"/>
          <w:sz w:val="20"/>
        </w:rPr>
      </w:pPr>
      <w:r w:rsidRPr="00412620">
        <w:rPr>
          <w:rStyle w:val="FootnoteReference"/>
          <w:rFonts w:cs="Arial"/>
          <w:sz w:val="20"/>
        </w:rPr>
        <w:footnoteReference w:id="1162"/>
      </w:r>
      <w:r w:rsidR="0085152D" w:rsidRPr="00412620">
        <w:rPr>
          <w:rFonts w:cs="Arial"/>
          <w:sz w:val="20"/>
        </w:rPr>
        <w:t>[</w:t>
      </w:r>
      <w:r w:rsidR="0085152D" w:rsidRPr="00412620">
        <w:rPr>
          <w:rFonts w:cs="Arial"/>
          <w:b/>
          <w:i/>
          <w:sz w:val="20"/>
        </w:rPr>
        <w:t>Explanation</w:t>
      </w:r>
      <w:r w:rsidR="0085152D" w:rsidRPr="00412620">
        <w:rPr>
          <w:rFonts w:cs="Arial"/>
          <w:i/>
          <w:sz w:val="20"/>
        </w:rPr>
        <w:t>.—</w:t>
      </w:r>
      <w:r w:rsidR="0085152D" w:rsidRPr="00412620">
        <w:rPr>
          <w:rFonts w:cs="Arial"/>
          <w:sz w:val="20"/>
        </w:rPr>
        <w:t xml:space="preserve"> The expression, “an assessment shall be treated to have been made under section 120” means,—</w:t>
      </w:r>
    </w:p>
    <w:p w:rsidR="00C12915" w:rsidRPr="00412620" w:rsidRDefault="00C12915" w:rsidP="00C12915">
      <w:pPr>
        <w:ind w:left="1094" w:firstLine="1"/>
        <w:rPr>
          <w:rFonts w:cs="Arial"/>
          <w:sz w:val="20"/>
        </w:rPr>
      </w:pPr>
    </w:p>
    <w:p w:rsidR="00C12915" w:rsidRPr="00412620" w:rsidRDefault="00C12915" w:rsidP="00C12915">
      <w:pPr>
        <w:ind w:left="1635" w:hanging="540"/>
        <w:jc w:val="both"/>
        <w:rPr>
          <w:rFonts w:cs="Arial"/>
          <w:sz w:val="20"/>
        </w:rPr>
      </w:pPr>
      <w:r w:rsidRPr="00412620">
        <w:rPr>
          <w:rFonts w:cs="Arial"/>
          <w:sz w:val="20"/>
        </w:rPr>
        <w:t xml:space="preserve">(a) </w:t>
      </w:r>
      <w:r w:rsidRPr="00412620">
        <w:rPr>
          <w:rFonts w:cs="Arial"/>
          <w:sz w:val="20"/>
        </w:rPr>
        <w:tab/>
        <w:t>the Commissioner shall be taken to have made an assessment of income for that tax year, and the tax due thereon equal to those respective amounts specified in the return or statement under sub-section (4) of section 115; and</w:t>
      </w:r>
    </w:p>
    <w:p w:rsidR="0085152D" w:rsidRPr="00412620" w:rsidRDefault="0085152D">
      <w:pPr>
        <w:rPr>
          <w:rFonts w:cs="Arial"/>
          <w:sz w:val="20"/>
        </w:rPr>
      </w:pPr>
    </w:p>
    <w:p w:rsidR="00C12915" w:rsidRPr="00412620" w:rsidRDefault="00C12915" w:rsidP="002B3696">
      <w:pPr>
        <w:ind w:left="1635" w:hanging="540"/>
        <w:jc w:val="both"/>
        <w:rPr>
          <w:rFonts w:cs="Arial"/>
          <w:sz w:val="20"/>
        </w:rPr>
      </w:pPr>
      <w:r w:rsidRPr="00412620">
        <w:rPr>
          <w:rFonts w:cs="Arial"/>
          <w:sz w:val="20"/>
        </w:rPr>
        <w:t xml:space="preserve">(b) </w:t>
      </w:r>
      <w:r w:rsidRPr="00412620">
        <w:rPr>
          <w:rFonts w:cs="Arial"/>
          <w:sz w:val="20"/>
        </w:rPr>
        <w:tab/>
        <w:t>the return or the statement under sub-section (4) of section 115 shall be taken for all purposes of this Ordinance to be an assessment order.]</w:t>
      </w:r>
    </w:p>
    <w:p w:rsidR="00C12915" w:rsidRPr="00412620" w:rsidRDefault="00C12915">
      <w:pPr>
        <w:rPr>
          <w:rFonts w:cs="Arial"/>
          <w:sz w:val="20"/>
        </w:rPr>
      </w:pPr>
    </w:p>
    <w:p w:rsidR="00C12915" w:rsidRPr="00412620" w:rsidRDefault="00C12915">
      <w:pPr>
        <w:rPr>
          <w:rFonts w:cs="Arial"/>
          <w:sz w:val="20"/>
        </w:rPr>
      </w:pPr>
    </w:p>
    <w:p w:rsidR="006A3F93" w:rsidRPr="00412620" w:rsidRDefault="006A3F93">
      <w:pPr>
        <w:rPr>
          <w:rFonts w:cs="Arial"/>
          <w:sz w:val="20"/>
        </w:rPr>
      </w:pPr>
      <w:r w:rsidRPr="00412620">
        <w:rPr>
          <w:rFonts w:cs="Arial"/>
          <w:sz w:val="20"/>
        </w:rPr>
        <w:tab/>
      </w:r>
      <w:r w:rsidRPr="00412620">
        <w:rPr>
          <w:rStyle w:val="FootnoteReference"/>
          <w:rFonts w:cs="Arial"/>
          <w:sz w:val="20"/>
        </w:rPr>
        <w:footnoteReference w:id="1163"/>
      </w:r>
      <w:r w:rsidRPr="00412620">
        <w:rPr>
          <w:rFonts w:cs="Arial"/>
          <w:sz w:val="20"/>
        </w:rPr>
        <w:t>[  ]</w:t>
      </w:r>
    </w:p>
    <w:p w:rsidR="00051E71" w:rsidRDefault="00051E71">
      <w:pPr>
        <w:keepNext/>
        <w:jc w:val="center"/>
        <w:rPr>
          <w:rFonts w:cs="Arial"/>
          <w:b/>
          <w:sz w:val="20"/>
        </w:rPr>
      </w:pPr>
    </w:p>
    <w:p w:rsidR="00C03AEB" w:rsidRPr="00F55609" w:rsidRDefault="00393268" w:rsidP="00C03AEB">
      <w:pPr>
        <w:keepNext/>
        <w:ind w:firstLine="630"/>
        <w:jc w:val="both"/>
        <w:rPr>
          <w:rFonts w:cs="Arial"/>
          <w:bCs/>
          <w:color w:val="0070C0"/>
          <w:sz w:val="20"/>
        </w:rPr>
      </w:pPr>
      <w:r w:rsidRPr="00F55609">
        <w:rPr>
          <w:rStyle w:val="FootnoteReference"/>
          <w:rFonts w:cs="Arial"/>
          <w:color w:val="0070C0"/>
          <w:sz w:val="20"/>
        </w:rPr>
        <w:footnoteReference w:id="1164"/>
      </w:r>
      <w:r w:rsidR="00051E71" w:rsidRPr="00F55609">
        <w:rPr>
          <w:rFonts w:cs="Arial"/>
          <w:color w:val="0070C0"/>
          <w:sz w:val="20"/>
        </w:rPr>
        <w:t>[“(4)</w:t>
      </w:r>
      <w:r w:rsidR="00051E71" w:rsidRPr="00F55609">
        <w:rPr>
          <w:rFonts w:cs="Arial"/>
          <w:color w:val="0070C0"/>
          <w:sz w:val="20"/>
        </w:rPr>
        <w:tab/>
        <w:t>Where the tax collected or deducted is final tax under any provision of the Ordinance and separate rates for filer and non-filer have been prescribed for the said tax, the final tax shall be the tax rate for filer and the excess tax deducted or collected on account of higher rate of non-filer shall be adjustable</w:t>
      </w:r>
      <w:r w:rsidR="00051E71" w:rsidRPr="00F55609">
        <w:rPr>
          <w:rFonts w:cs="Arial"/>
          <w:bCs/>
          <w:color w:val="0070C0"/>
          <w:sz w:val="20"/>
        </w:rPr>
        <w:t xml:space="preserve"> in</w:t>
      </w:r>
      <w:r w:rsidR="00C03AEB" w:rsidRPr="00F55609">
        <w:rPr>
          <w:rFonts w:cs="Arial"/>
          <w:bCs/>
          <w:color w:val="0070C0"/>
          <w:sz w:val="20"/>
        </w:rPr>
        <w:t xml:space="preserve"> </w:t>
      </w:r>
    </w:p>
    <w:p w:rsidR="00EC2345" w:rsidRDefault="00051E71" w:rsidP="00EC2345">
      <w:pPr>
        <w:keepNext/>
        <w:rPr>
          <w:rFonts w:cs="Arial"/>
          <w:b/>
          <w:sz w:val="20"/>
        </w:rPr>
      </w:pPr>
      <w:r w:rsidRPr="00F55609">
        <w:rPr>
          <w:rFonts w:cs="Arial"/>
          <w:bCs/>
          <w:color w:val="0070C0"/>
          <w:sz w:val="20"/>
        </w:rPr>
        <w:t>the return filed for the relevant tax year</w:t>
      </w:r>
      <w:r w:rsidRPr="00F55609">
        <w:rPr>
          <w:rFonts w:cs="Arial"/>
          <w:color w:val="0070C0"/>
          <w:sz w:val="20"/>
        </w:rPr>
        <w:t>.”]</w:t>
      </w:r>
      <w:r>
        <w:rPr>
          <w:rFonts w:cs="Arial"/>
          <w:szCs w:val="24"/>
        </w:rPr>
        <w:t xml:space="preserve">  </w:t>
      </w:r>
      <w:r w:rsidR="00FD7488" w:rsidRPr="00412620">
        <w:rPr>
          <w:rFonts w:cs="Arial"/>
          <w:b/>
          <w:sz w:val="20"/>
        </w:rPr>
        <w:br w:type="page"/>
      </w:r>
    </w:p>
    <w:p w:rsidR="00EC2345" w:rsidRDefault="00EC2345" w:rsidP="00EC2345">
      <w:pPr>
        <w:keepNext/>
        <w:jc w:val="center"/>
        <w:rPr>
          <w:rFonts w:cs="Arial"/>
          <w:b/>
          <w:sz w:val="32"/>
          <w:szCs w:val="32"/>
        </w:rPr>
      </w:pPr>
    </w:p>
    <w:p w:rsidR="006A3F93" w:rsidRPr="00412620" w:rsidRDefault="006A3F93" w:rsidP="00EC2345">
      <w:pPr>
        <w:keepNext/>
        <w:jc w:val="center"/>
        <w:rPr>
          <w:rFonts w:cs="Arial"/>
          <w:b/>
          <w:sz w:val="32"/>
          <w:szCs w:val="32"/>
        </w:rPr>
      </w:pPr>
      <w:r w:rsidRPr="00412620">
        <w:rPr>
          <w:rFonts w:cs="Arial"/>
          <w:b/>
          <w:sz w:val="32"/>
          <w:szCs w:val="32"/>
        </w:rPr>
        <w:t>PART VI</w:t>
      </w:r>
    </w:p>
    <w:p w:rsidR="006A3F93" w:rsidRPr="00412620" w:rsidRDefault="006A3F93">
      <w:pPr>
        <w:pStyle w:val="Heading8"/>
        <w:rPr>
          <w:rFonts w:cs="Arial"/>
          <w:i w:val="0"/>
          <w:sz w:val="20"/>
        </w:rPr>
      </w:pPr>
      <w:r w:rsidRPr="00412620">
        <w:rPr>
          <w:rFonts w:cs="Arial"/>
          <w:i w:val="0"/>
          <w:sz w:val="20"/>
        </w:rPr>
        <w:t>REFUNDS</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170.</w:t>
      </w:r>
      <w:r w:rsidRPr="00412620">
        <w:rPr>
          <w:rFonts w:cs="Arial"/>
          <w:b/>
          <w:sz w:val="20"/>
        </w:rPr>
        <w:tab/>
        <w:t xml:space="preserve"> Refunds.</w:t>
      </w:r>
      <w:r w:rsidR="007B1B3D" w:rsidRPr="00412620">
        <w:rPr>
          <w:rFonts w:cs="Arial"/>
          <w:sz w:val="20"/>
        </w:rPr>
        <w:t>—</w:t>
      </w:r>
      <w:r w:rsidRPr="00412620">
        <w:rPr>
          <w:sz w:val="20"/>
        </w:rPr>
        <w:t xml:space="preserve"> (1)  A taxpayer who has paid tax in excess of the amount which the taxpayer is properly chargeable under this Ordinance may apply to the Commissioner for a refund of the excess.</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1165"/>
      </w:r>
      <w:r w:rsidRPr="00412620">
        <w:rPr>
          <w:rFonts w:cs="Arial"/>
          <w:sz w:val="20"/>
        </w:rPr>
        <w:t xml:space="preserve">[(1A) </w:t>
      </w:r>
      <w:r w:rsidRPr="00412620">
        <w:rPr>
          <w:rFonts w:cs="Arial"/>
          <w:sz w:val="20"/>
        </w:rPr>
        <w:tab/>
        <w:t>Where any advance or loan, to which sub-clause (e) of clause (19) of section 2 applies, is repaid by a taxpayer, he shall be entitled to a refund of the tax, if any, paid by him as a result of such advance or loan having been treated as dividend under the aforesaid provision.]</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(2)</w:t>
      </w:r>
      <w:r w:rsidRPr="00412620">
        <w:rPr>
          <w:rFonts w:cs="Arial"/>
          <w:sz w:val="20"/>
        </w:rPr>
        <w:tab/>
        <w:t>An application for a refund under sub-section (1) shall be –</w:t>
      </w:r>
    </w:p>
    <w:p w:rsidR="006A3F93" w:rsidRPr="00412620" w:rsidRDefault="006A3F93">
      <w:pPr>
        <w:jc w:val="both"/>
        <w:rPr>
          <w:rFonts w:cs="Arial"/>
          <w:sz w:val="18"/>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made in the prescribed form; </w:t>
      </w:r>
    </w:p>
    <w:p w:rsidR="006A3F93" w:rsidRPr="00412620" w:rsidRDefault="006A3F93">
      <w:pPr>
        <w:jc w:val="both"/>
        <w:rPr>
          <w:rFonts w:cs="Arial"/>
          <w:sz w:val="18"/>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verified in the prescribed manner; and</w:t>
      </w:r>
    </w:p>
    <w:p w:rsidR="006A3F93" w:rsidRPr="00412620" w:rsidRDefault="006A3F93">
      <w:pPr>
        <w:jc w:val="both"/>
        <w:rPr>
          <w:rFonts w:cs="Arial"/>
          <w:sz w:val="18"/>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made within </w:t>
      </w:r>
      <w:r w:rsidR="003E4378" w:rsidRPr="00F55609">
        <w:rPr>
          <w:rStyle w:val="FootnoteReference"/>
          <w:rFonts w:cs="Arial"/>
          <w:color w:val="0070C0"/>
          <w:sz w:val="20"/>
        </w:rPr>
        <w:footnoteReference w:id="1166"/>
      </w:r>
      <w:r w:rsidR="003E4378" w:rsidRPr="00F55609">
        <w:rPr>
          <w:rFonts w:cs="Arial"/>
          <w:color w:val="0070C0"/>
          <w:sz w:val="20"/>
        </w:rPr>
        <w:t>[three]</w:t>
      </w:r>
      <w:r w:rsidRPr="00412620">
        <w:rPr>
          <w:rFonts w:cs="Arial"/>
          <w:sz w:val="20"/>
        </w:rPr>
        <w:t xml:space="preserve"> years of the later of -</w:t>
      </w:r>
    </w:p>
    <w:p w:rsidR="006A3F93" w:rsidRPr="00412620" w:rsidRDefault="006A3F93">
      <w:pPr>
        <w:jc w:val="both"/>
        <w:rPr>
          <w:rFonts w:cs="Arial"/>
          <w:sz w:val="18"/>
        </w:rPr>
      </w:pPr>
    </w:p>
    <w:p w:rsidR="006A3F93" w:rsidRPr="00412620" w:rsidRDefault="006A3F93">
      <w:pPr>
        <w:pStyle w:val="BodyTextIndent3"/>
        <w:ind w:left="2160" w:hanging="540"/>
        <w:jc w:val="both"/>
        <w:rPr>
          <w:rFonts w:cs="Arial"/>
          <w:sz w:val="20"/>
        </w:rPr>
      </w:pPr>
      <w:r w:rsidRPr="00412620">
        <w:rPr>
          <w:rFonts w:cs="Arial"/>
          <w:sz w:val="20"/>
        </w:rPr>
        <w:t xml:space="preserve"> (i)</w:t>
      </w:r>
      <w:r w:rsidRPr="00412620">
        <w:rPr>
          <w:rFonts w:cs="Arial"/>
          <w:sz w:val="20"/>
        </w:rPr>
        <w:tab/>
        <w:t>the date on which the Commissioner has issued the assessment order to the taxpayer for the tax year to which the refund application relates; or</w:t>
      </w:r>
    </w:p>
    <w:p w:rsidR="006A3F93" w:rsidRPr="00412620" w:rsidRDefault="006A3F93">
      <w:pPr>
        <w:jc w:val="both"/>
        <w:rPr>
          <w:rFonts w:cs="Arial"/>
          <w:sz w:val="18"/>
        </w:rPr>
      </w:pPr>
    </w:p>
    <w:p w:rsidR="006A3F93" w:rsidRPr="00412620" w:rsidRDefault="006A3F93">
      <w:pPr>
        <w:pStyle w:val="BodyTextIndent3"/>
        <w:ind w:left="2160" w:hanging="540"/>
        <w:jc w:val="both"/>
        <w:rPr>
          <w:rFonts w:cs="Arial"/>
          <w:sz w:val="20"/>
        </w:rPr>
      </w:pPr>
      <w:r w:rsidRPr="00412620">
        <w:rPr>
          <w:rFonts w:cs="Arial"/>
          <w:sz w:val="20"/>
        </w:rPr>
        <w:t>(ii)</w:t>
      </w:r>
      <w:r w:rsidRPr="00412620">
        <w:rPr>
          <w:rFonts w:cs="Arial"/>
          <w:sz w:val="20"/>
        </w:rPr>
        <w:tab/>
        <w:t>the date on which the tax was paid.</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Where the Commissioner is satisfied that tax has been overpaid, the Commissioner shall </w:t>
      </w:r>
      <w:r w:rsidR="00247DFD" w:rsidRPr="00412620">
        <w:rPr>
          <w:rFonts w:cs="Arial"/>
          <w:sz w:val="20"/>
        </w:rPr>
        <w:t>—</w:t>
      </w:r>
      <w:r w:rsidRPr="00412620">
        <w:rPr>
          <w:rFonts w:cs="Arial"/>
          <w:sz w:val="20"/>
        </w:rPr>
        <w:tab/>
      </w:r>
    </w:p>
    <w:p w:rsidR="006A3F93" w:rsidRPr="00412620" w:rsidRDefault="006A3F93">
      <w:pPr>
        <w:jc w:val="both"/>
        <w:rPr>
          <w:rFonts w:cs="Arial"/>
          <w:sz w:val="18"/>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apply the excess in reduction of any other tax due from the taxpayer under this Ordinance; </w:t>
      </w:r>
    </w:p>
    <w:p w:rsidR="006A3F93" w:rsidRPr="00412620" w:rsidRDefault="006A3F93">
      <w:pPr>
        <w:jc w:val="both"/>
        <w:rPr>
          <w:rFonts w:cs="Arial"/>
          <w:sz w:val="18"/>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apply the balance of the excess, if any, in reduction of any outstanding liability of the taxpayer to pay other taxes; and</w:t>
      </w:r>
    </w:p>
    <w:p w:rsidR="006A3F93" w:rsidRPr="00412620" w:rsidRDefault="006A3F93">
      <w:pPr>
        <w:jc w:val="both"/>
        <w:rPr>
          <w:rFonts w:cs="Arial"/>
          <w:sz w:val="18"/>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refund the remainder, if any, to the taxpayer.</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The Commissioner shall, within </w:t>
      </w:r>
      <w:r w:rsidR="00652C36" w:rsidRPr="00412620">
        <w:rPr>
          <w:rStyle w:val="FootnoteReference"/>
          <w:rFonts w:cs="Arial"/>
          <w:sz w:val="20"/>
        </w:rPr>
        <w:footnoteReference w:id="1167"/>
      </w:r>
      <w:r w:rsidR="00652C36" w:rsidRPr="00412620">
        <w:rPr>
          <w:rFonts w:cs="Arial"/>
          <w:sz w:val="20"/>
        </w:rPr>
        <w:t xml:space="preserve">[sixty] </w:t>
      </w:r>
      <w:r w:rsidRPr="00412620">
        <w:rPr>
          <w:rFonts w:cs="Arial"/>
          <w:sz w:val="20"/>
        </w:rPr>
        <w:t xml:space="preserve">days of receipt of a refund application under sub-section (1), serve on the person applying for the refund an order in writing of the decision </w:t>
      </w:r>
      <w:r w:rsidRPr="00412620">
        <w:rPr>
          <w:rStyle w:val="FootnoteReference"/>
          <w:rFonts w:cs="Arial"/>
          <w:sz w:val="20"/>
        </w:rPr>
        <w:footnoteReference w:id="1168"/>
      </w:r>
      <w:r w:rsidRPr="00412620">
        <w:rPr>
          <w:rFonts w:cs="Arial"/>
          <w:sz w:val="20"/>
        </w:rPr>
        <w:t>[after providing the taxpayer an opportunity of being heard].</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r>
      <w:r w:rsidRPr="00412620">
        <w:rPr>
          <w:rStyle w:val="FootnoteReference"/>
          <w:rFonts w:cs="Arial"/>
          <w:sz w:val="20"/>
        </w:rPr>
        <w:footnoteReference w:id="1169"/>
      </w:r>
      <w:r w:rsidRPr="00412620">
        <w:rPr>
          <w:rFonts w:cs="Arial"/>
          <w:sz w:val="20"/>
        </w:rPr>
        <w:t xml:space="preserve">[(5) </w:t>
      </w:r>
      <w:r w:rsidRPr="00412620">
        <w:rPr>
          <w:rFonts w:cs="Arial"/>
          <w:sz w:val="20"/>
        </w:rPr>
        <w:tab/>
        <w:t>A person aggrieved by</w:t>
      </w:r>
      <w:r w:rsidR="00310169" w:rsidRPr="00412620">
        <w:rPr>
          <w:rFonts w:cs="Arial"/>
          <w:sz w:val="20"/>
        </w:rPr>
        <w:t>—</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r>
      <w:r w:rsidRPr="00412620">
        <w:rPr>
          <w:rFonts w:cs="Arial"/>
          <w:sz w:val="20"/>
        </w:rPr>
        <w:tab/>
        <w:t xml:space="preserve">(a) </w:t>
      </w:r>
      <w:r w:rsidRPr="00412620">
        <w:rPr>
          <w:rFonts w:cs="Arial"/>
          <w:sz w:val="20"/>
        </w:rPr>
        <w:tab/>
        <w:t>an order passed under sub-section (4); or</w:t>
      </w:r>
    </w:p>
    <w:p w:rsidR="006A3F93" w:rsidRPr="00412620" w:rsidRDefault="006A3F93">
      <w:pPr>
        <w:jc w:val="both"/>
        <w:rPr>
          <w:rFonts w:cs="Arial"/>
          <w:sz w:val="18"/>
        </w:rPr>
      </w:pPr>
    </w:p>
    <w:p w:rsidR="006A3F93" w:rsidRPr="00412620" w:rsidRDefault="006A3F93">
      <w:pPr>
        <w:ind w:left="1641" w:hanging="546"/>
        <w:jc w:val="both"/>
        <w:rPr>
          <w:rFonts w:cs="Arial"/>
          <w:sz w:val="20"/>
        </w:rPr>
      </w:pPr>
      <w:r w:rsidRPr="00412620">
        <w:rPr>
          <w:rFonts w:cs="Arial"/>
          <w:sz w:val="20"/>
        </w:rPr>
        <w:t xml:space="preserve">(b) </w:t>
      </w:r>
      <w:r w:rsidRPr="00412620">
        <w:rPr>
          <w:rFonts w:cs="Arial"/>
          <w:sz w:val="20"/>
        </w:rPr>
        <w:tab/>
        <w:t xml:space="preserve">the failure of the Commissioner to pass an order under sub-section (4) within the time specified in that sub-section,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r>
      <w:r w:rsidRPr="00412620">
        <w:rPr>
          <w:rFonts w:cs="Arial"/>
          <w:sz w:val="20"/>
        </w:rPr>
        <w:tab/>
        <w:t>may prefer an appeal under Part III of this Chapter.]</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171.</w:t>
      </w:r>
      <w:r w:rsidRPr="00412620">
        <w:rPr>
          <w:sz w:val="20"/>
        </w:rPr>
        <w:tab/>
      </w:r>
      <w:r w:rsidRPr="00412620">
        <w:rPr>
          <w:b/>
          <w:sz w:val="20"/>
        </w:rPr>
        <w:t>Additional payment for delayed refunds.</w:t>
      </w:r>
      <w:r w:rsidR="007B1B3D" w:rsidRPr="00412620">
        <w:rPr>
          <w:rFonts w:cs="Arial"/>
          <w:sz w:val="20"/>
        </w:rPr>
        <w:t>—</w:t>
      </w:r>
      <w:r w:rsidRPr="00412620">
        <w:rPr>
          <w:sz w:val="20"/>
        </w:rPr>
        <w:t xml:space="preserve">(1) Where a refund due to a taxpayer is not paid within three months of the date on which it becomes due, the Commissioner shall pay to the taxpayer a further amount by way of compensation at the rate of </w:t>
      </w:r>
      <w:r w:rsidR="001F5EA4" w:rsidRPr="00412620">
        <w:rPr>
          <w:rStyle w:val="FootnoteReference"/>
          <w:sz w:val="20"/>
        </w:rPr>
        <w:footnoteReference w:id="1170"/>
      </w:r>
      <w:r w:rsidR="002E6190" w:rsidRPr="00412620">
        <w:rPr>
          <w:sz w:val="20"/>
        </w:rPr>
        <w:t>[</w:t>
      </w:r>
      <w:r w:rsidR="006420B7">
        <w:rPr>
          <w:sz w:val="20"/>
        </w:rPr>
        <w:t xml:space="preserve"> </w:t>
      </w:r>
      <w:r w:rsidR="006E55D4" w:rsidRPr="006420B7">
        <w:rPr>
          <w:rStyle w:val="FootnoteReference"/>
          <w:color w:val="000000" w:themeColor="text1"/>
          <w:sz w:val="20"/>
        </w:rPr>
        <w:footnoteReference w:id="1171"/>
      </w:r>
      <w:r w:rsidR="006E55D4" w:rsidRPr="006420B7">
        <w:rPr>
          <w:color w:val="000000" w:themeColor="text1"/>
          <w:sz w:val="20"/>
        </w:rPr>
        <w:t>[KIBOR plus 0.5 per cent]</w:t>
      </w:r>
      <w:r w:rsidR="006420B7">
        <w:rPr>
          <w:color w:val="000000" w:themeColor="text1"/>
          <w:sz w:val="20"/>
        </w:rPr>
        <w:t xml:space="preserve"> </w:t>
      </w:r>
      <w:r w:rsidR="002E6190" w:rsidRPr="006420B7">
        <w:rPr>
          <w:color w:val="000000" w:themeColor="text1"/>
          <w:sz w:val="20"/>
        </w:rPr>
        <w:t>]</w:t>
      </w:r>
      <w:r w:rsidR="002E6190" w:rsidRPr="00412620">
        <w:rPr>
          <w:sz w:val="20"/>
        </w:rPr>
        <w:t xml:space="preserve"> </w:t>
      </w:r>
      <w:r w:rsidRPr="00412620">
        <w:rPr>
          <w:sz w:val="20"/>
        </w:rPr>
        <w:t>per annum of the amount of the refund computed for the period commencing at the end of the three month period and ending on the date on which it was paid</w:t>
      </w:r>
      <w:r w:rsidR="006420B7">
        <w:rPr>
          <w:sz w:val="20"/>
        </w:rPr>
        <w:t xml:space="preserve"> </w:t>
      </w:r>
      <w:r w:rsidR="00EC2052" w:rsidRPr="00412620">
        <w:rPr>
          <w:rStyle w:val="FootnoteReference"/>
          <w:sz w:val="20"/>
        </w:rPr>
        <w:footnoteReference w:id="1172"/>
      </w:r>
      <w:r w:rsidR="00EC2052" w:rsidRPr="00412620">
        <w:rPr>
          <w:sz w:val="20"/>
        </w:rPr>
        <w:t>[:]</w:t>
      </w:r>
    </w:p>
    <w:p w:rsidR="006A3F93" w:rsidRPr="00412620" w:rsidRDefault="006A3F93">
      <w:pPr>
        <w:jc w:val="both"/>
        <w:rPr>
          <w:rFonts w:cs="Arial"/>
          <w:b/>
          <w:sz w:val="20"/>
        </w:rPr>
      </w:pPr>
    </w:p>
    <w:p w:rsidR="00826CE7" w:rsidRPr="00412620" w:rsidRDefault="00826CE7">
      <w:pPr>
        <w:jc w:val="both"/>
        <w:rPr>
          <w:rFonts w:cs="Arial"/>
          <w:sz w:val="20"/>
        </w:rPr>
      </w:pPr>
      <w:r w:rsidRPr="00412620">
        <w:rPr>
          <w:rFonts w:cs="Arial"/>
          <w:b/>
          <w:sz w:val="20"/>
        </w:rPr>
        <w:tab/>
      </w:r>
      <w:r w:rsidR="00D42C26" w:rsidRPr="00412620">
        <w:rPr>
          <w:rStyle w:val="FootnoteReference"/>
          <w:rFonts w:cs="Arial"/>
          <w:b/>
          <w:sz w:val="20"/>
        </w:rPr>
        <w:footnoteReference w:id="1173"/>
      </w:r>
      <w:r w:rsidRPr="00412620">
        <w:rPr>
          <w:rFonts w:cs="Arial"/>
          <w:sz w:val="20"/>
        </w:rPr>
        <w:t>[Provided that where there is reason to believe that a person has claimed the refund which is not admissible to him, the provision regarding the payment of such additional amount shall not apply till the investigation of the claim is completed and the claim is either accepted or rejected.]</w:t>
      </w:r>
    </w:p>
    <w:p w:rsidR="00826CE7" w:rsidRPr="00412620" w:rsidRDefault="00826CE7">
      <w:pPr>
        <w:jc w:val="both"/>
        <w:rPr>
          <w:rFonts w:cs="Arial"/>
          <w:b/>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For the purposes of this section, a refund shall be treated as having become due </w:t>
      </w:r>
      <w:r w:rsidR="008338F2"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in the case of a refund required to be made in consequence of an order on an appeal to the Commissioner (Appeals), an appeal to the Appellate Tribunal, a reference to the High Court or an appeal to the Supreme Court, on the date of receipt of such order by the Commissioner; </w:t>
      </w:r>
      <w:r w:rsidRPr="00412620">
        <w:rPr>
          <w:rStyle w:val="FootnoteReference"/>
          <w:rFonts w:cs="Arial"/>
          <w:sz w:val="20"/>
        </w:rPr>
        <w:footnoteReference w:id="1174"/>
      </w:r>
      <w:r w:rsidRPr="00412620">
        <w:rPr>
          <w:rFonts w:cs="Arial"/>
          <w:sz w:val="20"/>
        </w:rPr>
        <w:t>[or]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in the case of a refund required to be made as a consequence of a revision order under section </w:t>
      </w:r>
      <w:r w:rsidRPr="00412620">
        <w:rPr>
          <w:rStyle w:val="FootnoteReference"/>
          <w:rFonts w:cs="Arial"/>
          <w:sz w:val="20"/>
        </w:rPr>
        <w:footnoteReference w:id="1175"/>
      </w:r>
      <w:r w:rsidRPr="00412620">
        <w:rPr>
          <w:rFonts w:cs="Arial"/>
          <w:sz w:val="20"/>
        </w:rPr>
        <w:t>[122A], on the date the order is made by the Commissioner;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in any other case, on the date the refund order is made.  </w:t>
      </w:r>
    </w:p>
    <w:p w:rsidR="006A3F93" w:rsidRPr="00412620" w:rsidRDefault="006A3F93">
      <w:pPr>
        <w:rPr>
          <w:rFonts w:cs="Arial"/>
          <w:b/>
          <w:sz w:val="20"/>
        </w:rPr>
      </w:pPr>
    </w:p>
    <w:p w:rsidR="008338F2" w:rsidRPr="00412620" w:rsidRDefault="00E14437" w:rsidP="001C3F3E">
      <w:pPr>
        <w:ind w:left="1620" w:firstLine="15"/>
        <w:jc w:val="both"/>
        <w:rPr>
          <w:rFonts w:cs="Arial"/>
          <w:sz w:val="20"/>
        </w:rPr>
      </w:pPr>
      <w:r w:rsidRPr="00412620">
        <w:rPr>
          <w:rStyle w:val="FootnoteReference"/>
          <w:rFonts w:cs="Arial"/>
          <w:b/>
          <w:sz w:val="20"/>
        </w:rPr>
        <w:lastRenderedPageBreak/>
        <w:footnoteReference w:id="1176"/>
      </w:r>
      <w:r w:rsidR="001C3F3E" w:rsidRPr="00412620">
        <w:rPr>
          <w:rFonts w:cs="Arial"/>
          <w:b/>
          <w:sz w:val="20"/>
        </w:rPr>
        <w:t>[</w:t>
      </w:r>
      <w:r w:rsidR="001C3F3E" w:rsidRPr="00412620">
        <w:rPr>
          <w:rFonts w:cs="Arial"/>
          <w:b/>
          <w:i/>
          <w:sz w:val="20"/>
        </w:rPr>
        <w:t>Explanation.—</w:t>
      </w:r>
      <w:r w:rsidR="001C3F3E" w:rsidRPr="00412620">
        <w:rPr>
          <w:rFonts w:cs="Arial"/>
          <w:sz w:val="20"/>
        </w:rPr>
        <w:t>For the removal of doubt, it is clarified that where a refund order is made on an application under sub-section (1) of section 170, for the purpose of compensation, the refund becomes due from the date refund order is made and not from the date the assessment of income treated to have been made by the Commissioner under section 120.]</w:t>
      </w:r>
    </w:p>
    <w:p w:rsidR="001C3F3E" w:rsidRPr="00412620" w:rsidRDefault="001C3F3E">
      <w:pPr>
        <w:rPr>
          <w:rFonts w:cs="Arial"/>
          <w:sz w:val="20"/>
        </w:rPr>
      </w:pPr>
    </w:p>
    <w:p w:rsidR="006A3F93" w:rsidRPr="00412620" w:rsidRDefault="0088686C" w:rsidP="0088686C">
      <w:pPr>
        <w:jc w:val="center"/>
        <w:rPr>
          <w:rFonts w:cs="Arial"/>
          <w:b/>
          <w:sz w:val="32"/>
          <w:szCs w:val="32"/>
        </w:rPr>
      </w:pPr>
      <w:r w:rsidRPr="00412620">
        <w:rPr>
          <w:rFonts w:cs="Arial"/>
          <w:sz w:val="20"/>
        </w:rPr>
        <w:br w:type="page"/>
      </w:r>
      <w:r w:rsidR="006A3F93" w:rsidRPr="00412620">
        <w:rPr>
          <w:rFonts w:cs="Arial"/>
          <w:b/>
          <w:sz w:val="32"/>
          <w:szCs w:val="32"/>
        </w:rPr>
        <w:lastRenderedPageBreak/>
        <w:t>PART VII</w:t>
      </w:r>
    </w:p>
    <w:p w:rsidR="006A3F93" w:rsidRPr="00412620" w:rsidRDefault="006A3F93">
      <w:pPr>
        <w:keepNext/>
        <w:jc w:val="center"/>
        <w:rPr>
          <w:rFonts w:cs="Arial"/>
          <w:b/>
          <w:sz w:val="20"/>
        </w:rPr>
      </w:pPr>
      <w:r w:rsidRPr="00412620">
        <w:rPr>
          <w:rFonts w:cs="Arial"/>
          <w:b/>
          <w:sz w:val="20"/>
        </w:rPr>
        <w:t>REPRESENTATIVES</w:t>
      </w:r>
    </w:p>
    <w:p w:rsidR="006A3F93" w:rsidRPr="00412620" w:rsidRDefault="006A3F93">
      <w:pPr>
        <w:keepNext/>
        <w:jc w:val="both"/>
        <w:rPr>
          <w:rFonts w:cs="Arial"/>
          <w:sz w:val="20"/>
        </w:rPr>
      </w:pPr>
    </w:p>
    <w:p w:rsidR="006A3F93" w:rsidRPr="00412620" w:rsidRDefault="006A3F93">
      <w:pPr>
        <w:jc w:val="both"/>
        <w:rPr>
          <w:sz w:val="20"/>
        </w:rPr>
      </w:pPr>
      <w:r w:rsidRPr="00412620">
        <w:rPr>
          <w:rFonts w:cs="Arial"/>
          <w:b/>
          <w:sz w:val="20"/>
        </w:rPr>
        <w:t>172.</w:t>
      </w:r>
      <w:r w:rsidRPr="00412620">
        <w:rPr>
          <w:rFonts w:cs="Arial"/>
          <w:b/>
          <w:sz w:val="20"/>
        </w:rPr>
        <w:tab/>
        <w:t xml:space="preserve"> Representatives.</w:t>
      </w:r>
      <w:r w:rsidR="007B1B3D" w:rsidRPr="00412620">
        <w:rPr>
          <w:rFonts w:cs="Arial"/>
          <w:sz w:val="20"/>
        </w:rPr>
        <w:t>—</w:t>
      </w:r>
      <w:r w:rsidRPr="00412620">
        <w:rPr>
          <w:sz w:val="20"/>
        </w:rPr>
        <w:t xml:space="preserve"> (1)  For the purposes of this Ordinance and subject to sub-sections (2) and (3), “representative” in respect of a person for a tax year, means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where the person is an individual under a legal disability, the guardian or manager who receives or is entitled to receive income on behalf, or for the benefit of the individual;</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 xml:space="preserve">where the person is a company (other than a trust, a Provincial Government, or </w:t>
      </w:r>
      <w:r w:rsidR="00721DEC" w:rsidRPr="00412620">
        <w:rPr>
          <w:rStyle w:val="FootnoteReference"/>
          <w:rFonts w:cs="Arial"/>
          <w:sz w:val="20"/>
        </w:rPr>
        <w:footnoteReference w:id="1177"/>
      </w:r>
      <w:r w:rsidR="00721DEC" w:rsidRPr="00412620">
        <w:rPr>
          <w:rFonts w:cs="Arial"/>
          <w:sz w:val="20"/>
        </w:rPr>
        <w:t xml:space="preserve">[Local Government] </w:t>
      </w:r>
      <w:r w:rsidRPr="00412620">
        <w:rPr>
          <w:rFonts w:cs="Arial"/>
          <w:sz w:val="20"/>
        </w:rPr>
        <w:t>in Pakistan), the principal officer of the company;</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where the person is a trust declared by a duly executed instrument in writing whether testamentary or otherwise (including any Wakf deed which is valid under the Mussalman</w:t>
      </w:r>
      <w:r w:rsidR="00E122F6">
        <w:rPr>
          <w:rFonts w:cs="Arial"/>
          <w:sz w:val="20"/>
        </w:rPr>
        <w:t xml:space="preserve"> </w:t>
      </w:r>
      <w:r w:rsidRPr="00412620">
        <w:rPr>
          <w:rFonts w:cs="Arial"/>
          <w:sz w:val="20"/>
        </w:rPr>
        <w:t>Wakf Validation Act, 1913 (VI of 1913)), any trustee of the trust;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 xml:space="preserve">where the person is a Provincial Government, or </w:t>
      </w:r>
      <w:r w:rsidR="00721DEC" w:rsidRPr="00412620">
        <w:rPr>
          <w:rStyle w:val="FootnoteReference"/>
          <w:rFonts w:cs="Arial"/>
          <w:sz w:val="20"/>
        </w:rPr>
        <w:footnoteReference w:id="1178"/>
      </w:r>
      <w:r w:rsidR="00721DEC" w:rsidRPr="00412620">
        <w:rPr>
          <w:rFonts w:cs="Arial"/>
          <w:sz w:val="20"/>
        </w:rPr>
        <w:t xml:space="preserve">[Local Government] </w:t>
      </w:r>
      <w:r w:rsidRPr="00412620">
        <w:rPr>
          <w:rFonts w:cs="Arial"/>
          <w:sz w:val="20"/>
        </w:rPr>
        <w:t>in Pakistan, any individual responsible for accounting for the receipt and payment of moneys or funds on behalf of the Provincial Government or</w:t>
      </w:r>
      <w:r w:rsidR="00721DEC" w:rsidRPr="00412620">
        <w:rPr>
          <w:rStyle w:val="FootnoteReference"/>
          <w:rFonts w:cs="Arial"/>
          <w:sz w:val="20"/>
        </w:rPr>
        <w:footnoteReference w:id="1179"/>
      </w:r>
      <w:r w:rsidR="00721DEC" w:rsidRPr="00412620">
        <w:rPr>
          <w:rFonts w:cs="Arial"/>
          <w:sz w:val="20"/>
        </w:rPr>
        <w:t>[Local Government]</w:t>
      </w:r>
      <w:r w:rsidRPr="00412620">
        <w:rPr>
          <w:rFonts w:cs="Arial"/>
          <w:sz w:val="20"/>
        </w:rPr>
        <w: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where the person is an association of persons, the principal officer of the association or, in the case of a firm, any partner in the firm;</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(f)</w:t>
      </w:r>
      <w:r w:rsidRPr="00412620">
        <w:rPr>
          <w:rFonts w:cs="Arial"/>
          <w:sz w:val="20"/>
        </w:rPr>
        <w:tab/>
        <w:t>where the person is the Federal Government, any individual responsible for accounting for the receipt and payment of moneys or funds on behalf of the Federal Government;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(g)</w:t>
      </w:r>
      <w:r w:rsidRPr="00412620">
        <w:rPr>
          <w:rFonts w:cs="Arial"/>
          <w:sz w:val="20"/>
        </w:rPr>
        <w:tab/>
        <w:t xml:space="preserve">where the person is a public international organisation, or a foreign government or political </w:t>
      </w:r>
      <w:r w:rsidR="00F345AC" w:rsidRPr="00412620">
        <w:rPr>
          <w:rFonts w:cs="Arial"/>
          <w:sz w:val="20"/>
        </w:rPr>
        <w:t>sub-Division</w:t>
      </w:r>
      <w:r w:rsidRPr="00412620">
        <w:rPr>
          <w:rFonts w:cs="Arial"/>
          <w:sz w:val="20"/>
        </w:rPr>
        <w:t xml:space="preserve"> of a foreign government, any individual responsible for accounting for the receipt and payment of moneys or funds in Pakistan on behalf of the organisation, government, or political </w:t>
      </w:r>
      <w:r w:rsidR="00F345AC" w:rsidRPr="00412620">
        <w:rPr>
          <w:rFonts w:cs="Arial"/>
          <w:sz w:val="20"/>
        </w:rPr>
        <w:t>sub-Division</w:t>
      </w:r>
      <w:r w:rsidRPr="00412620">
        <w:rPr>
          <w:rFonts w:cs="Arial"/>
          <w:sz w:val="20"/>
        </w:rPr>
        <w:t xml:space="preserve"> of the government.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lastRenderedPageBreak/>
        <w:tab/>
        <w:t>(2)</w:t>
      </w:r>
      <w:r w:rsidRPr="00412620">
        <w:rPr>
          <w:rFonts w:cs="Arial"/>
          <w:sz w:val="20"/>
        </w:rPr>
        <w:tab/>
        <w:t>Where the Court of Wards, the Administrator General, the Official Trustee, or any receiver or manager appointed by, or under, any order of a Court receives or is entitled to receive income on behalf, or for the benefit of any person, such Court of Wards, Administrator General, Official Trustee, receiver, or manager shall be the representative of the person for a tax year for the purposes of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Subject to sub-sections (4) and (5), where a person is a non-resident person, the representative of the person for the purposes of this Ordinance for a tax year shall be any person in Pakistan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who is employed by, or on behalf of, the non-resident person;</w:t>
      </w:r>
    </w:p>
    <w:p w:rsidR="006A3F93" w:rsidRPr="00412620" w:rsidRDefault="006A3F93">
      <w:pPr>
        <w:pStyle w:val="BodyTextIndent"/>
        <w:jc w:val="both"/>
        <w:rPr>
          <w:rFonts w:cs="Arial"/>
          <w:sz w:val="20"/>
        </w:rPr>
      </w:pPr>
    </w:p>
    <w:p w:rsidR="006A3F93" w:rsidRPr="00412620" w:rsidRDefault="006A3F93">
      <w:pPr>
        <w:ind w:left="1620" w:hanging="540"/>
        <w:jc w:val="both"/>
        <w:rPr>
          <w:rFonts w:cs="Arial"/>
          <w:b/>
          <w:sz w:val="20"/>
        </w:rPr>
      </w:pPr>
      <w:r w:rsidRPr="00412620">
        <w:rPr>
          <w:rFonts w:cs="Arial"/>
          <w:sz w:val="20"/>
        </w:rPr>
        <w:t>(b)</w:t>
      </w:r>
      <w:r w:rsidRPr="00412620">
        <w:rPr>
          <w:rFonts w:cs="Arial"/>
          <w:sz w:val="20"/>
        </w:rPr>
        <w:tab/>
        <w:t>who has any business connection with the non-resident person</w:t>
      </w:r>
      <w:r w:rsidR="00530B2D" w:rsidRPr="00412620">
        <w:rPr>
          <w:rStyle w:val="FootnoteReference"/>
          <w:rFonts w:cs="Arial"/>
          <w:sz w:val="20"/>
        </w:rPr>
        <w:footnoteReference w:id="1180"/>
      </w:r>
      <w:r w:rsidR="00530B2D" w:rsidRPr="00412620">
        <w:rPr>
          <w:rFonts w:cs="Arial"/>
          <w:sz w:val="20"/>
        </w:rPr>
        <w:t xml:space="preserve">[:] </w:t>
      </w:r>
    </w:p>
    <w:p w:rsidR="006A3F93" w:rsidRPr="00412620" w:rsidRDefault="006A3F93">
      <w:pPr>
        <w:jc w:val="both"/>
        <w:rPr>
          <w:rFonts w:cs="Arial"/>
          <w:sz w:val="20"/>
        </w:rPr>
      </w:pPr>
    </w:p>
    <w:p w:rsidR="00530B2D" w:rsidRPr="00412620" w:rsidRDefault="00530B2D" w:rsidP="00530B2D">
      <w:pPr>
        <w:ind w:left="1620" w:firstLine="15"/>
        <w:jc w:val="both"/>
        <w:rPr>
          <w:rFonts w:cs="Arial"/>
          <w:sz w:val="20"/>
        </w:rPr>
      </w:pPr>
      <w:r w:rsidRPr="00412620">
        <w:rPr>
          <w:rStyle w:val="FootnoteReference"/>
          <w:rFonts w:cs="Arial"/>
          <w:sz w:val="20"/>
        </w:rPr>
        <w:footnoteReference w:id="1181"/>
      </w:r>
      <w:r w:rsidRPr="00412620">
        <w:rPr>
          <w:rFonts w:cs="Arial"/>
          <w:sz w:val="20"/>
        </w:rPr>
        <w:t>[</w:t>
      </w:r>
      <w:r w:rsidRPr="00412620">
        <w:rPr>
          <w:rFonts w:cs="Arial"/>
          <w:b/>
          <w:i/>
          <w:sz w:val="20"/>
        </w:rPr>
        <w:t>Explanation</w:t>
      </w:r>
      <w:r w:rsidRPr="00412620">
        <w:rPr>
          <w:rFonts w:cs="Arial"/>
          <w:i/>
          <w:sz w:val="20"/>
        </w:rPr>
        <w:t>.—</w:t>
      </w:r>
      <w:r w:rsidRPr="00412620">
        <w:rPr>
          <w:rFonts w:cs="Arial"/>
          <w:sz w:val="20"/>
        </w:rPr>
        <w:t xml:space="preserve"> In this clause the expression “business connection” includes transfer of an asset or business in Pakistan by a non-resident;]</w:t>
      </w:r>
    </w:p>
    <w:p w:rsidR="00530B2D" w:rsidRPr="00412620" w:rsidRDefault="00530B2D">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from or through whom the non-resident person is in receipt of any income, whether directly or indirectly;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 xml:space="preserve">who holds, or controls the receipt or disposal of any money belonging to the non-resident person;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who is the trustee of the non-resident person; or</w:t>
      </w:r>
    </w:p>
    <w:p w:rsidR="006A3F93" w:rsidRPr="00412620" w:rsidRDefault="006A3F93">
      <w:pPr>
        <w:jc w:val="both"/>
        <w:rPr>
          <w:rFonts w:cs="Arial"/>
          <w:sz w:val="20"/>
        </w:rPr>
      </w:pPr>
    </w:p>
    <w:p w:rsidR="006A3F93" w:rsidRPr="00412620" w:rsidRDefault="006A3F93">
      <w:pPr>
        <w:pStyle w:val="BodyTextIndent3"/>
        <w:ind w:left="1620" w:hanging="540"/>
        <w:jc w:val="both"/>
        <w:rPr>
          <w:rFonts w:cs="Arial"/>
          <w:sz w:val="20"/>
        </w:rPr>
      </w:pPr>
      <w:r w:rsidRPr="00412620">
        <w:rPr>
          <w:rFonts w:cs="Arial"/>
          <w:sz w:val="20"/>
        </w:rPr>
        <w:t>(f )</w:t>
      </w:r>
      <w:r w:rsidRPr="00412620">
        <w:rPr>
          <w:rFonts w:cs="Arial"/>
          <w:sz w:val="20"/>
        </w:rPr>
        <w:tab/>
        <w:t xml:space="preserve">who is declared by the Commissioner by </w:t>
      </w:r>
      <w:r w:rsidRPr="00412620">
        <w:rPr>
          <w:rStyle w:val="FootnoteReference"/>
          <w:rFonts w:cs="Arial"/>
          <w:sz w:val="20"/>
        </w:rPr>
        <w:footnoteReference w:id="1182"/>
      </w:r>
      <w:r w:rsidRPr="00412620">
        <w:rPr>
          <w:rFonts w:cs="Arial"/>
          <w:sz w:val="20"/>
        </w:rPr>
        <w:t>[an order] in writing to be the representative of the non-resident person.</w:t>
      </w:r>
    </w:p>
    <w:p w:rsidR="006A3F93" w:rsidRPr="00412620" w:rsidRDefault="006A3F93">
      <w:pPr>
        <w:pStyle w:val="BodyTextIndent3"/>
        <w:ind w:left="0" w:firstLine="0"/>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A bonafide independent broker in Pakistan who, in respect of any transactions, does not deal directly with, or on behalf of, a non-resident principal but deals with, or through a non-resident broker, shall not be treated as a representative of the non-resident principal in respect of such transactions, if –</w:t>
      </w:r>
    </w:p>
    <w:p w:rsidR="006A3F93" w:rsidRPr="00412620" w:rsidRDefault="006A3F93">
      <w:pPr>
        <w:jc w:val="both"/>
        <w:rPr>
          <w:rFonts w:cs="Arial"/>
          <w:sz w:val="20"/>
        </w:rPr>
      </w:pPr>
    </w:p>
    <w:p w:rsidR="006A3F93" w:rsidRPr="00412620" w:rsidRDefault="006A3F93">
      <w:pPr>
        <w:pStyle w:val="BodyTextIndent3"/>
        <w:ind w:left="1620" w:hanging="540"/>
        <w:jc w:val="both"/>
        <w:rPr>
          <w:rFonts w:cs="Arial"/>
          <w:sz w:val="20"/>
        </w:rPr>
      </w:pPr>
      <w:r w:rsidRPr="00412620">
        <w:rPr>
          <w:rFonts w:cs="Arial"/>
          <w:sz w:val="20"/>
        </w:rPr>
        <w:t>(a)</w:t>
      </w:r>
      <w:r w:rsidRPr="00412620">
        <w:rPr>
          <w:rFonts w:cs="Arial"/>
          <w:sz w:val="20"/>
        </w:rPr>
        <w:tab/>
        <w:t>the transactions are carried on in the ordinary course of business through the first-mentioned broker; and</w:t>
      </w:r>
    </w:p>
    <w:p w:rsidR="006A3F93" w:rsidRPr="00412620" w:rsidRDefault="006A3F93">
      <w:pPr>
        <w:pStyle w:val="BodyTextIndent3"/>
        <w:ind w:left="0" w:firstLine="0"/>
        <w:jc w:val="both"/>
        <w:rPr>
          <w:rFonts w:cs="Arial"/>
          <w:sz w:val="20"/>
        </w:rPr>
      </w:pPr>
    </w:p>
    <w:p w:rsidR="006A3F93" w:rsidRPr="00412620" w:rsidRDefault="006A3F93">
      <w:pPr>
        <w:pStyle w:val="BodyTextIndent3"/>
        <w:ind w:left="1620" w:hanging="540"/>
        <w:jc w:val="both"/>
        <w:rPr>
          <w:rFonts w:cs="Arial"/>
          <w:sz w:val="20"/>
        </w:rPr>
      </w:pPr>
      <w:r w:rsidRPr="00412620">
        <w:rPr>
          <w:rFonts w:cs="Arial"/>
          <w:sz w:val="20"/>
        </w:rPr>
        <w:t>(b)</w:t>
      </w:r>
      <w:r w:rsidRPr="00412620">
        <w:rPr>
          <w:rFonts w:cs="Arial"/>
          <w:sz w:val="20"/>
        </w:rPr>
        <w:tab/>
        <w:t>the non-resident broker is carrying on such transactions in the ordinary course of its business and not as a principal.</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lastRenderedPageBreak/>
        <w:tab/>
        <w:t>(5)</w:t>
      </w:r>
      <w:r w:rsidRPr="00412620">
        <w:rPr>
          <w:rFonts w:cs="Arial"/>
          <w:sz w:val="20"/>
        </w:rPr>
        <w:tab/>
        <w:t xml:space="preserve">No person shall be declared </w:t>
      </w:r>
      <w:r w:rsidRPr="00412620">
        <w:rPr>
          <w:rStyle w:val="FootnoteReference"/>
          <w:rFonts w:cs="Arial"/>
          <w:sz w:val="20"/>
        </w:rPr>
        <w:footnoteReference w:id="1183"/>
      </w:r>
      <w:r w:rsidRPr="00412620">
        <w:rPr>
          <w:rFonts w:cs="Arial"/>
          <w:sz w:val="20"/>
        </w:rPr>
        <w:t>[  ] as the representative of a non-resident person unless the person has been given an opportunity by the Commissioner of being heard.</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173.</w:t>
      </w:r>
      <w:r w:rsidRPr="00412620">
        <w:rPr>
          <w:rFonts w:cs="Arial"/>
          <w:b/>
          <w:sz w:val="20"/>
        </w:rPr>
        <w:tab/>
        <w:t xml:space="preserve"> Liability and obligations of representatives.</w:t>
      </w:r>
      <w:r w:rsidR="00323C13" w:rsidRPr="00412620">
        <w:rPr>
          <w:rFonts w:cs="Arial"/>
          <w:sz w:val="20"/>
        </w:rPr>
        <w:t xml:space="preserve"> —</w:t>
      </w:r>
      <w:r w:rsidRPr="00412620">
        <w:rPr>
          <w:sz w:val="20"/>
        </w:rPr>
        <w:t xml:space="preserve"> (1) Every representative of a person shall be responsible for performing any duties or obligations imposed by or under this Ordinance on the person, including the payment of tax.</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Subject to sub-section (4), any tax that, by virtue of sub-section (1), is payable by a representative of a taxpayer shall be recoverable from the representative only to the extent of any assets of the taxpayer that are in the possession or under the control of the representative.</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(3)</w:t>
      </w:r>
      <w:r w:rsidRPr="00412620">
        <w:rPr>
          <w:rFonts w:cs="Arial"/>
          <w:sz w:val="20"/>
        </w:rPr>
        <w:tab/>
        <w:t>Every representative of a taxpayer who pays any tax owing by the taxpayer shall be entitled to recover the amount so paid from the taxpayer or to retain the amount so paid out of any moneys of the taxpayer that are in the representative’s possession or under the representative’s control.</w:t>
      </w:r>
    </w:p>
    <w:p w:rsidR="006A3F93" w:rsidRPr="00412620" w:rsidRDefault="006A3F93">
      <w:pPr>
        <w:jc w:val="both"/>
        <w:rPr>
          <w:rFonts w:cs="Arial"/>
          <w:sz w:val="18"/>
        </w:rPr>
      </w:pPr>
    </w:p>
    <w:p w:rsidR="006A3F93" w:rsidRPr="00412620" w:rsidRDefault="006A3F93" w:rsidP="000563B4">
      <w:pPr>
        <w:ind w:firstLine="547"/>
        <w:jc w:val="both"/>
        <w:rPr>
          <w:rFonts w:cs="Arial"/>
          <w:sz w:val="20"/>
        </w:rPr>
      </w:pPr>
      <w:r w:rsidRPr="00412620">
        <w:rPr>
          <w:rStyle w:val="FootnoteReference"/>
          <w:rFonts w:cs="Arial"/>
          <w:sz w:val="20"/>
        </w:rPr>
        <w:footnoteReference w:id="1184"/>
      </w:r>
      <w:r w:rsidRPr="00412620">
        <w:rPr>
          <w:rFonts w:cs="Arial"/>
          <w:sz w:val="20"/>
        </w:rPr>
        <w:t>[(3A) Any representative, or any person who apprehends that he may be assessed as a representative, may retain out of any money payable by him to the person on whose behalf he is liable to pay tax (hereinafter in this section referred to as the “principal”), a sum equal to his estimated liability under this Ordinance, and in the event of disagreement between the principal and such a representative or a person as to the amount to be so retained, such representative or person may obtain from the Commissioner a certificate stating the amount to be so retained pending final determination of the tax liability, and the certificate so obtained shall be his authority for retaining that amount.]</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(4)</w:t>
      </w:r>
      <w:r w:rsidRPr="00412620">
        <w:rPr>
          <w:rFonts w:cs="Arial"/>
          <w:sz w:val="20"/>
        </w:rPr>
        <w:tab/>
        <w:t>Every representative shall be personally liable for the payment of any tax due by the representative in a representative capacity if, while the amount remains unpaid, the representative -</w:t>
      </w:r>
    </w:p>
    <w:p w:rsidR="006A3F93" w:rsidRPr="00412620" w:rsidRDefault="006A3F93">
      <w:pPr>
        <w:jc w:val="both"/>
        <w:rPr>
          <w:rFonts w:cs="Arial"/>
          <w:sz w:val="18"/>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alienates, charges or disposes of any moneys received or accrued in respect of which the tax is payable; or</w:t>
      </w:r>
    </w:p>
    <w:p w:rsidR="006A3F93" w:rsidRPr="00412620" w:rsidRDefault="006A3F93">
      <w:pPr>
        <w:jc w:val="both"/>
        <w:rPr>
          <w:rFonts w:cs="Arial"/>
          <w:sz w:val="18"/>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disposes of or parts with any moneys or funds belonging to the taxpayer that is in the possession of the representative or which comes to the representative after the tax is payable, if such tax could legally have been paid from or out of such moneys or funds.</w:t>
      </w:r>
    </w:p>
    <w:p w:rsidR="006A3F93" w:rsidRPr="00412620" w:rsidRDefault="006A3F93">
      <w:pPr>
        <w:jc w:val="both"/>
        <w:rPr>
          <w:rFonts w:cs="Arial"/>
          <w:sz w:val="18"/>
        </w:rPr>
      </w:pPr>
    </w:p>
    <w:p w:rsidR="006A3F93" w:rsidRPr="00412620" w:rsidRDefault="006A3F93">
      <w:pPr>
        <w:pStyle w:val="BodyText3"/>
        <w:widowControl/>
        <w:rPr>
          <w:rFonts w:ascii="Arial" w:hAnsi="Arial"/>
          <w:sz w:val="20"/>
          <w:lang w:val="en-AU"/>
        </w:rPr>
      </w:pPr>
      <w:r w:rsidRPr="00412620">
        <w:rPr>
          <w:rFonts w:ascii="Arial" w:hAnsi="Arial"/>
          <w:sz w:val="20"/>
          <w:lang w:val="en-AU"/>
        </w:rPr>
        <w:tab/>
        <w:t>(5)</w:t>
      </w:r>
      <w:r w:rsidRPr="00412620">
        <w:rPr>
          <w:rFonts w:ascii="Arial" w:hAnsi="Arial"/>
          <w:sz w:val="20"/>
          <w:lang w:val="en-AU"/>
        </w:rPr>
        <w:tab/>
        <w:t>Nothing in this section shall relieve any person from performing any duties imposed by or under this Ordinance on the person which the representative of the person has failed to perform.</w:t>
      </w:r>
    </w:p>
    <w:p w:rsidR="006A3F93" w:rsidRPr="00412620" w:rsidRDefault="006A3F93">
      <w:pPr>
        <w:rPr>
          <w:rFonts w:cs="Arial"/>
          <w:sz w:val="18"/>
        </w:rPr>
      </w:pPr>
    </w:p>
    <w:p w:rsidR="006A3F93" w:rsidRPr="00412620" w:rsidRDefault="006A3F93">
      <w:pPr>
        <w:keepNext/>
        <w:jc w:val="center"/>
        <w:rPr>
          <w:rFonts w:cs="Arial"/>
          <w:b/>
          <w:sz w:val="32"/>
          <w:szCs w:val="32"/>
        </w:rPr>
      </w:pPr>
      <w:r w:rsidRPr="00412620">
        <w:rPr>
          <w:rFonts w:cs="Arial"/>
          <w:b/>
          <w:sz w:val="32"/>
          <w:szCs w:val="32"/>
        </w:rPr>
        <w:t>PART VIII</w:t>
      </w:r>
    </w:p>
    <w:p w:rsidR="006A3F93" w:rsidRPr="00412620" w:rsidRDefault="006A3F93">
      <w:pPr>
        <w:pStyle w:val="Heading8"/>
        <w:rPr>
          <w:rFonts w:cs="Arial"/>
          <w:i w:val="0"/>
          <w:sz w:val="20"/>
        </w:rPr>
      </w:pPr>
      <w:r w:rsidRPr="00412620">
        <w:rPr>
          <w:rFonts w:cs="Arial"/>
          <w:i w:val="0"/>
          <w:sz w:val="20"/>
        </w:rPr>
        <w:t>RECORDS, INFORMATION COLLECTION AND AUDIT</w:t>
      </w:r>
    </w:p>
    <w:p w:rsidR="006A3F93" w:rsidRPr="00412620" w:rsidRDefault="006A3F93">
      <w:pPr>
        <w:pStyle w:val="CommentText"/>
        <w:keepNext/>
        <w:rPr>
          <w:rFonts w:cs="Arial"/>
          <w:sz w:val="18"/>
        </w:rPr>
      </w:pPr>
    </w:p>
    <w:p w:rsidR="006A3F93" w:rsidRPr="00412620" w:rsidRDefault="006A3F93">
      <w:pPr>
        <w:jc w:val="both"/>
        <w:rPr>
          <w:sz w:val="20"/>
        </w:rPr>
      </w:pPr>
      <w:r w:rsidRPr="00412620">
        <w:rPr>
          <w:rFonts w:cs="Arial"/>
          <w:b/>
          <w:sz w:val="20"/>
        </w:rPr>
        <w:t>174.</w:t>
      </w:r>
      <w:r w:rsidRPr="00412620">
        <w:rPr>
          <w:rFonts w:cs="Arial"/>
          <w:b/>
          <w:sz w:val="20"/>
        </w:rPr>
        <w:tab/>
        <w:t xml:space="preserve"> Records.</w:t>
      </w:r>
      <w:r w:rsidR="00CD2789" w:rsidRPr="00412620">
        <w:rPr>
          <w:rFonts w:cs="Arial"/>
          <w:sz w:val="20"/>
        </w:rPr>
        <w:t>—</w:t>
      </w:r>
      <w:r w:rsidRPr="00412620">
        <w:rPr>
          <w:sz w:val="20"/>
        </w:rPr>
        <w:t xml:space="preserve"> (1)  Unless otherwise authorised by the Commissioner, every taxpayer shall maintain in Pakistan such accounts, documents and records as may be prescribed.</w:t>
      </w:r>
    </w:p>
    <w:p w:rsidR="006A3F93" w:rsidRPr="00412620" w:rsidRDefault="006A3F93">
      <w:pPr>
        <w:jc w:val="both"/>
        <w:rPr>
          <w:rFonts w:cs="Arial"/>
          <w:sz w:val="18"/>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The Commissioner may disallow </w:t>
      </w:r>
      <w:r w:rsidRPr="00412620">
        <w:rPr>
          <w:rStyle w:val="FootnoteReference"/>
          <w:rFonts w:cs="Arial"/>
          <w:sz w:val="20"/>
        </w:rPr>
        <w:footnoteReference w:id="1185"/>
      </w:r>
      <w:r w:rsidRPr="00412620">
        <w:rPr>
          <w:rFonts w:cs="Arial"/>
          <w:sz w:val="20"/>
        </w:rPr>
        <w:t xml:space="preserve">[or reduce] a taxpayer’s claim for a deduction if the taxpayer is unable, without reasonable </w:t>
      </w:r>
      <w:r w:rsidRPr="00412620">
        <w:rPr>
          <w:rStyle w:val="FootnoteReference"/>
          <w:rFonts w:cs="Arial"/>
          <w:sz w:val="20"/>
        </w:rPr>
        <w:footnoteReference w:id="1186"/>
      </w:r>
      <w:r w:rsidRPr="00412620">
        <w:rPr>
          <w:rFonts w:cs="Arial"/>
          <w:sz w:val="20"/>
        </w:rPr>
        <w:t>[cause], to provide a receipt, or other record or evidence of the transaction or circumstances giving rise to the claim for the deduction.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The accounts and documents required to be maintained under this section shall be maintained for </w:t>
      </w:r>
      <w:r w:rsidR="00024CC5" w:rsidRPr="00412620">
        <w:rPr>
          <w:rStyle w:val="FootnoteReference"/>
          <w:rFonts w:cs="Arial"/>
          <w:sz w:val="20"/>
        </w:rPr>
        <w:footnoteReference w:id="1187"/>
      </w:r>
      <w:r w:rsidR="00024CC5" w:rsidRPr="00412620">
        <w:rPr>
          <w:rFonts w:cs="Arial"/>
          <w:sz w:val="20"/>
        </w:rPr>
        <w:t>[</w:t>
      </w:r>
      <w:r w:rsidR="00407978" w:rsidRPr="00412620">
        <w:rPr>
          <w:rFonts w:cs="Arial"/>
          <w:sz w:val="20"/>
        </w:rPr>
        <w:t>six</w:t>
      </w:r>
      <w:r w:rsidR="00024CC5" w:rsidRPr="00412620">
        <w:rPr>
          <w:rFonts w:cs="Arial"/>
          <w:sz w:val="20"/>
        </w:rPr>
        <w:t>]</w:t>
      </w:r>
      <w:r w:rsidRPr="00412620">
        <w:rPr>
          <w:rFonts w:cs="Arial"/>
          <w:sz w:val="20"/>
        </w:rPr>
        <w:t>years after the end of the tax year to which they relate</w:t>
      </w:r>
      <w:r w:rsidR="00A64E50" w:rsidRPr="00412620">
        <w:rPr>
          <w:rStyle w:val="FootnoteReference"/>
          <w:rFonts w:cs="Arial"/>
          <w:sz w:val="20"/>
        </w:rPr>
        <w:footnoteReference w:id="1188"/>
      </w:r>
      <w:r w:rsidR="00A64E50" w:rsidRPr="00412620">
        <w:rPr>
          <w:rFonts w:cs="Arial"/>
          <w:sz w:val="20"/>
        </w:rPr>
        <w:t>[</w:t>
      </w:r>
      <w:r w:rsidR="00407978" w:rsidRPr="00412620">
        <w:rPr>
          <w:rFonts w:cs="Arial"/>
          <w:sz w:val="20"/>
        </w:rPr>
        <w:t>:</w:t>
      </w:r>
      <w:r w:rsidR="00584BA9" w:rsidRPr="00412620">
        <w:rPr>
          <w:rFonts w:cs="Arial"/>
          <w:sz w:val="20"/>
        </w:rPr>
        <w:t>]</w:t>
      </w:r>
    </w:p>
    <w:p w:rsidR="006A3F93" w:rsidRPr="00412620" w:rsidRDefault="006A3F93">
      <w:pPr>
        <w:jc w:val="both"/>
        <w:rPr>
          <w:rFonts w:cs="Arial"/>
          <w:sz w:val="20"/>
        </w:rPr>
      </w:pPr>
    </w:p>
    <w:p w:rsidR="00407978" w:rsidRPr="00412620" w:rsidRDefault="00584BA9" w:rsidP="00584BA9">
      <w:pPr>
        <w:ind w:left="1641" w:firstLine="547"/>
        <w:jc w:val="both"/>
        <w:rPr>
          <w:rFonts w:cs="Arial"/>
          <w:sz w:val="20"/>
        </w:rPr>
      </w:pPr>
      <w:r w:rsidRPr="00412620">
        <w:rPr>
          <w:rStyle w:val="FootnoteReference"/>
          <w:rFonts w:cs="Arial"/>
          <w:sz w:val="20"/>
        </w:rPr>
        <w:footnoteReference w:id="1189"/>
      </w:r>
      <w:r w:rsidRPr="00412620">
        <w:rPr>
          <w:rFonts w:cs="Arial"/>
          <w:sz w:val="20"/>
        </w:rPr>
        <w:t>[</w:t>
      </w:r>
      <w:r w:rsidR="00407978" w:rsidRPr="00412620">
        <w:rPr>
          <w:rFonts w:cs="Arial"/>
          <w:sz w:val="20"/>
        </w:rPr>
        <w:t>Provided that where any proceeding is pending before any authority or court the taxpayer shall maintain the record till final decision of the proceedings.</w:t>
      </w:r>
      <w:r w:rsidRPr="00412620">
        <w:rPr>
          <w:rFonts w:cs="Arial"/>
          <w:sz w:val="20"/>
        </w:rPr>
        <w:t>]</w:t>
      </w:r>
    </w:p>
    <w:p w:rsidR="00407978" w:rsidRPr="00412620" w:rsidRDefault="00407978" w:rsidP="00407978">
      <w:pPr>
        <w:ind w:left="1440" w:firstLine="201"/>
        <w:jc w:val="both"/>
        <w:rPr>
          <w:rFonts w:cs="Arial"/>
          <w:sz w:val="20"/>
        </w:rPr>
      </w:pPr>
    </w:p>
    <w:p w:rsidR="00407978" w:rsidRPr="00412620" w:rsidRDefault="00584BA9" w:rsidP="00584BA9">
      <w:pPr>
        <w:ind w:left="1641" w:firstLine="549"/>
        <w:jc w:val="both"/>
        <w:rPr>
          <w:rFonts w:cs="Arial"/>
          <w:sz w:val="20"/>
        </w:rPr>
      </w:pPr>
      <w:r w:rsidRPr="00412620">
        <w:rPr>
          <w:rStyle w:val="FootnoteReference"/>
          <w:rFonts w:cs="Arial"/>
          <w:sz w:val="20"/>
        </w:rPr>
        <w:footnoteReference w:id="1190"/>
      </w:r>
      <w:r w:rsidRPr="00412620">
        <w:rPr>
          <w:rFonts w:cs="Arial"/>
          <w:sz w:val="20"/>
        </w:rPr>
        <w:t>[</w:t>
      </w:r>
      <w:r w:rsidR="00407978" w:rsidRPr="00412620">
        <w:rPr>
          <w:rFonts w:cs="Arial"/>
          <w:i/>
          <w:sz w:val="20"/>
        </w:rPr>
        <w:t>Explanation</w:t>
      </w:r>
      <w:r w:rsidR="00407978" w:rsidRPr="00412620">
        <w:rPr>
          <w:rFonts w:cs="Arial"/>
          <w:sz w:val="20"/>
        </w:rPr>
        <w:t>.</w:t>
      </w:r>
      <w:r w:rsidRPr="00412620">
        <w:rPr>
          <w:rFonts w:cs="Arial"/>
          <w:sz w:val="20"/>
        </w:rPr>
        <w:t xml:space="preserve">— </w:t>
      </w:r>
      <w:r w:rsidR="00407978" w:rsidRPr="00412620">
        <w:rPr>
          <w:rFonts w:cs="Arial"/>
          <w:sz w:val="20"/>
        </w:rPr>
        <w:t>Pending proceedings include proceedings for assessment or amendment of assessment, appeal, revision, reference, petition or prosecution and any proceedings before an Alternative</w:t>
      </w:r>
      <w:r w:rsidR="00A64E50" w:rsidRPr="00412620">
        <w:rPr>
          <w:rFonts w:cs="Arial"/>
          <w:sz w:val="20"/>
        </w:rPr>
        <w:t xml:space="preserve"> Dispute Resolution Committee”.]</w:t>
      </w:r>
    </w:p>
    <w:p w:rsidR="00407978" w:rsidRPr="00412620" w:rsidRDefault="00407978">
      <w:pPr>
        <w:jc w:val="both"/>
        <w:rPr>
          <w:rFonts w:cs="Arial"/>
          <w:sz w:val="20"/>
        </w:rPr>
      </w:pPr>
    </w:p>
    <w:p w:rsidR="006A3F93" w:rsidRPr="00412620" w:rsidRDefault="006A3F93" w:rsidP="000563B4">
      <w:pPr>
        <w:ind w:firstLine="547"/>
        <w:jc w:val="both"/>
        <w:rPr>
          <w:rFonts w:cs="Arial"/>
          <w:sz w:val="20"/>
        </w:rPr>
      </w:pPr>
      <w:r w:rsidRPr="00412620">
        <w:rPr>
          <w:rStyle w:val="FootnoteReference"/>
          <w:rFonts w:cs="Arial"/>
          <w:sz w:val="20"/>
        </w:rPr>
        <w:footnoteReference w:id="1191"/>
      </w:r>
      <w:r w:rsidRPr="00412620">
        <w:rPr>
          <w:rFonts w:cs="Arial"/>
          <w:sz w:val="20"/>
        </w:rPr>
        <w:t>[(4)</w:t>
      </w:r>
      <w:r w:rsidRPr="00412620">
        <w:rPr>
          <w:rFonts w:cs="Arial"/>
          <w:sz w:val="20"/>
        </w:rPr>
        <w:tab/>
        <w:t>For the purpose of this section, the expression “deduction” means any amount debited to trading account, manufacturing account, receipts and expenses account or profit and loss account.]</w:t>
      </w:r>
    </w:p>
    <w:p w:rsidR="006A3F93" w:rsidRPr="00412620" w:rsidRDefault="006A3F93">
      <w:pPr>
        <w:jc w:val="both"/>
        <w:rPr>
          <w:rFonts w:cs="Arial"/>
          <w:sz w:val="20"/>
        </w:rPr>
      </w:pPr>
    </w:p>
    <w:p w:rsidR="00C157F1" w:rsidRPr="00412620" w:rsidRDefault="00C157F1">
      <w:pPr>
        <w:jc w:val="both"/>
        <w:rPr>
          <w:rFonts w:cs="Arial"/>
          <w:sz w:val="20"/>
        </w:rPr>
      </w:pPr>
      <w:r w:rsidRPr="00412620">
        <w:rPr>
          <w:rFonts w:cs="Arial"/>
          <w:sz w:val="20"/>
        </w:rPr>
        <w:tab/>
      </w:r>
      <w:r w:rsidR="001432D6" w:rsidRPr="00412620">
        <w:rPr>
          <w:rStyle w:val="FootnoteReference"/>
          <w:rFonts w:cs="Arial"/>
          <w:sz w:val="20"/>
        </w:rPr>
        <w:footnoteReference w:id="1192"/>
      </w:r>
      <w:r w:rsidRPr="00412620">
        <w:rPr>
          <w:rFonts w:cs="Arial"/>
          <w:sz w:val="20"/>
        </w:rPr>
        <w:t>[</w:t>
      </w:r>
      <w:r w:rsidR="001432D6" w:rsidRPr="00412620">
        <w:rPr>
          <w:rFonts w:cs="Arial"/>
          <w:sz w:val="20"/>
        </w:rPr>
        <w:t>(5) The Commissioner may require any person to install and use an Electronic Tax Register of such type and description as may be prescribed for the purpose of storing and accessing information regarding any transaction that has a bearing on the tax liability of such person.]</w:t>
      </w:r>
    </w:p>
    <w:p w:rsidR="00C157F1" w:rsidRPr="00412620" w:rsidRDefault="00C157F1">
      <w:pPr>
        <w:jc w:val="both"/>
        <w:rPr>
          <w:rFonts w:cs="Arial"/>
          <w:sz w:val="20"/>
        </w:rPr>
      </w:pPr>
    </w:p>
    <w:p w:rsidR="006A3F93" w:rsidRPr="00412620" w:rsidRDefault="006A3F93">
      <w:pPr>
        <w:jc w:val="both"/>
        <w:rPr>
          <w:sz w:val="20"/>
        </w:rPr>
      </w:pPr>
      <w:r w:rsidRPr="00412620">
        <w:rPr>
          <w:rFonts w:cs="Arial"/>
          <w:b/>
          <w:sz w:val="20"/>
        </w:rPr>
        <w:t>175.</w:t>
      </w:r>
      <w:r w:rsidRPr="00412620">
        <w:rPr>
          <w:rFonts w:cs="Arial"/>
          <w:b/>
          <w:sz w:val="20"/>
        </w:rPr>
        <w:tab/>
        <w:t xml:space="preserve"> Power to enter and search premises.</w:t>
      </w:r>
      <w:r w:rsidR="00CD2789" w:rsidRPr="00412620">
        <w:rPr>
          <w:rFonts w:cs="Arial"/>
          <w:sz w:val="20"/>
        </w:rPr>
        <w:t>—</w:t>
      </w:r>
      <w:r w:rsidRPr="00412620">
        <w:rPr>
          <w:sz w:val="20"/>
        </w:rPr>
        <w:t xml:space="preserve"> (1)  In order to enforce any provision of this Ordinance (including for the purpose of making an audit of a </w:t>
      </w:r>
      <w:r w:rsidRPr="00412620">
        <w:rPr>
          <w:sz w:val="20"/>
        </w:rPr>
        <w:lastRenderedPageBreak/>
        <w:t>taxpayer or a survey of persons liable to tax), the Commissioner or any officer authorised in writing by the Commissioner for the purposes of this section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shall, at all times and without prior notice, have full and free access to any premises, place, accounts, documents or computer;</w:t>
      </w: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may stamp, or make an extract or copy of any accounts, documents or computer-stored information to which access is obtained under clause (a);</w:t>
      </w: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may impound any accounts or documents and retain them for so long as may be necessary for examination or for the purposes of prosecution; </w:t>
      </w: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may, where a hard copy or computer disk of information stored on a computer is not made available, impound and retain the computer for as long as is necessary to copy the information required; and</w:t>
      </w: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may make an inventory of any articles found in any premises or place to which access is obtained under clause (a).</w:t>
      </w:r>
    </w:p>
    <w:p w:rsidR="006A3F93" w:rsidRPr="00785E94" w:rsidRDefault="006A3F93">
      <w:pPr>
        <w:jc w:val="both"/>
        <w:rPr>
          <w:rFonts w:cs="Arial"/>
          <w:sz w:val="12"/>
        </w:rPr>
      </w:pPr>
    </w:p>
    <w:p w:rsidR="006A3F93" w:rsidRPr="00412620" w:rsidRDefault="006A3F93" w:rsidP="000563B4">
      <w:pPr>
        <w:ind w:firstLine="547"/>
        <w:jc w:val="both"/>
        <w:rPr>
          <w:rFonts w:cs="Arial"/>
          <w:sz w:val="20"/>
        </w:rPr>
      </w:pPr>
      <w:r w:rsidRPr="00412620">
        <w:rPr>
          <w:rStyle w:val="FootnoteReference"/>
          <w:rFonts w:cs="Arial"/>
          <w:sz w:val="20"/>
        </w:rPr>
        <w:footnoteReference w:id="1193"/>
      </w:r>
      <w:r w:rsidRPr="00412620">
        <w:rPr>
          <w:rFonts w:cs="Arial"/>
          <w:sz w:val="20"/>
        </w:rPr>
        <w:t xml:space="preserve">[(2) </w:t>
      </w:r>
      <w:r w:rsidRPr="00412620">
        <w:rPr>
          <w:rFonts w:cs="Arial"/>
          <w:sz w:val="20"/>
        </w:rPr>
        <w:tab/>
        <w:t>The Commissioner may authorize any valuer or expert to enter any premises and perform any task assigned to him by the Commissioner.]</w:t>
      </w:r>
    </w:p>
    <w:p w:rsidR="006A3F93" w:rsidRPr="00785E94" w:rsidRDefault="006A3F93">
      <w:pPr>
        <w:jc w:val="both"/>
        <w:rPr>
          <w:rFonts w:cs="Arial"/>
          <w:sz w:val="12"/>
        </w:rPr>
      </w:pPr>
    </w:p>
    <w:p w:rsidR="006A3F93" w:rsidRPr="00412620" w:rsidRDefault="006A3F93">
      <w:pPr>
        <w:jc w:val="both"/>
        <w:rPr>
          <w:rFonts w:cs="Arial"/>
          <w:sz w:val="20"/>
        </w:rPr>
      </w:pPr>
      <w:r w:rsidRPr="00412620">
        <w:rPr>
          <w:rFonts w:cs="Arial"/>
          <w:sz w:val="20"/>
        </w:rPr>
        <w:tab/>
        <w:t>(3)</w:t>
      </w:r>
      <w:r w:rsidRPr="00412620">
        <w:rPr>
          <w:rFonts w:cs="Arial"/>
          <w:sz w:val="20"/>
        </w:rPr>
        <w:tab/>
        <w:t>The occupier of any premises or place to which access is sought under sub-section (1) shall provide all reasonable facilities and assistance for the effective exercise of the right of access.</w:t>
      </w:r>
    </w:p>
    <w:p w:rsidR="006A3F93" w:rsidRPr="00785E94" w:rsidRDefault="006A3F93">
      <w:pPr>
        <w:jc w:val="both"/>
        <w:rPr>
          <w:rFonts w:cs="Arial"/>
          <w:sz w:val="12"/>
        </w:rPr>
      </w:pPr>
    </w:p>
    <w:p w:rsidR="006A3F93" w:rsidRPr="00412620" w:rsidRDefault="006A3F93">
      <w:pPr>
        <w:jc w:val="both"/>
        <w:rPr>
          <w:rFonts w:cs="Arial"/>
          <w:sz w:val="20"/>
        </w:rPr>
      </w:pPr>
      <w:r w:rsidRPr="00412620">
        <w:rPr>
          <w:rFonts w:cs="Arial"/>
          <w:sz w:val="20"/>
        </w:rPr>
        <w:tab/>
        <w:t>(4)</w:t>
      </w:r>
      <w:r w:rsidRPr="00412620">
        <w:rPr>
          <w:rFonts w:cs="Arial"/>
          <w:sz w:val="20"/>
        </w:rPr>
        <w:tab/>
        <w:t>Any accounts, documents or computer impounded and retained under sub-section (1) shall be signed for by the Commissioner or an authorised officer.</w:t>
      </w:r>
    </w:p>
    <w:p w:rsidR="006A3F93" w:rsidRPr="00785E94" w:rsidRDefault="006A3F93">
      <w:pPr>
        <w:jc w:val="both"/>
        <w:rPr>
          <w:rFonts w:cs="Arial"/>
          <w:sz w:val="12"/>
        </w:rPr>
      </w:pPr>
    </w:p>
    <w:p w:rsidR="006A3F93" w:rsidRPr="00412620" w:rsidRDefault="006A3F93">
      <w:pPr>
        <w:jc w:val="both"/>
        <w:rPr>
          <w:rFonts w:cs="Arial"/>
          <w:sz w:val="20"/>
        </w:rPr>
      </w:pPr>
      <w:r w:rsidRPr="00412620">
        <w:rPr>
          <w:rFonts w:cs="Arial"/>
          <w:sz w:val="20"/>
        </w:rPr>
        <w:tab/>
        <w:t>(5)</w:t>
      </w:r>
      <w:r w:rsidRPr="00412620">
        <w:rPr>
          <w:rFonts w:cs="Arial"/>
          <w:sz w:val="20"/>
        </w:rPr>
        <w:tab/>
        <w:t>A person whose accounts, documents or computer have been impounded and retained under sub-section (1) may examine them and make extracts or copies from them during regular office hours under such supervision as the Commissioner may determine.</w:t>
      </w:r>
    </w:p>
    <w:p w:rsidR="006A3F93" w:rsidRPr="00412620" w:rsidRDefault="006A3F93">
      <w:pPr>
        <w:jc w:val="both"/>
        <w:rPr>
          <w:rFonts w:cs="Arial"/>
          <w:sz w:val="20"/>
        </w:rPr>
      </w:pPr>
    </w:p>
    <w:p w:rsidR="006A3F93" w:rsidRDefault="006A3F93">
      <w:pPr>
        <w:jc w:val="both"/>
        <w:rPr>
          <w:rFonts w:cs="Arial"/>
          <w:sz w:val="20"/>
        </w:rPr>
      </w:pPr>
      <w:r w:rsidRPr="00412620">
        <w:rPr>
          <w:rFonts w:cs="Arial"/>
          <w:sz w:val="20"/>
        </w:rPr>
        <w:tab/>
        <w:t>(6)</w:t>
      </w:r>
      <w:r w:rsidRPr="00412620">
        <w:rPr>
          <w:rFonts w:cs="Arial"/>
          <w:sz w:val="20"/>
        </w:rPr>
        <w:tab/>
        <w:t>Where any accounts, documents or computer impounded and retained under sub-section (1) are lost or destroyed while in the possession of the Commissioner, the Commissioner shall make reasonable compensation to the owner of the accounts, documents or computer for the loss or destruction.</w:t>
      </w:r>
    </w:p>
    <w:p w:rsidR="000563B4" w:rsidRPr="00412620" w:rsidRDefault="000563B4">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This section shall have effect notwithstanding any rule of law relating to privilege or the public interest in relation to access to premises or places, or the production of accounts, documents or computer-stored information.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 xml:space="preserve">In this section, “occupier” in relation to any premises or place, means the owner, manager or any other responsible person on the premises or place. </w:t>
      </w:r>
    </w:p>
    <w:p w:rsidR="006A3F93" w:rsidRPr="00412620" w:rsidRDefault="006A3F93">
      <w:pPr>
        <w:jc w:val="both"/>
        <w:rPr>
          <w:rFonts w:cs="Arial"/>
          <w:sz w:val="20"/>
        </w:rPr>
      </w:pPr>
    </w:p>
    <w:p w:rsidR="006A3F93" w:rsidRDefault="006A3F93">
      <w:pPr>
        <w:jc w:val="both"/>
        <w:rPr>
          <w:sz w:val="20"/>
        </w:rPr>
      </w:pPr>
      <w:r w:rsidRPr="00412620">
        <w:rPr>
          <w:rFonts w:cs="Arial"/>
          <w:b/>
          <w:sz w:val="20"/>
        </w:rPr>
        <w:t>176.</w:t>
      </w:r>
      <w:r w:rsidRPr="00412620">
        <w:rPr>
          <w:rFonts w:cs="Arial"/>
          <w:b/>
          <w:sz w:val="20"/>
        </w:rPr>
        <w:tab/>
        <w:t xml:space="preserve"> Notice to obtain information or evidence.</w:t>
      </w:r>
      <w:r w:rsidR="00873F3D" w:rsidRPr="00412620">
        <w:rPr>
          <w:rFonts w:cs="Arial"/>
          <w:sz w:val="20"/>
        </w:rPr>
        <w:t>—</w:t>
      </w:r>
      <w:r w:rsidRPr="00412620">
        <w:rPr>
          <w:sz w:val="20"/>
        </w:rPr>
        <w:t xml:space="preserve"> (1)  The Commissioner may, by notice in writing, require any person, whether or not liable for tax under this Ordinance –</w:t>
      </w:r>
    </w:p>
    <w:p w:rsidR="00056218" w:rsidRPr="00412620" w:rsidRDefault="00056218">
      <w:pPr>
        <w:jc w:val="both"/>
        <w:rPr>
          <w:sz w:val="20"/>
        </w:rPr>
      </w:pPr>
    </w:p>
    <w:p w:rsidR="006A3F93" w:rsidRPr="00B0608D" w:rsidRDefault="005317A4" w:rsidP="00CE40BE">
      <w:pPr>
        <w:autoSpaceDE w:val="0"/>
        <w:autoSpaceDN w:val="0"/>
        <w:adjustRightInd w:val="0"/>
        <w:ind w:left="1440" w:hanging="540"/>
        <w:jc w:val="both"/>
        <w:rPr>
          <w:rFonts w:cs="Arial"/>
          <w:color w:val="000000" w:themeColor="text1"/>
          <w:sz w:val="20"/>
        </w:rPr>
      </w:pPr>
      <w:r w:rsidRPr="00B0608D">
        <w:rPr>
          <w:rStyle w:val="FootnoteReference"/>
          <w:rFonts w:cs="Arial"/>
          <w:color w:val="000000" w:themeColor="text1"/>
          <w:sz w:val="20"/>
          <w:lang w:val="en-US"/>
        </w:rPr>
        <w:footnoteReference w:id="1194"/>
      </w:r>
      <w:r w:rsidR="00CE40BE" w:rsidRPr="00B0608D">
        <w:rPr>
          <w:rFonts w:cs="Arial"/>
          <w:color w:val="000000" w:themeColor="text1"/>
          <w:sz w:val="20"/>
          <w:lang w:val="en-US"/>
        </w:rPr>
        <w:t>[“(a) to furnish to the Commissioner or an authorised officer, any information relevant to any tax leviable under this Ordinance or to fulfill any obligation under any agreement with foreign government or governments or tax jurisdiction, as specified in the notice; or”; and]</w:t>
      </w:r>
    </w:p>
    <w:p w:rsidR="006A3F93" w:rsidRPr="00785E94" w:rsidRDefault="006A3F93" w:rsidP="00785E94">
      <w:pPr>
        <w:pStyle w:val="BodyTextIndent"/>
        <w:ind w:left="1440" w:hanging="540"/>
        <w:jc w:val="both"/>
        <w:rPr>
          <w:rFonts w:cs="Arial"/>
          <w:sz w:val="12"/>
        </w:rPr>
      </w:pPr>
    </w:p>
    <w:p w:rsidR="006A3F93" w:rsidRPr="00412620" w:rsidRDefault="006A3F93" w:rsidP="00785E94">
      <w:pPr>
        <w:pStyle w:val="BodyTextIndent"/>
        <w:ind w:left="1440" w:hanging="540"/>
        <w:jc w:val="both"/>
        <w:rPr>
          <w:rFonts w:cs="Arial"/>
          <w:sz w:val="20"/>
        </w:rPr>
      </w:pPr>
      <w:r w:rsidRPr="00412620">
        <w:rPr>
          <w:rFonts w:cs="Arial"/>
          <w:sz w:val="20"/>
        </w:rPr>
        <w:t>(b)</w:t>
      </w:r>
      <w:r w:rsidRPr="00412620">
        <w:rPr>
          <w:rFonts w:cs="Arial"/>
          <w:sz w:val="20"/>
        </w:rPr>
        <w:tab/>
        <w:t>to attend at the time and place designated in the notice for the purpose of being examined on oath by the Commissioner or an authorised officer concerning the tax affairs of that person or any other person and, for that purpose, the Commissioner or authorised officer may require the person examined to produce any accounts, documents, or computer-stored information in the control of the person</w:t>
      </w:r>
      <w:r w:rsidR="005E690F" w:rsidRPr="00412620">
        <w:rPr>
          <w:rStyle w:val="FootnoteReference"/>
          <w:rFonts w:cs="Arial"/>
          <w:sz w:val="20"/>
        </w:rPr>
        <w:footnoteReference w:id="1195"/>
      </w:r>
      <w:r w:rsidR="005E690F" w:rsidRPr="00412620">
        <w:rPr>
          <w:rFonts w:cs="Arial"/>
          <w:sz w:val="20"/>
        </w:rPr>
        <w:t>[; “or”]</w:t>
      </w:r>
    </w:p>
    <w:p w:rsidR="006A3F93" w:rsidRPr="00785E94" w:rsidRDefault="006A3F93" w:rsidP="00785E94">
      <w:pPr>
        <w:pStyle w:val="BodyTextIndent"/>
        <w:ind w:left="1440" w:hanging="540"/>
        <w:jc w:val="both"/>
        <w:rPr>
          <w:rFonts w:cs="Arial"/>
          <w:sz w:val="12"/>
        </w:rPr>
      </w:pPr>
    </w:p>
    <w:p w:rsidR="00A63567" w:rsidRDefault="000F4012" w:rsidP="00785E94">
      <w:pPr>
        <w:pStyle w:val="BodyTextIndent"/>
        <w:ind w:left="1440" w:hanging="540"/>
        <w:jc w:val="both"/>
        <w:rPr>
          <w:rFonts w:cs="Arial"/>
          <w:sz w:val="20"/>
        </w:rPr>
      </w:pPr>
      <w:r w:rsidRPr="00412620">
        <w:rPr>
          <w:rStyle w:val="FootnoteReference"/>
          <w:rFonts w:cs="Arial"/>
          <w:sz w:val="20"/>
        </w:rPr>
        <w:footnoteReference w:id="1196"/>
      </w:r>
      <w:r w:rsidR="00B53B77" w:rsidRPr="00412620">
        <w:rPr>
          <w:rFonts w:cs="Arial"/>
          <w:sz w:val="20"/>
        </w:rPr>
        <w:t xml:space="preserve">[(c) </w:t>
      </w:r>
      <w:r w:rsidR="00B53B77" w:rsidRPr="00412620">
        <w:rPr>
          <w:rFonts w:cs="Arial"/>
          <w:sz w:val="20"/>
        </w:rPr>
        <w:tab/>
      </w:r>
      <w:r w:rsidR="00090226" w:rsidRPr="00412620">
        <w:rPr>
          <w:rFonts w:cs="Arial"/>
          <w:sz w:val="20"/>
        </w:rPr>
        <w:t xml:space="preserve">the firm of chartered accountants, as appointed by the </w:t>
      </w:r>
      <w:r w:rsidR="00753289" w:rsidRPr="00412620">
        <w:rPr>
          <w:rStyle w:val="FootnoteReference"/>
          <w:rFonts w:cs="Arial"/>
          <w:sz w:val="20"/>
        </w:rPr>
        <w:footnoteReference w:id="1197"/>
      </w:r>
      <w:r w:rsidR="00753289" w:rsidRPr="00412620">
        <w:rPr>
          <w:rFonts w:cs="Arial"/>
          <w:sz w:val="20"/>
        </w:rPr>
        <w:t>[Board or the Commissioner]</w:t>
      </w:r>
      <w:r w:rsidR="00090226" w:rsidRPr="00412620">
        <w:rPr>
          <w:rFonts w:cs="Arial"/>
          <w:sz w:val="20"/>
        </w:rPr>
        <w:t xml:space="preserve">, to conduct audit under section 177, for any tax year, may with the prior approval of the Commissioner concerned, enter the business premises of a taxpayer, </w:t>
      </w:r>
      <w:r w:rsidR="00BD4E79" w:rsidRPr="00412620">
        <w:rPr>
          <w:rStyle w:val="FootnoteReference"/>
          <w:rFonts w:cs="Arial"/>
          <w:sz w:val="20"/>
        </w:rPr>
        <w:footnoteReference w:id="1198"/>
      </w:r>
      <w:r w:rsidR="00BD4E79" w:rsidRPr="00412620">
        <w:rPr>
          <w:rFonts w:cs="Arial"/>
          <w:sz w:val="20"/>
        </w:rPr>
        <w:t>[  ]</w:t>
      </w:r>
      <w:r w:rsidR="00090226" w:rsidRPr="00412620">
        <w:rPr>
          <w:rFonts w:cs="Arial"/>
          <w:sz w:val="20"/>
        </w:rPr>
        <w:t xml:space="preserve"> to obtain any information, require production of any record, on which the required information is stored and examine it within such premises; and such firm may if specifically delegated by the Commissioner, also exercise the powers as provided in sub-section (4).]</w:t>
      </w:r>
    </w:p>
    <w:p w:rsidR="00725AFC" w:rsidRDefault="00725AFC" w:rsidP="00785E94">
      <w:pPr>
        <w:pStyle w:val="BodyTextIndent"/>
        <w:ind w:left="1440" w:hanging="540"/>
        <w:jc w:val="both"/>
        <w:rPr>
          <w:rFonts w:cs="Arial"/>
          <w:sz w:val="20"/>
        </w:rPr>
      </w:pPr>
    </w:p>
    <w:p w:rsidR="00725AFC" w:rsidRPr="00B0608D" w:rsidRDefault="00A63567" w:rsidP="00725AFC">
      <w:pPr>
        <w:autoSpaceDE w:val="0"/>
        <w:autoSpaceDN w:val="0"/>
        <w:adjustRightInd w:val="0"/>
        <w:jc w:val="both"/>
        <w:rPr>
          <w:rFonts w:cs="Arial"/>
          <w:color w:val="000000" w:themeColor="text1"/>
          <w:sz w:val="20"/>
          <w:lang w:val="en-US"/>
        </w:rPr>
      </w:pPr>
      <w:r>
        <w:rPr>
          <w:rFonts w:cs="Arial"/>
          <w:sz w:val="20"/>
        </w:rPr>
        <w:tab/>
      </w:r>
      <w:r w:rsidR="00725AFC" w:rsidRPr="00B0608D">
        <w:rPr>
          <w:rStyle w:val="FootnoteReference"/>
          <w:rFonts w:cs="Arial"/>
          <w:color w:val="000000" w:themeColor="text1"/>
          <w:sz w:val="20"/>
        </w:rPr>
        <w:footnoteReference w:id="1199"/>
      </w:r>
      <w:r w:rsidR="00725AFC" w:rsidRPr="00B0608D">
        <w:rPr>
          <w:rFonts w:cs="Arial"/>
          <w:color w:val="000000" w:themeColor="text1"/>
          <w:sz w:val="20"/>
        </w:rPr>
        <w:t>[“</w:t>
      </w:r>
      <w:r w:rsidR="00725AFC" w:rsidRPr="00B0608D">
        <w:rPr>
          <w:rFonts w:cs="Arial"/>
          <w:color w:val="000000" w:themeColor="text1"/>
          <w:sz w:val="20"/>
          <w:lang w:val="en-US"/>
        </w:rPr>
        <w:t>(1A) A special audit panel appointed under sub-section (11)of section 177, for any tax year, may, with the prior approval of the</w:t>
      </w:r>
      <w:r w:rsidR="001A2A0D" w:rsidRPr="00B0608D">
        <w:rPr>
          <w:rFonts w:cs="Arial"/>
          <w:color w:val="000000" w:themeColor="text1"/>
          <w:sz w:val="20"/>
          <w:lang w:val="en-US"/>
        </w:rPr>
        <w:t xml:space="preserve"> </w:t>
      </w:r>
      <w:r w:rsidR="00725AFC" w:rsidRPr="00B0608D">
        <w:rPr>
          <w:rFonts w:cs="Arial"/>
          <w:color w:val="000000" w:themeColor="text1"/>
          <w:sz w:val="20"/>
          <w:lang w:val="en-US"/>
        </w:rPr>
        <w:t>Commissioner concerned, enter the business premises of a</w:t>
      </w:r>
      <w:r w:rsidR="001A2A0D" w:rsidRPr="00B0608D">
        <w:rPr>
          <w:rFonts w:cs="Arial"/>
          <w:color w:val="000000" w:themeColor="text1"/>
          <w:sz w:val="20"/>
          <w:lang w:val="en-US"/>
        </w:rPr>
        <w:t xml:space="preserve"> </w:t>
      </w:r>
      <w:r w:rsidR="00725AFC" w:rsidRPr="00B0608D">
        <w:rPr>
          <w:rFonts w:cs="Arial"/>
          <w:color w:val="000000" w:themeColor="text1"/>
          <w:sz w:val="20"/>
          <w:lang w:val="en-US"/>
        </w:rPr>
        <w:t>taxpayer, to obtain any information, require production of any</w:t>
      </w:r>
      <w:r w:rsidR="001A2A0D" w:rsidRPr="00B0608D">
        <w:rPr>
          <w:rFonts w:cs="Arial"/>
          <w:color w:val="000000" w:themeColor="text1"/>
          <w:sz w:val="20"/>
          <w:lang w:val="en-US"/>
        </w:rPr>
        <w:t xml:space="preserve"> </w:t>
      </w:r>
      <w:r w:rsidR="00725AFC" w:rsidRPr="00B0608D">
        <w:rPr>
          <w:rFonts w:cs="Arial"/>
          <w:color w:val="000000" w:themeColor="text1"/>
          <w:sz w:val="20"/>
          <w:lang w:val="en-US"/>
        </w:rPr>
        <w:t>record, on which the required information is stored and</w:t>
      </w:r>
      <w:r w:rsidR="00725AFC" w:rsidRPr="00725AFC">
        <w:rPr>
          <w:rFonts w:cs="Arial"/>
          <w:color w:val="984806" w:themeColor="accent6" w:themeShade="80"/>
          <w:sz w:val="20"/>
          <w:lang w:val="en-US"/>
        </w:rPr>
        <w:t xml:space="preserve"> </w:t>
      </w:r>
      <w:r w:rsidR="00725AFC" w:rsidRPr="00B0608D">
        <w:rPr>
          <w:rFonts w:cs="Arial"/>
          <w:color w:val="000000" w:themeColor="text1"/>
          <w:sz w:val="20"/>
          <w:lang w:val="en-US"/>
        </w:rPr>
        <w:lastRenderedPageBreak/>
        <w:t>examine it</w:t>
      </w:r>
      <w:r w:rsidR="001A2A0D" w:rsidRPr="00B0608D">
        <w:rPr>
          <w:rFonts w:cs="Arial"/>
          <w:color w:val="000000" w:themeColor="text1"/>
          <w:sz w:val="20"/>
          <w:lang w:val="en-US"/>
        </w:rPr>
        <w:t xml:space="preserve"> </w:t>
      </w:r>
      <w:r w:rsidR="00725AFC" w:rsidRPr="00B0608D">
        <w:rPr>
          <w:rFonts w:cs="Arial"/>
          <w:color w:val="000000" w:themeColor="text1"/>
          <w:sz w:val="20"/>
          <w:lang w:val="en-US"/>
        </w:rPr>
        <w:t>within such premises and such panel may if specifically delegated</w:t>
      </w:r>
      <w:r w:rsidR="001A2A0D" w:rsidRPr="00B0608D">
        <w:rPr>
          <w:rFonts w:cs="Arial"/>
          <w:color w:val="000000" w:themeColor="text1"/>
          <w:sz w:val="20"/>
          <w:lang w:val="en-US"/>
        </w:rPr>
        <w:t xml:space="preserve"> </w:t>
      </w:r>
      <w:r w:rsidR="00725AFC" w:rsidRPr="00B0608D">
        <w:rPr>
          <w:rFonts w:cs="Arial"/>
          <w:color w:val="000000" w:themeColor="text1"/>
          <w:sz w:val="20"/>
          <w:lang w:val="en-US"/>
        </w:rPr>
        <w:t>by the Commissioner, also exercise the powers as provided in subsection(4).”]</w:t>
      </w:r>
    </w:p>
    <w:p w:rsidR="00785E94" w:rsidRDefault="006A3F93" w:rsidP="00725AFC">
      <w:pPr>
        <w:autoSpaceDE w:val="0"/>
        <w:autoSpaceDN w:val="0"/>
        <w:adjustRightInd w:val="0"/>
        <w:jc w:val="both"/>
        <w:rPr>
          <w:rFonts w:cs="Arial"/>
          <w:sz w:val="20"/>
        </w:rPr>
      </w:pPr>
      <w:r w:rsidRPr="00412620">
        <w:rPr>
          <w:rFonts w:cs="Arial"/>
          <w:sz w:val="20"/>
        </w:rPr>
        <w:tab/>
      </w:r>
    </w:p>
    <w:p w:rsidR="006A3F93" w:rsidRPr="00412620" w:rsidRDefault="006A3F93" w:rsidP="00785E94">
      <w:pPr>
        <w:pStyle w:val="BodyTextIndent"/>
        <w:ind w:left="0" w:firstLine="540"/>
        <w:jc w:val="both"/>
        <w:rPr>
          <w:rFonts w:cs="Arial"/>
          <w:sz w:val="20"/>
        </w:rPr>
      </w:pPr>
      <w:r w:rsidRPr="00412620">
        <w:rPr>
          <w:rFonts w:cs="Arial"/>
          <w:sz w:val="20"/>
        </w:rPr>
        <w:t>(2)</w:t>
      </w:r>
      <w:r w:rsidRPr="00412620">
        <w:rPr>
          <w:rFonts w:cs="Arial"/>
          <w:sz w:val="20"/>
        </w:rPr>
        <w:tab/>
        <w:t>The Commissioner may impound any accounts or documents produced under sub-section (1) and retain them for so long as may be necessary for examination or for the purposes of prosecution.</w:t>
      </w:r>
    </w:p>
    <w:p w:rsidR="006A3F93" w:rsidRPr="00785E94" w:rsidRDefault="006A3F93">
      <w:pPr>
        <w:jc w:val="both"/>
        <w:rPr>
          <w:rFonts w:cs="Arial"/>
          <w:sz w:val="12"/>
        </w:rPr>
      </w:pPr>
    </w:p>
    <w:p w:rsidR="006A3F93" w:rsidRPr="00412620" w:rsidRDefault="006A3F93">
      <w:pPr>
        <w:jc w:val="both"/>
        <w:rPr>
          <w:rFonts w:cs="Arial"/>
          <w:sz w:val="20"/>
        </w:rPr>
      </w:pPr>
      <w:r w:rsidRPr="00412620">
        <w:rPr>
          <w:rFonts w:cs="Arial"/>
          <w:sz w:val="20"/>
        </w:rPr>
        <w:tab/>
        <w:t>(3)</w:t>
      </w:r>
      <w:r w:rsidRPr="00412620">
        <w:rPr>
          <w:rFonts w:cs="Arial"/>
          <w:sz w:val="20"/>
        </w:rPr>
        <w:tab/>
      </w:r>
      <w:r w:rsidRPr="00412620">
        <w:rPr>
          <w:rStyle w:val="FootnoteReference"/>
          <w:rFonts w:cs="Arial"/>
          <w:sz w:val="20"/>
        </w:rPr>
        <w:footnoteReference w:id="1200"/>
      </w:r>
      <w:r w:rsidRPr="00412620">
        <w:rPr>
          <w:rFonts w:cs="Arial"/>
          <w:sz w:val="20"/>
        </w:rPr>
        <w:t>[The person from whom information is required, may at his option, furnish the same electronically in any computer readable media.] Where a hard copy or computer disk of information stored on a computer is not made available as required under sub-section (1), the Commissioner may require production of the computer on which the information is stored, and impound and retain the computer for as long as is necessary to copy the information required.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For the purposes of this section, the Commissioner shall have the same powers as are vested in a Court under the Code of Civil Procedure, 1908 (Act V of 1908), in respect of the following matters, namely:</w:t>
      </w:r>
      <w:r w:rsidR="00873F3D" w:rsidRPr="00412620">
        <w:rPr>
          <w:rFonts w:cs="Arial"/>
          <w:sz w:val="20"/>
        </w:rPr>
        <w:t xml:space="preserve">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enforcing the attendance of any person and examining the person on oath or affirmation;</w:t>
      </w: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compelling the production of any accounts, records, computer-stored information, or computer;</w:t>
      </w: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receiving evidence on affidavit; or</w:t>
      </w: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issuing commissions for the examination of witnesses.</w:t>
      </w:r>
    </w:p>
    <w:p w:rsidR="006A3F93" w:rsidRPr="00785E94" w:rsidRDefault="006A3F93">
      <w:pPr>
        <w:jc w:val="both"/>
        <w:rPr>
          <w:rFonts w:cs="Arial"/>
          <w:sz w:val="12"/>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This section shall have effect notwithstanding any </w:t>
      </w:r>
      <w:r w:rsidR="00CA6AD6" w:rsidRPr="00412620">
        <w:rPr>
          <w:rStyle w:val="FootnoteReference"/>
          <w:rFonts w:cs="Arial"/>
          <w:sz w:val="20"/>
        </w:rPr>
        <w:footnoteReference w:id="1201"/>
      </w:r>
      <w:r w:rsidR="00CA6AD6" w:rsidRPr="00412620">
        <w:rPr>
          <w:rFonts w:cs="Arial"/>
          <w:sz w:val="20"/>
        </w:rPr>
        <w:t xml:space="preserve">[law or rules] </w:t>
      </w:r>
      <w:r w:rsidRPr="00412620">
        <w:rPr>
          <w:rFonts w:cs="Arial"/>
          <w:sz w:val="20"/>
        </w:rPr>
        <w:t xml:space="preserve"> relating to privilege or the public interest in relation to the production of accounts, documents, or computer-stored information or the giving of information.</w:t>
      </w:r>
    </w:p>
    <w:p w:rsidR="00785E94" w:rsidRPr="00785E94" w:rsidRDefault="00785E94">
      <w:pPr>
        <w:rPr>
          <w:rFonts w:cs="Arial"/>
          <w:sz w:val="14"/>
        </w:rPr>
      </w:pPr>
    </w:p>
    <w:p w:rsidR="001A0B18" w:rsidRPr="00412620" w:rsidRDefault="00A3213E" w:rsidP="001A0B18">
      <w:pPr>
        <w:jc w:val="both"/>
        <w:rPr>
          <w:rFonts w:cs="Arial"/>
          <w:sz w:val="20"/>
        </w:rPr>
      </w:pPr>
      <w:r w:rsidRPr="00F67B5B">
        <w:rPr>
          <w:rStyle w:val="FootnoteReference"/>
          <w:bCs/>
          <w:sz w:val="20"/>
        </w:rPr>
        <w:footnoteReference w:id="1202"/>
      </w:r>
      <w:r w:rsidRPr="00F67B5B">
        <w:rPr>
          <w:bCs/>
          <w:sz w:val="20"/>
        </w:rPr>
        <w:t>[</w:t>
      </w:r>
      <w:r w:rsidR="006A3F93" w:rsidRPr="00412620">
        <w:rPr>
          <w:b/>
          <w:bCs/>
          <w:sz w:val="20"/>
        </w:rPr>
        <w:t>177. Audit.</w:t>
      </w:r>
      <w:r w:rsidR="00A45D05" w:rsidRPr="00412620">
        <w:rPr>
          <w:rFonts w:cs="Arial"/>
          <w:b/>
          <w:bCs/>
          <w:sz w:val="20"/>
        </w:rPr>
        <w:t>—</w:t>
      </w:r>
      <w:r w:rsidR="00A45D05" w:rsidRPr="00412620">
        <w:rPr>
          <w:rStyle w:val="FootnoteReference"/>
          <w:sz w:val="20"/>
        </w:rPr>
        <w:footnoteReference w:id="1203"/>
      </w:r>
      <w:r w:rsidR="001A0B18" w:rsidRPr="00412620">
        <w:rPr>
          <w:sz w:val="20"/>
        </w:rPr>
        <w:t>[</w:t>
      </w:r>
      <w:r w:rsidR="001A0B18" w:rsidRPr="00412620">
        <w:rPr>
          <w:rFonts w:cs="Arial"/>
          <w:sz w:val="20"/>
        </w:rPr>
        <w:t>(1)</w:t>
      </w:r>
      <w:r w:rsidR="001A0B18" w:rsidRPr="00412620">
        <w:rPr>
          <w:rFonts w:cs="Arial"/>
          <w:sz w:val="20"/>
        </w:rPr>
        <w:tab/>
        <w:t xml:space="preserve">The Commissioner may call for any record or documents including books of accounts maintained under this Ordinance or any </w:t>
      </w:r>
      <w:r w:rsidR="001A0B18" w:rsidRPr="00412620">
        <w:rPr>
          <w:rFonts w:cs="Arial"/>
          <w:sz w:val="20"/>
        </w:rPr>
        <w:lastRenderedPageBreak/>
        <w:t>ther</w:t>
      </w:r>
      <w:r w:rsidR="00785E94">
        <w:rPr>
          <w:rFonts w:cs="Arial"/>
          <w:sz w:val="20"/>
        </w:rPr>
        <w:t>e</w:t>
      </w:r>
      <w:r w:rsidR="001A0B18" w:rsidRPr="00412620">
        <w:rPr>
          <w:rFonts w:cs="Arial"/>
          <w:sz w:val="20"/>
        </w:rPr>
        <w:t xml:space="preserve"> law for the time being in force for conducting audit of the income tax affairs of the person and where such record or documents have been kept on electronic data, the person shall allow access to the Commissioner or the officer authorized by the Commissioner for use of machine and software on which such data is kept and the Commissioner or the officer may have access to the  required information and data and duly attested hard copies of such information or data for the purpose of investigation and proceedings under this Ordinance in respect of such person or any other person:</w:t>
      </w:r>
    </w:p>
    <w:p w:rsidR="001A0B18" w:rsidRPr="00412620" w:rsidRDefault="001A0B18" w:rsidP="001A0B18">
      <w:pPr>
        <w:jc w:val="both"/>
        <w:rPr>
          <w:rFonts w:cs="Arial"/>
          <w:sz w:val="20"/>
        </w:rPr>
      </w:pPr>
    </w:p>
    <w:p w:rsidR="001A0B18" w:rsidRPr="00412620" w:rsidRDefault="00163F8E" w:rsidP="001A0B18">
      <w:pPr>
        <w:jc w:val="both"/>
        <w:rPr>
          <w:rFonts w:cs="Arial"/>
          <w:sz w:val="20"/>
        </w:rPr>
      </w:pPr>
      <w:r>
        <w:rPr>
          <w:rFonts w:cs="Arial"/>
          <w:sz w:val="20"/>
        </w:rPr>
        <w:tab/>
      </w:r>
      <w:r w:rsidR="001A0B18" w:rsidRPr="00412620">
        <w:rPr>
          <w:rFonts w:cs="Arial"/>
          <w:sz w:val="20"/>
        </w:rPr>
        <w:t>Provided that—</w:t>
      </w:r>
    </w:p>
    <w:p w:rsidR="001A0B18" w:rsidRPr="00412620" w:rsidRDefault="001A0B18" w:rsidP="001A0B18">
      <w:pPr>
        <w:jc w:val="both"/>
        <w:rPr>
          <w:rFonts w:cs="Arial"/>
          <w:sz w:val="20"/>
        </w:rPr>
      </w:pPr>
    </w:p>
    <w:p w:rsidR="001A0B18" w:rsidRPr="00412620" w:rsidRDefault="001A0B18" w:rsidP="00163F8E">
      <w:pPr>
        <w:ind w:left="2188" w:hanging="478"/>
        <w:jc w:val="both"/>
        <w:rPr>
          <w:rFonts w:cs="Arial"/>
          <w:sz w:val="20"/>
        </w:rPr>
      </w:pPr>
      <w:r w:rsidRPr="00412620">
        <w:rPr>
          <w:rFonts w:cs="Arial"/>
          <w:sz w:val="20"/>
        </w:rPr>
        <w:t xml:space="preserve">(a) </w:t>
      </w:r>
      <w:r w:rsidRPr="00412620">
        <w:rPr>
          <w:rFonts w:cs="Arial"/>
          <w:sz w:val="20"/>
        </w:rPr>
        <w:tab/>
        <w:t>the Commissioner may, after recording reasons in writing call for record or documents including books of accounts of the taxpayer; and</w:t>
      </w:r>
    </w:p>
    <w:p w:rsidR="001A0B18" w:rsidRPr="00412620" w:rsidRDefault="001A0B18" w:rsidP="001A0B18">
      <w:pPr>
        <w:jc w:val="both"/>
        <w:rPr>
          <w:rFonts w:cs="Arial"/>
          <w:sz w:val="20"/>
        </w:rPr>
      </w:pPr>
    </w:p>
    <w:p w:rsidR="001A0B18" w:rsidRPr="00412620" w:rsidRDefault="001A0B18" w:rsidP="00163F8E">
      <w:pPr>
        <w:ind w:left="2188" w:hanging="547"/>
        <w:jc w:val="both"/>
        <w:rPr>
          <w:rFonts w:cs="Arial"/>
          <w:sz w:val="20"/>
        </w:rPr>
      </w:pPr>
      <w:r w:rsidRPr="00412620">
        <w:rPr>
          <w:rFonts w:cs="Arial"/>
          <w:sz w:val="20"/>
        </w:rPr>
        <w:t xml:space="preserve">(b) </w:t>
      </w:r>
      <w:r w:rsidRPr="00412620">
        <w:rPr>
          <w:rFonts w:cs="Arial"/>
          <w:sz w:val="20"/>
        </w:rPr>
        <w:tab/>
        <w:t>the reasons shall be communicated to the taxpayer while calling record or documents including books of accounts of the taxpayer:</w:t>
      </w:r>
    </w:p>
    <w:p w:rsidR="00163F8E" w:rsidRDefault="00163F8E" w:rsidP="00163F8E">
      <w:pPr>
        <w:jc w:val="both"/>
        <w:rPr>
          <w:rFonts w:cs="Arial"/>
          <w:sz w:val="20"/>
        </w:rPr>
      </w:pPr>
    </w:p>
    <w:p w:rsidR="00F145EA" w:rsidRPr="00412620" w:rsidRDefault="001A0B18" w:rsidP="00163F8E">
      <w:pPr>
        <w:ind w:left="547" w:firstLine="547"/>
        <w:jc w:val="both"/>
        <w:rPr>
          <w:sz w:val="20"/>
        </w:rPr>
      </w:pPr>
      <w:r w:rsidRPr="00412620">
        <w:rPr>
          <w:rFonts w:cs="Arial"/>
          <w:sz w:val="20"/>
        </w:rPr>
        <w:t>Provided further that the Commissioner shall not call for record or documents of the taxpayer after expiry of six years from the end of the tax year to which they relate.]</w:t>
      </w:r>
    </w:p>
    <w:p w:rsidR="006A3F93" w:rsidRPr="00412620" w:rsidRDefault="006A3F93">
      <w:pPr>
        <w:jc w:val="both"/>
        <w:rPr>
          <w:sz w:val="20"/>
        </w:rPr>
      </w:pPr>
    </w:p>
    <w:p w:rsidR="00AF172C" w:rsidRPr="00412620" w:rsidRDefault="009322F7" w:rsidP="009322F7">
      <w:pPr>
        <w:ind w:firstLine="547"/>
        <w:jc w:val="both"/>
        <w:rPr>
          <w:sz w:val="20"/>
        </w:rPr>
      </w:pPr>
      <w:r w:rsidRPr="00412620">
        <w:rPr>
          <w:rStyle w:val="FootnoteReference"/>
          <w:rFonts w:cs="Arial"/>
          <w:sz w:val="20"/>
        </w:rPr>
        <w:footnoteReference w:id="1204"/>
      </w:r>
      <w:r w:rsidRPr="00412620">
        <w:rPr>
          <w:rFonts w:cs="Arial"/>
          <w:sz w:val="20"/>
        </w:rPr>
        <w:t>[(2)</w:t>
      </w:r>
      <w:r w:rsidRPr="00412620">
        <w:rPr>
          <w:rFonts w:cs="Arial"/>
          <w:sz w:val="20"/>
        </w:rPr>
        <w:tab/>
        <w:t xml:space="preserve">After obtaining the record of a person under sub-section (1) or where necessary record is not maintained, the Commissioner shall conduct an audit of </w:t>
      </w:r>
      <w:r w:rsidRPr="00412620">
        <w:rPr>
          <w:rFonts w:cs="Arial"/>
          <w:sz w:val="20"/>
        </w:rPr>
        <w:lastRenderedPageBreak/>
        <w:t>the income tax affairs (including examination of accounts and records, enquiry into expenditure, assets and liabilities) of that person or any other person and may call for such other information and documents as he may deem appropriate.]</w:t>
      </w:r>
    </w:p>
    <w:p w:rsidR="006A3F93" w:rsidRPr="00412620" w:rsidRDefault="006A3F93">
      <w:pPr>
        <w:jc w:val="both"/>
        <w:rPr>
          <w:rFonts w:cs="Arial"/>
          <w:sz w:val="20"/>
        </w:rPr>
      </w:pPr>
    </w:p>
    <w:p w:rsidR="00E0267E" w:rsidRPr="00412620" w:rsidRDefault="00BB134F">
      <w:pPr>
        <w:jc w:val="both"/>
        <w:rPr>
          <w:rFonts w:cs="Arial"/>
          <w:sz w:val="20"/>
        </w:rPr>
      </w:pPr>
      <w:r w:rsidRPr="00412620">
        <w:rPr>
          <w:rStyle w:val="FootnoteReference"/>
          <w:rFonts w:cs="Arial"/>
          <w:sz w:val="20"/>
        </w:rPr>
        <w:footnoteReference w:id="1205"/>
      </w:r>
      <w:r w:rsidR="00E0267E" w:rsidRPr="00412620">
        <w:rPr>
          <w:rFonts w:cs="Arial"/>
          <w:sz w:val="20"/>
        </w:rPr>
        <w:t>[</w:t>
      </w:r>
      <w:r w:rsidR="001B3020">
        <w:rPr>
          <w:rFonts w:cs="Arial"/>
          <w:sz w:val="20"/>
        </w:rPr>
        <w:t xml:space="preserve">  </w:t>
      </w:r>
      <w:r w:rsidR="00E0267E" w:rsidRPr="00412620">
        <w:rPr>
          <w:rFonts w:cs="Arial"/>
          <w:sz w:val="20"/>
        </w:rPr>
        <w:t>]</w:t>
      </w:r>
    </w:p>
    <w:p w:rsidR="00103495" w:rsidRPr="00412620" w:rsidRDefault="00103495">
      <w:pPr>
        <w:jc w:val="both"/>
        <w:rPr>
          <w:rFonts w:cs="Arial"/>
          <w:sz w:val="20"/>
        </w:rPr>
      </w:pPr>
    </w:p>
    <w:p w:rsidR="00E0267E" w:rsidRPr="00412620" w:rsidRDefault="008E6E6E">
      <w:pPr>
        <w:jc w:val="both"/>
        <w:rPr>
          <w:rFonts w:cs="Arial"/>
          <w:sz w:val="20"/>
        </w:rPr>
      </w:pPr>
      <w:r w:rsidRPr="00412620">
        <w:rPr>
          <w:rStyle w:val="FootnoteReference"/>
          <w:rFonts w:cs="Arial"/>
          <w:sz w:val="20"/>
        </w:rPr>
        <w:footnoteReference w:id="1206"/>
      </w:r>
      <w:r w:rsidR="00E0267E" w:rsidRPr="00412620">
        <w:rPr>
          <w:rFonts w:cs="Arial"/>
          <w:sz w:val="20"/>
        </w:rPr>
        <w:t>[</w:t>
      </w:r>
      <w:r w:rsidR="001B3020">
        <w:rPr>
          <w:rFonts w:cs="Arial"/>
          <w:sz w:val="20"/>
        </w:rPr>
        <w:t xml:space="preserve">  </w:t>
      </w:r>
      <w:r w:rsidR="00E0267E" w:rsidRPr="00412620">
        <w:rPr>
          <w:rFonts w:cs="Arial"/>
          <w:sz w:val="20"/>
        </w:rPr>
        <w:t>]</w:t>
      </w:r>
      <w:r w:rsidR="001B3020">
        <w:rPr>
          <w:rFonts w:cs="Arial"/>
          <w:sz w:val="20"/>
        </w:rPr>
        <w:t xml:space="preserve"> </w:t>
      </w:r>
    </w:p>
    <w:p w:rsidR="00103495" w:rsidRPr="00412620" w:rsidRDefault="00103495">
      <w:pPr>
        <w:jc w:val="both"/>
        <w:rPr>
          <w:rFonts w:cs="Arial"/>
          <w:sz w:val="20"/>
        </w:rPr>
      </w:pPr>
    </w:p>
    <w:p w:rsidR="00E0267E" w:rsidRPr="00412620" w:rsidRDefault="008E6E6E">
      <w:pPr>
        <w:jc w:val="both"/>
        <w:rPr>
          <w:rFonts w:cs="Arial"/>
          <w:sz w:val="20"/>
        </w:rPr>
      </w:pPr>
      <w:r w:rsidRPr="00412620">
        <w:rPr>
          <w:rStyle w:val="FootnoteReference"/>
          <w:rFonts w:cs="Arial"/>
          <w:sz w:val="20"/>
        </w:rPr>
        <w:footnoteReference w:id="1207"/>
      </w:r>
      <w:r w:rsidR="00E0267E" w:rsidRPr="00412620">
        <w:rPr>
          <w:rFonts w:cs="Arial"/>
          <w:sz w:val="20"/>
        </w:rPr>
        <w:t>[</w:t>
      </w:r>
      <w:r w:rsidR="001B3020">
        <w:rPr>
          <w:rFonts w:cs="Arial"/>
          <w:sz w:val="20"/>
        </w:rPr>
        <w:t xml:space="preserve">  </w:t>
      </w:r>
      <w:r w:rsidR="00E0267E" w:rsidRPr="00412620">
        <w:rPr>
          <w:rFonts w:cs="Arial"/>
          <w:sz w:val="20"/>
        </w:rPr>
        <w:t>]</w:t>
      </w:r>
    </w:p>
    <w:p w:rsidR="006A3F93" w:rsidRPr="00412620" w:rsidRDefault="006A3F93">
      <w:pPr>
        <w:jc w:val="both"/>
        <w:rPr>
          <w:rFonts w:cs="Arial"/>
          <w:sz w:val="20"/>
        </w:rPr>
      </w:pPr>
      <w:r w:rsidRPr="00412620">
        <w:rPr>
          <w:rFonts w:cs="Arial"/>
          <w:sz w:val="20"/>
        </w:rPr>
        <w:tab/>
      </w:r>
    </w:p>
    <w:p w:rsidR="00C76143" w:rsidRPr="00412620" w:rsidRDefault="00C76143" w:rsidP="00C76143">
      <w:pPr>
        <w:ind w:firstLine="547"/>
        <w:jc w:val="both"/>
        <w:rPr>
          <w:rFonts w:cs="Arial"/>
          <w:sz w:val="20"/>
        </w:rPr>
      </w:pPr>
      <w:r w:rsidRPr="00412620">
        <w:rPr>
          <w:rFonts w:cs="Arial"/>
          <w:sz w:val="20"/>
        </w:rPr>
        <w:t xml:space="preserve">(6) </w:t>
      </w:r>
      <w:r w:rsidRPr="00412620">
        <w:rPr>
          <w:rFonts w:cs="Arial"/>
          <w:sz w:val="20"/>
        </w:rPr>
        <w:tab/>
        <w:t xml:space="preserve">After completion of the audit </w:t>
      </w:r>
      <w:r w:rsidR="00DC5973" w:rsidRPr="00412620">
        <w:rPr>
          <w:rStyle w:val="FootnoteReference"/>
          <w:rFonts w:cs="Arial"/>
          <w:sz w:val="20"/>
        </w:rPr>
        <w:footnoteReference w:id="1208"/>
      </w:r>
      <w:r w:rsidR="00EC6B5D" w:rsidRPr="00412620">
        <w:rPr>
          <w:rFonts w:cs="Arial"/>
          <w:sz w:val="20"/>
        </w:rPr>
        <w:t>[ ]</w:t>
      </w:r>
      <w:r w:rsidRPr="00412620">
        <w:rPr>
          <w:rFonts w:cs="Arial"/>
          <w:sz w:val="20"/>
        </w:rPr>
        <w:t>, the Commissioner may, if considered necessary, after obtaining taxpayer’s explanation on all the issues raised in the audit, amend the assessment under sub-section (1) or sub-section (4) of section 122, as the case may be.</w:t>
      </w:r>
    </w:p>
    <w:p w:rsidR="006A3F93" w:rsidRPr="00412620" w:rsidRDefault="006A3F93">
      <w:pPr>
        <w:jc w:val="both"/>
        <w:rPr>
          <w:rFonts w:cs="Arial"/>
          <w:sz w:val="20"/>
        </w:rPr>
      </w:pPr>
    </w:p>
    <w:p w:rsidR="00516EBC" w:rsidRPr="00412620" w:rsidRDefault="00516EBC" w:rsidP="00516EBC">
      <w:pPr>
        <w:ind w:firstLine="547"/>
        <w:jc w:val="both"/>
        <w:rPr>
          <w:rFonts w:cs="Arial"/>
          <w:sz w:val="20"/>
        </w:rPr>
      </w:pPr>
      <w:r w:rsidRPr="00412620">
        <w:rPr>
          <w:rFonts w:cs="Arial"/>
          <w:sz w:val="20"/>
        </w:rPr>
        <w:t xml:space="preserve">(7) </w:t>
      </w:r>
      <w:r w:rsidRPr="00412620">
        <w:rPr>
          <w:rFonts w:cs="Arial"/>
          <w:sz w:val="20"/>
        </w:rPr>
        <w:tab/>
        <w:t xml:space="preserve">The fact that a person has been audited in a year shall not preclude the person from being audited again in the next and following years where there are reasonable grounds for such audits </w:t>
      </w:r>
      <w:r w:rsidR="00C91F2E" w:rsidRPr="00412620">
        <w:rPr>
          <w:rStyle w:val="FootnoteReference"/>
          <w:rFonts w:cs="Arial"/>
          <w:sz w:val="20"/>
        </w:rPr>
        <w:footnoteReference w:id="1209"/>
      </w:r>
      <w:r w:rsidRPr="00412620">
        <w:rPr>
          <w:rFonts w:cs="Arial"/>
          <w:sz w:val="20"/>
        </w:rPr>
        <w:t>[ ].</w:t>
      </w:r>
    </w:p>
    <w:p w:rsidR="00516EBC" w:rsidRPr="00412620" w:rsidRDefault="00516EBC">
      <w:pPr>
        <w:jc w:val="both"/>
        <w:rPr>
          <w:rFonts w:cs="Arial"/>
          <w:sz w:val="20"/>
        </w:rPr>
      </w:pPr>
    </w:p>
    <w:p w:rsidR="006A3F93" w:rsidRPr="00412620" w:rsidRDefault="006A3F93">
      <w:pPr>
        <w:jc w:val="both"/>
        <w:rPr>
          <w:rFonts w:cs="Arial"/>
          <w:sz w:val="20"/>
        </w:rPr>
      </w:pPr>
      <w:r w:rsidRPr="00412620">
        <w:rPr>
          <w:rFonts w:cs="Arial"/>
          <w:sz w:val="20"/>
        </w:rPr>
        <w:tab/>
        <w:t xml:space="preserve">(8) </w:t>
      </w:r>
      <w:r w:rsidRPr="00412620">
        <w:rPr>
          <w:rFonts w:cs="Arial"/>
          <w:sz w:val="20"/>
        </w:rPr>
        <w:tab/>
        <w:t xml:space="preserve">The </w:t>
      </w:r>
      <w:r w:rsidR="00845C64" w:rsidRPr="00412620">
        <w:rPr>
          <w:rStyle w:val="FootnoteReference"/>
          <w:rFonts w:cs="Arial"/>
          <w:sz w:val="20"/>
        </w:rPr>
        <w:footnoteReference w:id="1210"/>
      </w:r>
      <w:r w:rsidR="00845C64" w:rsidRPr="00412620">
        <w:rPr>
          <w:rFonts w:cs="Arial"/>
          <w:sz w:val="20"/>
        </w:rPr>
        <w:t>[</w:t>
      </w:r>
      <w:r w:rsidRPr="00412620">
        <w:rPr>
          <w:rFonts w:cs="Arial"/>
          <w:sz w:val="20"/>
        </w:rPr>
        <w:t>Board</w:t>
      </w:r>
      <w:r w:rsidR="00845C64" w:rsidRPr="00412620">
        <w:rPr>
          <w:rFonts w:cs="Arial"/>
          <w:sz w:val="20"/>
        </w:rPr>
        <w:t>]</w:t>
      </w:r>
      <w:r w:rsidRPr="00412620">
        <w:rPr>
          <w:rFonts w:cs="Arial"/>
          <w:sz w:val="20"/>
        </w:rPr>
        <w:t xml:space="preserve"> may appoint a firm of Chartered Accountants as defined under the Chartered Accountants Ordinance, 1961 (X of 1961)</w:t>
      </w:r>
      <w:r w:rsidR="00E5461B" w:rsidRPr="00412620">
        <w:rPr>
          <w:rStyle w:val="FootnoteReference"/>
          <w:rFonts w:cs="Arial"/>
          <w:sz w:val="20"/>
        </w:rPr>
        <w:footnoteReference w:id="1211"/>
      </w:r>
      <w:r w:rsidR="00E83FBD" w:rsidRPr="00412620">
        <w:rPr>
          <w:rFonts w:cs="Arial"/>
          <w:sz w:val="20"/>
        </w:rPr>
        <w:t>[or a firm of Cost and Management Accountants as defined under the Cost and Management Accountants Act, 1966 (XIV of 1966)]</w:t>
      </w:r>
      <w:r w:rsidRPr="00412620">
        <w:rPr>
          <w:rFonts w:cs="Arial"/>
          <w:sz w:val="20"/>
        </w:rPr>
        <w:t>,</w:t>
      </w:r>
      <w:r w:rsidR="00853064" w:rsidRPr="00412620">
        <w:rPr>
          <w:rFonts w:cs="Arial"/>
          <w:sz w:val="20"/>
        </w:rPr>
        <w:t xml:space="preserve"> or a firm of Cost and Management Accountants as defined under the Cost and Management Accountants Act, 1966 (XIV of 1966)</w:t>
      </w:r>
      <w:r w:rsidRPr="00412620">
        <w:rPr>
          <w:rFonts w:cs="Arial"/>
          <w:sz w:val="20"/>
        </w:rPr>
        <w:t xml:space="preserve"> to conduct an audit of the income tax affairs </w:t>
      </w:r>
      <w:r w:rsidRPr="00412620">
        <w:rPr>
          <w:rFonts w:cs="Arial"/>
          <w:sz w:val="20"/>
        </w:rPr>
        <w:lastRenderedPageBreak/>
        <w:t xml:space="preserve">of any person </w:t>
      </w:r>
      <w:r w:rsidR="008B499D" w:rsidRPr="00412620">
        <w:rPr>
          <w:rStyle w:val="FootnoteReference"/>
          <w:rFonts w:cs="Arial"/>
          <w:sz w:val="20"/>
        </w:rPr>
        <w:footnoteReference w:id="1212"/>
      </w:r>
      <w:r w:rsidR="00FD7623" w:rsidRPr="00412620">
        <w:rPr>
          <w:rFonts w:cs="Arial"/>
          <w:sz w:val="20"/>
        </w:rPr>
        <w:t xml:space="preserve">[or classes of persons </w:t>
      </w:r>
      <w:r w:rsidR="00CD5FED" w:rsidRPr="00412620">
        <w:rPr>
          <w:rStyle w:val="FootnoteReference"/>
          <w:rFonts w:cs="Arial"/>
          <w:sz w:val="20"/>
        </w:rPr>
        <w:footnoteReference w:id="1213"/>
      </w:r>
      <w:r w:rsidR="00CD5FED" w:rsidRPr="00412620">
        <w:rPr>
          <w:rFonts w:cs="Arial"/>
          <w:sz w:val="20"/>
        </w:rPr>
        <w:t xml:space="preserve">[  ] </w:t>
      </w:r>
      <w:r w:rsidR="00FD7623" w:rsidRPr="00412620">
        <w:rPr>
          <w:rFonts w:cs="Arial"/>
          <w:sz w:val="20"/>
        </w:rPr>
        <w:t xml:space="preserve">] </w:t>
      </w:r>
      <w:r w:rsidRPr="00412620">
        <w:rPr>
          <w:rFonts w:cs="Arial"/>
          <w:sz w:val="20"/>
        </w:rPr>
        <w:t xml:space="preserve">and the scope of such audit shall be as determined by the </w:t>
      </w:r>
      <w:r w:rsidR="00845C64" w:rsidRPr="00412620">
        <w:rPr>
          <w:rStyle w:val="FootnoteReference"/>
          <w:rFonts w:cs="Arial"/>
          <w:sz w:val="20"/>
        </w:rPr>
        <w:footnoteReference w:id="1214"/>
      </w:r>
      <w:r w:rsidR="00845C64" w:rsidRPr="00412620">
        <w:rPr>
          <w:rFonts w:cs="Arial"/>
          <w:sz w:val="20"/>
        </w:rPr>
        <w:t>[</w:t>
      </w:r>
      <w:r w:rsidRPr="00412620">
        <w:rPr>
          <w:rFonts w:cs="Arial"/>
          <w:sz w:val="20"/>
        </w:rPr>
        <w:t>Board</w:t>
      </w:r>
      <w:r w:rsidR="00845C64" w:rsidRPr="00412620">
        <w:rPr>
          <w:rFonts w:cs="Arial"/>
          <w:sz w:val="20"/>
        </w:rPr>
        <w:t>]</w:t>
      </w:r>
      <w:r w:rsidR="00AA485C" w:rsidRPr="00412620">
        <w:rPr>
          <w:rStyle w:val="FootnoteReference"/>
          <w:rFonts w:cs="Arial"/>
          <w:sz w:val="20"/>
        </w:rPr>
        <w:footnoteReference w:id="1215"/>
      </w:r>
      <w:r w:rsidR="00AA485C" w:rsidRPr="00412620">
        <w:rPr>
          <w:rFonts w:cs="Arial"/>
          <w:sz w:val="20"/>
        </w:rPr>
        <w:t xml:space="preserve">[or the Commissioner] </w:t>
      </w:r>
      <w:r w:rsidRPr="00412620">
        <w:rPr>
          <w:rFonts w:cs="Arial"/>
          <w:sz w:val="20"/>
        </w:rPr>
        <w:t>on a case to case basis.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(9)</w:t>
      </w:r>
      <w:r w:rsidRPr="00412620">
        <w:rPr>
          <w:rFonts w:cs="Arial"/>
          <w:sz w:val="20"/>
        </w:rPr>
        <w:tab/>
        <w:t>Any person employed by a firm referred to in sub-section (8) may be authorized by the Commissioner, in writing, to exercise the powers in sections 175 and 176 for the purposes of conducting an audit under that sub-section.]</w:t>
      </w:r>
    </w:p>
    <w:p w:rsidR="006A3F93" w:rsidRPr="00412620" w:rsidRDefault="006A3F93">
      <w:pPr>
        <w:jc w:val="both"/>
        <w:rPr>
          <w:rFonts w:cs="Arial"/>
          <w:sz w:val="20"/>
        </w:rPr>
      </w:pPr>
    </w:p>
    <w:p w:rsidR="00853064" w:rsidRPr="00412620" w:rsidRDefault="00A05E8E" w:rsidP="00853064">
      <w:pPr>
        <w:ind w:firstLine="547"/>
        <w:jc w:val="both"/>
        <w:rPr>
          <w:rFonts w:cs="Arial"/>
          <w:sz w:val="20"/>
        </w:rPr>
      </w:pPr>
      <w:r w:rsidRPr="00412620">
        <w:rPr>
          <w:rStyle w:val="FootnoteReference"/>
          <w:rFonts w:cs="Arial"/>
          <w:sz w:val="20"/>
        </w:rPr>
        <w:footnoteReference w:id="1216"/>
      </w:r>
      <w:r w:rsidRPr="00412620">
        <w:rPr>
          <w:rFonts w:cs="Arial"/>
          <w:sz w:val="20"/>
        </w:rPr>
        <w:t>[</w:t>
      </w:r>
      <w:r w:rsidR="00853064" w:rsidRPr="00412620">
        <w:rPr>
          <w:rFonts w:cs="Arial"/>
          <w:sz w:val="20"/>
        </w:rPr>
        <w:t xml:space="preserve">(10) Notwithstanding anything contained in sub-sections (2) and (6) where a person fails to produce before the Commissioner or a firm of Chartered Accountants or a firm of Cost and Management Accountants appointed by the Board </w:t>
      </w:r>
      <w:r w:rsidR="0097058B" w:rsidRPr="00412620">
        <w:rPr>
          <w:rFonts w:cs="Arial"/>
          <w:sz w:val="20"/>
        </w:rPr>
        <w:t xml:space="preserve">or the Commissioner </w:t>
      </w:r>
      <w:r w:rsidR="00853064" w:rsidRPr="00412620">
        <w:rPr>
          <w:rFonts w:cs="Arial"/>
          <w:sz w:val="20"/>
        </w:rPr>
        <w:t xml:space="preserve">under sub-section (8) to conduct an audit, any accounts, documents and records, required to be maintained  under section 174 or any other relevant document, electronically kept record, electronic machine or any other evidence that may be required by the Commissioner or the firm of Chartered Accountants or the firm of Cost and Management Accountants for the purpose of audit or determination of income and tax due thereon, the Commissioner may proceed to make best judgment assessment  under section 121  of this Ordinance and the assessment treated to have been made on the basis of return or revised return </w:t>
      </w:r>
      <w:r w:rsidR="0097058B" w:rsidRPr="00412620">
        <w:rPr>
          <w:rFonts w:cs="Arial"/>
          <w:sz w:val="20"/>
        </w:rPr>
        <w:t xml:space="preserve">filed </w:t>
      </w:r>
      <w:r w:rsidR="00853064" w:rsidRPr="00412620">
        <w:rPr>
          <w:rFonts w:cs="Arial"/>
          <w:sz w:val="20"/>
        </w:rPr>
        <w:t>by the taxpayer shall be of no legal effect.</w:t>
      </w:r>
      <w:r w:rsidRPr="00412620">
        <w:rPr>
          <w:rFonts w:cs="Arial"/>
          <w:sz w:val="20"/>
        </w:rPr>
        <w:t>]</w:t>
      </w:r>
    </w:p>
    <w:p w:rsidR="00853064" w:rsidRPr="00412620" w:rsidRDefault="00853064">
      <w:pPr>
        <w:jc w:val="both"/>
        <w:rPr>
          <w:rFonts w:cs="Arial"/>
          <w:sz w:val="20"/>
        </w:rPr>
      </w:pPr>
    </w:p>
    <w:p w:rsidR="00452548" w:rsidRDefault="008636A6" w:rsidP="00452548">
      <w:pPr>
        <w:ind w:left="1094" w:firstLine="1"/>
        <w:jc w:val="both"/>
        <w:rPr>
          <w:rFonts w:cs="Arial"/>
          <w:sz w:val="20"/>
        </w:rPr>
      </w:pPr>
      <w:r w:rsidRPr="00412620">
        <w:rPr>
          <w:rStyle w:val="FootnoteReference"/>
          <w:rFonts w:cs="Arial"/>
          <w:sz w:val="20"/>
        </w:rPr>
        <w:footnoteReference w:id="1217"/>
      </w:r>
      <w:r w:rsidR="00452548" w:rsidRPr="00412620">
        <w:rPr>
          <w:rFonts w:cs="Arial"/>
          <w:sz w:val="20"/>
        </w:rPr>
        <w:t>[</w:t>
      </w:r>
      <w:r w:rsidR="00452548" w:rsidRPr="00412620">
        <w:rPr>
          <w:rFonts w:cs="Arial"/>
          <w:b/>
          <w:i/>
          <w:sz w:val="20"/>
        </w:rPr>
        <w:t>Explanation.</w:t>
      </w:r>
      <w:r w:rsidR="00452548" w:rsidRPr="00412620">
        <w:rPr>
          <w:rFonts w:cs="Arial"/>
          <w:i/>
          <w:sz w:val="20"/>
        </w:rPr>
        <w:t>—</w:t>
      </w:r>
      <w:r w:rsidR="00452548" w:rsidRPr="00412620">
        <w:rPr>
          <w:rFonts w:cs="Arial"/>
          <w:sz w:val="20"/>
        </w:rPr>
        <w:t xml:space="preserve"> For the removal of doubt, it is declared that the powers of the Commissioner under this section are independent of the powers of the Board under section 214C and nothing contained in section 214C restricts the powers of the Commissioner to call for the record or documents including books of accounts of a taxpayer for audit and to conduct audit under this section.]</w:t>
      </w:r>
    </w:p>
    <w:p w:rsidR="009E1800" w:rsidRDefault="009E1800" w:rsidP="009E1800">
      <w:pPr>
        <w:jc w:val="both"/>
        <w:rPr>
          <w:rFonts w:cs="Arial"/>
          <w:sz w:val="20"/>
        </w:rPr>
      </w:pPr>
    </w:p>
    <w:p w:rsidR="009E1800" w:rsidRPr="00CD78F9" w:rsidRDefault="0055337E" w:rsidP="00BC3199">
      <w:pPr>
        <w:autoSpaceDE w:val="0"/>
        <w:autoSpaceDN w:val="0"/>
        <w:adjustRightInd w:val="0"/>
        <w:ind w:firstLine="547"/>
        <w:jc w:val="both"/>
        <w:rPr>
          <w:rFonts w:cs="Arial"/>
          <w:color w:val="000000" w:themeColor="text1"/>
          <w:sz w:val="20"/>
          <w:lang w:val="en-US"/>
        </w:rPr>
      </w:pPr>
      <w:r w:rsidRPr="00CD78F9">
        <w:rPr>
          <w:rStyle w:val="FootnoteReference"/>
          <w:rFonts w:cs="Arial"/>
          <w:color w:val="000000" w:themeColor="text1"/>
          <w:sz w:val="20"/>
          <w:lang w:val="en-US"/>
        </w:rPr>
        <w:footnoteReference w:id="1218"/>
      </w:r>
      <w:r w:rsidR="009E1800" w:rsidRPr="00CD78F9">
        <w:rPr>
          <w:rFonts w:cs="Arial"/>
          <w:color w:val="000000" w:themeColor="text1"/>
          <w:sz w:val="20"/>
          <w:lang w:val="en-US"/>
        </w:rPr>
        <w:t>[“(11) The Board may appoint as many special audit panels as may be necessary, comprising two or more members from the following:—</w:t>
      </w:r>
    </w:p>
    <w:p w:rsidR="00CD776F" w:rsidRPr="00CD78F9" w:rsidRDefault="00CD776F" w:rsidP="009E1800">
      <w:pPr>
        <w:autoSpaceDE w:val="0"/>
        <w:autoSpaceDN w:val="0"/>
        <w:adjustRightInd w:val="0"/>
        <w:jc w:val="both"/>
        <w:rPr>
          <w:rFonts w:cs="Arial"/>
          <w:color w:val="000000" w:themeColor="text1"/>
          <w:sz w:val="20"/>
          <w:lang w:val="en-US"/>
        </w:rPr>
      </w:pPr>
    </w:p>
    <w:p w:rsidR="009E1800" w:rsidRPr="00CD78F9" w:rsidRDefault="009E1800" w:rsidP="009E1800">
      <w:pPr>
        <w:autoSpaceDE w:val="0"/>
        <w:autoSpaceDN w:val="0"/>
        <w:adjustRightInd w:val="0"/>
        <w:ind w:left="547" w:firstLine="83"/>
        <w:jc w:val="both"/>
        <w:rPr>
          <w:rFonts w:cs="Arial"/>
          <w:color w:val="000000" w:themeColor="text1"/>
          <w:sz w:val="20"/>
          <w:lang w:val="en-US"/>
        </w:rPr>
      </w:pPr>
      <w:r w:rsidRPr="00CD78F9">
        <w:rPr>
          <w:rFonts w:cs="Arial"/>
          <w:color w:val="000000" w:themeColor="text1"/>
          <w:sz w:val="20"/>
          <w:lang w:val="en-US"/>
        </w:rPr>
        <w:t>(a) an officer or officers of Inland Revenue;</w:t>
      </w:r>
    </w:p>
    <w:p w:rsidR="009E1800" w:rsidRPr="00CD78F9" w:rsidRDefault="009E1800" w:rsidP="009E1800">
      <w:pPr>
        <w:autoSpaceDE w:val="0"/>
        <w:autoSpaceDN w:val="0"/>
        <w:adjustRightInd w:val="0"/>
        <w:ind w:left="547" w:firstLine="83"/>
        <w:jc w:val="both"/>
        <w:rPr>
          <w:rFonts w:cs="Arial"/>
          <w:color w:val="000000" w:themeColor="text1"/>
          <w:sz w:val="20"/>
          <w:lang w:val="en-US"/>
        </w:rPr>
      </w:pPr>
      <w:r w:rsidRPr="00CD78F9">
        <w:rPr>
          <w:rFonts w:cs="Arial"/>
          <w:color w:val="000000" w:themeColor="text1"/>
          <w:sz w:val="20"/>
          <w:lang w:val="en-US"/>
        </w:rPr>
        <w:t>(b) a firm of chartered accountants as defined under the Chartered</w:t>
      </w:r>
    </w:p>
    <w:p w:rsidR="009E1800" w:rsidRPr="00CD78F9" w:rsidRDefault="009E1800" w:rsidP="009E1800">
      <w:pPr>
        <w:autoSpaceDE w:val="0"/>
        <w:autoSpaceDN w:val="0"/>
        <w:adjustRightInd w:val="0"/>
        <w:ind w:left="1094" w:hanging="104"/>
        <w:jc w:val="both"/>
        <w:rPr>
          <w:rFonts w:cs="Arial"/>
          <w:color w:val="000000" w:themeColor="text1"/>
          <w:sz w:val="20"/>
          <w:lang w:val="en-US"/>
        </w:rPr>
      </w:pPr>
      <w:r w:rsidRPr="00CD78F9">
        <w:rPr>
          <w:rFonts w:cs="Arial"/>
          <w:color w:val="000000" w:themeColor="text1"/>
          <w:sz w:val="20"/>
          <w:lang w:val="en-US"/>
        </w:rPr>
        <w:t>Accountants Ordinance, 1961 (X of 1961);</w:t>
      </w:r>
    </w:p>
    <w:p w:rsidR="009E1800" w:rsidRPr="00CD78F9" w:rsidRDefault="009E1800" w:rsidP="009E1800">
      <w:pPr>
        <w:autoSpaceDE w:val="0"/>
        <w:autoSpaceDN w:val="0"/>
        <w:adjustRightInd w:val="0"/>
        <w:ind w:left="547" w:firstLine="83"/>
        <w:jc w:val="both"/>
        <w:rPr>
          <w:rFonts w:cs="Arial"/>
          <w:color w:val="000000" w:themeColor="text1"/>
          <w:sz w:val="20"/>
          <w:lang w:val="en-US"/>
        </w:rPr>
      </w:pPr>
      <w:r w:rsidRPr="00CD78F9">
        <w:rPr>
          <w:rFonts w:cs="Arial"/>
          <w:color w:val="000000" w:themeColor="text1"/>
          <w:sz w:val="20"/>
          <w:lang w:val="en-US"/>
        </w:rPr>
        <w:t>(c) a firm of cost and management accountants as defined under the</w:t>
      </w:r>
    </w:p>
    <w:p w:rsidR="009E1800" w:rsidRPr="00CD78F9" w:rsidRDefault="009E1800" w:rsidP="009E1800">
      <w:pPr>
        <w:autoSpaceDE w:val="0"/>
        <w:autoSpaceDN w:val="0"/>
        <w:adjustRightInd w:val="0"/>
        <w:ind w:left="1094" w:hanging="104"/>
        <w:jc w:val="both"/>
        <w:rPr>
          <w:rFonts w:cs="Arial"/>
          <w:color w:val="000000" w:themeColor="text1"/>
          <w:sz w:val="20"/>
          <w:lang w:val="en-US"/>
        </w:rPr>
      </w:pPr>
      <w:r w:rsidRPr="00CD78F9">
        <w:rPr>
          <w:rFonts w:cs="Arial"/>
          <w:color w:val="000000" w:themeColor="text1"/>
          <w:sz w:val="20"/>
          <w:lang w:val="en-US"/>
        </w:rPr>
        <w:t>Cost and Management Accountants Act, 1966 (XIV of 1966); or</w:t>
      </w:r>
    </w:p>
    <w:p w:rsidR="009E1800" w:rsidRPr="00CD78F9" w:rsidRDefault="009E1800" w:rsidP="00CD776F">
      <w:pPr>
        <w:autoSpaceDE w:val="0"/>
        <w:autoSpaceDN w:val="0"/>
        <w:adjustRightInd w:val="0"/>
        <w:ind w:left="990" w:hanging="360"/>
        <w:jc w:val="both"/>
        <w:rPr>
          <w:rFonts w:cs="Arial"/>
          <w:color w:val="000000" w:themeColor="text1"/>
          <w:sz w:val="20"/>
          <w:lang w:val="en-US"/>
        </w:rPr>
      </w:pPr>
      <w:r w:rsidRPr="00CD78F9">
        <w:rPr>
          <w:rFonts w:cs="Arial"/>
          <w:color w:val="000000" w:themeColor="text1"/>
          <w:sz w:val="20"/>
          <w:lang w:val="en-US"/>
        </w:rPr>
        <w:t>(d) any other person as directed by the Board,</w:t>
      </w:r>
      <w:r w:rsidR="001A2A0D" w:rsidRPr="00CD78F9">
        <w:rPr>
          <w:rFonts w:cs="Arial"/>
          <w:color w:val="000000" w:themeColor="text1"/>
          <w:sz w:val="20"/>
          <w:lang w:val="en-US"/>
        </w:rPr>
        <w:t xml:space="preserve"> </w:t>
      </w:r>
      <w:r w:rsidRPr="00CD78F9">
        <w:rPr>
          <w:rFonts w:cs="Arial"/>
          <w:color w:val="000000" w:themeColor="text1"/>
          <w:sz w:val="20"/>
          <w:lang w:val="en-US"/>
        </w:rPr>
        <w:t>to conduct an audit, including a forensic audit, of the income tax affairs of</w:t>
      </w:r>
      <w:r w:rsidR="001A2A0D" w:rsidRPr="00CD78F9">
        <w:rPr>
          <w:rFonts w:cs="Arial"/>
          <w:color w:val="000000" w:themeColor="text1"/>
          <w:sz w:val="20"/>
          <w:lang w:val="en-US"/>
        </w:rPr>
        <w:t xml:space="preserve"> </w:t>
      </w:r>
      <w:r w:rsidRPr="00CD78F9">
        <w:rPr>
          <w:rFonts w:cs="Arial"/>
          <w:color w:val="000000" w:themeColor="text1"/>
          <w:sz w:val="20"/>
          <w:lang w:val="en-US"/>
        </w:rPr>
        <w:t>any person or classes of persons and the scope of such audit shall be as</w:t>
      </w:r>
      <w:r w:rsidR="001A2A0D" w:rsidRPr="00CD78F9">
        <w:rPr>
          <w:rFonts w:cs="Arial"/>
          <w:color w:val="000000" w:themeColor="text1"/>
          <w:sz w:val="20"/>
          <w:lang w:val="en-US"/>
        </w:rPr>
        <w:t xml:space="preserve"> </w:t>
      </w:r>
      <w:r w:rsidRPr="00CD78F9">
        <w:rPr>
          <w:rFonts w:cs="Arial"/>
          <w:color w:val="000000" w:themeColor="text1"/>
          <w:sz w:val="20"/>
          <w:lang w:val="en-US"/>
        </w:rPr>
        <w:t>determined by the Board or the Commissioner on case-to-case basis.</w:t>
      </w:r>
    </w:p>
    <w:p w:rsidR="00CD776F" w:rsidRPr="00BC3199" w:rsidRDefault="00CD776F" w:rsidP="00CD776F">
      <w:pPr>
        <w:autoSpaceDE w:val="0"/>
        <w:autoSpaceDN w:val="0"/>
        <w:adjustRightInd w:val="0"/>
        <w:ind w:left="547" w:firstLine="83"/>
        <w:jc w:val="both"/>
        <w:rPr>
          <w:rFonts w:cs="Arial"/>
          <w:color w:val="984806" w:themeColor="accent6" w:themeShade="80"/>
          <w:sz w:val="20"/>
          <w:lang w:val="en-US"/>
        </w:rPr>
      </w:pPr>
    </w:p>
    <w:p w:rsidR="009E1800" w:rsidRDefault="009E1800" w:rsidP="00BC3199">
      <w:pPr>
        <w:autoSpaceDE w:val="0"/>
        <w:autoSpaceDN w:val="0"/>
        <w:adjustRightInd w:val="0"/>
        <w:ind w:firstLine="547"/>
        <w:jc w:val="both"/>
        <w:rPr>
          <w:rFonts w:cs="Arial"/>
          <w:color w:val="000000" w:themeColor="text1"/>
          <w:sz w:val="20"/>
          <w:lang w:val="en-US"/>
        </w:rPr>
      </w:pPr>
      <w:r w:rsidRPr="00CD78F9">
        <w:rPr>
          <w:rFonts w:cs="Arial"/>
          <w:color w:val="000000" w:themeColor="text1"/>
          <w:sz w:val="20"/>
          <w:lang w:val="en-US"/>
        </w:rPr>
        <w:t>(12) Special audit panel under sub-section (1) shall be headed by a</w:t>
      </w:r>
      <w:r w:rsidR="001A2A0D" w:rsidRPr="00CD78F9">
        <w:rPr>
          <w:rFonts w:cs="Arial"/>
          <w:color w:val="000000" w:themeColor="text1"/>
          <w:sz w:val="20"/>
          <w:lang w:val="en-US"/>
        </w:rPr>
        <w:t xml:space="preserve"> </w:t>
      </w:r>
      <w:r w:rsidRPr="00CD78F9">
        <w:rPr>
          <w:rFonts w:cs="Arial"/>
          <w:color w:val="000000" w:themeColor="text1"/>
          <w:sz w:val="20"/>
          <w:lang w:val="en-US"/>
        </w:rPr>
        <w:t>Chairman who shall be an officer of Inland Revenue.</w:t>
      </w:r>
    </w:p>
    <w:p w:rsidR="00CD78F9" w:rsidRPr="00CD78F9" w:rsidRDefault="00CD78F9" w:rsidP="00BC3199">
      <w:pPr>
        <w:autoSpaceDE w:val="0"/>
        <w:autoSpaceDN w:val="0"/>
        <w:adjustRightInd w:val="0"/>
        <w:ind w:firstLine="547"/>
        <w:jc w:val="both"/>
        <w:rPr>
          <w:rFonts w:cs="Arial"/>
          <w:color w:val="000000" w:themeColor="text1"/>
          <w:sz w:val="20"/>
          <w:lang w:val="en-US"/>
        </w:rPr>
      </w:pPr>
    </w:p>
    <w:p w:rsidR="009E1800" w:rsidRPr="00CD78F9" w:rsidRDefault="009E1800" w:rsidP="00BC3199">
      <w:pPr>
        <w:autoSpaceDE w:val="0"/>
        <w:autoSpaceDN w:val="0"/>
        <w:adjustRightInd w:val="0"/>
        <w:ind w:firstLine="547"/>
        <w:jc w:val="both"/>
        <w:rPr>
          <w:rFonts w:cs="Arial"/>
          <w:color w:val="000000" w:themeColor="text1"/>
          <w:sz w:val="20"/>
          <w:lang w:val="en-US"/>
        </w:rPr>
      </w:pPr>
      <w:r w:rsidRPr="00CD78F9">
        <w:rPr>
          <w:rFonts w:cs="Arial"/>
          <w:color w:val="000000" w:themeColor="text1"/>
          <w:sz w:val="20"/>
          <w:lang w:val="en-US"/>
        </w:rPr>
        <w:t>(13) Powers under sections 175 and 176 for the purposes of</w:t>
      </w:r>
      <w:r w:rsidR="001A2A0D" w:rsidRPr="00CD78F9">
        <w:rPr>
          <w:rFonts w:cs="Arial"/>
          <w:color w:val="000000" w:themeColor="text1"/>
          <w:sz w:val="20"/>
          <w:lang w:val="en-US"/>
        </w:rPr>
        <w:t xml:space="preserve"> </w:t>
      </w:r>
      <w:r w:rsidRPr="00CD78F9">
        <w:rPr>
          <w:rFonts w:cs="Arial"/>
          <w:color w:val="000000" w:themeColor="text1"/>
          <w:sz w:val="20"/>
          <w:lang w:val="en-US"/>
        </w:rPr>
        <w:t>conducting an audit under sub-section (11), shall only be exercised by an</w:t>
      </w:r>
      <w:r w:rsidR="001A2A0D" w:rsidRPr="00CD78F9">
        <w:rPr>
          <w:rFonts w:cs="Arial"/>
          <w:color w:val="000000" w:themeColor="text1"/>
          <w:sz w:val="20"/>
          <w:lang w:val="en-US"/>
        </w:rPr>
        <w:t xml:space="preserve"> </w:t>
      </w:r>
      <w:r w:rsidRPr="00CD78F9">
        <w:rPr>
          <w:rFonts w:cs="Arial"/>
          <w:color w:val="000000" w:themeColor="text1"/>
          <w:sz w:val="20"/>
          <w:lang w:val="en-US"/>
        </w:rPr>
        <w:t>officer or officers of Inland Revenue, who are member or members of the</w:t>
      </w:r>
      <w:r w:rsidR="001A2A0D" w:rsidRPr="00CD78F9">
        <w:rPr>
          <w:rFonts w:cs="Arial"/>
          <w:color w:val="000000" w:themeColor="text1"/>
          <w:sz w:val="20"/>
          <w:lang w:val="en-US"/>
        </w:rPr>
        <w:t xml:space="preserve"> </w:t>
      </w:r>
      <w:r w:rsidRPr="00CD78F9">
        <w:rPr>
          <w:rFonts w:cs="Arial"/>
          <w:color w:val="000000" w:themeColor="text1"/>
          <w:sz w:val="20"/>
          <w:lang w:val="en-US"/>
        </w:rPr>
        <w:t>special audit panel, and authorized by the Commissioner.</w:t>
      </w:r>
    </w:p>
    <w:p w:rsidR="00BC3199" w:rsidRPr="00CD78F9" w:rsidRDefault="00BC3199" w:rsidP="00BC3199">
      <w:pPr>
        <w:autoSpaceDE w:val="0"/>
        <w:autoSpaceDN w:val="0"/>
        <w:adjustRightInd w:val="0"/>
        <w:ind w:firstLine="547"/>
        <w:jc w:val="both"/>
        <w:rPr>
          <w:rFonts w:cs="Arial"/>
          <w:color w:val="000000" w:themeColor="text1"/>
          <w:sz w:val="20"/>
          <w:lang w:val="en-US"/>
        </w:rPr>
      </w:pPr>
    </w:p>
    <w:p w:rsidR="009E1800" w:rsidRPr="00CD78F9" w:rsidRDefault="009E1800" w:rsidP="00BC3199">
      <w:pPr>
        <w:autoSpaceDE w:val="0"/>
        <w:autoSpaceDN w:val="0"/>
        <w:adjustRightInd w:val="0"/>
        <w:ind w:firstLine="547"/>
        <w:jc w:val="both"/>
        <w:rPr>
          <w:rFonts w:cs="Arial"/>
          <w:color w:val="000000" w:themeColor="text1"/>
          <w:sz w:val="20"/>
          <w:lang w:val="en-US"/>
        </w:rPr>
      </w:pPr>
      <w:r w:rsidRPr="00CD78F9">
        <w:rPr>
          <w:rFonts w:cs="Arial"/>
          <w:color w:val="000000" w:themeColor="text1"/>
          <w:sz w:val="20"/>
          <w:lang w:val="en-US"/>
        </w:rPr>
        <w:t>(14) Notwithstanding anything contained in sub-sections (2) and(6), where a person fails to produce before the Commissioner or a special</w:t>
      </w:r>
      <w:r w:rsidR="001A2A0D" w:rsidRPr="00CD78F9">
        <w:rPr>
          <w:rFonts w:cs="Arial"/>
          <w:color w:val="000000" w:themeColor="text1"/>
          <w:sz w:val="20"/>
          <w:lang w:val="en-US"/>
        </w:rPr>
        <w:t xml:space="preserve"> </w:t>
      </w:r>
      <w:r w:rsidRPr="00CD78F9">
        <w:rPr>
          <w:rFonts w:cs="Arial"/>
          <w:color w:val="000000" w:themeColor="text1"/>
          <w:sz w:val="20"/>
          <w:lang w:val="en-US"/>
        </w:rPr>
        <w:t>audit panel under sub-section (11) to conduct an audit, any accounts, documents</w:t>
      </w:r>
      <w:r w:rsidR="001A2A0D" w:rsidRPr="00CD78F9">
        <w:rPr>
          <w:rFonts w:cs="Arial"/>
          <w:color w:val="000000" w:themeColor="text1"/>
          <w:sz w:val="20"/>
          <w:lang w:val="en-US"/>
        </w:rPr>
        <w:t xml:space="preserve"> </w:t>
      </w:r>
      <w:r w:rsidRPr="00CD78F9">
        <w:rPr>
          <w:rFonts w:cs="Arial"/>
          <w:color w:val="000000" w:themeColor="text1"/>
          <w:sz w:val="20"/>
          <w:lang w:val="en-US"/>
        </w:rPr>
        <w:t>and records, required to be maintained under section 174 or any other relevant</w:t>
      </w:r>
      <w:r w:rsidR="001A2A0D" w:rsidRPr="00CD78F9">
        <w:rPr>
          <w:rFonts w:cs="Arial"/>
          <w:color w:val="000000" w:themeColor="text1"/>
          <w:sz w:val="20"/>
          <w:lang w:val="en-US"/>
        </w:rPr>
        <w:t xml:space="preserve"> </w:t>
      </w:r>
      <w:r w:rsidRPr="00CD78F9">
        <w:rPr>
          <w:rFonts w:cs="Arial"/>
          <w:color w:val="000000" w:themeColor="text1"/>
          <w:sz w:val="20"/>
          <w:lang w:val="en-US"/>
        </w:rPr>
        <w:t>document, electronically kept record, electronic machine or any other evidence</w:t>
      </w:r>
      <w:r w:rsidR="001A2A0D" w:rsidRPr="00CD78F9">
        <w:rPr>
          <w:rFonts w:cs="Arial"/>
          <w:color w:val="000000" w:themeColor="text1"/>
          <w:sz w:val="20"/>
          <w:lang w:val="en-US"/>
        </w:rPr>
        <w:t xml:space="preserve"> </w:t>
      </w:r>
      <w:r w:rsidRPr="00CD78F9">
        <w:rPr>
          <w:rFonts w:cs="Arial"/>
          <w:color w:val="000000" w:themeColor="text1"/>
          <w:sz w:val="20"/>
          <w:lang w:val="en-US"/>
        </w:rPr>
        <w:t>that may be required by the Commissioner or the panel, the Commissioner may</w:t>
      </w:r>
      <w:r w:rsidR="001A2A0D" w:rsidRPr="00CD78F9">
        <w:rPr>
          <w:rFonts w:cs="Arial"/>
          <w:color w:val="000000" w:themeColor="text1"/>
          <w:sz w:val="20"/>
          <w:lang w:val="en-US"/>
        </w:rPr>
        <w:t xml:space="preserve"> </w:t>
      </w:r>
      <w:r w:rsidRPr="00CD78F9">
        <w:rPr>
          <w:rFonts w:cs="Arial"/>
          <w:color w:val="000000" w:themeColor="text1"/>
          <w:sz w:val="20"/>
          <w:lang w:val="en-US"/>
        </w:rPr>
        <w:t>proceed to make best judgment assessment under section 121 and the</w:t>
      </w:r>
      <w:r w:rsidR="001A2A0D" w:rsidRPr="00CD78F9">
        <w:rPr>
          <w:rFonts w:cs="Arial"/>
          <w:color w:val="000000" w:themeColor="text1"/>
          <w:sz w:val="20"/>
          <w:lang w:val="en-US"/>
        </w:rPr>
        <w:t xml:space="preserve"> </w:t>
      </w:r>
      <w:r w:rsidRPr="00CD78F9">
        <w:rPr>
          <w:rFonts w:cs="Arial"/>
          <w:color w:val="000000" w:themeColor="text1"/>
          <w:sz w:val="20"/>
          <w:lang w:val="en-US"/>
        </w:rPr>
        <w:t>assessment treated to have been made on the basis of return or revised</w:t>
      </w:r>
      <w:r w:rsidR="001A2A0D" w:rsidRPr="00CD78F9">
        <w:rPr>
          <w:rFonts w:cs="Arial"/>
          <w:color w:val="000000" w:themeColor="text1"/>
          <w:sz w:val="20"/>
          <w:lang w:val="en-US"/>
        </w:rPr>
        <w:t xml:space="preserve"> </w:t>
      </w:r>
      <w:r w:rsidRPr="00CD78F9">
        <w:rPr>
          <w:rFonts w:cs="Arial"/>
          <w:color w:val="000000" w:themeColor="text1"/>
          <w:sz w:val="20"/>
          <w:lang w:val="en-US"/>
        </w:rPr>
        <w:t>return filed by the taxpayer shall be of no legal effect.</w:t>
      </w:r>
    </w:p>
    <w:p w:rsidR="00BC3199" w:rsidRPr="00CD78F9" w:rsidRDefault="00BC3199" w:rsidP="00BC3199">
      <w:pPr>
        <w:autoSpaceDE w:val="0"/>
        <w:autoSpaceDN w:val="0"/>
        <w:adjustRightInd w:val="0"/>
        <w:ind w:firstLine="547"/>
        <w:jc w:val="both"/>
        <w:rPr>
          <w:rFonts w:cs="Arial"/>
          <w:color w:val="000000" w:themeColor="text1"/>
          <w:sz w:val="20"/>
          <w:lang w:val="en-US"/>
        </w:rPr>
      </w:pPr>
    </w:p>
    <w:p w:rsidR="009E1800" w:rsidRPr="00CD78F9" w:rsidRDefault="009E1800" w:rsidP="00BC3199">
      <w:pPr>
        <w:autoSpaceDE w:val="0"/>
        <w:autoSpaceDN w:val="0"/>
        <w:adjustRightInd w:val="0"/>
        <w:ind w:firstLine="547"/>
        <w:jc w:val="both"/>
        <w:rPr>
          <w:rFonts w:cs="Arial"/>
          <w:color w:val="000000" w:themeColor="text1"/>
          <w:sz w:val="20"/>
          <w:lang w:val="en-US"/>
        </w:rPr>
      </w:pPr>
      <w:r w:rsidRPr="00CD78F9">
        <w:rPr>
          <w:rFonts w:cs="Arial"/>
          <w:color w:val="000000" w:themeColor="text1"/>
          <w:sz w:val="20"/>
          <w:lang w:val="en-US"/>
        </w:rPr>
        <w:t>(15) If any one member of the special audit panel, other than the</w:t>
      </w:r>
      <w:r w:rsidR="001A2A0D" w:rsidRPr="00CD78F9">
        <w:rPr>
          <w:rFonts w:cs="Arial"/>
          <w:color w:val="000000" w:themeColor="text1"/>
          <w:sz w:val="20"/>
          <w:lang w:val="en-US"/>
        </w:rPr>
        <w:t xml:space="preserve"> </w:t>
      </w:r>
      <w:r w:rsidRPr="00CD78F9">
        <w:rPr>
          <w:rFonts w:cs="Arial"/>
          <w:color w:val="000000" w:themeColor="text1"/>
          <w:sz w:val="20"/>
          <w:lang w:val="en-US"/>
        </w:rPr>
        <w:t>Chairman, is absent from conducting an audit, the proceedings of the</w:t>
      </w:r>
      <w:r w:rsidR="001A2A0D" w:rsidRPr="00CD78F9">
        <w:rPr>
          <w:rFonts w:cs="Arial"/>
          <w:color w:val="000000" w:themeColor="text1"/>
          <w:sz w:val="20"/>
          <w:lang w:val="en-US"/>
        </w:rPr>
        <w:t xml:space="preserve"> </w:t>
      </w:r>
      <w:r w:rsidRPr="00CD78F9">
        <w:rPr>
          <w:rFonts w:cs="Arial"/>
          <w:color w:val="000000" w:themeColor="text1"/>
          <w:sz w:val="20"/>
          <w:lang w:val="en-US"/>
        </w:rPr>
        <w:t>audit may continue, and the audit conducted by the special audit panel</w:t>
      </w:r>
      <w:r w:rsidR="001A2A0D" w:rsidRPr="00CD78F9">
        <w:rPr>
          <w:rFonts w:cs="Arial"/>
          <w:color w:val="000000" w:themeColor="text1"/>
          <w:sz w:val="20"/>
          <w:lang w:val="en-US"/>
        </w:rPr>
        <w:t xml:space="preserve"> </w:t>
      </w:r>
      <w:r w:rsidRPr="00CD78F9">
        <w:rPr>
          <w:rFonts w:cs="Arial"/>
          <w:color w:val="000000" w:themeColor="text1"/>
          <w:sz w:val="20"/>
          <w:lang w:val="en-US"/>
        </w:rPr>
        <w:t>shall not be invalid or be called in question merely on the ground of such</w:t>
      </w:r>
      <w:r w:rsidR="001A2A0D" w:rsidRPr="00CD78F9">
        <w:rPr>
          <w:rFonts w:cs="Arial"/>
          <w:color w:val="000000" w:themeColor="text1"/>
          <w:sz w:val="20"/>
          <w:lang w:val="en-US"/>
        </w:rPr>
        <w:t xml:space="preserve"> </w:t>
      </w:r>
      <w:r w:rsidRPr="00CD78F9">
        <w:rPr>
          <w:rFonts w:cs="Arial"/>
          <w:color w:val="000000" w:themeColor="text1"/>
          <w:sz w:val="20"/>
          <w:lang w:val="en-US"/>
        </w:rPr>
        <w:t>absence.</w:t>
      </w:r>
    </w:p>
    <w:p w:rsidR="00BC3199" w:rsidRPr="00CD78F9" w:rsidRDefault="00BC3199" w:rsidP="00BC3199">
      <w:pPr>
        <w:autoSpaceDE w:val="0"/>
        <w:autoSpaceDN w:val="0"/>
        <w:adjustRightInd w:val="0"/>
        <w:ind w:firstLine="547"/>
        <w:jc w:val="both"/>
        <w:rPr>
          <w:rFonts w:cs="Arial"/>
          <w:color w:val="000000" w:themeColor="text1"/>
          <w:sz w:val="20"/>
          <w:lang w:val="en-US"/>
        </w:rPr>
      </w:pPr>
    </w:p>
    <w:p w:rsidR="009E1800" w:rsidRPr="00CD78F9" w:rsidRDefault="009E1800" w:rsidP="00BC3199">
      <w:pPr>
        <w:autoSpaceDE w:val="0"/>
        <w:autoSpaceDN w:val="0"/>
        <w:adjustRightInd w:val="0"/>
        <w:ind w:firstLine="547"/>
        <w:jc w:val="both"/>
        <w:rPr>
          <w:rFonts w:cs="Arial"/>
          <w:color w:val="000000" w:themeColor="text1"/>
          <w:sz w:val="20"/>
          <w:lang w:val="en-US"/>
        </w:rPr>
      </w:pPr>
      <w:r w:rsidRPr="00CD78F9">
        <w:rPr>
          <w:rFonts w:cs="Arial"/>
          <w:color w:val="000000" w:themeColor="text1"/>
          <w:sz w:val="20"/>
          <w:lang w:val="en-US"/>
        </w:rPr>
        <w:t>(16) Functions performed by an officer or officers of Inland</w:t>
      </w:r>
      <w:r w:rsidR="001A2A0D" w:rsidRPr="00CD78F9">
        <w:rPr>
          <w:rFonts w:cs="Arial"/>
          <w:color w:val="000000" w:themeColor="text1"/>
          <w:sz w:val="20"/>
          <w:lang w:val="en-US"/>
        </w:rPr>
        <w:t xml:space="preserve"> </w:t>
      </w:r>
      <w:r w:rsidRPr="00CD78F9">
        <w:rPr>
          <w:rFonts w:cs="Arial"/>
          <w:color w:val="000000" w:themeColor="text1"/>
          <w:sz w:val="20"/>
          <w:lang w:val="en-US"/>
        </w:rPr>
        <w:t>Revenue as members of the special audit panel, for conducting audit,</w:t>
      </w:r>
      <w:r w:rsidR="001A2A0D" w:rsidRPr="00CD78F9">
        <w:rPr>
          <w:rFonts w:cs="Arial"/>
          <w:color w:val="000000" w:themeColor="text1"/>
          <w:sz w:val="20"/>
          <w:lang w:val="en-US"/>
        </w:rPr>
        <w:t xml:space="preserve"> </w:t>
      </w:r>
      <w:r w:rsidRPr="00CD78F9">
        <w:rPr>
          <w:rFonts w:cs="Arial"/>
          <w:color w:val="000000" w:themeColor="text1"/>
          <w:sz w:val="20"/>
          <w:lang w:val="en-US"/>
        </w:rPr>
        <w:t>shall be treated to have been performed by special audit panel.</w:t>
      </w:r>
    </w:p>
    <w:p w:rsidR="00BC3199" w:rsidRPr="00CD78F9" w:rsidRDefault="00BC3199" w:rsidP="00BC3199">
      <w:pPr>
        <w:autoSpaceDE w:val="0"/>
        <w:autoSpaceDN w:val="0"/>
        <w:adjustRightInd w:val="0"/>
        <w:ind w:firstLine="547"/>
        <w:jc w:val="both"/>
        <w:rPr>
          <w:rFonts w:cs="Arial"/>
          <w:color w:val="000000" w:themeColor="text1"/>
          <w:sz w:val="20"/>
          <w:lang w:val="en-US"/>
        </w:rPr>
      </w:pPr>
    </w:p>
    <w:p w:rsidR="009E1800" w:rsidRPr="00CD78F9" w:rsidRDefault="009E1800" w:rsidP="00BC3199">
      <w:pPr>
        <w:autoSpaceDE w:val="0"/>
        <w:autoSpaceDN w:val="0"/>
        <w:adjustRightInd w:val="0"/>
        <w:ind w:firstLine="547"/>
        <w:jc w:val="both"/>
        <w:rPr>
          <w:rFonts w:cs="Arial"/>
          <w:color w:val="000000" w:themeColor="text1"/>
          <w:sz w:val="20"/>
        </w:rPr>
      </w:pPr>
      <w:r w:rsidRPr="00CD78F9">
        <w:rPr>
          <w:rFonts w:cs="Arial"/>
          <w:color w:val="000000" w:themeColor="text1"/>
          <w:sz w:val="20"/>
          <w:lang w:val="en-US"/>
        </w:rPr>
        <w:t>(17) The Board may prescribe the mode and manner of</w:t>
      </w:r>
      <w:r w:rsidR="001A2A0D" w:rsidRPr="00CD78F9">
        <w:rPr>
          <w:rFonts w:cs="Arial"/>
          <w:color w:val="000000" w:themeColor="text1"/>
          <w:sz w:val="20"/>
          <w:lang w:val="en-US"/>
        </w:rPr>
        <w:t xml:space="preserve"> </w:t>
      </w:r>
      <w:r w:rsidRPr="00CD78F9">
        <w:rPr>
          <w:rFonts w:cs="Arial"/>
          <w:color w:val="000000" w:themeColor="text1"/>
          <w:sz w:val="20"/>
          <w:lang w:val="en-US"/>
        </w:rPr>
        <w:t>constitution, procedure and working of the special audit panel.</w:t>
      </w:r>
      <w:r w:rsidR="00BC3199" w:rsidRPr="00CD78F9">
        <w:rPr>
          <w:rFonts w:cs="Arial"/>
          <w:color w:val="000000" w:themeColor="text1"/>
          <w:sz w:val="20"/>
          <w:lang w:val="en-US"/>
        </w:rPr>
        <w:t>”]</w:t>
      </w:r>
    </w:p>
    <w:p w:rsidR="00452548" w:rsidRPr="00412620" w:rsidRDefault="00452548">
      <w:pPr>
        <w:jc w:val="both"/>
        <w:rPr>
          <w:rFonts w:cs="Arial"/>
          <w:sz w:val="20"/>
        </w:rPr>
      </w:pPr>
    </w:p>
    <w:p w:rsidR="006A3F93" w:rsidRPr="00412620" w:rsidRDefault="006A3F93">
      <w:pPr>
        <w:jc w:val="both"/>
        <w:rPr>
          <w:sz w:val="20"/>
        </w:rPr>
      </w:pPr>
      <w:r w:rsidRPr="00412620">
        <w:rPr>
          <w:rFonts w:cs="Arial"/>
          <w:b/>
          <w:sz w:val="20"/>
        </w:rPr>
        <w:t>178.</w:t>
      </w:r>
      <w:r w:rsidRPr="00412620">
        <w:rPr>
          <w:rFonts w:cs="Arial"/>
          <w:b/>
          <w:sz w:val="20"/>
        </w:rPr>
        <w:tab/>
        <w:t>Assistance to Commissioner.</w:t>
      </w:r>
      <w:r w:rsidR="001377C3" w:rsidRPr="00412620">
        <w:rPr>
          <w:rFonts w:cs="Arial"/>
          <w:b/>
          <w:sz w:val="20"/>
        </w:rPr>
        <w:t>—</w:t>
      </w:r>
      <w:r w:rsidRPr="00412620">
        <w:rPr>
          <w:sz w:val="20"/>
        </w:rPr>
        <w:t xml:space="preserve"> Every Officer of Customs, </w:t>
      </w:r>
      <w:r w:rsidR="00AB0B0F" w:rsidRPr="00412620">
        <w:rPr>
          <w:rStyle w:val="FootnoteReference"/>
          <w:sz w:val="20"/>
        </w:rPr>
        <w:footnoteReference w:id="1219"/>
      </w:r>
      <w:r w:rsidR="00AB0B0F" w:rsidRPr="00412620">
        <w:rPr>
          <w:sz w:val="20"/>
        </w:rPr>
        <w:t xml:space="preserve">[  ] </w:t>
      </w:r>
      <w:r w:rsidRPr="00412620">
        <w:rPr>
          <w:sz w:val="20"/>
        </w:rPr>
        <w:t>Provincial Excise and Taxation, District Coordination Officer, District Officers including District Officer – Revenue, the Police and the Civil Armed Forces is empowered and required to assist the Commissioner in the discharge of the Commissioner’s functions under this Ordinance.</w:t>
      </w:r>
    </w:p>
    <w:p w:rsidR="006A3F93" w:rsidRPr="00412620" w:rsidRDefault="006A3F93">
      <w:pPr>
        <w:rPr>
          <w:rFonts w:cs="Arial"/>
          <w:sz w:val="20"/>
        </w:rPr>
      </w:pPr>
    </w:p>
    <w:p w:rsidR="006A3F93" w:rsidRPr="00412620" w:rsidRDefault="006A3F93">
      <w:pPr>
        <w:jc w:val="both"/>
        <w:rPr>
          <w:sz w:val="20"/>
        </w:rPr>
      </w:pPr>
      <w:r w:rsidRPr="00412620">
        <w:rPr>
          <w:rFonts w:cs="Arial"/>
          <w:b/>
          <w:sz w:val="20"/>
        </w:rPr>
        <w:t>179.</w:t>
      </w:r>
      <w:r w:rsidRPr="00412620">
        <w:rPr>
          <w:rFonts w:cs="Arial"/>
          <w:b/>
          <w:sz w:val="20"/>
        </w:rPr>
        <w:tab/>
        <w:t xml:space="preserve"> Accounts, documents, records and computer-stored information not in Urdu or English language.</w:t>
      </w:r>
      <w:r w:rsidR="00873F3D" w:rsidRPr="00412620">
        <w:rPr>
          <w:rFonts w:cs="Arial"/>
          <w:sz w:val="20"/>
        </w:rPr>
        <w:t>—</w:t>
      </w:r>
      <w:r w:rsidRPr="00412620">
        <w:rPr>
          <w:sz w:val="20"/>
        </w:rPr>
        <w:t xml:space="preserve"> Where any account, document, record or computer-stored information referred to in section 174, 175 or 176 is not in the Urdu or English language, the Commissioner may, by notice in writing, require the person keeping the account, document, record or computer-stored information to provide, at the person's expense, a translation into the Urdu or English language by a translator approved by the Commissioner for this purpose.</w:t>
      </w:r>
    </w:p>
    <w:p w:rsidR="006A3F93" w:rsidRPr="00412620" w:rsidRDefault="006A3F93">
      <w:pPr>
        <w:rPr>
          <w:rFonts w:cs="Arial"/>
          <w:sz w:val="20"/>
        </w:rPr>
      </w:pPr>
    </w:p>
    <w:p w:rsidR="006A3F93" w:rsidRPr="00412620" w:rsidRDefault="006A3F93">
      <w:pPr>
        <w:jc w:val="both"/>
        <w:rPr>
          <w:sz w:val="20"/>
        </w:rPr>
      </w:pPr>
      <w:r w:rsidRPr="00412620">
        <w:rPr>
          <w:rFonts w:cs="Arial"/>
          <w:b/>
          <w:sz w:val="20"/>
        </w:rPr>
        <w:t>180.</w:t>
      </w:r>
      <w:r w:rsidRPr="00412620">
        <w:rPr>
          <w:rFonts w:cs="Arial"/>
          <w:b/>
          <w:sz w:val="20"/>
        </w:rPr>
        <w:tab/>
        <w:t xml:space="preserve"> Power to collect information regarding exempt income.</w:t>
      </w:r>
      <w:r w:rsidR="00873F3D" w:rsidRPr="00412620">
        <w:rPr>
          <w:rFonts w:cs="Arial"/>
          <w:sz w:val="20"/>
        </w:rPr>
        <w:t>—</w:t>
      </w:r>
      <w:r w:rsidRPr="00412620">
        <w:rPr>
          <w:sz w:val="20"/>
        </w:rPr>
        <w:t xml:space="preserve"> The </w:t>
      </w:r>
      <w:r w:rsidR="00B40FD1" w:rsidRPr="00412620">
        <w:rPr>
          <w:rStyle w:val="FootnoteReference"/>
          <w:sz w:val="20"/>
        </w:rPr>
        <w:footnoteReference w:id="1220"/>
      </w:r>
      <w:r w:rsidR="00B40FD1" w:rsidRPr="00412620">
        <w:rPr>
          <w:sz w:val="20"/>
        </w:rPr>
        <w:t>[</w:t>
      </w:r>
      <w:r w:rsidRPr="00412620">
        <w:rPr>
          <w:sz w:val="20"/>
        </w:rPr>
        <w:t>Board</w:t>
      </w:r>
      <w:r w:rsidR="00B40FD1" w:rsidRPr="00412620">
        <w:rPr>
          <w:sz w:val="20"/>
        </w:rPr>
        <w:t>]</w:t>
      </w:r>
      <w:r w:rsidRPr="00412620">
        <w:rPr>
          <w:sz w:val="20"/>
        </w:rPr>
        <w:t xml:space="preserve"> may, by notification in the official Gazette, authorise any department or agency of the Government to collect and compile any data in respect of incomes from industrial and commercial undertakings exempt from tax under this Ordinance.</w:t>
      </w:r>
    </w:p>
    <w:p w:rsidR="006A3F93" w:rsidRPr="00412620" w:rsidRDefault="006A3F93">
      <w:pPr>
        <w:rPr>
          <w:rFonts w:cs="Arial"/>
          <w:sz w:val="20"/>
        </w:rPr>
      </w:pPr>
    </w:p>
    <w:p w:rsidR="001F6A65" w:rsidRPr="00412620" w:rsidRDefault="0026284C" w:rsidP="001F6A65">
      <w:pPr>
        <w:jc w:val="center"/>
        <w:rPr>
          <w:rFonts w:cs="Arial"/>
          <w:b/>
          <w:sz w:val="20"/>
        </w:rPr>
      </w:pPr>
      <w:r w:rsidRPr="00412620">
        <w:rPr>
          <w:rFonts w:cs="Arial"/>
          <w:sz w:val="20"/>
        </w:rPr>
        <w:br w:type="page"/>
      </w:r>
      <w:r w:rsidR="001F6A65" w:rsidRPr="00F67B5B">
        <w:rPr>
          <w:rStyle w:val="FootnoteReference"/>
          <w:rFonts w:cs="Arial"/>
          <w:sz w:val="32"/>
          <w:szCs w:val="32"/>
        </w:rPr>
        <w:lastRenderedPageBreak/>
        <w:footnoteReference w:id="1221"/>
      </w:r>
      <w:r w:rsidR="00F67B5B" w:rsidRPr="00F67B5B">
        <w:rPr>
          <w:rFonts w:cs="Arial"/>
          <w:sz w:val="32"/>
          <w:szCs w:val="32"/>
        </w:rPr>
        <w:t>[</w:t>
      </w:r>
      <w:r w:rsidR="001F6A65" w:rsidRPr="00412620">
        <w:rPr>
          <w:rFonts w:cs="Arial"/>
          <w:b/>
          <w:sz w:val="32"/>
          <w:szCs w:val="32"/>
        </w:rPr>
        <w:t>PART IX</w:t>
      </w:r>
    </w:p>
    <w:p w:rsidR="001F6A65" w:rsidRPr="00412620" w:rsidRDefault="001F6A65" w:rsidP="001F6A65">
      <w:pPr>
        <w:jc w:val="center"/>
        <w:rPr>
          <w:rFonts w:cs="Arial"/>
          <w:b/>
          <w:sz w:val="20"/>
        </w:rPr>
      </w:pPr>
      <w:r w:rsidRPr="00412620">
        <w:rPr>
          <w:rFonts w:cs="Arial"/>
          <w:b/>
          <w:sz w:val="20"/>
        </w:rPr>
        <w:t>TAXPAYER’S REGISTRATION</w:t>
      </w:r>
    </w:p>
    <w:p w:rsidR="004E304B" w:rsidRPr="00412620" w:rsidRDefault="004E304B" w:rsidP="001F6A65">
      <w:pPr>
        <w:jc w:val="both"/>
        <w:rPr>
          <w:rFonts w:cs="Arial"/>
          <w:b/>
          <w:sz w:val="20"/>
        </w:rPr>
      </w:pPr>
    </w:p>
    <w:p w:rsidR="001F6A65" w:rsidRPr="00412620" w:rsidRDefault="001F6A65" w:rsidP="001F6A65">
      <w:pPr>
        <w:jc w:val="both"/>
        <w:rPr>
          <w:rFonts w:cs="Arial"/>
          <w:sz w:val="20"/>
        </w:rPr>
      </w:pPr>
      <w:r w:rsidRPr="00412620">
        <w:rPr>
          <w:rFonts w:cs="Arial"/>
          <w:b/>
          <w:sz w:val="20"/>
        </w:rPr>
        <w:t>181.</w:t>
      </w:r>
      <w:r w:rsidR="00051E71">
        <w:rPr>
          <w:rFonts w:cs="Arial"/>
          <w:b/>
          <w:sz w:val="20"/>
        </w:rPr>
        <w:t xml:space="preserve"> </w:t>
      </w:r>
      <w:r w:rsidRPr="00412620">
        <w:rPr>
          <w:rFonts w:cs="Arial"/>
          <w:b/>
          <w:sz w:val="20"/>
        </w:rPr>
        <w:t>Taxpayer’s registration.</w:t>
      </w:r>
      <w:r w:rsidR="00135250" w:rsidRPr="00412620">
        <w:rPr>
          <w:rFonts w:cs="Arial"/>
          <w:sz w:val="20"/>
        </w:rPr>
        <w:t>—</w:t>
      </w:r>
      <w:r w:rsidRPr="00412620">
        <w:rPr>
          <w:rFonts w:cs="Arial"/>
          <w:sz w:val="20"/>
        </w:rPr>
        <w:t xml:space="preserve">  (1)  Every taxpayer shall apply in the prescribed form and in the prescribed manner for registration.</w:t>
      </w:r>
    </w:p>
    <w:p w:rsidR="001F6A65" w:rsidRPr="00412620" w:rsidRDefault="001F6A65" w:rsidP="001F6A65">
      <w:pPr>
        <w:spacing w:before="120" w:after="120"/>
        <w:ind w:firstLine="547"/>
        <w:jc w:val="both"/>
        <w:rPr>
          <w:rFonts w:cs="Arial"/>
          <w:sz w:val="20"/>
        </w:rPr>
      </w:pPr>
      <w:r w:rsidRPr="00412620">
        <w:rPr>
          <w:rFonts w:cs="Arial"/>
          <w:sz w:val="20"/>
        </w:rPr>
        <w:t>(2)</w:t>
      </w:r>
      <w:r w:rsidRPr="00412620">
        <w:rPr>
          <w:rFonts w:cs="Arial"/>
          <w:sz w:val="20"/>
        </w:rPr>
        <w:tab/>
        <w:t>The Commissioner having jurisdiction over a case, where necessitated by the facts of the case, may also register a taxpayer in the prescribed manner.</w:t>
      </w:r>
    </w:p>
    <w:p w:rsidR="001F6A65" w:rsidRPr="00177BB1" w:rsidRDefault="001F6A65" w:rsidP="00736639">
      <w:pPr>
        <w:ind w:firstLine="547"/>
        <w:jc w:val="both"/>
        <w:rPr>
          <w:rFonts w:cs="Arial"/>
          <w:color w:val="000000" w:themeColor="text1"/>
          <w:sz w:val="20"/>
        </w:rPr>
      </w:pPr>
      <w:r w:rsidRPr="00412620">
        <w:rPr>
          <w:rFonts w:cs="Arial"/>
          <w:sz w:val="20"/>
        </w:rPr>
        <w:t>(3)</w:t>
      </w:r>
      <w:r w:rsidRPr="00412620">
        <w:rPr>
          <w:rFonts w:cs="Arial"/>
          <w:sz w:val="20"/>
        </w:rPr>
        <w:tab/>
        <w:t xml:space="preserve">Taxpayers’ </w:t>
      </w:r>
      <w:r w:rsidRPr="00177BB1">
        <w:rPr>
          <w:rFonts w:cs="Arial"/>
          <w:color w:val="000000" w:themeColor="text1"/>
          <w:sz w:val="20"/>
        </w:rPr>
        <w:t>registration scheme shall be regulated through the rules to be notified by the Board</w:t>
      </w:r>
      <w:r w:rsidR="00177BB1" w:rsidRPr="00177BB1">
        <w:rPr>
          <w:rFonts w:cs="Arial"/>
          <w:color w:val="000000" w:themeColor="text1"/>
          <w:sz w:val="20"/>
        </w:rPr>
        <w:t xml:space="preserve"> </w:t>
      </w:r>
      <w:r w:rsidR="00F246F3" w:rsidRPr="00177BB1">
        <w:rPr>
          <w:rStyle w:val="FootnoteReference"/>
          <w:rFonts w:cs="Arial"/>
          <w:color w:val="000000" w:themeColor="text1"/>
          <w:sz w:val="20"/>
        </w:rPr>
        <w:footnoteReference w:id="1222"/>
      </w:r>
      <w:r w:rsidR="00F246F3" w:rsidRPr="00177BB1">
        <w:rPr>
          <w:rFonts w:cs="Arial"/>
          <w:color w:val="000000" w:themeColor="text1"/>
          <w:sz w:val="20"/>
        </w:rPr>
        <w:t>[</w:t>
      </w:r>
      <w:r w:rsidR="00177BB1" w:rsidRPr="00177BB1">
        <w:rPr>
          <w:rFonts w:cs="Arial"/>
          <w:color w:val="000000" w:themeColor="text1"/>
          <w:sz w:val="20"/>
        </w:rPr>
        <w:t xml:space="preserve"> </w:t>
      </w:r>
      <w:r w:rsidR="00736639" w:rsidRPr="00177BB1">
        <w:rPr>
          <w:rStyle w:val="FootnoteReference"/>
          <w:rFonts w:cs="Arial"/>
          <w:color w:val="000000" w:themeColor="text1"/>
          <w:sz w:val="20"/>
        </w:rPr>
        <w:footnoteReference w:id="1223"/>
      </w:r>
      <w:r w:rsidR="00736639" w:rsidRPr="00177BB1">
        <w:rPr>
          <w:rFonts w:cs="Arial"/>
          <w:color w:val="000000" w:themeColor="text1"/>
          <w:sz w:val="20"/>
        </w:rPr>
        <w:t>[</w:t>
      </w:r>
      <w:r w:rsidR="006A79F3" w:rsidRPr="00177BB1">
        <w:rPr>
          <w:rFonts w:cs="Arial"/>
          <w:color w:val="000000" w:themeColor="text1"/>
          <w:sz w:val="20"/>
        </w:rPr>
        <w:t>“.”</w:t>
      </w:r>
      <w:r w:rsidR="00736639" w:rsidRPr="00177BB1">
        <w:rPr>
          <w:rFonts w:cs="Arial"/>
          <w:color w:val="000000" w:themeColor="text1"/>
          <w:sz w:val="20"/>
        </w:rPr>
        <w:t>]</w:t>
      </w:r>
      <w:r w:rsidR="001B3020" w:rsidRPr="00177BB1">
        <w:rPr>
          <w:rFonts w:cs="Arial"/>
          <w:color w:val="000000" w:themeColor="text1"/>
          <w:sz w:val="20"/>
        </w:rPr>
        <w:t xml:space="preserve"> </w:t>
      </w:r>
      <w:r w:rsidR="00F246F3" w:rsidRPr="00177BB1">
        <w:rPr>
          <w:rFonts w:cs="Arial"/>
          <w:color w:val="000000" w:themeColor="text1"/>
          <w:sz w:val="20"/>
        </w:rPr>
        <w:t xml:space="preserve">] </w:t>
      </w:r>
      <w:r w:rsidRPr="00177BB1">
        <w:rPr>
          <w:rFonts w:cs="Arial"/>
          <w:color w:val="000000" w:themeColor="text1"/>
          <w:sz w:val="20"/>
        </w:rPr>
        <w:t>]</w:t>
      </w:r>
    </w:p>
    <w:p w:rsidR="001F6A65" w:rsidRPr="00177BB1" w:rsidRDefault="001F6A65">
      <w:pPr>
        <w:rPr>
          <w:rFonts w:cs="Arial"/>
          <w:color w:val="000000" w:themeColor="text1"/>
          <w:sz w:val="20"/>
        </w:rPr>
      </w:pPr>
    </w:p>
    <w:p w:rsidR="00F70639" w:rsidRPr="00177BB1" w:rsidRDefault="00507AEE" w:rsidP="00F70639">
      <w:pPr>
        <w:ind w:left="1094" w:firstLine="541"/>
        <w:jc w:val="both"/>
        <w:rPr>
          <w:rFonts w:cs="Arial"/>
          <w:color w:val="000000" w:themeColor="text1"/>
          <w:sz w:val="20"/>
        </w:rPr>
      </w:pPr>
      <w:r w:rsidRPr="00177BB1">
        <w:rPr>
          <w:rStyle w:val="FootnoteReference"/>
          <w:rFonts w:cs="Arial"/>
          <w:color w:val="000000" w:themeColor="text1"/>
          <w:sz w:val="20"/>
        </w:rPr>
        <w:footnoteReference w:id="1224"/>
      </w:r>
      <w:r w:rsidR="00F70639" w:rsidRPr="00177BB1">
        <w:rPr>
          <w:rFonts w:cs="Arial"/>
          <w:color w:val="000000" w:themeColor="text1"/>
          <w:sz w:val="20"/>
        </w:rPr>
        <w:t>[</w:t>
      </w:r>
      <w:r w:rsidR="00177BB1" w:rsidRPr="00177BB1">
        <w:rPr>
          <w:rFonts w:cs="Arial"/>
          <w:color w:val="000000" w:themeColor="text1"/>
          <w:sz w:val="20"/>
        </w:rPr>
        <w:t xml:space="preserve"> </w:t>
      </w:r>
      <w:r w:rsidR="003013D9" w:rsidRPr="00177BB1">
        <w:rPr>
          <w:rStyle w:val="FootnoteReference"/>
          <w:rFonts w:cs="Arial"/>
          <w:color w:val="000000" w:themeColor="text1"/>
          <w:sz w:val="20"/>
        </w:rPr>
        <w:footnoteReference w:id="1225"/>
      </w:r>
      <w:r w:rsidR="003013D9" w:rsidRPr="00177BB1">
        <w:rPr>
          <w:rFonts w:cs="Arial"/>
          <w:color w:val="000000" w:themeColor="text1"/>
          <w:sz w:val="20"/>
        </w:rPr>
        <w:t>[</w:t>
      </w:r>
      <w:r w:rsidR="001B3020" w:rsidRPr="00177BB1">
        <w:rPr>
          <w:rFonts w:cs="Arial"/>
          <w:color w:val="000000" w:themeColor="text1"/>
          <w:sz w:val="20"/>
        </w:rPr>
        <w:t xml:space="preserve"> </w:t>
      </w:r>
      <w:r w:rsidR="003013D9" w:rsidRPr="00177BB1">
        <w:rPr>
          <w:rFonts w:cs="Arial"/>
          <w:color w:val="000000" w:themeColor="text1"/>
          <w:sz w:val="20"/>
        </w:rPr>
        <w:t>]</w:t>
      </w:r>
      <w:r w:rsidR="001B3020" w:rsidRPr="00177BB1">
        <w:rPr>
          <w:rFonts w:cs="Arial"/>
          <w:color w:val="000000" w:themeColor="text1"/>
          <w:sz w:val="20"/>
        </w:rPr>
        <w:t xml:space="preserve"> </w:t>
      </w:r>
      <w:r w:rsidR="00F70639" w:rsidRPr="00177BB1">
        <w:rPr>
          <w:rFonts w:cs="Arial"/>
          <w:color w:val="000000" w:themeColor="text1"/>
          <w:sz w:val="20"/>
        </w:rPr>
        <w:t>]</w:t>
      </w:r>
    </w:p>
    <w:p w:rsidR="00793345" w:rsidRPr="00177BB1" w:rsidRDefault="00793345" w:rsidP="00793345">
      <w:pPr>
        <w:jc w:val="both"/>
        <w:rPr>
          <w:rFonts w:cs="Arial"/>
          <w:color w:val="000000" w:themeColor="text1"/>
          <w:sz w:val="20"/>
        </w:rPr>
      </w:pPr>
    </w:p>
    <w:p w:rsidR="00793345" w:rsidRPr="00177BB1" w:rsidRDefault="00793345" w:rsidP="00793345">
      <w:pPr>
        <w:autoSpaceDE w:val="0"/>
        <w:autoSpaceDN w:val="0"/>
        <w:adjustRightInd w:val="0"/>
        <w:jc w:val="both"/>
        <w:rPr>
          <w:rFonts w:cs="Arial"/>
          <w:color w:val="000000" w:themeColor="text1"/>
          <w:sz w:val="20"/>
        </w:rPr>
      </w:pPr>
      <w:r w:rsidRPr="00177BB1">
        <w:rPr>
          <w:rFonts w:cs="Arial"/>
          <w:color w:val="000000" w:themeColor="text1"/>
          <w:sz w:val="20"/>
        </w:rPr>
        <w:tab/>
      </w:r>
      <w:r w:rsidRPr="00177BB1">
        <w:rPr>
          <w:rStyle w:val="FootnoteReference"/>
          <w:rFonts w:cs="Arial"/>
          <w:color w:val="000000" w:themeColor="text1"/>
          <w:sz w:val="20"/>
        </w:rPr>
        <w:footnoteReference w:id="1226"/>
      </w:r>
      <w:r w:rsidRPr="00177BB1">
        <w:rPr>
          <w:rFonts w:cs="Arial"/>
          <w:color w:val="000000" w:themeColor="text1"/>
          <w:sz w:val="20"/>
        </w:rPr>
        <w:t>[“(4)</w:t>
      </w:r>
      <w:r w:rsidRPr="00177BB1">
        <w:rPr>
          <w:rFonts w:cs="Arial"/>
          <w:color w:val="000000" w:themeColor="text1"/>
          <w:szCs w:val="24"/>
          <w:lang w:val="en-US"/>
        </w:rPr>
        <w:tab/>
      </w:r>
      <w:r w:rsidRPr="00177BB1">
        <w:rPr>
          <w:rFonts w:cs="Arial"/>
          <w:color w:val="000000" w:themeColor="text1"/>
          <w:sz w:val="20"/>
          <w:lang w:val="en-US"/>
        </w:rPr>
        <w:t>From tax year 2015 and onwards, in case of individuals having Computerized National Identity Card (CNIC) issued by the National Database and Registration Authority, CNIC shall be used as National Tax Number.”;]</w:t>
      </w:r>
    </w:p>
    <w:p w:rsidR="00F70639" w:rsidRPr="00412620" w:rsidRDefault="00F70639">
      <w:pPr>
        <w:rPr>
          <w:rFonts w:cs="Arial"/>
          <w:sz w:val="20"/>
        </w:rPr>
      </w:pPr>
    </w:p>
    <w:p w:rsidR="00E728E7" w:rsidRPr="00412620" w:rsidRDefault="00CA0925">
      <w:pPr>
        <w:rPr>
          <w:rFonts w:cs="Arial"/>
          <w:sz w:val="20"/>
        </w:rPr>
      </w:pPr>
      <w:r w:rsidRPr="00412620">
        <w:rPr>
          <w:rStyle w:val="FootnoteReference"/>
          <w:rFonts w:cs="Arial"/>
          <w:sz w:val="20"/>
        </w:rPr>
        <w:footnoteReference w:id="1227"/>
      </w:r>
      <w:r w:rsidR="00E728E7" w:rsidRPr="00412620">
        <w:rPr>
          <w:rFonts w:cs="Arial"/>
          <w:sz w:val="20"/>
        </w:rPr>
        <w:t>[</w:t>
      </w:r>
      <w:r w:rsidR="00E728E7" w:rsidRPr="00412620">
        <w:rPr>
          <w:rFonts w:cs="Arial"/>
          <w:b/>
          <w:sz w:val="20"/>
        </w:rPr>
        <w:t xml:space="preserve">181A. Active taxpayers’ list.— </w:t>
      </w:r>
      <w:r w:rsidR="00E728E7" w:rsidRPr="00412620">
        <w:rPr>
          <w:rFonts w:cs="Arial"/>
          <w:sz w:val="20"/>
        </w:rPr>
        <w:t>(1) The Board shall have the power to institute active taxpayers’ list.</w:t>
      </w:r>
    </w:p>
    <w:p w:rsidR="00E728E7" w:rsidRPr="00412620" w:rsidRDefault="00E728E7">
      <w:pPr>
        <w:rPr>
          <w:rFonts w:cs="Arial"/>
          <w:sz w:val="20"/>
        </w:rPr>
      </w:pPr>
    </w:p>
    <w:p w:rsidR="00E728E7" w:rsidRDefault="00E728E7">
      <w:pPr>
        <w:rPr>
          <w:rFonts w:cs="Arial"/>
          <w:sz w:val="20"/>
        </w:rPr>
      </w:pPr>
      <w:r w:rsidRPr="00412620">
        <w:rPr>
          <w:rFonts w:cs="Arial"/>
          <w:sz w:val="20"/>
        </w:rPr>
        <w:tab/>
        <w:t xml:space="preserve">(2) </w:t>
      </w:r>
      <w:r w:rsidRPr="00412620">
        <w:rPr>
          <w:rFonts w:cs="Arial"/>
          <w:sz w:val="20"/>
        </w:rPr>
        <w:tab/>
        <w:t>Active taxpayers’ list shall be regulated as may be prescribed.]</w:t>
      </w:r>
    </w:p>
    <w:p w:rsidR="00210003" w:rsidRDefault="00210003">
      <w:pPr>
        <w:rPr>
          <w:rFonts w:cs="Arial"/>
          <w:sz w:val="20"/>
        </w:rPr>
      </w:pPr>
    </w:p>
    <w:p w:rsidR="00CE69BC" w:rsidRPr="00210003" w:rsidRDefault="00CE69BC" w:rsidP="00210003">
      <w:pPr>
        <w:jc w:val="both"/>
        <w:rPr>
          <w:rFonts w:cs="Arial"/>
          <w:color w:val="00B0F0"/>
        </w:rPr>
      </w:pPr>
      <w:r w:rsidRPr="001B3020">
        <w:rPr>
          <w:rStyle w:val="FootnoteReference"/>
          <w:rFonts w:cs="Arial"/>
          <w:color w:val="000000" w:themeColor="text1"/>
          <w:sz w:val="20"/>
        </w:rPr>
        <w:footnoteReference w:id="1228"/>
      </w:r>
      <w:r w:rsidRPr="001B3020">
        <w:rPr>
          <w:rFonts w:cs="Arial"/>
          <w:color w:val="000000" w:themeColor="text1"/>
          <w:sz w:val="20"/>
        </w:rPr>
        <w:t>[</w:t>
      </w:r>
      <w:r w:rsidRPr="001B3020">
        <w:rPr>
          <w:rFonts w:cs="Arial"/>
          <w:b/>
          <w:color w:val="000000" w:themeColor="text1"/>
          <w:sz w:val="20"/>
        </w:rPr>
        <w:t>181AA. Compulsory registration in certain cases.-</w:t>
      </w:r>
      <w:r w:rsidRPr="001B3020">
        <w:rPr>
          <w:rFonts w:cs="Arial"/>
          <w:color w:val="000000" w:themeColor="text1"/>
          <w:sz w:val="20"/>
        </w:rPr>
        <w:t>(1)Notwithstanding anything contained in any law, for the time being in forc</w:t>
      </w:r>
      <w:r w:rsidR="00210003" w:rsidRPr="001B3020">
        <w:rPr>
          <w:rFonts w:cs="Arial"/>
          <w:color w:val="000000" w:themeColor="text1"/>
          <w:sz w:val="20"/>
        </w:rPr>
        <w:t xml:space="preserve">e, </w:t>
      </w:r>
      <w:r w:rsidRPr="001B3020">
        <w:rPr>
          <w:rFonts w:cs="Arial"/>
          <w:color w:val="000000" w:themeColor="text1"/>
          <w:sz w:val="20"/>
        </w:rPr>
        <w:t xml:space="preserve">any application for commercial or industrial connection of electricity or natural gas, shall not be </w:t>
      </w:r>
      <w:r w:rsidRPr="001B3020">
        <w:rPr>
          <w:rFonts w:cs="Arial"/>
          <w:color w:val="000000" w:themeColor="text1"/>
          <w:sz w:val="20"/>
        </w:rPr>
        <w:lastRenderedPageBreak/>
        <w:t>processed and such connection shall not be provided unless the</w:t>
      </w:r>
      <w:r w:rsidRPr="000E474B">
        <w:rPr>
          <w:rFonts w:cs="Arial"/>
          <w:color w:val="00B0F0"/>
          <w:sz w:val="22"/>
          <w:szCs w:val="22"/>
        </w:rPr>
        <w:t xml:space="preserve"> </w:t>
      </w:r>
      <w:r w:rsidRPr="001B3020">
        <w:rPr>
          <w:rFonts w:cs="Arial"/>
          <w:color w:val="000000" w:themeColor="text1"/>
          <w:sz w:val="20"/>
        </w:rPr>
        <w:t>person applying for electricity or gas connection is registered under section 181.</w:t>
      </w:r>
      <w:r w:rsidR="00210003" w:rsidRPr="001B3020">
        <w:rPr>
          <w:rFonts w:cs="Arial"/>
          <w:color w:val="000000" w:themeColor="text1"/>
          <w:sz w:val="20"/>
        </w:rPr>
        <w:t>]</w:t>
      </w:r>
    </w:p>
    <w:p w:rsidR="00E728E7" w:rsidRPr="00412620" w:rsidRDefault="00E728E7">
      <w:pPr>
        <w:rPr>
          <w:rFonts w:cs="Arial"/>
          <w:sz w:val="20"/>
        </w:rPr>
      </w:pPr>
    </w:p>
    <w:p w:rsidR="00CD5641" w:rsidRPr="00412620" w:rsidRDefault="00CD5641" w:rsidP="00CD5641">
      <w:pPr>
        <w:jc w:val="both"/>
        <w:rPr>
          <w:sz w:val="20"/>
        </w:rPr>
      </w:pPr>
      <w:r w:rsidRPr="00412620">
        <w:rPr>
          <w:rStyle w:val="FootnoteReference"/>
          <w:rFonts w:cs="Arial"/>
          <w:sz w:val="20"/>
        </w:rPr>
        <w:footnoteReference w:id="1229"/>
      </w:r>
      <w:r w:rsidRPr="00412620">
        <w:rPr>
          <w:rFonts w:cs="Arial"/>
          <w:sz w:val="20"/>
        </w:rPr>
        <w:t>[</w:t>
      </w:r>
      <w:r w:rsidRPr="00412620">
        <w:rPr>
          <w:b/>
          <w:sz w:val="20"/>
        </w:rPr>
        <w:t>181B.</w:t>
      </w:r>
      <w:r w:rsidRPr="00412620">
        <w:rPr>
          <w:b/>
          <w:sz w:val="20"/>
        </w:rPr>
        <w:tab/>
        <w:t>Taxpayer card.</w:t>
      </w:r>
      <w:r w:rsidRPr="00412620">
        <w:rPr>
          <w:rFonts w:cs="Arial"/>
          <w:b/>
          <w:sz w:val="20"/>
        </w:rPr>
        <w:t>—</w:t>
      </w:r>
      <w:r w:rsidRPr="00412620">
        <w:rPr>
          <w:sz w:val="20"/>
        </w:rPr>
        <w:t xml:space="preserve"> Subject to this Ordinance, the Board may make a scheme for introduction of a tax-payer honour card for individual taxpayers, who fulfill a minimum criteria to be eligible for the benefits as contained in the scheme.]</w:t>
      </w:r>
    </w:p>
    <w:p w:rsidR="000D2EB2" w:rsidRPr="00412620" w:rsidRDefault="000D2EB2" w:rsidP="00CD5641">
      <w:pPr>
        <w:jc w:val="both"/>
        <w:rPr>
          <w:sz w:val="20"/>
        </w:rPr>
      </w:pPr>
    </w:p>
    <w:p w:rsidR="00307AAB" w:rsidRPr="00412620" w:rsidRDefault="000D2EB2" w:rsidP="00CD5641">
      <w:pPr>
        <w:jc w:val="both"/>
        <w:rPr>
          <w:sz w:val="20"/>
        </w:rPr>
      </w:pPr>
      <w:r w:rsidRPr="00412620">
        <w:rPr>
          <w:rStyle w:val="FootnoteReference"/>
          <w:sz w:val="20"/>
        </w:rPr>
        <w:footnoteReference w:id="1230"/>
      </w:r>
      <w:r w:rsidRPr="00412620">
        <w:rPr>
          <w:sz w:val="20"/>
        </w:rPr>
        <w:t>[</w:t>
      </w:r>
      <w:r w:rsidRPr="00412620">
        <w:rPr>
          <w:b/>
          <w:sz w:val="20"/>
        </w:rPr>
        <w:t>181C. Displaying of National Tax Number</w:t>
      </w:r>
      <w:r w:rsidRPr="00412620">
        <w:rPr>
          <w:sz w:val="20"/>
        </w:rPr>
        <w:t>.</w:t>
      </w:r>
      <w:r w:rsidRPr="00412620">
        <w:rPr>
          <w:rFonts w:cs="Arial"/>
          <w:sz w:val="20"/>
        </w:rPr>
        <w:t>—</w:t>
      </w:r>
      <w:r w:rsidRPr="00412620">
        <w:rPr>
          <w:sz w:val="20"/>
        </w:rPr>
        <w:t xml:space="preserve"> Every person deriving income from business chargeable to tax, who has been issued a National Tax Number, shall display his National Tax Number at a conspicuous place at every place of his business.]</w:t>
      </w:r>
    </w:p>
    <w:p w:rsidR="00BE7460" w:rsidRPr="00412620" w:rsidRDefault="00307AAB" w:rsidP="00307AAB">
      <w:pPr>
        <w:jc w:val="both"/>
        <w:rPr>
          <w:rFonts w:cs="Arial"/>
          <w:sz w:val="20"/>
        </w:rPr>
      </w:pPr>
      <w:r w:rsidRPr="00412620">
        <w:rPr>
          <w:sz w:val="20"/>
        </w:rPr>
        <w:br w:type="page"/>
      </w:r>
    </w:p>
    <w:p w:rsidR="006A3F93" w:rsidRPr="00412620" w:rsidRDefault="006A3F93">
      <w:pPr>
        <w:pStyle w:val="Heading2"/>
        <w:spacing w:line="240" w:lineRule="auto"/>
        <w:rPr>
          <w:rFonts w:cs="Arial"/>
          <w:sz w:val="32"/>
          <w:szCs w:val="32"/>
        </w:rPr>
      </w:pPr>
      <w:r w:rsidRPr="00412620">
        <w:rPr>
          <w:rFonts w:cs="Arial"/>
          <w:sz w:val="32"/>
          <w:szCs w:val="32"/>
        </w:rPr>
        <w:lastRenderedPageBreak/>
        <w:t>PART X</w:t>
      </w:r>
    </w:p>
    <w:p w:rsidR="006A3F93" w:rsidRPr="00412620" w:rsidRDefault="006A3F93">
      <w:pPr>
        <w:keepNext/>
        <w:jc w:val="center"/>
        <w:rPr>
          <w:rFonts w:cs="Arial"/>
          <w:b/>
          <w:sz w:val="20"/>
        </w:rPr>
      </w:pPr>
      <w:r w:rsidRPr="00412620">
        <w:rPr>
          <w:rFonts w:cs="Arial"/>
          <w:b/>
          <w:sz w:val="20"/>
        </w:rPr>
        <w:t>PENALTY</w:t>
      </w:r>
    </w:p>
    <w:p w:rsidR="006A3F93" w:rsidRPr="00412620" w:rsidRDefault="006A3F93">
      <w:pPr>
        <w:keepNext/>
        <w:rPr>
          <w:rFonts w:cs="Arial"/>
          <w:b/>
          <w:sz w:val="20"/>
        </w:rPr>
      </w:pPr>
    </w:p>
    <w:p w:rsidR="00244C7F" w:rsidRDefault="002C0855" w:rsidP="00244C7F">
      <w:pPr>
        <w:keepNext/>
        <w:jc w:val="both"/>
        <w:rPr>
          <w:rFonts w:cs="Arial"/>
          <w:sz w:val="20"/>
        </w:rPr>
      </w:pPr>
      <w:r w:rsidRPr="00412620">
        <w:rPr>
          <w:rStyle w:val="FootnoteReference"/>
          <w:rFonts w:cs="Arial"/>
          <w:sz w:val="20"/>
        </w:rPr>
        <w:footnoteReference w:id="1231"/>
      </w:r>
      <w:r w:rsidR="00E02F9C" w:rsidRPr="00412620">
        <w:rPr>
          <w:rFonts w:cs="Arial"/>
          <w:sz w:val="20"/>
        </w:rPr>
        <w:t>[</w:t>
      </w:r>
      <w:r w:rsidR="00E02F9C" w:rsidRPr="00412620">
        <w:rPr>
          <w:rFonts w:cs="Arial"/>
          <w:b/>
          <w:sz w:val="20"/>
        </w:rPr>
        <w:t xml:space="preserve">182. Offences and penalties.— </w:t>
      </w:r>
      <w:r w:rsidR="00E02F9C" w:rsidRPr="00412620">
        <w:rPr>
          <w:rFonts w:cs="Arial"/>
          <w:sz w:val="20"/>
        </w:rPr>
        <w:t>(1) Any person who commits any offence specified in column (2) of the Table below shall, in addition to and not in derogation of any punishment to which he may be liable under this Ordinance or any other law, be liable to the penalty mentioned against that offence in column (3) thereof:—</w:t>
      </w:r>
    </w:p>
    <w:p w:rsidR="00743673" w:rsidRPr="00412620" w:rsidRDefault="00743673" w:rsidP="00244C7F">
      <w:pPr>
        <w:keepNext/>
        <w:jc w:val="center"/>
        <w:rPr>
          <w:rFonts w:cs="Arial"/>
          <w:b/>
          <w:sz w:val="20"/>
        </w:rPr>
      </w:pPr>
      <w:r w:rsidRPr="00412620">
        <w:rPr>
          <w:rFonts w:cs="Arial"/>
          <w:b/>
          <w:sz w:val="20"/>
        </w:rPr>
        <w:t>TABLE</w:t>
      </w:r>
    </w:p>
    <w:p w:rsidR="00B50465" w:rsidRPr="00412620" w:rsidRDefault="00B50465" w:rsidP="0099321A">
      <w:pPr>
        <w:keepNext/>
        <w:jc w:val="center"/>
        <w:rPr>
          <w:rFonts w:cs="Arial"/>
          <w:b/>
          <w:sz w:val="20"/>
        </w:rPr>
      </w:pPr>
    </w:p>
    <w:tbl>
      <w:tblPr>
        <w:tblW w:w="0" w:type="auto"/>
        <w:tblLayout w:type="fixed"/>
        <w:tblLook w:val="04A0"/>
      </w:tblPr>
      <w:tblGrid>
        <w:gridCol w:w="648"/>
        <w:gridCol w:w="2070"/>
        <w:gridCol w:w="2789"/>
        <w:gridCol w:w="1852"/>
        <w:gridCol w:w="57"/>
      </w:tblGrid>
      <w:tr w:rsidR="00B50465" w:rsidRPr="00412620" w:rsidTr="004832ED">
        <w:trPr>
          <w:gridAfter w:val="1"/>
          <w:wAfter w:w="57" w:type="dxa"/>
        </w:trPr>
        <w:tc>
          <w:tcPr>
            <w:tcW w:w="648" w:type="dxa"/>
            <w:tcBorders>
              <w:top w:val="single" w:sz="4" w:space="0" w:color="auto"/>
              <w:left w:val="single" w:sz="4" w:space="0" w:color="auto"/>
              <w:bottom w:val="single" w:sz="4" w:space="0" w:color="auto"/>
              <w:right w:val="single" w:sz="4" w:space="0" w:color="auto"/>
            </w:tcBorders>
          </w:tcPr>
          <w:p w:rsidR="004832ED" w:rsidRDefault="00B50465" w:rsidP="009900F8">
            <w:pPr>
              <w:keepNext/>
              <w:jc w:val="center"/>
              <w:rPr>
                <w:rFonts w:cs="Arial"/>
                <w:sz w:val="20"/>
              </w:rPr>
            </w:pPr>
            <w:r w:rsidRPr="00412620">
              <w:rPr>
                <w:rFonts w:cs="Arial"/>
                <w:sz w:val="20"/>
              </w:rPr>
              <w:t>S.</w:t>
            </w:r>
          </w:p>
          <w:p w:rsidR="00B50465" w:rsidRPr="00412620" w:rsidRDefault="00B50465" w:rsidP="009900F8">
            <w:pPr>
              <w:keepNext/>
              <w:jc w:val="center"/>
              <w:rPr>
                <w:rFonts w:cs="Arial"/>
                <w:sz w:val="20"/>
              </w:rPr>
            </w:pPr>
            <w:r w:rsidRPr="00412620">
              <w:rPr>
                <w:rFonts w:cs="Arial"/>
                <w:sz w:val="20"/>
              </w:rPr>
              <w:t>No.</w:t>
            </w:r>
          </w:p>
        </w:tc>
        <w:tc>
          <w:tcPr>
            <w:tcW w:w="2070" w:type="dxa"/>
            <w:tcBorders>
              <w:top w:val="single" w:sz="4" w:space="0" w:color="auto"/>
              <w:left w:val="single" w:sz="4" w:space="0" w:color="auto"/>
              <w:bottom w:val="single" w:sz="4" w:space="0" w:color="auto"/>
              <w:right w:val="single" w:sz="4" w:space="0" w:color="auto"/>
            </w:tcBorders>
          </w:tcPr>
          <w:p w:rsidR="00B50465" w:rsidRPr="00412620" w:rsidRDefault="00B50465" w:rsidP="009900F8">
            <w:pPr>
              <w:keepNext/>
              <w:jc w:val="center"/>
              <w:rPr>
                <w:rFonts w:cs="Arial"/>
                <w:sz w:val="20"/>
              </w:rPr>
            </w:pPr>
            <w:r w:rsidRPr="00412620">
              <w:rPr>
                <w:rFonts w:cs="Arial"/>
                <w:sz w:val="20"/>
              </w:rPr>
              <w:t>Offences</w:t>
            </w:r>
          </w:p>
        </w:tc>
        <w:tc>
          <w:tcPr>
            <w:tcW w:w="2789" w:type="dxa"/>
            <w:tcBorders>
              <w:top w:val="single" w:sz="4" w:space="0" w:color="auto"/>
              <w:left w:val="single" w:sz="4" w:space="0" w:color="auto"/>
              <w:bottom w:val="single" w:sz="4" w:space="0" w:color="auto"/>
              <w:right w:val="single" w:sz="4" w:space="0" w:color="auto"/>
            </w:tcBorders>
          </w:tcPr>
          <w:p w:rsidR="00B50465" w:rsidRPr="00412620" w:rsidRDefault="00B50465" w:rsidP="009900F8">
            <w:pPr>
              <w:keepNext/>
              <w:jc w:val="center"/>
              <w:rPr>
                <w:rFonts w:cs="Arial"/>
                <w:sz w:val="20"/>
              </w:rPr>
            </w:pPr>
            <w:r w:rsidRPr="00412620">
              <w:rPr>
                <w:rFonts w:cs="Arial"/>
                <w:sz w:val="20"/>
              </w:rPr>
              <w:t>Penalties</w:t>
            </w:r>
          </w:p>
        </w:tc>
        <w:tc>
          <w:tcPr>
            <w:tcW w:w="1852" w:type="dxa"/>
            <w:tcBorders>
              <w:top w:val="single" w:sz="4" w:space="0" w:color="auto"/>
              <w:left w:val="single" w:sz="4" w:space="0" w:color="auto"/>
              <w:bottom w:val="single" w:sz="4" w:space="0" w:color="auto"/>
              <w:right w:val="single" w:sz="4" w:space="0" w:color="auto"/>
            </w:tcBorders>
          </w:tcPr>
          <w:p w:rsidR="00B50465" w:rsidRPr="00412620" w:rsidRDefault="00B50465" w:rsidP="009900F8">
            <w:pPr>
              <w:keepNext/>
              <w:jc w:val="center"/>
              <w:rPr>
                <w:rFonts w:cs="Arial"/>
                <w:sz w:val="20"/>
              </w:rPr>
            </w:pPr>
            <w:r w:rsidRPr="00412620">
              <w:rPr>
                <w:rFonts w:cs="Arial"/>
                <w:sz w:val="20"/>
              </w:rPr>
              <w:t>Section of the Ordinance to which offence has reference</w:t>
            </w:r>
          </w:p>
        </w:tc>
      </w:tr>
      <w:tr w:rsidR="00B50465" w:rsidRPr="00412620" w:rsidTr="004832ED">
        <w:trPr>
          <w:gridAfter w:val="1"/>
          <w:wAfter w:w="57" w:type="dxa"/>
        </w:trPr>
        <w:tc>
          <w:tcPr>
            <w:tcW w:w="648" w:type="dxa"/>
            <w:tcBorders>
              <w:top w:val="single" w:sz="4" w:space="0" w:color="auto"/>
              <w:left w:val="single" w:sz="4" w:space="0" w:color="auto"/>
              <w:bottom w:val="single" w:sz="4" w:space="0" w:color="auto"/>
              <w:right w:val="single" w:sz="4" w:space="0" w:color="auto"/>
            </w:tcBorders>
          </w:tcPr>
          <w:p w:rsidR="00B50465" w:rsidRPr="00412620" w:rsidRDefault="00B50465" w:rsidP="009900F8">
            <w:pPr>
              <w:keepNext/>
              <w:jc w:val="center"/>
              <w:rPr>
                <w:rFonts w:cs="Arial"/>
                <w:sz w:val="20"/>
              </w:rPr>
            </w:pPr>
            <w:r w:rsidRPr="00412620">
              <w:rPr>
                <w:rFonts w:cs="Arial"/>
                <w:sz w:val="20"/>
              </w:rPr>
              <w:t>(1)</w:t>
            </w:r>
          </w:p>
        </w:tc>
        <w:tc>
          <w:tcPr>
            <w:tcW w:w="2070" w:type="dxa"/>
            <w:tcBorders>
              <w:top w:val="single" w:sz="4" w:space="0" w:color="auto"/>
              <w:left w:val="single" w:sz="4" w:space="0" w:color="auto"/>
              <w:bottom w:val="single" w:sz="4" w:space="0" w:color="auto"/>
              <w:right w:val="single" w:sz="4" w:space="0" w:color="auto"/>
            </w:tcBorders>
          </w:tcPr>
          <w:p w:rsidR="00B50465" w:rsidRPr="00412620" w:rsidRDefault="00B50465" w:rsidP="009900F8">
            <w:pPr>
              <w:keepNext/>
              <w:jc w:val="center"/>
              <w:rPr>
                <w:rFonts w:cs="Arial"/>
                <w:sz w:val="20"/>
              </w:rPr>
            </w:pPr>
            <w:r w:rsidRPr="00412620">
              <w:rPr>
                <w:rFonts w:cs="Arial"/>
                <w:sz w:val="20"/>
              </w:rPr>
              <w:t>(2)</w:t>
            </w:r>
          </w:p>
        </w:tc>
        <w:tc>
          <w:tcPr>
            <w:tcW w:w="2789" w:type="dxa"/>
            <w:tcBorders>
              <w:top w:val="single" w:sz="4" w:space="0" w:color="auto"/>
              <w:left w:val="single" w:sz="4" w:space="0" w:color="auto"/>
              <w:bottom w:val="single" w:sz="4" w:space="0" w:color="auto"/>
              <w:right w:val="single" w:sz="4" w:space="0" w:color="auto"/>
            </w:tcBorders>
          </w:tcPr>
          <w:p w:rsidR="00B50465" w:rsidRPr="00412620" w:rsidRDefault="00B50465" w:rsidP="009900F8">
            <w:pPr>
              <w:keepNext/>
              <w:jc w:val="center"/>
              <w:rPr>
                <w:rFonts w:cs="Arial"/>
                <w:sz w:val="20"/>
              </w:rPr>
            </w:pPr>
            <w:r w:rsidRPr="00412620">
              <w:rPr>
                <w:rFonts w:cs="Arial"/>
                <w:sz w:val="20"/>
              </w:rPr>
              <w:t>(3)</w:t>
            </w:r>
          </w:p>
        </w:tc>
        <w:tc>
          <w:tcPr>
            <w:tcW w:w="1852" w:type="dxa"/>
            <w:tcBorders>
              <w:top w:val="single" w:sz="4" w:space="0" w:color="auto"/>
              <w:left w:val="single" w:sz="4" w:space="0" w:color="auto"/>
              <w:bottom w:val="single" w:sz="4" w:space="0" w:color="auto"/>
              <w:right w:val="single" w:sz="4" w:space="0" w:color="auto"/>
            </w:tcBorders>
          </w:tcPr>
          <w:p w:rsidR="00B50465" w:rsidRPr="00412620" w:rsidRDefault="00B50465" w:rsidP="009900F8">
            <w:pPr>
              <w:keepNext/>
              <w:jc w:val="center"/>
              <w:rPr>
                <w:rFonts w:cs="Arial"/>
                <w:sz w:val="20"/>
              </w:rPr>
            </w:pPr>
            <w:r w:rsidRPr="00412620">
              <w:rPr>
                <w:rFonts w:cs="Arial"/>
                <w:sz w:val="20"/>
              </w:rPr>
              <w:t>(4)</w:t>
            </w:r>
          </w:p>
        </w:tc>
      </w:tr>
      <w:tr w:rsidR="00B50465" w:rsidRPr="00412620" w:rsidTr="004832ED">
        <w:trPr>
          <w:gridAfter w:val="1"/>
          <w:wAfter w:w="57" w:type="dxa"/>
        </w:trPr>
        <w:tc>
          <w:tcPr>
            <w:tcW w:w="648" w:type="dxa"/>
            <w:tcBorders>
              <w:top w:val="single" w:sz="4" w:space="0" w:color="auto"/>
            </w:tcBorders>
          </w:tcPr>
          <w:p w:rsidR="00B50465" w:rsidRPr="004832ED" w:rsidRDefault="00B50465" w:rsidP="009900F8">
            <w:pPr>
              <w:keepNext/>
              <w:jc w:val="center"/>
              <w:rPr>
                <w:rFonts w:cs="Arial"/>
                <w:sz w:val="20"/>
              </w:rPr>
            </w:pPr>
            <w:r w:rsidRPr="004832ED">
              <w:rPr>
                <w:rFonts w:cs="Arial"/>
                <w:sz w:val="16"/>
              </w:rPr>
              <w:t>1.</w:t>
            </w:r>
          </w:p>
        </w:tc>
        <w:tc>
          <w:tcPr>
            <w:tcW w:w="2070" w:type="dxa"/>
            <w:tcBorders>
              <w:top w:val="single" w:sz="4" w:space="0" w:color="auto"/>
            </w:tcBorders>
          </w:tcPr>
          <w:p w:rsidR="00B50465" w:rsidRPr="004832ED" w:rsidRDefault="004832ED" w:rsidP="004832ED">
            <w:pPr>
              <w:keepNext/>
              <w:jc w:val="both"/>
              <w:rPr>
                <w:rFonts w:cs="Arial"/>
                <w:sz w:val="16"/>
                <w:szCs w:val="16"/>
              </w:rPr>
            </w:pPr>
            <w:r>
              <w:rPr>
                <w:rStyle w:val="FootnoteReference"/>
                <w:rFonts w:cs="Arial"/>
                <w:sz w:val="16"/>
                <w:szCs w:val="16"/>
              </w:rPr>
              <w:footnoteReference w:id="1232"/>
            </w:r>
            <w:r w:rsidR="00B50465" w:rsidRPr="004832ED">
              <w:rPr>
                <w:rFonts w:cs="Arial"/>
                <w:sz w:val="16"/>
                <w:szCs w:val="16"/>
              </w:rPr>
              <w:t>[Where any person fails to furnish a return of income as required under section 114 within the due date.]</w:t>
            </w:r>
          </w:p>
        </w:tc>
        <w:tc>
          <w:tcPr>
            <w:tcW w:w="2789" w:type="dxa"/>
            <w:tcBorders>
              <w:top w:val="single" w:sz="4" w:space="0" w:color="auto"/>
            </w:tcBorders>
          </w:tcPr>
          <w:p w:rsidR="00B50465" w:rsidRPr="00412620" w:rsidRDefault="004832ED" w:rsidP="009900F8">
            <w:pPr>
              <w:keepNext/>
              <w:jc w:val="both"/>
              <w:rPr>
                <w:rFonts w:cs="Arial"/>
                <w:sz w:val="16"/>
                <w:szCs w:val="16"/>
              </w:rPr>
            </w:pPr>
            <w:r>
              <w:rPr>
                <w:rStyle w:val="FootnoteReference"/>
                <w:rFonts w:cs="Arial"/>
                <w:sz w:val="16"/>
                <w:szCs w:val="16"/>
              </w:rPr>
              <w:footnoteReference w:id="1233"/>
            </w:r>
            <w:r w:rsidR="008B1324" w:rsidRPr="00412620">
              <w:rPr>
                <w:rFonts w:cs="Arial"/>
                <w:sz w:val="16"/>
                <w:szCs w:val="16"/>
              </w:rPr>
              <w:t xml:space="preserve">[Such person shall pay a penalty equal to 0.1% of the tax payable </w:t>
            </w:r>
            <w:r w:rsidR="008B4D03" w:rsidRPr="00412620">
              <w:rPr>
                <w:rFonts w:cs="Arial"/>
                <w:sz w:val="16"/>
                <w:szCs w:val="16"/>
              </w:rPr>
              <w:t xml:space="preserve">in respect of that tax year </w:t>
            </w:r>
            <w:r w:rsidR="008B1324" w:rsidRPr="00412620">
              <w:rPr>
                <w:rFonts w:cs="Arial"/>
                <w:sz w:val="16"/>
                <w:szCs w:val="16"/>
              </w:rPr>
              <w:t xml:space="preserve">for each day of default subject to a maximum penalty of 50% of the tax payable provided that if the penalty worked out as aforesaid is less than twenty thousand rupees or no tax is payable for that tax year such person shall pay a penalty of twenty thousand rupees] </w:t>
            </w:r>
            <w:r>
              <w:rPr>
                <w:rStyle w:val="FootnoteReference"/>
                <w:rFonts w:cs="Arial"/>
                <w:sz w:val="16"/>
                <w:szCs w:val="16"/>
              </w:rPr>
              <w:footnoteReference w:id="1234"/>
            </w:r>
            <w:r w:rsidR="008B1324" w:rsidRPr="00412620">
              <w:rPr>
                <w:rFonts w:cs="Arial"/>
                <w:sz w:val="16"/>
                <w:szCs w:val="16"/>
              </w:rPr>
              <w:t>[:]</w:t>
            </w:r>
          </w:p>
          <w:p w:rsidR="008B1324" w:rsidRPr="00412620" w:rsidRDefault="008B1324" w:rsidP="009900F8">
            <w:pPr>
              <w:keepNext/>
              <w:jc w:val="both"/>
              <w:rPr>
                <w:rFonts w:cs="Arial"/>
                <w:sz w:val="16"/>
                <w:szCs w:val="16"/>
              </w:rPr>
            </w:pPr>
          </w:p>
          <w:p w:rsidR="008B1324" w:rsidRPr="00412620" w:rsidRDefault="008B1324" w:rsidP="009900F8">
            <w:pPr>
              <w:keepNext/>
              <w:jc w:val="both"/>
              <w:rPr>
                <w:rFonts w:cs="Arial"/>
                <w:sz w:val="16"/>
                <w:szCs w:val="16"/>
              </w:rPr>
            </w:pPr>
            <w:r w:rsidRPr="00412620">
              <w:rPr>
                <w:rStyle w:val="FootnoteReference"/>
                <w:rFonts w:cs="Arial"/>
                <w:sz w:val="16"/>
                <w:szCs w:val="16"/>
              </w:rPr>
              <w:footnoteReference w:id="1235"/>
            </w:r>
            <w:r w:rsidRPr="00412620">
              <w:rPr>
                <w:rFonts w:cs="Arial"/>
                <w:sz w:val="16"/>
                <w:szCs w:val="16"/>
              </w:rPr>
              <w:t>[</w:t>
            </w:r>
            <w:r w:rsidRPr="00412620">
              <w:rPr>
                <w:rFonts w:cs="Arial"/>
                <w:i/>
                <w:sz w:val="16"/>
                <w:szCs w:val="16"/>
              </w:rPr>
              <w:t>Explanation.—</w:t>
            </w:r>
            <w:r w:rsidRPr="00412620">
              <w:rPr>
                <w:rFonts w:cs="Arial"/>
                <w:sz w:val="16"/>
                <w:szCs w:val="16"/>
              </w:rPr>
              <w:t xml:space="preserve"> For the purposes of this entry, it is declared that the expression “tax payable” means tax </w:t>
            </w:r>
            <w:r w:rsidRPr="00412620">
              <w:rPr>
                <w:rFonts w:cs="Arial"/>
                <w:sz w:val="16"/>
                <w:szCs w:val="16"/>
              </w:rPr>
              <w:lastRenderedPageBreak/>
              <w:t>chargeable on the taxable income on the basis of assessment made or treated to have been made under section 120, 121, 122 or 122C.]</w:t>
            </w:r>
          </w:p>
          <w:p w:rsidR="006D2751" w:rsidRPr="00412620" w:rsidRDefault="006D2751" w:rsidP="009900F8">
            <w:pPr>
              <w:keepNext/>
              <w:jc w:val="both"/>
              <w:rPr>
                <w:rFonts w:cs="Arial"/>
                <w:sz w:val="20"/>
              </w:rPr>
            </w:pPr>
          </w:p>
        </w:tc>
        <w:tc>
          <w:tcPr>
            <w:tcW w:w="1852" w:type="dxa"/>
            <w:tcBorders>
              <w:top w:val="single" w:sz="4" w:space="0" w:color="auto"/>
            </w:tcBorders>
          </w:tcPr>
          <w:p w:rsidR="00B50465" w:rsidRPr="00412620" w:rsidRDefault="008B1324" w:rsidP="00576986">
            <w:pPr>
              <w:keepNext/>
              <w:jc w:val="both"/>
              <w:rPr>
                <w:rFonts w:cs="Arial"/>
                <w:sz w:val="20"/>
              </w:rPr>
            </w:pPr>
            <w:r w:rsidRPr="00412620">
              <w:rPr>
                <w:rFonts w:cs="Arial"/>
                <w:sz w:val="16"/>
                <w:szCs w:val="16"/>
              </w:rPr>
              <w:lastRenderedPageBreak/>
              <w:t>114</w:t>
            </w:r>
            <w:r w:rsidR="00CE6561">
              <w:rPr>
                <w:rFonts w:cs="Arial"/>
                <w:sz w:val="16"/>
                <w:szCs w:val="16"/>
              </w:rPr>
              <w:t xml:space="preserve"> </w:t>
            </w:r>
            <w:r w:rsidR="004832ED">
              <w:rPr>
                <w:rStyle w:val="FootnoteReference"/>
                <w:rFonts w:cs="Arial"/>
                <w:sz w:val="16"/>
                <w:szCs w:val="16"/>
              </w:rPr>
              <w:footnoteReference w:id="1236"/>
            </w:r>
            <w:r w:rsidRPr="00412620">
              <w:rPr>
                <w:rFonts w:cs="Arial"/>
                <w:sz w:val="16"/>
                <w:szCs w:val="16"/>
              </w:rPr>
              <w:t>[and 118]</w:t>
            </w:r>
          </w:p>
        </w:tc>
      </w:tr>
      <w:tr w:rsidR="00E00243" w:rsidRPr="00412620" w:rsidTr="004832ED">
        <w:trPr>
          <w:gridAfter w:val="1"/>
          <w:wAfter w:w="57" w:type="dxa"/>
        </w:trPr>
        <w:tc>
          <w:tcPr>
            <w:tcW w:w="648" w:type="dxa"/>
          </w:tcPr>
          <w:p w:rsidR="00E00243" w:rsidRPr="00412620" w:rsidRDefault="00E00243" w:rsidP="009900F8">
            <w:pPr>
              <w:keepNext/>
              <w:jc w:val="center"/>
              <w:rPr>
                <w:rFonts w:cs="Arial"/>
                <w:sz w:val="20"/>
              </w:rPr>
            </w:pPr>
            <w:r w:rsidRPr="00412620">
              <w:rPr>
                <w:rStyle w:val="FootnoteReference"/>
                <w:rFonts w:cs="Arial"/>
                <w:sz w:val="16"/>
                <w:szCs w:val="16"/>
              </w:rPr>
              <w:lastRenderedPageBreak/>
              <w:footnoteReference w:id="1237"/>
            </w:r>
            <w:r w:rsidRPr="00412620">
              <w:rPr>
                <w:rFonts w:cs="Arial"/>
                <w:sz w:val="16"/>
                <w:szCs w:val="16"/>
              </w:rPr>
              <w:t>[1A.</w:t>
            </w:r>
          </w:p>
        </w:tc>
        <w:tc>
          <w:tcPr>
            <w:tcW w:w="2070" w:type="dxa"/>
          </w:tcPr>
          <w:p w:rsidR="00E00243" w:rsidRPr="00412620" w:rsidRDefault="00E00243" w:rsidP="009900F8">
            <w:pPr>
              <w:keepNext/>
              <w:jc w:val="both"/>
              <w:rPr>
                <w:rStyle w:val="FootnoteReference"/>
                <w:rFonts w:cs="Arial"/>
                <w:sz w:val="18"/>
                <w:szCs w:val="18"/>
              </w:rPr>
            </w:pPr>
            <w:r w:rsidRPr="00412620">
              <w:rPr>
                <w:rFonts w:cs="Arial"/>
                <w:sz w:val="16"/>
                <w:szCs w:val="16"/>
              </w:rPr>
              <w:t>Where any person fails to furnish a statement as required under section 115, 165</w:t>
            </w:r>
            <w:r w:rsidR="00CE6561">
              <w:rPr>
                <w:rFonts w:cs="Arial"/>
                <w:sz w:val="16"/>
                <w:szCs w:val="16"/>
              </w:rPr>
              <w:t>,</w:t>
            </w:r>
            <w:r w:rsidRPr="00412620">
              <w:rPr>
                <w:rFonts w:cs="Arial"/>
                <w:sz w:val="16"/>
                <w:szCs w:val="16"/>
              </w:rPr>
              <w:t xml:space="preserve"> or 165A</w:t>
            </w:r>
            <w:r w:rsidR="00CE6561">
              <w:rPr>
                <w:rFonts w:cs="Arial"/>
                <w:sz w:val="16"/>
                <w:szCs w:val="16"/>
              </w:rPr>
              <w:t xml:space="preserve"> </w:t>
            </w:r>
            <w:r w:rsidR="00CE6561" w:rsidRPr="00F55609">
              <w:rPr>
                <w:rStyle w:val="FootnoteReference"/>
                <w:rFonts w:cs="Arial"/>
                <w:color w:val="0070C0"/>
                <w:sz w:val="16"/>
                <w:szCs w:val="16"/>
              </w:rPr>
              <w:footnoteReference w:id="1238"/>
            </w:r>
            <w:r w:rsidR="00CE6561" w:rsidRPr="00F55609">
              <w:rPr>
                <w:rFonts w:cs="Arial"/>
                <w:color w:val="0070C0"/>
                <w:sz w:val="16"/>
                <w:szCs w:val="16"/>
              </w:rPr>
              <w:t>[, 165A or 165B]</w:t>
            </w:r>
            <w:r w:rsidRPr="00412620">
              <w:rPr>
                <w:rFonts w:cs="Arial"/>
                <w:sz w:val="16"/>
                <w:szCs w:val="16"/>
              </w:rPr>
              <w:t xml:space="preserve"> within the due date.]</w:t>
            </w:r>
          </w:p>
        </w:tc>
        <w:tc>
          <w:tcPr>
            <w:tcW w:w="2789" w:type="dxa"/>
          </w:tcPr>
          <w:p w:rsidR="006D2751" w:rsidRPr="00910B5A" w:rsidRDefault="00E00243" w:rsidP="009900F8">
            <w:pPr>
              <w:keepNext/>
              <w:jc w:val="both"/>
              <w:rPr>
                <w:color w:val="000000" w:themeColor="text1"/>
                <w:sz w:val="16"/>
              </w:rPr>
            </w:pPr>
            <w:r w:rsidRPr="00412620">
              <w:rPr>
                <w:sz w:val="16"/>
              </w:rPr>
              <w:t xml:space="preserve">Such person shall pay a penalty of Rs. 2500 for each day of default subject to a minimum penalty of </w:t>
            </w:r>
            <w:r w:rsidR="00AB60D6" w:rsidRPr="00910B5A">
              <w:rPr>
                <w:rStyle w:val="FootnoteReference"/>
                <w:color w:val="000000" w:themeColor="text1"/>
                <w:sz w:val="16"/>
              </w:rPr>
              <w:footnoteReference w:id="1239"/>
            </w:r>
            <w:r w:rsidR="00AB60D6" w:rsidRPr="00910B5A">
              <w:rPr>
                <w:color w:val="000000" w:themeColor="text1"/>
                <w:sz w:val="16"/>
              </w:rPr>
              <w:t>[ ten]</w:t>
            </w:r>
            <w:r w:rsidR="001A2A0D" w:rsidRPr="00910B5A">
              <w:rPr>
                <w:color w:val="000000" w:themeColor="text1"/>
                <w:sz w:val="16"/>
              </w:rPr>
              <w:t xml:space="preserve"> </w:t>
            </w:r>
            <w:r w:rsidRPr="00910B5A">
              <w:rPr>
                <w:color w:val="000000" w:themeColor="text1"/>
                <w:sz w:val="16"/>
              </w:rPr>
              <w:t>thousand rupees.</w:t>
            </w:r>
          </w:p>
          <w:p w:rsidR="00D65399" w:rsidRPr="00412620" w:rsidRDefault="00D65399" w:rsidP="009900F8">
            <w:pPr>
              <w:keepNext/>
              <w:jc w:val="both"/>
              <w:rPr>
                <w:rStyle w:val="FootnoteReference"/>
                <w:rFonts w:cs="Arial"/>
                <w:sz w:val="18"/>
                <w:szCs w:val="18"/>
              </w:rPr>
            </w:pPr>
          </w:p>
        </w:tc>
        <w:tc>
          <w:tcPr>
            <w:tcW w:w="1852" w:type="dxa"/>
          </w:tcPr>
          <w:p w:rsidR="00E00243" w:rsidRPr="00412620" w:rsidRDefault="00E00243" w:rsidP="009900F8">
            <w:pPr>
              <w:keepNext/>
              <w:jc w:val="both"/>
              <w:rPr>
                <w:rFonts w:cs="Arial"/>
                <w:sz w:val="16"/>
                <w:szCs w:val="16"/>
              </w:rPr>
            </w:pPr>
            <w:r w:rsidRPr="00412620">
              <w:rPr>
                <w:rFonts w:cs="Arial"/>
                <w:sz w:val="16"/>
                <w:szCs w:val="16"/>
              </w:rPr>
              <w:t>115, 165 and 165A</w:t>
            </w:r>
            <w:r w:rsidR="004B434C">
              <w:rPr>
                <w:rFonts w:cs="Arial"/>
                <w:sz w:val="16"/>
                <w:szCs w:val="16"/>
              </w:rPr>
              <w:t xml:space="preserve"> </w:t>
            </w:r>
            <w:r w:rsidR="004B434C" w:rsidRPr="00F55609">
              <w:rPr>
                <w:rStyle w:val="FootnoteReference"/>
                <w:rFonts w:cs="Arial"/>
                <w:color w:val="0070C0"/>
                <w:sz w:val="16"/>
                <w:szCs w:val="16"/>
              </w:rPr>
              <w:footnoteReference w:id="1240"/>
            </w:r>
            <w:r w:rsidR="004B434C" w:rsidRPr="00F55609">
              <w:rPr>
                <w:rFonts w:cs="Arial"/>
                <w:color w:val="0070C0"/>
                <w:sz w:val="16"/>
                <w:szCs w:val="16"/>
              </w:rPr>
              <w:t>[, 165A and 165B</w:t>
            </w:r>
            <w:r w:rsidRPr="00F55609">
              <w:rPr>
                <w:rFonts w:cs="Arial"/>
                <w:color w:val="0070C0"/>
                <w:sz w:val="16"/>
                <w:szCs w:val="16"/>
              </w:rPr>
              <w:t>]</w:t>
            </w:r>
          </w:p>
        </w:tc>
      </w:tr>
      <w:tr w:rsidR="00E00243" w:rsidRPr="00412620" w:rsidTr="004832ED">
        <w:trPr>
          <w:gridAfter w:val="1"/>
          <w:wAfter w:w="57" w:type="dxa"/>
        </w:trPr>
        <w:tc>
          <w:tcPr>
            <w:tcW w:w="648" w:type="dxa"/>
          </w:tcPr>
          <w:p w:rsidR="00E00243" w:rsidRPr="00412620" w:rsidRDefault="00E00243" w:rsidP="009900F8">
            <w:pPr>
              <w:keepNext/>
              <w:jc w:val="center"/>
              <w:rPr>
                <w:rFonts w:cs="Arial"/>
                <w:sz w:val="20"/>
              </w:rPr>
            </w:pPr>
            <w:r w:rsidRPr="00412620">
              <w:rPr>
                <w:rStyle w:val="FootnoteReference"/>
                <w:rFonts w:cs="Arial"/>
                <w:sz w:val="16"/>
                <w:szCs w:val="16"/>
              </w:rPr>
              <w:footnoteReference w:id="1241"/>
            </w:r>
            <w:r w:rsidRPr="00412620">
              <w:rPr>
                <w:rFonts w:cs="Arial"/>
                <w:sz w:val="16"/>
                <w:szCs w:val="16"/>
              </w:rPr>
              <w:t>[1AA.</w:t>
            </w:r>
          </w:p>
        </w:tc>
        <w:tc>
          <w:tcPr>
            <w:tcW w:w="2070" w:type="dxa"/>
          </w:tcPr>
          <w:p w:rsidR="00E00243" w:rsidRPr="00412620" w:rsidRDefault="00E00243" w:rsidP="009900F8">
            <w:pPr>
              <w:keepNext/>
              <w:jc w:val="both"/>
              <w:rPr>
                <w:rStyle w:val="FootnoteReference"/>
                <w:rFonts w:cs="Arial"/>
                <w:sz w:val="16"/>
                <w:szCs w:val="16"/>
              </w:rPr>
            </w:pPr>
            <w:r w:rsidRPr="00412620">
              <w:rPr>
                <w:rFonts w:cs="Arial"/>
                <w:sz w:val="16"/>
                <w:szCs w:val="16"/>
              </w:rPr>
              <w:t>Where any person fails to furnish wealth statement or wealth reconciliation statement.</w:t>
            </w:r>
          </w:p>
        </w:tc>
        <w:tc>
          <w:tcPr>
            <w:tcW w:w="2789" w:type="dxa"/>
          </w:tcPr>
          <w:p w:rsidR="00E00243" w:rsidRPr="00910B5A" w:rsidRDefault="00E00243" w:rsidP="007F7590">
            <w:pPr>
              <w:autoSpaceDE w:val="0"/>
              <w:autoSpaceDN w:val="0"/>
              <w:adjustRightInd w:val="0"/>
              <w:jc w:val="both"/>
              <w:rPr>
                <w:rStyle w:val="FootnoteReference"/>
                <w:rFonts w:cs="Arial"/>
                <w:color w:val="000000" w:themeColor="text1"/>
                <w:sz w:val="16"/>
                <w:szCs w:val="16"/>
              </w:rPr>
            </w:pPr>
            <w:r w:rsidRPr="00910B5A">
              <w:rPr>
                <w:color w:val="000000" w:themeColor="text1"/>
                <w:sz w:val="16"/>
              </w:rPr>
              <w:t xml:space="preserve">Such person shall pay a penalty of </w:t>
            </w:r>
            <w:r w:rsidR="007F7590" w:rsidRPr="00910B5A">
              <w:rPr>
                <w:rStyle w:val="FootnoteReference"/>
                <w:color w:val="000000" w:themeColor="text1"/>
                <w:sz w:val="16"/>
              </w:rPr>
              <w:footnoteReference w:id="1242"/>
            </w:r>
            <w:r w:rsidR="007F7590" w:rsidRPr="00910B5A">
              <w:rPr>
                <w:color w:val="000000" w:themeColor="text1"/>
                <w:sz w:val="16"/>
                <w:szCs w:val="16"/>
              </w:rPr>
              <w:t>[</w:t>
            </w:r>
            <w:r w:rsidR="007F7590" w:rsidRPr="00910B5A">
              <w:rPr>
                <w:rFonts w:cs="Arial"/>
                <w:color w:val="000000" w:themeColor="text1"/>
                <w:sz w:val="16"/>
                <w:szCs w:val="16"/>
                <w:lang w:val="en-US"/>
              </w:rPr>
              <w:t>“0.1% of the taxab</w:t>
            </w:r>
            <w:r w:rsidR="00590C24" w:rsidRPr="00910B5A">
              <w:rPr>
                <w:rFonts w:cs="Arial"/>
                <w:color w:val="000000" w:themeColor="text1"/>
                <w:sz w:val="16"/>
                <w:szCs w:val="16"/>
                <w:lang w:val="en-US"/>
              </w:rPr>
              <w:t>le income per week or Rs.20,000</w:t>
            </w:r>
            <w:r w:rsidR="007F7590" w:rsidRPr="00910B5A">
              <w:rPr>
                <w:rFonts w:cs="Arial"/>
                <w:color w:val="000000" w:themeColor="text1"/>
                <w:sz w:val="16"/>
                <w:szCs w:val="16"/>
                <w:lang w:val="en-US"/>
              </w:rPr>
              <w:t xml:space="preserve"> whichever is higher.”]</w:t>
            </w:r>
          </w:p>
        </w:tc>
        <w:tc>
          <w:tcPr>
            <w:tcW w:w="1852" w:type="dxa"/>
          </w:tcPr>
          <w:p w:rsidR="00E00243" w:rsidRPr="00412620" w:rsidRDefault="00E00243" w:rsidP="009900F8">
            <w:pPr>
              <w:keepNext/>
              <w:jc w:val="both"/>
              <w:rPr>
                <w:rFonts w:cs="Arial"/>
                <w:sz w:val="16"/>
                <w:szCs w:val="16"/>
              </w:rPr>
            </w:pPr>
            <w:r w:rsidRPr="00412620">
              <w:rPr>
                <w:rFonts w:cs="Arial"/>
                <w:sz w:val="16"/>
                <w:szCs w:val="16"/>
              </w:rPr>
              <w:t>114, 115 and 116]</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r w:rsidRPr="00412620">
              <w:rPr>
                <w:rFonts w:cs="Arial"/>
                <w:sz w:val="16"/>
                <w:szCs w:val="16"/>
              </w:rPr>
              <w:t>2.</w:t>
            </w:r>
          </w:p>
        </w:tc>
        <w:tc>
          <w:tcPr>
            <w:tcW w:w="2070" w:type="dxa"/>
          </w:tcPr>
          <w:p w:rsidR="007C281C" w:rsidRPr="00412620" w:rsidRDefault="00E01E7F" w:rsidP="00321D5C">
            <w:pPr>
              <w:keepNext/>
              <w:jc w:val="both"/>
              <w:rPr>
                <w:rFonts w:cs="Arial"/>
                <w:sz w:val="16"/>
                <w:szCs w:val="16"/>
              </w:rPr>
            </w:pPr>
            <w:r w:rsidRPr="00412620">
              <w:rPr>
                <w:rFonts w:cs="Arial"/>
                <w:sz w:val="16"/>
                <w:szCs w:val="16"/>
              </w:rPr>
              <w:t>Any person who fails to issue cash memo or invoice or receipt when required under this Ordinance or the rules made thereunder.</w:t>
            </w:r>
          </w:p>
          <w:p w:rsidR="00E01E7F" w:rsidRPr="00412620" w:rsidRDefault="00E01E7F" w:rsidP="00321D5C">
            <w:pPr>
              <w:keepNext/>
              <w:jc w:val="both"/>
              <w:rPr>
                <w:rFonts w:cs="Arial"/>
                <w:sz w:val="16"/>
                <w:szCs w:val="16"/>
              </w:rPr>
            </w:pPr>
          </w:p>
        </w:tc>
        <w:tc>
          <w:tcPr>
            <w:tcW w:w="2789" w:type="dxa"/>
          </w:tcPr>
          <w:p w:rsidR="00021AF9" w:rsidRPr="00412620" w:rsidRDefault="00887A40" w:rsidP="00321D5C">
            <w:pPr>
              <w:keepNext/>
              <w:jc w:val="both"/>
              <w:rPr>
                <w:rFonts w:cs="Arial"/>
                <w:sz w:val="16"/>
                <w:szCs w:val="16"/>
              </w:rPr>
            </w:pPr>
            <w:r w:rsidRPr="00412620">
              <w:rPr>
                <w:rFonts w:cs="Arial"/>
                <w:sz w:val="16"/>
                <w:szCs w:val="16"/>
              </w:rPr>
              <w:t xml:space="preserve">Such person shall pay a penalty of five thousand rupees or three </w:t>
            </w:r>
            <w:r w:rsidR="00AB6F06">
              <w:rPr>
                <w:rFonts w:cs="Arial"/>
                <w:i/>
                <w:sz w:val="16"/>
                <w:szCs w:val="16"/>
              </w:rPr>
              <w:t>per cent</w:t>
            </w:r>
            <w:r w:rsidR="001A2A0D">
              <w:rPr>
                <w:rFonts w:cs="Arial"/>
                <w:i/>
                <w:sz w:val="16"/>
                <w:szCs w:val="16"/>
              </w:rPr>
              <w:t xml:space="preserve"> </w:t>
            </w:r>
            <w:r w:rsidR="00021AF9" w:rsidRPr="00412620">
              <w:rPr>
                <w:rFonts w:cs="Arial"/>
                <w:sz w:val="16"/>
                <w:szCs w:val="16"/>
              </w:rPr>
              <w:t>of the amount of the tax involved, whichever is higher.</w:t>
            </w:r>
          </w:p>
          <w:p w:rsidR="007C281C" w:rsidRPr="00412620" w:rsidRDefault="007C281C" w:rsidP="00321D5C">
            <w:pPr>
              <w:keepNext/>
              <w:jc w:val="both"/>
              <w:rPr>
                <w:rFonts w:cs="Arial"/>
                <w:sz w:val="16"/>
                <w:szCs w:val="16"/>
              </w:rPr>
            </w:pPr>
          </w:p>
        </w:tc>
        <w:tc>
          <w:tcPr>
            <w:tcW w:w="1909" w:type="dxa"/>
            <w:gridSpan w:val="2"/>
          </w:tcPr>
          <w:p w:rsidR="007C281C" w:rsidRPr="00412620" w:rsidRDefault="00172F78" w:rsidP="00321D5C">
            <w:pPr>
              <w:keepNext/>
              <w:jc w:val="both"/>
              <w:rPr>
                <w:rFonts w:cs="Arial"/>
                <w:sz w:val="16"/>
                <w:szCs w:val="16"/>
              </w:rPr>
            </w:pPr>
            <w:r w:rsidRPr="00412620">
              <w:rPr>
                <w:rFonts w:cs="Arial"/>
                <w:sz w:val="16"/>
                <w:szCs w:val="16"/>
              </w:rPr>
              <w:t>174 and Chapter VII of the Income Tax Rules.</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r w:rsidRPr="00412620">
              <w:rPr>
                <w:rFonts w:cs="Arial"/>
                <w:sz w:val="16"/>
                <w:szCs w:val="16"/>
              </w:rPr>
              <w:t>3.</w:t>
            </w:r>
          </w:p>
        </w:tc>
        <w:tc>
          <w:tcPr>
            <w:tcW w:w="2070" w:type="dxa"/>
          </w:tcPr>
          <w:p w:rsidR="007C281C" w:rsidRPr="00412620" w:rsidRDefault="00D7741E" w:rsidP="00321D5C">
            <w:pPr>
              <w:keepNext/>
              <w:jc w:val="both"/>
              <w:rPr>
                <w:rFonts w:cs="Arial"/>
                <w:sz w:val="16"/>
                <w:szCs w:val="16"/>
              </w:rPr>
            </w:pPr>
            <w:r w:rsidRPr="00412620">
              <w:rPr>
                <w:rFonts w:cs="Arial"/>
                <w:sz w:val="16"/>
                <w:szCs w:val="16"/>
              </w:rPr>
              <w:t>Any person who is required to apply for registration under this Ordinance but fails to make an application for registration.</w:t>
            </w:r>
          </w:p>
          <w:p w:rsidR="00D7741E" w:rsidRPr="00412620" w:rsidRDefault="00D7741E" w:rsidP="00321D5C">
            <w:pPr>
              <w:keepNext/>
              <w:jc w:val="both"/>
              <w:rPr>
                <w:rFonts w:cs="Arial"/>
                <w:sz w:val="16"/>
                <w:szCs w:val="16"/>
              </w:rPr>
            </w:pPr>
          </w:p>
        </w:tc>
        <w:tc>
          <w:tcPr>
            <w:tcW w:w="2789" w:type="dxa"/>
          </w:tcPr>
          <w:p w:rsidR="007C281C" w:rsidRPr="00412620" w:rsidRDefault="00021AF9" w:rsidP="00321D5C">
            <w:pPr>
              <w:keepNext/>
              <w:jc w:val="both"/>
              <w:rPr>
                <w:rFonts w:cs="Arial"/>
                <w:sz w:val="16"/>
                <w:szCs w:val="16"/>
              </w:rPr>
            </w:pPr>
            <w:r w:rsidRPr="00412620">
              <w:rPr>
                <w:rFonts w:cs="Arial"/>
                <w:sz w:val="16"/>
                <w:szCs w:val="16"/>
              </w:rPr>
              <w:t>Such person shall pay a penalty of five thousand rupees.</w:t>
            </w:r>
          </w:p>
          <w:p w:rsidR="00021AF9" w:rsidRPr="00412620" w:rsidRDefault="00021AF9" w:rsidP="00321D5C">
            <w:pPr>
              <w:keepNext/>
              <w:jc w:val="both"/>
              <w:rPr>
                <w:rFonts w:cs="Arial"/>
                <w:sz w:val="16"/>
                <w:szCs w:val="16"/>
              </w:rPr>
            </w:pPr>
          </w:p>
        </w:tc>
        <w:tc>
          <w:tcPr>
            <w:tcW w:w="1909" w:type="dxa"/>
            <w:gridSpan w:val="2"/>
          </w:tcPr>
          <w:p w:rsidR="007C281C" w:rsidRPr="00412620" w:rsidRDefault="00085569" w:rsidP="00321D5C">
            <w:pPr>
              <w:keepNext/>
              <w:jc w:val="both"/>
              <w:rPr>
                <w:rFonts w:cs="Arial"/>
                <w:sz w:val="16"/>
                <w:szCs w:val="16"/>
              </w:rPr>
            </w:pPr>
            <w:r w:rsidRPr="00412620">
              <w:rPr>
                <w:rFonts w:cs="Arial"/>
                <w:sz w:val="16"/>
                <w:szCs w:val="16"/>
              </w:rPr>
              <w:t>181</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r w:rsidRPr="00412620">
              <w:rPr>
                <w:rFonts w:cs="Arial"/>
                <w:sz w:val="16"/>
                <w:szCs w:val="16"/>
              </w:rPr>
              <w:t>4.</w:t>
            </w:r>
          </w:p>
        </w:tc>
        <w:tc>
          <w:tcPr>
            <w:tcW w:w="2070" w:type="dxa"/>
          </w:tcPr>
          <w:p w:rsidR="007C281C" w:rsidRPr="00412620" w:rsidRDefault="00D7741E" w:rsidP="00321D5C">
            <w:pPr>
              <w:keepNext/>
              <w:jc w:val="both"/>
              <w:rPr>
                <w:rFonts w:cs="Arial"/>
                <w:sz w:val="16"/>
                <w:szCs w:val="16"/>
              </w:rPr>
            </w:pPr>
            <w:r w:rsidRPr="00412620">
              <w:rPr>
                <w:rFonts w:cs="Arial"/>
                <w:sz w:val="16"/>
                <w:szCs w:val="16"/>
              </w:rPr>
              <w:t xml:space="preserve">Any person who fails to notify the changes of material nature in the particulars of registration. </w:t>
            </w:r>
          </w:p>
          <w:p w:rsidR="00D7741E" w:rsidRPr="00412620" w:rsidRDefault="00D7741E" w:rsidP="00321D5C">
            <w:pPr>
              <w:keepNext/>
              <w:jc w:val="both"/>
              <w:rPr>
                <w:rFonts w:cs="Arial"/>
                <w:sz w:val="16"/>
                <w:szCs w:val="16"/>
              </w:rPr>
            </w:pPr>
          </w:p>
        </w:tc>
        <w:tc>
          <w:tcPr>
            <w:tcW w:w="2789" w:type="dxa"/>
          </w:tcPr>
          <w:p w:rsidR="003F5F87" w:rsidRPr="00412620" w:rsidRDefault="003F5F87" w:rsidP="00321D5C">
            <w:pPr>
              <w:keepNext/>
              <w:jc w:val="both"/>
              <w:rPr>
                <w:rFonts w:cs="Arial"/>
                <w:sz w:val="16"/>
                <w:szCs w:val="16"/>
              </w:rPr>
            </w:pPr>
            <w:r w:rsidRPr="00412620">
              <w:rPr>
                <w:rFonts w:cs="Arial"/>
                <w:sz w:val="16"/>
                <w:szCs w:val="16"/>
              </w:rPr>
              <w:t>Such person shall pay a p</w:t>
            </w:r>
            <w:r w:rsidR="00AE7D45" w:rsidRPr="00412620">
              <w:rPr>
                <w:rFonts w:cs="Arial"/>
                <w:sz w:val="16"/>
                <w:szCs w:val="16"/>
              </w:rPr>
              <w:t xml:space="preserve">enalty of five thousand rupees. </w:t>
            </w:r>
          </w:p>
        </w:tc>
        <w:tc>
          <w:tcPr>
            <w:tcW w:w="1909" w:type="dxa"/>
            <w:gridSpan w:val="2"/>
          </w:tcPr>
          <w:p w:rsidR="007C281C" w:rsidRPr="00412620" w:rsidRDefault="00085569" w:rsidP="00321D5C">
            <w:pPr>
              <w:keepNext/>
              <w:jc w:val="both"/>
              <w:rPr>
                <w:rFonts w:cs="Arial"/>
                <w:sz w:val="16"/>
                <w:szCs w:val="16"/>
              </w:rPr>
            </w:pPr>
            <w:r w:rsidRPr="00412620">
              <w:rPr>
                <w:rFonts w:cs="Arial"/>
                <w:sz w:val="16"/>
                <w:szCs w:val="16"/>
              </w:rPr>
              <w:t>181</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r w:rsidRPr="00412620">
              <w:rPr>
                <w:rFonts w:cs="Arial"/>
                <w:sz w:val="16"/>
                <w:szCs w:val="16"/>
              </w:rPr>
              <w:t>5.</w:t>
            </w:r>
          </w:p>
        </w:tc>
        <w:tc>
          <w:tcPr>
            <w:tcW w:w="2070" w:type="dxa"/>
          </w:tcPr>
          <w:p w:rsidR="007C281C" w:rsidRPr="00412620" w:rsidRDefault="00D7741E" w:rsidP="00321D5C">
            <w:pPr>
              <w:keepNext/>
              <w:jc w:val="both"/>
              <w:rPr>
                <w:rFonts w:cs="Arial"/>
                <w:sz w:val="16"/>
                <w:szCs w:val="16"/>
              </w:rPr>
            </w:pPr>
            <w:r w:rsidRPr="00412620">
              <w:rPr>
                <w:rFonts w:cs="Arial"/>
                <w:sz w:val="16"/>
                <w:szCs w:val="16"/>
              </w:rPr>
              <w:t>Any person who fails to deposit the amount of tax due or any part thereof in the time or manner laid down under this Ordinance or rules made thereunder.</w:t>
            </w:r>
          </w:p>
          <w:p w:rsidR="00D7741E" w:rsidRPr="00412620" w:rsidRDefault="00D7741E" w:rsidP="00321D5C">
            <w:pPr>
              <w:keepNext/>
              <w:jc w:val="both"/>
              <w:rPr>
                <w:rFonts w:cs="Arial"/>
                <w:sz w:val="16"/>
                <w:szCs w:val="16"/>
              </w:rPr>
            </w:pPr>
          </w:p>
          <w:p w:rsidR="00B92949" w:rsidRPr="00412620" w:rsidRDefault="00B92949" w:rsidP="00321D5C">
            <w:pPr>
              <w:keepNext/>
              <w:jc w:val="both"/>
              <w:rPr>
                <w:rFonts w:cs="Arial"/>
                <w:sz w:val="16"/>
                <w:szCs w:val="16"/>
              </w:rPr>
            </w:pPr>
            <w:r w:rsidRPr="00412620">
              <w:rPr>
                <w:rFonts w:cs="Arial"/>
                <w:sz w:val="16"/>
                <w:szCs w:val="16"/>
              </w:rPr>
              <w:tab/>
            </w:r>
            <w:r w:rsidRPr="00412620">
              <w:rPr>
                <w:rStyle w:val="FootnoteReference"/>
                <w:rFonts w:cs="Arial"/>
                <w:sz w:val="16"/>
                <w:szCs w:val="16"/>
              </w:rPr>
              <w:footnoteReference w:id="1243"/>
            </w:r>
            <w:r w:rsidRPr="00412620">
              <w:rPr>
                <w:rFonts w:cs="Arial"/>
                <w:sz w:val="16"/>
                <w:szCs w:val="16"/>
              </w:rPr>
              <w:t xml:space="preserve">[Provided that if the person opts to pay the tax due on the basis of an order under section 129 on or before the due date given in the notice under sub-section (2) of section </w:t>
            </w:r>
            <w:r w:rsidRPr="00412620">
              <w:rPr>
                <w:rFonts w:cs="Arial"/>
                <w:sz w:val="16"/>
                <w:szCs w:val="16"/>
              </w:rPr>
              <w:lastRenderedPageBreak/>
              <w:t>137 issued in consequence of the said order, and does not file an appeal under section 131 the penalty payable shall be reduced by 50%.]</w:t>
            </w:r>
          </w:p>
          <w:p w:rsidR="00B92949" w:rsidRPr="00412620" w:rsidRDefault="00B92949" w:rsidP="00321D5C">
            <w:pPr>
              <w:keepNext/>
              <w:jc w:val="both"/>
              <w:rPr>
                <w:rFonts w:cs="Arial"/>
                <w:sz w:val="16"/>
                <w:szCs w:val="16"/>
              </w:rPr>
            </w:pPr>
          </w:p>
        </w:tc>
        <w:tc>
          <w:tcPr>
            <w:tcW w:w="2789" w:type="dxa"/>
          </w:tcPr>
          <w:p w:rsidR="007C281C" w:rsidRPr="00412620" w:rsidRDefault="003F5F87" w:rsidP="00321D5C">
            <w:pPr>
              <w:keepNext/>
              <w:jc w:val="both"/>
              <w:rPr>
                <w:rFonts w:cs="Arial"/>
                <w:sz w:val="16"/>
                <w:szCs w:val="16"/>
              </w:rPr>
            </w:pPr>
            <w:r w:rsidRPr="00412620">
              <w:rPr>
                <w:rFonts w:cs="Arial"/>
                <w:sz w:val="16"/>
                <w:szCs w:val="16"/>
              </w:rPr>
              <w:lastRenderedPageBreak/>
              <w:t xml:space="preserve">Such person shall pay a penalty of five </w:t>
            </w:r>
            <w:r w:rsidR="00AB6F06">
              <w:rPr>
                <w:rFonts w:cs="Arial"/>
                <w:sz w:val="16"/>
                <w:szCs w:val="16"/>
              </w:rPr>
              <w:t>per cent</w:t>
            </w:r>
            <w:r w:rsidRPr="00412620">
              <w:rPr>
                <w:rFonts w:cs="Arial"/>
                <w:sz w:val="16"/>
                <w:szCs w:val="16"/>
              </w:rPr>
              <w:t xml:space="preserve"> of the amount of the tax in default.</w:t>
            </w:r>
          </w:p>
          <w:p w:rsidR="003F5F87" w:rsidRPr="00412620" w:rsidRDefault="003F5F87" w:rsidP="00321D5C">
            <w:pPr>
              <w:keepNext/>
              <w:jc w:val="both"/>
              <w:rPr>
                <w:rFonts w:cs="Arial"/>
                <w:sz w:val="16"/>
                <w:szCs w:val="16"/>
              </w:rPr>
            </w:pPr>
          </w:p>
          <w:p w:rsidR="003F5F87" w:rsidRPr="00412620" w:rsidRDefault="003F5F87" w:rsidP="00321D5C">
            <w:pPr>
              <w:keepNext/>
              <w:jc w:val="both"/>
              <w:rPr>
                <w:rFonts w:cs="Arial"/>
                <w:sz w:val="16"/>
                <w:szCs w:val="16"/>
              </w:rPr>
            </w:pPr>
            <w:r w:rsidRPr="00412620">
              <w:rPr>
                <w:rFonts w:cs="Arial"/>
                <w:sz w:val="16"/>
                <w:szCs w:val="16"/>
              </w:rPr>
              <w:t>For the second default an additional penalty of 25% o</w:t>
            </w:r>
            <w:r w:rsidR="00EB3DBF" w:rsidRPr="00412620">
              <w:rPr>
                <w:rFonts w:cs="Arial"/>
                <w:sz w:val="16"/>
                <w:szCs w:val="16"/>
              </w:rPr>
              <w:t>f the amount of tax in default.</w:t>
            </w:r>
          </w:p>
          <w:p w:rsidR="003F5F87" w:rsidRPr="00412620" w:rsidRDefault="003F5F87" w:rsidP="00321D5C">
            <w:pPr>
              <w:keepNext/>
              <w:jc w:val="both"/>
              <w:rPr>
                <w:rFonts w:cs="Arial"/>
                <w:sz w:val="16"/>
                <w:szCs w:val="16"/>
              </w:rPr>
            </w:pPr>
          </w:p>
          <w:p w:rsidR="003F5F87" w:rsidRPr="00412620" w:rsidRDefault="003F5F87" w:rsidP="00321D5C">
            <w:pPr>
              <w:keepNext/>
              <w:jc w:val="both"/>
              <w:rPr>
                <w:rFonts w:cs="Arial"/>
                <w:sz w:val="16"/>
                <w:szCs w:val="16"/>
              </w:rPr>
            </w:pPr>
            <w:r w:rsidRPr="00412620">
              <w:rPr>
                <w:rFonts w:cs="Arial"/>
                <w:sz w:val="16"/>
                <w:szCs w:val="16"/>
              </w:rPr>
              <w:t>For the third and subsequent defaults an additional penalty of 50</w:t>
            </w:r>
            <w:r w:rsidR="0094065C" w:rsidRPr="00412620">
              <w:rPr>
                <w:rFonts w:cs="Arial"/>
                <w:sz w:val="16"/>
                <w:szCs w:val="16"/>
              </w:rPr>
              <w:t xml:space="preserve">% </w:t>
            </w:r>
            <w:r w:rsidRPr="00412620">
              <w:rPr>
                <w:rFonts w:cs="Arial"/>
                <w:sz w:val="16"/>
                <w:szCs w:val="16"/>
              </w:rPr>
              <w:t>of the amount of tax in default.</w:t>
            </w:r>
          </w:p>
          <w:p w:rsidR="003F5F87" w:rsidRPr="00412620" w:rsidRDefault="003F5F87" w:rsidP="00321D5C">
            <w:pPr>
              <w:keepNext/>
              <w:jc w:val="both"/>
              <w:rPr>
                <w:rFonts w:cs="Arial"/>
                <w:sz w:val="16"/>
                <w:szCs w:val="16"/>
              </w:rPr>
            </w:pPr>
          </w:p>
        </w:tc>
        <w:tc>
          <w:tcPr>
            <w:tcW w:w="1909" w:type="dxa"/>
            <w:gridSpan w:val="2"/>
          </w:tcPr>
          <w:p w:rsidR="007C281C" w:rsidRPr="00412620" w:rsidRDefault="00085569" w:rsidP="00321D5C">
            <w:pPr>
              <w:keepNext/>
              <w:jc w:val="both"/>
              <w:rPr>
                <w:rFonts w:cs="Arial"/>
                <w:sz w:val="16"/>
                <w:szCs w:val="16"/>
              </w:rPr>
            </w:pPr>
            <w:r w:rsidRPr="00412620">
              <w:rPr>
                <w:rFonts w:cs="Arial"/>
                <w:sz w:val="16"/>
                <w:szCs w:val="16"/>
              </w:rPr>
              <w:t>137</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r w:rsidRPr="00412620">
              <w:rPr>
                <w:rFonts w:cs="Arial"/>
                <w:sz w:val="16"/>
                <w:szCs w:val="16"/>
              </w:rPr>
              <w:lastRenderedPageBreak/>
              <w:t>6.</w:t>
            </w:r>
          </w:p>
        </w:tc>
        <w:tc>
          <w:tcPr>
            <w:tcW w:w="2070" w:type="dxa"/>
          </w:tcPr>
          <w:p w:rsidR="007C281C" w:rsidRPr="00412620" w:rsidRDefault="00D7741E" w:rsidP="00321D5C">
            <w:pPr>
              <w:keepNext/>
              <w:jc w:val="both"/>
              <w:rPr>
                <w:rFonts w:cs="Arial"/>
                <w:sz w:val="16"/>
                <w:szCs w:val="16"/>
              </w:rPr>
            </w:pPr>
            <w:r w:rsidRPr="00412620">
              <w:rPr>
                <w:rFonts w:cs="Arial"/>
                <w:sz w:val="16"/>
                <w:szCs w:val="16"/>
              </w:rPr>
              <w:t>Any person who repeats erroneous calculation in the return for more than one year whereby amount of tax less than the actual tax payable under this Ordinance is paid.</w:t>
            </w:r>
          </w:p>
          <w:p w:rsidR="00D7741E" w:rsidRPr="00412620" w:rsidRDefault="00D7741E" w:rsidP="00321D5C">
            <w:pPr>
              <w:keepNext/>
              <w:jc w:val="both"/>
              <w:rPr>
                <w:rFonts w:cs="Arial"/>
                <w:sz w:val="16"/>
                <w:szCs w:val="16"/>
              </w:rPr>
            </w:pPr>
          </w:p>
        </w:tc>
        <w:tc>
          <w:tcPr>
            <w:tcW w:w="2789" w:type="dxa"/>
          </w:tcPr>
          <w:p w:rsidR="007C281C" w:rsidRPr="00412620" w:rsidRDefault="00160A01" w:rsidP="00321D5C">
            <w:pPr>
              <w:keepNext/>
              <w:jc w:val="both"/>
              <w:rPr>
                <w:rFonts w:cs="Arial"/>
                <w:sz w:val="16"/>
                <w:szCs w:val="16"/>
              </w:rPr>
            </w:pPr>
            <w:r w:rsidRPr="00412620">
              <w:rPr>
                <w:rFonts w:cs="Arial"/>
                <w:sz w:val="16"/>
                <w:szCs w:val="16"/>
              </w:rPr>
              <w:t xml:space="preserve">Such person shall pay a penalty of five thousand rupees or three </w:t>
            </w:r>
            <w:r w:rsidR="00AB6F06">
              <w:rPr>
                <w:rFonts w:cs="Arial"/>
                <w:i/>
                <w:sz w:val="16"/>
                <w:szCs w:val="16"/>
              </w:rPr>
              <w:t>per cent</w:t>
            </w:r>
            <w:r w:rsidRPr="00412620">
              <w:rPr>
                <w:rFonts w:cs="Arial"/>
                <w:sz w:val="16"/>
                <w:szCs w:val="16"/>
              </w:rPr>
              <w:t xml:space="preserve"> of the amount of the tax involved, whichever is higher.</w:t>
            </w:r>
          </w:p>
          <w:p w:rsidR="00160A01" w:rsidRPr="00412620" w:rsidRDefault="00160A01" w:rsidP="00321D5C">
            <w:pPr>
              <w:keepNext/>
              <w:jc w:val="both"/>
              <w:rPr>
                <w:rFonts w:cs="Arial"/>
                <w:sz w:val="16"/>
                <w:szCs w:val="16"/>
              </w:rPr>
            </w:pPr>
          </w:p>
        </w:tc>
        <w:tc>
          <w:tcPr>
            <w:tcW w:w="1909" w:type="dxa"/>
            <w:gridSpan w:val="2"/>
          </w:tcPr>
          <w:p w:rsidR="007C281C" w:rsidRPr="00412620" w:rsidRDefault="00085569" w:rsidP="00321D5C">
            <w:pPr>
              <w:keepNext/>
              <w:jc w:val="both"/>
              <w:rPr>
                <w:rFonts w:cs="Arial"/>
                <w:sz w:val="16"/>
                <w:szCs w:val="16"/>
              </w:rPr>
            </w:pPr>
            <w:r w:rsidRPr="00412620">
              <w:rPr>
                <w:rFonts w:cs="Arial"/>
                <w:sz w:val="16"/>
                <w:szCs w:val="16"/>
              </w:rPr>
              <w:t>137</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r w:rsidRPr="00412620">
              <w:rPr>
                <w:rFonts w:cs="Arial"/>
                <w:sz w:val="16"/>
                <w:szCs w:val="16"/>
              </w:rPr>
              <w:t>7.</w:t>
            </w:r>
          </w:p>
        </w:tc>
        <w:tc>
          <w:tcPr>
            <w:tcW w:w="2070" w:type="dxa"/>
          </w:tcPr>
          <w:p w:rsidR="007C281C" w:rsidRPr="00412620" w:rsidRDefault="005B7113" w:rsidP="00321D5C">
            <w:pPr>
              <w:keepNext/>
              <w:jc w:val="both"/>
              <w:rPr>
                <w:rFonts w:cs="Arial"/>
                <w:sz w:val="16"/>
                <w:szCs w:val="16"/>
              </w:rPr>
            </w:pPr>
            <w:r w:rsidRPr="00412620">
              <w:rPr>
                <w:rFonts w:cs="Arial"/>
                <w:sz w:val="16"/>
                <w:szCs w:val="16"/>
              </w:rPr>
              <w:t>Any person who fails to maintain records required under this Ordinan</w:t>
            </w:r>
            <w:r w:rsidR="004804AA" w:rsidRPr="00412620">
              <w:rPr>
                <w:rFonts w:cs="Arial"/>
                <w:sz w:val="16"/>
                <w:szCs w:val="16"/>
              </w:rPr>
              <w:t>ce or the rules made thereunder.</w:t>
            </w:r>
          </w:p>
          <w:p w:rsidR="005B7113" w:rsidRPr="00412620" w:rsidRDefault="005B7113" w:rsidP="00321D5C">
            <w:pPr>
              <w:keepNext/>
              <w:jc w:val="both"/>
              <w:rPr>
                <w:rFonts w:cs="Arial"/>
                <w:sz w:val="16"/>
                <w:szCs w:val="16"/>
              </w:rPr>
            </w:pPr>
          </w:p>
        </w:tc>
        <w:tc>
          <w:tcPr>
            <w:tcW w:w="2789" w:type="dxa"/>
          </w:tcPr>
          <w:p w:rsidR="007C281C" w:rsidRPr="00412620" w:rsidRDefault="00160A01" w:rsidP="00321D5C">
            <w:pPr>
              <w:keepNext/>
              <w:jc w:val="both"/>
              <w:rPr>
                <w:rFonts w:cs="Arial"/>
                <w:sz w:val="16"/>
                <w:szCs w:val="16"/>
              </w:rPr>
            </w:pPr>
            <w:r w:rsidRPr="00412620">
              <w:rPr>
                <w:rFonts w:cs="Arial"/>
                <w:sz w:val="16"/>
                <w:szCs w:val="16"/>
              </w:rPr>
              <w:t xml:space="preserve">Such person shall pay a penalty of ten thousand rupees or five </w:t>
            </w:r>
            <w:r w:rsidR="00AB6F06">
              <w:rPr>
                <w:rFonts w:cs="Arial"/>
                <w:i/>
                <w:sz w:val="16"/>
                <w:szCs w:val="16"/>
              </w:rPr>
              <w:t>per cent</w:t>
            </w:r>
            <w:r w:rsidRPr="00412620">
              <w:rPr>
                <w:rFonts w:cs="Arial"/>
                <w:sz w:val="16"/>
                <w:szCs w:val="16"/>
              </w:rPr>
              <w:t xml:space="preserve"> of  the amount of tax on income whichever is higher.</w:t>
            </w:r>
          </w:p>
          <w:p w:rsidR="00160A01" w:rsidRPr="00412620" w:rsidRDefault="00160A01" w:rsidP="00321D5C">
            <w:pPr>
              <w:keepNext/>
              <w:jc w:val="both"/>
              <w:rPr>
                <w:rFonts w:cs="Arial"/>
                <w:sz w:val="16"/>
                <w:szCs w:val="16"/>
              </w:rPr>
            </w:pPr>
          </w:p>
          <w:p w:rsidR="00D65399" w:rsidRPr="00412620" w:rsidRDefault="00D65399" w:rsidP="00321D5C">
            <w:pPr>
              <w:keepNext/>
              <w:jc w:val="both"/>
              <w:rPr>
                <w:rFonts w:cs="Arial"/>
                <w:sz w:val="16"/>
                <w:szCs w:val="16"/>
              </w:rPr>
            </w:pPr>
          </w:p>
          <w:p w:rsidR="00D65399" w:rsidRPr="00412620" w:rsidRDefault="00D65399" w:rsidP="00321D5C">
            <w:pPr>
              <w:keepNext/>
              <w:jc w:val="both"/>
              <w:rPr>
                <w:rFonts w:cs="Arial"/>
                <w:sz w:val="16"/>
                <w:szCs w:val="16"/>
              </w:rPr>
            </w:pPr>
          </w:p>
        </w:tc>
        <w:tc>
          <w:tcPr>
            <w:tcW w:w="1909" w:type="dxa"/>
            <w:gridSpan w:val="2"/>
          </w:tcPr>
          <w:p w:rsidR="007C281C" w:rsidRPr="00412620" w:rsidRDefault="00085569" w:rsidP="00321D5C">
            <w:pPr>
              <w:keepNext/>
              <w:jc w:val="both"/>
              <w:rPr>
                <w:rFonts w:cs="Arial"/>
                <w:sz w:val="16"/>
                <w:szCs w:val="16"/>
              </w:rPr>
            </w:pPr>
            <w:r w:rsidRPr="00412620">
              <w:rPr>
                <w:rFonts w:cs="Arial"/>
                <w:sz w:val="16"/>
                <w:szCs w:val="16"/>
              </w:rPr>
              <w:t>174</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r w:rsidRPr="00412620">
              <w:rPr>
                <w:rFonts w:cs="Arial"/>
                <w:sz w:val="16"/>
                <w:szCs w:val="16"/>
              </w:rPr>
              <w:t>8.</w:t>
            </w:r>
          </w:p>
        </w:tc>
        <w:tc>
          <w:tcPr>
            <w:tcW w:w="2070" w:type="dxa"/>
          </w:tcPr>
          <w:p w:rsidR="007C281C" w:rsidRPr="00412620" w:rsidRDefault="002944C6" w:rsidP="00321D5C">
            <w:pPr>
              <w:keepNext/>
              <w:jc w:val="both"/>
              <w:rPr>
                <w:rFonts w:cs="Arial"/>
                <w:sz w:val="16"/>
                <w:szCs w:val="16"/>
              </w:rPr>
            </w:pPr>
            <w:r w:rsidRPr="00412620">
              <w:rPr>
                <w:rFonts w:cs="Arial"/>
                <w:sz w:val="16"/>
                <w:szCs w:val="16"/>
              </w:rPr>
              <w:t xml:space="preserve">Where a taxpayer who, without any </w:t>
            </w:r>
            <w:r w:rsidR="00C2727F" w:rsidRPr="00412620">
              <w:rPr>
                <w:rFonts w:cs="Arial"/>
                <w:sz w:val="16"/>
                <w:szCs w:val="16"/>
              </w:rPr>
              <w:t>reasonable</w:t>
            </w:r>
            <w:r w:rsidRPr="00412620">
              <w:rPr>
                <w:rFonts w:cs="Arial"/>
                <w:sz w:val="16"/>
                <w:szCs w:val="16"/>
              </w:rPr>
              <w:t xml:space="preserve"> cause, in non-compliance with provisions of section 177</w:t>
            </w:r>
            <w:r w:rsidR="005F425C" w:rsidRPr="00412620">
              <w:rPr>
                <w:rFonts w:cs="Arial"/>
                <w:sz w:val="16"/>
                <w:szCs w:val="16"/>
              </w:rPr>
              <w:t>—</w:t>
            </w:r>
          </w:p>
          <w:p w:rsidR="002944C6" w:rsidRPr="00412620" w:rsidRDefault="002944C6" w:rsidP="00321D5C">
            <w:pPr>
              <w:keepNext/>
              <w:jc w:val="both"/>
              <w:rPr>
                <w:rFonts w:cs="Arial"/>
                <w:sz w:val="16"/>
                <w:szCs w:val="16"/>
              </w:rPr>
            </w:pPr>
          </w:p>
        </w:tc>
        <w:tc>
          <w:tcPr>
            <w:tcW w:w="2789" w:type="dxa"/>
          </w:tcPr>
          <w:p w:rsidR="007C281C" w:rsidRPr="00412620" w:rsidRDefault="007C281C" w:rsidP="00321D5C">
            <w:pPr>
              <w:keepNext/>
              <w:jc w:val="both"/>
              <w:rPr>
                <w:rFonts w:cs="Arial"/>
                <w:sz w:val="16"/>
                <w:szCs w:val="16"/>
              </w:rPr>
            </w:pPr>
          </w:p>
        </w:tc>
        <w:tc>
          <w:tcPr>
            <w:tcW w:w="1909" w:type="dxa"/>
            <w:gridSpan w:val="2"/>
          </w:tcPr>
          <w:p w:rsidR="007C281C" w:rsidRPr="00412620" w:rsidRDefault="00085569" w:rsidP="00321D5C">
            <w:pPr>
              <w:keepNext/>
              <w:jc w:val="both"/>
              <w:rPr>
                <w:rFonts w:cs="Arial"/>
                <w:sz w:val="16"/>
                <w:szCs w:val="16"/>
              </w:rPr>
            </w:pPr>
            <w:r w:rsidRPr="00412620">
              <w:rPr>
                <w:rFonts w:cs="Arial"/>
                <w:sz w:val="16"/>
                <w:szCs w:val="16"/>
              </w:rPr>
              <w:t>177</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p>
        </w:tc>
        <w:tc>
          <w:tcPr>
            <w:tcW w:w="2070" w:type="dxa"/>
          </w:tcPr>
          <w:p w:rsidR="007C281C" w:rsidRPr="00412620" w:rsidRDefault="00C2727F" w:rsidP="00321D5C">
            <w:pPr>
              <w:keepNext/>
              <w:jc w:val="both"/>
              <w:rPr>
                <w:rFonts w:cs="Arial"/>
                <w:sz w:val="16"/>
                <w:szCs w:val="16"/>
              </w:rPr>
            </w:pPr>
            <w:r w:rsidRPr="00412620">
              <w:rPr>
                <w:rFonts w:cs="Arial"/>
                <w:sz w:val="16"/>
                <w:szCs w:val="16"/>
              </w:rPr>
              <w:t>(a)</w:t>
            </w:r>
            <w:r w:rsidRPr="00412620">
              <w:rPr>
                <w:rFonts w:cs="Arial"/>
                <w:sz w:val="16"/>
                <w:szCs w:val="16"/>
              </w:rPr>
              <w:tab/>
              <w:t>f</w:t>
            </w:r>
            <w:r w:rsidR="002944C6" w:rsidRPr="00412620">
              <w:rPr>
                <w:rFonts w:cs="Arial"/>
                <w:sz w:val="16"/>
                <w:szCs w:val="16"/>
              </w:rPr>
              <w:t xml:space="preserve">ails to produce the record </w:t>
            </w:r>
            <w:r w:rsidRPr="00412620">
              <w:rPr>
                <w:rFonts w:cs="Arial"/>
                <w:sz w:val="16"/>
                <w:szCs w:val="16"/>
              </w:rPr>
              <w:tab/>
            </w:r>
            <w:r w:rsidR="002944C6" w:rsidRPr="00412620">
              <w:rPr>
                <w:rFonts w:cs="Arial"/>
                <w:sz w:val="16"/>
                <w:szCs w:val="16"/>
              </w:rPr>
              <w:t xml:space="preserve">of documents on receipt </w:t>
            </w:r>
            <w:r w:rsidR="00322136" w:rsidRPr="00412620">
              <w:rPr>
                <w:rFonts w:cs="Arial"/>
                <w:sz w:val="16"/>
                <w:szCs w:val="16"/>
              </w:rPr>
              <w:tab/>
            </w:r>
            <w:r w:rsidR="002944C6" w:rsidRPr="00412620">
              <w:rPr>
                <w:rFonts w:cs="Arial"/>
                <w:sz w:val="16"/>
                <w:szCs w:val="16"/>
              </w:rPr>
              <w:t>of first notice.</w:t>
            </w:r>
          </w:p>
          <w:p w:rsidR="002944C6" w:rsidRPr="00412620" w:rsidRDefault="002944C6" w:rsidP="00321D5C">
            <w:pPr>
              <w:keepNext/>
              <w:jc w:val="both"/>
              <w:rPr>
                <w:rFonts w:cs="Arial"/>
                <w:sz w:val="16"/>
                <w:szCs w:val="16"/>
              </w:rPr>
            </w:pPr>
          </w:p>
        </w:tc>
        <w:tc>
          <w:tcPr>
            <w:tcW w:w="2789" w:type="dxa"/>
          </w:tcPr>
          <w:p w:rsidR="007C281C" w:rsidRPr="00412620" w:rsidRDefault="005F425C" w:rsidP="006402B1">
            <w:pPr>
              <w:keepNext/>
              <w:jc w:val="both"/>
              <w:rPr>
                <w:rFonts w:cs="Arial"/>
                <w:sz w:val="16"/>
                <w:szCs w:val="16"/>
              </w:rPr>
            </w:pPr>
            <w:r w:rsidRPr="00412620">
              <w:rPr>
                <w:rFonts w:cs="Arial"/>
                <w:sz w:val="16"/>
                <w:szCs w:val="16"/>
              </w:rPr>
              <w:t>Such person shall pay a penalty</w:t>
            </w:r>
            <w:r w:rsidR="00FB3F87" w:rsidRPr="00412620">
              <w:rPr>
                <w:rFonts w:cs="Arial"/>
                <w:sz w:val="16"/>
                <w:szCs w:val="16"/>
              </w:rPr>
              <w:t xml:space="preserve"> of </w:t>
            </w:r>
            <w:r w:rsidR="006402B1" w:rsidRPr="00412620">
              <w:rPr>
                <w:rStyle w:val="FootnoteReference"/>
                <w:rFonts w:cs="Arial"/>
                <w:sz w:val="16"/>
                <w:szCs w:val="16"/>
              </w:rPr>
              <w:footnoteReference w:id="1244"/>
            </w:r>
            <w:r w:rsidR="006402B1" w:rsidRPr="00412620">
              <w:rPr>
                <w:rFonts w:cs="Arial"/>
                <w:sz w:val="16"/>
                <w:szCs w:val="16"/>
              </w:rPr>
              <w:t>[twenty-five]</w:t>
            </w:r>
            <w:r w:rsidR="00FB3F87" w:rsidRPr="00412620">
              <w:rPr>
                <w:rFonts w:cs="Arial"/>
                <w:sz w:val="16"/>
                <w:szCs w:val="16"/>
              </w:rPr>
              <w:t xml:space="preserve"> thousand rupees;</w:t>
            </w:r>
          </w:p>
        </w:tc>
        <w:tc>
          <w:tcPr>
            <w:tcW w:w="1909" w:type="dxa"/>
            <w:gridSpan w:val="2"/>
          </w:tcPr>
          <w:p w:rsidR="007C281C" w:rsidRPr="00412620" w:rsidRDefault="007C281C" w:rsidP="00321D5C">
            <w:pPr>
              <w:keepNext/>
              <w:jc w:val="both"/>
              <w:rPr>
                <w:rFonts w:cs="Arial"/>
                <w:sz w:val="16"/>
                <w:szCs w:val="16"/>
              </w:rPr>
            </w:pP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p>
        </w:tc>
        <w:tc>
          <w:tcPr>
            <w:tcW w:w="2070" w:type="dxa"/>
          </w:tcPr>
          <w:p w:rsidR="007C281C" w:rsidRPr="00412620" w:rsidRDefault="00C2727F" w:rsidP="00321D5C">
            <w:pPr>
              <w:keepNext/>
              <w:jc w:val="both"/>
              <w:rPr>
                <w:rFonts w:cs="Arial"/>
                <w:sz w:val="16"/>
                <w:szCs w:val="16"/>
              </w:rPr>
            </w:pPr>
            <w:r w:rsidRPr="00412620">
              <w:rPr>
                <w:rFonts w:cs="Arial"/>
                <w:sz w:val="16"/>
                <w:szCs w:val="16"/>
              </w:rPr>
              <w:t xml:space="preserve">(b) </w:t>
            </w:r>
            <w:r w:rsidRPr="00412620">
              <w:rPr>
                <w:rFonts w:cs="Arial"/>
                <w:sz w:val="16"/>
                <w:szCs w:val="16"/>
              </w:rPr>
              <w:tab/>
              <w:t>f</w:t>
            </w:r>
            <w:r w:rsidR="002944C6" w:rsidRPr="00412620">
              <w:rPr>
                <w:rFonts w:cs="Arial"/>
                <w:sz w:val="16"/>
                <w:szCs w:val="16"/>
              </w:rPr>
              <w:t xml:space="preserve">ails to produce the record </w:t>
            </w:r>
            <w:r w:rsidRPr="00412620">
              <w:rPr>
                <w:rFonts w:cs="Arial"/>
                <w:sz w:val="16"/>
                <w:szCs w:val="16"/>
              </w:rPr>
              <w:tab/>
            </w:r>
            <w:r w:rsidR="002944C6" w:rsidRPr="00412620">
              <w:rPr>
                <w:rFonts w:cs="Arial"/>
                <w:sz w:val="16"/>
                <w:szCs w:val="16"/>
              </w:rPr>
              <w:t xml:space="preserve">or documents on receipt </w:t>
            </w:r>
            <w:r w:rsidR="00322136" w:rsidRPr="00412620">
              <w:rPr>
                <w:rFonts w:cs="Arial"/>
                <w:sz w:val="16"/>
                <w:szCs w:val="16"/>
              </w:rPr>
              <w:tab/>
            </w:r>
            <w:r w:rsidR="002944C6" w:rsidRPr="00412620">
              <w:rPr>
                <w:rFonts w:cs="Arial"/>
                <w:sz w:val="16"/>
                <w:szCs w:val="16"/>
              </w:rPr>
              <w:t>of</w:t>
            </w:r>
            <w:r w:rsidR="001A2A0D">
              <w:rPr>
                <w:rFonts w:cs="Arial"/>
                <w:sz w:val="16"/>
                <w:szCs w:val="16"/>
              </w:rPr>
              <w:t xml:space="preserve"> </w:t>
            </w:r>
            <w:r w:rsidR="005B4FF2" w:rsidRPr="00412620">
              <w:rPr>
                <w:rFonts w:cs="Arial"/>
                <w:sz w:val="16"/>
                <w:szCs w:val="16"/>
              </w:rPr>
              <w:t>second notice;</w:t>
            </w:r>
            <w:r w:rsidR="002944C6" w:rsidRPr="00412620">
              <w:rPr>
                <w:rFonts w:cs="Arial"/>
                <w:sz w:val="16"/>
                <w:szCs w:val="16"/>
              </w:rPr>
              <w:t xml:space="preserve"> and </w:t>
            </w:r>
          </w:p>
          <w:p w:rsidR="00FB074D" w:rsidRPr="00412620" w:rsidRDefault="00FB074D" w:rsidP="00321D5C">
            <w:pPr>
              <w:keepNext/>
              <w:jc w:val="both"/>
              <w:rPr>
                <w:rFonts w:cs="Arial"/>
                <w:sz w:val="16"/>
                <w:szCs w:val="16"/>
              </w:rPr>
            </w:pPr>
          </w:p>
        </w:tc>
        <w:tc>
          <w:tcPr>
            <w:tcW w:w="2789" w:type="dxa"/>
          </w:tcPr>
          <w:p w:rsidR="007C281C" w:rsidRPr="00412620" w:rsidRDefault="005F425C" w:rsidP="006402B1">
            <w:pPr>
              <w:keepNext/>
              <w:jc w:val="both"/>
              <w:rPr>
                <w:rFonts w:cs="Arial"/>
                <w:sz w:val="16"/>
                <w:szCs w:val="16"/>
              </w:rPr>
            </w:pPr>
            <w:r w:rsidRPr="00412620">
              <w:rPr>
                <w:rFonts w:cs="Arial"/>
                <w:sz w:val="16"/>
                <w:szCs w:val="16"/>
              </w:rPr>
              <w:t xml:space="preserve">such person shall pay a penalty of </w:t>
            </w:r>
            <w:r w:rsidR="006402B1" w:rsidRPr="00412620">
              <w:rPr>
                <w:rStyle w:val="FootnoteReference"/>
                <w:rFonts w:cs="Arial"/>
                <w:sz w:val="16"/>
                <w:szCs w:val="16"/>
              </w:rPr>
              <w:footnoteReference w:id="1245"/>
            </w:r>
            <w:r w:rsidR="006402B1" w:rsidRPr="00412620">
              <w:rPr>
                <w:rFonts w:cs="Arial"/>
                <w:sz w:val="16"/>
                <w:szCs w:val="16"/>
              </w:rPr>
              <w:t xml:space="preserve">[fifty] </w:t>
            </w:r>
            <w:r w:rsidRPr="00412620">
              <w:rPr>
                <w:rFonts w:cs="Arial"/>
                <w:sz w:val="16"/>
                <w:szCs w:val="16"/>
              </w:rPr>
              <w:t xml:space="preserve"> thousand rupees</w:t>
            </w:r>
            <w:r w:rsidR="005B4FF2" w:rsidRPr="00412620">
              <w:rPr>
                <w:rFonts w:cs="Arial"/>
                <w:sz w:val="16"/>
                <w:szCs w:val="16"/>
              </w:rPr>
              <w:t>;</w:t>
            </w:r>
            <w:r w:rsidRPr="00412620">
              <w:rPr>
                <w:rFonts w:cs="Arial"/>
                <w:sz w:val="16"/>
                <w:szCs w:val="16"/>
              </w:rPr>
              <w:t xml:space="preserve"> and </w:t>
            </w:r>
          </w:p>
        </w:tc>
        <w:tc>
          <w:tcPr>
            <w:tcW w:w="1909" w:type="dxa"/>
            <w:gridSpan w:val="2"/>
          </w:tcPr>
          <w:p w:rsidR="007C281C" w:rsidRPr="00412620" w:rsidRDefault="007C281C" w:rsidP="00321D5C">
            <w:pPr>
              <w:keepNext/>
              <w:jc w:val="both"/>
              <w:rPr>
                <w:rFonts w:cs="Arial"/>
                <w:sz w:val="16"/>
                <w:szCs w:val="16"/>
              </w:rPr>
            </w:pP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p>
        </w:tc>
        <w:tc>
          <w:tcPr>
            <w:tcW w:w="2070" w:type="dxa"/>
          </w:tcPr>
          <w:p w:rsidR="007C281C" w:rsidRPr="00412620" w:rsidRDefault="00C2727F" w:rsidP="00321D5C">
            <w:pPr>
              <w:keepNext/>
              <w:jc w:val="both"/>
              <w:rPr>
                <w:rFonts w:cs="Arial"/>
                <w:sz w:val="16"/>
                <w:szCs w:val="16"/>
              </w:rPr>
            </w:pPr>
            <w:r w:rsidRPr="00412620">
              <w:rPr>
                <w:rFonts w:cs="Arial"/>
                <w:sz w:val="16"/>
                <w:szCs w:val="16"/>
              </w:rPr>
              <w:t>(c)</w:t>
            </w:r>
            <w:r w:rsidRPr="00412620">
              <w:rPr>
                <w:rFonts w:cs="Arial"/>
                <w:sz w:val="16"/>
                <w:szCs w:val="16"/>
              </w:rPr>
              <w:tab/>
            </w:r>
            <w:r w:rsidR="00FB074D" w:rsidRPr="00412620">
              <w:rPr>
                <w:rFonts w:cs="Arial"/>
                <w:sz w:val="16"/>
                <w:szCs w:val="16"/>
              </w:rPr>
              <w:t xml:space="preserve">Fails to produce the </w:t>
            </w:r>
            <w:r w:rsidR="00322136" w:rsidRPr="00412620">
              <w:rPr>
                <w:rFonts w:cs="Arial"/>
                <w:sz w:val="16"/>
                <w:szCs w:val="16"/>
              </w:rPr>
              <w:tab/>
            </w:r>
            <w:r w:rsidR="00FB074D" w:rsidRPr="00412620">
              <w:rPr>
                <w:rFonts w:cs="Arial"/>
                <w:sz w:val="16"/>
                <w:szCs w:val="16"/>
              </w:rPr>
              <w:t xml:space="preserve">record </w:t>
            </w:r>
            <w:r w:rsidRPr="00412620">
              <w:rPr>
                <w:rFonts w:cs="Arial"/>
                <w:sz w:val="16"/>
                <w:szCs w:val="16"/>
              </w:rPr>
              <w:tab/>
            </w:r>
            <w:r w:rsidR="00FB074D" w:rsidRPr="00412620">
              <w:rPr>
                <w:rFonts w:cs="Arial"/>
                <w:sz w:val="16"/>
                <w:szCs w:val="16"/>
              </w:rPr>
              <w:t xml:space="preserve">or documents on </w:t>
            </w:r>
            <w:r w:rsidR="00322136" w:rsidRPr="00412620">
              <w:rPr>
                <w:rFonts w:cs="Arial"/>
                <w:sz w:val="16"/>
                <w:szCs w:val="16"/>
              </w:rPr>
              <w:tab/>
            </w:r>
            <w:r w:rsidR="00FB074D" w:rsidRPr="00412620">
              <w:rPr>
                <w:rFonts w:cs="Arial"/>
                <w:sz w:val="16"/>
                <w:szCs w:val="16"/>
              </w:rPr>
              <w:t>receipt of third notice.</w:t>
            </w:r>
          </w:p>
          <w:p w:rsidR="00FB074D" w:rsidRPr="00412620" w:rsidRDefault="00FB074D" w:rsidP="00321D5C">
            <w:pPr>
              <w:keepNext/>
              <w:jc w:val="both"/>
              <w:rPr>
                <w:rFonts w:cs="Arial"/>
                <w:sz w:val="16"/>
                <w:szCs w:val="16"/>
              </w:rPr>
            </w:pPr>
          </w:p>
        </w:tc>
        <w:tc>
          <w:tcPr>
            <w:tcW w:w="2789" w:type="dxa"/>
          </w:tcPr>
          <w:p w:rsidR="007C281C" w:rsidRPr="00412620" w:rsidRDefault="005F425C" w:rsidP="006402B1">
            <w:pPr>
              <w:keepNext/>
              <w:jc w:val="both"/>
              <w:rPr>
                <w:rFonts w:cs="Arial"/>
                <w:sz w:val="16"/>
                <w:szCs w:val="16"/>
              </w:rPr>
            </w:pPr>
            <w:r w:rsidRPr="00412620">
              <w:rPr>
                <w:rFonts w:cs="Arial"/>
                <w:sz w:val="16"/>
                <w:szCs w:val="16"/>
              </w:rPr>
              <w:t xml:space="preserve">such person shall pay a penalty of </w:t>
            </w:r>
            <w:r w:rsidR="006402B1" w:rsidRPr="00412620">
              <w:rPr>
                <w:rStyle w:val="FootnoteReference"/>
                <w:rFonts w:cs="Arial"/>
                <w:sz w:val="16"/>
                <w:szCs w:val="16"/>
              </w:rPr>
              <w:footnoteReference w:id="1246"/>
            </w:r>
            <w:r w:rsidR="006402B1" w:rsidRPr="00412620">
              <w:rPr>
                <w:rFonts w:cs="Arial"/>
                <w:sz w:val="16"/>
                <w:szCs w:val="16"/>
              </w:rPr>
              <w:t xml:space="preserve">[one hundred] </w:t>
            </w:r>
            <w:r w:rsidRPr="00412620">
              <w:rPr>
                <w:rFonts w:cs="Arial"/>
                <w:sz w:val="16"/>
                <w:szCs w:val="16"/>
              </w:rPr>
              <w:t xml:space="preserve"> thousand rupees.</w:t>
            </w:r>
          </w:p>
        </w:tc>
        <w:tc>
          <w:tcPr>
            <w:tcW w:w="1909" w:type="dxa"/>
            <w:gridSpan w:val="2"/>
          </w:tcPr>
          <w:p w:rsidR="007C281C" w:rsidRPr="00412620" w:rsidRDefault="007C281C" w:rsidP="00321D5C">
            <w:pPr>
              <w:keepNext/>
              <w:jc w:val="both"/>
              <w:rPr>
                <w:rFonts w:cs="Arial"/>
                <w:sz w:val="16"/>
                <w:szCs w:val="16"/>
              </w:rPr>
            </w:pP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r w:rsidRPr="00412620">
              <w:rPr>
                <w:rFonts w:cs="Arial"/>
                <w:sz w:val="16"/>
                <w:szCs w:val="16"/>
              </w:rPr>
              <w:t>9.</w:t>
            </w:r>
          </w:p>
        </w:tc>
        <w:tc>
          <w:tcPr>
            <w:tcW w:w="2070" w:type="dxa"/>
          </w:tcPr>
          <w:p w:rsidR="007C281C" w:rsidRPr="00412620" w:rsidRDefault="00FB074D" w:rsidP="00321D5C">
            <w:pPr>
              <w:keepNext/>
              <w:jc w:val="both"/>
              <w:rPr>
                <w:rFonts w:cs="Arial"/>
                <w:sz w:val="16"/>
                <w:szCs w:val="16"/>
              </w:rPr>
            </w:pPr>
            <w:r w:rsidRPr="00412620">
              <w:rPr>
                <w:rFonts w:cs="Arial"/>
                <w:sz w:val="16"/>
                <w:szCs w:val="16"/>
              </w:rPr>
              <w:t>Any person who fails to furnish the information required or to comply with any other term of the notice served under section 176.</w:t>
            </w:r>
          </w:p>
          <w:p w:rsidR="00FB074D" w:rsidRPr="00412620" w:rsidRDefault="00FB074D" w:rsidP="00321D5C">
            <w:pPr>
              <w:keepNext/>
              <w:jc w:val="both"/>
              <w:rPr>
                <w:rFonts w:cs="Arial"/>
                <w:sz w:val="16"/>
                <w:szCs w:val="16"/>
              </w:rPr>
            </w:pPr>
          </w:p>
        </w:tc>
        <w:tc>
          <w:tcPr>
            <w:tcW w:w="2789" w:type="dxa"/>
          </w:tcPr>
          <w:p w:rsidR="007C281C" w:rsidRPr="00412620" w:rsidRDefault="008A4133" w:rsidP="00321D5C">
            <w:pPr>
              <w:keepNext/>
              <w:jc w:val="both"/>
              <w:rPr>
                <w:rFonts w:cs="Arial"/>
                <w:sz w:val="16"/>
                <w:szCs w:val="16"/>
              </w:rPr>
            </w:pPr>
            <w:r w:rsidRPr="00412620">
              <w:rPr>
                <w:rFonts w:cs="Arial"/>
                <w:sz w:val="16"/>
                <w:szCs w:val="16"/>
              </w:rPr>
              <w:t xml:space="preserve">Such person shall pay a penalty of </w:t>
            </w:r>
            <w:r w:rsidR="00D80D91" w:rsidRPr="00412620">
              <w:rPr>
                <w:rStyle w:val="FootnoteReference"/>
                <w:rFonts w:cs="Arial"/>
                <w:sz w:val="16"/>
                <w:szCs w:val="16"/>
              </w:rPr>
              <w:footnoteReference w:id="1247"/>
            </w:r>
            <w:r w:rsidR="00D80D91" w:rsidRPr="00412620">
              <w:rPr>
                <w:rFonts w:cs="Arial"/>
                <w:sz w:val="16"/>
                <w:szCs w:val="16"/>
              </w:rPr>
              <w:t xml:space="preserve">[twenty-five] </w:t>
            </w:r>
            <w:r w:rsidRPr="00412620">
              <w:rPr>
                <w:rFonts w:cs="Arial"/>
                <w:sz w:val="16"/>
                <w:szCs w:val="16"/>
              </w:rPr>
              <w:t xml:space="preserve">thousand rupees for the first default and </w:t>
            </w:r>
            <w:r w:rsidR="007179C3" w:rsidRPr="00412620">
              <w:rPr>
                <w:rStyle w:val="FootnoteReference"/>
                <w:rFonts w:cs="Arial"/>
                <w:sz w:val="16"/>
                <w:szCs w:val="16"/>
              </w:rPr>
              <w:footnoteReference w:id="1248"/>
            </w:r>
            <w:r w:rsidR="007179C3" w:rsidRPr="00412620">
              <w:rPr>
                <w:rFonts w:cs="Arial"/>
                <w:sz w:val="16"/>
                <w:szCs w:val="16"/>
              </w:rPr>
              <w:t xml:space="preserve">[fifty] </w:t>
            </w:r>
            <w:r w:rsidRPr="00412620">
              <w:rPr>
                <w:rFonts w:cs="Arial"/>
                <w:sz w:val="16"/>
                <w:szCs w:val="16"/>
              </w:rPr>
              <w:t>thousand rupees for each subsequent default.</w:t>
            </w:r>
          </w:p>
          <w:p w:rsidR="008A4133" w:rsidRPr="00412620" w:rsidRDefault="008A4133" w:rsidP="00321D5C">
            <w:pPr>
              <w:keepNext/>
              <w:jc w:val="both"/>
              <w:rPr>
                <w:rFonts w:cs="Arial"/>
                <w:sz w:val="16"/>
                <w:szCs w:val="16"/>
              </w:rPr>
            </w:pPr>
          </w:p>
        </w:tc>
        <w:tc>
          <w:tcPr>
            <w:tcW w:w="1909" w:type="dxa"/>
            <w:gridSpan w:val="2"/>
          </w:tcPr>
          <w:p w:rsidR="007C281C" w:rsidRPr="00412620" w:rsidRDefault="00085569" w:rsidP="00321D5C">
            <w:pPr>
              <w:keepNext/>
              <w:jc w:val="both"/>
              <w:rPr>
                <w:rFonts w:cs="Arial"/>
                <w:sz w:val="16"/>
                <w:szCs w:val="16"/>
              </w:rPr>
            </w:pPr>
            <w:r w:rsidRPr="00412620">
              <w:rPr>
                <w:rFonts w:cs="Arial"/>
                <w:sz w:val="16"/>
                <w:szCs w:val="16"/>
              </w:rPr>
              <w:t>176</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r w:rsidRPr="00412620">
              <w:rPr>
                <w:rFonts w:cs="Arial"/>
                <w:sz w:val="16"/>
                <w:szCs w:val="16"/>
              </w:rPr>
              <w:t>10.</w:t>
            </w:r>
          </w:p>
        </w:tc>
        <w:tc>
          <w:tcPr>
            <w:tcW w:w="2070" w:type="dxa"/>
          </w:tcPr>
          <w:p w:rsidR="007C281C" w:rsidRPr="00412620" w:rsidRDefault="001D429B" w:rsidP="00321D5C">
            <w:pPr>
              <w:keepNext/>
              <w:jc w:val="both"/>
              <w:rPr>
                <w:rFonts w:cs="Arial"/>
                <w:sz w:val="16"/>
                <w:szCs w:val="16"/>
              </w:rPr>
            </w:pPr>
            <w:r w:rsidRPr="00412620">
              <w:rPr>
                <w:rFonts w:cs="Arial"/>
                <w:sz w:val="16"/>
                <w:szCs w:val="16"/>
              </w:rPr>
              <w:t>Any person who—</w:t>
            </w:r>
          </w:p>
          <w:p w:rsidR="00FB074D" w:rsidRPr="00412620" w:rsidRDefault="00FB074D" w:rsidP="00321D5C">
            <w:pPr>
              <w:keepNext/>
              <w:jc w:val="both"/>
              <w:rPr>
                <w:rFonts w:cs="Arial"/>
                <w:sz w:val="16"/>
                <w:szCs w:val="16"/>
              </w:rPr>
            </w:pPr>
          </w:p>
        </w:tc>
        <w:tc>
          <w:tcPr>
            <w:tcW w:w="2789" w:type="dxa"/>
          </w:tcPr>
          <w:p w:rsidR="007C281C" w:rsidRPr="00412620" w:rsidRDefault="007C281C" w:rsidP="00321D5C">
            <w:pPr>
              <w:keepNext/>
              <w:jc w:val="both"/>
              <w:rPr>
                <w:rFonts w:cs="Arial"/>
                <w:sz w:val="16"/>
                <w:szCs w:val="16"/>
              </w:rPr>
            </w:pPr>
          </w:p>
        </w:tc>
        <w:tc>
          <w:tcPr>
            <w:tcW w:w="1909" w:type="dxa"/>
            <w:gridSpan w:val="2"/>
          </w:tcPr>
          <w:p w:rsidR="007C281C" w:rsidRPr="00412620" w:rsidRDefault="007C281C" w:rsidP="00321D5C">
            <w:pPr>
              <w:keepNext/>
              <w:jc w:val="both"/>
              <w:rPr>
                <w:rFonts w:cs="Arial"/>
                <w:sz w:val="16"/>
                <w:szCs w:val="16"/>
              </w:rPr>
            </w:pP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p>
        </w:tc>
        <w:tc>
          <w:tcPr>
            <w:tcW w:w="2070" w:type="dxa"/>
          </w:tcPr>
          <w:p w:rsidR="007C281C" w:rsidRPr="00412620" w:rsidRDefault="008F1276" w:rsidP="001A2A0D">
            <w:pPr>
              <w:pStyle w:val="ListParagraph"/>
              <w:keepNext/>
              <w:numPr>
                <w:ilvl w:val="0"/>
                <w:numId w:val="54"/>
              </w:numPr>
              <w:ind w:left="342" w:hanging="342"/>
              <w:jc w:val="both"/>
              <w:rPr>
                <w:rFonts w:cs="Arial"/>
                <w:sz w:val="16"/>
                <w:szCs w:val="16"/>
              </w:rPr>
            </w:pPr>
            <w:r w:rsidRPr="00BC2BD1">
              <w:rPr>
                <w:rFonts w:cs="Arial"/>
                <w:sz w:val="16"/>
                <w:szCs w:val="16"/>
              </w:rPr>
              <w:t>m</w:t>
            </w:r>
            <w:r w:rsidR="00FB074D" w:rsidRPr="00BC2BD1">
              <w:rPr>
                <w:rFonts w:cs="Arial"/>
                <w:sz w:val="16"/>
                <w:szCs w:val="16"/>
              </w:rPr>
              <w:t>akes</w:t>
            </w:r>
            <w:r w:rsidR="008A4133" w:rsidRPr="00BC2BD1">
              <w:rPr>
                <w:rFonts w:cs="Arial"/>
                <w:sz w:val="16"/>
                <w:szCs w:val="16"/>
              </w:rPr>
              <w:t xml:space="preserve"> a fa</w:t>
            </w:r>
            <w:r w:rsidR="00FB074D" w:rsidRPr="00BC2BD1">
              <w:rPr>
                <w:rFonts w:cs="Arial"/>
                <w:sz w:val="16"/>
                <w:szCs w:val="16"/>
              </w:rPr>
              <w:t>lse or misleading statement to</w:t>
            </w:r>
            <w:r w:rsidR="001A2A0D">
              <w:rPr>
                <w:rFonts w:cs="Arial"/>
                <w:sz w:val="16"/>
                <w:szCs w:val="16"/>
              </w:rPr>
              <w:t xml:space="preserve"> </w:t>
            </w:r>
            <w:r w:rsidR="00FB074D" w:rsidRPr="00BC2BD1">
              <w:rPr>
                <w:rFonts w:cs="Arial"/>
                <w:sz w:val="16"/>
                <w:szCs w:val="16"/>
              </w:rPr>
              <w:t>an</w:t>
            </w:r>
            <w:r w:rsidR="000C2374" w:rsidRPr="00BC2BD1">
              <w:rPr>
                <w:rFonts w:cs="Arial"/>
                <w:sz w:val="16"/>
                <w:szCs w:val="16"/>
              </w:rPr>
              <w:t xml:space="preserve"> I</w:t>
            </w:r>
            <w:r w:rsidR="00FB074D" w:rsidRPr="00BC2BD1">
              <w:rPr>
                <w:rFonts w:cs="Arial"/>
                <w:sz w:val="16"/>
                <w:szCs w:val="16"/>
              </w:rPr>
              <w:t>nland Revenue</w:t>
            </w:r>
            <w:r w:rsidR="001A2A0D">
              <w:rPr>
                <w:rFonts w:cs="Arial"/>
                <w:sz w:val="16"/>
                <w:szCs w:val="16"/>
              </w:rPr>
              <w:t xml:space="preserve"> </w:t>
            </w:r>
            <w:r w:rsidR="00FB074D" w:rsidRPr="00BC2BD1">
              <w:rPr>
                <w:rFonts w:cs="Arial"/>
                <w:sz w:val="16"/>
                <w:szCs w:val="16"/>
              </w:rPr>
              <w:t>Authority either in writing or orally</w:t>
            </w:r>
            <w:r w:rsidR="00315851">
              <w:rPr>
                <w:rFonts w:cs="Arial"/>
                <w:sz w:val="16"/>
                <w:szCs w:val="16"/>
              </w:rPr>
              <w:t xml:space="preserve"> or electronically including a statement in an </w:t>
            </w:r>
            <w:r w:rsidR="00FB074D" w:rsidRPr="00BC2BD1">
              <w:rPr>
                <w:rFonts w:cs="Arial"/>
                <w:sz w:val="16"/>
                <w:szCs w:val="16"/>
              </w:rPr>
              <w:t>application, certificate, declaration, notification, return, objection or other document including books</w:t>
            </w:r>
            <w:r w:rsidR="001A2A0D">
              <w:rPr>
                <w:rFonts w:cs="Arial"/>
                <w:sz w:val="16"/>
                <w:szCs w:val="16"/>
              </w:rPr>
              <w:t xml:space="preserve"> </w:t>
            </w:r>
            <w:r w:rsidR="00FB074D" w:rsidRPr="00BC2BD1">
              <w:rPr>
                <w:rFonts w:cs="Arial"/>
                <w:sz w:val="16"/>
                <w:szCs w:val="16"/>
              </w:rPr>
              <w:t>of accounts made, prepared, given, filed or</w:t>
            </w:r>
            <w:r w:rsidR="001A2A0D">
              <w:rPr>
                <w:rFonts w:cs="Arial"/>
                <w:sz w:val="16"/>
                <w:szCs w:val="16"/>
              </w:rPr>
              <w:t xml:space="preserve"> </w:t>
            </w:r>
            <w:r w:rsidR="00FB074D" w:rsidRPr="00BC2BD1">
              <w:rPr>
                <w:rFonts w:cs="Arial"/>
                <w:sz w:val="16"/>
                <w:szCs w:val="16"/>
              </w:rPr>
              <w:t>furnished under this</w:t>
            </w:r>
            <w:r w:rsidR="001A2A0D">
              <w:rPr>
                <w:rFonts w:cs="Arial"/>
                <w:sz w:val="16"/>
                <w:szCs w:val="16"/>
              </w:rPr>
              <w:t xml:space="preserve"> </w:t>
            </w:r>
            <w:r w:rsidR="00BD50E7" w:rsidRPr="00BC2BD1">
              <w:rPr>
                <w:rFonts w:cs="Arial"/>
                <w:sz w:val="16"/>
                <w:szCs w:val="16"/>
              </w:rPr>
              <w:t>Ordinance;</w:t>
            </w:r>
          </w:p>
        </w:tc>
        <w:tc>
          <w:tcPr>
            <w:tcW w:w="2789" w:type="dxa"/>
          </w:tcPr>
          <w:p w:rsidR="007C281C" w:rsidRPr="00412620" w:rsidRDefault="00B1255D" w:rsidP="00321D5C">
            <w:pPr>
              <w:keepNext/>
              <w:jc w:val="both"/>
              <w:rPr>
                <w:rFonts w:cs="Arial"/>
                <w:sz w:val="16"/>
                <w:szCs w:val="16"/>
              </w:rPr>
            </w:pPr>
            <w:r w:rsidRPr="00412620">
              <w:rPr>
                <w:rFonts w:cs="Arial"/>
                <w:sz w:val="16"/>
                <w:szCs w:val="16"/>
              </w:rPr>
              <w:t>Such person shall pay a penalty of twenty five thousand rupees o</w:t>
            </w:r>
            <w:r w:rsidR="003C28B3" w:rsidRPr="00412620">
              <w:rPr>
                <w:rFonts w:cs="Arial"/>
                <w:sz w:val="16"/>
                <w:szCs w:val="16"/>
              </w:rPr>
              <w:t>r</w:t>
            </w:r>
            <w:r w:rsidRPr="00412620">
              <w:rPr>
                <w:rFonts w:cs="Arial"/>
                <w:sz w:val="16"/>
                <w:szCs w:val="16"/>
              </w:rPr>
              <w:t>100% of the amount of tax shortfall whichever is higher:</w:t>
            </w:r>
          </w:p>
          <w:p w:rsidR="00B1255D" w:rsidRPr="00412620" w:rsidRDefault="00B1255D" w:rsidP="00321D5C">
            <w:pPr>
              <w:keepNext/>
              <w:jc w:val="both"/>
              <w:rPr>
                <w:rFonts w:cs="Arial"/>
                <w:sz w:val="16"/>
                <w:szCs w:val="16"/>
              </w:rPr>
            </w:pPr>
          </w:p>
          <w:p w:rsidR="00B1255D" w:rsidRPr="00412620" w:rsidRDefault="00B1255D" w:rsidP="00321D5C">
            <w:pPr>
              <w:keepNext/>
              <w:jc w:val="both"/>
              <w:rPr>
                <w:rFonts w:cs="Arial"/>
                <w:sz w:val="16"/>
                <w:szCs w:val="16"/>
              </w:rPr>
            </w:pPr>
            <w:r w:rsidRPr="00412620">
              <w:rPr>
                <w:rFonts w:cs="Arial"/>
                <w:sz w:val="16"/>
                <w:szCs w:val="16"/>
              </w:rPr>
              <w:t xml:space="preserve">Provided that in case of an assessment order deemed under section 120, no penalty shall be imposed to </w:t>
            </w:r>
            <w:r w:rsidR="00BD50E7" w:rsidRPr="00412620">
              <w:rPr>
                <w:rFonts w:cs="Arial"/>
                <w:sz w:val="16"/>
                <w:szCs w:val="16"/>
              </w:rPr>
              <w:t>th</w:t>
            </w:r>
            <w:r w:rsidRPr="00412620">
              <w:rPr>
                <w:rFonts w:cs="Arial"/>
                <w:sz w:val="16"/>
                <w:szCs w:val="16"/>
              </w:rPr>
              <w:t>e extent of the tax shortfall occurring as a result of the taxpayer taking a reasonably arguable position on the application of this Ordinance to the taxpayers’ position.</w:t>
            </w:r>
          </w:p>
          <w:p w:rsidR="00B1255D" w:rsidRPr="00412620" w:rsidRDefault="00B1255D" w:rsidP="00321D5C">
            <w:pPr>
              <w:keepNext/>
              <w:jc w:val="both"/>
              <w:rPr>
                <w:rFonts w:cs="Arial"/>
                <w:sz w:val="16"/>
                <w:szCs w:val="16"/>
              </w:rPr>
            </w:pPr>
          </w:p>
        </w:tc>
        <w:tc>
          <w:tcPr>
            <w:tcW w:w="1909" w:type="dxa"/>
            <w:gridSpan w:val="2"/>
          </w:tcPr>
          <w:p w:rsidR="007C281C" w:rsidRPr="00412620" w:rsidRDefault="00085569" w:rsidP="00321D5C">
            <w:pPr>
              <w:keepNext/>
              <w:jc w:val="both"/>
              <w:rPr>
                <w:rFonts w:cs="Arial"/>
                <w:sz w:val="16"/>
                <w:szCs w:val="16"/>
              </w:rPr>
            </w:pPr>
            <w:r w:rsidRPr="00412620">
              <w:rPr>
                <w:rFonts w:cs="Arial"/>
                <w:sz w:val="16"/>
                <w:szCs w:val="16"/>
              </w:rPr>
              <w:t>114, 115, 116, 174, 176, 177 and general</w:t>
            </w: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p>
        </w:tc>
        <w:tc>
          <w:tcPr>
            <w:tcW w:w="2070" w:type="dxa"/>
          </w:tcPr>
          <w:p w:rsidR="007C281C" w:rsidRPr="00412620" w:rsidRDefault="00BD50E7" w:rsidP="001A2A0D">
            <w:pPr>
              <w:keepNext/>
              <w:ind w:left="342" w:hanging="360"/>
              <w:jc w:val="both"/>
              <w:rPr>
                <w:rFonts w:cs="Arial"/>
                <w:sz w:val="16"/>
                <w:szCs w:val="16"/>
              </w:rPr>
            </w:pPr>
            <w:r w:rsidRPr="00412620">
              <w:rPr>
                <w:rFonts w:cs="Arial"/>
                <w:sz w:val="16"/>
                <w:szCs w:val="16"/>
              </w:rPr>
              <w:t>(b)</w:t>
            </w:r>
            <w:r w:rsidR="00561847" w:rsidRPr="00412620">
              <w:rPr>
                <w:rFonts w:cs="Arial"/>
                <w:sz w:val="16"/>
                <w:szCs w:val="16"/>
              </w:rPr>
              <w:t>f</w:t>
            </w:r>
            <w:r w:rsidR="005318B4" w:rsidRPr="00412620">
              <w:rPr>
                <w:rFonts w:cs="Arial"/>
                <w:sz w:val="16"/>
                <w:szCs w:val="16"/>
              </w:rPr>
              <w:t>urnishes or files a false or mis-leading information or document or statement to an Income Tax Authority</w:t>
            </w:r>
            <w:r w:rsidR="001A2A0D">
              <w:rPr>
                <w:rFonts w:cs="Arial"/>
                <w:sz w:val="16"/>
                <w:szCs w:val="16"/>
              </w:rPr>
              <w:t xml:space="preserve"> </w:t>
            </w:r>
            <w:r w:rsidR="005318B4" w:rsidRPr="00412620">
              <w:rPr>
                <w:rFonts w:cs="Arial"/>
                <w:sz w:val="16"/>
                <w:szCs w:val="16"/>
              </w:rPr>
              <w:t>either in writing or orally</w:t>
            </w:r>
            <w:r w:rsidR="001A2A0D">
              <w:rPr>
                <w:rFonts w:cs="Arial"/>
                <w:sz w:val="16"/>
                <w:szCs w:val="16"/>
              </w:rPr>
              <w:t xml:space="preserve"> </w:t>
            </w:r>
            <w:r w:rsidR="005318B4" w:rsidRPr="00412620">
              <w:rPr>
                <w:rFonts w:cs="Arial"/>
                <w:sz w:val="16"/>
                <w:szCs w:val="16"/>
              </w:rPr>
              <w:t>or</w:t>
            </w:r>
            <w:r w:rsidR="00013366" w:rsidRPr="00412620">
              <w:rPr>
                <w:rFonts w:cs="Arial"/>
                <w:sz w:val="16"/>
                <w:szCs w:val="16"/>
              </w:rPr>
              <w:t xml:space="preserve"> e</w:t>
            </w:r>
            <w:r w:rsidRPr="00412620">
              <w:rPr>
                <w:rFonts w:cs="Arial"/>
                <w:sz w:val="16"/>
                <w:szCs w:val="16"/>
              </w:rPr>
              <w:t>lectronically;</w:t>
            </w:r>
          </w:p>
        </w:tc>
        <w:tc>
          <w:tcPr>
            <w:tcW w:w="2789" w:type="dxa"/>
          </w:tcPr>
          <w:p w:rsidR="007C281C" w:rsidRPr="00412620" w:rsidRDefault="007C281C" w:rsidP="00321D5C">
            <w:pPr>
              <w:keepNext/>
              <w:jc w:val="both"/>
              <w:rPr>
                <w:rFonts w:cs="Arial"/>
                <w:sz w:val="16"/>
                <w:szCs w:val="16"/>
              </w:rPr>
            </w:pPr>
          </w:p>
        </w:tc>
        <w:tc>
          <w:tcPr>
            <w:tcW w:w="1909" w:type="dxa"/>
            <w:gridSpan w:val="2"/>
          </w:tcPr>
          <w:p w:rsidR="007C281C" w:rsidRPr="00412620" w:rsidRDefault="007C281C" w:rsidP="00321D5C">
            <w:pPr>
              <w:keepNext/>
              <w:jc w:val="both"/>
              <w:rPr>
                <w:rFonts w:cs="Arial"/>
                <w:sz w:val="16"/>
                <w:szCs w:val="16"/>
              </w:rPr>
            </w:pPr>
          </w:p>
        </w:tc>
      </w:tr>
      <w:tr w:rsidR="007C281C" w:rsidRPr="00412620" w:rsidTr="004832ED">
        <w:tblPrEx>
          <w:tblLook w:val="01E0"/>
        </w:tblPrEx>
        <w:tc>
          <w:tcPr>
            <w:tcW w:w="648" w:type="dxa"/>
          </w:tcPr>
          <w:p w:rsidR="007C281C" w:rsidRPr="00412620" w:rsidRDefault="007C281C" w:rsidP="00321D5C">
            <w:pPr>
              <w:keepNext/>
              <w:jc w:val="center"/>
              <w:rPr>
                <w:rFonts w:cs="Arial"/>
                <w:sz w:val="16"/>
                <w:szCs w:val="16"/>
              </w:rPr>
            </w:pPr>
          </w:p>
        </w:tc>
        <w:tc>
          <w:tcPr>
            <w:tcW w:w="2070" w:type="dxa"/>
          </w:tcPr>
          <w:p w:rsidR="007C281C" w:rsidRPr="00412620" w:rsidRDefault="00315851" w:rsidP="001A2A0D">
            <w:pPr>
              <w:keepNext/>
              <w:ind w:left="342" w:hanging="342"/>
              <w:jc w:val="both"/>
              <w:rPr>
                <w:rFonts w:cs="Arial"/>
                <w:sz w:val="16"/>
                <w:szCs w:val="16"/>
              </w:rPr>
            </w:pPr>
            <w:r>
              <w:rPr>
                <w:rFonts w:cs="Arial"/>
                <w:sz w:val="16"/>
                <w:szCs w:val="16"/>
              </w:rPr>
              <w:t xml:space="preserve">(c) </w:t>
            </w:r>
            <w:r w:rsidR="00063411" w:rsidRPr="00412620">
              <w:rPr>
                <w:rFonts w:cs="Arial"/>
                <w:sz w:val="16"/>
                <w:szCs w:val="16"/>
              </w:rPr>
              <w:t>o</w:t>
            </w:r>
            <w:r w:rsidR="005318B4" w:rsidRPr="00412620">
              <w:rPr>
                <w:rFonts w:cs="Arial"/>
                <w:sz w:val="16"/>
                <w:szCs w:val="16"/>
              </w:rPr>
              <w:t xml:space="preserve">mits from a statement made or information furnished to an Income Tax Authority any matter or </w:t>
            </w:r>
            <w:r w:rsidR="00BD50E7" w:rsidRPr="00412620">
              <w:rPr>
                <w:rFonts w:cs="Arial"/>
                <w:sz w:val="16"/>
                <w:szCs w:val="16"/>
              </w:rPr>
              <w:tab/>
            </w:r>
            <w:r w:rsidR="005318B4" w:rsidRPr="00412620">
              <w:rPr>
                <w:rFonts w:cs="Arial"/>
                <w:sz w:val="16"/>
                <w:szCs w:val="16"/>
              </w:rPr>
              <w:t>thing without which the statement</w:t>
            </w:r>
            <w:r w:rsidR="001A2A0D">
              <w:rPr>
                <w:rFonts w:cs="Arial"/>
                <w:sz w:val="16"/>
                <w:szCs w:val="16"/>
              </w:rPr>
              <w:t xml:space="preserve"> </w:t>
            </w:r>
            <w:r w:rsidR="005318B4" w:rsidRPr="00412620">
              <w:rPr>
                <w:rFonts w:cs="Arial"/>
                <w:sz w:val="16"/>
                <w:szCs w:val="16"/>
              </w:rPr>
              <w:t>or the information is false or misleading in a material</w:t>
            </w:r>
            <w:r w:rsidR="001A2A0D">
              <w:rPr>
                <w:rFonts w:cs="Arial"/>
                <w:sz w:val="16"/>
                <w:szCs w:val="16"/>
              </w:rPr>
              <w:t xml:space="preserve"> </w:t>
            </w:r>
            <w:r w:rsidR="005318B4" w:rsidRPr="00412620">
              <w:rPr>
                <w:rFonts w:cs="Arial"/>
                <w:sz w:val="16"/>
                <w:szCs w:val="16"/>
              </w:rPr>
              <w:t>particular.</w:t>
            </w:r>
          </w:p>
          <w:p w:rsidR="002A314E" w:rsidRPr="00412620" w:rsidRDefault="002A314E" w:rsidP="00321D5C">
            <w:pPr>
              <w:keepNext/>
              <w:jc w:val="both"/>
              <w:rPr>
                <w:rFonts w:cs="Arial"/>
                <w:sz w:val="16"/>
                <w:szCs w:val="16"/>
              </w:rPr>
            </w:pPr>
          </w:p>
        </w:tc>
        <w:tc>
          <w:tcPr>
            <w:tcW w:w="2789" w:type="dxa"/>
          </w:tcPr>
          <w:p w:rsidR="007C281C" w:rsidRPr="00412620" w:rsidRDefault="007C281C" w:rsidP="00321D5C">
            <w:pPr>
              <w:keepNext/>
              <w:jc w:val="both"/>
              <w:rPr>
                <w:rFonts w:cs="Arial"/>
                <w:sz w:val="16"/>
                <w:szCs w:val="16"/>
              </w:rPr>
            </w:pPr>
          </w:p>
        </w:tc>
        <w:tc>
          <w:tcPr>
            <w:tcW w:w="1909" w:type="dxa"/>
            <w:gridSpan w:val="2"/>
          </w:tcPr>
          <w:p w:rsidR="007C281C" w:rsidRPr="00412620" w:rsidRDefault="007C281C" w:rsidP="00321D5C">
            <w:pPr>
              <w:keepNext/>
              <w:jc w:val="both"/>
              <w:rPr>
                <w:rFonts w:cs="Arial"/>
                <w:sz w:val="16"/>
                <w:szCs w:val="16"/>
              </w:rPr>
            </w:pPr>
          </w:p>
        </w:tc>
      </w:tr>
      <w:tr w:rsidR="007C281C" w:rsidRPr="00412620" w:rsidTr="004832ED">
        <w:tblPrEx>
          <w:tblLook w:val="01E0"/>
        </w:tblPrEx>
        <w:tc>
          <w:tcPr>
            <w:tcW w:w="648" w:type="dxa"/>
          </w:tcPr>
          <w:p w:rsidR="007C281C" w:rsidRPr="00412620" w:rsidRDefault="001A73D6" w:rsidP="00321D5C">
            <w:pPr>
              <w:keepNext/>
              <w:jc w:val="center"/>
              <w:rPr>
                <w:rFonts w:cs="Arial"/>
                <w:sz w:val="16"/>
                <w:szCs w:val="16"/>
              </w:rPr>
            </w:pPr>
            <w:r w:rsidRPr="00412620">
              <w:rPr>
                <w:rFonts w:cs="Arial"/>
                <w:sz w:val="16"/>
                <w:szCs w:val="16"/>
              </w:rPr>
              <w:t>11.</w:t>
            </w:r>
          </w:p>
        </w:tc>
        <w:tc>
          <w:tcPr>
            <w:tcW w:w="2070" w:type="dxa"/>
          </w:tcPr>
          <w:p w:rsidR="007C281C" w:rsidRPr="00412620" w:rsidRDefault="002A314E" w:rsidP="00321D5C">
            <w:pPr>
              <w:keepNext/>
              <w:jc w:val="both"/>
              <w:rPr>
                <w:rFonts w:cs="Arial"/>
                <w:sz w:val="16"/>
                <w:szCs w:val="16"/>
              </w:rPr>
            </w:pPr>
            <w:r w:rsidRPr="00412620">
              <w:rPr>
                <w:rFonts w:cs="Arial"/>
                <w:sz w:val="16"/>
                <w:szCs w:val="16"/>
              </w:rPr>
              <w:t xml:space="preserve">Any person who denies or obstructs the access of the Commissioner or any officer authorized by the Commissioner to the premises, place, accounts, documents, </w:t>
            </w:r>
            <w:r w:rsidR="00A63232" w:rsidRPr="00412620">
              <w:rPr>
                <w:rFonts w:cs="Arial"/>
                <w:sz w:val="16"/>
                <w:szCs w:val="16"/>
              </w:rPr>
              <w:t xml:space="preserve"> c</w:t>
            </w:r>
            <w:r w:rsidRPr="00412620">
              <w:rPr>
                <w:rFonts w:cs="Arial"/>
                <w:sz w:val="16"/>
                <w:szCs w:val="16"/>
              </w:rPr>
              <w:t>omputers or stocks.</w:t>
            </w:r>
          </w:p>
          <w:p w:rsidR="002A314E" w:rsidRPr="00412620" w:rsidRDefault="002A314E" w:rsidP="00321D5C">
            <w:pPr>
              <w:keepNext/>
              <w:jc w:val="both"/>
              <w:rPr>
                <w:rFonts w:cs="Arial"/>
                <w:sz w:val="16"/>
                <w:szCs w:val="16"/>
              </w:rPr>
            </w:pPr>
          </w:p>
        </w:tc>
        <w:tc>
          <w:tcPr>
            <w:tcW w:w="2789" w:type="dxa"/>
          </w:tcPr>
          <w:p w:rsidR="007C281C" w:rsidRPr="00412620" w:rsidRDefault="00075B56" w:rsidP="00321D5C">
            <w:pPr>
              <w:keepNext/>
              <w:jc w:val="both"/>
              <w:rPr>
                <w:rFonts w:cs="Arial"/>
                <w:sz w:val="16"/>
                <w:szCs w:val="16"/>
              </w:rPr>
            </w:pPr>
            <w:r w:rsidRPr="00412620">
              <w:rPr>
                <w:rFonts w:cs="Arial"/>
                <w:sz w:val="16"/>
                <w:szCs w:val="16"/>
              </w:rPr>
              <w:t xml:space="preserve">Such person shall pay a penalty of twenty five thousand rupees or one hundred </w:t>
            </w:r>
            <w:r w:rsidR="00AB6F06">
              <w:rPr>
                <w:rFonts w:cs="Arial"/>
                <w:i/>
                <w:sz w:val="16"/>
                <w:szCs w:val="16"/>
              </w:rPr>
              <w:t>per cent</w:t>
            </w:r>
            <w:r w:rsidRPr="00412620">
              <w:rPr>
                <w:rFonts w:cs="Arial"/>
                <w:sz w:val="16"/>
                <w:szCs w:val="16"/>
              </w:rPr>
              <w:t xml:space="preserve"> of the amount of tax involved, whichever, is higher.</w:t>
            </w:r>
          </w:p>
        </w:tc>
        <w:tc>
          <w:tcPr>
            <w:tcW w:w="1909" w:type="dxa"/>
            <w:gridSpan w:val="2"/>
          </w:tcPr>
          <w:p w:rsidR="007C281C" w:rsidRPr="00412620" w:rsidRDefault="00085569" w:rsidP="00321D5C">
            <w:pPr>
              <w:keepNext/>
              <w:jc w:val="both"/>
              <w:rPr>
                <w:rFonts w:cs="Arial"/>
                <w:sz w:val="16"/>
                <w:szCs w:val="16"/>
              </w:rPr>
            </w:pPr>
            <w:r w:rsidRPr="00412620">
              <w:rPr>
                <w:rFonts w:cs="Arial"/>
                <w:sz w:val="16"/>
                <w:szCs w:val="16"/>
              </w:rPr>
              <w:t>175 and 177</w:t>
            </w:r>
          </w:p>
        </w:tc>
      </w:tr>
      <w:tr w:rsidR="007C281C" w:rsidRPr="00412620" w:rsidTr="004832ED">
        <w:tblPrEx>
          <w:tblLook w:val="01E0"/>
        </w:tblPrEx>
        <w:tc>
          <w:tcPr>
            <w:tcW w:w="648" w:type="dxa"/>
          </w:tcPr>
          <w:p w:rsidR="007C281C" w:rsidRPr="00412620" w:rsidRDefault="001A73D6" w:rsidP="00321D5C">
            <w:pPr>
              <w:keepNext/>
              <w:jc w:val="center"/>
              <w:rPr>
                <w:rFonts w:cs="Arial"/>
                <w:sz w:val="16"/>
                <w:szCs w:val="16"/>
              </w:rPr>
            </w:pPr>
            <w:r w:rsidRPr="00412620">
              <w:rPr>
                <w:rFonts w:cs="Arial"/>
                <w:sz w:val="16"/>
                <w:szCs w:val="16"/>
              </w:rPr>
              <w:t>12.</w:t>
            </w:r>
          </w:p>
        </w:tc>
        <w:tc>
          <w:tcPr>
            <w:tcW w:w="2070" w:type="dxa"/>
          </w:tcPr>
          <w:p w:rsidR="007C281C" w:rsidRPr="00412620" w:rsidRDefault="002A314E" w:rsidP="00321D5C">
            <w:pPr>
              <w:keepNext/>
              <w:jc w:val="both"/>
              <w:rPr>
                <w:rFonts w:cs="Arial"/>
                <w:sz w:val="16"/>
                <w:szCs w:val="16"/>
              </w:rPr>
            </w:pPr>
            <w:r w:rsidRPr="00412620">
              <w:rPr>
                <w:rFonts w:cs="Arial"/>
                <w:sz w:val="16"/>
                <w:szCs w:val="16"/>
              </w:rPr>
              <w:t xml:space="preserve">Where a person has concealed income or furnished inaccurate particulars of such income, including but not limited to the suppression of any income or amount chargeable to tax, the claiming of any deduction </w:t>
            </w:r>
            <w:r w:rsidRPr="00412620">
              <w:rPr>
                <w:rFonts w:cs="Arial"/>
                <w:sz w:val="16"/>
                <w:szCs w:val="16"/>
              </w:rPr>
              <w:lastRenderedPageBreak/>
              <w:t>for any expenditure not actually incurred or any act referred to in sub-section (1) of section 111, in the course of any proceeding under this Ordinance before any Income Tax authority or the appellate tribunal.</w:t>
            </w:r>
          </w:p>
          <w:p w:rsidR="002A314E" w:rsidRPr="00412620" w:rsidRDefault="002A314E" w:rsidP="00321D5C">
            <w:pPr>
              <w:keepNext/>
              <w:jc w:val="both"/>
              <w:rPr>
                <w:rFonts w:cs="Arial"/>
                <w:sz w:val="16"/>
                <w:szCs w:val="16"/>
              </w:rPr>
            </w:pPr>
          </w:p>
        </w:tc>
        <w:tc>
          <w:tcPr>
            <w:tcW w:w="2789" w:type="dxa"/>
          </w:tcPr>
          <w:p w:rsidR="007C281C" w:rsidRPr="00412620" w:rsidRDefault="000B746C" w:rsidP="00321D5C">
            <w:pPr>
              <w:keepNext/>
              <w:jc w:val="both"/>
              <w:rPr>
                <w:rFonts w:cs="Arial"/>
                <w:sz w:val="16"/>
                <w:szCs w:val="16"/>
              </w:rPr>
            </w:pPr>
            <w:r w:rsidRPr="00412620">
              <w:rPr>
                <w:rFonts w:cs="Arial"/>
                <w:sz w:val="16"/>
                <w:szCs w:val="16"/>
              </w:rPr>
              <w:lastRenderedPageBreak/>
              <w:t xml:space="preserve">Such person shall pay a penalty of twenty five thousand rupees or an amount equal to the tax which the person sought to evade whichever is higher. However, no penalty shall be payable on mere disallowance of a claim of exemption from tax of any income or amount declared by a person or mere disallowance of any </w:t>
            </w:r>
            <w:r w:rsidRPr="00412620">
              <w:rPr>
                <w:rFonts w:cs="Arial"/>
                <w:sz w:val="16"/>
                <w:szCs w:val="16"/>
              </w:rPr>
              <w:lastRenderedPageBreak/>
              <w:t>expenditure declared by a person to  be deductible, unless it is proved that the person made the claim knowing it to be wrong.</w:t>
            </w:r>
          </w:p>
          <w:p w:rsidR="000B746C" w:rsidRPr="00412620" w:rsidRDefault="000B746C" w:rsidP="00321D5C">
            <w:pPr>
              <w:keepNext/>
              <w:jc w:val="both"/>
              <w:rPr>
                <w:rFonts w:cs="Arial"/>
                <w:sz w:val="16"/>
                <w:szCs w:val="16"/>
              </w:rPr>
            </w:pPr>
          </w:p>
        </w:tc>
        <w:tc>
          <w:tcPr>
            <w:tcW w:w="1909" w:type="dxa"/>
            <w:gridSpan w:val="2"/>
          </w:tcPr>
          <w:p w:rsidR="007C281C" w:rsidRPr="00412620" w:rsidRDefault="001619FB" w:rsidP="00321D5C">
            <w:pPr>
              <w:keepNext/>
              <w:jc w:val="both"/>
              <w:rPr>
                <w:rFonts w:cs="Arial"/>
                <w:sz w:val="16"/>
                <w:szCs w:val="16"/>
              </w:rPr>
            </w:pPr>
            <w:r w:rsidRPr="00412620">
              <w:rPr>
                <w:rFonts w:cs="Arial"/>
                <w:sz w:val="16"/>
                <w:szCs w:val="16"/>
              </w:rPr>
              <w:lastRenderedPageBreak/>
              <w:t>20, 111 and General</w:t>
            </w:r>
          </w:p>
        </w:tc>
      </w:tr>
      <w:tr w:rsidR="007C281C" w:rsidRPr="00412620" w:rsidTr="004832ED">
        <w:tblPrEx>
          <w:tblLook w:val="01E0"/>
        </w:tblPrEx>
        <w:tc>
          <w:tcPr>
            <w:tcW w:w="648" w:type="dxa"/>
          </w:tcPr>
          <w:p w:rsidR="007C281C" w:rsidRPr="00412620" w:rsidRDefault="001A73D6" w:rsidP="00321D5C">
            <w:pPr>
              <w:keepNext/>
              <w:jc w:val="center"/>
              <w:rPr>
                <w:rFonts w:cs="Arial"/>
                <w:sz w:val="16"/>
                <w:szCs w:val="16"/>
              </w:rPr>
            </w:pPr>
            <w:r w:rsidRPr="00412620">
              <w:rPr>
                <w:rFonts w:cs="Arial"/>
                <w:sz w:val="16"/>
                <w:szCs w:val="16"/>
              </w:rPr>
              <w:lastRenderedPageBreak/>
              <w:t>13.</w:t>
            </w:r>
          </w:p>
        </w:tc>
        <w:tc>
          <w:tcPr>
            <w:tcW w:w="2070" w:type="dxa"/>
          </w:tcPr>
          <w:p w:rsidR="007C281C" w:rsidRPr="00412620" w:rsidRDefault="00D25482" w:rsidP="00321D5C">
            <w:pPr>
              <w:keepNext/>
              <w:jc w:val="both"/>
              <w:rPr>
                <w:rFonts w:cs="Arial"/>
                <w:sz w:val="16"/>
                <w:szCs w:val="16"/>
              </w:rPr>
            </w:pPr>
            <w:r w:rsidRPr="00412620">
              <w:rPr>
                <w:rFonts w:cs="Arial"/>
                <w:sz w:val="16"/>
                <w:szCs w:val="16"/>
              </w:rPr>
              <w:t>Any person who obstructs any Income Tax Authority in the performance of his official duties.</w:t>
            </w:r>
          </w:p>
          <w:p w:rsidR="00D25482" w:rsidRPr="00412620" w:rsidRDefault="00D25482" w:rsidP="00321D5C">
            <w:pPr>
              <w:keepNext/>
              <w:jc w:val="both"/>
              <w:rPr>
                <w:rFonts w:cs="Arial"/>
                <w:sz w:val="16"/>
                <w:szCs w:val="16"/>
              </w:rPr>
            </w:pPr>
          </w:p>
        </w:tc>
        <w:tc>
          <w:tcPr>
            <w:tcW w:w="2789" w:type="dxa"/>
          </w:tcPr>
          <w:p w:rsidR="007C281C" w:rsidRPr="00412620" w:rsidRDefault="001619FB" w:rsidP="00321D5C">
            <w:pPr>
              <w:keepNext/>
              <w:jc w:val="both"/>
              <w:rPr>
                <w:rFonts w:cs="Arial"/>
                <w:sz w:val="16"/>
                <w:szCs w:val="16"/>
              </w:rPr>
            </w:pPr>
            <w:r w:rsidRPr="00412620">
              <w:rPr>
                <w:rFonts w:cs="Arial"/>
                <w:sz w:val="16"/>
                <w:szCs w:val="16"/>
              </w:rPr>
              <w:t>Such person shall pay a penalty of twenty five thousand rupees.</w:t>
            </w:r>
          </w:p>
        </w:tc>
        <w:tc>
          <w:tcPr>
            <w:tcW w:w="1909" w:type="dxa"/>
            <w:gridSpan w:val="2"/>
          </w:tcPr>
          <w:p w:rsidR="007C281C" w:rsidRPr="00412620" w:rsidRDefault="001619FB" w:rsidP="00321D5C">
            <w:pPr>
              <w:keepNext/>
              <w:jc w:val="both"/>
              <w:rPr>
                <w:rFonts w:cs="Arial"/>
                <w:sz w:val="16"/>
                <w:szCs w:val="16"/>
              </w:rPr>
            </w:pPr>
            <w:r w:rsidRPr="00412620">
              <w:rPr>
                <w:rFonts w:cs="Arial"/>
                <w:sz w:val="16"/>
                <w:szCs w:val="16"/>
              </w:rPr>
              <w:t>209, 210 and General.</w:t>
            </w:r>
          </w:p>
        </w:tc>
      </w:tr>
      <w:tr w:rsidR="007C281C" w:rsidRPr="00412620" w:rsidTr="004832ED">
        <w:tblPrEx>
          <w:tblLook w:val="01E0"/>
        </w:tblPrEx>
        <w:tc>
          <w:tcPr>
            <w:tcW w:w="648" w:type="dxa"/>
          </w:tcPr>
          <w:p w:rsidR="007C281C" w:rsidRPr="00412620" w:rsidRDefault="001A73D6" w:rsidP="00321D5C">
            <w:pPr>
              <w:keepNext/>
              <w:jc w:val="center"/>
              <w:rPr>
                <w:rFonts w:cs="Arial"/>
                <w:sz w:val="16"/>
                <w:szCs w:val="16"/>
              </w:rPr>
            </w:pPr>
            <w:r w:rsidRPr="00412620">
              <w:rPr>
                <w:rFonts w:cs="Arial"/>
                <w:sz w:val="16"/>
                <w:szCs w:val="16"/>
              </w:rPr>
              <w:t>14.</w:t>
            </w:r>
          </w:p>
        </w:tc>
        <w:tc>
          <w:tcPr>
            <w:tcW w:w="2070" w:type="dxa"/>
          </w:tcPr>
          <w:p w:rsidR="007C281C" w:rsidRPr="00412620" w:rsidRDefault="00D25482" w:rsidP="00321D5C">
            <w:pPr>
              <w:keepNext/>
              <w:jc w:val="both"/>
              <w:rPr>
                <w:rFonts w:cs="Arial"/>
                <w:sz w:val="16"/>
                <w:szCs w:val="16"/>
              </w:rPr>
            </w:pPr>
            <w:r w:rsidRPr="00412620">
              <w:rPr>
                <w:rFonts w:cs="Arial"/>
                <w:sz w:val="16"/>
                <w:szCs w:val="16"/>
              </w:rPr>
              <w:t>Any person who contravenes any of the provision of this Ordinance for which no penalty has, specifically, been provided in this section.</w:t>
            </w:r>
          </w:p>
          <w:p w:rsidR="00D25482" w:rsidRPr="00412620" w:rsidRDefault="00D25482" w:rsidP="00321D5C">
            <w:pPr>
              <w:keepNext/>
              <w:jc w:val="both"/>
              <w:rPr>
                <w:rFonts w:cs="Arial"/>
                <w:sz w:val="16"/>
                <w:szCs w:val="16"/>
              </w:rPr>
            </w:pPr>
          </w:p>
        </w:tc>
        <w:tc>
          <w:tcPr>
            <w:tcW w:w="2789" w:type="dxa"/>
          </w:tcPr>
          <w:p w:rsidR="007C281C" w:rsidRPr="00412620" w:rsidRDefault="001619FB" w:rsidP="00321D5C">
            <w:pPr>
              <w:keepNext/>
              <w:jc w:val="both"/>
              <w:rPr>
                <w:rFonts w:cs="Arial"/>
                <w:sz w:val="16"/>
                <w:szCs w:val="16"/>
              </w:rPr>
            </w:pPr>
            <w:r w:rsidRPr="00412620">
              <w:rPr>
                <w:rFonts w:cs="Arial"/>
                <w:sz w:val="16"/>
                <w:szCs w:val="16"/>
              </w:rPr>
              <w:t xml:space="preserve">Such person shall pay a penalty of five thousand rupees or three </w:t>
            </w:r>
            <w:r w:rsidR="00AB6F06">
              <w:rPr>
                <w:rFonts w:cs="Arial"/>
                <w:i/>
                <w:sz w:val="16"/>
                <w:szCs w:val="16"/>
              </w:rPr>
              <w:t>per cent</w:t>
            </w:r>
            <w:r w:rsidRPr="00412620">
              <w:rPr>
                <w:rFonts w:cs="Arial"/>
                <w:sz w:val="16"/>
                <w:szCs w:val="16"/>
              </w:rPr>
              <w:t xml:space="preserve"> of the amount of tax involved, which-ever is higher. </w:t>
            </w:r>
          </w:p>
          <w:p w:rsidR="001619FB" w:rsidRPr="00412620" w:rsidRDefault="001619FB" w:rsidP="00321D5C">
            <w:pPr>
              <w:keepNext/>
              <w:jc w:val="both"/>
              <w:rPr>
                <w:rFonts w:cs="Arial"/>
                <w:sz w:val="16"/>
                <w:szCs w:val="16"/>
              </w:rPr>
            </w:pPr>
          </w:p>
        </w:tc>
        <w:tc>
          <w:tcPr>
            <w:tcW w:w="1909" w:type="dxa"/>
            <w:gridSpan w:val="2"/>
          </w:tcPr>
          <w:p w:rsidR="007C281C" w:rsidRPr="00412620" w:rsidRDefault="001619FB" w:rsidP="00321D5C">
            <w:pPr>
              <w:keepNext/>
              <w:jc w:val="both"/>
              <w:rPr>
                <w:rFonts w:cs="Arial"/>
                <w:sz w:val="16"/>
                <w:szCs w:val="16"/>
              </w:rPr>
            </w:pPr>
            <w:r w:rsidRPr="00412620">
              <w:rPr>
                <w:rFonts w:cs="Arial"/>
                <w:sz w:val="16"/>
                <w:szCs w:val="16"/>
              </w:rPr>
              <w:t>General.</w:t>
            </w:r>
          </w:p>
        </w:tc>
      </w:tr>
      <w:tr w:rsidR="007C281C" w:rsidRPr="00412620" w:rsidTr="004832ED">
        <w:tblPrEx>
          <w:tblLook w:val="01E0"/>
        </w:tblPrEx>
        <w:tc>
          <w:tcPr>
            <w:tcW w:w="648" w:type="dxa"/>
          </w:tcPr>
          <w:p w:rsidR="007C281C" w:rsidRPr="00412620" w:rsidRDefault="001A73D6" w:rsidP="00321D5C">
            <w:pPr>
              <w:keepNext/>
              <w:jc w:val="center"/>
              <w:rPr>
                <w:rFonts w:cs="Arial"/>
                <w:sz w:val="16"/>
                <w:szCs w:val="16"/>
              </w:rPr>
            </w:pPr>
            <w:r w:rsidRPr="00412620">
              <w:rPr>
                <w:rFonts w:cs="Arial"/>
                <w:sz w:val="16"/>
                <w:szCs w:val="16"/>
              </w:rPr>
              <w:t>15.</w:t>
            </w:r>
          </w:p>
        </w:tc>
        <w:tc>
          <w:tcPr>
            <w:tcW w:w="2070" w:type="dxa"/>
          </w:tcPr>
          <w:p w:rsidR="007C281C" w:rsidRPr="00412620" w:rsidRDefault="00BB3B50" w:rsidP="00321D5C">
            <w:pPr>
              <w:keepNext/>
              <w:jc w:val="both"/>
              <w:rPr>
                <w:rFonts w:cs="Arial"/>
                <w:sz w:val="16"/>
                <w:szCs w:val="16"/>
              </w:rPr>
            </w:pPr>
            <w:r w:rsidRPr="00412620">
              <w:rPr>
                <w:rFonts w:cs="Arial"/>
                <w:sz w:val="16"/>
                <w:szCs w:val="16"/>
              </w:rPr>
              <w:t>Any person who fails to collect or deduct tax as required under any provision of this Ordinance or fails to pay the tax collected or deducted as required under section 160.</w:t>
            </w:r>
          </w:p>
          <w:p w:rsidR="00295906" w:rsidRPr="00412620" w:rsidRDefault="00295906" w:rsidP="00321D5C">
            <w:pPr>
              <w:keepNext/>
              <w:jc w:val="both"/>
              <w:rPr>
                <w:rFonts w:cs="Arial"/>
                <w:sz w:val="16"/>
                <w:szCs w:val="16"/>
              </w:rPr>
            </w:pPr>
          </w:p>
        </w:tc>
        <w:tc>
          <w:tcPr>
            <w:tcW w:w="2789" w:type="dxa"/>
          </w:tcPr>
          <w:p w:rsidR="007C281C" w:rsidRPr="00412620" w:rsidRDefault="0080526D" w:rsidP="00321D5C">
            <w:pPr>
              <w:keepNext/>
              <w:jc w:val="both"/>
              <w:rPr>
                <w:rFonts w:cs="Arial"/>
                <w:sz w:val="16"/>
                <w:szCs w:val="16"/>
              </w:rPr>
            </w:pPr>
            <w:r w:rsidRPr="00412620">
              <w:rPr>
                <w:rFonts w:cs="Arial"/>
                <w:sz w:val="16"/>
                <w:szCs w:val="16"/>
              </w:rPr>
              <w:t>Such person shall pay a penalty of twenty five thousand rupees or the 10% of the amount of tax which-ever is higher.</w:t>
            </w:r>
          </w:p>
        </w:tc>
        <w:tc>
          <w:tcPr>
            <w:tcW w:w="1909" w:type="dxa"/>
            <w:gridSpan w:val="2"/>
          </w:tcPr>
          <w:p w:rsidR="007C281C" w:rsidRPr="00412620" w:rsidRDefault="0080526D" w:rsidP="00321D5C">
            <w:pPr>
              <w:keepNext/>
              <w:jc w:val="both"/>
              <w:rPr>
                <w:rFonts w:cs="Arial"/>
                <w:sz w:val="16"/>
                <w:szCs w:val="16"/>
              </w:rPr>
            </w:pPr>
            <w:r w:rsidRPr="00412620">
              <w:rPr>
                <w:rFonts w:cs="Arial"/>
                <w:sz w:val="16"/>
                <w:szCs w:val="16"/>
              </w:rPr>
              <w:t>148, 149, 150, 151, 152, 153, 153</w:t>
            </w:r>
            <w:r w:rsidR="008615A1" w:rsidRPr="00412620">
              <w:rPr>
                <w:rFonts w:cs="Arial"/>
                <w:sz w:val="16"/>
                <w:szCs w:val="16"/>
              </w:rPr>
              <w:t>A</w:t>
            </w:r>
            <w:r w:rsidRPr="00412620">
              <w:rPr>
                <w:rFonts w:cs="Arial"/>
                <w:sz w:val="16"/>
                <w:szCs w:val="16"/>
              </w:rPr>
              <w:t>, 154, 155, 156, 156A, 156B, 158, 160, 231A, 231B, 233, 233A, 234, 234A, 235, 236, 236A</w:t>
            </w:r>
            <w:r w:rsidR="008615A1" w:rsidRPr="00412620">
              <w:rPr>
                <w:rFonts w:cs="Arial"/>
                <w:sz w:val="16"/>
                <w:szCs w:val="16"/>
              </w:rPr>
              <w:t>,</w:t>
            </w:r>
          </w:p>
        </w:tc>
      </w:tr>
      <w:tr w:rsidR="004D3221" w:rsidRPr="00412620" w:rsidTr="004832ED">
        <w:tblPrEx>
          <w:tblLook w:val="01E0"/>
        </w:tblPrEx>
        <w:tc>
          <w:tcPr>
            <w:tcW w:w="648" w:type="dxa"/>
          </w:tcPr>
          <w:p w:rsidR="004D3221" w:rsidRPr="00412620" w:rsidRDefault="004D3221" w:rsidP="00321D5C">
            <w:pPr>
              <w:keepNext/>
              <w:jc w:val="center"/>
              <w:rPr>
                <w:rFonts w:cs="Arial"/>
                <w:sz w:val="16"/>
                <w:szCs w:val="16"/>
              </w:rPr>
            </w:pPr>
            <w:r w:rsidRPr="00412620">
              <w:rPr>
                <w:rStyle w:val="FootnoteReference"/>
                <w:rFonts w:cs="Arial"/>
                <w:sz w:val="16"/>
                <w:szCs w:val="16"/>
              </w:rPr>
              <w:footnoteReference w:id="1249"/>
            </w:r>
            <w:r w:rsidRPr="00412620">
              <w:rPr>
                <w:rFonts w:cs="Arial"/>
                <w:sz w:val="16"/>
                <w:szCs w:val="16"/>
              </w:rPr>
              <w:t>[16.</w:t>
            </w:r>
          </w:p>
        </w:tc>
        <w:tc>
          <w:tcPr>
            <w:tcW w:w="2070" w:type="dxa"/>
          </w:tcPr>
          <w:p w:rsidR="004D3221" w:rsidRPr="00412620" w:rsidRDefault="004D3221" w:rsidP="004D3221">
            <w:pPr>
              <w:keepNext/>
              <w:jc w:val="both"/>
              <w:rPr>
                <w:rFonts w:cs="Arial"/>
                <w:sz w:val="16"/>
                <w:szCs w:val="16"/>
              </w:rPr>
            </w:pPr>
            <w:r w:rsidRPr="00412620">
              <w:rPr>
                <w:rFonts w:cs="Arial"/>
                <w:sz w:val="16"/>
                <w:szCs w:val="16"/>
              </w:rPr>
              <w:t>Any person who fails to display his NTN at the place of business as required under this Ordinance or the rules made thereunder.</w:t>
            </w:r>
          </w:p>
        </w:tc>
        <w:tc>
          <w:tcPr>
            <w:tcW w:w="2789" w:type="dxa"/>
          </w:tcPr>
          <w:p w:rsidR="004D3221" w:rsidRPr="00412620" w:rsidRDefault="004D3221" w:rsidP="00321D5C">
            <w:pPr>
              <w:keepNext/>
              <w:jc w:val="both"/>
              <w:rPr>
                <w:rFonts w:cs="Arial"/>
                <w:sz w:val="16"/>
                <w:szCs w:val="16"/>
              </w:rPr>
            </w:pPr>
            <w:r w:rsidRPr="00412620">
              <w:rPr>
                <w:rFonts w:cs="Arial"/>
                <w:sz w:val="16"/>
                <w:szCs w:val="16"/>
              </w:rPr>
              <w:t>Such person shall pay a penalty of five thousand rupees.</w:t>
            </w:r>
          </w:p>
        </w:tc>
        <w:tc>
          <w:tcPr>
            <w:tcW w:w="1909" w:type="dxa"/>
            <w:gridSpan w:val="2"/>
          </w:tcPr>
          <w:p w:rsidR="004D3221" w:rsidRPr="00412620" w:rsidRDefault="004D3221" w:rsidP="00321D5C">
            <w:pPr>
              <w:keepNext/>
              <w:jc w:val="both"/>
              <w:rPr>
                <w:rFonts w:cs="Arial"/>
                <w:sz w:val="16"/>
                <w:szCs w:val="16"/>
              </w:rPr>
            </w:pPr>
            <w:r w:rsidRPr="00412620">
              <w:rPr>
                <w:rFonts w:cs="Arial"/>
                <w:sz w:val="16"/>
                <w:szCs w:val="16"/>
              </w:rPr>
              <w:t>181C]</w:t>
            </w:r>
          </w:p>
        </w:tc>
      </w:tr>
    </w:tbl>
    <w:p w:rsidR="00743673" w:rsidRPr="00412620" w:rsidRDefault="00743673" w:rsidP="00743673">
      <w:pPr>
        <w:keepNext/>
        <w:jc w:val="both"/>
        <w:rPr>
          <w:rFonts w:cs="Arial"/>
          <w:sz w:val="20"/>
        </w:rPr>
      </w:pPr>
    </w:p>
    <w:p w:rsidR="00036BF0" w:rsidRPr="00412620" w:rsidRDefault="00036BF0" w:rsidP="00C05EED">
      <w:pPr>
        <w:ind w:firstLine="547"/>
        <w:jc w:val="both"/>
        <w:rPr>
          <w:rFonts w:cs="Arial"/>
          <w:sz w:val="20"/>
        </w:rPr>
      </w:pPr>
      <w:r w:rsidRPr="00412620">
        <w:rPr>
          <w:rFonts w:cs="Arial"/>
          <w:sz w:val="20"/>
        </w:rPr>
        <w:t>(2)</w:t>
      </w:r>
      <w:r w:rsidRPr="00412620">
        <w:rPr>
          <w:rFonts w:cs="Arial"/>
          <w:sz w:val="20"/>
        </w:rPr>
        <w:tab/>
        <w:t>The penalties specified under sub-section (1) shall be applied in a consistent manner and no penalty shall be payable unless an order in writing is passed by the Commissioner, Commissioner (Appeals) or the Appellate Tribunal after providing an opportunity of bein</w:t>
      </w:r>
      <w:r w:rsidR="008E54CE" w:rsidRPr="00412620">
        <w:rPr>
          <w:rFonts w:cs="Arial"/>
          <w:sz w:val="20"/>
        </w:rPr>
        <w:t xml:space="preserve">g heard to the person concerned </w:t>
      </w:r>
      <w:r w:rsidR="008E54CE" w:rsidRPr="00412620">
        <w:rPr>
          <w:rStyle w:val="FootnoteReference"/>
          <w:rFonts w:cs="Arial"/>
          <w:sz w:val="20"/>
        </w:rPr>
        <w:footnoteReference w:id="1250"/>
      </w:r>
      <w:r w:rsidR="008E54CE" w:rsidRPr="00412620">
        <w:rPr>
          <w:rFonts w:cs="Arial"/>
          <w:sz w:val="20"/>
        </w:rPr>
        <w:t>[:]</w:t>
      </w:r>
    </w:p>
    <w:p w:rsidR="00036BF0" w:rsidRPr="00412620" w:rsidRDefault="00036BF0" w:rsidP="002D66D0">
      <w:pPr>
        <w:jc w:val="both"/>
        <w:rPr>
          <w:rFonts w:cs="Arial"/>
          <w:sz w:val="20"/>
        </w:rPr>
      </w:pPr>
    </w:p>
    <w:p w:rsidR="008E54CE" w:rsidRPr="00412620" w:rsidRDefault="000439D0" w:rsidP="000439D0">
      <w:pPr>
        <w:ind w:left="1094" w:firstLine="541"/>
        <w:jc w:val="both"/>
        <w:rPr>
          <w:rFonts w:cs="Arial"/>
          <w:sz w:val="20"/>
        </w:rPr>
      </w:pPr>
      <w:r w:rsidRPr="00412620">
        <w:rPr>
          <w:rStyle w:val="FootnoteReference"/>
          <w:rFonts w:cs="Arial"/>
          <w:sz w:val="20"/>
        </w:rPr>
        <w:footnoteReference w:id="1251"/>
      </w:r>
      <w:r w:rsidRPr="00412620">
        <w:rPr>
          <w:rFonts w:cs="Arial"/>
          <w:sz w:val="20"/>
        </w:rPr>
        <w:t>[</w:t>
      </w:r>
      <w:r w:rsidRPr="00412620">
        <w:rPr>
          <w:sz w:val="20"/>
        </w:rPr>
        <w:t>Provided that where the taxpayer admits his default he may voluntarily pay the amount of penalty due under this section.]</w:t>
      </w:r>
    </w:p>
    <w:p w:rsidR="008E54CE" w:rsidRPr="00412620" w:rsidRDefault="008E54CE" w:rsidP="002D66D0">
      <w:pPr>
        <w:jc w:val="both"/>
        <w:rPr>
          <w:rFonts w:cs="Arial"/>
          <w:sz w:val="20"/>
        </w:rPr>
      </w:pPr>
    </w:p>
    <w:p w:rsidR="00036BF0" w:rsidRPr="00412620" w:rsidRDefault="00036BF0" w:rsidP="00C05EED">
      <w:pPr>
        <w:ind w:firstLine="547"/>
        <w:jc w:val="both"/>
        <w:rPr>
          <w:rFonts w:cs="Arial"/>
          <w:sz w:val="20"/>
        </w:rPr>
      </w:pPr>
      <w:r w:rsidRPr="00412620">
        <w:rPr>
          <w:rFonts w:cs="Arial"/>
          <w:sz w:val="20"/>
        </w:rPr>
        <w:t>(3)</w:t>
      </w:r>
      <w:r w:rsidRPr="00412620">
        <w:rPr>
          <w:rFonts w:cs="Arial"/>
          <w:sz w:val="20"/>
        </w:rPr>
        <w:tab/>
        <w:t>Where a Commissioner (Appeals) or the Appellate Tribunal ma</w:t>
      </w:r>
      <w:r w:rsidR="004932A0" w:rsidRPr="00412620">
        <w:rPr>
          <w:rFonts w:cs="Arial"/>
          <w:sz w:val="20"/>
        </w:rPr>
        <w:t>kes</w:t>
      </w:r>
      <w:r w:rsidRPr="00412620">
        <w:rPr>
          <w:rFonts w:cs="Arial"/>
          <w:sz w:val="20"/>
        </w:rPr>
        <w:t xml:space="preserve"> an order under sub-section (2), the Commissioner (Appeals) or the Appellate Tribunal, as the case may be, shall immediately serve a copy of the order on the </w:t>
      </w:r>
      <w:r w:rsidRPr="00412620">
        <w:rPr>
          <w:rFonts w:cs="Arial"/>
          <w:sz w:val="20"/>
        </w:rPr>
        <w:lastRenderedPageBreak/>
        <w:t>Commissioner and thereupon all the provision of this Ordinance relating to the recovery of penalty shall apply as if the order was made by the Commissioner.</w:t>
      </w:r>
    </w:p>
    <w:p w:rsidR="00036BF0" w:rsidRPr="00412620" w:rsidRDefault="00036BF0" w:rsidP="002D66D0">
      <w:pPr>
        <w:jc w:val="both"/>
        <w:rPr>
          <w:rFonts w:cs="Arial"/>
          <w:sz w:val="20"/>
        </w:rPr>
      </w:pPr>
    </w:p>
    <w:p w:rsidR="00036BF0" w:rsidRPr="00412620" w:rsidRDefault="00036BF0" w:rsidP="00C05EED">
      <w:pPr>
        <w:ind w:firstLine="547"/>
        <w:jc w:val="both"/>
        <w:rPr>
          <w:rFonts w:cs="Arial"/>
          <w:sz w:val="20"/>
        </w:rPr>
      </w:pPr>
      <w:r w:rsidRPr="00412620">
        <w:rPr>
          <w:rFonts w:cs="Arial"/>
          <w:sz w:val="20"/>
        </w:rPr>
        <w:t>(4)</w:t>
      </w:r>
      <w:r w:rsidRPr="00412620">
        <w:rPr>
          <w:rFonts w:cs="Arial"/>
          <w:sz w:val="20"/>
        </w:rPr>
        <w:tab/>
        <w:t>Where in consequence of any order under this Ordinance, the amount of tax in respect of which any penalty payable under sub-section (1) is reduced, the amount of penalty shall be reduced accordingly.</w:t>
      </w:r>
      <w:r w:rsidR="002D66D0" w:rsidRPr="00412620">
        <w:rPr>
          <w:rFonts w:cs="Arial"/>
          <w:sz w:val="20"/>
        </w:rPr>
        <w:t>]</w:t>
      </w:r>
    </w:p>
    <w:p w:rsidR="00E02F9C" w:rsidRPr="00412620" w:rsidRDefault="00E02F9C">
      <w:pPr>
        <w:keepNext/>
        <w:rPr>
          <w:rFonts w:cs="Arial"/>
          <w:b/>
          <w:sz w:val="20"/>
        </w:rPr>
      </w:pPr>
    </w:p>
    <w:p w:rsidR="004F6928" w:rsidRPr="00412620" w:rsidRDefault="004F6928" w:rsidP="004F6928">
      <w:pPr>
        <w:jc w:val="both"/>
        <w:rPr>
          <w:rFonts w:cs="Arial"/>
          <w:sz w:val="20"/>
        </w:rPr>
      </w:pPr>
      <w:r w:rsidRPr="00412620">
        <w:rPr>
          <w:rStyle w:val="FootnoteReference"/>
          <w:rFonts w:cs="Arial"/>
          <w:sz w:val="20"/>
        </w:rPr>
        <w:footnoteReference w:id="1252"/>
      </w:r>
      <w:r w:rsidRPr="00412620">
        <w:rPr>
          <w:rFonts w:cs="Arial"/>
          <w:sz w:val="20"/>
        </w:rPr>
        <w:t>[</w:t>
      </w:r>
      <w:r w:rsidRPr="00412620">
        <w:rPr>
          <w:rFonts w:cs="Arial"/>
          <w:b/>
          <w:sz w:val="20"/>
        </w:rPr>
        <w:t>183.</w:t>
      </w:r>
      <w:r w:rsidRPr="00412620">
        <w:rPr>
          <w:rFonts w:cs="Arial"/>
          <w:b/>
          <w:sz w:val="20"/>
        </w:rPr>
        <w:tab/>
        <w:t>Exemption from penalty and default surcharge</w:t>
      </w:r>
      <w:r w:rsidRPr="00412620">
        <w:rPr>
          <w:rFonts w:cs="Arial"/>
          <w:sz w:val="20"/>
        </w:rPr>
        <w:t>.</w:t>
      </w:r>
      <w:r w:rsidR="00303F9C">
        <w:rPr>
          <w:rFonts w:cs="Arial"/>
          <w:sz w:val="20"/>
        </w:rPr>
        <w:t>— The Federal Government may</w:t>
      </w:r>
      <w:r w:rsidR="00303F9C" w:rsidRPr="00735D13">
        <w:rPr>
          <w:rFonts w:cs="Arial"/>
          <w:sz w:val="20"/>
        </w:rPr>
        <w:t>, by</w:t>
      </w:r>
      <w:r w:rsidRPr="00412620">
        <w:rPr>
          <w:rFonts w:cs="Arial"/>
          <w:sz w:val="20"/>
        </w:rPr>
        <w:t xml:space="preserve"> notification in the official Gazette, or the Board by an order published in the official Gazette for reasons to be recorded in writing, exempt any person or class of persons from payment of the whole or part of the penalty and default surcharge payable under this Ordinance subject to such conditions and limitations as may be specified in such notification or, as the  case may be, order.]</w:t>
      </w:r>
    </w:p>
    <w:p w:rsidR="00AE69AB" w:rsidRPr="00412620" w:rsidRDefault="00AE69AB" w:rsidP="004F6928">
      <w:pPr>
        <w:jc w:val="both"/>
        <w:rPr>
          <w:rFonts w:cs="Arial"/>
          <w:sz w:val="20"/>
        </w:rPr>
      </w:pPr>
    </w:p>
    <w:p w:rsidR="00AE69AB" w:rsidRPr="00412620" w:rsidRDefault="0022795B" w:rsidP="004F6928">
      <w:pPr>
        <w:jc w:val="both"/>
        <w:rPr>
          <w:rFonts w:cs="Arial"/>
          <w:sz w:val="20"/>
        </w:rPr>
      </w:pPr>
      <w:r w:rsidRPr="00412620">
        <w:rPr>
          <w:rStyle w:val="FootnoteReference"/>
          <w:rFonts w:cs="Arial"/>
          <w:sz w:val="20"/>
        </w:rPr>
        <w:footnoteReference w:id="1253"/>
      </w:r>
      <w:r w:rsidR="00AE69AB" w:rsidRPr="00412620">
        <w:rPr>
          <w:rFonts w:cs="Arial"/>
          <w:sz w:val="20"/>
        </w:rPr>
        <w:t>[  ]</w:t>
      </w:r>
    </w:p>
    <w:p w:rsidR="00AE69AB" w:rsidRPr="00412620" w:rsidRDefault="00AE69AB" w:rsidP="004F6928">
      <w:pPr>
        <w:jc w:val="both"/>
        <w:rPr>
          <w:rFonts w:cs="Arial"/>
          <w:sz w:val="20"/>
        </w:rPr>
      </w:pPr>
    </w:p>
    <w:p w:rsidR="00AE69AB" w:rsidRPr="00412620" w:rsidRDefault="0022795B" w:rsidP="004F6928">
      <w:pPr>
        <w:jc w:val="both"/>
        <w:rPr>
          <w:rFonts w:cs="Arial"/>
          <w:sz w:val="20"/>
        </w:rPr>
      </w:pPr>
      <w:r w:rsidRPr="00412620">
        <w:rPr>
          <w:rStyle w:val="FootnoteReference"/>
          <w:rFonts w:cs="Arial"/>
          <w:sz w:val="20"/>
        </w:rPr>
        <w:footnoteReference w:id="1254"/>
      </w:r>
      <w:r w:rsidR="00AE69AB" w:rsidRPr="00412620">
        <w:rPr>
          <w:rFonts w:cs="Arial"/>
          <w:sz w:val="20"/>
        </w:rPr>
        <w:t>[  ]</w:t>
      </w:r>
    </w:p>
    <w:p w:rsidR="00AE69AB" w:rsidRPr="00412620" w:rsidRDefault="0022795B" w:rsidP="004F6928">
      <w:pPr>
        <w:jc w:val="both"/>
        <w:rPr>
          <w:rFonts w:cs="Arial"/>
          <w:sz w:val="20"/>
        </w:rPr>
      </w:pPr>
      <w:r w:rsidRPr="00412620">
        <w:rPr>
          <w:rStyle w:val="FootnoteReference"/>
          <w:rFonts w:cs="Arial"/>
          <w:sz w:val="20"/>
        </w:rPr>
        <w:footnoteReference w:id="1255"/>
      </w:r>
      <w:r w:rsidR="00AE69AB" w:rsidRPr="00412620">
        <w:rPr>
          <w:rFonts w:cs="Arial"/>
          <w:sz w:val="20"/>
        </w:rPr>
        <w:t>[  ]</w:t>
      </w:r>
    </w:p>
    <w:p w:rsidR="00AE69AB" w:rsidRPr="00412620" w:rsidRDefault="0022795B" w:rsidP="004F6928">
      <w:pPr>
        <w:jc w:val="both"/>
        <w:rPr>
          <w:rFonts w:cs="Arial"/>
          <w:sz w:val="20"/>
        </w:rPr>
      </w:pPr>
      <w:r w:rsidRPr="00412620">
        <w:rPr>
          <w:rStyle w:val="FootnoteReference"/>
          <w:rFonts w:cs="Arial"/>
          <w:sz w:val="20"/>
        </w:rPr>
        <w:footnoteReference w:id="1256"/>
      </w:r>
      <w:r w:rsidR="00AE69AB" w:rsidRPr="00412620">
        <w:rPr>
          <w:rFonts w:cs="Arial"/>
          <w:sz w:val="20"/>
        </w:rPr>
        <w:t>[  ]</w:t>
      </w:r>
    </w:p>
    <w:p w:rsidR="00AE69AB" w:rsidRPr="00412620" w:rsidRDefault="00AE69AB" w:rsidP="004F6928">
      <w:pPr>
        <w:jc w:val="both"/>
        <w:rPr>
          <w:rFonts w:cs="Arial"/>
          <w:sz w:val="20"/>
        </w:rPr>
      </w:pPr>
    </w:p>
    <w:p w:rsidR="00AE69AB" w:rsidRPr="00412620" w:rsidRDefault="0022795B" w:rsidP="004F6928">
      <w:pPr>
        <w:jc w:val="both"/>
        <w:rPr>
          <w:rFonts w:cs="Arial"/>
          <w:sz w:val="20"/>
        </w:rPr>
      </w:pPr>
      <w:r w:rsidRPr="00412620">
        <w:rPr>
          <w:rStyle w:val="FootnoteReference"/>
          <w:rFonts w:cs="Arial"/>
          <w:sz w:val="20"/>
        </w:rPr>
        <w:footnoteReference w:id="1257"/>
      </w:r>
      <w:r w:rsidR="00AE69AB" w:rsidRPr="00412620">
        <w:rPr>
          <w:rFonts w:cs="Arial"/>
          <w:sz w:val="20"/>
        </w:rPr>
        <w:t>[  ]</w:t>
      </w:r>
    </w:p>
    <w:p w:rsidR="00AE69AB" w:rsidRPr="00412620" w:rsidRDefault="00AE69AB" w:rsidP="004F6928">
      <w:pPr>
        <w:jc w:val="both"/>
        <w:rPr>
          <w:rFonts w:cs="Arial"/>
          <w:sz w:val="20"/>
        </w:rPr>
      </w:pPr>
    </w:p>
    <w:p w:rsidR="00AE69AB" w:rsidRPr="00412620" w:rsidRDefault="0022795B" w:rsidP="004F6928">
      <w:pPr>
        <w:jc w:val="both"/>
        <w:rPr>
          <w:rFonts w:cs="Arial"/>
          <w:sz w:val="20"/>
        </w:rPr>
      </w:pPr>
      <w:r w:rsidRPr="00412620">
        <w:rPr>
          <w:rStyle w:val="FootnoteReference"/>
          <w:rFonts w:cs="Arial"/>
          <w:sz w:val="20"/>
        </w:rPr>
        <w:footnoteReference w:id="1258"/>
      </w:r>
      <w:r w:rsidR="00AE69AB" w:rsidRPr="00412620">
        <w:rPr>
          <w:rFonts w:cs="Arial"/>
          <w:sz w:val="20"/>
        </w:rPr>
        <w:t>[  ]</w:t>
      </w:r>
    </w:p>
    <w:p w:rsidR="00AE69AB" w:rsidRPr="00412620" w:rsidRDefault="00AE69AB" w:rsidP="004F6928">
      <w:pPr>
        <w:jc w:val="both"/>
        <w:rPr>
          <w:rFonts w:cs="Arial"/>
          <w:sz w:val="20"/>
        </w:rPr>
      </w:pPr>
    </w:p>
    <w:p w:rsidR="00AE69AB" w:rsidRPr="00412620" w:rsidRDefault="0022795B" w:rsidP="004F6928">
      <w:pPr>
        <w:jc w:val="both"/>
        <w:rPr>
          <w:rFonts w:cs="Arial"/>
          <w:sz w:val="20"/>
        </w:rPr>
      </w:pPr>
      <w:r w:rsidRPr="00412620">
        <w:rPr>
          <w:rStyle w:val="FootnoteReference"/>
          <w:rFonts w:cs="Arial"/>
          <w:sz w:val="20"/>
        </w:rPr>
        <w:footnoteReference w:id="1259"/>
      </w:r>
      <w:r w:rsidR="00AE69AB" w:rsidRPr="00412620">
        <w:rPr>
          <w:rFonts w:cs="Arial"/>
          <w:sz w:val="20"/>
        </w:rPr>
        <w:t>[  ]</w:t>
      </w:r>
    </w:p>
    <w:p w:rsidR="00735D13" w:rsidRDefault="00735D13">
      <w:pPr>
        <w:rPr>
          <w:rFonts w:cs="Arial"/>
          <w:b/>
          <w:sz w:val="32"/>
          <w:szCs w:val="32"/>
        </w:rPr>
      </w:pPr>
      <w:r>
        <w:rPr>
          <w:rFonts w:cs="Arial"/>
          <w:b/>
          <w:sz w:val="32"/>
          <w:szCs w:val="32"/>
        </w:rPr>
        <w:br w:type="page"/>
      </w:r>
    </w:p>
    <w:p w:rsidR="006A3F93" w:rsidRPr="00412620" w:rsidRDefault="006A3F93">
      <w:pPr>
        <w:keepNext/>
        <w:jc w:val="center"/>
        <w:rPr>
          <w:rFonts w:cs="Arial"/>
          <w:b/>
          <w:sz w:val="32"/>
          <w:szCs w:val="32"/>
        </w:rPr>
      </w:pPr>
      <w:r w:rsidRPr="00412620">
        <w:rPr>
          <w:rFonts w:cs="Arial"/>
          <w:b/>
          <w:sz w:val="32"/>
          <w:szCs w:val="32"/>
        </w:rPr>
        <w:lastRenderedPageBreak/>
        <w:t>PART XI</w:t>
      </w:r>
    </w:p>
    <w:p w:rsidR="006A3F93" w:rsidRPr="00412620" w:rsidRDefault="006A3F93">
      <w:pPr>
        <w:keepNext/>
        <w:jc w:val="center"/>
        <w:rPr>
          <w:rFonts w:cs="Arial"/>
          <w:b/>
          <w:sz w:val="20"/>
        </w:rPr>
      </w:pPr>
      <w:r w:rsidRPr="00412620">
        <w:rPr>
          <w:rFonts w:cs="Arial"/>
          <w:b/>
          <w:sz w:val="20"/>
        </w:rPr>
        <w:t>OFFENCES AND PROSECUTIONS</w:t>
      </w:r>
    </w:p>
    <w:p w:rsidR="006A3F93" w:rsidRPr="00412620" w:rsidRDefault="006A3F93">
      <w:pPr>
        <w:pStyle w:val="Header"/>
        <w:keepNext/>
        <w:tabs>
          <w:tab w:val="left" w:pos="547"/>
        </w:tabs>
        <w:rPr>
          <w:rFonts w:cs="Arial"/>
          <w:sz w:val="20"/>
        </w:rPr>
      </w:pPr>
    </w:p>
    <w:p w:rsidR="006A3F93" w:rsidRPr="00412620" w:rsidRDefault="006A3F93">
      <w:pPr>
        <w:jc w:val="both"/>
        <w:rPr>
          <w:sz w:val="20"/>
        </w:rPr>
      </w:pPr>
      <w:r w:rsidRPr="00412620">
        <w:rPr>
          <w:rFonts w:cs="Arial"/>
          <w:b/>
          <w:sz w:val="20"/>
        </w:rPr>
        <w:t>191.</w:t>
      </w:r>
      <w:r w:rsidRPr="00412620">
        <w:rPr>
          <w:rFonts w:cs="Arial"/>
          <w:b/>
          <w:sz w:val="20"/>
        </w:rPr>
        <w:tab/>
        <w:t>Prosecution for non-compliance with certain statutory obligations.</w:t>
      </w:r>
      <w:r w:rsidR="00135250" w:rsidRPr="00412620">
        <w:rPr>
          <w:rFonts w:cs="Arial"/>
          <w:sz w:val="20"/>
        </w:rPr>
        <w:t xml:space="preserve"> —</w:t>
      </w:r>
      <w:r w:rsidRPr="00412620">
        <w:rPr>
          <w:sz w:val="20"/>
        </w:rPr>
        <w:t xml:space="preserve">(1)  Any person who, without reasonable excuse, fails to </w:t>
      </w:r>
      <w:r w:rsidR="00E21168" w:rsidRPr="00412620">
        <w:rPr>
          <w:rFonts w:cs="Arial"/>
          <w:sz w:val="20"/>
        </w:rPr>
        <w:t>—</w:t>
      </w:r>
    </w:p>
    <w:p w:rsidR="006A3F93" w:rsidRPr="00412620" w:rsidRDefault="006A3F93">
      <w:pPr>
        <w:jc w:val="both"/>
        <w:rPr>
          <w:rFonts w:cs="Arial"/>
          <w:sz w:val="20"/>
        </w:rPr>
      </w:pPr>
    </w:p>
    <w:p w:rsidR="006A3F93" w:rsidRPr="00412620" w:rsidRDefault="006A3F93">
      <w:pPr>
        <w:ind w:left="1620" w:hanging="661"/>
        <w:jc w:val="both"/>
        <w:rPr>
          <w:sz w:val="20"/>
        </w:rPr>
      </w:pPr>
      <w:r w:rsidRPr="00412620">
        <w:rPr>
          <w:rStyle w:val="FootnoteReference"/>
          <w:rFonts w:cs="Arial"/>
          <w:sz w:val="20"/>
        </w:rPr>
        <w:footnoteReference w:id="1260"/>
      </w:r>
      <w:r w:rsidRPr="00412620">
        <w:rPr>
          <w:sz w:val="20"/>
        </w:rPr>
        <w:t xml:space="preserve">[(a) </w:t>
      </w:r>
      <w:r w:rsidRPr="00412620">
        <w:rPr>
          <w:sz w:val="20"/>
        </w:rPr>
        <w:tab/>
        <w:t>comply with a notice under sub-section (3) of section 114 or sub-section (1) of section 116;]</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pay advance tax as required under section 147;</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comply with the obligation under Part V of this Chapter to collect or deduct tax and pay the tax to the Commissioner;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 xml:space="preserve">comply with a notice served under section 140 or 176;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(e)</w:t>
      </w:r>
      <w:r w:rsidRPr="00412620">
        <w:rPr>
          <w:rFonts w:cs="Arial"/>
          <w:sz w:val="20"/>
        </w:rPr>
        <w:tab/>
        <w:t xml:space="preserve">comply with the requirements of </w:t>
      </w:r>
      <w:r w:rsidRPr="00412620">
        <w:rPr>
          <w:rStyle w:val="FootnoteReference"/>
          <w:rFonts w:cs="Arial"/>
          <w:sz w:val="20"/>
        </w:rPr>
        <w:footnoteReference w:id="1261"/>
      </w:r>
      <w:r w:rsidRPr="00412620">
        <w:rPr>
          <w:rFonts w:cs="Arial"/>
          <w:sz w:val="20"/>
        </w:rPr>
        <w:t>[sub-section (3) or sub-section (4) of] section 141; or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(f )</w:t>
      </w:r>
      <w:r w:rsidRPr="00412620">
        <w:rPr>
          <w:rFonts w:cs="Arial"/>
          <w:sz w:val="20"/>
        </w:rPr>
        <w:tab/>
        <w:t>provide reasonable facilities and assistance as required under sub-section (3) of section 175,</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shall commit an offence punishable on conviction with a fine or imprisonment for a term not exceeding one year, or both.</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If a person convicted of an offence under clause (a) of sub-section (1) fails, without reasonable excuse, to furnish the return of income or wealth statement to which the offence relates within the period specified by the Court, the person shall commit a further offence punishable on conviction with a fine </w:t>
      </w:r>
      <w:r w:rsidR="001B4670" w:rsidRPr="00412620">
        <w:rPr>
          <w:rStyle w:val="FootnoteReference"/>
          <w:rFonts w:cs="Arial"/>
          <w:sz w:val="20"/>
        </w:rPr>
        <w:footnoteReference w:id="1262"/>
      </w:r>
      <w:r w:rsidR="0001712A" w:rsidRPr="00412620">
        <w:rPr>
          <w:rFonts w:cs="Arial"/>
          <w:sz w:val="20"/>
        </w:rPr>
        <w:t>[</w:t>
      </w:r>
      <w:r w:rsidR="005A3370" w:rsidRPr="00412620">
        <w:rPr>
          <w:rFonts w:cs="Arial"/>
          <w:sz w:val="20"/>
        </w:rPr>
        <w:t xml:space="preserve">not exceeding fifty </w:t>
      </w:r>
      <w:r w:rsidR="0001712A" w:rsidRPr="00412620">
        <w:rPr>
          <w:rFonts w:cs="Arial"/>
          <w:sz w:val="20"/>
        </w:rPr>
        <w:t xml:space="preserve">thousand rupees] </w:t>
      </w:r>
      <w:r w:rsidRPr="00412620">
        <w:rPr>
          <w:rFonts w:cs="Arial"/>
          <w:sz w:val="20"/>
        </w:rPr>
        <w:t>or imprisonment for a term not exceeding two years, or both.</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192.</w:t>
      </w:r>
      <w:r w:rsidRPr="00412620">
        <w:rPr>
          <w:rFonts w:cs="Arial"/>
          <w:b/>
          <w:sz w:val="20"/>
        </w:rPr>
        <w:tab/>
        <w:t xml:space="preserve"> Prosecution for false statement in verification.</w:t>
      </w:r>
      <w:r w:rsidR="00E21168" w:rsidRPr="00412620">
        <w:rPr>
          <w:rFonts w:cs="Arial"/>
          <w:sz w:val="20"/>
        </w:rPr>
        <w:t xml:space="preserve"> —</w:t>
      </w:r>
      <w:r w:rsidRPr="00412620">
        <w:rPr>
          <w:sz w:val="20"/>
        </w:rPr>
        <w:t xml:space="preserve"> Any person who makes a statement in any verification in any return or other document furnished under this Ordinance which is false and which the person knows or believes to be false, or does not believe to be true, the person shall commit an offence punishable on conviction with a fine </w:t>
      </w:r>
      <w:r w:rsidR="00AC5109" w:rsidRPr="00412620">
        <w:rPr>
          <w:rStyle w:val="FootnoteReference"/>
          <w:sz w:val="20"/>
        </w:rPr>
        <w:footnoteReference w:id="1263"/>
      </w:r>
      <w:r w:rsidR="001B4670" w:rsidRPr="00412620">
        <w:rPr>
          <w:sz w:val="20"/>
        </w:rPr>
        <w:t xml:space="preserve">[upto hundred thousand rupees] </w:t>
      </w:r>
      <w:r w:rsidRPr="00412620">
        <w:rPr>
          <w:sz w:val="20"/>
        </w:rPr>
        <w:t>or imprisonment for a term not exceeding three years, or both.</w:t>
      </w:r>
    </w:p>
    <w:p w:rsidR="006A3F93" w:rsidRPr="00412620" w:rsidRDefault="006A3F93">
      <w:pPr>
        <w:rPr>
          <w:rFonts w:cs="Arial"/>
          <w:sz w:val="20"/>
        </w:rPr>
      </w:pPr>
    </w:p>
    <w:p w:rsidR="00AC5109" w:rsidRPr="00412620" w:rsidRDefault="008F1EA0" w:rsidP="00AC5109">
      <w:pPr>
        <w:jc w:val="both"/>
        <w:rPr>
          <w:rFonts w:cs="Arial"/>
          <w:sz w:val="20"/>
        </w:rPr>
      </w:pPr>
      <w:r w:rsidRPr="00606F37">
        <w:rPr>
          <w:rStyle w:val="FootnoteReference"/>
          <w:rFonts w:cs="Arial"/>
          <w:sz w:val="20"/>
        </w:rPr>
        <w:lastRenderedPageBreak/>
        <w:footnoteReference w:id="1264"/>
      </w:r>
      <w:r w:rsidR="00AC5109" w:rsidRPr="00606F37">
        <w:rPr>
          <w:rFonts w:cs="Arial"/>
          <w:sz w:val="20"/>
        </w:rPr>
        <w:t>[</w:t>
      </w:r>
      <w:r w:rsidR="00AC5109" w:rsidRPr="00412620">
        <w:rPr>
          <w:rFonts w:cs="Arial"/>
          <w:b/>
          <w:sz w:val="20"/>
        </w:rPr>
        <w:t>192A. Prosecution for concealment of income</w:t>
      </w:r>
      <w:r w:rsidR="00AC5109" w:rsidRPr="00412620">
        <w:rPr>
          <w:rFonts w:cs="Arial"/>
          <w:sz w:val="20"/>
        </w:rPr>
        <w:t>.</w:t>
      </w:r>
      <w:r w:rsidR="00F75A2E" w:rsidRPr="00412620">
        <w:rPr>
          <w:rFonts w:cs="Arial"/>
          <w:sz w:val="20"/>
        </w:rPr>
        <w:t>—</w:t>
      </w:r>
      <w:r w:rsidR="00AC5109" w:rsidRPr="00412620">
        <w:rPr>
          <w:rFonts w:cs="Arial"/>
          <w:sz w:val="20"/>
        </w:rPr>
        <w:t xml:space="preserve"> (1) Where, in the course of any proceedings under this Ordinance, any person has either in the said proceedings or in any earlier proceedings concealed income or furnished inaccurate particulars of such income and revenue impact of such concealment or furnishing of inaccurate particulars of such income is five hundred thousand rupees or more shall commit an offence punishable on conviction with imprisonment upto two years or with fine or both.</w:t>
      </w:r>
    </w:p>
    <w:p w:rsidR="00AC5109" w:rsidRPr="00412620" w:rsidRDefault="00AC5109" w:rsidP="00AC5109">
      <w:pPr>
        <w:jc w:val="both"/>
        <w:rPr>
          <w:rFonts w:cs="Arial"/>
          <w:sz w:val="20"/>
        </w:rPr>
      </w:pPr>
    </w:p>
    <w:p w:rsidR="00AC5109" w:rsidRPr="00412620" w:rsidRDefault="00AC5109" w:rsidP="00AC5109">
      <w:pPr>
        <w:jc w:val="both"/>
        <w:rPr>
          <w:rFonts w:cs="Arial"/>
          <w:sz w:val="20"/>
        </w:rPr>
      </w:pPr>
      <w:r w:rsidRPr="00412620">
        <w:rPr>
          <w:rFonts w:cs="Arial"/>
          <w:sz w:val="20"/>
        </w:rPr>
        <w:tab/>
        <w:t xml:space="preserve">(2) </w:t>
      </w:r>
      <w:r w:rsidRPr="00412620">
        <w:rPr>
          <w:rFonts w:cs="Arial"/>
          <w:sz w:val="20"/>
        </w:rPr>
        <w:tab/>
        <w:t>For the purposes of sub-section (1), concealment of income or the furnishing of inaccurate particulars of income shall include</w:t>
      </w:r>
    </w:p>
    <w:p w:rsidR="00AC5109" w:rsidRPr="00412620" w:rsidRDefault="00AC5109" w:rsidP="00AC5109">
      <w:pPr>
        <w:jc w:val="both"/>
        <w:rPr>
          <w:rFonts w:cs="Arial"/>
          <w:sz w:val="20"/>
        </w:rPr>
      </w:pPr>
    </w:p>
    <w:p w:rsidR="00AC5109" w:rsidRPr="00412620" w:rsidRDefault="00AC5109" w:rsidP="00AC5109">
      <w:pPr>
        <w:jc w:val="both"/>
        <w:rPr>
          <w:rFonts w:cs="Arial"/>
          <w:sz w:val="20"/>
        </w:rPr>
      </w:pPr>
      <w:r w:rsidRPr="00412620">
        <w:rPr>
          <w:rFonts w:cs="Arial"/>
          <w:sz w:val="20"/>
        </w:rPr>
        <w:tab/>
      </w:r>
      <w:r w:rsidRPr="00412620">
        <w:rPr>
          <w:rFonts w:cs="Arial"/>
          <w:sz w:val="20"/>
        </w:rPr>
        <w:tab/>
        <w:t xml:space="preserve">(a) </w:t>
      </w:r>
      <w:r w:rsidRPr="00412620">
        <w:rPr>
          <w:rFonts w:cs="Arial"/>
          <w:sz w:val="20"/>
        </w:rPr>
        <w:tab/>
        <w:t>the suppression of any income or amount chargeable to tax;</w:t>
      </w:r>
    </w:p>
    <w:p w:rsidR="00AC5109" w:rsidRPr="00412620" w:rsidRDefault="00AC5109" w:rsidP="00AC5109">
      <w:pPr>
        <w:jc w:val="both"/>
        <w:rPr>
          <w:rFonts w:cs="Arial"/>
          <w:sz w:val="20"/>
        </w:rPr>
      </w:pPr>
    </w:p>
    <w:p w:rsidR="00AC5109" w:rsidRPr="00412620" w:rsidRDefault="00AC5109" w:rsidP="00AC5109">
      <w:pPr>
        <w:ind w:left="1641" w:hanging="546"/>
        <w:jc w:val="both"/>
        <w:rPr>
          <w:rFonts w:cs="Arial"/>
          <w:sz w:val="20"/>
        </w:rPr>
      </w:pPr>
      <w:r w:rsidRPr="00412620">
        <w:rPr>
          <w:rFonts w:cs="Arial"/>
          <w:sz w:val="20"/>
        </w:rPr>
        <w:t>(b)</w:t>
      </w:r>
      <w:r w:rsidRPr="00412620">
        <w:rPr>
          <w:rFonts w:cs="Arial"/>
          <w:sz w:val="20"/>
        </w:rPr>
        <w:tab/>
        <w:t>the claiming of any deduction for any expenditure not actually incurred; or</w:t>
      </w:r>
    </w:p>
    <w:p w:rsidR="00AC5109" w:rsidRPr="00412620" w:rsidRDefault="00AC5109" w:rsidP="00AC5109">
      <w:pPr>
        <w:jc w:val="both"/>
        <w:rPr>
          <w:rFonts w:cs="Arial"/>
          <w:sz w:val="20"/>
        </w:rPr>
      </w:pPr>
    </w:p>
    <w:p w:rsidR="00AC5109" w:rsidRPr="00412620" w:rsidRDefault="00AC5109" w:rsidP="00AC5109">
      <w:pPr>
        <w:jc w:val="both"/>
        <w:rPr>
          <w:rFonts w:cs="Arial"/>
          <w:sz w:val="20"/>
        </w:rPr>
      </w:pPr>
      <w:r w:rsidRPr="00412620">
        <w:rPr>
          <w:rFonts w:cs="Arial"/>
          <w:sz w:val="20"/>
        </w:rPr>
        <w:tab/>
      </w:r>
      <w:r w:rsidRPr="00412620">
        <w:rPr>
          <w:rFonts w:cs="Arial"/>
          <w:sz w:val="20"/>
        </w:rPr>
        <w:tab/>
        <w:t xml:space="preserve">(c) </w:t>
      </w:r>
      <w:r w:rsidRPr="00412620">
        <w:rPr>
          <w:rFonts w:cs="Arial"/>
          <w:sz w:val="20"/>
        </w:rPr>
        <w:tab/>
        <w:t xml:space="preserve">any act referred to in sub-section (1) of section 111.]  </w:t>
      </w:r>
    </w:p>
    <w:p w:rsidR="00AC5109" w:rsidRPr="00412620" w:rsidRDefault="00AC5109" w:rsidP="00AC5109">
      <w:pPr>
        <w:jc w:val="both"/>
        <w:rPr>
          <w:rFonts w:cs="Arial"/>
          <w:sz w:val="20"/>
        </w:rPr>
      </w:pPr>
    </w:p>
    <w:p w:rsidR="006A3F93" w:rsidRPr="00412620" w:rsidRDefault="006A3F93">
      <w:pPr>
        <w:jc w:val="both"/>
        <w:rPr>
          <w:sz w:val="20"/>
        </w:rPr>
      </w:pPr>
      <w:r w:rsidRPr="00412620">
        <w:rPr>
          <w:rFonts w:cs="Arial"/>
          <w:b/>
          <w:sz w:val="20"/>
        </w:rPr>
        <w:t>193.</w:t>
      </w:r>
      <w:r w:rsidRPr="00412620">
        <w:rPr>
          <w:rFonts w:cs="Arial"/>
          <w:b/>
          <w:sz w:val="20"/>
        </w:rPr>
        <w:tab/>
        <w:t xml:space="preserve"> Prosecution for failure to maintain records.</w:t>
      </w:r>
      <w:r w:rsidR="00F75A2E" w:rsidRPr="00412620">
        <w:rPr>
          <w:rFonts w:cs="Arial"/>
          <w:sz w:val="20"/>
        </w:rPr>
        <w:t>—</w:t>
      </w:r>
      <w:r w:rsidRPr="00412620">
        <w:rPr>
          <w:sz w:val="20"/>
        </w:rPr>
        <w:t>A person who fails to maintain records as required under this Ordinance shall commit an offence punishable on conviction with –</w:t>
      </w:r>
    </w:p>
    <w:p w:rsidR="006A3F93" w:rsidRPr="00412620" w:rsidRDefault="006A3F93">
      <w:pPr>
        <w:rPr>
          <w:rFonts w:cs="Arial"/>
          <w:sz w:val="20"/>
        </w:rPr>
      </w:pPr>
    </w:p>
    <w:p w:rsidR="006A3F93" w:rsidRPr="00412620" w:rsidRDefault="006A3F93">
      <w:pPr>
        <w:pStyle w:val="BodyTextIndent"/>
        <w:ind w:left="1620"/>
        <w:rPr>
          <w:rFonts w:cs="Arial"/>
          <w:sz w:val="20"/>
        </w:rPr>
      </w:pPr>
      <w:r w:rsidRPr="00412620">
        <w:rPr>
          <w:rFonts w:cs="Arial"/>
          <w:sz w:val="20"/>
        </w:rPr>
        <w:t>(a)</w:t>
      </w:r>
      <w:r w:rsidRPr="00412620">
        <w:rPr>
          <w:rFonts w:cs="Arial"/>
          <w:sz w:val="20"/>
        </w:rPr>
        <w:tab/>
        <w:t>where the failure was deliberate, a fine</w:t>
      </w:r>
      <w:r w:rsidR="00A9283F" w:rsidRPr="00412620">
        <w:rPr>
          <w:rStyle w:val="FootnoteReference"/>
          <w:rFonts w:cs="Arial"/>
          <w:sz w:val="20"/>
        </w:rPr>
        <w:footnoteReference w:id="1265"/>
      </w:r>
      <w:r w:rsidR="008F1EA0" w:rsidRPr="00412620">
        <w:rPr>
          <w:rFonts w:cs="Arial"/>
          <w:sz w:val="20"/>
        </w:rPr>
        <w:t>[not exceeding fifty thousand rupees]</w:t>
      </w:r>
      <w:r w:rsidRPr="00412620">
        <w:rPr>
          <w:rFonts w:cs="Arial"/>
          <w:sz w:val="20"/>
        </w:rPr>
        <w:t xml:space="preserve"> or imprisonment for a term not exceeding two years, or both; or</w:t>
      </w:r>
    </w:p>
    <w:p w:rsidR="006A3F93" w:rsidRPr="00412620" w:rsidRDefault="006A3F93">
      <w:pPr>
        <w:rPr>
          <w:rFonts w:cs="Arial"/>
          <w:sz w:val="20"/>
        </w:rPr>
      </w:pPr>
    </w:p>
    <w:p w:rsidR="006A3F93" w:rsidRPr="00412620" w:rsidRDefault="006A3F93">
      <w:pPr>
        <w:pStyle w:val="BodyTextIndent"/>
        <w:ind w:left="1620"/>
        <w:rPr>
          <w:rFonts w:cs="Arial"/>
          <w:sz w:val="20"/>
        </w:rPr>
      </w:pPr>
      <w:r w:rsidRPr="00412620">
        <w:rPr>
          <w:rFonts w:cs="Arial"/>
          <w:sz w:val="20"/>
        </w:rPr>
        <w:t>(b)</w:t>
      </w:r>
      <w:r w:rsidRPr="00412620">
        <w:rPr>
          <w:rFonts w:cs="Arial"/>
          <w:sz w:val="20"/>
        </w:rPr>
        <w:tab/>
        <w:t>in any other case, a fine</w:t>
      </w:r>
      <w:r w:rsidR="00415578" w:rsidRPr="00412620">
        <w:rPr>
          <w:rStyle w:val="FootnoteReference"/>
          <w:rFonts w:cs="Arial"/>
          <w:sz w:val="20"/>
        </w:rPr>
        <w:footnoteReference w:id="1266"/>
      </w:r>
      <w:r w:rsidR="00415578" w:rsidRPr="00412620">
        <w:rPr>
          <w:rFonts w:cs="Arial"/>
          <w:sz w:val="20"/>
        </w:rPr>
        <w:t>[not exceeding fifty thousand rupees]</w:t>
      </w:r>
      <w:r w:rsidRPr="00412620">
        <w:rPr>
          <w:rFonts w:cs="Arial"/>
          <w:sz w:val="20"/>
        </w:rPr>
        <w:t>.</w:t>
      </w:r>
    </w:p>
    <w:p w:rsidR="006A3F93" w:rsidRPr="00412620" w:rsidRDefault="006A3F93">
      <w:pPr>
        <w:rPr>
          <w:rFonts w:cs="Arial"/>
          <w:sz w:val="20"/>
        </w:rPr>
      </w:pPr>
    </w:p>
    <w:p w:rsidR="006A3F93" w:rsidRPr="00412620" w:rsidRDefault="006A3F93" w:rsidP="00B934BB">
      <w:pPr>
        <w:jc w:val="both"/>
        <w:rPr>
          <w:sz w:val="20"/>
        </w:rPr>
      </w:pPr>
      <w:r w:rsidRPr="00412620">
        <w:rPr>
          <w:rFonts w:cs="Arial"/>
          <w:b/>
          <w:sz w:val="20"/>
        </w:rPr>
        <w:t>194.</w:t>
      </w:r>
      <w:r w:rsidRPr="00412620">
        <w:rPr>
          <w:rFonts w:cs="Arial"/>
          <w:b/>
          <w:sz w:val="20"/>
        </w:rPr>
        <w:tab/>
        <w:t xml:space="preserve"> Prosecution for improper use of National Tax Number </w:t>
      </w:r>
      <w:r w:rsidRPr="00606F37">
        <w:rPr>
          <w:rStyle w:val="FootnoteReference"/>
          <w:rFonts w:cs="Arial"/>
          <w:sz w:val="20"/>
        </w:rPr>
        <w:footnoteReference w:id="1267"/>
      </w:r>
      <w:r w:rsidRPr="00606F37">
        <w:rPr>
          <w:sz w:val="20"/>
        </w:rPr>
        <w:t>[</w:t>
      </w:r>
      <w:r w:rsidRPr="00412620">
        <w:rPr>
          <w:b/>
          <w:sz w:val="20"/>
        </w:rPr>
        <w:t>Certificate</w:t>
      </w:r>
      <w:r w:rsidRPr="00606F37">
        <w:rPr>
          <w:sz w:val="20"/>
        </w:rPr>
        <w:t>].</w:t>
      </w:r>
      <w:r w:rsidR="0067553B" w:rsidRPr="00412620">
        <w:rPr>
          <w:rFonts w:cs="Arial"/>
          <w:sz w:val="20"/>
        </w:rPr>
        <w:t>—</w:t>
      </w:r>
      <w:r w:rsidRPr="00412620">
        <w:rPr>
          <w:sz w:val="20"/>
        </w:rPr>
        <w:t xml:space="preserve"> A person who knowingly or recklessly uses a false National Tax Number </w:t>
      </w:r>
      <w:r w:rsidRPr="00412620">
        <w:rPr>
          <w:rStyle w:val="FootnoteReference"/>
          <w:sz w:val="20"/>
        </w:rPr>
        <w:footnoteReference w:id="1268"/>
      </w:r>
      <w:r w:rsidRPr="00412620">
        <w:rPr>
          <w:sz w:val="20"/>
        </w:rPr>
        <w:t xml:space="preserve">[Certificate] including the National Tax Number </w:t>
      </w:r>
      <w:r w:rsidRPr="00412620">
        <w:rPr>
          <w:rStyle w:val="FootnoteReference"/>
          <w:sz w:val="20"/>
        </w:rPr>
        <w:footnoteReference w:id="1269"/>
      </w:r>
      <w:r w:rsidRPr="00412620">
        <w:rPr>
          <w:sz w:val="20"/>
        </w:rPr>
        <w:t xml:space="preserve">[Certificate] of another person on a return or other document prescribed or used for the purposes of this Ordinance shall commit an offence punishable with a fine </w:t>
      </w:r>
      <w:r w:rsidR="00A9283F" w:rsidRPr="00412620">
        <w:rPr>
          <w:rStyle w:val="FootnoteReference"/>
          <w:sz w:val="20"/>
        </w:rPr>
        <w:footnoteReference w:id="1270"/>
      </w:r>
      <w:r w:rsidR="00A9283F" w:rsidRPr="00412620">
        <w:rPr>
          <w:sz w:val="20"/>
        </w:rPr>
        <w:t xml:space="preserve">[not exceeding fifty thousand rupees] </w:t>
      </w:r>
      <w:r w:rsidRPr="00412620">
        <w:rPr>
          <w:sz w:val="20"/>
        </w:rPr>
        <w:t>or imprisonment for a term not exceeding two years, or both.</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195.</w:t>
      </w:r>
      <w:r w:rsidRPr="00412620">
        <w:rPr>
          <w:rFonts w:cs="Arial"/>
          <w:b/>
          <w:sz w:val="20"/>
        </w:rPr>
        <w:tab/>
        <w:t xml:space="preserve"> Prosecution for making false or misleading statements.</w:t>
      </w:r>
      <w:r w:rsidR="0067553B" w:rsidRPr="00412620">
        <w:rPr>
          <w:rFonts w:cs="Arial"/>
          <w:sz w:val="20"/>
        </w:rPr>
        <w:t xml:space="preserve"> —</w:t>
      </w:r>
      <w:r w:rsidRPr="00412620">
        <w:rPr>
          <w:sz w:val="20"/>
        </w:rPr>
        <w:t xml:space="preserve"> (1)  A person who –</w:t>
      </w:r>
    </w:p>
    <w:p w:rsidR="006A3F93" w:rsidRPr="00412620" w:rsidRDefault="006A3F93">
      <w:pPr>
        <w:jc w:val="both"/>
        <w:rPr>
          <w:rFonts w:cs="Arial"/>
          <w:sz w:val="20"/>
        </w:rPr>
      </w:pPr>
    </w:p>
    <w:p w:rsidR="006A3F93" w:rsidRPr="00412620" w:rsidRDefault="006A3F93">
      <w:pPr>
        <w:pStyle w:val="BodyTextIndent"/>
        <w:ind w:left="2188" w:hanging="748"/>
        <w:jc w:val="both"/>
        <w:rPr>
          <w:rFonts w:cs="Arial"/>
          <w:sz w:val="20"/>
        </w:rPr>
      </w:pPr>
      <w:r w:rsidRPr="00412620">
        <w:rPr>
          <w:rFonts w:cs="Arial"/>
          <w:sz w:val="20"/>
        </w:rPr>
        <w:lastRenderedPageBreak/>
        <w:t>(a)</w:t>
      </w:r>
      <w:r w:rsidRPr="00412620">
        <w:rPr>
          <w:rFonts w:cs="Arial"/>
          <w:sz w:val="20"/>
        </w:rPr>
        <w:tab/>
        <w:t xml:space="preserve">makes a statement to </w:t>
      </w:r>
      <w:r w:rsidRPr="00412620">
        <w:rPr>
          <w:rFonts w:cs="Arial"/>
          <w:sz w:val="20"/>
          <w:vertAlign w:val="superscript"/>
        </w:rPr>
        <w:footnoteReference w:id="1271"/>
      </w:r>
      <w:r w:rsidRPr="00412620">
        <w:rPr>
          <w:rFonts w:cs="Arial"/>
          <w:sz w:val="20"/>
        </w:rPr>
        <w:t>[an income tax authority] that is false or misleading in a material particular; or</w:t>
      </w:r>
    </w:p>
    <w:p w:rsidR="00B934BB" w:rsidRPr="00412620" w:rsidRDefault="00B934BB">
      <w:pPr>
        <w:pStyle w:val="BodyTextIndent"/>
        <w:rPr>
          <w:rFonts w:cs="Arial"/>
          <w:sz w:val="20"/>
        </w:rPr>
      </w:pPr>
    </w:p>
    <w:p w:rsidR="006A3F93" w:rsidRPr="00412620" w:rsidRDefault="006A3F93">
      <w:pPr>
        <w:pStyle w:val="BodyTextIndent"/>
        <w:ind w:left="2188" w:hanging="748"/>
        <w:jc w:val="both"/>
        <w:rPr>
          <w:rFonts w:cs="Arial"/>
          <w:sz w:val="20"/>
        </w:rPr>
      </w:pPr>
      <w:r w:rsidRPr="00412620">
        <w:rPr>
          <w:rFonts w:cs="Arial"/>
          <w:sz w:val="20"/>
        </w:rPr>
        <w:t>(b)</w:t>
      </w:r>
      <w:r w:rsidRPr="00412620">
        <w:rPr>
          <w:rFonts w:cs="Arial"/>
          <w:sz w:val="20"/>
        </w:rPr>
        <w:tab/>
        <w:t xml:space="preserve">omits from a statement made to </w:t>
      </w:r>
      <w:r w:rsidRPr="00412620">
        <w:rPr>
          <w:rStyle w:val="FootnoteReference"/>
          <w:rFonts w:cs="Arial"/>
          <w:sz w:val="20"/>
        </w:rPr>
        <w:footnoteReference w:id="1272"/>
      </w:r>
      <w:r w:rsidRPr="00412620">
        <w:rPr>
          <w:rFonts w:cs="Arial"/>
          <w:sz w:val="20"/>
        </w:rPr>
        <w:t>[an income tax authority] any matter or thing without which the statement is misleading in a material particular,</w:t>
      </w:r>
    </w:p>
    <w:p w:rsidR="006A3F93" w:rsidRPr="00412620" w:rsidRDefault="006A3F93">
      <w:pPr>
        <w:rPr>
          <w:rFonts w:cs="Arial"/>
          <w:sz w:val="20"/>
        </w:rPr>
      </w:pPr>
    </w:p>
    <w:p w:rsidR="006A3F93" w:rsidRPr="00412620" w:rsidRDefault="006A3F93">
      <w:pPr>
        <w:pStyle w:val="Header"/>
        <w:rPr>
          <w:rFonts w:cs="Arial"/>
          <w:sz w:val="20"/>
        </w:rPr>
      </w:pPr>
      <w:r w:rsidRPr="00412620">
        <w:rPr>
          <w:rFonts w:cs="Arial"/>
          <w:sz w:val="20"/>
        </w:rPr>
        <w:t>shall commit an offence punishable on conviction –</w:t>
      </w:r>
    </w:p>
    <w:p w:rsidR="006A3F93" w:rsidRPr="00412620" w:rsidRDefault="006A3F93">
      <w:pPr>
        <w:rPr>
          <w:rFonts w:cs="Arial"/>
          <w:sz w:val="20"/>
        </w:rPr>
      </w:pPr>
    </w:p>
    <w:p w:rsidR="006A3F93" w:rsidRPr="00412620" w:rsidRDefault="006A3F93">
      <w:pPr>
        <w:pStyle w:val="BodyTextIndent"/>
        <w:ind w:left="2728" w:hanging="540"/>
        <w:jc w:val="both"/>
        <w:rPr>
          <w:rFonts w:cs="Arial"/>
          <w:sz w:val="20"/>
        </w:rPr>
      </w:pPr>
      <w:r w:rsidRPr="00412620">
        <w:rPr>
          <w:rFonts w:cs="Arial"/>
          <w:sz w:val="20"/>
        </w:rPr>
        <w:t xml:space="preserve"> (i)</w:t>
      </w:r>
      <w:r w:rsidRPr="00412620">
        <w:rPr>
          <w:rFonts w:cs="Arial"/>
          <w:sz w:val="20"/>
        </w:rPr>
        <w:tab/>
        <w:t>where the statement or omission was made knowingly or recklessly, with a fine or imprisonment for a term not exceeding two years, or both; or</w:t>
      </w:r>
    </w:p>
    <w:p w:rsidR="006A3F93" w:rsidRPr="00412620" w:rsidRDefault="006A3F93">
      <w:pPr>
        <w:pStyle w:val="BodyTextIndent"/>
        <w:rPr>
          <w:rFonts w:cs="Arial"/>
          <w:sz w:val="20"/>
        </w:rPr>
      </w:pPr>
    </w:p>
    <w:p w:rsidR="006A3F93" w:rsidRPr="00412620" w:rsidRDefault="006A3F93">
      <w:pPr>
        <w:pStyle w:val="BodyTextIndent"/>
        <w:ind w:left="2167" w:firstLine="21"/>
        <w:rPr>
          <w:rFonts w:cs="Arial"/>
          <w:sz w:val="20"/>
        </w:rPr>
      </w:pPr>
      <w:r w:rsidRPr="00412620">
        <w:rPr>
          <w:rFonts w:cs="Arial"/>
          <w:sz w:val="20"/>
        </w:rPr>
        <w:t>(ii)</w:t>
      </w:r>
      <w:r w:rsidRPr="00412620">
        <w:rPr>
          <w:rFonts w:cs="Arial"/>
          <w:sz w:val="20"/>
        </w:rPr>
        <w:tab/>
        <w:t>in any other case, with a fine.</w:t>
      </w:r>
    </w:p>
    <w:p w:rsidR="006A3F93" w:rsidRPr="00412620" w:rsidRDefault="006A3F93">
      <w:pPr>
        <w:pStyle w:val="BodyTextIndent"/>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 person shall not commit an offence under sub-section (1) if the person did not know and could not reasonably be expected to have known that the statement to which the prosecution relates was false or misleading.</w:t>
      </w:r>
    </w:p>
    <w:p w:rsidR="006E5F00" w:rsidRPr="00412620" w:rsidRDefault="006E5F00">
      <w:pPr>
        <w:pStyle w:val="CommentText"/>
        <w:rPr>
          <w:rFonts w:cs="Arial"/>
        </w:rPr>
      </w:pPr>
    </w:p>
    <w:p w:rsidR="006A3F93" w:rsidRPr="00412620" w:rsidRDefault="006A3F93" w:rsidP="00AA691B">
      <w:pPr>
        <w:autoSpaceDE w:val="0"/>
        <w:autoSpaceDN w:val="0"/>
        <w:adjustRightInd w:val="0"/>
        <w:jc w:val="both"/>
        <w:rPr>
          <w:rFonts w:cs="Arial"/>
          <w:sz w:val="20"/>
        </w:rPr>
      </w:pPr>
      <w:r w:rsidRPr="00412620">
        <w:rPr>
          <w:rFonts w:cs="Arial"/>
          <w:sz w:val="20"/>
        </w:rPr>
        <w:tab/>
        <w:t>(3)</w:t>
      </w:r>
      <w:r w:rsidRPr="00412620">
        <w:rPr>
          <w:rFonts w:cs="Arial"/>
          <w:sz w:val="20"/>
        </w:rPr>
        <w:tab/>
      </w:r>
      <w:r w:rsidR="004F13A8" w:rsidRPr="00910B5A">
        <w:rPr>
          <w:rStyle w:val="FootnoteReference"/>
          <w:rFonts w:cs="Arial"/>
          <w:color w:val="000000" w:themeColor="text1"/>
          <w:sz w:val="20"/>
        </w:rPr>
        <w:footnoteReference w:id="1273"/>
      </w:r>
      <w:r w:rsidR="00AA691B" w:rsidRPr="00910B5A">
        <w:rPr>
          <w:rFonts w:cs="Arial"/>
          <w:color w:val="000000" w:themeColor="text1"/>
          <w:sz w:val="20"/>
        </w:rPr>
        <w:t>[“</w:t>
      </w:r>
      <w:r w:rsidR="00AA691B" w:rsidRPr="00910B5A">
        <w:rPr>
          <w:rFonts w:cs="Arial"/>
          <w:color w:val="000000" w:themeColor="text1"/>
          <w:sz w:val="20"/>
          <w:lang w:val="en-US"/>
        </w:rPr>
        <w:t>Entry against S.No 10 in column (2) of the Table in sub-section (1) of section 182”]</w:t>
      </w:r>
      <w:r w:rsidR="001A2A0D">
        <w:rPr>
          <w:rFonts w:cs="Arial"/>
          <w:color w:val="984806" w:themeColor="accent6" w:themeShade="80"/>
          <w:sz w:val="20"/>
          <w:lang w:val="en-US"/>
        </w:rPr>
        <w:t xml:space="preserve"> </w:t>
      </w:r>
      <w:r w:rsidRPr="00412620">
        <w:rPr>
          <w:rFonts w:cs="Arial"/>
          <w:sz w:val="20"/>
        </w:rPr>
        <w:t xml:space="preserve">shall apply in determining whether a person has made a statement to </w:t>
      </w:r>
      <w:r w:rsidRPr="00412620">
        <w:rPr>
          <w:rStyle w:val="FootnoteReference"/>
          <w:rFonts w:cs="Arial"/>
          <w:sz w:val="20"/>
        </w:rPr>
        <w:footnoteReference w:id="1274"/>
      </w:r>
      <w:r w:rsidRPr="00412620">
        <w:rPr>
          <w:rFonts w:cs="Arial"/>
          <w:sz w:val="20"/>
        </w:rPr>
        <w:t>[an income tax authority].</w:t>
      </w:r>
    </w:p>
    <w:p w:rsidR="006A3F93" w:rsidRPr="00412620" w:rsidRDefault="006A3F93">
      <w:pPr>
        <w:pStyle w:val="CommentText"/>
        <w:rPr>
          <w:rFonts w:cs="Arial"/>
        </w:rPr>
      </w:pPr>
    </w:p>
    <w:p w:rsidR="006A3F93" w:rsidRPr="00412620" w:rsidRDefault="006A3F93">
      <w:pPr>
        <w:jc w:val="both"/>
        <w:rPr>
          <w:sz w:val="20"/>
        </w:rPr>
      </w:pPr>
      <w:r w:rsidRPr="00412620">
        <w:rPr>
          <w:rFonts w:cs="Arial"/>
          <w:b/>
          <w:sz w:val="20"/>
        </w:rPr>
        <w:t>196.</w:t>
      </w:r>
      <w:r w:rsidRPr="00412620">
        <w:rPr>
          <w:rFonts w:cs="Arial"/>
          <w:b/>
          <w:sz w:val="20"/>
        </w:rPr>
        <w:tab/>
        <w:t xml:space="preserve"> Prosecution for obstructing </w:t>
      </w:r>
      <w:r w:rsidRPr="00412620">
        <w:rPr>
          <w:rStyle w:val="FootnoteReference"/>
          <w:rFonts w:cs="Arial"/>
          <w:b/>
          <w:sz w:val="20"/>
        </w:rPr>
        <w:footnoteReference w:id="1275"/>
      </w:r>
      <w:r w:rsidRPr="00412620">
        <w:rPr>
          <w:rFonts w:cs="Arial"/>
          <w:b/>
          <w:sz w:val="20"/>
        </w:rPr>
        <w:t>[an income tax authority.</w:t>
      </w:r>
      <w:r w:rsidR="0067553B" w:rsidRPr="00412620">
        <w:rPr>
          <w:rFonts w:cs="Arial"/>
          <w:sz w:val="20"/>
        </w:rPr>
        <w:t xml:space="preserve"> —</w:t>
      </w:r>
      <w:r w:rsidRPr="00412620">
        <w:rPr>
          <w:rFonts w:cs="Arial"/>
          <w:b/>
          <w:sz w:val="20"/>
        </w:rPr>
        <w:t>]</w:t>
      </w:r>
      <w:r w:rsidRPr="00412620">
        <w:rPr>
          <w:sz w:val="20"/>
        </w:rPr>
        <w:t xml:space="preserve"> A person who obstructs </w:t>
      </w:r>
      <w:r w:rsidRPr="00412620">
        <w:rPr>
          <w:rStyle w:val="FootnoteReference"/>
          <w:sz w:val="20"/>
        </w:rPr>
        <w:footnoteReference w:id="1276"/>
      </w:r>
      <w:r w:rsidRPr="00412620">
        <w:rPr>
          <w:sz w:val="20"/>
        </w:rPr>
        <w:t>[an income tax authority]in discharge of functions under this Ordinance shall commit an offence punishable on conviction with a fine or imprisonment for a term not exceeding one year, or both.</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197.</w:t>
      </w:r>
      <w:r w:rsidRPr="00412620">
        <w:rPr>
          <w:rFonts w:cs="Arial"/>
          <w:b/>
          <w:sz w:val="20"/>
        </w:rPr>
        <w:tab/>
        <w:t xml:space="preserve"> Prosecution for disposal of property to prevent attachment.</w:t>
      </w:r>
      <w:r w:rsidR="00A86734" w:rsidRPr="00412620">
        <w:rPr>
          <w:rFonts w:cs="Arial"/>
          <w:sz w:val="20"/>
        </w:rPr>
        <w:t xml:space="preserve"> —</w:t>
      </w:r>
      <w:r w:rsidRPr="00412620">
        <w:rPr>
          <w:sz w:val="20"/>
        </w:rPr>
        <w:t xml:space="preserve"> Where the owner of any property, or a person acting on the owner’s behalf or claiming under the owner, sells, mortgages, charges, leases or otherwise deals with the property after the receipt of a notice from the Commissioner with a view to preventing the Commissioner from attaching it, shall commit an offence punishable on conviction with a fine </w:t>
      </w:r>
      <w:r w:rsidR="00A9283F" w:rsidRPr="00412620">
        <w:rPr>
          <w:rStyle w:val="FootnoteReference"/>
          <w:sz w:val="20"/>
        </w:rPr>
        <w:footnoteReference w:id="1277"/>
      </w:r>
      <w:r w:rsidR="00A9283F" w:rsidRPr="00412620">
        <w:rPr>
          <w:sz w:val="20"/>
        </w:rPr>
        <w:t xml:space="preserve">[upto hundred thousand rupees] </w:t>
      </w:r>
      <w:r w:rsidRPr="00412620">
        <w:rPr>
          <w:sz w:val="20"/>
        </w:rPr>
        <w:t>or imprisonment for a term not exceeding three years, or both.</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198.</w:t>
      </w:r>
      <w:r w:rsidRPr="00412620">
        <w:rPr>
          <w:rFonts w:cs="Arial"/>
          <w:b/>
          <w:sz w:val="20"/>
        </w:rPr>
        <w:tab/>
        <w:t xml:space="preserve"> Prosecution for unauthorised disclosure of information by a public servant.</w:t>
      </w:r>
      <w:r w:rsidR="00A86734" w:rsidRPr="00412620">
        <w:rPr>
          <w:rFonts w:cs="Arial"/>
          <w:sz w:val="20"/>
        </w:rPr>
        <w:t>—</w:t>
      </w:r>
      <w:r w:rsidRPr="00412620">
        <w:rPr>
          <w:sz w:val="20"/>
        </w:rPr>
        <w:t xml:space="preserve"> A person who discloses any particulars in contravention of </w:t>
      </w:r>
      <w:r w:rsidR="0060573D" w:rsidRPr="00F55609">
        <w:rPr>
          <w:rStyle w:val="FootnoteReference"/>
          <w:color w:val="0070C0"/>
          <w:sz w:val="20"/>
        </w:rPr>
        <w:footnoteReference w:id="1278"/>
      </w:r>
      <w:r w:rsidR="0060573D" w:rsidRPr="00F55609">
        <w:rPr>
          <w:color w:val="0070C0"/>
          <w:sz w:val="20"/>
        </w:rPr>
        <w:t>[sub-</w:t>
      </w:r>
      <w:r w:rsidR="0060573D" w:rsidRPr="00F55609">
        <w:rPr>
          <w:color w:val="0070C0"/>
          <w:sz w:val="20"/>
        </w:rPr>
        <w:lastRenderedPageBreak/>
        <w:t>section 1B of section 107 or]</w:t>
      </w:r>
      <w:r w:rsidR="0060573D">
        <w:rPr>
          <w:sz w:val="20"/>
        </w:rPr>
        <w:t xml:space="preserve"> </w:t>
      </w:r>
      <w:r w:rsidRPr="00412620">
        <w:rPr>
          <w:sz w:val="20"/>
        </w:rPr>
        <w:t xml:space="preserve">section 216 shall commit an offence punishable on conviction with a fine </w:t>
      </w:r>
      <w:r w:rsidR="00003F01" w:rsidRPr="00412620">
        <w:rPr>
          <w:rStyle w:val="FootnoteReference"/>
          <w:sz w:val="20"/>
        </w:rPr>
        <w:footnoteReference w:id="1279"/>
      </w:r>
      <w:r w:rsidR="00003F01" w:rsidRPr="00412620">
        <w:rPr>
          <w:sz w:val="20"/>
        </w:rPr>
        <w:t xml:space="preserve">[of not less than five hundred thousand rupees] </w:t>
      </w:r>
      <w:r w:rsidRPr="00412620">
        <w:rPr>
          <w:sz w:val="20"/>
        </w:rPr>
        <w:t xml:space="preserve">or imprisonment for a term not exceeding </w:t>
      </w:r>
      <w:r w:rsidR="00003F01" w:rsidRPr="00412620">
        <w:rPr>
          <w:rStyle w:val="FootnoteReference"/>
          <w:sz w:val="20"/>
        </w:rPr>
        <w:footnoteReference w:id="1280"/>
      </w:r>
      <w:r w:rsidR="00003F01" w:rsidRPr="00412620">
        <w:rPr>
          <w:sz w:val="20"/>
        </w:rPr>
        <w:t>[one year]</w:t>
      </w:r>
      <w:r w:rsidRPr="00412620">
        <w:rPr>
          <w:sz w:val="20"/>
        </w:rPr>
        <w:t>, or both.</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199.</w:t>
      </w:r>
      <w:r w:rsidRPr="00412620">
        <w:rPr>
          <w:rFonts w:cs="Arial"/>
          <w:b/>
          <w:sz w:val="20"/>
        </w:rPr>
        <w:tab/>
        <w:t xml:space="preserve"> Prosecution for abetment.</w:t>
      </w:r>
      <w:r w:rsidR="00875839" w:rsidRPr="00412620">
        <w:rPr>
          <w:rFonts w:cs="Arial"/>
          <w:sz w:val="20"/>
        </w:rPr>
        <w:t xml:space="preserve"> —</w:t>
      </w:r>
      <w:r w:rsidRPr="00412620">
        <w:rPr>
          <w:sz w:val="20"/>
        </w:rPr>
        <w:t xml:space="preserve"> Where a person </w:t>
      </w:r>
      <w:r w:rsidRPr="00412620">
        <w:rPr>
          <w:rStyle w:val="FootnoteReference"/>
          <w:sz w:val="20"/>
        </w:rPr>
        <w:footnoteReference w:id="1281"/>
      </w:r>
      <w:r w:rsidRPr="00412620">
        <w:rPr>
          <w:sz w:val="20"/>
        </w:rPr>
        <w:t>[knowingly and wilfully] aids, abets, assists, incites or induces another person to commit an offence under this Ordinance, the first-mentioned person shall commit an offence punishable on conviction with a fine or imprisonment for a term not exceeding three years, or both.</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200.</w:t>
      </w:r>
      <w:r w:rsidRPr="00412620">
        <w:rPr>
          <w:rFonts w:cs="Arial"/>
          <w:b/>
          <w:sz w:val="20"/>
        </w:rPr>
        <w:tab/>
        <w:t xml:space="preserve"> Offences by companies and associations of persons.</w:t>
      </w:r>
      <w:r w:rsidR="00875839" w:rsidRPr="00412620">
        <w:rPr>
          <w:rFonts w:cs="Arial"/>
          <w:sz w:val="20"/>
        </w:rPr>
        <w:t xml:space="preserve"> —</w:t>
      </w:r>
      <w:r w:rsidRPr="00412620">
        <w:rPr>
          <w:sz w:val="20"/>
        </w:rPr>
        <w:t xml:space="preserve"> (1)  Where an offence under this Part is committed by a company, every person who, at the time the offence was committed, was –</w:t>
      </w:r>
    </w:p>
    <w:p w:rsidR="006A3F93" w:rsidRPr="00412620" w:rsidRDefault="006A3F93">
      <w:pPr>
        <w:jc w:val="both"/>
        <w:rPr>
          <w:rFonts w:cs="Arial"/>
          <w:sz w:val="20"/>
        </w:rPr>
      </w:pPr>
    </w:p>
    <w:p w:rsidR="006A3F93" w:rsidRPr="00412620" w:rsidRDefault="006A3F93">
      <w:pPr>
        <w:pStyle w:val="BodyTextIndent"/>
        <w:ind w:left="1634" w:hanging="540"/>
        <w:jc w:val="both"/>
        <w:rPr>
          <w:rFonts w:cs="Arial"/>
          <w:sz w:val="20"/>
        </w:rPr>
      </w:pPr>
      <w:r w:rsidRPr="00412620">
        <w:rPr>
          <w:rFonts w:cs="Arial"/>
          <w:sz w:val="20"/>
        </w:rPr>
        <w:t>(a)</w:t>
      </w:r>
      <w:r w:rsidRPr="00412620">
        <w:rPr>
          <w:rFonts w:cs="Arial"/>
          <w:sz w:val="20"/>
        </w:rPr>
        <w:tab/>
        <w:t>the principal officer, a director, general manager, company secretary or other similar officer of the company; or</w:t>
      </w:r>
    </w:p>
    <w:p w:rsidR="006A3F93" w:rsidRPr="00412620" w:rsidRDefault="006A3F93">
      <w:pPr>
        <w:jc w:val="both"/>
        <w:rPr>
          <w:rFonts w:cs="Arial"/>
          <w:sz w:val="20"/>
        </w:rPr>
      </w:pPr>
    </w:p>
    <w:p w:rsidR="006A3F93" w:rsidRPr="00412620" w:rsidRDefault="006A3F93">
      <w:pPr>
        <w:pStyle w:val="BodyTextIndent"/>
        <w:ind w:firstLine="374"/>
        <w:jc w:val="both"/>
        <w:rPr>
          <w:rFonts w:cs="Arial"/>
          <w:sz w:val="20"/>
        </w:rPr>
      </w:pPr>
      <w:r w:rsidRPr="00412620">
        <w:rPr>
          <w:rFonts w:cs="Arial"/>
          <w:sz w:val="20"/>
        </w:rPr>
        <w:t>(b)</w:t>
      </w:r>
      <w:r w:rsidRPr="00412620">
        <w:rPr>
          <w:rFonts w:cs="Arial"/>
          <w:sz w:val="20"/>
        </w:rPr>
        <w:tab/>
        <w:t xml:space="preserve">acting or purporting to act in that capacity,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shall be, notwithstanding anything contained in any other law, guilty of the offence and all the provisions of this Ordinance shall apply accordingly.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Where an offence under this Part is committed by an association of persons, every person who, at the time the offence was committed, was a member of the association shall be, notwithstanding anything contained in any other law, guilty of the offence and all the provisions of this Ordinance shall apply accordingly.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Sub-sections (1) and (2) shall not apply to a person where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offence was committed without the person’s consent or knowledge; and</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the person has exercised all diligence to prevent the commission of the offence as ought to have been exercised having regard to the nature of the person’s functions and all the circumstances.</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201.</w:t>
      </w:r>
      <w:r w:rsidRPr="00412620">
        <w:rPr>
          <w:rFonts w:cs="Arial"/>
          <w:b/>
          <w:sz w:val="20"/>
        </w:rPr>
        <w:tab/>
        <w:t xml:space="preserve"> Institution of prosecution proceedings without prejudice to other action.</w:t>
      </w:r>
      <w:r w:rsidR="00E3067C" w:rsidRPr="00412620">
        <w:rPr>
          <w:rFonts w:cs="Arial"/>
          <w:sz w:val="20"/>
        </w:rPr>
        <w:t xml:space="preserve"> —</w:t>
      </w:r>
      <w:r w:rsidRPr="00412620">
        <w:rPr>
          <w:sz w:val="20"/>
        </w:rPr>
        <w:t xml:space="preserve"> Notwithstanding anything contained in any law for the time being in force, a prosecution for an offence against this Ordinance may be instituted without prejudice to any other liability incurred by any person under this Ordinance.</w:t>
      </w:r>
    </w:p>
    <w:p w:rsidR="006A3F93" w:rsidRPr="00412620" w:rsidRDefault="006A3F93">
      <w:pPr>
        <w:rPr>
          <w:rFonts w:cs="Arial"/>
          <w:sz w:val="20"/>
        </w:rPr>
      </w:pPr>
    </w:p>
    <w:p w:rsidR="00D52E15" w:rsidRPr="00412620" w:rsidRDefault="00290AFB" w:rsidP="00D52E15">
      <w:pPr>
        <w:jc w:val="both"/>
        <w:rPr>
          <w:rFonts w:cs="Arial"/>
          <w:sz w:val="20"/>
        </w:rPr>
      </w:pPr>
      <w:r w:rsidRPr="00412620">
        <w:rPr>
          <w:rStyle w:val="FootnoteReference"/>
          <w:rFonts w:cs="Arial"/>
          <w:sz w:val="20"/>
        </w:rPr>
        <w:footnoteReference w:id="1282"/>
      </w:r>
      <w:r w:rsidR="00D52E15" w:rsidRPr="00412620">
        <w:rPr>
          <w:rFonts w:cs="Arial"/>
          <w:sz w:val="20"/>
        </w:rPr>
        <w:t>[</w:t>
      </w:r>
      <w:r w:rsidR="00D52E15" w:rsidRPr="00412620">
        <w:rPr>
          <w:rFonts w:cs="Arial"/>
          <w:b/>
          <w:sz w:val="20"/>
        </w:rPr>
        <w:t>202.</w:t>
      </w:r>
      <w:r w:rsidR="00F55609">
        <w:rPr>
          <w:rFonts w:cs="Arial"/>
          <w:b/>
          <w:sz w:val="20"/>
        </w:rPr>
        <w:t xml:space="preserve"> </w:t>
      </w:r>
      <w:r w:rsidR="00D52E15" w:rsidRPr="00412620">
        <w:rPr>
          <w:rFonts w:cs="Arial"/>
          <w:b/>
          <w:sz w:val="20"/>
        </w:rPr>
        <w:t xml:space="preserve"> Power to compound offences.</w:t>
      </w:r>
      <w:r w:rsidR="00E3067C" w:rsidRPr="00412620">
        <w:rPr>
          <w:rFonts w:cs="Arial"/>
          <w:sz w:val="20"/>
        </w:rPr>
        <w:t xml:space="preserve"> —</w:t>
      </w:r>
      <w:r w:rsidR="00D52E15" w:rsidRPr="00412620">
        <w:rPr>
          <w:rFonts w:cs="Arial"/>
          <w:sz w:val="20"/>
        </w:rPr>
        <w:t xml:space="preserve">Notwithstanding any provisions of this Ordinance, where any person has committed any offence, the </w:t>
      </w:r>
      <w:r w:rsidR="00CA5747" w:rsidRPr="00412620">
        <w:rPr>
          <w:rStyle w:val="FootnoteReference"/>
          <w:rFonts w:cs="Arial"/>
          <w:sz w:val="20"/>
        </w:rPr>
        <w:footnoteReference w:id="1283"/>
      </w:r>
      <w:r w:rsidR="00CA5747" w:rsidRPr="00412620">
        <w:rPr>
          <w:rFonts w:cs="Arial"/>
          <w:sz w:val="20"/>
        </w:rPr>
        <w:t xml:space="preserve">[Chief Commissioner] </w:t>
      </w:r>
      <w:r w:rsidR="00D52E15" w:rsidRPr="00412620">
        <w:rPr>
          <w:rFonts w:cs="Arial"/>
          <w:sz w:val="20"/>
        </w:rPr>
        <w:t xml:space="preserve">may, with the prior approval of the Board, either before or after the institution of proceedings, compound such offence subject to payment of tax due along with </w:t>
      </w:r>
      <w:r w:rsidR="007B0B58" w:rsidRPr="00412620">
        <w:rPr>
          <w:rStyle w:val="FootnoteReference"/>
          <w:rFonts w:cs="Arial"/>
          <w:sz w:val="20"/>
        </w:rPr>
        <w:footnoteReference w:id="1284"/>
      </w:r>
      <w:r w:rsidR="007B0B58" w:rsidRPr="00412620">
        <w:rPr>
          <w:rFonts w:cs="Arial"/>
          <w:sz w:val="20"/>
        </w:rPr>
        <w:t>[</w:t>
      </w:r>
      <w:r w:rsidR="00853064" w:rsidRPr="00412620">
        <w:rPr>
          <w:rFonts w:cs="Arial"/>
          <w:sz w:val="20"/>
        </w:rPr>
        <w:t>default surcharge</w:t>
      </w:r>
      <w:r w:rsidR="007B0B58" w:rsidRPr="00412620">
        <w:rPr>
          <w:rFonts w:cs="Arial"/>
          <w:sz w:val="20"/>
        </w:rPr>
        <w:t>]</w:t>
      </w:r>
      <w:r w:rsidR="00D52E15" w:rsidRPr="00412620">
        <w:rPr>
          <w:rFonts w:cs="Arial"/>
          <w:sz w:val="20"/>
        </w:rPr>
        <w:t>and penalty as is determined under the provisions of this Ordinance.]</w:t>
      </w:r>
    </w:p>
    <w:p w:rsidR="00D52E15" w:rsidRPr="00412620" w:rsidRDefault="00D52E15">
      <w:pPr>
        <w:rPr>
          <w:rFonts w:cs="Arial"/>
          <w:sz w:val="20"/>
        </w:rPr>
      </w:pPr>
    </w:p>
    <w:p w:rsidR="00C43F26" w:rsidRPr="001B3020" w:rsidRDefault="006A3F93" w:rsidP="00C43F26">
      <w:pPr>
        <w:jc w:val="both"/>
        <w:rPr>
          <w:color w:val="000000" w:themeColor="text1"/>
          <w:sz w:val="20"/>
        </w:rPr>
      </w:pPr>
      <w:r w:rsidRPr="00412620">
        <w:rPr>
          <w:rFonts w:cs="Arial"/>
          <w:b/>
          <w:sz w:val="20"/>
        </w:rPr>
        <w:t>203.</w:t>
      </w:r>
      <w:r w:rsidRPr="00412620">
        <w:rPr>
          <w:rFonts w:cs="Arial"/>
          <w:b/>
          <w:sz w:val="20"/>
        </w:rPr>
        <w:tab/>
        <w:t xml:space="preserve"> Trial by Special Judge.</w:t>
      </w:r>
      <w:r w:rsidR="00967277" w:rsidRPr="00412620">
        <w:rPr>
          <w:rFonts w:cs="Arial"/>
          <w:sz w:val="20"/>
        </w:rPr>
        <w:t>—</w:t>
      </w:r>
      <w:r w:rsidR="006C223B" w:rsidRPr="00412620">
        <w:rPr>
          <w:rStyle w:val="FootnoteReference"/>
          <w:sz w:val="20"/>
        </w:rPr>
        <w:footnoteReference w:id="1285"/>
      </w:r>
      <w:r w:rsidR="0038263E" w:rsidRPr="00412620">
        <w:rPr>
          <w:sz w:val="20"/>
        </w:rPr>
        <w:t>[</w:t>
      </w:r>
      <w:r w:rsidRPr="00412620">
        <w:rPr>
          <w:sz w:val="20"/>
        </w:rPr>
        <w:t>(1)</w:t>
      </w:r>
      <w:r w:rsidR="0038263E" w:rsidRPr="00412620">
        <w:rPr>
          <w:sz w:val="20"/>
        </w:rPr>
        <w:t xml:space="preserve"> The Federal Government may, by notification in the official Gazette, appoint as many Special Judges as it may consider necessary, and where it appoints more than one Special Judge, it shall specify in the notification the territorial limits within which each of them shall exercise </w:t>
      </w:r>
      <w:r w:rsidR="0038263E" w:rsidRPr="001B3020">
        <w:rPr>
          <w:color w:val="000000" w:themeColor="text1"/>
          <w:sz w:val="20"/>
        </w:rPr>
        <w:t>jurisdiction</w:t>
      </w:r>
      <w:r w:rsidR="000E474B" w:rsidRPr="001B3020">
        <w:rPr>
          <w:rStyle w:val="FootnoteReference"/>
          <w:color w:val="000000" w:themeColor="text1"/>
          <w:sz w:val="20"/>
        </w:rPr>
        <w:footnoteReference w:id="1286"/>
      </w:r>
      <w:r w:rsidR="000E474B" w:rsidRPr="001B3020">
        <w:rPr>
          <w:color w:val="000000" w:themeColor="text1"/>
          <w:sz w:val="20"/>
        </w:rPr>
        <w:t>[</w:t>
      </w:r>
      <w:r w:rsidR="00C43F26" w:rsidRPr="001B3020">
        <w:rPr>
          <w:color w:val="000000" w:themeColor="text1"/>
          <w:sz w:val="20"/>
        </w:rPr>
        <w:t>:</w:t>
      </w:r>
    </w:p>
    <w:p w:rsidR="00C43F26" w:rsidRPr="001B3020" w:rsidRDefault="00C43F26" w:rsidP="00C43F26">
      <w:pPr>
        <w:jc w:val="both"/>
        <w:rPr>
          <w:color w:val="000000" w:themeColor="text1"/>
          <w:sz w:val="20"/>
        </w:rPr>
      </w:pPr>
    </w:p>
    <w:p w:rsidR="006A3F93" w:rsidRPr="001B3020" w:rsidRDefault="000E474B" w:rsidP="00C43F26">
      <w:pPr>
        <w:ind w:left="1094"/>
        <w:jc w:val="both"/>
        <w:rPr>
          <w:color w:val="000000" w:themeColor="text1"/>
          <w:sz w:val="20"/>
        </w:rPr>
      </w:pPr>
      <w:r w:rsidRPr="001B3020">
        <w:rPr>
          <w:rFonts w:cs="Arial"/>
          <w:color w:val="000000" w:themeColor="text1"/>
          <w:sz w:val="20"/>
        </w:rPr>
        <w:t>Provided that</w:t>
      </w:r>
      <w:r w:rsidR="00C43F26" w:rsidRPr="001B3020">
        <w:rPr>
          <w:rFonts w:cs="Arial"/>
          <w:color w:val="000000" w:themeColor="text1"/>
          <w:sz w:val="20"/>
        </w:rPr>
        <w:t xml:space="preserve"> the Federal Government may, by</w:t>
      </w:r>
      <w:r w:rsidRPr="001B3020">
        <w:rPr>
          <w:rFonts w:cs="Arial"/>
          <w:color w:val="000000" w:themeColor="text1"/>
          <w:sz w:val="20"/>
        </w:rPr>
        <w:t xml:space="preserve"> notification in official Gazette, declare that a special judge appointed under section 185 of the Customs Act 1969 (IV of 1969) shall have jurisdiction to try offences under this Ordinance.</w:t>
      </w:r>
      <w:r w:rsidR="00C43F26" w:rsidRPr="001B3020">
        <w:rPr>
          <w:rFonts w:cs="Arial"/>
          <w:color w:val="000000" w:themeColor="text1"/>
          <w:sz w:val="20"/>
        </w:rPr>
        <w:t>]</w:t>
      </w:r>
    </w:p>
    <w:p w:rsidR="00853064" w:rsidRPr="00412620" w:rsidRDefault="00853064" w:rsidP="00853064">
      <w:pPr>
        <w:jc w:val="both"/>
        <w:rPr>
          <w:rFonts w:cs="Arial"/>
          <w:sz w:val="20"/>
        </w:rPr>
      </w:pPr>
    </w:p>
    <w:p w:rsidR="00853064" w:rsidRPr="00412620" w:rsidRDefault="00674AFD" w:rsidP="00853064">
      <w:pPr>
        <w:ind w:firstLine="547"/>
        <w:jc w:val="both"/>
        <w:rPr>
          <w:rFonts w:cs="Arial"/>
          <w:sz w:val="20"/>
        </w:rPr>
      </w:pPr>
      <w:r w:rsidRPr="00412620">
        <w:rPr>
          <w:rStyle w:val="FootnoteReference"/>
          <w:rFonts w:cs="Arial"/>
          <w:sz w:val="20"/>
        </w:rPr>
        <w:footnoteReference w:id="1287"/>
      </w:r>
      <w:r w:rsidR="008E2DC6" w:rsidRPr="00412620">
        <w:rPr>
          <w:rFonts w:cs="Arial"/>
          <w:sz w:val="20"/>
        </w:rPr>
        <w:t>[</w:t>
      </w:r>
      <w:r w:rsidR="00853064" w:rsidRPr="00412620">
        <w:rPr>
          <w:rFonts w:cs="Arial"/>
          <w:sz w:val="20"/>
        </w:rPr>
        <w:t>(1A) A Special Judge shall be a person who is or has been a Sessions Judge and shall, on appointment, have the jurisdiction to try exclusively an offence punishable under this Part other than an offence referred to in section 198.</w:t>
      </w:r>
      <w:r w:rsidR="0029036B" w:rsidRPr="00412620">
        <w:rPr>
          <w:rFonts w:cs="Arial"/>
          <w:sz w:val="20"/>
        </w:rPr>
        <w:t>]</w:t>
      </w:r>
    </w:p>
    <w:p w:rsidR="0029036B" w:rsidRPr="00412620" w:rsidRDefault="0029036B" w:rsidP="00853064">
      <w:pPr>
        <w:ind w:firstLine="547"/>
        <w:jc w:val="both"/>
        <w:rPr>
          <w:rFonts w:cs="Arial"/>
          <w:sz w:val="20"/>
        </w:rPr>
      </w:pPr>
    </w:p>
    <w:p w:rsidR="006A3F93" w:rsidRPr="00412620" w:rsidRDefault="000668A6" w:rsidP="00853064">
      <w:pPr>
        <w:ind w:firstLine="547"/>
        <w:jc w:val="both"/>
        <w:rPr>
          <w:rFonts w:cs="Arial"/>
          <w:sz w:val="20"/>
        </w:rPr>
      </w:pPr>
      <w:r w:rsidRPr="00412620">
        <w:rPr>
          <w:rStyle w:val="FootnoteReference"/>
          <w:rFonts w:cs="Arial"/>
          <w:sz w:val="20"/>
        </w:rPr>
        <w:footnoteReference w:id="1288"/>
      </w:r>
      <w:r w:rsidR="0029036B" w:rsidRPr="00412620">
        <w:rPr>
          <w:rFonts w:cs="Arial"/>
          <w:sz w:val="20"/>
        </w:rPr>
        <w:t>[</w:t>
      </w:r>
      <w:r w:rsidR="00853064" w:rsidRPr="00412620">
        <w:rPr>
          <w:rFonts w:cs="Arial"/>
          <w:sz w:val="20"/>
        </w:rPr>
        <w:t>(1B) The provisions of the Code of Criminal Procedure, 1898 (Act V of 1898), except those of Chapter XXXVIII</w:t>
      </w:r>
      <w:r w:rsidRPr="00412620">
        <w:rPr>
          <w:rFonts w:cs="Arial"/>
          <w:sz w:val="20"/>
        </w:rPr>
        <w:t>, thereof</w:t>
      </w:r>
      <w:r w:rsidR="00853064" w:rsidRPr="00412620">
        <w:rPr>
          <w:rFonts w:cs="Arial"/>
          <w:sz w:val="20"/>
        </w:rPr>
        <w:t xml:space="preserve"> shall apply to the proceedings of the court of a Special Judge and, for the purposes of the said provisions, the court of Special Judge shall be deemed to be a Court of Sessions trying cases, and a person conducting prosecution before the court of a Special Judge shall be deemed to be a Public Prosecutor.</w:t>
      </w:r>
      <w:r w:rsidR="008E2DC6" w:rsidRPr="00412620">
        <w:rPr>
          <w:rFonts w:cs="Arial"/>
          <w:sz w:val="20"/>
        </w:rPr>
        <w:t>]</w:t>
      </w:r>
    </w:p>
    <w:p w:rsidR="00853064" w:rsidRPr="00412620" w:rsidRDefault="00853064">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 Special Judge shall take cognisance of, and have jurisdiction to try, an offence triable under sub-section (1) only upon a complaint in writing made by the Commissioner.</w:t>
      </w:r>
    </w:p>
    <w:p w:rsidR="006A3F93" w:rsidRPr="00412620" w:rsidRDefault="006A3F93">
      <w:pPr>
        <w:jc w:val="both"/>
        <w:rPr>
          <w:rFonts w:cs="Arial"/>
          <w:sz w:val="20"/>
        </w:rPr>
      </w:pPr>
    </w:p>
    <w:p w:rsidR="008A1014" w:rsidRPr="00412620" w:rsidRDefault="00D5041E" w:rsidP="008A1014">
      <w:pPr>
        <w:ind w:firstLine="547"/>
        <w:jc w:val="both"/>
        <w:rPr>
          <w:rFonts w:cs="Arial"/>
          <w:sz w:val="20"/>
        </w:rPr>
      </w:pPr>
      <w:r w:rsidRPr="00412620">
        <w:rPr>
          <w:rStyle w:val="FootnoteReference"/>
          <w:rFonts w:cs="Arial"/>
          <w:sz w:val="20"/>
        </w:rPr>
        <w:footnoteReference w:id="1289"/>
      </w:r>
      <w:r w:rsidR="00D20666" w:rsidRPr="00412620">
        <w:rPr>
          <w:rFonts w:cs="Arial"/>
          <w:sz w:val="20"/>
        </w:rPr>
        <w:t>[</w:t>
      </w:r>
      <w:r w:rsidR="008A1014" w:rsidRPr="00412620">
        <w:rPr>
          <w:rFonts w:cs="Arial"/>
          <w:sz w:val="20"/>
        </w:rPr>
        <w:t>(3) The Federal Government may, by order in writing, direct the transfer, at any stage of the trial, of any case from the court of one Special Judge to the court of another Special Judge for disposal, whenever it appears to the Federal Government that such transfer shall promote the ends of justice or tend to the general convenience of parties or witnesses.</w:t>
      </w:r>
      <w:r w:rsidR="00B16016" w:rsidRPr="00412620">
        <w:rPr>
          <w:rFonts w:cs="Arial"/>
          <w:sz w:val="20"/>
        </w:rPr>
        <w:t>]</w:t>
      </w:r>
    </w:p>
    <w:p w:rsidR="008A1014" w:rsidRPr="00412620" w:rsidRDefault="008A1014" w:rsidP="008A1014">
      <w:pPr>
        <w:jc w:val="both"/>
        <w:rPr>
          <w:rFonts w:cs="Arial"/>
          <w:sz w:val="20"/>
        </w:rPr>
      </w:pPr>
    </w:p>
    <w:p w:rsidR="008A1014" w:rsidRPr="00412620" w:rsidRDefault="00D5041E" w:rsidP="008A1014">
      <w:pPr>
        <w:ind w:firstLine="547"/>
        <w:jc w:val="both"/>
        <w:rPr>
          <w:rFonts w:cs="Arial"/>
          <w:sz w:val="20"/>
        </w:rPr>
      </w:pPr>
      <w:r w:rsidRPr="00412620">
        <w:rPr>
          <w:rStyle w:val="FootnoteReference"/>
          <w:rFonts w:cs="Arial"/>
          <w:sz w:val="20"/>
        </w:rPr>
        <w:footnoteReference w:id="1290"/>
      </w:r>
      <w:r w:rsidR="00B16016" w:rsidRPr="00412620">
        <w:rPr>
          <w:rFonts w:cs="Arial"/>
          <w:sz w:val="20"/>
        </w:rPr>
        <w:t>[</w:t>
      </w:r>
      <w:r w:rsidR="008A1014" w:rsidRPr="00412620">
        <w:rPr>
          <w:rFonts w:cs="Arial"/>
          <w:sz w:val="20"/>
        </w:rPr>
        <w:t>(4) In respect of a case transferred to a Special Judge by virtue of sub-section (1) or under sub-section (3), such Judge shall not, by reason of the said transfer, be bound to recall and re</w:t>
      </w:r>
      <w:r w:rsidR="00B16016" w:rsidRPr="00412620">
        <w:rPr>
          <w:rFonts w:cs="Arial"/>
          <w:sz w:val="20"/>
        </w:rPr>
        <w:t xml:space="preserve">cord again </w:t>
      </w:r>
      <w:r w:rsidR="008A1014" w:rsidRPr="00412620">
        <w:rPr>
          <w:rFonts w:cs="Arial"/>
          <w:sz w:val="20"/>
        </w:rPr>
        <w:t>any witness who has given evidence in the case before the transfer and may act on the evidence already recorded by or produced before the court which tried the case before the transfer.</w:t>
      </w:r>
      <w:r w:rsidR="00D20666" w:rsidRPr="00412620">
        <w:rPr>
          <w:rFonts w:cs="Arial"/>
          <w:sz w:val="20"/>
        </w:rPr>
        <w:t>]</w:t>
      </w:r>
    </w:p>
    <w:p w:rsidR="004202C7" w:rsidRPr="00412620" w:rsidRDefault="004202C7" w:rsidP="008A1014">
      <w:pPr>
        <w:ind w:firstLine="547"/>
        <w:jc w:val="both"/>
        <w:rPr>
          <w:rFonts w:cs="Arial"/>
          <w:sz w:val="20"/>
        </w:rPr>
      </w:pPr>
    </w:p>
    <w:p w:rsidR="004202C7" w:rsidRPr="00412620" w:rsidRDefault="00007F86" w:rsidP="004202C7">
      <w:pPr>
        <w:jc w:val="both"/>
        <w:rPr>
          <w:rFonts w:cs="Arial"/>
          <w:sz w:val="20"/>
        </w:rPr>
      </w:pPr>
      <w:r w:rsidRPr="00412620">
        <w:rPr>
          <w:rStyle w:val="FootnoteReference"/>
          <w:rFonts w:cs="Arial"/>
          <w:sz w:val="20"/>
        </w:rPr>
        <w:footnoteReference w:id="1291"/>
      </w:r>
      <w:r w:rsidR="004202C7" w:rsidRPr="00412620">
        <w:rPr>
          <w:rFonts w:cs="Arial"/>
          <w:sz w:val="20"/>
        </w:rPr>
        <w:t>[</w:t>
      </w:r>
      <w:r w:rsidR="004202C7" w:rsidRPr="00412620">
        <w:rPr>
          <w:rFonts w:cs="Arial"/>
          <w:b/>
          <w:sz w:val="20"/>
        </w:rPr>
        <w:t>203A. Appeal against the order of a Special Judge.—</w:t>
      </w:r>
      <w:r w:rsidR="004202C7" w:rsidRPr="00412620">
        <w:rPr>
          <w:rFonts w:cs="Arial"/>
          <w:sz w:val="20"/>
        </w:rPr>
        <w:t xml:space="preserve"> An appeal against the order of a Special Judge shall lie to the respective High Court of a Province within thirty days of the passing of the order and it shall be heard as an appeal under the Code of Criminal Procedure 1898 (Act V of 1898) by a single Judge of the High Court.]</w:t>
      </w:r>
    </w:p>
    <w:p w:rsidR="00853064" w:rsidRPr="00412620" w:rsidRDefault="00853064">
      <w:pPr>
        <w:jc w:val="both"/>
        <w:rPr>
          <w:rFonts w:cs="Arial"/>
          <w:sz w:val="20"/>
        </w:rPr>
      </w:pPr>
    </w:p>
    <w:p w:rsidR="006A3F93" w:rsidRPr="00412620" w:rsidRDefault="006A3F93">
      <w:pPr>
        <w:jc w:val="both"/>
        <w:rPr>
          <w:sz w:val="20"/>
        </w:rPr>
      </w:pPr>
      <w:r w:rsidRPr="00412620">
        <w:rPr>
          <w:rFonts w:cs="Arial"/>
          <w:b/>
          <w:sz w:val="20"/>
        </w:rPr>
        <w:t>204.</w:t>
      </w:r>
      <w:r w:rsidRPr="00412620">
        <w:rPr>
          <w:rFonts w:cs="Arial"/>
          <w:b/>
          <w:sz w:val="20"/>
        </w:rPr>
        <w:tab/>
        <w:t xml:space="preserve"> Power to tender immunity from prosecution.</w:t>
      </w:r>
      <w:r w:rsidR="00DB2847" w:rsidRPr="00412620">
        <w:rPr>
          <w:rFonts w:cs="Arial"/>
          <w:sz w:val="20"/>
        </w:rPr>
        <w:t>—</w:t>
      </w:r>
      <w:r w:rsidRPr="00412620">
        <w:rPr>
          <w:sz w:val="20"/>
        </w:rPr>
        <w:t xml:space="preserve"> (1)  The Federal Government may, for the purpose of obtaining the evidence of any person appearing to have been directly or indirectly concerned in, or privy to the concealment of income or to the evasion of tax, tender to such person immunity from prosecution for any offence under this Ordinance or under the Pakistan Penal Code (Act XLV of 1860), or under any other Federal Law on condition of the person making full and true disclosure of the whole circumstances relating to the concealment of income or evasion of tax.</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A tender of immunity made to, and accepted by, the person concerned shall render the person immune from prosecution for any offence in respect of which the tender was made and to the extent specified in the immunity.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If it appears to the Federal Government that any person to whom immunity has been tendered under this section has not complied with the conditions on which the tender was made or is concealing anything or giving false evidence, the Federal Government may withdraw the immunity, and any such person may be tried for the offence in respect of which the tender of immunity was made or for any other offence of which the person appears to have been guilty in connection with the same matter.</w:t>
      </w:r>
    </w:p>
    <w:p w:rsidR="006A3F93" w:rsidRPr="00412620" w:rsidRDefault="006A3F93">
      <w:pPr>
        <w:rPr>
          <w:rFonts w:cs="Arial"/>
          <w:b/>
          <w:sz w:val="20"/>
        </w:rPr>
      </w:pPr>
    </w:p>
    <w:p w:rsidR="006A3F93" w:rsidRPr="00412620" w:rsidRDefault="00E21140">
      <w:pPr>
        <w:keepNext/>
        <w:jc w:val="center"/>
        <w:rPr>
          <w:rFonts w:cs="Arial"/>
          <w:b/>
          <w:sz w:val="32"/>
          <w:szCs w:val="32"/>
        </w:rPr>
      </w:pPr>
      <w:r w:rsidRPr="00412620">
        <w:rPr>
          <w:rFonts w:cs="Arial"/>
          <w:b/>
          <w:sz w:val="20"/>
        </w:rPr>
        <w:br w:type="page"/>
      </w:r>
      <w:r w:rsidR="006A3F93" w:rsidRPr="00412620">
        <w:rPr>
          <w:rFonts w:cs="Arial"/>
          <w:b/>
          <w:sz w:val="32"/>
          <w:szCs w:val="32"/>
        </w:rPr>
        <w:lastRenderedPageBreak/>
        <w:t>PART XII</w:t>
      </w:r>
    </w:p>
    <w:p w:rsidR="006A3F93" w:rsidRPr="00412620" w:rsidRDefault="00B05580">
      <w:pPr>
        <w:pStyle w:val="Heading8"/>
        <w:rPr>
          <w:rFonts w:cs="Arial"/>
          <w:i w:val="0"/>
          <w:sz w:val="20"/>
        </w:rPr>
      </w:pPr>
      <w:r w:rsidRPr="00412620">
        <w:rPr>
          <w:rStyle w:val="FootnoteReference"/>
          <w:rFonts w:cs="Arial"/>
          <w:i w:val="0"/>
          <w:sz w:val="20"/>
        </w:rPr>
        <w:footnoteReference w:id="1292"/>
      </w:r>
      <w:r w:rsidRPr="00412620">
        <w:rPr>
          <w:rFonts w:cs="Arial"/>
          <w:i w:val="0"/>
          <w:sz w:val="20"/>
        </w:rPr>
        <w:t>[</w:t>
      </w:r>
      <w:r w:rsidR="006A3F93" w:rsidRPr="00412620">
        <w:rPr>
          <w:rFonts w:cs="Arial"/>
          <w:i w:val="0"/>
          <w:sz w:val="20"/>
        </w:rPr>
        <w:t>D</w:t>
      </w:r>
      <w:r w:rsidR="002F16F8" w:rsidRPr="00412620">
        <w:rPr>
          <w:rFonts w:cs="Arial"/>
          <w:i w:val="0"/>
          <w:sz w:val="20"/>
        </w:rPr>
        <w:t>EFAULT SURCHARGE</w:t>
      </w:r>
      <w:r w:rsidR="00B639E0" w:rsidRPr="00412620">
        <w:rPr>
          <w:rFonts w:cs="Arial"/>
          <w:i w:val="0"/>
          <w:sz w:val="20"/>
        </w:rPr>
        <w:t>]</w:t>
      </w:r>
    </w:p>
    <w:p w:rsidR="006A3F93" w:rsidRPr="00412620" w:rsidRDefault="006A3F93">
      <w:pPr>
        <w:pStyle w:val="CommentText"/>
        <w:keepNext/>
        <w:rPr>
          <w:rFonts w:cs="Arial"/>
        </w:rPr>
      </w:pPr>
    </w:p>
    <w:p w:rsidR="006A3F93" w:rsidRPr="00412620" w:rsidRDefault="002F16F8">
      <w:pPr>
        <w:jc w:val="both"/>
        <w:rPr>
          <w:sz w:val="20"/>
        </w:rPr>
      </w:pPr>
      <w:r w:rsidRPr="00412620">
        <w:rPr>
          <w:rFonts w:cs="Arial"/>
          <w:b/>
          <w:sz w:val="20"/>
        </w:rPr>
        <w:t>205.</w:t>
      </w:r>
      <w:r w:rsidRPr="00412620">
        <w:rPr>
          <w:rFonts w:cs="Arial"/>
          <w:b/>
          <w:sz w:val="20"/>
        </w:rPr>
        <w:tab/>
      </w:r>
      <w:r w:rsidR="007B5FB9" w:rsidRPr="00E3545F">
        <w:rPr>
          <w:rStyle w:val="FootnoteReference"/>
          <w:rFonts w:cs="Arial"/>
          <w:sz w:val="20"/>
        </w:rPr>
        <w:footnoteReference w:id="1293"/>
      </w:r>
      <w:r w:rsidR="007B5FB9" w:rsidRPr="00E3545F">
        <w:rPr>
          <w:rFonts w:cs="Arial"/>
          <w:sz w:val="20"/>
        </w:rPr>
        <w:t>[</w:t>
      </w:r>
      <w:r w:rsidRPr="00412620">
        <w:rPr>
          <w:rFonts w:cs="Arial"/>
          <w:b/>
          <w:sz w:val="20"/>
        </w:rPr>
        <w:t xml:space="preserve">Default </w:t>
      </w:r>
      <w:r w:rsidR="007B5FB9" w:rsidRPr="00412620">
        <w:rPr>
          <w:rFonts w:cs="Arial"/>
          <w:b/>
          <w:sz w:val="20"/>
        </w:rPr>
        <w:t>s</w:t>
      </w:r>
      <w:r w:rsidRPr="00412620">
        <w:rPr>
          <w:rFonts w:cs="Arial"/>
          <w:b/>
          <w:sz w:val="20"/>
        </w:rPr>
        <w:t>urcharge</w:t>
      </w:r>
      <w:r w:rsidR="00B05580" w:rsidRPr="00412620">
        <w:rPr>
          <w:rFonts w:cs="Arial"/>
          <w:b/>
          <w:sz w:val="20"/>
        </w:rPr>
        <w:t>]</w:t>
      </w:r>
      <w:r w:rsidR="006A3F93" w:rsidRPr="00412620">
        <w:rPr>
          <w:rFonts w:cs="Arial"/>
          <w:b/>
          <w:sz w:val="20"/>
        </w:rPr>
        <w:t>.</w:t>
      </w:r>
      <w:r w:rsidR="00530E80" w:rsidRPr="00412620">
        <w:rPr>
          <w:rFonts w:cs="Arial"/>
          <w:sz w:val="20"/>
        </w:rPr>
        <w:t xml:space="preserve"> —</w:t>
      </w:r>
      <w:r w:rsidR="006A3F93" w:rsidRPr="00412620">
        <w:rPr>
          <w:sz w:val="20"/>
        </w:rPr>
        <w:t xml:space="preserve"> (1)  A person who fails to pay –</w:t>
      </w:r>
    </w:p>
    <w:p w:rsidR="006A3F93" w:rsidRPr="00412620" w:rsidRDefault="006A3F93">
      <w:pPr>
        <w:jc w:val="both"/>
        <w:rPr>
          <w:rFonts w:cs="Arial"/>
          <w:sz w:val="20"/>
        </w:rPr>
      </w:pPr>
    </w:p>
    <w:p w:rsidR="006A3F93" w:rsidRPr="00412620" w:rsidRDefault="006A3F93">
      <w:pPr>
        <w:ind w:left="1620" w:hanging="661"/>
        <w:jc w:val="both"/>
        <w:rPr>
          <w:sz w:val="20"/>
        </w:rPr>
      </w:pPr>
      <w:r w:rsidRPr="00412620">
        <w:rPr>
          <w:rStyle w:val="FootnoteReference"/>
          <w:rFonts w:cs="Arial"/>
          <w:sz w:val="20"/>
        </w:rPr>
        <w:footnoteReference w:id="1294"/>
      </w:r>
      <w:r w:rsidRPr="00412620">
        <w:rPr>
          <w:sz w:val="20"/>
        </w:rPr>
        <w:t xml:space="preserve">[(a) </w:t>
      </w:r>
      <w:r w:rsidRPr="00412620">
        <w:rPr>
          <w:sz w:val="20"/>
        </w:rPr>
        <w:tab/>
        <w:t xml:space="preserve">any tax, excluding the advance tax under section 147 and </w:t>
      </w:r>
      <w:r w:rsidR="006C219E" w:rsidRPr="00412620">
        <w:rPr>
          <w:rStyle w:val="FootnoteReference"/>
          <w:sz w:val="20"/>
        </w:rPr>
        <w:footnoteReference w:id="1295"/>
      </w:r>
      <w:r w:rsidR="006C219E" w:rsidRPr="00412620">
        <w:rPr>
          <w:sz w:val="20"/>
        </w:rPr>
        <w:t>[</w:t>
      </w:r>
      <w:r w:rsidR="002F16F8" w:rsidRPr="00412620">
        <w:rPr>
          <w:rFonts w:cs="Arial"/>
          <w:sz w:val="20"/>
        </w:rPr>
        <w:t>default surcharge</w:t>
      </w:r>
      <w:r w:rsidR="006C219E" w:rsidRPr="00412620">
        <w:rPr>
          <w:rFonts w:cs="Arial"/>
          <w:sz w:val="20"/>
        </w:rPr>
        <w:t>]</w:t>
      </w:r>
      <w:r w:rsidR="00BF2117">
        <w:rPr>
          <w:rFonts w:cs="Arial"/>
          <w:sz w:val="20"/>
        </w:rPr>
        <w:t xml:space="preserve"> </w:t>
      </w:r>
      <w:r w:rsidRPr="00412620">
        <w:rPr>
          <w:sz w:val="20"/>
        </w:rPr>
        <w:t>under this section;]</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any penalty; or</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any amount referred to in section 140 or 141,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 xml:space="preserve">on or before the due date for payment shall be liable for </w:t>
      </w:r>
      <w:r w:rsidR="006C219E" w:rsidRPr="00412620">
        <w:rPr>
          <w:rStyle w:val="FootnoteReference"/>
          <w:rFonts w:cs="Arial"/>
          <w:sz w:val="20"/>
        </w:rPr>
        <w:footnoteReference w:id="1296"/>
      </w:r>
      <w:r w:rsidR="006C219E" w:rsidRPr="00412620">
        <w:rPr>
          <w:rFonts w:cs="Arial"/>
          <w:sz w:val="20"/>
        </w:rPr>
        <w:t>[</w:t>
      </w:r>
      <w:r w:rsidR="002F16F8" w:rsidRPr="00412620">
        <w:rPr>
          <w:rFonts w:cs="Arial"/>
          <w:sz w:val="20"/>
        </w:rPr>
        <w:t>default surcharge</w:t>
      </w:r>
      <w:r w:rsidR="006C219E" w:rsidRPr="00412620">
        <w:rPr>
          <w:rFonts w:cs="Arial"/>
          <w:sz w:val="20"/>
        </w:rPr>
        <w:t>]</w:t>
      </w:r>
      <w:r w:rsidRPr="00412620">
        <w:rPr>
          <w:rFonts w:cs="Arial"/>
          <w:sz w:val="20"/>
        </w:rPr>
        <w:t>at a rate equal to</w:t>
      </w:r>
      <w:r w:rsidR="00BF2117">
        <w:rPr>
          <w:rFonts w:cs="Arial"/>
          <w:sz w:val="20"/>
        </w:rPr>
        <w:t xml:space="preserve"> </w:t>
      </w:r>
      <w:r w:rsidR="00EA1637" w:rsidRPr="00412620">
        <w:rPr>
          <w:rStyle w:val="FootnoteReference"/>
          <w:rFonts w:cs="Arial"/>
          <w:sz w:val="20"/>
        </w:rPr>
        <w:footnoteReference w:id="1297"/>
      </w:r>
      <w:r w:rsidR="003D108A" w:rsidRPr="00412620">
        <w:rPr>
          <w:rFonts w:cs="Arial"/>
          <w:sz w:val="20"/>
        </w:rPr>
        <w:t>[</w:t>
      </w:r>
      <w:r w:rsidR="00BF2117">
        <w:rPr>
          <w:rFonts w:cs="Arial"/>
          <w:sz w:val="20"/>
        </w:rPr>
        <w:t xml:space="preserve"> </w:t>
      </w:r>
      <w:r w:rsidR="00462D67" w:rsidRPr="00BF2117">
        <w:rPr>
          <w:rStyle w:val="FootnoteReference"/>
          <w:rFonts w:cs="Arial"/>
          <w:color w:val="000000" w:themeColor="text1"/>
          <w:sz w:val="20"/>
        </w:rPr>
        <w:footnoteReference w:id="1298"/>
      </w:r>
      <w:r w:rsidR="00462D67" w:rsidRPr="00BF2117">
        <w:rPr>
          <w:rFonts w:cs="Arial"/>
          <w:color w:val="000000" w:themeColor="text1"/>
          <w:sz w:val="20"/>
        </w:rPr>
        <w:t>[“12”]</w:t>
      </w:r>
      <w:r w:rsidR="007E0B62">
        <w:rPr>
          <w:rFonts w:cs="Arial"/>
          <w:color w:val="984806" w:themeColor="accent6" w:themeShade="80"/>
          <w:sz w:val="20"/>
        </w:rPr>
        <w:t xml:space="preserve"> </w:t>
      </w:r>
      <w:r w:rsidR="00AB6F06">
        <w:rPr>
          <w:rFonts w:cs="Arial"/>
          <w:sz w:val="20"/>
        </w:rPr>
        <w:t>per cent</w:t>
      </w:r>
      <w:r w:rsidR="003D108A" w:rsidRPr="00412620">
        <w:rPr>
          <w:rFonts w:cs="Arial"/>
          <w:sz w:val="20"/>
        </w:rPr>
        <w:t xml:space="preserve"> per annum]</w:t>
      </w:r>
      <w:r w:rsidRPr="00412620">
        <w:rPr>
          <w:rFonts w:cs="Arial"/>
          <w:sz w:val="20"/>
        </w:rPr>
        <w:t xml:space="preserve"> on the tax, penalty or other amount unpaid computed for the period commencing on the date on which the tax, penalty or other amount was due and ending o</w:t>
      </w:r>
      <w:r w:rsidR="006E1155" w:rsidRPr="00412620">
        <w:rPr>
          <w:rFonts w:cs="Arial"/>
          <w:sz w:val="20"/>
        </w:rPr>
        <w:t>n the date on which it was paid [:]</w:t>
      </w:r>
    </w:p>
    <w:p w:rsidR="006A3F93" w:rsidRPr="00412620" w:rsidRDefault="006A3F93">
      <w:pPr>
        <w:jc w:val="both"/>
        <w:rPr>
          <w:rFonts w:cs="Arial"/>
          <w:sz w:val="20"/>
        </w:rPr>
      </w:pPr>
    </w:p>
    <w:p w:rsidR="006E1155" w:rsidRDefault="006E1155" w:rsidP="006E1155">
      <w:pPr>
        <w:ind w:left="1094" w:firstLine="541"/>
        <w:jc w:val="both"/>
        <w:rPr>
          <w:sz w:val="20"/>
        </w:rPr>
      </w:pPr>
      <w:r w:rsidRPr="00412620">
        <w:rPr>
          <w:rStyle w:val="FootnoteReference"/>
          <w:rFonts w:cs="Arial"/>
          <w:sz w:val="20"/>
        </w:rPr>
        <w:footnoteReference w:id="1299"/>
      </w:r>
      <w:r w:rsidRPr="00412620">
        <w:rPr>
          <w:rFonts w:cs="Arial"/>
          <w:sz w:val="20"/>
        </w:rPr>
        <w:t>[</w:t>
      </w:r>
      <w:r w:rsidRPr="00412620">
        <w:rPr>
          <w:sz w:val="20"/>
        </w:rPr>
        <w:t>Provided that if the person opts to pay the tax due on the basis of an order under section 129 on or before the due date given in the notice under sub-section (2) of section 137 issued in consequence of the said order, and does not file an appeal under section 131, he shall not be liable to pay default surcharge for the period beginning from the due date of payment in consequence of an order appealed against to the date of payment in consequence of notice under sub-section (2) of section 137.]</w:t>
      </w:r>
    </w:p>
    <w:p w:rsidR="00E3545F" w:rsidRPr="00412620" w:rsidRDefault="00E3545F" w:rsidP="006E1155">
      <w:pPr>
        <w:ind w:left="1094" w:firstLine="541"/>
        <w:jc w:val="both"/>
        <w:rPr>
          <w:rFonts w:cs="Arial"/>
          <w:sz w:val="20"/>
        </w:rPr>
      </w:pPr>
    </w:p>
    <w:p w:rsidR="006E1155" w:rsidRPr="00412620" w:rsidRDefault="006E1155">
      <w:pPr>
        <w:jc w:val="both"/>
        <w:rPr>
          <w:rFonts w:cs="Arial"/>
          <w:sz w:val="20"/>
        </w:rPr>
      </w:pPr>
    </w:p>
    <w:p w:rsidR="006A3F93" w:rsidRPr="00412620" w:rsidRDefault="006A3F93">
      <w:pPr>
        <w:jc w:val="both"/>
        <w:rPr>
          <w:rFonts w:cs="Arial"/>
          <w:sz w:val="20"/>
        </w:rPr>
      </w:pPr>
      <w:r w:rsidRPr="00412620">
        <w:rPr>
          <w:rStyle w:val="FootnoteReference"/>
          <w:rFonts w:cs="Arial"/>
          <w:sz w:val="20"/>
        </w:rPr>
        <w:lastRenderedPageBreak/>
        <w:footnoteReference w:id="1300"/>
      </w:r>
      <w:r w:rsidRPr="00412620">
        <w:rPr>
          <w:rFonts w:cs="Arial"/>
          <w:sz w:val="20"/>
        </w:rPr>
        <w:t>[(1A)</w:t>
      </w:r>
      <w:r w:rsidRPr="00412620">
        <w:rPr>
          <w:rFonts w:cs="Arial"/>
          <w:sz w:val="20"/>
        </w:rPr>
        <w:tab/>
      </w:r>
      <w:r w:rsidR="00440427" w:rsidRPr="00412620">
        <w:rPr>
          <w:rFonts w:cs="Arial"/>
          <w:sz w:val="20"/>
        </w:rPr>
        <w:t>A</w:t>
      </w:r>
      <w:r w:rsidRPr="00412620">
        <w:rPr>
          <w:rFonts w:cs="Arial"/>
          <w:sz w:val="20"/>
        </w:rPr>
        <w:t xml:space="preserve"> person who fails to pay advance tax under section 147 shall be liable for </w:t>
      </w:r>
      <w:r w:rsidR="00E13992" w:rsidRPr="00412620">
        <w:rPr>
          <w:rStyle w:val="FootnoteReference"/>
          <w:rFonts w:cs="Arial"/>
          <w:sz w:val="20"/>
        </w:rPr>
        <w:footnoteReference w:id="1301"/>
      </w:r>
      <w:r w:rsidR="00E13992" w:rsidRPr="00412620">
        <w:rPr>
          <w:rFonts w:cs="Arial"/>
          <w:sz w:val="20"/>
        </w:rPr>
        <w:t>[</w:t>
      </w:r>
      <w:r w:rsidR="002F16F8" w:rsidRPr="00412620">
        <w:rPr>
          <w:sz w:val="20"/>
        </w:rPr>
        <w:t>d</w:t>
      </w:r>
      <w:r w:rsidR="002F16F8" w:rsidRPr="00412620">
        <w:rPr>
          <w:rFonts w:cs="Arial"/>
          <w:sz w:val="20"/>
        </w:rPr>
        <w:t>efault surcharge</w:t>
      </w:r>
      <w:r w:rsidR="00E13992" w:rsidRPr="00412620">
        <w:rPr>
          <w:rFonts w:cs="Arial"/>
          <w:sz w:val="20"/>
        </w:rPr>
        <w:t>]</w:t>
      </w:r>
      <w:r w:rsidRPr="00412620">
        <w:rPr>
          <w:rFonts w:cs="Arial"/>
          <w:sz w:val="20"/>
        </w:rPr>
        <w:t xml:space="preserve">at a rate equal to </w:t>
      </w:r>
      <w:r w:rsidR="00F32A69" w:rsidRPr="00412620">
        <w:rPr>
          <w:rStyle w:val="FootnoteReference"/>
          <w:rFonts w:cs="Arial"/>
          <w:sz w:val="20"/>
        </w:rPr>
        <w:footnoteReference w:id="1302"/>
      </w:r>
      <w:r w:rsidR="00F32A69" w:rsidRPr="00412620">
        <w:rPr>
          <w:rFonts w:cs="Arial"/>
          <w:sz w:val="20"/>
        </w:rPr>
        <w:t>[</w:t>
      </w:r>
      <w:r w:rsidR="00910B5A">
        <w:rPr>
          <w:rFonts w:cs="Arial"/>
          <w:sz w:val="20"/>
        </w:rPr>
        <w:t xml:space="preserve"> </w:t>
      </w:r>
      <w:r w:rsidR="00462D67" w:rsidRPr="00910B5A">
        <w:rPr>
          <w:rStyle w:val="FootnoteReference"/>
          <w:rFonts w:cs="Arial"/>
          <w:color w:val="000000" w:themeColor="text1"/>
          <w:sz w:val="20"/>
        </w:rPr>
        <w:footnoteReference w:id="1303"/>
      </w:r>
      <w:r w:rsidR="00462D67" w:rsidRPr="00910B5A">
        <w:rPr>
          <w:rFonts w:cs="Arial"/>
          <w:color w:val="000000" w:themeColor="text1"/>
          <w:sz w:val="20"/>
        </w:rPr>
        <w:t>[“12”]</w:t>
      </w:r>
      <w:r w:rsidR="007E0B62">
        <w:rPr>
          <w:rFonts w:cs="Arial"/>
          <w:color w:val="984806" w:themeColor="accent6" w:themeShade="80"/>
          <w:sz w:val="20"/>
        </w:rPr>
        <w:t xml:space="preserve"> </w:t>
      </w:r>
      <w:r w:rsidR="00AB6F06">
        <w:rPr>
          <w:rFonts w:cs="Arial"/>
          <w:sz w:val="20"/>
        </w:rPr>
        <w:t>per cent</w:t>
      </w:r>
      <w:r w:rsidR="00D033B1" w:rsidRPr="00412620">
        <w:rPr>
          <w:rFonts w:cs="Arial"/>
          <w:sz w:val="20"/>
        </w:rPr>
        <w:t xml:space="preserve"> per annum]</w:t>
      </w:r>
      <w:r w:rsidRPr="00412620">
        <w:rPr>
          <w:rFonts w:cs="Arial"/>
          <w:sz w:val="20"/>
        </w:rPr>
        <w:t>on the amount of tax unpaid computed for the period commencing on the date on which it was due and ending on the date on which it was paid or date on which the return of income for the relevant tax year was due, whichever is earlier.]</w:t>
      </w:r>
    </w:p>
    <w:p w:rsidR="006A3F93" w:rsidRPr="00412620" w:rsidRDefault="006A3F93">
      <w:pPr>
        <w:jc w:val="both"/>
        <w:rPr>
          <w:rFonts w:cs="Arial"/>
          <w:sz w:val="20"/>
        </w:rPr>
      </w:pPr>
    </w:p>
    <w:p w:rsidR="006A3F93" w:rsidRPr="00412620" w:rsidRDefault="006A3F93">
      <w:pPr>
        <w:jc w:val="both"/>
        <w:rPr>
          <w:rFonts w:cs="Arial"/>
          <w:sz w:val="20"/>
        </w:rPr>
      </w:pPr>
      <w:r w:rsidRPr="00412620">
        <w:rPr>
          <w:rStyle w:val="FootnoteReference"/>
          <w:rFonts w:cs="Arial"/>
          <w:sz w:val="20"/>
        </w:rPr>
        <w:footnoteReference w:id="1304"/>
      </w:r>
      <w:r w:rsidRPr="00412620">
        <w:rPr>
          <w:rFonts w:cs="Arial"/>
          <w:sz w:val="20"/>
        </w:rPr>
        <w:t xml:space="preserve">[(1B) </w:t>
      </w:r>
      <w:r w:rsidRPr="00412620">
        <w:rPr>
          <w:rFonts w:cs="Arial"/>
          <w:sz w:val="20"/>
        </w:rPr>
        <w:tab/>
        <w:t xml:space="preserve">Where, in respect of any tax year, any taxpayer fails to pay tax under sub-section </w:t>
      </w:r>
      <w:r w:rsidR="00361358" w:rsidRPr="00412620">
        <w:rPr>
          <w:rStyle w:val="FootnoteReference"/>
          <w:rFonts w:cs="Arial"/>
          <w:sz w:val="20"/>
        </w:rPr>
        <w:footnoteReference w:id="1305"/>
      </w:r>
      <w:r w:rsidR="00361358" w:rsidRPr="00412620">
        <w:rPr>
          <w:rFonts w:cs="Arial"/>
          <w:sz w:val="20"/>
        </w:rPr>
        <w:t xml:space="preserve">[(4A), or] </w:t>
      </w:r>
      <w:r w:rsidRPr="00412620">
        <w:rPr>
          <w:rFonts w:cs="Arial"/>
          <w:sz w:val="20"/>
        </w:rPr>
        <w:t xml:space="preserve">(6) of section 147 or the tax so paid is less than </w:t>
      </w:r>
      <w:r w:rsidR="00361358" w:rsidRPr="00412620">
        <w:rPr>
          <w:rStyle w:val="FootnoteReference"/>
          <w:rFonts w:cs="Arial"/>
          <w:sz w:val="20"/>
        </w:rPr>
        <w:footnoteReference w:id="1306"/>
      </w:r>
      <w:r w:rsidR="00361358" w:rsidRPr="00412620">
        <w:rPr>
          <w:rFonts w:cs="Arial"/>
          <w:sz w:val="20"/>
        </w:rPr>
        <w:t xml:space="preserve">[ninety] </w:t>
      </w:r>
      <w:r w:rsidR="00AB6F06">
        <w:rPr>
          <w:rFonts w:cs="Arial"/>
          <w:sz w:val="20"/>
        </w:rPr>
        <w:t>per cent</w:t>
      </w:r>
      <w:r w:rsidRPr="00412620">
        <w:rPr>
          <w:rFonts w:cs="Arial"/>
          <w:sz w:val="20"/>
        </w:rPr>
        <w:t xml:space="preserve"> of the tax chargeable for the relevant tax year, he shall be liable to pay </w:t>
      </w:r>
      <w:r w:rsidR="002D516A" w:rsidRPr="00412620">
        <w:rPr>
          <w:rStyle w:val="FootnoteReference"/>
          <w:rFonts w:cs="Arial"/>
          <w:sz w:val="20"/>
        </w:rPr>
        <w:footnoteReference w:id="1307"/>
      </w:r>
      <w:r w:rsidR="002D516A" w:rsidRPr="00412620">
        <w:rPr>
          <w:rFonts w:cs="Arial"/>
          <w:sz w:val="20"/>
        </w:rPr>
        <w:t>[</w:t>
      </w:r>
      <w:r w:rsidR="002F16F8" w:rsidRPr="00412620">
        <w:rPr>
          <w:sz w:val="20"/>
        </w:rPr>
        <w:t>d</w:t>
      </w:r>
      <w:r w:rsidR="002F16F8" w:rsidRPr="00412620">
        <w:rPr>
          <w:rFonts w:cs="Arial"/>
          <w:sz w:val="20"/>
        </w:rPr>
        <w:t>efault surcharge</w:t>
      </w:r>
      <w:r w:rsidR="002D516A" w:rsidRPr="00412620">
        <w:rPr>
          <w:rFonts w:cs="Arial"/>
          <w:sz w:val="20"/>
        </w:rPr>
        <w:t>]</w:t>
      </w:r>
      <w:r w:rsidRPr="00412620">
        <w:rPr>
          <w:rFonts w:cs="Arial"/>
          <w:sz w:val="20"/>
        </w:rPr>
        <w:t xml:space="preserve">at the rate of </w:t>
      </w:r>
      <w:r w:rsidR="00CA5BE8" w:rsidRPr="00412620">
        <w:rPr>
          <w:rStyle w:val="FootnoteReference"/>
          <w:rFonts w:cs="Arial"/>
          <w:sz w:val="20"/>
        </w:rPr>
        <w:footnoteReference w:id="1308"/>
      </w:r>
      <w:r w:rsidR="00CA5BE8" w:rsidRPr="00412620">
        <w:rPr>
          <w:rFonts w:cs="Arial"/>
          <w:sz w:val="20"/>
        </w:rPr>
        <w:t>[</w:t>
      </w:r>
      <w:r w:rsidR="00910B5A">
        <w:rPr>
          <w:rFonts w:cs="Arial"/>
          <w:sz w:val="20"/>
        </w:rPr>
        <w:t xml:space="preserve"> </w:t>
      </w:r>
      <w:r w:rsidR="00462D67" w:rsidRPr="00910B5A">
        <w:rPr>
          <w:rStyle w:val="FootnoteReference"/>
          <w:rFonts w:cs="Arial"/>
          <w:color w:val="000000" w:themeColor="text1"/>
          <w:sz w:val="20"/>
        </w:rPr>
        <w:footnoteReference w:id="1309"/>
      </w:r>
      <w:r w:rsidR="00462D67" w:rsidRPr="00910B5A">
        <w:rPr>
          <w:rFonts w:cs="Arial"/>
          <w:color w:val="000000" w:themeColor="text1"/>
          <w:sz w:val="20"/>
        </w:rPr>
        <w:t>[12]</w:t>
      </w:r>
      <w:r w:rsidR="007E0B62" w:rsidRPr="00910B5A">
        <w:rPr>
          <w:rFonts w:cs="Arial"/>
          <w:color w:val="000000" w:themeColor="text1"/>
          <w:sz w:val="20"/>
        </w:rPr>
        <w:t xml:space="preserve"> </w:t>
      </w:r>
      <w:r w:rsidR="00AB6F06" w:rsidRPr="00910B5A">
        <w:rPr>
          <w:rFonts w:cs="Arial"/>
          <w:color w:val="000000" w:themeColor="text1"/>
          <w:sz w:val="20"/>
        </w:rPr>
        <w:t>per</w:t>
      </w:r>
      <w:r w:rsidR="00AB6F06">
        <w:rPr>
          <w:rFonts w:cs="Arial"/>
          <w:sz w:val="20"/>
        </w:rPr>
        <w:t xml:space="preserve"> cent</w:t>
      </w:r>
      <w:r w:rsidR="00CA5BE8" w:rsidRPr="00412620">
        <w:rPr>
          <w:rFonts w:cs="Arial"/>
          <w:sz w:val="20"/>
        </w:rPr>
        <w:t xml:space="preserve"> per annum] </w:t>
      </w:r>
      <w:r w:rsidRPr="00412620">
        <w:rPr>
          <w:rFonts w:cs="Arial"/>
          <w:sz w:val="20"/>
        </w:rPr>
        <w:t xml:space="preserve">on the amount of tax so chargeable or the amount by which the tax paid by him falls short of the </w:t>
      </w:r>
      <w:r w:rsidR="00361358" w:rsidRPr="00412620">
        <w:rPr>
          <w:rStyle w:val="FootnoteReference"/>
          <w:rFonts w:cs="Arial"/>
          <w:sz w:val="20"/>
        </w:rPr>
        <w:footnoteReference w:id="1310"/>
      </w:r>
      <w:r w:rsidR="00361358" w:rsidRPr="00412620">
        <w:rPr>
          <w:rFonts w:cs="Arial"/>
          <w:sz w:val="20"/>
        </w:rPr>
        <w:t xml:space="preserve">[ninety] </w:t>
      </w:r>
      <w:r w:rsidR="00AB6F06">
        <w:rPr>
          <w:rFonts w:cs="Arial"/>
          <w:sz w:val="20"/>
        </w:rPr>
        <w:t>per cent</w:t>
      </w:r>
      <w:r w:rsidRPr="00412620">
        <w:rPr>
          <w:rFonts w:cs="Arial"/>
          <w:sz w:val="20"/>
        </w:rPr>
        <w:t xml:space="preserve">, as the case may be; and such </w:t>
      </w:r>
      <w:r w:rsidR="007B4E9A" w:rsidRPr="00412620">
        <w:rPr>
          <w:rStyle w:val="FootnoteReference"/>
          <w:rFonts w:cs="Arial"/>
          <w:sz w:val="20"/>
        </w:rPr>
        <w:footnoteReference w:id="1311"/>
      </w:r>
      <w:r w:rsidR="007B4E9A" w:rsidRPr="00412620">
        <w:rPr>
          <w:rFonts w:cs="Arial"/>
          <w:sz w:val="20"/>
        </w:rPr>
        <w:t>[</w:t>
      </w:r>
      <w:r w:rsidR="007B4E9A" w:rsidRPr="00412620">
        <w:rPr>
          <w:sz w:val="20"/>
        </w:rPr>
        <w:t>d</w:t>
      </w:r>
      <w:r w:rsidR="007B4E9A" w:rsidRPr="00412620">
        <w:rPr>
          <w:rFonts w:cs="Arial"/>
          <w:sz w:val="20"/>
        </w:rPr>
        <w:t>efault surcharge]</w:t>
      </w:r>
      <w:r w:rsidRPr="00412620">
        <w:rPr>
          <w:rFonts w:cs="Arial"/>
          <w:sz w:val="20"/>
        </w:rPr>
        <w:t xml:space="preserve"> shall be calculated from the first day of April in that year to the date on which assessment is made or the thirtieth day of June of the financial year next following, whichever is the earlier.]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Any </w:t>
      </w:r>
      <w:r w:rsidR="002D516A" w:rsidRPr="00412620">
        <w:rPr>
          <w:rStyle w:val="FootnoteReference"/>
          <w:rFonts w:cs="Arial"/>
          <w:sz w:val="20"/>
        </w:rPr>
        <w:footnoteReference w:id="1312"/>
      </w:r>
      <w:r w:rsidR="002D516A" w:rsidRPr="00412620">
        <w:rPr>
          <w:rFonts w:cs="Arial"/>
          <w:sz w:val="20"/>
        </w:rPr>
        <w:t>[</w:t>
      </w:r>
      <w:r w:rsidR="001F7F24" w:rsidRPr="00412620">
        <w:rPr>
          <w:sz w:val="20"/>
        </w:rPr>
        <w:t>d</w:t>
      </w:r>
      <w:r w:rsidR="001F7F24" w:rsidRPr="00412620">
        <w:rPr>
          <w:rFonts w:cs="Arial"/>
          <w:sz w:val="20"/>
        </w:rPr>
        <w:t>efault surcharge</w:t>
      </w:r>
      <w:r w:rsidR="002D516A" w:rsidRPr="00412620">
        <w:rPr>
          <w:rFonts w:cs="Arial"/>
          <w:sz w:val="20"/>
        </w:rPr>
        <w:t>]</w:t>
      </w:r>
      <w:r w:rsidR="00910B5A">
        <w:rPr>
          <w:rFonts w:cs="Arial"/>
          <w:sz w:val="20"/>
        </w:rPr>
        <w:t xml:space="preserve"> </w:t>
      </w:r>
      <w:r w:rsidRPr="00412620">
        <w:rPr>
          <w:rFonts w:cs="Arial"/>
          <w:sz w:val="20"/>
        </w:rPr>
        <w:t>paid by a person under sub-section (1) shall be refunded to the extent that the tax, penalty or other amount to which it relates is held not to be payable.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A person who fails to </w:t>
      </w:r>
      <w:r w:rsidRPr="00412620">
        <w:rPr>
          <w:rStyle w:val="FootnoteReference"/>
          <w:rFonts w:cs="Arial"/>
          <w:sz w:val="20"/>
        </w:rPr>
        <w:footnoteReference w:id="1313"/>
      </w:r>
      <w:r w:rsidRPr="00412620">
        <w:rPr>
          <w:rFonts w:cs="Arial"/>
          <w:sz w:val="20"/>
        </w:rPr>
        <w:t xml:space="preserve">[collect tax, as required under Division II of Part V of this Chapter or Chapter XII or deduct tax as required under Division III of Part V of this Chapter or Chapter XII or fails to] pay an amount of tax collected or deducted as required under section 160 on or before the due date for payment </w:t>
      </w:r>
      <w:r w:rsidRPr="00412620">
        <w:rPr>
          <w:rFonts w:cs="Arial"/>
          <w:sz w:val="20"/>
        </w:rPr>
        <w:lastRenderedPageBreak/>
        <w:t xml:space="preserve">shall be liable for </w:t>
      </w:r>
      <w:r w:rsidR="005B3D53" w:rsidRPr="00412620">
        <w:rPr>
          <w:rStyle w:val="FootnoteReference"/>
          <w:rFonts w:cs="Arial"/>
          <w:sz w:val="20"/>
        </w:rPr>
        <w:footnoteReference w:id="1314"/>
      </w:r>
      <w:r w:rsidR="005B3D53" w:rsidRPr="00412620">
        <w:rPr>
          <w:rFonts w:cs="Arial"/>
          <w:sz w:val="20"/>
        </w:rPr>
        <w:t>[</w:t>
      </w:r>
      <w:r w:rsidR="00030982" w:rsidRPr="00412620">
        <w:rPr>
          <w:sz w:val="20"/>
        </w:rPr>
        <w:t>d</w:t>
      </w:r>
      <w:r w:rsidR="00030982" w:rsidRPr="00412620">
        <w:rPr>
          <w:rFonts w:cs="Arial"/>
          <w:sz w:val="20"/>
        </w:rPr>
        <w:t>efault surcharge</w:t>
      </w:r>
      <w:r w:rsidR="005B3D53" w:rsidRPr="00412620">
        <w:rPr>
          <w:rFonts w:cs="Arial"/>
          <w:sz w:val="20"/>
        </w:rPr>
        <w:t>]</w:t>
      </w:r>
      <w:r w:rsidRPr="00412620">
        <w:rPr>
          <w:rFonts w:cs="Arial"/>
          <w:sz w:val="20"/>
        </w:rPr>
        <w:t xml:space="preserve">at a rate equal to </w:t>
      </w:r>
      <w:r w:rsidR="00F020CA" w:rsidRPr="00412620">
        <w:rPr>
          <w:rStyle w:val="FootnoteReference"/>
          <w:rFonts w:cs="Arial"/>
          <w:sz w:val="20"/>
        </w:rPr>
        <w:footnoteReference w:id="1315"/>
      </w:r>
      <w:r w:rsidR="00F020CA" w:rsidRPr="00412620">
        <w:rPr>
          <w:rFonts w:cs="Arial"/>
          <w:sz w:val="20"/>
        </w:rPr>
        <w:t>[</w:t>
      </w:r>
      <w:r w:rsidR="00910B5A">
        <w:rPr>
          <w:rFonts w:cs="Arial"/>
          <w:sz w:val="20"/>
        </w:rPr>
        <w:t xml:space="preserve"> </w:t>
      </w:r>
      <w:r w:rsidR="00462D67" w:rsidRPr="00910B5A">
        <w:rPr>
          <w:rStyle w:val="FootnoteReference"/>
          <w:rFonts w:cs="Arial"/>
          <w:color w:val="000000" w:themeColor="text1"/>
          <w:sz w:val="20"/>
        </w:rPr>
        <w:footnoteReference w:id="1316"/>
      </w:r>
      <w:r w:rsidR="00462D67" w:rsidRPr="00910B5A">
        <w:rPr>
          <w:rFonts w:cs="Arial"/>
          <w:color w:val="000000" w:themeColor="text1"/>
          <w:sz w:val="20"/>
        </w:rPr>
        <w:t>[“12”]</w:t>
      </w:r>
      <w:r w:rsidR="007E0B62">
        <w:rPr>
          <w:rFonts w:cs="Arial"/>
          <w:color w:val="984806" w:themeColor="accent6" w:themeShade="80"/>
          <w:sz w:val="20"/>
        </w:rPr>
        <w:t xml:space="preserve"> </w:t>
      </w:r>
      <w:r w:rsidR="00AB6F06">
        <w:rPr>
          <w:rFonts w:cs="Arial"/>
          <w:sz w:val="20"/>
        </w:rPr>
        <w:t>per cent</w:t>
      </w:r>
      <w:r w:rsidR="00F020CA" w:rsidRPr="00412620">
        <w:rPr>
          <w:rFonts w:cs="Arial"/>
          <w:sz w:val="20"/>
        </w:rPr>
        <w:t xml:space="preserve"> per annum] </w:t>
      </w:r>
      <w:r w:rsidRPr="00412620">
        <w:rPr>
          <w:rFonts w:cs="Arial"/>
          <w:sz w:val="20"/>
        </w:rPr>
        <w:t xml:space="preserve">on the amount unpaid computed for the period commencing on the date the amount was required to be collected or deducted and ending on the date on which </w:t>
      </w:r>
      <w:r w:rsidR="00416A04" w:rsidRPr="00412620">
        <w:rPr>
          <w:rFonts w:cs="Arial"/>
          <w:sz w:val="20"/>
        </w:rPr>
        <w:t xml:space="preserve">it was paid to the Commissioner </w:t>
      </w:r>
      <w:r w:rsidR="00416A04" w:rsidRPr="00412620">
        <w:rPr>
          <w:rStyle w:val="FootnoteReference"/>
          <w:rFonts w:cs="Arial"/>
          <w:sz w:val="20"/>
        </w:rPr>
        <w:footnoteReference w:id="1317"/>
      </w:r>
      <w:r w:rsidR="00416A04" w:rsidRPr="00412620">
        <w:rPr>
          <w:rFonts w:cs="Arial"/>
          <w:sz w:val="20"/>
        </w:rPr>
        <w:t>[:]</w:t>
      </w:r>
    </w:p>
    <w:p w:rsidR="006A3F93" w:rsidRPr="00412620" w:rsidRDefault="006A3F93">
      <w:pPr>
        <w:jc w:val="both"/>
        <w:rPr>
          <w:rFonts w:cs="Arial"/>
          <w:sz w:val="20"/>
        </w:rPr>
      </w:pPr>
    </w:p>
    <w:p w:rsidR="000343CD" w:rsidRPr="00412620" w:rsidRDefault="000343CD" w:rsidP="000343CD">
      <w:pPr>
        <w:ind w:left="1094" w:firstLine="541"/>
        <w:jc w:val="both"/>
        <w:rPr>
          <w:rFonts w:cs="Arial"/>
          <w:sz w:val="20"/>
        </w:rPr>
      </w:pPr>
      <w:r w:rsidRPr="00412620">
        <w:rPr>
          <w:rStyle w:val="FootnoteReference"/>
          <w:rFonts w:cs="Arial"/>
          <w:sz w:val="20"/>
        </w:rPr>
        <w:footnoteReference w:id="1318"/>
      </w:r>
      <w:r w:rsidRPr="00412620">
        <w:rPr>
          <w:rFonts w:cs="Arial"/>
          <w:sz w:val="20"/>
        </w:rPr>
        <w:t>[</w:t>
      </w:r>
      <w:r w:rsidRPr="00412620">
        <w:rPr>
          <w:sz w:val="20"/>
        </w:rPr>
        <w:t>Provided that if the person opts to pay the tax due on the  basis of an order under section 129 on or before the due date given in the notice under sub-section (2) of section 137 issued in consequence of the said order and does not file an appeal under section 131, he shall not be liable to pay default surcharge for the period beginning from the date of order under section 161 to the date of payment.]</w:t>
      </w:r>
    </w:p>
    <w:p w:rsidR="000343CD" w:rsidRPr="00412620" w:rsidRDefault="000343CD">
      <w:pPr>
        <w:jc w:val="both"/>
        <w:rPr>
          <w:rFonts w:cs="Arial"/>
          <w:sz w:val="20"/>
        </w:rPr>
      </w:pPr>
    </w:p>
    <w:p w:rsidR="006A3F93" w:rsidRPr="00412620" w:rsidRDefault="006A3F93">
      <w:pPr>
        <w:ind w:firstLine="450"/>
        <w:jc w:val="both"/>
        <w:rPr>
          <w:sz w:val="20"/>
        </w:rPr>
      </w:pPr>
      <w:r w:rsidRPr="00412620">
        <w:rPr>
          <w:rStyle w:val="FootnoteReference"/>
          <w:rFonts w:cs="Arial"/>
          <w:sz w:val="20"/>
        </w:rPr>
        <w:footnoteReference w:id="1319"/>
      </w:r>
      <w:r w:rsidRPr="00412620">
        <w:rPr>
          <w:sz w:val="20"/>
        </w:rPr>
        <w:t>[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The Commissioner shall make an assessment of any </w:t>
      </w:r>
      <w:r w:rsidR="00E141E9" w:rsidRPr="00412620">
        <w:rPr>
          <w:rStyle w:val="FootnoteReference"/>
          <w:rFonts w:cs="Arial"/>
          <w:sz w:val="20"/>
        </w:rPr>
        <w:footnoteReference w:id="1320"/>
      </w:r>
      <w:r w:rsidR="00E141E9" w:rsidRPr="00412620">
        <w:rPr>
          <w:rFonts w:cs="Arial"/>
          <w:sz w:val="20"/>
        </w:rPr>
        <w:t>[</w:t>
      </w:r>
      <w:r w:rsidR="00BF5139" w:rsidRPr="00412620">
        <w:rPr>
          <w:sz w:val="20"/>
        </w:rPr>
        <w:t>d</w:t>
      </w:r>
      <w:r w:rsidR="00BF5139" w:rsidRPr="00412620">
        <w:rPr>
          <w:rFonts w:cs="Arial"/>
          <w:sz w:val="20"/>
        </w:rPr>
        <w:t>efault surcharge</w:t>
      </w:r>
      <w:r w:rsidR="00E141E9" w:rsidRPr="00412620">
        <w:rPr>
          <w:rFonts w:cs="Arial"/>
          <w:sz w:val="20"/>
        </w:rPr>
        <w:t>]</w:t>
      </w:r>
      <w:r w:rsidRPr="00412620">
        <w:rPr>
          <w:rFonts w:cs="Arial"/>
          <w:sz w:val="20"/>
        </w:rPr>
        <w:t xml:space="preserve">imposed under this Part in accordance with the provisions of Part II of this Chapter as if the </w:t>
      </w:r>
      <w:r w:rsidR="00E141E9" w:rsidRPr="00412620">
        <w:rPr>
          <w:rStyle w:val="FootnoteReference"/>
          <w:rFonts w:cs="Arial"/>
          <w:sz w:val="20"/>
        </w:rPr>
        <w:footnoteReference w:id="1321"/>
      </w:r>
      <w:r w:rsidR="00E141E9" w:rsidRPr="00412620">
        <w:rPr>
          <w:rFonts w:cs="Arial"/>
          <w:sz w:val="20"/>
        </w:rPr>
        <w:t>[</w:t>
      </w:r>
      <w:r w:rsidR="007E3926" w:rsidRPr="00412620">
        <w:rPr>
          <w:sz w:val="20"/>
        </w:rPr>
        <w:t>d</w:t>
      </w:r>
      <w:r w:rsidR="007E3926" w:rsidRPr="00412620">
        <w:rPr>
          <w:rFonts w:cs="Arial"/>
          <w:sz w:val="20"/>
        </w:rPr>
        <w:t>efault surcharge</w:t>
      </w:r>
      <w:r w:rsidR="00E141E9" w:rsidRPr="00412620">
        <w:rPr>
          <w:rFonts w:cs="Arial"/>
          <w:sz w:val="20"/>
        </w:rPr>
        <w:t>]</w:t>
      </w:r>
      <w:r w:rsidRPr="00412620">
        <w:rPr>
          <w:rFonts w:cs="Arial"/>
          <w:sz w:val="20"/>
        </w:rPr>
        <w:t>were tax.</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The provisions of Parts III and IV apply to an assessment of </w:t>
      </w:r>
      <w:r w:rsidR="00E141E9" w:rsidRPr="00412620">
        <w:rPr>
          <w:rStyle w:val="FootnoteReference"/>
          <w:rFonts w:cs="Arial"/>
          <w:sz w:val="20"/>
        </w:rPr>
        <w:footnoteReference w:id="1322"/>
      </w:r>
      <w:r w:rsidR="00E141E9" w:rsidRPr="00412620">
        <w:rPr>
          <w:rFonts w:cs="Arial"/>
          <w:sz w:val="20"/>
        </w:rPr>
        <w:t>[</w:t>
      </w:r>
      <w:r w:rsidR="007E3926" w:rsidRPr="00412620">
        <w:rPr>
          <w:sz w:val="20"/>
        </w:rPr>
        <w:t>d</w:t>
      </w:r>
      <w:r w:rsidR="007E3926" w:rsidRPr="00412620">
        <w:rPr>
          <w:rFonts w:cs="Arial"/>
          <w:sz w:val="20"/>
        </w:rPr>
        <w:t>efault surcharge</w:t>
      </w:r>
      <w:r w:rsidR="00E141E9" w:rsidRPr="00412620">
        <w:rPr>
          <w:rFonts w:cs="Arial"/>
          <w:sz w:val="20"/>
        </w:rPr>
        <w:t>]</w:t>
      </w:r>
      <w:r w:rsidRPr="00412620">
        <w:rPr>
          <w:rFonts w:cs="Arial"/>
          <w:sz w:val="20"/>
        </w:rPr>
        <w:t>as if it were an assessment of tax.</w:t>
      </w:r>
    </w:p>
    <w:p w:rsidR="006A3F93" w:rsidRPr="00412620" w:rsidRDefault="006A3F93">
      <w:pPr>
        <w:jc w:val="both"/>
        <w:rPr>
          <w:rFonts w:cs="Arial"/>
          <w:b/>
          <w:sz w:val="20"/>
        </w:rPr>
      </w:pPr>
    </w:p>
    <w:p w:rsidR="006A3F93" w:rsidRPr="00412620" w:rsidRDefault="006A3F93">
      <w:pPr>
        <w:jc w:val="both"/>
        <w:rPr>
          <w:sz w:val="20"/>
        </w:rPr>
      </w:pPr>
      <w:r w:rsidRPr="00412620">
        <w:rPr>
          <w:rStyle w:val="FootnoteReference"/>
          <w:rFonts w:cs="Arial"/>
          <w:b/>
          <w:sz w:val="20"/>
        </w:rPr>
        <w:footnoteReference w:id="1323"/>
      </w:r>
      <w:r w:rsidRPr="00412620">
        <w:rPr>
          <w:b/>
          <w:sz w:val="20"/>
        </w:rPr>
        <w:t xml:space="preserve">[205A.Reduction in </w:t>
      </w:r>
      <w:r w:rsidR="0001337D" w:rsidRPr="00412620">
        <w:rPr>
          <w:rStyle w:val="FootnoteReference"/>
          <w:b/>
          <w:sz w:val="20"/>
        </w:rPr>
        <w:footnoteReference w:id="1324"/>
      </w:r>
      <w:r w:rsidR="0001337D" w:rsidRPr="00412620">
        <w:rPr>
          <w:b/>
          <w:sz w:val="20"/>
        </w:rPr>
        <w:t>[</w:t>
      </w:r>
      <w:r w:rsidR="007E3926" w:rsidRPr="00412620">
        <w:rPr>
          <w:b/>
          <w:sz w:val="20"/>
        </w:rPr>
        <w:t>d</w:t>
      </w:r>
      <w:r w:rsidR="007E3926" w:rsidRPr="00412620">
        <w:rPr>
          <w:rFonts w:cs="Arial"/>
          <w:b/>
          <w:sz w:val="20"/>
        </w:rPr>
        <w:t>efault surcharge</w:t>
      </w:r>
      <w:r w:rsidR="0001337D" w:rsidRPr="00412620">
        <w:rPr>
          <w:rFonts w:cs="Arial"/>
          <w:b/>
          <w:sz w:val="20"/>
        </w:rPr>
        <w:t>]</w:t>
      </w:r>
      <w:r w:rsidRPr="00412620">
        <w:rPr>
          <w:b/>
          <w:sz w:val="20"/>
        </w:rPr>
        <w:t>, consequential to reduction in tax or penalty.</w:t>
      </w:r>
      <w:r w:rsidR="003C73C8">
        <w:rPr>
          <w:rFonts w:cs="Arial"/>
          <w:b/>
          <w:sz w:val="20"/>
        </w:rPr>
        <w:t>—</w:t>
      </w:r>
      <w:r w:rsidRPr="00412620">
        <w:rPr>
          <w:sz w:val="20"/>
        </w:rPr>
        <w:t xml:space="preserve"> Where, in consequence of any order made under this Ordinance, </w:t>
      </w:r>
      <w:r w:rsidRPr="00412620">
        <w:rPr>
          <w:sz w:val="20"/>
        </w:rPr>
        <w:lastRenderedPageBreak/>
        <w:t xml:space="preserve">the amount of tax or penalty in respect of which </w:t>
      </w:r>
      <w:r w:rsidR="0001337D" w:rsidRPr="00412620">
        <w:rPr>
          <w:rStyle w:val="FootnoteReference"/>
          <w:sz w:val="20"/>
        </w:rPr>
        <w:footnoteReference w:id="1325"/>
      </w:r>
      <w:r w:rsidR="0001337D" w:rsidRPr="00412620">
        <w:rPr>
          <w:sz w:val="20"/>
        </w:rPr>
        <w:t>[</w:t>
      </w:r>
      <w:r w:rsidR="007E3926" w:rsidRPr="00412620">
        <w:rPr>
          <w:sz w:val="20"/>
        </w:rPr>
        <w:t>d</w:t>
      </w:r>
      <w:r w:rsidR="007E3926" w:rsidRPr="00412620">
        <w:rPr>
          <w:rFonts w:cs="Arial"/>
          <w:sz w:val="20"/>
        </w:rPr>
        <w:t>efault surcharge</w:t>
      </w:r>
      <w:r w:rsidR="0001337D" w:rsidRPr="00412620">
        <w:rPr>
          <w:rFonts w:cs="Arial"/>
          <w:sz w:val="20"/>
        </w:rPr>
        <w:t>]</w:t>
      </w:r>
      <w:r w:rsidRPr="00412620">
        <w:rPr>
          <w:sz w:val="20"/>
        </w:rPr>
        <w:t xml:space="preserve">is chargeable under section 205 is reduced, the </w:t>
      </w:r>
      <w:r w:rsidR="0001337D" w:rsidRPr="00412620">
        <w:rPr>
          <w:rStyle w:val="FootnoteReference"/>
          <w:sz w:val="20"/>
        </w:rPr>
        <w:footnoteReference w:id="1326"/>
      </w:r>
      <w:r w:rsidR="0001337D" w:rsidRPr="00412620">
        <w:rPr>
          <w:sz w:val="20"/>
        </w:rPr>
        <w:t>[</w:t>
      </w:r>
      <w:r w:rsidR="007E3926" w:rsidRPr="00412620">
        <w:rPr>
          <w:sz w:val="20"/>
        </w:rPr>
        <w:t>d</w:t>
      </w:r>
      <w:r w:rsidR="007E3926" w:rsidRPr="00412620">
        <w:rPr>
          <w:rFonts w:cs="Arial"/>
          <w:sz w:val="20"/>
        </w:rPr>
        <w:t>efault surcharge</w:t>
      </w:r>
      <w:r w:rsidR="0001337D" w:rsidRPr="00412620">
        <w:rPr>
          <w:rFonts w:cs="Arial"/>
          <w:sz w:val="20"/>
        </w:rPr>
        <w:t>]</w:t>
      </w:r>
      <w:r w:rsidRPr="00412620">
        <w:rPr>
          <w:sz w:val="20"/>
        </w:rPr>
        <w:t>, if any, levied under the aforesaid section shall be reduced accordingly.]</w:t>
      </w:r>
    </w:p>
    <w:p w:rsidR="006A3F93" w:rsidRPr="00412620" w:rsidRDefault="006A3F93">
      <w:pPr>
        <w:rPr>
          <w:rFonts w:cs="Arial"/>
          <w:sz w:val="20"/>
        </w:rPr>
      </w:pPr>
    </w:p>
    <w:p w:rsidR="006A3F93" w:rsidRPr="00412620" w:rsidRDefault="0049539D">
      <w:pPr>
        <w:keepNext/>
        <w:jc w:val="center"/>
        <w:rPr>
          <w:rFonts w:cs="Arial"/>
          <w:b/>
          <w:sz w:val="32"/>
          <w:szCs w:val="32"/>
        </w:rPr>
      </w:pPr>
      <w:r w:rsidRPr="00412620">
        <w:rPr>
          <w:rFonts w:cs="Arial"/>
          <w:b/>
          <w:sz w:val="20"/>
        </w:rPr>
        <w:br w:type="page"/>
      </w:r>
      <w:r w:rsidR="006A3F93" w:rsidRPr="00412620">
        <w:rPr>
          <w:rFonts w:cs="Arial"/>
          <w:b/>
          <w:sz w:val="32"/>
          <w:szCs w:val="32"/>
        </w:rPr>
        <w:lastRenderedPageBreak/>
        <w:t>PART XIII</w:t>
      </w:r>
    </w:p>
    <w:p w:rsidR="006A3F93" w:rsidRPr="00412620" w:rsidRDefault="006A3F93">
      <w:pPr>
        <w:keepNext/>
        <w:jc w:val="center"/>
        <w:rPr>
          <w:rFonts w:cs="Arial"/>
          <w:b/>
          <w:sz w:val="20"/>
        </w:rPr>
      </w:pPr>
      <w:r w:rsidRPr="00412620">
        <w:rPr>
          <w:rFonts w:cs="Arial"/>
          <w:b/>
          <w:sz w:val="20"/>
        </w:rPr>
        <w:t>CIRCULARS</w:t>
      </w:r>
    </w:p>
    <w:p w:rsidR="006A3F93" w:rsidRPr="00412620" w:rsidRDefault="006A3F93">
      <w:pPr>
        <w:keepNext/>
        <w:rPr>
          <w:rFonts w:cs="Arial"/>
          <w:b/>
          <w:i/>
          <w:sz w:val="20"/>
        </w:rPr>
      </w:pPr>
    </w:p>
    <w:p w:rsidR="006A3F93" w:rsidRPr="00412620" w:rsidRDefault="006A3F93">
      <w:pPr>
        <w:jc w:val="both"/>
        <w:rPr>
          <w:sz w:val="20"/>
        </w:rPr>
      </w:pPr>
      <w:r w:rsidRPr="00412620">
        <w:rPr>
          <w:rFonts w:cs="Arial"/>
          <w:b/>
          <w:sz w:val="20"/>
        </w:rPr>
        <w:t>206.</w:t>
      </w:r>
      <w:r w:rsidRPr="00412620">
        <w:rPr>
          <w:rFonts w:cs="Arial"/>
          <w:b/>
          <w:sz w:val="20"/>
        </w:rPr>
        <w:tab/>
        <w:t xml:space="preserve"> Circulars.</w:t>
      </w:r>
      <w:r w:rsidR="00530E80" w:rsidRPr="00412620">
        <w:rPr>
          <w:rFonts w:cs="Arial"/>
          <w:sz w:val="20"/>
        </w:rPr>
        <w:t xml:space="preserve"> —</w:t>
      </w:r>
      <w:r w:rsidRPr="00412620">
        <w:rPr>
          <w:sz w:val="20"/>
        </w:rPr>
        <w:t xml:space="preserve"> (1) To achieve consistency in the administration of this Ordinance and to provide guidance to taxpayers and officers of the </w:t>
      </w:r>
      <w:r w:rsidR="00B40FD1" w:rsidRPr="00412620">
        <w:rPr>
          <w:rStyle w:val="FootnoteReference"/>
          <w:sz w:val="20"/>
        </w:rPr>
        <w:footnoteReference w:id="1327"/>
      </w:r>
      <w:r w:rsidR="00B40FD1" w:rsidRPr="00412620">
        <w:rPr>
          <w:sz w:val="20"/>
        </w:rPr>
        <w:t>[</w:t>
      </w:r>
      <w:r w:rsidRPr="00412620">
        <w:rPr>
          <w:sz w:val="20"/>
        </w:rPr>
        <w:t>Board</w:t>
      </w:r>
      <w:r w:rsidR="00B40FD1" w:rsidRPr="00412620">
        <w:rPr>
          <w:sz w:val="20"/>
        </w:rPr>
        <w:t>]</w:t>
      </w:r>
      <w:r w:rsidRPr="00412620">
        <w:rPr>
          <w:sz w:val="20"/>
        </w:rPr>
        <w:t xml:space="preserve">, the </w:t>
      </w:r>
      <w:r w:rsidR="00B40FD1" w:rsidRPr="00412620">
        <w:rPr>
          <w:rStyle w:val="FootnoteReference"/>
          <w:sz w:val="20"/>
        </w:rPr>
        <w:footnoteReference w:id="1328"/>
      </w:r>
      <w:r w:rsidR="00B40FD1" w:rsidRPr="00412620">
        <w:rPr>
          <w:sz w:val="20"/>
        </w:rPr>
        <w:t>[</w:t>
      </w:r>
      <w:r w:rsidRPr="00412620">
        <w:rPr>
          <w:sz w:val="20"/>
        </w:rPr>
        <w:t>Board</w:t>
      </w:r>
      <w:r w:rsidR="00B40FD1" w:rsidRPr="00412620">
        <w:rPr>
          <w:sz w:val="20"/>
        </w:rPr>
        <w:t>]</w:t>
      </w:r>
      <w:r w:rsidRPr="00412620">
        <w:rPr>
          <w:sz w:val="20"/>
        </w:rPr>
        <w:t xml:space="preserve"> may issue Circulars setting out the Board’s interpretation of this Ordinance.</w:t>
      </w:r>
    </w:p>
    <w:p w:rsidR="006A3F93" w:rsidRPr="00412620" w:rsidRDefault="006A3F93">
      <w:pPr>
        <w:jc w:val="both"/>
        <w:rPr>
          <w:rFonts w:cs="Arial"/>
          <w:sz w:val="20"/>
        </w:rPr>
      </w:pPr>
    </w:p>
    <w:p w:rsidR="006E309F" w:rsidRPr="00412620" w:rsidRDefault="006E309F" w:rsidP="006E309F">
      <w:pPr>
        <w:autoSpaceDE w:val="0"/>
        <w:autoSpaceDN w:val="0"/>
        <w:adjustRightInd w:val="0"/>
        <w:jc w:val="both"/>
        <w:rPr>
          <w:rFonts w:cs="Arial"/>
          <w:sz w:val="20"/>
          <w:lang w:val="en-US"/>
        </w:rPr>
      </w:pPr>
      <w:r w:rsidRPr="00412620">
        <w:rPr>
          <w:rFonts w:cs="Arial"/>
          <w:sz w:val="20"/>
          <w:lang w:val="en-US"/>
        </w:rPr>
        <w:tab/>
      </w:r>
      <w:r w:rsidRPr="00412620">
        <w:rPr>
          <w:rStyle w:val="FootnoteReference"/>
          <w:rFonts w:cs="Arial"/>
          <w:sz w:val="20"/>
          <w:lang w:val="en-US"/>
        </w:rPr>
        <w:footnoteReference w:id="1329"/>
      </w:r>
      <w:r w:rsidRPr="00412620">
        <w:rPr>
          <w:rFonts w:cs="Arial"/>
          <w:sz w:val="20"/>
          <w:lang w:val="en-US"/>
        </w:rPr>
        <w:t xml:space="preserve">[(2) A circular issued by the </w:t>
      </w:r>
      <w:r w:rsidR="00B40FD1" w:rsidRPr="00412620">
        <w:rPr>
          <w:rStyle w:val="FootnoteReference"/>
          <w:rFonts w:cs="Arial"/>
          <w:sz w:val="20"/>
          <w:lang w:val="en-US"/>
        </w:rPr>
        <w:footnoteReference w:id="1330"/>
      </w:r>
      <w:r w:rsidR="00B40FD1" w:rsidRPr="00412620">
        <w:rPr>
          <w:rFonts w:cs="Arial"/>
          <w:sz w:val="20"/>
          <w:lang w:val="en-US"/>
        </w:rPr>
        <w:t>[</w:t>
      </w:r>
      <w:r w:rsidRPr="00412620">
        <w:rPr>
          <w:rFonts w:cs="Arial"/>
          <w:sz w:val="20"/>
          <w:lang w:val="en-US"/>
        </w:rPr>
        <w:t>Board</w:t>
      </w:r>
      <w:r w:rsidR="00B40FD1" w:rsidRPr="00412620">
        <w:rPr>
          <w:rFonts w:cs="Arial"/>
          <w:sz w:val="20"/>
          <w:lang w:val="en-US"/>
        </w:rPr>
        <w:t>]</w:t>
      </w:r>
      <w:r w:rsidRPr="00412620">
        <w:rPr>
          <w:rFonts w:cs="Arial"/>
          <w:sz w:val="20"/>
          <w:lang w:val="en-US"/>
        </w:rPr>
        <w:t xml:space="preserve"> shall be binding on all Income Tax Authorities and other persons employed in the execution of the Ordinance, under the control of the said Board other than Commissioners of Income Tax (Appeals).]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A Circular shall not </w:t>
      </w:r>
      <w:r w:rsidRPr="00412620">
        <w:rPr>
          <w:rStyle w:val="FootnoteReference"/>
          <w:rFonts w:cs="Arial"/>
          <w:sz w:val="20"/>
        </w:rPr>
        <w:footnoteReference w:id="1331"/>
      </w:r>
      <w:r w:rsidRPr="00412620">
        <w:rPr>
          <w:rFonts w:cs="Arial"/>
          <w:sz w:val="20"/>
        </w:rPr>
        <w:t>[be]</w:t>
      </w:r>
      <w:r w:rsidR="001B3020">
        <w:rPr>
          <w:rFonts w:cs="Arial"/>
          <w:sz w:val="20"/>
        </w:rPr>
        <w:t xml:space="preserve"> </w:t>
      </w:r>
      <w:r w:rsidRPr="00412620">
        <w:rPr>
          <w:rFonts w:cs="Arial"/>
          <w:sz w:val="20"/>
        </w:rPr>
        <w:t>binding on a taxpayer.</w:t>
      </w:r>
    </w:p>
    <w:p w:rsidR="006A3F93" w:rsidRPr="00412620" w:rsidRDefault="006A3F93">
      <w:pPr>
        <w:rPr>
          <w:rFonts w:cs="Arial"/>
          <w:sz w:val="20"/>
        </w:rPr>
      </w:pPr>
    </w:p>
    <w:p w:rsidR="006A3F93" w:rsidRPr="00412620" w:rsidRDefault="006A3F93">
      <w:pPr>
        <w:jc w:val="both"/>
        <w:rPr>
          <w:sz w:val="20"/>
        </w:rPr>
      </w:pPr>
      <w:r w:rsidRPr="00412620">
        <w:rPr>
          <w:rStyle w:val="FootnoteReference"/>
          <w:rFonts w:cs="Arial"/>
          <w:b/>
          <w:sz w:val="20"/>
        </w:rPr>
        <w:footnoteReference w:id="1332"/>
      </w:r>
      <w:r w:rsidR="00E3545F">
        <w:rPr>
          <w:b/>
          <w:sz w:val="20"/>
        </w:rPr>
        <w:t xml:space="preserve">[206A. </w:t>
      </w:r>
      <w:r w:rsidRPr="00412620">
        <w:rPr>
          <w:b/>
          <w:sz w:val="20"/>
        </w:rPr>
        <w:t>Advance ruling.</w:t>
      </w:r>
      <w:r w:rsidR="00530E80" w:rsidRPr="00412620">
        <w:rPr>
          <w:rFonts w:cs="Arial"/>
          <w:sz w:val="20"/>
        </w:rPr>
        <w:t xml:space="preserve"> —</w:t>
      </w:r>
      <w:r w:rsidRPr="00412620">
        <w:rPr>
          <w:sz w:val="20"/>
        </w:rPr>
        <w:t xml:space="preserve"> (1) The </w:t>
      </w:r>
      <w:r w:rsidR="00B40FD1" w:rsidRPr="00412620">
        <w:rPr>
          <w:rStyle w:val="FootnoteReference"/>
          <w:sz w:val="20"/>
        </w:rPr>
        <w:footnoteReference w:id="1333"/>
      </w:r>
      <w:r w:rsidR="00B40FD1" w:rsidRPr="00412620">
        <w:rPr>
          <w:sz w:val="20"/>
        </w:rPr>
        <w:t>[</w:t>
      </w:r>
      <w:r w:rsidRPr="00412620">
        <w:rPr>
          <w:sz w:val="20"/>
        </w:rPr>
        <w:t>Board</w:t>
      </w:r>
      <w:r w:rsidR="00B40FD1" w:rsidRPr="00412620">
        <w:rPr>
          <w:sz w:val="20"/>
        </w:rPr>
        <w:t>]</w:t>
      </w:r>
      <w:r w:rsidRPr="00412620">
        <w:rPr>
          <w:sz w:val="20"/>
        </w:rPr>
        <w:t xml:space="preserve"> may, on application in writing by a non-resident taxpayer, issue to the taxpayer an advance ruling setting out the Commissioner’s position regarding the application of this Ordinance to a transaction proposed or entered into by the taxpayer.</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 xml:space="preserve">(2) </w:t>
      </w:r>
      <w:r w:rsidRPr="00412620">
        <w:rPr>
          <w:rFonts w:cs="Arial"/>
          <w:sz w:val="20"/>
        </w:rPr>
        <w:tab/>
        <w:t xml:space="preserve">Where the taxpayer has made a full and true disclosure of the nature of all aspects of the transaction relevant to the ruling and the transaction has proceeded in all material respects as described in the taxpayer’s application for the ruling, the ruling is </w:t>
      </w:r>
      <w:r w:rsidRPr="00412620">
        <w:rPr>
          <w:rStyle w:val="FootnoteReference"/>
          <w:rFonts w:cs="Arial"/>
          <w:sz w:val="20"/>
        </w:rPr>
        <w:footnoteReference w:id="1334"/>
      </w:r>
      <w:r w:rsidRPr="00412620">
        <w:rPr>
          <w:rFonts w:cs="Arial"/>
          <w:sz w:val="20"/>
        </w:rPr>
        <w:t>[binding] on the Commissioner with respect to the application to the transaction of the law as it stood at the time the ruling was issued.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Where there is any inconsistency between a circular and an advance ruling, priority shall be given to the terms of the advance ruling</w:t>
      </w:r>
      <w:r w:rsidR="00910B5A">
        <w:rPr>
          <w:rFonts w:cs="Arial"/>
          <w:sz w:val="20"/>
        </w:rPr>
        <w:t xml:space="preserve"> </w:t>
      </w:r>
      <w:r w:rsidR="00F67BEE" w:rsidRPr="00412620">
        <w:rPr>
          <w:rStyle w:val="FootnoteReference"/>
          <w:rFonts w:cs="Arial"/>
          <w:sz w:val="20"/>
        </w:rPr>
        <w:footnoteReference w:id="1335"/>
      </w:r>
      <w:r w:rsidR="00F67BEE" w:rsidRPr="00412620">
        <w:rPr>
          <w:rFonts w:cs="Arial"/>
          <w:sz w:val="20"/>
        </w:rPr>
        <w:t xml:space="preserve">[:] </w:t>
      </w:r>
      <w:r w:rsidRPr="00412620">
        <w:rPr>
          <w:rFonts w:cs="Arial"/>
          <w:sz w:val="20"/>
        </w:rPr>
        <w:t>]</w:t>
      </w:r>
    </w:p>
    <w:p w:rsidR="006A3F93" w:rsidRPr="00412620" w:rsidRDefault="006A3F93">
      <w:pPr>
        <w:jc w:val="both"/>
        <w:rPr>
          <w:rFonts w:cs="Arial"/>
          <w:sz w:val="26"/>
        </w:rPr>
      </w:pPr>
    </w:p>
    <w:p w:rsidR="00F67BEE" w:rsidRPr="00412620" w:rsidRDefault="00F67BEE" w:rsidP="00F67BEE">
      <w:pPr>
        <w:ind w:left="1094" w:firstLine="540"/>
        <w:jc w:val="both"/>
        <w:rPr>
          <w:rFonts w:cs="Arial"/>
          <w:sz w:val="20"/>
        </w:rPr>
      </w:pPr>
      <w:r w:rsidRPr="00412620">
        <w:rPr>
          <w:rStyle w:val="FootnoteReference"/>
          <w:rFonts w:cs="Arial"/>
          <w:sz w:val="20"/>
        </w:rPr>
        <w:footnoteReference w:id="1336"/>
      </w:r>
      <w:r w:rsidRPr="00412620">
        <w:rPr>
          <w:rFonts w:cs="Arial"/>
          <w:sz w:val="20"/>
        </w:rPr>
        <w:t>[Provided that this section shall not apply to a non-resident taxpayer having a permanent establishment in Pakistan.]</w:t>
      </w:r>
    </w:p>
    <w:p w:rsidR="006A3F93" w:rsidRPr="00412620" w:rsidRDefault="006A3F93">
      <w:pPr>
        <w:pStyle w:val="Heading2"/>
        <w:spacing w:line="240" w:lineRule="auto"/>
        <w:rPr>
          <w:rFonts w:cs="Arial"/>
          <w:sz w:val="32"/>
          <w:szCs w:val="32"/>
        </w:rPr>
      </w:pPr>
      <w:r w:rsidRPr="00412620">
        <w:rPr>
          <w:rFonts w:cs="Arial"/>
          <w:sz w:val="32"/>
          <w:szCs w:val="32"/>
        </w:rPr>
        <w:lastRenderedPageBreak/>
        <w:t>CHAPTER XI</w:t>
      </w:r>
    </w:p>
    <w:p w:rsidR="006A3F93" w:rsidRPr="00412620" w:rsidRDefault="006A3F93">
      <w:pPr>
        <w:pStyle w:val="Heading2"/>
        <w:spacing w:line="240" w:lineRule="auto"/>
        <w:rPr>
          <w:rFonts w:cs="Arial"/>
          <w:sz w:val="28"/>
          <w:szCs w:val="28"/>
        </w:rPr>
      </w:pPr>
      <w:r w:rsidRPr="00412620">
        <w:rPr>
          <w:rFonts w:cs="Arial"/>
          <w:sz w:val="28"/>
          <w:szCs w:val="28"/>
        </w:rPr>
        <w:t>ADMINISTRATION</w:t>
      </w:r>
    </w:p>
    <w:p w:rsidR="006A3F93" w:rsidRPr="00412620" w:rsidRDefault="006A3F93">
      <w:pPr>
        <w:pStyle w:val="CommentText"/>
        <w:keepNext/>
        <w:rPr>
          <w:rFonts w:cs="Arial"/>
          <w:sz w:val="26"/>
        </w:rPr>
      </w:pPr>
    </w:p>
    <w:p w:rsidR="006A3F93" w:rsidRPr="00412620" w:rsidRDefault="006A3F93">
      <w:pPr>
        <w:pStyle w:val="Heading9"/>
        <w:jc w:val="center"/>
        <w:rPr>
          <w:rFonts w:cs="Arial"/>
          <w:sz w:val="32"/>
          <w:szCs w:val="32"/>
        </w:rPr>
      </w:pPr>
      <w:r w:rsidRPr="00412620">
        <w:rPr>
          <w:rFonts w:cs="Arial"/>
          <w:sz w:val="32"/>
          <w:szCs w:val="32"/>
        </w:rPr>
        <w:t>PART I</w:t>
      </w:r>
    </w:p>
    <w:p w:rsidR="006A3F93" w:rsidRPr="00412620" w:rsidRDefault="006A3F93">
      <w:pPr>
        <w:keepNext/>
        <w:jc w:val="center"/>
        <w:rPr>
          <w:sz w:val="20"/>
        </w:rPr>
      </w:pPr>
      <w:r w:rsidRPr="00412620">
        <w:rPr>
          <w:rFonts w:cs="Arial"/>
          <w:b/>
          <w:sz w:val="20"/>
        </w:rPr>
        <w:t>GENERAL</w:t>
      </w:r>
    </w:p>
    <w:p w:rsidR="006A3F93" w:rsidRPr="00412620" w:rsidRDefault="006A3F93">
      <w:pPr>
        <w:keepNext/>
        <w:jc w:val="both"/>
        <w:rPr>
          <w:rFonts w:cs="Arial"/>
          <w:sz w:val="20"/>
          <w:szCs w:val="24"/>
        </w:rPr>
      </w:pPr>
    </w:p>
    <w:p w:rsidR="00D63247" w:rsidRPr="00412620" w:rsidRDefault="00DD55E2" w:rsidP="00D63247">
      <w:pPr>
        <w:jc w:val="both"/>
        <w:rPr>
          <w:rFonts w:cs="Arial"/>
          <w:sz w:val="20"/>
        </w:rPr>
      </w:pPr>
      <w:r w:rsidRPr="00412620">
        <w:rPr>
          <w:rStyle w:val="FootnoteReference"/>
        </w:rPr>
        <w:footnoteReference w:id="1337"/>
      </w:r>
      <w:r w:rsidR="00D63247" w:rsidRPr="00412620">
        <w:rPr>
          <w:rFonts w:cs="Arial"/>
          <w:sz w:val="20"/>
          <w:szCs w:val="24"/>
        </w:rPr>
        <w:t>[</w:t>
      </w:r>
      <w:r w:rsidR="00D63247" w:rsidRPr="00412620">
        <w:rPr>
          <w:rFonts w:cs="Arial"/>
          <w:b/>
          <w:sz w:val="20"/>
        </w:rPr>
        <w:t>207.</w:t>
      </w:r>
      <w:r w:rsidR="00D63247" w:rsidRPr="00412620">
        <w:rPr>
          <w:rFonts w:cs="Arial"/>
          <w:b/>
          <w:sz w:val="20"/>
        </w:rPr>
        <w:tab/>
        <w:t>Income tax authorities.—</w:t>
      </w:r>
      <w:r w:rsidR="00D63247" w:rsidRPr="00412620">
        <w:rPr>
          <w:rFonts w:cs="Arial"/>
          <w:sz w:val="20"/>
        </w:rPr>
        <w:t xml:space="preserve"> (1) There shall be the following Income Tax authorities for the purposes of this Ordinance and</w:t>
      </w:r>
      <w:r w:rsidR="007944CE" w:rsidRPr="00412620">
        <w:rPr>
          <w:rFonts w:cs="Arial"/>
          <w:sz w:val="20"/>
        </w:rPr>
        <w:t xml:space="preserve"> rules made thereunder, namely:—</w:t>
      </w:r>
    </w:p>
    <w:p w:rsidR="00D63247" w:rsidRPr="00412620" w:rsidRDefault="00D63247" w:rsidP="00D63247">
      <w:pPr>
        <w:jc w:val="both"/>
        <w:rPr>
          <w:rFonts w:cs="Arial"/>
          <w:sz w:val="20"/>
        </w:rPr>
      </w:pPr>
    </w:p>
    <w:tbl>
      <w:tblPr>
        <w:tblW w:w="0" w:type="auto"/>
        <w:tblInd w:w="1278" w:type="dxa"/>
        <w:tblLook w:val="01E0"/>
      </w:tblPr>
      <w:tblGrid>
        <w:gridCol w:w="990"/>
        <w:gridCol w:w="4230"/>
      </w:tblGrid>
      <w:tr w:rsidR="000104DE" w:rsidRPr="00412620" w:rsidTr="00321D5C">
        <w:tc>
          <w:tcPr>
            <w:tcW w:w="990" w:type="dxa"/>
          </w:tcPr>
          <w:p w:rsidR="000104DE" w:rsidRPr="00910B5A" w:rsidRDefault="000104DE" w:rsidP="00321D5C">
            <w:pPr>
              <w:jc w:val="center"/>
              <w:rPr>
                <w:rFonts w:cs="Arial"/>
                <w:color w:val="000000" w:themeColor="text1"/>
                <w:sz w:val="20"/>
              </w:rPr>
            </w:pPr>
            <w:r w:rsidRPr="00910B5A">
              <w:rPr>
                <w:rFonts w:cs="Arial"/>
                <w:color w:val="000000" w:themeColor="text1"/>
                <w:sz w:val="20"/>
              </w:rPr>
              <w:t>(a)</w:t>
            </w:r>
          </w:p>
          <w:p w:rsidR="000104DE" w:rsidRPr="00910B5A" w:rsidRDefault="000104DE" w:rsidP="00321D5C">
            <w:pPr>
              <w:jc w:val="center"/>
              <w:rPr>
                <w:rFonts w:cs="Arial"/>
                <w:color w:val="000000" w:themeColor="text1"/>
                <w:sz w:val="20"/>
              </w:rPr>
            </w:pPr>
            <w:r w:rsidRPr="00910B5A">
              <w:rPr>
                <w:rFonts w:cs="Arial"/>
                <w:color w:val="000000" w:themeColor="text1"/>
                <w:sz w:val="20"/>
              </w:rPr>
              <w:t>(b)</w:t>
            </w:r>
          </w:p>
          <w:p w:rsidR="000104DE" w:rsidRPr="00910B5A" w:rsidRDefault="000104DE" w:rsidP="00321D5C">
            <w:pPr>
              <w:jc w:val="center"/>
              <w:rPr>
                <w:rFonts w:cs="Arial"/>
                <w:color w:val="000000" w:themeColor="text1"/>
                <w:sz w:val="20"/>
              </w:rPr>
            </w:pPr>
            <w:r w:rsidRPr="00910B5A">
              <w:rPr>
                <w:rFonts w:cs="Arial"/>
                <w:color w:val="000000" w:themeColor="text1"/>
                <w:sz w:val="20"/>
              </w:rPr>
              <w:t>(c)</w:t>
            </w:r>
          </w:p>
          <w:p w:rsidR="000104DE" w:rsidRPr="00910B5A" w:rsidRDefault="000104DE" w:rsidP="00321D5C">
            <w:pPr>
              <w:jc w:val="center"/>
              <w:rPr>
                <w:rFonts w:cs="Arial"/>
                <w:color w:val="000000" w:themeColor="text1"/>
                <w:sz w:val="20"/>
              </w:rPr>
            </w:pPr>
            <w:r w:rsidRPr="00910B5A">
              <w:rPr>
                <w:rFonts w:cs="Arial"/>
                <w:color w:val="000000" w:themeColor="text1"/>
                <w:sz w:val="20"/>
              </w:rPr>
              <w:t>(d)</w:t>
            </w:r>
          </w:p>
          <w:p w:rsidR="000104DE" w:rsidRPr="00910B5A" w:rsidRDefault="000104DE" w:rsidP="00321D5C">
            <w:pPr>
              <w:jc w:val="center"/>
              <w:rPr>
                <w:rFonts w:cs="Arial"/>
                <w:color w:val="000000" w:themeColor="text1"/>
                <w:sz w:val="20"/>
              </w:rPr>
            </w:pPr>
            <w:r w:rsidRPr="00910B5A">
              <w:rPr>
                <w:rFonts w:cs="Arial"/>
                <w:color w:val="000000" w:themeColor="text1"/>
                <w:sz w:val="20"/>
              </w:rPr>
              <w:t>(e)</w:t>
            </w:r>
          </w:p>
          <w:p w:rsidR="000104DE" w:rsidRPr="00910B5A" w:rsidRDefault="000104DE" w:rsidP="00321D5C">
            <w:pPr>
              <w:jc w:val="center"/>
              <w:rPr>
                <w:rFonts w:cs="Arial"/>
                <w:color w:val="000000" w:themeColor="text1"/>
                <w:sz w:val="20"/>
              </w:rPr>
            </w:pPr>
            <w:r w:rsidRPr="00910B5A">
              <w:rPr>
                <w:rFonts w:cs="Arial"/>
                <w:color w:val="000000" w:themeColor="text1"/>
                <w:sz w:val="20"/>
              </w:rPr>
              <w:t>(f)</w:t>
            </w:r>
          </w:p>
          <w:p w:rsidR="000104DE" w:rsidRPr="00910B5A" w:rsidRDefault="000104DE" w:rsidP="00321D5C">
            <w:pPr>
              <w:jc w:val="center"/>
              <w:rPr>
                <w:rFonts w:cs="Arial"/>
                <w:color w:val="000000" w:themeColor="text1"/>
                <w:sz w:val="20"/>
              </w:rPr>
            </w:pPr>
            <w:r w:rsidRPr="00910B5A">
              <w:rPr>
                <w:rFonts w:cs="Arial"/>
                <w:color w:val="000000" w:themeColor="text1"/>
                <w:sz w:val="20"/>
              </w:rPr>
              <w:t>(g)</w:t>
            </w:r>
          </w:p>
          <w:p w:rsidR="000104DE" w:rsidRPr="00910B5A" w:rsidRDefault="001E1939" w:rsidP="00321D5C">
            <w:pPr>
              <w:jc w:val="center"/>
              <w:rPr>
                <w:rFonts w:cs="Arial"/>
                <w:color w:val="000000" w:themeColor="text1"/>
                <w:sz w:val="20"/>
              </w:rPr>
            </w:pPr>
            <w:r w:rsidRPr="00910B5A">
              <w:rPr>
                <w:rStyle w:val="FootnoteReference"/>
                <w:rFonts w:cs="Arial"/>
                <w:color w:val="000000" w:themeColor="text1"/>
                <w:sz w:val="20"/>
              </w:rPr>
              <w:footnoteReference w:id="1338"/>
            </w:r>
            <w:r w:rsidRPr="00910B5A">
              <w:rPr>
                <w:rFonts w:cs="Arial"/>
                <w:color w:val="000000" w:themeColor="text1"/>
                <w:sz w:val="20"/>
              </w:rPr>
              <w:t>[</w:t>
            </w:r>
            <w:r w:rsidR="000104DE" w:rsidRPr="00910B5A">
              <w:rPr>
                <w:rFonts w:cs="Arial"/>
                <w:color w:val="000000" w:themeColor="text1"/>
                <w:sz w:val="20"/>
              </w:rPr>
              <w:t>(</w:t>
            </w:r>
            <w:r w:rsidRPr="00910B5A">
              <w:rPr>
                <w:rFonts w:cs="Arial"/>
                <w:color w:val="000000" w:themeColor="text1"/>
                <w:sz w:val="20"/>
              </w:rPr>
              <w:t>ga</w:t>
            </w:r>
            <w:r w:rsidR="000104DE" w:rsidRPr="00910B5A">
              <w:rPr>
                <w:rFonts w:cs="Arial"/>
                <w:color w:val="000000" w:themeColor="text1"/>
                <w:sz w:val="20"/>
              </w:rPr>
              <w:t>)</w:t>
            </w:r>
          </w:p>
          <w:p w:rsidR="000104DE" w:rsidRPr="00910B5A" w:rsidRDefault="000104DE" w:rsidP="00321D5C">
            <w:pPr>
              <w:jc w:val="center"/>
              <w:rPr>
                <w:rFonts w:cs="Arial"/>
                <w:color w:val="000000" w:themeColor="text1"/>
                <w:sz w:val="20"/>
              </w:rPr>
            </w:pPr>
            <w:r w:rsidRPr="00910B5A">
              <w:rPr>
                <w:rFonts w:cs="Arial"/>
                <w:color w:val="000000" w:themeColor="text1"/>
                <w:sz w:val="20"/>
              </w:rPr>
              <w:t>(</w:t>
            </w:r>
            <w:r w:rsidR="001E1939" w:rsidRPr="00910B5A">
              <w:rPr>
                <w:rFonts w:cs="Arial"/>
                <w:color w:val="000000" w:themeColor="text1"/>
                <w:sz w:val="20"/>
              </w:rPr>
              <w:t>h</w:t>
            </w:r>
            <w:r w:rsidRPr="00910B5A">
              <w:rPr>
                <w:rFonts w:cs="Arial"/>
                <w:color w:val="000000" w:themeColor="text1"/>
                <w:sz w:val="20"/>
              </w:rPr>
              <w:t>)</w:t>
            </w:r>
          </w:p>
          <w:p w:rsidR="000104DE" w:rsidRPr="00910B5A" w:rsidRDefault="000104DE" w:rsidP="00321D5C">
            <w:pPr>
              <w:jc w:val="center"/>
              <w:rPr>
                <w:rFonts w:cs="Arial"/>
                <w:color w:val="000000" w:themeColor="text1"/>
                <w:sz w:val="20"/>
              </w:rPr>
            </w:pPr>
            <w:r w:rsidRPr="00910B5A">
              <w:rPr>
                <w:rFonts w:cs="Arial"/>
                <w:color w:val="000000" w:themeColor="text1"/>
                <w:sz w:val="20"/>
              </w:rPr>
              <w:t>(</w:t>
            </w:r>
            <w:r w:rsidR="001E1939" w:rsidRPr="00910B5A">
              <w:rPr>
                <w:rFonts w:cs="Arial"/>
                <w:color w:val="000000" w:themeColor="text1"/>
                <w:sz w:val="20"/>
              </w:rPr>
              <w:t>i</w:t>
            </w:r>
            <w:r w:rsidRPr="00910B5A">
              <w:rPr>
                <w:rFonts w:cs="Arial"/>
                <w:color w:val="000000" w:themeColor="text1"/>
                <w:sz w:val="20"/>
              </w:rPr>
              <w:t>)</w:t>
            </w:r>
          </w:p>
          <w:p w:rsidR="000104DE" w:rsidRPr="00910B5A" w:rsidRDefault="001E1939" w:rsidP="00321D5C">
            <w:pPr>
              <w:jc w:val="center"/>
              <w:rPr>
                <w:rFonts w:cs="Arial"/>
                <w:color w:val="000000" w:themeColor="text1"/>
                <w:sz w:val="20"/>
              </w:rPr>
            </w:pPr>
            <w:r w:rsidRPr="00910B5A">
              <w:rPr>
                <w:rFonts w:cs="Arial"/>
                <w:color w:val="000000" w:themeColor="text1"/>
                <w:sz w:val="20"/>
              </w:rPr>
              <w:lastRenderedPageBreak/>
              <w:t>(j</w:t>
            </w:r>
            <w:r w:rsidR="000104DE" w:rsidRPr="00910B5A">
              <w:rPr>
                <w:rFonts w:cs="Arial"/>
                <w:color w:val="000000" w:themeColor="text1"/>
                <w:sz w:val="20"/>
              </w:rPr>
              <w:t>)</w:t>
            </w:r>
          </w:p>
          <w:p w:rsidR="000104DE" w:rsidRPr="00910B5A" w:rsidRDefault="001E1939" w:rsidP="00321D5C">
            <w:pPr>
              <w:jc w:val="center"/>
              <w:rPr>
                <w:rFonts w:cs="Arial"/>
                <w:color w:val="000000" w:themeColor="text1"/>
                <w:sz w:val="20"/>
              </w:rPr>
            </w:pPr>
            <w:r w:rsidRPr="00910B5A">
              <w:rPr>
                <w:rFonts w:cs="Arial"/>
                <w:color w:val="000000" w:themeColor="text1"/>
                <w:sz w:val="20"/>
              </w:rPr>
              <w:t>(k</w:t>
            </w:r>
            <w:r w:rsidR="000104DE" w:rsidRPr="00910B5A">
              <w:rPr>
                <w:rFonts w:cs="Arial"/>
                <w:color w:val="000000" w:themeColor="text1"/>
                <w:sz w:val="20"/>
              </w:rPr>
              <w:t>)</w:t>
            </w:r>
          </w:p>
          <w:p w:rsidR="002A3377" w:rsidRPr="00910B5A" w:rsidRDefault="002A3377" w:rsidP="00321D5C">
            <w:pPr>
              <w:jc w:val="center"/>
              <w:rPr>
                <w:rFonts w:cs="Arial"/>
                <w:color w:val="000000" w:themeColor="text1"/>
                <w:sz w:val="20"/>
              </w:rPr>
            </w:pPr>
            <w:r w:rsidRPr="00910B5A">
              <w:rPr>
                <w:rFonts w:cs="Arial"/>
                <w:color w:val="000000" w:themeColor="text1"/>
                <w:sz w:val="20"/>
              </w:rPr>
              <w:t>(l)</w:t>
            </w:r>
          </w:p>
        </w:tc>
        <w:tc>
          <w:tcPr>
            <w:tcW w:w="4230" w:type="dxa"/>
          </w:tcPr>
          <w:p w:rsidR="000104DE" w:rsidRPr="00910B5A" w:rsidRDefault="000104DE" w:rsidP="00321D5C">
            <w:pPr>
              <w:jc w:val="both"/>
              <w:rPr>
                <w:rFonts w:cs="Arial"/>
                <w:color w:val="000000" w:themeColor="text1"/>
                <w:sz w:val="20"/>
              </w:rPr>
            </w:pPr>
            <w:r w:rsidRPr="00910B5A">
              <w:rPr>
                <w:rFonts w:cs="Arial"/>
                <w:color w:val="000000" w:themeColor="text1"/>
                <w:sz w:val="20"/>
              </w:rPr>
              <w:lastRenderedPageBreak/>
              <w:t>Board:</w:t>
            </w:r>
          </w:p>
          <w:p w:rsidR="000104DE" w:rsidRPr="00910B5A" w:rsidRDefault="000104DE" w:rsidP="00321D5C">
            <w:pPr>
              <w:jc w:val="both"/>
              <w:rPr>
                <w:rFonts w:cs="Arial"/>
                <w:color w:val="000000" w:themeColor="text1"/>
                <w:sz w:val="20"/>
              </w:rPr>
            </w:pPr>
            <w:r w:rsidRPr="00910B5A">
              <w:rPr>
                <w:rFonts w:cs="Arial"/>
                <w:color w:val="000000" w:themeColor="text1"/>
                <w:sz w:val="20"/>
              </w:rPr>
              <w:t>Chief Commissioner Inland Revenue;</w:t>
            </w:r>
          </w:p>
          <w:p w:rsidR="000104DE" w:rsidRPr="00910B5A" w:rsidRDefault="000104DE" w:rsidP="00321D5C">
            <w:pPr>
              <w:jc w:val="both"/>
              <w:rPr>
                <w:rFonts w:cs="Arial"/>
                <w:color w:val="000000" w:themeColor="text1"/>
                <w:sz w:val="20"/>
              </w:rPr>
            </w:pPr>
            <w:r w:rsidRPr="00910B5A">
              <w:rPr>
                <w:rFonts w:cs="Arial"/>
                <w:color w:val="000000" w:themeColor="text1"/>
                <w:sz w:val="20"/>
              </w:rPr>
              <w:t>Commissioner Inland Revenue;</w:t>
            </w:r>
          </w:p>
          <w:p w:rsidR="000104DE" w:rsidRPr="00910B5A" w:rsidRDefault="000104DE" w:rsidP="00321D5C">
            <w:pPr>
              <w:jc w:val="both"/>
              <w:rPr>
                <w:rFonts w:cs="Arial"/>
                <w:color w:val="000000" w:themeColor="text1"/>
                <w:sz w:val="20"/>
              </w:rPr>
            </w:pPr>
            <w:r w:rsidRPr="00910B5A">
              <w:rPr>
                <w:rFonts w:cs="Arial"/>
                <w:color w:val="000000" w:themeColor="text1"/>
                <w:sz w:val="20"/>
              </w:rPr>
              <w:t>Commissioner Inland Revenue (Appeals);</w:t>
            </w:r>
          </w:p>
          <w:p w:rsidR="000104DE" w:rsidRPr="00910B5A" w:rsidRDefault="000104DE" w:rsidP="00321D5C">
            <w:pPr>
              <w:jc w:val="both"/>
              <w:rPr>
                <w:rFonts w:cs="Arial"/>
                <w:color w:val="000000" w:themeColor="text1"/>
                <w:sz w:val="20"/>
              </w:rPr>
            </w:pPr>
            <w:r w:rsidRPr="00910B5A">
              <w:rPr>
                <w:rFonts w:cs="Arial"/>
                <w:color w:val="000000" w:themeColor="text1"/>
                <w:sz w:val="20"/>
              </w:rPr>
              <w:t>Additional Commissioner Inland Revenue;</w:t>
            </w:r>
          </w:p>
          <w:p w:rsidR="000104DE" w:rsidRPr="00910B5A" w:rsidRDefault="000104DE" w:rsidP="00321D5C">
            <w:pPr>
              <w:jc w:val="both"/>
              <w:rPr>
                <w:rFonts w:cs="Arial"/>
                <w:color w:val="000000" w:themeColor="text1"/>
                <w:sz w:val="20"/>
              </w:rPr>
            </w:pPr>
            <w:r w:rsidRPr="00910B5A">
              <w:rPr>
                <w:rFonts w:cs="Arial"/>
                <w:color w:val="000000" w:themeColor="text1"/>
                <w:sz w:val="20"/>
              </w:rPr>
              <w:t>Deputy Commissioner Inland Revenue;</w:t>
            </w:r>
          </w:p>
          <w:p w:rsidR="001E1939" w:rsidRPr="00910B5A" w:rsidRDefault="000104DE" w:rsidP="00321D5C">
            <w:pPr>
              <w:jc w:val="both"/>
              <w:rPr>
                <w:rFonts w:cs="Arial"/>
                <w:color w:val="000000" w:themeColor="text1"/>
                <w:sz w:val="20"/>
              </w:rPr>
            </w:pPr>
            <w:r w:rsidRPr="00910B5A">
              <w:rPr>
                <w:rFonts w:cs="Arial"/>
                <w:color w:val="000000" w:themeColor="text1"/>
                <w:sz w:val="20"/>
              </w:rPr>
              <w:t>Assistant Commissioner Inland Revenue;</w:t>
            </w:r>
          </w:p>
          <w:p w:rsidR="001E1939" w:rsidRPr="00910B5A" w:rsidRDefault="00E87031" w:rsidP="00321D5C">
            <w:pPr>
              <w:jc w:val="both"/>
              <w:rPr>
                <w:rFonts w:cs="Arial"/>
                <w:color w:val="000000" w:themeColor="text1"/>
                <w:sz w:val="20"/>
              </w:rPr>
            </w:pPr>
            <w:r w:rsidRPr="00910B5A">
              <w:rPr>
                <w:rFonts w:cs="Arial"/>
                <w:color w:val="000000" w:themeColor="text1"/>
                <w:sz w:val="20"/>
              </w:rPr>
              <w:t>Special audit panel;”</w:t>
            </w:r>
            <w:r w:rsidR="001E1939" w:rsidRPr="00910B5A">
              <w:rPr>
                <w:rFonts w:cs="Arial"/>
                <w:color w:val="000000" w:themeColor="text1"/>
                <w:sz w:val="20"/>
              </w:rPr>
              <w:t>]</w:t>
            </w:r>
          </w:p>
          <w:p w:rsidR="000104DE" w:rsidRPr="00910B5A" w:rsidRDefault="000104DE" w:rsidP="00321D5C">
            <w:pPr>
              <w:jc w:val="both"/>
              <w:rPr>
                <w:rFonts w:cs="Arial"/>
                <w:color w:val="000000" w:themeColor="text1"/>
                <w:sz w:val="20"/>
              </w:rPr>
            </w:pPr>
            <w:r w:rsidRPr="00910B5A">
              <w:rPr>
                <w:rFonts w:cs="Arial"/>
                <w:color w:val="000000" w:themeColor="text1"/>
                <w:sz w:val="20"/>
              </w:rPr>
              <w:t>Inland Revenue Officer;</w:t>
            </w:r>
          </w:p>
          <w:p w:rsidR="000104DE" w:rsidRPr="00910B5A" w:rsidRDefault="000104DE" w:rsidP="00321D5C">
            <w:pPr>
              <w:jc w:val="both"/>
              <w:rPr>
                <w:rFonts w:cs="Arial"/>
                <w:color w:val="000000" w:themeColor="text1"/>
                <w:sz w:val="20"/>
              </w:rPr>
            </w:pPr>
            <w:r w:rsidRPr="00910B5A">
              <w:rPr>
                <w:rFonts w:cs="Arial"/>
                <w:color w:val="000000" w:themeColor="text1"/>
                <w:sz w:val="20"/>
              </w:rPr>
              <w:t>Inland Revenue Audit Officer;</w:t>
            </w:r>
          </w:p>
          <w:p w:rsidR="000104DE" w:rsidRPr="00910B5A" w:rsidRDefault="000104DE" w:rsidP="00321D5C">
            <w:pPr>
              <w:jc w:val="both"/>
              <w:rPr>
                <w:rFonts w:cs="Arial"/>
                <w:color w:val="000000" w:themeColor="text1"/>
                <w:sz w:val="20"/>
              </w:rPr>
            </w:pPr>
            <w:r w:rsidRPr="00910B5A">
              <w:rPr>
                <w:rFonts w:cs="Arial"/>
                <w:color w:val="000000" w:themeColor="text1"/>
                <w:sz w:val="20"/>
              </w:rPr>
              <w:lastRenderedPageBreak/>
              <w:t>Superintendent Inland Revenue;</w:t>
            </w:r>
          </w:p>
          <w:p w:rsidR="002A3377" w:rsidRPr="00910B5A" w:rsidRDefault="000104DE" w:rsidP="00321D5C">
            <w:pPr>
              <w:jc w:val="both"/>
              <w:rPr>
                <w:rFonts w:cs="Arial"/>
                <w:color w:val="000000" w:themeColor="text1"/>
                <w:sz w:val="20"/>
              </w:rPr>
            </w:pPr>
            <w:r w:rsidRPr="00910B5A">
              <w:rPr>
                <w:rFonts w:cs="Arial"/>
                <w:color w:val="000000" w:themeColor="text1"/>
                <w:sz w:val="20"/>
              </w:rPr>
              <w:t xml:space="preserve">Inspector Inland Revenue; and </w:t>
            </w:r>
          </w:p>
          <w:p w:rsidR="000104DE" w:rsidRPr="00910B5A" w:rsidRDefault="000104DE" w:rsidP="00321D5C">
            <w:pPr>
              <w:jc w:val="both"/>
              <w:rPr>
                <w:rFonts w:cs="Arial"/>
                <w:color w:val="000000" w:themeColor="text1"/>
                <w:sz w:val="20"/>
              </w:rPr>
            </w:pPr>
            <w:r w:rsidRPr="00910B5A">
              <w:rPr>
                <w:rFonts w:cs="Arial"/>
                <w:color w:val="000000" w:themeColor="text1"/>
                <w:sz w:val="20"/>
              </w:rPr>
              <w:t>Auditor Inland Revenue;</w:t>
            </w:r>
          </w:p>
        </w:tc>
      </w:tr>
    </w:tbl>
    <w:p w:rsidR="000104DE" w:rsidRPr="00412620" w:rsidRDefault="000104DE" w:rsidP="00D63247">
      <w:pPr>
        <w:jc w:val="both"/>
        <w:rPr>
          <w:rFonts w:cs="Arial"/>
          <w:sz w:val="20"/>
        </w:rPr>
      </w:pPr>
    </w:p>
    <w:p w:rsidR="00D63247" w:rsidRPr="00412620" w:rsidRDefault="00D63247" w:rsidP="0078180C">
      <w:pPr>
        <w:ind w:firstLine="547"/>
        <w:jc w:val="both"/>
        <w:rPr>
          <w:rFonts w:cs="Arial"/>
          <w:sz w:val="20"/>
        </w:rPr>
      </w:pPr>
      <w:r w:rsidRPr="00412620">
        <w:rPr>
          <w:rFonts w:cs="Arial"/>
          <w:sz w:val="20"/>
        </w:rPr>
        <w:t>(2)</w:t>
      </w:r>
      <w:r w:rsidRPr="00412620">
        <w:rPr>
          <w:rFonts w:cs="Arial"/>
          <w:sz w:val="20"/>
        </w:rPr>
        <w:tab/>
        <w:t>The Board shall examine, supervise and oversee the general administration of this Ordinance.</w:t>
      </w:r>
    </w:p>
    <w:p w:rsidR="00D63247" w:rsidRPr="00412620" w:rsidRDefault="00D63247" w:rsidP="00D63247">
      <w:pPr>
        <w:jc w:val="both"/>
        <w:rPr>
          <w:rFonts w:cs="Arial"/>
          <w:sz w:val="20"/>
        </w:rPr>
      </w:pPr>
    </w:p>
    <w:p w:rsidR="00064DB7" w:rsidRPr="00412620" w:rsidRDefault="00064DB7" w:rsidP="00D63247">
      <w:pPr>
        <w:jc w:val="both"/>
        <w:rPr>
          <w:rFonts w:cs="Arial"/>
          <w:sz w:val="20"/>
        </w:rPr>
      </w:pPr>
      <w:r w:rsidRPr="00412620">
        <w:rPr>
          <w:rFonts w:cs="Arial"/>
          <w:sz w:val="20"/>
        </w:rPr>
        <w:tab/>
      </w:r>
      <w:r w:rsidRPr="00412620">
        <w:rPr>
          <w:rStyle w:val="FootnoteReference"/>
          <w:rFonts w:cs="Arial"/>
          <w:sz w:val="20"/>
        </w:rPr>
        <w:footnoteReference w:id="1339"/>
      </w:r>
      <w:r w:rsidRPr="00412620">
        <w:rPr>
          <w:rFonts w:cs="Arial"/>
          <w:sz w:val="20"/>
        </w:rPr>
        <w:t>[</w:t>
      </w:r>
      <w:r w:rsidRPr="00412620">
        <w:rPr>
          <w:sz w:val="20"/>
        </w:rPr>
        <w:t>(3)</w:t>
      </w:r>
      <w:r w:rsidRPr="00412620">
        <w:rPr>
          <w:sz w:val="20"/>
        </w:rPr>
        <w:tab/>
        <w:t>The income tax authorities specified in sub-section (1) except in clause (a) shall be subordinate to the Board.]</w:t>
      </w:r>
    </w:p>
    <w:p w:rsidR="0078180C" w:rsidRPr="00412620" w:rsidRDefault="0078180C" w:rsidP="0078180C">
      <w:pPr>
        <w:jc w:val="both"/>
        <w:rPr>
          <w:rFonts w:cs="Arial"/>
          <w:sz w:val="20"/>
        </w:rPr>
      </w:pPr>
    </w:p>
    <w:p w:rsidR="000757F9" w:rsidRPr="00412620" w:rsidRDefault="000757F9" w:rsidP="000757F9">
      <w:pPr>
        <w:jc w:val="both"/>
        <w:rPr>
          <w:sz w:val="20"/>
        </w:rPr>
      </w:pPr>
      <w:r w:rsidRPr="00412620">
        <w:rPr>
          <w:rFonts w:cs="Arial"/>
          <w:sz w:val="20"/>
        </w:rPr>
        <w:tab/>
      </w:r>
      <w:r w:rsidRPr="00412620">
        <w:rPr>
          <w:rStyle w:val="FootnoteReference"/>
          <w:rFonts w:cs="Arial"/>
          <w:sz w:val="20"/>
        </w:rPr>
        <w:footnoteReference w:id="1340"/>
      </w:r>
      <w:r w:rsidRPr="00412620">
        <w:rPr>
          <w:rFonts w:cs="Arial"/>
          <w:sz w:val="20"/>
        </w:rPr>
        <w:t>[</w:t>
      </w:r>
      <w:r w:rsidRPr="00412620">
        <w:rPr>
          <w:sz w:val="20"/>
        </w:rPr>
        <w:t>(3A)</w:t>
      </w:r>
      <w:r w:rsidRPr="00412620">
        <w:rPr>
          <w:sz w:val="20"/>
        </w:rPr>
        <w:tab/>
        <w:t>Commissioners Inland Revenue, Additional Commissioners Inland Revenue, Deputy Commissioners Inland Revenue, Assistant Commissioners Inland Revenue, Inland Revenue Officers, Inland Revenue Audit Officer, Superintendents Inland Revenue, Auditors Inland Revenue and Inspectors Inland Revenue, shall be subordinate to the Chief Commissioners Inland Revenue.]</w:t>
      </w:r>
    </w:p>
    <w:p w:rsidR="000757F9" w:rsidRPr="00412620" w:rsidRDefault="000757F9" w:rsidP="0078180C">
      <w:pPr>
        <w:jc w:val="both"/>
        <w:rPr>
          <w:rFonts w:cs="Arial"/>
          <w:sz w:val="20"/>
        </w:rPr>
      </w:pPr>
    </w:p>
    <w:p w:rsidR="00D63247" w:rsidRPr="00412620" w:rsidRDefault="0078180C" w:rsidP="0078180C">
      <w:pPr>
        <w:jc w:val="both"/>
        <w:rPr>
          <w:rFonts w:cs="Arial"/>
          <w:sz w:val="20"/>
        </w:rPr>
      </w:pPr>
      <w:r w:rsidRPr="00412620">
        <w:rPr>
          <w:rFonts w:cs="Arial"/>
          <w:sz w:val="20"/>
        </w:rPr>
        <w:tab/>
        <w:t xml:space="preserve">(4) </w:t>
      </w:r>
      <w:r w:rsidRPr="00412620">
        <w:rPr>
          <w:rFonts w:cs="Arial"/>
          <w:sz w:val="20"/>
        </w:rPr>
        <w:tab/>
      </w:r>
      <w:r w:rsidR="00D63247" w:rsidRPr="00412620">
        <w:rPr>
          <w:rFonts w:cs="Arial"/>
          <w:sz w:val="20"/>
        </w:rPr>
        <w:t>Subject to sub-section (5), Additional Commissioners Inland Revenue, Deputy Commissioner Inland Revenue, Assistant Commissioners Inland Revenue, Inland Revenue Officers, Inland Revenue Audit Officers, Superintendents Inland Revenue, Auditors Inland Revenue and Inspectors Inland Revenue shall be subordinate to the Commissioners Inland Revenue.</w:t>
      </w:r>
    </w:p>
    <w:p w:rsidR="00D63247" w:rsidRPr="00412620" w:rsidRDefault="00D63247" w:rsidP="00D63247">
      <w:pPr>
        <w:jc w:val="both"/>
        <w:rPr>
          <w:rFonts w:cs="Arial"/>
          <w:sz w:val="20"/>
        </w:rPr>
      </w:pPr>
    </w:p>
    <w:p w:rsidR="00D63247" w:rsidRPr="00412620" w:rsidRDefault="0078180C" w:rsidP="0078180C">
      <w:pPr>
        <w:jc w:val="both"/>
        <w:rPr>
          <w:rFonts w:cs="Arial"/>
          <w:sz w:val="20"/>
        </w:rPr>
      </w:pPr>
      <w:r w:rsidRPr="00412620">
        <w:rPr>
          <w:rFonts w:cs="Arial"/>
          <w:sz w:val="20"/>
        </w:rPr>
        <w:tab/>
      </w:r>
      <w:r w:rsidR="00D63247" w:rsidRPr="00412620">
        <w:rPr>
          <w:rFonts w:cs="Arial"/>
          <w:sz w:val="20"/>
        </w:rPr>
        <w:t>(4A)</w:t>
      </w:r>
      <w:r w:rsidRPr="00412620">
        <w:rPr>
          <w:rFonts w:cs="Arial"/>
          <w:sz w:val="20"/>
        </w:rPr>
        <w:tab/>
      </w:r>
      <w:r w:rsidR="00D63247" w:rsidRPr="00412620">
        <w:rPr>
          <w:rFonts w:cs="Arial"/>
          <w:sz w:val="20"/>
        </w:rPr>
        <w:t xml:space="preserve">Deputy Commissioners Inland Revenue, Assistant </w:t>
      </w:r>
      <w:r w:rsidRPr="00412620">
        <w:rPr>
          <w:rFonts w:cs="Arial"/>
          <w:sz w:val="20"/>
        </w:rPr>
        <w:t>C</w:t>
      </w:r>
      <w:r w:rsidR="00D63247" w:rsidRPr="00412620">
        <w:rPr>
          <w:rFonts w:cs="Arial"/>
          <w:sz w:val="20"/>
        </w:rPr>
        <w:t>ommissioners Inland Revenue, Inland Revenue Officers, Inland Revenue Audit Officers, Superintendents Inland Revenue, Auditors Inland Revenue and Inspectors Inland Revenue shall be subordinate to the Additional Commissioners Inland Revenue.</w:t>
      </w:r>
    </w:p>
    <w:p w:rsidR="00D63247" w:rsidRPr="00412620" w:rsidRDefault="00D63247" w:rsidP="00D63247">
      <w:pPr>
        <w:ind w:left="360" w:hanging="360"/>
        <w:jc w:val="both"/>
        <w:rPr>
          <w:rFonts w:cs="Arial"/>
          <w:sz w:val="20"/>
        </w:rPr>
      </w:pPr>
    </w:p>
    <w:p w:rsidR="00D63247" w:rsidRPr="00412620" w:rsidRDefault="0078180C" w:rsidP="0078180C">
      <w:pPr>
        <w:jc w:val="both"/>
        <w:rPr>
          <w:rFonts w:cs="Arial"/>
          <w:sz w:val="20"/>
        </w:rPr>
      </w:pPr>
      <w:r w:rsidRPr="00412620">
        <w:rPr>
          <w:rFonts w:cs="Arial"/>
          <w:sz w:val="20"/>
        </w:rPr>
        <w:tab/>
      </w:r>
      <w:r w:rsidR="00D63247" w:rsidRPr="00412620">
        <w:rPr>
          <w:rFonts w:cs="Arial"/>
          <w:sz w:val="20"/>
        </w:rPr>
        <w:t>(5)</w:t>
      </w:r>
      <w:r w:rsidRPr="00412620">
        <w:rPr>
          <w:rFonts w:cs="Arial"/>
          <w:sz w:val="20"/>
        </w:rPr>
        <w:tab/>
      </w:r>
      <w:r w:rsidR="00D63247" w:rsidRPr="00412620">
        <w:rPr>
          <w:rFonts w:cs="Arial"/>
          <w:sz w:val="20"/>
        </w:rPr>
        <w:t>An officer vested with the powers and functions of Commissioner shall be subordinate to the Chief Commissioner Inland Revenue.</w:t>
      </w:r>
      <w:r w:rsidR="0074096E" w:rsidRPr="00412620">
        <w:rPr>
          <w:rFonts w:cs="Arial"/>
          <w:sz w:val="20"/>
        </w:rPr>
        <w:t>]</w:t>
      </w:r>
    </w:p>
    <w:p w:rsidR="00D63247" w:rsidRPr="00412620" w:rsidRDefault="00D63247">
      <w:pPr>
        <w:keepNext/>
        <w:jc w:val="both"/>
        <w:rPr>
          <w:rFonts w:cs="Arial"/>
          <w:sz w:val="20"/>
          <w:szCs w:val="24"/>
        </w:rPr>
      </w:pPr>
    </w:p>
    <w:p w:rsidR="008F40D4" w:rsidRPr="00412620" w:rsidRDefault="006A3F93" w:rsidP="008F40D4">
      <w:pPr>
        <w:jc w:val="both"/>
        <w:rPr>
          <w:rFonts w:cs="Arial"/>
          <w:sz w:val="20"/>
        </w:rPr>
      </w:pPr>
      <w:r w:rsidRPr="00412620">
        <w:rPr>
          <w:rStyle w:val="FootnoteReference"/>
          <w:rFonts w:cs="Arial"/>
          <w:sz w:val="20"/>
        </w:rPr>
        <w:footnoteReference w:id="1341"/>
      </w:r>
      <w:r w:rsidRPr="00412620">
        <w:rPr>
          <w:sz w:val="20"/>
        </w:rPr>
        <w:t>[</w:t>
      </w:r>
      <w:r w:rsidRPr="00412620">
        <w:rPr>
          <w:b/>
          <w:sz w:val="20"/>
        </w:rPr>
        <w:t>208.  Appointment of income tax authorities.</w:t>
      </w:r>
      <w:r w:rsidR="008F40D4" w:rsidRPr="00412620">
        <w:rPr>
          <w:rFonts w:cs="Arial"/>
          <w:b/>
          <w:sz w:val="20"/>
        </w:rPr>
        <w:t>—</w:t>
      </w:r>
      <w:r w:rsidR="00767279" w:rsidRPr="00412620">
        <w:rPr>
          <w:rStyle w:val="FootnoteReference"/>
          <w:rFonts w:cs="Arial"/>
          <w:b/>
          <w:sz w:val="20"/>
        </w:rPr>
        <w:footnoteReference w:id="1342"/>
      </w:r>
      <w:r w:rsidR="008F40D4" w:rsidRPr="00412620">
        <w:rPr>
          <w:sz w:val="20"/>
        </w:rPr>
        <w:t>[</w:t>
      </w:r>
      <w:r w:rsidR="008F40D4" w:rsidRPr="00412620">
        <w:rPr>
          <w:rFonts w:cs="Arial"/>
          <w:sz w:val="20"/>
        </w:rPr>
        <w:t xml:space="preserve">(1) The Board may appoint as many Chief Commissioners Inland Revenue, Commissioners Inland Revenue, </w:t>
      </w:r>
      <w:r w:rsidR="008F40D4" w:rsidRPr="00412620">
        <w:rPr>
          <w:rFonts w:cs="Arial"/>
          <w:sz w:val="20"/>
        </w:rPr>
        <w:lastRenderedPageBreak/>
        <w:t xml:space="preserve">Commissioners Inland Revenue (Appeals), Additional Commissioners Inland Revenue, Deputy Commissioners Inland Revenue, Assistant Commissioners Inland Revenue, Inland Revenue Officers, Inland Revenue Audit Officers, Superintendents Inland Revenue, Inspectors Inland Revenue, Auditors Inland Revenue </w:t>
      </w:r>
      <w:r w:rsidR="00767279" w:rsidRPr="00412620">
        <w:rPr>
          <w:rFonts w:cs="Arial"/>
          <w:sz w:val="20"/>
        </w:rPr>
        <w:t xml:space="preserve">and such </w:t>
      </w:r>
      <w:r w:rsidR="008F40D4" w:rsidRPr="00412620">
        <w:rPr>
          <w:rFonts w:cs="Arial"/>
          <w:sz w:val="20"/>
        </w:rPr>
        <w:t xml:space="preserve">other executive or ministerial officers and staff as may be necessary.]  </w:t>
      </w:r>
    </w:p>
    <w:p w:rsidR="00767279" w:rsidRPr="00412620" w:rsidRDefault="00767279" w:rsidP="008F40D4">
      <w:pPr>
        <w:jc w:val="both"/>
        <w:rPr>
          <w:rFonts w:cs="Arial"/>
          <w:sz w:val="20"/>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 xml:space="preserve">Subject to such orders or directions as may be issued by the </w:t>
      </w:r>
      <w:r w:rsidR="001E7515" w:rsidRPr="00412620">
        <w:rPr>
          <w:rStyle w:val="FootnoteReference"/>
          <w:rFonts w:cs="Arial"/>
          <w:sz w:val="20"/>
        </w:rPr>
        <w:footnoteReference w:id="1343"/>
      </w:r>
      <w:r w:rsidR="001E7515" w:rsidRPr="00412620">
        <w:rPr>
          <w:rFonts w:cs="Arial"/>
          <w:sz w:val="20"/>
        </w:rPr>
        <w:t>[</w:t>
      </w:r>
      <w:r w:rsidRPr="00412620">
        <w:rPr>
          <w:rFonts w:cs="Arial"/>
          <w:sz w:val="20"/>
        </w:rPr>
        <w:t>Board</w:t>
      </w:r>
      <w:r w:rsidR="001E7515" w:rsidRPr="00412620">
        <w:rPr>
          <w:rFonts w:cs="Arial"/>
          <w:sz w:val="20"/>
        </w:rPr>
        <w:t>]</w:t>
      </w:r>
      <w:r w:rsidRPr="00412620">
        <w:rPr>
          <w:rFonts w:cs="Arial"/>
          <w:sz w:val="20"/>
        </w:rPr>
        <w:t>, any income tax authority may appoint any income tax authority subordinate to it and such other executive or ministerial officers and staff as may be necessary.</w:t>
      </w:r>
    </w:p>
    <w:p w:rsidR="006A3F93" w:rsidRPr="00412620" w:rsidRDefault="006A3F93">
      <w:pPr>
        <w:jc w:val="both"/>
        <w:rPr>
          <w:rFonts w:cs="Arial"/>
          <w:sz w:val="22"/>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All appointments, other than of valuers, chartered accountants or experts, made under this Ordinance, shall be subject to rules and orders of the Federal Government regulating the terms and conditions of persons in public services and posts.]</w:t>
      </w:r>
    </w:p>
    <w:p w:rsidR="006A3F93" w:rsidRPr="00412620" w:rsidRDefault="006A3F93">
      <w:pPr>
        <w:jc w:val="both"/>
        <w:rPr>
          <w:rFonts w:cs="Arial"/>
          <w:sz w:val="22"/>
        </w:rPr>
      </w:pPr>
    </w:p>
    <w:p w:rsidR="006A3F93" w:rsidRPr="00412620" w:rsidRDefault="006A3F93">
      <w:pPr>
        <w:jc w:val="both"/>
        <w:rPr>
          <w:sz w:val="20"/>
        </w:rPr>
      </w:pPr>
      <w:r w:rsidRPr="00412620">
        <w:rPr>
          <w:rStyle w:val="FootnoteReference"/>
          <w:rFonts w:cs="Arial"/>
          <w:sz w:val="20"/>
        </w:rPr>
        <w:footnoteReference w:id="1344"/>
      </w:r>
      <w:r w:rsidRPr="00412620">
        <w:rPr>
          <w:sz w:val="20"/>
        </w:rPr>
        <w:t>[</w:t>
      </w:r>
      <w:r w:rsidRPr="00412620">
        <w:rPr>
          <w:b/>
          <w:sz w:val="20"/>
        </w:rPr>
        <w:t>209. Jurisdiction of income tax authorities.</w:t>
      </w:r>
      <w:r w:rsidR="00530E80" w:rsidRPr="00412620">
        <w:rPr>
          <w:rFonts w:cs="Arial"/>
          <w:sz w:val="20"/>
        </w:rPr>
        <w:t>—</w:t>
      </w:r>
      <w:r w:rsidRPr="00412620">
        <w:rPr>
          <w:rStyle w:val="FootnoteReference"/>
          <w:sz w:val="20"/>
        </w:rPr>
        <w:footnoteReference w:id="1345"/>
      </w:r>
      <w:r w:rsidRPr="00B1115A">
        <w:rPr>
          <w:sz w:val="20"/>
        </w:rPr>
        <w:t>[</w:t>
      </w:r>
      <w:r w:rsidRPr="00412620">
        <w:rPr>
          <w:sz w:val="20"/>
        </w:rPr>
        <w:t xml:space="preserve">(1) Subject to this Ordinance, the </w:t>
      </w:r>
      <w:r w:rsidR="00F130C9" w:rsidRPr="00412620">
        <w:rPr>
          <w:rStyle w:val="FootnoteReference"/>
          <w:sz w:val="20"/>
        </w:rPr>
        <w:footnoteReference w:id="1346"/>
      </w:r>
      <w:r w:rsidR="00D277B9" w:rsidRPr="00412620">
        <w:rPr>
          <w:sz w:val="20"/>
        </w:rPr>
        <w:t>[Chief Commissioners]</w:t>
      </w:r>
      <w:r w:rsidRPr="00412620">
        <w:rPr>
          <w:sz w:val="20"/>
        </w:rPr>
        <w:t xml:space="preserve">, the Commissioners and the Commissioners (Appeals) shall perform all or such functions and exercise all or such powers under this Ordinance as may be assigned to them in respect of such persons or classes of persons or such areas as the </w:t>
      </w:r>
      <w:r w:rsidR="001E7515" w:rsidRPr="00412620">
        <w:rPr>
          <w:rStyle w:val="FootnoteReference"/>
          <w:sz w:val="20"/>
        </w:rPr>
        <w:footnoteReference w:id="1347"/>
      </w:r>
      <w:r w:rsidR="001E7515" w:rsidRPr="00412620">
        <w:rPr>
          <w:sz w:val="20"/>
        </w:rPr>
        <w:t>[</w:t>
      </w:r>
      <w:r w:rsidRPr="00412620">
        <w:rPr>
          <w:sz w:val="20"/>
        </w:rPr>
        <w:t>Board</w:t>
      </w:r>
      <w:r w:rsidR="001E7515" w:rsidRPr="00412620">
        <w:rPr>
          <w:sz w:val="20"/>
        </w:rPr>
        <w:t>]</w:t>
      </w:r>
      <w:r w:rsidRPr="00412620">
        <w:rPr>
          <w:sz w:val="20"/>
        </w:rPr>
        <w:t xml:space="preserve"> may direct</w:t>
      </w:r>
      <w:r w:rsidR="007531E8" w:rsidRPr="00412620">
        <w:rPr>
          <w:rStyle w:val="FootnoteReference"/>
          <w:sz w:val="20"/>
        </w:rPr>
        <w:footnoteReference w:id="1348"/>
      </w:r>
      <w:r w:rsidR="007531E8" w:rsidRPr="00412620">
        <w:rPr>
          <w:sz w:val="20"/>
        </w:rPr>
        <w:t xml:space="preserve">[:] </w:t>
      </w:r>
      <w:r w:rsidRPr="00B1115A">
        <w:rPr>
          <w:sz w:val="20"/>
        </w:rPr>
        <w:t>]</w:t>
      </w:r>
    </w:p>
    <w:p w:rsidR="006A3F93" w:rsidRPr="00412620" w:rsidRDefault="006A3F93">
      <w:pPr>
        <w:jc w:val="both"/>
        <w:rPr>
          <w:rFonts w:cs="Arial"/>
          <w:sz w:val="22"/>
        </w:rPr>
      </w:pPr>
    </w:p>
    <w:p w:rsidR="009D632C" w:rsidRDefault="009D632C" w:rsidP="009D632C">
      <w:pPr>
        <w:ind w:left="1094" w:firstLine="541"/>
        <w:jc w:val="both"/>
        <w:rPr>
          <w:rFonts w:cs="Arial"/>
          <w:sz w:val="20"/>
        </w:rPr>
      </w:pPr>
      <w:r w:rsidRPr="00412620">
        <w:rPr>
          <w:rStyle w:val="FootnoteReference"/>
          <w:rFonts w:cs="Arial"/>
          <w:sz w:val="20"/>
        </w:rPr>
        <w:lastRenderedPageBreak/>
        <w:footnoteReference w:id="1349"/>
      </w:r>
      <w:r w:rsidRPr="00412620">
        <w:rPr>
          <w:rFonts w:cs="Arial"/>
          <w:sz w:val="20"/>
        </w:rPr>
        <w:t xml:space="preserve">[Provided that the Board or the Chief Commissioner, as the case may be, may transfer jurisdiction in respect of cases or persons from </w:t>
      </w:r>
      <w:r w:rsidR="00AE7C5C" w:rsidRPr="00412620">
        <w:rPr>
          <w:rFonts w:cs="Arial"/>
          <w:sz w:val="20"/>
        </w:rPr>
        <w:t>one</w:t>
      </w:r>
      <w:r w:rsidRPr="00412620">
        <w:rPr>
          <w:rFonts w:cs="Arial"/>
          <w:sz w:val="20"/>
        </w:rPr>
        <w:t xml:space="preserve"> Commissioner to another.]</w:t>
      </w:r>
    </w:p>
    <w:p w:rsidR="000A3979" w:rsidRPr="00412620" w:rsidRDefault="000A3979" w:rsidP="009D632C">
      <w:pPr>
        <w:ind w:left="1094" w:firstLine="541"/>
        <w:jc w:val="both"/>
        <w:rPr>
          <w:rFonts w:cs="Arial"/>
          <w:sz w:val="20"/>
        </w:rPr>
      </w:pPr>
    </w:p>
    <w:p w:rsidR="009D632C" w:rsidRPr="004B1A11" w:rsidRDefault="009D632C">
      <w:pPr>
        <w:jc w:val="both"/>
        <w:rPr>
          <w:rFonts w:cs="Arial"/>
          <w:sz w:val="12"/>
        </w:rPr>
      </w:pPr>
    </w:p>
    <w:p w:rsidR="006A3F93" w:rsidRDefault="006A3F93">
      <w:pPr>
        <w:pStyle w:val="BodyText3"/>
        <w:widowControl/>
        <w:rPr>
          <w:rFonts w:ascii="Arial" w:hAnsi="Arial"/>
          <w:sz w:val="20"/>
          <w:lang w:val="en-AU"/>
        </w:rPr>
      </w:pPr>
      <w:r w:rsidRPr="00412620">
        <w:rPr>
          <w:rFonts w:ascii="Arial" w:hAnsi="Arial"/>
          <w:sz w:val="20"/>
          <w:lang w:val="en-AU"/>
        </w:rPr>
        <w:tab/>
        <w:t xml:space="preserve">(2) </w:t>
      </w:r>
      <w:r w:rsidRPr="00412620">
        <w:rPr>
          <w:rFonts w:ascii="Arial" w:hAnsi="Arial"/>
          <w:sz w:val="20"/>
          <w:lang w:val="en-AU"/>
        </w:rPr>
        <w:tab/>
        <w:t xml:space="preserve">The </w:t>
      </w:r>
      <w:r w:rsidR="001E7515" w:rsidRPr="00412620">
        <w:rPr>
          <w:rStyle w:val="FootnoteReference"/>
          <w:rFonts w:ascii="Arial" w:hAnsi="Arial"/>
          <w:sz w:val="20"/>
          <w:lang w:val="en-AU"/>
        </w:rPr>
        <w:footnoteReference w:id="1350"/>
      </w:r>
      <w:r w:rsidR="001E7515" w:rsidRPr="00412620">
        <w:rPr>
          <w:rFonts w:ascii="Arial" w:hAnsi="Arial"/>
          <w:sz w:val="20"/>
          <w:lang w:val="en-AU"/>
        </w:rPr>
        <w:t>[</w:t>
      </w:r>
      <w:r w:rsidRPr="00412620">
        <w:rPr>
          <w:rFonts w:ascii="Arial" w:hAnsi="Arial"/>
          <w:sz w:val="20"/>
          <w:lang w:val="en-AU"/>
        </w:rPr>
        <w:t>Board</w:t>
      </w:r>
      <w:r w:rsidR="001E7515" w:rsidRPr="00412620">
        <w:rPr>
          <w:rFonts w:ascii="Arial" w:hAnsi="Arial"/>
          <w:sz w:val="20"/>
          <w:lang w:val="en-AU"/>
        </w:rPr>
        <w:t>]</w:t>
      </w:r>
      <w:r w:rsidRPr="00412620">
        <w:rPr>
          <w:rFonts w:ascii="Arial" w:hAnsi="Arial"/>
          <w:sz w:val="20"/>
          <w:lang w:val="en-AU"/>
        </w:rPr>
        <w:t xml:space="preserve"> or the </w:t>
      </w:r>
      <w:r w:rsidR="007F03CD" w:rsidRPr="00412620">
        <w:rPr>
          <w:rStyle w:val="FootnoteReference"/>
          <w:sz w:val="20"/>
        </w:rPr>
        <w:footnoteReference w:id="1351"/>
      </w:r>
      <w:r w:rsidR="00D277B9" w:rsidRPr="00412620">
        <w:rPr>
          <w:rFonts w:ascii="Arial" w:hAnsi="Arial"/>
          <w:sz w:val="20"/>
          <w:lang w:val="en-AU"/>
        </w:rPr>
        <w:t xml:space="preserve">[Chief Commissioner] </w:t>
      </w:r>
      <w:r w:rsidRPr="00412620">
        <w:rPr>
          <w:rFonts w:ascii="Arial" w:hAnsi="Arial"/>
          <w:sz w:val="20"/>
          <w:lang w:val="en-AU"/>
        </w:rPr>
        <w:t xml:space="preserve">may, by an order, confer upon or assign to any </w:t>
      </w:r>
      <w:r w:rsidR="00C3283C" w:rsidRPr="00412620">
        <w:rPr>
          <w:rStyle w:val="FootnoteReference"/>
          <w:rFonts w:ascii="Arial" w:hAnsi="Arial"/>
          <w:sz w:val="20"/>
          <w:lang w:val="en-AU"/>
        </w:rPr>
        <w:footnoteReference w:id="1352"/>
      </w:r>
      <w:r w:rsidR="00C3283C" w:rsidRPr="00412620">
        <w:rPr>
          <w:rFonts w:ascii="Arial" w:hAnsi="Arial"/>
          <w:sz w:val="20"/>
          <w:lang w:val="en-AU"/>
        </w:rPr>
        <w:t>[</w:t>
      </w:r>
      <w:r w:rsidR="003A5FCB" w:rsidRPr="00412620">
        <w:rPr>
          <w:rFonts w:ascii="Arial" w:hAnsi="Arial"/>
          <w:sz w:val="20"/>
          <w:lang w:val="en-AU"/>
        </w:rPr>
        <w:t>o</w:t>
      </w:r>
      <w:r w:rsidR="00D56CCD" w:rsidRPr="00412620">
        <w:rPr>
          <w:rFonts w:ascii="Arial" w:hAnsi="Arial"/>
          <w:sz w:val="20"/>
          <w:lang w:val="en-AU"/>
        </w:rPr>
        <w:t>fficer of Inland Revenue</w:t>
      </w:r>
      <w:r w:rsidR="00C3283C" w:rsidRPr="00412620">
        <w:rPr>
          <w:rFonts w:ascii="Arial" w:hAnsi="Arial"/>
          <w:sz w:val="20"/>
          <w:lang w:val="en-AU"/>
        </w:rPr>
        <w:t>]</w:t>
      </w:r>
      <w:r w:rsidRPr="00412620">
        <w:rPr>
          <w:rFonts w:ascii="Arial" w:hAnsi="Arial"/>
          <w:sz w:val="20"/>
          <w:lang w:val="en-AU"/>
        </w:rPr>
        <w:t xml:space="preserve">all or any of the powers and functions conferred upon or assigned to the Commissioner, under this Ordinance, in respect of any person or persons or classes of persons or areas </w:t>
      </w:r>
      <w:r w:rsidRPr="00412620">
        <w:rPr>
          <w:rStyle w:val="FootnoteReference"/>
          <w:rFonts w:ascii="Arial" w:hAnsi="Arial"/>
          <w:sz w:val="20"/>
          <w:lang w:val="en-AU"/>
        </w:rPr>
        <w:footnoteReference w:id="1353"/>
      </w:r>
      <w:r w:rsidRPr="00412620">
        <w:rPr>
          <w:rFonts w:ascii="Arial" w:hAnsi="Arial"/>
          <w:sz w:val="20"/>
          <w:lang w:val="en-AU"/>
        </w:rPr>
        <w:t>[as may be specified in the order].</w:t>
      </w:r>
    </w:p>
    <w:p w:rsidR="000A3979" w:rsidRPr="00E3545F" w:rsidRDefault="000A3979">
      <w:pPr>
        <w:pStyle w:val="BodyText3"/>
        <w:widowControl/>
        <w:rPr>
          <w:rFonts w:ascii="Arial" w:hAnsi="Arial"/>
          <w:sz w:val="12"/>
          <w:lang w:val="en-AU"/>
        </w:rPr>
      </w:pPr>
    </w:p>
    <w:p w:rsidR="006A3F93" w:rsidRPr="00412620" w:rsidRDefault="006A3F93">
      <w:pPr>
        <w:jc w:val="both"/>
        <w:rPr>
          <w:rFonts w:cs="Arial"/>
          <w:sz w:val="12"/>
        </w:rPr>
      </w:pPr>
    </w:p>
    <w:p w:rsidR="006A3F93" w:rsidRDefault="006A3F93">
      <w:pPr>
        <w:jc w:val="both"/>
        <w:rPr>
          <w:rFonts w:cs="Arial"/>
          <w:sz w:val="20"/>
        </w:rPr>
      </w:pPr>
      <w:r w:rsidRPr="00412620">
        <w:rPr>
          <w:rFonts w:cs="Arial"/>
          <w:sz w:val="20"/>
        </w:rPr>
        <w:tab/>
        <w:t xml:space="preserve">(3) </w:t>
      </w:r>
      <w:r w:rsidRPr="00412620">
        <w:rPr>
          <w:rFonts w:cs="Arial"/>
          <w:sz w:val="20"/>
        </w:rPr>
        <w:tab/>
        <w:t xml:space="preserve">An order under sub-section (2) by the </w:t>
      </w:r>
      <w:r w:rsidR="007F03CD" w:rsidRPr="00412620">
        <w:rPr>
          <w:rStyle w:val="FootnoteReference"/>
          <w:sz w:val="20"/>
        </w:rPr>
        <w:footnoteReference w:id="1354"/>
      </w:r>
      <w:r w:rsidR="00D277B9" w:rsidRPr="00412620">
        <w:rPr>
          <w:rFonts w:cs="Arial"/>
          <w:sz w:val="20"/>
        </w:rPr>
        <w:t xml:space="preserve">[Chief Commissioner] </w:t>
      </w:r>
      <w:r w:rsidRPr="00412620">
        <w:rPr>
          <w:rFonts w:cs="Arial"/>
          <w:sz w:val="20"/>
        </w:rPr>
        <w:t xml:space="preserve">shall be made only with the approval of the </w:t>
      </w:r>
      <w:r w:rsidR="001E7515" w:rsidRPr="00412620">
        <w:rPr>
          <w:rStyle w:val="FootnoteReference"/>
          <w:rFonts w:cs="Arial"/>
          <w:sz w:val="20"/>
        </w:rPr>
        <w:footnoteReference w:id="1355"/>
      </w:r>
      <w:r w:rsidR="001E7515" w:rsidRPr="00412620">
        <w:rPr>
          <w:rFonts w:cs="Arial"/>
          <w:sz w:val="20"/>
        </w:rPr>
        <w:t>[</w:t>
      </w:r>
      <w:r w:rsidRPr="00412620">
        <w:rPr>
          <w:rFonts w:cs="Arial"/>
          <w:sz w:val="20"/>
        </w:rPr>
        <w:t>Board</w:t>
      </w:r>
      <w:r w:rsidR="001E7515" w:rsidRPr="00412620">
        <w:rPr>
          <w:rFonts w:cs="Arial"/>
          <w:sz w:val="20"/>
        </w:rPr>
        <w:t>]</w:t>
      </w:r>
      <w:r w:rsidRPr="00412620">
        <w:rPr>
          <w:rFonts w:cs="Arial"/>
          <w:sz w:val="20"/>
        </w:rPr>
        <w:t>.</w:t>
      </w:r>
    </w:p>
    <w:p w:rsidR="000A3979" w:rsidRPr="00E3545F" w:rsidRDefault="000A3979">
      <w:pPr>
        <w:jc w:val="both"/>
        <w:rPr>
          <w:rFonts w:cs="Arial"/>
          <w:sz w:val="12"/>
        </w:rPr>
      </w:pPr>
    </w:p>
    <w:p w:rsidR="006A3F93" w:rsidRPr="00412620" w:rsidRDefault="006A3F93">
      <w:pPr>
        <w:jc w:val="both"/>
        <w:rPr>
          <w:rFonts w:cs="Arial"/>
          <w:sz w:val="12"/>
        </w:rPr>
      </w:pPr>
    </w:p>
    <w:p w:rsidR="006A3F93" w:rsidRDefault="006A3F93">
      <w:pPr>
        <w:jc w:val="both"/>
        <w:rPr>
          <w:rFonts w:cs="Arial"/>
          <w:sz w:val="20"/>
        </w:rPr>
      </w:pPr>
      <w:r w:rsidRPr="00412620">
        <w:rPr>
          <w:rFonts w:cs="Arial"/>
          <w:sz w:val="20"/>
        </w:rPr>
        <w:tab/>
        <w:t xml:space="preserve">(4) </w:t>
      </w:r>
      <w:r w:rsidRPr="00412620">
        <w:rPr>
          <w:rFonts w:cs="Arial"/>
          <w:sz w:val="20"/>
        </w:rPr>
        <w:tab/>
        <w:t xml:space="preserve">The </w:t>
      </w:r>
      <w:r w:rsidR="00C3283C" w:rsidRPr="00412620">
        <w:rPr>
          <w:rStyle w:val="FootnoteReference"/>
          <w:rFonts w:cs="Arial"/>
          <w:sz w:val="20"/>
        </w:rPr>
        <w:footnoteReference w:id="1356"/>
      </w:r>
      <w:r w:rsidR="00C3283C" w:rsidRPr="00412620">
        <w:rPr>
          <w:rFonts w:cs="Arial"/>
          <w:sz w:val="20"/>
        </w:rPr>
        <w:t>[</w:t>
      </w:r>
      <w:r w:rsidR="00D56CCD" w:rsidRPr="00412620">
        <w:rPr>
          <w:sz w:val="20"/>
        </w:rPr>
        <w:t>Officer of Inland Revenue</w:t>
      </w:r>
      <w:r w:rsidR="00C3283C" w:rsidRPr="00412620">
        <w:rPr>
          <w:sz w:val="20"/>
        </w:rPr>
        <w:t>]</w:t>
      </w:r>
      <w:r w:rsidR="00910B5A">
        <w:rPr>
          <w:sz w:val="20"/>
        </w:rPr>
        <w:t xml:space="preserve"> </w:t>
      </w:r>
      <w:r w:rsidRPr="00412620">
        <w:rPr>
          <w:rFonts w:cs="Arial"/>
          <w:sz w:val="20"/>
        </w:rPr>
        <w:t>referred to in sub-section (2) shall, for the purposes of this Ordinance, be treated to be the Commissioner.</w:t>
      </w:r>
    </w:p>
    <w:p w:rsidR="000A3979" w:rsidRPr="00E3545F" w:rsidRDefault="000A3979">
      <w:pPr>
        <w:jc w:val="both"/>
        <w:rPr>
          <w:rFonts w:cs="Arial"/>
          <w:sz w:val="12"/>
        </w:rPr>
      </w:pPr>
    </w:p>
    <w:p w:rsidR="006A3F93" w:rsidRPr="00412620" w:rsidRDefault="006A3F93">
      <w:pPr>
        <w:jc w:val="both"/>
        <w:rPr>
          <w:rFonts w:cs="Arial"/>
          <w:sz w:val="12"/>
        </w:rPr>
      </w:pPr>
    </w:p>
    <w:p w:rsidR="006A3F93" w:rsidRDefault="006A3F93">
      <w:pPr>
        <w:jc w:val="both"/>
        <w:rPr>
          <w:rFonts w:cs="Arial"/>
          <w:sz w:val="20"/>
        </w:rPr>
      </w:pPr>
      <w:r w:rsidRPr="00412620">
        <w:rPr>
          <w:rFonts w:cs="Arial"/>
          <w:sz w:val="20"/>
        </w:rPr>
        <w:tab/>
        <w:t xml:space="preserve">(5) </w:t>
      </w:r>
      <w:r w:rsidRPr="00412620">
        <w:rPr>
          <w:rFonts w:cs="Arial"/>
          <w:sz w:val="20"/>
        </w:rPr>
        <w:tab/>
        <w:t>Within the area assigned to him, the Commissioner shall have jurisdiction,</w:t>
      </w:r>
      <w:r w:rsidR="002E3B05" w:rsidRPr="00412620">
        <w:rPr>
          <w:rFonts w:cs="Arial"/>
          <w:sz w:val="20"/>
        </w:rPr>
        <w:t xml:space="preserve"> —</w:t>
      </w:r>
    </w:p>
    <w:p w:rsidR="006A3F93" w:rsidRPr="00412620" w:rsidRDefault="006A3F93">
      <w:pPr>
        <w:jc w:val="both"/>
        <w:rPr>
          <w:rFonts w:cs="Arial"/>
          <w:sz w:val="12"/>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in respect of any person carrying on business, if the person’s place of business is within such area, or where the business is carried on in more than one place, the person’s principal place of business is within such area; or </w:t>
      </w:r>
    </w:p>
    <w:p w:rsidR="006A3F93" w:rsidRPr="00412620" w:rsidRDefault="006A3F93">
      <w:pPr>
        <w:jc w:val="both"/>
        <w:rPr>
          <w:rFonts w:cs="Arial"/>
          <w:sz w:val="10"/>
        </w:rPr>
      </w:pPr>
    </w:p>
    <w:p w:rsidR="00096560" w:rsidRDefault="006A3F93" w:rsidP="004578E1">
      <w:pPr>
        <w:ind w:left="1641" w:hanging="545"/>
        <w:jc w:val="both"/>
        <w:rPr>
          <w:rFonts w:cs="Arial"/>
          <w:sz w:val="20"/>
        </w:rPr>
      </w:pPr>
      <w:r w:rsidRPr="00412620">
        <w:rPr>
          <w:rFonts w:cs="Arial"/>
          <w:sz w:val="18"/>
        </w:rPr>
        <w:t>(b)</w:t>
      </w:r>
      <w:r w:rsidRPr="00412620">
        <w:rPr>
          <w:rFonts w:cs="Arial"/>
          <w:sz w:val="18"/>
        </w:rPr>
        <w:tab/>
      </w:r>
      <w:r w:rsidRPr="006B234F">
        <w:rPr>
          <w:rFonts w:cs="Arial"/>
          <w:sz w:val="20"/>
        </w:rPr>
        <w:t xml:space="preserve">in respect of any other person, if </w:t>
      </w:r>
      <w:r w:rsidR="00222039" w:rsidRPr="006B234F">
        <w:rPr>
          <w:rFonts w:cs="Arial"/>
          <w:sz w:val="20"/>
        </w:rPr>
        <w:t>the person resides in such area</w:t>
      </w:r>
      <w:r w:rsidR="00C555C9" w:rsidRPr="006B234F">
        <w:rPr>
          <w:rFonts w:cs="Arial"/>
          <w:sz w:val="20"/>
        </w:rPr>
        <w:t>:</w:t>
      </w:r>
    </w:p>
    <w:p w:rsidR="00991221" w:rsidRPr="00E3545F" w:rsidRDefault="00991221" w:rsidP="004578E1">
      <w:pPr>
        <w:ind w:left="1641" w:hanging="545"/>
        <w:jc w:val="both"/>
        <w:rPr>
          <w:rFonts w:cs="Arial"/>
          <w:sz w:val="12"/>
        </w:rPr>
      </w:pPr>
    </w:p>
    <w:p w:rsidR="00A02305" w:rsidRDefault="006A3F93" w:rsidP="00991221">
      <w:pPr>
        <w:jc w:val="both"/>
        <w:rPr>
          <w:rFonts w:cs="Arial"/>
          <w:sz w:val="20"/>
        </w:rPr>
      </w:pPr>
      <w:r w:rsidRPr="00412620">
        <w:rPr>
          <w:rFonts w:cs="Arial"/>
          <w:sz w:val="20"/>
        </w:rPr>
        <w:tab/>
      </w:r>
      <w:r w:rsidRPr="00A02305">
        <w:rPr>
          <w:rFonts w:cs="Arial"/>
          <w:sz w:val="20"/>
        </w:rPr>
        <w:t xml:space="preserve">(6) </w:t>
      </w:r>
      <w:r w:rsidRPr="00A02305">
        <w:rPr>
          <w:rFonts w:cs="Arial"/>
          <w:sz w:val="20"/>
        </w:rPr>
        <w:tab/>
        <w:t xml:space="preserve">Where a question arises as to whether a Commissioner has jurisdiction over a person, the question shall be decided by the </w:t>
      </w:r>
      <w:r w:rsidR="0020615E" w:rsidRPr="00A02305">
        <w:rPr>
          <w:rStyle w:val="FootnoteReference"/>
          <w:rFonts w:cs="Arial"/>
          <w:sz w:val="20"/>
        </w:rPr>
        <w:footnoteReference w:id="1357"/>
      </w:r>
      <w:r w:rsidR="0020615E" w:rsidRPr="00A02305">
        <w:rPr>
          <w:rFonts w:cs="Arial"/>
          <w:sz w:val="20"/>
        </w:rPr>
        <w:t>[</w:t>
      </w:r>
      <w:r w:rsidR="00FA1353" w:rsidRPr="00A02305">
        <w:rPr>
          <w:rFonts w:cs="Arial"/>
          <w:sz w:val="20"/>
        </w:rPr>
        <w:t>Chief</w:t>
      </w:r>
      <w:r w:rsidR="007E0B62">
        <w:rPr>
          <w:rFonts w:cs="Arial"/>
          <w:sz w:val="20"/>
        </w:rPr>
        <w:t xml:space="preserve"> </w:t>
      </w:r>
      <w:r w:rsidRPr="00A02305">
        <w:rPr>
          <w:rFonts w:cs="Arial"/>
          <w:sz w:val="20"/>
        </w:rPr>
        <w:lastRenderedPageBreak/>
        <w:t>Commissioner</w:t>
      </w:r>
      <w:r w:rsidR="0020615E" w:rsidRPr="00A02305">
        <w:rPr>
          <w:rFonts w:cs="Arial"/>
          <w:sz w:val="20"/>
        </w:rPr>
        <w:t>]</w:t>
      </w:r>
      <w:r w:rsidRPr="00A02305">
        <w:rPr>
          <w:rFonts w:cs="Arial"/>
          <w:sz w:val="20"/>
        </w:rPr>
        <w:t xml:space="preserve"> or </w:t>
      </w:r>
      <w:r w:rsidR="007F03CD" w:rsidRPr="00A02305">
        <w:rPr>
          <w:rStyle w:val="FootnoteReference"/>
          <w:sz w:val="20"/>
        </w:rPr>
        <w:footnoteReference w:id="1358"/>
      </w:r>
      <w:r w:rsidR="00D277B9" w:rsidRPr="00A02305">
        <w:rPr>
          <w:rFonts w:cs="Arial"/>
          <w:sz w:val="20"/>
        </w:rPr>
        <w:t xml:space="preserve">[Chief Commissioners] </w:t>
      </w:r>
      <w:r w:rsidRPr="00A02305">
        <w:rPr>
          <w:rFonts w:cs="Arial"/>
          <w:sz w:val="20"/>
        </w:rPr>
        <w:t xml:space="preserve">concerned and, if they are not in agreement, by the </w:t>
      </w:r>
      <w:r w:rsidR="001E7515" w:rsidRPr="00A02305">
        <w:rPr>
          <w:rStyle w:val="FootnoteReference"/>
          <w:rFonts w:cs="Arial"/>
          <w:sz w:val="20"/>
        </w:rPr>
        <w:footnoteReference w:id="1359"/>
      </w:r>
      <w:r w:rsidR="001E7515" w:rsidRPr="00A02305">
        <w:rPr>
          <w:rFonts w:cs="Arial"/>
          <w:sz w:val="20"/>
        </w:rPr>
        <w:t>[</w:t>
      </w:r>
      <w:r w:rsidRPr="00A02305">
        <w:rPr>
          <w:rFonts w:cs="Arial"/>
          <w:sz w:val="20"/>
        </w:rPr>
        <w:t>Board</w:t>
      </w:r>
      <w:r w:rsidR="001E7515" w:rsidRPr="00A02305">
        <w:rPr>
          <w:rFonts w:cs="Arial"/>
          <w:sz w:val="20"/>
        </w:rPr>
        <w:t>]</w:t>
      </w:r>
      <w:r w:rsidRPr="00A02305">
        <w:rPr>
          <w:rFonts w:cs="Arial"/>
          <w:sz w:val="20"/>
        </w:rPr>
        <w:t>.</w:t>
      </w:r>
    </w:p>
    <w:p w:rsidR="00A02305" w:rsidRPr="00991221" w:rsidRDefault="00A02305">
      <w:pPr>
        <w:jc w:val="both"/>
        <w:rPr>
          <w:rFonts w:cs="Arial"/>
          <w:sz w:val="12"/>
        </w:rPr>
      </w:pPr>
    </w:p>
    <w:p w:rsidR="006A3F93" w:rsidRDefault="006A3F93">
      <w:pPr>
        <w:jc w:val="both"/>
        <w:rPr>
          <w:rFonts w:cs="Arial"/>
          <w:sz w:val="20"/>
        </w:rPr>
      </w:pPr>
      <w:r w:rsidRPr="00A02305">
        <w:rPr>
          <w:rFonts w:cs="Arial"/>
          <w:sz w:val="20"/>
        </w:rPr>
        <w:tab/>
        <w:t xml:space="preserve">(7) </w:t>
      </w:r>
      <w:r w:rsidRPr="00A02305">
        <w:rPr>
          <w:rFonts w:cs="Arial"/>
          <w:sz w:val="20"/>
        </w:rPr>
        <w:tab/>
        <w:t>No person shall call into question the jurisdiction of a Commissioner after that person has furnished a return of income to the Commissioner or, where the person has not furnished a return of income, after the time allowed by any notice served on the person for furnishing such return has expired.</w:t>
      </w:r>
    </w:p>
    <w:p w:rsidR="000A3979" w:rsidRPr="00E3545F" w:rsidRDefault="000A3979">
      <w:pPr>
        <w:jc w:val="both"/>
        <w:rPr>
          <w:rFonts w:cs="Arial"/>
          <w:sz w:val="12"/>
        </w:rPr>
      </w:pPr>
    </w:p>
    <w:p w:rsidR="00A02305" w:rsidRDefault="006A3F93">
      <w:pPr>
        <w:jc w:val="both"/>
        <w:rPr>
          <w:rFonts w:cs="Arial"/>
          <w:sz w:val="20"/>
        </w:rPr>
      </w:pPr>
      <w:r w:rsidRPr="00A02305">
        <w:rPr>
          <w:rFonts w:cs="Arial"/>
          <w:sz w:val="20"/>
        </w:rPr>
        <w:tab/>
        <w:t xml:space="preserve">(8) </w:t>
      </w:r>
      <w:r w:rsidRPr="00A02305">
        <w:rPr>
          <w:rFonts w:cs="Arial"/>
          <w:sz w:val="20"/>
        </w:rPr>
        <w:tab/>
        <w:t xml:space="preserve">Notwithstanding anything contained in this section, every </w:t>
      </w:r>
      <w:r w:rsidR="00D277B9" w:rsidRPr="00A02305">
        <w:rPr>
          <w:rFonts w:cs="Arial"/>
          <w:sz w:val="20"/>
        </w:rPr>
        <w:t>C</w:t>
      </w:r>
      <w:r w:rsidRPr="00A02305">
        <w:rPr>
          <w:rFonts w:cs="Arial"/>
          <w:sz w:val="20"/>
        </w:rPr>
        <w:t>ommissioner shall have all the powers conferred by, or under, this Ordinance on him in respect of any income arising within the area assigned to him.</w:t>
      </w:r>
    </w:p>
    <w:p w:rsidR="00A02305" w:rsidRPr="00991221" w:rsidRDefault="00A02305">
      <w:pPr>
        <w:jc w:val="both"/>
        <w:rPr>
          <w:rFonts w:cs="Arial"/>
          <w:sz w:val="12"/>
        </w:rPr>
      </w:pPr>
    </w:p>
    <w:p w:rsidR="006A3F93" w:rsidRDefault="006A3F93">
      <w:pPr>
        <w:jc w:val="both"/>
        <w:rPr>
          <w:rFonts w:cs="Arial"/>
          <w:sz w:val="20"/>
        </w:rPr>
      </w:pPr>
      <w:r w:rsidRPr="00A02305">
        <w:rPr>
          <w:rStyle w:val="FootnoteReference"/>
          <w:rFonts w:cs="Arial"/>
          <w:sz w:val="20"/>
        </w:rPr>
        <w:footnoteReference w:id="1360"/>
      </w:r>
      <w:r w:rsidRPr="00A02305">
        <w:rPr>
          <w:rFonts w:cs="Arial"/>
          <w:sz w:val="20"/>
        </w:rPr>
        <w:t>[(8A)</w:t>
      </w:r>
      <w:r w:rsidRPr="00A02305">
        <w:rPr>
          <w:rFonts w:cs="Arial"/>
          <w:sz w:val="20"/>
        </w:rPr>
        <w:tab/>
        <w:t>The power to confer jurisdiction under this section shall include the power to transfer jurisdiction from one income tax authority to another.]</w:t>
      </w:r>
    </w:p>
    <w:p w:rsidR="000A3979" w:rsidRPr="00991221" w:rsidRDefault="000A3979">
      <w:pPr>
        <w:jc w:val="both"/>
        <w:rPr>
          <w:rFonts w:cs="Arial"/>
          <w:sz w:val="12"/>
        </w:rPr>
      </w:pPr>
    </w:p>
    <w:p w:rsidR="004B1A11" w:rsidRPr="00A02305" w:rsidRDefault="004B1A11">
      <w:pPr>
        <w:jc w:val="both"/>
        <w:rPr>
          <w:rFonts w:cs="Arial"/>
          <w:sz w:val="4"/>
        </w:rPr>
      </w:pPr>
    </w:p>
    <w:p w:rsidR="00E3545F" w:rsidRDefault="006A3F93">
      <w:pPr>
        <w:jc w:val="both"/>
        <w:rPr>
          <w:rFonts w:cs="Arial"/>
          <w:sz w:val="20"/>
        </w:rPr>
      </w:pPr>
      <w:r w:rsidRPr="00A02305">
        <w:rPr>
          <w:rFonts w:cs="Arial"/>
          <w:sz w:val="20"/>
        </w:rPr>
        <w:tab/>
        <w:t xml:space="preserve">(9) </w:t>
      </w:r>
      <w:r w:rsidRPr="00A02305">
        <w:rPr>
          <w:rFonts w:cs="Arial"/>
          <w:sz w:val="20"/>
        </w:rPr>
        <w:tab/>
        <w:t>Where, in respect of any proceedings under this Ordinance, an income tax authority is succeeded by another, the succeeding authority may continue the proceedings from the stage it was left by that authority’s predecessor.]</w:t>
      </w:r>
    </w:p>
    <w:p w:rsidR="00E3545F" w:rsidRPr="008D16BA" w:rsidRDefault="00E3545F">
      <w:pPr>
        <w:jc w:val="both"/>
        <w:rPr>
          <w:rFonts w:cs="Arial"/>
          <w:sz w:val="12"/>
        </w:rPr>
      </w:pPr>
    </w:p>
    <w:p w:rsidR="006A3F93" w:rsidRPr="00412620" w:rsidRDefault="00991221">
      <w:pPr>
        <w:jc w:val="both"/>
        <w:rPr>
          <w:sz w:val="20"/>
        </w:rPr>
      </w:pPr>
      <w:r>
        <w:rPr>
          <w:rStyle w:val="FootnoteReference"/>
          <w:sz w:val="20"/>
        </w:rPr>
        <w:footnoteReference w:id="1361"/>
      </w:r>
      <w:r w:rsidR="006A3F93" w:rsidRPr="00A02305">
        <w:rPr>
          <w:sz w:val="20"/>
        </w:rPr>
        <w:t>[</w:t>
      </w:r>
      <w:r w:rsidR="00A02305">
        <w:rPr>
          <w:b/>
          <w:sz w:val="20"/>
        </w:rPr>
        <w:t xml:space="preserve">210. </w:t>
      </w:r>
      <w:r w:rsidR="006A3F93" w:rsidRPr="00A02305">
        <w:rPr>
          <w:b/>
          <w:sz w:val="20"/>
        </w:rPr>
        <w:t>Delegation.</w:t>
      </w:r>
      <w:r w:rsidR="002E3B05" w:rsidRPr="00A02305">
        <w:rPr>
          <w:rFonts w:cs="Arial"/>
          <w:sz w:val="20"/>
        </w:rPr>
        <w:t xml:space="preserve"> —</w:t>
      </w:r>
      <w:r w:rsidR="006A3F93" w:rsidRPr="00A02305">
        <w:rPr>
          <w:sz w:val="20"/>
        </w:rPr>
        <w:t xml:space="preserve">(1) The Commissioner </w:t>
      </w:r>
      <w:r w:rsidR="006A3F93" w:rsidRPr="00A02305">
        <w:rPr>
          <w:rStyle w:val="FootnoteReference"/>
          <w:sz w:val="20"/>
        </w:rPr>
        <w:footnoteReference w:id="1362"/>
      </w:r>
      <w:r w:rsidR="006A3F93" w:rsidRPr="00A02305">
        <w:rPr>
          <w:sz w:val="20"/>
        </w:rPr>
        <w:t xml:space="preserve">[subject to sub-section (1A),] may, by an order in writing, delegate to any </w:t>
      </w:r>
      <w:r w:rsidR="00BB4C96" w:rsidRPr="00A02305">
        <w:rPr>
          <w:rStyle w:val="FootnoteReference"/>
          <w:sz w:val="20"/>
        </w:rPr>
        <w:footnoteReference w:id="1363"/>
      </w:r>
      <w:r w:rsidR="00BB4C96" w:rsidRPr="00A02305">
        <w:rPr>
          <w:sz w:val="20"/>
        </w:rPr>
        <w:t>[</w:t>
      </w:r>
      <w:r w:rsidR="00D56CCD" w:rsidRPr="00A02305">
        <w:rPr>
          <w:sz w:val="20"/>
        </w:rPr>
        <w:t xml:space="preserve">Officer of Inland Revenue, subordinate to </w:t>
      </w:r>
      <w:r w:rsidR="00D56CCD" w:rsidRPr="00A02305">
        <w:rPr>
          <w:sz w:val="20"/>
        </w:rPr>
        <w:lastRenderedPageBreak/>
        <w:t>the</w:t>
      </w:r>
      <w:r w:rsidR="00D56CCD" w:rsidRPr="00412620">
        <w:rPr>
          <w:sz w:val="20"/>
        </w:rPr>
        <w:t xml:space="preserve"> Commissioner</w:t>
      </w:r>
      <w:r w:rsidR="00BB4C96" w:rsidRPr="00412620">
        <w:rPr>
          <w:sz w:val="20"/>
        </w:rPr>
        <w:t>]</w:t>
      </w:r>
      <w:r w:rsidR="006A3F93" w:rsidRPr="00412620">
        <w:rPr>
          <w:sz w:val="20"/>
        </w:rPr>
        <w:t>all or any of the powers or functions conferred upon or assigned to the Commissioner under this Ordinance, other than the power of delegation.</w:t>
      </w:r>
    </w:p>
    <w:p w:rsidR="006A3F93" w:rsidRPr="00412620" w:rsidRDefault="006A3F93">
      <w:pPr>
        <w:jc w:val="both"/>
        <w:rPr>
          <w:rFonts w:cs="Arial"/>
          <w:sz w:val="20"/>
        </w:rPr>
      </w:pPr>
    </w:p>
    <w:p w:rsidR="006A3F93" w:rsidRPr="00412620" w:rsidRDefault="006A3F93" w:rsidP="00910B5A">
      <w:pPr>
        <w:ind w:firstLine="547"/>
        <w:jc w:val="both"/>
        <w:rPr>
          <w:rFonts w:cs="Arial"/>
          <w:sz w:val="20"/>
        </w:rPr>
      </w:pPr>
      <w:r w:rsidRPr="00412620">
        <w:rPr>
          <w:rStyle w:val="FootnoteReference"/>
          <w:rFonts w:cs="Arial"/>
          <w:sz w:val="20"/>
        </w:rPr>
        <w:footnoteReference w:id="1364"/>
      </w:r>
      <w:r w:rsidRPr="00412620">
        <w:rPr>
          <w:rFonts w:cs="Arial"/>
          <w:sz w:val="20"/>
        </w:rPr>
        <w:t xml:space="preserve">[(1A) The Commissioner shall not delegate the powers of amendment of assessment contained in sub-section (5A) of section 122 to </w:t>
      </w:r>
      <w:r w:rsidR="00D96064" w:rsidRPr="00412620">
        <w:rPr>
          <w:rStyle w:val="FootnoteReference"/>
          <w:rFonts w:cs="Arial"/>
          <w:sz w:val="20"/>
        </w:rPr>
        <w:footnoteReference w:id="1365"/>
      </w:r>
      <w:r w:rsidR="00D96064" w:rsidRPr="00412620">
        <w:rPr>
          <w:rFonts w:cs="Arial"/>
          <w:sz w:val="20"/>
        </w:rPr>
        <w:t>[</w:t>
      </w:r>
      <w:r w:rsidR="00D56CCD" w:rsidRPr="00412620">
        <w:rPr>
          <w:rFonts w:cs="Arial"/>
          <w:sz w:val="20"/>
        </w:rPr>
        <w:t>an officer of Inland Revenue below the rank of Additional Commissioner Inland Revenue</w:t>
      </w:r>
      <w:r w:rsidRPr="00412620">
        <w:rPr>
          <w:rFonts w:cs="Arial"/>
          <w:sz w:val="20"/>
        </w:rPr>
        <w:t>.]</w:t>
      </w:r>
    </w:p>
    <w:p w:rsidR="006A3F93" w:rsidRPr="00910B5A" w:rsidRDefault="00ED2453" w:rsidP="00910B5A">
      <w:pPr>
        <w:autoSpaceDE w:val="0"/>
        <w:autoSpaceDN w:val="0"/>
        <w:adjustRightInd w:val="0"/>
        <w:jc w:val="both"/>
        <w:rPr>
          <w:rFonts w:cs="Arial"/>
          <w:color w:val="000000" w:themeColor="text1"/>
          <w:sz w:val="20"/>
        </w:rPr>
      </w:pPr>
      <w:r w:rsidRPr="00412620">
        <w:rPr>
          <w:rFonts w:cs="Arial"/>
          <w:sz w:val="20"/>
        </w:rPr>
        <w:br/>
      </w:r>
      <w:r w:rsidR="00A5714A" w:rsidRPr="00910B5A">
        <w:rPr>
          <w:rStyle w:val="FootnoteReference"/>
          <w:rFonts w:cs="Arial"/>
          <w:color w:val="000000" w:themeColor="text1"/>
          <w:sz w:val="20"/>
        </w:rPr>
        <w:footnoteReference w:id="1366"/>
      </w:r>
      <w:r w:rsidR="00A5714A" w:rsidRPr="00910B5A">
        <w:rPr>
          <w:rFonts w:cs="Arial"/>
          <w:color w:val="000000" w:themeColor="text1"/>
          <w:sz w:val="20"/>
        </w:rPr>
        <w:t>[“</w:t>
      </w:r>
      <w:r w:rsidR="00A5714A" w:rsidRPr="00910B5A">
        <w:rPr>
          <w:rFonts w:cs="Arial"/>
          <w:color w:val="000000" w:themeColor="text1"/>
          <w:sz w:val="20"/>
          <w:lang w:val="en-US"/>
        </w:rPr>
        <w:t xml:space="preserve">(1B) The Commissioner may, by an order in writing, delegate to a special audit panel appointed under sub-section (11) of section 177, or to a firm of chartered accountants or a firm of cost and management accountants appointed by the Board or the Commissioner to conduct an audit of person under section 177, all or any of the powers or functions to conduct </w:t>
      </w:r>
      <w:r w:rsidR="00E87031" w:rsidRPr="00910B5A">
        <w:rPr>
          <w:rFonts w:cs="Arial"/>
          <w:color w:val="000000" w:themeColor="text1"/>
          <w:sz w:val="20"/>
          <w:lang w:val="en-US"/>
        </w:rPr>
        <w:t>an audit under this Ordinance.”</w:t>
      </w:r>
      <w:r w:rsidRPr="00910B5A">
        <w:rPr>
          <w:rFonts w:cs="Arial"/>
          <w:color w:val="000000" w:themeColor="text1"/>
          <w:sz w:val="20"/>
        </w:rPr>
        <w:t>]</w:t>
      </w:r>
    </w:p>
    <w:p w:rsidR="00ED2453" w:rsidRPr="00412620" w:rsidRDefault="00ED2453">
      <w:pPr>
        <w:jc w:val="both"/>
        <w:rPr>
          <w:rFonts w:cs="Arial"/>
          <w:sz w:val="20"/>
        </w:rPr>
      </w:pPr>
    </w:p>
    <w:p w:rsidR="006A3F93" w:rsidRPr="00412620" w:rsidRDefault="006A3F93">
      <w:pPr>
        <w:pStyle w:val="BodyText3"/>
        <w:widowControl/>
        <w:rPr>
          <w:rFonts w:ascii="Arial" w:hAnsi="Arial"/>
          <w:sz w:val="20"/>
          <w:lang w:val="en-AU"/>
        </w:rPr>
      </w:pPr>
      <w:r w:rsidRPr="00412620">
        <w:rPr>
          <w:rFonts w:ascii="Arial" w:hAnsi="Arial"/>
          <w:sz w:val="20"/>
          <w:lang w:val="en-AU"/>
        </w:rPr>
        <w:tab/>
        <w:t xml:space="preserve">(2) </w:t>
      </w:r>
      <w:r w:rsidRPr="00412620">
        <w:rPr>
          <w:rFonts w:ascii="Arial" w:hAnsi="Arial"/>
          <w:sz w:val="20"/>
          <w:lang w:val="en-AU"/>
        </w:rPr>
        <w:tab/>
        <w:t>An order under sub-section (1) may be in respect of all or any of the persons, classes of persons or areas falling in the jurisdiction of the Commissioner.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The Commissioner shall have the power to cancel, modify, alter or amend an order under sub-section (1).</w:t>
      </w:r>
    </w:p>
    <w:p w:rsidR="006A3F93" w:rsidRPr="00412620" w:rsidRDefault="006A3F93">
      <w:pPr>
        <w:jc w:val="both"/>
        <w:rPr>
          <w:rFonts w:cs="Arial"/>
          <w:sz w:val="20"/>
        </w:rPr>
      </w:pPr>
    </w:p>
    <w:p w:rsidR="006A3F93" w:rsidRPr="00412620" w:rsidRDefault="006A3F93" w:rsidP="00AC7E76">
      <w:pPr>
        <w:autoSpaceDE w:val="0"/>
        <w:autoSpaceDN w:val="0"/>
        <w:adjustRightInd w:val="0"/>
        <w:jc w:val="both"/>
        <w:rPr>
          <w:sz w:val="20"/>
        </w:rPr>
      </w:pPr>
      <w:r w:rsidRPr="00412620">
        <w:rPr>
          <w:rStyle w:val="FootnoteReference"/>
          <w:rFonts w:cs="Arial"/>
          <w:sz w:val="20"/>
        </w:rPr>
        <w:footnoteReference w:id="1367"/>
      </w:r>
      <w:r w:rsidRPr="00412620">
        <w:rPr>
          <w:sz w:val="20"/>
        </w:rPr>
        <w:t>[</w:t>
      </w:r>
      <w:r w:rsidRPr="00412620">
        <w:rPr>
          <w:b/>
          <w:sz w:val="20"/>
        </w:rPr>
        <w:t>211. Power or function exercised.</w:t>
      </w:r>
      <w:r w:rsidR="002E3B05" w:rsidRPr="00412620">
        <w:rPr>
          <w:rFonts w:cs="Arial"/>
          <w:sz w:val="20"/>
        </w:rPr>
        <w:t xml:space="preserve"> —</w:t>
      </w:r>
      <w:r w:rsidRPr="00412620">
        <w:rPr>
          <w:sz w:val="20"/>
        </w:rPr>
        <w:t xml:space="preserve">(1) Where, by virtue of an order under section 210, a </w:t>
      </w:r>
      <w:r w:rsidR="004D53E1" w:rsidRPr="00412620">
        <w:rPr>
          <w:rStyle w:val="FootnoteReference"/>
          <w:sz w:val="20"/>
        </w:rPr>
        <w:footnoteReference w:id="1368"/>
      </w:r>
      <w:r w:rsidR="004D53E1" w:rsidRPr="00412620">
        <w:rPr>
          <w:sz w:val="20"/>
        </w:rPr>
        <w:t>[</w:t>
      </w:r>
      <w:r w:rsidR="00D56CCD" w:rsidRPr="00412620">
        <w:rPr>
          <w:rFonts w:cs="Arial"/>
          <w:sz w:val="20"/>
        </w:rPr>
        <w:t>an officer of Inland Revenue</w:t>
      </w:r>
      <w:r w:rsidR="001472B4">
        <w:rPr>
          <w:rFonts w:cs="Arial"/>
          <w:sz w:val="20"/>
        </w:rPr>
        <w:t xml:space="preserve"> </w:t>
      </w:r>
      <w:r w:rsidR="00AC7E76" w:rsidRPr="001472B4">
        <w:rPr>
          <w:rStyle w:val="FootnoteReference"/>
          <w:rFonts w:cs="Arial"/>
          <w:color w:val="000000" w:themeColor="text1"/>
          <w:sz w:val="20"/>
        </w:rPr>
        <w:footnoteReference w:id="1369"/>
      </w:r>
      <w:r w:rsidR="00FB206D" w:rsidRPr="001472B4">
        <w:rPr>
          <w:rFonts w:cs="Arial"/>
          <w:color w:val="000000" w:themeColor="text1"/>
          <w:sz w:val="20"/>
        </w:rPr>
        <w:t>[</w:t>
      </w:r>
      <w:r w:rsidR="00AC7E76" w:rsidRPr="001472B4">
        <w:rPr>
          <w:rFonts w:cs="Arial"/>
          <w:color w:val="000000" w:themeColor="text1"/>
          <w:sz w:val="20"/>
        </w:rPr>
        <w:t>“</w:t>
      </w:r>
      <w:r w:rsidR="00AC7E76" w:rsidRPr="001472B4">
        <w:rPr>
          <w:rFonts w:cs="Arial"/>
          <w:color w:val="000000" w:themeColor="text1"/>
          <w:sz w:val="20"/>
          <w:lang w:val="en-US"/>
        </w:rPr>
        <w:t>or by a special audit panel appointed under sub-section (11) of section 177”</w:t>
      </w:r>
      <w:r w:rsidR="00FB206D" w:rsidRPr="001472B4">
        <w:rPr>
          <w:rFonts w:cs="Arial"/>
          <w:color w:val="000000" w:themeColor="text1"/>
          <w:sz w:val="20"/>
        </w:rPr>
        <w:t>]</w:t>
      </w:r>
      <w:r w:rsidR="001472B4">
        <w:rPr>
          <w:rFonts w:cs="Arial"/>
          <w:color w:val="984806" w:themeColor="accent6" w:themeShade="80"/>
          <w:sz w:val="20"/>
        </w:rPr>
        <w:t xml:space="preserve"> </w:t>
      </w:r>
      <w:r w:rsidR="004D53E1" w:rsidRPr="00412620">
        <w:rPr>
          <w:rFonts w:cs="Arial"/>
          <w:sz w:val="20"/>
        </w:rPr>
        <w:t>]</w:t>
      </w:r>
      <w:r w:rsidR="007E0B62">
        <w:rPr>
          <w:rFonts w:cs="Arial"/>
          <w:sz w:val="20"/>
        </w:rPr>
        <w:t xml:space="preserve"> </w:t>
      </w:r>
      <w:r w:rsidRPr="00412620">
        <w:rPr>
          <w:sz w:val="20"/>
        </w:rPr>
        <w:t>exercises a power or performs a function of the Commissioner, such power or function shall be treated as having been exercised or performed by the Commissioner.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 xml:space="preserve">The exercise of a power, or the performance of a function, of the Commissioner by a </w:t>
      </w:r>
      <w:r w:rsidR="004D53E1" w:rsidRPr="00412620">
        <w:rPr>
          <w:rStyle w:val="FootnoteReference"/>
          <w:rFonts w:cs="Arial"/>
          <w:sz w:val="20"/>
        </w:rPr>
        <w:footnoteReference w:id="1370"/>
      </w:r>
      <w:r w:rsidR="004D53E1" w:rsidRPr="00412620">
        <w:rPr>
          <w:rFonts w:cs="Arial"/>
          <w:sz w:val="20"/>
        </w:rPr>
        <w:t>[</w:t>
      </w:r>
      <w:r w:rsidR="00D56CCD" w:rsidRPr="00412620">
        <w:rPr>
          <w:rFonts w:cs="Arial"/>
          <w:sz w:val="20"/>
        </w:rPr>
        <w:t>an officer of Inland Revenue</w:t>
      </w:r>
      <w:r w:rsidR="004D53E1" w:rsidRPr="00412620">
        <w:rPr>
          <w:rFonts w:cs="Arial"/>
          <w:sz w:val="20"/>
        </w:rPr>
        <w:t>]</w:t>
      </w:r>
      <w:r w:rsidR="001472B4">
        <w:rPr>
          <w:rFonts w:cs="Arial"/>
          <w:sz w:val="20"/>
        </w:rPr>
        <w:t xml:space="preserve"> </w:t>
      </w:r>
      <w:r w:rsidRPr="00412620">
        <w:rPr>
          <w:rFonts w:cs="Arial"/>
          <w:sz w:val="20"/>
        </w:rPr>
        <w:t>shall not prevent the exercise of the power, or the performance of the function, by the Commissioner.]</w:t>
      </w:r>
    </w:p>
    <w:p w:rsidR="007E30BE" w:rsidRPr="00412620" w:rsidRDefault="007E30BE" w:rsidP="00A5363A">
      <w:pPr>
        <w:jc w:val="both"/>
        <w:rPr>
          <w:rFonts w:cs="Arial"/>
        </w:rPr>
      </w:pPr>
    </w:p>
    <w:p w:rsidR="00973F71" w:rsidRPr="00412620" w:rsidRDefault="00973F71" w:rsidP="00A5363A">
      <w:pPr>
        <w:jc w:val="both"/>
        <w:rPr>
          <w:rFonts w:cs="Arial"/>
          <w:sz w:val="20"/>
        </w:rPr>
      </w:pPr>
      <w:r w:rsidRPr="00412620">
        <w:rPr>
          <w:rFonts w:cs="Arial"/>
          <w:sz w:val="20"/>
        </w:rPr>
        <w:tab/>
      </w:r>
      <w:r w:rsidR="00037978" w:rsidRPr="00412620">
        <w:rPr>
          <w:rStyle w:val="FootnoteReference"/>
          <w:rFonts w:cs="Arial"/>
          <w:sz w:val="20"/>
        </w:rPr>
        <w:footnoteReference w:id="1371"/>
      </w:r>
      <w:r w:rsidRPr="00412620">
        <w:rPr>
          <w:rFonts w:cs="Arial"/>
          <w:sz w:val="20"/>
        </w:rPr>
        <w:t>[</w:t>
      </w:r>
      <w:r w:rsidRPr="00412620">
        <w:rPr>
          <w:sz w:val="20"/>
        </w:rPr>
        <w:t>(3)</w:t>
      </w:r>
      <w:r w:rsidRPr="00412620">
        <w:rPr>
          <w:sz w:val="20"/>
        </w:rPr>
        <w:tab/>
        <w:t>The Board or, with the approval of the Board, an authority appointed under this Ordinance, shall be competent to exercise all powers conferred upon any authority subordinate to it.]</w:t>
      </w:r>
    </w:p>
    <w:p w:rsidR="00973F71" w:rsidRPr="00412620" w:rsidRDefault="00973F71" w:rsidP="00A5363A">
      <w:pPr>
        <w:jc w:val="both"/>
        <w:rPr>
          <w:rFonts w:cs="Arial"/>
        </w:rPr>
      </w:pPr>
    </w:p>
    <w:p w:rsidR="006A3F93" w:rsidRPr="00412620" w:rsidRDefault="006A3F93" w:rsidP="00A5363A">
      <w:pPr>
        <w:jc w:val="both"/>
        <w:rPr>
          <w:sz w:val="20"/>
        </w:rPr>
      </w:pPr>
      <w:r w:rsidRPr="00412620">
        <w:rPr>
          <w:rStyle w:val="FootnoteReference"/>
          <w:sz w:val="20"/>
        </w:rPr>
        <w:footnoteReference w:id="1372"/>
      </w:r>
      <w:r w:rsidRPr="00412620">
        <w:rPr>
          <w:sz w:val="20"/>
        </w:rPr>
        <w:t>[</w:t>
      </w:r>
      <w:r w:rsidRPr="00412620">
        <w:rPr>
          <w:b/>
          <w:sz w:val="20"/>
        </w:rPr>
        <w:t>212.  Authority of approval.</w:t>
      </w:r>
      <w:r w:rsidR="002E3B05" w:rsidRPr="00412620">
        <w:rPr>
          <w:rFonts w:cs="Arial"/>
          <w:sz w:val="20"/>
        </w:rPr>
        <w:t>—</w:t>
      </w:r>
      <w:r w:rsidRPr="00412620">
        <w:rPr>
          <w:sz w:val="20"/>
        </w:rPr>
        <w:t xml:space="preserve"> The </w:t>
      </w:r>
      <w:r w:rsidR="001E7515" w:rsidRPr="00412620">
        <w:rPr>
          <w:rStyle w:val="FootnoteReference"/>
          <w:sz w:val="20"/>
        </w:rPr>
        <w:footnoteReference w:id="1373"/>
      </w:r>
      <w:r w:rsidR="001E7515" w:rsidRPr="00412620">
        <w:rPr>
          <w:sz w:val="20"/>
        </w:rPr>
        <w:t>[</w:t>
      </w:r>
      <w:r w:rsidRPr="00412620">
        <w:rPr>
          <w:sz w:val="20"/>
        </w:rPr>
        <w:t>Board</w:t>
      </w:r>
      <w:r w:rsidR="001E7515" w:rsidRPr="00412620">
        <w:rPr>
          <w:sz w:val="20"/>
        </w:rPr>
        <w:t>]</w:t>
      </w:r>
      <w:r w:rsidRPr="00412620">
        <w:rPr>
          <w:sz w:val="20"/>
        </w:rPr>
        <w:t xml:space="preserve"> may, by a general or special order, authorise the Regional Commissioner or the Commissioner to grant approval in any case where such approval is required from the </w:t>
      </w:r>
      <w:r w:rsidR="001E7515" w:rsidRPr="00412620">
        <w:rPr>
          <w:rStyle w:val="FootnoteReference"/>
          <w:sz w:val="20"/>
        </w:rPr>
        <w:footnoteReference w:id="1374"/>
      </w:r>
      <w:r w:rsidR="001E7515" w:rsidRPr="00412620">
        <w:rPr>
          <w:sz w:val="20"/>
        </w:rPr>
        <w:t>[</w:t>
      </w:r>
      <w:r w:rsidRPr="00412620">
        <w:rPr>
          <w:sz w:val="20"/>
        </w:rPr>
        <w:t>Board</w:t>
      </w:r>
      <w:r w:rsidR="001E7515" w:rsidRPr="00412620">
        <w:rPr>
          <w:sz w:val="20"/>
        </w:rPr>
        <w:t>]</w:t>
      </w:r>
      <w:r w:rsidRPr="00412620">
        <w:rPr>
          <w:sz w:val="20"/>
        </w:rPr>
        <w:t xml:space="preserve"> under any provision of this Ordinance.]</w:t>
      </w:r>
    </w:p>
    <w:p w:rsidR="006A3F93" w:rsidRPr="00412620" w:rsidRDefault="006A3F93">
      <w:pPr>
        <w:jc w:val="both"/>
        <w:rPr>
          <w:rFonts w:cs="Arial"/>
          <w:sz w:val="20"/>
        </w:rPr>
      </w:pPr>
    </w:p>
    <w:p w:rsidR="006A3F93" w:rsidRPr="00412620" w:rsidRDefault="006A3F93">
      <w:pPr>
        <w:jc w:val="both"/>
        <w:rPr>
          <w:sz w:val="20"/>
        </w:rPr>
      </w:pPr>
      <w:r w:rsidRPr="00412620">
        <w:rPr>
          <w:rStyle w:val="FootnoteReference"/>
          <w:rFonts w:cs="Arial"/>
          <w:sz w:val="20"/>
        </w:rPr>
        <w:footnoteReference w:id="1375"/>
      </w:r>
      <w:r w:rsidRPr="00412620">
        <w:rPr>
          <w:sz w:val="20"/>
        </w:rPr>
        <w:t>[</w:t>
      </w:r>
      <w:r w:rsidRPr="00412620">
        <w:rPr>
          <w:b/>
          <w:sz w:val="20"/>
        </w:rPr>
        <w:t>213.  Guidance to income tax authorities.</w:t>
      </w:r>
      <w:r w:rsidR="002E3B05" w:rsidRPr="00412620">
        <w:rPr>
          <w:rFonts w:cs="Arial"/>
          <w:sz w:val="20"/>
        </w:rPr>
        <w:t>—</w:t>
      </w:r>
      <w:r w:rsidRPr="00412620">
        <w:rPr>
          <w:sz w:val="20"/>
        </w:rPr>
        <w:t xml:space="preserve"> In the course of any proceedings under this Ordinance, the Commissioner or any taxation officer may be assisted, </w:t>
      </w:r>
      <w:r w:rsidRPr="00412620">
        <w:rPr>
          <w:sz w:val="20"/>
        </w:rPr>
        <w:lastRenderedPageBreak/>
        <w:t xml:space="preserve">guided or instructed by any income tax authority to whom he is subordinate or any other person authorised in this behalf by the </w:t>
      </w:r>
      <w:r w:rsidR="001E7515" w:rsidRPr="00412620">
        <w:rPr>
          <w:rStyle w:val="FootnoteReference"/>
          <w:sz w:val="20"/>
        </w:rPr>
        <w:footnoteReference w:id="1376"/>
      </w:r>
      <w:r w:rsidR="001E7515" w:rsidRPr="00412620">
        <w:rPr>
          <w:sz w:val="20"/>
        </w:rPr>
        <w:t>[</w:t>
      </w:r>
      <w:r w:rsidRPr="00412620">
        <w:rPr>
          <w:sz w:val="20"/>
        </w:rPr>
        <w:t>Board</w:t>
      </w:r>
      <w:r w:rsidR="001E7515" w:rsidRPr="00412620">
        <w:rPr>
          <w:sz w:val="20"/>
        </w:rPr>
        <w:t>]</w:t>
      </w:r>
      <w:r w:rsidRPr="00412620">
        <w:rPr>
          <w:sz w:val="20"/>
        </w:rPr>
        <w:t>.]</w:t>
      </w:r>
    </w:p>
    <w:p w:rsidR="006A3F93" w:rsidRPr="00412620" w:rsidRDefault="006A3F93">
      <w:pPr>
        <w:jc w:val="both"/>
        <w:rPr>
          <w:rFonts w:cs="Arial"/>
          <w:sz w:val="20"/>
        </w:rPr>
      </w:pPr>
    </w:p>
    <w:p w:rsidR="006A3F93" w:rsidRPr="00412620" w:rsidRDefault="006A3F93">
      <w:pPr>
        <w:jc w:val="both"/>
        <w:rPr>
          <w:sz w:val="20"/>
        </w:rPr>
      </w:pPr>
      <w:r w:rsidRPr="00412620">
        <w:rPr>
          <w:rStyle w:val="FootnoteReference"/>
          <w:rFonts w:cs="Arial"/>
          <w:sz w:val="20"/>
        </w:rPr>
        <w:footnoteReference w:id="1377"/>
      </w:r>
      <w:r w:rsidRPr="00412620">
        <w:rPr>
          <w:sz w:val="20"/>
        </w:rPr>
        <w:t>[</w:t>
      </w:r>
      <w:r w:rsidRPr="00412620">
        <w:rPr>
          <w:b/>
          <w:sz w:val="20"/>
        </w:rPr>
        <w:t xml:space="preserve">214.  Income tax authorities to follow orders of the </w:t>
      </w:r>
      <w:r w:rsidR="001E7515" w:rsidRPr="00412620">
        <w:rPr>
          <w:rStyle w:val="FootnoteReference"/>
          <w:b/>
          <w:sz w:val="20"/>
        </w:rPr>
        <w:footnoteReference w:id="1378"/>
      </w:r>
      <w:r w:rsidR="001E7515" w:rsidRPr="00412620">
        <w:rPr>
          <w:b/>
          <w:sz w:val="20"/>
        </w:rPr>
        <w:t>[</w:t>
      </w:r>
      <w:r w:rsidRPr="00412620">
        <w:rPr>
          <w:b/>
          <w:sz w:val="20"/>
        </w:rPr>
        <w:t>Board</w:t>
      </w:r>
      <w:r w:rsidR="001E7515" w:rsidRPr="00412620">
        <w:rPr>
          <w:b/>
          <w:sz w:val="20"/>
        </w:rPr>
        <w:t>]</w:t>
      </w:r>
      <w:r w:rsidRPr="00412620">
        <w:rPr>
          <w:b/>
          <w:sz w:val="20"/>
        </w:rPr>
        <w:t>.</w:t>
      </w:r>
      <w:r w:rsidR="002E3B05" w:rsidRPr="00412620">
        <w:rPr>
          <w:rFonts w:cs="Arial"/>
          <w:sz w:val="20"/>
        </w:rPr>
        <w:t xml:space="preserve"> —</w:t>
      </w:r>
      <w:r w:rsidRPr="00412620">
        <w:rPr>
          <w:sz w:val="20"/>
        </w:rPr>
        <w:t xml:space="preserve">(1) Subject to sub-section (2), all income tax authorities and other persons employed in the execution of this Ordinance shall observe and follow the orders, instructions and directions issued by the </w:t>
      </w:r>
      <w:r w:rsidR="001E7515" w:rsidRPr="00412620">
        <w:rPr>
          <w:rStyle w:val="FootnoteReference"/>
          <w:sz w:val="20"/>
        </w:rPr>
        <w:footnoteReference w:id="1379"/>
      </w:r>
      <w:r w:rsidR="001E7515" w:rsidRPr="00412620">
        <w:rPr>
          <w:sz w:val="20"/>
        </w:rPr>
        <w:t>[</w:t>
      </w:r>
      <w:r w:rsidRPr="00412620">
        <w:rPr>
          <w:sz w:val="20"/>
        </w:rPr>
        <w:t>Board</w:t>
      </w:r>
      <w:r w:rsidR="001E7515" w:rsidRPr="00412620">
        <w:rPr>
          <w:sz w:val="20"/>
        </w:rPr>
        <w:t>]</w:t>
      </w:r>
      <w:r w:rsidRPr="00412620">
        <w:rPr>
          <w:sz w:val="20"/>
        </w:rPr>
        <w:t>.</w:t>
      </w:r>
    </w:p>
    <w:p w:rsidR="006A3F93" w:rsidRPr="00412620" w:rsidRDefault="006A3F93">
      <w:pPr>
        <w:jc w:val="both"/>
        <w:rPr>
          <w:rFonts w:cs="Arial"/>
          <w:sz w:val="20"/>
        </w:rPr>
      </w:pPr>
    </w:p>
    <w:p w:rsidR="00EC7CE3" w:rsidRPr="00412620" w:rsidRDefault="00EC7CE3">
      <w:pPr>
        <w:jc w:val="both"/>
        <w:rPr>
          <w:rFonts w:cs="Arial"/>
          <w:sz w:val="20"/>
        </w:rPr>
      </w:pPr>
      <w:r w:rsidRPr="00412620">
        <w:rPr>
          <w:rFonts w:cs="Arial"/>
          <w:sz w:val="20"/>
        </w:rPr>
        <w:t xml:space="preserve">(2) </w:t>
      </w:r>
      <w:r w:rsidRPr="00412620">
        <w:rPr>
          <w:rFonts w:cs="Arial"/>
          <w:sz w:val="20"/>
        </w:rPr>
        <w:tab/>
        <w:t xml:space="preserve">No orders, instructions or directions shall be given by the </w:t>
      </w:r>
      <w:r w:rsidRPr="00412620">
        <w:rPr>
          <w:rStyle w:val="FootnoteReference"/>
          <w:rFonts w:cs="Arial"/>
          <w:sz w:val="20"/>
        </w:rPr>
        <w:footnoteReference w:id="1380"/>
      </w:r>
      <w:r w:rsidRPr="00412620">
        <w:rPr>
          <w:rFonts w:cs="Arial"/>
          <w:sz w:val="20"/>
        </w:rPr>
        <w:t>[Board] that will interfere with the discretion of the Commissioner (Appeals) in the exercise of his appellate function.]</w:t>
      </w:r>
    </w:p>
    <w:p w:rsidR="00EC7CE3" w:rsidRPr="00412620" w:rsidRDefault="00EC7CE3">
      <w:pPr>
        <w:jc w:val="both"/>
        <w:rPr>
          <w:rFonts w:cs="Arial"/>
          <w:sz w:val="20"/>
        </w:rPr>
      </w:pPr>
    </w:p>
    <w:p w:rsidR="002D3BE1" w:rsidRPr="00412620" w:rsidRDefault="0036708F">
      <w:pPr>
        <w:jc w:val="both"/>
        <w:rPr>
          <w:rFonts w:cs="Arial"/>
          <w:sz w:val="20"/>
        </w:rPr>
      </w:pPr>
      <w:r w:rsidRPr="00412620">
        <w:rPr>
          <w:rStyle w:val="FootnoteReference"/>
          <w:rFonts w:cs="Arial"/>
          <w:sz w:val="20"/>
        </w:rPr>
        <w:footnoteReference w:id="1381"/>
      </w:r>
      <w:r w:rsidR="002D3BE1" w:rsidRPr="00412620">
        <w:rPr>
          <w:rFonts w:cs="Arial"/>
          <w:sz w:val="20"/>
        </w:rPr>
        <w:t>[</w:t>
      </w:r>
      <w:r w:rsidR="002D3BE1" w:rsidRPr="00412620">
        <w:rPr>
          <w:rFonts w:cs="Arial"/>
          <w:b/>
          <w:sz w:val="20"/>
        </w:rPr>
        <w:t>214A. Condonation of time limit.</w:t>
      </w:r>
      <w:r w:rsidR="00BF58D6" w:rsidRPr="00412620">
        <w:rPr>
          <w:rFonts w:cs="Arial"/>
          <w:sz w:val="20"/>
        </w:rPr>
        <w:t xml:space="preserve"> —</w:t>
      </w:r>
      <w:r w:rsidR="002D3BE1" w:rsidRPr="00412620">
        <w:rPr>
          <w:rFonts w:cs="Arial"/>
          <w:sz w:val="20"/>
        </w:rPr>
        <w:t xml:space="preserve"> Where any time or period has been specified under any of the provisions of the Ordinance or rules made there-under within which any application is to be made or any act or thing is to be done, the Board may, in any case or class of cases, permit such application to be made or such act or thing to be done within such time or period</w:t>
      </w:r>
      <w:r w:rsidR="00D64333" w:rsidRPr="00412620">
        <w:rPr>
          <w:rFonts w:cs="Arial"/>
          <w:sz w:val="20"/>
        </w:rPr>
        <w:t xml:space="preserve"> as it may consider appropriate </w:t>
      </w:r>
      <w:r w:rsidR="00D64333" w:rsidRPr="00412620">
        <w:rPr>
          <w:rStyle w:val="FootnoteReference"/>
          <w:rFonts w:cs="Arial"/>
          <w:sz w:val="20"/>
        </w:rPr>
        <w:footnoteReference w:id="1382"/>
      </w:r>
      <w:r w:rsidR="00D64333" w:rsidRPr="00412620">
        <w:rPr>
          <w:rFonts w:cs="Arial"/>
          <w:sz w:val="20"/>
        </w:rPr>
        <w:t>[.]</w:t>
      </w:r>
    </w:p>
    <w:p w:rsidR="0029315D" w:rsidRPr="00412620" w:rsidRDefault="0029315D">
      <w:pPr>
        <w:jc w:val="both"/>
        <w:rPr>
          <w:rFonts w:cs="Arial"/>
          <w:sz w:val="20"/>
        </w:rPr>
      </w:pPr>
    </w:p>
    <w:p w:rsidR="00D64333" w:rsidRPr="00412620" w:rsidRDefault="003F3C60" w:rsidP="00D64333">
      <w:pPr>
        <w:ind w:left="1094" w:firstLine="1"/>
        <w:jc w:val="both"/>
        <w:rPr>
          <w:rFonts w:cs="Arial"/>
          <w:sz w:val="20"/>
        </w:rPr>
      </w:pPr>
      <w:r w:rsidRPr="00412620">
        <w:rPr>
          <w:rStyle w:val="FootnoteReference"/>
          <w:rFonts w:cs="Arial"/>
          <w:sz w:val="20"/>
        </w:rPr>
        <w:footnoteReference w:id="1383"/>
      </w:r>
      <w:r w:rsidR="00D64333" w:rsidRPr="00412620">
        <w:rPr>
          <w:rFonts w:cs="Arial"/>
          <w:sz w:val="20"/>
        </w:rPr>
        <w:t>[</w:t>
      </w:r>
      <w:r w:rsidR="00D64333" w:rsidRPr="00412620">
        <w:rPr>
          <w:b/>
          <w:bCs/>
          <w:i/>
          <w:sz w:val="20"/>
        </w:rPr>
        <w:t>Explanation,</w:t>
      </w:r>
      <w:r w:rsidR="00D64333" w:rsidRPr="00412620">
        <w:rPr>
          <w:rFonts w:cs="Arial"/>
          <w:b/>
          <w:bCs/>
          <w:i/>
          <w:sz w:val="20"/>
        </w:rPr>
        <w:t>—</w:t>
      </w:r>
      <w:r w:rsidR="00D64333" w:rsidRPr="00412620">
        <w:rPr>
          <w:sz w:val="20"/>
        </w:rPr>
        <w:t xml:space="preserve"> For the purpose of this section, the expression “any  act or thing is to be done” includes any act or thing to be done by the taxpayer or by the authorities specified in section 207.]</w:t>
      </w:r>
    </w:p>
    <w:p w:rsidR="00D64333" w:rsidRPr="00412620" w:rsidRDefault="00D64333">
      <w:pPr>
        <w:jc w:val="both"/>
        <w:rPr>
          <w:rFonts w:cs="Arial"/>
          <w:sz w:val="20"/>
        </w:rPr>
      </w:pPr>
    </w:p>
    <w:p w:rsidR="0029315D" w:rsidRPr="00412620" w:rsidRDefault="0029315D" w:rsidP="007F2E21">
      <w:pPr>
        <w:ind w:left="1094" w:firstLine="541"/>
        <w:jc w:val="both"/>
        <w:rPr>
          <w:rFonts w:cs="Arial"/>
          <w:sz w:val="20"/>
        </w:rPr>
      </w:pPr>
      <w:r w:rsidRPr="00412620">
        <w:rPr>
          <w:rFonts w:cs="Arial"/>
          <w:sz w:val="20"/>
        </w:rPr>
        <w:t xml:space="preserve">Provided that the Board may, by notification in the official Gazette, and subject to such limitations or conditions as may be specified therein, empower any Commissioner or </w:t>
      </w:r>
      <w:r w:rsidR="003F517A" w:rsidRPr="00412620">
        <w:rPr>
          <w:rStyle w:val="FootnoteReference"/>
          <w:rFonts w:cs="Arial"/>
          <w:sz w:val="20"/>
        </w:rPr>
        <w:footnoteReference w:id="1384"/>
      </w:r>
      <w:r w:rsidR="003F517A" w:rsidRPr="00412620">
        <w:rPr>
          <w:rFonts w:cs="Arial"/>
          <w:sz w:val="20"/>
        </w:rPr>
        <w:t>[Chief Commissioner]</w:t>
      </w:r>
      <w:r w:rsidRPr="00412620">
        <w:rPr>
          <w:rFonts w:cs="Arial"/>
          <w:sz w:val="20"/>
        </w:rPr>
        <w:t xml:space="preserve"> under this Ordinance to exercise the powers under this section in any case or class of cases.]</w:t>
      </w:r>
    </w:p>
    <w:p w:rsidR="00636BAE" w:rsidRPr="00412620" w:rsidRDefault="00636BAE">
      <w:pPr>
        <w:jc w:val="both"/>
        <w:rPr>
          <w:rFonts w:cs="Arial"/>
          <w:sz w:val="20"/>
        </w:rPr>
      </w:pPr>
    </w:p>
    <w:p w:rsidR="00636BAE" w:rsidRPr="00412620" w:rsidRDefault="00D24609">
      <w:pPr>
        <w:jc w:val="both"/>
        <w:rPr>
          <w:rFonts w:cs="Arial"/>
          <w:sz w:val="20"/>
        </w:rPr>
      </w:pPr>
      <w:r w:rsidRPr="00412620">
        <w:rPr>
          <w:rStyle w:val="FootnoteReference"/>
          <w:rFonts w:cs="Arial"/>
          <w:sz w:val="20"/>
        </w:rPr>
        <w:footnoteReference w:id="1385"/>
      </w:r>
      <w:r w:rsidR="00636BAE" w:rsidRPr="00412620">
        <w:rPr>
          <w:rFonts w:cs="Arial"/>
          <w:sz w:val="20"/>
        </w:rPr>
        <w:t>[</w:t>
      </w:r>
      <w:r w:rsidR="00636BAE" w:rsidRPr="00412620">
        <w:rPr>
          <w:rFonts w:cs="Arial"/>
          <w:b/>
          <w:sz w:val="20"/>
        </w:rPr>
        <w:t>214B. Power of the Board to call for record</w:t>
      </w:r>
      <w:r w:rsidR="00152686" w:rsidRPr="00412620">
        <w:rPr>
          <w:rFonts w:cs="Arial"/>
          <w:b/>
          <w:sz w:val="20"/>
        </w:rPr>
        <w:t>s</w:t>
      </w:r>
      <w:r w:rsidR="00636BAE" w:rsidRPr="00412620">
        <w:rPr>
          <w:rFonts w:cs="Arial"/>
          <w:b/>
          <w:sz w:val="20"/>
        </w:rPr>
        <w:t>.</w:t>
      </w:r>
      <w:r w:rsidR="00AD6B65" w:rsidRPr="00412620">
        <w:rPr>
          <w:rFonts w:cs="Arial"/>
          <w:sz w:val="20"/>
        </w:rPr>
        <w:t xml:space="preserve"> —</w:t>
      </w:r>
      <w:r w:rsidR="00636BAE" w:rsidRPr="00412620">
        <w:rPr>
          <w:rFonts w:cs="Arial"/>
          <w:sz w:val="20"/>
        </w:rPr>
        <w:t xml:space="preserve"> (1) The Board may, of its own motion, call for and examine the record of any departmental proceedings under this Ordinance or the rules made there-under for the purpose of satisfying itself as to the legality or propriety of any decision or order passed therein and may pass such order as it may think fit:</w:t>
      </w:r>
    </w:p>
    <w:p w:rsidR="007470C5" w:rsidRPr="00412620" w:rsidRDefault="007470C5">
      <w:pPr>
        <w:jc w:val="both"/>
        <w:rPr>
          <w:rFonts w:cs="Arial"/>
          <w:sz w:val="20"/>
        </w:rPr>
      </w:pPr>
    </w:p>
    <w:p w:rsidR="00181B3D" w:rsidRPr="00412620" w:rsidRDefault="007470C5" w:rsidP="000B02AA">
      <w:pPr>
        <w:ind w:left="1094" w:firstLine="541"/>
        <w:jc w:val="both"/>
        <w:rPr>
          <w:rFonts w:cs="Arial"/>
          <w:sz w:val="20"/>
        </w:rPr>
      </w:pPr>
      <w:r w:rsidRPr="00412620">
        <w:rPr>
          <w:rFonts w:cs="Arial"/>
          <w:sz w:val="20"/>
        </w:rPr>
        <w:t>Provided that no order imposing or enhancing any tax or penalty than the originally levied shall be passed unless the person affected by such order has been given</w:t>
      </w:r>
      <w:r w:rsidR="00E727CD" w:rsidRPr="00412620">
        <w:rPr>
          <w:rFonts w:cs="Arial"/>
          <w:sz w:val="20"/>
        </w:rPr>
        <w:t xml:space="preserve"> an </w:t>
      </w:r>
      <w:r w:rsidRPr="00412620">
        <w:rPr>
          <w:rFonts w:cs="Arial"/>
          <w:sz w:val="20"/>
        </w:rPr>
        <w:t>opportunity of showing cause and of being heard.</w:t>
      </w:r>
    </w:p>
    <w:p w:rsidR="00181B3D" w:rsidRPr="00412620" w:rsidRDefault="00181B3D">
      <w:pPr>
        <w:jc w:val="both"/>
        <w:rPr>
          <w:rFonts w:cs="Arial"/>
          <w:sz w:val="20"/>
        </w:rPr>
      </w:pPr>
    </w:p>
    <w:p w:rsidR="00181B3D" w:rsidRPr="00412620" w:rsidRDefault="00181B3D">
      <w:pPr>
        <w:jc w:val="both"/>
        <w:rPr>
          <w:rFonts w:cs="Arial"/>
          <w:sz w:val="20"/>
        </w:rPr>
      </w:pPr>
      <w:r w:rsidRPr="00412620">
        <w:rPr>
          <w:rFonts w:cs="Arial"/>
          <w:sz w:val="20"/>
        </w:rPr>
        <w:tab/>
        <w:t xml:space="preserve">(2) </w:t>
      </w:r>
      <w:r w:rsidRPr="00412620">
        <w:rPr>
          <w:rFonts w:cs="Arial"/>
          <w:sz w:val="20"/>
        </w:rPr>
        <w:tab/>
        <w:t>No proceedings under this section shall be initiated in a case where an appeal is pending.</w:t>
      </w:r>
    </w:p>
    <w:p w:rsidR="00181B3D" w:rsidRPr="00412620" w:rsidRDefault="00181B3D">
      <w:pPr>
        <w:jc w:val="both"/>
        <w:rPr>
          <w:rFonts w:cs="Arial"/>
          <w:sz w:val="20"/>
        </w:rPr>
      </w:pPr>
    </w:p>
    <w:p w:rsidR="007470C5" w:rsidRPr="00412620" w:rsidRDefault="00181B3D">
      <w:pPr>
        <w:jc w:val="both"/>
        <w:rPr>
          <w:rFonts w:cs="Arial"/>
          <w:sz w:val="20"/>
        </w:rPr>
      </w:pPr>
      <w:r w:rsidRPr="00412620">
        <w:rPr>
          <w:rFonts w:cs="Arial"/>
          <w:sz w:val="20"/>
        </w:rPr>
        <w:tab/>
        <w:t xml:space="preserve">(3) </w:t>
      </w:r>
      <w:r w:rsidRPr="00412620">
        <w:rPr>
          <w:rFonts w:cs="Arial"/>
          <w:sz w:val="20"/>
        </w:rPr>
        <w:tab/>
        <w:t xml:space="preserve">No order shall be made under this </w:t>
      </w:r>
      <w:r w:rsidR="00B3409D" w:rsidRPr="00412620">
        <w:rPr>
          <w:rFonts w:cs="Arial"/>
          <w:sz w:val="20"/>
        </w:rPr>
        <w:t>s</w:t>
      </w:r>
      <w:r w:rsidRPr="00412620">
        <w:rPr>
          <w:rFonts w:cs="Arial"/>
          <w:sz w:val="20"/>
        </w:rPr>
        <w:t>ection after the expiry of three years from the date of original decision or order.</w:t>
      </w:r>
      <w:r w:rsidR="009B6825" w:rsidRPr="00412620">
        <w:rPr>
          <w:rFonts w:cs="Arial"/>
          <w:sz w:val="20"/>
        </w:rPr>
        <w:t>]</w:t>
      </w:r>
    </w:p>
    <w:p w:rsidR="002D3BE1" w:rsidRPr="00412620" w:rsidRDefault="002D3BE1">
      <w:pPr>
        <w:jc w:val="both"/>
        <w:rPr>
          <w:rFonts w:cs="Arial"/>
          <w:sz w:val="20"/>
        </w:rPr>
      </w:pPr>
    </w:p>
    <w:p w:rsidR="005A2CBB" w:rsidRPr="00412620" w:rsidRDefault="00056BBC">
      <w:pPr>
        <w:jc w:val="both"/>
        <w:rPr>
          <w:rFonts w:cs="Arial"/>
          <w:sz w:val="20"/>
        </w:rPr>
      </w:pPr>
      <w:r w:rsidRPr="00412620">
        <w:rPr>
          <w:rStyle w:val="FootnoteReference"/>
          <w:rFonts w:cs="Arial"/>
          <w:sz w:val="20"/>
        </w:rPr>
        <w:footnoteReference w:id="1386"/>
      </w:r>
      <w:r w:rsidR="00AA23DD" w:rsidRPr="00412620">
        <w:rPr>
          <w:rFonts w:cs="Arial"/>
          <w:sz w:val="20"/>
        </w:rPr>
        <w:t>[</w:t>
      </w:r>
      <w:r w:rsidR="00AA23DD" w:rsidRPr="00412620">
        <w:rPr>
          <w:rFonts w:cs="Arial"/>
          <w:b/>
          <w:sz w:val="20"/>
        </w:rPr>
        <w:t>214C. Selection for audit by the Board.</w:t>
      </w:r>
      <w:r w:rsidR="005A2CBB" w:rsidRPr="00412620">
        <w:rPr>
          <w:rFonts w:cs="Arial"/>
          <w:b/>
          <w:sz w:val="20"/>
        </w:rPr>
        <w:t>—</w:t>
      </w:r>
      <w:r w:rsidR="005A2CBB" w:rsidRPr="00412620">
        <w:rPr>
          <w:rFonts w:cs="Arial"/>
          <w:sz w:val="20"/>
        </w:rPr>
        <w:t xml:space="preserve"> (1) The Board may select persons or classes of persons for audit of Income Tax affairs through computer ballot which may be random or parametric as the Board may deem fit.</w:t>
      </w:r>
    </w:p>
    <w:p w:rsidR="005A2CBB" w:rsidRPr="00412620" w:rsidRDefault="005A2CBB">
      <w:pPr>
        <w:jc w:val="both"/>
        <w:rPr>
          <w:rFonts w:cs="Arial"/>
          <w:sz w:val="20"/>
        </w:rPr>
      </w:pPr>
    </w:p>
    <w:p w:rsidR="00833831" w:rsidRPr="00412620" w:rsidRDefault="00833831">
      <w:pPr>
        <w:jc w:val="both"/>
        <w:rPr>
          <w:rFonts w:cs="Arial"/>
          <w:sz w:val="20"/>
        </w:rPr>
      </w:pPr>
      <w:r w:rsidRPr="00412620">
        <w:rPr>
          <w:rFonts w:cs="Arial"/>
          <w:sz w:val="20"/>
        </w:rPr>
        <w:tab/>
      </w:r>
      <w:r w:rsidR="001E28A5" w:rsidRPr="00412620">
        <w:rPr>
          <w:rStyle w:val="FootnoteReference"/>
          <w:rFonts w:cs="Arial"/>
          <w:sz w:val="20"/>
        </w:rPr>
        <w:footnoteReference w:id="1387"/>
      </w:r>
      <w:r w:rsidRPr="00412620">
        <w:rPr>
          <w:rFonts w:cs="Arial"/>
          <w:sz w:val="20"/>
        </w:rPr>
        <w:t>[(1A) Notwithstanding anything contained in this Ordinance or any other law, for the time being in force, the Board shall keep the parameters confidential.]</w:t>
      </w:r>
    </w:p>
    <w:p w:rsidR="00833831" w:rsidRPr="00412620" w:rsidRDefault="00833831">
      <w:pPr>
        <w:jc w:val="both"/>
        <w:rPr>
          <w:rFonts w:cs="Arial"/>
          <w:sz w:val="20"/>
        </w:rPr>
      </w:pPr>
    </w:p>
    <w:p w:rsidR="005A2CBB" w:rsidRPr="00412620" w:rsidRDefault="005A2CBB">
      <w:pPr>
        <w:jc w:val="both"/>
        <w:rPr>
          <w:rFonts w:cs="Arial"/>
          <w:sz w:val="20"/>
        </w:rPr>
      </w:pPr>
      <w:r w:rsidRPr="00412620">
        <w:rPr>
          <w:rFonts w:cs="Arial"/>
          <w:sz w:val="20"/>
        </w:rPr>
        <w:tab/>
        <w:t xml:space="preserve">(2) </w:t>
      </w:r>
      <w:r w:rsidRPr="00412620">
        <w:rPr>
          <w:rFonts w:cs="Arial"/>
          <w:sz w:val="20"/>
        </w:rPr>
        <w:tab/>
        <w:t>Audit of Income Tax affairs of persons selected under sub-section (1) shall be conducted as per procedure given in section 177 and all the provisions of the Ordinance, except the first proviso to sub-section (1) of section 177, shall apply accordingly.</w:t>
      </w:r>
    </w:p>
    <w:p w:rsidR="005A2CBB" w:rsidRPr="00412620" w:rsidRDefault="005A2CBB">
      <w:pPr>
        <w:jc w:val="both"/>
        <w:rPr>
          <w:rFonts w:cs="Arial"/>
          <w:sz w:val="20"/>
        </w:rPr>
      </w:pPr>
    </w:p>
    <w:p w:rsidR="006A3F93" w:rsidRPr="00412620" w:rsidRDefault="005A2CBB">
      <w:pPr>
        <w:jc w:val="both"/>
        <w:rPr>
          <w:rFonts w:cs="Arial"/>
          <w:sz w:val="20"/>
        </w:rPr>
      </w:pPr>
      <w:r w:rsidRPr="00412620">
        <w:rPr>
          <w:rFonts w:cs="Arial"/>
          <w:sz w:val="20"/>
        </w:rPr>
        <w:tab/>
        <w:t xml:space="preserve">(3) </w:t>
      </w:r>
      <w:r w:rsidRPr="00412620">
        <w:rPr>
          <w:rFonts w:cs="Arial"/>
          <w:sz w:val="20"/>
        </w:rPr>
        <w:tab/>
        <w:t>For the removal of doubt</w:t>
      </w:r>
      <w:r w:rsidR="006A3F93" w:rsidRPr="00412620">
        <w:rPr>
          <w:rFonts w:cs="Arial"/>
          <w:sz w:val="20"/>
        </w:rPr>
        <w:tab/>
      </w:r>
      <w:r w:rsidRPr="00412620">
        <w:rPr>
          <w:rFonts w:cs="Arial"/>
          <w:sz w:val="20"/>
        </w:rPr>
        <w:t xml:space="preserve"> it is hereby declared that Board shall be deemed always to have had the power to select any persons or classes of persons for audit of Income Tax affairs.]</w:t>
      </w:r>
    </w:p>
    <w:p w:rsidR="006A3F93" w:rsidRPr="00412620" w:rsidRDefault="006A3F93">
      <w:pPr>
        <w:jc w:val="both"/>
        <w:rPr>
          <w:rFonts w:cs="Arial"/>
          <w:sz w:val="20"/>
        </w:rPr>
      </w:pPr>
    </w:p>
    <w:p w:rsidR="001E28A5" w:rsidRDefault="006F5878" w:rsidP="001E28A5">
      <w:pPr>
        <w:ind w:left="1094" w:firstLine="1"/>
        <w:jc w:val="both"/>
        <w:rPr>
          <w:rFonts w:cs="Arial"/>
          <w:sz w:val="20"/>
        </w:rPr>
      </w:pPr>
      <w:r w:rsidRPr="00412620">
        <w:rPr>
          <w:rStyle w:val="FootnoteReference"/>
          <w:rFonts w:cs="Arial"/>
          <w:sz w:val="20"/>
        </w:rPr>
        <w:footnoteReference w:id="1388"/>
      </w:r>
      <w:r w:rsidR="001E28A5" w:rsidRPr="00412620">
        <w:rPr>
          <w:rFonts w:cs="Arial"/>
          <w:sz w:val="20"/>
        </w:rPr>
        <w:t>[</w:t>
      </w:r>
      <w:r w:rsidR="001E28A5" w:rsidRPr="00412620">
        <w:rPr>
          <w:rFonts w:cs="Arial"/>
          <w:b/>
          <w:i/>
          <w:sz w:val="20"/>
        </w:rPr>
        <w:t>Explanation.</w:t>
      </w:r>
      <w:r w:rsidR="001E28A5" w:rsidRPr="00412620">
        <w:rPr>
          <w:rFonts w:cs="Arial"/>
          <w:sz w:val="20"/>
        </w:rPr>
        <w:t>— For the removal of doubt, it is declared that the powers of the Commissioner under section 177 are independent of the pow</w:t>
      </w:r>
      <w:r w:rsidRPr="00412620">
        <w:rPr>
          <w:rFonts w:cs="Arial"/>
          <w:sz w:val="20"/>
        </w:rPr>
        <w:t>e</w:t>
      </w:r>
      <w:r w:rsidR="001E28A5" w:rsidRPr="00412620">
        <w:rPr>
          <w:rFonts w:cs="Arial"/>
          <w:sz w:val="20"/>
        </w:rPr>
        <w:t>rs of the Board under this section and nothing contained in this section restricts the powers of the Commissioner to call for the record or documents including books of accounts of a taxpayer for audit and to conduct audit under section 177.]</w:t>
      </w:r>
    </w:p>
    <w:p w:rsidR="001A1EB0" w:rsidRDefault="001A1EB0" w:rsidP="001A1EB0">
      <w:pPr>
        <w:jc w:val="both"/>
        <w:rPr>
          <w:rFonts w:cs="Arial"/>
          <w:sz w:val="20"/>
        </w:rPr>
      </w:pPr>
    </w:p>
    <w:p w:rsidR="001A1EB0" w:rsidRPr="006143A3" w:rsidRDefault="00644043" w:rsidP="001A2DE1">
      <w:pPr>
        <w:autoSpaceDE w:val="0"/>
        <w:autoSpaceDN w:val="0"/>
        <w:adjustRightInd w:val="0"/>
        <w:jc w:val="both"/>
        <w:rPr>
          <w:rFonts w:cs="Arial"/>
          <w:color w:val="000000" w:themeColor="text1"/>
          <w:sz w:val="20"/>
          <w:lang w:val="en-US"/>
        </w:rPr>
      </w:pPr>
      <w:r w:rsidRPr="006143A3">
        <w:rPr>
          <w:rStyle w:val="FootnoteReference"/>
          <w:rFonts w:cs="Arial"/>
          <w:color w:val="000000" w:themeColor="text1"/>
          <w:sz w:val="20"/>
          <w:lang w:val="en-US"/>
        </w:rPr>
        <w:footnoteReference w:id="1389"/>
      </w:r>
      <w:r w:rsidR="00E87031" w:rsidRPr="006143A3">
        <w:rPr>
          <w:rFonts w:cs="Arial"/>
          <w:color w:val="000000" w:themeColor="text1"/>
          <w:sz w:val="20"/>
          <w:lang w:val="en-US"/>
        </w:rPr>
        <w:t>[</w:t>
      </w:r>
      <w:r w:rsidR="001A1EB0" w:rsidRPr="006143A3">
        <w:rPr>
          <w:rFonts w:cs="Arial"/>
          <w:color w:val="000000" w:themeColor="text1"/>
          <w:sz w:val="20"/>
          <w:lang w:val="en-US"/>
        </w:rPr>
        <w:t>“</w:t>
      </w:r>
      <w:r w:rsidR="001A1EB0" w:rsidRPr="006143A3">
        <w:rPr>
          <w:rFonts w:cs="Arial"/>
          <w:b/>
          <w:bCs/>
          <w:color w:val="000000" w:themeColor="text1"/>
          <w:sz w:val="20"/>
          <w:lang w:val="en-US"/>
        </w:rPr>
        <w:t>214D. Automatic selection for audit.</w:t>
      </w:r>
      <w:r w:rsidR="001A1EB0" w:rsidRPr="006143A3">
        <w:rPr>
          <w:rFonts w:ascii="Arial,Bold" w:hAnsi="Arial,Bold" w:cs="Arial,Bold"/>
          <w:b/>
          <w:bCs/>
          <w:color w:val="000000" w:themeColor="text1"/>
          <w:sz w:val="20"/>
          <w:lang w:val="en-US"/>
        </w:rPr>
        <w:t>—</w:t>
      </w:r>
      <w:r w:rsidR="001A1EB0" w:rsidRPr="006143A3">
        <w:rPr>
          <w:rFonts w:cs="Arial"/>
          <w:color w:val="000000" w:themeColor="text1"/>
          <w:sz w:val="20"/>
          <w:lang w:val="en-US"/>
        </w:rPr>
        <w:t>(1) A person shall be</w:t>
      </w:r>
      <w:r w:rsidR="007E0B62" w:rsidRPr="006143A3">
        <w:rPr>
          <w:rFonts w:cs="Arial"/>
          <w:color w:val="000000" w:themeColor="text1"/>
          <w:sz w:val="20"/>
          <w:lang w:val="en-US"/>
        </w:rPr>
        <w:t xml:space="preserve"> </w:t>
      </w:r>
      <w:r w:rsidR="001A1EB0" w:rsidRPr="006143A3">
        <w:rPr>
          <w:rFonts w:cs="Arial"/>
          <w:color w:val="000000" w:themeColor="text1"/>
          <w:sz w:val="20"/>
          <w:lang w:val="en-US"/>
        </w:rPr>
        <w:t>automatically selected for audit of its income tax affairs for a tax</w:t>
      </w:r>
      <w:r w:rsidR="007E0B62" w:rsidRPr="006143A3">
        <w:rPr>
          <w:rFonts w:cs="Arial"/>
          <w:color w:val="000000" w:themeColor="text1"/>
          <w:sz w:val="20"/>
          <w:lang w:val="en-US"/>
        </w:rPr>
        <w:t xml:space="preserve"> </w:t>
      </w:r>
      <w:r w:rsidR="001A1EB0" w:rsidRPr="006143A3">
        <w:rPr>
          <w:rFonts w:cs="Arial"/>
          <w:color w:val="000000" w:themeColor="text1"/>
          <w:sz w:val="20"/>
          <w:lang w:val="en-US"/>
        </w:rPr>
        <w:t>year, if—</w:t>
      </w:r>
    </w:p>
    <w:p w:rsidR="001A2DE1" w:rsidRPr="006143A3" w:rsidRDefault="001A2DE1" w:rsidP="001A2DE1">
      <w:pPr>
        <w:autoSpaceDE w:val="0"/>
        <w:autoSpaceDN w:val="0"/>
        <w:adjustRightInd w:val="0"/>
        <w:jc w:val="both"/>
        <w:rPr>
          <w:rFonts w:cs="Arial"/>
          <w:color w:val="000000" w:themeColor="text1"/>
          <w:sz w:val="20"/>
          <w:lang w:val="en-US"/>
        </w:rPr>
      </w:pPr>
    </w:p>
    <w:p w:rsidR="001A1EB0" w:rsidRPr="006143A3" w:rsidRDefault="001A1EB0" w:rsidP="004C0FA0">
      <w:pPr>
        <w:pStyle w:val="ListParagraph"/>
        <w:numPr>
          <w:ilvl w:val="0"/>
          <w:numId w:val="56"/>
        </w:numPr>
        <w:autoSpaceDE w:val="0"/>
        <w:autoSpaceDN w:val="0"/>
        <w:adjustRightInd w:val="0"/>
        <w:jc w:val="both"/>
        <w:rPr>
          <w:rFonts w:cs="Arial"/>
          <w:color w:val="000000" w:themeColor="text1"/>
          <w:sz w:val="20"/>
          <w:lang w:val="en-US"/>
        </w:rPr>
      </w:pPr>
      <w:r w:rsidRPr="006143A3">
        <w:rPr>
          <w:rFonts w:cs="Arial"/>
          <w:color w:val="000000" w:themeColor="text1"/>
          <w:sz w:val="20"/>
          <w:lang w:val="en-US"/>
        </w:rPr>
        <w:t>the return is not filed within the date it is required to</w:t>
      </w:r>
      <w:r w:rsidR="007E0B62" w:rsidRPr="006143A3">
        <w:rPr>
          <w:rFonts w:cs="Arial"/>
          <w:color w:val="000000" w:themeColor="text1"/>
          <w:sz w:val="20"/>
          <w:lang w:val="en-US"/>
        </w:rPr>
        <w:t xml:space="preserve"> </w:t>
      </w:r>
      <w:r w:rsidRPr="006143A3">
        <w:rPr>
          <w:rFonts w:cs="Arial"/>
          <w:color w:val="000000" w:themeColor="text1"/>
          <w:sz w:val="20"/>
          <w:lang w:val="en-US"/>
        </w:rPr>
        <w:t>be filed as specified in section 118, or, as the case</w:t>
      </w:r>
      <w:r w:rsidR="007E0B62" w:rsidRPr="006143A3">
        <w:rPr>
          <w:rFonts w:cs="Arial"/>
          <w:color w:val="000000" w:themeColor="text1"/>
          <w:sz w:val="20"/>
          <w:lang w:val="en-US"/>
        </w:rPr>
        <w:t xml:space="preserve"> </w:t>
      </w:r>
      <w:r w:rsidRPr="006143A3">
        <w:rPr>
          <w:rFonts w:cs="Arial"/>
          <w:color w:val="000000" w:themeColor="text1"/>
          <w:sz w:val="20"/>
          <w:lang w:val="en-US"/>
        </w:rPr>
        <w:t>may be, not filed within the time extended by the</w:t>
      </w:r>
      <w:r w:rsidR="007E0B62" w:rsidRPr="006143A3">
        <w:rPr>
          <w:rFonts w:cs="Arial"/>
          <w:color w:val="000000" w:themeColor="text1"/>
          <w:sz w:val="20"/>
          <w:lang w:val="en-US"/>
        </w:rPr>
        <w:t xml:space="preserve"> </w:t>
      </w:r>
      <w:r w:rsidRPr="006143A3">
        <w:rPr>
          <w:rFonts w:cs="Arial"/>
          <w:color w:val="000000" w:themeColor="text1"/>
          <w:sz w:val="20"/>
          <w:lang w:val="en-US"/>
        </w:rPr>
        <w:t>Board under section 214A or further extended</w:t>
      </w:r>
      <w:r w:rsidRPr="00644043">
        <w:rPr>
          <w:rFonts w:cs="Arial"/>
          <w:color w:val="984806" w:themeColor="accent6" w:themeShade="80"/>
          <w:sz w:val="20"/>
          <w:lang w:val="en-US"/>
        </w:rPr>
        <w:t xml:space="preserve"> </w:t>
      </w:r>
      <w:r w:rsidRPr="006143A3">
        <w:rPr>
          <w:rFonts w:cs="Arial"/>
          <w:color w:val="000000" w:themeColor="text1"/>
          <w:sz w:val="20"/>
          <w:lang w:val="en-US"/>
        </w:rPr>
        <w:lastRenderedPageBreak/>
        <w:t>for a</w:t>
      </w:r>
      <w:r w:rsidR="007E0B62" w:rsidRPr="006143A3">
        <w:rPr>
          <w:rFonts w:cs="Arial"/>
          <w:color w:val="000000" w:themeColor="text1"/>
          <w:sz w:val="20"/>
          <w:lang w:val="en-US"/>
        </w:rPr>
        <w:t xml:space="preserve"> </w:t>
      </w:r>
      <w:r w:rsidRPr="006143A3">
        <w:rPr>
          <w:rFonts w:cs="Arial"/>
          <w:color w:val="000000" w:themeColor="text1"/>
          <w:sz w:val="20"/>
          <w:lang w:val="en-US"/>
        </w:rPr>
        <w:t>period not exceeding thirty days by the Commissioner</w:t>
      </w:r>
      <w:r w:rsidR="007E0B62" w:rsidRPr="006143A3">
        <w:rPr>
          <w:rFonts w:cs="Arial"/>
          <w:color w:val="000000" w:themeColor="text1"/>
          <w:sz w:val="20"/>
          <w:lang w:val="en-US"/>
        </w:rPr>
        <w:t xml:space="preserve"> </w:t>
      </w:r>
      <w:r w:rsidRPr="006143A3">
        <w:rPr>
          <w:rFonts w:cs="Arial"/>
          <w:color w:val="000000" w:themeColor="text1"/>
          <w:sz w:val="20"/>
          <w:lang w:val="en-US"/>
        </w:rPr>
        <w:t>under section 119; or</w:t>
      </w:r>
    </w:p>
    <w:p w:rsidR="001A2DE1" w:rsidRPr="006143A3" w:rsidRDefault="001A2DE1" w:rsidP="001A2DE1">
      <w:pPr>
        <w:autoSpaceDE w:val="0"/>
        <w:autoSpaceDN w:val="0"/>
        <w:adjustRightInd w:val="0"/>
        <w:jc w:val="both"/>
        <w:rPr>
          <w:rFonts w:cs="Arial"/>
          <w:color w:val="000000" w:themeColor="text1"/>
          <w:sz w:val="20"/>
          <w:lang w:val="en-US"/>
        </w:rPr>
      </w:pPr>
    </w:p>
    <w:p w:rsidR="001A1EB0" w:rsidRPr="006143A3" w:rsidRDefault="001A1EB0" w:rsidP="004C0FA0">
      <w:pPr>
        <w:pStyle w:val="ListParagraph"/>
        <w:numPr>
          <w:ilvl w:val="0"/>
          <w:numId w:val="56"/>
        </w:numPr>
        <w:autoSpaceDE w:val="0"/>
        <w:autoSpaceDN w:val="0"/>
        <w:adjustRightInd w:val="0"/>
        <w:jc w:val="both"/>
        <w:rPr>
          <w:rFonts w:cs="Arial"/>
          <w:color w:val="000000" w:themeColor="text1"/>
          <w:sz w:val="20"/>
          <w:lang w:val="en-US"/>
        </w:rPr>
      </w:pPr>
      <w:r w:rsidRPr="006143A3">
        <w:rPr>
          <w:rFonts w:cs="Arial"/>
          <w:color w:val="000000" w:themeColor="text1"/>
          <w:sz w:val="20"/>
          <w:lang w:val="en-US"/>
        </w:rPr>
        <w:t>the tax payable under sub-section (1) of section 137has not been paid.</w:t>
      </w:r>
    </w:p>
    <w:p w:rsidR="00C65585" w:rsidRPr="00644043" w:rsidRDefault="00C65585" w:rsidP="00C65585">
      <w:pPr>
        <w:pStyle w:val="ListParagraph"/>
        <w:rPr>
          <w:rFonts w:cs="Arial"/>
          <w:color w:val="984806" w:themeColor="accent6" w:themeShade="80"/>
          <w:sz w:val="20"/>
          <w:lang w:val="en-US"/>
        </w:rPr>
      </w:pPr>
    </w:p>
    <w:p w:rsidR="001A1EB0" w:rsidRPr="006143A3" w:rsidRDefault="001A1EB0" w:rsidP="00C65585">
      <w:pPr>
        <w:autoSpaceDE w:val="0"/>
        <w:autoSpaceDN w:val="0"/>
        <w:adjustRightInd w:val="0"/>
        <w:ind w:firstLine="547"/>
        <w:jc w:val="both"/>
        <w:rPr>
          <w:rFonts w:cs="Arial"/>
          <w:color w:val="000000" w:themeColor="text1"/>
          <w:sz w:val="20"/>
          <w:lang w:val="en-US"/>
        </w:rPr>
      </w:pPr>
      <w:r w:rsidRPr="006143A3">
        <w:rPr>
          <w:rFonts w:cs="Arial"/>
          <w:color w:val="000000" w:themeColor="text1"/>
          <w:sz w:val="20"/>
          <w:lang w:val="en-US"/>
        </w:rPr>
        <w:t>(2) Audit of income tax affairs of persons automatically</w:t>
      </w:r>
      <w:r w:rsidR="007E0B62" w:rsidRPr="006143A3">
        <w:rPr>
          <w:rFonts w:cs="Arial"/>
          <w:color w:val="000000" w:themeColor="text1"/>
          <w:sz w:val="20"/>
          <w:lang w:val="en-US"/>
        </w:rPr>
        <w:t xml:space="preserve"> </w:t>
      </w:r>
      <w:r w:rsidRPr="006143A3">
        <w:rPr>
          <w:rFonts w:cs="Arial"/>
          <w:color w:val="000000" w:themeColor="text1"/>
          <w:sz w:val="20"/>
          <w:lang w:val="en-US"/>
        </w:rPr>
        <w:t>selected under sub-section (1) shall be conducted as per procedure</w:t>
      </w:r>
      <w:r w:rsidR="007E0B62" w:rsidRPr="006143A3">
        <w:rPr>
          <w:rFonts w:cs="Arial"/>
          <w:color w:val="000000" w:themeColor="text1"/>
          <w:sz w:val="20"/>
          <w:lang w:val="en-US"/>
        </w:rPr>
        <w:t xml:space="preserve"> </w:t>
      </w:r>
      <w:r w:rsidRPr="006143A3">
        <w:rPr>
          <w:rFonts w:cs="Arial"/>
          <w:color w:val="000000" w:themeColor="text1"/>
          <w:sz w:val="20"/>
          <w:lang w:val="en-US"/>
        </w:rPr>
        <w:t>given in section 177 and all the provisions of this Ordinance shall</w:t>
      </w:r>
      <w:r w:rsidR="007E0B62" w:rsidRPr="006143A3">
        <w:rPr>
          <w:rFonts w:cs="Arial"/>
          <w:color w:val="000000" w:themeColor="text1"/>
          <w:sz w:val="20"/>
          <w:lang w:val="en-US"/>
        </w:rPr>
        <w:t xml:space="preserve"> </w:t>
      </w:r>
      <w:r w:rsidRPr="006143A3">
        <w:rPr>
          <w:rFonts w:cs="Arial"/>
          <w:color w:val="000000" w:themeColor="text1"/>
          <w:sz w:val="20"/>
          <w:lang w:val="en-US"/>
        </w:rPr>
        <w:t>apply accordingly:</w:t>
      </w:r>
    </w:p>
    <w:p w:rsidR="00C65585" w:rsidRPr="006143A3" w:rsidRDefault="00C65585" w:rsidP="00C65585">
      <w:pPr>
        <w:autoSpaceDE w:val="0"/>
        <w:autoSpaceDN w:val="0"/>
        <w:adjustRightInd w:val="0"/>
        <w:ind w:firstLine="547"/>
        <w:jc w:val="both"/>
        <w:rPr>
          <w:rFonts w:cs="Arial"/>
          <w:color w:val="000000" w:themeColor="text1"/>
          <w:sz w:val="20"/>
          <w:lang w:val="en-US"/>
        </w:rPr>
      </w:pPr>
    </w:p>
    <w:p w:rsidR="001A1EB0" w:rsidRPr="006143A3" w:rsidRDefault="001A1EB0" w:rsidP="00C65585">
      <w:pPr>
        <w:autoSpaceDE w:val="0"/>
        <w:autoSpaceDN w:val="0"/>
        <w:adjustRightInd w:val="0"/>
        <w:ind w:left="1094" w:firstLine="547"/>
        <w:jc w:val="both"/>
        <w:rPr>
          <w:rFonts w:cs="Arial"/>
          <w:color w:val="000000" w:themeColor="text1"/>
          <w:sz w:val="20"/>
          <w:lang w:val="en-US"/>
        </w:rPr>
      </w:pPr>
      <w:r w:rsidRPr="006143A3">
        <w:rPr>
          <w:rFonts w:cs="Arial"/>
          <w:color w:val="000000" w:themeColor="text1"/>
          <w:sz w:val="20"/>
          <w:lang w:val="en-US"/>
        </w:rPr>
        <w:t>Provided that audit proceedings shall only be initiated after the</w:t>
      </w:r>
      <w:r w:rsidR="007E0B62" w:rsidRPr="006143A3">
        <w:rPr>
          <w:rFonts w:cs="Arial"/>
          <w:color w:val="000000" w:themeColor="text1"/>
          <w:sz w:val="20"/>
          <w:lang w:val="en-US"/>
        </w:rPr>
        <w:t xml:space="preserve"> </w:t>
      </w:r>
      <w:r w:rsidRPr="006143A3">
        <w:rPr>
          <w:rFonts w:cs="Arial"/>
          <w:color w:val="000000" w:themeColor="text1"/>
          <w:sz w:val="20"/>
          <w:lang w:val="en-US"/>
        </w:rPr>
        <w:t>expiry of ninety days from the date as mentioned in sub-section (1).</w:t>
      </w:r>
    </w:p>
    <w:p w:rsidR="00C65585" w:rsidRPr="006143A3" w:rsidRDefault="00C65585" w:rsidP="00C65585">
      <w:pPr>
        <w:autoSpaceDE w:val="0"/>
        <w:autoSpaceDN w:val="0"/>
        <w:adjustRightInd w:val="0"/>
        <w:ind w:left="547" w:firstLine="547"/>
        <w:jc w:val="both"/>
        <w:rPr>
          <w:rFonts w:cs="Arial"/>
          <w:color w:val="000000" w:themeColor="text1"/>
          <w:sz w:val="20"/>
          <w:lang w:val="en-US"/>
        </w:rPr>
      </w:pPr>
    </w:p>
    <w:p w:rsidR="001A1EB0" w:rsidRPr="006143A3" w:rsidRDefault="001A1EB0" w:rsidP="00C65585">
      <w:pPr>
        <w:autoSpaceDE w:val="0"/>
        <w:autoSpaceDN w:val="0"/>
        <w:adjustRightInd w:val="0"/>
        <w:ind w:firstLine="547"/>
        <w:jc w:val="both"/>
        <w:rPr>
          <w:rFonts w:cs="Arial"/>
          <w:color w:val="000000" w:themeColor="text1"/>
          <w:sz w:val="20"/>
          <w:lang w:val="en-US"/>
        </w:rPr>
      </w:pPr>
      <w:r w:rsidRPr="006143A3">
        <w:rPr>
          <w:rFonts w:cs="Arial"/>
          <w:color w:val="000000" w:themeColor="text1"/>
          <w:sz w:val="20"/>
          <w:lang w:val="en-US"/>
        </w:rPr>
        <w:t>(3) Subject to section 182, 205 and 214C, sub-section (1) shall</w:t>
      </w:r>
      <w:r w:rsidR="007E0B62" w:rsidRPr="006143A3">
        <w:rPr>
          <w:rFonts w:cs="Arial"/>
          <w:color w:val="000000" w:themeColor="text1"/>
          <w:sz w:val="20"/>
          <w:lang w:val="en-US"/>
        </w:rPr>
        <w:t xml:space="preserve"> </w:t>
      </w:r>
      <w:r w:rsidRPr="006143A3">
        <w:rPr>
          <w:rFonts w:cs="Arial"/>
          <w:color w:val="000000" w:themeColor="text1"/>
          <w:sz w:val="20"/>
          <w:lang w:val="en-US"/>
        </w:rPr>
        <w:t>not apply if the person files the return within ninety days from the</w:t>
      </w:r>
      <w:r w:rsidR="007E0B62" w:rsidRPr="006143A3">
        <w:rPr>
          <w:rFonts w:cs="Arial"/>
          <w:color w:val="000000" w:themeColor="text1"/>
          <w:sz w:val="20"/>
          <w:lang w:val="en-US"/>
        </w:rPr>
        <w:t xml:space="preserve"> </w:t>
      </w:r>
      <w:r w:rsidRPr="006143A3">
        <w:rPr>
          <w:rFonts w:cs="Arial"/>
          <w:color w:val="000000" w:themeColor="text1"/>
          <w:sz w:val="20"/>
          <w:lang w:val="en-US"/>
        </w:rPr>
        <w:t>date as mentioned in sub-section (1) and—</w:t>
      </w:r>
    </w:p>
    <w:p w:rsidR="00C65585" w:rsidRPr="006143A3" w:rsidRDefault="00C65585" w:rsidP="00C65585">
      <w:pPr>
        <w:autoSpaceDE w:val="0"/>
        <w:autoSpaceDN w:val="0"/>
        <w:adjustRightInd w:val="0"/>
        <w:ind w:firstLine="547"/>
        <w:jc w:val="both"/>
        <w:rPr>
          <w:rFonts w:cs="Arial"/>
          <w:color w:val="000000" w:themeColor="text1"/>
          <w:sz w:val="20"/>
          <w:lang w:val="en-US"/>
        </w:rPr>
      </w:pPr>
    </w:p>
    <w:p w:rsidR="001A1EB0" w:rsidRPr="006143A3" w:rsidRDefault="001A1EB0" w:rsidP="004C0FA0">
      <w:pPr>
        <w:pStyle w:val="ListParagraph"/>
        <w:numPr>
          <w:ilvl w:val="0"/>
          <w:numId w:val="57"/>
        </w:numPr>
        <w:autoSpaceDE w:val="0"/>
        <w:autoSpaceDN w:val="0"/>
        <w:adjustRightInd w:val="0"/>
        <w:jc w:val="both"/>
        <w:rPr>
          <w:rFonts w:cs="Arial"/>
          <w:color w:val="000000" w:themeColor="text1"/>
          <w:sz w:val="20"/>
          <w:lang w:val="en-US"/>
        </w:rPr>
      </w:pPr>
      <w:r w:rsidRPr="006143A3">
        <w:rPr>
          <w:rFonts w:cs="Arial"/>
          <w:color w:val="000000" w:themeColor="text1"/>
          <w:sz w:val="20"/>
          <w:lang w:val="en-US"/>
        </w:rPr>
        <w:t>twenty-five percent higher tax, than the tax paid during</w:t>
      </w:r>
      <w:r w:rsidR="007E0B62" w:rsidRPr="006143A3">
        <w:rPr>
          <w:rFonts w:cs="Arial"/>
          <w:color w:val="000000" w:themeColor="text1"/>
          <w:sz w:val="20"/>
          <w:lang w:val="en-US"/>
        </w:rPr>
        <w:t xml:space="preserve"> </w:t>
      </w:r>
      <w:r w:rsidRPr="006143A3">
        <w:rPr>
          <w:rFonts w:cs="Arial"/>
          <w:color w:val="000000" w:themeColor="text1"/>
          <w:sz w:val="20"/>
          <w:lang w:val="en-US"/>
        </w:rPr>
        <w:t>immediately preceding tax year, has been paid by a</w:t>
      </w:r>
      <w:r w:rsidR="007E0B62" w:rsidRPr="006143A3">
        <w:rPr>
          <w:rFonts w:cs="Arial"/>
          <w:color w:val="000000" w:themeColor="text1"/>
          <w:sz w:val="20"/>
          <w:lang w:val="en-US"/>
        </w:rPr>
        <w:t xml:space="preserve"> </w:t>
      </w:r>
      <w:r w:rsidRPr="006143A3">
        <w:rPr>
          <w:rFonts w:cs="Arial"/>
          <w:color w:val="000000" w:themeColor="text1"/>
          <w:sz w:val="20"/>
          <w:lang w:val="en-US"/>
        </w:rPr>
        <w:t>person on the basis of taxable income and had</w:t>
      </w:r>
      <w:r w:rsidR="007E0B62" w:rsidRPr="006143A3">
        <w:rPr>
          <w:rFonts w:cs="Arial"/>
          <w:color w:val="000000" w:themeColor="text1"/>
          <w:sz w:val="20"/>
          <w:lang w:val="en-US"/>
        </w:rPr>
        <w:t xml:space="preserve"> </w:t>
      </w:r>
      <w:r w:rsidRPr="006143A3">
        <w:rPr>
          <w:rFonts w:cs="Arial"/>
          <w:color w:val="000000" w:themeColor="text1"/>
          <w:sz w:val="20"/>
          <w:lang w:val="en-US"/>
        </w:rPr>
        <w:t>declared taxable income in the return for immediately</w:t>
      </w:r>
      <w:r w:rsidR="007E0B62" w:rsidRPr="006143A3">
        <w:rPr>
          <w:rFonts w:cs="Arial"/>
          <w:color w:val="000000" w:themeColor="text1"/>
          <w:sz w:val="20"/>
          <w:lang w:val="en-US"/>
        </w:rPr>
        <w:t xml:space="preserve"> </w:t>
      </w:r>
      <w:r w:rsidRPr="006143A3">
        <w:rPr>
          <w:rFonts w:cs="Arial"/>
          <w:color w:val="000000" w:themeColor="text1"/>
          <w:sz w:val="20"/>
          <w:lang w:val="en-US"/>
        </w:rPr>
        <w:t>preceding tax year; or</w:t>
      </w:r>
    </w:p>
    <w:p w:rsidR="00C65585" w:rsidRPr="006143A3" w:rsidRDefault="00C65585" w:rsidP="00C65585">
      <w:pPr>
        <w:pStyle w:val="ListParagraph"/>
        <w:autoSpaceDE w:val="0"/>
        <w:autoSpaceDN w:val="0"/>
        <w:adjustRightInd w:val="0"/>
        <w:ind w:left="1170"/>
        <w:jc w:val="both"/>
        <w:rPr>
          <w:rFonts w:cs="Arial"/>
          <w:color w:val="000000" w:themeColor="text1"/>
          <w:sz w:val="20"/>
          <w:lang w:val="en-US"/>
        </w:rPr>
      </w:pPr>
    </w:p>
    <w:p w:rsidR="001A1EB0" w:rsidRPr="006143A3" w:rsidRDefault="001A1EB0" w:rsidP="004C0FA0">
      <w:pPr>
        <w:pStyle w:val="ListParagraph"/>
        <w:numPr>
          <w:ilvl w:val="0"/>
          <w:numId w:val="57"/>
        </w:numPr>
        <w:autoSpaceDE w:val="0"/>
        <w:autoSpaceDN w:val="0"/>
        <w:adjustRightInd w:val="0"/>
        <w:jc w:val="both"/>
        <w:rPr>
          <w:rFonts w:cs="Arial"/>
          <w:color w:val="000000" w:themeColor="text1"/>
          <w:sz w:val="20"/>
          <w:lang w:val="en-US"/>
        </w:rPr>
      </w:pPr>
      <w:r w:rsidRPr="006143A3">
        <w:rPr>
          <w:rFonts w:cs="Arial"/>
          <w:color w:val="000000" w:themeColor="text1"/>
          <w:sz w:val="20"/>
          <w:lang w:val="en-US"/>
        </w:rPr>
        <w:t>tax at the rate of two percent of the turnover or the tax</w:t>
      </w:r>
      <w:r w:rsidR="007E0B62" w:rsidRPr="006143A3">
        <w:rPr>
          <w:rFonts w:cs="Arial"/>
          <w:color w:val="000000" w:themeColor="text1"/>
          <w:sz w:val="20"/>
          <w:lang w:val="en-US"/>
        </w:rPr>
        <w:t xml:space="preserve"> </w:t>
      </w:r>
      <w:r w:rsidRPr="006143A3">
        <w:rPr>
          <w:rFonts w:cs="Arial"/>
          <w:color w:val="000000" w:themeColor="text1"/>
          <w:sz w:val="20"/>
          <w:lang w:val="en-US"/>
        </w:rPr>
        <w:t>payable under Part I of the First Schedule, whichever</w:t>
      </w:r>
      <w:r w:rsidR="007E0B62" w:rsidRPr="006143A3">
        <w:rPr>
          <w:rFonts w:cs="Arial"/>
          <w:color w:val="000000" w:themeColor="text1"/>
          <w:sz w:val="20"/>
          <w:lang w:val="en-US"/>
        </w:rPr>
        <w:t xml:space="preserve"> </w:t>
      </w:r>
      <w:r w:rsidRPr="006143A3">
        <w:rPr>
          <w:rFonts w:cs="Arial"/>
          <w:color w:val="000000" w:themeColor="text1"/>
          <w:sz w:val="20"/>
          <w:lang w:val="en-US"/>
        </w:rPr>
        <w:t>is higher, has been paid by a person alongwith the</w:t>
      </w:r>
      <w:r w:rsidR="007E0B62" w:rsidRPr="006143A3">
        <w:rPr>
          <w:rFonts w:cs="Arial"/>
          <w:color w:val="000000" w:themeColor="text1"/>
          <w:sz w:val="20"/>
          <w:lang w:val="en-US"/>
        </w:rPr>
        <w:t xml:space="preserve"> </w:t>
      </w:r>
      <w:r w:rsidRPr="006143A3">
        <w:rPr>
          <w:rFonts w:cs="Arial"/>
          <w:color w:val="000000" w:themeColor="text1"/>
          <w:sz w:val="20"/>
          <w:lang w:val="en-US"/>
        </w:rPr>
        <w:t>return and in the immediately preceding tax year has</w:t>
      </w:r>
      <w:r w:rsidR="007E0B62" w:rsidRPr="006143A3">
        <w:rPr>
          <w:rFonts w:cs="Arial"/>
          <w:color w:val="000000" w:themeColor="text1"/>
          <w:sz w:val="20"/>
          <w:lang w:val="en-US"/>
        </w:rPr>
        <w:t xml:space="preserve"> </w:t>
      </w:r>
      <w:r w:rsidRPr="006143A3">
        <w:rPr>
          <w:rFonts w:cs="Arial"/>
          <w:color w:val="000000" w:themeColor="text1"/>
          <w:sz w:val="20"/>
          <w:lang w:val="en-US"/>
        </w:rPr>
        <w:t>either not filed a return or had declared income below</w:t>
      </w:r>
      <w:r w:rsidR="007E0B62" w:rsidRPr="006143A3">
        <w:rPr>
          <w:rFonts w:cs="Arial"/>
          <w:color w:val="000000" w:themeColor="text1"/>
          <w:sz w:val="20"/>
          <w:lang w:val="en-US"/>
        </w:rPr>
        <w:t xml:space="preserve"> </w:t>
      </w:r>
      <w:r w:rsidRPr="006143A3">
        <w:rPr>
          <w:rFonts w:cs="Arial"/>
          <w:color w:val="000000" w:themeColor="text1"/>
          <w:sz w:val="20"/>
          <w:lang w:val="en-US"/>
        </w:rPr>
        <w:t>taxable limit:</w:t>
      </w:r>
    </w:p>
    <w:p w:rsidR="00C65585" w:rsidRPr="006143A3" w:rsidRDefault="00C65585" w:rsidP="00C65585">
      <w:pPr>
        <w:pStyle w:val="ListParagraph"/>
        <w:rPr>
          <w:rFonts w:cs="Arial"/>
          <w:color w:val="000000" w:themeColor="text1"/>
          <w:sz w:val="20"/>
          <w:lang w:val="en-US"/>
        </w:rPr>
      </w:pPr>
    </w:p>
    <w:p w:rsidR="001A1EB0" w:rsidRPr="006143A3" w:rsidRDefault="001A1EB0" w:rsidP="00C65585">
      <w:pPr>
        <w:autoSpaceDE w:val="0"/>
        <w:autoSpaceDN w:val="0"/>
        <w:adjustRightInd w:val="0"/>
        <w:ind w:left="1094" w:firstLine="547"/>
        <w:jc w:val="both"/>
        <w:rPr>
          <w:rFonts w:cs="Arial"/>
          <w:color w:val="000000" w:themeColor="text1"/>
          <w:sz w:val="20"/>
          <w:lang w:val="en-US"/>
        </w:rPr>
      </w:pPr>
      <w:r w:rsidRPr="006143A3">
        <w:rPr>
          <w:rFonts w:cs="Arial"/>
          <w:color w:val="000000" w:themeColor="text1"/>
          <w:sz w:val="20"/>
          <w:lang w:val="en-US"/>
        </w:rPr>
        <w:t>Provided that where return has been filed for the</w:t>
      </w:r>
      <w:r w:rsidR="007E0B62" w:rsidRPr="006143A3">
        <w:rPr>
          <w:rFonts w:cs="Arial"/>
          <w:color w:val="000000" w:themeColor="text1"/>
          <w:sz w:val="20"/>
          <w:lang w:val="en-US"/>
        </w:rPr>
        <w:t xml:space="preserve"> </w:t>
      </w:r>
      <w:r w:rsidRPr="006143A3">
        <w:rPr>
          <w:rFonts w:cs="Arial"/>
          <w:color w:val="000000" w:themeColor="text1"/>
          <w:sz w:val="20"/>
          <w:lang w:val="en-US"/>
        </w:rPr>
        <w:t>immediately preceding tax year, turnover declared for</w:t>
      </w:r>
      <w:r w:rsidR="007E0B62" w:rsidRPr="006143A3">
        <w:rPr>
          <w:rFonts w:cs="Arial"/>
          <w:color w:val="000000" w:themeColor="text1"/>
          <w:sz w:val="20"/>
          <w:lang w:val="en-US"/>
        </w:rPr>
        <w:t xml:space="preserve"> </w:t>
      </w:r>
      <w:r w:rsidRPr="006143A3">
        <w:rPr>
          <w:rFonts w:cs="Arial"/>
          <w:color w:val="000000" w:themeColor="text1"/>
          <w:sz w:val="20"/>
          <w:lang w:val="en-US"/>
        </w:rPr>
        <w:t>the tax year is not less than the turnover declared for</w:t>
      </w:r>
      <w:r w:rsidR="007E0B62" w:rsidRPr="006143A3">
        <w:rPr>
          <w:rFonts w:cs="Arial"/>
          <w:color w:val="000000" w:themeColor="text1"/>
          <w:sz w:val="20"/>
          <w:lang w:val="en-US"/>
        </w:rPr>
        <w:t xml:space="preserve"> </w:t>
      </w:r>
      <w:r w:rsidRPr="006143A3">
        <w:rPr>
          <w:rFonts w:cs="Arial"/>
          <w:color w:val="000000" w:themeColor="text1"/>
          <w:sz w:val="20"/>
          <w:lang w:val="en-US"/>
        </w:rPr>
        <w:t>the immediately preceding tax year.</w:t>
      </w:r>
    </w:p>
    <w:p w:rsidR="00C65585" w:rsidRPr="006143A3" w:rsidRDefault="00C65585" w:rsidP="00C65585">
      <w:pPr>
        <w:autoSpaceDE w:val="0"/>
        <w:autoSpaceDN w:val="0"/>
        <w:adjustRightInd w:val="0"/>
        <w:ind w:left="547" w:firstLine="547"/>
        <w:jc w:val="both"/>
        <w:rPr>
          <w:rFonts w:cs="Arial"/>
          <w:color w:val="000000" w:themeColor="text1"/>
          <w:sz w:val="20"/>
          <w:lang w:val="en-US"/>
        </w:rPr>
      </w:pPr>
    </w:p>
    <w:p w:rsidR="001A1EB0" w:rsidRPr="006143A3" w:rsidRDefault="001A1EB0" w:rsidP="00C65585">
      <w:pPr>
        <w:autoSpaceDE w:val="0"/>
        <w:autoSpaceDN w:val="0"/>
        <w:adjustRightInd w:val="0"/>
        <w:ind w:firstLine="547"/>
        <w:jc w:val="both"/>
        <w:rPr>
          <w:rFonts w:cs="Arial"/>
          <w:color w:val="000000" w:themeColor="text1"/>
          <w:sz w:val="20"/>
          <w:lang w:val="en-US"/>
        </w:rPr>
      </w:pPr>
      <w:r w:rsidRPr="006143A3">
        <w:rPr>
          <w:rFonts w:cs="Arial"/>
          <w:color w:val="000000" w:themeColor="text1"/>
          <w:sz w:val="20"/>
          <w:lang w:val="en-US"/>
        </w:rPr>
        <w:t>(4) The provisions of sub-section (1) and sections 177 and214C shall not apply, for a tax year, to a person registered as</w:t>
      </w:r>
      <w:r w:rsidR="007E0B62" w:rsidRPr="006143A3">
        <w:rPr>
          <w:rFonts w:cs="Arial"/>
          <w:color w:val="000000" w:themeColor="text1"/>
          <w:sz w:val="20"/>
          <w:lang w:val="en-US"/>
        </w:rPr>
        <w:t xml:space="preserve"> </w:t>
      </w:r>
      <w:r w:rsidRPr="006143A3">
        <w:rPr>
          <w:rFonts w:cs="Arial"/>
          <w:color w:val="000000" w:themeColor="text1"/>
          <w:sz w:val="20"/>
          <w:lang w:val="en-US"/>
        </w:rPr>
        <w:t>retailer under rule (4) of the Sales Tax Special Procedure Rules,</w:t>
      </w:r>
      <w:r w:rsidR="00E752B4" w:rsidRPr="006143A3">
        <w:rPr>
          <w:rFonts w:cs="Arial"/>
          <w:color w:val="000000" w:themeColor="text1"/>
          <w:sz w:val="20"/>
          <w:lang w:val="en-US"/>
        </w:rPr>
        <w:t xml:space="preserve"> </w:t>
      </w:r>
      <w:r w:rsidRPr="006143A3">
        <w:rPr>
          <w:rFonts w:cs="Arial"/>
          <w:color w:val="000000" w:themeColor="text1"/>
          <w:sz w:val="20"/>
          <w:lang w:val="en-US"/>
        </w:rPr>
        <w:t>2007 subject to the condition that name of the person registered</w:t>
      </w:r>
      <w:r w:rsidR="007E0B62" w:rsidRPr="006143A3">
        <w:rPr>
          <w:rFonts w:cs="Arial"/>
          <w:color w:val="000000" w:themeColor="text1"/>
          <w:sz w:val="20"/>
          <w:lang w:val="en-US"/>
        </w:rPr>
        <w:t xml:space="preserve"> </w:t>
      </w:r>
      <w:r w:rsidRPr="006143A3">
        <w:rPr>
          <w:rFonts w:cs="Arial"/>
          <w:color w:val="000000" w:themeColor="text1"/>
          <w:sz w:val="20"/>
          <w:lang w:val="en-US"/>
        </w:rPr>
        <w:t>under rule (4) of the Sales Tax Special Procedure Rules, 2007remained on the sales tax active taxpayers‘ list throughout the tax</w:t>
      </w:r>
      <w:r w:rsidR="007E0B62" w:rsidRPr="006143A3">
        <w:rPr>
          <w:rFonts w:cs="Arial"/>
          <w:color w:val="000000" w:themeColor="text1"/>
          <w:sz w:val="20"/>
          <w:lang w:val="en-US"/>
        </w:rPr>
        <w:t xml:space="preserve"> </w:t>
      </w:r>
      <w:r w:rsidRPr="006143A3">
        <w:rPr>
          <w:rFonts w:cs="Arial"/>
          <w:color w:val="000000" w:themeColor="text1"/>
          <w:sz w:val="20"/>
          <w:lang w:val="en-US"/>
        </w:rPr>
        <w:t>year.</w:t>
      </w:r>
    </w:p>
    <w:p w:rsidR="00C65585" w:rsidRPr="006143A3" w:rsidRDefault="00C65585" w:rsidP="00C65585">
      <w:pPr>
        <w:autoSpaceDE w:val="0"/>
        <w:autoSpaceDN w:val="0"/>
        <w:adjustRightInd w:val="0"/>
        <w:ind w:firstLine="547"/>
        <w:jc w:val="both"/>
        <w:rPr>
          <w:rFonts w:cs="Arial"/>
          <w:color w:val="000000" w:themeColor="text1"/>
          <w:sz w:val="20"/>
          <w:lang w:val="en-US"/>
        </w:rPr>
      </w:pPr>
    </w:p>
    <w:p w:rsidR="001E28A5" w:rsidRPr="001A2DE1" w:rsidRDefault="001A1EB0" w:rsidP="00C65585">
      <w:pPr>
        <w:autoSpaceDE w:val="0"/>
        <w:autoSpaceDN w:val="0"/>
        <w:adjustRightInd w:val="0"/>
        <w:ind w:firstLine="547"/>
        <w:jc w:val="both"/>
        <w:rPr>
          <w:rFonts w:cs="Arial"/>
          <w:sz w:val="20"/>
        </w:rPr>
      </w:pPr>
      <w:r w:rsidRPr="006143A3">
        <w:rPr>
          <w:rFonts w:cs="Arial"/>
          <w:color w:val="000000" w:themeColor="text1"/>
          <w:sz w:val="20"/>
          <w:lang w:val="en-US"/>
        </w:rPr>
        <w:t>(5) Sub-section (4) shall have effect from the date as the</w:t>
      </w:r>
      <w:r w:rsidR="007E0B62" w:rsidRPr="006143A3">
        <w:rPr>
          <w:rFonts w:cs="Arial"/>
          <w:color w:val="000000" w:themeColor="text1"/>
          <w:sz w:val="20"/>
          <w:lang w:val="en-US"/>
        </w:rPr>
        <w:t xml:space="preserve"> </w:t>
      </w:r>
      <w:r w:rsidRPr="006143A3">
        <w:rPr>
          <w:rFonts w:cs="Arial"/>
          <w:color w:val="000000" w:themeColor="text1"/>
          <w:sz w:val="20"/>
          <w:lang w:val="en-US"/>
        </w:rPr>
        <w:t>Board may, by notification in the official Gazette, appoint.</w:t>
      </w:r>
      <w:r w:rsidR="00C65585" w:rsidRPr="006143A3">
        <w:rPr>
          <w:rFonts w:cs="Arial"/>
          <w:color w:val="000000" w:themeColor="text1"/>
          <w:sz w:val="20"/>
          <w:lang w:val="en-US"/>
        </w:rPr>
        <w:t>”]</w:t>
      </w:r>
    </w:p>
    <w:p w:rsidR="006A3F93" w:rsidRPr="00412620" w:rsidRDefault="006A3F93">
      <w:pPr>
        <w:jc w:val="both"/>
        <w:rPr>
          <w:sz w:val="20"/>
        </w:rPr>
      </w:pPr>
      <w:r w:rsidRPr="00412620">
        <w:rPr>
          <w:rStyle w:val="FootnoteReference"/>
          <w:rFonts w:cs="Arial"/>
          <w:sz w:val="20"/>
        </w:rPr>
        <w:lastRenderedPageBreak/>
        <w:footnoteReference w:id="1390"/>
      </w:r>
      <w:r w:rsidRPr="00412620">
        <w:rPr>
          <w:sz w:val="20"/>
        </w:rPr>
        <w:t>[</w:t>
      </w:r>
      <w:r w:rsidRPr="00412620">
        <w:rPr>
          <w:b/>
          <w:sz w:val="20"/>
        </w:rPr>
        <w:t>215.  Furnishing of returns, documents etc.</w:t>
      </w:r>
      <w:r w:rsidR="00AD6B65" w:rsidRPr="00412620">
        <w:rPr>
          <w:rFonts w:cs="Arial"/>
          <w:sz w:val="20"/>
        </w:rPr>
        <w:t xml:space="preserve"> —</w:t>
      </w:r>
      <w:r w:rsidRPr="00412620">
        <w:rPr>
          <w:sz w:val="20"/>
        </w:rPr>
        <w:t xml:space="preserve">(1) Where, by virtue of an order under section 210, the Commissioner has delegated to any </w:t>
      </w:r>
      <w:r w:rsidR="0056043E" w:rsidRPr="00412620">
        <w:rPr>
          <w:rStyle w:val="FootnoteReference"/>
          <w:sz w:val="20"/>
        </w:rPr>
        <w:footnoteReference w:id="1391"/>
      </w:r>
      <w:r w:rsidR="0056043E" w:rsidRPr="00412620">
        <w:rPr>
          <w:sz w:val="20"/>
        </w:rPr>
        <w:t>[</w:t>
      </w:r>
      <w:r w:rsidR="00794E04" w:rsidRPr="00412620">
        <w:rPr>
          <w:rFonts w:cs="Arial"/>
          <w:sz w:val="20"/>
        </w:rPr>
        <w:t>an officer of Inland Revenue</w:t>
      </w:r>
      <w:r w:rsidR="0056043E" w:rsidRPr="00412620">
        <w:rPr>
          <w:rFonts w:cs="Arial"/>
          <w:sz w:val="20"/>
        </w:rPr>
        <w:t>]</w:t>
      </w:r>
      <w:r w:rsidRPr="00412620">
        <w:rPr>
          <w:sz w:val="20"/>
        </w:rPr>
        <w:t xml:space="preserve">the function and power to receive, or to call for and receive, any returns of income, certificates, documents, accounts and statements from any person or persons or class of persons (hereinafter called ‘filer’), the filer shall furnish such returns, certificates, documents, accounts and statements to that </w:t>
      </w:r>
      <w:r w:rsidR="00F70ADD" w:rsidRPr="00412620">
        <w:rPr>
          <w:rStyle w:val="FootnoteReference"/>
          <w:sz w:val="20"/>
        </w:rPr>
        <w:footnoteReference w:id="1392"/>
      </w:r>
      <w:r w:rsidR="0056043E" w:rsidRPr="00412620">
        <w:rPr>
          <w:sz w:val="20"/>
        </w:rPr>
        <w:t>[</w:t>
      </w:r>
      <w:r w:rsidR="00794E04" w:rsidRPr="00412620">
        <w:rPr>
          <w:rFonts w:cs="Arial"/>
          <w:sz w:val="20"/>
        </w:rPr>
        <w:t>officer of Inland Revenue</w:t>
      </w:r>
      <w:r w:rsidR="0056043E" w:rsidRPr="00412620">
        <w:rPr>
          <w:rFonts w:cs="Arial"/>
          <w:sz w:val="20"/>
        </w:rPr>
        <w:t>]</w:t>
      </w:r>
      <w:r w:rsidRPr="00412620">
        <w:rPr>
          <w:sz w:val="20"/>
        </w:rPr>
        <w:t>and, when furnished, shall be treated as having been furnished to the Commissioner.</w:t>
      </w:r>
    </w:p>
    <w:p w:rsidR="006A3F93" w:rsidRPr="00412620" w:rsidRDefault="006A3F93">
      <w:pPr>
        <w:jc w:val="both"/>
        <w:rPr>
          <w:rFonts w:cs="Arial"/>
          <w:sz w:val="20"/>
        </w:rPr>
      </w:pPr>
    </w:p>
    <w:p w:rsidR="006A3F93" w:rsidRPr="00412620" w:rsidRDefault="006A3F93">
      <w:pPr>
        <w:jc w:val="both"/>
        <w:rPr>
          <w:rFonts w:cs="Arial"/>
          <w:b/>
          <w:sz w:val="20"/>
        </w:rPr>
      </w:pPr>
      <w:r w:rsidRPr="00412620">
        <w:rPr>
          <w:rFonts w:cs="Arial"/>
          <w:sz w:val="20"/>
        </w:rPr>
        <w:tab/>
        <w:t xml:space="preserve">(2) </w:t>
      </w:r>
      <w:r w:rsidRPr="00412620">
        <w:rPr>
          <w:rFonts w:cs="Arial"/>
          <w:sz w:val="20"/>
        </w:rPr>
        <w:tab/>
        <w:t xml:space="preserve">where a person is allowed, under any provision of this Ordinance, to make an application to the Commissioner and the Commissioner has delegated to any </w:t>
      </w:r>
      <w:r w:rsidR="00F70ADD" w:rsidRPr="00412620">
        <w:rPr>
          <w:rStyle w:val="FootnoteReference"/>
          <w:rFonts w:cs="Arial"/>
          <w:sz w:val="20"/>
        </w:rPr>
        <w:footnoteReference w:id="1393"/>
      </w:r>
      <w:r w:rsidR="0056043E" w:rsidRPr="00412620">
        <w:rPr>
          <w:rFonts w:cs="Arial"/>
          <w:sz w:val="20"/>
        </w:rPr>
        <w:t>[</w:t>
      </w:r>
      <w:r w:rsidR="0002457F" w:rsidRPr="00412620">
        <w:rPr>
          <w:rFonts w:cs="Arial"/>
          <w:sz w:val="20"/>
        </w:rPr>
        <w:t>officer of Inland Revenue</w:t>
      </w:r>
      <w:r w:rsidR="0056043E" w:rsidRPr="00412620">
        <w:rPr>
          <w:rFonts w:cs="Arial"/>
          <w:sz w:val="20"/>
        </w:rPr>
        <w:t>]</w:t>
      </w:r>
      <w:r w:rsidRPr="00412620">
        <w:rPr>
          <w:rFonts w:cs="Arial"/>
          <w:sz w:val="20"/>
        </w:rPr>
        <w:t>the function or power to receive the application, such application, when made, shall be treated as having been made to the Commissioner.]</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216.</w:t>
      </w:r>
      <w:r w:rsidRPr="00412620">
        <w:rPr>
          <w:rFonts w:cs="Arial"/>
          <w:b/>
          <w:sz w:val="20"/>
        </w:rPr>
        <w:tab/>
        <w:t xml:space="preserve"> Disclosure of information by a public servant.-</w:t>
      </w:r>
      <w:r w:rsidRPr="00412620">
        <w:rPr>
          <w:sz w:val="20"/>
        </w:rPr>
        <w:t xml:space="preserve"> (1)  All particulars contained in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any statement made, return furnished, or accounts or documents produced under the provisions of this Ordinance; </w:t>
      </w:r>
    </w:p>
    <w:p w:rsidR="006A3F93" w:rsidRPr="00412620" w:rsidRDefault="006A3F93">
      <w:pPr>
        <w:pStyle w:val="BodyTextIndent"/>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any evidence given, or affidavit or deposition made, in the course of any proceedings under this Ordinance, other than proceedings under Part XI of Chapter X;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any record of any assessment proceedings or any proceeding relating to the recovery of a demand,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shall be  confidential and no public servant save as provided in this Ordinance may disclose any such particulars.</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Notwithstanding anything contained in the Qanun-e-</w:t>
      </w:r>
      <w:r w:rsidRPr="00412620">
        <w:rPr>
          <w:rStyle w:val="FootnoteReference"/>
          <w:rFonts w:cs="Arial"/>
          <w:sz w:val="20"/>
        </w:rPr>
        <w:footnoteReference w:id="1394"/>
      </w:r>
      <w:r w:rsidRPr="00412620">
        <w:rPr>
          <w:rFonts w:cs="Arial"/>
          <w:sz w:val="20"/>
        </w:rPr>
        <w:t>[Shahadat], 1984 (P.O. Order No. 10 of 1984), or any other law for the time being in force, no court or other authority shall be, save as provided in this Ordinance, entitled to require any public servant to produce before it any return, accounts, or documents contained in, or forming a part of the records relating to any proceedings under this Ordinance, or any records of the Income Tax Department generally, or any part thereof, or to give evidence before it in respect thereof.</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Nothing contained in sub-section (1) shall preclude the disclosure of any such particulars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to any person acting in the execution of this Ordinance, where it is necessary to disclose the same to him for the purposes of this Ordinance; </w:t>
      </w:r>
    </w:p>
    <w:p w:rsidR="006A3F93" w:rsidRPr="00412620" w:rsidRDefault="006A3F93">
      <w:pPr>
        <w:ind w:left="1620" w:hanging="540"/>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to any person authorised by the Commissioner in this behalf, where it is necessary to disclose the same to such person for the purposes of processing of data and preparation of computer printouts relating to returns of income or calculation of tax;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 xml:space="preserve">where the disclosure is occasioned by the lawful employment under this Ordinance of any process for the service of any notice or the recovery of any demand;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 xml:space="preserve">to the Auditor-General of Pakistan for the purpose of enabling the Auditor-General to discharge his functions under the Constitution;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 xml:space="preserve">to any officer appointed by the Auditor-General of Pakistan or the Commissioner to audit income tax receipts or refunds;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(f )</w:t>
      </w:r>
      <w:r w:rsidRPr="00412620">
        <w:rPr>
          <w:rFonts w:cs="Arial"/>
          <w:sz w:val="20"/>
        </w:rPr>
        <w:tab/>
        <w:t xml:space="preserve">to any officer of the Federal Government or a Provincial Government authorised by such Government in this behalf as may be necessary for the purpose of enabling that Government to levy or realise any tax imposed by it; </w:t>
      </w:r>
    </w:p>
    <w:p w:rsidR="00E461BB" w:rsidRPr="00412620" w:rsidRDefault="00E461BB">
      <w:pPr>
        <w:jc w:val="both"/>
        <w:rPr>
          <w:rFonts w:cs="Arial"/>
          <w:sz w:val="20"/>
        </w:rPr>
      </w:pPr>
    </w:p>
    <w:p w:rsidR="006A3F93" w:rsidRPr="00412620" w:rsidRDefault="006A3F93">
      <w:pPr>
        <w:ind w:left="1620" w:hanging="540"/>
        <w:jc w:val="both"/>
        <w:rPr>
          <w:rFonts w:cs="Arial"/>
          <w:sz w:val="20"/>
        </w:rPr>
      </w:pPr>
      <w:r w:rsidRPr="00412620">
        <w:rPr>
          <w:rFonts w:cs="Arial"/>
          <w:sz w:val="20"/>
        </w:rPr>
        <w:t>(g)</w:t>
      </w:r>
      <w:r w:rsidRPr="00412620">
        <w:rPr>
          <w:rFonts w:cs="Arial"/>
          <w:sz w:val="20"/>
        </w:rPr>
        <w:tab/>
        <w:t xml:space="preserve">to any authority exercising powers under </w:t>
      </w:r>
      <w:r w:rsidRPr="00412620">
        <w:rPr>
          <w:rFonts w:cs="Arial"/>
          <w:sz w:val="20"/>
          <w:vertAlign w:val="superscript"/>
        </w:rPr>
        <w:footnoteReference w:id="1395"/>
      </w:r>
      <w:r w:rsidRPr="00412620">
        <w:rPr>
          <w:rFonts w:cs="Arial"/>
          <w:sz w:val="20"/>
        </w:rPr>
        <w:t xml:space="preserve">[the </w:t>
      </w:r>
      <w:r w:rsidRPr="00412620">
        <w:rPr>
          <w:rStyle w:val="FootnoteReference"/>
          <w:rFonts w:cs="Arial"/>
          <w:sz w:val="20"/>
        </w:rPr>
        <w:footnoteReference w:id="1396"/>
      </w:r>
      <w:r w:rsidRPr="00412620">
        <w:rPr>
          <w:rFonts w:cs="Arial"/>
          <w:sz w:val="20"/>
        </w:rPr>
        <w:t xml:space="preserve">[Federal Excise Act, 2005], ] the Sales Tax Act, 1990, the Wealth Tax Act, 1963 (XV of 1963), or the Customs Act, 1969 (IV of 1969), as </w:t>
      </w:r>
      <w:r w:rsidRPr="00412620">
        <w:rPr>
          <w:rFonts w:cs="Arial"/>
          <w:sz w:val="20"/>
        </w:rPr>
        <w:lastRenderedPageBreak/>
        <w:t xml:space="preserve">may be necessary for the purpose of enabling its duty to exercise such powers;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(h)</w:t>
      </w:r>
      <w:r w:rsidRPr="00412620">
        <w:rPr>
          <w:rFonts w:cs="Arial"/>
          <w:sz w:val="20"/>
        </w:rPr>
        <w:tab/>
        <w:t xml:space="preserve">occasioned by the lawful exercise by a public servant of powers under the Stamp Act, 1899 (II of 1899) to impound an insufficiently stamped document;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(i)</w:t>
      </w:r>
      <w:r w:rsidRPr="00412620">
        <w:rPr>
          <w:rFonts w:cs="Arial"/>
          <w:sz w:val="20"/>
        </w:rPr>
        <w:tab/>
        <w:t>to the State Bank of Pakistan to enable it to compile financial statistics of international investment and balance of payment;</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(j)</w:t>
      </w:r>
      <w:r w:rsidRPr="00412620">
        <w:rPr>
          <w:rFonts w:cs="Arial"/>
          <w:sz w:val="20"/>
        </w:rPr>
        <w:tab/>
        <w:t xml:space="preserve">as may be required by any order made under sub-section (2) of section 19 of the Foreign Exchange Regulation Act, 1947 (VII of 1947), or for the purposes of any prosecution for an offence under section 23 of that Act;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(k)</w:t>
      </w:r>
      <w:r w:rsidRPr="00412620">
        <w:rPr>
          <w:rFonts w:cs="Arial"/>
          <w:sz w:val="20"/>
        </w:rPr>
        <w:tab/>
        <w:t xml:space="preserve">to the Securities and Exchange Commission or the Monopolies Control Authority for the purposes of the Securities and Exchange Ordinance, 1969 (XVII of 1969), the Monopolies and Restrictive Trade Practices (Control and Prevention) Ordinance, 1970 (VI of 1970), the Companies Ordinance, 1984 (XLVII of 1984) or the Securities and Exchange Commission of Pakistan Act, 1997, as the case may be;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(l)</w:t>
      </w:r>
      <w:r w:rsidRPr="00412620">
        <w:rPr>
          <w:rFonts w:cs="Arial"/>
          <w:sz w:val="20"/>
        </w:rPr>
        <w:tab/>
        <w:t xml:space="preserve">relevant to any inquiry into a charge of misconduct in connection with income tax proceedings against a legal practitioner or an accountant;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(m)</w:t>
      </w:r>
      <w:r w:rsidRPr="00412620">
        <w:rPr>
          <w:rFonts w:cs="Arial"/>
          <w:sz w:val="20"/>
        </w:rPr>
        <w:tab/>
        <w:t xml:space="preserve">to a Civil Court in any suit or proceeding to which the Federal Government or any income tax authority is a party which relates to any matter arising out of any proceedings under this Ordinance;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(n)</w:t>
      </w:r>
      <w:r w:rsidRPr="00412620">
        <w:rPr>
          <w:rFonts w:cs="Arial"/>
          <w:sz w:val="20"/>
        </w:rPr>
        <w:tab/>
        <w:t xml:space="preserve">for the purposes of a prosecution for any offence under the Pakistan Penal Code, 1860 (XLVI of 1860), in respect of any such statement, returns, accounts, documents, evidence, affidavit or deposition, or for the purposes of a prosecution for any offence under this Ordinance;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(o)</w:t>
      </w:r>
      <w:r w:rsidRPr="00412620">
        <w:rPr>
          <w:rFonts w:cs="Arial"/>
          <w:sz w:val="20"/>
        </w:rPr>
        <w:tab/>
        <w:t xml:space="preserve">relevant to any inquiry into the conduct of an official of the Income Tax Department to any person or officer appointed to hold such inquiry, or to a Public Service Commission, established under the Federal Public Service Commission Ordinance, 1977 (XLV of 1977), when exercising its functions in relation to any matter arising out of such inquiry;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lastRenderedPageBreak/>
        <w:t>(p)</w:t>
      </w:r>
      <w:r w:rsidRPr="00412620">
        <w:rPr>
          <w:rFonts w:cs="Arial"/>
          <w:sz w:val="20"/>
        </w:rPr>
        <w:tab/>
        <w:t>as may be required by any officer or department of the Federal Government or of a Provincial Government for the purpose of investigation into the conduct and affairs of any public servant, or to a Court in connection with any prosecution of the public servant arising out of any such investigation;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(q)</w:t>
      </w:r>
      <w:r w:rsidRPr="00412620">
        <w:rPr>
          <w:rFonts w:cs="Arial"/>
          <w:sz w:val="20"/>
        </w:rPr>
        <w:tab/>
        <w:t>to an authorised officer of the government of any country outside Pakistan with which the Government has entered into an agreement under section 107 for the avoidance of double taxation and the prevention of fiscal evasion as may be required to be disclosed in pursuance of that agreement;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(r)</w:t>
      </w:r>
      <w:r w:rsidRPr="00412620">
        <w:rPr>
          <w:rFonts w:cs="Arial"/>
          <w:sz w:val="20"/>
        </w:rPr>
        <w:tab/>
        <w:t>to the Federal Tax Ombudsman appointed under the Establishment of the Office of Federal Tax Ombudsman Ordinance, 2000 (XXXV of 2000).</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(4)</w:t>
      </w:r>
      <w:r w:rsidRPr="00412620">
        <w:rPr>
          <w:rFonts w:cs="Arial"/>
          <w:sz w:val="20"/>
        </w:rPr>
        <w:tab/>
        <w:t>Nothing in this section shall apply to the production by a public servant before a Court of any document, declaration, or affidavit filed or the giving of evidence by a public servant in respect thereof.</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Nothing contained in sub-section (1) shall prevent the </w:t>
      </w:r>
      <w:r w:rsidR="000266DD" w:rsidRPr="00412620">
        <w:rPr>
          <w:rStyle w:val="FootnoteReference"/>
          <w:rFonts w:cs="Arial"/>
          <w:sz w:val="20"/>
        </w:rPr>
        <w:footnoteReference w:id="1397"/>
      </w:r>
      <w:r w:rsidR="000266DD" w:rsidRPr="00412620">
        <w:rPr>
          <w:rFonts w:cs="Arial"/>
          <w:sz w:val="20"/>
        </w:rPr>
        <w:t xml:space="preserve">[Board] </w:t>
      </w:r>
      <w:r w:rsidRPr="00412620">
        <w:rPr>
          <w:rFonts w:cs="Arial"/>
          <w:sz w:val="20"/>
        </w:rPr>
        <w:t>from publishing, with the prior approval of the Federal Government, any such particulars as are referred to in that sub-section.</w:t>
      </w:r>
    </w:p>
    <w:p w:rsidR="006A3F93" w:rsidRPr="00412620" w:rsidRDefault="006A3F93">
      <w:pPr>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Nothing contained in sub-section (1) shall prevent the Federal Government from publishing particulars and the amount of tax paid by a holder of a public office as defined in the </w:t>
      </w:r>
      <w:r w:rsidRPr="00412620">
        <w:rPr>
          <w:rStyle w:val="FootnoteReference"/>
          <w:rFonts w:cs="Arial"/>
          <w:sz w:val="20"/>
        </w:rPr>
        <w:footnoteReference w:id="1398"/>
      </w:r>
      <w:r w:rsidRPr="00412620">
        <w:rPr>
          <w:rFonts w:cs="Arial"/>
          <w:sz w:val="20"/>
        </w:rPr>
        <w:t>[National Accountability Bureau Ordinance, 1999 (XVIII of 1999).]</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Any person to whom any information is communicated under this section, and any person or employee under the first-mentioned person’s control, shall be, in respect of that information, subject to the same rights, privileges, obligations, and liabilities as if the person were a public servant and all the provisions of this Ordinance, so far as may be, shall apply accordingly.</w:t>
      </w:r>
    </w:p>
    <w:p w:rsidR="00882382" w:rsidRPr="00412620" w:rsidRDefault="00882382">
      <w:pPr>
        <w:rPr>
          <w:rFonts w:cs="Arial"/>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 xml:space="preserve">No prosecution may be instituted under this section except with the </w:t>
      </w:r>
    </w:p>
    <w:p w:rsidR="006A3F93" w:rsidRPr="00412620" w:rsidRDefault="006A3F93">
      <w:pPr>
        <w:rPr>
          <w:rFonts w:cs="Arial"/>
          <w:sz w:val="20"/>
        </w:rPr>
      </w:pPr>
      <w:r w:rsidRPr="00412620">
        <w:rPr>
          <w:rFonts w:cs="Arial"/>
          <w:sz w:val="20"/>
        </w:rPr>
        <w:t xml:space="preserve">previous sanction of the </w:t>
      </w:r>
      <w:r w:rsidR="001E7515" w:rsidRPr="00412620">
        <w:rPr>
          <w:rStyle w:val="FootnoteReference"/>
          <w:rFonts w:cs="Arial"/>
          <w:sz w:val="20"/>
        </w:rPr>
        <w:footnoteReference w:id="1399"/>
      </w:r>
      <w:r w:rsidR="001E7515" w:rsidRPr="00412620">
        <w:rPr>
          <w:rFonts w:cs="Arial"/>
          <w:sz w:val="20"/>
        </w:rPr>
        <w:t>[</w:t>
      </w:r>
      <w:r w:rsidRPr="00412620">
        <w:rPr>
          <w:rFonts w:cs="Arial"/>
          <w:sz w:val="20"/>
        </w:rPr>
        <w:t>Board</w:t>
      </w:r>
      <w:r w:rsidR="001E7515" w:rsidRPr="00412620">
        <w:rPr>
          <w:rFonts w:cs="Arial"/>
          <w:sz w:val="20"/>
        </w:rPr>
        <w:t>]</w:t>
      </w:r>
      <w:r w:rsidRPr="00412620">
        <w:rPr>
          <w:rFonts w:cs="Arial"/>
          <w:sz w:val="20"/>
        </w:rPr>
        <w:t>.</w:t>
      </w:r>
    </w:p>
    <w:p w:rsidR="006A3F93" w:rsidRPr="00412620" w:rsidRDefault="006A3F93">
      <w:pPr>
        <w:rPr>
          <w:rFonts w:cs="Arial"/>
          <w:sz w:val="20"/>
        </w:rPr>
      </w:pPr>
    </w:p>
    <w:p w:rsidR="006A3F93" w:rsidRPr="00412620" w:rsidRDefault="006A3F93">
      <w:pPr>
        <w:jc w:val="both"/>
        <w:rPr>
          <w:sz w:val="20"/>
        </w:rPr>
      </w:pPr>
      <w:r w:rsidRPr="00412620">
        <w:rPr>
          <w:rFonts w:cs="Arial"/>
          <w:b/>
          <w:sz w:val="20"/>
        </w:rPr>
        <w:t>217.</w:t>
      </w:r>
      <w:r w:rsidRPr="00412620">
        <w:rPr>
          <w:rFonts w:cs="Arial"/>
          <w:b/>
          <w:sz w:val="20"/>
        </w:rPr>
        <w:tab/>
        <w:t xml:space="preserve"> Forms and notices; authentication of documents.</w:t>
      </w:r>
      <w:r w:rsidR="00882382" w:rsidRPr="00412620">
        <w:rPr>
          <w:rFonts w:cs="Arial"/>
          <w:sz w:val="20"/>
        </w:rPr>
        <w:t xml:space="preserve"> —</w:t>
      </w:r>
      <w:r w:rsidRPr="00412620">
        <w:rPr>
          <w:sz w:val="20"/>
        </w:rPr>
        <w:t xml:space="preserve">(1)  Forms, notices, returns, statements, tables and other documents required under this Ordinance may be in such form as determined by the </w:t>
      </w:r>
      <w:r w:rsidR="001E7515" w:rsidRPr="00412620">
        <w:rPr>
          <w:rStyle w:val="FootnoteReference"/>
          <w:sz w:val="20"/>
        </w:rPr>
        <w:footnoteReference w:id="1400"/>
      </w:r>
      <w:r w:rsidR="001E7515" w:rsidRPr="00412620">
        <w:rPr>
          <w:sz w:val="20"/>
        </w:rPr>
        <w:t>[</w:t>
      </w:r>
      <w:r w:rsidRPr="00412620">
        <w:rPr>
          <w:sz w:val="20"/>
        </w:rPr>
        <w:t>Board</w:t>
      </w:r>
      <w:r w:rsidR="001E7515" w:rsidRPr="00412620">
        <w:rPr>
          <w:sz w:val="20"/>
        </w:rPr>
        <w:t>]</w:t>
      </w:r>
      <w:r w:rsidRPr="00412620">
        <w:rPr>
          <w:sz w:val="20"/>
        </w:rPr>
        <w:t xml:space="preserve"> for the efficient </w:t>
      </w:r>
      <w:r w:rsidRPr="00412620">
        <w:rPr>
          <w:sz w:val="20"/>
        </w:rPr>
        <w:lastRenderedPageBreak/>
        <w:t>administration of this Ordinance and publication of such documents in the official Gazette shall not be required.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Commissioner shall make the documents referred to in sub-section (1) available to the public in the manner prescribed.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A notice or other document issued, served or given by the Commissioner under this Ordinance shall be sufficiently authenticated if the name or title of the Commissioner, or authorised</w:t>
      </w:r>
      <w:r w:rsidR="00ED3247" w:rsidRPr="00412620">
        <w:rPr>
          <w:rStyle w:val="FootnoteReference"/>
          <w:rFonts w:cs="Arial"/>
          <w:sz w:val="20"/>
        </w:rPr>
        <w:footnoteReference w:id="1401"/>
      </w:r>
      <w:r w:rsidR="00ED3247" w:rsidRPr="00412620">
        <w:rPr>
          <w:rFonts w:cs="Arial"/>
          <w:sz w:val="20"/>
        </w:rPr>
        <w:t>[Officer of Inland Revenue]</w:t>
      </w:r>
      <w:r w:rsidRPr="00412620">
        <w:rPr>
          <w:rFonts w:cs="Arial"/>
          <w:sz w:val="20"/>
        </w:rPr>
        <w:t>, is printed, stamped or written on the notice or document</w:t>
      </w:r>
      <w:r w:rsidR="00937EEA" w:rsidRPr="00412620">
        <w:rPr>
          <w:rStyle w:val="FootnoteReference"/>
          <w:rFonts w:cs="Arial"/>
          <w:sz w:val="20"/>
        </w:rPr>
        <w:footnoteReference w:id="1402"/>
      </w:r>
      <w:r w:rsidR="00937EEA" w:rsidRPr="00412620">
        <w:rPr>
          <w:rFonts w:cs="Arial"/>
          <w:sz w:val="20"/>
        </w:rPr>
        <w:t>[or if it is computer generated and bears the authentication in the manner prescribed by the Board]</w:t>
      </w:r>
      <w:r w:rsidRPr="00412620">
        <w:rPr>
          <w:rFonts w:cs="Arial"/>
          <w:sz w:val="20"/>
        </w:rPr>
        <w:t>.</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218.</w:t>
      </w:r>
      <w:r w:rsidRPr="00412620">
        <w:rPr>
          <w:rFonts w:cs="Arial"/>
          <w:b/>
          <w:sz w:val="20"/>
        </w:rPr>
        <w:tab/>
        <w:t xml:space="preserve"> Service of notices and other documents.</w:t>
      </w:r>
      <w:r w:rsidR="00882382" w:rsidRPr="00412620">
        <w:rPr>
          <w:rFonts w:cs="Arial"/>
          <w:sz w:val="20"/>
        </w:rPr>
        <w:t xml:space="preserve"> —</w:t>
      </w:r>
      <w:r w:rsidRPr="00412620">
        <w:rPr>
          <w:sz w:val="20"/>
        </w:rPr>
        <w:t xml:space="preserve"> (1)  Subject to this Ordinance, any notice, order or requisition required to be served on a resident individual (other than in a representative capacity) for the purposes of this Ordinance shall be treated as properly served on the individual if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personally served on the individual or, in the case of an individual under a legal disability or a non-resident individual, the representative of the individual;</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sent by registered post or courier service to the place specified in clause (b) </w:t>
      </w:r>
      <w:r w:rsidRPr="00412620">
        <w:rPr>
          <w:rStyle w:val="FootnoteReference"/>
          <w:rFonts w:cs="Arial"/>
          <w:sz w:val="20"/>
        </w:rPr>
        <w:footnoteReference w:id="1403"/>
      </w:r>
      <w:r w:rsidRPr="00412620">
        <w:rPr>
          <w:rFonts w:cs="Arial"/>
          <w:sz w:val="20"/>
        </w:rPr>
        <w:t>[of sub-section (2)] or to the individual’s usual or last known address in Pakistan;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served on the individual in the manner prescribed for service of a summons under the Code of Civil Procedure, 1908 (V of 1908).</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Subject to this Ordinance, any notice, order or requisition required to be served on any person (other than a resident individual to whom sub-section (1) applies) for the purposes of this Ordinance shall be treated as properly served on the person if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personally served on the representative of the person;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sent by registered post or courier service to the person’s registered office or address for service of notices under this </w:t>
      </w:r>
      <w:r w:rsidRPr="00412620">
        <w:rPr>
          <w:rFonts w:cs="Arial"/>
          <w:sz w:val="20"/>
        </w:rPr>
        <w:lastRenderedPageBreak/>
        <w:t>Ordinance in Pakistan, or where the person does not have such office or address, the notice is sent by registered post to any office or place of business of the person in Pakistan;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served on the person in the manner prescribed for service of a summons under the Code of Civil Procedure, 1908 (V of 1908).</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Where an association of persons is dissolved, any notice, order or requisition required to be served under this Ordinance on the association may be served on any person who was </w:t>
      </w:r>
      <w:r w:rsidRPr="00412620">
        <w:rPr>
          <w:rStyle w:val="FootnoteReference"/>
          <w:rFonts w:cs="Arial"/>
          <w:sz w:val="20"/>
        </w:rPr>
        <w:footnoteReference w:id="1404"/>
      </w:r>
      <w:r w:rsidRPr="00412620">
        <w:rPr>
          <w:rFonts w:cs="Arial"/>
          <w:sz w:val="20"/>
        </w:rPr>
        <w:t>[the principal officer or] a member of the association immediately before such dissolution.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Where section 117 applies, any notice, order or requisition required to be served under this Ordinance on the person discontinuing the business may be served on the person personally or on any individual who was the person’s representative at the time of discontinuance.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The validity of any notice issued under this Ordinance or the validity of any service of a notice under this Ordinance shall not be called into question after the return to which the notice relates has been furnished or the notice has been otherwise complied with.</w:t>
      </w:r>
    </w:p>
    <w:p w:rsidR="006A3F93" w:rsidRPr="00412620" w:rsidRDefault="006A3F93">
      <w:pPr>
        <w:jc w:val="both"/>
        <w:rPr>
          <w:rFonts w:cs="Arial"/>
          <w:sz w:val="20"/>
        </w:rPr>
      </w:pPr>
    </w:p>
    <w:p w:rsidR="006A3F93" w:rsidRPr="00412620" w:rsidRDefault="006A3F93">
      <w:pPr>
        <w:jc w:val="both"/>
        <w:rPr>
          <w:sz w:val="20"/>
        </w:rPr>
      </w:pPr>
      <w:r w:rsidRPr="00412620">
        <w:rPr>
          <w:rFonts w:cs="Arial"/>
          <w:b/>
          <w:sz w:val="20"/>
        </w:rPr>
        <w:t>219.</w:t>
      </w:r>
      <w:r w:rsidRPr="00412620">
        <w:rPr>
          <w:rFonts w:cs="Arial"/>
          <w:b/>
          <w:sz w:val="20"/>
        </w:rPr>
        <w:tab/>
        <w:t>Tax or refund to be computed to the nearest Rupee.</w:t>
      </w:r>
      <w:r w:rsidR="002B69D0" w:rsidRPr="00412620">
        <w:rPr>
          <w:rFonts w:cs="Arial"/>
          <w:sz w:val="20"/>
        </w:rPr>
        <w:t xml:space="preserve"> —</w:t>
      </w:r>
      <w:r w:rsidRPr="00412620">
        <w:rPr>
          <w:sz w:val="20"/>
        </w:rPr>
        <w:t xml:space="preserve"> In the determination of any amount of tax or refund payable under this Ordinance, fractions of a rupee less than fifty paisa shall be disregarded and fractions of a rupee equal to or exceeding fifty paisa shall be treated as one rupee.</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220.</w:t>
      </w:r>
      <w:r w:rsidRPr="00412620">
        <w:rPr>
          <w:rFonts w:cs="Arial"/>
          <w:b/>
          <w:sz w:val="20"/>
        </w:rPr>
        <w:tab/>
        <w:t>Receipts for amounts paid.</w:t>
      </w:r>
      <w:r w:rsidR="002B69D0" w:rsidRPr="00412620">
        <w:rPr>
          <w:rFonts w:cs="Arial"/>
          <w:sz w:val="20"/>
        </w:rPr>
        <w:t xml:space="preserve"> —</w:t>
      </w:r>
      <w:r w:rsidRPr="00412620">
        <w:rPr>
          <w:sz w:val="20"/>
        </w:rPr>
        <w:t xml:space="preserve"> The Commissioner shall give a receipt for any tax or other amount paid or recovered under this Ordinance.</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221.</w:t>
      </w:r>
      <w:r w:rsidRPr="00412620">
        <w:rPr>
          <w:rFonts w:cs="Arial"/>
          <w:b/>
          <w:sz w:val="20"/>
        </w:rPr>
        <w:tab/>
        <w:t>Rectification of mistakes.</w:t>
      </w:r>
      <w:r w:rsidR="002B69D0" w:rsidRPr="00412620">
        <w:rPr>
          <w:rFonts w:cs="Arial"/>
          <w:sz w:val="20"/>
        </w:rPr>
        <w:t xml:space="preserve"> —</w:t>
      </w:r>
      <w:r w:rsidRPr="00412620">
        <w:rPr>
          <w:sz w:val="20"/>
        </w:rPr>
        <w:t xml:space="preserve"> (1)  The Commissioner, the Commissioner (Appeals) or the Appellate Tribunal may, by an order in writing, amend any order passed by </w:t>
      </w:r>
      <w:r w:rsidRPr="00412620">
        <w:rPr>
          <w:rStyle w:val="FootnoteReference"/>
          <w:sz w:val="20"/>
        </w:rPr>
        <w:footnoteReference w:id="1405"/>
      </w:r>
      <w:r w:rsidRPr="00412620">
        <w:rPr>
          <w:sz w:val="20"/>
        </w:rPr>
        <w:t xml:space="preserve">[him] to rectify any mistake apparent from the record on </w:t>
      </w:r>
      <w:r w:rsidRPr="00412620">
        <w:rPr>
          <w:rStyle w:val="FootnoteReference"/>
          <w:sz w:val="20"/>
        </w:rPr>
        <w:footnoteReference w:id="1406"/>
      </w:r>
      <w:r w:rsidRPr="00412620">
        <w:rPr>
          <w:sz w:val="20"/>
        </w:rPr>
        <w:t xml:space="preserve">[his or its] own motion or any mistake brought to </w:t>
      </w:r>
      <w:r w:rsidRPr="00412620">
        <w:rPr>
          <w:rStyle w:val="FootnoteReference"/>
          <w:sz w:val="20"/>
        </w:rPr>
        <w:footnoteReference w:id="1407"/>
      </w:r>
      <w:r w:rsidRPr="00412620">
        <w:rPr>
          <w:sz w:val="20"/>
        </w:rPr>
        <w:t>[his or its] notice by a taxpayer or, in the case of the Commissioner (Appeals) or the Appellate Tribunal, the Commissioner.</w:t>
      </w:r>
    </w:p>
    <w:p w:rsidR="006A3F93" w:rsidRPr="00412620" w:rsidRDefault="006A3F93">
      <w:pPr>
        <w:jc w:val="both"/>
        <w:rPr>
          <w:rFonts w:cs="Arial"/>
          <w:b/>
          <w:sz w:val="20"/>
        </w:rPr>
      </w:pPr>
    </w:p>
    <w:p w:rsidR="006A3F93" w:rsidRPr="00412620" w:rsidRDefault="006A3F93">
      <w:pPr>
        <w:jc w:val="both"/>
        <w:rPr>
          <w:rFonts w:cs="Arial"/>
          <w:sz w:val="20"/>
        </w:rPr>
      </w:pPr>
      <w:r w:rsidRPr="00412620">
        <w:rPr>
          <w:rStyle w:val="FootnoteReference"/>
          <w:rFonts w:cs="Arial"/>
          <w:sz w:val="20"/>
        </w:rPr>
        <w:lastRenderedPageBreak/>
        <w:footnoteReference w:id="1408"/>
      </w:r>
      <w:r w:rsidRPr="00412620">
        <w:rPr>
          <w:rFonts w:cs="Arial"/>
          <w:sz w:val="20"/>
        </w:rPr>
        <w:t>[(1A)</w:t>
      </w:r>
      <w:r w:rsidRPr="00412620">
        <w:rPr>
          <w:rFonts w:cs="Arial"/>
          <w:sz w:val="20"/>
        </w:rPr>
        <w:tab/>
        <w:t>The Commissioner may, by an order in writing, amend any order passed under the repealed Ordinance by the Deputy Commissioner, or an Income Tax Panel, as defined in section 2 of the repealed Ordinance to rectify any mistake apparent from the record on his own motion or any mistake brought to his notice by a taxpayer and the provisions of sub-section (2), sub-section (3) and sub-section (4) shall apply in like manner as these apply to an order under sub-section (1).]</w:t>
      </w:r>
    </w:p>
    <w:p w:rsidR="006A3F93" w:rsidRPr="00412620" w:rsidRDefault="006A3F93">
      <w:pPr>
        <w:jc w:val="both"/>
        <w:rPr>
          <w:rFonts w:cs="Arial"/>
          <w:b/>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 xml:space="preserve">No order under sub-section (1) which has the effect of increasing an assessment, reducing a refund or otherwise applying adversely to the taxpayer shall be made unless the taxpayer has been given a reasonable opportunity of being heard.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Where a mistake apparent on the record is brought to the notice of the Commissioner </w:t>
      </w:r>
      <w:r w:rsidRPr="00412620">
        <w:rPr>
          <w:rStyle w:val="FootnoteReference"/>
          <w:rFonts w:cs="Arial"/>
          <w:sz w:val="20"/>
        </w:rPr>
        <w:footnoteReference w:id="1409"/>
      </w:r>
      <w:r w:rsidRPr="00412620">
        <w:rPr>
          <w:rFonts w:cs="Arial"/>
          <w:sz w:val="20"/>
        </w:rPr>
        <w:t xml:space="preserve">[or] Commissioner (Appeals) </w:t>
      </w:r>
      <w:r w:rsidRPr="00412620">
        <w:rPr>
          <w:rStyle w:val="FootnoteReference"/>
          <w:rFonts w:cs="Arial"/>
          <w:sz w:val="20"/>
        </w:rPr>
        <w:footnoteReference w:id="1410"/>
      </w:r>
      <w:r w:rsidRPr="00412620">
        <w:rPr>
          <w:rFonts w:cs="Arial"/>
          <w:sz w:val="20"/>
        </w:rPr>
        <w:t>[  ], as the case may be, and no order has been made under sub-section (1) before the expiration of the financial year next following the date on which the mistake was brought to their notice, the mistake shall be treated as rectified and all the provisions of this Ordinance shall have effect accordingly.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No order under sub-section (1) may be made after five years from the date of the order sought to be rectified.</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222.</w:t>
      </w:r>
      <w:r w:rsidRPr="00412620">
        <w:rPr>
          <w:rFonts w:cs="Arial"/>
          <w:b/>
          <w:sz w:val="20"/>
        </w:rPr>
        <w:tab/>
        <w:t xml:space="preserve"> Appointment of expert.</w:t>
      </w:r>
      <w:r w:rsidR="002B69D0" w:rsidRPr="00412620">
        <w:rPr>
          <w:rFonts w:cs="Arial"/>
          <w:sz w:val="20"/>
        </w:rPr>
        <w:t xml:space="preserve"> —</w:t>
      </w:r>
      <w:r w:rsidRPr="00412620">
        <w:rPr>
          <w:sz w:val="20"/>
        </w:rPr>
        <w:t xml:space="preserve"> The Commissioner may appoint any expert as the Commissioner considers necessary for the purposes of this Ordinance, including for the purposes of audit or valuation.</w:t>
      </w:r>
    </w:p>
    <w:p w:rsidR="006A3F93" w:rsidRPr="00412620" w:rsidRDefault="006A3F93">
      <w:pPr>
        <w:rPr>
          <w:rFonts w:cs="Arial"/>
          <w:b/>
          <w:sz w:val="20"/>
        </w:rPr>
      </w:pPr>
    </w:p>
    <w:p w:rsidR="006A3F93" w:rsidRPr="00412620" w:rsidRDefault="006A3F93">
      <w:pPr>
        <w:jc w:val="both"/>
        <w:rPr>
          <w:sz w:val="20"/>
        </w:rPr>
      </w:pPr>
      <w:r w:rsidRPr="00412620">
        <w:rPr>
          <w:rFonts w:cs="Arial"/>
          <w:b/>
          <w:sz w:val="20"/>
        </w:rPr>
        <w:t>223.</w:t>
      </w:r>
      <w:r w:rsidRPr="00412620">
        <w:rPr>
          <w:rFonts w:cs="Arial"/>
          <w:b/>
          <w:sz w:val="20"/>
        </w:rPr>
        <w:tab/>
        <w:t xml:space="preserve"> Appearance by authorised representative.</w:t>
      </w:r>
      <w:r w:rsidR="002B69D0" w:rsidRPr="00412620">
        <w:rPr>
          <w:rFonts w:cs="Arial"/>
          <w:sz w:val="20"/>
        </w:rPr>
        <w:t xml:space="preserve"> —</w:t>
      </w:r>
      <w:r w:rsidRPr="00412620">
        <w:rPr>
          <w:sz w:val="20"/>
        </w:rPr>
        <w:t xml:space="preserve"> (1)  Any taxpayer who is entitled or required to attend before the Commissioner, the Commissioner (Appeals) or the Appellate Tribunal in connection with any proceeding under this Ordinance may, except when required under section 176 to attend personally, attend by an authorised representative.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For the purposes of this section and subject to sub-section (3), an authorised representative of a taxpayer shall be a person who is a representative of the person under section 172 and any of the following persons, namely:–</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A relative of the taxpayer;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lastRenderedPageBreak/>
        <w:t>(b)</w:t>
      </w:r>
      <w:r w:rsidRPr="00412620">
        <w:rPr>
          <w:rFonts w:cs="Arial"/>
          <w:sz w:val="20"/>
        </w:rPr>
        <w:tab/>
        <w:t>a current full-time employee of the taxpayer;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any officer of a scheduled bank with which the taxpayer maintains a current account or has other regular dealings;</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any legal practitioner entitled to practice in any Civil Court in Pakistan;</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any accountant;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(f )</w:t>
      </w:r>
      <w:r w:rsidRPr="00412620">
        <w:rPr>
          <w:rFonts w:cs="Arial"/>
          <w:sz w:val="20"/>
        </w:rPr>
        <w:tab/>
        <w:t>any income tax practitioner.</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For the purposes of this section </w:t>
      </w:r>
      <w:r w:rsidR="00FE5DDD" w:rsidRPr="00412620">
        <w:rPr>
          <w:rFonts w:cs="Arial"/>
          <w:sz w:val="20"/>
        </w:rPr>
        <w:t>—</w:t>
      </w:r>
    </w:p>
    <w:p w:rsidR="00FE5DDD" w:rsidRPr="00412620" w:rsidRDefault="00FE5DDD">
      <w:pPr>
        <w:ind w:left="1620" w:hanging="540"/>
        <w:jc w:val="both"/>
        <w:rPr>
          <w:rFonts w:cs="Arial"/>
          <w:sz w:val="20"/>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no person who has been dismissed or removed from service in the Income Tax Department shall be entitled to represent a taxpayer under sub-section (1);</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no  person having resigned from service after having been employed in the Income Tax Department for not less than two years shall be entitled to represent a taxpayer under sub-section (1) for a period of two years from the date of resignation;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(c)</w:t>
      </w:r>
      <w:r w:rsidRPr="00412620">
        <w:rPr>
          <w:rFonts w:cs="Arial"/>
          <w:sz w:val="20"/>
        </w:rPr>
        <w:tab/>
        <w:t>no person having retired from service in the Income Tax Department shall be entitled to represent a taxpayer under sub-section (1) for a period of one year from the date of retirement in any case in which the person had made or approved, as the case may be, any order of assessment, refund or appeal within one year before the date of retirement; or</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(d)</w:t>
      </w:r>
      <w:r w:rsidRPr="00412620">
        <w:rPr>
          <w:rFonts w:cs="Arial"/>
          <w:sz w:val="20"/>
        </w:rPr>
        <w:tab/>
        <w:t>no person who has become insolvent shall be entitled to represent a taxpayer under sub-section (1) for so long as the insolvency continues;</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(e)</w:t>
      </w:r>
      <w:r w:rsidRPr="00412620">
        <w:rPr>
          <w:rFonts w:cs="Arial"/>
          <w:sz w:val="20"/>
        </w:rPr>
        <w:tab/>
        <w:t>no person who has been convicted of an offence in relation to any income tax proceedings under this Ordinance shall be entitled to represent a taxpayer under sub-section (1) for such period as the Commissioner may, by order in writing, determine.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 xml:space="preserve">Where any legal practitioner or accountant is found guilty of misconduct in a professional capacity by any authority entitled to take disciplinary action against the legal practitioner or accountant, an order passed by that authority shall have effect in relation to any right to represent a taxpayer under </w:t>
      </w:r>
      <w:r w:rsidRPr="00412620">
        <w:rPr>
          <w:rFonts w:cs="Arial"/>
          <w:sz w:val="20"/>
        </w:rPr>
        <w:lastRenderedPageBreak/>
        <w:t>sub-section (1) as it has in relation to the person’s right to practice as a legal practitioner or accountant.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(5)</w:t>
      </w:r>
      <w:r w:rsidRPr="00412620">
        <w:rPr>
          <w:rFonts w:cs="Arial"/>
          <w:sz w:val="20"/>
        </w:rPr>
        <w:tab/>
        <w:t xml:space="preserve">Where any person (other than a person to whom sub-section (4) applies) is found guilty of misconduct in relation to any income tax proceeding, the Commissioner may, by an order in writing, direct that the person cease to represent a taxpayer under sub-section (1) before the Commissioner, Commissioner (Appeals) or Appellate Tribunal.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The Commissioner shall not make an order under clause (e) of sub-section (3) or sub-section (5) in respect of any person, unless the Commissioner has given the person a reasonable opportunity to be heard. </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(7)</w:t>
      </w:r>
      <w:r w:rsidRPr="00412620">
        <w:rPr>
          <w:rFonts w:cs="Arial"/>
          <w:sz w:val="20"/>
        </w:rPr>
        <w:tab/>
        <w:t xml:space="preserve">Any person against whom an order under clause (e) of sub-section (3) or sub-section (5) has been made may, within thirty days of service of notice of the order, appeal to the </w:t>
      </w:r>
      <w:r w:rsidR="001E7515" w:rsidRPr="00412620">
        <w:rPr>
          <w:rStyle w:val="FootnoteReference"/>
          <w:rFonts w:cs="Arial"/>
          <w:sz w:val="20"/>
        </w:rPr>
        <w:footnoteReference w:id="1411"/>
      </w:r>
      <w:r w:rsidR="001E7515" w:rsidRPr="00412620">
        <w:rPr>
          <w:rFonts w:cs="Arial"/>
          <w:sz w:val="20"/>
        </w:rPr>
        <w:t>[</w:t>
      </w:r>
      <w:r w:rsidRPr="00412620">
        <w:rPr>
          <w:rFonts w:cs="Arial"/>
          <w:sz w:val="20"/>
        </w:rPr>
        <w:t>Board</w:t>
      </w:r>
      <w:r w:rsidR="001E7515" w:rsidRPr="00412620">
        <w:rPr>
          <w:rFonts w:cs="Arial"/>
          <w:sz w:val="20"/>
        </w:rPr>
        <w:t>]</w:t>
      </w:r>
      <w:r w:rsidRPr="00412620">
        <w:rPr>
          <w:rFonts w:cs="Arial"/>
          <w:sz w:val="20"/>
        </w:rPr>
        <w:t xml:space="preserve"> to have the order cancelled.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 xml:space="preserve">The </w:t>
      </w:r>
      <w:r w:rsidR="001E7515" w:rsidRPr="00412620">
        <w:rPr>
          <w:rStyle w:val="FootnoteReference"/>
          <w:rFonts w:cs="Arial"/>
          <w:sz w:val="20"/>
        </w:rPr>
        <w:footnoteReference w:id="1412"/>
      </w:r>
      <w:r w:rsidR="001E7515" w:rsidRPr="00412620">
        <w:rPr>
          <w:rFonts w:cs="Arial"/>
          <w:sz w:val="20"/>
        </w:rPr>
        <w:t>[</w:t>
      </w:r>
      <w:r w:rsidRPr="00412620">
        <w:rPr>
          <w:rFonts w:cs="Arial"/>
          <w:sz w:val="20"/>
        </w:rPr>
        <w:t>Board</w:t>
      </w:r>
      <w:r w:rsidR="001E7515" w:rsidRPr="00412620">
        <w:rPr>
          <w:rFonts w:cs="Arial"/>
          <w:sz w:val="20"/>
        </w:rPr>
        <w:t>]</w:t>
      </w:r>
      <w:r w:rsidRPr="00412620">
        <w:rPr>
          <w:rFonts w:cs="Arial"/>
          <w:sz w:val="20"/>
        </w:rPr>
        <w:t xml:space="preserve"> may admit an appeal after the expiration of the period specified in sub-section (7) if satisfied that the appellant was prevented by sufficient cause from lodging the appeal within the period.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(9)</w:t>
      </w:r>
      <w:r w:rsidRPr="00412620">
        <w:rPr>
          <w:rFonts w:cs="Arial"/>
          <w:sz w:val="20"/>
        </w:rPr>
        <w:tab/>
        <w:t>No order made under clause (e) of sub-section (3) or sub-section (5) shall take effect until thirty days after notice of the order is served on the person or, where an appeal has been lodged under sub-section (7), until the disposal of the appeal.</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(10)</w:t>
      </w:r>
      <w:r w:rsidRPr="00412620">
        <w:rPr>
          <w:rFonts w:cs="Arial"/>
          <w:sz w:val="20"/>
        </w:rPr>
        <w:tab/>
        <w:t xml:space="preserve"> The </w:t>
      </w:r>
      <w:r w:rsidR="001E7515" w:rsidRPr="00412620">
        <w:rPr>
          <w:rStyle w:val="FootnoteReference"/>
          <w:rFonts w:cs="Arial"/>
          <w:sz w:val="20"/>
        </w:rPr>
        <w:footnoteReference w:id="1413"/>
      </w:r>
      <w:r w:rsidR="001E7515" w:rsidRPr="00412620">
        <w:rPr>
          <w:rFonts w:cs="Arial"/>
          <w:sz w:val="20"/>
        </w:rPr>
        <w:t>[</w:t>
      </w:r>
      <w:r w:rsidRPr="00412620">
        <w:rPr>
          <w:rFonts w:cs="Arial"/>
          <w:sz w:val="20"/>
        </w:rPr>
        <w:t>Board</w:t>
      </w:r>
      <w:r w:rsidR="001E7515" w:rsidRPr="00412620">
        <w:rPr>
          <w:rFonts w:cs="Arial"/>
          <w:sz w:val="20"/>
        </w:rPr>
        <w:t>]</w:t>
      </w:r>
      <w:r w:rsidRPr="00412620">
        <w:rPr>
          <w:rFonts w:cs="Arial"/>
          <w:sz w:val="20"/>
        </w:rPr>
        <w:t xml:space="preserve"> may make rules under section </w:t>
      </w:r>
      <w:r w:rsidRPr="00412620">
        <w:rPr>
          <w:rStyle w:val="FootnoteReference"/>
          <w:rFonts w:cs="Arial"/>
          <w:sz w:val="20"/>
        </w:rPr>
        <w:footnoteReference w:id="1414"/>
      </w:r>
      <w:r w:rsidRPr="00412620">
        <w:rPr>
          <w:rFonts w:cs="Arial"/>
          <w:sz w:val="20"/>
        </w:rPr>
        <w:t>[237]for the registration of income tax practitioners and related matters, including establishing a code of conduct for such practitioners.</w:t>
      </w:r>
    </w:p>
    <w:p w:rsidR="006A3F93" w:rsidRPr="00412620" w:rsidRDefault="006A3F93">
      <w:pPr>
        <w:jc w:val="both"/>
        <w:rPr>
          <w:rFonts w:cs="Arial"/>
          <w:sz w:val="22"/>
        </w:rPr>
      </w:pPr>
    </w:p>
    <w:p w:rsidR="006A3F93" w:rsidRPr="00412620" w:rsidRDefault="006A3F93">
      <w:pPr>
        <w:jc w:val="both"/>
        <w:rPr>
          <w:rFonts w:cs="Arial"/>
          <w:sz w:val="20"/>
        </w:rPr>
      </w:pPr>
      <w:r w:rsidRPr="00412620">
        <w:rPr>
          <w:rFonts w:cs="Arial"/>
          <w:sz w:val="20"/>
        </w:rPr>
        <w:tab/>
        <w:t>(11)</w:t>
      </w:r>
      <w:r w:rsidRPr="00412620">
        <w:rPr>
          <w:rFonts w:cs="Arial"/>
          <w:sz w:val="20"/>
        </w:rPr>
        <w:tab/>
        <w:t xml:space="preserve"> In this section –</w:t>
      </w:r>
    </w:p>
    <w:p w:rsidR="006A3F93" w:rsidRPr="00412620" w:rsidRDefault="006A3F93">
      <w:pPr>
        <w:jc w:val="both"/>
        <w:rPr>
          <w:rFonts w:cs="Arial"/>
          <w:sz w:val="22"/>
        </w:rPr>
      </w:pPr>
    </w:p>
    <w:p w:rsidR="006A3F93" w:rsidRPr="00412620" w:rsidRDefault="006A3F93">
      <w:pPr>
        <w:ind w:left="1620" w:hanging="540"/>
        <w:jc w:val="both"/>
        <w:rPr>
          <w:rFonts w:cs="Arial"/>
          <w:sz w:val="20"/>
        </w:rPr>
      </w:pPr>
      <w:r w:rsidRPr="00412620">
        <w:rPr>
          <w:rFonts w:cs="Arial"/>
          <w:sz w:val="20"/>
        </w:rPr>
        <w:t>“accountant” means –</w:t>
      </w:r>
    </w:p>
    <w:p w:rsidR="006A3F93" w:rsidRPr="00412620" w:rsidRDefault="006A3F93">
      <w:pPr>
        <w:jc w:val="both"/>
        <w:rPr>
          <w:rFonts w:cs="Arial"/>
          <w:sz w:val="22"/>
        </w:rPr>
      </w:pPr>
    </w:p>
    <w:p w:rsidR="006A3F93" w:rsidRPr="00412620" w:rsidRDefault="006A3F93">
      <w:pPr>
        <w:ind w:left="1620" w:hanging="540"/>
        <w:jc w:val="both"/>
        <w:rPr>
          <w:rFonts w:cs="Arial"/>
          <w:sz w:val="20"/>
        </w:rPr>
      </w:pPr>
      <w:r w:rsidRPr="00412620">
        <w:rPr>
          <w:rFonts w:cs="Arial"/>
          <w:sz w:val="20"/>
        </w:rPr>
        <w:t>(a)</w:t>
      </w:r>
      <w:r w:rsidRPr="00412620">
        <w:rPr>
          <w:rFonts w:cs="Arial"/>
          <w:sz w:val="20"/>
        </w:rPr>
        <w:tab/>
        <w:t xml:space="preserve">a chartered accountant within the meaning of the Chartered Accountants Ordinance, 1961 (X of 1961); </w:t>
      </w:r>
    </w:p>
    <w:p w:rsidR="006A3F93" w:rsidRPr="00412620" w:rsidRDefault="006A3F93">
      <w:pPr>
        <w:jc w:val="both"/>
        <w:rPr>
          <w:rFonts w:cs="Arial"/>
          <w:sz w:val="8"/>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a cost and management accountant within the meaning of the Cost and Management Accountants Act, 1966 (XIV of 1966); or</w:t>
      </w:r>
    </w:p>
    <w:p w:rsidR="006A3F93" w:rsidRPr="00412620" w:rsidRDefault="006A3F93">
      <w:pPr>
        <w:jc w:val="both"/>
        <w:rPr>
          <w:rFonts w:cs="Arial"/>
          <w:sz w:val="10"/>
        </w:rPr>
      </w:pPr>
    </w:p>
    <w:p w:rsidR="006A3F93" w:rsidRPr="00412620" w:rsidRDefault="006A3F93">
      <w:pPr>
        <w:ind w:left="1620" w:hanging="540"/>
        <w:jc w:val="both"/>
        <w:rPr>
          <w:rFonts w:cs="Arial"/>
          <w:sz w:val="20"/>
        </w:rPr>
      </w:pPr>
      <w:r w:rsidRPr="00412620">
        <w:rPr>
          <w:rFonts w:cs="Arial"/>
          <w:sz w:val="20"/>
        </w:rPr>
        <w:lastRenderedPageBreak/>
        <w:t>(c)</w:t>
      </w:r>
      <w:r w:rsidRPr="00412620">
        <w:rPr>
          <w:rFonts w:cs="Arial"/>
          <w:sz w:val="20"/>
        </w:rPr>
        <w:tab/>
        <w:t xml:space="preserve">a member of any association of accountants recognised for the purposes of this section by the </w:t>
      </w:r>
      <w:r w:rsidR="001E7515" w:rsidRPr="00412620">
        <w:rPr>
          <w:rStyle w:val="FootnoteReference"/>
          <w:rFonts w:cs="Arial"/>
          <w:sz w:val="20"/>
        </w:rPr>
        <w:footnoteReference w:id="1415"/>
      </w:r>
      <w:r w:rsidR="001E7515" w:rsidRPr="00412620">
        <w:rPr>
          <w:rFonts w:cs="Arial"/>
          <w:sz w:val="20"/>
        </w:rPr>
        <w:t>[</w:t>
      </w:r>
      <w:r w:rsidRPr="00412620">
        <w:rPr>
          <w:rFonts w:cs="Arial"/>
          <w:sz w:val="20"/>
        </w:rPr>
        <w:t>Board</w:t>
      </w:r>
      <w:r w:rsidR="001E7515" w:rsidRPr="00412620">
        <w:rPr>
          <w:rFonts w:cs="Arial"/>
          <w:sz w:val="20"/>
        </w:rPr>
        <w:t>]</w:t>
      </w:r>
      <w:r w:rsidRPr="00412620">
        <w:rPr>
          <w:rFonts w:cs="Arial"/>
          <w:sz w:val="20"/>
        </w:rPr>
        <w:t>; and</w:t>
      </w:r>
    </w:p>
    <w:p w:rsidR="006A3F93" w:rsidRPr="00412620" w:rsidRDefault="006A3F93">
      <w:pPr>
        <w:jc w:val="both"/>
        <w:rPr>
          <w:rFonts w:cs="Arial"/>
          <w:sz w:val="20"/>
        </w:rPr>
      </w:pPr>
    </w:p>
    <w:p w:rsidR="006A3F93" w:rsidRPr="00412620" w:rsidRDefault="006A3F93">
      <w:pPr>
        <w:ind w:left="1080"/>
        <w:jc w:val="both"/>
        <w:rPr>
          <w:rFonts w:cs="Arial"/>
          <w:sz w:val="20"/>
        </w:rPr>
      </w:pPr>
      <w:r w:rsidRPr="00412620">
        <w:rPr>
          <w:rFonts w:cs="Arial"/>
          <w:sz w:val="20"/>
        </w:rPr>
        <w:t xml:space="preserve">“income tax practitioner” means a person who is registered as such by the </w:t>
      </w:r>
      <w:r w:rsidR="001E7515" w:rsidRPr="00412620">
        <w:rPr>
          <w:rStyle w:val="FootnoteReference"/>
          <w:rFonts w:cs="Arial"/>
          <w:sz w:val="20"/>
        </w:rPr>
        <w:footnoteReference w:id="1416"/>
      </w:r>
      <w:r w:rsidR="001E7515" w:rsidRPr="00412620">
        <w:rPr>
          <w:rFonts w:cs="Arial"/>
          <w:sz w:val="20"/>
        </w:rPr>
        <w:t>[</w:t>
      </w:r>
      <w:r w:rsidRPr="00412620">
        <w:rPr>
          <w:rFonts w:cs="Arial"/>
          <w:sz w:val="20"/>
        </w:rPr>
        <w:t>Board</w:t>
      </w:r>
      <w:r w:rsidR="001E7515" w:rsidRPr="00412620">
        <w:rPr>
          <w:rFonts w:cs="Arial"/>
          <w:sz w:val="20"/>
        </w:rPr>
        <w:t>]</w:t>
      </w:r>
      <w:r w:rsidRPr="00412620">
        <w:rPr>
          <w:rFonts w:cs="Arial"/>
          <w:sz w:val="20"/>
        </w:rPr>
        <w:t>, being a person who possesses such qualifications as may be prescribed for the purposes of this section or who has retired after putting in satisfactory service in the Income Tax Department for a period of not less than ten years in a post or posts not below that of Income Tax Officer.</w:t>
      </w:r>
    </w:p>
    <w:p w:rsidR="006A3F93" w:rsidRPr="00412620" w:rsidRDefault="006A3F93">
      <w:pPr>
        <w:jc w:val="both"/>
        <w:rPr>
          <w:rFonts w:cs="Arial"/>
          <w:b/>
          <w:sz w:val="22"/>
        </w:rPr>
      </w:pPr>
    </w:p>
    <w:p w:rsidR="006A3F93" w:rsidRPr="00412620" w:rsidRDefault="006A3F93">
      <w:pPr>
        <w:jc w:val="both"/>
        <w:rPr>
          <w:sz w:val="20"/>
        </w:rPr>
      </w:pPr>
      <w:r w:rsidRPr="00412620">
        <w:rPr>
          <w:rFonts w:cs="Arial"/>
          <w:b/>
          <w:sz w:val="20"/>
        </w:rPr>
        <w:t>224.</w:t>
      </w:r>
      <w:r w:rsidRPr="00412620">
        <w:rPr>
          <w:rFonts w:cs="Arial"/>
          <w:b/>
          <w:sz w:val="20"/>
        </w:rPr>
        <w:tab/>
        <w:t xml:space="preserve"> Proceedings under the Ordinance to be judicial proceedings.</w:t>
      </w:r>
      <w:r w:rsidR="00FE5DDD" w:rsidRPr="00412620">
        <w:rPr>
          <w:rFonts w:cs="Arial"/>
          <w:sz w:val="20"/>
        </w:rPr>
        <w:t xml:space="preserve"> —</w:t>
      </w:r>
      <w:r w:rsidRPr="00412620">
        <w:rPr>
          <w:sz w:val="20"/>
        </w:rPr>
        <w:t>Any proceedings under this Ordinance before the Commissioner, Commissioner (Appeals) or Appellate Tribunal shall be treated as judicial proceedings within the meaning of sections 193 and 228 of the Pakistan Penal Code, 1860 (Act XLV of 1860), and for the purposes of section 196 of the Pakistan Penal Code, 1860 (Act XLV of 1860).</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225.</w:t>
      </w:r>
      <w:r w:rsidRPr="00412620">
        <w:rPr>
          <w:rFonts w:cs="Arial"/>
          <w:b/>
          <w:sz w:val="20"/>
        </w:rPr>
        <w:tab/>
        <w:t xml:space="preserve"> Proceedings against companies under liquidation.</w:t>
      </w:r>
      <w:r w:rsidR="00FE5DDD" w:rsidRPr="00412620">
        <w:rPr>
          <w:rFonts w:cs="Arial"/>
          <w:sz w:val="20"/>
        </w:rPr>
        <w:t xml:space="preserve"> —</w:t>
      </w:r>
      <w:r w:rsidRPr="00412620">
        <w:rPr>
          <w:sz w:val="20"/>
        </w:rPr>
        <w:t>Notwithstanding anything contained in section 316 of the Companies Ordinance, 1984 (XLVII of 1984), leave of the Court shall not be required for continuing with or commencing any proceeding under this Ordinance against a company in respect of which a winding up order has been made or Provisional Liquidator appointed.</w:t>
      </w:r>
    </w:p>
    <w:p w:rsidR="006A3F93" w:rsidRPr="00412620" w:rsidRDefault="006A3F93">
      <w:pPr>
        <w:jc w:val="both"/>
        <w:rPr>
          <w:rFonts w:cs="Arial"/>
          <w:b/>
          <w:sz w:val="20"/>
        </w:rPr>
      </w:pPr>
    </w:p>
    <w:p w:rsidR="006A3F93" w:rsidRPr="00412620" w:rsidRDefault="006A3F93">
      <w:pPr>
        <w:jc w:val="both"/>
        <w:rPr>
          <w:sz w:val="20"/>
        </w:rPr>
      </w:pPr>
      <w:r w:rsidRPr="00412620">
        <w:rPr>
          <w:rFonts w:cs="Arial"/>
          <w:b/>
          <w:sz w:val="20"/>
        </w:rPr>
        <w:t>226.</w:t>
      </w:r>
      <w:r w:rsidRPr="00412620">
        <w:rPr>
          <w:rFonts w:cs="Arial"/>
          <w:b/>
          <w:sz w:val="20"/>
        </w:rPr>
        <w:tab/>
        <w:t xml:space="preserve"> Computation of limitation period.</w:t>
      </w:r>
      <w:r w:rsidR="00FE5DDD" w:rsidRPr="00412620">
        <w:rPr>
          <w:rFonts w:cs="Arial"/>
          <w:sz w:val="20"/>
        </w:rPr>
        <w:t xml:space="preserve"> —</w:t>
      </w:r>
      <w:r w:rsidRPr="00412620">
        <w:rPr>
          <w:sz w:val="20"/>
        </w:rPr>
        <w:t>In computing the period of limitation, there shall be excluded –</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in the case of an appeal or an application under this Ordinance, the day on which the order complained of was served and, if the taxpayer was not furnished with a copy of the order when the notice of the order was served on the taxpayer, the time requisite for obtaining a copy of such order; and</w:t>
      </w:r>
    </w:p>
    <w:p w:rsidR="006A3F93" w:rsidRPr="00412620" w:rsidRDefault="006A3F93">
      <w:pPr>
        <w:jc w:val="both"/>
        <w:rPr>
          <w:rFonts w:cs="Arial"/>
          <w:sz w:val="20"/>
        </w:rPr>
      </w:pPr>
    </w:p>
    <w:p w:rsidR="00C77EDF" w:rsidRPr="00412620" w:rsidRDefault="000B4EF9" w:rsidP="000B4EF9">
      <w:pPr>
        <w:ind w:left="1620" w:hanging="630"/>
        <w:jc w:val="both"/>
        <w:rPr>
          <w:rFonts w:cs="Arial"/>
          <w:sz w:val="20"/>
        </w:rPr>
      </w:pPr>
      <w:r w:rsidRPr="00412620">
        <w:rPr>
          <w:rStyle w:val="FootnoteReference"/>
          <w:rFonts w:cs="Arial"/>
          <w:sz w:val="20"/>
        </w:rPr>
        <w:footnoteReference w:id="1417"/>
      </w:r>
      <w:r w:rsidR="00C77EDF" w:rsidRPr="00412620">
        <w:rPr>
          <w:rFonts w:cs="Arial"/>
          <w:sz w:val="20"/>
        </w:rPr>
        <w:t xml:space="preserve">[(b) </w:t>
      </w:r>
      <w:r w:rsidR="00C77EDF" w:rsidRPr="00412620">
        <w:rPr>
          <w:rFonts w:cs="Arial"/>
          <w:sz w:val="20"/>
        </w:rPr>
        <w:tab/>
        <w:t>in the case of an assessment or other proceeding under this Ordinance,—</w:t>
      </w:r>
    </w:p>
    <w:p w:rsidR="00C77EDF" w:rsidRPr="00412620" w:rsidRDefault="00C77EDF">
      <w:pPr>
        <w:jc w:val="both"/>
        <w:rPr>
          <w:rFonts w:cs="Arial"/>
          <w:sz w:val="20"/>
        </w:rPr>
      </w:pPr>
    </w:p>
    <w:p w:rsidR="00C77EDF" w:rsidRPr="00412620" w:rsidRDefault="00C77EDF" w:rsidP="00C77EDF">
      <w:pPr>
        <w:ind w:left="2188" w:hanging="553"/>
        <w:jc w:val="both"/>
        <w:rPr>
          <w:rFonts w:cs="Arial"/>
          <w:sz w:val="20"/>
        </w:rPr>
      </w:pPr>
      <w:r w:rsidRPr="00412620">
        <w:rPr>
          <w:rFonts w:cs="Arial"/>
          <w:sz w:val="20"/>
        </w:rPr>
        <w:t xml:space="preserve">(i) </w:t>
      </w:r>
      <w:r w:rsidRPr="00412620">
        <w:rPr>
          <w:rFonts w:cs="Arial"/>
          <w:sz w:val="20"/>
        </w:rPr>
        <w:tab/>
        <w:t>the period, if any, for which such proceedings were stayed by any Court, Appellate Tribunal or any other authority; or</w:t>
      </w:r>
    </w:p>
    <w:p w:rsidR="00C77EDF" w:rsidRPr="00412620" w:rsidRDefault="00C77EDF">
      <w:pPr>
        <w:jc w:val="both"/>
        <w:rPr>
          <w:rFonts w:cs="Arial"/>
          <w:sz w:val="20"/>
        </w:rPr>
      </w:pPr>
    </w:p>
    <w:p w:rsidR="00C77EDF" w:rsidRPr="00412620" w:rsidRDefault="00C77EDF" w:rsidP="00C77EDF">
      <w:pPr>
        <w:ind w:left="2188" w:hanging="553"/>
        <w:jc w:val="both"/>
        <w:rPr>
          <w:rFonts w:cs="Arial"/>
          <w:sz w:val="20"/>
        </w:rPr>
      </w:pPr>
      <w:r w:rsidRPr="00412620">
        <w:rPr>
          <w:rFonts w:cs="Arial"/>
          <w:sz w:val="20"/>
        </w:rPr>
        <w:lastRenderedPageBreak/>
        <w:t xml:space="preserve">(ii) </w:t>
      </w:r>
      <w:r w:rsidRPr="00412620">
        <w:rPr>
          <w:rFonts w:cs="Arial"/>
          <w:sz w:val="20"/>
        </w:rPr>
        <w:tab/>
        <w:t>the period, if any, for which any proceeding for the tax year remained pending before any Court, Appellate Tribunal or any other authority.]</w:t>
      </w:r>
    </w:p>
    <w:p w:rsidR="00C77EDF" w:rsidRPr="00412620" w:rsidRDefault="00C77EDF">
      <w:pPr>
        <w:jc w:val="both"/>
        <w:rPr>
          <w:rFonts w:cs="Arial"/>
          <w:sz w:val="20"/>
        </w:rPr>
      </w:pPr>
    </w:p>
    <w:p w:rsidR="006A3F93" w:rsidRPr="00412620" w:rsidRDefault="002702DE">
      <w:pPr>
        <w:jc w:val="both"/>
        <w:rPr>
          <w:sz w:val="20"/>
        </w:rPr>
      </w:pPr>
      <w:r w:rsidRPr="00412620">
        <w:rPr>
          <w:rFonts w:cs="Arial"/>
          <w:sz w:val="20"/>
        </w:rPr>
        <w:tab/>
      </w:r>
      <w:r w:rsidR="006A3F93" w:rsidRPr="00412620">
        <w:rPr>
          <w:rFonts w:cs="Arial"/>
          <w:b/>
          <w:sz w:val="20"/>
        </w:rPr>
        <w:t>227.</w:t>
      </w:r>
      <w:r w:rsidR="006A3F93" w:rsidRPr="00412620">
        <w:rPr>
          <w:rFonts w:cs="Arial"/>
          <w:b/>
          <w:sz w:val="20"/>
        </w:rPr>
        <w:tab/>
        <w:t xml:space="preserve"> Bar of suits in Civil Courts.</w:t>
      </w:r>
      <w:r w:rsidR="002B231B" w:rsidRPr="00412620">
        <w:rPr>
          <w:rFonts w:cs="Arial"/>
          <w:b/>
          <w:sz w:val="20"/>
        </w:rPr>
        <w:t xml:space="preserve">— </w:t>
      </w:r>
      <w:r w:rsidR="002B231B" w:rsidRPr="00412620">
        <w:rPr>
          <w:rStyle w:val="FootnoteReference"/>
          <w:rFonts w:cs="Arial"/>
          <w:b/>
          <w:sz w:val="20"/>
        </w:rPr>
        <w:footnoteReference w:id="1418"/>
      </w:r>
      <w:r w:rsidR="002B231B" w:rsidRPr="00412620">
        <w:rPr>
          <w:rFonts w:cs="Arial"/>
          <w:sz w:val="20"/>
        </w:rPr>
        <w:t xml:space="preserve">[(1)] </w:t>
      </w:r>
      <w:r w:rsidR="006A3F93" w:rsidRPr="00412620">
        <w:rPr>
          <w:sz w:val="20"/>
        </w:rPr>
        <w:t>No suit or other legal proceeding shall be brought in any Civil Court against any order made under this Ordinance, and no prosecution, suit or other proceedings shall be made against any person for anything which is in good faith done or intended to be done under this Ordinance or any rules or orders made thereunder.</w:t>
      </w:r>
    </w:p>
    <w:p w:rsidR="006A3F93" w:rsidRPr="000B4823" w:rsidRDefault="006A3F93">
      <w:pPr>
        <w:pStyle w:val="Header"/>
        <w:tabs>
          <w:tab w:val="left" w:pos="547"/>
        </w:tabs>
        <w:rPr>
          <w:rFonts w:cs="Arial"/>
          <w:sz w:val="16"/>
          <w:szCs w:val="24"/>
        </w:rPr>
      </w:pPr>
    </w:p>
    <w:p w:rsidR="00D07A8F" w:rsidRPr="00412620" w:rsidRDefault="00D07A8F" w:rsidP="00D07A8F">
      <w:pPr>
        <w:jc w:val="both"/>
        <w:rPr>
          <w:rFonts w:cs="Arial"/>
          <w:sz w:val="20"/>
        </w:rPr>
      </w:pPr>
      <w:r w:rsidRPr="00412620">
        <w:rPr>
          <w:rFonts w:cs="Arial"/>
          <w:sz w:val="20"/>
        </w:rPr>
        <w:tab/>
      </w:r>
      <w:r w:rsidRPr="00412620">
        <w:rPr>
          <w:rStyle w:val="FootnoteReference"/>
          <w:rFonts w:cs="Arial"/>
          <w:sz w:val="20"/>
        </w:rPr>
        <w:footnoteReference w:id="1419"/>
      </w:r>
      <w:r w:rsidRPr="00412620">
        <w:rPr>
          <w:rFonts w:cs="Arial"/>
          <w:sz w:val="20"/>
        </w:rPr>
        <w:t xml:space="preserve">[(2) </w:t>
      </w:r>
      <w:r w:rsidRPr="00412620">
        <w:rPr>
          <w:rFonts w:cs="Arial"/>
          <w:sz w:val="20"/>
        </w:rPr>
        <w:tab/>
        <w:t>Notwithstanding anything contained in any other law for the time being in force, no investigation or inquiry shall be undertaken or initiated by any governmental agency against any officer or official for anything done in his official capacity under this Ordinance, rules, instructions or direction made or issued there-under without the prior approval of the Board.]</w:t>
      </w:r>
    </w:p>
    <w:p w:rsidR="009142DA" w:rsidRPr="00412620" w:rsidRDefault="009142DA" w:rsidP="00D07A8F">
      <w:pPr>
        <w:jc w:val="both"/>
        <w:rPr>
          <w:rFonts w:cs="Arial"/>
          <w:sz w:val="20"/>
        </w:rPr>
      </w:pPr>
    </w:p>
    <w:p w:rsidR="009142DA" w:rsidRPr="00061D47" w:rsidRDefault="009142DA" w:rsidP="00D07A8F">
      <w:pPr>
        <w:jc w:val="both"/>
        <w:rPr>
          <w:rFonts w:cs="Arial"/>
          <w:sz w:val="20"/>
        </w:rPr>
      </w:pPr>
      <w:r w:rsidRPr="00412620">
        <w:rPr>
          <w:rFonts w:cs="Arial"/>
          <w:sz w:val="20"/>
        </w:rPr>
        <w:tab/>
      </w:r>
      <w:r w:rsidR="004C342E" w:rsidRPr="00412620">
        <w:rPr>
          <w:rStyle w:val="FootnoteReference"/>
          <w:rFonts w:cs="Arial"/>
          <w:sz w:val="20"/>
        </w:rPr>
        <w:footnoteReference w:id="1420"/>
      </w:r>
      <w:r w:rsidRPr="00412620">
        <w:rPr>
          <w:rFonts w:cs="Arial"/>
          <w:sz w:val="20"/>
        </w:rPr>
        <w:t>[</w:t>
      </w:r>
      <w:r w:rsidRPr="00412620">
        <w:rPr>
          <w:rFonts w:cs="Arial"/>
          <w:b/>
          <w:sz w:val="20"/>
        </w:rPr>
        <w:t>227A.</w:t>
      </w:r>
      <w:r w:rsidR="00051E71">
        <w:rPr>
          <w:rFonts w:cs="Arial"/>
          <w:b/>
          <w:sz w:val="20"/>
        </w:rPr>
        <w:t xml:space="preserve"> </w:t>
      </w:r>
      <w:r w:rsidRPr="00412620">
        <w:rPr>
          <w:rFonts w:cs="Arial"/>
          <w:b/>
          <w:sz w:val="20"/>
        </w:rPr>
        <w:t>Reward to officers and officials of Inland Revenue.</w:t>
      </w:r>
      <w:r w:rsidRPr="00412620">
        <w:rPr>
          <w:rFonts w:cs="Arial"/>
          <w:sz w:val="20"/>
        </w:rPr>
        <w:t xml:space="preserve">— (1) In </w:t>
      </w:r>
      <w:r w:rsidRPr="00061D47">
        <w:rPr>
          <w:rFonts w:cs="Arial"/>
          <w:sz w:val="20"/>
        </w:rPr>
        <w:t xml:space="preserve">cases involving concealment or evasion of income tax and other taxes, cash </w:t>
      </w:r>
      <w:r w:rsidR="00CD790F" w:rsidRPr="00061D47">
        <w:rPr>
          <w:rFonts w:cs="Arial"/>
          <w:sz w:val="20"/>
        </w:rPr>
        <w:t>reward</w:t>
      </w:r>
      <w:r w:rsidRPr="00061D47">
        <w:rPr>
          <w:rFonts w:cs="Arial"/>
          <w:sz w:val="20"/>
        </w:rPr>
        <w:t xml:space="preserve"> shall, only after realization of part or whole of the taxes involved in such cases, be sanctioned to the officers and officials of Inland Revenue for their meritorious conduct in such cases and to the </w:t>
      </w:r>
      <w:r w:rsidR="00DF2D52" w:rsidRPr="00061D47">
        <w:rPr>
          <w:rFonts w:cs="Arial"/>
          <w:sz w:val="20"/>
        </w:rPr>
        <w:t xml:space="preserve">informer </w:t>
      </w:r>
      <w:r w:rsidRPr="00061D47">
        <w:rPr>
          <w:rFonts w:cs="Arial"/>
          <w:sz w:val="20"/>
        </w:rPr>
        <w:t>providing credible information leading to such detection.</w:t>
      </w:r>
    </w:p>
    <w:p w:rsidR="009142DA" w:rsidRPr="0093020E" w:rsidRDefault="009142DA" w:rsidP="00D07A8F">
      <w:pPr>
        <w:jc w:val="both"/>
        <w:rPr>
          <w:rFonts w:cs="Arial"/>
          <w:sz w:val="16"/>
        </w:rPr>
      </w:pPr>
    </w:p>
    <w:p w:rsidR="009142DA" w:rsidRDefault="009142DA" w:rsidP="00D07A8F">
      <w:pPr>
        <w:jc w:val="both"/>
        <w:rPr>
          <w:rFonts w:cs="Arial"/>
          <w:sz w:val="20"/>
        </w:rPr>
      </w:pPr>
      <w:r w:rsidRPr="00061D47">
        <w:rPr>
          <w:rFonts w:cs="Arial"/>
          <w:sz w:val="20"/>
        </w:rPr>
        <w:tab/>
        <w:t>(2)</w:t>
      </w:r>
      <w:r w:rsidRPr="00061D47">
        <w:rPr>
          <w:rFonts w:cs="Arial"/>
          <w:sz w:val="20"/>
        </w:rPr>
        <w:tab/>
        <w:t xml:space="preserve">The Board may, by notification in the official Gazette, </w:t>
      </w:r>
      <w:r w:rsidR="00CD790F" w:rsidRPr="00061D47">
        <w:rPr>
          <w:rFonts w:cs="Arial"/>
          <w:sz w:val="20"/>
        </w:rPr>
        <w:t>prescribe</w:t>
      </w:r>
      <w:r w:rsidRPr="00061D47">
        <w:rPr>
          <w:rFonts w:cs="Arial"/>
          <w:sz w:val="20"/>
        </w:rPr>
        <w:t xml:space="preserve"> the procedure in this behalf and also specify the apportionment of reward sanctioned</w:t>
      </w:r>
      <w:r w:rsidRPr="00412620">
        <w:rPr>
          <w:rFonts w:cs="Arial"/>
          <w:sz w:val="20"/>
        </w:rPr>
        <w:t xml:space="preserve"> under this section for individual performance or to collective welfare of the officers and officials of Inland Revenue.]</w:t>
      </w:r>
    </w:p>
    <w:p w:rsidR="004C52AC" w:rsidRDefault="004C52AC" w:rsidP="00D07A8F">
      <w:pPr>
        <w:jc w:val="both"/>
        <w:rPr>
          <w:rFonts w:cs="Arial"/>
          <w:sz w:val="20"/>
        </w:rPr>
      </w:pPr>
    </w:p>
    <w:p w:rsidR="004C52AC" w:rsidRPr="00FB1860" w:rsidRDefault="00000C8C" w:rsidP="004C52AC">
      <w:pPr>
        <w:autoSpaceDE w:val="0"/>
        <w:autoSpaceDN w:val="0"/>
        <w:adjustRightInd w:val="0"/>
        <w:jc w:val="both"/>
        <w:rPr>
          <w:rFonts w:cs="Arial"/>
          <w:color w:val="000000" w:themeColor="text1"/>
          <w:sz w:val="20"/>
          <w:lang w:val="en-US"/>
        </w:rPr>
      </w:pPr>
      <w:r w:rsidRPr="00FB1860">
        <w:rPr>
          <w:rStyle w:val="FootnoteReference"/>
          <w:rFonts w:cs="Arial"/>
          <w:b/>
          <w:bCs/>
          <w:color w:val="000000" w:themeColor="text1"/>
          <w:sz w:val="20"/>
          <w:lang w:val="en-US"/>
        </w:rPr>
        <w:footnoteReference w:id="1421"/>
      </w:r>
      <w:r w:rsidR="004C52AC" w:rsidRPr="00FB1860">
        <w:rPr>
          <w:rFonts w:cs="Arial"/>
          <w:b/>
          <w:bCs/>
          <w:color w:val="000000" w:themeColor="text1"/>
          <w:sz w:val="20"/>
          <w:lang w:val="en-US"/>
        </w:rPr>
        <w:t>[“227B. Reward to whistleblowers.</w:t>
      </w:r>
      <w:r w:rsidR="004C52AC" w:rsidRPr="00FB1860">
        <w:rPr>
          <w:rFonts w:cs="Arial"/>
          <w:color w:val="000000" w:themeColor="text1"/>
          <w:sz w:val="20"/>
          <w:lang w:val="en-US"/>
        </w:rPr>
        <w:t>—(1) The Board may sanction reward to whistleblowers in cases of concealment or evasion of income tax, fraud, corruption or misconduct providing credible information leading to such detection of tax.</w:t>
      </w:r>
    </w:p>
    <w:p w:rsidR="004C52AC" w:rsidRPr="00FB1860" w:rsidRDefault="004C52AC" w:rsidP="004C52AC">
      <w:pPr>
        <w:autoSpaceDE w:val="0"/>
        <w:autoSpaceDN w:val="0"/>
        <w:adjustRightInd w:val="0"/>
        <w:jc w:val="both"/>
        <w:rPr>
          <w:rFonts w:cs="Arial"/>
          <w:color w:val="000000" w:themeColor="text1"/>
          <w:sz w:val="12"/>
          <w:lang w:val="en-US"/>
        </w:rPr>
      </w:pPr>
    </w:p>
    <w:p w:rsidR="004C52AC" w:rsidRPr="00FB1860" w:rsidRDefault="004C52AC" w:rsidP="00FB1860">
      <w:pPr>
        <w:autoSpaceDE w:val="0"/>
        <w:autoSpaceDN w:val="0"/>
        <w:adjustRightInd w:val="0"/>
        <w:ind w:firstLine="547"/>
        <w:jc w:val="both"/>
        <w:rPr>
          <w:rFonts w:cs="Arial"/>
          <w:color w:val="000000" w:themeColor="text1"/>
          <w:sz w:val="20"/>
          <w:lang w:val="en-US"/>
        </w:rPr>
      </w:pPr>
      <w:r w:rsidRPr="00FB1860">
        <w:rPr>
          <w:rFonts w:cs="Arial"/>
          <w:color w:val="000000" w:themeColor="text1"/>
          <w:sz w:val="20"/>
          <w:lang w:val="en-US"/>
        </w:rPr>
        <w:t>(2) The Board may, by notification in the official Gazette, prescribe the procedure in this behalf and also specify the apportionment of reward sanctioned under this section for whistleblowers.</w:t>
      </w:r>
    </w:p>
    <w:p w:rsidR="004C52AC" w:rsidRPr="00FB1860" w:rsidRDefault="004C52AC" w:rsidP="004C52AC">
      <w:pPr>
        <w:autoSpaceDE w:val="0"/>
        <w:autoSpaceDN w:val="0"/>
        <w:adjustRightInd w:val="0"/>
        <w:jc w:val="both"/>
        <w:rPr>
          <w:rFonts w:cs="Arial"/>
          <w:color w:val="000000" w:themeColor="text1"/>
          <w:sz w:val="12"/>
          <w:lang w:val="en-US"/>
        </w:rPr>
      </w:pPr>
    </w:p>
    <w:p w:rsidR="004C52AC" w:rsidRPr="00FB1860" w:rsidRDefault="004C52AC" w:rsidP="00FB1860">
      <w:pPr>
        <w:autoSpaceDE w:val="0"/>
        <w:autoSpaceDN w:val="0"/>
        <w:adjustRightInd w:val="0"/>
        <w:ind w:firstLine="547"/>
        <w:jc w:val="both"/>
        <w:rPr>
          <w:rFonts w:cs="Arial"/>
          <w:color w:val="000000" w:themeColor="text1"/>
          <w:sz w:val="20"/>
          <w:lang w:val="en-US"/>
        </w:rPr>
      </w:pPr>
      <w:r w:rsidRPr="00FB1860">
        <w:rPr>
          <w:rFonts w:cs="Arial"/>
          <w:color w:val="000000" w:themeColor="text1"/>
          <w:sz w:val="20"/>
          <w:lang w:val="en-US"/>
        </w:rPr>
        <w:t>(3) The claim for reward by the whistleblower shall be rejected, if—</w:t>
      </w:r>
    </w:p>
    <w:p w:rsidR="004C52AC" w:rsidRPr="00FB1860" w:rsidRDefault="004C52AC" w:rsidP="004C52AC">
      <w:pPr>
        <w:autoSpaceDE w:val="0"/>
        <w:autoSpaceDN w:val="0"/>
        <w:adjustRightInd w:val="0"/>
        <w:jc w:val="both"/>
        <w:rPr>
          <w:rFonts w:cs="Arial"/>
          <w:color w:val="000000" w:themeColor="text1"/>
          <w:sz w:val="10"/>
          <w:lang w:val="en-US"/>
        </w:rPr>
      </w:pPr>
    </w:p>
    <w:p w:rsidR="004C52AC" w:rsidRPr="00FB1860" w:rsidRDefault="004C52AC" w:rsidP="009D35A4">
      <w:pPr>
        <w:autoSpaceDE w:val="0"/>
        <w:autoSpaceDN w:val="0"/>
        <w:adjustRightInd w:val="0"/>
        <w:ind w:left="547" w:firstLine="547"/>
        <w:jc w:val="both"/>
        <w:rPr>
          <w:rFonts w:cs="Arial"/>
          <w:color w:val="000000" w:themeColor="text1"/>
          <w:sz w:val="20"/>
          <w:lang w:val="en-US"/>
        </w:rPr>
      </w:pPr>
      <w:r w:rsidRPr="00FB1860">
        <w:rPr>
          <w:rFonts w:cs="Arial"/>
          <w:color w:val="000000" w:themeColor="text1"/>
          <w:sz w:val="20"/>
          <w:lang w:val="en-US"/>
        </w:rPr>
        <w:t>(a) the information provided is of no value;</w:t>
      </w:r>
    </w:p>
    <w:p w:rsidR="004C52AC" w:rsidRPr="00FB1860" w:rsidRDefault="004C52AC" w:rsidP="009D35A4">
      <w:pPr>
        <w:autoSpaceDE w:val="0"/>
        <w:autoSpaceDN w:val="0"/>
        <w:adjustRightInd w:val="0"/>
        <w:ind w:left="547" w:firstLine="547"/>
        <w:jc w:val="both"/>
        <w:rPr>
          <w:rFonts w:cs="Arial"/>
          <w:color w:val="000000" w:themeColor="text1"/>
          <w:sz w:val="20"/>
          <w:lang w:val="en-US"/>
        </w:rPr>
      </w:pPr>
      <w:r w:rsidRPr="00FB1860">
        <w:rPr>
          <w:rFonts w:cs="Arial"/>
          <w:color w:val="000000" w:themeColor="text1"/>
          <w:sz w:val="20"/>
          <w:lang w:val="en-US"/>
        </w:rPr>
        <w:t>(b) the Board already had the information;</w:t>
      </w:r>
    </w:p>
    <w:p w:rsidR="004C52AC" w:rsidRPr="00FB1860" w:rsidRDefault="004C52AC" w:rsidP="009D35A4">
      <w:pPr>
        <w:autoSpaceDE w:val="0"/>
        <w:autoSpaceDN w:val="0"/>
        <w:adjustRightInd w:val="0"/>
        <w:ind w:left="547" w:firstLine="547"/>
        <w:jc w:val="both"/>
        <w:rPr>
          <w:rFonts w:cs="Arial"/>
          <w:color w:val="000000" w:themeColor="text1"/>
          <w:sz w:val="20"/>
          <w:lang w:val="en-US"/>
        </w:rPr>
      </w:pPr>
      <w:r w:rsidRPr="00FB1860">
        <w:rPr>
          <w:rFonts w:cs="Arial"/>
          <w:color w:val="000000" w:themeColor="text1"/>
          <w:sz w:val="20"/>
          <w:lang w:val="en-US"/>
        </w:rPr>
        <w:t>(c) the information was available in public records; or</w:t>
      </w:r>
    </w:p>
    <w:p w:rsidR="004C52AC" w:rsidRPr="00FB1860" w:rsidRDefault="004C52AC" w:rsidP="009D35A4">
      <w:pPr>
        <w:autoSpaceDE w:val="0"/>
        <w:autoSpaceDN w:val="0"/>
        <w:adjustRightInd w:val="0"/>
        <w:ind w:left="547" w:firstLine="547"/>
        <w:jc w:val="both"/>
        <w:rPr>
          <w:rFonts w:cs="Arial"/>
          <w:color w:val="000000" w:themeColor="text1"/>
          <w:sz w:val="20"/>
          <w:lang w:val="en-US"/>
        </w:rPr>
      </w:pPr>
      <w:r w:rsidRPr="00FB1860">
        <w:rPr>
          <w:rFonts w:cs="Arial"/>
          <w:color w:val="000000" w:themeColor="text1"/>
          <w:sz w:val="20"/>
          <w:lang w:val="en-US"/>
        </w:rPr>
        <w:t>(d) no collection of taxes is made from the information provided</w:t>
      </w:r>
    </w:p>
    <w:p w:rsidR="004C52AC" w:rsidRPr="00FB1860" w:rsidRDefault="004C52AC" w:rsidP="009D35A4">
      <w:pPr>
        <w:autoSpaceDE w:val="0"/>
        <w:autoSpaceDN w:val="0"/>
        <w:adjustRightInd w:val="0"/>
        <w:ind w:left="1357" w:hanging="7"/>
        <w:jc w:val="both"/>
        <w:rPr>
          <w:rFonts w:cs="Arial"/>
          <w:color w:val="000000" w:themeColor="text1"/>
          <w:sz w:val="20"/>
          <w:lang w:val="en-US"/>
        </w:rPr>
      </w:pPr>
      <w:r w:rsidRPr="00FB1860">
        <w:rPr>
          <w:rFonts w:cs="Arial"/>
          <w:color w:val="000000" w:themeColor="text1"/>
          <w:sz w:val="20"/>
          <w:lang w:val="en-US"/>
        </w:rPr>
        <w:t>from which the Board can pay the reward.</w:t>
      </w:r>
    </w:p>
    <w:p w:rsidR="004C52AC" w:rsidRPr="00FB1860" w:rsidRDefault="004C52AC" w:rsidP="00000C8C">
      <w:pPr>
        <w:autoSpaceDE w:val="0"/>
        <w:autoSpaceDN w:val="0"/>
        <w:adjustRightInd w:val="0"/>
        <w:ind w:firstLine="547"/>
        <w:jc w:val="both"/>
        <w:rPr>
          <w:rFonts w:cs="Arial"/>
          <w:color w:val="000000" w:themeColor="text1"/>
          <w:sz w:val="20"/>
        </w:rPr>
      </w:pPr>
      <w:r w:rsidRPr="00FB1860">
        <w:rPr>
          <w:rFonts w:cs="Arial"/>
          <w:color w:val="000000" w:themeColor="text1"/>
          <w:sz w:val="20"/>
          <w:lang w:val="en-US"/>
        </w:rPr>
        <w:lastRenderedPageBreak/>
        <w:t xml:space="preserve">(4) For the purpose of this section, </w:t>
      </w:r>
      <w:r w:rsidR="00000C8C" w:rsidRPr="00FB1860">
        <w:rPr>
          <w:rFonts w:cs="Arial"/>
          <w:color w:val="000000" w:themeColor="text1"/>
          <w:sz w:val="20"/>
          <w:lang w:val="en-US"/>
        </w:rPr>
        <w:t>“</w:t>
      </w:r>
      <w:r w:rsidRPr="00FB1860">
        <w:rPr>
          <w:rFonts w:cs="Arial"/>
          <w:color w:val="000000" w:themeColor="text1"/>
          <w:sz w:val="20"/>
          <w:lang w:val="en-US"/>
        </w:rPr>
        <w:t>whistleblower</w:t>
      </w:r>
      <w:r w:rsidR="00000C8C" w:rsidRPr="00FB1860">
        <w:rPr>
          <w:rFonts w:cs="Arial"/>
          <w:color w:val="000000" w:themeColor="text1"/>
          <w:sz w:val="20"/>
          <w:lang w:val="en-US"/>
        </w:rPr>
        <w:t>”</w:t>
      </w:r>
      <w:r w:rsidRPr="00FB1860">
        <w:rPr>
          <w:rFonts w:cs="Arial"/>
          <w:color w:val="000000" w:themeColor="text1"/>
          <w:sz w:val="20"/>
          <w:lang w:val="en-US"/>
        </w:rPr>
        <w:t xml:space="preserve"> means a person</w:t>
      </w:r>
      <w:r w:rsidR="00C47F79" w:rsidRPr="00FB1860">
        <w:rPr>
          <w:rFonts w:cs="Arial"/>
          <w:color w:val="000000" w:themeColor="text1"/>
          <w:sz w:val="20"/>
          <w:lang w:val="en-US"/>
        </w:rPr>
        <w:t xml:space="preserve"> </w:t>
      </w:r>
      <w:r w:rsidRPr="00FB1860">
        <w:rPr>
          <w:rFonts w:cs="Arial"/>
          <w:color w:val="000000" w:themeColor="text1"/>
          <w:sz w:val="20"/>
          <w:lang w:val="en-US"/>
        </w:rPr>
        <w:t>who reports concealment or evasion of income tax leading to detection or</w:t>
      </w:r>
      <w:r w:rsidR="00C47F79" w:rsidRPr="00FB1860">
        <w:rPr>
          <w:rFonts w:cs="Arial"/>
          <w:color w:val="000000" w:themeColor="text1"/>
          <w:sz w:val="20"/>
          <w:lang w:val="en-US"/>
        </w:rPr>
        <w:t xml:space="preserve"> </w:t>
      </w:r>
      <w:r w:rsidRPr="00FB1860">
        <w:rPr>
          <w:rFonts w:cs="Arial"/>
          <w:color w:val="000000" w:themeColor="text1"/>
          <w:sz w:val="20"/>
          <w:lang w:val="en-US"/>
        </w:rPr>
        <w:t>collection of taxes, fraud, corruption or misconduct, to the competent</w:t>
      </w:r>
      <w:r w:rsidR="00C47F79" w:rsidRPr="00FB1860">
        <w:rPr>
          <w:rFonts w:cs="Arial"/>
          <w:color w:val="000000" w:themeColor="text1"/>
          <w:sz w:val="20"/>
          <w:lang w:val="en-US"/>
        </w:rPr>
        <w:t xml:space="preserve"> </w:t>
      </w:r>
      <w:r w:rsidRPr="00FB1860">
        <w:rPr>
          <w:rFonts w:cs="Arial"/>
          <w:color w:val="000000" w:themeColor="text1"/>
          <w:sz w:val="20"/>
          <w:lang w:val="en-US"/>
        </w:rPr>
        <w:t>authority having power to take action against the person or an income tax</w:t>
      </w:r>
      <w:r w:rsidR="00C47F79" w:rsidRPr="00FB1860">
        <w:rPr>
          <w:rFonts w:cs="Arial"/>
          <w:color w:val="000000" w:themeColor="text1"/>
          <w:sz w:val="20"/>
          <w:lang w:val="en-US"/>
        </w:rPr>
        <w:t xml:space="preserve"> </w:t>
      </w:r>
      <w:r w:rsidRPr="00FB1860">
        <w:rPr>
          <w:rFonts w:cs="Arial"/>
          <w:color w:val="000000" w:themeColor="text1"/>
          <w:sz w:val="20"/>
          <w:lang w:val="en-US"/>
        </w:rPr>
        <w:t>authority committing fraud, corruption, misconduct, or involved in</w:t>
      </w:r>
      <w:r w:rsidR="00C47F79" w:rsidRPr="00FB1860">
        <w:rPr>
          <w:rFonts w:cs="Arial"/>
          <w:color w:val="000000" w:themeColor="text1"/>
          <w:sz w:val="20"/>
          <w:lang w:val="en-US"/>
        </w:rPr>
        <w:t xml:space="preserve"> </w:t>
      </w:r>
      <w:r w:rsidRPr="00FB1860">
        <w:rPr>
          <w:rFonts w:cs="Arial"/>
          <w:color w:val="000000" w:themeColor="text1"/>
          <w:sz w:val="20"/>
          <w:lang w:val="en-US"/>
        </w:rPr>
        <w:t>concealment or evasion of taxes.</w:t>
      </w:r>
      <w:r w:rsidR="00000C8C" w:rsidRPr="00FB1860">
        <w:rPr>
          <w:rFonts w:cs="Arial"/>
          <w:color w:val="000000" w:themeColor="text1"/>
          <w:sz w:val="20"/>
          <w:lang w:val="en-US"/>
        </w:rPr>
        <w:t>”]</w:t>
      </w:r>
    </w:p>
    <w:p w:rsidR="00D07A8F" w:rsidRPr="00412620" w:rsidRDefault="00D07A8F">
      <w:pPr>
        <w:pStyle w:val="Header"/>
        <w:tabs>
          <w:tab w:val="left" w:pos="547"/>
        </w:tabs>
        <w:rPr>
          <w:rFonts w:cs="Arial"/>
          <w:sz w:val="20"/>
          <w:szCs w:val="24"/>
        </w:rPr>
      </w:pPr>
    </w:p>
    <w:p w:rsidR="002B7E51" w:rsidRPr="00412620" w:rsidRDefault="002B7E51">
      <w:pPr>
        <w:pStyle w:val="Header"/>
        <w:tabs>
          <w:tab w:val="left" w:pos="547"/>
        </w:tabs>
        <w:rPr>
          <w:rFonts w:cs="Arial"/>
          <w:sz w:val="6"/>
          <w:szCs w:val="24"/>
        </w:rPr>
      </w:pPr>
    </w:p>
    <w:p w:rsidR="006A3F93" w:rsidRPr="00412620" w:rsidRDefault="006A3F93">
      <w:pPr>
        <w:keepNext/>
        <w:jc w:val="center"/>
        <w:rPr>
          <w:rFonts w:cs="Arial"/>
          <w:b/>
          <w:sz w:val="32"/>
          <w:szCs w:val="32"/>
        </w:rPr>
      </w:pPr>
      <w:r w:rsidRPr="00412620">
        <w:rPr>
          <w:rFonts w:cs="Arial"/>
          <w:b/>
          <w:sz w:val="32"/>
          <w:szCs w:val="32"/>
        </w:rPr>
        <w:t>PART II</w:t>
      </w:r>
    </w:p>
    <w:p w:rsidR="006A3F93" w:rsidRPr="00412620" w:rsidRDefault="004C342E" w:rsidP="007A74CD">
      <w:pPr>
        <w:keepNext/>
        <w:jc w:val="center"/>
        <w:rPr>
          <w:rFonts w:cs="Arial"/>
          <w:b/>
          <w:sz w:val="20"/>
        </w:rPr>
      </w:pPr>
      <w:r w:rsidRPr="00412620">
        <w:rPr>
          <w:rStyle w:val="FootnoteReference"/>
          <w:rFonts w:cs="Arial"/>
          <w:b/>
        </w:rPr>
        <w:footnoteReference w:id="1422"/>
      </w:r>
      <w:r w:rsidRPr="00412620">
        <w:rPr>
          <w:rFonts w:cs="Arial"/>
          <w:b/>
        </w:rPr>
        <w:t>[</w:t>
      </w:r>
      <w:r w:rsidR="006A3F93" w:rsidRPr="00412620">
        <w:rPr>
          <w:rFonts w:cs="Arial"/>
          <w:b/>
        </w:rPr>
        <w:t>DIRECTORATE</w:t>
      </w:r>
      <w:r w:rsidRPr="00412620">
        <w:rPr>
          <w:rFonts w:cs="Arial"/>
          <w:b/>
        </w:rPr>
        <w:t>S</w:t>
      </w:r>
      <w:r w:rsidR="006A3F93" w:rsidRPr="00412620">
        <w:rPr>
          <w:rFonts w:cs="Arial"/>
          <w:b/>
        </w:rPr>
        <w:t>-GENERAL</w:t>
      </w:r>
      <w:r w:rsidRPr="00412620">
        <w:rPr>
          <w:rFonts w:cs="Arial"/>
          <w:b/>
        </w:rPr>
        <w:t>]</w:t>
      </w:r>
    </w:p>
    <w:p w:rsidR="007A74CD" w:rsidRPr="00412620" w:rsidRDefault="007A74CD" w:rsidP="007A74CD">
      <w:pPr>
        <w:keepNext/>
        <w:jc w:val="center"/>
        <w:rPr>
          <w:rFonts w:cs="Arial"/>
          <w:b/>
          <w:sz w:val="20"/>
          <w:szCs w:val="24"/>
        </w:rPr>
      </w:pPr>
    </w:p>
    <w:p w:rsidR="006A3F93" w:rsidRPr="00412620" w:rsidRDefault="006A3F93">
      <w:pPr>
        <w:jc w:val="both"/>
        <w:rPr>
          <w:bCs/>
          <w:sz w:val="20"/>
        </w:rPr>
      </w:pPr>
      <w:r w:rsidRPr="00412620">
        <w:rPr>
          <w:rStyle w:val="FootnoteReference"/>
          <w:rFonts w:cs="Arial"/>
          <w:b/>
          <w:sz w:val="20"/>
        </w:rPr>
        <w:footnoteReference w:id="1423"/>
      </w:r>
      <w:r w:rsidRPr="00412620">
        <w:rPr>
          <w:b/>
          <w:sz w:val="20"/>
        </w:rPr>
        <w:t xml:space="preserve">[228. The Directorate General of </w:t>
      </w:r>
      <w:r w:rsidR="00DA757F" w:rsidRPr="00412620">
        <w:rPr>
          <w:rStyle w:val="FootnoteReference"/>
          <w:b/>
          <w:sz w:val="20"/>
        </w:rPr>
        <w:footnoteReference w:id="1424"/>
      </w:r>
      <w:r w:rsidR="00DA757F" w:rsidRPr="00412620">
        <w:rPr>
          <w:b/>
          <w:sz w:val="20"/>
        </w:rPr>
        <w:t xml:space="preserve">[ ] </w:t>
      </w:r>
      <w:r w:rsidRPr="00412620">
        <w:rPr>
          <w:b/>
          <w:sz w:val="20"/>
        </w:rPr>
        <w:t>Internal Audit.</w:t>
      </w:r>
      <w:r w:rsidR="003638BE" w:rsidRPr="00412620">
        <w:rPr>
          <w:rFonts w:cs="Arial"/>
          <w:sz w:val="20"/>
        </w:rPr>
        <w:t xml:space="preserve"> —</w:t>
      </w:r>
      <w:r w:rsidRPr="00412620">
        <w:rPr>
          <w:bCs/>
          <w:sz w:val="20"/>
        </w:rPr>
        <w:t xml:space="preserve"> (1) The Directorate General of </w:t>
      </w:r>
      <w:r w:rsidR="00294FF4" w:rsidRPr="00412620">
        <w:rPr>
          <w:rStyle w:val="FootnoteReference"/>
          <w:bCs/>
          <w:sz w:val="20"/>
        </w:rPr>
        <w:footnoteReference w:id="1425"/>
      </w:r>
      <w:r w:rsidR="00294FF4" w:rsidRPr="00412620">
        <w:rPr>
          <w:bCs/>
          <w:sz w:val="20"/>
        </w:rPr>
        <w:t xml:space="preserve">[  ]  </w:t>
      </w:r>
      <w:r w:rsidRPr="00412620">
        <w:rPr>
          <w:bCs/>
          <w:sz w:val="20"/>
        </w:rPr>
        <w:t>Internal Audit shall consist of a Director-General and as many Directors, Additional Directors, Deputy Directors and Assistant Directors and such other officers as the Board, may by notification in the official Gazette, appoint.</w:t>
      </w:r>
    </w:p>
    <w:p w:rsidR="006A3F93" w:rsidRPr="00412620" w:rsidRDefault="006A3F93">
      <w:pPr>
        <w:jc w:val="both"/>
        <w:rPr>
          <w:rFonts w:cs="Arial"/>
          <w:bCs/>
          <w:sz w:val="20"/>
        </w:rPr>
      </w:pPr>
    </w:p>
    <w:p w:rsidR="006A3F93" w:rsidRPr="00412620" w:rsidRDefault="006A3F93">
      <w:pPr>
        <w:jc w:val="both"/>
        <w:rPr>
          <w:rFonts w:cs="Arial"/>
          <w:bCs/>
          <w:sz w:val="20"/>
        </w:rPr>
      </w:pPr>
      <w:r w:rsidRPr="00412620">
        <w:rPr>
          <w:rFonts w:cs="Arial"/>
          <w:bCs/>
          <w:sz w:val="20"/>
        </w:rPr>
        <w:tab/>
        <w:t xml:space="preserve">(2) </w:t>
      </w:r>
      <w:r w:rsidRPr="00412620">
        <w:rPr>
          <w:rFonts w:cs="Arial"/>
          <w:bCs/>
          <w:sz w:val="20"/>
        </w:rPr>
        <w:tab/>
        <w:t>The Board may, by notification in the official Gazette, specify the functions, jurisdiction and power</w:t>
      </w:r>
      <w:r w:rsidR="00294FF4" w:rsidRPr="00412620">
        <w:rPr>
          <w:rFonts w:cs="Arial"/>
          <w:bCs/>
          <w:sz w:val="20"/>
        </w:rPr>
        <w:t xml:space="preserve">s of the Directorate General of </w:t>
      </w:r>
      <w:r w:rsidR="00294FF4" w:rsidRPr="00412620">
        <w:rPr>
          <w:rStyle w:val="FootnoteReference"/>
          <w:rFonts w:cs="Arial"/>
          <w:bCs/>
          <w:sz w:val="20"/>
        </w:rPr>
        <w:footnoteReference w:id="1426"/>
      </w:r>
      <w:r w:rsidR="00294FF4" w:rsidRPr="00412620">
        <w:rPr>
          <w:rFonts w:cs="Arial"/>
          <w:bCs/>
          <w:sz w:val="20"/>
        </w:rPr>
        <w:t xml:space="preserve">[  ] </w:t>
      </w:r>
      <w:r w:rsidRPr="00412620">
        <w:rPr>
          <w:rFonts w:cs="Arial"/>
          <w:bCs/>
          <w:sz w:val="20"/>
        </w:rPr>
        <w:t>Internal Audit.]</w:t>
      </w:r>
    </w:p>
    <w:p w:rsidR="00D97F27" w:rsidRPr="00412620" w:rsidRDefault="00D97F27">
      <w:pPr>
        <w:jc w:val="both"/>
        <w:rPr>
          <w:rFonts w:cs="Arial"/>
          <w:bCs/>
          <w:sz w:val="20"/>
        </w:rPr>
      </w:pPr>
    </w:p>
    <w:p w:rsidR="006A3F93" w:rsidRPr="00412620" w:rsidRDefault="00B167B6">
      <w:pPr>
        <w:jc w:val="both"/>
        <w:rPr>
          <w:rFonts w:cs="Arial"/>
          <w:sz w:val="20"/>
        </w:rPr>
      </w:pPr>
      <w:r w:rsidRPr="00412620">
        <w:rPr>
          <w:rStyle w:val="FootnoteReference"/>
          <w:rFonts w:cs="Arial"/>
          <w:sz w:val="20"/>
        </w:rPr>
        <w:footnoteReference w:id="1427"/>
      </w:r>
      <w:r w:rsidR="008E45A9" w:rsidRPr="00412620">
        <w:rPr>
          <w:rFonts w:cs="Arial"/>
          <w:sz w:val="20"/>
        </w:rPr>
        <w:t>[</w:t>
      </w:r>
      <w:r w:rsidR="008E45A9" w:rsidRPr="00412620">
        <w:rPr>
          <w:rFonts w:cs="Arial"/>
          <w:b/>
          <w:sz w:val="20"/>
        </w:rPr>
        <w:t>229. Directorate General of Training and Research.—</w:t>
      </w:r>
      <w:r w:rsidR="008E45A9" w:rsidRPr="00412620">
        <w:rPr>
          <w:rFonts w:cs="Arial"/>
          <w:sz w:val="20"/>
        </w:rPr>
        <w:t xml:space="preserve"> (1) The Directorate General of Training and Research shall consist of a Director-General, Additional Director-General and as many Directors, Additional Directors, Deputy Directors, Assistant Directors and such officers as the Board, may, by notification in the official Gazette, appoint.</w:t>
      </w:r>
    </w:p>
    <w:p w:rsidR="008E45A9" w:rsidRPr="00412620" w:rsidRDefault="008E45A9">
      <w:pPr>
        <w:jc w:val="both"/>
        <w:rPr>
          <w:rFonts w:cs="Arial"/>
          <w:sz w:val="20"/>
        </w:rPr>
      </w:pPr>
    </w:p>
    <w:p w:rsidR="008E45A9" w:rsidRPr="00412620" w:rsidRDefault="008E45A9">
      <w:pPr>
        <w:jc w:val="both"/>
        <w:rPr>
          <w:rFonts w:cs="Arial"/>
          <w:sz w:val="20"/>
        </w:rPr>
      </w:pPr>
      <w:r w:rsidRPr="00412620">
        <w:rPr>
          <w:rFonts w:cs="Arial"/>
          <w:sz w:val="20"/>
        </w:rPr>
        <w:tab/>
        <w:t xml:space="preserve">(2) </w:t>
      </w:r>
      <w:r w:rsidRPr="00412620">
        <w:rPr>
          <w:rFonts w:cs="Arial"/>
          <w:sz w:val="20"/>
        </w:rPr>
        <w:tab/>
        <w:t>The Board may, by notification in the official Gazette, specify the functions, jurisdiction and powers of the Directorate General of Training and Research and its officers.]</w:t>
      </w:r>
    </w:p>
    <w:p w:rsidR="008E45A9" w:rsidRPr="00412620" w:rsidRDefault="008E45A9">
      <w:pPr>
        <w:jc w:val="both"/>
        <w:rPr>
          <w:rFonts w:cs="Arial"/>
          <w:sz w:val="20"/>
        </w:rPr>
      </w:pPr>
    </w:p>
    <w:p w:rsidR="00EA3892" w:rsidRPr="00412620" w:rsidRDefault="00D32741" w:rsidP="00EA3892">
      <w:pPr>
        <w:jc w:val="both"/>
        <w:rPr>
          <w:sz w:val="20"/>
        </w:rPr>
      </w:pPr>
      <w:r w:rsidRPr="00412620">
        <w:rPr>
          <w:rStyle w:val="FootnoteReference"/>
          <w:rFonts w:cs="Arial"/>
          <w:sz w:val="20"/>
        </w:rPr>
        <w:footnoteReference w:id="1428"/>
      </w:r>
      <w:r w:rsidR="00EA3892" w:rsidRPr="00412620">
        <w:rPr>
          <w:rFonts w:cs="Arial"/>
          <w:sz w:val="20"/>
        </w:rPr>
        <w:t>[</w:t>
      </w:r>
      <w:r w:rsidR="00EA3892" w:rsidRPr="00412620">
        <w:rPr>
          <w:b/>
          <w:bCs/>
          <w:sz w:val="20"/>
        </w:rPr>
        <w:t>230. Directorate General (Intelligence and Investigation), Inland Revenue</w:t>
      </w:r>
      <w:r w:rsidR="00EA3892" w:rsidRPr="00412620">
        <w:rPr>
          <w:sz w:val="20"/>
        </w:rPr>
        <w:t>.</w:t>
      </w:r>
      <w:r w:rsidR="00EA3892" w:rsidRPr="00412620">
        <w:rPr>
          <w:rFonts w:cs="Arial"/>
          <w:sz w:val="20"/>
        </w:rPr>
        <w:t>—</w:t>
      </w:r>
      <w:r w:rsidR="00EA3892" w:rsidRPr="00412620">
        <w:rPr>
          <w:sz w:val="20"/>
        </w:rPr>
        <w:t>(1) The Directorate General (Intelligence and Investigation) Inland Revenue shall consist of a Director General and as many Directors, Additional Directors, Deputy Directors and Assistant Directors and such other officers as the Board, may by notification in the official Gazette, appoint.</w:t>
      </w:r>
    </w:p>
    <w:p w:rsidR="00EA3892" w:rsidRPr="00412620" w:rsidRDefault="00EA3892" w:rsidP="00EA3892">
      <w:pPr>
        <w:jc w:val="both"/>
        <w:rPr>
          <w:sz w:val="20"/>
        </w:rPr>
      </w:pPr>
    </w:p>
    <w:p w:rsidR="00EA3892" w:rsidRPr="00412620" w:rsidRDefault="00EA3892" w:rsidP="00EA3892">
      <w:pPr>
        <w:jc w:val="both"/>
        <w:rPr>
          <w:sz w:val="20"/>
        </w:rPr>
      </w:pPr>
      <w:r w:rsidRPr="00412620">
        <w:rPr>
          <w:sz w:val="20"/>
        </w:rPr>
        <w:tab/>
        <w:t>(2)</w:t>
      </w:r>
      <w:r w:rsidRPr="00412620">
        <w:rPr>
          <w:sz w:val="20"/>
        </w:rPr>
        <w:tab/>
        <w:t>The Board may, by notification in the official Gazette,</w:t>
      </w:r>
      <w:r w:rsidRPr="00412620">
        <w:rPr>
          <w:rFonts w:cs="Arial"/>
          <w:sz w:val="20"/>
        </w:rPr>
        <w:t>—</w:t>
      </w:r>
    </w:p>
    <w:p w:rsidR="00EA3892" w:rsidRPr="00412620" w:rsidRDefault="00EA3892" w:rsidP="00EA3892">
      <w:pPr>
        <w:ind w:left="1641" w:hanging="546"/>
        <w:jc w:val="both"/>
        <w:rPr>
          <w:sz w:val="20"/>
        </w:rPr>
      </w:pPr>
    </w:p>
    <w:p w:rsidR="00EA3892" w:rsidRPr="00412620" w:rsidRDefault="00EA3892" w:rsidP="00EA3892">
      <w:pPr>
        <w:ind w:left="1641" w:hanging="546"/>
        <w:jc w:val="both"/>
        <w:rPr>
          <w:sz w:val="20"/>
        </w:rPr>
      </w:pPr>
      <w:r w:rsidRPr="00412620">
        <w:rPr>
          <w:sz w:val="20"/>
        </w:rPr>
        <w:t>(a)</w:t>
      </w:r>
      <w:r w:rsidRPr="00412620">
        <w:rPr>
          <w:sz w:val="20"/>
        </w:rPr>
        <w:tab/>
        <w:t>specify the functions and jurisdiction of the Directorate General and its officers; and</w:t>
      </w:r>
    </w:p>
    <w:p w:rsidR="00EA3892" w:rsidRPr="00412620" w:rsidRDefault="00EA3892" w:rsidP="00EA3892">
      <w:pPr>
        <w:jc w:val="both"/>
        <w:rPr>
          <w:sz w:val="20"/>
        </w:rPr>
      </w:pPr>
    </w:p>
    <w:p w:rsidR="00EB2611" w:rsidRPr="00412620" w:rsidRDefault="00EA3892" w:rsidP="00EA3892">
      <w:pPr>
        <w:ind w:left="1641" w:hanging="546"/>
        <w:jc w:val="both"/>
        <w:rPr>
          <w:rFonts w:cs="Arial"/>
          <w:sz w:val="20"/>
        </w:rPr>
      </w:pPr>
      <w:r w:rsidRPr="00412620">
        <w:rPr>
          <w:sz w:val="20"/>
        </w:rPr>
        <w:t>(b)</w:t>
      </w:r>
      <w:r w:rsidRPr="00412620">
        <w:rPr>
          <w:sz w:val="20"/>
        </w:rPr>
        <w:tab/>
        <w:t>confer the powers of authorities specified in section 207 upon the Directorate General and its officers.]</w:t>
      </w:r>
    </w:p>
    <w:p w:rsidR="00EB2611" w:rsidRPr="00412620" w:rsidRDefault="00EB2611">
      <w:pPr>
        <w:jc w:val="both"/>
        <w:rPr>
          <w:rFonts w:cs="Arial"/>
          <w:sz w:val="20"/>
        </w:rPr>
      </w:pPr>
    </w:p>
    <w:p w:rsidR="006A3F93" w:rsidRPr="00412620" w:rsidRDefault="006A3F93">
      <w:pPr>
        <w:jc w:val="both"/>
        <w:rPr>
          <w:rFonts w:cs="Arial"/>
          <w:bCs/>
        </w:rPr>
      </w:pPr>
    </w:p>
    <w:p w:rsidR="006A3F93" w:rsidRPr="00412620" w:rsidRDefault="006A3F93">
      <w:pPr>
        <w:jc w:val="both"/>
        <w:rPr>
          <w:bCs/>
          <w:sz w:val="20"/>
        </w:rPr>
      </w:pPr>
      <w:r w:rsidRPr="00412620">
        <w:rPr>
          <w:rStyle w:val="FootnoteReference"/>
          <w:rFonts w:cs="Arial"/>
          <w:bCs/>
          <w:sz w:val="20"/>
        </w:rPr>
        <w:footnoteReference w:id="1429"/>
      </w:r>
      <w:r w:rsidRPr="00412620">
        <w:rPr>
          <w:bCs/>
          <w:sz w:val="20"/>
        </w:rPr>
        <w:t>[  ]</w:t>
      </w:r>
    </w:p>
    <w:p w:rsidR="006A3F93" w:rsidRPr="00412620" w:rsidRDefault="006A3F93">
      <w:pPr>
        <w:jc w:val="both"/>
        <w:rPr>
          <w:rFonts w:cs="Arial"/>
          <w:bCs/>
          <w:sz w:val="20"/>
        </w:rPr>
      </w:pPr>
    </w:p>
    <w:p w:rsidR="00185A29" w:rsidRPr="00412620" w:rsidRDefault="00185A29">
      <w:pPr>
        <w:jc w:val="both"/>
        <w:rPr>
          <w:rFonts w:cs="Arial"/>
          <w:bCs/>
          <w:sz w:val="20"/>
        </w:rPr>
      </w:pPr>
    </w:p>
    <w:p w:rsidR="00185A29" w:rsidRPr="00412620" w:rsidRDefault="00185A29">
      <w:pPr>
        <w:jc w:val="both"/>
        <w:rPr>
          <w:rFonts w:cs="Arial"/>
          <w:bCs/>
          <w:sz w:val="20"/>
        </w:rPr>
      </w:pPr>
    </w:p>
    <w:p w:rsidR="00185A29" w:rsidRPr="00412620" w:rsidRDefault="00185A29">
      <w:pPr>
        <w:jc w:val="both"/>
        <w:rPr>
          <w:rFonts w:cs="Arial"/>
          <w:bCs/>
          <w:sz w:val="20"/>
        </w:rPr>
      </w:pPr>
    </w:p>
    <w:p w:rsidR="00185A29" w:rsidRPr="00412620" w:rsidRDefault="00185A29">
      <w:pPr>
        <w:jc w:val="both"/>
        <w:rPr>
          <w:rFonts w:cs="Arial"/>
          <w:bCs/>
          <w:sz w:val="20"/>
        </w:rPr>
      </w:pPr>
    </w:p>
    <w:p w:rsidR="00185A29" w:rsidRPr="00412620" w:rsidRDefault="00185A29">
      <w:pPr>
        <w:jc w:val="both"/>
        <w:rPr>
          <w:rFonts w:cs="Arial"/>
          <w:bCs/>
          <w:sz w:val="20"/>
        </w:rPr>
      </w:pPr>
    </w:p>
    <w:p w:rsidR="00545601" w:rsidRPr="00412620" w:rsidRDefault="00545601" w:rsidP="00545601">
      <w:pPr>
        <w:spacing w:before="120"/>
        <w:jc w:val="center"/>
        <w:rPr>
          <w:rFonts w:cs="Arial"/>
          <w:b/>
          <w:sz w:val="32"/>
          <w:szCs w:val="32"/>
        </w:rPr>
      </w:pPr>
      <w:r w:rsidRPr="00412620">
        <w:rPr>
          <w:rStyle w:val="FootnoteReference"/>
          <w:rFonts w:cs="Arial"/>
          <w:caps/>
          <w:sz w:val="20"/>
        </w:rPr>
        <w:footnoteReference w:id="1430"/>
      </w:r>
      <w:r w:rsidRPr="00412620">
        <w:rPr>
          <w:rFonts w:cs="Arial"/>
          <w:caps/>
          <w:sz w:val="32"/>
          <w:szCs w:val="32"/>
        </w:rPr>
        <w:t>[</w:t>
      </w:r>
      <w:r w:rsidRPr="00412620">
        <w:rPr>
          <w:rFonts w:cs="Arial"/>
          <w:b/>
          <w:sz w:val="32"/>
          <w:szCs w:val="32"/>
        </w:rPr>
        <w:t>PART III</w:t>
      </w:r>
    </w:p>
    <w:p w:rsidR="00C623D2" w:rsidRPr="00412620" w:rsidRDefault="00C623D2" w:rsidP="00C623D2">
      <w:pPr>
        <w:keepNext/>
        <w:jc w:val="center"/>
        <w:rPr>
          <w:rFonts w:cs="Arial"/>
          <w:b/>
          <w:sz w:val="20"/>
        </w:rPr>
      </w:pPr>
      <w:r w:rsidRPr="00412620">
        <w:rPr>
          <w:rStyle w:val="FootnoteReference"/>
          <w:rFonts w:cs="Arial"/>
          <w:b/>
        </w:rPr>
        <w:footnoteReference w:id="1431"/>
      </w:r>
      <w:r w:rsidRPr="00412620">
        <w:rPr>
          <w:rFonts w:cs="Arial"/>
          <w:b/>
        </w:rPr>
        <w:t>[DIRECTORATES-GENERAL]</w:t>
      </w:r>
    </w:p>
    <w:p w:rsidR="00545601" w:rsidRPr="00412620" w:rsidRDefault="00545601" w:rsidP="00545601">
      <w:pPr>
        <w:spacing w:before="120"/>
        <w:jc w:val="both"/>
        <w:rPr>
          <w:rFonts w:cs="Arial"/>
          <w:sz w:val="20"/>
        </w:rPr>
      </w:pPr>
      <w:r w:rsidRPr="00412620">
        <w:rPr>
          <w:rFonts w:cs="Arial"/>
          <w:b/>
          <w:sz w:val="20"/>
        </w:rPr>
        <w:t>230A.</w:t>
      </w:r>
      <w:r w:rsidR="00051E71">
        <w:rPr>
          <w:rFonts w:cs="Arial"/>
          <w:b/>
          <w:sz w:val="20"/>
        </w:rPr>
        <w:t xml:space="preserve"> </w:t>
      </w:r>
      <w:r w:rsidRPr="00412620">
        <w:rPr>
          <w:rFonts w:cs="Arial"/>
          <w:b/>
          <w:sz w:val="20"/>
        </w:rPr>
        <w:t>Directorate-General of Withholding Taxes.</w:t>
      </w:r>
      <w:r w:rsidR="003638BE" w:rsidRPr="00412620">
        <w:rPr>
          <w:rFonts w:cs="Arial"/>
          <w:sz w:val="20"/>
        </w:rPr>
        <w:t>—</w:t>
      </w:r>
      <w:r w:rsidRPr="00412620">
        <w:rPr>
          <w:rFonts w:cs="Arial"/>
          <w:sz w:val="20"/>
        </w:rPr>
        <w:t xml:space="preserve"> (1) The Directorate-General of Withholding Taxes shall consist of a Director General and as many Directors, Additional Directors, Deputy Directors and Assistant Directors and such other officers as the Board, may by notification in the official Gazette, appoint.</w:t>
      </w:r>
    </w:p>
    <w:p w:rsidR="00FD64B6" w:rsidRPr="00412620" w:rsidRDefault="00250CC2" w:rsidP="00250CC2">
      <w:pPr>
        <w:pStyle w:val="Heading1"/>
        <w:spacing w:line="240" w:lineRule="auto"/>
        <w:jc w:val="both"/>
        <w:rPr>
          <w:rFonts w:cs="Arial"/>
          <w:b w:val="0"/>
          <w:caps w:val="0"/>
          <w:sz w:val="20"/>
        </w:rPr>
      </w:pPr>
      <w:r w:rsidRPr="00412620">
        <w:rPr>
          <w:rFonts w:cs="Arial"/>
          <w:b w:val="0"/>
          <w:caps w:val="0"/>
          <w:sz w:val="20"/>
        </w:rPr>
        <w:tab/>
        <w:t>(2)</w:t>
      </w:r>
      <w:r w:rsidRPr="00412620">
        <w:rPr>
          <w:rFonts w:cs="Arial"/>
          <w:b w:val="0"/>
          <w:caps w:val="0"/>
          <w:sz w:val="20"/>
        </w:rPr>
        <w:tab/>
      </w:r>
      <w:r w:rsidR="00545601" w:rsidRPr="00412620">
        <w:rPr>
          <w:rFonts w:cs="Arial"/>
          <w:b w:val="0"/>
          <w:caps w:val="0"/>
          <w:sz w:val="20"/>
        </w:rPr>
        <w:t>The Board may, by notification in the official Gazette, specify the functions, jurisdiction and powers of the Directorate-General of Withholding Taxes.]</w:t>
      </w:r>
    </w:p>
    <w:p w:rsidR="00250CC2" w:rsidRPr="00412620" w:rsidRDefault="00250CC2" w:rsidP="00250CC2"/>
    <w:p w:rsidR="002A2145" w:rsidRPr="00412620" w:rsidRDefault="00B3704C" w:rsidP="00250CC2">
      <w:pPr>
        <w:jc w:val="both"/>
        <w:rPr>
          <w:sz w:val="20"/>
        </w:rPr>
      </w:pPr>
      <w:r w:rsidRPr="00412620">
        <w:rPr>
          <w:rStyle w:val="FootnoteReference"/>
          <w:sz w:val="20"/>
        </w:rPr>
        <w:footnoteReference w:id="1432"/>
      </w:r>
      <w:r w:rsidR="00250CC2" w:rsidRPr="00412620">
        <w:rPr>
          <w:sz w:val="20"/>
        </w:rPr>
        <w:t>[</w:t>
      </w:r>
      <w:r w:rsidR="00250CC2" w:rsidRPr="00412620">
        <w:rPr>
          <w:b/>
          <w:sz w:val="20"/>
        </w:rPr>
        <w:t>230B. Directorate-General of Law.</w:t>
      </w:r>
      <w:r w:rsidR="00250CC2" w:rsidRPr="00412620">
        <w:rPr>
          <w:rFonts w:cs="Arial"/>
          <w:sz w:val="20"/>
        </w:rPr>
        <w:t>—</w:t>
      </w:r>
      <w:r w:rsidR="00250CC2" w:rsidRPr="00412620">
        <w:rPr>
          <w:sz w:val="20"/>
        </w:rPr>
        <w:t xml:space="preserve"> The Directorate-General of Law shall consist of a Director General and as many Directors, Additional Directors, Deputy Directors, Assistant Directors, Law Officers and such other officers as the Board may, by notification in the official Gazette, appoint.</w:t>
      </w:r>
    </w:p>
    <w:p w:rsidR="002A2145" w:rsidRPr="00412620" w:rsidRDefault="002A2145" w:rsidP="00250CC2">
      <w:pPr>
        <w:jc w:val="both"/>
        <w:rPr>
          <w:sz w:val="20"/>
        </w:rPr>
      </w:pPr>
    </w:p>
    <w:p w:rsidR="002A2145" w:rsidRPr="00412620" w:rsidRDefault="002A2145" w:rsidP="00250CC2">
      <w:pPr>
        <w:jc w:val="both"/>
        <w:rPr>
          <w:sz w:val="20"/>
        </w:rPr>
      </w:pPr>
      <w:r w:rsidRPr="00412620">
        <w:rPr>
          <w:sz w:val="20"/>
        </w:rPr>
        <w:tab/>
        <w:t xml:space="preserve">(2) </w:t>
      </w:r>
      <w:r w:rsidRPr="00412620">
        <w:rPr>
          <w:sz w:val="20"/>
        </w:rPr>
        <w:tab/>
        <w:t>The Board may, by notification in the official Gazette, specify the functions, jurisdiction and powers of the Directorate-General of Law.]</w:t>
      </w:r>
    </w:p>
    <w:p w:rsidR="002A2145" w:rsidRPr="00412620" w:rsidRDefault="002A2145" w:rsidP="00250CC2">
      <w:pPr>
        <w:jc w:val="both"/>
        <w:rPr>
          <w:sz w:val="20"/>
        </w:rPr>
      </w:pPr>
    </w:p>
    <w:p w:rsidR="00B3704C" w:rsidRPr="00412620" w:rsidRDefault="00B3704C" w:rsidP="00250CC2">
      <w:pPr>
        <w:jc w:val="both"/>
        <w:rPr>
          <w:sz w:val="20"/>
        </w:rPr>
      </w:pPr>
      <w:r w:rsidRPr="00412620">
        <w:rPr>
          <w:rStyle w:val="FootnoteReference"/>
          <w:sz w:val="20"/>
        </w:rPr>
        <w:footnoteReference w:id="1433"/>
      </w:r>
      <w:r w:rsidR="002A2145" w:rsidRPr="00412620">
        <w:rPr>
          <w:sz w:val="20"/>
        </w:rPr>
        <w:t>[</w:t>
      </w:r>
      <w:r w:rsidR="002A2145" w:rsidRPr="00412620">
        <w:rPr>
          <w:b/>
          <w:sz w:val="20"/>
        </w:rPr>
        <w:t>230C. Directorate-General of Research and Development.</w:t>
      </w:r>
      <w:r w:rsidR="002A2145" w:rsidRPr="00412620">
        <w:rPr>
          <w:rFonts w:cs="Arial"/>
          <w:sz w:val="20"/>
        </w:rPr>
        <w:t>—</w:t>
      </w:r>
      <w:r w:rsidR="002A2145" w:rsidRPr="00412620">
        <w:rPr>
          <w:sz w:val="20"/>
        </w:rPr>
        <w:t xml:space="preserve"> (1) The Directorate-General of Research and Development shall consist of a Director General and as many Directors, Additional Directors, Deputy Directors, Assistant Directors and such other officers as the Board may, by notification in the official Gazette, appoint.</w:t>
      </w:r>
    </w:p>
    <w:p w:rsidR="00B3704C" w:rsidRPr="00412620" w:rsidRDefault="00B3704C" w:rsidP="00250CC2">
      <w:pPr>
        <w:jc w:val="both"/>
        <w:rPr>
          <w:sz w:val="20"/>
        </w:rPr>
      </w:pPr>
    </w:p>
    <w:p w:rsidR="00250CC2" w:rsidRPr="00412620" w:rsidRDefault="00B3704C" w:rsidP="00250CC2">
      <w:pPr>
        <w:jc w:val="both"/>
        <w:rPr>
          <w:sz w:val="20"/>
        </w:rPr>
      </w:pPr>
      <w:r w:rsidRPr="00412620">
        <w:rPr>
          <w:sz w:val="20"/>
        </w:rPr>
        <w:tab/>
        <w:t xml:space="preserve">(2) </w:t>
      </w:r>
      <w:r w:rsidRPr="00412620">
        <w:rPr>
          <w:sz w:val="20"/>
        </w:rPr>
        <w:tab/>
        <w:t>The Board may, by notification in the official Gazette, specify the functions, jurisdiction and powers of the Directorate-General of Research and Development.]</w:t>
      </w:r>
    </w:p>
    <w:p w:rsidR="00250CC2" w:rsidRPr="00412620" w:rsidRDefault="00250CC2" w:rsidP="00250CC2"/>
    <w:p w:rsidR="006A3F93" w:rsidRPr="00412620" w:rsidRDefault="00F37AB9" w:rsidP="00973F32">
      <w:pPr>
        <w:pStyle w:val="Heading1"/>
        <w:spacing w:line="240" w:lineRule="auto"/>
        <w:rPr>
          <w:rFonts w:cs="Arial"/>
          <w:caps w:val="0"/>
          <w:sz w:val="32"/>
          <w:szCs w:val="32"/>
        </w:rPr>
      </w:pPr>
      <w:r w:rsidRPr="00412620">
        <w:rPr>
          <w:rFonts w:cs="Arial"/>
          <w:caps w:val="0"/>
          <w:sz w:val="20"/>
        </w:rPr>
        <w:br w:type="page"/>
      </w:r>
      <w:r w:rsidR="006A3F93" w:rsidRPr="00412620">
        <w:rPr>
          <w:rFonts w:cs="Arial"/>
          <w:caps w:val="0"/>
          <w:sz w:val="32"/>
          <w:szCs w:val="32"/>
        </w:rPr>
        <w:lastRenderedPageBreak/>
        <w:t>CHAPTER XII</w:t>
      </w:r>
    </w:p>
    <w:p w:rsidR="006A3F93" w:rsidRPr="00412620" w:rsidRDefault="006A3F93">
      <w:pPr>
        <w:pStyle w:val="Heading1"/>
        <w:spacing w:line="240" w:lineRule="auto"/>
        <w:rPr>
          <w:rFonts w:cs="Arial"/>
          <w:caps w:val="0"/>
          <w:sz w:val="20"/>
        </w:rPr>
      </w:pPr>
      <w:r w:rsidRPr="00412620">
        <w:rPr>
          <w:rFonts w:cs="Arial"/>
          <w:caps w:val="0"/>
          <w:sz w:val="20"/>
        </w:rPr>
        <w:t>TRANSITIONAL ADVANCE TAX PROVISIONS</w:t>
      </w:r>
    </w:p>
    <w:p w:rsidR="006A3F93" w:rsidRPr="00412620" w:rsidRDefault="006A3F93">
      <w:pPr>
        <w:keepNext/>
        <w:jc w:val="both"/>
        <w:rPr>
          <w:rFonts w:cs="Arial"/>
          <w:b/>
          <w:sz w:val="20"/>
        </w:rPr>
      </w:pPr>
    </w:p>
    <w:p w:rsidR="006A3F93" w:rsidRPr="00412620" w:rsidRDefault="006A3F93">
      <w:pPr>
        <w:jc w:val="both"/>
        <w:rPr>
          <w:bCs/>
          <w:sz w:val="20"/>
        </w:rPr>
      </w:pPr>
      <w:r w:rsidRPr="00412620">
        <w:rPr>
          <w:rStyle w:val="FootnoteReference"/>
          <w:rFonts w:cs="Arial"/>
          <w:b/>
          <w:sz w:val="20"/>
        </w:rPr>
        <w:footnoteReference w:id="1434"/>
      </w:r>
      <w:r w:rsidRPr="00412620">
        <w:rPr>
          <w:b/>
          <w:sz w:val="20"/>
        </w:rPr>
        <w:t>[231A. Cash withdrawal from a bank.</w:t>
      </w:r>
      <w:r w:rsidR="00FB1860">
        <w:rPr>
          <w:b/>
          <w:sz w:val="20"/>
        </w:rPr>
        <w:t xml:space="preserve"> </w:t>
      </w:r>
      <w:r w:rsidR="002A6AA0" w:rsidRPr="00412620">
        <w:rPr>
          <w:rFonts w:cs="Arial"/>
          <w:sz w:val="20"/>
        </w:rPr>
        <w:t>—</w:t>
      </w:r>
      <w:r w:rsidR="00FB1860">
        <w:rPr>
          <w:rFonts w:cs="Arial"/>
          <w:sz w:val="20"/>
        </w:rPr>
        <w:t xml:space="preserve"> </w:t>
      </w:r>
      <w:r w:rsidR="006E309F" w:rsidRPr="00412620">
        <w:rPr>
          <w:rStyle w:val="FootnoteReference"/>
          <w:bCs/>
          <w:sz w:val="20"/>
        </w:rPr>
        <w:footnoteReference w:id="1435"/>
      </w:r>
      <w:r w:rsidR="006E309F" w:rsidRPr="002A24E3">
        <w:rPr>
          <w:bCs/>
          <w:sz w:val="20"/>
        </w:rPr>
        <w:t>[</w:t>
      </w:r>
      <w:r w:rsidR="006E309F" w:rsidRPr="00412620">
        <w:rPr>
          <w:bCs/>
          <w:sz w:val="20"/>
        </w:rPr>
        <w:t xml:space="preserve">(1) Every banking company shall deduct tax at the rate specified in Division VI of Part IV of the First Schedule, if the payment for cash withdrawal, or the sum total of the payments for cash withdrawal in a day, exceeds </w:t>
      </w:r>
      <w:r w:rsidR="00871217" w:rsidRPr="00412620">
        <w:rPr>
          <w:rStyle w:val="FootnoteReference"/>
          <w:bCs/>
          <w:sz w:val="20"/>
        </w:rPr>
        <w:footnoteReference w:id="1436"/>
      </w:r>
      <w:r w:rsidR="00871217" w:rsidRPr="00412620">
        <w:rPr>
          <w:bCs/>
          <w:sz w:val="20"/>
        </w:rPr>
        <w:t xml:space="preserve">[fifty] </w:t>
      </w:r>
      <w:r w:rsidR="006E309F" w:rsidRPr="00412620">
        <w:rPr>
          <w:bCs/>
          <w:sz w:val="20"/>
        </w:rPr>
        <w:t xml:space="preserve">thousand rupees.] </w:t>
      </w:r>
    </w:p>
    <w:p w:rsidR="006A3F93" w:rsidRDefault="006A3F93">
      <w:pPr>
        <w:jc w:val="both"/>
        <w:rPr>
          <w:rFonts w:cs="Arial"/>
          <w:bCs/>
          <w:sz w:val="20"/>
        </w:rPr>
      </w:pPr>
    </w:p>
    <w:p w:rsidR="002A24E3" w:rsidRPr="0009763F" w:rsidRDefault="002A24E3" w:rsidP="002A24E3">
      <w:pPr>
        <w:ind w:left="547" w:firstLine="547"/>
        <w:jc w:val="both"/>
        <w:rPr>
          <w:rFonts w:cs="Arial"/>
          <w:bCs/>
          <w:color w:val="0070C0"/>
          <w:sz w:val="20"/>
        </w:rPr>
      </w:pPr>
      <w:r w:rsidRPr="0009763F">
        <w:rPr>
          <w:rStyle w:val="FootnoteReference"/>
          <w:rFonts w:cs="Arial"/>
          <w:color w:val="0070C0"/>
          <w:sz w:val="20"/>
        </w:rPr>
        <w:footnoteReference w:id="1437"/>
      </w:r>
      <w:r w:rsidRPr="0009763F">
        <w:rPr>
          <w:rFonts w:cs="Arial"/>
          <w:color w:val="0070C0"/>
          <w:sz w:val="20"/>
        </w:rPr>
        <w:t>[“</w:t>
      </w:r>
      <w:r w:rsidRPr="0009763F">
        <w:rPr>
          <w:rFonts w:cs="Arial"/>
          <w:bCs/>
          <w:i/>
          <w:color w:val="0070C0"/>
          <w:sz w:val="20"/>
        </w:rPr>
        <w:t>Explanation.-</w:t>
      </w:r>
      <w:r w:rsidRPr="0009763F">
        <w:rPr>
          <w:rFonts w:cs="Arial"/>
          <w:bCs/>
          <w:color w:val="0070C0"/>
          <w:sz w:val="20"/>
        </w:rPr>
        <w:t xml:space="preserve"> For removal of doubt, it is clarified that the said fifty thousand rupees shall be aggregate withdrawals from all the bank accounts in a single day.”]</w:t>
      </w:r>
    </w:p>
    <w:p w:rsidR="002A24E3" w:rsidRPr="00412620" w:rsidRDefault="002A24E3">
      <w:pPr>
        <w:jc w:val="both"/>
        <w:rPr>
          <w:rFonts w:cs="Arial"/>
          <w:bCs/>
          <w:sz w:val="20"/>
        </w:rPr>
      </w:pPr>
    </w:p>
    <w:p w:rsidR="006A3F93" w:rsidRPr="00FB1860" w:rsidRDefault="006A3F93" w:rsidP="00326A6F">
      <w:pPr>
        <w:jc w:val="both"/>
        <w:rPr>
          <w:color w:val="000000" w:themeColor="text1"/>
          <w:sz w:val="20"/>
        </w:rPr>
      </w:pPr>
      <w:r w:rsidRPr="00412620">
        <w:rPr>
          <w:rFonts w:cs="Arial"/>
          <w:bCs/>
          <w:sz w:val="20"/>
        </w:rPr>
        <w:tab/>
      </w:r>
      <w:r w:rsidR="00326A6F" w:rsidRPr="00FB1860">
        <w:rPr>
          <w:rStyle w:val="FootnoteReference"/>
          <w:rFonts w:cs="Arial"/>
          <w:bCs/>
          <w:color w:val="000000" w:themeColor="text1"/>
          <w:sz w:val="20"/>
        </w:rPr>
        <w:footnoteReference w:id="1438"/>
      </w:r>
      <w:r w:rsidR="00326A6F" w:rsidRPr="00FB1860">
        <w:rPr>
          <w:rFonts w:cs="Arial"/>
          <w:bCs/>
          <w:color w:val="000000" w:themeColor="text1"/>
          <w:sz w:val="20"/>
        </w:rPr>
        <w:t xml:space="preserve">[   ] </w:t>
      </w:r>
    </w:p>
    <w:p w:rsidR="008C4ADF" w:rsidRDefault="00B136D7" w:rsidP="00D11973">
      <w:pPr>
        <w:spacing w:before="120" w:after="120"/>
        <w:jc w:val="both"/>
        <w:rPr>
          <w:rFonts w:cs="Arial"/>
          <w:color w:val="984806" w:themeColor="accent6" w:themeShade="80"/>
          <w:sz w:val="20"/>
        </w:rPr>
      </w:pPr>
      <w:r w:rsidRPr="00412620">
        <w:rPr>
          <w:rStyle w:val="FootnoteReference"/>
          <w:rFonts w:cs="Arial"/>
          <w:sz w:val="20"/>
        </w:rPr>
        <w:footnoteReference w:id="1439"/>
      </w:r>
      <w:r w:rsidR="00B8648A" w:rsidRPr="00412620">
        <w:rPr>
          <w:rFonts w:cs="Arial"/>
          <w:sz w:val="20"/>
        </w:rPr>
        <w:t>[</w:t>
      </w:r>
      <w:r w:rsidR="00B8648A" w:rsidRPr="00412620">
        <w:rPr>
          <w:rFonts w:cs="Arial"/>
          <w:b/>
          <w:sz w:val="20"/>
        </w:rPr>
        <w:t xml:space="preserve">231AA. Advance tax on transactions in bank.— </w:t>
      </w:r>
      <w:r w:rsidR="00B8648A" w:rsidRPr="00412620">
        <w:rPr>
          <w:rFonts w:cs="Arial"/>
          <w:sz w:val="20"/>
        </w:rPr>
        <w:t xml:space="preserve">(1) </w:t>
      </w:r>
      <w:r w:rsidR="00984070" w:rsidRPr="00412620">
        <w:rPr>
          <w:rFonts w:cs="Arial"/>
          <w:sz w:val="20"/>
        </w:rPr>
        <w:t>Every banking company, non-banking financial institution, exchange company or any authorized dealer of foreign exchange shall collect advance tax at the time of sale against cash of any instrument, including Demand Draft, Pay Order, CDR, STDR, SDR, RTC, or any other instrument of bearer nature or on receipt of cash on cancellat</w:t>
      </w:r>
      <w:r w:rsidR="003225FC" w:rsidRPr="00412620">
        <w:rPr>
          <w:rFonts w:cs="Arial"/>
          <w:sz w:val="20"/>
        </w:rPr>
        <w:t>ion of any of these instruments</w:t>
      </w:r>
      <w:r w:rsidR="002A24E3">
        <w:rPr>
          <w:rFonts w:cs="Arial"/>
          <w:sz w:val="20"/>
        </w:rPr>
        <w:t xml:space="preserve"> </w:t>
      </w:r>
      <w:r w:rsidR="000709DA" w:rsidRPr="00FB1860">
        <w:rPr>
          <w:rStyle w:val="FootnoteReference"/>
          <w:rFonts w:cs="Arial"/>
          <w:color w:val="000000" w:themeColor="text1"/>
          <w:sz w:val="20"/>
        </w:rPr>
        <w:footnoteReference w:id="1440"/>
      </w:r>
      <w:r w:rsidR="000709DA" w:rsidRPr="00FB1860">
        <w:rPr>
          <w:rFonts w:cs="Arial"/>
          <w:color w:val="000000" w:themeColor="text1"/>
          <w:sz w:val="20"/>
        </w:rPr>
        <w:t>[“.”]</w:t>
      </w:r>
    </w:p>
    <w:p w:rsidR="000709DA" w:rsidRPr="00FB1860" w:rsidRDefault="000709DA" w:rsidP="00D11973">
      <w:pPr>
        <w:spacing w:before="120" w:after="120"/>
        <w:jc w:val="both"/>
        <w:rPr>
          <w:rFonts w:cs="Arial"/>
          <w:color w:val="000000" w:themeColor="text1"/>
          <w:sz w:val="20"/>
        </w:rPr>
      </w:pPr>
      <w:r>
        <w:rPr>
          <w:rFonts w:cs="Arial"/>
          <w:color w:val="984806" w:themeColor="accent6" w:themeShade="80"/>
          <w:sz w:val="20"/>
        </w:rPr>
        <w:tab/>
      </w:r>
      <w:r>
        <w:rPr>
          <w:rFonts w:cs="Arial"/>
          <w:color w:val="984806" w:themeColor="accent6" w:themeShade="80"/>
          <w:sz w:val="20"/>
        </w:rPr>
        <w:tab/>
      </w:r>
      <w:r w:rsidRPr="00FB1860">
        <w:rPr>
          <w:rStyle w:val="FootnoteReference"/>
          <w:rFonts w:cs="Arial"/>
          <w:color w:val="000000" w:themeColor="text1"/>
          <w:sz w:val="20"/>
        </w:rPr>
        <w:footnoteReference w:id="1441"/>
      </w:r>
      <w:r w:rsidRPr="00FB1860">
        <w:rPr>
          <w:rFonts w:cs="Arial"/>
          <w:color w:val="000000" w:themeColor="text1"/>
          <w:sz w:val="20"/>
        </w:rPr>
        <w:t>[    ]</w:t>
      </w:r>
    </w:p>
    <w:p w:rsidR="00517B60" w:rsidRPr="00412620" w:rsidRDefault="008C4ADF" w:rsidP="00B136D7">
      <w:pPr>
        <w:spacing w:before="120" w:after="120"/>
        <w:ind w:firstLine="547"/>
        <w:jc w:val="both"/>
        <w:rPr>
          <w:rFonts w:cs="Arial"/>
          <w:sz w:val="20"/>
        </w:rPr>
      </w:pPr>
      <w:r w:rsidRPr="00412620">
        <w:rPr>
          <w:rFonts w:cs="Arial"/>
          <w:sz w:val="20"/>
        </w:rPr>
        <w:t>(2)</w:t>
      </w:r>
      <w:r w:rsidRPr="00412620">
        <w:rPr>
          <w:rFonts w:cs="Arial"/>
          <w:sz w:val="20"/>
        </w:rPr>
        <w:tab/>
        <w:t>Every banking company, non-banking financial institution, exchange company or any authorized dealer of foreign exchange shall collect advance tax at the time of transfer of any sum against cash through online transfer, telegraphic transfer, mail transfer or any other mode of electronic transfer.</w:t>
      </w:r>
    </w:p>
    <w:p w:rsidR="00517B60" w:rsidRPr="00412620" w:rsidRDefault="00517B60" w:rsidP="00B136D7">
      <w:pPr>
        <w:spacing w:before="120" w:after="120"/>
        <w:ind w:firstLine="547"/>
        <w:jc w:val="both"/>
        <w:rPr>
          <w:rFonts w:cs="Arial"/>
          <w:sz w:val="20"/>
        </w:rPr>
      </w:pPr>
      <w:r w:rsidRPr="00412620">
        <w:rPr>
          <w:rFonts w:cs="Arial"/>
          <w:sz w:val="20"/>
        </w:rPr>
        <w:lastRenderedPageBreak/>
        <w:t>(3)</w:t>
      </w:r>
      <w:r w:rsidRPr="00412620">
        <w:rPr>
          <w:rFonts w:cs="Arial"/>
          <w:sz w:val="20"/>
        </w:rPr>
        <w:tab/>
        <w:t>The advance tax under this section shall be collected at the rate specified in Division VIA of Part IV of the First Schedule, where the sum total of payments for transactions mentioned in sub-section (1) or sub-section (2) as the case may be, exceed twenty-five thousand rupees in a day.</w:t>
      </w:r>
    </w:p>
    <w:p w:rsidR="00212EFC" w:rsidRPr="00212EFC" w:rsidRDefault="00212EFC" w:rsidP="00EE6355">
      <w:pPr>
        <w:jc w:val="both"/>
        <w:rPr>
          <w:rFonts w:cs="Arial"/>
          <w:color w:val="984806" w:themeColor="accent6" w:themeShade="80"/>
          <w:sz w:val="20"/>
        </w:rPr>
      </w:pPr>
      <w:r>
        <w:rPr>
          <w:rStyle w:val="FootnoteReference"/>
          <w:rFonts w:cs="Arial"/>
          <w:color w:val="984806" w:themeColor="accent6" w:themeShade="80"/>
          <w:sz w:val="20"/>
        </w:rPr>
        <w:footnoteReference w:id="1442"/>
      </w:r>
      <w:r w:rsidRPr="00212EFC">
        <w:rPr>
          <w:rFonts w:cs="Arial"/>
          <w:color w:val="984806" w:themeColor="accent6" w:themeShade="80"/>
          <w:sz w:val="20"/>
        </w:rPr>
        <w:t>[      ]</w:t>
      </w:r>
    </w:p>
    <w:p w:rsidR="00212EFC" w:rsidRDefault="00212EFC" w:rsidP="00EE6355">
      <w:pPr>
        <w:jc w:val="both"/>
        <w:rPr>
          <w:rFonts w:cs="Arial"/>
          <w:color w:val="00B0F0"/>
          <w:sz w:val="20"/>
        </w:rPr>
      </w:pPr>
    </w:p>
    <w:p w:rsidR="00C96BD1" w:rsidRDefault="009356ED" w:rsidP="00EE6355">
      <w:pPr>
        <w:jc w:val="both"/>
        <w:rPr>
          <w:rFonts w:cs="Arial"/>
          <w:color w:val="FF0066"/>
          <w:sz w:val="20"/>
        </w:rPr>
      </w:pPr>
      <w:r w:rsidRPr="001B3020">
        <w:rPr>
          <w:rStyle w:val="FootnoteReference"/>
          <w:rFonts w:cs="Arial"/>
          <w:color w:val="000000" w:themeColor="text1"/>
          <w:sz w:val="20"/>
        </w:rPr>
        <w:footnoteReference w:id="1443"/>
      </w:r>
      <w:r w:rsidRPr="001B3020">
        <w:rPr>
          <w:rFonts w:cs="Arial"/>
          <w:color w:val="000000" w:themeColor="text1"/>
          <w:sz w:val="20"/>
        </w:rPr>
        <w:t>[</w:t>
      </w:r>
      <w:r w:rsidR="00C96BD1" w:rsidRPr="001B3020">
        <w:rPr>
          <w:rFonts w:cs="Arial"/>
          <w:b/>
          <w:color w:val="000000" w:themeColor="text1"/>
          <w:sz w:val="20"/>
        </w:rPr>
        <w:t>231B. Advance tax on private motor vehicles.—</w:t>
      </w:r>
      <w:r w:rsidR="00C96BD1" w:rsidRPr="001B3020">
        <w:rPr>
          <w:rFonts w:cs="Arial"/>
          <w:color w:val="000000" w:themeColor="text1"/>
          <w:sz w:val="20"/>
        </w:rPr>
        <w:t xml:space="preserve"> (1) Every motor vehicle registering authority of Excise and Taxation Department shall collect advance tax at the time of registration of a </w:t>
      </w:r>
      <w:r w:rsidR="00EE6355" w:rsidRPr="001B3020">
        <w:rPr>
          <w:rFonts w:cs="Arial"/>
          <w:color w:val="000000" w:themeColor="text1"/>
          <w:sz w:val="20"/>
        </w:rPr>
        <w:t xml:space="preserve">motor vehicle, </w:t>
      </w:r>
      <w:r w:rsidR="00C96BD1" w:rsidRPr="001B3020">
        <w:rPr>
          <w:rFonts w:cs="Arial"/>
          <w:color w:val="000000" w:themeColor="text1"/>
          <w:sz w:val="20"/>
        </w:rPr>
        <w:t>at the rates specified in Division VII of Part IV of the First Schedule</w:t>
      </w:r>
      <w:r w:rsidR="0028646A">
        <w:rPr>
          <w:rFonts w:cs="Arial"/>
          <w:color w:val="000000" w:themeColor="text1"/>
          <w:sz w:val="20"/>
        </w:rPr>
        <w:t xml:space="preserve"> </w:t>
      </w:r>
      <w:r w:rsidR="0028646A" w:rsidRPr="0009763F">
        <w:rPr>
          <w:rStyle w:val="FootnoteReference"/>
          <w:rFonts w:cs="Arial"/>
          <w:color w:val="0070C0"/>
          <w:sz w:val="20"/>
        </w:rPr>
        <w:footnoteReference w:id="1444"/>
      </w:r>
      <w:r w:rsidR="0028646A" w:rsidRPr="0009763F">
        <w:rPr>
          <w:rFonts w:cs="Arial"/>
          <w:color w:val="0070C0"/>
          <w:sz w:val="20"/>
        </w:rPr>
        <w:t>[:]</w:t>
      </w:r>
    </w:p>
    <w:p w:rsidR="0028646A" w:rsidRDefault="0028646A" w:rsidP="00EE6355">
      <w:pPr>
        <w:jc w:val="both"/>
        <w:rPr>
          <w:rFonts w:cs="Arial"/>
          <w:color w:val="FF0066"/>
          <w:sz w:val="20"/>
        </w:rPr>
      </w:pPr>
    </w:p>
    <w:p w:rsidR="0028646A" w:rsidRPr="0009763F" w:rsidRDefault="00594480" w:rsidP="00650B11">
      <w:pPr>
        <w:ind w:left="900" w:firstLine="741"/>
        <w:jc w:val="both"/>
        <w:rPr>
          <w:rFonts w:cs="Arial"/>
          <w:color w:val="0070C0"/>
          <w:sz w:val="20"/>
        </w:rPr>
      </w:pPr>
      <w:r w:rsidRPr="0009763F">
        <w:rPr>
          <w:rStyle w:val="FootnoteReference"/>
          <w:rFonts w:cs="Arial"/>
          <w:color w:val="0070C0"/>
          <w:sz w:val="20"/>
        </w:rPr>
        <w:footnoteReference w:id="1445"/>
      </w:r>
      <w:r w:rsidR="0028646A" w:rsidRPr="0009763F">
        <w:rPr>
          <w:rFonts w:cs="Arial"/>
          <w:color w:val="0070C0"/>
          <w:sz w:val="20"/>
        </w:rPr>
        <w:t>[“Provided that no collection of advance tax under this sub-section shall be made after five years from the date of first registration as specified in clauses (a), (b) and (c) of sub-section (6).”]</w:t>
      </w:r>
    </w:p>
    <w:p w:rsidR="00EE6355" w:rsidRPr="0009763F" w:rsidRDefault="00EE6355" w:rsidP="00EE6355">
      <w:pPr>
        <w:jc w:val="both"/>
        <w:rPr>
          <w:rFonts w:cs="Arial"/>
          <w:color w:val="0070C0"/>
          <w:sz w:val="20"/>
        </w:rPr>
      </w:pPr>
    </w:p>
    <w:p w:rsidR="00594480" w:rsidRPr="0009763F" w:rsidRDefault="00594480" w:rsidP="00BA1E32">
      <w:pPr>
        <w:ind w:firstLine="547"/>
        <w:jc w:val="both"/>
        <w:rPr>
          <w:rFonts w:cs="Arial"/>
          <w:color w:val="0070C0"/>
          <w:sz w:val="20"/>
        </w:rPr>
      </w:pPr>
      <w:r w:rsidRPr="0009763F">
        <w:rPr>
          <w:rStyle w:val="FootnoteReference"/>
          <w:rFonts w:cs="Arial"/>
          <w:color w:val="0070C0"/>
          <w:sz w:val="20"/>
        </w:rPr>
        <w:footnoteReference w:id="1446"/>
      </w:r>
      <w:r w:rsidRPr="0009763F">
        <w:rPr>
          <w:rFonts w:cs="Arial"/>
          <w:color w:val="0070C0"/>
          <w:sz w:val="20"/>
        </w:rPr>
        <w:t>[“(1A)  Every leasing company or a scheduled bank or an investment bank or a development finance institution or a modaraba shall, at the time of leasing of a motor vehicle to a non-filer, collect advance tax at the rate of three per cent of the value of the motor vehicle.”]</w:t>
      </w:r>
    </w:p>
    <w:p w:rsidR="00594480" w:rsidRDefault="00594480" w:rsidP="00BA1E32">
      <w:pPr>
        <w:ind w:firstLine="547"/>
        <w:jc w:val="both"/>
        <w:rPr>
          <w:rFonts w:cs="Arial"/>
          <w:color w:val="000000" w:themeColor="text1"/>
          <w:sz w:val="20"/>
        </w:rPr>
      </w:pPr>
    </w:p>
    <w:p w:rsidR="00C96BD1" w:rsidRPr="001B3020" w:rsidRDefault="00C96BD1" w:rsidP="00BA1E32">
      <w:pPr>
        <w:ind w:firstLine="547"/>
        <w:jc w:val="both"/>
        <w:rPr>
          <w:rFonts w:cs="Arial"/>
          <w:color w:val="000000" w:themeColor="text1"/>
          <w:sz w:val="20"/>
        </w:rPr>
      </w:pPr>
      <w:r w:rsidRPr="001B3020">
        <w:rPr>
          <w:rFonts w:cs="Arial"/>
          <w:color w:val="000000" w:themeColor="text1"/>
          <w:sz w:val="20"/>
        </w:rPr>
        <w:t>(2)</w:t>
      </w:r>
      <w:r w:rsidRPr="001B3020">
        <w:rPr>
          <w:rFonts w:cs="Arial"/>
          <w:color w:val="000000" w:themeColor="text1"/>
          <w:sz w:val="20"/>
        </w:rPr>
        <w:tab/>
        <w:t xml:space="preserve">Every motor vehicle registering authority of Excise and Taxation Department shall collect advance tax at the time of transfer of registration or </w:t>
      </w:r>
      <w:r w:rsidRPr="001B3020">
        <w:rPr>
          <w:rFonts w:cs="Arial"/>
          <w:color w:val="000000" w:themeColor="text1"/>
          <w:sz w:val="20"/>
        </w:rPr>
        <w:lastRenderedPageBreak/>
        <w:t>ownership of a private motor vehicle, at the rates specified in Division VII o</w:t>
      </w:r>
      <w:r w:rsidR="007843DF" w:rsidRPr="001B3020">
        <w:rPr>
          <w:rFonts w:cs="Arial"/>
          <w:color w:val="000000" w:themeColor="text1"/>
          <w:sz w:val="20"/>
        </w:rPr>
        <w:t xml:space="preserve">f Part IV of the First Schedule: </w:t>
      </w:r>
    </w:p>
    <w:p w:rsidR="007843DF" w:rsidRPr="001B3020" w:rsidRDefault="007843DF" w:rsidP="00EE6355">
      <w:pPr>
        <w:jc w:val="both"/>
        <w:rPr>
          <w:rFonts w:cs="Arial"/>
          <w:color w:val="000000" w:themeColor="text1"/>
          <w:sz w:val="20"/>
        </w:rPr>
      </w:pPr>
    </w:p>
    <w:p w:rsidR="007843DF" w:rsidRPr="001B3020" w:rsidRDefault="007843DF" w:rsidP="00EE4E21">
      <w:pPr>
        <w:ind w:left="1094" w:firstLine="547"/>
        <w:jc w:val="both"/>
        <w:rPr>
          <w:rFonts w:cs="Arial"/>
          <w:color w:val="000000" w:themeColor="text1"/>
          <w:sz w:val="20"/>
        </w:rPr>
      </w:pPr>
      <w:r w:rsidRPr="001B3020">
        <w:rPr>
          <w:rFonts w:cs="Arial"/>
          <w:color w:val="000000" w:themeColor="text1"/>
          <w:sz w:val="20"/>
        </w:rPr>
        <w:t xml:space="preserve">Provided that no collection of advance tax under this sub-section shall be made on transfer of vehicle after five year from the date of first registration in Pakistan. </w:t>
      </w:r>
    </w:p>
    <w:p w:rsidR="007843DF" w:rsidRPr="001B3020" w:rsidRDefault="007843DF" w:rsidP="007843DF">
      <w:pPr>
        <w:jc w:val="both"/>
        <w:rPr>
          <w:rFonts w:cs="Arial"/>
          <w:color w:val="000000" w:themeColor="text1"/>
          <w:sz w:val="20"/>
        </w:rPr>
      </w:pPr>
    </w:p>
    <w:p w:rsidR="00C96BD1" w:rsidRPr="001B3020" w:rsidRDefault="007843DF" w:rsidP="00BA1E32">
      <w:pPr>
        <w:ind w:firstLine="547"/>
        <w:jc w:val="both"/>
        <w:rPr>
          <w:rFonts w:cs="Arial"/>
          <w:color w:val="000000" w:themeColor="text1"/>
          <w:sz w:val="20"/>
        </w:rPr>
      </w:pPr>
      <w:r w:rsidRPr="001B3020">
        <w:rPr>
          <w:rFonts w:cs="Arial"/>
          <w:color w:val="000000" w:themeColor="text1"/>
          <w:sz w:val="20"/>
        </w:rPr>
        <w:t>(3)</w:t>
      </w:r>
      <w:r w:rsidRPr="001B3020">
        <w:rPr>
          <w:rFonts w:cs="Arial"/>
          <w:color w:val="000000" w:themeColor="text1"/>
          <w:sz w:val="20"/>
        </w:rPr>
        <w:tab/>
      </w:r>
      <w:r w:rsidR="00C96BD1" w:rsidRPr="001B3020">
        <w:rPr>
          <w:rFonts w:cs="Arial"/>
          <w:color w:val="000000" w:themeColor="text1"/>
          <w:sz w:val="20"/>
        </w:rPr>
        <w:t>Every manufacturer of a motor</w:t>
      </w:r>
      <w:r w:rsidR="00C96BD1" w:rsidRPr="007843DF">
        <w:rPr>
          <w:rFonts w:cs="Arial"/>
          <w:color w:val="00B0F0"/>
          <w:sz w:val="20"/>
        </w:rPr>
        <w:t xml:space="preserve"> </w:t>
      </w:r>
      <w:r w:rsidR="001C6671" w:rsidRPr="00FB1860">
        <w:rPr>
          <w:rStyle w:val="FootnoteReference"/>
          <w:rFonts w:cs="Arial"/>
          <w:color w:val="000000" w:themeColor="text1"/>
          <w:sz w:val="20"/>
        </w:rPr>
        <w:footnoteReference w:id="1447"/>
      </w:r>
      <w:r w:rsidR="00EE4E21" w:rsidRPr="00FB1860">
        <w:rPr>
          <w:rFonts w:cs="Arial"/>
          <w:color w:val="000000" w:themeColor="text1"/>
          <w:sz w:val="20"/>
        </w:rPr>
        <w:t>[“vehicle”]</w:t>
      </w:r>
      <w:r w:rsidR="00C47F79">
        <w:rPr>
          <w:rFonts w:cs="Arial"/>
          <w:color w:val="984806" w:themeColor="accent6" w:themeShade="80"/>
          <w:sz w:val="20"/>
        </w:rPr>
        <w:t xml:space="preserve"> </w:t>
      </w:r>
      <w:r w:rsidR="00C96BD1" w:rsidRPr="001B3020">
        <w:rPr>
          <w:rFonts w:cs="Arial"/>
          <w:color w:val="000000" w:themeColor="text1"/>
          <w:sz w:val="20"/>
        </w:rPr>
        <w:t>shall collect, at the time of sale of a motor car or jeep, advance tax at the rate specified in Division VII of Part IV of the First Schedule from the person to whom such sale is made.</w:t>
      </w:r>
    </w:p>
    <w:p w:rsidR="00EE6355" w:rsidRPr="001B3020" w:rsidRDefault="00EE6355" w:rsidP="00EE6355">
      <w:pPr>
        <w:pStyle w:val="ListParagraph"/>
        <w:ind w:left="540"/>
        <w:jc w:val="both"/>
        <w:rPr>
          <w:rFonts w:cs="Arial"/>
          <w:color w:val="000000" w:themeColor="text1"/>
          <w:sz w:val="20"/>
        </w:rPr>
      </w:pPr>
    </w:p>
    <w:p w:rsidR="00C96BD1" w:rsidRPr="001B3020" w:rsidRDefault="00C96BD1" w:rsidP="004C0FA0">
      <w:pPr>
        <w:pStyle w:val="ListParagraph"/>
        <w:numPr>
          <w:ilvl w:val="0"/>
          <w:numId w:val="58"/>
        </w:numPr>
        <w:ind w:left="0" w:firstLine="540"/>
        <w:jc w:val="both"/>
        <w:rPr>
          <w:rFonts w:cs="Arial"/>
          <w:color w:val="000000" w:themeColor="text1"/>
          <w:sz w:val="20"/>
        </w:rPr>
      </w:pPr>
      <w:r w:rsidRPr="001B3020">
        <w:rPr>
          <w:rFonts w:cs="Arial"/>
          <w:color w:val="000000" w:themeColor="text1"/>
          <w:sz w:val="20"/>
        </w:rPr>
        <w:t>Sub-section (1) shall not apply if a person produces eviden</w:t>
      </w:r>
      <w:r w:rsidR="00A775D4" w:rsidRPr="001B3020">
        <w:rPr>
          <w:rFonts w:cs="Arial"/>
          <w:color w:val="000000" w:themeColor="text1"/>
          <w:sz w:val="20"/>
        </w:rPr>
        <w:t>ce that tax under sub-section (3</w:t>
      </w:r>
      <w:r w:rsidRPr="001B3020">
        <w:rPr>
          <w:rFonts w:cs="Arial"/>
          <w:color w:val="000000" w:themeColor="text1"/>
          <w:sz w:val="20"/>
        </w:rPr>
        <w:t>) in case of a locally manufactured vehicle or tax under section 148 in the case of imported vehicle was collected from the same person in respect of the same vehicle.</w:t>
      </w:r>
    </w:p>
    <w:p w:rsidR="00B027AC" w:rsidRPr="009356ED" w:rsidRDefault="00B027AC" w:rsidP="0055634C">
      <w:pPr>
        <w:jc w:val="both"/>
        <w:rPr>
          <w:rFonts w:cs="Arial"/>
          <w:color w:val="00B0F0"/>
          <w:sz w:val="20"/>
        </w:rPr>
      </w:pPr>
    </w:p>
    <w:p w:rsidR="00C96BD1" w:rsidRPr="001B3020" w:rsidRDefault="00C96BD1" w:rsidP="000D2707">
      <w:pPr>
        <w:ind w:firstLine="540"/>
        <w:jc w:val="both"/>
        <w:rPr>
          <w:rFonts w:cs="Arial"/>
          <w:color w:val="000000" w:themeColor="text1"/>
          <w:sz w:val="20"/>
        </w:rPr>
      </w:pPr>
      <w:r w:rsidRPr="001B3020">
        <w:rPr>
          <w:rFonts w:cs="Arial"/>
          <w:color w:val="000000" w:themeColor="text1"/>
          <w:sz w:val="20"/>
        </w:rPr>
        <w:t xml:space="preserve">(5) </w:t>
      </w:r>
      <w:r w:rsidRPr="001B3020">
        <w:rPr>
          <w:rFonts w:cs="Arial"/>
          <w:color w:val="000000" w:themeColor="text1"/>
          <w:sz w:val="20"/>
        </w:rPr>
        <w:tab/>
        <w:t>The advance tax collected under this section shall be adjustable:</w:t>
      </w:r>
    </w:p>
    <w:p w:rsidR="00650570" w:rsidRPr="001B3020" w:rsidRDefault="00650570" w:rsidP="00B027AC">
      <w:pPr>
        <w:jc w:val="both"/>
        <w:rPr>
          <w:rFonts w:cs="Arial"/>
          <w:color w:val="000000" w:themeColor="text1"/>
          <w:sz w:val="20"/>
        </w:rPr>
      </w:pPr>
    </w:p>
    <w:p w:rsidR="00C96BD1" w:rsidRPr="001B3020" w:rsidRDefault="00C96BD1" w:rsidP="00650570">
      <w:pPr>
        <w:ind w:left="1094"/>
        <w:jc w:val="both"/>
        <w:rPr>
          <w:rFonts w:cs="Arial"/>
          <w:color w:val="000000" w:themeColor="text1"/>
          <w:sz w:val="20"/>
        </w:rPr>
      </w:pPr>
      <w:r w:rsidRPr="001B3020">
        <w:rPr>
          <w:rFonts w:cs="Arial"/>
          <w:color w:val="000000" w:themeColor="text1"/>
          <w:sz w:val="20"/>
        </w:rPr>
        <w:t xml:space="preserve">Provided that the provisions of this section shall not be applicable in the case of – </w:t>
      </w:r>
    </w:p>
    <w:p w:rsidR="00B027AC" w:rsidRPr="001B3020" w:rsidRDefault="00B027AC" w:rsidP="00B027AC">
      <w:pPr>
        <w:jc w:val="both"/>
        <w:rPr>
          <w:rFonts w:cs="Arial"/>
          <w:color w:val="000000" w:themeColor="text1"/>
          <w:sz w:val="20"/>
        </w:rPr>
      </w:pPr>
    </w:p>
    <w:p w:rsidR="00C96BD1" w:rsidRPr="001B3020" w:rsidRDefault="00C96BD1" w:rsidP="004B20DC">
      <w:pPr>
        <w:pStyle w:val="ListParagraph"/>
        <w:numPr>
          <w:ilvl w:val="0"/>
          <w:numId w:val="34"/>
        </w:numPr>
        <w:ind w:left="2070" w:hanging="720"/>
        <w:contextualSpacing/>
        <w:jc w:val="both"/>
        <w:rPr>
          <w:rFonts w:cs="Arial"/>
          <w:color w:val="000000" w:themeColor="text1"/>
          <w:sz w:val="20"/>
        </w:rPr>
      </w:pPr>
      <w:r w:rsidRPr="001B3020">
        <w:rPr>
          <w:rFonts w:cs="Arial"/>
          <w:color w:val="000000" w:themeColor="text1"/>
          <w:sz w:val="20"/>
        </w:rPr>
        <w:t xml:space="preserve">the Federal Government; </w:t>
      </w:r>
    </w:p>
    <w:p w:rsidR="00C96BD1" w:rsidRPr="001B3020" w:rsidRDefault="00C96BD1" w:rsidP="004B20DC">
      <w:pPr>
        <w:pStyle w:val="ListParagraph"/>
        <w:numPr>
          <w:ilvl w:val="0"/>
          <w:numId w:val="34"/>
        </w:numPr>
        <w:ind w:left="2070" w:hanging="720"/>
        <w:contextualSpacing/>
        <w:jc w:val="both"/>
        <w:rPr>
          <w:rFonts w:cs="Arial"/>
          <w:color w:val="000000" w:themeColor="text1"/>
          <w:sz w:val="20"/>
        </w:rPr>
      </w:pPr>
      <w:r w:rsidRPr="001B3020">
        <w:rPr>
          <w:rFonts w:cs="Arial"/>
          <w:color w:val="000000" w:themeColor="text1"/>
          <w:sz w:val="20"/>
        </w:rPr>
        <w:t xml:space="preserve">a Provincial Government; </w:t>
      </w:r>
    </w:p>
    <w:p w:rsidR="00C96BD1" w:rsidRPr="001B3020" w:rsidRDefault="00C96BD1" w:rsidP="004B20DC">
      <w:pPr>
        <w:pStyle w:val="ListParagraph"/>
        <w:numPr>
          <w:ilvl w:val="0"/>
          <w:numId w:val="34"/>
        </w:numPr>
        <w:ind w:left="2070" w:hanging="720"/>
        <w:contextualSpacing/>
        <w:jc w:val="both"/>
        <w:rPr>
          <w:rFonts w:cs="Arial"/>
          <w:color w:val="000000" w:themeColor="text1"/>
          <w:sz w:val="20"/>
        </w:rPr>
      </w:pPr>
      <w:r w:rsidRPr="001B3020">
        <w:rPr>
          <w:rFonts w:cs="Arial"/>
          <w:color w:val="000000" w:themeColor="text1"/>
          <w:sz w:val="20"/>
        </w:rPr>
        <w:t xml:space="preserve">a Local Government; </w:t>
      </w:r>
    </w:p>
    <w:p w:rsidR="0055634C" w:rsidRPr="001B3020" w:rsidRDefault="00C96BD1" w:rsidP="004B20DC">
      <w:pPr>
        <w:pStyle w:val="ListParagraph"/>
        <w:numPr>
          <w:ilvl w:val="0"/>
          <w:numId w:val="34"/>
        </w:numPr>
        <w:ind w:left="2070" w:hanging="720"/>
        <w:contextualSpacing/>
        <w:jc w:val="both"/>
        <w:rPr>
          <w:rFonts w:cs="Arial"/>
          <w:color w:val="000000" w:themeColor="text1"/>
          <w:sz w:val="20"/>
        </w:rPr>
      </w:pPr>
      <w:r w:rsidRPr="001B3020">
        <w:rPr>
          <w:rFonts w:cs="Arial"/>
          <w:color w:val="000000" w:themeColor="text1"/>
          <w:sz w:val="20"/>
        </w:rPr>
        <w:t xml:space="preserve">a foreign diplomat; or </w:t>
      </w:r>
    </w:p>
    <w:p w:rsidR="002D3FC3" w:rsidRPr="001B3020" w:rsidRDefault="00C96BD1" w:rsidP="004B20DC">
      <w:pPr>
        <w:pStyle w:val="ListParagraph"/>
        <w:numPr>
          <w:ilvl w:val="0"/>
          <w:numId w:val="34"/>
        </w:numPr>
        <w:ind w:left="2070" w:hanging="720"/>
        <w:contextualSpacing/>
        <w:jc w:val="both"/>
        <w:rPr>
          <w:rFonts w:cs="Arial"/>
          <w:color w:val="000000" w:themeColor="text1"/>
          <w:sz w:val="20"/>
        </w:rPr>
      </w:pPr>
      <w:r w:rsidRPr="001B3020">
        <w:rPr>
          <w:rFonts w:cs="Arial"/>
          <w:color w:val="000000" w:themeColor="text1"/>
          <w:sz w:val="20"/>
        </w:rPr>
        <w:t>a d</w:t>
      </w:r>
      <w:r w:rsidR="00650570" w:rsidRPr="001B3020">
        <w:rPr>
          <w:rFonts w:cs="Arial"/>
          <w:color w:val="000000" w:themeColor="text1"/>
          <w:sz w:val="20"/>
        </w:rPr>
        <w:t>iplomatic mission in Pakistan.]</w:t>
      </w:r>
    </w:p>
    <w:p w:rsidR="002D3FC3" w:rsidRPr="001B3020" w:rsidRDefault="002D3FC3" w:rsidP="002D3FC3">
      <w:pPr>
        <w:contextualSpacing/>
        <w:jc w:val="both"/>
        <w:rPr>
          <w:rFonts w:cs="Arial"/>
          <w:color w:val="000000" w:themeColor="text1"/>
          <w:sz w:val="20"/>
        </w:rPr>
      </w:pPr>
    </w:p>
    <w:p w:rsidR="002D3FC3" w:rsidRPr="00FB1860" w:rsidRDefault="000D2707" w:rsidP="000D2707">
      <w:pPr>
        <w:autoSpaceDE w:val="0"/>
        <w:autoSpaceDN w:val="0"/>
        <w:adjustRightInd w:val="0"/>
        <w:ind w:firstLine="547"/>
        <w:jc w:val="both"/>
        <w:rPr>
          <w:rFonts w:cs="Arial"/>
          <w:color w:val="000000" w:themeColor="text1"/>
          <w:sz w:val="20"/>
          <w:lang w:val="en-US"/>
        </w:rPr>
      </w:pPr>
      <w:r w:rsidRPr="00FB1860">
        <w:rPr>
          <w:rStyle w:val="FootnoteReference"/>
          <w:rFonts w:cs="Arial"/>
          <w:color w:val="000000" w:themeColor="text1"/>
          <w:sz w:val="20"/>
          <w:lang w:val="en-US"/>
        </w:rPr>
        <w:footnoteReference w:id="1448"/>
      </w:r>
      <w:r w:rsidR="002D3FC3" w:rsidRPr="00FB1860">
        <w:rPr>
          <w:rFonts w:cs="Arial"/>
          <w:color w:val="000000" w:themeColor="text1"/>
          <w:sz w:val="20"/>
          <w:lang w:val="en-US"/>
        </w:rPr>
        <w:t>[“(6) For the purposes of this section the expression “date of first registration” means—</w:t>
      </w:r>
    </w:p>
    <w:p w:rsidR="002D3FC3" w:rsidRPr="00FB1860" w:rsidRDefault="002D3FC3" w:rsidP="002D3FC3">
      <w:pPr>
        <w:autoSpaceDE w:val="0"/>
        <w:autoSpaceDN w:val="0"/>
        <w:adjustRightInd w:val="0"/>
        <w:jc w:val="both"/>
        <w:rPr>
          <w:rFonts w:cs="Arial"/>
          <w:color w:val="000000" w:themeColor="text1"/>
          <w:sz w:val="20"/>
          <w:lang w:val="en-US"/>
        </w:rPr>
      </w:pPr>
    </w:p>
    <w:p w:rsidR="002D3FC3" w:rsidRPr="00FB1860" w:rsidRDefault="002D3FC3" w:rsidP="004C0FA0">
      <w:pPr>
        <w:pStyle w:val="ListParagraph"/>
        <w:numPr>
          <w:ilvl w:val="0"/>
          <w:numId w:val="59"/>
        </w:numPr>
        <w:autoSpaceDE w:val="0"/>
        <w:autoSpaceDN w:val="0"/>
        <w:adjustRightInd w:val="0"/>
        <w:jc w:val="both"/>
        <w:rPr>
          <w:rFonts w:cs="Arial"/>
          <w:color w:val="000000" w:themeColor="text1"/>
          <w:sz w:val="20"/>
          <w:lang w:val="en-US"/>
        </w:rPr>
      </w:pPr>
      <w:r w:rsidRPr="00FB1860">
        <w:rPr>
          <w:rFonts w:cs="Arial"/>
          <w:color w:val="000000" w:themeColor="text1"/>
          <w:sz w:val="20"/>
          <w:lang w:val="en-US"/>
        </w:rPr>
        <w:t>the date of issuance of broad arrow number in case a vehicle is acquired from the Armed Forces of Pakistan;</w:t>
      </w:r>
    </w:p>
    <w:p w:rsidR="002D3FC3" w:rsidRPr="00FB1860" w:rsidRDefault="002D3FC3" w:rsidP="002D3FC3">
      <w:pPr>
        <w:pStyle w:val="ListParagraph"/>
        <w:autoSpaceDE w:val="0"/>
        <w:autoSpaceDN w:val="0"/>
        <w:adjustRightInd w:val="0"/>
        <w:ind w:left="1979"/>
        <w:jc w:val="both"/>
        <w:rPr>
          <w:rFonts w:cs="Arial"/>
          <w:color w:val="000000" w:themeColor="text1"/>
          <w:sz w:val="20"/>
          <w:lang w:val="en-US"/>
        </w:rPr>
      </w:pPr>
    </w:p>
    <w:p w:rsidR="002D3FC3" w:rsidRPr="00FB1860" w:rsidRDefault="002D3FC3" w:rsidP="004C0FA0">
      <w:pPr>
        <w:pStyle w:val="ListParagraph"/>
        <w:numPr>
          <w:ilvl w:val="0"/>
          <w:numId w:val="59"/>
        </w:numPr>
        <w:autoSpaceDE w:val="0"/>
        <w:autoSpaceDN w:val="0"/>
        <w:adjustRightInd w:val="0"/>
        <w:jc w:val="both"/>
        <w:rPr>
          <w:rFonts w:cs="Arial"/>
          <w:color w:val="000000" w:themeColor="text1"/>
          <w:sz w:val="20"/>
          <w:lang w:val="en-US"/>
        </w:rPr>
      </w:pPr>
      <w:r w:rsidRPr="00FB1860">
        <w:rPr>
          <w:rFonts w:cs="Arial"/>
          <w:color w:val="000000" w:themeColor="text1"/>
          <w:sz w:val="20"/>
          <w:lang w:val="en-US"/>
        </w:rPr>
        <w:t>the date of registration by the Ministry of Foreign Affairs in case the vehicle is acquired from a foreign diplomat or a diplomatic mission in Pakistan;</w:t>
      </w:r>
    </w:p>
    <w:p w:rsidR="002D3FC3" w:rsidRPr="00FB1860" w:rsidRDefault="002D3FC3" w:rsidP="002D3FC3">
      <w:pPr>
        <w:pStyle w:val="ListParagraph"/>
        <w:rPr>
          <w:rFonts w:cs="Arial"/>
          <w:color w:val="000000" w:themeColor="text1"/>
          <w:sz w:val="20"/>
          <w:lang w:val="en-US"/>
        </w:rPr>
      </w:pPr>
    </w:p>
    <w:p w:rsidR="002D3FC3" w:rsidRPr="00FB1860" w:rsidRDefault="002D3FC3" w:rsidP="004C0FA0">
      <w:pPr>
        <w:pStyle w:val="ListParagraph"/>
        <w:numPr>
          <w:ilvl w:val="0"/>
          <w:numId w:val="59"/>
        </w:numPr>
        <w:autoSpaceDE w:val="0"/>
        <w:autoSpaceDN w:val="0"/>
        <w:adjustRightInd w:val="0"/>
        <w:jc w:val="both"/>
        <w:rPr>
          <w:rFonts w:cs="Arial"/>
          <w:color w:val="000000" w:themeColor="text1"/>
          <w:sz w:val="20"/>
          <w:lang w:val="en-US"/>
        </w:rPr>
      </w:pPr>
      <w:r w:rsidRPr="00FB1860">
        <w:rPr>
          <w:rFonts w:cs="Arial"/>
          <w:color w:val="000000" w:themeColor="text1"/>
          <w:sz w:val="20"/>
          <w:lang w:val="en-US"/>
        </w:rPr>
        <w:t xml:space="preserve">the last day of the year of manufacture in case of acquisition of an unregistered vehicle from the Federal or a Provincial Government; and </w:t>
      </w:r>
    </w:p>
    <w:p w:rsidR="002D3FC3" w:rsidRPr="00FB1860" w:rsidRDefault="002D3FC3" w:rsidP="002D3FC3">
      <w:pPr>
        <w:pStyle w:val="ListParagraph"/>
        <w:rPr>
          <w:rFonts w:cs="Arial"/>
          <w:color w:val="000000" w:themeColor="text1"/>
          <w:sz w:val="20"/>
          <w:lang w:val="en-US"/>
        </w:rPr>
      </w:pPr>
    </w:p>
    <w:p w:rsidR="002D3FC3" w:rsidRPr="00FB1860" w:rsidRDefault="002D3FC3" w:rsidP="004C0FA0">
      <w:pPr>
        <w:pStyle w:val="ListParagraph"/>
        <w:numPr>
          <w:ilvl w:val="0"/>
          <w:numId w:val="59"/>
        </w:numPr>
        <w:autoSpaceDE w:val="0"/>
        <w:autoSpaceDN w:val="0"/>
        <w:adjustRightInd w:val="0"/>
        <w:jc w:val="both"/>
        <w:rPr>
          <w:rFonts w:cs="Arial"/>
          <w:color w:val="000000" w:themeColor="text1"/>
          <w:sz w:val="20"/>
          <w:lang w:val="en-US"/>
        </w:rPr>
      </w:pPr>
      <w:r w:rsidRPr="00FB1860">
        <w:rPr>
          <w:rFonts w:cs="Arial"/>
          <w:color w:val="000000" w:themeColor="text1"/>
          <w:sz w:val="20"/>
          <w:lang w:val="en-US"/>
        </w:rPr>
        <w:t>in all other cases the date of first registration by the Excise and Taxation Department.</w:t>
      </w:r>
    </w:p>
    <w:p w:rsidR="002D3FC3" w:rsidRPr="000D2707" w:rsidRDefault="002D3FC3" w:rsidP="002D3FC3">
      <w:pPr>
        <w:pStyle w:val="ListParagraph"/>
        <w:rPr>
          <w:rFonts w:cs="Arial"/>
          <w:color w:val="984806" w:themeColor="accent6" w:themeShade="80"/>
          <w:sz w:val="20"/>
          <w:lang w:val="en-US"/>
        </w:rPr>
      </w:pPr>
    </w:p>
    <w:p w:rsidR="00C96BD1" w:rsidRPr="00FB1860" w:rsidRDefault="002D3FC3" w:rsidP="000D2707">
      <w:pPr>
        <w:autoSpaceDE w:val="0"/>
        <w:autoSpaceDN w:val="0"/>
        <w:adjustRightInd w:val="0"/>
        <w:ind w:firstLine="547"/>
        <w:jc w:val="both"/>
        <w:rPr>
          <w:rFonts w:cs="Arial"/>
          <w:color w:val="000000" w:themeColor="text1"/>
          <w:sz w:val="20"/>
        </w:rPr>
      </w:pPr>
      <w:r w:rsidRPr="00FB1860">
        <w:rPr>
          <w:rFonts w:cs="Arial"/>
          <w:color w:val="000000" w:themeColor="text1"/>
          <w:sz w:val="20"/>
          <w:lang w:val="en-US"/>
        </w:rPr>
        <w:lastRenderedPageBreak/>
        <w:t>(7) For the purpose of this section “motor vehicle</w:t>
      </w:r>
      <w:r w:rsidR="00F76B0D" w:rsidRPr="00FB1860">
        <w:rPr>
          <w:rFonts w:cs="Arial"/>
          <w:color w:val="000000" w:themeColor="text1"/>
          <w:sz w:val="20"/>
          <w:lang w:val="en-US"/>
        </w:rPr>
        <w:t>”</w:t>
      </w:r>
      <w:r w:rsidRPr="00FB1860">
        <w:rPr>
          <w:rFonts w:cs="Arial"/>
          <w:color w:val="000000" w:themeColor="text1"/>
          <w:sz w:val="20"/>
          <w:lang w:val="en-US"/>
        </w:rPr>
        <w:t xml:space="preserve"> includes car, jeep, van, sports utility vehicle, pick-up trucks for private use, caravan automobile, limousine, wagon and any other automo</w:t>
      </w:r>
      <w:r w:rsidR="00B86028" w:rsidRPr="00FB1860">
        <w:rPr>
          <w:rFonts w:cs="Arial"/>
          <w:color w:val="000000" w:themeColor="text1"/>
          <w:sz w:val="20"/>
          <w:lang w:val="en-US"/>
        </w:rPr>
        <w:t>bile used for private purpose.”</w:t>
      </w:r>
      <w:r w:rsidRPr="00FB1860">
        <w:rPr>
          <w:rFonts w:cs="Arial"/>
          <w:color w:val="000000" w:themeColor="text1"/>
          <w:sz w:val="20"/>
          <w:lang w:val="en-US"/>
        </w:rPr>
        <w:t>]</w:t>
      </w:r>
      <w:r w:rsidR="00C96BD1" w:rsidRPr="00FB1860">
        <w:rPr>
          <w:rFonts w:cs="Arial"/>
          <w:color w:val="000000" w:themeColor="text1"/>
          <w:sz w:val="20"/>
        </w:rPr>
        <w:tab/>
      </w:r>
    </w:p>
    <w:p w:rsidR="006A3F93" w:rsidRPr="00412620" w:rsidRDefault="006A3F93" w:rsidP="0055634C">
      <w:pPr>
        <w:pStyle w:val="Heading2"/>
        <w:keepNext w:val="0"/>
        <w:ind w:left="2070"/>
        <w:jc w:val="both"/>
        <w:rPr>
          <w:rFonts w:cs="Arial"/>
          <w:sz w:val="20"/>
        </w:rPr>
      </w:pPr>
    </w:p>
    <w:p w:rsidR="006A3F93" w:rsidRPr="00412620" w:rsidRDefault="006A3F93">
      <w:pPr>
        <w:jc w:val="both"/>
        <w:rPr>
          <w:sz w:val="20"/>
        </w:rPr>
      </w:pPr>
      <w:r w:rsidRPr="00412620">
        <w:rPr>
          <w:rStyle w:val="FootnoteReference"/>
          <w:rFonts w:cs="Arial"/>
          <w:b/>
          <w:bCs/>
          <w:sz w:val="20"/>
        </w:rPr>
        <w:footnoteReference w:id="1449"/>
      </w:r>
      <w:r w:rsidRPr="00412620">
        <w:rPr>
          <w:b/>
          <w:bCs/>
          <w:sz w:val="20"/>
        </w:rPr>
        <w:t>[233.</w:t>
      </w:r>
      <w:r w:rsidR="00360A59">
        <w:rPr>
          <w:b/>
          <w:bCs/>
          <w:sz w:val="20"/>
        </w:rPr>
        <w:t xml:space="preserve"> </w:t>
      </w:r>
      <w:r w:rsidRPr="00412620">
        <w:rPr>
          <w:b/>
          <w:bCs/>
          <w:sz w:val="20"/>
        </w:rPr>
        <w:t>Brokerage and commission.</w:t>
      </w:r>
      <w:r w:rsidR="002A6AA0" w:rsidRPr="00412620">
        <w:rPr>
          <w:rFonts w:cs="Arial"/>
          <w:sz w:val="20"/>
        </w:rPr>
        <w:t xml:space="preserve"> —</w:t>
      </w:r>
      <w:r w:rsidRPr="00412620">
        <w:rPr>
          <w:sz w:val="20"/>
        </w:rPr>
        <w:t xml:space="preserve"> (1) Where any payment on account of brokerage or commission is made by the F</w:t>
      </w:r>
      <w:r w:rsidR="0002608C" w:rsidRPr="00412620">
        <w:rPr>
          <w:sz w:val="20"/>
        </w:rPr>
        <w:t xml:space="preserve">ederal Government, a Provincial </w:t>
      </w:r>
      <w:r w:rsidRPr="00412620">
        <w:rPr>
          <w:sz w:val="20"/>
        </w:rPr>
        <w:t>Government, a</w:t>
      </w:r>
      <w:r w:rsidR="00721DEC" w:rsidRPr="00412620">
        <w:rPr>
          <w:rStyle w:val="FootnoteReference"/>
          <w:sz w:val="20"/>
        </w:rPr>
        <w:footnoteReference w:id="1450"/>
      </w:r>
      <w:r w:rsidR="00721DEC" w:rsidRPr="00412620">
        <w:rPr>
          <w:sz w:val="20"/>
        </w:rPr>
        <w:t>[Local Government]</w:t>
      </w:r>
      <w:r w:rsidRPr="00412620">
        <w:rPr>
          <w:sz w:val="20"/>
        </w:rPr>
        <w:t xml:space="preserve">, a company or an association of persons constituted by, or under any law (hereinafter called the “principal”) to a </w:t>
      </w:r>
      <w:r w:rsidR="00623954" w:rsidRPr="00412620">
        <w:rPr>
          <w:rStyle w:val="FootnoteReference"/>
          <w:sz w:val="20"/>
        </w:rPr>
        <w:footnoteReference w:id="1451"/>
      </w:r>
      <w:r w:rsidR="00623954" w:rsidRPr="00412620">
        <w:rPr>
          <w:sz w:val="20"/>
        </w:rPr>
        <w:t xml:space="preserve">[ ] </w:t>
      </w:r>
      <w:r w:rsidRPr="00412620">
        <w:rPr>
          <w:sz w:val="20"/>
        </w:rPr>
        <w:t xml:space="preserve">person (hereinafter called the “agent”), the principal shall deduct advance tax at the rate specified in </w:t>
      </w:r>
      <w:r w:rsidR="00811269" w:rsidRPr="00412620">
        <w:rPr>
          <w:rStyle w:val="FootnoteReference"/>
          <w:sz w:val="20"/>
        </w:rPr>
        <w:footnoteReference w:id="1452"/>
      </w:r>
      <w:r w:rsidR="00CF2499" w:rsidRPr="00412620">
        <w:rPr>
          <w:sz w:val="20"/>
        </w:rPr>
        <w:t xml:space="preserve">[Division II of] </w:t>
      </w:r>
      <w:r w:rsidRPr="00412620">
        <w:rPr>
          <w:sz w:val="20"/>
        </w:rPr>
        <w:t>Part IV of the First Schedule from such payment.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(2) </w:t>
      </w:r>
      <w:r w:rsidRPr="00412620">
        <w:rPr>
          <w:rFonts w:cs="Arial"/>
          <w:sz w:val="20"/>
        </w:rPr>
        <w:tab/>
        <w:t>If the agent retains Commission or brokerage from any amount remitted by him to the principal, he shall be deemed to have been paid the commission or brokerage by the principal and the principal shall collect advance tax from the agent.</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 xml:space="preserve">Where any tax is </w:t>
      </w:r>
      <w:r w:rsidR="00E312D0" w:rsidRPr="00412620">
        <w:rPr>
          <w:rStyle w:val="FootnoteReference"/>
          <w:rFonts w:cs="Arial"/>
          <w:sz w:val="20"/>
        </w:rPr>
        <w:footnoteReference w:id="1453"/>
      </w:r>
      <w:r w:rsidR="00E312D0" w:rsidRPr="00412620">
        <w:rPr>
          <w:rFonts w:cs="Arial"/>
          <w:sz w:val="20"/>
        </w:rPr>
        <w:t xml:space="preserve">[required to be] </w:t>
      </w:r>
      <w:r w:rsidRPr="00412620">
        <w:rPr>
          <w:rFonts w:cs="Arial"/>
          <w:sz w:val="20"/>
        </w:rPr>
        <w:t xml:space="preserve">collected from a person under sub-section (1), </w:t>
      </w:r>
      <w:r w:rsidR="00BF5118" w:rsidRPr="00412620">
        <w:rPr>
          <w:rStyle w:val="FootnoteReference"/>
          <w:rFonts w:cs="Arial"/>
          <w:sz w:val="20"/>
        </w:rPr>
        <w:footnoteReference w:id="1454"/>
      </w:r>
      <w:r w:rsidR="00BF5118" w:rsidRPr="00412620">
        <w:rPr>
          <w:rFonts w:cs="Arial"/>
          <w:sz w:val="20"/>
        </w:rPr>
        <w:t>[such tax]</w:t>
      </w:r>
      <w:r w:rsidRPr="00412620">
        <w:rPr>
          <w:rFonts w:cs="Arial"/>
          <w:sz w:val="20"/>
        </w:rPr>
        <w:t xml:space="preserve"> shall be the final tax on the income of such persons.]</w:t>
      </w:r>
    </w:p>
    <w:p w:rsidR="006A3F93" w:rsidRPr="00412620" w:rsidRDefault="006A3F93">
      <w:pPr>
        <w:rPr>
          <w:rFonts w:cs="Arial"/>
          <w:sz w:val="20"/>
        </w:rPr>
      </w:pPr>
    </w:p>
    <w:p w:rsidR="006A3F93" w:rsidRPr="00412620" w:rsidRDefault="006A3F93">
      <w:pPr>
        <w:jc w:val="both"/>
        <w:rPr>
          <w:rFonts w:cs="Arial"/>
          <w:sz w:val="20"/>
        </w:rPr>
      </w:pPr>
      <w:r w:rsidRPr="00412620">
        <w:rPr>
          <w:rStyle w:val="FootnoteReference"/>
          <w:rFonts w:cs="Arial"/>
          <w:sz w:val="20"/>
        </w:rPr>
        <w:footnoteReference w:id="1455"/>
      </w:r>
      <w:r w:rsidRPr="00412620">
        <w:rPr>
          <w:rFonts w:cs="Arial"/>
          <w:sz w:val="20"/>
        </w:rPr>
        <w:t>[</w:t>
      </w:r>
      <w:r w:rsidRPr="00412620">
        <w:rPr>
          <w:rFonts w:cs="Arial"/>
          <w:b/>
          <w:bCs/>
          <w:sz w:val="20"/>
        </w:rPr>
        <w:t>233A. Collection of tax by a stock exchange registered in Pakistan.</w:t>
      </w:r>
      <w:r w:rsidR="00E66FEC" w:rsidRPr="00412620">
        <w:rPr>
          <w:rFonts w:cs="Arial"/>
          <w:b/>
          <w:bCs/>
          <w:sz w:val="20"/>
        </w:rPr>
        <w:t xml:space="preserve">— </w:t>
      </w:r>
      <w:r w:rsidRPr="00412620">
        <w:rPr>
          <w:rFonts w:cs="Arial"/>
          <w:sz w:val="20"/>
        </w:rPr>
        <w:t>(1) A stock exchange registered in Pakistan shall collect advance tax,</w:t>
      </w:r>
      <w:r w:rsidR="00E66FEC" w:rsidRPr="00412620">
        <w:rPr>
          <w:rFonts w:cs="Arial"/>
          <w:sz w:val="20"/>
        </w:rPr>
        <w:t>—</w:t>
      </w:r>
    </w:p>
    <w:p w:rsidR="006A3F93" w:rsidRPr="00412620" w:rsidRDefault="006A3F93">
      <w:pPr>
        <w:jc w:val="both"/>
        <w:rPr>
          <w:rFonts w:cs="Arial"/>
          <w:sz w:val="20"/>
        </w:rPr>
      </w:pPr>
    </w:p>
    <w:p w:rsidR="006A3F93" w:rsidRPr="00412620" w:rsidRDefault="006A3F93">
      <w:pPr>
        <w:ind w:left="1634" w:hanging="540"/>
        <w:jc w:val="both"/>
        <w:rPr>
          <w:rFonts w:cs="Arial"/>
          <w:sz w:val="20"/>
        </w:rPr>
      </w:pPr>
      <w:r w:rsidRPr="00412620">
        <w:rPr>
          <w:rFonts w:cs="Arial"/>
          <w:sz w:val="20"/>
        </w:rPr>
        <w:t xml:space="preserve">(a) </w:t>
      </w:r>
      <w:r w:rsidRPr="00412620">
        <w:rPr>
          <w:rFonts w:cs="Arial"/>
          <w:sz w:val="20"/>
        </w:rPr>
        <w:tab/>
        <w:t xml:space="preserve">at the rates specified in Division IIA of Part IV of First Schedule from its Members on purchase of shares in lieu </w:t>
      </w:r>
      <w:r w:rsidR="00E923D3" w:rsidRPr="00412620">
        <w:rPr>
          <w:rFonts w:cs="Arial"/>
          <w:sz w:val="20"/>
        </w:rPr>
        <w:t xml:space="preserve">of </w:t>
      </w:r>
      <w:r w:rsidR="00B411A0" w:rsidRPr="00412620">
        <w:rPr>
          <w:rStyle w:val="FootnoteReference"/>
          <w:rFonts w:cs="Arial"/>
          <w:sz w:val="20"/>
        </w:rPr>
        <w:footnoteReference w:id="1456"/>
      </w:r>
      <w:r w:rsidR="00B411A0" w:rsidRPr="00412620">
        <w:rPr>
          <w:rFonts w:cs="Arial"/>
          <w:sz w:val="20"/>
        </w:rPr>
        <w:t xml:space="preserve">[tax on] </w:t>
      </w:r>
      <w:r w:rsidRPr="00412620">
        <w:rPr>
          <w:rFonts w:cs="Arial"/>
          <w:sz w:val="20"/>
        </w:rPr>
        <w:t xml:space="preserve"> the commission earned by such Members; </w:t>
      </w:r>
      <w:r w:rsidR="007D4BC8" w:rsidRPr="00412620">
        <w:rPr>
          <w:rStyle w:val="FootnoteReference"/>
          <w:rFonts w:cs="Arial"/>
          <w:sz w:val="20"/>
        </w:rPr>
        <w:footnoteReference w:id="1457"/>
      </w:r>
      <w:r w:rsidR="007D4BC8" w:rsidRPr="00412620">
        <w:rPr>
          <w:rFonts w:cs="Arial"/>
          <w:sz w:val="20"/>
        </w:rPr>
        <w:t>[and]</w:t>
      </w:r>
    </w:p>
    <w:p w:rsidR="006A3F93" w:rsidRPr="00412620" w:rsidRDefault="006A3F93">
      <w:pPr>
        <w:jc w:val="both"/>
        <w:rPr>
          <w:rFonts w:cs="Arial"/>
          <w:sz w:val="20"/>
        </w:rPr>
      </w:pPr>
    </w:p>
    <w:p w:rsidR="006A3F93" w:rsidRPr="00412620" w:rsidRDefault="006A3F93">
      <w:pPr>
        <w:ind w:left="1634" w:hanging="540"/>
        <w:jc w:val="both"/>
        <w:rPr>
          <w:rFonts w:cs="Arial"/>
          <w:sz w:val="20"/>
        </w:rPr>
      </w:pPr>
      <w:r w:rsidRPr="00412620">
        <w:rPr>
          <w:rFonts w:cs="Arial"/>
          <w:sz w:val="20"/>
        </w:rPr>
        <w:lastRenderedPageBreak/>
        <w:t>(b)</w:t>
      </w:r>
      <w:r w:rsidRPr="00412620">
        <w:rPr>
          <w:rFonts w:cs="Arial"/>
          <w:sz w:val="20"/>
        </w:rPr>
        <w:tab/>
        <w:t xml:space="preserve">at the rates specified in Division IIA of Part IV of First </w:t>
      </w:r>
      <w:r w:rsidRPr="00412620">
        <w:rPr>
          <w:rStyle w:val="FootnoteReference"/>
          <w:rFonts w:cs="Arial"/>
          <w:sz w:val="20"/>
        </w:rPr>
        <w:footnoteReference w:id="1458"/>
      </w:r>
      <w:r w:rsidRPr="00412620">
        <w:rPr>
          <w:rFonts w:cs="Arial"/>
          <w:sz w:val="20"/>
        </w:rPr>
        <w:t xml:space="preserve">[Schedule] from its Members on sale of shares in lieu of </w:t>
      </w:r>
      <w:r w:rsidR="00B411A0" w:rsidRPr="00412620">
        <w:rPr>
          <w:rStyle w:val="FootnoteReference"/>
          <w:rFonts w:cs="Arial"/>
          <w:sz w:val="20"/>
        </w:rPr>
        <w:footnoteReference w:id="1459"/>
      </w:r>
      <w:r w:rsidR="00B411A0" w:rsidRPr="00412620">
        <w:rPr>
          <w:rFonts w:cs="Arial"/>
          <w:sz w:val="20"/>
        </w:rPr>
        <w:t xml:space="preserve">[tax on] </w:t>
      </w:r>
      <w:r w:rsidRPr="00412620">
        <w:rPr>
          <w:rFonts w:cs="Arial"/>
          <w:sz w:val="20"/>
        </w:rPr>
        <w:t>the commission earned by such Members</w:t>
      </w:r>
      <w:r w:rsidR="00B4425B" w:rsidRPr="00412620">
        <w:rPr>
          <w:rStyle w:val="FootnoteReference"/>
          <w:rFonts w:cs="Arial"/>
          <w:sz w:val="20"/>
        </w:rPr>
        <w:footnoteReference w:id="1460"/>
      </w:r>
      <w:r w:rsidR="00B4425B" w:rsidRPr="00412620">
        <w:rPr>
          <w:rFonts w:cs="Arial"/>
          <w:sz w:val="20"/>
        </w:rPr>
        <w:t>[.]</w:t>
      </w:r>
    </w:p>
    <w:p w:rsidR="006A3F93" w:rsidRPr="00412620" w:rsidRDefault="006A3F93">
      <w:pPr>
        <w:jc w:val="both"/>
        <w:rPr>
          <w:rFonts w:cs="Arial"/>
          <w:sz w:val="20"/>
        </w:rPr>
      </w:pPr>
    </w:p>
    <w:p w:rsidR="00F06749" w:rsidRPr="00412620" w:rsidRDefault="00343078" w:rsidP="00061D47">
      <w:pPr>
        <w:ind w:left="547" w:firstLine="547"/>
        <w:jc w:val="both"/>
        <w:rPr>
          <w:rFonts w:cs="Arial"/>
          <w:sz w:val="20"/>
        </w:rPr>
      </w:pPr>
      <w:r w:rsidRPr="00412620">
        <w:rPr>
          <w:rStyle w:val="FootnoteReference"/>
          <w:rFonts w:cs="Arial"/>
          <w:sz w:val="20"/>
        </w:rPr>
        <w:footnoteReference w:id="1461"/>
      </w:r>
      <w:r w:rsidR="00F06749" w:rsidRPr="00412620">
        <w:rPr>
          <w:rFonts w:cs="Arial"/>
          <w:sz w:val="20"/>
        </w:rPr>
        <w:t>[  ]</w:t>
      </w:r>
    </w:p>
    <w:p w:rsidR="00F06749" w:rsidRPr="00412620" w:rsidRDefault="00F06749">
      <w:pPr>
        <w:jc w:val="both"/>
        <w:rPr>
          <w:rFonts w:cs="Arial"/>
          <w:sz w:val="20"/>
        </w:rPr>
      </w:pPr>
    </w:p>
    <w:p w:rsidR="00F06749" w:rsidRPr="00412620" w:rsidRDefault="008811B5" w:rsidP="00061D47">
      <w:pPr>
        <w:ind w:left="547" w:firstLine="547"/>
        <w:jc w:val="both"/>
        <w:rPr>
          <w:rFonts w:cs="Arial"/>
          <w:sz w:val="20"/>
        </w:rPr>
      </w:pPr>
      <w:r w:rsidRPr="00412620">
        <w:rPr>
          <w:rStyle w:val="FootnoteReference"/>
          <w:rFonts w:cs="Arial"/>
          <w:sz w:val="20"/>
        </w:rPr>
        <w:footnoteReference w:id="1462"/>
      </w:r>
      <w:r w:rsidR="00F06749" w:rsidRPr="00412620">
        <w:rPr>
          <w:rFonts w:cs="Arial"/>
          <w:sz w:val="20"/>
        </w:rPr>
        <w:t>[  ]</w:t>
      </w:r>
    </w:p>
    <w:p w:rsidR="00F06749" w:rsidRPr="00412620" w:rsidRDefault="00F06749">
      <w:pPr>
        <w:jc w:val="both"/>
        <w:rPr>
          <w:rFonts w:cs="Arial"/>
          <w:sz w:val="20"/>
        </w:rPr>
      </w:pPr>
    </w:p>
    <w:p w:rsidR="00185A29" w:rsidRPr="00412620" w:rsidRDefault="00185A29" w:rsidP="00185A29">
      <w:pPr>
        <w:ind w:firstLine="547"/>
        <w:jc w:val="both"/>
        <w:rPr>
          <w:rFonts w:cs="Arial"/>
          <w:sz w:val="20"/>
        </w:rPr>
      </w:pPr>
      <w:r w:rsidRPr="00412620">
        <w:rPr>
          <w:rStyle w:val="FootnoteReference"/>
          <w:rFonts w:cs="Arial"/>
          <w:sz w:val="20"/>
        </w:rPr>
        <w:footnoteReference w:id="1463"/>
      </w:r>
      <w:r w:rsidRPr="00412620">
        <w:rPr>
          <w:rFonts w:cs="Arial"/>
          <w:sz w:val="20"/>
        </w:rPr>
        <w:t xml:space="preserve">[(2) </w:t>
      </w:r>
      <w:r w:rsidRPr="00412620">
        <w:rPr>
          <w:rFonts w:cs="Arial"/>
          <w:sz w:val="20"/>
        </w:rPr>
        <w:tab/>
        <w:t xml:space="preserve">The tax collected under clauses (a) to </w:t>
      </w:r>
      <w:r w:rsidR="001B735A" w:rsidRPr="00412620">
        <w:rPr>
          <w:rStyle w:val="FootnoteReference"/>
          <w:rFonts w:cs="Arial"/>
          <w:sz w:val="20"/>
        </w:rPr>
        <w:footnoteReference w:id="1464"/>
      </w:r>
      <w:r w:rsidR="001B735A" w:rsidRPr="00412620">
        <w:rPr>
          <w:rFonts w:cs="Arial"/>
          <w:sz w:val="20"/>
        </w:rPr>
        <w:t>[</w:t>
      </w:r>
      <w:r w:rsidRPr="00412620">
        <w:rPr>
          <w:rFonts w:cs="Arial"/>
          <w:sz w:val="20"/>
        </w:rPr>
        <w:t>(</w:t>
      </w:r>
      <w:r w:rsidR="001B735A" w:rsidRPr="00412620">
        <w:rPr>
          <w:rFonts w:cs="Arial"/>
          <w:sz w:val="20"/>
        </w:rPr>
        <w:t>b</w:t>
      </w:r>
      <w:r w:rsidRPr="00412620">
        <w:rPr>
          <w:rFonts w:cs="Arial"/>
          <w:sz w:val="20"/>
        </w:rPr>
        <w:t>)</w:t>
      </w:r>
      <w:r w:rsidR="001B735A" w:rsidRPr="00412620">
        <w:rPr>
          <w:rFonts w:cs="Arial"/>
          <w:sz w:val="20"/>
        </w:rPr>
        <w:t>]</w:t>
      </w:r>
      <w:r w:rsidRPr="00412620">
        <w:rPr>
          <w:rFonts w:cs="Arial"/>
          <w:sz w:val="20"/>
        </w:rPr>
        <w:t xml:space="preserve"> of sub-section (1) shall be </w:t>
      </w:r>
      <w:r w:rsidR="00CF2F2D" w:rsidRPr="00412620">
        <w:rPr>
          <w:rStyle w:val="FootnoteReference"/>
          <w:rFonts w:cs="Arial"/>
          <w:sz w:val="20"/>
        </w:rPr>
        <w:footnoteReference w:id="1465"/>
      </w:r>
      <w:r w:rsidR="00CF2F2D" w:rsidRPr="00412620">
        <w:rPr>
          <w:rFonts w:cs="Arial"/>
          <w:sz w:val="20"/>
        </w:rPr>
        <w:t>[adjustable]</w:t>
      </w:r>
      <w:r w:rsidRPr="00412620">
        <w:rPr>
          <w:rFonts w:cs="Arial"/>
          <w:sz w:val="20"/>
        </w:rPr>
        <w:t>.]</w:t>
      </w:r>
    </w:p>
    <w:p w:rsidR="00185A29" w:rsidRPr="00412620" w:rsidRDefault="00185A29">
      <w:pPr>
        <w:jc w:val="both"/>
        <w:rPr>
          <w:rFonts w:cs="Arial"/>
          <w:sz w:val="20"/>
        </w:rPr>
      </w:pPr>
    </w:p>
    <w:p w:rsidR="006540CB" w:rsidRPr="00412620" w:rsidRDefault="00797819">
      <w:pPr>
        <w:jc w:val="both"/>
        <w:rPr>
          <w:rFonts w:cs="Arial"/>
          <w:sz w:val="20"/>
        </w:rPr>
      </w:pPr>
      <w:r w:rsidRPr="00412620">
        <w:rPr>
          <w:rStyle w:val="FootnoteReference"/>
          <w:sz w:val="20"/>
        </w:rPr>
        <w:footnoteReference w:id="1466"/>
      </w:r>
      <w:r w:rsidRPr="00412620">
        <w:rPr>
          <w:sz w:val="20"/>
        </w:rPr>
        <w:t>[</w:t>
      </w:r>
      <w:r w:rsidRPr="00412620">
        <w:rPr>
          <w:b/>
          <w:sz w:val="20"/>
        </w:rPr>
        <w:t>233AA</w:t>
      </w:r>
      <w:r w:rsidRPr="00412620">
        <w:rPr>
          <w:sz w:val="20"/>
        </w:rPr>
        <w:t>.</w:t>
      </w:r>
      <w:r w:rsidRPr="00412620">
        <w:rPr>
          <w:b/>
          <w:bCs/>
          <w:sz w:val="20"/>
        </w:rPr>
        <w:t xml:space="preserve"> Collection of tax by NCCPL.</w:t>
      </w:r>
      <w:r w:rsidRPr="00412620">
        <w:rPr>
          <w:rFonts w:cs="Arial"/>
          <w:b/>
          <w:bCs/>
          <w:sz w:val="20"/>
        </w:rPr>
        <w:t>—</w:t>
      </w:r>
      <w:r w:rsidRPr="00412620">
        <w:rPr>
          <w:bCs/>
          <w:sz w:val="20"/>
        </w:rPr>
        <w:t>NCCPL</w:t>
      </w:r>
      <w:r w:rsidRPr="00412620">
        <w:rPr>
          <w:sz w:val="20"/>
        </w:rPr>
        <w:t xml:space="preserve"> shall collect advance tax from the members of Stock </w:t>
      </w:r>
      <w:r w:rsidR="009B5537">
        <w:rPr>
          <w:sz w:val="20"/>
        </w:rPr>
        <w:t>Exchange registered in Pakistan</w:t>
      </w:r>
      <w:r w:rsidR="00260860" w:rsidRPr="00412620">
        <w:rPr>
          <w:rStyle w:val="FootnoteReference"/>
          <w:sz w:val="20"/>
        </w:rPr>
        <w:footnoteReference w:id="1467"/>
      </w:r>
      <w:r w:rsidR="00260860" w:rsidRPr="00412620">
        <w:rPr>
          <w:sz w:val="20"/>
        </w:rPr>
        <w:t>[, margin financiers, trading financiers and lenders]</w:t>
      </w:r>
      <w:r w:rsidR="009B5537">
        <w:rPr>
          <w:sz w:val="20"/>
        </w:rPr>
        <w:t>,</w:t>
      </w:r>
      <w:r w:rsidRPr="00412620">
        <w:rPr>
          <w:sz w:val="20"/>
        </w:rPr>
        <w:t xml:space="preserve">in respect of margin financing in share business </w:t>
      </w:r>
      <w:r w:rsidR="000C5F7D" w:rsidRPr="00412620">
        <w:rPr>
          <w:rStyle w:val="FootnoteReference"/>
          <w:sz w:val="20"/>
        </w:rPr>
        <w:footnoteReference w:id="1468"/>
      </w:r>
      <w:r w:rsidR="000C5F7D" w:rsidRPr="00412620">
        <w:rPr>
          <w:sz w:val="20"/>
        </w:rPr>
        <w:t xml:space="preserve">[or providing of any margin financing, margin trading or securities lending under Securities (Leveraged Markets and Pledging) Rules, 2011 in share business] </w:t>
      </w:r>
      <w:r w:rsidRPr="00412620">
        <w:rPr>
          <w:sz w:val="20"/>
        </w:rPr>
        <w:t xml:space="preserve">at the rate specified in Division </w:t>
      </w:r>
      <w:r w:rsidR="00836A30" w:rsidRPr="00412620">
        <w:rPr>
          <w:rStyle w:val="FootnoteReference"/>
          <w:sz w:val="20"/>
        </w:rPr>
        <w:footnoteReference w:id="1469"/>
      </w:r>
      <w:r w:rsidR="00836A30" w:rsidRPr="00412620">
        <w:rPr>
          <w:sz w:val="20"/>
        </w:rPr>
        <w:t>[</w:t>
      </w:r>
      <w:r w:rsidRPr="00412620">
        <w:rPr>
          <w:sz w:val="20"/>
        </w:rPr>
        <w:t>II</w:t>
      </w:r>
      <w:r w:rsidR="00836A30" w:rsidRPr="00412620">
        <w:rPr>
          <w:sz w:val="20"/>
        </w:rPr>
        <w:t>B]</w:t>
      </w:r>
      <w:r w:rsidRPr="00412620">
        <w:rPr>
          <w:sz w:val="20"/>
        </w:rPr>
        <w:t xml:space="preserve"> of Part IV of First Schedule</w:t>
      </w:r>
      <w:r w:rsidR="00B80857" w:rsidRPr="00412620">
        <w:rPr>
          <w:rStyle w:val="FootnoteReference"/>
          <w:sz w:val="20"/>
        </w:rPr>
        <w:footnoteReference w:id="1470"/>
      </w:r>
      <w:r w:rsidR="00B80857" w:rsidRPr="00412620">
        <w:rPr>
          <w:sz w:val="20"/>
        </w:rPr>
        <w:t xml:space="preserve">[:] </w:t>
      </w:r>
      <w:r w:rsidRPr="00412620">
        <w:rPr>
          <w:sz w:val="20"/>
        </w:rPr>
        <w:t>]</w:t>
      </w:r>
    </w:p>
    <w:p w:rsidR="006540CB" w:rsidRPr="00412620" w:rsidRDefault="006540CB">
      <w:pPr>
        <w:jc w:val="both"/>
        <w:rPr>
          <w:rFonts w:cs="Arial"/>
          <w:sz w:val="20"/>
        </w:rPr>
      </w:pPr>
    </w:p>
    <w:p w:rsidR="00C56022" w:rsidRPr="00412620" w:rsidRDefault="00B5202D" w:rsidP="00B92319">
      <w:pPr>
        <w:ind w:left="540" w:firstLine="1395"/>
        <w:jc w:val="both"/>
        <w:rPr>
          <w:rFonts w:cs="Arial"/>
          <w:sz w:val="20"/>
        </w:rPr>
      </w:pPr>
      <w:r w:rsidRPr="00412620">
        <w:rPr>
          <w:rStyle w:val="FootnoteReference"/>
          <w:rFonts w:cs="Arial"/>
          <w:sz w:val="20"/>
        </w:rPr>
        <w:footnoteReference w:id="1471"/>
      </w:r>
      <w:r w:rsidR="00C56022" w:rsidRPr="00412620">
        <w:rPr>
          <w:rFonts w:cs="Arial"/>
          <w:sz w:val="20"/>
        </w:rPr>
        <w:t>[Provided that the provisions of this section shall not apply to any Mutual Fund specified in sub-clause (2) of clause (57) of Part I</w:t>
      </w:r>
      <w:r w:rsidR="00F65042" w:rsidRPr="00412620">
        <w:rPr>
          <w:rFonts w:cs="Arial"/>
          <w:sz w:val="20"/>
        </w:rPr>
        <w:t xml:space="preserve"> of </w:t>
      </w:r>
      <w:r w:rsidR="00C56022" w:rsidRPr="00412620">
        <w:rPr>
          <w:rFonts w:cs="Arial"/>
          <w:sz w:val="20"/>
        </w:rPr>
        <w:t>the Second Schedule.]</w:t>
      </w:r>
    </w:p>
    <w:p w:rsidR="00C56022" w:rsidRPr="00412620" w:rsidRDefault="00C56022">
      <w:pPr>
        <w:jc w:val="both"/>
        <w:rPr>
          <w:rFonts w:cs="Arial"/>
          <w:sz w:val="20"/>
        </w:rPr>
      </w:pPr>
    </w:p>
    <w:p w:rsidR="00A97D72" w:rsidRPr="00412620" w:rsidRDefault="006A3F93">
      <w:pPr>
        <w:jc w:val="both"/>
        <w:rPr>
          <w:rFonts w:cs="Arial"/>
          <w:sz w:val="20"/>
        </w:rPr>
      </w:pPr>
      <w:r w:rsidRPr="00412620">
        <w:rPr>
          <w:rFonts w:cs="Arial"/>
          <w:b/>
          <w:sz w:val="20"/>
        </w:rPr>
        <w:t>234.</w:t>
      </w:r>
      <w:r w:rsidRPr="00412620">
        <w:rPr>
          <w:sz w:val="20"/>
        </w:rPr>
        <w:tab/>
      </w:r>
      <w:r w:rsidR="007942F9" w:rsidRPr="00412620">
        <w:rPr>
          <w:rStyle w:val="FootnoteReference"/>
          <w:sz w:val="20"/>
        </w:rPr>
        <w:footnoteReference w:id="1472"/>
      </w:r>
      <w:r w:rsidR="007942F9" w:rsidRPr="00412620">
        <w:rPr>
          <w:b/>
          <w:sz w:val="20"/>
        </w:rPr>
        <w:t>[Tax on motor vehicles]</w:t>
      </w:r>
      <w:r w:rsidRPr="00412620">
        <w:rPr>
          <w:b/>
          <w:sz w:val="20"/>
        </w:rPr>
        <w:t>.</w:t>
      </w:r>
      <w:r w:rsidR="002E679C" w:rsidRPr="00412620">
        <w:rPr>
          <w:rFonts w:cs="Arial"/>
          <w:b/>
          <w:sz w:val="20"/>
        </w:rPr>
        <w:t>—</w:t>
      </w:r>
      <w:r w:rsidRPr="00412620">
        <w:rPr>
          <w:sz w:val="20"/>
        </w:rPr>
        <w:t xml:space="preserve"> (1) Any person </w:t>
      </w:r>
      <w:r w:rsidRPr="00412620">
        <w:rPr>
          <w:rStyle w:val="FootnoteReference"/>
          <w:sz w:val="20"/>
        </w:rPr>
        <w:footnoteReference w:id="1473"/>
      </w:r>
      <w:r w:rsidRPr="00412620">
        <w:rPr>
          <w:sz w:val="20"/>
        </w:rPr>
        <w:t xml:space="preserve">[at the time of] collecting motor vehicle tax shall also collect advance tax at the rates specified in </w:t>
      </w:r>
      <w:r w:rsidR="008B3FDA" w:rsidRPr="00412620">
        <w:rPr>
          <w:rStyle w:val="FootnoteReference"/>
          <w:sz w:val="20"/>
        </w:rPr>
        <w:footnoteReference w:id="1474"/>
      </w:r>
      <w:r w:rsidR="008B3FDA" w:rsidRPr="00412620">
        <w:rPr>
          <w:sz w:val="20"/>
        </w:rPr>
        <w:t xml:space="preserve">[Division III of] </w:t>
      </w:r>
      <w:r w:rsidRPr="00412620">
        <w:rPr>
          <w:sz w:val="20"/>
        </w:rPr>
        <w:t>Part IV of the First Schedule.</w:t>
      </w:r>
      <w:r w:rsidRPr="00412620">
        <w:rPr>
          <w:rFonts w:cs="Arial"/>
          <w:sz w:val="20"/>
        </w:rPr>
        <w:tab/>
      </w:r>
    </w:p>
    <w:p w:rsidR="00A97D72" w:rsidRPr="00412620" w:rsidRDefault="00A97D72">
      <w:pPr>
        <w:jc w:val="both"/>
        <w:rPr>
          <w:rFonts w:cs="Arial"/>
          <w:sz w:val="20"/>
        </w:rPr>
      </w:pPr>
    </w:p>
    <w:p w:rsidR="00185A29" w:rsidRPr="00412620" w:rsidRDefault="00FB34BB" w:rsidP="00FB34BB">
      <w:pPr>
        <w:jc w:val="both"/>
        <w:rPr>
          <w:rFonts w:cs="Arial"/>
          <w:sz w:val="20"/>
        </w:rPr>
      </w:pPr>
      <w:r w:rsidRPr="00412620">
        <w:rPr>
          <w:rFonts w:cs="Arial"/>
          <w:sz w:val="20"/>
        </w:rPr>
        <w:lastRenderedPageBreak/>
        <w:tab/>
      </w:r>
      <w:r w:rsidR="00185A29" w:rsidRPr="00412620">
        <w:rPr>
          <w:rFonts w:cs="Arial"/>
          <w:sz w:val="20"/>
        </w:rPr>
        <w:t>(2)</w:t>
      </w:r>
      <w:r w:rsidRPr="00412620">
        <w:rPr>
          <w:rFonts w:cs="Arial"/>
          <w:sz w:val="20"/>
        </w:rPr>
        <w:tab/>
      </w:r>
      <w:r w:rsidR="00185A29" w:rsidRPr="00412620">
        <w:rPr>
          <w:rFonts w:cs="Arial"/>
          <w:sz w:val="20"/>
        </w:rPr>
        <w:t>If the motor vehicle tax is collected in instalments</w:t>
      </w:r>
      <w:r w:rsidR="005748EE" w:rsidRPr="00412620">
        <w:rPr>
          <w:rStyle w:val="FootnoteReference"/>
          <w:rFonts w:cs="Arial"/>
          <w:sz w:val="20"/>
        </w:rPr>
        <w:footnoteReference w:id="1475"/>
      </w:r>
      <w:r w:rsidR="005748EE" w:rsidRPr="00412620">
        <w:rPr>
          <w:rFonts w:cs="Arial"/>
          <w:sz w:val="20"/>
        </w:rPr>
        <w:t>[or lump sum] t</w:t>
      </w:r>
      <w:r w:rsidR="00185A29" w:rsidRPr="00412620">
        <w:rPr>
          <w:rFonts w:cs="Arial"/>
          <w:sz w:val="20"/>
        </w:rPr>
        <w:t xml:space="preserve">he advance tax may also be collected in instalments </w:t>
      </w:r>
      <w:r w:rsidR="0021732B" w:rsidRPr="00412620">
        <w:rPr>
          <w:rStyle w:val="FootnoteReference"/>
          <w:rFonts w:cs="Arial"/>
          <w:sz w:val="20"/>
        </w:rPr>
        <w:footnoteReference w:id="1476"/>
      </w:r>
      <w:r w:rsidR="003C4E93" w:rsidRPr="00412620">
        <w:rPr>
          <w:rFonts w:cs="Arial"/>
          <w:sz w:val="20"/>
        </w:rPr>
        <w:t xml:space="preserve">[or lump sum] </w:t>
      </w:r>
      <w:r w:rsidR="00185A29" w:rsidRPr="00412620">
        <w:rPr>
          <w:rFonts w:cs="Arial"/>
          <w:sz w:val="20"/>
        </w:rPr>
        <w:t>in like manner.</w:t>
      </w:r>
    </w:p>
    <w:p w:rsidR="006A3F93" w:rsidRPr="00412620" w:rsidRDefault="003A7154">
      <w:pPr>
        <w:jc w:val="both"/>
        <w:rPr>
          <w:rFonts w:cs="Arial"/>
          <w:sz w:val="20"/>
        </w:rPr>
      </w:pPr>
      <w:r w:rsidRPr="00412620">
        <w:rPr>
          <w:rFonts w:cs="Arial"/>
          <w:sz w:val="20"/>
        </w:rPr>
        <w:tab/>
      </w:r>
    </w:p>
    <w:p w:rsidR="006A3F93" w:rsidRPr="00412620" w:rsidRDefault="006A3F93">
      <w:pPr>
        <w:ind w:firstLine="270"/>
        <w:jc w:val="both"/>
        <w:rPr>
          <w:rFonts w:cs="Arial"/>
          <w:b/>
          <w:sz w:val="20"/>
        </w:rPr>
      </w:pPr>
      <w:r w:rsidRPr="00412620">
        <w:rPr>
          <w:rStyle w:val="FootnoteReference"/>
          <w:rFonts w:cs="Arial"/>
          <w:sz w:val="20"/>
        </w:rPr>
        <w:footnoteReference w:id="1477"/>
      </w:r>
      <w:r w:rsidRPr="00412620">
        <w:rPr>
          <w:rFonts w:cs="Arial"/>
          <w:sz w:val="20"/>
        </w:rPr>
        <w:t>[(2A)</w:t>
      </w:r>
      <w:r w:rsidRPr="00412620">
        <w:rPr>
          <w:rFonts w:cs="Arial"/>
          <w:sz w:val="20"/>
        </w:rPr>
        <w:tab/>
        <w:t>In respect of motor cars used for more than ten years in Pakistan, no advance tax shall be collected after a period of ten years.]</w:t>
      </w:r>
    </w:p>
    <w:p w:rsidR="006A3F93" w:rsidRPr="00412620" w:rsidRDefault="006A3F93">
      <w:pPr>
        <w:jc w:val="both"/>
        <w:rPr>
          <w:rFonts w:cs="Arial"/>
        </w:rPr>
      </w:pPr>
    </w:p>
    <w:p w:rsidR="006A3F93" w:rsidRPr="00412620" w:rsidRDefault="006A3F93">
      <w:pPr>
        <w:jc w:val="both"/>
        <w:rPr>
          <w:rFonts w:cs="Arial"/>
          <w:sz w:val="20"/>
        </w:rPr>
      </w:pPr>
      <w:r w:rsidRPr="00412620">
        <w:rPr>
          <w:rFonts w:cs="Arial"/>
          <w:sz w:val="20"/>
        </w:rPr>
        <w:tab/>
        <w:t>(3)</w:t>
      </w:r>
      <w:r w:rsidRPr="00412620">
        <w:rPr>
          <w:rFonts w:cs="Arial"/>
          <w:sz w:val="20"/>
        </w:rPr>
        <w:tab/>
        <w:t xml:space="preserve">In respect of a passenger transport vehicle with registered seating capacity of ten or more persons, advance tax shall not be collected after a </w:t>
      </w:r>
      <w:r w:rsidR="00CD790F" w:rsidRPr="00412620">
        <w:rPr>
          <w:rFonts w:cs="Arial"/>
          <w:sz w:val="20"/>
        </w:rPr>
        <w:t>period of</w:t>
      </w:r>
      <w:r w:rsidRPr="00412620">
        <w:rPr>
          <w:rFonts w:cs="Arial"/>
          <w:sz w:val="20"/>
        </w:rPr>
        <w:t xml:space="preserve"> ten years from the first day of July of the year of make of the vehicle.</w:t>
      </w:r>
    </w:p>
    <w:p w:rsidR="006A3F93" w:rsidRPr="00412620" w:rsidRDefault="006A3F93">
      <w:pPr>
        <w:jc w:val="both"/>
        <w:rPr>
          <w:rFonts w:cs="Arial"/>
          <w:sz w:val="22"/>
        </w:rPr>
      </w:pPr>
    </w:p>
    <w:p w:rsidR="006A3F93" w:rsidRPr="00412620" w:rsidRDefault="006A3F93">
      <w:pPr>
        <w:pStyle w:val="BodyText3"/>
        <w:widowControl/>
        <w:rPr>
          <w:rFonts w:ascii="Arial" w:hAnsi="Arial"/>
          <w:sz w:val="20"/>
          <w:lang w:val="en-AU"/>
        </w:rPr>
      </w:pPr>
      <w:r w:rsidRPr="00412620">
        <w:rPr>
          <w:rFonts w:ascii="Arial" w:hAnsi="Arial"/>
          <w:sz w:val="20"/>
          <w:lang w:val="en-AU"/>
        </w:rPr>
        <w:tab/>
        <w:t>(4)</w:t>
      </w:r>
      <w:r w:rsidRPr="00412620">
        <w:rPr>
          <w:rFonts w:ascii="Arial" w:hAnsi="Arial"/>
          <w:sz w:val="20"/>
          <w:lang w:val="en-AU"/>
        </w:rPr>
        <w:tab/>
        <w:t xml:space="preserve">In respect of a goods transport vehicle with registered laden weight of </w:t>
      </w:r>
      <w:r w:rsidRPr="00412620">
        <w:rPr>
          <w:rStyle w:val="FootnoteReference"/>
          <w:rFonts w:ascii="Arial" w:hAnsi="Arial"/>
          <w:sz w:val="20"/>
          <w:lang w:val="en-AU"/>
        </w:rPr>
        <w:footnoteReference w:id="1478"/>
      </w:r>
      <w:r w:rsidRPr="00412620">
        <w:rPr>
          <w:rFonts w:ascii="Arial" w:hAnsi="Arial"/>
          <w:sz w:val="20"/>
          <w:lang w:val="en-AU"/>
        </w:rPr>
        <w:t>[  ] less than 8120 kilograms, advance tax shall not be collected after a period of ten years from the date of first registration of vehicle in Pakistan.</w:t>
      </w:r>
    </w:p>
    <w:p w:rsidR="006A3F93" w:rsidRPr="00412620" w:rsidRDefault="006A3F93">
      <w:pPr>
        <w:tabs>
          <w:tab w:val="left" w:pos="6000"/>
        </w:tabs>
        <w:jc w:val="both"/>
        <w:rPr>
          <w:rFonts w:cs="Arial"/>
          <w:sz w:val="22"/>
        </w:rPr>
      </w:pPr>
    </w:p>
    <w:p w:rsidR="005B1AD8" w:rsidRDefault="005B1AD8" w:rsidP="005B1AD8">
      <w:pPr>
        <w:jc w:val="both"/>
        <w:rPr>
          <w:rFonts w:cs="Arial"/>
          <w:sz w:val="20"/>
        </w:rPr>
      </w:pPr>
      <w:r w:rsidRPr="00412620">
        <w:rPr>
          <w:rFonts w:cs="Arial"/>
          <w:sz w:val="20"/>
        </w:rPr>
        <w:tab/>
      </w:r>
      <w:r w:rsidRPr="00412620">
        <w:rPr>
          <w:rStyle w:val="FootnoteReference"/>
          <w:rFonts w:cs="Arial"/>
          <w:sz w:val="20"/>
        </w:rPr>
        <w:footnoteReference w:id="1479"/>
      </w:r>
      <w:r w:rsidRPr="00412620">
        <w:rPr>
          <w:rFonts w:cs="Arial"/>
          <w:sz w:val="20"/>
        </w:rPr>
        <w:t xml:space="preserve">[(5) </w:t>
      </w:r>
      <w:r w:rsidRPr="00412620">
        <w:rPr>
          <w:rFonts w:cs="Arial"/>
          <w:sz w:val="20"/>
        </w:rPr>
        <w:tab/>
        <w:t>Advance tax collected under this section shall be adjustable.]</w:t>
      </w:r>
    </w:p>
    <w:p w:rsidR="00F76B0D" w:rsidRPr="00412620" w:rsidRDefault="00F76B0D" w:rsidP="005B1AD8">
      <w:pPr>
        <w:jc w:val="both"/>
        <w:rPr>
          <w:rFonts w:cs="Arial"/>
          <w:sz w:val="20"/>
        </w:rPr>
      </w:pPr>
    </w:p>
    <w:p w:rsidR="005B1AD8" w:rsidRPr="00FB1860" w:rsidRDefault="000F4CC4" w:rsidP="000F4CC4">
      <w:pPr>
        <w:autoSpaceDE w:val="0"/>
        <w:autoSpaceDN w:val="0"/>
        <w:adjustRightInd w:val="0"/>
        <w:ind w:firstLine="547"/>
        <w:jc w:val="both"/>
        <w:rPr>
          <w:rFonts w:cs="Arial"/>
          <w:color w:val="000000" w:themeColor="text1"/>
          <w:sz w:val="20"/>
        </w:rPr>
      </w:pPr>
      <w:r w:rsidRPr="00FB1860">
        <w:rPr>
          <w:rStyle w:val="FootnoteReference"/>
          <w:rFonts w:cs="Arial"/>
          <w:color w:val="000000" w:themeColor="text1"/>
          <w:sz w:val="20"/>
          <w:lang w:val="en-US"/>
        </w:rPr>
        <w:footnoteReference w:id="1480"/>
      </w:r>
      <w:r w:rsidR="00F76B0D" w:rsidRPr="00FB1860">
        <w:rPr>
          <w:rFonts w:cs="Arial"/>
          <w:color w:val="000000" w:themeColor="text1"/>
          <w:sz w:val="20"/>
          <w:lang w:val="en-US"/>
        </w:rPr>
        <w:t xml:space="preserve">[“(6) For the purpose of sub-sections (1) and (2) </w:t>
      </w:r>
      <w:r w:rsidRPr="00FB1860">
        <w:rPr>
          <w:rFonts w:cs="Arial"/>
          <w:color w:val="000000" w:themeColor="text1"/>
          <w:sz w:val="20"/>
          <w:lang w:val="en-US"/>
        </w:rPr>
        <w:t>“</w:t>
      </w:r>
      <w:r w:rsidR="00F76B0D" w:rsidRPr="00FB1860">
        <w:rPr>
          <w:rFonts w:cs="Arial"/>
          <w:color w:val="000000" w:themeColor="text1"/>
          <w:sz w:val="20"/>
          <w:lang w:val="en-US"/>
        </w:rPr>
        <w:t>motor vehicle</w:t>
      </w:r>
      <w:r w:rsidRPr="00FB1860">
        <w:rPr>
          <w:rFonts w:cs="Arial"/>
          <w:color w:val="000000" w:themeColor="text1"/>
          <w:sz w:val="20"/>
          <w:lang w:val="en-US"/>
        </w:rPr>
        <w:t xml:space="preserve">” </w:t>
      </w:r>
      <w:r w:rsidR="00F76B0D" w:rsidRPr="00FB1860">
        <w:rPr>
          <w:rFonts w:cs="Arial"/>
          <w:color w:val="000000" w:themeColor="text1"/>
          <w:sz w:val="20"/>
          <w:lang w:val="en-US"/>
        </w:rPr>
        <w:t>shall include the vehicles specified in sub-section (7) of section 231B.</w:t>
      </w:r>
      <w:r w:rsidRPr="00FB1860">
        <w:rPr>
          <w:rFonts w:cs="Arial"/>
          <w:color w:val="000000" w:themeColor="text1"/>
          <w:sz w:val="20"/>
          <w:lang w:val="en-US"/>
        </w:rPr>
        <w:t>”]</w:t>
      </w:r>
    </w:p>
    <w:p w:rsidR="006A3F93" w:rsidRPr="00412620" w:rsidRDefault="006A3F93">
      <w:pPr>
        <w:jc w:val="both"/>
        <w:rPr>
          <w:rFonts w:cs="Arial"/>
          <w:sz w:val="20"/>
        </w:rPr>
      </w:pPr>
      <w:r w:rsidRPr="00412620">
        <w:rPr>
          <w:rFonts w:cs="Arial"/>
          <w:sz w:val="20"/>
        </w:rPr>
        <w:tab/>
      </w:r>
    </w:p>
    <w:p w:rsidR="00404FDC" w:rsidRPr="00412620" w:rsidRDefault="00404FDC" w:rsidP="00404FDC">
      <w:pPr>
        <w:jc w:val="both"/>
        <w:rPr>
          <w:rFonts w:cs="Arial"/>
          <w:sz w:val="20"/>
        </w:rPr>
      </w:pPr>
      <w:r w:rsidRPr="00412620">
        <w:rPr>
          <w:rStyle w:val="FootnoteReference"/>
          <w:rFonts w:cs="Arial"/>
          <w:b/>
          <w:sz w:val="20"/>
        </w:rPr>
        <w:footnoteReference w:id="1481"/>
      </w:r>
      <w:r w:rsidRPr="00412620">
        <w:rPr>
          <w:rFonts w:cs="Arial"/>
          <w:b/>
          <w:sz w:val="20"/>
        </w:rPr>
        <w:t>[234A CNG Stations.</w:t>
      </w:r>
      <w:r w:rsidRPr="00412620">
        <w:rPr>
          <w:rFonts w:cs="Arial"/>
          <w:i/>
          <w:iCs/>
          <w:sz w:val="20"/>
        </w:rPr>
        <w:t>—</w:t>
      </w:r>
      <w:r w:rsidRPr="00412620">
        <w:rPr>
          <w:rFonts w:cs="Arial"/>
          <w:sz w:val="20"/>
        </w:rPr>
        <w:t>(1) There shall be collected advance tax at the rate specified in Division VIB of Part III of the First Schedule on the amount of gas bill of a Compressed Natural Gas station.</w:t>
      </w:r>
    </w:p>
    <w:p w:rsidR="00404FDC" w:rsidRPr="00412620" w:rsidRDefault="00404FDC" w:rsidP="00404FDC">
      <w:pPr>
        <w:pStyle w:val="1"/>
        <w:spacing w:line="284" w:lineRule="atLeast"/>
        <w:rPr>
          <w:rFonts w:ascii="Arial" w:hAnsi="Arial" w:cs="Arial"/>
          <w:color w:val="auto"/>
          <w:szCs w:val="20"/>
        </w:rPr>
      </w:pPr>
    </w:p>
    <w:p w:rsidR="00404FDC" w:rsidRPr="00412620" w:rsidRDefault="00404FDC" w:rsidP="00404FDC">
      <w:pPr>
        <w:ind w:firstLine="547"/>
        <w:jc w:val="both"/>
        <w:rPr>
          <w:rFonts w:cs="Arial"/>
          <w:sz w:val="20"/>
        </w:rPr>
      </w:pPr>
      <w:r w:rsidRPr="00412620">
        <w:rPr>
          <w:rFonts w:cs="Arial"/>
          <w:sz w:val="20"/>
        </w:rPr>
        <w:t>(2)</w:t>
      </w:r>
      <w:r w:rsidRPr="00412620">
        <w:rPr>
          <w:rFonts w:cs="Arial"/>
          <w:sz w:val="20"/>
        </w:rPr>
        <w:tab/>
        <w:t>The person preparing gas consumption bill shall charge advance tax under sub-section (1) in the manner gas consumption charges are charged.</w:t>
      </w:r>
    </w:p>
    <w:p w:rsidR="00404FDC" w:rsidRPr="00412620" w:rsidRDefault="00404FDC" w:rsidP="00404FDC">
      <w:pPr>
        <w:pStyle w:val="3"/>
        <w:spacing w:line="284" w:lineRule="atLeast"/>
        <w:rPr>
          <w:rFonts w:ascii="Arial" w:hAnsi="Arial" w:cs="Arial"/>
          <w:color w:val="auto"/>
          <w:szCs w:val="20"/>
        </w:rPr>
      </w:pPr>
    </w:p>
    <w:p w:rsidR="00404FDC" w:rsidRPr="00412620" w:rsidRDefault="00404FDC" w:rsidP="00404FDC">
      <w:pPr>
        <w:jc w:val="both"/>
        <w:rPr>
          <w:rFonts w:cs="Arial"/>
          <w:sz w:val="20"/>
        </w:rPr>
      </w:pPr>
      <w:r w:rsidRPr="00412620">
        <w:rPr>
          <w:rFonts w:cs="Arial"/>
          <w:sz w:val="20"/>
        </w:rPr>
        <w:tab/>
        <w:t>(3)</w:t>
      </w:r>
      <w:r w:rsidRPr="00412620">
        <w:rPr>
          <w:rFonts w:cs="Arial"/>
          <w:sz w:val="20"/>
        </w:rPr>
        <w:tab/>
        <w:t>The tax collected under this section shall be a final tax on the income of a CNG station arising from the consumption of the gas referred to in sub-section (1).</w:t>
      </w:r>
    </w:p>
    <w:p w:rsidR="00404FDC" w:rsidRPr="00412620" w:rsidRDefault="00404FDC" w:rsidP="00404FDC">
      <w:pPr>
        <w:pStyle w:val="3"/>
        <w:spacing w:line="284" w:lineRule="atLeast"/>
        <w:rPr>
          <w:rFonts w:ascii="Arial" w:hAnsi="Arial" w:cs="Arial"/>
          <w:color w:val="auto"/>
          <w:sz w:val="24"/>
          <w:szCs w:val="20"/>
        </w:rPr>
      </w:pPr>
    </w:p>
    <w:p w:rsidR="00404FDC" w:rsidRPr="00412620" w:rsidRDefault="00404FDC" w:rsidP="00404FDC">
      <w:pPr>
        <w:jc w:val="both"/>
        <w:rPr>
          <w:rFonts w:cs="Arial"/>
          <w:sz w:val="20"/>
        </w:rPr>
      </w:pPr>
      <w:r w:rsidRPr="00412620">
        <w:rPr>
          <w:rFonts w:cs="Arial"/>
          <w:sz w:val="20"/>
        </w:rPr>
        <w:tab/>
        <w:t>(4)</w:t>
      </w:r>
      <w:r w:rsidRPr="00412620">
        <w:rPr>
          <w:rFonts w:cs="Arial"/>
          <w:sz w:val="20"/>
        </w:rPr>
        <w:tab/>
        <w:t>The taxpayers shall not be entitled to claim any adjustment of withholding tax collected or deducted under any other head, during the tax year.]</w:t>
      </w:r>
    </w:p>
    <w:p w:rsidR="00404FDC" w:rsidRPr="00412620" w:rsidRDefault="00404FDC">
      <w:pPr>
        <w:jc w:val="both"/>
        <w:rPr>
          <w:rFonts w:cs="Arial"/>
          <w:sz w:val="22"/>
        </w:rPr>
      </w:pPr>
    </w:p>
    <w:p w:rsidR="006A3F93" w:rsidRPr="00412620" w:rsidRDefault="006A3F93">
      <w:pPr>
        <w:jc w:val="both"/>
        <w:rPr>
          <w:sz w:val="20"/>
        </w:rPr>
      </w:pPr>
      <w:r w:rsidRPr="00412620">
        <w:rPr>
          <w:rFonts w:cs="Arial"/>
          <w:b/>
          <w:sz w:val="20"/>
        </w:rPr>
        <w:lastRenderedPageBreak/>
        <w:t>235.</w:t>
      </w:r>
      <w:r w:rsidRPr="00412620">
        <w:rPr>
          <w:rFonts w:cs="Arial"/>
          <w:b/>
          <w:sz w:val="20"/>
        </w:rPr>
        <w:tab/>
        <w:t>Electricity consumption</w:t>
      </w:r>
      <w:r w:rsidRPr="00412620">
        <w:rPr>
          <w:sz w:val="20"/>
        </w:rPr>
        <w:t>.- (1) There shall be collected advance tax at the rates specified in Part-IV of the First Schedule on the amount of electricity bill of a commercial or industrial consumer.</w:t>
      </w:r>
    </w:p>
    <w:p w:rsidR="006A3F93" w:rsidRPr="00412620" w:rsidRDefault="006A3F93">
      <w:pPr>
        <w:jc w:val="both"/>
        <w:rPr>
          <w:rFonts w:cs="Arial"/>
          <w:sz w:val="20"/>
        </w:rPr>
      </w:pPr>
      <w:r w:rsidRPr="00412620">
        <w:rPr>
          <w:rFonts w:cs="Arial"/>
          <w:sz w:val="20"/>
        </w:rPr>
        <w:tab/>
        <w:t>(2)</w:t>
      </w:r>
      <w:r w:rsidRPr="00412620">
        <w:rPr>
          <w:rFonts w:cs="Arial"/>
          <w:sz w:val="20"/>
        </w:rPr>
        <w:tab/>
        <w:t>The person preparing electricity consumption bill shall charge advance tax under sub-section (1) in the manner electricity consumption charges are charged.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(3)</w:t>
      </w:r>
      <w:r w:rsidRPr="00412620">
        <w:rPr>
          <w:rFonts w:cs="Arial"/>
          <w:sz w:val="20"/>
        </w:rPr>
        <w:tab/>
        <w:t>Advance tax under this section shall not be collected from a person who produces a certificate from the Commissioner that his income during tax year is exempt from tax.</w:t>
      </w:r>
    </w:p>
    <w:p w:rsidR="00C920FA" w:rsidRPr="00412620" w:rsidRDefault="00C920FA">
      <w:pPr>
        <w:jc w:val="both"/>
        <w:rPr>
          <w:rFonts w:cs="Arial"/>
          <w:sz w:val="22"/>
        </w:rPr>
      </w:pPr>
    </w:p>
    <w:p w:rsidR="0038246A" w:rsidRPr="00412620" w:rsidRDefault="000A4B03" w:rsidP="00E9064A">
      <w:pPr>
        <w:ind w:firstLine="547"/>
        <w:jc w:val="both"/>
        <w:rPr>
          <w:sz w:val="20"/>
        </w:rPr>
      </w:pPr>
      <w:r w:rsidRPr="00412620">
        <w:rPr>
          <w:rStyle w:val="FootnoteReference"/>
          <w:sz w:val="20"/>
        </w:rPr>
        <w:footnoteReference w:id="1482"/>
      </w:r>
      <w:r w:rsidR="0038246A" w:rsidRPr="00412620">
        <w:rPr>
          <w:sz w:val="20"/>
        </w:rPr>
        <w:t xml:space="preserve">[(4) Under this section, </w:t>
      </w:r>
      <w:r w:rsidR="00A8135C" w:rsidRPr="00412620">
        <w:rPr>
          <w:rFonts w:cs="Arial"/>
          <w:sz w:val="20"/>
        </w:rPr>
        <w:t>—</w:t>
      </w:r>
    </w:p>
    <w:p w:rsidR="0038246A" w:rsidRPr="00412620" w:rsidRDefault="0038246A" w:rsidP="00E9064A">
      <w:pPr>
        <w:ind w:firstLine="547"/>
        <w:jc w:val="both"/>
        <w:rPr>
          <w:sz w:val="20"/>
        </w:rPr>
      </w:pPr>
    </w:p>
    <w:p w:rsidR="0038246A" w:rsidRPr="00412620" w:rsidRDefault="0038246A" w:rsidP="0038246A">
      <w:pPr>
        <w:ind w:left="1641" w:hanging="553"/>
        <w:jc w:val="both"/>
        <w:rPr>
          <w:sz w:val="20"/>
        </w:rPr>
      </w:pPr>
      <w:r w:rsidRPr="00412620">
        <w:rPr>
          <w:sz w:val="20"/>
        </w:rPr>
        <w:t xml:space="preserve">(a) </w:t>
      </w:r>
      <w:r w:rsidRPr="00412620">
        <w:rPr>
          <w:sz w:val="20"/>
        </w:rPr>
        <w:tab/>
        <w:t xml:space="preserve">in the case of a taxpayer other than a company, tax collected upto bill amount of thirty thousand rupees per month shall be treated as minimum tax on the income of such persons and no refund shall be allowed; </w:t>
      </w:r>
    </w:p>
    <w:p w:rsidR="0038246A" w:rsidRPr="00412620" w:rsidRDefault="0038246A" w:rsidP="0038246A">
      <w:pPr>
        <w:jc w:val="both"/>
        <w:rPr>
          <w:sz w:val="20"/>
        </w:rPr>
      </w:pPr>
    </w:p>
    <w:p w:rsidR="0038246A" w:rsidRPr="00412620" w:rsidRDefault="0038246A" w:rsidP="0038246A">
      <w:pPr>
        <w:ind w:left="1641" w:hanging="553"/>
        <w:jc w:val="both"/>
        <w:rPr>
          <w:sz w:val="20"/>
        </w:rPr>
      </w:pPr>
      <w:r w:rsidRPr="00412620">
        <w:rPr>
          <w:sz w:val="20"/>
        </w:rPr>
        <w:t xml:space="preserve">(b) </w:t>
      </w:r>
      <w:r w:rsidRPr="00412620">
        <w:rPr>
          <w:sz w:val="20"/>
        </w:rPr>
        <w:tab/>
        <w:t xml:space="preserve">in the case of a taxpayer other than a company, tax collected on monthly bill over and above thirty thousand rupees per month shall be adjustable; and </w:t>
      </w:r>
    </w:p>
    <w:p w:rsidR="0038246A" w:rsidRPr="00412620" w:rsidRDefault="0038246A" w:rsidP="0038246A">
      <w:pPr>
        <w:jc w:val="both"/>
        <w:rPr>
          <w:sz w:val="20"/>
        </w:rPr>
      </w:pPr>
    </w:p>
    <w:p w:rsidR="0038246A" w:rsidRDefault="0038246A" w:rsidP="009356ED">
      <w:pPr>
        <w:pStyle w:val="ListParagraph"/>
        <w:numPr>
          <w:ilvl w:val="0"/>
          <w:numId w:val="16"/>
        </w:numPr>
        <w:jc w:val="both"/>
        <w:rPr>
          <w:sz w:val="20"/>
        </w:rPr>
      </w:pPr>
      <w:r w:rsidRPr="009356ED">
        <w:rPr>
          <w:sz w:val="20"/>
        </w:rPr>
        <w:t>in the case of a company, tax collected shall be adjustable against tax liability.]</w:t>
      </w:r>
    </w:p>
    <w:p w:rsidR="00BC31B6" w:rsidRPr="009356ED" w:rsidRDefault="00BC31B6" w:rsidP="00BC31B6">
      <w:pPr>
        <w:pStyle w:val="ListParagraph"/>
        <w:ind w:left="1635"/>
        <w:jc w:val="both"/>
        <w:rPr>
          <w:sz w:val="20"/>
        </w:rPr>
      </w:pPr>
    </w:p>
    <w:p w:rsidR="009356ED" w:rsidRPr="001B3020" w:rsidRDefault="009356ED" w:rsidP="0049246D">
      <w:pPr>
        <w:jc w:val="both"/>
        <w:rPr>
          <w:rFonts w:cs="Arial"/>
          <w:color w:val="000000" w:themeColor="text1"/>
          <w:sz w:val="20"/>
        </w:rPr>
      </w:pPr>
      <w:r w:rsidRPr="001B3020">
        <w:rPr>
          <w:rStyle w:val="FootnoteReference"/>
          <w:color w:val="000000" w:themeColor="text1"/>
          <w:sz w:val="20"/>
        </w:rPr>
        <w:footnoteReference w:id="1483"/>
      </w:r>
      <w:r w:rsidRPr="001B3020">
        <w:rPr>
          <w:color w:val="000000" w:themeColor="text1"/>
          <w:sz w:val="20"/>
        </w:rPr>
        <w:t>[</w:t>
      </w:r>
      <w:r w:rsidRPr="001B3020">
        <w:rPr>
          <w:rFonts w:cs="Arial"/>
          <w:b/>
          <w:color w:val="000000" w:themeColor="text1"/>
          <w:sz w:val="20"/>
        </w:rPr>
        <w:t>235A.</w:t>
      </w:r>
      <w:r w:rsidR="00360A59">
        <w:rPr>
          <w:rFonts w:cs="Arial"/>
          <w:b/>
          <w:color w:val="000000" w:themeColor="text1"/>
          <w:sz w:val="20"/>
        </w:rPr>
        <w:t xml:space="preserve"> </w:t>
      </w:r>
      <w:r w:rsidRPr="001B3020">
        <w:rPr>
          <w:rFonts w:cs="Arial"/>
          <w:b/>
          <w:color w:val="000000" w:themeColor="text1"/>
          <w:sz w:val="20"/>
        </w:rPr>
        <w:t>Domestic electricity consumption.-</w:t>
      </w:r>
      <w:r w:rsidRPr="001B3020">
        <w:rPr>
          <w:rFonts w:cs="Arial"/>
          <w:color w:val="000000" w:themeColor="text1"/>
          <w:sz w:val="20"/>
        </w:rPr>
        <w:t xml:space="preserve"> (1) There shall be collected advance tax at the rates specified in Division XIX of Part IV of the First Schedule on the amount of electricity bill of a domestic consumer.</w:t>
      </w:r>
    </w:p>
    <w:p w:rsidR="00BC31B6" w:rsidRPr="001B3020" w:rsidRDefault="00BC31B6" w:rsidP="0049246D">
      <w:pPr>
        <w:jc w:val="both"/>
        <w:rPr>
          <w:rFonts w:cs="Arial"/>
          <w:color w:val="000000" w:themeColor="text1"/>
          <w:sz w:val="20"/>
        </w:rPr>
      </w:pPr>
    </w:p>
    <w:p w:rsidR="009356ED" w:rsidRPr="001B3020" w:rsidRDefault="009356ED" w:rsidP="0090559B">
      <w:pPr>
        <w:ind w:firstLine="547"/>
        <w:jc w:val="both"/>
        <w:rPr>
          <w:rFonts w:cs="Arial"/>
          <w:color w:val="000000" w:themeColor="text1"/>
          <w:sz w:val="20"/>
        </w:rPr>
      </w:pPr>
      <w:r w:rsidRPr="001B3020">
        <w:rPr>
          <w:rFonts w:cs="Arial"/>
          <w:color w:val="000000" w:themeColor="text1"/>
          <w:sz w:val="20"/>
        </w:rPr>
        <w:t>(2)</w:t>
      </w:r>
      <w:r w:rsidRPr="001B3020">
        <w:rPr>
          <w:rFonts w:cs="Arial"/>
          <w:color w:val="000000" w:themeColor="text1"/>
          <w:sz w:val="20"/>
        </w:rPr>
        <w:tab/>
        <w:t>The person preparing electricity consumption bill shall charge advance tax under sub-section (1) in the manner electricity consumption charges are charged.</w:t>
      </w:r>
    </w:p>
    <w:p w:rsidR="0049246D" w:rsidRPr="001B3020" w:rsidRDefault="0049246D" w:rsidP="0049246D">
      <w:pPr>
        <w:jc w:val="both"/>
        <w:rPr>
          <w:rFonts w:cs="Arial"/>
          <w:color w:val="000000" w:themeColor="text1"/>
          <w:sz w:val="20"/>
        </w:rPr>
      </w:pPr>
    </w:p>
    <w:p w:rsidR="009356ED" w:rsidRPr="001B3020" w:rsidRDefault="009356ED" w:rsidP="0090559B">
      <w:pPr>
        <w:ind w:firstLine="547"/>
        <w:jc w:val="both"/>
        <w:rPr>
          <w:rFonts w:cs="Arial"/>
          <w:color w:val="000000" w:themeColor="text1"/>
          <w:sz w:val="20"/>
        </w:rPr>
      </w:pPr>
      <w:r w:rsidRPr="001B3020">
        <w:rPr>
          <w:rFonts w:cs="Arial"/>
          <w:color w:val="000000" w:themeColor="text1"/>
          <w:sz w:val="20"/>
        </w:rPr>
        <w:t xml:space="preserve">(3) </w:t>
      </w:r>
      <w:r w:rsidRPr="001B3020">
        <w:rPr>
          <w:rFonts w:cs="Arial"/>
          <w:color w:val="000000" w:themeColor="text1"/>
          <w:sz w:val="20"/>
        </w:rPr>
        <w:tab/>
        <w:t>Tax collected under this section shall be adjustable against tax liability.</w:t>
      </w:r>
    </w:p>
    <w:p w:rsidR="0049246D" w:rsidRPr="001B3020" w:rsidRDefault="0049246D" w:rsidP="0049246D">
      <w:pPr>
        <w:jc w:val="both"/>
        <w:rPr>
          <w:rFonts w:cs="Arial"/>
          <w:color w:val="000000" w:themeColor="text1"/>
          <w:sz w:val="20"/>
        </w:rPr>
      </w:pPr>
    </w:p>
    <w:p w:rsidR="009356ED" w:rsidRPr="001B3020" w:rsidRDefault="009356ED" w:rsidP="0049246D">
      <w:pPr>
        <w:jc w:val="both"/>
        <w:rPr>
          <w:rFonts w:cs="Arial"/>
          <w:color w:val="000000" w:themeColor="text1"/>
          <w:sz w:val="20"/>
        </w:rPr>
      </w:pPr>
      <w:r w:rsidRPr="001B3020">
        <w:rPr>
          <w:rFonts w:cs="Arial"/>
          <w:b/>
          <w:color w:val="000000" w:themeColor="text1"/>
          <w:sz w:val="20"/>
        </w:rPr>
        <w:t>235B. Tax on steel melters, re-rollers etc.-</w:t>
      </w:r>
      <w:r w:rsidRPr="001B3020">
        <w:rPr>
          <w:rFonts w:cs="Arial"/>
          <w:color w:val="000000" w:themeColor="text1"/>
          <w:sz w:val="20"/>
        </w:rPr>
        <w:t xml:space="preserve"> (1) There shall be collected tax from every steel melter, steel re-roller, composite steel units, registered for the purpose of Chapter XI of Sales Tax Special Procedure  Rules, 2007 at the rate of </w:t>
      </w:r>
      <w:r w:rsidRPr="001B3020">
        <w:rPr>
          <w:rFonts w:cs="Arial"/>
          <w:color w:val="000000" w:themeColor="text1"/>
          <w:sz w:val="20"/>
        </w:rPr>
        <w:lastRenderedPageBreak/>
        <w:t xml:space="preserve">one rupee per unit of electricity consumed for the production of steel billets, ingots and mild steel (MS products) excluding stainless steel . </w:t>
      </w:r>
    </w:p>
    <w:p w:rsidR="0049246D" w:rsidRPr="001B3020" w:rsidRDefault="0049246D" w:rsidP="0049246D">
      <w:pPr>
        <w:jc w:val="both"/>
        <w:rPr>
          <w:rFonts w:cs="Arial"/>
          <w:color w:val="000000" w:themeColor="text1"/>
          <w:sz w:val="20"/>
        </w:rPr>
      </w:pPr>
    </w:p>
    <w:p w:rsidR="009356ED" w:rsidRPr="001B3020" w:rsidRDefault="009356ED" w:rsidP="0090559B">
      <w:pPr>
        <w:ind w:firstLine="547"/>
        <w:jc w:val="both"/>
        <w:rPr>
          <w:rFonts w:cs="Arial"/>
          <w:color w:val="000000" w:themeColor="text1"/>
          <w:sz w:val="20"/>
        </w:rPr>
      </w:pPr>
      <w:r w:rsidRPr="001B3020">
        <w:rPr>
          <w:rFonts w:cs="Arial"/>
          <w:color w:val="000000" w:themeColor="text1"/>
          <w:sz w:val="20"/>
        </w:rPr>
        <w:t>(2)</w:t>
      </w:r>
      <w:r w:rsidRPr="001B3020">
        <w:rPr>
          <w:rFonts w:cs="Arial"/>
          <w:color w:val="000000" w:themeColor="text1"/>
          <w:sz w:val="20"/>
        </w:rPr>
        <w:tab/>
        <w:t>The person preparing electricity consumption bill shall charge and collect the tax under sub-section (1) in the manner electricity consumption charges are charged and collected.</w:t>
      </w:r>
    </w:p>
    <w:p w:rsidR="0049246D" w:rsidRPr="001B3020" w:rsidRDefault="0049246D" w:rsidP="0049246D">
      <w:pPr>
        <w:jc w:val="both"/>
        <w:rPr>
          <w:rFonts w:cs="Arial"/>
          <w:color w:val="000000" w:themeColor="text1"/>
          <w:sz w:val="20"/>
        </w:rPr>
      </w:pPr>
    </w:p>
    <w:p w:rsidR="009356ED" w:rsidRPr="001B3020" w:rsidRDefault="009356ED" w:rsidP="0090559B">
      <w:pPr>
        <w:ind w:firstLine="547"/>
        <w:jc w:val="both"/>
        <w:rPr>
          <w:rFonts w:cs="Arial"/>
          <w:color w:val="000000" w:themeColor="text1"/>
          <w:sz w:val="20"/>
        </w:rPr>
      </w:pPr>
      <w:r w:rsidRPr="001B3020">
        <w:rPr>
          <w:rFonts w:cs="Arial"/>
          <w:color w:val="000000" w:themeColor="text1"/>
          <w:sz w:val="20"/>
        </w:rPr>
        <w:t>(3)</w:t>
      </w:r>
      <w:r w:rsidRPr="001B3020">
        <w:rPr>
          <w:rFonts w:cs="Arial"/>
          <w:color w:val="000000" w:themeColor="text1"/>
          <w:sz w:val="20"/>
        </w:rPr>
        <w:tab/>
        <w:t>The tax collected under sub- section (1) shall be deemed to be the tax required to be deducted under sub-section (1) of section 153, on the payment for local purchase of scrap.</w:t>
      </w:r>
    </w:p>
    <w:p w:rsidR="0049246D" w:rsidRPr="001B3020" w:rsidRDefault="0049246D" w:rsidP="0049246D">
      <w:pPr>
        <w:jc w:val="both"/>
        <w:rPr>
          <w:rFonts w:cs="Arial"/>
          <w:color w:val="000000" w:themeColor="text1"/>
          <w:sz w:val="20"/>
        </w:rPr>
      </w:pPr>
    </w:p>
    <w:p w:rsidR="009356ED" w:rsidRPr="001B3020" w:rsidRDefault="009356ED" w:rsidP="0049246D">
      <w:pPr>
        <w:jc w:val="both"/>
        <w:rPr>
          <w:rFonts w:cs="Arial"/>
          <w:color w:val="000000" w:themeColor="text1"/>
          <w:sz w:val="20"/>
        </w:rPr>
      </w:pPr>
      <w:r w:rsidRPr="001B3020">
        <w:rPr>
          <w:rFonts w:cs="Arial"/>
          <w:color w:val="000000" w:themeColor="text1"/>
          <w:sz w:val="20"/>
        </w:rPr>
        <w:t>(4)</w:t>
      </w:r>
      <w:r w:rsidRPr="001B3020">
        <w:rPr>
          <w:rFonts w:cs="Arial"/>
          <w:color w:val="000000" w:themeColor="text1"/>
          <w:sz w:val="20"/>
        </w:rPr>
        <w:tab/>
        <w:t>Tax collected under sub-section (1) shall be non-adjustable and credit of the same shall not be allowed to any person.</w:t>
      </w:r>
      <w:r w:rsidR="00BC31B6" w:rsidRPr="001B3020">
        <w:rPr>
          <w:rFonts w:cs="Arial"/>
          <w:color w:val="000000" w:themeColor="text1"/>
          <w:sz w:val="20"/>
        </w:rPr>
        <w:t>]</w:t>
      </w:r>
    </w:p>
    <w:p w:rsidR="009356ED" w:rsidRPr="009356ED" w:rsidRDefault="009356ED" w:rsidP="009356ED">
      <w:pPr>
        <w:jc w:val="both"/>
        <w:rPr>
          <w:color w:val="00B0F0"/>
          <w:sz w:val="20"/>
        </w:rPr>
      </w:pPr>
    </w:p>
    <w:p w:rsidR="006A3F93" w:rsidRPr="00412620" w:rsidRDefault="006A3F93">
      <w:pPr>
        <w:jc w:val="both"/>
        <w:rPr>
          <w:sz w:val="20"/>
        </w:rPr>
      </w:pPr>
      <w:r w:rsidRPr="00412620">
        <w:rPr>
          <w:rFonts w:cs="Arial"/>
          <w:b/>
          <w:sz w:val="20"/>
        </w:rPr>
        <w:t>236.</w:t>
      </w:r>
      <w:r w:rsidRPr="00412620">
        <w:rPr>
          <w:sz w:val="20"/>
        </w:rPr>
        <w:tab/>
      </w:r>
      <w:r w:rsidRPr="00412620">
        <w:rPr>
          <w:b/>
          <w:sz w:val="20"/>
        </w:rPr>
        <w:t>Telephone</w:t>
      </w:r>
      <w:r w:rsidR="00360A59">
        <w:rPr>
          <w:b/>
          <w:sz w:val="20"/>
        </w:rPr>
        <w:t xml:space="preserve"> </w:t>
      </w:r>
      <w:r w:rsidR="0090559B" w:rsidRPr="00FB1860">
        <w:rPr>
          <w:rStyle w:val="FootnoteReference"/>
          <w:b/>
          <w:color w:val="000000" w:themeColor="text1"/>
          <w:sz w:val="20"/>
        </w:rPr>
        <w:footnoteReference w:id="1484"/>
      </w:r>
      <w:r w:rsidR="0090559B" w:rsidRPr="00FB1860">
        <w:rPr>
          <w:b/>
          <w:color w:val="000000" w:themeColor="text1"/>
          <w:sz w:val="20"/>
        </w:rPr>
        <w:t>[and internet]</w:t>
      </w:r>
      <w:r w:rsidRPr="00412620">
        <w:rPr>
          <w:b/>
          <w:sz w:val="20"/>
        </w:rPr>
        <w:t xml:space="preserve"> users</w:t>
      </w:r>
      <w:r w:rsidRPr="00412620">
        <w:rPr>
          <w:sz w:val="20"/>
        </w:rPr>
        <w:t>.- (1) Advance tax at the rates specified in Part IV of the First Schedule shall be collected on the amount of –</w:t>
      </w:r>
    </w:p>
    <w:p w:rsidR="006A3F93" w:rsidRPr="00412620" w:rsidRDefault="006A3F93">
      <w:pPr>
        <w:jc w:val="both"/>
        <w:rPr>
          <w:rFonts w:cs="Arial"/>
          <w:sz w:val="20"/>
        </w:rPr>
      </w:pPr>
    </w:p>
    <w:p w:rsidR="00A90B9E" w:rsidRPr="00412620" w:rsidRDefault="00A90B9E">
      <w:pPr>
        <w:jc w:val="both"/>
        <w:rPr>
          <w:rFonts w:cs="Arial"/>
          <w:sz w:val="20"/>
        </w:rPr>
      </w:pPr>
      <w:r w:rsidRPr="00412620">
        <w:rPr>
          <w:rFonts w:cs="Arial"/>
          <w:sz w:val="20"/>
        </w:rPr>
        <w:tab/>
      </w:r>
      <w:r w:rsidRPr="00412620">
        <w:rPr>
          <w:rFonts w:cs="Arial"/>
          <w:sz w:val="20"/>
        </w:rPr>
        <w:tab/>
        <w:t>(a)</w:t>
      </w:r>
      <w:r w:rsidRPr="00412620">
        <w:rPr>
          <w:rFonts w:cs="Arial"/>
          <w:sz w:val="20"/>
        </w:rPr>
        <w:tab/>
      </w:r>
      <w:r w:rsidRPr="00412620">
        <w:rPr>
          <w:sz w:val="20"/>
        </w:rPr>
        <w:t xml:space="preserve">telephone bill of a subscriber; </w:t>
      </w:r>
      <w:r w:rsidR="009F5613" w:rsidRPr="00412620">
        <w:rPr>
          <w:rStyle w:val="FootnoteReference"/>
          <w:sz w:val="20"/>
        </w:rPr>
        <w:footnoteReference w:id="1485"/>
      </w:r>
      <w:r w:rsidR="009F5613" w:rsidRPr="00412620">
        <w:rPr>
          <w:sz w:val="20"/>
        </w:rPr>
        <w:t xml:space="preserve">[ ] </w:t>
      </w:r>
    </w:p>
    <w:p w:rsidR="00A90B9E" w:rsidRPr="00412620" w:rsidRDefault="00A90B9E">
      <w:pPr>
        <w:jc w:val="both"/>
        <w:rPr>
          <w:rFonts w:cs="Arial"/>
          <w:sz w:val="20"/>
        </w:rPr>
      </w:pPr>
    </w:p>
    <w:p w:rsidR="00A90B9E" w:rsidRPr="00412620" w:rsidRDefault="00A90B9E">
      <w:pPr>
        <w:jc w:val="both"/>
        <w:rPr>
          <w:rFonts w:cs="Arial"/>
          <w:sz w:val="20"/>
        </w:rPr>
      </w:pPr>
      <w:r w:rsidRPr="00412620">
        <w:rPr>
          <w:rFonts w:cs="Arial"/>
          <w:sz w:val="20"/>
        </w:rPr>
        <w:tab/>
      </w:r>
      <w:r w:rsidRPr="00412620">
        <w:rPr>
          <w:rFonts w:cs="Arial"/>
          <w:sz w:val="20"/>
        </w:rPr>
        <w:tab/>
        <w:t xml:space="preserve">(b) </w:t>
      </w:r>
      <w:r w:rsidRPr="00412620">
        <w:rPr>
          <w:rFonts w:cs="Arial"/>
          <w:sz w:val="20"/>
        </w:rPr>
        <w:tab/>
      </w:r>
      <w:r w:rsidRPr="00412620">
        <w:rPr>
          <w:sz w:val="20"/>
        </w:rPr>
        <w:t xml:space="preserve">prepaid cards for </w:t>
      </w:r>
      <w:r w:rsidRPr="00412620">
        <w:rPr>
          <w:rStyle w:val="FootnoteReference"/>
          <w:sz w:val="20"/>
        </w:rPr>
        <w:footnoteReference w:id="1486"/>
      </w:r>
      <w:r w:rsidRPr="00412620">
        <w:rPr>
          <w:sz w:val="20"/>
        </w:rPr>
        <w:t>[  ]telephones</w:t>
      </w:r>
      <w:r w:rsidR="002E19DF" w:rsidRPr="00412620">
        <w:rPr>
          <w:rStyle w:val="FootnoteReference"/>
          <w:sz w:val="20"/>
        </w:rPr>
        <w:footnoteReference w:id="1487"/>
      </w:r>
      <w:r w:rsidR="002E19DF" w:rsidRPr="00412620">
        <w:rPr>
          <w:sz w:val="20"/>
        </w:rPr>
        <w:t xml:space="preserve">[; </w:t>
      </w:r>
      <w:r w:rsidR="00BE5531" w:rsidRPr="00FB1860">
        <w:rPr>
          <w:rStyle w:val="FootnoteReference"/>
          <w:color w:val="000000" w:themeColor="text1"/>
          <w:sz w:val="20"/>
        </w:rPr>
        <w:footnoteReference w:id="1488"/>
      </w:r>
      <w:r w:rsidR="00BE5531" w:rsidRPr="00FB1860">
        <w:rPr>
          <w:color w:val="000000" w:themeColor="text1"/>
          <w:sz w:val="20"/>
        </w:rPr>
        <w:t>[</w:t>
      </w:r>
      <w:r w:rsidR="00FB1860" w:rsidRPr="00FB1860">
        <w:rPr>
          <w:color w:val="000000" w:themeColor="text1"/>
          <w:sz w:val="20"/>
        </w:rPr>
        <w:t xml:space="preserve"> </w:t>
      </w:r>
      <w:r w:rsidR="00BE5531" w:rsidRPr="00FB1860">
        <w:rPr>
          <w:color w:val="000000" w:themeColor="text1"/>
          <w:sz w:val="20"/>
        </w:rPr>
        <w:t>]</w:t>
      </w:r>
      <w:r w:rsidR="00FB1860">
        <w:rPr>
          <w:color w:val="984806" w:themeColor="accent6" w:themeShade="80"/>
          <w:sz w:val="20"/>
        </w:rPr>
        <w:t xml:space="preserve"> </w:t>
      </w:r>
      <w:r w:rsidR="002E19DF" w:rsidRPr="00412620">
        <w:rPr>
          <w:sz w:val="20"/>
        </w:rPr>
        <w:t>]</w:t>
      </w:r>
    </w:p>
    <w:p w:rsidR="00A90B9E" w:rsidRPr="00412620" w:rsidRDefault="00A90B9E">
      <w:pPr>
        <w:jc w:val="both"/>
        <w:rPr>
          <w:rFonts w:cs="Arial"/>
          <w:sz w:val="20"/>
        </w:rPr>
      </w:pPr>
    </w:p>
    <w:p w:rsidR="000756CA" w:rsidRDefault="000756CA" w:rsidP="00E97220">
      <w:pPr>
        <w:ind w:left="1620" w:hanging="540"/>
        <w:jc w:val="both"/>
        <w:rPr>
          <w:rFonts w:cs="Arial"/>
          <w:color w:val="984806" w:themeColor="accent6" w:themeShade="80"/>
          <w:sz w:val="20"/>
        </w:rPr>
      </w:pPr>
      <w:r w:rsidRPr="00412620">
        <w:rPr>
          <w:rFonts w:cs="Arial"/>
          <w:sz w:val="20"/>
        </w:rPr>
        <w:t>(c)</w:t>
      </w:r>
      <w:r w:rsidRPr="00412620">
        <w:rPr>
          <w:rFonts w:cs="Arial"/>
          <w:sz w:val="20"/>
        </w:rPr>
        <w:tab/>
        <w:t>sale of units through any electronic medium or whatever form</w:t>
      </w:r>
      <w:r w:rsidR="00932217">
        <w:rPr>
          <w:rFonts w:cs="Arial"/>
          <w:sz w:val="20"/>
        </w:rPr>
        <w:t xml:space="preserve"> </w:t>
      </w:r>
      <w:r w:rsidR="00E97220" w:rsidRPr="00FB1860">
        <w:rPr>
          <w:rStyle w:val="FootnoteReference"/>
          <w:rFonts w:cs="Arial"/>
          <w:color w:val="000000" w:themeColor="text1"/>
          <w:sz w:val="20"/>
        </w:rPr>
        <w:footnoteReference w:id="1489"/>
      </w:r>
      <w:r w:rsidR="00E97220" w:rsidRPr="00FB1860">
        <w:rPr>
          <w:rFonts w:cs="Arial"/>
          <w:color w:val="000000" w:themeColor="text1"/>
          <w:sz w:val="20"/>
        </w:rPr>
        <w:t>[; and</w:t>
      </w:r>
      <w:r w:rsidRPr="00FB1860">
        <w:rPr>
          <w:rFonts w:cs="Arial"/>
          <w:color w:val="000000" w:themeColor="text1"/>
          <w:sz w:val="20"/>
        </w:rPr>
        <w:t>]</w:t>
      </w:r>
    </w:p>
    <w:p w:rsidR="00EA1B80" w:rsidRDefault="00EA1B80" w:rsidP="00E97220">
      <w:pPr>
        <w:ind w:left="1620" w:hanging="540"/>
        <w:jc w:val="both"/>
        <w:rPr>
          <w:rFonts w:cs="Arial"/>
          <w:color w:val="984806" w:themeColor="accent6" w:themeShade="80"/>
          <w:sz w:val="20"/>
        </w:rPr>
      </w:pPr>
    </w:p>
    <w:p w:rsidR="00EA1B80" w:rsidRPr="00FB1860" w:rsidRDefault="00824651" w:rsidP="00E97220">
      <w:pPr>
        <w:ind w:left="1620" w:hanging="540"/>
        <w:jc w:val="both"/>
        <w:rPr>
          <w:rFonts w:cs="Arial"/>
          <w:color w:val="000000" w:themeColor="text1"/>
          <w:sz w:val="20"/>
        </w:rPr>
      </w:pPr>
      <w:r w:rsidRPr="00FB1860">
        <w:rPr>
          <w:rStyle w:val="FootnoteReference"/>
          <w:rFonts w:cs="Arial"/>
          <w:color w:val="000000" w:themeColor="text1"/>
          <w:sz w:val="20"/>
        </w:rPr>
        <w:footnoteReference w:id="1490"/>
      </w:r>
      <w:r w:rsidR="00EA1B80" w:rsidRPr="00FB1860">
        <w:rPr>
          <w:rFonts w:cs="Arial"/>
          <w:color w:val="000000" w:themeColor="text1"/>
          <w:sz w:val="20"/>
        </w:rPr>
        <w:t>[“(d)</w:t>
      </w:r>
      <w:r w:rsidR="00EA1B80" w:rsidRPr="00FB1860">
        <w:rPr>
          <w:rFonts w:cs="Arial"/>
          <w:color w:val="000000" w:themeColor="text1"/>
          <w:sz w:val="20"/>
        </w:rPr>
        <w:tab/>
        <w:t xml:space="preserve">internet bill of a subscriber; and </w:t>
      </w:r>
    </w:p>
    <w:p w:rsidR="00EA1B80" w:rsidRPr="00FB1860" w:rsidRDefault="00EA1B80" w:rsidP="00E97220">
      <w:pPr>
        <w:ind w:left="1620" w:hanging="540"/>
        <w:jc w:val="both"/>
        <w:rPr>
          <w:rFonts w:cs="Arial"/>
          <w:color w:val="000000" w:themeColor="text1"/>
          <w:sz w:val="20"/>
        </w:rPr>
      </w:pPr>
    </w:p>
    <w:p w:rsidR="00EA1B80" w:rsidRPr="00FB1860" w:rsidRDefault="00EA1B80" w:rsidP="00E97220">
      <w:pPr>
        <w:ind w:left="1620" w:hanging="540"/>
        <w:jc w:val="both"/>
        <w:rPr>
          <w:rFonts w:cs="Arial"/>
          <w:color w:val="000000" w:themeColor="text1"/>
          <w:sz w:val="20"/>
        </w:rPr>
      </w:pPr>
      <w:r w:rsidRPr="00FB1860">
        <w:rPr>
          <w:rFonts w:cs="Arial"/>
          <w:color w:val="000000" w:themeColor="text1"/>
          <w:sz w:val="20"/>
        </w:rPr>
        <w:t>(</w:t>
      </w:r>
      <w:r w:rsidR="00D22603" w:rsidRPr="00FB1860">
        <w:rPr>
          <w:rFonts w:cs="Arial"/>
          <w:color w:val="000000" w:themeColor="text1"/>
          <w:sz w:val="20"/>
        </w:rPr>
        <w:t>e)</w:t>
      </w:r>
      <w:r w:rsidR="00D22603" w:rsidRPr="00FB1860">
        <w:rPr>
          <w:rFonts w:cs="Arial"/>
          <w:color w:val="000000" w:themeColor="text1"/>
          <w:sz w:val="20"/>
        </w:rPr>
        <w:tab/>
        <w:t>prepaid cards for internet.”</w:t>
      </w:r>
      <w:r w:rsidRPr="00FB1860">
        <w:rPr>
          <w:rFonts w:cs="Arial"/>
          <w:color w:val="000000" w:themeColor="text1"/>
          <w:sz w:val="20"/>
        </w:rPr>
        <w:t>]</w:t>
      </w:r>
    </w:p>
    <w:p w:rsidR="00EA1B80" w:rsidRDefault="00EA1B80" w:rsidP="00E97220">
      <w:pPr>
        <w:ind w:left="1620" w:hanging="540"/>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The person preparing the telephone</w:t>
      </w:r>
      <w:r w:rsidR="00360A59">
        <w:rPr>
          <w:rFonts w:cs="Arial"/>
          <w:sz w:val="20"/>
        </w:rPr>
        <w:t xml:space="preserve"> </w:t>
      </w:r>
      <w:r w:rsidR="004C4183" w:rsidRPr="00FB1860">
        <w:rPr>
          <w:rStyle w:val="FootnoteReference"/>
          <w:rFonts w:cs="Arial"/>
          <w:color w:val="000000" w:themeColor="text1"/>
          <w:sz w:val="20"/>
        </w:rPr>
        <w:footnoteReference w:id="1491"/>
      </w:r>
      <w:r w:rsidR="004C4183" w:rsidRPr="00FB1860">
        <w:rPr>
          <w:rFonts w:cs="Arial"/>
          <w:color w:val="000000" w:themeColor="text1"/>
          <w:sz w:val="20"/>
        </w:rPr>
        <w:t>[or internet]</w:t>
      </w:r>
      <w:r w:rsidRPr="00FB1860">
        <w:rPr>
          <w:rFonts w:cs="Arial"/>
          <w:color w:val="000000" w:themeColor="text1"/>
          <w:sz w:val="20"/>
        </w:rPr>
        <w:t xml:space="preserve"> bill shall charge advance tax under sub-section (1) in the manner telephone</w:t>
      </w:r>
      <w:r w:rsidR="00360A59" w:rsidRPr="00FB1860">
        <w:rPr>
          <w:rFonts w:cs="Arial"/>
          <w:color w:val="000000" w:themeColor="text1"/>
          <w:sz w:val="20"/>
        </w:rPr>
        <w:t xml:space="preserve"> </w:t>
      </w:r>
      <w:r w:rsidR="004C4183" w:rsidRPr="00FB1860">
        <w:rPr>
          <w:rStyle w:val="FootnoteReference"/>
          <w:rFonts w:cs="Arial"/>
          <w:color w:val="000000" w:themeColor="text1"/>
          <w:sz w:val="20"/>
        </w:rPr>
        <w:footnoteReference w:id="1492"/>
      </w:r>
      <w:r w:rsidR="004C4183" w:rsidRPr="00FB1860">
        <w:rPr>
          <w:rFonts w:cs="Arial"/>
          <w:color w:val="000000" w:themeColor="text1"/>
          <w:sz w:val="20"/>
        </w:rPr>
        <w:t>[or internet]</w:t>
      </w:r>
      <w:r w:rsidRPr="00412620">
        <w:rPr>
          <w:rFonts w:cs="Arial"/>
          <w:sz w:val="20"/>
        </w:rPr>
        <w:t xml:space="preserve"> charges are charged.</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 xml:space="preserve">(3) </w:t>
      </w:r>
      <w:r w:rsidRPr="00412620">
        <w:rPr>
          <w:rFonts w:cs="Arial"/>
          <w:sz w:val="20"/>
        </w:rPr>
        <w:tab/>
        <w:t xml:space="preserve">The person issuing or selling prepaid cards for </w:t>
      </w:r>
      <w:r w:rsidRPr="00412620">
        <w:rPr>
          <w:rStyle w:val="FootnoteReference"/>
          <w:rFonts w:cs="Arial"/>
          <w:sz w:val="20"/>
        </w:rPr>
        <w:footnoteReference w:id="1493"/>
      </w:r>
      <w:r w:rsidRPr="00412620">
        <w:rPr>
          <w:rFonts w:cs="Arial"/>
          <w:sz w:val="20"/>
        </w:rPr>
        <w:t>[  ] telephones</w:t>
      </w:r>
      <w:r w:rsidR="00360A59">
        <w:rPr>
          <w:rFonts w:cs="Arial"/>
          <w:sz w:val="20"/>
        </w:rPr>
        <w:t xml:space="preserve"> </w:t>
      </w:r>
      <w:r w:rsidR="000C627B" w:rsidRPr="00FB1860">
        <w:rPr>
          <w:rStyle w:val="FootnoteReference"/>
          <w:rFonts w:cs="Arial"/>
          <w:color w:val="000000" w:themeColor="text1"/>
          <w:sz w:val="20"/>
        </w:rPr>
        <w:footnoteReference w:id="1494"/>
      </w:r>
      <w:r w:rsidR="000C627B" w:rsidRPr="00FB1860">
        <w:rPr>
          <w:rFonts w:cs="Arial"/>
          <w:color w:val="000000" w:themeColor="text1"/>
          <w:sz w:val="20"/>
        </w:rPr>
        <w:t>[or internet]</w:t>
      </w:r>
      <w:r w:rsidRPr="00FB1860">
        <w:rPr>
          <w:rFonts w:cs="Arial"/>
          <w:color w:val="000000" w:themeColor="text1"/>
          <w:sz w:val="20"/>
        </w:rPr>
        <w:t xml:space="preserve"> sha</w:t>
      </w:r>
      <w:r w:rsidRPr="00412620">
        <w:rPr>
          <w:rFonts w:cs="Arial"/>
          <w:sz w:val="20"/>
        </w:rPr>
        <w:t xml:space="preserve">ll </w:t>
      </w:r>
      <w:r w:rsidRPr="00412620">
        <w:rPr>
          <w:rStyle w:val="FootnoteReference"/>
          <w:rFonts w:cs="Arial"/>
          <w:sz w:val="20"/>
        </w:rPr>
        <w:footnoteReference w:id="1495"/>
      </w:r>
      <w:r w:rsidRPr="00412620">
        <w:rPr>
          <w:rFonts w:cs="Arial"/>
          <w:sz w:val="20"/>
        </w:rPr>
        <w:t>[collect] advance tax under sub-section (1) from the purchasers at the time of issuance or sale of cards.</w:t>
      </w:r>
    </w:p>
    <w:p w:rsidR="006A3F93" w:rsidRPr="00412620" w:rsidRDefault="006A3F93">
      <w:pPr>
        <w:pStyle w:val="BodyText3"/>
        <w:widowControl/>
        <w:rPr>
          <w:rFonts w:ascii="Arial" w:hAnsi="Arial"/>
          <w:sz w:val="20"/>
          <w:lang w:val="en-AU"/>
        </w:rPr>
      </w:pPr>
    </w:p>
    <w:p w:rsidR="000F4DAE" w:rsidRPr="00412620" w:rsidRDefault="000F4DAE">
      <w:pPr>
        <w:pStyle w:val="BodyText3"/>
        <w:widowControl/>
        <w:rPr>
          <w:rFonts w:ascii="Arial" w:hAnsi="Arial"/>
          <w:sz w:val="20"/>
          <w:lang w:val="en-AU"/>
        </w:rPr>
      </w:pPr>
      <w:r w:rsidRPr="00412620">
        <w:rPr>
          <w:rFonts w:ascii="Arial" w:hAnsi="Arial"/>
          <w:sz w:val="20"/>
          <w:lang w:val="en-AU"/>
        </w:rPr>
        <w:lastRenderedPageBreak/>
        <w:tab/>
      </w:r>
      <w:r w:rsidR="00D31526" w:rsidRPr="00412620">
        <w:rPr>
          <w:rStyle w:val="FootnoteReference"/>
          <w:rFonts w:ascii="Arial" w:hAnsi="Arial"/>
          <w:sz w:val="20"/>
          <w:lang w:val="en-AU"/>
        </w:rPr>
        <w:footnoteReference w:id="1496"/>
      </w:r>
      <w:r w:rsidR="00ED6E24" w:rsidRPr="00412620">
        <w:rPr>
          <w:rFonts w:ascii="Arial" w:hAnsi="Arial"/>
          <w:sz w:val="20"/>
          <w:lang w:val="en-AU"/>
        </w:rPr>
        <w:t xml:space="preserve">[(3A) The person issuing </w:t>
      </w:r>
      <w:r w:rsidR="00AB0D73" w:rsidRPr="00412620">
        <w:rPr>
          <w:rFonts w:ascii="Arial" w:hAnsi="Arial"/>
          <w:sz w:val="20"/>
          <w:lang w:val="en-AU"/>
        </w:rPr>
        <w:t xml:space="preserve">or selling </w:t>
      </w:r>
      <w:r w:rsidR="00ED6E24" w:rsidRPr="00412620">
        <w:rPr>
          <w:rFonts w:ascii="Arial" w:hAnsi="Arial"/>
          <w:sz w:val="20"/>
          <w:lang w:val="en-AU"/>
        </w:rPr>
        <w:t>units through any electronic medium or whatever form shall collect advance tax under sub-section (1) from the purchaser at the time of issuance of sale of units.]</w:t>
      </w:r>
    </w:p>
    <w:p w:rsidR="000F4DAE" w:rsidRPr="00412620" w:rsidRDefault="000F4DAE">
      <w:pPr>
        <w:pStyle w:val="BodyText3"/>
        <w:widowControl/>
        <w:rPr>
          <w:rFonts w:ascii="Arial" w:hAnsi="Arial"/>
          <w:sz w:val="20"/>
          <w:lang w:val="en-AU"/>
        </w:rPr>
      </w:pPr>
    </w:p>
    <w:p w:rsidR="006A3F93" w:rsidRPr="00412620" w:rsidRDefault="006A3F93">
      <w:pPr>
        <w:jc w:val="both"/>
        <w:rPr>
          <w:rFonts w:cs="Arial"/>
          <w:sz w:val="20"/>
        </w:rPr>
      </w:pPr>
      <w:r w:rsidRPr="00412620">
        <w:rPr>
          <w:rFonts w:cs="Arial"/>
          <w:sz w:val="20"/>
        </w:rPr>
        <w:tab/>
        <w:t>(4)</w:t>
      </w:r>
      <w:r w:rsidRPr="00412620">
        <w:rPr>
          <w:rFonts w:cs="Arial"/>
          <w:sz w:val="20"/>
        </w:rPr>
        <w:tab/>
        <w:t>Advance tax under this section shall not be collected from Government, a foreign diplomat, a diplomatic mission in Pakistan, or a person who produces a certificate from the Commissioner that his income during the tax year is exempt from tax.</w:t>
      </w:r>
    </w:p>
    <w:p w:rsidR="006A3F93" w:rsidRPr="00412620" w:rsidRDefault="006A3F93">
      <w:pPr>
        <w:pStyle w:val="Heading2"/>
        <w:keepNext w:val="0"/>
        <w:spacing w:line="240" w:lineRule="auto"/>
        <w:jc w:val="left"/>
        <w:rPr>
          <w:rFonts w:cs="Arial"/>
          <w:sz w:val="20"/>
        </w:rPr>
      </w:pPr>
    </w:p>
    <w:p w:rsidR="000166B1" w:rsidRPr="00412620" w:rsidRDefault="00DD50F8" w:rsidP="000166B1">
      <w:pPr>
        <w:jc w:val="both"/>
        <w:rPr>
          <w:sz w:val="20"/>
        </w:rPr>
      </w:pPr>
      <w:r w:rsidRPr="00412620">
        <w:rPr>
          <w:rStyle w:val="FootnoteReference"/>
          <w:sz w:val="20"/>
        </w:rPr>
        <w:footnoteReference w:id="1497"/>
      </w:r>
      <w:r w:rsidR="000166B1" w:rsidRPr="00412620">
        <w:rPr>
          <w:sz w:val="20"/>
        </w:rPr>
        <w:t>[</w:t>
      </w:r>
      <w:r w:rsidR="000166B1" w:rsidRPr="00412620">
        <w:rPr>
          <w:b/>
          <w:sz w:val="20"/>
        </w:rPr>
        <w:t>236A.  Advance tax at the time of sale by auction.</w:t>
      </w:r>
      <w:r w:rsidR="00E019CF" w:rsidRPr="00412620">
        <w:rPr>
          <w:rFonts w:cs="Arial"/>
          <w:sz w:val="20"/>
        </w:rPr>
        <w:t>—</w:t>
      </w:r>
      <w:r w:rsidR="000166B1" w:rsidRPr="00412620">
        <w:rPr>
          <w:sz w:val="20"/>
        </w:rPr>
        <w:t xml:space="preserve"> (1) Any person making sale by public auction</w:t>
      </w:r>
      <w:r w:rsidR="007E30BE" w:rsidRPr="00412620">
        <w:rPr>
          <w:rStyle w:val="FootnoteReference"/>
          <w:sz w:val="20"/>
        </w:rPr>
        <w:footnoteReference w:id="1498"/>
      </w:r>
      <w:r w:rsidR="007E30BE" w:rsidRPr="00412620">
        <w:rPr>
          <w:sz w:val="20"/>
        </w:rPr>
        <w:t>[or auction by a tender]</w:t>
      </w:r>
      <w:r w:rsidR="000166B1" w:rsidRPr="00412620">
        <w:rPr>
          <w:sz w:val="20"/>
        </w:rPr>
        <w:t xml:space="preserve">, of any property or goods </w:t>
      </w:r>
      <w:r w:rsidR="006B1639" w:rsidRPr="00412620">
        <w:rPr>
          <w:rStyle w:val="FootnoteReference"/>
          <w:sz w:val="20"/>
        </w:rPr>
        <w:footnoteReference w:id="1499"/>
      </w:r>
      <w:r w:rsidR="004457AD" w:rsidRPr="00412620">
        <w:rPr>
          <w:sz w:val="20"/>
        </w:rPr>
        <w:t xml:space="preserve">[(including property or goods confiscated or attached)] </w:t>
      </w:r>
      <w:r w:rsidR="000166B1" w:rsidRPr="00412620">
        <w:rPr>
          <w:sz w:val="20"/>
        </w:rPr>
        <w:t xml:space="preserve">either belonging to or not belonging to the Government, local Government, any authority, a company, a foreign association declared to be a company under sub-clause (vi) of clause (b) of sub-section (2) of section 80, or a foreign contractor or a consultant or a consortium or Collector of Customs or Commissioner of </w:t>
      </w:r>
      <w:r w:rsidR="00CD652A" w:rsidRPr="00412620">
        <w:rPr>
          <w:rStyle w:val="FootnoteReference"/>
          <w:sz w:val="20"/>
        </w:rPr>
        <w:footnoteReference w:id="1500"/>
      </w:r>
      <w:r w:rsidR="00CD652A" w:rsidRPr="00412620">
        <w:rPr>
          <w:sz w:val="20"/>
        </w:rPr>
        <w:t>[Inland Revenue]</w:t>
      </w:r>
      <w:r w:rsidR="000166B1" w:rsidRPr="00412620">
        <w:rPr>
          <w:sz w:val="20"/>
        </w:rPr>
        <w:t xml:space="preserve"> or any other authority, shall collect advance tax, computed on the ba</w:t>
      </w:r>
      <w:r w:rsidR="003C6DC9" w:rsidRPr="00412620">
        <w:rPr>
          <w:sz w:val="20"/>
        </w:rPr>
        <w:t>s</w:t>
      </w:r>
      <w:r w:rsidR="000166B1" w:rsidRPr="00412620">
        <w:rPr>
          <w:sz w:val="20"/>
        </w:rPr>
        <w:t>is of sale price of such property and at the rate specified in Division VIII of Part IV of the First Schedule, from the person to whom such property or goods are being sold.</w:t>
      </w:r>
    </w:p>
    <w:p w:rsidR="00B34BB8" w:rsidRPr="00193748" w:rsidRDefault="00B34BB8" w:rsidP="000166B1">
      <w:pPr>
        <w:jc w:val="both"/>
        <w:rPr>
          <w:sz w:val="16"/>
        </w:rPr>
      </w:pPr>
    </w:p>
    <w:p w:rsidR="00B34BB8" w:rsidRPr="00412620" w:rsidRDefault="00B34BB8" w:rsidP="000166B1">
      <w:pPr>
        <w:jc w:val="both"/>
        <w:rPr>
          <w:sz w:val="20"/>
        </w:rPr>
      </w:pPr>
      <w:r w:rsidRPr="00412620">
        <w:rPr>
          <w:sz w:val="20"/>
        </w:rPr>
        <w:tab/>
        <w:t xml:space="preserve">(2) </w:t>
      </w:r>
      <w:r w:rsidRPr="00412620">
        <w:rPr>
          <w:sz w:val="20"/>
        </w:rPr>
        <w:tab/>
        <w:t xml:space="preserve">The credit for the tax collected under sub-section (1) in that tax year shall, subject to the provisions of section 147, be given in computing the tax payable by the person purchasing such property in the relevant tax year or in the case of a taxpayer to whom </w:t>
      </w:r>
      <w:r w:rsidR="00BF42CC" w:rsidRPr="00412620">
        <w:rPr>
          <w:sz w:val="20"/>
        </w:rPr>
        <w:t>section 98B or section 145 applies, the tax year, in which the “said date” as referred to in that section, falls or whichever is later.</w:t>
      </w:r>
    </w:p>
    <w:p w:rsidR="00BF42CC" w:rsidRPr="00193748" w:rsidRDefault="00BF42CC" w:rsidP="000166B1">
      <w:pPr>
        <w:jc w:val="both"/>
        <w:rPr>
          <w:sz w:val="16"/>
        </w:rPr>
      </w:pPr>
    </w:p>
    <w:p w:rsidR="00BF42CC" w:rsidRPr="00412620" w:rsidRDefault="00BF42CC" w:rsidP="00DD50F8">
      <w:pPr>
        <w:ind w:left="540"/>
        <w:jc w:val="both"/>
        <w:rPr>
          <w:sz w:val="20"/>
        </w:rPr>
      </w:pPr>
      <w:r w:rsidRPr="00412620">
        <w:rPr>
          <w:i/>
          <w:sz w:val="20"/>
        </w:rPr>
        <w:t>Explanation.</w:t>
      </w:r>
      <w:r w:rsidRPr="00412620">
        <w:rPr>
          <w:sz w:val="20"/>
        </w:rPr>
        <w:t>- For the purposes of this section, sale of any property includes the awarding of any lea</w:t>
      </w:r>
      <w:r w:rsidR="008A04E9" w:rsidRPr="00412620">
        <w:rPr>
          <w:sz w:val="20"/>
        </w:rPr>
        <w:t>s</w:t>
      </w:r>
      <w:r w:rsidRPr="00412620">
        <w:rPr>
          <w:sz w:val="20"/>
        </w:rPr>
        <w:t>e to any person, including a lease of the right to collect tolls, fees or other levies, by whatever name called.</w:t>
      </w:r>
      <w:r w:rsidR="00DD50F8" w:rsidRPr="00412620">
        <w:rPr>
          <w:sz w:val="20"/>
        </w:rPr>
        <w:t>]</w:t>
      </w:r>
    </w:p>
    <w:p w:rsidR="00BF42CC" w:rsidRDefault="00BF42CC" w:rsidP="000166B1">
      <w:pPr>
        <w:jc w:val="both"/>
        <w:rPr>
          <w:sz w:val="20"/>
        </w:rPr>
      </w:pPr>
    </w:p>
    <w:p w:rsidR="009B333D" w:rsidRPr="0009763F" w:rsidRDefault="009B333D" w:rsidP="000166B1">
      <w:pPr>
        <w:jc w:val="both"/>
        <w:rPr>
          <w:color w:val="0070C0"/>
          <w:sz w:val="20"/>
        </w:rPr>
      </w:pPr>
      <w:r>
        <w:rPr>
          <w:sz w:val="20"/>
        </w:rPr>
        <w:tab/>
      </w:r>
      <w:r w:rsidR="00932217" w:rsidRPr="0009763F">
        <w:rPr>
          <w:rStyle w:val="FootnoteReference"/>
          <w:color w:val="0070C0"/>
          <w:sz w:val="20"/>
        </w:rPr>
        <w:footnoteReference w:id="1501"/>
      </w:r>
      <w:r w:rsidR="00932217" w:rsidRPr="0009763F">
        <w:rPr>
          <w:rFonts w:cs="Arial"/>
          <w:color w:val="0070C0"/>
          <w:sz w:val="20"/>
        </w:rPr>
        <w:t>[“(3) Notwithstanding the provisions of sub-section (2), tax collected on a lease of the right to collect tolls shall be final tax.”]</w:t>
      </w:r>
    </w:p>
    <w:p w:rsidR="009B333D" w:rsidRPr="00412620" w:rsidRDefault="009B333D" w:rsidP="000166B1">
      <w:pPr>
        <w:jc w:val="both"/>
        <w:rPr>
          <w:sz w:val="20"/>
        </w:rPr>
      </w:pPr>
    </w:p>
    <w:p w:rsidR="00BF42CC" w:rsidRDefault="00D31526" w:rsidP="000166B1">
      <w:pPr>
        <w:jc w:val="both"/>
        <w:rPr>
          <w:color w:val="984806" w:themeColor="accent6" w:themeShade="80"/>
          <w:sz w:val="20"/>
        </w:rPr>
      </w:pPr>
      <w:r w:rsidRPr="00412620">
        <w:rPr>
          <w:rStyle w:val="FootnoteReference"/>
          <w:sz w:val="20"/>
        </w:rPr>
        <w:footnoteReference w:id="1502"/>
      </w:r>
      <w:r w:rsidRPr="00412620">
        <w:rPr>
          <w:sz w:val="20"/>
        </w:rPr>
        <w:t>[</w:t>
      </w:r>
      <w:r w:rsidRPr="00412620">
        <w:rPr>
          <w:b/>
          <w:sz w:val="20"/>
        </w:rPr>
        <w:t>236B. Advance tax on purchase of air ticket.</w:t>
      </w:r>
      <w:r w:rsidRPr="00412620">
        <w:rPr>
          <w:rFonts w:cs="Arial"/>
          <w:b/>
          <w:sz w:val="20"/>
        </w:rPr>
        <w:t>—</w:t>
      </w:r>
      <w:r w:rsidRPr="00412620">
        <w:rPr>
          <w:sz w:val="20"/>
        </w:rPr>
        <w:t xml:space="preserve"> (1) There shall be collected advance tax at the rate specified in Division IX of Part IV of the First Schedule, on the purchase of gross amount of domestic air ticket</w:t>
      </w:r>
      <w:r w:rsidR="00932217">
        <w:rPr>
          <w:sz w:val="20"/>
        </w:rPr>
        <w:t xml:space="preserve"> </w:t>
      </w:r>
      <w:r w:rsidR="00064613" w:rsidRPr="00FB1860">
        <w:rPr>
          <w:rStyle w:val="FootnoteReference"/>
          <w:color w:val="000000" w:themeColor="text1"/>
          <w:sz w:val="20"/>
        </w:rPr>
        <w:footnoteReference w:id="1503"/>
      </w:r>
      <w:r w:rsidR="00064613" w:rsidRPr="00FB1860">
        <w:rPr>
          <w:color w:val="000000" w:themeColor="text1"/>
          <w:sz w:val="20"/>
        </w:rPr>
        <w:t>[“:”]</w:t>
      </w:r>
    </w:p>
    <w:p w:rsidR="00064613" w:rsidRDefault="00064613" w:rsidP="000166B1">
      <w:pPr>
        <w:jc w:val="both"/>
        <w:rPr>
          <w:color w:val="984806" w:themeColor="accent6" w:themeShade="80"/>
          <w:sz w:val="20"/>
        </w:rPr>
      </w:pPr>
    </w:p>
    <w:p w:rsidR="00064613" w:rsidRPr="00FB1860" w:rsidRDefault="00C34897" w:rsidP="00C34897">
      <w:pPr>
        <w:autoSpaceDE w:val="0"/>
        <w:autoSpaceDN w:val="0"/>
        <w:adjustRightInd w:val="0"/>
        <w:ind w:left="1094" w:firstLine="547"/>
        <w:jc w:val="both"/>
        <w:rPr>
          <w:color w:val="000000" w:themeColor="text1"/>
          <w:sz w:val="20"/>
        </w:rPr>
      </w:pPr>
      <w:r w:rsidRPr="00FB1860">
        <w:rPr>
          <w:rStyle w:val="FootnoteReference"/>
          <w:color w:val="000000" w:themeColor="text1"/>
          <w:sz w:val="20"/>
        </w:rPr>
        <w:lastRenderedPageBreak/>
        <w:footnoteReference w:id="1504"/>
      </w:r>
      <w:r w:rsidR="00064613" w:rsidRPr="00FB1860">
        <w:rPr>
          <w:color w:val="000000" w:themeColor="text1"/>
          <w:sz w:val="20"/>
        </w:rPr>
        <w:t>[“</w:t>
      </w:r>
      <w:r w:rsidR="00064613" w:rsidRPr="00FB1860">
        <w:rPr>
          <w:rFonts w:cs="Arial"/>
          <w:color w:val="000000" w:themeColor="text1"/>
          <w:sz w:val="20"/>
          <w:lang w:val="en-US"/>
        </w:rPr>
        <w:t>Provided that this section shall not apply to routes of Baluchistan coastal belt, Azad Jammu and Kashmir, Federally Administered Tribal Areas, Gilgit-Baltistan and Chitral.</w:t>
      </w:r>
      <w:r w:rsidRPr="00FB1860">
        <w:rPr>
          <w:rFonts w:cs="Arial"/>
          <w:color w:val="000000" w:themeColor="text1"/>
          <w:sz w:val="20"/>
          <w:lang w:val="en-US"/>
        </w:rPr>
        <w:t>”]</w:t>
      </w:r>
    </w:p>
    <w:p w:rsidR="00D31526" w:rsidRPr="00193748" w:rsidRDefault="00D31526" w:rsidP="000166B1">
      <w:pPr>
        <w:jc w:val="both"/>
        <w:rPr>
          <w:sz w:val="12"/>
        </w:rPr>
      </w:pPr>
    </w:p>
    <w:p w:rsidR="00D31526" w:rsidRDefault="00D31526" w:rsidP="000166B1">
      <w:pPr>
        <w:jc w:val="both"/>
        <w:rPr>
          <w:sz w:val="20"/>
        </w:rPr>
      </w:pPr>
      <w:r w:rsidRPr="00412620">
        <w:rPr>
          <w:sz w:val="20"/>
        </w:rPr>
        <w:tab/>
        <w:t xml:space="preserve">(2) </w:t>
      </w:r>
      <w:r w:rsidRPr="00412620">
        <w:rPr>
          <w:sz w:val="20"/>
        </w:rPr>
        <w:tab/>
        <w:t>The</w:t>
      </w:r>
      <w:r w:rsidR="001B3020">
        <w:rPr>
          <w:sz w:val="20"/>
        </w:rPr>
        <w:t xml:space="preserve"> </w:t>
      </w:r>
      <w:r w:rsidR="00432148" w:rsidRPr="001B3020">
        <w:rPr>
          <w:rStyle w:val="FootnoteReference"/>
          <w:color w:val="000000" w:themeColor="text1"/>
          <w:sz w:val="20"/>
        </w:rPr>
        <w:footnoteReference w:id="1505"/>
      </w:r>
      <w:r w:rsidR="00432148" w:rsidRPr="001B3020">
        <w:rPr>
          <w:color w:val="000000" w:themeColor="text1"/>
          <w:sz w:val="20"/>
        </w:rPr>
        <w:t>[</w:t>
      </w:r>
      <w:r w:rsidR="00432148" w:rsidRPr="001B3020">
        <w:rPr>
          <w:rFonts w:cs="Arial"/>
          <w:color w:val="000000" w:themeColor="text1"/>
          <w:sz w:val="20"/>
        </w:rPr>
        <w:t>airline issuing</w:t>
      </w:r>
      <w:r w:rsidR="00432148" w:rsidRPr="001B3020">
        <w:rPr>
          <w:rFonts w:cs="Arial"/>
          <w:color w:val="000000" w:themeColor="text1"/>
        </w:rPr>
        <w:t>]</w:t>
      </w:r>
      <w:r w:rsidRPr="001B3020">
        <w:rPr>
          <w:color w:val="000000" w:themeColor="text1"/>
          <w:sz w:val="20"/>
        </w:rPr>
        <w:t xml:space="preserve"> air ticket</w:t>
      </w:r>
      <w:r w:rsidRPr="00412620">
        <w:rPr>
          <w:sz w:val="20"/>
        </w:rPr>
        <w:t xml:space="preserve"> shall charge advance tax under sub-section (1) in the manner air ticket charges are charged.]</w:t>
      </w:r>
    </w:p>
    <w:p w:rsidR="00512D0A" w:rsidRPr="00193748" w:rsidRDefault="00512D0A" w:rsidP="000166B1">
      <w:pPr>
        <w:jc w:val="both"/>
        <w:rPr>
          <w:sz w:val="16"/>
        </w:rPr>
      </w:pPr>
    </w:p>
    <w:p w:rsidR="00432148" w:rsidRPr="001B3020" w:rsidRDefault="00432148" w:rsidP="00432148">
      <w:pPr>
        <w:spacing w:line="480" w:lineRule="auto"/>
        <w:rPr>
          <w:rFonts w:cs="Arial"/>
          <w:color w:val="000000" w:themeColor="text1"/>
          <w:sz w:val="20"/>
        </w:rPr>
      </w:pPr>
      <w:r w:rsidRPr="001B3020">
        <w:rPr>
          <w:rStyle w:val="FootnoteReference"/>
          <w:color w:val="000000" w:themeColor="text1"/>
          <w:sz w:val="20"/>
        </w:rPr>
        <w:footnoteReference w:id="1506"/>
      </w:r>
      <w:r w:rsidRPr="001B3020">
        <w:rPr>
          <w:color w:val="000000" w:themeColor="text1"/>
          <w:sz w:val="20"/>
        </w:rPr>
        <w:t>[</w:t>
      </w:r>
      <w:r w:rsidRPr="001B3020">
        <w:rPr>
          <w:rFonts w:cs="Arial"/>
          <w:color w:val="000000" w:themeColor="text1"/>
        </w:rPr>
        <w:t>(</w:t>
      </w:r>
      <w:r w:rsidRPr="001B3020">
        <w:rPr>
          <w:rFonts w:cs="Arial"/>
          <w:color w:val="000000" w:themeColor="text1"/>
          <w:sz w:val="20"/>
        </w:rPr>
        <w:t xml:space="preserve">2A) The mode, manner and time of collection shall be as may be </w:t>
      </w:r>
      <w:r w:rsidR="004F5F6B" w:rsidRPr="001B3020">
        <w:rPr>
          <w:rFonts w:cs="Arial"/>
          <w:color w:val="000000" w:themeColor="text1"/>
          <w:sz w:val="20"/>
        </w:rPr>
        <w:t>prescribed</w:t>
      </w:r>
      <w:r w:rsidRPr="001B3020">
        <w:rPr>
          <w:rFonts w:cs="Arial"/>
          <w:color w:val="000000" w:themeColor="text1"/>
          <w:sz w:val="20"/>
        </w:rPr>
        <w:t>.</w:t>
      </w:r>
      <w:r w:rsidR="004F5F6B" w:rsidRPr="001B3020">
        <w:rPr>
          <w:rFonts w:cs="Arial"/>
          <w:color w:val="000000" w:themeColor="text1"/>
          <w:sz w:val="20"/>
        </w:rPr>
        <w:t>]</w:t>
      </w:r>
    </w:p>
    <w:p w:rsidR="00D31526" w:rsidRPr="00412620" w:rsidRDefault="00D80787" w:rsidP="000166B1">
      <w:pPr>
        <w:jc w:val="both"/>
        <w:rPr>
          <w:sz w:val="20"/>
        </w:rPr>
      </w:pPr>
      <w:r w:rsidRPr="00412620">
        <w:rPr>
          <w:sz w:val="20"/>
        </w:rPr>
        <w:tab/>
      </w:r>
      <w:r w:rsidR="00A7425A" w:rsidRPr="00412620">
        <w:rPr>
          <w:rStyle w:val="FootnoteReference"/>
          <w:sz w:val="20"/>
        </w:rPr>
        <w:footnoteReference w:id="1507"/>
      </w:r>
      <w:r w:rsidRPr="00412620">
        <w:rPr>
          <w:sz w:val="20"/>
        </w:rPr>
        <w:t xml:space="preserve">[(3) </w:t>
      </w:r>
      <w:r w:rsidRPr="00412620">
        <w:rPr>
          <w:sz w:val="20"/>
        </w:rPr>
        <w:tab/>
        <w:t>The advance tax collected under sub-section (1) shall be adjustable.]</w:t>
      </w:r>
    </w:p>
    <w:p w:rsidR="00D80787" w:rsidRPr="00193748" w:rsidRDefault="00D80787" w:rsidP="00D80787">
      <w:pPr>
        <w:jc w:val="both"/>
        <w:rPr>
          <w:sz w:val="16"/>
        </w:rPr>
      </w:pPr>
    </w:p>
    <w:p w:rsidR="00193748" w:rsidRDefault="00193748" w:rsidP="00B7110F">
      <w:pPr>
        <w:rPr>
          <w:sz w:val="20"/>
        </w:rPr>
      </w:pPr>
      <w:r>
        <w:rPr>
          <w:sz w:val="20"/>
        </w:rPr>
        <w:tab/>
      </w:r>
    </w:p>
    <w:p w:rsidR="00B7110F" w:rsidRPr="00FB1860" w:rsidRDefault="00193748" w:rsidP="00193748">
      <w:pPr>
        <w:ind w:firstLine="547"/>
        <w:rPr>
          <w:color w:val="000000" w:themeColor="text1"/>
          <w:sz w:val="20"/>
        </w:rPr>
      </w:pPr>
      <w:r w:rsidRPr="00FB1860">
        <w:rPr>
          <w:rStyle w:val="FootnoteReference"/>
          <w:color w:val="000000" w:themeColor="text1"/>
          <w:sz w:val="20"/>
        </w:rPr>
        <w:footnoteReference w:id="1508"/>
      </w:r>
      <w:r w:rsidRPr="00FB1860">
        <w:rPr>
          <w:color w:val="000000" w:themeColor="text1"/>
          <w:sz w:val="20"/>
        </w:rPr>
        <w:t>[     ]</w:t>
      </w:r>
    </w:p>
    <w:p w:rsidR="00193748" w:rsidRDefault="00193748" w:rsidP="00926B01">
      <w:pPr>
        <w:jc w:val="both"/>
        <w:rPr>
          <w:sz w:val="20"/>
        </w:rPr>
      </w:pPr>
    </w:p>
    <w:p w:rsidR="00926B01" w:rsidRPr="0025429F" w:rsidRDefault="00C54411" w:rsidP="00926B01">
      <w:pPr>
        <w:jc w:val="both"/>
        <w:rPr>
          <w:color w:val="FF0000"/>
          <w:sz w:val="20"/>
        </w:rPr>
      </w:pPr>
      <w:r w:rsidRPr="00412620">
        <w:rPr>
          <w:rStyle w:val="FootnoteReference"/>
          <w:sz w:val="20"/>
        </w:rPr>
        <w:footnoteReference w:id="1509"/>
      </w:r>
      <w:r w:rsidR="00926B01" w:rsidRPr="00412620">
        <w:rPr>
          <w:sz w:val="20"/>
        </w:rPr>
        <w:t>[</w:t>
      </w:r>
      <w:r w:rsidR="00926B01" w:rsidRPr="00412620">
        <w:rPr>
          <w:b/>
          <w:bCs/>
          <w:sz w:val="20"/>
        </w:rPr>
        <w:t>236C. Advance Tax on sale or transfer of immovable Property.</w:t>
      </w:r>
      <w:r w:rsidR="00E019CF" w:rsidRPr="00412620">
        <w:rPr>
          <w:rFonts w:cs="Arial"/>
          <w:b/>
          <w:bCs/>
          <w:sz w:val="20"/>
        </w:rPr>
        <w:t>—</w:t>
      </w:r>
      <w:r w:rsidR="00926B01" w:rsidRPr="00412620">
        <w:rPr>
          <w:sz w:val="20"/>
        </w:rPr>
        <w:t xml:space="preserve">(1) Any person responsible for registering or attesting transfer of any immovable property shall at the time of registering or attesting the transfer shall collect from the seller or transferor advance tax at </w:t>
      </w:r>
      <w:r w:rsidR="00A355D8">
        <w:rPr>
          <w:sz w:val="20"/>
        </w:rPr>
        <w:t>t</w:t>
      </w:r>
      <w:r w:rsidR="00D4799A" w:rsidRPr="00412620">
        <w:rPr>
          <w:sz w:val="20"/>
        </w:rPr>
        <w:t>he</w:t>
      </w:r>
      <w:r w:rsidR="00926B01" w:rsidRPr="00412620">
        <w:rPr>
          <w:sz w:val="20"/>
        </w:rPr>
        <w:t xml:space="preserve"> rate specified in Division X o</w:t>
      </w:r>
      <w:r w:rsidR="0025429F">
        <w:rPr>
          <w:sz w:val="20"/>
        </w:rPr>
        <w:t xml:space="preserve">f Part IV of the First Schedule </w:t>
      </w:r>
      <w:r w:rsidR="0025429F" w:rsidRPr="00D41075">
        <w:rPr>
          <w:rStyle w:val="FootnoteReference"/>
          <w:rFonts w:cs="Arial"/>
          <w:color w:val="FF0000"/>
          <w:sz w:val="20"/>
        </w:rPr>
        <w:footnoteReference w:id="1510"/>
      </w:r>
      <w:r w:rsidR="0025429F" w:rsidRPr="0025429F">
        <w:rPr>
          <w:color w:val="FF0000"/>
          <w:sz w:val="20"/>
        </w:rPr>
        <w:t>[:]</w:t>
      </w:r>
    </w:p>
    <w:p w:rsidR="0025429F" w:rsidRDefault="0025429F" w:rsidP="00926B01">
      <w:pPr>
        <w:jc w:val="both"/>
        <w:rPr>
          <w:sz w:val="20"/>
        </w:rPr>
      </w:pPr>
    </w:p>
    <w:p w:rsidR="0025429F" w:rsidRPr="00412620" w:rsidRDefault="0025429F" w:rsidP="0025429F">
      <w:pPr>
        <w:ind w:firstLine="547"/>
        <w:jc w:val="both"/>
        <w:rPr>
          <w:sz w:val="20"/>
        </w:rPr>
      </w:pPr>
      <w:r w:rsidRPr="00D41075">
        <w:rPr>
          <w:rStyle w:val="FootnoteReference"/>
          <w:rFonts w:cs="Arial"/>
          <w:color w:val="FF0000"/>
          <w:sz w:val="20"/>
        </w:rPr>
        <w:footnoteReference w:id="1511"/>
      </w:r>
      <w:r w:rsidRPr="00EA5546">
        <w:rPr>
          <w:rFonts w:cs="Arial"/>
          <w:color w:val="FF0000"/>
          <w:sz w:val="20"/>
        </w:rPr>
        <w:t>[“Provided that this s</w:t>
      </w:r>
      <w:r w:rsidRPr="00EA5546">
        <w:rPr>
          <w:rFonts w:cs="Arial"/>
          <w:snapToGrid w:val="0"/>
          <w:color w:val="FF0000"/>
          <w:sz w:val="20"/>
        </w:rPr>
        <w:t xml:space="preserve">ub-section shall not apply to a seller, being the dependant of a </w:t>
      </w:r>
      <w:r w:rsidRPr="00EA5546">
        <w:rPr>
          <w:rFonts w:cs="Arial"/>
          <w:i/>
          <w:iCs/>
          <w:snapToGrid w:val="0"/>
          <w:color w:val="FF0000"/>
          <w:sz w:val="20"/>
        </w:rPr>
        <w:t>Shaheed</w:t>
      </w:r>
      <w:r w:rsidRPr="00EA5546">
        <w:rPr>
          <w:rFonts w:cs="Arial"/>
          <w:snapToGrid w:val="0"/>
          <w:color w:val="FF0000"/>
          <w:sz w:val="20"/>
        </w:rPr>
        <w:t xml:space="preserve"> belonging to Pakistan Armed Forces or a person who </w:t>
      </w:r>
      <w:r w:rsidRPr="00EA5546">
        <w:rPr>
          <w:rFonts w:cs="Arial"/>
          <w:color w:val="FF0000"/>
          <w:sz w:val="20"/>
        </w:rPr>
        <w:t xml:space="preserve">dies while in the service of the </w:t>
      </w:r>
      <w:r w:rsidRPr="00EA5546">
        <w:rPr>
          <w:rFonts w:cs="Arial"/>
          <w:snapToGrid w:val="0"/>
          <w:color w:val="FF0000"/>
          <w:sz w:val="20"/>
        </w:rPr>
        <w:t xml:space="preserve">Pakistan Armed Forces or the service of  Federal or Provincial Government, in respect of first sale of immovable property acquired from or allotted by the Federal Government or Provincial Government or any authority duly certified by the official allotment authority, and the property acquired or allotted is in recognition of or for services rendered by the </w:t>
      </w:r>
      <w:r w:rsidRPr="00EA5546">
        <w:rPr>
          <w:rFonts w:cs="Arial"/>
          <w:i/>
          <w:snapToGrid w:val="0"/>
          <w:color w:val="FF0000"/>
          <w:sz w:val="20"/>
        </w:rPr>
        <w:t>Shaheed</w:t>
      </w:r>
      <w:r w:rsidRPr="00EA5546">
        <w:rPr>
          <w:rFonts w:cs="Arial"/>
          <w:snapToGrid w:val="0"/>
          <w:color w:val="FF0000"/>
          <w:sz w:val="20"/>
        </w:rPr>
        <w:t xml:space="preserve"> or the person who dies in service.”</w:t>
      </w:r>
      <w:r>
        <w:rPr>
          <w:rFonts w:cs="Arial"/>
          <w:snapToGrid w:val="0"/>
          <w:color w:val="FF0000"/>
          <w:sz w:val="20"/>
        </w:rPr>
        <w:t>]</w:t>
      </w:r>
    </w:p>
    <w:p w:rsidR="00C062D0" w:rsidRPr="00412620" w:rsidRDefault="00C062D0" w:rsidP="00926B01">
      <w:pPr>
        <w:jc w:val="both"/>
        <w:rPr>
          <w:sz w:val="20"/>
        </w:rPr>
      </w:pPr>
    </w:p>
    <w:p w:rsidR="00926B01" w:rsidRPr="00412620" w:rsidRDefault="00727B7F" w:rsidP="00727B7F">
      <w:pPr>
        <w:jc w:val="both"/>
        <w:rPr>
          <w:sz w:val="20"/>
        </w:rPr>
      </w:pPr>
      <w:r w:rsidRPr="00412620">
        <w:rPr>
          <w:sz w:val="20"/>
        </w:rPr>
        <w:tab/>
        <w:t xml:space="preserve">(2) </w:t>
      </w:r>
      <w:r w:rsidR="00C062D0" w:rsidRPr="00412620">
        <w:rPr>
          <w:sz w:val="20"/>
        </w:rPr>
        <w:tab/>
      </w:r>
      <w:r w:rsidR="00926B01" w:rsidRPr="00412620">
        <w:rPr>
          <w:sz w:val="20"/>
        </w:rPr>
        <w:t xml:space="preserve">The Advance tax collected under sub-section (1) shall be adjustable. </w:t>
      </w:r>
    </w:p>
    <w:p w:rsidR="00727B7F" w:rsidRPr="00412620" w:rsidRDefault="00727B7F" w:rsidP="00926B01">
      <w:pPr>
        <w:rPr>
          <w:sz w:val="20"/>
        </w:rPr>
      </w:pPr>
    </w:p>
    <w:p w:rsidR="00DC637A" w:rsidRPr="00FB1860" w:rsidRDefault="00727B7F" w:rsidP="00727B7F">
      <w:pPr>
        <w:jc w:val="both"/>
        <w:rPr>
          <w:color w:val="000000" w:themeColor="text1"/>
          <w:sz w:val="20"/>
        </w:rPr>
      </w:pPr>
      <w:r w:rsidRPr="00412620">
        <w:rPr>
          <w:sz w:val="20"/>
        </w:rPr>
        <w:tab/>
      </w:r>
      <w:r w:rsidR="007B06E8" w:rsidRPr="00FB1860">
        <w:rPr>
          <w:rStyle w:val="FootnoteReference"/>
          <w:color w:val="000000" w:themeColor="text1"/>
          <w:sz w:val="20"/>
        </w:rPr>
        <w:footnoteReference w:id="1512"/>
      </w:r>
      <w:r w:rsidR="007B06E8" w:rsidRPr="00FB1860">
        <w:rPr>
          <w:color w:val="000000" w:themeColor="text1"/>
          <w:sz w:val="20"/>
        </w:rPr>
        <w:t>[   ]</w:t>
      </w:r>
      <w:r w:rsidR="00A355D8" w:rsidRPr="00FB1860">
        <w:rPr>
          <w:color w:val="000000" w:themeColor="text1"/>
          <w:sz w:val="20"/>
        </w:rPr>
        <w:tab/>
      </w:r>
    </w:p>
    <w:p w:rsidR="007B06E8" w:rsidRDefault="007B06E8" w:rsidP="00727B7F">
      <w:pPr>
        <w:jc w:val="both"/>
        <w:rPr>
          <w:sz w:val="20"/>
        </w:rPr>
      </w:pPr>
    </w:p>
    <w:p w:rsidR="00932217" w:rsidRPr="0009763F" w:rsidRDefault="00932217" w:rsidP="00932217">
      <w:pPr>
        <w:ind w:firstLine="547"/>
        <w:jc w:val="both"/>
        <w:rPr>
          <w:color w:val="0070C0"/>
          <w:sz w:val="20"/>
        </w:rPr>
      </w:pPr>
      <w:r w:rsidRPr="0009763F">
        <w:rPr>
          <w:rStyle w:val="FootnoteReference"/>
          <w:rFonts w:cs="Arial"/>
          <w:color w:val="0070C0"/>
          <w:sz w:val="20"/>
        </w:rPr>
        <w:lastRenderedPageBreak/>
        <w:footnoteReference w:id="1513"/>
      </w:r>
      <w:r w:rsidRPr="0009763F">
        <w:rPr>
          <w:rFonts w:cs="Arial"/>
          <w:color w:val="0070C0"/>
          <w:sz w:val="20"/>
        </w:rPr>
        <w:t xml:space="preserve">[“(3) Advance tax under sub-section (1) shall not be collected if the immovable property is held for a period exceeding </w:t>
      </w:r>
      <w:r w:rsidR="0007197E" w:rsidRPr="00D41075">
        <w:rPr>
          <w:rStyle w:val="FootnoteReference"/>
          <w:rFonts w:cs="Arial"/>
          <w:color w:val="FF0000"/>
          <w:sz w:val="20"/>
        </w:rPr>
        <w:footnoteReference w:id="1514"/>
      </w:r>
      <w:r w:rsidR="0007197E" w:rsidRPr="0007197E">
        <w:rPr>
          <w:rFonts w:cs="Arial"/>
          <w:color w:val="FF0000"/>
          <w:sz w:val="20"/>
        </w:rPr>
        <w:t xml:space="preserve">[“three </w:t>
      </w:r>
      <w:r w:rsidRPr="0007197E">
        <w:rPr>
          <w:rFonts w:cs="Arial"/>
          <w:color w:val="FF0000"/>
          <w:sz w:val="20"/>
        </w:rPr>
        <w:t>years</w:t>
      </w:r>
      <w:r w:rsidR="0007197E" w:rsidRPr="0007197E">
        <w:rPr>
          <w:rFonts w:cs="Arial"/>
          <w:color w:val="FF0000"/>
          <w:sz w:val="20"/>
        </w:rPr>
        <w:t>”]</w:t>
      </w:r>
      <w:r w:rsidRPr="0009763F">
        <w:rPr>
          <w:rFonts w:cs="Arial"/>
          <w:color w:val="0070C0"/>
          <w:sz w:val="20"/>
        </w:rPr>
        <w:t>.”]</w:t>
      </w:r>
    </w:p>
    <w:p w:rsidR="00932217" w:rsidRDefault="00932217" w:rsidP="00727B7F">
      <w:pPr>
        <w:jc w:val="both"/>
        <w:rPr>
          <w:sz w:val="20"/>
        </w:rPr>
      </w:pPr>
    </w:p>
    <w:p w:rsidR="00F96B24" w:rsidRPr="008E2976" w:rsidRDefault="00C76DB7" w:rsidP="008E2976">
      <w:pPr>
        <w:ind w:firstLine="547"/>
        <w:jc w:val="both"/>
        <w:rPr>
          <w:sz w:val="16"/>
          <w:szCs w:val="16"/>
        </w:rPr>
      </w:pPr>
      <w:r w:rsidRPr="00D41075">
        <w:rPr>
          <w:rStyle w:val="FootnoteReference"/>
          <w:rFonts w:cs="Arial"/>
          <w:color w:val="FF0000"/>
          <w:sz w:val="20"/>
        </w:rPr>
        <w:footnoteReference w:id="1515"/>
      </w:r>
      <w:r w:rsidR="00F96B24" w:rsidRPr="009239C3">
        <w:rPr>
          <w:rFonts w:cs="Arial"/>
          <w:color w:val="FF0000"/>
          <w:sz w:val="20"/>
        </w:rPr>
        <w:t>[</w:t>
      </w:r>
      <w:r w:rsidR="008E2976">
        <w:rPr>
          <w:rFonts w:cs="Arial"/>
          <w:color w:val="FF0000"/>
          <w:sz w:val="20"/>
        </w:rPr>
        <w:t xml:space="preserve">  </w:t>
      </w:r>
      <w:r w:rsidR="008E2976">
        <w:rPr>
          <w:rStyle w:val="FootnoteReference"/>
          <w:rFonts w:cs="Arial"/>
          <w:color w:val="FF0000"/>
          <w:sz w:val="20"/>
        </w:rPr>
        <w:footnoteReference w:id="1516"/>
      </w:r>
      <w:r w:rsidR="008E2976">
        <w:rPr>
          <w:rFonts w:cs="Arial"/>
          <w:color w:val="FF0000"/>
          <w:sz w:val="20"/>
        </w:rPr>
        <w:t>[    ]   ]</w:t>
      </w:r>
    </w:p>
    <w:p w:rsidR="00F96B24" w:rsidRDefault="00F96B24" w:rsidP="00727B7F">
      <w:pPr>
        <w:jc w:val="both"/>
        <w:rPr>
          <w:sz w:val="20"/>
        </w:rPr>
      </w:pPr>
    </w:p>
    <w:p w:rsidR="00932217" w:rsidRPr="00E90274" w:rsidRDefault="00932217" w:rsidP="00727B7F">
      <w:pPr>
        <w:jc w:val="both"/>
        <w:rPr>
          <w:sz w:val="14"/>
        </w:rPr>
      </w:pPr>
    </w:p>
    <w:p w:rsidR="00DC637A" w:rsidRPr="00412620" w:rsidRDefault="00CE7473" w:rsidP="00727B7F">
      <w:pPr>
        <w:jc w:val="both"/>
        <w:rPr>
          <w:rFonts w:cs="Arial"/>
          <w:sz w:val="20"/>
        </w:rPr>
      </w:pPr>
      <w:r w:rsidRPr="00412620">
        <w:rPr>
          <w:rStyle w:val="FootnoteReference"/>
          <w:sz w:val="20"/>
        </w:rPr>
        <w:footnoteReference w:id="1517"/>
      </w:r>
      <w:r w:rsidR="00BD54F5" w:rsidRPr="00412620">
        <w:rPr>
          <w:sz w:val="20"/>
        </w:rPr>
        <w:t>[</w:t>
      </w:r>
      <w:r w:rsidR="00BD54F5" w:rsidRPr="00412620">
        <w:rPr>
          <w:b/>
          <w:sz w:val="20"/>
        </w:rPr>
        <w:t>236D. Advance tax on functions and gatherings.</w:t>
      </w:r>
      <w:r w:rsidR="00BD54F5" w:rsidRPr="00412620">
        <w:rPr>
          <w:rFonts w:cs="Arial"/>
          <w:sz w:val="20"/>
        </w:rPr>
        <w:t xml:space="preserve">— </w:t>
      </w:r>
      <w:r w:rsidR="001B5023" w:rsidRPr="00412620">
        <w:rPr>
          <w:rFonts w:cs="Arial"/>
          <w:sz w:val="20"/>
        </w:rPr>
        <w:t>(1) Every prescribed person shall collect advance tax at the rate specified in Division XI of Part IV of the First Schedule on the total amount of the bill from a person arranging or holding a function in a marriage hall, marquee, hotel, restaurant, commercial lawn, club, a community place or any other place used for such purpose.</w:t>
      </w:r>
    </w:p>
    <w:p w:rsidR="001B5023" w:rsidRPr="00412620" w:rsidRDefault="001B5023" w:rsidP="00727B7F">
      <w:pPr>
        <w:jc w:val="both"/>
        <w:rPr>
          <w:rFonts w:cs="Arial"/>
          <w:sz w:val="20"/>
        </w:rPr>
      </w:pPr>
    </w:p>
    <w:p w:rsidR="001B5023" w:rsidRPr="00412620" w:rsidRDefault="001B5023" w:rsidP="00727B7F">
      <w:pPr>
        <w:jc w:val="both"/>
        <w:rPr>
          <w:rFonts w:cs="Arial"/>
          <w:sz w:val="20"/>
        </w:rPr>
      </w:pPr>
      <w:r w:rsidRPr="00412620">
        <w:rPr>
          <w:rFonts w:cs="Arial"/>
          <w:sz w:val="20"/>
        </w:rPr>
        <w:tab/>
        <w:t xml:space="preserve">(2) </w:t>
      </w:r>
      <w:r w:rsidRPr="00412620">
        <w:rPr>
          <w:rFonts w:cs="Arial"/>
          <w:sz w:val="20"/>
        </w:rPr>
        <w:tab/>
        <w:t>Where the food, service or any other facility is provided by any other person, the prescribed person shall also collect advance tax on the payment for such food, service or facility at the rate specified in Division XI of Part IV of the First Schedule from the person arranging or holding the function.</w:t>
      </w:r>
    </w:p>
    <w:p w:rsidR="001B5023" w:rsidRPr="00412620" w:rsidRDefault="001B5023" w:rsidP="00727B7F">
      <w:pPr>
        <w:jc w:val="both"/>
        <w:rPr>
          <w:rFonts w:cs="Arial"/>
          <w:sz w:val="20"/>
        </w:rPr>
      </w:pPr>
    </w:p>
    <w:p w:rsidR="004327BC" w:rsidRPr="00412620" w:rsidRDefault="00837FD2" w:rsidP="004327BC">
      <w:pPr>
        <w:jc w:val="both"/>
        <w:rPr>
          <w:rFonts w:cs="Arial"/>
          <w:sz w:val="20"/>
        </w:rPr>
      </w:pPr>
      <w:r w:rsidRPr="00412620">
        <w:rPr>
          <w:rFonts w:cs="Arial"/>
          <w:sz w:val="20"/>
        </w:rPr>
        <w:tab/>
      </w:r>
      <w:r w:rsidR="001B5023" w:rsidRPr="00412620">
        <w:rPr>
          <w:rFonts w:cs="Arial"/>
          <w:sz w:val="20"/>
        </w:rPr>
        <w:t xml:space="preserve">(3) </w:t>
      </w:r>
      <w:r w:rsidR="001B5023" w:rsidRPr="00412620">
        <w:rPr>
          <w:rFonts w:cs="Arial"/>
          <w:sz w:val="20"/>
        </w:rPr>
        <w:tab/>
        <w:t xml:space="preserve">The advance tax collected under sub-section (1) and sub-section (2) shall be adjustable. </w:t>
      </w:r>
    </w:p>
    <w:p w:rsidR="00837FD2" w:rsidRPr="00412620" w:rsidRDefault="00837FD2" w:rsidP="004327BC">
      <w:pPr>
        <w:jc w:val="both"/>
        <w:rPr>
          <w:rFonts w:cs="Arial"/>
          <w:sz w:val="20"/>
        </w:rPr>
      </w:pPr>
    </w:p>
    <w:p w:rsidR="00837FD2" w:rsidRPr="00412620" w:rsidRDefault="006B42E3" w:rsidP="006B42E3">
      <w:pPr>
        <w:jc w:val="both"/>
        <w:rPr>
          <w:rFonts w:cs="Arial"/>
          <w:sz w:val="20"/>
        </w:rPr>
      </w:pPr>
      <w:r w:rsidRPr="00412620">
        <w:rPr>
          <w:rFonts w:cs="Arial"/>
          <w:sz w:val="20"/>
        </w:rPr>
        <w:tab/>
        <w:t xml:space="preserve">(4)  </w:t>
      </w:r>
      <w:r w:rsidRPr="00412620">
        <w:rPr>
          <w:rFonts w:cs="Arial"/>
          <w:sz w:val="20"/>
        </w:rPr>
        <w:tab/>
        <w:t>In this section,—</w:t>
      </w:r>
    </w:p>
    <w:p w:rsidR="00837FD2" w:rsidRPr="00412620" w:rsidRDefault="00837FD2" w:rsidP="004327BC">
      <w:pPr>
        <w:jc w:val="both"/>
        <w:rPr>
          <w:rFonts w:cs="Arial"/>
          <w:sz w:val="20"/>
        </w:rPr>
      </w:pPr>
    </w:p>
    <w:p w:rsidR="006B42E3" w:rsidRPr="00412620" w:rsidRDefault="006B42E3" w:rsidP="006B42E3">
      <w:pPr>
        <w:ind w:left="1641" w:hanging="546"/>
        <w:jc w:val="both"/>
        <w:rPr>
          <w:rFonts w:cs="Arial"/>
          <w:sz w:val="20"/>
        </w:rPr>
      </w:pPr>
      <w:r w:rsidRPr="00412620">
        <w:rPr>
          <w:rFonts w:cs="Arial"/>
          <w:sz w:val="20"/>
        </w:rPr>
        <w:t xml:space="preserve">(a) </w:t>
      </w:r>
      <w:r w:rsidRPr="00412620">
        <w:rPr>
          <w:rFonts w:cs="Arial"/>
          <w:sz w:val="20"/>
        </w:rPr>
        <w:tab/>
        <w:t xml:space="preserve">“function” includes any wedding related event, a seminar, a workshop, a session, an exhibition, a concert, a show, a party or any other gathering held for such purpose; and </w:t>
      </w:r>
    </w:p>
    <w:p w:rsidR="006B42E3" w:rsidRPr="00412620" w:rsidRDefault="006B42E3" w:rsidP="004327BC">
      <w:pPr>
        <w:jc w:val="both"/>
        <w:rPr>
          <w:rFonts w:cs="Arial"/>
          <w:sz w:val="20"/>
        </w:rPr>
      </w:pPr>
    </w:p>
    <w:p w:rsidR="001B5023" w:rsidRPr="00412620" w:rsidRDefault="006B42E3" w:rsidP="004E7C0C">
      <w:pPr>
        <w:ind w:left="1641" w:hanging="546"/>
        <w:jc w:val="both"/>
        <w:rPr>
          <w:rFonts w:cs="Arial"/>
          <w:sz w:val="20"/>
        </w:rPr>
      </w:pPr>
      <w:r w:rsidRPr="00412620">
        <w:rPr>
          <w:rFonts w:cs="Arial"/>
          <w:sz w:val="20"/>
        </w:rPr>
        <w:t xml:space="preserve">(b) </w:t>
      </w:r>
      <w:r w:rsidRPr="00412620">
        <w:rPr>
          <w:rFonts w:cs="Arial"/>
          <w:sz w:val="20"/>
        </w:rPr>
        <w:tab/>
        <w:t>“prescribed person” includes the own</w:t>
      </w:r>
      <w:r w:rsidR="00F17B3F">
        <w:rPr>
          <w:rFonts w:cs="Arial"/>
          <w:sz w:val="20"/>
        </w:rPr>
        <w:t>er, a lease-holder, an operator</w:t>
      </w:r>
      <w:r w:rsidRPr="00412620">
        <w:rPr>
          <w:rFonts w:cs="Arial"/>
          <w:sz w:val="20"/>
        </w:rPr>
        <w:t xml:space="preserve"> or a manager of a marriage hall, marquee, hotel, </w:t>
      </w:r>
      <w:r w:rsidR="004E7C0C" w:rsidRPr="00412620">
        <w:rPr>
          <w:rFonts w:cs="Arial"/>
          <w:sz w:val="20"/>
        </w:rPr>
        <w:t>restaurant, commercial lawn, club, a community place or any other place used for such purpose.]</w:t>
      </w:r>
    </w:p>
    <w:p w:rsidR="001B5023" w:rsidRPr="00412620" w:rsidRDefault="001B5023" w:rsidP="001B5023">
      <w:pPr>
        <w:jc w:val="both"/>
        <w:rPr>
          <w:rFonts w:cs="Arial"/>
          <w:sz w:val="20"/>
        </w:rPr>
      </w:pPr>
    </w:p>
    <w:p w:rsidR="00291318" w:rsidRPr="00412620" w:rsidRDefault="00291318" w:rsidP="00676069">
      <w:pPr>
        <w:jc w:val="both"/>
        <w:rPr>
          <w:rFonts w:cs="Arial"/>
          <w:sz w:val="20"/>
        </w:rPr>
      </w:pPr>
      <w:r w:rsidRPr="00412620">
        <w:rPr>
          <w:rFonts w:cs="Arial"/>
          <w:sz w:val="20"/>
        </w:rPr>
        <w:tab/>
      </w:r>
      <w:r w:rsidR="00CE7473" w:rsidRPr="00412620">
        <w:rPr>
          <w:rStyle w:val="FootnoteReference"/>
          <w:sz w:val="20"/>
        </w:rPr>
        <w:footnoteReference w:id="1518"/>
      </w:r>
      <w:r w:rsidRPr="00412620">
        <w:rPr>
          <w:rFonts w:cs="Arial"/>
          <w:sz w:val="20"/>
        </w:rPr>
        <w:t>[</w:t>
      </w:r>
      <w:r w:rsidR="00676069">
        <w:rPr>
          <w:rFonts w:cs="Arial"/>
          <w:sz w:val="20"/>
        </w:rPr>
        <w:t xml:space="preserve"> </w:t>
      </w:r>
      <w:r w:rsidR="00676069" w:rsidRPr="0009763F">
        <w:rPr>
          <w:rStyle w:val="FootnoteReference"/>
          <w:rFonts w:cs="Arial"/>
          <w:color w:val="0070C0"/>
          <w:sz w:val="20"/>
        </w:rPr>
        <w:footnoteReference w:id="1519"/>
      </w:r>
      <w:r w:rsidR="00676069" w:rsidRPr="0009763F">
        <w:rPr>
          <w:rFonts w:cs="Arial"/>
          <w:color w:val="0070C0"/>
          <w:sz w:val="20"/>
        </w:rPr>
        <w:t>[   ]</w:t>
      </w:r>
      <w:r w:rsidR="00676069">
        <w:rPr>
          <w:rFonts w:cs="Arial"/>
          <w:sz w:val="20"/>
        </w:rPr>
        <w:t xml:space="preserve"> ] </w:t>
      </w:r>
    </w:p>
    <w:p w:rsidR="00291318" w:rsidRPr="00412620" w:rsidRDefault="00291318" w:rsidP="001B5023">
      <w:pPr>
        <w:jc w:val="both"/>
        <w:rPr>
          <w:rFonts w:cs="Arial"/>
          <w:sz w:val="20"/>
        </w:rPr>
      </w:pPr>
    </w:p>
    <w:p w:rsidR="00291318" w:rsidRPr="00412620" w:rsidRDefault="00291318" w:rsidP="001B5023">
      <w:pPr>
        <w:jc w:val="both"/>
        <w:rPr>
          <w:rFonts w:cs="Arial"/>
          <w:sz w:val="20"/>
        </w:rPr>
      </w:pPr>
      <w:r w:rsidRPr="00412620">
        <w:rPr>
          <w:rFonts w:cs="Arial"/>
          <w:sz w:val="20"/>
        </w:rPr>
        <w:tab/>
      </w:r>
      <w:r w:rsidR="00CE7473" w:rsidRPr="00412620">
        <w:rPr>
          <w:rStyle w:val="FootnoteReference"/>
          <w:sz w:val="20"/>
        </w:rPr>
        <w:footnoteReference w:id="1520"/>
      </w:r>
      <w:r w:rsidRPr="00412620">
        <w:rPr>
          <w:rFonts w:cs="Arial"/>
          <w:sz w:val="20"/>
        </w:rPr>
        <w:t>[</w:t>
      </w:r>
      <w:r w:rsidRPr="00412620">
        <w:rPr>
          <w:rFonts w:cs="Arial"/>
          <w:b/>
          <w:sz w:val="20"/>
        </w:rPr>
        <w:t xml:space="preserve">236F. Advance tax on cable operators and other electronic media.— </w:t>
      </w:r>
      <w:r w:rsidRPr="00412620">
        <w:rPr>
          <w:rFonts w:cs="Arial"/>
          <w:sz w:val="20"/>
        </w:rPr>
        <w:t xml:space="preserve">(1) Pakistan Electronic Media Regulatory Authority, at the time of issuance of licence for distribution services or renewal of the licence to a licencee, shall collect advance tax at the rates specified in Division XIII of Part IV of the First Schedule. </w:t>
      </w:r>
    </w:p>
    <w:p w:rsidR="00B4419D" w:rsidRPr="00412620" w:rsidRDefault="00B4419D" w:rsidP="001B5023">
      <w:pPr>
        <w:jc w:val="both"/>
        <w:rPr>
          <w:rFonts w:cs="Arial"/>
          <w:sz w:val="20"/>
        </w:rPr>
      </w:pPr>
    </w:p>
    <w:p w:rsidR="00B4419D" w:rsidRPr="00412620" w:rsidRDefault="00B4419D" w:rsidP="001B5023">
      <w:pPr>
        <w:jc w:val="both"/>
        <w:rPr>
          <w:rFonts w:cs="Arial"/>
          <w:sz w:val="20"/>
        </w:rPr>
      </w:pPr>
      <w:r w:rsidRPr="00412620">
        <w:rPr>
          <w:rFonts w:cs="Arial"/>
          <w:sz w:val="20"/>
        </w:rPr>
        <w:tab/>
        <w:t xml:space="preserve">(2) </w:t>
      </w:r>
      <w:r w:rsidRPr="00412620">
        <w:rPr>
          <w:rFonts w:cs="Arial"/>
          <w:sz w:val="20"/>
        </w:rPr>
        <w:tab/>
        <w:t>The tax collected under sub-section (1) shall be adjustable.</w:t>
      </w:r>
    </w:p>
    <w:p w:rsidR="00B4419D" w:rsidRPr="00412620" w:rsidRDefault="00B4419D" w:rsidP="001B5023">
      <w:pPr>
        <w:jc w:val="both"/>
        <w:rPr>
          <w:rFonts w:cs="Arial"/>
          <w:sz w:val="20"/>
        </w:rPr>
      </w:pPr>
    </w:p>
    <w:p w:rsidR="00B4419D" w:rsidRPr="00412620" w:rsidRDefault="00B4419D" w:rsidP="001B5023">
      <w:pPr>
        <w:jc w:val="both"/>
        <w:rPr>
          <w:rFonts w:cs="Arial"/>
          <w:sz w:val="20"/>
        </w:rPr>
      </w:pPr>
      <w:r w:rsidRPr="00412620">
        <w:rPr>
          <w:rFonts w:cs="Arial"/>
          <w:sz w:val="20"/>
        </w:rPr>
        <w:tab/>
        <w:t xml:space="preserve">(3) </w:t>
      </w:r>
      <w:r w:rsidRPr="00412620">
        <w:rPr>
          <w:rFonts w:cs="Arial"/>
          <w:sz w:val="20"/>
        </w:rPr>
        <w:tab/>
        <w:t>For the purpose of this section, “cable television operator” “DTH”, “Distribution Service”, “electronic media”, “IPTV”, “loop holder”, “MMDS”, “mobile TV”, shall have the same meanings as defined in Pakistan Electronic Media Regulatory Authority Ordinance, 2002 (XIII of 2002) and rules made thereunder.]</w:t>
      </w:r>
    </w:p>
    <w:p w:rsidR="00B4419D" w:rsidRPr="00412620" w:rsidRDefault="00B4419D" w:rsidP="001B5023">
      <w:pPr>
        <w:jc w:val="both"/>
        <w:rPr>
          <w:rFonts w:cs="Arial"/>
          <w:sz w:val="20"/>
        </w:rPr>
      </w:pPr>
    </w:p>
    <w:p w:rsidR="00B4419D" w:rsidRPr="00412620" w:rsidRDefault="00775567" w:rsidP="001B5023">
      <w:pPr>
        <w:jc w:val="both"/>
        <w:rPr>
          <w:rFonts w:cs="Arial"/>
          <w:sz w:val="20"/>
        </w:rPr>
      </w:pPr>
      <w:r w:rsidRPr="00412620">
        <w:rPr>
          <w:rFonts w:cs="Arial"/>
          <w:sz w:val="20"/>
        </w:rPr>
        <w:tab/>
      </w:r>
      <w:r w:rsidR="00CE7473" w:rsidRPr="00412620">
        <w:rPr>
          <w:rStyle w:val="FootnoteReference"/>
          <w:sz w:val="20"/>
        </w:rPr>
        <w:footnoteReference w:id="1521"/>
      </w:r>
      <w:r w:rsidRPr="00412620">
        <w:rPr>
          <w:rFonts w:cs="Arial"/>
          <w:sz w:val="20"/>
        </w:rPr>
        <w:t>[</w:t>
      </w:r>
      <w:r w:rsidRPr="00412620">
        <w:rPr>
          <w:rFonts w:cs="Arial"/>
          <w:b/>
          <w:sz w:val="20"/>
        </w:rPr>
        <w:t>236G. Advance tax on sales to distributors, dealers and wholesalers.</w:t>
      </w:r>
      <w:r w:rsidRPr="00412620">
        <w:rPr>
          <w:rFonts w:cs="Arial"/>
          <w:sz w:val="20"/>
        </w:rPr>
        <w:t xml:space="preserve">— (1) Every </w:t>
      </w:r>
      <w:r w:rsidR="000109EA" w:rsidRPr="00412620">
        <w:rPr>
          <w:rFonts w:cs="Arial"/>
          <w:sz w:val="20"/>
        </w:rPr>
        <w:t>manufacturer or commercial importer of electronics, sugar, cement, iron and steel products, fertilizer, motorcycles, pesticides, cigarettes, glass, textile, beverages, paint or foam sector, at the time of sale to distributors, dealers and wholesalers, shall collect advance tax at the rate specified in Division XIV of Part IV of the First Schedule, from the aforesaid person to whom such sales have been made.</w:t>
      </w:r>
    </w:p>
    <w:p w:rsidR="000109EA" w:rsidRPr="00412620" w:rsidRDefault="000109EA" w:rsidP="001B5023">
      <w:pPr>
        <w:jc w:val="both"/>
        <w:rPr>
          <w:rFonts w:cs="Arial"/>
          <w:sz w:val="20"/>
        </w:rPr>
      </w:pPr>
    </w:p>
    <w:p w:rsidR="000109EA" w:rsidRPr="00412620" w:rsidRDefault="000109EA" w:rsidP="001B5023">
      <w:pPr>
        <w:jc w:val="both"/>
        <w:rPr>
          <w:rFonts w:cs="Arial"/>
          <w:sz w:val="20"/>
        </w:rPr>
      </w:pPr>
      <w:r w:rsidRPr="00412620">
        <w:rPr>
          <w:rFonts w:cs="Arial"/>
          <w:sz w:val="20"/>
        </w:rPr>
        <w:tab/>
        <w:t xml:space="preserve">(2) </w:t>
      </w:r>
      <w:r w:rsidRPr="00412620">
        <w:rPr>
          <w:rFonts w:cs="Arial"/>
          <w:sz w:val="20"/>
        </w:rPr>
        <w:tab/>
        <w:t>Credit for tax collected under sub-section (1) shall be allowed in computing the tax due by the distributor, dealer or wholesaler on the taxable income for the tax year in which the tax was co</w:t>
      </w:r>
      <w:r w:rsidR="004542C3" w:rsidRPr="00412620">
        <w:rPr>
          <w:rFonts w:cs="Arial"/>
          <w:sz w:val="20"/>
        </w:rPr>
        <w:t>llected.]</w:t>
      </w:r>
    </w:p>
    <w:p w:rsidR="000109EA" w:rsidRPr="00412620" w:rsidRDefault="000109EA" w:rsidP="001B5023">
      <w:pPr>
        <w:jc w:val="both"/>
        <w:rPr>
          <w:rFonts w:cs="Arial"/>
          <w:sz w:val="20"/>
        </w:rPr>
      </w:pPr>
    </w:p>
    <w:p w:rsidR="004542C3" w:rsidRPr="00412620" w:rsidRDefault="004542C3" w:rsidP="001B5023">
      <w:pPr>
        <w:jc w:val="both"/>
        <w:rPr>
          <w:rFonts w:cs="Arial"/>
          <w:sz w:val="20"/>
        </w:rPr>
      </w:pPr>
      <w:r w:rsidRPr="00412620">
        <w:rPr>
          <w:rFonts w:cs="Arial"/>
          <w:sz w:val="20"/>
        </w:rPr>
        <w:tab/>
      </w:r>
      <w:r w:rsidR="00CE7473" w:rsidRPr="00412620">
        <w:rPr>
          <w:rStyle w:val="FootnoteReference"/>
          <w:sz w:val="20"/>
        </w:rPr>
        <w:footnoteReference w:id="1522"/>
      </w:r>
      <w:r w:rsidRPr="00412620">
        <w:rPr>
          <w:rFonts w:cs="Arial"/>
          <w:sz w:val="20"/>
        </w:rPr>
        <w:t>[</w:t>
      </w:r>
      <w:r w:rsidRPr="00412620">
        <w:rPr>
          <w:rFonts w:cs="Arial"/>
          <w:b/>
          <w:sz w:val="20"/>
        </w:rPr>
        <w:t>236H. Advance tax on sales to retailers.</w:t>
      </w:r>
      <w:r w:rsidRPr="00412620">
        <w:rPr>
          <w:rFonts w:cs="Arial"/>
          <w:sz w:val="20"/>
        </w:rPr>
        <w:t xml:space="preserve">— (1) Every manufacturer, distributor, dealer, wholesaler or commercial importer of electronics, sugar, cement, iron and steel products, </w:t>
      </w:r>
      <w:r w:rsidR="008F34EC">
        <w:rPr>
          <w:rStyle w:val="FootnoteReference"/>
          <w:rFonts w:cs="Arial"/>
          <w:sz w:val="20"/>
        </w:rPr>
        <w:footnoteReference w:id="1523"/>
      </w:r>
      <w:r w:rsidR="008F34EC" w:rsidRPr="008F34EC">
        <w:rPr>
          <w:rFonts w:cs="Arial"/>
          <w:color w:val="984806" w:themeColor="accent6" w:themeShade="80"/>
          <w:sz w:val="20"/>
        </w:rPr>
        <w:t>[  ]</w:t>
      </w:r>
      <w:r w:rsidR="0009763F">
        <w:rPr>
          <w:rFonts w:cs="Arial"/>
          <w:color w:val="984806" w:themeColor="accent6" w:themeShade="80"/>
          <w:sz w:val="20"/>
        </w:rPr>
        <w:t xml:space="preserve"> </w:t>
      </w:r>
      <w:r w:rsidRPr="00412620">
        <w:rPr>
          <w:rFonts w:cs="Arial"/>
          <w:sz w:val="20"/>
        </w:rPr>
        <w:t>motorcycles, pesticides, cigarettes, glass, textile, beverages, paint or foam sector, at the time of sale to retailers</w:t>
      </w:r>
      <w:r w:rsidR="00FB1860">
        <w:rPr>
          <w:rFonts w:cs="Arial"/>
          <w:sz w:val="20"/>
        </w:rPr>
        <w:t xml:space="preserve"> </w:t>
      </w:r>
      <w:r w:rsidR="00475639" w:rsidRPr="00FB1860">
        <w:rPr>
          <w:rStyle w:val="FootnoteReference"/>
          <w:rFonts w:cs="Arial"/>
          <w:color w:val="000000" w:themeColor="text1"/>
          <w:sz w:val="20"/>
        </w:rPr>
        <w:footnoteReference w:id="1524"/>
      </w:r>
      <w:r w:rsidR="009B7AA3" w:rsidRPr="00FB1860">
        <w:rPr>
          <w:rFonts w:cs="Arial"/>
          <w:color w:val="000000" w:themeColor="text1"/>
          <w:sz w:val="20"/>
        </w:rPr>
        <w:t>[</w:t>
      </w:r>
      <w:r w:rsidR="00475639" w:rsidRPr="00FB1860">
        <w:rPr>
          <w:rFonts w:cs="Arial"/>
          <w:color w:val="000000" w:themeColor="text1"/>
          <w:sz w:val="20"/>
        </w:rPr>
        <w:t>“</w:t>
      </w:r>
      <w:r w:rsidR="009B7AA3" w:rsidRPr="00FB1860">
        <w:rPr>
          <w:rFonts w:cs="Arial"/>
          <w:color w:val="000000" w:themeColor="text1"/>
          <w:sz w:val="20"/>
        </w:rPr>
        <w:t>, and every distributor or dealer to another wholesaler in respect of the said sectors</w:t>
      </w:r>
      <w:r w:rsidR="00475639" w:rsidRPr="00FB1860">
        <w:rPr>
          <w:rFonts w:cs="Arial"/>
          <w:color w:val="000000" w:themeColor="text1"/>
          <w:sz w:val="20"/>
        </w:rPr>
        <w:t>”</w:t>
      </w:r>
      <w:r w:rsidR="009B7AA3" w:rsidRPr="00FB1860">
        <w:rPr>
          <w:rFonts w:cs="Arial"/>
          <w:color w:val="000000" w:themeColor="text1"/>
          <w:sz w:val="20"/>
        </w:rPr>
        <w:t>]</w:t>
      </w:r>
      <w:r w:rsidRPr="00FB1860">
        <w:rPr>
          <w:rFonts w:cs="Arial"/>
          <w:color w:val="000000" w:themeColor="text1"/>
          <w:sz w:val="20"/>
        </w:rPr>
        <w:t>,</w:t>
      </w:r>
      <w:r w:rsidRPr="00412620">
        <w:rPr>
          <w:rFonts w:cs="Arial"/>
          <w:sz w:val="20"/>
        </w:rPr>
        <w:t xml:space="preserve"> shall collect advance tax at the rate specified in Division XV of Part IV of the First Schedule, from the aforesaid person to whom such sales have been made. </w:t>
      </w:r>
    </w:p>
    <w:p w:rsidR="006011FB" w:rsidRPr="00412620" w:rsidRDefault="006011FB" w:rsidP="001B5023">
      <w:pPr>
        <w:jc w:val="both"/>
        <w:rPr>
          <w:rFonts w:cs="Arial"/>
          <w:sz w:val="20"/>
        </w:rPr>
      </w:pPr>
    </w:p>
    <w:p w:rsidR="006011FB" w:rsidRPr="00412620" w:rsidRDefault="006011FB" w:rsidP="001B5023">
      <w:pPr>
        <w:jc w:val="both"/>
        <w:rPr>
          <w:rFonts w:cs="Arial"/>
          <w:sz w:val="20"/>
        </w:rPr>
      </w:pPr>
      <w:r w:rsidRPr="00412620">
        <w:rPr>
          <w:rFonts w:cs="Arial"/>
          <w:sz w:val="20"/>
        </w:rPr>
        <w:tab/>
        <w:t xml:space="preserve">(2) </w:t>
      </w:r>
      <w:r w:rsidRPr="00412620">
        <w:rPr>
          <w:rFonts w:cs="Arial"/>
          <w:sz w:val="20"/>
        </w:rPr>
        <w:tab/>
        <w:t>Credit for the tax collected under sub-section (1) shall be allowed in computing the tax due by the retailer on the taxable income for the tax year in which the tax was collected.]</w:t>
      </w:r>
    </w:p>
    <w:p w:rsidR="006011FB" w:rsidRPr="00412620" w:rsidRDefault="006011FB" w:rsidP="001B5023">
      <w:pPr>
        <w:jc w:val="both"/>
        <w:rPr>
          <w:rFonts w:cs="Arial"/>
          <w:sz w:val="20"/>
        </w:rPr>
      </w:pPr>
    </w:p>
    <w:p w:rsidR="006011FB" w:rsidRPr="00412620" w:rsidRDefault="006011FB" w:rsidP="001B5023">
      <w:pPr>
        <w:jc w:val="both"/>
        <w:rPr>
          <w:rFonts w:cs="Arial"/>
          <w:sz w:val="20"/>
        </w:rPr>
      </w:pPr>
      <w:r w:rsidRPr="00412620">
        <w:rPr>
          <w:rFonts w:cs="Arial"/>
          <w:sz w:val="20"/>
        </w:rPr>
        <w:lastRenderedPageBreak/>
        <w:tab/>
      </w:r>
      <w:r w:rsidR="00CE7473" w:rsidRPr="00412620">
        <w:rPr>
          <w:rStyle w:val="FootnoteReference"/>
          <w:sz w:val="20"/>
        </w:rPr>
        <w:footnoteReference w:id="1525"/>
      </w:r>
      <w:r w:rsidRPr="00412620">
        <w:rPr>
          <w:rFonts w:cs="Arial"/>
          <w:sz w:val="20"/>
        </w:rPr>
        <w:t>[</w:t>
      </w:r>
      <w:r w:rsidRPr="00412620">
        <w:rPr>
          <w:rFonts w:cs="Arial"/>
          <w:b/>
          <w:sz w:val="20"/>
        </w:rPr>
        <w:t>236I. Collectio</w:t>
      </w:r>
      <w:r w:rsidR="00D16E34" w:rsidRPr="00412620">
        <w:rPr>
          <w:rFonts w:cs="Arial"/>
          <w:b/>
          <w:sz w:val="20"/>
        </w:rPr>
        <w:t>n of advance tax by educational institutions.</w:t>
      </w:r>
      <w:r w:rsidR="00D16E34" w:rsidRPr="00412620">
        <w:rPr>
          <w:rFonts w:cs="Arial"/>
          <w:sz w:val="20"/>
        </w:rPr>
        <w:t>— (1) There shall be collected advance tax at the rate specified in Division XVI of Part-IV of the First Schedule on the amount of fee paid to an educational institution.</w:t>
      </w:r>
    </w:p>
    <w:p w:rsidR="00D16E34" w:rsidRPr="00412620" w:rsidRDefault="00D16E34" w:rsidP="001B5023">
      <w:pPr>
        <w:jc w:val="both"/>
        <w:rPr>
          <w:rFonts w:cs="Arial"/>
          <w:sz w:val="20"/>
        </w:rPr>
      </w:pPr>
    </w:p>
    <w:p w:rsidR="00D16E34" w:rsidRPr="00412620" w:rsidRDefault="00D16E34" w:rsidP="001B5023">
      <w:pPr>
        <w:jc w:val="both"/>
        <w:rPr>
          <w:rFonts w:cs="Arial"/>
          <w:sz w:val="20"/>
        </w:rPr>
      </w:pPr>
      <w:r w:rsidRPr="00412620">
        <w:rPr>
          <w:rFonts w:cs="Arial"/>
          <w:sz w:val="20"/>
        </w:rPr>
        <w:tab/>
        <w:t xml:space="preserve">(2) </w:t>
      </w:r>
      <w:r w:rsidRPr="00412620">
        <w:rPr>
          <w:rFonts w:cs="Arial"/>
          <w:sz w:val="20"/>
        </w:rPr>
        <w:tab/>
        <w:t>The person preparing fee voucher or challan shall charge advance tax under sub-section (1) in the manner the fee is charged.</w:t>
      </w:r>
    </w:p>
    <w:p w:rsidR="00D16E34" w:rsidRPr="00412620" w:rsidRDefault="00D16E34" w:rsidP="001B5023">
      <w:pPr>
        <w:jc w:val="both"/>
        <w:rPr>
          <w:rFonts w:cs="Arial"/>
          <w:sz w:val="20"/>
        </w:rPr>
      </w:pPr>
    </w:p>
    <w:p w:rsidR="00D16E34" w:rsidRPr="00412620" w:rsidRDefault="00D16E34" w:rsidP="001B5023">
      <w:pPr>
        <w:jc w:val="both"/>
        <w:rPr>
          <w:rFonts w:cs="Arial"/>
          <w:sz w:val="20"/>
        </w:rPr>
      </w:pPr>
      <w:r w:rsidRPr="00412620">
        <w:rPr>
          <w:rFonts w:cs="Arial"/>
          <w:sz w:val="20"/>
        </w:rPr>
        <w:tab/>
        <w:t xml:space="preserve">(3) </w:t>
      </w:r>
      <w:r w:rsidRPr="00412620">
        <w:rPr>
          <w:rFonts w:cs="Arial"/>
          <w:sz w:val="20"/>
        </w:rPr>
        <w:tab/>
        <w:t xml:space="preserve">Advance </w:t>
      </w:r>
      <w:r w:rsidR="00310C8A" w:rsidRPr="00412620">
        <w:rPr>
          <w:rFonts w:cs="Arial"/>
          <w:sz w:val="20"/>
        </w:rPr>
        <w:t>tax under this section shall not be collected from a person where annual fee does not exceed two hundred thousand rupees.</w:t>
      </w:r>
    </w:p>
    <w:p w:rsidR="00310C8A" w:rsidRPr="00412620" w:rsidRDefault="00310C8A" w:rsidP="001B5023">
      <w:pPr>
        <w:jc w:val="both"/>
        <w:rPr>
          <w:rFonts w:cs="Arial"/>
          <w:sz w:val="20"/>
        </w:rPr>
      </w:pPr>
    </w:p>
    <w:p w:rsidR="00310C8A" w:rsidRPr="00412620" w:rsidRDefault="00310C8A" w:rsidP="001B5023">
      <w:pPr>
        <w:jc w:val="both"/>
        <w:rPr>
          <w:rFonts w:cs="Arial"/>
          <w:sz w:val="20"/>
        </w:rPr>
      </w:pPr>
      <w:r w:rsidRPr="00412620">
        <w:rPr>
          <w:rFonts w:cs="Arial"/>
          <w:sz w:val="20"/>
        </w:rPr>
        <w:tab/>
        <w:t xml:space="preserve">(4) </w:t>
      </w:r>
      <w:r w:rsidRPr="00412620">
        <w:rPr>
          <w:rFonts w:cs="Arial"/>
          <w:sz w:val="20"/>
        </w:rPr>
        <w:tab/>
        <w:t>The term “fee” includes, tuition fee and all charges received by the educational institution, by whatever name called, excluding the amount which is refundable.</w:t>
      </w:r>
    </w:p>
    <w:p w:rsidR="00310C8A" w:rsidRPr="00412620" w:rsidRDefault="00310C8A" w:rsidP="001B5023">
      <w:pPr>
        <w:jc w:val="both"/>
        <w:rPr>
          <w:rFonts w:cs="Arial"/>
          <w:sz w:val="20"/>
        </w:rPr>
      </w:pPr>
    </w:p>
    <w:p w:rsidR="00310C8A" w:rsidRDefault="00310C8A" w:rsidP="004C0FA0">
      <w:pPr>
        <w:pStyle w:val="ListParagraph"/>
        <w:numPr>
          <w:ilvl w:val="0"/>
          <w:numId w:val="58"/>
        </w:numPr>
        <w:ind w:left="0" w:firstLine="540"/>
        <w:jc w:val="both"/>
        <w:rPr>
          <w:rFonts w:cs="Arial"/>
          <w:sz w:val="20"/>
        </w:rPr>
      </w:pPr>
      <w:r w:rsidRPr="00475639">
        <w:rPr>
          <w:rFonts w:cs="Arial"/>
          <w:sz w:val="20"/>
        </w:rPr>
        <w:t>Tax collected under this section shall be adjustable against the tax liability of either of the parents or guardian making payment of the fee.]</w:t>
      </w:r>
    </w:p>
    <w:p w:rsidR="00475639" w:rsidRPr="00475639" w:rsidRDefault="00475639" w:rsidP="00475639">
      <w:pPr>
        <w:pStyle w:val="ListParagraph"/>
        <w:ind w:left="900"/>
        <w:jc w:val="both"/>
        <w:rPr>
          <w:rFonts w:cs="Arial"/>
          <w:sz w:val="20"/>
        </w:rPr>
      </w:pPr>
    </w:p>
    <w:p w:rsidR="00475639" w:rsidRPr="00FB1860" w:rsidRDefault="00475639" w:rsidP="00475639">
      <w:pPr>
        <w:autoSpaceDE w:val="0"/>
        <w:autoSpaceDN w:val="0"/>
        <w:adjustRightInd w:val="0"/>
        <w:jc w:val="both"/>
        <w:rPr>
          <w:rFonts w:cs="Arial"/>
          <w:color w:val="000000" w:themeColor="text1"/>
          <w:sz w:val="20"/>
          <w:lang w:val="en-US"/>
        </w:rPr>
      </w:pPr>
      <w:r>
        <w:rPr>
          <w:rFonts w:cs="Arial"/>
          <w:sz w:val="20"/>
        </w:rPr>
        <w:tab/>
      </w:r>
      <w:r w:rsidR="00BF036C" w:rsidRPr="00FB1860">
        <w:rPr>
          <w:rStyle w:val="FootnoteReference"/>
          <w:rFonts w:cs="Arial"/>
          <w:color w:val="000000" w:themeColor="text1"/>
          <w:sz w:val="20"/>
        </w:rPr>
        <w:footnoteReference w:id="1526"/>
      </w:r>
      <w:r w:rsidRPr="00FB1860">
        <w:rPr>
          <w:rFonts w:cs="Arial"/>
          <w:color w:val="000000" w:themeColor="text1"/>
          <w:sz w:val="20"/>
        </w:rPr>
        <w:t>[“</w:t>
      </w:r>
      <w:r w:rsidRPr="00FB1860">
        <w:rPr>
          <w:rFonts w:cs="Arial"/>
          <w:color w:val="000000" w:themeColor="text1"/>
          <w:sz w:val="20"/>
          <w:lang w:val="en-US"/>
        </w:rPr>
        <w:t xml:space="preserve">(6) </w:t>
      </w:r>
      <w:r w:rsidR="00E30FB1" w:rsidRPr="00FB1860">
        <w:rPr>
          <w:rFonts w:cs="Arial"/>
          <w:color w:val="000000" w:themeColor="text1"/>
          <w:sz w:val="20"/>
          <w:lang w:val="en-US"/>
        </w:rPr>
        <w:tab/>
      </w:r>
      <w:r w:rsidRPr="00FB1860">
        <w:rPr>
          <w:rFonts w:cs="Arial"/>
          <w:color w:val="000000" w:themeColor="text1"/>
          <w:sz w:val="20"/>
          <w:lang w:val="en-US"/>
        </w:rPr>
        <w:t>Advance tax under this section shall not be collected from a person who is a non-resident and,—</w:t>
      </w:r>
    </w:p>
    <w:p w:rsidR="00475639" w:rsidRPr="00E30FB1" w:rsidRDefault="00475639" w:rsidP="00475639">
      <w:pPr>
        <w:autoSpaceDE w:val="0"/>
        <w:autoSpaceDN w:val="0"/>
        <w:adjustRightInd w:val="0"/>
        <w:jc w:val="both"/>
        <w:rPr>
          <w:rFonts w:cs="Arial"/>
          <w:color w:val="984806" w:themeColor="accent6" w:themeShade="80"/>
          <w:sz w:val="20"/>
          <w:lang w:val="en-US"/>
        </w:rPr>
      </w:pPr>
    </w:p>
    <w:p w:rsidR="00475639" w:rsidRPr="00FB1860" w:rsidRDefault="00475639" w:rsidP="004C0FA0">
      <w:pPr>
        <w:pStyle w:val="ListParagraph"/>
        <w:numPr>
          <w:ilvl w:val="0"/>
          <w:numId w:val="61"/>
        </w:numPr>
        <w:autoSpaceDE w:val="0"/>
        <w:autoSpaceDN w:val="0"/>
        <w:adjustRightInd w:val="0"/>
        <w:jc w:val="both"/>
        <w:rPr>
          <w:rFonts w:cs="Arial"/>
          <w:color w:val="000000" w:themeColor="text1"/>
          <w:sz w:val="20"/>
          <w:lang w:val="en-US"/>
        </w:rPr>
      </w:pPr>
      <w:r w:rsidRPr="00FB1860">
        <w:rPr>
          <w:rFonts w:cs="Arial"/>
          <w:color w:val="000000" w:themeColor="text1"/>
          <w:sz w:val="20"/>
          <w:lang w:val="en-US"/>
        </w:rPr>
        <w:t>furnishes copy of passport as an evidence to the educational</w:t>
      </w:r>
      <w:r w:rsidR="00032E6C" w:rsidRPr="00FB1860">
        <w:rPr>
          <w:rFonts w:cs="Arial"/>
          <w:color w:val="000000" w:themeColor="text1"/>
          <w:sz w:val="20"/>
          <w:lang w:val="en-US"/>
        </w:rPr>
        <w:t xml:space="preserve"> </w:t>
      </w:r>
      <w:r w:rsidRPr="00FB1860">
        <w:rPr>
          <w:rFonts w:cs="Arial"/>
          <w:color w:val="000000" w:themeColor="text1"/>
          <w:sz w:val="20"/>
          <w:lang w:val="en-US"/>
        </w:rPr>
        <w:t>institution that during previous tax year, his stay in Pakistan was</w:t>
      </w:r>
      <w:r w:rsidR="00032E6C" w:rsidRPr="00FB1860">
        <w:rPr>
          <w:rFonts w:cs="Arial"/>
          <w:color w:val="000000" w:themeColor="text1"/>
          <w:sz w:val="20"/>
          <w:lang w:val="en-US"/>
        </w:rPr>
        <w:t xml:space="preserve"> </w:t>
      </w:r>
      <w:r w:rsidRPr="00FB1860">
        <w:rPr>
          <w:rFonts w:cs="Arial"/>
          <w:color w:val="000000" w:themeColor="text1"/>
          <w:sz w:val="20"/>
          <w:lang w:val="en-US"/>
        </w:rPr>
        <w:t>less than one hundred eighty-three days;</w:t>
      </w:r>
    </w:p>
    <w:p w:rsidR="00E30FB1" w:rsidRPr="00FB1860" w:rsidRDefault="00E30FB1" w:rsidP="00E30FB1">
      <w:pPr>
        <w:pStyle w:val="ListParagraph"/>
        <w:autoSpaceDE w:val="0"/>
        <w:autoSpaceDN w:val="0"/>
        <w:adjustRightInd w:val="0"/>
        <w:ind w:left="1800"/>
        <w:jc w:val="both"/>
        <w:rPr>
          <w:rFonts w:cs="Arial"/>
          <w:color w:val="000000" w:themeColor="text1"/>
          <w:sz w:val="20"/>
          <w:lang w:val="en-US"/>
        </w:rPr>
      </w:pPr>
    </w:p>
    <w:p w:rsidR="00475639" w:rsidRPr="00FB1860" w:rsidRDefault="00475639" w:rsidP="004C0FA0">
      <w:pPr>
        <w:pStyle w:val="ListParagraph"/>
        <w:numPr>
          <w:ilvl w:val="0"/>
          <w:numId w:val="61"/>
        </w:numPr>
        <w:autoSpaceDE w:val="0"/>
        <w:autoSpaceDN w:val="0"/>
        <w:adjustRightInd w:val="0"/>
        <w:jc w:val="both"/>
        <w:rPr>
          <w:rFonts w:cs="Arial"/>
          <w:color w:val="000000" w:themeColor="text1"/>
          <w:sz w:val="20"/>
          <w:lang w:val="en-US"/>
        </w:rPr>
      </w:pPr>
      <w:r w:rsidRPr="00FB1860">
        <w:rPr>
          <w:rFonts w:cs="Arial"/>
          <w:color w:val="000000" w:themeColor="text1"/>
          <w:sz w:val="20"/>
          <w:lang w:val="en-US"/>
        </w:rPr>
        <w:t>furnishes a certificate that he has no Pakistan-source income; and</w:t>
      </w:r>
    </w:p>
    <w:p w:rsidR="00E30FB1" w:rsidRPr="00FB1860" w:rsidRDefault="00E30FB1" w:rsidP="00E30FB1">
      <w:pPr>
        <w:pStyle w:val="ListParagraph"/>
        <w:rPr>
          <w:rFonts w:cs="Arial"/>
          <w:color w:val="000000" w:themeColor="text1"/>
          <w:sz w:val="20"/>
          <w:lang w:val="en-US"/>
        </w:rPr>
      </w:pPr>
    </w:p>
    <w:p w:rsidR="00475639" w:rsidRPr="00FB1860" w:rsidRDefault="00475639" w:rsidP="004C0FA0">
      <w:pPr>
        <w:pStyle w:val="ListParagraph"/>
        <w:numPr>
          <w:ilvl w:val="0"/>
          <w:numId w:val="61"/>
        </w:numPr>
        <w:autoSpaceDE w:val="0"/>
        <w:autoSpaceDN w:val="0"/>
        <w:adjustRightInd w:val="0"/>
        <w:jc w:val="both"/>
        <w:rPr>
          <w:rFonts w:cs="Arial"/>
          <w:color w:val="000000" w:themeColor="text1"/>
          <w:sz w:val="20"/>
        </w:rPr>
      </w:pPr>
      <w:r w:rsidRPr="00FB1860">
        <w:rPr>
          <w:rFonts w:cs="Arial"/>
          <w:color w:val="000000" w:themeColor="text1"/>
          <w:sz w:val="20"/>
          <w:lang w:val="en-US"/>
        </w:rPr>
        <w:t>the fee is remitted directly from abroad through normal banking</w:t>
      </w:r>
      <w:r w:rsidR="00032E6C" w:rsidRPr="00FB1860">
        <w:rPr>
          <w:rFonts w:cs="Arial"/>
          <w:color w:val="000000" w:themeColor="text1"/>
          <w:sz w:val="20"/>
          <w:lang w:val="en-US"/>
        </w:rPr>
        <w:t xml:space="preserve"> </w:t>
      </w:r>
      <w:r w:rsidRPr="00FB1860">
        <w:rPr>
          <w:rFonts w:cs="Arial"/>
          <w:color w:val="000000" w:themeColor="text1"/>
          <w:sz w:val="20"/>
          <w:lang w:val="en-US"/>
        </w:rPr>
        <w:t>channels to the bank account of the educational institution.</w:t>
      </w:r>
      <w:r w:rsidR="00E30FB1" w:rsidRPr="00FB1860">
        <w:rPr>
          <w:rFonts w:cs="Arial"/>
          <w:color w:val="000000" w:themeColor="text1"/>
          <w:sz w:val="20"/>
          <w:lang w:val="en-US"/>
        </w:rPr>
        <w:t>”]</w:t>
      </w:r>
    </w:p>
    <w:p w:rsidR="00310C8A" w:rsidRPr="00FB1860" w:rsidRDefault="00310C8A" w:rsidP="001B5023">
      <w:pPr>
        <w:jc w:val="both"/>
        <w:rPr>
          <w:rFonts w:cs="Arial"/>
          <w:color w:val="000000" w:themeColor="text1"/>
          <w:sz w:val="20"/>
        </w:rPr>
      </w:pPr>
    </w:p>
    <w:p w:rsidR="00310C8A" w:rsidRPr="00412620" w:rsidRDefault="00310C8A" w:rsidP="001B5023">
      <w:pPr>
        <w:jc w:val="both"/>
        <w:rPr>
          <w:rFonts w:cs="Arial"/>
          <w:sz w:val="20"/>
        </w:rPr>
      </w:pPr>
      <w:r w:rsidRPr="00412620">
        <w:rPr>
          <w:rFonts w:cs="Arial"/>
          <w:sz w:val="20"/>
        </w:rPr>
        <w:tab/>
      </w:r>
      <w:r w:rsidR="00CE7473" w:rsidRPr="00412620">
        <w:rPr>
          <w:rStyle w:val="FootnoteReference"/>
          <w:sz w:val="20"/>
        </w:rPr>
        <w:footnoteReference w:id="1527"/>
      </w:r>
      <w:r w:rsidRPr="00412620">
        <w:rPr>
          <w:rFonts w:cs="Arial"/>
          <w:sz w:val="20"/>
        </w:rPr>
        <w:t>[</w:t>
      </w:r>
      <w:r w:rsidRPr="00412620">
        <w:rPr>
          <w:rFonts w:cs="Arial"/>
          <w:b/>
          <w:sz w:val="20"/>
        </w:rPr>
        <w:t xml:space="preserve">236J. Advance tax on dealers, commission agents and </w:t>
      </w:r>
      <w:r w:rsidRPr="00412620">
        <w:rPr>
          <w:rFonts w:cs="Arial"/>
          <w:b/>
          <w:i/>
          <w:sz w:val="20"/>
        </w:rPr>
        <w:t>arhatis etc.</w:t>
      </w:r>
      <w:r w:rsidRPr="00412620">
        <w:rPr>
          <w:rFonts w:cs="Arial"/>
          <w:sz w:val="20"/>
        </w:rPr>
        <w:t xml:space="preserve">— (1) Every market committee shall collect advance tax from dealers, commission agents or </w:t>
      </w:r>
      <w:r w:rsidRPr="00412620">
        <w:rPr>
          <w:rFonts w:cs="Arial"/>
          <w:i/>
          <w:sz w:val="20"/>
        </w:rPr>
        <w:t xml:space="preserve">arhatis, </w:t>
      </w:r>
      <w:r w:rsidRPr="00412620">
        <w:rPr>
          <w:rFonts w:cs="Arial"/>
          <w:sz w:val="20"/>
        </w:rPr>
        <w:t xml:space="preserve">etc. </w:t>
      </w:r>
      <w:r w:rsidR="00ED33DB" w:rsidRPr="00412620">
        <w:rPr>
          <w:rFonts w:cs="Arial"/>
          <w:sz w:val="20"/>
        </w:rPr>
        <w:t>a</w:t>
      </w:r>
      <w:r w:rsidRPr="00412620">
        <w:rPr>
          <w:rFonts w:cs="Arial"/>
          <w:sz w:val="20"/>
        </w:rPr>
        <w:t>t the rates specified in Division XVII of Part-IV of the First Schedule at the time of issuance or renewal of licences.</w:t>
      </w:r>
    </w:p>
    <w:p w:rsidR="00310C8A" w:rsidRPr="00412620" w:rsidRDefault="00310C8A" w:rsidP="001B5023">
      <w:pPr>
        <w:jc w:val="both"/>
        <w:rPr>
          <w:rFonts w:cs="Arial"/>
          <w:sz w:val="20"/>
        </w:rPr>
      </w:pPr>
    </w:p>
    <w:p w:rsidR="00310C8A" w:rsidRPr="00412620" w:rsidRDefault="00310C8A" w:rsidP="001B5023">
      <w:pPr>
        <w:jc w:val="both"/>
        <w:rPr>
          <w:rFonts w:cs="Arial"/>
          <w:sz w:val="20"/>
        </w:rPr>
      </w:pPr>
      <w:r w:rsidRPr="00412620">
        <w:rPr>
          <w:rFonts w:cs="Arial"/>
          <w:sz w:val="20"/>
        </w:rPr>
        <w:tab/>
        <w:t xml:space="preserve">(2) </w:t>
      </w:r>
      <w:r w:rsidRPr="00412620">
        <w:rPr>
          <w:rFonts w:cs="Arial"/>
          <w:sz w:val="20"/>
        </w:rPr>
        <w:tab/>
        <w:t>The advance tax collected under sub-section (1) shall be adjustable.</w:t>
      </w:r>
    </w:p>
    <w:p w:rsidR="00310C8A" w:rsidRPr="00412620" w:rsidRDefault="00310C8A" w:rsidP="001B5023">
      <w:pPr>
        <w:jc w:val="both"/>
        <w:rPr>
          <w:rFonts w:cs="Arial"/>
          <w:sz w:val="20"/>
        </w:rPr>
      </w:pPr>
    </w:p>
    <w:p w:rsidR="00310C8A" w:rsidRDefault="00310C8A" w:rsidP="004C0FA0">
      <w:pPr>
        <w:pStyle w:val="ListParagraph"/>
        <w:numPr>
          <w:ilvl w:val="0"/>
          <w:numId w:val="60"/>
        </w:numPr>
        <w:jc w:val="both"/>
        <w:rPr>
          <w:rFonts w:cs="Arial"/>
          <w:sz w:val="20"/>
        </w:rPr>
      </w:pPr>
      <w:r w:rsidRPr="004F5F6B">
        <w:rPr>
          <w:rFonts w:cs="Arial"/>
          <w:sz w:val="20"/>
        </w:rPr>
        <w:t>In this section “market committee” includes any committee or body formed under any provincial or local law made for the purposes of establishing, regulating or organizing agricultural, livestock and other commodity markets.]</w:t>
      </w:r>
    </w:p>
    <w:p w:rsidR="00584C5A" w:rsidRPr="00DE3DE4" w:rsidRDefault="00584C5A" w:rsidP="00584C5A">
      <w:pPr>
        <w:pStyle w:val="ListParagraph"/>
        <w:ind w:left="1095"/>
        <w:jc w:val="both"/>
        <w:rPr>
          <w:rFonts w:cs="Arial"/>
          <w:sz w:val="16"/>
        </w:rPr>
      </w:pPr>
    </w:p>
    <w:p w:rsidR="004F5F6B" w:rsidRPr="001B3020" w:rsidRDefault="004F5F6B" w:rsidP="00584C5A">
      <w:pPr>
        <w:jc w:val="both"/>
        <w:rPr>
          <w:rFonts w:cs="Arial"/>
          <w:color w:val="000000" w:themeColor="text1"/>
          <w:sz w:val="20"/>
        </w:rPr>
      </w:pPr>
      <w:r w:rsidRPr="001B3020">
        <w:rPr>
          <w:rStyle w:val="FootnoteReference"/>
          <w:rFonts w:cs="Arial"/>
          <w:color w:val="000000" w:themeColor="text1"/>
          <w:sz w:val="20"/>
        </w:rPr>
        <w:lastRenderedPageBreak/>
        <w:footnoteReference w:id="1528"/>
      </w:r>
      <w:r w:rsidRPr="001B3020">
        <w:rPr>
          <w:rFonts w:cs="Arial"/>
          <w:color w:val="000000" w:themeColor="text1"/>
          <w:sz w:val="20"/>
        </w:rPr>
        <w:t>[</w:t>
      </w:r>
      <w:r w:rsidRPr="001B3020">
        <w:rPr>
          <w:rFonts w:cs="Arial"/>
          <w:b/>
          <w:bCs/>
          <w:color w:val="000000" w:themeColor="text1"/>
          <w:sz w:val="20"/>
        </w:rPr>
        <w:t>236K. Advance tax on purchase or transfer of immovable property.—</w:t>
      </w:r>
      <w:r w:rsidRPr="001B3020">
        <w:rPr>
          <w:rFonts w:cs="Arial"/>
          <w:color w:val="000000" w:themeColor="text1"/>
          <w:sz w:val="20"/>
        </w:rPr>
        <w:t>(1)Any person responsible for registering or attesting transfer of any immovable property shall at the time of registering or attesting the transfer shall collect from the purchaser or transferee advance tax at the rate specified in Division XVIII of Part IV of the First Schedule.</w:t>
      </w:r>
    </w:p>
    <w:p w:rsidR="00584C5A" w:rsidRPr="001B3020" w:rsidRDefault="00584C5A" w:rsidP="00584C5A">
      <w:pPr>
        <w:jc w:val="both"/>
        <w:rPr>
          <w:rFonts w:cs="Arial"/>
          <w:color w:val="000000" w:themeColor="text1"/>
          <w:sz w:val="20"/>
        </w:rPr>
      </w:pPr>
    </w:p>
    <w:p w:rsidR="004F5F6B" w:rsidRPr="001B3020" w:rsidRDefault="004F5F6B" w:rsidP="008C421E">
      <w:pPr>
        <w:ind w:firstLine="547"/>
        <w:jc w:val="both"/>
        <w:rPr>
          <w:rFonts w:cs="Arial"/>
          <w:color w:val="000000" w:themeColor="text1"/>
          <w:sz w:val="20"/>
        </w:rPr>
      </w:pPr>
      <w:r w:rsidRPr="001B3020">
        <w:rPr>
          <w:rFonts w:cs="Arial"/>
          <w:color w:val="000000" w:themeColor="text1"/>
          <w:sz w:val="20"/>
        </w:rPr>
        <w:t>(2)</w:t>
      </w:r>
      <w:r w:rsidRPr="001B3020">
        <w:rPr>
          <w:rFonts w:cs="Arial"/>
          <w:color w:val="000000" w:themeColor="text1"/>
          <w:sz w:val="20"/>
        </w:rPr>
        <w:tab/>
        <w:t xml:space="preserve">The advance tax collected under sub-section (1) shall be adjustable. </w:t>
      </w:r>
    </w:p>
    <w:p w:rsidR="00584C5A" w:rsidRPr="00DE3DE4" w:rsidRDefault="00584C5A" w:rsidP="00584C5A">
      <w:pPr>
        <w:jc w:val="both"/>
        <w:rPr>
          <w:rFonts w:cs="Arial"/>
          <w:color w:val="00B0F0"/>
          <w:sz w:val="16"/>
          <w:szCs w:val="22"/>
        </w:rPr>
      </w:pPr>
    </w:p>
    <w:p w:rsidR="00584C5A" w:rsidRPr="00FB1860" w:rsidRDefault="008C421E" w:rsidP="00584C5A">
      <w:pPr>
        <w:jc w:val="both"/>
        <w:rPr>
          <w:rFonts w:cs="Arial"/>
          <w:color w:val="000000" w:themeColor="text1"/>
          <w:sz w:val="20"/>
        </w:rPr>
      </w:pPr>
      <w:r>
        <w:rPr>
          <w:rFonts w:cs="Arial"/>
          <w:color w:val="00B0F0"/>
          <w:sz w:val="16"/>
          <w:szCs w:val="22"/>
        </w:rPr>
        <w:tab/>
      </w:r>
      <w:r w:rsidRPr="00FB1860">
        <w:rPr>
          <w:rStyle w:val="FootnoteReference"/>
          <w:rFonts w:cs="Arial"/>
          <w:color w:val="000000" w:themeColor="text1"/>
          <w:sz w:val="16"/>
          <w:szCs w:val="22"/>
        </w:rPr>
        <w:footnoteReference w:id="1529"/>
      </w:r>
      <w:r w:rsidRPr="00FB1860">
        <w:rPr>
          <w:rFonts w:cs="Arial"/>
          <w:color w:val="000000" w:themeColor="text1"/>
          <w:sz w:val="20"/>
        </w:rPr>
        <w:t>[     ]</w:t>
      </w:r>
    </w:p>
    <w:p w:rsidR="008C421E" w:rsidRPr="007E7716" w:rsidRDefault="008C421E" w:rsidP="00584C5A">
      <w:pPr>
        <w:jc w:val="both"/>
        <w:rPr>
          <w:rFonts w:cs="Arial"/>
          <w:color w:val="00B0F0"/>
          <w:sz w:val="16"/>
          <w:szCs w:val="22"/>
        </w:rPr>
      </w:pPr>
    </w:p>
    <w:p w:rsidR="004F5F6B" w:rsidRDefault="004F5F6B" w:rsidP="008C421E">
      <w:pPr>
        <w:ind w:firstLine="547"/>
        <w:jc w:val="both"/>
        <w:rPr>
          <w:rFonts w:cs="Arial"/>
          <w:color w:val="984806" w:themeColor="accent6" w:themeShade="80"/>
          <w:sz w:val="22"/>
          <w:szCs w:val="22"/>
        </w:rPr>
      </w:pPr>
      <w:r w:rsidRPr="001B3020">
        <w:rPr>
          <w:rFonts w:cs="Arial"/>
          <w:color w:val="000000" w:themeColor="text1"/>
          <w:sz w:val="20"/>
        </w:rPr>
        <w:t>(4)</w:t>
      </w:r>
      <w:r w:rsidRPr="001B3020">
        <w:rPr>
          <w:rFonts w:cs="Arial"/>
          <w:color w:val="000000" w:themeColor="text1"/>
          <w:sz w:val="20"/>
        </w:rPr>
        <w:tab/>
        <w:t>Nothing contained in this section shall apply to a scheme introduced by the Federal Government, or Provincial Government or an Authority established under a Federal or Provincial law for expatriate Pakistanis</w:t>
      </w:r>
      <w:r w:rsidR="00FB1860">
        <w:rPr>
          <w:rFonts w:cs="Arial"/>
          <w:color w:val="000000" w:themeColor="text1"/>
          <w:sz w:val="20"/>
        </w:rPr>
        <w:t xml:space="preserve"> </w:t>
      </w:r>
      <w:r w:rsidR="00C35649" w:rsidRPr="009A5977">
        <w:rPr>
          <w:rStyle w:val="FootnoteReference"/>
          <w:rFonts w:cs="Arial"/>
          <w:color w:val="000000" w:themeColor="text1"/>
          <w:sz w:val="20"/>
        </w:rPr>
        <w:footnoteReference w:id="1530"/>
      </w:r>
      <w:r w:rsidR="00C35649" w:rsidRPr="009A5977">
        <w:rPr>
          <w:rFonts w:cs="Arial"/>
          <w:color w:val="000000" w:themeColor="text1"/>
          <w:sz w:val="20"/>
        </w:rPr>
        <w:t>[“:”]</w:t>
      </w:r>
    </w:p>
    <w:p w:rsidR="00C35649" w:rsidRDefault="00C35649" w:rsidP="008C421E">
      <w:pPr>
        <w:ind w:firstLine="547"/>
        <w:jc w:val="both"/>
        <w:rPr>
          <w:rFonts w:cs="Arial"/>
          <w:color w:val="00B0F0"/>
          <w:sz w:val="22"/>
          <w:szCs w:val="22"/>
        </w:rPr>
      </w:pPr>
    </w:p>
    <w:p w:rsidR="00C35649" w:rsidRPr="009A5977" w:rsidRDefault="00C35649" w:rsidP="00C35649">
      <w:pPr>
        <w:autoSpaceDE w:val="0"/>
        <w:autoSpaceDN w:val="0"/>
        <w:adjustRightInd w:val="0"/>
        <w:ind w:left="547" w:firstLine="547"/>
        <w:jc w:val="both"/>
        <w:rPr>
          <w:rFonts w:cs="Arial"/>
          <w:color w:val="000000" w:themeColor="text1"/>
          <w:sz w:val="20"/>
        </w:rPr>
      </w:pPr>
      <w:r w:rsidRPr="009A5977">
        <w:rPr>
          <w:rStyle w:val="FootnoteReference"/>
          <w:rFonts w:cs="Arial"/>
          <w:color w:val="000000" w:themeColor="text1"/>
          <w:sz w:val="20"/>
          <w:lang w:val="en-US"/>
        </w:rPr>
        <w:footnoteReference w:id="1531"/>
      </w:r>
      <w:r w:rsidRPr="009A5977">
        <w:rPr>
          <w:rFonts w:cs="Arial"/>
          <w:color w:val="000000" w:themeColor="text1"/>
          <w:sz w:val="20"/>
          <w:lang w:val="en-US"/>
        </w:rPr>
        <w:t>[“Provided that the mode of payment by the expatriate Pakistanis in the said scheme or schemes shall be in the foreign exchange remitted from outside Pakistan through normal banking channels.”]</w:t>
      </w:r>
    </w:p>
    <w:p w:rsidR="00584C5A" w:rsidRPr="007E7716" w:rsidRDefault="00584C5A" w:rsidP="00584C5A">
      <w:pPr>
        <w:jc w:val="both"/>
        <w:rPr>
          <w:rFonts w:cs="Arial"/>
          <w:color w:val="00B0F0"/>
          <w:sz w:val="16"/>
          <w:szCs w:val="22"/>
        </w:rPr>
      </w:pPr>
    </w:p>
    <w:p w:rsidR="004F5F6B" w:rsidRPr="001B3020" w:rsidRDefault="004F5F6B" w:rsidP="00584C5A">
      <w:pPr>
        <w:jc w:val="both"/>
        <w:rPr>
          <w:rFonts w:cs="Arial"/>
          <w:color w:val="000000" w:themeColor="text1"/>
          <w:sz w:val="20"/>
        </w:rPr>
      </w:pPr>
      <w:r w:rsidRPr="001B3020">
        <w:rPr>
          <w:rFonts w:cs="Arial"/>
          <w:b/>
          <w:color w:val="000000" w:themeColor="text1"/>
          <w:sz w:val="20"/>
        </w:rPr>
        <w:t>236L. Advance tax on purchase of international air ticket.—</w:t>
      </w:r>
      <w:r w:rsidRPr="001B3020">
        <w:rPr>
          <w:rFonts w:cs="Arial"/>
          <w:color w:val="000000" w:themeColor="text1"/>
          <w:sz w:val="20"/>
        </w:rPr>
        <w:t xml:space="preserve"> (1)</w:t>
      </w:r>
      <w:r w:rsidRPr="001B3020">
        <w:rPr>
          <w:rFonts w:cs="Arial"/>
          <w:color w:val="000000" w:themeColor="text1"/>
          <w:sz w:val="20"/>
        </w:rPr>
        <w:tab/>
        <w:t xml:space="preserve">Every airline, </w:t>
      </w:r>
      <w:r w:rsidR="00584C5A" w:rsidRPr="001B3020">
        <w:rPr>
          <w:rFonts w:cs="Arial"/>
          <w:color w:val="000000" w:themeColor="text1"/>
          <w:sz w:val="20"/>
        </w:rPr>
        <w:t xml:space="preserve">issuing ticket for journey originating from </w:t>
      </w:r>
      <w:r w:rsidRPr="001B3020">
        <w:rPr>
          <w:rFonts w:cs="Arial"/>
          <w:color w:val="000000" w:themeColor="text1"/>
          <w:sz w:val="20"/>
        </w:rPr>
        <w:t>Pakistan, shall collect advance tax at the rates specified in Division XX of Part IV of the First Schedule, on the gross amount of international air tickets issued to passengers booking one-way or return, from Pakistan.</w:t>
      </w:r>
    </w:p>
    <w:p w:rsidR="00584C5A" w:rsidRPr="001B3020" w:rsidRDefault="00584C5A" w:rsidP="00584C5A">
      <w:pPr>
        <w:jc w:val="both"/>
        <w:rPr>
          <w:rFonts w:cs="Arial"/>
          <w:color w:val="000000" w:themeColor="text1"/>
          <w:sz w:val="20"/>
        </w:rPr>
      </w:pPr>
    </w:p>
    <w:p w:rsidR="004F5F6B" w:rsidRPr="001B3020" w:rsidRDefault="004F5F6B" w:rsidP="00DE3DE4">
      <w:pPr>
        <w:ind w:firstLine="547"/>
        <w:jc w:val="both"/>
        <w:rPr>
          <w:rFonts w:cs="Arial"/>
          <w:color w:val="000000" w:themeColor="text1"/>
          <w:sz w:val="20"/>
        </w:rPr>
      </w:pPr>
      <w:r w:rsidRPr="001B3020">
        <w:rPr>
          <w:rFonts w:cs="Arial"/>
          <w:color w:val="000000" w:themeColor="text1"/>
          <w:sz w:val="20"/>
        </w:rPr>
        <w:t>(2)</w:t>
      </w:r>
      <w:r w:rsidRPr="001B3020">
        <w:rPr>
          <w:rFonts w:cs="Arial"/>
          <w:color w:val="000000" w:themeColor="text1"/>
          <w:sz w:val="20"/>
        </w:rPr>
        <w:tab/>
        <w:t>The airline issuing air ticket shall collect or charge advance tax under sub-section (1) in the manner air ticket charges are collected or charged, either manually or electronically.</w:t>
      </w:r>
    </w:p>
    <w:p w:rsidR="00584C5A" w:rsidRPr="001B3020" w:rsidRDefault="00584C5A" w:rsidP="00584C5A">
      <w:pPr>
        <w:jc w:val="both"/>
        <w:rPr>
          <w:rFonts w:cs="Arial"/>
          <w:color w:val="000000" w:themeColor="text1"/>
          <w:sz w:val="20"/>
        </w:rPr>
      </w:pPr>
    </w:p>
    <w:p w:rsidR="004F5F6B" w:rsidRPr="001B3020" w:rsidRDefault="004F5F6B" w:rsidP="00DE3DE4">
      <w:pPr>
        <w:ind w:firstLine="547"/>
        <w:jc w:val="both"/>
        <w:rPr>
          <w:rFonts w:cs="Arial"/>
          <w:color w:val="000000" w:themeColor="text1"/>
          <w:sz w:val="20"/>
        </w:rPr>
      </w:pPr>
      <w:r w:rsidRPr="001B3020">
        <w:rPr>
          <w:rFonts w:cs="Arial"/>
          <w:color w:val="000000" w:themeColor="text1"/>
          <w:sz w:val="20"/>
        </w:rPr>
        <w:t>(3)</w:t>
      </w:r>
      <w:r w:rsidRPr="001B3020">
        <w:rPr>
          <w:rFonts w:cs="Arial"/>
          <w:color w:val="000000" w:themeColor="text1"/>
          <w:sz w:val="20"/>
        </w:rPr>
        <w:tab/>
        <w:t>The mode, manner and time of collection under sub-section (1) and time of collection shall be as may be prescribed.</w:t>
      </w:r>
    </w:p>
    <w:p w:rsidR="00584C5A" w:rsidRPr="001B3020" w:rsidRDefault="00584C5A" w:rsidP="00584C5A">
      <w:pPr>
        <w:jc w:val="both"/>
        <w:rPr>
          <w:rFonts w:cs="Arial"/>
          <w:color w:val="000000" w:themeColor="text1"/>
          <w:sz w:val="20"/>
        </w:rPr>
      </w:pPr>
    </w:p>
    <w:p w:rsidR="004F5F6B" w:rsidRPr="001B3020" w:rsidRDefault="004F5F6B" w:rsidP="00DE3DE4">
      <w:pPr>
        <w:ind w:firstLine="547"/>
        <w:jc w:val="both"/>
        <w:rPr>
          <w:rFonts w:cs="Arial"/>
          <w:color w:val="000000" w:themeColor="text1"/>
          <w:sz w:val="20"/>
        </w:rPr>
      </w:pPr>
      <w:r w:rsidRPr="001B3020">
        <w:rPr>
          <w:rFonts w:cs="Arial"/>
          <w:color w:val="000000" w:themeColor="text1"/>
          <w:sz w:val="20"/>
        </w:rPr>
        <w:t xml:space="preserve">(4) </w:t>
      </w:r>
      <w:r w:rsidRPr="001B3020">
        <w:rPr>
          <w:rFonts w:cs="Arial"/>
          <w:color w:val="000000" w:themeColor="text1"/>
          <w:sz w:val="20"/>
        </w:rPr>
        <w:tab/>
        <w:t>The advance tax collected under sub-section (1) shall be adjustable.</w:t>
      </w:r>
    </w:p>
    <w:p w:rsidR="00584C5A" w:rsidRPr="007E7716" w:rsidRDefault="00584C5A" w:rsidP="00584C5A">
      <w:pPr>
        <w:jc w:val="both"/>
        <w:rPr>
          <w:rFonts w:cs="Arial"/>
          <w:color w:val="00B0F0"/>
          <w:sz w:val="16"/>
          <w:szCs w:val="22"/>
        </w:rPr>
      </w:pPr>
    </w:p>
    <w:p w:rsidR="004F5F6B" w:rsidRPr="001B3020" w:rsidRDefault="004F5F6B" w:rsidP="00DF7D84">
      <w:pPr>
        <w:jc w:val="both"/>
        <w:rPr>
          <w:rFonts w:cs="Arial"/>
          <w:color w:val="000000" w:themeColor="text1"/>
          <w:sz w:val="20"/>
        </w:rPr>
      </w:pPr>
      <w:r w:rsidRPr="001B3020">
        <w:rPr>
          <w:rFonts w:cs="Arial"/>
          <w:b/>
          <w:iCs/>
          <w:color w:val="000000" w:themeColor="text1"/>
          <w:sz w:val="20"/>
        </w:rPr>
        <w:t>236M</w:t>
      </w:r>
      <w:r w:rsidRPr="001B3020">
        <w:rPr>
          <w:rFonts w:cs="Arial"/>
          <w:b/>
          <w:color w:val="000000" w:themeColor="text1"/>
          <w:sz w:val="20"/>
        </w:rPr>
        <w:t>. Bonus shares</w:t>
      </w:r>
      <w:r w:rsidR="00584C5A" w:rsidRPr="001B3020">
        <w:rPr>
          <w:rFonts w:cs="Arial"/>
          <w:b/>
          <w:color w:val="000000" w:themeColor="text1"/>
          <w:sz w:val="20"/>
        </w:rPr>
        <w:t xml:space="preserve"> issued by companies quoted on stock exchange </w:t>
      </w:r>
      <w:r w:rsidRPr="001B3020">
        <w:rPr>
          <w:rFonts w:cs="Arial"/>
          <w:b/>
          <w:color w:val="000000" w:themeColor="text1"/>
          <w:sz w:val="20"/>
        </w:rPr>
        <w:t>.-</w:t>
      </w:r>
      <w:r w:rsidRPr="001B3020">
        <w:rPr>
          <w:rFonts w:cs="Arial"/>
          <w:color w:val="000000" w:themeColor="text1"/>
          <w:sz w:val="20"/>
        </w:rPr>
        <w:t xml:space="preserve"> (1) </w:t>
      </w:r>
      <w:r w:rsidR="00584C5A" w:rsidRPr="001B3020">
        <w:rPr>
          <w:rFonts w:cs="Arial"/>
          <w:color w:val="000000" w:themeColor="text1"/>
          <w:sz w:val="20"/>
        </w:rPr>
        <w:t xml:space="preserve">Notwithstanding </w:t>
      </w:r>
      <w:r w:rsidR="0011436F" w:rsidRPr="001B3020">
        <w:rPr>
          <w:rFonts w:cs="Arial"/>
          <w:color w:val="000000" w:themeColor="text1"/>
          <w:sz w:val="20"/>
        </w:rPr>
        <w:t>anything</w:t>
      </w:r>
      <w:r w:rsidR="00584C5A" w:rsidRPr="001B3020">
        <w:rPr>
          <w:rFonts w:cs="Arial"/>
          <w:color w:val="000000" w:themeColor="text1"/>
          <w:sz w:val="20"/>
        </w:rPr>
        <w:t xml:space="preserve"> contained in any law for the</w:t>
      </w:r>
      <w:r w:rsidR="00584C5A">
        <w:rPr>
          <w:rFonts w:cs="Arial"/>
          <w:color w:val="00B0F0"/>
          <w:sz w:val="22"/>
          <w:szCs w:val="22"/>
        </w:rPr>
        <w:t xml:space="preserve"> </w:t>
      </w:r>
      <w:r w:rsidR="00584C5A" w:rsidRPr="001B3020">
        <w:rPr>
          <w:rFonts w:cs="Arial"/>
          <w:color w:val="000000" w:themeColor="text1"/>
          <w:sz w:val="20"/>
        </w:rPr>
        <w:t>time being in force</w:t>
      </w:r>
      <w:r w:rsidR="00C41CE2" w:rsidRPr="001B3020">
        <w:rPr>
          <w:rFonts w:cs="Arial"/>
          <w:color w:val="000000" w:themeColor="text1"/>
          <w:sz w:val="20"/>
        </w:rPr>
        <w:t>,</w:t>
      </w:r>
      <w:r w:rsidR="004145D2">
        <w:rPr>
          <w:rFonts w:cs="Arial"/>
          <w:color w:val="00B0F0"/>
          <w:sz w:val="22"/>
          <w:szCs w:val="22"/>
        </w:rPr>
        <w:t xml:space="preserve"> </w:t>
      </w:r>
      <w:r w:rsidR="00C41CE2" w:rsidRPr="001B3020">
        <w:rPr>
          <w:rFonts w:cs="Arial"/>
          <w:color w:val="000000" w:themeColor="text1"/>
          <w:sz w:val="20"/>
        </w:rPr>
        <w:t>e</w:t>
      </w:r>
      <w:r w:rsidRPr="001B3020">
        <w:rPr>
          <w:rFonts w:cs="Arial"/>
          <w:color w:val="000000" w:themeColor="text1"/>
          <w:sz w:val="20"/>
        </w:rPr>
        <w:t>very</w:t>
      </w:r>
      <w:r w:rsidRPr="004F5F6B">
        <w:rPr>
          <w:rFonts w:cs="Arial"/>
          <w:color w:val="00B0F0"/>
          <w:sz w:val="22"/>
          <w:szCs w:val="22"/>
        </w:rPr>
        <w:t xml:space="preserve"> </w:t>
      </w:r>
      <w:r w:rsidR="00C41CE2" w:rsidRPr="001B3020">
        <w:rPr>
          <w:rFonts w:cs="Arial"/>
          <w:color w:val="000000" w:themeColor="text1"/>
          <w:sz w:val="20"/>
        </w:rPr>
        <w:t xml:space="preserve">company, quoted on stock exchange, </w:t>
      </w:r>
      <w:r w:rsidRPr="001B3020">
        <w:rPr>
          <w:rFonts w:cs="Arial"/>
          <w:color w:val="000000" w:themeColor="text1"/>
          <w:sz w:val="20"/>
        </w:rPr>
        <w:t xml:space="preserve">issuing bonus shares to </w:t>
      </w:r>
      <w:r w:rsidR="00C41CE2" w:rsidRPr="001B3020">
        <w:rPr>
          <w:rFonts w:cs="Arial"/>
          <w:color w:val="000000" w:themeColor="text1"/>
          <w:sz w:val="20"/>
        </w:rPr>
        <w:t>the</w:t>
      </w:r>
      <w:r w:rsidRPr="001B3020">
        <w:rPr>
          <w:rFonts w:cs="Arial"/>
          <w:color w:val="000000" w:themeColor="text1"/>
          <w:sz w:val="20"/>
        </w:rPr>
        <w:t xml:space="preserve"> shareholder</w:t>
      </w:r>
      <w:r w:rsidR="00C41CE2" w:rsidRPr="001B3020">
        <w:rPr>
          <w:rFonts w:cs="Arial"/>
          <w:color w:val="000000" w:themeColor="text1"/>
          <w:sz w:val="20"/>
        </w:rPr>
        <w:t>s</w:t>
      </w:r>
      <w:r w:rsidRPr="001B3020">
        <w:rPr>
          <w:rFonts w:cs="Arial"/>
          <w:color w:val="000000" w:themeColor="text1"/>
          <w:sz w:val="20"/>
        </w:rPr>
        <w:t xml:space="preserve"> of the company, shall </w:t>
      </w:r>
      <w:r w:rsidR="00C41CE2" w:rsidRPr="001B3020">
        <w:rPr>
          <w:rFonts w:cs="Arial"/>
          <w:color w:val="000000" w:themeColor="text1"/>
          <w:sz w:val="20"/>
        </w:rPr>
        <w:t xml:space="preserve">withhold five percent of the bonus shares to be issued. </w:t>
      </w:r>
    </w:p>
    <w:p w:rsidR="00C41CE2" w:rsidRPr="001B3020" w:rsidRDefault="00C41CE2" w:rsidP="00584C5A">
      <w:pPr>
        <w:rPr>
          <w:rFonts w:cs="Arial"/>
          <w:color w:val="000000" w:themeColor="text1"/>
          <w:sz w:val="20"/>
        </w:rPr>
      </w:pPr>
    </w:p>
    <w:p w:rsidR="00C41CE2" w:rsidRPr="001B3020" w:rsidRDefault="004F5F6B" w:rsidP="00DE3DE4">
      <w:pPr>
        <w:ind w:firstLine="547"/>
        <w:jc w:val="both"/>
        <w:rPr>
          <w:rFonts w:cs="Arial"/>
          <w:color w:val="000000" w:themeColor="text1"/>
          <w:sz w:val="20"/>
        </w:rPr>
      </w:pPr>
      <w:r w:rsidRPr="001B3020">
        <w:rPr>
          <w:rFonts w:cs="Arial"/>
          <w:color w:val="000000" w:themeColor="text1"/>
          <w:sz w:val="20"/>
        </w:rPr>
        <w:t>(2)</w:t>
      </w:r>
      <w:r w:rsidRPr="001B3020">
        <w:rPr>
          <w:rFonts w:cs="Arial"/>
          <w:color w:val="000000" w:themeColor="text1"/>
          <w:sz w:val="20"/>
        </w:rPr>
        <w:tab/>
      </w:r>
      <w:r w:rsidR="00C41CE2" w:rsidRPr="001B3020">
        <w:rPr>
          <w:rFonts w:cs="Arial"/>
          <w:color w:val="000000" w:themeColor="text1"/>
          <w:sz w:val="20"/>
        </w:rPr>
        <w:t>Bonus shares withheld under sub-section (1) shall only be issue</w:t>
      </w:r>
      <w:r w:rsidR="00946CDE" w:rsidRPr="001B3020">
        <w:rPr>
          <w:rFonts w:cs="Arial"/>
          <w:color w:val="000000" w:themeColor="text1"/>
          <w:sz w:val="20"/>
        </w:rPr>
        <w:t>d</w:t>
      </w:r>
      <w:r w:rsidR="00C41CE2" w:rsidRPr="001B3020">
        <w:rPr>
          <w:rFonts w:cs="Arial"/>
          <w:color w:val="000000" w:themeColor="text1"/>
          <w:sz w:val="20"/>
        </w:rPr>
        <w:t xml:space="preserve"> to a shareholder, if the </w:t>
      </w:r>
      <w:r w:rsidRPr="001B3020">
        <w:rPr>
          <w:rFonts w:cs="Arial"/>
          <w:color w:val="000000" w:themeColor="text1"/>
          <w:sz w:val="20"/>
        </w:rPr>
        <w:t xml:space="preserve">company </w:t>
      </w:r>
      <w:r w:rsidR="00C41CE2" w:rsidRPr="001B3020">
        <w:rPr>
          <w:rFonts w:cs="Arial"/>
          <w:color w:val="000000" w:themeColor="text1"/>
          <w:sz w:val="20"/>
        </w:rPr>
        <w:t xml:space="preserve">collects from the shareholder, tax equal to five </w:t>
      </w:r>
      <w:r w:rsidR="00C41CE2" w:rsidRPr="001B3020">
        <w:rPr>
          <w:rFonts w:cs="Arial"/>
          <w:color w:val="000000" w:themeColor="text1"/>
          <w:sz w:val="20"/>
        </w:rPr>
        <w:lastRenderedPageBreak/>
        <w:t>percent of the value of the bonus share</w:t>
      </w:r>
      <w:r w:rsidR="00302EC6" w:rsidRPr="001B3020">
        <w:rPr>
          <w:rFonts w:cs="Arial"/>
          <w:color w:val="000000" w:themeColor="text1"/>
          <w:sz w:val="20"/>
        </w:rPr>
        <w:t>s</w:t>
      </w:r>
      <w:r w:rsidR="00C41CE2" w:rsidRPr="001B3020">
        <w:rPr>
          <w:rFonts w:cs="Arial"/>
          <w:color w:val="000000" w:themeColor="text1"/>
          <w:sz w:val="20"/>
        </w:rPr>
        <w:t xml:space="preserve"> issued to the shareholder</w:t>
      </w:r>
      <w:r w:rsidR="004145D2" w:rsidRPr="001B3020">
        <w:rPr>
          <w:rFonts w:cs="Arial"/>
          <w:color w:val="000000" w:themeColor="text1"/>
          <w:sz w:val="20"/>
        </w:rPr>
        <w:t xml:space="preserve"> </w:t>
      </w:r>
      <w:r w:rsidR="00DF7D84" w:rsidRPr="001B3020">
        <w:rPr>
          <w:rFonts w:cs="Arial"/>
          <w:color w:val="000000" w:themeColor="text1"/>
          <w:sz w:val="20"/>
        </w:rPr>
        <w:t>i</w:t>
      </w:r>
      <w:r w:rsidR="00C41CE2" w:rsidRPr="001B3020">
        <w:rPr>
          <w:rFonts w:cs="Arial"/>
          <w:color w:val="000000" w:themeColor="text1"/>
          <w:sz w:val="20"/>
        </w:rPr>
        <w:t xml:space="preserve">ncluding bonus share withheld, determined on the basis of day-end price on the first day of closure of books.   </w:t>
      </w:r>
    </w:p>
    <w:p w:rsidR="00602012" w:rsidRPr="001B3020" w:rsidRDefault="00602012" w:rsidP="000A7E07">
      <w:pPr>
        <w:rPr>
          <w:rFonts w:cs="Arial"/>
          <w:color w:val="000000" w:themeColor="text1"/>
          <w:sz w:val="20"/>
        </w:rPr>
      </w:pPr>
    </w:p>
    <w:p w:rsidR="003A68A5" w:rsidRPr="001B3020" w:rsidRDefault="00C41CE2" w:rsidP="009A5977">
      <w:pPr>
        <w:ind w:firstLine="547"/>
        <w:rPr>
          <w:rFonts w:cs="Arial"/>
          <w:color w:val="000000" w:themeColor="text1"/>
          <w:sz w:val="20"/>
        </w:rPr>
      </w:pPr>
      <w:r w:rsidRPr="001B3020">
        <w:rPr>
          <w:rFonts w:cs="Arial"/>
          <w:color w:val="000000" w:themeColor="text1"/>
          <w:sz w:val="20"/>
        </w:rPr>
        <w:t>(3)</w:t>
      </w:r>
      <w:r w:rsidRPr="001B3020">
        <w:rPr>
          <w:rFonts w:cs="Arial"/>
          <w:color w:val="000000" w:themeColor="text1"/>
          <w:sz w:val="20"/>
        </w:rPr>
        <w:tab/>
        <w:t>Tax under sub-section (2), sh</w:t>
      </w:r>
      <w:r w:rsidR="003A68A5" w:rsidRPr="001B3020">
        <w:rPr>
          <w:rFonts w:cs="Arial"/>
          <w:color w:val="000000" w:themeColor="text1"/>
          <w:sz w:val="20"/>
        </w:rPr>
        <w:t xml:space="preserve">all be collected by the company, within fifteen days of the first day of closure of books. </w:t>
      </w:r>
    </w:p>
    <w:p w:rsidR="003A68A5" w:rsidRPr="001B3020" w:rsidRDefault="003A68A5" w:rsidP="000A7E07">
      <w:pPr>
        <w:rPr>
          <w:rFonts w:cs="Arial"/>
          <w:color w:val="000000" w:themeColor="text1"/>
          <w:sz w:val="20"/>
        </w:rPr>
      </w:pPr>
    </w:p>
    <w:p w:rsidR="003A68A5" w:rsidRPr="001B3020" w:rsidRDefault="003A68A5" w:rsidP="009A5977">
      <w:pPr>
        <w:ind w:firstLine="547"/>
        <w:jc w:val="both"/>
        <w:rPr>
          <w:rFonts w:cs="Arial"/>
          <w:color w:val="000000" w:themeColor="text1"/>
          <w:sz w:val="20"/>
        </w:rPr>
      </w:pPr>
      <w:r w:rsidRPr="001B3020">
        <w:rPr>
          <w:rFonts w:cs="Arial"/>
          <w:color w:val="000000" w:themeColor="text1"/>
          <w:sz w:val="20"/>
        </w:rPr>
        <w:t>(4)</w:t>
      </w:r>
      <w:r w:rsidRPr="001B3020">
        <w:rPr>
          <w:rFonts w:cs="Arial"/>
          <w:color w:val="000000" w:themeColor="text1"/>
          <w:sz w:val="20"/>
        </w:rPr>
        <w:tab/>
      </w:r>
      <w:r w:rsidR="00EE0BDE" w:rsidRPr="001B3020">
        <w:rPr>
          <w:rFonts w:cs="Arial"/>
          <w:color w:val="000000" w:themeColor="text1"/>
          <w:sz w:val="20"/>
        </w:rPr>
        <w:t>I</w:t>
      </w:r>
      <w:r w:rsidRPr="001B3020">
        <w:rPr>
          <w:rFonts w:cs="Arial"/>
          <w:color w:val="000000" w:themeColor="text1"/>
          <w:sz w:val="20"/>
        </w:rPr>
        <w:t>f the shareholder fails to make the payment of tax under sub-section (2) within fifteen days or the company fails to collect the said tax within fifteen days, the company shall deposit the bonus share withheld under sub-section (1) in the Central Depository Company of Pakistan Limited or any other entity as may be prescribed.</w:t>
      </w:r>
    </w:p>
    <w:p w:rsidR="000A7E07" w:rsidRPr="001B3020" w:rsidRDefault="000A7E07" w:rsidP="000A7E07">
      <w:pPr>
        <w:rPr>
          <w:rFonts w:cs="Arial"/>
          <w:color w:val="000000" w:themeColor="text1"/>
          <w:sz w:val="20"/>
        </w:rPr>
      </w:pPr>
    </w:p>
    <w:p w:rsidR="00DE3DE4" w:rsidRPr="001B3020" w:rsidRDefault="003A68A5" w:rsidP="009A5977">
      <w:pPr>
        <w:pStyle w:val="ListParagraph"/>
        <w:numPr>
          <w:ilvl w:val="0"/>
          <w:numId w:val="60"/>
        </w:numPr>
        <w:ind w:left="0" w:firstLine="540"/>
        <w:jc w:val="both"/>
        <w:rPr>
          <w:rFonts w:cs="Arial"/>
          <w:color w:val="000000" w:themeColor="text1"/>
          <w:sz w:val="20"/>
        </w:rPr>
      </w:pPr>
      <w:r w:rsidRPr="001B3020">
        <w:rPr>
          <w:rFonts w:cs="Arial"/>
          <w:color w:val="000000" w:themeColor="text1"/>
          <w:sz w:val="20"/>
        </w:rPr>
        <w:t xml:space="preserve">Bonus share deposited in the Central Depository Company of Pakistan Limited or the entity prescribed under sub-section (4) shall be </w:t>
      </w:r>
      <w:r w:rsidR="00EA254F" w:rsidRPr="001B3020">
        <w:rPr>
          <w:rFonts w:cs="Arial"/>
          <w:color w:val="000000" w:themeColor="text1"/>
          <w:sz w:val="20"/>
        </w:rPr>
        <w:t xml:space="preserve">disposed of in the mode and manner as may be prescribed and the proceeds thereof shall be </w:t>
      </w:r>
      <w:r w:rsidR="00384DEB" w:rsidRPr="001B3020">
        <w:rPr>
          <w:rFonts w:cs="Arial"/>
          <w:color w:val="000000" w:themeColor="text1"/>
          <w:sz w:val="20"/>
        </w:rPr>
        <w:t xml:space="preserve">paid to the Commissioner, by way of credit to the Federal Government. </w:t>
      </w:r>
    </w:p>
    <w:p w:rsidR="00DE3DE4" w:rsidRPr="001B3020" w:rsidRDefault="00DE3DE4" w:rsidP="00DE3DE4">
      <w:pPr>
        <w:pStyle w:val="ListParagraph"/>
        <w:ind w:left="0"/>
        <w:jc w:val="both"/>
        <w:rPr>
          <w:rFonts w:cs="Arial"/>
          <w:color w:val="000000" w:themeColor="text1"/>
          <w:sz w:val="20"/>
        </w:rPr>
      </w:pPr>
    </w:p>
    <w:p w:rsidR="004F5F6B" w:rsidRPr="001B3020" w:rsidRDefault="00384DEB" w:rsidP="009A5977">
      <w:pPr>
        <w:pStyle w:val="ListParagraph"/>
        <w:numPr>
          <w:ilvl w:val="0"/>
          <w:numId w:val="60"/>
        </w:numPr>
        <w:ind w:left="0" w:firstLine="540"/>
        <w:jc w:val="both"/>
        <w:rPr>
          <w:rFonts w:cs="Arial"/>
          <w:color w:val="000000" w:themeColor="text1"/>
          <w:sz w:val="20"/>
        </w:rPr>
      </w:pPr>
      <w:r w:rsidRPr="001B3020">
        <w:rPr>
          <w:rFonts w:cs="Arial"/>
          <w:color w:val="000000" w:themeColor="text1"/>
          <w:sz w:val="20"/>
        </w:rPr>
        <w:t>Issuance of bonus</w:t>
      </w:r>
      <w:r w:rsidR="00F9446D" w:rsidRPr="001B3020">
        <w:rPr>
          <w:rFonts w:cs="Arial"/>
          <w:color w:val="000000" w:themeColor="text1"/>
          <w:sz w:val="20"/>
        </w:rPr>
        <w:t xml:space="preserve"> shares shall be deemed to be the income of the shareholder and the tax collected by a company under sub-section (2) or proceeds of the bonus share</w:t>
      </w:r>
      <w:r w:rsidR="002746D2" w:rsidRPr="001B3020">
        <w:rPr>
          <w:rFonts w:cs="Arial"/>
          <w:color w:val="000000" w:themeColor="text1"/>
          <w:sz w:val="20"/>
        </w:rPr>
        <w:t>s</w:t>
      </w:r>
      <w:r w:rsidR="00F9446D" w:rsidRPr="001B3020">
        <w:rPr>
          <w:rFonts w:cs="Arial"/>
          <w:color w:val="000000" w:themeColor="text1"/>
          <w:sz w:val="20"/>
        </w:rPr>
        <w:t xml:space="preserve"> dispose</w:t>
      </w:r>
      <w:r w:rsidR="008D7B32" w:rsidRPr="001B3020">
        <w:rPr>
          <w:rFonts w:cs="Arial"/>
          <w:color w:val="000000" w:themeColor="text1"/>
          <w:sz w:val="20"/>
        </w:rPr>
        <w:t>d</w:t>
      </w:r>
      <w:r w:rsidR="00F9446D" w:rsidRPr="001B3020">
        <w:rPr>
          <w:rFonts w:cs="Arial"/>
          <w:color w:val="000000" w:themeColor="text1"/>
          <w:sz w:val="20"/>
        </w:rPr>
        <w:t xml:space="preserve"> of and  paid under sub-section (5) shall be treated to have been paid on behalf of shareholder</w:t>
      </w:r>
      <w:r w:rsidR="004F5F6B" w:rsidRPr="001B3020">
        <w:rPr>
          <w:rFonts w:cs="Arial"/>
          <w:color w:val="000000" w:themeColor="text1"/>
          <w:sz w:val="20"/>
        </w:rPr>
        <w:t>.</w:t>
      </w:r>
    </w:p>
    <w:p w:rsidR="000A7E07" w:rsidRPr="001B3020" w:rsidRDefault="000A7E07" w:rsidP="000A7E07">
      <w:pPr>
        <w:pStyle w:val="ListParagraph"/>
        <w:ind w:left="0"/>
        <w:jc w:val="both"/>
        <w:rPr>
          <w:rFonts w:cs="Arial"/>
          <w:color w:val="000000" w:themeColor="text1"/>
          <w:sz w:val="20"/>
        </w:rPr>
      </w:pPr>
    </w:p>
    <w:p w:rsidR="00F9446D" w:rsidRPr="001B3020" w:rsidRDefault="00F9446D" w:rsidP="009A5977">
      <w:pPr>
        <w:pStyle w:val="ListParagraph"/>
        <w:numPr>
          <w:ilvl w:val="0"/>
          <w:numId w:val="60"/>
        </w:numPr>
        <w:ind w:left="0" w:firstLine="540"/>
        <w:jc w:val="both"/>
        <w:rPr>
          <w:rFonts w:cs="Arial"/>
          <w:color w:val="000000" w:themeColor="text1"/>
          <w:sz w:val="20"/>
        </w:rPr>
      </w:pPr>
      <w:r w:rsidRPr="001B3020">
        <w:rPr>
          <w:rFonts w:cs="Arial"/>
          <w:color w:val="000000" w:themeColor="text1"/>
          <w:sz w:val="20"/>
        </w:rPr>
        <w:t xml:space="preserve">Tax paid under this section shall be final tax on the income of the </w:t>
      </w:r>
      <w:r w:rsidR="000A7E07" w:rsidRPr="001B3020">
        <w:rPr>
          <w:rFonts w:cs="Arial"/>
          <w:color w:val="000000" w:themeColor="text1"/>
          <w:sz w:val="20"/>
        </w:rPr>
        <w:t>shareholder of the company arising from issuing of bonus shares.</w:t>
      </w:r>
    </w:p>
    <w:p w:rsidR="003E106A" w:rsidRPr="001B3020" w:rsidRDefault="003E106A" w:rsidP="003E106A">
      <w:pPr>
        <w:pStyle w:val="ListParagraph"/>
        <w:rPr>
          <w:rFonts w:cs="Arial"/>
          <w:color w:val="000000" w:themeColor="text1"/>
          <w:sz w:val="20"/>
        </w:rPr>
      </w:pPr>
    </w:p>
    <w:p w:rsidR="003E106A" w:rsidRPr="001B3020" w:rsidRDefault="003E106A" w:rsidP="003E106A">
      <w:pPr>
        <w:pStyle w:val="ListParagraph"/>
        <w:ind w:left="0"/>
        <w:jc w:val="both"/>
        <w:rPr>
          <w:rFonts w:cs="Arial"/>
          <w:color w:val="000000" w:themeColor="text1"/>
          <w:sz w:val="20"/>
        </w:rPr>
      </w:pPr>
      <w:r w:rsidRPr="001B3020">
        <w:rPr>
          <w:rFonts w:cs="Arial"/>
          <w:b/>
          <w:iCs/>
          <w:color w:val="000000" w:themeColor="text1"/>
          <w:sz w:val="20"/>
        </w:rPr>
        <w:t>236</w:t>
      </w:r>
      <w:r w:rsidR="0011436F" w:rsidRPr="001B3020">
        <w:rPr>
          <w:rFonts w:cs="Arial"/>
          <w:b/>
          <w:iCs/>
          <w:color w:val="000000" w:themeColor="text1"/>
          <w:sz w:val="20"/>
        </w:rPr>
        <w:t>N</w:t>
      </w:r>
      <w:r w:rsidRPr="001B3020">
        <w:rPr>
          <w:rFonts w:cs="Arial"/>
          <w:b/>
          <w:color w:val="000000" w:themeColor="text1"/>
          <w:sz w:val="20"/>
        </w:rPr>
        <w:t>. Bonus shares</w:t>
      </w:r>
      <w:r w:rsidR="004145D2" w:rsidRPr="001B3020">
        <w:rPr>
          <w:rFonts w:cs="Arial"/>
          <w:b/>
          <w:color w:val="000000" w:themeColor="text1"/>
          <w:sz w:val="20"/>
        </w:rPr>
        <w:t xml:space="preserve"> </w:t>
      </w:r>
      <w:r w:rsidRPr="001B3020">
        <w:rPr>
          <w:rFonts w:cs="Arial"/>
          <w:b/>
          <w:color w:val="000000" w:themeColor="text1"/>
          <w:sz w:val="20"/>
        </w:rPr>
        <w:t xml:space="preserve">issued by companies </w:t>
      </w:r>
      <w:r w:rsidR="008D7B32" w:rsidRPr="001B3020">
        <w:rPr>
          <w:rFonts w:cs="Arial"/>
          <w:b/>
          <w:color w:val="000000" w:themeColor="text1"/>
          <w:sz w:val="20"/>
        </w:rPr>
        <w:t xml:space="preserve">not </w:t>
      </w:r>
      <w:r w:rsidRPr="001B3020">
        <w:rPr>
          <w:rFonts w:cs="Arial"/>
          <w:b/>
          <w:color w:val="000000" w:themeColor="text1"/>
          <w:sz w:val="20"/>
        </w:rPr>
        <w:t>quoted on stock exchange .-</w:t>
      </w:r>
      <w:r w:rsidRPr="001B3020">
        <w:rPr>
          <w:rFonts w:cs="Arial"/>
          <w:color w:val="000000" w:themeColor="text1"/>
          <w:sz w:val="20"/>
        </w:rPr>
        <w:t xml:space="preserve"> (1) Notwithstanding </w:t>
      </w:r>
      <w:r w:rsidR="0011436F" w:rsidRPr="001B3020">
        <w:rPr>
          <w:rFonts w:cs="Arial"/>
          <w:color w:val="000000" w:themeColor="text1"/>
          <w:sz w:val="20"/>
        </w:rPr>
        <w:t>anything</w:t>
      </w:r>
      <w:r w:rsidRPr="001B3020">
        <w:rPr>
          <w:rFonts w:cs="Arial"/>
          <w:color w:val="000000" w:themeColor="text1"/>
          <w:sz w:val="20"/>
        </w:rPr>
        <w:t xml:space="preserve"> contained</w:t>
      </w:r>
      <w:r w:rsidR="0011436F" w:rsidRPr="001B3020">
        <w:rPr>
          <w:rFonts w:cs="Arial"/>
          <w:color w:val="000000" w:themeColor="text1"/>
          <w:sz w:val="20"/>
        </w:rPr>
        <w:t xml:space="preserve"> in any law for the time being in force, every company, not quoted on stock exchange, issuing bonus share</w:t>
      </w:r>
      <w:r w:rsidR="00371AA2" w:rsidRPr="001B3020">
        <w:rPr>
          <w:rFonts w:cs="Arial"/>
          <w:color w:val="000000" w:themeColor="text1"/>
          <w:sz w:val="20"/>
        </w:rPr>
        <w:t>s</w:t>
      </w:r>
      <w:r w:rsidR="0011436F" w:rsidRPr="001B3020">
        <w:rPr>
          <w:rFonts w:cs="Arial"/>
          <w:color w:val="000000" w:themeColor="text1"/>
          <w:sz w:val="20"/>
        </w:rPr>
        <w:t xml:space="preserve"> to the shareholders of the company, shall deposit tax, within fifte</w:t>
      </w:r>
      <w:r w:rsidR="00B47DD7" w:rsidRPr="001B3020">
        <w:rPr>
          <w:rFonts w:cs="Arial"/>
          <w:color w:val="000000" w:themeColor="text1"/>
          <w:sz w:val="20"/>
        </w:rPr>
        <w:t>en days of the closure of books, at the rate of five percent of the value of the bonus shares on the first day of closure of books, whether or not tax has been collected by the company under sub-section (3).</w:t>
      </w:r>
    </w:p>
    <w:p w:rsidR="00B47DD7" w:rsidRDefault="00B47DD7" w:rsidP="003E106A">
      <w:pPr>
        <w:pStyle w:val="ListParagraph"/>
        <w:ind w:left="0"/>
        <w:jc w:val="both"/>
        <w:rPr>
          <w:rFonts w:cs="Arial"/>
          <w:color w:val="00B0F0"/>
          <w:sz w:val="22"/>
          <w:szCs w:val="22"/>
        </w:rPr>
      </w:pPr>
    </w:p>
    <w:p w:rsidR="00B47DD7" w:rsidRPr="001B3020" w:rsidRDefault="00B47DD7" w:rsidP="00A5657C">
      <w:pPr>
        <w:pStyle w:val="ListParagraph"/>
        <w:ind w:left="0" w:firstLine="547"/>
        <w:jc w:val="both"/>
        <w:rPr>
          <w:rFonts w:cs="Arial"/>
          <w:color w:val="000000" w:themeColor="text1"/>
          <w:sz w:val="20"/>
        </w:rPr>
      </w:pPr>
      <w:r w:rsidRPr="001B3020">
        <w:rPr>
          <w:rFonts w:cs="Arial"/>
          <w:color w:val="000000" w:themeColor="text1"/>
          <w:sz w:val="20"/>
        </w:rPr>
        <w:t>(2)</w:t>
      </w:r>
      <w:r w:rsidRPr="001B3020">
        <w:rPr>
          <w:rFonts w:cs="Arial"/>
          <w:color w:val="000000" w:themeColor="text1"/>
          <w:sz w:val="20"/>
        </w:rPr>
        <w:tab/>
        <w:t>Issuance of bonus shares shall be deemed to be the income of the shareholder and tax deposited under sub-section (1) shall be treated to have been deposited on behalf of the shareholder.</w:t>
      </w:r>
    </w:p>
    <w:p w:rsidR="00B47DD7" w:rsidRPr="001B3020" w:rsidRDefault="00B47DD7" w:rsidP="003E106A">
      <w:pPr>
        <w:pStyle w:val="ListParagraph"/>
        <w:ind w:left="0"/>
        <w:jc w:val="both"/>
        <w:rPr>
          <w:rFonts w:cs="Arial"/>
          <w:color w:val="000000" w:themeColor="text1"/>
          <w:sz w:val="20"/>
        </w:rPr>
      </w:pPr>
    </w:p>
    <w:p w:rsidR="00B47DD7" w:rsidRPr="001B3020" w:rsidRDefault="00F666A3" w:rsidP="00A5657C">
      <w:pPr>
        <w:pStyle w:val="ListParagraph"/>
        <w:ind w:left="0" w:firstLine="547"/>
        <w:jc w:val="both"/>
        <w:rPr>
          <w:rFonts w:cs="Arial"/>
          <w:color w:val="000000" w:themeColor="text1"/>
          <w:sz w:val="20"/>
        </w:rPr>
      </w:pPr>
      <w:r w:rsidRPr="001B3020">
        <w:rPr>
          <w:rFonts w:cs="Arial"/>
          <w:color w:val="000000" w:themeColor="text1"/>
          <w:sz w:val="20"/>
        </w:rPr>
        <w:t>(3)</w:t>
      </w:r>
      <w:r w:rsidRPr="001B3020">
        <w:rPr>
          <w:rFonts w:cs="Arial"/>
          <w:color w:val="000000" w:themeColor="text1"/>
          <w:sz w:val="20"/>
        </w:rPr>
        <w:tab/>
        <w:t>A company liable to deposit tax under sub-section (1), shall be entitled to collect and recover the tax deposited under sub-section (1),</w:t>
      </w:r>
      <w:r>
        <w:rPr>
          <w:rFonts w:cs="Arial"/>
          <w:color w:val="00B0F0"/>
          <w:sz w:val="22"/>
          <w:szCs w:val="22"/>
        </w:rPr>
        <w:t xml:space="preserve"> </w:t>
      </w:r>
      <w:r w:rsidRPr="001B3020">
        <w:rPr>
          <w:rFonts w:cs="Arial"/>
          <w:color w:val="000000" w:themeColor="text1"/>
          <w:sz w:val="20"/>
        </w:rPr>
        <w:t>from the</w:t>
      </w:r>
      <w:r>
        <w:rPr>
          <w:rFonts w:cs="Arial"/>
          <w:color w:val="00B0F0"/>
          <w:sz w:val="22"/>
          <w:szCs w:val="22"/>
        </w:rPr>
        <w:t xml:space="preserve"> </w:t>
      </w:r>
      <w:r w:rsidRPr="001B3020">
        <w:rPr>
          <w:rFonts w:cs="Arial"/>
          <w:color w:val="000000" w:themeColor="text1"/>
          <w:sz w:val="20"/>
        </w:rPr>
        <w:t>shareholder, on whose behalf the tax has been deposited, before the issuance of bonus share</w:t>
      </w:r>
      <w:r w:rsidR="00371AA2" w:rsidRPr="001B3020">
        <w:rPr>
          <w:rFonts w:cs="Arial"/>
          <w:color w:val="000000" w:themeColor="text1"/>
          <w:sz w:val="20"/>
        </w:rPr>
        <w:t>s</w:t>
      </w:r>
      <w:r w:rsidRPr="001B3020">
        <w:rPr>
          <w:rFonts w:cs="Arial"/>
          <w:color w:val="000000" w:themeColor="text1"/>
          <w:sz w:val="20"/>
        </w:rPr>
        <w:t xml:space="preserve">. </w:t>
      </w:r>
    </w:p>
    <w:p w:rsidR="00403A0A" w:rsidRPr="001B3020" w:rsidRDefault="00403A0A" w:rsidP="003E106A">
      <w:pPr>
        <w:pStyle w:val="ListParagraph"/>
        <w:ind w:left="0"/>
        <w:jc w:val="both"/>
        <w:rPr>
          <w:rFonts w:cs="Arial"/>
          <w:color w:val="000000" w:themeColor="text1"/>
          <w:sz w:val="20"/>
        </w:rPr>
      </w:pPr>
    </w:p>
    <w:p w:rsidR="00403A0A" w:rsidRPr="001B3020" w:rsidRDefault="00403A0A" w:rsidP="00A5657C">
      <w:pPr>
        <w:pStyle w:val="ListParagraph"/>
        <w:ind w:left="0" w:firstLine="547"/>
        <w:jc w:val="both"/>
        <w:rPr>
          <w:rFonts w:cs="Arial"/>
          <w:color w:val="000000" w:themeColor="text1"/>
          <w:sz w:val="20"/>
        </w:rPr>
      </w:pPr>
      <w:r w:rsidRPr="001B3020">
        <w:rPr>
          <w:rFonts w:cs="Arial"/>
          <w:color w:val="000000" w:themeColor="text1"/>
          <w:sz w:val="20"/>
        </w:rPr>
        <w:t>(4)</w:t>
      </w:r>
      <w:r w:rsidRPr="001B3020">
        <w:rPr>
          <w:rFonts w:cs="Arial"/>
          <w:color w:val="000000" w:themeColor="text1"/>
          <w:sz w:val="20"/>
        </w:rPr>
        <w:tab/>
        <w:t xml:space="preserve">If a shareholder neither makes payment of tax to the company nor </w:t>
      </w:r>
      <w:r w:rsidR="00E46260" w:rsidRPr="001B3020">
        <w:rPr>
          <w:rFonts w:cs="Arial"/>
          <w:color w:val="000000" w:themeColor="text1"/>
          <w:sz w:val="20"/>
        </w:rPr>
        <w:t xml:space="preserve">collects its bonus shares, within three months of the date of issuance of bonus </w:t>
      </w:r>
      <w:r w:rsidR="00E46260" w:rsidRPr="001B3020">
        <w:rPr>
          <w:rFonts w:cs="Arial"/>
          <w:color w:val="000000" w:themeColor="text1"/>
          <w:sz w:val="20"/>
        </w:rPr>
        <w:lastRenderedPageBreak/>
        <w:t>shares, the company may proceed to dispose of its bonus shares to the extent it has paid tax on its behalf under sub-section (1).</w:t>
      </w:r>
    </w:p>
    <w:p w:rsidR="00DE67CC" w:rsidRPr="001B3020" w:rsidRDefault="00DE67CC" w:rsidP="00C4023A">
      <w:pPr>
        <w:pStyle w:val="ListParagraph"/>
        <w:ind w:left="0"/>
        <w:jc w:val="both"/>
        <w:rPr>
          <w:rFonts w:cs="Arial"/>
          <w:color w:val="000000" w:themeColor="text1"/>
          <w:sz w:val="20"/>
        </w:rPr>
      </w:pPr>
    </w:p>
    <w:p w:rsidR="00DE67CC" w:rsidRPr="001B3020" w:rsidRDefault="00DE67CC" w:rsidP="00A5657C">
      <w:pPr>
        <w:pStyle w:val="ListParagraph"/>
        <w:ind w:left="0" w:firstLine="547"/>
        <w:jc w:val="both"/>
        <w:rPr>
          <w:rFonts w:cs="Arial"/>
          <w:color w:val="000000" w:themeColor="text1"/>
          <w:sz w:val="20"/>
        </w:rPr>
      </w:pPr>
      <w:r w:rsidRPr="001B3020">
        <w:rPr>
          <w:rFonts w:cs="Arial"/>
          <w:color w:val="000000" w:themeColor="text1"/>
          <w:sz w:val="20"/>
        </w:rPr>
        <w:t>(5)</w:t>
      </w:r>
      <w:r w:rsidRPr="001B3020">
        <w:rPr>
          <w:rFonts w:cs="Arial"/>
          <w:color w:val="000000" w:themeColor="text1"/>
          <w:sz w:val="20"/>
        </w:rPr>
        <w:tab/>
        <w:t>Tax paid under this section shall be a final tax on the income of the shareholder of the company arising from issuance of bonus shares.</w:t>
      </w:r>
    </w:p>
    <w:p w:rsidR="00DE67CC" w:rsidRPr="001B3020" w:rsidRDefault="00DE67CC" w:rsidP="00C4023A">
      <w:pPr>
        <w:pStyle w:val="ListParagraph"/>
        <w:ind w:left="0"/>
        <w:jc w:val="both"/>
        <w:rPr>
          <w:rFonts w:cs="Arial"/>
          <w:color w:val="000000" w:themeColor="text1"/>
          <w:sz w:val="20"/>
        </w:rPr>
      </w:pPr>
    </w:p>
    <w:p w:rsidR="00DE67CC" w:rsidRPr="001B3020" w:rsidRDefault="00C4023A" w:rsidP="004C0FA0">
      <w:pPr>
        <w:pStyle w:val="ListParagraph"/>
        <w:numPr>
          <w:ilvl w:val="0"/>
          <w:numId w:val="58"/>
        </w:numPr>
        <w:ind w:left="0" w:firstLine="540"/>
        <w:jc w:val="both"/>
        <w:rPr>
          <w:rFonts w:cs="Arial"/>
          <w:color w:val="000000" w:themeColor="text1"/>
          <w:sz w:val="20"/>
        </w:rPr>
      </w:pPr>
      <w:r w:rsidRPr="001B3020">
        <w:rPr>
          <w:rFonts w:cs="Arial"/>
          <w:color w:val="000000" w:themeColor="text1"/>
          <w:sz w:val="20"/>
        </w:rPr>
        <w:t>The Board may prescribe rules for determination of value of shares under sub-section (1).</w:t>
      </w:r>
      <w:r w:rsidR="00434B74" w:rsidRPr="001B3020">
        <w:rPr>
          <w:rFonts w:cs="Arial"/>
          <w:color w:val="000000" w:themeColor="text1"/>
          <w:sz w:val="20"/>
        </w:rPr>
        <w:t>]</w:t>
      </w:r>
    </w:p>
    <w:p w:rsidR="00A5657C" w:rsidRDefault="00A5657C" w:rsidP="00A5657C">
      <w:pPr>
        <w:jc w:val="both"/>
        <w:rPr>
          <w:rFonts w:cs="Arial"/>
          <w:color w:val="00B0F0"/>
          <w:sz w:val="22"/>
          <w:szCs w:val="22"/>
        </w:rPr>
      </w:pPr>
    </w:p>
    <w:p w:rsidR="00A5657C" w:rsidRPr="007203D0" w:rsidRDefault="007203D0" w:rsidP="00A5657C">
      <w:pPr>
        <w:autoSpaceDE w:val="0"/>
        <w:autoSpaceDN w:val="0"/>
        <w:adjustRightInd w:val="0"/>
        <w:jc w:val="both"/>
        <w:rPr>
          <w:rFonts w:cs="Arial"/>
          <w:color w:val="984806" w:themeColor="accent6" w:themeShade="80"/>
          <w:sz w:val="20"/>
          <w:lang w:val="en-US"/>
        </w:rPr>
      </w:pPr>
      <w:r w:rsidRPr="009A5977">
        <w:rPr>
          <w:rStyle w:val="FootnoteReference"/>
          <w:rFonts w:cs="Arial"/>
          <w:color w:val="000000" w:themeColor="text1"/>
          <w:sz w:val="20"/>
          <w:lang w:val="en-US"/>
        </w:rPr>
        <w:footnoteReference w:id="1532"/>
      </w:r>
      <w:r w:rsidR="00A5657C" w:rsidRPr="009A5977">
        <w:rPr>
          <w:rFonts w:cs="Arial"/>
          <w:color w:val="000000" w:themeColor="text1"/>
          <w:sz w:val="20"/>
          <w:lang w:val="en-US"/>
        </w:rPr>
        <w:t xml:space="preserve">[“236O. </w:t>
      </w:r>
      <w:r w:rsidR="00A5657C" w:rsidRPr="009A5977">
        <w:rPr>
          <w:rFonts w:cs="Arial"/>
          <w:b/>
          <w:bCs/>
          <w:color w:val="000000" w:themeColor="text1"/>
          <w:sz w:val="20"/>
          <w:lang w:val="en-US"/>
        </w:rPr>
        <w:t>Advance tax under this chapter</w:t>
      </w:r>
      <w:r w:rsidR="00A5657C" w:rsidRPr="009A5977">
        <w:rPr>
          <w:rFonts w:cs="Arial"/>
          <w:color w:val="000000" w:themeColor="text1"/>
          <w:sz w:val="20"/>
          <w:lang w:val="en-US"/>
        </w:rPr>
        <w:t>.—The advance tax under this chapter shall not be collected</w:t>
      </w:r>
      <w:r w:rsidR="00A5657C" w:rsidRPr="007203D0">
        <w:rPr>
          <w:rFonts w:cs="Arial"/>
          <w:color w:val="984806" w:themeColor="accent6" w:themeShade="80"/>
          <w:sz w:val="20"/>
          <w:lang w:val="en-US"/>
        </w:rPr>
        <w:t xml:space="preserve"> </w:t>
      </w:r>
      <w:r w:rsidR="00841C6F" w:rsidRPr="0009763F">
        <w:rPr>
          <w:rStyle w:val="FootnoteReference"/>
          <w:rFonts w:cs="Arial"/>
          <w:color w:val="0070C0"/>
          <w:sz w:val="20"/>
          <w:lang w:val="en-US"/>
        </w:rPr>
        <w:footnoteReference w:id="1533"/>
      </w:r>
      <w:r w:rsidR="00841C6F" w:rsidRPr="0009763F">
        <w:rPr>
          <w:rFonts w:cs="Arial"/>
          <w:color w:val="0070C0"/>
          <w:sz w:val="20"/>
        </w:rPr>
        <w:t>[“or deducted from”]</w:t>
      </w:r>
      <w:r w:rsidR="00841C6F">
        <w:rPr>
          <w:rFonts w:cs="Arial"/>
          <w:color w:val="FF0000"/>
          <w:sz w:val="20"/>
        </w:rPr>
        <w:t xml:space="preserve"> </w:t>
      </w:r>
      <w:r w:rsidR="00A5657C" w:rsidRPr="007203D0">
        <w:rPr>
          <w:rFonts w:cs="Arial"/>
          <w:color w:val="984806" w:themeColor="accent6" w:themeShade="80"/>
          <w:sz w:val="20"/>
          <w:lang w:val="en-US"/>
        </w:rPr>
        <w:t>—</w:t>
      </w:r>
    </w:p>
    <w:p w:rsidR="00A5657C" w:rsidRPr="007203D0" w:rsidRDefault="00A5657C" w:rsidP="00A5657C">
      <w:pPr>
        <w:autoSpaceDE w:val="0"/>
        <w:autoSpaceDN w:val="0"/>
        <w:adjustRightInd w:val="0"/>
        <w:jc w:val="both"/>
        <w:rPr>
          <w:rFonts w:cs="Arial"/>
          <w:color w:val="984806" w:themeColor="accent6" w:themeShade="80"/>
          <w:sz w:val="20"/>
          <w:lang w:val="en-US"/>
        </w:rPr>
      </w:pPr>
    </w:p>
    <w:p w:rsidR="00A5657C" w:rsidRPr="009A5977" w:rsidRDefault="00A5657C" w:rsidP="004C0FA0">
      <w:pPr>
        <w:pStyle w:val="ListParagraph"/>
        <w:numPr>
          <w:ilvl w:val="0"/>
          <w:numId w:val="62"/>
        </w:numPr>
        <w:autoSpaceDE w:val="0"/>
        <w:autoSpaceDN w:val="0"/>
        <w:adjustRightInd w:val="0"/>
        <w:jc w:val="both"/>
        <w:rPr>
          <w:rFonts w:cs="Arial"/>
          <w:color w:val="000000" w:themeColor="text1"/>
          <w:sz w:val="20"/>
          <w:lang w:val="en-US"/>
        </w:rPr>
      </w:pPr>
      <w:r w:rsidRPr="009A5977">
        <w:rPr>
          <w:rFonts w:cs="Arial"/>
          <w:color w:val="000000" w:themeColor="text1"/>
          <w:sz w:val="20"/>
          <w:lang w:val="en-US"/>
        </w:rPr>
        <w:t>the Federal Government or a Provincial Government;</w:t>
      </w:r>
    </w:p>
    <w:p w:rsidR="00A5657C" w:rsidRPr="009A5977" w:rsidRDefault="00A5657C" w:rsidP="00A5657C">
      <w:pPr>
        <w:pStyle w:val="ListParagraph"/>
        <w:autoSpaceDE w:val="0"/>
        <w:autoSpaceDN w:val="0"/>
        <w:adjustRightInd w:val="0"/>
        <w:ind w:left="1454"/>
        <w:jc w:val="both"/>
        <w:rPr>
          <w:rFonts w:cs="Arial"/>
          <w:color w:val="000000" w:themeColor="text1"/>
          <w:sz w:val="20"/>
          <w:lang w:val="en-US"/>
        </w:rPr>
      </w:pPr>
    </w:p>
    <w:p w:rsidR="00A5657C" w:rsidRPr="009A5977" w:rsidRDefault="00A5657C" w:rsidP="004C0FA0">
      <w:pPr>
        <w:pStyle w:val="ListParagraph"/>
        <w:numPr>
          <w:ilvl w:val="0"/>
          <w:numId w:val="62"/>
        </w:numPr>
        <w:autoSpaceDE w:val="0"/>
        <w:autoSpaceDN w:val="0"/>
        <w:adjustRightInd w:val="0"/>
        <w:jc w:val="both"/>
        <w:rPr>
          <w:rFonts w:cs="Arial"/>
          <w:color w:val="000000" w:themeColor="text1"/>
          <w:sz w:val="20"/>
          <w:lang w:val="en-US"/>
        </w:rPr>
      </w:pPr>
      <w:r w:rsidRPr="009A5977">
        <w:rPr>
          <w:rFonts w:cs="Arial"/>
          <w:color w:val="000000" w:themeColor="text1"/>
          <w:sz w:val="20"/>
          <w:lang w:val="en-US"/>
        </w:rPr>
        <w:t>a foreign diplomat or a diplomatic mission in Pakistan; or</w:t>
      </w:r>
    </w:p>
    <w:p w:rsidR="00A5657C" w:rsidRPr="009A5977" w:rsidRDefault="00A5657C" w:rsidP="00A5657C">
      <w:pPr>
        <w:pStyle w:val="ListParagraph"/>
        <w:rPr>
          <w:rFonts w:cs="Arial"/>
          <w:color w:val="000000" w:themeColor="text1"/>
          <w:sz w:val="20"/>
          <w:lang w:val="en-US"/>
        </w:rPr>
      </w:pPr>
    </w:p>
    <w:p w:rsidR="00A5657C" w:rsidRPr="009A5977" w:rsidRDefault="00A5657C" w:rsidP="00A5657C">
      <w:pPr>
        <w:autoSpaceDE w:val="0"/>
        <w:autoSpaceDN w:val="0"/>
        <w:adjustRightInd w:val="0"/>
        <w:ind w:left="1350" w:hanging="270"/>
        <w:jc w:val="both"/>
        <w:rPr>
          <w:rFonts w:cs="Arial"/>
          <w:color w:val="000000" w:themeColor="text1"/>
          <w:sz w:val="20"/>
          <w:lang w:val="en-US"/>
        </w:rPr>
      </w:pPr>
      <w:r w:rsidRPr="009A5977">
        <w:rPr>
          <w:rFonts w:cs="Arial"/>
          <w:color w:val="000000" w:themeColor="text1"/>
          <w:sz w:val="20"/>
          <w:lang w:val="en-US"/>
        </w:rPr>
        <w:t>(c) a person who produces a certificate from the Commissioner that his income during the tax year is exempt.</w:t>
      </w:r>
      <w:r w:rsidR="008D1F51" w:rsidRPr="009A5977">
        <w:rPr>
          <w:rFonts w:cs="Arial"/>
          <w:color w:val="000000" w:themeColor="text1"/>
          <w:sz w:val="20"/>
          <w:lang w:val="en-US"/>
        </w:rPr>
        <w:t>”]</w:t>
      </w:r>
    </w:p>
    <w:p w:rsidR="00A5657C" w:rsidRPr="007203D0" w:rsidRDefault="00A5657C" w:rsidP="00A5657C">
      <w:pPr>
        <w:autoSpaceDE w:val="0"/>
        <w:autoSpaceDN w:val="0"/>
        <w:adjustRightInd w:val="0"/>
        <w:ind w:left="1350" w:hanging="270"/>
        <w:jc w:val="both"/>
        <w:rPr>
          <w:rFonts w:cs="Arial"/>
          <w:color w:val="984806" w:themeColor="accent6" w:themeShade="80"/>
          <w:sz w:val="20"/>
          <w:lang w:val="en-US"/>
        </w:rPr>
      </w:pPr>
    </w:p>
    <w:p w:rsidR="00A5657C" w:rsidRPr="009A5977" w:rsidRDefault="008C37A3" w:rsidP="00A5657C">
      <w:pPr>
        <w:autoSpaceDE w:val="0"/>
        <w:autoSpaceDN w:val="0"/>
        <w:adjustRightInd w:val="0"/>
        <w:jc w:val="both"/>
        <w:rPr>
          <w:rFonts w:cs="Arial"/>
          <w:color w:val="000000" w:themeColor="text1"/>
          <w:sz w:val="20"/>
          <w:lang w:val="en-US"/>
        </w:rPr>
      </w:pPr>
      <w:r w:rsidRPr="009A5977">
        <w:rPr>
          <w:rStyle w:val="FootnoteReference"/>
          <w:rFonts w:cs="Arial"/>
          <w:color w:val="000000" w:themeColor="text1"/>
          <w:sz w:val="20"/>
          <w:lang w:val="en-US"/>
        </w:rPr>
        <w:footnoteReference w:id="1534"/>
      </w:r>
      <w:r w:rsidRPr="009A5977">
        <w:rPr>
          <w:rFonts w:cs="Arial"/>
          <w:color w:val="000000" w:themeColor="text1"/>
          <w:sz w:val="20"/>
          <w:lang w:val="en-US"/>
        </w:rPr>
        <w:t>[“</w:t>
      </w:r>
      <w:r w:rsidR="00A5657C" w:rsidRPr="009A5977">
        <w:rPr>
          <w:rFonts w:cs="Arial"/>
          <w:color w:val="000000" w:themeColor="text1"/>
          <w:sz w:val="20"/>
          <w:lang w:val="en-US"/>
        </w:rPr>
        <w:t xml:space="preserve">236P. </w:t>
      </w:r>
      <w:r w:rsidR="00A5657C" w:rsidRPr="009A5977">
        <w:rPr>
          <w:rFonts w:cs="Arial"/>
          <w:b/>
          <w:bCs/>
          <w:color w:val="000000" w:themeColor="text1"/>
          <w:sz w:val="20"/>
          <w:lang w:val="en-US"/>
        </w:rPr>
        <w:t>Advance tax on banking transactions otherwise than through cash</w:t>
      </w:r>
      <w:r w:rsidR="00A5657C" w:rsidRPr="009A5977">
        <w:rPr>
          <w:rFonts w:cs="Arial"/>
          <w:b/>
          <w:bCs/>
          <w:i/>
          <w:iCs/>
          <w:color w:val="000000" w:themeColor="text1"/>
          <w:sz w:val="20"/>
          <w:lang w:val="en-US"/>
        </w:rPr>
        <w:t>.</w:t>
      </w:r>
      <w:r w:rsidR="00A5657C" w:rsidRPr="009A5977">
        <w:rPr>
          <w:rFonts w:cs="Arial"/>
          <w:color w:val="000000" w:themeColor="text1"/>
          <w:sz w:val="20"/>
          <w:lang w:val="en-US"/>
        </w:rPr>
        <w:t>— (1) Every banking company shall collect advance adjustable tax from a non-filer at the time of sale of any instrument, including demand draft, pay order, special deposit receipt, cash deposit receipt, short term deposit receipt, call deposit receipt, rupee traveller‘s cheque or any other instrument of such nature.</w:t>
      </w:r>
    </w:p>
    <w:p w:rsidR="00A5657C" w:rsidRPr="009A5977" w:rsidRDefault="00A5657C" w:rsidP="00A5657C">
      <w:pPr>
        <w:autoSpaceDE w:val="0"/>
        <w:autoSpaceDN w:val="0"/>
        <w:adjustRightInd w:val="0"/>
        <w:jc w:val="both"/>
        <w:rPr>
          <w:rFonts w:cs="Arial"/>
          <w:color w:val="000000" w:themeColor="text1"/>
          <w:sz w:val="20"/>
          <w:lang w:val="en-US"/>
        </w:rPr>
      </w:pPr>
    </w:p>
    <w:p w:rsidR="00A5657C" w:rsidRPr="009A5977" w:rsidRDefault="00A5657C" w:rsidP="00A5657C">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t>(2) Every banking company shall collect advance adjustable tax from a non-filer at the time of transfer of any sum through cheque or clearing, interbank or intra bank transfers through cheques, online transfer, telegraphic transfer, mail transfer, direct debit, payments through internet, payments through mobile phones, account to account funds transfer, third party account to account funds transfers, real time account to account funds transfer, real time third party account to account fund transfer, automated teller machine (ATM) transfers, or any other mode of electronic or paper based funds transfer.</w:t>
      </w:r>
    </w:p>
    <w:p w:rsidR="00A5657C" w:rsidRPr="009A5977" w:rsidRDefault="00A5657C" w:rsidP="00A5657C">
      <w:pPr>
        <w:autoSpaceDE w:val="0"/>
        <w:autoSpaceDN w:val="0"/>
        <w:adjustRightInd w:val="0"/>
        <w:ind w:firstLine="547"/>
        <w:jc w:val="both"/>
        <w:rPr>
          <w:rFonts w:cs="Arial"/>
          <w:color w:val="000000" w:themeColor="text1"/>
          <w:sz w:val="20"/>
          <w:lang w:val="en-US"/>
        </w:rPr>
      </w:pPr>
    </w:p>
    <w:p w:rsidR="00A5657C" w:rsidRPr="009A5977" w:rsidRDefault="00A5657C" w:rsidP="00A510B7">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t>(3) The advance tax under this section shall be collected at the rate specified in Division XXI of Part IV of the First Schedule, where the sum total of payments for all transactions mentioned in sub-section (1) or subsection (2), as the case may be, exceed fifty thousand rupees in a day.</w:t>
      </w:r>
    </w:p>
    <w:p w:rsidR="008A20EF" w:rsidRPr="007203D0" w:rsidRDefault="008A20EF" w:rsidP="00A510B7">
      <w:pPr>
        <w:autoSpaceDE w:val="0"/>
        <w:autoSpaceDN w:val="0"/>
        <w:adjustRightInd w:val="0"/>
        <w:ind w:firstLine="547"/>
        <w:jc w:val="both"/>
        <w:rPr>
          <w:rFonts w:cs="Arial"/>
          <w:color w:val="984806" w:themeColor="accent6" w:themeShade="80"/>
          <w:sz w:val="20"/>
          <w:lang w:val="en-US"/>
        </w:rPr>
      </w:pPr>
    </w:p>
    <w:p w:rsidR="008A20EF" w:rsidRPr="0009763F" w:rsidRDefault="008A20EF" w:rsidP="008A20EF">
      <w:pPr>
        <w:pStyle w:val="ListParagraph"/>
        <w:ind w:left="900" w:firstLine="540"/>
        <w:jc w:val="both"/>
        <w:rPr>
          <w:rFonts w:cs="Arial"/>
          <w:color w:val="0070C0"/>
          <w:sz w:val="20"/>
        </w:rPr>
      </w:pPr>
      <w:r w:rsidRPr="0009763F">
        <w:rPr>
          <w:rStyle w:val="FootnoteReference"/>
          <w:rFonts w:cs="Arial"/>
          <w:color w:val="0070C0"/>
          <w:sz w:val="20"/>
        </w:rPr>
        <w:footnoteReference w:id="1535"/>
      </w:r>
      <w:r w:rsidRPr="0009763F">
        <w:rPr>
          <w:rFonts w:cs="Arial"/>
          <w:color w:val="0070C0"/>
          <w:sz w:val="20"/>
        </w:rPr>
        <w:t>[“</w:t>
      </w:r>
      <w:r w:rsidRPr="0009763F">
        <w:rPr>
          <w:rFonts w:cs="Arial"/>
          <w:bCs/>
          <w:i/>
          <w:color w:val="0070C0"/>
          <w:sz w:val="20"/>
        </w:rPr>
        <w:t>Explanation.-</w:t>
      </w:r>
      <w:r w:rsidRPr="0009763F">
        <w:rPr>
          <w:rFonts w:cs="Arial"/>
          <w:bCs/>
          <w:color w:val="0070C0"/>
          <w:sz w:val="20"/>
        </w:rPr>
        <w:t xml:space="preserve"> For removal of doubt, it is clarified that the said fifty thousand rupees shall be aggregate transfers from all the bank accounts in a single day.”]</w:t>
      </w:r>
    </w:p>
    <w:p w:rsidR="00A5657C" w:rsidRDefault="00A5657C" w:rsidP="00A5657C">
      <w:pPr>
        <w:autoSpaceDE w:val="0"/>
        <w:autoSpaceDN w:val="0"/>
        <w:adjustRightInd w:val="0"/>
        <w:jc w:val="both"/>
        <w:rPr>
          <w:rFonts w:cs="Arial"/>
          <w:color w:val="984806" w:themeColor="accent6" w:themeShade="80"/>
          <w:sz w:val="20"/>
          <w:lang w:val="en-US"/>
        </w:rPr>
      </w:pPr>
    </w:p>
    <w:p w:rsidR="00A5657C" w:rsidRPr="009A5977" w:rsidRDefault="00A5657C" w:rsidP="00A510B7">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t xml:space="preserve">(4) Advance tax under this section shall not be collected in the case of </w:t>
      </w:r>
      <w:r w:rsidR="00B22F00" w:rsidRPr="009A5977">
        <w:rPr>
          <w:rStyle w:val="FootnoteReference"/>
          <w:rFonts w:cs="Arial"/>
          <w:color w:val="000000" w:themeColor="text1"/>
          <w:sz w:val="20"/>
          <w:lang w:val="en-US"/>
        </w:rPr>
        <w:footnoteReference w:id="1536"/>
      </w:r>
      <w:r w:rsidR="00B22F00" w:rsidRPr="009A5977">
        <w:rPr>
          <w:rFonts w:cs="Arial"/>
          <w:color w:val="000000" w:themeColor="text1"/>
          <w:sz w:val="20"/>
          <w:lang w:val="en-US"/>
        </w:rPr>
        <w:t xml:space="preserve">[   ] </w:t>
      </w:r>
      <w:r w:rsidRPr="009A5977">
        <w:rPr>
          <w:rFonts w:cs="Arial"/>
          <w:color w:val="000000" w:themeColor="text1"/>
          <w:sz w:val="20"/>
          <w:lang w:val="en-US"/>
        </w:rPr>
        <w:t>payments made for Federal, Provincial or local Government taxes.</w:t>
      </w:r>
      <w:r w:rsidR="008C37A3" w:rsidRPr="009A5977">
        <w:rPr>
          <w:rFonts w:cs="Arial"/>
          <w:color w:val="000000" w:themeColor="text1"/>
          <w:sz w:val="20"/>
          <w:lang w:val="en-US"/>
        </w:rPr>
        <w:t>”]</w:t>
      </w:r>
    </w:p>
    <w:p w:rsidR="00A5657C" w:rsidRPr="009A5977" w:rsidRDefault="00A5657C" w:rsidP="00A5657C">
      <w:pPr>
        <w:autoSpaceDE w:val="0"/>
        <w:autoSpaceDN w:val="0"/>
        <w:adjustRightInd w:val="0"/>
        <w:jc w:val="both"/>
        <w:rPr>
          <w:rFonts w:cs="Arial"/>
          <w:color w:val="000000" w:themeColor="text1"/>
          <w:sz w:val="20"/>
          <w:lang w:val="en-US"/>
        </w:rPr>
      </w:pPr>
    </w:p>
    <w:p w:rsidR="00A5657C" w:rsidRPr="009A5977" w:rsidRDefault="0049357E" w:rsidP="00A5657C">
      <w:pPr>
        <w:autoSpaceDE w:val="0"/>
        <w:autoSpaceDN w:val="0"/>
        <w:adjustRightInd w:val="0"/>
        <w:jc w:val="both"/>
        <w:rPr>
          <w:rFonts w:cs="Arial"/>
          <w:color w:val="000000" w:themeColor="text1"/>
          <w:sz w:val="20"/>
          <w:lang w:val="en-US"/>
        </w:rPr>
      </w:pPr>
      <w:r w:rsidRPr="009A5977">
        <w:rPr>
          <w:rStyle w:val="FootnoteReference"/>
          <w:rFonts w:cs="Arial"/>
          <w:b/>
          <w:bCs/>
          <w:color w:val="000000" w:themeColor="text1"/>
          <w:sz w:val="20"/>
          <w:lang w:val="en-US"/>
        </w:rPr>
        <w:footnoteReference w:id="1537"/>
      </w:r>
      <w:r w:rsidRPr="009A5977">
        <w:rPr>
          <w:rFonts w:cs="Arial"/>
          <w:b/>
          <w:bCs/>
          <w:color w:val="000000" w:themeColor="text1"/>
          <w:sz w:val="20"/>
          <w:lang w:val="en-US"/>
        </w:rPr>
        <w:t>[“</w:t>
      </w:r>
      <w:r w:rsidR="00A5657C" w:rsidRPr="009A5977">
        <w:rPr>
          <w:rFonts w:cs="Arial"/>
          <w:b/>
          <w:bCs/>
          <w:color w:val="000000" w:themeColor="text1"/>
          <w:sz w:val="20"/>
          <w:lang w:val="en-US"/>
        </w:rPr>
        <w:t>236Q. Payment to residents for use of machinery and equipment.</w:t>
      </w:r>
      <w:r w:rsidR="00A5657C" w:rsidRPr="009A5977">
        <w:rPr>
          <w:rFonts w:ascii="Arial,Bold" w:hAnsi="Arial,Bold" w:cs="Arial,Bold"/>
          <w:b/>
          <w:bCs/>
          <w:color w:val="000000" w:themeColor="text1"/>
          <w:sz w:val="20"/>
          <w:lang w:val="en-US"/>
        </w:rPr>
        <w:t>—</w:t>
      </w:r>
      <w:r w:rsidR="00A5657C" w:rsidRPr="009A5977">
        <w:rPr>
          <w:rFonts w:cs="Arial"/>
          <w:color w:val="000000" w:themeColor="text1"/>
          <w:sz w:val="20"/>
          <w:lang w:val="en-US"/>
        </w:rPr>
        <w:t>(1) Every prescribed person making a payment in full or in part including a payment by way of advance to a resident person for use or right to use industrial, commercial and scientific equipment shall deduct tax from the gross amount at the rate specified in Division XXIII of Part IV of the First Schedule.</w:t>
      </w:r>
    </w:p>
    <w:p w:rsidR="00A5657C" w:rsidRPr="009A5977" w:rsidRDefault="00A5657C" w:rsidP="00A5657C">
      <w:pPr>
        <w:autoSpaceDE w:val="0"/>
        <w:autoSpaceDN w:val="0"/>
        <w:adjustRightInd w:val="0"/>
        <w:jc w:val="both"/>
        <w:rPr>
          <w:rFonts w:cs="Arial"/>
          <w:color w:val="000000" w:themeColor="text1"/>
          <w:sz w:val="20"/>
          <w:lang w:val="en-US"/>
        </w:rPr>
      </w:pPr>
    </w:p>
    <w:p w:rsidR="00A5657C" w:rsidRPr="009A5977" w:rsidRDefault="00A5657C" w:rsidP="00A510B7">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t>(2) Every prescribed person making a payment in full or in part including a payment by way of advance to a resident person on account of rent of machinery shall deduct tax from the gross amount at the rate specified in Division XXIII of Part IV of the First Schedule.</w:t>
      </w:r>
    </w:p>
    <w:p w:rsidR="00A5657C" w:rsidRPr="009A5977" w:rsidRDefault="00A5657C" w:rsidP="00A5657C">
      <w:pPr>
        <w:autoSpaceDE w:val="0"/>
        <w:autoSpaceDN w:val="0"/>
        <w:adjustRightInd w:val="0"/>
        <w:jc w:val="both"/>
        <w:rPr>
          <w:rFonts w:cs="Arial"/>
          <w:color w:val="000000" w:themeColor="text1"/>
          <w:sz w:val="20"/>
          <w:lang w:val="en-US"/>
        </w:rPr>
      </w:pPr>
    </w:p>
    <w:p w:rsidR="00A5657C" w:rsidRPr="009A5977" w:rsidRDefault="00A5657C" w:rsidP="00A510B7">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t>(3) The tax deductible under sub-sections (1) and (2) shall be final tax on the income of such resident person.</w:t>
      </w:r>
    </w:p>
    <w:p w:rsidR="00A5657C" w:rsidRPr="007203D0" w:rsidRDefault="00A5657C" w:rsidP="00A5657C">
      <w:pPr>
        <w:autoSpaceDE w:val="0"/>
        <w:autoSpaceDN w:val="0"/>
        <w:adjustRightInd w:val="0"/>
        <w:jc w:val="both"/>
        <w:rPr>
          <w:rFonts w:cs="Arial"/>
          <w:color w:val="984806" w:themeColor="accent6" w:themeShade="80"/>
          <w:sz w:val="20"/>
          <w:lang w:val="en-US"/>
        </w:rPr>
      </w:pPr>
    </w:p>
    <w:p w:rsidR="00A5657C" w:rsidRPr="009A5977" w:rsidRDefault="00A5657C" w:rsidP="00A510B7">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t>(4) In this section ―prescribed person‖ means a prescribed person as defined in sub-section (7) of section 153.</w:t>
      </w:r>
    </w:p>
    <w:p w:rsidR="00A5657C" w:rsidRPr="009A5977" w:rsidRDefault="00A5657C" w:rsidP="00A5657C">
      <w:pPr>
        <w:autoSpaceDE w:val="0"/>
        <w:autoSpaceDN w:val="0"/>
        <w:adjustRightInd w:val="0"/>
        <w:jc w:val="both"/>
        <w:rPr>
          <w:rFonts w:cs="Arial"/>
          <w:color w:val="000000" w:themeColor="text1"/>
          <w:sz w:val="20"/>
          <w:lang w:val="en-US"/>
        </w:rPr>
      </w:pPr>
    </w:p>
    <w:p w:rsidR="00A5657C" w:rsidRPr="009A5977" w:rsidRDefault="00A5657C" w:rsidP="00A510B7">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t>(5) The provisions of sub-section (1) and (2) shall not apply to—</w:t>
      </w:r>
    </w:p>
    <w:p w:rsidR="00A5657C" w:rsidRPr="009A5977" w:rsidRDefault="00A5657C" w:rsidP="00A5657C">
      <w:pPr>
        <w:autoSpaceDE w:val="0"/>
        <w:autoSpaceDN w:val="0"/>
        <w:adjustRightInd w:val="0"/>
        <w:jc w:val="both"/>
        <w:rPr>
          <w:rFonts w:cs="Arial"/>
          <w:color w:val="000000" w:themeColor="text1"/>
          <w:sz w:val="20"/>
          <w:lang w:val="en-US"/>
        </w:rPr>
      </w:pPr>
    </w:p>
    <w:p w:rsidR="00A5657C" w:rsidRPr="009A5977" w:rsidRDefault="00A5657C" w:rsidP="004C0FA0">
      <w:pPr>
        <w:pStyle w:val="ListParagraph"/>
        <w:numPr>
          <w:ilvl w:val="0"/>
          <w:numId w:val="64"/>
        </w:numPr>
        <w:autoSpaceDE w:val="0"/>
        <w:autoSpaceDN w:val="0"/>
        <w:adjustRightInd w:val="0"/>
        <w:jc w:val="both"/>
        <w:rPr>
          <w:rFonts w:cs="Arial"/>
          <w:color w:val="000000" w:themeColor="text1"/>
          <w:sz w:val="20"/>
          <w:lang w:val="en-US"/>
        </w:rPr>
      </w:pPr>
      <w:r w:rsidRPr="009A5977">
        <w:rPr>
          <w:rFonts w:cs="Arial"/>
          <w:color w:val="000000" w:themeColor="text1"/>
          <w:sz w:val="20"/>
          <w:lang w:val="en-US"/>
        </w:rPr>
        <w:t>agricultural machinery; and</w:t>
      </w:r>
    </w:p>
    <w:p w:rsidR="00A510B7" w:rsidRPr="009A5977" w:rsidRDefault="00A510B7" w:rsidP="00A510B7">
      <w:pPr>
        <w:pStyle w:val="ListParagraph"/>
        <w:autoSpaceDE w:val="0"/>
        <w:autoSpaceDN w:val="0"/>
        <w:adjustRightInd w:val="0"/>
        <w:ind w:left="1260"/>
        <w:jc w:val="both"/>
        <w:rPr>
          <w:rFonts w:cs="Arial"/>
          <w:color w:val="000000" w:themeColor="text1"/>
          <w:sz w:val="14"/>
          <w:lang w:val="en-US"/>
        </w:rPr>
      </w:pPr>
    </w:p>
    <w:p w:rsidR="00A5657C" w:rsidRPr="009A5977" w:rsidRDefault="00A5657C" w:rsidP="00767252">
      <w:pPr>
        <w:autoSpaceDE w:val="0"/>
        <w:autoSpaceDN w:val="0"/>
        <w:adjustRightInd w:val="0"/>
        <w:ind w:left="1260" w:hanging="360"/>
        <w:jc w:val="both"/>
        <w:rPr>
          <w:rFonts w:cs="Arial"/>
          <w:color w:val="000000" w:themeColor="text1"/>
          <w:sz w:val="20"/>
          <w:lang w:val="en-US"/>
        </w:rPr>
      </w:pPr>
      <w:r w:rsidRPr="009A5977">
        <w:rPr>
          <w:rFonts w:cs="Arial"/>
          <w:color w:val="000000" w:themeColor="text1"/>
          <w:sz w:val="20"/>
          <w:lang w:val="en-US"/>
        </w:rPr>
        <w:t>(b) machinery leased by a leasing company, an investment bank or a modaraba or a scheduled bank or a development finance institution in respect of assets owned by the leasing company or an investment bank or a modaraba or a scheduled bank or a development finance institution.</w:t>
      </w:r>
      <w:r w:rsidR="0049357E" w:rsidRPr="009A5977">
        <w:rPr>
          <w:rFonts w:cs="Arial"/>
          <w:color w:val="000000" w:themeColor="text1"/>
          <w:sz w:val="20"/>
          <w:lang w:val="en-US"/>
        </w:rPr>
        <w:t>”]</w:t>
      </w:r>
    </w:p>
    <w:p w:rsidR="00A5657C" w:rsidRPr="009A5977" w:rsidRDefault="00A5657C" w:rsidP="00A5657C">
      <w:pPr>
        <w:autoSpaceDE w:val="0"/>
        <w:autoSpaceDN w:val="0"/>
        <w:adjustRightInd w:val="0"/>
        <w:jc w:val="both"/>
        <w:rPr>
          <w:rFonts w:cs="Arial"/>
          <w:color w:val="000000" w:themeColor="text1"/>
          <w:sz w:val="14"/>
          <w:lang w:val="en-US"/>
        </w:rPr>
      </w:pPr>
    </w:p>
    <w:p w:rsidR="00A5657C" w:rsidRPr="009A5977" w:rsidRDefault="0049357E" w:rsidP="00A5657C">
      <w:pPr>
        <w:autoSpaceDE w:val="0"/>
        <w:autoSpaceDN w:val="0"/>
        <w:adjustRightInd w:val="0"/>
        <w:jc w:val="both"/>
        <w:rPr>
          <w:rFonts w:cs="Arial"/>
          <w:color w:val="000000" w:themeColor="text1"/>
          <w:sz w:val="20"/>
          <w:lang w:val="en-US"/>
        </w:rPr>
      </w:pPr>
      <w:r w:rsidRPr="009A5977">
        <w:rPr>
          <w:rStyle w:val="FootnoteReference"/>
          <w:rFonts w:cs="Arial"/>
          <w:b/>
          <w:bCs/>
          <w:color w:val="000000" w:themeColor="text1"/>
          <w:sz w:val="20"/>
          <w:lang w:val="en-US"/>
        </w:rPr>
        <w:footnoteReference w:id="1538"/>
      </w:r>
      <w:r w:rsidRPr="009A5977">
        <w:rPr>
          <w:rFonts w:cs="Arial"/>
          <w:b/>
          <w:bCs/>
          <w:color w:val="000000" w:themeColor="text1"/>
          <w:sz w:val="20"/>
          <w:lang w:val="en-US"/>
        </w:rPr>
        <w:t>[“</w:t>
      </w:r>
      <w:r w:rsidR="00A5657C" w:rsidRPr="009A5977">
        <w:rPr>
          <w:rFonts w:cs="Arial"/>
          <w:b/>
          <w:bCs/>
          <w:color w:val="000000" w:themeColor="text1"/>
          <w:sz w:val="20"/>
          <w:lang w:val="en-US"/>
        </w:rPr>
        <w:t>236R. Collection of advance tax on education related expenses</w:t>
      </w:r>
      <w:r w:rsidR="000C55CD" w:rsidRPr="009A5977">
        <w:rPr>
          <w:rFonts w:cs="Arial"/>
          <w:b/>
          <w:bCs/>
          <w:color w:val="000000" w:themeColor="text1"/>
          <w:sz w:val="20"/>
          <w:lang w:val="en-US"/>
        </w:rPr>
        <w:t xml:space="preserve"> </w:t>
      </w:r>
      <w:r w:rsidR="00A5657C" w:rsidRPr="009A5977">
        <w:rPr>
          <w:rFonts w:cs="Arial"/>
          <w:b/>
          <w:bCs/>
          <w:color w:val="000000" w:themeColor="text1"/>
          <w:sz w:val="20"/>
          <w:lang w:val="en-US"/>
        </w:rPr>
        <w:t>remitted abroad.</w:t>
      </w:r>
      <w:r w:rsidR="00A5657C" w:rsidRPr="009A5977">
        <w:rPr>
          <w:rFonts w:ascii="Arial,Bold" w:hAnsi="Arial,Bold" w:cs="Arial,Bold"/>
          <w:b/>
          <w:bCs/>
          <w:color w:val="000000" w:themeColor="text1"/>
          <w:sz w:val="20"/>
          <w:lang w:val="en-US"/>
        </w:rPr>
        <w:t>―</w:t>
      </w:r>
      <w:r w:rsidR="00A5657C" w:rsidRPr="009A5977">
        <w:rPr>
          <w:rFonts w:cs="Arial"/>
          <w:color w:val="000000" w:themeColor="text1"/>
          <w:sz w:val="20"/>
          <w:lang w:val="en-US"/>
        </w:rPr>
        <w:t>(1) There shall be collected advance tax at the rate</w:t>
      </w:r>
      <w:r w:rsidR="00963C80" w:rsidRPr="009A5977">
        <w:rPr>
          <w:rFonts w:cs="Arial"/>
          <w:color w:val="000000" w:themeColor="text1"/>
          <w:sz w:val="20"/>
          <w:lang w:val="en-US"/>
        </w:rPr>
        <w:t xml:space="preserve"> </w:t>
      </w:r>
      <w:r w:rsidR="00A5657C" w:rsidRPr="009A5977">
        <w:rPr>
          <w:rFonts w:cs="Arial"/>
          <w:color w:val="000000" w:themeColor="text1"/>
          <w:sz w:val="20"/>
          <w:lang w:val="en-US"/>
        </w:rPr>
        <w:t>specified in Division XXIIV of Part-IV of the First Schedule on the amount</w:t>
      </w:r>
      <w:r w:rsidR="000C55CD" w:rsidRPr="009A5977">
        <w:rPr>
          <w:rFonts w:cs="Arial"/>
          <w:color w:val="000000" w:themeColor="text1"/>
          <w:sz w:val="20"/>
          <w:lang w:val="en-US"/>
        </w:rPr>
        <w:t xml:space="preserve"> </w:t>
      </w:r>
      <w:r w:rsidR="00A5657C" w:rsidRPr="009A5977">
        <w:rPr>
          <w:rFonts w:cs="Arial"/>
          <w:color w:val="000000" w:themeColor="text1"/>
          <w:sz w:val="20"/>
          <w:lang w:val="en-US"/>
        </w:rPr>
        <w:t>of education related expenses remitted abroad.</w:t>
      </w:r>
    </w:p>
    <w:p w:rsidR="002535E0" w:rsidRPr="009A5977" w:rsidRDefault="002535E0" w:rsidP="00A5657C">
      <w:pPr>
        <w:autoSpaceDE w:val="0"/>
        <w:autoSpaceDN w:val="0"/>
        <w:adjustRightInd w:val="0"/>
        <w:jc w:val="both"/>
        <w:rPr>
          <w:rFonts w:cs="Arial"/>
          <w:color w:val="000000" w:themeColor="text1"/>
          <w:sz w:val="20"/>
          <w:lang w:val="en-US"/>
        </w:rPr>
      </w:pPr>
    </w:p>
    <w:p w:rsidR="00A5657C" w:rsidRPr="009A5977" w:rsidRDefault="00A5657C" w:rsidP="001C54E5">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t>(2) Banks, financial institutions, foreign exchange companies or any</w:t>
      </w:r>
      <w:r w:rsidR="000C55CD" w:rsidRPr="009A5977">
        <w:rPr>
          <w:rFonts w:cs="Arial"/>
          <w:color w:val="000000" w:themeColor="text1"/>
          <w:sz w:val="20"/>
          <w:lang w:val="en-US"/>
        </w:rPr>
        <w:t xml:space="preserve"> </w:t>
      </w:r>
      <w:r w:rsidRPr="009A5977">
        <w:rPr>
          <w:rFonts w:cs="Arial"/>
          <w:color w:val="000000" w:themeColor="text1"/>
          <w:sz w:val="20"/>
          <w:lang w:val="en-US"/>
        </w:rPr>
        <w:t>other person responsible for remitting foreign currency abroad shall collect</w:t>
      </w:r>
      <w:r w:rsidR="000C55CD" w:rsidRPr="009A5977">
        <w:rPr>
          <w:rFonts w:cs="Arial"/>
          <w:color w:val="000000" w:themeColor="text1"/>
          <w:sz w:val="20"/>
          <w:lang w:val="en-US"/>
        </w:rPr>
        <w:t xml:space="preserve"> </w:t>
      </w:r>
      <w:r w:rsidRPr="009A5977">
        <w:rPr>
          <w:rFonts w:cs="Arial"/>
          <w:color w:val="000000" w:themeColor="text1"/>
          <w:sz w:val="20"/>
          <w:lang w:val="en-US"/>
        </w:rPr>
        <w:t>advance tax from the payer of education related expenses.</w:t>
      </w:r>
    </w:p>
    <w:p w:rsidR="002535E0" w:rsidRPr="009A5977" w:rsidRDefault="002535E0" w:rsidP="00A5657C">
      <w:pPr>
        <w:autoSpaceDE w:val="0"/>
        <w:autoSpaceDN w:val="0"/>
        <w:adjustRightInd w:val="0"/>
        <w:jc w:val="both"/>
        <w:rPr>
          <w:rFonts w:cs="Arial"/>
          <w:color w:val="000000" w:themeColor="text1"/>
          <w:sz w:val="20"/>
          <w:lang w:val="en-US"/>
        </w:rPr>
      </w:pPr>
    </w:p>
    <w:p w:rsidR="00A5657C" w:rsidRPr="009A5977" w:rsidRDefault="00A5657C" w:rsidP="001C54E5">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lastRenderedPageBreak/>
        <w:t>(3) Tax collected under this section shall be adjustable against the</w:t>
      </w:r>
      <w:r w:rsidR="000C55CD" w:rsidRPr="009A5977">
        <w:rPr>
          <w:rFonts w:cs="Arial"/>
          <w:color w:val="000000" w:themeColor="text1"/>
          <w:sz w:val="20"/>
          <w:lang w:val="en-US"/>
        </w:rPr>
        <w:t xml:space="preserve"> </w:t>
      </w:r>
      <w:r w:rsidRPr="009A5977">
        <w:rPr>
          <w:rFonts w:cs="Arial"/>
          <w:color w:val="000000" w:themeColor="text1"/>
          <w:sz w:val="20"/>
          <w:lang w:val="en-US"/>
        </w:rPr>
        <w:t>income of the person remitting payment of education related expenses.</w:t>
      </w:r>
    </w:p>
    <w:p w:rsidR="002535E0" w:rsidRPr="009A5977" w:rsidRDefault="002535E0" w:rsidP="00A5657C">
      <w:pPr>
        <w:autoSpaceDE w:val="0"/>
        <w:autoSpaceDN w:val="0"/>
        <w:adjustRightInd w:val="0"/>
        <w:jc w:val="both"/>
        <w:rPr>
          <w:rFonts w:cs="Arial"/>
          <w:color w:val="000000" w:themeColor="text1"/>
          <w:sz w:val="20"/>
          <w:lang w:val="en-US"/>
        </w:rPr>
      </w:pPr>
    </w:p>
    <w:p w:rsidR="00A5657C" w:rsidRPr="009A5977" w:rsidRDefault="00A5657C" w:rsidP="001C54E5">
      <w:pPr>
        <w:autoSpaceDE w:val="0"/>
        <w:autoSpaceDN w:val="0"/>
        <w:adjustRightInd w:val="0"/>
        <w:ind w:firstLine="547"/>
        <w:jc w:val="both"/>
        <w:rPr>
          <w:rFonts w:cs="Arial"/>
          <w:color w:val="000000" w:themeColor="text1"/>
          <w:sz w:val="20"/>
          <w:lang w:val="en-US"/>
        </w:rPr>
      </w:pPr>
      <w:r w:rsidRPr="009A5977">
        <w:rPr>
          <w:rFonts w:cs="Arial"/>
          <w:color w:val="000000" w:themeColor="text1"/>
          <w:sz w:val="20"/>
          <w:lang w:val="en-US"/>
        </w:rPr>
        <w:t xml:space="preserve">(4) For the purpose of this section, </w:t>
      </w:r>
      <w:r w:rsidR="002535E0" w:rsidRPr="009A5977">
        <w:rPr>
          <w:rFonts w:cs="Arial"/>
          <w:color w:val="000000" w:themeColor="text1"/>
          <w:sz w:val="20"/>
          <w:lang w:val="en-US"/>
        </w:rPr>
        <w:t>“</w:t>
      </w:r>
      <w:r w:rsidRPr="009A5977">
        <w:rPr>
          <w:rFonts w:cs="Arial"/>
          <w:color w:val="000000" w:themeColor="text1"/>
          <w:sz w:val="20"/>
          <w:lang w:val="en-US"/>
        </w:rPr>
        <w:t>education related expenses</w:t>
      </w:r>
      <w:r w:rsidR="002535E0" w:rsidRPr="009A5977">
        <w:rPr>
          <w:rFonts w:cs="Arial"/>
          <w:color w:val="000000" w:themeColor="text1"/>
          <w:sz w:val="20"/>
          <w:lang w:val="en-US"/>
        </w:rPr>
        <w:t xml:space="preserve">” </w:t>
      </w:r>
      <w:r w:rsidRPr="009A5977">
        <w:rPr>
          <w:rFonts w:cs="Arial"/>
          <w:color w:val="000000" w:themeColor="text1"/>
          <w:sz w:val="20"/>
          <w:lang w:val="en-US"/>
        </w:rPr>
        <w:t>includes tuition fee, boarding and lodging expenses, any payment for</w:t>
      </w:r>
      <w:r w:rsidR="000C55CD" w:rsidRPr="009A5977">
        <w:rPr>
          <w:rFonts w:cs="Arial"/>
          <w:color w:val="000000" w:themeColor="text1"/>
          <w:sz w:val="20"/>
          <w:lang w:val="en-US"/>
        </w:rPr>
        <w:t xml:space="preserve"> </w:t>
      </w:r>
      <w:r w:rsidRPr="009A5977">
        <w:rPr>
          <w:rFonts w:cs="Arial"/>
          <w:color w:val="000000" w:themeColor="text1"/>
          <w:sz w:val="20"/>
          <w:lang w:val="en-US"/>
        </w:rPr>
        <w:t>distant learning to any institution or university in a foreign country and any</w:t>
      </w:r>
      <w:r w:rsidR="000C55CD" w:rsidRPr="009A5977">
        <w:rPr>
          <w:rFonts w:cs="Arial"/>
          <w:color w:val="000000" w:themeColor="text1"/>
          <w:sz w:val="20"/>
          <w:lang w:val="en-US"/>
        </w:rPr>
        <w:t xml:space="preserve"> </w:t>
      </w:r>
      <w:r w:rsidRPr="009A5977">
        <w:rPr>
          <w:rFonts w:cs="Arial"/>
          <w:color w:val="000000" w:themeColor="text1"/>
          <w:sz w:val="20"/>
          <w:lang w:val="en-US"/>
        </w:rPr>
        <w:t>other expense related or attributable to foreign education.</w:t>
      </w:r>
      <w:r w:rsidR="0049357E" w:rsidRPr="009A5977">
        <w:rPr>
          <w:rFonts w:cs="Arial"/>
          <w:color w:val="000000" w:themeColor="text1"/>
          <w:sz w:val="20"/>
          <w:lang w:val="en-US"/>
        </w:rPr>
        <w:t>”]</w:t>
      </w:r>
    </w:p>
    <w:p w:rsidR="002535E0" w:rsidRPr="009A5977" w:rsidRDefault="002535E0" w:rsidP="00A5657C">
      <w:pPr>
        <w:autoSpaceDE w:val="0"/>
        <w:autoSpaceDN w:val="0"/>
        <w:adjustRightInd w:val="0"/>
        <w:jc w:val="both"/>
        <w:rPr>
          <w:rFonts w:cs="Arial"/>
          <w:color w:val="000000" w:themeColor="text1"/>
          <w:sz w:val="20"/>
          <w:lang w:val="en-US"/>
        </w:rPr>
      </w:pPr>
    </w:p>
    <w:p w:rsidR="00A5657C" w:rsidRPr="009A5977" w:rsidRDefault="0049357E" w:rsidP="00A5657C">
      <w:pPr>
        <w:autoSpaceDE w:val="0"/>
        <w:autoSpaceDN w:val="0"/>
        <w:adjustRightInd w:val="0"/>
        <w:jc w:val="both"/>
        <w:rPr>
          <w:rFonts w:cs="Arial"/>
          <w:color w:val="000000" w:themeColor="text1"/>
          <w:sz w:val="20"/>
          <w:lang w:val="en-US"/>
        </w:rPr>
      </w:pPr>
      <w:r w:rsidRPr="009A5977">
        <w:rPr>
          <w:rStyle w:val="FootnoteReference"/>
          <w:rFonts w:cs="Arial"/>
          <w:b/>
          <w:bCs/>
          <w:color w:val="000000" w:themeColor="text1"/>
          <w:sz w:val="20"/>
          <w:lang w:val="en-US"/>
        </w:rPr>
        <w:footnoteReference w:id="1539"/>
      </w:r>
      <w:r w:rsidRPr="009A5977">
        <w:rPr>
          <w:rFonts w:cs="Arial"/>
          <w:b/>
          <w:bCs/>
          <w:color w:val="000000" w:themeColor="text1"/>
          <w:sz w:val="20"/>
          <w:lang w:val="en-US"/>
        </w:rPr>
        <w:t>[“</w:t>
      </w:r>
      <w:r w:rsidR="00A5657C" w:rsidRPr="009A5977">
        <w:rPr>
          <w:rFonts w:cs="Arial"/>
          <w:b/>
          <w:bCs/>
          <w:color w:val="000000" w:themeColor="text1"/>
          <w:sz w:val="20"/>
          <w:lang w:val="en-US"/>
        </w:rPr>
        <w:t>236S. Dividend in specie</w:t>
      </w:r>
      <w:r w:rsidR="00A5657C" w:rsidRPr="009A5977">
        <w:rPr>
          <w:rFonts w:cs="Arial"/>
          <w:color w:val="000000" w:themeColor="text1"/>
          <w:sz w:val="20"/>
          <w:lang w:val="en-US"/>
        </w:rPr>
        <w:t>.—Every person making payment of</w:t>
      </w:r>
      <w:r w:rsidR="000C55CD" w:rsidRPr="009A5977">
        <w:rPr>
          <w:rFonts w:cs="Arial"/>
          <w:color w:val="000000" w:themeColor="text1"/>
          <w:sz w:val="20"/>
          <w:lang w:val="en-US"/>
        </w:rPr>
        <w:t xml:space="preserve"> </w:t>
      </w:r>
      <w:r w:rsidR="00A5657C" w:rsidRPr="009A5977">
        <w:rPr>
          <w:rFonts w:cs="Arial"/>
          <w:color w:val="000000" w:themeColor="text1"/>
          <w:sz w:val="20"/>
          <w:lang w:val="en-US"/>
        </w:rPr>
        <w:t>dividend-in-specie shall collect tax from the gross amount of the dividend</w:t>
      </w:r>
      <w:r w:rsidR="000C55CD" w:rsidRPr="009A5977">
        <w:rPr>
          <w:rFonts w:cs="Arial"/>
          <w:color w:val="000000" w:themeColor="text1"/>
          <w:sz w:val="20"/>
          <w:lang w:val="en-US"/>
        </w:rPr>
        <w:t xml:space="preserve"> </w:t>
      </w:r>
      <w:r w:rsidR="00A5657C" w:rsidRPr="009A5977">
        <w:rPr>
          <w:rFonts w:cs="Arial"/>
          <w:color w:val="000000" w:themeColor="text1"/>
          <w:sz w:val="20"/>
          <w:lang w:val="en-US"/>
        </w:rPr>
        <w:t>in specie paid at the rate specified in Division I of Part III of the First</w:t>
      </w:r>
      <w:r w:rsidR="000C55CD" w:rsidRPr="009A5977">
        <w:rPr>
          <w:rFonts w:cs="Arial"/>
          <w:color w:val="000000" w:themeColor="text1"/>
          <w:sz w:val="20"/>
          <w:lang w:val="en-US"/>
        </w:rPr>
        <w:t xml:space="preserve"> </w:t>
      </w:r>
      <w:r w:rsidR="00A5657C" w:rsidRPr="009A5977">
        <w:rPr>
          <w:rFonts w:cs="Arial"/>
          <w:color w:val="000000" w:themeColor="text1"/>
          <w:sz w:val="20"/>
          <w:lang w:val="en-US"/>
        </w:rPr>
        <w:t>Schedule.</w:t>
      </w:r>
      <w:r w:rsidRPr="009A5977">
        <w:rPr>
          <w:rFonts w:cs="Arial"/>
          <w:color w:val="000000" w:themeColor="text1"/>
          <w:sz w:val="20"/>
          <w:lang w:val="en-US"/>
        </w:rPr>
        <w:t>”]</w:t>
      </w:r>
    </w:p>
    <w:p w:rsidR="002535E0" w:rsidRPr="007203D0" w:rsidRDefault="002535E0" w:rsidP="00A5657C">
      <w:pPr>
        <w:autoSpaceDE w:val="0"/>
        <w:autoSpaceDN w:val="0"/>
        <w:adjustRightInd w:val="0"/>
        <w:jc w:val="both"/>
        <w:rPr>
          <w:rFonts w:cs="Arial"/>
          <w:color w:val="984806" w:themeColor="accent6" w:themeShade="80"/>
          <w:sz w:val="20"/>
          <w:lang w:val="en-US"/>
        </w:rPr>
      </w:pPr>
    </w:p>
    <w:p w:rsidR="00241F24" w:rsidRPr="009A5977" w:rsidRDefault="0049357E" w:rsidP="00241F24">
      <w:pPr>
        <w:autoSpaceDE w:val="0"/>
        <w:autoSpaceDN w:val="0"/>
        <w:adjustRightInd w:val="0"/>
        <w:jc w:val="both"/>
        <w:rPr>
          <w:rFonts w:cs="Arial"/>
          <w:color w:val="00B0F0"/>
          <w:sz w:val="20"/>
        </w:rPr>
      </w:pPr>
      <w:r w:rsidRPr="009A5977">
        <w:rPr>
          <w:rStyle w:val="FootnoteReference"/>
          <w:rFonts w:cs="Arial"/>
          <w:bCs/>
          <w:color w:val="000000" w:themeColor="text1"/>
          <w:sz w:val="20"/>
          <w:lang w:val="en-US"/>
        </w:rPr>
        <w:footnoteReference w:id="1540"/>
      </w:r>
      <w:r w:rsidRPr="009A5977">
        <w:rPr>
          <w:rFonts w:cs="Arial"/>
          <w:bCs/>
          <w:color w:val="000000" w:themeColor="text1"/>
          <w:sz w:val="20"/>
          <w:lang w:val="en-US"/>
        </w:rPr>
        <w:t>[</w:t>
      </w:r>
      <w:r w:rsidR="00241F24" w:rsidRPr="009A5977">
        <w:rPr>
          <w:rFonts w:cs="Arial"/>
          <w:bCs/>
          <w:color w:val="000000" w:themeColor="text1"/>
          <w:sz w:val="20"/>
          <w:lang w:val="en-US"/>
        </w:rPr>
        <w:t xml:space="preserve"> </w:t>
      </w:r>
      <w:r w:rsidR="00241F24" w:rsidRPr="009A5977">
        <w:rPr>
          <w:rStyle w:val="FootnoteReference"/>
          <w:rFonts w:cs="Arial"/>
          <w:bCs/>
          <w:color w:val="0070C0"/>
          <w:sz w:val="20"/>
          <w:lang w:val="en-US"/>
        </w:rPr>
        <w:footnoteReference w:id="1541"/>
      </w:r>
      <w:r w:rsidR="00241F24" w:rsidRPr="009A5977">
        <w:rPr>
          <w:rFonts w:cs="Arial"/>
          <w:bCs/>
          <w:color w:val="0070C0"/>
          <w:sz w:val="20"/>
          <w:lang w:val="en-US"/>
        </w:rPr>
        <w:t>[  ]</w:t>
      </w:r>
      <w:r w:rsidR="00241F24" w:rsidRPr="009A5977">
        <w:rPr>
          <w:rFonts w:cs="Arial"/>
          <w:bCs/>
          <w:color w:val="984806" w:themeColor="accent6" w:themeShade="80"/>
          <w:sz w:val="20"/>
          <w:lang w:val="en-US"/>
        </w:rPr>
        <w:t xml:space="preserve"> </w:t>
      </w:r>
      <w:r w:rsidR="00241F24" w:rsidRPr="009A5977">
        <w:rPr>
          <w:rFonts w:cs="Arial"/>
          <w:bCs/>
          <w:color w:val="000000" w:themeColor="text1"/>
          <w:sz w:val="20"/>
          <w:lang w:val="en-US"/>
        </w:rPr>
        <w:t xml:space="preserve">] </w:t>
      </w:r>
    </w:p>
    <w:p w:rsidR="00A5657C" w:rsidRPr="00A5657C" w:rsidRDefault="00A5657C" w:rsidP="002D4E0C">
      <w:pPr>
        <w:autoSpaceDE w:val="0"/>
        <w:autoSpaceDN w:val="0"/>
        <w:adjustRightInd w:val="0"/>
        <w:ind w:firstLine="547"/>
        <w:jc w:val="both"/>
        <w:rPr>
          <w:rFonts w:cs="Arial"/>
          <w:color w:val="00B0F0"/>
          <w:sz w:val="20"/>
        </w:rPr>
      </w:pPr>
    </w:p>
    <w:p w:rsidR="00A5657C" w:rsidRDefault="00A5657C" w:rsidP="00A5657C">
      <w:pPr>
        <w:jc w:val="both"/>
        <w:rPr>
          <w:rFonts w:cs="Arial"/>
          <w:color w:val="00B0F0"/>
          <w:sz w:val="22"/>
          <w:szCs w:val="22"/>
        </w:rPr>
      </w:pPr>
    </w:p>
    <w:p w:rsidR="008A20EF" w:rsidRPr="0009763F" w:rsidRDefault="00241F24" w:rsidP="008A20EF">
      <w:pPr>
        <w:jc w:val="both"/>
        <w:rPr>
          <w:rFonts w:cs="Arial"/>
          <w:color w:val="0070C0"/>
          <w:sz w:val="20"/>
        </w:rPr>
      </w:pPr>
      <w:r w:rsidRPr="0009763F">
        <w:rPr>
          <w:rStyle w:val="FootnoteReference"/>
          <w:rFonts w:cs="Arial"/>
          <w:color w:val="0070C0"/>
          <w:sz w:val="20"/>
        </w:rPr>
        <w:footnoteReference w:id="1542"/>
      </w:r>
      <w:r w:rsidR="008A20EF" w:rsidRPr="0009763F">
        <w:rPr>
          <w:rFonts w:cs="Arial"/>
          <w:color w:val="0070C0"/>
          <w:sz w:val="20"/>
        </w:rPr>
        <w:t>[“</w:t>
      </w:r>
      <w:r w:rsidR="008A20EF" w:rsidRPr="0009763F">
        <w:rPr>
          <w:rFonts w:cs="Arial"/>
          <w:b/>
          <w:color w:val="0070C0"/>
          <w:sz w:val="20"/>
        </w:rPr>
        <w:t>236U. Advance tax on insurance premium.-</w:t>
      </w:r>
      <w:r w:rsidR="008A20EF" w:rsidRPr="0009763F">
        <w:rPr>
          <w:rFonts w:cs="Arial"/>
          <w:color w:val="0070C0"/>
          <w:sz w:val="20"/>
        </w:rPr>
        <w:t xml:space="preserve"> (1) Every insurance company shall collect advance tax at the time of collection of insurance premium from non-filers in respect of general insurance premium and life insurance premium, at the rates specified in Division XXV of Part IV of the First Schedule.</w:t>
      </w:r>
    </w:p>
    <w:p w:rsidR="008A20EF" w:rsidRPr="0009763F" w:rsidRDefault="008A20EF" w:rsidP="008A20EF">
      <w:pPr>
        <w:jc w:val="both"/>
        <w:rPr>
          <w:rFonts w:cs="Arial"/>
          <w:color w:val="0070C0"/>
          <w:sz w:val="20"/>
        </w:rPr>
      </w:pPr>
    </w:p>
    <w:p w:rsidR="008A20EF" w:rsidRPr="0009763F" w:rsidRDefault="008A20EF" w:rsidP="008A20EF">
      <w:pPr>
        <w:ind w:firstLine="540"/>
        <w:jc w:val="both"/>
        <w:rPr>
          <w:rFonts w:cs="Arial"/>
          <w:color w:val="0070C0"/>
          <w:sz w:val="20"/>
        </w:rPr>
      </w:pPr>
      <w:r w:rsidRPr="0009763F">
        <w:rPr>
          <w:rFonts w:cs="Arial"/>
          <w:color w:val="0070C0"/>
          <w:sz w:val="20"/>
        </w:rPr>
        <w:t>(2)</w:t>
      </w:r>
      <w:r w:rsidRPr="0009763F">
        <w:rPr>
          <w:rFonts w:cs="Arial"/>
          <w:color w:val="0070C0"/>
          <w:sz w:val="20"/>
        </w:rPr>
        <w:tab/>
        <w:t>Insurance premium collected through agents of the insurance company shall be treated to have been collected by the insurance company.</w:t>
      </w:r>
    </w:p>
    <w:p w:rsidR="008A20EF" w:rsidRPr="0009763F" w:rsidRDefault="008A20EF" w:rsidP="008A20EF">
      <w:pPr>
        <w:ind w:firstLine="540"/>
        <w:jc w:val="both"/>
        <w:rPr>
          <w:rFonts w:cs="Arial"/>
          <w:color w:val="0070C0"/>
          <w:sz w:val="20"/>
        </w:rPr>
      </w:pPr>
    </w:p>
    <w:p w:rsidR="008A20EF" w:rsidRPr="0009763F" w:rsidRDefault="008A20EF" w:rsidP="008A20EF">
      <w:pPr>
        <w:ind w:firstLine="540"/>
        <w:jc w:val="both"/>
        <w:rPr>
          <w:rFonts w:cs="Arial"/>
          <w:color w:val="0070C0"/>
          <w:sz w:val="20"/>
        </w:rPr>
      </w:pPr>
      <w:r w:rsidRPr="0009763F">
        <w:rPr>
          <w:rFonts w:cs="Arial"/>
          <w:color w:val="0070C0"/>
          <w:sz w:val="20"/>
        </w:rPr>
        <w:t>(3)</w:t>
      </w:r>
      <w:r w:rsidRPr="0009763F">
        <w:rPr>
          <w:rFonts w:cs="Arial"/>
          <w:color w:val="0070C0"/>
          <w:sz w:val="20"/>
        </w:rPr>
        <w:tab/>
        <w:t>Advance tax collected under this section shall be adjustable.</w:t>
      </w:r>
      <w:r w:rsidR="00241F24" w:rsidRPr="0009763F">
        <w:rPr>
          <w:rFonts w:cs="Arial"/>
          <w:color w:val="0070C0"/>
          <w:sz w:val="20"/>
        </w:rPr>
        <w:t>]</w:t>
      </w:r>
    </w:p>
    <w:p w:rsidR="008A20EF" w:rsidRPr="0009763F" w:rsidRDefault="008A20EF" w:rsidP="008A20EF">
      <w:pPr>
        <w:ind w:firstLine="540"/>
        <w:jc w:val="both"/>
        <w:rPr>
          <w:rFonts w:cs="Arial"/>
          <w:color w:val="0070C0"/>
          <w:sz w:val="20"/>
        </w:rPr>
      </w:pPr>
    </w:p>
    <w:p w:rsidR="008A20EF" w:rsidRPr="0009763F" w:rsidRDefault="00241F24" w:rsidP="008A20EF">
      <w:pPr>
        <w:jc w:val="both"/>
        <w:rPr>
          <w:rFonts w:cs="Arial"/>
          <w:color w:val="0070C0"/>
          <w:sz w:val="20"/>
          <w:shd w:val="clear" w:color="auto" w:fill="FFFFFF"/>
        </w:rPr>
      </w:pPr>
      <w:r w:rsidRPr="0009763F">
        <w:rPr>
          <w:rStyle w:val="FootnoteReference"/>
          <w:rFonts w:cs="Arial"/>
          <w:b/>
          <w:color w:val="0070C0"/>
          <w:sz w:val="20"/>
        </w:rPr>
        <w:footnoteReference w:id="1543"/>
      </w:r>
      <w:r w:rsidRPr="0009763F">
        <w:rPr>
          <w:rFonts w:cs="Arial"/>
          <w:b/>
          <w:color w:val="0070C0"/>
          <w:sz w:val="20"/>
        </w:rPr>
        <w:t>[</w:t>
      </w:r>
      <w:r w:rsidR="008A20EF" w:rsidRPr="0009763F">
        <w:rPr>
          <w:rFonts w:cs="Arial"/>
          <w:b/>
          <w:color w:val="0070C0"/>
          <w:sz w:val="20"/>
        </w:rPr>
        <w:t xml:space="preserve">236V. Advance tax on extraction of minerals.- </w:t>
      </w:r>
      <w:r w:rsidR="008A20EF" w:rsidRPr="0009763F">
        <w:rPr>
          <w:rFonts w:cs="Arial"/>
          <w:color w:val="0070C0"/>
          <w:sz w:val="20"/>
        </w:rPr>
        <w:t xml:space="preserve">(1) There shall be collected advance tax at the rate specified in Division XXVI of Part-IV of the First Schedule on the value of </w:t>
      </w:r>
      <w:r w:rsidR="008A20EF" w:rsidRPr="0009763F">
        <w:rPr>
          <w:rFonts w:cs="Arial"/>
          <w:color w:val="0070C0"/>
          <w:sz w:val="20"/>
          <w:shd w:val="clear" w:color="auto" w:fill="FFFFFF"/>
        </w:rPr>
        <w:t xml:space="preserve">minerals extracted, </w:t>
      </w:r>
      <w:r w:rsidR="008A20EF" w:rsidRPr="0009763F">
        <w:rPr>
          <w:rFonts w:cs="Arial"/>
          <w:color w:val="0070C0"/>
          <w:sz w:val="20"/>
        </w:rPr>
        <w:t xml:space="preserve">produced, </w:t>
      </w:r>
      <w:r w:rsidR="008A20EF" w:rsidRPr="0009763F">
        <w:rPr>
          <w:rFonts w:cs="Arial"/>
          <w:color w:val="0070C0"/>
          <w:sz w:val="20"/>
          <w:shd w:val="clear" w:color="auto" w:fill="FFFFFF"/>
        </w:rPr>
        <w:t>despatched</w:t>
      </w:r>
      <w:r w:rsidR="008A20EF" w:rsidRPr="0009763F">
        <w:rPr>
          <w:rFonts w:cs="Arial"/>
          <w:color w:val="0070C0"/>
          <w:sz w:val="20"/>
        </w:rPr>
        <w:t xml:space="preserve"> and carried away from the licensed  or leased areas</w:t>
      </w:r>
      <w:r w:rsidR="008A20EF" w:rsidRPr="0009763F">
        <w:rPr>
          <w:rFonts w:cs="Arial"/>
          <w:color w:val="0070C0"/>
          <w:sz w:val="20"/>
          <w:shd w:val="clear" w:color="auto" w:fill="FFFFFF"/>
        </w:rPr>
        <w:t xml:space="preserve"> of the mines.</w:t>
      </w:r>
    </w:p>
    <w:p w:rsidR="008A20EF" w:rsidRPr="0009763F" w:rsidRDefault="008A20EF" w:rsidP="008A20EF">
      <w:pPr>
        <w:jc w:val="both"/>
        <w:rPr>
          <w:rFonts w:cs="Arial"/>
          <w:color w:val="0070C0"/>
          <w:sz w:val="20"/>
          <w:shd w:val="clear" w:color="auto" w:fill="FFFFFF"/>
        </w:rPr>
      </w:pPr>
    </w:p>
    <w:p w:rsidR="008A20EF" w:rsidRPr="0009763F" w:rsidRDefault="008A20EF" w:rsidP="008A20EF">
      <w:pPr>
        <w:ind w:firstLine="540"/>
        <w:jc w:val="both"/>
        <w:rPr>
          <w:rFonts w:cs="Arial"/>
          <w:color w:val="0070C0"/>
          <w:sz w:val="20"/>
          <w:shd w:val="clear" w:color="auto" w:fill="FFFFFF"/>
        </w:rPr>
      </w:pPr>
      <w:r w:rsidRPr="0009763F">
        <w:rPr>
          <w:rFonts w:cs="Arial"/>
          <w:color w:val="0070C0"/>
          <w:sz w:val="20"/>
          <w:shd w:val="clear" w:color="auto" w:fill="FFFFFF"/>
        </w:rPr>
        <w:t>(2)</w:t>
      </w:r>
      <w:r w:rsidRPr="0009763F">
        <w:rPr>
          <w:rFonts w:cs="Arial"/>
          <w:color w:val="0070C0"/>
          <w:sz w:val="20"/>
          <w:shd w:val="clear" w:color="auto" w:fill="FFFFFF"/>
        </w:rPr>
        <w:tab/>
        <w:t xml:space="preserve">Advance tax under sub-section (1) shall be collected by the provincial authority collecting royalty </w:t>
      </w:r>
      <w:r w:rsidRPr="0009763F">
        <w:rPr>
          <w:rFonts w:cs="Arial"/>
          <w:color w:val="0070C0"/>
          <w:sz w:val="20"/>
        </w:rPr>
        <w:t>per metric ton</w:t>
      </w:r>
      <w:r w:rsidRPr="0009763F">
        <w:rPr>
          <w:rFonts w:cs="Arial"/>
          <w:color w:val="0070C0"/>
          <w:sz w:val="20"/>
          <w:shd w:val="clear" w:color="auto" w:fill="FFFFFF"/>
        </w:rPr>
        <w:t xml:space="preserve"> from the lease-holder of mines or any person extracting minerals. </w:t>
      </w:r>
    </w:p>
    <w:p w:rsidR="008A20EF" w:rsidRPr="0009763F" w:rsidRDefault="008A20EF" w:rsidP="008A20EF">
      <w:pPr>
        <w:ind w:firstLine="540"/>
        <w:jc w:val="both"/>
        <w:rPr>
          <w:rFonts w:cs="Arial"/>
          <w:color w:val="0070C0"/>
          <w:sz w:val="20"/>
          <w:shd w:val="clear" w:color="auto" w:fill="FFFFFF"/>
        </w:rPr>
      </w:pPr>
    </w:p>
    <w:p w:rsidR="008A20EF" w:rsidRPr="0009763F" w:rsidRDefault="008A20EF" w:rsidP="00241F24">
      <w:pPr>
        <w:ind w:left="540"/>
        <w:jc w:val="both"/>
        <w:rPr>
          <w:rFonts w:cs="Arial"/>
          <w:color w:val="0070C0"/>
          <w:sz w:val="20"/>
          <w:shd w:val="clear" w:color="auto" w:fill="FFFFFF"/>
        </w:rPr>
      </w:pPr>
      <w:r w:rsidRPr="0009763F">
        <w:rPr>
          <w:rFonts w:cs="Arial"/>
          <w:color w:val="0070C0"/>
          <w:sz w:val="20"/>
          <w:shd w:val="clear" w:color="auto" w:fill="FFFFFF"/>
        </w:rPr>
        <w:lastRenderedPageBreak/>
        <w:t>(3)</w:t>
      </w:r>
      <w:r w:rsidRPr="0009763F">
        <w:rPr>
          <w:rFonts w:cs="Arial"/>
          <w:color w:val="0070C0"/>
          <w:sz w:val="20"/>
          <w:shd w:val="clear" w:color="auto" w:fill="FFFFFF"/>
        </w:rPr>
        <w:tab/>
        <w:t>Advance tax collected under this section shall be adjustable.</w:t>
      </w:r>
    </w:p>
    <w:p w:rsidR="00241F24" w:rsidRPr="0009763F" w:rsidRDefault="00241F24" w:rsidP="00241F24">
      <w:pPr>
        <w:ind w:left="540"/>
        <w:jc w:val="both"/>
        <w:rPr>
          <w:rFonts w:cs="Arial"/>
          <w:color w:val="0070C0"/>
          <w:sz w:val="20"/>
          <w:shd w:val="clear" w:color="auto" w:fill="FFFFFF"/>
        </w:rPr>
      </w:pPr>
    </w:p>
    <w:p w:rsidR="008A20EF" w:rsidRPr="00C41BD6" w:rsidRDefault="008A20EF" w:rsidP="00241F24">
      <w:pPr>
        <w:ind w:firstLine="540"/>
        <w:jc w:val="both"/>
        <w:rPr>
          <w:rFonts w:cs="Arial"/>
          <w:color w:val="FF0000"/>
          <w:sz w:val="20"/>
          <w:shd w:val="clear" w:color="auto" w:fill="FFFFFF"/>
        </w:rPr>
      </w:pPr>
      <w:r w:rsidRPr="0009763F">
        <w:rPr>
          <w:rFonts w:cs="Arial"/>
          <w:color w:val="0070C0"/>
          <w:sz w:val="20"/>
          <w:shd w:val="clear" w:color="auto" w:fill="FFFFFF"/>
        </w:rPr>
        <w:t>(4)</w:t>
      </w:r>
      <w:r w:rsidRPr="0009763F">
        <w:rPr>
          <w:rFonts w:cs="Arial"/>
          <w:color w:val="0070C0"/>
          <w:sz w:val="20"/>
          <w:shd w:val="clear" w:color="auto" w:fill="FFFFFF"/>
        </w:rPr>
        <w:tab/>
        <w:t>The value of the minerals for the purpose of this section shall be as specified by the Board.”]</w:t>
      </w:r>
      <w:r w:rsidRPr="00C41BD6">
        <w:rPr>
          <w:rFonts w:cs="Arial"/>
          <w:b/>
          <w:color w:val="FF0000"/>
          <w:sz w:val="20"/>
        </w:rPr>
        <w:t xml:space="preserve"> </w:t>
      </w:r>
    </w:p>
    <w:p w:rsidR="006A3F93" w:rsidRPr="00412620" w:rsidRDefault="0083448B" w:rsidP="00E9375B">
      <w:pPr>
        <w:jc w:val="center"/>
        <w:rPr>
          <w:rFonts w:cs="Arial"/>
          <w:sz w:val="32"/>
          <w:szCs w:val="32"/>
        </w:rPr>
      </w:pPr>
      <w:r w:rsidRPr="00412620">
        <w:rPr>
          <w:sz w:val="20"/>
        </w:rPr>
        <w:br w:type="page"/>
      </w:r>
      <w:r w:rsidR="006A3F93" w:rsidRPr="00412620">
        <w:rPr>
          <w:rFonts w:cs="Arial"/>
          <w:sz w:val="32"/>
          <w:szCs w:val="32"/>
        </w:rPr>
        <w:lastRenderedPageBreak/>
        <w:t>CHAPTER XIII</w:t>
      </w:r>
    </w:p>
    <w:p w:rsidR="006A3F93" w:rsidRPr="00412620" w:rsidRDefault="006A3F93">
      <w:pPr>
        <w:keepNext/>
        <w:jc w:val="center"/>
        <w:rPr>
          <w:rFonts w:cs="Arial"/>
          <w:b/>
          <w:sz w:val="20"/>
        </w:rPr>
      </w:pPr>
      <w:r w:rsidRPr="00412620">
        <w:rPr>
          <w:rFonts w:cs="Arial"/>
          <w:b/>
          <w:sz w:val="20"/>
        </w:rPr>
        <w:t>MISCELLANEOUS</w:t>
      </w:r>
    </w:p>
    <w:p w:rsidR="006A3F93" w:rsidRPr="00412620" w:rsidRDefault="006A3F93">
      <w:pPr>
        <w:pStyle w:val="C"/>
        <w:keepNext/>
        <w:widowControl/>
        <w:spacing w:before="0" w:after="0"/>
        <w:jc w:val="left"/>
        <w:rPr>
          <w:rFonts w:ascii="Arial" w:hAnsi="Arial"/>
          <w:sz w:val="20"/>
          <w:lang w:val="en-AU"/>
        </w:rPr>
      </w:pPr>
    </w:p>
    <w:p w:rsidR="006A3F93" w:rsidRPr="00412620" w:rsidRDefault="006A3F93">
      <w:pPr>
        <w:jc w:val="both"/>
        <w:rPr>
          <w:sz w:val="20"/>
        </w:rPr>
      </w:pPr>
      <w:r w:rsidRPr="00412620">
        <w:rPr>
          <w:rFonts w:cs="Arial"/>
          <w:b/>
          <w:sz w:val="20"/>
        </w:rPr>
        <w:t>237.</w:t>
      </w:r>
      <w:r w:rsidRPr="00412620">
        <w:rPr>
          <w:rFonts w:cs="Arial"/>
          <w:b/>
          <w:sz w:val="20"/>
        </w:rPr>
        <w:tab/>
        <w:t xml:space="preserve"> Power to make rules.</w:t>
      </w:r>
      <w:r w:rsidR="005F2C6D" w:rsidRPr="00412620">
        <w:rPr>
          <w:rFonts w:cs="Arial"/>
          <w:sz w:val="20"/>
        </w:rPr>
        <w:t xml:space="preserve"> —</w:t>
      </w:r>
      <w:r w:rsidRPr="00412620">
        <w:rPr>
          <w:sz w:val="20"/>
        </w:rPr>
        <w:t xml:space="preserve">(1)  The </w:t>
      </w:r>
      <w:r w:rsidR="00D07B45" w:rsidRPr="00412620">
        <w:rPr>
          <w:rStyle w:val="FootnoteReference"/>
          <w:sz w:val="20"/>
        </w:rPr>
        <w:footnoteReference w:id="1544"/>
      </w:r>
      <w:r w:rsidR="00D07B45" w:rsidRPr="00412620">
        <w:rPr>
          <w:sz w:val="20"/>
        </w:rPr>
        <w:t>[</w:t>
      </w:r>
      <w:r w:rsidRPr="00412620">
        <w:rPr>
          <w:sz w:val="20"/>
        </w:rPr>
        <w:t>Board</w:t>
      </w:r>
      <w:r w:rsidR="00D07B45" w:rsidRPr="00412620">
        <w:rPr>
          <w:sz w:val="20"/>
        </w:rPr>
        <w:t>]</w:t>
      </w:r>
      <w:r w:rsidRPr="00412620">
        <w:rPr>
          <w:sz w:val="20"/>
        </w:rPr>
        <w:t xml:space="preserve"> may, by notification in the official Gazette, make rules for carrying out </w:t>
      </w:r>
      <w:r w:rsidRPr="00412620">
        <w:rPr>
          <w:rStyle w:val="FootnoteReference"/>
          <w:sz w:val="20"/>
        </w:rPr>
        <w:footnoteReference w:id="1545"/>
      </w:r>
      <w:r w:rsidRPr="00412620">
        <w:rPr>
          <w:sz w:val="20"/>
        </w:rPr>
        <w:t>[  ] the purposes of this Ordinance.</w:t>
      </w:r>
    </w:p>
    <w:p w:rsidR="006A3F93" w:rsidRPr="00412620" w:rsidRDefault="006A3F93">
      <w:pPr>
        <w:pStyle w:val="Header"/>
        <w:tabs>
          <w:tab w:val="left" w:pos="547"/>
        </w:tabs>
        <w:jc w:val="both"/>
        <w:rPr>
          <w:rFonts w:cs="Arial"/>
          <w:sz w:val="20"/>
        </w:rPr>
      </w:pPr>
    </w:p>
    <w:p w:rsidR="006A3F93" w:rsidRPr="00412620" w:rsidRDefault="006A3F93">
      <w:pPr>
        <w:jc w:val="both"/>
        <w:rPr>
          <w:rFonts w:cs="Arial"/>
          <w:sz w:val="20"/>
        </w:rPr>
      </w:pPr>
      <w:r w:rsidRPr="00412620">
        <w:rPr>
          <w:rFonts w:cs="Arial"/>
          <w:sz w:val="20"/>
        </w:rPr>
        <w:tab/>
        <w:t>(2)</w:t>
      </w:r>
      <w:r w:rsidRPr="00412620">
        <w:rPr>
          <w:rFonts w:cs="Arial"/>
          <w:sz w:val="20"/>
        </w:rPr>
        <w:tab/>
        <w:t>In particular, and without prejudice to the generality of the foregoing power, such rules may provide for all or any of the following matters, namely:–</w:t>
      </w:r>
    </w:p>
    <w:p w:rsidR="006A3F93" w:rsidRPr="00412620" w:rsidRDefault="006A3F93">
      <w:pPr>
        <w:pStyle w:val="Header"/>
        <w:tabs>
          <w:tab w:val="left" w:pos="547"/>
        </w:tabs>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the manner in, and procedure by, which the income, profits and gains chargeable to tax and the tax payable thereon under this Ordinance shall be determined in the case of –</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 xml:space="preserve"> (i)</w:t>
      </w:r>
      <w:r w:rsidRPr="00412620">
        <w:rPr>
          <w:rFonts w:cs="Arial"/>
          <w:sz w:val="20"/>
        </w:rPr>
        <w:tab/>
        <w:t xml:space="preserve">income derived partly from agriculture and partly from other business; or </w:t>
      </w:r>
    </w:p>
    <w:p w:rsidR="006A3F93" w:rsidRPr="00412620" w:rsidRDefault="006A3F93">
      <w:pPr>
        <w:jc w:val="both"/>
        <w:rPr>
          <w:rFonts w:cs="Arial"/>
          <w:sz w:val="20"/>
        </w:rPr>
      </w:pPr>
    </w:p>
    <w:p w:rsidR="006A3F93" w:rsidRPr="00412620" w:rsidRDefault="006A3F93">
      <w:pPr>
        <w:pStyle w:val="BodyTextIndent3"/>
        <w:ind w:left="2160" w:hanging="540"/>
        <w:jc w:val="both"/>
        <w:rPr>
          <w:rFonts w:cs="Arial"/>
          <w:sz w:val="20"/>
        </w:rPr>
      </w:pPr>
      <w:r w:rsidRPr="00412620">
        <w:rPr>
          <w:rFonts w:cs="Arial"/>
          <w:sz w:val="20"/>
        </w:rPr>
        <w:t>(ii)</w:t>
      </w:r>
      <w:r w:rsidRPr="00412620">
        <w:rPr>
          <w:rFonts w:cs="Arial"/>
          <w:sz w:val="20"/>
        </w:rPr>
        <w:tab/>
        <w:t>non-resident persons;</w:t>
      </w:r>
    </w:p>
    <w:p w:rsidR="006A3F93" w:rsidRPr="00412620" w:rsidRDefault="006A3F93">
      <w:pPr>
        <w:jc w:val="both"/>
        <w:rPr>
          <w:rFonts w:cs="Arial"/>
          <w:sz w:val="20"/>
        </w:rPr>
      </w:pPr>
    </w:p>
    <w:p w:rsidR="006A3F93" w:rsidRPr="00412620" w:rsidRDefault="006A3F93">
      <w:pPr>
        <w:ind w:left="1620" w:hanging="743"/>
        <w:jc w:val="both"/>
        <w:rPr>
          <w:sz w:val="20"/>
        </w:rPr>
      </w:pPr>
      <w:r w:rsidRPr="00412620">
        <w:rPr>
          <w:rStyle w:val="FootnoteReference"/>
          <w:rFonts w:cs="Arial"/>
          <w:sz w:val="20"/>
        </w:rPr>
        <w:footnoteReference w:id="1546"/>
      </w:r>
      <w:r w:rsidRPr="00412620">
        <w:rPr>
          <w:sz w:val="20"/>
        </w:rPr>
        <w:t>[(ab)</w:t>
      </w:r>
      <w:r w:rsidRPr="00412620">
        <w:rPr>
          <w:sz w:val="20"/>
        </w:rPr>
        <w:tab/>
        <w:t>ascertainment or determination of any income or class of income to be included in the total income of a taxpayer and any deduction from such income;]</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(b)</w:t>
      </w:r>
      <w:r w:rsidRPr="00412620">
        <w:rPr>
          <w:rFonts w:cs="Arial"/>
          <w:sz w:val="20"/>
        </w:rPr>
        <w:tab/>
        <w:t>fees and other charges to be paid in respect of any matter referred to in this Ordinance;</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 xml:space="preserve">anything which is to be or may be prescribed under this Ordinance;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(d)</w:t>
      </w:r>
      <w:r w:rsidRPr="00412620">
        <w:rPr>
          <w:rFonts w:cs="Arial"/>
          <w:sz w:val="20"/>
        </w:rPr>
        <w:tab/>
        <w:t xml:space="preserve">the procedure for furnishing returns and other documents as required under this Ordinance, including on computer media or through electronic medium or for issuance of orders or notices, or levy of </w:t>
      </w:r>
      <w:r w:rsidR="00181D4A" w:rsidRPr="00412620">
        <w:rPr>
          <w:rStyle w:val="FootnoteReference"/>
          <w:rFonts w:cs="Arial"/>
          <w:sz w:val="20"/>
        </w:rPr>
        <w:footnoteReference w:id="1547"/>
      </w:r>
      <w:r w:rsidR="00181D4A" w:rsidRPr="00412620">
        <w:rPr>
          <w:rFonts w:cs="Arial"/>
          <w:sz w:val="20"/>
        </w:rPr>
        <w:t>[</w:t>
      </w:r>
      <w:r w:rsidR="00C21C1A" w:rsidRPr="00412620">
        <w:rPr>
          <w:rFonts w:cs="Arial"/>
          <w:sz w:val="20"/>
        </w:rPr>
        <w:t>default surcharge</w:t>
      </w:r>
      <w:r w:rsidR="00181D4A" w:rsidRPr="00412620">
        <w:rPr>
          <w:rFonts w:cs="Arial"/>
          <w:sz w:val="20"/>
        </w:rPr>
        <w:t>]</w:t>
      </w:r>
      <w:r w:rsidRPr="00412620">
        <w:rPr>
          <w:rFonts w:cs="Arial"/>
          <w:sz w:val="20"/>
        </w:rPr>
        <w:t>or penalty through electronic medium;</w:t>
      </w:r>
    </w:p>
    <w:p w:rsidR="006A3F93" w:rsidRPr="00412620" w:rsidRDefault="006A3F93">
      <w:pPr>
        <w:pStyle w:val="BodyTextIndent"/>
        <w:jc w:val="both"/>
        <w:rPr>
          <w:rFonts w:cs="Arial"/>
          <w:sz w:val="20"/>
        </w:rPr>
      </w:pPr>
    </w:p>
    <w:p w:rsidR="006A3F93" w:rsidRPr="00412620" w:rsidRDefault="006A3F93">
      <w:pPr>
        <w:pStyle w:val="BodyTextIndent"/>
        <w:jc w:val="both"/>
        <w:rPr>
          <w:rFonts w:cs="Arial"/>
          <w:sz w:val="20"/>
        </w:rPr>
      </w:pPr>
      <w:r w:rsidRPr="00412620">
        <w:rPr>
          <w:rFonts w:cs="Arial"/>
          <w:sz w:val="20"/>
        </w:rPr>
        <w:tab/>
      </w:r>
      <w:r w:rsidRPr="00412620">
        <w:rPr>
          <w:rStyle w:val="FootnoteReference"/>
          <w:rFonts w:cs="Arial"/>
          <w:sz w:val="20"/>
        </w:rPr>
        <w:footnoteReference w:id="1548"/>
      </w:r>
      <w:r w:rsidRPr="00412620">
        <w:rPr>
          <w:rFonts w:cs="Arial"/>
          <w:sz w:val="20"/>
        </w:rPr>
        <w:t>[(da)</w:t>
      </w:r>
      <w:r w:rsidRPr="00412620">
        <w:rPr>
          <w:rFonts w:cs="Arial"/>
          <w:sz w:val="20"/>
        </w:rPr>
        <w:tab/>
        <w:t>the procedure for approval of a non-profit organization;]</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(e)</w:t>
      </w:r>
      <w:r w:rsidRPr="00412620">
        <w:rPr>
          <w:rFonts w:cs="Arial"/>
          <w:sz w:val="20"/>
        </w:rPr>
        <w:tab/>
        <w:t xml:space="preserve">contain provisions of a saving or transitional nature consequent upon the making of this Ordinance; and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lastRenderedPageBreak/>
        <w:t>(f)</w:t>
      </w:r>
      <w:r w:rsidRPr="00412620">
        <w:rPr>
          <w:rFonts w:cs="Arial"/>
          <w:sz w:val="20"/>
        </w:rPr>
        <w:tab/>
        <w:t>penalties for the contravention of the rules made under this Ordinance.</w:t>
      </w:r>
    </w:p>
    <w:p w:rsidR="006A3F93" w:rsidRPr="00412620" w:rsidRDefault="006A3F93">
      <w:pPr>
        <w:pStyle w:val="BodyTextIndent"/>
        <w:jc w:val="both"/>
        <w:rPr>
          <w:rFonts w:cs="Arial"/>
          <w:sz w:val="20"/>
        </w:rPr>
      </w:pPr>
    </w:p>
    <w:p w:rsidR="006A3F93" w:rsidRPr="00412620" w:rsidRDefault="006A3F93">
      <w:pPr>
        <w:pStyle w:val="BodyTextIndent"/>
        <w:ind w:left="0" w:firstLine="0"/>
        <w:jc w:val="both"/>
        <w:rPr>
          <w:rFonts w:cs="Arial"/>
          <w:sz w:val="20"/>
        </w:rPr>
      </w:pPr>
      <w:r w:rsidRPr="00412620">
        <w:rPr>
          <w:rFonts w:cs="Arial"/>
          <w:sz w:val="20"/>
        </w:rPr>
        <w:tab/>
        <w:t>(3)</w:t>
      </w:r>
      <w:r w:rsidRPr="00412620">
        <w:rPr>
          <w:rFonts w:cs="Arial"/>
          <w:sz w:val="20"/>
        </w:rPr>
        <w:tab/>
        <w:t>The power to make rules conferred by this section shall be, except on the first occasion of the exercise thereof, subject to the condition of previous publication.</w:t>
      </w:r>
    </w:p>
    <w:p w:rsidR="006A3F93" w:rsidRPr="00412620" w:rsidRDefault="006A3F93">
      <w:pPr>
        <w:pStyle w:val="BodyTextIndent"/>
        <w:ind w:left="0" w:firstLine="0"/>
        <w:jc w:val="both"/>
        <w:rPr>
          <w:rFonts w:cs="Arial"/>
          <w:sz w:val="20"/>
        </w:rPr>
      </w:pPr>
    </w:p>
    <w:p w:rsidR="006A3F93" w:rsidRPr="00412620" w:rsidRDefault="006A3F93">
      <w:pPr>
        <w:pStyle w:val="BodyTextIndent"/>
        <w:ind w:left="0" w:firstLine="0"/>
        <w:jc w:val="both"/>
        <w:rPr>
          <w:rFonts w:cs="Arial"/>
          <w:sz w:val="20"/>
        </w:rPr>
      </w:pPr>
      <w:r w:rsidRPr="00412620">
        <w:rPr>
          <w:rFonts w:cs="Arial"/>
          <w:sz w:val="20"/>
        </w:rPr>
        <w:tab/>
        <w:t>(4)</w:t>
      </w:r>
      <w:r w:rsidRPr="00412620">
        <w:rPr>
          <w:rFonts w:cs="Arial"/>
          <w:sz w:val="20"/>
        </w:rPr>
        <w:tab/>
        <w:t>Where rules made under this section –</w:t>
      </w:r>
    </w:p>
    <w:p w:rsidR="006A3F93" w:rsidRPr="00412620" w:rsidRDefault="006A3F93">
      <w:pPr>
        <w:pStyle w:val="BodyTextIndent"/>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(a)</w:t>
      </w:r>
      <w:r w:rsidRPr="00412620">
        <w:rPr>
          <w:rFonts w:cs="Arial"/>
          <w:sz w:val="20"/>
        </w:rPr>
        <w:tab/>
        <w:t xml:space="preserve">adversely affect a person; </w:t>
      </w:r>
    </w:p>
    <w:p w:rsidR="006A3F93" w:rsidRPr="00412620" w:rsidRDefault="006A3F93">
      <w:pPr>
        <w:jc w:val="both"/>
        <w:rPr>
          <w:rFonts w:cs="Arial"/>
          <w:sz w:val="20"/>
        </w:rPr>
      </w:pPr>
    </w:p>
    <w:p w:rsidR="006A3F93" w:rsidRPr="00412620" w:rsidRDefault="006A3F93">
      <w:pPr>
        <w:ind w:left="1620" w:hanging="540"/>
        <w:jc w:val="both"/>
        <w:rPr>
          <w:rFonts w:cs="Arial"/>
          <w:sz w:val="20"/>
        </w:rPr>
      </w:pPr>
      <w:r w:rsidRPr="00412620">
        <w:rPr>
          <w:rFonts w:cs="Arial"/>
          <w:sz w:val="20"/>
        </w:rPr>
        <w:t>(b)</w:t>
      </w:r>
      <w:r w:rsidRPr="00412620">
        <w:rPr>
          <w:rFonts w:cs="Arial"/>
          <w:sz w:val="20"/>
        </w:rPr>
        <w:tab/>
        <w:t xml:space="preserve"> are of a transitional nature; and</w:t>
      </w:r>
    </w:p>
    <w:p w:rsidR="006A3F93" w:rsidRPr="00412620" w:rsidRDefault="006A3F93">
      <w:pPr>
        <w:jc w:val="both"/>
        <w:rPr>
          <w:rFonts w:cs="Arial"/>
          <w:sz w:val="20"/>
        </w:rPr>
      </w:pPr>
    </w:p>
    <w:p w:rsidR="006A3F93" w:rsidRPr="00412620" w:rsidRDefault="006A3F93">
      <w:pPr>
        <w:pStyle w:val="BodyTextIndent"/>
        <w:ind w:left="1620" w:hanging="540"/>
        <w:jc w:val="both"/>
        <w:rPr>
          <w:rFonts w:cs="Arial"/>
          <w:sz w:val="20"/>
        </w:rPr>
      </w:pPr>
      <w:r w:rsidRPr="00412620">
        <w:rPr>
          <w:rFonts w:cs="Arial"/>
          <w:sz w:val="20"/>
        </w:rPr>
        <w:t>(c)</w:t>
      </w:r>
      <w:r w:rsidRPr="00412620">
        <w:rPr>
          <w:rFonts w:cs="Arial"/>
          <w:sz w:val="20"/>
        </w:rPr>
        <w:tab/>
        <w:t>are made within twelve months after commencement of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these may provide that they shall take effect from the date on which this Ordinance comes into force or a later date.</w:t>
      </w:r>
    </w:p>
    <w:p w:rsidR="00E71F3D" w:rsidRPr="00412620" w:rsidRDefault="00E71F3D">
      <w:pPr>
        <w:jc w:val="both"/>
        <w:rPr>
          <w:rFonts w:cs="Arial"/>
          <w:sz w:val="20"/>
        </w:rPr>
      </w:pPr>
    </w:p>
    <w:p w:rsidR="00E71F3D" w:rsidRPr="00412620" w:rsidRDefault="00860ADC" w:rsidP="00E71F3D">
      <w:pPr>
        <w:spacing w:before="120" w:after="120"/>
        <w:jc w:val="both"/>
        <w:rPr>
          <w:rFonts w:cs="Arial"/>
          <w:sz w:val="20"/>
        </w:rPr>
      </w:pPr>
      <w:r w:rsidRPr="00412620">
        <w:rPr>
          <w:rStyle w:val="FootnoteReference"/>
          <w:rFonts w:cs="Arial"/>
          <w:b/>
          <w:sz w:val="20"/>
        </w:rPr>
        <w:footnoteReference w:id="1549"/>
      </w:r>
      <w:r w:rsidR="00E71F3D" w:rsidRPr="00412620">
        <w:rPr>
          <w:rFonts w:cs="Arial"/>
          <w:b/>
          <w:sz w:val="20"/>
        </w:rPr>
        <w:t>[237A. Electronic record.</w:t>
      </w:r>
      <w:r w:rsidR="005F2C6D" w:rsidRPr="00412620">
        <w:rPr>
          <w:rFonts w:cs="Arial"/>
          <w:sz w:val="20"/>
        </w:rPr>
        <w:t xml:space="preserve"> —</w:t>
      </w:r>
      <w:r w:rsidR="00E71F3D" w:rsidRPr="00412620">
        <w:rPr>
          <w:rFonts w:cs="Arial"/>
          <w:sz w:val="20"/>
        </w:rPr>
        <w:t xml:space="preserve">  (1) The Board may require any person to use its information system and electronic resource, in order to replace or supplement, its manual business processes by automated business processes and substitute its paper based records by electronic record.</w:t>
      </w:r>
    </w:p>
    <w:p w:rsidR="00E71F3D" w:rsidRPr="00412620" w:rsidRDefault="00E71F3D" w:rsidP="009A5977">
      <w:pPr>
        <w:ind w:firstLine="547"/>
        <w:jc w:val="both"/>
        <w:rPr>
          <w:rFonts w:cs="Arial"/>
          <w:sz w:val="20"/>
        </w:rPr>
      </w:pPr>
      <w:r w:rsidRPr="00412620">
        <w:rPr>
          <w:rFonts w:cs="Arial"/>
          <w:sz w:val="20"/>
        </w:rPr>
        <w:t>(2)  Electronic record generated, maintained, issued, served, received, filed or requisitioned through the electronic resource of the Board shall by itself sufficiently and conclusively prove its validity, authenticity and integrity and shall be treated to have been done so according to the provisions of this Ordinance.]</w:t>
      </w:r>
    </w:p>
    <w:p w:rsidR="00E71F3D" w:rsidRPr="00412620" w:rsidRDefault="00E71F3D">
      <w:pPr>
        <w:jc w:val="both"/>
        <w:rPr>
          <w:rFonts w:cs="Arial"/>
          <w:b/>
          <w:sz w:val="20"/>
        </w:rPr>
      </w:pPr>
    </w:p>
    <w:p w:rsidR="006A3F93" w:rsidRPr="00412620" w:rsidRDefault="006A3F93">
      <w:pPr>
        <w:jc w:val="both"/>
        <w:rPr>
          <w:sz w:val="20"/>
        </w:rPr>
      </w:pPr>
      <w:r w:rsidRPr="00412620">
        <w:rPr>
          <w:rFonts w:cs="Arial"/>
          <w:b/>
          <w:sz w:val="20"/>
        </w:rPr>
        <w:t>238.</w:t>
      </w:r>
      <w:r w:rsidRPr="00412620">
        <w:rPr>
          <w:rFonts w:cs="Arial"/>
          <w:b/>
          <w:sz w:val="20"/>
        </w:rPr>
        <w:tab/>
        <w:t xml:space="preserve"> Repeal.</w:t>
      </w:r>
      <w:r w:rsidR="005F2C6D" w:rsidRPr="00412620">
        <w:rPr>
          <w:rFonts w:cs="Arial"/>
          <w:sz w:val="20"/>
        </w:rPr>
        <w:t xml:space="preserve"> —</w:t>
      </w:r>
      <w:r w:rsidRPr="00412620">
        <w:rPr>
          <w:sz w:val="20"/>
        </w:rPr>
        <w:t xml:space="preserve"> The Income Tax Ordinance, 1979 (XXXI of 1979), shall stand repealed on the </w:t>
      </w:r>
      <w:r w:rsidR="00802C33" w:rsidRPr="00412620">
        <w:rPr>
          <w:sz w:val="20"/>
        </w:rPr>
        <w:t>date this</w:t>
      </w:r>
      <w:r w:rsidRPr="00412620">
        <w:rPr>
          <w:sz w:val="20"/>
        </w:rPr>
        <w:t xml:space="preserve"> Ordinance comes into force in pursuance of sub-section (3) of section 1.</w:t>
      </w:r>
    </w:p>
    <w:p w:rsidR="006A3F93" w:rsidRPr="00412620" w:rsidRDefault="006A3F93">
      <w:pPr>
        <w:rPr>
          <w:rFonts w:cs="Arial"/>
          <w:sz w:val="20"/>
        </w:rPr>
      </w:pPr>
    </w:p>
    <w:p w:rsidR="006A3F93" w:rsidRPr="00412620" w:rsidRDefault="006A3F93">
      <w:pPr>
        <w:jc w:val="both"/>
        <w:rPr>
          <w:b/>
          <w:sz w:val="20"/>
        </w:rPr>
      </w:pPr>
      <w:r w:rsidRPr="00412620">
        <w:rPr>
          <w:rFonts w:cs="Arial"/>
          <w:b/>
          <w:sz w:val="20"/>
        </w:rPr>
        <w:t>239.</w:t>
      </w:r>
      <w:r w:rsidRPr="00412620">
        <w:rPr>
          <w:rFonts w:cs="Arial"/>
          <w:b/>
          <w:sz w:val="20"/>
        </w:rPr>
        <w:tab/>
        <w:t xml:space="preserve"> Savings.</w:t>
      </w:r>
      <w:r w:rsidR="005F2C6D" w:rsidRPr="00412620">
        <w:rPr>
          <w:rFonts w:cs="Arial"/>
          <w:sz w:val="20"/>
        </w:rPr>
        <w:t xml:space="preserve"> —</w:t>
      </w:r>
      <w:r w:rsidRPr="00412620">
        <w:rPr>
          <w:rStyle w:val="FootnoteReference"/>
          <w:sz w:val="20"/>
        </w:rPr>
        <w:footnoteReference w:id="1550"/>
      </w:r>
      <w:r w:rsidRPr="00412620">
        <w:rPr>
          <w:sz w:val="20"/>
        </w:rPr>
        <w:t>[(1) Subject to sub-section (2), in making any assessment in respect of any income year ending on or before the 30</w:t>
      </w:r>
      <w:r w:rsidRPr="00412620">
        <w:rPr>
          <w:sz w:val="20"/>
          <w:vertAlign w:val="superscript"/>
        </w:rPr>
        <w:t>th</w:t>
      </w:r>
      <w:r w:rsidRPr="00412620">
        <w:rPr>
          <w:sz w:val="20"/>
        </w:rPr>
        <w:t xml:space="preserve"> day of June, 2002, the provisions of the repealed Ordinance in so far as these relate to computation of total income and tax payable thereon shall apply as if this Ordinance had not come into force.]</w:t>
      </w:r>
    </w:p>
    <w:p w:rsidR="006A3F93" w:rsidRPr="00412620" w:rsidRDefault="006A3F93">
      <w:pPr>
        <w:jc w:val="both"/>
        <w:rPr>
          <w:rFonts w:cs="Arial"/>
          <w:sz w:val="20"/>
        </w:rPr>
      </w:pPr>
    </w:p>
    <w:p w:rsidR="006A3F93" w:rsidRPr="00412620" w:rsidRDefault="006A3F93" w:rsidP="009A5977">
      <w:pPr>
        <w:ind w:firstLine="547"/>
        <w:jc w:val="both"/>
        <w:rPr>
          <w:rFonts w:cs="Arial"/>
          <w:sz w:val="20"/>
        </w:rPr>
      </w:pPr>
      <w:r w:rsidRPr="00412620">
        <w:rPr>
          <w:rStyle w:val="FootnoteReference"/>
          <w:rFonts w:cs="Arial"/>
          <w:sz w:val="20"/>
        </w:rPr>
        <w:lastRenderedPageBreak/>
        <w:footnoteReference w:id="1551"/>
      </w:r>
      <w:r w:rsidRPr="00412620">
        <w:rPr>
          <w:rFonts w:cs="Arial"/>
          <w:sz w:val="20"/>
        </w:rPr>
        <w:t>[(2)</w:t>
      </w:r>
      <w:r w:rsidRPr="00412620">
        <w:rPr>
          <w:rFonts w:cs="Arial"/>
          <w:sz w:val="20"/>
        </w:rPr>
        <w:tab/>
        <w:t xml:space="preserve"> The assessment, referred to in sub-section (1), shall be made by an income tax authority which is competent under this Ordinance to make an assessment in respect of a tax year ending on any date after the 30</w:t>
      </w:r>
      <w:r w:rsidRPr="00412620">
        <w:rPr>
          <w:rFonts w:cs="Arial"/>
          <w:sz w:val="20"/>
          <w:vertAlign w:val="superscript"/>
        </w:rPr>
        <w:t>th</w:t>
      </w:r>
      <w:r w:rsidRPr="00412620">
        <w:rPr>
          <w:rFonts w:cs="Arial"/>
          <w:sz w:val="20"/>
        </w:rPr>
        <w:t xml:space="preserve"> day of June, 2002, and in accordance with the procedure specified in section 59 or 59A </w:t>
      </w:r>
      <w:r w:rsidRPr="00412620">
        <w:rPr>
          <w:rStyle w:val="FootnoteReference"/>
          <w:rFonts w:cs="Arial"/>
          <w:sz w:val="20"/>
        </w:rPr>
        <w:footnoteReference w:id="1552"/>
      </w:r>
      <w:r w:rsidRPr="00412620">
        <w:rPr>
          <w:rFonts w:cs="Arial"/>
          <w:sz w:val="20"/>
        </w:rPr>
        <w:t>[or 61] or 62 or 63, as the case may be, of the repealed Ordinance.]</w:t>
      </w:r>
    </w:p>
    <w:p w:rsidR="006A3F93" w:rsidRPr="00412620" w:rsidRDefault="006A3F93">
      <w:pPr>
        <w:jc w:val="both"/>
        <w:rPr>
          <w:rFonts w:cs="Arial"/>
          <w:sz w:val="20"/>
        </w:rPr>
      </w:pPr>
    </w:p>
    <w:p w:rsidR="006A3F93" w:rsidRPr="00412620" w:rsidRDefault="006A3F93" w:rsidP="009A5977">
      <w:pPr>
        <w:pStyle w:val="BodyText3"/>
        <w:widowControl/>
        <w:ind w:firstLine="547"/>
        <w:rPr>
          <w:rFonts w:ascii="Arial" w:hAnsi="Arial"/>
          <w:b/>
          <w:sz w:val="20"/>
          <w:lang w:val="en-AU"/>
        </w:rPr>
      </w:pPr>
      <w:r w:rsidRPr="00412620">
        <w:rPr>
          <w:rStyle w:val="FootnoteReference"/>
          <w:sz w:val="20"/>
        </w:rPr>
        <w:footnoteReference w:id="1553"/>
      </w:r>
      <w:r w:rsidRPr="00412620">
        <w:rPr>
          <w:sz w:val="20"/>
        </w:rPr>
        <w:t>[</w:t>
      </w:r>
      <w:r w:rsidRPr="00412620">
        <w:rPr>
          <w:rFonts w:ascii="Arial" w:hAnsi="Arial"/>
          <w:sz w:val="20"/>
          <w:lang w:val="en-AU"/>
        </w:rPr>
        <w:t xml:space="preserve">(3)   The provisions of </w:t>
      </w:r>
      <w:r w:rsidRPr="00412620">
        <w:rPr>
          <w:rStyle w:val="FootnoteReference"/>
          <w:rFonts w:ascii="Arial" w:hAnsi="Arial"/>
          <w:sz w:val="20"/>
          <w:lang w:val="en-AU"/>
        </w:rPr>
        <w:footnoteReference w:id="1554"/>
      </w:r>
      <w:r w:rsidRPr="00412620">
        <w:rPr>
          <w:rFonts w:ascii="Arial" w:hAnsi="Arial"/>
          <w:sz w:val="20"/>
          <w:lang w:val="en-AU"/>
        </w:rPr>
        <w:t xml:space="preserve">[sub-sections] (1) and (2) shall apply, in like manner, to the imposition or charge of any penalty, </w:t>
      </w:r>
      <w:r w:rsidR="00C42B8D" w:rsidRPr="00412620">
        <w:rPr>
          <w:rStyle w:val="FootnoteReference"/>
          <w:rFonts w:ascii="Arial" w:hAnsi="Arial"/>
          <w:sz w:val="20"/>
          <w:lang w:val="en-AU"/>
        </w:rPr>
        <w:footnoteReference w:id="1555"/>
      </w:r>
      <w:r w:rsidR="00C42B8D" w:rsidRPr="00412620">
        <w:rPr>
          <w:rFonts w:ascii="Arial" w:hAnsi="Arial"/>
          <w:sz w:val="20"/>
          <w:lang w:val="en-AU"/>
        </w:rPr>
        <w:t>[</w:t>
      </w:r>
      <w:r w:rsidR="006300AD" w:rsidRPr="00412620">
        <w:rPr>
          <w:rFonts w:ascii="Arial" w:hAnsi="Arial" w:cs="Arial"/>
          <w:sz w:val="20"/>
        </w:rPr>
        <w:t>default surcharge</w:t>
      </w:r>
      <w:r w:rsidR="00C42B8D" w:rsidRPr="00412620">
        <w:rPr>
          <w:rFonts w:ascii="Arial" w:hAnsi="Arial" w:cs="Arial"/>
          <w:sz w:val="20"/>
        </w:rPr>
        <w:t>]</w:t>
      </w:r>
      <w:r w:rsidRPr="00412620">
        <w:rPr>
          <w:rFonts w:ascii="Arial" w:hAnsi="Arial"/>
          <w:sz w:val="20"/>
          <w:lang w:val="en-AU"/>
        </w:rPr>
        <w:t>or any other amount, under the repealed Ordinance, as these apply to the assessment, so however that procedure for such imposition or charge shall be in accordance with the corresponding provisions of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(4)</w:t>
      </w:r>
      <w:r w:rsidRPr="00412620">
        <w:rPr>
          <w:rFonts w:cs="Arial"/>
          <w:sz w:val="20"/>
        </w:rPr>
        <w:tab/>
        <w:t>Any proceeding under the repealed Ordinance pending on the commencement of this Ordinance before any income tax authority, the Appellate Tribunal or any Court by way of appeal, reference, revision or prosecution shall be continued and disposed of as if this Ordinance has not come into force.</w:t>
      </w:r>
    </w:p>
    <w:p w:rsidR="006A3F93" w:rsidRPr="00412620" w:rsidRDefault="006A3F93">
      <w:pPr>
        <w:jc w:val="both"/>
        <w:rPr>
          <w:rFonts w:cs="Arial"/>
          <w:sz w:val="20"/>
        </w:rPr>
      </w:pPr>
    </w:p>
    <w:p w:rsidR="006A3F93" w:rsidRPr="00412620" w:rsidRDefault="006A3F93">
      <w:pPr>
        <w:ind w:firstLine="547"/>
        <w:jc w:val="both"/>
        <w:rPr>
          <w:rFonts w:cs="Arial"/>
          <w:sz w:val="20"/>
        </w:rPr>
      </w:pPr>
      <w:r w:rsidRPr="00412620">
        <w:rPr>
          <w:rFonts w:cs="Arial"/>
          <w:sz w:val="20"/>
        </w:rPr>
        <w:t>(5)</w:t>
      </w:r>
      <w:r w:rsidRPr="00412620">
        <w:rPr>
          <w:rFonts w:cs="Arial"/>
          <w:sz w:val="20"/>
        </w:rPr>
        <w:tab/>
        <w:t>Where the period prescribed for any application, appeal, reference or revision under the repealed Ordinance had expired on or before the commencement of this Ordinance, nothing in this Ordinance shall be construed as enabling such application, appeal, reference or revision to be made under this Ordinance by reason only of the fact that a longer period is specified or provision for an extension of time in suitable cases by the appropriate authority.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(6)</w:t>
      </w:r>
      <w:r w:rsidRPr="00412620">
        <w:rPr>
          <w:rFonts w:cs="Arial"/>
          <w:sz w:val="20"/>
        </w:rPr>
        <w:tab/>
        <w:t xml:space="preserve">Any proceeding for </w:t>
      </w:r>
      <w:r w:rsidRPr="00412620">
        <w:rPr>
          <w:rStyle w:val="FootnoteReference"/>
          <w:rFonts w:cs="Arial"/>
          <w:sz w:val="20"/>
        </w:rPr>
        <w:footnoteReference w:id="1556"/>
      </w:r>
      <w:r w:rsidRPr="00412620">
        <w:rPr>
          <w:rFonts w:cs="Arial"/>
          <w:sz w:val="20"/>
        </w:rPr>
        <w:t>[  ] prosecution in respect of an assessment for an income year ending on or before the 30</w:t>
      </w:r>
      <w:r w:rsidRPr="00412620">
        <w:rPr>
          <w:rFonts w:cs="Arial"/>
          <w:sz w:val="20"/>
          <w:vertAlign w:val="superscript"/>
        </w:rPr>
        <w:t>th</w:t>
      </w:r>
      <w:r w:rsidRPr="00412620">
        <w:rPr>
          <w:rFonts w:cs="Arial"/>
          <w:sz w:val="20"/>
        </w:rPr>
        <w:t xml:space="preserve"> day of June 2002 shall be taken and continued as if this Ordinance has not come into force.</w:t>
      </w:r>
    </w:p>
    <w:p w:rsidR="006A3F93" w:rsidRPr="00412620" w:rsidRDefault="00A33CE6">
      <w:pPr>
        <w:jc w:val="both"/>
        <w:rPr>
          <w:rFonts w:cs="Arial"/>
          <w:sz w:val="20"/>
        </w:rPr>
      </w:pPr>
      <w:r w:rsidRPr="00412620">
        <w:rPr>
          <w:rFonts w:cs="Arial"/>
          <w:sz w:val="20"/>
        </w:rPr>
        <w:br w:type="page"/>
      </w:r>
      <w:r w:rsidR="006A3F93" w:rsidRPr="00412620">
        <w:rPr>
          <w:rFonts w:cs="Arial"/>
          <w:sz w:val="20"/>
        </w:rPr>
        <w:lastRenderedPageBreak/>
        <w:tab/>
        <w:t>(7)</w:t>
      </w:r>
      <w:r w:rsidR="006A3F93" w:rsidRPr="00412620">
        <w:rPr>
          <w:rFonts w:cs="Arial"/>
          <w:sz w:val="20"/>
        </w:rPr>
        <w:tab/>
        <w:t xml:space="preserve">Any income tax, super tax, surcharge, penalty, </w:t>
      </w:r>
      <w:r w:rsidR="00C42B8D" w:rsidRPr="00412620">
        <w:rPr>
          <w:rStyle w:val="FootnoteReference"/>
          <w:rFonts w:cs="Arial"/>
          <w:sz w:val="20"/>
        </w:rPr>
        <w:footnoteReference w:id="1557"/>
      </w:r>
      <w:r w:rsidR="00C42B8D" w:rsidRPr="00412620">
        <w:rPr>
          <w:rFonts w:cs="Arial"/>
          <w:sz w:val="20"/>
        </w:rPr>
        <w:t>[</w:t>
      </w:r>
      <w:r w:rsidR="006300AD" w:rsidRPr="00412620">
        <w:rPr>
          <w:rFonts w:cs="Arial"/>
          <w:sz w:val="20"/>
        </w:rPr>
        <w:t>default surcharge</w:t>
      </w:r>
      <w:r w:rsidR="00C42B8D" w:rsidRPr="00412620">
        <w:rPr>
          <w:rFonts w:cs="Arial"/>
          <w:sz w:val="20"/>
        </w:rPr>
        <w:t>]</w:t>
      </w:r>
      <w:r w:rsidR="006A3F93" w:rsidRPr="00412620">
        <w:rPr>
          <w:rFonts w:cs="Arial"/>
          <w:sz w:val="20"/>
        </w:rPr>
        <w:t>, or other amount payable under the repealed Ordinance may be recovered under this Ordinance, but without prejudice to any action already taken for the recovery of the amount under the repealed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(8)</w:t>
      </w:r>
      <w:r w:rsidRPr="00412620">
        <w:rPr>
          <w:rFonts w:cs="Arial"/>
          <w:sz w:val="20"/>
        </w:rPr>
        <w:tab/>
        <w:t>Any election or declaration made or option exercised by any person under any provision of the repealed Ordinance and in force immediately before the commencement of this Ordinance shall be treated as an election or declaration made, or option exercised under the corresponding provisions, if any, of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(9)</w:t>
      </w:r>
      <w:r w:rsidRPr="00412620">
        <w:rPr>
          <w:rFonts w:cs="Arial"/>
          <w:sz w:val="20"/>
        </w:rPr>
        <w:tab/>
        <w:t xml:space="preserve">Anything done or action taken under the repealed Ordinance in so far as it is not inconsistent with the </w:t>
      </w:r>
      <w:r w:rsidRPr="00412620">
        <w:rPr>
          <w:rStyle w:val="FootnoteReference"/>
          <w:rFonts w:cs="Arial"/>
          <w:sz w:val="20"/>
        </w:rPr>
        <w:footnoteReference w:id="1558"/>
      </w:r>
      <w:r w:rsidRPr="00412620">
        <w:rPr>
          <w:rFonts w:cs="Arial"/>
          <w:sz w:val="20"/>
        </w:rPr>
        <w:t>[provisions] of this Ordinance shall, without prejudice to anything already done or any action already taken, be treated as having been done or taken under this Ordinance.</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(10)</w:t>
      </w:r>
      <w:r w:rsidRPr="00412620">
        <w:rPr>
          <w:rFonts w:cs="Arial"/>
          <w:sz w:val="20"/>
        </w:rPr>
        <w:tab/>
        <w:t xml:space="preserve"> Any agreement entered into, appointment made, approval given, recognition granted, direction, instruction, notification, notice, order or rule issued or made under any provision of the repealed Ordinance and in force or valid at the commencement of this Ordinance shall, so far as it is not inconsistent with the corresponding provision of this Ordinance or any agreement, appointment entered into, approval given, recognition granted, direction, instruction, notification, notice, order or rule issued or made under this Ordinance, be treated as entered into, made, given, granted or issued, as the case may be, under that corresponding provision and shall unless revoked, cancelled or repealed by, or under, this Ordinance, continue in force accordingly.</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(11)</w:t>
      </w:r>
      <w:r w:rsidRPr="00412620">
        <w:rPr>
          <w:rFonts w:cs="Arial"/>
          <w:sz w:val="20"/>
        </w:rPr>
        <w:tab/>
        <w:t xml:space="preserve"> Any appointment, act of authority or other thing made or done by any authority or person and subsisting or in force at the commencement of this Ordinance which would have been made or done under any substantially corresponding provision of this Ordinance by any authority or person other than the one specified in the repealed Ordinance, or in any manner other than as specified in the repealed Ordinance shall continue in force and have effect as if it has been made or done under the corresponding provision of this Ordinance by the authority or person, or in the manner specified in the corresponding provision as if such provision had been in force when it was made or done.</w:t>
      </w:r>
    </w:p>
    <w:p w:rsidR="006A3F93" w:rsidRPr="00412620" w:rsidRDefault="006A3F93">
      <w:pPr>
        <w:jc w:val="both"/>
        <w:rPr>
          <w:rFonts w:cs="Arial"/>
          <w:strike/>
          <w:sz w:val="20"/>
        </w:rPr>
      </w:pPr>
    </w:p>
    <w:p w:rsidR="006A3F93" w:rsidRPr="00412620" w:rsidRDefault="006A3F93" w:rsidP="009A5977">
      <w:pPr>
        <w:ind w:firstLine="547"/>
        <w:jc w:val="both"/>
        <w:rPr>
          <w:rFonts w:cs="Arial"/>
          <w:b/>
          <w:sz w:val="20"/>
        </w:rPr>
      </w:pPr>
      <w:r w:rsidRPr="00412620">
        <w:rPr>
          <w:rStyle w:val="FootnoteReference"/>
          <w:rFonts w:cs="Arial"/>
          <w:sz w:val="20"/>
        </w:rPr>
        <w:lastRenderedPageBreak/>
        <w:footnoteReference w:id="1559"/>
      </w:r>
      <w:r w:rsidRPr="00412620">
        <w:rPr>
          <w:rFonts w:cs="Arial"/>
          <w:sz w:val="20"/>
        </w:rPr>
        <w:t>[(12)</w:t>
      </w:r>
      <w:r w:rsidRPr="00412620">
        <w:rPr>
          <w:rFonts w:cs="Arial"/>
          <w:sz w:val="20"/>
        </w:rPr>
        <w:tab/>
        <w:t xml:space="preserve">Any notification issued under section 50 of the repealed Ordinance and in force on the commencement of this Ordinance shall continue to remain in force, unless </w:t>
      </w:r>
      <w:r w:rsidRPr="00412620">
        <w:rPr>
          <w:rStyle w:val="FootnoteReference"/>
          <w:rFonts w:cs="Arial"/>
          <w:sz w:val="20"/>
        </w:rPr>
        <w:footnoteReference w:id="1560"/>
      </w:r>
      <w:r w:rsidRPr="00412620">
        <w:rPr>
          <w:rFonts w:cs="Arial"/>
          <w:sz w:val="20"/>
        </w:rPr>
        <w:t>[amended, modified], cancelled or repealed by, or under, this Ordinance.]</w:t>
      </w:r>
    </w:p>
    <w:p w:rsidR="006A3F93" w:rsidRPr="00412620" w:rsidRDefault="006A3F93">
      <w:pPr>
        <w:jc w:val="both"/>
        <w:rPr>
          <w:rFonts w:cs="Arial"/>
          <w:sz w:val="20"/>
        </w:rPr>
      </w:pPr>
    </w:p>
    <w:p w:rsidR="006A3F93" w:rsidRPr="00412620" w:rsidRDefault="006A3F93" w:rsidP="009A5977">
      <w:pPr>
        <w:ind w:firstLine="547"/>
        <w:jc w:val="both"/>
        <w:rPr>
          <w:rFonts w:cs="Arial"/>
          <w:sz w:val="20"/>
        </w:rPr>
      </w:pPr>
      <w:r w:rsidRPr="00412620">
        <w:rPr>
          <w:rStyle w:val="FootnoteReference"/>
          <w:rFonts w:cs="Arial"/>
          <w:sz w:val="20"/>
        </w:rPr>
        <w:footnoteReference w:id="1561"/>
      </w:r>
      <w:r w:rsidRPr="00802C33">
        <w:rPr>
          <w:rFonts w:cs="Arial"/>
          <w:i/>
          <w:sz w:val="20"/>
        </w:rPr>
        <w:t>[</w:t>
      </w:r>
      <w:r w:rsidRPr="00412620">
        <w:rPr>
          <w:rFonts w:cs="Arial"/>
          <w:sz w:val="20"/>
        </w:rPr>
        <w:t>(13)</w:t>
      </w:r>
      <w:r w:rsidRPr="00412620">
        <w:rPr>
          <w:rFonts w:cs="Arial"/>
          <w:sz w:val="20"/>
        </w:rPr>
        <w:tab/>
        <w:t xml:space="preserve">The authority which issued any notification, notice, direction or instruction, or made any rule, agreement or appointment, or granted any approval or recognition, referred to in sub-sections (10) and (12), shall have the power to </w:t>
      </w:r>
      <w:r w:rsidRPr="00303956">
        <w:rPr>
          <w:rStyle w:val="FootnoteReference"/>
          <w:rFonts w:cs="Arial"/>
          <w:color w:val="000000" w:themeColor="text1"/>
          <w:sz w:val="20"/>
        </w:rPr>
        <w:footnoteReference w:id="1562"/>
      </w:r>
      <w:r w:rsidRPr="00303956">
        <w:rPr>
          <w:rFonts w:cs="Arial"/>
          <w:color w:val="000000" w:themeColor="text1"/>
          <w:sz w:val="20"/>
        </w:rPr>
        <w:t>[</w:t>
      </w:r>
      <w:r w:rsidR="00303956">
        <w:rPr>
          <w:rFonts w:cs="Arial"/>
          <w:color w:val="000000" w:themeColor="text1"/>
          <w:sz w:val="20"/>
        </w:rPr>
        <w:t xml:space="preserve">  </w:t>
      </w:r>
      <w:r w:rsidRPr="00303956">
        <w:rPr>
          <w:rFonts w:cs="Arial"/>
          <w:color w:val="000000" w:themeColor="text1"/>
          <w:sz w:val="20"/>
        </w:rPr>
        <w:t>]</w:t>
      </w:r>
      <w:r w:rsidR="00303956">
        <w:rPr>
          <w:rFonts w:cs="Arial"/>
          <w:color w:val="000000" w:themeColor="text1"/>
          <w:sz w:val="20"/>
        </w:rPr>
        <w:t xml:space="preserve"> </w:t>
      </w:r>
      <w:r w:rsidR="008901CC" w:rsidRPr="00303956">
        <w:rPr>
          <w:rStyle w:val="FootnoteReference"/>
          <w:rFonts w:cs="Arial"/>
          <w:color w:val="000000" w:themeColor="text1"/>
          <w:sz w:val="20"/>
        </w:rPr>
        <w:footnoteReference w:id="1563"/>
      </w:r>
      <w:r w:rsidR="008901CC" w:rsidRPr="00303956">
        <w:rPr>
          <w:rFonts w:cs="Arial"/>
          <w:color w:val="000000" w:themeColor="text1"/>
          <w:sz w:val="20"/>
        </w:rPr>
        <w:t>[</w:t>
      </w:r>
      <w:r w:rsidR="00D44C0E" w:rsidRPr="00303956">
        <w:rPr>
          <w:rFonts w:cs="Arial"/>
          <w:color w:val="000000" w:themeColor="text1"/>
          <w:sz w:val="20"/>
          <w:szCs w:val="16"/>
        </w:rPr>
        <w:t>amend, modify</w:t>
      </w:r>
      <w:r w:rsidR="00D44C0E" w:rsidRPr="00303956">
        <w:rPr>
          <w:rFonts w:cs="Arial"/>
          <w:color w:val="000000" w:themeColor="text1"/>
          <w:sz w:val="16"/>
          <w:szCs w:val="16"/>
        </w:rPr>
        <w:t>]</w:t>
      </w:r>
      <w:r w:rsidRPr="00303956">
        <w:rPr>
          <w:rFonts w:cs="Arial"/>
          <w:color w:val="000000" w:themeColor="text1"/>
          <w:sz w:val="20"/>
        </w:rPr>
        <w:t>, cancel or repeal any such notification, notice, direction,</w:t>
      </w:r>
      <w:r w:rsidRPr="00412620">
        <w:rPr>
          <w:rFonts w:cs="Arial"/>
          <w:sz w:val="20"/>
        </w:rPr>
        <w:t xml:space="preserve"> instruction, rule, agreement, appointment, approval or recognition.]</w:t>
      </w:r>
    </w:p>
    <w:p w:rsidR="006A3F93" w:rsidRPr="00412620" w:rsidRDefault="006A3F93">
      <w:pPr>
        <w:jc w:val="both"/>
        <w:rPr>
          <w:rFonts w:cs="Arial"/>
          <w:sz w:val="20"/>
        </w:rPr>
      </w:pPr>
    </w:p>
    <w:p w:rsidR="006A3F93" w:rsidRPr="00412620" w:rsidRDefault="006A3F93" w:rsidP="009A5977">
      <w:pPr>
        <w:ind w:firstLine="547"/>
        <w:jc w:val="both"/>
        <w:rPr>
          <w:rFonts w:cs="Arial"/>
          <w:sz w:val="20"/>
        </w:rPr>
      </w:pPr>
      <w:r w:rsidRPr="00412620">
        <w:rPr>
          <w:rStyle w:val="FootnoteReference"/>
          <w:rFonts w:cs="Arial"/>
          <w:sz w:val="20"/>
        </w:rPr>
        <w:footnoteReference w:id="1564"/>
      </w:r>
      <w:r w:rsidRPr="00412620">
        <w:rPr>
          <w:rFonts w:cs="Arial"/>
          <w:sz w:val="20"/>
        </w:rPr>
        <w:t xml:space="preserve">[(14) </w:t>
      </w:r>
      <w:r w:rsidRPr="00412620">
        <w:rPr>
          <w:rFonts w:cs="Arial"/>
          <w:sz w:val="20"/>
        </w:rPr>
        <w:tab/>
        <w:t>Any yield from National Saving Schemes of Directorate of National Savings where investment was made on or before 30</w:t>
      </w:r>
      <w:r w:rsidRPr="00412620">
        <w:rPr>
          <w:rFonts w:cs="Arial"/>
          <w:sz w:val="20"/>
          <w:vertAlign w:val="superscript"/>
        </w:rPr>
        <w:t>th</w:t>
      </w:r>
      <w:r w:rsidRPr="00412620">
        <w:rPr>
          <w:rFonts w:cs="Arial"/>
          <w:sz w:val="20"/>
        </w:rPr>
        <w:t xml:space="preserve"> June, 2001 and any income derived from Mahana</w:t>
      </w:r>
      <w:r w:rsidR="001417A6">
        <w:rPr>
          <w:rFonts w:cs="Arial"/>
          <w:sz w:val="20"/>
        </w:rPr>
        <w:t xml:space="preserve"> </w:t>
      </w:r>
      <w:r w:rsidRPr="00412620">
        <w:rPr>
          <w:rFonts w:cs="Arial"/>
          <w:sz w:val="20"/>
        </w:rPr>
        <w:t xml:space="preserve">Amdani Account where monthly instalment does not </w:t>
      </w:r>
      <w:r w:rsidRPr="00412620">
        <w:rPr>
          <w:rStyle w:val="FootnoteReference"/>
          <w:rFonts w:cs="Arial"/>
          <w:sz w:val="20"/>
        </w:rPr>
        <w:footnoteReference w:id="1565"/>
      </w:r>
      <w:r w:rsidRPr="00412620">
        <w:rPr>
          <w:rFonts w:cs="Arial"/>
          <w:sz w:val="20"/>
        </w:rPr>
        <w:t>[exceed] one thousand rupees shall continue to remain exempt and any person paying such yield or income shall not deduct tax under section 151 therefrom and the recipient of such yield or income shall not be required to produce an exemption certificate under section 159 in support of the said exemption.]</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(15)</w:t>
      </w:r>
      <w:r w:rsidRPr="00412620">
        <w:rPr>
          <w:rFonts w:cs="Arial"/>
          <w:sz w:val="20"/>
        </w:rPr>
        <w:tab/>
        <w:t xml:space="preserve"> Section 107AA of the repealed Ordinance shall continue to apply until the 30</w:t>
      </w:r>
      <w:r w:rsidRPr="00412620">
        <w:rPr>
          <w:rFonts w:cs="Arial"/>
          <w:sz w:val="20"/>
          <w:vertAlign w:val="superscript"/>
        </w:rPr>
        <w:t>th</w:t>
      </w:r>
      <w:r w:rsidRPr="00412620">
        <w:rPr>
          <w:rFonts w:cs="Arial"/>
          <w:sz w:val="20"/>
        </w:rPr>
        <w:t xml:space="preserve"> day of June, 2002.</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tab/>
        <w:t>(16)</w:t>
      </w:r>
      <w:r w:rsidRPr="00412620">
        <w:rPr>
          <w:rFonts w:cs="Arial"/>
          <w:sz w:val="20"/>
        </w:rPr>
        <w:tab/>
        <w:t xml:space="preserve"> The Income Tax Rules made under the repealed Ordinance, on the valuation of perquisites shall continue to apply </w:t>
      </w:r>
      <w:r w:rsidRPr="00412620">
        <w:rPr>
          <w:rStyle w:val="FootnoteReference"/>
          <w:rFonts w:cs="Arial"/>
          <w:sz w:val="20"/>
        </w:rPr>
        <w:footnoteReference w:id="1566"/>
      </w:r>
      <w:r w:rsidRPr="00412620">
        <w:rPr>
          <w:rFonts w:cs="Arial"/>
          <w:sz w:val="20"/>
        </w:rPr>
        <w:t>[in respect of any income year ending on or before] the 30th day of June 2002.</w:t>
      </w:r>
    </w:p>
    <w:p w:rsidR="006A3F93" w:rsidRPr="00412620" w:rsidRDefault="006A3F93">
      <w:pPr>
        <w:jc w:val="both"/>
        <w:rPr>
          <w:rFonts w:cs="Arial"/>
          <w:sz w:val="20"/>
        </w:rPr>
      </w:pPr>
    </w:p>
    <w:p w:rsidR="006A3F93" w:rsidRPr="00412620" w:rsidRDefault="006A3F93">
      <w:pPr>
        <w:jc w:val="both"/>
        <w:rPr>
          <w:rFonts w:cs="Arial"/>
          <w:sz w:val="20"/>
        </w:rPr>
      </w:pPr>
      <w:r w:rsidRPr="00412620">
        <w:rPr>
          <w:rFonts w:cs="Arial"/>
          <w:sz w:val="20"/>
        </w:rPr>
        <w:lastRenderedPageBreak/>
        <w:tab/>
        <w:t>(17)</w:t>
      </w:r>
      <w:r w:rsidRPr="00412620">
        <w:rPr>
          <w:rFonts w:cs="Arial"/>
          <w:sz w:val="20"/>
        </w:rPr>
        <w:tab/>
        <w:t xml:space="preserve"> Item 8(5)(h) of the Third Schedule to the repealed Ordinance shall continue to apply to assets covered by the item.</w:t>
      </w:r>
    </w:p>
    <w:p w:rsidR="0002608C" w:rsidRPr="00412620" w:rsidRDefault="0002608C">
      <w:pPr>
        <w:jc w:val="both"/>
        <w:rPr>
          <w:rFonts w:cs="Arial"/>
          <w:sz w:val="20"/>
        </w:rPr>
      </w:pPr>
    </w:p>
    <w:p w:rsidR="006A3F93" w:rsidRPr="00412620" w:rsidRDefault="006A3F93">
      <w:pPr>
        <w:jc w:val="both"/>
        <w:rPr>
          <w:rFonts w:cs="Arial"/>
          <w:b/>
          <w:sz w:val="20"/>
        </w:rPr>
      </w:pPr>
      <w:r w:rsidRPr="00412620">
        <w:rPr>
          <w:rStyle w:val="FootnoteReference"/>
          <w:rFonts w:cs="Arial"/>
          <w:sz w:val="20"/>
        </w:rPr>
        <w:footnoteReference w:id="1567"/>
      </w:r>
      <w:r w:rsidRPr="00412620">
        <w:rPr>
          <w:rFonts w:cs="Arial"/>
          <w:sz w:val="20"/>
        </w:rPr>
        <w:t xml:space="preserve">[  ] </w:t>
      </w:r>
    </w:p>
    <w:p w:rsidR="006A3F93" w:rsidRPr="00412620" w:rsidRDefault="006A3F93">
      <w:pPr>
        <w:rPr>
          <w:rFonts w:cs="Arial"/>
          <w:b/>
          <w:sz w:val="20"/>
        </w:rPr>
      </w:pPr>
    </w:p>
    <w:p w:rsidR="00D73ADB" w:rsidRPr="00412620" w:rsidRDefault="00D73ADB" w:rsidP="00D73ADB">
      <w:pPr>
        <w:jc w:val="both"/>
        <w:rPr>
          <w:rFonts w:cs="Arial"/>
          <w:sz w:val="20"/>
        </w:rPr>
      </w:pPr>
      <w:r w:rsidRPr="00412620">
        <w:rPr>
          <w:rStyle w:val="FootnoteReference"/>
          <w:rFonts w:cs="Arial"/>
          <w:b/>
          <w:sz w:val="20"/>
        </w:rPr>
        <w:footnoteReference w:id="1568"/>
      </w:r>
      <w:r w:rsidRPr="00412620">
        <w:rPr>
          <w:rFonts w:cs="Arial"/>
          <w:b/>
          <w:sz w:val="20"/>
        </w:rPr>
        <w:t>[239A. Transition to Federal Board of Revenue.</w:t>
      </w:r>
      <w:r w:rsidRPr="00412620">
        <w:rPr>
          <w:i/>
          <w:iCs/>
          <w:sz w:val="20"/>
        </w:rPr>
        <w:t>—</w:t>
      </w:r>
      <w:r w:rsidRPr="00412620">
        <w:rPr>
          <w:sz w:val="20"/>
        </w:rPr>
        <w:t>Any reference to the Central Board of Revenue, wherever occurring, in this Ordinance and the rules made thereunder</w:t>
      </w:r>
      <w:r w:rsidR="001417A6">
        <w:rPr>
          <w:sz w:val="20"/>
        </w:rPr>
        <w:t xml:space="preserve"> </w:t>
      </w:r>
      <w:r w:rsidRPr="00412620">
        <w:rPr>
          <w:sz w:val="20"/>
        </w:rPr>
        <w:t>and Notifications, Orders, or any other instrument issued thereunder shall be construed as a reference to the Federal Board of Revenue on the commencement of the Federal Board of Revenue Act, 2007.]</w:t>
      </w:r>
    </w:p>
    <w:p w:rsidR="00D73ADB" w:rsidRPr="00412620" w:rsidRDefault="00D73ADB">
      <w:pPr>
        <w:rPr>
          <w:rFonts w:cs="Arial"/>
          <w:sz w:val="20"/>
        </w:rPr>
      </w:pPr>
    </w:p>
    <w:p w:rsidR="007514A4" w:rsidRPr="00412620" w:rsidRDefault="00EF183B" w:rsidP="007514A4">
      <w:pPr>
        <w:jc w:val="both"/>
        <w:rPr>
          <w:rFonts w:cs="Arial"/>
          <w:sz w:val="20"/>
        </w:rPr>
      </w:pPr>
      <w:r w:rsidRPr="00412620">
        <w:rPr>
          <w:rStyle w:val="FootnoteReference"/>
          <w:rFonts w:cs="Arial"/>
          <w:sz w:val="20"/>
        </w:rPr>
        <w:footnoteReference w:id="1569"/>
      </w:r>
      <w:r w:rsidR="007514A4" w:rsidRPr="00412620">
        <w:rPr>
          <w:rFonts w:cs="Arial"/>
          <w:sz w:val="20"/>
        </w:rPr>
        <w:t>[</w:t>
      </w:r>
      <w:r w:rsidR="007514A4" w:rsidRPr="00412620">
        <w:rPr>
          <w:rFonts w:cs="Arial"/>
          <w:b/>
          <w:sz w:val="20"/>
        </w:rPr>
        <w:t>239B. Reference to authorities.—</w:t>
      </w:r>
      <w:r w:rsidR="007514A4" w:rsidRPr="00412620">
        <w:rPr>
          <w:rFonts w:cs="Arial"/>
          <w:sz w:val="20"/>
        </w:rPr>
        <w:t xml:space="preserve"> (1) Any reference to the Regional Commissioner of Income Tax, Commissioner of Income Tax, Commissioner of Income Tax (Appeals) and Taxation Officer, wherever occurring, in this Ordinance and the rules made thereunder </w:t>
      </w:r>
      <w:r w:rsidR="00720505" w:rsidRPr="00412620">
        <w:rPr>
          <w:rStyle w:val="FootnoteReference"/>
          <w:sz w:val="20"/>
        </w:rPr>
        <w:footnoteReference w:id="1570"/>
      </w:r>
      <w:r w:rsidR="00720505" w:rsidRPr="00412620">
        <w:rPr>
          <w:sz w:val="20"/>
        </w:rPr>
        <w:t xml:space="preserve">[and in any other law in force at the time of promulgation of this Ordinance] </w:t>
      </w:r>
      <w:r w:rsidR="007514A4" w:rsidRPr="00412620">
        <w:rPr>
          <w:rFonts w:cs="Arial"/>
          <w:sz w:val="20"/>
        </w:rPr>
        <w:t>and notifications, orders, circulars or clarifications or any instrument issued thereunder shall be construed as reference to the Chief Commissioner Inland Revenue, Commissioner Inland Revenue, Commissioner Inland Revenue (Appeals) and officer of Inland Revenue, respectively.]</w:t>
      </w:r>
    </w:p>
    <w:p w:rsidR="00540147" w:rsidRPr="00412620" w:rsidRDefault="00540147">
      <w:pPr>
        <w:rPr>
          <w:rFonts w:cs="Arial"/>
          <w:b/>
          <w:sz w:val="20"/>
        </w:rPr>
      </w:pPr>
    </w:p>
    <w:p w:rsidR="006A3F93" w:rsidRPr="00412620" w:rsidRDefault="006A3F93">
      <w:pPr>
        <w:jc w:val="both"/>
        <w:rPr>
          <w:sz w:val="20"/>
        </w:rPr>
      </w:pPr>
      <w:r w:rsidRPr="00412620">
        <w:rPr>
          <w:rFonts w:cs="Arial"/>
          <w:b/>
          <w:sz w:val="20"/>
        </w:rPr>
        <w:t>240.</w:t>
      </w:r>
      <w:r w:rsidRPr="00412620">
        <w:rPr>
          <w:rFonts w:cs="Arial"/>
          <w:b/>
          <w:sz w:val="20"/>
        </w:rPr>
        <w:tab/>
        <w:t xml:space="preserve"> Removal of difficulties.</w:t>
      </w:r>
      <w:r w:rsidR="00E019CF" w:rsidRPr="00412620">
        <w:rPr>
          <w:rFonts w:cs="Arial"/>
          <w:b/>
          <w:sz w:val="20"/>
        </w:rPr>
        <w:t>—</w:t>
      </w:r>
      <w:r w:rsidRPr="00412620">
        <w:rPr>
          <w:sz w:val="20"/>
        </w:rPr>
        <w:t xml:space="preserve">(1)  Subject to sub-section (2), if any difficulty arises in giving effect to any of the provisions of this Ordinance, the Federal Government may, by notification in the official Gazette, make such order, </w:t>
      </w:r>
      <w:r w:rsidRPr="00412620">
        <w:rPr>
          <w:rStyle w:val="FootnoteReference"/>
          <w:sz w:val="20"/>
        </w:rPr>
        <w:lastRenderedPageBreak/>
        <w:footnoteReference w:id="1571"/>
      </w:r>
      <w:r w:rsidRPr="00412620">
        <w:rPr>
          <w:sz w:val="20"/>
        </w:rPr>
        <w:t>[not]inconsistent with the provisions of this Ordinance, as may appear to it to be necessary for the purpose of removing the difficulty.</w:t>
      </w:r>
    </w:p>
    <w:p w:rsidR="006A3F93" w:rsidRPr="00412620" w:rsidRDefault="006A3F93" w:rsidP="00EB7E56">
      <w:pPr>
        <w:jc w:val="both"/>
        <w:rPr>
          <w:rFonts w:cs="Arial"/>
          <w:b/>
          <w:sz w:val="20"/>
        </w:rPr>
      </w:pPr>
    </w:p>
    <w:p w:rsidR="00EB7E56" w:rsidRPr="00412620" w:rsidRDefault="00EB7E56" w:rsidP="00EB7E56">
      <w:pPr>
        <w:jc w:val="both"/>
        <w:rPr>
          <w:rFonts w:cs="Arial"/>
          <w:sz w:val="20"/>
        </w:rPr>
      </w:pPr>
      <w:r w:rsidRPr="00412620">
        <w:rPr>
          <w:rFonts w:cs="Arial"/>
          <w:b/>
          <w:sz w:val="20"/>
        </w:rPr>
        <w:tab/>
      </w:r>
      <w:r w:rsidRPr="00412620">
        <w:rPr>
          <w:rStyle w:val="FootnoteReference"/>
          <w:rFonts w:cs="Arial"/>
          <w:b/>
          <w:sz w:val="20"/>
        </w:rPr>
        <w:footnoteReference w:id="1572"/>
      </w:r>
      <w:r w:rsidRPr="00412620">
        <w:rPr>
          <w:rFonts w:cs="Arial"/>
          <w:sz w:val="20"/>
        </w:rPr>
        <w:t>[  ]</w:t>
      </w:r>
    </w:p>
    <w:p w:rsidR="00EB7E56" w:rsidRPr="00412620" w:rsidRDefault="00EB7E56" w:rsidP="00EB7E56">
      <w:pPr>
        <w:jc w:val="both"/>
        <w:rPr>
          <w:rFonts w:cs="Arial"/>
          <w:b/>
          <w:sz w:val="20"/>
        </w:rPr>
      </w:pPr>
    </w:p>
    <w:p w:rsidR="00AA4BF8" w:rsidRPr="00412620" w:rsidRDefault="006A3F93" w:rsidP="00AA4BF8">
      <w:pPr>
        <w:keepNext/>
        <w:jc w:val="center"/>
        <w:rPr>
          <w:b/>
          <w:bCs/>
          <w:sz w:val="32"/>
          <w:szCs w:val="32"/>
        </w:rPr>
      </w:pPr>
      <w:r w:rsidRPr="00412620">
        <w:rPr>
          <w:b/>
          <w:sz w:val="20"/>
        </w:rPr>
        <w:br w:type="page"/>
      </w:r>
      <w:r w:rsidR="00AA4BF8" w:rsidRPr="00412620">
        <w:rPr>
          <w:b/>
          <w:bCs/>
          <w:sz w:val="32"/>
          <w:szCs w:val="32"/>
        </w:rPr>
        <w:lastRenderedPageBreak/>
        <w:t>THE FIRST SCHEDULE</w:t>
      </w:r>
    </w:p>
    <w:p w:rsidR="00AA4BF8" w:rsidRPr="00412620" w:rsidRDefault="00AA4BF8" w:rsidP="00AA4BF8">
      <w:pPr>
        <w:keepNext/>
        <w:jc w:val="center"/>
        <w:rPr>
          <w:sz w:val="20"/>
        </w:rPr>
      </w:pPr>
    </w:p>
    <w:p w:rsidR="00AA4BF8" w:rsidRPr="00412620" w:rsidRDefault="00AA4BF8" w:rsidP="00AA4BF8">
      <w:pPr>
        <w:pStyle w:val="Heading2"/>
        <w:spacing w:line="240" w:lineRule="auto"/>
        <w:rPr>
          <w:sz w:val="32"/>
          <w:szCs w:val="32"/>
        </w:rPr>
      </w:pPr>
      <w:r w:rsidRPr="00412620">
        <w:rPr>
          <w:sz w:val="32"/>
          <w:szCs w:val="32"/>
        </w:rPr>
        <w:t>PART I</w:t>
      </w:r>
    </w:p>
    <w:p w:rsidR="00AA4BF8" w:rsidRPr="00412620" w:rsidRDefault="00AA4BF8" w:rsidP="00AA4BF8">
      <w:pPr>
        <w:pStyle w:val="Heading2"/>
        <w:spacing w:line="240" w:lineRule="auto"/>
        <w:rPr>
          <w:sz w:val="20"/>
        </w:rPr>
      </w:pPr>
      <w:r w:rsidRPr="00412620">
        <w:rPr>
          <w:sz w:val="20"/>
        </w:rPr>
        <w:t xml:space="preserve">RATES OF TAX </w:t>
      </w:r>
    </w:p>
    <w:p w:rsidR="00AA4BF8" w:rsidRPr="00412620" w:rsidRDefault="00AA4BF8" w:rsidP="00AA4BF8">
      <w:pPr>
        <w:pStyle w:val="BodyText2"/>
        <w:keepNext/>
        <w:rPr>
          <w:sz w:val="20"/>
        </w:rPr>
      </w:pPr>
      <w:r w:rsidRPr="00412620">
        <w:rPr>
          <w:sz w:val="20"/>
        </w:rPr>
        <w:t>(See Chapter II)</w:t>
      </w:r>
    </w:p>
    <w:p w:rsidR="00AA4BF8" w:rsidRPr="00412620" w:rsidRDefault="00AA4BF8" w:rsidP="00AA4BF8">
      <w:pPr>
        <w:keepNext/>
        <w:jc w:val="center"/>
        <w:rPr>
          <w:sz w:val="20"/>
        </w:rPr>
      </w:pPr>
    </w:p>
    <w:p w:rsidR="00AA4BF8" w:rsidRPr="00412620" w:rsidRDefault="00AA4BF8" w:rsidP="00AA4BF8">
      <w:pPr>
        <w:pStyle w:val="Heading2"/>
        <w:spacing w:line="240" w:lineRule="auto"/>
      </w:pPr>
      <w:r w:rsidRPr="00412620">
        <w:t>Division I</w:t>
      </w:r>
    </w:p>
    <w:p w:rsidR="00AA4BF8" w:rsidRPr="00412620" w:rsidRDefault="00AA4BF8" w:rsidP="00AA4BF8">
      <w:pPr>
        <w:keepNext/>
        <w:jc w:val="center"/>
        <w:rPr>
          <w:b/>
          <w:bCs/>
        </w:rPr>
      </w:pPr>
      <w:r w:rsidRPr="00412620">
        <w:rPr>
          <w:b/>
          <w:bCs/>
        </w:rPr>
        <w:t xml:space="preserve">Rates of Tax for Individuals </w:t>
      </w:r>
    </w:p>
    <w:p w:rsidR="00AA4BF8" w:rsidRPr="00412620" w:rsidRDefault="00AA4BF8" w:rsidP="00AA4BF8">
      <w:pPr>
        <w:keepNext/>
        <w:jc w:val="center"/>
        <w:rPr>
          <w:b/>
          <w:bCs/>
        </w:rPr>
      </w:pPr>
      <w:r w:rsidRPr="00412620">
        <w:rPr>
          <w:rStyle w:val="FootnoteReference"/>
          <w:rFonts w:cs="Arial"/>
          <w:b/>
          <w:bCs/>
        </w:rPr>
        <w:footnoteReference w:id="1573"/>
      </w:r>
      <w:r w:rsidRPr="00412620">
        <w:rPr>
          <w:b/>
          <w:bCs/>
        </w:rPr>
        <w:t>[and Association of Persons]</w:t>
      </w:r>
    </w:p>
    <w:p w:rsidR="00AA4BF8" w:rsidRPr="006A4F4B" w:rsidRDefault="00AA4BF8" w:rsidP="00AA4BF8">
      <w:pPr>
        <w:keepNext/>
        <w:rPr>
          <w:sz w:val="14"/>
        </w:rPr>
      </w:pPr>
    </w:p>
    <w:p w:rsidR="00AA4BF8" w:rsidRPr="00412620" w:rsidRDefault="00AA4BF8" w:rsidP="006A4F4B">
      <w:pPr>
        <w:jc w:val="both"/>
        <w:rPr>
          <w:sz w:val="20"/>
        </w:rPr>
      </w:pPr>
      <w:r w:rsidRPr="00412620">
        <w:rPr>
          <w:sz w:val="20"/>
        </w:rPr>
        <w:t>(1)</w:t>
      </w:r>
      <w:r w:rsidRPr="00412620">
        <w:rPr>
          <w:sz w:val="20"/>
        </w:rPr>
        <w:tab/>
        <w:t xml:space="preserve">Subject to </w:t>
      </w:r>
      <w:r w:rsidRPr="00412620">
        <w:rPr>
          <w:rStyle w:val="FootnoteReference"/>
          <w:rFonts w:cs="Arial"/>
          <w:sz w:val="20"/>
        </w:rPr>
        <w:footnoteReference w:id="1574"/>
      </w:r>
      <w:r w:rsidRPr="00412620">
        <w:rPr>
          <w:sz w:val="20"/>
        </w:rPr>
        <w:t xml:space="preserve">[ </w:t>
      </w:r>
      <w:r w:rsidRPr="00412620">
        <w:rPr>
          <w:rStyle w:val="FootnoteReference"/>
          <w:rFonts w:cs="Arial"/>
          <w:sz w:val="20"/>
        </w:rPr>
        <w:footnoteReference w:id="1575"/>
      </w:r>
      <w:r w:rsidRPr="00412620">
        <w:rPr>
          <w:sz w:val="20"/>
        </w:rPr>
        <w:t xml:space="preserve">[clause] (1A) </w:t>
      </w:r>
      <w:r w:rsidRPr="00412620">
        <w:rPr>
          <w:rStyle w:val="FootnoteReference"/>
          <w:rFonts w:cs="Arial"/>
          <w:sz w:val="20"/>
        </w:rPr>
        <w:footnoteReference w:id="1576"/>
      </w:r>
      <w:r w:rsidRPr="00412620">
        <w:rPr>
          <w:sz w:val="20"/>
        </w:rPr>
        <w:t xml:space="preserve">[ ] ], the rates of tax imposed on the taxable income of every individual </w:t>
      </w:r>
      <w:r w:rsidRPr="00412620">
        <w:rPr>
          <w:rStyle w:val="FootnoteReference"/>
          <w:rFonts w:cs="Arial"/>
          <w:b/>
          <w:bCs/>
          <w:sz w:val="20"/>
        </w:rPr>
        <w:footnoteReference w:id="1577"/>
      </w:r>
      <w:r w:rsidRPr="00412620">
        <w:rPr>
          <w:sz w:val="20"/>
        </w:rPr>
        <w:t xml:space="preserve">[and Association of Persons] </w:t>
      </w:r>
      <w:r w:rsidRPr="00412620">
        <w:rPr>
          <w:rStyle w:val="FootnoteReference"/>
          <w:rFonts w:cs="Arial"/>
          <w:sz w:val="20"/>
        </w:rPr>
        <w:footnoteReference w:id="1578"/>
      </w:r>
      <w:r w:rsidRPr="00412620">
        <w:rPr>
          <w:sz w:val="20"/>
        </w:rPr>
        <w:t xml:space="preserve">[except a salaried taxpayer] </w:t>
      </w:r>
      <w:r w:rsidRPr="00412620">
        <w:rPr>
          <w:rStyle w:val="FootnoteReference"/>
          <w:rFonts w:cs="Arial"/>
          <w:sz w:val="20"/>
        </w:rPr>
        <w:footnoteReference w:id="1579"/>
      </w:r>
      <w:r w:rsidRPr="00412620">
        <w:rPr>
          <w:sz w:val="20"/>
        </w:rPr>
        <w:t xml:space="preserve">[ ] </w:t>
      </w:r>
      <w:r w:rsidRPr="00412620">
        <w:rPr>
          <w:rStyle w:val="FootnoteReference"/>
          <w:rFonts w:cs="Arial"/>
          <w:sz w:val="20"/>
        </w:rPr>
        <w:footnoteReference w:id="1580"/>
      </w:r>
      <w:r w:rsidRPr="00412620">
        <w:rPr>
          <w:sz w:val="20"/>
        </w:rPr>
        <w:t>[ ] shall be as set out in the following table, namely:—</w:t>
      </w:r>
    </w:p>
    <w:p w:rsidR="006A4F4B" w:rsidRPr="006A4F4B" w:rsidRDefault="006A4F4B" w:rsidP="00AA4BF8">
      <w:pPr>
        <w:ind w:left="720" w:hanging="720"/>
        <w:jc w:val="center"/>
        <w:rPr>
          <w:sz w:val="14"/>
        </w:rPr>
      </w:pPr>
    </w:p>
    <w:p w:rsidR="0040043B" w:rsidRPr="009A5977" w:rsidRDefault="0040043B" w:rsidP="0040043B">
      <w:pPr>
        <w:ind w:left="720" w:hanging="720"/>
        <w:jc w:val="center"/>
        <w:rPr>
          <w:b/>
          <w:bCs/>
          <w:color w:val="000000" w:themeColor="text1"/>
          <w:sz w:val="20"/>
        </w:rPr>
      </w:pPr>
      <w:r w:rsidRPr="009A5977">
        <w:rPr>
          <w:rStyle w:val="FootnoteReference"/>
          <w:color w:val="000000" w:themeColor="text1"/>
        </w:rPr>
        <w:footnoteReference w:id="1581"/>
      </w:r>
      <w:r w:rsidRPr="009A5977">
        <w:rPr>
          <w:color w:val="000000" w:themeColor="text1"/>
        </w:rPr>
        <w:t>[</w:t>
      </w:r>
      <w:r w:rsidRPr="009A5977">
        <w:rPr>
          <w:b/>
          <w:bCs/>
          <w:color w:val="000000" w:themeColor="text1"/>
        </w:rPr>
        <w:t>TABLE</w:t>
      </w:r>
    </w:p>
    <w:p w:rsidR="0040043B" w:rsidRPr="009A5977" w:rsidRDefault="0040043B" w:rsidP="0040043B">
      <w:pPr>
        <w:ind w:left="720" w:hanging="720"/>
        <w:jc w:val="center"/>
        <w:rPr>
          <w:b/>
          <w:bCs/>
          <w:color w:val="000000" w:themeColor="text1"/>
          <w:sz w:val="16"/>
          <w:szCs w:val="16"/>
        </w:rPr>
      </w:pPr>
    </w:p>
    <w:tbl>
      <w:tblPr>
        <w:tblpPr w:leftFromText="180" w:rightFromText="180" w:vertAnchor="text" w:horzAnchor="margin" w:tblpXSpec="center" w:tblpY="88"/>
        <w:tblW w:w="7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4428"/>
        <w:gridCol w:w="2628"/>
      </w:tblGrid>
      <w:tr w:rsidR="0040043B" w:rsidRPr="009A5977" w:rsidTr="00C304C8">
        <w:trPr>
          <w:trHeight w:val="369"/>
        </w:trPr>
        <w:tc>
          <w:tcPr>
            <w:tcW w:w="900" w:type="dxa"/>
          </w:tcPr>
          <w:p w:rsidR="0040043B" w:rsidRPr="009A5977" w:rsidRDefault="0040043B" w:rsidP="00C304C8">
            <w:pPr>
              <w:jc w:val="center"/>
              <w:rPr>
                <w:b/>
                <w:bCs/>
                <w:color w:val="000000" w:themeColor="text1"/>
                <w:sz w:val="20"/>
              </w:rPr>
            </w:pPr>
            <w:r w:rsidRPr="009A5977">
              <w:rPr>
                <w:b/>
                <w:bCs/>
                <w:color w:val="000000" w:themeColor="text1"/>
                <w:sz w:val="20"/>
              </w:rPr>
              <w:t>S.No.</w:t>
            </w:r>
          </w:p>
        </w:tc>
        <w:tc>
          <w:tcPr>
            <w:tcW w:w="4428" w:type="dxa"/>
          </w:tcPr>
          <w:p w:rsidR="0040043B" w:rsidRPr="009A5977" w:rsidRDefault="0040043B" w:rsidP="00C304C8">
            <w:pPr>
              <w:jc w:val="center"/>
              <w:rPr>
                <w:b/>
                <w:bCs/>
                <w:color w:val="000000" w:themeColor="text1"/>
                <w:sz w:val="20"/>
              </w:rPr>
            </w:pPr>
            <w:r w:rsidRPr="009A5977">
              <w:rPr>
                <w:b/>
                <w:bCs/>
                <w:color w:val="000000" w:themeColor="text1"/>
                <w:sz w:val="20"/>
              </w:rPr>
              <w:t>Taxable income</w:t>
            </w:r>
          </w:p>
        </w:tc>
        <w:tc>
          <w:tcPr>
            <w:tcW w:w="2628" w:type="dxa"/>
          </w:tcPr>
          <w:p w:rsidR="0040043B" w:rsidRPr="009A5977" w:rsidRDefault="0040043B" w:rsidP="00C304C8">
            <w:pPr>
              <w:jc w:val="center"/>
              <w:rPr>
                <w:b/>
                <w:bCs/>
                <w:color w:val="000000" w:themeColor="text1"/>
                <w:sz w:val="20"/>
              </w:rPr>
            </w:pPr>
            <w:r w:rsidRPr="009A5977">
              <w:rPr>
                <w:b/>
                <w:bCs/>
                <w:color w:val="000000" w:themeColor="text1"/>
                <w:sz w:val="20"/>
              </w:rPr>
              <w:t>Rate of tax</w:t>
            </w:r>
          </w:p>
        </w:tc>
      </w:tr>
      <w:tr w:rsidR="0040043B" w:rsidRPr="009A5977" w:rsidTr="00C304C8">
        <w:trPr>
          <w:trHeight w:val="225"/>
        </w:trPr>
        <w:tc>
          <w:tcPr>
            <w:tcW w:w="900" w:type="dxa"/>
          </w:tcPr>
          <w:p w:rsidR="0040043B" w:rsidRPr="009A5977" w:rsidRDefault="0040043B" w:rsidP="00C304C8">
            <w:pPr>
              <w:jc w:val="center"/>
              <w:rPr>
                <w:color w:val="000000" w:themeColor="text1"/>
                <w:sz w:val="20"/>
              </w:rPr>
            </w:pPr>
            <w:r w:rsidRPr="009A5977">
              <w:rPr>
                <w:color w:val="000000" w:themeColor="text1"/>
                <w:sz w:val="20"/>
              </w:rPr>
              <w:lastRenderedPageBreak/>
              <w:t>(1)</w:t>
            </w:r>
          </w:p>
        </w:tc>
        <w:tc>
          <w:tcPr>
            <w:tcW w:w="4428" w:type="dxa"/>
          </w:tcPr>
          <w:p w:rsidR="0040043B" w:rsidRPr="009A5977" w:rsidRDefault="0040043B" w:rsidP="00C304C8">
            <w:pPr>
              <w:jc w:val="center"/>
              <w:rPr>
                <w:color w:val="000000" w:themeColor="text1"/>
                <w:sz w:val="20"/>
              </w:rPr>
            </w:pPr>
            <w:r w:rsidRPr="009A5977">
              <w:rPr>
                <w:color w:val="000000" w:themeColor="text1"/>
                <w:sz w:val="20"/>
              </w:rPr>
              <w:t>(2)</w:t>
            </w:r>
          </w:p>
        </w:tc>
        <w:tc>
          <w:tcPr>
            <w:tcW w:w="2628" w:type="dxa"/>
          </w:tcPr>
          <w:p w:rsidR="0040043B" w:rsidRPr="009A5977" w:rsidRDefault="0040043B" w:rsidP="00C304C8">
            <w:pPr>
              <w:jc w:val="center"/>
              <w:rPr>
                <w:color w:val="000000" w:themeColor="text1"/>
                <w:sz w:val="20"/>
              </w:rPr>
            </w:pPr>
            <w:r w:rsidRPr="009A5977">
              <w:rPr>
                <w:color w:val="000000" w:themeColor="text1"/>
                <w:sz w:val="20"/>
              </w:rPr>
              <w:t>(3)</w:t>
            </w:r>
          </w:p>
        </w:tc>
      </w:tr>
      <w:tr w:rsidR="0040043B" w:rsidRPr="009A5977" w:rsidTr="00C304C8">
        <w:trPr>
          <w:trHeight w:val="225"/>
        </w:trPr>
        <w:tc>
          <w:tcPr>
            <w:tcW w:w="900" w:type="dxa"/>
          </w:tcPr>
          <w:p w:rsidR="0040043B" w:rsidRPr="009A5977" w:rsidRDefault="0040043B" w:rsidP="00C304C8">
            <w:pPr>
              <w:jc w:val="center"/>
              <w:rPr>
                <w:color w:val="000000" w:themeColor="text1"/>
                <w:sz w:val="18"/>
                <w:szCs w:val="18"/>
              </w:rPr>
            </w:pPr>
            <w:r w:rsidRPr="009A5977">
              <w:rPr>
                <w:color w:val="000000" w:themeColor="text1"/>
                <w:sz w:val="18"/>
                <w:szCs w:val="18"/>
              </w:rPr>
              <w:t>1.</w:t>
            </w:r>
          </w:p>
        </w:tc>
        <w:tc>
          <w:tcPr>
            <w:tcW w:w="4428" w:type="dxa"/>
          </w:tcPr>
          <w:p w:rsidR="0040043B" w:rsidRPr="009A5977" w:rsidRDefault="0040043B" w:rsidP="00C304C8">
            <w:pPr>
              <w:jc w:val="both"/>
              <w:rPr>
                <w:color w:val="000000" w:themeColor="text1"/>
                <w:sz w:val="18"/>
                <w:szCs w:val="18"/>
              </w:rPr>
            </w:pPr>
            <w:r w:rsidRPr="009A5977">
              <w:rPr>
                <w:color w:val="000000" w:themeColor="text1"/>
                <w:sz w:val="18"/>
                <w:szCs w:val="18"/>
              </w:rPr>
              <w:t>Where the taxable income does not exceed Rs. 400,000</w:t>
            </w:r>
          </w:p>
        </w:tc>
        <w:tc>
          <w:tcPr>
            <w:tcW w:w="2628" w:type="dxa"/>
          </w:tcPr>
          <w:p w:rsidR="0040043B" w:rsidRPr="009A5977" w:rsidRDefault="0040043B" w:rsidP="00C304C8">
            <w:pPr>
              <w:jc w:val="center"/>
              <w:rPr>
                <w:color w:val="000000" w:themeColor="text1"/>
                <w:sz w:val="18"/>
                <w:szCs w:val="18"/>
              </w:rPr>
            </w:pPr>
            <w:r w:rsidRPr="009A5977">
              <w:rPr>
                <w:color w:val="000000" w:themeColor="text1"/>
                <w:sz w:val="18"/>
                <w:szCs w:val="18"/>
              </w:rPr>
              <w:t>0%</w:t>
            </w:r>
          </w:p>
        </w:tc>
      </w:tr>
      <w:tr w:rsidR="0040043B" w:rsidRPr="009A5977" w:rsidTr="00C304C8">
        <w:trPr>
          <w:trHeight w:val="225"/>
        </w:trPr>
        <w:tc>
          <w:tcPr>
            <w:tcW w:w="900" w:type="dxa"/>
          </w:tcPr>
          <w:p w:rsidR="0040043B" w:rsidRPr="009A5977" w:rsidRDefault="0040043B" w:rsidP="00C304C8">
            <w:pPr>
              <w:jc w:val="center"/>
              <w:rPr>
                <w:color w:val="000000" w:themeColor="text1"/>
                <w:sz w:val="18"/>
                <w:szCs w:val="18"/>
              </w:rPr>
            </w:pPr>
            <w:r w:rsidRPr="009A5977">
              <w:rPr>
                <w:color w:val="000000" w:themeColor="text1"/>
                <w:sz w:val="18"/>
                <w:szCs w:val="18"/>
              </w:rPr>
              <w:t>2.</w:t>
            </w:r>
          </w:p>
        </w:tc>
        <w:tc>
          <w:tcPr>
            <w:tcW w:w="4428" w:type="dxa"/>
          </w:tcPr>
          <w:p w:rsidR="0040043B" w:rsidRPr="009A5977" w:rsidRDefault="0040043B" w:rsidP="00C304C8">
            <w:pPr>
              <w:jc w:val="both"/>
              <w:rPr>
                <w:color w:val="000000" w:themeColor="text1"/>
                <w:sz w:val="18"/>
                <w:szCs w:val="18"/>
              </w:rPr>
            </w:pPr>
            <w:r w:rsidRPr="009A5977">
              <w:rPr>
                <w:color w:val="000000" w:themeColor="text1"/>
                <w:sz w:val="18"/>
                <w:szCs w:val="18"/>
              </w:rPr>
              <w:t>Where the taxable income exceeds Rs.400,000 but does not exceed Rs.500,000</w:t>
            </w:r>
          </w:p>
        </w:tc>
        <w:tc>
          <w:tcPr>
            <w:tcW w:w="2628" w:type="dxa"/>
          </w:tcPr>
          <w:p w:rsidR="0040043B" w:rsidRPr="009A5977" w:rsidRDefault="0040043B" w:rsidP="00C304C8">
            <w:pPr>
              <w:ind w:right="-90"/>
              <w:jc w:val="center"/>
              <w:rPr>
                <w:color w:val="000000" w:themeColor="text1"/>
                <w:sz w:val="18"/>
                <w:szCs w:val="18"/>
              </w:rPr>
            </w:pPr>
            <w:r w:rsidRPr="009A5977">
              <w:rPr>
                <w:color w:val="000000" w:themeColor="text1"/>
                <w:sz w:val="18"/>
                <w:szCs w:val="18"/>
              </w:rPr>
              <w:t>7% of the amount exceeding Rs.400,000</w:t>
            </w:r>
          </w:p>
        </w:tc>
      </w:tr>
      <w:tr w:rsidR="0040043B" w:rsidRPr="009A5977" w:rsidTr="00C304C8">
        <w:trPr>
          <w:trHeight w:val="225"/>
        </w:trPr>
        <w:tc>
          <w:tcPr>
            <w:tcW w:w="900" w:type="dxa"/>
          </w:tcPr>
          <w:p w:rsidR="0040043B" w:rsidRPr="009A5977" w:rsidRDefault="0040043B" w:rsidP="00C304C8">
            <w:pPr>
              <w:jc w:val="center"/>
              <w:rPr>
                <w:color w:val="000000" w:themeColor="text1"/>
                <w:sz w:val="18"/>
                <w:szCs w:val="18"/>
              </w:rPr>
            </w:pPr>
            <w:r w:rsidRPr="009A5977">
              <w:rPr>
                <w:color w:val="000000" w:themeColor="text1"/>
                <w:sz w:val="18"/>
                <w:szCs w:val="18"/>
              </w:rPr>
              <w:t>3.</w:t>
            </w:r>
          </w:p>
        </w:tc>
        <w:tc>
          <w:tcPr>
            <w:tcW w:w="4428" w:type="dxa"/>
          </w:tcPr>
          <w:p w:rsidR="0040043B" w:rsidRPr="009A5977" w:rsidRDefault="0040043B" w:rsidP="00C304C8">
            <w:pPr>
              <w:jc w:val="both"/>
              <w:rPr>
                <w:color w:val="000000" w:themeColor="text1"/>
                <w:sz w:val="18"/>
                <w:szCs w:val="18"/>
              </w:rPr>
            </w:pPr>
            <w:r w:rsidRPr="009A5977">
              <w:rPr>
                <w:color w:val="000000" w:themeColor="text1"/>
                <w:sz w:val="18"/>
                <w:szCs w:val="18"/>
              </w:rPr>
              <w:t>Where the taxable income exceeds Rs.500,000 but does not exceed Rs.750,000</w:t>
            </w:r>
          </w:p>
        </w:tc>
        <w:tc>
          <w:tcPr>
            <w:tcW w:w="2628" w:type="dxa"/>
          </w:tcPr>
          <w:p w:rsidR="0040043B" w:rsidRPr="009A5977" w:rsidRDefault="0040043B" w:rsidP="00C304C8">
            <w:pPr>
              <w:ind w:right="-90"/>
              <w:jc w:val="center"/>
              <w:rPr>
                <w:color w:val="000000" w:themeColor="text1"/>
                <w:sz w:val="18"/>
                <w:szCs w:val="18"/>
              </w:rPr>
            </w:pPr>
            <w:r w:rsidRPr="009A5977">
              <w:rPr>
                <w:color w:val="000000" w:themeColor="text1"/>
                <w:sz w:val="18"/>
                <w:szCs w:val="18"/>
              </w:rPr>
              <w:t>Rs. 7,000 + 10% of the amount exceeding Rs.500,000</w:t>
            </w:r>
          </w:p>
        </w:tc>
      </w:tr>
      <w:tr w:rsidR="0040043B" w:rsidRPr="009A5977" w:rsidTr="00C304C8">
        <w:trPr>
          <w:trHeight w:val="225"/>
        </w:trPr>
        <w:tc>
          <w:tcPr>
            <w:tcW w:w="900" w:type="dxa"/>
          </w:tcPr>
          <w:p w:rsidR="0040043B" w:rsidRPr="009A5977" w:rsidRDefault="0040043B" w:rsidP="00C304C8">
            <w:pPr>
              <w:jc w:val="center"/>
              <w:rPr>
                <w:color w:val="000000" w:themeColor="text1"/>
                <w:sz w:val="18"/>
                <w:szCs w:val="18"/>
              </w:rPr>
            </w:pPr>
            <w:r w:rsidRPr="009A5977">
              <w:rPr>
                <w:color w:val="000000" w:themeColor="text1"/>
                <w:sz w:val="18"/>
                <w:szCs w:val="18"/>
              </w:rPr>
              <w:t>4.</w:t>
            </w:r>
          </w:p>
        </w:tc>
        <w:tc>
          <w:tcPr>
            <w:tcW w:w="4428" w:type="dxa"/>
          </w:tcPr>
          <w:p w:rsidR="0040043B" w:rsidRPr="009A5977" w:rsidRDefault="0040043B" w:rsidP="00C304C8">
            <w:pPr>
              <w:jc w:val="both"/>
              <w:rPr>
                <w:color w:val="000000" w:themeColor="text1"/>
                <w:sz w:val="18"/>
                <w:szCs w:val="18"/>
              </w:rPr>
            </w:pPr>
            <w:r w:rsidRPr="009A5977">
              <w:rPr>
                <w:color w:val="000000" w:themeColor="text1"/>
                <w:sz w:val="18"/>
                <w:szCs w:val="18"/>
              </w:rPr>
              <w:t>Where the taxable income exceeds Rs.750,000 but does not exceed Rs.1,500,000</w:t>
            </w:r>
          </w:p>
        </w:tc>
        <w:tc>
          <w:tcPr>
            <w:tcW w:w="2628" w:type="dxa"/>
          </w:tcPr>
          <w:p w:rsidR="0040043B" w:rsidRPr="009A5977" w:rsidRDefault="0040043B" w:rsidP="00C304C8">
            <w:pPr>
              <w:ind w:right="-90"/>
              <w:jc w:val="center"/>
              <w:rPr>
                <w:color w:val="000000" w:themeColor="text1"/>
                <w:sz w:val="18"/>
                <w:szCs w:val="18"/>
              </w:rPr>
            </w:pPr>
            <w:r w:rsidRPr="009A5977">
              <w:rPr>
                <w:color w:val="000000" w:themeColor="text1"/>
                <w:sz w:val="18"/>
                <w:szCs w:val="18"/>
              </w:rPr>
              <w:t>Rs.32,000 + 15% of the amount exceeding Rs.750,000</w:t>
            </w:r>
          </w:p>
        </w:tc>
      </w:tr>
      <w:tr w:rsidR="0040043B" w:rsidRPr="009A5977" w:rsidTr="00C304C8">
        <w:trPr>
          <w:trHeight w:val="225"/>
        </w:trPr>
        <w:tc>
          <w:tcPr>
            <w:tcW w:w="900" w:type="dxa"/>
          </w:tcPr>
          <w:p w:rsidR="0040043B" w:rsidRPr="009A5977" w:rsidRDefault="0040043B" w:rsidP="00C304C8">
            <w:pPr>
              <w:jc w:val="center"/>
              <w:rPr>
                <w:color w:val="000000" w:themeColor="text1"/>
                <w:sz w:val="18"/>
                <w:szCs w:val="18"/>
              </w:rPr>
            </w:pPr>
            <w:r w:rsidRPr="009A5977">
              <w:rPr>
                <w:color w:val="000000" w:themeColor="text1"/>
                <w:sz w:val="18"/>
                <w:szCs w:val="18"/>
              </w:rPr>
              <w:t>5.</w:t>
            </w:r>
          </w:p>
        </w:tc>
        <w:tc>
          <w:tcPr>
            <w:tcW w:w="4428" w:type="dxa"/>
          </w:tcPr>
          <w:p w:rsidR="0040043B" w:rsidRPr="009A5977" w:rsidRDefault="0040043B" w:rsidP="00C304C8">
            <w:pPr>
              <w:jc w:val="both"/>
              <w:rPr>
                <w:color w:val="000000" w:themeColor="text1"/>
                <w:sz w:val="18"/>
                <w:szCs w:val="18"/>
              </w:rPr>
            </w:pPr>
            <w:r w:rsidRPr="009A5977">
              <w:rPr>
                <w:color w:val="000000" w:themeColor="text1"/>
                <w:sz w:val="18"/>
                <w:szCs w:val="18"/>
              </w:rPr>
              <w:t>Where the taxable income exceeds Rs.1,500,000 but does not exceed Rs.2,500,000</w:t>
            </w:r>
          </w:p>
          <w:p w:rsidR="0040043B" w:rsidRPr="009A5977" w:rsidRDefault="0040043B" w:rsidP="00C304C8">
            <w:pPr>
              <w:jc w:val="both"/>
              <w:rPr>
                <w:color w:val="000000" w:themeColor="text1"/>
                <w:sz w:val="18"/>
                <w:szCs w:val="18"/>
              </w:rPr>
            </w:pPr>
          </w:p>
        </w:tc>
        <w:tc>
          <w:tcPr>
            <w:tcW w:w="2628" w:type="dxa"/>
          </w:tcPr>
          <w:p w:rsidR="0040043B" w:rsidRPr="009A5977" w:rsidRDefault="0040043B" w:rsidP="00C304C8">
            <w:pPr>
              <w:ind w:right="-90"/>
              <w:jc w:val="center"/>
              <w:rPr>
                <w:color w:val="000000" w:themeColor="text1"/>
                <w:sz w:val="18"/>
                <w:szCs w:val="18"/>
              </w:rPr>
            </w:pPr>
            <w:r w:rsidRPr="009A5977">
              <w:rPr>
                <w:color w:val="000000" w:themeColor="text1"/>
                <w:sz w:val="18"/>
                <w:szCs w:val="18"/>
              </w:rPr>
              <w:t>Rs.144,500 + 20% of the amount exceeding Rs.1,500,000</w:t>
            </w:r>
          </w:p>
        </w:tc>
      </w:tr>
      <w:tr w:rsidR="0040043B" w:rsidRPr="009A5977" w:rsidTr="00C304C8">
        <w:trPr>
          <w:trHeight w:val="225"/>
        </w:trPr>
        <w:tc>
          <w:tcPr>
            <w:tcW w:w="900" w:type="dxa"/>
          </w:tcPr>
          <w:p w:rsidR="0040043B" w:rsidRPr="009A5977" w:rsidRDefault="0040043B" w:rsidP="00C304C8">
            <w:pPr>
              <w:jc w:val="center"/>
              <w:rPr>
                <w:color w:val="000000" w:themeColor="text1"/>
                <w:sz w:val="18"/>
                <w:szCs w:val="18"/>
              </w:rPr>
            </w:pPr>
            <w:r w:rsidRPr="009A5977">
              <w:rPr>
                <w:color w:val="000000" w:themeColor="text1"/>
                <w:sz w:val="18"/>
                <w:szCs w:val="18"/>
              </w:rPr>
              <w:t>6.</w:t>
            </w:r>
          </w:p>
        </w:tc>
        <w:tc>
          <w:tcPr>
            <w:tcW w:w="4428" w:type="dxa"/>
          </w:tcPr>
          <w:p w:rsidR="0040043B" w:rsidRPr="009A5977" w:rsidRDefault="0040043B" w:rsidP="00C304C8">
            <w:pPr>
              <w:jc w:val="both"/>
              <w:rPr>
                <w:color w:val="000000" w:themeColor="text1"/>
                <w:sz w:val="18"/>
                <w:szCs w:val="18"/>
              </w:rPr>
            </w:pPr>
            <w:r w:rsidRPr="009A5977">
              <w:rPr>
                <w:color w:val="000000" w:themeColor="text1"/>
                <w:sz w:val="18"/>
                <w:szCs w:val="18"/>
              </w:rPr>
              <w:t>Where the taxable income exceeds Rs.2,500,000 but does not exceed Rs.4,000,000</w:t>
            </w:r>
          </w:p>
          <w:p w:rsidR="0040043B" w:rsidRPr="009A5977" w:rsidRDefault="0040043B" w:rsidP="00C304C8">
            <w:pPr>
              <w:jc w:val="both"/>
              <w:rPr>
                <w:color w:val="000000" w:themeColor="text1"/>
                <w:sz w:val="18"/>
                <w:szCs w:val="18"/>
              </w:rPr>
            </w:pPr>
          </w:p>
        </w:tc>
        <w:tc>
          <w:tcPr>
            <w:tcW w:w="2628" w:type="dxa"/>
          </w:tcPr>
          <w:p w:rsidR="0040043B" w:rsidRPr="009A5977" w:rsidRDefault="0040043B" w:rsidP="00C304C8">
            <w:pPr>
              <w:ind w:right="-90"/>
              <w:jc w:val="center"/>
              <w:rPr>
                <w:color w:val="000000" w:themeColor="text1"/>
                <w:sz w:val="18"/>
                <w:szCs w:val="18"/>
              </w:rPr>
            </w:pPr>
            <w:r w:rsidRPr="009A5977">
              <w:rPr>
                <w:color w:val="000000" w:themeColor="text1"/>
                <w:sz w:val="18"/>
                <w:szCs w:val="18"/>
              </w:rPr>
              <w:t>Rs.344,500 + 25% of the amount exceeding Rs.2,500,000</w:t>
            </w:r>
          </w:p>
        </w:tc>
      </w:tr>
      <w:tr w:rsidR="0040043B" w:rsidRPr="009A5977" w:rsidTr="00C304C8">
        <w:trPr>
          <w:trHeight w:val="225"/>
        </w:trPr>
        <w:tc>
          <w:tcPr>
            <w:tcW w:w="900" w:type="dxa"/>
          </w:tcPr>
          <w:p w:rsidR="0040043B" w:rsidRPr="009A5977" w:rsidRDefault="0040043B" w:rsidP="00C304C8">
            <w:pPr>
              <w:jc w:val="center"/>
              <w:rPr>
                <w:color w:val="000000" w:themeColor="text1"/>
                <w:sz w:val="18"/>
                <w:szCs w:val="18"/>
              </w:rPr>
            </w:pPr>
            <w:r w:rsidRPr="009A5977">
              <w:rPr>
                <w:color w:val="000000" w:themeColor="text1"/>
                <w:sz w:val="18"/>
                <w:szCs w:val="18"/>
              </w:rPr>
              <w:t>7.</w:t>
            </w:r>
          </w:p>
        </w:tc>
        <w:tc>
          <w:tcPr>
            <w:tcW w:w="4428" w:type="dxa"/>
          </w:tcPr>
          <w:p w:rsidR="0040043B" w:rsidRPr="009A5977" w:rsidRDefault="0040043B" w:rsidP="00C304C8">
            <w:pPr>
              <w:jc w:val="both"/>
              <w:rPr>
                <w:color w:val="000000" w:themeColor="text1"/>
                <w:sz w:val="18"/>
                <w:szCs w:val="18"/>
              </w:rPr>
            </w:pPr>
            <w:r w:rsidRPr="009A5977">
              <w:rPr>
                <w:color w:val="000000" w:themeColor="text1"/>
                <w:sz w:val="18"/>
                <w:szCs w:val="18"/>
              </w:rPr>
              <w:t>Where the taxable income exceeds Rs.4,000,000 but does not exceed Rs.6,000,000</w:t>
            </w:r>
          </w:p>
          <w:p w:rsidR="0040043B" w:rsidRPr="009A5977" w:rsidRDefault="0040043B" w:rsidP="00C304C8">
            <w:pPr>
              <w:jc w:val="both"/>
              <w:rPr>
                <w:color w:val="000000" w:themeColor="text1"/>
                <w:sz w:val="18"/>
                <w:szCs w:val="18"/>
              </w:rPr>
            </w:pPr>
          </w:p>
        </w:tc>
        <w:tc>
          <w:tcPr>
            <w:tcW w:w="2628" w:type="dxa"/>
          </w:tcPr>
          <w:p w:rsidR="0040043B" w:rsidRPr="009A5977" w:rsidRDefault="0040043B" w:rsidP="00C304C8">
            <w:pPr>
              <w:ind w:right="-90"/>
              <w:jc w:val="center"/>
              <w:rPr>
                <w:color w:val="000000" w:themeColor="text1"/>
                <w:sz w:val="18"/>
                <w:szCs w:val="18"/>
              </w:rPr>
            </w:pPr>
            <w:r w:rsidRPr="009A5977">
              <w:rPr>
                <w:color w:val="000000" w:themeColor="text1"/>
                <w:sz w:val="18"/>
                <w:szCs w:val="18"/>
              </w:rPr>
              <w:t>Rs.719,500 + 30% of the amount exceeding Rs.4,000,000</w:t>
            </w:r>
          </w:p>
        </w:tc>
      </w:tr>
      <w:tr w:rsidR="0040043B" w:rsidRPr="009A5977" w:rsidTr="00C304C8">
        <w:trPr>
          <w:trHeight w:val="225"/>
        </w:trPr>
        <w:tc>
          <w:tcPr>
            <w:tcW w:w="900" w:type="dxa"/>
          </w:tcPr>
          <w:p w:rsidR="0040043B" w:rsidRPr="009A5977" w:rsidRDefault="0040043B" w:rsidP="00C304C8">
            <w:pPr>
              <w:jc w:val="center"/>
              <w:rPr>
                <w:color w:val="000000" w:themeColor="text1"/>
                <w:sz w:val="18"/>
                <w:szCs w:val="18"/>
              </w:rPr>
            </w:pPr>
            <w:r w:rsidRPr="009A5977">
              <w:rPr>
                <w:color w:val="000000" w:themeColor="text1"/>
                <w:sz w:val="18"/>
                <w:szCs w:val="18"/>
              </w:rPr>
              <w:t>8.</w:t>
            </w:r>
          </w:p>
        </w:tc>
        <w:tc>
          <w:tcPr>
            <w:tcW w:w="4428" w:type="dxa"/>
          </w:tcPr>
          <w:p w:rsidR="0040043B" w:rsidRPr="009A5977" w:rsidRDefault="0040043B" w:rsidP="00C304C8">
            <w:pPr>
              <w:jc w:val="both"/>
              <w:rPr>
                <w:color w:val="000000" w:themeColor="text1"/>
                <w:sz w:val="18"/>
                <w:szCs w:val="18"/>
              </w:rPr>
            </w:pPr>
            <w:r w:rsidRPr="009A5977">
              <w:rPr>
                <w:color w:val="000000" w:themeColor="text1"/>
                <w:sz w:val="18"/>
                <w:szCs w:val="18"/>
              </w:rPr>
              <w:t>Where the taxable income exceeds Rs.6,000,000</w:t>
            </w:r>
          </w:p>
        </w:tc>
        <w:tc>
          <w:tcPr>
            <w:tcW w:w="2628" w:type="dxa"/>
          </w:tcPr>
          <w:p w:rsidR="0040043B" w:rsidRPr="009A5977" w:rsidRDefault="0040043B" w:rsidP="00C304C8">
            <w:pPr>
              <w:ind w:right="-90"/>
              <w:jc w:val="center"/>
              <w:rPr>
                <w:color w:val="000000" w:themeColor="text1"/>
                <w:sz w:val="18"/>
                <w:szCs w:val="18"/>
              </w:rPr>
            </w:pPr>
            <w:r w:rsidRPr="009A5977">
              <w:rPr>
                <w:color w:val="000000" w:themeColor="text1"/>
                <w:sz w:val="18"/>
                <w:szCs w:val="18"/>
              </w:rPr>
              <w:t>Rs.1,319,500 + 35% of the amount exceeding Rs.6,000,000”]</w:t>
            </w:r>
          </w:p>
        </w:tc>
      </w:tr>
    </w:tbl>
    <w:p w:rsidR="00AA4BF8" w:rsidRPr="009A5977" w:rsidRDefault="00AA4BF8" w:rsidP="00AA4BF8">
      <w:pPr>
        <w:ind w:left="720" w:hanging="720"/>
        <w:jc w:val="both"/>
        <w:rPr>
          <w:color w:val="000000" w:themeColor="text1"/>
          <w:sz w:val="12"/>
        </w:rPr>
      </w:pPr>
    </w:p>
    <w:p w:rsidR="00AA4BF8" w:rsidRPr="009A5977" w:rsidRDefault="00AA4BF8" w:rsidP="00AA4BF8">
      <w:pPr>
        <w:pStyle w:val="number1"/>
        <w:ind w:left="1260" w:firstLine="675"/>
        <w:rPr>
          <w:rFonts w:ascii="Arial" w:hAnsi="Arial" w:cs="Arial"/>
          <w:color w:val="000000" w:themeColor="text1"/>
          <w:sz w:val="20"/>
          <w:lang w:val="en-AU"/>
        </w:rPr>
      </w:pPr>
      <w:r w:rsidRPr="009A5977">
        <w:rPr>
          <w:rStyle w:val="FootnoteReference"/>
          <w:rFonts w:ascii="Arial" w:hAnsi="Arial" w:cs="Arial"/>
          <w:color w:val="000000" w:themeColor="text1"/>
          <w:sz w:val="20"/>
        </w:rPr>
        <w:footnoteReference w:id="1582"/>
      </w:r>
      <w:r w:rsidRPr="009A5977">
        <w:rPr>
          <w:rFonts w:ascii="Arial" w:hAnsi="Arial" w:cs="Arial"/>
          <w:color w:val="000000" w:themeColor="text1"/>
          <w:sz w:val="20"/>
          <w:lang w:val="en-AU"/>
        </w:rPr>
        <w:t>[  ]</w:t>
      </w:r>
    </w:p>
    <w:p w:rsidR="00AA4BF8" w:rsidRPr="009A5977" w:rsidRDefault="00AA4BF8" w:rsidP="00AA4BF8">
      <w:pPr>
        <w:ind w:left="720" w:hanging="720"/>
        <w:rPr>
          <w:color w:val="000000" w:themeColor="text1"/>
          <w:sz w:val="12"/>
        </w:rPr>
      </w:pPr>
    </w:p>
    <w:p w:rsidR="00AA4BF8" w:rsidRPr="009A5977" w:rsidRDefault="0040043B" w:rsidP="00C304C8">
      <w:pPr>
        <w:autoSpaceDE w:val="0"/>
        <w:autoSpaceDN w:val="0"/>
        <w:adjustRightInd w:val="0"/>
        <w:ind w:left="547" w:firstLine="547"/>
        <w:jc w:val="both"/>
        <w:rPr>
          <w:color w:val="000000" w:themeColor="text1"/>
          <w:sz w:val="20"/>
        </w:rPr>
      </w:pPr>
      <w:r w:rsidRPr="009A5977">
        <w:rPr>
          <w:rStyle w:val="FootnoteReference"/>
          <w:color w:val="000000" w:themeColor="text1"/>
          <w:sz w:val="20"/>
        </w:rPr>
        <w:footnoteReference w:id="1583"/>
      </w:r>
      <w:r w:rsidRPr="009A5977">
        <w:rPr>
          <w:color w:val="000000" w:themeColor="text1"/>
          <w:sz w:val="20"/>
        </w:rPr>
        <w:t>[“</w:t>
      </w:r>
      <w:r w:rsidRPr="009A5977">
        <w:rPr>
          <w:rFonts w:cs="Arial"/>
          <w:color w:val="000000" w:themeColor="text1"/>
          <w:sz w:val="20"/>
          <w:lang w:val="en-US"/>
        </w:rPr>
        <w:t>Provided that in the case of an</w:t>
      </w:r>
      <w:r w:rsidR="00032E6C" w:rsidRPr="009A5977">
        <w:rPr>
          <w:rFonts w:cs="Arial"/>
          <w:color w:val="000000" w:themeColor="text1"/>
          <w:sz w:val="20"/>
          <w:lang w:val="en-US"/>
        </w:rPr>
        <w:t xml:space="preserve"> </w:t>
      </w:r>
      <w:r w:rsidRPr="009A5977">
        <w:rPr>
          <w:rFonts w:cs="Arial"/>
          <w:color w:val="000000" w:themeColor="text1"/>
          <w:sz w:val="20"/>
          <w:lang w:val="en-US"/>
        </w:rPr>
        <w:t>association of persons that is a professional</w:t>
      </w:r>
      <w:r w:rsidR="00E3740C" w:rsidRPr="009A5977">
        <w:rPr>
          <w:rFonts w:cs="Arial"/>
          <w:color w:val="000000" w:themeColor="text1"/>
          <w:sz w:val="20"/>
          <w:lang w:val="en-US"/>
        </w:rPr>
        <w:t xml:space="preserve"> </w:t>
      </w:r>
      <w:r w:rsidRPr="009A5977">
        <w:rPr>
          <w:rFonts w:cs="Arial"/>
          <w:color w:val="000000" w:themeColor="text1"/>
          <w:sz w:val="20"/>
          <w:lang w:val="en-US"/>
        </w:rPr>
        <w:t>firm prohibited from incorporating by any</w:t>
      </w:r>
      <w:r w:rsidR="00E3740C" w:rsidRPr="009A5977">
        <w:rPr>
          <w:rFonts w:cs="Arial"/>
          <w:color w:val="000000" w:themeColor="text1"/>
          <w:sz w:val="20"/>
          <w:lang w:val="en-US"/>
        </w:rPr>
        <w:t xml:space="preserve"> </w:t>
      </w:r>
      <w:r w:rsidRPr="009A5977">
        <w:rPr>
          <w:rFonts w:cs="Arial"/>
          <w:color w:val="000000" w:themeColor="text1"/>
          <w:sz w:val="20"/>
          <w:lang w:val="en-US"/>
        </w:rPr>
        <w:t>law or the rules of the body regulating their</w:t>
      </w:r>
      <w:r w:rsidR="00E3740C" w:rsidRPr="009A5977">
        <w:rPr>
          <w:rFonts w:cs="Arial"/>
          <w:color w:val="000000" w:themeColor="text1"/>
          <w:sz w:val="20"/>
          <w:lang w:val="en-US"/>
        </w:rPr>
        <w:t xml:space="preserve"> </w:t>
      </w:r>
      <w:r w:rsidRPr="009A5977">
        <w:rPr>
          <w:rFonts w:cs="Arial"/>
          <w:color w:val="000000" w:themeColor="text1"/>
          <w:sz w:val="20"/>
          <w:lang w:val="en-US"/>
        </w:rPr>
        <w:t>profession, the 35% rate of tax mentioned</w:t>
      </w:r>
      <w:r w:rsidR="00E3740C" w:rsidRPr="009A5977">
        <w:rPr>
          <w:rFonts w:cs="Arial"/>
          <w:color w:val="000000" w:themeColor="text1"/>
          <w:sz w:val="20"/>
          <w:lang w:val="en-US"/>
        </w:rPr>
        <w:t xml:space="preserve"> </w:t>
      </w:r>
      <w:r w:rsidRPr="009A5977">
        <w:rPr>
          <w:rFonts w:cs="Arial"/>
          <w:color w:val="000000" w:themeColor="text1"/>
          <w:sz w:val="20"/>
          <w:lang w:val="en-US"/>
        </w:rPr>
        <w:t>against serial number 8 of the Table shall</w:t>
      </w:r>
      <w:r w:rsidR="00E3740C" w:rsidRPr="009A5977">
        <w:rPr>
          <w:rFonts w:cs="Arial"/>
          <w:color w:val="000000" w:themeColor="text1"/>
          <w:sz w:val="20"/>
          <w:lang w:val="en-US"/>
        </w:rPr>
        <w:t xml:space="preserve"> </w:t>
      </w:r>
      <w:r w:rsidRPr="009A5977">
        <w:rPr>
          <w:rFonts w:cs="Arial"/>
          <w:color w:val="000000" w:themeColor="text1"/>
          <w:sz w:val="20"/>
          <w:lang w:val="en-US"/>
        </w:rPr>
        <w:t>be 32% for tax year 2016 and onwards.;”</w:t>
      </w:r>
      <w:r w:rsidRPr="009A5977">
        <w:rPr>
          <w:color w:val="000000" w:themeColor="text1"/>
          <w:sz w:val="20"/>
        </w:rPr>
        <w:t>]</w:t>
      </w:r>
    </w:p>
    <w:p w:rsidR="00AA4BF8" w:rsidRPr="006A4F4B" w:rsidRDefault="00AA4BF8" w:rsidP="00AA4BF8">
      <w:pPr>
        <w:ind w:left="1094" w:firstLine="841"/>
        <w:jc w:val="both"/>
        <w:rPr>
          <w:sz w:val="16"/>
        </w:rPr>
      </w:pPr>
    </w:p>
    <w:p w:rsidR="00AA4BF8" w:rsidRPr="00412620" w:rsidRDefault="00AA4BF8" w:rsidP="00C304C8">
      <w:pPr>
        <w:jc w:val="both"/>
        <w:rPr>
          <w:sz w:val="20"/>
        </w:rPr>
      </w:pPr>
      <w:r w:rsidRPr="00412620">
        <w:rPr>
          <w:rStyle w:val="FootnoteReference"/>
          <w:rFonts w:cs="Arial"/>
          <w:sz w:val="20"/>
        </w:rPr>
        <w:footnoteReference w:id="1584"/>
      </w:r>
      <w:r w:rsidR="00C304C8">
        <w:rPr>
          <w:sz w:val="20"/>
        </w:rPr>
        <w:t xml:space="preserve">[(1A) </w:t>
      </w:r>
      <w:r w:rsidRPr="00412620">
        <w:rPr>
          <w:sz w:val="20"/>
        </w:rPr>
        <w:t xml:space="preserve">Where the income of an individual chargeable under the head “salary” exceeds fifty </w:t>
      </w:r>
      <w:r>
        <w:rPr>
          <w:sz w:val="20"/>
        </w:rPr>
        <w:t>per cent</w:t>
      </w:r>
      <w:r w:rsidRPr="00412620">
        <w:rPr>
          <w:sz w:val="20"/>
        </w:rPr>
        <w:t xml:space="preserve"> of his taxable income, the rates of tax to be applied shall be as set out in the following table namely: -</w:t>
      </w:r>
    </w:p>
    <w:p w:rsidR="00AA4BF8" w:rsidRPr="00412620" w:rsidRDefault="00AA4BF8" w:rsidP="00AA4BF8">
      <w:pPr>
        <w:ind w:left="720" w:hanging="720"/>
        <w:jc w:val="center"/>
        <w:rPr>
          <w:sz w:val="10"/>
          <w:szCs w:val="10"/>
        </w:rPr>
      </w:pPr>
    </w:p>
    <w:p w:rsidR="00AA4BF8" w:rsidRPr="00412620" w:rsidRDefault="00AA4BF8" w:rsidP="00AA4BF8">
      <w:pPr>
        <w:ind w:left="720" w:hanging="720"/>
        <w:jc w:val="center"/>
        <w:rPr>
          <w:sz w:val="10"/>
          <w:szCs w:val="10"/>
        </w:rPr>
      </w:pPr>
    </w:p>
    <w:p w:rsidR="00C304C8" w:rsidRPr="009A5977" w:rsidRDefault="00684D97" w:rsidP="00C304C8">
      <w:pPr>
        <w:jc w:val="center"/>
        <w:rPr>
          <w:b/>
          <w:bCs/>
          <w:color w:val="000000" w:themeColor="text1"/>
          <w:sz w:val="20"/>
        </w:rPr>
      </w:pPr>
      <w:r w:rsidRPr="009A5977">
        <w:rPr>
          <w:rStyle w:val="FootnoteReference"/>
          <w:b/>
          <w:bCs/>
          <w:color w:val="000000" w:themeColor="text1"/>
          <w:sz w:val="20"/>
        </w:rPr>
        <w:footnoteReference w:id="1585"/>
      </w:r>
      <w:r w:rsidR="00C304C8" w:rsidRPr="009A5977">
        <w:rPr>
          <w:b/>
          <w:bCs/>
          <w:color w:val="000000" w:themeColor="text1"/>
          <w:sz w:val="20"/>
        </w:rPr>
        <w:t>[TABLE</w:t>
      </w:r>
    </w:p>
    <w:p w:rsidR="00C304C8" w:rsidRPr="00684D97" w:rsidRDefault="00C304C8" w:rsidP="00C304C8">
      <w:pPr>
        <w:jc w:val="center"/>
        <w:rPr>
          <w:color w:val="984806" w:themeColor="accent6" w:themeShade="80"/>
          <w:sz w:val="20"/>
        </w:rPr>
      </w:pPr>
    </w:p>
    <w:tbl>
      <w:tblPr>
        <w:tblW w:w="73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3780"/>
        <w:gridCol w:w="2340"/>
      </w:tblGrid>
      <w:tr w:rsidR="00C304C8" w:rsidRPr="00684D97" w:rsidTr="00C304C8">
        <w:trPr>
          <w:trHeight w:val="494"/>
        </w:trPr>
        <w:tc>
          <w:tcPr>
            <w:tcW w:w="1188" w:type="dxa"/>
          </w:tcPr>
          <w:p w:rsidR="00C304C8" w:rsidRPr="009A5977" w:rsidRDefault="00C304C8" w:rsidP="00C304C8">
            <w:pPr>
              <w:jc w:val="center"/>
              <w:rPr>
                <w:b/>
                <w:bCs/>
                <w:color w:val="000000" w:themeColor="text1"/>
                <w:sz w:val="20"/>
              </w:rPr>
            </w:pPr>
            <w:r w:rsidRPr="009A5977">
              <w:rPr>
                <w:b/>
                <w:bCs/>
                <w:color w:val="000000" w:themeColor="text1"/>
                <w:sz w:val="20"/>
              </w:rPr>
              <w:t>S.No.</w:t>
            </w:r>
          </w:p>
        </w:tc>
        <w:tc>
          <w:tcPr>
            <w:tcW w:w="3780" w:type="dxa"/>
          </w:tcPr>
          <w:p w:rsidR="00C304C8" w:rsidRPr="009A5977" w:rsidRDefault="00C304C8" w:rsidP="00C304C8">
            <w:pPr>
              <w:jc w:val="center"/>
              <w:rPr>
                <w:b/>
                <w:bCs/>
                <w:color w:val="000000" w:themeColor="text1"/>
                <w:sz w:val="20"/>
              </w:rPr>
            </w:pPr>
            <w:r w:rsidRPr="009A5977">
              <w:rPr>
                <w:b/>
                <w:bCs/>
                <w:color w:val="000000" w:themeColor="text1"/>
                <w:sz w:val="20"/>
              </w:rPr>
              <w:t>Taxable Income</w:t>
            </w:r>
          </w:p>
        </w:tc>
        <w:tc>
          <w:tcPr>
            <w:tcW w:w="2340" w:type="dxa"/>
          </w:tcPr>
          <w:p w:rsidR="00C304C8" w:rsidRPr="009A5977" w:rsidRDefault="00C304C8" w:rsidP="00C304C8">
            <w:pPr>
              <w:jc w:val="center"/>
              <w:rPr>
                <w:b/>
                <w:bCs/>
                <w:color w:val="000000" w:themeColor="text1"/>
                <w:sz w:val="20"/>
              </w:rPr>
            </w:pPr>
            <w:r w:rsidRPr="009A5977">
              <w:rPr>
                <w:b/>
                <w:bCs/>
                <w:color w:val="000000" w:themeColor="text1"/>
                <w:sz w:val="20"/>
              </w:rPr>
              <w:t>Rate of tax</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(1)</w:t>
            </w:r>
          </w:p>
        </w:tc>
        <w:tc>
          <w:tcPr>
            <w:tcW w:w="3780" w:type="dxa"/>
          </w:tcPr>
          <w:p w:rsidR="00C304C8" w:rsidRPr="009A5977" w:rsidRDefault="00C304C8" w:rsidP="00C304C8">
            <w:pPr>
              <w:jc w:val="center"/>
              <w:rPr>
                <w:color w:val="000000" w:themeColor="text1"/>
                <w:sz w:val="20"/>
              </w:rPr>
            </w:pPr>
            <w:r w:rsidRPr="009A5977">
              <w:rPr>
                <w:color w:val="000000" w:themeColor="text1"/>
                <w:sz w:val="20"/>
              </w:rPr>
              <w:t>(2)</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(3)</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1.</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does not exceed Rs.400,000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2.</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exceeds Rs.400,000 but does not exceed Rs.500,000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2% of the amount exceeding Rs.400,000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3.</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exceeds Rs.500,000 but does not exceed Rs.750,000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Rs. 2000 + 5% of the amount exceeding Rs.500,000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4.</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exceeds Rs.750,000 but does not exceed Rs.1,400,000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Rs.14,500 + 10% of the amount exceeding Rs.750,000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5.</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exceeds Rs.1,400,000 but does not exceed Rs.1,500,000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Rs. 79,500 + 12.5% of the amount exceeding Rs.1,400,000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6.</w:t>
            </w:r>
          </w:p>
        </w:tc>
        <w:tc>
          <w:tcPr>
            <w:tcW w:w="3780" w:type="dxa"/>
          </w:tcPr>
          <w:p w:rsidR="00C304C8" w:rsidRPr="009A5977" w:rsidRDefault="00C304C8" w:rsidP="00C304C8">
            <w:pPr>
              <w:jc w:val="both"/>
              <w:rPr>
                <w:color w:val="000000" w:themeColor="text1"/>
                <w:sz w:val="20"/>
              </w:rPr>
            </w:pPr>
            <w:r w:rsidRPr="009A5977">
              <w:rPr>
                <w:color w:val="000000" w:themeColor="text1"/>
                <w:sz w:val="20"/>
              </w:rPr>
              <w:t xml:space="preserve">Where the taxable income exceeds Rs.1,500,000 but does not exceed </w:t>
            </w:r>
            <w:r w:rsidRPr="009A5977">
              <w:rPr>
                <w:color w:val="000000" w:themeColor="text1"/>
                <w:sz w:val="20"/>
              </w:rPr>
              <w:lastRenderedPageBreak/>
              <w:t>Rs.1,800,000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lastRenderedPageBreak/>
              <w:t xml:space="preserve">Rs. 92,000 + 15% of the amount exceeding </w:t>
            </w:r>
            <w:r w:rsidRPr="009A5977">
              <w:rPr>
                <w:color w:val="000000" w:themeColor="text1"/>
                <w:sz w:val="20"/>
              </w:rPr>
              <w:lastRenderedPageBreak/>
              <w:t>Rs.1,500,000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lastRenderedPageBreak/>
              <w:t>7.</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exceeds Rs.1,800,000 but does not exceed Rs.2,500,000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Rs.137,000 + 17.5% of the amount exceeding Rs.1,800,000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8.</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exceeds Rs.2,500,000 but does not exceed Rs.3,000,000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Rs. 259,500 + 20% of the amount exceeding Rs.2,500,000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9.</w:t>
            </w:r>
          </w:p>
        </w:tc>
        <w:tc>
          <w:tcPr>
            <w:tcW w:w="3780" w:type="dxa"/>
          </w:tcPr>
          <w:p w:rsidR="00C304C8" w:rsidRPr="009A5977" w:rsidRDefault="00C304C8" w:rsidP="00C304C8">
            <w:pPr>
              <w:jc w:val="both"/>
              <w:rPr>
                <w:color w:val="000000" w:themeColor="text1"/>
                <w:sz w:val="20"/>
              </w:rPr>
            </w:pPr>
            <w:r w:rsidRPr="009A5977">
              <w:rPr>
                <w:color w:val="000000" w:themeColor="text1"/>
                <w:sz w:val="20"/>
              </w:rPr>
              <w:t xml:space="preserve">Where the taxable income exceeds Rs.3,000,000 but does not exceed Rs.3,500,000 </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Rs. 359,500 + 22.5% of the amount exceeding Rs.3,000,000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10.</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exceeds Rs.3,500,000 but does not exceed Rs.4,000,000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Rs.472,000 + 25% of the amount exceeding Rs.3,500,000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11.</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exceeds Rs.4,000,000 but does not exceed Rs.7,000,000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Rs.597,000 + 27.5% of the amount exceeding Rs.4,000,000</w:t>
            </w:r>
          </w:p>
        </w:tc>
      </w:tr>
      <w:tr w:rsidR="00C304C8" w:rsidRPr="00684D97" w:rsidTr="00C304C8">
        <w:trPr>
          <w:trHeight w:val="225"/>
        </w:trPr>
        <w:tc>
          <w:tcPr>
            <w:tcW w:w="1188" w:type="dxa"/>
          </w:tcPr>
          <w:p w:rsidR="00C304C8" w:rsidRPr="009A5977" w:rsidRDefault="00C304C8" w:rsidP="00C304C8">
            <w:pPr>
              <w:jc w:val="center"/>
              <w:rPr>
                <w:color w:val="000000" w:themeColor="text1"/>
                <w:sz w:val="20"/>
              </w:rPr>
            </w:pPr>
            <w:r w:rsidRPr="009A5977">
              <w:rPr>
                <w:color w:val="000000" w:themeColor="text1"/>
                <w:sz w:val="20"/>
              </w:rPr>
              <w:t>12.</w:t>
            </w:r>
          </w:p>
        </w:tc>
        <w:tc>
          <w:tcPr>
            <w:tcW w:w="3780" w:type="dxa"/>
          </w:tcPr>
          <w:p w:rsidR="00C304C8" w:rsidRPr="009A5977" w:rsidRDefault="00C304C8" w:rsidP="00C304C8">
            <w:pPr>
              <w:jc w:val="both"/>
              <w:rPr>
                <w:color w:val="000000" w:themeColor="text1"/>
                <w:sz w:val="20"/>
              </w:rPr>
            </w:pPr>
            <w:r w:rsidRPr="009A5977">
              <w:rPr>
                <w:color w:val="000000" w:themeColor="text1"/>
                <w:sz w:val="20"/>
              </w:rPr>
              <w:t>Where the taxable income exceeds Rs.7,000,000</w:t>
            </w:r>
          </w:p>
        </w:tc>
        <w:tc>
          <w:tcPr>
            <w:tcW w:w="2340" w:type="dxa"/>
          </w:tcPr>
          <w:p w:rsidR="00C304C8" w:rsidRPr="009A5977" w:rsidRDefault="00C304C8" w:rsidP="00C304C8">
            <w:pPr>
              <w:jc w:val="center"/>
              <w:rPr>
                <w:color w:val="000000" w:themeColor="text1"/>
                <w:sz w:val="20"/>
              </w:rPr>
            </w:pPr>
            <w:r w:rsidRPr="009A5977">
              <w:rPr>
                <w:color w:val="000000" w:themeColor="text1"/>
                <w:sz w:val="20"/>
              </w:rPr>
              <w:t>Rs.1,422,000 + 30% of the amount exceeding Rs.7,000,000]</w:t>
            </w:r>
          </w:p>
        </w:tc>
      </w:tr>
    </w:tbl>
    <w:p w:rsidR="00AA4BF8" w:rsidRPr="00412620" w:rsidRDefault="00AA4BF8" w:rsidP="00AA4BF8">
      <w:pPr>
        <w:ind w:left="720" w:hanging="720"/>
        <w:jc w:val="center"/>
        <w:rPr>
          <w:sz w:val="10"/>
          <w:szCs w:val="10"/>
        </w:rPr>
      </w:pPr>
    </w:p>
    <w:p w:rsidR="00AA4BF8" w:rsidRPr="00412620" w:rsidRDefault="00AA4BF8" w:rsidP="00AA4BF8">
      <w:pPr>
        <w:ind w:left="720" w:hanging="720"/>
        <w:rPr>
          <w:sz w:val="20"/>
        </w:rPr>
      </w:pPr>
    </w:p>
    <w:p w:rsidR="00AA4BF8" w:rsidRPr="00412620" w:rsidRDefault="00AA4BF8" w:rsidP="00AA4BF8">
      <w:pPr>
        <w:rPr>
          <w:sz w:val="20"/>
        </w:rPr>
      </w:pPr>
      <w:r w:rsidRPr="00412620">
        <w:rPr>
          <w:sz w:val="20"/>
        </w:rPr>
        <w:tab/>
      </w:r>
      <w:r w:rsidRPr="00412620">
        <w:rPr>
          <w:sz w:val="20"/>
        </w:rPr>
        <w:tab/>
      </w:r>
      <w:r w:rsidRPr="00412620">
        <w:rPr>
          <w:sz w:val="20"/>
        </w:rPr>
        <w:tab/>
      </w:r>
      <w:r w:rsidRPr="00412620">
        <w:rPr>
          <w:rStyle w:val="FootnoteReference"/>
          <w:rFonts w:cs="Arial"/>
          <w:sz w:val="20"/>
        </w:rPr>
        <w:footnoteReference w:id="1586"/>
      </w:r>
      <w:r w:rsidRPr="00412620">
        <w:rPr>
          <w:sz w:val="20"/>
        </w:rPr>
        <w:t>[  ]</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r>
      <w:r w:rsidRPr="00412620">
        <w:rPr>
          <w:sz w:val="20"/>
        </w:rPr>
        <w:tab/>
      </w:r>
      <w:r w:rsidRPr="00412620">
        <w:rPr>
          <w:sz w:val="20"/>
        </w:rPr>
        <w:tab/>
      </w:r>
      <w:r w:rsidRPr="00412620">
        <w:rPr>
          <w:rStyle w:val="FootnoteReference"/>
          <w:rFonts w:cs="Arial"/>
          <w:sz w:val="20"/>
        </w:rPr>
        <w:footnoteReference w:id="1587"/>
      </w:r>
      <w:r w:rsidRPr="00412620">
        <w:rPr>
          <w:sz w:val="20"/>
        </w:rPr>
        <w:t>[  ]</w:t>
      </w:r>
    </w:p>
    <w:p w:rsidR="00AA4BF8" w:rsidRPr="00412620" w:rsidRDefault="00AA4BF8" w:rsidP="00AA4BF8">
      <w:pPr>
        <w:jc w:val="both"/>
        <w:rPr>
          <w:sz w:val="20"/>
        </w:rPr>
      </w:pPr>
    </w:p>
    <w:p w:rsidR="00AA4BF8" w:rsidRDefault="00AA4BF8" w:rsidP="00AA4BF8">
      <w:pPr>
        <w:ind w:left="1094" w:firstLine="541"/>
        <w:jc w:val="both"/>
        <w:rPr>
          <w:sz w:val="20"/>
        </w:rPr>
      </w:pPr>
      <w:r w:rsidRPr="00412620">
        <w:rPr>
          <w:sz w:val="20"/>
        </w:rPr>
        <w:t>Provided further that Internally Displaced Persons Tax (IDPT), treated as income tax, on the tax payable on the taxable income of one million rupees or more, shall be levied at the rate of 5% of such tax for tax year 2009</w:t>
      </w:r>
      <w:r w:rsidR="009A5977">
        <w:rPr>
          <w:sz w:val="20"/>
        </w:rPr>
        <w:t xml:space="preserve"> </w:t>
      </w:r>
      <w:r w:rsidR="00D86433" w:rsidRPr="009A5977">
        <w:rPr>
          <w:rStyle w:val="FootnoteReference"/>
          <w:color w:val="000000" w:themeColor="text1"/>
          <w:sz w:val="20"/>
        </w:rPr>
        <w:footnoteReference w:id="1588"/>
      </w:r>
      <w:r w:rsidR="00D86433" w:rsidRPr="009A5977">
        <w:rPr>
          <w:color w:val="000000" w:themeColor="text1"/>
          <w:sz w:val="20"/>
        </w:rPr>
        <w:t>[    ]</w:t>
      </w:r>
    </w:p>
    <w:p w:rsidR="00AA4BF8" w:rsidRDefault="00AA4BF8" w:rsidP="00AA4BF8">
      <w:pPr>
        <w:jc w:val="both"/>
        <w:rPr>
          <w:sz w:val="20"/>
        </w:rPr>
      </w:pPr>
    </w:p>
    <w:p w:rsidR="00AA4BF8" w:rsidRPr="00AA5E01" w:rsidRDefault="00AA4BF8" w:rsidP="00AA4BF8">
      <w:pPr>
        <w:ind w:left="547" w:firstLine="547"/>
        <w:jc w:val="both"/>
        <w:rPr>
          <w:color w:val="000000" w:themeColor="text1"/>
          <w:sz w:val="20"/>
        </w:rPr>
      </w:pPr>
      <w:r w:rsidRPr="00AA5E01">
        <w:rPr>
          <w:rStyle w:val="FootnoteReference"/>
          <w:rFonts w:cs="Arial"/>
          <w:color w:val="000000" w:themeColor="text1"/>
          <w:sz w:val="20"/>
        </w:rPr>
        <w:lastRenderedPageBreak/>
        <w:footnoteReference w:id="1589"/>
      </w:r>
      <w:r w:rsidRPr="00AA5E01">
        <w:rPr>
          <w:color w:val="000000" w:themeColor="text1"/>
          <w:sz w:val="20"/>
        </w:rPr>
        <w:t xml:space="preserve">[(IB) Where the taxable income in a tax year, other than income on which the deduction of tax is final, does not exceed one million rupees of a person- </w:t>
      </w:r>
    </w:p>
    <w:p w:rsidR="00AA4BF8" w:rsidRPr="00AA5E01" w:rsidRDefault="00AA4BF8" w:rsidP="004B20DC">
      <w:pPr>
        <w:pStyle w:val="ListParagraph"/>
        <w:numPr>
          <w:ilvl w:val="0"/>
          <w:numId w:val="41"/>
        </w:numPr>
        <w:jc w:val="both"/>
        <w:rPr>
          <w:color w:val="000000" w:themeColor="text1"/>
          <w:sz w:val="20"/>
        </w:rPr>
      </w:pPr>
      <w:r w:rsidRPr="00AA5E01">
        <w:rPr>
          <w:color w:val="000000" w:themeColor="text1"/>
          <w:sz w:val="20"/>
        </w:rPr>
        <w:t>holding a National Database Registration Authority’s Computerized National Identity Card for disabled persons; or</w:t>
      </w:r>
    </w:p>
    <w:p w:rsidR="00D86433" w:rsidRPr="009A5977" w:rsidRDefault="00D86433" w:rsidP="00D86433">
      <w:pPr>
        <w:autoSpaceDE w:val="0"/>
        <w:autoSpaceDN w:val="0"/>
        <w:adjustRightInd w:val="0"/>
        <w:ind w:left="2084" w:hanging="990"/>
        <w:jc w:val="both"/>
        <w:rPr>
          <w:rFonts w:cs="Arial"/>
          <w:color w:val="000000" w:themeColor="text1"/>
          <w:sz w:val="20"/>
          <w:lang w:val="en-US"/>
        </w:rPr>
      </w:pPr>
      <w:r w:rsidRPr="009A5977">
        <w:rPr>
          <w:rStyle w:val="FootnoteReference"/>
          <w:rFonts w:cs="Arial"/>
          <w:color w:val="000000" w:themeColor="text1"/>
          <w:sz w:val="20"/>
          <w:lang w:val="en-US"/>
        </w:rPr>
        <w:footnoteReference w:id="1590"/>
      </w:r>
      <w:r w:rsidRPr="009A5977">
        <w:rPr>
          <w:rFonts w:cs="Arial"/>
          <w:color w:val="000000" w:themeColor="text1"/>
          <w:sz w:val="20"/>
          <w:lang w:val="en-US"/>
        </w:rPr>
        <w:t xml:space="preserve">[“(ii) </w:t>
      </w:r>
      <w:r w:rsidRPr="009A5977">
        <w:rPr>
          <w:rFonts w:cs="Arial"/>
          <w:color w:val="000000" w:themeColor="text1"/>
          <w:sz w:val="20"/>
          <w:lang w:val="en-US"/>
        </w:rPr>
        <w:tab/>
        <w:t>a taxpayer of the age of not less than sixty</w:t>
      </w:r>
      <w:r w:rsidR="00E4091A" w:rsidRPr="009A5977">
        <w:rPr>
          <w:rFonts w:cs="Arial"/>
          <w:color w:val="000000" w:themeColor="text1"/>
          <w:sz w:val="20"/>
          <w:lang w:val="en-US"/>
        </w:rPr>
        <w:t xml:space="preserve"> </w:t>
      </w:r>
      <w:r w:rsidRPr="009A5977">
        <w:rPr>
          <w:rFonts w:cs="Arial"/>
          <w:color w:val="000000" w:themeColor="text1"/>
          <w:sz w:val="20"/>
          <w:lang w:val="en-US"/>
        </w:rPr>
        <w:t>years on the first day of that tax year, the tax</w:t>
      </w:r>
      <w:r w:rsidR="00E4091A" w:rsidRPr="009A5977">
        <w:rPr>
          <w:rFonts w:cs="Arial"/>
          <w:color w:val="000000" w:themeColor="text1"/>
          <w:sz w:val="20"/>
          <w:lang w:val="en-US"/>
        </w:rPr>
        <w:t xml:space="preserve"> </w:t>
      </w:r>
      <w:r w:rsidRPr="009A5977">
        <w:rPr>
          <w:rFonts w:cs="Arial"/>
          <w:color w:val="000000" w:themeColor="text1"/>
          <w:sz w:val="20"/>
          <w:lang w:val="en-US"/>
        </w:rPr>
        <w:t>liability on such income shall be reduced by</w:t>
      </w:r>
      <w:r w:rsidR="00E4091A" w:rsidRPr="009A5977">
        <w:rPr>
          <w:rFonts w:cs="Arial"/>
          <w:color w:val="000000" w:themeColor="text1"/>
          <w:sz w:val="20"/>
          <w:lang w:val="en-US"/>
        </w:rPr>
        <w:t xml:space="preserve"> </w:t>
      </w:r>
      <w:r w:rsidRPr="009A5977">
        <w:rPr>
          <w:rFonts w:cs="Arial"/>
          <w:color w:val="000000" w:themeColor="text1"/>
          <w:sz w:val="20"/>
          <w:lang w:val="en-US"/>
        </w:rPr>
        <w:t>fifty per cent.”]</w:t>
      </w:r>
    </w:p>
    <w:p w:rsidR="00D86433" w:rsidRPr="009A5977" w:rsidRDefault="00D86433" w:rsidP="00D86433">
      <w:pPr>
        <w:autoSpaceDE w:val="0"/>
        <w:autoSpaceDN w:val="0"/>
        <w:adjustRightInd w:val="0"/>
        <w:ind w:left="2084" w:hanging="990"/>
        <w:jc w:val="both"/>
        <w:rPr>
          <w:color w:val="000000" w:themeColor="text1"/>
          <w:sz w:val="20"/>
        </w:rPr>
      </w:pPr>
    </w:p>
    <w:p w:rsidR="00AA4BF8" w:rsidRPr="00AA5E01" w:rsidRDefault="00AA4BF8" w:rsidP="00AA4BF8">
      <w:pPr>
        <w:jc w:val="both"/>
        <w:rPr>
          <w:color w:val="000000" w:themeColor="text1"/>
          <w:sz w:val="20"/>
        </w:rPr>
      </w:pPr>
      <w:r w:rsidRPr="00AA5E01">
        <w:rPr>
          <w:rStyle w:val="FootnoteReference"/>
          <w:rFonts w:cs="Arial"/>
          <w:color w:val="000000" w:themeColor="text1"/>
          <w:sz w:val="20"/>
        </w:rPr>
        <w:footnoteReference w:id="1591"/>
      </w:r>
      <w:r w:rsidR="006A4F4B" w:rsidRPr="00AA5E01">
        <w:rPr>
          <w:color w:val="000000" w:themeColor="text1"/>
          <w:sz w:val="20"/>
        </w:rPr>
        <w:t xml:space="preserve">[ </w:t>
      </w:r>
      <w:r w:rsidR="00AA5E01">
        <w:rPr>
          <w:color w:val="000000" w:themeColor="text1"/>
          <w:sz w:val="20"/>
        </w:rPr>
        <w:t xml:space="preserve"> </w:t>
      </w:r>
      <w:r w:rsidRPr="00AA5E01">
        <w:rPr>
          <w:color w:val="000000" w:themeColor="text1"/>
          <w:sz w:val="20"/>
        </w:rPr>
        <w:t>]</w:t>
      </w:r>
    </w:p>
    <w:p w:rsidR="00781C2E" w:rsidRDefault="00781C2E" w:rsidP="00AA4BF8">
      <w:pPr>
        <w:jc w:val="both"/>
        <w:rPr>
          <w:sz w:val="20"/>
        </w:rPr>
      </w:pPr>
    </w:p>
    <w:p w:rsidR="00D40783" w:rsidRDefault="00AA4BF8" w:rsidP="00D40783">
      <w:pPr>
        <w:jc w:val="both"/>
        <w:rPr>
          <w:sz w:val="20"/>
        </w:rPr>
      </w:pPr>
      <w:r w:rsidRPr="00412620">
        <w:rPr>
          <w:rStyle w:val="FootnoteReference"/>
          <w:rFonts w:cs="Arial"/>
          <w:sz w:val="20"/>
        </w:rPr>
        <w:footnoteReference w:id="1592"/>
      </w:r>
      <w:r w:rsidRPr="00412620">
        <w:rPr>
          <w:sz w:val="20"/>
        </w:rPr>
        <w:t xml:space="preserve">[ </w:t>
      </w:r>
      <w:r w:rsidR="00AA5E01">
        <w:rPr>
          <w:sz w:val="20"/>
        </w:rPr>
        <w:t xml:space="preserve"> </w:t>
      </w:r>
      <w:r w:rsidRPr="00412620">
        <w:rPr>
          <w:sz w:val="20"/>
        </w:rPr>
        <w:t>]</w:t>
      </w:r>
    </w:p>
    <w:p w:rsidR="00AA4BF8" w:rsidRPr="00412620" w:rsidRDefault="00AA4BF8" w:rsidP="00D40783">
      <w:pPr>
        <w:jc w:val="both"/>
        <w:rPr>
          <w:sz w:val="20"/>
        </w:rPr>
      </w:pPr>
      <w:r w:rsidRPr="00412620">
        <w:rPr>
          <w:rStyle w:val="FootnoteReference"/>
          <w:rFonts w:cs="Arial"/>
          <w:sz w:val="20"/>
        </w:rPr>
        <w:footnoteReference w:id="1593"/>
      </w:r>
      <w:r w:rsidRPr="00412620">
        <w:rPr>
          <w:sz w:val="20"/>
        </w:rPr>
        <w:t>[  ]</w:t>
      </w:r>
    </w:p>
    <w:p w:rsidR="00AA4BF8" w:rsidRPr="00412620" w:rsidRDefault="00AA4BF8" w:rsidP="00AA4BF8">
      <w:pPr>
        <w:ind w:left="720" w:hanging="720"/>
        <w:jc w:val="center"/>
        <w:rPr>
          <w:sz w:val="20"/>
        </w:rPr>
      </w:pPr>
    </w:p>
    <w:p w:rsidR="00AA4BF8" w:rsidRPr="00412620" w:rsidRDefault="00AA4BF8" w:rsidP="00AA4BF8">
      <w:pPr>
        <w:pStyle w:val="BodyTextIndent"/>
        <w:jc w:val="both"/>
        <w:rPr>
          <w:sz w:val="20"/>
        </w:rPr>
      </w:pPr>
      <w:r w:rsidRPr="00412620">
        <w:rPr>
          <w:rStyle w:val="FootnoteReference"/>
          <w:rFonts w:cs="Arial"/>
          <w:sz w:val="20"/>
        </w:rPr>
        <w:footnoteReference w:id="1594"/>
      </w:r>
      <w:r w:rsidRPr="00412620">
        <w:rPr>
          <w:sz w:val="20"/>
        </w:rPr>
        <w:t>[  ]</w:t>
      </w:r>
    </w:p>
    <w:p w:rsidR="00AA4BF8" w:rsidRPr="00412620" w:rsidRDefault="00AA4BF8" w:rsidP="00AA4BF8">
      <w:pPr>
        <w:pStyle w:val="BodyTextIndent"/>
        <w:jc w:val="both"/>
        <w:rPr>
          <w:sz w:val="20"/>
        </w:rPr>
      </w:pPr>
    </w:p>
    <w:p w:rsidR="00AA4BF8" w:rsidRPr="00412620" w:rsidRDefault="00AA4BF8" w:rsidP="00AA4BF8">
      <w:pPr>
        <w:pStyle w:val="BodyTextIndent"/>
        <w:jc w:val="both"/>
        <w:rPr>
          <w:sz w:val="20"/>
        </w:rPr>
      </w:pPr>
      <w:r w:rsidRPr="00412620">
        <w:rPr>
          <w:rStyle w:val="FootnoteReference"/>
          <w:rFonts w:cs="Arial"/>
          <w:sz w:val="20"/>
        </w:rPr>
        <w:footnoteReference w:id="1595"/>
      </w:r>
      <w:r w:rsidRPr="00412620">
        <w:rPr>
          <w:sz w:val="20"/>
        </w:rPr>
        <w:t>[  ]</w:t>
      </w:r>
    </w:p>
    <w:p w:rsidR="00AA4BF8" w:rsidRPr="00412620" w:rsidRDefault="00AA4BF8" w:rsidP="00AA4BF8">
      <w:pPr>
        <w:pStyle w:val="BodyTextIndent"/>
        <w:jc w:val="both"/>
        <w:rPr>
          <w:sz w:val="20"/>
        </w:rPr>
      </w:pPr>
    </w:p>
    <w:p w:rsidR="00AA4BF8" w:rsidRPr="00412620" w:rsidRDefault="00AA4BF8" w:rsidP="00AA4BF8">
      <w:pPr>
        <w:pStyle w:val="Heading2"/>
        <w:spacing w:line="240" w:lineRule="auto"/>
        <w:rPr>
          <w:sz w:val="28"/>
          <w:szCs w:val="28"/>
        </w:rPr>
      </w:pPr>
      <w:r w:rsidRPr="00412620">
        <w:rPr>
          <w:rStyle w:val="FootnoteReference"/>
          <w:rFonts w:cs="Arial"/>
          <w:b w:val="0"/>
          <w:sz w:val="20"/>
        </w:rPr>
        <w:lastRenderedPageBreak/>
        <w:footnoteReference w:id="1596"/>
      </w:r>
      <w:r w:rsidRPr="00412620">
        <w:rPr>
          <w:b w:val="0"/>
          <w:sz w:val="28"/>
          <w:szCs w:val="28"/>
        </w:rPr>
        <w:t>[</w:t>
      </w:r>
      <w:r w:rsidRPr="00412620">
        <w:rPr>
          <w:sz w:val="28"/>
          <w:szCs w:val="28"/>
        </w:rPr>
        <w:t>Division II</w:t>
      </w:r>
    </w:p>
    <w:p w:rsidR="00AA4BF8" w:rsidRPr="00412620" w:rsidRDefault="00AA4BF8" w:rsidP="00AA4BF8">
      <w:pPr>
        <w:pStyle w:val="Heading2"/>
        <w:spacing w:line="240" w:lineRule="auto"/>
        <w:rPr>
          <w:sz w:val="20"/>
        </w:rPr>
      </w:pPr>
      <w:r w:rsidRPr="00412620">
        <w:rPr>
          <w:sz w:val="20"/>
        </w:rPr>
        <w:t>Rates of Tax for Companies</w:t>
      </w:r>
    </w:p>
    <w:p w:rsidR="00AA4BF8" w:rsidRPr="00412620" w:rsidRDefault="00AA4BF8" w:rsidP="00AA4BF8">
      <w:pPr>
        <w:pStyle w:val="CommentText"/>
        <w:keepNext/>
        <w:rPr>
          <w:sz w:val="14"/>
          <w:szCs w:val="14"/>
        </w:rPr>
      </w:pPr>
    </w:p>
    <w:p w:rsidR="00AA4BF8" w:rsidRPr="00412620" w:rsidRDefault="00AA4BF8" w:rsidP="00FA0B02">
      <w:pPr>
        <w:pStyle w:val="CommentText"/>
        <w:keepNext/>
        <w:jc w:val="both"/>
      </w:pPr>
      <w:r w:rsidRPr="00412620">
        <w:rPr>
          <w:rStyle w:val="FootnoteReference"/>
          <w:rFonts w:cs="Arial"/>
        </w:rPr>
        <w:footnoteReference w:id="1597"/>
      </w:r>
      <w:r w:rsidRPr="00412620">
        <w:t>[(i)</w:t>
      </w:r>
      <w:r w:rsidRPr="00412620">
        <w:tab/>
        <w:t>The rate of tax imposed on the taxable income of a company</w:t>
      </w:r>
      <w:r w:rsidR="00E4091A">
        <w:t xml:space="preserve"> </w:t>
      </w:r>
      <w:r w:rsidRPr="00412620">
        <w:t xml:space="preserve">for the tax year 2007 and onward shall be 35% </w:t>
      </w:r>
      <w:r w:rsidRPr="00412620">
        <w:rPr>
          <w:rStyle w:val="FootnoteReference"/>
          <w:rFonts w:cs="Arial"/>
        </w:rPr>
        <w:footnoteReference w:id="1598"/>
      </w:r>
      <w:r w:rsidRPr="00412620">
        <w:t>[:] ]</w:t>
      </w:r>
    </w:p>
    <w:p w:rsidR="00AA4BF8" w:rsidRPr="00412620" w:rsidRDefault="00AA4BF8" w:rsidP="00AA4BF8">
      <w:pPr>
        <w:pStyle w:val="CommentText"/>
        <w:keepNext/>
      </w:pPr>
    </w:p>
    <w:p w:rsidR="00837ADA" w:rsidRPr="00AA5E01" w:rsidRDefault="00AA4BF8" w:rsidP="00FA0B02">
      <w:pPr>
        <w:pStyle w:val="CommentText"/>
        <w:keepNext/>
        <w:ind w:left="547" w:firstLine="547"/>
        <w:jc w:val="both"/>
        <w:rPr>
          <w:color w:val="000000" w:themeColor="text1"/>
        </w:rPr>
      </w:pPr>
      <w:r w:rsidRPr="00412620">
        <w:rPr>
          <w:rStyle w:val="FootnoteReference"/>
          <w:rFonts w:cs="Arial"/>
        </w:rPr>
        <w:footnoteReference w:id="1599"/>
      </w:r>
      <w:r w:rsidRPr="00412620">
        <w:t>[Provided that the rate of tax imposed on the taxable income of a company other than a banking company, shall be 34% for the tax year 2014</w:t>
      </w:r>
      <w:r w:rsidR="00837ADA" w:rsidRPr="00AA5E01">
        <w:rPr>
          <w:rStyle w:val="FootnoteReference"/>
          <w:color w:val="000000" w:themeColor="text1"/>
        </w:rPr>
        <w:footnoteReference w:id="1600"/>
      </w:r>
      <w:r w:rsidR="0086563C" w:rsidRPr="00AA5E01">
        <w:rPr>
          <w:color w:val="000000" w:themeColor="text1"/>
        </w:rPr>
        <w:t>[:</w:t>
      </w:r>
    </w:p>
    <w:p w:rsidR="00FA0B02" w:rsidRPr="00AA5E01" w:rsidRDefault="00FA0B02" w:rsidP="00FA0B02">
      <w:pPr>
        <w:pStyle w:val="CommentText"/>
        <w:keepNext/>
        <w:jc w:val="both"/>
        <w:rPr>
          <w:color w:val="000000" w:themeColor="text1"/>
        </w:rPr>
      </w:pPr>
    </w:p>
    <w:p w:rsidR="00AA4BF8" w:rsidRDefault="00837ADA" w:rsidP="00FA0B02">
      <w:pPr>
        <w:pStyle w:val="CommentText"/>
        <w:keepNext/>
        <w:ind w:left="547" w:firstLine="547"/>
        <w:jc w:val="both"/>
      </w:pPr>
      <w:r w:rsidRPr="00AA5E01">
        <w:rPr>
          <w:color w:val="000000" w:themeColor="text1"/>
        </w:rPr>
        <w:t>Provided further that the rate of tax imposed on the taxable income of a company, other than a banking company, shall be 33% for the tax year 2015</w:t>
      </w:r>
      <w:r w:rsidR="00AA5E01">
        <w:rPr>
          <w:color w:val="000000" w:themeColor="text1"/>
        </w:rPr>
        <w:t xml:space="preserve"> </w:t>
      </w:r>
      <w:r w:rsidR="003E2D18" w:rsidRPr="009A5977">
        <w:rPr>
          <w:rStyle w:val="FootnoteReference"/>
          <w:color w:val="000000" w:themeColor="text1"/>
        </w:rPr>
        <w:footnoteReference w:id="1601"/>
      </w:r>
      <w:r w:rsidR="006308BD" w:rsidRPr="009A5977">
        <w:rPr>
          <w:color w:val="000000" w:themeColor="text1"/>
        </w:rPr>
        <w:t>[“:”]</w:t>
      </w:r>
      <w:r w:rsidR="00AA5E01" w:rsidRPr="009A5977">
        <w:rPr>
          <w:color w:val="000000" w:themeColor="text1"/>
        </w:rPr>
        <w:t xml:space="preserve"> </w:t>
      </w:r>
      <w:r w:rsidRPr="00AA5E01">
        <w:rPr>
          <w:color w:val="000000" w:themeColor="text1"/>
        </w:rPr>
        <w:t>]</w:t>
      </w:r>
      <w:r w:rsidR="00AA5E01">
        <w:rPr>
          <w:color w:val="000000" w:themeColor="text1"/>
        </w:rPr>
        <w:t xml:space="preserve"> </w:t>
      </w:r>
      <w:r w:rsidR="00AA4BF8" w:rsidRPr="00412620">
        <w:t>]</w:t>
      </w:r>
    </w:p>
    <w:p w:rsidR="006308BD" w:rsidRDefault="006308BD" w:rsidP="00FA0B02">
      <w:pPr>
        <w:pStyle w:val="CommentText"/>
        <w:keepNext/>
        <w:ind w:left="547" w:firstLine="547"/>
        <w:jc w:val="both"/>
      </w:pPr>
    </w:p>
    <w:p w:rsidR="006308BD" w:rsidRPr="009A5977" w:rsidRDefault="003E2D18" w:rsidP="00724EDD">
      <w:pPr>
        <w:autoSpaceDE w:val="0"/>
        <w:autoSpaceDN w:val="0"/>
        <w:adjustRightInd w:val="0"/>
        <w:ind w:left="547" w:firstLine="547"/>
        <w:jc w:val="both"/>
        <w:rPr>
          <w:color w:val="000000" w:themeColor="text1"/>
          <w:sz w:val="20"/>
        </w:rPr>
      </w:pPr>
      <w:r w:rsidRPr="009A5977">
        <w:rPr>
          <w:rStyle w:val="FootnoteReference"/>
          <w:rFonts w:cs="Arial"/>
          <w:color w:val="000000" w:themeColor="text1"/>
          <w:sz w:val="20"/>
          <w:lang w:val="en-US"/>
        </w:rPr>
        <w:footnoteReference w:id="1602"/>
      </w:r>
      <w:r w:rsidR="006308BD" w:rsidRPr="009A5977">
        <w:rPr>
          <w:rFonts w:cs="Arial"/>
          <w:color w:val="000000" w:themeColor="text1"/>
          <w:sz w:val="20"/>
          <w:lang w:val="en-US"/>
        </w:rPr>
        <w:t>[“Provided further that the rate of tax imposed on</w:t>
      </w:r>
      <w:r w:rsidR="00F077EC" w:rsidRPr="009A5977">
        <w:rPr>
          <w:rFonts w:cs="Arial"/>
          <w:color w:val="000000" w:themeColor="text1"/>
          <w:sz w:val="20"/>
          <w:lang w:val="en-US"/>
        </w:rPr>
        <w:t xml:space="preserve"> </w:t>
      </w:r>
      <w:r w:rsidR="006308BD" w:rsidRPr="009A5977">
        <w:rPr>
          <w:rFonts w:cs="Arial"/>
          <w:color w:val="000000" w:themeColor="text1"/>
          <w:sz w:val="20"/>
          <w:lang w:val="en-US"/>
        </w:rPr>
        <w:t>taxable income of a company, other than banking company</w:t>
      </w:r>
      <w:r w:rsidR="00F077EC" w:rsidRPr="009A5977">
        <w:rPr>
          <w:rFonts w:cs="Arial"/>
          <w:color w:val="000000" w:themeColor="text1"/>
          <w:sz w:val="20"/>
          <w:lang w:val="en-US"/>
        </w:rPr>
        <w:t xml:space="preserve"> </w:t>
      </w:r>
      <w:r w:rsidR="006308BD" w:rsidRPr="009A5977">
        <w:rPr>
          <w:rFonts w:cs="Arial"/>
          <w:color w:val="000000" w:themeColor="text1"/>
          <w:sz w:val="20"/>
          <w:lang w:val="en-US"/>
        </w:rPr>
        <w:t>shall be 32% for the tax year 2016, 31% for tax year 2017and 30% for tax year 2018 and onwards.”]</w:t>
      </w:r>
    </w:p>
    <w:p w:rsidR="00AA4BF8" w:rsidRPr="00412620" w:rsidRDefault="00AA4BF8" w:rsidP="00AA4BF8">
      <w:pPr>
        <w:pStyle w:val="CommentText"/>
        <w:keepNext/>
      </w:pPr>
    </w:p>
    <w:p w:rsidR="00AA4BF8" w:rsidRPr="00412620" w:rsidRDefault="00AA4BF8" w:rsidP="00AA4BF8">
      <w:pPr>
        <w:pStyle w:val="CommentText"/>
        <w:keepNext/>
      </w:pPr>
      <w:r w:rsidRPr="00412620">
        <w:rPr>
          <w:rStyle w:val="FootnoteReference"/>
          <w:rFonts w:cs="Arial"/>
        </w:rPr>
        <w:footnoteReference w:id="1603"/>
      </w:r>
      <w:r w:rsidRPr="00412620">
        <w:t>[  ]</w:t>
      </w:r>
    </w:p>
    <w:p w:rsidR="00AA4BF8" w:rsidRPr="00412620" w:rsidRDefault="00AA4BF8" w:rsidP="00AA4BF8">
      <w:pPr>
        <w:pStyle w:val="CommentText"/>
        <w:keepNext/>
      </w:pPr>
    </w:p>
    <w:p w:rsidR="00C42E01" w:rsidRDefault="00C42E01" w:rsidP="00AA4BF8">
      <w:pPr>
        <w:ind w:left="1641" w:hanging="547"/>
        <w:jc w:val="both"/>
        <w:rPr>
          <w:sz w:val="20"/>
        </w:rPr>
      </w:pPr>
    </w:p>
    <w:p w:rsidR="00AA4BF8" w:rsidRPr="00412620" w:rsidRDefault="00AA4BF8" w:rsidP="00A86A37">
      <w:pPr>
        <w:jc w:val="both"/>
        <w:rPr>
          <w:sz w:val="20"/>
        </w:rPr>
      </w:pPr>
      <w:r w:rsidRPr="00412620">
        <w:rPr>
          <w:rStyle w:val="FootnoteReference"/>
          <w:rFonts w:cs="Arial"/>
          <w:sz w:val="20"/>
        </w:rPr>
        <w:footnoteReference w:id="1604"/>
      </w:r>
      <w:r w:rsidRPr="00412620">
        <w:rPr>
          <w:sz w:val="20"/>
        </w:rPr>
        <w:t xml:space="preserve">[(iii) </w:t>
      </w:r>
      <w:r w:rsidRPr="00412620">
        <w:rPr>
          <w:sz w:val="20"/>
        </w:rPr>
        <w:tab/>
        <w:t xml:space="preserve">where the taxpayer is a small company as defined in section 2, tax shall be payable at the rate of  </w:t>
      </w:r>
      <w:r w:rsidRPr="00412620">
        <w:rPr>
          <w:rStyle w:val="FootnoteReference"/>
          <w:rFonts w:cs="Arial"/>
          <w:sz w:val="20"/>
        </w:rPr>
        <w:footnoteReference w:id="1605"/>
      </w:r>
      <w:r w:rsidRPr="00412620">
        <w:rPr>
          <w:sz w:val="20"/>
        </w:rPr>
        <w:t xml:space="preserve">[25]% </w:t>
      </w:r>
      <w:r w:rsidRPr="00412620">
        <w:rPr>
          <w:rStyle w:val="FootnoteReference"/>
          <w:rFonts w:cs="Arial"/>
          <w:sz w:val="20"/>
        </w:rPr>
        <w:footnoteReference w:id="1606"/>
      </w:r>
      <w:r w:rsidRPr="00412620">
        <w:rPr>
          <w:sz w:val="20"/>
        </w:rPr>
        <w:t>[:] ]</w:t>
      </w:r>
    </w:p>
    <w:p w:rsidR="00AA4BF8" w:rsidRPr="00412620" w:rsidRDefault="00AA4BF8" w:rsidP="00AA4BF8">
      <w:pPr>
        <w:ind w:left="1641"/>
        <w:jc w:val="both"/>
        <w:rPr>
          <w:sz w:val="20"/>
        </w:rPr>
      </w:pPr>
    </w:p>
    <w:p w:rsidR="00AA4BF8" w:rsidRDefault="00AA4BF8" w:rsidP="00A86A37">
      <w:pPr>
        <w:jc w:val="both"/>
        <w:rPr>
          <w:sz w:val="20"/>
        </w:rPr>
      </w:pPr>
      <w:r w:rsidRPr="00412620">
        <w:rPr>
          <w:rStyle w:val="FootnoteReference"/>
          <w:rFonts w:cs="Arial"/>
          <w:sz w:val="20"/>
        </w:rPr>
        <w:footnoteReference w:id="1607"/>
      </w:r>
      <w:r w:rsidRPr="00412620">
        <w:rPr>
          <w:sz w:val="20"/>
        </w:rPr>
        <w:t>[  ]</w:t>
      </w:r>
    </w:p>
    <w:p w:rsidR="00DF5B4F" w:rsidRDefault="00DF5B4F" w:rsidP="00A86A37">
      <w:pPr>
        <w:jc w:val="both"/>
        <w:rPr>
          <w:sz w:val="20"/>
        </w:rPr>
      </w:pPr>
    </w:p>
    <w:p w:rsidR="00DF5B4F" w:rsidRPr="009A5977" w:rsidRDefault="00866BF0" w:rsidP="00DF5B4F">
      <w:pPr>
        <w:autoSpaceDE w:val="0"/>
        <w:autoSpaceDN w:val="0"/>
        <w:adjustRightInd w:val="0"/>
        <w:ind w:left="2188" w:firstLine="547"/>
        <w:rPr>
          <w:rFonts w:cs="Arial"/>
          <w:b/>
          <w:bCs/>
          <w:color w:val="000000" w:themeColor="text1"/>
          <w:szCs w:val="24"/>
          <w:lang w:val="en-US"/>
        </w:rPr>
      </w:pPr>
      <w:r w:rsidRPr="009A5977">
        <w:rPr>
          <w:rStyle w:val="FootnoteReference"/>
          <w:rFonts w:cs="Arial"/>
          <w:b/>
          <w:bCs/>
          <w:color w:val="000000" w:themeColor="text1"/>
          <w:szCs w:val="24"/>
          <w:lang w:val="en-US"/>
        </w:rPr>
        <w:footnoteReference w:id="1608"/>
      </w:r>
      <w:r w:rsidR="00DF5B4F" w:rsidRPr="009A5977">
        <w:rPr>
          <w:rFonts w:cs="Arial"/>
          <w:b/>
          <w:bCs/>
          <w:color w:val="000000" w:themeColor="text1"/>
          <w:szCs w:val="24"/>
          <w:lang w:val="en-US"/>
        </w:rPr>
        <w:t>[“Division IIA</w:t>
      </w:r>
    </w:p>
    <w:p w:rsidR="00DF5B4F" w:rsidRPr="009A5977" w:rsidRDefault="00DF5B4F" w:rsidP="00DF5B4F">
      <w:pPr>
        <w:autoSpaceDE w:val="0"/>
        <w:autoSpaceDN w:val="0"/>
        <w:adjustRightInd w:val="0"/>
        <w:ind w:left="1641" w:firstLine="547"/>
        <w:rPr>
          <w:rFonts w:cs="Arial"/>
          <w:color w:val="000000" w:themeColor="text1"/>
          <w:szCs w:val="24"/>
          <w:lang w:val="en-US"/>
        </w:rPr>
      </w:pPr>
      <w:r w:rsidRPr="009A5977">
        <w:rPr>
          <w:rFonts w:cs="Arial"/>
          <w:color w:val="000000" w:themeColor="text1"/>
          <w:szCs w:val="24"/>
          <w:lang w:val="en-US"/>
        </w:rPr>
        <w:t>Rates of Super Tax</w:t>
      </w:r>
    </w:p>
    <w:tbl>
      <w:tblPr>
        <w:tblStyle w:val="TableGrid"/>
        <w:tblpPr w:leftFromText="180" w:rightFromText="180" w:vertAnchor="text" w:horzAnchor="margin" w:tblpXSpec="center" w:tblpY="172"/>
        <w:tblW w:w="0" w:type="auto"/>
        <w:tblBorders>
          <w:left w:val="none" w:sz="0" w:space="0" w:color="auto"/>
          <w:right w:val="none" w:sz="0" w:space="0" w:color="auto"/>
          <w:insideH w:val="none" w:sz="0" w:space="0" w:color="auto"/>
          <w:insideV w:val="none" w:sz="0" w:space="0" w:color="auto"/>
        </w:tblBorders>
        <w:tblLook w:val="04A0"/>
      </w:tblPr>
      <w:tblGrid>
        <w:gridCol w:w="3169"/>
        <w:gridCol w:w="3245"/>
      </w:tblGrid>
      <w:tr w:rsidR="002770BF" w:rsidRPr="009A5977" w:rsidTr="002770BF">
        <w:trPr>
          <w:trHeight w:val="399"/>
        </w:trPr>
        <w:tc>
          <w:tcPr>
            <w:tcW w:w="3169" w:type="dxa"/>
          </w:tcPr>
          <w:p w:rsidR="002770BF" w:rsidRPr="009A5977" w:rsidRDefault="002770BF" w:rsidP="002770BF">
            <w:pPr>
              <w:autoSpaceDE w:val="0"/>
              <w:autoSpaceDN w:val="0"/>
              <w:adjustRightInd w:val="0"/>
              <w:ind w:left="990"/>
              <w:rPr>
                <w:rFonts w:cs="Arial"/>
                <w:color w:val="000000" w:themeColor="text1"/>
                <w:sz w:val="20"/>
                <w:lang w:val="en-US"/>
              </w:rPr>
            </w:pPr>
            <w:r w:rsidRPr="009A5977">
              <w:rPr>
                <w:rFonts w:cs="Arial"/>
                <w:color w:val="000000" w:themeColor="text1"/>
                <w:sz w:val="20"/>
                <w:lang w:val="en-US"/>
              </w:rPr>
              <w:t xml:space="preserve">Person </w:t>
            </w:r>
          </w:p>
        </w:tc>
        <w:tc>
          <w:tcPr>
            <w:tcW w:w="3245" w:type="dxa"/>
          </w:tcPr>
          <w:p w:rsidR="002770BF" w:rsidRPr="009A5977" w:rsidRDefault="002770BF" w:rsidP="002770BF">
            <w:pPr>
              <w:autoSpaceDE w:val="0"/>
              <w:autoSpaceDN w:val="0"/>
              <w:adjustRightInd w:val="0"/>
              <w:ind w:left="791"/>
              <w:rPr>
                <w:rFonts w:cs="Arial"/>
                <w:color w:val="000000" w:themeColor="text1"/>
                <w:sz w:val="20"/>
                <w:lang w:val="en-US"/>
              </w:rPr>
            </w:pPr>
            <w:r w:rsidRPr="009A5977">
              <w:rPr>
                <w:rFonts w:cs="Arial"/>
                <w:color w:val="000000" w:themeColor="text1"/>
                <w:sz w:val="20"/>
                <w:lang w:val="en-US"/>
              </w:rPr>
              <w:t>Rate of super tax</w:t>
            </w:r>
          </w:p>
        </w:tc>
      </w:tr>
    </w:tbl>
    <w:p w:rsidR="00DF5B4F" w:rsidRPr="009A5977" w:rsidRDefault="00DF5B4F" w:rsidP="00DF5B4F">
      <w:pPr>
        <w:autoSpaceDE w:val="0"/>
        <w:autoSpaceDN w:val="0"/>
        <w:adjustRightInd w:val="0"/>
        <w:ind w:left="1641" w:firstLine="547"/>
        <w:rPr>
          <w:rFonts w:cs="Arial"/>
          <w:color w:val="000000" w:themeColor="text1"/>
          <w:szCs w:val="24"/>
          <w:lang w:val="en-US"/>
        </w:rPr>
      </w:pPr>
    </w:p>
    <w:p w:rsidR="00DF5B4F" w:rsidRPr="009A5977" w:rsidRDefault="00DF5B4F" w:rsidP="002770BF">
      <w:pPr>
        <w:autoSpaceDE w:val="0"/>
        <w:autoSpaceDN w:val="0"/>
        <w:adjustRightInd w:val="0"/>
        <w:ind w:left="547" w:firstLine="547"/>
        <w:rPr>
          <w:rFonts w:cs="Arial"/>
          <w:color w:val="000000" w:themeColor="text1"/>
          <w:sz w:val="20"/>
          <w:lang w:val="en-US"/>
        </w:rPr>
      </w:pPr>
      <w:r w:rsidRPr="009A5977">
        <w:rPr>
          <w:rFonts w:cs="Arial"/>
          <w:color w:val="000000" w:themeColor="text1"/>
          <w:sz w:val="20"/>
          <w:lang w:val="en-US"/>
        </w:rPr>
        <w:t xml:space="preserve">Banking Company </w:t>
      </w:r>
      <w:r w:rsidR="002770BF" w:rsidRPr="009A5977">
        <w:rPr>
          <w:rFonts w:cs="Arial"/>
          <w:color w:val="000000" w:themeColor="text1"/>
          <w:sz w:val="20"/>
          <w:lang w:val="en-US"/>
        </w:rPr>
        <w:tab/>
      </w:r>
      <w:r w:rsidR="002770BF" w:rsidRPr="009A5977">
        <w:rPr>
          <w:rFonts w:cs="Arial"/>
          <w:color w:val="000000" w:themeColor="text1"/>
          <w:sz w:val="20"/>
          <w:lang w:val="en-US"/>
        </w:rPr>
        <w:tab/>
      </w:r>
      <w:r w:rsidR="002770BF" w:rsidRPr="009A5977">
        <w:rPr>
          <w:rFonts w:cs="Arial"/>
          <w:color w:val="000000" w:themeColor="text1"/>
          <w:sz w:val="20"/>
          <w:lang w:val="en-US"/>
        </w:rPr>
        <w:tab/>
      </w:r>
      <w:r w:rsidRPr="009A5977">
        <w:rPr>
          <w:rFonts w:cs="Arial"/>
          <w:color w:val="000000" w:themeColor="text1"/>
          <w:sz w:val="20"/>
          <w:lang w:val="en-US"/>
        </w:rPr>
        <w:t>4% of the income</w:t>
      </w:r>
    </w:p>
    <w:p w:rsidR="002770BF" w:rsidRPr="009A5977" w:rsidRDefault="002770BF" w:rsidP="002770BF">
      <w:pPr>
        <w:autoSpaceDE w:val="0"/>
        <w:autoSpaceDN w:val="0"/>
        <w:adjustRightInd w:val="0"/>
        <w:ind w:left="547" w:firstLine="547"/>
        <w:rPr>
          <w:rFonts w:cs="Arial"/>
          <w:color w:val="000000" w:themeColor="text1"/>
          <w:sz w:val="20"/>
          <w:lang w:val="en-US"/>
        </w:rPr>
      </w:pPr>
    </w:p>
    <w:p w:rsidR="00DF5B4F" w:rsidRPr="009A5977" w:rsidRDefault="00DF5B4F" w:rsidP="00724EDD">
      <w:pPr>
        <w:autoSpaceDE w:val="0"/>
        <w:autoSpaceDN w:val="0"/>
        <w:adjustRightInd w:val="0"/>
        <w:ind w:left="547" w:firstLine="547"/>
        <w:jc w:val="both"/>
        <w:rPr>
          <w:rFonts w:cs="Arial"/>
          <w:color w:val="000000" w:themeColor="text1"/>
          <w:sz w:val="20"/>
          <w:lang w:val="en-US"/>
        </w:rPr>
      </w:pPr>
      <w:r w:rsidRPr="009A5977">
        <w:rPr>
          <w:rFonts w:cs="Arial"/>
          <w:color w:val="000000" w:themeColor="text1"/>
          <w:sz w:val="20"/>
          <w:lang w:val="en-US"/>
        </w:rPr>
        <w:t>Person, other than a banking</w:t>
      </w:r>
      <w:r w:rsidR="002770BF" w:rsidRPr="009A5977">
        <w:rPr>
          <w:rFonts w:cs="Arial"/>
          <w:color w:val="000000" w:themeColor="text1"/>
          <w:sz w:val="20"/>
          <w:lang w:val="en-US"/>
        </w:rPr>
        <w:tab/>
      </w:r>
      <w:r w:rsidR="002770BF" w:rsidRPr="009A5977">
        <w:rPr>
          <w:rFonts w:cs="Arial"/>
          <w:color w:val="000000" w:themeColor="text1"/>
          <w:sz w:val="20"/>
          <w:lang w:val="en-US"/>
        </w:rPr>
        <w:tab/>
        <w:t>3% of the income</w:t>
      </w:r>
      <w:r w:rsidR="001D0352" w:rsidRPr="009A5977">
        <w:rPr>
          <w:rFonts w:cs="Arial"/>
          <w:color w:val="000000" w:themeColor="text1"/>
          <w:sz w:val="20"/>
          <w:lang w:val="en-US"/>
        </w:rPr>
        <w:t>”</w:t>
      </w:r>
    </w:p>
    <w:p w:rsidR="00DF5B4F" w:rsidRPr="009A5977" w:rsidRDefault="00DF5B4F" w:rsidP="00724EDD">
      <w:pPr>
        <w:autoSpaceDE w:val="0"/>
        <w:autoSpaceDN w:val="0"/>
        <w:adjustRightInd w:val="0"/>
        <w:ind w:left="547" w:firstLine="547"/>
        <w:jc w:val="both"/>
        <w:rPr>
          <w:rFonts w:cs="Arial"/>
          <w:color w:val="000000" w:themeColor="text1"/>
          <w:sz w:val="20"/>
          <w:lang w:val="en-US"/>
        </w:rPr>
      </w:pPr>
      <w:r w:rsidRPr="009A5977">
        <w:rPr>
          <w:rFonts w:cs="Arial"/>
          <w:color w:val="000000" w:themeColor="text1"/>
          <w:sz w:val="20"/>
          <w:lang w:val="en-US"/>
        </w:rPr>
        <w:t>company, having income equal to</w:t>
      </w:r>
    </w:p>
    <w:p w:rsidR="00DF5B4F" w:rsidRPr="009A5977" w:rsidRDefault="00DF5B4F" w:rsidP="002770BF">
      <w:pPr>
        <w:autoSpaceDE w:val="0"/>
        <w:autoSpaceDN w:val="0"/>
        <w:adjustRightInd w:val="0"/>
        <w:ind w:left="547" w:firstLine="547"/>
        <w:rPr>
          <w:rFonts w:cs="Arial"/>
          <w:color w:val="000000" w:themeColor="text1"/>
          <w:sz w:val="20"/>
          <w:lang w:val="en-US"/>
        </w:rPr>
      </w:pPr>
      <w:r w:rsidRPr="009A5977">
        <w:rPr>
          <w:rFonts w:cs="Arial"/>
          <w:color w:val="000000" w:themeColor="text1"/>
          <w:sz w:val="20"/>
          <w:lang w:val="en-US"/>
        </w:rPr>
        <w:t>or exceeding Rs.500 million</w:t>
      </w:r>
    </w:p>
    <w:p w:rsidR="00AA4BF8" w:rsidRPr="00AA5E01" w:rsidRDefault="007B5482" w:rsidP="00AA4BF8">
      <w:pPr>
        <w:pStyle w:val="Heading2"/>
        <w:spacing w:line="240" w:lineRule="auto"/>
        <w:rPr>
          <w:color w:val="000000" w:themeColor="text1"/>
          <w:sz w:val="28"/>
          <w:szCs w:val="28"/>
        </w:rPr>
      </w:pPr>
      <w:r w:rsidRPr="00AA5E01">
        <w:rPr>
          <w:rStyle w:val="FootnoteReference"/>
          <w:color w:val="000000" w:themeColor="text1"/>
          <w:sz w:val="28"/>
          <w:szCs w:val="28"/>
        </w:rPr>
        <w:lastRenderedPageBreak/>
        <w:footnoteReference w:id="1609"/>
      </w:r>
      <w:r w:rsidRPr="00AA5E01">
        <w:rPr>
          <w:color w:val="000000" w:themeColor="text1"/>
          <w:sz w:val="28"/>
          <w:szCs w:val="28"/>
        </w:rPr>
        <w:t>[</w:t>
      </w:r>
      <w:r w:rsidR="00AA4BF8" w:rsidRPr="00AA5E01">
        <w:rPr>
          <w:color w:val="000000" w:themeColor="text1"/>
          <w:sz w:val="28"/>
          <w:szCs w:val="28"/>
        </w:rPr>
        <w:t>Division III</w:t>
      </w:r>
    </w:p>
    <w:p w:rsidR="00AA4BF8" w:rsidRPr="00AA5E01" w:rsidRDefault="00AA4BF8" w:rsidP="00AA4BF8">
      <w:pPr>
        <w:pStyle w:val="Heading8"/>
        <w:rPr>
          <w:i w:val="0"/>
          <w:color w:val="000000" w:themeColor="text1"/>
          <w:sz w:val="20"/>
        </w:rPr>
      </w:pPr>
      <w:r w:rsidRPr="00AA5E01">
        <w:rPr>
          <w:i w:val="0"/>
          <w:color w:val="000000" w:themeColor="text1"/>
          <w:sz w:val="20"/>
        </w:rPr>
        <w:t>Rate of Dividend Tax</w:t>
      </w:r>
    </w:p>
    <w:p w:rsidR="00B6521C" w:rsidRPr="00AA5E01" w:rsidRDefault="00B6521C" w:rsidP="00B6521C">
      <w:pPr>
        <w:rPr>
          <w:color w:val="000000" w:themeColor="text1"/>
        </w:rPr>
      </w:pPr>
    </w:p>
    <w:p w:rsidR="00AA4BF8" w:rsidRPr="00AA5E01" w:rsidRDefault="00AA4BF8" w:rsidP="00AA4BF8">
      <w:pPr>
        <w:jc w:val="both"/>
        <w:rPr>
          <w:color w:val="000000" w:themeColor="text1"/>
          <w:sz w:val="20"/>
        </w:rPr>
      </w:pPr>
      <w:r w:rsidRPr="00AA5E01">
        <w:rPr>
          <w:color w:val="000000" w:themeColor="text1"/>
          <w:sz w:val="20"/>
        </w:rPr>
        <w:tab/>
        <w:t xml:space="preserve">The rate of tax imposed under section 5 on </w:t>
      </w:r>
      <w:r w:rsidR="007B5482" w:rsidRPr="00AA5E01">
        <w:rPr>
          <w:color w:val="000000" w:themeColor="text1"/>
          <w:sz w:val="20"/>
        </w:rPr>
        <w:t>dividend</w:t>
      </w:r>
      <w:r w:rsidRPr="00AA5E01">
        <w:rPr>
          <w:color w:val="000000" w:themeColor="text1"/>
          <w:sz w:val="20"/>
        </w:rPr>
        <w:t xml:space="preserve"> received from </w:t>
      </w:r>
      <w:r w:rsidR="00EC3411" w:rsidRPr="00AA5E01">
        <w:rPr>
          <w:color w:val="000000" w:themeColor="text1"/>
          <w:sz w:val="20"/>
        </w:rPr>
        <w:t>a company</w:t>
      </w:r>
      <w:r w:rsidRPr="00AA5E01">
        <w:rPr>
          <w:color w:val="000000" w:themeColor="text1"/>
          <w:sz w:val="20"/>
        </w:rPr>
        <w:t xml:space="preserve"> shall be</w:t>
      </w:r>
      <w:r w:rsidR="007B5482" w:rsidRPr="00AA5E01">
        <w:rPr>
          <w:color w:val="000000" w:themeColor="text1"/>
          <w:sz w:val="20"/>
        </w:rPr>
        <w:t>-</w:t>
      </w:r>
    </w:p>
    <w:p w:rsidR="007B5482" w:rsidRPr="00AA5E01" w:rsidRDefault="007B5482" w:rsidP="00AA4BF8">
      <w:pPr>
        <w:jc w:val="both"/>
        <w:rPr>
          <w:color w:val="000000" w:themeColor="text1"/>
          <w:sz w:val="20"/>
        </w:rPr>
      </w:pPr>
    </w:p>
    <w:p w:rsidR="00AA4BF8" w:rsidRPr="00AA5E01" w:rsidRDefault="00AA4BF8" w:rsidP="005E70CD">
      <w:pPr>
        <w:ind w:left="1641" w:hanging="547"/>
        <w:jc w:val="both"/>
        <w:rPr>
          <w:color w:val="000000" w:themeColor="text1"/>
          <w:sz w:val="20"/>
        </w:rPr>
      </w:pPr>
      <w:r w:rsidRPr="00AA5E01">
        <w:rPr>
          <w:color w:val="000000" w:themeColor="text1"/>
          <w:sz w:val="20"/>
        </w:rPr>
        <w:t>(a)</w:t>
      </w:r>
      <w:r w:rsidR="005E70CD" w:rsidRPr="00AA5E01">
        <w:rPr>
          <w:color w:val="000000" w:themeColor="text1"/>
          <w:sz w:val="20"/>
        </w:rPr>
        <w:tab/>
      </w:r>
      <w:r w:rsidRPr="00AA5E01">
        <w:rPr>
          <w:color w:val="000000" w:themeColor="text1"/>
          <w:sz w:val="20"/>
        </w:rPr>
        <w:t xml:space="preserve">7.5% in the case of dividends declared or distributed by purchaser of a power project privatized by WAPDA or on shares of a company set up for power generation or on shares of a company, supplying coal exclusively to power generation projects; and </w:t>
      </w:r>
    </w:p>
    <w:p w:rsidR="005E70CD" w:rsidRPr="007B5482" w:rsidRDefault="005E70CD" w:rsidP="005E70CD">
      <w:pPr>
        <w:ind w:left="1641" w:hanging="547"/>
        <w:jc w:val="both"/>
        <w:rPr>
          <w:color w:val="00B0F0"/>
          <w:sz w:val="20"/>
        </w:rPr>
      </w:pPr>
    </w:p>
    <w:p w:rsidR="002F3154" w:rsidRPr="009A5977" w:rsidRDefault="002F3154" w:rsidP="002F3154">
      <w:pPr>
        <w:autoSpaceDE w:val="0"/>
        <w:autoSpaceDN w:val="0"/>
        <w:adjustRightInd w:val="0"/>
        <w:ind w:left="547" w:firstLine="547"/>
        <w:jc w:val="both"/>
        <w:rPr>
          <w:color w:val="000000" w:themeColor="text1"/>
          <w:sz w:val="20"/>
        </w:rPr>
      </w:pPr>
      <w:r w:rsidRPr="009A5977">
        <w:rPr>
          <w:rStyle w:val="FootnoteReference"/>
          <w:color w:val="000000" w:themeColor="text1"/>
          <w:sz w:val="20"/>
        </w:rPr>
        <w:footnoteReference w:id="1610"/>
      </w:r>
      <w:r w:rsidRPr="009A5977">
        <w:rPr>
          <w:color w:val="000000" w:themeColor="text1"/>
          <w:sz w:val="20"/>
        </w:rPr>
        <w:t>[“</w:t>
      </w:r>
      <w:r w:rsidR="00C63F2B" w:rsidRPr="009A5977">
        <w:rPr>
          <w:color w:val="000000" w:themeColor="text1"/>
          <w:sz w:val="20"/>
        </w:rPr>
        <w:t>(b)</w:t>
      </w:r>
      <w:r w:rsidR="00C63F2B" w:rsidRPr="009A5977">
        <w:rPr>
          <w:color w:val="000000" w:themeColor="text1"/>
          <w:sz w:val="20"/>
        </w:rPr>
        <w:tab/>
      </w:r>
      <w:r w:rsidRPr="009A5977">
        <w:rPr>
          <w:color w:val="000000" w:themeColor="text1"/>
          <w:sz w:val="20"/>
        </w:rPr>
        <w:t>1</w:t>
      </w:r>
      <w:r w:rsidRPr="009A5977">
        <w:rPr>
          <w:rFonts w:cs="Arial"/>
          <w:color w:val="000000" w:themeColor="text1"/>
          <w:sz w:val="20"/>
          <w:lang w:val="en-US"/>
        </w:rPr>
        <w:t>2.5%, in cases other than mentioned in clauses (a) and (c);</w:t>
      </w:r>
    </w:p>
    <w:p w:rsidR="004D67BB" w:rsidRPr="009A5977" w:rsidRDefault="004D67BB" w:rsidP="005E70CD">
      <w:pPr>
        <w:ind w:left="1634" w:hanging="540"/>
        <w:jc w:val="both"/>
        <w:rPr>
          <w:color w:val="000000" w:themeColor="text1"/>
          <w:sz w:val="20"/>
        </w:rPr>
      </w:pPr>
    </w:p>
    <w:p w:rsidR="00E808AF" w:rsidRPr="009A5977" w:rsidRDefault="00C63F2B" w:rsidP="00C63F2B">
      <w:pPr>
        <w:autoSpaceDE w:val="0"/>
        <w:autoSpaceDN w:val="0"/>
        <w:adjustRightInd w:val="0"/>
        <w:ind w:left="1260" w:hanging="180"/>
        <w:jc w:val="both"/>
        <w:rPr>
          <w:color w:val="000000" w:themeColor="text1"/>
          <w:sz w:val="20"/>
        </w:rPr>
      </w:pPr>
      <w:r w:rsidRPr="009A5977">
        <w:rPr>
          <w:color w:val="000000" w:themeColor="text1"/>
          <w:sz w:val="20"/>
        </w:rPr>
        <w:tab/>
      </w:r>
      <w:r w:rsidR="00E808AF" w:rsidRPr="009A5977">
        <w:rPr>
          <w:color w:val="000000" w:themeColor="text1"/>
          <w:sz w:val="20"/>
        </w:rPr>
        <w:t xml:space="preserve">(c) </w:t>
      </w:r>
      <w:r w:rsidR="00E808AF" w:rsidRPr="009A5977">
        <w:rPr>
          <w:rFonts w:cs="Arial"/>
          <w:color w:val="000000" w:themeColor="text1"/>
          <w:sz w:val="20"/>
          <w:lang w:val="en-US"/>
        </w:rPr>
        <w:t>10%, in case of dividend received b</w:t>
      </w:r>
      <w:r w:rsidR="001D0352" w:rsidRPr="009A5977">
        <w:rPr>
          <w:rFonts w:cs="Arial"/>
          <w:color w:val="000000" w:themeColor="text1"/>
          <w:sz w:val="20"/>
          <w:lang w:val="en-US"/>
        </w:rPr>
        <w:t>y a person from a mutual fund.”</w:t>
      </w:r>
      <w:r w:rsidR="00E808AF" w:rsidRPr="009A5977">
        <w:rPr>
          <w:rFonts w:cs="Arial"/>
          <w:color w:val="000000" w:themeColor="text1"/>
          <w:sz w:val="20"/>
          <w:lang w:val="en-US"/>
        </w:rPr>
        <w:t>]</w:t>
      </w:r>
    </w:p>
    <w:p w:rsidR="002F3154" w:rsidRDefault="002F3154" w:rsidP="005E70CD">
      <w:pPr>
        <w:ind w:left="1634" w:hanging="540"/>
        <w:jc w:val="both"/>
        <w:rPr>
          <w:color w:val="00B0F0"/>
          <w:sz w:val="20"/>
        </w:rPr>
      </w:pPr>
    </w:p>
    <w:p w:rsidR="007B5482" w:rsidRPr="00AA5E01" w:rsidRDefault="00AA4BF8" w:rsidP="004D67BB">
      <w:pPr>
        <w:ind w:left="547" w:firstLine="457"/>
        <w:jc w:val="both"/>
        <w:rPr>
          <w:color w:val="000000" w:themeColor="text1"/>
          <w:sz w:val="20"/>
        </w:rPr>
      </w:pPr>
      <w:r w:rsidRPr="00AA5E01">
        <w:rPr>
          <w:color w:val="000000" w:themeColor="text1"/>
          <w:sz w:val="20"/>
        </w:rPr>
        <w:t xml:space="preserve">Provided that the dividend received by a person from a stock fund shall be taxed at the rate of 12.5% for tax year 2015 and onwards, if dividend receipts are less than capital gains: </w:t>
      </w:r>
    </w:p>
    <w:p w:rsidR="007B5482" w:rsidRPr="00AA5E01" w:rsidRDefault="007B5482" w:rsidP="005E70CD">
      <w:pPr>
        <w:ind w:left="1634" w:hanging="540"/>
        <w:jc w:val="both"/>
        <w:rPr>
          <w:color w:val="000000" w:themeColor="text1"/>
          <w:sz w:val="20"/>
        </w:rPr>
      </w:pPr>
    </w:p>
    <w:p w:rsidR="00AA4BF8" w:rsidRPr="009A5977" w:rsidRDefault="00AA4BF8" w:rsidP="004D67BB">
      <w:pPr>
        <w:ind w:left="547" w:firstLine="547"/>
        <w:jc w:val="both"/>
        <w:rPr>
          <w:color w:val="000000" w:themeColor="text1"/>
          <w:sz w:val="20"/>
        </w:rPr>
      </w:pPr>
      <w:r w:rsidRPr="00AA5E01">
        <w:rPr>
          <w:color w:val="000000" w:themeColor="text1"/>
          <w:sz w:val="20"/>
        </w:rPr>
        <w:t xml:space="preserve">Provided further that the dividend received by a company from a collective investment </w:t>
      </w:r>
      <w:r w:rsidRPr="009A5977">
        <w:rPr>
          <w:color w:val="000000" w:themeColor="text1"/>
          <w:sz w:val="20"/>
        </w:rPr>
        <w:t xml:space="preserve">scheme </w:t>
      </w:r>
      <w:r w:rsidR="0026484D" w:rsidRPr="009A5977">
        <w:rPr>
          <w:rStyle w:val="FootnoteReference"/>
          <w:color w:val="000000" w:themeColor="text1"/>
          <w:sz w:val="20"/>
        </w:rPr>
        <w:footnoteReference w:id="1611"/>
      </w:r>
      <w:r w:rsidR="0026484D" w:rsidRPr="009A5977">
        <w:rPr>
          <w:color w:val="000000" w:themeColor="text1"/>
          <w:sz w:val="20"/>
        </w:rPr>
        <w:t>[,REIT Scheme”]</w:t>
      </w:r>
      <w:r w:rsidR="00AA5E01" w:rsidRPr="009A5977">
        <w:rPr>
          <w:color w:val="000000" w:themeColor="text1"/>
          <w:sz w:val="20"/>
        </w:rPr>
        <w:t xml:space="preserve"> </w:t>
      </w:r>
      <w:r w:rsidRPr="009A5977">
        <w:rPr>
          <w:color w:val="000000" w:themeColor="text1"/>
          <w:sz w:val="20"/>
        </w:rPr>
        <w:t>or a mutual fund, other than a stock fund, shall be taxed at the rate of 25% for tax year 2015 and onwards</w:t>
      </w:r>
      <w:r w:rsidR="00AC1E52" w:rsidRPr="009A5977">
        <w:rPr>
          <w:rStyle w:val="FootnoteReference"/>
          <w:color w:val="000000" w:themeColor="text1"/>
          <w:sz w:val="20"/>
        </w:rPr>
        <w:footnoteReference w:id="1612"/>
      </w:r>
      <w:r w:rsidR="00AC1E52" w:rsidRPr="009A5977">
        <w:rPr>
          <w:color w:val="000000" w:themeColor="text1"/>
          <w:sz w:val="20"/>
        </w:rPr>
        <w:t>[:]</w:t>
      </w:r>
      <w:r w:rsidR="00AA5E01" w:rsidRPr="009A5977">
        <w:rPr>
          <w:color w:val="000000" w:themeColor="text1"/>
          <w:sz w:val="20"/>
        </w:rPr>
        <w:t xml:space="preserve"> </w:t>
      </w:r>
      <w:r w:rsidRPr="009A5977">
        <w:rPr>
          <w:color w:val="000000" w:themeColor="text1"/>
          <w:sz w:val="20"/>
        </w:rPr>
        <w:t>]</w:t>
      </w:r>
    </w:p>
    <w:p w:rsidR="00CF69DF" w:rsidRPr="009A5977" w:rsidRDefault="00CF69DF" w:rsidP="004D67BB">
      <w:pPr>
        <w:ind w:left="547" w:firstLine="547"/>
        <w:jc w:val="both"/>
        <w:rPr>
          <w:color w:val="000000" w:themeColor="text1"/>
          <w:sz w:val="20"/>
        </w:rPr>
      </w:pPr>
    </w:p>
    <w:p w:rsidR="00CF69DF" w:rsidRPr="009A5977" w:rsidRDefault="00AB7EAC" w:rsidP="00CF69DF">
      <w:pPr>
        <w:autoSpaceDE w:val="0"/>
        <w:autoSpaceDN w:val="0"/>
        <w:adjustRightInd w:val="0"/>
        <w:ind w:left="547" w:firstLine="547"/>
        <w:jc w:val="both"/>
        <w:rPr>
          <w:rFonts w:cs="Arial"/>
          <w:color w:val="000000" w:themeColor="text1"/>
          <w:sz w:val="20"/>
          <w:lang w:val="en-US"/>
        </w:rPr>
      </w:pPr>
      <w:r w:rsidRPr="009A5977">
        <w:rPr>
          <w:rStyle w:val="FootnoteReference"/>
          <w:rFonts w:cs="Arial"/>
          <w:color w:val="000000" w:themeColor="text1"/>
          <w:sz w:val="20"/>
          <w:lang w:val="en-US"/>
        </w:rPr>
        <w:footnoteReference w:id="1613"/>
      </w:r>
      <w:r w:rsidR="00CF69DF" w:rsidRPr="009A5977">
        <w:rPr>
          <w:rFonts w:cs="Arial"/>
          <w:color w:val="000000" w:themeColor="text1"/>
          <w:sz w:val="20"/>
          <w:lang w:val="en-US"/>
        </w:rPr>
        <w:t>[“Provided also that if a Developmental REIT</w:t>
      </w:r>
      <w:r w:rsidR="00F077EC" w:rsidRPr="009A5977">
        <w:rPr>
          <w:rFonts w:cs="Arial"/>
          <w:color w:val="000000" w:themeColor="text1"/>
          <w:sz w:val="20"/>
          <w:lang w:val="en-US"/>
        </w:rPr>
        <w:t xml:space="preserve"> </w:t>
      </w:r>
      <w:r w:rsidR="00CF69DF" w:rsidRPr="009A5977">
        <w:rPr>
          <w:rFonts w:cs="Arial"/>
          <w:color w:val="000000" w:themeColor="text1"/>
          <w:sz w:val="20"/>
          <w:lang w:val="en-US"/>
        </w:rPr>
        <w:t>Scheme with the object of development and</w:t>
      </w:r>
      <w:r w:rsidR="00F077EC" w:rsidRPr="009A5977">
        <w:rPr>
          <w:rFonts w:cs="Arial"/>
          <w:color w:val="000000" w:themeColor="text1"/>
          <w:sz w:val="20"/>
          <w:lang w:val="en-US"/>
        </w:rPr>
        <w:t xml:space="preserve"> </w:t>
      </w:r>
      <w:r w:rsidR="00CF69DF" w:rsidRPr="009A5977">
        <w:rPr>
          <w:rFonts w:cs="Arial"/>
          <w:color w:val="000000" w:themeColor="text1"/>
          <w:sz w:val="20"/>
          <w:lang w:val="en-US"/>
        </w:rPr>
        <w:t>construction of residential buildings is set up by</w:t>
      </w:r>
      <w:r w:rsidR="00F077EC" w:rsidRPr="009A5977">
        <w:rPr>
          <w:rFonts w:cs="Arial"/>
          <w:color w:val="000000" w:themeColor="text1"/>
          <w:sz w:val="20"/>
          <w:lang w:val="en-US"/>
        </w:rPr>
        <w:t xml:space="preserve"> </w:t>
      </w:r>
      <w:r w:rsidR="00CF69DF" w:rsidRPr="009A5977">
        <w:rPr>
          <w:rFonts w:cs="Arial"/>
          <w:color w:val="000000" w:themeColor="text1"/>
          <w:sz w:val="20"/>
          <w:lang w:val="en-US"/>
        </w:rPr>
        <w:t>thirtieth day of June, 2018, tax imposed on dividend</w:t>
      </w:r>
      <w:r w:rsidR="00F077EC" w:rsidRPr="009A5977">
        <w:rPr>
          <w:rFonts w:cs="Arial"/>
          <w:color w:val="000000" w:themeColor="text1"/>
          <w:sz w:val="20"/>
          <w:lang w:val="en-US"/>
        </w:rPr>
        <w:t xml:space="preserve"> </w:t>
      </w:r>
      <w:r w:rsidR="00CF69DF" w:rsidRPr="009A5977">
        <w:rPr>
          <w:rFonts w:cs="Arial"/>
          <w:color w:val="000000" w:themeColor="text1"/>
          <w:sz w:val="20"/>
          <w:lang w:val="en-US"/>
        </w:rPr>
        <w:t>received by a person from such Developmental REIT</w:t>
      </w:r>
      <w:r w:rsidR="00F077EC" w:rsidRPr="009A5977">
        <w:rPr>
          <w:rFonts w:cs="Arial"/>
          <w:color w:val="000000" w:themeColor="text1"/>
          <w:sz w:val="20"/>
          <w:lang w:val="en-US"/>
        </w:rPr>
        <w:t xml:space="preserve"> </w:t>
      </w:r>
      <w:r w:rsidR="00CF69DF" w:rsidRPr="009A5977">
        <w:rPr>
          <w:rFonts w:cs="Arial"/>
          <w:color w:val="000000" w:themeColor="text1"/>
          <w:sz w:val="20"/>
          <w:lang w:val="en-US"/>
        </w:rPr>
        <w:t>Scheme shall be reduced by fifty percent for three</w:t>
      </w:r>
      <w:r w:rsidR="00F077EC" w:rsidRPr="009A5977">
        <w:rPr>
          <w:rFonts w:cs="Arial"/>
          <w:color w:val="000000" w:themeColor="text1"/>
          <w:sz w:val="20"/>
          <w:lang w:val="en-US"/>
        </w:rPr>
        <w:t xml:space="preserve"> </w:t>
      </w:r>
      <w:r w:rsidR="00CF69DF" w:rsidRPr="009A5977">
        <w:rPr>
          <w:rFonts w:cs="Arial"/>
          <w:color w:val="000000" w:themeColor="text1"/>
          <w:sz w:val="20"/>
          <w:lang w:val="en-US"/>
        </w:rPr>
        <w:t>years from thirtieth day of June, 2018.”]</w:t>
      </w:r>
    </w:p>
    <w:p w:rsidR="00866BF0" w:rsidRPr="009A5977" w:rsidRDefault="00866BF0" w:rsidP="00CF69DF">
      <w:pPr>
        <w:autoSpaceDE w:val="0"/>
        <w:autoSpaceDN w:val="0"/>
        <w:adjustRightInd w:val="0"/>
        <w:ind w:left="547" w:firstLine="547"/>
        <w:jc w:val="both"/>
        <w:rPr>
          <w:rFonts w:cs="Arial"/>
          <w:color w:val="000000" w:themeColor="text1"/>
          <w:sz w:val="20"/>
          <w:lang w:val="en-US"/>
        </w:rPr>
      </w:pPr>
    </w:p>
    <w:p w:rsidR="00866BF0" w:rsidRPr="009A5977" w:rsidRDefault="00866BF0" w:rsidP="00CF69DF">
      <w:pPr>
        <w:autoSpaceDE w:val="0"/>
        <w:autoSpaceDN w:val="0"/>
        <w:adjustRightInd w:val="0"/>
        <w:ind w:left="547" w:firstLine="547"/>
        <w:jc w:val="both"/>
        <w:rPr>
          <w:color w:val="000000" w:themeColor="text1"/>
          <w:sz w:val="20"/>
        </w:rPr>
      </w:pPr>
    </w:p>
    <w:p w:rsidR="00866BF0" w:rsidRPr="009A5977" w:rsidRDefault="00A323BA" w:rsidP="00866BF0">
      <w:pPr>
        <w:autoSpaceDE w:val="0"/>
        <w:autoSpaceDN w:val="0"/>
        <w:adjustRightInd w:val="0"/>
        <w:jc w:val="center"/>
        <w:rPr>
          <w:rFonts w:cs="Arial"/>
          <w:b/>
          <w:bCs/>
          <w:color w:val="000000" w:themeColor="text1"/>
          <w:szCs w:val="24"/>
          <w:lang w:val="en-US"/>
        </w:rPr>
      </w:pPr>
      <w:r w:rsidRPr="009A5977">
        <w:rPr>
          <w:rStyle w:val="FootnoteReference"/>
          <w:rFonts w:cs="Arial"/>
          <w:b/>
          <w:bCs/>
          <w:color w:val="000000" w:themeColor="text1"/>
          <w:szCs w:val="24"/>
          <w:lang w:val="en-US"/>
        </w:rPr>
        <w:footnoteReference w:id="1614"/>
      </w:r>
      <w:r w:rsidR="00866BF0" w:rsidRPr="009A5977">
        <w:rPr>
          <w:rFonts w:cs="Arial"/>
          <w:b/>
          <w:bCs/>
          <w:color w:val="000000" w:themeColor="text1"/>
          <w:szCs w:val="24"/>
          <w:lang w:val="en-US"/>
        </w:rPr>
        <w:t>[“Division IIIA</w:t>
      </w:r>
    </w:p>
    <w:p w:rsidR="00866BF0" w:rsidRPr="009A5977" w:rsidRDefault="00866BF0" w:rsidP="00866BF0">
      <w:pPr>
        <w:autoSpaceDE w:val="0"/>
        <w:autoSpaceDN w:val="0"/>
        <w:adjustRightInd w:val="0"/>
        <w:jc w:val="center"/>
        <w:rPr>
          <w:rFonts w:cs="Arial"/>
          <w:b/>
          <w:bCs/>
          <w:color w:val="000000" w:themeColor="text1"/>
          <w:szCs w:val="24"/>
          <w:lang w:val="en-US"/>
        </w:rPr>
      </w:pPr>
      <w:r w:rsidRPr="009A5977">
        <w:rPr>
          <w:rFonts w:cs="Arial"/>
          <w:b/>
          <w:bCs/>
          <w:color w:val="000000" w:themeColor="text1"/>
          <w:szCs w:val="24"/>
          <w:lang w:val="en-US"/>
        </w:rPr>
        <w:t>Rate for Profit on Debt</w:t>
      </w:r>
    </w:p>
    <w:p w:rsidR="00F47A06" w:rsidRPr="00866BF0" w:rsidRDefault="00F47A06" w:rsidP="00866BF0">
      <w:pPr>
        <w:autoSpaceDE w:val="0"/>
        <w:autoSpaceDN w:val="0"/>
        <w:adjustRightInd w:val="0"/>
        <w:jc w:val="center"/>
        <w:rPr>
          <w:rFonts w:cs="Arial"/>
          <w:b/>
          <w:bCs/>
          <w:color w:val="984806" w:themeColor="accent6" w:themeShade="80"/>
          <w:szCs w:val="24"/>
          <w:lang w:val="en-US"/>
        </w:rPr>
      </w:pPr>
    </w:p>
    <w:p w:rsidR="00866BF0" w:rsidRPr="009A5977" w:rsidRDefault="00866BF0" w:rsidP="00EC315B">
      <w:pPr>
        <w:autoSpaceDE w:val="0"/>
        <w:autoSpaceDN w:val="0"/>
        <w:adjustRightInd w:val="0"/>
        <w:ind w:firstLine="547"/>
        <w:rPr>
          <w:rFonts w:cs="Arial"/>
          <w:color w:val="000000" w:themeColor="text1"/>
          <w:sz w:val="20"/>
          <w:lang w:val="en-US"/>
        </w:rPr>
      </w:pPr>
      <w:r w:rsidRPr="009A5977">
        <w:rPr>
          <w:rFonts w:cs="Arial"/>
          <w:color w:val="000000" w:themeColor="text1"/>
          <w:sz w:val="20"/>
          <w:lang w:val="en-US"/>
        </w:rPr>
        <w:lastRenderedPageBreak/>
        <w:t>The rate of tax for profit on debt imposed under section 7Bshall be—</w:t>
      </w:r>
    </w:p>
    <w:p w:rsidR="00866BF0" w:rsidRPr="009A5977" w:rsidRDefault="00866BF0" w:rsidP="00866BF0">
      <w:pPr>
        <w:autoSpaceDE w:val="0"/>
        <w:autoSpaceDN w:val="0"/>
        <w:adjustRightInd w:val="0"/>
        <w:rPr>
          <w:rFonts w:cs="Arial"/>
          <w:color w:val="000000" w:themeColor="text1"/>
          <w:sz w:val="20"/>
          <w:lang w:val="en-US"/>
        </w:rPr>
      </w:pPr>
    </w:p>
    <w:tbl>
      <w:tblPr>
        <w:tblStyle w:val="TableGrid"/>
        <w:tblpPr w:leftFromText="180" w:rightFromText="180" w:vertAnchor="text" w:horzAnchor="margin" w:tblpXSpec="center" w:tblpY="291"/>
        <w:tblW w:w="0" w:type="auto"/>
        <w:tblLook w:val="04A0"/>
      </w:tblPr>
      <w:tblGrid>
        <w:gridCol w:w="918"/>
        <w:gridCol w:w="2970"/>
        <w:gridCol w:w="2520"/>
      </w:tblGrid>
      <w:tr w:rsidR="00EC315B" w:rsidRPr="009A5977" w:rsidTr="000E7C91">
        <w:tc>
          <w:tcPr>
            <w:tcW w:w="918"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S.No</w:t>
            </w:r>
          </w:p>
        </w:tc>
        <w:tc>
          <w:tcPr>
            <w:tcW w:w="2970"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Profit on Debt</w:t>
            </w:r>
          </w:p>
        </w:tc>
        <w:tc>
          <w:tcPr>
            <w:tcW w:w="2520"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Rate of tax</w:t>
            </w:r>
          </w:p>
        </w:tc>
      </w:tr>
      <w:tr w:rsidR="00EC315B" w:rsidRPr="009A5977" w:rsidTr="000E7C91">
        <w:trPr>
          <w:trHeight w:val="323"/>
        </w:trPr>
        <w:tc>
          <w:tcPr>
            <w:tcW w:w="918"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(1)</w:t>
            </w:r>
          </w:p>
          <w:p w:rsidR="00EC315B" w:rsidRPr="009A5977" w:rsidRDefault="00EC315B" w:rsidP="000E7C91">
            <w:pPr>
              <w:autoSpaceDE w:val="0"/>
              <w:autoSpaceDN w:val="0"/>
              <w:adjustRightInd w:val="0"/>
              <w:jc w:val="center"/>
              <w:rPr>
                <w:rFonts w:cs="Arial"/>
                <w:color w:val="000000" w:themeColor="text1"/>
                <w:sz w:val="20"/>
                <w:lang w:val="en-US"/>
              </w:rPr>
            </w:pPr>
          </w:p>
        </w:tc>
        <w:tc>
          <w:tcPr>
            <w:tcW w:w="2970"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(2)</w:t>
            </w:r>
          </w:p>
          <w:p w:rsidR="00EC315B" w:rsidRPr="009A5977" w:rsidRDefault="00EC315B" w:rsidP="000E7C91">
            <w:pPr>
              <w:autoSpaceDE w:val="0"/>
              <w:autoSpaceDN w:val="0"/>
              <w:adjustRightInd w:val="0"/>
              <w:jc w:val="center"/>
              <w:rPr>
                <w:rFonts w:cs="Arial"/>
                <w:color w:val="000000" w:themeColor="text1"/>
                <w:sz w:val="20"/>
                <w:lang w:val="en-US"/>
              </w:rPr>
            </w:pPr>
          </w:p>
        </w:tc>
        <w:tc>
          <w:tcPr>
            <w:tcW w:w="2520"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(3)</w:t>
            </w:r>
          </w:p>
        </w:tc>
      </w:tr>
      <w:tr w:rsidR="00EC315B" w:rsidRPr="009A5977" w:rsidTr="000E7C91">
        <w:tc>
          <w:tcPr>
            <w:tcW w:w="918"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1.</w:t>
            </w:r>
          </w:p>
        </w:tc>
        <w:tc>
          <w:tcPr>
            <w:tcW w:w="2970" w:type="dxa"/>
          </w:tcPr>
          <w:p w:rsidR="00EC315B" w:rsidRPr="009A5977" w:rsidRDefault="00EC315B" w:rsidP="000E7C91">
            <w:pPr>
              <w:autoSpaceDE w:val="0"/>
              <w:autoSpaceDN w:val="0"/>
              <w:adjustRightInd w:val="0"/>
              <w:rPr>
                <w:rFonts w:cs="Arial"/>
                <w:color w:val="000000" w:themeColor="text1"/>
                <w:sz w:val="20"/>
                <w:lang w:val="en-US"/>
              </w:rPr>
            </w:pPr>
            <w:r w:rsidRPr="009A5977">
              <w:rPr>
                <w:rFonts w:cs="Arial"/>
                <w:color w:val="000000" w:themeColor="text1"/>
                <w:sz w:val="20"/>
                <w:lang w:val="en-US"/>
              </w:rPr>
              <w:t>Where profit on debt does not</w:t>
            </w:r>
          </w:p>
          <w:p w:rsidR="00EC315B" w:rsidRPr="009A5977" w:rsidRDefault="00EC315B" w:rsidP="000E7C91">
            <w:pPr>
              <w:autoSpaceDE w:val="0"/>
              <w:autoSpaceDN w:val="0"/>
              <w:adjustRightInd w:val="0"/>
              <w:jc w:val="both"/>
              <w:rPr>
                <w:rFonts w:cs="Arial"/>
                <w:color w:val="000000" w:themeColor="text1"/>
                <w:sz w:val="20"/>
                <w:lang w:val="en-US"/>
              </w:rPr>
            </w:pPr>
            <w:r w:rsidRPr="009A5977">
              <w:rPr>
                <w:rFonts w:cs="Arial"/>
                <w:color w:val="000000" w:themeColor="text1"/>
                <w:sz w:val="20"/>
                <w:lang w:val="en-US"/>
              </w:rPr>
              <w:t>exceed Rs 25,000,000</w:t>
            </w:r>
          </w:p>
        </w:tc>
        <w:tc>
          <w:tcPr>
            <w:tcW w:w="2520"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10%</w:t>
            </w:r>
          </w:p>
          <w:p w:rsidR="00EC315B" w:rsidRPr="009A5977" w:rsidRDefault="00EC315B" w:rsidP="000E7C91">
            <w:pPr>
              <w:autoSpaceDE w:val="0"/>
              <w:autoSpaceDN w:val="0"/>
              <w:adjustRightInd w:val="0"/>
              <w:jc w:val="center"/>
              <w:rPr>
                <w:rFonts w:cs="Arial"/>
                <w:color w:val="000000" w:themeColor="text1"/>
                <w:sz w:val="20"/>
                <w:lang w:val="en-US"/>
              </w:rPr>
            </w:pPr>
          </w:p>
        </w:tc>
      </w:tr>
      <w:tr w:rsidR="00EC315B" w:rsidRPr="009A5977" w:rsidTr="000E7C91">
        <w:tc>
          <w:tcPr>
            <w:tcW w:w="918"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2.</w:t>
            </w:r>
          </w:p>
        </w:tc>
        <w:tc>
          <w:tcPr>
            <w:tcW w:w="2970" w:type="dxa"/>
          </w:tcPr>
          <w:p w:rsidR="00EC315B" w:rsidRPr="009A5977" w:rsidRDefault="00EC315B" w:rsidP="000E7C91">
            <w:pPr>
              <w:autoSpaceDE w:val="0"/>
              <w:autoSpaceDN w:val="0"/>
              <w:adjustRightInd w:val="0"/>
              <w:rPr>
                <w:rFonts w:cs="Arial"/>
                <w:color w:val="000000" w:themeColor="text1"/>
                <w:sz w:val="20"/>
                <w:lang w:val="en-US"/>
              </w:rPr>
            </w:pPr>
            <w:r w:rsidRPr="009A5977">
              <w:rPr>
                <w:rFonts w:cs="Arial"/>
                <w:color w:val="000000" w:themeColor="text1"/>
                <w:sz w:val="20"/>
                <w:lang w:val="en-US"/>
              </w:rPr>
              <w:t>Where profit on debt exceeds</w:t>
            </w:r>
          </w:p>
          <w:p w:rsidR="00EC315B" w:rsidRPr="009A5977" w:rsidRDefault="00EC315B" w:rsidP="00C47F79">
            <w:pPr>
              <w:autoSpaceDE w:val="0"/>
              <w:autoSpaceDN w:val="0"/>
              <w:adjustRightInd w:val="0"/>
              <w:rPr>
                <w:rFonts w:cs="Arial"/>
                <w:color w:val="000000" w:themeColor="text1"/>
                <w:sz w:val="20"/>
                <w:lang w:val="en-US"/>
              </w:rPr>
            </w:pPr>
            <w:r w:rsidRPr="009A5977">
              <w:rPr>
                <w:rFonts w:cs="Arial"/>
                <w:color w:val="000000" w:themeColor="text1"/>
                <w:sz w:val="20"/>
                <w:lang w:val="en-US"/>
              </w:rPr>
              <w:t>Rs 25,000,000 but does not</w:t>
            </w:r>
          </w:p>
          <w:p w:rsidR="00EC315B" w:rsidRPr="009A5977" w:rsidRDefault="00EC315B" w:rsidP="000E7C91">
            <w:pPr>
              <w:autoSpaceDE w:val="0"/>
              <w:autoSpaceDN w:val="0"/>
              <w:adjustRightInd w:val="0"/>
              <w:rPr>
                <w:rFonts w:cs="Arial"/>
                <w:color w:val="000000" w:themeColor="text1"/>
                <w:sz w:val="20"/>
                <w:lang w:val="en-US"/>
              </w:rPr>
            </w:pPr>
            <w:r w:rsidRPr="009A5977">
              <w:rPr>
                <w:rFonts w:cs="Arial"/>
                <w:color w:val="000000" w:themeColor="text1"/>
                <w:sz w:val="20"/>
                <w:lang w:val="en-US"/>
              </w:rPr>
              <w:t>exceed Rs 50,000,000</w:t>
            </w:r>
          </w:p>
          <w:p w:rsidR="00EC315B" w:rsidRPr="009A5977" w:rsidRDefault="00EC315B" w:rsidP="000E7C91">
            <w:pPr>
              <w:autoSpaceDE w:val="0"/>
              <w:autoSpaceDN w:val="0"/>
              <w:adjustRightInd w:val="0"/>
              <w:jc w:val="both"/>
              <w:rPr>
                <w:rFonts w:cs="Arial"/>
                <w:color w:val="000000" w:themeColor="text1"/>
                <w:sz w:val="20"/>
                <w:lang w:val="en-US"/>
              </w:rPr>
            </w:pPr>
          </w:p>
        </w:tc>
        <w:tc>
          <w:tcPr>
            <w:tcW w:w="2520" w:type="dxa"/>
          </w:tcPr>
          <w:p w:rsidR="00EC315B" w:rsidRPr="009A5977" w:rsidRDefault="00EC315B" w:rsidP="000E7C91">
            <w:pPr>
              <w:autoSpaceDE w:val="0"/>
              <w:autoSpaceDN w:val="0"/>
              <w:adjustRightInd w:val="0"/>
              <w:jc w:val="both"/>
              <w:rPr>
                <w:rFonts w:cs="Arial"/>
                <w:color w:val="000000" w:themeColor="text1"/>
                <w:sz w:val="20"/>
                <w:lang w:val="en-US"/>
              </w:rPr>
            </w:pPr>
            <w:r w:rsidRPr="009A5977">
              <w:rPr>
                <w:rFonts w:cs="Arial"/>
                <w:color w:val="000000" w:themeColor="text1"/>
                <w:sz w:val="20"/>
                <w:lang w:val="en-US"/>
              </w:rPr>
              <w:t>2,500,000 + 12.5% of the</w:t>
            </w:r>
          </w:p>
          <w:p w:rsidR="00EC315B" w:rsidRPr="009A5977" w:rsidRDefault="00EC315B" w:rsidP="000E7C91">
            <w:pPr>
              <w:autoSpaceDE w:val="0"/>
              <w:autoSpaceDN w:val="0"/>
              <w:adjustRightInd w:val="0"/>
              <w:jc w:val="both"/>
              <w:rPr>
                <w:rFonts w:cs="Arial"/>
                <w:color w:val="000000" w:themeColor="text1"/>
                <w:sz w:val="20"/>
                <w:lang w:val="en-US"/>
              </w:rPr>
            </w:pPr>
            <w:r w:rsidRPr="009A5977">
              <w:rPr>
                <w:rFonts w:cs="Arial"/>
                <w:color w:val="000000" w:themeColor="text1"/>
                <w:sz w:val="20"/>
                <w:lang w:val="en-US"/>
              </w:rPr>
              <w:t>amount exceeding Rs25,000,000</w:t>
            </w:r>
          </w:p>
          <w:p w:rsidR="00EC315B" w:rsidRPr="009A5977" w:rsidRDefault="00EC315B" w:rsidP="000E7C91">
            <w:pPr>
              <w:autoSpaceDE w:val="0"/>
              <w:autoSpaceDN w:val="0"/>
              <w:adjustRightInd w:val="0"/>
              <w:jc w:val="center"/>
              <w:rPr>
                <w:rFonts w:cs="Arial"/>
                <w:color w:val="000000" w:themeColor="text1"/>
                <w:sz w:val="20"/>
                <w:lang w:val="en-US"/>
              </w:rPr>
            </w:pPr>
          </w:p>
        </w:tc>
      </w:tr>
      <w:tr w:rsidR="00EC315B" w:rsidRPr="009A5977" w:rsidTr="000E7C91">
        <w:tc>
          <w:tcPr>
            <w:tcW w:w="918" w:type="dxa"/>
          </w:tcPr>
          <w:p w:rsidR="00EC315B" w:rsidRPr="009A5977" w:rsidRDefault="00EC315B" w:rsidP="000E7C91">
            <w:pPr>
              <w:autoSpaceDE w:val="0"/>
              <w:autoSpaceDN w:val="0"/>
              <w:adjustRightInd w:val="0"/>
              <w:jc w:val="center"/>
              <w:rPr>
                <w:rFonts w:cs="Arial"/>
                <w:color w:val="000000" w:themeColor="text1"/>
                <w:sz w:val="20"/>
                <w:lang w:val="en-US"/>
              </w:rPr>
            </w:pPr>
            <w:r w:rsidRPr="009A5977">
              <w:rPr>
                <w:rFonts w:cs="Arial"/>
                <w:color w:val="000000" w:themeColor="text1"/>
                <w:sz w:val="20"/>
                <w:lang w:val="en-US"/>
              </w:rPr>
              <w:t>3.</w:t>
            </w:r>
          </w:p>
        </w:tc>
        <w:tc>
          <w:tcPr>
            <w:tcW w:w="2970" w:type="dxa"/>
          </w:tcPr>
          <w:p w:rsidR="00EC315B" w:rsidRPr="009A5977" w:rsidRDefault="00EC315B" w:rsidP="000E7C91">
            <w:pPr>
              <w:autoSpaceDE w:val="0"/>
              <w:autoSpaceDN w:val="0"/>
              <w:adjustRightInd w:val="0"/>
              <w:rPr>
                <w:rFonts w:cs="Arial"/>
                <w:color w:val="000000" w:themeColor="text1"/>
                <w:sz w:val="20"/>
                <w:lang w:val="en-US"/>
              </w:rPr>
            </w:pPr>
            <w:r w:rsidRPr="009A5977">
              <w:rPr>
                <w:rFonts w:cs="Arial"/>
                <w:color w:val="000000" w:themeColor="text1"/>
                <w:sz w:val="20"/>
                <w:lang w:val="en-US"/>
              </w:rPr>
              <w:t>Where profit on debt exceeds</w:t>
            </w:r>
          </w:p>
          <w:p w:rsidR="00EC315B" w:rsidRPr="009A5977" w:rsidRDefault="00EC315B" w:rsidP="000E7C91">
            <w:pPr>
              <w:autoSpaceDE w:val="0"/>
              <w:autoSpaceDN w:val="0"/>
              <w:adjustRightInd w:val="0"/>
              <w:rPr>
                <w:rFonts w:cs="Arial"/>
                <w:color w:val="000000" w:themeColor="text1"/>
                <w:sz w:val="20"/>
                <w:lang w:val="en-US"/>
              </w:rPr>
            </w:pPr>
            <w:r w:rsidRPr="009A5977">
              <w:rPr>
                <w:rFonts w:cs="Arial"/>
                <w:color w:val="000000" w:themeColor="text1"/>
                <w:sz w:val="20"/>
                <w:lang w:val="en-US"/>
              </w:rPr>
              <w:t>Rs 50,000,000</w:t>
            </w:r>
          </w:p>
          <w:p w:rsidR="00EC315B" w:rsidRPr="009A5977" w:rsidRDefault="00EC315B" w:rsidP="000E7C91">
            <w:pPr>
              <w:autoSpaceDE w:val="0"/>
              <w:autoSpaceDN w:val="0"/>
              <w:adjustRightInd w:val="0"/>
              <w:rPr>
                <w:rFonts w:cs="Arial"/>
                <w:color w:val="000000" w:themeColor="text1"/>
                <w:sz w:val="20"/>
                <w:lang w:val="en-US"/>
              </w:rPr>
            </w:pPr>
          </w:p>
        </w:tc>
        <w:tc>
          <w:tcPr>
            <w:tcW w:w="2520" w:type="dxa"/>
          </w:tcPr>
          <w:p w:rsidR="00EC315B" w:rsidRPr="009A5977" w:rsidRDefault="00EC315B" w:rsidP="000E7C91">
            <w:pPr>
              <w:autoSpaceDE w:val="0"/>
              <w:autoSpaceDN w:val="0"/>
              <w:adjustRightInd w:val="0"/>
              <w:rPr>
                <w:rFonts w:cs="Arial"/>
                <w:color w:val="000000" w:themeColor="text1"/>
                <w:sz w:val="20"/>
                <w:lang w:val="en-US"/>
              </w:rPr>
            </w:pPr>
            <w:r w:rsidRPr="009A5977">
              <w:rPr>
                <w:rFonts w:cs="Arial"/>
                <w:color w:val="000000" w:themeColor="text1"/>
                <w:sz w:val="20"/>
                <w:lang w:val="en-US"/>
              </w:rPr>
              <w:t>Rs 5,625,000 + 15% of</w:t>
            </w:r>
          </w:p>
          <w:p w:rsidR="00EC315B" w:rsidRPr="009A5977" w:rsidRDefault="00EC315B" w:rsidP="000E7C91">
            <w:pPr>
              <w:autoSpaceDE w:val="0"/>
              <w:autoSpaceDN w:val="0"/>
              <w:adjustRightInd w:val="0"/>
              <w:rPr>
                <w:rFonts w:cs="Arial"/>
                <w:color w:val="000000" w:themeColor="text1"/>
                <w:sz w:val="20"/>
                <w:lang w:val="en-US"/>
              </w:rPr>
            </w:pPr>
            <w:r w:rsidRPr="009A5977">
              <w:rPr>
                <w:rFonts w:cs="Arial"/>
                <w:color w:val="000000" w:themeColor="text1"/>
                <w:sz w:val="20"/>
                <w:lang w:val="en-US"/>
              </w:rPr>
              <w:t>the amount exceeding</w:t>
            </w:r>
          </w:p>
          <w:p w:rsidR="00EC315B" w:rsidRPr="009A5977" w:rsidRDefault="00EC315B" w:rsidP="000E7C91">
            <w:pPr>
              <w:jc w:val="both"/>
              <w:rPr>
                <w:color w:val="000000" w:themeColor="text1"/>
                <w:sz w:val="20"/>
              </w:rPr>
            </w:pPr>
            <w:r w:rsidRPr="009A5977">
              <w:rPr>
                <w:rFonts w:cs="Arial"/>
                <w:color w:val="000000" w:themeColor="text1"/>
                <w:sz w:val="20"/>
                <w:lang w:val="en-US"/>
              </w:rPr>
              <w:t>Rs 50,000,000]</w:t>
            </w:r>
          </w:p>
          <w:p w:rsidR="00EC315B" w:rsidRPr="009A5977" w:rsidRDefault="00EC315B" w:rsidP="000E7C91">
            <w:pPr>
              <w:autoSpaceDE w:val="0"/>
              <w:autoSpaceDN w:val="0"/>
              <w:adjustRightInd w:val="0"/>
              <w:jc w:val="center"/>
              <w:rPr>
                <w:rFonts w:cs="Arial"/>
                <w:color w:val="000000" w:themeColor="text1"/>
                <w:sz w:val="20"/>
                <w:lang w:val="en-US"/>
              </w:rPr>
            </w:pPr>
          </w:p>
        </w:tc>
      </w:tr>
    </w:tbl>
    <w:p w:rsidR="00866BF0" w:rsidRPr="00700F76" w:rsidRDefault="00866BF0" w:rsidP="00866BF0">
      <w:pPr>
        <w:autoSpaceDE w:val="0"/>
        <w:autoSpaceDN w:val="0"/>
        <w:adjustRightInd w:val="0"/>
        <w:ind w:left="2735" w:firstLine="547"/>
        <w:rPr>
          <w:rFonts w:cs="Arial"/>
          <w:color w:val="000000" w:themeColor="text1"/>
          <w:sz w:val="20"/>
          <w:lang w:val="en-US"/>
        </w:rPr>
      </w:pPr>
      <w:r w:rsidRPr="00700F76">
        <w:rPr>
          <w:rFonts w:cs="Arial"/>
          <w:color w:val="000000" w:themeColor="text1"/>
          <w:sz w:val="20"/>
          <w:lang w:val="en-US"/>
        </w:rPr>
        <w:t>TABLE</w:t>
      </w:r>
    </w:p>
    <w:p w:rsidR="00866BF0" w:rsidRPr="00866BF0" w:rsidRDefault="00866BF0" w:rsidP="00866BF0">
      <w:pPr>
        <w:autoSpaceDE w:val="0"/>
        <w:autoSpaceDN w:val="0"/>
        <w:adjustRightInd w:val="0"/>
        <w:rPr>
          <w:rFonts w:cs="Arial"/>
          <w:color w:val="984806" w:themeColor="accent6" w:themeShade="80"/>
          <w:sz w:val="20"/>
          <w:lang w:val="en-US"/>
        </w:rPr>
      </w:pPr>
    </w:p>
    <w:p w:rsidR="00700F76" w:rsidRDefault="00700F76" w:rsidP="00AA4BF8">
      <w:pPr>
        <w:pStyle w:val="Heading8"/>
        <w:rPr>
          <w:i w:val="0"/>
          <w:sz w:val="28"/>
          <w:szCs w:val="28"/>
        </w:rPr>
      </w:pPr>
    </w:p>
    <w:p w:rsidR="00700F76" w:rsidRPr="002F6BD9" w:rsidRDefault="003B548D" w:rsidP="00700F76">
      <w:pPr>
        <w:pStyle w:val="Heading2"/>
        <w:spacing w:line="240" w:lineRule="auto"/>
        <w:rPr>
          <w:rFonts w:cs="Arial"/>
          <w:color w:val="FF0000"/>
          <w:sz w:val="20"/>
        </w:rPr>
      </w:pPr>
      <w:r>
        <w:rPr>
          <w:rStyle w:val="FootnoteReference"/>
          <w:rFonts w:cs="Arial"/>
          <w:color w:val="FF0000"/>
          <w:sz w:val="20"/>
        </w:rPr>
        <w:footnoteReference w:id="1615"/>
      </w:r>
      <w:r w:rsidR="00700F76">
        <w:rPr>
          <w:rFonts w:cs="Arial"/>
          <w:color w:val="FF0000"/>
          <w:sz w:val="20"/>
        </w:rPr>
        <w:t>[</w:t>
      </w:r>
      <w:r w:rsidR="00700F76" w:rsidRPr="002F6BD9">
        <w:rPr>
          <w:rFonts w:cs="Arial"/>
          <w:color w:val="FF0000"/>
          <w:sz w:val="20"/>
        </w:rPr>
        <w:t>“Division IIIB</w:t>
      </w:r>
    </w:p>
    <w:p w:rsidR="00700F76" w:rsidRPr="002F6BD9" w:rsidRDefault="00700F76" w:rsidP="00700F76">
      <w:pPr>
        <w:pStyle w:val="Heading8"/>
        <w:rPr>
          <w:rFonts w:cs="Arial"/>
          <w:i w:val="0"/>
          <w:color w:val="FF0000"/>
          <w:sz w:val="20"/>
        </w:rPr>
      </w:pPr>
      <w:r w:rsidRPr="002F6BD9">
        <w:rPr>
          <w:rFonts w:cs="Arial"/>
          <w:i w:val="0"/>
          <w:color w:val="FF0000"/>
          <w:sz w:val="20"/>
        </w:rPr>
        <w:t xml:space="preserve">Rate of Tax on Return on investment in </w:t>
      </w:r>
      <w:r w:rsidRPr="002F6BD9">
        <w:rPr>
          <w:rFonts w:cs="Arial"/>
          <w:color w:val="FF0000"/>
          <w:sz w:val="20"/>
        </w:rPr>
        <w:t>sukuks</w:t>
      </w:r>
      <w:r>
        <w:rPr>
          <w:rFonts w:cs="Arial"/>
          <w:color w:val="FF0000"/>
          <w:sz w:val="20"/>
        </w:rPr>
        <w:t xml:space="preserve"> </w:t>
      </w:r>
      <w:r w:rsidRPr="002F6BD9">
        <w:rPr>
          <w:rFonts w:cs="Arial"/>
          <w:i w:val="0"/>
          <w:color w:val="FF0000"/>
          <w:sz w:val="20"/>
        </w:rPr>
        <w:t>received from a special purpose vehicle</w:t>
      </w:r>
    </w:p>
    <w:p w:rsidR="00700F76" w:rsidRPr="002F6BD9" w:rsidRDefault="00700F76" w:rsidP="00700F76">
      <w:pPr>
        <w:rPr>
          <w:rFonts w:cs="Arial"/>
          <w:color w:val="FF0000"/>
          <w:sz w:val="20"/>
        </w:rPr>
      </w:pPr>
    </w:p>
    <w:p w:rsidR="00700F76" w:rsidRPr="002F6BD9" w:rsidRDefault="00700F76" w:rsidP="00700F76">
      <w:pPr>
        <w:jc w:val="both"/>
        <w:rPr>
          <w:rFonts w:cs="Arial"/>
          <w:color w:val="FF0000"/>
          <w:sz w:val="20"/>
        </w:rPr>
      </w:pPr>
      <w:r w:rsidRPr="002F6BD9">
        <w:rPr>
          <w:rFonts w:cs="Arial"/>
          <w:color w:val="FF0000"/>
          <w:sz w:val="20"/>
        </w:rPr>
        <w:tab/>
        <w:t xml:space="preserve">The rate of tax imposed under section 5AA on return on investment in </w:t>
      </w:r>
      <w:r w:rsidRPr="002F6BD9">
        <w:rPr>
          <w:rFonts w:cs="Arial"/>
          <w:i/>
          <w:color w:val="FF0000"/>
          <w:sz w:val="20"/>
        </w:rPr>
        <w:t>sukuks</w:t>
      </w:r>
      <w:r w:rsidRPr="002F6BD9">
        <w:rPr>
          <w:rFonts w:cs="Arial"/>
          <w:color w:val="FF0000"/>
          <w:sz w:val="20"/>
        </w:rPr>
        <w:t xml:space="preserve"> received from a special purpose vehicle shall be-</w:t>
      </w:r>
    </w:p>
    <w:p w:rsidR="00700F76" w:rsidRPr="002F6BD9" w:rsidRDefault="00700F76" w:rsidP="00700F76">
      <w:pPr>
        <w:jc w:val="both"/>
        <w:rPr>
          <w:rFonts w:cs="Arial"/>
          <w:color w:val="FF0000"/>
          <w:sz w:val="20"/>
        </w:rPr>
      </w:pPr>
    </w:p>
    <w:p w:rsidR="00700F76" w:rsidRPr="002F6BD9" w:rsidRDefault="00700F76" w:rsidP="00700F76">
      <w:pPr>
        <w:pStyle w:val="ListParagraph"/>
        <w:numPr>
          <w:ilvl w:val="0"/>
          <w:numId w:val="102"/>
        </w:numPr>
        <w:ind w:left="990" w:hanging="450"/>
        <w:contextualSpacing/>
        <w:jc w:val="both"/>
        <w:rPr>
          <w:rFonts w:cs="Arial"/>
          <w:color w:val="FF0000"/>
          <w:sz w:val="20"/>
        </w:rPr>
      </w:pPr>
      <w:r w:rsidRPr="002F6BD9">
        <w:rPr>
          <w:rFonts w:cs="Arial"/>
          <w:color w:val="FF0000"/>
          <w:sz w:val="20"/>
        </w:rPr>
        <w:t xml:space="preserve">25% in the case the </w:t>
      </w:r>
      <w:r w:rsidRPr="002F6BD9">
        <w:rPr>
          <w:rFonts w:cs="Arial"/>
          <w:i/>
          <w:color w:val="FF0000"/>
          <w:sz w:val="20"/>
        </w:rPr>
        <w:t>sukuk</w:t>
      </w:r>
      <w:r w:rsidRPr="002F6BD9">
        <w:rPr>
          <w:rFonts w:cs="Arial"/>
          <w:color w:val="FF0000"/>
          <w:sz w:val="20"/>
        </w:rPr>
        <w:t xml:space="preserve">-holder is a company;  </w:t>
      </w:r>
    </w:p>
    <w:p w:rsidR="00700F76" w:rsidRPr="002F6BD9" w:rsidRDefault="00700F76" w:rsidP="00700F76">
      <w:pPr>
        <w:pStyle w:val="ListParagraph"/>
        <w:numPr>
          <w:ilvl w:val="0"/>
          <w:numId w:val="102"/>
        </w:numPr>
        <w:ind w:left="990" w:hanging="450"/>
        <w:contextualSpacing/>
        <w:jc w:val="both"/>
        <w:rPr>
          <w:rFonts w:cs="Arial"/>
          <w:color w:val="FF0000"/>
          <w:sz w:val="20"/>
        </w:rPr>
      </w:pPr>
      <w:r w:rsidRPr="002F6BD9">
        <w:rPr>
          <w:rFonts w:cs="Arial"/>
          <w:color w:val="FF0000"/>
          <w:sz w:val="20"/>
        </w:rPr>
        <w:t xml:space="preserve">12.5% in case the </w:t>
      </w:r>
      <w:r w:rsidRPr="002F6BD9">
        <w:rPr>
          <w:rFonts w:cs="Arial"/>
          <w:i/>
          <w:color w:val="FF0000"/>
          <w:sz w:val="20"/>
        </w:rPr>
        <w:t>sukuk</w:t>
      </w:r>
      <w:r w:rsidRPr="002F6BD9">
        <w:rPr>
          <w:rFonts w:cs="Arial"/>
          <w:color w:val="FF0000"/>
          <w:sz w:val="20"/>
        </w:rPr>
        <w:t>-holder is an individual or an association of person, if the return on investment is more than one million; and</w:t>
      </w:r>
    </w:p>
    <w:p w:rsidR="00700F76" w:rsidRPr="002F6BD9" w:rsidRDefault="00700F76" w:rsidP="00700F76">
      <w:pPr>
        <w:pStyle w:val="ListParagraph"/>
        <w:numPr>
          <w:ilvl w:val="0"/>
          <w:numId w:val="102"/>
        </w:numPr>
        <w:ind w:left="990" w:hanging="450"/>
        <w:contextualSpacing/>
        <w:jc w:val="both"/>
        <w:rPr>
          <w:rFonts w:cs="Arial"/>
          <w:color w:val="FF0000"/>
          <w:sz w:val="20"/>
        </w:rPr>
      </w:pPr>
      <w:r w:rsidRPr="002F6BD9">
        <w:rPr>
          <w:rFonts w:cs="Arial"/>
          <w:color w:val="FF0000"/>
          <w:sz w:val="20"/>
        </w:rPr>
        <w:t xml:space="preserve">10% in case the </w:t>
      </w:r>
      <w:r w:rsidRPr="002F6BD9">
        <w:rPr>
          <w:rFonts w:cs="Arial"/>
          <w:i/>
          <w:color w:val="FF0000"/>
          <w:sz w:val="20"/>
        </w:rPr>
        <w:t>sukuk</w:t>
      </w:r>
      <w:r w:rsidRPr="002F6BD9">
        <w:rPr>
          <w:rFonts w:cs="Arial"/>
          <w:color w:val="FF0000"/>
          <w:sz w:val="20"/>
        </w:rPr>
        <w:t>-holder is an individual and an association of person, if the return on investment is less than one million.”</w:t>
      </w:r>
      <w:r>
        <w:rPr>
          <w:rFonts w:cs="Arial"/>
          <w:color w:val="FF0000"/>
          <w:sz w:val="20"/>
        </w:rPr>
        <w:t>]</w:t>
      </w:r>
      <w:r w:rsidRPr="002F6BD9">
        <w:rPr>
          <w:rFonts w:cs="Arial"/>
          <w:color w:val="FF0000"/>
          <w:sz w:val="20"/>
        </w:rPr>
        <w:t xml:space="preserve"> </w:t>
      </w:r>
    </w:p>
    <w:p w:rsidR="00700F76" w:rsidRDefault="00700F76" w:rsidP="00AA4BF8">
      <w:pPr>
        <w:pStyle w:val="Heading8"/>
        <w:rPr>
          <w:i w:val="0"/>
          <w:sz w:val="28"/>
          <w:szCs w:val="28"/>
        </w:rPr>
      </w:pPr>
    </w:p>
    <w:p w:rsidR="00700F76" w:rsidRDefault="00700F76" w:rsidP="00AA4BF8">
      <w:pPr>
        <w:pStyle w:val="Heading8"/>
        <w:rPr>
          <w:i w:val="0"/>
          <w:sz w:val="28"/>
          <w:szCs w:val="28"/>
        </w:rPr>
      </w:pPr>
    </w:p>
    <w:p w:rsidR="00AA4BF8" w:rsidRPr="00412620" w:rsidRDefault="00AA4BF8" w:rsidP="00AA4BF8">
      <w:pPr>
        <w:pStyle w:val="Heading8"/>
        <w:rPr>
          <w:i w:val="0"/>
          <w:iCs/>
          <w:sz w:val="28"/>
          <w:szCs w:val="28"/>
        </w:rPr>
      </w:pPr>
      <w:r w:rsidRPr="00412620">
        <w:rPr>
          <w:i w:val="0"/>
          <w:sz w:val="28"/>
          <w:szCs w:val="28"/>
        </w:rPr>
        <w:t>Division IV</w:t>
      </w:r>
    </w:p>
    <w:p w:rsidR="00AA4BF8" w:rsidRPr="00412620" w:rsidRDefault="00AA4BF8" w:rsidP="00AA4BF8">
      <w:pPr>
        <w:pStyle w:val="Heading2"/>
        <w:spacing w:line="240" w:lineRule="auto"/>
        <w:rPr>
          <w:sz w:val="20"/>
        </w:rPr>
      </w:pPr>
      <w:r w:rsidRPr="00412620">
        <w:rPr>
          <w:sz w:val="20"/>
        </w:rPr>
        <w:t>Rate of Tax on Certain Payments to Non-residents</w:t>
      </w:r>
    </w:p>
    <w:p w:rsidR="00AA4BF8" w:rsidRPr="00412620" w:rsidRDefault="00AA4BF8" w:rsidP="00AA4BF8">
      <w:pPr>
        <w:pStyle w:val="Header"/>
        <w:keepNext/>
        <w:tabs>
          <w:tab w:val="left" w:pos="547"/>
        </w:tabs>
        <w:rPr>
          <w:sz w:val="20"/>
        </w:rPr>
      </w:pPr>
    </w:p>
    <w:p w:rsidR="00AA4BF8" w:rsidRPr="00412620" w:rsidRDefault="00AA4BF8" w:rsidP="00AA4BF8">
      <w:pPr>
        <w:jc w:val="both"/>
        <w:rPr>
          <w:sz w:val="20"/>
        </w:rPr>
      </w:pPr>
      <w:r w:rsidRPr="00412620">
        <w:rPr>
          <w:sz w:val="20"/>
        </w:rPr>
        <w:tab/>
        <w:t>The rate of tax imposed under section 6 on payments to non-residents shall be 15% of the gross amount of the royalty or fee for technical services.</w:t>
      </w:r>
    </w:p>
    <w:p w:rsidR="00AA4BF8" w:rsidRPr="00412620" w:rsidRDefault="00AA4BF8" w:rsidP="00AA4BF8">
      <w:pPr>
        <w:rPr>
          <w:sz w:val="20"/>
        </w:rPr>
      </w:pPr>
    </w:p>
    <w:p w:rsidR="00AA4BF8" w:rsidRPr="00412620" w:rsidRDefault="00AA4BF8" w:rsidP="00AA4BF8">
      <w:pPr>
        <w:pStyle w:val="Heading8"/>
        <w:rPr>
          <w:i w:val="0"/>
          <w:iCs/>
          <w:sz w:val="28"/>
          <w:szCs w:val="28"/>
        </w:rPr>
      </w:pPr>
      <w:r w:rsidRPr="00412620">
        <w:rPr>
          <w:i w:val="0"/>
          <w:sz w:val="28"/>
          <w:szCs w:val="28"/>
        </w:rPr>
        <w:lastRenderedPageBreak/>
        <w:t>Division V</w:t>
      </w:r>
    </w:p>
    <w:p w:rsidR="00AA4BF8" w:rsidRPr="00412620" w:rsidRDefault="00AA4BF8" w:rsidP="00AA4BF8">
      <w:pPr>
        <w:keepNext/>
        <w:jc w:val="center"/>
        <w:rPr>
          <w:b/>
          <w:bCs/>
          <w:sz w:val="20"/>
        </w:rPr>
      </w:pPr>
      <w:r w:rsidRPr="00412620">
        <w:rPr>
          <w:b/>
          <w:bCs/>
          <w:sz w:val="20"/>
        </w:rPr>
        <w:t xml:space="preserve">Rate of Tax on Shipping or Air Transport Income </w:t>
      </w:r>
    </w:p>
    <w:p w:rsidR="00AA4BF8" w:rsidRPr="00412620" w:rsidRDefault="00AA4BF8" w:rsidP="00AA4BF8">
      <w:pPr>
        <w:keepNext/>
        <w:jc w:val="center"/>
        <w:rPr>
          <w:b/>
          <w:bCs/>
          <w:sz w:val="20"/>
        </w:rPr>
      </w:pPr>
      <w:r w:rsidRPr="00412620">
        <w:rPr>
          <w:b/>
          <w:bCs/>
          <w:sz w:val="20"/>
        </w:rPr>
        <w:t>of a Non-resident Person</w:t>
      </w:r>
    </w:p>
    <w:p w:rsidR="00AA4BF8" w:rsidRPr="00412620" w:rsidRDefault="00AA4BF8" w:rsidP="00AA4BF8">
      <w:pPr>
        <w:pStyle w:val="CommentText"/>
        <w:keepNext/>
      </w:pPr>
    </w:p>
    <w:p w:rsidR="00AA4BF8" w:rsidRPr="00412620" w:rsidRDefault="00AA4BF8" w:rsidP="00AA4BF8">
      <w:pPr>
        <w:pStyle w:val="Header"/>
        <w:tabs>
          <w:tab w:val="left" w:pos="547"/>
        </w:tabs>
        <w:rPr>
          <w:sz w:val="20"/>
        </w:rPr>
      </w:pPr>
      <w:r w:rsidRPr="00412620">
        <w:rPr>
          <w:sz w:val="20"/>
        </w:rPr>
        <w:tab/>
        <w:t>The rate of tax imposed under section 7 shall be –</w:t>
      </w:r>
    </w:p>
    <w:p w:rsidR="00AA4BF8" w:rsidRPr="00412620" w:rsidRDefault="00AA4BF8" w:rsidP="00AA4BF8">
      <w:pPr>
        <w:rPr>
          <w:sz w:val="20"/>
        </w:rPr>
      </w:pPr>
    </w:p>
    <w:p w:rsidR="00AA4BF8" w:rsidRPr="00412620" w:rsidRDefault="00AA4BF8" w:rsidP="00AA4BF8">
      <w:pPr>
        <w:ind w:left="1634" w:hanging="540"/>
        <w:jc w:val="both"/>
        <w:rPr>
          <w:sz w:val="20"/>
        </w:rPr>
      </w:pPr>
      <w:r w:rsidRPr="00412620">
        <w:rPr>
          <w:sz w:val="20"/>
        </w:rPr>
        <w:t>(a)</w:t>
      </w:r>
      <w:r w:rsidRPr="00412620">
        <w:rPr>
          <w:sz w:val="20"/>
        </w:rPr>
        <w:tab/>
        <w:t>in the case of shipping income, 8% of the gross amount received or receivable; or</w:t>
      </w:r>
    </w:p>
    <w:p w:rsidR="00AA4BF8" w:rsidRPr="00412620" w:rsidRDefault="00AA4BF8" w:rsidP="00AA4BF8">
      <w:pPr>
        <w:jc w:val="both"/>
        <w:rPr>
          <w:sz w:val="12"/>
          <w:szCs w:val="12"/>
        </w:rPr>
      </w:pPr>
    </w:p>
    <w:p w:rsidR="00AA4BF8" w:rsidRDefault="00AA4BF8" w:rsidP="00AA4BF8">
      <w:pPr>
        <w:ind w:left="1634" w:hanging="540"/>
        <w:jc w:val="both"/>
        <w:rPr>
          <w:sz w:val="20"/>
        </w:rPr>
      </w:pPr>
      <w:r w:rsidRPr="00412620">
        <w:rPr>
          <w:sz w:val="20"/>
        </w:rPr>
        <w:t>(b)</w:t>
      </w:r>
      <w:r w:rsidRPr="00412620">
        <w:rPr>
          <w:sz w:val="20"/>
        </w:rPr>
        <w:tab/>
        <w:t>in the case of air transport income, 3% of the gross amount received or receivable.</w:t>
      </w:r>
    </w:p>
    <w:p w:rsidR="00D17DC1" w:rsidRPr="00412620" w:rsidRDefault="00D17DC1" w:rsidP="00AA4BF8">
      <w:pPr>
        <w:ind w:left="1634" w:hanging="540"/>
        <w:jc w:val="both"/>
        <w:rPr>
          <w:sz w:val="20"/>
        </w:rPr>
      </w:pPr>
    </w:p>
    <w:p w:rsidR="00AA4BF8" w:rsidRDefault="00AA4BF8" w:rsidP="00AA4BF8">
      <w:pPr>
        <w:rPr>
          <w:sz w:val="14"/>
          <w:szCs w:val="14"/>
        </w:rPr>
      </w:pPr>
    </w:p>
    <w:p w:rsidR="00D17DC1" w:rsidRDefault="00D17DC1" w:rsidP="00AA4BF8">
      <w:pPr>
        <w:rPr>
          <w:sz w:val="14"/>
          <w:szCs w:val="14"/>
        </w:rPr>
      </w:pPr>
    </w:p>
    <w:p w:rsidR="00D17DC1" w:rsidRPr="0009763F" w:rsidRDefault="009F17C0" w:rsidP="00D17DC1">
      <w:pPr>
        <w:ind w:left="2735"/>
        <w:rPr>
          <w:rFonts w:cs="Arial"/>
          <w:b/>
          <w:color w:val="0070C0"/>
          <w:szCs w:val="24"/>
        </w:rPr>
      </w:pPr>
      <w:r w:rsidRPr="0009763F">
        <w:rPr>
          <w:rStyle w:val="FootnoteReference"/>
          <w:rFonts w:cs="Arial"/>
          <w:b/>
          <w:color w:val="0070C0"/>
          <w:szCs w:val="24"/>
        </w:rPr>
        <w:footnoteReference w:id="1616"/>
      </w:r>
      <w:r w:rsidR="00D17DC1" w:rsidRPr="0009763F">
        <w:rPr>
          <w:rFonts w:cs="Arial"/>
          <w:b/>
          <w:color w:val="0070C0"/>
          <w:szCs w:val="24"/>
        </w:rPr>
        <w:t>[“Division VIA</w:t>
      </w:r>
    </w:p>
    <w:p w:rsidR="00D17DC1" w:rsidRPr="0009763F" w:rsidRDefault="00D17DC1" w:rsidP="00D17DC1">
      <w:pPr>
        <w:ind w:left="2160"/>
        <w:rPr>
          <w:rFonts w:cs="Arial"/>
          <w:b/>
          <w:bCs/>
          <w:color w:val="0070C0"/>
          <w:sz w:val="20"/>
        </w:rPr>
      </w:pPr>
      <w:r w:rsidRPr="0009763F">
        <w:rPr>
          <w:rFonts w:cs="Arial"/>
          <w:b/>
          <w:bCs/>
          <w:color w:val="0070C0"/>
          <w:sz w:val="20"/>
        </w:rPr>
        <w:t>INCOME FROM PROPERTY</w:t>
      </w:r>
    </w:p>
    <w:p w:rsidR="00D17DC1" w:rsidRPr="0009763F" w:rsidRDefault="00D17DC1" w:rsidP="00D17DC1">
      <w:pPr>
        <w:ind w:left="2160"/>
        <w:rPr>
          <w:rFonts w:cs="Arial"/>
          <w:b/>
          <w:bCs/>
          <w:color w:val="0070C0"/>
          <w:sz w:val="20"/>
        </w:rPr>
      </w:pPr>
    </w:p>
    <w:p w:rsidR="00D17DC1" w:rsidRPr="0009763F" w:rsidRDefault="00D17DC1" w:rsidP="00D17DC1">
      <w:pPr>
        <w:ind w:left="630" w:hanging="90"/>
        <w:jc w:val="center"/>
        <w:rPr>
          <w:rFonts w:cs="Arial"/>
          <w:color w:val="0070C0"/>
          <w:sz w:val="20"/>
        </w:rPr>
      </w:pPr>
      <w:r w:rsidRPr="0009763F">
        <w:rPr>
          <w:rFonts w:cs="Arial"/>
          <w:color w:val="0070C0"/>
          <w:sz w:val="20"/>
        </w:rPr>
        <w:t>The rate of tax to be paid under section 15, in the case of individual and association of persons, shall be as follows:-</w:t>
      </w:r>
    </w:p>
    <w:p w:rsidR="00D17DC1" w:rsidRPr="0009763F" w:rsidRDefault="00D17DC1" w:rsidP="00D17DC1">
      <w:pPr>
        <w:ind w:left="2160"/>
        <w:jc w:val="center"/>
        <w:rPr>
          <w:rFonts w:cs="Arial"/>
          <w:color w:val="0070C0"/>
          <w:sz w:val="20"/>
        </w:rPr>
      </w:pPr>
    </w:p>
    <w:tbl>
      <w:tblPr>
        <w:tblW w:w="6750" w:type="dxa"/>
        <w:tblInd w:w="648" w:type="dxa"/>
        <w:tblLayout w:type="fixed"/>
        <w:tblLook w:val="01E0"/>
      </w:tblPr>
      <w:tblGrid>
        <w:gridCol w:w="1080"/>
        <w:gridCol w:w="3240"/>
        <w:gridCol w:w="2430"/>
      </w:tblGrid>
      <w:tr w:rsidR="00D17DC1" w:rsidRPr="0009763F" w:rsidTr="00D17DC1">
        <w:tc>
          <w:tcPr>
            <w:tcW w:w="1080" w:type="dxa"/>
            <w:tcBorders>
              <w:top w:val="single" w:sz="4" w:space="0" w:color="auto"/>
              <w:bottom w:val="single" w:sz="4" w:space="0" w:color="auto"/>
            </w:tcBorders>
          </w:tcPr>
          <w:p w:rsidR="00D17DC1" w:rsidRPr="0009763F" w:rsidRDefault="00D17DC1" w:rsidP="00964D04">
            <w:pPr>
              <w:jc w:val="center"/>
              <w:rPr>
                <w:rFonts w:cs="Arial"/>
                <w:b/>
                <w:bCs/>
                <w:color w:val="0070C0"/>
                <w:sz w:val="20"/>
              </w:rPr>
            </w:pPr>
            <w:r w:rsidRPr="0009763F">
              <w:rPr>
                <w:rFonts w:cs="Arial"/>
                <w:b/>
                <w:bCs/>
                <w:color w:val="0070C0"/>
                <w:sz w:val="20"/>
              </w:rPr>
              <w:t>S.No.</w:t>
            </w:r>
          </w:p>
        </w:tc>
        <w:tc>
          <w:tcPr>
            <w:tcW w:w="3240" w:type="dxa"/>
            <w:tcBorders>
              <w:top w:val="single" w:sz="4" w:space="0" w:color="auto"/>
              <w:bottom w:val="single" w:sz="4" w:space="0" w:color="auto"/>
            </w:tcBorders>
          </w:tcPr>
          <w:p w:rsidR="00D17DC1" w:rsidRPr="0009763F" w:rsidRDefault="00D17DC1" w:rsidP="00964D04">
            <w:pPr>
              <w:ind w:right="252"/>
              <w:jc w:val="center"/>
              <w:rPr>
                <w:rFonts w:cs="Arial"/>
                <w:b/>
                <w:bCs/>
                <w:color w:val="0070C0"/>
                <w:sz w:val="20"/>
              </w:rPr>
            </w:pPr>
            <w:r w:rsidRPr="0009763F">
              <w:rPr>
                <w:rFonts w:cs="Arial"/>
                <w:b/>
                <w:bCs/>
                <w:color w:val="0070C0"/>
                <w:sz w:val="20"/>
              </w:rPr>
              <w:t>Gross amount of rent</w:t>
            </w:r>
          </w:p>
        </w:tc>
        <w:tc>
          <w:tcPr>
            <w:tcW w:w="2430" w:type="dxa"/>
            <w:tcBorders>
              <w:top w:val="single" w:sz="4" w:space="0" w:color="auto"/>
              <w:bottom w:val="single" w:sz="4" w:space="0" w:color="auto"/>
            </w:tcBorders>
          </w:tcPr>
          <w:p w:rsidR="00D17DC1" w:rsidRPr="0009763F" w:rsidRDefault="00D17DC1" w:rsidP="00964D04">
            <w:pPr>
              <w:jc w:val="center"/>
              <w:rPr>
                <w:rFonts w:cs="Arial"/>
                <w:b/>
                <w:bCs/>
                <w:color w:val="0070C0"/>
                <w:sz w:val="20"/>
              </w:rPr>
            </w:pPr>
            <w:r w:rsidRPr="0009763F">
              <w:rPr>
                <w:rFonts w:cs="Arial"/>
                <w:b/>
                <w:bCs/>
                <w:color w:val="0070C0"/>
                <w:sz w:val="20"/>
              </w:rPr>
              <w:t>Rate of tax</w:t>
            </w:r>
          </w:p>
        </w:tc>
      </w:tr>
      <w:tr w:rsidR="00D17DC1" w:rsidRPr="0009763F" w:rsidTr="00D17DC1">
        <w:tc>
          <w:tcPr>
            <w:tcW w:w="1080" w:type="dxa"/>
            <w:tcBorders>
              <w:top w:val="single" w:sz="4" w:space="0" w:color="auto"/>
              <w:bottom w:val="single" w:sz="4" w:space="0" w:color="auto"/>
            </w:tcBorders>
          </w:tcPr>
          <w:p w:rsidR="00D17DC1" w:rsidRPr="0009763F" w:rsidRDefault="00D17DC1" w:rsidP="00964D04">
            <w:pPr>
              <w:jc w:val="center"/>
              <w:rPr>
                <w:rFonts w:cs="Arial"/>
                <w:b/>
                <w:bCs/>
                <w:color w:val="0070C0"/>
                <w:sz w:val="20"/>
              </w:rPr>
            </w:pPr>
            <w:r w:rsidRPr="0009763F">
              <w:rPr>
                <w:rFonts w:cs="Arial"/>
                <w:b/>
                <w:bCs/>
                <w:color w:val="0070C0"/>
                <w:sz w:val="20"/>
              </w:rPr>
              <w:t>(1)</w:t>
            </w:r>
          </w:p>
        </w:tc>
        <w:tc>
          <w:tcPr>
            <w:tcW w:w="3240" w:type="dxa"/>
            <w:tcBorders>
              <w:top w:val="single" w:sz="4" w:space="0" w:color="auto"/>
              <w:bottom w:val="single" w:sz="4" w:space="0" w:color="auto"/>
            </w:tcBorders>
          </w:tcPr>
          <w:p w:rsidR="00D17DC1" w:rsidRPr="0009763F" w:rsidRDefault="00D17DC1" w:rsidP="00964D04">
            <w:pPr>
              <w:ind w:right="252"/>
              <w:jc w:val="center"/>
              <w:rPr>
                <w:rFonts w:cs="Arial"/>
                <w:b/>
                <w:bCs/>
                <w:color w:val="0070C0"/>
                <w:sz w:val="20"/>
              </w:rPr>
            </w:pPr>
            <w:r w:rsidRPr="0009763F">
              <w:rPr>
                <w:rFonts w:cs="Arial"/>
                <w:b/>
                <w:bCs/>
                <w:color w:val="0070C0"/>
                <w:sz w:val="20"/>
              </w:rPr>
              <w:t>(2)</w:t>
            </w:r>
          </w:p>
        </w:tc>
        <w:tc>
          <w:tcPr>
            <w:tcW w:w="2430" w:type="dxa"/>
            <w:tcBorders>
              <w:top w:val="single" w:sz="4" w:space="0" w:color="auto"/>
              <w:bottom w:val="single" w:sz="4" w:space="0" w:color="auto"/>
            </w:tcBorders>
          </w:tcPr>
          <w:p w:rsidR="00D17DC1" w:rsidRPr="0009763F" w:rsidRDefault="00D17DC1" w:rsidP="00964D04">
            <w:pPr>
              <w:jc w:val="center"/>
              <w:rPr>
                <w:rFonts w:cs="Arial"/>
                <w:b/>
                <w:bCs/>
                <w:color w:val="0070C0"/>
                <w:sz w:val="20"/>
              </w:rPr>
            </w:pPr>
            <w:r w:rsidRPr="0009763F">
              <w:rPr>
                <w:rFonts w:cs="Arial"/>
                <w:b/>
                <w:bCs/>
                <w:color w:val="0070C0"/>
                <w:sz w:val="20"/>
              </w:rPr>
              <w:t>(3)</w:t>
            </w:r>
          </w:p>
        </w:tc>
      </w:tr>
      <w:tr w:rsidR="00D17DC1" w:rsidRPr="0009763F" w:rsidTr="00D17DC1">
        <w:tc>
          <w:tcPr>
            <w:tcW w:w="1080" w:type="dxa"/>
            <w:tcBorders>
              <w:top w:val="single" w:sz="4" w:space="0" w:color="auto"/>
            </w:tcBorders>
          </w:tcPr>
          <w:p w:rsidR="00D17DC1" w:rsidRPr="0009763F" w:rsidRDefault="00D17DC1" w:rsidP="00964D04">
            <w:pPr>
              <w:jc w:val="center"/>
              <w:rPr>
                <w:rFonts w:cs="Arial"/>
                <w:color w:val="0070C0"/>
                <w:sz w:val="20"/>
              </w:rPr>
            </w:pPr>
            <w:r w:rsidRPr="0009763F">
              <w:rPr>
                <w:rFonts w:cs="Arial"/>
                <w:color w:val="0070C0"/>
                <w:sz w:val="20"/>
              </w:rPr>
              <w:t>1.</w:t>
            </w:r>
          </w:p>
        </w:tc>
        <w:tc>
          <w:tcPr>
            <w:tcW w:w="3240" w:type="dxa"/>
            <w:tcBorders>
              <w:top w:val="single" w:sz="4" w:space="0" w:color="auto"/>
            </w:tcBorders>
          </w:tcPr>
          <w:p w:rsidR="00D17DC1" w:rsidRPr="0009763F" w:rsidRDefault="00D17DC1" w:rsidP="00964D04">
            <w:pPr>
              <w:ind w:right="252"/>
              <w:jc w:val="both"/>
              <w:rPr>
                <w:rFonts w:cs="Arial"/>
                <w:color w:val="0070C0"/>
                <w:sz w:val="20"/>
              </w:rPr>
            </w:pPr>
            <w:r w:rsidRPr="0009763F">
              <w:rPr>
                <w:rFonts w:cs="Arial"/>
                <w:color w:val="0070C0"/>
                <w:sz w:val="20"/>
              </w:rPr>
              <w:t>Where the gross amount of rent does not exceed Rs.200,000.</w:t>
            </w:r>
          </w:p>
          <w:p w:rsidR="00D17DC1" w:rsidRPr="0009763F" w:rsidRDefault="00D17DC1" w:rsidP="00964D04">
            <w:pPr>
              <w:ind w:right="252"/>
              <w:jc w:val="both"/>
              <w:rPr>
                <w:rFonts w:cs="Arial"/>
                <w:color w:val="0070C0"/>
                <w:sz w:val="20"/>
              </w:rPr>
            </w:pPr>
          </w:p>
        </w:tc>
        <w:tc>
          <w:tcPr>
            <w:tcW w:w="2430" w:type="dxa"/>
            <w:tcBorders>
              <w:top w:val="single" w:sz="4" w:space="0" w:color="auto"/>
            </w:tcBorders>
          </w:tcPr>
          <w:p w:rsidR="00D17DC1" w:rsidRPr="0009763F" w:rsidRDefault="00D17DC1" w:rsidP="00964D04">
            <w:pPr>
              <w:jc w:val="both"/>
              <w:rPr>
                <w:rFonts w:cs="Arial"/>
                <w:color w:val="0070C0"/>
                <w:sz w:val="20"/>
              </w:rPr>
            </w:pPr>
            <w:r w:rsidRPr="0009763F">
              <w:rPr>
                <w:rFonts w:cs="Arial"/>
                <w:color w:val="0070C0"/>
                <w:sz w:val="20"/>
              </w:rPr>
              <w:t>Nil</w:t>
            </w:r>
          </w:p>
        </w:tc>
      </w:tr>
      <w:tr w:rsidR="00D17DC1" w:rsidRPr="0009763F" w:rsidTr="00D17DC1">
        <w:tc>
          <w:tcPr>
            <w:tcW w:w="1080" w:type="dxa"/>
          </w:tcPr>
          <w:p w:rsidR="00D17DC1" w:rsidRPr="0009763F" w:rsidRDefault="00D17DC1" w:rsidP="00964D04">
            <w:pPr>
              <w:jc w:val="center"/>
              <w:rPr>
                <w:rFonts w:cs="Arial"/>
                <w:color w:val="0070C0"/>
                <w:sz w:val="20"/>
              </w:rPr>
            </w:pPr>
            <w:r w:rsidRPr="0009763F">
              <w:rPr>
                <w:rFonts w:cs="Arial"/>
                <w:color w:val="0070C0"/>
                <w:sz w:val="20"/>
              </w:rPr>
              <w:t>2.</w:t>
            </w:r>
          </w:p>
        </w:tc>
        <w:tc>
          <w:tcPr>
            <w:tcW w:w="3240" w:type="dxa"/>
          </w:tcPr>
          <w:p w:rsidR="00D17DC1" w:rsidRPr="0009763F" w:rsidRDefault="00D17DC1" w:rsidP="00964D04">
            <w:pPr>
              <w:ind w:right="252"/>
              <w:jc w:val="both"/>
              <w:rPr>
                <w:rFonts w:cs="Arial"/>
                <w:color w:val="0070C0"/>
                <w:sz w:val="20"/>
              </w:rPr>
            </w:pPr>
            <w:r w:rsidRPr="0009763F">
              <w:rPr>
                <w:rFonts w:cs="Arial"/>
                <w:color w:val="0070C0"/>
                <w:sz w:val="20"/>
              </w:rPr>
              <w:t>Where the gross amount of rent exceeds Rs.200,000 but does not exceed Rs.600,000.</w:t>
            </w:r>
          </w:p>
        </w:tc>
        <w:tc>
          <w:tcPr>
            <w:tcW w:w="2430" w:type="dxa"/>
          </w:tcPr>
          <w:p w:rsidR="00D17DC1" w:rsidRPr="0009763F" w:rsidRDefault="00D17DC1" w:rsidP="00D17DC1">
            <w:pPr>
              <w:ind w:right="-18"/>
              <w:jc w:val="both"/>
              <w:rPr>
                <w:rFonts w:cs="Arial"/>
                <w:color w:val="0070C0"/>
                <w:sz w:val="20"/>
              </w:rPr>
            </w:pPr>
            <w:r w:rsidRPr="0009763F">
              <w:rPr>
                <w:rFonts w:cs="Arial"/>
                <w:color w:val="0070C0"/>
                <w:sz w:val="20"/>
              </w:rPr>
              <w:t>5 per cent of the gross amount exceeding Rs.200,000.</w:t>
            </w:r>
          </w:p>
          <w:p w:rsidR="00D17DC1" w:rsidRPr="0009763F" w:rsidRDefault="00D17DC1" w:rsidP="00D17DC1">
            <w:pPr>
              <w:ind w:right="792"/>
              <w:jc w:val="both"/>
              <w:rPr>
                <w:rFonts w:cs="Arial"/>
                <w:color w:val="0070C0"/>
                <w:sz w:val="20"/>
              </w:rPr>
            </w:pPr>
          </w:p>
        </w:tc>
      </w:tr>
      <w:tr w:rsidR="00D17DC1" w:rsidRPr="0009763F" w:rsidTr="00D17DC1">
        <w:tc>
          <w:tcPr>
            <w:tcW w:w="1080" w:type="dxa"/>
          </w:tcPr>
          <w:p w:rsidR="00D17DC1" w:rsidRPr="0009763F" w:rsidRDefault="00D17DC1" w:rsidP="00964D04">
            <w:pPr>
              <w:jc w:val="center"/>
              <w:rPr>
                <w:rFonts w:cs="Arial"/>
                <w:color w:val="0070C0"/>
                <w:sz w:val="20"/>
              </w:rPr>
            </w:pPr>
            <w:r w:rsidRPr="0009763F">
              <w:rPr>
                <w:rFonts w:cs="Arial"/>
                <w:color w:val="0070C0"/>
                <w:sz w:val="20"/>
              </w:rPr>
              <w:t>3.</w:t>
            </w:r>
          </w:p>
        </w:tc>
        <w:tc>
          <w:tcPr>
            <w:tcW w:w="3240" w:type="dxa"/>
          </w:tcPr>
          <w:p w:rsidR="00D17DC1" w:rsidRPr="0009763F" w:rsidRDefault="00D17DC1" w:rsidP="00964D04">
            <w:pPr>
              <w:ind w:right="252"/>
              <w:jc w:val="both"/>
              <w:rPr>
                <w:rFonts w:cs="Arial"/>
                <w:color w:val="0070C0"/>
                <w:sz w:val="20"/>
              </w:rPr>
            </w:pPr>
            <w:r w:rsidRPr="0009763F">
              <w:rPr>
                <w:rFonts w:cs="Arial"/>
                <w:color w:val="0070C0"/>
                <w:sz w:val="20"/>
              </w:rPr>
              <w:t>Where the gross amount of rent exceeds Rs.600,000 but does not exceed Rs.1,000,000.</w:t>
            </w:r>
          </w:p>
        </w:tc>
        <w:tc>
          <w:tcPr>
            <w:tcW w:w="2430" w:type="dxa"/>
          </w:tcPr>
          <w:p w:rsidR="00D17DC1" w:rsidRPr="0009763F" w:rsidRDefault="00D17DC1" w:rsidP="00964D04">
            <w:pPr>
              <w:jc w:val="both"/>
              <w:rPr>
                <w:rFonts w:cs="Arial"/>
                <w:color w:val="0070C0"/>
                <w:sz w:val="20"/>
              </w:rPr>
            </w:pPr>
            <w:r w:rsidRPr="0009763F">
              <w:rPr>
                <w:rFonts w:cs="Arial"/>
                <w:color w:val="0070C0"/>
                <w:sz w:val="20"/>
              </w:rPr>
              <w:t>Rs.20,000 plus 10 per cent of the gross amount exceeding Rs.600,000.</w:t>
            </w:r>
          </w:p>
          <w:p w:rsidR="00D17DC1" w:rsidRPr="0009763F" w:rsidRDefault="00D17DC1" w:rsidP="00964D04">
            <w:pPr>
              <w:jc w:val="both"/>
              <w:rPr>
                <w:rFonts w:cs="Arial"/>
                <w:color w:val="0070C0"/>
                <w:sz w:val="20"/>
              </w:rPr>
            </w:pPr>
          </w:p>
        </w:tc>
      </w:tr>
      <w:tr w:rsidR="00D17DC1" w:rsidRPr="0009763F" w:rsidTr="00D17DC1">
        <w:tc>
          <w:tcPr>
            <w:tcW w:w="1080" w:type="dxa"/>
          </w:tcPr>
          <w:p w:rsidR="00D17DC1" w:rsidRPr="0009763F" w:rsidRDefault="00D17DC1" w:rsidP="00964D04">
            <w:pPr>
              <w:jc w:val="center"/>
              <w:rPr>
                <w:rFonts w:cs="Arial"/>
                <w:color w:val="0070C0"/>
                <w:sz w:val="20"/>
              </w:rPr>
            </w:pPr>
            <w:r w:rsidRPr="0009763F">
              <w:rPr>
                <w:rFonts w:cs="Arial"/>
                <w:color w:val="0070C0"/>
                <w:sz w:val="20"/>
              </w:rPr>
              <w:t>4.</w:t>
            </w:r>
          </w:p>
        </w:tc>
        <w:tc>
          <w:tcPr>
            <w:tcW w:w="3240" w:type="dxa"/>
          </w:tcPr>
          <w:p w:rsidR="00D17DC1" w:rsidRPr="0009763F" w:rsidRDefault="00D17DC1" w:rsidP="00964D04">
            <w:pPr>
              <w:ind w:right="252"/>
              <w:jc w:val="both"/>
              <w:rPr>
                <w:rFonts w:cs="Arial"/>
                <w:color w:val="0070C0"/>
                <w:sz w:val="20"/>
              </w:rPr>
            </w:pPr>
            <w:r w:rsidRPr="0009763F">
              <w:rPr>
                <w:rFonts w:cs="Arial"/>
                <w:color w:val="0070C0"/>
                <w:sz w:val="20"/>
              </w:rPr>
              <w:t>Where the gross amount of rent exceeds Rs.1,000,000 but does not exceed Rs.2,000,000.</w:t>
            </w:r>
          </w:p>
        </w:tc>
        <w:tc>
          <w:tcPr>
            <w:tcW w:w="2430" w:type="dxa"/>
          </w:tcPr>
          <w:p w:rsidR="00D17DC1" w:rsidRPr="0009763F" w:rsidRDefault="00D17DC1" w:rsidP="00964D04">
            <w:pPr>
              <w:jc w:val="both"/>
              <w:rPr>
                <w:rFonts w:cs="Arial"/>
                <w:color w:val="0070C0"/>
                <w:sz w:val="20"/>
              </w:rPr>
            </w:pPr>
            <w:r w:rsidRPr="0009763F">
              <w:rPr>
                <w:rFonts w:cs="Arial"/>
                <w:color w:val="0070C0"/>
                <w:sz w:val="20"/>
              </w:rPr>
              <w:t>Rs.60,000 plus 15 per cent of the gross amount exceeding Rs.1,000,000.</w:t>
            </w:r>
          </w:p>
          <w:p w:rsidR="00D17DC1" w:rsidRPr="0009763F" w:rsidRDefault="00D17DC1" w:rsidP="00964D04">
            <w:pPr>
              <w:jc w:val="both"/>
              <w:rPr>
                <w:rFonts w:cs="Arial"/>
                <w:color w:val="0070C0"/>
                <w:sz w:val="20"/>
              </w:rPr>
            </w:pPr>
          </w:p>
        </w:tc>
      </w:tr>
      <w:tr w:rsidR="00D17DC1" w:rsidRPr="0009763F" w:rsidTr="00D17DC1">
        <w:tc>
          <w:tcPr>
            <w:tcW w:w="1080" w:type="dxa"/>
          </w:tcPr>
          <w:p w:rsidR="00D17DC1" w:rsidRPr="0009763F" w:rsidRDefault="00D17DC1" w:rsidP="00964D04">
            <w:pPr>
              <w:jc w:val="center"/>
              <w:rPr>
                <w:rFonts w:cs="Arial"/>
                <w:color w:val="0070C0"/>
                <w:sz w:val="20"/>
              </w:rPr>
            </w:pPr>
            <w:r w:rsidRPr="0009763F">
              <w:rPr>
                <w:rFonts w:cs="Arial"/>
                <w:color w:val="0070C0"/>
                <w:sz w:val="20"/>
              </w:rPr>
              <w:t>5.</w:t>
            </w:r>
          </w:p>
        </w:tc>
        <w:tc>
          <w:tcPr>
            <w:tcW w:w="3240" w:type="dxa"/>
          </w:tcPr>
          <w:p w:rsidR="00D17DC1" w:rsidRPr="0009763F" w:rsidRDefault="00D17DC1" w:rsidP="00964D04">
            <w:pPr>
              <w:ind w:right="252"/>
              <w:jc w:val="both"/>
              <w:rPr>
                <w:rFonts w:cs="Arial"/>
                <w:color w:val="0070C0"/>
                <w:sz w:val="20"/>
              </w:rPr>
            </w:pPr>
            <w:r w:rsidRPr="0009763F">
              <w:rPr>
                <w:rFonts w:cs="Arial"/>
                <w:color w:val="0070C0"/>
                <w:sz w:val="20"/>
              </w:rPr>
              <w:t>Where the gross amount of rent exceeds Rs.2,000,000.</w:t>
            </w:r>
          </w:p>
        </w:tc>
        <w:tc>
          <w:tcPr>
            <w:tcW w:w="2430" w:type="dxa"/>
          </w:tcPr>
          <w:p w:rsidR="00D17DC1" w:rsidRPr="0009763F" w:rsidRDefault="00D17DC1" w:rsidP="009F17C0">
            <w:pPr>
              <w:ind w:right="-108"/>
              <w:jc w:val="both"/>
              <w:rPr>
                <w:rFonts w:cs="Arial"/>
                <w:color w:val="0070C0"/>
                <w:sz w:val="20"/>
              </w:rPr>
            </w:pPr>
            <w:r w:rsidRPr="0009763F">
              <w:rPr>
                <w:rFonts w:cs="Arial"/>
                <w:color w:val="0070C0"/>
                <w:sz w:val="20"/>
              </w:rPr>
              <w:t>Rs.210,000 plus 20 per cent of the gross amount exceeding Rs.2,000,000”</w:t>
            </w:r>
            <w:r w:rsidR="009F17C0" w:rsidRPr="0009763F">
              <w:rPr>
                <w:rFonts w:cs="Arial"/>
                <w:color w:val="0070C0"/>
                <w:sz w:val="20"/>
              </w:rPr>
              <w:t>]</w:t>
            </w:r>
          </w:p>
        </w:tc>
      </w:tr>
    </w:tbl>
    <w:p w:rsidR="00D17DC1" w:rsidRPr="00412620" w:rsidRDefault="00D17DC1" w:rsidP="00AA4BF8">
      <w:pPr>
        <w:rPr>
          <w:sz w:val="14"/>
          <w:szCs w:val="14"/>
        </w:rPr>
      </w:pPr>
    </w:p>
    <w:p w:rsidR="00AA4BF8" w:rsidRPr="00412620" w:rsidRDefault="00AA4BF8" w:rsidP="00B6521C">
      <w:pPr>
        <w:pStyle w:val="Heading8"/>
        <w:jc w:val="left"/>
        <w:rPr>
          <w:b w:val="0"/>
          <w:bCs/>
          <w:i w:val="0"/>
          <w:iCs/>
          <w:sz w:val="20"/>
        </w:rPr>
      </w:pPr>
      <w:r w:rsidRPr="00412620">
        <w:rPr>
          <w:rStyle w:val="FootnoteReference"/>
          <w:rFonts w:cs="Arial"/>
          <w:b w:val="0"/>
          <w:i w:val="0"/>
          <w:sz w:val="20"/>
        </w:rPr>
        <w:lastRenderedPageBreak/>
        <w:footnoteReference w:id="1617"/>
      </w:r>
      <w:r w:rsidRPr="00412620">
        <w:rPr>
          <w:b w:val="0"/>
          <w:i w:val="0"/>
          <w:sz w:val="20"/>
        </w:rPr>
        <w:t>[  ]</w:t>
      </w:r>
    </w:p>
    <w:p w:rsidR="00AA4BF8" w:rsidRPr="00412620" w:rsidRDefault="00AA4BF8" w:rsidP="00AA4BF8"/>
    <w:p w:rsidR="00AA4BF8" w:rsidRPr="00412620" w:rsidRDefault="00AA4BF8" w:rsidP="00AA4BF8"/>
    <w:p w:rsidR="00AA4BF8" w:rsidRPr="00412620" w:rsidRDefault="00AA4BF8" w:rsidP="00AA4BF8"/>
    <w:p w:rsidR="00AA4BF8" w:rsidRPr="00412620" w:rsidRDefault="00AA4BF8" w:rsidP="00AA4BF8"/>
    <w:p w:rsidR="00AA4BF8" w:rsidRPr="00412620" w:rsidRDefault="00AA4BF8" w:rsidP="00AA4BF8"/>
    <w:p w:rsidR="009F17C0" w:rsidRDefault="009F17C0" w:rsidP="00AA4BF8">
      <w:pPr>
        <w:pStyle w:val="Heading2"/>
        <w:spacing w:line="240" w:lineRule="auto"/>
        <w:rPr>
          <w:b w:val="0"/>
          <w:color w:val="984806" w:themeColor="accent6" w:themeShade="80"/>
          <w:szCs w:val="24"/>
        </w:rPr>
      </w:pPr>
    </w:p>
    <w:p w:rsidR="00AA4BF8" w:rsidRPr="009A5977" w:rsidRDefault="00B84E2C" w:rsidP="00AA4BF8">
      <w:pPr>
        <w:pStyle w:val="Heading2"/>
        <w:spacing w:line="240" w:lineRule="auto"/>
        <w:rPr>
          <w:color w:val="984806" w:themeColor="accent6" w:themeShade="80"/>
          <w:sz w:val="22"/>
          <w:szCs w:val="22"/>
        </w:rPr>
      </w:pPr>
      <w:r w:rsidRPr="009A5977">
        <w:rPr>
          <w:rStyle w:val="FootnoteReference"/>
          <w:b w:val="0"/>
          <w:color w:val="000000" w:themeColor="text1"/>
          <w:sz w:val="22"/>
          <w:szCs w:val="22"/>
        </w:rPr>
        <w:footnoteReference w:id="1618"/>
      </w:r>
      <w:r w:rsidR="00AA4BF8" w:rsidRPr="009A5977">
        <w:rPr>
          <w:b w:val="0"/>
          <w:color w:val="000000" w:themeColor="text1"/>
          <w:sz w:val="22"/>
          <w:szCs w:val="22"/>
        </w:rPr>
        <w:t>[</w:t>
      </w:r>
      <w:r w:rsidR="00646E28" w:rsidRPr="009A5977">
        <w:rPr>
          <w:b w:val="0"/>
          <w:color w:val="984806" w:themeColor="accent6" w:themeShade="80"/>
          <w:sz w:val="22"/>
          <w:szCs w:val="22"/>
        </w:rPr>
        <w:t xml:space="preserve"> </w:t>
      </w:r>
      <w:r w:rsidR="00964D04" w:rsidRPr="009A5977">
        <w:rPr>
          <w:rStyle w:val="FootnoteReference"/>
          <w:b w:val="0"/>
          <w:color w:val="0070C0"/>
          <w:sz w:val="22"/>
          <w:szCs w:val="22"/>
        </w:rPr>
        <w:footnoteReference w:id="1619"/>
      </w:r>
      <w:r w:rsidR="00964D04" w:rsidRPr="009A5977">
        <w:rPr>
          <w:b w:val="0"/>
          <w:color w:val="0070C0"/>
          <w:sz w:val="22"/>
          <w:szCs w:val="22"/>
        </w:rPr>
        <w:t>[  ]</w:t>
      </w:r>
      <w:r w:rsidR="00964D04" w:rsidRPr="009A5977">
        <w:rPr>
          <w:b w:val="0"/>
          <w:color w:val="984806" w:themeColor="accent6" w:themeShade="80"/>
          <w:sz w:val="22"/>
          <w:szCs w:val="22"/>
        </w:rPr>
        <w:t xml:space="preserve"> </w:t>
      </w:r>
      <w:r w:rsidR="00964D04" w:rsidRPr="009A5977">
        <w:rPr>
          <w:b w:val="0"/>
          <w:color w:val="000000" w:themeColor="text1"/>
          <w:sz w:val="22"/>
          <w:szCs w:val="22"/>
        </w:rPr>
        <w:t>]</w:t>
      </w:r>
    </w:p>
    <w:p w:rsidR="00646E28" w:rsidRPr="0009763F" w:rsidRDefault="00C977C4" w:rsidP="00C977C4">
      <w:pPr>
        <w:ind w:left="2188" w:firstLine="547"/>
        <w:rPr>
          <w:rFonts w:cs="Arial"/>
          <w:b/>
          <w:color w:val="0070C0"/>
          <w:sz w:val="20"/>
        </w:rPr>
      </w:pPr>
      <w:r w:rsidRPr="0009763F">
        <w:rPr>
          <w:rStyle w:val="FootnoteReference"/>
          <w:rFonts w:cs="Arial"/>
          <w:b/>
          <w:color w:val="0070C0"/>
          <w:sz w:val="20"/>
        </w:rPr>
        <w:lastRenderedPageBreak/>
        <w:footnoteReference w:id="1620"/>
      </w:r>
      <w:r w:rsidR="00646E28" w:rsidRPr="0009763F">
        <w:rPr>
          <w:rFonts w:cs="Arial"/>
          <w:b/>
          <w:color w:val="0070C0"/>
          <w:sz w:val="20"/>
        </w:rPr>
        <w:t>[“Division VII</w:t>
      </w:r>
    </w:p>
    <w:p w:rsidR="00646E28" w:rsidRPr="0009763F" w:rsidRDefault="00646E28" w:rsidP="00C977C4">
      <w:pPr>
        <w:ind w:left="547" w:firstLine="547"/>
        <w:rPr>
          <w:rFonts w:cs="Arial"/>
          <w:b/>
          <w:bCs/>
          <w:color w:val="0070C0"/>
          <w:sz w:val="20"/>
        </w:rPr>
      </w:pPr>
      <w:r w:rsidRPr="0009763F">
        <w:rPr>
          <w:rFonts w:cs="Arial"/>
          <w:b/>
          <w:bCs/>
          <w:color w:val="0070C0"/>
          <w:sz w:val="20"/>
        </w:rPr>
        <w:t>CAPITAL GAINS ON DISPOSAL OF SECURITIES</w:t>
      </w:r>
    </w:p>
    <w:p w:rsidR="00646E28" w:rsidRPr="0009763F" w:rsidRDefault="00646E28" w:rsidP="00646E28">
      <w:pPr>
        <w:pStyle w:val="ListParagraph"/>
        <w:ind w:left="2160"/>
        <w:jc w:val="center"/>
        <w:rPr>
          <w:rFonts w:cs="Arial"/>
          <w:b/>
          <w:bCs/>
          <w:color w:val="0070C0"/>
          <w:sz w:val="20"/>
        </w:rPr>
      </w:pPr>
    </w:p>
    <w:p w:rsidR="00646E28" w:rsidRPr="0009763F" w:rsidRDefault="00646E28" w:rsidP="00F7377B">
      <w:pPr>
        <w:ind w:left="1440" w:hanging="720"/>
        <w:jc w:val="both"/>
        <w:rPr>
          <w:rFonts w:cs="Arial"/>
          <w:color w:val="0070C0"/>
          <w:sz w:val="20"/>
        </w:rPr>
      </w:pPr>
      <w:r w:rsidRPr="0009763F">
        <w:rPr>
          <w:rFonts w:cs="Arial"/>
          <w:color w:val="0070C0"/>
          <w:sz w:val="20"/>
        </w:rPr>
        <w:t>The rate of tax to be paid under section 37A shall be as follows:—</w:t>
      </w:r>
    </w:p>
    <w:p w:rsidR="00646E28" w:rsidRPr="0009763F" w:rsidRDefault="00646E28" w:rsidP="00646E28">
      <w:pPr>
        <w:ind w:left="720"/>
        <w:jc w:val="both"/>
        <w:rPr>
          <w:rFonts w:cs="Arial"/>
          <w:color w:val="0070C0"/>
          <w:sz w:val="20"/>
        </w:rPr>
      </w:pPr>
    </w:p>
    <w:tbl>
      <w:tblPr>
        <w:tblStyle w:val="TableGrid"/>
        <w:tblW w:w="6930" w:type="dxa"/>
        <w:tblInd w:w="648" w:type="dxa"/>
        <w:tblLayout w:type="fixed"/>
        <w:tblLook w:val="04A0"/>
      </w:tblPr>
      <w:tblGrid>
        <w:gridCol w:w="720"/>
        <w:gridCol w:w="2430"/>
        <w:gridCol w:w="900"/>
        <w:gridCol w:w="1260"/>
        <w:gridCol w:w="810"/>
        <w:gridCol w:w="810"/>
      </w:tblGrid>
      <w:tr w:rsidR="00646E28" w:rsidRPr="0009763F" w:rsidTr="00964D04">
        <w:trPr>
          <w:trHeight w:val="555"/>
        </w:trPr>
        <w:tc>
          <w:tcPr>
            <w:tcW w:w="720" w:type="dxa"/>
            <w:vMerge w:val="restart"/>
            <w:hideMark/>
          </w:tcPr>
          <w:p w:rsidR="00646E28" w:rsidRPr="0009763F" w:rsidRDefault="00646E28" w:rsidP="00964D04">
            <w:pPr>
              <w:jc w:val="center"/>
              <w:rPr>
                <w:rFonts w:cs="Arial"/>
                <w:color w:val="0070C0"/>
                <w:sz w:val="20"/>
              </w:rPr>
            </w:pPr>
            <w:r w:rsidRPr="0009763F">
              <w:rPr>
                <w:rFonts w:cs="Arial"/>
                <w:color w:val="0070C0"/>
                <w:sz w:val="20"/>
              </w:rPr>
              <w:t>S.No.</w:t>
            </w:r>
          </w:p>
        </w:tc>
        <w:tc>
          <w:tcPr>
            <w:tcW w:w="2430" w:type="dxa"/>
            <w:vMerge w:val="restart"/>
            <w:hideMark/>
          </w:tcPr>
          <w:p w:rsidR="00646E28" w:rsidRPr="0009763F" w:rsidRDefault="00646E28" w:rsidP="00964D04">
            <w:pPr>
              <w:jc w:val="center"/>
              <w:rPr>
                <w:rFonts w:cs="Arial"/>
                <w:color w:val="0070C0"/>
                <w:sz w:val="20"/>
              </w:rPr>
            </w:pPr>
            <w:r w:rsidRPr="0009763F">
              <w:rPr>
                <w:rFonts w:cs="Arial"/>
                <w:color w:val="0070C0"/>
                <w:sz w:val="20"/>
              </w:rPr>
              <w:t>Period</w:t>
            </w:r>
          </w:p>
        </w:tc>
        <w:tc>
          <w:tcPr>
            <w:tcW w:w="900" w:type="dxa"/>
            <w:vMerge w:val="restart"/>
            <w:hideMark/>
          </w:tcPr>
          <w:p w:rsidR="00646E28" w:rsidRPr="0009763F" w:rsidRDefault="00646E28" w:rsidP="00964D04">
            <w:pPr>
              <w:jc w:val="center"/>
              <w:rPr>
                <w:rFonts w:cs="Arial"/>
                <w:color w:val="0070C0"/>
                <w:sz w:val="20"/>
              </w:rPr>
            </w:pPr>
            <w:r w:rsidRPr="0009763F">
              <w:rPr>
                <w:rFonts w:cs="Arial"/>
                <w:color w:val="0070C0"/>
                <w:sz w:val="20"/>
              </w:rPr>
              <w:t>Tax Year 2015</w:t>
            </w:r>
          </w:p>
        </w:tc>
        <w:tc>
          <w:tcPr>
            <w:tcW w:w="1260" w:type="dxa"/>
            <w:vMerge w:val="restart"/>
            <w:hideMark/>
          </w:tcPr>
          <w:p w:rsidR="00646E28" w:rsidRPr="0009763F" w:rsidRDefault="00646E28" w:rsidP="00964D04">
            <w:pPr>
              <w:jc w:val="center"/>
              <w:rPr>
                <w:rFonts w:cs="Arial"/>
                <w:color w:val="0070C0"/>
                <w:sz w:val="20"/>
              </w:rPr>
            </w:pPr>
            <w:r w:rsidRPr="0009763F">
              <w:rPr>
                <w:rFonts w:cs="Arial"/>
                <w:color w:val="0070C0"/>
                <w:sz w:val="20"/>
              </w:rPr>
              <w:t>Tax Year 2016</w:t>
            </w:r>
          </w:p>
        </w:tc>
        <w:tc>
          <w:tcPr>
            <w:tcW w:w="1620" w:type="dxa"/>
            <w:gridSpan w:val="2"/>
          </w:tcPr>
          <w:p w:rsidR="00646E28" w:rsidRPr="0009763F" w:rsidRDefault="00646E28" w:rsidP="00964D04">
            <w:pPr>
              <w:jc w:val="center"/>
              <w:rPr>
                <w:rFonts w:cs="Arial"/>
                <w:color w:val="0070C0"/>
                <w:sz w:val="20"/>
              </w:rPr>
            </w:pPr>
            <w:r w:rsidRPr="0009763F">
              <w:rPr>
                <w:rFonts w:cs="Arial"/>
                <w:color w:val="0070C0"/>
                <w:sz w:val="20"/>
              </w:rPr>
              <w:t>Tax Year 2017</w:t>
            </w:r>
          </w:p>
        </w:tc>
      </w:tr>
      <w:tr w:rsidR="00646E28" w:rsidRPr="0009763F" w:rsidTr="00964D04">
        <w:trPr>
          <w:trHeight w:val="260"/>
        </w:trPr>
        <w:tc>
          <w:tcPr>
            <w:tcW w:w="720" w:type="dxa"/>
            <w:vMerge/>
            <w:hideMark/>
          </w:tcPr>
          <w:p w:rsidR="00646E28" w:rsidRPr="0009763F" w:rsidRDefault="00646E28" w:rsidP="00964D04">
            <w:pPr>
              <w:jc w:val="center"/>
              <w:rPr>
                <w:rFonts w:cs="Arial"/>
                <w:color w:val="0070C0"/>
                <w:sz w:val="20"/>
              </w:rPr>
            </w:pPr>
          </w:p>
        </w:tc>
        <w:tc>
          <w:tcPr>
            <w:tcW w:w="2430" w:type="dxa"/>
            <w:vMerge/>
            <w:hideMark/>
          </w:tcPr>
          <w:p w:rsidR="00646E28" w:rsidRPr="0009763F" w:rsidRDefault="00646E28" w:rsidP="00964D04">
            <w:pPr>
              <w:jc w:val="center"/>
              <w:rPr>
                <w:rFonts w:cs="Arial"/>
                <w:color w:val="0070C0"/>
                <w:sz w:val="20"/>
              </w:rPr>
            </w:pPr>
          </w:p>
        </w:tc>
        <w:tc>
          <w:tcPr>
            <w:tcW w:w="900" w:type="dxa"/>
            <w:vMerge/>
            <w:hideMark/>
          </w:tcPr>
          <w:p w:rsidR="00646E28" w:rsidRPr="0009763F" w:rsidRDefault="00646E28" w:rsidP="00964D04">
            <w:pPr>
              <w:jc w:val="center"/>
              <w:rPr>
                <w:rFonts w:cs="Arial"/>
                <w:color w:val="0070C0"/>
                <w:sz w:val="20"/>
              </w:rPr>
            </w:pPr>
          </w:p>
        </w:tc>
        <w:tc>
          <w:tcPr>
            <w:tcW w:w="1260" w:type="dxa"/>
            <w:vMerge/>
            <w:hideMark/>
          </w:tcPr>
          <w:p w:rsidR="00646E28" w:rsidRPr="0009763F" w:rsidRDefault="00646E28" w:rsidP="00964D04">
            <w:pPr>
              <w:jc w:val="center"/>
              <w:rPr>
                <w:rFonts w:cs="Arial"/>
                <w:color w:val="0070C0"/>
                <w:sz w:val="20"/>
              </w:rPr>
            </w:pPr>
          </w:p>
        </w:tc>
        <w:tc>
          <w:tcPr>
            <w:tcW w:w="810" w:type="dxa"/>
          </w:tcPr>
          <w:p w:rsidR="00646E28" w:rsidRPr="0009763F" w:rsidRDefault="00646E28" w:rsidP="00964D04">
            <w:pPr>
              <w:jc w:val="center"/>
              <w:rPr>
                <w:rFonts w:cs="Arial"/>
                <w:color w:val="0070C0"/>
                <w:sz w:val="20"/>
              </w:rPr>
            </w:pPr>
            <w:r w:rsidRPr="0009763F">
              <w:rPr>
                <w:rFonts w:cs="Arial"/>
                <w:color w:val="0070C0"/>
                <w:sz w:val="20"/>
              </w:rPr>
              <w:t>Filer</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Non-Filer</w:t>
            </w:r>
          </w:p>
        </w:tc>
      </w:tr>
      <w:tr w:rsidR="00646E28" w:rsidRPr="0009763F" w:rsidTr="00964D04">
        <w:trPr>
          <w:trHeight w:val="350"/>
        </w:trPr>
        <w:tc>
          <w:tcPr>
            <w:tcW w:w="720" w:type="dxa"/>
            <w:hideMark/>
          </w:tcPr>
          <w:p w:rsidR="00646E28" w:rsidRPr="0009763F" w:rsidRDefault="00646E28" w:rsidP="00964D04">
            <w:pPr>
              <w:jc w:val="center"/>
              <w:rPr>
                <w:rFonts w:cs="Arial"/>
                <w:color w:val="0070C0"/>
                <w:sz w:val="20"/>
              </w:rPr>
            </w:pPr>
            <w:r w:rsidRPr="0009763F">
              <w:rPr>
                <w:rFonts w:cs="Arial"/>
                <w:color w:val="0070C0"/>
                <w:sz w:val="20"/>
              </w:rPr>
              <w:t>(1)</w:t>
            </w:r>
          </w:p>
        </w:tc>
        <w:tc>
          <w:tcPr>
            <w:tcW w:w="2430" w:type="dxa"/>
            <w:hideMark/>
          </w:tcPr>
          <w:p w:rsidR="00646E28" w:rsidRPr="0009763F" w:rsidRDefault="00646E28" w:rsidP="00964D04">
            <w:pPr>
              <w:jc w:val="center"/>
              <w:rPr>
                <w:rFonts w:cs="Arial"/>
                <w:color w:val="0070C0"/>
                <w:sz w:val="20"/>
              </w:rPr>
            </w:pPr>
            <w:r w:rsidRPr="0009763F">
              <w:rPr>
                <w:rFonts w:cs="Arial"/>
                <w:color w:val="0070C0"/>
                <w:sz w:val="20"/>
              </w:rPr>
              <w:t>(2)</w:t>
            </w:r>
          </w:p>
        </w:tc>
        <w:tc>
          <w:tcPr>
            <w:tcW w:w="900" w:type="dxa"/>
            <w:hideMark/>
          </w:tcPr>
          <w:p w:rsidR="00646E28" w:rsidRPr="0009763F" w:rsidRDefault="00646E28" w:rsidP="00964D04">
            <w:pPr>
              <w:jc w:val="center"/>
              <w:rPr>
                <w:rFonts w:cs="Arial"/>
                <w:color w:val="0070C0"/>
                <w:sz w:val="20"/>
              </w:rPr>
            </w:pPr>
            <w:r w:rsidRPr="0009763F">
              <w:rPr>
                <w:rFonts w:cs="Arial"/>
                <w:color w:val="0070C0"/>
                <w:sz w:val="20"/>
              </w:rPr>
              <w:t>(3)</w:t>
            </w:r>
          </w:p>
        </w:tc>
        <w:tc>
          <w:tcPr>
            <w:tcW w:w="1260" w:type="dxa"/>
            <w:hideMark/>
          </w:tcPr>
          <w:p w:rsidR="00646E28" w:rsidRPr="0009763F" w:rsidRDefault="00646E28" w:rsidP="00964D04">
            <w:pPr>
              <w:jc w:val="center"/>
              <w:rPr>
                <w:rFonts w:cs="Arial"/>
                <w:color w:val="0070C0"/>
                <w:sz w:val="20"/>
              </w:rPr>
            </w:pPr>
            <w:r w:rsidRPr="0009763F">
              <w:rPr>
                <w:rFonts w:cs="Arial"/>
                <w:color w:val="0070C0"/>
                <w:sz w:val="20"/>
              </w:rPr>
              <w:t>(4)</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(5)</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(6)</w:t>
            </w:r>
          </w:p>
        </w:tc>
      </w:tr>
      <w:tr w:rsidR="00646E28" w:rsidRPr="0009763F" w:rsidTr="00964D04">
        <w:trPr>
          <w:trHeight w:val="710"/>
        </w:trPr>
        <w:tc>
          <w:tcPr>
            <w:tcW w:w="720" w:type="dxa"/>
            <w:hideMark/>
          </w:tcPr>
          <w:p w:rsidR="00646E28" w:rsidRPr="0009763F" w:rsidRDefault="00646E28" w:rsidP="00964D04">
            <w:pPr>
              <w:jc w:val="center"/>
              <w:rPr>
                <w:rFonts w:cs="Arial"/>
                <w:color w:val="0070C0"/>
                <w:sz w:val="20"/>
              </w:rPr>
            </w:pPr>
            <w:r w:rsidRPr="0009763F">
              <w:rPr>
                <w:rFonts w:cs="Arial"/>
                <w:color w:val="0070C0"/>
                <w:sz w:val="20"/>
              </w:rPr>
              <w:t>1.</w:t>
            </w:r>
          </w:p>
        </w:tc>
        <w:tc>
          <w:tcPr>
            <w:tcW w:w="2430" w:type="dxa"/>
            <w:hideMark/>
          </w:tcPr>
          <w:p w:rsidR="00646E28" w:rsidRPr="0009763F" w:rsidRDefault="00646E28" w:rsidP="00964D04">
            <w:pPr>
              <w:jc w:val="both"/>
              <w:rPr>
                <w:rFonts w:cs="Arial"/>
                <w:color w:val="0070C0"/>
                <w:sz w:val="20"/>
              </w:rPr>
            </w:pPr>
            <w:r w:rsidRPr="0009763F">
              <w:rPr>
                <w:rFonts w:cs="Arial"/>
                <w:color w:val="0070C0"/>
                <w:sz w:val="20"/>
              </w:rPr>
              <w:t>Where holding period of a security is less than twelve months</w:t>
            </w:r>
          </w:p>
        </w:tc>
        <w:tc>
          <w:tcPr>
            <w:tcW w:w="900" w:type="dxa"/>
            <w:hideMark/>
          </w:tcPr>
          <w:p w:rsidR="00646E28" w:rsidRPr="0009763F" w:rsidRDefault="00646E28" w:rsidP="00964D04">
            <w:pPr>
              <w:jc w:val="center"/>
              <w:rPr>
                <w:rFonts w:cs="Arial"/>
                <w:color w:val="0070C0"/>
                <w:sz w:val="20"/>
              </w:rPr>
            </w:pPr>
            <w:r w:rsidRPr="0009763F">
              <w:rPr>
                <w:rFonts w:cs="Arial"/>
                <w:color w:val="0070C0"/>
                <w:sz w:val="20"/>
              </w:rPr>
              <w:t>12.5%</w:t>
            </w:r>
          </w:p>
        </w:tc>
        <w:tc>
          <w:tcPr>
            <w:tcW w:w="1260" w:type="dxa"/>
            <w:hideMark/>
          </w:tcPr>
          <w:p w:rsidR="00646E28" w:rsidRPr="0009763F" w:rsidRDefault="00646E28" w:rsidP="00964D04">
            <w:pPr>
              <w:jc w:val="center"/>
              <w:rPr>
                <w:rFonts w:cs="Arial"/>
                <w:color w:val="0070C0"/>
                <w:sz w:val="20"/>
              </w:rPr>
            </w:pPr>
            <w:r w:rsidRPr="0009763F">
              <w:rPr>
                <w:rFonts w:cs="Arial"/>
                <w:color w:val="0070C0"/>
                <w:sz w:val="20"/>
              </w:rPr>
              <w:t>15%</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15%</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18%</w:t>
            </w:r>
          </w:p>
        </w:tc>
      </w:tr>
      <w:tr w:rsidR="00646E28" w:rsidRPr="0009763F" w:rsidTr="00964D04">
        <w:tc>
          <w:tcPr>
            <w:tcW w:w="720" w:type="dxa"/>
            <w:hideMark/>
          </w:tcPr>
          <w:p w:rsidR="00646E28" w:rsidRPr="0009763F" w:rsidRDefault="00646E28" w:rsidP="00964D04">
            <w:pPr>
              <w:jc w:val="center"/>
              <w:rPr>
                <w:rFonts w:cs="Arial"/>
                <w:color w:val="0070C0"/>
                <w:sz w:val="20"/>
              </w:rPr>
            </w:pPr>
            <w:r w:rsidRPr="0009763F">
              <w:rPr>
                <w:rFonts w:cs="Arial"/>
                <w:color w:val="0070C0"/>
                <w:sz w:val="20"/>
              </w:rPr>
              <w:t>2.</w:t>
            </w:r>
          </w:p>
        </w:tc>
        <w:tc>
          <w:tcPr>
            <w:tcW w:w="2430" w:type="dxa"/>
            <w:hideMark/>
          </w:tcPr>
          <w:p w:rsidR="00646E28" w:rsidRPr="0009763F" w:rsidRDefault="00646E28" w:rsidP="00964D04">
            <w:pPr>
              <w:jc w:val="both"/>
              <w:rPr>
                <w:rFonts w:cs="Arial"/>
                <w:color w:val="0070C0"/>
                <w:sz w:val="20"/>
              </w:rPr>
            </w:pPr>
            <w:r w:rsidRPr="0009763F">
              <w:rPr>
                <w:rFonts w:cs="Arial"/>
                <w:color w:val="0070C0"/>
                <w:sz w:val="20"/>
              </w:rPr>
              <w:t>Where holding period of a security is twelve months or more but less than twenty-four months</w:t>
            </w:r>
          </w:p>
        </w:tc>
        <w:tc>
          <w:tcPr>
            <w:tcW w:w="900" w:type="dxa"/>
            <w:hideMark/>
          </w:tcPr>
          <w:p w:rsidR="00646E28" w:rsidRPr="0009763F" w:rsidRDefault="00646E28" w:rsidP="00964D04">
            <w:pPr>
              <w:jc w:val="center"/>
              <w:rPr>
                <w:rFonts w:cs="Arial"/>
                <w:color w:val="0070C0"/>
                <w:sz w:val="20"/>
              </w:rPr>
            </w:pPr>
            <w:r w:rsidRPr="0009763F">
              <w:rPr>
                <w:rFonts w:cs="Arial"/>
                <w:color w:val="0070C0"/>
                <w:sz w:val="20"/>
              </w:rPr>
              <w:t>10%</w:t>
            </w:r>
          </w:p>
        </w:tc>
        <w:tc>
          <w:tcPr>
            <w:tcW w:w="1260" w:type="dxa"/>
            <w:hideMark/>
          </w:tcPr>
          <w:p w:rsidR="00646E28" w:rsidRPr="0009763F" w:rsidRDefault="00646E28" w:rsidP="00964D04">
            <w:pPr>
              <w:jc w:val="center"/>
              <w:rPr>
                <w:rFonts w:cs="Arial"/>
                <w:color w:val="0070C0"/>
                <w:sz w:val="20"/>
              </w:rPr>
            </w:pPr>
            <w:r w:rsidRPr="0009763F">
              <w:rPr>
                <w:rFonts w:cs="Arial"/>
                <w:color w:val="0070C0"/>
                <w:sz w:val="20"/>
              </w:rPr>
              <w:t>12.5%</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12.5%</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16%</w:t>
            </w:r>
          </w:p>
        </w:tc>
      </w:tr>
      <w:tr w:rsidR="00646E28" w:rsidRPr="0009763F" w:rsidTr="00964D04">
        <w:tc>
          <w:tcPr>
            <w:tcW w:w="720" w:type="dxa"/>
            <w:hideMark/>
          </w:tcPr>
          <w:p w:rsidR="00646E28" w:rsidRPr="0009763F" w:rsidRDefault="00646E28" w:rsidP="00964D04">
            <w:pPr>
              <w:jc w:val="center"/>
              <w:rPr>
                <w:rFonts w:cs="Arial"/>
                <w:color w:val="0070C0"/>
                <w:sz w:val="20"/>
              </w:rPr>
            </w:pPr>
            <w:r w:rsidRPr="0009763F">
              <w:rPr>
                <w:rFonts w:cs="Arial"/>
                <w:color w:val="0070C0"/>
                <w:sz w:val="20"/>
              </w:rPr>
              <w:t>3.</w:t>
            </w:r>
          </w:p>
        </w:tc>
        <w:tc>
          <w:tcPr>
            <w:tcW w:w="2430" w:type="dxa"/>
            <w:hideMark/>
          </w:tcPr>
          <w:p w:rsidR="00646E28" w:rsidRPr="0009763F" w:rsidRDefault="00646E28" w:rsidP="00964D04">
            <w:pPr>
              <w:jc w:val="both"/>
              <w:rPr>
                <w:rFonts w:cs="Arial"/>
                <w:color w:val="0070C0"/>
                <w:sz w:val="20"/>
              </w:rPr>
            </w:pPr>
            <w:r w:rsidRPr="0009763F">
              <w:rPr>
                <w:rFonts w:cs="Arial"/>
                <w:color w:val="0070C0"/>
                <w:sz w:val="20"/>
              </w:rPr>
              <w:t>Where holding period of a security is twenty-four months or more but the security was acquired on or after 1</w:t>
            </w:r>
            <w:r w:rsidRPr="0009763F">
              <w:rPr>
                <w:rFonts w:cs="Arial"/>
                <w:color w:val="0070C0"/>
                <w:sz w:val="20"/>
                <w:vertAlign w:val="superscript"/>
              </w:rPr>
              <w:t>st</w:t>
            </w:r>
            <w:r w:rsidRPr="0009763F">
              <w:rPr>
                <w:rFonts w:cs="Arial"/>
                <w:color w:val="0070C0"/>
                <w:sz w:val="20"/>
              </w:rPr>
              <w:t xml:space="preserve"> July, 2012</w:t>
            </w:r>
          </w:p>
        </w:tc>
        <w:tc>
          <w:tcPr>
            <w:tcW w:w="900" w:type="dxa"/>
            <w:hideMark/>
          </w:tcPr>
          <w:p w:rsidR="00646E28" w:rsidRPr="0009763F" w:rsidRDefault="00646E28" w:rsidP="00964D04">
            <w:pPr>
              <w:jc w:val="center"/>
              <w:rPr>
                <w:rFonts w:cs="Arial"/>
                <w:color w:val="0070C0"/>
                <w:sz w:val="20"/>
              </w:rPr>
            </w:pPr>
            <w:r w:rsidRPr="0009763F">
              <w:rPr>
                <w:rFonts w:cs="Arial"/>
                <w:color w:val="0070C0"/>
                <w:sz w:val="20"/>
              </w:rPr>
              <w:t>0%</w:t>
            </w:r>
          </w:p>
        </w:tc>
        <w:tc>
          <w:tcPr>
            <w:tcW w:w="1260" w:type="dxa"/>
            <w:hideMark/>
          </w:tcPr>
          <w:p w:rsidR="00646E28" w:rsidRPr="0009763F" w:rsidRDefault="00646E28" w:rsidP="00964D04">
            <w:pPr>
              <w:jc w:val="center"/>
              <w:rPr>
                <w:rFonts w:cs="Arial"/>
                <w:color w:val="0070C0"/>
                <w:sz w:val="20"/>
              </w:rPr>
            </w:pPr>
            <w:r w:rsidRPr="0009763F">
              <w:rPr>
                <w:rFonts w:cs="Arial"/>
                <w:color w:val="0070C0"/>
                <w:sz w:val="20"/>
              </w:rPr>
              <w:t>7.5%</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7.5%</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11%</w:t>
            </w:r>
          </w:p>
        </w:tc>
      </w:tr>
      <w:tr w:rsidR="00646E28" w:rsidRPr="0009763F" w:rsidTr="00964D04">
        <w:tc>
          <w:tcPr>
            <w:tcW w:w="720" w:type="dxa"/>
            <w:hideMark/>
          </w:tcPr>
          <w:p w:rsidR="00646E28" w:rsidRPr="0009763F" w:rsidRDefault="00646E28" w:rsidP="00964D04">
            <w:pPr>
              <w:jc w:val="center"/>
              <w:rPr>
                <w:rFonts w:cs="Arial"/>
                <w:color w:val="0070C0"/>
                <w:sz w:val="20"/>
              </w:rPr>
            </w:pPr>
            <w:r w:rsidRPr="0009763F">
              <w:rPr>
                <w:rFonts w:cs="Arial"/>
                <w:color w:val="0070C0"/>
                <w:sz w:val="20"/>
              </w:rPr>
              <w:t>4.</w:t>
            </w:r>
          </w:p>
        </w:tc>
        <w:tc>
          <w:tcPr>
            <w:tcW w:w="2430" w:type="dxa"/>
            <w:hideMark/>
          </w:tcPr>
          <w:p w:rsidR="00646E28" w:rsidRPr="0009763F" w:rsidRDefault="00646E28" w:rsidP="00964D04">
            <w:pPr>
              <w:jc w:val="both"/>
              <w:rPr>
                <w:rFonts w:cs="Arial"/>
                <w:color w:val="0070C0"/>
                <w:sz w:val="20"/>
              </w:rPr>
            </w:pPr>
            <w:r w:rsidRPr="0009763F">
              <w:rPr>
                <w:rFonts w:cs="Arial"/>
                <w:color w:val="0070C0"/>
                <w:sz w:val="20"/>
              </w:rPr>
              <w:t>Where the security was acquired before 1</w:t>
            </w:r>
            <w:r w:rsidRPr="0009763F">
              <w:rPr>
                <w:rFonts w:cs="Arial"/>
                <w:color w:val="0070C0"/>
                <w:sz w:val="20"/>
                <w:vertAlign w:val="superscript"/>
              </w:rPr>
              <w:t>st</w:t>
            </w:r>
            <w:r w:rsidRPr="0009763F">
              <w:rPr>
                <w:rFonts w:cs="Arial"/>
                <w:color w:val="0070C0"/>
                <w:sz w:val="20"/>
              </w:rPr>
              <w:t xml:space="preserve"> July, 2012</w:t>
            </w:r>
          </w:p>
        </w:tc>
        <w:tc>
          <w:tcPr>
            <w:tcW w:w="900" w:type="dxa"/>
            <w:hideMark/>
          </w:tcPr>
          <w:p w:rsidR="00646E28" w:rsidRPr="0009763F" w:rsidRDefault="00646E28" w:rsidP="00964D04">
            <w:pPr>
              <w:jc w:val="center"/>
              <w:rPr>
                <w:rFonts w:cs="Arial"/>
                <w:color w:val="0070C0"/>
                <w:sz w:val="20"/>
              </w:rPr>
            </w:pPr>
            <w:r w:rsidRPr="0009763F">
              <w:rPr>
                <w:rFonts w:cs="Arial"/>
                <w:color w:val="0070C0"/>
                <w:sz w:val="20"/>
              </w:rPr>
              <w:t>0%</w:t>
            </w:r>
          </w:p>
        </w:tc>
        <w:tc>
          <w:tcPr>
            <w:tcW w:w="1260" w:type="dxa"/>
            <w:hideMark/>
          </w:tcPr>
          <w:p w:rsidR="00646E28" w:rsidRPr="0009763F" w:rsidRDefault="00646E28" w:rsidP="00964D04">
            <w:pPr>
              <w:jc w:val="center"/>
              <w:rPr>
                <w:rFonts w:cs="Arial"/>
                <w:color w:val="0070C0"/>
                <w:sz w:val="20"/>
              </w:rPr>
            </w:pPr>
            <w:r w:rsidRPr="0009763F">
              <w:rPr>
                <w:rFonts w:cs="Arial"/>
                <w:color w:val="0070C0"/>
                <w:sz w:val="20"/>
              </w:rPr>
              <w:t>0%</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0%</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0%</w:t>
            </w:r>
          </w:p>
        </w:tc>
      </w:tr>
      <w:tr w:rsidR="00646E28" w:rsidRPr="0009763F" w:rsidTr="00964D04">
        <w:tc>
          <w:tcPr>
            <w:tcW w:w="720" w:type="dxa"/>
            <w:hideMark/>
          </w:tcPr>
          <w:p w:rsidR="00646E28" w:rsidRPr="0009763F" w:rsidRDefault="00646E28" w:rsidP="00964D04">
            <w:pPr>
              <w:jc w:val="center"/>
              <w:rPr>
                <w:rFonts w:cs="Arial"/>
                <w:color w:val="0070C0"/>
                <w:sz w:val="20"/>
              </w:rPr>
            </w:pPr>
            <w:r w:rsidRPr="0009763F">
              <w:rPr>
                <w:rFonts w:cs="Arial"/>
                <w:color w:val="0070C0"/>
                <w:sz w:val="20"/>
              </w:rPr>
              <w:lastRenderedPageBreak/>
              <w:t>5.</w:t>
            </w:r>
          </w:p>
        </w:tc>
        <w:tc>
          <w:tcPr>
            <w:tcW w:w="2430" w:type="dxa"/>
            <w:hideMark/>
          </w:tcPr>
          <w:p w:rsidR="00646E28" w:rsidRPr="0009763F" w:rsidRDefault="00646E28" w:rsidP="00964D04">
            <w:pPr>
              <w:jc w:val="both"/>
              <w:rPr>
                <w:rFonts w:cs="Arial"/>
                <w:color w:val="0070C0"/>
                <w:sz w:val="20"/>
              </w:rPr>
            </w:pPr>
            <w:r w:rsidRPr="0009763F">
              <w:rPr>
                <w:rFonts w:cs="Arial"/>
                <w:color w:val="0070C0"/>
                <w:sz w:val="20"/>
              </w:rPr>
              <w:t>Future commodity contracts entered into by the members of Pakistan Mercantile Exchange</w:t>
            </w:r>
          </w:p>
        </w:tc>
        <w:tc>
          <w:tcPr>
            <w:tcW w:w="900" w:type="dxa"/>
            <w:hideMark/>
          </w:tcPr>
          <w:p w:rsidR="00646E28" w:rsidRPr="0009763F" w:rsidRDefault="00646E28" w:rsidP="00964D04">
            <w:pPr>
              <w:jc w:val="center"/>
              <w:rPr>
                <w:rFonts w:cs="Arial"/>
                <w:color w:val="0070C0"/>
                <w:sz w:val="20"/>
              </w:rPr>
            </w:pPr>
            <w:r w:rsidRPr="0009763F">
              <w:rPr>
                <w:rFonts w:cs="Arial"/>
                <w:color w:val="0070C0"/>
                <w:sz w:val="20"/>
              </w:rPr>
              <w:t>0%</w:t>
            </w:r>
          </w:p>
        </w:tc>
        <w:tc>
          <w:tcPr>
            <w:tcW w:w="1260" w:type="dxa"/>
            <w:hideMark/>
          </w:tcPr>
          <w:p w:rsidR="00646E28" w:rsidRPr="0009763F" w:rsidRDefault="00646E28" w:rsidP="00964D04">
            <w:pPr>
              <w:jc w:val="center"/>
              <w:rPr>
                <w:rFonts w:cs="Arial"/>
                <w:color w:val="0070C0"/>
                <w:sz w:val="20"/>
              </w:rPr>
            </w:pPr>
            <w:r w:rsidRPr="0009763F">
              <w:rPr>
                <w:rFonts w:cs="Arial"/>
                <w:color w:val="0070C0"/>
                <w:sz w:val="20"/>
              </w:rPr>
              <w:t>0%</w:t>
            </w:r>
          </w:p>
        </w:tc>
        <w:tc>
          <w:tcPr>
            <w:tcW w:w="810" w:type="dxa"/>
          </w:tcPr>
          <w:p w:rsidR="00646E28" w:rsidRPr="0009763F" w:rsidRDefault="00646E28" w:rsidP="00964D04">
            <w:pPr>
              <w:jc w:val="center"/>
              <w:rPr>
                <w:rFonts w:cs="Arial"/>
                <w:color w:val="0070C0"/>
                <w:sz w:val="20"/>
              </w:rPr>
            </w:pPr>
            <w:r w:rsidRPr="0009763F">
              <w:rPr>
                <w:rFonts w:cs="Arial"/>
                <w:color w:val="0070C0"/>
                <w:sz w:val="20"/>
              </w:rPr>
              <w:t>5%</w:t>
            </w:r>
          </w:p>
        </w:tc>
        <w:tc>
          <w:tcPr>
            <w:tcW w:w="810" w:type="dxa"/>
          </w:tcPr>
          <w:p w:rsidR="00646E28" w:rsidRPr="0009763F" w:rsidRDefault="00C977C4" w:rsidP="00964D04">
            <w:pPr>
              <w:jc w:val="center"/>
              <w:rPr>
                <w:rFonts w:cs="Arial"/>
                <w:color w:val="0070C0"/>
                <w:sz w:val="20"/>
              </w:rPr>
            </w:pPr>
            <w:r w:rsidRPr="0009763F">
              <w:rPr>
                <w:rFonts w:cs="Arial"/>
                <w:color w:val="0070C0"/>
                <w:sz w:val="20"/>
              </w:rPr>
              <w:t>5%</w:t>
            </w:r>
            <w:r w:rsidR="00401352">
              <w:rPr>
                <w:rFonts w:cs="Arial"/>
                <w:color w:val="0070C0"/>
                <w:sz w:val="20"/>
              </w:rPr>
              <w:t>”]</w:t>
            </w:r>
          </w:p>
        </w:tc>
      </w:tr>
    </w:tbl>
    <w:p w:rsidR="00646E28" w:rsidRDefault="00646E28" w:rsidP="00AA4BF8">
      <w:pPr>
        <w:jc w:val="center"/>
        <w:rPr>
          <w:b/>
          <w:bCs/>
          <w:color w:val="984806" w:themeColor="accent6" w:themeShade="80"/>
          <w:sz w:val="20"/>
        </w:rPr>
      </w:pPr>
    </w:p>
    <w:p w:rsidR="00B27E6C" w:rsidRPr="009A5977" w:rsidRDefault="00B27E6C" w:rsidP="00B27E6C">
      <w:pPr>
        <w:autoSpaceDE w:val="0"/>
        <w:autoSpaceDN w:val="0"/>
        <w:adjustRightInd w:val="0"/>
        <w:ind w:left="1094" w:firstLine="547"/>
        <w:jc w:val="both"/>
        <w:rPr>
          <w:rFonts w:cs="Arial"/>
          <w:color w:val="000000" w:themeColor="text1"/>
          <w:sz w:val="20"/>
          <w:lang w:val="en-US"/>
        </w:rPr>
      </w:pPr>
      <w:r w:rsidRPr="009A5977">
        <w:rPr>
          <w:rFonts w:cs="Arial"/>
          <w:color w:val="000000" w:themeColor="text1"/>
          <w:sz w:val="20"/>
          <w:lang w:val="en-US"/>
        </w:rPr>
        <w:t>Provided that the rate for companies shall be as specified in Division II of Part I of First Schedule, in respective of debt securities;</w:t>
      </w:r>
    </w:p>
    <w:p w:rsidR="00B27E6C" w:rsidRPr="009A5977" w:rsidRDefault="00B27E6C" w:rsidP="00B27E6C">
      <w:pPr>
        <w:jc w:val="center"/>
        <w:rPr>
          <w:b/>
          <w:bCs/>
          <w:color w:val="000000" w:themeColor="text1"/>
          <w:sz w:val="20"/>
        </w:rPr>
      </w:pPr>
    </w:p>
    <w:p w:rsidR="00B27E6C" w:rsidRPr="009A5977" w:rsidRDefault="00B27E6C" w:rsidP="00B27E6C">
      <w:pPr>
        <w:autoSpaceDE w:val="0"/>
        <w:autoSpaceDN w:val="0"/>
        <w:adjustRightInd w:val="0"/>
        <w:ind w:left="1094" w:firstLine="547"/>
        <w:jc w:val="both"/>
        <w:rPr>
          <w:rFonts w:cs="Arial"/>
          <w:color w:val="000000" w:themeColor="text1"/>
          <w:sz w:val="20"/>
          <w:lang w:val="en-US"/>
        </w:rPr>
      </w:pPr>
      <w:r w:rsidRPr="009A5977">
        <w:rPr>
          <w:rFonts w:cs="Arial"/>
          <w:color w:val="000000" w:themeColor="text1"/>
          <w:sz w:val="20"/>
          <w:lang w:val="en-US"/>
        </w:rPr>
        <w:t>Provided further that a mutual fund or a collective investment scheme or a REIT scheme shall deduct Capital Gains Tax at the rates as specified below, on redemption of securities as prescribed, namely:—</w:t>
      </w:r>
    </w:p>
    <w:p w:rsidR="00B27E6C" w:rsidRPr="009A5977" w:rsidRDefault="00B27E6C" w:rsidP="00B27E6C">
      <w:pPr>
        <w:autoSpaceDE w:val="0"/>
        <w:autoSpaceDN w:val="0"/>
        <w:adjustRightInd w:val="0"/>
        <w:ind w:left="1094" w:firstLine="547"/>
        <w:jc w:val="both"/>
        <w:rPr>
          <w:rFonts w:cs="Arial"/>
          <w:color w:val="000000" w:themeColor="text1"/>
          <w:sz w:val="20"/>
          <w:lang w:val="en-US"/>
        </w:rPr>
      </w:pPr>
    </w:p>
    <w:tbl>
      <w:tblPr>
        <w:tblStyle w:val="TableGrid"/>
        <w:tblpPr w:leftFromText="180" w:rightFromText="180" w:vertAnchor="text" w:horzAnchor="margin" w:tblpXSpec="center" w:tblpY="11"/>
        <w:tblW w:w="0" w:type="auto"/>
        <w:tblLook w:val="04A0"/>
      </w:tblPr>
      <w:tblGrid>
        <w:gridCol w:w="3708"/>
        <w:gridCol w:w="1980"/>
      </w:tblGrid>
      <w:tr w:rsidR="00B27E6C" w:rsidRPr="009A5977" w:rsidTr="00214261">
        <w:trPr>
          <w:trHeight w:val="160"/>
        </w:trPr>
        <w:tc>
          <w:tcPr>
            <w:tcW w:w="3708" w:type="dxa"/>
          </w:tcPr>
          <w:p w:rsidR="00B27E6C" w:rsidRPr="009A5977" w:rsidRDefault="00B27E6C" w:rsidP="00214261">
            <w:pPr>
              <w:autoSpaceDE w:val="0"/>
              <w:autoSpaceDN w:val="0"/>
              <w:adjustRightInd w:val="0"/>
              <w:ind w:left="990"/>
              <w:rPr>
                <w:rFonts w:cs="Arial"/>
                <w:color w:val="000000" w:themeColor="text1"/>
                <w:sz w:val="20"/>
                <w:lang w:val="en-US"/>
              </w:rPr>
            </w:pPr>
            <w:r w:rsidRPr="009A5977">
              <w:rPr>
                <w:rFonts w:cs="Arial"/>
                <w:color w:val="000000" w:themeColor="text1"/>
                <w:sz w:val="20"/>
                <w:lang w:val="en-US"/>
              </w:rPr>
              <w:t>Category</w:t>
            </w:r>
          </w:p>
          <w:p w:rsidR="00B27E6C" w:rsidRPr="009A5977" w:rsidRDefault="00B27E6C" w:rsidP="00214261">
            <w:pPr>
              <w:autoSpaceDE w:val="0"/>
              <w:autoSpaceDN w:val="0"/>
              <w:adjustRightInd w:val="0"/>
              <w:jc w:val="both"/>
              <w:rPr>
                <w:color w:val="000000" w:themeColor="text1"/>
                <w:sz w:val="20"/>
              </w:rPr>
            </w:pPr>
          </w:p>
        </w:tc>
        <w:tc>
          <w:tcPr>
            <w:tcW w:w="1980" w:type="dxa"/>
          </w:tcPr>
          <w:p w:rsidR="00B27E6C" w:rsidRPr="009A5977" w:rsidRDefault="00B27E6C" w:rsidP="00214261">
            <w:pPr>
              <w:autoSpaceDE w:val="0"/>
              <w:autoSpaceDN w:val="0"/>
              <w:adjustRightInd w:val="0"/>
              <w:ind w:left="1803" w:hanging="913"/>
              <w:rPr>
                <w:rFonts w:cs="Arial"/>
                <w:color w:val="000000" w:themeColor="text1"/>
                <w:sz w:val="20"/>
                <w:lang w:val="en-US"/>
              </w:rPr>
            </w:pPr>
            <w:r w:rsidRPr="009A5977">
              <w:rPr>
                <w:rFonts w:cs="Arial"/>
                <w:color w:val="000000" w:themeColor="text1"/>
                <w:sz w:val="20"/>
                <w:lang w:val="en-US"/>
              </w:rPr>
              <w:t>Rate</w:t>
            </w:r>
          </w:p>
          <w:p w:rsidR="00B27E6C" w:rsidRPr="009A5977" w:rsidRDefault="00B27E6C" w:rsidP="00214261">
            <w:pPr>
              <w:autoSpaceDE w:val="0"/>
              <w:autoSpaceDN w:val="0"/>
              <w:adjustRightInd w:val="0"/>
              <w:jc w:val="both"/>
              <w:rPr>
                <w:color w:val="000000" w:themeColor="text1"/>
                <w:sz w:val="20"/>
              </w:rPr>
            </w:pPr>
          </w:p>
        </w:tc>
      </w:tr>
      <w:tr w:rsidR="00B27E6C" w:rsidRPr="009A5977" w:rsidTr="00214261">
        <w:trPr>
          <w:trHeight w:val="316"/>
        </w:trPr>
        <w:tc>
          <w:tcPr>
            <w:tcW w:w="3708" w:type="dxa"/>
          </w:tcPr>
          <w:p w:rsidR="00B27E6C" w:rsidRPr="009A5977" w:rsidRDefault="00B27E6C" w:rsidP="00214261">
            <w:pPr>
              <w:autoSpaceDE w:val="0"/>
              <w:autoSpaceDN w:val="0"/>
              <w:adjustRightInd w:val="0"/>
              <w:ind w:left="90"/>
              <w:rPr>
                <w:rFonts w:cs="Arial"/>
                <w:color w:val="000000" w:themeColor="text1"/>
                <w:sz w:val="20"/>
                <w:lang w:val="en-US"/>
              </w:rPr>
            </w:pPr>
            <w:r w:rsidRPr="009A5977">
              <w:rPr>
                <w:rFonts w:cs="Arial"/>
                <w:color w:val="000000" w:themeColor="text1"/>
                <w:sz w:val="20"/>
                <w:lang w:val="en-US"/>
              </w:rPr>
              <w:t>Individual and association of persons</w:t>
            </w:r>
          </w:p>
        </w:tc>
        <w:tc>
          <w:tcPr>
            <w:tcW w:w="1980" w:type="dxa"/>
          </w:tcPr>
          <w:p w:rsidR="00B27E6C" w:rsidRPr="009A5977" w:rsidRDefault="00B27E6C" w:rsidP="00214261">
            <w:pPr>
              <w:autoSpaceDE w:val="0"/>
              <w:autoSpaceDN w:val="0"/>
              <w:adjustRightInd w:val="0"/>
              <w:rPr>
                <w:rFonts w:cs="Arial"/>
                <w:color w:val="000000" w:themeColor="text1"/>
                <w:sz w:val="20"/>
                <w:lang w:val="en-US"/>
              </w:rPr>
            </w:pPr>
            <w:r w:rsidRPr="009A5977">
              <w:rPr>
                <w:rFonts w:cs="Arial"/>
                <w:color w:val="000000" w:themeColor="text1"/>
                <w:sz w:val="20"/>
                <w:lang w:val="en-US"/>
              </w:rPr>
              <w:t>10% for stock funds</w:t>
            </w:r>
          </w:p>
          <w:p w:rsidR="00B27E6C" w:rsidRPr="009A5977" w:rsidRDefault="00B27E6C" w:rsidP="00214261">
            <w:pPr>
              <w:autoSpaceDE w:val="0"/>
              <w:autoSpaceDN w:val="0"/>
              <w:adjustRightInd w:val="0"/>
              <w:rPr>
                <w:rFonts w:cs="Arial"/>
                <w:color w:val="000000" w:themeColor="text1"/>
                <w:sz w:val="20"/>
                <w:lang w:val="en-US"/>
              </w:rPr>
            </w:pPr>
            <w:r w:rsidRPr="009A5977">
              <w:rPr>
                <w:rFonts w:cs="Arial"/>
                <w:color w:val="000000" w:themeColor="text1"/>
                <w:sz w:val="20"/>
                <w:lang w:val="en-US"/>
              </w:rPr>
              <w:t>10% for other funds</w:t>
            </w:r>
          </w:p>
        </w:tc>
      </w:tr>
      <w:tr w:rsidR="00B27E6C" w:rsidRPr="009A5977" w:rsidTr="00214261">
        <w:trPr>
          <w:trHeight w:val="147"/>
        </w:trPr>
        <w:tc>
          <w:tcPr>
            <w:tcW w:w="3708" w:type="dxa"/>
          </w:tcPr>
          <w:p w:rsidR="00B27E6C" w:rsidRPr="009A5977" w:rsidRDefault="00B27E6C" w:rsidP="00214261">
            <w:pPr>
              <w:autoSpaceDE w:val="0"/>
              <w:autoSpaceDN w:val="0"/>
              <w:adjustRightInd w:val="0"/>
              <w:ind w:left="90"/>
              <w:rPr>
                <w:rFonts w:cs="Arial"/>
                <w:color w:val="000000" w:themeColor="text1"/>
                <w:sz w:val="20"/>
                <w:lang w:val="en-US"/>
              </w:rPr>
            </w:pPr>
            <w:r w:rsidRPr="009A5977">
              <w:rPr>
                <w:rFonts w:cs="Arial"/>
                <w:color w:val="000000" w:themeColor="text1"/>
                <w:sz w:val="20"/>
                <w:lang w:val="en-US"/>
              </w:rPr>
              <w:t xml:space="preserve">Company </w:t>
            </w:r>
          </w:p>
          <w:p w:rsidR="00B27E6C" w:rsidRPr="009A5977" w:rsidRDefault="00B27E6C" w:rsidP="00214261">
            <w:pPr>
              <w:autoSpaceDE w:val="0"/>
              <w:autoSpaceDN w:val="0"/>
              <w:adjustRightInd w:val="0"/>
              <w:ind w:left="990" w:hanging="900"/>
              <w:rPr>
                <w:rFonts w:cs="Arial"/>
                <w:color w:val="000000" w:themeColor="text1"/>
                <w:sz w:val="20"/>
                <w:lang w:val="en-US"/>
              </w:rPr>
            </w:pPr>
          </w:p>
        </w:tc>
        <w:tc>
          <w:tcPr>
            <w:tcW w:w="1980" w:type="dxa"/>
          </w:tcPr>
          <w:p w:rsidR="00B27E6C" w:rsidRPr="009A5977" w:rsidRDefault="00B27E6C" w:rsidP="00214261">
            <w:pPr>
              <w:autoSpaceDE w:val="0"/>
              <w:autoSpaceDN w:val="0"/>
              <w:adjustRightInd w:val="0"/>
              <w:rPr>
                <w:rFonts w:cs="Arial"/>
                <w:color w:val="000000" w:themeColor="text1"/>
                <w:sz w:val="20"/>
                <w:lang w:val="en-US"/>
              </w:rPr>
            </w:pPr>
            <w:r w:rsidRPr="009A5977">
              <w:rPr>
                <w:rFonts w:cs="Arial"/>
                <w:color w:val="000000" w:themeColor="text1"/>
                <w:sz w:val="20"/>
                <w:lang w:val="en-US"/>
              </w:rPr>
              <w:t>10% for stock funds</w:t>
            </w:r>
          </w:p>
          <w:p w:rsidR="00B27E6C" w:rsidRPr="009A5977" w:rsidRDefault="00B27E6C" w:rsidP="00214261">
            <w:pPr>
              <w:autoSpaceDE w:val="0"/>
              <w:autoSpaceDN w:val="0"/>
              <w:adjustRightInd w:val="0"/>
              <w:rPr>
                <w:rFonts w:cs="Arial"/>
                <w:color w:val="000000" w:themeColor="text1"/>
                <w:sz w:val="20"/>
                <w:lang w:val="en-US"/>
              </w:rPr>
            </w:pPr>
            <w:r w:rsidRPr="009A5977">
              <w:rPr>
                <w:rFonts w:cs="Arial"/>
                <w:color w:val="000000" w:themeColor="text1"/>
                <w:sz w:val="20"/>
                <w:lang w:val="en-US"/>
              </w:rPr>
              <w:t>25% for other funds</w:t>
            </w:r>
          </w:p>
          <w:p w:rsidR="00B27E6C" w:rsidRPr="009A5977" w:rsidRDefault="00B27E6C" w:rsidP="00214261">
            <w:pPr>
              <w:autoSpaceDE w:val="0"/>
              <w:autoSpaceDN w:val="0"/>
              <w:adjustRightInd w:val="0"/>
              <w:rPr>
                <w:rFonts w:cs="Arial"/>
                <w:color w:val="000000" w:themeColor="text1"/>
                <w:sz w:val="20"/>
                <w:lang w:val="en-US"/>
              </w:rPr>
            </w:pPr>
          </w:p>
        </w:tc>
      </w:tr>
    </w:tbl>
    <w:p w:rsidR="00B27E6C" w:rsidRDefault="00B27E6C" w:rsidP="00B27E6C">
      <w:pPr>
        <w:autoSpaceDE w:val="0"/>
        <w:autoSpaceDN w:val="0"/>
        <w:adjustRightInd w:val="0"/>
        <w:ind w:left="1094" w:firstLine="547"/>
        <w:jc w:val="both"/>
        <w:rPr>
          <w:rFonts w:cs="Arial"/>
          <w:color w:val="984806" w:themeColor="accent6" w:themeShade="80"/>
          <w:sz w:val="20"/>
          <w:lang w:val="en-US"/>
        </w:rPr>
      </w:pPr>
    </w:p>
    <w:p w:rsidR="00B27E6C" w:rsidRDefault="00B27E6C" w:rsidP="00B27E6C">
      <w:pPr>
        <w:ind w:left="1094" w:firstLine="547"/>
        <w:jc w:val="both"/>
        <w:rPr>
          <w:rFonts w:cs="Arial"/>
          <w:color w:val="984806" w:themeColor="accent6" w:themeShade="80"/>
          <w:sz w:val="20"/>
          <w:lang w:val="en-US"/>
        </w:rPr>
      </w:pPr>
    </w:p>
    <w:p w:rsidR="00B27E6C" w:rsidRPr="009A5977" w:rsidRDefault="00B27E6C" w:rsidP="00B27E6C">
      <w:pPr>
        <w:ind w:left="1094" w:firstLine="547"/>
        <w:jc w:val="both"/>
        <w:rPr>
          <w:rFonts w:cs="Arial"/>
          <w:color w:val="000000" w:themeColor="text1"/>
          <w:sz w:val="20"/>
          <w:lang w:val="en-US"/>
        </w:rPr>
      </w:pPr>
      <w:r w:rsidRPr="009A5977">
        <w:rPr>
          <w:rFonts w:cs="Arial"/>
          <w:color w:val="000000" w:themeColor="text1"/>
          <w:sz w:val="20"/>
          <w:lang w:val="en-US"/>
        </w:rPr>
        <w:t>Provided further that in case of a stock fund if dividend receipts of the fund are less than capital gains, the rate of tax deduction shall be 12.5%:</w:t>
      </w:r>
    </w:p>
    <w:p w:rsidR="00B27E6C" w:rsidRPr="009A5977" w:rsidRDefault="00B27E6C" w:rsidP="00B27E6C">
      <w:pPr>
        <w:ind w:left="1094" w:firstLine="547"/>
        <w:jc w:val="both"/>
        <w:rPr>
          <w:rFonts w:cs="Arial"/>
          <w:color w:val="000000" w:themeColor="text1"/>
          <w:sz w:val="20"/>
          <w:lang w:val="en-US"/>
        </w:rPr>
      </w:pPr>
    </w:p>
    <w:p w:rsidR="00B27E6C" w:rsidRPr="009A5977" w:rsidRDefault="00B27E6C" w:rsidP="00B27E6C">
      <w:pPr>
        <w:autoSpaceDE w:val="0"/>
        <w:autoSpaceDN w:val="0"/>
        <w:adjustRightInd w:val="0"/>
        <w:ind w:left="1094" w:firstLine="547"/>
        <w:jc w:val="both"/>
        <w:rPr>
          <w:color w:val="000000" w:themeColor="text1"/>
          <w:sz w:val="20"/>
        </w:rPr>
      </w:pPr>
      <w:r w:rsidRPr="009A5977">
        <w:rPr>
          <w:rFonts w:cs="Arial"/>
          <w:color w:val="000000" w:themeColor="text1"/>
          <w:sz w:val="20"/>
          <w:lang w:val="en-US"/>
        </w:rPr>
        <w:t>Provided further that no capital gains tax shall be deducted, if the holding period of the security is more than four years.”]</w:t>
      </w:r>
    </w:p>
    <w:p w:rsidR="00B27E6C" w:rsidRPr="009A5977" w:rsidRDefault="00B27E6C" w:rsidP="00AA4BF8">
      <w:pPr>
        <w:jc w:val="center"/>
        <w:rPr>
          <w:b/>
          <w:bCs/>
          <w:color w:val="000000" w:themeColor="text1"/>
          <w:sz w:val="20"/>
        </w:rPr>
      </w:pPr>
    </w:p>
    <w:p w:rsidR="00B27E6C" w:rsidRDefault="00B27E6C" w:rsidP="00AA4BF8">
      <w:pPr>
        <w:jc w:val="center"/>
        <w:rPr>
          <w:b/>
          <w:bCs/>
          <w:color w:val="984806" w:themeColor="accent6" w:themeShade="80"/>
          <w:sz w:val="20"/>
        </w:rPr>
      </w:pPr>
    </w:p>
    <w:p w:rsidR="00AA4BF8" w:rsidRPr="00412620" w:rsidRDefault="00AA4BF8" w:rsidP="00AA4BF8">
      <w:pPr>
        <w:jc w:val="center"/>
        <w:rPr>
          <w:b/>
          <w:bCs/>
          <w:sz w:val="28"/>
          <w:szCs w:val="28"/>
        </w:rPr>
      </w:pPr>
      <w:r w:rsidRPr="00412620">
        <w:rPr>
          <w:rStyle w:val="FootnoteReference"/>
          <w:rFonts w:cs="Arial"/>
          <w:b/>
          <w:bCs/>
          <w:sz w:val="20"/>
        </w:rPr>
        <w:footnoteReference w:id="1621"/>
      </w:r>
      <w:r w:rsidRPr="00412620">
        <w:rPr>
          <w:b/>
          <w:bCs/>
          <w:sz w:val="28"/>
          <w:szCs w:val="28"/>
        </w:rPr>
        <w:t>[</w:t>
      </w:r>
      <w:r w:rsidR="00C977C4">
        <w:rPr>
          <w:b/>
          <w:bCs/>
          <w:sz w:val="28"/>
          <w:szCs w:val="28"/>
        </w:rPr>
        <w:t>“</w:t>
      </w:r>
      <w:r w:rsidRPr="00412620">
        <w:rPr>
          <w:b/>
          <w:bCs/>
          <w:sz w:val="28"/>
          <w:szCs w:val="28"/>
        </w:rPr>
        <w:t>Division VIII</w:t>
      </w:r>
    </w:p>
    <w:p w:rsidR="00AA4BF8" w:rsidRPr="00412620" w:rsidRDefault="00AA4BF8" w:rsidP="00AA4BF8">
      <w:pPr>
        <w:jc w:val="center"/>
        <w:rPr>
          <w:b/>
          <w:bCs/>
          <w:sz w:val="20"/>
        </w:rPr>
      </w:pPr>
      <w:r w:rsidRPr="00412620">
        <w:rPr>
          <w:b/>
          <w:bCs/>
          <w:sz w:val="20"/>
        </w:rPr>
        <w:t>Capital Gains on disposal of Immovable Property</w:t>
      </w:r>
    </w:p>
    <w:p w:rsidR="00AA4BF8" w:rsidRPr="00412620" w:rsidRDefault="00AA4BF8" w:rsidP="00AA4BF8">
      <w:pPr>
        <w:jc w:val="center"/>
        <w:rPr>
          <w:b/>
          <w:bCs/>
          <w:sz w:val="20"/>
        </w:rPr>
      </w:pPr>
    </w:p>
    <w:p w:rsidR="00AA4BF8" w:rsidRDefault="00AA4BF8" w:rsidP="00AA4BF8">
      <w:pPr>
        <w:jc w:val="both"/>
        <w:rPr>
          <w:sz w:val="20"/>
        </w:rPr>
      </w:pPr>
      <w:r w:rsidRPr="00412620">
        <w:rPr>
          <w:sz w:val="20"/>
        </w:rPr>
        <w:tab/>
      </w:r>
      <w:r w:rsidRPr="00412620">
        <w:rPr>
          <w:sz w:val="20"/>
        </w:rPr>
        <w:tab/>
        <w:t>The rate of tax to be paid under sub-section (1A) of section 37 shall be as follows:—</w:t>
      </w:r>
    </w:p>
    <w:p w:rsidR="00072E4B" w:rsidRDefault="00072E4B" w:rsidP="00AA4BF8">
      <w:pPr>
        <w:jc w:val="both"/>
        <w:rPr>
          <w:sz w:val="20"/>
        </w:rPr>
      </w:pPr>
    </w:p>
    <w:tbl>
      <w:tblPr>
        <w:tblStyle w:val="TableGrid"/>
        <w:tblW w:w="0" w:type="auto"/>
        <w:tblInd w:w="828" w:type="dxa"/>
        <w:tblLook w:val="04A0"/>
      </w:tblPr>
      <w:tblGrid>
        <w:gridCol w:w="810"/>
        <w:gridCol w:w="4500"/>
        <w:gridCol w:w="1278"/>
      </w:tblGrid>
      <w:tr w:rsidR="00072E4B" w:rsidRPr="00F25C49" w:rsidTr="00066668">
        <w:tc>
          <w:tcPr>
            <w:tcW w:w="810" w:type="dxa"/>
          </w:tcPr>
          <w:p w:rsidR="00072E4B" w:rsidRPr="00F25C49" w:rsidRDefault="00072E4B" w:rsidP="00072E4B">
            <w:pPr>
              <w:ind w:left="-108" w:right="-79"/>
              <w:jc w:val="center"/>
              <w:rPr>
                <w:rFonts w:cs="Arial"/>
                <w:color w:val="FF0000"/>
                <w:sz w:val="20"/>
              </w:rPr>
            </w:pPr>
            <w:r w:rsidRPr="00D41075">
              <w:rPr>
                <w:rStyle w:val="FootnoteReference"/>
                <w:rFonts w:cs="Arial"/>
                <w:color w:val="FF0000"/>
                <w:sz w:val="20"/>
              </w:rPr>
              <w:footnoteReference w:id="1622"/>
            </w:r>
            <w:r>
              <w:rPr>
                <w:rFonts w:cs="Arial"/>
                <w:color w:val="FF0000"/>
                <w:sz w:val="20"/>
              </w:rPr>
              <w:t xml:space="preserve"> [</w:t>
            </w:r>
            <w:r w:rsidRPr="00F25C49">
              <w:rPr>
                <w:rFonts w:cs="Arial"/>
                <w:color w:val="FF0000"/>
                <w:sz w:val="20"/>
              </w:rPr>
              <w:t>“S.No.</w:t>
            </w:r>
          </w:p>
        </w:tc>
        <w:tc>
          <w:tcPr>
            <w:tcW w:w="4500" w:type="dxa"/>
          </w:tcPr>
          <w:p w:rsidR="00072E4B" w:rsidRPr="00F25C49" w:rsidRDefault="00072E4B" w:rsidP="00072E4B">
            <w:pPr>
              <w:jc w:val="center"/>
              <w:rPr>
                <w:rFonts w:cs="Arial"/>
                <w:color w:val="FF0000"/>
                <w:sz w:val="20"/>
              </w:rPr>
            </w:pPr>
            <w:r w:rsidRPr="00F25C49">
              <w:rPr>
                <w:rFonts w:cs="Arial"/>
                <w:color w:val="FF0000"/>
                <w:sz w:val="20"/>
              </w:rPr>
              <w:t>Period</w:t>
            </w:r>
          </w:p>
        </w:tc>
        <w:tc>
          <w:tcPr>
            <w:tcW w:w="1278" w:type="dxa"/>
          </w:tcPr>
          <w:p w:rsidR="00072E4B" w:rsidRPr="00F25C49" w:rsidRDefault="00072E4B" w:rsidP="00072E4B">
            <w:pPr>
              <w:jc w:val="center"/>
              <w:rPr>
                <w:rFonts w:cs="Arial"/>
                <w:color w:val="FF0000"/>
                <w:sz w:val="20"/>
              </w:rPr>
            </w:pPr>
            <w:r w:rsidRPr="00F25C49">
              <w:rPr>
                <w:rFonts w:cs="Arial"/>
                <w:color w:val="FF0000"/>
                <w:sz w:val="20"/>
              </w:rPr>
              <w:t>Rate of tax</w:t>
            </w:r>
          </w:p>
        </w:tc>
      </w:tr>
      <w:tr w:rsidR="00072E4B" w:rsidRPr="00F25C49" w:rsidTr="00066668">
        <w:tc>
          <w:tcPr>
            <w:tcW w:w="810" w:type="dxa"/>
          </w:tcPr>
          <w:p w:rsidR="00072E4B" w:rsidRPr="00F25C49" w:rsidRDefault="00072E4B" w:rsidP="00072E4B">
            <w:pPr>
              <w:jc w:val="center"/>
              <w:rPr>
                <w:rFonts w:cs="Arial"/>
                <w:color w:val="FF0000"/>
                <w:sz w:val="20"/>
              </w:rPr>
            </w:pPr>
            <w:r w:rsidRPr="00F25C49">
              <w:rPr>
                <w:rFonts w:cs="Arial"/>
                <w:color w:val="FF0000"/>
                <w:sz w:val="20"/>
              </w:rPr>
              <w:lastRenderedPageBreak/>
              <w:t>(1)</w:t>
            </w:r>
          </w:p>
        </w:tc>
        <w:tc>
          <w:tcPr>
            <w:tcW w:w="4500" w:type="dxa"/>
          </w:tcPr>
          <w:p w:rsidR="00072E4B" w:rsidRPr="00F25C49" w:rsidRDefault="00072E4B" w:rsidP="00072E4B">
            <w:pPr>
              <w:jc w:val="center"/>
              <w:rPr>
                <w:rFonts w:cs="Arial"/>
                <w:color w:val="FF0000"/>
                <w:sz w:val="20"/>
              </w:rPr>
            </w:pPr>
            <w:r w:rsidRPr="00F25C49">
              <w:rPr>
                <w:rFonts w:cs="Arial"/>
                <w:color w:val="FF0000"/>
                <w:sz w:val="20"/>
              </w:rPr>
              <w:t>(2)</w:t>
            </w:r>
          </w:p>
        </w:tc>
        <w:tc>
          <w:tcPr>
            <w:tcW w:w="1278" w:type="dxa"/>
          </w:tcPr>
          <w:p w:rsidR="00072E4B" w:rsidRPr="00F25C49" w:rsidRDefault="00072E4B" w:rsidP="00072E4B">
            <w:pPr>
              <w:jc w:val="center"/>
              <w:rPr>
                <w:rFonts w:cs="Arial"/>
                <w:color w:val="FF0000"/>
                <w:sz w:val="20"/>
              </w:rPr>
            </w:pPr>
            <w:r w:rsidRPr="00F25C49">
              <w:rPr>
                <w:rFonts w:cs="Arial"/>
                <w:color w:val="FF0000"/>
                <w:sz w:val="20"/>
              </w:rPr>
              <w:t>(3)</w:t>
            </w:r>
          </w:p>
        </w:tc>
      </w:tr>
      <w:tr w:rsidR="00072E4B" w:rsidRPr="00F25C49" w:rsidTr="00072E4B">
        <w:tc>
          <w:tcPr>
            <w:tcW w:w="6588" w:type="dxa"/>
            <w:gridSpan w:val="3"/>
          </w:tcPr>
          <w:p w:rsidR="00072E4B" w:rsidRPr="00F25C49" w:rsidRDefault="00072E4B" w:rsidP="00072E4B">
            <w:pPr>
              <w:jc w:val="both"/>
              <w:rPr>
                <w:rFonts w:cs="Arial"/>
                <w:color w:val="FF0000"/>
                <w:sz w:val="20"/>
              </w:rPr>
            </w:pPr>
            <w:r w:rsidRPr="00F25C49">
              <w:rPr>
                <w:rFonts w:cs="Arial"/>
                <w:color w:val="FF0000"/>
                <w:sz w:val="20"/>
              </w:rPr>
              <w:t>For immovable property allotted to persons mentioned in sub-section (4) of section 236C</w:t>
            </w:r>
          </w:p>
        </w:tc>
      </w:tr>
      <w:tr w:rsidR="00072E4B" w:rsidRPr="00F25C49" w:rsidTr="00066668">
        <w:tc>
          <w:tcPr>
            <w:tcW w:w="810" w:type="dxa"/>
          </w:tcPr>
          <w:p w:rsidR="00072E4B" w:rsidRPr="00F25C49" w:rsidRDefault="00072E4B" w:rsidP="00072E4B">
            <w:pPr>
              <w:jc w:val="center"/>
              <w:rPr>
                <w:rFonts w:cs="Arial"/>
                <w:color w:val="FF0000"/>
                <w:sz w:val="20"/>
              </w:rPr>
            </w:pPr>
            <w:r w:rsidRPr="00F25C49">
              <w:rPr>
                <w:rFonts w:cs="Arial"/>
                <w:color w:val="FF0000"/>
                <w:sz w:val="20"/>
              </w:rPr>
              <w:t>1.</w:t>
            </w:r>
          </w:p>
        </w:tc>
        <w:tc>
          <w:tcPr>
            <w:tcW w:w="4500" w:type="dxa"/>
          </w:tcPr>
          <w:p w:rsidR="00072E4B" w:rsidRPr="00F25C49" w:rsidRDefault="00072E4B" w:rsidP="00072E4B">
            <w:pPr>
              <w:jc w:val="both"/>
              <w:rPr>
                <w:rFonts w:cs="Arial"/>
                <w:color w:val="FF0000"/>
                <w:sz w:val="20"/>
              </w:rPr>
            </w:pPr>
            <w:r w:rsidRPr="00F25C49">
              <w:rPr>
                <w:rFonts w:cs="Arial"/>
                <w:color w:val="FF0000"/>
                <w:sz w:val="20"/>
              </w:rPr>
              <w:t>Immovable property is held irrespective of the holding period.</w:t>
            </w:r>
          </w:p>
        </w:tc>
        <w:tc>
          <w:tcPr>
            <w:tcW w:w="1278" w:type="dxa"/>
          </w:tcPr>
          <w:p w:rsidR="00072E4B" w:rsidRPr="00F25C49" w:rsidRDefault="00072E4B" w:rsidP="00072E4B">
            <w:pPr>
              <w:jc w:val="center"/>
              <w:rPr>
                <w:rFonts w:cs="Arial"/>
                <w:color w:val="FF0000"/>
                <w:sz w:val="20"/>
              </w:rPr>
            </w:pPr>
            <w:r w:rsidRPr="00F25C49">
              <w:rPr>
                <w:rFonts w:cs="Arial"/>
                <w:color w:val="FF0000"/>
                <w:sz w:val="20"/>
              </w:rPr>
              <w:t>0%</w:t>
            </w:r>
          </w:p>
        </w:tc>
      </w:tr>
      <w:tr w:rsidR="00072E4B" w:rsidRPr="00F25C49" w:rsidTr="00072E4B">
        <w:tc>
          <w:tcPr>
            <w:tcW w:w="6588" w:type="dxa"/>
            <w:gridSpan w:val="3"/>
          </w:tcPr>
          <w:p w:rsidR="00072E4B" w:rsidRPr="00F25C49" w:rsidRDefault="00072E4B" w:rsidP="00066668">
            <w:pPr>
              <w:jc w:val="both"/>
              <w:rPr>
                <w:rFonts w:cs="Arial"/>
                <w:color w:val="FF0000"/>
                <w:sz w:val="20"/>
              </w:rPr>
            </w:pPr>
            <w:r w:rsidRPr="00F25C49">
              <w:rPr>
                <w:rFonts w:cs="Arial"/>
                <w:color w:val="FF0000"/>
                <w:sz w:val="20"/>
              </w:rPr>
              <w:t>For immovable property acquired on or after July 1, 2016, other than those mentioned against S. No. 1</w:t>
            </w:r>
          </w:p>
        </w:tc>
      </w:tr>
      <w:tr w:rsidR="00072E4B" w:rsidRPr="00F25C49" w:rsidTr="00066668">
        <w:tc>
          <w:tcPr>
            <w:tcW w:w="810" w:type="dxa"/>
          </w:tcPr>
          <w:p w:rsidR="00072E4B" w:rsidRPr="00F25C49" w:rsidRDefault="00072E4B" w:rsidP="00072E4B">
            <w:pPr>
              <w:jc w:val="center"/>
              <w:rPr>
                <w:rFonts w:cs="Arial"/>
                <w:color w:val="FF0000"/>
                <w:sz w:val="20"/>
              </w:rPr>
            </w:pPr>
            <w:r w:rsidRPr="00F25C49">
              <w:rPr>
                <w:rFonts w:cs="Arial"/>
                <w:color w:val="FF0000"/>
                <w:sz w:val="20"/>
              </w:rPr>
              <w:t>2.</w:t>
            </w:r>
          </w:p>
        </w:tc>
        <w:tc>
          <w:tcPr>
            <w:tcW w:w="4500" w:type="dxa"/>
          </w:tcPr>
          <w:p w:rsidR="00072E4B" w:rsidRPr="00F25C49" w:rsidRDefault="00072E4B" w:rsidP="00072E4B">
            <w:pPr>
              <w:jc w:val="both"/>
              <w:rPr>
                <w:rFonts w:cs="Arial"/>
                <w:color w:val="FF0000"/>
                <w:sz w:val="20"/>
              </w:rPr>
            </w:pPr>
            <w:r w:rsidRPr="00F25C49">
              <w:rPr>
                <w:rFonts w:cs="Arial"/>
                <w:color w:val="FF0000"/>
                <w:sz w:val="20"/>
              </w:rPr>
              <w:t>Where holding period of immovable property is up to one year.</w:t>
            </w:r>
          </w:p>
        </w:tc>
        <w:tc>
          <w:tcPr>
            <w:tcW w:w="1278" w:type="dxa"/>
          </w:tcPr>
          <w:p w:rsidR="00072E4B" w:rsidRPr="00F25C49" w:rsidRDefault="00072E4B" w:rsidP="00072E4B">
            <w:pPr>
              <w:jc w:val="center"/>
              <w:rPr>
                <w:rFonts w:cs="Arial"/>
                <w:color w:val="FF0000"/>
                <w:sz w:val="20"/>
              </w:rPr>
            </w:pPr>
            <w:r w:rsidRPr="00F25C49">
              <w:rPr>
                <w:rFonts w:cs="Arial"/>
                <w:color w:val="FF0000"/>
                <w:sz w:val="20"/>
              </w:rPr>
              <w:t>10%</w:t>
            </w:r>
          </w:p>
        </w:tc>
      </w:tr>
      <w:tr w:rsidR="00072E4B" w:rsidRPr="00F25C49" w:rsidTr="00066668">
        <w:tc>
          <w:tcPr>
            <w:tcW w:w="810" w:type="dxa"/>
          </w:tcPr>
          <w:p w:rsidR="00072E4B" w:rsidRPr="00F25C49" w:rsidRDefault="00072E4B" w:rsidP="00072E4B">
            <w:pPr>
              <w:jc w:val="center"/>
              <w:rPr>
                <w:rFonts w:cs="Arial"/>
                <w:color w:val="FF0000"/>
                <w:sz w:val="20"/>
              </w:rPr>
            </w:pPr>
            <w:r w:rsidRPr="00F25C49">
              <w:rPr>
                <w:rFonts w:cs="Arial"/>
                <w:color w:val="FF0000"/>
                <w:sz w:val="20"/>
              </w:rPr>
              <w:t>3.</w:t>
            </w:r>
          </w:p>
        </w:tc>
        <w:tc>
          <w:tcPr>
            <w:tcW w:w="4500" w:type="dxa"/>
          </w:tcPr>
          <w:p w:rsidR="00072E4B" w:rsidRPr="00F25C49" w:rsidRDefault="00072E4B" w:rsidP="00072E4B">
            <w:pPr>
              <w:jc w:val="both"/>
              <w:rPr>
                <w:rFonts w:cs="Arial"/>
                <w:color w:val="FF0000"/>
                <w:sz w:val="20"/>
              </w:rPr>
            </w:pPr>
            <w:r w:rsidRPr="00F25C49">
              <w:rPr>
                <w:rFonts w:cs="Arial"/>
                <w:color w:val="FF0000"/>
                <w:sz w:val="20"/>
              </w:rPr>
              <w:t>Where holding period of immovable property is more than one year but less than two years.</w:t>
            </w:r>
          </w:p>
        </w:tc>
        <w:tc>
          <w:tcPr>
            <w:tcW w:w="1278" w:type="dxa"/>
          </w:tcPr>
          <w:p w:rsidR="00072E4B" w:rsidRPr="00F25C49" w:rsidRDefault="00072E4B" w:rsidP="00072E4B">
            <w:pPr>
              <w:jc w:val="center"/>
              <w:rPr>
                <w:rFonts w:cs="Arial"/>
                <w:color w:val="FF0000"/>
                <w:sz w:val="20"/>
              </w:rPr>
            </w:pPr>
            <w:r w:rsidRPr="00F25C49">
              <w:rPr>
                <w:rFonts w:cs="Arial"/>
                <w:color w:val="FF0000"/>
                <w:sz w:val="20"/>
              </w:rPr>
              <w:t>7.5%</w:t>
            </w:r>
          </w:p>
        </w:tc>
      </w:tr>
      <w:tr w:rsidR="00072E4B" w:rsidRPr="00F25C49" w:rsidTr="00066668">
        <w:tc>
          <w:tcPr>
            <w:tcW w:w="810" w:type="dxa"/>
          </w:tcPr>
          <w:p w:rsidR="00072E4B" w:rsidRPr="00F25C49" w:rsidRDefault="00072E4B" w:rsidP="00072E4B">
            <w:pPr>
              <w:jc w:val="center"/>
              <w:rPr>
                <w:rFonts w:cs="Arial"/>
                <w:color w:val="FF0000"/>
                <w:sz w:val="20"/>
              </w:rPr>
            </w:pPr>
            <w:r w:rsidRPr="00F25C49">
              <w:rPr>
                <w:rFonts w:cs="Arial"/>
                <w:color w:val="FF0000"/>
                <w:sz w:val="20"/>
              </w:rPr>
              <w:t>4.</w:t>
            </w:r>
          </w:p>
        </w:tc>
        <w:tc>
          <w:tcPr>
            <w:tcW w:w="4500" w:type="dxa"/>
          </w:tcPr>
          <w:p w:rsidR="00072E4B" w:rsidRPr="00F25C49" w:rsidRDefault="00072E4B" w:rsidP="00072E4B">
            <w:pPr>
              <w:jc w:val="both"/>
              <w:rPr>
                <w:rFonts w:cs="Arial"/>
                <w:color w:val="FF0000"/>
                <w:sz w:val="20"/>
              </w:rPr>
            </w:pPr>
            <w:r w:rsidRPr="00F25C49">
              <w:rPr>
                <w:rFonts w:cs="Arial"/>
                <w:color w:val="FF0000"/>
                <w:sz w:val="20"/>
              </w:rPr>
              <w:t>Where holding period of immovable property is more than two years but less than three years.</w:t>
            </w:r>
          </w:p>
        </w:tc>
        <w:tc>
          <w:tcPr>
            <w:tcW w:w="1278" w:type="dxa"/>
          </w:tcPr>
          <w:p w:rsidR="00072E4B" w:rsidRPr="00F25C49" w:rsidRDefault="00072E4B" w:rsidP="00072E4B">
            <w:pPr>
              <w:jc w:val="center"/>
              <w:rPr>
                <w:rFonts w:cs="Arial"/>
                <w:color w:val="FF0000"/>
                <w:sz w:val="20"/>
              </w:rPr>
            </w:pPr>
            <w:r w:rsidRPr="00F25C49">
              <w:rPr>
                <w:rFonts w:cs="Arial"/>
                <w:color w:val="FF0000"/>
                <w:sz w:val="20"/>
              </w:rPr>
              <w:t>5%</w:t>
            </w:r>
          </w:p>
        </w:tc>
      </w:tr>
      <w:tr w:rsidR="00072E4B" w:rsidRPr="00F25C49" w:rsidTr="00066668">
        <w:tc>
          <w:tcPr>
            <w:tcW w:w="810" w:type="dxa"/>
          </w:tcPr>
          <w:p w:rsidR="00072E4B" w:rsidRPr="00F25C49" w:rsidRDefault="00072E4B" w:rsidP="00072E4B">
            <w:pPr>
              <w:jc w:val="center"/>
              <w:rPr>
                <w:rFonts w:cs="Arial"/>
                <w:color w:val="FF0000"/>
                <w:sz w:val="20"/>
              </w:rPr>
            </w:pPr>
            <w:r w:rsidRPr="00F25C49">
              <w:rPr>
                <w:rFonts w:cs="Arial"/>
                <w:color w:val="FF0000"/>
                <w:sz w:val="20"/>
              </w:rPr>
              <w:t>5.</w:t>
            </w:r>
          </w:p>
        </w:tc>
        <w:tc>
          <w:tcPr>
            <w:tcW w:w="4500" w:type="dxa"/>
          </w:tcPr>
          <w:p w:rsidR="00072E4B" w:rsidRPr="00F25C49" w:rsidRDefault="00072E4B" w:rsidP="00072E4B">
            <w:pPr>
              <w:jc w:val="both"/>
              <w:rPr>
                <w:rFonts w:cs="Arial"/>
                <w:color w:val="FF0000"/>
                <w:sz w:val="20"/>
              </w:rPr>
            </w:pPr>
            <w:r w:rsidRPr="00F25C49">
              <w:rPr>
                <w:rFonts w:cs="Arial"/>
                <w:color w:val="FF0000"/>
                <w:sz w:val="20"/>
              </w:rPr>
              <w:t>Where holding period of immovable property is more than three years.</w:t>
            </w:r>
          </w:p>
        </w:tc>
        <w:tc>
          <w:tcPr>
            <w:tcW w:w="1278" w:type="dxa"/>
          </w:tcPr>
          <w:p w:rsidR="00072E4B" w:rsidRPr="00F25C49" w:rsidRDefault="00072E4B" w:rsidP="00072E4B">
            <w:pPr>
              <w:jc w:val="center"/>
              <w:rPr>
                <w:rFonts w:cs="Arial"/>
                <w:color w:val="FF0000"/>
                <w:sz w:val="20"/>
              </w:rPr>
            </w:pPr>
            <w:r w:rsidRPr="00F25C49">
              <w:rPr>
                <w:rFonts w:cs="Arial"/>
                <w:color w:val="FF0000"/>
                <w:sz w:val="20"/>
              </w:rPr>
              <w:t>0%</w:t>
            </w:r>
          </w:p>
        </w:tc>
      </w:tr>
      <w:tr w:rsidR="00072E4B" w:rsidRPr="00F25C49" w:rsidTr="00072E4B">
        <w:tc>
          <w:tcPr>
            <w:tcW w:w="6588" w:type="dxa"/>
            <w:gridSpan w:val="3"/>
          </w:tcPr>
          <w:p w:rsidR="00072E4B" w:rsidRPr="00F25C49" w:rsidRDefault="00072E4B" w:rsidP="00C979DC">
            <w:pPr>
              <w:jc w:val="both"/>
              <w:rPr>
                <w:rFonts w:cs="Arial"/>
                <w:color w:val="FF0000"/>
                <w:sz w:val="20"/>
              </w:rPr>
            </w:pPr>
            <w:r w:rsidRPr="00F25C49">
              <w:rPr>
                <w:rFonts w:cs="Arial"/>
                <w:color w:val="FF0000"/>
                <w:sz w:val="20"/>
              </w:rPr>
              <w:t>For immovable property acquired b</w:t>
            </w:r>
            <w:r w:rsidR="00C979DC">
              <w:rPr>
                <w:rFonts w:cs="Arial"/>
                <w:color w:val="FF0000"/>
                <w:sz w:val="20"/>
              </w:rPr>
              <w:t>e</w:t>
            </w:r>
            <w:r w:rsidRPr="00F25C49">
              <w:rPr>
                <w:rFonts w:cs="Arial"/>
                <w:color w:val="FF0000"/>
                <w:sz w:val="20"/>
              </w:rPr>
              <w:t>fore July 1, 2016, other than those mentioned against S. No. 1</w:t>
            </w:r>
          </w:p>
        </w:tc>
      </w:tr>
      <w:tr w:rsidR="00072E4B" w:rsidRPr="00F25C49" w:rsidTr="00066668">
        <w:tc>
          <w:tcPr>
            <w:tcW w:w="810" w:type="dxa"/>
          </w:tcPr>
          <w:p w:rsidR="00072E4B" w:rsidRPr="00F25C49" w:rsidRDefault="00072E4B" w:rsidP="00072E4B">
            <w:pPr>
              <w:jc w:val="center"/>
              <w:rPr>
                <w:rFonts w:cs="Arial"/>
                <w:color w:val="FF0000"/>
                <w:sz w:val="20"/>
              </w:rPr>
            </w:pPr>
            <w:r w:rsidRPr="00F25C49">
              <w:rPr>
                <w:rFonts w:cs="Arial"/>
                <w:color w:val="FF0000"/>
                <w:sz w:val="20"/>
              </w:rPr>
              <w:t>6.</w:t>
            </w:r>
          </w:p>
        </w:tc>
        <w:tc>
          <w:tcPr>
            <w:tcW w:w="4500" w:type="dxa"/>
          </w:tcPr>
          <w:p w:rsidR="00072E4B" w:rsidRPr="00F25C49" w:rsidRDefault="00072E4B" w:rsidP="00072E4B">
            <w:pPr>
              <w:jc w:val="both"/>
              <w:rPr>
                <w:rFonts w:cs="Arial"/>
                <w:color w:val="FF0000"/>
                <w:sz w:val="20"/>
              </w:rPr>
            </w:pPr>
            <w:r w:rsidRPr="00F25C49">
              <w:rPr>
                <w:rFonts w:cs="Arial"/>
                <w:color w:val="FF0000"/>
                <w:sz w:val="20"/>
              </w:rPr>
              <w:t>Where holding period of immovable property is up to three years.</w:t>
            </w:r>
          </w:p>
        </w:tc>
        <w:tc>
          <w:tcPr>
            <w:tcW w:w="1278" w:type="dxa"/>
          </w:tcPr>
          <w:p w:rsidR="00072E4B" w:rsidRPr="00F25C49" w:rsidRDefault="00072E4B" w:rsidP="00072E4B">
            <w:pPr>
              <w:jc w:val="center"/>
              <w:rPr>
                <w:rFonts w:cs="Arial"/>
                <w:color w:val="FF0000"/>
                <w:sz w:val="20"/>
              </w:rPr>
            </w:pPr>
            <w:r w:rsidRPr="00F25C49">
              <w:rPr>
                <w:rFonts w:cs="Arial"/>
                <w:color w:val="FF0000"/>
                <w:sz w:val="20"/>
              </w:rPr>
              <w:t>5%</w:t>
            </w:r>
          </w:p>
        </w:tc>
      </w:tr>
      <w:tr w:rsidR="00072E4B" w:rsidRPr="00F25C49" w:rsidTr="00066668">
        <w:tc>
          <w:tcPr>
            <w:tcW w:w="810" w:type="dxa"/>
          </w:tcPr>
          <w:p w:rsidR="00072E4B" w:rsidRPr="00F25C49" w:rsidRDefault="00072E4B" w:rsidP="00072E4B">
            <w:pPr>
              <w:jc w:val="center"/>
              <w:rPr>
                <w:rFonts w:cs="Arial"/>
                <w:color w:val="FF0000"/>
                <w:sz w:val="20"/>
              </w:rPr>
            </w:pPr>
            <w:r w:rsidRPr="00F25C49">
              <w:rPr>
                <w:rFonts w:cs="Arial"/>
                <w:color w:val="FF0000"/>
                <w:sz w:val="20"/>
              </w:rPr>
              <w:t>7.</w:t>
            </w:r>
          </w:p>
        </w:tc>
        <w:tc>
          <w:tcPr>
            <w:tcW w:w="4500" w:type="dxa"/>
          </w:tcPr>
          <w:p w:rsidR="00072E4B" w:rsidRPr="00F25C49" w:rsidRDefault="00072E4B" w:rsidP="00072E4B">
            <w:pPr>
              <w:jc w:val="both"/>
              <w:rPr>
                <w:rFonts w:cs="Arial"/>
                <w:color w:val="FF0000"/>
                <w:sz w:val="20"/>
              </w:rPr>
            </w:pPr>
            <w:r w:rsidRPr="00F25C49">
              <w:rPr>
                <w:rFonts w:cs="Arial"/>
                <w:color w:val="FF0000"/>
                <w:sz w:val="20"/>
              </w:rPr>
              <w:t>Where holding period of immovable property is more than three years.</w:t>
            </w:r>
          </w:p>
        </w:tc>
        <w:tc>
          <w:tcPr>
            <w:tcW w:w="1278" w:type="dxa"/>
          </w:tcPr>
          <w:p w:rsidR="00072E4B" w:rsidRPr="00F25C49" w:rsidRDefault="00072E4B" w:rsidP="00072E4B">
            <w:pPr>
              <w:jc w:val="center"/>
              <w:rPr>
                <w:rFonts w:cs="Arial"/>
                <w:color w:val="FF0000"/>
                <w:sz w:val="20"/>
              </w:rPr>
            </w:pPr>
            <w:r w:rsidRPr="00F25C49">
              <w:rPr>
                <w:rFonts w:cs="Arial"/>
                <w:color w:val="FF0000"/>
                <w:sz w:val="20"/>
              </w:rPr>
              <w:t>0%</w:t>
            </w:r>
            <w:r>
              <w:rPr>
                <w:rFonts w:cs="Arial"/>
                <w:color w:val="FF0000"/>
                <w:sz w:val="20"/>
              </w:rPr>
              <w:t>”]</w:t>
            </w:r>
          </w:p>
        </w:tc>
      </w:tr>
    </w:tbl>
    <w:p w:rsidR="00072E4B" w:rsidRDefault="00072E4B" w:rsidP="00AA4BF8">
      <w:pPr>
        <w:jc w:val="both"/>
        <w:rPr>
          <w:sz w:val="20"/>
        </w:rPr>
      </w:pPr>
    </w:p>
    <w:p w:rsidR="00072E4B" w:rsidRDefault="00072E4B" w:rsidP="00AA4BF8">
      <w:pPr>
        <w:jc w:val="both"/>
        <w:rPr>
          <w:sz w:val="20"/>
        </w:rPr>
      </w:pPr>
    </w:p>
    <w:p w:rsidR="00072E4B" w:rsidRPr="00DE4045" w:rsidRDefault="00072E4B" w:rsidP="00AA4BF8">
      <w:pPr>
        <w:jc w:val="both"/>
        <w:rPr>
          <w:sz w:val="12"/>
        </w:rPr>
      </w:pPr>
    </w:p>
    <w:p w:rsidR="00C977C4" w:rsidRDefault="00C977C4" w:rsidP="00C977C4">
      <w:pPr>
        <w:ind w:left="1094" w:right="-360" w:firstLine="541"/>
        <w:jc w:val="both"/>
        <w:rPr>
          <w:rFonts w:cs="Arial"/>
          <w:color w:val="0070C0"/>
          <w:sz w:val="20"/>
        </w:rPr>
      </w:pPr>
      <w:r w:rsidRPr="0009763F">
        <w:rPr>
          <w:rFonts w:cs="Arial"/>
          <w:color w:val="0070C0"/>
          <w:sz w:val="20"/>
        </w:rPr>
        <w:t>Provided that gain arising on the disposal of immovable property  by a person in a tax year to a Rental REIT Scheme  shall be taxed at the rate of five percent upto thirtieth day of June, 2019, irrespective of the holding period.”]</w:t>
      </w:r>
    </w:p>
    <w:p w:rsidR="0065180D" w:rsidRDefault="0065180D" w:rsidP="00C977C4">
      <w:pPr>
        <w:ind w:left="1094" w:right="-360" w:firstLine="541"/>
        <w:jc w:val="both"/>
        <w:rPr>
          <w:color w:val="0070C0"/>
          <w:sz w:val="20"/>
        </w:rPr>
      </w:pPr>
    </w:p>
    <w:p w:rsidR="00DE4045" w:rsidRPr="00CF3AFB" w:rsidRDefault="00DE4045" w:rsidP="00DE4045">
      <w:pPr>
        <w:ind w:left="1094" w:firstLine="720"/>
        <w:jc w:val="both"/>
        <w:rPr>
          <w:rFonts w:cs="Arial"/>
          <w:color w:val="FF0000"/>
          <w:sz w:val="20"/>
        </w:rPr>
      </w:pPr>
      <w:r>
        <w:rPr>
          <w:rStyle w:val="FootnoteReference"/>
          <w:rFonts w:cs="Arial"/>
          <w:color w:val="FF0000"/>
          <w:sz w:val="20"/>
        </w:rPr>
        <w:footnoteReference w:id="1623"/>
      </w:r>
      <w:r w:rsidRPr="00CF3AFB">
        <w:rPr>
          <w:rFonts w:cs="Arial"/>
          <w:color w:val="FF0000"/>
          <w:sz w:val="20"/>
        </w:rPr>
        <w:t>[“Provided that rate of tax to be paid under sub-section (1A) of section 37 shall be reduced by fifty per cent on the first sale of immovable property acquired or allotted to ex-servicemen and serving personnel of Armed Forces or ex-employees or serving personnel of Federal and Provincial Governments,</w:t>
      </w:r>
      <w:r w:rsidR="0071445D">
        <w:rPr>
          <w:rFonts w:cs="Arial"/>
          <w:color w:val="FF0000"/>
          <w:sz w:val="20"/>
        </w:rPr>
        <w:t xml:space="preserve"> being original allottees of</w:t>
      </w:r>
      <w:r w:rsidRPr="00CF3AFB">
        <w:rPr>
          <w:rFonts w:cs="Arial"/>
          <w:color w:val="FF0000"/>
          <w:sz w:val="20"/>
        </w:rPr>
        <w:t xml:space="preserve"> the immovable property, duly certified by the allotment authority"]</w:t>
      </w:r>
    </w:p>
    <w:p w:rsidR="00DE4045" w:rsidRPr="0009763F" w:rsidRDefault="00DE4045" w:rsidP="00C977C4">
      <w:pPr>
        <w:ind w:left="1094" w:right="-360" w:firstLine="541"/>
        <w:jc w:val="both"/>
        <w:rPr>
          <w:color w:val="0070C0"/>
          <w:sz w:val="20"/>
        </w:rPr>
      </w:pPr>
    </w:p>
    <w:p w:rsidR="00C977C4" w:rsidRDefault="00C977C4" w:rsidP="00AA4BF8">
      <w:pPr>
        <w:jc w:val="both"/>
        <w:rPr>
          <w:sz w:val="20"/>
        </w:rPr>
      </w:pPr>
    </w:p>
    <w:p w:rsidR="00C977C4" w:rsidRDefault="00C977C4" w:rsidP="00AA4BF8">
      <w:pPr>
        <w:jc w:val="both"/>
        <w:rPr>
          <w:sz w:val="20"/>
        </w:rPr>
      </w:pPr>
    </w:p>
    <w:p w:rsidR="001B4B85" w:rsidRPr="0009763F" w:rsidRDefault="001B4B85" w:rsidP="001B4B85">
      <w:pPr>
        <w:pStyle w:val="ListParagraph"/>
        <w:ind w:left="2707" w:firstLine="28"/>
        <w:rPr>
          <w:rFonts w:cs="Arial"/>
          <w:b/>
          <w:bCs/>
          <w:color w:val="0070C0"/>
          <w:sz w:val="20"/>
        </w:rPr>
      </w:pPr>
      <w:r w:rsidRPr="0009763F">
        <w:rPr>
          <w:rFonts w:cs="Arial"/>
          <w:b/>
          <w:bCs/>
          <w:color w:val="0070C0"/>
          <w:sz w:val="20"/>
        </w:rPr>
        <w:t xml:space="preserve">   </w:t>
      </w:r>
      <w:r w:rsidR="008170D1" w:rsidRPr="0009763F">
        <w:rPr>
          <w:rStyle w:val="FootnoteReference"/>
          <w:rFonts w:cs="Arial"/>
          <w:b/>
          <w:bCs/>
          <w:color w:val="0070C0"/>
          <w:sz w:val="20"/>
        </w:rPr>
        <w:footnoteReference w:id="1624"/>
      </w:r>
      <w:r w:rsidRPr="0009763F">
        <w:rPr>
          <w:rFonts w:cs="Arial"/>
          <w:b/>
          <w:bCs/>
          <w:color w:val="0070C0"/>
          <w:sz w:val="20"/>
        </w:rPr>
        <w:t>[“Division VIIIA</w:t>
      </w:r>
    </w:p>
    <w:p w:rsidR="001B4B85" w:rsidRPr="0009763F" w:rsidRDefault="001B4B85" w:rsidP="001B4B85">
      <w:pPr>
        <w:pStyle w:val="ListParagraph"/>
        <w:ind w:left="2679" w:firstLine="28"/>
        <w:rPr>
          <w:rFonts w:cs="Arial"/>
          <w:b/>
          <w:bCs/>
          <w:color w:val="0070C0"/>
          <w:sz w:val="20"/>
        </w:rPr>
      </w:pPr>
      <w:r w:rsidRPr="0009763F">
        <w:rPr>
          <w:rFonts w:cs="Arial"/>
          <w:b/>
          <w:bCs/>
          <w:color w:val="0070C0"/>
          <w:sz w:val="20"/>
        </w:rPr>
        <w:t>TAX ON BUILDERS</w:t>
      </w:r>
    </w:p>
    <w:p w:rsidR="001B4B85" w:rsidRPr="0009763F" w:rsidRDefault="001B4B85" w:rsidP="001B4B85">
      <w:pPr>
        <w:jc w:val="both"/>
        <w:rPr>
          <w:rFonts w:cs="Arial"/>
          <w:color w:val="0070C0"/>
          <w:sz w:val="20"/>
        </w:rPr>
      </w:pPr>
      <w:r w:rsidRPr="0009763F">
        <w:rPr>
          <w:rFonts w:cs="Arial"/>
          <w:color w:val="0070C0"/>
          <w:sz w:val="20"/>
        </w:rPr>
        <w:t>The rate of tax under section 7C shall be as follows:</w:t>
      </w:r>
    </w:p>
    <w:p w:rsidR="001B4B85" w:rsidRPr="0009763F" w:rsidRDefault="001B4B85" w:rsidP="001B4B85">
      <w:pPr>
        <w:pStyle w:val="ListParagraph"/>
        <w:ind w:left="1440" w:firstLine="720"/>
        <w:jc w:val="both"/>
        <w:rPr>
          <w:rFonts w:cs="Arial"/>
          <w:color w:val="0070C0"/>
          <w:sz w:val="20"/>
        </w:rPr>
      </w:pPr>
    </w:p>
    <w:tbl>
      <w:tblPr>
        <w:tblW w:w="4988"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259"/>
        <w:gridCol w:w="982"/>
        <w:gridCol w:w="1253"/>
        <w:gridCol w:w="1366"/>
        <w:gridCol w:w="1171"/>
        <w:gridCol w:w="1439"/>
      </w:tblGrid>
      <w:tr w:rsidR="001B4B85" w:rsidRPr="0009763F" w:rsidTr="001B4B85">
        <w:trPr>
          <w:trHeight w:val="1106"/>
        </w:trPr>
        <w:tc>
          <w:tcPr>
            <w:tcW w:w="15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bCs/>
                <w:color w:val="0070C0"/>
                <w:kern w:val="24"/>
                <w:sz w:val="20"/>
                <w:lang w:val="en-GB"/>
              </w:rPr>
              <w:t>(A) Karachi, Lahore and Islamabad</w:t>
            </w:r>
          </w:p>
        </w:tc>
        <w:tc>
          <w:tcPr>
            <w:tcW w:w="175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bCs/>
                <w:color w:val="0070C0"/>
                <w:kern w:val="24"/>
                <w:sz w:val="20"/>
                <w:lang w:val="en-GB"/>
              </w:rPr>
              <w:t>(B) Hyderabad, Sukkur, Multan, Faisalabad, Rawalpindi, Gujranwala, Sahiwal, Peshawar, Mardan, Abbottabad, Quetta</w:t>
            </w:r>
          </w:p>
        </w:tc>
        <w:tc>
          <w:tcPr>
            <w:tcW w:w="174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bCs/>
                <w:color w:val="0070C0"/>
                <w:kern w:val="24"/>
                <w:sz w:val="20"/>
                <w:lang w:val="en-GB"/>
              </w:rPr>
              <w:t>(C) Urban Areas not specified in A and B</w:t>
            </w:r>
          </w:p>
        </w:tc>
      </w:tr>
      <w:tr w:rsidR="001B4B85" w:rsidRPr="0009763F" w:rsidTr="001B4B85">
        <w:trPr>
          <w:trHeight w:val="386"/>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bCs/>
                <w:color w:val="0070C0"/>
                <w:kern w:val="24"/>
                <w:sz w:val="20"/>
                <w:lang w:val="en-GB"/>
              </w:rPr>
            </w:pPr>
            <w:r w:rsidRPr="0009763F">
              <w:rPr>
                <w:rFonts w:cs="Arial"/>
                <w:bCs/>
                <w:color w:val="0070C0"/>
                <w:kern w:val="24"/>
                <w:sz w:val="20"/>
                <w:lang w:val="en-GB"/>
              </w:rPr>
              <w:t>For commercial buildings</w:t>
            </w:r>
          </w:p>
        </w:tc>
      </w:tr>
      <w:tr w:rsidR="001B4B85" w:rsidRPr="0009763F" w:rsidTr="001B4B85">
        <w:trPr>
          <w:trHeight w:val="395"/>
        </w:trPr>
        <w:tc>
          <w:tcPr>
            <w:tcW w:w="15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rPr>
              <w:t>Rs. 210/ Sq Ft</w:t>
            </w:r>
          </w:p>
        </w:tc>
        <w:tc>
          <w:tcPr>
            <w:tcW w:w="175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rPr>
              <w:t>Rs. 210/ Sq Ft</w:t>
            </w:r>
          </w:p>
        </w:tc>
        <w:tc>
          <w:tcPr>
            <w:tcW w:w="174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rPr>
              <w:t>Rs. 210/ Sq Ft</w:t>
            </w:r>
          </w:p>
        </w:tc>
      </w:tr>
      <w:tr w:rsidR="001B4B85" w:rsidRPr="0009763F" w:rsidTr="001B4B85">
        <w:trPr>
          <w:trHeight w:val="46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bCs/>
                <w:color w:val="0070C0"/>
                <w:kern w:val="24"/>
                <w:sz w:val="20"/>
                <w:lang w:val="en-GB"/>
              </w:rPr>
              <w:t>For residential buildings</w:t>
            </w:r>
          </w:p>
        </w:tc>
      </w:tr>
      <w:tr w:rsidR="001B4B85" w:rsidRPr="0009763F" w:rsidTr="001B4B85">
        <w:trPr>
          <w:trHeight w:val="566"/>
        </w:trPr>
        <w:tc>
          <w:tcPr>
            <w:tcW w:w="84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Area in Sq. ft</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Rate/ Sq. Ft</w:t>
            </w:r>
          </w:p>
        </w:tc>
        <w:tc>
          <w:tcPr>
            <w:tcW w:w="8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Area in Sq. Ft</w:t>
            </w:r>
          </w:p>
        </w:tc>
        <w:tc>
          <w:tcPr>
            <w:tcW w:w="91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Rate/ Sq. Ft</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Area in Sq. Ft</w:t>
            </w:r>
          </w:p>
        </w:tc>
        <w:tc>
          <w:tcPr>
            <w:tcW w:w="96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Rate/ Sq. Ft</w:t>
            </w:r>
          </w:p>
        </w:tc>
      </w:tr>
      <w:tr w:rsidR="001B4B85" w:rsidRPr="0009763F" w:rsidTr="001B4B85">
        <w:trPr>
          <w:trHeight w:val="476"/>
        </w:trPr>
        <w:tc>
          <w:tcPr>
            <w:tcW w:w="84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Up to750</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Rs. 20</w:t>
            </w:r>
          </w:p>
        </w:tc>
        <w:tc>
          <w:tcPr>
            <w:tcW w:w="8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Up to750</w:t>
            </w:r>
          </w:p>
        </w:tc>
        <w:tc>
          <w:tcPr>
            <w:tcW w:w="91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Rs. 15</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Up to 750</w:t>
            </w:r>
          </w:p>
        </w:tc>
        <w:tc>
          <w:tcPr>
            <w:tcW w:w="96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Rs. 10</w:t>
            </w:r>
          </w:p>
        </w:tc>
      </w:tr>
      <w:tr w:rsidR="001B4B85" w:rsidRPr="0009763F" w:rsidTr="001B4B85">
        <w:trPr>
          <w:trHeight w:val="296"/>
        </w:trPr>
        <w:tc>
          <w:tcPr>
            <w:tcW w:w="84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751 to 1500</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Rs. 40</w:t>
            </w:r>
          </w:p>
        </w:tc>
        <w:tc>
          <w:tcPr>
            <w:tcW w:w="8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751 to 1500</w:t>
            </w:r>
          </w:p>
        </w:tc>
        <w:tc>
          <w:tcPr>
            <w:tcW w:w="91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Rs. 35</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751 to 1500</w:t>
            </w:r>
          </w:p>
        </w:tc>
        <w:tc>
          <w:tcPr>
            <w:tcW w:w="96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Rs. 25</w:t>
            </w:r>
          </w:p>
        </w:tc>
      </w:tr>
      <w:tr w:rsidR="001B4B85" w:rsidRPr="0009763F" w:rsidTr="001B4B85">
        <w:trPr>
          <w:trHeight w:val="296"/>
        </w:trPr>
        <w:tc>
          <w:tcPr>
            <w:tcW w:w="84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1501 &amp; more</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Rs. 70</w:t>
            </w:r>
          </w:p>
        </w:tc>
        <w:tc>
          <w:tcPr>
            <w:tcW w:w="8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1501 and more</w:t>
            </w:r>
          </w:p>
        </w:tc>
        <w:tc>
          <w:tcPr>
            <w:tcW w:w="91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Rs. 55</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1501 and more</w:t>
            </w:r>
          </w:p>
        </w:tc>
        <w:tc>
          <w:tcPr>
            <w:tcW w:w="96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lang w:val="en-GB"/>
              </w:rPr>
              <w:t>Rs. 35</w:t>
            </w:r>
          </w:p>
        </w:tc>
      </w:tr>
    </w:tbl>
    <w:p w:rsidR="001B4B85" w:rsidRPr="0009763F" w:rsidRDefault="001B4B85" w:rsidP="001B4B85">
      <w:pPr>
        <w:pStyle w:val="ListParagraph"/>
        <w:ind w:left="2160"/>
        <w:jc w:val="center"/>
        <w:rPr>
          <w:rFonts w:cs="Arial"/>
          <w:b/>
          <w:bCs/>
          <w:color w:val="0070C0"/>
          <w:sz w:val="20"/>
        </w:rPr>
      </w:pPr>
    </w:p>
    <w:p w:rsidR="001B4B85" w:rsidRPr="0009763F" w:rsidRDefault="001B4B85" w:rsidP="001B4B85">
      <w:pPr>
        <w:pStyle w:val="ListParagraph"/>
        <w:ind w:left="2160"/>
        <w:jc w:val="center"/>
        <w:rPr>
          <w:rFonts w:cs="Arial"/>
          <w:b/>
          <w:bCs/>
          <w:color w:val="0070C0"/>
          <w:sz w:val="20"/>
        </w:rPr>
      </w:pPr>
    </w:p>
    <w:p w:rsidR="009A5977" w:rsidRDefault="001B4B85" w:rsidP="001B4B85">
      <w:pPr>
        <w:pStyle w:val="ListParagraph"/>
        <w:ind w:left="2160"/>
        <w:rPr>
          <w:rFonts w:cs="Arial"/>
          <w:b/>
          <w:bCs/>
          <w:color w:val="0070C0"/>
          <w:sz w:val="20"/>
        </w:rPr>
      </w:pPr>
      <w:r w:rsidRPr="0009763F">
        <w:rPr>
          <w:rFonts w:cs="Arial"/>
          <w:b/>
          <w:bCs/>
          <w:color w:val="0070C0"/>
          <w:sz w:val="20"/>
        </w:rPr>
        <w:t xml:space="preserve">       </w:t>
      </w:r>
    </w:p>
    <w:p w:rsidR="001B4B85" w:rsidRPr="0009763F" w:rsidRDefault="001B4B85" w:rsidP="009A5977">
      <w:pPr>
        <w:pStyle w:val="ListParagraph"/>
        <w:ind w:left="2188" w:firstLine="547"/>
        <w:rPr>
          <w:rFonts w:cs="Arial"/>
          <w:b/>
          <w:bCs/>
          <w:color w:val="0070C0"/>
          <w:sz w:val="20"/>
        </w:rPr>
      </w:pPr>
      <w:r w:rsidRPr="0009763F">
        <w:rPr>
          <w:rFonts w:cs="Arial"/>
          <w:b/>
          <w:bCs/>
          <w:color w:val="0070C0"/>
          <w:sz w:val="20"/>
        </w:rPr>
        <w:t xml:space="preserve"> </w:t>
      </w:r>
      <w:r w:rsidR="008170D1" w:rsidRPr="0009763F">
        <w:rPr>
          <w:rStyle w:val="FootnoteReference"/>
          <w:rFonts w:cs="Arial"/>
          <w:b/>
          <w:bCs/>
          <w:color w:val="0070C0"/>
          <w:sz w:val="20"/>
        </w:rPr>
        <w:footnoteReference w:id="1625"/>
      </w:r>
      <w:r w:rsidR="008170D1" w:rsidRPr="0009763F">
        <w:rPr>
          <w:rFonts w:cs="Arial"/>
          <w:b/>
          <w:bCs/>
          <w:color w:val="0070C0"/>
          <w:sz w:val="20"/>
        </w:rPr>
        <w:t>[“</w:t>
      </w:r>
      <w:r w:rsidRPr="0009763F">
        <w:rPr>
          <w:rFonts w:cs="Arial"/>
          <w:b/>
          <w:bCs/>
          <w:color w:val="0070C0"/>
          <w:sz w:val="20"/>
        </w:rPr>
        <w:t>Division VIIIB</w:t>
      </w:r>
    </w:p>
    <w:p w:rsidR="001B4B85" w:rsidRPr="0009763F" w:rsidRDefault="001B4B85" w:rsidP="001B4B85">
      <w:pPr>
        <w:pStyle w:val="ListParagraph"/>
        <w:ind w:left="2160"/>
        <w:rPr>
          <w:rFonts w:cs="Arial"/>
          <w:b/>
          <w:bCs/>
          <w:color w:val="0070C0"/>
          <w:sz w:val="20"/>
        </w:rPr>
      </w:pPr>
      <w:r w:rsidRPr="0009763F">
        <w:rPr>
          <w:rFonts w:cs="Arial"/>
          <w:b/>
          <w:bCs/>
          <w:color w:val="0070C0"/>
          <w:sz w:val="20"/>
        </w:rPr>
        <w:t>TAX ON DEVELOPERS</w:t>
      </w:r>
    </w:p>
    <w:p w:rsidR="001B4B85" w:rsidRPr="0009763F" w:rsidRDefault="001B4B85" w:rsidP="001B4B85">
      <w:pPr>
        <w:pStyle w:val="ListParagraph"/>
        <w:ind w:left="1440"/>
        <w:jc w:val="both"/>
        <w:rPr>
          <w:rFonts w:cs="Arial"/>
          <w:color w:val="0070C0"/>
          <w:sz w:val="20"/>
        </w:rPr>
      </w:pPr>
      <w:r w:rsidRPr="0009763F">
        <w:rPr>
          <w:rFonts w:cs="Arial"/>
          <w:color w:val="0070C0"/>
          <w:sz w:val="20"/>
        </w:rPr>
        <w:t>The rate of tax under section 7D shall be as follows:</w:t>
      </w:r>
    </w:p>
    <w:p w:rsidR="001B4B85" w:rsidRPr="0009763F" w:rsidRDefault="001B4B85" w:rsidP="001B4B85">
      <w:pPr>
        <w:pStyle w:val="ListParagraph"/>
        <w:ind w:left="1440"/>
        <w:jc w:val="both"/>
        <w:rPr>
          <w:rFonts w:cs="Arial"/>
          <w:color w:val="0070C0"/>
          <w:sz w:val="20"/>
        </w:rPr>
      </w:pPr>
    </w:p>
    <w:tbl>
      <w:tblPr>
        <w:tblW w:w="5228"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261"/>
        <w:gridCol w:w="993"/>
        <w:gridCol w:w="1350"/>
        <w:gridCol w:w="1260"/>
        <w:gridCol w:w="1528"/>
        <w:gridCol w:w="1437"/>
      </w:tblGrid>
      <w:tr w:rsidR="00F6271E" w:rsidRPr="0009763F" w:rsidTr="00F6271E">
        <w:trPr>
          <w:trHeight w:val="944"/>
        </w:trPr>
        <w:tc>
          <w:tcPr>
            <w:tcW w:w="143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bCs/>
                <w:color w:val="0070C0"/>
                <w:kern w:val="24"/>
                <w:sz w:val="20"/>
                <w:lang w:val="en-GB"/>
              </w:rPr>
              <w:t>(A) Karachi, Lahore and Islamabad</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bCs/>
                <w:color w:val="0070C0"/>
                <w:kern w:val="24"/>
                <w:sz w:val="20"/>
                <w:lang w:val="en-GB"/>
              </w:rPr>
              <w:t>(B) Hyderabad, Sukkur, Multan, Faisalabad, Rawalpindi, Gujranwala, Sahiwal, Peshawar, Mardan, Abbottabad, Quetta</w:t>
            </w:r>
          </w:p>
        </w:tc>
        <w:tc>
          <w:tcPr>
            <w:tcW w:w="189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bCs/>
                <w:color w:val="0070C0"/>
                <w:kern w:val="24"/>
                <w:sz w:val="20"/>
                <w:lang w:val="en-GB"/>
              </w:rPr>
              <w:t>(C) Urban Areas not specified in A and B</w:t>
            </w:r>
          </w:p>
        </w:tc>
      </w:tr>
      <w:tr w:rsidR="001B4B85" w:rsidRPr="00D811C3" w:rsidTr="008170D1">
        <w:trPr>
          <w:trHeight w:val="296"/>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bCs/>
                <w:color w:val="0070C0"/>
                <w:kern w:val="24"/>
                <w:sz w:val="20"/>
                <w:lang w:val="en-GB"/>
              </w:rPr>
            </w:pPr>
            <w:r w:rsidRPr="0009763F">
              <w:rPr>
                <w:rFonts w:cs="Arial"/>
                <w:bCs/>
                <w:color w:val="0070C0"/>
                <w:kern w:val="24"/>
                <w:sz w:val="20"/>
                <w:lang w:val="en-GB"/>
              </w:rPr>
              <w:t>For commercial Plots</w:t>
            </w:r>
          </w:p>
        </w:tc>
      </w:tr>
      <w:tr w:rsidR="00F6271E" w:rsidRPr="00D811C3" w:rsidTr="00F6271E">
        <w:trPr>
          <w:trHeight w:val="314"/>
        </w:trPr>
        <w:tc>
          <w:tcPr>
            <w:tcW w:w="143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rPr>
              <w:t>Rs. 210/ Sq Yd</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rPr>
              <w:t>Rs. 210/ Sq Yd</w:t>
            </w:r>
          </w:p>
        </w:tc>
        <w:tc>
          <w:tcPr>
            <w:tcW w:w="189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both"/>
              <w:rPr>
                <w:rFonts w:cs="Arial"/>
                <w:color w:val="0070C0"/>
                <w:sz w:val="20"/>
              </w:rPr>
            </w:pPr>
            <w:r w:rsidRPr="0009763F">
              <w:rPr>
                <w:rFonts w:cs="Arial"/>
                <w:color w:val="0070C0"/>
                <w:kern w:val="24"/>
                <w:sz w:val="20"/>
              </w:rPr>
              <w:t>Rs. 210/ Sq Yd</w:t>
            </w:r>
          </w:p>
        </w:tc>
      </w:tr>
      <w:tr w:rsidR="001B4B85" w:rsidRPr="00D811C3" w:rsidTr="008170D1">
        <w:trPr>
          <w:trHeight w:val="368"/>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bCs/>
                <w:color w:val="0070C0"/>
                <w:kern w:val="24"/>
                <w:sz w:val="20"/>
                <w:lang w:val="en-GB"/>
              </w:rPr>
              <w:lastRenderedPageBreak/>
              <w:t>For residential Plots</w:t>
            </w:r>
          </w:p>
        </w:tc>
      </w:tr>
      <w:tr w:rsidR="00F6271E" w:rsidRPr="00D811C3" w:rsidTr="00F6271E">
        <w:trPr>
          <w:trHeight w:val="305"/>
        </w:trPr>
        <w:tc>
          <w:tcPr>
            <w:tcW w:w="80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Area in Sq. Yd</w:t>
            </w:r>
          </w:p>
        </w:tc>
        <w:tc>
          <w:tcPr>
            <w:tcW w:w="63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Rate/ Sq. Yd</w:t>
            </w:r>
          </w:p>
        </w:tc>
        <w:tc>
          <w:tcPr>
            <w:tcW w:w="86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Area in sq. Yd</w:t>
            </w:r>
          </w:p>
        </w:tc>
        <w:tc>
          <w:tcPr>
            <w:tcW w:w="80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Rate/ Sq. Yd</w:t>
            </w:r>
          </w:p>
        </w:tc>
        <w:tc>
          <w:tcPr>
            <w:tcW w:w="97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Area in Sq. Yd</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jc w:val="center"/>
              <w:rPr>
                <w:rFonts w:cs="Arial"/>
                <w:color w:val="0070C0"/>
                <w:sz w:val="20"/>
              </w:rPr>
            </w:pPr>
            <w:r w:rsidRPr="0009763F">
              <w:rPr>
                <w:rFonts w:cs="Arial"/>
                <w:color w:val="0070C0"/>
                <w:kern w:val="24"/>
                <w:sz w:val="20"/>
                <w:lang w:val="en-GB"/>
              </w:rPr>
              <w:t>Rate/ Sq. Yd</w:t>
            </w:r>
          </w:p>
        </w:tc>
      </w:tr>
      <w:tr w:rsidR="00F6271E" w:rsidRPr="00D811C3" w:rsidTr="00F6271E">
        <w:trPr>
          <w:trHeight w:val="206"/>
        </w:trPr>
        <w:tc>
          <w:tcPr>
            <w:tcW w:w="80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Up to 120 </w:t>
            </w:r>
          </w:p>
        </w:tc>
        <w:tc>
          <w:tcPr>
            <w:tcW w:w="63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Rs. 20 </w:t>
            </w:r>
          </w:p>
        </w:tc>
        <w:tc>
          <w:tcPr>
            <w:tcW w:w="86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Up to 120 </w:t>
            </w:r>
          </w:p>
        </w:tc>
        <w:tc>
          <w:tcPr>
            <w:tcW w:w="80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bCs/>
                <w:color w:val="0070C0"/>
                <w:kern w:val="24"/>
                <w:lang w:val="en-GB"/>
              </w:rPr>
              <w:t xml:space="preserve">Rs. 15 </w:t>
            </w:r>
          </w:p>
        </w:tc>
        <w:tc>
          <w:tcPr>
            <w:tcW w:w="97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Up to 120 </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bCs/>
                <w:color w:val="0070C0"/>
                <w:kern w:val="24"/>
                <w:lang w:val="en-GB"/>
              </w:rPr>
              <w:t xml:space="preserve">Rs. 10 </w:t>
            </w:r>
          </w:p>
        </w:tc>
      </w:tr>
      <w:tr w:rsidR="00F6271E" w:rsidRPr="00D811C3" w:rsidTr="00F6271E">
        <w:trPr>
          <w:trHeight w:val="296"/>
        </w:trPr>
        <w:tc>
          <w:tcPr>
            <w:tcW w:w="80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121 to 200 </w:t>
            </w:r>
          </w:p>
        </w:tc>
        <w:tc>
          <w:tcPr>
            <w:tcW w:w="63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Rs. 40 </w:t>
            </w:r>
          </w:p>
        </w:tc>
        <w:tc>
          <w:tcPr>
            <w:tcW w:w="86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121 to 200 </w:t>
            </w:r>
          </w:p>
        </w:tc>
        <w:tc>
          <w:tcPr>
            <w:tcW w:w="80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Rs. 35 </w:t>
            </w:r>
          </w:p>
        </w:tc>
        <w:tc>
          <w:tcPr>
            <w:tcW w:w="97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121 to 200 </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Rs. 25 </w:t>
            </w:r>
          </w:p>
        </w:tc>
      </w:tr>
      <w:tr w:rsidR="00F6271E" w:rsidRPr="00D811C3" w:rsidTr="00F6271E">
        <w:trPr>
          <w:trHeight w:val="296"/>
        </w:trPr>
        <w:tc>
          <w:tcPr>
            <w:tcW w:w="80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201 and more </w:t>
            </w:r>
          </w:p>
        </w:tc>
        <w:tc>
          <w:tcPr>
            <w:tcW w:w="63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Rs. 70 </w:t>
            </w:r>
          </w:p>
        </w:tc>
        <w:tc>
          <w:tcPr>
            <w:tcW w:w="86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201 and  more </w:t>
            </w:r>
          </w:p>
        </w:tc>
        <w:tc>
          <w:tcPr>
            <w:tcW w:w="80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Rs. 55 </w:t>
            </w:r>
          </w:p>
        </w:tc>
        <w:tc>
          <w:tcPr>
            <w:tcW w:w="97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 xml:space="preserve">201 and more </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1B4B85" w:rsidRPr="0009763F" w:rsidRDefault="001B4B85" w:rsidP="00B7389F">
            <w:pPr>
              <w:pStyle w:val="NormalWeb"/>
              <w:spacing w:line="240" w:lineRule="auto"/>
              <w:jc w:val="both"/>
              <w:rPr>
                <w:rFonts w:cs="Arial"/>
                <w:color w:val="0070C0"/>
              </w:rPr>
            </w:pPr>
            <w:r w:rsidRPr="0009763F">
              <w:rPr>
                <w:rFonts w:cs="Arial"/>
                <w:color w:val="0070C0"/>
                <w:kern w:val="24"/>
                <w:lang w:val="en-GB"/>
              </w:rPr>
              <w:t>Rs. 35”</w:t>
            </w:r>
            <w:r w:rsidR="00F6271E" w:rsidRPr="0009763F">
              <w:rPr>
                <w:rFonts w:cs="Arial"/>
                <w:color w:val="0070C0"/>
                <w:kern w:val="24"/>
                <w:lang w:val="en-GB"/>
              </w:rPr>
              <w:t>]</w:t>
            </w:r>
            <w:r w:rsidRPr="0009763F">
              <w:rPr>
                <w:rFonts w:cs="Arial"/>
                <w:color w:val="0070C0"/>
                <w:kern w:val="24"/>
                <w:lang w:val="en-GB"/>
              </w:rPr>
              <w:t xml:space="preserve"> </w:t>
            </w:r>
          </w:p>
        </w:tc>
      </w:tr>
    </w:tbl>
    <w:p w:rsidR="001B4B85" w:rsidRDefault="001B4B85" w:rsidP="00AA4BF8">
      <w:pPr>
        <w:jc w:val="center"/>
        <w:rPr>
          <w:b/>
          <w:bCs/>
          <w:color w:val="000000" w:themeColor="text1"/>
          <w:sz w:val="28"/>
          <w:szCs w:val="28"/>
        </w:rPr>
      </w:pPr>
    </w:p>
    <w:p w:rsidR="001B4B85" w:rsidRDefault="001B4B85" w:rsidP="00AA4BF8">
      <w:pPr>
        <w:jc w:val="center"/>
        <w:rPr>
          <w:b/>
          <w:bCs/>
          <w:color w:val="000000" w:themeColor="text1"/>
          <w:sz w:val="28"/>
          <w:szCs w:val="28"/>
        </w:rPr>
      </w:pPr>
    </w:p>
    <w:p w:rsidR="00AA4BF8" w:rsidRPr="00AA5E01" w:rsidRDefault="00AA4BF8" w:rsidP="00AA4BF8">
      <w:pPr>
        <w:jc w:val="center"/>
        <w:rPr>
          <w:b/>
          <w:bCs/>
          <w:color w:val="000000" w:themeColor="text1"/>
          <w:sz w:val="28"/>
          <w:szCs w:val="28"/>
        </w:rPr>
      </w:pPr>
      <w:r w:rsidRPr="00AA5E01">
        <w:rPr>
          <w:rStyle w:val="FootnoteReference"/>
          <w:rFonts w:cs="Arial"/>
          <w:b/>
          <w:bCs/>
          <w:color w:val="000000" w:themeColor="text1"/>
          <w:sz w:val="20"/>
        </w:rPr>
        <w:footnoteReference w:id="1626"/>
      </w:r>
      <w:r w:rsidRPr="00AA5E01">
        <w:rPr>
          <w:b/>
          <w:bCs/>
          <w:color w:val="000000" w:themeColor="text1"/>
          <w:sz w:val="28"/>
          <w:szCs w:val="28"/>
        </w:rPr>
        <w:t>[Division IX</w:t>
      </w:r>
    </w:p>
    <w:p w:rsidR="00AA4BF8" w:rsidRPr="00AA5E01" w:rsidRDefault="00AA4BF8" w:rsidP="00AA4BF8">
      <w:pPr>
        <w:pStyle w:val="Heading2"/>
        <w:spacing w:line="240" w:lineRule="auto"/>
        <w:rPr>
          <w:color w:val="000000" w:themeColor="text1"/>
          <w:sz w:val="20"/>
        </w:rPr>
      </w:pPr>
      <w:r w:rsidRPr="00AA5E01">
        <w:rPr>
          <w:color w:val="000000" w:themeColor="text1"/>
          <w:sz w:val="20"/>
        </w:rPr>
        <w:t>Minimum tax under section 113]</w:t>
      </w:r>
    </w:p>
    <w:tbl>
      <w:tblPr>
        <w:tblW w:w="72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0"/>
        <w:gridCol w:w="3886"/>
        <w:gridCol w:w="2324"/>
      </w:tblGrid>
      <w:tr w:rsidR="00AA4BF8" w:rsidRPr="00AA5E01" w:rsidTr="00FE38F6">
        <w:tc>
          <w:tcPr>
            <w:tcW w:w="990" w:type="dxa"/>
          </w:tcPr>
          <w:p w:rsidR="00AA4BF8" w:rsidRPr="00AA5E01" w:rsidRDefault="00AA4BF8" w:rsidP="00A752DD">
            <w:pPr>
              <w:jc w:val="center"/>
              <w:rPr>
                <w:color w:val="000000" w:themeColor="text1"/>
                <w:sz w:val="22"/>
                <w:szCs w:val="22"/>
              </w:rPr>
            </w:pPr>
            <w:r w:rsidRPr="00AA5E01">
              <w:rPr>
                <w:color w:val="000000" w:themeColor="text1"/>
                <w:sz w:val="22"/>
                <w:szCs w:val="22"/>
              </w:rPr>
              <w:t>S.No</w:t>
            </w:r>
          </w:p>
        </w:tc>
        <w:tc>
          <w:tcPr>
            <w:tcW w:w="3886" w:type="dxa"/>
          </w:tcPr>
          <w:p w:rsidR="00AA4BF8" w:rsidRPr="00AA5E01" w:rsidRDefault="00AA4BF8" w:rsidP="00A752DD">
            <w:pPr>
              <w:jc w:val="center"/>
              <w:rPr>
                <w:color w:val="000000" w:themeColor="text1"/>
                <w:sz w:val="22"/>
                <w:szCs w:val="22"/>
              </w:rPr>
            </w:pPr>
            <w:r w:rsidRPr="00AA5E01">
              <w:rPr>
                <w:color w:val="000000" w:themeColor="text1"/>
                <w:sz w:val="22"/>
                <w:szCs w:val="22"/>
              </w:rPr>
              <w:t>Person(s)</w:t>
            </w:r>
          </w:p>
        </w:tc>
        <w:tc>
          <w:tcPr>
            <w:tcW w:w="2324" w:type="dxa"/>
          </w:tcPr>
          <w:p w:rsidR="00AA4BF8" w:rsidRPr="00AA5E01" w:rsidRDefault="00AA4BF8" w:rsidP="00A752DD">
            <w:pPr>
              <w:jc w:val="center"/>
              <w:rPr>
                <w:color w:val="000000" w:themeColor="text1"/>
                <w:sz w:val="22"/>
                <w:szCs w:val="22"/>
              </w:rPr>
            </w:pPr>
            <w:r w:rsidRPr="00AA5E01">
              <w:rPr>
                <w:color w:val="000000" w:themeColor="text1"/>
                <w:sz w:val="22"/>
                <w:szCs w:val="22"/>
              </w:rPr>
              <w:t>Minimum Tax as</w:t>
            </w:r>
          </w:p>
          <w:p w:rsidR="00AA4BF8" w:rsidRPr="00AA5E01" w:rsidRDefault="00AA4BF8" w:rsidP="00A752DD">
            <w:pPr>
              <w:jc w:val="center"/>
              <w:rPr>
                <w:color w:val="000000" w:themeColor="text1"/>
                <w:sz w:val="22"/>
                <w:szCs w:val="22"/>
              </w:rPr>
            </w:pPr>
            <w:r w:rsidRPr="00AA5E01">
              <w:rPr>
                <w:color w:val="000000" w:themeColor="text1"/>
                <w:sz w:val="22"/>
                <w:szCs w:val="22"/>
              </w:rPr>
              <w:t>percentage of</w:t>
            </w:r>
          </w:p>
          <w:p w:rsidR="00AA4BF8" w:rsidRPr="00AA5E01" w:rsidRDefault="00AA4BF8" w:rsidP="00A752DD">
            <w:pPr>
              <w:jc w:val="center"/>
              <w:rPr>
                <w:color w:val="000000" w:themeColor="text1"/>
                <w:sz w:val="22"/>
                <w:szCs w:val="22"/>
              </w:rPr>
            </w:pPr>
            <w:r w:rsidRPr="00AA5E01">
              <w:rPr>
                <w:color w:val="000000" w:themeColor="text1"/>
                <w:sz w:val="22"/>
                <w:szCs w:val="22"/>
              </w:rPr>
              <w:t>the person’s</w:t>
            </w:r>
          </w:p>
          <w:p w:rsidR="00AA4BF8" w:rsidRPr="00AA5E01" w:rsidRDefault="00AA4BF8" w:rsidP="00A752DD">
            <w:pPr>
              <w:jc w:val="center"/>
              <w:rPr>
                <w:color w:val="000000" w:themeColor="text1"/>
                <w:sz w:val="22"/>
                <w:szCs w:val="22"/>
              </w:rPr>
            </w:pPr>
            <w:r w:rsidRPr="00AA5E01">
              <w:rPr>
                <w:color w:val="000000" w:themeColor="text1"/>
                <w:sz w:val="22"/>
                <w:szCs w:val="22"/>
              </w:rPr>
              <w:t>turnover for the</w:t>
            </w:r>
          </w:p>
          <w:p w:rsidR="00AA4BF8" w:rsidRPr="00AA5E01" w:rsidRDefault="00AA4BF8" w:rsidP="00A752DD">
            <w:pPr>
              <w:jc w:val="center"/>
              <w:rPr>
                <w:color w:val="000000" w:themeColor="text1"/>
                <w:sz w:val="22"/>
                <w:szCs w:val="22"/>
              </w:rPr>
            </w:pPr>
            <w:r w:rsidRPr="00AA5E01">
              <w:rPr>
                <w:color w:val="000000" w:themeColor="text1"/>
                <w:sz w:val="22"/>
                <w:szCs w:val="22"/>
              </w:rPr>
              <w:t>year</w:t>
            </w:r>
          </w:p>
        </w:tc>
      </w:tr>
      <w:tr w:rsidR="00AA4BF8" w:rsidRPr="00AA5E01" w:rsidTr="00FE38F6">
        <w:tc>
          <w:tcPr>
            <w:tcW w:w="990" w:type="dxa"/>
          </w:tcPr>
          <w:p w:rsidR="00AA4BF8" w:rsidRPr="00AA5E01" w:rsidRDefault="00AA4BF8" w:rsidP="00A752DD">
            <w:pPr>
              <w:jc w:val="center"/>
              <w:rPr>
                <w:color w:val="000000" w:themeColor="text1"/>
                <w:sz w:val="20"/>
              </w:rPr>
            </w:pPr>
            <w:r w:rsidRPr="00AA5E01">
              <w:rPr>
                <w:color w:val="000000" w:themeColor="text1"/>
                <w:sz w:val="20"/>
              </w:rPr>
              <w:t>(1)</w:t>
            </w:r>
          </w:p>
        </w:tc>
        <w:tc>
          <w:tcPr>
            <w:tcW w:w="3886" w:type="dxa"/>
          </w:tcPr>
          <w:p w:rsidR="00AA4BF8" w:rsidRPr="00AA5E01" w:rsidRDefault="00AA4BF8" w:rsidP="00A752DD">
            <w:pPr>
              <w:jc w:val="center"/>
              <w:rPr>
                <w:color w:val="000000" w:themeColor="text1"/>
                <w:sz w:val="20"/>
              </w:rPr>
            </w:pPr>
            <w:r w:rsidRPr="00AA5E01">
              <w:rPr>
                <w:color w:val="000000" w:themeColor="text1"/>
                <w:sz w:val="20"/>
              </w:rPr>
              <w:t>(2)</w:t>
            </w:r>
          </w:p>
        </w:tc>
        <w:tc>
          <w:tcPr>
            <w:tcW w:w="2324" w:type="dxa"/>
          </w:tcPr>
          <w:p w:rsidR="00AA4BF8" w:rsidRPr="00AA5E01" w:rsidRDefault="00AA4BF8" w:rsidP="00A752DD">
            <w:pPr>
              <w:jc w:val="center"/>
              <w:rPr>
                <w:color w:val="000000" w:themeColor="text1"/>
                <w:sz w:val="20"/>
              </w:rPr>
            </w:pPr>
            <w:r w:rsidRPr="00AA5E01">
              <w:rPr>
                <w:color w:val="000000" w:themeColor="text1"/>
                <w:sz w:val="20"/>
              </w:rPr>
              <w:t>(3)</w:t>
            </w:r>
          </w:p>
        </w:tc>
      </w:tr>
      <w:tr w:rsidR="00AA4BF8" w:rsidRPr="009676D8" w:rsidTr="00FE38F6">
        <w:tc>
          <w:tcPr>
            <w:tcW w:w="990" w:type="dxa"/>
          </w:tcPr>
          <w:p w:rsidR="00AA4BF8" w:rsidRPr="00AA5E01" w:rsidRDefault="00AA4BF8" w:rsidP="00A752DD">
            <w:pPr>
              <w:jc w:val="center"/>
              <w:rPr>
                <w:color w:val="000000" w:themeColor="text1"/>
                <w:sz w:val="20"/>
              </w:rPr>
            </w:pPr>
            <w:r w:rsidRPr="00AA5E01">
              <w:rPr>
                <w:color w:val="000000" w:themeColor="text1"/>
                <w:sz w:val="20"/>
              </w:rPr>
              <w:t>1.</w:t>
            </w:r>
          </w:p>
        </w:tc>
        <w:tc>
          <w:tcPr>
            <w:tcW w:w="3886" w:type="dxa"/>
          </w:tcPr>
          <w:p w:rsidR="00AA4BF8" w:rsidRPr="00AA5E01" w:rsidRDefault="00AA4BF8" w:rsidP="004B20DC">
            <w:pPr>
              <w:pStyle w:val="ListParagraph"/>
              <w:numPr>
                <w:ilvl w:val="0"/>
                <w:numId w:val="42"/>
              </w:numPr>
              <w:jc w:val="both"/>
              <w:rPr>
                <w:color w:val="000000" w:themeColor="text1"/>
                <w:sz w:val="20"/>
              </w:rPr>
            </w:pPr>
            <w:r w:rsidRPr="00AA5E01">
              <w:rPr>
                <w:color w:val="000000" w:themeColor="text1"/>
                <w:sz w:val="20"/>
              </w:rPr>
              <w:t>Oil marketing companies, Oil refineries, Sui Southern Gas Company Limited and Sui Northern Gas Pipelines Limited (for the cases where annual turnove</w:t>
            </w:r>
            <w:r w:rsidR="00BB386C" w:rsidRPr="00AA5E01">
              <w:rPr>
                <w:color w:val="000000" w:themeColor="text1"/>
                <w:sz w:val="20"/>
              </w:rPr>
              <w:t>r exceeds rupees one billion.)</w:t>
            </w:r>
          </w:p>
          <w:p w:rsidR="00AA4BF8" w:rsidRPr="00AA5E01" w:rsidRDefault="00AA4BF8" w:rsidP="004B20DC">
            <w:pPr>
              <w:pStyle w:val="ListParagraph"/>
              <w:numPr>
                <w:ilvl w:val="0"/>
                <w:numId w:val="42"/>
              </w:numPr>
              <w:jc w:val="both"/>
              <w:rPr>
                <w:color w:val="000000" w:themeColor="text1"/>
                <w:sz w:val="20"/>
              </w:rPr>
            </w:pPr>
            <w:r w:rsidRPr="00AA5E01">
              <w:rPr>
                <w:color w:val="000000" w:themeColor="text1"/>
                <w:sz w:val="20"/>
              </w:rPr>
              <w:t>Pakistan</w:t>
            </w:r>
            <w:r w:rsidR="007F5281" w:rsidRPr="00AA5E01">
              <w:rPr>
                <w:color w:val="000000" w:themeColor="text1"/>
                <w:sz w:val="20"/>
              </w:rPr>
              <w:t>i</w:t>
            </w:r>
            <w:r w:rsidR="00F077EC" w:rsidRPr="00AA5E01">
              <w:rPr>
                <w:color w:val="000000" w:themeColor="text1"/>
                <w:sz w:val="20"/>
              </w:rPr>
              <w:t xml:space="preserve"> </w:t>
            </w:r>
            <w:r w:rsidR="0090799D" w:rsidRPr="00AA5E01">
              <w:rPr>
                <w:color w:val="000000" w:themeColor="text1"/>
                <w:sz w:val="20"/>
              </w:rPr>
              <w:t>Airlines</w:t>
            </w:r>
            <w:r w:rsidRPr="00AA5E01">
              <w:rPr>
                <w:color w:val="000000" w:themeColor="text1"/>
                <w:sz w:val="20"/>
              </w:rPr>
              <w:t xml:space="preserve">; and </w:t>
            </w:r>
          </w:p>
          <w:p w:rsidR="006D1437" w:rsidRPr="00AA5E01" w:rsidRDefault="00AA4BF8" w:rsidP="004B20DC">
            <w:pPr>
              <w:pStyle w:val="ListParagraph"/>
              <w:numPr>
                <w:ilvl w:val="0"/>
                <w:numId w:val="42"/>
              </w:numPr>
              <w:jc w:val="both"/>
              <w:rPr>
                <w:color w:val="000000" w:themeColor="text1"/>
                <w:sz w:val="20"/>
              </w:rPr>
            </w:pPr>
            <w:r w:rsidRPr="00AA5E01">
              <w:rPr>
                <w:color w:val="000000" w:themeColor="text1"/>
                <w:sz w:val="20"/>
              </w:rPr>
              <w:t>Poultry industry including poultry breeding, broiler production, egg production and poultry feed production.</w:t>
            </w:r>
          </w:p>
          <w:p w:rsidR="00AA4BF8" w:rsidRPr="009A5977" w:rsidRDefault="006D1437" w:rsidP="006D1437">
            <w:pPr>
              <w:ind w:left="808" w:hanging="540"/>
              <w:jc w:val="both"/>
              <w:rPr>
                <w:color w:val="000000" w:themeColor="text1"/>
                <w:sz w:val="20"/>
              </w:rPr>
            </w:pPr>
            <w:r w:rsidRPr="009A5977">
              <w:rPr>
                <w:rStyle w:val="FootnoteReference"/>
                <w:color w:val="000000" w:themeColor="text1"/>
                <w:sz w:val="20"/>
              </w:rPr>
              <w:footnoteReference w:id="1627"/>
            </w:r>
            <w:r w:rsidR="001F6E96" w:rsidRPr="009A5977">
              <w:rPr>
                <w:color w:val="000000" w:themeColor="text1"/>
                <w:sz w:val="20"/>
              </w:rPr>
              <w:t xml:space="preserve">[“(d) </w:t>
            </w:r>
            <w:r w:rsidRPr="009A5977">
              <w:rPr>
                <w:color w:val="000000" w:themeColor="text1"/>
                <w:sz w:val="20"/>
              </w:rPr>
              <w:t>Dealers or distributors of fertilizer.”]</w:t>
            </w:r>
          </w:p>
        </w:tc>
        <w:tc>
          <w:tcPr>
            <w:tcW w:w="2324" w:type="dxa"/>
          </w:tcPr>
          <w:p w:rsidR="00AA4BF8" w:rsidRPr="00AA5E01" w:rsidRDefault="00AA4BF8" w:rsidP="00A752DD">
            <w:pPr>
              <w:jc w:val="center"/>
              <w:rPr>
                <w:color w:val="000000" w:themeColor="text1"/>
                <w:sz w:val="20"/>
              </w:rPr>
            </w:pPr>
            <w:r w:rsidRPr="00AA5E01">
              <w:rPr>
                <w:color w:val="000000" w:themeColor="text1"/>
                <w:sz w:val="20"/>
              </w:rPr>
              <w:t xml:space="preserve">0.5% </w:t>
            </w:r>
          </w:p>
        </w:tc>
      </w:tr>
      <w:tr w:rsidR="00AA4BF8" w:rsidRPr="009676D8" w:rsidTr="00FE38F6">
        <w:tc>
          <w:tcPr>
            <w:tcW w:w="990" w:type="dxa"/>
          </w:tcPr>
          <w:p w:rsidR="00AA4BF8" w:rsidRPr="005D4C10" w:rsidRDefault="00AA4BF8" w:rsidP="00A752DD">
            <w:pPr>
              <w:jc w:val="center"/>
              <w:rPr>
                <w:color w:val="000000" w:themeColor="text1"/>
                <w:sz w:val="20"/>
              </w:rPr>
            </w:pPr>
            <w:r w:rsidRPr="005D4C10">
              <w:rPr>
                <w:color w:val="000000" w:themeColor="text1"/>
                <w:sz w:val="20"/>
              </w:rPr>
              <w:t xml:space="preserve"> 2.</w:t>
            </w:r>
          </w:p>
        </w:tc>
        <w:tc>
          <w:tcPr>
            <w:tcW w:w="3886" w:type="dxa"/>
          </w:tcPr>
          <w:p w:rsidR="00AA4BF8" w:rsidRPr="005D4C10" w:rsidRDefault="00AA4BF8" w:rsidP="0022563B">
            <w:pPr>
              <w:pStyle w:val="ListParagraph"/>
              <w:numPr>
                <w:ilvl w:val="0"/>
                <w:numId w:val="43"/>
              </w:numPr>
              <w:jc w:val="both"/>
              <w:rPr>
                <w:color w:val="000000" w:themeColor="text1"/>
                <w:sz w:val="20"/>
              </w:rPr>
            </w:pPr>
            <w:r w:rsidRPr="005D4C10">
              <w:rPr>
                <w:color w:val="000000" w:themeColor="text1"/>
                <w:sz w:val="20"/>
              </w:rPr>
              <w:t>Distributors of pharmaceutical products,</w:t>
            </w:r>
            <w:r w:rsidRPr="00FE38F6">
              <w:rPr>
                <w:color w:val="00B0F0"/>
                <w:sz w:val="20"/>
              </w:rPr>
              <w:t xml:space="preserve"> </w:t>
            </w:r>
            <w:r w:rsidR="0022563B" w:rsidRPr="0011745B">
              <w:rPr>
                <w:rStyle w:val="FootnoteReference"/>
                <w:color w:val="000000" w:themeColor="text1"/>
                <w:sz w:val="20"/>
              </w:rPr>
              <w:footnoteReference w:id="1628"/>
            </w:r>
            <w:r w:rsidR="0022563B" w:rsidRPr="0011745B">
              <w:rPr>
                <w:color w:val="000000" w:themeColor="text1"/>
                <w:sz w:val="20"/>
              </w:rPr>
              <w:t>[ ]</w:t>
            </w:r>
            <w:r w:rsidR="005D4C10">
              <w:rPr>
                <w:color w:val="984806" w:themeColor="accent6" w:themeShade="80"/>
                <w:sz w:val="20"/>
              </w:rPr>
              <w:t xml:space="preserve"> </w:t>
            </w:r>
            <w:r w:rsidR="0065763D" w:rsidRPr="005D4C10">
              <w:rPr>
                <w:color w:val="000000" w:themeColor="text1"/>
                <w:sz w:val="20"/>
              </w:rPr>
              <w:t xml:space="preserve">fast moving consumer goods </w:t>
            </w:r>
            <w:r w:rsidR="0022563B" w:rsidRPr="0011745B">
              <w:rPr>
                <w:rStyle w:val="FootnoteReference"/>
                <w:color w:val="000000" w:themeColor="text1"/>
                <w:sz w:val="20"/>
              </w:rPr>
              <w:footnoteReference w:id="1629"/>
            </w:r>
            <w:r w:rsidR="0022563B" w:rsidRPr="0011745B">
              <w:rPr>
                <w:color w:val="000000" w:themeColor="text1"/>
                <w:sz w:val="20"/>
              </w:rPr>
              <w:t>[ ]</w:t>
            </w:r>
            <w:r w:rsidR="005D4C10">
              <w:rPr>
                <w:color w:val="984806" w:themeColor="accent6" w:themeShade="80"/>
                <w:sz w:val="20"/>
              </w:rPr>
              <w:t xml:space="preserve"> </w:t>
            </w:r>
            <w:r w:rsidRPr="005D4C10">
              <w:rPr>
                <w:color w:val="000000" w:themeColor="text1"/>
                <w:sz w:val="20"/>
              </w:rPr>
              <w:t xml:space="preserve">and cigarettes; </w:t>
            </w:r>
          </w:p>
          <w:p w:rsidR="00AA4BF8" w:rsidRPr="005D4C10" w:rsidRDefault="00AA4BF8" w:rsidP="004B20DC">
            <w:pPr>
              <w:pStyle w:val="ListParagraph"/>
              <w:numPr>
                <w:ilvl w:val="0"/>
                <w:numId w:val="43"/>
              </w:numPr>
              <w:rPr>
                <w:color w:val="000000" w:themeColor="text1"/>
                <w:sz w:val="20"/>
              </w:rPr>
            </w:pPr>
            <w:r w:rsidRPr="005D4C10">
              <w:rPr>
                <w:color w:val="000000" w:themeColor="text1"/>
                <w:sz w:val="20"/>
              </w:rPr>
              <w:t xml:space="preserve">Petroleum agents and </w:t>
            </w:r>
            <w:r w:rsidR="00FE38F6" w:rsidRPr="005D4C10">
              <w:rPr>
                <w:color w:val="000000" w:themeColor="text1"/>
                <w:sz w:val="20"/>
              </w:rPr>
              <w:lastRenderedPageBreak/>
              <w:t>d</w:t>
            </w:r>
            <w:r w:rsidRPr="005D4C10">
              <w:rPr>
                <w:color w:val="000000" w:themeColor="text1"/>
                <w:sz w:val="20"/>
              </w:rPr>
              <w:t xml:space="preserve">istributors who are registered under the Sales Tax Act, 1990; </w:t>
            </w:r>
          </w:p>
          <w:p w:rsidR="00FE38F6" w:rsidRPr="005D4C10" w:rsidRDefault="00AA4BF8" w:rsidP="004B20DC">
            <w:pPr>
              <w:pStyle w:val="ListParagraph"/>
              <w:numPr>
                <w:ilvl w:val="0"/>
                <w:numId w:val="43"/>
              </w:numPr>
              <w:rPr>
                <w:color w:val="000000" w:themeColor="text1"/>
                <w:sz w:val="20"/>
              </w:rPr>
            </w:pPr>
            <w:r w:rsidRPr="005D4C10">
              <w:rPr>
                <w:color w:val="000000" w:themeColor="text1"/>
                <w:sz w:val="20"/>
              </w:rPr>
              <w:t>Rice mills and dealers; and</w:t>
            </w:r>
          </w:p>
          <w:p w:rsidR="00AA4BF8" w:rsidRPr="00FE38F6" w:rsidRDefault="00AA4BF8" w:rsidP="004B20DC">
            <w:pPr>
              <w:pStyle w:val="ListParagraph"/>
              <w:numPr>
                <w:ilvl w:val="0"/>
                <w:numId w:val="43"/>
              </w:numPr>
              <w:rPr>
                <w:color w:val="00B0F0"/>
                <w:sz w:val="20"/>
              </w:rPr>
            </w:pPr>
            <w:r w:rsidRPr="005D4C10">
              <w:rPr>
                <w:color w:val="000000" w:themeColor="text1"/>
                <w:sz w:val="20"/>
              </w:rPr>
              <w:t xml:space="preserve"> Flour mills.</w:t>
            </w:r>
            <w:r w:rsidRPr="00FE38F6">
              <w:rPr>
                <w:color w:val="00B0F0"/>
                <w:sz w:val="20"/>
              </w:rPr>
              <w:t xml:space="preserve"> </w:t>
            </w:r>
          </w:p>
        </w:tc>
        <w:tc>
          <w:tcPr>
            <w:tcW w:w="2324" w:type="dxa"/>
          </w:tcPr>
          <w:p w:rsidR="00AA4BF8" w:rsidRPr="005D4C10" w:rsidRDefault="00AA4BF8" w:rsidP="00A752DD">
            <w:pPr>
              <w:jc w:val="center"/>
              <w:rPr>
                <w:color w:val="000000" w:themeColor="text1"/>
                <w:sz w:val="20"/>
              </w:rPr>
            </w:pPr>
            <w:r w:rsidRPr="005D4C10">
              <w:rPr>
                <w:color w:val="000000" w:themeColor="text1"/>
                <w:sz w:val="20"/>
              </w:rPr>
              <w:lastRenderedPageBreak/>
              <w:t xml:space="preserve">0.2% </w:t>
            </w:r>
          </w:p>
        </w:tc>
      </w:tr>
      <w:tr w:rsidR="00AA4BF8" w:rsidRPr="009676D8" w:rsidTr="00FE38F6">
        <w:tc>
          <w:tcPr>
            <w:tcW w:w="990" w:type="dxa"/>
          </w:tcPr>
          <w:p w:rsidR="00AA4BF8" w:rsidRPr="005D4C10" w:rsidRDefault="00AA4BF8" w:rsidP="00A752DD">
            <w:pPr>
              <w:jc w:val="center"/>
              <w:rPr>
                <w:color w:val="000000" w:themeColor="text1"/>
                <w:sz w:val="20"/>
              </w:rPr>
            </w:pPr>
            <w:r w:rsidRPr="005D4C10">
              <w:rPr>
                <w:color w:val="000000" w:themeColor="text1"/>
                <w:sz w:val="20"/>
              </w:rPr>
              <w:lastRenderedPageBreak/>
              <w:t>3.</w:t>
            </w:r>
          </w:p>
        </w:tc>
        <w:tc>
          <w:tcPr>
            <w:tcW w:w="3886" w:type="dxa"/>
          </w:tcPr>
          <w:p w:rsidR="00AA4BF8" w:rsidRPr="005D4C10" w:rsidRDefault="00AA4BF8" w:rsidP="0065763D">
            <w:pPr>
              <w:rPr>
                <w:color w:val="000000" w:themeColor="text1"/>
                <w:sz w:val="20"/>
              </w:rPr>
            </w:pPr>
            <w:r w:rsidRPr="005D4C10">
              <w:rPr>
                <w:color w:val="000000" w:themeColor="text1"/>
                <w:sz w:val="20"/>
              </w:rPr>
              <w:t xml:space="preserve">Motorcycle dealers registered under the Sales Tax Act, 1990. </w:t>
            </w:r>
          </w:p>
        </w:tc>
        <w:tc>
          <w:tcPr>
            <w:tcW w:w="2324" w:type="dxa"/>
          </w:tcPr>
          <w:p w:rsidR="00AA4BF8" w:rsidRPr="005D4C10" w:rsidRDefault="00AA4BF8" w:rsidP="00A752DD">
            <w:pPr>
              <w:jc w:val="center"/>
              <w:rPr>
                <w:color w:val="000000" w:themeColor="text1"/>
                <w:sz w:val="20"/>
              </w:rPr>
            </w:pPr>
            <w:r w:rsidRPr="005D4C10">
              <w:rPr>
                <w:color w:val="000000" w:themeColor="text1"/>
                <w:sz w:val="20"/>
              </w:rPr>
              <w:t xml:space="preserve">0.25% </w:t>
            </w:r>
          </w:p>
        </w:tc>
      </w:tr>
      <w:tr w:rsidR="00AA4BF8" w:rsidRPr="009676D8" w:rsidTr="00FE38F6">
        <w:tc>
          <w:tcPr>
            <w:tcW w:w="990" w:type="dxa"/>
          </w:tcPr>
          <w:p w:rsidR="00AA4BF8" w:rsidRPr="005D4C10" w:rsidRDefault="00AA4BF8" w:rsidP="00A752DD">
            <w:pPr>
              <w:jc w:val="center"/>
              <w:rPr>
                <w:color w:val="000000" w:themeColor="text1"/>
                <w:sz w:val="20"/>
              </w:rPr>
            </w:pPr>
            <w:r w:rsidRPr="005D4C10">
              <w:rPr>
                <w:color w:val="000000" w:themeColor="text1"/>
                <w:sz w:val="20"/>
              </w:rPr>
              <w:t>4.</w:t>
            </w:r>
          </w:p>
        </w:tc>
        <w:tc>
          <w:tcPr>
            <w:tcW w:w="3886" w:type="dxa"/>
          </w:tcPr>
          <w:p w:rsidR="00AA4BF8" w:rsidRPr="005D4C10" w:rsidRDefault="00AA4BF8" w:rsidP="00A752DD">
            <w:pPr>
              <w:rPr>
                <w:color w:val="000000" w:themeColor="text1"/>
                <w:sz w:val="20"/>
              </w:rPr>
            </w:pPr>
            <w:r w:rsidRPr="005D4C10">
              <w:rPr>
                <w:color w:val="000000" w:themeColor="text1"/>
                <w:sz w:val="20"/>
              </w:rPr>
              <w:t>In all other cases.</w:t>
            </w:r>
          </w:p>
        </w:tc>
        <w:tc>
          <w:tcPr>
            <w:tcW w:w="2324" w:type="dxa"/>
          </w:tcPr>
          <w:p w:rsidR="00AA4BF8" w:rsidRPr="005D4C10" w:rsidRDefault="00AA4BF8" w:rsidP="00A752DD">
            <w:pPr>
              <w:jc w:val="center"/>
              <w:rPr>
                <w:color w:val="000000" w:themeColor="text1"/>
                <w:sz w:val="20"/>
              </w:rPr>
            </w:pPr>
            <w:r w:rsidRPr="005D4C10">
              <w:rPr>
                <w:color w:val="000000" w:themeColor="text1"/>
                <w:sz w:val="20"/>
              </w:rPr>
              <w:t xml:space="preserve">1% </w:t>
            </w:r>
            <w:r w:rsidR="009676D8" w:rsidRPr="005D4C10">
              <w:rPr>
                <w:color w:val="000000" w:themeColor="text1"/>
                <w:sz w:val="20"/>
              </w:rPr>
              <w:t>]</w:t>
            </w:r>
          </w:p>
        </w:tc>
      </w:tr>
    </w:tbl>
    <w:p w:rsidR="00751369" w:rsidRPr="009A5977" w:rsidRDefault="00AA4BF8" w:rsidP="00751369">
      <w:pPr>
        <w:pStyle w:val="Heading2"/>
        <w:spacing w:line="240" w:lineRule="auto"/>
        <w:rPr>
          <w:color w:val="000000" w:themeColor="text1"/>
          <w:szCs w:val="24"/>
        </w:rPr>
      </w:pPr>
      <w:r w:rsidRPr="00412620">
        <w:rPr>
          <w:sz w:val="20"/>
        </w:rPr>
        <w:br w:type="page"/>
      </w:r>
      <w:r w:rsidR="006B1955" w:rsidRPr="009A5977">
        <w:rPr>
          <w:rStyle w:val="FootnoteReference"/>
          <w:color w:val="000000" w:themeColor="text1"/>
          <w:sz w:val="20"/>
        </w:rPr>
        <w:lastRenderedPageBreak/>
        <w:footnoteReference w:id="1630"/>
      </w:r>
      <w:r w:rsidR="00751369" w:rsidRPr="009A5977">
        <w:rPr>
          <w:color w:val="000000" w:themeColor="text1"/>
          <w:szCs w:val="24"/>
        </w:rPr>
        <w:t>[“PART II</w:t>
      </w:r>
    </w:p>
    <w:p w:rsidR="00751369" w:rsidRPr="009A5977" w:rsidRDefault="00751369" w:rsidP="00751369">
      <w:pPr>
        <w:pStyle w:val="Heading2"/>
        <w:spacing w:line="240" w:lineRule="auto"/>
        <w:rPr>
          <w:color w:val="000000" w:themeColor="text1"/>
          <w:sz w:val="20"/>
        </w:rPr>
      </w:pPr>
      <w:r w:rsidRPr="009A5977">
        <w:rPr>
          <w:color w:val="000000" w:themeColor="text1"/>
          <w:sz w:val="20"/>
        </w:rPr>
        <w:t>RATES OF ADVANCE TAX</w:t>
      </w:r>
    </w:p>
    <w:p w:rsidR="00751369" w:rsidRPr="009A5977" w:rsidRDefault="00751369" w:rsidP="00751369">
      <w:pPr>
        <w:pStyle w:val="Heading2"/>
        <w:spacing w:line="240" w:lineRule="auto"/>
        <w:rPr>
          <w:color w:val="000000" w:themeColor="text1"/>
          <w:sz w:val="20"/>
        </w:rPr>
      </w:pPr>
      <w:r w:rsidRPr="009A5977">
        <w:rPr>
          <w:color w:val="000000" w:themeColor="text1"/>
          <w:sz w:val="20"/>
        </w:rPr>
        <w:t>[See Division II of Part V of Chapter X]</w:t>
      </w:r>
    </w:p>
    <w:p w:rsidR="00751369" w:rsidRPr="009A5977" w:rsidRDefault="00751369" w:rsidP="00751369">
      <w:pPr>
        <w:rPr>
          <w:color w:val="000000" w:themeColor="text1"/>
        </w:rPr>
      </w:pPr>
    </w:p>
    <w:p w:rsidR="00751369" w:rsidRPr="009A5977" w:rsidRDefault="00751369" w:rsidP="00751369">
      <w:pPr>
        <w:jc w:val="both"/>
        <w:rPr>
          <w:color w:val="000000" w:themeColor="text1"/>
          <w:sz w:val="20"/>
        </w:rPr>
      </w:pPr>
      <w:r w:rsidRPr="009A5977">
        <w:rPr>
          <w:color w:val="000000" w:themeColor="text1"/>
          <w:sz w:val="20"/>
        </w:rPr>
        <w:t xml:space="preserve">The rate of advance tax to be collected by the Collector of Customs under section 148 shall be- </w:t>
      </w:r>
    </w:p>
    <w:p w:rsidR="00751369" w:rsidRPr="009A5977" w:rsidRDefault="00751369" w:rsidP="00751369">
      <w:pPr>
        <w:rPr>
          <w:color w:val="000000" w:themeColor="text1"/>
          <w:sz w:val="20"/>
        </w:rPr>
      </w:pPr>
    </w:p>
    <w:tbl>
      <w:tblPr>
        <w:tblW w:w="76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6"/>
        <w:gridCol w:w="3690"/>
        <w:gridCol w:w="1530"/>
        <w:gridCol w:w="1604"/>
      </w:tblGrid>
      <w:tr w:rsidR="00751369" w:rsidRPr="009A5977" w:rsidTr="00472DD2">
        <w:trPr>
          <w:trHeight w:val="299"/>
        </w:trPr>
        <w:tc>
          <w:tcPr>
            <w:tcW w:w="826" w:type="dxa"/>
            <w:vMerge w:val="restart"/>
          </w:tcPr>
          <w:p w:rsidR="00751369" w:rsidRPr="009A5977" w:rsidRDefault="00751369" w:rsidP="00472DD2">
            <w:pPr>
              <w:jc w:val="center"/>
              <w:rPr>
                <w:color w:val="000000" w:themeColor="text1"/>
              </w:rPr>
            </w:pPr>
            <w:r w:rsidRPr="009A5977">
              <w:rPr>
                <w:color w:val="000000" w:themeColor="text1"/>
              </w:rPr>
              <w:t>S.No</w:t>
            </w:r>
          </w:p>
        </w:tc>
        <w:tc>
          <w:tcPr>
            <w:tcW w:w="3690" w:type="dxa"/>
            <w:vMerge w:val="restart"/>
          </w:tcPr>
          <w:p w:rsidR="00751369" w:rsidRPr="009A5977" w:rsidRDefault="00751369" w:rsidP="00472DD2">
            <w:pPr>
              <w:jc w:val="center"/>
              <w:rPr>
                <w:color w:val="000000" w:themeColor="text1"/>
              </w:rPr>
            </w:pPr>
            <w:r w:rsidRPr="009A5977">
              <w:rPr>
                <w:color w:val="000000" w:themeColor="text1"/>
              </w:rPr>
              <w:t>Persons</w:t>
            </w:r>
          </w:p>
        </w:tc>
        <w:tc>
          <w:tcPr>
            <w:tcW w:w="3134" w:type="dxa"/>
            <w:gridSpan w:val="2"/>
          </w:tcPr>
          <w:p w:rsidR="00751369" w:rsidRPr="009A5977" w:rsidRDefault="00751369" w:rsidP="00472DD2">
            <w:pPr>
              <w:jc w:val="center"/>
              <w:rPr>
                <w:color w:val="000000" w:themeColor="text1"/>
              </w:rPr>
            </w:pPr>
            <w:r w:rsidRPr="009A5977">
              <w:rPr>
                <w:color w:val="000000" w:themeColor="text1"/>
              </w:rPr>
              <w:t>Rate</w:t>
            </w:r>
          </w:p>
        </w:tc>
      </w:tr>
      <w:tr w:rsidR="00751369" w:rsidRPr="009A5977" w:rsidTr="00472DD2">
        <w:trPr>
          <w:trHeight w:val="246"/>
        </w:trPr>
        <w:tc>
          <w:tcPr>
            <w:tcW w:w="826" w:type="dxa"/>
            <w:vMerge/>
          </w:tcPr>
          <w:p w:rsidR="00751369" w:rsidRPr="009A5977" w:rsidRDefault="00751369" w:rsidP="00472DD2">
            <w:pPr>
              <w:jc w:val="center"/>
              <w:rPr>
                <w:color w:val="000000" w:themeColor="text1"/>
              </w:rPr>
            </w:pPr>
          </w:p>
        </w:tc>
        <w:tc>
          <w:tcPr>
            <w:tcW w:w="3690" w:type="dxa"/>
            <w:vMerge/>
          </w:tcPr>
          <w:p w:rsidR="00751369" w:rsidRPr="009A5977" w:rsidRDefault="00751369" w:rsidP="00472DD2">
            <w:pPr>
              <w:jc w:val="center"/>
              <w:rPr>
                <w:color w:val="000000" w:themeColor="text1"/>
              </w:rPr>
            </w:pPr>
          </w:p>
        </w:tc>
        <w:tc>
          <w:tcPr>
            <w:tcW w:w="1530" w:type="dxa"/>
          </w:tcPr>
          <w:p w:rsidR="00751369" w:rsidRPr="009A5977" w:rsidRDefault="00751369" w:rsidP="00472DD2">
            <w:pPr>
              <w:jc w:val="center"/>
              <w:rPr>
                <w:color w:val="000000" w:themeColor="text1"/>
              </w:rPr>
            </w:pPr>
            <w:r w:rsidRPr="009A5977">
              <w:rPr>
                <w:color w:val="000000" w:themeColor="text1"/>
              </w:rPr>
              <w:t>Filer</w:t>
            </w:r>
          </w:p>
        </w:tc>
        <w:tc>
          <w:tcPr>
            <w:tcW w:w="1604" w:type="dxa"/>
          </w:tcPr>
          <w:p w:rsidR="00751369" w:rsidRPr="009A5977" w:rsidRDefault="00751369" w:rsidP="00472DD2">
            <w:pPr>
              <w:jc w:val="center"/>
              <w:rPr>
                <w:color w:val="000000" w:themeColor="text1"/>
              </w:rPr>
            </w:pPr>
            <w:r w:rsidRPr="009A5977">
              <w:rPr>
                <w:color w:val="000000" w:themeColor="text1"/>
              </w:rPr>
              <w:t>Non-Filer</w:t>
            </w:r>
          </w:p>
        </w:tc>
      </w:tr>
      <w:tr w:rsidR="00751369" w:rsidRPr="009A5977" w:rsidTr="00472DD2">
        <w:tc>
          <w:tcPr>
            <w:tcW w:w="826" w:type="dxa"/>
          </w:tcPr>
          <w:p w:rsidR="00751369" w:rsidRPr="009A5977" w:rsidRDefault="00751369" w:rsidP="00472DD2">
            <w:pPr>
              <w:jc w:val="center"/>
              <w:rPr>
                <w:color w:val="000000" w:themeColor="text1"/>
                <w:sz w:val="20"/>
              </w:rPr>
            </w:pPr>
            <w:r w:rsidRPr="009A5977">
              <w:rPr>
                <w:color w:val="000000" w:themeColor="text1"/>
                <w:sz w:val="20"/>
              </w:rPr>
              <w:t>(1)</w:t>
            </w:r>
          </w:p>
        </w:tc>
        <w:tc>
          <w:tcPr>
            <w:tcW w:w="3690" w:type="dxa"/>
          </w:tcPr>
          <w:p w:rsidR="00751369" w:rsidRPr="009A5977" w:rsidRDefault="00751369" w:rsidP="00472DD2">
            <w:pPr>
              <w:jc w:val="center"/>
              <w:rPr>
                <w:color w:val="000000" w:themeColor="text1"/>
                <w:sz w:val="20"/>
              </w:rPr>
            </w:pPr>
            <w:r w:rsidRPr="009A5977">
              <w:rPr>
                <w:color w:val="000000" w:themeColor="text1"/>
                <w:sz w:val="20"/>
              </w:rPr>
              <w:t>(2)</w:t>
            </w:r>
          </w:p>
        </w:tc>
        <w:tc>
          <w:tcPr>
            <w:tcW w:w="1530" w:type="dxa"/>
          </w:tcPr>
          <w:p w:rsidR="00751369" w:rsidRPr="009A5977" w:rsidRDefault="00751369" w:rsidP="00472DD2">
            <w:pPr>
              <w:jc w:val="center"/>
              <w:rPr>
                <w:color w:val="000000" w:themeColor="text1"/>
                <w:sz w:val="20"/>
              </w:rPr>
            </w:pPr>
            <w:r w:rsidRPr="009A5977">
              <w:rPr>
                <w:color w:val="000000" w:themeColor="text1"/>
                <w:sz w:val="20"/>
              </w:rPr>
              <w:t>(3)</w:t>
            </w:r>
          </w:p>
        </w:tc>
        <w:tc>
          <w:tcPr>
            <w:tcW w:w="1604" w:type="dxa"/>
          </w:tcPr>
          <w:p w:rsidR="00751369" w:rsidRPr="009A5977" w:rsidRDefault="00751369" w:rsidP="00472DD2">
            <w:pPr>
              <w:jc w:val="center"/>
              <w:rPr>
                <w:color w:val="000000" w:themeColor="text1"/>
                <w:sz w:val="20"/>
              </w:rPr>
            </w:pPr>
            <w:r w:rsidRPr="009A5977">
              <w:rPr>
                <w:color w:val="000000" w:themeColor="text1"/>
                <w:sz w:val="20"/>
              </w:rPr>
              <w:t>(4)</w:t>
            </w:r>
          </w:p>
        </w:tc>
      </w:tr>
      <w:tr w:rsidR="00751369" w:rsidRPr="009A5977" w:rsidTr="00472DD2">
        <w:tc>
          <w:tcPr>
            <w:tcW w:w="826" w:type="dxa"/>
          </w:tcPr>
          <w:p w:rsidR="00751369" w:rsidRPr="009A5977" w:rsidRDefault="00751369" w:rsidP="00472DD2">
            <w:pPr>
              <w:jc w:val="center"/>
              <w:rPr>
                <w:color w:val="000000" w:themeColor="text1"/>
                <w:sz w:val="20"/>
              </w:rPr>
            </w:pPr>
            <w:r w:rsidRPr="009A5977">
              <w:rPr>
                <w:color w:val="000000" w:themeColor="text1"/>
                <w:sz w:val="20"/>
              </w:rPr>
              <w:t>1.</w:t>
            </w:r>
          </w:p>
        </w:tc>
        <w:tc>
          <w:tcPr>
            <w:tcW w:w="3690" w:type="dxa"/>
          </w:tcPr>
          <w:p w:rsidR="00751369" w:rsidRPr="009A5977" w:rsidRDefault="00751369" w:rsidP="00751369">
            <w:pPr>
              <w:pStyle w:val="ListParagraph"/>
              <w:numPr>
                <w:ilvl w:val="0"/>
                <w:numId w:val="44"/>
              </w:numPr>
              <w:ind w:left="358"/>
              <w:jc w:val="both"/>
              <w:rPr>
                <w:color w:val="000000" w:themeColor="text1"/>
                <w:sz w:val="20"/>
              </w:rPr>
            </w:pPr>
            <w:r w:rsidRPr="009A5977">
              <w:rPr>
                <w:color w:val="000000" w:themeColor="text1"/>
                <w:sz w:val="20"/>
              </w:rPr>
              <w:t xml:space="preserve">Industrial undertaking importing remeltable steel (PCT Heading 72.04) and directly reduced iron for its own use; </w:t>
            </w:r>
          </w:p>
          <w:p w:rsidR="00751369" w:rsidRPr="009A5977" w:rsidRDefault="00751369" w:rsidP="00751369">
            <w:pPr>
              <w:pStyle w:val="ListParagraph"/>
              <w:numPr>
                <w:ilvl w:val="0"/>
                <w:numId w:val="44"/>
              </w:numPr>
              <w:ind w:left="358"/>
              <w:jc w:val="both"/>
              <w:rPr>
                <w:color w:val="000000" w:themeColor="text1"/>
                <w:sz w:val="20"/>
              </w:rPr>
            </w:pPr>
            <w:r w:rsidRPr="009A5977">
              <w:rPr>
                <w:color w:val="000000" w:themeColor="text1"/>
                <w:sz w:val="20"/>
              </w:rPr>
              <w:t>Persons importing potassic fertilizers in pursuance of Economic Coordination Committee of the cabinet’s decision No.ECC-</w:t>
            </w:r>
            <w:r w:rsidRPr="009A5977">
              <w:rPr>
                <w:color w:val="000000" w:themeColor="text1"/>
                <w:sz w:val="20"/>
              </w:rPr>
              <w:lastRenderedPageBreak/>
              <w:t>155/12/2004 dated the 9</w:t>
            </w:r>
            <w:r w:rsidRPr="009A5977">
              <w:rPr>
                <w:color w:val="000000" w:themeColor="text1"/>
                <w:sz w:val="20"/>
                <w:vertAlign w:val="superscript"/>
              </w:rPr>
              <w:t>th</w:t>
            </w:r>
            <w:r w:rsidRPr="009A5977">
              <w:rPr>
                <w:color w:val="000000" w:themeColor="text1"/>
                <w:sz w:val="20"/>
              </w:rPr>
              <w:t xml:space="preserve">  December, 2004; </w:t>
            </w:r>
          </w:p>
          <w:p w:rsidR="00751369" w:rsidRPr="009A5977" w:rsidRDefault="00751369" w:rsidP="00751369">
            <w:pPr>
              <w:pStyle w:val="ListParagraph"/>
              <w:numPr>
                <w:ilvl w:val="0"/>
                <w:numId w:val="44"/>
              </w:numPr>
              <w:ind w:left="358"/>
              <w:jc w:val="both"/>
              <w:rPr>
                <w:color w:val="000000" w:themeColor="text1"/>
                <w:sz w:val="20"/>
              </w:rPr>
            </w:pPr>
            <w:r w:rsidRPr="009A5977">
              <w:rPr>
                <w:color w:val="000000" w:themeColor="text1"/>
                <w:sz w:val="20"/>
              </w:rPr>
              <w:t xml:space="preserve">Persons importing urea;  </w:t>
            </w:r>
          </w:p>
          <w:p w:rsidR="00751369" w:rsidRPr="009A5977" w:rsidRDefault="00751369" w:rsidP="00751369">
            <w:pPr>
              <w:pStyle w:val="ListParagraph"/>
              <w:numPr>
                <w:ilvl w:val="0"/>
                <w:numId w:val="44"/>
              </w:numPr>
              <w:ind w:left="358"/>
              <w:jc w:val="both"/>
              <w:rPr>
                <w:color w:val="000000" w:themeColor="text1"/>
                <w:sz w:val="20"/>
              </w:rPr>
            </w:pPr>
            <w:r w:rsidRPr="009A5977">
              <w:rPr>
                <w:color w:val="000000" w:themeColor="text1"/>
                <w:sz w:val="20"/>
              </w:rPr>
              <w:t>Manufacturers covered under Notification No. S.R.O. 1125(I)/2011 dated the 31st December, 2011 and importing items covered under S.R.O. 1125(I)/2011 dated the 31</w:t>
            </w:r>
            <w:r w:rsidRPr="009A5977">
              <w:rPr>
                <w:color w:val="000000" w:themeColor="text1"/>
                <w:sz w:val="20"/>
                <w:vertAlign w:val="superscript"/>
              </w:rPr>
              <w:t>st</w:t>
            </w:r>
            <w:r w:rsidRPr="009A5977">
              <w:rPr>
                <w:color w:val="000000" w:themeColor="text1"/>
                <w:sz w:val="20"/>
              </w:rPr>
              <w:t xml:space="preserve"> December, 2011;</w:t>
            </w:r>
          </w:p>
          <w:p w:rsidR="00751369" w:rsidRPr="009A5977" w:rsidRDefault="00751369" w:rsidP="00751369">
            <w:pPr>
              <w:pStyle w:val="ListParagraph"/>
              <w:numPr>
                <w:ilvl w:val="0"/>
                <w:numId w:val="44"/>
              </w:numPr>
              <w:ind w:left="358"/>
              <w:jc w:val="both"/>
              <w:rPr>
                <w:color w:val="000000" w:themeColor="text1"/>
                <w:sz w:val="20"/>
              </w:rPr>
            </w:pPr>
            <w:r w:rsidRPr="009A5977">
              <w:rPr>
                <w:color w:val="000000" w:themeColor="text1"/>
                <w:sz w:val="20"/>
              </w:rPr>
              <w:t>Persons importing Gold;</w:t>
            </w:r>
          </w:p>
          <w:p w:rsidR="00751369" w:rsidRPr="009A5977" w:rsidRDefault="00751369" w:rsidP="00751369">
            <w:pPr>
              <w:pStyle w:val="ListParagraph"/>
              <w:numPr>
                <w:ilvl w:val="0"/>
                <w:numId w:val="44"/>
              </w:numPr>
              <w:ind w:left="358"/>
              <w:jc w:val="both"/>
              <w:rPr>
                <w:color w:val="000000" w:themeColor="text1"/>
                <w:sz w:val="20"/>
              </w:rPr>
            </w:pPr>
            <w:r w:rsidRPr="009A5977">
              <w:rPr>
                <w:color w:val="000000" w:themeColor="text1"/>
                <w:sz w:val="20"/>
              </w:rPr>
              <w:t xml:space="preserve">Persons importing Cotton; and </w:t>
            </w:r>
          </w:p>
          <w:p w:rsidR="00751369" w:rsidRPr="009A5977" w:rsidRDefault="00751369" w:rsidP="00751369">
            <w:pPr>
              <w:pStyle w:val="ListParagraph"/>
              <w:numPr>
                <w:ilvl w:val="0"/>
                <w:numId w:val="44"/>
              </w:numPr>
              <w:ind w:left="358"/>
              <w:jc w:val="both"/>
              <w:rPr>
                <w:color w:val="000000" w:themeColor="text1"/>
                <w:sz w:val="20"/>
              </w:rPr>
            </w:pPr>
            <w:r w:rsidRPr="009A5977">
              <w:rPr>
                <w:color w:val="000000" w:themeColor="text1"/>
                <w:sz w:val="20"/>
              </w:rPr>
              <w:t xml:space="preserve">Designated buyer of LNG on behalf of Government of Pakistan, to import LNG   </w:t>
            </w:r>
          </w:p>
        </w:tc>
        <w:tc>
          <w:tcPr>
            <w:tcW w:w="1530" w:type="dxa"/>
          </w:tcPr>
          <w:p w:rsidR="00751369" w:rsidRPr="009A5977" w:rsidRDefault="00751369" w:rsidP="00472DD2">
            <w:pPr>
              <w:jc w:val="both"/>
              <w:rPr>
                <w:color w:val="000000" w:themeColor="text1"/>
                <w:sz w:val="20"/>
              </w:rPr>
            </w:pPr>
            <w:r w:rsidRPr="009A5977">
              <w:rPr>
                <w:color w:val="000000" w:themeColor="text1"/>
                <w:sz w:val="20"/>
              </w:rPr>
              <w:lastRenderedPageBreak/>
              <w:t>1% of the import value as increased by customs-duty, sales tax and federal excise duty</w:t>
            </w:r>
          </w:p>
        </w:tc>
        <w:tc>
          <w:tcPr>
            <w:tcW w:w="1604" w:type="dxa"/>
          </w:tcPr>
          <w:p w:rsidR="00751369" w:rsidRPr="009A5977" w:rsidRDefault="00751369" w:rsidP="00472DD2">
            <w:pPr>
              <w:jc w:val="both"/>
              <w:rPr>
                <w:color w:val="000000" w:themeColor="text1"/>
                <w:sz w:val="20"/>
              </w:rPr>
            </w:pPr>
            <w:r w:rsidRPr="009A5977">
              <w:rPr>
                <w:color w:val="000000" w:themeColor="text1"/>
                <w:sz w:val="20"/>
              </w:rPr>
              <w:t>1.5% of the import value as increased by customs-duty, sales tax and federal excise duty</w:t>
            </w:r>
          </w:p>
        </w:tc>
      </w:tr>
      <w:tr w:rsidR="00751369" w:rsidRPr="00410309" w:rsidTr="00472DD2">
        <w:tc>
          <w:tcPr>
            <w:tcW w:w="826" w:type="dxa"/>
          </w:tcPr>
          <w:p w:rsidR="00751369" w:rsidRPr="009A5977" w:rsidRDefault="00751369" w:rsidP="00472DD2">
            <w:pPr>
              <w:jc w:val="center"/>
              <w:rPr>
                <w:color w:val="000000" w:themeColor="text1"/>
                <w:sz w:val="20"/>
              </w:rPr>
            </w:pPr>
            <w:r w:rsidRPr="009A5977">
              <w:rPr>
                <w:color w:val="000000" w:themeColor="text1"/>
                <w:sz w:val="20"/>
              </w:rPr>
              <w:lastRenderedPageBreak/>
              <w:t>2.</w:t>
            </w:r>
          </w:p>
        </w:tc>
        <w:tc>
          <w:tcPr>
            <w:tcW w:w="3690" w:type="dxa"/>
          </w:tcPr>
          <w:p w:rsidR="00751369" w:rsidRPr="009A5977" w:rsidRDefault="00751369" w:rsidP="00472DD2">
            <w:pPr>
              <w:jc w:val="both"/>
              <w:rPr>
                <w:color w:val="000000" w:themeColor="text1"/>
                <w:sz w:val="20"/>
              </w:rPr>
            </w:pPr>
            <w:r w:rsidRPr="009A5977">
              <w:rPr>
                <w:color w:val="000000" w:themeColor="text1"/>
                <w:sz w:val="20"/>
              </w:rPr>
              <w:t>Persons importing pulses</w:t>
            </w:r>
          </w:p>
        </w:tc>
        <w:tc>
          <w:tcPr>
            <w:tcW w:w="1530" w:type="dxa"/>
          </w:tcPr>
          <w:p w:rsidR="00751369" w:rsidRPr="009A5977" w:rsidRDefault="00751369" w:rsidP="00472DD2">
            <w:pPr>
              <w:jc w:val="both"/>
              <w:rPr>
                <w:color w:val="000000" w:themeColor="text1"/>
                <w:sz w:val="20"/>
              </w:rPr>
            </w:pPr>
            <w:r w:rsidRPr="009A5977">
              <w:rPr>
                <w:color w:val="000000" w:themeColor="text1"/>
                <w:sz w:val="20"/>
              </w:rPr>
              <w:t>2% of the import value as increased by customs-duty, sales tax and federal excise duty</w:t>
            </w:r>
          </w:p>
        </w:tc>
        <w:tc>
          <w:tcPr>
            <w:tcW w:w="1604" w:type="dxa"/>
          </w:tcPr>
          <w:p w:rsidR="00751369" w:rsidRPr="009A5977" w:rsidRDefault="00751369" w:rsidP="00472DD2">
            <w:pPr>
              <w:jc w:val="both"/>
              <w:rPr>
                <w:color w:val="000000" w:themeColor="text1"/>
                <w:sz w:val="20"/>
              </w:rPr>
            </w:pPr>
            <w:r w:rsidRPr="009A5977">
              <w:rPr>
                <w:color w:val="000000" w:themeColor="text1"/>
                <w:sz w:val="20"/>
              </w:rPr>
              <w:t>3% of the import value as increased by customs-duty, sales tax and federal excise duty</w:t>
            </w:r>
          </w:p>
        </w:tc>
      </w:tr>
      <w:tr w:rsidR="00751369" w:rsidRPr="00410309" w:rsidTr="00472DD2">
        <w:tc>
          <w:tcPr>
            <w:tcW w:w="826" w:type="dxa"/>
          </w:tcPr>
          <w:p w:rsidR="00751369" w:rsidRPr="009A5977" w:rsidRDefault="00751369" w:rsidP="00472DD2">
            <w:pPr>
              <w:jc w:val="center"/>
              <w:rPr>
                <w:color w:val="000000" w:themeColor="text1"/>
                <w:sz w:val="20"/>
              </w:rPr>
            </w:pPr>
            <w:r w:rsidRPr="009A5977">
              <w:rPr>
                <w:color w:val="000000" w:themeColor="text1"/>
                <w:sz w:val="20"/>
              </w:rPr>
              <w:t>3.</w:t>
            </w:r>
          </w:p>
        </w:tc>
        <w:tc>
          <w:tcPr>
            <w:tcW w:w="3690" w:type="dxa"/>
          </w:tcPr>
          <w:p w:rsidR="00751369" w:rsidRPr="009A5977" w:rsidRDefault="00751369" w:rsidP="00472DD2">
            <w:pPr>
              <w:jc w:val="both"/>
              <w:rPr>
                <w:color w:val="000000" w:themeColor="text1"/>
                <w:sz w:val="20"/>
              </w:rPr>
            </w:pPr>
            <w:r w:rsidRPr="009A5977">
              <w:rPr>
                <w:color w:val="000000" w:themeColor="text1"/>
                <w:sz w:val="20"/>
              </w:rPr>
              <w:t>Commercial importers covered under Notification No. S.R.O. 1125(I)/2011 dated the 31</w:t>
            </w:r>
            <w:r w:rsidRPr="009A5977">
              <w:rPr>
                <w:color w:val="000000" w:themeColor="text1"/>
                <w:sz w:val="20"/>
                <w:vertAlign w:val="superscript"/>
              </w:rPr>
              <w:t>st</w:t>
            </w:r>
            <w:r w:rsidRPr="009A5977">
              <w:rPr>
                <w:color w:val="000000" w:themeColor="text1"/>
                <w:sz w:val="20"/>
              </w:rPr>
              <w:t xml:space="preserve"> December, 2011 and importing items covered under S.R.O. 1125(I)/2011 dated the 31</w:t>
            </w:r>
            <w:r w:rsidRPr="009A5977">
              <w:rPr>
                <w:color w:val="000000" w:themeColor="text1"/>
                <w:sz w:val="20"/>
                <w:vertAlign w:val="superscript"/>
              </w:rPr>
              <w:t>st</w:t>
            </w:r>
            <w:r w:rsidRPr="009A5977">
              <w:rPr>
                <w:color w:val="000000" w:themeColor="text1"/>
                <w:sz w:val="20"/>
              </w:rPr>
              <w:t xml:space="preserve"> December, 2011. </w:t>
            </w:r>
          </w:p>
        </w:tc>
        <w:tc>
          <w:tcPr>
            <w:tcW w:w="1530" w:type="dxa"/>
          </w:tcPr>
          <w:p w:rsidR="00751369" w:rsidRPr="009A5977" w:rsidRDefault="00751369" w:rsidP="00472DD2">
            <w:pPr>
              <w:jc w:val="both"/>
              <w:rPr>
                <w:color w:val="000000" w:themeColor="text1"/>
                <w:sz w:val="20"/>
              </w:rPr>
            </w:pPr>
            <w:r w:rsidRPr="009A5977">
              <w:rPr>
                <w:color w:val="000000" w:themeColor="text1"/>
                <w:sz w:val="20"/>
              </w:rPr>
              <w:t>3% of the import value as increased by customs-duty, sales tax and federal excise duty</w:t>
            </w:r>
          </w:p>
        </w:tc>
        <w:tc>
          <w:tcPr>
            <w:tcW w:w="1604" w:type="dxa"/>
          </w:tcPr>
          <w:p w:rsidR="00751369" w:rsidRPr="009A5977" w:rsidRDefault="00751369" w:rsidP="00472DD2">
            <w:pPr>
              <w:jc w:val="both"/>
              <w:rPr>
                <w:color w:val="000000" w:themeColor="text1"/>
                <w:sz w:val="20"/>
              </w:rPr>
            </w:pPr>
            <w:r w:rsidRPr="009A5977">
              <w:rPr>
                <w:color w:val="000000" w:themeColor="text1"/>
                <w:sz w:val="20"/>
              </w:rPr>
              <w:t>4.5% of the import value as increased by customs-duty, sales tax and federal excise duty</w:t>
            </w:r>
          </w:p>
        </w:tc>
      </w:tr>
      <w:tr w:rsidR="00751369" w:rsidRPr="00410309" w:rsidTr="00472DD2">
        <w:tc>
          <w:tcPr>
            <w:tcW w:w="826" w:type="dxa"/>
          </w:tcPr>
          <w:p w:rsidR="00751369" w:rsidRPr="009A5977" w:rsidRDefault="00751369" w:rsidP="00472DD2">
            <w:pPr>
              <w:jc w:val="center"/>
              <w:rPr>
                <w:color w:val="000000" w:themeColor="text1"/>
                <w:sz w:val="20"/>
              </w:rPr>
            </w:pPr>
            <w:r w:rsidRPr="009A5977">
              <w:rPr>
                <w:color w:val="000000" w:themeColor="text1"/>
                <w:sz w:val="20"/>
              </w:rPr>
              <w:t>4.</w:t>
            </w:r>
          </w:p>
        </w:tc>
        <w:tc>
          <w:tcPr>
            <w:tcW w:w="3690" w:type="dxa"/>
          </w:tcPr>
          <w:p w:rsidR="00751369" w:rsidRPr="009A5977" w:rsidRDefault="00751369" w:rsidP="00472DD2">
            <w:pPr>
              <w:jc w:val="both"/>
              <w:rPr>
                <w:color w:val="000000" w:themeColor="text1"/>
                <w:sz w:val="20"/>
              </w:rPr>
            </w:pPr>
            <w:r w:rsidRPr="009A5977">
              <w:rPr>
                <w:color w:val="000000" w:themeColor="text1"/>
                <w:sz w:val="20"/>
              </w:rPr>
              <w:t>Ship breakers on import of ships</w:t>
            </w:r>
          </w:p>
        </w:tc>
        <w:tc>
          <w:tcPr>
            <w:tcW w:w="1530" w:type="dxa"/>
          </w:tcPr>
          <w:p w:rsidR="00751369" w:rsidRPr="009A5977" w:rsidRDefault="00751369" w:rsidP="00472DD2">
            <w:pPr>
              <w:jc w:val="center"/>
              <w:rPr>
                <w:color w:val="000000" w:themeColor="text1"/>
                <w:sz w:val="20"/>
              </w:rPr>
            </w:pPr>
            <w:r w:rsidRPr="009A5977">
              <w:rPr>
                <w:color w:val="000000" w:themeColor="text1"/>
                <w:sz w:val="20"/>
              </w:rPr>
              <w:t xml:space="preserve">4.5% </w:t>
            </w:r>
          </w:p>
        </w:tc>
        <w:tc>
          <w:tcPr>
            <w:tcW w:w="1604" w:type="dxa"/>
          </w:tcPr>
          <w:p w:rsidR="00751369" w:rsidRPr="009A5977" w:rsidRDefault="00751369" w:rsidP="00472DD2">
            <w:pPr>
              <w:jc w:val="center"/>
              <w:rPr>
                <w:color w:val="000000" w:themeColor="text1"/>
                <w:sz w:val="20"/>
              </w:rPr>
            </w:pPr>
            <w:r w:rsidRPr="009A5977">
              <w:rPr>
                <w:color w:val="000000" w:themeColor="text1"/>
                <w:sz w:val="20"/>
              </w:rPr>
              <w:t>6.5%</w:t>
            </w:r>
          </w:p>
        </w:tc>
      </w:tr>
      <w:tr w:rsidR="00751369" w:rsidRPr="00410309" w:rsidTr="00472DD2">
        <w:tc>
          <w:tcPr>
            <w:tcW w:w="826" w:type="dxa"/>
          </w:tcPr>
          <w:p w:rsidR="00751369" w:rsidRPr="009A5977" w:rsidRDefault="00751369" w:rsidP="00472DD2">
            <w:pPr>
              <w:jc w:val="center"/>
              <w:rPr>
                <w:color w:val="000000" w:themeColor="text1"/>
                <w:sz w:val="20"/>
              </w:rPr>
            </w:pPr>
            <w:r w:rsidRPr="009A5977">
              <w:rPr>
                <w:color w:val="000000" w:themeColor="text1"/>
                <w:sz w:val="20"/>
              </w:rPr>
              <w:t>5.</w:t>
            </w:r>
          </w:p>
        </w:tc>
        <w:tc>
          <w:tcPr>
            <w:tcW w:w="3690" w:type="dxa"/>
          </w:tcPr>
          <w:p w:rsidR="00751369" w:rsidRPr="009A5977" w:rsidRDefault="00751369" w:rsidP="00472DD2">
            <w:pPr>
              <w:jc w:val="both"/>
              <w:rPr>
                <w:color w:val="000000" w:themeColor="text1"/>
                <w:sz w:val="20"/>
              </w:rPr>
            </w:pPr>
            <w:r w:rsidRPr="009A5977">
              <w:rPr>
                <w:color w:val="000000" w:themeColor="text1"/>
                <w:sz w:val="20"/>
              </w:rPr>
              <w:t>Industrial undertakings not covered under S. Nos. 1 to 4</w:t>
            </w:r>
          </w:p>
        </w:tc>
        <w:tc>
          <w:tcPr>
            <w:tcW w:w="1530" w:type="dxa"/>
          </w:tcPr>
          <w:p w:rsidR="00751369" w:rsidRPr="009A5977" w:rsidRDefault="00751369" w:rsidP="00472DD2">
            <w:pPr>
              <w:jc w:val="center"/>
              <w:rPr>
                <w:color w:val="000000" w:themeColor="text1"/>
                <w:sz w:val="20"/>
              </w:rPr>
            </w:pPr>
            <w:r w:rsidRPr="009A5977">
              <w:rPr>
                <w:color w:val="000000" w:themeColor="text1"/>
                <w:sz w:val="20"/>
              </w:rPr>
              <w:t>5.5%</w:t>
            </w:r>
          </w:p>
        </w:tc>
        <w:tc>
          <w:tcPr>
            <w:tcW w:w="1604" w:type="dxa"/>
          </w:tcPr>
          <w:p w:rsidR="00751369" w:rsidRPr="009A5977" w:rsidRDefault="00751369" w:rsidP="00472DD2">
            <w:pPr>
              <w:jc w:val="center"/>
              <w:rPr>
                <w:color w:val="000000" w:themeColor="text1"/>
                <w:sz w:val="20"/>
              </w:rPr>
            </w:pPr>
            <w:r w:rsidRPr="009A5977">
              <w:rPr>
                <w:color w:val="000000" w:themeColor="text1"/>
                <w:sz w:val="20"/>
              </w:rPr>
              <w:t>8%</w:t>
            </w:r>
          </w:p>
        </w:tc>
      </w:tr>
      <w:tr w:rsidR="00751369" w:rsidRPr="00410309" w:rsidTr="00472DD2">
        <w:tc>
          <w:tcPr>
            <w:tcW w:w="826" w:type="dxa"/>
          </w:tcPr>
          <w:p w:rsidR="00751369" w:rsidRPr="009A5977" w:rsidRDefault="00751369" w:rsidP="00472DD2">
            <w:pPr>
              <w:jc w:val="center"/>
              <w:rPr>
                <w:color w:val="000000" w:themeColor="text1"/>
                <w:sz w:val="20"/>
              </w:rPr>
            </w:pPr>
            <w:r w:rsidRPr="009A5977">
              <w:rPr>
                <w:color w:val="000000" w:themeColor="text1"/>
                <w:sz w:val="20"/>
              </w:rPr>
              <w:t>6.</w:t>
            </w:r>
          </w:p>
        </w:tc>
        <w:tc>
          <w:tcPr>
            <w:tcW w:w="3690" w:type="dxa"/>
          </w:tcPr>
          <w:p w:rsidR="00751369" w:rsidRPr="009A5977" w:rsidRDefault="00751369" w:rsidP="00472DD2">
            <w:pPr>
              <w:jc w:val="both"/>
              <w:rPr>
                <w:color w:val="000000" w:themeColor="text1"/>
                <w:sz w:val="20"/>
              </w:rPr>
            </w:pPr>
            <w:r w:rsidRPr="009A5977">
              <w:rPr>
                <w:color w:val="000000" w:themeColor="text1"/>
                <w:sz w:val="20"/>
              </w:rPr>
              <w:t>Companies not covered under S. Nos. 1 to 5</w:t>
            </w:r>
          </w:p>
        </w:tc>
        <w:tc>
          <w:tcPr>
            <w:tcW w:w="1530" w:type="dxa"/>
          </w:tcPr>
          <w:p w:rsidR="00751369" w:rsidRPr="009A5977" w:rsidRDefault="00751369" w:rsidP="00472DD2">
            <w:pPr>
              <w:jc w:val="center"/>
              <w:rPr>
                <w:color w:val="000000" w:themeColor="text1"/>
                <w:sz w:val="20"/>
              </w:rPr>
            </w:pPr>
            <w:r w:rsidRPr="009A5977">
              <w:rPr>
                <w:color w:val="000000" w:themeColor="text1"/>
                <w:sz w:val="20"/>
              </w:rPr>
              <w:t>5.5%</w:t>
            </w:r>
          </w:p>
        </w:tc>
        <w:tc>
          <w:tcPr>
            <w:tcW w:w="1604" w:type="dxa"/>
          </w:tcPr>
          <w:p w:rsidR="00751369" w:rsidRPr="009A5977" w:rsidRDefault="00751369" w:rsidP="00472DD2">
            <w:pPr>
              <w:jc w:val="center"/>
              <w:rPr>
                <w:color w:val="000000" w:themeColor="text1"/>
                <w:sz w:val="20"/>
              </w:rPr>
            </w:pPr>
            <w:r w:rsidRPr="009A5977">
              <w:rPr>
                <w:color w:val="000000" w:themeColor="text1"/>
                <w:sz w:val="20"/>
              </w:rPr>
              <w:t>8%</w:t>
            </w:r>
          </w:p>
        </w:tc>
      </w:tr>
      <w:tr w:rsidR="00751369" w:rsidRPr="00410309" w:rsidTr="00472DD2">
        <w:tc>
          <w:tcPr>
            <w:tcW w:w="826" w:type="dxa"/>
          </w:tcPr>
          <w:p w:rsidR="00751369" w:rsidRPr="009A5977" w:rsidRDefault="00751369" w:rsidP="00472DD2">
            <w:pPr>
              <w:jc w:val="center"/>
              <w:rPr>
                <w:color w:val="000000" w:themeColor="text1"/>
                <w:sz w:val="20"/>
              </w:rPr>
            </w:pPr>
            <w:r w:rsidRPr="009A5977">
              <w:rPr>
                <w:color w:val="000000" w:themeColor="text1"/>
                <w:sz w:val="20"/>
              </w:rPr>
              <w:t>7.</w:t>
            </w:r>
          </w:p>
        </w:tc>
        <w:tc>
          <w:tcPr>
            <w:tcW w:w="3690" w:type="dxa"/>
          </w:tcPr>
          <w:p w:rsidR="00751369" w:rsidRPr="009A5977" w:rsidRDefault="00751369" w:rsidP="00472DD2">
            <w:pPr>
              <w:jc w:val="both"/>
              <w:rPr>
                <w:color w:val="000000" w:themeColor="text1"/>
                <w:sz w:val="20"/>
              </w:rPr>
            </w:pPr>
            <w:r w:rsidRPr="009A5977">
              <w:rPr>
                <w:color w:val="000000" w:themeColor="text1"/>
                <w:sz w:val="20"/>
              </w:rPr>
              <w:t>Persons not covered under S. Nos. 1 to 6</w:t>
            </w:r>
          </w:p>
        </w:tc>
        <w:tc>
          <w:tcPr>
            <w:tcW w:w="1530" w:type="dxa"/>
          </w:tcPr>
          <w:p w:rsidR="00751369" w:rsidRPr="009A5977" w:rsidRDefault="00751369" w:rsidP="00472DD2">
            <w:pPr>
              <w:jc w:val="center"/>
              <w:rPr>
                <w:color w:val="000000" w:themeColor="text1"/>
                <w:sz w:val="20"/>
              </w:rPr>
            </w:pPr>
            <w:r w:rsidRPr="009A5977">
              <w:rPr>
                <w:color w:val="000000" w:themeColor="text1"/>
                <w:sz w:val="20"/>
              </w:rPr>
              <w:t>6%]</w:t>
            </w:r>
          </w:p>
        </w:tc>
        <w:tc>
          <w:tcPr>
            <w:tcW w:w="1604" w:type="dxa"/>
          </w:tcPr>
          <w:p w:rsidR="00751369" w:rsidRPr="009A5977" w:rsidRDefault="00751369" w:rsidP="00472DD2">
            <w:pPr>
              <w:jc w:val="center"/>
              <w:rPr>
                <w:color w:val="000000" w:themeColor="text1"/>
                <w:sz w:val="20"/>
              </w:rPr>
            </w:pPr>
            <w:r w:rsidRPr="009A5977">
              <w:rPr>
                <w:color w:val="000000" w:themeColor="text1"/>
                <w:sz w:val="20"/>
              </w:rPr>
              <w:t>9%”]</w:t>
            </w:r>
          </w:p>
        </w:tc>
      </w:tr>
    </w:tbl>
    <w:p w:rsidR="00AA4BF8" w:rsidRPr="00412620" w:rsidRDefault="00AA4BF8" w:rsidP="00751369">
      <w:pPr>
        <w:pStyle w:val="Heading2"/>
        <w:spacing w:line="240" w:lineRule="auto"/>
        <w:rPr>
          <w:sz w:val="20"/>
        </w:rPr>
      </w:pPr>
    </w:p>
    <w:p w:rsidR="00AA4BF8" w:rsidRPr="005D4C10" w:rsidRDefault="00AA4BF8" w:rsidP="00AA4BF8">
      <w:pPr>
        <w:rPr>
          <w:color w:val="000000" w:themeColor="text1"/>
          <w:sz w:val="20"/>
        </w:rPr>
      </w:pPr>
      <w:r w:rsidRPr="00321D41">
        <w:rPr>
          <w:color w:val="00B0F0"/>
          <w:sz w:val="20"/>
        </w:rPr>
        <w:tab/>
      </w:r>
      <w:r w:rsidRPr="005D4C10">
        <w:rPr>
          <w:rStyle w:val="FootnoteReference"/>
          <w:rFonts w:cs="Arial"/>
          <w:color w:val="000000" w:themeColor="text1"/>
          <w:sz w:val="20"/>
        </w:rPr>
        <w:footnoteReference w:id="1631"/>
      </w:r>
      <w:r w:rsidRPr="005D4C10">
        <w:rPr>
          <w:bCs/>
          <w:color w:val="000000" w:themeColor="text1"/>
          <w:sz w:val="20"/>
        </w:rPr>
        <w:t>[     ]</w:t>
      </w:r>
    </w:p>
    <w:p w:rsidR="00AA4BF8" w:rsidRPr="00412620" w:rsidRDefault="00AA4BF8" w:rsidP="00AA4BF8">
      <w:pPr>
        <w:pStyle w:val="Heading2"/>
        <w:spacing w:line="240" w:lineRule="auto"/>
        <w:rPr>
          <w:sz w:val="32"/>
          <w:szCs w:val="32"/>
        </w:rPr>
      </w:pPr>
      <w:r w:rsidRPr="00412620">
        <w:rPr>
          <w:sz w:val="32"/>
          <w:szCs w:val="32"/>
        </w:rPr>
        <w:lastRenderedPageBreak/>
        <w:t>PART III</w:t>
      </w:r>
    </w:p>
    <w:p w:rsidR="00AA4BF8" w:rsidRPr="00412620" w:rsidRDefault="00AA4BF8" w:rsidP="00AA4BF8">
      <w:pPr>
        <w:pStyle w:val="Heading2"/>
        <w:spacing w:line="240" w:lineRule="auto"/>
        <w:rPr>
          <w:sz w:val="20"/>
        </w:rPr>
      </w:pPr>
      <w:r w:rsidRPr="00412620">
        <w:rPr>
          <w:sz w:val="20"/>
        </w:rPr>
        <w:t>DEDUCTION OF TAX AT SOURCE</w:t>
      </w:r>
    </w:p>
    <w:p w:rsidR="00AA4BF8" w:rsidRPr="00412620" w:rsidRDefault="00AA4BF8" w:rsidP="00AA4BF8">
      <w:pPr>
        <w:pStyle w:val="BodyText2"/>
        <w:keepNext/>
        <w:rPr>
          <w:sz w:val="20"/>
        </w:rPr>
      </w:pPr>
      <w:r w:rsidRPr="00412620">
        <w:rPr>
          <w:sz w:val="20"/>
        </w:rPr>
        <w:t>(See Division III of Part V of Chapter X)</w:t>
      </w:r>
    </w:p>
    <w:p w:rsidR="00AA4BF8" w:rsidRPr="00412620" w:rsidRDefault="00AA4BF8" w:rsidP="00AA4BF8">
      <w:pPr>
        <w:keepNext/>
        <w:rPr>
          <w:sz w:val="20"/>
        </w:rPr>
      </w:pPr>
    </w:p>
    <w:p w:rsidR="00AA4BF8" w:rsidRPr="005D4C10" w:rsidRDefault="00AA4BF8" w:rsidP="00AA4BF8">
      <w:pPr>
        <w:keepNext/>
        <w:jc w:val="center"/>
        <w:rPr>
          <w:i/>
          <w:color w:val="000000" w:themeColor="text1"/>
          <w:sz w:val="28"/>
          <w:szCs w:val="28"/>
        </w:rPr>
      </w:pPr>
      <w:r w:rsidRPr="005D4C10">
        <w:rPr>
          <w:rStyle w:val="FootnoteReference"/>
          <w:rFonts w:cs="Arial"/>
          <w:color w:val="000000" w:themeColor="text1"/>
          <w:sz w:val="28"/>
          <w:szCs w:val="28"/>
        </w:rPr>
        <w:footnoteReference w:id="1632"/>
      </w:r>
      <w:r w:rsidRPr="005D4C10">
        <w:rPr>
          <w:color w:val="000000" w:themeColor="text1"/>
          <w:sz w:val="28"/>
          <w:szCs w:val="28"/>
        </w:rPr>
        <w:t>[Division I</w:t>
      </w:r>
    </w:p>
    <w:p w:rsidR="00AA4BF8" w:rsidRPr="005D4C10" w:rsidRDefault="00AA4BF8" w:rsidP="00AA4BF8">
      <w:pPr>
        <w:keepNext/>
        <w:jc w:val="center"/>
        <w:rPr>
          <w:b/>
          <w:bCs/>
          <w:color w:val="000000" w:themeColor="text1"/>
          <w:sz w:val="20"/>
        </w:rPr>
      </w:pPr>
      <w:r w:rsidRPr="005D4C10">
        <w:rPr>
          <w:b/>
          <w:bCs/>
          <w:color w:val="000000" w:themeColor="text1"/>
          <w:sz w:val="20"/>
        </w:rPr>
        <w:t>Advance Tax on Dividend</w:t>
      </w:r>
    </w:p>
    <w:p w:rsidR="00AA4BF8" w:rsidRPr="005D4C10" w:rsidRDefault="00AA4BF8" w:rsidP="00AA4BF8">
      <w:pPr>
        <w:keepNext/>
        <w:jc w:val="both"/>
        <w:rPr>
          <w:color w:val="000000" w:themeColor="text1"/>
          <w:sz w:val="20"/>
        </w:rPr>
      </w:pPr>
      <w:r w:rsidRPr="005D4C10">
        <w:rPr>
          <w:color w:val="000000" w:themeColor="text1"/>
          <w:sz w:val="20"/>
        </w:rPr>
        <w:t xml:space="preserve">The rate of tax to be deducted under </w:t>
      </w:r>
      <w:r w:rsidRPr="009A5977">
        <w:rPr>
          <w:color w:val="000000" w:themeColor="text1"/>
          <w:sz w:val="20"/>
        </w:rPr>
        <w:t xml:space="preserve">section 150 </w:t>
      </w:r>
      <w:r w:rsidR="00397CDB" w:rsidRPr="009A5977">
        <w:rPr>
          <w:rStyle w:val="FootnoteReference"/>
          <w:color w:val="000000" w:themeColor="text1"/>
          <w:sz w:val="20"/>
        </w:rPr>
        <w:footnoteReference w:id="1633"/>
      </w:r>
      <w:r w:rsidR="00397CDB" w:rsidRPr="009A5977">
        <w:rPr>
          <w:color w:val="000000" w:themeColor="text1"/>
          <w:sz w:val="20"/>
        </w:rPr>
        <w:t>[“and 236S”]</w:t>
      </w:r>
      <w:r w:rsidR="00E4091A" w:rsidRPr="009A5977">
        <w:rPr>
          <w:color w:val="000000" w:themeColor="text1"/>
          <w:sz w:val="20"/>
        </w:rPr>
        <w:t xml:space="preserve"> </w:t>
      </w:r>
      <w:r w:rsidRPr="009A5977">
        <w:rPr>
          <w:color w:val="000000" w:themeColor="text1"/>
          <w:sz w:val="20"/>
        </w:rPr>
        <w:t>shall be</w:t>
      </w:r>
      <w:r w:rsidRPr="005D4C10">
        <w:rPr>
          <w:color w:val="000000" w:themeColor="text1"/>
          <w:sz w:val="20"/>
        </w:rPr>
        <w:t xml:space="preserve">- </w:t>
      </w:r>
    </w:p>
    <w:p w:rsidR="00321D41" w:rsidRPr="005D4C10" w:rsidRDefault="00321D41" w:rsidP="00AA4BF8">
      <w:pPr>
        <w:keepNext/>
        <w:jc w:val="both"/>
        <w:rPr>
          <w:color w:val="000000" w:themeColor="text1"/>
          <w:sz w:val="20"/>
        </w:rPr>
      </w:pPr>
    </w:p>
    <w:p w:rsidR="00AA4BF8" w:rsidRPr="005D4C10" w:rsidRDefault="00AA4BF8" w:rsidP="00321D41">
      <w:pPr>
        <w:keepNext/>
        <w:ind w:left="547" w:hanging="547"/>
        <w:jc w:val="both"/>
        <w:rPr>
          <w:color w:val="000000" w:themeColor="text1"/>
          <w:sz w:val="20"/>
        </w:rPr>
      </w:pPr>
      <w:r w:rsidRPr="005D4C10">
        <w:rPr>
          <w:color w:val="000000" w:themeColor="text1"/>
          <w:sz w:val="20"/>
        </w:rPr>
        <w:t xml:space="preserve">(a) </w:t>
      </w:r>
      <w:r w:rsidR="00321D41" w:rsidRPr="005D4C10">
        <w:rPr>
          <w:color w:val="000000" w:themeColor="text1"/>
          <w:sz w:val="20"/>
        </w:rPr>
        <w:tab/>
      </w:r>
      <w:r w:rsidRPr="005D4C10">
        <w:rPr>
          <w:color w:val="000000" w:themeColor="text1"/>
          <w:sz w:val="20"/>
        </w:rPr>
        <w:t xml:space="preserve">7.5% in the case of dividends declared or distributed by purchaser of a power project privatized by WAPDA or on shares of a company set up for power generation or on shares of a company, supplying coal exclusively to power generation projects; </w:t>
      </w:r>
    </w:p>
    <w:p w:rsidR="00321D41" w:rsidRPr="00321D41" w:rsidRDefault="00321D41" w:rsidP="00321D41">
      <w:pPr>
        <w:keepNext/>
        <w:ind w:left="547" w:hanging="547"/>
        <w:jc w:val="both"/>
        <w:rPr>
          <w:color w:val="00B0F0"/>
          <w:sz w:val="20"/>
        </w:rPr>
      </w:pPr>
    </w:p>
    <w:p w:rsidR="00AA4BF8" w:rsidRPr="00321D41" w:rsidRDefault="00AA4BF8" w:rsidP="00AA4BF8">
      <w:pPr>
        <w:keepNext/>
        <w:jc w:val="both"/>
        <w:rPr>
          <w:color w:val="00B0F0"/>
          <w:sz w:val="20"/>
        </w:rPr>
      </w:pPr>
      <w:r w:rsidRPr="005D4C10">
        <w:rPr>
          <w:color w:val="000000" w:themeColor="text1"/>
          <w:sz w:val="20"/>
        </w:rPr>
        <w:t>(b)</w:t>
      </w:r>
      <w:r w:rsidR="00321D41" w:rsidRPr="00321D41">
        <w:rPr>
          <w:color w:val="00B0F0"/>
          <w:sz w:val="20"/>
        </w:rPr>
        <w:tab/>
      </w:r>
      <w:r w:rsidR="00041C3F" w:rsidRPr="009A5977">
        <w:rPr>
          <w:rStyle w:val="FootnoteReference"/>
          <w:color w:val="000000" w:themeColor="text1"/>
          <w:sz w:val="20"/>
        </w:rPr>
        <w:footnoteReference w:id="1634"/>
      </w:r>
      <w:r w:rsidR="00B81B03" w:rsidRPr="009A5977">
        <w:rPr>
          <w:color w:val="000000" w:themeColor="text1"/>
          <w:sz w:val="20"/>
        </w:rPr>
        <w:t>[“12.5”]</w:t>
      </w:r>
      <w:r w:rsidR="005D4C10">
        <w:rPr>
          <w:color w:val="984806" w:themeColor="accent6" w:themeShade="80"/>
          <w:sz w:val="20"/>
        </w:rPr>
        <w:t xml:space="preserve"> </w:t>
      </w:r>
      <w:r w:rsidRPr="005D4C10">
        <w:rPr>
          <w:color w:val="000000" w:themeColor="text1"/>
          <w:sz w:val="20"/>
        </w:rPr>
        <w:t>% for filers other than mentioned in (a) above</w:t>
      </w:r>
      <w:r w:rsidRPr="00321D41">
        <w:rPr>
          <w:color w:val="00B0F0"/>
          <w:sz w:val="20"/>
        </w:rPr>
        <w:t xml:space="preserve">; </w:t>
      </w:r>
    </w:p>
    <w:p w:rsidR="00321D41" w:rsidRPr="00321D41" w:rsidRDefault="00321D41" w:rsidP="00AA4BF8">
      <w:pPr>
        <w:keepNext/>
        <w:jc w:val="both"/>
        <w:rPr>
          <w:color w:val="00B0F0"/>
          <w:sz w:val="20"/>
        </w:rPr>
      </w:pPr>
    </w:p>
    <w:p w:rsidR="00AA4BF8" w:rsidRPr="00321D41" w:rsidRDefault="00AA4BF8" w:rsidP="00AA4BF8">
      <w:pPr>
        <w:keepNext/>
        <w:jc w:val="both"/>
        <w:rPr>
          <w:color w:val="00B0F0"/>
          <w:sz w:val="20"/>
        </w:rPr>
      </w:pPr>
      <w:r w:rsidRPr="005D4C10">
        <w:rPr>
          <w:color w:val="000000" w:themeColor="text1"/>
          <w:sz w:val="20"/>
        </w:rPr>
        <w:t>(c)</w:t>
      </w:r>
      <w:r w:rsidRPr="00321D41">
        <w:rPr>
          <w:color w:val="00B0F0"/>
          <w:sz w:val="20"/>
        </w:rPr>
        <w:t xml:space="preserve"> </w:t>
      </w:r>
      <w:r w:rsidR="00321D41" w:rsidRPr="00321D41">
        <w:rPr>
          <w:color w:val="00B0F0"/>
          <w:sz w:val="20"/>
        </w:rPr>
        <w:tab/>
      </w:r>
      <w:r w:rsidR="005308A7" w:rsidRPr="009A5977">
        <w:rPr>
          <w:rStyle w:val="FootnoteReference"/>
          <w:color w:val="000000" w:themeColor="text1"/>
          <w:sz w:val="20"/>
        </w:rPr>
        <w:footnoteReference w:id="1635"/>
      </w:r>
      <w:r w:rsidR="005308A7" w:rsidRPr="009A5977">
        <w:rPr>
          <w:color w:val="000000" w:themeColor="text1"/>
          <w:sz w:val="20"/>
        </w:rPr>
        <w:t>[</w:t>
      </w:r>
      <w:r w:rsidR="00882FDB">
        <w:rPr>
          <w:color w:val="984806" w:themeColor="accent6" w:themeShade="80"/>
          <w:sz w:val="20"/>
        </w:rPr>
        <w:t xml:space="preserve"> </w:t>
      </w:r>
      <w:r w:rsidR="00882FDB" w:rsidRPr="0009763F">
        <w:rPr>
          <w:rStyle w:val="FootnoteReference"/>
          <w:color w:val="0070C0"/>
          <w:sz w:val="20"/>
        </w:rPr>
        <w:footnoteReference w:id="1636"/>
      </w:r>
      <w:r w:rsidR="00882FDB" w:rsidRPr="0009763F">
        <w:rPr>
          <w:color w:val="0070C0"/>
          <w:sz w:val="20"/>
        </w:rPr>
        <w:t>[20]</w:t>
      </w:r>
      <w:r w:rsidR="00882FDB">
        <w:rPr>
          <w:color w:val="984806" w:themeColor="accent6" w:themeShade="80"/>
          <w:sz w:val="20"/>
        </w:rPr>
        <w:t xml:space="preserve"> </w:t>
      </w:r>
      <w:r w:rsidR="005308A7" w:rsidRPr="001D6476">
        <w:rPr>
          <w:color w:val="000000" w:themeColor="text1"/>
          <w:sz w:val="20"/>
        </w:rPr>
        <w:t>]</w:t>
      </w:r>
      <w:r w:rsidR="005D4C10" w:rsidRPr="001D6476">
        <w:rPr>
          <w:color w:val="000000" w:themeColor="text1"/>
          <w:sz w:val="20"/>
        </w:rPr>
        <w:t xml:space="preserve"> </w:t>
      </w:r>
      <w:r w:rsidRPr="005D4C10">
        <w:rPr>
          <w:color w:val="000000" w:themeColor="text1"/>
          <w:sz w:val="20"/>
        </w:rPr>
        <w:t>% for non-filers other than mentioned in (a) above:</w:t>
      </w:r>
      <w:r w:rsidRPr="00321D41">
        <w:rPr>
          <w:color w:val="00B0F0"/>
          <w:sz w:val="20"/>
        </w:rPr>
        <w:t xml:space="preserve"> </w:t>
      </w:r>
    </w:p>
    <w:p w:rsidR="00321D41" w:rsidRPr="00321D41" w:rsidRDefault="00321D41" w:rsidP="00AA4BF8">
      <w:pPr>
        <w:keepNext/>
        <w:jc w:val="both"/>
        <w:rPr>
          <w:color w:val="00B0F0"/>
          <w:sz w:val="20"/>
        </w:rPr>
      </w:pPr>
    </w:p>
    <w:p w:rsidR="00AA4BF8" w:rsidRDefault="00AA4BF8" w:rsidP="00321D41">
      <w:pPr>
        <w:keepNext/>
        <w:ind w:firstLine="547"/>
        <w:jc w:val="both"/>
        <w:rPr>
          <w:color w:val="00B0F0"/>
          <w:sz w:val="20"/>
        </w:rPr>
      </w:pPr>
      <w:r w:rsidRPr="005D4C10">
        <w:rPr>
          <w:color w:val="000000" w:themeColor="text1"/>
          <w:sz w:val="20"/>
        </w:rPr>
        <w:t xml:space="preserve">Provided that the rate of tax required to be deducted by a collective investment </w:t>
      </w:r>
      <w:r w:rsidRPr="001D6476">
        <w:rPr>
          <w:color w:val="000000" w:themeColor="text1"/>
          <w:sz w:val="20"/>
        </w:rPr>
        <w:t xml:space="preserve">scheme </w:t>
      </w:r>
      <w:r w:rsidR="00EC5BA2" w:rsidRPr="001D6476">
        <w:rPr>
          <w:rStyle w:val="FootnoteReference"/>
          <w:color w:val="000000" w:themeColor="text1"/>
          <w:sz w:val="20"/>
        </w:rPr>
        <w:footnoteReference w:id="1637"/>
      </w:r>
      <w:r w:rsidR="00EC5BA2" w:rsidRPr="001D6476">
        <w:rPr>
          <w:color w:val="000000" w:themeColor="text1"/>
          <w:sz w:val="20"/>
        </w:rPr>
        <w:t>[“, REIT Scheme”]</w:t>
      </w:r>
      <w:r w:rsidR="001F6E96" w:rsidRPr="001D6476">
        <w:rPr>
          <w:color w:val="000000" w:themeColor="text1"/>
          <w:sz w:val="20"/>
        </w:rPr>
        <w:t xml:space="preserve"> </w:t>
      </w:r>
      <w:r w:rsidRPr="001D6476">
        <w:rPr>
          <w:color w:val="000000" w:themeColor="text1"/>
          <w:sz w:val="20"/>
        </w:rPr>
        <w:t>or</w:t>
      </w:r>
      <w:r w:rsidRPr="005D4C10">
        <w:rPr>
          <w:color w:val="000000" w:themeColor="text1"/>
          <w:sz w:val="20"/>
        </w:rPr>
        <w:t xml:space="preserve"> a mutual fund shall be-</w:t>
      </w:r>
      <w:r w:rsidRPr="00321D41">
        <w:rPr>
          <w:color w:val="00B0F0"/>
          <w:sz w:val="20"/>
        </w:rPr>
        <w:t xml:space="preserve"> </w:t>
      </w:r>
    </w:p>
    <w:p w:rsidR="00BC4179" w:rsidRDefault="00BC4179" w:rsidP="00321D41">
      <w:pPr>
        <w:keepNext/>
        <w:ind w:firstLine="547"/>
        <w:jc w:val="both"/>
        <w:rPr>
          <w:color w:val="00B0F0"/>
          <w:sz w:val="20"/>
        </w:rPr>
      </w:pPr>
    </w:p>
    <w:tbl>
      <w:tblPr>
        <w:tblW w:w="70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3"/>
        <w:gridCol w:w="1234"/>
        <w:gridCol w:w="2173"/>
        <w:gridCol w:w="2350"/>
      </w:tblGrid>
      <w:tr w:rsidR="00BC4179" w:rsidRPr="00D811C3" w:rsidTr="00BC4179">
        <w:trPr>
          <w:trHeight w:val="557"/>
        </w:trPr>
        <w:tc>
          <w:tcPr>
            <w:tcW w:w="1080" w:type="dxa"/>
            <w:vMerge w:val="restart"/>
          </w:tcPr>
          <w:p w:rsidR="00BC4179" w:rsidRPr="0009763F" w:rsidRDefault="00BC4179" w:rsidP="00B7389F">
            <w:pPr>
              <w:jc w:val="center"/>
              <w:rPr>
                <w:rFonts w:cs="Arial"/>
                <w:color w:val="0070C0"/>
                <w:sz w:val="20"/>
              </w:rPr>
            </w:pPr>
            <w:r w:rsidRPr="0009763F">
              <w:rPr>
                <w:rStyle w:val="FootnoteReference"/>
                <w:rFonts w:cs="Arial"/>
                <w:color w:val="0070C0"/>
                <w:sz w:val="20"/>
              </w:rPr>
              <w:footnoteReference w:id="1638"/>
            </w:r>
            <w:r w:rsidRPr="0009763F">
              <w:rPr>
                <w:rFonts w:cs="Arial"/>
                <w:color w:val="0070C0"/>
                <w:sz w:val="20"/>
              </w:rPr>
              <w:t>[“Person</w:t>
            </w:r>
          </w:p>
        </w:tc>
        <w:tc>
          <w:tcPr>
            <w:tcW w:w="1260" w:type="dxa"/>
            <w:vMerge w:val="restart"/>
          </w:tcPr>
          <w:p w:rsidR="00BC4179" w:rsidRPr="0009763F" w:rsidRDefault="00BC4179" w:rsidP="00B7389F">
            <w:pPr>
              <w:jc w:val="center"/>
              <w:rPr>
                <w:rFonts w:cs="Arial"/>
                <w:color w:val="0070C0"/>
                <w:sz w:val="20"/>
              </w:rPr>
            </w:pPr>
            <w:r w:rsidRPr="0009763F">
              <w:rPr>
                <w:rFonts w:cs="Arial"/>
                <w:color w:val="0070C0"/>
                <w:sz w:val="20"/>
              </w:rPr>
              <w:t>Stock Fund</w:t>
            </w:r>
          </w:p>
        </w:tc>
        <w:tc>
          <w:tcPr>
            <w:tcW w:w="4680" w:type="dxa"/>
            <w:gridSpan w:val="2"/>
          </w:tcPr>
          <w:p w:rsidR="00BC4179" w:rsidRPr="0009763F" w:rsidRDefault="00BC4179" w:rsidP="00B7389F">
            <w:pPr>
              <w:jc w:val="center"/>
              <w:rPr>
                <w:rFonts w:cs="Arial"/>
                <w:color w:val="0070C0"/>
                <w:sz w:val="20"/>
              </w:rPr>
            </w:pPr>
            <w:r w:rsidRPr="0009763F">
              <w:rPr>
                <w:rFonts w:cs="Arial"/>
                <w:color w:val="0070C0"/>
                <w:sz w:val="20"/>
              </w:rPr>
              <w:t>Money market fund, income fund or REIT scheme or any other fund</w:t>
            </w:r>
          </w:p>
        </w:tc>
      </w:tr>
      <w:tr w:rsidR="00BC4179" w:rsidRPr="00D811C3" w:rsidTr="00BC4179">
        <w:trPr>
          <w:trHeight w:val="350"/>
        </w:trPr>
        <w:tc>
          <w:tcPr>
            <w:tcW w:w="1080" w:type="dxa"/>
            <w:vMerge/>
          </w:tcPr>
          <w:p w:rsidR="00BC4179" w:rsidRPr="0009763F" w:rsidRDefault="00BC4179" w:rsidP="00B7389F">
            <w:pPr>
              <w:jc w:val="both"/>
              <w:rPr>
                <w:rFonts w:cs="Arial"/>
                <w:color w:val="0070C0"/>
                <w:sz w:val="20"/>
              </w:rPr>
            </w:pPr>
          </w:p>
        </w:tc>
        <w:tc>
          <w:tcPr>
            <w:tcW w:w="1260" w:type="dxa"/>
            <w:vMerge/>
          </w:tcPr>
          <w:p w:rsidR="00BC4179" w:rsidRPr="0009763F" w:rsidRDefault="00BC4179" w:rsidP="00B7389F">
            <w:pPr>
              <w:jc w:val="both"/>
              <w:rPr>
                <w:rFonts w:cs="Arial"/>
                <w:color w:val="0070C0"/>
                <w:sz w:val="20"/>
              </w:rPr>
            </w:pPr>
          </w:p>
        </w:tc>
        <w:tc>
          <w:tcPr>
            <w:tcW w:w="2250" w:type="dxa"/>
          </w:tcPr>
          <w:p w:rsidR="00BC4179" w:rsidRPr="0009763F" w:rsidRDefault="00BC4179" w:rsidP="00B7389F">
            <w:pPr>
              <w:jc w:val="center"/>
              <w:rPr>
                <w:rFonts w:cs="Arial"/>
                <w:color w:val="0070C0"/>
                <w:sz w:val="20"/>
              </w:rPr>
            </w:pPr>
            <w:r w:rsidRPr="0009763F">
              <w:rPr>
                <w:rFonts w:cs="Arial"/>
                <w:color w:val="0070C0"/>
                <w:sz w:val="20"/>
              </w:rPr>
              <w:t>Filer</w:t>
            </w:r>
          </w:p>
        </w:tc>
        <w:tc>
          <w:tcPr>
            <w:tcW w:w="2430" w:type="dxa"/>
          </w:tcPr>
          <w:p w:rsidR="00BC4179" w:rsidRPr="0009763F" w:rsidRDefault="00BC4179" w:rsidP="00B7389F">
            <w:pPr>
              <w:jc w:val="center"/>
              <w:rPr>
                <w:rFonts w:cs="Arial"/>
                <w:color w:val="0070C0"/>
                <w:sz w:val="20"/>
              </w:rPr>
            </w:pPr>
            <w:r w:rsidRPr="0009763F">
              <w:rPr>
                <w:rFonts w:cs="Arial"/>
                <w:color w:val="0070C0"/>
                <w:sz w:val="20"/>
              </w:rPr>
              <w:t>Non-Filer</w:t>
            </w:r>
          </w:p>
        </w:tc>
      </w:tr>
      <w:tr w:rsidR="00BC4179" w:rsidRPr="00D811C3" w:rsidTr="00BC4179">
        <w:tc>
          <w:tcPr>
            <w:tcW w:w="1080" w:type="dxa"/>
          </w:tcPr>
          <w:p w:rsidR="00BC4179" w:rsidRPr="0009763F" w:rsidRDefault="00BC4179" w:rsidP="00B7389F">
            <w:pPr>
              <w:jc w:val="center"/>
              <w:rPr>
                <w:rFonts w:cs="Arial"/>
                <w:color w:val="0070C0"/>
                <w:sz w:val="20"/>
              </w:rPr>
            </w:pPr>
            <w:r w:rsidRPr="0009763F">
              <w:rPr>
                <w:rFonts w:cs="Arial"/>
                <w:color w:val="0070C0"/>
                <w:sz w:val="20"/>
              </w:rPr>
              <w:t>(1)</w:t>
            </w:r>
          </w:p>
        </w:tc>
        <w:tc>
          <w:tcPr>
            <w:tcW w:w="1260" w:type="dxa"/>
          </w:tcPr>
          <w:p w:rsidR="00BC4179" w:rsidRPr="0009763F" w:rsidRDefault="00BC4179" w:rsidP="00B7389F">
            <w:pPr>
              <w:jc w:val="center"/>
              <w:rPr>
                <w:rFonts w:cs="Arial"/>
                <w:color w:val="0070C0"/>
                <w:sz w:val="20"/>
              </w:rPr>
            </w:pPr>
            <w:r w:rsidRPr="0009763F">
              <w:rPr>
                <w:rFonts w:cs="Arial"/>
                <w:color w:val="0070C0"/>
                <w:sz w:val="20"/>
              </w:rPr>
              <w:t>(2)</w:t>
            </w:r>
          </w:p>
        </w:tc>
        <w:tc>
          <w:tcPr>
            <w:tcW w:w="2250" w:type="dxa"/>
          </w:tcPr>
          <w:p w:rsidR="00BC4179" w:rsidRPr="0009763F" w:rsidRDefault="00BC4179" w:rsidP="00B7389F">
            <w:pPr>
              <w:jc w:val="center"/>
              <w:rPr>
                <w:rFonts w:cs="Arial"/>
                <w:color w:val="0070C0"/>
                <w:sz w:val="20"/>
              </w:rPr>
            </w:pPr>
            <w:r w:rsidRPr="0009763F">
              <w:rPr>
                <w:rFonts w:cs="Arial"/>
                <w:color w:val="0070C0"/>
                <w:sz w:val="20"/>
              </w:rPr>
              <w:t>(3)</w:t>
            </w:r>
          </w:p>
        </w:tc>
        <w:tc>
          <w:tcPr>
            <w:tcW w:w="2430" w:type="dxa"/>
          </w:tcPr>
          <w:p w:rsidR="00BC4179" w:rsidRPr="0009763F" w:rsidRDefault="00BC4179" w:rsidP="00B7389F">
            <w:pPr>
              <w:jc w:val="center"/>
              <w:rPr>
                <w:rFonts w:cs="Arial"/>
                <w:color w:val="0070C0"/>
                <w:sz w:val="20"/>
              </w:rPr>
            </w:pPr>
            <w:r w:rsidRPr="0009763F">
              <w:rPr>
                <w:rFonts w:cs="Arial"/>
                <w:color w:val="0070C0"/>
                <w:sz w:val="20"/>
              </w:rPr>
              <w:t>(4)</w:t>
            </w:r>
          </w:p>
        </w:tc>
      </w:tr>
      <w:tr w:rsidR="00BC4179" w:rsidRPr="00D811C3" w:rsidTr="00BC4179">
        <w:tc>
          <w:tcPr>
            <w:tcW w:w="1080" w:type="dxa"/>
          </w:tcPr>
          <w:p w:rsidR="00BC4179" w:rsidRPr="0009763F" w:rsidRDefault="00BC4179" w:rsidP="00B7389F">
            <w:pPr>
              <w:jc w:val="both"/>
              <w:rPr>
                <w:rFonts w:cs="Arial"/>
                <w:color w:val="0070C0"/>
                <w:sz w:val="20"/>
              </w:rPr>
            </w:pPr>
            <w:r w:rsidRPr="0009763F">
              <w:rPr>
                <w:rFonts w:cs="Arial"/>
                <w:color w:val="0070C0"/>
                <w:sz w:val="20"/>
              </w:rPr>
              <w:t>Individual</w:t>
            </w:r>
          </w:p>
        </w:tc>
        <w:tc>
          <w:tcPr>
            <w:tcW w:w="1260" w:type="dxa"/>
          </w:tcPr>
          <w:p w:rsidR="00BC4179" w:rsidRPr="0009763F" w:rsidRDefault="00BC4179" w:rsidP="00B7389F">
            <w:pPr>
              <w:jc w:val="center"/>
              <w:rPr>
                <w:rFonts w:cs="Arial"/>
                <w:color w:val="0070C0"/>
                <w:sz w:val="20"/>
              </w:rPr>
            </w:pPr>
            <w:r w:rsidRPr="0009763F">
              <w:rPr>
                <w:rFonts w:cs="Arial"/>
                <w:color w:val="0070C0"/>
                <w:sz w:val="20"/>
              </w:rPr>
              <w:t>10%</w:t>
            </w:r>
          </w:p>
        </w:tc>
        <w:tc>
          <w:tcPr>
            <w:tcW w:w="2250" w:type="dxa"/>
          </w:tcPr>
          <w:p w:rsidR="00BC4179" w:rsidRPr="0009763F" w:rsidRDefault="00BC4179" w:rsidP="00B7389F">
            <w:pPr>
              <w:jc w:val="center"/>
              <w:rPr>
                <w:rFonts w:cs="Arial"/>
                <w:color w:val="0070C0"/>
                <w:sz w:val="20"/>
              </w:rPr>
            </w:pPr>
            <w:r w:rsidRPr="0009763F">
              <w:rPr>
                <w:rFonts w:cs="Arial"/>
                <w:color w:val="0070C0"/>
                <w:sz w:val="20"/>
              </w:rPr>
              <w:t>10%</w:t>
            </w:r>
          </w:p>
        </w:tc>
        <w:tc>
          <w:tcPr>
            <w:tcW w:w="2430" w:type="dxa"/>
          </w:tcPr>
          <w:p w:rsidR="00BC4179" w:rsidRPr="0009763F" w:rsidRDefault="00BC4179" w:rsidP="00B7389F">
            <w:pPr>
              <w:jc w:val="center"/>
              <w:rPr>
                <w:rFonts w:cs="Arial"/>
                <w:color w:val="0070C0"/>
                <w:sz w:val="20"/>
              </w:rPr>
            </w:pPr>
            <w:r w:rsidRPr="0009763F">
              <w:rPr>
                <w:rFonts w:cs="Arial"/>
                <w:color w:val="0070C0"/>
                <w:sz w:val="20"/>
              </w:rPr>
              <w:t>15%</w:t>
            </w:r>
          </w:p>
        </w:tc>
      </w:tr>
      <w:tr w:rsidR="00BC4179" w:rsidRPr="00D811C3" w:rsidTr="00BC4179">
        <w:tc>
          <w:tcPr>
            <w:tcW w:w="1080" w:type="dxa"/>
          </w:tcPr>
          <w:p w:rsidR="00BC4179" w:rsidRPr="0009763F" w:rsidRDefault="00BC4179" w:rsidP="00B7389F">
            <w:pPr>
              <w:jc w:val="both"/>
              <w:rPr>
                <w:rFonts w:cs="Arial"/>
                <w:color w:val="0070C0"/>
                <w:sz w:val="20"/>
              </w:rPr>
            </w:pPr>
            <w:r w:rsidRPr="0009763F">
              <w:rPr>
                <w:rFonts w:cs="Arial"/>
                <w:color w:val="0070C0"/>
                <w:sz w:val="20"/>
              </w:rPr>
              <w:t>Company</w:t>
            </w:r>
          </w:p>
        </w:tc>
        <w:tc>
          <w:tcPr>
            <w:tcW w:w="1260" w:type="dxa"/>
          </w:tcPr>
          <w:p w:rsidR="00BC4179" w:rsidRPr="0009763F" w:rsidRDefault="00BC4179" w:rsidP="00B7389F">
            <w:pPr>
              <w:jc w:val="center"/>
              <w:rPr>
                <w:rFonts w:cs="Arial"/>
                <w:color w:val="0070C0"/>
                <w:sz w:val="20"/>
              </w:rPr>
            </w:pPr>
            <w:r w:rsidRPr="0009763F">
              <w:rPr>
                <w:rFonts w:cs="Arial"/>
                <w:color w:val="0070C0"/>
                <w:sz w:val="20"/>
              </w:rPr>
              <w:t>10%</w:t>
            </w:r>
          </w:p>
        </w:tc>
        <w:tc>
          <w:tcPr>
            <w:tcW w:w="2250" w:type="dxa"/>
          </w:tcPr>
          <w:p w:rsidR="00BC4179" w:rsidRPr="0009763F" w:rsidRDefault="00BC4179" w:rsidP="00B7389F">
            <w:pPr>
              <w:jc w:val="center"/>
              <w:rPr>
                <w:rFonts w:cs="Arial"/>
                <w:color w:val="0070C0"/>
                <w:sz w:val="20"/>
              </w:rPr>
            </w:pPr>
            <w:r w:rsidRPr="0009763F">
              <w:rPr>
                <w:rFonts w:cs="Arial"/>
                <w:color w:val="0070C0"/>
                <w:sz w:val="20"/>
              </w:rPr>
              <w:t>25%</w:t>
            </w:r>
          </w:p>
        </w:tc>
        <w:tc>
          <w:tcPr>
            <w:tcW w:w="2430" w:type="dxa"/>
          </w:tcPr>
          <w:p w:rsidR="00BC4179" w:rsidRPr="0009763F" w:rsidRDefault="00BC4179" w:rsidP="00B7389F">
            <w:pPr>
              <w:jc w:val="center"/>
              <w:rPr>
                <w:rFonts w:cs="Arial"/>
                <w:color w:val="0070C0"/>
                <w:sz w:val="20"/>
              </w:rPr>
            </w:pPr>
            <w:r w:rsidRPr="0009763F">
              <w:rPr>
                <w:rFonts w:cs="Arial"/>
                <w:color w:val="0070C0"/>
                <w:sz w:val="20"/>
              </w:rPr>
              <w:t>25%</w:t>
            </w:r>
          </w:p>
        </w:tc>
      </w:tr>
      <w:tr w:rsidR="00BC4179" w:rsidRPr="00D811C3" w:rsidTr="00BC4179">
        <w:tc>
          <w:tcPr>
            <w:tcW w:w="1080" w:type="dxa"/>
          </w:tcPr>
          <w:p w:rsidR="00BC4179" w:rsidRPr="0009763F" w:rsidRDefault="00BC4179" w:rsidP="00B7389F">
            <w:pPr>
              <w:jc w:val="both"/>
              <w:rPr>
                <w:rFonts w:cs="Arial"/>
                <w:color w:val="0070C0"/>
                <w:sz w:val="20"/>
              </w:rPr>
            </w:pPr>
            <w:r w:rsidRPr="0009763F">
              <w:rPr>
                <w:rFonts w:cs="Arial"/>
                <w:color w:val="0070C0"/>
                <w:sz w:val="20"/>
              </w:rPr>
              <w:t>AOP</w:t>
            </w:r>
          </w:p>
        </w:tc>
        <w:tc>
          <w:tcPr>
            <w:tcW w:w="1260" w:type="dxa"/>
          </w:tcPr>
          <w:p w:rsidR="00BC4179" w:rsidRPr="0009763F" w:rsidRDefault="00BC4179" w:rsidP="00B7389F">
            <w:pPr>
              <w:jc w:val="center"/>
              <w:rPr>
                <w:rFonts w:cs="Arial"/>
                <w:color w:val="0070C0"/>
                <w:sz w:val="20"/>
              </w:rPr>
            </w:pPr>
            <w:r w:rsidRPr="0009763F">
              <w:rPr>
                <w:rFonts w:cs="Arial"/>
                <w:color w:val="0070C0"/>
                <w:sz w:val="20"/>
              </w:rPr>
              <w:t>10%</w:t>
            </w:r>
          </w:p>
        </w:tc>
        <w:tc>
          <w:tcPr>
            <w:tcW w:w="2250" w:type="dxa"/>
          </w:tcPr>
          <w:p w:rsidR="00BC4179" w:rsidRPr="0009763F" w:rsidRDefault="00BC4179" w:rsidP="00B7389F">
            <w:pPr>
              <w:jc w:val="center"/>
              <w:rPr>
                <w:rFonts w:cs="Arial"/>
                <w:color w:val="0070C0"/>
                <w:sz w:val="20"/>
              </w:rPr>
            </w:pPr>
            <w:r w:rsidRPr="0009763F">
              <w:rPr>
                <w:rFonts w:cs="Arial"/>
                <w:color w:val="0070C0"/>
                <w:sz w:val="20"/>
              </w:rPr>
              <w:t>10%</w:t>
            </w:r>
          </w:p>
        </w:tc>
        <w:tc>
          <w:tcPr>
            <w:tcW w:w="2430" w:type="dxa"/>
          </w:tcPr>
          <w:p w:rsidR="00BC4179" w:rsidRPr="0009763F" w:rsidRDefault="00BC4179" w:rsidP="00B7389F">
            <w:pPr>
              <w:jc w:val="center"/>
              <w:rPr>
                <w:rFonts w:cs="Arial"/>
                <w:color w:val="0070C0"/>
                <w:sz w:val="20"/>
              </w:rPr>
            </w:pPr>
            <w:r w:rsidRPr="0009763F">
              <w:rPr>
                <w:rFonts w:cs="Arial"/>
                <w:color w:val="0070C0"/>
                <w:sz w:val="20"/>
              </w:rPr>
              <w:t>15%”]</w:t>
            </w:r>
          </w:p>
        </w:tc>
      </w:tr>
    </w:tbl>
    <w:p w:rsidR="00AA4BF8" w:rsidRDefault="00AA4BF8" w:rsidP="00321D41">
      <w:pPr>
        <w:keepNext/>
        <w:ind w:firstLine="547"/>
        <w:jc w:val="both"/>
        <w:rPr>
          <w:color w:val="00B0F0"/>
          <w:sz w:val="20"/>
        </w:rPr>
      </w:pPr>
      <w:r w:rsidRPr="005D4C10">
        <w:rPr>
          <w:color w:val="000000" w:themeColor="text1"/>
          <w:sz w:val="20"/>
        </w:rPr>
        <w:lastRenderedPageBreak/>
        <w:t>Provided further that in case of a stock fund if dividend receipts of the fund are less than capital gains, the rate of tax deduction shall be 12.5</w:t>
      </w:r>
      <w:r w:rsidRPr="00926F37">
        <w:rPr>
          <w:color w:val="000000" w:themeColor="text1"/>
          <w:sz w:val="20"/>
        </w:rPr>
        <w:t>%</w:t>
      </w:r>
      <w:r w:rsidR="00926F37">
        <w:rPr>
          <w:color w:val="000000" w:themeColor="text1"/>
          <w:sz w:val="20"/>
        </w:rPr>
        <w:t xml:space="preserve"> </w:t>
      </w:r>
      <w:r w:rsidR="00216C11" w:rsidRPr="00926F37">
        <w:rPr>
          <w:rStyle w:val="FootnoteReference"/>
          <w:color w:val="000000" w:themeColor="text1"/>
          <w:sz w:val="20"/>
        </w:rPr>
        <w:footnoteReference w:id="1639"/>
      </w:r>
      <w:r w:rsidR="00FD2B2B" w:rsidRPr="00926F37">
        <w:rPr>
          <w:color w:val="000000" w:themeColor="text1"/>
          <w:sz w:val="20"/>
        </w:rPr>
        <w:t>[“:”]</w:t>
      </w:r>
      <w:r w:rsidR="005D4C10" w:rsidRPr="00926F37">
        <w:rPr>
          <w:color w:val="000000" w:themeColor="text1"/>
          <w:sz w:val="20"/>
        </w:rPr>
        <w:t xml:space="preserve"> </w:t>
      </w:r>
      <w:r w:rsidRPr="00926F37">
        <w:rPr>
          <w:color w:val="000000" w:themeColor="text1"/>
          <w:sz w:val="20"/>
        </w:rPr>
        <w:t>]</w:t>
      </w:r>
    </w:p>
    <w:p w:rsidR="00230661" w:rsidRDefault="00230661" w:rsidP="00321D41">
      <w:pPr>
        <w:keepNext/>
        <w:ind w:firstLine="547"/>
        <w:jc w:val="both"/>
        <w:rPr>
          <w:color w:val="00B0F0"/>
          <w:sz w:val="20"/>
        </w:rPr>
      </w:pPr>
    </w:p>
    <w:p w:rsidR="00230661" w:rsidRPr="001D6476" w:rsidRDefault="003B0B6B" w:rsidP="00230661">
      <w:pPr>
        <w:autoSpaceDE w:val="0"/>
        <w:autoSpaceDN w:val="0"/>
        <w:adjustRightInd w:val="0"/>
        <w:ind w:firstLine="547"/>
        <w:jc w:val="both"/>
        <w:rPr>
          <w:color w:val="000000" w:themeColor="text1"/>
          <w:sz w:val="20"/>
        </w:rPr>
      </w:pPr>
      <w:r w:rsidRPr="001D6476">
        <w:rPr>
          <w:rStyle w:val="FootnoteReference"/>
          <w:rFonts w:cs="Arial"/>
          <w:color w:val="000000" w:themeColor="text1"/>
          <w:sz w:val="20"/>
          <w:lang w:val="en-US"/>
        </w:rPr>
        <w:footnoteReference w:id="1640"/>
      </w:r>
      <w:r w:rsidR="00230661" w:rsidRPr="001D6476">
        <w:rPr>
          <w:rFonts w:cs="Arial"/>
          <w:color w:val="000000" w:themeColor="text1"/>
          <w:sz w:val="20"/>
          <w:lang w:val="en-US"/>
        </w:rPr>
        <w:t>[“Provided further that if a Developmental</w:t>
      </w:r>
      <w:r w:rsidR="005D4C10" w:rsidRPr="001D6476">
        <w:rPr>
          <w:rFonts w:cs="Arial"/>
          <w:color w:val="000000" w:themeColor="text1"/>
          <w:sz w:val="20"/>
          <w:lang w:val="en-US"/>
        </w:rPr>
        <w:t xml:space="preserve"> </w:t>
      </w:r>
      <w:r w:rsidR="00230661" w:rsidRPr="001D6476">
        <w:rPr>
          <w:rFonts w:cs="Arial"/>
          <w:color w:val="000000" w:themeColor="text1"/>
          <w:sz w:val="20"/>
          <w:lang w:val="en-US"/>
        </w:rPr>
        <w:t>REIT Scheme with the object of development</w:t>
      </w:r>
      <w:r w:rsidR="005D4C10" w:rsidRPr="001D6476">
        <w:rPr>
          <w:rFonts w:cs="Arial"/>
          <w:color w:val="000000" w:themeColor="text1"/>
          <w:sz w:val="20"/>
          <w:lang w:val="en-US"/>
        </w:rPr>
        <w:t xml:space="preserve"> </w:t>
      </w:r>
      <w:r w:rsidR="00230661" w:rsidRPr="001D6476">
        <w:rPr>
          <w:rFonts w:cs="Arial"/>
          <w:color w:val="000000" w:themeColor="text1"/>
          <w:sz w:val="20"/>
          <w:lang w:val="en-US"/>
        </w:rPr>
        <w:t>and construction of residential buildings is setup by thirtieth day of June, 2018, rate of tax on</w:t>
      </w:r>
      <w:r w:rsidR="00F077EC" w:rsidRPr="001D6476">
        <w:rPr>
          <w:rFonts w:cs="Arial"/>
          <w:color w:val="000000" w:themeColor="text1"/>
          <w:sz w:val="20"/>
          <w:lang w:val="en-US"/>
        </w:rPr>
        <w:t xml:space="preserve"> </w:t>
      </w:r>
      <w:r w:rsidR="00230661" w:rsidRPr="001D6476">
        <w:rPr>
          <w:rFonts w:cs="Arial"/>
          <w:color w:val="000000" w:themeColor="text1"/>
          <w:sz w:val="20"/>
          <w:lang w:val="en-US"/>
        </w:rPr>
        <w:t>dividend received by a person from such</w:t>
      </w:r>
      <w:r w:rsidR="00F077EC" w:rsidRPr="001D6476">
        <w:rPr>
          <w:rFonts w:cs="Arial"/>
          <w:color w:val="000000" w:themeColor="text1"/>
          <w:sz w:val="20"/>
          <w:lang w:val="en-US"/>
        </w:rPr>
        <w:t xml:space="preserve"> </w:t>
      </w:r>
      <w:r w:rsidR="00230661" w:rsidRPr="001D6476">
        <w:rPr>
          <w:rFonts w:cs="Arial"/>
          <w:color w:val="000000" w:themeColor="text1"/>
          <w:sz w:val="20"/>
          <w:lang w:val="en-US"/>
        </w:rPr>
        <w:t>Developmental REIT Scheme shall be reduced</w:t>
      </w:r>
      <w:r w:rsidR="00F077EC" w:rsidRPr="001D6476">
        <w:rPr>
          <w:rFonts w:cs="Arial"/>
          <w:color w:val="000000" w:themeColor="text1"/>
          <w:sz w:val="20"/>
          <w:lang w:val="en-US"/>
        </w:rPr>
        <w:t xml:space="preserve"> </w:t>
      </w:r>
      <w:r w:rsidR="00230661" w:rsidRPr="001D6476">
        <w:rPr>
          <w:rFonts w:cs="Arial"/>
          <w:color w:val="000000" w:themeColor="text1"/>
          <w:sz w:val="20"/>
          <w:lang w:val="en-US"/>
        </w:rPr>
        <w:t>by fifty percent for three years from thirtieth day</w:t>
      </w:r>
      <w:r w:rsidR="00F077EC" w:rsidRPr="001D6476">
        <w:rPr>
          <w:rFonts w:cs="Arial"/>
          <w:color w:val="000000" w:themeColor="text1"/>
          <w:sz w:val="20"/>
          <w:lang w:val="en-US"/>
        </w:rPr>
        <w:t xml:space="preserve"> </w:t>
      </w:r>
      <w:r w:rsidR="00230661" w:rsidRPr="001D6476">
        <w:rPr>
          <w:rFonts w:cs="Arial"/>
          <w:color w:val="000000" w:themeColor="text1"/>
          <w:sz w:val="20"/>
          <w:lang w:val="en-US"/>
        </w:rPr>
        <w:t>of June, 2018.”]</w:t>
      </w:r>
    </w:p>
    <w:p w:rsidR="00AA4BF8" w:rsidRPr="001D6476" w:rsidRDefault="00AA4BF8" w:rsidP="00AA4BF8">
      <w:pPr>
        <w:keepNext/>
        <w:jc w:val="both"/>
        <w:rPr>
          <w:color w:val="000000" w:themeColor="text1"/>
          <w:sz w:val="20"/>
        </w:rPr>
      </w:pPr>
    </w:p>
    <w:p w:rsidR="00AA4BF8" w:rsidRPr="00DD1A3B" w:rsidRDefault="00321D41" w:rsidP="00321D41">
      <w:pPr>
        <w:autoSpaceDE w:val="0"/>
        <w:autoSpaceDN w:val="0"/>
        <w:adjustRightInd w:val="0"/>
        <w:jc w:val="center"/>
        <w:rPr>
          <w:b/>
          <w:bCs/>
          <w:i/>
          <w:color w:val="000000" w:themeColor="text1"/>
          <w:sz w:val="28"/>
          <w:szCs w:val="28"/>
        </w:rPr>
      </w:pPr>
      <w:r w:rsidRPr="00DD1A3B">
        <w:rPr>
          <w:b/>
          <w:bCs/>
          <w:i/>
          <w:color w:val="000000" w:themeColor="text1"/>
          <w:sz w:val="28"/>
          <w:szCs w:val="28"/>
        </w:rPr>
        <w:t>Division I</w:t>
      </w:r>
      <w:r w:rsidR="00AA4BF8" w:rsidRPr="00DD1A3B">
        <w:rPr>
          <w:b/>
          <w:bCs/>
          <w:i/>
          <w:color w:val="000000" w:themeColor="text1"/>
          <w:sz w:val="28"/>
          <w:szCs w:val="28"/>
        </w:rPr>
        <w:t>A</w:t>
      </w:r>
    </w:p>
    <w:p w:rsidR="00AA4BF8" w:rsidRPr="00DD1A3B" w:rsidRDefault="00AA4BF8" w:rsidP="00AA4BF8">
      <w:pPr>
        <w:autoSpaceDE w:val="0"/>
        <w:autoSpaceDN w:val="0"/>
        <w:adjustRightInd w:val="0"/>
        <w:jc w:val="center"/>
        <w:rPr>
          <w:b/>
          <w:bCs/>
          <w:color w:val="000000" w:themeColor="text1"/>
          <w:sz w:val="20"/>
        </w:rPr>
      </w:pPr>
      <w:r w:rsidRPr="00DD1A3B">
        <w:rPr>
          <w:b/>
          <w:bCs/>
          <w:color w:val="000000" w:themeColor="text1"/>
          <w:sz w:val="20"/>
        </w:rPr>
        <w:t>Profit on Debt</w:t>
      </w:r>
    </w:p>
    <w:p w:rsidR="00AA4BF8" w:rsidRPr="00AB1A87" w:rsidRDefault="00AA4BF8" w:rsidP="00AA4BF8">
      <w:pPr>
        <w:autoSpaceDE w:val="0"/>
        <w:autoSpaceDN w:val="0"/>
        <w:adjustRightInd w:val="0"/>
        <w:rPr>
          <w:rFonts w:ascii="Arial,Bold" w:hAnsi="Arial,Bold" w:cs="Arial,Bold"/>
          <w:b/>
          <w:bCs/>
          <w:color w:val="000000" w:themeColor="text1"/>
          <w:sz w:val="12"/>
          <w:lang w:val="en-US"/>
        </w:rPr>
      </w:pPr>
    </w:p>
    <w:p w:rsidR="00AA4BF8" w:rsidRPr="00DD1A3B" w:rsidRDefault="00AA4BF8" w:rsidP="00AA4BF8">
      <w:pPr>
        <w:autoSpaceDE w:val="0"/>
        <w:autoSpaceDN w:val="0"/>
        <w:adjustRightInd w:val="0"/>
        <w:jc w:val="both"/>
        <w:rPr>
          <w:color w:val="000000" w:themeColor="text1"/>
          <w:sz w:val="20"/>
        </w:rPr>
      </w:pPr>
      <w:r w:rsidRPr="00DD1A3B">
        <w:rPr>
          <w:color w:val="000000" w:themeColor="text1"/>
          <w:sz w:val="20"/>
        </w:rPr>
        <w:tab/>
        <w:t xml:space="preserve">The rate of tax to be deducted under section 151 shall be 10% of the yield or profit for filers and </w:t>
      </w:r>
      <w:r w:rsidR="001506D3" w:rsidRPr="001D6476">
        <w:rPr>
          <w:rStyle w:val="FootnoteReference"/>
          <w:color w:val="000000" w:themeColor="text1"/>
          <w:sz w:val="20"/>
        </w:rPr>
        <w:footnoteReference w:id="1641"/>
      </w:r>
      <w:r w:rsidR="001506D3" w:rsidRPr="001D6476">
        <w:rPr>
          <w:color w:val="000000" w:themeColor="text1"/>
          <w:sz w:val="20"/>
        </w:rPr>
        <w:t>[“17.5</w:t>
      </w:r>
      <w:r w:rsidRPr="001D6476">
        <w:rPr>
          <w:color w:val="000000" w:themeColor="text1"/>
          <w:sz w:val="20"/>
        </w:rPr>
        <w:t>%</w:t>
      </w:r>
      <w:r w:rsidR="001506D3" w:rsidRPr="001D6476">
        <w:rPr>
          <w:color w:val="000000" w:themeColor="text1"/>
          <w:sz w:val="20"/>
        </w:rPr>
        <w:t>”]</w:t>
      </w:r>
      <w:r w:rsidRPr="00321D41">
        <w:rPr>
          <w:color w:val="00B0F0"/>
          <w:sz w:val="20"/>
        </w:rPr>
        <w:t xml:space="preserve"> </w:t>
      </w:r>
      <w:r w:rsidRPr="00DD1A3B">
        <w:rPr>
          <w:color w:val="000000" w:themeColor="text1"/>
          <w:sz w:val="20"/>
        </w:rPr>
        <w:t xml:space="preserve">of the yield or profit paid, for non-filers: </w:t>
      </w:r>
    </w:p>
    <w:p w:rsidR="00321D41" w:rsidRPr="00DD1A3B" w:rsidRDefault="00321D41" w:rsidP="00AA4BF8">
      <w:pPr>
        <w:autoSpaceDE w:val="0"/>
        <w:autoSpaceDN w:val="0"/>
        <w:adjustRightInd w:val="0"/>
        <w:jc w:val="both"/>
        <w:rPr>
          <w:color w:val="000000" w:themeColor="text1"/>
          <w:sz w:val="20"/>
        </w:rPr>
      </w:pPr>
    </w:p>
    <w:p w:rsidR="00AA4BF8" w:rsidRPr="00DD1A3B" w:rsidRDefault="00AA4BF8" w:rsidP="0000204D">
      <w:pPr>
        <w:autoSpaceDE w:val="0"/>
        <w:autoSpaceDN w:val="0"/>
        <w:adjustRightInd w:val="0"/>
        <w:ind w:firstLine="540"/>
        <w:jc w:val="both"/>
        <w:rPr>
          <w:rFonts w:ascii="TimesNewRoman" w:hAnsi="TimesNewRoman" w:cs="TimesNewRoman"/>
          <w:color w:val="000000" w:themeColor="text1"/>
          <w:sz w:val="20"/>
          <w:lang w:val="en-US"/>
        </w:rPr>
      </w:pPr>
      <w:r w:rsidRPr="00DD1A3B">
        <w:rPr>
          <w:color w:val="000000" w:themeColor="text1"/>
          <w:sz w:val="20"/>
        </w:rPr>
        <w:t xml:space="preserve">Provided that for a non-filer, if the yield or profit paid is rupees five hundred thousand or less, the rate shall be ten per cent”; </w:t>
      </w:r>
    </w:p>
    <w:p w:rsidR="00AA4BF8" w:rsidRDefault="00AA4BF8" w:rsidP="00AA4BF8">
      <w:pPr>
        <w:autoSpaceDE w:val="0"/>
        <w:autoSpaceDN w:val="0"/>
        <w:adjustRightInd w:val="0"/>
        <w:jc w:val="center"/>
        <w:rPr>
          <w:sz w:val="28"/>
          <w:szCs w:val="28"/>
          <w:lang w:val="en-US"/>
        </w:rPr>
      </w:pPr>
    </w:p>
    <w:p w:rsidR="00127FE1" w:rsidRPr="002F6BD9" w:rsidRDefault="00127FE1" w:rsidP="00127FE1">
      <w:pPr>
        <w:autoSpaceDE w:val="0"/>
        <w:autoSpaceDN w:val="0"/>
        <w:adjustRightInd w:val="0"/>
        <w:spacing w:after="120"/>
        <w:jc w:val="center"/>
        <w:rPr>
          <w:rFonts w:cs="Arial"/>
          <w:b/>
          <w:bCs/>
          <w:color w:val="FF0000"/>
          <w:sz w:val="20"/>
        </w:rPr>
      </w:pPr>
      <w:r>
        <w:rPr>
          <w:rStyle w:val="FootnoteReference"/>
          <w:rFonts w:cs="Arial"/>
          <w:color w:val="FF0000"/>
          <w:sz w:val="20"/>
        </w:rPr>
        <w:footnoteReference w:id="1642"/>
      </w:r>
      <w:r w:rsidRPr="002F6BD9">
        <w:rPr>
          <w:rFonts w:cs="Arial"/>
          <w:b/>
          <w:bCs/>
          <w:color w:val="FF0000"/>
          <w:sz w:val="20"/>
        </w:rPr>
        <w:t>[“Division IB</w:t>
      </w:r>
    </w:p>
    <w:p w:rsidR="00127FE1" w:rsidRPr="002F6BD9" w:rsidRDefault="00127FE1" w:rsidP="00127FE1">
      <w:pPr>
        <w:autoSpaceDE w:val="0"/>
        <w:autoSpaceDN w:val="0"/>
        <w:adjustRightInd w:val="0"/>
        <w:spacing w:after="120"/>
        <w:jc w:val="center"/>
        <w:rPr>
          <w:rFonts w:cs="Arial"/>
          <w:b/>
          <w:bCs/>
          <w:i/>
          <w:color w:val="FF0000"/>
          <w:sz w:val="20"/>
        </w:rPr>
      </w:pPr>
      <w:r w:rsidRPr="002F6BD9">
        <w:rPr>
          <w:rFonts w:cs="Arial"/>
          <w:b/>
          <w:bCs/>
          <w:color w:val="FF0000"/>
          <w:sz w:val="20"/>
        </w:rPr>
        <w:t xml:space="preserve">Return on Investment in </w:t>
      </w:r>
      <w:r w:rsidRPr="002F6BD9">
        <w:rPr>
          <w:rFonts w:cs="Arial"/>
          <w:b/>
          <w:bCs/>
          <w:i/>
          <w:color w:val="FF0000"/>
          <w:sz w:val="20"/>
        </w:rPr>
        <w:t>Sukuks</w:t>
      </w:r>
    </w:p>
    <w:p w:rsidR="00127FE1" w:rsidRPr="002F6BD9" w:rsidRDefault="00127FE1" w:rsidP="00127FE1">
      <w:pPr>
        <w:jc w:val="both"/>
        <w:rPr>
          <w:rFonts w:cs="Arial"/>
          <w:color w:val="FF0000"/>
          <w:sz w:val="20"/>
        </w:rPr>
      </w:pPr>
      <w:r w:rsidRPr="002F6BD9">
        <w:rPr>
          <w:rFonts w:cs="Arial"/>
          <w:color w:val="FF0000"/>
          <w:sz w:val="20"/>
        </w:rPr>
        <w:tab/>
        <w:t>The rate of tax to be deducted under section 150A shall be-</w:t>
      </w:r>
    </w:p>
    <w:p w:rsidR="00127FE1" w:rsidRPr="002F6BD9" w:rsidRDefault="00127FE1" w:rsidP="00127FE1">
      <w:pPr>
        <w:pStyle w:val="ListParagraph"/>
        <w:numPr>
          <w:ilvl w:val="0"/>
          <w:numId w:val="103"/>
        </w:numPr>
        <w:contextualSpacing/>
        <w:jc w:val="both"/>
        <w:rPr>
          <w:rFonts w:cs="Arial"/>
          <w:color w:val="FF0000"/>
          <w:sz w:val="20"/>
        </w:rPr>
      </w:pPr>
      <w:r w:rsidRPr="002F6BD9">
        <w:rPr>
          <w:rFonts w:cs="Arial"/>
          <w:color w:val="FF0000"/>
          <w:sz w:val="20"/>
        </w:rPr>
        <w:t xml:space="preserve">15% in case the </w:t>
      </w:r>
      <w:r w:rsidRPr="002F6BD9">
        <w:rPr>
          <w:rFonts w:cs="Arial"/>
          <w:i/>
          <w:color w:val="FF0000"/>
          <w:sz w:val="20"/>
        </w:rPr>
        <w:t>sukuk</w:t>
      </w:r>
      <w:r w:rsidRPr="002F6BD9">
        <w:rPr>
          <w:rFonts w:cs="Arial"/>
          <w:color w:val="FF0000"/>
          <w:sz w:val="20"/>
        </w:rPr>
        <w:t xml:space="preserve">-holder is a company;  </w:t>
      </w:r>
    </w:p>
    <w:p w:rsidR="00127FE1" w:rsidRPr="002F6BD9" w:rsidRDefault="00127FE1" w:rsidP="00127FE1">
      <w:pPr>
        <w:pStyle w:val="ListParagraph"/>
        <w:numPr>
          <w:ilvl w:val="0"/>
          <w:numId w:val="103"/>
        </w:numPr>
        <w:contextualSpacing/>
        <w:jc w:val="both"/>
        <w:rPr>
          <w:rFonts w:cs="Arial"/>
          <w:color w:val="FF0000"/>
          <w:sz w:val="20"/>
        </w:rPr>
      </w:pPr>
      <w:r w:rsidRPr="002F6BD9">
        <w:rPr>
          <w:rFonts w:cs="Arial"/>
          <w:color w:val="FF0000"/>
          <w:sz w:val="20"/>
        </w:rPr>
        <w:t xml:space="preserve">12.5% in case the </w:t>
      </w:r>
      <w:r w:rsidRPr="002F6BD9">
        <w:rPr>
          <w:rFonts w:cs="Arial"/>
          <w:i/>
          <w:color w:val="FF0000"/>
          <w:sz w:val="20"/>
        </w:rPr>
        <w:t>sukuk</w:t>
      </w:r>
      <w:r w:rsidRPr="002F6BD9">
        <w:rPr>
          <w:rFonts w:cs="Arial"/>
          <w:color w:val="FF0000"/>
          <w:sz w:val="20"/>
        </w:rPr>
        <w:t xml:space="preserve">-holder is an individual or an association of person, if the return on investment is more than one million; </w:t>
      </w:r>
    </w:p>
    <w:p w:rsidR="00127FE1" w:rsidRPr="002F6BD9" w:rsidRDefault="00127FE1" w:rsidP="00127FE1">
      <w:pPr>
        <w:pStyle w:val="ListParagraph"/>
        <w:numPr>
          <w:ilvl w:val="0"/>
          <w:numId w:val="103"/>
        </w:numPr>
        <w:contextualSpacing/>
        <w:jc w:val="both"/>
        <w:rPr>
          <w:rFonts w:cs="Arial"/>
          <w:color w:val="FF0000"/>
          <w:sz w:val="20"/>
        </w:rPr>
      </w:pPr>
      <w:r w:rsidRPr="002F6BD9">
        <w:rPr>
          <w:rFonts w:cs="Arial"/>
          <w:color w:val="FF0000"/>
          <w:sz w:val="20"/>
        </w:rPr>
        <w:t xml:space="preserve">10% in case the </w:t>
      </w:r>
      <w:r w:rsidRPr="002F6BD9">
        <w:rPr>
          <w:rFonts w:cs="Arial"/>
          <w:i/>
          <w:color w:val="FF0000"/>
          <w:sz w:val="20"/>
        </w:rPr>
        <w:t>sukuk</w:t>
      </w:r>
      <w:r w:rsidRPr="002F6BD9">
        <w:rPr>
          <w:rFonts w:cs="Arial"/>
          <w:color w:val="FF0000"/>
          <w:sz w:val="20"/>
        </w:rPr>
        <w:t>-holder is an individual and an association of person, if the return on investment is less than one million; and</w:t>
      </w:r>
    </w:p>
    <w:p w:rsidR="00127FE1" w:rsidRPr="002F6BD9" w:rsidRDefault="00127FE1" w:rsidP="00127FE1">
      <w:pPr>
        <w:pStyle w:val="ListParagraph"/>
        <w:numPr>
          <w:ilvl w:val="0"/>
          <w:numId w:val="103"/>
        </w:numPr>
        <w:contextualSpacing/>
        <w:jc w:val="both"/>
        <w:rPr>
          <w:rFonts w:cs="Arial"/>
          <w:color w:val="FF0000"/>
          <w:sz w:val="20"/>
        </w:rPr>
      </w:pPr>
      <w:r w:rsidRPr="002F6BD9">
        <w:rPr>
          <w:rFonts w:cs="Arial"/>
          <w:color w:val="FF0000"/>
          <w:sz w:val="20"/>
        </w:rPr>
        <w:t xml:space="preserve">17.5% in case the </w:t>
      </w:r>
      <w:r w:rsidRPr="002F6BD9">
        <w:rPr>
          <w:rFonts w:cs="Arial"/>
          <w:i/>
          <w:color w:val="FF0000"/>
          <w:sz w:val="20"/>
        </w:rPr>
        <w:t>sukuk</w:t>
      </w:r>
      <w:r w:rsidRPr="002F6BD9">
        <w:rPr>
          <w:rFonts w:cs="Arial"/>
          <w:color w:val="FF0000"/>
          <w:sz w:val="20"/>
        </w:rPr>
        <w:t>-holder is a non-filer”</w:t>
      </w:r>
      <w:r w:rsidRPr="002F6BD9">
        <w:rPr>
          <w:color w:val="FF0000"/>
          <w:sz w:val="20"/>
        </w:rPr>
        <w:t xml:space="preserve">] </w:t>
      </w:r>
    </w:p>
    <w:p w:rsidR="00127FE1" w:rsidRDefault="00127FE1" w:rsidP="00AA4BF8">
      <w:pPr>
        <w:autoSpaceDE w:val="0"/>
        <w:autoSpaceDN w:val="0"/>
        <w:adjustRightInd w:val="0"/>
        <w:jc w:val="center"/>
        <w:rPr>
          <w:rFonts w:cs="Arial"/>
          <w:sz w:val="28"/>
          <w:szCs w:val="28"/>
          <w:lang w:val="en-US"/>
        </w:rPr>
      </w:pPr>
    </w:p>
    <w:p w:rsidR="00392FDB" w:rsidRDefault="00392FDB" w:rsidP="00AA4BF8">
      <w:pPr>
        <w:autoSpaceDE w:val="0"/>
        <w:autoSpaceDN w:val="0"/>
        <w:adjustRightInd w:val="0"/>
        <w:jc w:val="center"/>
        <w:rPr>
          <w:rFonts w:cs="Arial"/>
          <w:sz w:val="28"/>
          <w:szCs w:val="28"/>
          <w:lang w:val="en-US"/>
        </w:rPr>
      </w:pPr>
    </w:p>
    <w:p w:rsidR="00392FDB" w:rsidRDefault="00392FDB" w:rsidP="00AA4BF8">
      <w:pPr>
        <w:autoSpaceDE w:val="0"/>
        <w:autoSpaceDN w:val="0"/>
        <w:adjustRightInd w:val="0"/>
        <w:jc w:val="center"/>
        <w:rPr>
          <w:rFonts w:cs="Arial"/>
          <w:sz w:val="28"/>
          <w:szCs w:val="28"/>
          <w:lang w:val="en-US"/>
        </w:rPr>
      </w:pPr>
    </w:p>
    <w:p w:rsidR="00392FDB" w:rsidRDefault="00392FDB" w:rsidP="00AA4BF8">
      <w:pPr>
        <w:autoSpaceDE w:val="0"/>
        <w:autoSpaceDN w:val="0"/>
        <w:adjustRightInd w:val="0"/>
        <w:jc w:val="center"/>
        <w:rPr>
          <w:rFonts w:cs="Arial"/>
          <w:sz w:val="28"/>
          <w:szCs w:val="28"/>
          <w:lang w:val="en-US"/>
        </w:rPr>
      </w:pPr>
    </w:p>
    <w:p w:rsidR="00392FDB" w:rsidRDefault="00392FDB" w:rsidP="00AA4BF8">
      <w:pPr>
        <w:autoSpaceDE w:val="0"/>
        <w:autoSpaceDN w:val="0"/>
        <w:adjustRightInd w:val="0"/>
        <w:jc w:val="center"/>
        <w:rPr>
          <w:rFonts w:cs="Arial"/>
          <w:sz w:val="28"/>
          <w:szCs w:val="28"/>
          <w:lang w:val="en-US"/>
        </w:rPr>
      </w:pPr>
    </w:p>
    <w:p w:rsidR="00392FDB" w:rsidRDefault="00392FDB" w:rsidP="00AA4BF8">
      <w:pPr>
        <w:autoSpaceDE w:val="0"/>
        <w:autoSpaceDN w:val="0"/>
        <w:adjustRightInd w:val="0"/>
        <w:jc w:val="center"/>
        <w:rPr>
          <w:rFonts w:cs="Arial"/>
          <w:sz w:val="28"/>
          <w:szCs w:val="28"/>
          <w:lang w:val="en-US"/>
        </w:rPr>
      </w:pPr>
    </w:p>
    <w:p w:rsidR="00392FDB" w:rsidRDefault="00392FDB" w:rsidP="00AA4BF8">
      <w:pPr>
        <w:autoSpaceDE w:val="0"/>
        <w:autoSpaceDN w:val="0"/>
        <w:adjustRightInd w:val="0"/>
        <w:jc w:val="center"/>
        <w:rPr>
          <w:rFonts w:cs="Arial"/>
          <w:sz w:val="28"/>
          <w:szCs w:val="28"/>
          <w:lang w:val="en-US"/>
        </w:rPr>
      </w:pPr>
    </w:p>
    <w:p w:rsidR="006D687B" w:rsidRDefault="006D687B" w:rsidP="00AA4BF8">
      <w:pPr>
        <w:autoSpaceDE w:val="0"/>
        <w:autoSpaceDN w:val="0"/>
        <w:adjustRightInd w:val="0"/>
        <w:jc w:val="center"/>
        <w:rPr>
          <w:rFonts w:cs="Arial"/>
          <w:sz w:val="28"/>
          <w:szCs w:val="28"/>
          <w:lang w:val="en-US"/>
        </w:rPr>
      </w:pPr>
    </w:p>
    <w:p w:rsidR="006D687B" w:rsidRDefault="006D687B" w:rsidP="00AA4BF8">
      <w:pPr>
        <w:autoSpaceDE w:val="0"/>
        <w:autoSpaceDN w:val="0"/>
        <w:adjustRightInd w:val="0"/>
        <w:jc w:val="center"/>
        <w:rPr>
          <w:rFonts w:cs="Arial"/>
          <w:sz w:val="28"/>
          <w:szCs w:val="28"/>
          <w:lang w:val="en-US"/>
        </w:rPr>
      </w:pPr>
    </w:p>
    <w:p w:rsidR="00AA4BF8" w:rsidRPr="00833495" w:rsidRDefault="00AA4BF8" w:rsidP="00AA4BF8">
      <w:pPr>
        <w:autoSpaceDE w:val="0"/>
        <w:autoSpaceDN w:val="0"/>
        <w:adjustRightInd w:val="0"/>
        <w:jc w:val="center"/>
        <w:rPr>
          <w:rFonts w:cs="Arial"/>
          <w:b/>
          <w:bCs/>
          <w:sz w:val="28"/>
          <w:szCs w:val="28"/>
          <w:lang w:val="en-US"/>
        </w:rPr>
      </w:pPr>
      <w:r w:rsidRPr="00833495">
        <w:rPr>
          <w:rStyle w:val="FootnoteReference"/>
          <w:rFonts w:cs="Arial"/>
          <w:sz w:val="20"/>
          <w:lang w:val="en-US"/>
        </w:rPr>
        <w:footnoteReference w:id="1643"/>
      </w:r>
      <w:r w:rsidRPr="00833495">
        <w:rPr>
          <w:rFonts w:cs="Arial"/>
          <w:sz w:val="28"/>
          <w:szCs w:val="28"/>
          <w:lang w:val="en-US"/>
        </w:rPr>
        <w:t>[</w:t>
      </w:r>
      <w:r w:rsidRPr="00833495">
        <w:rPr>
          <w:rFonts w:cs="Arial"/>
          <w:b/>
          <w:bCs/>
          <w:sz w:val="28"/>
          <w:szCs w:val="28"/>
          <w:lang w:val="en-US"/>
        </w:rPr>
        <w:t>Division II</w:t>
      </w:r>
    </w:p>
    <w:p w:rsidR="00AA4BF8" w:rsidRPr="00833495" w:rsidRDefault="00AA4BF8" w:rsidP="00AA4BF8">
      <w:pPr>
        <w:autoSpaceDE w:val="0"/>
        <w:autoSpaceDN w:val="0"/>
        <w:adjustRightInd w:val="0"/>
        <w:jc w:val="center"/>
        <w:rPr>
          <w:rFonts w:cs="Arial"/>
          <w:b/>
          <w:bCs/>
          <w:sz w:val="20"/>
          <w:lang w:val="en-US"/>
        </w:rPr>
      </w:pPr>
      <w:r w:rsidRPr="00833495">
        <w:rPr>
          <w:rFonts w:cs="Arial"/>
          <w:b/>
          <w:bCs/>
          <w:sz w:val="20"/>
          <w:lang w:val="en-US"/>
        </w:rPr>
        <w:t>Payments to non-residents</w:t>
      </w:r>
    </w:p>
    <w:p w:rsidR="00AA4BF8" w:rsidRPr="00AB1A87" w:rsidRDefault="00AA4BF8" w:rsidP="00AA4BF8">
      <w:pPr>
        <w:autoSpaceDE w:val="0"/>
        <w:autoSpaceDN w:val="0"/>
        <w:adjustRightInd w:val="0"/>
        <w:jc w:val="center"/>
        <w:rPr>
          <w:rFonts w:ascii="Arial,Bold" w:hAnsi="Arial,Bold" w:cs="Arial,Bold"/>
          <w:b/>
          <w:bCs/>
          <w:sz w:val="12"/>
          <w:lang w:val="en-US"/>
        </w:rPr>
      </w:pPr>
    </w:p>
    <w:p w:rsidR="00AA4BF8" w:rsidRPr="00412620" w:rsidRDefault="00AA4BF8" w:rsidP="00AA4BF8">
      <w:pPr>
        <w:autoSpaceDE w:val="0"/>
        <w:autoSpaceDN w:val="0"/>
        <w:adjustRightInd w:val="0"/>
        <w:jc w:val="both"/>
        <w:rPr>
          <w:rFonts w:ascii="TimesNewRoman" w:hAnsi="TimesNewRoman" w:cs="TimesNewRoman"/>
          <w:sz w:val="20"/>
          <w:lang w:val="en-US"/>
        </w:rPr>
      </w:pPr>
      <w:r w:rsidRPr="00412620">
        <w:rPr>
          <w:sz w:val="20"/>
          <w:lang w:val="en-US"/>
        </w:rPr>
        <w:tab/>
        <w:t xml:space="preserve">(1) The rate of tax to be deducted from a payment referred to in sub-section (1A) of section 152 shall be </w:t>
      </w:r>
      <w:r w:rsidR="00D24880" w:rsidRPr="0009763F">
        <w:rPr>
          <w:rStyle w:val="FootnoteReference"/>
          <w:color w:val="0070C0"/>
          <w:sz w:val="20"/>
          <w:lang w:val="en-US"/>
        </w:rPr>
        <w:footnoteReference w:id="1644"/>
      </w:r>
      <w:r w:rsidR="00D24880" w:rsidRPr="0009763F">
        <w:rPr>
          <w:rFonts w:cs="Arial"/>
          <w:color w:val="0070C0"/>
          <w:sz w:val="20"/>
        </w:rPr>
        <w:t>[“7% of the gross amount payable in case a person is a filer and 12% in case the person is a non-filer”]</w:t>
      </w:r>
      <w:r w:rsidRPr="00412620">
        <w:rPr>
          <w:sz w:val="20"/>
          <w:lang w:val="en-US"/>
        </w:rPr>
        <w:t>.</w:t>
      </w:r>
    </w:p>
    <w:p w:rsidR="00AA4BF8" w:rsidRPr="00412620" w:rsidRDefault="00AA4BF8" w:rsidP="00AA4BF8">
      <w:pPr>
        <w:autoSpaceDE w:val="0"/>
        <w:autoSpaceDN w:val="0"/>
        <w:adjustRightInd w:val="0"/>
        <w:jc w:val="both"/>
        <w:rPr>
          <w:sz w:val="20"/>
          <w:lang w:val="en-US"/>
        </w:rPr>
      </w:pPr>
    </w:p>
    <w:p w:rsidR="00AA4BF8" w:rsidRPr="00412620" w:rsidRDefault="00AA4BF8" w:rsidP="00AA4BF8">
      <w:pPr>
        <w:autoSpaceDE w:val="0"/>
        <w:autoSpaceDN w:val="0"/>
        <w:adjustRightInd w:val="0"/>
        <w:jc w:val="both"/>
        <w:rPr>
          <w:sz w:val="20"/>
          <w:lang w:val="en-US"/>
        </w:rPr>
      </w:pPr>
      <w:r w:rsidRPr="00412620">
        <w:rPr>
          <w:sz w:val="20"/>
          <w:lang w:val="en-US"/>
        </w:rPr>
        <w:tab/>
      </w:r>
      <w:r w:rsidRPr="00412620">
        <w:rPr>
          <w:rStyle w:val="FootnoteReference"/>
          <w:rFonts w:cs="Arial"/>
          <w:sz w:val="20"/>
          <w:lang w:val="en-US"/>
        </w:rPr>
        <w:footnoteReference w:id="1645"/>
      </w:r>
      <w:r w:rsidRPr="00412620">
        <w:rPr>
          <w:sz w:val="20"/>
          <w:lang w:val="en-US"/>
        </w:rPr>
        <w:t>[(1A) The rate of tax to be deducted from payments referred to in sub-section (1AA) of section 152, shall be 5% of the gross amount paid.]</w:t>
      </w:r>
    </w:p>
    <w:p w:rsidR="00AA4BF8" w:rsidRPr="00412620" w:rsidRDefault="00AA4BF8" w:rsidP="00AA4BF8">
      <w:pPr>
        <w:autoSpaceDE w:val="0"/>
        <w:autoSpaceDN w:val="0"/>
        <w:adjustRightInd w:val="0"/>
        <w:jc w:val="both"/>
        <w:rPr>
          <w:sz w:val="20"/>
          <w:lang w:val="en-US"/>
        </w:rPr>
      </w:pPr>
    </w:p>
    <w:p w:rsidR="00AA4BF8" w:rsidRPr="00412620" w:rsidRDefault="00AA4BF8" w:rsidP="00AA4BF8">
      <w:pPr>
        <w:autoSpaceDE w:val="0"/>
        <w:autoSpaceDN w:val="0"/>
        <w:adjustRightInd w:val="0"/>
        <w:jc w:val="both"/>
        <w:rPr>
          <w:sz w:val="20"/>
          <w:lang w:val="en-US"/>
        </w:rPr>
      </w:pPr>
      <w:r w:rsidRPr="00412620">
        <w:rPr>
          <w:sz w:val="20"/>
          <w:lang w:val="en-US"/>
        </w:rPr>
        <w:tab/>
        <w:t xml:space="preserve">(2) The rate of tax to be deducted under sub-section (2) of section 152 shall be </w:t>
      </w:r>
      <w:r w:rsidRPr="00412620">
        <w:rPr>
          <w:rStyle w:val="FootnoteReference"/>
          <w:rFonts w:cs="Arial"/>
          <w:sz w:val="20"/>
        </w:rPr>
        <w:footnoteReference w:id="1646"/>
      </w:r>
      <w:r w:rsidRPr="00412620">
        <w:rPr>
          <w:sz w:val="20"/>
          <w:lang w:val="en-US"/>
        </w:rPr>
        <w:t>[20]% of the gross amount paid.]</w:t>
      </w:r>
    </w:p>
    <w:p w:rsidR="00AA4BF8" w:rsidRPr="00412620" w:rsidRDefault="00AA4BF8" w:rsidP="00AA4BF8">
      <w:pPr>
        <w:keepNext/>
        <w:rPr>
          <w:sz w:val="20"/>
        </w:rPr>
      </w:pPr>
    </w:p>
    <w:p w:rsidR="00AA4BF8" w:rsidRPr="00412620" w:rsidRDefault="00AA4BF8" w:rsidP="00AA4BF8">
      <w:pPr>
        <w:jc w:val="both"/>
        <w:rPr>
          <w:sz w:val="20"/>
        </w:rPr>
      </w:pPr>
      <w:r w:rsidRPr="00412620">
        <w:rPr>
          <w:sz w:val="20"/>
        </w:rPr>
        <w:tab/>
      </w:r>
      <w:r w:rsidRPr="00412620">
        <w:rPr>
          <w:rStyle w:val="FootnoteReference"/>
          <w:rFonts w:cs="Arial"/>
          <w:sz w:val="20"/>
        </w:rPr>
        <w:footnoteReference w:id="1647"/>
      </w:r>
      <w:r w:rsidRPr="00412620">
        <w:rPr>
          <w:sz w:val="20"/>
        </w:rPr>
        <w:t>[(3)</w:t>
      </w:r>
      <w:r w:rsidRPr="00412620">
        <w:rPr>
          <w:sz w:val="20"/>
        </w:rPr>
        <w:tab/>
        <w:t>The rate of tax to be deducted under sub-section (1AAA) of section152, shall be 10% of the gross amount paid.]</w:t>
      </w:r>
    </w:p>
    <w:p w:rsidR="00AA4BF8" w:rsidRDefault="00AA4BF8" w:rsidP="00AA4BF8">
      <w:pPr>
        <w:jc w:val="both"/>
        <w:rPr>
          <w:sz w:val="20"/>
        </w:rPr>
      </w:pPr>
    </w:p>
    <w:p w:rsidR="00833495" w:rsidRPr="00F76B61" w:rsidRDefault="00833495" w:rsidP="00833495">
      <w:pPr>
        <w:autoSpaceDE w:val="0"/>
        <w:autoSpaceDN w:val="0"/>
        <w:adjustRightInd w:val="0"/>
        <w:jc w:val="both"/>
        <w:rPr>
          <w:rFonts w:cs="Arial"/>
          <w:color w:val="000000" w:themeColor="text1"/>
          <w:sz w:val="20"/>
          <w:lang w:val="en-US"/>
        </w:rPr>
      </w:pPr>
      <w:r>
        <w:rPr>
          <w:sz w:val="20"/>
        </w:rPr>
        <w:tab/>
      </w:r>
      <w:r w:rsidR="003D6563" w:rsidRPr="00F76B61">
        <w:rPr>
          <w:rStyle w:val="FootnoteReference"/>
          <w:color w:val="000000" w:themeColor="text1"/>
          <w:sz w:val="20"/>
        </w:rPr>
        <w:footnoteReference w:id="1648"/>
      </w:r>
      <w:r w:rsidRPr="00F76B61">
        <w:rPr>
          <w:color w:val="000000" w:themeColor="text1"/>
          <w:sz w:val="20"/>
        </w:rPr>
        <w:t>[“</w:t>
      </w:r>
      <w:r w:rsidRPr="00F76B61">
        <w:rPr>
          <w:rFonts w:cs="Arial"/>
          <w:color w:val="000000" w:themeColor="text1"/>
          <w:sz w:val="20"/>
          <w:lang w:val="en-US"/>
        </w:rPr>
        <w:t>(4) The rate of tax to be deducted from a payment referred to in clause (a) of sub-section (2A) of section 152 shall be—</w:t>
      </w:r>
    </w:p>
    <w:p w:rsidR="00833495" w:rsidRPr="00F76B61" w:rsidRDefault="00833495" w:rsidP="00833495">
      <w:pPr>
        <w:autoSpaceDE w:val="0"/>
        <w:autoSpaceDN w:val="0"/>
        <w:adjustRightInd w:val="0"/>
        <w:jc w:val="both"/>
        <w:rPr>
          <w:rFonts w:cs="Arial"/>
          <w:color w:val="000000" w:themeColor="text1"/>
          <w:sz w:val="20"/>
          <w:lang w:val="en-US"/>
        </w:rPr>
      </w:pPr>
    </w:p>
    <w:p w:rsidR="00833495" w:rsidRPr="00F76B61" w:rsidRDefault="00833495" w:rsidP="00833495">
      <w:pPr>
        <w:autoSpaceDE w:val="0"/>
        <w:autoSpaceDN w:val="0"/>
        <w:adjustRightInd w:val="0"/>
        <w:ind w:left="1350" w:hanging="270"/>
        <w:jc w:val="both"/>
        <w:rPr>
          <w:rFonts w:cs="Arial"/>
          <w:color w:val="000000" w:themeColor="text1"/>
          <w:sz w:val="20"/>
          <w:lang w:val="en-US"/>
        </w:rPr>
      </w:pPr>
      <w:r w:rsidRPr="00F76B61">
        <w:rPr>
          <w:rFonts w:cs="Arial"/>
          <w:color w:val="000000" w:themeColor="text1"/>
          <w:sz w:val="20"/>
          <w:lang w:val="en-US"/>
        </w:rPr>
        <w:t>(i) in case of a company, 4% of the gross amount payable, if the company is a filer and 6% if the company is a non-filer; and</w:t>
      </w:r>
    </w:p>
    <w:p w:rsidR="00833495" w:rsidRPr="00F76B61" w:rsidRDefault="00833495" w:rsidP="00833495">
      <w:pPr>
        <w:autoSpaceDE w:val="0"/>
        <w:autoSpaceDN w:val="0"/>
        <w:adjustRightInd w:val="0"/>
        <w:ind w:left="1350" w:hanging="270"/>
        <w:jc w:val="both"/>
        <w:rPr>
          <w:rFonts w:cs="Arial"/>
          <w:color w:val="000000" w:themeColor="text1"/>
          <w:sz w:val="20"/>
          <w:lang w:val="en-US"/>
        </w:rPr>
      </w:pPr>
    </w:p>
    <w:p w:rsidR="00833495" w:rsidRPr="00F76B61" w:rsidRDefault="00833495" w:rsidP="00833495">
      <w:pPr>
        <w:autoSpaceDE w:val="0"/>
        <w:autoSpaceDN w:val="0"/>
        <w:adjustRightInd w:val="0"/>
        <w:ind w:left="1350" w:hanging="270"/>
        <w:jc w:val="both"/>
        <w:rPr>
          <w:color w:val="000000" w:themeColor="text1"/>
          <w:sz w:val="20"/>
        </w:rPr>
      </w:pPr>
      <w:r w:rsidRPr="00F76B61">
        <w:rPr>
          <w:rFonts w:cs="Arial"/>
          <w:color w:val="000000" w:themeColor="text1"/>
          <w:sz w:val="20"/>
          <w:lang w:val="en-US"/>
        </w:rPr>
        <w:t>(ii) in any other case, 4.5% of the gross amount payable, if the person is a filer and 6.5% if the person is a non-filer.”</w:t>
      </w:r>
      <w:r w:rsidR="003D6563" w:rsidRPr="00F76B61">
        <w:rPr>
          <w:rFonts w:cs="Arial"/>
          <w:color w:val="000000" w:themeColor="text1"/>
          <w:sz w:val="20"/>
          <w:lang w:val="en-US"/>
        </w:rPr>
        <w:t>]</w:t>
      </w:r>
    </w:p>
    <w:p w:rsidR="00AA4BF8" w:rsidRPr="00412620" w:rsidRDefault="00AA4BF8" w:rsidP="00AA4BF8">
      <w:pPr>
        <w:jc w:val="both"/>
        <w:rPr>
          <w:sz w:val="20"/>
        </w:rPr>
      </w:pPr>
      <w:r w:rsidRPr="00412620">
        <w:rPr>
          <w:sz w:val="20"/>
        </w:rPr>
        <w:tab/>
      </w:r>
    </w:p>
    <w:p w:rsidR="00AA4BF8" w:rsidRPr="00412620" w:rsidRDefault="00AA4BF8" w:rsidP="00AA4BF8">
      <w:pPr>
        <w:jc w:val="both"/>
        <w:rPr>
          <w:sz w:val="20"/>
        </w:rPr>
      </w:pPr>
      <w:r w:rsidRPr="00412620">
        <w:rPr>
          <w:sz w:val="20"/>
        </w:rPr>
        <w:tab/>
      </w:r>
      <w:r w:rsidRPr="00412620">
        <w:rPr>
          <w:rStyle w:val="FootnoteReference"/>
          <w:rFonts w:cs="Arial"/>
          <w:sz w:val="20"/>
        </w:rPr>
        <w:footnoteReference w:id="1649"/>
      </w:r>
      <w:r w:rsidRPr="00412620">
        <w:rPr>
          <w:sz w:val="20"/>
        </w:rPr>
        <w:t>[(5)</w:t>
      </w:r>
      <w:r w:rsidRPr="00412620">
        <w:rPr>
          <w:sz w:val="20"/>
        </w:rPr>
        <w:tab/>
        <w:t>The rate of tax to be deducted from a payment referred to in clause (b) of sub-section (2A) of section 152 shall be—</w:t>
      </w:r>
    </w:p>
    <w:p w:rsidR="00AA4BF8" w:rsidRPr="00412620" w:rsidRDefault="00AA4BF8" w:rsidP="00AA4BF8">
      <w:pPr>
        <w:jc w:val="both"/>
        <w:rPr>
          <w:sz w:val="20"/>
        </w:rPr>
      </w:pPr>
    </w:p>
    <w:p w:rsidR="00AA4BF8" w:rsidRPr="00412620" w:rsidRDefault="00AA4BF8" w:rsidP="00AA4BF8">
      <w:pPr>
        <w:ind w:left="1641" w:hanging="553"/>
        <w:jc w:val="both"/>
        <w:rPr>
          <w:sz w:val="20"/>
        </w:rPr>
      </w:pPr>
      <w:r w:rsidRPr="00412620">
        <w:rPr>
          <w:sz w:val="20"/>
        </w:rPr>
        <w:t>(i)</w:t>
      </w:r>
      <w:r w:rsidRPr="00412620">
        <w:rPr>
          <w:sz w:val="20"/>
        </w:rPr>
        <w:tab/>
        <w:t xml:space="preserve">in the case of transport services, two </w:t>
      </w:r>
      <w:r>
        <w:rPr>
          <w:sz w:val="20"/>
        </w:rPr>
        <w:t>per cent</w:t>
      </w:r>
      <w:r w:rsidRPr="00412620">
        <w:rPr>
          <w:sz w:val="20"/>
        </w:rPr>
        <w:t xml:space="preserve"> of the gross amount payable; or </w:t>
      </w:r>
    </w:p>
    <w:p w:rsidR="00AA4BF8" w:rsidRPr="00412620" w:rsidRDefault="00AA4BF8" w:rsidP="00AA4BF8">
      <w:pPr>
        <w:jc w:val="both"/>
        <w:rPr>
          <w:sz w:val="20"/>
        </w:rPr>
      </w:pPr>
    </w:p>
    <w:p w:rsidR="00661754" w:rsidRPr="00F76B61" w:rsidRDefault="00661754" w:rsidP="00B55AE2">
      <w:pPr>
        <w:autoSpaceDE w:val="0"/>
        <w:autoSpaceDN w:val="0"/>
        <w:adjustRightInd w:val="0"/>
        <w:ind w:left="541" w:firstLine="359"/>
        <w:jc w:val="both"/>
        <w:rPr>
          <w:rFonts w:cs="Arial"/>
          <w:color w:val="000000" w:themeColor="text1"/>
          <w:sz w:val="20"/>
          <w:lang w:val="en-US"/>
        </w:rPr>
      </w:pPr>
      <w:r w:rsidRPr="00F76B61">
        <w:rPr>
          <w:rStyle w:val="FootnoteReference"/>
          <w:rFonts w:cs="Arial"/>
          <w:color w:val="000000" w:themeColor="text1"/>
          <w:sz w:val="20"/>
          <w:lang w:val="en-US"/>
        </w:rPr>
        <w:footnoteReference w:id="1650"/>
      </w:r>
      <w:r w:rsidRPr="00F76B61">
        <w:rPr>
          <w:rFonts w:cs="Arial"/>
          <w:color w:val="000000" w:themeColor="text1"/>
          <w:sz w:val="20"/>
          <w:lang w:val="en-US"/>
        </w:rPr>
        <w:t>[“(ii)</w:t>
      </w:r>
      <w:r w:rsidRPr="00F76B61">
        <w:rPr>
          <w:rFonts w:cs="Arial"/>
          <w:color w:val="000000" w:themeColor="text1"/>
          <w:sz w:val="20"/>
          <w:lang w:val="en-US"/>
        </w:rPr>
        <w:tab/>
        <w:t>in cases other than transport,—</w:t>
      </w:r>
    </w:p>
    <w:p w:rsidR="00661754" w:rsidRPr="00F76B61" w:rsidRDefault="00661754" w:rsidP="00661754">
      <w:pPr>
        <w:autoSpaceDE w:val="0"/>
        <w:autoSpaceDN w:val="0"/>
        <w:adjustRightInd w:val="0"/>
        <w:ind w:left="541" w:firstLine="547"/>
        <w:jc w:val="both"/>
        <w:rPr>
          <w:rFonts w:cs="Arial"/>
          <w:color w:val="000000" w:themeColor="text1"/>
          <w:sz w:val="20"/>
          <w:lang w:val="en-US"/>
        </w:rPr>
      </w:pPr>
    </w:p>
    <w:p w:rsidR="00661754" w:rsidRPr="00F76B61" w:rsidRDefault="00661754" w:rsidP="002C73AE">
      <w:pPr>
        <w:pStyle w:val="ListParagraph"/>
        <w:numPr>
          <w:ilvl w:val="0"/>
          <w:numId w:val="72"/>
        </w:numPr>
        <w:autoSpaceDE w:val="0"/>
        <w:autoSpaceDN w:val="0"/>
        <w:adjustRightInd w:val="0"/>
        <w:jc w:val="both"/>
        <w:rPr>
          <w:rFonts w:cs="Arial"/>
          <w:color w:val="000000" w:themeColor="text1"/>
          <w:sz w:val="20"/>
          <w:lang w:val="en-US"/>
        </w:rPr>
      </w:pPr>
      <w:r w:rsidRPr="00F76B61">
        <w:rPr>
          <w:rFonts w:cs="Arial"/>
          <w:color w:val="000000" w:themeColor="text1"/>
          <w:sz w:val="20"/>
          <w:lang w:val="en-US"/>
        </w:rPr>
        <w:t>in case of a company, 8% of the gross amount payable, if the company is a filer and 12% if the company is a non-filer; and</w:t>
      </w:r>
    </w:p>
    <w:p w:rsidR="00661754" w:rsidRPr="00F76B61" w:rsidRDefault="00661754" w:rsidP="00661754">
      <w:pPr>
        <w:pStyle w:val="ListParagraph"/>
        <w:autoSpaceDE w:val="0"/>
        <w:autoSpaceDN w:val="0"/>
        <w:adjustRightInd w:val="0"/>
        <w:ind w:left="1980"/>
        <w:jc w:val="both"/>
        <w:rPr>
          <w:rFonts w:cs="Arial"/>
          <w:color w:val="000000" w:themeColor="text1"/>
          <w:sz w:val="20"/>
          <w:lang w:val="en-US"/>
        </w:rPr>
      </w:pPr>
    </w:p>
    <w:p w:rsidR="00661754" w:rsidRPr="00F76B61" w:rsidRDefault="00661754" w:rsidP="002C73AE">
      <w:pPr>
        <w:pStyle w:val="ListParagraph"/>
        <w:numPr>
          <w:ilvl w:val="0"/>
          <w:numId w:val="72"/>
        </w:numPr>
        <w:autoSpaceDE w:val="0"/>
        <w:autoSpaceDN w:val="0"/>
        <w:adjustRightInd w:val="0"/>
        <w:jc w:val="both"/>
        <w:rPr>
          <w:color w:val="000000" w:themeColor="text1"/>
          <w:sz w:val="20"/>
        </w:rPr>
      </w:pPr>
      <w:r w:rsidRPr="00F76B61">
        <w:rPr>
          <w:rFonts w:cs="Arial"/>
          <w:color w:val="000000" w:themeColor="text1"/>
          <w:sz w:val="20"/>
          <w:lang w:val="en-US"/>
        </w:rPr>
        <w:t>in any other case, 10% of the gross amount payable, if the person is a filer and 15% if the person is a non-filer;”;]]</w:t>
      </w:r>
    </w:p>
    <w:p w:rsidR="00661754" w:rsidRPr="00F76B61" w:rsidRDefault="00661754" w:rsidP="00661754">
      <w:pPr>
        <w:pStyle w:val="ListParagraph"/>
        <w:rPr>
          <w:color w:val="000000" w:themeColor="text1"/>
          <w:sz w:val="20"/>
        </w:rPr>
      </w:pPr>
    </w:p>
    <w:p w:rsidR="00216F3C" w:rsidRPr="00F76B61" w:rsidRDefault="00AA4BF8" w:rsidP="00216F3C">
      <w:pPr>
        <w:autoSpaceDE w:val="0"/>
        <w:autoSpaceDN w:val="0"/>
        <w:adjustRightInd w:val="0"/>
        <w:jc w:val="both"/>
        <w:rPr>
          <w:rFonts w:cs="Arial"/>
          <w:color w:val="000000" w:themeColor="text1"/>
          <w:sz w:val="20"/>
          <w:lang w:val="en-US"/>
        </w:rPr>
      </w:pPr>
      <w:r w:rsidRPr="00F76B61">
        <w:rPr>
          <w:color w:val="000000" w:themeColor="text1"/>
          <w:sz w:val="20"/>
        </w:rPr>
        <w:tab/>
      </w:r>
      <w:r w:rsidR="00216F3C" w:rsidRPr="00F76B61">
        <w:rPr>
          <w:rStyle w:val="FootnoteReference"/>
          <w:color w:val="000000" w:themeColor="text1"/>
          <w:sz w:val="20"/>
        </w:rPr>
        <w:footnoteReference w:id="1651"/>
      </w:r>
      <w:r w:rsidR="00216F3C" w:rsidRPr="00F76B61">
        <w:rPr>
          <w:color w:val="000000" w:themeColor="text1"/>
          <w:sz w:val="20"/>
        </w:rPr>
        <w:t>[</w:t>
      </w:r>
      <w:r w:rsidR="00216F3C" w:rsidRPr="00F76B61">
        <w:rPr>
          <w:rFonts w:cs="Arial"/>
          <w:color w:val="000000" w:themeColor="text1"/>
          <w:sz w:val="20"/>
          <w:lang w:val="en-US"/>
        </w:rPr>
        <w:t>(6) The rate of tax to be deducted from a payment</w:t>
      </w:r>
      <w:r w:rsidR="00F077EC" w:rsidRPr="00F76B61">
        <w:rPr>
          <w:rFonts w:cs="Arial"/>
          <w:color w:val="000000" w:themeColor="text1"/>
          <w:sz w:val="20"/>
          <w:lang w:val="en-US"/>
        </w:rPr>
        <w:t xml:space="preserve"> </w:t>
      </w:r>
      <w:r w:rsidR="00216F3C" w:rsidRPr="00F76B61">
        <w:rPr>
          <w:rFonts w:cs="Arial"/>
          <w:color w:val="000000" w:themeColor="text1"/>
          <w:sz w:val="20"/>
          <w:lang w:val="en-US"/>
        </w:rPr>
        <w:t>referred to in clause (c) of sub-section (2A) of section 152</w:t>
      </w:r>
      <w:r w:rsidR="00B6453A" w:rsidRPr="00F76B61">
        <w:rPr>
          <w:rFonts w:cs="Arial"/>
          <w:color w:val="000000" w:themeColor="text1"/>
          <w:sz w:val="20"/>
          <w:lang w:val="en-US"/>
        </w:rPr>
        <w:t xml:space="preserve"> </w:t>
      </w:r>
      <w:r w:rsidR="00216F3C" w:rsidRPr="00F76B61">
        <w:rPr>
          <w:rFonts w:cs="Arial"/>
          <w:color w:val="000000" w:themeColor="text1"/>
          <w:sz w:val="20"/>
          <w:lang w:val="en-US"/>
        </w:rPr>
        <w:t>shall be,—</w:t>
      </w:r>
    </w:p>
    <w:p w:rsidR="00216F3C" w:rsidRPr="00F76B61" w:rsidRDefault="00216F3C" w:rsidP="00216F3C">
      <w:pPr>
        <w:autoSpaceDE w:val="0"/>
        <w:autoSpaceDN w:val="0"/>
        <w:adjustRightInd w:val="0"/>
        <w:jc w:val="both"/>
        <w:rPr>
          <w:rFonts w:cs="Arial"/>
          <w:color w:val="000000" w:themeColor="text1"/>
          <w:sz w:val="20"/>
          <w:lang w:val="en-US"/>
        </w:rPr>
      </w:pPr>
    </w:p>
    <w:p w:rsidR="00216F3C" w:rsidRPr="00F76B61" w:rsidRDefault="00216F3C" w:rsidP="002C73AE">
      <w:pPr>
        <w:pStyle w:val="ListParagraph"/>
        <w:numPr>
          <w:ilvl w:val="0"/>
          <w:numId w:val="73"/>
        </w:numPr>
        <w:autoSpaceDE w:val="0"/>
        <w:autoSpaceDN w:val="0"/>
        <w:adjustRightInd w:val="0"/>
        <w:ind w:left="1620" w:hanging="526"/>
        <w:jc w:val="both"/>
        <w:rPr>
          <w:rFonts w:cs="Arial"/>
          <w:color w:val="000000" w:themeColor="text1"/>
          <w:sz w:val="20"/>
          <w:lang w:val="en-US"/>
        </w:rPr>
      </w:pPr>
      <w:r w:rsidRPr="00F76B61">
        <w:rPr>
          <w:rFonts w:cs="Arial"/>
          <w:color w:val="000000" w:themeColor="text1"/>
          <w:sz w:val="20"/>
          <w:lang w:val="en-US"/>
        </w:rPr>
        <w:t>10% of the gross amount payable in case of sportspersons;</w:t>
      </w:r>
    </w:p>
    <w:p w:rsidR="00B6453A" w:rsidRDefault="00B6453A" w:rsidP="00B6453A">
      <w:pPr>
        <w:pStyle w:val="ListParagraph"/>
        <w:autoSpaceDE w:val="0"/>
        <w:autoSpaceDN w:val="0"/>
        <w:adjustRightInd w:val="0"/>
        <w:ind w:left="1620"/>
        <w:jc w:val="both"/>
        <w:rPr>
          <w:rFonts w:cs="Arial"/>
          <w:color w:val="984806" w:themeColor="accent6" w:themeShade="80"/>
          <w:sz w:val="20"/>
          <w:lang w:val="en-US"/>
        </w:rPr>
      </w:pPr>
    </w:p>
    <w:p w:rsidR="00216F3C" w:rsidRPr="0009763F" w:rsidRDefault="00B6453A" w:rsidP="008352FE">
      <w:pPr>
        <w:pStyle w:val="ListParagraph"/>
        <w:autoSpaceDE w:val="0"/>
        <w:autoSpaceDN w:val="0"/>
        <w:adjustRightInd w:val="0"/>
        <w:ind w:left="1620" w:hanging="540"/>
        <w:jc w:val="both"/>
        <w:rPr>
          <w:rFonts w:cs="Arial"/>
          <w:color w:val="0070C0"/>
          <w:sz w:val="20"/>
        </w:rPr>
      </w:pPr>
      <w:r w:rsidRPr="0009763F">
        <w:rPr>
          <w:rStyle w:val="FootnoteReference"/>
          <w:rFonts w:cs="Arial"/>
          <w:color w:val="0070C0"/>
          <w:sz w:val="20"/>
        </w:rPr>
        <w:footnoteReference w:id="1652"/>
      </w:r>
      <w:r w:rsidRPr="0009763F">
        <w:rPr>
          <w:rFonts w:cs="Arial"/>
          <w:color w:val="0070C0"/>
          <w:sz w:val="20"/>
        </w:rPr>
        <w:t>[“(ii)</w:t>
      </w:r>
      <w:r w:rsidRPr="0009763F">
        <w:rPr>
          <w:rFonts w:cs="Arial"/>
          <w:color w:val="0070C0"/>
          <w:sz w:val="20"/>
        </w:rPr>
        <w:tab/>
        <w:t xml:space="preserve">in case a person is a filer, 7% of the gross amount payable and 12% if the person is a non-filer.”;]  </w:t>
      </w:r>
    </w:p>
    <w:p w:rsidR="00AB1A87" w:rsidRPr="0009763F" w:rsidRDefault="00AB1A87" w:rsidP="008352FE">
      <w:pPr>
        <w:pStyle w:val="ListParagraph"/>
        <w:autoSpaceDE w:val="0"/>
        <w:autoSpaceDN w:val="0"/>
        <w:adjustRightInd w:val="0"/>
        <w:ind w:left="1620" w:hanging="540"/>
        <w:jc w:val="both"/>
        <w:rPr>
          <w:rFonts w:cs="Arial"/>
          <w:color w:val="0070C0"/>
          <w:sz w:val="12"/>
          <w:lang w:val="en-US"/>
        </w:rPr>
      </w:pPr>
    </w:p>
    <w:p w:rsidR="00216F3C" w:rsidRPr="0009763F" w:rsidRDefault="00AB1A87" w:rsidP="00216F3C">
      <w:pPr>
        <w:pStyle w:val="ListParagraph"/>
        <w:rPr>
          <w:color w:val="0070C0"/>
          <w:sz w:val="20"/>
        </w:rPr>
      </w:pPr>
      <w:r w:rsidRPr="0009763F">
        <w:rPr>
          <w:color w:val="0070C0"/>
          <w:sz w:val="20"/>
        </w:rPr>
        <w:tab/>
      </w:r>
      <w:r w:rsidRPr="0009763F">
        <w:rPr>
          <w:rStyle w:val="FootnoteReference"/>
          <w:color w:val="0070C0"/>
          <w:sz w:val="20"/>
        </w:rPr>
        <w:footnoteReference w:id="1653"/>
      </w:r>
      <w:r w:rsidRPr="0009763F">
        <w:rPr>
          <w:color w:val="0070C0"/>
          <w:sz w:val="20"/>
        </w:rPr>
        <w:t>[    ]</w:t>
      </w:r>
    </w:p>
    <w:p w:rsidR="00AA4BF8" w:rsidRPr="00412620" w:rsidRDefault="00AA4BF8" w:rsidP="00AA4BF8">
      <w:pPr>
        <w:pStyle w:val="Heading8"/>
        <w:rPr>
          <w:i w:val="0"/>
          <w:iCs/>
          <w:sz w:val="28"/>
          <w:szCs w:val="28"/>
        </w:rPr>
      </w:pPr>
      <w:r w:rsidRPr="00412620">
        <w:rPr>
          <w:i w:val="0"/>
          <w:sz w:val="28"/>
          <w:szCs w:val="28"/>
        </w:rPr>
        <w:t>Division III</w:t>
      </w:r>
    </w:p>
    <w:p w:rsidR="00AA4BF8" w:rsidRPr="00412620" w:rsidRDefault="00AA4BF8" w:rsidP="00AA4BF8">
      <w:pPr>
        <w:keepNext/>
        <w:jc w:val="center"/>
        <w:rPr>
          <w:b/>
          <w:bCs/>
          <w:sz w:val="20"/>
        </w:rPr>
      </w:pPr>
      <w:r w:rsidRPr="00412620">
        <w:rPr>
          <w:b/>
          <w:bCs/>
          <w:sz w:val="20"/>
        </w:rPr>
        <w:t>Payments for Goods or Services</w:t>
      </w:r>
    </w:p>
    <w:p w:rsidR="00AA4BF8" w:rsidRPr="00412620" w:rsidRDefault="00AA4BF8" w:rsidP="00AA4BF8">
      <w:pPr>
        <w:keepNext/>
        <w:rPr>
          <w:b/>
          <w:bCs/>
          <w:i/>
          <w:iCs/>
        </w:rPr>
      </w:pPr>
    </w:p>
    <w:p w:rsidR="00AA4BF8" w:rsidRDefault="00AA4BF8" w:rsidP="00AA4BF8">
      <w:pPr>
        <w:pStyle w:val="BodyText3"/>
        <w:widowControl/>
        <w:rPr>
          <w:rFonts w:ascii="Arial" w:hAnsi="Arial" w:cs="Arial"/>
          <w:sz w:val="20"/>
          <w:lang w:val="en-AU"/>
        </w:rPr>
      </w:pPr>
      <w:r w:rsidRPr="00412620">
        <w:rPr>
          <w:sz w:val="20"/>
          <w:lang w:val="en-AU"/>
        </w:rPr>
        <w:tab/>
        <w:t>(</w:t>
      </w:r>
      <w:r w:rsidRPr="00A86A37">
        <w:rPr>
          <w:rFonts w:ascii="Arial" w:hAnsi="Arial" w:cs="Arial"/>
          <w:sz w:val="20"/>
          <w:lang w:val="en-AU"/>
        </w:rPr>
        <w:t>1)</w:t>
      </w:r>
      <w:r w:rsidRPr="00A86A37">
        <w:rPr>
          <w:rFonts w:ascii="Arial" w:hAnsi="Arial" w:cs="Arial"/>
          <w:sz w:val="20"/>
          <w:lang w:val="en-AU"/>
        </w:rPr>
        <w:tab/>
        <w:t>The rate of tax to be deducted from a payment referred to in clause (a) of sub-section (1) of section 153 shall be –</w:t>
      </w:r>
    </w:p>
    <w:p w:rsidR="009B4BB0" w:rsidRPr="00A86A37" w:rsidRDefault="009B4BB0" w:rsidP="00AA4BF8">
      <w:pPr>
        <w:pStyle w:val="BodyText3"/>
        <w:widowControl/>
        <w:rPr>
          <w:rFonts w:ascii="Arial" w:hAnsi="Arial" w:cs="Arial"/>
          <w:sz w:val="20"/>
          <w:lang w:val="en-AU"/>
        </w:rPr>
      </w:pPr>
    </w:p>
    <w:p w:rsidR="00AA4BF8" w:rsidRDefault="00AA4BF8" w:rsidP="000271E2">
      <w:pPr>
        <w:ind w:left="1620" w:hanging="540"/>
        <w:jc w:val="both"/>
        <w:rPr>
          <w:sz w:val="20"/>
        </w:rPr>
      </w:pPr>
      <w:r w:rsidRPr="00412620">
        <w:rPr>
          <w:sz w:val="20"/>
        </w:rPr>
        <w:t>(a)</w:t>
      </w:r>
      <w:r w:rsidRPr="00412620">
        <w:rPr>
          <w:sz w:val="20"/>
        </w:rPr>
        <w:tab/>
        <w:t xml:space="preserve">in the case of the sale of rice, </w:t>
      </w:r>
      <w:r w:rsidRPr="00412620">
        <w:rPr>
          <w:rStyle w:val="FootnoteReference"/>
          <w:rFonts w:cs="Arial"/>
          <w:sz w:val="20"/>
        </w:rPr>
        <w:footnoteReference w:id="1654"/>
      </w:r>
      <w:r w:rsidRPr="00412620">
        <w:rPr>
          <w:sz w:val="20"/>
        </w:rPr>
        <w:t xml:space="preserve">[  ], cotton seed or edible oils, </w:t>
      </w:r>
      <w:r w:rsidRPr="00412620">
        <w:rPr>
          <w:rStyle w:val="FootnoteReference"/>
          <w:rFonts w:cs="Arial"/>
          <w:sz w:val="20"/>
        </w:rPr>
        <w:footnoteReference w:id="1655"/>
      </w:r>
      <w:r w:rsidRPr="00412620">
        <w:rPr>
          <w:sz w:val="20"/>
        </w:rPr>
        <w:t>[1.5]% of the gross amount payable; or</w:t>
      </w:r>
    </w:p>
    <w:p w:rsidR="009B4BB0" w:rsidRDefault="009B4BB0" w:rsidP="000271E2">
      <w:pPr>
        <w:ind w:left="1620" w:hanging="540"/>
        <w:jc w:val="both"/>
      </w:pPr>
    </w:p>
    <w:p w:rsidR="009B4BB0" w:rsidRPr="0009763F" w:rsidRDefault="009B4BB0" w:rsidP="000271E2">
      <w:pPr>
        <w:ind w:left="1620" w:hanging="540"/>
        <w:jc w:val="both"/>
        <w:rPr>
          <w:color w:val="0070C0"/>
        </w:rPr>
      </w:pPr>
      <w:r w:rsidRPr="0009763F">
        <w:rPr>
          <w:rStyle w:val="FootnoteReference"/>
          <w:rFonts w:cs="Arial"/>
          <w:color w:val="0070C0"/>
          <w:sz w:val="20"/>
        </w:rPr>
        <w:footnoteReference w:id="1656"/>
      </w:r>
      <w:r w:rsidRPr="0009763F">
        <w:rPr>
          <w:rFonts w:cs="Arial"/>
          <w:color w:val="0070C0"/>
          <w:sz w:val="20"/>
        </w:rPr>
        <w:t>[“(ab)</w:t>
      </w:r>
      <w:r w:rsidRPr="0009763F">
        <w:rPr>
          <w:rFonts w:cs="Arial"/>
          <w:color w:val="0070C0"/>
          <w:sz w:val="20"/>
        </w:rPr>
        <w:tab/>
        <w:t>in the case of the supplies made by the distributors of fast moving consumer goods, 3% of the gross amount payable, if the supplier is a company and 3.5% if the supplier is other than a company.”]</w:t>
      </w:r>
    </w:p>
    <w:p w:rsidR="009B4BB0" w:rsidRPr="00412620" w:rsidRDefault="009B4BB0" w:rsidP="000271E2">
      <w:pPr>
        <w:ind w:left="1620" w:hanging="540"/>
        <w:jc w:val="both"/>
      </w:pPr>
    </w:p>
    <w:p w:rsidR="00AA4BF8" w:rsidRPr="00412620" w:rsidRDefault="00AA4BF8" w:rsidP="00AA4BF8">
      <w:pPr>
        <w:jc w:val="both"/>
        <w:rPr>
          <w:sz w:val="20"/>
        </w:rPr>
      </w:pPr>
      <w:r w:rsidRPr="00412620">
        <w:rPr>
          <w:sz w:val="20"/>
        </w:rPr>
        <w:tab/>
      </w:r>
      <w:r w:rsidRPr="00412620">
        <w:rPr>
          <w:sz w:val="20"/>
        </w:rPr>
        <w:tab/>
        <w:t xml:space="preserve">(b) </w:t>
      </w:r>
      <w:r w:rsidRPr="00412620">
        <w:rPr>
          <w:sz w:val="20"/>
        </w:rPr>
        <w:tab/>
        <w:t>in the case of sale of goods,—</w:t>
      </w:r>
    </w:p>
    <w:p w:rsidR="00AA4BF8" w:rsidRPr="00412620" w:rsidRDefault="00AA4BF8" w:rsidP="00AA4BF8">
      <w:pPr>
        <w:jc w:val="both"/>
        <w:rPr>
          <w:sz w:val="20"/>
        </w:rPr>
      </w:pPr>
    </w:p>
    <w:p w:rsidR="000271E2" w:rsidRPr="00F76B61" w:rsidRDefault="000271E2" w:rsidP="000271E2">
      <w:pPr>
        <w:autoSpaceDE w:val="0"/>
        <w:autoSpaceDN w:val="0"/>
        <w:adjustRightInd w:val="0"/>
        <w:ind w:left="2188" w:hanging="547"/>
        <w:jc w:val="both"/>
        <w:rPr>
          <w:rFonts w:cs="Arial"/>
          <w:color w:val="000000" w:themeColor="text1"/>
          <w:sz w:val="20"/>
          <w:lang w:val="en-US"/>
        </w:rPr>
      </w:pPr>
      <w:r w:rsidRPr="00F76B61">
        <w:rPr>
          <w:rStyle w:val="FootnoteReference"/>
          <w:rFonts w:cs="Arial"/>
          <w:color w:val="000000" w:themeColor="text1"/>
          <w:sz w:val="20"/>
          <w:lang w:val="en-US"/>
        </w:rPr>
        <w:footnoteReference w:id="1657"/>
      </w:r>
      <w:r w:rsidRPr="00F76B61">
        <w:rPr>
          <w:rFonts w:cs="Arial"/>
          <w:color w:val="000000" w:themeColor="text1"/>
          <w:sz w:val="20"/>
          <w:lang w:val="en-US"/>
        </w:rPr>
        <w:t>[“(i)</w:t>
      </w:r>
      <w:r w:rsidRPr="00F76B61">
        <w:rPr>
          <w:rFonts w:cs="Arial"/>
          <w:color w:val="000000" w:themeColor="text1"/>
          <w:sz w:val="20"/>
          <w:lang w:val="en-US"/>
        </w:rPr>
        <w:tab/>
        <w:t>in case of a company, 4% of the gross amount</w:t>
      </w:r>
      <w:r w:rsidR="001F6E96" w:rsidRPr="00F76B61">
        <w:rPr>
          <w:rFonts w:cs="Arial"/>
          <w:color w:val="000000" w:themeColor="text1"/>
          <w:sz w:val="20"/>
          <w:lang w:val="en-US"/>
        </w:rPr>
        <w:t xml:space="preserve"> </w:t>
      </w:r>
      <w:r w:rsidRPr="00F76B61">
        <w:rPr>
          <w:rFonts w:cs="Arial"/>
          <w:color w:val="000000" w:themeColor="text1"/>
          <w:sz w:val="20"/>
          <w:lang w:val="en-US"/>
        </w:rPr>
        <w:t>payable, if the company is a filer and 6% if the</w:t>
      </w:r>
      <w:r w:rsidR="001F6E96" w:rsidRPr="00F76B61">
        <w:rPr>
          <w:rFonts w:cs="Arial"/>
          <w:color w:val="000000" w:themeColor="text1"/>
          <w:sz w:val="20"/>
          <w:lang w:val="en-US"/>
        </w:rPr>
        <w:t xml:space="preserve"> </w:t>
      </w:r>
      <w:r w:rsidRPr="00F76B61">
        <w:rPr>
          <w:rFonts w:cs="Arial"/>
          <w:color w:val="000000" w:themeColor="text1"/>
          <w:sz w:val="20"/>
          <w:lang w:val="en-US"/>
        </w:rPr>
        <w:t>company is a non-filer; and</w:t>
      </w:r>
    </w:p>
    <w:p w:rsidR="000271E2" w:rsidRPr="00F76B61" w:rsidRDefault="000271E2" w:rsidP="000271E2">
      <w:pPr>
        <w:autoSpaceDE w:val="0"/>
        <w:autoSpaceDN w:val="0"/>
        <w:adjustRightInd w:val="0"/>
        <w:jc w:val="both"/>
        <w:rPr>
          <w:rFonts w:cs="Arial"/>
          <w:color w:val="000000" w:themeColor="text1"/>
          <w:sz w:val="20"/>
          <w:lang w:val="en-US"/>
        </w:rPr>
      </w:pPr>
    </w:p>
    <w:p w:rsidR="000271E2" w:rsidRPr="00F76B61" w:rsidRDefault="000271E2" w:rsidP="000271E2">
      <w:pPr>
        <w:pStyle w:val="ListParagraph"/>
        <w:numPr>
          <w:ilvl w:val="0"/>
          <w:numId w:val="41"/>
        </w:numPr>
        <w:autoSpaceDE w:val="0"/>
        <w:autoSpaceDN w:val="0"/>
        <w:adjustRightInd w:val="0"/>
        <w:ind w:left="2188" w:hanging="553"/>
        <w:jc w:val="both"/>
        <w:rPr>
          <w:color w:val="000000" w:themeColor="text1"/>
          <w:sz w:val="20"/>
        </w:rPr>
      </w:pPr>
      <w:r w:rsidRPr="00F76B61">
        <w:rPr>
          <w:rFonts w:cs="Arial"/>
          <w:color w:val="000000" w:themeColor="text1"/>
          <w:sz w:val="20"/>
          <w:lang w:val="en-US"/>
        </w:rPr>
        <w:t>in any other case, 4.5% of the gross amount payable, if the person is a filer and 6.5% if the person is a non-filer”;]</w:t>
      </w:r>
    </w:p>
    <w:p w:rsidR="000271E2" w:rsidRDefault="000271E2" w:rsidP="00AA4BF8">
      <w:pPr>
        <w:ind w:left="2188" w:hanging="553"/>
        <w:jc w:val="both"/>
        <w:rPr>
          <w:sz w:val="20"/>
        </w:rPr>
      </w:pPr>
    </w:p>
    <w:p w:rsidR="00AA4BF8" w:rsidRPr="00412620" w:rsidRDefault="00AA4BF8" w:rsidP="00AA4BF8">
      <w:pPr>
        <w:autoSpaceDE w:val="0"/>
        <w:autoSpaceDN w:val="0"/>
        <w:adjustRightInd w:val="0"/>
        <w:ind w:firstLine="547"/>
        <w:jc w:val="both"/>
        <w:rPr>
          <w:sz w:val="20"/>
        </w:rPr>
      </w:pPr>
      <w:r w:rsidRPr="00412620">
        <w:rPr>
          <w:rStyle w:val="FootnoteReference"/>
          <w:rFonts w:cs="Arial"/>
          <w:sz w:val="20"/>
        </w:rPr>
        <w:footnoteReference w:id="1658"/>
      </w:r>
      <w:r w:rsidRPr="00412620">
        <w:rPr>
          <w:sz w:val="20"/>
        </w:rPr>
        <w:t>[(2) The rate of tax to be deducted from a payment referred to in clause (b) of sub-section (1) of section 153 shall be —</w:t>
      </w:r>
    </w:p>
    <w:p w:rsidR="00AA4BF8" w:rsidRPr="00412620" w:rsidRDefault="00AA4BF8" w:rsidP="00AA4BF8">
      <w:pPr>
        <w:pStyle w:val="1"/>
        <w:spacing w:line="258" w:lineRule="atLeast"/>
        <w:rPr>
          <w:color w:val="auto"/>
          <w:sz w:val="20"/>
          <w:szCs w:val="20"/>
        </w:rPr>
      </w:pPr>
    </w:p>
    <w:p w:rsidR="00AA4BF8" w:rsidRPr="00412620" w:rsidRDefault="00AA4BF8" w:rsidP="00AA4BF8">
      <w:pPr>
        <w:autoSpaceDE w:val="0"/>
        <w:autoSpaceDN w:val="0"/>
        <w:adjustRightInd w:val="0"/>
        <w:ind w:left="1094" w:hanging="547"/>
        <w:jc w:val="both"/>
        <w:rPr>
          <w:sz w:val="20"/>
        </w:rPr>
      </w:pPr>
      <w:r w:rsidRPr="00412620">
        <w:rPr>
          <w:sz w:val="20"/>
        </w:rPr>
        <w:tab/>
        <w:t>(i)</w:t>
      </w:r>
      <w:r w:rsidRPr="00412620">
        <w:rPr>
          <w:sz w:val="20"/>
        </w:rPr>
        <w:tab/>
        <w:t xml:space="preserve">in the case of transport services, two </w:t>
      </w:r>
      <w:r>
        <w:rPr>
          <w:sz w:val="20"/>
        </w:rPr>
        <w:t>per cent</w:t>
      </w:r>
      <w:r w:rsidRPr="00412620">
        <w:rPr>
          <w:sz w:val="20"/>
        </w:rPr>
        <w:t xml:space="preserve"> of the gross </w:t>
      </w:r>
      <w:r w:rsidRPr="00412620">
        <w:rPr>
          <w:sz w:val="20"/>
        </w:rPr>
        <w:tab/>
        <w:t>amount payable; or</w:t>
      </w:r>
    </w:p>
    <w:p w:rsidR="00AA4BF8" w:rsidRPr="00412620" w:rsidRDefault="00AA4BF8" w:rsidP="00AA4BF8">
      <w:pPr>
        <w:pStyle w:val="BodyTextIndent"/>
        <w:jc w:val="both"/>
        <w:rPr>
          <w:sz w:val="20"/>
        </w:rPr>
      </w:pPr>
    </w:p>
    <w:p w:rsidR="00AA4BF8" w:rsidRPr="00412620" w:rsidRDefault="00AA4BF8" w:rsidP="00AA4BF8">
      <w:pPr>
        <w:pStyle w:val="BodyTextIndent"/>
        <w:jc w:val="both"/>
        <w:rPr>
          <w:sz w:val="20"/>
        </w:rPr>
      </w:pPr>
      <w:r w:rsidRPr="00412620">
        <w:rPr>
          <w:sz w:val="20"/>
        </w:rPr>
        <w:tab/>
      </w:r>
      <w:r w:rsidRPr="00412620">
        <w:rPr>
          <w:sz w:val="20"/>
        </w:rPr>
        <w:tab/>
        <w:t xml:space="preserve">(ii) </w:t>
      </w:r>
      <w:r w:rsidRPr="00412620">
        <w:rPr>
          <w:sz w:val="20"/>
        </w:rPr>
        <w:tab/>
        <w:t>in the case of rendering of or providing of services, —</w:t>
      </w:r>
    </w:p>
    <w:p w:rsidR="00AA4BF8" w:rsidRDefault="00941917" w:rsidP="00AA4BF8">
      <w:pPr>
        <w:pStyle w:val="BodyTextIndent"/>
        <w:jc w:val="both"/>
        <w:rPr>
          <w:sz w:val="20"/>
        </w:rPr>
      </w:pPr>
      <w:r>
        <w:rPr>
          <w:sz w:val="20"/>
        </w:rPr>
        <w:tab/>
      </w:r>
      <w:r>
        <w:rPr>
          <w:sz w:val="20"/>
        </w:rPr>
        <w:tab/>
      </w:r>
      <w:r>
        <w:rPr>
          <w:sz w:val="20"/>
        </w:rPr>
        <w:tab/>
      </w:r>
    </w:p>
    <w:p w:rsidR="00941917" w:rsidRPr="00F76B61" w:rsidRDefault="00941917" w:rsidP="00941917">
      <w:pPr>
        <w:autoSpaceDE w:val="0"/>
        <w:autoSpaceDN w:val="0"/>
        <w:adjustRightInd w:val="0"/>
        <w:ind w:left="2070" w:hanging="429"/>
        <w:jc w:val="both"/>
        <w:rPr>
          <w:rFonts w:cs="Arial"/>
          <w:color w:val="000000" w:themeColor="text1"/>
          <w:sz w:val="20"/>
          <w:lang w:val="en-US"/>
        </w:rPr>
      </w:pPr>
      <w:r w:rsidRPr="00F76B61">
        <w:rPr>
          <w:rStyle w:val="FootnoteReference"/>
          <w:color w:val="000000" w:themeColor="text1"/>
          <w:sz w:val="20"/>
        </w:rPr>
        <w:footnoteReference w:id="1659"/>
      </w:r>
      <w:r w:rsidRPr="00F76B61">
        <w:rPr>
          <w:color w:val="000000" w:themeColor="text1"/>
          <w:sz w:val="20"/>
        </w:rPr>
        <w:t>[“</w:t>
      </w:r>
      <w:r w:rsidRPr="00F76B61">
        <w:rPr>
          <w:rFonts w:cs="Arial"/>
          <w:color w:val="000000" w:themeColor="text1"/>
          <w:sz w:val="20"/>
          <w:lang w:val="en-US"/>
        </w:rPr>
        <w:t>(a) in case of a company, 8% of the gross amount payable,</w:t>
      </w:r>
      <w:r w:rsidR="001F6E96" w:rsidRPr="00F76B61">
        <w:rPr>
          <w:rFonts w:cs="Arial"/>
          <w:color w:val="000000" w:themeColor="text1"/>
          <w:sz w:val="20"/>
          <w:lang w:val="en-US"/>
        </w:rPr>
        <w:t xml:space="preserve"> </w:t>
      </w:r>
      <w:r w:rsidRPr="00F76B61">
        <w:rPr>
          <w:rFonts w:cs="Arial"/>
          <w:color w:val="000000" w:themeColor="text1"/>
          <w:sz w:val="20"/>
          <w:lang w:val="en-US"/>
        </w:rPr>
        <w:t>if the company is a filer and 12% if the company is anon-filer; and</w:t>
      </w:r>
    </w:p>
    <w:p w:rsidR="00941917" w:rsidRPr="00F76B61" w:rsidRDefault="00941917" w:rsidP="00941917">
      <w:pPr>
        <w:autoSpaceDE w:val="0"/>
        <w:autoSpaceDN w:val="0"/>
        <w:adjustRightInd w:val="0"/>
        <w:jc w:val="both"/>
        <w:rPr>
          <w:rFonts w:cs="Arial"/>
          <w:color w:val="000000" w:themeColor="text1"/>
          <w:sz w:val="20"/>
          <w:lang w:val="en-US"/>
        </w:rPr>
      </w:pPr>
    </w:p>
    <w:p w:rsidR="00941917" w:rsidRPr="00F76B61" w:rsidRDefault="00941917" w:rsidP="00941917">
      <w:pPr>
        <w:autoSpaceDE w:val="0"/>
        <w:autoSpaceDN w:val="0"/>
        <w:adjustRightInd w:val="0"/>
        <w:ind w:left="2070" w:hanging="360"/>
        <w:jc w:val="both"/>
        <w:rPr>
          <w:rFonts w:cs="Arial"/>
          <w:color w:val="000000" w:themeColor="text1"/>
          <w:sz w:val="20"/>
          <w:lang w:val="en-US"/>
        </w:rPr>
      </w:pPr>
      <w:r w:rsidRPr="00F76B61">
        <w:rPr>
          <w:rFonts w:cs="Arial"/>
          <w:color w:val="000000" w:themeColor="text1"/>
          <w:sz w:val="20"/>
          <w:lang w:val="en-US"/>
        </w:rPr>
        <w:t>(b)</w:t>
      </w:r>
      <w:r w:rsidRPr="00F76B61">
        <w:rPr>
          <w:rFonts w:cs="Arial"/>
          <w:color w:val="000000" w:themeColor="text1"/>
          <w:sz w:val="20"/>
          <w:lang w:val="en-US"/>
        </w:rPr>
        <w:tab/>
        <w:t>in any other case, 10% of the gross amount payable, ifthe person is a filer and 15% if the person is a non-filer;</w:t>
      </w:r>
    </w:p>
    <w:p w:rsidR="00941917" w:rsidRPr="00F76B61" w:rsidRDefault="00941917" w:rsidP="00941917">
      <w:pPr>
        <w:autoSpaceDE w:val="0"/>
        <w:autoSpaceDN w:val="0"/>
        <w:adjustRightInd w:val="0"/>
        <w:ind w:left="2070" w:hanging="360"/>
        <w:jc w:val="both"/>
        <w:rPr>
          <w:rFonts w:cs="Arial"/>
          <w:color w:val="000000" w:themeColor="text1"/>
          <w:sz w:val="20"/>
          <w:lang w:val="en-US"/>
        </w:rPr>
      </w:pPr>
    </w:p>
    <w:p w:rsidR="00941917" w:rsidRPr="00F76B61" w:rsidRDefault="00941917" w:rsidP="002C73AE">
      <w:pPr>
        <w:pStyle w:val="ListParagraph"/>
        <w:numPr>
          <w:ilvl w:val="0"/>
          <w:numId w:val="72"/>
        </w:numPr>
        <w:autoSpaceDE w:val="0"/>
        <w:autoSpaceDN w:val="0"/>
        <w:adjustRightInd w:val="0"/>
        <w:ind w:left="2070"/>
        <w:jc w:val="both"/>
        <w:rPr>
          <w:rFonts w:cs="Arial"/>
          <w:color w:val="000000" w:themeColor="text1"/>
          <w:sz w:val="20"/>
          <w:lang w:val="en-US"/>
        </w:rPr>
      </w:pPr>
      <w:r w:rsidRPr="00F76B61">
        <w:rPr>
          <w:rFonts w:cs="Arial"/>
          <w:color w:val="000000" w:themeColor="text1"/>
          <w:sz w:val="20"/>
          <w:lang w:val="en-US"/>
        </w:rPr>
        <w:t>in respect of persons making payments to electronic and print media for advertising services,—</w:t>
      </w:r>
    </w:p>
    <w:p w:rsidR="00941917" w:rsidRPr="00F76B61" w:rsidRDefault="00941917" w:rsidP="00941917">
      <w:pPr>
        <w:autoSpaceDE w:val="0"/>
        <w:autoSpaceDN w:val="0"/>
        <w:adjustRightInd w:val="0"/>
        <w:jc w:val="both"/>
        <w:rPr>
          <w:rFonts w:cs="Arial"/>
          <w:color w:val="000000" w:themeColor="text1"/>
          <w:sz w:val="20"/>
          <w:lang w:val="en-US"/>
        </w:rPr>
      </w:pPr>
    </w:p>
    <w:p w:rsidR="00941917" w:rsidRPr="00F76B61" w:rsidRDefault="00941917" w:rsidP="00B777A9">
      <w:pPr>
        <w:autoSpaceDE w:val="0"/>
        <w:autoSpaceDN w:val="0"/>
        <w:adjustRightInd w:val="0"/>
        <w:ind w:left="2340" w:hanging="270"/>
        <w:jc w:val="both"/>
        <w:rPr>
          <w:rFonts w:cs="Arial"/>
          <w:color w:val="000000" w:themeColor="text1"/>
          <w:sz w:val="20"/>
          <w:lang w:val="en-US"/>
        </w:rPr>
      </w:pPr>
      <w:r w:rsidRPr="00F76B61">
        <w:rPr>
          <w:rFonts w:cs="Arial"/>
          <w:color w:val="000000" w:themeColor="text1"/>
          <w:sz w:val="20"/>
          <w:lang w:val="en-US"/>
        </w:rPr>
        <w:t>(i) in case of a filer,</w:t>
      </w:r>
      <w:r w:rsidRPr="00941917">
        <w:rPr>
          <w:rFonts w:cs="Arial"/>
          <w:color w:val="984806" w:themeColor="accent6" w:themeShade="80"/>
          <w:sz w:val="20"/>
          <w:lang w:val="en-US"/>
        </w:rPr>
        <w:t xml:space="preserve"> </w:t>
      </w:r>
      <w:r w:rsidR="00B777A9" w:rsidRPr="0009763F">
        <w:rPr>
          <w:rStyle w:val="FootnoteReference"/>
          <w:rFonts w:cs="Arial"/>
          <w:color w:val="0070C0"/>
          <w:sz w:val="20"/>
          <w:lang w:val="en-US"/>
        </w:rPr>
        <w:footnoteReference w:id="1660"/>
      </w:r>
      <w:r w:rsidR="00B777A9" w:rsidRPr="0009763F">
        <w:rPr>
          <w:rFonts w:cs="Arial"/>
          <w:color w:val="0070C0"/>
          <w:sz w:val="20"/>
          <w:lang w:val="en-US"/>
        </w:rPr>
        <w:t>[</w:t>
      </w:r>
      <w:r w:rsidRPr="0009763F">
        <w:rPr>
          <w:rFonts w:cs="Arial"/>
          <w:color w:val="0070C0"/>
          <w:sz w:val="20"/>
          <w:lang w:val="en-US"/>
        </w:rPr>
        <w:t>1</w:t>
      </w:r>
      <w:r w:rsidR="00B777A9" w:rsidRPr="0009763F">
        <w:rPr>
          <w:rFonts w:cs="Arial"/>
          <w:color w:val="0070C0"/>
          <w:sz w:val="20"/>
          <w:lang w:val="en-US"/>
        </w:rPr>
        <w:t>.5%]</w:t>
      </w:r>
      <w:r w:rsidR="00B777A9">
        <w:rPr>
          <w:rFonts w:cs="Arial"/>
          <w:color w:val="984806" w:themeColor="accent6" w:themeShade="80"/>
          <w:sz w:val="20"/>
          <w:lang w:val="en-US"/>
        </w:rPr>
        <w:t xml:space="preserve"> </w:t>
      </w:r>
      <w:r w:rsidRPr="00F76B61">
        <w:rPr>
          <w:rFonts w:cs="Arial"/>
          <w:color w:val="000000" w:themeColor="text1"/>
          <w:sz w:val="20"/>
          <w:lang w:val="en-US"/>
        </w:rPr>
        <w:t>of the gross amount</w:t>
      </w:r>
      <w:r w:rsidR="00F077EC" w:rsidRPr="00F76B61">
        <w:rPr>
          <w:rFonts w:cs="Arial"/>
          <w:color w:val="000000" w:themeColor="text1"/>
          <w:sz w:val="20"/>
          <w:lang w:val="en-US"/>
        </w:rPr>
        <w:t xml:space="preserve"> </w:t>
      </w:r>
      <w:r w:rsidRPr="00F76B61">
        <w:rPr>
          <w:rFonts w:cs="Arial"/>
          <w:color w:val="000000" w:themeColor="text1"/>
          <w:sz w:val="20"/>
          <w:lang w:val="en-US"/>
        </w:rPr>
        <w:t>payable; and</w:t>
      </w:r>
    </w:p>
    <w:p w:rsidR="00941917" w:rsidRPr="00F76B61" w:rsidRDefault="00941917" w:rsidP="00941917">
      <w:pPr>
        <w:autoSpaceDE w:val="0"/>
        <w:autoSpaceDN w:val="0"/>
        <w:adjustRightInd w:val="0"/>
        <w:ind w:left="1523" w:firstLine="547"/>
        <w:jc w:val="both"/>
        <w:rPr>
          <w:rFonts w:cs="Arial"/>
          <w:color w:val="000000" w:themeColor="text1"/>
          <w:sz w:val="20"/>
          <w:lang w:val="en-US"/>
        </w:rPr>
      </w:pPr>
    </w:p>
    <w:p w:rsidR="00941917" w:rsidRPr="00F76B61" w:rsidRDefault="00941917" w:rsidP="00941917">
      <w:pPr>
        <w:autoSpaceDE w:val="0"/>
        <w:autoSpaceDN w:val="0"/>
        <w:adjustRightInd w:val="0"/>
        <w:ind w:left="2340" w:hanging="270"/>
        <w:jc w:val="both"/>
        <w:rPr>
          <w:color w:val="000000" w:themeColor="text1"/>
          <w:sz w:val="20"/>
        </w:rPr>
      </w:pPr>
      <w:r w:rsidRPr="00F76B61">
        <w:rPr>
          <w:rFonts w:cs="Arial"/>
          <w:color w:val="000000" w:themeColor="text1"/>
          <w:sz w:val="20"/>
          <w:lang w:val="en-US"/>
        </w:rPr>
        <w:t>(ii)</w:t>
      </w:r>
      <w:r w:rsidRPr="00F76B61">
        <w:rPr>
          <w:rFonts w:cs="Arial"/>
          <w:color w:val="000000" w:themeColor="text1"/>
          <w:sz w:val="20"/>
          <w:lang w:val="en-US"/>
        </w:rPr>
        <w:tab/>
        <w:t>in case of a non-filer, 12% of the gross amount</w:t>
      </w:r>
      <w:r w:rsidR="00F077EC" w:rsidRPr="00F76B61">
        <w:rPr>
          <w:rFonts w:cs="Arial"/>
          <w:color w:val="000000" w:themeColor="text1"/>
          <w:sz w:val="20"/>
          <w:lang w:val="en-US"/>
        </w:rPr>
        <w:t xml:space="preserve"> </w:t>
      </w:r>
      <w:r w:rsidRPr="00F76B61">
        <w:rPr>
          <w:rFonts w:cs="Arial"/>
          <w:color w:val="000000" w:themeColor="text1"/>
          <w:sz w:val="20"/>
          <w:lang w:val="en-US"/>
        </w:rPr>
        <w:t>payable, if the non-filer is a company and 15% if</w:t>
      </w:r>
      <w:r w:rsidR="00F077EC" w:rsidRPr="00F76B61">
        <w:rPr>
          <w:rFonts w:cs="Arial"/>
          <w:color w:val="000000" w:themeColor="text1"/>
          <w:sz w:val="20"/>
          <w:lang w:val="en-US"/>
        </w:rPr>
        <w:t xml:space="preserve"> </w:t>
      </w:r>
      <w:r w:rsidRPr="00F76B61">
        <w:rPr>
          <w:rFonts w:cs="Arial"/>
          <w:color w:val="000000" w:themeColor="text1"/>
          <w:sz w:val="20"/>
          <w:lang w:val="en-US"/>
        </w:rPr>
        <w:t>the non-filer is other than a company;”;]</w:t>
      </w:r>
    </w:p>
    <w:p w:rsidR="00941917" w:rsidRDefault="00AA4BF8" w:rsidP="00AA4BF8">
      <w:pPr>
        <w:pStyle w:val="BodyTextIndent"/>
        <w:jc w:val="both"/>
        <w:rPr>
          <w:sz w:val="20"/>
        </w:rPr>
      </w:pPr>
      <w:r>
        <w:rPr>
          <w:sz w:val="20"/>
        </w:rPr>
        <w:lastRenderedPageBreak/>
        <w:tab/>
      </w:r>
      <w:r>
        <w:rPr>
          <w:sz w:val="20"/>
        </w:rPr>
        <w:tab/>
      </w:r>
      <w:r>
        <w:rPr>
          <w:sz w:val="20"/>
        </w:rPr>
        <w:tab/>
      </w:r>
    </w:p>
    <w:p w:rsidR="00AA4BF8" w:rsidRPr="00412620" w:rsidRDefault="00C81BA1" w:rsidP="00AA4BF8">
      <w:pPr>
        <w:pStyle w:val="BodyTextIndent"/>
        <w:jc w:val="both"/>
        <w:rPr>
          <w:sz w:val="20"/>
        </w:rPr>
      </w:pPr>
      <w:r>
        <w:rPr>
          <w:sz w:val="20"/>
        </w:rPr>
        <w:t>.</w:t>
      </w:r>
    </w:p>
    <w:p w:rsidR="00AA4BF8" w:rsidRPr="00412620" w:rsidRDefault="00AA4BF8" w:rsidP="00AA4BF8">
      <w:pPr>
        <w:pStyle w:val="BodyTextIndent"/>
        <w:jc w:val="both"/>
        <w:rPr>
          <w:sz w:val="20"/>
        </w:rPr>
      </w:pPr>
    </w:p>
    <w:p w:rsidR="00AA4BF8" w:rsidRPr="00412620" w:rsidRDefault="00AA4BF8" w:rsidP="00AA4BF8">
      <w:pPr>
        <w:pStyle w:val="Header"/>
        <w:tabs>
          <w:tab w:val="left" w:pos="547"/>
        </w:tabs>
        <w:jc w:val="both"/>
        <w:rPr>
          <w:sz w:val="20"/>
        </w:rPr>
      </w:pPr>
      <w:r w:rsidRPr="00412620">
        <w:rPr>
          <w:sz w:val="20"/>
        </w:rPr>
        <w:tab/>
      </w:r>
      <w:r w:rsidRPr="0069253C">
        <w:rPr>
          <w:sz w:val="20"/>
        </w:rPr>
        <w:t xml:space="preserve">(3) </w:t>
      </w:r>
      <w:r w:rsidRPr="0069253C">
        <w:rPr>
          <w:sz w:val="20"/>
        </w:rPr>
        <w:tab/>
      </w:r>
      <w:r w:rsidRPr="00412620">
        <w:rPr>
          <w:sz w:val="20"/>
        </w:rPr>
        <w:t xml:space="preserve">The rate of tax to be deducted from a payment referred to in clause (c) of sub-section (1) of section 153 shall be </w:t>
      </w:r>
      <w:r w:rsidRPr="00412620">
        <w:rPr>
          <w:rStyle w:val="FootnoteReference"/>
          <w:rFonts w:cs="Arial"/>
          <w:sz w:val="20"/>
        </w:rPr>
        <w:footnoteReference w:id="1661"/>
      </w:r>
      <w:r w:rsidRPr="00412620">
        <w:rPr>
          <w:sz w:val="20"/>
        </w:rPr>
        <w:t>[ ] - ]</w:t>
      </w:r>
    </w:p>
    <w:p w:rsidR="00AA4BF8" w:rsidRPr="00412620" w:rsidRDefault="00AA4BF8" w:rsidP="00AA4BF8">
      <w:pPr>
        <w:pStyle w:val="BodyTextIndent"/>
        <w:jc w:val="both"/>
        <w:rPr>
          <w:sz w:val="20"/>
        </w:rPr>
      </w:pPr>
    </w:p>
    <w:p w:rsidR="00B34B79" w:rsidRPr="00F76B61" w:rsidRDefault="00AA4BF8" w:rsidP="00B34B79">
      <w:pPr>
        <w:autoSpaceDE w:val="0"/>
        <w:autoSpaceDN w:val="0"/>
        <w:adjustRightInd w:val="0"/>
        <w:jc w:val="both"/>
        <w:rPr>
          <w:rFonts w:cs="Arial"/>
          <w:color w:val="000000" w:themeColor="text1"/>
          <w:sz w:val="20"/>
          <w:lang w:val="en-US"/>
        </w:rPr>
      </w:pPr>
      <w:r w:rsidRPr="00412620">
        <w:rPr>
          <w:sz w:val="20"/>
        </w:rPr>
        <w:tab/>
      </w:r>
      <w:r w:rsidRPr="00412620">
        <w:rPr>
          <w:sz w:val="20"/>
        </w:rPr>
        <w:tab/>
      </w:r>
      <w:r w:rsidR="0060588B" w:rsidRPr="00F76B61">
        <w:rPr>
          <w:rStyle w:val="FootnoteReference"/>
          <w:color w:val="000000" w:themeColor="text1"/>
          <w:sz w:val="20"/>
        </w:rPr>
        <w:footnoteReference w:id="1662"/>
      </w:r>
      <w:r w:rsidR="00B34B79" w:rsidRPr="00F76B61">
        <w:rPr>
          <w:color w:val="000000" w:themeColor="text1"/>
          <w:sz w:val="20"/>
        </w:rPr>
        <w:t>[“</w:t>
      </w:r>
      <w:r w:rsidR="00B34B79" w:rsidRPr="00F76B61">
        <w:rPr>
          <w:rFonts w:cs="Arial"/>
          <w:color w:val="000000" w:themeColor="text1"/>
          <w:sz w:val="20"/>
          <w:lang w:val="en-US"/>
        </w:rPr>
        <w:t>(i) 10% of the gross amount payable in case of</w:t>
      </w:r>
      <w:r w:rsidR="00F077EC" w:rsidRPr="00F76B61">
        <w:rPr>
          <w:rFonts w:cs="Arial"/>
          <w:color w:val="000000" w:themeColor="text1"/>
          <w:sz w:val="20"/>
          <w:lang w:val="en-US"/>
        </w:rPr>
        <w:t xml:space="preserve"> </w:t>
      </w:r>
      <w:r w:rsidR="00B34B79" w:rsidRPr="00F76B61">
        <w:rPr>
          <w:rFonts w:cs="Arial"/>
          <w:color w:val="000000" w:themeColor="text1"/>
          <w:sz w:val="20"/>
          <w:lang w:val="en-US"/>
        </w:rPr>
        <w:t>sportspersons;</w:t>
      </w:r>
    </w:p>
    <w:p w:rsidR="00B34B79" w:rsidRPr="00F76B61" w:rsidRDefault="00B34B79" w:rsidP="00B34B79">
      <w:pPr>
        <w:autoSpaceDE w:val="0"/>
        <w:autoSpaceDN w:val="0"/>
        <w:adjustRightInd w:val="0"/>
        <w:jc w:val="both"/>
        <w:rPr>
          <w:rFonts w:cs="Arial"/>
          <w:color w:val="000000" w:themeColor="text1"/>
          <w:sz w:val="20"/>
          <w:lang w:val="en-US"/>
        </w:rPr>
      </w:pPr>
    </w:p>
    <w:p w:rsidR="00B34B79" w:rsidRPr="00F76B61" w:rsidRDefault="00B34B79" w:rsidP="00B34B79">
      <w:pPr>
        <w:autoSpaceDE w:val="0"/>
        <w:autoSpaceDN w:val="0"/>
        <w:adjustRightInd w:val="0"/>
        <w:ind w:left="1440" w:hanging="270"/>
        <w:jc w:val="both"/>
        <w:rPr>
          <w:rFonts w:cs="Arial"/>
          <w:color w:val="000000" w:themeColor="text1"/>
          <w:sz w:val="20"/>
          <w:lang w:val="en-US"/>
        </w:rPr>
      </w:pPr>
      <w:r w:rsidRPr="00F76B61">
        <w:rPr>
          <w:rFonts w:cs="Arial"/>
          <w:color w:val="000000" w:themeColor="text1"/>
          <w:sz w:val="20"/>
          <w:lang w:val="en-US"/>
        </w:rPr>
        <w:t>(ii) in case of a company, 7% of the gross amount</w:t>
      </w:r>
      <w:r w:rsidR="00F077EC" w:rsidRPr="00F76B61">
        <w:rPr>
          <w:rFonts w:cs="Arial"/>
          <w:color w:val="000000" w:themeColor="text1"/>
          <w:sz w:val="20"/>
          <w:lang w:val="en-US"/>
        </w:rPr>
        <w:t xml:space="preserve"> </w:t>
      </w:r>
      <w:r w:rsidRPr="00F76B61">
        <w:rPr>
          <w:rFonts w:cs="Arial"/>
          <w:color w:val="000000" w:themeColor="text1"/>
          <w:sz w:val="20"/>
          <w:lang w:val="en-US"/>
        </w:rPr>
        <w:t>payable, if the company is a filer and 10% if the</w:t>
      </w:r>
      <w:r w:rsidR="00F077EC" w:rsidRPr="00F76B61">
        <w:rPr>
          <w:rFonts w:cs="Arial"/>
          <w:color w:val="000000" w:themeColor="text1"/>
          <w:sz w:val="20"/>
          <w:lang w:val="en-US"/>
        </w:rPr>
        <w:t xml:space="preserve"> </w:t>
      </w:r>
      <w:r w:rsidRPr="00F76B61">
        <w:rPr>
          <w:rFonts w:cs="Arial"/>
          <w:color w:val="000000" w:themeColor="text1"/>
          <w:sz w:val="20"/>
          <w:lang w:val="en-US"/>
        </w:rPr>
        <w:t>company is a non-filer; and</w:t>
      </w:r>
    </w:p>
    <w:p w:rsidR="00B34B79" w:rsidRPr="00F76B61" w:rsidRDefault="00B34B79" w:rsidP="00B34B79">
      <w:pPr>
        <w:autoSpaceDE w:val="0"/>
        <w:autoSpaceDN w:val="0"/>
        <w:adjustRightInd w:val="0"/>
        <w:ind w:left="1440" w:hanging="270"/>
        <w:jc w:val="both"/>
        <w:rPr>
          <w:rFonts w:cs="Arial"/>
          <w:color w:val="000000" w:themeColor="text1"/>
          <w:sz w:val="20"/>
          <w:lang w:val="en-US"/>
        </w:rPr>
      </w:pPr>
    </w:p>
    <w:p w:rsidR="00B34B79" w:rsidRPr="00F76B61" w:rsidRDefault="00B34B79" w:rsidP="00B34B79">
      <w:pPr>
        <w:autoSpaceDE w:val="0"/>
        <w:autoSpaceDN w:val="0"/>
        <w:adjustRightInd w:val="0"/>
        <w:ind w:left="1440" w:hanging="270"/>
        <w:jc w:val="both"/>
        <w:rPr>
          <w:color w:val="000000" w:themeColor="text1"/>
          <w:sz w:val="20"/>
        </w:rPr>
      </w:pPr>
      <w:r w:rsidRPr="00F76B61">
        <w:rPr>
          <w:rFonts w:cs="Arial"/>
          <w:color w:val="000000" w:themeColor="text1"/>
          <w:sz w:val="20"/>
          <w:lang w:val="en-US"/>
        </w:rPr>
        <w:t>(iii) in any other case, 7.5% of the gross amount payable,</w:t>
      </w:r>
      <w:r w:rsidR="00F077EC" w:rsidRPr="00F76B61">
        <w:rPr>
          <w:rFonts w:cs="Arial"/>
          <w:color w:val="000000" w:themeColor="text1"/>
          <w:sz w:val="20"/>
          <w:lang w:val="en-US"/>
        </w:rPr>
        <w:t xml:space="preserve"> </w:t>
      </w:r>
      <w:r w:rsidRPr="00F76B61">
        <w:rPr>
          <w:rFonts w:cs="Arial"/>
          <w:color w:val="000000" w:themeColor="text1"/>
          <w:sz w:val="20"/>
          <w:lang w:val="en-US"/>
        </w:rPr>
        <w:t>if the person is a filer and 10% if the person is a non</w:t>
      </w:r>
      <w:r w:rsidR="0060588B" w:rsidRPr="00F76B61">
        <w:rPr>
          <w:rFonts w:cs="Arial"/>
          <w:color w:val="000000" w:themeColor="text1"/>
          <w:sz w:val="20"/>
          <w:lang w:val="en-US"/>
        </w:rPr>
        <w:t>-</w:t>
      </w:r>
      <w:r w:rsidRPr="00F76B61">
        <w:rPr>
          <w:rFonts w:cs="Arial"/>
          <w:color w:val="000000" w:themeColor="text1"/>
          <w:sz w:val="20"/>
          <w:lang w:val="en-US"/>
        </w:rPr>
        <w:t>filer.”</w:t>
      </w:r>
      <w:r w:rsidR="0060588B" w:rsidRPr="00F76B61">
        <w:rPr>
          <w:rFonts w:cs="Arial"/>
          <w:color w:val="000000" w:themeColor="text1"/>
          <w:sz w:val="20"/>
          <w:lang w:val="en-US"/>
        </w:rPr>
        <w:t>]</w:t>
      </w:r>
    </w:p>
    <w:p w:rsidR="00B34B79" w:rsidRDefault="00B34B79" w:rsidP="00AA4BF8">
      <w:pPr>
        <w:pStyle w:val="BodyTextIndent"/>
        <w:ind w:left="0" w:firstLine="0"/>
        <w:jc w:val="both"/>
        <w:rPr>
          <w:sz w:val="20"/>
        </w:rPr>
      </w:pPr>
    </w:p>
    <w:p w:rsidR="00AA4BF8" w:rsidRPr="00412620" w:rsidRDefault="00AA4BF8" w:rsidP="00AA4BF8">
      <w:pPr>
        <w:pStyle w:val="Header"/>
        <w:tabs>
          <w:tab w:val="left" w:pos="547"/>
        </w:tabs>
        <w:jc w:val="both"/>
      </w:pPr>
      <w:r w:rsidRPr="00412620">
        <w:tab/>
      </w:r>
      <w:r w:rsidRPr="00412620">
        <w:rPr>
          <w:rStyle w:val="FootnoteReference"/>
          <w:rFonts w:cs="Arial"/>
        </w:rPr>
        <w:footnoteReference w:id="1663"/>
      </w:r>
      <w:r w:rsidRPr="00412620">
        <w:t>[  ]</w:t>
      </w:r>
    </w:p>
    <w:p w:rsidR="00AA4BF8" w:rsidRPr="00412620" w:rsidRDefault="00AA4BF8" w:rsidP="00AA4BF8">
      <w:pPr>
        <w:spacing w:before="120" w:after="120"/>
        <w:jc w:val="center"/>
        <w:rPr>
          <w:sz w:val="20"/>
        </w:rPr>
      </w:pPr>
      <w:r w:rsidRPr="00412620">
        <w:rPr>
          <w:rStyle w:val="FootnoteReference"/>
          <w:rFonts w:cs="Arial"/>
          <w:sz w:val="20"/>
        </w:rPr>
        <w:footnoteReference w:id="1664"/>
      </w:r>
      <w:r w:rsidRPr="00412620">
        <w:rPr>
          <w:sz w:val="20"/>
        </w:rPr>
        <w:t>[  ]</w:t>
      </w:r>
    </w:p>
    <w:p w:rsidR="00AA4BF8" w:rsidRPr="00A86A37" w:rsidRDefault="00AA4BF8" w:rsidP="00AA4BF8">
      <w:pPr>
        <w:pStyle w:val="Header"/>
        <w:tabs>
          <w:tab w:val="left" w:pos="547"/>
        </w:tabs>
        <w:jc w:val="both"/>
        <w:rPr>
          <w:sz w:val="12"/>
        </w:rPr>
      </w:pPr>
    </w:p>
    <w:p w:rsidR="00AA4BF8" w:rsidRPr="00412620" w:rsidRDefault="00AA4BF8" w:rsidP="00AA4BF8">
      <w:pPr>
        <w:pStyle w:val="Heading2"/>
        <w:spacing w:line="240" w:lineRule="auto"/>
        <w:rPr>
          <w:sz w:val="28"/>
          <w:szCs w:val="28"/>
        </w:rPr>
      </w:pPr>
      <w:r w:rsidRPr="00412620">
        <w:rPr>
          <w:sz w:val="28"/>
          <w:szCs w:val="28"/>
        </w:rPr>
        <w:t xml:space="preserve">Division IV </w:t>
      </w:r>
    </w:p>
    <w:p w:rsidR="00AA4BF8" w:rsidRPr="00412620" w:rsidRDefault="00AA4BF8" w:rsidP="00AA4BF8">
      <w:pPr>
        <w:pStyle w:val="Heading2"/>
        <w:spacing w:line="240" w:lineRule="auto"/>
        <w:rPr>
          <w:sz w:val="20"/>
        </w:rPr>
      </w:pPr>
      <w:r w:rsidRPr="00412620">
        <w:rPr>
          <w:sz w:val="20"/>
        </w:rPr>
        <w:t>Exports</w:t>
      </w:r>
    </w:p>
    <w:p w:rsidR="00AA4BF8" w:rsidRPr="00A86A37" w:rsidRDefault="00AA4BF8" w:rsidP="00AA4BF8">
      <w:pPr>
        <w:pStyle w:val="Heading2"/>
        <w:spacing w:line="240" w:lineRule="auto"/>
        <w:jc w:val="left"/>
        <w:rPr>
          <w:sz w:val="12"/>
        </w:rPr>
      </w:pPr>
    </w:p>
    <w:p w:rsidR="00AA4BF8" w:rsidRPr="00412620" w:rsidRDefault="00AA4BF8" w:rsidP="00AA4BF8">
      <w:pPr>
        <w:ind w:firstLine="547"/>
      </w:pPr>
      <w:r w:rsidRPr="00412620">
        <w:rPr>
          <w:rStyle w:val="FootnoteReference"/>
          <w:rFonts w:cs="Arial"/>
          <w:sz w:val="20"/>
        </w:rPr>
        <w:footnoteReference w:id="1665"/>
      </w:r>
      <w:r w:rsidRPr="00412620">
        <w:rPr>
          <w:sz w:val="20"/>
        </w:rPr>
        <w:t>[(1)</w:t>
      </w:r>
      <w:r w:rsidRPr="00412620">
        <w:rPr>
          <w:sz w:val="20"/>
        </w:rPr>
        <w:tab/>
        <w:t>The rate of tax to be deducted under sub-sections (1), (3), (3A), (3B) or (3C) of section 154 shall be 1% of the proceeds of the export.]</w:t>
      </w:r>
    </w:p>
    <w:p w:rsidR="00AA4BF8" w:rsidRPr="00A86A37" w:rsidRDefault="00AA4BF8" w:rsidP="00AA4BF8">
      <w:pPr>
        <w:rPr>
          <w:sz w:val="12"/>
        </w:rPr>
      </w:pPr>
    </w:p>
    <w:p w:rsidR="00AA4BF8" w:rsidRPr="00412620" w:rsidRDefault="00AA4BF8" w:rsidP="00AA4BF8">
      <w:pPr>
        <w:jc w:val="both"/>
        <w:rPr>
          <w:sz w:val="20"/>
        </w:rPr>
      </w:pPr>
      <w:r w:rsidRPr="00412620">
        <w:tab/>
      </w:r>
      <w:r w:rsidRPr="00412620">
        <w:rPr>
          <w:sz w:val="20"/>
        </w:rPr>
        <w:t>(2)</w:t>
      </w:r>
      <w:r w:rsidRPr="00412620">
        <w:rPr>
          <w:sz w:val="20"/>
        </w:rPr>
        <w:tab/>
        <w:t xml:space="preserve">The rate of tax to be deducted under sub-section (2) of section 154 shall be </w:t>
      </w:r>
      <w:r w:rsidRPr="00412620">
        <w:rPr>
          <w:rStyle w:val="FootnoteReference"/>
          <w:rFonts w:cs="Arial"/>
          <w:sz w:val="20"/>
        </w:rPr>
        <w:footnoteReference w:id="1666"/>
      </w:r>
      <w:r w:rsidRPr="00412620">
        <w:rPr>
          <w:sz w:val="20"/>
        </w:rPr>
        <w:t xml:space="preserve">[5]% </w:t>
      </w:r>
      <w:r w:rsidRPr="00412620">
        <w:rPr>
          <w:rStyle w:val="FootnoteReference"/>
          <w:rFonts w:cs="Arial"/>
          <w:sz w:val="20"/>
        </w:rPr>
        <w:footnoteReference w:id="1667"/>
      </w:r>
      <w:r w:rsidRPr="00412620">
        <w:rPr>
          <w:sz w:val="20"/>
        </w:rPr>
        <w:t>[  ].</w:t>
      </w:r>
    </w:p>
    <w:p w:rsidR="00AA4BF8" w:rsidRPr="00412620" w:rsidRDefault="00AA4BF8" w:rsidP="00AA4BF8">
      <w:pPr>
        <w:pStyle w:val="BodyText3"/>
        <w:widowControl/>
        <w:rPr>
          <w:sz w:val="20"/>
          <w:lang w:val="en-AU"/>
        </w:rPr>
      </w:pPr>
    </w:p>
    <w:p w:rsidR="00AA4BF8" w:rsidRPr="00184EEA" w:rsidRDefault="00AA4BF8" w:rsidP="00AA4BF8">
      <w:pPr>
        <w:pStyle w:val="BodyText3"/>
        <w:widowControl/>
        <w:rPr>
          <w:rFonts w:ascii="Arial" w:hAnsi="Arial" w:cs="Arial"/>
          <w:color w:val="00B0F0"/>
          <w:sz w:val="20"/>
        </w:rPr>
      </w:pPr>
      <w:r w:rsidRPr="00412620">
        <w:rPr>
          <w:sz w:val="20"/>
        </w:rPr>
        <w:tab/>
      </w:r>
      <w:r w:rsidRPr="00184EEA">
        <w:rPr>
          <w:rFonts w:ascii="Arial" w:hAnsi="Arial" w:cs="Arial"/>
          <w:color w:val="000000" w:themeColor="text1"/>
          <w:sz w:val="20"/>
        </w:rPr>
        <w:t>(3)</w:t>
      </w:r>
      <w:r w:rsidRPr="00184EEA">
        <w:rPr>
          <w:rFonts w:ascii="Arial" w:hAnsi="Arial" w:cs="Arial"/>
          <w:sz w:val="20"/>
        </w:rPr>
        <w:tab/>
        <w:t xml:space="preserve">The rate of tax to be deducted under sub-section </w:t>
      </w:r>
      <w:r w:rsidRPr="00184EEA">
        <w:rPr>
          <w:rStyle w:val="FootnoteReference"/>
          <w:rFonts w:ascii="Arial" w:hAnsi="Arial" w:cs="Arial"/>
          <w:sz w:val="20"/>
        </w:rPr>
        <w:footnoteReference w:id="1668"/>
      </w:r>
      <w:r w:rsidRPr="00184EEA">
        <w:rPr>
          <w:rFonts w:ascii="Arial" w:hAnsi="Arial" w:cs="Arial"/>
          <w:sz w:val="20"/>
        </w:rPr>
        <w:t xml:space="preserve">[(2)] of section 153 shall be </w:t>
      </w:r>
      <w:r w:rsidR="00BA2FA6" w:rsidRPr="00DD1A3B">
        <w:rPr>
          <w:rStyle w:val="FootnoteReference"/>
          <w:rFonts w:ascii="Arial" w:hAnsi="Arial" w:cs="Arial"/>
          <w:color w:val="000000" w:themeColor="text1"/>
          <w:sz w:val="20"/>
        </w:rPr>
        <w:footnoteReference w:id="1669"/>
      </w:r>
      <w:r w:rsidR="00BA2FA6" w:rsidRPr="00DD1A3B">
        <w:rPr>
          <w:rFonts w:ascii="Arial" w:hAnsi="Arial" w:cs="Arial"/>
          <w:color w:val="000000" w:themeColor="text1"/>
          <w:sz w:val="20"/>
        </w:rPr>
        <w:t>[</w:t>
      </w:r>
      <w:r w:rsidRPr="00DD1A3B">
        <w:rPr>
          <w:rFonts w:ascii="Arial" w:hAnsi="Arial" w:cs="Arial"/>
          <w:color w:val="000000" w:themeColor="text1"/>
          <w:sz w:val="20"/>
        </w:rPr>
        <w:t>1]</w:t>
      </w:r>
      <w:r w:rsidR="00184EEA" w:rsidRPr="00DD1A3B">
        <w:rPr>
          <w:rFonts w:ascii="Arial" w:hAnsi="Arial" w:cs="Arial"/>
          <w:color w:val="000000" w:themeColor="text1"/>
          <w:sz w:val="20"/>
        </w:rPr>
        <w:t xml:space="preserve"> %</w:t>
      </w:r>
      <w:r w:rsidR="00006D60" w:rsidRPr="00DD1A3B">
        <w:rPr>
          <w:rFonts w:ascii="Arial" w:hAnsi="Arial" w:cs="Arial"/>
          <w:color w:val="000000" w:themeColor="text1"/>
          <w:sz w:val="20"/>
        </w:rPr>
        <w:t>.</w:t>
      </w:r>
    </w:p>
    <w:p w:rsidR="00AA4BF8" w:rsidRPr="00412620" w:rsidRDefault="00AA4BF8" w:rsidP="00AA4BF8">
      <w:pPr>
        <w:pStyle w:val="Heading2"/>
        <w:spacing w:line="240" w:lineRule="auto"/>
        <w:rPr>
          <w:sz w:val="28"/>
          <w:szCs w:val="28"/>
        </w:rPr>
      </w:pPr>
      <w:r w:rsidRPr="00412620">
        <w:rPr>
          <w:rStyle w:val="FootnoteReference"/>
          <w:rFonts w:cs="Arial"/>
          <w:sz w:val="20"/>
        </w:rPr>
        <w:lastRenderedPageBreak/>
        <w:footnoteReference w:id="1670"/>
      </w:r>
      <w:r w:rsidRPr="00412620">
        <w:rPr>
          <w:sz w:val="28"/>
          <w:szCs w:val="28"/>
        </w:rPr>
        <w:t>[Division V</w:t>
      </w:r>
    </w:p>
    <w:p w:rsidR="00AA4BF8" w:rsidRDefault="00AA4BF8" w:rsidP="00AA4BF8">
      <w:pPr>
        <w:pStyle w:val="Heading8"/>
        <w:rPr>
          <w:i w:val="0"/>
          <w:sz w:val="20"/>
        </w:rPr>
      </w:pPr>
      <w:r w:rsidRPr="00412620">
        <w:rPr>
          <w:i w:val="0"/>
          <w:sz w:val="20"/>
        </w:rPr>
        <w:t>Income from Property</w:t>
      </w:r>
    </w:p>
    <w:p w:rsidR="005A2A47" w:rsidRPr="005A2A47" w:rsidRDefault="005A2A47" w:rsidP="005A2A47"/>
    <w:p w:rsidR="00AA4BF8" w:rsidRPr="005A2A47" w:rsidRDefault="00AA4BF8" w:rsidP="007B723E">
      <w:pPr>
        <w:pStyle w:val="ListParagraph"/>
        <w:numPr>
          <w:ilvl w:val="0"/>
          <w:numId w:val="93"/>
        </w:numPr>
        <w:spacing w:before="120" w:after="120"/>
        <w:jc w:val="both"/>
        <w:rPr>
          <w:sz w:val="20"/>
        </w:rPr>
      </w:pPr>
      <w:r w:rsidRPr="005A2A47">
        <w:rPr>
          <w:sz w:val="20"/>
        </w:rPr>
        <w:t>The rate of tax to be deducted under section 155, in the case of individual and association of persons, shall be—</w:t>
      </w:r>
    </w:p>
    <w:p w:rsidR="005A2A47" w:rsidRDefault="005A2A47" w:rsidP="005A2A47">
      <w:pPr>
        <w:pStyle w:val="ListParagraph"/>
        <w:spacing w:before="120" w:after="120"/>
        <w:ind w:left="1515"/>
        <w:jc w:val="both"/>
        <w:rPr>
          <w:sz w:val="20"/>
        </w:rPr>
      </w:pPr>
    </w:p>
    <w:p w:rsidR="005A2A47" w:rsidRDefault="005A2A47" w:rsidP="005A2A47">
      <w:pPr>
        <w:pStyle w:val="ListParagraph"/>
        <w:spacing w:before="120" w:after="120"/>
        <w:ind w:left="1515"/>
        <w:jc w:val="both"/>
        <w:rPr>
          <w:sz w:val="20"/>
        </w:rPr>
      </w:pPr>
    </w:p>
    <w:p w:rsidR="005A2A47" w:rsidRPr="005A2A47" w:rsidRDefault="005A2A47" w:rsidP="005A2A47">
      <w:pPr>
        <w:pStyle w:val="ListParagraph"/>
        <w:spacing w:before="120" w:after="120"/>
        <w:ind w:left="1515"/>
        <w:jc w:val="both"/>
        <w:rPr>
          <w:sz w:val="20"/>
        </w:rPr>
      </w:pPr>
    </w:p>
    <w:tbl>
      <w:tblPr>
        <w:tblW w:w="7200" w:type="dxa"/>
        <w:tblInd w:w="468" w:type="dxa"/>
        <w:tblLayout w:type="fixed"/>
        <w:tblLook w:val="01E0"/>
      </w:tblPr>
      <w:tblGrid>
        <w:gridCol w:w="1260"/>
        <w:gridCol w:w="2790"/>
        <w:gridCol w:w="3150"/>
      </w:tblGrid>
      <w:tr w:rsidR="00D9695E" w:rsidRPr="0094777E" w:rsidTr="00D9695E">
        <w:tc>
          <w:tcPr>
            <w:tcW w:w="1260" w:type="dxa"/>
            <w:tcBorders>
              <w:top w:val="single" w:sz="4" w:space="0" w:color="auto"/>
              <w:bottom w:val="single" w:sz="4" w:space="0" w:color="auto"/>
            </w:tcBorders>
          </w:tcPr>
          <w:p w:rsidR="00D9695E" w:rsidRPr="0009763F" w:rsidRDefault="00D9695E" w:rsidP="00B7389F">
            <w:pPr>
              <w:jc w:val="center"/>
              <w:rPr>
                <w:rFonts w:cs="Arial"/>
                <w:b/>
                <w:bCs/>
                <w:color w:val="0070C0"/>
                <w:sz w:val="20"/>
              </w:rPr>
            </w:pPr>
            <w:r w:rsidRPr="0009763F">
              <w:rPr>
                <w:rStyle w:val="FootnoteReference"/>
                <w:rFonts w:cs="Arial"/>
                <w:bCs/>
                <w:color w:val="0070C0"/>
                <w:sz w:val="20"/>
              </w:rPr>
              <w:footnoteReference w:id="1671"/>
            </w:r>
            <w:r w:rsidRPr="0009763F">
              <w:rPr>
                <w:rFonts w:cs="Arial"/>
                <w:bCs/>
                <w:color w:val="0070C0"/>
                <w:sz w:val="20"/>
              </w:rPr>
              <w:t>[“</w:t>
            </w:r>
            <w:r w:rsidRPr="0009763F">
              <w:rPr>
                <w:rFonts w:cs="Arial"/>
                <w:b/>
                <w:bCs/>
                <w:color w:val="0070C0"/>
                <w:sz w:val="20"/>
              </w:rPr>
              <w:t>S.No.</w:t>
            </w:r>
          </w:p>
        </w:tc>
        <w:tc>
          <w:tcPr>
            <w:tcW w:w="2790" w:type="dxa"/>
            <w:tcBorders>
              <w:top w:val="single" w:sz="4" w:space="0" w:color="auto"/>
              <w:bottom w:val="single" w:sz="4" w:space="0" w:color="auto"/>
            </w:tcBorders>
          </w:tcPr>
          <w:p w:rsidR="00D9695E" w:rsidRPr="0009763F" w:rsidRDefault="00D9695E" w:rsidP="00B7389F">
            <w:pPr>
              <w:ind w:right="252"/>
              <w:jc w:val="center"/>
              <w:rPr>
                <w:rFonts w:cs="Arial"/>
                <w:b/>
                <w:bCs/>
                <w:color w:val="0070C0"/>
                <w:sz w:val="20"/>
              </w:rPr>
            </w:pPr>
            <w:r w:rsidRPr="0009763F">
              <w:rPr>
                <w:rFonts w:cs="Arial"/>
                <w:b/>
                <w:bCs/>
                <w:color w:val="0070C0"/>
                <w:sz w:val="20"/>
              </w:rPr>
              <w:t>Gross amount of rent</w:t>
            </w:r>
          </w:p>
        </w:tc>
        <w:tc>
          <w:tcPr>
            <w:tcW w:w="3150" w:type="dxa"/>
            <w:tcBorders>
              <w:top w:val="single" w:sz="4" w:space="0" w:color="auto"/>
              <w:bottom w:val="single" w:sz="4" w:space="0" w:color="auto"/>
            </w:tcBorders>
          </w:tcPr>
          <w:p w:rsidR="00D9695E" w:rsidRPr="0009763F" w:rsidRDefault="00D9695E" w:rsidP="00B7389F">
            <w:pPr>
              <w:jc w:val="center"/>
              <w:rPr>
                <w:rFonts w:cs="Arial"/>
                <w:b/>
                <w:bCs/>
                <w:color w:val="0070C0"/>
                <w:sz w:val="20"/>
              </w:rPr>
            </w:pPr>
            <w:r w:rsidRPr="0009763F">
              <w:rPr>
                <w:rFonts w:cs="Arial"/>
                <w:b/>
                <w:bCs/>
                <w:color w:val="0070C0"/>
                <w:sz w:val="20"/>
              </w:rPr>
              <w:t>Rate of tax</w:t>
            </w:r>
          </w:p>
        </w:tc>
      </w:tr>
      <w:tr w:rsidR="00D9695E" w:rsidRPr="0094777E" w:rsidTr="00D9695E">
        <w:tc>
          <w:tcPr>
            <w:tcW w:w="1260" w:type="dxa"/>
            <w:tcBorders>
              <w:top w:val="single" w:sz="4" w:space="0" w:color="auto"/>
              <w:bottom w:val="single" w:sz="4" w:space="0" w:color="auto"/>
            </w:tcBorders>
          </w:tcPr>
          <w:p w:rsidR="00D9695E" w:rsidRPr="0009763F" w:rsidRDefault="00D9695E" w:rsidP="00B7389F">
            <w:pPr>
              <w:jc w:val="center"/>
              <w:rPr>
                <w:rFonts w:cs="Arial"/>
                <w:bCs/>
                <w:color w:val="0070C0"/>
                <w:sz w:val="20"/>
              </w:rPr>
            </w:pPr>
            <w:r w:rsidRPr="0009763F">
              <w:rPr>
                <w:rFonts w:cs="Arial"/>
                <w:bCs/>
                <w:color w:val="0070C0"/>
                <w:sz w:val="20"/>
              </w:rPr>
              <w:t>(1)</w:t>
            </w:r>
          </w:p>
        </w:tc>
        <w:tc>
          <w:tcPr>
            <w:tcW w:w="2790" w:type="dxa"/>
            <w:tcBorders>
              <w:top w:val="single" w:sz="4" w:space="0" w:color="auto"/>
              <w:bottom w:val="single" w:sz="4" w:space="0" w:color="auto"/>
            </w:tcBorders>
          </w:tcPr>
          <w:p w:rsidR="00D9695E" w:rsidRPr="0009763F" w:rsidRDefault="00D9695E" w:rsidP="00B7389F">
            <w:pPr>
              <w:ind w:right="252"/>
              <w:jc w:val="center"/>
              <w:rPr>
                <w:rFonts w:cs="Arial"/>
                <w:bCs/>
                <w:color w:val="0070C0"/>
                <w:sz w:val="20"/>
              </w:rPr>
            </w:pPr>
            <w:r w:rsidRPr="0009763F">
              <w:rPr>
                <w:rFonts w:cs="Arial"/>
                <w:bCs/>
                <w:color w:val="0070C0"/>
                <w:sz w:val="20"/>
              </w:rPr>
              <w:t>(2)</w:t>
            </w:r>
          </w:p>
        </w:tc>
        <w:tc>
          <w:tcPr>
            <w:tcW w:w="3150" w:type="dxa"/>
            <w:tcBorders>
              <w:top w:val="single" w:sz="4" w:space="0" w:color="auto"/>
              <w:bottom w:val="single" w:sz="4" w:space="0" w:color="auto"/>
            </w:tcBorders>
          </w:tcPr>
          <w:p w:rsidR="00D9695E" w:rsidRPr="0009763F" w:rsidRDefault="00D9695E" w:rsidP="00B7389F">
            <w:pPr>
              <w:jc w:val="center"/>
              <w:rPr>
                <w:rFonts w:cs="Arial"/>
                <w:bCs/>
                <w:color w:val="0070C0"/>
                <w:sz w:val="20"/>
              </w:rPr>
            </w:pPr>
            <w:r w:rsidRPr="0009763F">
              <w:rPr>
                <w:rFonts w:cs="Arial"/>
                <w:bCs/>
                <w:color w:val="0070C0"/>
                <w:sz w:val="20"/>
              </w:rPr>
              <w:t>(3)</w:t>
            </w:r>
          </w:p>
        </w:tc>
      </w:tr>
      <w:tr w:rsidR="00D9695E" w:rsidRPr="0094777E" w:rsidTr="00D9695E">
        <w:tc>
          <w:tcPr>
            <w:tcW w:w="1260" w:type="dxa"/>
            <w:tcBorders>
              <w:top w:val="single" w:sz="4" w:space="0" w:color="auto"/>
            </w:tcBorders>
          </w:tcPr>
          <w:p w:rsidR="00D9695E" w:rsidRPr="0009763F" w:rsidRDefault="00D9695E" w:rsidP="00B7389F">
            <w:pPr>
              <w:ind w:right="259"/>
              <w:jc w:val="center"/>
              <w:rPr>
                <w:rFonts w:cs="Arial"/>
                <w:color w:val="0070C0"/>
                <w:sz w:val="20"/>
              </w:rPr>
            </w:pPr>
            <w:r w:rsidRPr="0009763F">
              <w:rPr>
                <w:rFonts w:cs="Arial"/>
                <w:color w:val="0070C0"/>
                <w:sz w:val="20"/>
              </w:rPr>
              <w:t>1.</w:t>
            </w:r>
          </w:p>
        </w:tc>
        <w:tc>
          <w:tcPr>
            <w:tcW w:w="2790" w:type="dxa"/>
            <w:tcBorders>
              <w:top w:val="single" w:sz="4" w:space="0" w:color="auto"/>
            </w:tcBorders>
          </w:tcPr>
          <w:p w:rsidR="00D9695E" w:rsidRPr="0009763F" w:rsidRDefault="00D9695E" w:rsidP="00B7389F">
            <w:pPr>
              <w:ind w:right="259"/>
              <w:jc w:val="both"/>
              <w:rPr>
                <w:rFonts w:cs="Arial"/>
                <w:color w:val="0070C0"/>
                <w:sz w:val="20"/>
              </w:rPr>
            </w:pPr>
            <w:r w:rsidRPr="0009763F">
              <w:rPr>
                <w:rFonts w:cs="Arial"/>
                <w:color w:val="0070C0"/>
                <w:sz w:val="20"/>
              </w:rPr>
              <w:t>Where the gross amount of rent does not exceed Rs.200,000.</w:t>
            </w:r>
          </w:p>
          <w:p w:rsidR="00D9695E" w:rsidRPr="0009763F" w:rsidRDefault="00D9695E" w:rsidP="00B7389F">
            <w:pPr>
              <w:ind w:right="259"/>
              <w:jc w:val="both"/>
              <w:rPr>
                <w:rFonts w:cs="Arial"/>
                <w:color w:val="0070C0"/>
                <w:sz w:val="20"/>
              </w:rPr>
            </w:pPr>
          </w:p>
        </w:tc>
        <w:tc>
          <w:tcPr>
            <w:tcW w:w="3150" w:type="dxa"/>
            <w:tcBorders>
              <w:top w:val="single" w:sz="4" w:space="0" w:color="auto"/>
            </w:tcBorders>
          </w:tcPr>
          <w:p w:rsidR="00D9695E" w:rsidRPr="0009763F" w:rsidRDefault="00D9695E" w:rsidP="00B7389F">
            <w:pPr>
              <w:jc w:val="center"/>
              <w:rPr>
                <w:rFonts w:cs="Arial"/>
                <w:color w:val="0070C0"/>
                <w:sz w:val="20"/>
              </w:rPr>
            </w:pPr>
            <w:r w:rsidRPr="0009763F">
              <w:rPr>
                <w:rFonts w:cs="Arial"/>
                <w:color w:val="0070C0"/>
                <w:sz w:val="20"/>
              </w:rPr>
              <w:t>Nil</w:t>
            </w:r>
          </w:p>
        </w:tc>
      </w:tr>
      <w:tr w:rsidR="00D9695E" w:rsidRPr="0094777E" w:rsidTr="00D9695E">
        <w:tc>
          <w:tcPr>
            <w:tcW w:w="1260" w:type="dxa"/>
          </w:tcPr>
          <w:p w:rsidR="00D9695E" w:rsidRPr="0009763F" w:rsidRDefault="00D9695E" w:rsidP="00B7389F">
            <w:pPr>
              <w:ind w:right="259"/>
              <w:jc w:val="center"/>
              <w:rPr>
                <w:rFonts w:cs="Arial"/>
                <w:color w:val="0070C0"/>
                <w:sz w:val="20"/>
              </w:rPr>
            </w:pPr>
            <w:r w:rsidRPr="0009763F">
              <w:rPr>
                <w:rFonts w:cs="Arial"/>
                <w:color w:val="0070C0"/>
                <w:sz w:val="20"/>
              </w:rPr>
              <w:t>2.</w:t>
            </w:r>
          </w:p>
        </w:tc>
        <w:tc>
          <w:tcPr>
            <w:tcW w:w="2790" w:type="dxa"/>
          </w:tcPr>
          <w:p w:rsidR="00D9695E" w:rsidRPr="0009763F" w:rsidRDefault="00D9695E" w:rsidP="00B7389F">
            <w:pPr>
              <w:ind w:right="259"/>
              <w:jc w:val="both"/>
              <w:rPr>
                <w:rFonts w:cs="Arial"/>
                <w:color w:val="0070C0"/>
                <w:sz w:val="20"/>
              </w:rPr>
            </w:pPr>
            <w:r w:rsidRPr="0009763F">
              <w:rPr>
                <w:rFonts w:cs="Arial"/>
                <w:color w:val="0070C0"/>
                <w:sz w:val="20"/>
              </w:rPr>
              <w:t>Where the gross amount of rent exceeds Rs.200,000 but does not exceed Rs.600,000.</w:t>
            </w:r>
          </w:p>
          <w:p w:rsidR="00D9695E" w:rsidRPr="0009763F" w:rsidRDefault="00D9695E" w:rsidP="00B7389F">
            <w:pPr>
              <w:ind w:right="259"/>
              <w:jc w:val="both"/>
              <w:rPr>
                <w:rFonts w:cs="Arial"/>
                <w:color w:val="0070C0"/>
                <w:sz w:val="20"/>
              </w:rPr>
            </w:pPr>
          </w:p>
        </w:tc>
        <w:tc>
          <w:tcPr>
            <w:tcW w:w="3150" w:type="dxa"/>
          </w:tcPr>
          <w:p w:rsidR="00D9695E" w:rsidRPr="0009763F" w:rsidRDefault="00D9695E" w:rsidP="00B7389F">
            <w:pPr>
              <w:jc w:val="both"/>
              <w:rPr>
                <w:rFonts w:cs="Arial"/>
                <w:color w:val="0070C0"/>
                <w:sz w:val="20"/>
              </w:rPr>
            </w:pPr>
            <w:r w:rsidRPr="0009763F">
              <w:rPr>
                <w:rFonts w:cs="Arial"/>
                <w:color w:val="0070C0"/>
                <w:sz w:val="20"/>
              </w:rPr>
              <w:t>5 per cent of the gross amount exceeding Rs.200,000.</w:t>
            </w:r>
          </w:p>
        </w:tc>
      </w:tr>
      <w:tr w:rsidR="00D9695E" w:rsidRPr="0094777E" w:rsidTr="00D9695E">
        <w:tc>
          <w:tcPr>
            <w:tcW w:w="1260" w:type="dxa"/>
          </w:tcPr>
          <w:p w:rsidR="00D9695E" w:rsidRPr="0009763F" w:rsidRDefault="00D9695E" w:rsidP="00B7389F">
            <w:pPr>
              <w:ind w:right="259"/>
              <w:jc w:val="center"/>
              <w:rPr>
                <w:rFonts w:cs="Arial"/>
                <w:color w:val="0070C0"/>
                <w:sz w:val="20"/>
              </w:rPr>
            </w:pPr>
            <w:r w:rsidRPr="0009763F">
              <w:rPr>
                <w:rFonts w:cs="Arial"/>
                <w:color w:val="0070C0"/>
                <w:sz w:val="20"/>
              </w:rPr>
              <w:t>3.</w:t>
            </w:r>
          </w:p>
        </w:tc>
        <w:tc>
          <w:tcPr>
            <w:tcW w:w="2790" w:type="dxa"/>
          </w:tcPr>
          <w:p w:rsidR="00D9695E" w:rsidRPr="0009763F" w:rsidRDefault="00D9695E" w:rsidP="00B7389F">
            <w:pPr>
              <w:ind w:right="259"/>
              <w:jc w:val="both"/>
              <w:rPr>
                <w:rFonts w:cs="Arial"/>
                <w:color w:val="0070C0"/>
                <w:sz w:val="20"/>
              </w:rPr>
            </w:pPr>
            <w:r w:rsidRPr="0009763F">
              <w:rPr>
                <w:rFonts w:cs="Arial"/>
                <w:color w:val="0070C0"/>
                <w:sz w:val="20"/>
              </w:rPr>
              <w:t>Where the gross amount of rent exceeds Rs.600,000 but does not exceed Rs.1,000,000.</w:t>
            </w:r>
          </w:p>
          <w:p w:rsidR="00D9695E" w:rsidRPr="0009763F" w:rsidRDefault="00D9695E" w:rsidP="00B7389F">
            <w:pPr>
              <w:ind w:right="259"/>
              <w:jc w:val="both"/>
              <w:rPr>
                <w:rFonts w:cs="Arial"/>
                <w:color w:val="0070C0"/>
                <w:sz w:val="20"/>
              </w:rPr>
            </w:pPr>
          </w:p>
        </w:tc>
        <w:tc>
          <w:tcPr>
            <w:tcW w:w="3150" w:type="dxa"/>
          </w:tcPr>
          <w:p w:rsidR="00D9695E" w:rsidRPr="0009763F" w:rsidRDefault="00D9695E" w:rsidP="00B7389F">
            <w:pPr>
              <w:jc w:val="both"/>
              <w:rPr>
                <w:rFonts w:cs="Arial"/>
                <w:color w:val="0070C0"/>
                <w:sz w:val="20"/>
              </w:rPr>
            </w:pPr>
            <w:r w:rsidRPr="0009763F">
              <w:rPr>
                <w:rFonts w:cs="Arial"/>
                <w:color w:val="0070C0"/>
                <w:sz w:val="20"/>
              </w:rPr>
              <w:t>Rs.20,000 plus 10 per cent of the gross amount exceeding Rs.600,000.</w:t>
            </w:r>
          </w:p>
        </w:tc>
      </w:tr>
      <w:tr w:rsidR="00D9695E" w:rsidRPr="0094777E" w:rsidTr="00D9695E">
        <w:tc>
          <w:tcPr>
            <w:tcW w:w="1260" w:type="dxa"/>
          </w:tcPr>
          <w:p w:rsidR="00D9695E" w:rsidRPr="0009763F" w:rsidRDefault="00D9695E" w:rsidP="00B7389F">
            <w:pPr>
              <w:ind w:right="259"/>
              <w:jc w:val="center"/>
              <w:rPr>
                <w:rFonts w:cs="Arial"/>
                <w:color w:val="0070C0"/>
                <w:sz w:val="20"/>
              </w:rPr>
            </w:pPr>
            <w:r w:rsidRPr="0009763F">
              <w:rPr>
                <w:rFonts w:cs="Arial"/>
                <w:color w:val="0070C0"/>
                <w:sz w:val="20"/>
              </w:rPr>
              <w:t>4.</w:t>
            </w:r>
          </w:p>
        </w:tc>
        <w:tc>
          <w:tcPr>
            <w:tcW w:w="2790" w:type="dxa"/>
          </w:tcPr>
          <w:p w:rsidR="00D9695E" w:rsidRPr="0009763F" w:rsidRDefault="00D9695E" w:rsidP="00B7389F">
            <w:pPr>
              <w:ind w:right="259"/>
              <w:jc w:val="both"/>
              <w:rPr>
                <w:rFonts w:cs="Arial"/>
                <w:color w:val="0070C0"/>
                <w:sz w:val="20"/>
              </w:rPr>
            </w:pPr>
            <w:r w:rsidRPr="0009763F">
              <w:rPr>
                <w:rFonts w:cs="Arial"/>
                <w:color w:val="0070C0"/>
                <w:sz w:val="20"/>
              </w:rPr>
              <w:t>Where the gross amount of rent exceeds Rs.1,000,000 but does not exceed Rs.2,000,000.</w:t>
            </w:r>
          </w:p>
          <w:p w:rsidR="00D9695E" w:rsidRPr="0009763F" w:rsidRDefault="00D9695E" w:rsidP="00B7389F">
            <w:pPr>
              <w:ind w:right="259"/>
              <w:jc w:val="both"/>
              <w:rPr>
                <w:rFonts w:cs="Arial"/>
                <w:color w:val="0070C0"/>
                <w:sz w:val="20"/>
              </w:rPr>
            </w:pPr>
          </w:p>
        </w:tc>
        <w:tc>
          <w:tcPr>
            <w:tcW w:w="3150" w:type="dxa"/>
          </w:tcPr>
          <w:p w:rsidR="00D9695E" w:rsidRPr="0009763F" w:rsidRDefault="00D9695E" w:rsidP="00B7389F">
            <w:pPr>
              <w:jc w:val="both"/>
              <w:rPr>
                <w:rFonts w:cs="Arial"/>
                <w:color w:val="0070C0"/>
                <w:sz w:val="20"/>
              </w:rPr>
            </w:pPr>
            <w:r w:rsidRPr="0009763F">
              <w:rPr>
                <w:rFonts w:cs="Arial"/>
                <w:color w:val="0070C0"/>
                <w:sz w:val="20"/>
              </w:rPr>
              <w:t>Rs.60,000 plus 15 per cent of the gross amount exceeding Rs.1,000,000.</w:t>
            </w:r>
          </w:p>
        </w:tc>
      </w:tr>
      <w:tr w:rsidR="00D9695E" w:rsidRPr="0094777E" w:rsidTr="00D9695E">
        <w:tc>
          <w:tcPr>
            <w:tcW w:w="1260" w:type="dxa"/>
          </w:tcPr>
          <w:p w:rsidR="00D9695E" w:rsidRPr="0009763F" w:rsidRDefault="00D9695E" w:rsidP="00B7389F">
            <w:pPr>
              <w:ind w:right="259"/>
              <w:jc w:val="center"/>
              <w:rPr>
                <w:rFonts w:cs="Arial"/>
                <w:color w:val="0070C0"/>
                <w:sz w:val="20"/>
              </w:rPr>
            </w:pPr>
            <w:r w:rsidRPr="0009763F">
              <w:rPr>
                <w:rFonts w:cs="Arial"/>
                <w:color w:val="0070C0"/>
                <w:sz w:val="20"/>
              </w:rPr>
              <w:t>5.</w:t>
            </w:r>
          </w:p>
        </w:tc>
        <w:tc>
          <w:tcPr>
            <w:tcW w:w="2790" w:type="dxa"/>
          </w:tcPr>
          <w:p w:rsidR="00D9695E" w:rsidRPr="0009763F" w:rsidRDefault="00D9695E" w:rsidP="00B7389F">
            <w:pPr>
              <w:ind w:right="259"/>
              <w:jc w:val="both"/>
              <w:rPr>
                <w:rFonts w:cs="Arial"/>
                <w:color w:val="0070C0"/>
                <w:sz w:val="20"/>
              </w:rPr>
            </w:pPr>
            <w:r w:rsidRPr="0009763F">
              <w:rPr>
                <w:rFonts w:cs="Arial"/>
                <w:color w:val="0070C0"/>
                <w:sz w:val="20"/>
              </w:rPr>
              <w:t>Where the gross amount of rent exceeds Rs.2,000,000.</w:t>
            </w:r>
          </w:p>
        </w:tc>
        <w:tc>
          <w:tcPr>
            <w:tcW w:w="3150" w:type="dxa"/>
          </w:tcPr>
          <w:p w:rsidR="00D9695E" w:rsidRPr="0009763F" w:rsidRDefault="00D9695E" w:rsidP="00D9695E">
            <w:pPr>
              <w:jc w:val="both"/>
              <w:rPr>
                <w:rFonts w:cs="Arial"/>
                <w:color w:val="0070C0"/>
                <w:sz w:val="20"/>
              </w:rPr>
            </w:pPr>
            <w:r w:rsidRPr="0009763F">
              <w:rPr>
                <w:rFonts w:cs="Arial"/>
                <w:color w:val="0070C0"/>
                <w:sz w:val="20"/>
              </w:rPr>
              <w:t>Rs.210,000 plus 20 per cent of the gross amount exceeding Rs.2,000,000”]</w:t>
            </w:r>
          </w:p>
        </w:tc>
      </w:tr>
    </w:tbl>
    <w:p w:rsidR="00D9695E" w:rsidRPr="00412620" w:rsidRDefault="00D9695E" w:rsidP="00AA4BF8">
      <w:pPr>
        <w:spacing w:before="120" w:after="120"/>
        <w:ind w:left="1530" w:hanging="435"/>
        <w:jc w:val="both"/>
        <w:rPr>
          <w:sz w:val="20"/>
        </w:rPr>
      </w:pPr>
    </w:p>
    <w:p w:rsidR="00AA4BF8" w:rsidRPr="00412620" w:rsidRDefault="00AA4BF8" w:rsidP="00AA4BF8">
      <w:pPr>
        <w:pStyle w:val="BodyText3"/>
        <w:widowControl/>
        <w:jc w:val="center"/>
        <w:rPr>
          <w:sz w:val="20"/>
        </w:rPr>
      </w:pPr>
    </w:p>
    <w:p w:rsidR="00AA4BF8" w:rsidRPr="00CF19CA" w:rsidRDefault="00D9695E" w:rsidP="00AA4BF8">
      <w:pPr>
        <w:pStyle w:val="BodyText3"/>
        <w:widowControl/>
        <w:rPr>
          <w:rFonts w:ascii="Arial" w:hAnsi="Arial" w:cs="Arial"/>
          <w:sz w:val="20"/>
        </w:rPr>
      </w:pPr>
      <w:r>
        <w:rPr>
          <w:sz w:val="20"/>
        </w:rPr>
        <w:tab/>
      </w:r>
      <w:r w:rsidR="00AA4BF8" w:rsidRPr="00412620">
        <w:rPr>
          <w:sz w:val="20"/>
        </w:rPr>
        <w:t xml:space="preserve">(b) </w:t>
      </w:r>
      <w:r w:rsidR="00AA4BF8" w:rsidRPr="00412620">
        <w:rPr>
          <w:sz w:val="20"/>
        </w:rPr>
        <w:tab/>
      </w:r>
      <w:r w:rsidR="00AA4BF8" w:rsidRPr="00CF19CA">
        <w:rPr>
          <w:rFonts w:ascii="Arial" w:hAnsi="Arial" w:cs="Arial"/>
          <w:sz w:val="20"/>
        </w:rPr>
        <w:t xml:space="preserve">The rate of tax to be deducted under section 155, in the case </w:t>
      </w:r>
      <w:r w:rsidR="00AA4BF8" w:rsidRPr="00CF19CA">
        <w:rPr>
          <w:rFonts w:ascii="Arial" w:hAnsi="Arial" w:cs="Arial"/>
          <w:sz w:val="20"/>
        </w:rPr>
        <w:tab/>
      </w:r>
      <w:r w:rsidR="00AA4BF8" w:rsidRPr="00CF19CA">
        <w:rPr>
          <w:rFonts w:ascii="Arial" w:hAnsi="Arial" w:cs="Arial"/>
          <w:sz w:val="20"/>
        </w:rPr>
        <w:tab/>
      </w:r>
      <w:r w:rsidR="00AA4BF8" w:rsidRPr="00CF19CA">
        <w:rPr>
          <w:rFonts w:ascii="Arial" w:hAnsi="Arial" w:cs="Arial"/>
          <w:sz w:val="20"/>
        </w:rPr>
        <w:tab/>
      </w:r>
      <w:r w:rsidR="00AA4BF8" w:rsidRPr="00CF19CA">
        <w:rPr>
          <w:rFonts w:ascii="Arial" w:hAnsi="Arial" w:cs="Arial"/>
          <w:sz w:val="20"/>
        </w:rPr>
        <w:tab/>
        <w:t>of company shall be 15% of the gross amount of rent.]</w:t>
      </w:r>
    </w:p>
    <w:p w:rsidR="00AA4BF8" w:rsidRPr="00CF19CA" w:rsidRDefault="00AA4BF8" w:rsidP="00AA4BF8">
      <w:pPr>
        <w:pStyle w:val="BodyText3"/>
        <w:widowControl/>
        <w:rPr>
          <w:rFonts w:ascii="Arial" w:hAnsi="Arial" w:cs="Arial"/>
          <w:sz w:val="20"/>
        </w:rPr>
      </w:pPr>
    </w:p>
    <w:p w:rsidR="00D9695E" w:rsidRDefault="00D9695E" w:rsidP="00AA4BF8">
      <w:pPr>
        <w:jc w:val="center"/>
        <w:rPr>
          <w:b/>
          <w:bCs/>
          <w:sz w:val="28"/>
          <w:szCs w:val="28"/>
        </w:rPr>
      </w:pPr>
    </w:p>
    <w:p w:rsidR="00AA4BF8" w:rsidRPr="00412620" w:rsidRDefault="00AA4BF8" w:rsidP="00AA4BF8">
      <w:pPr>
        <w:jc w:val="center"/>
        <w:rPr>
          <w:b/>
          <w:bCs/>
          <w:sz w:val="28"/>
          <w:szCs w:val="28"/>
        </w:rPr>
      </w:pPr>
      <w:r w:rsidRPr="00412620">
        <w:rPr>
          <w:b/>
          <w:bCs/>
          <w:sz w:val="28"/>
          <w:szCs w:val="28"/>
        </w:rPr>
        <w:t>Division VI</w:t>
      </w:r>
    </w:p>
    <w:p w:rsidR="00AA4BF8" w:rsidRPr="00412620" w:rsidRDefault="00AA4BF8" w:rsidP="00AA4BF8">
      <w:pPr>
        <w:jc w:val="center"/>
        <w:rPr>
          <w:b/>
          <w:bCs/>
          <w:sz w:val="20"/>
        </w:rPr>
      </w:pPr>
      <w:r w:rsidRPr="00412620">
        <w:rPr>
          <w:b/>
          <w:bCs/>
          <w:sz w:val="20"/>
        </w:rPr>
        <w:t>Prizes and Winnings</w:t>
      </w:r>
    </w:p>
    <w:p w:rsidR="00AA4BF8" w:rsidRPr="00412620" w:rsidRDefault="00AA4BF8" w:rsidP="00AA4BF8">
      <w:pPr>
        <w:rPr>
          <w:sz w:val="20"/>
        </w:rPr>
      </w:pPr>
    </w:p>
    <w:p w:rsidR="00AA4BF8" w:rsidRPr="00CF19CA" w:rsidRDefault="00AA4BF8" w:rsidP="00AA4BF8">
      <w:pPr>
        <w:pStyle w:val="BodyText3"/>
        <w:widowControl/>
        <w:ind w:left="1094" w:hanging="554"/>
        <w:rPr>
          <w:rFonts w:ascii="Arial" w:hAnsi="Arial" w:cs="Arial"/>
          <w:sz w:val="20"/>
        </w:rPr>
      </w:pPr>
      <w:r w:rsidRPr="00CF19CA">
        <w:rPr>
          <w:rFonts w:ascii="Arial" w:hAnsi="Arial" w:cs="Arial"/>
          <w:sz w:val="20"/>
        </w:rPr>
        <w:t xml:space="preserve">(1) </w:t>
      </w:r>
      <w:r w:rsidRPr="00CF19CA">
        <w:rPr>
          <w:rFonts w:ascii="Arial" w:hAnsi="Arial" w:cs="Arial"/>
          <w:sz w:val="20"/>
        </w:rPr>
        <w:tab/>
        <w:t xml:space="preserve">The rate of tax to be deducted under section 156 on a prize on prize bond or cross-word puzzle shall be </w:t>
      </w:r>
      <w:r w:rsidRPr="00CF19CA">
        <w:rPr>
          <w:rStyle w:val="FootnoteReference"/>
          <w:rFonts w:ascii="Arial" w:hAnsi="Arial" w:cs="Arial"/>
          <w:sz w:val="20"/>
        </w:rPr>
        <w:footnoteReference w:id="1672"/>
      </w:r>
      <w:r w:rsidRPr="00CF19CA">
        <w:rPr>
          <w:rFonts w:ascii="Arial" w:hAnsi="Arial" w:cs="Arial"/>
          <w:sz w:val="20"/>
        </w:rPr>
        <w:t>[15]% of the gross amount paid</w:t>
      </w:r>
      <w:r w:rsidR="006B5DDA">
        <w:rPr>
          <w:rFonts w:ascii="Arial" w:hAnsi="Arial" w:cs="Arial"/>
          <w:sz w:val="20"/>
        </w:rPr>
        <w:t xml:space="preserve"> </w:t>
      </w:r>
      <w:r w:rsidR="006B5DDA" w:rsidRPr="006B5DDA">
        <w:rPr>
          <w:rStyle w:val="FootnoteReference"/>
          <w:rFonts w:ascii="Arial" w:hAnsi="Arial" w:cs="Arial"/>
          <w:color w:val="0070C0"/>
          <w:sz w:val="20"/>
        </w:rPr>
        <w:footnoteReference w:id="1673"/>
      </w:r>
      <w:r w:rsidR="006B5DDA" w:rsidRPr="006B5DDA">
        <w:rPr>
          <w:rFonts w:ascii="Arial" w:hAnsi="Arial" w:cs="Arial"/>
          <w:color w:val="0070C0"/>
          <w:sz w:val="20"/>
        </w:rPr>
        <w:t>[for filers and 20% of the gross amount paid for non-filers]</w:t>
      </w:r>
      <w:r w:rsidRPr="006B5DDA">
        <w:rPr>
          <w:rFonts w:ascii="Arial" w:hAnsi="Arial" w:cs="Arial"/>
          <w:sz w:val="20"/>
        </w:rPr>
        <w:t>.</w:t>
      </w:r>
    </w:p>
    <w:p w:rsidR="00AA4BF8" w:rsidRPr="00CF19CA" w:rsidRDefault="00AA4BF8" w:rsidP="00AA4BF8">
      <w:pPr>
        <w:pStyle w:val="BodyText3"/>
        <w:widowControl/>
        <w:rPr>
          <w:rFonts w:ascii="Arial" w:hAnsi="Arial" w:cs="Arial"/>
          <w:sz w:val="20"/>
        </w:rPr>
      </w:pPr>
    </w:p>
    <w:p w:rsidR="00AA4BF8" w:rsidRPr="00CF19CA" w:rsidRDefault="00AA4BF8" w:rsidP="00AA4BF8">
      <w:pPr>
        <w:pStyle w:val="BodyText3"/>
        <w:widowControl/>
        <w:ind w:left="1094" w:hanging="554"/>
        <w:rPr>
          <w:rFonts w:ascii="Arial" w:hAnsi="Arial" w:cs="Arial"/>
          <w:sz w:val="20"/>
        </w:rPr>
      </w:pPr>
      <w:r w:rsidRPr="00CF19CA">
        <w:rPr>
          <w:rFonts w:ascii="Arial" w:hAnsi="Arial" w:cs="Arial"/>
          <w:sz w:val="20"/>
        </w:rPr>
        <w:t xml:space="preserve">(2) </w:t>
      </w:r>
      <w:r w:rsidRPr="00CF19CA">
        <w:rPr>
          <w:rFonts w:ascii="Arial" w:hAnsi="Arial" w:cs="Arial"/>
          <w:sz w:val="20"/>
        </w:rPr>
        <w:tab/>
        <w:t>The rate of tax to be deducted under section 156 on winnings from a raffle, lottery, prize on winning a quiz, prize offered by a company for promotion of sale, shall be 20% of the gross amount paid.]</w:t>
      </w:r>
    </w:p>
    <w:p w:rsidR="00AA4BF8" w:rsidRPr="00CF19CA" w:rsidRDefault="00AA4BF8" w:rsidP="00AA4BF8">
      <w:pPr>
        <w:pStyle w:val="BodyText3"/>
        <w:widowControl/>
        <w:rPr>
          <w:rFonts w:ascii="Arial" w:hAnsi="Arial" w:cs="Arial"/>
          <w:sz w:val="20"/>
        </w:rPr>
      </w:pPr>
    </w:p>
    <w:p w:rsidR="00AA4BF8" w:rsidRPr="00412620" w:rsidRDefault="00AA4BF8" w:rsidP="00AA4BF8">
      <w:pPr>
        <w:keepNext/>
        <w:jc w:val="center"/>
        <w:rPr>
          <w:b/>
          <w:bCs/>
          <w:sz w:val="28"/>
          <w:szCs w:val="28"/>
        </w:rPr>
      </w:pPr>
      <w:r w:rsidRPr="00412620">
        <w:rPr>
          <w:b/>
          <w:bCs/>
          <w:sz w:val="28"/>
          <w:szCs w:val="28"/>
        </w:rPr>
        <w:t>Division VIA</w:t>
      </w:r>
    </w:p>
    <w:p w:rsidR="00AA4BF8" w:rsidRPr="00412620" w:rsidRDefault="00AA4BF8" w:rsidP="00AA4BF8">
      <w:pPr>
        <w:keepNext/>
        <w:jc w:val="center"/>
        <w:rPr>
          <w:b/>
          <w:bCs/>
          <w:sz w:val="20"/>
        </w:rPr>
      </w:pPr>
      <w:r w:rsidRPr="00412620">
        <w:rPr>
          <w:b/>
          <w:bCs/>
          <w:sz w:val="20"/>
        </w:rPr>
        <w:t>Petroleum Products</w:t>
      </w:r>
    </w:p>
    <w:p w:rsidR="00AA4BF8" w:rsidRPr="00412620" w:rsidRDefault="00AA4BF8" w:rsidP="00AA4BF8">
      <w:pPr>
        <w:keepNext/>
        <w:jc w:val="center"/>
        <w:rPr>
          <w:sz w:val="20"/>
        </w:rPr>
      </w:pPr>
    </w:p>
    <w:p w:rsidR="00AA4BF8" w:rsidRPr="00412620" w:rsidRDefault="00AA4BF8" w:rsidP="00AA4BF8">
      <w:pPr>
        <w:jc w:val="both"/>
        <w:rPr>
          <w:sz w:val="20"/>
        </w:rPr>
      </w:pPr>
      <w:r w:rsidRPr="00412620">
        <w:rPr>
          <w:sz w:val="20"/>
        </w:rPr>
        <w:tab/>
        <w:t>Rate of collection of tax under section 156A shall be</w:t>
      </w:r>
      <w:r w:rsidR="00DD1A3B">
        <w:rPr>
          <w:sz w:val="20"/>
        </w:rPr>
        <w:t xml:space="preserve"> </w:t>
      </w:r>
      <w:r w:rsidR="007A2E8E" w:rsidRPr="00DD1A3B">
        <w:rPr>
          <w:rStyle w:val="FootnoteReference"/>
          <w:color w:val="000000" w:themeColor="text1"/>
          <w:sz w:val="20"/>
        </w:rPr>
        <w:footnoteReference w:id="1674"/>
      </w:r>
      <w:r w:rsidR="007A2E8E" w:rsidRPr="00DD1A3B">
        <w:rPr>
          <w:color w:val="000000" w:themeColor="text1"/>
          <w:sz w:val="20"/>
        </w:rPr>
        <w:t>[</w:t>
      </w:r>
      <w:r w:rsidRPr="00DD1A3B">
        <w:rPr>
          <w:color w:val="000000" w:themeColor="text1"/>
          <w:sz w:val="20"/>
        </w:rPr>
        <w:t>12</w:t>
      </w:r>
      <w:r w:rsidR="007A2E8E" w:rsidRPr="00DD1A3B">
        <w:rPr>
          <w:color w:val="000000" w:themeColor="text1"/>
          <w:sz w:val="20"/>
        </w:rPr>
        <w:t>]</w:t>
      </w:r>
      <w:r w:rsidR="007A2E8E">
        <w:rPr>
          <w:sz w:val="20"/>
        </w:rPr>
        <w:t xml:space="preserve"> of the amount of payment</w:t>
      </w:r>
      <w:r w:rsidR="00DD1A3B">
        <w:rPr>
          <w:sz w:val="20"/>
        </w:rPr>
        <w:t xml:space="preserve"> </w:t>
      </w:r>
      <w:r w:rsidR="00D13DD5" w:rsidRPr="00F76B61">
        <w:rPr>
          <w:rStyle w:val="FootnoteReference"/>
          <w:color w:val="000000" w:themeColor="text1"/>
          <w:sz w:val="20"/>
        </w:rPr>
        <w:footnoteReference w:id="1675"/>
      </w:r>
      <w:r w:rsidR="00D13DD5" w:rsidRPr="00F76B61">
        <w:rPr>
          <w:color w:val="000000" w:themeColor="text1"/>
          <w:sz w:val="20"/>
        </w:rPr>
        <w:t>[for filers and 15% for non-filers”]</w:t>
      </w:r>
      <w:r w:rsidR="007A2E8E" w:rsidRPr="00F76B61">
        <w:rPr>
          <w:color w:val="000000" w:themeColor="text1"/>
          <w:sz w:val="20"/>
        </w:rPr>
        <w:t>.</w:t>
      </w:r>
    </w:p>
    <w:p w:rsidR="00AA4BF8" w:rsidRDefault="00AA4BF8" w:rsidP="00AA4BF8">
      <w:pPr>
        <w:jc w:val="both"/>
        <w:rPr>
          <w:sz w:val="20"/>
        </w:rPr>
      </w:pPr>
    </w:p>
    <w:p w:rsidR="008B7A1A" w:rsidRDefault="008B7A1A" w:rsidP="00AA4BF8">
      <w:pPr>
        <w:jc w:val="both"/>
        <w:rPr>
          <w:sz w:val="20"/>
        </w:rPr>
      </w:pPr>
    </w:p>
    <w:p w:rsidR="008B7A1A" w:rsidRPr="00412620" w:rsidRDefault="008B7A1A" w:rsidP="00AA4BF8">
      <w:pPr>
        <w:jc w:val="both"/>
        <w:rPr>
          <w:sz w:val="20"/>
        </w:rPr>
      </w:pPr>
    </w:p>
    <w:p w:rsidR="00AA4BF8" w:rsidRPr="00CF19CA" w:rsidRDefault="00AA4BF8" w:rsidP="00AA4BF8">
      <w:pPr>
        <w:pStyle w:val="1"/>
        <w:jc w:val="center"/>
        <w:rPr>
          <w:rFonts w:ascii="Arial" w:hAnsi="Arial" w:cs="Arial"/>
          <w:b/>
          <w:bCs/>
          <w:color w:val="auto"/>
          <w:sz w:val="28"/>
          <w:szCs w:val="28"/>
        </w:rPr>
      </w:pPr>
      <w:r w:rsidRPr="00CF19CA">
        <w:rPr>
          <w:rStyle w:val="FootnoteReference"/>
          <w:rFonts w:ascii="Arial" w:hAnsi="Arial" w:cs="Arial"/>
          <w:color w:val="auto"/>
          <w:sz w:val="20"/>
          <w:szCs w:val="20"/>
        </w:rPr>
        <w:footnoteReference w:id="1676"/>
      </w:r>
      <w:r w:rsidRPr="00CF19CA">
        <w:rPr>
          <w:rFonts w:ascii="Arial" w:hAnsi="Arial" w:cs="Arial"/>
          <w:color w:val="auto"/>
          <w:sz w:val="28"/>
          <w:szCs w:val="28"/>
        </w:rPr>
        <w:t>[</w:t>
      </w:r>
      <w:r w:rsidRPr="00CF19CA">
        <w:rPr>
          <w:rFonts w:ascii="Arial" w:hAnsi="Arial" w:cs="Arial"/>
          <w:b/>
          <w:bCs/>
          <w:color w:val="auto"/>
          <w:sz w:val="28"/>
          <w:szCs w:val="28"/>
        </w:rPr>
        <w:t>Division VIB</w:t>
      </w:r>
    </w:p>
    <w:p w:rsidR="00AA4BF8" w:rsidRPr="00CF19CA" w:rsidRDefault="00AA4BF8" w:rsidP="00AA4BF8">
      <w:pPr>
        <w:pStyle w:val="1"/>
        <w:spacing w:line="260" w:lineRule="atLeast"/>
        <w:jc w:val="center"/>
        <w:rPr>
          <w:rFonts w:ascii="Arial" w:hAnsi="Arial" w:cs="Arial"/>
          <w:b/>
          <w:bCs/>
          <w:color w:val="auto"/>
          <w:sz w:val="20"/>
          <w:szCs w:val="20"/>
        </w:rPr>
      </w:pPr>
      <w:r w:rsidRPr="00CF19CA">
        <w:rPr>
          <w:rFonts w:ascii="Arial" w:hAnsi="Arial" w:cs="Arial"/>
          <w:b/>
          <w:bCs/>
          <w:color w:val="auto"/>
          <w:sz w:val="20"/>
          <w:szCs w:val="20"/>
        </w:rPr>
        <w:t>CNG STATIONS</w:t>
      </w:r>
    </w:p>
    <w:p w:rsidR="00AA4BF8" w:rsidRPr="00412620" w:rsidRDefault="00AA4BF8" w:rsidP="00AA4BF8">
      <w:pPr>
        <w:pStyle w:val="1"/>
        <w:spacing w:line="260" w:lineRule="atLeast"/>
        <w:rPr>
          <w:color w:val="auto"/>
          <w:sz w:val="20"/>
          <w:szCs w:val="20"/>
        </w:rPr>
      </w:pPr>
    </w:p>
    <w:p w:rsidR="00AA4BF8" w:rsidRPr="00412620" w:rsidRDefault="00AA4BF8" w:rsidP="00AA4BF8">
      <w:pPr>
        <w:jc w:val="both"/>
        <w:rPr>
          <w:sz w:val="36"/>
          <w:szCs w:val="36"/>
        </w:rPr>
      </w:pPr>
      <w:r w:rsidRPr="00412620">
        <w:rPr>
          <w:sz w:val="20"/>
        </w:rPr>
        <w:tab/>
      </w:r>
      <w:r w:rsidRPr="00412620">
        <w:rPr>
          <w:sz w:val="20"/>
        </w:rPr>
        <w:tab/>
        <w:t xml:space="preserve">The rate of tax to be collected under section 234A in the case of a Compressed Natural Gas station shall be four </w:t>
      </w:r>
      <w:r>
        <w:rPr>
          <w:sz w:val="20"/>
        </w:rPr>
        <w:t>per cent</w:t>
      </w:r>
      <w:r w:rsidRPr="00412620">
        <w:rPr>
          <w:sz w:val="20"/>
        </w:rPr>
        <w:t xml:space="preserve"> of the gas consumption charges.]</w:t>
      </w:r>
    </w:p>
    <w:p w:rsidR="00AA4BF8" w:rsidRPr="00412620" w:rsidRDefault="00AA4BF8" w:rsidP="00AA4BF8">
      <w:pPr>
        <w:pStyle w:val="Heading2"/>
        <w:keepNext w:val="0"/>
        <w:spacing w:line="240" w:lineRule="auto"/>
        <w:rPr>
          <w:b w:val="0"/>
          <w:bCs/>
          <w:sz w:val="20"/>
        </w:rPr>
      </w:pPr>
    </w:p>
    <w:p w:rsidR="00AA4BF8" w:rsidRPr="00412620" w:rsidRDefault="00AA4BF8" w:rsidP="00AA4BF8">
      <w:pPr>
        <w:pStyle w:val="Heading2"/>
        <w:keepNext w:val="0"/>
        <w:spacing w:line="240" w:lineRule="auto"/>
        <w:rPr>
          <w:sz w:val="20"/>
        </w:rPr>
      </w:pPr>
      <w:r w:rsidRPr="00412620">
        <w:rPr>
          <w:rStyle w:val="FootnoteReference"/>
          <w:rFonts w:cs="Arial"/>
          <w:b w:val="0"/>
          <w:sz w:val="20"/>
        </w:rPr>
        <w:footnoteReference w:id="1677"/>
      </w:r>
      <w:r w:rsidRPr="00412620">
        <w:rPr>
          <w:b w:val="0"/>
          <w:sz w:val="20"/>
        </w:rPr>
        <w:t>[  ]</w:t>
      </w:r>
    </w:p>
    <w:p w:rsidR="00AA4BF8" w:rsidRPr="00412620" w:rsidRDefault="00AA4BF8" w:rsidP="00AA4BF8"/>
    <w:p w:rsidR="00AA4BF8" w:rsidRPr="00412620" w:rsidRDefault="00AA4BF8" w:rsidP="00AA4BF8">
      <w:pPr>
        <w:pStyle w:val="Heading2"/>
        <w:spacing w:line="240" w:lineRule="auto"/>
        <w:rPr>
          <w:sz w:val="36"/>
          <w:szCs w:val="36"/>
        </w:rPr>
      </w:pPr>
      <w:r w:rsidRPr="00412620">
        <w:rPr>
          <w:sz w:val="20"/>
        </w:rPr>
        <w:br w:type="page"/>
      </w:r>
      <w:r w:rsidRPr="00412620">
        <w:rPr>
          <w:sz w:val="36"/>
          <w:szCs w:val="36"/>
        </w:rPr>
        <w:lastRenderedPageBreak/>
        <w:t>PART IV</w:t>
      </w:r>
    </w:p>
    <w:p w:rsidR="00AA4BF8" w:rsidRPr="00412620" w:rsidRDefault="00AA4BF8" w:rsidP="00AA4BF8">
      <w:pPr>
        <w:pStyle w:val="C"/>
        <w:keepNext/>
        <w:widowControl/>
        <w:spacing w:before="0" w:after="0"/>
        <w:rPr>
          <w:rFonts w:ascii="Arial" w:hAnsi="Arial" w:cs="Arial"/>
          <w:sz w:val="20"/>
          <w:lang w:val="en-AU"/>
        </w:rPr>
      </w:pPr>
      <w:r w:rsidRPr="00412620">
        <w:rPr>
          <w:rFonts w:ascii="Arial" w:hAnsi="Arial" w:cs="Arial"/>
          <w:sz w:val="20"/>
          <w:lang w:val="en-AU"/>
        </w:rPr>
        <w:t>(See Chapter XII)</w:t>
      </w:r>
    </w:p>
    <w:p w:rsidR="00AA4BF8" w:rsidRPr="00412620" w:rsidRDefault="00AA4BF8" w:rsidP="00AA4BF8">
      <w:pPr>
        <w:keepNext/>
        <w:jc w:val="center"/>
        <w:rPr>
          <w:b/>
          <w:bCs/>
          <w:sz w:val="20"/>
        </w:rPr>
      </w:pPr>
      <w:r w:rsidRPr="00412620">
        <w:rPr>
          <w:b/>
          <w:bCs/>
          <w:sz w:val="20"/>
        </w:rPr>
        <w:t>DEDUCTION OR COLLECTION OF ADVANCE TAX</w:t>
      </w:r>
    </w:p>
    <w:p w:rsidR="00AA4BF8" w:rsidRPr="00412620" w:rsidRDefault="00AA4BF8" w:rsidP="00AA4BF8">
      <w:pPr>
        <w:keepNext/>
        <w:rPr>
          <w:b/>
          <w:bCs/>
          <w:sz w:val="16"/>
          <w:szCs w:val="16"/>
        </w:rPr>
      </w:pPr>
    </w:p>
    <w:p w:rsidR="00AA4BF8" w:rsidRPr="00412620" w:rsidRDefault="00AA4BF8" w:rsidP="00AA4BF8">
      <w:pPr>
        <w:jc w:val="center"/>
        <w:rPr>
          <w:sz w:val="20"/>
        </w:rPr>
      </w:pPr>
      <w:r w:rsidRPr="00412620">
        <w:rPr>
          <w:rStyle w:val="FootnoteReference"/>
          <w:rFonts w:cs="Arial"/>
          <w:sz w:val="20"/>
        </w:rPr>
        <w:footnoteReference w:id="1678"/>
      </w:r>
      <w:r w:rsidRPr="00412620">
        <w:rPr>
          <w:sz w:val="20"/>
        </w:rPr>
        <w:t>[  ]</w:t>
      </w:r>
    </w:p>
    <w:p w:rsidR="00AA4BF8" w:rsidRPr="00412620" w:rsidRDefault="00AA4BF8" w:rsidP="00AA4BF8">
      <w:pPr>
        <w:jc w:val="center"/>
        <w:rPr>
          <w:sz w:val="16"/>
          <w:szCs w:val="16"/>
        </w:rPr>
      </w:pPr>
    </w:p>
    <w:p w:rsidR="00E46E73" w:rsidRPr="0009763F" w:rsidRDefault="00D13DD5" w:rsidP="00601826">
      <w:pPr>
        <w:autoSpaceDE w:val="0"/>
        <w:autoSpaceDN w:val="0"/>
        <w:adjustRightInd w:val="0"/>
        <w:jc w:val="center"/>
        <w:rPr>
          <w:rFonts w:cs="Arial"/>
          <w:b/>
          <w:bCs/>
          <w:color w:val="0070C0"/>
          <w:szCs w:val="24"/>
        </w:rPr>
      </w:pPr>
      <w:r w:rsidRPr="00F76B61">
        <w:rPr>
          <w:rStyle w:val="FootnoteReference"/>
          <w:rFonts w:cs="Arial"/>
          <w:b/>
          <w:bCs/>
          <w:color w:val="000000" w:themeColor="text1"/>
          <w:szCs w:val="24"/>
          <w:lang w:val="en-US"/>
        </w:rPr>
        <w:footnoteReference w:id="1679"/>
      </w:r>
      <w:r w:rsidRPr="00F76B61">
        <w:rPr>
          <w:rFonts w:cs="Arial"/>
          <w:b/>
          <w:bCs/>
          <w:color w:val="000000" w:themeColor="text1"/>
          <w:szCs w:val="24"/>
          <w:lang w:val="en-US"/>
        </w:rPr>
        <w:t>[</w:t>
      </w:r>
      <w:r w:rsidR="007D51B0" w:rsidRPr="00E46E73">
        <w:rPr>
          <w:rFonts w:cs="Arial"/>
          <w:b/>
          <w:bCs/>
          <w:color w:val="984806" w:themeColor="accent6" w:themeShade="80"/>
          <w:szCs w:val="24"/>
          <w:lang w:val="en-US"/>
        </w:rPr>
        <w:t xml:space="preserve"> </w:t>
      </w:r>
      <w:r w:rsidR="007D51B0" w:rsidRPr="0009763F">
        <w:rPr>
          <w:rStyle w:val="FootnoteReference"/>
          <w:rFonts w:cs="Arial"/>
          <w:b/>
          <w:bCs/>
          <w:color w:val="0070C0"/>
          <w:szCs w:val="24"/>
          <w:lang w:val="en-US"/>
        </w:rPr>
        <w:footnoteReference w:id="1680"/>
      </w:r>
      <w:r w:rsidR="007D51B0" w:rsidRPr="0009763F">
        <w:rPr>
          <w:rFonts w:cs="Arial"/>
          <w:b/>
          <w:bCs/>
          <w:color w:val="0070C0"/>
          <w:szCs w:val="24"/>
          <w:lang w:val="en-US"/>
        </w:rPr>
        <w:t xml:space="preserve">[ </w:t>
      </w:r>
      <w:r w:rsidR="00E46E73" w:rsidRPr="0009763F">
        <w:rPr>
          <w:rFonts w:cs="Arial"/>
          <w:bCs/>
          <w:color w:val="0070C0"/>
          <w:szCs w:val="24"/>
        </w:rPr>
        <w:t>[“</w:t>
      </w:r>
      <w:r w:rsidR="00E46E73" w:rsidRPr="0009763F">
        <w:rPr>
          <w:rFonts w:cs="Arial"/>
          <w:b/>
          <w:bCs/>
          <w:color w:val="0070C0"/>
          <w:szCs w:val="24"/>
        </w:rPr>
        <w:t>Division II</w:t>
      </w:r>
    </w:p>
    <w:p w:rsidR="00E46E73" w:rsidRPr="0009763F" w:rsidRDefault="00E46E73" w:rsidP="00E46E73">
      <w:pPr>
        <w:autoSpaceDE w:val="0"/>
        <w:autoSpaceDN w:val="0"/>
        <w:adjustRightInd w:val="0"/>
        <w:ind w:left="1641" w:firstLine="547"/>
        <w:rPr>
          <w:rFonts w:cs="Arial"/>
          <w:b/>
          <w:bCs/>
          <w:color w:val="0070C0"/>
          <w:sz w:val="20"/>
        </w:rPr>
      </w:pPr>
      <w:r w:rsidRPr="0009763F">
        <w:rPr>
          <w:rFonts w:cs="Arial"/>
          <w:b/>
          <w:bCs/>
          <w:color w:val="0070C0"/>
          <w:sz w:val="20"/>
        </w:rPr>
        <w:t>BROKERAGE AND COMMISSION</w:t>
      </w:r>
    </w:p>
    <w:p w:rsidR="00E46E73" w:rsidRPr="0009763F" w:rsidRDefault="00E46E73" w:rsidP="00E46E73">
      <w:pPr>
        <w:autoSpaceDE w:val="0"/>
        <w:autoSpaceDN w:val="0"/>
        <w:adjustRightInd w:val="0"/>
        <w:ind w:left="1641" w:firstLine="547"/>
        <w:rPr>
          <w:rFonts w:cs="Arial"/>
          <w:bCs/>
          <w:color w:val="0070C0"/>
          <w:sz w:val="20"/>
        </w:rPr>
      </w:pPr>
    </w:p>
    <w:tbl>
      <w:tblPr>
        <w:tblStyle w:val="TableGrid"/>
        <w:tblW w:w="0" w:type="auto"/>
        <w:tblInd w:w="558" w:type="dxa"/>
        <w:tblLook w:val="04A0"/>
      </w:tblPr>
      <w:tblGrid>
        <w:gridCol w:w="750"/>
        <w:gridCol w:w="2670"/>
        <w:gridCol w:w="1440"/>
        <w:gridCol w:w="1710"/>
      </w:tblGrid>
      <w:tr w:rsidR="00E46E73" w:rsidRPr="0009763F" w:rsidTr="00D00608">
        <w:tc>
          <w:tcPr>
            <w:tcW w:w="750" w:type="dxa"/>
            <w:vMerge w:val="restart"/>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S.No.</w:t>
            </w:r>
          </w:p>
        </w:tc>
        <w:tc>
          <w:tcPr>
            <w:tcW w:w="2670" w:type="dxa"/>
            <w:vMerge w:val="restart"/>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Person</w:t>
            </w:r>
          </w:p>
        </w:tc>
        <w:tc>
          <w:tcPr>
            <w:tcW w:w="3150" w:type="dxa"/>
            <w:gridSpan w:val="2"/>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Rate applicable on the amount of payment.</w:t>
            </w:r>
          </w:p>
        </w:tc>
      </w:tr>
      <w:tr w:rsidR="00E46E73" w:rsidRPr="0009763F" w:rsidTr="00D00608">
        <w:tc>
          <w:tcPr>
            <w:tcW w:w="750" w:type="dxa"/>
            <w:vMerge/>
            <w:vAlign w:val="center"/>
          </w:tcPr>
          <w:p w:rsidR="00E46E73" w:rsidRPr="0009763F" w:rsidRDefault="00E46E73" w:rsidP="00B7389F">
            <w:pPr>
              <w:autoSpaceDE w:val="0"/>
              <w:autoSpaceDN w:val="0"/>
              <w:adjustRightInd w:val="0"/>
              <w:jc w:val="center"/>
              <w:rPr>
                <w:rFonts w:cs="Arial"/>
                <w:bCs/>
                <w:color w:val="0070C0"/>
                <w:sz w:val="20"/>
              </w:rPr>
            </w:pPr>
          </w:p>
        </w:tc>
        <w:tc>
          <w:tcPr>
            <w:tcW w:w="2670" w:type="dxa"/>
            <w:vMerge/>
            <w:vAlign w:val="center"/>
          </w:tcPr>
          <w:p w:rsidR="00E46E73" w:rsidRPr="0009763F" w:rsidRDefault="00E46E73" w:rsidP="00B7389F">
            <w:pPr>
              <w:autoSpaceDE w:val="0"/>
              <w:autoSpaceDN w:val="0"/>
              <w:adjustRightInd w:val="0"/>
              <w:jc w:val="center"/>
              <w:rPr>
                <w:rFonts w:cs="Arial"/>
                <w:bCs/>
                <w:color w:val="0070C0"/>
                <w:sz w:val="20"/>
              </w:rPr>
            </w:pPr>
          </w:p>
        </w:tc>
        <w:tc>
          <w:tcPr>
            <w:tcW w:w="144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Filer</w:t>
            </w:r>
          </w:p>
        </w:tc>
        <w:tc>
          <w:tcPr>
            <w:tcW w:w="171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Non-filer</w:t>
            </w:r>
          </w:p>
        </w:tc>
      </w:tr>
      <w:tr w:rsidR="00E46E73" w:rsidRPr="0009763F" w:rsidTr="00D00608">
        <w:tc>
          <w:tcPr>
            <w:tcW w:w="75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(1)</w:t>
            </w:r>
          </w:p>
        </w:tc>
        <w:tc>
          <w:tcPr>
            <w:tcW w:w="2670" w:type="dxa"/>
            <w:vAlign w:val="center"/>
          </w:tcPr>
          <w:p w:rsidR="00E46E73" w:rsidRPr="0009763F" w:rsidRDefault="00E46E73" w:rsidP="00D00608">
            <w:pPr>
              <w:autoSpaceDE w:val="0"/>
              <w:autoSpaceDN w:val="0"/>
              <w:adjustRightInd w:val="0"/>
              <w:jc w:val="center"/>
              <w:rPr>
                <w:rFonts w:cs="Arial"/>
                <w:bCs/>
                <w:color w:val="0070C0"/>
                <w:sz w:val="20"/>
              </w:rPr>
            </w:pPr>
            <w:r w:rsidRPr="0009763F">
              <w:rPr>
                <w:rFonts w:cs="Arial"/>
                <w:bCs/>
                <w:color w:val="0070C0"/>
                <w:sz w:val="20"/>
              </w:rPr>
              <w:t>(2)</w:t>
            </w:r>
          </w:p>
        </w:tc>
        <w:tc>
          <w:tcPr>
            <w:tcW w:w="144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(3)</w:t>
            </w:r>
          </w:p>
        </w:tc>
        <w:tc>
          <w:tcPr>
            <w:tcW w:w="171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(4)</w:t>
            </w:r>
          </w:p>
        </w:tc>
      </w:tr>
      <w:tr w:rsidR="00E46E73" w:rsidRPr="0009763F" w:rsidTr="00D00608">
        <w:trPr>
          <w:trHeight w:val="540"/>
        </w:trPr>
        <w:tc>
          <w:tcPr>
            <w:tcW w:w="75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1.</w:t>
            </w:r>
          </w:p>
        </w:tc>
        <w:tc>
          <w:tcPr>
            <w:tcW w:w="2670" w:type="dxa"/>
            <w:vAlign w:val="center"/>
          </w:tcPr>
          <w:p w:rsidR="00E46E73" w:rsidRPr="0009763F" w:rsidRDefault="00E46E73" w:rsidP="00B7389F">
            <w:pPr>
              <w:autoSpaceDE w:val="0"/>
              <w:autoSpaceDN w:val="0"/>
              <w:adjustRightInd w:val="0"/>
              <w:jc w:val="both"/>
              <w:rPr>
                <w:rFonts w:cs="Arial"/>
                <w:bCs/>
                <w:color w:val="0070C0"/>
                <w:sz w:val="20"/>
              </w:rPr>
            </w:pPr>
            <w:r w:rsidRPr="0009763F">
              <w:rPr>
                <w:rFonts w:cs="Arial"/>
                <w:bCs/>
                <w:color w:val="0070C0"/>
                <w:sz w:val="20"/>
              </w:rPr>
              <w:t>Advertising Agents</w:t>
            </w:r>
          </w:p>
        </w:tc>
        <w:tc>
          <w:tcPr>
            <w:tcW w:w="144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10%</w:t>
            </w:r>
          </w:p>
        </w:tc>
        <w:tc>
          <w:tcPr>
            <w:tcW w:w="171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15%</w:t>
            </w:r>
          </w:p>
        </w:tc>
      </w:tr>
      <w:tr w:rsidR="00E46E73" w:rsidRPr="0009763F" w:rsidTr="00D00608">
        <w:trPr>
          <w:trHeight w:val="540"/>
        </w:trPr>
        <w:tc>
          <w:tcPr>
            <w:tcW w:w="750" w:type="dxa"/>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2.</w:t>
            </w:r>
          </w:p>
        </w:tc>
        <w:tc>
          <w:tcPr>
            <w:tcW w:w="2670" w:type="dxa"/>
            <w:vAlign w:val="center"/>
          </w:tcPr>
          <w:p w:rsidR="00E46E73" w:rsidRPr="0009763F" w:rsidRDefault="00E46E73" w:rsidP="00B7389F">
            <w:pPr>
              <w:autoSpaceDE w:val="0"/>
              <w:autoSpaceDN w:val="0"/>
              <w:adjustRightInd w:val="0"/>
              <w:jc w:val="both"/>
              <w:rPr>
                <w:rFonts w:cs="Arial"/>
                <w:bCs/>
                <w:color w:val="0070C0"/>
                <w:sz w:val="20"/>
              </w:rPr>
            </w:pPr>
            <w:r w:rsidRPr="0009763F">
              <w:rPr>
                <w:rFonts w:cs="Arial"/>
                <w:bCs/>
                <w:color w:val="0070C0"/>
                <w:sz w:val="20"/>
              </w:rPr>
              <w:t>Life Insurance Agents where commission received is less than Rs.0.5 million per annum</w:t>
            </w:r>
          </w:p>
        </w:tc>
        <w:tc>
          <w:tcPr>
            <w:tcW w:w="144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8%</w:t>
            </w:r>
          </w:p>
        </w:tc>
        <w:tc>
          <w:tcPr>
            <w:tcW w:w="171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16%</w:t>
            </w:r>
          </w:p>
        </w:tc>
      </w:tr>
      <w:tr w:rsidR="00E46E73" w:rsidRPr="0009763F" w:rsidTr="00D00608">
        <w:trPr>
          <w:trHeight w:val="540"/>
        </w:trPr>
        <w:tc>
          <w:tcPr>
            <w:tcW w:w="750" w:type="dxa"/>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3.</w:t>
            </w:r>
          </w:p>
        </w:tc>
        <w:tc>
          <w:tcPr>
            <w:tcW w:w="2670" w:type="dxa"/>
            <w:vAlign w:val="center"/>
          </w:tcPr>
          <w:p w:rsidR="00E46E73" w:rsidRPr="0009763F" w:rsidRDefault="00E46E73" w:rsidP="00B7389F">
            <w:pPr>
              <w:autoSpaceDE w:val="0"/>
              <w:autoSpaceDN w:val="0"/>
              <w:adjustRightInd w:val="0"/>
              <w:jc w:val="both"/>
              <w:rPr>
                <w:rFonts w:cs="Arial"/>
                <w:bCs/>
                <w:color w:val="0070C0"/>
                <w:sz w:val="20"/>
              </w:rPr>
            </w:pPr>
            <w:r w:rsidRPr="0009763F">
              <w:rPr>
                <w:rFonts w:cs="Arial"/>
                <w:bCs/>
                <w:color w:val="0070C0"/>
                <w:sz w:val="20"/>
              </w:rPr>
              <w:t>Persons not covered in 1 and 2 above</w:t>
            </w:r>
          </w:p>
        </w:tc>
        <w:tc>
          <w:tcPr>
            <w:tcW w:w="1440" w:type="dxa"/>
            <w:vAlign w:val="center"/>
          </w:tcPr>
          <w:p w:rsidR="00E46E73" w:rsidRPr="0009763F" w:rsidRDefault="00E46E73" w:rsidP="00B7389F">
            <w:pPr>
              <w:autoSpaceDE w:val="0"/>
              <w:autoSpaceDN w:val="0"/>
              <w:adjustRightInd w:val="0"/>
              <w:jc w:val="center"/>
              <w:rPr>
                <w:rFonts w:cs="Arial"/>
                <w:bCs/>
                <w:color w:val="0070C0"/>
                <w:sz w:val="20"/>
              </w:rPr>
            </w:pPr>
            <w:r w:rsidRPr="0009763F">
              <w:rPr>
                <w:rFonts w:cs="Arial"/>
                <w:bCs/>
                <w:color w:val="0070C0"/>
                <w:sz w:val="20"/>
              </w:rPr>
              <w:t>12%</w:t>
            </w:r>
          </w:p>
        </w:tc>
        <w:tc>
          <w:tcPr>
            <w:tcW w:w="1710" w:type="dxa"/>
            <w:vAlign w:val="center"/>
          </w:tcPr>
          <w:p w:rsidR="00E46E73" w:rsidRPr="0009763F" w:rsidRDefault="00D00608" w:rsidP="00B7389F">
            <w:pPr>
              <w:autoSpaceDE w:val="0"/>
              <w:autoSpaceDN w:val="0"/>
              <w:adjustRightInd w:val="0"/>
              <w:jc w:val="center"/>
              <w:rPr>
                <w:rFonts w:cs="Arial"/>
                <w:bCs/>
                <w:color w:val="0070C0"/>
                <w:sz w:val="20"/>
              </w:rPr>
            </w:pPr>
            <w:r w:rsidRPr="0009763F">
              <w:rPr>
                <w:rFonts w:cs="Arial"/>
                <w:bCs/>
                <w:color w:val="0070C0"/>
                <w:sz w:val="20"/>
              </w:rPr>
              <w:t>15%”]</w:t>
            </w:r>
          </w:p>
        </w:tc>
      </w:tr>
    </w:tbl>
    <w:p w:rsidR="00D13DD5" w:rsidRDefault="00D13DD5" w:rsidP="00AA4BF8">
      <w:pPr>
        <w:autoSpaceDE w:val="0"/>
        <w:autoSpaceDN w:val="0"/>
        <w:adjustRightInd w:val="0"/>
        <w:jc w:val="center"/>
        <w:rPr>
          <w:rFonts w:cs="Arial"/>
          <w:b/>
          <w:bCs/>
          <w:color w:val="00B0F0"/>
          <w:sz w:val="28"/>
          <w:szCs w:val="28"/>
          <w:lang w:val="en-US"/>
        </w:rPr>
      </w:pPr>
    </w:p>
    <w:p w:rsidR="00D13DD5" w:rsidRDefault="00D13DD5" w:rsidP="00AA4BF8">
      <w:pPr>
        <w:autoSpaceDE w:val="0"/>
        <w:autoSpaceDN w:val="0"/>
        <w:adjustRightInd w:val="0"/>
        <w:jc w:val="center"/>
        <w:rPr>
          <w:rFonts w:cs="Arial"/>
          <w:b/>
          <w:bCs/>
          <w:color w:val="00B0F0"/>
          <w:sz w:val="28"/>
          <w:szCs w:val="28"/>
          <w:lang w:val="en-US"/>
        </w:rPr>
      </w:pPr>
    </w:p>
    <w:p w:rsidR="00AA4BF8" w:rsidRPr="00D13DD5" w:rsidRDefault="00AA4BF8" w:rsidP="00D13DD5">
      <w:pPr>
        <w:autoSpaceDE w:val="0"/>
        <w:autoSpaceDN w:val="0"/>
        <w:adjustRightInd w:val="0"/>
        <w:jc w:val="center"/>
        <w:rPr>
          <w:color w:val="000000" w:themeColor="text1"/>
          <w:sz w:val="16"/>
          <w:szCs w:val="16"/>
          <w:lang w:val="en-US"/>
        </w:rPr>
      </w:pPr>
    </w:p>
    <w:p w:rsidR="0096091F" w:rsidRPr="0009763F" w:rsidRDefault="00AA4BF8" w:rsidP="00C727CE">
      <w:pPr>
        <w:autoSpaceDE w:val="0"/>
        <w:autoSpaceDN w:val="0"/>
        <w:adjustRightInd w:val="0"/>
        <w:ind w:left="2188" w:firstLine="547"/>
        <w:rPr>
          <w:rFonts w:cs="Arial"/>
          <w:b/>
          <w:bCs/>
          <w:color w:val="0070C0"/>
          <w:sz w:val="20"/>
        </w:rPr>
      </w:pPr>
      <w:r w:rsidRPr="00C727CE">
        <w:rPr>
          <w:rFonts w:ascii="Arial,Bold" w:hAnsi="Arial,Bold" w:cs="Arial,Bold"/>
          <w:color w:val="00B0F0"/>
          <w:sz w:val="20"/>
          <w:lang w:val="en-US"/>
        </w:rPr>
        <w:br w:type="page"/>
      </w:r>
      <w:r w:rsidRPr="00412620">
        <w:rPr>
          <w:rStyle w:val="FootnoteReference"/>
          <w:rFonts w:cs="Arial"/>
          <w:sz w:val="20"/>
        </w:rPr>
        <w:lastRenderedPageBreak/>
        <w:footnoteReference w:id="1681"/>
      </w:r>
      <w:r w:rsidR="00D51DE8" w:rsidRPr="00C727CE">
        <w:rPr>
          <w:sz w:val="20"/>
        </w:rPr>
        <w:t xml:space="preserve">[  </w:t>
      </w:r>
      <w:r w:rsidR="00D51DE8" w:rsidRPr="0009763F">
        <w:rPr>
          <w:rStyle w:val="FootnoteReference"/>
          <w:color w:val="0070C0"/>
          <w:szCs w:val="24"/>
        </w:rPr>
        <w:footnoteReference w:id="1682"/>
      </w:r>
      <w:r w:rsidR="00D51DE8" w:rsidRPr="0009763F">
        <w:rPr>
          <w:color w:val="0070C0"/>
          <w:szCs w:val="24"/>
        </w:rPr>
        <w:t>[</w:t>
      </w:r>
      <w:r w:rsidR="0096091F" w:rsidRPr="0009763F">
        <w:rPr>
          <w:rFonts w:cs="Arial"/>
          <w:b/>
          <w:bCs/>
          <w:color w:val="0070C0"/>
          <w:szCs w:val="24"/>
        </w:rPr>
        <w:t>“Division IIA</w:t>
      </w:r>
    </w:p>
    <w:p w:rsidR="00C727CE" w:rsidRPr="0009763F" w:rsidRDefault="00C727CE" w:rsidP="0096091F">
      <w:pPr>
        <w:pStyle w:val="ListParagraph"/>
        <w:autoSpaceDE w:val="0"/>
        <w:autoSpaceDN w:val="0"/>
        <w:adjustRightInd w:val="0"/>
        <w:ind w:left="2880" w:firstLine="402"/>
        <w:rPr>
          <w:rFonts w:cs="Arial"/>
          <w:b/>
          <w:bCs/>
          <w:color w:val="0070C0"/>
          <w:sz w:val="20"/>
        </w:rPr>
      </w:pPr>
    </w:p>
    <w:p w:rsidR="0096091F" w:rsidRPr="0009763F" w:rsidRDefault="0096091F" w:rsidP="0096091F">
      <w:pPr>
        <w:autoSpaceDE w:val="0"/>
        <w:autoSpaceDN w:val="0"/>
        <w:adjustRightInd w:val="0"/>
        <w:ind w:left="547" w:firstLine="547"/>
        <w:jc w:val="center"/>
        <w:rPr>
          <w:rFonts w:cs="Arial"/>
          <w:b/>
          <w:bCs/>
          <w:color w:val="0070C0"/>
          <w:sz w:val="20"/>
        </w:rPr>
      </w:pPr>
      <w:r w:rsidRPr="0009763F">
        <w:rPr>
          <w:rFonts w:cs="Arial"/>
          <w:b/>
          <w:bCs/>
          <w:color w:val="0070C0"/>
          <w:sz w:val="20"/>
        </w:rPr>
        <w:t>RATES FOR COLLECTION OF TAX BY A STOCK</w:t>
      </w:r>
    </w:p>
    <w:p w:rsidR="0096091F" w:rsidRPr="0009763F" w:rsidRDefault="0096091F" w:rsidP="0096091F">
      <w:pPr>
        <w:autoSpaceDE w:val="0"/>
        <w:autoSpaceDN w:val="0"/>
        <w:adjustRightInd w:val="0"/>
        <w:ind w:left="547" w:firstLine="547"/>
        <w:jc w:val="center"/>
        <w:rPr>
          <w:rFonts w:cs="Arial"/>
          <w:b/>
          <w:bCs/>
          <w:color w:val="0070C0"/>
          <w:sz w:val="20"/>
        </w:rPr>
      </w:pPr>
      <w:r w:rsidRPr="0009763F">
        <w:rPr>
          <w:rFonts w:cs="Arial"/>
          <w:b/>
          <w:bCs/>
          <w:color w:val="0070C0"/>
          <w:sz w:val="20"/>
        </w:rPr>
        <w:t>EXCHANGE REGISTERED IN PAKISTAN</w:t>
      </w:r>
    </w:p>
    <w:p w:rsidR="0096091F" w:rsidRPr="0009763F" w:rsidRDefault="0096091F" w:rsidP="0096091F">
      <w:pPr>
        <w:autoSpaceDE w:val="0"/>
        <w:autoSpaceDN w:val="0"/>
        <w:adjustRightInd w:val="0"/>
        <w:ind w:left="547" w:firstLine="547"/>
        <w:jc w:val="center"/>
        <w:rPr>
          <w:rFonts w:cs="Arial"/>
          <w:b/>
          <w:bCs/>
          <w:color w:val="0070C0"/>
          <w:sz w:val="20"/>
        </w:rPr>
      </w:pPr>
    </w:p>
    <w:tbl>
      <w:tblPr>
        <w:tblW w:w="75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4500"/>
        <w:gridCol w:w="2160"/>
      </w:tblGrid>
      <w:tr w:rsidR="0096091F" w:rsidRPr="0009763F" w:rsidTr="0096091F">
        <w:tc>
          <w:tcPr>
            <w:tcW w:w="900" w:type="dxa"/>
          </w:tcPr>
          <w:p w:rsidR="0096091F" w:rsidRPr="0009763F" w:rsidRDefault="0096091F" w:rsidP="00B7389F">
            <w:pPr>
              <w:autoSpaceDE w:val="0"/>
              <w:autoSpaceDN w:val="0"/>
              <w:adjustRightInd w:val="0"/>
              <w:jc w:val="center"/>
              <w:rPr>
                <w:rFonts w:cs="Arial"/>
                <w:bCs/>
                <w:color w:val="0070C0"/>
                <w:sz w:val="20"/>
              </w:rPr>
            </w:pPr>
            <w:r w:rsidRPr="0009763F">
              <w:rPr>
                <w:rFonts w:cs="Arial"/>
                <w:bCs/>
                <w:color w:val="0070C0"/>
                <w:sz w:val="20"/>
              </w:rPr>
              <w:t>S.No.</w:t>
            </w:r>
          </w:p>
        </w:tc>
        <w:tc>
          <w:tcPr>
            <w:tcW w:w="4500" w:type="dxa"/>
          </w:tcPr>
          <w:p w:rsidR="0096091F" w:rsidRPr="0009763F" w:rsidRDefault="0096091F" w:rsidP="00B7389F">
            <w:pPr>
              <w:autoSpaceDE w:val="0"/>
              <w:autoSpaceDN w:val="0"/>
              <w:adjustRightInd w:val="0"/>
              <w:jc w:val="center"/>
              <w:rPr>
                <w:rFonts w:cs="Arial"/>
                <w:bCs/>
                <w:color w:val="0070C0"/>
                <w:sz w:val="20"/>
              </w:rPr>
            </w:pPr>
            <w:r w:rsidRPr="0009763F">
              <w:rPr>
                <w:rFonts w:cs="Arial"/>
                <w:bCs/>
                <w:color w:val="0070C0"/>
                <w:sz w:val="20"/>
              </w:rPr>
              <w:t>Description</w:t>
            </w:r>
          </w:p>
        </w:tc>
        <w:tc>
          <w:tcPr>
            <w:tcW w:w="2160" w:type="dxa"/>
          </w:tcPr>
          <w:p w:rsidR="0096091F" w:rsidRPr="0009763F" w:rsidRDefault="0096091F" w:rsidP="00B7389F">
            <w:pPr>
              <w:autoSpaceDE w:val="0"/>
              <w:autoSpaceDN w:val="0"/>
              <w:adjustRightInd w:val="0"/>
              <w:jc w:val="center"/>
              <w:rPr>
                <w:rFonts w:cs="Arial"/>
                <w:bCs/>
                <w:color w:val="0070C0"/>
                <w:sz w:val="20"/>
              </w:rPr>
            </w:pPr>
            <w:r w:rsidRPr="0009763F">
              <w:rPr>
                <w:rFonts w:cs="Arial"/>
                <w:bCs/>
                <w:color w:val="0070C0"/>
                <w:sz w:val="20"/>
              </w:rPr>
              <w:t>Rate</w:t>
            </w:r>
          </w:p>
        </w:tc>
      </w:tr>
      <w:tr w:rsidR="0096091F" w:rsidRPr="0009763F" w:rsidTr="0096091F">
        <w:tc>
          <w:tcPr>
            <w:tcW w:w="900" w:type="dxa"/>
          </w:tcPr>
          <w:p w:rsidR="0096091F" w:rsidRPr="0009763F" w:rsidRDefault="0096091F" w:rsidP="00B7389F">
            <w:pPr>
              <w:autoSpaceDE w:val="0"/>
              <w:autoSpaceDN w:val="0"/>
              <w:adjustRightInd w:val="0"/>
              <w:jc w:val="center"/>
              <w:rPr>
                <w:rFonts w:cs="Arial"/>
                <w:bCs/>
                <w:color w:val="0070C0"/>
                <w:sz w:val="20"/>
              </w:rPr>
            </w:pPr>
            <w:r w:rsidRPr="0009763F">
              <w:rPr>
                <w:rFonts w:cs="Arial"/>
                <w:bCs/>
                <w:color w:val="0070C0"/>
                <w:sz w:val="20"/>
              </w:rPr>
              <w:t>(1)</w:t>
            </w:r>
          </w:p>
        </w:tc>
        <w:tc>
          <w:tcPr>
            <w:tcW w:w="4500" w:type="dxa"/>
          </w:tcPr>
          <w:p w:rsidR="0096091F" w:rsidRPr="0009763F" w:rsidRDefault="0096091F" w:rsidP="00B7389F">
            <w:pPr>
              <w:tabs>
                <w:tab w:val="center" w:pos="2500"/>
              </w:tabs>
              <w:autoSpaceDE w:val="0"/>
              <w:autoSpaceDN w:val="0"/>
              <w:adjustRightInd w:val="0"/>
              <w:jc w:val="center"/>
              <w:rPr>
                <w:rFonts w:cs="Arial"/>
                <w:bCs/>
                <w:color w:val="0070C0"/>
                <w:sz w:val="20"/>
              </w:rPr>
            </w:pPr>
            <w:r w:rsidRPr="0009763F">
              <w:rPr>
                <w:rFonts w:cs="Arial"/>
                <w:bCs/>
                <w:color w:val="0070C0"/>
                <w:sz w:val="20"/>
              </w:rPr>
              <w:t>(2)</w:t>
            </w:r>
          </w:p>
        </w:tc>
        <w:tc>
          <w:tcPr>
            <w:tcW w:w="2160" w:type="dxa"/>
          </w:tcPr>
          <w:p w:rsidR="0096091F" w:rsidRPr="0009763F" w:rsidRDefault="0096091F" w:rsidP="00B7389F">
            <w:pPr>
              <w:autoSpaceDE w:val="0"/>
              <w:autoSpaceDN w:val="0"/>
              <w:adjustRightInd w:val="0"/>
              <w:jc w:val="center"/>
              <w:rPr>
                <w:rFonts w:cs="Arial"/>
                <w:bCs/>
                <w:color w:val="0070C0"/>
                <w:sz w:val="20"/>
              </w:rPr>
            </w:pPr>
            <w:r w:rsidRPr="0009763F">
              <w:rPr>
                <w:rFonts w:cs="Arial"/>
                <w:bCs/>
                <w:color w:val="0070C0"/>
                <w:sz w:val="20"/>
              </w:rPr>
              <w:t>(3)</w:t>
            </w:r>
          </w:p>
        </w:tc>
      </w:tr>
      <w:tr w:rsidR="0096091F" w:rsidRPr="0009763F" w:rsidTr="0096091F">
        <w:tc>
          <w:tcPr>
            <w:tcW w:w="900" w:type="dxa"/>
          </w:tcPr>
          <w:p w:rsidR="0096091F" w:rsidRPr="0009763F" w:rsidRDefault="0096091F" w:rsidP="00B7389F">
            <w:pPr>
              <w:autoSpaceDE w:val="0"/>
              <w:autoSpaceDN w:val="0"/>
              <w:adjustRightInd w:val="0"/>
              <w:jc w:val="center"/>
              <w:rPr>
                <w:rFonts w:cs="Arial"/>
                <w:bCs/>
                <w:color w:val="0070C0"/>
                <w:sz w:val="20"/>
              </w:rPr>
            </w:pPr>
            <w:r w:rsidRPr="0009763F">
              <w:rPr>
                <w:rFonts w:cs="Arial"/>
                <w:bCs/>
                <w:color w:val="0070C0"/>
                <w:sz w:val="20"/>
              </w:rPr>
              <w:t>1.</w:t>
            </w:r>
          </w:p>
        </w:tc>
        <w:tc>
          <w:tcPr>
            <w:tcW w:w="4500" w:type="dxa"/>
          </w:tcPr>
          <w:p w:rsidR="0096091F" w:rsidRPr="0009763F" w:rsidRDefault="0096091F" w:rsidP="00B7389F">
            <w:pPr>
              <w:autoSpaceDE w:val="0"/>
              <w:autoSpaceDN w:val="0"/>
              <w:adjustRightInd w:val="0"/>
              <w:jc w:val="both"/>
              <w:rPr>
                <w:rFonts w:cs="Arial"/>
                <w:bCs/>
                <w:color w:val="0070C0"/>
                <w:sz w:val="20"/>
              </w:rPr>
            </w:pPr>
            <w:r w:rsidRPr="0009763F">
              <w:rPr>
                <w:rFonts w:cs="Arial"/>
                <w:bCs/>
                <w:color w:val="0070C0"/>
                <w:sz w:val="20"/>
              </w:rPr>
              <w:t>in case of purchase of shares as per clause (a) of sub-section (1) of section 233A.</w:t>
            </w:r>
          </w:p>
        </w:tc>
        <w:tc>
          <w:tcPr>
            <w:tcW w:w="2160" w:type="dxa"/>
          </w:tcPr>
          <w:p w:rsidR="0096091F" w:rsidRPr="0009763F" w:rsidRDefault="0096091F" w:rsidP="00B7389F">
            <w:pPr>
              <w:autoSpaceDE w:val="0"/>
              <w:autoSpaceDN w:val="0"/>
              <w:adjustRightInd w:val="0"/>
              <w:jc w:val="both"/>
              <w:rPr>
                <w:rFonts w:cs="Arial"/>
                <w:bCs/>
                <w:color w:val="0070C0"/>
                <w:sz w:val="20"/>
              </w:rPr>
            </w:pPr>
            <w:r w:rsidRPr="0009763F">
              <w:rPr>
                <w:rFonts w:cs="Arial"/>
                <w:bCs/>
                <w:color w:val="0070C0"/>
                <w:sz w:val="20"/>
              </w:rPr>
              <w:t>0.02% of purchase value</w:t>
            </w:r>
          </w:p>
        </w:tc>
      </w:tr>
      <w:tr w:rsidR="0096091F" w:rsidRPr="0009763F" w:rsidTr="0096091F">
        <w:tc>
          <w:tcPr>
            <w:tcW w:w="900" w:type="dxa"/>
          </w:tcPr>
          <w:p w:rsidR="0096091F" w:rsidRPr="0009763F" w:rsidRDefault="0096091F" w:rsidP="00B7389F">
            <w:pPr>
              <w:autoSpaceDE w:val="0"/>
              <w:autoSpaceDN w:val="0"/>
              <w:adjustRightInd w:val="0"/>
              <w:jc w:val="center"/>
              <w:rPr>
                <w:rFonts w:cs="Arial"/>
                <w:bCs/>
                <w:color w:val="0070C0"/>
                <w:sz w:val="20"/>
              </w:rPr>
            </w:pPr>
            <w:r w:rsidRPr="0009763F">
              <w:rPr>
                <w:rFonts w:cs="Arial"/>
                <w:bCs/>
                <w:color w:val="0070C0"/>
                <w:sz w:val="20"/>
              </w:rPr>
              <w:t>2.</w:t>
            </w:r>
          </w:p>
        </w:tc>
        <w:tc>
          <w:tcPr>
            <w:tcW w:w="4500" w:type="dxa"/>
          </w:tcPr>
          <w:p w:rsidR="0096091F" w:rsidRPr="0009763F" w:rsidRDefault="0096091F" w:rsidP="00B7389F">
            <w:pPr>
              <w:autoSpaceDE w:val="0"/>
              <w:autoSpaceDN w:val="0"/>
              <w:adjustRightInd w:val="0"/>
              <w:jc w:val="both"/>
              <w:rPr>
                <w:rFonts w:cs="Arial"/>
                <w:bCs/>
                <w:color w:val="0070C0"/>
                <w:sz w:val="20"/>
              </w:rPr>
            </w:pPr>
            <w:r w:rsidRPr="0009763F">
              <w:rPr>
                <w:rFonts w:cs="Arial"/>
                <w:bCs/>
                <w:color w:val="0070C0"/>
                <w:sz w:val="20"/>
              </w:rPr>
              <w:t>in case of sale of shares as per clause (b) of sub-section (1) of section 233A.</w:t>
            </w:r>
          </w:p>
        </w:tc>
        <w:tc>
          <w:tcPr>
            <w:tcW w:w="2160" w:type="dxa"/>
          </w:tcPr>
          <w:p w:rsidR="0096091F" w:rsidRPr="0009763F" w:rsidRDefault="0096091F" w:rsidP="00B7389F">
            <w:pPr>
              <w:autoSpaceDE w:val="0"/>
              <w:autoSpaceDN w:val="0"/>
              <w:adjustRightInd w:val="0"/>
              <w:jc w:val="both"/>
              <w:rPr>
                <w:rFonts w:cs="Arial"/>
                <w:bCs/>
                <w:color w:val="0070C0"/>
                <w:sz w:val="20"/>
              </w:rPr>
            </w:pPr>
            <w:r w:rsidRPr="0009763F">
              <w:rPr>
                <w:rFonts w:cs="Arial"/>
                <w:bCs/>
                <w:color w:val="0070C0"/>
                <w:sz w:val="20"/>
              </w:rPr>
              <w:t>0.02% of sale value”;</w:t>
            </w:r>
          </w:p>
        </w:tc>
      </w:tr>
    </w:tbl>
    <w:p w:rsidR="00D51DE8" w:rsidRDefault="00D51DE8" w:rsidP="0096091F">
      <w:pPr>
        <w:autoSpaceDE w:val="0"/>
        <w:autoSpaceDN w:val="0"/>
        <w:adjustRightInd w:val="0"/>
        <w:jc w:val="center"/>
        <w:rPr>
          <w:sz w:val="20"/>
        </w:rPr>
      </w:pPr>
    </w:p>
    <w:p w:rsidR="00D51DE8" w:rsidRDefault="00D51DE8" w:rsidP="00EB5658">
      <w:pPr>
        <w:autoSpaceDE w:val="0"/>
        <w:autoSpaceDN w:val="0"/>
        <w:adjustRightInd w:val="0"/>
        <w:jc w:val="center"/>
        <w:rPr>
          <w:sz w:val="20"/>
        </w:rPr>
      </w:pPr>
    </w:p>
    <w:tbl>
      <w:tblPr>
        <w:tblW w:w="0" w:type="auto"/>
        <w:tblInd w:w="2" w:type="dxa"/>
        <w:tblLook w:val="0000"/>
      </w:tblPr>
      <w:tblGrid>
        <w:gridCol w:w="720"/>
        <w:gridCol w:w="3777"/>
        <w:gridCol w:w="1731"/>
      </w:tblGrid>
      <w:tr w:rsidR="00AA4BF8" w:rsidRPr="00412620" w:rsidTr="00A752DD">
        <w:tc>
          <w:tcPr>
            <w:tcW w:w="720" w:type="dxa"/>
          </w:tcPr>
          <w:p w:rsidR="00AA4BF8" w:rsidRPr="00412620" w:rsidRDefault="00AA4BF8" w:rsidP="00D51DE8">
            <w:pPr>
              <w:rPr>
                <w:sz w:val="20"/>
              </w:rPr>
            </w:pPr>
          </w:p>
        </w:tc>
        <w:tc>
          <w:tcPr>
            <w:tcW w:w="3777" w:type="dxa"/>
          </w:tcPr>
          <w:p w:rsidR="00AA4BF8" w:rsidRPr="00412620" w:rsidRDefault="00AA4BF8" w:rsidP="00A752DD">
            <w:pPr>
              <w:jc w:val="both"/>
              <w:rPr>
                <w:sz w:val="20"/>
              </w:rPr>
            </w:pPr>
          </w:p>
        </w:tc>
        <w:tc>
          <w:tcPr>
            <w:tcW w:w="1731" w:type="dxa"/>
          </w:tcPr>
          <w:p w:rsidR="00AA4BF8" w:rsidRPr="00412620" w:rsidRDefault="00AA4BF8" w:rsidP="00A752DD">
            <w:pPr>
              <w:rPr>
                <w:sz w:val="20"/>
              </w:rPr>
            </w:pPr>
          </w:p>
        </w:tc>
      </w:tr>
    </w:tbl>
    <w:p w:rsidR="00AA4BF8" w:rsidRPr="00412620" w:rsidRDefault="00AA4BF8" w:rsidP="00AA4BF8">
      <w:pPr>
        <w:jc w:val="center"/>
        <w:rPr>
          <w:sz w:val="20"/>
        </w:rPr>
      </w:pPr>
    </w:p>
    <w:p w:rsidR="00AA4BF8" w:rsidRPr="00412620" w:rsidRDefault="00AA4BF8" w:rsidP="00AA4BF8">
      <w:pPr>
        <w:jc w:val="center"/>
        <w:rPr>
          <w:b/>
          <w:bCs/>
          <w:sz w:val="28"/>
          <w:szCs w:val="28"/>
        </w:rPr>
      </w:pPr>
      <w:r w:rsidRPr="00412620">
        <w:rPr>
          <w:rStyle w:val="FootnoteReference"/>
          <w:rFonts w:cs="Arial"/>
          <w:sz w:val="20"/>
        </w:rPr>
        <w:footnoteReference w:id="1683"/>
      </w:r>
      <w:r w:rsidRPr="00412620">
        <w:rPr>
          <w:sz w:val="20"/>
        </w:rPr>
        <w:t>[</w:t>
      </w:r>
      <w:r w:rsidRPr="00412620">
        <w:rPr>
          <w:b/>
          <w:bCs/>
          <w:sz w:val="28"/>
          <w:szCs w:val="28"/>
        </w:rPr>
        <w:t>Division IIB</w:t>
      </w:r>
    </w:p>
    <w:p w:rsidR="00AA4BF8" w:rsidRPr="00412620" w:rsidRDefault="00AA4BF8" w:rsidP="00AA4BF8">
      <w:pPr>
        <w:jc w:val="center"/>
      </w:pPr>
      <w:r w:rsidRPr="00412620">
        <w:rPr>
          <w:b/>
          <w:bCs/>
        </w:rPr>
        <w:t>Rates for collection of tax by NCCPL</w:t>
      </w:r>
    </w:p>
    <w:p w:rsidR="00AA4BF8" w:rsidRPr="008B7A1A" w:rsidRDefault="00AA4BF8" w:rsidP="00AA4BF8">
      <w:pPr>
        <w:jc w:val="center"/>
        <w:rPr>
          <w:sz w:val="12"/>
        </w:rPr>
      </w:pPr>
    </w:p>
    <w:p w:rsidR="00AA4BF8" w:rsidRPr="00412620" w:rsidRDefault="0090799D" w:rsidP="0090799D">
      <w:pPr>
        <w:jc w:val="both"/>
        <w:rPr>
          <w:sz w:val="20"/>
        </w:rPr>
      </w:pPr>
      <w:r>
        <w:tab/>
      </w:r>
      <w:r w:rsidR="00AA4BF8" w:rsidRPr="00412620">
        <w:rPr>
          <w:sz w:val="20"/>
        </w:rPr>
        <w:t xml:space="preserve">The rate of deduction under section 233AA shall be 10% of profit or </w:t>
      </w:r>
      <w:r w:rsidR="00AA4BF8" w:rsidRPr="00412620">
        <w:rPr>
          <w:sz w:val="20"/>
        </w:rPr>
        <w:tab/>
        <w:t>mark-up or interest earned by the member, margin financier or securities lender.]</w:t>
      </w:r>
    </w:p>
    <w:p w:rsidR="00AA4BF8" w:rsidRPr="008B7A1A" w:rsidRDefault="00AA4BF8" w:rsidP="00AA4BF8">
      <w:pPr>
        <w:rPr>
          <w:sz w:val="12"/>
        </w:rPr>
      </w:pPr>
    </w:p>
    <w:p w:rsidR="00AA4BF8" w:rsidRPr="00412620" w:rsidRDefault="00AA4BF8" w:rsidP="00AA4BF8">
      <w:pPr>
        <w:pStyle w:val="Heading2"/>
        <w:spacing w:line="240" w:lineRule="auto"/>
        <w:rPr>
          <w:sz w:val="28"/>
          <w:szCs w:val="28"/>
        </w:rPr>
      </w:pPr>
      <w:r w:rsidRPr="00412620">
        <w:rPr>
          <w:sz w:val="28"/>
          <w:szCs w:val="28"/>
        </w:rPr>
        <w:t>Division III</w:t>
      </w:r>
    </w:p>
    <w:p w:rsidR="00AA4BF8" w:rsidRPr="00412620" w:rsidRDefault="00AA4BF8" w:rsidP="00AA4BF8">
      <w:pPr>
        <w:jc w:val="center"/>
        <w:rPr>
          <w:b/>
          <w:bCs/>
          <w:sz w:val="20"/>
        </w:rPr>
      </w:pPr>
      <w:r w:rsidRPr="00412620">
        <w:rPr>
          <w:rStyle w:val="FootnoteReference"/>
          <w:rFonts w:cs="Arial"/>
          <w:b/>
          <w:bCs/>
          <w:sz w:val="20"/>
        </w:rPr>
        <w:footnoteReference w:id="1684"/>
      </w:r>
      <w:r w:rsidRPr="00412620">
        <w:rPr>
          <w:b/>
          <w:bCs/>
          <w:sz w:val="20"/>
        </w:rPr>
        <w:t>[Tax on Motor Vehicles]</w:t>
      </w:r>
    </w:p>
    <w:p w:rsidR="00AA4BF8" w:rsidRPr="00412620" w:rsidRDefault="00AA4BF8" w:rsidP="00AA4BF8">
      <w:pPr>
        <w:keepNext/>
        <w:rPr>
          <w:b/>
          <w:bCs/>
          <w:sz w:val="14"/>
          <w:szCs w:val="14"/>
        </w:rPr>
      </w:pPr>
    </w:p>
    <w:p w:rsidR="00AA4BF8" w:rsidRDefault="00AA4BF8" w:rsidP="00AA4BF8">
      <w:pPr>
        <w:rPr>
          <w:sz w:val="20"/>
        </w:rPr>
      </w:pPr>
      <w:r w:rsidRPr="00412620">
        <w:rPr>
          <w:b/>
          <w:bCs/>
          <w:sz w:val="20"/>
        </w:rPr>
        <w:tab/>
      </w:r>
      <w:r w:rsidRPr="00412620">
        <w:rPr>
          <w:sz w:val="20"/>
        </w:rPr>
        <w:t>Rates of collection of tax under section 234,—</w:t>
      </w:r>
    </w:p>
    <w:p w:rsidR="009F394F" w:rsidRDefault="009F394F" w:rsidP="00AA4BF8">
      <w:pPr>
        <w:rPr>
          <w:sz w:val="20"/>
        </w:rPr>
      </w:pPr>
    </w:p>
    <w:p w:rsidR="009F394F" w:rsidRPr="00412620" w:rsidRDefault="009F394F" w:rsidP="00AA4BF8">
      <w:pPr>
        <w:rPr>
          <w:sz w:val="20"/>
        </w:rPr>
      </w:pPr>
    </w:p>
    <w:p w:rsidR="00AA4BF8" w:rsidRDefault="00AA4BF8" w:rsidP="00AA4BF8">
      <w:pPr>
        <w:rPr>
          <w:sz w:val="20"/>
        </w:rPr>
      </w:pPr>
    </w:p>
    <w:p w:rsidR="00B60CBE" w:rsidRPr="00F76B61" w:rsidRDefault="006B5981" w:rsidP="006B5981">
      <w:pPr>
        <w:autoSpaceDE w:val="0"/>
        <w:autoSpaceDN w:val="0"/>
        <w:adjustRightInd w:val="0"/>
        <w:ind w:left="540"/>
        <w:jc w:val="both"/>
        <w:rPr>
          <w:color w:val="000000" w:themeColor="text1"/>
          <w:sz w:val="20"/>
        </w:rPr>
      </w:pPr>
      <w:r w:rsidRPr="00F76B61">
        <w:rPr>
          <w:rStyle w:val="FootnoteReference"/>
          <w:color w:val="000000" w:themeColor="text1"/>
          <w:sz w:val="20"/>
        </w:rPr>
        <w:footnoteReference w:id="1685"/>
      </w:r>
      <w:r w:rsidR="00712F45" w:rsidRPr="00F76B61">
        <w:rPr>
          <w:color w:val="000000" w:themeColor="text1"/>
          <w:sz w:val="20"/>
        </w:rPr>
        <w:t>[“</w:t>
      </w:r>
      <w:r w:rsidR="00B60CBE" w:rsidRPr="00F76B61">
        <w:rPr>
          <w:rFonts w:cs="Arial"/>
          <w:color w:val="000000" w:themeColor="text1"/>
          <w:sz w:val="20"/>
          <w:lang w:val="en-US"/>
        </w:rPr>
        <w:t>(1) In case of goods transport vehicles, tax of two rupees</w:t>
      </w:r>
      <w:r w:rsidR="00F077EC" w:rsidRPr="00F76B61">
        <w:rPr>
          <w:rFonts w:cs="Arial"/>
          <w:color w:val="000000" w:themeColor="text1"/>
          <w:sz w:val="20"/>
          <w:lang w:val="en-US"/>
        </w:rPr>
        <w:t xml:space="preserve"> </w:t>
      </w:r>
      <w:r w:rsidR="00B60CBE" w:rsidRPr="00F76B61">
        <w:rPr>
          <w:rFonts w:cs="Arial"/>
          <w:color w:val="000000" w:themeColor="text1"/>
          <w:sz w:val="20"/>
          <w:lang w:val="en-US"/>
        </w:rPr>
        <w:t>and fifty paisa per kilogram of the laden weight shall be</w:t>
      </w:r>
      <w:r w:rsidR="00F077EC" w:rsidRPr="00F76B61">
        <w:rPr>
          <w:rFonts w:cs="Arial"/>
          <w:color w:val="000000" w:themeColor="text1"/>
          <w:sz w:val="20"/>
          <w:lang w:val="en-US"/>
        </w:rPr>
        <w:t xml:space="preserve"> </w:t>
      </w:r>
      <w:r w:rsidR="00B60CBE" w:rsidRPr="00F76B61">
        <w:rPr>
          <w:rFonts w:cs="Arial"/>
          <w:color w:val="000000" w:themeColor="text1"/>
          <w:sz w:val="20"/>
          <w:lang w:val="en-US"/>
        </w:rPr>
        <w:t>charged for filer and four rupees per kilogram of the laden</w:t>
      </w:r>
      <w:r w:rsidR="00F077EC" w:rsidRPr="00F76B61">
        <w:rPr>
          <w:rFonts w:cs="Arial"/>
          <w:color w:val="000000" w:themeColor="text1"/>
          <w:sz w:val="20"/>
          <w:lang w:val="en-US"/>
        </w:rPr>
        <w:t xml:space="preserve"> </w:t>
      </w:r>
      <w:r w:rsidR="00B60CBE" w:rsidRPr="00F76B61">
        <w:rPr>
          <w:rFonts w:cs="Arial"/>
          <w:color w:val="000000" w:themeColor="text1"/>
          <w:sz w:val="20"/>
          <w:lang w:val="en-US"/>
        </w:rPr>
        <w:t>weight for non-filer.</w:t>
      </w:r>
      <w:r w:rsidRPr="00F76B61">
        <w:rPr>
          <w:rFonts w:cs="Arial"/>
          <w:color w:val="000000" w:themeColor="text1"/>
          <w:sz w:val="20"/>
          <w:lang w:val="en-US"/>
        </w:rPr>
        <w:t>”]</w:t>
      </w:r>
    </w:p>
    <w:p w:rsidR="00AA4BF8" w:rsidRPr="00412620" w:rsidRDefault="00AA4BF8" w:rsidP="00AA4BF8">
      <w:pPr>
        <w:jc w:val="both"/>
        <w:rPr>
          <w:sz w:val="20"/>
        </w:rPr>
      </w:pPr>
    </w:p>
    <w:p w:rsidR="00AA4BF8" w:rsidRPr="00412620" w:rsidRDefault="00AA4BF8" w:rsidP="00AA4BF8">
      <w:pPr>
        <w:jc w:val="both"/>
        <w:rPr>
          <w:sz w:val="20"/>
        </w:rPr>
      </w:pPr>
      <w:r w:rsidRPr="00412620">
        <w:rPr>
          <w:rStyle w:val="FootnoteReference"/>
          <w:rFonts w:cs="Arial"/>
          <w:sz w:val="20"/>
        </w:rPr>
        <w:footnoteReference w:id="1686"/>
      </w:r>
      <w:r w:rsidRPr="00412620">
        <w:rPr>
          <w:sz w:val="20"/>
        </w:rPr>
        <w:t xml:space="preserve">[(1A) In the case of goods transport vehicles with laden weight of 8120 kilograms or more, advance tax after a period of ten years </w:t>
      </w:r>
      <w:r w:rsidR="00652AC2" w:rsidRPr="00412620">
        <w:rPr>
          <w:sz w:val="20"/>
        </w:rPr>
        <w:t>from</w:t>
      </w:r>
      <w:r w:rsidRPr="00412620">
        <w:rPr>
          <w:sz w:val="20"/>
        </w:rPr>
        <w:t xml:space="preserve"> the date of first registration of vehicle in Pakistan shall be collected at the rate of twelve hundred rupees per annum;]</w:t>
      </w:r>
    </w:p>
    <w:p w:rsidR="00AA4BF8" w:rsidRPr="00412620" w:rsidRDefault="00AA4BF8" w:rsidP="00AA4BF8">
      <w:pPr>
        <w:jc w:val="both"/>
        <w:rPr>
          <w:sz w:val="20"/>
        </w:rPr>
      </w:pPr>
    </w:p>
    <w:p w:rsidR="00AA4BF8" w:rsidRDefault="00AA4BF8" w:rsidP="00AA4BF8">
      <w:pPr>
        <w:pStyle w:val="BodyText3"/>
        <w:widowControl/>
        <w:rPr>
          <w:rFonts w:ascii="Arial" w:hAnsi="Arial" w:cs="Arial"/>
          <w:sz w:val="20"/>
          <w:lang w:val="en-AU"/>
        </w:rPr>
      </w:pPr>
      <w:r w:rsidRPr="008B7A1A">
        <w:rPr>
          <w:rFonts w:ascii="Arial" w:hAnsi="Arial" w:cs="Arial"/>
          <w:sz w:val="20"/>
          <w:lang w:val="en-AU"/>
        </w:rPr>
        <w:t>(2)</w:t>
      </w:r>
      <w:r w:rsidRPr="008B7A1A">
        <w:rPr>
          <w:rFonts w:ascii="Arial" w:hAnsi="Arial" w:cs="Arial"/>
          <w:sz w:val="20"/>
          <w:lang w:val="en-AU"/>
        </w:rPr>
        <w:tab/>
        <w:t>In the case of passenger transport vehicles plying for hire with registered seating capacity of—</w:t>
      </w:r>
    </w:p>
    <w:p w:rsidR="00610F8F" w:rsidRDefault="00610F8F" w:rsidP="00AA4BF8">
      <w:pPr>
        <w:pStyle w:val="BodyText3"/>
        <w:widowControl/>
        <w:rPr>
          <w:rFonts w:ascii="Arial" w:hAnsi="Arial" w:cs="Arial"/>
          <w:sz w:val="2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6"/>
        <w:gridCol w:w="3150"/>
        <w:gridCol w:w="1323"/>
        <w:gridCol w:w="1303"/>
      </w:tblGrid>
      <w:tr w:rsidR="00610F8F" w:rsidRPr="00610F8F" w:rsidTr="007D743F">
        <w:trPr>
          <w:trHeight w:val="220"/>
        </w:trPr>
        <w:tc>
          <w:tcPr>
            <w:tcW w:w="826" w:type="dxa"/>
            <w:vMerge w:val="restart"/>
          </w:tcPr>
          <w:p w:rsidR="00610F8F" w:rsidRPr="00F76B61" w:rsidRDefault="00817A0B" w:rsidP="00610F8F">
            <w:pPr>
              <w:ind w:hanging="92"/>
              <w:jc w:val="center"/>
              <w:rPr>
                <w:color w:val="000000" w:themeColor="text1"/>
                <w:sz w:val="20"/>
              </w:rPr>
            </w:pPr>
            <w:r w:rsidRPr="00F76B61">
              <w:rPr>
                <w:rStyle w:val="FootnoteReference"/>
                <w:color w:val="000000" w:themeColor="text1"/>
                <w:sz w:val="20"/>
              </w:rPr>
              <w:footnoteReference w:id="1687"/>
            </w:r>
            <w:r w:rsidR="00610F8F" w:rsidRPr="00F76B61">
              <w:rPr>
                <w:color w:val="000000" w:themeColor="text1"/>
                <w:sz w:val="20"/>
              </w:rPr>
              <w:t>[“S.No.</w:t>
            </w:r>
          </w:p>
        </w:tc>
        <w:tc>
          <w:tcPr>
            <w:tcW w:w="3150" w:type="dxa"/>
            <w:vMerge w:val="restart"/>
          </w:tcPr>
          <w:p w:rsidR="00610F8F" w:rsidRPr="00F76B61" w:rsidRDefault="00610F8F" w:rsidP="009B14BA">
            <w:pPr>
              <w:jc w:val="center"/>
              <w:rPr>
                <w:color w:val="000000" w:themeColor="text1"/>
                <w:sz w:val="20"/>
              </w:rPr>
            </w:pPr>
            <w:r w:rsidRPr="00F76B61">
              <w:rPr>
                <w:color w:val="000000" w:themeColor="text1"/>
                <w:sz w:val="20"/>
              </w:rPr>
              <w:t>Capacity</w:t>
            </w:r>
          </w:p>
        </w:tc>
        <w:tc>
          <w:tcPr>
            <w:tcW w:w="2626" w:type="dxa"/>
            <w:gridSpan w:val="2"/>
          </w:tcPr>
          <w:p w:rsidR="00610F8F" w:rsidRPr="00F76B61" w:rsidRDefault="00610F8F" w:rsidP="00472DD2">
            <w:pPr>
              <w:jc w:val="center"/>
              <w:rPr>
                <w:color w:val="000000" w:themeColor="text1"/>
                <w:sz w:val="20"/>
              </w:rPr>
            </w:pPr>
            <w:r w:rsidRPr="00F76B61">
              <w:rPr>
                <w:color w:val="000000" w:themeColor="text1"/>
                <w:sz w:val="20"/>
              </w:rPr>
              <w:t>Rs per seat per annum</w:t>
            </w:r>
          </w:p>
        </w:tc>
      </w:tr>
      <w:tr w:rsidR="00610F8F" w:rsidRPr="00610F8F" w:rsidTr="007D743F">
        <w:trPr>
          <w:trHeight w:val="234"/>
        </w:trPr>
        <w:tc>
          <w:tcPr>
            <w:tcW w:w="826" w:type="dxa"/>
            <w:vMerge/>
          </w:tcPr>
          <w:p w:rsidR="00610F8F" w:rsidRPr="00F76B61" w:rsidRDefault="00610F8F" w:rsidP="00472DD2">
            <w:pPr>
              <w:jc w:val="center"/>
              <w:rPr>
                <w:color w:val="000000" w:themeColor="text1"/>
                <w:sz w:val="20"/>
              </w:rPr>
            </w:pPr>
          </w:p>
        </w:tc>
        <w:tc>
          <w:tcPr>
            <w:tcW w:w="3150" w:type="dxa"/>
            <w:vMerge/>
          </w:tcPr>
          <w:p w:rsidR="00610F8F" w:rsidRPr="00F76B61" w:rsidRDefault="00610F8F" w:rsidP="00472DD2">
            <w:pPr>
              <w:jc w:val="both"/>
              <w:rPr>
                <w:color w:val="000000" w:themeColor="text1"/>
                <w:sz w:val="20"/>
              </w:rPr>
            </w:pPr>
          </w:p>
        </w:tc>
        <w:tc>
          <w:tcPr>
            <w:tcW w:w="1323" w:type="dxa"/>
          </w:tcPr>
          <w:p w:rsidR="00610F8F" w:rsidRPr="00F76B61" w:rsidRDefault="00610F8F" w:rsidP="00472DD2">
            <w:pPr>
              <w:jc w:val="center"/>
              <w:rPr>
                <w:color w:val="000000" w:themeColor="text1"/>
                <w:sz w:val="20"/>
              </w:rPr>
            </w:pPr>
            <w:r w:rsidRPr="00F76B61">
              <w:rPr>
                <w:color w:val="000000" w:themeColor="text1"/>
                <w:sz w:val="20"/>
              </w:rPr>
              <w:t>Filer</w:t>
            </w:r>
          </w:p>
        </w:tc>
        <w:tc>
          <w:tcPr>
            <w:tcW w:w="1303" w:type="dxa"/>
          </w:tcPr>
          <w:p w:rsidR="00610F8F" w:rsidRPr="00F76B61" w:rsidRDefault="00610F8F" w:rsidP="00472DD2">
            <w:pPr>
              <w:jc w:val="center"/>
              <w:rPr>
                <w:color w:val="000000" w:themeColor="text1"/>
                <w:sz w:val="20"/>
              </w:rPr>
            </w:pPr>
            <w:r w:rsidRPr="00F76B61">
              <w:rPr>
                <w:color w:val="000000" w:themeColor="text1"/>
                <w:sz w:val="20"/>
              </w:rPr>
              <w:t>Non-Filer</w:t>
            </w:r>
          </w:p>
        </w:tc>
      </w:tr>
      <w:tr w:rsidR="00610F8F" w:rsidRPr="00610F8F" w:rsidTr="007D743F">
        <w:tc>
          <w:tcPr>
            <w:tcW w:w="826" w:type="dxa"/>
          </w:tcPr>
          <w:p w:rsidR="00610F8F" w:rsidRPr="00F76B61" w:rsidRDefault="00610F8F" w:rsidP="00610F8F">
            <w:pPr>
              <w:jc w:val="center"/>
              <w:rPr>
                <w:color w:val="000000" w:themeColor="text1"/>
                <w:sz w:val="20"/>
              </w:rPr>
            </w:pPr>
            <w:r w:rsidRPr="00F76B61">
              <w:rPr>
                <w:color w:val="000000" w:themeColor="text1"/>
                <w:sz w:val="20"/>
              </w:rPr>
              <w:t>(i)</w:t>
            </w:r>
          </w:p>
        </w:tc>
        <w:tc>
          <w:tcPr>
            <w:tcW w:w="3150" w:type="dxa"/>
          </w:tcPr>
          <w:p w:rsidR="00610F8F" w:rsidRPr="00F76B61" w:rsidRDefault="00610F8F" w:rsidP="00472DD2">
            <w:pPr>
              <w:jc w:val="both"/>
              <w:rPr>
                <w:color w:val="000000" w:themeColor="text1"/>
                <w:sz w:val="20"/>
              </w:rPr>
            </w:pPr>
            <w:r w:rsidRPr="00F76B61">
              <w:rPr>
                <w:color w:val="000000" w:themeColor="text1"/>
                <w:sz w:val="20"/>
              </w:rPr>
              <w:t>Four or more persons but less than ten persons.</w:t>
            </w:r>
          </w:p>
        </w:tc>
        <w:tc>
          <w:tcPr>
            <w:tcW w:w="1323" w:type="dxa"/>
          </w:tcPr>
          <w:p w:rsidR="00610F8F" w:rsidRPr="00F76B61" w:rsidRDefault="00610F8F" w:rsidP="00610F8F">
            <w:pPr>
              <w:jc w:val="center"/>
              <w:rPr>
                <w:color w:val="000000" w:themeColor="text1"/>
                <w:sz w:val="20"/>
              </w:rPr>
            </w:pPr>
            <w:r w:rsidRPr="00F76B61">
              <w:rPr>
                <w:color w:val="000000" w:themeColor="text1"/>
                <w:sz w:val="20"/>
              </w:rPr>
              <w:t>50</w:t>
            </w:r>
          </w:p>
        </w:tc>
        <w:tc>
          <w:tcPr>
            <w:tcW w:w="1303" w:type="dxa"/>
          </w:tcPr>
          <w:p w:rsidR="00610F8F" w:rsidRPr="00F76B61" w:rsidRDefault="00610F8F" w:rsidP="00610F8F">
            <w:pPr>
              <w:jc w:val="center"/>
              <w:rPr>
                <w:color w:val="000000" w:themeColor="text1"/>
                <w:sz w:val="20"/>
              </w:rPr>
            </w:pPr>
            <w:r w:rsidRPr="00F76B61">
              <w:rPr>
                <w:color w:val="000000" w:themeColor="text1"/>
                <w:sz w:val="20"/>
              </w:rPr>
              <w:t>100</w:t>
            </w:r>
          </w:p>
        </w:tc>
      </w:tr>
      <w:tr w:rsidR="00610F8F" w:rsidRPr="00610F8F" w:rsidTr="007D743F">
        <w:tc>
          <w:tcPr>
            <w:tcW w:w="826" w:type="dxa"/>
          </w:tcPr>
          <w:p w:rsidR="00610F8F" w:rsidRPr="00F76B61" w:rsidRDefault="00610F8F" w:rsidP="00472DD2">
            <w:pPr>
              <w:jc w:val="center"/>
              <w:rPr>
                <w:color w:val="000000" w:themeColor="text1"/>
                <w:sz w:val="20"/>
              </w:rPr>
            </w:pPr>
            <w:r w:rsidRPr="00F76B61">
              <w:rPr>
                <w:color w:val="000000" w:themeColor="text1"/>
                <w:sz w:val="20"/>
              </w:rPr>
              <w:t>(ii)</w:t>
            </w:r>
          </w:p>
        </w:tc>
        <w:tc>
          <w:tcPr>
            <w:tcW w:w="3150" w:type="dxa"/>
          </w:tcPr>
          <w:p w:rsidR="00610F8F" w:rsidRPr="00F76B61" w:rsidRDefault="00610F8F" w:rsidP="00472DD2">
            <w:pPr>
              <w:jc w:val="both"/>
              <w:rPr>
                <w:color w:val="000000" w:themeColor="text1"/>
                <w:sz w:val="20"/>
              </w:rPr>
            </w:pPr>
            <w:r w:rsidRPr="00F76B61">
              <w:rPr>
                <w:color w:val="000000" w:themeColor="text1"/>
                <w:sz w:val="20"/>
              </w:rPr>
              <w:t>Ten or more persons but less than twenty persons.</w:t>
            </w:r>
          </w:p>
        </w:tc>
        <w:tc>
          <w:tcPr>
            <w:tcW w:w="1323" w:type="dxa"/>
          </w:tcPr>
          <w:p w:rsidR="00610F8F" w:rsidRPr="00F76B61" w:rsidRDefault="00610F8F" w:rsidP="00610F8F">
            <w:pPr>
              <w:jc w:val="center"/>
              <w:rPr>
                <w:color w:val="000000" w:themeColor="text1"/>
                <w:sz w:val="20"/>
              </w:rPr>
            </w:pPr>
            <w:r w:rsidRPr="00F76B61">
              <w:rPr>
                <w:color w:val="000000" w:themeColor="text1"/>
                <w:sz w:val="20"/>
              </w:rPr>
              <w:t>100</w:t>
            </w:r>
          </w:p>
        </w:tc>
        <w:tc>
          <w:tcPr>
            <w:tcW w:w="1303" w:type="dxa"/>
          </w:tcPr>
          <w:p w:rsidR="00610F8F" w:rsidRPr="00F76B61" w:rsidRDefault="00610F8F" w:rsidP="00610F8F">
            <w:pPr>
              <w:jc w:val="center"/>
              <w:rPr>
                <w:color w:val="000000" w:themeColor="text1"/>
                <w:sz w:val="20"/>
              </w:rPr>
            </w:pPr>
            <w:r w:rsidRPr="00F76B61">
              <w:rPr>
                <w:color w:val="000000" w:themeColor="text1"/>
                <w:sz w:val="20"/>
              </w:rPr>
              <w:t>200</w:t>
            </w:r>
          </w:p>
        </w:tc>
      </w:tr>
      <w:tr w:rsidR="00610F8F" w:rsidRPr="00610F8F" w:rsidTr="007D743F">
        <w:tc>
          <w:tcPr>
            <w:tcW w:w="826" w:type="dxa"/>
          </w:tcPr>
          <w:p w:rsidR="00610F8F" w:rsidRPr="00F76B61" w:rsidRDefault="00610F8F" w:rsidP="00610F8F">
            <w:pPr>
              <w:jc w:val="center"/>
              <w:rPr>
                <w:color w:val="000000" w:themeColor="text1"/>
                <w:sz w:val="20"/>
              </w:rPr>
            </w:pPr>
            <w:r w:rsidRPr="00F76B61">
              <w:rPr>
                <w:color w:val="000000" w:themeColor="text1"/>
                <w:sz w:val="20"/>
              </w:rPr>
              <w:t>(iii)</w:t>
            </w:r>
          </w:p>
        </w:tc>
        <w:tc>
          <w:tcPr>
            <w:tcW w:w="3150" w:type="dxa"/>
          </w:tcPr>
          <w:p w:rsidR="00610F8F" w:rsidRPr="00F76B61" w:rsidRDefault="00610F8F" w:rsidP="00610F8F">
            <w:pPr>
              <w:jc w:val="both"/>
              <w:rPr>
                <w:color w:val="000000" w:themeColor="text1"/>
                <w:sz w:val="20"/>
              </w:rPr>
            </w:pPr>
            <w:r w:rsidRPr="00F76B61">
              <w:rPr>
                <w:color w:val="000000" w:themeColor="text1"/>
                <w:sz w:val="20"/>
              </w:rPr>
              <w:t>Twenty persons or more.</w:t>
            </w:r>
          </w:p>
        </w:tc>
        <w:tc>
          <w:tcPr>
            <w:tcW w:w="1323" w:type="dxa"/>
          </w:tcPr>
          <w:p w:rsidR="00610F8F" w:rsidRPr="00F76B61" w:rsidRDefault="00610F8F" w:rsidP="00610F8F">
            <w:pPr>
              <w:jc w:val="center"/>
              <w:rPr>
                <w:color w:val="000000" w:themeColor="text1"/>
                <w:sz w:val="20"/>
              </w:rPr>
            </w:pPr>
            <w:r w:rsidRPr="00F76B61">
              <w:rPr>
                <w:color w:val="000000" w:themeColor="text1"/>
                <w:sz w:val="20"/>
              </w:rPr>
              <w:t>300</w:t>
            </w:r>
          </w:p>
        </w:tc>
        <w:tc>
          <w:tcPr>
            <w:tcW w:w="1303" w:type="dxa"/>
          </w:tcPr>
          <w:p w:rsidR="00610F8F" w:rsidRPr="00F76B61" w:rsidRDefault="005E2A55" w:rsidP="007D743F">
            <w:pPr>
              <w:jc w:val="center"/>
              <w:rPr>
                <w:color w:val="000000" w:themeColor="text1"/>
                <w:sz w:val="20"/>
              </w:rPr>
            </w:pPr>
            <w:r w:rsidRPr="00F76B61">
              <w:rPr>
                <w:color w:val="000000" w:themeColor="text1"/>
                <w:sz w:val="20"/>
              </w:rPr>
              <w:t>500”</w:t>
            </w:r>
            <w:r w:rsidR="00610F8F" w:rsidRPr="00F76B61">
              <w:rPr>
                <w:color w:val="000000" w:themeColor="text1"/>
                <w:sz w:val="20"/>
              </w:rPr>
              <w:t>]</w:t>
            </w:r>
          </w:p>
        </w:tc>
      </w:tr>
    </w:tbl>
    <w:p w:rsidR="00610F8F" w:rsidRPr="008B7A1A" w:rsidRDefault="00610F8F" w:rsidP="00AA4BF8">
      <w:pPr>
        <w:pStyle w:val="BodyText3"/>
        <w:widowControl/>
        <w:rPr>
          <w:rFonts w:ascii="Arial" w:hAnsi="Arial" w:cs="Arial"/>
          <w:sz w:val="20"/>
          <w:lang w:val="en-AU"/>
        </w:rPr>
      </w:pPr>
    </w:p>
    <w:p w:rsidR="00AA4BF8" w:rsidRDefault="00AA4BF8" w:rsidP="00AA4BF8">
      <w:pPr>
        <w:rPr>
          <w:color w:val="00B0F0"/>
          <w:sz w:val="20"/>
        </w:rPr>
      </w:pPr>
      <w:r w:rsidRPr="00DD1A3B">
        <w:rPr>
          <w:rStyle w:val="FootnoteReference"/>
          <w:color w:val="000000" w:themeColor="text1"/>
          <w:sz w:val="20"/>
        </w:rPr>
        <w:footnoteReference w:id="1688"/>
      </w:r>
      <w:r w:rsidRPr="00DD1A3B">
        <w:rPr>
          <w:color w:val="000000" w:themeColor="text1"/>
          <w:sz w:val="20"/>
        </w:rPr>
        <w:t xml:space="preserve"> [(3)  </w:t>
      </w:r>
      <w:r w:rsidR="00117861" w:rsidRPr="00DD1A3B">
        <w:rPr>
          <w:color w:val="000000" w:themeColor="text1"/>
          <w:sz w:val="20"/>
        </w:rPr>
        <w:t>In case of o</w:t>
      </w:r>
      <w:r w:rsidRPr="00DD1A3B">
        <w:rPr>
          <w:color w:val="000000" w:themeColor="text1"/>
          <w:sz w:val="20"/>
        </w:rPr>
        <w:t xml:space="preserve">ther private motor </w:t>
      </w:r>
      <w:r w:rsidR="009B14BA" w:rsidRPr="00F76B61">
        <w:rPr>
          <w:rStyle w:val="FootnoteReference"/>
          <w:color w:val="000000" w:themeColor="text1"/>
          <w:sz w:val="20"/>
        </w:rPr>
        <w:footnoteReference w:id="1689"/>
      </w:r>
      <w:r w:rsidR="009B14BA" w:rsidRPr="00F76B61">
        <w:rPr>
          <w:color w:val="000000" w:themeColor="text1"/>
          <w:sz w:val="20"/>
        </w:rPr>
        <w:t>[“vehicles”]</w:t>
      </w:r>
      <w:r w:rsidR="00DD1A3B" w:rsidRPr="00F76B61">
        <w:rPr>
          <w:color w:val="000000" w:themeColor="text1"/>
          <w:sz w:val="20"/>
        </w:rPr>
        <w:t xml:space="preserve"> </w:t>
      </w:r>
      <w:r w:rsidR="00117861" w:rsidRPr="00F76B61">
        <w:rPr>
          <w:color w:val="000000" w:themeColor="text1"/>
          <w:sz w:val="20"/>
        </w:rPr>
        <w:t>shall</w:t>
      </w:r>
      <w:r w:rsidR="00117861" w:rsidRPr="00DD1A3B">
        <w:rPr>
          <w:color w:val="000000" w:themeColor="text1"/>
          <w:sz w:val="20"/>
        </w:rPr>
        <w:t xml:space="preserve"> be as following,-</w:t>
      </w:r>
    </w:p>
    <w:p w:rsidR="00D63983" w:rsidRDefault="00D63983" w:rsidP="00AA4BF8">
      <w:pPr>
        <w:rPr>
          <w:color w:val="00B0F0"/>
          <w:sz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980"/>
        <w:gridCol w:w="1710"/>
        <w:gridCol w:w="1800"/>
      </w:tblGrid>
      <w:tr w:rsidR="00D63983" w:rsidRPr="00117861" w:rsidTr="008A74E3">
        <w:trPr>
          <w:trHeight w:val="203"/>
        </w:trPr>
        <w:tc>
          <w:tcPr>
            <w:tcW w:w="1080" w:type="dxa"/>
            <w:vAlign w:val="center"/>
          </w:tcPr>
          <w:p w:rsidR="00D63983" w:rsidRPr="00F76B61" w:rsidRDefault="006F4A36" w:rsidP="00D63983">
            <w:pPr>
              <w:ind w:left="54"/>
              <w:rPr>
                <w:color w:val="000000" w:themeColor="text1"/>
                <w:sz w:val="20"/>
              </w:rPr>
            </w:pPr>
            <w:r w:rsidRPr="00F76B61">
              <w:rPr>
                <w:rStyle w:val="FootnoteReference"/>
                <w:color w:val="000000" w:themeColor="text1"/>
                <w:sz w:val="20"/>
              </w:rPr>
              <w:footnoteReference w:id="1690"/>
            </w:r>
            <w:r w:rsidR="00D63983" w:rsidRPr="00F76B61">
              <w:rPr>
                <w:color w:val="000000" w:themeColor="text1"/>
                <w:sz w:val="20"/>
              </w:rPr>
              <w:t>[“S. No.</w:t>
            </w:r>
          </w:p>
        </w:tc>
        <w:tc>
          <w:tcPr>
            <w:tcW w:w="198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Engine capacity</w:t>
            </w:r>
          </w:p>
        </w:tc>
        <w:tc>
          <w:tcPr>
            <w:tcW w:w="171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for filers</w:t>
            </w:r>
          </w:p>
        </w:tc>
        <w:tc>
          <w:tcPr>
            <w:tcW w:w="180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for non-filer</w:t>
            </w:r>
          </w:p>
        </w:tc>
      </w:tr>
      <w:tr w:rsidR="00D63983" w:rsidRPr="00117861" w:rsidTr="008A74E3">
        <w:trPr>
          <w:trHeight w:val="122"/>
        </w:trPr>
        <w:tc>
          <w:tcPr>
            <w:tcW w:w="1080" w:type="dxa"/>
            <w:vAlign w:val="center"/>
          </w:tcPr>
          <w:p w:rsidR="00D63983" w:rsidRPr="00F76B61" w:rsidRDefault="00D63983" w:rsidP="00D63983">
            <w:pPr>
              <w:ind w:left="54"/>
              <w:jc w:val="center"/>
              <w:rPr>
                <w:color w:val="000000" w:themeColor="text1"/>
                <w:sz w:val="20"/>
              </w:rPr>
            </w:pPr>
            <w:r w:rsidRPr="00F76B61">
              <w:rPr>
                <w:color w:val="000000" w:themeColor="text1"/>
                <w:sz w:val="20"/>
              </w:rPr>
              <w:lastRenderedPageBreak/>
              <w:t>(1)</w:t>
            </w:r>
          </w:p>
        </w:tc>
        <w:tc>
          <w:tcPr>
            <w:tcW w:w="1980" w:type="dxa"/>
            <w:vAlign w:val="center"/>
          </w:tcPr>
          <w:p w:rsidR="00D63983" w:rsidRPr="00F76B61" w:rsidRDefault="00D63983" w:rsidP="00D63983">
            <w:pPr>
              <w:ind w:left="58"/>
              <w:jc w:val="center"/>
              <w:rPr>
                <w:color w:val="000000" w:themeColor="text1"/>
                <w:sz w:val="20"/>
              </w:rPr>
            </w:pPr>
            <w:r w:rsidRPr="00F76B61">
              <w:rPr>
                <w:color w:val="000000" w:themeColor="text1"/>
                <w:sz w:val="20"/>
              </w:rPr>
              <w:t>(2)</w:t>
            </w:r>
          </w:p>
        </w:tc>
        <w:tc>
          <w:tcPr>
            <w:tcW w:w="1710" w:type="dxa"/>
            <w:vAlign w:val="center"/>
          </w:tcPr>
          <w:p w:rsidR="00D63983" w:rsidRPr="00F76B61" w:rsidRDefault="00D63983" w:rsidP="00D63983">
            <w:pPr>
              <w:ind w:left="54"/>
              <w:jc w:val="center"/>
              <w:rPr>
                <w:color w:val="000000" w:themeColor="text1"/>
                <w:sz w:val="20"/>
              </w:rPr>
            </w:pPr>
            <w:r w:rsidRPr="00F76B61">
              <w:rPr>
                <w:color w:val="000000" w:themeColor="text1"/>
                <w:sz w:val="20"/>
              </w:rPr>
              <w:t>(3)</w:t>
            </w:r>
          </w:p>
        </w:tc>
        <w:tc>
          <w:tcPr>
            <w:tcW w:w="1800" w:type="dxa"/>
            <w:vAlign w:val="center"/>
          </w:tcPr>
          <w:p w:rsidR="00D63983" w:rsidRPr="00F76B61" w:rsidRDefault="00D63983" w:rsidP="00D63983">
            <w:pPr>
              <w:ind w:left="54"/>
              <w:jc w:val="center"/>
              <w:rPr>
                <w:color w:val="000000" w:themeColor="text1"/>
                <w:sz w:val="20"/>
              </w:rPr>
            </w:pPr>
            <w:r w:rsidRPr="00F76B61">
              <w:rPr>
                <w:color w:val="000000" w:themeColor="text1"/>
                <w:sz w:val="20"/>
              </w:rPr>
              <w:t>(4)</w:t>
            </w:r>
          </w:p>
        </w:tc>
      </w:tr>
      <w:tr w:rsidR="00D63983" w:rsidRPr="00117861" w:rsidTr="008A74E3">
        <w:trPr>
          <w:trHeight w:val="109"/>
        </w:trPr>
        <w:tc>
          <w:tcPr>
            <w:tcW w:w="108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1.</w:t>
            </w:r>
          </w:p>
        </w:tc>
        <w:tc>
          <w:tcPr>
            <w:tcW w:w="1980" w:type="dxa"/>
            <w:vAlign w:val="center"/>
          </w:tcPr>
          <w:p w:rsidR="00D63983" w:rsidRPr="00F76B61" w:rsidRDefault="00D63983" w:rsidP="00472DD2">
            <w:pPr>
              <w:ind w:left="54"/>
              <w:rPr>
                <w:color w:val="000000" w:themeColor="text1"/>
                <w:sz w:val="20"/>
              </w:rPr>
            </w:pPr>
            <w:r w:rsidRPr="00F76B61">
              <w:rPr>
                <w:color w:val="000000" w:themeColor="text1"/>
                <w:sz w:val="20"/>
              </w:rPr>
              <w:t>upto 1000cc</w:t>
            </w:r>
          </w:p>
        </w:tc>
        <w:tc>
          <w:tcPr>
            <w:tcW w:w="1710" w:type="dxa"/>
            <w:vAlign w:val="center"/>
          </w:tcPr>
          <w:p w:rsidR="00D63983" w:rsidRPr="00F76B61" w:rsidRDefault="00D63983" w:rsidP="00D63983">
            <w:pPr>
              <w:ind w:left="54"/>
              <w:jc w:val="center"/>
              <w:rPr>
                <w:color w:val="000000" w:themeColor="text1"/>
                <w:sz w:val="20"/>
              </w:rPr>
            </w:pPr>
            <w:r w:rsidRPr="00F76B61">
              <w:rPr>
                <w:color w:val="000000" w:themeColor="text1"/>
                <w:sz w:val="20"/>
              </w:rPr>
              <w:t>Rs. 800</w:t>
            </w:r>
          </w:p>
        </w:tc>
        <w:tc>
          <w:tcPr>
            <w:tcW w:w="1800" w:type="dxa"/>
            <w:vAlign w:val="center"/>
          </w:tcPr>
          <w:p w:rsidR="00D63983" w:rsidRPr="00F76B61" w:rsidRDefault="00D63983" w:rsidP="00D63983">
            <w:pPr>
              <w:ind w:left="54"/>
              <w:jc w:val="center"/>
              <w:rPr>
                <w:color w:val="000000" w:themeColor="text1"/>
                <w:sz w:val="20"/>
              </w:rPr>
            </w:pPr>
            <w:r w:rsidRPr="00F76B61">
              <w:rPr>
                <w:color w:val="000000" w:themeColor="text1"/>
                <w:sz w:val="20"/>
              </w:rPr>
              <w:t>Rs. 1,200</w:t>
            </w:r>
          </w:p>
        </w:tc>
      </w:tr>
      <w:tr w:rsidR="00D63983" w:rsidRPr="00117861" w:rsidTr="008A74E3">
        <w:trPr>
          <w:trHeight w:val="135"/>
        </w:trPr>
        <w:tc>
          <w:tcPr>
            <w:tcW w:w="108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2.</w:t>
            </w:r>
          </w:p>
        </w:tc>
        <w:tc>
          <w:tcPr>
            <w:tcW w:w="1980" w:type="dxa"/>
            <w:vAlign w:val="center"/>
          </w:tcPr>
          <w:p w:rsidR="00D63983" w:rsidRPr="00F76B61" w:rsidRDefault="00D63983" w:rsidP="00472DD2">
            <w:pPr>
              <w:ind w:left="54"/>
              <w:rPr>
                <w:color w:val="000000" w:themeColor="text1"/>
                <w:sz w:val="20"/>
              </w:rPr>
            </w:pPr>
            <w:r w:rsidRPr="00F76B61">
              <w:rPr>
                <w:color w:val="000000" w:themeColor="text1"/>
                <w:sz w:val="20"/>
              </w:rPr>
              <w:t>1001cc to 1199cc</w:t>
            </w:r>
          </w:p>
        </w:tc>
        <w:tc>
          <w:tcPr>
            <w:tcW w:w="1710" w:type="dxa"/>
            <w:vAlign w:val="center"/>
          </w:tcPr>
          <w:p w:rsidR="00D63983" w:rsidRPr="00F76B61" w:rsidRDefault="00D63983" w:rsidP="00D63983">
            <w:pPr>
              <w:ind w:left="54"/>
              <w:jc w:val="center"/>
              <w:rPr>
                <w:color w:val="000000" w:themeColor="text1"/>
                <w:sz w:val="20"/>
              </w:rPr>
            </w:pPr>
            <w:r w:rsidRPr="00F76B61">
              <w:rPr>
                <w:color w:val="000000" w:themeColor="text1"/>
                <w:sz w:val="20"/>
              </w:rPr>
              <w:t>Rs. 1,500</w:t>
            </w:r>
          </w:p>
        </w:tc>
        <w:tc>
          <w:tcPr>
            <w:tcW w:w="1800" w:type="dxa"/>
            <w:vAlign w:val="center"/>
          </w:tcPr>
          <w:p w:rsidR="00D63983" w:rsidRPr="00F76B61" w:rsidRDefault="00D63983" w:rsidP="00D63983">
            <w:pPr>
              <w:ind w:left="54"/>
              <w:jc w:val="center"/>
              <w:rPr>
                <w:color w:val="000000" w:themeColor="text1"/>
                <w:sz w:val="20"/>
              </w:rPr>
            </w:pPr>
            <w:r w:rsidRPr="00F76B61">
              <w:rPr>
                <w:color w:val="000000" w:themeColor="text1"/>
                <w:sz w:val="20"/>
              </w:rPr>
              <w:t>Rs. 4,000</w:t>
            </w:r>
          </w:p>
        </w:tc>
      </w:tr>
      <w:tr w:rsidR="00D63983" w:rsidRPr="00117861" w:rsidTr="008A74E3">
        <w:trPr>
          <w:trHeight w:val="82"/>
        </w:trPr>
        <w:tc>
          <w:tcPr>
            <w:tcW w:w="108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3.</w:t>
            </w:r>
          </w:p>
        </w:tc>
        <w:tc>
          <w:tcPr>
            <w:tcW w:w="1980" w:type="dxa"/>
            <w:vAlign w:val="center"/>
          </w:tcPr>
          <w:p w:rsidR="00D63983" w:rsidRPr="00F76B61" w:rsidRDefault="00D63983" w:rsidP="00472DD2">
            <w:pPr>
              <w:ind w:left="54"/>
              <w:rPr>
                <w:color w:val="000000" w:themeColor="text1"/>
                <w:sz w:val="20"/>
              </w:rPr>
            </w:pPr>
            <w:r w:rsidRPr="00F76B61">
              <w:rPr>
                <w:color w:val="000000" w:themeColor="text1"/>
                <w:sz w:val="20"/>
              </w:rPr>
              <w:t>1200cc to 1299cc</w:t>
            </w:r>
          </w:p>
        </w:tc>
        <w:tc>
          <w:tcPr>
            <w:tcW w:w="1710" w:type="dxa"/>
            <w:vAlign w:val="center"/>
          </w:tcPr>
          <w:p w:rsidR="00D63983" w:rsidRPr="00F76B61" w:rsidRDefault="00D63983" w:rsidP="00D63983">
            <w:pPr>
              <w:ind w:left="54"/>
              <w:jc w:val="center"/>
              <w:rPr>
                <w:color w:val="000000" w:themeColor="text1"/>
                <w:sz w:val="20"/>
              </w:rPr>
            </w:pPr>
            <w:r w:rsidRPr="00F76B61">
              <w:rPr>
                <w:color w:val="000000" w:themeColor="text1"/>
                <w:sz w:val="20"/>
              </w:rPr>
              <w:t>Rs. 1,750</w:t>
            </w:r>
          </w:p>
        </w:tc>
        <w:tc>
          <w:tcPr>
            <w:tcW w:w="1800" w:type="dxa"/>
            <w:vAlign w:val="center"/>
          </w:tcPr>
          <w:p w:rsidR="00D63983" w:rsidRPr="00F76B61" w:rsidRDefault="00D63983" w:rsidP="00D63983">
            <w:pPr>
              <w:ind w:left="54"/>
              <w:jc w:val="center"/>
              <w:rPr>
                <w:color w:val="000000" w:themeColor="text1"/>
                <w:sz w:val="20"/>
              </w:rPr>
            </w:pPr>
            <w:r w:rsidRPr="00F76B61">
              <w:rPr>
                <w:color w:val="000000" w:themeColor="text1"/>
                <w:sz w:val="20"/>
              </w:rPr>
              <w:t>Rs. 5,000</w:t>
            </w:r>
          </w:p>
        </w:tc>
      </w:tr>
      <w:tr w:rsidR="00D63983" w:rsidRPr="00117861" w:rsidTr="008A74E3">
        <w:trPr>
          <w:trHeight w:val="122"/>
        </w:trPr>
        <w:tc>
          <w:tcPr>
            <w:tcW w:w="108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4.</w:t>
            </w:r>
          </w:p>
        </w:tc>
        <w:tc>
          <w:tcPr>
            <w:tcW w:w="1980" w:type="dxa"/>
            <w:vAlign w:val="center"/>
          </w:tcPr>
          <w:p w:rsidR="00D63983" w:rsidRPr="00F76B61" w:rsidRDefault="00D63983" w:rsidP="00472DD2">
            <w:pPr>
              <w:ind w:left="54"/>
              <w:rPr>
                <w:color w:val="000000" w:themeColor="text1"/>
                <w:sz w:val="20"/>
              </w:rPr>
            </w:pPr>
            <w:r w:rsidRPr="00F76B61">
              <w:rPr>
                <w:color w:val="000000" w:themeColor="text1"/>
                <w:sz w:val="20"/>
              </w:rPr>
              <w:t>1300cc to 1499cc</w:t>
            </w:r>
          </w:p>
        </w:tc>
        <w:tc>
          <w:tcPr>
            <w:tcW w:w="1710" w:type="dxa"/>
            <w:vAlign w:val="center"/>
          </w:tcPr>
          <w:p w:rsidR="00D63983" w:rsidRPr="00F76B61" w:rsidRDefault="00D63983" w:rsidP="00A21F02">
            <w:pPr>
              <w:ind w:left="54"/>
              <w:jc w:val="center"/>
              <w:rPr>
                <w:color w:val="000000" w:themeColor="text1"/>
                <w:sz w:val="20"/>
              </w:rPr>
            </w:pPr>
            <w:r w:rsidRPr="00F76B61">
              <w:rPr>
                <w:color w:val="000000" w:themeColor="text1"/>
                <w:sz w:val="20"/>
              </w:rPr>
              <w:t xml:space="preserve">Rs. </w:t>
            </w:r>
            <w:r w:rsidR="00A21F02" w:rsidRPr="00F76B61">
              <w:rPr>
                <w:color w:val="000000" w:themeColor="text1"/>
                <w:sz w:val="20"/>
              </w:rPr>
              <w:t>2</w:t>
            </w:r>
            <w:r w:rsidRPr="00F76B61">
              <w:rPr>
                <w:color w:val="000000" w:themeColor="text1"/>
                <w:sz w:val="20"/>
              </w:rPr>
              <w:t>,</w:t>
            </w:r>
            <w:r w:rsidR="00A21F02" w:rsidRPr="00F76B61">
              <w:rPr>
                <w:color w:val="000000" w:themeColor="text1"/>
                <w:sz w:val="20"/>
              </w:rPr>
              <w:t>5</w:t>
            </w:r>
            <w:r w:rsidRPr="00F76B61">
              <w:rPr>
                <w:color w:val="000000" w:themeColor="text1"/>
                <w:sz w:val="20"/>
              </w:rPr>
              <w:t>00</w:t>
            </w:r>
          </w:p>
        </w:tc>
        <w:tc>
          <w:tcPr>
            <w:tcW w:w="1800" w:type="dxa"/>
            <w:vAlign w:val="center"/>
          </w:tcPr>
          <w:p w:rsidR="00D63983" w:rsidRPr="00F76B61" w:rsidRDefault="00D63983" w:rsidP="00A21F02">
            <w:pPr>
              <w:ind w:left="54"/>
              <w:jc w:val="center"/>
              <w:rPr>
                <w:color w:val="000000" w:themeColor="text1"/>
                <w:sz w:val="20"/>
              </w:rPr>
            </w:pPr>
            <w:r w:rsidRPr="00F76B61">
              <w:rPr>
                <w:color w:val="000000" w:themeColor="text1"/>
                <w:sz w:val="20"/>
              </w:rPr>
              <w:t xml:space="preserve">Rs. </w:t>
            </w:r>
            <w:r w:rsidR="00A21F02" w:rsidRPr="00F76B61">
              <w:rPr>
                <w:color w:val="000000" w:themeColor="text1"/>
                <w:sz w:val="20"/>
              </w:rPr>
              <w:t>7</w:t>
            </w:r>
            <w:r w:rsidRPr="00F76B61">
              <w:rPr>
                <w:color w:val="000000" w:themeColor="text1"/>
                <w:sz w:val="20"/>
              </w:rPr>
              <w:t>,</w:t>
            </w:r>
            <w:r w:rsidR="00A21F02" w:rsidRPr="00F76B61">
              <w:rPr>
                <w:color w:val="000000" w:themeColor="text1"/>
                <w:sz w:val="20"/>
              </w:rPr>
              <w:t>5</w:t>
            </w:r>
            <w:r w:rsidRPr="00F76B61">
              <w:rPr>
                <w:color w:val="000000" w:themeColor="text1"/>
                <w:sz w:val="20"/>
              </w:rPr>
              <w:t>00</w:t>
            </w:r>
          </w:p>
        </w:tc>
      </w:tr>
      <w:tr w:rsidR="00D63983" w:rsidRPr="00117861" w:rsidTr="008A74E3">
        <w:trPr>
          <w:trHeight w:val="95"/>
        </w:trPr>
        <w:tc>
          <w:tcPr>
            <w:tcW w:w="108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5.</w:t>
            </w:r>
          </w:p>
        </w:tc>
        <w:tc>
          <w:tcPr>
            <w:tcW w:w="1980" w:type="dxa"/>
            <w:vAlign w:val="center"/>
          </w:tcPr>
          <w:p w:rsidR="00D63983" w:rsidRPr="00F76B61" w:rsidRDefault="00D63983" w:rsidP="00472DD2">
            <w:pPr>
              <w:ind w:left="54"/>
              <w:rPr>
                <w:color w:val="000000" w:themeColor="text1"/>
                <w:sz w:val="20"/>
              </w:rPr>
            </w:pPr>
            <w:r w:rsidRPr="00F76B61">
              <w:rPr>
                <w:color w:val="000000" w:themeColor="text1"/>
                <w:sz w:val="20"/>
              </w:rPr>
              <w:t>1500cc to 1599cc</w:t>
            </w:r>
          </w:p>
        </w:tc>
        <w:tc>
          <w:tcPr>
            <w:tcW w:w="1710" w:type="dxa"/>
            <w:vAlign w:val="center"/>
          </w:tcPr>
          <w:p w:rsidR="00D63983" w:rsidRPr="00F76B61" w:rsidRDefault="00D63983" w:rsidP="006F4A36">
            <w:pPr>
              <w:ind w:left="54"/>
              <w:jc w:val="center"/>
              <w:rPr>
                <w:color w:val="000000" w:themeColor="text1"/>
                <w:sz w:val="20"/>
              </w:rPr>
            </w:pPr>
            <w:r w:rsidRPr="00F76B61">
              <w:rPr>
                <w:color w:val="000000" w:themeColor="text1"/>
                <w:sz w:val="20"/>
              </w:rPr>
              <w:t xml:space="preserve">Rs. </w:t>
            </w:r>
            <w:r w:rsidR="006F4A36" w:rsidRPr="00F76B61">
              <w:rPr>
                <w:color w:val="000000" w:themeColor="text1"/>
                <w:sz w:val="20"/>
              </w:rPr>
              <w:t>3</w:t>
            </w:r>
            <w:r w:rsidRPr="00F76B61">
              <w:rPr>
                <w:color w:val="000000" w:themeColor="text1"/>
                <w:sz w:val="20"/>
              </w:rPr>
              <w:t>,</w:t>
            </w:r>
            <w:r w:rsidR="006F4A36" w:rsidRPr="00F76B61">
              <w:rPr>
                <w:color w:val="000000" w:themeColor="text1"/>
                <w:sz w:val="20"/>
              </w:rPr>
              <w:t>75</w:t>
            </w:r>
            <w:r w:rsidRPr="00F76B61">
              <w:rPr>
                <w:color w:val="000000" w:themeColor="text1"/>
                <w:sz w:val="20"/>
              </w:rPr>
              <w:t>0</w:t>
            </w:r>
          </w:p>
        </w:tc>
        <w:tc>
          <w:tcPr>
            <w:tcW w:w="1800" w:type="dxa"/>
            <w:vAlign w:val="center"/>
          </w:tcPr>
          <w:p w:rsidR="00D63983" w:rsidRPr="00F76B61" w:rsidRDefault="00D63983" w:rsidP="006F4A36">
            <w:pPr>
              <w:ind w:left="54"/>
              <w:jc w:val="center"/>
              <w:rPr>
                <w:color w:val="000000" w:themeColor="text1"/>
                <w:sz w:val="20"/>
              </w:rPr>
            </w:pPr>
            <w:r w:rsidRPr="00F76B61">
              <w:rPr>
                <w:color w:val="000000" w:themeColor="text1"/>
                <w:sz w:val="20"/>
              </w:rPr>
              <w:t xml:space="preserve">Rs. </w:t>
            </w:r>
            <w:r w:rsidR="006F4A36" w:rsidRPr="00F76B61">
              <w:rPr>
                <w:color w:val="000000" w:themeColor="text1"/>
                <w:sz w:val="20"/>
              </w:rPr>
              <w:t>12</w:t>
            </w:r>
            <w:r w:rsidRPr="00F76B61">
              <w:rPr>
                <w:color w:val="000000" w:themeColor="text1"/>
                <w:sz w:val="20"/>
              </w:rPr>
              <w:t>,000</w:t>
            </w:r>
          </w:p>
        </w:tc>
      </w:tr>
      <w:tr w:rsidR="00D63983" w:rsidRPr="00117861" w:rsidTr="008A74E3">
        <w:trPr>
          <w:trHeight w:val="80"/>
        </w:trPr>
        <w:tc>
          <w:tcPr>
            <w:tcW w:w="108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6.</w:t>
            </w:r>
          </w:p>
        </w:tc>
        <w:tc>
          <w:tcPr>
            <w:tcW w:w="1980" w:type="dxa"/>
            <w:vAlign w:val="center"/>
          </w:tcPr>
          <w:p w:rsidR="00D63983" w:rsidRPr="00F76B61" w:rsidRDefault="00D63983" w:rsidP="00472DD2">
            <w:pPr>
              <w:ind w:left="54"/>
              <w:rPr>
                <w:color w:val="000000" w:themeColor="text1"/>
                <w:sz w:val="20"/>
              </w:rPr>
            </w:pPr>
            <w:r w:rsidRPr="00F76B61">
              <w:rPr>
                <w:color w:val="000000" w:themeColor="text1"/>
                <w:sz w:val="20"/>
              </w:rPr>
              <w:t>1600cc to 1999cc</w:t>
            </w:r>
          </w:p>
        </w:tc>
        <w:tc>
          <w:tcPr>
            <w:tcW w:w="1710" w:type="dxa"/>
            <w:vAlign w:val="center"/>
          </w:tcPr>
          <w:p w:rsidR="00D63983" w:rsidRPr="00F76B61" w:rsidRDefault="00D63983" w:rsidP="006F4A36">
            <w:pPr>
              <w:ind w:left="54"/>
              <w:jc w:val="center"/>
              <w:rPr>
                <w:color w:val="000000" w:themeColor="text1"/>
                <w:sz w:val="20"/>
              </w:rPr>
            </w:pPr>
            <w:r w:rsidRPr="00F76B61">
              <w:rPr>
                <w:color w:val="000000" w:themeColor="text1"/>
                <w:sz w:val="20"/>
              </w:rPr>
              <w:t xml:space="preserve">Rs. </w:t>
            </w:r>
            <w:r w:rsidR="006F4A36" w:rsidRPr="00F76B61">
              <w:rPr>
                <w:color w:val="000000" w:themeColor="text1"/>
                <w:sz w:val="20"/>
              </w:rPr>
              <w:t>4</w:t>
            </w:r>
            <w:r w:rsidRPr="00F76B61">
              <w:rPr>
                <w:color w:val="000000" w:themeColor="text1"/>
                <w:sz w:val="20"/>
              </w:rPr>
              <w:t>,</w:t>
            </w:r>
            <w:r w:rsidR="006F4A36" w:rsidRPr="00F76B61">
              <w:rPr>
                <w:color w:val="000000" w:themeColor="text1"/>
                <w:sz w:val="20"/>
              </w:rPr>
              <w:t>5</w:t>
            </w:r>
            <w:r w:rsidRPr="00F76B61">
              <w:rPr>
                <w:color w:val="000000" w:themeColor="text1"/>
                <w:sz w:val="20"/>
              </w:rPr>
              <w:t>00</w:t>
            </w:r>
          </w:p>
        </w:tc>
        <w:tc>
          <w:tcPr>
            <w:tcW w:w="1800" w:type="dxa"/>
            <w:vAlign w:val="center"/>
          </w:tcPr>
          <w:p w:rsidR="00D63983" w:rsidRPr="00F76B61" w:rsidRDefault="00D63983" w:rsidP="006F4A36">
            <w:pPr>
              <w:ind w:left="54"/>
              <w:jc w:val="center"/>
              <w:rPr>
                <w:color w:val="000000" w:themeColor="text1"/>
                <w:sz w:val="20"/>
              </w:rPr>
            </w:pPr>
            <w:r w:rsidRPr="00F76B61">
              <w:rPr>
                <w:color w:val="000000" w:themeColor="text1"/>
                <w:sz w:val="20"/>
              </w:rPr>
              <w:t>Rs. 1</w:t>
            </w:r>
            <w:r w:rsidR="006F4A36" w:rsidRPr="00F76B61">
              <w:rPr>
                <w:color w:val="000000" w:themeColor="text1"/>
                <w:sz w:val="20"/>
              </w:rPr>
              <w:t>5</w:t>
            </w:r>
            <w:r w:rsidRPr="00F76B61">
              <w:rPr>
                <w:color w:val="000000" w:themeColor="text1"/>
                <w:sz w:val="20"/>
              </w:rPr>
              <w:t>,000</w:t>
            </w:r>
          </w:p>
        </w:tc>
      </w:tr>
      <w:tr w:rsidR="00D63983" w:rsidRPr="00117861" w:rsidTr="008A74E3">
        <w:trPr>
          <w:trHeight w:val="80"/>
        </w:trPr>
        <w:tc>
          <w:tcPr>
            <w:tcW w:w="1080" w:type="dxa"/>
            <w:vAlign w:val="center"/>
          </w:tcPr>
          <w:p w:rsidR="00D63983" w:rsidRPr="00F76B61" w:rsidRDefault="00D63983" w:rsidP="00472DD2">
            <w:pPr>
              <w:ind w:left="54"/>
              <w:jc w:val="center"/>
              <w:rPr>
                <w:color w:val="000000" w:themeColor="text1"/>
                <w:sz w:val="20"/>
              </w:rPr>
            </w:pPr>
            <w:r w:rsidRPr="00F76B61">
              <w:rPr>
                <w:color w:val="000000" w:themeColor="text1"/>
                <w:sz w:val="20"/>
              </w:rPr>
              <w:t>7.</w:t>
            </w:r>
          </w:p>
        </w:tc>
        <w:tc>
          <w:tcPr>
            <w:tcW w:w="1980" w:type="dxa"/>
            <w:vAlign w:val="center"/>
          </w:tcPr>
          <w:p w:rsidR="00D63983" w:rsidRPr="00F76B61" w:rsidRDefault="00D63983" w:rsidP="00472DD2">
            <w:pPr>
              <w:ind w:left="54"/>
              <w:rPr>
                <w:color w:val="000000" w:themeColor="text1"/>
                <w:sz w:val="20"/>
              </w:rPr>
            </w:pPr>
            <w:r w:rsidRPr="00F76B61">
              <w:rPr>
                <w:color w:val="000000" w:themeColor="text1"/>
                <w:sz w:val="20"/>
              </w:rPr>
              <w:t>2000cc &amp; above</w:t>
            </w:r>
          </w:p>
        </w:tc>
        <w:tc>
          <w:tcPr>
            <w:tcW w:w="1710" w:type="dxa"/>
            <w:vAlign w:val="center"/>
          </w:tcPr>
          <w:p w:rsidR="00D63983" w:rsidRPr="00F76B61" w:rsidRDefault="00D63983" w:rsidP="006F4A36">
            <w:pPr>
              <w:ind w:left="54"/>
              <w:jc w:val="center"/>
              <w:rPr>
                <w:color w:val="000000" w:themeColor="text1"/>
                <w:sz w:val="20"/>
              </w:rPr>
            </w:pPr>
            <w:r w:rsidRPr="00F76B61">
              <w:rPr>
                <w:color w:val="000000" w:themeColor="text1"/>
                <w:sz w:val="20"/>
              </w:rPr>
              <w:t>Rs. 1</w:t>
            </w:r>
            <w:r w:rsidR="006F4A36" w:rsidRPr="00F76B61">
              <w:rPr>
                <w:color w:val="000000" w:themeColor="text1"/>
                <w:sz w:val="20"/>
              </w:rPr>
              <w:t>0</w:t>
            </w:r>
            <w:r w:rsidRPr="00F76B61">
              <w:rPr>
                <w:color w:val="000000" w:themeColor="text1"/>
                <w:sz w:val="20"/>
              </w:rPr>
              <w:t>,000</w:t>
            </w:r>
          </w:p>
        </w:tc>
        <w:tc>
          <w:tcPr>
            <w:tcW w:w="1800" w:type="dxa"/>
            <w:vAlign w:val="center"/>
          </w:tcPr>
          <w:p w:rsidR="00D63983" w:rsidRPr="00F76B61" w:rsidRDefault="00D63983" w:rsidP="006F4A36">
            <w:pPr>
              <w:ind w:left="54"/>
              <w:jc w:val="center"/>
              <w:rPr>
                <w:color w:val="000000" w:themeColor="text1"/>
                <w:sz w:val="20"/>
              </w:rPr>
            </w:pPr>
            <w:r w:rsidRPr="00F76B61">
              <w:rPr>
                <w:color w:val="000000" w:themeColor="text1"/>
                <w:sz w:val="20"/>
              </w:rPr>
              <w:t xml:space="preserve">Rs. </w:t>
            </w:r>
            <w:r w:rsidR="006F4A36" w:rsidRPr="00F76B61">
              <w:rPr>
                <w:color w:val="000000" w:themeColor="text1"/>
                <w:sz w:val="20"/>
              </w:rPr>
              <w:t>30</w:t>
            </w:r>
            <w:r w:rsidRPr="00F76B61">
              <w:rPr>
                <w:color w:val="000000" w:themeColor="text1"/>
                <w:sz w:val="20"/>
              </w:rPr>
              <w:t>,000</w:t>
            </w:r>
            <w:r w:rsidR="00A50698" w:rsidRPr="00F76B61">
              <w:rPr>
                <w:color w:val="000000" w:themeColor="text1"/>
                <w:sz w:val="20"/>
              </w:rPr>
              <w:t>”</w:t>
            </w:r>
            <w:r w:rsidRPr="00F76B61">
              <w:rPr>
                <w:color w:val="000000" w:themeColor="text1"/>
                <w:sz w:val="20"/>
              </w:rPr>
              <w:t>]</w:t>
            </w:r>
          </w:p>
        </w:tc>
      </w:tr>
    </w:tbl>
    <w:p w:rsidR="00D63983" w:rsidRDefault="00D63983" w:rsidP="00AA4BF8">
      <w:pPr>
        <w:rPr>
          <w:color w:val="00B0F0"/>
          <w:sz w:val="20"/>
        </w:rPr>
      </w:pPr>
    </w:p>
    <w:p w:rsidR="00AA4BF8" w:rsidRPr="00DD1A3B" w:rsidRDefault="00AA4BF8" w:rsidP="00AA4BF8">
      <w:pPr>
        <w:rPr>
          <w:color w:val="000000" w:themeColor="text1"/>
          <w:sz w:val="20"/>
        </w:rPr>
      </w:pPr>
      <w:r w:rsidRPr="00DD1A3B">
        <w:rPr>
          <w:rStyle w:val="FootnoteReference"/>
          <w:color w:val="000000" w:themeColor="text1"/>
          <w:sz w:val="20"/>
        </w:rPr>
        <w:footnoteReference w:id="1691"/>
      </w:r>
      <w:r w:rsidRPr="00DD1A3B">
        <w:rPr>
          <w:color w:val="000000" w:themeColor="text1"/>
          <w:sz w:val="20"/>
        </w:rPr>
        <w:t xml:space="preserve"> [(4) </w:t>
      </w:r>
      <w:r w:rsidRPr="00DD1A3B">
        <w:rPr>
          <w:color w:val="000000" w:themeColor="text1"/>
          <w:sz w:val="20"/>
        </w:rPr>
        <w:tab/>
        <w:t>where the motor vehicle tax is collected in lump sum,</w:t>
      </w:r>
    </w:p>
    <w:p w:rsidR="006F4A36" w:rsidRPr="00DD1A3B" w:rsidRDefault="006F4A36" w:rsidP="00AA4BF8">
      <w:pPr>
        <w:rPr>
          <w:color w:val="000000" w:themeColor="text1"/>
          <w:sz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2340"/>
        <w:gridCol w:w="1710"/>
        <w:gridCol w:w="1800"/>
      </w:tblGrid>
      <w:tr w:rsidR="00AA4BF8" w:rsidRPr="00DD1A3B" w:rsidTr="00A752DD">
        <w:trPr>
          <w:trHeight w:val="203"/>
        </w:trPr>
        <w:tc>
          <w:tcPr>
            <w:tcW w:w="72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S. No.</w:t>
            </w:r>
          </w:p>
        </w:tc>
        <w:tc>
          <w:tcPr>
            <w:tcW w:w="234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Engine capacity</w:t>
            </w:r>
          </w:p>
        </w:tc>
        <w:tc>
          <w:tcPr>
            <w:tcW w:w="1710" w:type="dxa"/>
            <w:vAlign w:val="center"/>
          </w:tcPr>
          <w:p w:rsidR="00AA4BF8" w:rsidRPr="00DD1A3B" w:rsidRDefault="00030F7F" w:rsidP="00631314">
            <w:pPr>
              <w:ind w:left="54"/>
              <w:jc w:val="center"/>
              <w:rPr>
                <w:color w:val="000000" w:themeColor="text1"/>
                <w:sz w:val="20"/>
              </w:rPr>
            </w:pPr>
            <w:r w:rsidRPr="00DD1A3B">
              <w:rPr>
                <w:color w:val="000000" w:themeColor="text1"/>
                <w:sz w:val="20"/>
              </w:rPr>
              <w:t>for filers</w:t>
            </w:r>
          </w:p>
        </w:tc>
        <w:tc>
          <w:tcPr>
            <w:tcW w:w="1800" w:type="dxa"/>
            <w:vAlign w:val="center"/>
          </w:tcPr>
          <w:p w:rsidR="00AA4BF8" w:rsidRPr="00DD1A3B" w:rsidRDefault="00030F7F" w:rsidP="00A752DD">
            <w:pPr>
              <w:ind w:left="54"/>
              <w:jc w:val="center"/>
              <w:rPr>
                <w:color w:val="000000" w:themeColor="text1"/>
                <w:sz w:val="20"/>
              </w:rPr>
            </w:pPr>
            <w:r w:rsidRPr="00DD1A3B">
              <w:rPr>
                <w:color w:val="000000" w:themeColor="text1"/>
                <w:sz w:val="20"/>
              </w:rPr>
              <w:t>for non-filer</w:t>
            </w:r>
          </w:p>
        </w:tc>
      </w:tr>
      <w:tr w:rsidR="00AA4BF8" w:rsidRPr="00DD1A3B" w:rsidTr="00A752DD">
        <w:trPr>
          <w:trHeight w:val="122"/>
        </w:trPr>
        <w:tc>
          <w:tcPr>
            <w:tcW w:w="72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(1)</w:t>
            </w:r>
          </w:p>
        </w:tc>
        <w:tc>
          <w:tcPr>
            <w:tcW w:w="2340" w:type="dxa"/>
            <w:vAlign w:val="center"/>
          </w:tcPr>
          <w:p w:rsidR="00AA4BF8" w:rsidRPr="00DD1A3B" w:rsidRDefault="00AA4BF8" w:rsidP="00A752DD">
            <w:pPr>
              <w:ind w:left="58"/>
              <w:rPr>
                <w:color w:val="000000" w:themeColor="text1"/>
                <w:sz w:val="20"/>
              </w:rPr>
            </w:pPr>
            <w:r w:rsidRPr="00DD1A3B">
              <w:rPr>
                <w:color w:val="000000" w:themeColor="text1"/>
                <w:sz w:val="20"/>
              </w:rPr>
              <w:t>(2)</w:t>
            </w:r>
          </w:p>
        </w:tc>
        <w:tc>
          <w:tcPr>
            <w:tcW w:w="171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(3)</w:t>
            </w:r>
          </w:p>
        </w:tc>
        <w:tc>
          <w:tcPr>
            <w:tcW w:w="180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(4)</w:t>
            </w:r>
          </w:p>
        </w:tc>
      </w:tr>
      <w:tr w:rsidR="00AA4BF8" w:rsidRPr="00DD1A3B" w:rsidTr="00A752DD">
        <w:trPr>
          <w:trHeight w:val="109"/>
        </w:trPr>
        <w:tc>
          <w:tcPr>
            <w:tcW w:w="72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1.</w:t>
            </w:r>
          </w:p>
        </w:tc>
        <w:tc>
          <w:tcPr>
            <w:tcW w:w="2340" w:type="dxa"/>
            <w:vAlign w:val="center"/>
          </w:tcPr>
          <w:p w:rsidR="00AA4BF8" w:rsidRPr="00DD1A3B" w:rsidRDefault="00AA4BF8" w:rsidP="00A752DD">
            <w:pPr>
              <w:ind w:left="54"/>
              <w:rPr>
                <w:color w:val="000000" w:themeColor="text1"/>
                <w:sz w:val="20"/>
              </w:rPr>
            </w:pPr>
            <w:r w:rsidRPr="00DD1A3B">
              <w:rPr>
                <w:color w:val="000000" w:themeColor="text1"/>
                <w:sz w:val="20"/>
              </w:rPr>
              <w:t>upto 1000cc</w:t>
            </w:r>
          </w:p>
        </w:tc>
        <w:tc>
          <w:tcPr>
            <w:tcW w:w="171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10,000</w:t>
            </w:r>
          </w:p>
        </w:tc>
        <w:tc>
          <w:tcPr>
            <w:tcW w:w="180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1</w:t>
            </w:r>
            <w:r w:rsidR="00631314" w:rsidRPr="00DD1A3B">
              <w:rPr>
                <w:color w:val="000000" w:themeColor="text1"/>
                <w:sz w:val="20"/>
              </w:rPr>
              <w:t>0</w:t>
            </w:r>
            <w:r w:rsidRPr="00DD1A3B">
              <w:rPr>
                <w:color w:val="000000" w:themeColor="text1"/>
                <w:sz w:val="20"/>
              </w:rPr>
              <w:t>,000</w:t>
            </w:r>
          </w:p>
        </w:tc>
      </w:tr>
      <w:tr w:rsidR="00AA4BF8" w:rsidRPr="00DD1A3B" w:rsidTr="00A752DD">
        <w:trPr>
          <w:trHeight w:val="135"/>
        </w:trPr>
        <w:tc>
          <w:tcPr>
            <w:tcW w:w="72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2.</w:t>
            </w:r>
          </w:p>
        </w:tc>
        <w:tc>
          <w:tcPr>
            <w:tcW w:w="2340" w:type="dxa"/>
            <w:vAlign w:val="center"/>
          </w:tcPr>
          <w:p w:rsidR="00AA4BF8" w:rsidRPr="00DD1A3B" w:rsidRDefault="00AA4BF8" w:rsidP="00A752DD">
            <w:pPr>
              <w:ind w:left="54"/>
              <w:rPr>
                <w:color w:val="000000" w:themeColor="text1"/>
                <w:sz w:val="20"/>
              </w:rPr>
            </w:pPr>
            <w:r w:rsidRPr="00DD1A3B">
              <w:rPr>
                <w:color w:val="000000" w:themeColor="text1"/>
                <w:sz w:val="20"/>
              </w:rPr>
              <w:t>1001cc to 1199cc</w:t>
            </w:r>
          </w:p>
        </w:tc>
        <w:tc>
          <w:tcPr>
            <w:tcW w:w="171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18,000</w:t>
            </w:r>
          </w:p>
        </w:tc>
        <w:tc>
          <w:tcPr>
            <w:tcW w:w="180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36,000</w:t>
            </w:r>
          </w:p>
        </w:tc>
      </w:tr>
      <w:tr w:rsidR="00AA4BF8" w:rsidRPr="00DD1A3B" w:rsidTr="00A752DD">
        <w:trPr>
          <w:trHeight w:val="82"/>
        </w:trPr>
        <w:tc>
          <w:tcPr>
            <w:tcW w:w="72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3.</w:t>
            </w:r>
          </w:p>
        </w:tc>
        <w:tc>
          <w:tcPr>
            <w:tcW w:w="2340" w:type="dxa"/>
            <w:vAlign w:val="center"/>
          </w:tcPr>
          <w:p w:rsidR="00AA4BF8" w:rsidRPr="00DD1A3B" w:rsidRDefault="00AA4BF8" w:rsidP="00A752DD">
            <w:pPr>
              <w:ind w:left="54"/>
              <w:rPr>
                <w:color w:val="000000" w:themeColor="text1"/>
                <w:sz w:val="20"/>
              </w:rPr>
            </w:pPr>
            <w:r w:rsidRPr="00DD1A3B">
              <w:rPr>
                <w:color w:val="000000" w:themeColor="text1"/>
                <w:sz w:val="20"/>
              </w:rPr>
              <w:t>1200cc to 1299cc</w:t>
            </w:r>
          </w:p>
        </w:tc>
        <w:tc>
          <w:tcPr>
            <w:tcW w:w="171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20,000</w:t>
            </w:r>
          </w:p>
        </w:tc>
        <w:tc>
          <w:tcPr>
            <w:tcW w:w="180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40,000</w:t>
            </w:r>
          </w:p>
        </w:tc>
      </w:tr>
      <w:tr w:rsidR="00AA4BF8" w:rsidRPr="00DD1A3B" w:rsidTr="00A752DD">
        <w:trPr>
          <w:trHeight w:val="122"/>
        </w:trPr>
        <w:tc>
          <w:tcPr>
            <w:tcW w:w="72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4.</w:t>
            </w:r>
          </w:p>
        </w:tc>
        <w:tc>
          <w:tcPr>
            <w:tcW w:w="2340" w:type="dxa"/>
            <w:vAlign w:val="center"/>
          </w:tcPr>
          <w:p w:rsidR="00AA4BF8" w:rsidRPr="00DD1A3B" w:rsidRDefault="00AA4BF8" w:rsidP="00A752DD">
            <w:pPr>
              <w:ind w:left="54"/>
              <w:rPr>
                <w:color w:val="000000" w:themeColor="text1"/>
                <w:sz w:val="20"/>
              </w:rPr>
            </w:pPr>
            <w:r w:rsidRPr="00DD1A3B">
              <w:rPr>
                <w:color w:val="000000" w:themeColor="text1"/>
                <w:sz w:val="20"/>
              </w:rPr>
              <w:t>1300cc to 1499cc</w:t>
            </w:r>
          </w:p>
        </w:tc>
        <w:tc>
          <w:tcPr>
            <w:tcW w:w="171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30,000</w:t>
            </w:r>
          </w:p>
        </w:tc>
        <w:tc>
          <w:tcPr>
            <w:tcW w:w="180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60,000</w:t>
            </w:r>
          </w:p>
        </w:tc>
      </w:tr>
      <w:tr w:rsidR="00AA4BF8" w:rsidRPr="00DD1A3B" w:rsidTr="00A752DD">
        <w:trPr>
          <w:trHeight w:val="95"/>
        </w:trPr>
        <w:tc>
          <w:tcPr>
            <w:tcW w:w="72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5.</w:t>
            </w:r>
          </w:p>
        </w:tc>
        <w:tc>
          <w:tcPr>
            <w:tcW w:w="2340" w:type="dxa"/>
            <w:vAlign w:val="center"/>
          </w:tcPr>
          <w:p w:rsidR="00AA4BF8" w:rsidRPr="00DD1A3B" w:rsidRDefault="00AA4BF8" w:rsidP="00A752DD">
            <w:pPr>
              <w:ind w:left="54"/>
              <w:rPr>
                <w:color w:val="000000" w:themeColor="text1"/>
                <w:sz w:val="20"/>
              </w:rPr>
            </w:pPr>
            <w:r w:rsidRPr="00DD1A3B">
              <w:rPr>
                <w:color w:val="000000" w:themeColor="text1"/>
                <w:sz w:val="20"/>
              </w:rPr>
              <w:t>1500cc to 1599cc</w:t>
            </w:r>
          </w:p>
        </w:tc>
        <w:tc>
          <w:tcPr>
            <w:tcW w:w="171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45,000</w:t>
            </w:r>
          </w:p>
        </w:tc>
        <w:tc>
          <w:tcPr>
            <w:tcW w:w="180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90,000</w:t>
            </w:r>
          </w:p>
        </w:tc>
      </w:tr>
      <w:tr w:rsidR="00AA4BF8" w:rsidRPr="00DD1A3B" w:rsidTr="00A752DD">
        <w:trPr>
          <w:trHeight w:val="80"/>
        </w:trPr>
        <w:tc>
          <w:tcPr>
            <w:tcW w:w="72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6.</w:t>
            </w:r>
          </w:p>
        </w:tc>
        <w:tc>
          <w:tcPr>
            <w:tcW w:w="2340" w:type="dxa"/>
            <w:vAlign w:val="center"/>
          </w:tcPr>
          <w:p w:rsidR="00AA4BF8" w:rsidRPr="00DD1A3B" w:rsidRDefault="00AA4BF8" w:rsidP="00A752DD">
            <w:pPr>
              <w:ind w:left="54"/>
              <w:rPr>
                <w:color w:val="000000" w:themeColor="text1"/>
                <w:sz w:val="20"/>
              </w:rPr>
            </w:pPr>
            <w:r w:rsidRPr="00DD1A3B">
              <w:rPr>
                <w:color w:val="000000" w:themeColor="text1"/>
                <w:sz w:val="20"/>
              </w:rPr>
              <w:t>1600cc to 1999cc</w:t>
            </w:r>
          </w:p>
        </w:tc>
        <w:tc>
          <w:tcPr>
            <w:tcW w:w="171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60,000</w:t>
            </w:r>
          </w:p>
        </w:tc>
        <w:tc>
          <w:tcPr>
            <w:tcW w:w="180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120,000</w:t>
            </w:r>
          </w:p>
        </w:tc>
      </w:tr>
      <w:tr w:rsidR="00AA4BF8" w:rsidRPr="00DD1A3B" w:rsidTr="00A752DD">
        <w:trPr>
          <w:trHeight w:val="80"/>
        </w:trPr>
        <w:tc>
          <w:tcPr>
            <w:tcW w:w="72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7.</w:t>
            </w:r>
          </w:p>
        </w:tc>
        <w:tc>
          <w:tcPr>
            <w:tcW w:w="2340" w:type="dxa"/>
            <w:vAlign w:val="center"/>
          </w:tcPr>
          <w:p w:rsidR="00AA4BF8" w:rsidRPr="00DD1A3B" w:rsidRDefault="00AA4BF8" w:rsidP="00A752DD">
            <w:pPr>
              <w:ind w:left="54"/>
              <w:rPr>
                <w:color w:val="000000" w:themeColor="text1"/>
                <w:sz w:val="20"/>
              </w:rPr>
            </w:pPr>
            <w:r w:rsidRPr="00DD1A3B">
              <w:rPr>
                <w:color w:val="000000" w:themeColor="text1"/>
                <w:sz w:val="20"/>
              </w:rPr>
              <w:t>2000cc &amp; above</w:t>
            </w:r>
          </w:p>
        </w:tc>
        <w:tc>
          <w:tcPr>
            <w:tcW w:w="1710" w:type="dxa"/>
            <w:vAlign w:val="center"/>
          </w:tcPr>
          <w:p w:rsidR="00AA4BF8" w:rsidRPr="00DD1A3B" w:rsidRDefault="00AA4BF8" w:rsidP="00A752DD">
            <w:pPr>
              <w:ind w:left="54"/>
              <w:jc w:val="center"/>
              <w:rPr>
                <w:color w:val="000000" w:themeColor="text1"/>
                <w:sz w:val="20"/>
              </w:rPr>
            </w:pPr>
            <w:r w:rsidRPr="00DD1A3B">
              <w:rPr>
                <w:color w:val="000000" w:themeColor="text1"/>
                <w:sz w:val="20"/>
              </w:rPr>
              <w:t>Rs. 120,000</w:t>
            </w:r>
          </w:p>
        </w:tc>
        <w:tc>
          <w:tcPr>
            <w:tcW w:w="1800" w:type="dxa"/>
            <w:vAlign w:val="center"/>
          </w:tcPr>
          <w:p w:rsidR="00AA4BF8" w:rsidRPr="00DD1A3B" w:rsidRDefault="008F0C69" w:rsidP="00A752DD">
            <w:pPr>
              <w:ind w:left="54"/>
              <w:jc w:val="center"/>
              <w:rPr>
                <w:color w:val="000000" w:themeColor="text1"/>
                <w:sz w:val="20"/>
              </w:rPr>
            </w:pPr>
            <w:r w:rsidRPr="00DD1A3B">
              <w:rPr>
                <w:color w:val="000000" w:themeColor="text1"/>
                <w:sz w:val="20"/>
              </w:rPr>
              <w:t>Rs. 240,000]</w:t>
            </w:r>
          </w:p>
        </w:tc>
      </w:tr>
    </w:tbl>
    <w:p w:rsidR="00AA4BF8" w:rsidRPr="00B81560" w:rsidRDefault="00AA4BF8" w:rsidP="00AA4BF8">
      <w:pPr>
        <w:rPr>
          <w:sz w:val="20"/>
        </w:rPr>
      </w:pPr>
    </w:p>
    <w:p w:rsidR="00AA4BF8" w:rsidRPr="00412620" w:rsidRDefault="00AA4BF8" w:rsidP="00AA4BF8"/>
    <w:p w:rsidR="00AA4BF8" w:rsidRPr="00412620" w:rsidRDefault="00AA4BF8" w:rsidP="00AA4BF8">
      <w:pPr>
        <w:pStyle w:val="Heading2"/>
        <w:spacing w:line="240" w:lineRule="auto"/>
        <w:rPr>
          <w:sz w:val="28"/>
          <w:szCs w:val="28"/>
        </w:rPr>
      </w:pPr>
      <w:r w:rsidRPr="00412620">
        <w:rPr>
          <w:sz w:val="28"/>
          <w:szCs w:val="28"/>
        </w:rPr>
        <w:t>Division IV</w:t>
      </w:r>
    </w:p>
    <w:p w:rsidR="00AA4BF8" w:rsidRPr="00412620" w:rsidRDefault="00AA4BF8" w:rsidP="00AA4BF8">
      <w:pPr>
        <w:keepNext/>
        <w:jc w:val="center"/>
        <w:rPr>
          <w:b/>
          <w:bCs/>
          <w:sz w:val="20"/>
        </w:rPr>
      </w:pPr>
      <w:r w:rsidRPr="00412620">
        <w:rPr>
          <w:b/>
          <w:bCs/>
          <w:sz w:val="20"/>
        </w:rPr>
        <w:t>Electricity Consumption</w:t>
      </w:r>
    </w:p>
    <w:p w:rsidR="00AA4BF8" w:rsidRPr="00412620" w:rsidRDefault="00AA4BF8" w:rsidP="00AA4BF8">
      <w:pPr>
        <w:pStyle w:val="CommentText"/>
        <w:keepNext/>
        <w:rPr>
          <w:sz w:val="16"/>
          <w:szCs w:val="16"/>
        </w:rPr>
      </w:pPr>
    </w:p>
    <w:p w:rsidR="00AA4BF8" w:rsidRPr="00412620" w:rsidRDefault="00AA4BF8" w:rsidP="00AA4BF8">
      <w:pPr>
        <w:rPr>
          <w:sz w:val="20"/>
        </w:rPr>
      </w:pPr>
      <w:r w:rsidRPr="00412620">
        <w:rPr>
          <w:sz w:val="20"/>
        </w:rPr>
        <w:t xml:space="preserve">Rate of collection of tax under section 235 </w:t>
      </w:r>
      <w:r w:rsidRPr="00412620">
        <w:rPr>
          <w:rStyle w:val="FootnoteReference"/>
          <w:rFonts w:cs="Arial"/>
          <w:sz w:val="20"/>
        </w:rPr>
        <w:footnoteReference w:id="1692"/>
      </w:r>
      <w:r w:rsidRPr="00412620">
        <w:rPr>
          <w:sz w:val="20"/>
        </w:rPr>
        <w:t>[where the amount of electricity bill,]-</w:t>
      </w:r>
    </w:p>
    <w:p w:rsidR="00AA4BF8" w:rsidRPr="00412620" w:rsidRDefault="00AA4BF8" w:rsidP="00AA4BF8">
      <w:pPr>
        <w:pStyle w:val="Header"/>
        <w:tabs>
          <w:tab w:val="left" w:pos="547"/>
        </w:tabs>
        <w:rPr>
          <w:sz w:val="20"/>
        </w:rPr>
      </w:pPr>
    </w:p>
    <w:tbl>
      <w:tblPr>
        <w:tblW w:w="7290" w:type="dxa"/>
        <w:tblInd w:w="2" w:type="dxa"/>
        <w:tblLayout w:type="fixed"/>
        <w:tblLook w:val="0000"/>
      </w:tblPr>
      <w:tblGrid>
        <w:gridCol w:w="630"/>
        <w:gridCol w:w="5130"/>
        <w:gridCol w:w="1530"/>
      </w:tblGrid>
      <w:tr w:rsidR="00AA4BF8" w:rsidRPr="00412620" w:rsidTr="00A752DD">
        <w:tc>
          <w:tcPr>
            <w:tcW w:w="630" w:type="dxa"/>
          </w:tcPr>
          <w:p w:rsidR="00AA4BF8" w:rsidRPr="00412620" w:rsidRDefault="00AA4BF8" w:rsidP="00A752DD">
            <w:pPr>
              <w:jc w:val="center"/>
              <w:rPr>
                <w:sz w:val="20"/>
              </w:rPr>
            </w:pPr>
            <w:r w:rsidRPr="00412620">
              <w:rPr>
                <w:rStyle w:val="FootnoteReference"/>
                <w:rFonts w:cs="Arial"/>
                <w:sz w:val="20"/>
              </w:rPr>
              <w:footnoteReference w:id="1693"/>
            </w:r>
            <w:r w:rsidRPr="00412620">
              <w:rPr>
                <w:sz w:val="20"/>
              </w:rPr>
              <w:t>[(a)</w:t>
            </w:r>
          </w:p>
        </w:tc>
        <w:tc>
          <w:tcPr>
            <w:tcW w:w="5130" w:type="dxa"/>
          </w:tcPr>
          <w:p w:rsidR="00AA4BF8" w:rsidRPr="00412620" w:rsidRDefault="00AA4BF8" w:rsidP="00A752DD">
            <w:pPr>
              <w:jc w:val="both"/>
              <w:rPr>
                <w:sz w:val="20"/>
              </w:rPr>
            </w:pPr>
            <w:r w:rsidRPr="00412620">
              <w:rPr>
                <w:sz w:val="20"/>
              </w:rPr>
              <w:t>does not exceed Rs. 400</w:t>
            </w:r>
          </w:p>
        </w:tc>
        <w:tc>
          <w:tcPr>
            <w:tcW w:w="1530" w:type="dxa"/>
          </w:tcPr>
          <w:p w:rsidR="00AA4BF8" w:rsidRPr="00412620" w:rsidRDefault="00AA4BF8" w:rsidP="00A752DD">
            <w:pPr>
              <w:pStyle w:val="H"/>
              <w:widowControl/>
              <w:spacing w:before="0" w:after="0"/>
              <w:jc w:val="right"/>
              <w:rPr>
                <w:rFonts w:ascii="Arial" w:hAnsi="Arial" w:cs="Arial"/>
                <w:sz w:val="20"/>
                <w:lang w:val="en-AU"/>
              </w:rPr>
            </w:pPr>
            <w:r w:rsidRPr="00412620">
              <w:rPr>
                <w:rFonts w:ascii="Arial" w:hAnsi="Arial" w:cs="Arial"/>
                <w:sz w:val="20"/>
                <w:lang w:val="en-AU"/>
              </w:rPr>
              <w:t xml:space="preserve">Rs.    </w:t>
            </w:r>
            <w:r w:rsidRPr="00412620">
              <w:rPr>
                <w:rStyle w:val="FootnoteReference"/>
                <w:rFonts w:ascii="Arial" w:hAnsi="Arial" w:cs="Arial"/>
                <w:sz w:val="20"/>
                <w:lang w:val="en-AU"/>
              </w:rPr>
              <w:footnoteReference w:id="1694"/>
            </w:r>
            <w:r w:rsidRPr="00412620">
              <w:rPr>
                <w:rFonts w:ascii="Arial" w:hAnsi="Arial" w:cs="Arial"/>
                <w:sz w:val="20"/>
                <w:lang w:val="en-AU"/>
              </w:rPr>
              <w:t xml:space="preserve">[0] </w:t>
            </w:r>
          </w:p>
        </w:tc>
      </w:tr>
      <w:tr w:rsidR="00AA4BF8" w:rsidRPr="00412620" w:rsidTr="00A752DD">
        <w:tc>
          <w:tcPr>
            <w:tcW w:w="630" w:type="dxa"/>
          </w:tcPr>
          <w:p w:rsidR="00AA4BF8" w:rsidRPr="00412620" w:rsidRDefault="00AA4BF8" w:rsidP="00A752DD">
            <w:pPr>
              <w:jc w:val="center"/>
              <w:rPr>
                <w:sz w:val="20"/>
              </w:rPr>
            </w:pPr>
            <w:r w:rsidRPr="00412620">
              <w:rPr>
                <w:sz w:val="20"/>
              </w:rPr>
              <w:lastRenderedPageBreak/>
              <w:t>(b)</w:t>
            </w:r>
          </w:p>
        </w:tc>
        <w:tc>
          <w:tcPr>
            <w:tcW w:w="5130" w:type="dxa"/>
          </w:tcPr>
          <w:p w:rsidR="00AA4BF8" w:rsidRPr="00412620" w:rsidRDefault="00AA4BF8" w:rsidP="00A752DD">
            <w:pPr>
              <w:pStyle w:val="Header"/>
              <w:tabs>
                <w:tab w:val="left" w:pos="547"/>
              </w:tabs>
              <w:rPr>
                <w:sz w:val="20"/>
              </w:rPr>
            </w:pPr>
            <w:r w:rsidRPr="00412620">
              <w:rPr>
                <w:sz w:val="20"/>
              </w:rPr>
              <w:t>exceeds Rs.    400 but does not exceed Rs.       600</w:t>
            </w:r>
          </w:p>
        </w:tc>
        <w:tc>
          <w:tcPr>
            <w:tcW w:w="1530" w:type="dxa"/>
          </w:tcPr>
          <w:p w:rsidR="00AA4BF8" w:rsidRPr="00412620" w:rsidRDefault="00AA4BF8" w:rsidP="00A752DD">
            <w:pPr>
              <w:jc w:val="right"/>
              <w:rPr>
                <w:sz w:val="20"/>
              </w:rPr>
            </w:pPr>
            <w:r w:rsidRPr="00412620">
              <w:rPr>
                <w:sz w:val="20"/>
              </w:rPr>
              <w:t xml:space="preserve">Rs.     80 </w:t>
            </w:r>
          </w:p>
        </w:tc>
      </w:tr>
      <w:tr w:rsidR="00AA4BF8" w:rsidRPr="00412620" w:rsidTr="00A752DD">
        <w:tc>
          <w:tcPr>
            <w:tcW w:w="630" w:type="dxa"/>
          </w:tcPr>
          <w:p w:rsidR="00AA4BF8" w:rsidRPr="00412620" w:rsidRDefault="00AA4BF8" w:rsidP="00A752DD">
            <w:pPr>
              <w:jc w:val="center"/>
              <w:rPr>
                <w:sz w:val="20"/>
              </w:rPr>
            </w:pPr>
            <w:r w:rsidRPr="00412620">
              <w:rPr>
                <w:sz w:val="20"/>
              </w:rPr>
              <w:t>(c)</w:t>
            </w:r>
          </w:p>
        </w:tc>
        <w:tc>
          <w:tcPr>
            <w:tcW w:w="5130" w:type="dxa"/>
          </w:tcPr>
          <w:p w:rsidR="00AA4BF8" w:rsidRPr="00412620" w:rsidRDefault="00AA4BF8" w:rsidP="00A752DD">
            <w:pPr>
              <w:rPr>
                <w:sz w:val="20"/>
              </w:rPr>
            </w:pPr>
            <w:r w:rsidRPr="00412620">
              <w:rPr>
                <w:sz w:val="20"/>
              </w:rPr>
              <w:t>exceeds Rs.    600 but does not exceed Rs.       800</w:t>
            </w:r>
          </w:p>
        </w:tc>
        <w:tc>
          <w:tcPr>
            <w:tcW w:w="1530" w:type="dxa"/>
          </w:tcPr>
          <w:p w:rsidR="00AA4BF8" w:rsidRPr="00412620" w:rsidRDefault="00AA4BF8" w:rsidP="00A752DD">
            <w:pPr>
              <w:jc w:val="right"/>
              <w:rPr>
                <w:sz w:val="20"/>
              </w:rPr>
            </w:pPr>
            <w:r w:rsidRPr="00412620">
              <w:rPr>
                <w:sz w:val="20"/>
              </w:rPr>
              <w:t xml:space="preserve">Rs.   100 </w:t>
            </w:r>
          </w:p>
        </w:tc>
      </w:tr>
      <w:tr w:rsidR="00AA4BF8" w:rsidRPr="00412620" w:rsidTr="00A752DD">
        <w:tc>
          <w:tcPr>
            <w:tcW w:w="630" w:type="dxa"/>
          </w:tcPr>
          <w:p w:rsidR="00AA4BF8" w:rsidRPr="00412620" w:rsidRDefault="00AA4BF8" w:rsidP="00A752DD">
            <w:pPr>
              <w:jc w:val="center"/>
              <w:rPr>
                <w:sz w:val="20"/>
              </w:rPr>
            </w:pPr>
            <w:r w:rsidRPr="00412620">
              <w:rPr>
                <w:sz w:val="20"/>
              </w:rPr>
              <w:t>(d)</w:t>
            </w:r>
          </w:p>
        </w:tc>
        <w:tc>
          <w:tcPr>
            <w:tcW w:w="5130" w:type="dxa"/>
          </w:tcPr>
          <w:p w:rsidR="00AA4BF8" w:rsidRPr="00412620" w:rsidRDefault="00AA4BF8" w:rsidP="00A752DD">
            <w:pPr>
              <w:rPr>
                <w:sz w:val="20"/>
              </w:rPr>
            </w:pPr>
            <w:r w:rsidRPr="00412620">
              <w:rPr>
                <w:sz w:val="20"/>
              </w:rPr>
              <w:t>exceeds Rs.    800 but does not exceed Rs.     1000</w:t>
            </w:r>
          </w:p>
        </w:tc>
        <w:tc>
          <w:tcPr>
            <w:tcW w:w="1530" w:type="dxa"/>
          </w:tcPr>
          <w:p w:rsidR="00AA4BF8" w:rsidRPr="00412620" w:rsidRDefault="00AA4BF8" w:rsidP="00A752DD">
            <w:pPr>
              <w:jc w:val="right"/>
              <w:rPr>
                <w:sz w:val="20"/>
              </w:rPr>
            </w:pPr>
            <w:r w:rsidRPr="00412620">
              <w:rPr>
                <w:sz w:val="20"/>
              </w:rPr>
              <w:t xml:space="preserve">Rs.   160 </w:t>
            </w:r>
          </w:p>
        </w:tc>
      </w:tr>
      <w:tr w:rsidR="00AA4BF8" w:rsidRPr="00412620" w:rsidTr="00A752DD">
        <w:tc>
          <w:tcPr>
            <w:tcW w:w="630" w:type="dxa"/>
          </w:tcPr>
          <w:p w:rsidR="00AA4BF8" w:rsidRPr="00412620" w:rsidRDefault="00AA4BF8" w:rsidP="00A752DD">
            <w:pPr>
              <w:jc w:val="center"/>
              <w:rPr>
                <w:sz w:val="20"/>
              </w:rPr>
            </w:pPr>
            <w:r w:rsidRPr="00412620">
              <w:rPr>
                <w:sz w:val="20"/>
              </w:rPr>
              <w:t>(e)</w:t>
            </w:r>
          </w:p>
        </w:tc>
        <w:tc>
          <w:tcPr>
            <w:tcW w:w="5130" w:type="dxa"/>
          </w:tcPr>
          <w:p w:rsidR="00AA4BF8" w:rsidRPr="00412620" w:rsidRDefault="00AA4BF8" w:rsidP="00A752DD">
            <w:pPr>
              <w:rPr>
                <w:sz w:val="20"/>
              </w:rPr>
            </w:pPr>
            <w:r w:rsidRPr="00412620">
              <w:rPr>
                <w:sz w:val="20"/>
              </w:rPr>
              <w:t>exceeds Rs.  1000 but does not exceed Rs.     1500</w:t>
            </w:r>
          </w:p>
        </w:tc>
        <w:tc>
          <w:tcPr>
            <w:tcW w:w="1530" w:type="dxa"/>
          </w:tcPr>
          <w:p w:rsidR="00AA4BF8" w:rsidRPr="00412620" w:rsidRDefault="00AA4BF8" w:rsidP="00A752DD">
            <w:pPr>
              <w:jc w:val="right"/>
              <w:rPr>
                <w:sz w:val="20"/>
              </w:rPr>
            </w:pPr>
            <w:r w:rsidRPr="00412620">
              <w:rPr>
                <w:sz w:val="20"/>
              </w:rPr>
              <w:t xml:space="preserve">Rs.   300 </w:t>
            </w:r>
          </w:p>
        </w:tc>
      </w:tr>
      <w:tr w:rsidR="00AA4BF8" w:rsidRPr="00412620" w:rsidTr="00A752DD">
        <w:tc>
          <w:tcPr>
            <w:tcW w:w="630" w:type="dxa"/>
          </w:tcPr>
          <w:p w:rsidR="00AA4BF8" w:rsidRPr="00412620" w:rsidRDefault="00AA4BF8" w:rsidP="00A752DD">
            <w:pPr>
              <w:jc w:val="center"/>
              <w:rPr>
                <w:sz w:val="20"/>
              </w:rPr>
            </w:pPr>
            <w:r w:rsidRPr="00412620">
              <w:rPr>
                <w:sz w:val="20"/>
              </w:rPr>
              <w:t>(f)</w:t>
            </w:r>
          </w:p>
        </w:tc>
        <w:tc>
          <w:tcPr>
            <w:tcW w:w="5130" w:type="dxa"/>
          </w:tcPr>
          <w:p w:rsidR="00AA4BF8" w:rsidRPr="00412620" w:rsidRDefault="00AA4BF8" w:rsidP="00A752DD">
            <w:pPr>
              <w:rPr>
                <w:sz w:val="20"/>
              </w:rPr>
            </w:pPr>
            <w:r w:rsidRPr="00412620">
              <w:rPr>
                <w:sz w:val="20"/>
              </w:rPr>
              <w:t>exceeds Rs.  1500 but does not exceed Rs.     3000</w:t>
            </w:r>
          </w:p>
        </w:tc>
        <w:tc>
          <w:tcPr>
            <w:tcW w:w="1530" w:type="dxa"/>
          </w:tcPr>
          <w:p w:rsidR="00AA4BF8" w:rsidRPr="00412620" w:rsidRDefault="00AA4BF8" w:rsidP="00A752DD">
            <w:pPr>
              <w:jc w:val="right"/>
              <w:rPr>
                <w:sz w:val="20"/>
              </w:rPr>
            </w:pPr>
            <w:r w:rsidRPr="00412620">
              <w:rPr>
                <w:sz w:val="20"/>
              </w:rPr>
              <w:t xml:space="preserve">Rs.   350 </w:t>
            </w:r>
          </w:p>
        </w:tc>
      </w:tr>
      <w:tr w:rsidR="00AA4BF8" w:rsidRPr="00412620" w:rsidTr="00A752DD">
        <w:tc>
          <w:tcPr>
            <w:tcW w:w="630" w:type="dxa"/>
          </w:tcPr>
          <w:p w:rsidR="00AA4BF8" w:rsidRPr="00412620" w:rsidRDefault="00AA4BF8" w:rsidP="00A752DD">
            <w:pPr>
              <w:jc w:val="center"/>
              <w:rPr>
                <w:sz w:val="20"/>
              </w:rPr>
            </w:pPr>
            <w:r w:rsidRPr="00412620">
              <w:rPr>
                <w:sz w:val="20"/>
              </w:rPr>
              <w:t>(g)</w:t>
            </w:r>
          </w:p>
        </w:tc>
        <w:tc>
          <w:tcPr>
            <w:tcW w:w="5130" w:type="dxa"/>
          </w:tcPr>
          <w:p w:rsidR="00AA4BF8" w:rsidRPr="00412620" w:rsidRDefault="00AA4BF8" w:rsidP="00A752DD">
            <w:pPr>
              <w:rPr>
                <w:sz w:val="20"/>
              </w:rPr>
            </w:pPr>
            <w:r w:rsidRPr="00412620">
              <w:rPr>
                <w:sz w:val="20"/>
              </w:rPr>
              <w:t>exceeds Rs.  3000 but does not exceed Rs.     4500</w:t>
            </w:r>
          </w:p>
        </w:tc>
        <w:tc>
          <w:tcPr>
            <w:tcW w:w="1530" w:type="dxa"/>
          </w:tcPr>
          <w:p w:rsidR="00AA4BF8" w:rsidRPr="00412620" w:rsidRDefault="00AA4BF8" w:rsidP="00A752DD">
            <w:pPr>
              <w:pStyle w:val="Header"/>
              <w:tabs>
                <w:tab w:val="left" w:pos="547"/>
              </w:tabs>
              <w:jc w:val="right"/>
              <w:rPr>
                <w:sz w:val="20"/>
              </w:rPr>
            </w:pPr>
            <w:r w:rsidRPr="00412620">
              <w:rPr>
                <w:sz w:val="20"/>
              </w:rPr>
              <w:t xml:space="preserve">Rs.   450 </w:t>
            </w:r>
          </w:p>
        </w:tc>
      </w:tr>
      <w:tr w:rsidR="00AA4BF8" w:rsidRPr="00412620" w:rsidTr="00A752DD">
        <w:tc>
          <w:tcPr>
            <w:tcW w:w="630" w:type="dxa"/>
          </w:tcPr>
          <w:p w:rsidR="00AA4BF8" w:rsidRPr="00412620" w:rsidRDefault="00AA4BF8" w:rsidP="00A752DD">
            <w:pPr>
              <w:jc w:val="center"/>
              <w:rPr>
                <w:sz w:val="20"/>
              </w:rPr>
            </w:pPr>
            <w:r w:rsidRPr="00412620">
              <w:rPr>
                <w:sz w:val="20"/>
              </w:rPr>
              <w:t>(h)</w:t>
            </w:r>
          </w:p>
        </w:tc>
        <w:tc>
          <w:tcPr>
            <w:tcW w:w="5130" w:type="dxa"/>
          </w:tcPr>
          <w:p w:rsidR="00AA4BF8" w:rsidRPr="00412620" w:rsidRDefault="00AA4BF8" w:rsidP="00A752DD">
            <w:pPr>
              <w:rPr>
                <w:sz w:val="20"/>
              </w:rPr>
            </w:pPr>
            <w:r w:rsidRPr="00412620">
              <w:rPr>
                <w:sz w:val="20"/>
              </w:rPr>
              <w:t>exceeds Rs.  4500 but does not exceed Rs.     6000</w:t>
            </w:r>
          </w:p>
        </w:tc>
        <w:tc>
          <w:tcPr>
            <w:tcW w:w="1530" w:type="dxa"/>
          </w:tcPr>
          <w:p w:rsidR="00AA4BF8" w:rsidRPr="00412620" w:rsidRDefault="00AA4BF8" w:rsidP="00A752DD">
            <w:pPr>
              <w:jc w:val="right"/>
              <w:rPr>
                <w:sz w:val="20"/>
              </w:rPr>
            </w:pPr>
            <w:r w:rsidRPr="00412620">
              <w:rPr>
                <w:sz w:val="20"/>
              </w:rPr>
              <w:t xml:space="preserve">Rs.   500 </w:t>
            </w:r>
          </w:p>
        </w:tc>
      </w:tr>
      <w:tr w:rsidR="00AA4BF8" w:rsidRPr="00412620" w:rsidTr="00A752DD">
        <w:tc>
          <w:tcPr>
            <w:tcW w:w="630" w:type="dxa"/>
          </w:tcPr>
          <w:p w:rsidR="00AA4BF8" w:rsidRPr="00412620" w:rsidRDefault="00AA4BF8" w:rsidP="00A752DD">
            <w:pPr>
              <w:jc w:val="center"/>
              <w:rPr>
                <w:sz w:val="20"/>
              </w:rPr>
            </w:pPr>
            <w:r w:rsidRPr="00412620">
              <w:rPr>
                <w:sz w:val="20"/>
              </w:rPr>
              <w:t>(i)</w:t>
            </w:r>
          </w:p>
        </w:tc>
        <w:tc>
          <w:tcPr>
            <w:tcW w:w="5130" w:type="dxa"/>
          </w:tcPr>
          <w:p w:rsidR="00AA4BF8" w:rsidRPr="00412620" w:rsidRDefault="00AA4BF8" w:rsidP="00A752DD">
            <w:pPr>
              <w:rPr>
                <w:sz w:val="20"/>
              </w:rPr>
            </w:pPr>
            <w:r w:rsidRPr="00412620">
              <w:rPr>
                <w:sz w:val="20"/>
              </w:rPr>
              <w:t>exceeds Rs.  6000 but does not exceed Rs.   10000</w:t>
            </w:r>
          </w:p>
        </w:tc>
        <w:tc>
          <w:tcPr>
            <w:tcW w:w="1530" w:type="dxa"/>
          </w:tcPr>
          <w:p w:rsidR="00AA4BF8" w:rsidRPr="00412620" w:rsidRDefault="00AA4BF8" w:rsidP="00A752DD">
            <w:pPr>
              <w:jc w:val="right"/>
              <w:rPr>
                <w:sz w:val="20"/>
              </w:rPr>
            </w:pPr>
            <w:r w:rsidRPr="00412620">
              <w:rPr>
                <w:sz w:val="20"/>
              </w:rPr>
              <w:t xml:space="preserve">Rs.   650 </w:t>
            </w:r>
          </w:p>
        </w:tc>
      </w:tr>
      <w:tr w:rsidR="00AA4BF8" w:rsidRPr="00412620" w:rsidTr="00A752DD">
        <w:tc>
          <w:tcPr>
            <w:tcW w:w="630" w:type="dxa"/>
          </w:tcPr>
          <w:p w:rsidR="00AA4BF8" w:rsidRPr="00412620" w:rsidRDefault="00AA4BF8" w:rsidP="00A752DD">
            <w:pPr>
              <w:jc w:val="center"/>
              <w:rPr>
                <w:sz w:val="20"/>
              </w:rPr>
            </w:pPr>
            <w:r w:rsidRPr="00412620">
              <w:rPr>
                <w:sz w:val="20"/>
              </w:rPr>
              <w:t>(j)</w:t>
            </w:r>
          </w:p>
        </w:tc>
        <w:tc>
          <w:tcPr>
            <w:tcW w:w="5130" w:type="dxa"/>
          </w:tcPr>
          <w:p w:rsidR="00AA4BF8" w:rsidRPr="00412620" w:rsidRDefault="00AA4BF8" w:rsidP="00A752DD">
            <w:pPr>
              <w:rPr>
                <w:sz w:val="20"/>
              </w:rPr>
            </w:pPr>
            <w:r w:rsidRPr="00412620">
              <w:rPr>
                <w:sz w:val="20"/>
              </w:rPr>
              <w:t>exceeds Rs. 10000 but does not exceed Rs. 15000</w:t>
            </w:r>
          </w:p>
        </w:tc>
        <w:tc>
          <w:tcPr>
            <w:tcW w:w="1530" w:type="dxa"/>
          </w:tcPr>
          <w:p w:rsidR="00AA4BF8" w:rsidRPr="00412620" w:rsidRDefault="00AA4BF8" w:rsidP="00A752DD">
            <w:pPr>
              <w:jc w:val="right"/>
              <w:rPr>
                <w:sz w:val="20"/>
              </w:rPr>
            </w:pPr>
            <w:r w:rsidRPr="00412620">
              <w:rPr>
                <w:sz w:val="20"/>
              </w:rPr>
              <w:t xml:space="preserve">Rs. 1000 </w:t>
            </w:r>
          </w:p>
        </w:tc>
      </w:tr>
      <w:tr w:rsidR="00AA4BF8" w:rsidRPr="00412620" w:rsidTr="00A752DD">
        <w:tc>
          <w:tcPr>
            <w:tcW w:w="630" w:type="dxa"/>
          </w:tcPr>
          <w:p w:rsidR="00AA4BF8" w:rsidRPr="00412620" w:rsidRDefault="00AA4BF8" w:rsidP="00A752DD">
            <w:pPr>
              <w:jc w:val="center"/>
              <w:rPr>
                <w:sz w:val="20"/>
              </w:rPr>
            </w:pPr>
            <w:r w:rsidRPr="00412620">
              <w:rPr>
                <w:sz w:val="20"/>
              </w:rPr>
              <w:t>(k)</w:t>
            </w:r>
          </w:p>
        </w:tc>
        <w:tc>
          <w:tcPr>
            <w:tcW w:w="5130" w:type="dxa"/>
          </w:tcPr>
          <w:p w:rsidR="00AA4BF8" w:rsidRPr="00412620" w:rsidRDefault="00AA4BF8" w:rsidP="00A752DD">
            <w:pPr>
              <w:rPr>
                <w:sz w:val="20"/>
              </w:rPr>
            </w:pPr>
            <w:r w:rsidRPr="00412620">
              <w:rPr>
                <w:sz w:val="20"/>
              </w:rPr>
              <w:t>exceeds Rs. 15000 but does not exceed Rs. 20000</w:t>
            </w:r>
          </w:p>
        </w:tc>
        <w:tc>
          <w:tcPr>
            <w:tcW w:w="1530" w:type="dxa"/>
          </w:tcPr>
          <w:p w:rsidR="00AA4BF8" w:rsidRPr="00412620" w:rsidRDefault="00AA4BF8" w:rsidP="00A752DD">
            <w:pPr>
              <w:jc w:val="right"/>
              <w:rPr>
                <w:sz w:val="20"/>
              </w:rPr>
            </w:pPr>
            <w:r w:rsidRPr="00412620">
              <w:rPr>
                <w:sz w:val="20"/>
              </w:rPr>
              <w:t xml:space="preserve">Rs. 1500 </w:t>
            </w:r>
          </w:p>
        </w:tc>
      </w:tr>
      <w:tr w:rsidR="00AA4BF8" w:rsidRPr="00412620" w:rsidTr="00A752DD">
        <w:tc>
          <w:tcPr>
            <w:tcW w:w="630" w:type="dxa"/>
          </w:tcPr>
          <w:p w:rsidR="00AA4BF8" w:rsidRPr="00412620" w:rsidRDefault="00AA4BF8" w:rsidP="00A752DD">
            <w:pPr>
              <w:jc w:val="center"/>
              <w:rPr>
                <w:sz w:val="20"/>
              </w:rPr>
            </w:pPr>
            <w:r w:rsidRPr="00412620">
              <w:rPr>
                <w:sz w:val="20"/>
              </w:rPr>
              <w:t>(l)</w:t>
            </w:r>
          </w:p>
        </w:tc>
        <w:tc>
          <w:tcPr>
            <w:tcW w:w="5130" w:type="dxa"/>
          </w:tcPr>
          <w:p w:rsidR="00AA4BF8" w:rsidRPr="00412620" w:rsidRDefault="00AA4BF8" w:rsidP="00A752DD">
            <w:pPr>
              <w:rPr>
                <w:sz w:val="20"/>
              </w:rPr>
            </w:pPr>
            <w:r w:rsidRPr="00412620">
              <w:rPr>
                <w:sz w:val="20"/>
              </w:rPr>
              <w:t>exceeds Rs. 20000.</w:t>
            </w:r>
          </w:p>
        </w:tc>
        <w:tc>
          <w:tcPr>
            <w:tcW w:w="1530" w:type="dxa"/>
          </w:tcPr>
          <w:p w:rsidR="00AA4BF8" w:rsidRPr="00412620" w:rsidRDefault="00AA4BF8" w:rsidP="00A752DD">
            <w:pPr>
              <w:jc w:val="both"/>
              <w:rPr>
                <w:sz w:val="14"/>
                <w:szCs w:val="14"/>
              </w:rPr>
            </w:pPr>
            <w:r w:rsidRPr="00412620">
              <w:rPr>
                <w:rStyle w:val="FootnoteReference"/>
                <w:rFonts w:cs="Arial"/>
                <w:sz w:val="20"/>
              </w:rPr>
              <w:footnoteReference w:id="1695"/>
            </w:r>
            <w:r w:rsidRPr="00412620">
              <w:rPr>
                <w:sz w:val="20"/>
              </w:rPr>
              <w:t>[</w:t>
            </w:r>
            <w:r w:rsidRPr="00412620">
              <w:rPr>
                <w:sz w:val="14"/>
                <w:szCs w:val="14"/>
              </w:rPr>
              <w:t>(i)</w:t>
            </w:r>
            <w:r w:rsidRPr="00412620">
              <w:rPr>
                <w:sz w:val="20"/>
              </w:rPr>
              <w:tab/>
            </w:r>
            <w:r w:rsidRPr="00412620">
              <w:rPr>
                <w:sz w:val="14"/>
                <w:szCs w:val="14"/>
              </w:rPr>
              <w:t xml:space="preserve">at the rate </w:t>
            </w:r>
            <w:r w:rsidRPr="00412620">
              <w:rPr>
                <w:sz w:val="14"/>
                <w:szCs w:val="14"/>
              </w:rPr>
              <w:tab/>
              <w:t xml:space="preserve">of </w:t>
            </w:r>
            <w:r w:rsidR="004F4505" w:rsidRPr="0009763F">
              <w:rPr>
                <w:rStyle w:val="FootnoteReference"/>
                <w:color w:val="0070C0"/>
                <w:sz w:val="14"/>
                <w:szCs w:val="14"/>
              </w:rPr>
              <w:footnoteReference w:id="1696"/>
            </w:r>
            <w:r w:rsidR="004F4505" w:rsidRPr="0009763F">
              <w:rPr>
                <w:color w:val="0070C0"/>
                <w:sz w:val="14"/>
                <w:szCs w:val="14"/>
              </w:rPr>
              <w:t>[</w:t>
            </w:r>
            <w:r w:rsidRPr="0009763F">
              <w:rPr>
                <w:color w:val="0070C0"/>
                <w:sz w:val="14"/>
                <w:szCs w:val="14"/>
              </w:rPr>
              <w:t>1</w:t>
            </w:r>
            <w:r w:rsidR="004F4505" w:rsidRPr="0009763F">
              <w:rPr>
                <w:color w:val="0070C0"/>
                <w:sz w:val="14"/>
                <w:szCs w:val="14"/>
              </w:rPr>
              <w:t>2]</w:t>
            </w:r>
            <w:r w:rsidRPr="00412620">
              <w:rPr>
                <w:sz w:val="14"/>
                <w:szCs w:val="14"/>
              </w:rPr>
              <w:t xml:space="preserve"> </w:t>
            </w:r>
            <w:r w:rsidRPr="00412620">
              <w:rPr>
                <w:i/>
                <w:iCs/>
                <w:sz w:val="14"/>
                <w:szCs w:val="14"/>
              </w:rPr>
              <w:t xml:space="preserve">per </w:t>
            </w:r>
            <w:r w:rsidRPr="00412620">
              <w:rPr>
                <w:i/>
                <w:iCs/>
                <w:sz w:val="14"/>
                <w:szCs w:val="14"/>
              </w:rPr>
              <w:tab/>
              <w:t>cent</w:t>
            </w:r>
            <w:r w:rsidRPr="00412620">
              <w:rPr>
                <w:sz w:val="14"/>
                <w:szCs w:val="14"/>
              </w:rPr>
              <w:tab/>
              <w:t xml:space="preserve">for </w:t>
            </w:r>
            <w:r w:rsidRPr="00412620">
              <w:rPr>
                <w:sz w:val="14"/>
                <w:szCs w:val="14"/>
              </w:rPr>
              <w:tab/>
              <w:t xml:space="preserve">commercial </w:t>
            </w:r>
            <w:r w:rsidRPr="00412620">
              <w:rPr>
                <w:sz w:val="14"/>
                <w:szCs w:val="14"/>
              </w:rPr>
              <w:tab/>
              <w:t>consumers;</w:t>
            </w:r>
          </w:p>
          <w:p w:rsidR="00AA4BF8" w:rsidRPr="00412620" w:rsidRDefault="00AA4BF8" w:rsidP="00A752DD">
            <w:pPr>
              <w:jc w:val="both"/>
              <w:rPr>
                <w:sz w:val="14"/>
                <w:szCs w:val="14"/>
              </w:rPr>
            </w:pPr>
          </w:p>
          <w:p w:rsidR="00AA4BF8" w:rsidRPr="00412620" w:rsidRDefault="00AA4BF8" w:rsidP="00A752DD">
            <w:pPr>
              <w:jc w:val="both"/>
              <w:rPr>
                <w:sz w:val="20"/>
              </w:rPr>
            </w:pPr>
            <w:r w:rsidRPr="00412620">
              <w:rPr>
                <w:sz w:val="14"/>
                <w:szCs w:val="14"/>
              </w:rPr>
              <w:t xml:space="preserve">(ii) </w:t>
            </w:r>
            <w:r w:rsidRPr="00412620">
              <w:rPr>
                <w:sz w:val="14"/>
                <w:szCs w:val="14"/>
              </w:rPr>
              <w:tab/>
              <w:t xml:space="preserve">at the rate </w:t>
            </w:r>
            <w:r w:rsidRPr="00412620">
              <w:rPr>
                <w:sz w:val="14"/>
                <w:szCs w:val="14"/>
              </w:rPr>
              <w:tab/>
              <w:t xml:space="preserve">of 5 </w:t>
            </w:r>
            <w:r w:rsidRPr="00412620">
              <w:rPr>
                <w:sz w:val="14"/>
                <w:szCs w:val="14"/>
              </w:rPr>
              <w:tab/>
            </w:r>
            <w:r w:rsidRPr="00412620">
              <w:rPr>
                <w:i/>
                <w:iCs/>
                <w:sz w:val="14"/>
                <w:szCs w:val="14"/>
              </w:rPr>
              <w:t xml:space="preserve">per </w:t>
            </w:r>
            <w:r w:rsidRPr="00412620">
              <w:rPr>
                <w:i/>
                <w:iCs/>
                <w:sz w:val="14"/>
                <w:szCs w:val="14"/>
              </w:rPr>
              <w:tab/>
              <w:t>cent</w:t>
            </w:r>
            <w:r w:rsidRPr="00412620">
              <w:rPr>
                <w:sz w:val="14"/>
                <w:szCs w:val="14"/>
              </w:rPr>
              <w:t xml:space="preserve"> for </w:t>
            </w:r>
            <w:r w:rsidRPr="00412620">
              <w:rPr>
                <w:sz w:val="14"/>
                <w:szCs w:val="14"/>
              </w:rPr>
              <w:tab/>
              <w:t xml:space="preserve">industrial </w:t>
            </w:r>
            <w:r w:rsidRPr="00412620">
              <w:rPr>
                <w:sz w:val="14"/>
                <w:szCs w:val="14"/>
              </w:rPr>
              <w:tab/>
              <w:t>consumers.</w:t>
            </w:r>
            <w:r w:rsidRPr="00412620">
              <w:rPr>
                <w:sz w:val="14"/>
                <w:szCs w:val="14"/>
              </w:rPr>
              <w:tab/>
            </w:r>
            <w:r w:rsidRPr="00412620">
              <w:rPr>
                <w:sz w:val="20"/>
              </w:rPr>
              <w:t>] ]</w:t>
            </w:r>
          </w:p>
        </w:tc>
      </w:tr>
    </w:tbl>
    <w:p w:rsidR="00AA4BF8" w:rsidRPr="00412620" w:rsidRDefault="00AA4BF8" w:rsidP="00AA4BF8">
      <w:pPr>
        <w:pStyle w:val="Header"/>
        <w:tabs>
          <w:tab w:val="left" w:pos="547"/>
        </w:tabs>
        <w:rPr>
          <w:sz w:val="16"/>
          <w:szCs w:val="16"/>
        </w:rPr>
      </w:pPr>
    </w:p>
    <w:p w:rsidR="00AA4BF8" w:rsidRPr="00412620" w:rsidRDefault="00AA4BF8" w:rsidP="00AA4BF8">
      <w:pPr>
        <w:pStyle w:val="Header"/>
        <w:tabs>
          <w:tab w:val="left" w:pos="547"/>
        </w:tabs>
        <w:rPr>
          <w:sz w:val="16"/>
          <w:szCs w:val="16"/>
        </w:rPr>
      </w:pPr>
    </w:p>
    <w:p w:rsidR="00AA4BF8" w:rsidRPr="00412620" w:rsidRDefault="00AA4BF8" w:rsidP="00AA4BF8">
      <w:pPr>
        <w:pStyle w:val="Header"/>
        <w:tabs>
          <w:tab w:val="left" w:pos="547"/>
        </w:tabs>
        <w:rPr>
          <w:sz w:val="16"/>
          <w:szCs w:val="16"/>
        </w:rPr>
      </w:pPr>
      <w:r w:rsidRPr="00412620">
        <w:rPr>
          <w:sz w:val="16"/>
          <w:szCs w:val="16"/>
        </w:rPr>
        <w:br w:type="page"/>
      </w:r>
    </w:p>
    <w:p w:rsidR="00AA4BF8" w:rsidRPr="00412620" w:rsidRDefault="00AA4BF8" w:rsidP="00AA4BF8">
      <w:pPr>
        <w:pStyle w:val="C"/>
        <w:keepNext/>
        <w:widowControl/>
        <w:spacing w:before="0" w:after="0"/>
        <w:rPr>
          <w:rFonts w:ascii="Arial" w:hAnsi="Arial" w:cs="Arial"/>
          <w:sz w:val="32"/>
          <w:szCs w:val="32"/>
          <w:lang w:val="en-AU"/>
        </w:rPr>
      </w:pPr>
      <w:r w:rsidRPr="00412620">
        <w:rPr>
          <w:rFonts w:ascii="Arial" w:hAnsi="Arial" w:cs="Arial"/>
          <w:sz w:val="32"/>
          <w:szCs w:val="32"/>
          <w:lang w:val="en-AU"/>
        </w:rPr>
        <w:lastRenderedPageBreak/>
        <w:t>Division V</w:t>
      </w:r>
    </w:p>
    <w:p w:rsidR="00AA4BF8" w:rsidRPr="00412620" w:rsidRDefault="00AA4BF8" w:rsidP="00AA4BF8">
      <w:pPr>
        <w:keepNext/>
        <w:jc w:val="center"/>
        <w:rPr>
          <w:b/>
          <w:bCs/>
          <w:sz w:val="20"/>
        </w:rPr>
      </w:pPr>
      <w:r w:rsidRPr="00412620">
        <w:rPr>
          <w:b/>
          <w:bCs/>
          <w:sz w:val="20"/>
        </w:rPr>
        <w:t>Telephone users</w:t>
      </w:r>
    </w:p>
    <w:p w:rsidR="00AA4BF8" w:rsidRPr="00412620" w:rsidRDefault="00AA4BF8" w:rsidP="00AA4BF8">
      <w:pPr>
        <w:pStyle w:val="CommentText"/>
        <w:keepNext/>
        <w:rPr>
          <w:sz w:val="16"/>
          <w:szCs w:val="16"/>
        </w:rPr>
      </w:pPr>
    </w:p>
    <w:p w:rsidR="00AA4BF8" w:rsidRPr="00412620" w:rsidRDefault="00AA4BF8" w:rsidP="00AA4BF8">
      <w:pPr>
        <w:rPr>
          <w:sz w:val="20"/>
        </w:rPr>
      </w:pPr>
      <w:r w:rsidRPr="00412620">
        <w:rPr>
          <w:sz w:val="20"/>
        </w:rPr>
        <w:t>Rates of collection of tax under section 236, —</w:t>
      </w:r>
    </w:p>
    <w:p w:rsidR="00AA4BF8" w:rsidRPr="00412620" w:rsidRDefault="00AA4BF8" w:rsidP="00AA4BF8">
      <w:pPr>
        <w:rPr>
          <w:sz w:val="20"/>
        </w:rPr>
      </w:pPr>
    </w:p>
    <w:tbl>
      <w:tblPr>
        <w:tblW w:w="6390" w:type="dxa"/>
        <w:tblInd w:w="2" w:type="dxa"/>
        <w:tblLook w:val="01E0"/>
      </w:tblPr>
      <w:tblGrid>
        <w:gridCol w:w="872"/>
        <w:gridCol w:w="3732"/>
        <w:gridCol w:w="1786"/>
      </w:tblGrid>
      <w:tr w:rsidR="00AA4BF8" w:rsidRPr="00412620" w:rsidTr="00A752DD">
        <w:tc>
          <w:tcPr>
            <w:tcW w:w="806" w:type="dxa"/>
          </w:tcPr>
          <w:p w:rsidR="00AA4BF8" w:rsidRPr="00F76B61" w:rsidRDefault="00AA4BF8" w:rsidP="00A752DD">
            <w:pPr>
              <w:jc w:val="both"/>
              <w:rPr>
                <w:color w:val="000000" w:themeColor="text1"/>
                <w:sz w:val="20"/>
              </w:rPr>
            </w:pPr>
            <w:r w:rsidRPr="00F76B61">
              <w:rPr>
                <w:rStyle w:val="FootnoteReference"/>
                <w:rFonts w:cs="Arial"/>
                <w:color w:val="000000" w:themeColor="text1"/>
                <w:sz w:val="20"/>
              </w:rPr>
              <w:footnoteReference w:id="1697"/>
            </w:r>
            <w:r w:rsidRPr="00F76B61">
              <w:rPr>
                <w:color w:val="000000" w:themeColor="text1"/>
                <w:sz w:val="20"/>
              </w:rPr>
              <w:t>[(a)</w:t>
            </w:r>
          </w:p>
          <w:p w:rsidR="00AA4BF8" w:rsidRPr="00F76B61" w:rsidRDefault="00AA4BF8" w:rsidP="00A752DD">
            <w:pPr>
              <w:rPr>
                <w:color w:val="000000" w:themeColor="text1"/>
                <w:sz w:val="20"/>
              </w:rPr>
            </w:pPr>
          </w:p>
          <w:p w:rsidR="00F24619" w:rsidRPr="00F76B61" w:rsidRDefault="00F24619" w:rsidP="00A752DD">
            <w:pPr>
              <w:rPr>
                <w:color w:val="000000" w:themeColor="text1"/>
                <w:sz w:val="20"/>
              </w:rPr>
            </w:pPr>
          </w:p>
          <w:p w:rsidR="00F24619" w:rsidRPr="00F76B61" w:rsidRDefault="00F24619" w:rsidP="00A752DD">
            <w:pPr>
              <w:rPr>
                <w:color w:val="000000" w:themeColor="text1"/>
                <w:sz w:val="20"/>
              </w:rPr>
            </w:pPr>
          </w:p>
          <w:p w:rsidR="00F24619" w:rsidRPr="00F76B61" w:rsidRDefault="00F24619" w:rsidP="00A752DD">
            <w:pPr>
              <w:rPr>
                <w:color w:val="000000" w:themeColor="text1"/>
                <w:sz w:val="20"/>
              </w:rPr>
            </w:pPr>
          </w:p>
          <w:p w:rsidR="00F24619" w:rsidRPr="00F76B61" w:rsidRDefault="00F24619" w:rsidP="00F24619">
            <w:pPr>
              <w:rPr>
                <w:color w:val="000000" w:themeColor="text1"/>
                <w:sz w:val="20"/>
              </w:rPr>
            </w:pPr>
            <w:r w:rsidRPr="00F76B61">
              <w:rPr>
                <w:rStyle w:val="FootnoteReference"/>
                <w:color w:val="000000" w:themeColor="text1"/>
                <w:sz w:val="20"/>
              </w:rPr>
              <w:footnoteReference w:id="1698"/>
            </w:r>
            <w:r w:rsidRPr="00F76B61">
              <w:rPr>
                <w:color w:val="000000" w:themeColor="text1"/>
                <w:sz w:val="20"/>
              </w:rPr>
              <w:t>[“(b)</w:t>
            </w:r>
          </w:p>
        </w:tc>
        <w:tc>
          <w:tcPr>
            <w:tcW w:w="3784" w:type="dxa"/>
          </w:tcPr>
          <w:p w:rsidR="00AA4BF8" w:rsidRPr="00F76B61" w:rsidRDefault="00AA4BF8" w:rsidP="00A752DD">
            <w:pPr>
              <w:pStyle w:val="CommentText"/>
              <w:keepLines/>
              <w:jc w:val="both"/>
              <w:rPr>
                <w:color w:val="000000" w:themeColor="text1"/>
              </w:rPr>
            </w:pPr>
            <w:r w:rsidRPr="00F76B61">
              <w:rPr>
                <w:color w:val="000000" w:themeColor="text1"/>
              </w:rPr>
              <w:t>in the case of a telephone subscriber (other than mobile phone subscriber) where the amount of monthly bill exceeds Rs.1000.</w:t>
            </w:r>
          </w:p>
          <w:p w:rsidR="00F24619" w:rsidRPr="00F76B61" w:rsidRDefault="00F24619" w:rsidP="00A752DD">
            <w:pPr>
              <w:pStyle w:val="CommentText"/>
              <w:keepLines/>
              <w:jc w:val="both"/>
              <w:rPr>
                <w:color w:val="000000" w:themeColor="text1"/>
              </w:rPr>
            </w:pPr>
          </w:p>
          <w:p w:rsidR="00F24619" w:rsidRPr="00F76B61" w:rsidRDefault="00F24619" w:rsidP="00F24619">
            <w:pPr>
              <w:pStyle w:val="Header"/>
              <w:keepLines/>
              <w:tabs>
                <w:tab w:val="clear" w:pos="4320"/>
              </w:tabs>
              <w:jc w:val="both"/>
              <w:rPr>
                <w:color w:val="000000" w:themeColor="text1"/>
                <w:sz w:val="18"/>
                <w:szCs w:val="18"/>
              </w:rPr>
            </w:pPr>
            <w:r w:rsidRPr="00F76B61">
              <w:rPr>
                <w:color w:val="000000" w:themeColor="text1"/>
                <w:sz w:val="18"/>
                <w:szCs w:val="18"/>
              </w:rPr>
              <w:t xml:space="preserve">in the case of subscriber of internet, mobile  </w:t>
            </w:r>
          </w:p>
          <w:p w:rsidR="00F24619" w:rsidRPr="00F76B61" w:rsidRDefault="00F24619" w:rsidP="00F24619">
            <w:pPr>
              <w:pStyle w:val="CommentText"/>
              <w:keepLines/>
              <w:jc w:val="both"/>
              <w:rPr>
                <w:color w:val="000000" w:themeColor="text1"/>
              </w:rPr>
            </w:pPr>
            <w:r w:rsidRPr="00F76B61">
              <w:rPr>
                <w:color w:val="000000" w:themeColor="text1"/>
                <w:sz w:val="18"/>
                <w:szCs w:val="18"/>
              </w:rPr>
              <w:t>telephone and pre-paid internet or telephone card</w:t>
            </w:r>
          </w:p>
          <w:p w:rsidR="00F24619" w:rsidRPr="00F76B61" w:rsidRDefault="00F24619" w:rsidP="00A752DD">
            <w:pPr>
              <w:pStyle w:val="CommentText"/>
              <w:keepLines/>
              <w:jc w:val="both"/>
              <w:rPr>
                <w:color w:val="000000" w:themeColor="text1"/>
              </w:rPr>
            </w:pPr>
          </w:p>
          <w:p w:rsidR="00AA4BF8" w:rsidRPr="00F76B61" w:rsidRDefault="00AA4BF8" w:rsidP="00A752DD">
            <w:pPr>
              <w:pStyle w:val="CommentText"/>
              <w:keepLines/>
              <w:jc w:val="both"/>
              <w:rPr>
                <w:color w:val="000000" w:themeColor="text1"/>
              </w:rPr>
            </w:pPr>
          </w:p>
        </w:tc>
        <w:tc>
          <w:tcPr>
            <w:tcW w:w="1800" w:type="dxa"/>
          </w:tcPr>
          <w:p w:rsidR="00AA4BF8" w:rsidRPr="00F76B61" w:rsidRDefault="00AA4BF8" w:rsidP="00A752DD">
            <w:pPr>
              <w:jc w:val="both"/>
              <w:rPr>
                <w:color w:val="000000" w:themeColor="text1"/>
                <w:sz w:val="20"/>
              </w:rPr>
            </w:pPr>
            <w:r w:rsidRPr="00F76B61">
              <w:rPr>
                <w:color w:val="000000" w:themeColor="text1"/>
                <w:sz w:val="20"/>
              </w:rPr>
              <w:t>10% of the exceeding amount of bill.]</w:t>
            </w:r>
          </w:p>
          <w:p w:rsidR="00F24619" w:rsidRPr="00F76B61" w:rsidRDefault="00F24619" w:rsidP="00A752DD">
            <w:pPr>
              <w:jc w:val="both"/>
              <w:rPr>
                <w:color w:val="000000" w:themeColor="text1"/>
                <w:sz w:val="20"/>
              </w:rPr>
            </w:pPr>
          </w:p>
          <w:p w:rsidR="00F24619" w:rsidRPr="00F76B61" w:rsidRDefault="00F24619" w:rsidP="00A752DD">
            <w:pPr>
              <w:jc w:val="both"/>
              <w:rPr>
                <w:color w:val="000000" w:themeColor="text1"/>
                <w:sz w:val="20"/>
              </w:rPr>
            </w:pPr>
          </w:p>
          <w:p w:rsidR="00F24619" w:rsidRPr="00F76B61" w:rsidRDefault="00F24619" w:rsidP="00A752DD">
            <w:pPr>
              <w:jc w:val="both"/>
              <w:rPr>
                <w:color w:val="000000" w:themeColor="text1"/>
                <w:sz w:val="20"/>
              </w:rPr>
            </w:pPr>
            <w:r w:rsidRPr="00F76B61">
              <w:rPr>
                <w:color w:val="000000" w:themeColor="text1"/>
                <w:sz w:val="18"/>
                <w:szCs w:val="18"/>
              </w:rPr>
              <w:t xml:space="preserve">14% of the amount of bill or sales price of internet pre-paid card or prepaid telephone card </w:t>
            </w:r>
            <w:r w:rsidRPr="00F76B61">
              <w:rPr>
                <w:color w:val="000000" w:themeColor="text1"/>
                <w:sz w:val="20"/>
              </w:rPr>
              <w:t>or sale of units through any electronic</w:t>
            </w:r>
            <w:r w:rsidR="005E2A55" w:rsidRPr="00F76B61">
              <w:rPr>
                <w:color w:val="000000" w:themeColor="text1"/>
                <w:sz w:val="20"/>
              </w:rPr>
              <w:t xml:space="preserve"> medium or whatever form”</w:t>
            </w:r>
            <w:r w:rsidRPr="00F76B61">
              <w:rPr>
                <w:color w:val="000000" w:themeColor="text1"/>
                <w:sz w:val="20"/>
              </w:rPr>
              <w:t>]</w:t>
            </w:r>
          </w:p>
          <w:p w:rsidR="00F24619" w:rsidRPr="00F76B61" w:rsidRDefault="00F24619" w:rsidP="00A752DD">
            <w:pPr>
              <w:jc w:val="both"/>
              <w:rPr>
                <w:color w:val="000000" w:themeColor="text1"/>
                <w:sz w:val="20"/>
              </w:rPr>
            </w:pPr>
          </w:p>
        </w:tc>
      </w:tr>
      <w:tr w:rsidR="00AA4BF8" w:rsidRPr="00F24619" w:rsidTr="00A752DD">
        <w:tc>
          <w:tcPr>
            <w:tcW w:w="806" w:type="dxa"/>
          </w:tcPr>
          <w:p w:rsidR="00AA4BF8" w:rsidRPr="00F24619" w:rsidRDefault="00AA4BF8" w:rsidP="00A752DD">
            <w:pPr>
              <w:jc w:val="both"/>
              <w:rPr>
                <w:rStyle w:val="FootnoteReference"/>
                <w:rFonts w:cs="Arial"/>
                <w:color w:val="000000" w:themeColor="text1"/>
                <w:sz w:val="16"/>
                <w:szCs w:val="16"/>
              </w:rPr>
            </w:pPr>
          </w:p>
        </w:tc>
        <w:tc>
          <w:tcPr>
            <w:tcW w:w="3784" w:type="dxa"/>
          </w:tcPr>
          <w:p w:rsidR="00AA4BF8" w:rsidRPr="00F24619" w:rsidRDefault="00AA4BF8" w:rsidP="00A752DD">
            <w:pPr>
              <w:pStyle w:val="CommentText"/>
              <w:keepLines/>
              <w:jc w:val="both"/>
              <w:rPr>
                <w:color w:val="000000" w:themeColor="text1"/>
                <w:sz w:val="16"/>
                <w:szCs w:val="16"/>
              </w:rPr>
            </w:pPr>
          </w:p>
        </w:tc>
        <w:tc>
          <w:tcPr>
            <w:tcW w:w="1800" w:type="dxa"/>
          </w:tcPr>
          <w:p w:rsidR="00AA4BF8" w:rsidRPr="00F24619" w:rsidRDefault="00AA4BF8" w:rsidP="00F24619">
            <w:pPr>
              <w:jc w:val="both"/>
              <w:rPr>
                <w:color w:val="000000" w:themeColor="text1"/>
                <w:sz w:val="16"/>
                <w:szCs w:val="16"/>
              </w:rPr>
            </w:pPr>
          </w:p>
        </w:tc>
      </w:tr>
    </w:tbl>
    <w:p w:rsidR="00AA4BF8" w:rsidRPr="00412620" w:rsidRDefault="00AA4BF8" w:rsidP="00AA4BF8">
      <w:pPr>
        <w:ind w:left="1094" w:hanging="14"/>
        <w:jc w:val="both"/>
        <w:rPr>
          <w:sz w:val="20"/>
        </w:rPr>
      </w:pPr>
    </w:p>
    <w:p w:rsidR="00AA4BF8" w:rsidRPr="00412620" w:rsidRDefault="00AA4BF8" w:rsidP="00AA4BF8">
      <w:pPr>
        <w:pStyle w:val="C"/>
        <w:keepNext/>
        <w:widowControl/>
        <w:spacing w:before="0" w:after="0"/>
        <w:rPr>
          <w:rFonts w:ascii="Arial" w:hAnsi="Arial" w:cs="Arial"/>
          <w:sz w:val="28"/>
          <w:szCs w:val="28"/>
          <w:lang w:val="en-AU"/>
        </w:rPr>
      </w:pPr>
      <w:r w:rsidRPr="00412620">
        <w:rPr>
          <w:rFonts w:ascii="Arial" w:hAnsi="Arial" w:cs="Arial"/>
          <w:sz w:val="28"/>
          <w:szCs w:val="28"/>
          <w:lang w:val="en-AU"/>
        </w:rPr>
        <w:lastRenderedPageBreak/>
        <w:t>Division VI</w:t>
      </w:r>
    </w:p>
    <w:p w:rsidR="00AA4BF8" w:rsidRPr="00412620" w:rsidRDefault="00AA4BF8" w:rsidP="00AA4BF8">
      <w:pPr>
        <w:pStyle w:val="C"/>
        <w:keepNext/>
        <w:widowControl/>
        <w:spacing w:before="0" w:after="0"/>
        <w:rPr>
          <w:rFonts w:ascii="Arial" w:hAnsi="Arial" w:cs="Arial"/>
          <w:sz w:val="20"/>
          <w:lang w:val="en-AU"/>
        </w:rPr>
      </w:pPr>
      <w:r w:rsidRPr="00412620">
        <w:rPr>
          <w:rFonts w:ascii="Arial" w:hAnsi="Arial" w:cs="Arial"/>
          <w:sz w:val="20"/>
          <w:lang w:val="en-AU"/>
        </w:rPr>
        <w:t>Cash withdrawal from a bank</w:t>
      </w:r>
    </w:p>
    <w:p w:rsidR="00AA4BF8" w:rsidRPr="00412620" w:rsidRDefault="00AA4BF8" w:rsidP="00AA4BF8">
      <w:pPr>
        <w:pStyle w:val="C"/>
        <w:keepNext/>
        <w:widowControl/>
        <w:spacing w:before="0" w:after="0"/>
        <w:rPr>
          <w:rFonts w:ascii="Arial" w:hAnsi="Arial" w:cs="Arial"/>
          <w:b w:val="0"/>
          <w:bCs/>
          <w:sz w:val="14"/>
          <w:szCs w:val="14"/>
          <w:lang w:val="en-AU"/>
        </w:rPr>
      </w:pPr>
    </w:p>
    <w:p w:rsidR="00AA4BF8" w:rsidRPr="00A45DD5" w:rsidRDefault="00AA4BF8" w:rsidP="00AA4BF8">
      <w:pPr>
        <w:pStyle w:val="C"/>
        <w:widowControl/>
        <w:spacing w:before="0" w:after="0"/>
        <w:jc w:val="both"/>
        <w:rPr>
          <w:rFonts w:ascii="Arial" w:hAnsi="Arial" w:cs="Arial"/>
          <w:b w:val="0"/>
          <w:bCs/>
          <w:color w:val="00B0F0"/>
          <w:sz w:val="20"/>
          <w:lang w:val="en-AU"/>
        </w:rPr>
      </w:pPr>
      <w:r w:rsidRPr="00412620">
        <w:rPr>
          <w:rFonts w:ascii="Arial" w:hAnsi="Arial" w:cs="Arial"/>
          <w:b w:val="0"/>
          <w:sz w:val="20"/>
          <w:lang w:val="en-AU"/>
        </w:rPr>
        <w:t xml:space="preserve">The Rate of tax to be deducted under section 231A shall be </w:t>
      </w:r>
      <w:r w:rsidRPr="00412620">
        <w:rPr>
          <w:rStyle w:val="FootnoteReference"/>
          <w:rFonts w:ascii="Arial" w:hAnsi="Arial" w:cs="Arial"/>
          <w:b w:val="0"/>
          <w:sz w:val="20"/>
          <w:lang w:val="en-AU"/>
        </w:rPr>
        <w:footnoteReference w:id="1699"/>
      </w:r>
      <w:r w:rsidRPr="00412620">
        <w:rPr>
          <w:rFonts w:ascii="Arial" w:hAnsi="Arial" w:cs="Arial"/>
          <w:b w:val="0"/>
          <w:sz w:val="20"/>
          <w:lang w:val="en-AU"/>
        </w:rPr>
        <w:t>[0.3]% of the cash amount withdrawn</w:t>
      </w:r>
      <w:r w:rsidR="00DD1A3B">
        <w:rPr>
          <w:rFonts w:ascii="Arial" w:hAnsi="Arial" w:cs="Arial"/>
          <w:b w:val="0"/>
          <w:sz w:val="20"/>
          <w:lang w:val="en-AU"/>
        </w:rPr>
        <w:t xml:space="preserve"> </w:t>
      </w:r>
      <w:r w:rsidR="00C7758C" w:rsidRPr="00DD1A3B">
        <w:rPr>
          <w:rStyle w:val="FootnoteReference"/>
          <w:rFonts w:ascii="Arial" w:hAnsi="Arial" w:cs="Arial"/>
          <w:b w:val="0"/>
          <w:color w:val="000000" w:themeColor="text1"/>
          <w:sz w:val="20"/>
          <w:lang w:val="en-AU"/>
        </w:rPr>
        <w:footnoteReference w:id="1700"/>
      </w:r>
      <w:r w:rsidR="00C7758C" w:rsidRPr="00DD1A3B">
        <w:rPr>
          <w:rFonts w:ascii="Arial" w:hAnsi="Arial" w:cs="Arial"/>
          <w:b w:val="0"/>
          <w:color w:val="000000" w:themeColor="text1"/>
          <w:sz w:val="20"/>
          <w:lang w:val="en-AU"/>
        </w:rPr>
        <w:t>[</w:t>
      </w:r>
      <w:r w:rsidRPr="00DD1A3B">
        <w:rPr>
          <w:rFonts w:ascii="Arial" w:hAnsi="Arial" w:cs="Arial"/>
          <w:b w:val="0"/>
          <w:color w:val="000000" w:themeColor="text1"/>
          <w:sz w:val="20"/>
          <w:lang w:val="en-AU"/>
        </w:rPr>
        <w:t xml:space="preserve">for filers </w:t>
      </w:r>
      <w:r w:rsidRPr="00F76B61">
        <w:rPr>
          <w:rFonts w:ascii="Arial" w:hAnsi="Arial" w:cs="Arial"/>
          <w:b w:val="0"/>
          <w:color w:val="000000" w:themeColor="text1"/>
          <w:sz w:val="20"/>
          <w:lang w:val="en-AU"/>
        </w:rPr>
        <w:t xml:space="preserve">and </w:t>
      </w:r>
      <w:r w:rsidR="00400F4E" w:rsidRPr="00F76B61">
        <w:rPr>
          <w:rStyle w:val="FootnoteReference"/>
          <w:rFonts w:ascii="Arial" w:hAnsi="Arial" w:cs="Arial"/>
          <w:b w:val="0"/>
          <w:color w:val="000000" w:themeColor="text1"/>
          <w:sz w:val="20"/>
          <w:lang w:val="en-AU"/>
        </w:rPr>
        <w:footnoteReference w:id="1701"/>
      </w:r>
      <w:r w:rsidR="00E0487B" w:rsidRPr="00F76B61">
        <w:rPr>
          <w:rFonts w:ascii="Arial" w:hAnsi="Arial" w:cs="Arial"/>
          <w:b w:val="0"/>
          <w:color w:val="000000" w:themeColor="text1"/>
          <w:sz w:val="20"/>
          <w:lang w:val="en-AU"/>
        </w:rPr>
        <w:t>[“</w:t>
      </w:r>
      <w:r w:rsidRPr="00F76B61">
        <w:rPr>
          <w:rFonts w:ascii="Arial" w:hAnsi="Arial" w:cs="Arial"/>
          <w:b w:val="0"/>
          <w:color w:val="000000" w:themeColor="text1"/>
          <w:sz w:val="20"/>
          <w:lang w:val="en-AU"/>
        </w:rPr>
        <w:t>0.</w:t>
      </w:r>
      <w:r w:rsidR="00E0487B" w:rsidRPr="00F76B61">
        <w:rPr>
          <w:rFonts w:ascii="Arial" w:hAnsi="Arial" w:cs="Arial"/>
          <w:b w:val="0"/>
          <w:color w:val="000000" w:themeColor="text1"/>
          <w:sz w:val="20"/>
          <w:lang w:val="en-AU"/>
        </w:rPr>
        <w:t>6</w:t>
      </w:r>
      <w:r w:rsidR="00611B11" w:rsidRPr="00F76B61">
        <w:rPr>
          <w:rFonts w:ascii="Arial" w:hAnsi="Arial" w:cs="Arial"/>
          <w:b w:val="0"/>
          <w:color w:val="000000" w:themeColor="text1"/>
          <w:sz w:val="20"/>
          <w:lang w:val="en-AU"/>
        </w:rPr>
        <w:t>”]</w:t>
      </w:r>
      <w:r w:rsidR="00DD1A3B" w:rsidRPr="00F76B61">
        <w:rPr>
          <w:rFonts w:ascii="Arial" w:hAnsi="Arial" w:cs="Arial"/>
          <w:b w:val="0"/>
          <w:color w:val="000000" w:themeColor="text1"/>
          <w:sz w:val="20"/>
          <w:lang w:val="en-AU"/>
        </w:rPr>
        <w:t xml:space="preserve"> </w:t>
      </w:r>
      <w:r w:rsidRPr="00F76B61">
        <w:rPr>
          <w:rFonts w:ascii="Arial" w:hAnsi="Arial" w:cs="Arial"/>
          <w:b w:val="0"/>
          <w:color w:val="000000" w:themeColor="text1"/>
          <w:sz w:val="20"/>
          <w:lang w:val="en-AU"/>
        </w:rPr>
        <w:t>%</w:t>
      </w:r>
      <w:r w:rsidRPr="00DD1A3B">
        <w:rPr>
          <w:rFonts w:ascii="Arial" w:hAnsi="Arial" w:cs="Arial"/>
          <w:b w:val="0"/>
          <w:color w:val="000000" w:themeColor="text1"/>
          <w:sz w:val="20"/>
          <w:lang w:val="en-AU"/>
        </w:rPr>
        <w:t xml:space="preserve"> of the cash a</w:t>
      </w:r>
      <w:r w:rsidR="00166DDC" w:rsidRPr="00DD1A3B">
        <w:rPr>
          <w:rFonts w:ascii="Arial" w:hAnsi="Arial" w:cs="Arial"/>
          <w:b w:val="0"/>
          <w:color w:val="000000" w:themeColor="text1"/>
          <w:sz w:val="20"/>
          <w:lang w:val="en-AU"/>
        </w:rPr>
        <w:t>mount withdrawn, for non filers</w:t>
      </w:r>
      <w:r w:rsidRPr="00DD1A3B">
        <w:rPr>
          <w:rFonts w:ascii="Arial" w:hAnsi="Arial" w:cs="Arial"/>
          <w:b w:val="0"/>
          <w:color w:val="000000" w:themeColor="text1"/>
          <w:sz w:val="20"/>
          <w:lang w:val="en-AU"/>
        </w:rPr>
        <w:t>]</w:t>
      </w:r>
      <w:r w:rsidR="00166DDC" w:rsidRPr="00DD1A3B">
        <w:rPr>
          <w:rFonts w:ascii="Arial" w:hAnsi="Arial" w:cs="Arial"/>
          <w:b w:val="0"/>
          <w:color w:val="000000" w:themeColor="text1"/>
          <w:sz w:val="20"/>
          <w:lang w:val="en-AU"/>
        </w:rPr>
        <w:t>.</w:t>
      </w:r>
    </w:p>
    <w:p w:rsidR="00E01682" w:rsidRPr="00E01682" w:rsidRDefault="00E01682" w:rsidP="00AA4BF8">
      <w:pPr>
        <w:pStyle w:val="C"/>
        <w:widowControl/>
        <w:spacing w:before="0" w:after="0"/>
        <w:rPr>
          <w:rFonts w:ascii="Arial" w:hAnsi="Arial" w:cs="Arial"/>
          <w:b w:val="0"/>
          <w:sz w:val="16"/>
          <w:szCs w:val="16"/>
          <w:lang w:val="en-AU"/>
        </w:rPr>
      </w:pPr>
    </w:p>
    <w:p w:rsidR="00AA4BF8" w:rsidRPr="00412620" w:rsidRDefault="00AA4BF8" w:rsidP="00AA4BF8">
      <w:pPr>
        <w:pStyle w:val="C"/>
        <w:widowControl/>
        <w:spacing w:before="0" w:after="0"/>
        <w:rPr>
          <w:rFonts w:ascii="Arial" w:hAnsi="Arial" w:cs="Arial"/>
          <w:sz w:val="28"/>
          <w:szCs w:val="28"/>
          <w:lang w:val="en-AU"/>
        </w:rPr>
      </w:pPr>
      <w:r w:rsidRPr="00412620">
        <w:rPr>
          <w:rStyle w:val="FootnoteReference"/>
          <w:rFonts w:ascii="Arial" w:hAnsi="Arial" w:cs="Arial"/>
          <w:b w:val="0"/>
          <w:sz w:val="20"/>
          <w:lang w:val="en-AU"/>
        </w:rPr>
        <w:footnoteReference w:id="1702"/>
      </w:r>
      <w:r w:rsidRPr="00412620">
        <w:rPr>
          <w:rFonts w:ascii="Arial" w:hAnsi="Arial" w:cs="Arial"/>
          <w:b w:val="0"/>
          <w:sz w:val="28"/>
          <w:szCs w:val="28"/>
          <w:lang w:val="en-AU"/>
        </w:rPr>
        <w:t>[</w:t>
      </w:r>
      <w:r w:rsidRPr="00412620">
        <w:rPr>
          <w:rFonts w:ascii="Arial" w:hAnsi="Arial" w:cs="Arial"/>
          <w:sz w:val="28"/>
          <w:szCs w:val="28"/>
          <w:lang w:val="en-AU"/>
        </w:rPr>
        <w:t>Division VIA</w:t>
      </w:r>
    </w:p>
    <w:p w:rsidR="00AA4BF8" w:rsidRPr="00412620" w:rsidRDefault="00AA4BF8" w:rsidP="00AA4BF8">
      <w:pPr>
        <w:pStyle w:val="C"/>
        <w:widowControl/>
        <w:spacing w:before="0" w:after="0"/>
        <w:rPr>
          <w:rFonts w:ascii="Arial" w:hAnsi="Arial" w:cs="Arial"/>
          <w:b w:val="0"/>
          <w:bCs/>
          <w:sz w:val="20"/>
          <w:lang w:val="en-AU"/>
        </w:rPr>
      </w:pPr>
      <w:r w:rsidRPr="00412620">
        <w:rPr>
          <w:rFonts w:ascii="Arial" w:hAnsi="Arial" w:cs="Arial"/>
          <w:sz w:val="20"/>
          <w:lang w:val="en-AU"/>
        </w:rPr>
        <w:t>Advance tax on Transactions in Bank</w:t>
      </w:r>
    </w:p>
    <w:p w:rsidR="00AA4BF8" w:rsidRPr="00E01682" w:rsidRDefault="00AA4BF8" w:rsidP="00AA4BF8">
      <w:pPr>
        <w:pStyle w:val="C"/>
        <w:widowControl/>
        <w:spacing w:before="0" w:after="0"/>
        <w:rPr>
          <w:rFonts w:ascii="Arial" w:hAnsi="Arial" w:cs="Arial"/>
          <w:b w:val="0"/>
          <w:bCs/>
          <w:sz w:val="16"/>
          <w:szCs w:val="16"/>
          <w:lang w:val="en-AU"/>
        </w:rPr>
      </w:pPr>
    </w:p>
    <w:p w:rsidR="00AA4BF8" w:rsidRPr="00412620" w:rsidRDefault="00AA4BF8" w:rsidP="00AA4BF8">
      <w:pPr>
        <w:pStyle w:val="C"/>
        <w:widowControl/>
        <w:spacing w:after="0"/>
        <w:ind w:firstLine="547"/>
        <w:jc w:val="both"/>
        <w:rPr>
          <w:rFonts w:ascii="Arial" w:hAnsi="Arial" w:cs="Arial"/>
          <w:b w:val="0"/>
          <w:bCs/>
          <w:sz w:val="20"/>
          <w:lang w:val="en-AU"/>
        </w:rPr>
      </w:pPr>
      <w:r w:rsidRPr="00412620">
        <w:rPr>
          <w:rFonts w:ascii="Arial" w:hAnsi="Arial" w:cs="Arial"/>
          <w:b w:val="0"/>
          <w:sz w:val="20"/>
          <w:lang w:val="en-AU"/>
        </w:rPr>
        <w:t>The rate of tax to be deducted under section 231AA shall be at the rate of 0.3% of the transaction</w:t>
      </w:r>
      <w:r w:rsidR="001F6E96">
        <w:rPr>
          <w:rFonts w:ascii="Arial" w:hAnsi="Arial" w:cs="Arial"/>
          <w:b w:val="0"/>
          <w:sz w:val="20"/>
          <w:lang w:val="en-AU"/>
        </w:rPr>
        <w:t xml:space="preserve"> </w:t>
      </w:r>
      <w:r w:rsidR="008937DF" w:rsidRPr="00F76B61">
        <w:rPr>
          <w:rStyle w:val="FootnoteReference"/>
          <w:rFonts w:ascii="Arial" w:hAnsi="Arial" w:cs="Arial"/>
          <w:b w:val="0"/>
          <w:color w:val="000000" w:themeColor="text1"/>
          <w:sz w:val="20"/>
          <w:lang w:val="en-AU"/>
        </w:rPr>
        <w:footnoteReference w:id="1703"/>
      </w:r>
      <w:r w:rsidR="008937DF" w:rsidRPr="00F76B61">
        <w:rPr>
          <w:rFonts w:ascii="Arial" w:hAnsi="Arial" w:cs="Arial"/>
          <w:b w:val="0"/>
          <w:color w:val="000000" w:themeColor="text1"/>
          <w:sz w:val="20"/>
          <w:lang w:val="en-AU"/>
        </w:rPr>
        <w:t>[“for filers and 0.6% for non-filers</w:t>
      </w:r>
      <w:r w:rsidR="005E2A55" w:rsidRPr="00F76B61">
        <w:rPr>
          <w:rFonts w:ascii="Arial" w:hAnsi="Arial" w:cs="Arial"/>
          <w:b w:val="0"/>
          <w:color w:val="000000" w:themeColor="text1"/>
          <w:sz w:val="20"/>
          <w:lang w:val="en-AU"/>
        </w:rPr>
        <w:t>.</w:t>
      </w:r>
      <w:r w:rsidR="008937DF" w:rsidRPr="00F76B61">
        <w:rPr>
          <w:rFonts w:ascii="Arial" w:hAnsi="Arial" w:cs="Arial"/>
          <w:b w:val="0"/>
          <w:color w:val="000000" w:themeColor="text1"/>
          <w:sz w:val="20"/>
          <w:lang w:val="en-AU"/>
        </w:rPr>
        <w:t>”]</w:t>
      </w:r>
      <w:r w:rsidR="00F76B61" w:rsidRPr="00F76B61">
        <w:rPr>
          <w:rFonts w:ascii="Arial" w:hAnsi="Arial" w:cs="Arial"/>
          <w:b w:val="0"/>
          <w:color w:val="000000" w:themeColor="text1"/>
          <w:sz w:val="20"/>
          <w:lang w:val="en-AU"/>
        </w:rPr>
        <w:t xml:space="preserve"> </w:t>
      </w:r>
      <w:r w:rsidRPr="00F76B61">
        <w:rPr>
          <w:rFonts w:ascii="Arial" w:hAnsi="Arial" w:cs="Arial"/>
          <w:b w:val="0"/>
          <w:color w:val="000000" w:themeColor="text1"/>
          <w:sz w:val="20"/>
          <w:lang w:val="en-AU"/>
        </w:rPr>
        <w:t>]</w:t>
      </w:r>
    </w:p>
    <w:p w:rsidR="00AA4BF8" w:rsidRPr="00412620" w:rsidRDefault="00AA4BF8" w:rsidP="00AA4BF8">
      <w:pPr>
        <w:pStyle w:val="C"/>
        <w:widowControl/>
        <w:spacing w:after="0"/>
        <w:ind w:firstLine="547"/>
        <w:jc w:val="both"/>
        <w:rPr>
          <w:rFonts w:ascii="Arial" w:hAnsi="Arial" w:cs="Arial"/>
          <w:b w:val="0"/>
          <w:bCs/>
          <w:sz w:val="20"/>
          <w:lang w:val="en-AU"/>
        </w:rPr>
      </w:pPr>
    </w:p>
    <w:p w:rsidR="00F13153" w:rsidRPr="00F76B61" w:rsidRDefault="00F905BA" w:rsidP="00F13153">
      <w:pPr>
        <w:pStyle w:val="Heading2"/>
        <w:rPr>
          <w:color w:val="000000" w:themeColor="text1"/>
          <w:sz w:val="28"/>
          <w:szCs w:val="28"/>
        </w:rPr>
      </w:pPr>
      <w:r w:rsidRPr="00F76B61">
        <w:rPr>
          <w:rStyle w:val="FootnoteReference"/>
          <w:color w:val="000000" w:themeColor="text1"/>
        </w:rPr>
        <w:footnoteReference w:id="1704"/>
      </w:r>
      <w:r w:rsidR="00F13153" w:rsidRPr="00F76B61">
        <w:rPr>
          <w:color w:val="000000" w:themeColor="text1"/>
        </w:rPr>
        <w:t>[</w:t>
      </w:r>
      <w:r w:rsidR="00F13153" w:rsidRPr="00F76B61">
        <w:rPr>
          <w:color w:val="000000" w:themeColor="text1"/>
          <w:sz w:val="28"/>
          <w:szCs w:val="28"/>
        </w:rPr>
        <w:t>DIVISION VII</w:t>
      </w:r>
    </w:p>
    <w:p w:rsidR="00F13153" w:rsidRPr="00F76B61" w:rsidRDefault="00F13153" w:rsidP="00F13153">
      <w:pPr>
        <w:pStyle w:val="Heading2"/>
        <w:rPr>
          <w:color w:val="000000" w:themeColor="text1"/>
          <w:sz w:val="22"/>
          <w:szCs w:val="22"/>
        </w:rPr>
      </w:pPr>
      <w:r w:rsidRPr="00F76B61">
        <w:rPr>
          <w:color w:val="000000" w:themeColor="text1"/>
          <w:sz w:val="22"/>
          <w:szCs w:val="22"/>
        </w:rPr>
        <w:t xml:space="preserve">Advance Tax on Purchase, Registration and Transfer of </w:t>
      </w:r>
    </w:p>
    <w:p w:rsidR="00F13153" w:rsidRPr="00F76B61" w:rsidRDefault="00F13153" w:rsidP="00F13153">
      <w:pPr>
        <w:pStyle w:val="Heading2"/>
        <w:rPr>
          <w:color w:val="000000" w:themeColor="text1"/>
          <w:sz w:val="22"/>
          <w:szCs w:val="22"/>
        </w:rPr>
      </w:pPr>
      <w:r w:rsidRPr="00F76B61">
        <w:rPr>
          <w:color w:val="000000" w:themeColor="text1"/>
          <w:sz w:val="22"/>
          <w:szCs w:val="22"/>
        </w:rPr>
        <w:t>Motor Vehicles</w:t>
      </w:r>
    </w:p>
    <w:p w:rsidR="00F13153" w:rsidRPr="00F76B61" w:rsidRDefault="00F13153" w:rsidP="00F13153">
      <w:pPr>
        <w:pStyle w:val="C"/>
        <w:widowControl/>
        <w:spacing w:before="0" w:after="0"/>
        <w:rPr>
          <w:rFonts w:ascii="Arial" w:hAnsi="Arial" w:cs="Arial"/>
          <w:color w:val="000000" w:themeColor="text1"/>
          <w:sz w:val="16"/>
          <w:szCs w:val="16"/>
          <w:lang w:val="en-AU"/>
        </w:rPr>
      </w:pPr>
    </w:p>
    <w:p w:rsidR="00F13153" w:rsidRPr="00F76B61" w:rsidRDefault="00F13153" w:rsidP="00472DD2">
      <w:pPr>
        <w:pStyle w:val="ListParagraph"/>
        <w:numPr>
          <w:ilvl w:val="0"/>
          <w:numId w:val="76"/>
        </w:numPr>
        <w:ind w:left="540" w:firstLine="7"/>
        <w:jc w:val="both"/>
        <w:rPr>
          <w:color w:val="000000" w:themeColor="text1"/>
          <w:sz w:val="20"/>
        </w:rPr>
      </w:pPr>
      <w:r w:rsidRPr="00F76B61">
        <w:rPr>
          <w:color w:val="000000" w:themeColor="text1"/>
          <w:sz w:val="20"/>
        </w:rPr>
        <w:t>The rate of tax under sub-sections (1) and (3) of section 231B shall be as follows:–</w:t>
      </w:r>
    </w:p>
    <w:p w:rsidR="00F13153" w:rsidRPr="00F76B61" w:rsidRDefault="00F13153" w:rsidP="00F13153">
      <w:pPr>
        <w:ind w:left="547" w:hanging="7"/>
        <w:jc w:val="both"/>
        <w:rPr>
          <w:color w:val="000000" w:themeColor="text1"/>
          <w:sz w:val="20"/>
        </w:rPr>
      </w:pP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
        <w:gridCol w:w="2106"/>
        <w:gridCol w:w="1710"/>
        <w:gridCol w:w="1800"/>
      </w:tblGrid>
      <w:tr w:rsidR="00F13153" w:rsidRPr="00F76B61" w:rsidTr="00472DD2">
        <w:trPr>
          <w:trHeight w:val="203"/>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S. No.</w:t>
            </w:r>
          </w:p>
        </w:tc>
        <w:tc>
          <w:tcPr>
            <w:tcW w:w="2106" w:type="dxa"/>
            <w:vAlign w:val="center"/>
          </w:tcPr>
          <w:p w:rsidR="00F13153" w:rsidRPr="00F76B61" w:rsidRDefault="00F13153" w:rsidP="00472DD2">
            <w:pPr>
              <w:ind w:left="54"/>
              <w:jc w:val="center"/>
              <w:rPr>
                <w:color w:val="000000" w:themeColor="text1"/>
                <w:sz w:val="20"/>
              </w:rPr>
            </w:pPr>
            <w:r w:rsidRPr="00F76B61">
              <w:rPr>
                <w:color w:val="000000" w:themeColor="text1"/>
                <w:sz w:val="20"/>
              </w:rPr>
              <w:t>Engine capacity</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For filers</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Tax for non-filer</w:t>
            </w:r>
          </w:p>
        </w:tc>
      </w:tr>
      <w:tr w:rsidR="00F13153" w:rsidRPr="00F76B61" w:rsidTr="00472DD2">
        <w:trPr>
          <w:trHeight w:val="122"/>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(1)</w:t>
            </w:r>
          </w:p>
        </w:tc>
        <w:tc>
          <w:tcPr>
            <w:tcW w:w="2106" w:type="dxa"/>
            <w:vAlign w:val="center"/>
          </w:tcPr>
          <w:p w:rsidR="00F13153" w:rsidRPr="00F76B61" w:rsidRDefault="00F13153" w:rsidP="00472DD2">
            <w:pPr>
              <w:ind w:left="58"/>
              <w:jc w:val="center"/>
              <w:rPr>
                <w:color w:val="000000" w:themeColor="text1"/>
                <w:sz w:val="20"/>
              </w:rPr>
            </w:pPr>
            <w:r w:rsidRPr="00F76B61">
              <w:rPr>
                <w:color w:val="000000" w:themeColor="text1"/>
                <w:sz w:val="20"/>
              </w:rPr>
              <w:t>(2)</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(3)</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(4)</w:t>
            </w:r>
          </w:p>
        </w:tc>
      </w:tr>
      <w:tr w:rsidR="00F13153" w:rsidRPr="00F76B61" w:rsidTr="00472DD2">
        <w:trPr>
          <w:trHeight w:val="109"/>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1.</w:t>
            </w:r>
          </w:p>
        </w:tc>
        <w:tc>
          <w:tcPr>
            <w:tcW w:w="2106" w:type="dxa"/>
            <w:vAlign w:val="center"/>
          </w:tcPr>
          <w:p w:rsidR="00F13153" w:rsidRPr="00F76B61" w:rsidRDefault="00F13153" w:rsidP="00472DD2">
            <w:pPr>
              <w:ind w:left="54"/>
              <w:rPr>
                <w:color w:val="000000" w:themeColor="text1"/>
                <w:sz w:val="20"/>
              </w:rPr>
            </w:pPr>
            <w:r w:rsidRPr="00F76B61">
              <w:rPr>
                <w:color w:val="000000" w:themeColor="text1"/>
                <w:sz w:val="20"/>
              </w:rPr>
              <w:t>upto 850cc</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10,000</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10,000</w:t>
            </w:r>
          </w:p>
        </w:tc>
      </w:tr>
      <w:tr w:rsidR="00F13153" w:rsidRPr="00F76B61" w:rsidTr="00472DD2">
        <w:trPr>
          <w:trHeight w:val="135"/>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2.</w:t>
            </w:r>
          </w:p>
        </w:tc>
        <w:tc>
          <w:tcPr>
            <w:tcW w:w="2106" w:type="dxa"/>
            <w:vAlign w:val="center"/>
          </w:tcPr>
          <w:p w:rsidR="00F13153" w:rsidRPr="00F76B61" w:rsidRDefault="00F13153" w:rsidP="00472DD2">
            <w:pPr>
              <w:ind w:left="54"/>
              <w:rPr>
                <w:color w:val="000000" w:themeColor="text1"/>
                <w:sz w:val="20"/>
              </w:rPr>
            </w:pPr>
            <w:r w:rsidRPr="00F76B61">
              <w:rPr>
                <w:color w:val="000000" w:themeColor="text1"/>
                <w:sz w:val="20"/>
              </w:rPr>
              <w:t>851cc to 1000cc</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20,000</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25,000</w:t>
            </w:r>
          </w:p>
        </w:tc>
      </w:tr>
      <w:tr w:rsidR="00F13153" w:rsidRPr="00F76B61" w:rsidTr="00472DD2">
        <w:trPr>
          <w:trHeight w:val="82"/>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3.</w:t>
            </w:r>
          </w:p>
        </w:tc>
        <w:tc>
          <w:tcPr>
            <w:tcW w:w="2106" w:type="dxa"/>
            <w:vAlign w:val="center"/>
          </w:tcPr>
          <w:p w:rsidR="00F13153" w:rsidRPr="00F76B61" w:rsidRDefault="00F13153" w:rsidP="00472DD2">
            <w:pPr>
              <w:ind w:left="54"/>
              <w:rPr>
                <w:color w:val="000000" w:themeColor="text1"/>
                <w:sz w:val="20"/>
              </w:rPr>
            </w:pPr>
            <w:r w:rsidRPr="00F76B61">
              <w:rPr>
                <w:color w:val="000000" w:themeColor="text1"/>
                <w:sz w:val="20"/>
              </w:rPr>
              <w:t>1001cc to 1300cc</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30,000</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40,000</w:t>
            </w:r>
          </w:p>
        </w:tc>
      </w:tr>
      <w:tr w:rsidR="00F13153" w:rsidRPr="00F76B61" w:rsidTr="00472DD2">
        <w:trPr>
          <w:trHeight w:val="122"/>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lastRenderedPageBreak/>
              <w:t>4.</w:t>
            </w:r>
          </w:p>
        </w:tc>
        <w:tc>
          <w:tcPr>
            <w:tcW w:w="2106" w:type="dxa"/>
            <w:vAlign w:val="center"/>
          </w:tcPr>
          <w:p w:rsidR="00F13153" w:rsidRPr="00F76B61" w:rsidRDefault="00F13153" w:rsidP="00472DD2">
            <w:pPr>
              <w:ind w:left="54"/>
              <w:rPr>
                <w:color w:val="000000" w:themeColor="text1"/>
                <w:sz w:val="20"/>
              </w:rPr>
            </w:pPr>
            <w:r w:rsidRPr="00F76B61">
              <w:rPr>
                <w:color w:val="000000" w:themeColor="text1"/>
                <w:sz w:val="20"/>
              </w:rPr>
              <w:t>1301cc to 1600cc</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50,000</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100,000</w:t>
            </w:r>
          </w:p>
        </w:tc>
      </w:tr>
      <w:tr w:rsidR="00F13153" w:rsidRPr="00F76B61" w:rsidTr="00472DD2">
        <w:trPr>
          <w:trHeight w:val="95"/>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5.</w:t>
            </w:r>
          </w:p>
        </w:tc>
        <w:tc>
          <w:tcPr>
            <w:tcW w:w="2106" w:type="dxa"/>
            <w:vAlign w:val="center"/>
          </w:tcPr>
          <w:p w:rsidR="00F13153" w:rsidRPr="00F76B61" w:rsidRDefault="00F13153" w:rsidP="00472DD2">
            <w:pPr>
              <w:ind w:left="54"/>
              <w:rPr>
                <w:color w:val="000000" w:themeColor="text1"/>
                <w:sz w:val="20"/>
              </w:rPr>
            </w:pPr>
            <w:r w:rsidRPr="00F76B61">
              <w:rPr>
                <w:color w:val="000000" w:themeColor="text1"/>
                <w:sz w:val="20"/>
              </w:rPr>
              <w:t>1601cc to 1800cc</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75,000</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150,000</w:t>
            </w:r>
          </w:p>
        </w:tc>
      </w:tr>
      <w:tr w:rsidR="00F13153" w:rsidRPr="00F76B61" w:rsidTr="00472DD2">
        <w:trPr>
          <w:trHeight w:val="80"/>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6.</w:t>
            </w:r>
          </w:p>
        </w:tc>
        <w:tc>
          <w:tcPr>
            <w:tcW w:w="2106" w:type="dxa"/>
            <w:vAlign w:val="center"/>
          </w:tcPr>
          <w:p w:rsidR="00F13153" w:rsidRPr="00F76B61" w:rsidRDefault="00F13153" w:rsidP="00472DD2">
            <w:pPr>
              <w:ind w:left="54"/>
              <w:rPr>
                <w:color w:val="000000" w:themeColor="text1"/>
                <w:sz w:val="20"/>
              </w:rPr>
            </w:pPr>
            <w:r w:rsidRPr="00F76B61">
              <w:rPr>
                <w:color w:val="000000" w:themeColor="text1"/>
                <w:sz w:val="20"/>
              </w:rPr>
              <w:t>1801cc to 2000cc</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100,000</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200,000</w:t>
            </w:r>
          </w:p>
        </w:tc>
      </w:tr>
      <w:tr w:rsidR="00F13153" w:rsidRPr="00F76B61" w:rsidTr="00472DD2">
        <w:trPr>
          <w:trHeight w:val="80"/>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7.</w:t>
            </w:r>
          </w:p>
        </w:tc>
        <w:tc>
          <w:tcPr>
            <w:tcW w:w="2106" w:type="dxa"/>
            <w:vAlign w:val="center"/>
          </w:tcPr>
          <w:p w:rsidR="00F13153" w:rsidRPr="00F76B61" w:rsidRDefault="00F13153" w:rsidP="00472DD2">
            <w:pPr>
              <w:ind w:left="54"/>
              <w:rPr>
                <w:color w:val="000000" w:themeColor="text1"/>
                <w:sz w:val="20"/>
              </w:rPr>
            </w:pPr>
            <w:r w:rsidRPr="00F76B61">
              <w:rPr>
                <w:color w:val="000000" w:themeColor="text1"/>
                <w:sz w:val="20"/>
              </w:rPr>
              <w:t>2001cc to 2500cc</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150,000</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300,000</w:t>
            </w:r>
          </w:p>
        </w:tc>
      </w:tr>
      <w:tr w:rsidR="00F13153" w:rsidRPr="00F76B61" w:rsidTr="00472DD2">
        <w:trPr>
          <w:trHeight w:val="80"/>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8.</w:t>
            </w:r>
          </w:p>
        </w:tc>
        <w:tc>
          <w:tcPr>
            <w:tcW w:w="2106" w:type="dxa"/>
            <w:vAlign w:val="center"/>
          </w:tcPr>
          <w:p w:rsidR="00F13153" w:rsidRPr="00F76B61" w:rsidRDefault="00F13153" w:rsidP="00472DD2">
            <w:pPr>
              <w:ind w:left="54"/>
              <w:rPr>
                <w:color w:val="000000" w:themeColor="text1"/>
                <w:sz w:val="20"/>
              </w:rPr>
            </w:pPr>
            <w:r w:rsidRPr="00F76B61">
              <w:rPr>
                <w:color w:val="000000" w:themeColor="text1"/>
                <w:sz w:val="20"/>
              </w:rPr>
              <w:t>2501cc to 3000cc</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200,000</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400,000</w:t>
            </w:r>
          </w:p>
        </w:tc>
      </w:tr>
      <w:tr w:rsidR="00F13153" w:rsidRPr="00F76B61" w:rsidTr="00472DD2">
        <w:trPr>
          <w:trHeight w:val="80"/>
        </w:trPr>
        <w:tc>
          <w:tcPr>
            <w:tcW w:w="954" w:type="dxa"/>
            <w:vAlign w:val="center"/>
          </w:tcPr>
          <w:p w:rsidR="00F13153" w:rsidRPr="00F76B61" w:rsidRDefault="00F13153" w:rsidP="00472DD2">
            <w:pPr>
              <w:ind w:left="54"/>
              <w:jc w:val="center"/>
              <w:rPr>
                <w:color w:val="000000" w:themeColor="text1"/>
                <w:sz w:val="20"/>
              </w:rPr>
            </w:pPr>
            <w:r w:rsidRPr="00F76B61">
              <w:rPr>
                <w:color w:val="000000" w:themeColor="text1"/>
                <w:sz w:val="20"/>
              </w:rPr>
              <w:t>9.</w:t>
            </w:r>
          </w:p>
        </w:tc>
        <w:tc>
          <w:tcPr>
            <w:tcW w:w="2106" w:type="dxa"/>
            <w:vAlign w:val="center"/>
          </w:tcPr>
          <w:p w:rsidR="00F13153" w:rsidRPr="00F76B61" w:rsidRDefault="00F13153" w:rsidP="00472DD2">
            <w:pPr>
              <w:ind w:left="54"/>
              <w:rPr>
                <w:color w:val="000000" w:themeColor="text1"/>
                <w:sz w:val="20"/>
              </w:rPr>
            </w:pPr>
            <w:r w:rsidRPr="00F76B61">
              <w:rPr>
                <w:color w:val="000000" w:themeColor="text1"/>
                <w:sz w:val="20"/>
              </w:rPr>
              <w:t>Above 3000cc</w:t>
            </w:r>
          </w:p>
        </w:tc>
        <w:tc>
          <w:tcPr>
            <w:tcW w:w="171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250,000</w:t>
            </w:r>
          </w:p>
        </w:tc>
        <w:tc>
          <w:tcPr>
            <w:tcW w:w="1800" w:type="dxa"/>
            <w:vAlign w:val="center"/>
          </w:tcPr>
          <w:p w:rsidR="00F13153" w:rsidRPr="00F76B61" w:rsidRDefault="00F13153" w:rsidP="00472DD2">
            <w:pPr>
              <w:ind w:left="54"/>
              <w:jc w:val="center"/>
              <w:rPr>
                <w:color w:val="000000" w:themeColor="text1"/>
                <w:sz w:val="20"/>
              </w:rPr>
            </w:pPr>
            <w:r w:rsidRPr="00F76B61">
              <w:rPr>
                <w:color w:val="000000" w:themeColor="text1"/>
                <w:sz w:val="20"/>
              </w:rPr>
              <w:t>Rs. 450,000”</w:t>
            </w:r>
          </w:p>
        </w:tc>
      </w:tr>
    </w:tbl>
    <w:p w:rsidR="00472DD2" w:rsidRPr="00F76B61" w:rsidRDefault="00472DD2" w:rsidP="00472DD2">
      <w:pPr>
        <w:pStyle w:val="ListParagraph"/>
        <w:ind w:left="907"/>
        <w:jc w:val="both"/>
        <w:rPr>
          <w:color w:val="000000" w:themeColor="text1"/>
          <w:sz w:val="20"/>
        </w:rPr>
      </w:pPr>
    </w:p>
    <w:p w:rsidR="00472DD2" w:rsidRPr="00F76B61" w:rsidRDefault="00472DD2" w:rsidP="00472DD2">
      <w:pPr>
        <w:pStyle w:val="ListParagraph"/>
        <w:numPr>
          <w:ilvl w:val="0"/>
          <w:numId w:val="76"/>
        </w:numPr>
        <w:ind w:left="540" w:firstLine="0"/>
        <w:jc w:val="both"/>
        <w:rPr>
          <w:color w:val="000000" w:themeColor="text1"/>
          <w:sz w:val="20"/>
        </w:rPr>
      </w:pPr>
      <w:r w:rsidRPr="00F76B61">
        <w:rPr>
          <w:color w:val="000000" w:themeColor="text1"/>
          <w:sz w:val="20"/>
        </w:rPr>
        <w:t>The rate of tax under sub-sections (</w:t>
      </w:r>
      <w:r w:rsidR="00E01682" w:rsidRPr="00F76B61">
        <w:rPr>
          <w:color w:val="000000" w:themeColor="text1"/>
          <w:sz w:val="20"/>
        </w:rPr>
        <w:t>2</w:t>
      </w:r>
      <w:r w:rsidRPr="00F76B61">
        <w:rPr>
          <w:color w:val="000000" w:themeColor="text1"/>
          <w:sz w:val="20"/>
        </w:rPr>
        <w:t>) of section 231B shall be as follows:–</w:t>
      </w:r>
    </w:p>
    <w:p w:rsidR="00E01682" w:rsidRPr="00F76B61" w:rsidRDefault="00E01682" w:rsidP="00E01682">
      <w:pPr>
        <w:pStyle w:val="ListParagraph"/>
        <w:ind w:left="540"/>
        <w:jc w:val="both"/>
        <w:rPr>
          <w:color w:val="000000" w:themeColor="text1"/>
          <w:sz w:val="20"/>
        </w:rPr>
      </w:pP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
        <w:gridCol w:w="2106"/>
        <w:gridCol w:w="1710"/>
        <w:gridCol w:w="1800"/>
      </w:tblGrid>
      <w:tr w:rsidR="00E01682" w:rsidRPr="00F76B61" w:rsidTr="00303B88">
        <w:trPr>
          <w:trHeight w:val="203"/>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S. No.</w:t>
            </w:r>
          </w:p>
        </w:tc>
        <w:tc>
          <w:tcPr>
            <w:tcW w:w="2106" w:type="dxa"/>
            <w:vAlign w:val="center"/>
          </w:tcPr>
          <w:p w:rsidR="00E01682" w:rsidRPr="00F76B61" w:rsidRDefault="00E01682" w:rsidP="00303B88">
            <w:pPr>
              <w:ind w:left="54"/>
              <w:jc w:val="center"/>
              <w:rPr>
                <w:color w:val="000000" w:themeColor="text1"/>
                <w:sz w:val="20"/>
              </w:rPr>
            </w:pPr>
            <w:r w:rsidRPr="00F76B61">
              <w:rPr>
                <w:color w:val="000000" w:themeColor="text1"/>
                <w:sz w:val="20"/>
              </w:rPr>
              <w:t>Engine capacity</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For filers</w:t>
            </w:r>
          </w:p>
        </w:tc>
        <w:tc>
          <w:tcPr>
            <w:tcW w:w="180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Tax for non-filer</w:t>
            </w:r>
          </w:p>
        </w:tc>
      </w:tr>
      <w:tr w:rsidR="00E01682" w:rsidRPr="00F76B61" w:rsidTr="00303B88">
        <w:trPr>
          <w:trHeight w:val="122"/>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(1)</w:t>
            </w:r>
          </w:p>
        </w:tc>
        <w:tc>
          <w:tcPr>
            <w:tcW w:w="2106" w:type="dxa"/>
            <w:vAlign w:val="center"/>
          </w:tcPr>
          <w:p w:rsidR="00E01682" w:rsidRPr="00F76B61" w:rsidRDefault="00E01682" w:rsidP="00303B88">
            <w:pPr>
              <w:ind w:left="58"/>
              <w:jc w:val="center"/>
              <w:rPr>
                <w:color w:val="000000" w:themeColor="text1"/>
                <w:sz w:val="20"/>
              </w:rPr>
            </w:pPr>
            <w:r w:rsidRPr="00F76B61">
              <w:rPr>
                <w:color w:val="000000" w:themeColor="text1"/>
                <w:sz w:val="20"/>
              </w:rPr>
              <w:t>(2)</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(3)</w:t>
            </w:r>
          </w:p>
        </w:tc>
        <w:tc>
          <w:tcPr>
            <w:tcW w:w="180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(4)</w:t>
            </w:r>
          </w:p>
        </w:tc>
      </w:tr>
      <w:tr w:rsidR="00E01682" w:rsidRPr="00F76B61" w:rsidTr="00303B88">
        <w:trPr>
          <w:trHeight w:val="109"/>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1.</w:t>
            </w:r>
          </w:p>
        </w:tc>
        <w:tc>
          <w:tcPr>
            <w:tcW w:w="2106" w:type="dxa"/>
            <w:vAlign w:val="center"/>
          </w:tcPr>
          <w:p w:rsidR="00E01682" w:rsidRPr="00F76B61" w:rsidRDefault="00E01682" w:rsidP="00303B88">
            <w:pPr>
              <w:ind w:left="54"/>
              <w:rPr>
                <w:color w:val="000000" w:themeColor="text1"/>
                <w:sz w:val="20"/>
              </w:rPr>
            </w:pPr>
            <w:r w:rsidRPr="00F76B61">
              <w:rPr>
                <w:color w:val="000000" w:themeColor="text1"/>
                <w:sz w:val="20"/>
              </w:rPr>
              <w:t>upto 850cc</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w:t>
            </w:r>
          </w:p>
        </w:tc>
        <w:tc>
          <w:tcPr>
            <w:tcW w:w="1800" w:type="dxa"/>
            <w:vAlign w:val="center"/>
          </w:tcPr>
          <w:p w:rsidR="00E01682" w:rsidRPr="00F76B61" w:rsidRDefault="00AC76F2" w:rsidP="00303B88">
            <w:pPr>
              <w:ind w:left="54"/>
              <w:jc w:val="center"/>
              <w:rPr>
                <w:color w:val="000000" w:themeColor="text1"/>
                <w:sz w:val="20"/>
              </w:rPr>
            </w:pPr>
            <w:r w:rsidRPr="00F76B61">
              <w:rPr>
                <w:color w:val="000000" w:themeColor="text1"/>
                <w:sz w:val="20"/>
              </w:rPr>
              <w:t>5000</w:t>
            </w:r>
          </w:p>
        </w:tc>
      </w:tr>
      <w:tr w:rsidR="00E01682" w:rsidRPr="00F76B61" w:rsidTr="00303B88">
        <w:trPr>
          <w:trHeight w:val="135"/>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2.</w:t>
            </w:r>
          </w:p>
        </w:tc>
        <w:tc>
          <w:tcPr>
            <w:tcW w:w="2106" w:type="dxa"/>
            <w:vAlign w:val="center"/>
          </w:tcPr>
          <w:p w:rsidR="00E01682" w:rsidRPr="00F76B61" w:rsidRDefault="00E01682" w:rsidP="00303B88">
            <w:pPr>
              <w:ind w:left="54"/>
              <w:rPr>
                <w:color w:val="000000" w:themeColor="text1"/>
                <w:sz w:val="20"/>
              </w:rPr>
            </w:pPr>
            <w:r w:rsidRPr="00F76B61">
              <w:rPr>
                <w:color w:val="000000" w:themeColor="text1"/>
                <w:sz w:val="20"/>
              </w:rPr>
              <w:t>851cc to 1000cc</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5,000</w:t>
            </w:r>
          </w:p>
        </w:tc>
        <w:tc>
          <w:tcPr>
            <w:tcW w:w="1800" w:type="dxa"/>
            <w:vAlign w:val="center"/>
          </w:tcPr>
          <w:p w:rsidR="00E01682" w:rsidRPr="00F76B61" w:rsidRDefault="00AC76F2" w:rsidP="00303B88">
            <w:pPr>
              <w:ind w:left="54"/>
              <w:jc w:val="center"/>
              <w:rPr>
                <w:color w:val="000000" w:themeColor="text1"/>
                <w:sz w:val="20"/>
              </w:rPr>
            </w:pPr>
            <w:r w:rsidRPr="00F76B61">
              <w:rPr>
                <w:color w:val="000000" w:themeColor="text1"/>
                <w:sz w:val="20"/>
              </w:rPr>
              <w:t>15,000</w:t>
            </w:r>
          </w:p>
        </w:tc>
      </w:tr>
      <w:tr w:rsidR="00E01682" w:rsidRPr="00F76B61" w:rsidTr="00303B88">
        <w:trPr>
          <w:trHeight w:val="82"/>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3.</w:t>
            </w:r>
          </w:p>
        </w:tc>
        <w:tc>
          <w:tcPr>
            <w:tcW w:w="2106" w:type="dxa"/>
            <w:vAlign w:val="center"/>
          </w:tcPr>
          <w:p w:rsidR="00E01682" w:rsidRPr="00F76B61" w:rsidRDefault="00E01682" w:rsidP="00303B88">
            <w:pPr>
              <w:ind w:left="54"/>
              <w:rPr>
                <w:color w:val="000000" w:themeColor="text1"/>
                <w:sz w:val="20"/>
              </w:rPr>
            </w:pPr>
            <w:r w:rsidRPr="00F76B61">
              <w:rPr>
                <w:color w:val="000000" w:themeColor="text1"/>
                <w:sz w:val="20"/>
              </w:rPr>
              <w:t>1001cc to 1300cc</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7,500</w:t>
            </w:r>
          </w:p>
        </w:tc>
        <w:tc>
          <w:tcPr>
            <w:tcW w:w="1800" w:type="dxa"/>
            <w:vAlign w:val="center"/>
          </w:tcPr>
          <w:p w:rsidR="00E01682" w:rsidRPr="00F76B61" w:rsidRDefault="00AC76F2" w:rsidP="00303B88">
            <w:pPr>
              <w:ind w:left="54"/>
              <w:jc w:val="center"/>
              <w:rPr>
                <w:color w:val="000000" w:themeColor="text1"/>
                <w:sz w:val="20"/>
              </w:rPr>
            </w:pPr>
            <w:r w:rsidRPr="00F76B61">
              <w:rPr>
                <w:color w:val="000000" w:themeColor="text1"/>
                <w:sz w:val="20"/>
              </w:rPr>
              <w:t>25,000</w:t>
            </w:r>
          </w:p>
        </w:tc>
      </w:tr>
      <w:tr w:rsidR="00E01682" w:rsidRPr="00F76B61" w:rsidTr="00303B88">
        <w:trPr>
          <w:trHeight w:val="122"/>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4.</w:t>
            </w:r>
          </w:p>
        </w:tc>
        <w:tc>
          <w:tcPr>
            <w:tcW w:w="2106" w:type="dxa"/>
            <w:vAlign w:val="center"/>
          </w:tcPr>
          <w:p w:rsidR="00E01682" w:rsidRPr="00F76B61" w:rsidRDefault="00E01682" w:rsidP="00303B88">
            <w:pPr>
              <w:ind w:left="54"/>
              <w:rPr>
                <w:color w:val="000000" w:themeColor="text1"/>
                <w:sz w:val="20"/>
              </w:rPr>
            </w:pPr>
            <w:r w:rsidRPr="00F76B61">
              <w:rPr>
                <w:color w:val="000000" w:themeColor="text1"/>
                <w:sz w:val="20"/>
              </w:rPr>
              <w:t>1301cc to 1600cc</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12,500</w:t>
            </w:r>
          </w:p>
        </w:tc>
        <w:tc>
          <w:tcPr>
            <w:tcW w:w="1800" w:type="dxa"/>
            <w:vAlign w:val="center"/>
          </w:tcPr>
          <w:p w:rsidR="00E01682" w:rsidRPr="00F76B61" w:rsidRDefault="00AC76F2" w:rsidP="00303B88">
            <w:pPr>
              <w:ind w:left="54"/>
              <w:jc w:val="center"/>
              <w:rPr>
                <w:color w:val="000000" w:themeColor="text1"/>
                <w:sz w:val="20"/>
              </w:rPr>
            </w:pPr>
            <w:r w:rsidRPr="00F76B61">
              <w:rPr>
                <w:color w:val="000000" w:themeColor="text1"/>
                <w:sz w:val="20"/>
              </w:rPr>
              <w:t>65,000</w:t>
            </w:r>
          </w:p>
        </w:tc>
      </w:tr>
      <w:tr w:rsidR="00E01682" w:rsidRPr="00F76B61" w:rsidTr="00303B88">
        <w:trPr>
          <w:trHeight w:val="95"/>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5.</w:t>
            </w:r>
          </w:p>
        </w:tc>
        <w:tc>
          <w:tcPr>
            <w:tcW w:w="2106" w:type="dxa"/>
            <w:vAlign w:val="center"/>
          </w:tcPr>
          <w:p w:rsidR="00E01682" w:rsidRPr="00F76B61" w:rsidRDefault="00E01682" w:rsidP="00303B88">
            <w:pPr>
              <w:ind w:left="54"/>
              <w:rPr>
                <w:color w:val="000000" w:themeColor="text1"/>
                <w:sz w:val="20"/>
              </w:rPr>
            </w:pPr>
            <w:r w:rsidRPr="00F76B61">
              <w:rPr>
                <w:color w:val="000000" w:themeColor="text1"/>
                <w:sz w:val="20"/>
              </w:rPr>
              <w:t>1601cc to 1800cc</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18,750</w:t>
            </w:r>
          </w:p>
        </w:tc>
        <w:tc>
          <w:tcPr>
            <w:tcW w:w="1800" w:type="dxa"/>
            <w:vAlign w:val="center"/>
          </w:tcPr>
          <w:p w:rsidR="00E01682" w:rsidRPr="00F76B61" w:rsidRDefault="00AC76F2" w:rsidP="00303B88">
            <w:pPr>
              <w:ind w:left="54"/>
              <w:jc w:val="center"/>
              <w:rPr>
                <w:color w:val="000000" w:themeColor="text1"/>
                <w:sz w:val="20"/>
              </w:rPr>
            </w:pPr>
            <w:r w:rsidRPr="00F76B61">
              <w:rPr>
                <w:color w:val="000000" w:themeColor="text1"/>
                <w:sz w:val="20"/>
              </w:rPr>
              <w:t>100,000</w:t>
            </w:r>
          </w:p>
        </w:tc>
      </w:tr>
      <w:tr w:rsidR="00E01682" w:rsidRPr="00F76B61" w:rsidTr="00303B88">
        <w:trPr>
          <w:trHeight w:val="80"/>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6.</w:t>
            </w:r>
          </w:p>
        </w:tc>
        <w:tc>
          <w:tcPr>
            <w:tcW w:w="2106" w:type="dxa"/>
            <w:vAlign w:val="center"/>
          </w:tcPr>
          <w:p w:rsidR="00E01682" w:rsidRPr="00F76B61" w:rsidRDefault="00E01682" w:rsidP="00303B88">
            <w:pPr>
              <w:ind w:left="54"/>
              <w:rPr>
                <w:color w:val="000000" w:themeColor="text1"/>
                <w:sz w:val="20"/>
              </w:rPr>
            </w:pPr>
            <w:r w:rsidRPr="00F76B61">
              <w:rPr>
                <w:color w:val="000000" w:themeColor="text1"/>
                <w:sz w:val="20"/>
              </w:rPr>
              <w:t>1801cc to 2000cc</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25,000</w:t>
            </w:r>
          </w:p>
        </w:tc>
        <w:tc>
          <w:tcPr>
            <w:tcW w:w="1800" w:type="dxa"/>
            <w:vAlign w:val="center"/>
          </w:tcPr>
          <w:p w:rsidR="00E01682" w:rsidRPr="00F76B61" w:rsidRDefault="00AC76F2" w:rsidP="00303B88">
            <w:pPr>
              <w:ind w:left="54"/>
              <w:jc w:val="center"/>
              <w:rPr>
                <w:color w:val="000000" w:themeColor="text1"/>
                <w:sz w:val="20"/>
              </w:rPr>
            </w:pPr>
            <w:r w:rsidRPr="00F76B61">
              <w:rPr>
                <w:color w:val="000000" w:themeColor="text1"/>
                <w:sz w:val="20"/>
              </w:rPr>
              <w:t>135,000</w:t>
            </w:r>
          </w:p>
        </w:tc>
      </w:tr>
      <w:tr w:rsidR="00E01682" w:rsidRPr="00F76B61" w:rsidTr="00303B88">
        <w:trPr>
          <w:trHeight w:val="80"/>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7.</w:t>
            </w:r>
          </w:p>
        </w:tc>
        <w:tc>
          <w:tcPr>
            <w:tcW w:w="2106" w:type="dxa"/>
            <w:vAlign w:val="center"/>
          </w:tcPr>
          <w:p w:rsidR="00E01682" w:rsidRPr="00F76B61" w:rsidRDefault="00E01682" w:rsidP="00303B88">
            <w:pPr>
              <w:ind w:left="54"/>
              <w:rPr>
                <w:color w:val="000000" w:themeColor="text1"/>
                <w:sz w:val="20"/>
              </w:rPr>
            </w:pPr>
            <w:r w:rsidRPr="00F76B61">
              <w:rPr>
                <w:color w:val="000000" w:themeColor="text1"/>
                <w:sz w:val="20"/>
              </w:rPr>
              <w:t>2001cc to 2500cc</w:t>
            </w:r>
          </w:p>
        </w:tc>
        <w:tc>
          <w:tcPr>
            <w:tcW w:w="1710" w:type="dxa"/>
            <w:vAlign w:val="center"/>
          </w:tcPr>
          <w:p w:rsidR="00E01682" w:rsidRPr="00F76B61" w:rsidRDefault="00E01682" w:rsidP="00E01682">
            <w:pPr>
              <w:ind w:left="54"/>
              <w:jc w:val="center"/>
              <w:rPr>
                <w:color w:val="000000" w:themeColor="text1"/>
                <w:sz w:val="20"/>
              </w:rPr>
            </w:pPr>
            <w:r w:rsidRPr="00F76B61">
              <w:rPr>
                <w:color w:val="000000" w:themeColor="text1"/>
                <w:sz w:val="20"/>
              </w:rPr>
              <w:t>37,500</w:t>
            </w:r>
          </w:p>
        </w:tc>
        <w:tc>
          <w:tcPr>
            <w:tcW w:w="1800" w:type="dxa"/>
            <w:vAlign w:val="center"/>
          </w:tcPr>
          <w:p w:rsidR="00E01682" w:rsidRPr="00F76B61" w:rsidRDefault="00AC76F2" w:rsidP="00303B88">
            <w:pPr>
              <w:ind w:left="54"/>
              <w:jc w:val="center"/>
              <w:rPr>
                <w:color w:val="000000" w:themeColor="text1"/>
                <w:sz w:val="20"/>
              </w:rPr>
            </w:pPr>
            <w:r w:rsidRPr="00F76B61">
              <w:rPr>
                <w:color w:val="000000" w:themeColor="text1"/>
                <w:sz w:val="20"/>
              </w:rPr>
              <w:t>200,000</w:t>
            </w:r>
          </w:p>
        </w:tc>
      </w:tr>
      <w:tr w:rsidR="00E01682" w:rsidRPr="00F76B61" w:rsidTr="00303B88">
        <w:trPr>
          <w:trHeight w:val="80"/>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8.</w:t>
            </w:r>
          </w:p>
        </w:tc>
        <w:tc>
          <w:tcPr>
            <w:tcW w:w="2106" w:type="dxa"/>
            <w:vAlign w:val="center"/>
          </w:tcPr>
          <w:p w:rsidR="00E01682" w:rsidRPr="00F76B61" w:rsidRDefault="00E01682" w:rsidP="00303B88">
            <w:pPr>
              <w:ind w:left="54"/>
              <w:rPr>
                <w:color w:val="000000" w:themeColor="text1"/>
                <w:sz w:val="20"/>
              </w:rPr>
            </w:pPr>
            <w:r w:rsidRPr="00F76B61">
              <w:rPr>
                <w:color w:val="000000" w:themeColor="text1"/>
                <w:sz w:val="20"/>
              </w:rPr>
              <w:t>2501cc to 3000cc</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50,000</w:t>
            </w:r>
          </w:p>
        </w:tc>
        <w:tc>
          <w:tcPr>
            <w:tcW w:w="1800" w:type="dxa"/>
            <w:vAlign w:val="center"/>
          </w:tcPr>
          <w:p w:rsidR="00E01682" w:rsidRPr="00F76B61" w:rsidRDefault="00AC76F2" w:rsidP="00303B88">
            <w:pPr>
              <w:ind w:left="54"/>
              <w:jc w:val="center"/>
              <w:rPr>
                <w:color w:val="000000" w:themeColor="text1"/>
                <w:sz w:val="20"/>
              </w:rPr>
            </w:pPr>
            <w:r w:rsidRPr="00F76B61">
              <w:rPr>
                <w:color w:val="000000" w:themeColor="text1"/>
                <w:sz w:val="20"/>
              </w:rPr>
              <w:t>270,000</w:t>
            </w:r>
          </w:p>
        </w:tc>
      </w:tr>
      <w:tr w:rsidR="00E01682" w:rsidRPr="00F76B61" w:rsidTr="00303B88">
        <w:trPr>
          <w:trHeight w:val="80"/>
        </w:trPr>
        <w:tc>
          <w:tcPr>
            <w:tcW w:w="954" w:type="dxa"/>
            <w:vAlign w:val="center"/>
          </w:tcPr>
          <w:p w:rsidR="00E01682" w:rsidRPr="00F76B61" w:rsidRDefault="00E01682" w:rsidP="00303B88">
            <w:pPr>
              <w:ind w:left="54"/>
              <w:jc w:val="center"/>
              <w:rPr>
                <w:color w:val="000000" w:themeColor="text1"/>
                <w:sz w:val="20"/>
              </w:rPr>
            </w:pPr>
            <w:r w:rsidRPr="00F76B61">
              <w:rPr>
                <w:color w:val="000000" w:themeColor="text1"/>
                <w:sz w:val="20"/>
              </w:rPr>
              <w:t>9.</w:t>
            </w:r>
          </w:p>
        </w:tc>
        <w:tc>
          <w:tcPr>
            <w:tcW w:w="2106" w:type="dxa"/>
            <w:vAlign w:val="center"/>
          </w:tcPr>
          <w:p w:rsidR="00E01682" w:rsidRPr="00F76B61" w:rsidRDefault="00E01682" w:rsidP="00303B88">
            <w:pPr>
              <w:ind w:left="54"/>
              <w:rPr>
                <w:color w:val="000000" w:themeColor="text1"/>
                <w:sz w:val="20"/>
              </w:rPr>
            </w:pPr>
            <w:r w:rsidRPr="00F76B61">
              <w:rPr>
                <w:color w:val="000000" w:themeColor="text1"/>
                <w:sz w:val="20"/>
              </w:rPr>
              <w:t>Above 3000cc</w:t>
            </w:r>
          </w:p>
        </w:tc>
        <w:tc>
          <w:tcPr>
            <w:tcW w:w="1710" w:type="dxa"/>
            <w:vAlign w:val="center"/>
          </w:tcPr>
          <w:p w:rsidR="00E01682" w:rsidRPr="00F76B61" w:rsidRDefault="00E01682" w:rsidP="00303B88">
            <w:pPr>
              <w:ind w:left="54"/>
              <w:jc w:val="center"/>
              <w:rPr>
                <w:color w:val="000000" w:themeColor="text1"/>
                <w:sz w:val="20"/>
              </w:rPr>
            </w:pPr>
            <w:r w:rsidRPr="00F76B61">
              <w:rPr>
                <w:color w:val="000000" w:themeColor="text1"/>
                <w:sz w:val="20"/>
              </w:rPr>
              <w:t>62,500</w:t>
            </w:r>
          </w:p>
        </w:tc>
        <w:tc>
          <w:tcPr>
            <w:tcW w:w="1800" w:type="dxa"/>
            <w:vAlign w:val="center"/>
          </w:tcPr>
          <w:p w:rsidR="00E01682" w:rsidRPr="00F76B61" w:rsidRDefault="00AC76F2" w:rsidP="00303B88">
            <w:pPr>
              <w:ind w:left="54"/>
              <w:jc w:val="center"/>
              <w:rPr>
                <w:color w:val="000000" w:themeColor="text1"/>
                <w:sz w:val="20"/>
              </w:rPr>
            </w:pPr>
            <w:r w:rsidRPr="00F76B61">
              <w:rPr>
                <w:color w:val="000000" w:themeColor="text1"/>
                <w:sz w:val="20"/>
              </w:rPr>
              <w:t>300,000</w:t>
            </w:r>
          </w:p>
        </w:tc>
      </w:tr>
    </w:tbl>
    <w:p w:rsidR="00F13153" w:rsidRPr="00F13153" w:rsidRDefault="00F13153" w:rsidP="00F13153">
      <w:pPr>
        <w:pStyle w:val="C"/>
        <w:widowControl/>
        <w:spacing w:before="0" w:after="0"/>
        <w:ind w:firstLine="547"/>
        <w:jc w:val="both"/>
        <w:rPr>
          <w:rFonts w:ascii="Arial" w:hAnsi="Arial" w:cs="Arial"/>
          <w:b w:val="0"/>
          <w:bCs/>
          <w:color w:val="984806" w:themeColor="accent6" w:themeShade="80"/>
          <w:sz w:val="20"/>
          <w:lang w:val="en-AU"/>
        </w:rPr>
      </w:pPr>
    </w:p>
    <w:p w:rsidR="00F13153" w:rsidRPr="00F76B61" w:rsidRDefault="00F13153" w:rsidP="00F905BA">
      <w:pPr>
        <w:pStyle w:val="Heading2"/>
        <w:ind w:left="720" w:firstLine="450"/>
        <w:jc w:val="both"/>
        <w:rPr>
          <w:b w:val="0"/>
          <w:color w:val="000000" w:themeColor="text1"/>
        </w:rPr>
      </w:pPr>
      <w:r w:rsidRPr="00F76B61">
        <w:rPr>
          <w:b w:val="0"/>
          <w:bCs/>
          <w:color w:val="000000" w:themeColor="text1"/>
          <w:sz w:val="20"/>
        </w:rPr>
        <w:t>Provided that the rate of tax to be collected shall be reduced by 10% each year from the date of first registration in Pakistan.</w:t>
      </w:r>
      <w:r w:rsidR="00F905BA" w:rsidRPr="00F76B61">
        <w:rPr>
          <w:b w:val="0"/>
          <w:bCs/>
          <w:color w:val="000000" w:themeColor="text1"/>
          <w:sz w:val="20"/>
        </w:rPr>
        <w:t>”</w:t>
      </w:r>
      <w:r w:rsidRPr="00F76B61">
        <w:rPr>
          <w:b w:val="0"/>
          <w:bCs/>
          <w:color w:val="000000" w:themeColor="text1"/>
          <w:sz w:val="20"/>
        </w:rPr>
        <w:t>]</w:t>
      </w:r>
    </w:p>
    <w:p w:rsidR="00F13153" w:rsidRDefault="00F13153" w:rsidP="00AA4BF8">
      <w:pPr>
        <w:pStyle w:val="Heading2"/>
        <w:rPr>
          <w:color w:val="00B0F0"/>
        </w:rPr>
      </w:pPr>
    </w:p>
    <w:p w:rsidR="00F13153" w:rsidRPr="005C02E4" w:rsidRDefault="00F13153" w:rsidP="00AA4BF8">
      <w:pPr>
        <w:pStyle w:val="Heading2"/>
        <w:rPr>
          <w:color w:val="00B0F0"/>
          <w:sz w:val="20"/>
        </w:rPr>
      </w:pPr>
    </w:p>
    <w:p w:rsidR="00AA4BF8" w:rsidRPr="00412620" w:rsidRDefault="00AA4BF8" w:rsidP="00AA4BF8">
      <w:pPr>
        <w:pStyle w:val="Header"/>
        <w:tabs>
          <w:tab w:val="left" w:pos="547"/>
        </w:tabs>
        <w:jc w:val="center"/>
        <w:rPr>
          <w:b/>
          <w:bCs/>
          <w:sz w:val="32"/>
          <w:szCs w:val="32"/>
        </w:rPr>
      </w:pPr>
      <w:r w:rsidRPr="00412620">
        <w:rPr>
          <w:rStyle w:val="FootnoteReference"/>
          <w:rFonts w:cs="Arial"/>
          <w:sz w:val="20"/>
        </w:rPr>
        <w:footnoteReference w:id="1705"/>
      </w:r>
      <w:r w:rsidRPr="00412620">
        <w:rPr>
          <w:sz w:val="28"/>
          <w:szCs w:val="28"/>
        </w:rPr>
        <w:t>[</w:t>
      </w:r>
      <w:r w:rsidRPr="00412620">
        <w:rPr>
          <w:b/>
          <w:bCs/>
          <w:sz w:val="32"/>
          <w:szCs w:val="32"/>
        </w:rPr>
        <w:t>Division VIII</w:t>
      </w:r>
    </w:p>
    <w:p w:rsidR="00AA4BF8" w:rsidRPr="00412620" w:rsidRDefault="00AA4BF8" w:rsidP="00AA4BF8">
      <w:pPr>
        <w:pStyle w:val="Header"/>
        <w:tabs>
          <w:tab w:val="left" w:pos="547"/>
        </w:tabs>
        <w:jc w:val="center"/>
        <w:rPr>
          <w:sz w:val="20"/>
        </w:rPr>
      </w:pPr>
      <w:r w:rsidRPr="00412620">
        <w:rPr>
          <w:b/>
          <w:bCs/>
          <w:sz w:val="20"/>
        </w:rPr>
        <w:t>Advance tax at the time of sale by auction</w:t>
      </w:r>
    </w:p>
    <w:p w:rsidR="00AA4BF8" w:rsidRPr="00412620" w:rsidRDefault="00AA4BF8" w:rsidP="00AA4BF8">
      <w:pPr>
        <w:pStyle w:val="Header"/>
        <w:tabs>
          <w:tab w:val="left" w:pos="547"/>
        </w:tabs>
        <w:jc w:val="center"/>
        <w:rPr>
          <w:sz w:val="20"/>
        </w:rPr>
      </w:pPr>
    </w:p>
    <w:p w:rsidR="00AA4BF8" w:rsidRPr="00412620" w:rsidRDefault="00AA4BF8" w:rsidP="00AA4BF8">
      <w:pPr>
        <w:pStyle w:val="Header"/>
        <w:tabs>
          <w:tab w:val="clear" w:pos="4320"/>
          <w:tab w:val="clear" w:pos="8640"/>
        </w:tabs>
        <w:jc w:val="both"/>
        <w:rPr>
          <w:b/>
          <w:bCs/>
          <w:sz w:val="20"/>
        </w:rPr>
      </w:pPr>
      <w:r w:rsidRPr="00412620">
        <w:rPr>
          <w:sz w:val="20"/>
        </w:rPr>
        <w:t xml:space="preserve">  The rate of collection of tax under section 236A shall be </w:t>
      </w:r>
      <w:r w:rsidRPr="00412620">
        <w:rPr>
          <w:rStyle w:val="FootnoteReference"/>
          <w:rFonts w:cs="Arial"/>
          <w:sz w:val="20"/>
        </w:rPr>
        <w:footnoteReference w:id="1706"/>
      </w:r>
      <w:r w:rsidRPr="00412620">
        <w:rPr>
          <w:sz w:val="20"/>
        </w:rPr>
        <w:t>[10]% of the gross sale price of any property or goods sold by auction.]</w:t>
      </w:r>
    </w:p>
    <w:p w:rsidR="00AA4BF8" w:rsidRPr="00412620" w:rsidRDefault="00AA4BF8" w:rsidP="00AA4BF8">
      <w:pPr>
        <w:pStyle w:val="C"/>
        <w:widowControl/>
        <w:spacing w:before="0" w:after="0"/>
        <w:rPr>
          <w:rFonts w:ascii="Arial" w:hAnsi="Arial" w:cs="Arial"/>
          <w:sz w:val="32"/>
          <w:szCs w:val="32"/>
        </w:rPr>
      </w:pPr>
      <w:r w:rsidRPr="00412620">
        <w:rPr>
          <w:rStyle w:val="FootnoteReference"/>
          <w:rFonts w:ascii="Arial" w:hAnsi="Arial" w:cs="Arial"/>
          <w:b w:val="0"/>
          <w:sz w:val="20"/>
        </w:rPr>
        <w:footnoteReference w:id="1707"/>
      </w:r>
      <w:r w:rsidRPr="00412620">
        <w:rPr>
          <w:rFonts w:ascii="Arial" w:hAnsi="Arial" w:cs="Arial"/>
          <w:b w:val="0"/>
          <w:sz w:val="28"/>
          <w:szCs w:val="28"/>
        </w:rPr>
        <w:t>[</w:t>
      </w:r>
      <w:r w:rsidRPr="00412620">
        <w:rPr>
          <w:rFonts w:ascii="Arial" w:hAnsi="Arial" w:cs="Arial"/>
          <w:sz w:val="32"/>
          <w:szCs w:val="32"/>
        </w:rPr>
        <w:t>Division IX</w:t>
      </w:r>
    </w:p>
    <w:p w:rsidR="00AA4BF8" w:rsidRPr="00412620" w:rsidRDefault="00AA4BF8" w:rsidP="00AA4BF8">
      <w:pPr>
        <w:pStyle w:val="C"/>
        <w:widowControl/>
        <w:spacing w:before="0" w:after="0"/>
        <w:rPr>
          <w:rFonts w:ascii="Arial" w:hAnsi="Arial" w:cs="Arial"/>
          <w:b w:val="0"/>
          <w:bCs/>
          <w:sz w:val="20"/>
        </w:rPr>
      </w:pPr>
      <w:r w:rsidRPr="00412620">
        <w:rPr>
          <w:rFonts w:ascii="Arial" w:hAnsi="Arial" w:cs="Arial"/>
          <w:sz w:val="20"/>
        </w:rPr>
        <w:t>Advance tax on Purchase of Air Ticket</w:t>
      </w:r>
    </w:p>
    <w:p w:rsidR="00AA4BF8" w:rsidRPr="00412620" w:rsidRDefault="00AA4BF8" w:rsidP="00AA4BF8">
      <w:pPr>
        <w:pStyle w:val="C"/>
        <w:widowControl/>
        <w:spacing w:before="0" w:after="0"/>
        <w:jc w:val="left"/>
        <w:rPr>
          <w:rFonts w:ascii="Arial" w:hAnsi="Arial" w:cs="Arial"/>
          <w:b w:val="0"/>
          <w:bCs/>
          <w:sz w:val="20"/>
        </w:rPr>
      </w:pPr>
    </w:p>
    <w:p w:rsidR="00AA4BF8" w:rsidRPr="00412620" w:rsidRDefault="00AA4BF8" w:rsidP="00AA4BF8">
      <w:pPr>
        <w:pStyle w:val="C"/>
        <w:widowControl/>
        <w:spacing w:before="0" w:after="0"/>
        <w:jc w:val="left"/>
        <w:rPr>
          <w:rFonts w:ascii="Arial" w:hAnsi="Arial" w:cs="Arial"/>
          <w:b w:val="0"/>
          <w:bCs/>
          <w:sz w:val="20"/>
        </w:rPr>
      </w:pPr>
      <w:r w:rsidRPr="00412620">
        <w:rPr>
          <w:rFonts w:ascii="Arial" w:hAnsi="Arial" w:cs="Arial"/>
          <w:b w:val="0"/>
          <w:sz w:val="20"/>
        </w:rPr>
        <w:tab/>
      </w:r>
      <w:r w:rsidRPr="00412620">
        <w:rPr>
          <w:rFonts w:ascii="Arial" w:hAnsi="Arial" w:cs="Arial"/>
          <w:b w:val="0"/>
          <w:sz w:val="20"/>
        </w:rPr>
        <w:tab/>
        <w:t>The rate of tax to be deducted under section 236B shall be 5% of the gross amount of air ticket.]</w:t>
      </w:r>
    </w:p>
    <w:p w:rsidR="00AA4BF8" w:rsidRPr="00412620" w:rsidRDefault="00AA4BF8" w:rsidP="00AA4BF8">
      <w:pPr>
        <w:pStyle w:val="C"/>
        <w:widowControl/>
        <w:spacing w:before="0" w:after="0"/>
        <w:rPr>
          <w:b w:val="0"/>
          <w:bCs/>
          <w:sz w:val="20"/>
        </w:rPr>
      </w:pPr>
    </w:p>
    <w:p w:rsidR="00AA4BF8" w:rsidRPr="00412620" w:rsidRDefault="006A309D" w:rsidP="00AA4BF8">
      <w:pPr>
        <w:pStyle w:val="C"/>
        <w:widowControl/>
        <w:spacing w:before="0" w:after="0"/>
        <w:rPr>
          <w:rFonts w:ascii="Arial" w:hAnsi="Arial" w:cs="Arial"/>
          <w:sz w:val="32"/>
          <w:szCs w:val="32"/>
        </w:rPr>
      </w:pPr>
      <w:r w:rsidRPr="002876BE">
        <w:rPr>
          <w:rStyle w:val="FootnoteReference"/>
          <w:rFonts w:ascii="Arial" w:hAnsi="Arial" w:cs="Arial"/>
          <w:b w:val="0"/>
          <w:sz w:val="32"/>
          <w:szCs w:val="32"/>
        </w:rPr>
        <w:footnoteReference w:id="1708"/>
      </w:r>
      <w:r>
        <w:rPr>
          <w:rFonts w:ascii="Arial" w:hAnsi="Arial" w:cs="Arial"/>
          <w:sz w:val="32"/>
          <w:szCs w:val="32"/>
        </w:rPr>
        <w:t>[</w:t>
      </w:r>
      <w:r w:rsidR="00AA4BF8" w:rsidRPr="00412620">
        <w:rPr>
          <w:rFonts w:ascii="Arial" w:hAnsi="Arial" w:cs="Arial"/>
          <w:sz w:val="32"/>
          <w:szCs w:val="32"/>
        </w:rPr>
        <w:t>Division X</w:t>
      </w:r>
    </w:p>
    <w:p w:rsidR="00AA4BF8" w:rsidRPr="00412620" w:rsidRDefault="00AA4BF8" w:rsidP="00AA4BF8">
      <w:pPr>
        <w:pStyle w:val="C"/>
        <w:widowControl/>
        <w:spacing w:before="0" w:after="0"/>
        <w:rPr>
          <w:rFonts w:ascii="Arial" w:hAnsi="Arial" w:cs="Arial"/>
          <w:sz w:val="20"/>
        </w:rPr>
      </w:pPr>
      <w:r w:rsidRPr="00412620">
        <w:rPr>
          <w:rFonts w:ascii="Arial" w:hAnsi="Arial" w:cs="Arial"/>
          <w:sz w:val="20"/>
        </w:rPr>
        <w:t>Advance tax on sale or transfer of</w:t>
      </w:r>
    </w:p>
    <w:p w:rsidR="00AA4BF8" w:rsidRPr="00412620" w:rsidRDefault="00AA4BF8" w:rsidP="00AA4BF8">
      <w:pPr>
        <w:pStyle w:val="C"/>
        <w:widowControl/>
        <w:spacing w:before="0" w:after="0"/>
        <w:rPr>
          <w:rFonts w:ascii="Arial" w:hAnsi="Arial" w:cs="Arial"/>
          <w:sz w:val="20"/>
        </w:rPr>
      </w:pPr>
      <w:r w:rsidRPr="00412620">
        <w:rPr>
          <w:rFonts w:ascii="Arial" w:hAnsi="Arial" w:cs="Arial"/>
          <w:sz w:val="20"/>
        </w:rPr>
        <w:lastRenderedPageBreak/>
        <w:t>Immovable property</w:t>
      </w:r>
    </w:p>
    <w:p w:rsidR="00AA4BF8" w:rsidRPr="00412620" w:rsidRDefault="00AA4BF8" w:rsidP="00AA4BF8">
      <w:pPr>
        <w:pStyle w:val="C"/>
        <w:widowControl/>
        <w:spacing w:before="0" w:after="0"/>
      </w:pPr>
    </w:p>
    <w:p w:rsidR="00AA4BF8" w:rsidRPr="00DD1A3B" w:rsidRDefault="00AA4BF8" w:rsidP="00AA4BF8">
      <w:pPr>
        <w:pStyle w:val="C"/>
        <w:widowControl/>
        <w:spacing w:before="0" w:after="0"/>
        <w:jc w:val="both"/>
        <w:rPr>
          <w:rFonts w:ascii="Arial" w:hAnsi="Arial" w:cs="Arial"/>
          <w:b w:val="0"/>
          <w:bCs/>
          <w:color w:val="000000" w:themeColor="text1"/>
          <w:sz w:val="20"/>
        </w:rPr>
      </w:pPr>
      <w:r w:rsidRPr="00412620">
        <w:rPr>
          <w:rFonts w:ascii="Arial" w:hAnsi="Arial" w:cs="Arial"/>
          <w:b w:val="0"/>
          <w:sz w:val="20"/>
        </w:rPr>
        <w:tab/>
      </w:r>
      <w:r w:rsidRPr="00412620">
        <w:rPr>
          <w:rFonts w:ascii="Arial" w:hAnsi="Arial" w:cs="Arial"/>
          <w:b w:val="0"/>
          <w:sz w:val="20"/>
        </w:rPr>
        <w:tab/>
        <w:t xml:space="preserve">The rate of tax to be collected under section 236C shall be </w:t>
      </w:r>
      <w:r w:rsidR="004F4505" w:rsidRPr="0009763F">
        <w:rPr>
          <w:rStyle w:val="FootnoteReference"/>
          <w:rFonts w:ascii="Arial" w:hAnsi="Arial" w:cs="Arial"/>
          <w:b w:val="0"/>
          <w:color w:val="0070C0"/>
          <w:sz w:val="20"/>
        </w:rPr>
        <w:footnoteReference w:id="1709"/>
      </w:r>
      <w:r w:rsidR="004F4505" w:rsidRPr="0009763F">
        <w:rPr>
          <w:rFonts w:ascii="Arial" w:hAnsi="Arial" w:cs="Arial"/>
          <w:b w:val="0"/>
          <w:color w:val="0070C0"/>
          <w:sz w:val="20"/>
        </w:rPr>
        <w:t>[1]</w:t>
      </w:r>
      <w:r w:rsidR="004F4505">
        <w:rPr>
          <w:rFonts w:ascii="Arial" w:hAnsi="Arial" w:cs="Arial"/>
          <w:b w:val="0"/>
          <w:sz w:val="20"/>
        </w:rPr>
        <w:t xml:space="preserve"> </w:t>
      </w:r>
      <w:r w:rsidRPr="00412620">
        <w:rPr>
          <w:rFonts w:ascii="Arial" w:hAnsi="Arial" w:cs="Arial"/>
          <w:b w:val="0"/>
          <w:sz w:val="20"/>
        </w:rPr>
        <w:t>% of the gross amount of the consideration received</w:t>
      </w:r>
      <w:r w:rsidR="001F6E96">
        <w:rPr>
          <w:rFonts w:ascii="Arial" w:hAnsi="Arial" w:cs="Arial"/>
          <w:b w:val="0"/>
          <w:sz w:val="20"/>
        </w:rPr>
        <w:t xml:space="preserve"> </w:t>
      </w:r>
      <w:r w:rsidR="005A783C" w:rsidRPr="00DD1A3B">
        <w:rPr>
          <w:rStyle w:val="FootnoteReference"/>
          <w:rFonts w:ascii="Arial" w:hAnsi="Arial" w:cs="Arial"/>
          <w:b w:val="0"/>
          <w:color w:val="000000" w:themeColor="text1"/>
          <w:sz w:val="20"/>
        </w:rPr>
        <w:footnoteReference w:id="1710"/>
      </w:r>
      <w:r w:rsidR="005A783C" w:rsidRPr="00DD1A3B">
        <w:rPr>
          <w:rFonts w:ascii="Arial" w:hAnsi="Arial" w:cs="Arial"/>
          <w:b w:val="0"/>
          <w:color w:val="000000" w:themeColor="text1"/>
          <w:sz w:val="20"/>
        </w:rPr>
        <w:t>[for fil</w:t>
      </w:r>
      <w:r w:rsidRPr="00DD1A3B">
        <w:rPr>
          <w:rFonts w:ascii="Arial" w:hAnsi="Arial" w:cs="Arial"/>
          <w:b w:val="0"/>
          <w:color w:val="000000" w:themeColor="text1"/>
          <w:sz w:val="20"/>
        </w:rPr>
        <w:t xml:space="preserve">ers and </w:t>
      </w:r>
      <w:r w:rsidR="004F4505" w:rsidRPr="0009763F">
        <w:rPr>
          <w:rStyle w:val="FootnoteReference"/>
          <w:rFonts w:ascii="Arial" w:hAnsi="Arial" w:cs="Arial"/>
          <w:b w:val="0"/>
          <w:color w:val="0070C0"/>
          <w:sz w:val="20"/>
        </w:rPr>
        <w:footnoteReference w:id="1711"/>
      </w:r>
      <w:r w:rsidR="004F4505" w:rsidRPr="0009763F">
        <w:rPr>
          <w:rFonts w:ascii="Arial" w:hAnsi="Arial" w:cs="Arial"/>
          <w:b w:val="0"/>
          <w:color w:val="0070C0"/>
          <w:sz w:val="20"/>
        </w:rPr>
        <w:t>[2]</w:t>
      </w:r>
      <w:r w:rsidR="004F4505">
        <w:rPr>
          <w:rFonts w:ascii="Arial" w:hAnsi="Arial" w:cs="Arial"/>
          <w:b w:val="0"/>
          <w:sz w:val="20"/>
        </w:rPr>
        <w:t xml:space="preserve"> </w:t>
      </w:r>
      <w:r w:rsidRPr="00DD1A3B">
        <w:rPr>
          <w:rFonts w:ascii="Arial" w:hAnsi="Arial" w:cs="Arial"/>
          <w:b w:val="0"/>
          <w:color w:val="000000" w:themeColor="text1"/>
          <w:sz w:val="20"/>
        </w:rPr>
        <w:t>% of the gross amount of the consideration received for non-filers</w:t>
      </w:r>
      <w:r w:rsidR="00DF2342" w:rsidRPr="00DD1A3B">
        <w:rPr>
          <w:rFonts w:ascii="Arial" w:hAnsi="Arial" w:cs="Arial"/>
          <w:b w:val="0"/>
          <w:color w:val="000000" w:themeColor="text1"/>
          <w:sz w:val="20"/>
        </w:rPr>
        <w:t>.</w:t>
      </w:r>
      <w:r w:rsidRPr="00DD1A3B">
        <w:rPr>
          <w:rFonts w:ascii="Arial" w:hAnsi="Arial" w:cs="Arial"/>
          <w:b w:val="0"/>
          <w:color w:val="000000" w:themeColor="text1"/>
          <w:sz w:val="20"/>
        </w:rPr>
        <w:t>]</w:t>
      </w:r>
      <w:r w:rsidR="00DD1A3B">
        <w:rPr>
          <w:rFonts w:ascii="Arial" w:hAnsi="Arial" w:cs="Arial"/>
          <w:b w:val="0"/>
          <w:color w:val="000000" w:themeColor="text1"/>
          <w:sz w:val="20"/>
        </w:rPr>
        <w:t xml:space="preserve"> </w:t>
      </w:r>
      <w:r w:rsidR="006A309D" w:rsidRPr="00DD1A3B">
        <w:rPr>
          <w:rFonts w:ascii="Arial" w:hAnsi="Arial" w:cs="Arial"/>
          <w:b w:val="0"/>
          <w:color w:val="000000" w:themeColor="text1"/>
          <w:sz w:val="20"/>
        </w:rPr>
        <w:t>]</w:t>
      </w:r>
    </w:p>
    <w:p w:rsidR="00AA4BF8" w:rsidRPr="00412620" w:rsidRDefault="00AA4BF8" w:rsidP="00AA4BF8">
      <w:pPr>
        <w:pStyle w:val="C"/>
        <w:widowControl/>
        <w:spacing w:before="0" w:after="0"/>
        <w:rPr>
          <w:b w:val="0"/>
          <w:bCs/>
          <w:sz w:val="20"/>
        </w:rPr>
      </w:pPr>
    </w:p>
    <w:p w:rsidR="00AA4BF8" w:rsidRPr="00412620" w:rsidRDefault="006A309D" w:rsidP="00AA4BF8">
      <w:pPr>
        <w:pStyle w:val="C"/>
        <w:widowControl/>
        <w:spacing w:before="0" w:after="0"/>
        <w:rPr>
          <w:rFonts w:ascii="Arial" w:hAnsi="Arial" w:cs="Arial"/>
          <w:sz w:val="32"/>
          <w:szCs w:val="32"/>
        </w:rPr>
      </w:pPr>
      <w:r w:rsidRPr="002876BE">
        <w:rPr>
          <w:rStyle w:val="FootnoteReference"/>
          <w:rFonts w:ascii="Arial" w:hAnsi="Arial" w:cs="Arial"/>
          <w:b w:val="0"/>
          <w:sz w:val="32"/>
          <w:szCs w:val="32"/>
        </w:rPr>
        <w:footnoteReference w:id="1712"/>
      </w:r>
      <w:r>
        <w:rPr>
          <w:rFonts w:ascii="Arial" w:hAnsi="Arial" w:cs="Arial"/>
          <w:sz w:val="32"/>
          <w:szCs w:val="32"/>
        </w:rPr>
        <w:t>[</w:t>
      </w:r>
      <w:r w:rsidR="00AA4BF8" w:rsidRPr="00412620">
        <w:rPr>
          <w:rFonts w:ascii="Arial" w:hAnsi="Arial" w:cs="Arial"/>
          <w:sz w:val="32"/>
          <w:szCs w:val="32"/>
        </w:rPr>
        <w:t>Division XI</w:t>
      </w:r>
    </w:p>
    <w:p w:rsidR="00AA4BF8" w:rsidRPr="00412620" w:rsidRDefault="00AA4BF8" w:rsidP="00AA4BF8">
      <w:pPr>
        <w:pStyle w:val="C"/>
        <w:widowControl/>
        <w:spacing w:before="0" w:after="0"/>
        <w:rPr>
          <w:rFonts w:ascii="Arial" w:hAnsi="Arial" w:cs="Arial"/>
          <w:b w:val="0"/>
          <w:bCs/>
          <w:sz w:val="20"/>
        </w:rPr>
      </w:pPr>
      <w:r w:rsidRPr="00412620">
        <w:rPr>
          <w:rFonts w:ascii="Arial" w:hAnsi="Arial" w:cs="Arial"/>
          <w:sz w:val="20"/>
        </w:rPr>
        <w:t>Advance tax on functions and gatherings</w:t>
      </w:r>
    </w:p>
    <w:p w:rsidR="00AA4BF8" w:rsidRPr="00412620" w:rsidRDefault="00AA4BF8" w:rsidP="00AA4BF8">
      <w:pPr>
        <w:pStyle w:val="C"/>
        <w:widowControl/>
        <w:spacing w:before="0" w:after="0"/>
        <w:rPr>
          <w:rFonts w:ascii="Arial" w:hAnsi="Arial" w:cs="Arial"/>
          <w:b w:val="0"/>
          <w:bCs/>
          <w:sz w:val="20"/>
        </w:rPr>
      </w:pPr>
    </w:p>
    <w:p w:rsidR="00AA4BF8" w:rsidRPr="00412620" w:rsidRDefault="00AA4BF8" w:rsidP="00AA4BF8">
      <w:pPr>
        <w:pStyle w:val="C"/>
        <w:widowControl/>
        <w:spacing w:before="0" w:after="0"/>
        <w:jc w:val="both"/>
        <w:rPr>
          <w:rFonts w:ascii="Arial" w:hAnsi="Arial" w:cs="Arial"/>
          <w:b w:val="0"/>
          <w:bCs/>
          <w:sz w:val="20"/>
        </w:rPr>
      </w:pPr>
      <w:r w:rsidRPr="00412620">
        <w:rPr>
          <w:rFonts w:ascii="Arial" w:hAnsi="Arial" w:cs="Arial"/>
          <w:b w:val="0"/>
          <w:sz w:val="20"/>
        </w:rPr>
        <w:tab/>
      </w:r>
      <w:r w:rsidRPr="00412620">
        <w:rPr>
          <w:rFonts w:ascii="Arial" w:hAnsi="Arial" w:cs="Arial"/>
          <w:b w:val="0"/>
          <w:sz w:val="20"/>
        </w:rPr>
        <w:tab/>
        <w:t>The rate of tax to be collected under each sub-sections (1) and</w:t>
      </w:r>
      <w:r>
        <w:rPr>
          <w:rFonts w:ascii="Arial" w:hAnsi="Arial" w:cs="Arial"/>
          <w:b w:val="0"/>
          <w:sz w:val="20"/>
        </w:rPr>
        <w:t xml:space="preserve"> (2) of section 236D shall be </w:t>
      </w:r>
      <w:r w:rsidR="005A783C" w:rsidRPr="00DD1A3B">
        <w:rPr>
          <w:rStyle w:val="FootnoteReference"/>
          <w:rFonts w:ascii="Arial" w:hAnsi="Arial" w:cs="Arial"/>
          <w:b w:val="0"/>
          <w:color w:val="000000" w:themeColor="text1"/>
          <w:sz w:val="20"/>
        </w:rPr>
        <w:footnoteReference w:id="1713"/>
      </w:r>
      <w:r w:rsidR="005A783C" w:rsidRPr="00DD1A3B">
        <w:rPr>
          <w:rFonts w:ascii="Arial" w:hAnsi="Arial" w:cs="Arial"/>
          <w:b w:val="0"/>
          <w:color w:val="000000" w:themeColor="text1"/>
          <w:sz w:val="20"/>
        </w:rPr>
        <w:t>[</w:t>
      </w:r>
      <w:r w:rsidRPr="00DD1A3B">
        <w:rPr>
          <w:rFonts w:ascii="Arial" w:hAnsi="Arial" w:cs="Arial"/>
          <w:b w:val="0"/>
          <w:color w:val="000000" w:themeColor="text1"/>
          <w:sz w:val="20"/>
        </w:rPr>
        <w:t>5</w:t>
      </w:r>
      <w:r w:rsidR="005A783C" w:rsidRPr="00DD1A3B">
        <w:rPr>
          <w:rFonts w:ascii="Arial" w:hAnsi="Arial" w:cs="Arial"/>
          <w:b w:val="0"/>
          <w:color w:val="000000" w:themeColor="text1"/>
          <w:sz w:val="20"/>
        </w:rPr>
        <w:t>]</w:t>
      </w:r>
      <w:r w:rsidR="00DD1A3B">
        <w:rPr>
          <w:rFonts w:ascii="Arial" w:hAnsi="Arial" w:cs="Arial"/>
          <w:b w:val="0"/>
          <w:color w:val="00B0F0"/>
          <w:sz w:val="20"/>
        </w:rPr>
        <w:t xml:space="preserve"> </w:t>
      </w:r>
      <w:r w:rsidRPr="005A783C">
        <w:rPr>
          <w:rFonts w:ascii="Arial" w:hAnsi="Arial" w:cs="Arial"/>
          <w:b w:val="0"/>
          <w:sz w:val="20"/>
        </w:rPr>
        <w:t>%</w:t>
      </w:r>
      <w:r w:rsidR="006A309D">
        <w:rPr>
          <w:rFonts w:ascii="Arial" w:hAnsi="Arial" w:cs="Arial"/>
          <w:b w:val="0"/>
          <w:sz w:val="20"/>
        </w:rPr>
        <w:t>]</w:t>
      </w:r>
      <w:r w:rsidRPr="0062531F">
        <w:rPr>
          <w:rFonts w:ascii="Arial" w:hAnsi="Arial" w:cs="Arial"/>
          <w:b w:val="0"/>
          <w:color w:val="173BED"/>
          <w:sz w:val="20"/>
        </w:rPr>
        <w:t>.</w:t>
      </w:r>
      <w:r w:rsidRPr="00412620">
        <w:rPr>
          <w:rFonts w:ascii="Arial" w:hAnsi="Arial" w:cs="Arial"/>
          <w:b w:val="0"/>
          <w:sz w:val="20"/>
        </w:rPr>
        <w:tab/>
      </w:r>
    </w:p>
    <w:p w:rsidR="00AA4BF8" w:rsidRPr="00412620" w:rsidRDefault="00AA4BF8" w:rsidP="00AA4BF8">
      <w:pPr>
        <w:pStyle w:val="C"/>
        <w:widowControl/>
        <w:spacing w:before="0" w:after="0"/>
        <w:jc w:val="both"/>
        <w:rPr>
          <w:rFonts w:ascii="Arial" w:hAnsi="Arial" w:cs="Arial"/>
          <w:b w:val="0"/>
          <w:bCs/>
          <w:sz w:val="20"/>
        </w:rPr>
      </w:pPr>
    </w:p>
    <w:p w:rsidR="00AA4BF8" w:rsidRPr="00412620" w:rsidRDefault="00AA4BF8" w:rsidP="00AA4BF8">
      <w:pPr>
        <w:pStyle w:val="C"/>
        <w:widowControl/>
        <w:spacing w:before="0" w:after="0"/>
        <w:jc w:val="both"/>
        <w:rPr>
          <w:rFonts w:ascii="Arial" w:hAnsi="Arial" w:cs="Arial"/>
          <w:b w:val="0"/>
          <w:bCs/>
          <w:sz w:val="20"/>
        </w:rPr>
      </w:pPr>
    </w:p>
    <w:p w:rsidR="00AF5C22" w:rsidRPr="0009763F" w:rsidRDefault="00AF5C22" w:rsidP="00AA4BF8">
      <w:pPr>
        <w:pStyle w:val="C"/>
        <w:widowControl/>
        <w:spacing w:before="0" w:after="0"/>
        <w:rPr>
          <w:rFonts w:ascii="Arial" w:hAnsi="Arial" w:cs="Arial"/>
          <w:color w:val="0070C0"/>
        </w:rPr>
      </w:pPr>
      <w:r w:rsidRPr="0009763F">
        <w:rPr>
          <w:rStyle w:val="FootnoteReference"/>
          <w:rFonts w:ascii="Arial" w:hAnsi="Arial" w:cs="Arial"/>
          <w:color w:val="0070C0"/>
        </w:rPr>
        <w:footnoteReference w:id="1714"/>
      </w:r>
      <w:r w:rsidRPr="0009763F">
        <w:rPr>
          <w:rFonts w:ascii="Arial" w:hAnsi="Arial" w:cs="Arial"/>
          <w:color w:val="0070C0"/>
        </w:rPr>
        <w:t xml:space="preserve">[    ] </w:t>
      </w:r>
    </w:p>
    <w:p w:rsidR="00AA4BF8" w:rsidRPr="00412620" w:rsidRDefault="00AA4BF8" w:rsidP="00AA4BF8">
      <w:pPr>
        <w:pStyle w:val="C"/>
        <w:widowControl/>
        <w:spacing w:before="0" w:after="0"/>
        <w:rPr>
          <w:rFonts w:ascii="Arial" w:hAnsi="Arial" w:cs="Arial"/>
          <w:b w:val="0"/>
          <w:bCs/>
          <w:sz w:val="20"/>
        </w:rPr>
      </w:pPr>
    </w:p>
    <w:p w:rsidR="00AA4BF8" w:rsidRPr="00412620" w:rsidRDefault="00AA4BF8" w:rsidP="00AA4BF8">
      <w:pPr>
        <w:pStyle w:val="C"/>
        <w:widowControl/>
        <w:spacing w:before="0" w:after="0"/>
        <w:rPr>
          <w:rFonts w:ascii="Arial" w:hAnsi="Arial" w:cs="Arial"/>
          <w:b w:val="0"/>
          <w:bCs/>
          <w:sz w:val="20"/>
        </w:rPr>
      </w:pPr>
    </w:p>
    <w:p w:rsidR="00AA4BF8" w:rsidRPr="00412620" w:rsidRDefault="00AA4BF8" w:rsidP="00AA4BF8">
      <w:pPr>
        <w:pStyle w:val="C"/>
        <w:widowControl/>
        <w:spacing w:before="0" w:after="0"/>
        <w:rPr>
          <w:rFonts w:ascii="Arial" w:hAnsi="Arial" w:cs="Arial"/>
          <w:b w:val="0"/>
          <w:bCs/>
          <w:sz w:val="28"/>
          <w:szCs w:val="28"/>
        </w:rPr>
      </w:pPr>
      <w:r w:rsidRPr="00412620">
        <w:rPr>
          <w:rStyle w:val="FootnoteReference"/>
          <w:rFonts w:ascii="Arial" w:hAnsi="Arial" w:cs="Arial"/>
          <w:sz w:val="20"/>
        </w:rPr>
        <w:footnoteReference w:id="1715"/>
      </w:r>
      <w:r w:rsidRPr="00412620">
        <w:rPr>
          <w:rFonts w:ascii="Arial" w:hAnsi="Arial" w:cs="Arial"/>
          <w:sz w:val="28"/>
          <w:szCs w:val="28"/>
        </w:rPr>
        <w:t>[Division XIII</w:t>
      </w:r>
    </w:p>
    <w:p w:rsidR="00AA4BF8" w:rsidRPr="00412620" w:rsidRDefault="00AA4BF8" w:rsidP="00AA4BF8">
      <w:pPr>
        <w:pStyle w:val="C"/>
        <w:widowControl/>
        <w:spacing w:before="0" w:after="0"/>
        <w:rPr>
          <w:rFonts w:ascii="Arial" w:hAnsi="Arial" w:cs="Arial"/>
          <w:b w:val="0"/>
          <w:bCs/>
          <w:sz w:val="20"/>
        </w:rPr>
      </w:pPr>
    </w:p>
    <w:p w:rsidR="00AA4BF8" w:rsidRPr="00412620" w:rsidRDefault="00AA4BF8" w:rsidP="00AA4BF8">
      <w:pPr>
        <w:pStyle w:val="C"/>
        <w:widowControl/>
        <w:spacing w:before="0" w:after="0"/>
        <w:jc w:val="both"/>
        <w:rPr>
          <w:rFonts w:ascii="Arial" w:hAnsi="Arial" w:cs="Arial"/>
          <w:b w:val="0"/>
          <w:bCs/>
          <w:sz w:val="20"/>
        </w:rPr>
      </w:pPr>
      <w:r w:rsidRPr="00412620">
        <w:rPr>
          <w:rFonts w:ascii="Arial" w:hAnsi="Arial" w:cs="Arial"/>
          <w:b w:val="0"/>
          <w:sz w:val="20"/>
        </w:rPr>
        <w:t xml:space="preserve">(1) </w:t>
      </w:r>
      <w:r w:rsidRPr="00412620">
        <w:rPr>
          <w:rFonts w:ascii="Arial" w:hAnsi="Arial" w:cs="Arial"/>
          <w:b w:val="0"/>
          <w:sz w:val="20"/>
        </w:rPr>
        <w:tab/>
        <w:t>The rate of tax to be collected under section 236F in the ca</w:t>
      </w:r>
      <w:r w:rsidR="002876BE">
        <w:rPr>
          <w:rFonts w:ascii="Arial" w:hAnsi="Arial" w:cs="Arial"/>
          <w:b w:val="0"/>
          <w:sz w:val="20"/>
        </w:rPr>
        <w:t>se of Cable Television Operator</w:t>
      </w:r>
      <w:r w:rsidRPr="00412620">
        <w:rPr>
          <w:rFonts w:ascii="Arial" w:hAnsi="Arial" w:cs="Arial"/>
          <w:b w:val="0"/>
          <w:sz w:val="20"/>
        </w:rPr>
        <w:t xml:space="preserve"> shall be as follows:—</w:t>
      </w:r>
    </w:p>
    <w:p w:rsidR="00AA4BF8" w:rsidRPr="00412620" w:rsidRDefault="00AA4BF8" w:rsidP="00AA4BF8">
      <w:pPr>
        <w:pStyle w:val="C"/>
        <w:widowControl/>
        <w:spacing w:before="0" w:after="0"/>
        <w:jc w:val="both"/>
        <w:rPr>
          <w:rFonts w:ascii="Arial" w:hAnsi="Arial" w:cs="Arial"/>
          <w:b w:val="0"/>
          <w:bCs/>
          <w:sz w:val="20"/>
        </w:rPr>
      </w:pPr>
    </w:p>
    <w:tbl>
      <w:tblPr>
        <w:tblW w:w="65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0"/>
        <w:gridCol w:w="2472"/>
        <w:gridCol w:w="2208"/>
      </w:tblGrid>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License Category as provided in PEMRA Rules</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Tax on License Fee</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Tax on Renewal</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H</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7,500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10,000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H-I</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10,000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15,000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H-II</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25,000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30,000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5,000</w:t>
            </w:r>
          </w:p>
        </w:tc>
        <w:tc>
          <w:tcPr>
            <w:tcW w:w="2208" w:type="dxa"/>
          </w:tcPr>
          <w:p w:rsidR="00AA4BF8" w:rsidRPr="00412620" w:rsidRDefault="00AA4BF8" w:rsidP="00EE5AC5">
            <w:pPr>
              <w:pStyle w:val="C"/>
              <w:widowControl/>
              <w:spacing w:before="0" w:after="0"/>
              <w:rPr>
                <w:rFonts w:ascii="Arial" w:hAnsi="Arial" w:cs="Arial"/>
                <w:b w:val="0"/>
                <w:bCs/>
                <w:sz w:val="20"/>
              </w:rPr>
            </w:pPr>
            <w:r w:rsidRPr="00412620">
              <w:rPr>
                <w:rFonts w:ascii="Arial" w:hAnsi="Arial" w:cs="Arial"/>
                <w:b w:val="0"/>
                <w:sz w:val="20"/>
              </w:rPr>
              <w:t xml:space="preserve">Rs. </w:t>
            </w:r>
            <w:r w:rsidR="00EE5AC5" w:rsidRPr="0009763F">
              <w:rPr>
                <w:rStyle w:val="FootnoteReference"/>
                <w:rFonts w:ascii="Arial" w:hAnsi="Arial" w:cs="Arial"/>
                <w:b w:val="0"/>
                <w:color w:val="0070C0"/>
                <w:sz w:val="20"/>
              </w:rPr>
              <w:footnoteReference w:id="1716"/>
            </w:r>
            <w:r w:rsidR="00EE5AC5" w:rsidRPr="0009763F">
              <w:rPr>
                <w:rFonts w:ascii="Arial" w:hAnsi="Arial" w:cs="Arial"/>
                <w:b w:val="0"/>
                <w:color w:val="0070C0"/>
                <w:sz w:val="20"/>
              </w:rPr>
              <w:t>[12</w:t>
            </w:r>
            <w:r w:rsidRPr="0009763F">
              <w:rPr>
                <w:rFonts w:ascii="Arial" w:hAnsi="Arial" w:cs="Arial"/>
                <w:b w:val="0"/>
                <w:color w:val="0070C0"/>
                <w:sz w:val="20"/>
              </w:rPr>
              <w:t>,000</w:t>
            </w:r>
            <w:r w:rsidR="00EE5AC5" w:rsidRPr="0009763F">
              <w:rPr>
                <w:rFonts w:ascii="Arial" w:hAnsi="Arial" w:cs="Arial"/>
                <w:b w:val="0"/>
                <w:color w:val="0070C0"/>
                <w:sz w:val="20"/>
              </w:rPr>
              <w:t>]</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5,000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40,000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B-1</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30,000</w:t>
            </w:r>
          </w:p>
        </w:tc>
        <w:tc>
          <w:tcPr>
            <w:tcW w:w="2208" w:type="dxa"/>
          </w:tcPr>
          <w:p w:rsidR="00AA4BF8" w:rsidRPr="00412620" w:rsidRDefault="00AA4BF8" w:rsidP="00EE5AC5">
            <w:pPr>
              <w:pStyle w:val="C"/>
              <w:widowControl/>
              <w:spacing w:before="0" w:after="0"/>
              <w:rPr>
                <w:rFonts w:ascii="Arial" w:hAnsi="Arial" w:cs="Arial"/>
                <w:b w:val="0"/>
                <w:bCs/>
                <w:sz w:val="20"/>
              </w:rPr>
            </w:pPr>
            <w:r w:rsidRPr="00412620">
              <w:rPr>
                <w:rFonts w:ascii="Arial" w:hAnsi="Arial" w:cs="Arial"/>
                <w:b w:val="0"/>
                <w:sz w:val="20"/>
              </w:rPr>
              <w:t xml:space="preserve">Rs. </w:t>
            </w:r>
            <w:r w:rsidR="00EE5AC5" w:rsidRPr="0009763F">
              <w:rPr>
                <w:rStyle w:val="FootnoteReference"/>
                <w:rFonts w:ascii="Arial" w:hAnsi="Arial" w:cs="Arial"/>
                <w:b w:val="0"/>
                <w:color w:val="0070C0"/>
                <w:sz w:val="20"/>
              </w:rPr>
              <w:footnoteReference w:id="1717"/>
            </w:r>
            <w:r w:rsidR="00EE5AC5" w:rsidRPr="0009763F">
              <w:rPr>
                <w:rFonts w:ascii="Arial" w:hAnsi="Arial" w:cs="Arial"/>
                <w:b w:val="0"/>
                <w:color w:val="0070C0"/>
                <w:sz w:val="20"/>
              </w:rPr>
              <w:t>[35,000]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lastRenderedPageBreak/>
              <w:t>B-2</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40,000</w:t>
            </w:r>
          </w:p>
        </w:tc>
        <w:tc>
          <w:tcPr>
            <w:tcW w:w="2208" w:type="dxa"/>
          </w:tcPr>
          <w:p w:rsidR="00AA4BF8" w:rsidRPr="00412620" w:rsidRDefault="00AA4BF8" w:rsidP="00EE5AC5">
            <w:pPr>
              <w:pStyle w:val="C"/>
              <w:widowControl/>
              <w:spacing w:before="0" w:after="0"/>
              <w:rPr>
                <w:rFonts w:ascii="Arial" w:hAnsi="Arial" w:cs="Arial"/>
                <w:b w:val="0"/>
                <w:bCs/>
                <w:sz w:val="20"/>
              </w:rPr>
            </w:pPr>
            <w:r w:rsidRPr="00412620">
              <w:rPr>
                <w:rFonts w:ascii="Arial" w:hAnsi="Arial" w:cs="Arial"/>
                <w:b w:val="0"/>
                <w:sz w:val="20"/>
              </w:rPr>
              <w:t xml:space="preserve">Rs. </w:t>
            </w:r>
            <w:r w:rsidR="00EE5AC5" w:rsidRPr="00D47C20">
              <w:rPr>
                <w:rStyle w:val="FootnoteReference"/>
                <w:rFonts w:ascii="Arial" w:hAnsi="Arial" w:cs="Arial"/>
                <w:b w:val="0"/>
                <w:color w:val="0070C0"/>
                <w:sz w:val="20"/>
              </w:rPr>
              <w:footnoteReference w:id="1718"/>
            </w:r>
            <w:r w:rsidR="00EE5AC5" w:rsidRPr="00D47C20">
              <w:rPr>
                <w:rFonts w:ascii="Arial" w:hAnsi="Arial" w:cs="Arial"/>
                <w:b w:val="0"/>
                <w:color w:val="0070C0"/>
                <w:sz w:val="20"/>
              </w:rPr>
              <w:t>[45,000]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B-3</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50,000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75,000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B-4</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75,000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100,000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B-5</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87,500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150,000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B-6</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175,000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200,000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B-7</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262,500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300,000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B-8</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437,500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500,000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B-9</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700,000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800,000</w:t>
            </w:r>
          </w:p>
        </w:tc>
      </w:tr>
      <w:tr w:rsidR="00AA4BF8" w:rsidRPr="00412620" w:rsidTr="00A752DD">
        <w:tc>
          <w:tcPr>
            <w:tcW w:w="189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B-10</w:t>
            </w:r>
          </w:p>
        </w:tc>
        <w:tc>
          <w:tcPr>
            <w:tcW w:w="24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875,500</w:t>
            </w:r>
          </w:p>
        </w:tc>
        <w:tc>
          <w:tcPr>
            <w:tcW w:w="2208"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900,000</w:t>
            </w:r>
          </w:p>
        </w:tc>
      </w:tr>
    </w:tbl>
    <w:p w:rsidR="00AA4BF8" w:rsidRPr="00412620" w:rsidRDefault="00AA4BF8" w:rsidP="00AA4BF8">
      <w:pPr>
        <w:pStyle w:val="C"/>
        <w:widowControl/>
        <w:spacing w:before="0" w:after="0"/>
        <w:jc w:val="both"/>
        <w:rPr>
          <w:rFonts w:ascii="Arial" w:hAnsi="Arial" w:cs="Arial"/>
          <w:b w:val="0"/>
          <w:bCs/>
        </w:rPr>
      </w:pPr>
    </w:p>
    <w:p w:rsidR="00AA4BF8" w:rsidRPr="00412620" w:rsidRDefault="00AA4BF8" w:rsidP="00AA4BF8">
      <w:pPr>
        <w:pStyle w:val="C"/>
        <w:widowControl/>
        <w:spacing w:before="0" w:after="0"/>
        <w:jc w:val="both"/>
        <w:rPr>
          <w:rFonts w:ascii="Arial" w:hAnsi="Arial" w:cs="Arial"/>
          <w:b w:val="0"/>
          <w:bCs/>
        </w:rPr>
      </w:pPr>
    </w:p>
    <w:p w:rsidR="00AA4BF8" w:rsidRPr="00412620" w:rsidRDefault="00AA4BF8" w:rsidP="00AA4BF8">
      <w:pPr>
        <w:pStyle w:val="C"/>
        <w:widowControl/>
        <w:spacing w:before="0" w:after="0"/>
        <w:jc w:val="both"/>
        <w:rPr>
          <w:rFonts w:ascii="Arial" w:hAnsi="Arial" w:cs="Arial"/>
          <w:b w:val="0"/>
          <w:bCs/>
        </w:rPr>
      </w:pPr>
    </w:p>
    <w:p w:rsidR="00AA4BF8" w:rsidRPr="00412620" w:rsidRDefault="00AA4BF8" w:rsidP="00AA4BF8">
      <w:pPr>
        <w:pStyle w:val="C"/>
        <w:widowControl/>
        <w:spacing w:before="0" w:after="0"/>
        <w:jc w:val="both"/>
        <w:rPr>
          <w:rFonts w:ascii="Arial" w:hAnsi="Arial" w:cs="Arial"/>
          <w:b w:val="0"/>
          <w:bCs/>
          <w:sz w:val="20"/>
        </w:rPr>
      </w:pPr>
      <w:r w:rsidRPr="00412620">
        <w:rPr>
          <w:rFonts w:ascii="Arial" w:hAnsi="Arial" w:cs="Arial"/>
          <w:b w:val="0"/>
          <w:sz w:val="20"/>
        </w:rPr>
        <w:t xml:space="preserve">(2) </w:t>
      </w:r>
      <w:r w:rsidRPr="00412620">
        <w:rPr>
          <w:rFonts w:ascii="Arial" w:hAnsi="Arial" w:cs="Arial"/>
          <w:b w:val="0"/>
          <w:sz w:val="20"/>
        </w:rPr>
        <w:tab/>
        <w:t xml:space="preserve">The rate of tax to be collected by Pakistan Electronic Media Regulatory Authority under section 236F in the case of IPTV, FM Radio, </w:t>
      </w:r>
      <w:r w:rsidRPr="00412620">
        <w:rPr>
          <w:rFonts w:ascii="Arial" w:hAnsi="Arial" w:cs="Arial"/>
          <w:b w:val="0"/>
          <w:sz w:val="20"/>
        </w:rPr>
        <w:tab/>
        <w:t xml:space="preserve">MMDS, Mobile TV, Mobile Audio, Satellite TV Channel and Landing Rights, shall be 20 </w:t>
      </w:r>
      <w:r>
        <w:rPr>
          <w:rFonts w:ascii="Arial" w:hAnsi="Arial" w:cs="Arial"/>
          <w:b w:val="0"/>
          <w:sz w:val="20"/>
        </w:rPr>
        <w:t>per cent</w:t>
      </w:r>
      <w:r w:rsidRPr="00412620">
        <w:rPr>
          <w:rFonts w:ascii="Arial" w:hAnsi="Arial" w:cs="Arial"/>
          <w:b w:val="0"/>
          <w:sz w:val="20"/>
        </w:rPr>
        <w:t xml:space="preserve"> of the permission fee or renewal fee, as the case may be.]</w:t>
      </w:r>
    </w:p>
    <w:p w:rsidR="00AA4BF8" w:rsidRPr="00412620" w:rsidRDefault="00AA4BF8" w:rsidP="00AA4BF8">
      <w:pPr>
        <w:pStyle w:val="C"/>
        <w:widowControl/>
        <w:spacing w:before="0" w:after="0"/>
        <w:jc w:val="both"/>
        <w:rPr>
          <w:rFonts w:ascii="Arial" w:hAnsi="Arial" w:cs="Arial"/>
          <w:b w:val="0"/>
          <w:bCs/>
          <w:sz w:val="20"/>
        </w:rPr>
      </w:pPr>
    </w:p>
    <w:p w:rsidR="00556302" w:rsidRPr="00D47C20" w:rsidRDefault="00556302" w:rsidP="00556302">
      <w:pPr>
        <w:pStyle w:val="C"/>
        <w:widowControl/>
        <w:spacing w:before="0" w:after="0"/>
        <w:jc w:val="both"/>
        <w:rPr>
          <w:rFonts w:ascii="Arial" w:hAnsi="Arial" w:cs="Arial"/>
          <w:b w:val="0"/>
          <w:color w:val="0070C0"/>
          <w:sz w:val="20"/>
        </w:rPr>
      </w:pPr>
      <w:r w:rsidRPr="00D47C20">
        <w:rPr>
          <w:rStyle w:val="FootnoteReference"/>
          <w:rFonts w:ascii="Arial" w:hAnsi="Arial" w:cs="Arial"/>
          <w:b w:val="0"/>
          <w:color w:val="0070C0"/>
          <w:sz w:val="20"/>
        </w:rPr>
        <w:footnoteReference w:id="1719"/>
      </w:r>
      <w:r w:rsidRPr="00D47C20">
        <w:rPr>
          <w:rFonts w:ascii="Arial" w:hAnsi="Arial" w:cs="Arial"/>
          <w:b w:val="0"/>
          <w:color w:val="0070C0"/>
          <w:sz w:val="20"/>
        </w:rPr>
        <w:t>[“(3)</w:t>
      </w:r>
      <w:r w:rsidRPr="00D47C20">
        <w:rPr>
          <w:rFonts w:ascii="Arial" w:hAnsi="Arial" w:cs="Arial"/>
          <w:b w:val="0"/>
          <w:color w:val="0070C0"/>
          <w:sz w:val="20"/>
        </w:rPr>
        <w:tab/>
        <w:t>In addition to tax collected under paragraph (2) Pakistan Electronic Media Regulatory Authority shall collect tax at the rate of fifty per cent of the permission fee or renewal fee, as the case may be, from every TV Channel on which foreign TV drama serial or a play in any language, other than English, is screened or viewed.”]</w:t>
      </w:r>
    </w:p>
    <w:p w:rsidR="00556302" w:rsidRDefault="00556302" w:rsidP="00AA4BF8">
      <w:pPr>
        <w:pStyle w:val="C"/>
        <w:widowControl/>
        <w:spacing w:before="0" w:after="0"/>
        <w:rPr>
          <w:rFonts w:ascii="Arial" w:hAnsi="Arial" w:cs="Arial"/>
          <w:color w:val="000000" w:themeColor="text1"/>
          <w:sz w:val="28"/>
          <w:szCs w:val="28"/>
        </w:rPr>
      </w:pPr>
    </w:p>
    <w:p w:rsidR="00556302" w:rsidRDefault="00556302" w:rsidP="00AA4BF8">
      <w:pPr>
        <w:pStyle w:val="C"/>
        <w:widowControl/>
        <w:spacing w:before="0" w:after="0"/>
        <w:rPr>
          <w:rFonts w:ascii="Arial" w:hAnsi="Arial" w:cs="Arial"/>
          <w:color w:val="000000" w:themeColor="text1"/>
          <w:sz w:val="28"/>
          <w:szCs w:val="28"/>
        </w:rPr>
      </w:pPr>
    </w:p>
    <w:p w:rsidR="00AA4BF8" w:rsidRPr="00DD1A3B" w:rsidRDefault="00AA4BF8" w:rsidP="00AA4BF8">
      <w:pPr>
        <w:pStyle w:val="C"/>
        <w:widowControl/>
        <w:spacing w:before="0" w:after="0"/>
        <w:rPr>
          <w:rFonts w:ascii="Arial" w:hAnsi="Arial" w:cs="Arial"/>
          <w:i/>
          <w:color w:val="000000" w:themeColor="text1"/>
          <w:sz w:val="28"/>
          <w:szCs w:val="28"/>
        </w:rPr>
      </w:pPr>
      <w:r w:rsidRPr="00DD1A3B">
        <w:rPr>
          <w:rStyle w:val="FootnoteReference"/>
          <w:rFonts w:ascii="Arial" w:hAnsi="Arial"/>
          <w:color w:val="000000" w:themeColor="text1"/>
          <w:sz w:val="20"/>
          <w:szCs w:val="28"/>
        </w:rPr>
        <w:footnoteReference w:id="1720"/>
      </w:r>
      <w:r w:rsidRPr="00DD1A3B">
        <w:rPr>
          <w:rFonts w:ascii="Arial" w:hAnsi="Arial" w:cs="Arial"/>
          <w:color w:val="000000" w:themeColor="text1"/>
          <w:sz w:val="28"/>
          <w:szCs w:val="28"/>
        </w:rPr>
        <w:t>[</w:t>
      </w:r>
      <w:r w:rsidRPr="00DD1A3B">
        <w:rPr>
          <w:rFonts w:ascii="Arial" w:hAnsi="Arial" w:cs="Arial"/>
          <w:i/>
          <w:color w:val="000000" w:themeColor="text1"/>
          <w:sz w:val="28"/>
          <w:szCs w:val="28"/>
        </w:rPr>
        <w:t>Division XIV</w:t>
      </w:r>
    </w:p>
    <w:p w:rsidR="006914C5" w:rsidRPr="00DD1A3B" w:rsidRDefault="006914C5" w:rsidP="00AA4BF8">
      <w:pPr>
        <w:pStyle w:val="C"/>
        <w:widowControl/>
        <w:spacing w:before="0" w:after="0"/>
        <w:rPr>
          <w:rFonts w:ascii="Arial" w:hAnsi="Arial" w:cs="Arial"/>
          <w:i/>
          <w:color w:val="000000" w:themeColor="text1"/>
        </w:rPr>
      </w:pPr>
    </w:p>
    <w:p w:rsidR="00AA4BF8" w:rsidRPr="00DD1A3B" w:rsidRDefault="00AA4BF8" w:rsidP="00AA4BF8">
      <w:pPr>
        <w:pStyle w:val="C"/>
        <w:widowControl/>
        <w:spacing w:before="0" w:after="0"/>
        <w:rPr>
          <w:rFonts w:ascii="Arial" w:hAnsi="Arial" w:cs="Arial"/>
          <w:color w:val="000000" w:themeColor="text1"/>
          <w:sz w:val="20"/>
        </w:rPr>
      </w:pPr>
      <w:r w:rsidRPr="00DD1A3B">
        <w:rPr>
          <w:rFonts w:ascii="Arial" w:hAnsi="Arial" w:cs="Arial"/>
          <w:color w:val="000000" w:themeColor="text1"/>
          <w:sz w:val="20"/>
        </w:rPr>
        <w:t>Advance tax on sale to distributors, dealers or wholesalers</w:t>
      </w:r>
      <w:r w:rsidR="00DF2342" w:rsidRPr="00DD1A3B">
        <w:rPr>
          <w:rFonts w:ascii="Arial" w:hAnsi="Arial" w:cs="Arial"/>
          <w:color w:val="000000" w:themeColor="text1"/>
          <w:sz w:val="20"/>
        </w:rPr>
        <w:t>.</w:t>
      </w:r>
    </w:p>
    <w:p w:rsidR="0061624E" w:rsidRPr="00DD1A3B" w:rsidRDefault="0061624E" w:rsidP="00AA4BF8">
      <w:pPr>
        <w:pStyle w:val="C"/>
        <w:widowControl/>
        <w:spacing w:before="0" w:after="0"/>
        <w:rPr>
          <w:rFonts w:ascii="Arial" w:hAnsi="Arial" w:cs="Arial"/>
          <w:color w:val="000000" w:themeColor="text1"/>
          <w:sz w:val="20"/>
        </w:rPr>
      </w:pPr>
    </w:p>
    <w:p w:rsidR="00AA4BF8" w:rsidRPr="00DD1A3B" w:rsidRDefault="00AA4BF8" w:rsidP="00AA4BF8">
      <w:pPr>
        <w:pStyle w:val="C"/>
        <w:widowControl/>
        <w:spacing w:before="0" w:after="0"/>
        <w:jc w:val="both"/>
        <w:rPr>
          <w:rFonts w:ascii="Arial" w:hAnsi="Arial" w:cs="Arial"/>
          <w:b w:val="0"/>
          <w:bCs/>
          <w:color w:val="000000" w:themeColor="text1"/>
          <w:sz w:val="20"/>
        </w:rPr>
      </w:pPr>
      <w:r w:rsidRPr="00DD1A3B">
        <w:rPr>
          <w:rFonts w:ascii="Arial" w:hAnsi="Arial" w:cs="Arial"/>
          <w:color w:val="000000" w:themeColor="text1"/>
          <w:sz w:val="20"/>
        </w:rPr>
        <w:tab/>
      </w:r>
      <w:r w:rsidRPr="00DD1A3B">
        <w:rPr>
          <w:rFonts w:ascii="Arial" w:hAnsi="Arial" w:cs="Arial"/>
          <w:b w:val="0"/>
          <w:color w:val="000000" w:themeColor="text1"/>
          <w:sz w:val="20"/>
        </w:rPr>
        <w:t>The rate of collection of tax under section 236G shall be as follows:-</w:t>
      </w:r>
    </w:p>
    <w:p w:rsidR="00AA4BF8" w:rsidRPr="00DD1A3B" w:rsidRDefault="00AA4BF8" w:rsidP="00AA4BF8">
      <w:pPr>
        <w:pStyle w:val="C"/>
        <w:widowControl/>
        <w:spacing w:before="0" w:after="0"/>
        <w:jc w:val="both"/>
        <w:rPr>
          <w:rFonts w:ascii="Arial" w:hAnsi="Arial" w:cs="Arial"/>
          <w:b w:val="0"/>
          <w:bCs/>
          <w:color w:val="000000" w:themeColor="text1"/>
          <w:sz w:val="20"/>
        </w:rPr>
      </w:pPr>
    </w:p>
    <w:tbl>
      <w:tblPr>
        <w:tblStyle w:val="TableGrid"/>
        <w:tblW w:w="0" w:type="auto"/>
        <w:tblLook w:val="04A0"/>
      </w:tblPr>
      <w:tblGrid>
        <w:gridCol w:w="2472"/>
        <w:gridCol w:w="2472"/>
        <w:gridCol w:w="2472"/>
      </w:tblGrid>
      <w:tr w:rsidR="00AA4BF8" w:rsidRPr="00DD1A3B" w:rsidTr="00A752DD">
        <w:trPr>
          <w:trHeight w:val="440"/>
        </w:trPr>
        <w:tc>
          <w:tcPr>
            <w:tcW w:w="2472" w:type="dxa"/>
            <w:vAlign w:val="center"/>
          </w:tcPr>
          <w:p w:rsidR="00AA4BF8" w:rsidRPr="00DD1A3B" w:rsidRDefault="00AA4BF8" w:rsidP="00A752DD">
            <w:pPr>
              <w:pStyle w:val="C"/>
              <w:widowControl/>
              <w:spacing w:before="0" w:after="0"/>
              <w:jc w:val="left"/>
              <w:rPr>
                <w:rFonts w:ascii="Arial" w:hAnsi="Arial" w:cs="Arial"/>
                <w:b w:val="0"/>
                <w:bCs/>
                <w:color w:val="000000" w:themeColor="text1"/>
                <w:sz w:val="20"/>
              </w:rPr>
            </w:pPr>
            <w:r w:rsidRPr="00DD1A3B">
              <w:rPr>
                <w:rFonts w:ascii="Arial" w:hAnsi="Arial" w:cs="Arial"/>
                <w:b w:val="0"/>
                <w:color w:val="000000" w:themeColor="text1"/>
                <w:sz w:val="20"/>
              </w:rPr>
              <w:t>Category of Sale</w:t>
            </w:r>
          </w:p>
        </w:tc>
        <w:tc>
          <w:tcPr>
            <w:tcW w:w="4944" w:type="dxa"/>
            <w:gridSpan w:val="2"/>
            <w:vAlign w:val="center"/>
          </w:tcPr>
          <w:p w:rsidR="00AA4BF8" w:rsidRPr="00DD1A3B" w:rsidRDefault="00AA4BF8" w:rsidP="00A752DD">
            <w:pPr>
              <w:pStyle w:val="C"/>
              <w:widowControl/>
              <w:spacing w:before="0" w:after="0"/>
              <w:rPr>
                <w:rFonts w:ascii="Arial" w:hAnsi="Arial" w:cs="Arial"/>
                <w:b w:val="0"/>
                <w:bCs/>
                <w:color w:val="000000" w:themeColor="text1"/>
                <w:sz w:val="20"/>
              </w:rPr>
            </w:pPr>
            <w:r w:rsidRPr="00DD1A3B">
              <w:rPr>
                <w:rFonts w:ascii="Arial" w:hAnsi="Arial" w:cs="Arial"/>
                <w:b w:val="0"/>
                <w:color w:val="000000" w:themeColor="text1"/>
                <w:sz w:val="20"/>
              </w:rPr>
              <w:t>Rate of Tax</w:t>
            </w:r>
          </w:p>
        </w:tc>
      </w:tr>
      <w:tr w:rsidR="00AA4BF8" w:rsidRPr="00DD1A3B" w:rsidTr="00A752DD">
        <w:trPr>
          <w:trHeight w:val="350"/>
        </w:trPr>
        <w:tc>
          <w:tcPr>
            <w:tcW w:w="2472" w:type="dxa"/>
            <w:vAlign w:val="center"/>
          </w:tcPr>
          <w:p w:rsidR="00AA4BF8" w:rsidRPr="00DD1A3B" w:rsidRDefault="00AA4BF8" w:rsidP="00A752DD">
            <w:pPr>
              <w:pStyle w:val="C"/>
              <w:widowControl/>
              <w:spacing w:before="0" w:after="0"/>
              <w:jc w:val="left"/>
              <w:rPr>
                <w:rFonts w:ascii="Arial" w:hAnsi="Arial" w:cs="Arial"/>
                <w:b w:val="0"/>
                <w:bCs/>
                <w:color w:val="000000" w:themeColor="text1"/>
                <w:sz w:val="20"/>
              </w:rPr>
            </w:pPr>
          </w:p>
        </w:tc>
        <w:tc>
          <w:tcPr>
            <w:tcW w:w="2472" w:type="dxa"/>
            <w:vAlign w:val="center"/>
          </w:tcPr>
          <w:p w:rsidR="00AA4BF8" w:rsidRPr="00DD1A3B" w:rsidRDefault="00A52491" w:rsidP="00A752DD">
            <w:pPr>
              <w:pStyle w:val="C"/>
              <w:widowControl/>
              <w:spacing w:before="0" w:after="0"/>
              <w:rPr>
                <w:rFonts w:ascii="Arial" w:hAnsi="Arial" w:cs="Arial"/>
                <w:b w:val="0"/>
                <w:bCs/>
                <w:color w:val="000000" w:themeColor="text1"/>
                <w:sz w:val="20"/>
              </w:rPr>
            </w:pPr>
            <w:r w:rsidRPr="00DD1A3B">
              <w:rPr>
                <w:rFonts w:ascii="Arial" w:hAnsi="Arial" w:cs="Arial"/>
                <w:b w:val="0"/>
                <w:color w:val="000000" w:themeColor="text1"/>
                <w:sz w:val="20"/>
              </w:rPr>
              <w:t>Fil</w:t>
            </w:r>
            <w:r w:rsidR="00AA4BF8" w:rsidRPr="00DD1A3B">
              <w:rPr>
                <w:rFonts w:ascii="Arial" w:hAnsi="Arial" w:cs="Arial"/>
                <w:b w:val="0"/>
                <w:color w:val="000000" w:themeColor="text1"/>
                <w:sz w:val="20"/>
              </w:rPr>
              <w:t>er</w:t>
            </w:r>
          </w:p>
        </w:tc>
        <w:tc>
          <w:tcPr>
            <w:tcW w:w="2472" w:type="dxa"/>
            <w:vAlign w:val="center"/>
          </w:tcPr>
          <w:p w:rsidR="00AA4BF8" w:rsidRPr="00DD1A3B" w:rsidRDefault="00A52491" w:rsidP="00A752DD">
            <w:pPr>
              <w:pStyle w:val="C"/>
              <w:widowControl/>
              <w:spacing w:before="0" w:after="0"/>
              <w:rPr>
                <w:rFonts w:ascii="Arial" w:hAnsi="Arial" w:cs="Arial"/>
                <w:b w:val="0"/>
                <w:bCs/>
                <w:color w:val="000000" w:themeColor="text1"/>
                <w:sz w:val="20"/>
              </w:rPr>
            </w:pPr>
            <w:r w:rsidRPr="00DD1A3B">
              <w:rPr>
                <w:rFonts w:ascii="Arial" w:hAnsi="Arial" w:cs="Arial"/>
                <w:b w:val="0"/>
                <w:color w:val="000000" w:themeColor="text1"/>
                <w:sz w:val="20"/>
              </w:rPr>
              <w:t>Non-Fil</w:t>
            </w:r>
            <w:r w:rsidR="00AA4BF8" w:rsidRPr="00DD1A3B">
              <w:rPr>
                <w:rFonts w:ascii="Arial" w:hAnsi="Arial" w:cs="Arial"/>
                <w:b w:val="0"/>
                <w:color w:val="000000" w:themeColor="text1"/>
                <w:sz w:val="20"/>
              </w:rPr>
              <w:t>er</w:t>
            </w:r>
          </w:p>
        </w:tc>
      </w:tr>
      <w:tr w:rsidR="00AA4BF8" w:rsidRPr="00A52491" w:rsidTr="00A752DD">
        <w:trPr>
          <w:trHeight w:val="404"/>
        </w:trPr>
        <w:tc>
          <w:tcPr>
            <w:tcW w:w="2472" w:type="dxa"/>
            <w:vAlign w:val="center"/>
          </w:tcPr>
          <w:p w:rsidR="00AA4BF8" w:rsidRPr="00DD1A3B" w:rsidRDefault="00AA4BF8" w:rsidP="00A752DD">
            <w:pPr>
              <w:pStyle w:val="C"/>
              <w:widowControl/>
              <w:spacing w:before="0" w:after="0"/>
              <w:jc w:val="left"/>
              <w:rPr>
                <w:rFonts w:ascii="Arial" w:hAnsi="Arial" w:cs="Arial"/>
                <w:b w:val="0"/>
                <w:bCs/>
                <w:color w:val="000000" w:themeColor="text1"/>
                <w:sz w:val="20"/>
              </w:rPr>
            </w:pPr>
            <w:r w:rsidRPr="00DD1A3B">
              <w:rPr>
                <w:rFonts w:ascii="Arial" w:hAnsi="Arial" w:cs="Arial"/>
                <w:b w:val="0"/>
                <w:color w:val="000000" w:themeColor="text1"/>
                <w:sz w:val="20"/>
              </w:rPr>
              <w:lastRenderedPageBreak/>
              <w:t>Fertilizers</w:t>
            </w:r>
          </w:p>
        </w:tc>
        <w:tc>
          <w:tcPr>
            <w:tcW w:w="2472" w:type="dxa"/>
            <w:vAlign w:val="center"/>
          </w:tcPr>
          <w:p w:rsidR="00AA4BF8" w:rsidRPr="00D550A0" w:rsidRDefault="005C02E4" w:rsidP="005C02E4">
            <w:pPr>
              <w:pStyle w:val="C"/>
              <w:widowControl/>
              <w:spacing w:before="0" w:after="0"/>
              <w:rPr>
                <w:rFonts w:ascii="Arial" w:hAnsi="Arial" w:cs="Arial"/>
                <w:b w:val="0"/>
                <w:bCs/>
                <w:color w:val="000000" w:themeColor="text1"/>
                <w:sz w:val="20"/>
              </w:rPr>
            </w:pPr>
            <w:r w:rsidRPr="00D550A0">
              <w:rPr>
                <w:rStyle w:val="FootnoteReference"/>
                <w:rFonts w:ascii="Arial" w:hAnsi="Arial" w:cs="Arial"/>
                <w:b w:val="0"/>
                <w:color w:val="000000" w:themeColor="text1"/>
                <w:sz w:val="20"/>
              </w:rPr>
              <w:footnoteReference w:id="1721"/>
            </w:r>
            <w:r w:rsidRPr="00D550A0">
              <w:rPr>
                <w:rFonts w:ascii="Arial" w:hAnsi="Arial" w:cs="Arial"/>
                <w:b w:val="0"/>
                <w:color w:val="000000" w:themeColor="text1"/>
                <w:sz w:val="20"/>
              </w:rPr>
              <w:t>[“</w:t>
            </w:r>
            <w:r w:rsidR="00AA4BF8" w:rsidRPr="00D550A0">
              <w:rPr>
                <w:rFonts w:ascii="Arial" w:hAnsi="Arial" w:cs="Arial"/>
                <w:b w:val="0"/>
                <w:color w:val="000000" w:themeColor="text1"/>
                <w:sz w:val="20"/>
              </w:rPr>
              <w:t>0.</w:t>
            </w:r>
            <w:r w:rsidRPr="00D550A0">
              <w:rPr>
                <w:rFonts w:ascii="Arial" w:hAnsi="Arial" w:cs="Arial"/>
                <w:b w:val="0"/>
                <w:color w:val="000000" w:themeColor="text1"/>
                <w:sz w:val="20"/>
              </w:rPr>
              <w:t>7”]</w:t>
            </w:r>
            <w:r w:rsidR="00AA4BF8" w:rsidRPr="00D550A0">
              <w:rPr>
                <w:rFonts w:ascii="Arial" w:hAnsi="Arial" w:cs="Arial"/>
                <w:b w:val="0"/>
                <w:color w:val="000000" w:themeColor="text1"/>
                <w:sz w:val="20"/>
              </w:rPr>
              <w:t>%</w:t>
            </w:r>
          </w:p>
        </w:tc>
        <w:tc>
          <w:tcPr>
            <w:tcW w:w="2472" w:type="dxa"/>
            <w:vAlign w:val="center"/>
          </w:tcPr>
          <w:p w:rsidR="00AA4BF8" w:rsidRPr="00D550A0" w:rsidRDefault="005C02E4" w:rsidP="005C02E4">
            <w:pPr>
              <w:pStyle w:val="C"/>
              <w:widowControl/>
              <w:spacing w:before="0" w:after="0"/>
              <w:rPr>
                <w:rFonts w:ascii="Arial" w:hAnsi="Arial" w:cs="Arial"/>
                <w:b w:val="0"/>
                <w:bCs/>
                <w:color w:val="000000" w:themeColor="text1"/>
                <w:sz w:val="20"/>
              </w:rPr>
            </w:pPr>
            <w:r w:rsidRPr="00D550A0">
              <w:rPr>
                <w:rStyle w:val="FootnoteReference"/>
                <w:rFonts w:ascii="Arial" w:hAnsi="Arial" w:cs="Arial"/>
                <w:b w:val="0"/>
                <w:color w:val="000000" w:themeColor="text1"/>
                <w:sz w:val="20"/>
              </w:rPr>
              <w:footnoteReference w:id="1722"/>
            </w:r>
            <w:r w:rsidRPr="00D550A0">
              <w:rPr>
                <w:rFonts w:ascii="Arial" w:hAnsi="Arial" w:cs="Arial"/>
                <w:b w:val="0"/>
                <w:color w:val="000000" w:themeColor="text1"/>
                <w:sz w:val="20"/>
              </w:rPr>
              <w:t>[“1</w:t>
            </w:r>
            <w:r w:rsidR="00AA4BF8" w:rsidRPr="00D550A0">
              <w:rPr>
                <w:rFonts w:ascii="Arial" w:hAnsi="Arial" w:cs="Arial"/>
                <w:b w:val="0"/>
                <w:color w:val="000000" w:themeColor="text1"/>
                <w:sz w:val="20"/>
              </w:rPr>
              <w:t>.4</w:t>
            </w:r>
            <w:r w:rsidRPr="00D550A0">
              <w:rPr>
                <w:rFonts w:ascii="Arial" w:hAnsi="Arial" w:cs="Arial"/>
                <w:b w:val="0"/>
                <w:color w:val="000000" w:themeColor="text1"/>
                <w:sz w:val="20"/>
              </w:rPr>
              <w:t>”]</w:t>
            </w:r>
            <w:r w:rsidR="00AA4BF8" w:rsidRPr="00D550A0">
              <w:rPr>
                <w:rFonts w:ascii="Arial" w:hAnsi="Arial" w:cs="Arial"/>
                <w:b w:val="0"/>
                <w:color w:val="000000" w:themeColor="text1"/>
                <w:sz w:val="20"/>
              </w:rPr>
              <w:t>%</w:t>
            </w:r>
          </w:p>
        </w:tc>
      </w:tr>
      <w:tr w:rsidR="00AA4BF8" w:rsidRPr="00A52491" w:rsidTr="00A752DD">
        <w:trPr>
          <w:trHeight w:val="269"/>
        </w:trPr>
        <w:tc>
          <w:tcPr>
            <w:tcW w:w="2472" w:type="dxa"/>
            <w:vAlign w:val="center"/>
          </w:tcPr>
          <w:p w:rsidR="00AA4BF8" w:rsidRPr="00DD1A3B" w:rsidRDefault="00AA4BF8" w:rsidP="00A752DD">
            <w:pPr>
              <w:pStyle w:val="C"/>
              <w:widowControl/>
              <w:spacing w:before="0" w:after="0"/>
              <w:jc w:val="left"/>
              <w:rPr>
                <w:rFonts w:ascii="Arial" w:hAnsi="Arial" w:cs="Arial"/>
                <w:b w:val="0"/>
                <w:bCs/>
                <w:color w:val="000000" w:themeColor="text1"/>
                <w:sz w:val="20"/>
              </w:rPr>
            </w:pPr>
            <w:r w:rsidRPr="00DD1A3B">
              <w:rPr>
                <w:rFonts w:ascii="Arial" w:hAnsi="Arial" w:cs="Arial"/>
                <w:b w:val="0"/>
                <w:color w:val="000000" w:themeColor="text1"/>
                <w:sz w:val="20"/>
              </w:rPr>
              <w:t>Other than Fertilizers</w:t>
            </w:r>
          </w:p>
        </w:tc>
        <w:tc>
          <w:tcPr>
            <w:tcW w:w="2472" w:type="dxa"/>
            <w:vAlign w:val="center"/>
          </w:tcPr>
          <w:p w:rsidR="00AA4BF8" w:rsidRPr="00DD1A3B" w:rsidRDefault="00AA4BF8" w:rsidP="00A752DD">
            <w:pPr>
              <w:pStyle w:val="C"/>
              <w:widowControl/>
              <w:spacing w:before="0" w:after="0"/>
              <w:rPr>
                <w:rFonts w:ascii="Arial" w:hAnsi="Arial" w:cs="Arial"/>
                <w:b w:val="0"/>
                <w:bCs/>
                <w:color w:val="000000" w:themeColor="text1"/>
                <w:sz w:val="20"/>
              </w:rPr>
            </w:pPr>
            <w:r w:rsidRPr="00DD1A3B">
              <w:rPr>
                <w:rFonts w:ascii="Arial" w:hAnsi="Arial" w:cs="Arial"/>
                <w:b w:val="0"/>
                <w:color w:val="000000" w:themeColor="text1"/>
                <w:sz w:val="20"/>
              </w:rPr>
              <w:t>0.1%</w:t>
            </w:r>
          </w:p>
        </w:tc>
        <w:tc>
          <w:tcPr>
            <w:tcW w:w="2472" w:type="dxa"/>
            <w:vAlign w:val="center"/>
          </w:tcPr>
          <w:p w:rsidR="00AA4BF8" w:rsidRPr="00DD1A3B" w:rsidRDefault="00AA4BF8" w:rsidP="00A752DD">
            <w:pPr>
              <w:pStyle w:val="C"/>
              <w:widowControl/>
              <w:spacing w:before="0" w:after="0"/>
              <w:rPr>
                <w:rFonts w:ascii="Arial" w:hAnsi="Arial" w:cs="Arial"/>
                <w:b w:val="0"/>
                <w:bCs/>
                <w:color w:val="000000" w:themeColor="text1"/>
                <w:sz w:val="20"/>
              </w:rPr>
            </w:pPr>
            <w:r w:rsidRPr="00DD1A3B">
              <w:rPr>
                <w:rFonts w:ascii="Arial" w:hAnsi="Arial" w:cs="Arial"/>
                <w:b w:val="0"/>
                <w:color w:val="000000" w:themeColor="text1"/>
                <w:sz w:val="20"/>
              </w:rPr>
              <w:t>0.2%</w:t>
            </w:r>
            <w:r w:rsidR="00A52491" w:rsidRPr="00DD1A3B">
              <w:rPr>
                <w:rFonts w:ascii="Arial" w:hAnsi="Arial" w:cs="Arial"/>
                <w:b w:val="0"/>
                <w:color w:val="000000" w:themeColor="text1"/>
                <w:sz w:val="20"/>
              </w:rPr>
              <w:t>]</w:t>
            </w:r>
          </w:p>
        </w:tc>
      </w:tr>
    </w:tbl>
    <w:p w:rsidR="00AA4BF8" w:rsidRPr="00412620" w:rsidRDefault="00AA4BF8" w:rsidP="00AA4BF8">
      <w:pPr>
        <w:pStyle w:val="C"/>
        <w:widowControl/>
        <w:spacing w:before="0" w:after="0"/>
        <w:jc w:val="both"/>
        <w:rPr>
          <w:rFonts w:ascii="Arial" w:hAnsi="Arial" w:cs="Arial"/>
          <w:b w:val="0"/>
          <w:bCs/>
          <w:sz w:val="20"/>
        </w:rPr>
      </w:pPr>
    </w:p>
    <w:p w:rsidR="00AA4BF8" w:rsidRPr="00412620" w:rsidRDefault="00AA4BF8" w:rsidP="00AA4BF8">
      <w:pPr>
        <w:pStyle w:val="C"/>
        <w:widowControl/>
        <w:spacing w:before="0" w:after="0"/>
        <w:jc w:val="both"/>
        <w:rPr>
          <w:rFonts w:ascii="Arial" w:hAnsi="Arial" w:cs="Arial"/>
          <w:b w:val="0"/>
          <w:bCs/>
          <w:sz w:val="20"/>
        </w:rPr>
      </w:pPr>
    </w:p>
    <w:p w:rsidR="00AA4BF8" w:rsidRPr="00412620" w:rsidRDefault="00AA4BF8" w:rsidP="00AA4BF8">
      <w:pPr>
        <w:pStyle w:val="C"/>
        <w:widowControl/>
        <w:spacing w:before="0" w:after="0"/>
        <w:jc w:val="both"/>
        <w:rPr>
          <w:rFonts w:ascii="Arial" w:hAnsi="Arial" w:cs="Arial"/>
          <w:b w:val="0"/>
          <w:bCs/>
          <w:sz w:val="20"/>
        </w:rPr>
      </w:pPr>
    </w:p>
    <w:p w:rsidR="00AA4BF8" w:rsidRPr="00412620" w:rsidRDefault="00AA4BF8" w:rsidP="00AA4BF8">
      <w:pPr>
        <w:pStyle w:val="C"/>
        <w:widowControl/>
        <w:spacing w:before="0" w:after="0"/>
        <w:rPr>
          <w:rFonts w:ascii="Arial" w:hAnsi="Arial" w:cs="Arial"/>
        </w:rPr>
      </w:pPr>
      <w:r w:rsidRPr="00412620">
        <w:rPr>
          <w:rStyle w:val="FootnoteReference"/>
          <w:rFonts w:ascii="Arial" w:hAnsi="Arial" w:cs="Arial"/>
        </w:rPr>
        <w:footnoteReference w:id="1723"/>
      </w:r>
      <w:r w:rsidRPr="00412620">
        <w:rPr>
          <w:rFonts w:ascii="Arial" w:hAnsi="Arial" w:cs="Arial"/>
          <w:sz w:val="28"/>
          <w:szCs w:val="28"/>
        </w:rPr>
        <w:t>[Division XV</w:t>
      </w:r>
    </w:p>
    <w:p w:rsidR="00AA4BF8" w:rsidRPr="00412620" w:rsidRDefault="00AA4BF8" w:rsidP="00AA4BF8">
      <w:pPr>
        <w:pStyle w:val="C"/>
        <w:widowControl/>
        <w:spacing w:before="0" w:after="0"/>
        <w:rPr>
          <w:rFonts w:ascii="Arial" w:hAnsi="Arial" w:cs="Arial"/>
          <w:sz w:val="20"/>
        </w:rPr>
      </w:pPr>
      <w:r w:rsidRPr="00412620">
        <w:rPr>
          <w:rFonts w:ascii="Arial" w:hAnsi="Arial" w:cs="Arial"/>
          <w:sz w:val="20"/>
        </w:rPr>
        <w:t>Advance tax on sale to retailers</w:t>
      </w:r>
    </w:p>
    <w:p w:rsidR="00AA4BF8" w:rsidRPr="00412620" w:rsidRDefault="00AA4BF8" w:rsidP="00AA4BF8">
      <w:pPr>
        <w:pStyle w:val="C"/>
        <w:widowControl/>
        <w:spacing w:before="0" w:after="0"/>
        <w:jc w:val="both"/>
        <w:rPr>
          <w:rFonts w:ascii="Arial" w:hAnsi="Arial" w:cs="Arial"/>
          <w:b w:val="0"/>
          <w:bCs/>
          <w:sz w:val="20"/>
        </w:rPr>
      </w:pPr>
    </w:p>
    <w:p w:rsidR="00AA4BF8" w:rsidRPr="00412620" w:rsidRDefault="00AA4BF8" w:rsidP="00AA4BF8">
      <w:pPr>
        <w:pStyle w:val="C"/>
        <w:widowControl/>
        <w:spacing w:before="0" w:after="0"/>
        <w:jc w:val="both"/>
        <w:rPr>
          <w:rFonts w:ascii="Arial" w:hAnsi="Arial" w:cs="Arial"/>
          <w:b w:val="0"/>
          <w:bCs/>
          <w:sz w:val="20"/>
        </w:rPr>
      </w:pPr>
      <w:r w:rsidRPr="00412620">
        <w:rPr>
          <w:rFonts w:ascii="Arial" w:hAnsi="Arial" w:cs="Arial"/>
          <w:b w:val="0"/>
          <w:sz w:val="20"/>
        </w:rPr>
        <w:tab/>
        <w:t>The rate of collection of tax under section 236H shall be 0.5% of the gross amount of sales.]</w:t>
      </w:r>
    </w:p>
    <w:p w:rsidR="00AA4BF8" w:rsidRPr="00412620" w:rsidRDefault="00AA4BF8" w:rsidP="00AA4BF8">
      <w:pPr>
        <w:pStyle w:val="C"/>
        <w:widowControl/>
        <w:spacing w:before="0" w:after="0"/>
        <w:jc w:val="both"/>
        <w:rPr>
          <w:rFonts w:ascii="Arial" w:hAnsi="Arial" w:cs="Arial"/>
          <w:b w:val="0"/>
          <w:bCs/>
          <w:sz w:val="20"/>
        </w:rPr>
      </w:pPr>
    </w:p>
    <w:p w:rsidR="00AA4BF8" w:rsidRPr="00412620" w:rsidRDefault="00AA4BF8" w:rsidP="00AA4BF8">
      <w:pPr>
        <w:pStyle w:val="C"/>
        <w:widowControl/>
        <w:spacing w:before="0" w:after="0"/>
        <w:jc w:val="both"/>
        <w:rPr>
          <w:rFonts w:ascii="Arial" w:hAnsi="Arial" w:cs="Arial"/>
          <w:b w:val="0"/>
          <w:bCs/>
          <w:sz w:val="20"/>
        </w:rPr>
      </w:pPr>
    </w:p>
    <w:p w:rsidR="00AA4BF8" w:rsidRPr="00412620" w:rsidRDefault="00AA4BF8" w:rsidP="00AA4BF8">
      <w:pPr>
        <w:pStyle w:val="C"/>
        <w:widowControl/>
        <w:spacing w:before="0" w:after="0"/>
        <w:rPr>
          <w:rFonts w:ascii="Arial" w:hAnsi="Arial" w:cs="Arial"/>
        </w:rPr>
      </w:pPr>
      <w:r w:rsidRPr="00412620">
        <w:rPr>
          <w:rStyle w:val="FootnoteReference"/>
          <w:rFonts w:ascii="Arial" w:hAnsi="Arial" w:cs="Arial"/>
        </w:rPr>
        <w:footnoteReference w:id="1724"/>
      </w:r>
      <w:r w:rsidRPr="00412620">
        <w:rPr>
          <w:rFonts w:ascii="Arial" w:hAnsi="Arial" w:cs="Arial"/>
          <w:sz w:val="28"/>
          <w:szCs w:val="28"/>
        </w:rPr>
        <w:t>[Division XVI</w:t>
      </w:r>
    </w:p>
    <w:p w:rsidR="00AA4BF8" w:rsidRPr="00412620" w:rsidRDefault="00AA4BF8" w:rsidP="00AA4BF8">
      <w:pPr>
        <w:pStyle w:val="C"/>
        <w:widowControl/>
        <w:spacing w:before="0" w:after="0"/>
        <w:rPr>
          <w:rFonts w:ascii="Arial" w:hAnsi="Arial" w:cs="Arial"/>
          <w:b w:val="0"/>
          <w:bCs/>
          <w:sz w:val="20"/>
        </w:rPr>
      </w:pPr>
      <w:r w:rsidRPr="00412620">
        <w:rPr>
          <w:rFonts w:ascii="Arial" w:hAnsi="Arial" w:cs="Arial"/>
          <w:sz w:val="20"/>
        </w:rPr>
        <w:t>Collection of advance tax by educational institutions</w:t>
      </w:r>
    </w:p>
    <w:p w:rsidR="00AA4BF8" w:rsidRPr="00412620" w:rsidRDefault="00AA4BF8" w:rsidP="00AA4BF8">
      <w:pPr>
        <w:pStyle w:val="C"/>
        <w:widowControl/>
        <w:spacing w:before="0" w:after="0"/>
        <w:rPr>
          <w:rFonts w:ascii="Arial" w:hAnsi="Arial" w:cs="Arial"/>
          <w:b w:val="0"/>
          <w:bCs/>
          <w:sz w:val="20"/>
        </w:rPr>
      </w:pPr>
    </w:p>
    <w:p w:rsidR="00AA4BF8" w:rsidRPr="00412620" w:rsidRDefault="00AA4BF8" w:rsidP="00AA4BF8">
      <w:pPr>
        <w:pStyle w:val="C"/>
        <w:widowControl/>
        <w:spacing w:before="0" w:after="0"/>
        <w:jc w:val="both"/>
        <w:rPr>
          <w:rFonts w:ascii="Arial" w:hAnsi="Arial" w:cs="Arial"/>
          <w:b w:val="0"/>
          <w:bCs/>
          <w:sz w:val="20"/>
        </w:rPr>
      </w:pPr>
      <w:r w:rsidRPr="00412620">
        <w:rPr>
          <w:rFonts w:ascii="Arial" w:hAnsi="Arial" w:cs="Arial"/>
          <w:b w:val="0"/>
          <w:sz w:val="20"/>
        </w:rPr>
        <w:tab/>
        <w:t>The rate of collection of tax under section 236I shall be 5% of the amount of fee.]</w:t>
      </w:r>
    </w:p>
    <w:p w:rsidR="00AA4BF8" w:rsidRPr="00412620" w:rsidRDefault="00AA4BF8" w:rsidP="00AA4BF8">
      <w:pPr>
        <w:pStyle w:val="C"/>
        <w:widowControl/>
        <w:spacing w:before="0" w:after="0"/>
        <w:jc w:val="both"/>
        <w:rPr>
          <w:rFonts w:ascii="Arial" w:hAnsi="Arial" w:cs="Arial"/>
          <w:b w:val="0"/>
          <w:bCs/>
          <w:sz w:val="20"/>
        </w:rPr>
      </w:pPr>
    </w:p>
    <w:p w:rsidR="00AA4BF8" w:rsidRPr="00412620" w:rsidRDefault="00AA4BF8" w:rsidP="00AA4BF8">
      <w:pPr>
        <w:pStyle w:val="C"/>
        <w:widowControl/>
        <w:spacing w:before="0" w:after="0"/>
        <w:rPr>
          <w:rFonts w:ascii="Arial" w:hAnsi="Arial" w:cs="Arial"/>
        </w:rPr>
      </w:pPr>
      <w:r>
        <w:rPr>
          <w:rStyle w:val="FootnoteReference"/>
          <w:rFonts w:ascii="Arial" w:hAnsi="Arial"/>
          <w:sz w:val="28"/>
          <w:szCs w:val="28"/>
        </w:rPr>
        <w:footnoteReference w:id="1725"/>
      </w:r>
      <w:r w:rsidRPr="00412620">
        <w:rPr>
          <w:rFonts w:ascii="Arial" w:hAnsi="Arial" w:cs="Arial"/>
          <w:sz w:val="28"/>
          <w:szCs w:val="28"/>
        </w:rPr>
        <w:t>[Division XVII</w:t>
      </w:r>
    </w:p>
    <w:p w:rsidR="00AA4BF8" w:rsidRPr="00412620" w:rsidRDefault="00AA4BF8" w:rsidP="00AA4BF8">
      <w:pPr>
        <w:pStyle w:val="C"/>
        <w:widowControl/>
        <w:spacing w:before="0" w:after="0"/>
        <w:rPr>
          <w:rFonts w:ascii="Arial" w:hAnsi="Arial" w:cs="Arial"/>
          <w:sz w:val="20"/>
        </w:rPr>
      </w:pPr>
      <w:r w:rsidRPr="00412620">
        <w:rPr>
          <w:rFonts w:ascii="Arial" w:hAnsi="Arial" w:cs="Arial"/>
          <w:sz w:val="20"/>
        </w:rPr>
        <w:t xml:space="preserve">Advance tax on dealers, commission agents and </w:t>
      </w:r>
      <w:r w:rsidRPr="00412620">
        <w:rPr>
          <w:rFonts w:ascii="Arial" w:hAnsi="Arial" w:cs="Arial"/>
          <w:i/>
          <w:iCs/>
          <w:sz w:val="20"/>
        </w:rPr>
        <w:t>arhatis, etc.</w:t>
      </w:r>
    </w:p>
    <w:p w:rsidR="00AA4BF8" w:rsidRPr="00412620" w:rsidRDefault="00AA4BF8" w:rsidP="00AA4BF8">
      <w:pPr>
        <w:pStyle w:val="C"/>
        <w:widowControl/>
        <w:spacing w:before="0" w:after="0"/>
        <w:rPr>
          <w:rFonts w:ascii="Arial" w:hAnsi="Arial" w:cs="Arial"/>
          <w:sz w:val="20"/>
        </w:rPr>
      </w:pPr>
    </w:p>
    <w:p w:rsidR="00AA4BF8" w:rsidRPr="00412620" w:rsidRDefault="00AA4BF8" w:rsidP="00AA4BF8">
      <w:pPr>
        <w:pStyle w:val="C"/>
        <w:widowControl/>
        <w:spacing w:before="0" w:after="0"/>
        <w:jc w:val="both"/>
        <w:rPr>
          <w:rFonts w:ascii="Arial" w:hAnsi="Arial" w:cs="Arial"/>
          <w:b w:val="0"/>
          <w:bCs/>
          <w:sz w:val="20"/>
        </w:rPr>
      </w:pPr>
      <w:r w:rsidRPr="00412620">
        <w:rPr>
          <w:rFonts w:ascii="Arial" w:hAnsi="Arial" w:cs="Arial"/>
          <w:sz w:val="20"/>
        </w:rPr>
        <w:tab/>
      </w:r>
      <w:r w:rsidRPr="00412620">
        <w:rPr>
          <w:rFonts w:ascii="Arial" w:hAnsi="Arial" w:cs="Arial"/>
          <w:b w:val="0"/>
          <w:sz w:val="20"/>
        </w:rPr>
        <w:t>The rate of collection of tax under section 236J shall be as follows:—</w:t>
      </w:r>
    </w:p>
    <w:p w:rsidR="00AA4BF8" w:rsidRPr="00412620" w:rsidRDefault="00AA4BF8" w:rsidP="00AA4BF8">
      <w:pPr>
        <w:pStyle w:val="C"/>
        <w:widowControl/>
        <w:spacing w:before="0" w:after="0"/>
        <w:jc w:val="both"/>
        <w:rPr>
          <w:rFonts w:ascii="Arial" w:hAnsi="Arial" w:cs="Arial"/>
          <w:b w:val="0"/>
          <w:bCs/>
          <w:sz w:val="20"/>
        </w:rPr>
      </w:pPr>
    </w:p>
    <w:tbl>
      <w:tblPr>
        <w:tblW w:w="4302" w:type="dxa"/>
        <w:tblInd w:w="2" w:type="dxa"/>
        <w:tblLook w:val="00A0"/>
      </w:tblPr>
      <w:tblGrid>
        <w:gridCol w:w="2430"/>
        <w:gridCol w:w="1872"/>
      </w:tblGrid>
      <w:tr w:rsidR="00AA4BF8" w:rsidRPr="00412620" w:rsidTr="00A752DD">
        <w:tc>
          <w:tcPr>
            <w:tcW w:w="2430"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Group</w:t>
            </w:r>
          </w:p>
        </w:tc>
        <w:tc>
          <w:tcPr>
            <w:tcW w:w="18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 xml:space="preserve">Amount of tax </w:t>
            </w:r>
          </w:p>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w:t>
            </w:r>
            <w:r w:rsidRPr="00412620">
              <w:rPr>
                <w:rFonts w:ascii="Arial" w:hAnsi="Arial" w:cs="Arial"/>
                <w:b w:val="0"/>
                <w:i/>
                <w:iCs/>
                <w:sz w:val="20"/>
              </w:rPr>
              <w:t>per annum)</w:t>
            </w:r>
          </w:p>
        </w:tc>
      </w:tr>
      <w:tr w:rsidR="00AA4BF8" w:rsidRPr="00412620" w:rsidTr="00A752DD">
        <w:tc>
          <w:tcPr>
            <w:tcW w:w="2430" w:type="dxa"/>
          </w:tcPr>
          <w:p w:rsidR="00AA4BF8" w:rsidRPr="00412620" w:rsidRDefault="00AA4BF8" w:rsidP="00A752DD">
            <w:pPr>
              <w:pStyle w:val="C"/>
              <w:widowControl/>
              <w:spacing w:before="0" w:after="0"/>
              <w:jc w:val="both"/>
              <w:rPr>
                <w:rFonts w:ascii="Arial" w:hAnsi="Arial" w:cs="Arial"/>
                <w:b w:val="0"/>
                <w:bCs/>
                <w:sz w:val="20"/>
              </w:rPr>
            </w:pPr>
            <w:r w:rsidRPr="00412620">
              <w:rPr>
                <w:rFonts w:ascii="Arial" w:hAnsi="Arial" w:cs="Arial"/>
                <w:b w:val="0"/>
                <w:sz w:val="20"/>
              </w:rPr>
              <w:t>Group or Class A:</w:t>
            </w:r>
          </w:p>
          <w:p w:rsidR="00AA4BF8" w:rsidRPr="00412620" w:rsidRDefault="00AA4BF8" w:rsidP="00A752DD">
            <w:pPr>
              <w:pStyle w:val="C"/>
              <w:widowControl/>
              <w:spacing w:before="0" w:after="0"/>
              <w:jc w:val="both"/>
              <w:rPr>
                <w:rFonts w:ascii="Arial" w:hAnsi="Arial" w:cs="Arial"/>
                <w:b w:val="0"/>
                <w:bCs/>
                <w:sz w:val="20"/>
              </w:rPr>
            </w:pPr>
          </w:p>
        </w:tc>
        <w:tc>
          <w:tcPr>
            <w:tcW w:w="18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10,000</w:t>
            </w:r>
          </w:p>
        </w:tc>
      </w:tr>
      <w:tr w:rsidR="00AA4BF8" w:rsidRPr="00412620" w:rsidTr="00A752DD">
        <w:tc>
          <w:tcPr>
            <w:tcW w:w="2430" w:type="dxa"/>
          </w:tcPr>
          <w:p w:rsidR="00AA4BF8" w:rsidRPr="00412620" w:rsidRDefault="00AA4BF8" w:rsidP="00A752DD">
            <w:pPr>
              <w:pStyle w:val="C"/>
              <w:widowControl/>
              <w:spacing w:before="0" w:after="0"/>
              <w:jc w:val="both"/>
              <w:rPr>
                <w:rFonts w:ascii="Arial" w:hAnsi="Arial" w:cs="Arial"/>
                <w:b w:val="0"/>
                <w:bCs/>
                <w:sz w:val="20"/>
              </w:rPr>
            </w:pPr>
            <w:r w:rsidRPr="00412620">
              <w:rPr>
                <w:rFonts w:ascii="Arial" w:hAnsi="Arial" w:cs="Arial"/>
                <w:b w:val="0"/>
                <w:sz w:val="20"/>
              </w:rPr>
              <w:t>Group or Class B:</w:t>
            </w:r>
          </w:p>
          <w:p w:rsidR="00AA4BF8" w:rsidRPr="00412620" w:rsidRDefault="00AA4BF8" w:rsidP="00A752DD">
            <w:pPr>
              <w:pStyle w:val="C"/>
              <w:widowControl/>
              <w:spacing w:before="0" w:after="0"/>
              <w:jc w:val="both"/>
              <w:rPr>
                <w:rFonts w:ascii="Arial" w:hAnsi="Arial" w:cs="Arial"/>
                <w:b w:val="0"/>
                <w:bCs/>
                <w:sz w:val="20"/>
              </w:rPr>
            </w:pPr>
          </w:p>
        </w:tc>
        <w:tc>
          <w:tcPr>
            <w:tcW w:w="18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7,500</w:t>
            </w:r>
          </w:p>
        </w:tc>
      </w:tr>
      <w:tr w:rsidR="00AA4BF8" w:rsidRPr="00412620" w:rsidTr="00A752DD">
        <w:tc>
          <w:tcPr>
            <w:tcW w:w="2430" w:type="dxa"/>
          </w:tcPr>
          <w:p w:rsidR="00AA4BF8" w:rsidRPr="00412620" w:rsidRDefault="00AA4BF8" w:rsidP="00A752DD">
            <w:pPr>
              <w:pStyle w:val="C"/>
              <w:widowControl/>
              <w:spacing w:before="0" w:after="0"/>
              <w:jc w:val="both"/>
              <w:rPr>
                <w:rFonts w:ascii="Arial" w:hAnsi="Arial" w:cs="Arial"/>
                <w:b w:val="0"/>
                <w:bCs/>
                <w:sz w:val="20"/>
              </w:rPr>
            </w:pPr>
            <w:r w:rsidRPr="00412620">
              <w:rPr>
                <w:rFonts w:ascii="Arial" w:hAnsi="Arial" w:cs="Arial"/>
                <w:b w:val="0"/>
                <w:sz w:val="20"/>
              </w:rPr>
              <w:t>Group or Class C:</w:t>
            </w:r>
          </w:p>
          <w:p w:rsidR="00AA4BF8" w:rsidRPr="00412620" w:rsidRDefault="00AA4BF8" w:rsidP="00A752DD">
            <w:pPr>
              <w:pStyle w:val="C"/>
              <w:widowControl/>
              <w:spacing w:before="0" w:after="0"/>
              <w:jc w:val="both"/>
              <w:rPr>
                <w:rFonts w:ascii="Arial" w:hAnsi="Arial" w:cs="Arial"/>
                <w:b w:val="0"/>
                <w:bCs/>
                <w:sz w:val="20"/>
              </w:rPr>
            </w:pPr>
          </w:p>
        </w:tc>
        <w:tc>
          <w:tcPr>
            <w:tcW w:w="18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5,000</w:t>
            </w:r>
          </w:p>
        </w:tc>
      </w:tr>
      <w:tr w:rsidR="00AA4BF8" w:rsidRPr="00412620" w:rsidTr="00A752DD">
        <w:tc>
          <w:tcPr>
            <w:tcW w:w="2430" w:type="dxa"/>
          </w:tcPr>
          <w:p w:rsidR="00AA4BF8" w:rsidRPr="00412620" w:rsidRDefault="00AA4BF8" w:rsidP="00A752DD">
            <w:pPr>
              <w:pStyle w:val="C"/>
              <w:widowControl/>
              <w:spacing w:before="0" w:after="0"/>
              <w:jc w:val="both"/>
              <w:rPr>
                <w:rFonts w:ascii="Arial" w:hAnsi="Arial" w:cs="Arial"/>
                <w:b w:val="0"/>
                <w:bCs/>
                <w:sz w:val="20"/>
              </w:rPr>
            </w:pPr>
            <w:r w:rsidRPr="00412620">
              <w:rPr>
                <w:rFonts w:ascii="Arial" w:hAnsi="Arial" w:cs="Arial"/>
                <w:b w:val="0"/>
                <w:sz w:val="20"/>
              </w:rPr>
              <w:t>Any other category:</w:t>
            </w:r>
          </w:p>
        </w:tc>
        <w:tc>
          <w:tcPr>
            <w:tcW w:w="1872" w:type="dxa"/>
          </w:tcPr>
          <w:p w:rsidR="00AA4BF8" w:rsidRPr="00412620" w:rsidRDefault="00AA4BF8" w:rsidP="00A752DD">
            <w:pPr>
              <w:pStyle w:val="C"/>
              <w:widowControl/>
              <w:spacing w:before="0" w:after="0"/>
              <w:rPr>
                <w:rFonts w:ascii="Arial" w:hAnsi="Arial" w:cs="Arial"/>
                <w:b w:val="0"/>
                <w:bCs/>
                <w:sz w:val="20"/>
              </w:rPr>
            </w:pPr>
            <w:r w:rsidRPr="00412620">
              <w:rPr>
                <w:rFonts w:ascii="Arial" w:hAnsi="Arial" w:cs="Arial"/>
                <w:b w:val="0"/>
                <w:sz w:val="20"/>
              </w:rPr>
              <w:t>Rs. 5,000</w:t>
            </w:r>
            <w:r w:rsidR="00270520">
              <w:rPr>
                <w:rFonts w:ascii="Arial" w:hAnsi="Arial" w:cs="Arial"/>
                <w:b w:val="0"/>
                <w:sz w:val="20"/>
              </w:rPr>
              <w:t>]</w:t>
            </w:r>
          </w:p>
        </w:tc>
      </w:tr>
    </w:tbl>
    <w:p w:rsidR="00AA4BF8" w:rsidRDefault="00AA4BF8" w:rsidP="00AA4BF8">
      <w:pPr>
        <w:pStyle w:val="C"/>
        <w:widowControl/>
        <w:spacing w:before="0" w:after="0"/>
        <w:rPr>
          <w:rFonts w:ascii="Arial" w:hAnsi="Arial" w:cs="Arial"/>
          <w:b w:val="0"/>
          <w:bCs/>
          <w:sz w:val="20"/>
        </w:rPr>
      </w:pPr>
    </w:p>
    <w:p w:rsidR="00AA4BF8" w:rsidRPr="00DD1A3B" w:rsidRDefault="00AA4BF8" w:rsidP="00AA4BF8">
      <w:pPr>
        <w:pStyle w:val="C"/>
        <w:widowControl/>
        <w:spacing w:before="0" w:after="0"/>
        <w:rPr>
          <w:rFonts w:ascii="Arial" w:hAnsi="Arial" w:cs="Arial"/>
          <w:color w:val="000000" w:themeColor="text1"/>
        </w:rPr>
      </w:pPr>
      <w:r w:rsidRPr="00DD1A3B">
        <w:rPr>
          <w:rStyle w:val="FootnoteReference"/>
          <w:rFonts w:ascii="Arial" w:hAnsi="Arial"/>
          <w:color w:val="000000" w:themeColor="text1"/>
          <w:sz w:val="28"/>
          <w:szCs w:val="28"/>
        </w:rPr>
        <w:footnoteReference w:id="1726"/>
      </w:r>
      <w:r w:rsidRPr="00DD1A3B">
        <w:rPr>
          <w:rFonts w:ascii="Arial" w:hAnsi="Arial" w:cs="Arial"/>
          <w:color w:val="000000" w:themeColor="text1"/>
          <w:sz w:val="28"/>
          <w:szCs w:val="28"/>
        </w:rPr>
        <w:t>[</w:t>
      </w:r>
      <w:r w:rsidRPr="00DD1A3B">
        <w:rPr>
          <w:rFonts w:ascii="Arial" w:hAnsi="Arial" w:cs="Arial"/>
          <w:i/>
          <w:color w:val="000000" w:themeColor="text1"/>
          <w:sz w:val="28"/>
          <w:szCs w:val="28"/>
        </w:rPr>
        <w:t>Division XVIII</w:t>
      </w:r>
    </w:p>
    <w:p w:rsidR="00AA4BF8" w:rsidRPr="00DD1A3B" w:rsidRDefault="00AA4BF8" w:rsidP="00AA4BF8">
      <w:pPr>
        <w:pStyle w:val="C"/>
        <w:widowControl/>
        <w:spacing w:before="0" w:after="0"/>
        <w:rPr>
          <w:rFonts w:ascii="Arial" w:hAnsi="Arial" w:cs="Arial"/>
          <w:color w:val="000000" w:themeColor="text1"/>
          <w:sz w:val="20"/>
        </w:rPr>
      </w:pPr>
      <w:r w:rsidRPr="00DD1A3B">
        <w:rPr>
          <w:rFonts w:ascii="Arial" w:hAnsi="Arial" w:cs="Arial"/>
          <w:color w:val="000000" w:themeColor="text1"/>
          <w:sz w:val="20"/>
        </w:rPr>
        <w:t>Advance tax on purchase of immovable property</w:t>
      </w:r>
    </w:p>
    <w:p w:rsidR="00AA4BF8" w:rsidRPr="00DD1A3B" w:rsidRDefault="00AA4BF8" w:rsidP="00AA4BF8">
      <w:pPr>
        <w:pStyle w:val="C"/>
        <w:widowControl/>
        <w:spacing w:before="0" w:after="0"/>
        <w:rPr>
          <w:rFonts w:ascii="Arial" w:hAnsi="Arial" w:cs="Arial"/>
          <w:color w:val="000000" w:themeColor="text1"/>
          <w:sz w:val="20"/>
        </w:rPr>
      </w:pPr>
    </w:p>
    <w:p w:rsidR="00AA4BF8" w:rsidRPr="00DD1A3B" w:rsidRDefault="00AA4BF8" w:rsidP="00AA4BF8">
      <w:pPr>
        <w:pStyle w:val="C"/>
        <w:widowControl/>
        <w:spacing w:before="0" w:after="0"/>
        <w:jc w:val="left"/>
        <w:rPr>
          <w:rFonts w:ascii="Arial" w:hAnsi="Arial" w:cs="Arial"/>
          <w:b w:val="0"/>
          <w:color w:val="000000" w:themeColor="text1"/>
          <w:sz w:val="20"/>
        </w:rPr>
      </w:pPr>
      <w:r w:rsidRPr="00DD1A3B">
        <w:rPr>
          <w:rFonts w:ascii="Arial" w:hAnsi="Arial" w:cs="Arial"/>
          <w:b w:val="0"/>
          <w:color w:val="000000" w:themeColor="text1"/>
          <w:sz w:val="20"/>
        </w:rPr>
        <w:t>The rate of tax to be collected under section 236K shall be:-</w:t>
      </w:r>
    </w:p>
    <w:p w:rsidR="00AA4BF8" w:rsidRPr="00DD1A3B" w:rsidRDefault="00AA4BF8" w:rsidP="00AA4BF8">
      <w:pPr>
        <w:pStyle w:val="C"/>
        <w:widowControl/>
        <w:tabs>
          <w:tab w:val="left" w:pos="1728"/>
        </w:tabs>
        <w:spacing w:before="0" w:after="0"/>
        <w:jc w:val="left"/>
        <w:rPr>
          <w:rFonts w:ascii="Arial" w:hAnsi="Arial" w:cs="Arial"/>
          <w:b w:val="0"/>
          <w:color w:val="000000" w:themeColor="text1"/>
          <w:sz w:val="20"/>
        </w:rPr>
      </w:pPr>
      <w:r w:rsidRPr="00DD1A3B">
        <w:rPr>
          <w:rFonts w:ascii="Arial" w:hAnsi="Arial" w:cs="Arial"/>
          <w:b w:val="0"/>
          <w:color w:val="000000" w:themeColor="text1"/>
          <w:sz w:val="20"/>
        </w:rPr>
        <w:tab/>
      </w:r>
    </w:p>
    <w:tbl>
      <w:tblPr>
        <w:tblStyle w:val="TableGrid"/>
        <w:tblW w:w="0" w:type="auto"/>
        <w:tblLook w:val="04A0"/>
      </w:tblPr>
      <w:tblGrid>
        <w:gridCol w:w="738"/>
        <w:gridCol w:w="4206"/>
        <w:gridCol w:w="2472"/>
      </w:tblGrid>
      <w:tr w:rsidR="00AA4BF8" w:rsidRPr="00DD1A3B" w:rsidTr="00A752DD">
        <w:tc>
          <w:tcPr>
            <w:tcW w:w="738" w:type="dxa"/>
            <w:vAlign w:val="bottom"/>
          </w:tcPr>
          <w:p w:rsidR="00AA4BF8" w:rsidRPr="00DD1A3B" w:rsidRDefault="00AA4BF8" w:rsidP="00A752DD">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lastRenderedPageBreak/>
              <w:t>S. No.</w:t>
            </w:r>
          </w:p>
        </w:tc>
        <w:tc>
          <w:tcPr>
            <w:tcW w:w="4206" w:type="dxa"/>
            <w:vAlign w:val="center"/>
          </w:tcPr>
          <w:p w:rsidR="00AA4BF8" w:rsidRPr="00DD1A3B" w:rsidRDefault="00AA4BF8" w:rsidP="00A752DD">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Period</w:t>
            </w:r>
          </w:p>
        </w:tc>
        <w:tc>
          <w:tcPr>
            <w:tcW w:w="2472" w:type="dxa"/>
            <w:vAlign w:val="center"/>
          </w:tcPr>
          <w:p w:rsidR="00AA4BF8" w:rsidRPr="00DD1A3B" w:rsidRDefault="00AA4BF8" w:rsidP="00A752DD">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Rate of Tax</w:t>
            </w:r>
          </w:p>
        </w:tc>
      </w:tr>
      <w:tr w:rsidR="00AA4BF8" w:rsidRPr="00DD1A3B" w:rsidTr="00A752DD">
        <w:tc>
          <w:tcPr>
            <w:tcW w:w="738" w:type="dxa"/>
            <w:vAlign w:val="bottom"/>
          </w:tcPr>
          <w:p w:rsidR="00AA4BF8" w:rsidRPr="00DD1A3B" w:rsidRDefault="00AA4BF8" w:rsidP="00A752DD">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(1)</w:t>
            </w:r>
          </w:p>
        </w:tc>
        <w:tc>
          <w:tcPr>
            <w:tcW w:w="4206" w:type="dxa"/>
            <w:vAlign w:val="bottom"/>
          </w:tcPr>
          <w:p w:rsidR="00AA4BF8" w:rsidRPr="00DD1A3B" w:rsidRDefault="00AA4BF8" w:rsidP="00A752DD">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(2)</w:t>
            </w:r>
          </w:p>
        </w:tc>
        <w:tc>
          <w:tcPr>
            <w:tcW w:w="2472" w:type="dxa"/>
            <w:vAlign w:val="center"/>
          </w:tcPr>
          <w:p w:rsidR="00AA4BF8" w:rsidRPr="00DD1A3B" w:rsidRDefault="00AA4BF8" w:rsidP="00A752DD">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(3)</w:t>
            </w:r>
          </w:p>
        </w:tc>
      </w:tr>
      <w:tr w:rsidR="00AA4BF8" w:rsidRPr="00DD1A3B" w:rsidTr="00A752DD">
        <w:tc>
          <w:tcPr>
            <w:tcW w:w="738" w:type="dxa"/>
            <w:vAlign w:val="bottom"/>
          </w:tcPr>
          <w:p w:rsidR="00AA4BF8" w:rsidRPr="00DD1A3B" w:rsidRDefault="00AA4BF8" w:rsidP="00A752DD">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1.</w:t>
            </w:r>
          </w:p>
        </w:tc>
        <w:tc>
          <w:tcPr>
            <w:tcW w:w="4206" w:type="dxa"/>
            <w:vAlign w:val="bottom"/>
          </w:tcPr>
          <w:p w:rsidR="00AA4BF8" w:rsidRPr="00DD1A3B" w:rsidRDefault="00AA4BF8" w:rsidP="0011745B">
            <w:pPr>
              <w:pStyle w:val="C"/>
              <w:widowControl/>
              <w:spacing w:before="0" w:after="0"/>
              <w:jc w:val="left"/>
              <w:rPr>
                <w:rFonts w:ascii="Arial" w:hAnsi="Arial" w:cs="Arial"/>
                <w:b w:val="0"/>
                <w:color w:val="000000" w:themeColor="text1"/>
                <w:sz w:val="20"/>
              </w:rPr>
            </w:pPr>
            <w:r w:rsidRPr="00DD1A3B">
              <w:rPr>
                <w:rFonts w:ascii="Arial" w:hAnsi="Arial" w:cs="Arial"/>
                <w:b w:val="0"/>
                <w:color w:val="000000" w:themeColor="text1"/>
                <w:sz w:val="20"/>
              </w:rPr>
              <w:t xml:space="preserve">Where value of Immovable property is up to </w:t>
            </w:r>
            <w:r w:rsidR="0011745B" w:rsidRPr="0011745B">
              <w:rPr>
                <w:rStyle w:val="FootnoteReference"/>
                <w:rFonts w:ascii="Arial" w:hAnsi="Arial" w:cs="Arial"/>
                <w:b w:val="0"/>
                <w:color w:val="FF0000"/>
                <w:sz w:val="20"/>
              </w:rPr>
              <w:footnoteReference w:id="1727"/>
            </w:r>
            <w:r w:rsidR="0011745B" w:rsidRPr="0011745B">
              <w:rPr>
                <w:rFonts w:ascii="Arial" w:hAnsi="Arial" w:cs="Arial"/>
                <w:b w:val="0"/>
                <w:color w:val="FF0000"/>
                <w:sz w:val="20"/>
              </w:rPr>
              <w:t>[“4</w:t>
            </w:r>
            <w:r w:rsidRPr="0011745B">
              <w:rPr>
                <w:rFonts w:ascii="Arial" w:hAnsi="Arial" w:cs="Arial"/>
                <w:b w:val="0"/>
                <w:color w:val="FF0000"/>
                <w:sz w:val="20"/>
              </w:rPr>
              <w:t xml:space="preserve"> million</w:t>
            </w:r>
            <w:r w:rsidR="0011745B" w:rsidRPr="0011745B">
              <w:rPr>
                <w:rFonts w:ascii="Arial" w:hAnsi="Arial" w:cs="Arial"/>
                <w:b w:val="0"/>
                <w:color w:val="FF0000"/>
                <w:sz w:val="20"/>
              </w:rPr>
              <w:t>”]</w:t>
            </w:r>
            <w:r w:rsidRPr="00DD1A3B">
              <w:rPr>
                <w:rFonts w:ascii="Arial" w:hAnsi="Arial" w:cs="Arial"/>
                <w:b w:val="0"/>
                <w:color w:val="000000" w:themeColor="text1"/>
                <w:sz w:val="20"/>
              </w:rPr>
              <w:t>.</w:t>
            </w:r>
          </w:p>
        </w:tc>
        <w:tc>
          <w:tcPr>
            <w:tcW w:w="2472" w:type="dxa"/>
            <w:vAlign w:val="center"/>
          </w:tcPr>
          <w:p w:rsidR="00AA4BF8" w:rsidRPr="00DD1A3B" w:rsidRDefault="00AA4BF8" w:rsidP="00A752DD">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0%</w:t>
            </w:r>
          </w:p>
        </w:tc>
      </w:tr>
      <w:tr w:rsidR="00AA4BF8" w:rsidRPr="00DD1A3B" w:rsidTr="00A752DD">
        <w:trPr>
          <w:trHeight w:val="338"/>
        </w:trPr>
        <w:tc>
          <w:tcPr>
            <w:tcW w:w="738" w:type="dxa"/>
            <w:vMerge w:val="restart"/>
            <w:vAlign w:val="bottom"/>
          </w:tcPr>
          <w:p w:rsidR="00AA4BF8" w:rsidRPr="00DD1A3B" w:rsidRDefault="00AA4BF8" w:rsidP="00A752DD">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2.</w:t>
            </w:r>
          </w:p>
        </w:tc>
        <w:tc>
          <w:tcPr>
            <w:tcW w:w="4206" w:type="dxa"/>
            <w:vMerge w:val="restart"/>
            <w:vAlign w:val="bottom"/>
          </w:tcPr>
          <w:p w:rsidR="00AA4BF8" w:rsidRPr="00DD1A3B" w:rsidRDefault="00AA4BF8" w:rsidP="00A752DD">
            <w:pPr>
              <w:pStyle w:val="C"/>
              <w:widowControl/>
              <w:spacing w:before="0" w:after="0"/>
              <w:jc w:val="left"/>
              <w:rPr>
                <w:rFonts w:ascii="Arial" w:hAnsi="Arial" w:cs="Arial"/>
                <w:b w:val="0"/>
                <w:color w:val="000000" w:themeColor="text1"/>
                <w:sz w:val="20"/>
              </w:rPr>
            </w:pPr>
            <w:r w:rsidRPr="00DD1A3B">
              <w:rPr>
                <w:rFonts w:ascii="Arial" w:hAnsi="Arial" w:cs="Arial"/>
                <w:b w:val="0"/>
                <w:color w:val="000000" w:themeColor="text1"/>
                <w:sz w:val="20"/>
              </w:rPr>
              <w:t xml:space="preserve">Where the value of Immovable property is more than </w:t>
            </w:r>
            <w:r w:rsidR="0011745B" w:rsidRPr="0011745B">
              <w:rPr>
                <w:rStyle w:val="FootnoteReference"/>
                <w:rFonts w:ascii="Arial" w:hAnsi="Arial" w:cs="Arial"/>
                <w:b w:val="0"/>
                <w:color w:val="FF0000"/>
                <w:sz w:val="20"/>
              </w:rPr>
              <w:footnoteReference w:id="1728"/>
            </w:r>
            <w:r w:rsidR="0011745B" w:rsidRPr="0011745B">
              <w:rPr>
                <w:rFonts w:ascii="Arial" w:hAnsi="Arial" w:cs="Arial"/>
                <w:b w:val="0"/>
                <w:color w:val="FF0000"/>
                <w:sz w:val="20"/>
              </w:rPr>
              <w:t>[“4 million”]</w:t>
            </w:r>
            <w:r w:rsidR="0011745B" w:rsidRPr="00DD1A3B">
              <w:rPr>
                <w:rFonts w:ascii="Arial" w:hAnsi="Arial" w:cs="Arial"/>
                <w:b w:val="0"/>
                <w:color w:val="000000" w:themeColor="text1"/>
                <w:sz w:val="20"/>
              </w:rPr>
              <w:t>.</w:t>
            </w:r>
          </w:p>
        </w:tc>
        <w:tc>
          <w:tcPr>
            <w:tcW w:w="2472" w:type="dxa"/>
            <w:vAlign w:val="center"/>
          </w:tcPr>
          <w:p w:rsidR="00AA4BF8" w:rsidRPr="00DD1A3B" w:rsidRDefault="00AA4BF8" w:rsidP="003E0514">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Filer</w:t>
            </w:r>
            <w:r w:rsidR="00343375" w:rsidRPr="00DD1A3B">
              <w:rPr>
                <w:rFonts w:ascii="Arial" w:hAnsi="Arial" w:cs="Arial"/>
                <w:b w:val="0"/>
                <w:color w:val="000000" w:themeColor="text1"/>
                <w:sz w:val="20"/>
              </w:rPr>
              <w:t xml:space="preserve"> </w:t>
            </w:r>
            <w:r w:rsidR="003E0514" w:rsidRPr="00D47C20">
              <w:rPr>
                <w:rStyle w:val="FootnoteReference"/>
                <w:rFonts w:ascii="Arial" w:hAnsi="Arial" w:cs="Arial"/>
                <w:b w:val="0"/>
                <w:color w:val="0070C0"/>
                <w:sz w:val="20"/>
              </w:rPr>
              <w:footnoteReference w:id="1729"/>
            </w:r>
            <w:r w:rsidR="003E0514" w:rsidRPr="00D47C20">
              <w:rPr>
                <w:rFonts w:ascii="Arial" w:hAnsi="Arial" w:cs="Arial"/>
                <w:b w:val="0"/>
                <w:color w:val="0070C0"/>
                <w:sz w:val="20"/>
              </w:rPr>
              <w:t>[2]</w:t>
            </w:r>
            <w:r w:rsidRPr="00DD1A3B">
              <w:rPr>
                <w:rFonts w:ascii="Arial" w:hAnsi="Arial" w:cs="Arial"/>
                <w:b w:val="0"/>
                <w:color w:val="000000" w:themeColor="text1"/>
                <w:sz w:val="20"/>
              </w:rPr>
              <w:t>%</w:t>
            </w:r>
          </w:p>
        </w:tc>
      </w:tr>
      <w:tr w:rsidR="00AA4BF8" w:rsidRPr="00DD1A3B" w:rsidTr="00A752DD">
        <w:trPr>
          <w:trHeight w:val="363"/>
        </w:trPr>
        <w:tc>
          <w:tcPr>
            <w:tcW w:w="738" w:type="dxa"/>
            <w:vMerge/>
            <w:vAlign w:val="center"/>
          </w:tcPr>
          <w:p w:rsidR="00AA4BF8" w:rsidRPr="00DD1A3B" w:rsidRDefault="00AA4BF8" w:rsidP="00A752DD">
            <w:pPr>
              <w:pStyle w:val="C"/>
              <w:widowControl/>
              <w:spacing w:before="0" w:after="0"/>
              <w:rPr>
                <w:rFonts w:ascii="Arial" w:hAnsi="Arial" w:cs="Arial"/>
                <w:b w:val="0"/>
                <w:color w:val="000000" w:themeColor="text1"/>
                <w:sz w:val="20"/>
              </w:rPr>
            </w:pPr>
          </w:p>
        </w:tc>
        <w:tc>
          <w:tcPr>
            <w:tcW w:w="4206" w:type="dxa"/>
            <w:vMerge/>
            <w:vAlign w:val="center"/>
          </w:tcPr>
          <w:p w:rsidR="00AA4BF8" w:rsidRPr="00DD1A3B" w:rsidRDefault="00AA4BF8" w:rsidP="00A752DD">
            <w:pPr>
              <w:pStyle w:val="C"/>
              <w:widowControl/>
              <w:spacing w:before="0" w:after="0"/>
              <w:rPr>
                <w:rFonts w:ascii="Arial" w:hAnsi="Arial" w:cs="Arial"/>
                <w:b w:val="0"/>
                <w:color w:val="000000" w:themeColor="text1"/>
                <w:sz w:val="20"/>
              </w:rPr>
            </w:pPr>
          </w:p>
        </w:tc>
        <w:tc>
          <w:tcPr>
            <w:tcW w:w="2472" w:type="dxa"/>
            <w:vAlign w:val="center"/>
          </w:tcPr>
          <w:p w:rsidR="00AA4BF8" w:rsidRPr="00DD1A3B" w:rsidRDefault="00AA4BF8" w:rsidP="003E0514">
            <w:pPr>
              <w:pStyle w:val="C"/>
              <w:widowControl/>
              <w:spacing w:before="0" w:after="0"/>
              <w:rPr>
                <w:rFonts w:ascii="Arial" w:hAnsi="Arial" w:cs="Arial"/>
                <w:b w:val="0"/>
                <w:color w:val="000000" w:themeColor="text1"/>
                <w:sz w:val="20"/>
              </w:rPr>
            </w:pPr>
            <w:r w:rsidRPr="00DD1A3B">
              <w:rPr>
                <w:rFonts w:ascii="Arial" w:hAnsi="Arial" w:cs="Arial"/>
                <w:b w:val="0"/>
                <w:color w:val="000000" w:themeColor="text1"/>
                <w:sz w:val="20"/>
              </w:rPr>
              <w:t>Non-Filer</w:t>
            </w:r>
            <w:r w:rsidR="00343375" w:rsidRPr="00DD1A3B">
              <w:rPr>
                <w:rFonts w:ascii="Arial" w:hAnsi="Arial" w:cs="Arial"/>
                <w:b w:val="0"/>
                <w:color w:val="000000" w:themeColor="text1"/>
                <w:sz w:val="20"/>
              </w:rPr>
              <w:t xml:space="preserve"> </w:t>
            </w:r>
            <w:r w:rsidR="003E0514" w:rsidRPr="00D47C20">
              <w:rPr>
                <w:rStyle w:val="FootnoteReference"/>
                <w:rFonts w:ascii="Arial" w:hAnsi="Arial" w:cs="Arial"/>
                <w:b w:val="0"/>
                <w:color w:val="0070C0"/>
                <w:sz w:val="20"/>
              </w:rPr>
              <w:footnoteReference w:id="1730"/>
            </w:r>
            <w:r w:rsidR="003E0514" w:rsidRPr="00D47C20">
              <w:rPr>
                <w:rFonts w:ascii="Arial" w:hAnsi="Arial" w:cs="Arial"/>
                <w:b w:val="0"/>
                <w:color w:val="0070C0"/>
                <w:sz w:val="20"/>
              </w:rPr>
              <w:t>[4]</w:t>
            </w:r>
            <w:r w:rsidRPr="00DD1A3B">
              <w:rPr>
                <w:rFonts w:ascii="Arial" w:hAnsi="Arial" w:cs="Arial"/>
                <w:b w:val="0"/>
                <w:color w:val="000000" w:themeColor="text1"/>
                <w:sz w:val="20"/>
              </w:rPr>
              <w:t>%</w:t>
            </w:r>
          </w:p>
        </w:tc>
      </w:tr>
    </w:tbl>
    <w:p w:rsidR="00AA4BF8" w:rsidRPr="006914C5" w:rsidRDefault="00AA4BF8" w:rsidP="00AA4BF8">
      <w:pPr>
        <w:pStyle w:val="C"/>
        <w:widowControl/>
        <w:spacing w:before="0" w:after="0"/>
        <w:jc w:val="left"/>
        <w:rPr>
          <w:rFonts w:ascii="Arial" w:hAnsi="Arial" w:cs="Arial"/>
          <w:color w:val="00B0F0"/>
          <w:sz w:val="20"/>
        </w:rPr>
      </w:pPr>
    </w:p>
    <w:p w:rsidR="00AA4BF8" w:rsidRPr="006914C5" w:rsidRDefault="00AA4BF8" w:rsidP="00AA4BF8">
      <w:pPr>
        <w:pStyle w:val="C"/>
        <w:widowControl/>
        <w:spacing w:before="0" w:after="0"/>
        <w:ind w:firstLine="547"/>
        <w:jc w:val="left"/>
        <w:rPr>
          <w:rFonts w:ascii="Arial" w:hAnsi="Arial" w:cs="Arial"/>
          <w:b w:val="0"/>
          <w:bCs/>
          <w:color w:val="00B0F0"/>
          <w:sz w:val="20"/>
        </w:rPr>
      </w:pPr>
      <w:r w:rsidRPr="00DD1A3B">
        <w:rPr>
          <w:rFonts w:ascii="Arial" w:hAnsi="Arial" w:cs="Arial"/>
          <w:b w:val="0"/>
          <w:color w:val="000000" w:themeColor="text1"/>
          <w:sz w:val="20"/>
        </w:rPr>
        <w:t xml:space="preserve">Provided that the rate of tax for Non-Filter shall be 1% upto the date appointed by the Board through notification in official </w:t>
      </w:r>
      <w:r w:rsidRPr="00D550A0">
        <w:rPr>
          <w:rFonts w:ascii="Arial" w:hAnsi="Arial" w:cs="Arial"/>
          <w:b w:val="0"/>
          <w:color w:val="000000" w:themeColor="text1"/>
          <w:sz w:val="20"/>
        </w:rPr>
        <w:t>gazette</w:t>
      </w:r>
      <w:r w:rsidR="00033E7E" w:rsidRPr="00D550A0">
        <w:rPr>
          <w:rFonts w:ascii="Arial" w:hAnsi="Arial" w:cs="Arial"/>
          <w:b w:val="0"/>
          <w:color w:val="000000" w:themeColor="text1"/>
          <w:sz w:val="20"/>
        </w:rPr>
        <w:t xml:space="preserve"> </w:t>
      </w:r>
      <w:r w:rsidR="00033E7E" w:rsidRPr="00D550A0">
        <w:rPr>
          <w:rStyle w:val="FootnoteReference"/>
          <w:rFonts w:ascii="Arial" w:hAnsi="Arial" w:cs="Arial"/>
          <w:b w:val="0"/>
          <w:color w:val="000000" w:themeColor="text1"/>
          <w:sz w:val="20"/>
        </w:rPr>
        <w:footnoteReference w:id="1731"/>
      </w:r>
      <w:r w:rsidR="00033E7E" w:rsidRPr="00D550A0">
        <w:rPr>
          <w:rFonts w:ascii="Arial" w:hAnsi="Arial" w:cs="Arial"/>
          <w:b w:val="0"/>
          <w:color w:val="000000" w:themeColor="text1"/>
          <w:sz w:val="20"/>
        </w:rPr>
        <w:t>[ * ]</w:t>
      </w:r>
      <w:r w:rsidRPr="00D550A0">
        <w:rPr>
          <w:rFonts w:ascii="Arial" w:hAnsi="Arial" w:cs="Arial"/>
          <w:b w:val="0"/>
          <w:color w:val="000000" w:themeColor="text1"/>
          <w:sz w:val="20"/>
        </w:rPr>
        <w:t>.</w:t>
      </w:r>
    </w:p>
    <w:p w:rsidR="00AA4BF8" w:rsidRDefault="00AA4BF8" w:rsidP="00AA4BF8">
      <w:pPr>
        <w:pStyle w:val="C"/>
        <w:widowControl/>
        <w:spacing w:before="0" w:after="0"/>
        <w:rPr>
          <w:rFonts w:ascii="Arial" w:hAnsi="Arial" w:cs="Arial"/>
          <w:b w:val="0"/>
          <w:bCs/>
          <w:sz w:val="20"/>
        </w:rPr>
      </w:pPr>
    </w:p>
    <w:p w:rsidR="00AA4BF8" w:rsidRPr="00DD1A3B" w:rsidRDefault="00AA4BF8" w:rsidP="00AA4BF8">
      <w:pPr>
        <w:pStyle w:val="C"/>
        <w:widowControl/>
        <w:spacing w:before="0" w:after="0"/>
        <w:rPr>
          <w:rFonts w:ascii="Arial" w:hAnsi="Arial" w:cs="Arial"/>
          <w:i/>
          <w:color w:val="000000" w:themeColor="text1"/>
        </w:rPr>
      </w:pPr>
      <w:r w:rsidRPr="00DD1A3B">
        <w:rPr>
          <w:rFonts w:ascii="Arial" w:hAnsi="Arial" w:cs="Arial"/>
          <w:i/>
          <w:color w:val="000000" w:themeColor="text1"/>
          <w:sz w:val="28"/>
          <w:szCs w:val="28"/>
        </w:rPr>
        <w:t>Division XIX</w:t>
      </w:r>
    </w:p>
    <w:p w:rsidR="00AA4BF8" w:rsidRPr="00DD1A3B" w:rsidRDefault="00AA4BF8" w:rsidP="00AA4BF8">
      <w:pPr>
        <w:pStyle w:val="C"/>
        <w:widowControl/>
        <w:spacing w:before="0" w:after="0"/>
        <w:rPr>
          <w:rFonts w:ascii="Arial" w:hAnsi="Arial" w:cs="Arial"/>
          <w:color w:val="000000" w:themeColor="text1"/>
          <w:sz w:val="20"/>
        </w:rPr>
      </w:pPr>
      <w:r w:rsidRPr="00DD1A3B">
        <w:rPr>
          <w:rFonts w:ascii="Arial" w:hAnsi="Arial" w:cs="Arial"/>
          <w:color w:val="000000" w:themeColor="text1"/>
          <w:sz w:val="20"/>
        </w:rPr>
        <w:t>Advance tax on Domestic Electricity Consumption</w:t>
      </w:r>
    </w:p>
    <w:p w:rsidR="00AA4BF8" w:rsidRPr="00DD1A3B" w:rsidRDefault="00AA4BF8" w:rsidP="00AA4BF8">
      <w:pPr>
        <w:pStyle w:val="C"/>
        <w:widowControl/>
        <w:spacing w:before="0" w:after="0"/>
        <w:rPr>
          <w:rFonts w:ascii="Arial" w:hAnsi="Arial" w:cs="Arial"/>
          <w:color w:val="000000" w:themeColor="text1"/>
          <w:sz w:val="20"/>
        </w:rPr>
      </w:pPr>
    </w:p>
    <w:p w:rsidR="00AA4BF8" w:rsidRPr="00DD1A3B" w:rsidRDefault="00AA4BF8" w:rsidP="00AA4BF8">
      <w:pPr>
        <w:pStyle w:val="C"/>
        <w:widowControl/>
        <w:spacing w:before="0" w:after="0"/>
        <w:jc w:val="left"/>
        <w:rPr>
          <w:rFonts w:ascii="Arial" w:hAnsi="Arial" w:cs="Arial"/>
          <w:b w:val="0"/>
          <w:bCs/>
          <w:color w:val="000000" w:themeColor="text1"/>
          <w:sz w:val="20"/>
        </w:rPr>
      </w:pPr>
      <w:r w:rsidRPr="00DD1A3B">
        <w:rPr>
          <w:rFonts w:ascii="Arial" w:hAnsi="Arial" w:cs="Arial"/>
          <w:b w:val="0"/>
          <w:color w:val="000000" w:themeColor="text1"/>
          <w:sz w:val="20"/>
        </w:rPr>
        <w:t>The rate of tax to be collected under section 235A shall be---</w:t>
      </w:r>
    </w:p>
    <w:p w:rsidR="00AA4BF8" w:rsidRPr="00DD1A3B" w:rsidRDefault="00AA4BF8" w:rsidP="00AA4BF8">
      <w:pPr>
        <w:pStyle w:val="C"/>
        <w:widowControl/>
        <w:spacing w:before="0" w:after="0"/>
        <w:jc w:val="left"/>
        <w:rPr>
          <w:rFonts w:ascii="Arial" w:hAnsi="Arial" w:cs="Arial"/>
          <w:b w:val="0"/>
          <w:bCs/>
          <w:color w:val="000000" w:themeColor="text1"/>
          <w:sz w:val="20"/>
        </w:rPr>
      </w:pPr>
    </w:p>
    <w:p w:rsidR="00AA4BF8" w:rsidRPr="00DD1A3B" w:rsidRDefault="00AA4BF8" w:rsidP="004B20DC">
      <w:pPr>
        <w:pStyle w:val="C"/>
        <w:widowControl/>
        <w:numPr>
          <w:ilvl w:val="0"/>
          <w:numId w:val="40"/>
        </w:numPr>
        <w:spacing w:before="0" w:after="0"/>
        <w:ind w:left="1170" w:hanging="810"/>
        <w:jc w:val="left"/>
        <w:rPr>
          <w:b w:val="0"/>
          <w:bCs/>
          <w:color w:val="000000" w:themeColor="text1"/>
          <w:sz w:val="32"/>
          <w:szCs w:val="32"/>
        </w:rPr>
      </w:pPr>
      <w:r w:rsidRPr="00DD1A3B">
        <w:rPr>
          <w:rFonts w:ascii="Arial" w:hAnsi="Arial" w:cs="Arial"/>
          <w:b w:val="0"/>
          <w:color w:val="000000" w:themeColor="text1"/>
          <w:sz w:val="20"/>
        </w:rPr>
        <w:t>7.5% if the amount of monthly bill is Rs.</w:t>
      </w:r>
      <w:r w:rsidRPr="00D13C39">
        <w:rPr>
          <w:rFonts w:ascii="Arial" w:hAnsi="Arial" w:cs="Arial"/>
          <w:b w:val="0"/>
          <w:color w:val="00B0F0"/>
          <w:sz w:val="20"/>
        </w:rPr>
        <w:t xml:space="preserve"> </w:t>
      </w:r>
      <w:r w:rsidR="0004493F" w:rsidRPr="00D550A0">
        <w:rPr>
          <w:rStyle w:val="FootnoteReference"/>
          <w:rFonts w:ascii="Arial" w:hAnsi="Arial" w:cs="Arial"/>
          <w:b w:val="0"/>
          <w:color w:val="000000" w:themeColor="text1"/>
          <w:sz w:val="20"/>
        </w:rPr>
        <w:footnoteReference w:id="1732"/>
      </w:r>
      <w:r w:rsidR="001B4D17" w:rsidRPr="00D550A0">
        <w:rPr>
          <w:rFonts w:ascii="Arial" w:hAnsi="Arial" w:cs="Arial"/>
          <w:b w:val="0"/>
          <w:color w:val="000000" w:themeColor="text1"/>
          <w:sz w:val="20"/>
        </w:rPr>
        <w:t>[“75,000”]</w:t>
      </w:r>
      <w:r w:rsidR="00DD1A3B">
        <w:rPr>
          <w:rFonts w:ascii="Arial" w:hAnsi="Arial" w:cs="Arial"/>
          <w:b w:val="0"/>
          <w:color w:val="984806" w:themeColor="accent6" w:themeShade="80"/>
          <w:sz w:val="20"/>
        </w:rPr>
        <w:t xml:space="preserve"> </w:t>
      </w:r>
      <w:r w:rsidRPr="00DD1A3B">
        <w:rPr>
          <w:rFonts w:ascii="Arial" w:hAnsi="Arial" w:cs="Arial"/>
          <w:b w:val="0"/>
          <w:color w:val="000000" w:themeColor="text1"/>
          <w:sz w:val="20"/>
        </w:rPr>
        <w:t>or more; and</w:t>
      </w:r>
    </w:p>
    <w:p w:rsidR="00AA4BF8" w:rsidRPr="00DD1A3B" w:rsidRDefault="00AA4BF8" w:rsidP="004B20DC">
      <w:pPr>
        <w:pStyle w:val="C"/>
        <w:widowControl/>
        <w:numPr>
          <w:ilvl w:val="0"/>
          <w:numId w:val="40"/>
        </w:numPr>
        <w:spacing w:before="0" w:after="0"/>
        <w:ind w:left="1170" w:hanging="810"/>
        <w:jc w:val="left"/>
        <w:rPr>
          <w:b w:val="0"/>
          <w:bCs/>
          <w:color w:val="000000" w:themeColor="text1"/>
          <w:sz w:val="32"/>
          <w:szCs w:val="32"/>
        </w:rPr>
      </w:pPr>
      <w:r w:rsidRPr="00DD1A3B">
        <w:rPr>
          <w:rFonts w:ascii="Arial" w:hAnsi="Arial" w:cs="Arial"/>
          <w:b w:val="0"/>
          <w:color w:val="000000" w:themeColor="text1"/>
          <w:sz w:val="20"/>
          <w:szCs w:val="32"/>
        </w:rPr>
        <w:t xml:space="preserve">0% the amount of monthly bill is less than Rs. </w:t>
      </w:r>
      <w:r w:rsidR="007B075D" w:rsidRPr="00D47C20">
        <w:rPr>
          <w:rStyle w:val="FootnoteReference"/>
          <w:rFonts w:ascii="Arial" w:hAnsi="Arial" w:cs="Arial"/>
          <w:b w:val="0"/>
          <w:color w:val="0070C0"/>
          <w:sz w:val="20"/>
        </w:rPr>
        <w:footnoteReference w:id="1733"/>
      </w:r>
      <w:r w:rsidR="007B075D" w:rsidRPr="00D47C20">
        <w:rPr>
          <w:rFonts w:ascii="Arial" w:hAnsi="Arial" w:cs="Arial"/>
          <w:b w:val="0"/>
          <w:color w:val="0070C0"/>
          <w:sz w:val="20"/>
        </w:rPr>
        <w:t>[75,000]</w:t>
      </w:r>
      <w:r w:rsidRPr="00DD1A3B">
        <w:rPr>
          <w:rFonts w:ascii="Arial" w:hAnsi="Arial" w:cs="Arial"/>
          <w:b w:val="0"/>
          <w:color w:val="000000" w:themeColor="text1"/>
          <w:sz w:val="20"/>
          <w:szCs w:val="32"/>
        </w:rPr>
        <w:t>.</w:t>
      </w:r>
    </w:p>
    <w:p w:rsidR="00AA4BF8" w:rsidRPr="00D13C39" w:rsidRDefault="00AA4BF8" w:rsidP="00AA4BF8">
      <w:pPr>
        <w:pStyle w:val="C"/>
        <w:widowControl/>
        <w:spacing w:before="0" w:after="0"/>
        <w:ind w:left="1440"/>
        <w:jc w:val="left"/>
        <w:rPr>
          <w:b w:val="0"/>
          <w:bCs/>
          <w:color w:val="00B0F0"/>
          <w:sz w:val="32"/>
          <w:szCs w:val="32"/>
        </w:rPr>
      </w:pPr>
    </w:p>
    <w:p w:rsidR="00AA4BF8" w:rsidRPr="00DD1A3B" w:rsidRDefault="00AA4BF8" w:rsidP="00AA4BF8">
      <w:pPr>
        <w:pStyle w:val="C"/>
        <w:widowControl/>
        <w:spacing w:before="0" w:after="0"/>
        <w:rPr>
          <w:rFonts w:ascii="Arial" w:hAnsi="Arial" w:cs="Arial"/>
          <w:i/>
          <w:color w:val="000000" w:themeColor="text1"/>
        </w:rPr>
      </w:pPr>
      <w:r w:rsidRPr="00DD1A3B">
        <w:rPr>
          <w:rFonts w:ascii="Arial" w:hAnsi="Arial" w:cs="Arial"/>
          <w:i/>
          <w:color w:val="000000" w:themeColor="text1"/>
          <w:sz w:val="28"/>
          <w:szCs w:val="28"/>
        </w:rPr>
        <w:t>Division XX</w:t>
      </w:r>
    </w:p>
    <w:p w:rsidR="00AA4BF8" w:rsidRPr="00DD1A3B" w:rsidRDefault="00AA4BF8" w:rsidP="00AA4BF8">
      <w:pPr>
        <w:pStyle w:val="C"/>
        <w:widowControl/>
        <w:spacing w:before="0" w:after="0"/>
        <w:rPr>
          <w:rFonts w:ascii="Arial" w:hAnsi="Arial" w:cs="Arial"/>
          <w:color w:val="000000" w:themeColor="text1"/>
          <w:sz w:val="20"/>
        </w:rPr>
      </w:pPr>
      <w:r w:rsidRPr="00DD1A3B">
        <w:rPr>
          <w:rFonts w:ascii="Arial" w:hAnsi="Arial" w:cs="Arial"/>
          <w:color w:val="000000" w:themeColor="text1"/>
          <w:sz w:val="20"/>
        </w:rPr>
        <w:t>Advance tax on international air ticket</w:t>
      </w:r>
    </w:p>
    <w:p w:rsidR="00AA4BF8" w:rsidRPr="00DD1A3B" w:rsidRDefault="00AA4BF8" w:rsidP="00AA4BF8">
      <w:pPr>
        <w:pStyle w:val="C"/>
        <w:widowControl/>
        <w:spacing w:before="0" w:after="0"/>
        <w:rPr>
          <w:rFonts w:ascii="Arial" w:hAnsi="Arial" w:cs="Arial"/>
          <w:color w:val="000000" w:themeColor="text1"/>
          <w:sz w:val="20"/>
        </w:rPr>
      </w:pPr>
    </w:p>
    <w:p w:rsidR="00AA4BF8" w:rsidRPr="00DD1A3B" w:rsidRDefault="00AA4BF8" w:rsidP="00AA4BF8">
      <w:pPr>
        <w:pStyle w:val="C"/>
        <w:widowControl/>
        <w:spacing w:before="0" w:after="0"/>
        <w:jc w:val="left"/>
        <w:rPr>
          <w:rFonts w:ascii="Arial" w:hAnsi="Arial" w:cs="Arial"/>
          <w:b w:val="0"/>
          <w:color w:val="000000" w:themeColor="text1"/>
          <w:sz w:val="20"/>
        </w:rPr>
      </w:pPr>
      <w:r w:rsidRPr="00DD1A3B">
        <w:rPr>
          <w:rFonts w:ascii="Arial" w:hAnsi="Arial" w:cs="Arial"/>
          <w:b w:val="0"/>
          <w:color w:val="000000" w:themeColor="text1"/>
          <w:sz w:val="20"/>
        </w:rPr>
        <w:t>The rate of tax to be collected under section 236L shall be:-</w:t>
      </w:r>
    </w:p>
    <w:p w:rsidR="0004493F" w:rsidRDefault="0004493F" w:rsidP="00AA4BF8">
      <w:pPr>
        <w:pStyle w:val="C"/>
        <w:widowControl/>
        <w:spacing w:before="0" w:after="0"/>
        <w:jc w:val="left"/>
        <w:rPr>
          <w:rFonts w:ascii="Arial" w:hAnsi="Arial" w:cs="Arial"/>
          <w:b w:val="0"/>
          <w:color w:val="00B0F0"/>
          <w:sz w:val="20"/>
        </w:rPr>
      </w:pPr>
    </w:p>
    <w:tbl>
      <w:tblPr>
        <w:tblStyle w:val="TableGrid"/>
        <w:tblW w:w="0" w:type="auto"/>
        <w:tblInd w:w="18" w:type="dxa"/>
        <w:tblLook w:val="04A0"/>
      </w:tblPr>
      <w:tblGrid>
        <w:gridCol w:w="1080"/>
        <w:gridCol w:w="3510"/>
        <w:gridCol w:w="2250"/>
      </w:tblGrid>
      <w:tr w:rsidR="0004493F" w:rsidRPr="00D13C39" w:rsidTr="0004493F">
        <w:tc>
          <w:tcPr>
            <w:tcW w:w="1080" w:type="dxa"/>
            <w:vAlign w:val="center"/>
          </w:tcPr>
          <w:p w:rsidR="0004493F" w:rsidRPr="00D550A0" w:rsidRDefault="0004493F" w:rsidP="00303B88">
            <w:pPr>
              <w:pStyle w:val="C"/>
              <w:widowControl/>
              <w:spacing w:before="0" w:after="0"/>
              <w:rPr>
                <w:rFonts w:ascii="Arial" w:hAnsi="Arial" w:cs="Arial"/>
                <w:b w:val="0"/>
                <w:bCs/>
                <w:color w:val="000000" w:themeColor="text1"/>
                <w:sz w:val="20"/>
              </w:rPr>
            </w:pPr>
            <w:r w:rsidRPr="00D550A0">
              <w:rPr>
                <w:rStyle w:val="FootnoteReference"/>
                <w:rFonts w:ascii="Arial" w:hAnsi="Arial" w:cs="Arial"/>
                <w:b w:val="0"/>
                <w:color w:val="000000" w:themeColor="text1"/>
                <w:sz w:val="20"/>
              </w:rPr>
              <w:footnoteReference w:id="1734"/>
            </w:r>
            <w:r w:rsidRPr="00D550A0">
              <w:rPr>
                <w:rFonts w:ascii="Arial" w:hAnsi="Arial" w:cs="Arial"/>
                <w:b w:val="0"/>
                <w:color w:val="000000" w:themeColor="text1"/>
                <w:sz w:val="20"/>
              </w:rPr>
              <w:t>[“S. No.</w:t>
            </w:r>
          </w:p>
        </w:tc>
        <w:tc>
          <w:tcPr>
            <w:tcW w:w="3510" w:type="dxa"/>
            <w:vAlign w:val="center"/>
          </w:tcPr>
          <w:p w:rsidR="0004493F" w:rsidRPr="00D550A0" w:rsidRDefault="0004493F" w:rsidP="00303B88">
            <w:pPr>
              <w:pStyle w:val="C"/>
              <w:widowControl/>
              <w:spacing w:before="0" w:after="0"/>
              <w:rPr>
                <w:rFonts w:ascii="Arial" w:hAnsi="Arial" w:cs="Arial"/>
                <w:b w:val="0"/>
                <w:bCs/>
                <w:color w:val="000000" w:themeColor="text1"/>
                <w:sz w:val="20"/>
              </w:rPr>
            </w:pPr>
            <w:r w:rsidRPr="00D550A0">
              <w:rPr>
                <w:rFonts w:ascii="Arial" w:hAnsi="Arial" w:cs="Arial"/>
                <w:b w:val="0"/>
                <w:color w:val="000000" w:themeColor="text1"/>
                <w:sz w:val="20"/>
              </w:rPr>
              <w:t>Type of Ticket</w:t>
            </w:r>
          </w:p>
        </w:tc>
        <w:tc>
          <w:tcPr>
            <w:tcW w:w="2250" w:type="dxa"/>
            <w:vAlign w:val="center"/>
          </w:tcPr>
          <w:p w:rsidR="0004493F" w:rsidRPr="00D550A0" w:rsidRDefault="0004493F" w:rsidP="00303B88">
            <w:pPr>
              <w:pStyle w:val="C"/>
              <w:widowControl/>
              <w:spacing w:before="0" w:after="0"/>
              <w:rPr>
                <w:rFonts w:ascii="Arial" w:hAnsi="Arial" w:cs="Arial"/>
                <w:b w:val="0"/>
                <w:bCs/>
                <w:color w:val="000000" w:themeColor="text1"/>
                <w:sz w:val="20"/>
              </w:rPr>
            </w:pPr>
            <w:r w:rsidRPr="00D550A0">
              <w:rPr>
                <w:rFonts w:ascii="Arial" w:hAnsi="Arial" w:cs="Arial"/>
                <w:b w:val="0"/>
                <w:color w:val="000000" w:themeColor="text1"/>
                <w:sz w:val="20"/>
              </w:rPr>
              <w:t>Rate</w:t>
            </w:r>
          </w:p>
        </w:tc>
      </w:tr>
      <w:tr w:rsidR="0004493F" w:rsidRPr="00D13C39" w:rsidTr="0004493F">
        <w:tc>
          <w:tcPr>
            <w:tcW w:w="1080" w:type="dxa"/>
            <w:vAlign w:val="center"/>
          </w:tcPr>
          <w:p w:rsidR="0004493F" w:rsidRPr="00D550A0" w:rsidRDefault="0004493F" w:rsidP="00303B88">
            <w:pPr>
              <w:pStyle w:val="C"/>
              <w:widowControl/>
              <w:spacing w:before="0" w:after="0"/>
              <w:rPr>
                <w:rFonts w:ascii="Arial" w:hAnsi="Arial" w:cs="Arial"/>
                <w:b w:val="0"/>
                <w:bCs/>
                <w:color w:val="000000" w:themeColor="text1"/>
                <w:sz w:val="20"/>
              </w:rPr>
            </w:pPr>
            <w:r w:rsidRPr="00D550A0">
              <w:rPr>
                <w:rFonts w:ascii="Arial" w:hAnsi="Arial" w:cs="Arial"/>
                <w:b w:val="0"/>
                <w:color w:val="000000" w:themeColor="text1"/>
                <w:sz w:val="20"/>
              </w:rPr>
              <w:lastRenderedPageBreak/>
              <w:t>(1)</w:t>
            </w:r>
          </w:p>
        </w:tc>
        <w:tc>
          <w:tcPr>
            <w:tcW w:w="3510" w:type="dxa"/>
            <w:vAlign w:val="center"/>
          </w:tcPr>
          <w:p w:rsidR="0004493F" w:rsidRPr="00D550A0" w:rsidRDefault="0004493F" w:rsidP="00303B88">
            <w:pPr>
              <w:pStyle w:val="C"/>
              <w:widowControl/>
              <w:spacing w:before="0" w:after="0"/>
              <w:rPr>
                <w:rFonts w:ascii="Arial" w:hAnsi="Arial" w:cs="Arial"/>
                <w:b w:val="0"/>
                <w:bCs/>
                <w:color w:val="000000" w:themeColor="text1"/>
                <w:sz w:val="20"/>
              </w:rPr>
            </w:pPr>
            <w:r w:rsidRPr="00D550A0">
              <w:rPr>
                <w:rFonts w:ascii="Arial" w:hAnsi="Arial" w:cs="Arial"/>
                <w:b w:val="0"/>
                <w:color w:val="000000" w:themeColor="text1"/>
                <w:sz w:val="20"/>
              </w:rPr>
              <w:t>(2)</w:t>
            </w:r>
          </w:p>
        </w:tc>
        <w:tc>
          <w:tcPr>
            <w:tcW w:w="2250" w:type="dxa"/>
            <w:vAlign w:val="center"/>
          </w:tcPr>
          <w:p w:rsidR="0004493F" w:rsidRPr="00D550A0" w:rsidRDefault="0004493F" w:rsidP="00303B88">
            <w:pPr>
              <w:pStyle w:val="C"/>
              <w:widowControl/>
              <w:spacing w:before="0" w:after="0"/>
              <w:rPr>
                <w:rFonts w:ascii="Arial" w:hAnsi="Arial" w:cs="Arial"/>
                <w:b w:val="0"/>
                <w:bCs/>
                <w:color w:val="000000" w:themeColor="text1"/>
                <w:sz w:val="20"/>
              </w:rPr>
            </w:pPr>
            <w:r w:rsidRPr="00D550A0">
              <w:rPr>
                <w:rFonts w:ascii="Arial" w:hAnsi="Arial" w:cs="Arial"/>
                <w:b w:val="0"/>
                <w:color w:val="000000" w:themeColor="text1"/>
                <w:sz w:val="20"/>
              </w:rPr>
              <w:t>(3)</w:t>
            </w:r>
          </w:p>
        </w:tc>
      </w:tr>
      <w:tr w:rsidR="0004493F" w:rsidRPr="00D13C39" w:rsidTr="0004493F">
        <w:trPr>
          <w:trHeight w:val="314"/>
        </w:trPr>
        <w:tc>
          <w:tcPr>
            <w:tcW w:w="1080" w:type="dxa"/>
            <w:vAlign w:val="center"/>
          </w:tcPr>
          <w:p w:rsidR="0004493F" w:rsidRPr="00D550A0" w:rsidRDefault="0004493F" w:rsidP="00303B88">
            <w:pPr>
              <w:pStyle w:val="C"/>
              <w:widowControl/>
              <w:spacing w:before="0" w:after="0"/>
              <w:rPr>
                <w:rFonts w:ascii="Arial" w:hAnsi="Arial" w:cs="Arial"/>
                <w:b w:val="0"/>
                <w:bCs/>
                <w:color w:val="000000" w:themeColor="text1"/>
                <w:sz w:val="20"/>
              </w:rPr>
            </w:pPr>
            <w:r w:rsidRPr="00D550A0">
              <w:rPr>
                <w:rFonts w:ascii="Arial" w:hAnsi="Arial" w:cs="Arial"/>
                <w:b w:val="0"/>
                <w:color w:val="000000" w:themeColor="text1"/>
                <w:sz w:val="20"/>
              </w:rPr>
              <w:t>1.</w:t>
            </w:r>
          </w:p>
        </w:tc>
        <w:tc>
          <w:tcPr>
            <w:tcW w:w="3510" w:type="dxa"/>
            <w:vAlign w:val="center"/>
          </w:tcPr>
          <w:p w:rsidR="0004493F" w:rsidRPr="00D550A0" w:rsidRDefault="0004493F" w:rsidP="00303B88">
            <w:pPr>
              <w:pStyle w:val="C"/>
              <w:widowControl/>
              <w:spacing w:before="0" w:after="0"/>
              <w:jc w:val="left"/>
              <w:rPr>
                <w:rFonts w:ascii="Arial" w:hAnsi="Arial" w:cs="Arial"/>
                <w:b w:val="0"/>
                <w:bCs/>
                <w:color w:val="000000" w:themeColor="text1"/>
                <w:sz w:val="20"/>
              </w:rPr>
            </w:pPr>
            <w:r w:rsidRPr="00D550A0">
              <w:rPr>
                <w:rFonts w:ascii="Arial" w:hAnsi="Arial" w:cs="Arial"/>
                <w:b w:val="0"/>
                <w:bCs/>
                <w:color w:val="000000" w:themeColor="text1"/>
                <w:sz w:val="20"/>
              </w:rPr>
              <w:t>First/Executive Class</w:t>
            </w:r>
          </w:p>
        </w:tc>
        <w:tc>
          <w:tcPr>
            <w:tcW w:w="2250" w:type="dxa"/>
            <w:vAlign w:val="center"/>
          </w:tcPr>
          <w:p w:rsidR="0004493F" w:rsidRPr="00D550A0" w:rsidRDefault="0004493F" w:rsidP="0004493F">
            <w:pPr>
              <w:pStyle w:val="C"/>
              <w:widowControl/>
              <w:spacing w:before="0" w:after="0"/>
              <w:rPr>
                <w:rFonts w:ascii="Arial" w:hAnsi="Arial" w:cs="Arial"/>
                <w:b w:val="0"/>
                <w:bCs/>
                <w:color w:val="000000" w:themeColor="text1"/>
                <w:sz w:val="20"/>
              </w:rPr>
            </w:pPr>
            <w:r w:rsidRPr="00D550A0">
              <w:rPr>
                <w:rFonts w:ascii="Arial" w:hAnsi="Arial" w:cs="Arial"/>
                <w:b w:val="0"/>
                <w:color w:val="000000" w:themeColor="text1"/>
                <w:sz w:val="20"/>
              </w:rPr>
              <w:t>Rs. 16,000 per person</w:t>
            </w:r>
          </w:p>
        </w:tc>
      </w:tr>
      <w:tr w:rsidR="0004493F" w:rsidRPr="00D13C39" w:rsidTr="0004493F">
        <w:trPr>
          <w:trHeight w:val="260"/>
        </w:trPr>
        <w:tc>
          <w:tcPr>
            <w:tcW w:w="1080" w:type="dxa"/>
            <w:vAlign w:val="center"/>
          </w:tcPr>
          <w:p w:rsidR="0004493F" w:rsidRPr="00D550A0" w:rsidRDefault="0004493F" w:rsidP="00303B88">
            <w:pPr>
              <w:pStyle w:val="C"/>
              <w:widowControl/>
              <w:spacing w:before="0" w:after="0"/>
              <w:rPr>
                <w:rFonts w:ascii="Arial" w:hAnsi="Arial" w:cs="Arial"/>
                <w:b w:val="0"/>
                <w:bCs/>
                <w:color w:val="000000" w:themeColor="text1"/>
                <w:sz w:val="20"/>
              </w:rPr>
            </w:pPr>
            <w:r w:rsidRPr="00D550A0">
              <w:rPr>
                <w:rFonts w:ascii="Arial" w:hAnsi="Arial" w:cs="Arial"/>
                <w:b w:val="0"/>
                <w:color w:val="000000" w:themeColor="text1"/>
                <w:sz w:val="20"/>
              </w:rPr>
              <w:t>2.</w:t>
            </w:r>
          </w:p>
        </w:tc>
        <w:tc>
          <w:tcPr>
            <w:tcW w:w="3510" w:type="dxa"/>
            <w:vAlign w:val="center"/>
          </w:tcPr>
          <w:p w:rsidR="0004493F" w:rsidRPr="00D550A0" w:rsidRDefault="0004493F" w:rsidP="0004493F">
            <w:pPr>
              <w:pStyle w:val="C"/>
              <w:widowControl/>
              <w:spacing w:before="0" w:after="0"/>
              <w:jc w:val="left"/>
              <w:rPr>
                <w:rFonts w:ascii="Arial" w:hAnsi="Arial" w:cs="Arial"/>
                <w:b w:val="0"/>
                <w:bCs/>
                <w:color w:val="000000" w:themeColor="text1"/>
                <w:sz w:val="20"/>
              </w:rPr>
            </w:pPr>
            <w:r w:rsidRPr="00D550A0">
              <w:rPr>
                <w:rFonts w:ascii="Arial" w:hAnsi="Arial" w:cs="Arial"/>
                <w:b w:val="0"/>
                <w:color w:val="000000" w:themeColor="text1"/>
                <w:sz w:val="20"/>
              </w:rPr>
              <w:t>Others</w:t>
            </w:r>
            <w:r w:rsidR="00F077EC" w:rsidRPr="00D550A0">
              <w:rPr>
                <w:rFonts w:ascii="Arial" w:hAnsi="Arial" w:cs="Arial"/>
                <w:b w:val="0"/>
                <w:color w:val="000000" w:themeColor="text1"/>
                <w:sz w:val="20"/>
              </w:rPr>
              <w:t xml:space="preserve"> </w:t>
            </w:r>
            <w:r w:rsidRPr="00D550A0">
              <w:rPr>
                <w:rFonts w:ascii="Arial" w:hAnsi="Arial" w:cs="Arial"/>
                <w:b w:val="0"/>
                <w:color w:val="000000" w:themeColor="text1"/>
                <w:sz w:val="20"/>
              </w:rPr>
              <w:t>excluding Economy</w:t>
            </w:r>
          </w:p>
        </w:tc>
        <w:tc>
          <w:tcPr>
            <w:tcW w:w="2250" w:type="dxa"/>
            <w:vAlign w:val="center"/>
          </w:tcPr>
          <w:p w:rsidR="0004493F" w:rsidRPr="00D550A0" w:rsidRDefault="0004493F" w:rsidP="0004493F">
            <w:pPr>
              <w:pStyle w:val="C"/>
              <w:widowControl/>
              <w:spacing w:before="0" w:after="0"/>
              <w:rPr>
                <w:rFonts w:ascii="Arial" w:hAnsi="Arial" w:cs="Arial"/>
                <w:b w:val="0"/>
                <w:bCs/>
                <w:color w:val="000000" w:themeColor="text1"/>
                <w:sz w:val="20"/>
              </w:rPr>
            </w:pPr>
            <w:r w:rsidRPr="00D550A0">
              <w:rPr>
                <w:rFonts w:ascii="Arial" w:hAnsi="Arial" w:cs="Arial"/>
                <w:b w:val="0"/>
                <w:color w:val="000000" w:themeColor="text1"/>
                <w:sz w:val="20"/>
              </w:rPr>
              <w:t>Rs. 12,000 per person</w:t>
            </w:r>
          </w:p>
        </w:tc>
      </w:tr>
      <w:tr w:rsidR="0004493F" w:rsidRPr="00D13C39" w:rsidTr="0004493F">
        <w:trPr>
          <w:trHeight w:val="260"/>
        </w:trPr>
        <w:tc>
          <w:tcPr>
            <w:tcW w:w="1080" w:type="dxa"/>
            <w:vAlign w:val="center"/>
          </w:tcPr>
          <w:p w:rsidR="0004493F" w:rsidRPr="00D550A0" w:rsidRDefault="0004493F" w:rsidP="00303B88">
            <w:pPr>
              <w:pStyle w:val="C"/>
              <w:widowControl/>
              <w:spacing w:before="0" w:after="0"/>
              <w:rPr>
                <w:rFonts w:ascii="Arial" w:hAnsi="Arial" w:cs="Arial"/>
                <w:b w:val="0"/>
                <w:color w:val="000000" w:themeColor="text1"/>
                <w:sz w:val="20"/>
              </w:rPr>
            </w:pPr>
            <w:r w:rsidRPr="00D550A0">
              <w:rPr>
                <w:rFonts w:ascii="Arial" w:hAnsi="Arial" w:cs="Arial"/>
                <w:b w:val="0"/>
                <w:color w:val="000000" w:themeColor="text1"/>
                <w:sz w:val="20"/>
              </w:rPr>
              <w:t>3.</w:t>
            </w:r>
          </w:p>
        </w:tc>
        <w:tc>
          <w:tcPr>
            <w:tcW w:w="3510" w:type="dxa"/>
            <w:vAlign w:val="center"/>
          </w:tcPr>
          <w:p w:rsidR="0004493F" w:rsidRPr="00D550A0" w:rsidRDefault="0004493F" w:rsidP="00303B88">
            <w:pPr>
              <w:pStyle w:val="C"/>
              <w:widowControl/>
              <w:spacing w:before="0" w:after="0"/>
              <w:jc w:val="left"/>
              <w:rPr>
                <w:rFonts w:ascii="Arial" w:hAnsi="Arial" w:cs="Arial"/>
                <w:b w:val="0"/>
                <w:color w:val="000000" w:themeColor="text1"/>
                <w:sz w:val="20"/>
              </w:rPr>
            </w:pPr>
            <w:r w:rsidRPr="00D550A0">
              <w:rPr>
                <w:rFonts w:ascii="Arial" w:hAnsi="Arial" w:cs="Arial"/>
                <w:b w:val="0"/>
                <w:color w:val="000000" w:themeColor="text1"/>
                <w:sz w:val="20"/>
              </w:rPr>
              <w:t>Economy</w:t>
            </w:r>
          </w:p>
        </w:tc>
        <w:tc>
          <w:tcPr>
            <w:tcW w:w="2250" w:type="dxa"/>
            <w:vAlign w:val="center"/>
          </w:tcPr>
          <w:p w:rsidR="0004493F" w:rsidRPr="00D550A0" w:rsidRDefault="000E177E" w:rsidP="009A2745">
            <w:pPr>
              <w:pStyle w:val="C"/>
              <w:widowControl/>
              <w:spacing w:before="0" w:after="0"/>
              <w:rPr>
                <w:rFonts w:ascii="Arial" w:hAnsi="Arial" w:cs="Arial"/>
                <w:b w:val="0"/>
                <w:color w:val="000000" w:themeColor="text1"/>
                <w:sz w:val="20"/>
              </w:rPr>
            </w:pPr>
            <w:r w:rsidRPr="00D550A0">
              <w:rPr>
                <w:rFonts w:ascii="Arial" w:hAnsi="Arial" w:cs="Arial"/>
                <w:b w:val="0"/>
                <w:color w:val="000000" w:themeColor="text1"/>
                <w:sz w:val="20"/>
              </w:rPr>
              <w:t>0”</w:t>
            </w:r>
            <w:r w:rsidR="0004493F" w:rsidRPr="00D550A0">
              <w:rPr>
                <w:rFonts w:ascii="Arial" w:hAnsi="Arial" w:cs="Arial"/>
                <w:b w:val="0"/>
                <w:color w:val="000000" w:themeColor="text1"/>
                <w:sz w:val="20"/>
              </w:rPr>
              <w:t>]</w:t>
            </w:r>
          </w:p>
        </w:tc>
      </w:tr>
    </w:tbl>
    <w:p w:rsidR="0004493F" w:rsidRDefault="0004493F" w:rsidP="00AA4BF8">
      <w:pPr>
        <w:pStyle w:val="C"/>
        <w:widowControl/>
        <w:spacing w:before="0" w:after="0"/>
        <w:jc w:val="left"/>
        <w:rPr>
          <w:rFonts w:ascii="Arial" w:hAnsi="Arial" w:cs="Arial"/>
          <w:b w:val="0"/>
          <w:color w:val="00B0F0"/>
          <w:sz w:val="20"/>
        </w:rPr>
      </w:pPr>
    </w:p>
    <w:p w:rsidR="00AA4BF8" w:rsidRPr="00D13C39" w:rsidRDefault="00AA4BF8" w:rsidP="00AA4BF8">
      <w:pPr>
        <w:pStyle w:val="C"/>
        <w:widowControl/>
        <w:spacing w:before="0" w:after="0"/>
        <w:rPr>
          <w:rFonts w:ascii="Arial" w:hAnsi="Arial" w:cs="Arial"/>
          <w:color w:val="00B0F0"/>
          <w:sz w:val="20"/>
        </w:rPr>
      </w:pPr>
    </w:p>
    <w:p w:rsidR="00C56C52" w:rsidRPr="00D550A0" w:rsidRDefault="00594948" w:rsidP="00C56C52">
      <w:pPr>
        <w:autoSpaceDE w:val="0"/>
        <w:autoSpaceDN w:val="0"/>
        <w:adjustRightInd w:val="0"/>
        <w:ind w:left="2188" w:firstLine="547"/>
        <w:rPr>
          <w:rFonts w:cs="Arial"/>
          <w:b/>
          <w:bCs/>
          <w:color w:val="000000" w:themeColor="text1"/>
          <w:sz w:val="20"/>
          <w:lang w:val="en-US"/>
        </w:rPr>
      </w:pPr>
      <w:r w:rsidRPr="00D550A0">
        <w:rPr>
          <w:rStyle w:val="FootnoteReference"/>
          <w:rFonts w:cs="Arial"/>
          <w:b/>
          <w:bCs/>
          <w:color w:val="000000" w:themeColor="text1"/>
          <w:sz w:val="20"/>
          <w:lang w:val="en-US"/>
        </w:rPr>
        <w:footnoteReference w:id="1735"/>
      </w:r>
      <w:r w:rsidR="00C56C52" w:rsidRPr="00D550A0">
        <w:rPr>
          <w:rFonts w:cs="Arial"/>
          <w:b/>
          <w:bCs/>
          <w:color w:val="000000" w:themeColor="text1"/>
          <w:sz w:val="20"/>
          <w:lang w:val="en-US"/>
        </w:rPr>
        <w:t>[</w:t>
      </w:r>
      <w:r w:rsidRPr="00D550A0">
        <w:rPr>
          <w:rFonts w:cs="Arial"/>
          <w:b/>
          <w:bCs/>
          <w:color w:val="000000" w:themeColor="text1"/>
          <w:sz w:val="20"/>
          <w:lang w:val="en-US"/>
        </w:rPr>
        <w:t>“</w:t>
      </w:r>
      <w:r w:rsidR="00C56C52" w:rsidRPr="00D550A0">
        <w:rPr>
          <w:rFonts w:cs="Arial"/>
          <w:b/>
          <w:bCs/>
          <w:color w:val="000000" w:themeColor="text1"/>
          <w:sz w:val="20"/>
          <w:lang w:val="en-US"/>
        </w:rPr>
        <w:t>Division XXI</w:t>
      </w:r>
    </w:p>
    <w:p w:rsidR="00C56C52" w:rsidRPr="00D550A0" w:rsidRDefault="00C56C52" w:rsidP="00C56C52">
      <w:pPr>
        <w:autoSpaceDE w:val="0"/>
        <w:autoSpaceDN w:val="0"/>
        <w:adjustRightInd w:val="0"/>
        <w:ind w:left="2188" w:firstLine="547"/>
        <w:rPr>
          <w:rFonts w:cs="Arial"/>
          <w:b/>
          <w:bCs/>
          <w:color w:val="000000" w:themeColor="text1"/>
          <w:sz w:val="20"/>
          <w:lang w:val="en-US"/>
        </w:rPr>
      </w:pPr>
    </w:p>
    <w:p w:rsidR="00C56C52" w:rsidRPr="00D550A0" w:rsidRDefault="00C56C52" w:rsidP="00C56C52">
      <w:pPr>
        <w:autoSpaceDE w:val="0"/>
        <w:autoSpaceDN w:val="0"/>
        <w:adjustRightInd w:val="0"/>
        <w:ind w:left="547" w:firstLine="547"/>
        <w:rPr>
          <w:rFonts w:cs="Arial"/>
          <w:b/>
          <w:bCs/>
          <w:color w:val="000000" w:themeColor="text1"/>
          <w:sz w:val="20"/>
          <w:lang w:val="en-US"/>
        </w:rPr>
      </w:pPr>
      <w:r w:rsidRPr="00D550A0">
        <w:rPr>
          <w:rFonts w:cs="Arial"/>
          <w:b/>
          <w:bCs/>
          <w:color w:val="000000" w:themeColor="text1"/>
          <w:sz w:val="20"/>
          <w:lang w:val="en-US"/>
        </w:rPr>
        <w:t xml:space="preserve">Advance Tax </w:t>
      </w:r>
      <w:r w:rsidR="00C9038B" w:rsidRPr="00D550A0">
        <w:rPr>
          <w:rFonts w:cs="Arial"/>
          <w:b/>
          <w:bCs/>
          <w:color w:val="000000" w:themeColor="text1"/>
          <w:sz w:val="20"/>
          <w:lang w:val="en-US"/>
        </w:rPr>
        <w:t>o</w:t>
      </w:r>
      <w:r w:rsidRPr="00D550A0">
        <w:rPr>
          <w:rFonts w:cs="Arial"/>
          <w:b/>
          <w:bCs/>
          <w:color w:val="000000" w:themeColor="text1"/>
          <w:sz w:val="20"/>
          <w:lang w:val="en-US"/>
        </w:rPr>
        <w:t>n Banking Transactions Otherwise Than</w:t>
      </w:r>
    </w:p>
    <w:p w:rsidR="00C56C52" w:rsidRPr="00D550A0" w:rsidRDefault="00C56C52" w:rsidP="00C56C52">
      <w:pPr>
        <w:autoSpaceDE w:val="0"/>
        <w:autoSpaceDN w:val="0"/>
        <w:adjustRightInd w:val="0"/>
        <w:ind w:left="2188" w:firstLine="547"/>
        <w:rPr>
          <w:rFonts w:cs="Arial"/>
          <w:b/>
          <w:bCs/>
          <w:color w:val="000000" w:themeColor="text1"/>
          <w:sz w:val="20"/>
          <w:lang w:val="en-US"/>
        </w:rPr>
      </w:pPr>
      <w:r w:rsidRPr="00D550A0">
        <w:rPr>
          <w:rFonts w:cs="Arial"/>
          <w:b/>
          <w:bCs/>
          <w:color w:val="000000" w:themeColor="text1"/>
          <w:sz w:val="20"/>
          <w:lang w:val="en-US"/>
        </w:rPr>
        <w:t>Through Cash</w:t>
      </w:r>
    </w:p>
    <w:p w:rsidR="00886D26" w:rsidRPr="00D550A0" w:rsidRDefault="00886D26" w:rsidP="00C56C52">
      <w:pPr>
        <w:autoSpaceDE w:val="0"/>
        <w:autoSpaceDN w:val="0"/>
        <w:adjustRightInd w:val="0"/>
        <w:ind w:left="2188" w:firstLine="547"/>
        <w:rPr>
          <w:rFonts w:cs="Arial"/>
          <w:b/>
          <w:bCs/>
          <w:color w:val="000000" w:themeColor="text1"/>
          <w:sz w:val="20"/>
          <w:lang w:val="en-US"/>
        </w:rPr>
      </w:pPr>
    </w:p>
    <w:p w:rsidR="00C56C52" w:rsidRPr="00D550A0" w:rsidRDefault="00C56C52" w:rsidP="00886D26">
      <w:pPr>
        <w:autoSpaceDE w:val="0"/>
        <w:autoSpaceDN w:val="0"/>
        <w:adjustRightInd w:val="0"/>
        <w:ind w:left="547" w:firstLine="547"/>
        <w:jc w:val="both"/>
        <w:rPr>
          <w:rFonts w:cs="Arial"/>
          <w:color w:val="000000" w:themeColor="text1"/>
          <w:sz w:val="20"/>
          <w:lang w:val="en-US"/>
        </w:rPr>
      </w:pPr>
      <w:r w:rsidRPr="00D550A0">
        <w:rPr>
          <w:rFonts w:cs="Arial"/>
          <w:color w:val="000000" w:themeColor="text1"/>
          <w:sz w:val="20"/>
          <w:lang w:val="en-US"/>
        </w:rPr>
        <w:t>The rate of tax to be collected under section 236P shall be</w:t>
      </w:r>
      <w:r w:rsidR="000340D1" w:rsidRPr="00D550A0">
        <w:rPr>
          <w:rFonts w:cs="Arial"/>
          <w:color w:val="000000" w:themeColor="text1"/>
          <w:sz w:val="20"/>
          <w:lang w:val="en-US"/>
        </w:rPr>
        <w:t xml:space="preserve"> </w:t>
      </w:r>
      <w:r w:rsidRPr="00D550A0">
        <w:rPr>
          <w:rFonts w:cs="Arial"/>
          <w:color w:val="000000" w:themeColor="text1"/>
          <w:sz w:val="20"/>
          <w:lang w:val="en-US"/>
        </w:rPr>
        <w:t>0.6% of the transaction for non-filers.</w:t>
      </w:r>
    </w:p>
    <w:p w:rsidR="00FA1586" w:rsidRPr="00D550A0" w:rsidRDefault="00FA1586" w:rsidP="00886D26">
      <w:pPr>
        <w:autoSpaceDE w:val="0"/>
        <w:autoSpaceDN w:val="0"/>
        <w:adjustRightInd w:val="0"/>
        <w:ind w:left="547" w:firstLine="547"/>
        <w:jc w:val="both"/>
        <w:rPr>
          <w:rFonts w:cs="Arial"/>
          <w:color w:val="000000" w:themeColor="text1"/>
          <w:sz w:val="20"/>
          <w:lang w:val="en-US"/>
        </w:rPr>
      </w:pPr>
    </w:p>
    <w:p w:rsidR="00FA1586" w:rsidRDefault="00FA1586" w:rsidP="00FA1586">
      <w:pPr>
        <w:autoSpaceDE w:val="0"/>
        <w:autoSpaceDN w:val="0"/>
        <w:adjustRightInd w:val="0"/>
        <w:ind w:left="547" w:firstLine="547"/>
        <w:jc w:val="both"/>
        <w:rPr>
          <w:rFonts w:cs="Arial"/>
          <w:color w:val="984806" w:themeColor="accent6" w:themeShade="80"/>
          <w:sz w:val="20"/>
          <w:lang w:val="en-US"/>
        </w:rPr>
      </w:pPr>
      <w:r w:rsidRPr="00D550A0">
        <w:rPr>
          <w:rStyle w:val="FootnoteReference"/>
          <w:rFonts w:cs="Arial"/>
          <w:color w:val="000000" w:themeColor="text1"/>
          <w:sz w:val="20"/>
          <w:lang w:val="en-US"/>
        </w:rPr>
        <w:footnoteReference w:id="1736"/>
      </w:r>
      <w:r w:rsidRPr="00D550A0">
        <w:rPr>
          <w:rFonts w:cs="Arial"/>
          <w:color w:val="000000" w:themeColor="text1"/>
          <w:sz w:val="20"/>
          <w:lang w:val="en-US"/>
        </w:rPr>
        <w:t>[“Provided that the rate specified in this Division</w:t>
      </w:r>
      <w:r w:rsidR="004624C7">
        <w:rPr>
          <w:rFonts w:cs="Arial"/>
          <w:color w:val="984806" w:themeColor="accent6" w:themeShade="80"/>
          <w:sz w:val="20"/>
          <w:lang w:val="en-US"/>
        </w:rPr>
        <w:t xml:space="preserve"> </w:t>
      </w:r>
      <w:r w:rsidR="004624C7" w:rsidRPr="00D47C20">
        <w:rPr>
          <w:rStyle w:val="FootnoteReference"/>
          <w:rFonts w:cs="Arial"/>
          <w:color w:val="0070C0"/>
          <w:sz w:val="20"/>
        </w:rPr>
        <w:footnoteReference w:id="1737"/>
      </w:r>
      <w:r w:rsidR="004624C7" w:rsidRPr="00D47C20">
        <w:rPr>
          <w:rFonts w:cs="Arial"/>
          <w:color w:val="0070C0"/>
          <w:sz w:val="20"/>
        </w:rPr>
        <w:t>[for the period it deems appropriate]</w:t>
      </w:r>
      <w:r>
        <w:rPr>
          <w:rFonts w:cs="Arial"/>
          <w:color w:val="984806" w:themeColor="accent6" w:themeShade="80"/>
          <w:sz w:val="20"/>
          <w:lang w:val="en-US"/>
        </w:rPr>
        <w:t xml:space="preserve"> </w:t>
      </w:r>
      <w:r w:rsidRPr="00D550A0">
        <w:rPr>
          <w:rFonts w:cs="Arial"/>
          <w:color w:val="000000" w:themeColor="text1"/>
          <w:sz w:val="20"/>
          <w:lang w:val="en-US"/>
        </w:rPr>
        <w:t>shall be 0.3 per cent for the period commencing from the 11</w:t>
      </w:r>
      <w:r w:rsidRPr="00D550A0">
        <w:rPr>
          <w:rFonts w:cs="Arial"/>
          <w:color w:val="000000" w:themeColor="text1"/>
          <w:sz w:val="20"/>
          <w:vertAlign w:val="superscript"/>
          <w:lang w:val="en-US"/>
        </w:rPr>
        <w:t>th</w:t>
      </w:r>
      <w:r w:rsidRPr="00D550A0">
        <w:rPr>
          <w:rFonts w:cs="Arial"/>
          <w:color w:val="000000" w:themeColor="text1"/>
          <w:sz w:val="20"/>
          <w:lang w:val="en-US"/>
        </w:rPr>
        <w:t xml:space="preserve"> day of July, 2015 and ending on the 30</w:t>
      </w:r>
      <w:r w:rsidRPr="00D550A0">
        <w:rPr>
          <w:rFonts w:cs="Arial"/>
          <w:color w:val="000000" w:themeColor="text1"/>
          <w:sz w:val="20"/>
          <w:vertAlign w:val="superscript"/>
          <w:lang w:val="en-US"/>
        </w:rPr>
        <w:t>th</w:t>
      </w:r>
      <w:r w:rsidRPr="00D550A0">
        <w:rPr>
          <w:rFonts w:cs="Arial"/>
          <w:color w:val="000000" w:themeColor="text1"/>
          <w:sz w:val="20"/>
          <w:lang w:val="en-US"/>
        </w:rPr>
        <w:t xml:space="preserve"> day of September, 2015 (both days inclusive) or till the date as the Federal Government may, by notification in the official Gazette on recommendation of the Economic Coordination Committee of the Cabinet, extend</w:t>
      </w:r>
      <w:r w:rsidR="00015D11" w:rsidRPr="00D550A0">
        <w:rPr>
          <w:rFonts w:cs="Arial"/>
          <w:color w:val="000000" w:themeColor="text1"/>
          <w:sz w:val="20"/>
          <w:lang w:val="en-US"/>
        </w:rPr>
        <w:t xml:space="preserve"> </w:t>
      </w:r>
      <w:r w:rsidR="00957143" w:rsidRPr="00D550A0">
        <w:rPr>
          <w:rStyle w:val="FootnoteReference"/>
          <w:rFonts w:cs="Arial"/>
          <w:color w:val="000000" w:themeColor="text1"/>
          <w:sz w:val="20"/>
          <w:lang w:val="en-US"/>
        </w:rPr>
        <w:footnoteReference w:id="1738"/>
      </w:r>
      <w:r w:rsidR="00015D11" w:rsidRPr="00D550A0">
        <w:rPr>
          <w:rFonts w:cs="Arial"/>
          <w:color w:val="000000" w:themeColor="text1"/>
          <w:sz w:val="20"/>
          <w:lang w:val="en-US"/>
        </w:rPr>
        <w:t>[:]</w:t>
      </w:r>
      <w:r w:rsidRPr="00D550A0">
        <w:rPr>
          <w:rFonts w:cs="Arial"/>
          <w:color w:val="000000" w:themeColor="text1"/>
          <w:sz w:val="20"/>
          <w:lang w:val="en-US"/>
        </w:rPr>
        <w:t>”]</w:t>
      </w:r>
    </w:p>
    <w:p w:rsidR="00957143" w:rsidRDefault="00957143" w:rsidP="00FA1586">
      <w:pPr>
        <w:autoSpaceDE w:val="0"/>
        <w:autoSpaceDN w:val="0"/>
        <w:adjustRightInd w:val="0"/>
        <w:ind w:left="547" w:firstLine="547"/>
        <w:jc w:val="both"/>
        <w:rPr>
          <w:rFonts w:cs="Arial"/>
          <w:color w:val="984806" w:themeColor="accent6" w:themeShade="80"/>
          <w:sz w:val="20"/>
          <w:lang w:val="en-US"/>
        </w:rPr>
      </w:pPr>
    </w:p>
    <w:p w:rsidR="00957143" w:rsidRPr="00D550A0" w:rsidRDefault="004221EB" w:rsidP="00FA1586">
      <w:pPr>
        <w:autoSpaceDE w:val="0"/>
        <w:autoSpaceDN w:val="0"/>
        <w:adjustRightInd w:val="0"/>
        <w:ind w:left="547" w:firstLine="547"/>
        <w:jc w:val="both"/>
        <w:rPr>
          <w:rFonts w:cs="Arial"/>
          <w:color w:val="000000" w:themeColor="text1"/>
          <w:sz w:val="20"/>
          <w:lang w:val="en-US"/>
        </w:rPr>
      </w:pPr>
      <w:r w:rsidRPr="00D550A0">
        <w:rPr>
          <w:rStyle w:val="FootnoteReference"/>
          <w:rFonts w:cs="Arial"/>
          <w:color w:val="000000" w:themeColor="text1"/>
          <w:sz w:val="20"/>
          <w:lang w:val="en-US"/>
        </w:rPr>
        <w:footnoteReference w:id="1739"/>
      </w:r>
      <w:r w:rsidR="00957143" w:rsidRPr="00D550A0">
        <w:rPr>
          <w:rFonts w:cs="Arial"/>
          <w:color w:val="000000" w:themeColor="text1"/>
          <w:sz w:val="20"/>
          <w:lang w:val="en-US"/>
        </w:rPr>
        <w:t>[“Provided that the Federal Government may, by notification in the official Gazette and on recommendation of the Economic Coordination Committee of the Cabinet, amend the rate specified in this Division.”]</w:t>
      </w:r>
    </w:p>
    <w:p w:rsidR="00FA1586" w:rsidRPr="00D550A0" w:rsidRDefault="00FA1586" w:rsidP="00FA1586">
      <w:pPr>
        <w:autoSpaceDE w:val="0"/>
        <w:autoSpaceDN w:val="0"/>
        <w:adjustRightInd w:val="0"/>
        <w:ind w:left="547" w:firstLine="547"/>
        <w:jc w:val="both"/>
        <w:rPr>
          <w:rFonts w:cs="Arial"/>
          <w:color w:val="000000" w:themeColor="text1"/>
          <w:sz w:val="10"/>
          <w:lang w:val="en-US"/>
        </w:rPr>
      </w:pPr>
    </w:p>
    <w:p w:rsidR="00FA1586" w:rsidRPr="00D550A0" w:rsidRDefault="00FA1586" w:rsidP="00FA1586">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40"/>
      </w:r>
      <w:r w:rsidRPr="00D550A0">
        <w:rPr>
          <w:rFonts w:cs="Arial"/>
          <w:color w:val="000000" w:themeColor="text1"/>
          <w:sz w:val="20"/>
          <w:lang w:val="en-US"/>
        </w:rPr>
        <w:t>[ * ]</w:t>
      </w:r>
    </w:p>
    <w:p w:rsidR="00FC0303" w:rsidRPr="00D550A0" w:rsidRDefault="00FC0303" w:rsidP="00FA1586">
      <w:pPr>
        <w:autoSpaceDE w:val="0"/>
        <w:autoSpaceDN w:val="0"/>
        <w:adjustRightInd w:val="0"/>
        <w:ind w:left="547" w:hanging="7"/>
        <w:jc w:val="both"/>
        <w:rPr>
          <w:rFonts w:cs="Arial"/>
          <w:color w:val="000000" w:themeColor="text1"/>
          <w:sz w:val="6"/>
          <w:lang w:val="en-US"/>
        </w:rPr>
      </w:pPr>
    </w:p>
    <w:p w:rsidR="00FC0303" w:rsidRPr="00D550A0" w:rsidRDefault="00FC0303" w:rsidP="00FA1586">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41"/>
      </w:r>
      <w:r w:rsidRPr="00D550A0">
        <w:rPr>
          <w:rFonts w:cs="Arial"/>
          <w:color w:val="000000" w:themeColor="text1"/>
          <w:sz w:val="20"/>
          <w:lang w:val="en-US"/>
        </w:rPr>
        <w:t>[ ** ]</w:t>
      </w:r>
    </w:p>
    <w:p w:rsidR="0085629F" w:rsidRPr="00D550A0" w:rsidRDefault="0085629F" w:rsidP="00FA1586">
      <w:pPr>
        <w:autoSpaceDE w:val="0"/>
        <w:autoSpaceDN w:val="0"/>
        <w:adjustRightInd w:val="0"/>
        <w:ind w:left="547" w:hanging="7"/>
        <w:jc w:val="both"/>
        <w:rPr>
          <w:rFonts w:cs="Arial"/>
          <w:color w:val="000000" w:themeColor="text1"/>
          <w:sz w:val="6"/>
          <w:lang w:val="en-US"/>
        </w:rPr>
      </w:pPr>
    </w:p>
    <w:p w:rsidR="0085629F" w:rsidRPr="00D550A0" w:rsidRDefault="0085629F" w:rsidP="0085629F">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42"/>
      </w:r>
      <w:r w:rsidRPr="00D550A0">
        <w:rPr>
          <w:rFonts w:cs="Arial"/>
          <w:color w:val="000000" w:themeColor="text1"/>
          <w:sz w:val="20"/>
          <w:lang w:val="en-US"/>
        </w:rPr>
        <w:t>[ *** ]</w:t>
      </w:r>
    </w:p>
    <w:p w:rsidR="00B64CDC" w:rsidRPr="00586D2F" w:rsidRDefault="00B64CDC" w:rsidP="0085629F">
      <w:pPr>
        <w:autoSpaceDE w:val="0"/>
        <w:autoSpaceDN w:val="0"/>
        <w:adjustRightInd w:val="0"/>
        <w:ind w:left="547" w:hanging="7"/>
        <w:jc w:val="both"/>
        <w:rPr>
          <w:rFonts w:cs="Arial"/>
          <w:color w:val="7030A0"/>
          <w:sz w:val="6"/>
          <w:lang w:val="en-US"/>
        </w:rPr>
      </w:pPr>
    </w:p>
    <w:p w:rsidR="00B64CDC" w:rsidRPr="00D550A0" w:rsidRDefault="00B64CDC" w:rsidP="00B64CDC">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43"/>
      </w:r>
      <w:r w:rsidRPr="00D550A0">
        <w:rPr>
          <w:rFonts w:cs="Arial"/>
          <w:color w:val="000000" w:themeColor="text1"/>
          <w:sz w:val="20"/>
          <w:lang w:val="en-US"/>
        </w:rPr>
        <w:t>[ **** ]</w:t>
      </w:r>
    </w:p>
    <w:p w:rsidR="00B64CDC" w:rsidRPr="00D550A0" w:rsidRDefault="00B64CDC" w:rsidP="0085629F">
      <w:pPr>
        <w:autoSpaceDE w:val="0"/>
        <w:autoSpaceDN w:val="0"/>
        <w:adjustRightInd w:val="0"/>
        <w:ind w:left="547" w:hanging="7"/>
        <w:jc w:val="both"/>
        <w:rPr>
          <w:rFonts w:cs="Arial"/>
          <w:color w:val="000000" w:themeColor="text1"/>
          <w:sz w:val="4"/>
          <w:lang w:val="en-US"/>
        </w:rPr>
      </w:pPr>
    </w:p>
    <w:p w:rsidR="00F077EC" w:rsidRPr="00D550A0" w:rsidRDefault="00F077EC" w:rsidP="00F077EC">
      <w:pPr>
        <w:autoSpaceDE w:val="0"/>
        <w:autoSpaceDN w:val="0"/>
        <w:adjustRightInd w:val="0"/>
        <w:ind w:left="547" w:hanging="7"/>
        <w:jc w:val="both"/>
        <w:rPr>
          <w:rFonts w:cs="Arial"/>
          <w:color w:val="000000" w:themeColor="text1"/>
          <w:sz w:val="2"/>
          <w:lang w:val="en-US"/>
        </w:rPr>
      </w:pPr>
      <w:r w:rsidRPr="00D550A0">
        <w:rPr>
          <w:rStyle w:val="FootnoteReference"/>
          <w:rFonts w:cs="Arial"/>
          <w:color w:val="000000" w:themeColor="text1"/>
          <w:sz w:val="20"/>
          <w:lang w:val="en-US"/>
        </w:rPr>
        <w:footnoteReference w:id="1744"/>
      </w:r>
      <w:r w:rsidRPr="00D550A0">
        <w:rPr>
          <w:rFonts w:cs="Arial"/>
          <w:color w:val="000000" w:themeColor="text1"/>
          <w:sz w:val="20"/>
          <w:lang w:val="en-US"/>
        </w:rPr>
        <w:t>[ ****</w:t>
      </w:r>
      <w:r w:rsidR="00BB5285" w:rsidRPr="00D550A0">
        <w:rPr>
          <w:rFonts w:cs="Arial"/>
          <w:color w:val="000000" w:themeColor="text1"/>
          <w:sz w:val="20"/>
          <w:lang w:val="en-US"/>
        </w:rPr>
        <w:t>*</w:t>
      </w:r>
      <w:r w:rsidRPr="00D550A0">
        <w:rPr>
          <w:rFonts w:cs="Arial"/>
          <w:color w:val="000000" w:themeColor="text1"/>
          <w:sz w:val="20"/>
          <w:lang w:val="en-US"/>
        </w:rPr>
        <w:t xml:space="preserve"> ]</w:t>
      </w:r>
    </w:p>
    <w:p w:rsidR="00586D2F" w:rsidRPr="00D550A0" w:rsidRDefault="00586D2F" w:rsidP="00F077EC">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45"/>
      </w:r>
      <w:r w:rsidRPr="00D550A0">
        <w:rPr>
          <w:rFonts w:cs="Arial"/>
          <w:color w:val="000000" w:themeColor="text1"/>
          <w:sz w:val="20"/>
          <w:lang w:val="en-US"/>
        </w:rPr>
        <w:t>[ ****** ]</w:t>
      </w:r>
    </w:p>
    <w:p w:rsidR="00E26279" w:rsidRPr="00D550A0" w:rsidRDefault="00E26279" w:rsidP="00E26279">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46"/>
      </w:r>
      <w:r w:rsidRPr="00D550A0">
        <w:rPr>
          <w:rFonts w:cs="Arial"/>
          <w:color w:val="000000" w:themeColor="text1"/>
          <w:sz w:val="20"/>
          <w:lang w:val="en-US"/>
        </w:rPr>
        <w:t>[ ******* ]</w:t>
      </w:r>
    </w:p>
    <w:p w:rsidR="00EA3CC4" w:rsidRPr="00D550A0" w:rsidRDefault="00EA3CC4" w:rsidP="00EA3CC4">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47"/>
      </w:r>
      <w:r w:rsidRPr="00D550A0">
        <w:rPr>
          <w:rFonts w:cs="Arial"/>
          <w:color w:val="000000" w:themeColor="text1"/>
          <w:sz w:val="20"/>
          <w:lang w:val="en-US"/>
        </w:rPr>
        <w:t>[ ******** ]</w:t>
      </w:r>
    </w:p>
    <w:p w:rsidR="00EA3CC4" w:rsidRPr="00D550A0" w:rsidRDefault="00841E0F" w:rsidP="00E26279">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48"/>
      </w:r>
      <w:r w:rsidRPr="00D550A0">
        <w:rPr>
          <w:rFonts w:cs="Arial"/>
          <w:color w:val="000000" w:themeColor="text1"/>
          <w:sz w:val="20"/>
          <w:lang w:val="en-US"/>
        </w:rPr>
        <w:t>[ ********* ]</w:t>
      </w:r>
    </w:p>
    <w:p w:rsidR="00C76471" w:rsidRPr="00D550A0" w:rsidRDefault="00C76471" w:rsidP="00C76471">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lastRenderedPageBreak/>
        <w:footnoteReference w:id="1749"/>
      </w:r>
      <w:r w:rsidRPr="00D550A0">
        <w:rPr>
          <w:rFonts w:cs="Arial"/>
          <w:color w:val="000000" w:themeColor="text1"/>
          <w:sz w:val="20"/>
          <w:lang w:val="en-US"/>
        </w:rPr>
        <w:t>[ # ]</w:t>
      </w:r>
    </w:p>
    <w:p w:rsidR="008408AF" w:rsidRPr="00D550A0" w:rsidRDefault="008408AF" w:rsidP="008408AF">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50"/>
      </w:r>
      <w:r w:rsidRPr="00D550A0">
        <w:rPr>
          <w:rFonts w:cs="Arial"/>
          <w:color w:val="000000" w:themeColor="text1"/>
          <w:sz w:val="20"/>
          <w:lang w:val="en-US"/>
        </w:rPr>
        <w:t>[ ## ]</w:t>
      </w:r>
    </w:p>
    <w:p w:rsidR="005547AA" w:rsidRPr="00D550A0" w:rsidRDefault="005547AA" w:rsidP="005547AA">
      <w:pPr>
        <w:autoSpaceDE w:val="0"/>
        <w:autoSpaceDN w:val="0"/>
        <w:adjustRightInd w:val="0"/>
        <w:ind w:left="547" w:hanging="7"/>
        <w:jc w:val="both"/>
        <w:rPr>
          <w:rFonts w:cs="Arial"/>
          <w:color w:val="000000" w:themeColor="text1"/>
          <w:sz w:val="20"/>
          <w:lang w:val="en-US"/>
        </w:rPr>
      </w:pPr>
      <w:r w:rsidRPr="00D550A0">
        <w:rPr>
          <w:rStyle w:val="FootnoteReference"/>
          <w:rFonts w:cs="Arial"/>
          <w:color w:val="000000" w:themeColor="text1"/>
          <w:sz w:val="20"/>
          <w:lang w:val="en-US"/>
        </w:rPr>
        <w:footnoteReference w:id="1751"/>
      </w:r>
      <w:r w:rsidRPr="00D550A0">
        <w:rPr>
          <w:rFonts w:cs="Arial"/>
          <w:color w:val="000000" w:themeColor="text1"/>
          <w:sz w:val="20"/>
          <w:lang w:val="en-US"/>
        </w:rPr>
        <w:t>[ ### ]</w:t>
      </w:r>
    </w:p>
    <w:p w:rsidR="0061086B" w:rsidRPr="0061086B" w:rsidRDefault="0061086B" w:rsidP="0061086B">
      <w:pPr>
        <w:autoSpaceDE w:val="0"/>
        <w:autoSpaceDN w:val="0"/>
        <w:adjustRightInd w:val="0"/>
        <w:ind w:left="547" w:hanging="7"/>
        <w:jc w:val="both"/>
        <w:rPr>
          <w:rFonts w:cs="Arial"/>
          <w:color w:val="FF0000"/>
          <w:sz w:val="20"/>
          <w:lang w:val="en-US"/>
        </w:rPr>
      </w:pPr>
      <w:r w:rsidRPr="0061086B">
        <w:rPr>
          <w:rStyle w:val="FootnoteReference"/>
          <w:rFonts w:cs="Arial"/>
          <w:color w:val="FF0000"/>
          <w:sz w:val="20"/>
          <w:lang w:val="en-US"/>
        </w:rPr>
        <w:footnoteReference w:id="1752"/>
      </w:r>
      <w:r w:rsidRPr="0061086B">
        <w:rPr>
          <w:rFonts w:cs="Arial"/>
          <w:color w:val="FF0000"/>
          <w:sz w:val="20"/>
          <w:lang w:val="en-US"/>
        </w:rPr>
        <w:t>[ ### ]</w:t>
      </w:r>
    </w:p>
    <w:p w:rsidR="0061086B" w:rsidRPr="0061086B" w:rsidRDefault="0061086B" w:rsidP="0061086B">
      <w:pPr>
        <w:autoSpaceDE w:val="0"/>
        <w:autoSpaceDN w:val="0"/>
        <w:adjustRightInd w:val="0"/>
        <w:ind w:left="547" w:hanging="7"/>
        <w:jc w:val="both"/>
        <w:rPr>
          <w:rFonts w:cs="Arial"/>
          <w:color w:val="FF0000"/>
          <w:sz w:val="20"/>
          <w:lang w:val="en-US"/>
        </w:rPr>
      </w:pPr>
      <w:r w:rsidRPr="0061086B">
        <w:rPr>
          <w:rStyle w:val="FootnoteReference"/>
          <w:rFonts w:cs="Arial"/>
          <w:color w:val="FF0000"/>
          <w:sz w:val="20"/>
          <w:lang w:val="en-US"/>
        </w:rPr>
        <w:footnoteReference w:id="1753"/>
      </w:r>
      <w:r w:rsidRPr="0061086B">
        <w:rPr>
          <w:rFonts w:cs="Arial"/>
          <w:color w:val="FF0000"/>
          <w:sz w:val="20"/>
          <w:lang w:val="en-US"/>
        </w:rPr>
        <w:t>[ ### ]</w:t>
      </w:r>
    </w:p>
    <w:p w:rsidR="008408AF" w:rsidRDefault="008408AF" w:rsidP="00C76471">
      <w:pPr>
        <w:autoSpaceDE w:val="0"/>
        <w:autoSpaceDN w:val="0"/>
        <w:adjustRightInd w:val="0"/>
        <w:ind w:left="547" w:hanging="7"/>
        <w:jc w:val="both"/>
        <w:rPr>
          <w:rFonts w:cs="Arial"/>
          <w:color w:val="7030A0"/>
          <w:sz w:val="20"/>
          <w:lang w:val="en-US"/>
        </w:rPr>
      </w:pPr>
    </w:p>
    <w:p w:rsidR="00E26279" w:rsidRDefault="00E26279" w:rsidP="00F077EC">
      <w:pPr>
        <w:autoSpaceDE w:val="0"/>
        <w:autoSpaceDN w:val="0"/>
        <w:adjustRightInd w:val="0"/>
        <w:ind w:left="547" w:hanging="7"/>
        <w:jc w:val="both"/>
        <w:rPr>
          <w:rFonts w:cs="Arial"/>
          <w:color w:val="7030A0"/>
          <w:sz w:val="20"/>
          <w:lang w:val="en-US"/>
        </w:rPr>
      </w:pPr>
    </w:p>
    <w:p w:rsidR="00AC6C01" w:rsidRPr="00D47C20" w:rsidRDefault="00AC6C01" w:rsidP="00F077EC">
      <w:pPr>
        <w:autoSpaceDE w:val="0"/>
        <w:autoSpaceDN w:val="0"/>
        <w:adjustRightInd w:val="0"/>
        <w:ind w:left="547" w:hanging="7"/>
        <w:jc w:val="both"/>
        <w:rPr>
          <w:rFonts w:cs="Arial"/>
          <w:b/>
          <w:color w:val="0070C0"/>
          <w:sz w:val="20"/>
          <w:lang w:val="en-US"/>
        </w:rPr>
      </w:pPr>
      <w:r>
        <w:rPr>
          <w:rFonts w:cs="Arial"/>
          <w:color w:val="7030A0"/>
          <w:sz w:val="20"/>
          <w:lang w:val="en-US"/>
        </w:rPr>
        <w:tab/>
      </w:r>
      <w:r>
        <w:rPr>
          <w:rFonts w:cs="Arial"/>
          <w:color w:val="7030A0"/>
          <w:sz w:val="20"/>
          <w:lang w:val="en-US"/>
        </w:rPr>
        <w:tab/>
      </w:r>
      <w:r>
        <w:rPr>
          <w:rFonts w:cs="Arial"/>
          <w:color w:val="7030A0"/>
          <w:sz w:val="20"/>
          <w:lang w:val="en-US"/>
        </w:rPr>
        <w:tab/>
      </w:r>
      <w:r>
        <w:rPr>
          <w:rFonts w:cs="Arial"/>
          <w:color w:val="7030A0"/>
          <w:sz w:val="20"/>
          <w:lang w:val="en-US"/>
        </w:rPr>
        <w:tab/>
      </w:r>
      <w:r>
        <w:rPr>
          <w:rFonts w:cs="Arial"/>
          <w:color w:val="7030A0"/>
          <w:sz w:val="20"/>
          <w:lang w:val="en-US"/>
        </w:rPr>
        <w:tab/>
      </w:r>
      <w:r>
        <w:rPr>
          <w:rFonts w:cs="Arial"/>
          <w:color w:val="7030A0"/>
          <w:sz w:val="20"/>
          <w:lang w:val="en-US"/>
        </w:rPr>
        <w:tab/>
      </w:r>
      <w:r w:rsidRPr="00D47C20">
        <w:rPr>
          <w:rStyle w:val="FootnoteReference"/>
          <w:rFonts w:cs="Arial"/>
          <w:b/>
          <w:color w:val="0070C0"/>
          <w:sz w:val="20"/>
          <w:lang w:val="en-US"/>
        </w:rPr>
        <w:footnoteReference w:id="1754"/>
      </w:r>
      <w:r w:rsidRPr="00D47C20">
        <w:rPr>
          <w:rFonts w:cs="Arial"/>
          <w:b/>
          <w:color w:val="0070C0"/>
          <w:sz w:val="20"/>
          <w:lang w:val="en-US"/>
        </w:rPr>
        <w:t>[    ]</w:t>
      </w:r>
    </w:p>
    <w:p w:rsidR="00FA1586" w:rsidRDefault="00FA1586" w:rsidP="00886D26">
      <w:pPr>
        <w:autoSpaceDE w:val="0"/>
        <w:autoSpaceDN w:val="0"/>
        <w:adjustRightInd w:val="0"/>
        <w:ind w:left="547" w:firstLine="547"/>
        <w:jc w:val="both"/>
        <w:rPr>
          <w:rFonts w:cs="Arial"/>
          <w:color w:val="984806" w:themeColor="accent6" w:themeShade="80"/>
          <w:sz w:val="20"/>
          <w:lang w:val="en-US"/>
        </w:rPr>
      </w:pPr>
    </w:p>
    <w:p w:rsidR="00594948" w:rsidRDefault="00594948" w:rsidP="00886D26">
      <w:pPr>
        <w:autoSpaceDE w:val="0"/>
        <w:autoSpaceDN w:val="0"/>
        <w:adjustRightInd w:val="0"/>
        <w:jc w:val="both"/>
        <w:rPr>
          <w:rFonts w:cs="Arial"/>
          <w:b/>
          <w:bCs/>
          <w:color w:val="984806" w:themeColor="accent6" w:themeShade="80"/>
          <w:sz w:val="20"/>
          <w:lang w:val="en-US"/>
        </w:rPr>
      </w:pPr>
    </w:p>
    <w:p w:rsidR="00C56C52" w:rsidRPr="00D550A0" w:rsidRDefault="00C56C52" w:rsidP="00886D26">
      <w:pPr>
        <w:autoSpaceDE w:val="0"/>
        <w:autoSpaceDN w:val="0"/>
        <w:adjustRightInd w:val="0"/>
        <w:ind w:left="2735" w:firstLine="547"/>
        <w:jc w:val="both"/>
        <w:rPr>
          <w:rFonts w:cs="Arial"/>
          <w:b/>
          <w:bCs/>
          <w:color w:val="000000" w:themeColor="text1"/>
          <w:sz w:val="20"/>
          <w:lang w:val="en-US"/>
        </w:rPr>
      </w:pPr>
      <w:r w:rsidRPr="00D550A0">
        <w:rPr>
          <w:rFonts w:cs="Arial"/>
          <w:b/>
          <w:bCs/>
          <w:color w:val="000000" w:themeColor="text1"/>
          <w:sz w:val="20"/>
          <w:lang w:val="en-US"/>
        </w:rPr>
        <w:t>DIVISION XXIII</w:t>
      </w:r>
    </w:p>
    <w:p w:rsidR="00886D26" w:rsidRPr="00D550A0" w:rsidRDefault="00886D26" w:rsidP="00886D26">
      <w:pPr>
        <w:autoSpaceDE w:val="0"/>
        <w:autoSpaceDN w:val="0"/>
        <w:adjustRightInd w:val="0"/>
        <w:ind w:firstLine="547"/>
        <w:jc w:val="both"/>
        <w:rPr>
          <w:rFonts w:cs="Arial"/>
          <w:b/>
          <w:bCs/>
          <w:color w:val="000000" w:themeColor="text1"/>
          <w:sz w:val="20"/>
          <w:lang w:val="en-US"/>
        </w:rPr>
      </w:pPr>
    </w:p>
    <w:p w:rsidR="00C56C52" w:rsidRPr="00D550A0" w:rsidRDefault="00C56C52" w:rsidP="00886D26">
      <w:pPr>
        <w:autoSpaceDE w:val="0"/>
        <w:autoSpaceDN w:val="0"/>
        <w:adjustRightInd w:val="0"/>
        <w:ind w:left="547" w:firstLine="547"/>
        <w:jc w:val="both"/>
        <w:rPr>
          <w:rFonts w:cs="Arial"/>
          <w:b/>
          <w:bCs/>
          <w:color w:val="000000" w:themeColor="text1"/>
          <w:sz w:val="20"/>
          <w:lang w:val="en-US"/>
        </w:rPr>
      </w:pPr>
      <w:r w:rsidRPr="00D550A0">
        <w:rPr>
          <w:rFonts w:cs="Arial"/>
          <w:b/>
          <w:bCs/>
          <w:color w:val="000000" w:themeColor="text1"/>
          <w:sz w:val="20"/>
          <w:lang w:val="en-US"/>
        </w:rPr>
        <w:t>Payment to a resident person for right to use machinery and</w:t>
      </w:r>
    </w:p>
    <w:p w:rsidR="00C56C52" w:rsidRPr="00C56C52" w:rsidRDefault="00C56C52" w:rsidP="00886D26">
      <w:pPr>
        <w:autoSpaceDE w:val="0"/>
        <w:autoSpaceDN w:val="0"/>
        <w:adjustRightInd w:val="0"/>
        <w:ind w:left="2735" w:firstLine="547"/>
        <w:jc w:val="both"/>
        <w:rPr>
          <w:rFonts w:cs="Arial"/>
          <w:b/>
          <w:bCs/>
          <w:color w:val="984806" w:themeColor="accent6" w:themeShade="80"/>
          <w:sz w:val="20"/>
          <w:lang w:val="en-US"/>
        </w:rPr>
      </w:pPr>
      <w:r w:rsidRPr="00D550A0">
        <w:rPr>
          <w:rFonts w:cs="Arial"/>
          <w:b/>
          <w:bCs/>
          <w:color w:val="000000" w:themeColor="text1"/>
          <w:sz w:val="20"/>
          <w:lang w:val="en-US"/>
        </w:rPr>
        <w:t>equipment</w:t>
      </w:r>
    </w:p>
    <w:p w:rsidR="00886D26" w:rsidRDefault="00886D26" w:rsidP="00886D26">
      <w:pPr>
        <w:autoSpaceDE w:val="0"/>
        <w:autoSpaceDN w:val="0"/>
        <w:adjustRightInd w:val="0"/>
        <w:jc w:val="both"/>
        <w:rPr>
          <w:rFonts w:cs="Arial"/>
          <w:color w:val="984806" w:themeColor="accent6" w:themeShade="80"/>
          <w:sz w:val="20"/>
          <w:lang w:val="en-US"/>
        </w:rPr>
      </w:pPr>
    </w:p>
    <w:p w:rsidR="00C56C52" w:rsidRPr="00D550A0" w:rsidRDefault="00C56C52" w:rsidP="00886D26">
      <w:pPr>
        <w:autoSpaceDE w:val="0"/>
        <w:autoSpaceDN w:val="0"/>
        <w:adjustRightInd w:val="0"/>
        <w:ind w:left="547" w:firstLine="547"/>
        <w:jc w:val="both"/>
        <w:rPr>
          <w:rFonts w:cs="Arial"/>
          <w:color w:val="000000" w:themeColor="text1"/>
          <w:sz w:val="20"/>
          <w:lang w:val="en-US"/>
        </w:rPr>
      </w:pPr>
      <w:r w:rsidRPr="00D550A0">
        <w:rPr>
          <w:rFonts w:cs="Arial"/>
          <w:color w:val="000000" w:themeColor="text1"/>
          <w:sz w:val="20"/>
          <w:lang w:val="en-US"/>
        </w:rPr>
        <w:t>Rate of collection of tax under section 236Q shall be 10percent of the amount of payment.</w:t>
      </w:r>
    </w:p>
    <w:p w:rsidR="00886D26" w:rsidRPr="00D550A0" w:rsidRDefault="00886D26" w:rsidP="00886D26">
      <w:pPr>
        <w:autoSpaceDE w:val="0"/>
        <w:autoSpaceDN w:val="0"/>
        <w:adjustRightInd w:val="0"/>
        <w:jc w:val="both"/>
        <w:rPr>
          <w:rFonts w:cs="Arial"/>
          <w:b/>
          <w:bCs/>
          <w:color w:val="000000" w:themeColor="text1"/>
          <w:sz w:val="20"/>
          <w:lang w:val="en-US"/>
        </w:rPr>
      </w:pPr>
    </w:p>
    <w:p w:rsidR="00594948" w:rsidRPr="00D550A0" w:rsidRDefault="00594948" w:rsidP="00886D26">
      <w:pPr>
        <w:autoSpaceDE w:val="0"/>
        <w:autoSpaceDN w:val="0"/>
        <w:adjustRightInd w:val="0"/>
        <w:jc w:val="both"/>
        <w:rPr>
          <w:rFonts w:cs="Arial"/>
          <w:b/>
          <w:bCs/>
          <w:color w:val="000000" w:themeColor="text1"/>
          <w:sz w:val="20"/>
          <w:lang w:val="en-US"/>
        </w:rPr>
      </w:pPr>
    </w:p>
    <w:p w:rsidR="00C56C52" w:rsidRPr="00D550A0" w:rsidRDefault="00C56C52" w:rsidP="00886D26">
      <w:pPr>
        <w:autoSpaceDE w:val="0"/>
        <w:autoSpaceDN w:val="0"/>
        <w:adjustRightInd w:val="0"/>
        <w:ind w:left="2735" w:firstLine="547"/>
        <w:jc w:val="both"/>
        <w:rPr>
          <w:rFonts w:cs="Arial"/>
          <w:b/>
          <w:bCs/>
          <w:color w:val="000000" w:themeColor="text1"/>
          <w:sz w:val="20"/>
          <w:lang w:val="en-US"/>
        </w:rPr>
      </w:pPr>
      <w:r w:rsidRPr="00D550A0">
        <w:rPr>
          <w:rFonts w:cs="Arial"/>
          <w:b/>
          <w:bCs/>
          <w:color w:val="000000" w:themeColor="text1"/>
          <w:sz w:val="20"/>
          <w:lang w:val="en-US"/>
        </w:rPr>
        <w:t>DIVISION XXIV</w:t>
      </w:r>
    </w:p>
    <w:p w:rsidR="00886D26" w:rsidRPr="00D550A0" w:rsidRDefault="00886D26" w:rsidP="00886D26">
      <w:pPr>
        <w:autoSpaceDE w:val="0"/>
        <w:autoSpaceDN w:val="0"/>
        <w:adjustRightInd w:val="0"/>
        <w:ind w:left="2735" w:firstLine="547"/>
        <w:jc w:val="both"/>
        <w:rPr>
          <w:rFonts w:cs="Arial"/>
          <w:b/>
          <w:bCs/>
          <w:color w:val="000000" w:themeColor="text1"/>
          <w:sz w:val="20"/>
          <w:lang w:val="en-US"/>
        </w:rPr>
      </w:pPr>
    </w:p>
    <w:p w:rsidR="00C56C52" w:rsidRPr="00D550A0" w:rsidRDefault="00C56C52" w:rsidP="00886D26">
      <w:pPr>
        <w:autoSpaceDE w:val="0"/>
        <w:autoSpaceDN w:val="0"/>
        <w:adjustRightInd w:val="0"/>
        <w:ind w:left="3330" w:hanging="2250"/>
        <w:jc w:val="both"/>
        <w:rPr>
          <w:rFonts w:cs="Arial"/>
          <w:b/>
          <w:bCs/>
          <w:color w:val="000000" w:themeColor="text1"/>
          <w:sz w:val="20"/>
          <w:lang w:val="en-US"/>
        </w:rPr>
      </w:pPr>
      <w:r w:rsidRPr="00D550A0">
        <w:rPr>
          <w:rFonts w:cs="Arial"/>
          <w:b/>
          <w:bCs/>
          <w:color w:val="000000" w:themeColor="text1"/>
          <w:sz w:val="20"/>
          <w:lang w:val="en-US"/>
        </w:rPr>
        <w:t>Collection of advance tax on education related expenses</w:t>
      </w:r>
      <w:r w:rsidR="00875388" w:rsidRPr="00D550A0">
        <w:rPr>
          <w:rFonts w:cs="Arial"/>
          <w:b/>
          <w:bCs/>
          <w:color w:val="000000" w:themeColor="text1"/>
          <w:sz w:val="20"/>
          <w:lang w:val="en-US"/>
        </w:rPr>
        <w:t xml:space="preserve"> </w:t>
      </w:r>
      <w:r w:rsidRPr="00D550A0">
        <w:rPr>
          <w:rFonts w:cs="Arial"/>
          <w:b/>
          <w:bCs/>
          <w:color w:val="000000" w:themeColor="text1"/>
          <w:sz w:val="20"/>
          <w:lang w:val="en-US"/>
        </w:rPr>
        <w:t>remitted abroad</w:t>
      </w:r>
    </w:p>
    <w:p w:rsidR="00886D26" w:rsidRPr="00D550A0" w:rsidRDefault="00886D26" w:rsidP="00886D26">
      <w:pPr>
        <w:autoSpaceDE w:val="0"/>
        <w:autoSpaceDN w:val="0"/>
        <w:adjustRightInd w:val="0"/>
        <w:jc w:val="both"/>
        <w:rPr>
          <w:rFonts w:cs="Arial"/>
          <w:color w:val="000000" w:themeColor="text1"/>
          <w:sz w:val="20"/>
          <w:lang w:val="en-US"/>
        </w:rPr>
      </w:pPr>
    </w:p>
    <w:p w:rsidR="00D46DC4" w:rsidRPr="00D550A0" w:rsidRDefault="00C56C52" w:rsidP="00886D26">
      <w:pPr>
        <w:autoSpaceDE w:val="0"/>
        <w:autoSpaceDN w:val="0"/>
        <w:adjustRightInd w:val="0"/>
        <w:ind w:left="547" w:firstLine="547"/>
        <w:rPr>
          <w:rFonts w:cs="Arial"/>
          <w:color w:val="000000" w:themeColor="text1"/>
          <w:sz w:val="20"/>
          <w:lang w:val="en-US"/>
        </w:rPr>
      </w:pPr>
      <w:r w:rsidRPr="00D550A0">
        <w:rPr>
          <w:rFonts w:cs="Arial"/>
          <w:color w:val="000000" w:themeColor="text1"/>
          <w:sz w:val="20"/>
          <w:lang w:val="en-US"/>
        </w:rPr>
        <w:t>Rate of collection of tax under section 236R shall be 5percent of the amount of total education related expenses.</w:t>
      </w:r>
      <w:r w:rsidR="00886D26" w:rsidRPr="00D550A0">
        <w:rPr>
          <w:rFonts w:cs="Arial"/>
          <w:color w:val="000000" w:themeColor="text1"/>
          <w:sz w:val="20"/>
          <w:lang w:val="en-US"/>
        </w:rPr>
        <w:t>”]</w:t>
      </w:r>
    </w:p>
    <w:p w:rsidR="00D46DC4" w:rsidRDefault="00D46DC4" w:rsidP="00886D26">
      <w:pPr>
        <w:autoSpaceDE w:val="0"/>
        <w:autoSpaceDN w:val="0"/>
        <w:adjustRightInd w:val="0"/>
        <w:ind w:left="547" w:firstLine="547"/>
        <w:rPr>
          <w:rFonts w:cs="Arial"/>
          <w:color w:val="984806" w:themeColor="accent6" w:themeShade="80"/>
          <w:sz w:val="20"/>
          <w:lang w:val="en-US"/>
        </w:rPr>
      </w:pPr>
    </w:p>
    <w:p w:rsidR="00D46DC4" w:rsidRDefault="00D46DC4" w:rsidP="00D46DC4">
      <w:pPr>
        <w:pStyle w:val="C"/>
        <w:widowControl/>
        <w:spacing w:before="0" w:after="0"/>
        <w:ind w:left="3254" w:firstLine="28"/>
        <w:jc w:val="left"/>
        <w:rPr>
          <w:rFonts w:ascii="Arial" w:hAnsi="Arial" w:cs="Arial"/>
          <w:color w:val="FF0000"/>
          <w:sz w:val="20"/>
        </w:rPr>
      </w:pPr>
    </w:p>
    <w:p w:rsidR="00D46DC4" w:rsidRPr="00D47C20" w:rsidRDefault="00D46DC4" w:rsidP="00D46DC4">
      <w:pPr>
        <w:pStyle w:val="C"/>
        <w:widowControl/>
        <w:spacing w:before="0" w:after="0"/>
        <w:ind w:left="3254" w:firstLine="28"/>
        <w:jc w:val="left"/>
        <w:rPr>
          <w:rFonts w:ascii="Arial" w:hAnsi="Arial" w:cs="Arial"/>
          <w:color w:val="0070C0"/>
          <w:sz w:val="20"/>
        </w:rPr>
      </w:pPr>
      <w:r w:rsidRPr="00D47C20">
        <w:rPr>
          <w:rStyle w:val="FootnoteReference"/>
          <w:rFonts w:ascii="Arial" w:hAnsi="Arial" w:cs="Arial"/>
          <w:color w:val="0070C0"/>
          <w:sz w:val="20"/>
        </w:rPr>
        <w:footnoteReference w:id="1755"/>
      </w:r>
      <w:r w:rsidRPr="00D47C20">
        <w:rPr>
          <w:rFonts w:ascii="Arial" w:hAnsi="Arial" w:cs="Arial"/>
          <w:color w:val="0070C0"/>
          <w:sz w:val="20"/>
        </w:rPr>
        <w:t>[“Division XXV</w:t>
      </w:r>
    </w:p>
    <w:p w:rsidR="00D46DC4" w:rsidRPr="00D47C20" w:rsidRDefault="00D46DC4" w:rsidP="00D46DC4">
      <w:pPr>
        <w:pStyle w:val="C"/>
        <w:widowControl/>
        <w:spacing w:before="0" w:after="0"/>
        <w:ind w:left="3254" w:firstLine="28"/>
        <w:jc w:val="left"/>
        <w:rPr>
          <w:rFonts w:ascii="Arial" w:hAnsi="Arial" w:cs="Arial"/>
          <w:color w:val="0070C0"/>
          <w:sz w:val="20"/>
        </w:rPr>
      </w:pPr>
    </w:p>
    <w:p w:rsidR="00D46DC4" w:rsidRPr="00D47C20" w:rsidRDefault="00D46DC4" w:rsidP="00D46DC4">
      <w:pPr>
        <w:pStyle w:val="C"/>
        <w:widowControl/>
        <w:spacing w:before="0" w:after="0"/>
        <w:ind w:left="2160"/>
        <w:jc w:val="left"/>
        <w:rPr>
          <w:rFonts w:ascii="Arial" w:hAnsi="Arial" w:cs="Arial"/>
          <w:color w:val="0070C0"/>
          <w:sz w:val="20"/>
        </w:rPr>
      </w:pPr>
      <w:r w:rsidRPr="00D47C20">
        <w:rPr>
          <w:rFonts w:ascii="Arial" w:hAnsi="Arial" w:cs="Arial"/>
          <w:color w:val="0070C0"/>
          <w:sz w:val="20"/>
        </w:rPr>
        <w:t>ADVANCE TAX ON INSURANCE PREMIUM</w:t>
      </w:r>
    </w:p>
    <w:p w:rsidR="00D46DC4" w:rsidRPr="00D47C20" w:rsidRDefault="00D46DC4" w:rsidP="00D46DC4">
      <w:pPr>
        <w:pStyle w:val="C"/>
        <w:widowControl/>
        <w:spacing w:before="0" w:after="0"/>
        <w:ind w:left="2160"/>
        <w:jc w:val="both"/>
        <w:rPr>
          <w:rFonts w:ascii="Arial" w:hAnsi="Arial" w:cs="Arial"/>
          <w:color w:val="0070C0"/>
          <w:sz w:val="20"/>
        </w:rPr>
      </w:pPr>
    </w:p>
    <w:p w:rsidR="00D46DC4" w:rsidRPr="00D47C20" w:rsidRDefault="00D46DC4" w:rsidP="00D46DC4">
      <w:pPr>
        <w:pStyle w:val="C"/>
        <w:widowControl/>
        <w:spacing w:before="0" w:after="0"/>
        <w:ind w:left="540" w:firstLine="540"/>
        <w:jc w:val="both"/>
        <w:rPr>
          <w:rFonts w:ascii="Arial" w:hAnsi="Arial" w:cs="Arial"/>
          <w:b w:val="0"/>
          <w:color w:val="0070C0"/>
          <w:sz w:val="20"/>
        </w:rPr>
      </w:pPr>
      <w:r w:rsidRPr="00D47C20">
        <w:rPr>
          <w:rFonts w:ascii="Arial" w:hAnsi="Arial" w:cs="Arial"/>
          <w:b w:val="0"/>
          <w:color w:val="0070C0"/>
          <w:sz w:val="20"/>
        </w:rPr>
        <w:t>The rate of tax to be collected from non-filers under section 236U shall be as under:-</w:t>
      </w:r>
    </w:p>
    <w:p w:rsidR="00D46DC4" w:rsidRPr="00D47C20" w:rsidRDefault="00D46DC4" w:rsidP="00D46DC4">
      <w:pPr>
        <w:pStyle w:val="C"/>
        <w:widowControl/>
        <w:spacing w:before="0" w:after="0"/>
        <w:ind w:left="540" w:firstLine="540"/>
        <w:jc w:val="both"/>
        <w:rPr>
          <w:rFonts w:ascii="Arial" w:hAnsi="Arial" w:cs="Arial"/>
          <w:b w:val="0"/>
          <w:color w:val="0070C0"/>
          <w:sz w:val="20"/>
        </w:rPr>
      </w:pPr>
    </w:p>
    <w:tbl>
      <w:tblPr>
        <w:tblStyle w:val="TableGrid"/>
        <w:tblW w:w="6534" w:type="dxa"/>
        <w:tblInd w:w="1188" w:type="dxa"/>
        <w:tblLook w:val="04A0"/>
      </w:tblPr>
      <w:tblGrid>
        <w:gridCol w:w="933"/>
        <w:gridCol w:w="3567"/>
        <w:gridCol w:w="2034"/>
      </w:tblGrid>
      <w:tr w:rsidR="00D46DC4" w:rsidRPr="00D47C20" w:rsidTr="00D46DC4">
        <w:tc>
          <w:tcPr>
            <w:tcW w:w="933" w:type="dxa"/>
            <w:vAlign w:val="center"/>
          </w:tcPr>
          <w:p w:rsidR="00D46DC4" w:rsidRPr="00D47C20" w:rsidRDefault="00D46DC4" w:rsidP="00B7389F">
            <w:pPr>
              <w:pStyle w:val="C"/>
              <w:widowControl/>
              <w:spacing w:before="0" w:after="0"/>
              <w:rPr>
                <w:rFonts w:ascii="Arial" w:hAnsi="Arial" w:cs="Arial"/>
                <w:b w:val="0"/>
                <w:bCs/>
                <w:color w:val="0070C0"/>
                <w:sz w:val="20"/>
              </w:rPr>
            </w:pPr>
            <w:r w:rsidRPr="00D47C20">
              <w:rPr>
                <w:rFonts w:ascii="Arial" w:hAnsi="Arial" w:cs="Arial"/>
                <w:b w:val="0"/>
                <w:color w:val="0070C0"/>
                <w:sz w:val="20"/>
              </w:rPr>
              <w:t>S.No.</w:t>
            </w:r>
          </w:p>
        </w:tc>
        <w:tc>
          <w:tcPr>
            <w:tcW w:w="3567" w:type="dxa"/>
            <w:vAlign w:val="center"/>
          </w:tcPr>
          <w:p w:rsidR="00D46DC4" w:rsidRPr="00D47C20" w:rsidRDefault="00D46DC4" w:rsidP="00B7389F">
            <w:pPr>
              <w:pStyle w:val="C"/>
              <w:widowControl/>
              <w:spacing w:before="0" w:after="0"/>
              <w:rPr>
                <w:rFonts w:ascii="Arial" w:hAnsi="Arial" w:cs="Arial"/>
                <w:b w:val="0"/>
                <w:bCs/>
                <w:color w:val="0070C0"/>
                <w:sz w:val="20"/>
              </w:rPr>
            </w:pPr>
            <w:r w:rsidRPr="00D47C20">
              <w:rPr>
                <w:rFonts w:ascii="Arial" w:hAnsi="Arial" w:cs="Arial"/>
                <w:b w:val="0"/>
                <w:color w:val="0070C0"/>
                <w:sz w:val="20"/>
              </w:rPr>
              <w:t>Type of Premium</w:t>
            </w:r>
          </w:p>
        </w:tc>
        <w:tc>
          <w:tcPr>
            <w:tcW w:w="2034" w:type="dxa"/>
            <w:vAlign w:val="center"/>
          </w:tcPr>
          <w:p w:rsidR="00D46DC4" w:rsidRPr="00D47C20" w:rsidRDefault="00D46DC4" w:rsidP="00B7389F">
            <w:pPr>
              <w:pStyle w:val="C"/>
              <w:widowControl/>
              <w:spacing w:before="0" w:after="0"/>
              <w:rPr>
                <w:rFonts w:ascii="Arial" w:hAnsi="Arial" w:cs="Arial"/>
                <w:b w:val="0"/>
                <w:bCs/>
                <w:color w:val="0070C0"/>
                <w:sz w:val="20"/>
              </w:rPr>
            </w:pPr>
            <w:r w:rsidRPr="00D47C20">
              <w:rPr>
                <w:rFonts w:ascii="Arial" w:hAnsi="Arial" w:cs="Arial"/>
                <w:b w:val="0"/>
                <w:color w:val="0070C0"/>
                <w:sz w:val="20"/>
              </w:rPr>
              <w:t>Rate</w:t>
            </w:r>
          </w:p>
        </w:tc>
      </w:tr>
      <w:tr w:rsidR="00D46DC4" w:rsidRPr="00D47C20" w:rsidTr="00D46DC4">
        <w:tc>
          <w:tcPr>
            <w:tcW w:w="933" w:type="dxa"/>
            <w:vAlign w:val="center"/>
          </w:tcPr>
          <w:p w:rsidR="00D46DC4" w:rsidRPr="00D47C20" w:rsidRDefault="00D46DC4" w:rsidP="00B7389F">
            <w:pPr>
              <w:pStyle w:val="C"/>
              <w:widowControl/>
              <w:spacing w:before="0" w:after="0"/>
              <w:rPr>
                <w:rFonts w:ascii="Arial" w:hAnsi="Arial" w:cs="Arial"/>
                <w:b w:val="0"/>
                <w:bCs/>
                <w:color w:val="0070C0"/>
                <w:sz w:val="20"/>
              </w:rPr>
            </w:pPr>
            <w:r w:rsidRPr="00D47C20">
              <w:rPr>
                <w:rFonts w:ascii="Arial" w:hAnsi="Arial" w:cs="Arial"/>
                <w:b w:val="0"/>
                <w:color w:val="0070C0"/>
                <w:sz w:val="20"/>
              </w:rPr>
              <w:t>(1)</w:t>
            </w:r>
          </w:p>
        </w:tc>
        <w:tc>
          <w:tcPr>
            <w:tcW w:w="3567" w:type="dxa"/>
            <w:vAlign w:val="center"/>
          </w:tcPr>
          <w:p w:rsidR="00D46DC4" w:rsidRPr="00D47C20" w:rsidRDefault="00D46DC4" w:rsidP="00B7389F">
            <w:pPr>
              <w:pStyle w:val="C"/>
              <w:widowControl/>
              <w:spacing w:before="0" w:after="0"/>
              <w:jc w:val="both"/>
              <w:rPr>
                <w:rFonts w:ascii="Arial" w:hAnsi="Arial" w:cs="Arial"/>
                <w:b w:val="0"/>
                <w:bCs/>
                <w:color w:val="0070C0"/>
                <w:sz w:val="20"/>
              </w:rPr>
            </w:pPr>
            <w:r w:rsidRPr="00D47C20">
              <w:rPr>
                <w:rFonts w:ascii="Arial" w:hAnsi="Arial" w:cs="Arial"/>
                <w:b w:val="0"/>
                <w:color w:val="0070C0"/>
                <w:sz w:val="20"/>
              </w:rPr>
              <w:t>(2)</w:t>
            </w:r>
          </w:p>
        </w:tc>
        <w:tc>
          <w:tcPr>
            <w:tcW w:w="2034" w:type="dxa"/>
            <w:vAlign w:val="center"/>
          </w:tcPr>
          <w:p w:rsidR="00D46DC4" w:rsidRPr="00D47C20" w:rsidRDefault="00D46DC4" w:rsidP="00B7389F">
            <w:pPr>
              <w:pStyle w:val="C"/>
              <w:widowControl/>
              <w:spacing w:before="0" w:after="0"/>
              <w:rPr>
                <w:rFonts w:ascii="Arial" w:hAnsi="Arial" w:cs="Arial"/>
                <w:b w:val="0"/>
                <w:bCs/>
                <w:color w:val="0070C0"/>
                <w:sz w:val="20"/>
              </w:rPr>
            </w:pPr>
            <w:r w:rsidRPr="00D47C20">
              <w:rPr>
                <w:rFonts w:ascii="Arial" w:hAnsi="Arial" w:cs="Arial"/>
                <w:b w:val="0"/>
                <w:color w:val="0070C0"/>
                <w:sz w:val="20"/>
              </w:rPr>
              <w:t>(3)</w:t>
            </w:r>
          </w:p>
        </w:tc>
      </w:tr>
      <w:tr w:rsidR="00D46DC4" w:rsidRPr="00D47C20" w:rsidTr="00D46DC4">
        <w:trPr>
          <w:trHeight w:val="314"/>
        </w:trPr>
        <w:tc>
          <w:tcPr>
            <w:tcW w:w="933" w:type="dxa"/>
            <w:vAlign w:val="center"/>
          </w:tcPr>
          <w:p w:rsidR="00D46DC4" w:rsidRPr="00D47C20" w:rsidRDefault="00D46DC4" w:rsidP="00B7389F">
            <w:pPr>
              <w:pStyle w:val="C"/>
              <w:widowControl/>
              <w:spacing w:before="0" w:after="0"/>
              <w:rPr>
                <w:rFonts w:ascii="Arial" w:hAnsi="Arial" w:cs="Arial"/>
                <w:b w:val="0"/>
                <w:bCs/>
                <w:color w:val="0070C0"/>
                <w:sz w:val="20"/>
              </w:rPr>
            </w:pPr>
            <w:r w:rsidRPr="00D47C20">
              <w:rPr>
                <w:rFonts w:ascii="Arial" w:hAnsi="Arial" w:cs="Arial"/>
                <w:b w:val="0"/>
                <w:color w:val="0070C0"/>
                <w:sz w:val="20"/>
              </w:rPr>
              <w:t>1.</w:t>
            </w:r>
          </w:p>
        </w:tc>
        <w:tc>
          <w:tcPr>
            <w:tcW w:w="3567" w:type="dxa"/>
            <w:vAlign w:val="center"/>
          </w:tcPr>
          <w:p w:rsidR="00D46DC4" w:rsidRPr="00D47C20" w:rsidRDefault="00D46DC4" w:rsidP="00B7389F">
            <w:pPr>
              <w:pStyle w:val="C"/>
              <w:widowControl/>
              <w:spacing w:before="0" w:after="0"/>
              <w:ind w:right="162"/>
              <w:jc w:val="both"/>
              <w:rPr>
                <w:rFonts w:ascii="Arial" w:hAnsi="Arial" w:cs="Arial"/>
                <w:b w:val="0"/>
                <w:bCs/>
                <w:color w:val="0070C0"/>
                <w:sz w:val="20"/>
              </w:rPr>
            </w:pPr>
            <w:r w:rsidRPr="00D47C20">
              <w:rPr>
                <w:rFonts w:ascii="Arial" w:hAnsi="Arial" w:cs="Arial"/>
                <w:b w:val="0"/>
                <w:bCs/>
                <w:color w:val="0070C0"/>
                <w:sz w:val="20"/>
              </w:rPr>
              <w:t>General insurance premium</w:t>
            </w:r>
          </w:p>
        </w:tc>
        <w:tc>
          <w:tcPr>
            <w:tcW w:w="2034" w:type="dxa"/>
            <w:vAlign w:val="center"/>
          </w:tcPr>
          <w:p w:rsidR="00D46DC4" w:rsidRPr="00D47C20" w:rsidRDefault="00D46DC4" w:rsidP="00B7389F">
            <w:pPr>
              <w:pStyle w:val="C"/>
              <w:widowControl/>
              <w:spacing w:before="0" w:after="0"/>
              <w:rPr>
                <w:rFonts w:ascii="Arial" w:hAnsi="Arial" w:cs="Arial"/>
                <w:b w:val="0"/>
                <w:bCs/>
                <w:color w:val="0070C0"/>
                <w:sz w:val="20"/>
              </w:rPr>
            </w:pPr>
            <w:r w:rsidRPr="00D47C20">
              <w:rPr>
                <w:rFonts w:ascii="Arial" w:hAnsi="Arial" w:cs="Arial"/>
                <w:b w:val="0"/>
                <w:color w:val="0070C0"/>
                <w:sz w:val="20"/>
              </w:rPr>
              <w:t>4%</w:t>
            </w:r>
          </w:p>
        </w:tc>
      </w:tr>
      <w:tr w:rsidR="00D46DC4" w:rsidRPr="00D47C20" w:rsidTr="00D46DC4">
        <w:trPr>
          <w:trHeight w:val="260"/>
        </w:trPr>
        <w:tc>
          <w:tcPr>
            <w:tcW w:w="933" w:type="dxa"/>
            <w:vAlign w:val="center"/>
          </w:tcPr>
          <w:p w:rsidR="00D46DC4" w:rsidRPr="00D47C20" w:rsidRDefault="00D46DC4" w:rsidP="00B7389F">
            <w:pPr>
              <w:pStyle w:val="C"/>
              <w:widowControl/>
              <w:spacing w:before="0" w:after="0"/>
              <w:rPr>
                <w:rFonts w:ascii="Arial" w:hAnsi="Arial" w:cs="Arial"/>
                <w:b w:val="0"/>
                <w:bCs/>
                <w:color w:val="0070C0"/>
                <w:sz w:val="20"/>
              </w:rPr>
            </w:pPr>
            <w:r w:rsidRPr="00D47C20">
              <w:rPr>
                <w:rFonts w:ascii="Arial" w:hAnsi="Arial" w:cs="Arial"/>
                <w:b w:val="0"/>
                <w:color w:val="0070C0"/>
                <w:sz w:val="20"/>
              </w:rPr>
              <w:t>2.</w:t>
            </w:r>
          </w:p>
        </w:tc>
        <w:tc>
          <w:tcPr>
            <w:tcW w:w="3567" w:type="dxa"/>
            <w:vAlign w:val="center"/>
          </w:tcPr>
          <w:p w:rsidR="00D46DC4" w:rsidRPr="00D47C20" w:rsidRDefault="00D46DC4" w:rsidP="00B7389F">
            <w:pPr>
              <w:pStyle w:val="C"/>
              <w:widowControl/>
              <w:spacing w:before="0" w:after="0"/>
              <w:ind w:right="162"/>
              <w:jc w:val="both"/>
              <w:rPr>
                <w:rFonts w:ascii="Arial" w:hAnsi="Arial" w:cs="Arial"/>
                <w:b w:val="0"/>
                <w:bCs/>
                <w:color w:val="0070C0"/>
                <w:sz w:val="20"/>
              </w:rPr>
            </w:pPr>
            <w:r w:rsidRPr="00D47C20">
              <w:rPr>
                <w:rFonts w:ascii="Arial" w:hAnsi="Arial" w:cs="Arial"/>
                <w:b w:val="0"/>
                <w:color w:val="0070C0"/>
                <w:sz w:val="20"/>
              </w:rPr>
              <w:t>Life insurance premium if exceeding Rs 0.2 million per annum</w:t>
            </w:r>
          </w:p>
        </w:tc>
        <w:tc>
          <w:tcPr>
            <w:tcW w:w="2034" w:type="dxa"/>
            <w:vAlign w:val="center"/>
          </w:tcPr>
          <w:p w:rsidR="00D46DC4" w:rsidRPr="00D47C20" w:rsidRDefault="00D46DC4" w:rsidP="00B7389F">
            <w:pPr>
              <w:pStyle w:val="C"/>
              <w:widowControl/>
              <w:spacing w:before="0" w:after="0"/>
              <w:rPr>
                <w:rFonts w:ascii="Arial" w:hAnsi="Arial" w:cs="Arial"/>
                <w:b w:val="0"/>
                <w:bCs/>
                <w:color w:val="0070C0"/>
                <w:sz w:val="20"/>
              </w:rPr>
            </w:pPr>
            <w:r w:rsidRPr="00D47C20">
              <w:rPr>
                <w:rFonts w:ascii="Arial" w:hAnsi="Arial" w:cs="Arial"/>
                <w:b w:val="0"/>
                <w:color w:val="0070C0"/>
                <w:sz w:val="20"/>
              </w:rPr>
              <w:t>1%</w:t>
            </w:r>
          </w:p>
        </w:tc>
      </w:tr>
      <w:tr w:rsidR="00D46DC4" w:rsidRPr="00D47C20" w:rsidTr="00D46DC4">
        <w:trPr>
          <w:trHeight w:val="260"/>
        </w:trPr>
        <w:tc>
          <w:tcPr>
            <w:tcW w:w="933" w:type="dxa"/>
            <w:vAlign w:val="center"/>
          </w:tcPr>
          <w:p w:rsidR="00D46DC4" w:rsidRPr="00D47C20" w:rsidRDefault="00D46DC4" w:rsidP="00B7389F">
            <w:pPr>
              <w:pStyle w:val="C"/>
              <w:widowControl/>
              <w:spacing w:before="0" w:after="0"/>
              <w:rPr>
                <w:rFonts w:ascii="Arial" w:hAnsi="Arial" w:cs="Arial"/>
                <w:b w:val="0"/>
                <w:color w:val="0070C0"/>
                <w:sz w:val="20"/>
              </w:rPr>
            </w:pPr>
            <w:r w:rsidRPr="00D47C20">
              <w:rPr>
                <w:rFonts w:ascii="Arial" w:hAnsi="Arial" w:cs="Arial"/>
                <w:b w:val="0"/>
                <w:color w:val="0070C0"/>
                <w:sz w:val="20"/>
              </w:rPr>
              <w:t>3.</w:t>
            </w:r>
          </w:p>
        </w:tc>
        <w:tc>
          <w:tcPr>
            <w:tcW w:w="3567" w:type="dxa"/>
            <w:vAlign w:val="center"/>
          </w:tcPr>
          <w:p w:rsidR="00D46DC4" w:rsidRPr="00D47C20" w:rsidRDefault="00D46DC4" w:rsidP="00B7389F">
            <w:pPr>
              <w:pStyle w:val="C"/>
              <w:widowControl/>
              <w:spacing w:before="0" w:after="0"/>
              <w:ind w:right="162"/>
              <w:jc w:val="both"/>
              <w:rPr>
                <w:rFonts w:ascii="Arial" w:hAnsi="Arial" w:cs="Arial"/>
                <w:b w:val="0"/>
                <w:color w:val="0070C0"/>
                <w:sz w:val="20"/>
              </w:rPr>
            </w:pPr>
            <w:r w:rsidRPr="00D47C20">
              <w:rPr>
                <w:rFonts w:ascii="Arial" w:hAnsi="Arial" w:cs="Arial"/>
                <w:b w:val="0"/>
                <w:color w:val="0070C0"/>
                <w:sz w:val="20"/>
              </w:rPr>
              <w:t>Others</w:t>
            </w:r>
          </w:p>
        </w:tc>
        <w:tc>
          <w:tcPr>
            <w:tcW w:w="2034" w:type="dxa"/>
            <w:vAlign w:val="center"/>
          </w:tcPr>
          <w:p w:rsidR="00D46DC4" w:rsidRPr="00D47C20" w:rsidRDefault="00D46DC4" w:rsidP="00B7389F">
            <w:pPr>
              <w:pStyle w:val="C"/>
              <w:widowControl/>
              <w:spacing w:before="0" w:after="0"/>
              <w:rPr>
                <w:rFonts w:ascii="Arial" w:hAnsi="Arial" w:cs="Arial"/>
                <w:b w:val="0"/>
                <w:color w:val="0070C0"/>
                <w:sz w:val="20"/>
              </w:rPr>
            </w:pPr>
            <w:r w:rsidRPr="00D47C20">
              <w:rPr>
                <w:rFonts w:ascii="Arial" w:hAnsi="Arial" w:cs="Arial"/>
                <w:b w:val="0"/>
                <w:color w:val="0070C0"/>
                <w:sz w:val="20"/>
              </w:rPr>
              <w:t>0%]</w:t>
            </w:r>
          </w:p>
        </w:tc>
      </w:tr>
    </w:tbl>
    <w:p w:rsidR="00D46DC4" w:rsidRPr="00D47C20" w:rsidRDefault="00D46DC4" w:rsidP="00D46DC4">
      <w:pPr>
        <w:pStyle w:val="C"/>
        <w:widowControl/>
        <w:spacing w:before="0" w:after="0"/>
        <w:ind w:left="3254" w:firstLine="28"/>
        <w:jc w:val="left"/>
        <w:rPr>
          <w:rFonts w:ascii="Arial" w:hAnsi="Arial" w:cs="Arial"/>
          <w:color w:val="0070C0"/>
          <w:sz w:val="20"/>
        </w:rPr>
      </w:pPr>
    </w:p>
    <w:p w:rsidR="00D46DC4" w:rsidRPr="00D47C20" w:rsidRDefault="00D46DC4" w:rsidP="00D46DC4">
      <w:pPr>
        <w:pStyle w:val="C"/>
        <w:widowControl/>
        <w:spacing w:before="0" w:after="0"/>
        <w:ind w:left="3254" w:firstLine="28"/>
        <w:jc w:val="left"/>
        <w:rPr>
          <w:rFonts w:ascii="Arial" w:hAnsi="Arial" w:cs="Arial"/>
          <w:color w:val="0070C0"/>
          <w:sz w:val="20"/>
        </w:rPr>
      </w:pPr>
    </w:p>
    <w:p w:rsidR="00D46DC4" w:rsidRPr="00D47C20" w:rsidRDefault="00D46DC4" w:rsidP="00D46DC4">
      <w:pPr>
        <w:pStyle w:val="C"/>
        <w:widowControl/>
        <w:spacing w:before="0" w:after="0"/>
        <w:ind w:left="3254" w:firstLine="28"/>
        <w:jc w:val="left"/>
        <w:rPr>
          <w:rFonts w:ascii="Arial" w:hAnsi="Arial" w:cs="Arial"/>
          <w:color w:val="0070C0"/>
          <w:sz w:val="20"/>
        </w:rPr>
      </w:pPr>
    </w:p>
    <w:p w:rsidR="00D46DC4" w:rsidRPr="00D47C20" w:rsidRDefault="00D46DC4" w:rsidP="00D46DC4">
      <w:pPr>
        <w:pStyle w:val="C"/>
        <w:widowControl/>
        <w:spacing w:before="0" w:after="0"/>
        <w:ind w:left="3254" w:firstLine="28"/>
        <w:jc w:val="left"/>
        <w:rPr>
          <w:rFonts w:ascii="Arial" w:hAnsi="Arial" w:cs="Arial"/>
          <w:color w:val="0070C0"/>
          <w:sz w:val="20"/>
        </w:rPr>
      </w:pPr>
      <w:r w:rsidRPr="00D47C20">
        <w:rPr>
          <w:rStyle w:val="FootnoteReference"/>
          <w:rFonts w:ascii="Arial" w:hAnsi="Arial" w:cs="Arial"/>
          <w:color w:val="0070C0"/>
          <w:sz w:val="20"/>
        </w:rPr>
        <w:footnoteReference w:id="1756"/>
      </w:r>
      <w:r w:rsidRPr="00D47C20">
        <w:rPr>
          <w:rFonts w:ascii="Arial" w:hAnsi="Arial" w:cs="Arial"/>
          <w:color w:val="0070C0"/>
          <w:sz w:val="20"/>
        </w:rPr>
        <w:t>[“Division XXVI</w:t>
      </w:r>
    </w:p>
    <w:p w:rsidR="00D46DC4" w:rsidRPr="00D47C20" w:rsidRDefault="00D46DC4" w:rsidP="00D46DC4">
      <w:pPr>
        <w:pStyle w:val="C"/>
        <w:widowControl/>
        <w:spacing w:before="0" w:after="0"/>
        <w:ind w:left="3254" w:firstLine="28"/>
        <w:jc w:val="left"/>
        <w:rPr>
          <w:rFonts w:ascii="Arial" w:hAnsi="Arial" w:cs="Arial"/>
          <w:color w:val="0070C0"/>
          <w:sz w:val="20"/>
        </w:rPr>
      </w:pPr>
    </w:p>
    <w:p w:rsidR="00D46DC4" w:rsidRPr="00D47C20" w:rsidRDefault="00D46DC4" w:rsidP="00D46DC4">
      <w:pPr>
        <w:pStyle w:val="C"/>
        <w:widowControl/>
        <w:spacing w:before="0" w:after="0"/>
        <w:ind w:left="2160"/>
        <w:jc w:val="left"/>
        <w:rPr>
          <w:rFonts w:ascii="Arial" w:hAnsi="Arial" w:cs="Arial"/>
          <w:color w:val="0070C0"/>
          <w:sz w:val="20"/>
        </w:rPr>
      </w:pPr>
      <w:r w:rsidRPr="00D47C20">
        <w:rPr>
          <w:rFonts w:ascii="Arial" w:hAnsi="Arial" w:cs="Arial"/>
          <w:color w:val="0070C0"/>
          <w:sz w:val="20"/>
        </w:rPr>
        <w:t>ADVANCE TAX ON EXTRACTION OF MINERALS</w:t>
      </w:r>
    </w:p>
    <w:p w:rsidR="00D46DC4" w:rsidRPr="00D47C20" w:rsidRDefault="00D46DC4" w:rsidP="00D46DC4">
      <w:pPr>
        <w:pStyle w:val="C"/>
        <w:widowControl/>
        <w:spacing w:before="0" w:after="0"/>
        <w:ind w:left="540" w:firstLine="540"/>
        <w:jc w:val="left"/>
        <w:rPr>
          <w:rFonts w:ascii="Arial" w:hAnsi="Arial" w:cs="Arial"/>
          <w:color w:val="0070C0"/>
          <w:sz w:val="20"/>
        </w:rPr>
      </w:pPr>
    </w:p>
    <w:p w:rsidR="00D46DC4" w:rsidRPr="00D47C20" w:rsidRDefault="00D46DC4" w:rsidP="00D46DC4">
      <w:pPr>
        <w:pStyle w:val="C"/>
        <w:widowControl/>
        <w:spacing w:before="0" w:after="0"/>
        <w:ind w:left="540" w:firstLine="540"/>
        <w:jc w:val="both"/>
        <w:rPr>
          <w:rFonts w:ascii="Arial" w:hAnsi="Arial" w:cs="Arial"/>
          <w:b w:val="0"/>
          <w:color w:val="0070C0"/>
          <w:sz w:val="20"/>
        </w:rPr>
      </w:pPr>
      <w:r w:rsidRPr="00D47C20">
        <w:rPr>
          <w:rFonts w:ascii="Arial" w:hAnsi="Arial" w:cs="Arial"/>
          <w:b w:val="0"/>
          <w:color w:val="0070C0"/>
          <w:sz w:val="20"/>
        </w:rPr>
        <w:t>The rate of tax to be collected under section 236V shall be 5% of the value of the minerals for non-filers and 0% for filers.”]</w:t>
      </w:r>
    </w:p>
    <w:p w:rsidR="0099184E" w:rsidRDefault="0099184E" w:rsidP="00886D26">
      <w:pPr>
        <w:autoSpaceDE w:val="0"/>
        <w:autoSpaceDN w:val="0"/>
        <w:adjustRightInd w:val="0"/>
        <w:ind w:left="547" w:firstLine="547"/>
        <w:rPr>
          <w:rFonts w:cs="Arial"/>
          <w:sz w:val="32"/>
          <w:szCs w:val="32"/>
        </w:rPr>
      </w:pPr>
    </w:p>
    <w:p w:rsidR="00D46DC4" w:rsidRDefault="00D46DC4" w:rsidP="00886D26">
      <w:pPr>
        <w:autoSpaceDE w:val="0"/>
        <w:autoSpaceDN w:val="0"/>
        <w:adjustRightInd w:val="0"/>
        <w:ind w:left="547" w:firstLine="547"/>
        <w:rPr>
          <w:rFonts w:cs="Arial"/>
          <w:sz w:val="32"/>
          <w:szCs w:val="32"/>
        </w:rPr>
      </w:pPr>
    </w:p>
    <w:p w:rsidR="00D46DC4" w:rsidRDefault="00D46DC4" w:rsidP="00886D26">
      <w:pPr>
        <w:autoSpaceDE w:val="0"/>
        <w:autoSpaceDN w:val="0"/>
        <w:adjustRightInd w:val="0"/>
        <w:ind w:left="547" w:firstLine="547"/>
        <w:rPr>
          <w:rFonts w:cs="Arial"/>
          <w:sz w:val="32"/>
          <w:szCs w:val="32"/>
        </w:rPr>
      </w:pPr>
    </w:p>
    <w:p w:rsidR="00D46DC4" w:rsidRDefault="00D46DC4" w:rsidP="00886D26">
      <w:pPr>
        <w:autoSpaceDE w:val="0"/>
        <w:autoSpaceDN w:val="0"/>
        <w:adjustRightInd w:val="0"/>
        <w:ind w:left="547" w:firstLine="547"/>
        <w:rPr>
          <w:rFonts w:cs="Arial"/>
          <w:sz w:val="32"/>
          <w:szCs w:val="32"/>
        </w:rPr>
      </w:pPr>
    </w:p>
    <w:p w:rsidR="00D46DC4" w:rsidRDefault="00D46DC4" w:rsidP="00886D26">
      <w:pPr>
        <w:autoSpaceDE w:val="0"/>
        <w:autoSpaceDN w:val="0"/>
        <w:adjustRightInd w:val="0"/>
        <w:ind w:left="547" w:firstLine="547"/>
        <w:rPr>
          <w:rFonts w:cs="Arial"/>
          <w:sz w:val="32"/>
          <w:szCs w:val="32"/>
        </w:rPr>
      </w:pPr>
    </w:p>
    <w:p w:rsidR="00D46DC4" w:rsidRDefault="00D46DC4" w:rsidP="00886D26">
      <w:pPr>
        <w:autoSpaceDE w:val="0"/>
        <w:autoSpaceDN w:val="0"/>
        <w:adjustRightInd w:val="0"/>
        <w:ind w:left="547" w:firstLine="547"/>
        <w:rPr>
          <w:rFonts w:cs="Arial"/>
          <w:sz w:val="32"/>
          <w:szCs w:val="32"/>
        </w:rPr>
      </w:pPr>
    </w:p>
    <w:p w:rsidR="00AA4BF8" w:rsidRPr="00A630DF" w:rsidRDefault="00AA4BF8" w:rsidP="0099184E">
      <w:pPr>
        <w:autoSpaceDE w:val="0"/>
        <w:autoSpaceDN w:val="0"/>
        <w:adjustRightInd w:val="0"/>
        <w:ind w:left="1094" w:firstLine="547"/>
        <w:rPr>
          <w:b/>
          <w:bCs/>
          <w:sz w:val="32"/>
          <w:szCs w:val="32"/>
        </w:rPr>
      </w:pPr>
      <w:r w:rsidRPr="00A630DF">
        <w:rPr>
          <w:rFonts w:cs="Arial"/>
          <w:sz w:val="32"/>
          <w:szCs w:val="32"/>
        </w:rPr>
        <w:t>THE SECOND SCHEDULE</w:t>
      </w:r>
    </w:p>
    <w:p w:rsidR="00AA4BF8" w:rsidRPr="00412620" w:rsidRDefault="00AA4BF8" w:rsidP="00AA4BF8">
      <w:pPr>
        <w:pStyle w:val="Heading2"/>
        <w:spacing w:line="240" w:lineRule="auto"/>
        <w:rPr>
          <w:sz w:val="20"/>
        </w:rPr>
      </w:pPr>
      <w:r w:rsidRPr="00412620">
        <w:rPr>
          <w:sz w:val="20"/>
        </w:rPr>
        <w:t xml:space="preserve">EXEMPTIONS AND TAX CONCESSIONS </w:t>
      </w:r>
    </w:p>
    <w:p w:rsidR="00AA4BF8" w:rsidRPr="00412620" w:rsidRDefault="00AA4BF8" w:rsidP="00AA4BF8">
      <w:pPr>
        <w:keepNext/>
        <w:jc w:val="center"/>
        <w:rPr>
          <w:i/>
          <w:iCs/>
          <w:sz w:val="20"/>
        </w:rPr>
      </w:pPr>
      <w:r w:rsidRPr="00412620">
        <w:rPr>
          <w:i/>
          <w:iCs/>
          <w:sz w:val="20"/>
        </w:rPr>
        <w:t>[See section 53]</w:t>
      </w:r>
    </w:p>
    <w:p w:rsidR="00AA4BF8" w:rsidRPr="00412620" w:rsidRDefault="00AA4BF8" w:rsidP="00AA4BF8">
      <w:pPr>
        <w:pStyle w:val="Header"/>
        <w:keepNext/>
        <w:tabs>
          <w:tab w:val="left" w:pos="547"/>
        </w:tabs>
        <w:rPr>
          <w:sz w:val="18"/>
          <w:szCs w:val="18"/>
        </w:rPr>
      </w:pPr>
    </w:p>
    <w:p w:rsidR="00AA4BF8" w:rsidRPr="00412620" w:rsidRDefault="00AA4BF8" w:rsidP="00AA4BF8">
      <w:pPr>
        <w:keepNext/>
        <w:jc w:val="center"/>
        <w:rPr>
          <w:b/>
          <w:bCs/>
          <w:snapToGrid w:val="0"/>
          <w:sz w:val="32"/>
          <w:szCs w:val="32"/>
        </w:rPr>
      </w:pPr>
      <w:r w:rsidRPr="00412620">
        <w:rPr>
          <w:b/>
          <w:bCs/>
          <w:snapToGrid w:val="0"/>
          <w:sz w:val="32"/>
          <w:szCs w:val="32"/>
        </w:rPr>
        <w:t>PART I</w:t>
      </w:r>
    </w:p>
    <w:p w:rsidR="00AA4BF8" w:rsidRPr="00412620" w:rsidRDefault="00AA4BF8" w:rsidP="00AA4BF8">
      <w:pPr>
        <w:keepNext/>
        <w:jc w:val="center"/>
        <w:rPr>
          <w:b/>
          <w:bCs/>
          <w:sz w:val="20"/>
        </w:rPr>
      </w:pPr>
      <w:r w:rsidRPr="00412620">
        <w:rPr>
          <w:b/>
          <w:bCs/>
          <w:sz w:val="20"/>
        </w:rPr>
        <w:t>EXEMPTIONS FROM TOTAL INCOME</w:t>
      </w:r>
    </w:p>
    <w:p w:rsidR="00AA4BF8" w:rsidRPr="00412620" w:rsidRDefault="00AA4BF8" w:rsidP="00AA4BF8">
      <w:pPr>
        <w:pStyle w:val="CommentText"/>
        <w:keepNext/>
        <w:widowControl w:val="0"/>
        <w:rPr>
          <w:snapToGrid w:val="0"/>
          <w:sz w:val="14"/>
          <w:szCs w:val="14"/>
        </w:rPr>
      </w:pPr>
    </w:p>
    <w:p w:rsidR="00AA4BF8" w:rsidRPr="00412620" w:rsidRDefault="00AA4BF8" w:rsidP="00AA4BF8">
      <w:pPr>
        <w:pStyle w:val="BodyText"/>
        <w:jc w:val="both"/>
        <w:rPr>
          <w:sz w:val="20"/>
        </w:rPr>
      </w:pPr>
      <w:r w:rsidRPr="00412620">
        <w:rPr>
          <w:sz w:val="20"/>
        </w:rPr>
        <w:tab/>
        <w:t>Incomes, or classes of income, or persons or classes of persons, enumerated below, shall be exempt from tax, subject to the conditions and to the extent specified hereunder: </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57"/>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18"/>
          <w:szCs w:val="18"/>
        </w:rPr>
      </w:pPr>
      <w:r w:rsidRPr="00412620">
        <w:rPr>
          <w:rStyle w:val="FootnoteReference"/>
          <w:rFonts w:cs="Arial"/>
          <w:snapToGrid w:val="0"/>
          <w:sz w:val="18"/>
          <w:szCs w:val="18"/>
        </w:rPr>
        <w:footnoteReference w:id="1758"/>
      </w:r>
      <w:r w:rsidRPr="00412620">
        <w:rPr>
          <w:snapToGrid w:val="0"/>
          <w:sz w:val="20"/>
        </w:rPr>
        <w:t>[  ]</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b/>
          <w:bCs/>
          <w:snapToGrid w:val="0"/>
          <w:sz w:val="20"/>
        </w:rPr>
        <w:t>(3)</w:t>
      </w:r>
      <w:r w:rsidRPr="00412620">
        <w:rPr>
          <w:snapToGrid w:val="0"/>
          <w:sz w:val="20"/>
        </w:rPr>
        <w:tab/>
        <w:t xml:space="preserve">Any income chargeable under the head "Salary" received by a person who, not being a citizen of Pakistan, is engaged as an expert or technical, professional, scientific advisor or consultant or senior management staff by </w:t>
      </w:r>
      <w:r w:rsidRPr="00412620">
        <w:rPr>
          <w:snapToGrid w:val="0"/>
          <w:sz w:val="20"/>
        </w:rPr>
        <w:lastRenderedPageBreak/>
        <w:t>institutions of the Agha Khan Development Network, (Pakistan) listed in Schedule I of the Accord and Protocol dated, November 13, 1994 executed between the Government of the Islamic Republic of Pakistan and Agha Khan Development Network.</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b/>
          <w:bCs/>
          <w:snapToGrid w:val="0"/>
          <w:sz w:val="20"/>
        </w:rPr>
        <w:t>(4)</w:t>
      </w:r>
      <w:r w:rsidRPr="00412620">
        <w:rPr>
          <w:snapToGrid w:val="0"/>
          <w:sz w:val="20"/>
        </w:rPr>
        <w:tab/>
        <w:t>Any income chargeable under the head “Salary” received by-</w:t>
      </w:r>
    </w:p>
    <w:p w:rsidR="00AA4BF8" w:rsidRPr="00412620" w:rsidRDefault="00AA4BF8" w:rsidP="00AA4BF8">
      <w:pPr>
        <w:widowControl w:val="0"/>
        <w:jc w:val="both"/>
        <w:rPr>
          <w:snapToGrid w:val="0"/>
          <w:sz w:val="20"/>
        </w:rPr>
      </w:pPr>
    </w:p>
    <w:p w:rsidR="00AA4BF8" w:rsidRPr="00412620" w:rsidRDefault="00AA4BF8" w:rsidP="00AA4BF8">
      <w:pPr>
        <w:widowControl w:val="0"/>
        <w:ind w:left="1641" w:hanging="546"/>
        <w:jc w:val="both"/>
        <w:rPr>
          <w:snapToGrid w:val="0"/>
          <w:sz w:val="20"/>
        </w:rPr>
      </w:pPr>
      <w:r w:rsidRPr="00412620">
        <w:rPr>
          <w:snapToGrid w:val="0"/>
          <w:sz w:val="20"/>
        </w:rPr>
        <w:t xml:space="preserve">(a) </w:t>
      </w:r>
      <w:r w:rsidRPr="00412620">
        <w:rPr>
          <w:snapToGrid w:val="0"/>
          <w:sz w:val="20"/>
        </w:rPr>
        <w:tab/>
        <w:t xml:space="preserve">a Pakistani seafarer, working on Pakistan flag vessels for one hundred and eighty three days or more during a tax year; or </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641" w:hanging="546"/>
        <w:jc w:val="both"/>
        <w:rPr>
          <w:snapToGrid w:val="0"/>
          <w:sz w:val="18"/>
          <w:szCs w:val="18"/>
        </w:rPr>
      </w:pPr>
      <w:r w:rsidRPr="00412620">
        <w:rPr>
          <w:snapToGrid w:val="0"/>
          <w:sz w:val="18"/>
          <w:szCs w:val="18"/>
        </w:rPr>
        <w:t xml:space="preserve">(b) </w:t>
      </w:r>
      <w:r w:rsidRPr="00412620">
        <w:rPr>
          <w:snapToGrid w:val="0"/>
          <w:sz w:val="18"/>
          <w:szCs w:val="18"/>
        </w:rPr>
        <w:tab/>
        <w:t>a Pakistani seafarer working on a foreign vessel provided that such income is remitted to Pakistan, not later than t</w:t>
      </w:r>
      <w:r>
        <w:rPr>
          <w:snapToGrid w:val="0"/>
          <w:sz w:val="18"/>
          <w:szCs w:val="18"/>
        </w:rPr>
        <w:t xml:space="preserve">wo months of the relevant </w:t>
      </w:r>
      <w:r w:rsidR="00326066" w:rsidRPr="00DD1A3B">
        <w:rPr>
          <w:rStyle w:val="FootnoteReference"/>
          <w:snapToGrid w:val="0"/>
          <w:color w:val="000000" w:themeColor="text1"/>
          <w:sz w:val="18"/>
          <w:szCs w:val="18"/>
        </w:rPr>
        <w:footnoteReference w:id="1759"/>
      </w:r>
      <w:r w:rsidR="00326066" w:rsidRPr="00DD1A3B">
        <w:rPr>
          <w:snapToGrid w:val="0"/>
          <w:color w:val="000000" w:themeColor="text1"/>
          <w:sz w:val="18"/>
          <w:szCs w:val="18"/>
        </w:rPr>
        <w:t>[</w:t>
      </w:r>
      <w:r w:rsidRPr="00DD1A3B">
        <w:rPr>
          <w:snapToGrid w:val="0"/>
          <w:color w:val="000000" w:themeColor="text1"/>
          <w:sz w:val="18"/>
          <w:szCs w:val="18"/>
        </w:rPr>
        <w:t>tax year</w:t>
      </w:r>
      <w:r w:rsidR="00326066" w:rsidRPr="00DD1A3B">
        <w:rPr>
          <w:snapToGrid w:val="0"/>
          <w:color w:val="000000" w:themeColor="text1"/>
          <w:sz w:val="18"/>
          <w:szCs w:val="18"/>
        </w:rPr>
        <w:t>]</w:t>
      </w:r>
      <w:r w:rsidRPr="00DD1A3B">
        <w:rPr>
          <w:snapToGrid w:val="0"/>
          <w:color w:val="000000" w:themeColor="text1"/>
          <w:sz w:val="18"/>
          <w:szCs w:val="18"/>
        </w:rPr>
        <w:t>,</w:t>
      </w:r>
      <w:r w:rsidRPr="00412620">
        <w:rPr>
          <w:snapToGrid w:val="0"/>
          <w:sz w:val="18"/>
          <w:szCs w:val="18"/>
        </w:rPr>
        <w:t xml:space="preserve"> t</w:t>
      </w:r>
      <w:r w:rsidR="00326066">
        <w:rPr>
          <w:snapToGrid w:val="0"/>
          <w:sz w:val="18"/>
          <w:szCs w:val="18"/>
        </w:rPr>
        <w:t>hrough normal banking channels.</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b/>
          <w:bCs/>
          <w:snapToGrid w:val="0"/>
          <w:sz w:val="20"/>
        </w:rPr>
        <w:t>(5)</w:t>
      </w:r>
      <w:r w:rsidRPr="00412620">
        <w:rPr>
          <w:snapToGrid w:val="0"/>
          <w:sz w:val="20"/>
        </w:rPr>
        <w:tab/>
        <w:t>Any allowance or perquisite paid or allowed as such outside Pakistan by the Government to a citizen of Pakistan for rendering service outside Pakistan.</w:t>
      </w:r>
    </w:p>
    <w:p w:rsidR="00AA4BF8" w:rsidRPr="00412620" w:rsidRDefault="00AA4BF8" w:rsidP="00AA4BF8">
      <w:pPr>
        <w:widowControl w:val="0"/>
        <w:jc w:val="both"/>
        <w:rPr>
          <w:b/>
          <w:bCs/>
          <w:snapToGrid w:val="0"/>
          <w:sz w:val="18"/>
          <w:szCs w:val="18"/>
        </w:rPr>
      </w:pPr>
    </w:p>
    <w:p w:rsidR="00AA4BF8" w:rsidRPr="00412620" w:rsidRDefault="00AA4BF8" w:rsidP="00AA4BF8">
      <w:pPr>
        <w:widowControl w:val="0"/>
        <w:jc w:val="both"/>
        <w:rPr>
          <w:b/>
          <w:bCs/>
          <w:snapToGrid w:val="0"/>
          <w:sz w:val="20"/>
        </w:rPr>
      </w:pPr>
      <w:r w:rsidRPr="00412620">
        <w:rPr>
          <w:rStyle w:val="FootnoteReference"/>
          <w:rFonts w:cs="Arial"/>
          <w:b/>
          <w:bCs/>
          <w:snapToGrid w:val="0"/>
          <w:sz w:val="20"/>
        </w:rPr>
        <w:footnoteReference w:id="1760"/>
      </w:r>
      <w:r w:rsidRPr="00412620">
        <w:rPr>
          <w:snapToGrid w:val="0"/>
          <w:sz w:val="20"/>
        </w:rPr>
        <w:t>[  ]</w:t>
      </w:r>
    </w:p>
    <w:p w:rsidR="00AA4BF8" w:rsidRPr="00412620" w:rsidRDefault="00AA4BF8" w:rsidP="00AA4BF8">
      <w:pPr>
        <w:widowControl w:val="0"/>
        <w:jc w:val="both"/>
        <w:rPr>
          <w:b/>
          <w:bCs/>
          <w:snapToGrid w:val="0"/>
          <w:sz w:val="18"/>
          <w:szCs w:val="18"/>
        </w:rPr>
      </w:pPr>
    </w:p>
    <w:p w:rsidR="00AA4BF8" w:rsidRPr="00412620" w:rsidRDefault="00AA4BF8" w:rsidP="00AA4BF8">
      <w:pPr>
        <w:pStyle w:val="BodyText"/>
        <w:jc w:val="both"/>
        <w:rPr>
          <w:sz w:val="20"/>
        </w:rPr>
      </w:pPr>
      <w:r w:rsidRPr="00412620">
        <w:rPr>
          <w:rStyle w:val="FootnoteReference"/>
          <w:rFonts w:cs="Arial"/>
          <w:sz w:val="20"/>
        </w:rPr>
        <w:footnoteReference w:id="1761"/>
      </w:r>
      <w:r w:rsidRPr="00412620">
        <w:rPr>
          <w:sz w:val="20"/>
        </w:rPr>
        <w:t>[  ]</w:t>
      </w:r>
    </w:p>
    <w:p w:rsidR="00AA4BF8" w:rsidRPr="00412620" w:rsidRDefault="00AA4BF8" w:rsidP="00AA4BF8">
      <w:pPr>
        <w:widowControl w:val="0"/>
        <w:jc w:val="both"/>
        <w:rPr>
          <w:b/>
          <w:bCs/>
          <w:snapToGrid w:val="0"/>
          <w:sz w:val="16"/>
          <w:szCs w:val="16"/>
        </w:rPr>
      </w:pPr>
    </w:p>
    <w:p w:rsidR="00AA4BF8" w:rsidRPr="00412620" w:rsidRDefault="00B66075" w:rsidP="00AA4BF8">
      <w:pPr>
        <w:widowControl w:val="0"/>
        <w:jc w:val="both"/>
        <w:rPr>
          <w:snapToGrid w:val="0"/>
          <w:sz w:val="20"/>
        </w:rPr>
      </w:pPr>
      <w:r>
        <w:rPr>
          <w:b/>
          <w:bCs/>
          <w:snapToGrid w:val="0"/>
          <w:sz w:val="20"/>
        </w:rPr>
        <w:t>(8</w:t>
      </w:r>
      <w:r w:rsidR="00AA4BF8" w:rsidRPr="00412620">
        <w:rPr>
          <w:b/>
          <w:bCs/>
          <w:snapToGrid w:val="0"/>
          <w:sz w:val="20"/>
        </w:rPr>
        <w:t>)</w:t>
      </w:r>
      <w:r w:rsidR="00AA4BF8" w:rsidRPr="00412620">
        <w:rPr>
          <w:snapToGrid w:val="0"/>
          <w:sz w:val="20"/>
        </w:rPr>
        <w:tab/>
        <w:t>Any pension received by a citizen of Pakistan from a former employer, other than where the person continues to work for the employer (or an associate of the employer).</w:t>
      </w:r>
    </w:p>
    <w:p w:rsidR="00AA4BF8" w:rsidRPr="00412620" w:rsidRDefault="00AA4BF8" w:rsidP="00AA4BF8">
      <w:pPr>
        <w:widowControl w:val="0"/>
        <w:jc w:val="both"/>
        <w:rPr>
          <w:snapToGrid w:val="0"/>
          <w:sz w:val="16"/>
          <w:szCs w:val="16"/>
        </w:rPr>
      </w:pPr>
    </w:p>
    <w:p w:rsidR="00AA4BF8" w:rsidRPr="00412620" w:rsidRDefault="00AA4BF8" w:rsidP="00AA4BF8">
      <w:pPr>
        <w:pStyle w:val="BodyText3"/>
        <w:ind w:left="1094" w:firstLine="541"/>
        <w:rPr>
          <w:sz w:val="20"/>
          <w:lang w:val="en-AU"/>
        </w:rPr>
      </w:pPr>
      <w:r w:rsidRPr="00412620">
        <w:rPr>
          <w:sz w:val="20"/>
          <w:lang w:val="en-AU"/>
        </w:rPr>
        <w:t xml:space="preserve">Provided that where the person receives more than one such pension, the exemption applies only to the higher of the pensions received. </w:t>
      </w:r>
    </w:p>
    <w:p w:rsidR="00AA4BF8" w:rsidRPr="00412620" w:rsidRDefault="00AA4BF8" w:rsidP="00AA4BF8">
      <w:pPr>
        <w:widowControl w:val="0"/>
        <w:jc w:val="both"/>
        <w:rPr>
          <w:snapToGrid w:val="0"/>
          <w:sz w:val="16"/>
          <w:szCs w:val="16"/>
        </w:rPr>
      </w:pPr>
    </w:p>
    <w:p w:rsidR="00AA4BF8" w:rsidRPr="00412620" w:rsidRDefault="00AA4BF8" w:rsidP="00AA4BF8">
      <w:pPr>
        <w:autoSpaceDE w:val="0"/>
        <w:autoSpaceDN w:val="0"/>
        <w:adjustRightInd w:val="0"/>
        <w:jc w:val="both"/>
        <w:rPr>
          <w:sz w:val="20"/>
          <w:lang w:val="en-US"/>
        </w:rPr>
      </w:pPr>
      <w:r w:rsidRPr="00412620">
        <w:rPr>
          <w:rStyle w:val="FootnoteReference"/>
          <w:rFonts w:cs="Arial"/>
          <w:sz w:val="20"/>
          <w:lang w:val="en-US"/>
        </w:rPr>
        <w:footnoteReference w:id="1762"/>
      </w:r>
      <w:r w:rsidRPr="00412620">
        <w:rPr>
          <w:sz w:val="20"/>
          <w:lang w:val="en-US"/>
        </w:rPr>
        <w:t>[</w:t>
      </w:r>
      <w:r w:rsidRPr="00412620">
        <w:rPr>
          <w:b/>
          <w:bCs/>
          <w:sz w:val="20"/>
          <w:lang w:val="en-US"/>
        </w:rPr>
        <w:t>(9)</w:t>
      </w:r>
      <w:r w:rsidRPr="00412620">
        <w:rPr>
          <w:sz w:val="20"/>
          <w:lang w:val="en-US"/>
        </w:rPr>
        <w:t xml:space="preserve"> Any pension –</w:t>
      </w:r>
    </w:p>
    <w:p w:rsidR="00AA4BF8" w:rsidRPr="00412620" w:rsidRDefault="00AA4BF8" w:rsidP="00AA4BF8">
      <w:pPr>
        <w:autoSpaceDE w:val="0"/>
        <w:autoSpaceDN w:val="0"/>
        <w:adjustRightInd w:val="0"/>
        <w:jc w:val="both"/>
        <w:rPr>
          <w:sz w:val="16"/>
          <w:szCs w:val="16"/>
          <w:lang w:val="en-US"/>
        </w:rPr>
      </w:pPr>
    </w:p>
    <w:p w:rsidR="00AA4BF8" w:rsidRPr="00412620" w:rsidRDefault="00AA4BF8" w:rsidP="00AA4BF8">
      <w:pPr>
        <w:autoSpaceDE w:val="0"/>
        <w:autoSpaceDN w:val="0"/>
        <w:adjustRightInd w:val="0"/>
        <w:ind w:left="1094" w:hanging="547"/>
        <w:jc w:val="both"/>
        <w:rPr>
          <w:sz w:val="20"/>
          <w:lang w:val="en-US"/>
        </w:rPr>
      </w:pPr>
      <w:r w:rsidRPr="00412620">
        <w:rPr>
          <w:sz w:val="20"/>
          <w:lang w:val="en-US"/>
        </w:rPr>
        <w:t xml:space="preserve">(i) </w:t>
      </w:r>
      <w:r w:rsidRPr="00412620">
        <w:rPr>
          <w:sz w:val="20"/>
          <w:lang w:val="en-US"/>
        </w:rPr>
        <w:tab/>
        <w:t>received in respect of services rendered by a member of the Armed   Forces of Pakistan or Federal Government or a Provincial Government;</w:t>
      </w:r>
    </w:p>
    <w:p w:rsidR="00AA4BF8" w:rsidRPr="00412620" w:rsidRDefault="00AA4BF8" w:rsidP="00AA4BF8">
      <w:pPr>
        <w:autoSpaceDE w:val="0"/>
        <w:autoSpaceDN w:val="0"/>
        <w:adjustRightInd w:val="0"/>
        <w:jc w:val="both"/>
        <w:rPr>
          <w:sz w:val="14"/>
          <w:szCs w:val="14"/>
          <w:lang w:val="en-US"/>
        </w:rPr>
      </w:pPr>
    </w:p>
    <w:p w:rsidR="00AA4BF8" w:rsidRPr="00412620" w:rsidRDefault="00AA4BF8" w:rsidP="00AA4BF8">
      <w:pPr>
        <w:autoSpaceDE w:val="0"/>
        <w:autoSpaceDN w:val="0"/>
        <w:adjustRightInd w:val="0"/>
        <w:ind w:left="1094" w:hanging="554"/>
        <w:jc w:val="both"/>
        <w:rPr>
          <w:sz w:val="20"/>
          <w:lang w:val="en-US"/>
        </w:rPr>
      </w:pPr>
      <w:r w:rsidRPr="00412620">
        <w:rPr>
          <w:sz w:val="20"/>
          <w:lang w:val="en-US"/>
        </w:rPr>
        <w:t xml:space="preserve">(ii)  </w:t>
      </w:r>
      <w:r w:rsidRPr="00412620">
        <w:rPr>
          <w:sz w:val="20"/>
          <w:lang w:val="en-US"/>
        </w:rPr>
        <w:tab/>
        <w:t>granted under the relevant rules to the families and dependents of  public servants or members of the Armed Forces of Pakistan who die during service.]</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rStyle w:val="FootnoteReference"/>
          <w:rFonts w:cs="Arial"/>
          <w:snapToGrid w:val="0"/>
          <w:sz w:val="20"/>
        </w:rPr>
        <w:lastRenderedPageBreak/>
        <w:footnoteReference w:id="1763"/>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64"/>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(12</w:t>
      </w:r>
      <w:r w:rsidRPr="00412620">
        <w:rPr>
          <w:snapToGrid w:val="0"/>
          <w:sz w:val="20"/>
        </w:rPr>
        <w:t>)</w:t>
      </w:r>
      <w:r w:rsidRPr="00412620">
        <w:rPr>
          <w:snapToGrid w:val="0"/>
          <w:sz w:val="20"/>
        </w:rPr>
        <w:tab/>
        <w:t xml:space="preserve">Any payment in the nature of commutation of pension received from Government or under any pension scheme approved by the </w:t>
      </w:r>
      <w:r w:rsidR="00E958E0">
        <w:rPr>
          <w:rStyle w:val="FootnoteReference"/>
          <w:snapToGrid w:val="0"/>
          <w:sz w:val="20"/>
        </w:rPr>
        <w:footnoteReference w:id="1765"/>
      </w:r>
      <w:r w:rsidR="00E958E0">
        <w:rPr>
          <w:snapToGrid w:val="0"/>
          <w:sz w:val="20"/>
        </w:rPr>
        <w:t>[</w:t>
      </w:r>
      <w:r w:rsidRPr="00412620">
        <w:rPr>
          <w:snapToGrid w:val="0"/>
          <w:sz w:val="20"/>
        </w:rPr>
        <w:t>Board</w:t>
      </w:r>
      <w:r w:rsidR="00E958E0">
        <w:rPr>
          <w:snapToGrid w:val="0"/>
          <w:sz w:val="20"/>
        </w:rPr>
        <w:t>]</w:t>
      </w:r>
      <w:r w:rsidRPr="00412620">
        <w:rPr>
          <w:snapToGrid w:val="0"/>
          <w:sz w:val="20"/>
        </w:rPr>
        <w:t xml:space="preserve"> for the purpose of this clause.</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(13)</w:t>
      </w:r>
      <w:r w:rsidRPr="00412620">
        <w:rPr>
          <w:snapToGrid w:val="0"/>
          <w:sz w:val="20"/>
        </w:rPr>
        <w:tab/>
        <w:t>Any income representing any payment received by way of gratuity or commutation of pension by an employee on his retirement or, in the event of his death, by his heirs as does not exceed –</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427"/>
        <w:jc w:val="both"/>
        <w:rPr>
          <w:snapToGrid w:val="0"/>
          <w:sz w:val="20"/>
        </w:rPr>
      </w:pPr>
      <w:r w:rsidRPr="00412620">
        <w:rPr>
          <w:snapToGrid w:val="0"/>
          <w:sz w:val="20"/>
        </w:rPr>
        <w:t>(i)</w:t>
      </w:r>
      <w:r w:rsidRPr="00412620">
        <w:rPr>
          <w:snapToGrid w:val="0"/>
          <w:sz w:val="20"/>
        </w:rPr>
        <w:tab/>
        <w:t xml:space="preserve">in the case of an employee of the Government, a </w:t>
      </w:r>
      <w:r w:rsidRPr="00412620">
        <w:rPr>
          <w:rStyle w:val="FootnoteReference"/>
          <w:rFonts w:cs="Arial"/>
          <w:snapToGrid w:val="0"/>
          <w:sz w:val="20"/>
        </w:rPr>
        <w:footnoteReference w:id="1766"/>
      </w:r>
      <w:r w:rsidRPr="00412620">
        <w:rPr>
          <w:snapToGrid w:val="0"/>
          <w:sz w:val="20"/>
        </w:rPr>
        <w:t>[Local Government], a statutory body or corporation established by any law for the time being in force, the amount receivable in accordance with the rules and conditions of the employee’s services;</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487"/>
        <w:jc w:val="both"/>
        <w:rPr>
          <w:snapToGrid w:val="0"/>
          <w:sz w:val="20"/>
        </w:rPr>
      </w:pPr>
      <w:r w:rsidRPr="00412620">
        <w:rPr>
          <w:snapToGrid w:val="0"/>
          <w:sz w:val="20"/>
        </w:rPr>
        <w:t>(ii)</w:t>
      </w:r>
      <w:r w:rsidRPr="00412620">
        <w:rPr>
          <w:snapToGrid w:val="0"/>
          <w:sz w:val="20"/>
        </w:rPr>
        <w:tab/>
        <w:t>any amount receivable from any gratuity fund approved by the Commissioner in accordance with the rules in Part III of the Sixth Schedule;</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47"/>
        <w:jc w:val="both"/>
        <w:rPr>
          <w:snapToGrid w:val="0"/>
          <w:sz w:val="20"/>
        </w:rPr>
      </w:pPr>
      <w:r w:rsidRPr="00412620">
        <w:rPr>
          <w:snapToGrid w:val="0"/>
          <w:sz w:val="20"/>
        </w:rPr>
        <w:t>(iii)</w:t>
      </w:r>
      <w:r w:rsidRPr="00412620">
        <w:rPr>
          <w:snapToGrid w:val="0"/>
          <w:sz w:val="20"/>
        </w:rPr>
        <w:tab/>
        <w:t xml:space="preserve">in the case of any other employee, the amount not exceeding </w:t>
      </w:r>
      <w:r w:rsidR="00A55656" w:rsidRPr="00D47C20">
        <w:rPr>
          <w:rStyle w:val="FootnoteReference"/>
          <w:snapToGrid w:val="0"/>
          <w:color w:val="0070C0"/>
          <w:sz w:val="20"/>
        </w:rPr>
        <w:footnoteReference w:id="1767"/>
      </w:r>
      <w:r w:rsidR="00A55656" w:rsidRPr="00D47C20">
        <w:rPr>
          <w:snapToGrid w:val="0"/>
          <w:color w:val="0070C0"/>
          <w:sz w:val="20"/>
        </w:rPr>
        <w:t>[three]</w:t>
      </w:r>
      <w:r w:rsidRPr="00412620">
        <w:rPr>
          <w:snapToGrid w:val="0"/>
          <w:sz w:val="20"/>
        </w:rPr>
        <w:t xml:space="preserve"> hundred thousand rupees receivable under any scheme applicable to all employees of the employer and approved by the </w:t>
      </w:r>
      <w:r w:rsidR="00D6172F">
        <w:rPr>
          <w:rStyle w:val="FootnoteReference"/>
          <w:snapToGrid w:val="0"/>
          <w:sz w:val="20"/>
        </w:rPr>
        <w:footnoteReference w:id="1768"/>
      </w:r>
      <w:r w:rsidR="00D6172F">
        <w:rPr>
          <w:snapToGrid w:val="0"/>
          <w:sz w:val="20"/>
        </w:rPr>
        <w:t xml:space="preserve">[Board] for </w:t>
      </w:r>
      <w:r w:rsidRPr="00412620">
        <w:rPr>
          <w:snapToGrid w:val="0"/>
          <w:sz w:val="20"/>
        </w:rPr>
        <w:t>the purposes of this sub-clause; and</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40"/>
        <w:jc w:val="both"/>
        <w:rPr>
          <w:snapToGrid w:val="0"/>
          <w:sz w:val="20"/>
        </w:rPr>
      </w:pPr>
      <w:r w:rsidRPr="00412620">
        <w:rPr>
          <w:snapToGrid w:val="0"/>
          <w:sz w:val="20"/>
        </w:rPr>
        <w:t>(iv)</w:t>
      </w:r>
      <w:r w:rsidRPr="00412620">
        <w:rPr>
          <w:snapToGrid w:val="0"/>
          <w:sz w:val="20"/>
        </w:rPr>
        <w:tab/>
        <w:t xml:space="preserve">in the case of any employee to whom sub-clause (i), (ii) and (iii) do not apply, fifty </w:t>
      </w:r>
      <w:r>
        <w:rPr>
          <w:snapToGrid w:val="0"/>
          <w:sz w:val="20"/>
        </w:rPr>
        <w:t>per cent</w:t>
      </w:r>
      <w:r w:rsidRPr="00412620">
        <w:rPr>
          <w:snapToGrid w:val="0"/>
          <w:sz w:val="20"/>
        </w:rPr>
        <w:t xml:space="preserve"> of the amount receivable or seventy-five thousand rupees, whichever is the less:</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snapToGrid w:val="0"/>
          <w:sz w:val="20"/>
        </w:rPr>
        <w:tab/>
        <w:t>Provided that nothing in this sub-clause shall apply –</w:t>
      </w:r>
    </w:p>
    <w:p w:rsidR="00AA4BF8" w:rsidRPr="00412620" w:rsidRDefault="00AA4BF8" w:rsidP="00AA4BF8">
      <w:pPr>
        <w:widowControl w:val="0"/>
        <w:jc w:val="both"/>
        <w:rPr>
          <w:snapToGrid w:val="0"/>
          <w:sz w:val="20"/>
        </w:rPr>
      </w:pPr>
    </w:p>
    <w:p w:rsidR="00AA4BF8" w:rsidRPr="00412620" w:rsidRDefault="00AA4BF8" w:rsidP="00AA4BF8">
      <w:pPr>
        <w:widowControl w:val="0"/>
        <w:ind w:left="2125" w:firstLine="21"/>
        <w:jc w:val="both"/>
        <w:rPr>
          <w:snapToGrid w:val="0"/>
          <w:sz w:val="20"/>
        </w:rPr>
      </w:pPr>
      <w:r w:rsidRPr="00412620">
        <w:rPr>
          <w:snapToGrid w:val="0"/>
          <w:sz w:val="20"/>
        </w:rPr>
        <w:t>(a)</w:t>
      </w:r>
      <w:r w:rsidRPr="00412620">
        <w:rPr>
          <w:snapToGrid w:val="0"/>
          <w:sz w:val="20"/>
        </w:rPr>
        <w:tab/>
        <w:t>to any payment which is not received in Pakistan;</w:t>
      </w:r>
    </w:p>
    <w:p w:rsidR="00AA4BF8" w:rsidRPr="00412620" w:rsidRDefault="00AA4BF8" w:rsidP="00AA4BF8">
      <w:pPr>
        <w:widowControl w:val="0"/>
        <w:jc w:val="both"/>
        <w:rPr>
          <w:snapToGrid w:val="0"/>
          <w:sz w:val="20"/>
        </w:rPr>
      </w:pPr>
    </w:p>
    <w:p w:rsidR="00AA4BF8" w:rsidRPr="00412620" w:rsidRDefault="00AA4BF8" w:rsidP="00AA4BF8">
      <w:pPr>
        <w:widowControl w:val="0"/>
        <w:ind w:left="2725" w:hanging="600"/>
        <w:jc w:val="both"/>
        <w:rPr>
          <w:snapToGrid w:val="0"/>
          <w:sz w:val="20"/>
        </w:rPr>
      </w:pPr>
      <w:r w:rsidRPr="00412620">
        <w:rPr>
          <w:snapToGrid w:val="0"/>
          <w:sz w:val="20"/>
        </w:rPr>
        <w:t>(b)</w:t>
      </w:r>
      <w:r w:rsidRPr="00412620">
        <w:rPr>
          <w:snapToGrid w:val="0"/>
          <w:sz w:val="20"/>
        </w:rPr>
        <w:tab/>
        <w:t>to any payment received from a company by a director of such company who is not a regular employee of such company;</w:t>
      </w:r>
    </w:p>
    <w:p w:rsidR="00AA4BF8" w:rsidRPr="00412620" w:rsidRDefault="00AA4BF8" w:rsidP="00AA4BF8">
      <w:pPr>
        <w:widowControl w:val="0"/>
        <w:jc w:val="both"/>
        <w:rPr>
          <w:snapToGrid w:val="0"/>
          <w:sz w:val="20"/>
        </w:rPr>
      </w:pPr>
    </w:p>
    <w:p w:rsidR="00AA4BF8" w:rsidRPr="00412620" w:rsidRDefault="00AA4BF8" w:rsidP="00AA4BF8">
      <w:pPr>
        <w:widowControl w:val="0"/>
        <w:ind w:left="2725" w:hanging="600"/>
        <w:jc w:val="both"/>
        <w:rPr>
          <w:snapToGrid w:val="0"/>
          <w:sz w:val="20"/>
        </w:rPr>
      </w:pPr>
      <w:r w:rsidRPr="00412620">
        <w:rPr>
          <w:snapToGrid w:val="0"/>
          <w:sz w:val="20"/>
        </w:rPr>
        <w:t>(c)</w:t>
      </w:r>
      <w:r w:rsidRPr="00412620">
        <w:rPr>
          <w:snapToGrid w:val="0"/>
          <w:sz w:val="20"/>
        </w:rPr>
        <w:tab/>
        <w:t xml:space="preserve">to any payment received by an employee who is not a resident individual; and to any gratuity received by an employee who has already received any gratuity from the same or any other employer.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69"/>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70"/>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(16)</w:t>
      </w:r>
      <w:r w:rsidRPr="00412620">
        <w:rPr>
          <w:snapToGrid w:val="0"/>
          <w:sz w:val="20"/>
        </w:rPr>
        <w:tab/>
        <w:t>Any income derived by the families and dependents of the "Shaheeds" belonging to Pakistan Armed Forces from the special family pension, dependents pension or children's allowance granted under the provisions of the Joint Services Instruction No. 5/66.</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b/>
          <w:bCs/>
          <w:snapToGrid w:val="0"/>
          <w:sz w:val="20"/>
        </w:rPr>
        <w:t>(17)</w:t>
      </w:r>
      <w:r w:rsidRPr="00412620">
        <w:rPr>
          <w:snapToGrid w:val="0"/>
          <w:sz w:val="20"/>
        </w:rPr>
        <w:tab/>
        <w:t>Any income derived by the families and dependents of the "Shaheeds" belonging to the Civil Armed Forces of Pakistan to whom the provisions of the Joint Services Instruction No. 5/66 would have applied had they belonged to the Pakistan Armed Forces from any like payment made to them.</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71"/>
      </w:r>
      <w:r w:rsidRPr="00412620">
        <w:rPr>
          <w:snapToGrid w:val="0"/>
          <w:sz w:val="20"/>
        </w:rPr>
        <w:t>[  ]</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b/>
          <w:bCs/>
          <w:snapToGrid w:val="0"/>
          <w:sz w:val="20"/>
        </w:rPr>
        <w:t>(19)</w:t>
      </w:r>
      <w:r w:rsidRPr="00412620">
        <w:rPr>
          <w:snapToGrid w:val="0"/>
          <w:sz w:val="20"/>
        </w:rPr>
        <w:tab/>
        <w:t>Any sum representing encashment of leave preparatory to retirement of a member of the Armed Forces of Pakistan or an employee of the Federal Government or a Provincial Government.</w:t>
      </w:r>
    </w:p>
    <w:p w:rsidR="00AA4BF8" w:rsidRPr="00412620" w:rsidRDefault="00AA4BF8" w:rsidP="00AA4BF8">
      <w:pPr>
        <w:widowControl w:val="0"/>
        <w:jc w:val="both"/>
        <w:rPr>
          <w:b/>
          <w:bCs/>
          <w:snapToGrid w:val="0"/>
          <w:sz w:val="14"/>
          <w:szCs w:val="14"/>
        </w:rPr>
      </w:pPr>
    </w:p>
    <w:p w:rsidR="00AA4BF8" w:rsidRPr="005F3BC1" w:rsidRDefault="005F3BC1" w:rsidP="00AA4BF8">
      <w:pPr>
        <w:widowControl w:val="0"/>
        <w:jc w:val="both"/>
        <w:rPr>
          <w:bCs/>
          <w:snapToGrid w:val="0"/>
          <w:color w:val="984806" w:themeColor="accent6" w:themeShade="80"/>
          <w:sz w:val="20"/>
        </w:rPr>
      </w:pPr>
      <w:r>
        <w:rPr>
          <w:rStyle w:val="FootnoteReference"/>
          <w:b/>
          <w:bCs/>
          <w:snapToGrid w:val="0"/>
          <w:sz w:val="20"/>
        </w:rPr>
        <w:footnoteReference w:id="1772"/>
      </w:r>
      <w:r w:rsidRPr="005F3BC1">
        <w:rPr>
          <w:bCs/>
          <w:snapToGrid w:val="0"/>
          <w:color w:val="984806" w:themeColor="accent6" w:themeShade="80"/>
          <w:sz w:val="20"/>
        </w:rPr>
        <w:t>[   ]</w:t>
      </w:r>
    </w:p>
    <w:p w:rsidR="005F3BC1" w:rsidRPr="005F3BC1" w:rsidRDefault="005F3BC1" w:rsidP="00AA4BF8">
      <w:pPr>
        <w:widowControl w:val="0"/>
        <w:jc w:val="both"/>
        <w:rPr>
          <w:bCs/>
          <w:snapToGrid w:val="0"/>
          <w:sz w:val="20"/>
        </w:rPr>
      </w:pPr>
    </w:p>
    <w:p w:rsidR="00AA4BF8" w:rsidRPr="00412620" w:rsidRDefault="00AA4BF8" w:rsidP="00AA4BF8">
      <w:pPr>
        <w:widowControl w:val="0"/>
        <w:jc w:val="both"/>
        <w:rPr>
          <w:b/>
          <w:bCs/>
          <w:snapToGrid w:val="0"/>
          <w:sz w:val="20"/>
        </w:rPr>
      </w:pPr>
      <w:r w:rsidRPr="00412620">
        <w:rPr>
          <w:rStyle w:val="FootnoteReference"/>
          <w:rFonts w:cs="Arial"/>
          <w:b/>
          <w:bCs/>
          <w:snapToGrid w:val="0"/>
          <w:sz w:val="20"/>
        </w:rPr>
        <w:footnoteReference w:id="1773"/>
      </w:r>
      <w:r w:rsidRPr="00412620">
        <w:rPr>
          <w:snapToGrid w:val="0"/>
          <w:sz w:val="20"/>
        </w:rPr>
        <w:t>[  ]</w:t>
      </w:r>
    </w:p>
    <w:p w:rsidR="00AA4BF8" w:rsidRPr="00412620" w:rsidRDefault="00AA4BF8" w:rsidP="00AA4BF8">
      <w:pPr>
        <w:widowControl w:val="0"/>
        <w:jc w:val="both"/>
        <w:rPr>
          <w:b/>
          <w:bCs/>
          <w:snapToGrid w:val="0"/>
          <w:sz w:val="20"/>
        </w:rPr>
      </w:pPr>
    </w:p>
    <w:p w:rsidR="00AA4BF8" w:rsidRPr="00412620" w:rsidRDefault="00AA4BF8" w:rsidP="00AA4BF8">
      <w:pPr>
        <w:jc w:val="both"/>
        <w:rPr>
          <w:snapToGrid w:val="0"/>
          <w:sz w:val="20"/>
        </w:rPr>
      </w:pPr>
      <w:r w:rsidRPr="00412620">
        <w:rPr>
          <w:b/>
          <w:bCs/>
          <w:snapToGrid w:val="0"/>
          <w:sz w:val="20"/>
        </w:rPr>
        <w:t>(22)</w:t>
      </w:r>
      <w:r w:rsidRPr="00412620">
        <w:rPr>
          <w:snapToGrid w:val="0"/>
          <w:sz w:val="20"/>
        </w:rPr>
        <w:tab/>
        <w:t>Any payment from a provident fund to which the Provident Funds Act, 1925 (XIX of 1925) applies.</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(23)</w:t>
      </w:r>
      <w:r w:rsidRPr="00412620">
        <w:rPr>
          <w:snapToGrid w:val="0"/>
          <w:sz w:val="20"/>
        </w:rPr>
        <w:tab/>
        <w:t xml:space="preserve">The accumulated balance due and becoming payable to an employee participating in a recognized provident fund.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74"/>
      </w:r>
      <w:r w:rsidRPr="00412620">
        <w:rPr>
          <w:snapToGrid w:val="0"/>
          <w:sz w:val="20"/>
        </w:rPr>
        <w:t>[</w:t>
      </w:r>
      <w:r w:rsidRPr="00412620">
        <w:rPr>
          <w:b/>
          <w:bCs/>
          <w:snapToGrid w:val="0"/>
          <w:sz w:val="20"/>
        </w:rPr>
        <w:t xml:space="preserve">(23A) </w:t>
      </w:r>
      <w:r w:rsidRPr="00412620">
        <w:rPr>
          <w:snapToGrid w:val="0"/>
          <w:sz w:val="20"/>
        </w:rPr>
        <w:t>the accumulated balance upto</w:t>
      </w:r>
      <w:r w:rsidR="00C47F79">
        <w:rPr>
          <w:snapToGrid w:val="0"/>
          <w:sz w:val="20"/>
        </w:rPr>
        <w:t xml:space="preserve"> </w:t>
      </w:r>
      <w:r w:rsidRPr="00412620">
        <w:rPr>
          <w:rStyle w:val="FootnoteReference"/>
          <w:rFonts w:cs="Arial"/>
          <w:snapToGrid w:val="0"/>
          <w:sz w:val="20"/>
        </w:rPr>
        <w:footnoteReference w:id="1775"/>
      </w:r>
      <w:r w:rsidRPr="00412620">
        <w:rPr>
          <w:snapToGrid w:val="0"/>
          <w:sz w:val="20"/>
        </w:rPr>
        <w:t xml:space="preserve">[50]% received from the voluntary pension system offered by a pension fund manager under the Voluntary Pension System Rules, 2005 at the time of eligible person’s- </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t xml:space="preserve">(a) </w:t>
      </w:r>
      <w:r w:rsidRPr="00412620">
        <w:rPr>
          <w:snapToGrid w:val="0"/>
          <w:sz w:val="20"/>
        </w:rPr>
        <w:tab/>
        <w:t>retirement; or</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t xml:space="preserve">(b) </w:t>
      </w:r>
      <w:r w:rsidRPr="00412620">
        <w:rPr>
          <w:snapToGrid w:val="0"/>
          <w:sz w:val="20"/>
        </w:rPr>
        <w:tab/>
        <w:t>disability rendering him unable to work; or</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t xml:space="preserve">(c) </w:t>
      </w:r>
      <w:r w:rsidRPr="00412620">
        <w:rPr>
          <w:snapToGrid w:val="0"/>
          <w:sz w:val="20"/>
        </w:rPr>
        <w:tab/>
        <w:t>death by his nominated survivors.]</w:t>
      </w:r>
    </w:p>
    <w:p w:rsidR="00AA4BF8" w:rsidRPr="00412620" w:rsidRDefault="00AA4BF8" w:rsidP="00AA4BF8">
      <w:pPr>
        <w:widowControl w:val="0"/>
        <w:jc w:val="both"/>
        <w:rPr>
          <w:snapToGrid w:val="0"/>
          <w:sz w:val="20"/>
        </w:rPr>
      </w:pPr>
    </w:p>
    <w:p w:rsidR="00AA4BF8" w:rsidRPr="00412620" w:rsidRDefault="00AA4BF8" w:rsidP="00AA4BF8">
      <w:pPr>
        <w:jc w:val="both"/>
        <w:rPr>
          <w:sz w:val="20"/>
        </w:rPr>
      </w:pPr>
      <w:r w:rsidRPr="00412620">
        <w:rPr>
          <w:rStyle w:val="FootnoteReference"/>
          <w:rFonts w:cs="Arial"/>
          <w:snapToGrid w:val="0"/>
          <w:sz w:val="20"/>
        </w:rPr>
        <w:footnoteReference w:id="1776"/>
      </w:r>
      <w:r w:rsidRPr="00412620">
        <w:rPr>
          <w:snapToGrid w:val="0"/>
          <w:sz w:val="20"/>
        </w:rPr>
        <w:t>[</w:t>
      </w:r>
      <w:r w:rsidRPr="00412620">
        <w:rPr>
          <w:b/>
          <w:bCs/>
          <w:sz w:val="20"/>
        </w:rPr>
        <w:t>(23B)</w:t>
      </w:r>
      <w:r w:rsidRPr="00412620">
        <w:rPr>
          <w:sz w:val="20"/>
        </w:rPr>
        <w:tab/>
        <w:t>The amounts received as monthly installment from an income payment plan invested out of the accumulated balance of an individual pension accounts with a pension fund manager or an approved annuity plan or another individual pension account of eligible person or the survivors pension account maintained with any other pension fund manager as specified in the Voluntary Pension System Rules 2005 shall be exempt from tax provided accumulated balance is invested for a period of ten years:</w:t>
      </w:r>
    </w:p>
    <w:p w:rsidR="00AA4BF8" w:rsidRPr="00412620" w:rsidRDefault="00AA4BF8" w:rsidP="00AA4BF8">
      <w:pPr>
        <w:jc w:val="both"/>
        <w:rPr>
          <w:sz w:val="20"/>
        </w:rPr>
      </w:pPr>
    </w:p>
    <w:p w:rsidR="00AA4BF8" w:rsidRPr="00412620" w:rsidRDefault="00AA4BF8" w:rsidP="00AA4BF8">
      <w:pPr>
        <w:ind w:left="1094" w:firstLine="541"/>
        <w:jc w:val="both"/>
        <w:rPr>
          <w:sz w:val="20"/>
        </w:rPr>
      </w:pPr>
      <w:r w:rsidRPr="00412620">
        <w:rPr>
          <w:sz w:val="20"/>
        </w:rPr>
        <w:t>Provided that where any amount is exempted under this clause and subsequently it is discovered, on the basis of documents or otherwise, by the Commissioner that any of the conditions specified in this clause were not fulfilled, the exemption originally allowed shall be deemed to have been wrongly allowed and the Commissioner may, notwithstanding anything contained in this Ordinance, re-compute the tax payable by the taxpayer for the relevant years and the provisions of this Ordinance shall, so far as may be, apply accordingly.]</w:t>
      </w:r>
    </w:p>
    <w:p w:rsidR="00AA4BF8" w:rsidRPr="00412620" w:rsidRDefault="00AA4BF8" w:rsidP="00AA4BF8">
      <w:pPr>
        <w:widowControl w:val="0"/>
        <w:jc w:val="both"/>
        <w:rPr>
          <w:sz w:val="20"/>
        </w:rPr>
      </w:pPr>
    </w:p>
    <w:p w:rsidR="00AA4BF8" w:rsidRPr="00412620" w:rsidRDefault="00AA4BF8" w:rsidP="00AA4BF8">
      <w:pPr>
        <w:widowControl w:val="0"/>
        <w:jc w:val="both"/>
        <w:rPr>
          <w:snapToGrid w:val="0"/>
          <w:sz w:val="20"/>
        </w:rPr>
      </w:pPr>
      <w:r w:rsidRPr="00412620">
        <w:rPr>
          <w:rStyle w:val="FootnoteReference"/>
          <w:rFonts w:cs="Arial"/>
          <w:sz w:val="20"/>
        </w:rPr>
        <w:footnoteReference w:id="1777"/>
      </w:r>
      <w:r w:rsidRPr="00412620">
        <w:rPr>
          <w:sz w:val="20"/>
        </w:rPr>
        <w:t>[</w:t>
      </w:r>
      <w:r w:rsidRPr="00412620">
        <w:rPr>
          <w:b/>
          <w:bCs/>
          <w:sz w:val="20"/>
        </w:rPr>
        <w:t>(23C)</w:t>
      </w:r>
      <w:r w:rsidRPr="00412620">
        <w:rPr>
          <w:sz w:val="20"/>
        </w:rPr>
        <w:tab/>
        <w:t>Any withdrawal of accumulated balance from approved pension fund that represent the transfer of balance of approved provident fund to the said approved pension fund under the Voluntary Pension System Rules , 2005.]</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(24)</w:t>
      </w:r>
      <w:r w:rsidRPr="00412620">
        <w:rPr>
          <w:snapToGrid w:val="0"/>
          <w:sz w:val="20"/>
        </w:rPr>
        <w:tab/>
        <w:t>Any benevolent grant paid from the Benevolent Fund to the employees or members of their families in accordance with the provisions of the Central Employee Benevolent Fund and Group Insurance Act, 1969.</w:t>
      </w:r>
    </w:p>
    <w:p w:rsidR="00AA4BF8" w:rsidRPr="00412620" w:rsidRDefault="00AA4BF8" w:rsidP="00AA4BF8">
      <w:pPr>
        <w:pStyle w:val="BodyText3"/>
        <w:rPr>
          <w:sz w:val="20"/>
        </w:rPr>
      </w:pPr>
    </w:p>
    <w:p w:rsidR="00AA4BF8" w:rsidRPr="00412620" w:rsidRDefault="00AA4BF8" w:rsidP="00AA4BF8">
      <w:pPr>
        <w:widowControl w:val="0"/>
        <w:jc w:val="both"/>
        <w:rPr>
          <w:sz w:val="20"/>
        </w:rPr>
      </w:pPr>
      <w:r w:rsidRPr="00412620">
        <w:rPr>
          <w:b/>
          <w:bCs/>
          <w:sz w:val="20"/>
        </w:rPr>
        <w:t>(25)</w:t>
      </w:r>
      <w:r w:rsidRPr="00412620">
        <w:rPr>
          <w:sz w:val="20"/>
        </w:rPr>
        <w:tab/>
        <w:t xml:space="preserve">Any payment from an approved superannuation fund made on the death of a beneficiary or in lieu of or in commutation of any annuity, or by way of refund of contribution on the death of a beneficiary </w:t>
      </w:r>
      <w:r w:rsidRPr="00412620">
        <w:rPr>
          <w:rStyle w:val="FootnoteReference"/>
          <w:rFonts w:cs="Arial"/>
          <w:sz w:val="20"/>
        </w:rPr>
        <w:footnoteReference w:id="1778"/>
      </w:r>
      <w:r w:rsidRPr="00412620">
        <w:rPr>
          <w:sz w:val="20"/>
        </w:rPr>
        <w:t>[.]</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snapToGrid w:val="0"/>
          <w:sz w:val="20"/>
        </w:rPr>
        <w:tab/>
      </w:r>
      <w:r w:rsidRPr="00412620">
        <w:rPr>
          <w:rStyle w:val="FootnoteReference"/>
          <w:rFonts w:cs="Arial"/>
          <w:snapToGrid w:val="0"/>
          <w:sz w:val="20"/>
        </w:rPr>
        <w:footnoteReference w:id="1779"/>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snapToGrid w:val="0"/>
          <w:sz w:val="20"/>
        </w:rPr>
        <w:tab/>
      </w:r>
      <w:r w:rsidRPr="00412620">
        <w:rPr>
          <w:rStyle w:val="FootnoteReference"/>
          <w:rFonts w:cs="Arial"/>
          <w:snapToGrid w:val="0"/>
          <w:sz w:val="20"/>
        </w:rPr>
        <w:footnoteReference w:id="1780"/>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snapToGrid w:val="0"/>
          <w:sz w:val="20"/>
        </w:rPr>
        <w:tab/>
      </w:r>
      <w:r w:rsidRPr="00412620">
        <w:rPr>
          <w:rStyle w:val="FootnoteReference"/>
          <w:rFonts w:cs="Arial"/>
          <w:snapToGrid w:val="0"/>
          <w:sz w:val="20"/>
        </w:rPr>
        <w:footnoteReference w:id="1781"/>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snapToGrid w:val="0"/>
          <w:sz w:val="20"/>
        </w:rPr>
        <w:tab/>
      </w:r>
      <w:r w:rsidRPr="00412620">
        <w:rPr>
          <w:rStyle w:val="FootnoteReference"/>
          <w:rFonts w:cs="Arial"/>
          <w:snapToGrid w:val="0"/>
          <w:sz w:val="20"/>
        </w:rPr>
        <w:footnoteReference w:id="1782"/>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b/>
          <w:bCs/>
          <w:snapToGrid w:val="0"/>
          <w:sz w:val="18"/>
          <w:szCs w:val="18"/>
        </w:rPr>
      </w:pPr>
      <w:r w:rsidRPr="00412620">
        <w:rPr>
          <w:b/>
          <w:bCs/>
          <w:snapToGrid w:val="0"/>
          <w:sz w:val="20"/>
        </w:rPr>
        <w:t>(26)</w:t>
      </w:r>
      <w:r w:rsidRPr="00412620">
        <w:rPr>
          <w:snapToGrid w:val="0"/>
          <w:sz w:val="20"/>
        </w:rPr>
        <w:tab/>
        <w:t>Any income of a person representing the sums received by him as a worker from out of the Workers Participation Fund established under the Companies Profits (Workers Participation) Act, 1968 (XII of 1968).</w:t>
      </w:r>
    </w:p>
    <w:p w:rsidR="00AA4BF8" w:rsidRPr="00412620" w:rsidRDefault="00AA4BF8" w:rsidP="00AA4BF8">
      <w:pPr>
        <w:widowControl w:val="0"/>
        <w:jc w:val="both"/>
        <w:rPr>
          <w:b/>
          <w:bCs/>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83"/>
      </w:r>
      <w:r w:rsidRPr="00412620">
        <w:rPr>
          <w:snapToGrid w:val="0"/>
          <w:sz w:val="20"/>
        </w:rPr>
        <w:t>[  ]</w:t>
      </w:r>
    </w:p>
    <w:p w:rsidR="00AA4BF8" w:rsidRPr="00412620" w:rsidRDefault="00AA4BF8" w:rsidP="00AA4BF8">
      <w:pPr>
        <w:widowControl w:val="0"/>
        <w:jc w:val="both"/>
        <w:rPr>
          <w:b/>
          <w:bCs/>
          <w:strike/>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84"/>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85"/>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86"/>
      </w:r>
      <w:r w:rsidRPr="00412620">
        <w:rPr>
          <w:snapToGrid w:val="0"/>
          <w:sz w:val="20"/>
        </w:rPr>
        <w:t>[  ]</w:t>
      </w:r>
    </w:p>
    <w:p w:rsidR="00AA4BF8" w:rsidRPr="00412620" w:rsidRDefault="00AA4BF8" w:rsidP="00AA4BF8">
      <w:pPr>
        <w:widowControl w:val="0"/>
        <w:jc w:val="both"/>
        <w:rPr>
          <w:strike/>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87"/>
      </w:r>
      <w:r w:rsidRPr="00412620">
        <w:rPr>
          <w:snapToGrid w:val="0"/>
          <w:sz w:val="20"/>
        </w:rPr>
        <w:t>[  ]</w:t>
      </w:r>
    </w:p>
    <w:p w:rsidR="00AA4BF8" w:rsidRPr="00412620" w:rsidRDefault="00AA4BF8" w:rsidP="00AA4BF8">
      <w:pPr>
        <w:widowControl w:val="0"/>
        <w:jc w:val="both"/>
        <w:rPr>
          <w:b/>
          <w:bCs/>
          <w:snapToGrid w:val="0"/>
          <w:sz w:val="16"/>
          <w:szCs w:val="16"/>
        </w:rPr>
      </w:pPr>
    </w:p>
    <w:p w:rsidR="00AA4BF8" w:rsidRPr="00412620" w:rsidRDefault="00AA4BF8" w:rsidP="00AA4BF8">
      <w:pPr>
        <w:widowControl w:val="0"/>
        <w:jc w:val="both"/>
        <w:rPr>
          <w:b/>
          <w:bCs/>
          <w:snapToGrid w:val="0"/>
          <w:sz w:val="20"/>
        </w:rPr>
      </w:pPr>
      <w:r w:rsidRPr="00412620">
        <w:rPr>
          <w:rStyle w:val="FootnoteReference"/>
          <w:rFonts w:cs="Arial"/>
          <w:snapToGrid w:val="0"/>
          <w:sz w:val="20"/>
        </w:rPr>
        <w:footnoteReference w:id="1788"/>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89"/>
      </w:r>
      <w:r w:rsidRPr="00412620">
        <w:rPr>
          <w:snapToGrid w:val="0"/>
          <w:sz w:val="20"/>
        </w:rPr>
        <w:t>[  ]</w:t>
      </w:r>
    </w:p>
    <w:p w:rsidR="00AA4BF8" w:rsidRPr="00412620" w:rsidRDefault="00AA4BF8" w:rsidP="00AA4BF8">
      <w:pPr>
        <w:pStyle w:val="BodyText3"/>
        <w:rPr>
          <w:b/>
          <w:bCs/>
          <w:sz w:val="18"/>
          <w:szCs w:val="18"/>
        </w:rPr>
      </w:pPr>
    </w:p>
    <w:p w:rsidR="00AA4BF8" w:rsidRPr="00185004" w:rsidRDefault="00AA4BF8" w:rsidP="00AA4BF8">
      <w:pPr>
        <w:pStyle w:val="BodyText3"/>
        <w:rPr>
          <w:color w:val="000000" w:themeColor="text1"/>
          <w:sz w:val="20"/>
        </w:rPr>
      </w:pPr>
      <w:r w:rsidRPr="00185004">
        <w:rPr>
          <w:rStyle w:val="FootnoteReference"/>
          <w:b/>
          <w:bCs/>
          <w:color w:val="000000" w:themeColor="text1"/>
          <w:sz w:val="20"/>
        </w:rPr>
        <w:footnoteReference w:id="1790"/>
      </w:r>
      <w:r w:rsidRPr="00185004">
        <w:rPr>
          <w:bCs/>
          <w:color w:val="000000" w:themeColor="text1"/>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91"/>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92"/>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18"/>
          <w:szCs w:val="18"/>
        </w:rPr>
      </w:pPr>
      <w:r w:rsidRPr="00412620">
        <w:rPr>
          <w:rStyle w:val="FootnoteReference"/>
          <w:rFonts w:cs="Arial"/>
          <w:snapToGrid w:val="0"/>
          <w:sz w:val="18"/>
          <w:szCs w:val="18"/>
        </w:rPr>
        <w:footnoteReference w:id="1793"/>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(39)</w:t>
      </w:r>
      <w:r w:rsidRPr="00412620">
        <w:rPr>
          <w:snapToGrid w:val="0"/>
          <w:sz w:val="20"/>
        </w:rPr>
        <w:tab/>
        <w:t>Any special allowance or benefit (not being entertainment or conveyance allowance) or other perquisite within the meaning of section 12 specially granted to meet expenses wholly and necessarily incurred in the performance of the duties of an office or employment of profit.</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(40)</w:t>
      </w:r>
      <w:r w:rsidRPr="00412620">
        <w:rPr>
          <w:snapToGrid w:val="0"/>
          <w:sz w:val="20"/>
        </w:rPr>
        <w:tab/>
        <w:t>Any income of a newspaper employee representing Local Travelling Allowance paid in accordance with the decision of the Third Wage Board for Newspaper Employees constituted under the Newspaper Employees (Conditions of Service) Act, 1973, published in Part II of the Gazette of Pakistan, Extraordinary, dated the 28th June, 1980.</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94"/>
      </w:r>
      <w:r w:rsidRPr="00412620">
        <w:rPr>
          <w:snapToGrid w:val="0"/>
          <w:sz w:val="20"/>
        </w:rPr>
        <w:t>[  ]</w:t>
      </w:r>
    </w:p>
    <w:p w:rsidR="00B66075" w:rsidRPr="00412620" w:rsidRDefault="00B66075"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95"/>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96"/>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97"/>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98"/>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799"/>
      </w:r>
      <w:r w:rsidRPr="00412620">
        <w:rPr>
          <w:snapToGrid w:val="0"/>
          <w:sz w:val="20"/>
        </w:rPr>
        <w:t>[  ]</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00"/>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01"/>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02"/>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03"/>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(51)</w:t>
      </w:r>
      <w:r w:rsidRPr="00412620">
        <w:rPr>
          <w:snapToGrid w:val="0"/>
          <w:sz w:val="20"/>
        </w:rPr>
        <w:tab/>
        <w:t>The perquisite represented by the right of the President of Pakistan, the Provincial Governors and the Chiefs of Staff, Pakistan Armed Forces to occupy free of rent as a place of residence any premises provided by the Government.</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(52)</w:t>
      </w:r>
      <w:r w:rsidRPr="00412620">
        <w:rPr>
          <w:snapToGrid w:val="0"/>
          <w:sz w:val="20"/>
        </w:rPr>
        <w:tab/>
        <w:t>The perquisite represented by free conveyance provided and the sumptuary (entertainment) allowance granted by Government to Provincial Governors, the Chiefs of Staff, Pakistan Armed Forces and the Corps Commanders.</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(53)</w:t>
      </w:r>
      <w:r w:rsidRPr="00412620">
        <w:rPr>
          <w:snapToGrid w:val="0"/>
          <w:sz w:val="20"/>
        </w:rPr>
        <w:tab/>
        <w:t>The following perquisites and allowances provided or granted by Government to the Ministers of the Federal Government, namely:-</w:t>
      </w:r>
    </w:p>
    <w:p w:rsidR="00AA4BF8" w:rsidRPr="00412620" w:rsidRDefault="00AA4BF8" w:rsidP="00AA4BF8">
      <w:pPr>
        <w:widowControl w:val="0"/>
        <w:jc w:val="both"/>
        <w:rPr>
          <w:snapToGrid w:val="0"/>
          <w:sz w:val="20"/>
        </w:rPr>
      </w:pPr>
    </w:p>
    <w:p w:rsidR="00AA4BF8" w:rsidRPr="00991C4A" w:rsidRDefault="00AA4BF8" w:rsidP="00AA4BF8">
      <w:pPr>
        <w:pStyle w:val="BodyText3"/>
        <w:ind w:left="1635" w:hanging="555"/>
        <w:rPr>
          <w:rFonts w:ascii="Arial" w:hAnsi="Arial" w:cs="Arial"/>
          <w:sz w:val="20"/>
        </w:rPr>
      </w:pPr>
      <w:r w:rsidRPr="00991C4A">
        <w:rPr>
          <w:rFonts w:ascii="Arial" w:hAnsi="Arial" w:cs="Arial"/>
          <w:sz w:val="20"/>
        </w:rPr>
        <w:t>(a)</w:t>
      </w:r>
      <w:r w:rsidRPr="00991C4A">
        <w:rPr>
          <w:rFonts w:ascii="Arial" w:hAnsi="Arial" w:cs="Arial"/>
          <w:sz w:val="20"/>
        </w:rPr>
        <w:tab/>
        <w:t>rent-free accommodation in so far as the value thereof exceeds ten per cent of the basic salary of the Ministers concerned;</w:t>
      </w:r>
    </w:p>
    <w:p w:rsidR="00AA4BF8" w:rsidRPr="00991C4A" w:rsidRDefault="00AA4BF8" w:rsidP="00AA4BF8">
      <w:pPr>
        <w:pStyle w:val="BodyText3"/>
        <w:rPr>
          <w:rFonts w:ascii="Arial" w:hAnsi="Arial" w:cs="Arial"/>
          <w:sz w:val="20"/>
        </w:rPr>
      </w:pPr>
    </w:p>
    <w:p w:rsidR="00AA4BF8" w:rsidRPr="00991C4A" w:rsidRDefault="00AA4BF8" w:rsidP="00AA4BF8">
      <w:pPr>
        <w:pStyle w:val="BodyText3"/>
        <w:ind w:left="1635" w:hanging="555"/>
        <w:rPr>
          <w:rFonts w:ascii="Arial" w:hAnsi="Arial" w:cs="Arial"/>
          <w:sz w:val="20"/>
        </w:rPr>
      </w:pPr>
      <w:r w:rsidRPr="00991C4A">
        <w:rPr>
          <w:rFonts w:ascii="Arial" w:hAnsi="Arial" w:cs="Arial"/>
          <w:sz w:val="20"/>
        </w:rPr>
        <w:t>(b)</w:t>
      </w:r>
      <w:r w:rsidRPr="00991C4A">
        <w:rPr>
          <w:rFonts w:ascii="Arial" w:hAnsi="Arial" w:cs="Arial"/>
          <w:sz w:val="20"/>
        </w:rPr>
        <w:tab/>
        <w:t>house-rent allowance paid by Government in lieu of rent-free accommodation in so far as it exceeds five hundred and fifty rupees per month;</w:t>
      </w:r>
    </w:p>
    <w:p w:rsidR="00AA4BF8" w:rsidRPr="00991C4A" w:rsidRDefault="00AA4BF8" w:rsidP="00AA4BF8">
      <w:pPr>
        <w:pStyle w:val="BodyText3"/>
        <w:rPr>
          <w:rFonts w:ascii="Arial" w:hAnsi="Arial" w:cs="Arial"/>
          <w:sz w:val="20"/>
        </w:rPr>
      </w:pPr>
    </w:p>
    <w:p w:rsidR="00AA4BF8" w:rsidRPr="00991C4A" w:rsidRDefault="00AA4BF8" w:rsidP="00AA4BF8">
      <w:pPr>
        <w:pStyle w:val="BodyText3"/>
        <w:ind w:left="1080"/>
        <w:rPr>
          <w:rFonts w:ascii="Arial" w:hAnsi="Arial" w:cs="Arial"/>
          <w:sz w:val="20"/>
        </w:rPr>
      </w:pPr>
      <w:r w:rsidRPr="00991C4A">
        <w:rPr>
          <w:rFonts w:ascii="Arial" w:hAnsi="Arial" w:cs="Arial"/>
          <w:sz w:val="20"/>
        </w:rPr>
        <w:t>(c)</w:t>
      </w:r>
      <w:r w:rsidRPr="00991C4A">
        <w:rPr>
          <w:rFonts w:ascii="Arial" w:hAnsi="Arial" w:cs="Arial"/>
          <w:sz w:val="20"/>
        </w:rPr>
        <w:tab/>
        <w:t>free conveyance; and</w:t>
      </w:r>
    </w:p>
    <w:p w:rsidR="00AA4BF8" w:rsidRPr="00991C4A" w:rsidRDefault="00AA4BF8" w:rsidP="00AA4BF8">
      <w:pPr>
        <w:pStyle w:val="BodyText3"/>
        <w:rPr>
          <w:rFonts w:ascii="Arial" w:hAnsi="Arial" w:cs="Arial"/>
          <w:sz w:val="20"/>
        </w:rPr>
      </w:pPr>
    </w:p>
    <w:p w:rsidR="00AA4BF8" w:rsidRPr="00991C4A" w:rsidRDefault="00AA4BF8" w:rsidP="00AA4BF8">
      <w:pPr>
        <w:pStyle w:val="BodyText3"/>
        <w:ind w:left="1080"/>
        <w:rPr>
          <w:rFonts w:ascii="Arial" w:hAnsi="Arial" w:cs="Arial"/>
          <w:sz w:val="20"/>
        </w:rPr>
      </w:pPr>
      <w:r w:rsidRPr="00991C4A">
        <w:rPr>
          <w:rFonts w:ascii="Arial" w:hAnsi="Arial" w:cs="Arial"/>
          <w:sz w:val="20"/>
        </w:rPr>
        <w:t>(d)</w:t>
      </w:r>
      <w:r w:rsidRPr="00991C4A">
        <w:rPr>
          <w:rFonts w:ascii="Arial" w:hAnsi="Arial" w:cs="Arial"/>
          <w:sz w:val="20"/>
        </w:rPr>
        <w:tab/>
        <w:t>sumptuary allowance.</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04"/>
      </w:r>
      <w:r w:rsidRPr="00412620">
        <w:rPr>
          <w:snapToGrid w:val="0"/>
          <w:sz w:val="20"/>
        </w:rPr>
        <w:t>[</w:t>
      </w:r>
      <w:r w:rsidRPr="00412620">
        <w:rPr>
          <w:b/>
          <w:bCs/>
          <w:snapToGrid w:val="0"/>
          <w:sz w:val="20"/>
        </w:rPr>
        <w:t>(53A)</w:t>
      </w:r>
      <w:r w:rsidRPr="00412620">
        <w:rPr>
          <w:snapToGrid w:val="0"/>
          <w:sz w:val="20"/>
        </w:rPr>
        <w:t xml:space="preserve">  The following perquisites received by an employee by virtue of his employment, namely:-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snapToGrid w:val="0"/>
          <w:sz w:val="20"/>
        </w:rPr>
        <w:tab/>
      </w:r>
      <w:r w:rsidRPr="00412620">
        <w:rPr>
          <w:rStyle w:val="FootnoteReference"/>
          <w:rFonts w:cs="Arial"/>
          <w:snapToGrid w:val="0"/>
          <w:sz w:val="20"/>
        </w:rPr>
        <w:footnoteReference w:id="1805"/>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487"/>
        <w:jc w:val="both"/>
        <w:rPr>
          <w:snapToGrid w:val="0"/>
          <w:sz w:val="20"/>
        </w:rPr>
      </w:pPr>
      <w:r w:rsidRPr="00412620">
        <w:rPr>
          <w:snapToGrid w:val="0"/>
          <w:sz w:val="20"/>
        </w:rPr>
        <w:t xml:space="preserve">(ii) </w:t>
      </w:r>
      <w:r w:rsidRPr="00412620">
        <w:rPr>
          <w:snapToGrid w:val="0"/>
          <w:sz w:val="20"/>
        </w:rPr>
        <w:tab/>
        <w:t>free or subsidized food provided by hotels and restaurants to its employees during duty hours;</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47"/>
        <w:jc w:val="both"/>
        <w:rPr>
          <w:snapToGrid w:val="0"/>
          <w:sz w:val="20"/>
        </w:rPr>
      </w:pPr>
      <w:r w:rsidRPr="00412620">
        <w:rPr>
          <w:snapToGrid w:val="0"/>
          <w:sz w:val="20"/>
        </w:rPr>
        <w:t xml:space="preserve">(iii) </w:t>
      </w:r>
      <w:r w:rsidRPr="00412620">
        <w:rPr>
          <w:snapToGrid w:val="0"/>
          <w:sz w:val="20"/>
        </w:rPr>
        <w:tab/>
        <w:t>free or subsidized education provided by an educational institution to the children of its employees;</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47"/>
        <w:jc w:val="both"/>
        <w:rPr>
          <w:snapToGrid w:val="0"/>
          <w:sz w:val="20"/>
        </w:rPr>
      </w:pPr>
      <w:r w:rsidRPr="00412620">
        <w:rPr>
          <w:snapToGrid w:val="0"/>
          <w:sz w:val="20"/>
        </w:rPr>
        <w:t xml:space="preserve">(iv) </w:t>
      </w:r>
      <w:r w:rsidRPr="00412620">
        <w:rPr>
          <w:snapToGrid w:val="0"/>
          <w:sz w:val="20"/>
        </w:rPr>
        <w:tab/>
        <w:t xml:space="preserve">free or subsidized medical treatment provided by a hospital or  a clinic to its employees; and </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47"/>
        <w:jc w:val="both"/>
        <w:rPr>
          <w:snapToGrid w:val="0"/>
          <w:sz w:val="20"/>
        </w:rPr>
      </w:pPr>
      <w:r w:rsidRPr="00412620">
        <w:rPr>
          <w:snapToGrid w:val="0"/>
          <w:sz w:val="20"/>
        </w:rPr>
        <w:t xml:space="preserve">(v) </w:t>
      </w:r>
      <w:r w:rsidRPr="00412620">
        <w:rPr>
          <w:snapToGrid w:val="0"/>
          <w:sz w:val="20"/>
        </w:rPr>
        <w:tab/>
        <w:t>any other perquisite or benefit for which the employer does not  have to bear any marginal cost, as notified by the</w:t>
      </w:r>
      <w:r w:rsidR="00884B08">
        <w:rPr>
          <w:rStyle w:val="FootnoteReference"/>
          <w:snapToGrid w:val="0"/>
          <w:sz w:val="20"/>
        </w:rPr>
        <w:footnoteReference w:id="1806"/>
      </w:r>
      <w:r w:rsidR="00884B08">
        <w:rPr>
          <w:snapToGrid w:val="0"/>
          <w:sz w:val="20"/>
        </w:rPr>
        <w:t>[</w:t>
      </w:r>
      <w:r w:rsidRPr="00412620">
        <w:rPr>
          <w:snapToGrid w:val="0"/>
          <w:sz w:val="20"/>
        </w:rPr>
        <w:t>Board</w:t>
      </w:r>
      <w:r w:rsidR="00884B08">
        <w:rPr>
          <w:snapToGrid w:val="0"/>
          <w:sz w:val="20"/>
        </w:rPr>
        <w:t>]</w:t>
      </w:r>
      <w:r w:rsidRPr="00412620">
        <w:rPr>
          <w:snapToGrid w:val="0"/>
          <w:sz w:val="20"/>
        </w:rPr>
        <w:t>.]</w:t>
      </w:r>
    </w:p>
    <w:p w:rsidR="00AA4BF8" w:rsidRPr="00412620" w:rsidRDefault="00AA4BF8" w:rsidP="00AA4BF8">
      <w:pPr>
        <w:widowControl w:val="0"/>
        <w:jc w:val="both"/>
        <w:rPr>
          <w:snapToGrid w:val="0"/>
          <w:sz w:val="12"/>
          <w:szCs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07"/>
      </w:r>
      <w:r w:rsidRPr="00412620">
        <w:rPr>
          <w:snapToGrid w:val="0"/>
          <w:sz w:val="20"/>
        </w:rPr>
        <w:t>[  ]</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b/>
          <w:bCs/>
          <w:snapToGrid w:val="0"/>
          <w:sz w:val="20"/>
        </w:rPr>
        <w:t>(55)</w:t>
      </w:r>
      <w:r w:rsidRPr="00412620">
        <w:rPr>
          <w:snapToGrid w:val="0"/>
          <w:sz w:val="20"/>
        </w:rPr>
        <w:tab/>
        <w:t>The perquisites represented by the right of a judge of the Supreme Court of Pakistan or of a judge of High Court to occupy free of rent as a place of residence any premises provided by Federal or Provincial Government, as the case may be, or in case a judge chooses to reside in a house not provided by Government, so much of income which represents the sum paid to him as house rent allowance.</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b/>
          <w:bCs/>
          <w:snapToGrid w:val="0"/>
          <w:sz w:val="20"/>
        </w:rPr>
        <w:t>(56)</w:t>
      </w:r>
      <w:r w:rsidRPr="00412620">
        <w:rPr>
          <w:b/>
          <w:bCs/>
          <w:snapToGrid w:val="0"/>
          <w:sz w:val="20"/>
        </w:rPr>
        <w:tab/>
      </w:r>
      <w:r w:rsidRPr="00412620">
        <w:rPr>
          <w:snapToGrid w:val="0"/>
          <w:sz w:val="20"/>
        </w:rPr>
        <w:t>The following perquisites, benefits and allowances received by a Judge of Supreme Court of Pakistan and Judge of High Court, shall be exempt from tax.</w:t>
      </w:r>
    </w:p>
    <w:p w:rsidR="00AA4BF8" w:rsidRPr="00412620" w:rsidRDefault="00AA4BF8" w:rsidP="00AA4BF8">
      <w:pPr>
        <w:widowControl w:val="0"/>
        <w:jc w:val="both"/>
        <w:rPr>
          <w:snapToGrid w:val="0"/>
          <w:sz w:val="20"/>
        </w:rPr>
      </w:pPr>
    </w:p>
    <w:p w:rsidR="00AA4BF8" w:rsidRPr="00412620" w:rsidRDefault="00AA4BF8" w:rsidP="00AA4BF8">
      <w:pPr>
        <w:widowControl w:val="0"/>
        <w:ind w:left="1620" w:hanging="1073"/>
        <w:jc w:val="both"/>
        <w:rPr>
          <w:snapToGrid w:val="0"/>
          <w:sz w:val="20"/>
        </w:rPr>
      </w:pPr>
      <w:r w:rsidRPr="00412620">
        <w:rPr>
          <w:snapToGrid w:val="0"/>
          <w:sz w:val="20"/>
        </w:rPr>
        <w:t>(1)      (a)</w:t>
      </w:r>
      <w:r w:rsidRPr="00412620">
        <w:rPr>
          <w:snapToGrid w:val="0"/>
          <w:sz w:val="20"/>
        </w:rPr>
        <w:tab/>
        <w:t xml:space="preserve">Perquisites and benefits derived </w:t>
      </w:r>
      <w:r w:rsidRPr="00412620">
        <w:rPr>
          <w:rStyle w:val="FootnoteReference"/>
          <w:rFonts w:cs="Arial"/>
          <w:snapToGrid w:val="0"/>
          <w:sz w:val="20"/>
        </w:rPr>
        <w:footnoteReference w:id="1808"/>
      </w:r>
      <w:r w:rsidRPr="00412620">
        <w:rPr>
          <w:snapToGrid w:val="0"/>
          <w:sz w:val="20"/>
        </w:rPr>
        <w:t>[from] use of official car maintained at Government expenses.</w:t>
      </w:r>
    </w:p>
    <w:p w:rsidR="00AA4BF8" w:rsidRPr="00412620" w:rsidRDefault="00AA4BF8" w:rsidP="00AA4BF8">
      <w:pPr>
        <w:widowControl w:val="0"/>
        <w:jc w:val="both"/>
        <w:rPr>
          <w:snapToGrid w:val="0"/>
          <w:sz w:val="20"/>
        </w:rPr>
      </w:pPr>
    </w:p>
    <w:p w:rsidR="00AA4BF8" w:rsidRPr="00412620" w:rsidRDefault="00AA4BF8" w:rsidP="00AA4BF8">
      <w:pPr>
        <w:widowControl w:val="0"/>
        <w:ind w:left="1620" w:hanging="526"/>
        <w:jc w:val="both"/>
        <w:rPr>
          <w:snapToGrid w:val="0"/>
          <w:sz w:val="20"/>
        </w:rPr>
      </w:pPr>
      <w:r w:rsidRPr="00412620">
        <w:rPr>
          <w:sz w:val="20"/>
        </w:rPr>
        <w:t>(b)</w:t>
      </w:r>
      <w:r w:rsidRPr="00412620">
        <w:rPr>
          <w:sz w:val="20"/>
        </w:rPr>
        <w:tab/>
        <w:t xml:space="preserve">Superior judicial allowance payable to a Judge of supreme Court of Pakistan and </w:t>
      </w:r>
      <w:r w:rsidRPr="00412620">
        <w:rPr>
          <w:snapToGrid w:val="0"/>
          <w:sz w:val="20"/>
        </w:rPr>
        <w:t>Judge of a High Court.</w:t>
      </w:r>
    </w:p>
    <w:p w:rsidR="00AA4BF8" w:rsidRPr="00412620" w:rsidRDefault="00AA4BF8" w:rsidP="00AA4BF8">
      <w:pPr>
        <w:widowControl w:val="0"/>
        <w:jc w:val="both"/>
        <w:rPr>
          <w:snapToGrid w:val="0"/>
          <w:sz w:val="20"/>
        </w:rPr>
      </w:pPr>
    </w:p>
    <w:p w:rsidR="00AA4BF8" w:rsidRPr="00412620" w:rsidRDefault="00AA4BF8" w:rsidP="00AA4BF8">
      <w:pPr>
        <w:widowControl w:val="0"/>
        <w:ind w:left="1620" w:hanging="526"/>
        <w:jc w:val="both"/>
        <w:rPr>
          <w:snapToGrid w:val="0"/>
          <w:sz w:val="20"/>
        </w:rPr>
      </w:pPr>
      <w:r w:rsidRPr="00412620">
        <w:rPr>
          <w:snapToGrid w:val="0"/>
          <w:sz w:val="20"/>
        </w:rPr>
        <w:t>(c)</w:t>
      </w:r>
      <w:r w:rsidRPr="00412620">
        <w:rPr>
          <w:snapToGrid w:val="0"/>
          <w:sz w:val="20"/>
        </w:rPr>
        <w:tab/>
        <w:t>Transfer allowance payable to a Judge of High Court.</w:t>
      </w:r>
    </w:p>
    <w:p w:rsidR="00AA4BF8" w:rsidRPr="00412620" w:rsidRDefault="00AA4BF8" w:rsidP="00AA4BF8">
      <w:pPr>
        <w:widowControl w:val="0"/>
        <w:jc w:val="both"/>
        <w:rPr>
          <w:snapToGrid w:val="0"/>
          <w:sz w:val="20"/>
        </w:rPr>
      </w:pPr>
    </w:p>
    <w:p w:rsidR="00AA4BF8" w:rsidRPr="00412620" w:rsidRDefault="00AA4BF8" w:rsidP="00AA4BF8">
      <w:pPr>
        <w:widowControl w:val="0"/>
        <w:ind w:firstLine="540"/>
        <w:jc w:val="both"/>
        <w:rPr>
          <w:snapToGrid w:val="0"/>
          <w:sz w:val="20"/>
        </w:rPr>
      </w:pPr>
      <w:r w:rsidRPr="00412620">
        <w:rPr>
          <w:snapToGrid w:val="0"/>
          <w:sz w:val="20"/>
        </w:rPr>
        <w:t>(2)</w:t>
      </w:r>
      <w:r w:rsidRPr="00412620">
        <w:rPr>
          <w:snapToGrid w:val="0"/>
          <w:sz w:val="20"/>
        </w:rPr>
        <w:tab/>
        <w:t>The following perquisites of the Judge of Supreme Court of Pakistan and Judge of High Court shall also be exempt from tax during service, and on or after retirement.</w:t>
      </w:r>
    </w:p>
    <w:p w:rsidR="00AA4BF8" w:rsidRPr="00412620" w:rsidRDefault="00AA4BF8" w:rsidP="00AA4BF8">
      <w:pPr>
        <w:widowControl w:val="0"/>
        <w:jc w:val="both"/>
        <w:rPr>
          <w:snapToGrid w:val="0"/>
          <w:sz w:val="20"/>
        </w:rPr>
      </w:pPr>
    </w:p>
    <w:p w:rsidR="00AA4BF8" w:rsidRPr="00412620" w:rsidRDefault="00AA4BF8" w:rsidP="00AA4BF8">
      <w:pPr>
        <w:widowControl w:val="0"/>
        <w:ind w:left="1080"/>
        <w:jc w:val="both"/>
        <w:rPr>
          <w:snapToGrid w:val="0"/>
          <w:sz w:val="20"/>
        </w:rPr>
      </w:pPr>
      <w:r w:rsidRPr="00412620">
        <w:rPr>
          <w:snapToGrid w:val="0"/>
          <w:sz w:val="20"/>
        </w:rPr>
        <w:t>(a)</w:t>
      </w:r>
      <w:r w:rsidRPr="00412620">
        <w:rPr>
          <w:snapToGrid w:val="0"/>
          <w:sz w:val="20"/>
        </w:rPr>
        <w:tab/>
        <w:t>The services of a driver and an orderly.</w:t>
      </w:r>
    </w:p>
    <w:p w:rsidR="00AA4BF8" w:rsidRPr="00412620" w:rsidRDefault="00AA4BF8" w:rsidP="00AA4BF8">
      <w:pPr>
        <w:widowControl w:val="0"/>
        <w:jc w:val="both"/>
        <w:rPr>
          <w:snapToGrid w:val="0"/>
          <w:sz w:val="20"/>
        </w:rPr>
      </w:pPr>
    </w:p>
    <w:p w:rsidR="00AA4BF8" w:rsidRPr="00412620" w:rsidRDefault="00AA4BF8" w:rsidP="00AA4BF8">
      <w:pPr>
        <w:widowControl w:val="0"/>
        <w:ind w:left="1080"/>
        <w:jc w:val="both"/>
        <w:rPr>
          <w:snapToGrid w:val="0"/>
          <w:sz w:val="20"/>
        </w:rPr>
      </w:pPr>
      <w:r w:rsidRPr="00412620">
        <w:rPr>
          <w:snapToGrid w:val="0"/>
          <w:sz w:val="20"/>
        </w:rPr>
        <w:t>(b)</w:t>
      </w:r>
      <w:r w:rsidRPr="00412620">
        <w:rPr>
          <w:snapToGrid w:val="0"/>
          <w:sz w:val="20"/>
        </w:rPr>
        <w:tab/>
        <w:t>1000 (one thousand) free local telephone calls per month.</w:t>
      </w:r>
    </w:p>
    <w:p w:rsidR="00AA4BF8" w:rsidRPr="00412620" w:rsidRDefault="00AA4BF8" w:rsidP="00AA4BF8">
      <w:pPr>
        <w:widowControl w:val="0"/>
        <w:jc w:val="both"/>
        <w:rPr>
          <w:snapToGrid w:val="0"/>
          <w:sz w:val="20"/>
        </w:rPr>
      </w:pPr>
    </w:p>
    <w:p w:rsidR="00AA4BF8" w:rsidRPr="00412620" w:rsidRDefault="00AA4BF8" w:rsidP="00AA4BF8">
      <w:pPr>
        <w:widowControl w:val="0"/>
        <w:ind w:left="1635" w:hanging="555"/>
        <w:jc w:val="both"/>
        <w:rPr>
          <w:sz w:val="20"/>
        </w:rPr>
      </w:pPr>
      <w:r w:rsidRPr="00412620">
        <w:rPr>
          <w:snapToGrid w:val="0"/>
          <w:sz w:val="20"/>
        </w:rPr>
        <w:t>(c)</w:t>
      </w:r>
      <w:r w:rsidRPr="00412620">
        <w:rPr>
          <w:snapToGrid w:val="0"/>
          <w:sz w:val="20"/>
        </w:rPr>
        <w:tab/>
        <w:t>1000 units of electricity as well as (25 hm3 of gas) per month and free</w:t>
      </w:r>
      <w:r w:rsidRPr="00412620">
        <w:rPr>
          <w:sz w:val="20"/>
        </w:rPr>
        <w:t xml:space="preserve"> supply of water; and</w:t>
      </w:r>
    </w:p>
    <w:p w:rsidR="00AA4BF8" w:rsidRPr="00412620" w:rsidRDefault="00AA4BF8" w:rsidP="00AA4BF8">
      <w:pPr>
        <w:widowControl w:val="0"/>
        <w:jc w:val="both"/>
        <w:rPr>
          <w:snapToGrid w:val="0"/>
          <w:sz w:val="20"/>
        </w:rPr>
      </w:pPr>
    </w:p>
    <w:p w:rsidR="00AA4BF8" w:rsidRPr="00412620" w:rsidRDefault="00AA4BF8" w:rsidP="00AA4BF8">
      <w:pPr>
        <w:widowControl w:val="0"/>
        <w:ind w:left="1635" w:hanging="555"/>
        <w:jc w:val="both"/>
        <w:rPr>
          <w:snapToGrid w:val="0"/>
          <w:sz w:val="20"/>
        </w:rPr>
      </w:pPr>
      <w:r w:rsidRPr="00412620">
        <w:rPr>
          <w:snapToGrid w:val="0"/>
          <w:sz w:val="20"/>
        </w:rPr>
        <w:lastRenderedPageBreak/>
        <w:t>(d)</w:t>
      </w:r>
      <w:r w:rsidRPr="00412620">
        <w:rPr>
          <w:snapToGrid w:val="0"/>
          <w:sz w:val="20"/>
        </w:rPr>
        <w:tab/>
        <w:t>200 litres of petrol per month.</w:t>
      </w:r>
    </w:p>
    <w:p w:rsidR="00AA4BF8" w:rsidRPr="00991C4A" w:rsidRDefault="00AA4BF8" w:rsidP="00AA4BF8">
      <w:pPr>
        <w:widowControl w:val="0"/>
        <w:jc w:val="both"/>
        <w:rPr>
          <w:rFonts w:cs="Arial"/>
          <w:snapToGrid w:val="0"/>
          <w:sz w:val="14"/>
          <w:szCs w:val="14"/>
        </w:rPr>
      </w:pPr>
    </w:p>
    <w:p w:rsidR="00AA4BF8" w:rsidRPr="00991C4A" w:rsidRDefault="00AA4BF8" w:rsidP="00AA4BF8">
      <w:pPr>
        <w:pStyle w:val="BodyText3"/>
        <w:rPr>
          <w:rFonts w:ascii="Arial" w:hAnsi="Arial" w:cs="Arial"/>
          <w:sz w:val="20"/>
          <w:lang w:val="en-AU"/>
        </w:rPr>
      </w:pPr>
      <w:r w:rsidRPr="00991C4A">
        <w:rPr>
          <w:rFonts w:ascii="Arial" w:hAnsi="Arial" w:cs="Arial"/>
          <w:sz w:val="20"/>
          <w:lang w:val="en-AU"/>
        </w:rPr>
        <w:tab/>
        <w:t>(3)</w:t>
      </w:r>
      <w:r w:rsidRPr="00991C4A">
        <w:rPr>
          <w:rFonts w:ascii="Arial" w:hAnsi="Arial" w:cs="Arial"/>
          <w:sz w:val="20"/>
          <w:lang w:val="en-AU"/>
        </w:rPr>
        <w:tab/>
        <w:t>If during service, a judge dies, exemption from tax in respect of benefits and perquisites provided to widow as mentioned in sub-clause (2) shall also be available to the widow.</w:t>
      </w:r>
    </w:p>
    <w:p w:rsidR="00AA4BF8" w:rsidRPr="00991C4A" w:rsidRDefault="00AA4BF8" w:rsidP="00AA4BF8">
      <w:pPr>
        <w:widowControl w:val="0"/>
        <w:jc w:val="both"/>
        <w:rPr>
          <w:rFonts w:cs="Arial"/>
          <w:snapToGrid w:val="0"/>
          <w:sz w:val="16"/>
          <w:szCs w:val="16"/>
        </w:rPr>
      </w:pPr>
    </w:p>
    <w:p w:rsidR="00CE5CC2" w:rsidRDefault="00AA4BF8" w:rsidP="00AA4BF8">
      <w:pPr>
        <w:widowControl w:val="0"/>
        <w:jc w:val="both"/>
        <w:rPr>
          <w:snapToGrid w:val="0"/>
          <w:sz w:val="20"/>
        </w:rPr>
      </w:pPr>
      <w:r w:rsidRPr="00412620">
        <w:rPr>
          <w:b/>
          <w:bCs/>
          <w:snapToGrid w:val="0"/>
          <w:sz w:val="20"/>
        </w:rPr>
        <w:t>(57)</w:t>
      </w:r>
      <w:r w:rsidRPr="00412620">
        <w:rPr>
          <w:snapToGrid w:val="0"/>
          <w:sz w:val="20"/>
        </w:rPr>
        <w:t xml:space="preserve">   (1)</w:t>
      </w:r>
      <w:r w:rsidRPr="00412620">
        <w:rPr>
          <w:snapToGrid w:val="0"/>
          <w:sz w:val="20"/>
        </w:rPr>
        <w:tab/>
        <w:t>Any income from voluntary contributions, house property and investments in securities of the Federal Government derived by the following, namely:-</w:t>
      </w:r>
      <w:r w:rsidR="00CE5CC2">
        <w:rPr>
          <w:snapToGrid w:val="0"/>
          <w:sz w:val="20"/>
        </w:rPr>
        <w:tab/>
      </w:r>
    </w:p>
    <w:p w:rsidR="00CE5CC2" w:rsidRDefault="00CE5CC2" w:rsidP="00CE5CC2">
      <w:pPr>
        <w:widowControl w:val="0"/>
        <w:ind w:firstLine="547"/>
        <w:jc w:val="both"/>
        <w:rPr>
          <w:snapToGrid w:val="0"/>
          <w:sz w:val="20"/>
        </w:rPr>
      </w:pPr>
    </w:p>
    <w:p w:rsidR="00AA4BF8" w:rsidRDefault="00CE5CC2" w:rsidP="004B20DC">
      <w:pPr>
        <w:pStyle w:val="ListParagraph"/>
        <w:widowControl w:val="0"/>
        <w:numPr>
          <w:ilvl w:val="0"/>
          <w:numId w:val="47"/>
        </w:numPr>
        <w:jc w:val="both"/>
        <w:rPr>
          <w:snapToGrid w:val="0"/>
          <w:sz w:val="20"/>
        </w:rPr>
      </w:pPr>
      <w:r w:rsidRPr="00CE5CC2">
        <w:rPr>
          <w:snapToGrid w:val="0"/>
          <w:sz w:val="20"/>
        </w:rPr>
        <w:t xml:space="preserve">National Investment (Unit) Trust of </w:t>
      </w:r>
      <w:r w:rsidR="00105061" w:rsidRPr="00CE5CC2">
        <w:rPr>
          <w:snapToGrid w:val="0"/>
          <w:sz w:val="20"/>
        </w:rPr>
        <w:t>Pakistan</w:t>
      </w:r>
      <w:r w:rsidRPr="00CE5CC2">
        <w:rPr>
          <w:snapToGrid w:val="0"/>
          <w:sz w:val="20"/>
        </w:rPr>
        <w:t xml:space="preserve"> established by the National Investment Trust Limited, if not less than ninety per cent of its Units at the end of that year are held by the public and not less than ninety per cent of its come of the year is distributed among the Unit-holde</w:t>
      </w:r>
      <w:r>
        <w:rPr>
          <w:snapToGrid w:val="0"/>
          <w:sz w:val="20"/>
        </w:rPr>
        <w:t>r</w:t>
      </w:r>
      <w:r w:rsidRPr="00CE5CC2">
        <w:rPr>
          <w:snapToGrid w:val="0"/>
          <w:sz w:val="20"/>
        </w:rPr>
        <w:t>s;</w:t>
      </w:r>
    </w:p>
    <w:p w:rsidR="00CE5CC2" w:rsidRPr="00CE5CC2" w:rsidRDefault="00CE5CC2" w:rsidP="00CE5CC2">
      <w:pPr>
        <w:pStyle w:val="ListParagraph"/>
        <w:widowControl w:val="0"/>
        <w:ind w:left="1267"/>
        <w:jc w:val="both"/>
        <w:rPr>
          <w:snapToGrid w:val="0"/>
          <w:sz w:val="20"/>
        </w:rPr>
      </w:pPr>
    </w:p>
    <w:p w:rsidR="00CE5CC2" w:rsidRDefault="00CE5CC2" w:rsidP="004B20DC">
      <w:pPr>
        <w:pStyle w:val="ListParagraph"/>
        <w:widowControl w:val="0"/>
        <w:numPr>
          <w:ilvl w:val="0"/>
          <w:numId w:val="47"/>
        </w:numPr>
        <w:jc w:val="both"/>
        <w:rPr>
          <w:snapToGrid w:val="0"/>
          <w:sz w:val="20"/>
        </w:rPr>
      </w:pPr>
      <w:r>
        <w:rPr>
          <w:snapToGrid w:val="0"/>
          <w:sz w:val="20"/>
        </w:rPr>
        <w:t xml:space="preserve">Any Mutual </w:t>
      </w:r>
      <w:r w:rsidR="00105061">
        <w:rPr>
          <w:snapToGrid w:val="0"/>
          <w:sz w:val="20"/>
        </w:rPr>
        <w:t>F</w:t>
      </w:r>
      <w:r>
        <w:rPr>
          <w:snapToGrid w:val="0"/>
          <w:sz w:val="20"/>
        </w:rPr>
        <w:t xml:space="preserve">und approved by the </w:t>
      </w:r>
      <w:r w:rsidR="00B45D80">
        <w:rPr>
          <w:rStyle w:val="FootnoteReference"/>
          <w:snapToGrid w:val="0"/>
          <w:sz w:val="20"/>
        </w:rPr>
        <w:footnoteReference w:id="1809"/>
      </w:r>
      <w:r>
        <w:rPr>
          <w:snapToGrid w:val="0"/>
          <w:sz w:val="20"/>
        </w:rPr>
        <w:t>[Securities and Exchanges commission of Pakistan] and set up by the Investment Corporation of Pakistan, if not less than ninety per cent of its Certificates at the end of that year are held by the public and not less than ninety per cent of its income of that year is distributed among the Certificate-holders; and</w:t>
      </w:r>
    </w:p>
    <w:p w:rsidR="00CE5CC2" w:rsidRPr="00CE5CC2" w:rsidRDefault="00CE5CC2" w:rsidP="00CE5CC2">
      <w:pPr>
        <w:pStyle w:val="ListParagraph"/>
        <w:rPr>
          <w:snapToGrid w:val="0"/>
          <w:sz w:val="20"/>
        </w:rPr>
      </w:pPr>
    </w:p>
    <w:p w:rsidR="00CE5CC2" w:rsidRDefault="00CE5CC2" w:rsidP="004B20DC">
      <w:pPr>
        <w:pStyle w:val="ListParagraph"/>
        <w:widowControl w:val="0"/>
        <w:numPr>
          <w:ilvl w:val="0"/>
          <w:numId w:val="47"/>
        </w:numPr>
        <w:jc w:val="both"/>
        <w:rPr>
          <w:snapToGrid w:val="0"/>
          <w:sz w:val="20"/>
        </w:rPr>
      </w:pPr>
      <w:r>
        <w:rPr>
          <w:snapToGrid w:val="0"/>
          <w:sz w:val="20"/>
        </w:rPr>
        <w:t>Sheikh Sultan Trust, Karachi.</w:t>
      </w:r>
    </w:p>
    <w:p w:rsidR="002320F4" w:rsidRPr="002320F4" w:rsidRDefault="002320F4" w:rsidP="002320F4">
      <w:pPr>
        <w:pStyle w:val="ListParagraph"/>
        <w:rPr>
          <w:snapToGrid w:val="0"/>
          <w:sz w:val="20"/>
        </w:rPr>
      </w:pPr>
    </w:p>
    <w:p w:rsidR="00CE5CC2" w:rsidRDefault="00CE5CC2" w:rsidP="002320F4">
      <w:pPr>
        <w:widowControl w:val="0"/>
        <w:jc w:val="both"/>
        <w:rPr>
          <w:snapToGrid w:val="0"/>
          <w:sz w:val="20"/>
        </w:rPr>
      </w:pPr>
      <w:r>
        <w:rPr>
          <w:snapToGrid w:val="0"/>
          <w:sz w:val="20"/>
        </w:rPr>
        <w:t xml:space="preserve">(2) </w:t>
      </w:r>
      <w:r w:rsidR="002320F4">
        <w:rPr>
          <w:snapToGrid w:val="0"/>
          <w:sz w:val="20"/>
        </w:rPr>
        <w:tab/>
      </w:r>
      <w:r>
        <w:rPr>
          <w:snapToGrid w:val="0"/>
          <w:sz w:val="20"/>
        </w:rPr>
        <w:t xml:space="preserve">Any income </w:t>
      </w:r>
      <w:r w:rsidR="008A083D">
        <w:rPr>
          <w:rStyle w:val="FootnoteReference"/>
          <w:snapToGrid w:val="0"/>
          <w:sz w:val="20"/>
        </w:rPr>
        <w:footnoteReference w:id="1810"/>
      </w:r>
      <w:r w:rsidR="008A083D">
        <w:rPr>
          <w:snapToGrid w:val="0"/>
          <w:sz w:val="20"/>
        </w:rPr>
        <w:t>[</w:t>
      </w:r>
      <w:r>
        <w:rPr>
          <w:snapToGrid w:val="0"/>
          <w:sz w:val="20"/>
        </w:rPr>
        <w:t>other than capital gain on stock and shares of public company, PTC vouchers, modaraba certificate</w:t>
      </w:r>
      <w:r w:rsidR="00105061">
        <w:rPr>
          <w:snapToGrid w:val="0"/>
          <w:sz w:val="20"/>
        </w:rPr>
        <w:t>s</w:t>
      </w:r>
      <w:r>
        <w:rPr>
          <w:snapToGrid w:val="0"/>
          <w:sz w:val="20"/>
        </w:rPr>
        <w:t>, or any instrument of redeemable capital and derivative products held for less than 12 months</w:t>
      </w:r>
      <w:r w:rsidR="008A083D">
        <w:rPr>
          <w:snapToGrid w:val="0"/>
          <w:sz w:val="20"/>
        </w:rPr>
        <w:t>]</w:t>
      </w:r>
      <w:r>
        <w:rPr>
          <w:snapToGrid w:val="0"/>
          <w:sz w:val="20"/>
        </w:rPr>
        <w:t xml:space="preserve"> derived by any Mutual Fund, investment company, or a collective investment scheme </w:t>
      </w:r>
      <w:r w:rsidR="00C304CE">
        <w:rPr>
          <w:rStyle w:val="FootnoteReference"/>
          <w:snapToGrid w:val="0"/>
          <w:sz w:val="20"/>
        </w:rPr>
        <w:footnoteReference w:id="1811"/>
      </w:r>
      <w:r w:rsidR="00C304CE">
        <w:rPr>
          <w:snapToGrid w:val="0"/>
          <w:sz w:val="20"/>
        </w:rPr>
        <w:t>[</w:t>
      </w:r>
      <w:r>
        <w:rPr>
          <w:snapToGrid w:val="0"/>
          <w:sz w:val="20"/>
        </w:rPr>
        <w:t xml:space="preserve">or a </w:t>
      </w:r>
      <w:r w:rsidR="00BF5E26">
        <w:rPr>
          <w:rStyle w:val="FootnoteReference"/>
          <w:snapToGrid w:val="0"/>
          <w:sz w:val="20"/>
        </w:rPr>
        <w:footnoteReference w:id="1812"/>
      </w:r>
      <w:r w:rsidR="00C304CE">
        <w:rPr>
          <w:snapToGrid w:val="0"/>
          <w:sz w:val="20"/>
        </w:rPr>
        <w:t>[</w:t>
      </w:r>
      <w:r>
        <w:rPr>
          <w:snapToGrid w:val="0"/>
          <w:sz w:val="20"/>
        </w:rPr>
        <w:t>REIT Scheme</w:t>
      </w:r>
      <w:r w:rsidR="00C304CE">
        <w:rPr>
          <w:snapToGrid w:val="0"/>
          <w:sz w:val="20"/>
        </w:rPr>
        <w:t>]</w:t>
      </w:r>
      <w:r w:rsidR="00074EDD">
        <w:rPr>
          <w:rStyle w:val="FootnoteReference"/>
          <w:snapToGrid w:val="0"/>
          <w:sz w:val="20"/>
        </w:rPr>
        <w:footnoteReference w:id="1813"/>
      </w:r>
      <w:r w:rsidR="00C304CE">
        <w:rPr>
          <w:snapToGrid w:val="0"/>
          <w:sz w:val="20"/>
        </w:rPr>
        <w:t>[</w:t>
      </w:r>
      <w:r>
        <w:rPr>
          <w:snapToGrid w:val="0"/>
          <w:sz w:val="20"/>
        </w:rPr>
        <w:t>or Private Equity and Venture Capital Fund</w:t>
      </w:r>
      <w:r w:rsidR="00C304CE">
        <w:rPr>
          <w:snapToGrid w:val="0"/>
          <w:sz w:val="20"/>
        </w:rPr>
        <w:t>]]</w:t>
      </w:r>
      <w:r w:rsidR="00AC43BF">
        <w:rPr>
          <w:rStyle w:val="FootnoteReference"/>
          <w:snapToGrid w:val="0"/>
          <w:sz w:val="20"/>
        </w:rPr>
        <w:footnoteReference w:id="1814"/>
      </w:r>
      <w:r w:rsidR="00B66075">
        <w:rPr>
          <w:snapToGrid w:val="0"/>
          <w:sz w:val="20"/>
        </w:rPr>
        <w:t xml:space="preserve">[ </w:t>
      </w:r>
      <w:r w:rsidR="00AC43BF">
        <w:rPr>
          <w:snapToGrid w:val="0"/>
          <w:sz w:val="20"/>
        </w:rPr>
        <w:t xml:space="preserve">] </w:t>
      </w:r>
      <w:r>
        <w:rPr>
          <w:snapToGrid w:val="0"/>
          <w:sz w:val="20"/>
        </w:rPr>
        <w:t xml:space="preserve">or the </w:t>
      </w:r>
      <w:r w:rsidR="00105061">
        <w:rPr>
          <w:snapToGrid w:val="0"/>
          <w:sz w:val="20"/>
        </w:rPr>
        <w:t>N</w:t>
      </w:r>
      <w:r>
        <w:rPr>
          <w:snapToGrid w:val="0"/>
          <w:sz w:val="20"/>
        </w:rPr>
        <w:t>ational Investment (Unit) Trust of Pakistan</w:t>
      </w:r>
      <w:r w:rsidR="00105061">
        <w:rPr>
          <w:snapToGrid w:val="0"/>
          <w:sz w:val="20"/>
        </w:rPr>
        <w:t xml:space="preserve"> established by the National Investment Trust Limited from any </w:t>
      </w:r>
      <w:r>
        <w:rPr>
          <w:snapToGrid w:val="0"/>
          <w:sz w:val="20"/>
        </w:rPr>
        <w:t xml:space="preserve">instrument of redeemable capital as </w:t>
      </w:r>
      <w:r w:rsidR="00105061">
        <w:rPr>
          <w:snapToGrid w:val="0"/>
          <w:sz w:val="20"/>
        </w:rPr>
        <w:t>defined</w:t>
      </w:r>
      <w:r>
        <w:rPr>
          <w:snapToGrid w:val="0"/>
          <w:sz w:val="20"/>
        </w:rPr>
        <w:t xml:space="preserve"> in the </w:t>
      </w:r>
      <w:r w:rsidR="00105061">
        <w:rPr>
          <w:snapToGrid w:val="0"/>
          <w:sz w:val="20"/>
        </w:rPr>
        <w:t>C</w:t>
      </w:r>
      <w:r>
        <w:rPr>
          <w:snapToGrid w:val="0"/>
          <w:sz w:val="20"/>
        </w:rPr>
        <w:t>ompanies Ordinance, 1984 (XLVII of 1984), if not less than ninety per cent of its income of that year is distributed amongst the Unit- holders.</w:t>
      </w:r>
    </w:p>
    <w:p w:rsidR="002320F4" w:rsidRDefault="002320F4" w:rsidP="002320F4">
      <w:pPr>
        <w:widowControl w:val="0"/>
        <w:ind w:left="540" w:hanging="540"/>
        <w:jc w:val="both"/>
        <w:rPr>
          <w:snapToGrid w:val="0"/>
          <w:sz w:val="20"/>
        </w:rPr>
      </w:pPr>
    </w:p>
    <w:p w:rsidR="002320F4" w:rsidRDefault="002320F4" w:rsidP="002320F4">
      <w:pPr>
        <w:widowControl w:val="0"/>
        <w:ind w:left="540" w:hanging="540"/>
        <w:jc w:val="both"/>
        <w:rPr>
          <w:snapToGrid w:val="0"/>
          <w:sz w:val="20"/>
        </w:rPr>
      </w:pPr>
      <w:r>
        <w:rPr>
          <w:snapToGrid w:val="0"/>
          <w:sz w:val="20"/>
        </w:rPr>
        <w:t>(3)</w:t>
      </w:r>
      <w:r>
        <w:rPr>
          <w:snapToGrid w:val="0"/>
          <w:sz w:val="20"/>
        </w:rPr>
        <w:tab/>
        <w:t>Any income of the following funds and institution</w:t>
      </w:r>
      <w:r w:rsidR="00524B8D">
        <w:rPr>
          <w:snapToGrid w:val="0"/>
          <w:sz w:val="20"/>
        </w:rPr>
        <w:t>, namely:-</w:t>
      </w:r>
    </w:p>
    <w:p w:rsidR="00CE5CC2" w:rsidRDefault="00CE5CC2" w:rsidP="00AA4BF8">
      <w:pPr>
        <w:widowControl w:val="0"/>
        <w:jc w:val="both"/>
        <w:rPr>
          <w:snapToGrid w:val="0"/>
          <w:sz w:val="20"/>
        </w:rPr>
      </w:pPr>
    </w:p>
    <w:p w:rsidR="00AA4BF8" w:rsidRPr="00412620" w:rsidRDefault="00AA4BF8" w:rsidP="00D44E91">
      <w:pPr>
        <w:widowControl w:val="0"/>
        <w:ind w:left="1260" w:hanging="720"/>
        <w:jc w:val="both"/>
        <w:rPr>
          <w:snapToGrid w:val="0"/>
          <w:sz w:val="20"/>
        </w:rPr>
      </w:pPr>
      <w:r w:rsidRPr="00412620">
        <w:rPr>
          <w:snapToGrid w:val="0"/>
          <w:sz w:val="20"/>
        </w:rPr>
        <w:t>(i)</w:t>
      </w:r>
      <w:r w:rsidRPr="00412620">
        <w:rPr>
          <w:snapToGrid w:val="0"/>
          <w:sz w:val="20"/>
        </w:rPr>
        <w:tab/>
        <w:t>a provident fund to which the Provident Funds Act, 1925 (XIX of 1925), applies;</w:t>
      </w:r>
    </w:p>
    <w:p w:rsidR="00AA4BF8" w:rsidRPr="00412620" w:rsidRDefault="00AA4BF8" w:rsidP="00D44E91">
      <w:pPr>
        <w:widowControl w:val="0"/>
        <w:ind w:left="1260" w:hanging="720"/>
        <w:jc w:val="both"/>
        <w:rPr>
          <w:snapToGrid w:val="0"/>
          <w:sz w:val="18"/>
          <w:szCs w:val="18"/>
        </w:rPr>
      </w:pPr>
    </w:p>
    <w:p w:rsidR="00AA4BF8" w:rsidRPr="00412620" w:rsidRDefault="00AA4BF8" w:rsidP="00D44E91">
      <w:pPr>
        <w:widowControl w:val="0"/>
        <w:ind w:left="1260" w:hanging="720"/>
        <w:jc w:val="both"/>
        <w:rPr>
          <w:snapToGrid w:val="0"/>
          <w:sz w:val="20"/>
        </w:rPr>
      </w:pPr>
      <w:r w:rsidRPr="00412620">
        <w:rPr>
          <w:snapToGrid w:val="0"/>
          <w:sz w:val="20"/>
        </w:rPr>
        <w:lastRenderedPageBreak/>
        <w:t>(ii)</w:t>
      </w:r>
      <w:r w:rsidRPr="00412620">
        <w:rPr>
          <w:snapToGrid w:val="0"/>
          <w:sz w:val="20"/>
        </w:rPr>
        <w:tab/>
        <w:t>trustees on behalf of a recognized provident fund or an approved superannuation fund or an approved gratuity fund;</w:t>
      </w:r>
    </w:p>
    <w:p w:rsidR="00AA4BF8" w:rsidRPr="00412620" w:rsidRDefault="00AA4BF8" w:rsidP="00D44E91">
      <w:pPr>
        <w:widowControl w:val="0"/>
        <w:ind w:left="1260" w:hanging="720"/>
        <w:jc w:val="both"/>
        <w:rPr>
          <w:snapToGrid w:val="0"/>
          <w:sz w:val="18"/>
          <w:szCs w:val="18"/>
        </w:rPr>
      </w:pPr>
    </w:p>
    <w:p w:rsidR="00AA4BF8" w:rsidRPr="00412620" w:rsidRDefault="00AA4BF8" w:rsidP="00D44E91">
      <w:pPr>
        <w:widowControl w:val="0"/>
        <w:ind w:left="1260" w:hanging="720"/>
        <w:jc w:val="both"/>
        <w:rPr>
          <w:snapToGrid w:val="0"/>
          <w:sz w:val="20"/>
        </w:rPr>
      </w:pPr>
      <w:r w:rsidRPr="00412620">
        <w:rPr>
          <w:snapToGrid w:val="0"/>
          <w:sz w:val="20"/>
        </w:rPr>
        <w:t>(iii)</w:t>
      </w:r>
      <w:r w:rsidRPr="00412620">
        <w:rPr>
          <w:snapToGrid w:val="0"/>
          <w:sz w:val="20"/>
        </w:rPr>
        <w:tab/>
        <w:t xml:space="preserve">a benevolent fund or group insurance scheme approved by the </w:t>
      </w:r>
      <w:r w:rsidR="000338F0">
        <w:rPr>
          <w:rStyle w:val="FootnoteReference"/>
          <w:snapToGrid w:val="0"/>
          <w:sz w:val="20"/>
        </w:rPr>
        <w:footnoteReference w:id="1815"/>
      </w:r>
      <w:r w:rsidR="000338F0">
        <w:rPr>
          <w:snapToGrid w:val="0"/>
          <w:sz w:val="20"/>
        </w:rPr>
        <w:t>[</w:t>
      </w:r>
      <w:r w:rsidRPr="00412620">
        <w:rPr>
          <w:snapToGrid w:val="0"/>
          <w:sz w:val="20"/>
        </w:rPr>
        <w:t>Board</w:t>
      </w:r>
      <w:r w:rsidR="000338F0">
        <w:rPr>
          <w:snapToGrid w:val="0"/>
          <w:sz w:val="20"/>
        </w:rPr>
        <w:t>]</w:t>
      </w:r>
      <w:r w:rsidRPr="00412620">
        <w:rPr>
          <w:snapToGrid w:val="0"/>
          <w:sz w:val="20"/>
        </w:rPr>
        <w:t xml:space="preserve"> for the purposes of this clause;</w:t>
      </w:r>
    </w:p>
    <w:p w:rsidR="00AA4BF8" w:rsidRPr="00412620" w:rsidRDefault="00AA4BF8" w:rsidP="00D44E91">
      <w:pPr>
        <w:widowControl w:val="0"/>
        <w:ind w:left="1260" w:hanging="720"/>
        <w:jc w:val="both"/>
        <w:rPr>
          <w:snapToGrid w:val="0"/>
          <w:sz w:val="18"/>
          <w:szCs w:val="18"/>
        </w:rPr>
      </w:pPr>
    </w:p>
    <w:p w:rsidR="00AA4BF8" w:rsidRPr="00412620" w:rsidRDefault="00AA4BF8" w:rsidP="00D44E91">
      <w:pPr>
        <w:widowControl w:val="0"/>
        <w:ind w:left="1260" w:hanging="720"/>
        <w:jc w:val="both"/>
        <w:rPr>
          <w:snapToGrid w:val="0"/>
          <w:sz w:val="20"/>
        </w:rPr>
      </w:pPr>
      <w:r w:rsidRPr="00412620">
        <w:rPr>
          <w:snapToGrid w:val="0"/>
          <w:sz w:val="20"/>
        </w:rPr>
        <w:t>(iv)</w:t>
      </w:r>
      <w:r w:rsidRPr="00412620">
        <w:rPr>
          <w:snapToGrid w:val="0"/>
          <w:sz w:val="20"/>
        </w:rPr>
        <w:tab/>
        <w:t>Service Fund;</w:t>
      </w:r>
    </w:p>
    <w:p w:rsidR="00AA4BF8" w:rsidRPr="00412620" w:rsidRDefault="00AA4BF8" w:rsidP="00D44E91">
      <w:pPr>
        <w:widowControl w:val="0"/>
        <w:ind w:left="1260" w:hanging="720"/>
        <w:jc w:val="both"/>
        <w:rPr>
          <w:snapToGrid w:val="0"/>
          <w:sz w:val="18"/>
          <w:szCs w:val="18"/>
        </w:rPr>
      </w:pPr>
    </w:p>
    <w:p w:rsidR="00AA4BF8" w:rsidRPr="00412620" w:rsidRDefault="00AA4BF8" w:rsidP="00D44E91">
      <w:pPr>
        <w:widowControl w:val="0"/>
        <w:ind w:left="1260" w:hanging="720"/>
        <w:jc w:val="both"/>
        <w:rPr>
          <w:snapToGrid w:val="0"/>
          <w:sz w:val="20"/>
        </w:rPr>
      </w:pPr>
      <w:r w:rsidRPr="00412620">
        <w:rPr>
          <w:snapToGrid w:val="0"/>
          <w:sz w:val="20"/>
        </w:rPr>
        <w:t xml:space="preserve"> (v)</w:t>
      </w:r>
      <w:r w:rsidRPr="00412620">
        <w:rPr>
          <w:snapToGrid w:val="0"/>
          <w:sz w:val="20"/>
        </w:rPr>
        <w:tab/>
        <w:t>Employees Old Age Benefits Institution established under the Employees Old Age Benefit Act, 1976 (XIV of 1976);</w:t>
      </w:r>
    </w:p>
    <w:p w:rsidR="00AA4BF8" w:rsidRPr="00412620" w:rsidRDefault="00AA4BF8" w:rsidP="00D44E91">
      <w:pPr>
        <w:widowControl w:val="0"/>
        <w:ind w:left="1260" w:hanging="720"/>
        <w:jc w:val="both"/>
        <w:rPr>
          <w:snapToGrid w:val="0"/>
          <w:sz w:val="18"/>
          <w:szCs w:val="18"/>
        </w:rPr>
      </w:pPr>
    </w:p>
    <w:p w:rsidR="00AA4BF8" w:rsidRPr="00412620" w:rsidRDefault="00AA4BF8" w:rsidP="00D44E91">
      <w:pPr>
        <w:widowControl w:val="0"/>
        <w:ind w:left="1260" w:hanging="720"/>
        <w:jc w:val="both"/>
        <w:rPr>
          <w:snapToGrid w:val="0"/>
          <w:sz w:val="20"/>
        </w:rPr>
      </w:pPr>
      <w:r w:rsidRPr="00412620">
        <w:rPr>
          <w:snapToGrid w:val="0"/>
          <w:sz w:val="20"/>
        </w:rPr>
        <w:t xml:space="preserve"> (vi)</w:t>
      </w:r>
      <w:r w:rsidRPr="00412620">
        <w:rPr>
          <w:snapToGrid w:val="0"/>
          <w:sz w:val="20"/>
        </w:rPr>
        <w:tab/>
        <w:t>any Unit, Station or Regimental Institute; and</w:t>
      </w:r>
    </w:p>
    <w:p w:rsidR="00AA4BF8" w:rsidRPr="00412620" w:rsidRDefault="00AA4BF8" w:rsidP="00D44E91">
      <w:pPr>
        <w:widowControl w:val="0"/>
        <w:ind w:left="1260" w:hanging="720"/>
        <w:jc w:val="both"/>
        <w:rPr>
          <w:snapToGrid w:val="0"/>
          <w:sz w:val="18"/>
          <w:szCs w:val="18"/>
        </w:rPr>
      </w:pPr>
    </w:p>
    <w:p w:rsidR="00AA4BF8" w:rsidRPr="00412620" w:rsidRDefault="00AA4BF8" w:rsidP="00D44E91">
      <w:pPr>
        <w:widowControl w:val="0"/>
        <w:ind w:left="1260" w:hanging="720"/>
        <w:jc w:val="both"/>
        <w:rPr>
          <w:snapToGrid w:val="0"/>
          <w:sz w:val="20"/>
        </w:rPr>
      </w:pPr>
      <w:r w:rsidRPr="00412620">
        <w:rPr>
          <w:snapToGrid w:val="0"/>
          <w:sz w:val="20"/>
        </w:rPr>
        <w:t>(vii)</w:t>
      </w:r>
      <w:r w:rsidRPr="00412620">
        <w:rPr>
          <w:snapToGrid w:val="0"/>
          <w:sz w:val="20"/>
        </w:rPr>
        <w:tab/>
        <w:t>any recognized Regimental Thrift and Savings Fund, the assets of which consist solely of deposits made by members and profits earned by investment thereof;</w:t>
      </w:r>
    </w:p>
    <w:p w:rsidR="00AA4BF8" w:rsidRPr="00412620" w:rsidRDefault="00AA4BF8" w:rsidP="00D44E91">
      <w:pPr>
        <w:widowControl w:val="0"/>
        <w:ind w:left="1260" w:hanging="720"/>
        <w:jc w:val="both"/>
        <w:rPr>
          <w:snapToGrid w:val="0"/>
          <w:sz w:val="18"/>
          <w:szCs w:val="18"/>
        </w:rPr>
      </w:pPr>
    </w:p>
    <w:p w:rsidR="00AA4BF8" w:rsidRPr="00412620" w:rsidRDefault="00AA4BF8" w:rsidP="00D44E91">
      <w:pPr>
        <w:widowControl w:val="0"/>
        <w:ind w:left="1260" w:hanging="720"/>
        <w:jc w:val="both"/>
        <w:rPr>
          <w:snapToGrid w:val="0"/>
          <w:sz w:val="20"/>
        </w:rPr>
      </w:pPr>
      <w:r w:rsidRPr="00412620">
        <w:rPr>
          <w:rStyle w:val="FootnoteReference"/>
          <w:rFonts w:cs="Arial"/>
          <w:snapToGrid w:val="0"/>
          <w:sz w:val="20"/>
        </w:rPr>
        <w:footnoteReference w:id="1816"/>
      </w:r>
      <w:r w:rsidRPr="00412620">
        <w:rPr>
          <w:snapToGrid w:val="0"/>
          <w:sz w:val="20"/>
        </w:rPr>
        <w:t xml:space="preserve">[(viii) </w:t>
      </w:r>
      <w:r w:rsidRPr="00412620">
        <w:rPr>
          <w:snapToGrid w:val="0"/>
          <w:sz w:val="20"/>
        </w:rPr>
        <w:tab/>
        <w:t>a Pension Fund approved by the Securities and Exchange Commission of Pakistan under the Voluntary  Pension System Rules, 2005;]</w:t>
      </w:r>
    </w:p>
    <w:p w:rsidR="00AA4BF8" w:rsidRPr="00412620" w:rsidRDefault="00AA4BF8" w:rsidP="00D44E91">
      <w:pPr>
        <w:widowControl w:val="0"/>
        <w:ind w:left="1260" w:hanging="720"/>
        <w:jc w:val="both"/>
        <w:rPr>
          <w:snapToGrid w:val="0"/>
          <w:sz w:val="18"/>
          <w:szCs w:val="18"/>
        </w:rPr>
      </w:pPr>
    </w:p>
    <w:p w:rsidR="00AA4BF8" w:rsidRPr="00412620" w:rsidRDefault="00AA4BF8" w:rsidP="00D44E91">
      <w:pPr>
        <w:widowControl w:val="0"/>
        <w:ind w:left="1260" w:hanging="720"/>
        <w:jc w:val="both"/>
        <w:rPr>
          <w:snapToGrid w:val="0"/>
          <w:sz w:val="20"/>
        </w:rPr>
      </w:pPr>
      <w:r w:rsidRPr="00412620">
        <w:rPr>
          <w:rStyle w:val="FootnoteReference"/>
          <w:rFonts w:cs="Arial"/>
          <w:snapToGrid w:val="0"/>
          <w:sz w:val="20"/>
        </w:rPr>
        <w:footnoteReference w:id="1817"/>
      </w:r>
      <w:r w:rsidRPr="00412620">
        <w:rPr>
          <w:snapToGrid w:val="0"/>
          <w:sz w:val="20"/>
        </w:rPr>
        <w:t xml:space="preserve">[(ix) </w:t>
      </w:r>
      <w:r w:rsidRPr="00412620">
        <w:rPr>
          <w:snapToGrid w:val="0"/>
          <w:sz w:val="20"/>
        </w:rPr>
        <w:tab/>
        <w:t xml:space="preserve">any profit or gain or benefit derived by a pension fund manager from a pension Fund approved under the Voluntary Pension System Rules, 2005, on redemption of the seed capital invested in pension fund as specified in the Voluntary Pension System Rules, 2005 </w:t>
      </w:r>
      <w:r w:rsidRPr="00412620">
        <w:rPr>
          <w:rStyle w:val="FootnoteReference"/>
          <w:rFonts w:cs="Arial"/>
          <w:snapToGrid w:val="0"/>
          <w:sz w:val="20"/>
        </w:rPr>
        <w:footnoteReference w:id="1818"/>
      </w:r>
      <w:r w:rsidRPr="00412620">
        <w:rPr>
          <w:snapToGrid w:val="0"/>
          <w:sz w:val="20"/>
        </w:rPr>
        <w:t>[;] ]</w:t>
      </w:r>
    </w:p>
    <w:p w:rsidR="00AA4BF8" w:rsidRPr="00412620" w:rsidRDefault="00AA4BF8" w:rsidP="00D44E91">
      <w:pPr>
        <w:widowControl w:val="0"/>
        <w:ind w:left="1260" w:hanging="720"/>
        <w:jc w:val="both"/>
        <w:rPr>
          <w:snapToGrid w:val="0"/>
          <w:sz w:val="18"/>
          <w:szCs w:val="18"/>
        </w:rPr>
      </w:pPr>
    </w:p>
    <w:p w:rsidR="00AA4BF8" w:rsidRPr="00412620" w:rsidRDefault="00AA4BF8" w:rsidP="00D44E91">
      <w:pPr>
        <w:widowControl w:val="0"/>
        <w:ind w:left="1260" w:hanging="720"/>
        <w:jc w:val="both"/>
        <w:rPr>
          <w:snapToGrid w:val="0"/>
          <w:sz w:val="18"/>
          <w:szCs w:val="18"/>
        </w:rPr>
      </w:pPr>
      <w:r w:rsidRPr="00412620">
        <w:rPr>
          <w:rStyle w:val="FootnoteReference"/>
          <w:rFonts w:cs="Arial"/>
          <w:snapToGrid w:val="0"/>
          <w:sz w:val="20"/>
        </w:rPr>
        <w:footnoteReference w:id="1819"/>
      </w:r>
      <w:r w:rsidRPr="00412620">
        <w:rPr>
          <w:snapToGrid w:val="0"/>
          <w:sz w:val="20"/>
        </w:rPr>
        <w:t>[  ]</w:t>
      </w:r>
    </w:p>
    <w:p w:rsidR="00AA4BF8" w:rsidRPr="00412620" w:rsidRDefault="00AA4BF8" w:rsidP="00D44E91">
      <w:pPr>
        <w:widowControl w:val="0"/>
        <w:ind w:left="1260" w:hanging="720"/>
        <w:jc w:val="both"/>
        <w:rPr>
          <w:snapToGrid w:val="0"/>
          <w:sz w:val="18"/>
          <w:szCs w:val="18"/>
        </w:rPr>
      </w:pPr>
    </w:p>
    <w:p w:rsidR="00AA4BF8" w:rsidRPr="008D2763" w:rsidRDefault="00AA4BF8" w:rsidP="00AA4BF8">
      <w:pPr>
        <w:widowControl w:val="0"/>
        <w:ind w:left="720" w:hanging="720"/>
        <w:jc w:val="both"/>
        <w:rPr>
          <w:b/>
          <w:bCs/>
          <w:snapToGrid w:val="0"/>
          <w:sz w:val="8"/>
        </w:rPr>
      </w:pPr>
    </w:p>
    <w:p w:rsidR="00AA4BF8" w:rsidRPr="00412620" w:rsidRDefault="00AA4BF8" w:rsidP="00107D58">
      <w:pPr>
        <w:widowControl w:val="0"/>
        <w:ind w:left="1260" w:hanging="720"/>
        <w:jc w:val="both"/>
        <w:rPr>
          <w:snapToGrid w:val="0"/>
          <w:sz w:val="20"/>
          <w:lang w:val="fr-FR"/>
        </w:rPr>
      </w:pPr>
      <w:r w:rsidRPr="00B66075">
        <w:rPr>
          <w:rStyle w:val="FootnoteReference"/>
          <w:rFonts w:cs="Arial"/>
          <w:bCs/>
          <w:snapToGrid w:val="0"/>
          <w:sz w:val="20"/>
        </w:rPr>
        <w:footnoteReference w:id="1820"/>
      </w:r>
      <w:r w:rsidRPr="00412620">
        <w:rPr>
          <w:snapToGrid w:val="0"/>
          <w:sz w:val="20"/>
          <w:lang w:val="fr-FR"/>
        </w:rPr>
        <w:t xml:space="preserve">[xi. </w:t>
      </w:r>
      <w:r w:rsidRPr="00412620">
        <w:rPr>
          <w:snapToGrid w:val="0"/>
          <w:sz w:val="20"/>
          <w:lang w:val="fr-FR"/>
        </w:rPr>
        <w:tab/>
        <w:t>International Irrigation Management Institute.]</w:t>
      </w:r>
    </w:p>
    <w:p w:rsidR="00AA4BF8" w:rsidRPr="00412620" w:rsidRDefault="00AA4BF8" w:rsidP="00AA4BF8">
      <w:pPr>
        <w:widowControl w:val="0"/>
        <w:ind w:left="720" w:hanging="720"/>
        <w:jc w:val="both"/>
        <w:rPr>
          <w:b/>
          <w:bCs/>
          <w:snapToGrid w:val="0"/>
          <w:sz w:val="20"/>
          <w:lang w:val="fr-FR"/>
        </w:rPr>
      </w:pPr>
    </w:p>
    <w:p w:rsidR="00AA4BF8" w:rsidRDefault="00AA4BF8" w:rsidP="00BB35E2">
      <w:pPr>
        <w:widowControl w:val="0"/>
        <w:ind w:left="1094" w:hanging="554"/>
        <w:jc w:val="both"/>
        <w:rPr>
          <w:snapToGrid w:val="0"/>
          <w:sz w:val="18"/>
          <w:szCs w:val="18"/>
        </w:rPr>
      </w:pPr>
      <w:r w:rsidRPr="00412620">
        <w:rPr>
          <w:rStyle w:val="FootnoteReference"/>
          <w:rFonts w:cs="Arial"/>
          <w:snapToGrid w:val="0"/>
          <w:sz w:val="20"/>
          <w:lang w:val="fr-FR"/>
        </w:rPr>
        <w:footnoteReference w:id="1821"/>
      </w:r>
      <w:r w:rsidRPr="00412620">
        <w:rPr>
          <w:snapToGrid w:val="0"/>
          <w:sz w:val="20"/>
          <w:lang w:val="fr-FR"/>
        </w:rPr>
        <w:t>[xii.</w:t>
      </w:r>
      <w:r w:rsidRPr="00412620">
        <w:rPr>
          <w:snapToGrid w:val="0"/>
          <w:sz w:val="20"/>
          <w:lang w:val="fr-FR"/>
        </w:rPr>
        <w:tab/>
        <w:t>Punjab Pension Fund</w:t>
      </w:r>
      <w:r w:rsidR="00C47F79">
        <w:rPr>
          <w:snapToGrid w:val="0"/>
          <w:sz w:val="20"/>
          <w:lang w:val="fr-FR"/>
        </w:rPr>
        <w:t xml:space="preserve"> </w:t>
      </w:r>
      <w:r w:rsidRPr="003F3CFF">
        <w:rPr>
          <w:snapToGrid w:val="0"/>
          <w:sz w:val="20"/>
          <w:lang w:val="en-US"/>
        </w:rPr>
        <w:t>established</w:t>
      </w:r>
      <w:r w:rsidR="003F3CFF">
        <w:rPr>
          <w:snapToGrid w:val="0"/>
          <w:sz w:val="20"/>
          <w:lang w:val="fr-FR"/>
        </w:rPr>
        <w:t xml:space="preserve"> u</w:t>
      </w:r>
      <w:r w:rsidR="003F3CFF" w:rsidRPr="00412620">
        <w:rPr>
          <w:snapToGrid w:val="0"/>
          <w:sz w:val="20"/>
          <w:lang w:val="fr-FR"/>
        </w:rPr>
        <w:t>nder</w:t>
      </w:r>
      <w:r w:rsidRPr="00412620">
        <w:rPr>
          <w:snapToGrid w:val="0"/>
          <w:sz w:val="20"/>
          <w:lang w:val="fr-FR"/>
        </w:rPr>
        <w:t xml:space="preserve"> the Punjab Pension Fund</w:t>
      </w:r>
      <w:r w:rsidR="00C47F79">
        <w:rPr>
          <w:snapToGrid w:val="0"/>
          <w:sz w:val="20"/>
          <w:lang w:val="fr-FR"/>
        </w:rPr>
        <w:t xml:space="preserve"> </w:t>
      </w:r>
      <w:r w:rsidRPr="00412620">
        <w:rPr>
          <w:snapToGrid w:val="0"/>
          <w:sz w:val="20"/>
          <w:lang w:val="fr-FR"/>
        </w:rPr>
        <w:t xml:space="preserve">Act, 2007 (I of 2007) and the trust </w:t>
      </w:r>
      <w:r w:rsidRPr="003F3CFF">
        <w:rPr>
          <w:snapToGrid w:val="0"/>
          <w:sz w:val="20"/>
          <w:lang w:val="en-US"/>
        </w:rPr>
        <w:t>established</w:t>
      </w:r>
      <w:r w:rsidR="004D1AB2">
        <w:rPr>
          <w:snapToGrid w:val="0"/>
          <w:sz w:val="20"/>
          <w:lang w:val="en-US"/>
        </w:rPr>
        <w:t xml:space="preserve"> </w:t>
      </w:r>
      <w:r w:rsidRPr="00412620">
        <w:rPr>
          <w:snapToGrid w:val="0"/>
          <w:sz w:val="20"/>
          <w:lang w:val="fr-FR"/>
        </w:rPr>
        <w:t>thereunder.]</w:t>
      </w:r>
    </w:p>
    <w:p w:rsidR="008D2763" w:rsidRDefault="008D2763" w:rsidP="00BB35E2">
      <w:pPr>
        <w:widowControl w:val="0"/>
        <w:ind w:left="1094" w:hanging="554"/>
        <w:jc w:val="both"/>
        <w:rPr>
          <w:snapToGrid w:val="0"/>
          <w:sz w:val="18"/>
          <w:szCs w:val="18"/>
        </w:rPr>
      </w:pPr>
    </w:p>
    <w:p w:rsidR="00AA4BF8" w:rsidRPr="00B46543" w:rsidRDefault="00AA4BF8" w:rsidP="00BB35E2">
      <w:pPr>
        <w:widowControl w:val="0"/>
        <w:ind w:left="1080" w:hanging="591"/>
        <w:jc w:val="both"/>
        <w:rPr>
          <w:snapToGrid w:val="0"/>
          <w:color w:val="000000" w:themeColor="text1"/>
          <w:sz w:val="20"/>
          <w:szCs w:val="18"/>
        </w:rPr>
      </w:pPr>
      <w:r w:rsidRPr="00B46543">
        <w:rPr>
          <w:rStyle w:val="FootnoteReference"/>
          <w:snapToGrid w:val="0"/>
          <w:color w:val="000000" w:themeColor="text1"/>
          <w:sz w:val="20"/>
          <w:szCs w:val="18"/>
        </w:rPr>
        <w:footnoteReference w:id="1822"/>
      </w:r>
      <w:r w:rsidRPr="00B46543">
        <w:rPr>
          <w:snapToGrid w:val="0"/>
          <w:color w:val="000000" w:themeColor="text1"/>
          <w:sz w:val="20"/>
          <w:szCs w:val="18"/>
        </w:rPr>
        <w:t xml:space="preserve">[xiii.  Sindh Province Pension Fund </w:t>
      </w:r>
      <w:r w:rsidR="00E0187C" w:rsidRPr="00B46543">
        <w:rPr>
          <w:snapToGrid w:val="0"/>
          <w:color w:val="000000" w:themeColor="text1"/>
          <w:sz w:val="20"/>
          <w:szCs w:val="18"/>
        </w:rPr>
        <w:t>e</w:t>
      </w:r>
      <w:r w:rsidRPr="00B46543">
        <w:rPr>
          <w:snapToGrid w:val="0"/>
          <w:color w:val="000000" w:themeColor="text1"/>
          <w:sz w:val="20"/>
          <w:szCs w:val="18"/>
        </w:rPr>
        <w:t xml:space="preserve">stablished under the Sindh Province </w:t>
      </w:r>
      <w:r w:rsidRPr="00B46543">
        <w:rPr>
          <w:snapToGrid w:val="0"/>
          <w:color w:val="000000" w:themeColor="text1"/>
          <w:sz w:val="20"/>
          <w:szCs w:val="18"/>
        </w:rPr>
        <w:lastRenderedPageBreak/>
        <w:t>Pension Fund Ordinance, 2002.</w:t>
      </w:r>
      <w:r w:rsidR="00E0187C" w:rsidRPr="00B46543">
        <w:rPr>
          <w:snapToGrid w:val="0"/>
          <w:color w:val="000000" w:themeColor="text1"/>
          <w:sz w:val="20"/>
          <w:szCs w:val="18"/>
        </w:rPr>
        <w:t>]</w:t>
      </w:r>
    </w:p>
    <w:p w:rsidR="00517CD8" w:rsidRDefault="00517CD8" w:rsidP="00BB35E2">
      <w:pPr>
        <w:widowControl w:val="0"/>
        <w:ind w:left="1080" w:hanging="591"/>
        <w:jc w:val="both"/>
        <w:rPr>
          <w:snapToGrid w:val="0"/>
          <w:color w:val="00B0F0"/>
          <w:sz w:val="20"/>
          <w:szCs w:val="18"/>
        </w:rPr>
      </w:pPr>
    </w:p>
    <w:p w:rsidR="00517CD8" w:rsidRPr="00E624ED" w:rsidRDefault="00517CD8" w:rsidP="00517CD8">
      <w:pPr>
        <w:autoSpaceDE w:val="0"/>
        <w:autoSpaceDN w:val="0"/>
        <w:adjustRightInd w:val="0"/>
        <w:ind w:left="1170" w:hanging="630"/>
        <w:jc w:val="both"/>
        <w:rPr>
          <w:snapToGrid w:val="0"/>
          <w:color w:val="000000" w:themeColor="text1"/>
          <w:sz w:val="20"/>
        </w:rPr>
      </w:pPr>
      <w:r w:rsidRPr="00E624ED">
        <w:rPr>
          <w:rStyle w:val="FootnoteReference"/>
          <w:rFonts w:cs="Arial"/>
          <w:color w:val="000000" w:themeColor="text1"/>
          <w:sz w:val="20"/>
          <w:lang w:val="en-US"/>
        </w:rPr>
        <w:footnoteReference w:id="1823"/>
      </w:r>
      <w:r w:rsidRPr="00E624ED">
        <w:rPr>
          <w:rFonts w:cs="Arial"/>
          <w:color w:val="000000" w:themeColor="text1"/>
          <w:sz w:val="20"/>
          <w:lang w:val="en-US"/>
        </w:rPr>
        <w:t>[“(xiv) Punjab General Provident Investment Fund established under the Punjab General Provident Investment Fund Act, 2009 (V of 2009) and the</w:t>
      </w:r>
      <w:r w:rsidR="004E2D9B" w:rsidRPr="00E624ED">
        <w:rPr>
          <w:rFonts w:cs="Arial"/>
          <w:color w:val="000000" w:themeColor="text1"/>
          <w:sz w:val="20"/>
          <w:lang w:val="en-US"/>
        </w:rPr>
        <w:t xml:space="preserve"> trust established thereunder.”</w:t>
      </w:r>
      <w:r w:rsidRPr="00E624ED">
        <w:rPr>
          <w:rFonts w:cs="Arial"/>
          <w:color w:val="000000" w:themeColor="text1"/>
          <w:sz w:val="20"/>
          <w:lang w:val="en-US"/>
        </w:rPr>
        <w:t>]</w:t>
      </w:r>
    </w:p>
    <w:p w:rsidR="00AA4BF8" w:rsidRDefault="00AA4BF8" w:rsidP="00AA4BF8">
      <w:pPr>
        <w:widowControl w:val="0"/>
        <w:ind w:left="720" w:hanging="720"/>
        <w:jc w:val="both"/>
        <w:rPr>
          <w:snapToGrid w:val="0"/>
          <w:sz w:val="20"/>
          <w:lang w:val="fr-FR"/>
        </w:rPr>
      </w:pPr>
    </w:p>
    <w:p w:rsidR="008D2763" w:rsidRPr="00412620" w:rsidRDefault="008D2763" w:rsidP="008D2763">
      <w:pPr>
        <w:widowControl w:val="0"/>
        <w:ind w:left="1440" w:firstLine="21"/>
        <w:jc w:val="both"/>
        <w:rPr>
          <w:snapToGrid w:val="0"/>
          <w:sz w:val="20"/>
        </w:rPr>
      </w:pPr>
      <w:r>
        <w:rPr>
          <w:snapToGrid w:val="0"/>
          <w:sz w:val="20"/>
          <w:lang w:val="fr-FR"/>
        </w:rPr>
        <w:tab/>
      </w:r>
      <w:r w:rsidRPr="00412620">
        <w:rPr>
          <w:i/>
          <w:iCs/>
          <w:snapToGrid w:val="0"/>
          <w:sz w:val="20"/>
        </w:rPr>
        <w:t>Explanation</w:t>
      </w:r>
      <w:r w:rsidRPr="00412620">
        <w:rPr>
          <w:snapToGrid w:val="0"/>
          <w:sz w:val="20"/>
        </w:rPr>
        <w:t>.—For the purpose of this clause, "Service Fund" means a fund which is established under the authority, or with the approval of the Federal Government for the purpose of —</w:t>
      </w:r>
    </w:p>
    <w:p w:rsidR="008D2763" w:rsidRPr="00412620" w:rsidRDefault="008D2763" w:rsidP="008D2763">
      <w:pPr>
        <w:widowControl w:val="0"/>
        <w:jc w:val="both"/>
        <w:rPr>
          <w:snapToGrid w:val="0"/>
          <w:sz w:val="20"/>
        </w:rPr>
      </w:pPr>
    </w:p>
    <w:p w:rsidR="008D2763" w:rsidRPr="00412620" w:rsidRDefault="008D2763" w:rsidP="008D2763">
      <w:pPr>
        <w:widowControl w:val="0"/>
        <w:ind w:left="1440" w:hanging="540"/>
        <w:jc w:val="both"/>
        <w:rPr>
          <w:snapToGrid w:val="0"/>
          <w:sz w:val="20"/>
        </w:rPr>
      </w:pPr>
      <w:r w:rsidRPr="00412620">
        <w:rPr>
          <w:snapToGrid w:val="0"/>
          <w:sz w:val="20"/>
        </w:rPr>
        <w:t>(a)</w:t>
      </w:r>
      <w:r w:rsidRPr="00412620">
        <w:rPr>
          <w:snapToGrid w:val="0"/>
          <w:sz w:val="20"/>
        </w:rPr>
        <w:tab/>
        <w:t>securing deferred annuities to the subscribers of payment to them in the event of their leaving the service in which they are employed; or</w:t>
      </w:r>
    </w:p>
    <w:p w:rsidR="008D2763" w:rsidRPr="00412620" w:rsidRDefault="008D2763" w:rsidP="008D2763">
      <w:pPr>
        <w:widowControl w:val="0"/>
        <w:tabs>
          <w:tab w:val="left" w:pos="2160"/>
        </w:tabs>
        <w:ind w:left="1440"/>
        <w:jc w:val="both"/>
        <w:rPr>
          <w:snapToGrid w:val="0"/>
          <w:sz w:val="20"/>
        </w:rPr>
      </w:pPr>
    </w:p>
    <w:p w:rsidR="008D2763" w:rsidRPr="00412620" w:rsidRDefault="008D2763" w:rsidP="008D2763">
      <w:pPr>
        <w:widowControl w:val="0"/>
        <w:ind w:left="1440" w:hanging="547"/>
        <w:jc w:val="both"/>
        <w:rPr>
          <w:snapToGrid w:val="0"/>
          <w:sz w:val="20"/>
        </w:rPr>
      </w:pPr>
      <w:r w:rsidRPr="00412620">
        <w:rPr>
          <w:snapToGrid w:val="0"/>
          <w:sz w:val="20"/>
        </w:rPr>
        <w:t>(b)</w:t>
      </w:r>
      <w:r w:rsidRPr="00412620">
        <w:rPr>
          <w:snapToGrid w:val="0"/>
          <w:sz w:val="20"/>
        </w:rPr>
        <w:tab/>
        <w:t>making provision for their wives or children after their death; or</w:t>
      </w:r>
    </w:p>
    <w:p w:rsidR="008D2763" w:rsidRPr="00412620" w:rsidRDefault="008D2763" w:rsidP="008D2763">
      <w:pPr>
        <w:widowControl w:val="0"/>
        <w:ind w:left="1440"/>
        <w:jc w:val="both"/>
        <w:rPr>
          <w:snapToGrid w:val="0"/>
          <w:sz w:val="20"/>
        </w:rPr>
      </w:pPr>
    </w:p>
    <w:p w:rsidR="008D2763" w:rsidRPr="00412620" w:rsidRDefault="008D2763" w:rsidP="008D2763">
      <w:pPr>
        <w:widowControl w:val="0"/>
        <w:ind w:left="1440" w:hanging="540"/>
        <w:jc w:val="both"/>
        <w:rPr>
          <w:snapToGrid w:val="0"/>
          <w:sz w:val="20"/>
        </w:rPr>
      </w:pPr>
      <w:r w:rsidRPr="00412620">
        <w:rPr>
          <w:snapToGrid w:val="0"/>
          <w:sz w:val="20"/>
        </w:rPr>
        <w:t>(c)</w:t>
      </w:r>
      <w:r w:rsidRPr="00412620">
        <w:rPr>
          <w:snapToGrid w:val="0"/>
          <w:sz w:val="20"/>
        </w:rPr>
        <w:tab/>
        <w:t>making payment to their estate or their nominees upon their death</w:t>
      </w:r>
      <w:r>
        <w:rPr>
          <w:snapToGrid w:val="0"/>
          <w:sz w:val="20"/>
        </w:rPr>
        <w:t>.</w:t>
      </w:r>
    </w:p>
    <w:p w:rsidR="00AA4BF8" w:rsidRPr="00412620" w:rsidRDefault="00AA4BF8" w:rsidP="00B66075">
      <w:pPr>
        <w:widowControl w:val="0"/>
        <w:jc w:val="both"/>
        <w:rPr>
          <w:snapToGrid w:val="0"/>
          <w:sz w:val="20"/>
          <w:lang w:val="fr-FR"/>
        </w:rPr>
      </w:pPr>
    </w:p>
    <w:p w:rsidR="00AA4BF8" w:rsidRPr="00B46543" w:rsidRDefault="00AA4BF8" w:rsidP="00AA4BF8">
      <w:pPr>
        <w:widowControl w:val="0"/>
        <w:jc w:val="both"/>
        <w:rPr>
          <w:bCs/>
          <w:snapToGrid w:val="0"/>
          <w:color w:val="000000" w:themeColor="text1"/>
          <w:sz w:val="20"/>
        </w:rPr>
      </w:pPr>
      <w:r w:rsidRPr="00B46543">
        <w:rPr>
          <w:rStyle w:val="FootnoteReference"/>
          <w:bCs/>
          <w:snapToGrid w:val="0"/>
          <w:color w:val="000000" w:themeColor="text1"/>
          <w:sz w:val="20"/>
        </w:rPr>
        <w:footnoteReference w:id="1824"/>
      </w:r>
      <w:r w:rsidRPr="00B46543">
        <w:rPr>
          <w:bCs/>
          <w:snapToGrid w:val="0"/>
          <w:color w:val="000000" w:themeColor="text1"/>
          <w:sz w:val="20"/>
        </w:rPr>
        <w:t>[  ]</w:t>
      </w:r>
    </w:p>
    <w:p w:rsidR="007A62CD" w:rsidRPr="00235933" w:rsidRDefault="007A62CD" w:rsidP="00AA4BF8">
      <w:pPr>
        <w:widowControl w:val="0"/>
        <w:jc w:val="both"/>
        <w:rPr>
          <w:b/>
          <w:bCs/>
          <w:snapToGrid w:val="0"/>
          <w:color w:val="00B0F0"/>
          <w:sz w:val="20"/>
        </w:rPr>
      </w:pPr>
    </w:p>
    <w:p w:rsidR="00AA4BF8" w:rsidRPr="00412620" w:rsidRDefault="00AA4BF8" w:rsidP="00AA4BF8">
      <w:pPr>
        <w:widowControl w:val="0"/>
        <w:jc w:val="both"/>
        <w:rPr>
          <w:snapToGrid w:val="0"/>
          <w:sz w:val="20"/>
        </w:rPr>
      </w:pPr>
      <w:r w:rsidRPr="00412620">
        <w:rPr>
          <w:b/>
          <w:bCs/>
          <w:snapToGrid w:val="0"/>
          <w:sz w:val="20"/>
        </w:rPr>
        <w:t>(61)</w:t>
      </w:r>
      <w:r w:rsidRPr="00412620">
        <w:rPr>
          <w:snapToGrid w:val="0"/>
          <w:sz w:val="20"/>
        </w:rPr>
        <w:tab/>
      </w:r>
      <w:r w:rsidRPr="00412620">
        <w:rPr>
          <w:rStyle w:val="FootnoteReference"/>
          <w:rFonts w:cs="Arial"/>
          <w:snapToGrid w:val="0"/>
          <w:sz w:val="20"/>
        </w:rPr>
        <w:footnoteReference w:id="1825"/>
      </w:r>
      <w:r w:rsidRPr="00412620">
        <w:rPr>
          <w:snapToGrid w:val="0"/>
          <w:sz w:val="20"/>
        </w:rPr>
        <w:t>[Any] amount paid as donation to the following institution, foundations, societies, boards, trusts and funds, namely:</w:t>
      </w:r>
      <w:r w:rsidRPr="00412620">
        <w:rPr>
          <w:sz w:val="20"/>
        </w:rPr>
        <w:t xml:space="preserve"> —</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47"/>
        <w:jc w:val="both"/>
        <w:rPr>
          <w:snapToGrid w:val="0"/>
          <w:sz w:val="20"/>
        </w:rPr>
      </w:pPr>
      <w:r w:rsidRPr="00412620">
        <w:rPr>
          <w:snapToGrid w:val="0"/>
          <w:sz w:val="20"/>
        </w:rPr>
        <w:t xml:space="preserve"> (i)</w:t>
      </w:r>
      <w:r w:rsidRPr="00412620">
        <w:rPr>
          <w:snapToGrid w:val="0"/>
          <w:sz w:val="20"/>
        </w:rPr>
        <w:tab/>
        <w:t>any Sports Board or institution recognised by the Federal Government for the purposes of promoting, controlling or regulating any sport or game;</w:t>
      </w:r>
    </w:p>
    <w:p w:rsidR="00AA4BF8" w:rsidRPr="006A17BC" w:rsidRDefault="00AA4BF8" w:rsidP="00AA4BF8">
      <w:pPr>
        <w:widowControl w:val="0"/>
        <w:ind w:left="1094" w:firstLine="436"/>
        <w:jc w:val="both"/>
        <w:rPr>
          <w:snapToGrid w:val="0"/>
          <w:sz w:val="12"/>
        </w:rPr>
      </w:pPr>
    </w:p>
    <w:p w:rsidR="00AA4BF8" w:rsidRPr="00412620" w:rsidRDefault="00AA4BF8" w:rsidP="00AA4BF8">
      <w:pPr>
        <w:widowControl w:val="0"/>
        <w:ind w:left="1094" w:firstLine="436"/>
        <w:jc w:val="both"/>
        <w:rPr>
          <w:snapToGrid w:val="0"/>
          <w:sz w:val="20"/>
        </w:rPr>
      </w:pPr>
      <w:r w:rsidRPr="00412620">
        <w:rPr>
          <w:rStyle w:val="FootnoteReference"/>
          <w:rFonts w:cs="Arial"/>
          <w:snapToGrid w:val="0"/>
          <w:sz w:val="20"/>
        </w:rPr>
        <w:footnoteReference w:id="1826"/>
      </w:r>
      <w:r w:rsidRPr="00412620">
        <w:rPr>
          <w:snapToGrid w:val="0"/>
          <w:sz w:val="20"/>
        </w:rPr>
        <w:t xml:space="preserve">[(ia) </w:t>
      </w:r>
      <w:r w:rsidRPr="00412620">
        <w:rPr>
          <w:snapToGrid w:val="0"/>
          <w:sz w:val="20"/>
        </w:rPr>
        <w:tab/>
        <w:t>The Citizens Foundation;]</w:t>
      </w:r>
    </w:p>
    <w:p w:rsidR="00AA4BF8" w:rsidRPr="006A17BC" w:rsidRDefault="00AA4BF8" w:rsidP="00AA4BF8">
      <w:pPr>
        <w:widowControl w:val="0"/>
        <w:ind w:left="1094" w:firstLine="436"/>
        <w:jc w:val="both"/>
        <w:rPr>
          <w:snapToGrid w:val="0"/>
          <w:sz w:val="12"/>
          <w:szCs w:val="12"/>
        </w:rPr>
      </w:pPr>
    </w:p>
    <w:p w:rsidR="00AA4BF8" w:rsidRPr="00412620" w:rsidRDefault="00AA4BF8" w:rsidP="00AA4BF8">
      <w:pPr>
        <w:widowControl w:val="0"/>
        <w:ind w:left="1094" w:firstLine="436"/>
        <w:jc w:val="both"/>
        <w:rPr>
          <w:snapToGrid w:val="0"/>
          <w:sz w:val="20"/>
        </w:rPr>
      </w:pPr>
      <w:r w:rsidRPr="00412620">
        <w:rPr>
          <w:rStyle w:val="FootnoteReference"/>
          <w:rFonts w:cs="Arial"/>
          <w:snapToGrid w:val="0"/>
          <w:sz w:val="20"/>
        </w:rPr>
        <w:footnoteReference w:id="1827"/>
      </w:r>
      <w:r w:rsidRPr="00412620">
        <w:rPr>
          <w:snapToGrid w:val="0"/>
          <w:sz w:val="20"/>
        </w:rPr>
        <w:t>[  ]</w:t>
      </w:r>
    </w:p>
    <w:p w:rsidR="00AA4BF8" w:rsidRPr="006A17BC" w:rsidRDefault="00AA4BF8" w:rsidP="00AA4BF8">
      <w:pPr>
        <w:widowControl w:val="0"/>
        <w:jc w:val="both"/>
        <w:rPr>
          <w:snapToGrid w:val="0"/>
          <w:sz w:val="12"/>
          <w:szCs w:val="12"/>
        </w:rPr>
      </w:pPr>
    </w:p>
    <w:p w:rsidR="00AA4BF8" w:rsidRPr="00412620" w:rsidRDefault="00AA4BF8" w:rsidP="00AA4BF8">
      <w:pPr>
        <w:widowControl w:val="0"/>
        <w:ind w:left="2188" w:hanging="547"/>
        <w:jc w:val="both"/>
        <w:rPr>
          <w:snapToGrid w:val="0"/>
          <w:sz w:val="20"/>
        </w:rPr>
      </w:pPr>
      <w:r w:rsidRPr="00412620">
        <w:rPr>
          <w:snapToGrid w:val="0"/>
          <w:sz w:val="20"/>
        </w:rPr>
        <w:t>(iii)</w:t>
      </w:r>
      <w:r w:rsidRPr="00412620">
        <w:rPr>
          <w:snapToGrid w:val="0"/>
          <w:sz w:val="20"/>
        </w:rPr>
        <w:tab/>
        <w:t>Fund for Promotion of Science and Technology in Pakistan;</w:t>
      </w:r>
    </w:p>
    <w:p w:rsidR="00AA4BF8" w:rsidRPr="006A17BC" w:rsidRDefault="00AA4BF8" w:rsidP="00AA4BF8">
      <w:pPr>
        <w:widowControl w:val="0"/>
        <w:jc w:val="both"/>
        <w:rPr>
          <w:snapToGrid w:val="0"/>
          <w:sz w:val="12"/>
          <w:szCs w:val="12"/>
        </w:rPr>
      </w:pPr>
    </w:p>
    <w:p w:rsidR="00AA4BF8" w:rsidRPr="00412620" w:rsidRDefault="00AA4BF8" w:rsidP="00AA4BF8">
      <w:pPr>
        <w:widowControl w:val="0"/>
        <w:ind w:left="1094" w:firstLine="547"/>
        <w:jc w:val="both"/>
        <w:rPr>
          <w:snapToGrid w:val="0"/>
          <w:sz w:val="20"/>
        </w:rPr>
      </w:pPr>
      <w:r w:rsidRPr="00412620">
        <w:rPr>
          <w:snapToGrid w:val="0"/>
          <w:sz w:val="20"/>
        </w:rPr>
        <w:t>(iv)</w:t>
      </w:r>
      <w:r w:rsidRPr="00412620">
        <w:rPr>
          <w:snapToGrid w:val="0"/>
          <w:sz w:val="20"/>
        </w:rPr>
        <w:tab/>
        <w:t>Fund for Retarded and Handicapped Children;</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094" w:firstLine="547"/>
        <w:jc w:val="both"/>
        <w:rPr>
          <w:snapToGrid w:val="0"/>
          <w:sz w:val="20"/>
        </w:rPr>
      </w:pPr>
      <w:r w:rsidRPr="00412620">
        <w:rPr>
          <w:snapToGrid w:val="0"/>
          <w:sz w:val="20"/>
        </w:rPr>
        <w:t>(v)</w:t>
      </w:r>
      <w:r w:rsidRPr="00412620">
        <w:rPr>
          <w:snapToGrid w:val="0"/>
          <w:sz w:val="20"/>
        </w:rPr>
        <w:tab/>
        <w:t>National Trust Fund for the Disabled;</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094" w:firstLine="436"/>
        <w:jc w:val="both"/>
        <w:rPr>
          <w:snapToGrid w:val="0"/>
          <w:sz w:val="20"/>
        </w:rPr>
      </w:pPr>
      <w:r w:rsidRPr="00412620">
        <w:rPr>
          <w:rStyle w:val="FootnoteReference"/>
          <w:rFonts w:cs="Arial"/>
          <w:snapToGrid w:val="0"/>
          <w:sz w:val="20"/>
        </w:rPr>
        <w:footnoteReference w:id="1828"/>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094" w:firstLine="547"/>
        <w:jc w:val="both"/>
        <w:rPr>
          <w:snapToGrid w:val="0"/>
          <w:sz w:val="20"/>
        </w:rPr>
      </w:pPr>
      <w:r w:rsidRPr="00412620">
        <w:rPr>
          <w:snapToGrid w:val="0"/>
          <w:sz w:val="20"/>
        </w:rPr>
        <w:t>(vii)</w:t>
      </w:r>
      <w:r w:rsidRPr="00412620">
        <w:rPr>
          <w:snapToGrid w:val="0"/>
          <w:sz w:val="20"/>
        </w:rPr>
        <w:tab/>
        <w:t>Fund for Development of Mazaar of Hazarat</w:t>
      </w:r>
      <w:r w:rsidR="004D1AB2">
        <w:rPr>
          <w:snapToGrid w:val="0"/>
          <w:sz w:val="20"/>
        </w:rPr>
        <w:t xml:space="preserve"> </w:t>
      </w:r>
      <w:r w:rsidRPr="00412620">
        <w:rPr>
          <w:snapToGrid w:val="0"/>
          <w:sz w:val="20"/>
        </w:rPr>
        <w:t>Burri Imam;</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2188" w:hanging="547"/>
        <w:jc w:val="both"/>
        <w:rPr>
          <w:snapToGrid w:val="0"/>
          <w:sz w:val="20"/>
        </w:rPr>
      </w:pPr>
      <w:r w:rsidRPr="00412620">
        <w:rPr>
          <w:snapToGrid w:val="0"/>
          <w:sz w:val="20"/>
        </w:rPr>
        <w:t>(viii)</w:t>
      </w:r>
      <w:r w:rsidRPr="00412620">
        <w:rPr>
          <w:snapToGrid w:val="0"/>
          <w:sz w:val="20"/>
        </w:rPr>
        <w:tab/>
        <w:t>Rabita-e-Islami's Project for printing copies of the Holy Quran;</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094" w:firstLine="547"/>
        <w:jc w:val="both"/>
        <w:rPr>
          <w:snapToGrid w:val="0"/>
          <w:sz w:val="20"/>
        </w:rPr>
      </w:pPr>
      <w:r w:rsidRPr="00412620">
        <w:rPr>
          <w:snapToGrid w:val="0"/>
          <w:sz w:val="20"/>
        </w:rPr>
        <w:lastRenderedPageBreak/>
        <w:t>(ix)</w:t>
      </w:r>
      <w:r w:rsidRPr="00412620">
        <w:rPr>
          <w:snapToGrid w:val="0"/>
          <w:sz w:val="20"/>
        </w:rPr>
        <w:tab/>
        <w:t>Fatimid Foundation, Karachi;</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094" w:firstLine="547"/>
        <w:jc w:val="both"/>
        <w:rPr>
          <w:snapToGrid w:val="0"/>
          <w:sz w:val="20"/>
        </w:rPr>
      </w:pPr>
      <w:r w:rsidRPr="00412620">
        <w:rPr>
          <w:snapToGrid w:val="0"/>
          <w:sz w:val="20"/>
        </w:rPr>
        <w:t>(x)</w:t>
      </w:r>
      <w:r w:rsidRPr="00412620">
        <w:rPr>
          <w:snapToGrid w:val="0"/>
          <w:sz w:val="20"/>
        </w:rPr>
        <w:tab/>
        <w:t>Al-Shifa Trust;</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snapToGrid w:val="0"/>
          <w:sz w:val="20"/>
        </w:rPr>
        <w:tab/>
      </w:r>
      <w:r w:rsidRPr="00412620">
        <w:rPr>
          <w:rStyle w:val="FootnoteReference"/>
          <w:rFonts w:cs="Arial"/>
          <w:snapToGrid w:val="0"/>
          <w:sz w:val="20"/>
        </w:rPr>
        <w:footnoteReference w:id="1829"/>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658"/>
        <w:jc w:val="both"/>
        <w:rPr>
          <w:snapToGrid w:val="0"/>
          <w:sz w:val="20"/>
        </w:rPr>
      </w:pPr>
      <w:r w:rsidRPr="00412620">
        <w:rPr>
          <w:snapToGrid w:val="0"/>
          <w:sz w:val="20"/>
        </w:rPr>
        <w:t xml:space="preserve"> (xii)</w:t>
      </w:r>
      <w:r w:rsidRPr="00412620">
        <w:rPr>
          <w:snapToGrid w:val="0"/>
          <w:sz w:val="20"/>
        </w:rPr>
        <w:tab/>
        <w:t>Society for the Promotion of Engineering Sciences and Technology in Pakistan;</w:t>
      </w:r>
    </w:p>
    <w:p w:rsidR="00AA4BF8" w:rsidRPr="00412620" w:rsidRDefault="00AA4BF8" w:rsidP="00AA4BF8">
      <w:pPr>
        <w:widowControl w:val="0"/>
        <w:ind w:left="1641"/>
        <w:jc w:val="both"/>
        <w:rPr>
          <w:snapToGrid w:val="0"/>
          <w:sz w:val="20"/>
        </w:rPr>
      </w:pPr>
    </w:p>
    <w:p w:rsidR="00AA4BF8" w:rsidRPr="00412620" w:rsidRDefault="00AA4BF8" w:rsidP="00AA4BF8">
      <w:pPr>
        <w:widowControl w:val="0"/>
        <w:ind w:left="1094" w:firstLine="547"/>
        <w:jc w:val="both"/>
        <w:rPr>
          <w:snapToGrid w:val="0"/>
          <w:sz w:val="20"/>
        </w:rPr>
      </w:pPr>
      <w:r w:rsidRPr="00412620">
        <w:rPr>
          <w:rStyle w:val="FootnoteReference"/>
          <w:rFonts w:cs="Arial"/>
          <w:snapToGrid w:val="0"/>
          <w:sz w:val="20"/>
        </w:rPr>
        <w:footnoteReference w:id="1830"/>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094" w:firstLine="547"/>
        <w:jc w:val="both"/>
        <w:rPr>
          <w:snapToGrid w:val="0"/>
          <w:sz w:val="20"/>
        </w:rPr>
      </w:pPr>
      <w:r w:rsidRPr="00412620">
        <w:rPr>
          <w:rStyle w:val="FootnoteReference"/>
          <w:rFonts w:cs="Arial"/>
          <w:snapToGrid w:val="0"/>
          <w:sz w:val="20"/>
        </w:rPr>
        <w:footnoteReference w:id="1831"/>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094" w:firstLine="547"/>
        <w:jc w:val="both"/>
        <w:rPr>
          <w:snapToGrid w:val="0"/>
          <w:sz w:val="20"/>
        </w:rPr>
      </w:pPr>
      <w:r w:rsidRPr="00412620">
        <w:rPr>
          <w:rStyle w:val="FootnoteReference"/>
          <w:rFonts w:cs="Arial"/>
          <w:snapToGrid w:val="0"/>
          <w:sz w:val="20"/>
        </w:rPr>
        <w:footnoteReference w:id="1832"/>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094" w:firstLine="547"/>
        <w:jc w:val="both"/>
        <w:rPr>
          <w:snapToGrid w:val="0"/>
          <w:sz w:val="20"/>
        </w:rPr>
      </w:pPr>
      <w:r w:rsidRPr="00412620">
        <w:rPr>
          <w:rStyle w:val="FootnoteReference"/>
          <w:rFonts w:cs="Arial"/>
          <w:snapToGrid w:val="0"/>
          <w:sz w:val="20"/>
        </w:rPr>
        <w:footnoteReference w:id="1833"/>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094" w:firstLine="547"/>
        <w:jc w:val="both"/>
        <w:rPr>
          <w:snapToGrid w:val="0"/>
          <w:sz w:val="20"/>
        </w:rPr>
      </w:pPr>
      <w:r w:rsidRPr="00412620">
        <w:rPr>
          <w:rStyle w:val="FootnoteReference"/>
          <w:rFonts w:cs="Arial"/>
          <w:snapToGrid w:val="0"/>
          <w:sz w:val="20"/>
        </w:rPr>
        <w:footnoteReference w:id="1834"/>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ind w:left="1192" w:firstLine="449"/>
        <w:jc w:val="both"/>
        <w:rPr>
          <w:snapToGrid w:val="0"/>
          <w:sz w:val="20"/>
        </w:rPr>
      </w:pPr>
      <w:r w:rsidRPr="00412620">
        <w:rPr>
          <w:rStyle w:val="FootnoteReference"/>
          <w:rFonts w:cs="Arial"/>
          <w:snapToGrid w:val="0"/>
          <w:sz w:val="20"/>
        </w:rPr>
        <w:footnoteReference w:id="1835"/>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192" w:firstLine="449"/>
        <w:jc w:val="both"/>
        <w:rPr>
          <w:snapToGrid w:val="0"/>
          <w:sz w:val="20"/>
        </w:rPr>
      </w:pPr>
      <w:r w:rsidRPr="00412620">
        <w:rPr>
          <w:rStyle w:val="FootnoteReference"/>
          <w:rFonts w:cs="Arial"/>
          <w:snapToGrid w:val="0"/>
          <w:sz w:val="20"/>
        </w:rPr>
        <w:footnoteReference w:id="1836"/>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ind w:left="1192" w:firstLine="449"/>
        <w:jc w:val="both"/>
        <w:rPr>
          <w:snapToGrid w:val="0"/>
          <w:sz w:val="20"/>
        </w:rPr>
      </w:pPr>
      <w:r w:rsidRPr="00412620">
        <w:rPr>
          <w:rStyle w:val="FootnoteReference"/>
          <w:rFonts w:cs="Arial"/>
          <w:snapToGrid w:val="0"/>
          <w:sz w:val="20"/>
        </w:rPr>
        <w:footnoteReference w:id="1837"/>
      </w:r>
      <w:r w:rsidRPr="00412620">
        <w:rPr>
          <w:snapToGrid w:val="0"/>
          <w:sz w:val="20"/>
        </w:rPr>
        <w:t>[  ]</w:t>
      </w:r>
    </w:p>
    <w:p w:rsidR="00AA4BF8" w:rsidRPr="00412620" w:rsidRDefault="00AA4BF8" w:rsidP="00AA4BF8">
      <w:pPr>
        <w:widowControl w:val="0"/>
        <w:jc w:val="both"/>
        <w:rPr>
          <w:snapToGrid w:val="0"/>
          <w:sz w:val="18"/>
          <w:szCs w:val="18"/>
        </w:rPr>
      </w:pPr>
    </w:p>
    <w:p w:rsidR="00AA4BF8" w:rsidRDefault="00AA4BF8" w:rsidP="00AA4BF8">
      <w:pPr>
        <w:widowControl w:val="0"/>
        <w:jc w:val="both"/>
        <w:rPr>
          <w:snapToGrid w:val="0"/>
          <w:sz w:val="18"/>
          <w:szCs w:val="18"/>
        </w:rPr>
      </w:pPr>
      <w:r w:rsidRPr="00412620">
        <w:rPr>
          <w:snapToGrid w:val="0"/>
          <w:sz w:val="18"/>
          <w:szCs w:val="18"/>
        </w:rPr>
        <w:tab/>
      </w:r>
      <w:r w:rsidRPr="00412620">
        <w:rPr>
          <w:snapToGrid w:val="0"/>
          <w:sz w:val="18"/>
          <w:szCs w:val="18"/>
        </w:rPr>
        <w:tab/>
      </w:r>
      <w:r w:rsidRPr="00412620">
        <w:rPr>
          <w:snapToGrid w:val="0"/>
          <w:sz w:val="18"/>
          <w:szCs w:val="18"/>
        </w:rPr>
        <w:tab/>
      </w:r>
      <w:r w:rsidRPr="00412620">
        <w:rPr>
          <w:rStyle w:val="FootnoteReference"/>
          <w:rFonts w:cs="Arial"/>
          <w:snapToGrid w:val="0"/>
          <w:sz w:val="18"/>
          <w:szCs w:val="18"/>
        </w:rPr>
        <w:footnoteReference w:id="1838"/>
      </w:r>
      <w:r w:rsidRPr="00412620">
        <w:rPr>
          <w:snapToGrid w:val="0"/>
          <w:sz w:val="18"/>
          <w:szCs w:val="18"/>
        </w:rPr>
        <w:t>[   ]</w:t>
      </w:r>
    </w:p>
    <w:p w:rsidR="00C8735E" w:rsidRPr="00412620" w:rsidRDefault="00C8735E" w:rsidP="00AA4BF8">
      <w:pPr>
        <w:widowControl w:val="0"/>
        <w:jc w:val="both"/>
        <w:rPr>
          <w:snapToGrid w:val="0"/>
          <w:sz w:val="18"/>
          <w:szCs w:val="18"/>
        </w:rPr>
      </w:pPr>
    </w:p>
    <w:p w:rsidR="00AA4BF8" w:rsidRPr="00412620" w:rsidRDefault="00AA4BF8" w:rsidP="00AA4BF8">
      <w:pPr>
        <w:widowControl w:val="0"/>
        <w:jc w:val="both"/>
        <w:rPr>
          <w:snapToGrid w:val="0"/>
          <w:sz w:val="18"/>
          <w:szCs w:val="18"/>
        </w:rPr>
      </w:pPr>
      <w:r w:rsidRPr="00412620">
        <w:rPr>
          <w:snapToGrid w:val="0"/>
          <w:sz w:val="18"/>
          <w:szCs w:val="18"/>
        </w:rPr>
        <w:tab/>
      </w:r>
      <w:r w:rsidRPr="00412620">
        <w:rPr>
          <w:snapToGrid w:val="0"/>
          <w:sz w:val="18"/>
          <w:szCs w:val="18"/>
        </w:rPr>
        <w:tab/>
      </w:r>
      <w:r w:rsidRPr="00412620">
        <w:rPr>
          <w:snapToGrid w:val="0"/>
          <w:sz w:val="18"/>
          <w:szCs w:val="18"/>
        </w:rPr>
        <w:tab/>
      </w:r>
      <w:r w:rsidRPr="00412620">
        <w:rPr>
          <w:rStyle w:val="FootnoteReference"/>
          <w:rFonts w:cs="Arial"/>
          <w:snapToGrid w:val="0"/>
          <w:sz w:val="18"/>
          <w:szCs w:val="18"/>
        </w:rPr>
        <w:footnoteReference w:id="1839"/>
      </w:r>
      <w:r w:rsidRPr="00412620">
        <w:rPr>
          <w:snapToGrid w:val="0"/>
          <w:sz w:val="18"/>
          <w:szCs w:val="18"/>
        </w:rPr>
        <w:t>[   ]</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47"/>
        <w:jc w:val="both"/>
        <w:rPr>
          <w:snapToGrid w:val="0"/>
          <w:sz w:val="20"/>
        </w:rPr>
      </w:pPr>
      <w:r w:rsidRPr="00412620">
        <w:rPr>
          <w:snapToGrid w:val="0"/>
          <w:sz w:val="20"/>
        </w:rPr>
        <w:t>(xxiii)</w:t>
      </w:r>
      <w:r w:rsidRPr="00412620">
        <w:rPr>
          <w:snapToGrid w:val="0"/>
          <w:sz w:val="20"/>
        </w:rPr>
        <w:tab/>
        <w:t>Citizens-Police Liaison Committee, Central Reporting Cell, Sindh Governor House, Karachi;</w:t>
      </w:r>
    </w:p>
    <w:p w:rsidR="00AA4BF8" w:rsidRPr="00412620" w:rsidRDefault="00AA4BF8" w:rsidP="00AA4BF8">
      <w:pPr>
        <w:widowControl w:val="0"/>
        <w:jc w:val="both"/>
        <w:rPr>
          <w:snapToGrid w:val="0"/>
          <w:sz w:val="20"/>
        </w:rPr>
      </w:pPr>
    </w:p>
    <w:p w:rsidR="00AA4BF8" w:rsidRDefault="00AA4BF8" w:rsidP="00AA4BF8">
      <w:pPr>
        <w:widowControl w:val="0"/>
        <w:ind w:left="1192" w:firstLine="449"/>
        <w:jc w:val="both"/>
        <w:rPr>
          <w:snapToGrid w:val="0"/>
          <w:sz w:val="20"/>
        </w:rPr>
      </w:pPr>
      <w:r w:rsidRPr="00412620">
        <w:rPr>
          <w:snapToGrid w:val="0"/>
          <w:sz w:val="20"/>
        </w:rPr>
        <w:t>(xxiv)</w:t>
      </w:r>
      <w:r w:rsidRPr="00412620">
        <w:rPr>
          <w:snapToGrid w:val="0"/>
          <w:sz w:val="20"/>
        </w:rPr>
        <w:tab/>
        <w:t>ICIC Foundation;</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snapToGrid w:val="0"/>
          <w:sz w:val="20"/>
        </w:rPr>
        <w:tab/>
      </w:r>
      <w:r w:rsidRPr="00412620">
        <w:rPr>
          <w:rStyle w:val="FootnoteReference"/>
          <w:rFonts w:cs="Arial"/>
          <w:snapToGrid w:val="0"/>
          <w:sz w:val="20"/>
        </w:rPr>
        <w:footnoteReference w:id="1840"/>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ind w:left="1192" w:firstLine="449"/>
        <w:jc w:val="both"/>
        <w:rPr>
          <w:snapToGrid w:val="0"/>
          <w:sz w:val="20"/>
        </w:rPr>
      </w:pPr>
      <w:r w:rsidRPr="00412620">
        <w:rPr>
          <w:snapToGrid w:val="0"/>
          <w:sz w:val="20"/>
        </w:rPr>
        <w:t>(xxvi)</w:t>
      </w:r>
      <w:r w:rsidRPr="00412620">
        <w:rPr>
          <w:snapToGrid w:val="0"/>
          <w:sz w:val="20"/>
        </w:rPr>
        <w:tab/>
        <w:t>National Management Foundation;</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47"/>
        <w:jc w:val="both"/>
        <w:rPr>
          <w:snapToGrid w:val="0"/>
          <w:sz w:val="20"/>
        </w:rPr>
      </w:pPr>
      <w:r w:rsidRPr="00412620">
        <w:rPr>
          <w:snapToGrid w:val="0"/>
          <w:sz w:val="20"/>
        </w:rPr>
        <w:t>(xxvii)</w:t>
      </w:r>
      <w:r w:rsidRPr="00412620">
        <w:rPr>
          <w:snapToGrid w:val="0"/>
          <w:sz w:val="20"/>
        </w:rPr>
        <w:tab/>
        <w:t>Endowment Fund of the institutions of the Agha Khan Development Network (Pakistan listed in Schedule 1 of the Accord and Protocol, dated November 13, 1994, executed between the Government of the Islamic Republic of Pakistan and Agha Khan Development Network;</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t xml:space="preserve">      (xxviii) Shaheed</w:t>
      </w:r>
      <w:r w:rsidR="00716C91">
        <w:rPr>
          <w:snapToGrid w:val="0"/>
          <w:sz w:val="20"/>
        </w:rPr>
        <w:t xml:space="preserve"> </w:t>
      </w:r>
      <w:r w:rsidRPr="00412620">
        <w:rPr>
          <w:snapToGrid w:val="0"/>
          <w:sz w:val="20"/>
        </w:rPr>
        <w:t>Zulfiqar Ali Bhutto Memorial Awards Society;</w:t>
      </w:r>
    </w:p>
    <w:p w:rsidR="00AA4BF8" w:rsidRPr="00412620" w:rsidRDefault="00AA4BF8" w:rsidP="00AA4BF8">
      <w:pPr>
        <w:widowControl w:val="0"/>
        <w:jc w:val="both"/>
        <w:rPr>
          <w:snapToGrid w:val="0"/>
          <w:sz w:val="20"/>
        </w:rPr>
      </w:pPr>
    </w:p>
    <w:p w:rsidR="00AA4BF8" w:rsidRPr="00412620" w:rsidRDefault="00AA4BF8" w:rsidP="00AA4BF8">
      <w:pPr>
        <w:widowControl w:val="0"/>
        <w:ind w:left="1192" w:firstLine="449"/>
        <w:jc w:val="both"/>
        <w:rPr>
          <w:snapToGrid w:val="0"/>
          <w:sz w:val="20"/>
        </w:rPr>
      </w:pPr>
      <w:r w:rsidRPr="00412620">
        <w:rPr>
          <w:snapToGrid w:val="0"/>
          <w:sz w:val="20"/>
        </w:rPr>
        <w:t>(xxix)</w:t>
      </w:r>
      <w:r w:rsidRPr="00412620">
        <w:rPr>
          <w:snapToGrid w:val="0"/>
          <w:sz w:val="20"/>
        </w:rPr>
        <w:tab/>
        <w:t>Iqbal Memorial Fund;</w:t>
      </w:r>
    </w:p>
    <w:p w:rsidR="00AA4BF8" w:rsidRPr="006A17BC" w:rsidRDefault="00AA4BF8" w:rsidP="00AA4BF8">
      <w:pPr>
        <w:widowControl w:val="0"/>
        <w:jc w:val="both"/>
        <w:rPr>
          <w:snapToGrid w:val="0"/>
          <w:sz w:val="12"/>
          <w:szCs w:val="12"/>
        </w:rPr>
      </w:pPr>
    </w:p>
    <w:p w:rsidR="00AA4BF8" w:rsidRPr="00412620" w:rsidRDefault="00AA4BF8" w:rsidP="00AA4BF8">
      <w:pPr>
        <w:widowControl w:val="0"/>
        <w:ind w:left="1192" w:firstLine="449"/>
        <w:jc w:val="both"/>
        <w:rPr>
          <w:snapToGrid w:val="0"/>
          <w:sz w:val="20"/>
        </w:rPr>
      </w:pPr>
      <w:r w:rsidRPr="00412620">
        <w:rPr>
          <w:snapToGrid w:val="0"/>
          <w:sz w:val="20"/>
        </w:rPr>
        <w:t>(xxx)</w:t>
      </w:r>
      <w:r w:rsidRPr="00412620">
        <w:rPr>
          <w:snapToGrid w:val="0"/>
          <w:sz w:val="20"/>
        </w:rPr>
        <w:tab/>
        <w:t xml:space="preserve">Cancer Research Foundation of Pakistan, Lahore; </w:t>
      </w:r>
    </w:p>
    <w:p w:rsidR="00AA4BF8" w:rsidRPr="006A17BC" w:rsidRDefault="00AA4BF8" w:rsidP="00AA4BF8">
      <w:pPr>
        <w:widowControl w:val="0"/>
        <w:jc w:val="both"/>
        <w:rPr>
          <w:snapToGrid w:val="0"/>
          <w:sz w:val="12"/>
          <w:szCs w:val="12"/>
        </w:rPr>
      </w:pPr>
    </w:p>
    <w:p w:rsidR="00AA4BF8" w:rsidRPr="00412620" w:rsidRDefault="00AA4BF8" w:rsidP="00AA4BF8">
      <w:pPr>
        <w:widowControl w:val="0"/>
        <w:ind w:left="1192" w:firstLine="449"/>
        <w:jc w:val="both"/>
        <w:rPr>
          <w:snapToGrid w:val="0"/>
          <w:sz w:val="20"/>
        </w:rPr>
      </w:pPr>
      <w:r w:rsidRPr="00412620">
        <w:rPr>
          <w:snapToGrid w:val="0"/>
          <w:sz w:val="20"/>
        </w:rPr>
        <w:t>(xxxi)</w:t>
      </w:r>
      <w:r w:rsidRPr="00412620">
        <w:rPr>
          <w:snapToGrid w:val="0"/>
          <w:sz w:val="20"/>
        </w:rPr>
        <w:tab/>
        <w:t>Shaukat</w:t>
      </w:r>
      <w:r w:rsidR="004D1AB2">
        <w:rPr>
          <w:snapToGrid w:val="0"/>
          <w:sz w:val="20"/>
        </w:rPr>
        <w:t xml:space="preserve"> </w:t>
      </w:r>
      <w:r w:rsidRPr="00412620">
        <w:rPr>
          <w:snapToGrid w:val="0"/>
          <w:sz w:val="20"/>
        </w:rPr>
        <w:t xml:space="preserve">Khanum Memorial Trust, Lahore; </w:t>
      </w:r>
    </w:p>
    <w:p w:rsidR="00AA4BF8" w:rsidRPr="00412620" w:rsidRDefault="00AA4BF8" w:rsidP="00AA4BF8">
      <w:pPr>
        <w:widowControl w:val="0"/>
        <w:jc w:val="both"/>
        <w:rPr>
          <w:snapToGrid w:val="0"/>
          <w:sz w:val="20"/>
        </w:rPr>
      </w:pPr>
    </w:p>
    <w:p w:rsidR="00AA4BF8" w:rsidRPr="00412620" w:rsidRDefault="00AA4BF8" w:rsidP="00AA4BF8">
      <w:pPr>
        <w:widowControl w:val="0"/>
        <w:ind w:left="1192" w:firstLine="449"/>
        <w:jc w:val="both"/>
        <w:rPr>
          <w:snapToGrid w:val="0"/>
          <w:sz w:val="20"/>
        </w:rPr>
      </w:pPr>
      <w:r w:rsidRPr="00412620">
        <w:rPr>
          <w:snapToGrid w:val="0"/>
          <w:sz w:val="20"/>
        </w:rPr>
        <w:t>(xxxii)</w:t>
      </w:r>
      <w:r w:rsidRPr="00412620">
        <w:rPr>
          <w:snapToGrid w:val="0"/>
          <w:sz w:val="20"/>
        </w:rPr>
        <w:tab/>
        <w:t>Christian Memorial Hospital, Sialkot;</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84"/>
        <w:jc w:val="both"/>
        <w:rPr>
          <w:snapToGrid w:val="0"/>
          <w:sz w:val="20"/>
        </w:rPr>
      </w:pPr>
      <w:r w:rsidRPr="00412620">
        <w:rPr>
          <w:snapToGrid w:val="0"/>
          <w:sz w:val="20"/>
        </w:rPr>
        <w:t>(xxxiii)</w:t>
      </w:r>
      <w:r w:rsidRPr="00412620">
        <w:rPr>
          <w:snapToGrid w:val="0"/>
          <w:sz w:val="20"/>
        </w:rPr>
        <w:tab/>
        <w:t>National Museums, National Libraries and Monuments or institutions declared to be National Heritage by the Federal Government;</w:t>
      </w:r>
    </w:p>
    <w:p w:rsidR="00AA4BF8" w:rsidRPr="00412620" w:rsidRDefault="00AA4BF8" w:rsidP="00AA4BF8">
      <w:pPr>
        <w:widowControl w:val="0"/>
        <w:jc w:val="both"/>
        <w:rPr>
          <w:snapToGrid w:val="0"/>
          <w:sz w:val="20"/>
        </w:rPr>
      </w:pPr>
    </w:p>
    <w:p w:rsidR="00AA4BF8" w:rsidRPr="00412620" w:rsidRDefault="00AA4BF8" w:rsidP="00AA4BF8">
      <w:pPr>
        <w:widowControl w:val="0"/>
        <w:ind w:left="1192" w:firstLine="377"/>
        <w:jc w:val="both"/>
        <w:rPr>
          <w:snapToGrid w:val="0"/>
          <w:sz w:val="20"/>
        </w:rPr>
      </w:pPr>
      <w:r w:rsidRPr="00412620">
        <w:rPr>
          <w:snapToGrid w:val="0"/>
          <w:sz w:val="20"/>
        </w:rPr>
        <w:t>(xxxiv)</w:t>
      </w:r>
      <w:r w:rsidRPr="00412620">
        <w:rPr>
          <w:snapToGrid w:val="0"/>
          <w:sz w:val="20"/>
        </w:rPr>
        <w:tab/>
        <w:t>Mumtaz</w:t>
      </w:r>
      <w:r w:rsidR="004D1AB2">
        <w:rPr>
          <w:snapToGrid w:val="0"/>
          <w:sz w:val="20"/>
        </w:rPr>
        <w:t xml:space="preserve"> </w:t>
      </w:r>
      <w:r w:rsidRPr="00412620">
        <w:rPr>
          <w:snapToGrid w:val="0"/>
          <w:sz w:val="20"/>
        </w:rPr>
        <w:t>Bakhtawar Memorial Trust Hospital, Lahore;</w:t>
      </w:r>
    </w:p>
    <w:p w:rsidR="00AA4BF8" w:rsidRPr="00412620" w:rsidRDefault="00AA4BF8" w:rsidP="00AA4BF8">
      <w:pPr>
        <w:widowControl w:val="0"/>
        <w:jc w:val="both"/>
        <w:rPr>
          <w:snapToGrid w:val="0"/>
          <w:sz w:val="20"/>
        </w:rPr>
      </w:pPr>
    </w:p>
    <w:p w:rsidR="00AA4BF8" w:rsidRPr="00412620" w:rsidRDefault="00AA4BF8" w:rsidP="00AA4BF8">
      <w:pPr>
        <w:widowControl w:val="0"/>
        <w:ind w:left="2184" w:hanging="615"/>
        <w:jc w:val="both"/>
        <w:rPr>
          <w:snapToGrid w:val="0"/>
          <w:sz w:val="20"/>
        </w:rPr>
      </w:pPr>
      <w:r w:rsidRPr="00412620">
        <w:rPr>
          <w:snapToGrid w:val="0"/>
          <w:sz w:val="20"/>
        </w:rPr>
        <w:t>(xxxv)</w:t>
      </w:r>
      <w:r w:rsidRPr="00412620">
        <w:rPr>
          <w:snapToGrid w:val="0"/>
          <w:sz w:val="20"/>
        </w:rPr>
        <w:tab/>
        <w:t>Kashmir Fund for Rehabilitation of Kashmir Refugees and Freedom Fighters;</w:t>
      </w:r>
    </w:p>
    <w:p w:rsidR="00AA4BF8" w:rsidRPr="00412620" w:rsidRDefault="00AA4BF8" w:rsidP="00AA4BF8">
      <w:pPr>
        <w:widowControl w:val="0"/>
        <w:jc w:val="both"/>
        <w:rPr>
          <w:snapToGrid w:val="0"/>
          <w:sz w:val="20"/>
        </w:rPr>
      </w:pPr>
    </w:p>
    <w:p w:rsidR="00AA4BF8" w:rsidRPr="00412620" w:rsidRDefault="00AA4BF8" w:rsidP="00AA4BF8">
      <w:pPr>
        <w:widowControl w:val="0"/>
        <w:ind w:left="2184" w:hanging="615"/>
        <w:jc w:val="both"/>
        <w:rPr>
          <w:snapToGrid w:val="0"/>
          <w:sz w:val="20"/>
        </w:rPr>
      </w:pPr>
      <w:r w:rsidRPr="00412620">
        <w:rPr>
          <w:snapToGrid w:val="0"/>
          <w:sz w:val="20"/>
        </w:rPr>
        <w:t>(xxxvi)</w:t>
      </w:r>
      <w:r w:rsidRPr="00412620">
        <w:rPr>
          <w:snapToGrid w:val="0"/>
          <w:sz w:val="20"/>
        </w:rPr>
        <w:tab/>
        <w:t>Institutions of the Agha Khan Development Network (Pakistan) listed in Schedule 1 of the Accord and Protocol, dated November 13, 1994, executed between the Government of the Islamic Republic of Pakistan and Agha Khan Development Network;</w:t>
      </w:r>
    </w:p>
    <w:p w:rsidR="00AA4BF8" w:rsidRPr="001F5736" w:rsidRDefault="00AA4BF8" w:rsidP="00AA4BF8">
      <w:pPr>
        <w:widowControl w:val="0"/>
        <w:jc w:val="both"/>
        <w:rPr>
          <w:snapToGrid w:val="0"/>
          <w:sz w:val="8"/>
          <w:szCs w:val="18"/>
        </w:rPr>
      </w:pPr>
    </w:p>
    <w:p w:rsidR="00AA4BF8" w:rsidRPr="00412620" w:rsidRDefault="00AA4BF8" w:rsidP="00AA4BF8">
      <w:pPr>
        <w:widowControl w:val="0"/>
        <w:ind w:left="2184" w:hanging="685"/>
        <w:jc w:val="both"/>
        <w:rPr>
          <w:snapToGrid w:val="0"/>
          <w:sz w:val="20"/>
        </w:rPr>
      </w:pPr>
      <w:r w:rsidRPr="00412620">
        <w:rPr>
          <w:snapToGrid w:val="0"/>
          <w:sz w:val="20"/>
        </w:rPr>
        <w:t>(xxxvii)</w:t>
      </w:r>
      <w:r w:rsidRPr="00412620">
        <w:rPr>
          <w:snapToGrid w:val="0"/>
          <w:sz w:val="20"/>
        </w:rPr>
        <w:tab/>
        <w:t xml:space="preserve">Azad Kashmir President's Mujahid Fund, 1972 ; National </w:t>
      </w:r>
      <w:r w:rsidRPr="00412620">
        <w:rPr>
          <w:snapToGrid w:val="0"/>
          <w:sz w:val="20"/>
        </w:rPr>
        <w:lastRenderedPageBreak/>
        <w:t>Institute of Cardiovascular Diseases, (Pakistan) Karachi; Businessmen Hospital Trust, Lahore; Premier Trust Hospital, Mardan ; Faisal Shaheed Memorial Hospital Trust, Gujranwala; Khair-un-Nisa Hospital Foundation, Lahore; Sind and Balochistan Advocates' Benevolent Fund; Rashid Minhas Memorial Hospital Fund;</w:t>
      </w:r>
    </w:p>
    <w:p w:rsidR="00AA4BF8" w:rsidRPr="001F5736" w:rsidRDefault="00AA4BF8" w:rsidP="00AA4BF8">
      <w:pPr>
        <w:widowControl w:val="0"/>
        <w:jc w:val="both"/>
        <w:rPr>
          <w:snapToGrid w:val="0"/>
          <w:sz w:val="10"/>
          <w:szCs w:val="18"/>
        </w:rPr>
      </w:pPr>
    </w:p>
    <w:p w:rsidR="00AA4BF8" w:rsidRPr="00412620" w:rsidRDefault="00AA4BF8" w:rsidP="00AA4BF8">
      <w:pPr>
        <w:widowControl w:val="0"/>
        <w:ind w:left="2184" w:hanging="745"/>
        <w:jc w:val="both"/>
        <w:rPr>
          <w:snapToGrid w:val="0"/>
          <w:sz w:val="20"/>
        </w:rPr>
      </w:pPr>
      <w:r w:rsidRPr="00412620">
        <w:rPr>
          <w:snapToGrid w:val="0"/>
          <w:sz w:val="20"/>
        </w:rPr>
        <w:t>(xxxviii)</w:t>
      </w:r>
      <w:r w:rsidRPr="00412620">
        <w:rPr>
          <w:snapToGrid w:val="0"/>
          <w:sz w:val="20"/>
        </w:rPr>
        <w:tab/>
        <w:t xml:space="preserve">Any relief </w:t>
      </w:r>
      <w:r w:rsidRPr="00412620">
        <w:rPr>
          <w:rStyle w:val="FootnoteReference"/>
          <w:rFonts w:cs="Arial"/>
          <w:snapToGrid w:val="0"/>
          <w:sz w:val="20"/>
        </w:rPr>
        <w:footnoteReference w:id="1841"/>
      </w:r>
      <w:r w:rsidRPr="00412620">
        <w:rPr>
          <w:snapToGrid w:val="0"/>
          <w:sz w:val="20"/>
        </w:rPr>
        <w:t>[or] welfare fund established by the Federal Government;</w:t>
      </w:r>
    </w:p>
    <w:p w:rsidR="00AA4BF8" w:rsidRPr="001F5736" w:rsidRDefault="00AA4BF8" w:rsidP="00AA4BF8">
      <w:pPr>
        <w:widowControl w:val="0"/>
        <w:jc w:val="both"/>
        <w:rPr>
          <w:snapToGrid w:val="0"/>
          <w:sz w:val="8"/>
          <w:szCs w:val="18"/>
        </w:rPr>
      </w:pPr>
    </w:p>
    <w:p w:rsidR="00AA4BF8" w:rsidRPr="00412620" w:rsidRDefault="00AA4BF8" w:rsidP="00AA4BF8">
      <w:pPr>
        <w:widowControl w:val="0"/>
        <w:ind w:left="1192" w:firstLine="247"/>
        <w:jc w:val="both"/>
        <w:rPr>
          <w:snapToGrid w:val="0"/>
          <w:sz w:val="20"/>
        </w:rPr>
      </w:pPr>
      <w:r w:rsidRPr="00412620">
        <w:rPr>
          <w:snapToGrid w:val="0"/>
          <w:sz w:val="20"/>
        </w:rPr>
        <w:t xml:space="preserve"> (xxxix)</w:t>
      </w:r>
      <w:r w:rsidRPr="00412620">
        <w:rPr>
          <w:snapToGrid w:val="0"/>
          <w:sz w:val="20"/>
        </w:rPr>
        <w:tab/>
        <w:t xml:space="preserve">Mohatta Palace Gallery Trust; </w:t>
      </w:r>
      <w:r w:rsidRPr="00412620">
        <w:rPr>
          <w:rStyle w:val="FootnoteReference"/>
          <w:rFonts w:cs="Arial"/>
          <w:snapToGrid w:val="0"/>
          <w:sz w:val="20"/>
        </w:rPr>
        <w:footnoteReference w:id="1842"/>
      </w:r>
      <w:r w:rsidRPr="00412620">
        <w:rPr>
          <w:snapToGrid w:val="0"/>
          <w:sz w:val="20"/>
        </w:rPr>
        <w:t xml:space="preserve">[  ] </w:t>
      </w:r>
    </w:p>
    <w:p w:rsidR="00AA4BF8" w:rsidRPr="001F5736" w:rsidRDefault="00AA4BF8" w:rsidP="00AA4BF8">
      <w:pPr>
        <w:widowControl w:val="0"/>
        <w:jc w:val="both"/>
        <w:rPr>
          <w:snapToGrid w:val="0"/>
          <w:sz w:val="8"/>
          <w:szCs w:val="18"/>
        </w:rPr>
      </w:pPr>
    </w:p>
    <w:p w:rsidR="00AA4BF8" w:rsidRPr="00412620" w:rsidRDefault="00AA4BF8" w:rsidP="00AA4BF8">
      <w:pPr>
        <w:widowControl w:val="0"/>
        <w:ind w:left="1192" w:firstLine="247"/>
        <w:jc w:val="both"/>
        <w:rPr>
          <w:snapToGrid w:val="0"/>
          <w:sz w:val="20"/>
        </w:rPr>
      </w:pPr>
      <w:r w:rsidRPr="00412620">
        <w:rPr>
          <w:rStyle w:val="FootnoteReference"/>
          <w:rFonts w:cs="Arial"/>
          <w:snapToGrid w:val="0"/>
          <w:sz w:val="20"/>
        </w:rPr>
        <w:footnoteReference w:id="1843"/>
      </w:r>
      <w:r w:rsidRPr="00412620">
        <w:rPr>
          <w:snapToGrid w:val="0"/>
          <w:sz w:val="20"/>
        </w:rPr>
        <w:t>[(xl)]</w:t>
      </w:r>
      <w:r w:rsidRPr="00412620">
        <w:rPr>
          <w:snapToGrid w:val="0"/>
          <w:sz w:val="20"/>
        </w:rPr>
        <w:tab/>
        <w:t>Bagh-e-Quaid-e-Azam project, Karachi</w:t>
      </w:r>
      <w:r w:rsidRPr="00412620">
        <w:rPr>
          <w:rStyle w:val="FootnoteReference"/>
          <w:rFonts w:cs="Arial"/>
          <w:snapToGrid w:val="0"/>
          <w:sz w:val="20"/>
        </w:rPr>
        <w:footnoteReference w:id="1844"/>
      </w:r>
      <w:r w:rsidRPr="00412620">
        <w:rPr>
          <w:snapToGrid w:val="0"/>
          <w:sz w:val="20"/>
        </w:rPr>
        <w:t xml:space="preserve">[; </w:t>
      </w:r>
      <w:r w:rsidRPr="00412620">
        <w:rPr>
          <w:rStyle w:val="FootnoteReference"/>
          <w:rFonts w:cs="Arial"/>
          <w:snapToGrid w:val="0"/>
          <w:sz w:val="20"/>
        </w:rPr>
        <w:footnoteReference w:id="1845"/>
      </w:r>
      <w:r w:rsidRPr="00412620">
        <w:rPr>
          <w:snapToGrid w:val="0"/>
          <w:sz w:val="20"/>
        </w:rPr>
        <w:t xml:space="preserve">[ ]  ] </w:t>
      </w:r>
    </w:p>
    <w:p w:rsidR="00AA4BF8" w:rsidRPr="00412620" w:rsidRDefault="00AA4BF8" w:rsidP="00AA4BF8">
      <w:pPr>
        <w:widowControl w:val="0"/>
        <w:jc w:val="both"/>
        <w:rPr>
          <w:snapToGrid w:val="0"/>
          <w:sz w:val="18"/>
          <w:szCs w:val="18"/>
        </w:rPr>
      </w:pPr>
    </w:p>
    <w:p w:rsidR="00AA4BF8" w:rsidRDefault="00AA4BF8" w:rsidP="00AA4BF8">
      <w:pPr>
        <w:widowControl w:val="0"/>
        <w:ind w:left="1641" w:hanging="202"/>
        <w:jc w:val="both"/>
        <w:rPr>
          <w:snapToGrid w:val="0"/>
          <w:sz w:val="20"/>
        </w:rPr>
      </w:pPr>
      <w:r w:rsidRPr="00412620">
        <w:rPr>
          <w:rStyle w:val="FootnoteReference"/>
          <w:rFonts w:cs="Arial"/>
          <w:snapToGrid w:val="0"/>
          <w:sz w:val="20"/>
        </w:rPr>
        <w:footnoteReference w:id="1846"/>
      </w:r>
      <w:r w:rsidRPr="00412620">
        <w:rPr>
          <w:snapToGrid w:val="0"/>
          <w:sz w:val="20"/>
        </w:rPr>
        <w:t xml:space="preserve">[(xli) </w:t>
      </w:r>
      <w:r w:rsidRPr="00412620">
        <w:rPr>
          <w:snapToGrid w:val="0"/>
          <w:sz w:val="20"/>
        </w:rPr>
        <w:tab/>
        <w:t>Any amount donated for Tameer-e-Karachi Fund</w:t>
      </w:r>
      <w:r w:rsidRPr="00412620">
        <w:rPr>
          <w:rStyle w:val="FootnoteReference"/>
          <w:rFonts w:cs="Arial"/>
          <w:snapToGrid w:val="0"/>
          <w:sz w:val="20"/>
        </w:rPr>
        <w:footnoteReference w:id="1847"/>
      </w:r>
      <w:r w:rsidRPr="00412620">
        <w:rPr>
          <w:snapToGrid w:val="0"/>
          <w:sz w:val="20"/>
        </w:rPr>
        <w:t>[:] ]</w:t>
      </w:r>
    </w:p>
    <w:p w:rsidR="0050208B" w:rsidRPr="00401593" w:rsidRDefault="0050208B" w:rsidP="00AA4BF8">
      <w:pPr>
        <w:widowControl w:val="0"/>
        <w:ind w:left="1641" w:hanging="202"/>
        <w:jc w:val="both"/>
        <w:rPr>
          <w:snapToGrid w:val="0"/>
          <w:sz w:val="16"/>
        </w:rPr>
      </w:pPr>
    </w:p>
    <w:p w:rsidR="0050208B" w:rsidRPr="00412620" w:rsidRDefault="00132BC4" w:rsidP="00AA4BF8">
      <w:pPr>
        <w:widowControl w:val="0"/>
        <w:ind w:left="1641" w:hanging="202"/>
        <w:jc w:val="both"/>
        <w:rPr>
          <w:snapToGrid w:val="0"/>
          <w:sz w:val="20"/>
        </w:rPr>
      </w:pPr>
      <w:r>
        <w:rPr>
          <w:rStyle w:val="FootnoteReference"/>
          <w:snapToGrid w:val="0"/>
          <w:sz w:val="20"/>
        </w:rPr>
        <w:footnoteReference w:id="1848"/>
      </w:r>
      <w:r>
        <w:rPr>
          <w:snapToGrid w:val="0"/>
          <w:sz w:val="20"/>
        </w:rPr>
        <w:t>[</w:t>
      </w:r>
      <w:r w:rsidR="0050208B">
        <w:rPr>
          <w:snapToGrid w:val="0"/>
          <w:sz w:val="20"/>
        </w:rPr>
        <w:t>(xlii)</w:t>
      </w:r>
      <w:r w:rsidR="0050208B">
        <w:rPr>
          <w:snapToGrid w:val="0"/>
          <w:sz w:val="20"/>
        </w:rPr>
        <w:tab/>
        <w:t>Pakistan Red Crescent Society;</w:t>
      </w:r>
      <w:r>
        <w:rPr>
          <w:snapToGrid w:val="0"/>
          <w:sz w:val="20"/>
        </w:rPr>
        <w:t>]</w:t>
      </w:r>
    </w:p>
    <w:p w:rsidR="00AA4BF8" w:rsidRPr="00401593" w:rsidRDefault="00AA4BF8" w:rsidP="00AA4BF8">
      <w:pPr>
        <w:widowControl w:val="0"/>
        <w:jc w:val="both"/>
        <w:rPr>
          <w:snapToGrid w:val="0"/>
          <w:sz w:val="14"/>
          <w:szCs w:val="18"/>
        </w:rPr>
      </w:pPr>
    </w:p>
    <w:p w:rsidR="00AA4BF8" w:rsidRPr="00412620" w:rsidRDefault="00AA4BF8" w:rsidP="00AA4BF8">
      <w:pPr>
        <w:widowControl w:val="0"/>
        <w:ind w:left="2183" w:hanging="863"/>
        <w:jc w:val="both"/>
        <w:rPr>
          <w:snapToGrid w:val="0"/>
          <w:sz w:val="20"/>
        </w:rPr>
      </w:pPr>
      <w:r w:rsidRPr="00412620">
        <w:rPr>
          <w:rStyle w:val="FootnoteReference"/>
          <w:rFonts w:cs="Arial"/>
          <w:snapToGrid w:val="0"/>
          <w:sz w:val="20"/>
        </w:rPr>
        <w:footnoteReference w:id="1849"/>
      </w:r>
      <w:r w:rsidRPr="00412620">
        <w:rPr>
          <w:snapToGrid w:val="0"/>
          <w:sz w:val="20"/>
        </w:rPr>
        <w:t>[(xli</w:t>
      </w:r>
      <w:r w:rsidR="00916C63">
        <w:rPr>
          <w:snapToGrid w:val="0"/>
          <w:sz w:val="20"/>
        </w:rPr>
        <w:t>i</w:t>
      </w:r>
      <w:r w:rsidRPr="00412620">
        <w:rPr>
          <w:snapToGrid w:val="0"/>
          <w:sz w:val="20"/>
        </w:rPr>
        <w:t>i)</w:t>
      </w:r>
      <w:r w:rsidRPr="00412620">
        <w:rPr>
          <w:snapToGrid w:val="0"/>
          <w:sz w:val="20"/>
        </w:rPr>
        <w:tab/>
        <w:t>Bank of Commerce and Credit International Foundation for Advancement of Science and Technology;]</w:t>
      </w:r>
    </w:p>
    <w:p w:rsidR="00AA4BF8" w:rsidRPr="00401593" w:rsidRDefault="00AA4BF8" w:rsidP="00AA4BF8">
      <w:pPr>
        <w:widowControl w:val="0"/>
        <w:jc w:val="both"/>
        <w:rPr>
          <w:snapToGrid w:val="0"/>
          <w:sz w:val="12"/>
        </w:rPr>
      </w:pPr>
    </w:p>
    <w:p w:rsidR="00AA4BF8" w:rsidRDefault="00AA4BF8" w:rsidP="00AA4BF8">
      <w:pPr>
        <w:widowControl w:val="0"/>
        <w:ind w:left="2183" w:hanging="908"/>
        <w:jc w:val="both"/>
        <w:rPr>
          <w:snapToGrid w:val="0"/>
          <w:sz w:val="20"/>
        </w:rPr>
      </w:pPr>
      <w:r w:rsidRPr="00412620">
        <w:rPr>
          <w:rStyle w:val="FootnoteReference"/>
          <w:rFonts w:cs="Arial"/>
          <w:snapToGrid w:val="0"/>
          <w:sz w:val="20"/>
        </w:rPr>
        <w:footnoteReference w:id="1850"/>
      </w:r>
      <w:r w:rsidR="00916C63">
        <w:rPr>
          <w:snapToGrid w:val="0"/>
          <w:sz w:val="20"/>
        </w:rPr>
        <w:t>[(xliv)</w:t>
      </w:r>
      <w:r w:rsidRPr="00412620">
        <w:rPr>
          <w:snapToGrid w:val="0"/>
          <w:sz w:val="20"/>
        </w:rPr>
        <w:tab/>
        <w:t>Any amount donated to Federal Board of Revenue Foundation.]</w:t>
      </w:r>
    </w:p>
    <w:p w:rsidR="00D376AB" w:rsidRDefault="00D376AB" w:rsidP="00AA4BF8">
      <w:pPr>
        <w:widowControl w:val="0"/>
        <w:ind w:left="2183" w:hanging="908"/>
        <w:jc w:val="both"/>
        <w:rPr>
          <w:snapToGrid w:val="0"/>
          <w:sz w:val="20"/>
        </w:rPr>
      </w:pPr>
    </w:p>
    <w:p w:rsidR="00D376AB" w:rsidRPr="00FA5556" w:rsidRDefault="00B508A3" w:rsidP="00AA4BF8">
      <w:pPr>
        <w:widowControl w:val="0"/>
        <w:ind w:left="2183" w:hanging="908"/>
        <w:jc w:val="both"/>
        <w:rPr>
          <w:snapToGrid w:val="0"/>
          <w:color w:val="000000" w:themeColor="text1"/>
          <w:sz w:val="20"/>
        </w:rPr>
      </w:pPr>
      <w:r w:rsidRPr="00FA5556">
        <w:rPr>
          <w:rStyle w:val="FootnoteReference"/>
          <w:snapToGrid w:val="0"/>
          <w:color w:val="000000" w:themeColor="text1"/>
          <w:sz w:val="20"/>
        </w:rPr>
        <w:footnoteReference w:id="1851"/>
      </w:r>
      <w:r w:rsidR="00D376AB" w:rsidRPr="00FA5556">
        <w:rPr>
          <w:snapToGrid w:val="0"/>
          <w:color w:val="000000" w:themeColor="text1"/>
          <w:sz w:val="20"/>
        </w:rPr>
        <w:t>[“</w:t>
      </w:r>
      <w:r w:rsidR="00D376AB" w:rsidRPr="00FA5556">
        <w:rPr>
          <w:rFonts w:cs="Arial"/>
          <w:color w:val="000000" w:themeColor="text1"/>
          <w:sz w:val="20"/>
          <w:lang w:val="en-US"/>
        </w:rPr>
        <w:t>(xlv)</w:t>
      </w:r>
      <w:r w:rsidR="00D376AB" w:rsidRPr="00FA5556">
        <w:rPr>
          <w:rFonts w:cs="Arial"/>
          <w:color w:val="000000" w:themeColor="text1"/>
          <w:sz w:val="20"/>
          <w:lang w:val="en-US"/>
        </w:rPr>
        <w:tab/>
        <w:t>The Indus Hospital, Karachi.”]</w:t>
      </w:r>
    </w:p>
    <w:p w:rsidR="0050208B" w:rsidRPr="00401593" w:rsidRDefault="0050208B" w:rsidP="00AA4BF8">
      <w:pPr>
        <w:widowControl w:val="0"/>
        <w:ind w:left="2183" w:hanging="908"/>
        <w:jc w:val="both"/>
        <w:rPr>
          <w:snapToGrid w:val="0"/>
          <w:sz w:val="12"/>
        </w:rPr>
      </w:pPr>
    </w:p>
    <w:p w:rsidR="0050208B" w:rsidRPr="00412620" w:rsidRDefault="0050208B" w:rsidP="0050208B">
      <w:pPr>
        <w:widowControl w:val="0"/>
        <w:ind w:left="892" w:firstLine="547"/>
        <w:jc w:val="both"/>
        <w:rPr>
          <w:snapToGrid w:val="0"/>
          <w:sz w:val="20"/>
        </w:rPr>
      </w:pPr>
      <w:r>
        <w:rPr>
          <w:snapToGrid w:val="0"/>
          <w:sz w:val="18"/>
          <w:szCs w:val="18"/>
        </w:rPr>
        <w:tab/>
      </w:r>
      <w:r w:rsidRPr="00412620">
        <w:rPr>
          <w:rStyle w:val="FootnoteReference"/>
          <w:rFonts w:cs="Arial"/>
          <w:snapToGrid w:val="0"/>
          <w:sz w:val="20"/>
        </w:rPr>
        <w:footnoteReference w:id="1852"/>
      </w:r>
      <w:r w:rsidRPr="00412620">
        <w:rPr>
          <w:snapToGrid w:val="0"/>
          <w:sz w:val="20"/>
        </w:rPr>
        <w:t>[Provided that the amount so donated shall not exceed—</w:t>
      </w:r>
    </w:p>
    <w:p w:rsidR="0050208B" w:rsidRPr="00401593" w:rsidRDefault="0050208B" w:rsidP="0050208B">
      <w:pPr>
        <w:widowControl w:val="0"/>
        <w:jc w:val="both"/>
        <w:rPr>
          <w:snapToGrid w:val="0"/>
          <w:sz w:val="14"/>
          <w:szCs w:val="18"/>
        </w:rPr>
      </w:pPr>
    </w:p>
    <w:p w:rsidR="0050208B" w:rsidRPr="00412620" w:rsidRDefault="0050208B" w:rsidP="0050208B">
      <w:pPr>
        <w:widowControl w:val="0"/>
        <w:ind w:left="2188" w:hanging="560"/>
        <w:jc w:val="both"/>
        <w:rPr>
          <w:snapToGrid w:val="0"/>
          <w:sz w:val="20"/>
        </w:rPr>
      </w:pPr>
      <w:r w:rsidRPr="00412620">
        <w:rPr>
          <w:snapToGrid w:val="0"/>
          <w:sz w:val="20"/>
        </w:rPr>
        <w:t xml:space="preserve">(a) </w:t>
      </w:r>
      <w:r w:rsidRPr="00412620">
        <w:rPr>
          <w:snapToGrid w:val="0"/>
          <w:sz w:val="20"/>
        </w:rPr>
        <w:tab/>
        <w:t xml:space="preserve">in the case of an individual or association of persons, thirty </w:t>
      </w:r>
      <w:r>
        <w:rPr>
          <w:snapToGrid w:val="0"/>
          <w:sz w:val="20"/>
        </w:rPr>
        <w:t>per cent</w:t>
      </w:r>
      <w:r w:rsidRPr="00412620">
        <w:rPr>
          <w:snapToGrid w:val="0"/>
          <w:sz w:val="20"/>
        </w:rPr>
        <w:t xml:space="preserve"> of the taxable income of the person for the year; and</w:t>
      </w:r>
    </w:p>
    <w:p w:rsidR="0050208B" w:rsidRPr="00401593" w:rsidRDefault="0050208B" w:rsidP="0050208B">
      <w:pPr>
        <w:widowControl w:val="0"/>
        <w:jc w:val="both"/>
        <w:rPr>
          <w:snapToGrid w:val="0"/>
          <w:sz w:val="14"/>
          <w:szCs w:val="18"/>
        </w:rPr>
      </w:pPr>
    </w:p>
    <w:p w:rsidR="0050208B" w:rsidRPr="00412620" w:rsidRDefault="0050208B" w:rsidP="0050208B">
      <w:pPr>
        <w:widowControl w:val="0"/>
        <w:ind w:left="2183" w:hanging="555"/>
        <w:jc w:val="both"/>
        <w:rPr>
          <w:snapToGrid w:val="0"/>
          <w:sz w:val="20"/>
        </w:rPr>
      </w:pPr>
      <w:r w:rsidRPr="00412620">
        <w:rPr>
          <w:snapToGrid w:val="0"/>
          <w:sz w:val="20"/>
        </w:rPr>
        <w:t xml:space="preserve">(b) </w:t>
      </w:r>
      <w:r w:rsidRPr="00412620">
        <w:rPr>
          <w:snapToGrid w:val="0"/>
          <w:sz w:val="20"/>
        </w:rPr>
        <w:tab/>
        <w:t xml:space="preserve">in the case of a company, </w:t>
      </w:r>
      <w:r w:rsidR="001F5736">
        <w:rPr>
          <w:rStyle w:val="FootnoteReference"/>
          <w:snapToGrid w:val="0"/>
          <w:sz w:val="20"/>
        </w:rPr>
        <w:footnoteReference w:id="1853"/>
      </w:r>
      <w:r w:rsidRPr="00412620">
        <w:rPr>
          <w:snapToGrid w:val="0"/>
          <w:sz w:val="20"/>
        </w:rPr>
        <w:t xml:space="preserve">[twenty] </w:t>
      </w:r>
      <w:r>
        <w:rPr>
          <w:snapToGrid w:val="0"/>
          <w:sz w:val="20"/>
        </w:rPr>
        <w:t>per cent</w:t>
      </w:r>
      <w:r w:rsidRPr="00412620">
        <w:rPr>
          <w:snapToGrid w:val="0"/>
          <w:sz w:val="20"/>
        </w:rPr>
        <w:t xml:space="preserve"> of the taxable income of the person for the year </w:t>
      </w:r>
      <w:r w:rsidRPr="00412620">
        <w:rPr>
          <w:rStyle w:val="FootnoteReference"/>
          <w:rFonts w:cs="Arial"/>
          <w:snapToGrid w:val="0"/>
          <w:sz w:val="20"/>
        </w:rPr>
        <w:footnoteReference w:id="1854"/>
      </w:r>
      <w:r w:rsidRPr="00412620">
        <w:rPr>
          <w:snapToGrid w:val="0"/>
          <w:sz w:val="20"/>
        </w:rPr>
        <w:t>[; and]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18"/>
          <w:szCs w:val="18"/>
        </w:rPr>
      </w:pPr>
      <w:r w:rsidRPr="00412620">
        <w:rPr>
          <w:rStyle w:val="FootnoteReference"/>
          <w:rFonts w:cs="Arial"/>
          <w:snapToGrid w:val="0"/>
          <w:sz w:val="18"/>
          <w:szCs w:val="18"/>
        </w:rPr>
        <w:footnoteReference w:id="1855"/>
      </w:r>
      <w:r w:rsidRPr="00412620">
        <w:rPr>
          <w:snapToGrid w:val="0"/>
          <w:sz w:val="18"/>
          <w:szCs w:val="18"/>
        </w:rPr>
        <w:t>[  ]</w:t>
      </w:r>
    </w:p>
    <w:p w:rsidR="00AA4BF8" w:rsidRPr="00412620" w:rsidRDefault="00AA4BF8" w:rsidP="00AA4BF8">
      <w:pPr>
        <w:widowControl w:val="0"/>
        <w:jc w:val="both"/>
        <w:rPr>
          <w:strike/>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56"/>
      </w:r>
      <w:r w:rsidRPr="00412620">
        <w:rPr>
          <w:snapToGrid w:val="0"/>
          <w:sz w:val="20"/>
        </w:rPr>
        <w:t>[  ]</w:t>
      </w:r>
    </w:p>
    <w:p w:rsidR="00AA4BF8" w:rsidRPr="00412620" w:rsidRDefault="00AA4BF8" w:rsidP="00AA4BF8">
      <w:pPr>
        <w:widowControl w:val="0"/>
        <w:jc w:val="both"/>
        <w:rPr>
          <w:strike/>
          <w:snapToGrid w:val="0"/>
          <w:sz w:val="20"/>
        </w:rPr>
      </w:pPr>
    </w:p>
    <w:p w:rsidR="00AA4BF8" w:rsidRPr="00412620" w:rsidRDefault="00AA4BF8" w:rsidP="00AA4BF8">
      <w:pPr>
        <w:tabs>
          <w:tab w:val="left" w:pos="630"/>
        </w:tabs>
        <w:rPr>
          <w:snapToGrid w:val="0"/>
          <w:sz w:val="20"/>
        </w:rPr>
      </w:pPr>
      <w:r w:rsidRPr="00412620">
        <w:rPr>
          <w:rStyle w:val="FootnoteReference"/>
          <w:rFonts w:cs="Arial"/>
          <w:snapToGrid w:val="0"/>
          <w:sz w:val="20"/>
        </w:rPr>
        <w:footnoteReference w:id="1857"/>
      </w:r>
      <w:r w:rsidRPr="00412620">
        <w:rPr>
          <w:snapToGrid w:val="0"/>
          <w:sz w:val="20"/>
        </w:rPr>
        <w:t>[  ]</w:t>
      </w:r>
    </w:p>
    <w:p w:rsidR="00AA4BF8" w:rsidRPr="00412620" w:rsidRDefault="00AA4BF8" w:rsidP="00AA4BF8">
      <w:pPr>
        <w:tabs>
          <w:tab w:val="left" w:pos="630"/>
        </w:tabs>
        <w:rPr>
          <w:snapToGrid w:val="0"/>
          <w:sz w:val="20"/>
        </w:rPr>
      </w:pPr>
    </w:p>
    <w:p w:rsidR="00AA4BF8" w:rsidRPr="00412620" w:rsidRDefault="00AA4BF8" w:rsidP="00AA4BF8">
      <w:pPr>
        <w:tabs>
          <w:tab w:val="left" w:pos="630"/>
        </w:tabs>
        <w:rPr>
          <w:snapToGrid w:val="0"/>
          <w:sz w:val="20"/>
        </w:rPr>
      </w:pPr>
      <w:r w:rsidRPr="00412620">
        <w:rPr>
          <w:rStyle w:val="FootnoteReference"/>
          <w:rFonts w:cs="Arial"/>
          <w:snapToGrid w:val="0"/>
          <w:sz w:val="20"/>
        </w:rPr>
        <w:footnoteReference w:id="1858"/>
      </w:r>
      <w:r w:rsidRPr="00412620">
        <w:rPr>
          <w:snapToGrid w:val="0"/>
          <w:sz w:val="20"/>
        </w:rPr>
        <w:t>[  ]</w:t>
      </w:r>
    </w:p>
    <w:p w:rsidR="00AA4BF8" w:rsidRPr="00412620" w:rsidRDefault="00AA4BF8" w:rsidP="00AA4BF8">
      <w:pPr>
        <w:tabs>
          <w:tab w:val="left" w:pos="630"/>
        </w:tabs>
        <w:rPr>
          <w:b/>
          <w:bCs/>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59"/>
      </w:r>
      <w:r w:rsidRPr="00412620">
        <w:rPr>
          <w:snapToGrid w:val="0"/>
          <w:sz w:val="20"/>
        </w:rPr>
        <w:t>[  ]</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60"/>
      </w:r>
      <w:r w:rsidRPr="00412620">
        <w:rPr>
          <w:snapToGrid w:val="0"/>
          <w:sz w:val="20"/>
        </w:rPr>
        <w:t>[</w:t>
      </w:r>
      <w:r w:rsidRPr="00412620">
        <w:rPr>
          <w:b/>
          <w:bCs/>
          <w:snapToGrid w:val="0"/>
          <w:sz w:val="20"/>
        </w:rPr>
        <w:t>(64A)</w:t>
      </w:r>
      <w:r w:rsidRPr="00412620">
        <w:rPr>
          <w:snapToGrid w:val="0"/>
          <w:sz w:val="20"/>
        </w:rPr>
        <w:t xml:space="preserve">  Any amount donated to the Prime Minister’s Special Fund for victims of terrorism.]</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61"/>
      </w:r>
      <w:r w:rsidRPr="00412620">
        <w:rPr>
          <w:snapToGrid w:val="0"/>
          <w:sz w:val="20"/>
        </w:rPr>
        <w:t>[</w:t>
      </w:r>
      <w:r w:rsidRPr="00412620">
        <w:rPr>
          <w:b/>
          <w:bCs/>
          <w:snapToGrid w:val="0"/>
          <w:sz w:val="20"/>
        </w:rPr>
        <w:t>(64B)</w:t>
      </w:r>
      <w:r w:rsidRPr="00412620">
        <w:rPr>
          <w:snapToGrid w:val="0"/>
          <w:sz w:val="20"/>
        </w:rPr>
        <w:t xml:space="preserve"> Any amount donated to the Chief Minister’s (Punjab) Relief Fund for Internally Displaced Persons (IDPs) of NWFP.]</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62"/>
      </w:r>
      <w:r w:rsidRPr="00412620">
        <w:rPr>
          <w:snapToGrid w:val="0"/>
          <w:sz w:val="20"/>
        </w:rPr>
        <w:t>[</w:t>
      </w:r>
      <w:r w:rsidRPr="00412620">
        <w:rPr>
          <w:b/>
          <w:bCs/>
          <w:snapToGrid w:val="0"/>
          <w:sz w:val="20"/>
        </w:rPr>
        <w:t>(64C)</w:t>
      </w:r>
      <w:r w:rsidRPr="00412620">
        <w:rPr>
          <w:snapToGrid w:val="0"/>
          <w:sz w:val="20"/>
        </w:rPr>
        <w:t xml:space="preserve">   Prime Minister’s Flood Relief Fund 2010 and Provincial Chief Ministers’ Relief Funds, for victims of flood 2010.]</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b/>
          <w:bCs/>
          <w:snapToGrid w:val="0"/>
          <w:sz w:val="20"/>
        </w:rPr>
        <w:t>(65)</w:t>
      </w:r>
      <w:r w:rsidRPr="00412620">
        <w:rPr>
          <w:snapToGrid w:val="0"/>
          <w:sz w:val="20"/>
        </w:rPr>
        <w:tab/>
        <w:t>Any income derived from donations made by non-official or private sector sources in Pakistan to the Waqf for Research on Islamic History, Art and Culture, Istanbul set up by the Research Centre for Islamic History, Art and Culture (IRCICA).</w:t>
      </w:r>
    </w:p>
    <w:p w:rsidR="00AA4BF8" w:rsidRDefault="00AA4BF8" w:rsidP="00AA4BF8">
      <w:pPr>
        <w:widowControl w:val="0"/>
        <w:jc w:val="both"/>
        <w:rPr>
          <w:b/>
          <w:bCs/>
          <w:snapToGrid w:val="0"/>
          <w:sz w:val="20"/>
        </w:rPr>
      </w:pPr>
    </w:p>
    <w:p w:rsidR="00F06F4A" w:rsidRDefault="00CC29A1" w:rsidP="00AA4BF8">
      <w:pPr>
        <w:widowControl w:val="0"/>
        <w:jc w:val="both"/>
        <w:rPr>
          <w:bCs/>
          <w:snapToGrid w:val="0"/>
          <w:sz w:val="20"/>
        </w:rPr>
      </w:pPr>
      <w:r>
        <w:rPr>
          <w:rStyle w:val="FootnoteReference"/>
          <w:b/>
          <w:bCs/>
          <w:snapToGrid w:val="0"/>
          <w:sz w:val="20"/>
        </w:rPr>
        <w:footnoteReference w:id="1863"/>
      </w:r>
      <w:r w:rsidR="00F06F4A">
        <w:rPr>
          <w:b/>
          <w:bCs/>
          <w:snapToGrid w:val="0"/>
          <w:sz w:val="20"/>
        </w:rPr>
        <w:t xml:space="preserve">[(65A) </w:t>
      </w:r>
      <w:r w:rsidRPr="00CC29A1">
        <w:rPr>
          <w:bCs/>
          <w:snapToGrid w:val="0"/>
          <w:sz w:val="20"/>
        </w:rPr>
        <w:t xml:space="preserve">Income </w:t>
      </w:r>
      <w:r>
        <w:rPr>
          <w:bCs/>
          <w:snapToGrid w:val="0"/>
          <w:sz w:val="20"/>
        </w:rPr>
        <w:t xml:space="preserve">for any tax year commencing from the tax year 2003, derived from the Welfare Fund created under rule-26 of the Emigration Rules, 1979 </w:t>
      </w:r>
      <w:r>
        <w:rPr>
          <w:bCs/>
          <w:snapToGrid w:val="0"/>
          <w:sz w:val="20"/>
        </w:rPr>
        <w:lastRenderedPageBreak/>
        <w:t>(made under section 16 of the Emigration Ordinance, 1979 (XVIII of 1979), except the income generated by the aforesaid Fund through commercial activities</w:t>
      </w:r>
      <w:r w:rsidR="00F810C8">
        <w:rPr>
          <w:bCs/>
          <w:snapToGrid w:val="0"/>
          <w:sz w:val="20"/>
        </w:rPr>
        <w:t>.</w:t>
      </w:r>
      <w:r>
        <w:rPr>
          <w:bCs/>
          <w:snapToGrid w:val="0"/>
          <w:sz w:val="20"/>
        </w:rPr>
        <w:t>]</w:t>
      </w:r>
    </w:p>
    <w:p w:rsidR="00CC29A1" w:rsidRPr="00CC29A1" w:rsidRDefault="00CC29A1" w:rsidP="00AA4BF8">
      <w:pPr>
        <w:widowControl w:val="0"/>
        <w:jc w:val="both"/>
        <w:rPr>
          <w:bCs/>
          <w:snapToGrid w:val="0"/>
          <w:sz w:val="20"/>
        </w:rPr>
      </w:pPr>
    </w:p>
    <w:p w:rsidR="00AA4BF8" w:rsidRPr="00412620" w:rsidRDefault="00AA4BF8" w:rsidP="00AA4BF8">
      <w:pPr>
        <w:autoSpaceDE w:val="0"/>
        <w:autoSpaceDN w:val="0"/>
        <w:adjustRightInd w:val="0"/>
        <w:rPr>
          <w:sz w:val="20"/>
          <w:lang w:val="en-US"/>
        </w:rPr>
      </w:pPr>
      <w:r w:rsidRPr="00412620">
        <w:rPr>
          <w:rStyle w:val="FootnoteReference"/>
          <w:rFonts w:cs="Arial"/>
          <w:b/>
          <w:bCs/>
          <w:sz w:val="20"/>
          <w:lang w:val="en-US"/>
        </w:rPr>
        <w:footnoteReference w:id="1864"/>
      </w:r>
      <w:r w:rsidRPr="00412620">
        <w:rPr>
          <w:b/>
          <w:bCs/>
          <w:sz w:val="20"/>
          <w:lang w:val="en-US"/>
        </w:rPr>
        <w:t>[(66)</w:t>
      </w:r>
      <w:r w:rsidRPr="00412620">
        <w:rPr>
          <w:sz w:val="20"/>
          <w:lang w:val="en-US"/>
        </w:rPr>
        <w:tab/>
        <w:t>Any income derived by—</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firstLine="547"/>
        <w:rPr>
          <w:sz w:val="20"/>
          <w:lang w:val="en-US"/>
        </w:rPr>
      </w:pPr>
      <w:r w:rsidRPr="00412620">
        <w:rPr>
          <w:sz w:val="20"/>
          <w:lang w:val="en-US"/>
        </w:rPr>
        <w:t xml:space="preserve">i. </w:t>
      </w:r>
      <w:r w:rsidRPr="00412620">
        <w:rPr>
          <w:sz w:val="20"/>
          <w:lang w:val="en-US"/>
        </w:rPr>
        <w:tab/>
        <w:t>Abdul Sattar</w:t>
      </w:r>
      <w:r w:rsidR="004D1AB2">
        <w:rPr>
          <w:sz w:val="20"/>
          <w:lang w:val="en-US"/>
        </w:rPr>
        <w:t xml:space="preserve"> </w:t>
      </w:r>
      <w:r w:rsidRPr="00412620">
        <w:rPr>
          <w:sz w:val="20"/>
          <w:lang w:val="en-US"/>
        </w:rPr>
        <w:t>Edhi Foundation, Karachi;</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firstLine="547"/>
        <w:rPr>
          <w:sz w:val="20"/>
          <w:lang w:val="en-US"/>
        </w:rPr>
      </w:pPr>
      <w:r w:rsidRPr="00412620">
        <w:rPr>
          <w:sz w:val="20"/>
          <w:lang w:val="en-US"/>
        </w:rPr>
        <w:t xml:space="preserve">ii. </w:t>
      </w:r>
      <w:r w:rsidRPr="00412620">
        <w:rPr>
          <w:sz w:val="20"/>
          <w:lang w:val="en-US"/>
        </w:rPr>
        <w:tab/>
        <w:t>Al-Shifa Trust, Rawalpindi.</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firstLine="547"/>
        <w:rPr>
          <w:sz w:val="20"/>
          <w:lang w:val="fr-FR"/>
        </w:rPr>
      </w:pPr>
      <w:r w:rsidRPr="00412620">
        <w:rPr>
          <w:sz w:val="20"/>
          <w:lang w:val="fr-FR"/>
        </w:rPr>
        <w:t xml:space="preserve">iii. </w:t>
      </w:r>
      <w:r w:rsidRPr="00412620">
        <w:rPr>
          <w:sz w:val="20"/>
          <w:lang w:val="fr-FR"/>
        </w:rPr>
        <w:tab/>
        <w:t>Bilquis</w:t>
      </w:r>
      <w:r w:rsidR="004D1AB2">
        <w:rPr>
          <w:sz w:val="20"/>
          <w:lang w:val="fr-FR"/>
        </w:rPr>
        <w:t xml:space="preserve"> </w:t>
      </w:r>
      <w:r w:rsidRPr="00412620">
        <w:rPr>
          <w:sz w:val="20"/>
          <w:lang w:val="fr-FR"/>
        </w:rPr>
        <w:t>Edhi</w:t>
      </w:r>
      <w:r w:rsidR="004D1AB2">
        <w:rPr>
          <w:sz w:val="20"/>
          <w:lang w:val="fr-FR"/>
        </w:rPr>
        <w:t xml:space="preserve"> </w:t>
      </w:r>
      <w:r w:rsidRPr="00412620">
        <w:rPr>
          <w:sz w:val="20"/>
          <w:lang w:val="fr-FR"/>
        </w:rPr>
        <w:t>Foundation, Karachi.</w:t>
      </w:r>
    </w:p>
    <w:p w:rsidR="00AA4BF8" w:rsidRPr="00412620" w:rsidRDefault="00AA4BF8" w:rsidP="00AA4BF8">
      <w:pPr>
        <w:autoSpaceDE w:val="0"/>
        <w:autoSpaceDN w:val="0"/>
        <w:adjustRightInd w:val="0"/>
        <w:rPr>
          <w:sz w:val="20"/>
          <w:lang w:val="fr-FR"/>
        </w:rPr>
      </w:pPr>
    </w:p>
    <w:p w:rsidR="00AA4BF8" w:rsidRPr="00412620" w:rsidRDefault="00AA4BF8" w:rsidP="00AA4BF8">
      <w:pPr>
        <w:autoSpaceDE w:val="0"/>
        <w:autoSpaceDN w:val="0"/>
        <w:adjustRightInd w:val="0"/>
        <w:ind w:firstLine="547"/>
        <w:rPr>
          <w:sz w:val="20"/>
          <w:lang w:val="en-US"/>
        </w:rPr>
      </w:pPr>
      <w:r w:rsidRPr="00412620">
        <w:rPr>
          <w:sz w:val="20"/>
          <w:lang w:val="en-US"/>
        </w:rPr>
        <w:t xml:space="preserve">iv. </w:t>
      </w:r>
      <w:r w:rsidRPr="00412620">
        <w:rPr>
          <w:sz w:val="20"/>
          <w:lang w:val="en-US"/>
        </w:rPr>
        <w:tab/>
        <w:t>Fatimid Foundation, Karachi.</w:t>
      </w:r>
    </w:p>
    <w:p w:rsidR="00AA4BF8" w:rsidRPr="00412620" w:rsidRDefault="00AA4BF8" w:rsidP="00AA4BF8">
      <w:pPr>
        <w:autoSpaceDE w:val="0"/>
        <w:autoSpaceDN w:val="0"/>
        <w:adjustRightInd w:val="0"/>
        <w:rPr>
          <w:sz w:val="20"/>
          <w:lang w:val="en-US"/>
        </w:rPr>
      </w:pPr>
    </w:p>
    <w:p w:rsidR="00AA4BF8" w:rsidRPr="00B46543" w:rsidRDefault="00235933" w:rsidP="006A17BC">
      <w:pPr>
        <w:autoSpaceDE w:val="0"/>
        <w:autoSpaceDN w:val="0"/>
        <w:adjustRightInd w:val="0"/>
        <w:ind w:firstLine="547"/>
        <w:rPr>
          <w:color w:val="000000" w:themeColor="text1"/>
          <w:sz w:val="20"/>
          <w:lang w:val="en-US"/>
        </w:rPr>
      </w:pPr>
      <w:r w:rsidRPr="00B46543">
        <w:rPr>
          <w:rStyle w:val="FootnoteReference"/>
          <w:color w:val="000000" w:themeColor="text1"/>
          <w:sz w:val="20"/>
          <w:lang w:val="en-US"/>
        </w:rPr>
        <w:footnoteReference w:id="1865"/>
      </w:r>
      <w:r w:rsidRPr="00B46543">
        <w:rPr>
          <w:color w:val="000000" w:themeColor="text1"/>
          <w:sz w:val="20"/>
          <w:lang w:val="en-US"/>
        </w:rPr>
        <w:t xml:space="preserve">[ </w:t>
      </w:r>
      <w:r w:rsidR="00B46543" w:rsidRPr="00B46543">
        <w:rPr>
          <w:color w:val="000000" w:themeColor="text1"/>
          <w:sz w:val="20"/>
          <w:lang w:val="en-US"/>
        </w:rPr>
        <w:t xml:space="preserve">  </w:t>
      </w:r>
      <w:r w:rsidRPr="00B46543">
        <w:rPr>
          <w:color w:val="000000" w:themeColor="text1"/>
          <w:sz w:val="20"/>
          <w:lang w:val="en-US"/>
        </w:rPr>
        <w:t xml:space="preserve">] </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firstLine="547"/>
        <w:rPr>
          <w:sz w:val="20"/>
          <w:lang w:val="en-US"/>
        </w:rPr>
      </w:pPr>
      <w:r w:rsidRPr="00412620">
        <w:rPr>
          <w:sz w:val="20"/>
          <w:lang w:val="en-US"/>
        </w:rPr>
        <w:t xml:space="preserve">vi. </w:t>
      </w:r>
      <w:r w:rsidRPr="00412620">
        <w:rPr>
          <w:sz w:val="20"/>
          <w:lang w:val="en-US"/>
        </w:rPr>
        <w:tab/>
        <w:t>International Islamic Trade Finance Corporation”.</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firstLine="547"/>
        <w:rPr>
          <w:sz w:val="20"/>
          <w:lang w:val="en-US"/>
        </w:rPr>
      </w:pPr>
      <w:r w:rsidRPr="00412620">
        <w:rPr>
          <w:sz w:val="20"/>
          <w:lang w:val="en-US"/>
        </w:rPr>
        <w:t xml:space="preserve">vii. </w:t>
      </w:r>
      <w:r w:rsidRPr="00412620">
        <w:rPr>
          <w:sz w:val="20"/>
          <w:lang w:val="en-US"/>
        </w:rPr>
        <w:tab/>
        <w:t>Islamic Corporation for Development of Private Sector;</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left="1094" w:hanging="547"/>
        <w:jc w:val="both"/>
        <w:rPr>
          <w:sz w:val="20"/>
          <w:lang w:val="en-US"/>
        </w:rPr>
      </w:pPr>
      <w:r w:rsidRPr="00412620">
        <w:rPr>
          <w:sz w:val="20"/>
          <w:lang w:val="en-US"/>
        </w:rPr>
        <w:t xml:space="preserve">viii. </w:t>
      </w:r>
      <w:r w:rsidRPr="00412620">
        <w:rPr>
          <w:sz w:val="20"/>
          <w:lang w:val="en-US"/>
        </w:rPr>
        <w:tab/>
        <w:t>National Memorial Bab-e-Pakistan Trust for the assessment year commencing on or after the 1st day of July, 1994.</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rPr>
          <w:sz w:val="20"/>
          <w:lang w:val="en-US"/>
        </w:rPr>
      </w:pPr>
      <w:r w:rsidRPr="00412620">
        <w:rPr>
          <w:sz w:val="20"/>
          <w:lang w:val="en-US"/>
        </w:rPr>
        <w:tab/>
        <w:t xml:space="preserve">ix. </w:t>
      </w:r>
      <w:r w:rsidRPr="00412620">
        <w:rPr>
          <w:sz w:val="20"/>
          <w:lang w:val="en-US"/>
        </w:rPr>
        <w:tab/>
        <w:t>Pakistan Agricultural Research Council, Islamabad.</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rPr>
          <w:sz w:val="20"/>
          <w:lang w:val="en-US"/>
        </w:rPr>
      </w:pPr>
      <w:r w:rsidRPr="00412620">
        <w:rPr>
          <w:sz w:val="20"/>
          <w:lang w:val="en-US"/>
        </w:rPr>
        <w:tab/>
        <w:t xml:space="preserve">x. </w:t>
      </w:r>
      <w:r w:rsidRPr="00412620">
        <w:rPr>
          <w:sz w:val="20"/>
          <w:lang w:val="en-US"/>
        </w:rPr>
        <w:tab/>
        <w:t>Pakistan Engineering Council;</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left="1094" w:hanging="554"/>
        <w:jc w:val="both"/>
        <w:rPr>
          <w:sz w:val="20"/>
          <w:lang w:val="en-US"/>
        </w:rPr>
      </w:pPr>
      <w:r w:rsidRPr="00412620">
        <w:rPr>
          <w:sz w:val="20"/>
          <w:lang w:val="en-US"/>
        </w:rPr>
        <w:t xml:space="preserve">xi. </w:t>
      </w:r>
      <w:r w:rsidRPr="00412620">
        <w:rPr>
          <w:sz w:val="20"/>
          <w:lang w:val="en-US"/>
        </w:rPr>
        <w:tab/>
        <w:t>The corporatized entities of Pakistan Water and Power Development Authority from the date of their creation upto the date of completion of the process of corporatization i.e. till the tariff is notified.</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rPr>
          <w:sz w:val="20"/>
          <w:lang w:val="en-US"/>
        </w:rPr>
      </w:pPr>
      <w:r w:rsidRPr="00412620">
        <w:rPr>
          <w:sz w:val="20"/>
          <w:lang w:val="en-US"/>
        </w:rPr>
        <w:tab/>
        <w:t xml:space="preserve">xii. </w:t>
      </w:r>
      <w:r w:rsidRPr="00412620">
        <w:rPr>
          <w:sz w:val="20"/>
          <w:lang w:val="en-US"/>
        </w:rPr>
        <w:tab/>
        <w:t>The Institution of Engineers, Pakistan, Lahore.</w:t>
      </w:r>
    </w:p>
    <w:p w:rsidR="00AA4BF8" w:rsidRPr="00412620" w:rsidRDefault="00AA4BF8" w:rsidP="00AA4BF8">
      <w:pPr>
        <w:autoSpaceDE w:val="0"/>
        <w:autoSpaceDN w:val="0"/>
        <w:adjustRightInd w:val="0"/>
        <w:rPr>
          <w:sz w:val="20"/>
          <w:lang w:val="en-US"/>
        </w:rPr>
      </w:pPr>
    </w:p>
    <w:p w:rsidR="00AA4BF8" w:rsidRPr="00412620" w:rsidRDefault="00AA4BF8" w:rsidP="004D1AB2">
      <w:pPr>
        <w:autoSpaceDE w:val="0"/>
        <w:autoSpaceDN w:val="0"/>
        <w:adjustRightInd w:val="0"/>
        <w:ind w:firstLine="330"/>
        <w:rPr>
          <w:sz w:val="20"/>
          <w:lang w:val="en-US"/>
        </w:rPr>
      </w:pPr>
      <w:r w:rsidRPr="00412620">
        <w:rPr>
          <w:rStyle w:val="FootnoteReference"/>
          <w:rFonts w:cs="Arial"/>
          <w:sz w:val="20"/>
          <w:lang w:val="en-US"/>
        </w:rPr>
        <w:footnoteReference w:id="1866"/>
      </w:r>
      <w:r w:rsidRPr="00412620">
        <w:rPr>
          <w:sz w:val="20"/>
          <w:lang w:val="en-US"/>
        </w:rPr>
        <w:t xml:space="preserve">[(xiia) </w:t>
      </w:r>
      <w:r w:rsidRPr="00412620">
        <w:rPr>
          <w:sz w:val="20"/>
          <w:lang w:val="en-US"/>
        </w:rPr>
        <w:tab/>
        <w:t xml:space="preserve">The </w:t>
      </w:r>
      <w:r w:rsidRPr="00412620">
        <w:rPr>
          <w:snapToGrid w:val="0"/>
          <w:sz w:val="20"/>
        </w:rPr>
        <w:t>Prime Minister’s Special Fund for victims of terrorism.]</w:t>
      </w:r>
    </w:p>
    <w:p w:rsidR="00AA4BF8" w:rsidRPr="00412620" w:rsidRDefault="00AA4BF8" w:rsidP="00AA4BF8">
      <w:pPr>
        <w:autoSpaceDE w:val="0"/>
        <w:autoSpaceDN w:val="0"/>
        <w:adjustRightInd w:val="0"/>
        <w:ind w:left="1094" w:hanging="554"/>
        <w:rPr>
          <w:sz w:val="20"/>
          <w:lang w:val="en-US"/>
        </w:rPr>
      </w:pPr>
    </w:p>
    <w:p w:rsidR="00AA4BF8" w:rsidRPr="00412620" w:rsidRDefault="00AA4BF8" w:rsidP="00AA4BF8">
      <w:pPr>
        <w:autoSpaceDE w:val="0"/>
        <w:autoSpaceDN w:val="0"/>
        <w:adjustRightInd w:val="0"/>
        <w:ind w:left="1094" w:hanging="764"/>
        <w:rPr>
          <w:sz w:val="20"/>
          <w:lang w:val="en-US"/>
        </w:rPr>
      </w:pPr>
      <w:r w:rsidRPr="00412620">
        <w:rPr>
          <w:rStyle w:val="FootnoteReference"/>
          <w:rFonts w:cs="Arial"/>
          <w:sz w:val="20"/>
          <w:lang w:val="en-US"/>
        </w:rPr>
        <w:footnoteReference w:id="1867"/>
      </w:r>
      <w:r w:rsidRPr="00412620">
        <w:rPr>
          <w:sz w:val="20"/>
          <w:lang w:val="en-US"/>
        </w:rPr>
        <w:t>[(xiib)</w:t>
      </w:r>
      <w:r w:rsidRPr="00412620">
        <w:rPr>
          <w:sz w:val="20"/>
          <w:lang w:val="en-US"/>
        </w:rPr>
        <w:tab/>
        <w:t>Chief Minister’s (Punjab) Relief Fund for Internally Displaced Persons (IDPs) of NWFP.]</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left="1094" w:hanging="554"/>
        <w:jc w:val="both"/>
        <w:rPr>
          <w:sz w:val="20"/>
          <w:lang w:val="en-US"/>
        </w:rPr>
      </w:pPr>
      <w:r w:rsidRPr="00412620">
        <w:rPr>
          <w:sz w:val="20"/>
          <w:lang w:val="en-US"/>
        </w:rPr>
        <w:lastRenderedPageBreak/>
        <w:t xml:space="preserve">xiii. </w:t>
      </w:r>
      <w:r w:rsidRPr="00412620">
        <w:rPr>
          <w:sz w:val="20"/>
          <w:lang w:val="en-US"/>
        </w:rPr>
        <w:tab/>
        <w:t>The Institutions of the Agha Khan Development Network (Pakistan) as contained in Schedule 1 of the Accord and Protocol, dated November 13, 1994, executed between the Government of the Islamic Republic of Pakistan and the Agha Khan Development Network.</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firstLine="540"/>
        <w:rPr>
          <w:sz w:val="20"/>
          <w:lang w:val="en-US"/>
        </w:rPr>
      </w:pPr>
      <w:r w:rsidRPr="00412620">
        <w:rPr>
          <w:sz w:val="20"/>
          <w:lang w:val="en-US"/>
        </w:rPr>
        <w:t xml:space="preserve">xiv. </w:t>
      </w:r>
      <w:r w:rsidRPr="00412620">
        <w:rPr>
          <w:sz w:val="20"/>
          <w:lang w:val="en-US"/>
        </w:rPr>
        <w:tab/>
        <w:t>The Liaquat National Hospital Association, Karachi.</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rPr>
          <w:sz w:val="20"/>
          <w:lang w:val="en-US"/>
        </w:rPr>
      </w:pPr>
      <w:r w:rsidRPr="00412620">
        <w:rPr>
          <w:sz w:val="20"/>
          <w:lang w:val="en-US"/>
        </w:rPr>
        <w:tab/>
        <w:t xml:space="preserve">xv. </w:t>
      </w:r>
      <w:r w:rsidRPr="00412620">
        <w:rPr>
          <w:sz w:val="20"/>
          <w:lang w:val="en-US"/>
        </w:rPr>
        <w:tab/>
        <w:t>The Pakistan Council of Scientific and Industrial Research.</w:t>
      </w:r>
    </w:p>
    <w:p w:rsidR="00AA4BF8" w:rsidRPr="00412620" w:rsidRDefault="00AA4BF8" w:rsidP="00AA4BF8">
      <w:pPr>
        <w:autoSpaceDE w:val="0"/>
        <w:autoSpaceDN w:val="0"/>
        <w:adjustRightInd w:val="0"/>
        <w:rPr>
          <w:sz w:val="20"/>
          <w:lang w:val="en-US"/>
        </w:rPr>
      </w:pPr>
    </w:p>
    <w:p w:rsidR="00AA4BF8" w:rsidRPr="00412620" w:rsidRDefault="00AA4BF8" w:rsidP="00AA4BF8">
      <w:pPr>
        <w:autoSpaceDE w:val="0"/>
        <w:autoSpaceDN w:val="0"/>
        <w:adjustRightInd w:val="0"/>
        <w:ind w:left="1094" w:hanging="554"/>
        <w:jc w:val="both"/>
        <w:rPr>
          <w:sz w:val="20"/>
          <w:lang w:val="en-US"/>
        </w:rPr>
      </w:pPr>
      <w:r w:rsidRPr="00412620">
        <w:rPr>
          <w:sz w:val="20"/>
          <w:lang w:val="en-US"/>
        </w:rPr>
        <w:t xml:space="preserve">xvi. </w:t>
      </w:r>
      <w:r w:rsidRPr="00412620">
        <w:rPr>
          <w:sz w:val="20"/>
          <w:lang w:val="en-US"/>
        </w:rPr>
        <w:tab/>
        <w:t>The Pakistan Water and Power Development Authority established under the Pakistan Water and Power Development Authority Act, 1958 (W. P. Act XXXI of 1958).]</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68"/>
      </w:r>
      <w:r w:rsidRPr="00412620">
        <w:rPr>
          <w:snapToGrid w:val="0"/>
          <w:sz w:val="20"/>
        </w:rPr>
        <w:t>[xvii.</w:t>
      </w:r>
      <w:r w:rsidRPr="00412620">
        <w:rPr>
          <w:snapToGrid w:val="0"/>
          <w:sz w:val="20"/>
        </w:rPr>
        <w:tab/>
        <w:t>WAPDA First Sukuk Company Limited.]</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b/>
          <w:bCs/>
          <w:snapToGrid w:val="0"/>
          <w:sz w:val="20"/>
        </w:rPr>
      </w:pPr>
    </w:p>
    <w:p w:rsidR="00AA4BF8" w:rsidRPr="00412620" w:rsidRDefault="00AA4BF8" w:rsidP="00A55656">
      <w:pPr>
        <w:widowControl w:val="0"/>
        <w:ind w:left="1094" w:hanging="809"/>
        <w:jc w:val="both"/>
        <w:rPr>
          <w:snapToGrid w:val="0"/>
          <w:sz w:val="20"/>
        </w:rPr>
      </w:pPr>
      <w:r w:rsidRPr="00412620">
        <w:rPr>
          <w:rStyle w:val="FootnoteReference"/>
          <w:rFonts w:cs="Arial"/>
          <w:snapToGrid w:val="0"/>
          <w:sz w:val="20"/>
        </w:rPr>
        <w:footnoteReference w:id="1869"/>
      </w:r>
      <w:r w:rsidRPr="00412620">
        <w:rPr>
          <w:snapToGrid w:val="0"/>
          <w:sz w:val="20"/>
        </w:rPr>
        <w:t>[</w:t>
      </w:r>
      <w:r w:rsidR="00A55656">
        <w:rPr>
          <w:snapToGrid w:val="0"/>
          <w:sz w:val="20"/>
        </w:rPr>
        <w:t xml:space="preserve"> </w:t>
      </w:r>
      <w:r w:rsidR="00A55656" w:rsidRPr="00D47C20">
        <w:rPr>
          <w:rStyle w:val="FootnoteReference"/>
          <w:snapToGrid w:val="0"/>
          <w:color w:val="0070C0"/>
          <w:sz w:val="20"/>
        </w:rPr>
        <w:footnoteReference w:id="1870"/>
      </w:r>
      <w:r w:rsidR="00A55656" w:rsidRPr="00D47C20">
        <w:rPr>
          <w:snapToGrid w:val="0"/>
          <w:color w:val="0070C0"/>
          <w:sz w:val="20"/>
        </w:rPr>
        <w:t>[   ]</w:t>
      </w:r>
      <w:r w:rsidR="00A55656">
        <w:rPr>
          <w:snapToGrid w:val="0"/>
          <w:sz w:val="20"/>
        </w:rPr>
        <w:t xml:space="preserve"> ] </w:t>
      </w:r>
    </w:p>
    <w:p w:rsidR="00AA4BF8" w:rsidRPr="00412620" w:rsidRDefault="00AA4BF8" w:rsidP="00AA4BF8">
      <w:pPr>
        <w:widowControl w:val="0"/>
        <w:jc w:val="both"/>
        <w:rPr>
          <w:b/>
          <w:bCs/>
          <w:snapToGrid w:val="0"/>
          <w:sz w:val="20"/>
        </w:rPr>
      </w:pPr>
    </w:p>
    <w:p w:rsidR="00AA4BF8" w:rsidRPr="00412620" w:rsidRDefault="00AA4BF8" w:rsidP="00B46543">
      <w:pPr>
        <w:spacing w:before="120" w:after="120"/>
        <w:ind w:left="1170" w:hanging="810"/>
        <w:jc w:val="both"/>
        <w:rPr>
          <w:sz w:val="20"/>
        </w:rPr>
      </w:pPr>
      <w:r w:rsidRPr="00412620">
        <w:rPr>
          <w:rStyle w:val="FootnoteReference"/>
          <w:rFonts w:cs="Arial"/>
          <w:snapToGrid w:val="0"/>
          <w:sz w:val="20"/>
        </w:rPr>
        <w:footnoteReference w:id="1871"/>
      </w:r>
      <w:r w:rsidRPr="00412620">
        <w:rPr>
          <w:snapToGrid w:val="0"/>
          <w:sz w:val="20"/>
        </w:rPr>
        <w:t>[</w:t>
      </w:r>
      <w:r w:rsidRPr="00412620">
        <w:rPr>
          <w:sz w:val="20"/>
        </w:rPr>
        <w:t xml:space="preserve">(xix) </w:t>
      </w:r>
      <w:r w:rsidRPr="00412620">
        <w:rPr>
          <w:sz w:val="20"/>
        </w:rPr>
        <w:tab/>
        <w:t>Pension of a former President of Pakistan and his widow under the President Pension Act, 1974 (IX of 1975).]</w:t>
      </w:r>
    </w:p>
    <w:p w:rsidR="00AA4BF8" w:rsidRPr="00412620" w:rsidRDefault="00AA4BF8" w:rsidP="00AA4BF8">
      <w:pPr>
        <w:spacing w:before="120" w:after="120"/>
        <w:ind w:left="1094" w:hanging="689"/>
        <w:jc w:val="both"/>
        <w:rPr>
          <w:sz w:val="20"/>
        </w:rPr>
      </w:pPr>
      <w:r w:rsidRPr="00412620">
        <w:rPr>
          <w:rStyle w:val="FootnoteReference"/>
          <w:rFonts w:cs="Arial"/>
          <w:snapToGrid w:val="0"/>
          <w:sz w:val="20"/>
        </w:rPr>
        <w:footnoteReference w:id="1872"/>
      </w:r>
      <w:r w:rsidRPr="00412620">
        <w:rPr>
          <w:snapToGrid w:val="0"/>
          <w:sz w:val="20"/>
        </w:rPr>
        <w:t xml:space="preserve">[(xx) </w:t>
      </w:r>
      <w:r w:rsidRPr="00412620">
        <w:rPr>
          <w:snapToGrid w:val="0"/>
          <w:sz w:val="20"/>
        </w:rPr>
        <w:tab/>
        <w:t>State Bank of Pakistan and State Bank of Pakistan</w:t>
      </w:r>
      <w:r w:rsidRPr="00412620">
        <w:rPr>
          <w:sz w:val="20"/>
        </w:rPr>
        <w:t xml:space="preserve"> Banking Services Corporation.]</w:t>
      </w:r>
    </w:p>
    <w:p w:rsidR="00AA4BF8" w:rsidRPr="00412620" w:rsidRDefault="00AA4BF8" w:rsidP="00AA4BF8">
      <w:pPr>
        <w:spacing w:before="120" w:after="120"/>
        <w:ind w:left="1094" w:hanging="689"/>
        <w:jc w:val="both"/>
        <w:rPr>
          <w:sz w:val="20"/>
        </w:rPr>
      </w:pPr>
      <w:r w:rsidRPr="00412620">
        <w:rPr>
          <w:rStyle w:val="FootnoteReference"/>
          <w:rFonts w:cs="Arial"/>
          <w:sz w:val="20"/>
        </w:rPr>
        <w:footnoteReference w:id="1873"/>
      </w:r>
      <w:r w:rsidRPr="00412620">
        <w:rPr>
          <w:sz w:val="20"/>
        </w:rPr>
        <w:t xml:space="preserve">[(xxi) </w:t>
      </w:r>
      <w:r w:rsidRPr="00412620">
        <w:rPr>
          <w:sz w:val="20"/>
        </w:rPr>
        <w:tab/>
        <w:t>International Finance Corporation established under the International Finance Corporation Act, 1956 (XXVIII of 1956) and provided in section 9 of Article VI of Articles of Agreement 1955 as amended through April 1993.]</w:t>
      </w:r>
    </w:p>
    <w:p w:rsidR="00AA4BF8" w:rsidRPr="00412620" w:rsidRDefault="00AA4BF8" w:rsidP="00B46543">
      <w:pPr>
        <w:widowControl w:val="0"/>
        <w:ind w:firstLine="360"/>
        <w:jc w:val="both"/>
        <w:rPr>
          <w:snapToGrid w:val="0"/>
          <w:sz w:val="20"/>
        </w:rPr>
      </w:pPr>
      <w:r w:rsidRPr="00412620">
        <w:rPr>
          <w:rStyle w:val="FootnoteReference"/>
          <w:rFonts w:cs="Arial"/>
          <w:snapToGrid w:val="0"/>
          <w:sz w:val="20"/>
        </w:rPr>
        <w:footnoteReference w:id="1874"/>
      </w:r>
      <w:r w:rsidRPr="00412620">
        <w:rPr>
          <w:snapToGrid w:val="0"/>
          <w:sz w:val="20"/>
        </w:rPr>
        <w:t xml:space="preserve">[(xxii) </w:t>
      </w:r>
      <w:r w:rsidRPr="00412620">
        <w:rPr>
          <w:snapToGrid w:val="0"/>
          <w:sz w:val="20"/>
        </w:rPr>
        <w:tab/>
        <w:t>Pakistan Domestic Sukuk Company Ltd.]</w:t>
      </w:r>
    </w:p>
    <w:p w:rsidR="00AA4BF8" w:rsidRPr="001F607E" w:rsidRDefault="00AA4BF8" w:rsidP="00AA4BF8">
      <w:pPr>
        <w:widowControl w:val="0"/>
        <w:jc w:val="both"/>
        <w:rPr>
          <w:snapToGrid w:val="0"/>
          <w:sz w:val="12"/>
          <w:szCs w:val="12"/>
        </w:rPr>
      </w:pPr>
    </w:p>
    <w:p w:rsidR="00AA4BF8" w:rsidRPr="00412620" w:rsidRDefault="00AA4BF8" w:rsidP="00B46543">
      <w:pPr>
        <w:widowControl w:val="0"/>
        <w:ind w:left="164" w:firstLine="196"/>
        <w:jc w:val="both"/>
        <w:rPr>
          <w:snapToGrid w:val="0"/>
          <w:sz w:val="20"/>
        </w:rPr>
      </w:pPr>
      <w:r w:rsidRPr="00412620">
        <w:rPr>
          <w:rStyle w:val="FootnoteReference"/>
          <w:rFonts w:cs="Arial"/>
          <w:snapToGrid w:val="0"/>
          <w:sz w:val="20"/>
        </w:rPr>
        <w:footnoteReference w:id="1875"/>
      </w:r>
      <w:r w:rsidRPr="00412620">
        <w:rPr>
          <w:snapToGrid w:val="0"/>
          <w:sz w:val="20"/>
        </w:rPr>
        <w:t xml:space="preserve">[(xxiii) </w:t>
      </w:r>
      <w:r w:rsidRPr="00412620">
        <w:rPr>
          <w:snapToGrid w:val="0"/>
          <w:sz w:val="20"/>
        </w:rPr>
        <w:tab/>
        <w:t xml:space="preserve">The </w:t>
      </w:r>
      <w:r w:rsidRPr="00412620">
        <w:rPr>
          <w:sz w:val="20"/>
        </w:rPr>
        <w:t xml:space="preserve">Asian Development Bank established under the Asian </w:t>
      </w:r>
      <w:r w:rsidRPr="00412620">
        <w:rPr>
          <w:sz w:val="20"/>
        </w:rPr>
        <w:tab/>
      </w:r>
      <w:r w:rsidRPr="00412620">
        <w:rPr>
          <w:sz w:val="20"/>
        </w:rPr>
        <w:tab/>
      </w:r>
      <w:r w:rsidRPr="00412620">
        <w:rPr>
          <w:sz w:val="20"/>
        </w:rPr>
        <w:tab/>
      </w:r>
      <w:r w:rsidRPr="00412620">
        <w:rPr>
          <w:sz w:val="20"/>
        </w:rPr>
        <w:tab/>
        <w:t>Development Bank Ordinance, 1971 (IX of 1971).]</w:t>
      </w:r>
    </w:p>
    <w:p w:rsidR="00AA4BF8" w:rsidRPr="001F607E" w:rsidRDefault="00AA4BF8" w:rsidP="00AA4BF8">
      <w:pPr>
        <w:widowControl w:val="0"/>
        <w:jc w:val="both"/>
        <w:rPr>
          <w:snapToGrid w:val="0"/>
          <w:sz w:val="12"/>
          <w:szCs w:val="12"/>
        </w:rPr>
      </w:pPr>
    </w:p>
    <w:p w:rsidR="00AA4BF8" w:rsidRDefault="00AA4BF8" w:rsidP="00B46543">
      <w:pPr>
        <w:widowControl w:val="0"/>
        <w:ind w:firstLine="360"/>
        <w:jc w:val="both"/>
        <w:rPr>
          <w:snapToGrid w:val="0"/>
          <w:sz w:val="20"/>
        </w:rPr>
      </w:pPr>
      <w:r w:rsidRPr="007014F2">
        <w:rPr>
          <w:rStyle w:val="FootnoteReference"/>
          <w:rFonts w:cs="Arial"/>
          <w:snapToGrid w:val="0"/>
          <w:sz w:val="20"/>
        </w:rPr>
        <w:footnoteReference w:id="1876"/>
      </w:r>
      <w:r w:rsidRPr="007014F2">
        <w:rPr>
          <w:snapToGrid w:val="0"/>
          <w:sz w:val="20"/>
        </w:rPr>
        <w:t>[(xxiv)</w:t>
      </w:r>
      <w:r w:rsidR="003F3CFF">
        <w:rPr>
          <w:snapToGrid w:val="0"/>
          <w:sz w:val="20"/>
        </w:rPr>
        <w:tab/>
      </w:r>
      <w:r w:rsidRPr="007014F2">
        <w:rPr>
          <w:snapToGrid w:val="0"/>
          <w:sz w:val="20"/>
        </w:rPr>
        <w:t>The ECO Trade and Development Bank</w:t>
      </w:r>
      <w:r w:rsidR="00CC4068">
        <w:rPr>
          <w:snapToGrid w:val="0"/>
          <w:sz w:val="20"/>
        </w:rPr>
        <w:t>.</w:t>
      </w:r>
      <w:r w:rsidRPr="007014F2">
        <w:rPr>
          <w:snapToGrid w:val="0"/>
          <w:sz w:val="20"/>
        </w:rPr>
        <w:t>]</w:t>
      </w:r>
    </w:p>
    <w:p w:rsidR="00C7648D" w:rsidRPr="001F607E" w:rsidRDefault="00C7648D" w:rsidP="00AA4BF8">
      <w:pPr>
        <w:widowControl w:val="0"/>
        <w:jc w:val="both"/>
        <w:rPr>
          <w:snapToGrid w:val="0"/>
          <w:sz w:val="12"/>
          <w:szCs w:val="12"/>
        </w:rPr>
      </w:pPr>
    </w:p>
    <w:p w:rsidR="00AA4BF8" w:rsidRPr="00B46543" w:rsidRDefault="00AA4BF8" w:rsidP="000045FC">
      <w:pPr>
        <w:widowControl w:val="0"/>
        <w:ind w:left="1170" w:hanging="810"/>
        <w:jc w:val="both"/>
        <w:rPr>
          <w:snapToGrid w:val="0"/>
          <w:color w:val="000000" w:themeColor="text1"/>
          <w:sz w:val="20"/>
        </w:rPr>
      </w:pPr>
      <w:r w:rsidRPr="00B46543">
        <w:rPr>
          <w:rStyle w:val="FootnoteReference"/>
          <w:rFonts w:cs="Arial"/>
          <w:snapToGrid w:val="0"/>
          <w:color w:val="000000" w:themeColor="text1"/>
          <w:sz w:val="20"/>
        </w:rPr>
        <w:footnoteReference w:id="1877"/>
      </w:r>
      <w:r w:rsidRPr="00B46543">
        <w:rPr>
          <w:snapToGrid w:val="0"/>
          <w:color w:val="000000" w:themeColor="text1"/>
          <w:sz w:val="20"/>
        </w:rPr>
        <w:t>[</w:t>
      </w:r>
      <w:r w:rsidR="00BB1BC6" w:rsidRPr="00B46543">
        <w:rPr>
          <w:rStyle w:val="FootnoteReference"/>
          <w:snapToGrid w:val="0"/>
          <w:color w:val="000000" w:themeColor="text1"/>
          <w:sz w:val="20"/>
        </w:rPr>
        <w:footnoteReference w:id="1878"/>
      </w:r>
      <w:r w:rsidR="00BB1BC6" w:rsidRPr="00B46543">
        <w:rPr>
          <w:snapToGrid w:val="0"/>
          <w:color w:val="000000" w:themeColor="text1"/>
          <w:sz w:val="20"/>
        </w:rPr>
        <w:t>[</w:t>
      </w:r>
      <w:r w:rsidRPr="00B46543">
        <w:rPr>
          <w:snapToGrid w:val="0"/>
          <w:color w:val="000000" w:themeColor="text1"/>
          <w:sz w:val="20"/>
        </w:rPr>
        <w:t>(xxv)</w:t>
      </w:r>
      <w:r w:rsidR="00BB1BC6" w:rsidRPr="00B46543">
        <w:rPr>
          <w:snapToGrid w:val="0"/>
          <w:color w:val="000000" w:themeColor="text1"/>
          <w:sz w:val="20"/>
        </w:rPr>
        <w:t>]</w:t>
      </w:r>
      <w:r w:rsidRPr="00B46543">
        <w:rPr>
          <w:snapToGrid w:val="0"/>
          <w:color w:val="000000" w:themeColor="text1"/>
          <w:sz w:val="20"/>
        </w:rPr>
        <w:t xml:space="preserve">The Islamic Chamber of Commerce and Industry under the </w:t>
      </w:r>
      <w:r w:rsidRPr="00B46543">
        <w:rPr>
          <w:snapToGrid w:val="0"/>
          <w:color w:val="000000" w:themeColor="text1"/>
          <w:sz w:val="20"/>
        </w:rPr>
        <w:lastRenderedPageBreak/>
        <w:t>Organization of Islamic Conference (OIC).]</w:t>
      </w:r>
    </w:p>
    <w:p w:rsidR="00AA4BF8" w:rsidRPr="00B46543" w:rsidRDefault="00AA4BF8" w:rsidP="000A5E1D">
      <w:pPr>
        <w:widowControl w:val="0"/>
        <w:jc w:val="both"/>
        <w:rPr>
          <w:snapToGrid w:val="0"/>
          <w:color w:val="000000" w:themeColor="text1"/>
          <w:sz w:val="12"/>
          <w:szCs w:val="12"/>
        </w:rPr>
      </w:pPr>
    </w:p>
    <w:p w:rsidR="00AA4BF8" w:rsidRPr="00B46543" w:rsidRDefault="00AA4BF8" w:rsidP="004151FF">
      <w:pPr>
        <w:widowControl w:val="0"/>
        <w:tabs>
          <w:tab w:val="left" w:pos="1170"/>
        </w:tabs>
        <w:ind w:left="1170" w:hanging="810"/>
        <w:jc w:val="both"/>
        <w:rPr>
          <w:snapToGrid w:val="0"/>
          <w:color w:val="000000" w:themeColor="text1"/>
          <w:sz w:val="20"/>
        </w:rPr>
      </w:pPr>
      <w:r w:rsidRPr="00B46543">
        <w:rPr>
          <w:rStyle w:val="FootnoteReference"/>
          <w:rFonts w:cs="Arial"/>
          <w:snapToGrid w:val="0"/>
          <w:color w:val="000000" w:themeColor="text1"/>
          <w:sz w:val="20"/>
        </w:rPr>
        <w:footnoteReference w:id="1879"/>
      </w:r>
      <w:r w:rsidRPr="00B46543">
        <w:rPr>
          <w:snapToGrid w:val="0"/>
          <w:color w:val="000000" w:themeColor="text1"/>
          <w:sz w:val="20"/>
        </w:rPr>
        <w:t>[</w:t>
      </w:r>
      <w:r w:rsidR="00BB1BC6" w:rsidRPr="00B46543">
        <w:rPr>
          <w:snapToGrid w:val="0"/>
          <w:color w:val="000000" w:themeColor="text1"/>
          <w:sz w:val="20"/>
          <w:vertAlign w:val="superscript"/>
        </w:rPr>
        <w:t>8</w:t>
      </w:r>
      <w:r w:rsidR="00BB1BC6" w:rsidRPr="00B46543">
        <w:rPr>
          <w:snapToGrid w:val="0"/>
          <w:color w:val="000000" w:themeColor="text1"/>
          <w:sz w:val="20"/>
        </w:rPr>
        <w:t>[</w:t>
      </w:r>
      <w:r w:rsidRPr="00B46543">
        <w:rPr>
          <w:snapToGrid w:val="0"/>
          <w:color w:val="000000" w:themeColor="text1"/>
          <w:sz w:val="20"/>
        </w:rPr>
        <w:t>(xxv</w:t>
      </w:r>
      <w:r w:rsidR="0003664D" w:rsidRPr="00B46543">
        <w:rPr>
          <w:snapToGrid w:val="0"/>
          <w:color w:val="000000" w:themeColor="text1"/>
          <w:sz w:val="20"/>
        </w:rPr>
        <w:t>i</w:t>
      </w:r>
      <w:r w:rsidRPr="00B46543">
        <w:rPr>
          <w:snapToGrid w:val="0"/>
          <w:color w:val="000000" w:themeColor="text1"/>
          <w:sz w:val="20"/>
        </w:rPr>
        <w:t>)</w:t>
      </w:r>
      <w:r w:rsidR="00BB1BC6" w:rsidRPr="00B46543">
        <w:rPr>
          <w:snapToGrid w:val="0"/>
          <w:color w:val="000000" w:themeColor="text1"/>
          <w:sz w:val="20"/>
        </w:rPr>
        <w:t>]</w:t>
      </w:r>
      <w:r w:rsidRPr="00B46543">
        <w:rPr>
          <w:snapToGrid w:val="0"/>
          <w:color w:val="000000" w:themeColor="text1"/>
          <w:sz w:val="20"/>
        </w:rPr>
        <w:t>Commission on Science and Technology for Sustainable Development in the South (COMSATS) formed under International Agreement signed on 5</w:t>
      </w:r>
      <w:r w:rsidRPr="00B46543">
        <w:rPr>
          <w:snapToGrid w:val="0"/>
          <w:color w:val="000000" w:themeColor="text1"/>
          <w:sz w:val="20"/>
          <w:vertAlign w:val="superscript"/>
        </w:rPr>
        <w:t>th</w:t>
      </w:r>
      <w:r w:rsidRPr="00B46543">
        <w:rPr>
          <w:snapToGrid w:val="0"/>
          <w:color w:val="000000" w:themeColor="text1"/>
          <w:sz w:val="20"/>
        </w:rPr>
        <w:t xml:space="preserve"> October, 1994.]</w:t>
      </w:r>
    </w:p>
    <w:p w:rsidR="00AA4BF8" w:rsidRPr="00B46543" w:rsidRDefault="00AA4BF8" w:rsidP="000A5E1D">
      <w:pPr>
        <w:widowControl w:val="0"/>
        <w:jc w:val="both"/>
        <w:rPr>
          <w:snapToGrid w:val="0"/>
          <w:color w:val="000000" w:themeColor="text1"/>
          <w:sz w:val="12"/>
          <w:szCs w:val="12"/>
        </w:rPr>
      </w:pPr>
    </w:p>
    <w:p w:rsidR="00AA4BF8" w:rsidRPr="00B46543" w:rsidRDefault="00AA4BF8" w:rsidP="004151FF">
      <w:pPr>
        <w:widowControl w:val="0"/>
        <w:ind w:left="1170" w:hanging="810"/>
        <w:jc w:val="both"/>
        <w:rPr>
          <w:snapToGrid w:val="0"/>
          <w:color w:val="000000" w:themeColor="text1"/>
          <w:sz w:val="20"/>
        </w:rPr>
      </w:pPr>
      <w:r w:rsidRPr="00B46543">
        <w:rPr>
          <w:rStyle w:val="FootnoteReference"/>
          <w:rFonts w:cs="Arial"/>
          <w:snapToGrid w:val="0"/>
          <w:color w:val="000000" w:themeColor="text1"/>
          <w:sz w:val="20"/>
        </w:rPr>
        <w:footnoteReference w:id="1880"/>
      </w:r>
      <w:r w:rsidRPr="00B46543">
        <w:rPr>
          <w:snapToGrid w:val="0"/>
          <w:color w:val="000000" w:themeColor="text1"/>
          <w:sz w:val="20"/>
        </w:rPr>
        <w:t>[</w:t>
      </w:r>
      <w:r w:rsidR="00BB1BC6" w:rsidRPr="00B46543">
        <w:rPr>
          <w:snapToGrid w:val="0"/>
          <w:color w:val="000000" w:themeColor="text1"/>
          <w:sz w:val="20"/>
          <w:vertAlign w:val="superscript"/>
        </w:rPr>
        <w:t>8</w:t>
      </w:r>
      <w:r w:rsidR="00BB1BC6" w:rsidRPr="00B46543">
        <w:rPr>
          <w:snapToGrid w:val="0"/>
          <w:color w:val="000000" w:themeColor="text1"/>
          <w:sz w:val="20"/>
        </w:rPr>
        <w:t>[</w:t>
      </w:r>
      <w:r w:rsidRPr="00B46543">
        <w:rPr>
          <w:snapToGrid w:val="0"/>
          <w:color w:val="000000" w:themeColor="text1"/>
          <w:sz w:val="20"/>
        </w:rPr>
        <w:t>(xxvii)</w:t>
      </w:r>
      <w:r w:rsidR="00BB1BC6" w:rsidRPr="00B46543">
        <w:rPr>
          <w:snapToGrid w:val="0"/>
          <w:color w:val="000000" w:themeColor="text1"/>
          <w:sz w:val="20"/>
        </w:rPr>
        <w:t>]</w:t>
      </w:r>
      <w:r w:rsidRPr="00B46543">
        <w:rPr>
          <w:snapToGrid w:val="0"/>
          <w:color w:val="000000" w:themeColor="text1"/>
          <w:sz w:val="20"/>
        </w:rPr>
        <w:t>WAPDA on issuance of twenty billion rupees TFC’s / SUKUK certificates for consideration of Diamer</w:t>
      </w:r>
      <w:r w:rsidR="00716C91" w:rsidRPr="00B46543">
        <w:rPr>
          <w:snapToGrid w:val="0"/>
          <w:color w:val="000000" w:themeColor="text1"/>
          <w:sz w:val="20"/>
        </w:rPr>
        <w:t xml:space="preserve"> </w:t>
      </w:r>
      <w:r w:rsidRPr="00B46543">
        <w:rPr>
          <w:snapToGrid w:val="0"/>
          <w:color w:val="000000" w:themeColor="text1"/>
          <w:sz w:val="20"/>
        </w:rPr>
        <w:t>Bhasha Dam Projects.]</w:t>
      </w:r>
    </w:p>
    <w:p w:rsidR="00AA4BF8" w:rsidRPr="00B46543" w:rsidRDefault="00AA4BF8" w:rsidP="000A5E1D">
      <w:pPr>
        <w:widowControl w:val="0"/>
        <w:jc w:val="both"/>
        <w:rPr>
          <w:snapToGrid w:val="0"/>
          <w:color w:val="000000" w:themeColor="text1"/>
          <w:sz w:val="12"/>
          <w:szCs w:val="12"/>
        </w:rPr>
      </w:pPr>
    </w:p>
    <w:p w:rsidR="00AA4BF8" w:rsidRPr="00B46543" w:rsidRDefault="00AA4BF8" w:rsidP="00B46543">
      <w:pPr>
        <w:widowControl w:val="0"/>
        <w:ind w:firstLine="360"/>
        <w:jc w:val="both"/>
        <w:rPr>
          <w:snapToGrid w:val="0"/>
          <w:color w:val="000000" w:themeColor="text1"/>
          <w:sz w:val="20"/>
        </w:rPr>
      </w:pPr>
      <w:r w:rsidRPr="00B46543">
        <w:rPr>
          <w:rStyle w:val="FootnoteReference"/>
          <w:rFonts w:cs="Arial"/>
          <w:snapToGrid w:val="0"/>
          <w:color w:val="000000" w:themeColor="text1"/>
          <w:sz w:val="20"/>
        </w:rPr>
        <w:footnoteReference w:id="1881"/>
      </w:r>
      <w:r w:rsidRPr="00B46543">
        <w:rPr>
          <w:snapToGrid w:val="0"/>
          <w:color w:val="000000" w:themeColor="text1"/>
          <w:sz w:val="20"/>
        </w:rPr>
        <w:t>[</w:t>
      </w:r>
      <w:r w:rsidR="00BB1BC6" w:rsidRPr="00B46543">
        <w:rPr>
          <w:snapToGrid w:val="0"/>
          <w:color w:val="000000" w:themeColor="text1"/>
          <w:sz w:val="20"/>
          <w:vertAlign w:val="superscript"/>
        </w:rPr>
        <w:t>8</w:t>
      </w:r>
      <w:r w:rsidR="00BB1BC6" w:rsidRPr="00B46543">
        <w:rPr>
          <w:snapToGrid w:val="0"/>
          <w:color w:val="000000" w:themeColor="text1"/>
          <w:sz w:val="20"/>
        </w:rPr>
        <w:t>[</w:t>
      </w:r>
      <w:r w:rsidRPr="00B46543">
        <w:rPr>
          <w:snapToGrid w:val="0"/>
          <w:color w:val="000000" w:themeColor="text1"/>
          <w:sz w:val="20"/>
        </w:rPr>
        <w:t>(xx</w:t>
      </w:r>
      <w:r w:rsidR="000E2748" w:rsidRPr="00B46543">
        <w:rPr>
          <w:snapToGrid w:val="0"/>
          <w:color w:val="000000" w:themeColor="text1"/>
          <w:sz w:val="20"/>
        </w:rPr>
        <w:t>viii</w:t>
      </w:r>
      <w:r w:rsidRPr="00B46543">
        <w:rPr>
          <w:snapToGrid w:val="0"/>
          <w:color w:val="000000" w:themeColor="text1"/>
          <w:sz w:val="20"/>
        </w:rPr>
        <w:t>)</w:t>
      </w:r>
      <w:r w:rsidR="00BB1BC6" w:rsidRPr="00B46543">
        <w:rPr>
          <w:snapToGrid w:val="0"/>
          <w:color w:val="000000" w:themeColor="text1"/>
          <w:sz w:val="20"/>
        </w:rPr>
        <w:t>]</w:t>
      </w:r>
      <w:r w:rsidRPr="00B46543">
        <w:rPr>
          <w:snapToGrid w:val="0"/>
          <w:color w:val="000000" w:themeColor="text1"/>
          <w:sz w:val="20"/>
        </w:rPr>
        <w:t>Federal Board of Revenue Foundation.]</w:t>
      </w:r>
    </w:p>
    <w:p w:rsidR="00AA4BF8" w:rsidRPr="00B46543" w:rsidRDefault="00AA4BF8" w:rsidP="000A5E1D">
      <w:pPr>
        <w:widowControl w:val="0"/>
        <w:jc w:val="both"/>
        <w:rPr>
          <w:snapToGrid w:val="0"/>
          <w:color w:val="000000" w:themeColor="text1"/>
          <w:sz w:val="12"/>
          <w:szCs w:val="12"/>
        </w:rPr>
      </w:pPr>
    </w:p>
    <w:p w:rsidR="00AA4BF8" w:rsidRPr="00B46543" w:rsidRDefault="00AA4BF8" w:rsidP="00B46543">
      <w:pPr>
        <w:widowControl w:val="0"/>
        <w:ind w:firstLine="360"/>
        <w:jc w:val="both"/>
        <w:rPr>
          <w:snapToGrid w:val="0"/>
          <w:color w:val="000000" w:themeColor="text1"/>
          <w:sz w:val="20"/>
        </w:rPr>
      </w:pPr>
      <w:r w:rsidRPr="00B46543">
        <w:rPr>
          <w:rStyle w:val="FootnoteReference"/>
          <w:rFonts w:cs="Arial"/>
          <w:snapToGrid w:val="0"/>
          <w:color w:val="000000" w:themeColor="text1"/>
          <w:sz w:val="20"/>
        </w:rPr>
        <w:footnoteReference w:id="1882"/>
      </w:r>
      <w:r w:rsidR="000E2748" w:rsidRPr="00B46543">
        <w:rPr>
          <w:snapToGrid w:val="0"/>
          <w:color w:val="000000" w:themeColor="text1"/>
          <w:sz w:val="20"/>
        </w:rPr>
        <w:t>[</w:t>
      </w:r>
      <w:r w:rsidR="00BB1BC6" w:rsidRPr="00B46543">
        <w:rPr>
          <w:snapToGrid w:val="0"/>
          <w:color w:val="000000" w:themeColor="text1"/>
          <w:sz w:val="20"/>
          <w:vertAlign w:val="superscript"/>
        </w:rPr>
        <w:t>8</w:t>
      </w:r>
      <w:r w:rsidR="00BB1BC6" w:rsidRPr="00B46543">
        <w:rPr>
          <w:snapToGrid w:val="0"/>
          <w:color w:val="000000" w:themeColor="text1"/>
          <w:sz w:val="20"/>
        </w:rPr>
        <w:t>[</w:t>
      </w:r>
      <w:r w:rsidR="000E2748" w:rsidRPr="00B46543">
        <w:rPr>
          <w:snapToGrid w:val="0"/>
          <w:color w:val="000000" w:themeColor="text1"/>
          <w:sz w:val="20"/>
        </w:rPr>
        <w:t>(xx</w:t>
      </w:r>
      <w:r w:rsidR="0003664D" w:rsidRPr="00B46543">
        <w:rPr>
          <w:snapToGrid w:val="0"/>
          <w:color w:val="000000" w:themeColor="text1"/>
          <w:sz w:val="20"/>
        </w:rPr>
        <w:t>ix</w:t>
      </w:r>
      <w:r w:rsidRPr="00B46543">
        <w:rPr>
          <w:snapToGrid w:val="0"/>
          <w:color w:val="000000" w:themeColor="text1"/>
          <w:sz w:val="20"/>
        </w:rPr>
        <w:t>)</w:t>
      </w:r>
      <w:r w:rsidR="00BB1BC6" w:rsidRPr="00B46543">
        <w:rPr>
          <w:snapToGrid w:val="0"/>
          <w:color w:val="000000" w:themeColor="text1"/>
          <w:sz w:val="20"/>
        </w:rPr>
        <w:t>]</w:t>
      </w:r>
      <w:r w:rsidRPr="00B46543">
        <w:rPr>
          <w:snapToGrid w:val="0"/>
          <w:color w:val="000000" w:themeColor="text1"/>
          <w:sz w:val="20"/>
        </w:rPr>
        <w:t xml:space="preserve"> WAPDA Second Sukuk Company Limited.]</w:t>
      </w:r>
    </w:p>
    <w:p w:rsidR="00BB0E8B" w:rsidRPr="001F607E" w:rsidRDefault="00BB0E8B" w:rsidP="000A5E1D">
      <w:pPr>
        <w:widowControl w:val="0"/>
        <w:jc w:val="both"/>
        <w:rPr>
          <w:snapToGrid w:val="0"/>
          <w:color w:val="00B0F0"/>
          <w:sz w:val="12"/>
          <w:szCs w:val="12"/>
        </w:rPr>
      </w:pPr>
    </w:p>
    <w:p w:rsidR="000E2748" w:rsidRPr="00B46543" w:rsidRDefault="00286ED1" w:rsidP="000A5E1D">
      <w:pPr>
        <w:widowControl w:val="0"/>
        <w:jc w:val="both"/>
        <w:rPr>
          <w:snapToGrid w:val="0"/>
          <w:color w:val="000000" w:themeColor="text1"/>
          <w:sz w:val="20"/>
        </w:rPr>
      </w:pPr>
      <w:r w:rsidRPr="00B46543">
        <w:rPr>
          <w:rStyle w:val="FootnoteReference"/>
          <w:snapToGrid w:val="0"/>
          <w:color w:val="000000" w:themeColor="text1"/>
          <w:sz w:val="20"/>
        </w:rPr>
        <w:footnoteReference w:id="1883"/>
      </w:r>
      <w:r w:rsidR="000E2748" w:rsidRPr="00B46543">
        <w:rPr>
          <w:snapToGrid w:val="0"/>
          <w:color w:val="000000" w:themeColor="text1"/>
          <w:sz w:val="20"/>
        </w:rPr>
        <w:t>[</w:t>
      </w:r>
      <w:r w:rsidR="00BB1BC6" w:rsidRPr="00B46543">
        <w:rPr>
          <w:snapToGrid w:val="0"/>
          <w:color w:val="000000" w:themeColor="text1"/>
          <w:sz w:val="20"/>
          <w:vertAlign w:val="superscript"/>
        </w:rPr>
        <w:t>8</w:t>
      </w:r>
      <w:r w:rsidR="00BB1BC6" w:rsidRPr="00B46543">
        <w:rPr>
          <w:snapToGrid w:val="0"/>
          <w:color w:val="000000" w:themeColor="text1"/>
          <w:sz w:val="20"/>
        </w:rPr>
        <w:t xml:space="preserve"> [</w:t>
      </w:r>
      <w:r w:rsidR="000E2748" w:rsidRPr="00B46543">
        <w:rPr>
          <w:snapToGrid w:val="0"/>
          <w:color w:val="000000" w:themeColor="text1"/>
          <w:sz w:val="20"/>
        </w:rPr>
        <w:t>(xx</w:t>
      </w:r>
      <w:r w:rsidR="0003664D" w:rsidRPr="00B46543">
        <w:rPr>
          <w:snapToGrid w:val="0"/>
          <w:color w:val="000000" w:themeColor="text1"/>
          <w:sz w:val="20"/>
        </w:rPr>
        <w:t>x</w:t>
      </w:r>
      <w:r w:rsidR="000E2748" w:rsidRPr="00B46543">
        <w:rPr>
          <w:snapToGrid w:val="0"/>
          <w:color w:val="000000" w:themeColor="text1"/>
          <w:sz w:val="20"/>
        </w:rPr>
        <w:t>)</w:t>
      </w:r>
      <w:r w:rsidR="00BB1BC6" w:rsidRPr="00B46543">
        <w:rPr>
          <w:snapToGrid w:val="0"/>
          <w:color w:val="000000" w:themeColor="text1"/>
          <w:sz w:val="20"/>
        </w:rPr>
        <w:t>]</w:t>
      </w:r>
      <w:r w:rsidR="000E2748" w:rsidRPr="00B46543">
        <w:rPr>
          <w:snapToGrid w:val="0"/>
          <w:color w:val="000000" w:themeColor="text1"/>
          <w:sz w:val="20"/>
        </w:rPr>
        <w:t>The Citizens Foundation.]</w:t>
      </w:r>
    </w:p>
    <w:p w:rsidR="00AA4BF8" w:rsidRPr="00B46543" w:rsidRDefault="00AA4BF8" w:rsidP="000A5E1D">
      <w:pPr>
        <w:widowControl w:val="0"/>
        <w:jc w:val="both"/>
        <w:rPr>
          <w:snapToGrid w:val="0"/>
          <w:color w:val="000000" w:themeColor="text1"/>
          <w:sz w:val="12"/>
          <w:szCs w:val="12"/>
        </w:rPr>
      </w:pPr>
    </w:p>
    <w:p w:rsidR="00866443" w:rsidRPr="00B46543" w:rsidRDefault="00AA4BF8" w:rsidP="000A5E1D">
      <w:pPr>
        <w:widowControl w:val="0"/>
        <w:jc w:val="both"/>
        <w:rPr>
          <w:snapToGrid w:val="0"/>
          <w:color w:val="000000" w:themeColor="text1"/>
          <w:sz w:val="20"/>
        </w:rPr>
      </w:pPr>
      <w:r w:rsidRPr="00B46543">
        <w:rPr>
          <w:rStyle w:val="FootnoteReference"/>
          <w:rFonts w:cs="Arial"/>
          <w:snapToGrid w:val="0"/>
          <w:color w:val="000000" w:themeColor="text1"/>
          <w:sz w:val="20"/>
        </w:rPr>
        <w:footnoteReference w:id="1884"/>
      </w:r>
      <w:r w:rsidRPr="00B46543">
        <w:rPr>
          <w:snapToGrid w:val="0"/>
          <w:color w:val="000000" w:themeColor="text1"/>
          <w:sz w:val="20"/>
        </w:rPr>
        <w:t>[</w:t>
      </w:r>
      <w:r w:rsidR="00BB1BC6" w:rsidRPr="00B46543">
        <w:rPr>
          <w:snapToGrid w:val="0"/>
          <w:color w:val="000000" w:themeColor="text1"/>
          <w:sz w:val="20"/>
          <w:vertAlign w:val="superscript"/>
        </w:rPr>
        <w:t>8</w:t>
      </w:r>
      <w:r w:rsidR="00BB1BC6" w:rsidRPr="00B46543">
        <w:rPr>
          <w:snapToGrid w:val="0"/>
          <w:color w:val="000000" w:themeColor="text1"/>
          <w:sz w:val="20"/>
        </w:rPr>
        <w:t>[</w:t>
      </w:r>
      <w:r w:rsidRPr="00B46543">
        <w:rPr>
          <w:snapToGrid w:val="0"/>
          <w:color w:val="000000" w:themeColor="text1"/>
          <w:sz w:val="20"/>
        </w:rPr>
        <w:t>(xxx</w:t>
      </w:r>
      <w:r w:rsidR="0003664D" w:rsidRPr="00B46543">
        <w:rPr>
          <w:snapToGrid w:val="0"/>
          <w:color w:val="000000" w:themeColor="text1"/>
          <w:sz w:val="20"/>
        </w:rPr>
        <w:t>i</w:t>
      </w:r>
      <w:r w:rsidRPr="00B46543">
        <w:rPr>
          <w:snapToGrid w:val="0"/>
          <w:color w:val="000000" w:themeColor="text1"/>
          <w:sz w:val="20"/>
        </w:rPr>
        <w:t>)</w:t>
      </w:r>
      <w:r w:rsidR="00BB1BC6" w:rsidRPr="00B46543">
        <w:rPr>
          <w:snapToGrid w:val="0"/>
          <w:color w:val="000000" w:themeColor="text1"/>
          <w:sz w:val="20"/>
        </w:rPr>
        <w:t>]</w:t>
      </w:r>
      <w:r w:rsidR="004D1AB2" w:rsidRPr="00B46543">
        <w:rPr>
          <w:snapToGrid w:val="0"/>
          <w:color w:val="000000" w:themeColor="text1"/>
          <w:sz w:val="20"/>
        </w:rPr>
        <w:t xml:space="preserve"> </w:t>
      </w:r>
      <w:r w:rsidRPr="00B46543">
        <w:rPr>
          <w:snapToGrid w:val="0"/>
          <w:color w:val="000000" w:themeColor="text1"/>
          <w:sz w:val="20"/>
        </w:rPr>
        <w:t xml:space="preserve">Sindh Institute of Urology and Transplantation, SIUT Trust and </w:t>
      </w:r>
      <w:r w:rsidRPr="00B46543">
        <w:rPr>
          <w:snapToGrid w:val="0"/>
          <w:color w:val="000000" w:themeColor="text1"/>
          <w:sz w:val="20"/>
        </w:rPr>
        <w:tab/>
      </w:r>
      <w:r w:rsidRPr="00B46543">
        <w:rPr>
          <w:snapToGrid w:val="0"/>
          <w:color w:val="000000" w:themeColor="text1"/>
          <w:sz w:val="20"/>
        </w:rPr>
        <w:tab/>
      </w:r>
      <w:r w:rsidRPr="00B46543">
        <w:rPr>
          <w:snapToGrid w:val="0"/>
          <w:color w:val="000000" w:themeColor="text1"/>
          <w:sz w:val="20"/>
        </w:rPr>
        <w:tab/>
      </w:r>
      <w:r w:rsidR="00B46543">
        <w:rPr>
          <w:snapToGrid w:val="0"/>
          <w:color w:val="000000" w:themeColor="text1"/>
          <w:sz w:val="20"/>
        </w:rPr>
        <w:tab/>
      </w:r>
      <w:r w:rsidRPr="00B46543">
        <w:rPr>
          <w:snapToGrid w:val="0"/>
          <w:color w:val="000000" w:themeColor="text1"/>
          <w:sz w:val="20"/>
        </w:rPr>
        <w:t>Society for Welfare of Patients of SIUT.]</w:t>
      </w:r>
    </w:p>
    <w:p w:rsidR="00866443" w:rsidRDefault="00866443" w:rsidP="000A5E1D">
      <w:pPr>
        <w:widowControl w:val="0"/>
        <w:jc w:val="both"/>
        <w:rPr>
          <w:snapToGrid w:val="0"/>
          <w:color w:val="00B0F0"/>
          <w:sz w:val="20"/>
        </w:rPr>
      </w:pPr>
    </w:p>
    <w:p w:rsidR="00AA4BF8" w:rsidRPr="00FA5556" w:rsidRDefault="00AA4BF8" w:rsidP="000A5E1D">
      <w:pPr>
        <w:widowControl w:val="0"/>
        <w:jc w:val="both"/>
        <w:rPr>
          <w:snapToGrid w:val="0"/>
          <w:color w:val="000000" w:themeColor="text1"/>
          <w:sz w:val="20"/>
        </w:rPr>
      </w:pPr>
      <w:r w:rsidRPr="00FA5556">
        <w:rPr>
          <w:rStyle w:val="FootnoteReference"/>
          <w:snapToGrid w:val="0"/>
          <w:color w:val="000000" w:themeColor="text1"/>
          <w:sz w:val="20"/>
        </w:rPr>
        <w:footnoteReference w:id="1885"/>
      </w:r>
      <w:r w:rsidR="007014F2" w:rsidRPr="00FA5556">
        <w:rPr>
          <w:snapToGrid w:val="0"/>
          <w:color w:val="000000" w:themeColor="text1"/>
          <w:sz w:val="20"/>
        </w:rPr>
        <w:t>[</w:t>
      </w:r>
      <w:r w:rsidR="008F382A" w:rsidRPr="00FA5556">
        <w:rPr>
          <w:rStyle w:val="FootnoteReference"/>
          <w:snapToGrid w:val="0"/>
          <w:color w:val="000000" w:themeColor="text1"/>
          <w:sz w:val="20"/>
        </w:rPr>
        <w:footnoteReference w:id="1886"/>
      </w:r>
      <w:r w:rsidR="005F621D" w:rsidRPr="00FA5556">
        <w:rPr>
          <w:snapToGrid w:val="0"/>
          <w:color w:val="000000" w:themeColor="text1"/>
          <w:sz w:val="20"/>
        </w:rPr>
        <w:t>[“(</w:t>
      </w:r>
      <w:r w:rsidRPr="00FA5556">
        <w:rPr>
          <w:snapToGrid w:val="0"/>
          <w:color w:val="000000" w:themeColor="text1"/>
          <w:sz w:val="20"/>
        </w:rPr>
        <w:t>xxx</w:t>
      </w:r>
      <w:r w:rsidR="008F382A" w:rsidRPr="00FA5556">
        <w:rPr>
          <w:snapToGrid w:val="0"/>
          <w:color w:val="000000" w:themeColor="text1"/>
          <w:sz w:val="20"/>
        </w:rPr>
        <w:t>ii</w:t>
      </w:r>
      <w:r w:rsidR="005F621D" w:rsidRPr="00FA5556">
        <w:rPr>
          <w:snapToGrid w:val="0"/>
          <w:color w:val="000000" w:themeColor="text1"/>
          <w:sz w:val="20"/>
        </w:rPr>
        <w:t>)”</w:t>
      </w:r>
      <w:r w:rsidRPr="00FA5556">
        <w:rPr>
          <w:snapToGrid w:val="0"/>
          <w:color w:val="000000" w:themeColor="text1"/>
          <w:sz w:val="20"/>
        </w:rPr>
        <w:t>Greenstar Social Marketing Pakistan (Guarantee) Li</w:t>
      </w:r>
      <w:r w:rsidR="007014F2" w:rsidRPr="00FA5556">
        <w:rPr>
          <w:snapToGrid w:val="0"/>
          <w:color w:val="000000" w:themeColor="text1"/>
          <w:sz w:val="20"/>
        </w:rPr>
        <w:t>mited.</w:t>
      </w:r>
      <w:r w:rsidR="00967790" w:rsidRPr="00FA5556">
        <w:rPr>
          <w:snapToGrid w:val="0"/>
          <w:color w:val="000000" w:themeColor="text1"/>
          <w:sz w:val="20"/>
        </w:rPr>
        <w:t>]</w:t>
      </w:r>
      <w:r w:rsidR="00B46543" w:rsidRPr="00FA5556">
        <w:rPr>
          <w:snapToGrid w:val="0"/>
          <w:color w:val="000000" w:themeColor="text1"/>
          <w:sz w:val="20"/>
        </w:rPr>
        <w:t xml:space="preserve"> </w:t>
      </w:r>
      <w:r w:rsidR="007014F2" w:rsidRPr="00FA5556">
        <w:rPr>
          <w:snapToGrid w:val="0"/>
          <w:color w:val="000000" w:themeColor="text1"/>
          <w:sz w:val="20"/>
        </w:rPr>
        <w:t>]</w:t>
      </w:r>
    </w:p>
    <w:p w:rsidR="008F730B" w:rsidRPr="00FA5556" w:rsidRDefault="008F730B" w:rsidP="000A5E1D">
      <w:pPr>
        <w:widowControl w:val="0"/>
        <w:jc w:val="both"/>
        <w:rPr>
          <w:snapToGrid w:val="0"/>
          <w:color w:val="000000" w:themeColor="text1"/>
          <w:sz w:val="20"/>
        </w:rPr>
      </w:pPr>
    </w:p>
    <w:p w:rsidR="006A568C" w:rsidRPr="00FA5556" w:rsidRDefault="00CE402D" w:rsidP="000A5E1D">
      <w:pPr>
        <w:widowControl w:val="0"/>
        <w:jc w:val="both"/>
        <w:rPr>
          <w:rFonts w:cs="Arial"/>
          <w:color w:val="000000" w:themeColor="text1"/>
          <w:sz w:val="20"/>
          <w:lang w:val="en-US"/>
        </w:rPr>
      </w:pPr>
      <w:r w:rsidRPr="00FA5556">
        <w:rPr>
          <w:rStyle w:val="FootnoteReference"/>
          <w:snapToGrid w:val="0"/>
          <w:color w:val="000000" w:themeColor="text1"/>
          <w:sz w:val="20"/>
        </w:rPr>
        <w:footnoteReference w:id="1887"/>
      </w:r>
      <w:r w:rsidR="008F730B" w:rsidRPr="00FA5556">
        <w:rPr>
          <w:snapToGrid w:val="0"/>
          <w:color w:val="000000" w:themeColor="text1"/>
          <w:sz w:val="20"/>
        </w:rPr>
        <w:t>[“</w:t>
      </w:r>
      <w:r w:rsidR="008F730B" w:rsidRPr="00FA5556">
        <w:rPr>
          <w:rFonts w:cs="Arial"/>
          <w:color w:val="000000" w:themeColor="text1"/>
          <w:sz w:val="20"/>
          <w:lang w:val="en-US"/>
        </w:rPr>
        <w:t xml:space="preserve">(xxxiii) </w:t>
      </w:r>
      <w:r w:rsidR="008F730B" w:rsidRPr="00FA5556">
        <w:rPr>
          <w:rFonts w:ascii="Times New Roman" w:hAnsi="Times New Roman"/>
          <w:color w:val="000000" w:themeColor="text1"/>
          <w:szCs w:val="24"/>
        </w:rPr>
        <w:t>Pakistan International Sukuk Company Limited</w:t>
      </w:r>
      <w:r w:rsidR="008F730B" w:rsidRPr="00FA5556">
        <w:rPr>
          <w:rFonts w:cs="Arial"/>
          <w:color w:val="000000" w:themeColor="text1"/>
          <w:sz w:val="20"/>
          <w:lang w:val="en-US"/>
        </w:rPr>
        <w:t>.”]</w:t>
      </w:r>
    </w:p>
    <w:p w:rsidR="00CE402D" w:rsidRPr="00FA5556" w:rsidRDefault="00CE402D" w:rsidP="000A5E1D">
      <w:pPr>
        <w:widowControl w:val="0"/>
        <w:jc w:val="both"/>
        <w:rPr>
          <w:rFonts w:cs="Arial"/>
          <w:color w:val="000000" w:themeColor="text1"/>
          <w:sz w:val="20"/>
          <w:lang w:val="en-US"/>
        </w:rPr>
      </w:pPr>
    </w:p>
    <w:p w:rsidR="006A568C" w:rsidRPr="00FA5556" w:rsidRDefault="006A568C" w:rsidP="000A5E1D">
      <w:pPr>
        <w:widowControl w:val="0"/>
        <w:jc w:val="both"/>
        <w:rPr>
          <w:rFonts w:cs="Arial"/>
          <w:color w:val="000000" w:themeColor="text1"/>
          <w:sz w:val="20"/>
          <w:lang w:val="en-US"/>
        </w:rPr>
      </w:pPr>
      <w:r w:rsidRPr="00FA5556">
        <w:rPr>
          <w:rStyle w:val="FootnoteReference"/>
          <w:snapToGrid w:val="0"/>
          <w:color w:val="000000" w:themeColor="text1"/>
          <w:sz w:val="20"/>
        </w:rPr>
        <w:footnoteReference w:id="1888"/>
      </w:r>
      <w:r w:rsidRPr="00FA5556">
        <w:rPr>
          <w:snapToGrid w:val="0"/>
          <w:color w:val="000000" w:themeColor="text1"/>
          <w:sz w:val="20"/>
        </w:rPr>
        <w:t>[“</w:t>
      </w:r>
      <w:r w:rsidRPr="00FA5556">
        <w:rPr>
          <w:rFonts w:cs="Arial"/>
          <w:color w:val="000000" w:themeColor="text1"/>
          <w:sz w:val="20"/>
          <w:lang w:val="en-US"/>
        </w:rPr>
        <w:t>(xxxiii) The Indus Hospital, Karachi.”]</w:t>
      </w:r>
    </w:p>
    <w:p w:rsidR="00CE402D" w:rsidRPr="00FA5556" w:rsidRDefault="00CE402D" w:rsidP="000A5E1D">
      <w:pPr>
        <w:widowControl w:val="0"/>
        <w:jc w:val="both"/>
        <w:rPr>
          <w:rFonts w:cs="Arial"/>
          <w:color w:val="000000" w:themeColor="text1"/>
          <w:sz w:val="20"/>
          <w:lang w:val="en-US"/>
        </w:rPr>
      </w:pPr>
    </w:p>
    <w:p w:rsidR="00CE402D" w:rsidRPr="00FA5556" w:rsidRDefault="00CE402D" w:rsidP="00CE402D">
      <w:pPr>
        <w:widowControl w:val="0"/>
        <w:jc w:val="both"/>
        <w:rPr>
          <w:rFonts w:cs="Arial"/>
          <w:color w:val="000000" w:themeColor="text1"/>
          <w:sz w:val="20"/>
          <w:lang w:val="en-US"/>
        </w:rPr>
      </w:pPr>
      <w:r w:rsidRPr="00FA5556">
        <w:rPr>
          <w:rStyle w:val="FootnoteReference"/>
          <w:snapToGrid w:val="0"/>
          <w:color w:val="000000" w:themeColor="text1"/>
          <w:sz w:val="20"/>
        </w:rPr>
        <w:footnoteReference w:id="1889"/>
      </w:r>
      <w:r w:rsidRPr="00FA5556">
        <w:rPr>
          <w:snapToGrid w:val="0"/>
          <w:color w:val="000000" w:themeColor="text1"/>
          <w:sz w:val="20"/>
        </w:rPr>
        <w:t>[“</w:t>
      </w:r>
      <w:r w:rsidR="004E2D9B" w:rsidRPr="00FA5556">
        <w:rPr>
          <w:rFonts w:cs="Arial"/>
          <w:color w:val="000000" w:themeColor="text1"/>
          <w:sz w:val="20"/>
          <w:lang w:val="en-US"/>
        </w:rPr>
        <w:t>(xxxiv</w:t>
      </w:r>
      <w:r w:rsidRPr="00FA5556">
        <w:rPr>
          <w:rFonts w:cs="Arial"/>
          <w:color w:val="000000" w:themeColor="text1"/>
          <w:sz w:val="20"/>
          <w:lang w:val="en-US"/>
        </w:rPr>
        <w:t xml:space="preserve">) Second </w:t>
      </w:r>
      <w:r w:rsidRPr="00FA5556">
        <w:rPr>
          <w:rFonts w:ascii="Times New Roman" w:hAnsi="Times New Roman"/>
          <w:color w:val="000000" w:themeColor="text1"/>
          <w:szCs w:val="24"/>
        </w:rPr>
        <w:t>Pakistan International Sukuk Company Limited</w:t>
      </w:r>
      <w:r w:rsidRPr="00FA5556">
        <w:rPr>
          <w:rFonts w:cs="Arial"/>
          <w:color w:val="000000" w:themeColor="text1"/>
          <w:sz w:val="20"/>
          <w:lang w:val="en-US"/>
        </w:rPr>
        <w:t>.”]</w:t>
      </w:r>
    </w:p>
    <w:p w:rsidR="00CE402D" w:rsidRDefault="00CE402D" w:rsidP="000A5E1D">
      <w:pPr>
        <w:widowControl w:val="0"/>
        <w:jc w:val="both"/>
        <w:rPr>
          <w:rFonts w:cs="Arial"/>
          <w:color w:val="984806" w:themeColor="accent6" w:themeShade="80"/>
          <w:sz w:val="20"/>
          <w:lang w:val="en-US"/>
        </w:rPr>
      </w:pPr>
    </w:p>
    <w:p w:rsidR="00A87EB8" w:rsidRDefault="00A87EB8" w:rsidP="000A5E1D">
      <w:pPr>
        <w:widowControl w:val="0"/>
        <w:jc w:val="both"/>
        <w:rPr>
          <w:rFonts w:cs="Arial"/>
          <w:color w:val="984806" w:themeColor="accent6" w:themeShade="80"/>
          <w:sz w:val="20"/>
          <w:lang w:val="en-US"/>
        </w:rPr>
      </w:pPr>
    </w:p>
    <w:p w:rsidR="00AA4BF8" w:rsidRPr="00412620" w:rsidRDefault="00AA4BF8" w:rsidP="0075449E">
      <w:pPr>
        <w:widowControl w:val="0"/>
        <w:jc w:val="both"/>
        <w:rPr>
          <w:snapToGrid w:val="0"/>
          <w:sz w:val="20"/>
        </w:rPr>
      </w:pPr>
      <w:r w:rsidRPr="00412620">
        <w:rPr>
          <w:rStyle w:val="FootnoteReference"/>
          <w:rFonts w:cs="Arial"/>
          <w:snapToGrid w:val="0"/>
          <w:sz w:val="20"/>
        </w:rPr>
        <w:footnoteReference w:id="1890"/>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91"/>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92"/>
      </w:r>
      <w:r w:rsidRPr="00412620">
        <w:rPr>
          <w:snapToGrid w:val="0"/>
          <w:sz w:val="20"/>
        </w:rPr>
        <w:t>[  ]</w:t>
      </w:r>
    </w:p>
    <w:p w:rsidR="00C7648D" w:rsidRPr="00412620" w:rsidRDefault="00C7648D" w:rsidP="00AA4BF8">
      <w:pPr>
        <w:widowControl w:val="0"/>
        <w:jc w:val="both"/>
        <w:rPr>
          <w:snapToGrid w:val="0"/>
          <w:sz w:val="20"/>
        </w:rPr>
      </w:pPr>
    </w:p>
    <w:p w:rsidR="00AA4BF8" w:rsidRPr="00866443" w:rsidRDefault="00AA4BF8" w:rsidP="00866443">
      <w:pPr>
        <w:widowControl w:val="0"/>
        <w:jc w:val="both"/>
        <w:rPr>
          <w:snapToGrid w:val="0"/>
          <w:sz w:val="20"/>
        </w:rPr>
      </w:pPr>
      <w:r w:rsidRPr="00866443">
        <w:rPr>
          <w:rStyle w:val="FootnoteReference"/>
          <w:rFonts w:cs="Arial"/>
          <w:snapToGrid w:val="0"/>
          <w:sz w:val="20"/>
        </w:rPr>
        <w:footnoteReference w:id="1893"/>
      </w:r>
      <w:r w:rsidRPr="00866443">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94"/>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895"/>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autoSpaceDE w:val="0"/>
        <w:autoSpaceDN w:val="0"/>
        <w:adjustRightInd w:val="0"/>
        <w:jc w:val="both"/>
        <w:rPr>
          <w:sz w:val="20"/>
          <w:lang w:val="en-US"/>
        </w:rPr>
      </w:pPr>
      <w:r w:rsidRPr="00412620">
        <w:rPr>
          <w:rStyle w:val="FootnoteReference"/>
          <w:rFonts w:cs="Arial"/>
          <w:sz w:val="20"/>
          <w:lang w:val="en-US"/>
        </w:rPr>
        <w:footnoteReference w:id="1896"/>
      </w:r>
      <w:r w:rsidRPr="00412620">
        <w:rPr>
          <w:sz w:val="20"/>
          <w:lang w:val="en-US"/>
        </w:rPr>
        <w:t>[</w:t>
      </w:r>
      <w:r w:rsidRPr="00412620">
        <w:rPr>
          <w:b/>
          <w:bCs/>
          <w:sz w:val="20"/>
          <w:lang w:val="en-US"/>
        </w:rPr>
        <w:t>(72)</w:t>
      </w:r>
      <w:r w:rsidRPr="00412620">
        <w:rPr>
          <w:sz w:val="20"/>
          <w:lang w:val="en-US"/>
        </w:rPr>
        <w:t xml:space="preserve"> Any profit on debt payable to a non-resident person,-</w:t>
      </w:r>
    </w:p>
    <w:p w:rsidR="00AA4BF8" w:rsidRPr="00412620" w:rsidRDefault="00AA4BF8" w:rsidP="00AA4BF8">
      <w:pPr>
        <w:autoSpaceDE w:val="0"/>
        <w:autoSpaceDN w:val="0"/>
        <w:adjustRightInd w:val="0"/>
        <w:jc w:val="both"/>
        <w:rPr>
          <w:sz w:val="20"/>
          <w:lang w:val="en-US"/>
        </w:rPr>
      </w:pPr>
    </w:p>
    <w:p w:rsidR="00AA4BF8" w:rsidRPr="00412620" w:rsidRDefault="00AA4BF8" w:rsidP="00AA4BF8">
      <w:pPr>
        <w:autoSpaceDE w:val="0"/>
        <w:autoSpaceDN w:val="0"/>
        <w:adjustRightInd w:val="0"/>
        <w:ind w:left="1094" w:hanging="547"/>
        <w:jc w:val="both"/>
        <w:rPr>
          <w:sz w:val="20"/>
          <w:lang w:val="en-US"/>
        </w:rPr>
      </w:pPr>
      <w:r w:rsidRPr="00412620">
        <w:rPr>
          <w:sz w:val="20"/>
          <w:lang w:val="en-US"/>
        </w:rPr>
        <w:t xml:space="preserve">(i) </w:t>
      </w:r>
      <w:r w:rsidRPr="00412620">
        <w:rPr>
          <w:sz w:val="20"/>
          <w:lang w:val="en-US"/>
        </w:rPr>
        <w:tab/>
        <w:t>in respect of such private loan to be utilized on such project in  Pakistan as may be approved by the Federal Government for the purposes of this clause, having regard to the rate of profit and the terms of repayment of the loan and the nature of project on which it is to be utilized;</w:t>
      </w:r>
    </w:p>
    <w:p w:rsidR="00AA4BF8" w:rsidRPr="00412620" w:rsidRDefault="00AA4BF8" w:rsidP="00AA4BF8">
      <w:pPr>
        <w:autoSpaceDE w:val="0"/>
        <w:autoSpaceDN w:val="0"/>
        <w:adjustRightInd w:val="0"/>
        <w:jc w:val="both"/>
        <w:rPr>
          <w:sz w:val="20"/>
          <w:lang w:val="en-US"/>
        </w:rPr>
      </w:pPr>
    </w:p>
    <w:p w:rsidR="00AA4BF8" w:rsidRPr="00412620" w:rsidRDefault="00AA4BF8" w:rsidP="00AA4BF8">
      <w:pPr>
        <w:autoSpaceDE w:val="0"/>
        <w:autoSpaceDN w:val="0"/>
        <w:adjustRightInd w:val="0"/>
        <w:ind w:left="1094" w:hanging="547"/>
        <w:jc w:val="both"/>
        <w:rPr>
          <w:sz w:val="20"/>
          <w:lang w:val="en-US"/>
        </w:rPr>
      </w:pPr>
      <w:r w:rsidRPr="00412620">
        <w:rPr>
          <w:sz w:val="20"/>
          <w:lang w:val="en-US"/>
        </w:rPr>
        <w:t xml:space="preserve">(ii) </w:t>
      </w:r>
      <w:r w:rsidRPr="00412620">
        <w:rPr>
          <w:sz w:val="20"/>
          <w:lang w:val="en-US"/>
        </w:rPr>
        <w:tab/>
        <w:t xml:space="preserve">on a loan in foreign exchange against export letter of credit which is  used exclusively for export of goods manufactured or processed for exports in Pakistan </w:t>
      </w:r>
      <w:r w:rsidRPr="00412620">
        <w:rPr>
          <w:rStyle w:val="FootnoteReference"/>
          <w:rFonts w:cs="Arial"/>
          <w:sz w:val="20"/>
          <w:lang w:val="en-US"/>
        </w:rPr>
        <w:footnoteReference w:id="1897"/>
      </w:r>
      <w:r w:rsidRPr="00412620">
        <w:rPr>
          <w:sz w:val="20"/>
          <w:lang w:val="en-US"/>
        </w:rPr>
        <w:t>[.]</w:t>
      </w:r>
    </w:p>
    <w:p w:rsidR="00AA4BF8" w:rsidRPr="00412620" w:rsidRDefault="00AA4BF8" w:rsidP="00AA4BF8">
      <w:pPr>
        <w:autoSpaceDE w:val="0"/>
        <w:autoSpaceDN w:val="0"/>
        <w:adjustRightInd w:val="0"/>
        <w:jc w:val="both"/>
        <w:rPr>
          <w:sz w:val="20"/>
          <w:lang w:val="en-US"/>
        </w:rPr>
      </w:pPr>
    </w:p>
    <w:p w:rsidR="00AA4BF8" w:rsidRPr="00412620" w:rsidRDefault="00AA4BF8" w:rsidP="00AA4BF8">
      <w:pPr>
        <w:autoSpaceDE w:val="0"/>
        <w:autoSpaceDN w:val="0"/>
        <w:adjustRightInd w:val="0"/>
        <w:ind w:left="1094" w:hanging="554"/>
        <w:jc w:val="both"/>
        <w:rPr>
          <w:sz w:val="20"/>
          <w:lang w:val="en-US"/>
        </w:rPr>
      </w:pPr>
      <w:r w:rsidRPr="00412620">
        <w:rPr>
          <w:rStyle w:val="FootnoteReference"/>
          <w:rFonts w:cs="Arial"/>
          <w:sz w:val="20"/>
          <w:lang w:val="en-US"/>
        </w:rPr>
        <w:footnoteReference w:id="1898"/>
      </w:r>
      <w:r w:rsidRPr="00412620">
        <w:rPr>
          <w:sz w:val="20"/>
          <w:lang w:val="en-US"/>
        </w:rPr>
        <w:t xml:space="preserve">[(iii) </w:t>
      </w:r>
      <w:r w:rsidRPr="00412620">
        <w:rPr>
          <w:sz w:val="20"/>
          <w:lang w:val="en-US"/>
        </w:rPr>
        <w:tab/>
        <w:t>being a foreign individual, company, firm or association of persons in respect of a foreign loan as is utilized for industrial investment in Pakistan provided that the agreement for such loan is concluded on or after the first day of February, 1991, and is duly registered with the State Bank of Pakistan:</w:t>
      </w:r>
    </w:p>
    <w:p w:rsidR="00AA4BF8" w:rsidRPr="00412620" w:rsidRDefault="00AA4BF8" w:rsidP="00AA4BF8">
      <w:pPr>
        <w:autoSpaceDE w:val="0"/>
        <w:autoSpaceDN w:val="0"/>
        <w:adjustRightInd w:val="0"/>
        <w:jc w:val="both"/>
        <w:rPr>
          <w:sz w:val="20"/>
          <w:lang w:val="en-US"/>
        </w:rPr>
      </w:pPr>
    </w:p>
    <w:p w:rsidR="00AA4BF8" w:rsidRDefault="00AA4BF8" w:rsidP="00AA4BF8">
      <w:pPr>
        <w:autoSpaceDE w:val="0"/>
        <w:autoSpaceDN w:val="0"/>
        <w:adjustRightInd w:val="0"/>
        <w:ind w:left="1094" w:firstLine="541"/>
        <w:jc w:val="both"/>
        <w:rPr>
          <w:sz w:val="20"/>
          <w:lang w:val="en-US"/>
        </w:rPr>
      </w:pPr>
      <w:r w:rsidRPr="00412620">
        <w:rPr>
          <w:sz w:val="20"/>
          <w:lang w:val="en-US"/>
        </w:rPr>
        <w:t>Provided that this clause shall have retrospective effect of exemption to the agreements entered into in the past and shall not be applicable to new contracts after the 30</w:t>
      </w:r>
      <w:r w:rsidRPr="00412620">
        <w:rPr>
          <w:sz w:val="20"/>
          <w:vertAlign w:val="superscript"/>
          <w:lang w:val="en-US"/>
        </w:rPr>
        <w:t>th</w:t>
      </w:r>
      <w:r w:rsidRPr="00412620">
        <w:rPr>
          <w:sz w:val="20"/>
          <w:lang w:val="en-US"/>
        </w:rPr>
        <w:t xml:space="preserve"> day of June, 2010, prospectively.]</w:t>
      </w:r>
    </w:p>
    <w:p w:rsidR="00ED0895" w:rsidRDefault="00ED0895" w:rsidP="00AA4BF8">
      <w:pPr>
        <w:autoSpaceDE w:val="0"/>
        <w:autoSpaceDN w:val="0"/>
        <w:adjustRightInd w:val="0"/>
        <w:ind w:left="1094" w:firstLine="541"/>
        <w:jc w:val="both"/>
        <w:rPr>
          <w:sz w:val="20"/>
          <w:lang w:val="en-US"/>
        </w:rPr>
      </w:pPr>
    </w:p>
    <w:p w:rsidR="00ED0895" w:rsidRPr="00FA5556" w:rsidRDefault="00ED0895" w:rsidP="00ED0895">
      <w:pPr>
        <w:autoSpaceDE w:val="0"/>
        <w:autoSpaceDN w:val="0"/>
        <w:adjustRightInd w:val="0"/>
        <w:ind w:left="1094" w:hanging="914"/>
        <w:jc w:val="both"/>
        <w:rPr>
          <w:color w:val="000000" w:themeColor="text1"/>
          <w:sz w:val="20"/>
          <w:lang w:val="en-US"/>
        </w:rPr>
      </w:pPr>
      <w:r w:rsidRPr="00FA5556">
        <w:rPr>
          <w:rStyle w:val="FootnoteReference"/>
          <w:color w:val="000000" w:themeColor="text1"/>
          <w:sz w:val="20"/>
          <w:lang w:val="en-US"/>
        </w:rPr>
        <w:lastRenderedPageBreak/>
        <w:footnoteReference w:id="1899"/>
      </w:r>
      <w:r w:rsidRPr="00FA5556">
        <w:rPr>
          <w:color w:val="000000" w:themeColor="text1"/>
          <w:sz w:val="20"/>
          <w:lang w:val="en-US"/>
        </w:rPr>
        <w:t>[“(72A)</w:t>
      </w:r>
      <w:r w:rsidRPr="00FA5556">
        <w:rPr>
          <w:color w:val="000000" w:themeColor="text1"/>
          <w:sz w:val="20"/>
          <w:lang w:val="en-US"/>
        </w:rPr>
        <w:tab/>
        <w:t xml:space="preserve">Any income derived by Sukuk holder in relation to Sukuk issued by “The </w:t>
      </w:r>
      <w:r w:rsidRPr="00FA5556">
        <w:rPr>
          <w:rFonts w:cs="Arial"/>
          <w:color w:val="000000" w:themeColor="text1"/>
          <w:sz w:val="20"/>
          <w:lang w:val="en-US"/>
        </w:rPr>
        <w:t xml:space="preserve">Second </w:t>
      </w:r>
      <w:r w:rsidRPr="00FA5556">
        <w:rPr>
          <w:rFonts w:ascii="Times New Roman" w:hAnsi="Times New Roman"/>
          <w:color w:val="000000" w:themeColor="text1"/>
          <w:szCs w:val="24"/>
        </w:rPr>
        <w:t>Pakistan International Sukuk Company Limited”, including any gain on disposal of such Sukuk.”]</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00"/>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(74)</w:t>
      </w:r>
      <w:r w:rsidRPr="00412620">
        <w:rPr>
          <w:snapToGrid w:val="0"/>
          <w:sz w:val="20"/>
        </w:rPr>
        <w:tab/>
        <w:t>Any profit on debt derived by Hub Power Company Limited on or after the first day of July, 1991, on its bank deposits or accounts with</w:t>
      </w:r>
      <w:r w:rsidRPr="00412620">
        <w:rPr>
          <w:rStyle w:val="FootnoteReference"/>
          <w:rFonts w:cs="Arial"/>
          <w:snapToGrid w:val="0"/>
          <w:sz w:val="20"/>
        </w:rPr>
        <w:footnoteReference w:id="1901"/>
      </w:r>
      <w:r w:rsidRPr="00412620">
        <w:rPr>
          <w:snapToGrid w:val="0"/>
          <w:sz w:val="20"/>
        </w:rPr>
        <w:t>[financial institutions] directly connected with financial transactions relating to the project operations.</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02"/>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(75)</w:t>
      </w:r>
      <w:r w:rsidRPr="00412620">
        <w:rPr>
          <w:snapToGrid w:val="0"/>
          <w:sz w:val="20"/>
        </w:rPr>
        <w:tab/>
        <w:t>Any income of an agency of a foreign Government, a foreign national (company, firm or association of persons), or any other non-resident person approved by the Federal Government for the purposes of this clause, from profit on moneys borrowed under a loan agreement or in respect of  foreign currency instrument approved by the Federal Government.</w:t>
      </w:r>
    </w:p>
    <w:p w:rsidR="00AA4BF8" w:rsidRPr="00412620" w:rsidRDefault="00AA4BF8" w:rsidP="00AA4BF8">
      <w:pPr>
        <w:widowControl w:val="0"/>
        <w:jc w:val="both"/>
        <w:rPr>
          <w:snapToGrid w:val="0"/>
          <w:sz w:val="12"/>
          <w:szCs w:val="12"/>
        </w:rPr>
      </w:pPr>
    </w:p>
    <w:p w:rsidR="00AA4BF8" w:rsidRPr="00412620" w:rsidRDefault="00AA4BF8" w:rsidP="00AA4BF8">
      <w:pPr>
        <w:widowControl w:val="0"/>
        <w:jc w:val="both"/>
        <w:rPr>
          <w:snapToGrid w:val="0"/>
          <w:sz w:val="12"/>
          <w:szCs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03"/>
      </w:r>
      <w:r w:rsidRPr="00412620">
        <w:rPr>
          <w:snapToGrid w:val="0"/>
          <w:sz w:val="20"/>
        </w:rPr>
        <w:t>[  ]</w:t>
      </w:r>
    </w:p>
    <w:p w:rsidR="00AA4BF8" w:rsidRPr="00412620" w:rsidRDefault="00AA4BF8" w:rsidP="00AA4BF8">
      <w:pPr>
        <w:widowControl w:val="0"/>
        <w:jc w:val="both"/>
        <w:rPr>
          <w:snapToGrid w:val="0"/>
          <w:sz w:val="12"/>
          <w:szCs w:val="12"/>
        </w:rPr>
      </w:pPr>
    </w:p>
    <w:p w:rsidR="00AA4BF8" w:rsidRPr="00412620" w:rsidRDefault="00AA4BF8" w:rsidP="00AA4BF8">
      <w:pPr>
        <w:widowControl w:val="0"/>
        <w:jc w:val="both"/>
        <w:rPr>
          <w:snapToGrid w:val="0"/>
          <w:sz w:val="12"/>
          <w:szCs w:val="12"/>
        </w:rPr>
      </w:pPr>
    </w:p>
    <w:p w:rsidR="00AA4BF8" w:rsidRPr="00412620" w:rsidRDefault="00AA4BF8" w:rsidP="00AA4BF8">
      <w:pPr>
        <w:widowControl w:val="0"/>
        <w:jc w:val="both"/>
        <w:rPr>
          <w:snapToGrid w:val="0"/>
          <w:sz w:val="20"/>
        </w:rPr>
      </w:pPr>
      <w:r w:rsidRPr="00412620">
        <w:rPr>
          <w:rStyle w:val="FootnoteReference"/>
          <w:rFonts w:cs="Arial"/>
          <w:b/>
          <w:bCs/>
          <w:snapToGrid w:val="0"/>
          <w:sz w:val="20"/>
        </w:rPr>
        <w:footnoteReference w:id="1904"/>
      </w:r>
      <w:r w:rsidRPr="00412620">
        <w:rPr>
          <w:snapToGrid w:val="0"/>
          <w:sz w:val="20"/>
        </w:rPr>
        <w:t>[  ]</w:t>
      </w:r>
    </w:p>
    <w:p w:rsidR="00AA4BF8" w:rsidRPr="00412620" w:rsidRDefault="00AA4BF8" w:rsidP="00AA4BF8">
      <w:pPr>
        <w:widowControl w:val="0"/>
        <w:jc w:val="both"/>
        <w:rPr>
          <w:b/>
          <w:bCs/>
          <w:snapToGrid w:val="0"/>
          <w:sz w:val="12"/>
          <w:szCs w:val="12"/>
        </w:rPr>
      </w:pPr>
    </w:p>
    <w:p w:rsidR="00AA4BF8" w:rsidRPr="00412620" w:rsidRDefault="00AA4BF8" w:rsidP="00AA4BF8">
      <w:pPr>
        <w:widowControl w:val="0"/>
        <w:jc w:val="both"/>
        <w:rPr>
          <w:b/>
          <w:bCs/>
          <w:snapToGrid w:val="0"/>
          <w:sz w:val="12"/>
          <w:szCs w:val="12"/>
        </w:rPr>
      </w:pPr>
    </w:p>
    <w:p w:rsidR="00AA4BF8" w:rsidRPr="00412620" w:rsidRDefault="00AA4BF8" w:rsidP="00AA4BF8">
      <w:pPr>
        <w:widowControl w:val="0"/>
        <w:jc w:val="both"/>
        <w:rPr>
          <w:snapToGrid w:val="0"/>
          <w:sz w:val="20"/>
        </w:rPr>
      </w:pPr>
      <w:r w:rsidRPr="00412620">
        <w:rPr>
          <w:b/>
          <w:bCs/>
          <w:snapToGrid w:val="0"/>
          <w:sz w:val="20"/>
        </w:rPr>
        <w:t>(78)</w:t>
      </w:r>
      <w:r w:rsidRPr="00412620">
        <w:rPr>
          <w:snapToGrid w:val="0"/>
          <w:sz w:val="20"/>
        </w:rPr>
        <w:tab/>
        <w:t xml:space="preserve">Any profit on debt derived from foreign currency accounts held with authorised banks in Pakistan, </w:t>
      </w:r>
      <w:r w:rsidRPr="00412620">
        <w:rPr>
          <w:rStyle w:val="FootnoteReference"/>
          <w:rFonts w:cs="Arial"/>
          <w:snapToGrid w:val="0"/>
          <w:sz w:val="20"/>
        </w:rPr>
        <w:footnoteReference w:id="1905"/>
      </w:r>
      <w:r w:rsidRPr="00412620">
        <w:rPr>
          <w:snapToGrid w:val="0"/>
          <w:sz w:val="20"/>
        </w:rPr>
        <w:t xml:space="preserve">[or certificate of investment issued by investment banks] in accordance with Foreign Currency Accounts Scheme introduced by the State Bank of Pakistan, by citizens of Pakistan and foreign nationals residing </w:t>
      </w:r>
      <w:r w:rsidRPr="00412620">
        <w:rPr>
          <w:snapToGrid w:val="0"/>
          <w:sz w:val="20"/>
        </w:rPr>
        <w:lastRenderedPageBreak/>
        <w:t>abroad, foreign association of persons, companies registered and operating abroad and foreign nationals residing in Pakistan.</w:t>
      </w:r>
    </w:p>
    <w:p w:rsidR="00AA4BF8" w:rsidRPr="00412620" w:rsidRDefault="00AA4BF8" w:rsidP="00AA4BF8">
      <w:pPr>
        <w:widowControl w:val="0"/>
        <w:jc w:val="both"/>
        <w:rPr>
          <w:snapToGrid w:val="0"/>
          <w:sz w:val="12"/>
          <w:szCs w:val="12"/>
        </w:rPr>
      </w:pPr>
    </w:p>
    <w:p w:rsidR="00AA4BF8" w:rsidRPr="00412620" w:rsidRDefault="00AA4BF8" w:rsidP="00AA4BF8">
      <w:pPr>
        <w:widowControl w:val="0"/>
        <w:jc w:val="both"/>
        <w:rPr>
          <w:snapToGrid w:val="0"/>
          <w:sz w:val="12"/>
          <w:szCs w:val="12"/>
        </w:rPr>
      </w:pPr>
    </w:p>
    <w:p w:rsidR="00AA4BF8" w:rsidRPr="00412620" w:rsidRDefault="00AA4BF8" w:rsidP="00AA4BF8">
      <w:pPr>
        <w:widowControl w:val="0"/>
        <w:jc w:val="both"/>
        <w:rPr>
          <w:snapToGrid w:val="0"/>
          <w:sz w:val="20"/>
        </w:rPr>
      </w:pPr>
      <w:r w:rsidRPr="00412620">
        <w:rPr>
          <w:b/>
          <w:bCs/>
          <w:snapToGrid w:val="0"/>
          <w:sz w:val="20"/>
        </w:rPr>
        <w:t>(79)</w:t>
      </w:r>
      <w:r w:rsidRPr="00412620">
        <w:rPr>
          <w:snapToGrid w:val="0"/>
          <w:sz w:val="20"/>
        </w:rPr>
        <w:tab/>
        <w:t xml:space="preserve"> Any profit on debt derived from a rupee account held with a scheduled bank in Pakistan by a citizen of Pakistan residing abroad, where the deposits in the said account are made exclusively from foreign exchange remitted into the said account.</w:t>
      </w:r>
    </w:p>
    <w:p w:rsidR="00AA4BF8" w:rsidRPr="00412620" w:rsidRDefault="00AA4BF8" w:rsidP="00AA4BF8">
      <w:pPr>
        <w:widowControl w:val="0"/>
        <w:jc w:val="both"/>
        <w:rPr>
          <w:snapToGrid w:val="0"/>
          <w:sz w:val="10"/>
          <w:szCs w:val="10"/>
        </w:rPr>
      </w:pPr>
    </w:p>
    <w:p w:rsidR="00AA4BF8" w:rsidRPr="00412620" w:rsidRDefault="00AA4BF8" w:rsidP="00AA4BF8">
      <w:pPr>
        <w:widowControl w:val="0"/>
        <w:jc w:val="both"/>
        <w:rPr>
          <w:snapToGrid w:val="0"/>
          <w:sz w:val="20"/>
        </w:rPr>
      </w:pPr>
      <w:r w:rsidRPr="00412620">
        <w:rPr>
          <w:b/>
          <w:bCs/>
          <w:snapToGrid w:val="0"/>
          <w:sz w:val="20"/>
        </w:rPr>
        <w:t>(80)</w:t>
      </w:r>
      <w:r w:rsidRPr="00412620">
        <w:rPr>
          <w:snapToGrid w:val="0"/>
          <w:sz w:val="20"/>
        </w:rPr>
        <w:tab/>
        <w:t xml:space="preserve"> Any income derived from a private foreign currency account held with an authorised bank in Pakistan, </w:t>
      </w:r>
      <w:r w:rsidRPr="00412620">
        <w:rPr>
          <w:rStyle w:val="FootnoteReference"/>
          <w:rFonts w:cs="Arial"/>
          <w:snapToGrid w:val="0"/>
          <w:sz w:val="20"/>
        </w:rPr>
        <w:footnoteReference w:id="1906"/>
      </w:r>
      <w:r w:rsidRPr="00412620">
        <w:rPr>
          <w:snapToGrid w:val="0"/>
          <w:sz w:val="20"/>
        </w:rPr>
        <w:t xml:space="preserve">[or certificate of investment issued by investment banks] in accordance with the Foreign Currency Accounts Scheme introduced by the State Bank of Pakistan, by a resident individual who is a citizen of Pakistan: </w:t>
      </w:r>
    </w:p>
    <w:p w:rsidR="00AA4BF8" w:rsidRPr="00412620" w:rsidRDefault="00AA4BF8" w:rsidP="00AA4BF8">
      <w:pPr>
        <w:widowControl w:val="0"/>
        <w:jc w:val="both"/>
        <w:rPr>
          <w:snapToGrid w:val="0"/>
          <w:sz w:val="20"/>
        </w:rPr>
      </w:pPr>
    </w:p>
    <w:p w:rsidR="00AA4BF8" w:rsidRPr="00412620" w:rsidRDefault="00AA4BF8" w:rsidP="00AA4BF8">
      <w:pPr>
        <w:widowControl w:val="0"/>
        <w:ind w:left="1094" w:firstLine="541"/>
        <w:jc w:val="both"/>
        <w:rPr>
          <w:snapToGrid w:val="0"/>
          <w:sz w:val="20"/>
        </w:rPr>
      </w:pPr>
      <w:r w:rsidRPr="00412620">
        <w:rPr>
          <w:snapToGrid w:val="0"/>
          <w:sz w:val="20"/>
        </w:rPr>
        <w:t>Provided that the exemption under this clause shall not be available in respect of any incremental deposits made in the said accounts on or after the 16th day of December, 1999, or in respect of any accounts opened under the said scheme on or after the said date.</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07"/>
      </w:r>
      <w:r w:rsidRPr="00412620">
        <w:rPr>
          <w:snapToGrid w:val="0"/>
          <w:sz w:val="20"/>
        </w:rPr>
        <w:t>[  ]</w:t>
      </w:r>
    </w:p>
    <w:p w:rsidR="00AA4BF8" w:rsidRPr="00412620" w:rsidRDefault="00AA4BF8" w:rsidP="00AA4BF8">
      <w:pPr>
        <w:widowControl w:val="0"/>
        <w:jc w:val="both"/>
        <w:rPr>
          <w:snapToGrid w:val="0"/>
          <w:sz w:val="20"/>
        </w:rPr>
      </w:pPr>
    </w:p>
    <w:p w:rsidR="00AA4BF8" w:rsidRPr="00C75159" w:rsidRDefault="00AA4BF8" w:rsidP="00AA4BF8">
      <w:pPr>
        <w:widowControl w:val="0"/>
        <w:jc w:val="both"/>
        <w:rPr>
          <w:snapToGrid w:val="0"/>
          <w:color w:val="000000" w:themeColor="text1"/>
          <w:sz w:val="20"/>
        </w:rPr>
      </w:pPr>
      <w:r w:rsidRPr="00C75159">
        <w:rPr>
          <w:rStyle w:val="FootnoteReference"/>
          <w:snapToGrid w:val="0"/>
          <w:color w:val="000000" w:themeColor="text1"/>
          <w:sz w:val="20"/>
        </w:rPr>
        <w:footnoteReference w:id="1908"/>
      </w:r>
      <w:r w:rsidRPr="00C75159">
        <w:rPr>
          <w:snapToGrid w:val="0"/>
          <w:color w:val="000000" w:themeColor="text1"/>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09"/>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10"/>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11"/>
      </w:r>
      <w:r w:rsidRPr="00412620">
        <w:rPr>
          <w:snapToGrid w:val="0"/>
          <w:sz w:val="20"/>
        </w:rPr>
        <w:t>[  ]</w:t>
      </w:r>
    </w:p>
    <w:p w:rsidR="00AA4BF8" w:rsidRPr="00412620" w:rsidRDefault="00AA4BF8" w:rsidP="00AA4BF8">
      <w:pPr>
        <w:widowControl w:val="0"/>
        <w:jc w:val="both"/>
        <w:rPr>
          <w:b/>
          <w:bCs/>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12"/>
      </w:r>
      <w:r w:rsidRPr="00412620">
        <w:rPr>
          <w:snapToGrid w:val="0"/>
          <w:sz w:val="20"/>
        </w:rPr>
        <w:t>[  ]</w:t>
      </w:r>
    </w:p>
    <w:p w:rsidR="00AA4BF8" w:rsidRPr="00412620" w:rsidRDefault="00AA4BF8" w:rsidP="00AA4BF8">
      <w:pPr>
        <w:widowControl w:val="0"/>
        <w:jc w:val="both"/>
        <w:rPr>
          <w:b/>
          <w:bCs/>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13"/>
      </w:r>
      <w:r w:rsidRPr="00412620">
        <w:rPr>
          <w:snapToGrid w:val="0"/>
          <w:sz w:val="20"/>
        </w:rPr>
        <w:t>[  ]</w:t>
      </w:r>
    </w:p>
    <w:p w:rsidR="00AA4BF8" w:rsidRPr="00412620" w:rsidRDefault="00AA4BF8" w:rsidP="00AA4BF8">
      <w:pPr>
        <w:widowControl w:val="0"/>
        <w:jc w:val="both"/>
        <w:rPr>
          <w:b/>
          <w:bCs/>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14"/>
      </w:r>
      <w:r w:rsidRPr="00412620">
        <w:rPr>
          <w:snapToGrid w:val="0"/>
          <w:sz w:val="20"/>
        </w:rPr>
        <w:t>[  ]</w:t>
      </w:r>
    </w:p>
    <w:p w:rsidR="00AA4BF8" w:rsidRPr="00412620" w:rsidRDefault="00AA4BF8" w:rsidP="00AA4BF8">
      <w:pPr>
        <w:widowControl w:val="0"/>
        <w:jc w:val="both"/>
        <w:rPr>
          <w:snapToGrid w:val="0"/>
          <w:sz w:val="16"/>
          <w:szCs w:val="16"/>
        </w:rPr>
      </w:pPr>
    </w:p>
    <w:p w:rsidR="00AA4BF8" w:rsidRDefault="00AA4BF8" w:rsidP="00AA4BF8">
      <w:pPr>
        <w:widowControl w:val="0"/>
        <w:jc w:val="both"/>
        <w:rPr>
          <w:snapToGrid w:val="0"/>
          <w:sz w:val="20"/>
        </w:rPr>
      </w:pPr>
      <w:r w:rsidRPr="00412620">
        <w:rPr>
          <w:rStyle w:val="FootnoteReference"/>
          <w:rFonts w:cs="Arial"/>
          <w:snapToGrid w:val="0"/>
          <w:sz w:val="20"/>
        </w:rPr>
        <w:footnoteReference w:id="1915"/>
      </w:r>
      <w:r w:rsidRPr="00412620">
        <w:rPr>
          <w:snapToGrid w:val="0"/>
          <w:sz w:val="20"/>
        </w:rPr>
        <w:t>[  ]</w:t>
      </w:r>
    </w:p>
    <w:p w:rsidR="00866443" w:rsidRPr="00412620" w:rsidRDefault="00866443" w:rsidP="00AA4BF8">
      <w:pPr>
        <w:widowControl w:val="0"/>
        <w:jc w:val="both"/>
        <w:rPr>
          <w:snapToGrid w:val="0"/>
          <w:sz w:val="20"/>
        </w:rPr>
      </w:pPr>
    </w:p>
    <w:p w:rsidR="00AA4BF8" w:rsidRPr="00412620" w:rsidRDefault="00AA4BF8" w:rsidP="00AA4BF8">
      <w:pPr>
        <w:widowControl w:val="0"/>
        <w:jc w:val="both"/>
        <w:rPr>
          <w:snapToGrid w:val="0"/>
          <w:sz w:val="16"/>
          <w:szCs w:val="16"/>
        </w:rPr>
      </w:pPr>
    </w:p>
    <w:p w:rsidR="00AA4BF8" w:rsidRPr="00C75159" w:rsidRDefault="00AA4BF8" w:rsidP="00AA4BF8">
      <w:pPr>
        <w:widowControl w:val="0"/>
        <w:jc w:val="both"/>
        <w:rPr>
          <w:snapToGrid w:val="0"/>
          <w:color w:val="000000" w:themeColor="text1"/>
          <w:sz w:val="20"/>
        </w:rPr>
      </w:pPr>
      <w:r w:rsidRPr="00C75159">
        <w:rPr>
          <w:rStyle w:val="FootnoteReference"/>
          <w:snapToGrid w:val="0"/>
          <w:color w:val="000000" w:themeColor="text1"/>
          <w:sz w:val="20"/>
        </w:rPr>
        <w:footnoteReference w:id="1916"/>
      </w:r>
      <w:r w:rsidRPr="00C75159">
        <w:rPr>
          <w:snapToGrid w:val="0"/>
          <w:color w:val="000000" w:themeColor="text1"/>
          <w:sz w:val="20"/>
        </w:rPr>
        <w:t>[</w:t>
      </w:r>
      <w:r w:rsidR="00C75159" w:rsidRPr="00C75159">
        <w:rPr>
          <w:snapToGrid w:val="0"/>
          <w:color w:val="000000" w:themeColor="text1"/>
          <w:sz w:val="20"/>
        </w:rPr>
        <w:t xml:space="preserve">  </w:t>
      </w:r>
      <w:r w:rsidR="00323414" w:rsidRPr="00C75159">
        <w:rPr>
          <w:bCs/>
          <w:snapToGrid w:val="0"/>
          <w:color w:val="000000" w:themeColor="text1"/>
          <w:sz w:val="20"/>
        </w:rPr>
        <w:t>]</w:t>
      </w:r>
    </w:p>
    <w:p w:rsidR="00AA4BF8" w:rsidRPr="00412620" w:rsidRDefault="00AA4BF8" w:rsidP="00AA4BF8">
      <w:pPr>
        <w:widowControl w:val="0"/>
        <w:jc w:val="both"/>
        <w:rPr>
          <w:snapToGrid w:val="0"/>
          <w:sz w:val="20"/>
        </w:rPr>
      </w:pPr>
    </w:p>
    <w:p w:rsidR="00AA4BF8" w:rsidRPr="00412620" w:rsidRDefault="00AA4BF8" w:rsidP="00AA4BF8">
      <w:pPr>
        <w:rPr>
          <w:snapToGrid w:val="0"/>
          <w:sz w:val="20"/>
        </w:rPr>
      </w:pPr>
      <w:r w:rsidRPr="00412620">
        <w:rPr>
          <w:rStyle w:val="FootnoteReference"/>
          <w:rFonts w:cs="Arial"/>
          <w:snapToGrid w:val="0"/>
          <w:sz w:val="20"/>
        </w:rPr>
        <w:footnoteReference w:id="1917"/>
      </w:r>
      <w:r w:rsidRPr="00412620">
        <w:rPr>
          <w:snapToGrid w:val="0"/>
          <w:sz w:val="20"/>
        </w:rPr>
        <w:t>[  ]</w:t>
      </w:r>
    </w:p>
    <w:p w:rsidR="00AA4BF8" w:rsidRPr="00412620" w:rsidRDefault="00AA4BF8" w:rsidP="00AA4BF8">
      <w:pPr>
        <w:rPr>
          <w:snapToGrid w:val="0"/>
          <w:sz w:val="20"/>
        </w:rPr>
      </w:pPr>
    </w:p>
    <w:p w:rsidR="00AA4BF8" w:rsidRPr="00412620" w:rsidRDefault="00AA4BF8" w:rsidP="00AA4BF8">
      <w:pPr>
        <w:widowControl w:val="0"/>
        <w:jc w:val="both"/>
        <w:rPr>
          <w:snapToGrid w:val="0"/>
          <w:sz w:val="20"/>
        </w:rPr>
      </w:pPr>
      <w:r w:rsidRPr="00412620">
        <w:rPr>
          <w:b/>
          <w:bCs/>
          <w:snapToGrid w:val="0"/>
          <w:sz w:val="20"/>
        </w:rPr>
        <w:t>(90)</w:t>
      </w:r>
      <w:r w:rsidRPr="00412620">
        <w:rPr>
          <w:snapToGrid w:val="0"/>
          <w:sz w:val="20"/>
        </w:rPr>
        <w:tab/>
        <w:t>Any profit on debt payable by an industrial undertaking in Pakistan </w:t>
      </w:r>
      <w:r w:rsidRPr="00412620">
        <w:rPr>
          <w:sz w:val="20"/>
        </w:rPr>
        <w:t>—</w:t>
      </w:r>
    </w:p>
    <w:p w:rsidR="00AA4BF8" w:rsidRPr="00412620" w:rsidRDefault="00AA4BF8" w:rsidP="00AA4BF8">
      <w:pPr>
        <w:widowControl w:val="0"/>
        <w:jc w:val="both"/>
        <w:rPr>
          <w:snapToGrid w:val="0"/>
          <w:sz w:val="14"/>
          <w:szCs w:val="14"/>
        </w:rPr>
      </w:pPr>
    </w:p>
    <w:p w:rsidR="00AA4BF8" w:rsidRPr="004D1AB2" w:rsidRDefault="00AA4BF8" w:rsidP="004D1AB2">
      <w:pPr>
        <w:pStyle w:val="BodyText3"/>
        <w:ind w:left="990" w:hanging="450"/>
        <w:rPr>
          <w:rFonts w:ascii="Arial" w:hAnsi="Arial" w:cs="Arial"/>
          <w:sz w:val="20"/>
        </w:rPr>
      </w:pPr>
      <w:r w:rsidRPr="004D1AB2">
        <w:rPr>
          <w:rFonts w:ascii="Arial" w:hAnsi="Arial" w:cs="Arial"/>
          <w:sz w:val="20"/>
        </w:rPr>
        <w:t>(i)</w:t>
      </w:r>
      <w:r w:rsidRPr="004D1AB2">
        <w:rPr>
          <w:rFonts w:ascii="Arial" w:hAnsi="Arial" w:cs="Arial"/>
          <w:sz w:val="20"/>
        </w:rPr>
        <w:tab/>
        <w:t>on moneys borrowed by it under a loan agreement entered into with any such financial institution in a foreign country as may be approved in this behalf by the Federal Government by a general or special order; and</w:t>
      </w:r>
    </w:p>
    <w:p w:rsidR="00AA4BF8" w:rsidRPr="00412620" w:rsidRDefault="00AA4BF8" w:rsidP="00AA4BF8">
      <w:pPr>
        <w:pStyle w:val="BodyText3"/>
        <w:rPr>
          <w:sz w:val="14"/>
          <w:szCs w:val="14"/>
        </w:rPr>
      </w:pPr>
    </w:p>
    <w:p w:rsidR="00AA4BF8" w:rsidRPr="00412620" w:rsidRDefault="00AA4BF8" w:rsidP="004D1AB2">
      <w:pPr>
        <w:widowControl w:val="0"/>
        <w:ind w:left="990" w:hanging="450"/>
        <w:jc w:val="both"/>
        <w:rPr>
          <w:snapToGrid w:val="0"/>
          <w:sz w:val="20"/>
        </w:rPr>
      </w:pPr>
      <w:r w:rsidRPr="00412620">
        <w:rPr>
          <w:snapToGrid w:val="0"/>
          <w:sz w:val="20"/>
        </w:rPr>
        <w:t>(ii)</w:t>
      </w:r>
      <w:r w:rsidRPr="00412620">
        <w:rPr>
          <w:snapToGrid w:val="0"/>
          <w:sz w:val="20"/>
        </w:rPr>
        <w:tab/>
        <w:t>on moneys borrowed or debts incurred by it in a foreign country in respect of the purchase outside Pakistan of capital plant and machinery in any case where the loan or debt is approved by the Federal Government, having regard to its terms generally and in particular to the terms of its payment, from so much of the tax payable in respect thereof as exceeds the tax or taxes on income paid on such interest in the foreign country from which the loan emanated or in which the debt was incurred (hereinafter referred to as the `said country'):</w:t>
      </w:r>
    </w:p>
    <w:p w:rsidR="00AA4BF8" w:rsidRPr="00412620" w:rsidRDefault="00AA4BF8" w:rsidP="00AA4BF8">
      <w:pPr>
        <w:widowControl w:val="0"/>
        <w:jc w:val="both"/>
        <w:rPr>
          <w:snapToGrid w:val="0"/>
          <w:sz w:val="12"/>
          <w:szCs w:val="12"/>
        </w:rPr>
      </w:pPr>
    </w:p>
    <w:p w:rsidR="00AA4BF8" w:rsidRPr="00412620" w:rsidRDefault="00AA4BF8" w:rsidP="00AA4BF8">
      <w:pPr>
        <w:widowControl w:val="0"/>
        <w:ind w:left="1094" w:firstLine="541"/>
        <w:jc w:val="both"/>
        <w:rPr>
          <w:snapToGrid w:val="0"/>
          <w:sz w:val="20"/>
        </w:rPr>
      </w:pPr>
      <w:r w:rsidRPr="00412620">
        <w:rPr>
          <w:snapToGrid w:val="0"/>
          <w:sz w:val="20"/>
        </w:rPr>
        <w:t>Provided that, where the amount of such tax or taxes paid in the said country exceeds the amount of the tax payable in Pakistan, no refund of the amount paid in excess shall be allowed:</w:t>
      </w:r>
    </w:p>
    <w:p w:rsidR="00AA4BF8" w:rsidRPr="00412620" w:rsidRDefault="00AA4BF8" w:rsidP="00AA4BF8">
      <w:pPr>
        <w:widowControl w:val="0"/>
        <w:jc w:val="both"/>
        <w:rPr>
          <w:snapToGrid w:val="0"/>
          <w:sz w:val="12"/>
          <w:szCs w:val="12"/>
        </w:rPr>
      </w:pPr>
    </w:p>
    <w:p w:rsidR="00AA4BF8" w:rsidRPr="00412620" w:rsidRDefault="00AA4BF8" w:rsidP="00AA4BF8">
      <w:pPr>
        <w:widowControl w:val="0"/>
        <w:ind w:left="1094" w:firstLine="541"/>
        <w:jc w:val="both"/>
        <w:rPr>
          <w:snapToGrid w:val="0"/>
          <w:sz w:val="20"/>
        </w:rPr>
      </w:pPr>
      <w:r w:rsidRPr="00412620">
        <w:rPr>
          <w:snapToGrid w:val="0"/>
          <w:sz w:val="20"/>
        </w:rPr>
        <w:t>Provided further that, where the said country exempts such interest or allows credit against its own tax for the tax which would have been payable in Pakistan if the said interest were liable to tax in Pakistan, no tax shall be payable in Pakistan in respect of such interest.</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b/>
          <w:bCs/>
          <w:snapToGrid w:val="0"/>
          <w:sz w:val="20"/>
        </w:rPr>
        <w:t>(91)</w:t>
      </w:r>
      <w:r w:rsidRPr="00412620">
        <w:rPr>
          <w:snapToGrid w:val="0"/>
          <w:sz w:val="20"/>
        </w:rPr>
        <w:tab/>
        <w:t xml:space="preserve"> Any income of a text-book board of a Province established under any law for the time being in force, accruing or arising from the date of its establishment.</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18"/>
      </w:r>
      <w:r w:rsidRPr="00412620">
        <w:rPr>
          <w:snapToGrid w:val="0"/>
          <w:sz w:val="20"/>
        </w:rPr>
        <w:t>[  ]</w:t>
      </w:r>
    </w:p>
    <w:p w:rsidR="00AA4BF8" w:rsidRPr="00412620" w:rsidRDefault="00AA4BF8" w:rsidP="00AA4BF8">
      <w:pPr>
        <w:widowControl w:val="0"/>
        <w:jc w:val="both"/>
        <w:rPr>
          <w:snapToGrid w:val="0"/>
          <w:sz w:val="20"/>
        </w:rPr>
      </w:pPr>
    </w:p>
    <w:p w:rsidR="00AA4BF8" w:rsidRPr="00C75159" w:rsidRDefault="00AA4BF8" w:rsidP="00AA4BF8">
      <w:pPr>
        <w:widowControl w:val="0"/>
        <w:jc w:val="both"/>
        <w:rPr>
          <w:snapToGrid w:val="0"/>
          <w:color w:val="000000" w:themeColor="text1"/>
          <w:sz w:val="20"/>
        </w:rPr>
      </w:pPr>
      <w:r w:rsidRPr="00C75159">
        <w:rPr>
          <w:rStyle w:val="FootnoteReference"/>
          <w:snapToGrid w:val="0"/>
          <w:color w:val="000000" w:themeColor="text1"/>
          <w:sz w:val="20"/>
        </w:rPr>
        <w:footnoteReference w:id="1919"/>
      </w:r>
      <w:r w:rsidRPr="00C75159">
        <w:rPr>
          <w:snapToGrid w:val="0"/>
          <w:color w:val="000000" w:themeColor="text1"/>
          <w:sz w:val="20"/>
        </w:rPr>
        <w:t>[</w:t>
      </w:r>
      <w:r w:rsidR="00C75159" w:rsidRPr="00C75159">
        <w:rPr>
          <w:snapToGrid w:val="0"/>
          <w:color w:val="000000" w:themeColor="text1"/>
          <w:sz w:val="20"/>
        </w:rPr>
        <w:t xml:space="preserve"> </w:t>
      </w:r>
      <w:r w:rsidRPr="00C75159">
        <w:rPr>
          <w:snapToGrid w:val="0"/>
          <w:color w:val="000000" w:themeColor="text1"/>
          <w:sz w:val="20"/>
        </w:rPr>
        <w:t xml:space="preserve"> ] </w:t>
      </w:r>
    </w:p>
    <w:p w:rsidR="00866443" w:rsidRPr="00C75159" w:rsidRDefault="00866443" w:rsidP="00AA4BF8">
      <w:pPr>
        <w:widowControl w:val="0"/>
        <w:jc w:val="both"/>
        <w:rPr>
          <w:snapToGrid w:val="0"/>
          <w:color w:val="000000" w:themeColor="text1"/>
          <w:sz w:val="18"/>
          <w:szCs w:val="18"/>
        </w:rPr>
      </w:pPr>
    </w:p>
    <w:p w:rsidR="00AA4BF8" w:rsidRPr="00C75159" w:rsidRDefault="00AA4BF8" w:rsidP="00AA4BF8">
      <w:pPr>
        <w:widowControl w:val="0"/>
        <w:jc w:val="both"/>
        <w:rPr>
          <w:snapToGrid w:val="0"/>
          <w:color w:val="000000" w:themeColor="text1"/>
          <w:sz w:val="20"/>
        </w:rPr>
      </w:pPr>
      <w:r w:rsidRPr="00C75159">
        <w:rPr>
          <w:rStyle w:val="FootnoteReference"/>
          <w:rFonts w:cs="Arial"/>
          <w:snapToGrid w:val="0"/>
          <w:color w:val="000000" w:themeColor="text1"/>
          <w:sz w:val="20"/>
        </w:rPr>
        <w:footnoteReference w:id="1920"/>
      </w:r>
      <w:r w:rsidRPr="00C75159">
        <w:rPr>
          <w:snapToGrid w:val="0"/>
          <w:color w:val="000000" w:themeColor="text1"/>
          <w:sz w:val="20"/>
        </w:rPr>
        <w:t>[  ]</w:t>
      </w:r>
    </w:p>
    <w:p w:rsidR="00AA4BF8" w:rsidRPr="00C75159" w:rsidRDefault="00AA4BF8" w:rsidP="00AA4BF8">
      <w:pPr>
        <w:widowControl w:val="0"/>
        <w:jc w:val="both"/>
        <w:rPr>
          <w:snapToGrid w:val="0"/>
          <w:color w:val="000000" w:themeColor="text1"/>
          <w:sz w:val="20"/>
        </w:rPr>
      </w:pPr>
    </w:p>
    <w:p w:rsidR="00AA4BF8" w:rsidRPr="00C75159" w:rsidRDefault="00AA4BF8" w:rsidP="00AA4BF8">
      <w:pPr>
        <w:widowControl w:val="0"/>
        <w:jc w:val="both"/>
        <w:rPr>
          <w:snapToGrid w:val="0"/>
          <w:color w:val="000000" w:themeColor="text1"/>
          <w:sz w:val="20"/>
        </w:rPr>
      </w:pPr>
      <w:r w:rsidRPr="00C75159">
        <w:rPr>
          <w:rStyle w:val="FootnoteReference"/>
          <w:snapToGrid w:val="0"/>
          <w:color w:val="000000" w:themeColor="text1"/>
          <w:sz w:val="20"/>
        </w:rPr>
        <w:footnoteReference w:id="1921"/>
      </w:r>
      <w:r w:rsidRPr="00C75159">
        <w:rPr>
          <w:snapToGrid w:val="0"/>
          <w:color w:val="000000" w:themeColor="text1"/>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22"/>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23"/>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24"/>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25"/>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z w:val="20"/>
        </w:rPr>
      </w:pPr>
      <w:r w:rsidRPr="00412620">
        <w:rPr>
          <w:b/>
          <w:bCs/>
          <w:snapToGrid w:val="0"/>
          <w:sz w:val="20"/>
        </w:rPr>
        <w:t>(98)</w:t>
      </w:r>
      <w:r w:rsidRPr="00412620">
        <w:rPr>
          <w:snapToGrid w:val="0"/>
          <w:sz w:val="20"/>
        </w:rPr>
        <w:tab/>
        <w:t xml:space="preserve"> Any income derived by any Board or other organization established </w:t>
      </w:r>
      <w:r w:rsidR="00C00E0C" w:rsidRPr="00D47C20">
        <w:rPr>
          <w:rStyle w:val="FootnoteReference"/>
          <w:snapToGrid w:val="0"/>
          <w:color w:val="0070C0"/>
          <w:sz w:val="20"/>
        </w:rPr>
        <w:footnoteReference w:id="1926"/>
      </w:r>
      <w:r w:rsidR="00C00E0C" w:rsidRPr="00D47C20">
        <w:rPr>
          <w:snapToGrid w:val="0"/>
          <w:color w:val="0070C0"/>
          <w:sz w:val="20"/>
        </w:rPr>
        <w:t>[by Government]</w:t>
      </w:r>
      <w:r w:rsidR="00C00E0C">
        <w:rPr>
          <w:snapToGrid w:val="0"/>
          <w:sz w:val="20"/>
        </w:rPr>
        <w:t xml:space="preserve"> </w:t>
      </w:r>
      <w:r w:rsidRPr="00412620">
        <w:rPr>
          <w:rStyle w:val="FootnoteReference"/>
          <w:rFonts w:cs="Arial"/>
          <w:snapToGrid w:val="0"/>
          <w:sz w:val="20"/>
        </w:rPr>
        <w:footnoteReference w:id="1927"/>
      </w:r>
      <w:r w:rsidRPr="00412620">
        <w:rPr>
          <w:snapToGrid w:val="0"/>
          <w:sz w:val="20"/>
        </w:rPr>
        <w:t xml:space="preserve">[  ] </w:t>
      </w:r>
      <w:r w:rsidRPr="00412620">
        <w:rPr>
          <w:sz w:val="20"/>
        </w:rPr>
        <w:t xml:space="preserve">in Pakistan for the purposes of controlling, regulating or encouraging major games and sports recognised by Government </w:t>
      </w:r>
      <w:r w:rsidRPr="00412620">
        <w:rPr>
          <w:rStyle w:val="FootnoteReference"/>
          <w:rFonts w:cs="Arial"/>
          <w:sz w:val="20"/>
        </w:rPr>
        <w:footnoteReference w:id="1928"/>
      </w:r>
      <w:r w:rsidRPr="00412620">
        <w:rPr>
          <w:sz w:val="20"/>
        </w:rPr>
        <w:t>[:]</w:t>
      </w:r>
    </w:p>
    <w:p w:rsidR="00AA4BF8" w:rsidRPr="00412620" w:rsidRDefault="00AA4BF8" w:rsidP="00AA4BF8">
      <w:pPr>
        <w:widowControl w:val="0"/>
        <w:jc w:val="both"/>
        <w:rPr>
          <w:sz w:val="16"/>
          <w:szCs w:val="16"/>
        </w:rPr>
      </w:pPr>
    </w:p>
    <w:p w:rsidR="00AA4BF8" w:rsidRPr="00412620" w:rsidRDefault="00AA4BF8" w:rsidP="00C75159">
      <w:pPr>
        <w:widowControl w:val="0"/>
        <w:ind w:left="630" w:firstLine="841"/>
        <w:jc w:val="both"/>
        <w:rPr>
          <w:sz w:val="20"/>
        </w:rPr>
      </w:pPr>
      <w:r w:rsidRPr="00412620">
        <w:rPr>
          <w:rStyle w:val="FootnoteReference"/>
          <w:rFonts w:cs="Arial"/>
          <w:sz w:val="20"/>
        </w:rPr>
        <w:footnoteReference w:id="1929"/>
      </w:r>
      <w:r w:rsidRPr="00412620">
        <w:rPr>
          <w:sz w:val="20"/>
        </w:rPr>
        <w:t>[Provided that the exemption of this clause shall not be applicable to the Pakistan Cricket Board.]</w:t>
      </w:r>
    </w:p>
    <w:p w:rsidR="00AA4BF8" w:rsidRPr="00412620" w:rsidRDefault="00AA4BF8" w:rsidP="00AA4BF8">
      <w:pPr>
        <w:spacing w:after="120"/>
        <w:jc w:val="both"/>
        <w:rPr>
          <w:sz w:val="20"/>
        </w:rPr>
      </w:pPr>
      <w:r w:rsidRPr="00412620">
        <w:rPr>
          <w:rStyle w:val="FootnoteReference"/>
          <w:rFonts w:cs="Arial"/>
          <w:sz w:val="20"/>
        </w:rPr>
        <w:lastRenderedPageBreak/>
        <w:footnoteReference w:id="1930"/>
      </w:r>
      <w:r w:rsidRPr="00412620">
        <w:rPr>
          <w:sz w:val="20"/>
        </w:rPr>
        <w:t>[  ]</w:t>
      </w:r>
    </w:p>
    <w:p w:rsidR="00AA4BF8" w:rsidRPr="00C75159" w:rsidRDefault="004B7EDB" w:rsidP="00AA4BF8">
      <w:pPr>
        <w:spacing w:after="120"/>
        <w:jc w:val="both"/>
        <w:rPr>
          <w:color w:val="000000" w:themeColor="text1"/>
          <w:sz w:val="20"/>
        </w:rPr>
      </w:pPr>
      <w:r w:rsidRPr="00866443">
        <w:rPr>
          <w:rStyle w:val="FootnoteReference"/>
          <w:bCs/>
          <w:sz w:val="20"/>
        </w:rPr>
        <w:footnoteReference w:id="1931"/>
      </w:r>
      <w:r w:rsidR="00734367" w:rsidRPr="00866443">
        <w:rPr>
          <w:bCs/>
          <w:sz w:val="20"/>
        </w:rPr>
        <w:t>[</w:t>
      </w:r>
      <w:r w:rsidR="00AA4BF8" w:rsidRPr="00412620">
        <w:rPr>
          <w:b/>
          <w:bCs/>
          <w:sz w:val="20"/>
        </w:rPr>
        <w:t xml:space="preserve">(99) </w:t>
      </w:r>
      <w:r w:rsidR="00AA4BF8" w:rsidRPr="00412620">
        <w:rPr>
          <w:sz w:val="20"/>
        </w:rPr>
        <w:t xml:space="preserve">Any income derived by a Collective Investment Scheme or a REIT Scheme, if not less than ninety </w:t>
      </w:r>
      <w:r w:rsidR="00AA4BF8">
        <w:rPr>
          <w:sz w:val="20"/>
        </w:rPr>
        <w:t>per cent</w:t>
      </w:r>
      <w:r w:rsidR="00AA4BF8" w:rsidRPr="00412620">
        <w:rPr>
          <w:sz w:val="20"/>
        </w:rPr>
        <w:t xml:space="preserve"> of its accounting income of that year, as reduced by capital gains whether realized or unrealized, is distributed amongst the unit or certificate holders or </w:t>
      </w:r>
      <w:r w:rsidR="00AA4BF8">
        <w:rPr>
          <w:sz w:val="20"/>
        </w:rPr>
        <w:t>shareholders as the case may be</w:t>
      </w:r>
      <w:r w:rsidR="00C75159">
        <w:rPr>
          <w:sz w:val="20"/>
        </w:rPr>
        <w:t xml:space="preserve"> </w:t>
      </w:r>
      <w:r w:rsidR="00955CEE" w:rsidRPr="00C75159">
        <w:rPr>
          <w:rStyle w:val="FootnoteReference"/>
          <w:color w:val="000000" w:themeColor="text1"/>
          <w:sz w:val="20"/>
        </w:rPr>
        <w:footnoteReference w:id="1932"/>
      </w:r>
      <w:r w:rsidR="00955CEE" w:rsidRPr="00C75159">
        <w:rPr>
          <w:color w:val="000000" w:themeColor="text1"/>
          <w:sz w:val="20"/>
        </w:rPr>
        <w:t>[</w:t>
      </w:r>
      <w:r w:rsidR="00AA4BF8" w:rsidRPr="00C75159">
        <w:rPr>
          <w:color w:val="000000" w:themeColor="text1"/>
          <w:sz w:val="20"/>
        </w:rPr>
        <w:t>:</w:t>
      </w:r>
    </w:p>
    <w:p w:rsidR="00AA4BF8" w:rsidRPr="00C75159" w:rsidRDefault="00AA4BF8" w:rsidP="00AA4BF8">
      <w:pPr>
        <w:spacing w:after="120"/>
        <w:ind w:firstLine="630"/>
        <w:jc w:val="both"/>
        <w:rPr>
          <w:color w:val="000000" w:themeColor="text1"/>
          <w:sz w:val="20"/>
        </w:rPr>
      </w:pPr>
      <w:r w:rsidRPr="00C75159">
        <w:rPr>
          <w:color w:val="000000" w:themeColor="text1"/>
          <w:sz w:val="20"/>
        </w:rPr>
        <w:t>Provided that for the purpose of determining distribution of at least 90% of accounting income, the income distributed through bonus shares, units or ce</w:t>
      </w:r>
      <w:r w:rsidR="00CC29A1" w:rsidRPr="00C75159">
        <w:rPr>
          <w:color w:val="000000" w:themeColor="text1"/>
          <w:sz w:val="20"/>
        </w:rPr>
        <w:t xml:space="preserve">rtificates as the case may be, </w:t>
      </w:r>
      <w:r w:rsidRPr="00C75159">
        <w:rPr>
          <w:color w:val="000000" w:themeColor="text1"/>
          <w:sz w:val="20"/>
        </w:rPr>
        <w:t>sh</w:t>
      </w:r>
      <w:r w:rsidR="00955CEE" w:rsidRPr="00C75159">
        <w:rPr>
          <w:color w:val="000000" w:themeColor="text1"/>
          <w:sz w:val="20"/>
        </w:rPr>
        <w:t>all not be taken into account.]</w:t>
      </w:r>
    </w:p>
    <w:p w:rsidR="00AA4BF8" w:rsidRPr="00412620" w:rsidRDefault="00AA4BF8" w:rsidP="00AA4BF8">
      <w:pPr>
        <w:spacing w:before="120" w:after="120"/>
        <w:ind w:left="540" w:hanging="540"/>
        <w:jc w:val="both"/>
        <w:rPr>
          <w:sz w:val="20"/>
        </w:rPr>
      </w:pPr>
      <w:r w:rsidRPr="00412620">
        <w:rPr>
          <w:sz w:val="20"/>
        </w:rPr>
        <w:tab/>
      </w:r>
      <w:r w:rsidRPr="00412620">
        <w:rPr>
          <w:i/>
          <w:iCs/>
          <w:sz w:val="20"/>
        </w:rPr>
        <w:t>Explanation</w:t>
      </w:r>
      <w:r w:rsidRPr="00412620">
        <w:rPr>
          <w:sz w:val="20"/>
        </w:rPr>
        <w:t>.— For the purpose of this clause the expression “accounting income” means income calculated under the generally accepted Accounting Principles and verified by the auditors.]</w:t>
      </w:r>
    </w:p>
    <w:p w:rsidR="00AA4BF8" w:rsidRDefault="00AA4BF8" w:rsidP="00AA4BF8">
      <w:pPr>
        <w:widowControl w:val="0"/>
        <w:jc w:val="both"/>
        <w:rPr>
          <w:sz w:val="20"/>
        </w:rPr>
      </w:pPr>
      <w:r w:rsidRPr="00412620">
        <w:rPr>
          <w:rStyle w:val="FootnoteReference"/>
          <w:rFonts w:cs="Arial"/>
          <w:snapToGrid w:val="0"/>
          <w:sz w:val="20"/>
        </w:rPr>
        <w:footnoteReference w:id="1933"/>
      </w:r>
      <w:r w:rsidRPr="00412620">
        <w:rPr>
          <w:snapToGrid w:val="0"/>
          <w:sz w:val="20"/>
        </w:rPr>
        <w:t>[</w:t>
      </w:r>
      <w:r w:rsidRPr="00412620">
        <w:rPr>
          <w:b/>
          <w:bCs/>
          <w:snapToGrid w:val="0"/>
          <w:sz w:val="20"/>
        </w:rPr>
        <w:t xml:space="preserve">(99A)   </w:t>
      </w:r>
      <w:r w:rsidRPr="00412620">
        <w:rPr>
          <w:sz w:val="20"/>
        </w:rPr>
        <w:t xml:space="preserve">Profits and gains accruing to a person on sale of immovable property to a </w:t>
      </w:r>
      <w:r w:rsidRPr="00412620">
        <w:rPr>
          <w:rStyle w:val="FootnoteReference"/>
          <w:rFonts w:cs="Arial"/>
          <w:sz w:val="20"/>
        </w:rPr>
        <w:footnoteReference w:id="1934"/>
      </w:r>
      <w:r w:rsidRPr="00412620">
        <w:rPr>
          <w:sz w:val="20"/>
        </w:rPr>
        <w:t xml:space="preserve">[REIT Scheme] upto thirtieth day of June, </w:t>
      </w:r>
      <w:r w:rsidRPr="00412620">
        <w:rPr>
          <w:rStyle w:val="FootnoteReference"/>
          <w:rFonts w:cs="Arial"/>
          <w:sz w:val="20"/>
        </w:rPr>
        <w:footnoteReference w:id="1935"/>
      </w:r>
      <w:r w:rsidRPr="00412620">
        <w:rPr>
          <w:sz w:val="20"/>
        </w:rPr>
        <w:t>[2015]</w:t>
      </w:r>
      <w:r w:rsidR="00FA5556">
        <w:rPr>
          <w:sz w:val="20"/>
        </w:rPr>
        <w:t xml:space="preserve"> </w:t>
      </w:r>
      <w:r w:rsidR="00967790" w:rsidRPr="00FA5556">
        <w:rPr>
          <w:rStyle w:val="FootnoteReference"/>
          <w:color w:val="000000" w:themeColor="text1"/>
          <w:sz w:val="20"/>
        </w:rPr>
        <w:footnoteReference w:id="1936"/>
      </w:r>
      <w:r w:rsidR="004C6178" w:rsidRPr="00FA5556">
        <w:rPr>
          <w:color w:val="000000" w:themeColor="text1"/>
          <w:sz w:val="20"/>
        </w:rPr>
        <w:t>[“:”]</w:t>
      </w:r>
      <w:r w:rsidRPr="00412620">
        <w:rPr>
          <w:sz w:val="20"/>
        </w:rPr>
        <w:t>]</w:t>
      </w:r>
    </w:p>
    <w:p w:rsidR="004C6178" w:rsidRDefault="004C6178" w:rsidP="00AA4BF8">
      <w:pPr>
        <w:widowControl w:val="0"/>
        <w:jc w:val="both"/>
        <w:rPr>
          <w:sz w:val="20"/>
        </w:rPr>
      </w:pPr>
    </w:p>
    <w:p w:rsidR="004C6178" w:rsidRPr="00FA5556" w:rsidRDefault="004C6178" w:rsidP="004C6178">
      <w:pPr>
        <w:autoSpaceDE w:val="0"/>
        <w:autoSpaceDN w:val="0"/>
        <w:adjustRightInd w:val="0"/>
        <w:ind w:left="547" w:firstLine="547"/>
        <w:jc w:val="both"/>
        <w:rPr>
          <w:color w:val="000000" w:themeColor="text1"/>
          <w:sz w:val="20"/>
        </w:rPr>
      </w:pPr>
      <w:r w:rsidRPr="00FA5556">
        <w:rPr>
          <w:rStyle w:val="FootnoteReference"/>
          <w:rFonts w:cs="Arial"/>
          <w:color w:val="000000" w:themeColor="text1"/>
          <w:sz w:val="20"/>
          <w:lang w:val="en-US"/>
        </w:rPr>
        <w:footnoteReference w:id="1937"/>
      </w:r>
      <w:r w:rsidRPr="00FA5556">
        <w:rPr>
          <w:rFonts w:cs="Arial"/>
          <w:color w:val="000000" w:themeColor="text1"/>
          <w:sz w:val="20"/>
          <w:lang w:val="en-US"/>
        </w:rPr>
        <w:t>[“Provided that profit and gains on sale of immovable property to a Developmental REIT Scheme with the object of development and construction of residential buildings shall be exempt upto thirtieth day of June, 2020”]</w:t>
      </w:r>
    </w:p>
    <w:p w:rsidR="00AA4BF8" w:rsidRPr="00412620" w:rsidRDefault="00AA4BF8" w:rsidP="00AA4BF8">
      <w:pPr>
        <w:widowControl w:val="0"/>
        <w:jc w:val="both"/>
        <w:rPr>
          <w:b/>
          <w:bCs/>
          <w:snapToGrid w:val="0"/>
          <w:sz w:val="14"/>
          <w:szCs w:val="14"/>
        </w:rPr>
      </w:pPr>
    </w:p>
    <w:p w:rsidR="00AA4BF8" w:rsidRPr="00412620" w:rsidRDefault="00AA4BF8" w:rsidP="00AA4BF8">
      <w:pPr>
        <w:widowControl w:val="0"/>
        <w:jc w:val="both"/>
        <w:rPr>
          <w:snapToGrid w:val="0"/>
          <w:sz w:val="20"/>
        </w:rPr>
      </w:pPr>
      <w:r w:rsidRPr="00412620">
        <w:rPr>
          <w:b/>
          <w:bCs/>
          <w:snapToGrid w:val="0"/>
          <w:sz w:val="20"/>
        </w:rPr>
        <w:t xml:space="preserve">(100)  </w:t>
      </w:r>
      <w:r w:rsidRPr="00412620">
        <w:rPr>
          <w:snapToGrid w:val="0"/>
          <w:sz w:val="20"/>
        </w:rPr>
        <w:t xml:space="preserve">Any income, not being income from trading activity, of a modaraba registered under the Modaraba Companies and Modaraba (Floatation and </w:t>
      </w:r>
      <w:r w:rsidRPr="00412620">
        <w:rPr>
          <w:snapToGrid w:val="0"/>
          <w:sz w:val="20"/>
        </w:rPr>
        <w:lastRenderedPageBreak/>
        <w:t xml:space="preserve">Control) Ordinance, 1980 (XXXI of 1980), for any assessment year commencing on or after the first day of July, 1999 </w:t>
      </w:r>
      <w:r w:rsidRPr="00412620">
        <w:rPr>
          <w:rStyle w:val="FootnoteReference"/>
          <w:rFonts w:cs="Arial"/>
          <w:snapToGrid w:val="0"/>
          <w:sz w:val="20"/>
        </w:rPr>
        <w:footnoteReference w:id="1938"/>
      </w:r>
      <w:r w:rsidRPr="00412620">
        <w:rPr>
          <w:snapToGrid w:val="0"/>
          <w:sz w:val="20"/>
        </w:rPr>
        <w:t>[:]</w:t>
      </w:r>
    </w:p>
    <w:p w:rsidR="00AA4BF8" w:rsidRPr="00412620" w:rsidRDefault="00AA4BF8" w:rsidP="00AA4BF8">
      <w:pPr>
        <w:widowControl w:val="0"/>
        <w:jc w:val="both"/>
        <w:rPr>
          <w:snapToGrid w:val="0"/>
          <w:sz w:val="14"/>
          <w:szCs w:val="14"/>
        </w:rPr>
      </w:pPr>
    </w:p>
    <w:p w:rsidR="00AA4BF8" w:rsidRPr="00412620" w:rsidRDefault="00AA4BF8" w:rsidP="00AA4BF8">
      <w:pPr>
        <w:widowControl w:val="0"/>
        <w:ind w:left="1094" w:firstLine="541"/>
        <w:jc w:val="both"/>
        <w:rPr>
          <w:snapToGrid w:val="0"/>
          <w:sz w:val="20"/>
        </w:rPr>
      </w:pPr>
      <w:r w:rsidRPr="00412620">
        <w:rPr>
          <w:snapToGrid w:val="0"/>
          <w:sz w:val="20"/>
        </w:rPr>
        <w:t xml:space="preserve">Provided that not less than ninety </w:t>
      </w:r>
      <w:r>
        <w:rPr>
          <w:snapToGrid w:val="0"/>
          <w:sz w:val="20"/>
        </w:rPr>
        <w:t>per cent</w:t>
      </w:r>
      <w:r w:rsidRPr="00412620">
        <w:rPr>
          <w:snapToGrid w:val="0"/>
          <w:sz w:val="20"/>
        </w:rPr>
        <w:t xml:space="preserve"> of its total profits in the year as reduced by the amount transferred to a mandatory reserve, as required under the provisions of the said Ordinance or the rules made </w:t>
      </w:r>
      <w:r w:rsidRPr="00412620">
        <w:rPr>
          <w:rStyle w:val="FootnoteReference"/>
          <w:rFonts w:cs="Arial"/>
          <w:snapToGrid w:val="0"/>
          <w:sz w:val="20"/>
        </w:rPr>
        <w:footnoteReference w:id="1939"/>
      </w:r>
      <w:r w:rsidRPr="00412620">
        <w:rPr>
          <w:snapToGrid w:val="0"/>
          <w:sz w:val="20"/>
        </w:rPr>
        <w:t>[thereunder, as are distributed amongst the shareholders]:</w:t>
      </w:r>
    </w:p>
    <w:p w:rsidR="00AA4BF8" w:rsidRPr="00412620" w:rsidRDefault="00AA4BF8" w:rsidP="00AA4BF8">
      <w:pPr>
        <w:widowControl w:val="0"/>
        <w:jc w:val="both"/>
        <w:rPr>
          <w:snapToGrid w:val="0"/>
          <w:sz w:val="20"/>
        </w:rPr>
      </w:pPr>
    </w:p>
    <w:p w:rsidR="00AA4BF8" w:rsidRPr="00412620" w:rsidRDefault="00AA4BF8" w:rsidP="00AA4BF8">
      <w:pPr>
        <w:widowControl w:val="0"/>
        <w:ind w:left="1094" w:firstLine="541"/>
        <w:jc w:val="both"/>
        <w:rPr>
          <w:snapToGrid w:val="0"/>
          <w:sz w:val="20"/>
        </w:rPr>
      </w:pPr>
      <w:r w:rsidRPr="00412620">
        <w:rPr>
          <w:snapToGrid w:val="0"/>
          <w:sz w:val="20"/>
        </w:rPr>
        <w:t xml:space="preserve">Provided further that with effect from the first day of July, 1999 for the purpose of determining the distribution of ninety </w:t>
      </w:r>
      <w:r>
        <w:rPr>
          <w:snapToGrid w:val="0"/>
          <w:sz w:val="20"/>
        </w:rPr>
        <w:t>per cent</w:t>
      </w:r>
      <w:r w:rsidRPr="00412620">
        <w:rPr>
          <w:snapToGrid w:val="0"/>
          <w:sz w:val="20"/>
        </w:rPr>
        <w:t xml:space="preserve"> profits, the profits distributed through bonus certificates or shares to the certificate holders shall not be taken into account.</w:t>
      </w:r>
    </w:p>
    <w:p w:rsidR="00AA4BF8" w:rsidRPr="00412620" w:rsidRDefault="00AA4BF8" w:rsidP="00AA4BF8">
      <w:pPr>
        <w:widowControl w:val="0"/>
        <w:jc w:val="both"/>
        <w:rPr>
          <w:b/>
          <w:bCs/>
          <w:snapToGrid w:val="0"/>
          <w:sz w:val="14"/>
          <w:szCs w:val="14"/>
        </w:rPr>
      </w:pPr>
    </w:p>
    <w:p w:rsidR="00AA4BF8" w:rsidRPr="00412620" w:rsidRDefault="00AA4BF8" w:rsidP="00AA4BF8">
      <w:pPr>
        <w:widowControl w:val="0"/>
        <w:jc w:val="both"/>
        <w:rPr>
          <w:snapToGrid w:val="0"/>
          <w:sz w:val="20"/>
        </w:rPr>
      </w:pPr>
      <w:r w:rsidRPr="00412620">
        <w:rPr>
          <w:b/>
          <w:bCs/>
          <w:snapToGrid w:val="0"/>
          <w:sz w:val="20"/>
        </w:rPr>
        <w:t>(101)</w:t>
      </w:r>
      <w:r w:rsidRPr="00412620">
        <w:rPr>
          <w:snapToGrid w:val="0"/>
          <w:sz w:val="20"/>
        </w:rPr>
        <w:t xml:space="preserve">  Profits and gains derived between the first day of July, 2000 and the thirtieth day of June, </w:t>
      </w:r>
      <w:r w:rsidRPr="00412620">
        <w:rPr>
          <w:rStyle w:val="FootnoteReference"/>
          <w:rFonts w:cs="Arial"/>
          <w:snapToGrid w:val="0"/>
          <w:sz w:val="20"/>
        </w:rPr>
        <w:footnoteReference w:id="1940"/>
      </w:r>
      <w:r w:rsidRPr="00412620">
        <w:rPr>
          <w:snapToGrid w:val="0"/>
          <w:sz w:val="20"/>
        </w:rPr>
        <w:t xml:space="preserve">[2024] both days inclusive, by a venture capital company and venture capital fund registered under Venture Capital Companies and Funds Management Rules, 2000 </w:t>
      </w:r>
      <w:r w:rsidRPr="00412620">
        <w:rPr>
          <w:rStyle w:val="FootnoteReference"/>
          <w:rFonts w:cs="Arial"/>
          <w:snapToGrid w:val="0"/>
          <w:sz w:val="20"/>
        </w:rPr>
        <w:footnoteReference w:id="1941"/>
      </w:r>
      <w:r w:rsidRPr="00412620">
        <w:rPr>
          <w:snapToGrid w:val="0"/>
          <w:sz w:val="20"/>
        </w:rPr>
        <w:t>[and a Private Equity and Venture Capital Fund].</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42"/>
      </w:r>
      <w:r w:rsidRPr="00412620">
        <w:rPr>
          <w:snapToGrid w:val="0"/>
          <w:sz w:val="20"/>
        </w:rPr>
        <w:t>[  ]</w:t>
      </w:r>
    </w:p>
    <w:p w:rsidR="00AA4BF8" w:rsidRPr="00412620" w:rsidRDefault="00AA4BF8" w:rsidP="00AA4BF8">
      <w:pPr>
        <w:widowControl w:val="0"/>
        <w:jc w:val="both"/>
        <w:rPr>
          <w:snapToGrid w:val="0"/>
          <w:sz w:val="16"/>
          <w:szCs w:val="16"/>
        </w:rPr>
      </w:pPr>
    </w:p>
    <w:p w:rsidR="00AA4BF8" w:rsidRPr="00412620" w:rsidRDefault="007A51A6" w:rsidP="00AA4BF8">
      <w:pPr>
        <w:autoSpaceDE w:val="0"/>
        <w:autoSpaceDN w:val="0"/>
        <w:adjustRightInd w:val="0"/>
        <w:jc w:val="both"/>
        <w:rPr>
          <w:sz w:val="20"/>
          <w:lang w:val="en-US"/>
        </w:rPr>
      </w:pPr>
      <w:r>
        <w:rPr>
          <w:rStyle w:val="FootnoteReference"/>
          <w:b/>
          <w:bCs/>
          <w:sz w:val="20"/>
          <w:lang w:val="en-US"/>
        </w:rPr>
        <w:footnoteReference w:id="1943"/>
      </w:r>
      <w:r>
        <w:rPr>
          <w:b/>
          <w:bCs/>
          <w:sz w:val="20"/>
          <w:lang w:val="en-US"/>
        </w:rPr>
        <w:t>[</w:t>
      </w:r>
      <w:r w:rsidR="00AA4BF8" w:rsidRPr="00412620">
        <w:rPr>
          <w:b/>
          <w:bCs/>
          <w:sz w:val="20"/>
          <w:lang w:val="en-US"/>
        </w:rPr>
        <w:t>(102A)</w:t>
      </w:r>
      <w:r w:rsidR="00AA4BF8" w:rsidRPr="00412620">
        <w:rPr>
          <w:sz w:val="20"/>
          <w:lang w:val="en-US"/>
        </w:rPr>
        <w:t xml:space="preserve"> Income of a person as represents a subsidy granted to him by the Federal Government for the purposes of implementation of any orders of the Federal Government in this behalf.</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44"/>
      </w:r>
      <w:r w:rsidRPr="00412620">
        <w:rPr>
          <w:snapToGrid w:val="0"/>
          <w:sz w:val="20"/>
        </w:rPr>
        <w:t>[</w:t>
      </w:r>
      <w:r w:rsidRPr="00412620">
        <w:rPr>
          <w:b/>
          <w:bCs/>
          <w:snapToGrid w:val="0"/>
          <w:sz w:val="20"/>
        </w:rPr>
        <w:t>(103)</w:t>
      </w:r>
      <w:r w:rsidRPr="00412620">
        <w:rPr>
          <w:snapToGrid w:val="0"/>
          <w:sz w:val="20"/>
        </w:rPr>
        <w:tab/>
        <w:t xml:space="preserve">Any distribution received by a taxpayer from a collective investment scheme registered by the Securities and Exchange Commission of Pakistan under the Non-Banking Finance Companies and Notified Entities Regulations, 2007, including National Investment (Unit) Trust or REIT Scheme or a Private Equity and Venture Capital Fund out of the capital gains of the said Schemes or Trust or Fund </w:t>
      </w:r>
      <w:r w:rsidRPr="00412620">
        <w:rPr>
          <w:rStyle w:val="FootnoteReference"/>
          <w:rFonts w:cs="Arial"/>
          <w:snapToGrid w:val="0"/>
          <w:sz w:val="20"/>
        </w:rPr>
        <w:footnoteReference w:id="1945"/>
      </w:r>
      <w:r w:rsidRPr="00412620">
        <w:rPr>
          <w:snapToGrid w:val="0"/>
          <w:sz w:val="20"/>
        </w:rPr>
        <w:t>[:] ]</w:t>
      </w:r>
    </w:p>
    <w:p w:rsidR="00AA4BF8" w:rsidRPr="00412620" w:rsidRDefault="00AA4BF8" w:rsidP="00AA4BF8">
      <w:pPr>
        <w:widowControl w:val="0"/>
        <w:jc w:val="both"/>
        <w:rPr>
          <w:snapToGrid w:val="0"/>
          <w:sz w:val="16"/>
          <w:szCs w:val="16"/>
        </w:rPr>
      </w:pPr>
    </w:p>
    <w:p w:rsidR="00AA4BF8" w:rsidRPr="00412620" w:rsidRDefault="00AA4BF8" w:rsidP="00AA4BF8">
      <w:pPr>
        <w:widowControl w:val="0"/>
        <w:ind w:left="1094" w:firstLine="541"/>
        <w:jc w:val="both"/>
        <w:rPr>
          <w:snapToGrid w:val="0"/>
          <w:sz w:val="20"/>
        </w:rPr>
      </w:pPr>
      <w:r w:rsidRPr="00412620">
        <w:rPr>
          <w:rStyle w:val="FootnoteReference"/>
          <w:rFonts w:cs="Arial"/>
          <w:snapToGrid w:val="0"/>
          <w:sz w:val="20"/>
        </w:rPr>
        <w:footnoteReference w:id="1946"/>
      </w:r>
      <w:r w:rsidRPr="00412620">
        <w:rPr>
          <w:snapToGrid w:val="0"/>
          <w:sz w:val="20"/>
        </w:rPr>
        <w:t>[Provided that this exemption shall be available to only such mutual funds, collective investment schemes that are debt or money market funds and these do not invest in shares.]</w:t>
      </w:r>
    </w:p>
    <w:p w:rsidR="00AA4BF8" w:rsidRPr="00412620" w:rsidRDefault="00AA4BF8" w:rsidP="00AA4BF8">
      <w:pPr>
        <w:widowControl w:val="0"/>
        <w:jc w:val="both"/>
        <w:rPr>
          <w:snapToGrid w:val="0"/>
          <w:sz w:val="14"/>
          <w:szCs w:val="14"/>
        </w:rPr>
      </w:pPr>
    </w:p>
    <w:p w:rsidR="00AA4BF8" w:rsidRPr="00580434" w:rsidRDefault="00AA4BF8" w:rsidP="00580434">
      <w:pPr>
        <w:autoSpaceDE w:val="0"/>
        <w:autoSpaceDN w:val="0"/>
        <w:adjustRightInd w:val="0"/>
        <w:jc w:val="both"/>
        <w:rPr>
          <w:snapToGrid w:val="0"/>
          <w:sz w:val="20"/>
        </w:rPr>
      </w:pPr>
      <w:r w:rsidRPr="00412620">
        <w:rPr>
          <w:rStyle w:val="FootnoteReference"/>
          <w:rFonts w:cs="Arial"/>
          <w:snapToGrid w:val="0"/>
          <w:sz w:val="20"/>
        </w:rPr>
        <w:footnoteReference w:id="1947"/>
      </w:r>
      <w:r w:rsidRPr="00412620">
        <w:rPr>
          <w:snapToGrid w:val="0"/>
          <w:sz w:val="20"/>
        </w:rPr>
        <w:t>[</w:t>
      </w:r>
      <w:r w:rsidRPr="00412620">
        <w:rPr>
          <w:b/>
          <w:bCs/>
          <w:snapToGrid w:val="0"/>
          <w:sz w:val="20"/>
        </w:rPr>
        <w:t>(103A)</w:t>
      </w:r>
      <w:r w:rsidRPr="00412620">
        <w:rPr>
          <w:snapToGrid w:val="0"/>
          <w:sz w:val="20"/>
        </w:rPr>
        <w:t xml:space="preserve"> A</w:t>
      </w:r>
      <w:r w:rsidRPr="00412620">
        <w:rPr>
          <w:sz w:val="20"/>
        </w:rPr>
        <w:t xml:space="preserve">ny income derived from inter-corporate dividend within the group companies entitled to group taxation under section 59AA </w:t>
      </w:r>
      <w:r w:rsidRPr="00412620">
        <w:rPr>
          <w:rStyle w:val="FootnoteReference"/>
          <w:rFonts w:cs="Arial"/>
          <w:sz w:val="20"/>
        </w:rPr>
        <w:footnoteReference w:id="1948"/>
      </w:r>
      <w:r w:rsidRPr="00412620">
        <w:rPr>
          <w:sz w:val="20"/>
        </w:rPr>
        <w:t>[</w:t>
      </w:r>
      <w:r w:rsidR="008F0472">
        <w:rPr>
          <w:sz w:val="20"/>
        </w:rPr>
        <w:t xml:space="preserve"> </w:t>
      </w:r>
      <w:r w:rsidR="008F0472" w:rsidRPr="00D47C20">
        <w:rPr>
          <w:rStyle w:val="FootnoteReference"/>
          <w:color w:val="0070C0"/>
          <w:sz w:val="20"/>
        </w:rPr>
        <w:footnoteReference w:id="1949"/>
      </w:r>
      <w:r w:rsidR="008F0472" w:rsidRPr="00D47C20">
        <w:rPr>
          <w:color w:val="0070C0"/>
          <w:sz w:val="20"/>
        </w:rPr>
        <w:t>[  ]</w:t>
      </w:r>
      <w:r w:rsidR="008F0472">
        <w:rPr>
          <w:color w:val="FF0000"/>
          <w:sz w:val="20"/>
        </w:rPr>
        <w:t xml:space="preserve"> </w:t>
      </w:r>
      <w:r w:rsidR="008F0472" w:rsidRPr="008F0472">
        <w:rPr>
          <w:color w:val="000000" w:themeColor="text1"/>
          <w:sz w:val="20"/>
        </w:rPr>
        <w:t>]</w:t>
      </w:r>
      <w:r w:rsidR="008F0472">
        <w:rPr>
          <w:sz w:val="20"/>
        </w:rPr>
        <w:t xml:space="preserve"> </w:t>
      </w:r>
      <w:r w:rsidR="00580434" w:rsidRPr="00FA5556">
        <w:rPr>
          <w:rStyle w:val="FootnoteReference"/>
          <w:color w:val="000000" w:themeColor="text1"/>
          <w:sz w:val="20"/>
        </w:rPr>
        <w:footnoteReference w:id="1950"/>
      </w:r>
      <w:r w:rsidR="00580434" w:rsidRPr="00FA5556">
        <w:rPr>
          <w:color w:val="000000" w:themeColor="text1"/>
          <w:sz w:val="20"/>
        </w:rPr>
        <w:t>[“</w:t>
      </w:r>
      <w:r w:rsidR="00580434" w:rsidRPr="00FA5556">
        <w:rPr>
          <w:rFonts w:cs="Arial"/>
          <w:color w:val="000000" w:themeColor="text1"/>
          <w:sz w:val="20"/>
          <w:lang w:val="en-US"/>
        </w:rPr>
        <w:t>subject to the condition that return of the group has been filed for the tax year.”</w:t>
      </w:r>
      <w:r w:rsidRPr="00FA5556">
        <w:rPr>
          <w:color w:val="000000" w:themeColor="text1"/>
          <w:sz w:val="20"/>
        </w:rPr>
        <w:t>].]</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51"/>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 xml:space="preserve">(104)  </w:t>
      </w:r>
      <w:r w:rsidRPr="00412620">
        <w:rPr>
          <w:snapToGrid w:val="0"/>
          <w:sz w:val="20"/>
        </w:rPr>
        <w:t>Any income derived by the Libyan Arab Foreign Investment Company being dividend of the Pak-Libya Holding Company.</w:t>
      </w:r>
    </w:p>
    <w:p w:rsidR="00AA4BF8" w:rsidRPr="00412620" w:rsidRDefault="00AA4BF8" w:rsidP="00AA4BF8">
      <w:pPr>
        <w:widowControl w:val="0"/>
        <w:jc w:val="both"/>
        <w:rPr>
          <w:b/>
          <w:bCs/>
          <w:snapToGrid w:val="0"/>
          <w:sz w:val="18"/>
          <w:szCs w:val="18"/>
        </w:rPr>
      </w:pPr>
    </w:p>
    <w:p w:rsidR="00AA4BF8" w:rsidRPr="00412620" w:rsidRDefault="00AA4BF8" w:rsidP="00AA4BF8">
      <w:pPr>
        <w:widowControl w:val="0"/>
        <w:tabs>
          <w:tab w:val="left" w:pos="3510"/>
        </w:tabs>
        <w:jc w:val="both"/>
        <w:rPr>
          <w:snapToGrid w:val="0"/>
          <w:sz w:val="20"/>
        </w:rPr>
      </w:pPr>
      <w:r w:rsidRPr="00412620">
        <w:rPr>
          <w:b/>
          <w:bCs/>
          <w:snapToGrid w:val="0"/>
          <w:sz w:val="20"/>
        </w:rPr>
        <w:t xml:space="preserve">(105)  </w:t>
      </w:r>
      <w:r w:rsidRPr="00412620">
        <w:rPr>
          <w:snapToGrid w:val="0"/>
          <w:sz w:val="20"/>
        </w:rPr>
        <w:t>Any income derived by the Government of Kingdom of Saudi Arabia being dividend of the Saudi-Pak Industrial and Agricultural Investment Company Limited.</w:t>
      </w:r>
    </w:p>
    <w:p w:rsidR="00AA4BF8" w:rsidRPr="00412620" w:rsidRDefault="00AA4BF8" w:rsidP="00AA4BF8">
      <w:pPr>
        <w:widowControl w:val="0"/>
        <w:jc w:val="both"/>
        <w:rPr>
          <w:snapToGrid w:val="0"/>
          <w:sz w:val="16"/>
          <w:szCs w:val="16"/>
        </w:rPr>
      </w:pPr>
    </w:p>
    <w:p w:rsidR="00AA4BF8" w:rsidRDefault="00AA4BF8" w:rsidP="00AA4BF8">
      <w:pPr>
        <w:widowControl w:val="0"/>
        <w:jc w:val="both"/>
        <w:rPr>
          <w:snapToGrid w:val="0"/>
          <w:sz w:val="20"/>
        </w:rPr>
      </w:pPr>
      <w:r w:rsidRPr="00412620">
        <w:rPr>
          <w:rStyle w:val="FootnoteReference"/>
          <w:rFonts w:cs="Arial"/>
          <w:snapToGrid w:val="0"/>
          <w:sz w:val="20"/>
        </w:rPr>
        <w:footnoteReference w:id="1952"/>
      </w:r>
      <w:r w:rsidRPr="00412620">
        <w:rPr>
          <w:snapToGrid w:val="0"/>
          <w:sz w:val="20"/>
        </w:rPr>
        <w:t>[</w:t>
      </w:r>
      <w:r w:rsidRPr="00412620">
        <w:rPr>
          <w:b/>
          <w:bCs/>
          <w:snapToGrid w:val="0"/>
          <w:sz w:val="20"/>
        </w:rPr>
        <w:t>(105A)</w:t>
      </w:r>
      <w:r w:rsidRPr="00412620">
        <w:rPr>
          <w:snapToGrid w:val="0"/>
          <w:sz w:val="20"/>
        </w:rPr>
        <w:t xml:space="preserve">  Any income derived by Kuwait Foreign Trading Contracting and Investment Company or Kuwait Investment Authority being dividend of the Pak-Kuwait Investment Company in Pakistan from the year of incorporation of Pak-Kuwait Investment Company.]</w:t>
      </w:r>
    </w:p>
    <w:p w:rsidR="007E35C3" w:rsidRDefault="007E35C3" w:rsidP="00AA4BF8">
      <w:pPr>
        <w:widowControl w:val="0"/>
        <w:jc w:val="both"/>
        <w:rPr>
          <w:snapToGrid w:val="0"/>
          <w:sz w:val="20"/>
        </w:rPr>
      </w:pPr>
    </w:p>
    <w:p w:rsidR="00447137" w:rsidRPr="00412620" w:rsidRDefault="00865174" w:rsidP="00AA4BF8">
      <w:pPr>
        <w:widowControl w:val="0"/>
        <w:jc w:val="both"/>
        <w:rPr>
          <w:snapToGrid w:val="0"/>
          <w:sz w:val="20"/>
        </w:rPr>
      </w:pPr>
      <w:r>
        <w:rPr>
          <w:rStyle w:val="FootnoteReference"/>
          <w:snapToGrid w:val="0"/>
          <w:sz w:val="20"/>
        </w:rPr>
        <w:footnoteReference w:id="1953"/>
      </w:r>
      <w:r w:rsidR="00447137">
        <w:rPr>
          <w:snapToGrid w:val="0"/>
          <w:sz w:val="20"/>
        </w:rPr>
        <w:t>[(</w:t>
      </w:r>
      <w:r w:rsidR="00447137" w:rsidRPr="00EF3B1C">
        <w:rPr>
          <w:b/>
          <w:snapToGrid w:val="0"/>
          <w:sz w:val="20"/>
        </w:rPr>
        <w:t>105B</w:t>
      </w:r>
      <w:r w:rsidR="00447137">
        <w:rPr>
          <w:snapToGrid w:val="0"/>
          <w:sz w:val="20"/>
        </w:rPr>
        <w:t>)</w:t>
      </w:r>
      <w:r w:rsidR="00447137">
        <w:rPr>
          <w:snapToGrid w:val="0"/>
          <w:sz w:val="20"/>
        </w:rPr>
        <w:tab/>
        <w:t xml:space="preserve">Any </w:t>
      </w:r>
      <w:r>
        <w:rPr>
          <w:snapToGrid w:val="0"/>
          <w:sz w:val="20"/>
        </w:rPr>
        <w:t>income received by a taxpayer from a corporate agricultural enterprise, distributed as dividend out of tis income from agriculture.]</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54"/>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18"/>
          <w:szCs w:val="18"/>
        </w:rPr>
      </w:pPr>
      <w:r w:rsidRPr="00412620">
        <w:rPr>
          <w:rStyle w:val="FootnoteReference"/>
          <w:rFonts w:cs="Arial"/>
          <w:snapToGrid w:val="0"/>
          <w:sz w:val="18"/>
          <w:szCs w:val="18"/>
        </w:rPr>
        <w:footnoteReference w:id="1955"/>
      </w:r>
      <w:r w:rsidRPr="00412620">
        <w:rPr>
          <w:snapToGrid w:val="0"/>
          <w:sz w:val="20"/>
        </w:rPr>
        <w:t>[  ]</w:t>
      </w:r>
    </w:p>
    <w:p w:rsidR="00AA4BF8" w:rsidRPr="00412620" w:rsidRDefault="00AA4BF8" w:rsidP="00AA4BF8">
      <w:pPr>
        <w:rPr>
          <w:sz w:val="14"/>
          <w:szCs w:val="14"/>
        </w:rPr>
      </w:pPr>
    </w:p>
    <w:p w:rsidR="00AA4BF8" w:rsidRPr="00412620" w:rsidRDefault="00AA4BF8" w:rsidP="00AA4BF8">
      <w:pPr>
        <w:widowControl w:val="0"/>
        <w:jc w:val="both"/>
        <w:rPr>
          <w:snapToGrid w:val="0"/>
          <w:sz w:val="20"/>
        </w:rPr>
      </w:pPr>
      <w:r w:rsidRPr="00412620">
        <w:rPr>
          <w:b/>
          <w:bCs/>
          <w:sz w:val="20"/>
        </w:rPr>
        <w:t xml:space="preserve">(107)  </w:t>
      </w:r>
      <w:r w:rsidRPr="00412620">
        <w:rPr>
          <w:snapToGrid w:val="0"/>
          <w:sz w:val="20"/>
        </w:rPr>
        <w:t>Any income derived by any subsidiary of the Islamic Development Bank wholly owned by it and set up in Pakistan and engaged in owning and leasing of tankers.</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56"/>
      </w:r>
      <w:r w:rsidRPr="00412620">
        <w:rPr>
          <w:snapToGrid w:val="0"/>
          <w:sz w:val="20"/>
        </w:rPr>
        <w:t>[</w:t>
      </w:r>
      <w:r w:rsidRPr="00412620">
        <w:rPr>
          <w:b/>
          <w:bCs/>
          <w:snapToGrid w:val="0"/>
          <w:sz w:val="20"/>
        </w:rPr>
        <w:t xml:space="preserve">(107A) </w:t>
      </w:r>
      <w:r w:rsidRPr="00412620">
        <w:rPr>
          <w:snapToGrid w:val="0"/>
          <w:sz w:val="20"/>
        </w:rPr>
        <w:t>Any income derived by the Islamic Development Bank from its operations in Pakistan in connection with its social and economic development activities.]</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57"/>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b/>
          <w:bCs/>
          <w:snapToGrid w:val="0"/>
          <w:sz w:val="20"/>
        </w:rPr>
      </w:pPr>
      <w:r w:rsidRPr="00412620">
        <w:rPr>
          <w:rStyle w:val="FootnoteReference"/>
          <w:rFonts w:cs="Arial"/>
          <w:snapToGrid w:val="0"/>
          <w:sz w:val="20"/>
        </w:rPr>
        <w:footnoteReference w:id="1958"/>
      </w:r>
      <w:r w:rsidRPr="00412620">
        <w:rPr>
          <w:snapToGrid w:val="0"/>
          <w:sz w:val="20"/>
        </w:rPr>
        <w:t>[  ]</w:t>
      </w:r>
    </w:p>
    <w:p w:rsidR="00AA4BF8" w:rsidRPr="00412620" w:rsidRDefault="00AA4BF8" w:rsidP="00AA4BF8">
      <w:pPr>
        <w:rPr>
          <w:b/>
          <w:bCs/>
          <w:snapToGrid w:val="0"/>
          <w:sz w:val="20"/>
        </w:rPr>
      </w:pPr>
    </w:p>
    <w:p w:rsidR="00AA4BF8" w:rsidRPr="00412620" w:rsidRDefault="00AA4BF8" w:rsidP="00AA4BF8">
      <w:pPr>
        <w:rPr>
          <w:snapToGrid w:val="0"/>
          <w:sz w:val="20"/>
        </w:rPr>
      </w:pPr>
      <w:r w:rsidRPr="00412620">
        <w:rPr>
          <w:rStyle w:val="FootnoteReference"/>
          <w:rFonts w:cs="Arial"/>
          <w:snapToGrid w:val="0"/>
          <w:sz w:val="20"/>
        </w:rPr>
        <w:footnoteReference w:id="1959"/>
      </w:r>
      <w:r w:rsidRPr="00412620">
        <w:rPr>
          <w:snapToGrid w:val="0"/>
          <w:sz w:val="20"/>
        </w:rPr>
        <w:t>[  ]</w:t>
      </w:r>
    </w:p>
    <w:p w:rsidR="00AA4BF8" w:rsidRPr="00412620" w:rsidRDefault="00AA4BF8" w:rsidP="00AA4BF8">
      <w:pPr>
        <w:rPr>
          <w:b/>
          <w:bCs/>
          <w:snapToGrid w:val="0"/>
          <w:sz w:val="20"/>
        </w:rPr>
      </w:pPr>
    </w:p>
    <w:p w:rsidR="00AA4BF8" w:rsidRPr="00412620" w:rsidRDefault="00AA4BF8" w:rsidP="00AA4BF8">
      <w:pPr>
        <w:rPr>
          <w:snapToGrid w:val="0"/>
          <w:sz w:val="20"/>
        </w:rPr>
      </w:pPr>
      <w:r w:rsidRPr="00412620">
        <w:rPr>
          <w:rStyle w:val="FootnoteReference"/>
          <w:rFonts w:cs="Arial"/>
          <w:snapToGrid w:val="0"/>
          <w:sz w:val="20"/>
        </w:rPr>
        <w:footnoteReference w:id="1960"/>
      </w:r>
      <w:r w:rsidRPr="00412620">
        <w:rPr>
          <w:snapToGrid w:val="0"/>
          <w:sz w:val="20"/>
        </w:rPr>
        <w:t>[  ]</w:t>
      </w:r>
    </w:p>
    <w:p w:rsidR="00AA4BF8" w:rsidRPr="00412620" w:rsidRDefault="00AA4BF8" w:rsidP="00AA4BF8">
      <w:pPr>
        <w:rPr>
          <w:b/>
          <w:bCs/>
          <w:snapToGrid w:val="0"/>
          <w:sz w:val="20"/>
        </w:rPr>
      </w:pPr>
    </w:p>
    <w:p w:rsidR="00AA4BF8" w:rsidRPr="00412620" w:rsidRDefault="00AA4BF8" w:rsidP="00AA4BF8">
      <w:pPr>
        <w:widowControl w:val="0"/>
        <w:jc w:val="both"/>
        <w:rPr>
          <w:snapToGrid w:val="0"/>
          <w:sz w:val="20"/>
        </w:rPr>
      </w:pPr>
      <w:r w:rsidRPr="00412620">
        <w:rPr>
          <w:rStyle w:val="FootnoteReference"/>
          <w:rFonts w:cs="Arial"/>
          <w:sz w:val="20"/>
        </w:rPr>
        <w:footnoteReference w:id="1961"/>
      </w:r>
      <w:r w:rsidRPr="00412620">
        <w:rPr>
          <w:sz w:val="20"/>
        </w:rPr>
        <w:t>[</w:t>
      </w:r>
      <w:r w:rsidRPr="00412620">
        <w:rPr>
          <w:b/>
          <w:bCs/>
          <w:sz w:val="20"/>
        </w:rPr>
        <w:t>(110B)</w:t>
      </w:r>
      <w:r w:rsidRPr="00412620">
        <w:rPr>
          <w:sz w:val="20"/>
        </w:rPr>
        <w:t xml:space="preserve"> Any gain on transfer of a capital asset, being a membership right held by a member of an existing stock exchange, for acquisition of shares and trading or clearing rights acquired by such member in new corporatized stock exchange in the course of corporatization of an existing stock exchange.]</w:t>
      </w:r>
    </w:p>
    <w:p w:rsidR="00AA4BF8" w:rsidRPr="00412620" w:rsidRDefault="00AA4BF8" w:rsidP="00AA4BF8">
      <w:pPr>
        <w:widowControl w:val="0"/>
        <w:jc w:val="both"/>
        <w:rPr>
          <w:snapToGrid w:val="0"/>
          <w:sz w:val="20"/>
        </w:rPr>
      </w:pPr>
    </w:p>
    <w:p w:rsidR="00AA4BF8" w:rsidRPr="00412620" w:rsidRDefault="00AA4BF8" w:rsidP="00AA4BF8">
      <w:pPr>
        <w:rPr>
          <w:snapToGrid w:val="0"/>
          <w:sz w:val="20"/>
        </w:rPr>
      </w:pPr>
      <w:r w:rsidRPr="00412620">
        <w:rPr>
          <w:rStyle w:val="FootnoteReference"/>
          <w:rFonts w:cs="Arial"/>
          <w:snapToGrid w:val="0"/>
          <w:sz w:val="20"/>
        </w:rPr>
        <w:footnoteReference w:id="1962"/>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63"/>
      </w:r>
      <w:r w:rsidRPr="00412620">
        <w:rPr>
          <w:snapToGrid w:val="0"/>
          <w:sz w:val="20"/>
        </w:rPr>
        <w:t>[  ]</w:t>
      </w:r>
    </w:p>
    <w:p w:rsidR="00AA4BF8" w:rsidRPr="00412620" w:rsidRDefault="00AA4BF8" w:rsidP="00AA4BF8">
      <w:pPr>
        <w:widowControl w:val="0"/>
        <w:jc w:val="both"/>
        <w:rPr>
          <w:b/>
          <w:bCs/>
          <w:snapToGrid w:val="0"/>
          <w:sz w:val="16"/>
          <w:szCs w:val="16"/>
        </w:rPr>
      </w:pPr>
    </w:p>
    <w:p w:rsidR="00AA4BF8" w:rsidRPr="00FA5556" w:rsidRDefault="00B22C29" w:rsidP="00AA4BF8">
      <w:pPr>
        <w:widowControl w:val="0"/>
        <w:jc w:val="both"/>
        <w:rPr>
          <w:bCs/>
          <w:snapToGrid w:val="0"/>
          <w:color w:val="000000" w:themeColor="text1"/>
          <w:sz w:val="20"/>
        </w:rPr>
      </w:pPr>
      <w:r w:rsidRPr="00FA5556">
        <w:rPr>
          <w:rStyle w:val="FootnoteReference"/>
          <w:bCs/>
          <w:snapToGrid w:val="0"/>
          <w:color w:val="000000" w:themeColor="text1"/>
          <w:sz w:val="20"/>
        </w:rPr>
        <w:footnoteReference w:id="1964"/>
      </w:r>
      <w:r w:rsidRPr="00FA5556">
        <w:rPr>
          <w:bCs/>
          <w:snapToGrid w:val="0"/>
          <w:color w:val="000000" w:themeColor="text1"/>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b/>
          <w:bCs/>
          <w:snapToGrid w:val="0"/>
          <w:sz w:val="20"/>
        </w:rPr>
        <w:t xml:space="preserve">(114)  </w:t>
      </w:r>
      <w:r w:rsidRPr="00412620">
        <w:rPr>
          <w:snapToGrid w:val="0"/>
          <w:sz w:val="20"/>
        </w:rPr>
        <w:t>Any income chargeable under the head "capital gains" derived by a person from an industrial undertaking set up in an area declared by the Federal Government to be a "Zone" within the meaning of the Export Processing Zones Authority Ordinance, 1980 (IV of 1980).</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65"/>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66"/>
      </w:r>
      <w:r w:rsidRPr="00412620">
        <w:rPr>
          <w:snapToGrid w:val="0"/>
          <w:sz w:val="20"/>
        </w:rPr>
        <w:t>[  ]</w:t>
      </w:r>
    </w:p>
    <w:p w:rsidR="00AA4BF8" w:rsidRPr="00412620" w:rsidRDefault="00AA4BF8" w:rsidP="00AA4BF8">
      <w:pPr>
        <w:widowControl w:val="0"/>
        <w:jc w:val="both"/>
        <w:rPr>
          <w:b/>
          <w:bCs/>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67"/>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b/>
          <w:bCs/>
          <w:snapToGrid w:val="0"/>
          <w:sz w:val="20"/>
        </w:rPr>
        <w:t xml:space="preserve">(117)  </w:t>
      </w:r>
      <w:r w:rsidRPr="00412620">
        <w:rPr>
          <w:snapToGrid w:val="0"/>
          <w:sz w:val="20"/>
        </w:rPr>
        <w:t>Any income derived by a person from plying of any vehicle registered in the territories of Azad Jammu and Kashmir, excluding income arising from the operation of such vehicle in Pakistan to a person who is resident in Pakistan and non-resident in those territories.</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68"/>
      </w:r>
      <w:r w:rsidRPr="00412620">
        <w:rPr>
          <w:snapToGrid w:val="0"/>
          <w:sz w:val="20"/>
        </w:rPr>
        <w:t>[  ]</w:t>
      </w:r>
    </w:p>
    <w:p w:rsidR="00AA4BF8" w:rsidRPr="00412620" w:rsidRDefault="00AA4BF8" w:rsidP="00AA4BF8">
      <w:pPr>
        <w:widowControl w:val="0"/>
        <w:jc w:val="both"/>
        <w:rPr>
          <w:snapToGrid w:val="0"/>
          <w:sz w:val="12"/>
          <w:szCs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69"/>
      </w:r>
      <w:r w:rsidRPr="00412620">
        <w:rPr>
          <w:snapToGrid w:val="0"/>
          <w:sz w:val="20"/>
        </w:rPr>
        <w:t>[  ]</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rStyle w:val="FootnoteReference"/>
          <w:rFonts w:cs="Arial"/>
          <w:snapToGrid w:val="0"/>
          <w:sz w:val="18"/>
          <w:szCs w:val="18"/>
        </w:rPr>
        <w:footnoteReference w:id="1970"/>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71"/>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72"/>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73"/>
      </w:r>
      <w:r w:rsidRPr="00412620">
        <w:rPr>
          <w:snapToGrid w:val="0"/>
          <w:sz w:val="20"/>
        </w:rPr>
        <w:t>[  ]</w:t>
      </w:r>
    </w:p>
    <w:p w:rsidR="00AA4BF8" w:rsidRPr="00412620" w:rsidRDefault="00AA4BF8" w:rsidP="00AA4BF8">
      <w:pPr>
        <w:widowControl w:val="0"/>
        <w:ind w:left="720" w:hanging="720"/>
        <w:jc w:val="both"/>
        <w:rPr>
          <w:b/>
          <w:bCs/>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74"/>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75"/>
      </w:r>
      <w:r w:rsidRPr="00412620">
        <w:rPr>
          <w:snapToGrid w:val="0"/>
          <w:sz w:val="20"/>
        </w:rPr>
        <w:t xml:space="preserve">[  ]  </w:t>
      </w:r>
    </w:p>
    <w:p w:rsidR="00AA4BF8" w:rsidRPr="00412620" w:rsidRDefault="00AA4BF8" w:rsidP="00AA4BF8">
      <w:pPr>
        <w:widowControl w:val="0"/>
        <w:jc w:val="both"/>
        <w:rPr>
          <w:snapToGrid w:val="0"/>
          <w:sz w:val="18"/>
          <w:szCs w:val="18"/>
        </w:rPr>
      </w:pPr>
    </w:p>
    <w:p w:rsidR="00AA4BF8" w:rsidRPr="00C75159" w:rsidRDefault="00AA4BF8" w:rsidP="00AA4BF8">
      <w:pPr>
        <w:widowControl w:val="0"/>
        <w:jc w:val="both"/>
        <w:rPr>
          <w:snapToGrid w:val="0"/>
          <w:color w:val="000000" w:themeColor="text1"/>
          <w:sz w:val="20"/>
        </w:rPr>
      </w:pPr>
      <w:r w:rsidRPr="00C75159">
        <w:rPr>
          <w:rStyle w:val="FootnoteReference"/>
          <w:b/>
          <w:bCs/>
          <w:snapToGrid w:val="0"/>
          <w:color w:val="000000" w:themeColor="text1"/>
          <w:sz w:val="20"/>
        </w:rPr>
        <w:footnoteReference w:id="1976"/>
      </w:r>
      <w:r w:rsidR="007B600A" w:rsidRPr="00C75159">
        <w:rPr>
          <w:b/>
          <w:bCs/>
          <w:snapToGrid w:val="0"/>
          <w:color w:val="000000" w:themeColor="text1"/>
          <w:sz w:val="20"/>
        </w:rPr>
        <w:t>[</w:t>
      </w:r>
      <w:r w:rsidRPr="00C75159">
        <w:rPr>
          <w:b/>
          <w:bCs/>
          <w:snapToGrid w:val="0"/>
          <w:color w:val="000000" w:themeColor="text1"/>
          <w:sz w:val="20"/>
        </w:rPr>
        <w:t>(126)</w:t>
      </w:r>
      <w:r w:rsidRPr="00C75159">
        <w:rPr>
          <w:snapToGrid w:val="0"/>
          <w:color w:val="000000" w:themeColor="text1"/>
          <w:sz w:val="20"/>
        </w:rPr>
        <w:t xml:space="preserve"> Any income of a public sector university established sololy for educational </w:t>
      </w:r>
      <w:r w:rsidRPr="00C75159">
        <w:rPr>
          <w:snapToGrid w:val="0"/>
          <w:color w:val="000000" w:themeColor="text1"/>
          <w:sz w:val="20"/>
        </w:rPr>
        <w:lastRenderedPageBreak/>
        <w:t>purposes and not for the purposes of profit, with effect from the 1</w:t>
      </w:r>
      <w:r w:rsidRPr="00C75159">
        <w:rPr>
          <w:snapToGrid w:val="0"/>
          <w:color w:val="000000" w:themeColor="text1"/>
          <w:sz w:val="20"/>
          <w:vertAlign w:val="superscript"/>
        </w:rPr>
        <w:t>st</w:t>
      </w:r>
      <w:r w:rsidR="007B600A" w:rsidRPr="00C75159">
        <w:rPr>
          <w:snapToGrid w:val="0"/>
          <w:color w:val="000000" w:themeColor="text1"/>
          <w:sz w:val="20"/>
        </w:rPr>
        <w:t xml:space="preserve"> day of July, 2013.]</w:t>
      </w:r>
    </w:p>
    <w:p w:rsidR="00AA4BF8" w:rsidRPr="00C75159" w:rsidRDefault="00AA4BF8" w:rsidP="00AA4BF8">
      <w:pPr>
        <w:widowControl w:val="0"/>
        <w:jc w:val="both"/>
        <w:rPr>
          <w:snapToGrid w:val="0"/>
          <w:color w:val="000000" w:themeColor="text1"/>
          <w:sz w:val="20"/>
        </w:rPr>
      </w:pPr>
    </w:p>
    <w:p w:rsidR="002F6B14" w:rsidRPr="00D47C20" w:rsidRDefault="00AA4BF8" w:rsidP="002F6B14">
      <w:pPr>
        <w:pStyle w:val="ListParagraph"/>
        <w:ind w:left="0"/>
        <w:jc w:val="both"/>
        <w:rPr>
          <w:rFonts w:cs="Arial"/>
          <w:snapToGrid w:val="0"/>
          <w:color w:val="0070C0"/>
          <w:sz w:val="20"/>
        </w:rPr>
      </w:pPr>
      <w:r w:rsidRPr="00C75159">
        <w:rPr>
          <w:rStyle w:val="FootnoteReference"/>
          <w:snapToGrid w:val="0"/>
          <w:color w:val="000000" w:themeColor="text1"/>
          <w:sz w:val="20"/>
        </w:rPr>
        <w:footnoteReference w:id="1977"/>
      </w:r>
      <w:r w:rsidRPr="00C75159">
        <w:rPr>
          <w:snapToGrid w:val="0"/>
          <w:color w:val="000000" w:themeColor="text1"/>
          <w:sz w:val="20"/>
        </w:rPr>
        <w:t>[</w:t>
      </w:r>
      <w:r w:rsidR="00117A9F">
        <w:rPr>
          <w:snapToGrid w:val="0"/>
          <w:color w:val="000000" w:themeColor="text1"/>
          <w:sz w:val="20"/>
        </w:rPr>
        <w:t xml:space="preserve"> </w:t>
      </w:r>
      <w:r w:rsidR="002F6B14" w:rsidRPr="00D47C20">
        <w:rPr>
          <w:rStyle w:val="FootnoteReference"/>
          <w:snapToGrid w:val="0"/>
          <w:color w:val="0070C0"/>
          <w:sz w:val="20"/>
        </w:rPr>
        <w:footnoteReference w:id="1978"/>
      </w:r>
      <w:r w:rsidR="002F6B14" w:rsidRPr="00D47C20">
        <w:rPr>
          <w:rFonts w:cs="Arial"/>
          <w:color w:val="0070C0"/>
          <w:sz w:val="20"/>
        </w:rPr>
        <w:t>[“</w:t>
      </w:r>
      <w:r w:rsidR="002F6B14" w:rsidRPr="00D47C20">
        <w:rPr>
          <w:rFonts w:cs="Arial"/>
          <w:bCs/>
          <w:snapToGrid w:val="0"/>
          <w:color w:val="0070C0"/>
          <w:sz w:val="20"/>
        </w:rPr>
        <w:t>(126A)</w:t>
      </w:r>
      <w:r w:rsidR="002F6B14" w:rsidRPr="00D47C20">
        <w:rPr>
          <w:rFonts w:cs="Arial"/>
          <w:snapToGrid w:val="0"/>
          <w:color w:val="0070C0"/>
          <w:sz w:val="20"/>
        </w:rPr>
        <w:t xml:space="preserve"> Income derived by China Overseas Ports Holding Company Limited, China Overseas Ports Holding Company Pakistan (Private) Limited, Gawadar</w:t>
      </w:r>
      <w:r w:rsidR="002F6B14" w:rsidRPr="00C702D2">
        <w:rPr>
          <w:rFonts w:cs="Arial"/>
          <w:snapToGrid w:val="0"/>
          <w:color w:val="FF0000"/>
          <w:sz w:val="20"/>
        </w:rPr>
        <w:t xml:space="preserve"> </w:t>
      </w:r>
      <w:r w:rsidR="002F6B14" w:rsidRPr="00D47C20">
        <w:rPr>
          <w:rFonts w:cs="Arial"/>
          <w:snapToGrid w:val="0"/>
          <w:color w:val="0070C0"/>
          <w:sz w:val="20"/>
        </w:rPr>
        <w:t>International Terminal Limited, Gawadar Marine Services Limited and Gawadar Free Zone Company Limited from Gawadar Port operations for a period of twenty-three years, with effect from the sixth day of February, 2007.”]</w:t>
      </w:r>
    </w:p>
    <w:p w:rsidR="002F6B14" w:rsidRPr="00D47C20" w:rsidRDefault="002F6B14" w:rsidP="002F6B14">
      <w:pPr>
        <w:pStyle w:val="ListParagraph"/>
        <w:ind w:left="0"/>
        <w:jc w:val="both"/>
        <w:rPr>
          <w:rFonts w:cs="Arial"/>
          <w:snapToGrid w:val="0"/>
          <w:color w:val="0070C0"/>
          <w:sz w:val="20"/>
        </w:rPr>
      </w:pPr>
    </w:p>
    <w:p w:rsidR="006A30D5" w:rsidRPr="00D47C20" w:rsidRDefault="001433BC" w:rsidP="006A30D5">
      <w:pPr>
        <w:pStyle w:val="ListParagraph"/>
        <w:ind w:left="0"/>
        <w:jc w:val="both"/>
        <w:rPr>
          <w:rFonts w:cs="Arial"/>
          <w:snapToGrid w:val="0"/>
          <w:color w:val="0070C0"/>
          <w:sz w:val="20"/>
        </w:rPr>
      </w:pPr>
      <w:r w:rsidRPr="00D47C20">
        <w:rPr>
          <w:rStyle w:val="FootnoteReference"/>
          <w:rFonts w:cs="Arial"/>
          <w:bCs/>
          <w:snapToGrid w:val="0"/>
          <w:color w:val="0070C0"/>
          <w:sz w:val="20"/>
        </w:rPr>
        <w:footnoteReference w:id="1979"/>
      </w:r>
      <w:r w:rsidRPr="00D47C20">
        <w:rPr>
          <w:rFonts w:cs="Arial"/>
          <w:bCs/>
          <w:snapToGrid w:val="0"/>
          <w:color w:val="0070C0"/>
          <w:sz w:val="20"/>
        </w:rPr>
        <w:t>[“</w:t>
      </w:r>
      <w:r w:rsidR="006A30D5" w:rsidRPr="00D47C20">
        <w:rPr>
          <w:rFonts w:cs="Arial"/>
          <w:bCs/>
          <w:snapToGrid w:val="0"/>
          <w:color w:val="0070C0"/>
          <w:sz w:val="20"/>
        </w:rPr>
        <w:t xml:space="preserve">(126AA) </w:t>
      </w:r>
      <w:r w:rsidR="006A30D5" w:rsidRPr="00D47C20">
        <w:rPr>
          <w:rFonts w:cs="Arial"/>
          <w:snapToGrid w:val="0"/>
          <w:color w:val="0070C0"/>
          <w:sz w:val="20"/>
        </w:rPr>
        <w:t>Profit and gains derived by a taxpayer from businesses set up in the Gawadar Free Zone Area for a period of twenty three years with effect from the first day of July, 2016.</w:t>
      </w:r>
      <w:r w:rsidRPr="00D47C20">
        <w:rPr>
          <w:rFonts w:cs="Arial"/>
          <w:snapToGrid w:val="0"/>
          <w:color w:val="0070C0"/>
          <w:sz w:val="20"/>
        </w:rPr>
        <w:t>”]</w:t>
      </w:r>
    </w:p>
    <w:p w:rsidR="006A30D5" w:rsidRPr="00D47C20" w:rsidRDefault="006A30D5" w:rsidP="006A30D5">
      <w:pPr>
        <w:pStyle w:val="ListParagraph"/>
        <w:ind w:left="3600"/>
        <w:jc w:val="both"/>
        <w:rPr>
          <w:rFonts w:cs="Arial"/>
          <w:snapToGrid w:val="0"/>
          <w:color w:val="0070C0"/>
          <w:sz w:val="20"/>
        </w:rPr>
      </w:pPr>
    </w:p>
    <w:p w:rsidR="006A30D5" w:rsidRPr="00D47C20" w:rsidRDefault="001433BC" w:rsidP="006A30D5">
      <w:pPr>
        <w:pStyle w:val="ListParagraph"/>
        <w:ind w:left="3600" w:hanging="3600"/>
        <w:jc w:val="both"/>
        <w:rPr>
          <w:rFonts w:cs="Arial"/>
          <w:snapToGrid w:val="0"/>
          <w:color w:val="0070C0"/>
          <w:sz w:val="20"/>
        </w:rPr>
      </w:pPr>
      <w:r w:rsidRPr="00D47C20">
        <w:rPr>
          <w:rStyle w:val="FootnoteReference"/>
          <w:rFonts w:cs="Arial"/>
          <w:bCs/>
          <w:snapToGrid w:val="0"/>
          <w:color w:val="0070C0"/>
          <w:sz w:val="20"/>
        </w:rPr>
        <w:footnoteReference w:id="1980"/>
      </w:r>
      <w:r w:rsidRPr="00D47C20">
        <w:rPr>
          <w:rFonts w:cs="Arial"/>
          <w:snapToGrid w:val="0"/>
          <w:color w:val="0070C0"/>
          <w:sz w:val="20"/>
        </w:rPr>
        <w:t>[“</w:t>
      </w:r>
      <w:r w:rsidR="006A30D5" w:rsidRPr="00D47C20">
        <w:rPr>
          <w:rFonts w:cs="Arial"/>
          <w:snapToGrid w:val="0"/>
          <w:color w:val="0070C0"/>
          <w:sz w:val="20"/>
        </w:rPr>
        <w:t>(126AB) Profit on debt derived by-</w:t>
      </w:r>
    </w:p>
    <w:p w:rsidR="006A30D5" w:rsidRPr="00D47C20" w:rsidRDefault="006A30D5" w:rsidP="006A30D5">
      <w:pPr>
        <w:pStyle w:val="ListParagraph"/>
        <w:ind w:left="3600"/>
        <w:jc w:val="both"/>
        <w:rPr>
          <w:rFonts w:cs="Arial"/>
          <w:snapToGrid w:val="0"/>
          <w:color w:val="0070C0"/>
          <w:sz w:val="20"/>
        </w:rPr>
      </w:pPr>
    </w:p>
    <w:p w:rsidR="006A30D5" w:rsidRPr="00D47C20" w:rsidRDefault="006A30D5" w:rsidP="007B723E">
      <w:pPr>
        <w:pStyle w:val="ListParagraph"/>
        <w:numPr>
          <w:ilvl w:val="6"/>
          <w:numId w:val="94"/>
        </w:numPr>
        <w:ind w:left="1350" w:hanging="540"/>
        <w:contextualSpacing/>
        <w:jc w:val="both"/>
        <w:rPr>
          <w:rFonts w:cs="Arial"/>
          <w:snapToGrid w:val="0"/>
          <w:color w:val="0070C0"/>
          <w:sz w:val="20"/>
        </w:rPr>
      </w:pPr>
      <w:r w:rsidRPr="00D47C20">
        <w:rPr>
          <w:rFonts w:cs="Arial"/>
          <w:snapToGrid w:val="0"/>
          <w:color w:val="0070C0"/>
          <w:sz w:val="20"/>
        </w:rPr>
        <w:t>any foreign lender; or</w:t>
      </w:r>
    </w:p>
    <w:p w:rsidR="006A30D5" w:rsidRPr="00D47C20" w:rsidRDefault="006A30D5" w:rsidP="007B723E">
      <w:pPr>
        <w:pStyle w:val="ListParagraph"/>
        <w:numPr>
          <w:ilvl w:val="6"/>
          <w:numId w:val="94"/>
        </w:numPr>
        <w:ind w:left="1350" w:hanging="540"/>
        <w:contextualSpacing/>
        <w:jc w:val="both"/>
        <w:rPr>
          <w:rFonts w:cs="Arial"/>
          <w:snapToGrid w:val="0"/>
          <w:color w:val="0070C0"/>
          <w:sz w:val="20"/>
        </w:rPr>
      </w:pPr>
      <w:r w:rsidRPr="00D47C20">
        <w:rPr>
          <w:rFonts w:cs="Arial"/>
          <w:snapToGrid w:val="0"/>
          <w:color w:val="0070C0"/>
          <w:sz w:val="20"/>
        </w:rPr>
        <w:lastRenderedPageBreak/>
        <w:t>any local bank having  more than 75 per cent shareholding of the Government or the State Bank of Pakistan,</w:t>
      </w:r>
    </w:p>
    <w:p w:rsidR="006A30D5" w:rsidRPr="00D47C20" w:rsidRDefault="006A30D5" w:rsidP="006A30D5">
      <w:pPr>
        <w:pStyle w:val="ListParagraph"/>
        <w:ind w:left="5040"/>
        <w:jc w:val="both"/>
        <w:rPr>
          <w:rFonts w:cs="Arial"/>
          <w:snapToGrid w:val="0"/>
          <w:color w:val="0070C0"/>
          <w:sz w:val="20"/>
        </w:rPr>
      </w:pPr>
    </w:p>
    <w:p w:rsidR="006A30D5" w:rsidRPr="00D47C20" w:rsidRDefault="006A30D5" w:rsidP="001433BC">
      <w:pPr>
        <w:ind w:left="810"/>
        <w:jc w:val="both"/>
        <w:rPr>
          <w:rFonts w:cs="Arial"/>
          <w:snapToGrid w:val="0"/>
          <w:color w:val="0070C0"/>
          <w:sz w:val="20"/>
        </w:rPr>
      </w:pPr>
      <w:r w:rsidRPr="00D47C20">
        <w:rPr>
          <w:rFonts w:cs="Arial"/>
          <w:snapToGrid w:val="0"/>
          <w:color w:val="0070C0"/>
          <w:sz w:val="20"/>
        </w:rPr>
        <w:t>under a Financing Agreement with the China Overseas Ports Holding Company Limited</w:t>
      </w:r>
      <w:r w:rsidRPr="00D47C20">
        <w:rPr>
          <w:rFonts w:cs="Arial"/>
          <w:bCs/>
          <w:color w:val="0070C0"/>
          <w:sz w:val="20"/>
        </w:rPr>
        <w:t>, for a period of twenty three years with effect from the first day of July, 2016</w:t>
      </w:r>
      <w:r w:rsidRPr="00D47C20">
        <w:rPr>
          <w:rFonts w:cs="Arial"/>
          <w:snapToGrid w:val="0"/>
          <w:color w:val="0070C0"/>
          <w:sz w:val="20"/>
        </w:rPr>
        <w:t>;</w:t>
      </w:r>
      <w:r w:rsidR="001433BC" w:rsidRPr="00D47C20">
        <w:rPr>
          <w:rFonts w:cs="Arial"/>
          <w:snapToGrid w:val="0"/>
          <w:color w:val="0070C0"/>
          <w:sz w:val="20"/>
        </w:rPr>
        <w:t>”]</w:t>
      </w:r>
    </w:p>
    <w:p w:rsidR="006A30D5" w:rsidRPr="00D47C20" w:rsidRDefault="006A30D5" w:rsidP="006A30D5">
      <w:pPr>
        <w:ind w:left="4320"/>
        <w:jc w:val="both"/>
        <w:rPr>
          <w:rFonts w:cs="Arial"/>
          <w:snapToGrid w:val="0"/>
          <w:color w:val="0070C0"/>
          <w:sz w:val="20"/>
        </w:rPr>
      </w:pPr>
    </w:p>
    <w:p w:rsidR="006A30D5" w:rsidRPr="00D47C20" w:rsidRDefault="001433BC" w:rsidP="001433BC">
      <w:pPr>
        <w:jc w:val="both"/>
        <w:rPr>
          <w:rFonts w:cs="Arial"/>
          <w:snapToGrid w:val="0"/>
          <w:color w:val="0070C0"/>
          <w:sz w:val="20"/>
        </w:rPr>
      </w:pPr>
      <w:r w:rsidRPr="00D47C20">
        <w:rPr>
          <w:rStyle w:val="FootnoteReference"/>
          <w:rFonts w:cs="Arial"/>
          <w:bCs/>
          <w:snapToGrid w:val="0"/>
          <w:color w:val="0070C0"/>
          <w:sz w:val="20"/>
        </w:rPr>
        <w:footnoteReference w:id="1981"/>
      </w:r>
      <w:r w:rsidRPr="00D47C20">
        <w:rPr>
          <w:rFonts w:cs="Arial"/>
          <w:bCs/>
          <w:snapToGrid w:val="0"/>
          <w:color w:val="0070C0"/>
          <w:sz w:val="20"/>
        </w:rPr>
        <w:t>[“</w:t>
      </w:r>
      <w:r w:rsidR="006A30D5" w:rsidRPr="00D47C20">
        <w:rPr>
          <w:rFonts w:cs="Arial"/>
          <w:bCs/>
          <w:snapToGrid w:val="0"/>
          <w:color w:val="0070C0"/>
          <w:sz w:val="20"/>
        </w:rPr>
        <w:t xml:space="preserve">(126AC) </w:t>
      </w:r>
      <w:r w:rsidR="006A30D5" w:rsidRPr="00D47C20">
        <w:rPr>
          <w:rFonts w:cs="Arial"/>
          <w:snapToGrid w:val="0"/>
          <w:color w:val="0070C0"/>
          <w:sz w:val="20"/>
        </w:rPr>
        <w:t>Income derived by contractors and sub-contractors of China Overseas Ports Holding Company Limited, China Overseas Ports Holding Company Pakistan (Private) Limited, Gawadar International Terminal Limited, Gawadar Marine Services Limited and Gawadar Free Zone Company Limited from Gawadar Port operations for a period of twenty  years, with effect from the first day of July, 2016.”</w:t>
      </w:r>
      <w:r w:rsidRPr="00D47C20">
        <w:rPr>
          <w:rFonts w:cs="Arial"/>
          <w:snapToGrid w:val="0"/>
          <w:color w:val="0070C0"/>
          <w:sz w:val="20"/>
        </w:rPr>
        <w:t>]</w:t>
      </w:r>
      <w:r w:rsidR="006A30D5" w:rsidRPr="00D47C20">
        <w:rPr>
          <w:rFonts w:cs="Arial"/>
          <w:snapToGrid w:val="0"/>
          <w:color w:val="0070C0"/>
          <w:sz w:val="20"/>
        </w:rPr>
        <w:t xml:space="preserve"> </w:t>
      </w:r>
    </w:p>
    <w:p w:rsidR="006A30D5" w:rsidRPr="00D47C20" w:rsidRDefault="006A30D5" w:rsidP="006A30D5">
      <w:pPr>
        <w:pStyle w:val="ListParagraph"/>
        <w:ind w:left="3600"/>
        <w:jc w:val="both"/>
        <w:rPr>
          <w:rFonts w:cs="Arial"/>
          <w:snapToGrid w:val="0"/>
          <w:color w:val="0070C0"/>
          <w:sz w:val="20"/>
        </w:rPr>
      </w:pPr>
    </w:p>
    <w:p w:rsidR="006A30D5" w:rsidRPr="00D47C20" w:rsidRDefault="001433BC" w:rsidP="001433BC">
      <w:pPr>
        <w:jc w:val="both"/>
        <w:rPr>
          <w:rFonts w:cs="Arial"/>
          <w:bCs/>
          <w:color w:val="0070C0"/>
          <w:sz w:val="20"/>
        </w:rPr>
      </w:pPr>
      <w:r w:rsidRPr="00D47C20">
        <w:rPr>
          <w:rStyle w:val="FootnoteReference"/>
          <w:rFonts w:cs="Arial"/>
          <w:bCs/>
          <w:snapToGrid w:val="0"/>
          <w:color w:val="0070C0"/>
          <w:sz w:val="20"/>
        </w:rPr>
        <w:footnoteReference w:id="1982"/>
      </w:r>
      <w:r w:rsidRPr="00D47C20">
        <w:rPr>
          <w:rFonts w:cs="Arial"/>
          <w:snapToGrid w:val="0"/>
          <w:color w:val="0070C0"/>
          <w:sz w:val="20"/>
        </w:rPr>
        <w:t>[“</w:t>
      </w:r>
      <w:r w:rsidR="006A30D5" w:rsidRPr="00D47C20">
        <w:rPr>
          <w:rFonts w:cs="Arial"/>
          <w:snapToGrid w:val="0"/>
          <w:color w:val="0070C0"/>
          <w:sz w:val="20"/>
        </w:rPr>
        <w:t>(126AD) (1) Any income derived by China Overseas Ports Holding Company Limited being dividend received from China Overseas Ports Holding Company Pakistan (Private) Limited , Gwadar International Terminal Limited Gwadar Marine Services Limited and Gwadar Free Zone Company Limited</w:t>
      </w:r>
      <w:r w:rsidR="006A30D5" w:rsidRPr="00D47C20">
        <w:rPr>
          <w:rFonts w:cs="Arial"/>
          <w:bCs/>
          <w:color w:val="0070C0"/>
          <w:sz w:val="20"/>
        </w:rPr>
        <w:t xml:space="preserve"> for a period of twenty-three years with effect from the first day of July, 2016.</w:t>
      </w:r>
    </w:p>
    <w:p w:rsidR="001433BC" w:rsidRPr="00D47C20" w:rsidRDefault="001433BC" w:rsidP="001433BC">
      <w:pPr>
        <w:jc w:val="both"/>
        <w:rPr>
          <w:rFonts w:cs="Arial"/>
          <w:snapToGrid w:val="0"/>
          <w:color w:val="0070C0"/>
          <w:sz w:val="20"/>
        </w:rPr>
      </w:pPr>
    </w:p>
    <w:p w:rsidR="006A30D5" w:rsidRPr="001433BC" w:rsidRDefault="006A30D5" w:rsidP="001433BC">
      <w:pPr>
        <w:ind w:firstLine="547"/>
        <w:jc w:val="both"/>
        <w:rPr>
          <w:rFonts w:cs="Arial"/>
          <w:color w:val="FF0000"/>
          <w:sz w:val="20"/>
        </w:rPr>
      </w:pPr>
      <w:r w:rsidRPr="00D47C20">
        <w:rPr>
          <w:rFonts w:cs="Arial"/>
          <w:snapToGrid w:val="0"/>
          <w:color w:val="0070C0"/>
          <w:sz w:val="20"/>
        </w:rPr>
        <w:t>(2)</w:t>
      </w:r>
      <w:r w:rsidRPr="00D47C20">
        <w:rPr>
          <w:rFonts w:cs="Arial"/>
          <w:snapToGrid w:val="0"/>
          <w:color w:val="0070C0"/>
          <w:sz w:val="20"/>
        </w:rPr>
        <w:tab/>
        <w:t xml:space="preserve">Any income derived by China Overseas Ports Holding Company Pakistan (Private) Limited being dividend received from, Gwadar International Terminal Limited Gwadar Marine Services Limited and Gwadar Free Zone Company Limited </w:t>
      </w:r>
      <w:r w:rsidRPr="00D47C20">
        <w:rPr>
          <w:rFonts w:cs="Arial"/>
          <w:bCs/>
          <w:color w:val="0070C0"/>
          <w:sz w:val="20"/>
        </w:rPr>
        <w:t>for a period of twenty-three years with effect from the first day of July, 2016.</w:t>
      </w:r>
      <w:r w:rsidR="001433BC" w:rsidRPr="00D47C20">
        <w:rPr>
          <w:rFonts w:cs="Arial"/>
          <w:bCs/>
          <w:color w:val="0070C0"/>
          <w:sz w:val="20"/>
        </w:rPr>
        <w:t>”]</w:t>
      </w:r>
    </w:p>
    <w:p w:rsidR="006A30D5" w:rsidRDefault="006A30D5"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83"/>
      </w:r>
      <w:r w:rsidRPr="00412620">
        <w:rPr>
          <w:snapToGrid w:val="0"/>
          <w:sz w:val="20"/>
        </w:rPr>
        <w:t>[</w:t>
      </w:r>
      <w:r w:rsidRPr="00412620">
        <w:rPr>
          <w:b/>
          <w:bCs/>
          <w:snapToGrid w:val="0"/>
          <w:sz w:val="20"/>
        </w:rPr>
        <w:t xml:space="preserve">(126B) </w:t>
      </w:r>
      <w:r w:rsidRPr="00412620">
        <w:rPr>
          <w:snapToGrid w:val="0"/>
          <w:sz w:val="20"/>
        </w:rPr>
        <w:t xml:space="preserve">Profit and gains derived by </w:t>
      </w:r>
      <w:r w:rsidRPr="00412620">
        <w:rPr>
          <w:rStyle w:val="FootnoteReference"/>
          <w:rFonts w:cs="Arial"/>
          <w:snapToGrid w:val="0"/>
          <w:sz w:val="20"/>
        </w:rPr>
        <w:footnoteReference w:id="1984"/>
      </w:r>
      <w:r w:rsidRPr="00412620">
        <w:rPr>
          <w:snapToGrid w:val="0"/>
          <w:sz w:val="20"/>
        </w:rPr>
        <w:t>[Khalifa Coastal Refinery] for a period of twenty years beginning in the month in which the refinery is setup or commercial</w:t>
      </w:r>
      <w:r w:rsidR="00C75159">
        <w:rPr>
          <w:snapToGrid w:val="0"/>
          <w:sz w:val="20"/>
        </w:rPr>
        <w:t xml:space="preserve"> production is commenced, which</w:t>
      </w:r>
      <w:r w:rsidRPr="00412620">
        <w:rPr>
          <w:snapToGrid w:val="0"/>
          <w:sz w:val="20"/>
        </w:rPr>
        <w:t>ever is the later.]</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85"/>
      </w:r>
      <w:r w:rsidRPr="00412620">
        <w:rPr>
          <w:snapToGrid w:val="0"/>
          <w:sz w:val="20"/>
        </w:rPr>
        <w:t>[</w:t>
      </w:r>
      <w:r w:rsidRPr="00412620">
        <w:rPr>
          <w:b/>
          <w:bCs/>
          <w:snapToGrid w:val="0"/>
          <w:sz w:val="20"/>
        </w:rPr>
        <w:t xml:space="preserve">(126C) </w:t>
      </w:r>
      <w:r w:rsidRPr="00412620">
        <w:rPr>
          <w:snapToGrid w:val="0"/>
          <w:sz w:val="20"/>
        </w:rPr>
        <w:t>(1) Profits and gains derived by a taxpayer from an industrial undertaking set up in Larkano Industrial Estate between the 1</w:t>
      </w:r>
      <w:r w:rsidRPr="00412620">
        <w:rPr>
          <w:snapToGrid w:val="0"/>
          <w:sz w:val="20"/>
          <w:vertAlign w:val="superscript"/>
        </w:rPr>
        <w:t>st</w:t>
      </w:r>
      <w:r w:rsidRPr="00412620">
        <w:rPr>
          <w:snapToGrid w:val="0"/>
          <w:sz w:val="20"/>
        </w:rPr>
        <w:t xml:space="preserve"> day of July, 2008 and the thirtieth day of June, 2013, both days inclusive, for a period of ten years beginning with the month in which the industrial undertaking is set up or commercial production commenced, whichever is the later.</w:t>
      </w:r>
    </w:p>
    <w:p w:rsidR="00AA4BF8" w:rsidRPr="00412620" w:rsidRDefault="00AA4BF8" w:rsidP="00AA4BF8">
      <w:pPr>
        <w:widowControl w:val="0"/>
        <w:jc w:val="both"/>
        <w:rPr>
          <w:snapToGrid w:val="0"/>
          <w:sz w:val="20"/>
        </w:rPr>
      </w:pPr>
    </w:p>
    <w:p w:rsidR="00AA4BF8" w:rsidRPr="00412620" w:rsidRDefault="00AA4BF8" w:rsidP="00AA4BF8">
      <w:pPr>
        <w:widowControl w:val="0"/>
        <w:ind w:firstLine="547"/>
        <w:jc w:val="both"/>
        <w:rPr>
          <w:snapToGrid w:val="0"/>
          <w:sz w:val="20"/>
        </w:rPr>
      </w:pPr>
      <w:r w:rsidRPr="00412620">
        <w:rPr>
          <w:snapToGrid w:val="0"/>
          <w:sz w:val="20"/>
        </w:rPr>
        <w:t xml:space="preserve">(2) </w:t>
      </w:r>
      <w:r w:rsidRPr="00412620">
        <w:rPr>
          <w:snapToGrid w:val="0"/>
          <w:sz w:val="20"/>
        </w:rPr>
        <w:tab/>
        <w:t>Exemption under this clause shall apply to an industrial undertaking which is owned and managed by a company registered under the Companies Ordinance 1984 (XLVII of 1984) and formed exclusively for operating the said undertaking.]</w:t>
      </w:r>
    </w:p>
    <w:p w:rsidR="00AA4BF8" w:rsidRPr="00412620" w:rsidRDefault="00AA4BF8" w:rsidP="00AA4BF8">
      <w:pPr>
        <w:widowControl w:val="0"/>
        <w:ind w:left="720" w:hanging="720"/>
        <w:jc w:val="both"/>
        <w:rPr>
          <w:snapToGrid w:val="0"/>
          <w:sz w:val="20"/>
        </w:rPr>
      </w:pPr>
    </w:p>
    <w:p w:rsidR="00AA4BF8" w:rsidRPr="00412620" w:rsidRDefault="00AA4BF8" w:rsidP="00AA4BF8">
      <w:pPr>
        <w:widowControl w:val="0"/>
        <w:ind w:left="720" w:hanging="72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86"/>
      </w:r>
      <w:r w:rsidRPr="00412620">
        <w:rPr>
          <w:snapToGrid w:val="0"/>
          <w:sz w:val="20"/>
        </w:rPr>
        <w:t>[</w:t>
      </w:r>
      <w:r w:rsidRPr="00412620">
        <w:rPr>
          <w:b/>
          <w:bCs/>
          <w:snapToGrid w:val="0"/>
          <w:sz w:val="20"/>
        </w:rPr>
        <w:t>(126D)</w:t>
      </w:r>
      <w:r w:rsidRPr="00412620">
        <w:rPr>
          <w:snapToGrid w:val="0"/>
          <w:sz w:val="20"/>
        </w:rPr>
        <w:tab/>
        <w:t>Profit and gains derived by a taxpayer from an industrial undertaking set up in the Gawadar declared by the Federal Government to be a Zone within the meaning of Export Processing Zone Authority Ordinance, 1980 (IV of 1980) as Export Processing Zone, Gawadar, for a period of ten years beginning with the month and year in which the industrial undertaking is set up or commercial operation commenced, whichever is later.]</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87"/>
      </w:r>
      <w:r w:rsidRPr="00412620">
        <w:rPr>
          <w:snapToGrid w:val="0"/>
          <w:sz w:val="20"/>
        </w:rPr>
        <w:t>[</w:t>
      </w:r>
      <w:r w:rsidRPr="00412620">
        <w:rPr>
          <w:b/>
          <w:bCs/>
          <w:snapToGrid w:val="0"/>
          <w:sz w:val="20"/>
        </w:rPr>
        <w:t>(126E)</w:t>
      </w:r>
      <w:r w:rsidRPr="00412620">
        <w:rPr>
          <w:snapToGrid w:val="0"/>
          <w:sz w:val="20"/>
        </w:rPr>
        <w:tab/>
        <w:t>Income derived by a zone enterprise as defined in the Special Economic Zones Act, 2012 (XX of 2012) for a period of ten years starting from the date the developer certifies that the zone enterprise has commenced commercial operation and for a period of ten years to a developer of zone starting from the date of signing of the development agreement in the special economic zone as announced by the Federal Government.]</w:t>
      </w:r>
    </w:p>
    <w:p w:rsidR="00AA4BF8" w:rsidRPr="00412620" w:rsidRDefault="00AA4BF8" w:rsidP="00AA4BF8">
      <w:pPr>
        <w:widowControl w:val="0"/>
        <w:ind w:left="720" w:hanging="720"/>
        <w:jc w:val="both"/>
        <w:rPr>
          <w:snapToGrid w:val="0"/>
          <w:sz w:val="20"/>
        </w:rPr>
      </w:pPr>
    </w:p>
    <w:p w:rsidR="00AA4BF8" w:rsidRPr="00FA5556" w:rsidRDefault="002D3D3F" w:rsidP="002D3D3F">
      <w:pPr>
        <w:widowControl w:val="0"/>
        <w:jc w:val="both"/>
        <w:rPr>
          <w:snapToGrid w:val="0"/>
          <w:color w:val="000000" w:themeColor="text1"/>
          <w:sz w:val="20"/>
        </w:rPr>
      </w:pPr>
      <w:r w:rsidRPr="00FA5556">
        <w:rPr>
          <w:rStyle w:val="FootnoteReference"/>
          <w:snapToGrid w:val="0"/>
          <w:color w:val="000000" w:themeColor="text1"/>
          <w:sz w:val="20"/>
        </w:rPr>
        <w:footnoteReference w:id="1988"/>
      </w:r>
      <w:r w:rsidRPr="00FA5556">
        <w:rPr>
          <w:snapToGrid w:val="0"/>
          <w:color w:val="000000" w:themeColor="text1"/>
          <w:sz w:val="20"/>
        </w:rPr>
        <w:t>[  ]</w:t>
      </w:r>
    </w:p>
    <w:p w:rsidR="00F4135D" w:rsidRPr="00412620" w:rsidRDefault="00F4135D" w:rsidP="00AA4BF8">
      <w:pPr>
        <w:widowControl w:val="0"/>
        <w:ind w:left="1094" w:firstLine="541"/>
        <w:jc w:val="both"/>
        <w:rPr>
          <w:snapToGrid w:val="0"/>
          <w:sz w:val="20"/>
        </w:rPr>
      </w:pPr>
    </w:p>
    <w:p w:rsidR="00AA4BF8" w:rsidRDefault="00F4135D" w:rsidP="00FE25D4">
      <w:pPr>
        <w:widowControl w:val="0"/>
        <w:jc w:val="both"/>
        <w:rPr>
          <w:snapToGrid w:val="0"/>
          <w:sz w:val="20"/>
        </w:rPr>
      </w:pPr>
      <w:r>
        <w:rPr>
          <w:rStyle w:val="FootnoteReference"/>
          <w:snapToGrid w:val="0"/>
          <w:sz w:val="20"/>
        </w:rPr>
        <w:footnoteReference w:id="1989"/>
      </w:r>
      <w:r w:rsidR="00830E69">
        <w:rPr>
          <w:snapToGrid w:val="0"/>
          <w:sz w:val="20"/>
        </w:rPr>
        <w:t>[(</w:t>
      </w:r>
      <w:r w:rsidR="00830E69" w:rsidRPr="00F4135D">
        <w:rPr>
          <w:b/>
          <w:snapToGrid w:val="0"/>
          <w:sz w:val="20"/>
        </w:rPr>
        <w:t>126G</w:t>
      </w:r>
      <w:r w:rsidR="00830E69">
        <w:rPr>
          <w:snapToGrid w:val="0"/>
          <w:sz w:val="20"/>
        </w:rPr>
        <w:t>)</w:t>
      </w:r>
      <w:r w:rsidR="00830E69">
        <w:rPr>
          <w:snapToGrid w:val="0"/>
          <w:sz w:val="20"/>
        </w:rPr>
        <w:tab/>
        <w:t xml:space="preserve">Profits and gains derived for a period of five years from the date of start of commercial production by the following companies from the projects mentioned against each that have been declared </w:t>
      </w:r>
      <w:r w:rsidR="00B43018">
        <w:rPr>
          <w:snapToGrid w:val="0"/>
          <w:sz w:val="20"/>
        </w:rPr>
        <w:t>‘</w:t>
      </w:r>
      <w:r w:rsidR="00830E69">
        <w:rPr>
          <w:snapToGrid w:val="0"/>
          <w:sz w:val="20"/>
        </w:rPr>
        <w:t>Pioneer Industry</w:t>
      </w:r>
      <w:r w:rsidR="00B43018">
        <w:rPr>
          <w:snapToGrid w:val="0"/>
          <w:sz w:val="20"/>
        </w:rPr>
        <w:t>’</w:t>
      </w:r>
      <w:r w:rsidR="00830E69">
        <w:rPr>
          <w:snapToGrid w:val="0"/>
          <w:sz w:val="20"/>
        </w:rPr>
        <w:t xml:space="preserve"> by Economic Coordination Committee of the Cabinet:-</w:t>
      </w:r>
    </w:p>
    <w:p w:rsidR="00830E69" w:rsidRDefault="00830E69" w:rsidP="004B20DC">
      <w:pPr>
        <w:pStyle w:val="ListParagraph"/>
        <w:widowControl w:val="0"/>
        <w:numPr>
          <w:ilvl w:val="0"/>
          <w:numId w:val="53"/>
        </w:numPr>
        <w:jc w:val="both"/>
        <w:rPr>
          <w:snapToGrid w:val="0"/>
          <w:sz w:val="20"/>
        </w:rPr>
      </w:pPr>
      <w:r>
        <w:rPr>
          <w:snapToGrid w:val="0"/>
          <w:sz w:val="20"/>
        </w:rPr>
        <w:t xml:space="preserve">M/s. Astro Plastics (Pvt) </w:t>
      </w:r>
      <w:r w:rsidR="008516FD">
        <w:rPr>
          <w:snapToGrid w:val="0"/>
          <w:sz w:val="20"/>
        </w:rPr>
        <w:t>Limited from their Biaxially</w:t>
      </w:r>
      <w:r w:rsidR="00262348">
        <w:rPr>
          <w:snapToGrid w:val="0"/>
          <w:sz w:val="20"/>
        </w:rPr>
        <w:t xml:space="preserve"> </w:t>
      </w:r>
      <w:r w:rsidR="0055153E">
        <w:rPr>
          <w:snapToGrid w:val="0"/>
          <w:sz w:val="20"/>
        </w:rPr>
        <w:t>Oriented</w:t>
      </w:r>
      <w:r w:rsidR="008516FD">
        <w:rPr>
          <w:snapToGrid w:val="0"/>
          <w:sz w:val="20"/>
        </w:rPr>
        <w:t xml:space="preserve"> Polyethylene Tere</w:t>
      </w:r>
      <w:r w:rsidR="0055153E">
        <w:rPr>
          <w:snapToGrid w:val="0"/>
          <w:sz w:val="20"/>
        </w:rPr>
        <w:t>phthalate (BOPET) Project; and</w:t>
      </w:r>
    </w:p>
    <w:p w:rsidR="0055153E" w:rsidRDefault="00810A48" w:rsidP="004B20DC">
      <w:pPr>
        <w:pStyle w:val="ListParagraph"/>
        <w:widowControl w:val="0"/>
        <w:numPr>
          <w:ilvl w:val="0"/>
          <w:numId w:val="53"/>
        </w:numPr>
        <w:jc w:val="both"/>
        <w:rPr>
          <w:snapToGrid w:val="0"/>
          <w:sz w:val="20"/>
        </w:rPr>
      </w:pPr>
      <w:r>
        <w:rPr>
          <w:snapToGrid w:val="0"/>
          <w:sz w:val="20"/>
        </w:rPr>
        <w:t>M/s. Novatex Limited from their Biaxially Oriented Polyethylene Terephthalate (BOPET) Project.</w:t>
      </w:r>
      <w:r w:rsidR="00FE25D4">
        <w:rPr>
          <w:snapToGrid w:val="0"/>
          <w:sz w:val="20"/>
        </w:rPr>
        <w:t>]</w:t>
      </w:r>
    </w:p>
    <w:p w:rsidR="00810A48" w:rsidRPr="00830E69" w:rsidRDefault="00810A48" w:rsidP="00810A48">
      <w:pPr>
        <w:pStyle w:val="ListParagraph"/>
        <w:widowControl w:val="0"/>
        <w:ind w:left="1080"/>
        <w:jc w:val="both"/>
        <w:rPr>
          <w:snapToGrid w:val="0"/>
          <w:sz w:val="20"/>
        </w:rPr>
      </w:pPr>
    </w:p>
    <w:p w:rsidR="00AA4BF8" w:rsidRPr="00C75159" w:rsidRDefault="00AA4BF8" w:rsidP="00AA4BF8">
      <w:pPr>
        <w:widowControl w:val="0"/>
        <w:jc w:val="both"/>
        <w:rPr>
          <w:snapToGrid w:val="0"/>
          <w:color w:val="000000" w:themeColor="text1"/>
          <w:sz w:val="20"/>
        </w:rPr>
      </w:pPr>
      <w:r w:rsidRPr="00C75159">
        <w:rPr>
          <w:rStyle w:val="FootnoteReference"/>
          <w:snapToGrid w:val="0"/>
          <w:color w:val="000000" w:themeColor="text1"/>
          <w:sz w:val="20"/>
        </w:rPr>
        <w:footnoteReference w:id="1990"/>
      </w:r>
      <w:r w:rsidRPr="00C75159">
        <w:rPr>
          <w:snapToGrid w:val="0"/>
          <w:color w:val="000000" w:themeColor="text1"/>
          <w:sz w:val="20"/>
        </w:rPr>
        <w:t>[(126H) Profits and gains derived by a taxpayer, from a fruit processing or preservation unit set up in Balochistan Province, Malakand Division, Gilgit</w:t>
      </w:r>
      <w:r w:rsidR="00262348" w:rsidRPr="00C75159">
        <w:rPr>
          <w:snapToGrid w:val="0"/>
          <w:color w:val="000000" w:themeColor="text1"/>
          <w:sz w:val="20"/>
        </w:rPr>
        <w:t xml:space="preserve"> </w:t>
      </w:r>
      <w:r w:rsidRPr="00C75159">
        <w:rPr>
          <w:snapToGrid w:val="0"/>
          <w:color w:val="000000" w:themeColor="text1"/>
          <w:sz w:val="20"/>
        </w:rPr>
        <w:t xml:space="preserve">Baltistan and FATA between the first day of July, 2014 to the thirtieth day of June, 2017, both days inclusive, engaged in processing of locally grown fruits for a period of five years beginning with the month in which the industrial </w:t>
      </w:r>
      <w:r w:rsidRPr="00C75159">
        <w:rPr>
          <w:snapToGrid w:val="0"/>
          <w:color w:val="000000" w:themeColor="text1"/>
          <w:sz w:val="20"/>
        </w:rPr>
        <w:lastRenderedPageBreak/>
        <w:t xml:space="preserve">undertaking is set up or commercial production is commenced, whichever is </w:t>
      </w:r>
      <w:r w:rsidR="00AB0A8C" w:rsidRPr="00C75159">
        <w:rPr>
          <w:snapToGrid w:val="0"/>
          <w:color w:val="000000" w:themeColor="text1"/>
          <w:sz w:val="20"/>
        </w:rPr>
        <w:t>later.]</w:t>
      </w:r>
    </w:p>
    <w:p w:rsidR="00CD0515" w:rsidRDefault="00CD0515" w:rsidP="00AA4BF8">
      <w:pPr>
        <w:widowControl w:val="0"/>
        <w:jc w:val="both"/>
        <w:rPr>
          <w:snapToGrid w:val="0"/>
          <w:color w:val="00B0F0"/>
          <w:sz w:val="20"/>
        </w:rPr>
      </w:pPr>
    </w:p>
    <w:p w:rsidR="00CD0515" w:rsidRPr="00FA5556" w:rsidRDefault="00487677" w:rsidP="00CD0515">
      <w:pPr>
        <w:autoSpaceDE w:val="0"/>
        <w:autoSpaceDN w:val="0"/>
        <w:adjustRightInd w:val="0"/>
        <w:jc w:val="both"/>
        <w:rPr>
          <w:rFonts w:cs="Arial"/>
          <w:color w:val="000000" w:themeColor="text1"/>
          <w:sz w:val="20"/>
          <w:lang w:val="en-US"/>
        </w:rPr>
      </w:pPr>
      <w:r w:rsidRPr="00FA5556">
        <w:rPr>
          <w:rStyle w:val="FootnoteReference"/>
          <w:rFonts w:cs="Arial"/>
          <w:color w:val="000000" w:themeColor="text1"/>
          <w:sz w:val="20"/>
          <w:lang w:val="en-US"/>
        </w:rPr>
        <w:footnoteReference w:id="1991"/>
      </w:r>
      <w:r w:rsidR="00CD0515" w:rsidRPr="00FA5556">
        <w:rPr>
          <w:rFonts w:cs="Arial"/>
          <w:color w:val="000000" w:themeColor="text1"/>
          <w:sz w:val="20"/>
          <w:lang w:val="en-US"/>
        </w:rPr>
        <w:t>[“(126I) Profits and gains derived by a taxpayer, from an industrial undertaking set up by 31st day of December, 2016 and engaged in the manufacture of plant, machinery, equipment and items with dedicated use (no multiple uses) for generation of renewable energy from sources like solar and wind, for a period of five years beginning from first day of July, 2015.</w:t>
      </w:r>
      <w:r w:rsidR="00FD3909" w:rsidRPr="00FA5556">
        <w:rPr>
          <w:rFonts w:cs="Arial"/>
          <w:color w:val="000000" w:themeColor="text1"/>
          <w:sz w:val="20"/>
          <w:lang w:val="en-US"/>
        </w:rPr>
        <w:t>”]</w:t>
      </w:r>
    </w:p>
    <w:p w:rsidR="00CD0515" w:rsidRPr="00FA5556" w:rsidRDefault="00CD0515" w:rsidP="00CD0515">
      <w:pPr>
        <w:autoSpaceDE w:val="0"/>
        <w:autoSpaceDN w:val="0"/>
        <w:adjustRightInd w:val="0"/>
        <w:jc w:val="both"/>
        <w:rPr>
          <w:rFonts w:cs="Arial"/>
          <w:color w:val="000000" w:themeColor="text1"/>
          <w:sz w:val="20"/>
          <w:lang w:val="en-US"/>
        </w:rPr>
      </w:pPr>
    </w:p>
    <w:p w:rsidR="00CD0515" w:rsidRPr="00FA5556" w:rsidRDefault="0016592C" w:rsidP="00CD0515">
      <w:pPr>
        <w:autoSpaceDE w:val="0"/>
        <w:autoSpaceDN w:val="0"/>
        <w:adjustRightInd w:val="0"/>
        <w:jc w:val="both"/>
        <w:rPr>
          <w:rFonts w:cs="Arial"/>
          <w:color w:val="000000" w:themeColor="text1"/>
          <w:sz w:val="20"/>
          <w:lang w:val="en-US"/>
        </w:rPr>
      </w:pPr>
      <w:r w:rsidRPr="00FA5556">
        <w:rPr>
          <w:rStyle w:val="FootnoteReference"/>
          <w:rFonts w:cs="Arial"/>
          <w:color w:val="000000" w:themeColor="text1"/>
          <w:sz w:val="20"/>
          <w:lang w:val="en-US"/>
        </w:rPr>
        <w:footnoteReference w:id="1992"/>
      </w:r>
      <w:r w:rsidRPr="00FA5556">
        <w:rPr>
          <w:rFonts w:cs="Arial"/>
          <w:color w:val="000000" w:themeColor="text1"/>
          <w:sz w:val="20"/>
          <w:lang w:val="en-US"/>
        </w:rPr>
        <w:t>[“</w:t>
      </w:r>
      <w:r w:rsidR="00CD0515" w:rsidRPr="00FA5556">
        <w:rPr>
          <w:rFonts w:cs="Arial"/>
          <w:color w:val="000000" w:themeColor="text1"/>
          <w:sz w:val="20"/>
          <w:lang w:val="en-US"/>
        </w:rPr>
        <w:t>(126J) Profits and gains derived by a taxpayer, from an industrial undertaking set up between 1st day of July, 2015 and 30th day of June, 2016 engaged in operating warehousing or cold chain facilities for storage of agriculture produce for a period of three years beginning with the month in which the industrial undertaking is set up or commercial operations are commenced, whichever is later.</w:t>
      </w:r>
      <w:r w:rsidRPr="00FA5556">
        <w:rPr>
          <w:rFonts w:cs="Arial"/>
          <w:color w:val="000000" w:themeColor="text1"/>
          <w:sz w:val="20"/>
          <w:lang w:val="en-US"/>
        </w:rPr>
        <w:t>”]</w:t>
      </w:r>
    </w:p>
    <w:p w:rsidR="00CD0515" w:rsidRPr="00FA5556" w:rsidRDefault="00CD0515" w:rsidP="00CD0515">
      <w:pPr>
        <w:autoSpaceDE w:val="0"/>
        <w:autoSpaceDN w:val="0"/>
        <w:adjustRightInd w:val="0"/>
        <w:jc w:val="both"/>
        <w:rPr>
          <w:rFonts w:cs="Arial"/>
          <w:color w:val="000000" w:themeColor="text1"/>
          <w:sz w:val="20"/>
          <w:lang w:val="en-US"/>
        </w:rPr>
      </w:pPr>
    </w:p>
    <w:p w:rsidR="00CD0515" w:rsidRPr="00FA5556" w:rsidRDefault="00561981" w:rsidP="00CD0515">
      <w:pPr>
        <w:autoSpaceDE w:val="0"/>
        <w:autoSpaceDN w:val="0"/>
        <w:adjustRightInd w:val="0"/>
        <w:jc w:val="both"/>
        <w:rPr>
          <w:rFonts w:cs="Arial"/>
          <w:color w:val="000000" w:themeColor="text1"/>
          <w:sz w:val="20"/>
          <w:lang w:val="en-US"/>
        </w:rPr>
      </w:pPr>
      <w:r w:rsidRPr="00FA5556">
        <w:rPr>
          <w:rStyle w:val="FootnoteReference"/>
          <w:rFonts w:cs="Arial"/>
          <w:color w:val="000000" w:themeColor="text1"/>
          <w:sz w:val="20"/>
          <w:lang w:val="en-US"/>
        </w:rPr>
        <w:footnoteReference w:id="1993"/>
      </w:r>
      <w:r w:rsidRPr="00FA5556">
        <w:rPr>
          <w:rFonts w:cs="Arial"/>
          <w:color w:val="000000" w:themeColor="text1"/>
          <w:sz w:val="20"/>
          <w:lang w:val="en-US"/>
        </w:rPr>
        <w:t>[“</w:t>
      </w:r>
      <w:r w:rsidR="00CD0515" w:rsidRPr="00FA5556">
        <w:rPr>
          <w:rFonts w:cs="Arial"/>
          <w:color w:val="000000" w:themeColor="text1"/>
          <w:sz w:val="20"/>
          <w:lang w:val="en-US"/>
        </w:rPr>
        <w:t>(126K) Profits and gains derived by a taxpayer, from an industrial undertaking set up between the first day of July, 2015 and the 30th day of June, 2017 for establishing and operating a halal meat production unit, for a period of four years beginning with the month in which the industrial undertaking commences commercial production. The exemption under this clause shall apply if the industrial undertaking is –</w:t>
      </w:r>
    </w:p>
    <w:p w:rsidR="00CD0515" w:rsidRPr="00FA5556" w:rsidRDefault="00CD0515" w:rsidP="00CD0515">
      <w:pPr>
        <w:autoSpaceDE w:val="0"/>
        <w:autoSpaceDN w:val="0"/>
        <w:adjustRightInd w:val="0"/>
        <w:jc w:val="both"/>
        <w:rPr>
          <w:rFonts w:cs="Arial"/>
          <w:color w:val="000000" w:themeColor="text1"/>
          <w:sz w:val="20"/>
          <w:lang w:val="en-US"/>
        </w:rPr>
      </w:pPr>
    </w:p>
    <w:p w:rsidR="00CD0515" w:rsidRPr="00FA5556" w:rsidRDefault="00CD0515" w:rsidP="00CD0515">
      <w:pPr>
        <w:pStyle w:val="ListParagraph"/>
        <w:numPr>
          <w:ilvl w:val="0"/>
          <w:numId w:val="65"/>
        </w:numPr>
        <w:autoSpaceDE w:val="0"/>
        <w:autoSpaceDN w:val="0"/>
        <w:adjustRightInd w:val="0"/>
        <w:jc w:val="both"/>
        <w:rPr>
          <w:rFonts w:cs="Arial"/>
          <w:color w:val="000000" w:themeColor="text1"/>
          <w:sz w:val="20"/>
          <w:lang w:val="en-US"/>
        </w:rPr>
      </w:pPr>
      <w:r w:rsidRPr="00FA5556">
        <w:rPr>
          <w:rFonts w:cs="Arial"/>
          <w:color w:val="000000" w:themeColor="text1"/>
          <w:sz w:val="20"/>
          <w:lang w:val="en-US"/>
        </w:rPr>
        <w:t>owned and managed by a company formed for operating the said halal meat production unit and registered under the Companies</w:t>
      </w:r>
      <w:r w:rsidRPr="00487677">
        <w:rPr>
          <w:rFonts w:cs="Arial"/>
          <w:color w:val="984806" w:themeColor="accent6" w:themeShade="80"/>
          <w:sz w:val="20"/>
          <w:lang w:val="en-US"/>
        </w:rPr>
        <w:t xml:space="preserve"> </w:t>
      </w:r>
      <w:r w:rsidRPr="00FA5556">
        <w:rPr>
          <w:rFonts w:cs="Arial"/>
          <w:color w:val="000000" w:themeColor="text1"/>
          <w:sz w:val="20"/>
          <w:lang w:val="en-US"/>
        </w:rPr>
        <w:t>Ordinance, 1984 (XLVII of 1984), and having its registered office in Pakistan;</w:t>
      </w:r>
    </w:p>
    <w:p w:rsidR="00CD0515" w:rsidRPr="00FA5556" w:rsidRDefault="00CD0515" w:rsidP="00CD0515">
      <w:pPr>
        <w:pStyle w:val="ListParagraph"/>
        <w:autoSpaceDE w:val="0"/>
        <w:autoSpaceDN w:val="0"/>
        <w:adjustRightInd w:val="0"/>
        <w:jc w:val="both"/>
        <w:rPr>
          <w:rFonts w:cs="Arial"/>
          <w:color w:val="000000" w:themeColor="text1"/>
          <w:sz w:val="20"/>
          <w:lang w:val="en-US"/>
        </w:rPr>
      </w:pPr>
    </w:p>
    <w:p w:rsidR="00CD0515" w:rsidRPr="00FA5556" w:rsidRDefault="00CD0515" w:rsidP="00CD0515">
      <w:pPr>
        <w:pStyle w:val="ListParagraph"/>
        <w:numPr>
          <w:ilvl w:val="0"/>
          <w:numId w:val="65"/>
        </w:numPr>
        <w:autoSpaceDE w:val="0"/>
        <w:autoSpaceDN w:val="0"/>
        <w:adjustRightInd w:val="0"/>
        <w:jc w:val="both"/>
        <w:rPr>
          <w:rFonts w:cs="Arial"/>
          <w:color w:val="000000" w:themeColor="text1"/>
          <w:sz w:val="20"/>
          <w:lang w:val="en-US"/>
        </w:rPr>
      </w:pPr>
      <w:r w:rsidRPr="00FA5556">
        <w:rPr>
          <w:rFonts w:cs="Arial"/>
          <w:color w:val="000000" w:themeColor="text1"/>
          <w:sz w:val="20"/>
          <w:lang w:val="en-US"/>
        </w:rPr>
        <w:t>not formed by the splitting up, or the re construction or reconstitution, of a business already in existence or by transfer to a new business of any machinery or plant used in a business which was being carried on in Pakistan at any time before the commencement of the new business; and</w:t>
      </w:r>
    </w:p>
    <w:p w:rsidR="00CD0515" w:rsidRPr="00FA5556" w:rsidRDefault="00CD0515" w:rsidP="00CD0515">
      <w:pPr>
        <w:pStyle w:val="ListParagraph"/>
        <w:autoSpaceDE w:val="0"/>
        <w:autoSpaceDN w:val="0"/>
        <w:adjustRightInd w:val="0"/>
        <w:jc w:val="both"/>
        <w:rPr>
          <w:rFonts w:cs="Arial"/>
          <w:color w:val="000000" w:themeColor="text1"/>
          <w:sz w:val="20"/>
          <w:lang w:val="en-US"/>
        </w:rPr>
      </w:pPr>
    </w:p>
    <w:p w:rsidR="00CD0515" w:rsidRPr="00FA5556" w:rsidRDefault="00CD0515" w:rsidP="00CD0515">
      <w:pPr>
        <w:pStyle w:val="ListParagraph"/>
        <w:numPr>
          <w:ilvl w:val="0"/>
          <w:numId w:val="65"/>
        </w:numPr>
        <w:autoSpaceDE w:val="0"/>
        <w:autoSpaceDN w:val="0"/>
        <w:adjustRightInd w:val="0"/>
        <w:jc w:val="both"/>
        <w:rPr>
          <w:rFonts w:cs="Arial"/>
          <w:color w:val="000000" w:themeColor="text1"/>
          <w:sz w:val="20"/>
          <w:lang w:val="en-US"/>
        </w:rPr>
      </w:pPr>
      <w:r w:rsidRPr="00FA5556">
        <w:rPr>
          <w:rFonts w:cs="Arial"/>
          <w:color w:val="000000" w:themeColor="text1"/>
          <w:sz w:val="20"/>
          <w:lang w:val="en-US"/>
        </w:rPr>
        <w:t>halal meat production unit is established and obtains a halal certification within the period between the first day of July, 2015 and the 30th day of June, 2017.</w:t>
      </w:r>
      <w:r w:rsidR="00561981" w:rsidRPr="00FA5556">
        <w:rPr>
          <w:rFonts w:cs="Arial"/>
          <w:color w:val="000000" w:themeColor="text1"/>
          <w:sz w:val="20"/>
          <w:lang w:val="en-US"/>
        </w:rPr>
        <w:t>”]</w:t>
      </w:r>
    </w:p>
    <w:p w:rsidR="00CD0515" w:rsidRPr="00FA5556" w:rsidRDefault="00CD0515" w:rsidP="00CD0515">
      <w:pPr>
        <w:pStyle w:val="ListParagraph"/>
        <w:rPr>
          <w:rFonts w:cs="Arial"/>
          <w:color w:val="000000" w:themeColor="text1"/>
          <w:sz w:val="20"/>
          <w:lang w:val="en-US"/>
        </w:rPr>
      </w:pPr>
    </w:p>
    <w:p w:rsidR="00CD0515" w:rsidRPr="00FA5556" w:rsidRDefault="00B37C9C" w:rsidP="00CD0515">
      <w:pPr>
        <w:autoSpaceDE w:val="0"/>
        <w:autoSpaceDN w:val="0"/>
        <w:adjustRightInd w:val="0"/>
        <w:jc w:val="both"/>
        <w:rPr>
          <w:rFonts w:cs="Arial"/>
          <w:color w:val="000000" w:themeColor="text1"/>
          <w:sz w:val="20"/>
          <w:lang w:val="en-US"/>
        </w:rPr>
      </w:pPr>
      <w:r w:rsidRPr="00FA5556">
        <w:rPr>
          <w:rStyle w:val="FootnoteReference"/>
          <w:rFonts w:cs="Arial"/>
          <w:color w:val="000000" w:themeColor="text1"/>
          <w:sz w:val="20"/>
          <w:lang w:val="en-US"/>
        </w:rPr>
        <w:footnoteReference w:id="1994"/>
      </w:r>
      <w:r w:rsidRPr="00FA5556">
        <w:rPr>
          <w:rFonts w:cs="Arial"/>
          <w:color w:val="000000" w:themeColor="text1"/>
          <w:sz w:val="20"/>
          <w:lang w:val="en-US"/>
        </w:rPr>
        <w:t>[“</w:t>
      </w:r>
      <w:r w:rsidR="00CD0515" w:rsidRPr="00FA5556">
        <w:rPr>
          <w:rFonts w:cs="Arial"/>
          <w:color w:val="000000" w:themeColor="text1"/>
          <w:sz w:val="20"/>
          <w:lang w:val="en-US"/>
        </w:rPr>
        <w:t>(126L) Profits and gains derived by a taxpayer, from an</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industrial undertaking set up in the Provinces of Khyber</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Pukhtunkhwa and Baluchistan between 1st day of July, 2015and 30th day of June, 2018 for a period of five years</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 xml:space="preserve">beginning with </w:t>
      </w:r>
      <w:r w:rsidR="00CD0515" w:rsidRPr="00FA5556">
        <w:rPr>
          <w:rFonts w:cs="Arial"/>
          <w:color w:val="000000" w:themeColor="text1"/>
          <w:sz w:val="20"/>
          <w:lang w:val="en-US"/>
        </w:rPr>
        <w:lastRenderedPageBreak/>
        <w:t>the month in which the industrial undertaking</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is set up or commercial production is commenced,</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whichever is later:</w:t>
      </w:r>
    </w:p>
    <w:p w:rsidR="00026D33" w:rsidRPr="00487677" w:rsidRDefault="00026D33" w:rsidP="00CD0515">
      <w:pPr>
        <w:autoSpaceDE w:val="0"/>
        <w:autoSpaceDN w:val="0"/>
        <w:adjustRightInd w:val="0"/>
        <w:jc w:val="both"/>
        <w:rPr>
          <w:rFonts w:cs="Arial"/>
          <w:color w:val="984806" w:themeColor="accent6" w:themeShade="80"/>
          <w:sz w:val="20"/>
          <w:lang w:val="en-US"/>
        </w:rPr>
      </w:pPr>
    </w:p>
    <w:p w:rsidR="00CD0515" w:rsidRPr="00FA5556" w:rsidRDefault="00CD0515" w:rsidP="00026D33">
      <w:pPr>
        <w:autoSpaceDE w:val="0"/>
        <w:autoSpaceDN w:val="0"/>
        <w:adjustRightInd w:val="0"/>
        <w:ind w:left="547" w:firstLine="547"/>
        <w:jc w:val="both"/>
        <w:rPr>
          <w:rFonts w:cs="Arial"/>
          <w:color w:val="000000" w:themeColor="text1"/>
          <w:sz w:val="20"/>
          <w:lang w:val="en-US"/>
        </w:rPr>
      </w:pPr>
      <w:r w:rsidRPr="00FA5556">
        <w:rPr>
          <w:rFonts w:cs="Arial"/>
          <w:color w:val="000000" w:themeColor="text1"/>
          <w:sz w:val="20"/>
          <w:lang w:val="en-US"/>
        </w:rPr>
        <w:t>Provided that exemption under this clause shall be</w:t>
      </w:r>
      <w:r w:rsidR="00262348" w:rsidRPr="00FA5556">
        <w:rPr>
          <w:rFonts w:cs="Arial"/>
          <w:color w:val="000000" w:themeColor="text1"/>
          <w:sz w:val="20"/>
          <w:lang w:val="en-US"/>
        </w:rPr>
        <w:t xml:space="preserve"> </w:t>
      </w:r>
      <w:r w:rsidRPr="00FA5556">
        <w:rPr>
          <w:rFonts w:cs="Arial"/>
          <w:color w:val="000000" w:themeColor="text1"/>
          <w:sz w:val="20"/>
          <w:lang w:val="en-US"/>
        </w:rPr>
        <w:t>admissible where—</w:t>
      </w:r>
    </w:p>
    <w:p w:rsidR="00026D33" w:rsidRPr="00FA5556" w:rsidRDefault="00026D33" w:rsidP="00026D33">
      <w:pPr>
        <w:autoSpaceDE w:val="0"/>
        <w:autoSpaceDN w:val="0"/>
        <w:adjustRightInd w:val="0"/>
        <w:ind w:left="547" w:firstLine="547"/>
        <w:jc w:val="both"/>
        <w:rPr>
          <w:rFonts w:cs="Arial"/>
          <w:color w:val="000000" w:themeColor="text1"/>
          <w:sz w:val="20"/>
          <w:lang w:val="en-US"/>
        </w:rPr>
      </w:pPr>
    </w:p>
    <w:p w:rsidR="00026D33" w:rsidRPr="00FA5556" w:rsidRDefault="00CD0515" w:rsidP="00CF5BFE">
      <w:pPr>
        <w:pStyle w:val="ListParagraph"/>
        <w:numPr>
          <w:ilvl w:val="0"/>
          <w:numId w:val="66"/>
        </w:numPr>
        <w:autoSpaceDE w:val="0"/>
        <w:autoSpaceDN w:val="0"/>
        <w:adjustRightInd w:val="0"/>
        <w:ind w:left="1710" w:hanging="616"/>
        <w:jc w:val="both"/>
        <w:rPr>
          <w:rFonts w:cs="Arial"/>
          <w:color w:val="000000" w:themeColor="text1"/>
          <w:sz w:val="20"/>
          <w:lang w:val="en-US"/>
        </w:rPr>
      </w:pPr>
      <w:r w:rsidRPr="00FA5556">
        <w:rPr>
          <w:rFonts w:cs="Arial"/>
          <w:color w:val="000000" w:themeColor="text1"/>
          <w:sz w:val="20"/>
          <w:lang w:val="en-US"/>
        </w:rPr>
        <w:t>the industrial undertaking is setup between the</w:t>
      </w:r>
      <w:r w:rsidR="00262348" w:rsidRPr="00FA5556">
        <w:rPr>
          <w:rFonts w:cs="Arial"/>
          <w:color w:val="000000" w:themeColor="text1"/>
          <w:sz w:val="20"/>
          <w:lang w:val="en-US"/>
        </w:rPr>
        <w:t xml:space="preserve"> </w:t>
      </w:r>
      <w:r w:rsidRPr="00FA5556">
        <w:rPr>
          <w:rFonts w:cs="Arial"/>
          <w:color w:val="000000" w:themeColor="text1"/>
          <w:sz w:val="20"/>
          <w:lang w:val="en-US"/>
        </w:rPr>
        <w:t>first day of July, 2015 and 30th day of June,2018, both days inclusive; and</w:t>
      </w:r>
    </w:p>
    <w:p w:rsidR="00026D33" w:rsidRPr="00FA5556" w:rsidRDefault="00026D33" w:rsidP="00026D33">
      <w:pPr>
        <w:pStyle w:val="ListParagraph"/>
        <w:autoSpaceDE w:val="0"/>
        <w:autoSpaceDN w:val="0"/>
        <w:adjustRightInd w:val="0"/>
        <w:ind w:left="1964"/>
        <w:jc w:val="both"/>
        <w:rPr>
          <w:rFonts w:cs="Arial"/>
          <w:color w:val="000000" w:themeColor="text1"/>
          <w:sz w:val="20"/>
          <w:lang w:val="en-US"/>
        </w:rPr>
      </w:pPr>
    </w:p>
    <w:p w:rsidR="00CD0515" w:rsidRPr="00FA5556" w:rsidRDefault="00CD0515" w:rsidP="00CF5BFE">
      <w:pPr>
        <w:pStyle w:val="ListParagraph"/>
        <w:numPr>
          <w:ilvl w:val="0"/>
          <w:numId w:val="66"/>
        </w:numPr>
        <w:autoSpaceDE w:val="0"/>
        <w:autoSpaceDN w:val="0"/>
        <w:adjustRightInd w:val="0"/>
        <w:ind w:left="1710" w:hanging="616"/>
        <w:jc w:val="both"/>
        <w:rPr>
          <w:rFonts w:cs="Arial"/>
          <w:color w:val="000000" w:themeColor="text1"/>
          <w:sz w:val="20"/>
          <w:lang w:val="en-US"/>
        </w:rPr>
      </w:pPr>
      <w:r w:rsidRPr="00FA5556">
        <w:rPr>
          <w:rFonts w:cs="Arial"/>
          <w:color w:val="000000" w:themeColor="text1"/>
          <w:sz w:val="20"/>
          <w:lang w:val="en-US"/>
        </w:rPr>
        <w:t>the industrial undertaking is not established by</w:t>
      </w:r>
      <w:r w:rsidR="00262348" w:rsidRPr="00FA5556">
        <w:rPr>
          <w:rFonts w:cs="Arial"/>
          <w:color w:val="000000" w:themeColor="text1"/>
          <w:sz w:val="20"/>
          <w:lang w:val="en-US"/>
        </w:rPr>
        <w:t xml:space="preserve"> </w:t>
      </w:r>
      <w:r w:rsidRPr="00FA5556">
        <w:rPr>
          <w:rFonts w:cs="Arial"/>
          <w:color w:val="000000" w:themeColor="text1"/>
          <w:sz w:val="20"/>
          <w:lang w:val="en-US"/>
        </w:rPr>
        <w:t>the splitting up or reconstruction or</w:t>
      </w:r>
      <w:r w:rsidR="00262348" w:rsidRPr="00FA5556">
        <w:rPr>
          <w:rFonts w:cs="Arial"/>
          <w:color w:val="000000" w:themeColor="text1"/>
          <w:sz w:val="20"/>
          <w:lang w:val="en-US"/>
        </w:rPr>
        <w:t xml:space="preserve"> </w:t>
      </w:r>
      <w:r w:rsidRPr="00FA5556">
        <w:rPr>
          <w:rFonts w:cs="Arial"/>
          <w:color w:val="000000" w:themeColor="text1"/>
          <w:sz w:val="20"/>
          <w:lang w:val="en-US"/>
        </w:rPr>
        <w:t>reconstitution of an undertaking already inexistence or by transfer of machinery or plant</w:t>
      </w:r>
      <w:r w:rsidR="00262348" w:rsidRPr="00FA5556">
        <w:rPr>
          <w:rFonts w:cs="Arial"/>
          <w:color w:val="000000" w:themeColor="text1"/>
          <w:sz w:val="20"/>
          <w:lang w:val="en-US"/>
        </w:rPr>
        <w:t xml:space="preserve"> </w:t>
      </w:r>
      <w:r w:rsidRPr="00FA5556">
        <w:rPr>
          <w:rFonts w:cs="Arial"/>
          <w:color w:val="000000" w:themeColor="text1"/>
          <w:sz w:val="20"/>
          <w:lang w:val="en-US"/>
        </w:rPr>
        <w:t>from an undertaking established in Pakistan at</w:t>
      </w:r>
      <w:r w:rsidR="00262348" w:rsidRPr="00FA5556">
        <w:rPr>
          <w:rFonts w:cs="Arial"/>
          <w:color w:val="000000" w:themeColor="text1"/>
          <w:sz w:val="20"/>
          <w:lang w:val="en-US"/>
        </w:rPr>
        <w:t xml:space="preserve"> </w:t>
      </w:r>
      <w:r w:rsidRPr="00FA5556">
        <w:rPr>
          <w:rFonts w:cs="Arial"/>
          <w:color w:val="000000" w:themeColor="text1"/>
          <w:sz w:val="20"/>
          <w:lang w:val="en-US"/>
        </w:rPr>
        <w:t>any time before 1st July 2015.</w:t>
      </w:r>
      <w:r w:rsidR="00B37C9C" w:rsidRPr="00FA5556">
        <w:rPr>
          <w:rFonts w:cs="Arial"/>
          <w:color w:val="000000" w:themeColor="text1"/>
          <w:sz w:val="20"/>
          <w:lang w:val="en-US"/>
        </w:rPr>
        <w:t>”]</w:t>
      </w:r>
    </w:p>
    <w:p w:rsidR="00026D33" w:rsidRPr="00FA5556" w:rsidRDefault="00026D33" w:rsidP="00CD0515">
      <w:pPr>
        <w:autoSpaceDE w:val="0"/>
        <w:autoSpaceDN w:val="0"/>
        <w:adjustRightInd w:val="0"/>
        <w:jc w:val="both"/>
        <w:rPr>
          <w:rFonts w:cs="Arial"/>
          <w:color w:val="000000" w:themeColor="text1"/>
          <w:sz w:val="20"/>
          <w:lang w:val="en-US"/>
        </w:rPr>
      </w:pPr>
    </w:p>
    <w:p w:rsidR="00CD0515" w:rsidRPr="00FA5556" w:rsidRDefault="00B37C9C" w:rsidP="00CD0515">
      <w:pPr>
        <w:autoSpaceDE w:val="0"/>
        <w:autoSpaceDN w:val="0"/>
        <w:adjustRightInd w:val="0"/>
        <w:jc w:val="both"/>
        <w:rPr>
          <w:rFonts w:cs="Arial"/>
          <w:color w:val="000000" w:themeColor="text1"/>
          <w:sz w:val="20"/>
          <w:lang w:val="en-US"/>
        </w:rPr>
      </w:pPr>
      <w:r w:rsidRPr="00FA5556">
        <w:rPr>
          <w:rStyle w:val="FootnoteReference"/>
          <w:rFonts w:cs="Arial"/>
          <w:color w:val="000000" w:themeColor="text1"/>
          <w:sz w:val="20"/>
          <w:lang w:val="en-US"/>
        </w:rPr>
        <w:footnoteReference w:id="1995"/>
      </w:r>
      <w:r w:rsidRPr="00FA5556">
        <w:rPr>
          <w:rFonts w:cs="Arial"/>
          <w:color w:val="000000" w:themeColor="text1"/>
          <w:sz w:val="20"/>
          <w:lang w:val="en-US"/>
        </w:rPr>
        <w:t>[“</w:t>
      </w:r>
      <w:r w:rsidR="00CD0515" w:rsidRPr="00FA5556">
        <w:rPr>
          <w:rFonts w:cs="Arial"/>
          <w:color w:val="000000" w:themeColor="text1"/>
          <w:sz w:val="20"/>
          <w:lang w:val="en-US"/>
        </w:rPr>
        <w:t>(126M) Profits and gains derived by a taxpayer from a</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transmission line project set up in Pakistan on or after the1st day of July, 2015 for a period of ten years. The</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exemption under this clause shall apply to such project</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which is—</w:t>
      </w:r>
    </w:p>
    <w:p w:rsidR="00CF5BFE" w:rsidRPr="00FA5556" w:rsidRDefault="00CF5BFE" w:rsidP="00CD0515">
      <w:pPr>
        <w:autoSpaceDE w:val="0"/>
        <w:autoSpaceDN w:val="0"/>
        <w:adjustRightInd w:val="0"/>
        <w:jc w:val="both"/>
        <w:rPr>
          <w:rFonts w:cs="Arial"/>
          <w:color w:val="000000" w:themeColor="text1"/>
          <w:sz w:val="20"/>
          <w:lang w:val="en-US"/>
        </w:rPr>
      </w:pPr>
    </w:p>
    <w:p w:rsidR="00CD0515" w:rsidRPr="00487677" w:rsidRDefault="00CD0515" w:rsidP="00487677">
      <w:pPr>
        <w:pStyle w:val="ListParagraph"/>
        <w:numPr>
          <w:ilvl w:val="0"/>
          <w:numId w:val="67"/>
        </w:numPr>
        <w:autoSpaceDE w:val="0"/>
        <w:autoSpaceDN w:val="0"/>
        <w:adjustRightInd w:val="0"/>
        <w:jc w:val="both"/>
        <w:rPr>
          <w:rFonts w:cs="Arial"/>
          <w:color w:val="984806" w:themeColor="accent6" w:themeShade="80"/>
          <w:sz w:val="20"/>
          <w:lang w:val="en-US"/>
        </w:rPr>
      </w:pPr>
      <w:r w:rsidRPr="00FA5556">
        <w:rPr>
          <w:rFonts w:cs="Arial"/>
          <w:color w:val="000000" w:themeColor="text1"/>
          <w:sz w:val="20"/>
          <w:lang w:val="en-US"/>
        </w:rPr>
        <w:t>owned and managed by a company formed for</w:t>
      </w:r>
      <w:r w:rsidR="00262348" w:rsidRPr="00FA5556">
        <w:rPr>
          <w:rFonts w:cs="Arial"/>
          <w:color w:val="000000" w:themeColor="text1"/>
          <w:sz w:val="20"/>
          <w:lang w:val="en-US"/>
        </w:rPr>
        <w:t xml:space="preserve"> </w:t>
      </w:r>
      <w:r w:rsidRPr="00FA5556">
        <w:rPr>
          <w:rFonts w:cs="Arial"/>
          <w:color w:val="000000" w:themeColor="text1"/>
          <w:sz w:val="20"/>
          <w:lang w:val="en-US"/>
        </w:rPr>
        <w:t>operating the said project and registered under</w:t>
      </w:r>
      <w:r w:rsidR="00262348" w:rsidRPr="00FA5556">
        <w:rPr>
          <w:rFonts w:cs="Arial"/>
          <w:color w:val="000000" w:themeColor="text1"/>
          <w:sz w:val="20"/>
          <w:lang w:val="en-US"/>
        </w:rPr>
        <w:t xml:space="preserve"> </w:t>
      </w:r>
      <w:r w:rsidRPr="00FA5556">
        <w:rPr>
          <w:rFonts w:cs="Arial"/>
          <w:color w:val="000000" w:themeColor="text1"/>
          <w:sz w:val="20"/>
          <w:lang w:val="en-US"/>
        </w:rPr>
        <w:t>the Companies Ordinance, 1984 (XLVII of1984), and having its registered office in</w:t>
      </w:r>
      <w:r w:rsidR="00262348" w:rsidRPr="00FA5556">
        <w:rPr>
          <w:rFonts w:cs="Arial"/>
          <w:color w:val="000000" w:themeColor="text1"/>
          <w:sz w:val="20"/>
          <w:lang w:val="en-US"/>
        </w:rPr>
        <w:t xml:space="preserve"> </w:t>
      </w:r>
      <w:r w:rsidRPr="00FA5556">
        <w:rPr>
          <w:rFonts w:cs="Arial"/>
          <w:color w:val="000000" w:themeColor="text1"/>
          <w:sz w:val="20"/>
          <w:lang w:val="en-US"/>
        </w:rPr>
        <w:t>Pakistan;</w:t>
      </w:r>
    </w:p>
    <w:p w:rsidR="00487677" w:rsidRPr="00487677" w:rsidRDefault="00487677" w:rsidP="00487677">
      <w:pPr>
        <w:pStyle w:val="ListParagraph"/>
        <w:autoSpaceDE w:val="0"/>
        <w:autoSpaceDN w:val="0"/>
        <w:adjustRightInd w:val="0"/>
        <w:ind w:left="1440"/>
        <w:jc w:val="both"/>
        <w:rPr>
          <w:rFonts w:cs="Arial"/>
          <w:color w:val="984806" w:themeColor="accent6" w:themeShade="80"/>
          <w:sz w:val="20"/>
          <w:lang w:val="en-US"/>
        </w:rPr>
      </w:pPr>
    </w:p>
    <w:p w:rsidR="00CD0515" w:rsidRPr="00FA5556" w:rsidRDefault="00CD0515" w:rsidP="00487677">
      <w:pPr>
        <w:pStyle w:val="ListParagraph"/>
        <w:numPr>
          <w:ilvl w:val="0"/>
          <w:numId w:val="67"/>
        </w:numPr>
        <w:autoSpaceDE w:val="0"/>
        <w:autoSpaceDN w:val="0"/>
        <w:adjustRightInd w:val="0"/>
        <w:jc w:val="both"/>
        <w:rPr>
          <w:rFonts w:cs="Arial"/>
          <w:color w:val="000000" w:themeColor="text1"/>
          <w:sz w:val="20"/>
          <w:lang w:val="en-US"/>
        </w:rPr>
      </w:pPr>
      <w:r w:rsidRPr="00FA5556">
        <w:rPr>
          <w:rFonts w:cs="Arial"/>
          <w:color w:val="000000" w:themeColor="text1"/>
          <w:sz w:val="20"/>
          <w:lang w:val="en-US"/>
        </w:rPr>
        <w:t>not formed by the splitting up, or the</w:t>
      </w:r>
      <w:r w:rsidR="00262348" w:rsidRPr="00FA5556">
        <w:rPr>
          <w:rFonts w:cs="Arial"/>
          <w:color w:val="000000" w:themeColor="text1"/>
          <w:sz w:val="20"/>
          <w:lang w:val="en-US"/>
        </w:rPr>
        <w:t xml:space="preserve"> </w:t>
      </w:r>
      <w:r w:rsidRPr="00FA5556">
        <w:rPr>
          <w:rFonts w:cs="Arial"/>
          <w:color w:val="000000" w:themeColor="text1"/>
          <w:sz w:val="20"/>
          <w:lang w:val="en-US"/>
        </w:rPr>
        <w:t>reconstruction or reconstitution, of a business</w:t>
      </w:r>
      <w:r w:rsidR="00262348" w:rsidRPr="00FA5556">
        <w:rPr>
          <w:rFonts w:cs="Arial"/>
          <w:color w:val="000000" w:themeColor="text1"/>
          <w:sz w:val="20"/>
          <w:lang w:val="en-US"/>
        </w:rPr>
        <w:t xml:space="preserve"> </w:t>
      </w:r>
      <w:r w:rsidRPr="00FA5556">
        <w:rPr>
          <w:rFonts w:cs="Arial"/>
          <w:color w:val="000000" w:themeColor="text1"/>
          <w:sz w:val="20"/>
          <w:lang w:val="en-US"/>
        </w:rPr>
        <w:t>already in existence or by transfer to a new</w:t>
      </w:r>
      <w:r w:rsidR="00262348" w:rsidRPr="00FA5556">
        <w:rPr>
          <w:rFonts w:cs="Arial"/>
          <w:color w:val="000000" w:themeColor="text1"/>
          <w:sz w:val="20"/>
          <w:lang w:val="en-US"/>
        </w:rPr>
        <w:t xml:space="preserve"> </w:t>
      </w:r>
      <w:r w:rsidRPr="00FA5556">
        <w:rPr>
          <w:rFonts w:cs="Arial"/>
          <w:color w:val="000000" w:themeColor="text1"/>
          <w:sz w:val="20"/>
          <w:lang w:val="en-US"/>
        </w:rPr>
        <w:t>business of any machinery or plant used in a</w:t>
      </w:r>
      <w:r w:rsidR="00262348" w:rsidRPr="00FA5556">
        <w:rPr>
          <w:rFonts w:cs="Arial"/>
          <w:color w:val="000000" w:themeColor="text1"/>
          <w:sz w:val="20"/>
          <w:lang w:val="en-US"/>
        </w:rPr>
        <w:t xml:space="preserve"> </w:t>
      </w:r>
      <w:r w:rsidRPr="00FA5556">
        <w:rPr>
          <w:rFonts w:cs="Arial"/>
          <w:color w:val="000000" w:themeColor="text1"/>
          <w:sz w:val="20"/>
          <w:lang w:val="en-US"/>
        </w:rPr>
        <w:t>business</w:t>
      </w:r>
      <w:r w:rsidRPr="00487677">
        <w:rPr>
          <w:rFonts w:cs="Arial"/>
          <w:color w:val="984806" w:themeColor="accent6" w:themeShade="80"/>
          <w:sz w:val="20"/>
          <w:lang w:val="en-US"/>
        </w:rPr>
        <w:t xml:space="preserve"> </w:t>
      </w:r>
      <w:r w:rsidRPr="00FA5556">
        <w:rPr>
          <w:rFonts w:cs="Arial"/>
          <w:color w:val="000000" w:themeColor="text1"/>
          <w:sz w:val="20"/>
          <w:lang w:val="en-US"/>
        </w:rPr>
        <w:t>which was being carried on in</w:t>
      </w:r>
      <w:r w:rsidR="00262348" w:rsidRPr="00FA5556">
        <w:rPr>
          <w:rFonts w:cs="Arial"/>
          <w:color w:val="000000" w:themeColor="text1"/>
          <w:sz w:val="20"/>
          <w:lang w:val="en-US"/>
        </w:rPr>
        <w:t xml:space="preserve"> </w:t>
      </w:r>
      <w:r w:rsidRPr="00FA5556">
        <w:rPr>
          <w:rFonts w:cs="Arial"/>
          <w:color w:val="000000" w:themeColor="text1"/>
          <w:sz w:val="20"/>
          <w:lang w:val="en-US"/>
        </w:rPr>
        <w:t>Pakistan at any time before the</w:t>
      </w:r>
      <w:r w:rsidR="00262348" w:rsidRPr="00FA5556">
        <w:rPr>
          <w:rFonts w:cs="Arial"/>
          <w:color w:val="000000" w:themeColor="text1"/>
          <w:sz w:val="20"/>
          <w:lang w:val="en-US"/>
        </w:rPr>
        <w:t xml:space="preserve"> </w:t>
      </w:r>
      <w:r w:rsidRPr="00FA5556">
        <w:rPr>
          <w:rFonts w:cs="Arial"/>
          <w:color w:val="000000" w:themeColor="text1"/>
          <w:sz w:val="20"/>
          <w:lang w:val="en-US"/>
        </w:rPr>
        <w:t>commencement of the new business; and</w:t>
      </w:r>
    </w:p>
    <w:p w:rsidR="00487677" w:rsidRPr="00FA5556" w:rsidRDefault="00487677" w:rsidP="00487677">
      <w:pPr>
        <w:pStyle w:val="ListParagraph"/>
        <w:rPr>
          <w:rFonts w:cs="Arial"/>
          <w:color w:val="000000" w:themeColor="text1"/>
          <w:sz w:val="20"/>
          <w:lang w:val="en-US"/>
        </w:rPr>
      </w:pPr>
    </w:p>
    <w:p w:rsidR="00487677" w:rsidRPr="00FA5556" w:rsidRDefault="00487677" w:rsidP="00487677">
      <w:pPr>
        <w:pStyle w:val="ListParagraph"/>
        <w:autoSpaceDE w:val="0"/>
        <w:autoSpaceDN w:val="0"/>
        <w:adjustRightInd w:val="0"/>
        <w:ind w:left="1440"/>
        <w:jc w:val="both"/>
        <w:rPr>
          <w:rFonts w:cs="Arial"/>
          <w:color w:val="000000" w:themeColor="text1"/>
          <w:sz w:val="20"/>
          <w:lang w:val="en-US"/>
        </w:rPr>
      </w:pPr>
    </w:p>
    <w:p w:rsidR="00CD0515" w:rsidRPr="00FA5556" w:rsidRDefault="00CD0515" w:rsidP="00487677">
      <w:pPr>
        <w:pStyle w:val="ListParagraph"/>
        <w:numPr>
          <w:ilvl w:val="0"/>
          <w:numId w:val="67"/>
        </w:numPr>
        <w:autoSpaceDE w:val="0"/>
        <w:autoSpaceDN w:val="0"/>
        <w:adjustRightInd w:val="0"/>
        <w:jc w:val="both"/>
        <w:rPr>
          <w:rFonts w:cs="Arial"/>
          <w:color w:val="000000" w:themeColor="text1"/>
          <w:sz w:val="20"/>
          <w:lang w:val="en-US"/>
        </w:rPr>
      </w:pPr>
      <w:r w:rsidRPr="00FA5556">
        <w:rPr>
          <w:rFonts w:cs="Arial"/>
          <w:color w:val="000000" w:themeColor="text1"/>
          <w:sz w:val="20"/>
          <w:lang w:val="en-US"/>
        </w:rPr>
        <w:t>owned by a company fifty per cent of whose</w:t>
      </w:r>
      <w:r w:rsidR="00262348" w:rsidRPr="00FA5556">
        <w:rPr>
          <w:rFonts w:cs="Arial"/>
          <w:color w:val="000000" w:themeColor="text1"/>
          <w:sz w:val="20"/>
          <w:lang w:val="en-US"/>
        </w:rPr>
        <w:t xml:space="preserve"> </w:t>
      </w:r>
      <w:r w:rsidRPr="00FA5556">
        <w:rPr>
          <w:rFonts w:cs="Arial"/>
          <w:color w:val="000000" w:themeColor="text1"/>
          <w:sz w:val="20"/>
          <w:lang w:val="en-US"/>
        </w:rPr>
        <w:t>shares are not held by the Federal</w:t>
      </w:r>
      <w:r w:rsidR="00262348" w:rsidRPr="00FA5556">
        <w:rPr>
          <w:rFonts w:cs="Arial"/>
          <w:color w:val="000000" w:themeColor="text1"/>
          <w:sz w:val="20"/>
          <w:lang w:val="en-US"/>
        </w:rPr>
        <w:t xml:space="preserve"> </w:t>
      </w:r>
      <w:r w:rsidRPr="00FA5556">
        <w:rPr>
          <w:rFonts w:cs="Arial"/>
          <w:color w:val="000000" w:themeColor="text1"/>
          <w:sz w:val="20"/>
          <w:lang w:val="en-US"/>
        </w:rPr>
        <w:t>Government or Provincial Government or a</w:t>
      </w:r>
      <w:r w:rsidR="00262348" w:rsidRPr="00FA5556">
        <w:rPr>
          <w:rFonts w:cs="Arial"/>
          <w:color w:val="000000" w:themeColor="text1"/>
          <w:sz w:val="20"/>
          <w:lang w:val="en-US"/>
        </w:rPr>
        <w:t xml:space="preserve"> </w:t>
      </w:r>
      <w:r w:rsidRPr="00FA5556">
        <w:rPr>
          <w:rFonts w:cs="Arial"/>
          <w:color w:val="000000" w:themeColor="text1"/>
          <w:sz w:val="20"/>
          <w:lang w:val="en-US"/>
        </w:rPr>
        <w:t>Local Government or which is not controlled by</w:t>
      </w:r>
      <w:r w:rsidR="00262348" w:rsidRPr="00FA5556">
        <w:rPr>
          <w:rFonts w:cs="Arial"/>
          <w:color w:val="000000" w:themeColor="text1"/>
          <w:sz w:val="20"/>
          <w:lang w:val="en-US"/>
        </w:rPr>
        <w:t xml:space="preserve"> </w:t>
      </w:r>
      <w:r w:rsidRPr="00FA5556">
        <w:rPr>
          <w:rFonts w:cs="Arial"/>
          <w:color w:val="000000" w:themeColor="text1"/>
          <w:sz w:val="20"/>
          <w:lang w:val="en-US"/>
        </w:rPr>
        <w:t>the Federal Government or a Provincial</w:t>
      </w:r>
      <w:r w:rsidR="00262348" w:rsidRPr="00FA5556">
        <w:rPr>
          <w:rFonts w:cs="Arial"/>
          <w:color w:val="000000" w:themeColor="text1"/>
          <w:sz w:val="20"/>
          <w:lang w:val="en-US"/>
        </w:rPr>
        <w:t xml:space="preserve"> </w:t>
      </w:r>
      <w:r w:rsidRPr="00FA5556">
        <w:rPr>
          <w:rFonts w:cs="Arial"/>
          <w:color w:val="000000" w:themeColor="text1"/>
          <w:sz w:val="20"/>
          <w:lang w:val="en-US"/>
        </w:rPr>
        <w:t>Government or a Local Government:</w:t>
      </w:r>
    </w:p>
    <w:p w:rsidR="00487677" w:rsidRPr="00FA5556" w:rsidRDefault="00487677" w:rsidP="00487677">
      <w:pPr>
        <w:pStyle w:val="ListParagraph"/>
        <w:autoSpaceDE w:val="0"/>
        <w:autoSpaceDN w:val="0"/>
        <w:adjustRightInd w:val="0"/>
        <w:ind w:left="1440"/>
        <w:jc w:val="both"/>
        <w:rPr>
          <w:rFonts w:cs="Arial"/>
          <w:color w:val="000000" w:themeColor="text1"/>
          <w:sz w:val="20"/>
          <w:lang w:val="en-US"/>
        </w:rPr>
      </w:pPr>
    </w:p>
    <w:p w:rsidR="00CD0515" w:rsidRPr="00FA5556" w:rsidRDefault="00CD0515" w:rsidP="00487677">
      <w:pPr>
        <w:autoSpaceDE w:val="0"/>
        <w:autoSpaceDN w:val="0"/>
        <w:adjustRightInd w:val="0"/>
        <w:ind w:left="1641" w:firstLine="547"/>
        <w:jc w:val="both"/>
        <w:rPr>
          <w:rFonts w:cs="Arial"/>
          <w:color w:val="000000" w:themeColor="text1"/>
          <w:sz w:val="20"/>
          <w:lang w:val="en-US"/>
        </w:rPr>
      </w:pPr>
      <w:r w:rsidRPr="00FA5556">
        <w:rPr>
          <w:rFonts w:cs="Arial"/>
          <w:color w:val="000000" w:themeColor="text1"/>
          <w:sz w:val="20"/>
          <w:lang w:val="en-US"/>
        </w:rPr>
        <w:t>Provided that the exemption under this</w:t>
      </w:r>
      <w:r w:rsidR="00262348" w:rsidRPr="00FA5556">
        <w:rPr>
          <w:rFonts w:cs="Arial"/>
          <w:color w:val="000000" w:themeColor="text1"/>
          <w:sz w:val="20"/>
          <w:lang w:val="en-US"/>
        </w:rPr>
        <w:t xml:space="preserve"> </w:t>
      </w:r>
      <w:r w:rsidRPr="00FA5556">
        <w:rPr>
          <w:rFonts w:cs="Arial"/>
          <w:color w:val="000000" w:themeColor="text1"/>
          <w:sz w:val="20"/>
          <w:lang w:val="en-US"/>
        </w:rPr>
        <w:t>clause shall not apply to projects set up on or</w:t>
      </w:r>
      <w:r w:rsidR="00262348" w:rsidRPr="00FA5556">
        <w:rPr>
          <w:rFonts w:cs="Arial"/>
          <w:color w:val="000000" w:themeColor="text1"/>
          <w:sz w:val="20"/>
          <w:lang w:val="en-US"/>
        </w:rPr>
        <w:t xml:space="preserve"> </w:t>
      </w:r>
      <w:r w:rsidRPr="00FA5556">
        <w:rPr>
          <w:rFonts w:cs="Arial"/>
          <w:color w:val="000000" w:themeColor="text1"/>
          <w:sz w:val="20"/>
          <w:lang w:val="en-US"/>
        </w:rPr>
        <w:t>after the thirtieth day of June, 2018.</w:t>
      </w:r>
      <w:r w:rsidR="00B37C9C" w:rsidRPr="00FA5556">
        <w:rPr>
          <w:rFonts w:cs="Arial"/>
          <w:color w:val="000000" w:themeColor="text1"/>
          <w:sz w:val="20"/>
          <w:lang w:val="en-US"/>
        </w:rPr>
        <w:t>”]</w:t>
      </w:r>
    </w:p>
    <w:p w:rsidR="00487677" w:rsidRPr="00FA5556" w:rsidRDefault="00487677" w:rsidP="00487677">
      <w:pPr>
        <w:autoSpaceDE w:val="0"/>
        <w:autoSpaceDN w:val="0"/>
        <w:adjustRightInd w:val="0"/>
        <w:ind w:left="1641" w:firstLine="547"/>
        <w:jc w:val="both"/>
        <w:rPr>
          <w:rFonts w:cs="Arial"/>
          <w:color w:val="000000" w:themeColor="text1"/>
          <w:sz w:val="20"/>
          <w:lang w:val="en-US"/>
        </w:rPr>
      </w:pPr>
    </w:p>
    <w:p w:rsidR="00CD0515" w:rsidRPr="00FA5556" w:rsidRDefault="00B37C9C" w:rsidP="00CD0515">
      <w:pPr>
        <w:autoSpaceDE w:val="0"/>
        <w:autoSpaceDN w:val="0"/>
        <w:adjustRightInd w:val="0"/>
        <w:jc w:val="both"/>
        <w:rPr>
          <w:rFonts w:cs="Arial"/>
          <w:color w:val="000000" w:themeColor="text1"/>
          <w:sz w:val="20"/>
          <w:lang w:val="en-US"/>
        </w:rPr>
      </w:pPr>
      <w:r w:rsidRPr="00FA5556">
        <w:rPr>
          <w:rStyle w:val="FootnoteReference"/>
          <w:rFonts w:cs="Arial"/>
          <w:color w:val="000000" w:themeColor="text1"/>
          <w:sz w:val="20"/>
          <w:lang w:val="en-US"/>
        </w:rPr>
        <w:footnoteReference w:id="1996"/>
      </w:r>
      <w:r w:rsidRPr="00FA5556">
        <w:rPr>
          <w:rFonts w:cs="Arial"/>
          <w:color w:val="000000" w:themeColor="text1"/>
          <w:sz w:val="20"/>
          <w:lang w:val="en-US"/>
        </w:rPr>
        <w:t>[“</w:t>
      </w:r>
      <w:r w:rsidR="00CD0515" w:rsidRPr="00FA5556">
        <w:rPr>
          <w:rFonts w:cs="Arial"/>
          <w:color w:val="000000" w:themeColor="text1"/>
          <w:sz w:val="20"/>
          <w:lang w:val="en-US"/>
        </w:rPr>
        <w:t>(126N) Profits and gains derived by a taxpayer from an</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industrial undertaking, duly certified by the Pakistan</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 xml:space="preserve">Telecommunication Authority, engaged in the </w:t>
      </w:r>
      <w:r w:rsidR="00CD0515" w:rsidRPr="00FA5556">
        <w:rPr>
          <w:rFonts w:cs="Arial"/>
          <w:color w:val="000000" w:themeColor="text1"/>
          <w:sz w:val="20"/>
          <w:lang w:val="en-US"/>
        </w:rPr>
        <w:lastRenderedPageBreak/>
        <w:t>manufacturing</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of cellular mobile phones, for a period of five years, from the</w:t>
      </w:r>
      <w:r w:rsidR="00262348" w:rsidRPr="00FA5556">
        <w:rPr>
          <w:rFonts w:cs="Arial"/>
          <w:color w:val="000000" w:themeColor="text1"/>
          <w:sz w:val="20"/>
          <w:lang w:val="en-US"/>
        </w:rPr>
        <w:t xml:space="preserve"> </w:t>
      </w:r>
      <w:r w:rsidR="00CD0515" w:rsidRPr="00FA5556">
        <w:rPr>
          <w:rFonts w:cs="Arial"/>
          <w:color w:val="000000" w:themeColor="text1"/>
          <w:sz w:val="20"/>
          <w:lang w:val="en-US"/>
        </w:rPr>
        <w:t>month of commencement of commercial production:</w:t>
      </w:r>
    </w:p>
    <w:p w:rsidR="00487677" w:rsidRPr="00487677" w:rsidRDefault="00487677" w:rsidP="00CD0515">
      <w:pPr>
        <w:autoSpaceDE w:val="0"/>
        <w:autoSpaceDN w:val="0"/>
        <w:adjustRightInd w:val="0"/>
        <w:jc w:val="both"/>
        <w:rPr>
          <w:rFonts w:cs="Arial"/>
          <w:color w:val="984806" w:themeColor="accent6" w:themeShade="80"/>
          <w:sz w:val="20"/>
          <w:lang w:val="en-US"/>
        </w:rPr>
      </w:pPr>
    </w:p>
    <w:p w:rsidR="00CD0515" w:rsidRPr="00FA5556" w:rsidRDefault="00CD0515" w:rsidP="00487677">
      <w:pPr>
        <w:autoSpaceDE w:val="0"/>
        <w:autoSpaceDN w:val="0"/>
        <w:adjustRightInd w:val="0"/>
        <w:ind w:left="1094" w:firstLine="547"/>
        <w:jc w:val="both"/>
        <w:rPr>
          <w:snapToGrid w:val="0"/>
          <w:color w:val="000000" w:themeColor="text1"/>
          <w:sz w:val="20"/>
        </w:rPr>
      </w:pPr>
      <w:r w:rsidRPr="00FA5556">
        <w:rPr>
          <w:rFonts w:cs="Arial"/>
          <w:color w:val="000000" w:themeColor="text1"/>
          <w:sz w:val="20"/>
          <w:lang w:val="en-US"/>
        </w:rPr>
        <w:t>Provided that the industrial undertaking has been setup and commercial production has commenced between the</w:t>
      </w:r>
      <w:r w:rsidR="00262348" w:rsidRPr="00FA5556">
        <w:rPr>
          <w:rFonts w:cs="Arial"/>
          <w:color w:val="000000" w:themeColor="text1"/>
          <w:sz w:val="20"/>
          <w:lang w:val="en-US"/>
        </w:rPr>
        <w:t xml:space="preserve"> </w:t>
      </w:r>
      <w:r w:rsidRPr="00FA5556">
        <w:rPr>
          <w:rFonts w:cs="Arial"/>
          <w:color w:val="000000" w:themeColor="text1"/>
          <w:sz w:val="20"/>
          <w:lang w:val="en-US"/>
        </w:rPr>
        <w:t>first day of July, 2015 and the thirtieth day of June, 2017 and</w:t>
      </w:r>
      <w:r w:rsidR="00262348" w:rsidRPr="00FA5556">
        <w:rPr>
          <w:rFonts w:cs="Arial"/>
          <w:color w:val="000000" w:themeColor="text1"/>
          <w:sz w:val="20"/>
          <w:lang w:val="en-US"/>
        </w:rPr>
        <w:t xml:space="preserve"> </w:t>
      </w:r>
      <w:r w:rsidRPr="00FA5556">
        <w:rPr>
          <w:rFonts w:cs="Arial"/>
          <w:color w:val="000000" w:themeColor="text1"/>
          <w:sz w:val="20"/>
          <w:lang w:val="en-US"/>
        </w:rPr>
        <w:t>the industrial undertaking is not formed by the splitting up, or</w:t>
      </w:r>
      <w:r w:rsidR="00262348" w:rsidRPr="00FA5556">
        <w:rPr>
          <w:rFonts w:cs="Arial"/>
          <w:color w:val="000000" w:themeColor="text1"/>
          <w:sz w:val="20"/>
          <w:lang w:val="en-US"/>
        </w:rPr>
        <w:t xml:space="preserve"> </w:t>
      </w:r>
      <w:r w:rsidRPr="00FA5556">
        <w:rPr>
          <w:rFonts w:cs="Arial"/>
          <w:color w:val="000000" w:themeColor="text1"/>
          <w:sz w:val="20"/>
          <w:lang w:val="en-US"/>
        </w:rPr>
        <w:t>the reconstruction or reconstitution, of a business already inexistence or by transfer to a new business of any machinery</w:t>
      </w:r>
      <w:r w:rsidR="00262348" w:rsidRPr="00FA5556">
        <w:rPr>
          <w:rFonts w:cs="Arial"/>
          <w:color w:val="000000" w:themeColor="text1"/>
          <w:sz w:val="20"/>
          <w:lang w:val="en-US"/>
        </w:rPr>
        <w:t xml:space="preserve"> </w:t>
      </w:r>
      <w:r w:rsidRPr="00FA5556">
        <w:rPr>
          <w:rFonts w:cs="Arial"/>
          <w:color w:val="000000" w:themeColor="text1"/>
          <w:sz w:val="20"/>
          <w:lang w:val="en-US"/>
        </w:rPr>
        <w:t>or plant used in a business which was being carried on in</w:t>
      </w:r>
      <w:r w:rsidR="00262348" w:rsidRPr="00FA5556">
        <w:rPr>
          <w:rFonts w:cs="Arial"/>
          <w:color w:val="000000" w:themeColor="text1"/>
          <w:sz w:val="20"/>
          <w:lang w:val="en-US"/>
        </w:rPr>
        <w:t xml:space="preserve"> </w:t>
      </w:r>
      <w:r w:rsidRPr="00FA5556">
        <w:rPr>
          <w:rFonts w:cs="Arial"/>
          <w:color w:val="000000" w:themeColor="text1"/>
          <w:sz w:val="20"/>
          <w:lang w:val="en-US"/>
        </w:rPr>
        <w:t>Pakistan.</w:t>
      </w:r>
      <w:r w:rsidR="00487677" w:rsidRPr="00FA5556">
        <w:rPr>
          <w:rFonts w:cs="Arial"/>
          <w:color w:val="000000" w:themeColor="text1"/>
          <w:sz w:val="20"/>
          <w:lang w:val="en-US"/>
        </w:rPr>
        <w:t>”]</w:t>
      </w:r>
    </w:p>
    <w:p w:rsidR="00AA4BF8" w:rsidRPr="00FA5556" w:rsidRDefault="00AA4BF8" w:rsidP="00AA4BF8">
      <w:pPr>
        <w:widowControl w:val="0"/>
        <w:ind w:left="720" w:hanging="720"/>
        <w:jc w:val="both"/>
        <w:rPr>
          <w:snapToGrid w:val="0"/>
          <w:color w:val="000000" w:themeColor="text1"/>
          <w:sz w:val="20"/>
        </w:rPr>
      </w:pPr>
    </w:p>
    <w:p w:rsidR="00E06C58" w:rsidRDefault="00E06C58" w:rsidP="00AA4BF8">
      <w:pPr>
        <w:widowControl w:val="0"/>
        <w:jc w:val="both"/>
        <w:rPr>
          <w:snapToGrid w:val="0"/>
          <w:sz w:val="20"/>
        </w:rPr>
      </w:pPr>
      <w:r>
        <w:rPr>
          <w:rStyle w:val="FootnoteReference"/>
          <w:snapToGrid w:val="0"/>
          <w:sz w:val="20"/>
        </w:rPr>
        <w:lastRenderedPageBreak/>
        <w:footnoteReference w:id="1997"/>
      </w:r>
      <w:r>
        <w:rPr>
          <w:snapToGrid w:val="0"/>
          <w:sz w:val="20"/>
        </w:rPr>
        <w:t>[  ]</w:t>
      </w: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1998"/>
      </w:r>
      <w:r w:rsidRPr="00412620">
        <w:rPr>
          <w:snapToGrid w:val="0"/>
          <w:sz w:val="20"/>
        </w:rPr>
        <w:t>[  ]</w:t>
      </w:r>
    </w:p>
    <w:p w:rsidR="00AA4BF8" w:rsidRPr="00412620" w:rsidRDefault="00AA4BF8" w:rsidP="00AA4BF8">
      <w:pPr>
        <w:widowControl w:val="0"/>
        <w:jc w:val="both"/>
        <w:rPr>
          <w:snapToGrid w:val="0"/>
          <w:sz w:val="18"/>
          <w:szCs w:val="18"/>
        </w:rPr>
      </w:pPr>
    </w:p>
    <w:p w:rsidR="00AA4BF8" w:rsidRPr="00866443" w:rsidRDefault="00AA4BF8" w:rsidP="00AA4BF8">
      <w:pPr>
        <w:widowControl w:val="0"/>
        <w:jc w:val="both"/>
        <w:rPr>
          <w:rFonts w:cs="Arial"/>
          <w:snapToGrid w:val="0"/>
          <w:sz w:val="20"/>
        </w:rPr>
      </w:pPr>
      <w:r w:rsidRPr="00866443">
        <w:rPr>
          <w:rStyle w:val="FootnoteReference"/>
          <w:rFonts w:cs="Arial"/>
          <w:snapToGrid w:val="0"/>
          <w:sz w:val="20"/>
        </w:rPr>
        <w:lastRenderedPageBreak/>
        <w:footnoteReference w:id="1999"/>
      </w:r>
      <w:r w:rsidRPr="00866443">
        <w:rPr>
          <w:rFonts w:cs="Arial"/>
          <w:snapToGrid w:val="0"/>
          <w:sz w:val="20"/>
        </w:rPr>
        <w:t>[  ]</w:t>
      </w:r>
    </w:p>
    <w:p w:rsidR="00AA4BF8" w:rsidRPr="00D47C20" w:rsidRDefault="00AA4BF8" w:rsidP="00AA4BF8">
      <w:pPr>
        <w:widowControl w:val="0"/>
        <w:jc w:val="both"/>
        <w:rPr>
          <w:rFonts w:cs="Arial"/>
          <w:snapToGrid w:val="0"/>
          <w:sz w:val="12"/>
        </w:rPr>
      </w:pPr>
    </w:p>
    <w:p w:rsidR="00AA4BF8" w:rsidRPr="00866443" w:rsidRDefault="00AA4BF8" w:rsidP="00AA4BF8">
      <w:pPr>
        <w:widowControl w:val="0"/>
        <w:jc w:val="both"/>
        <w:rPr>
          <w:rFonts w:cs="Arial"/>
          <w:snapToGrid w:val="0"/>
          <w:sz w:val="20"/>
        </w:rPr>
      </w:pPr>
      <w:r w:rsidRPr="00866443">
        <w:rPr>
          <w:rStyle w:val="FootnoteReference"/>
          <w:rFonts w:cs="Arial"/>
          <w:snapToGrid w:val="0"/>
          <w:sz w:val="20"/>
        </w:rPr>
        <w:footnoteReference w:id="2000"/>
      </w:r>
      <w:r w:rsidRPr="00866443">
        <w:rPr>
          <w:rFonts w:cs="Arial"/>
          <w:snapToGrid w:val="0"/>
          <w:sz w:val="20"/>
        </w:rPr>
        <w:t>[  ]</w:t>
      </w:r>
    </w:p>
    <w:p w:rsidR="00AA4BF8" w:rsidRPr="00D47C20" w:rsidRDefault="00AA4BF8" w:rsidP="00AA4BF8">
      <w:pPr>
        <w:widowControl w:val="0"/>
        <w:jc w:val="both"/>
        <w:rPr>
          <w:rFonts w:cs="Arial"/>
          <w:snapToGrid w:val="0"/>
          <w:sz w:val="12"/>
          <w:szCs w:val="18"/>
        </w:rPr>
      </w:pPr>
    </w:p>
    <w:p w:rsidR="00AA4BF8" w:rsidRPr="00866443" w:rsidRDefault="00AA4BF8" w:rsidP="00AA4BF8">
      <w:pPr>
        <w:widowControl w:val="0"/>
        <w:jc w:val="both"/>
        <w:rPr>
          <w:rFonts w:cs="Arial"/>
          <w:snapToGrid w:val="0"/>
          <w:sz w:val="20"/>
        </w:rPr>
      </w:pPr>
      <w:r w:rsidRPr="00866443">
        <w:rPr>
          <w:rFonts w:cs="Arial"/>
          <w:b/>
          <w:bCs/>
          <w:snapToGrid w:val="0"/>
          <w:sz w:val="20"/>
        </w:rPr>
        <w:t xml:space="preserve">(131)  </w:t>
      </w:r>
      <w:r w:rsidRPr="00866443">
        <w:rPr>
          <w:rFonts w:cs="Arial"/>
          <w:snapToGrid w:val="0"/>
          <w:sz w:val="20"/>
        </w:rPr>
        <w:t>Any income-</w:t>
      </w:r>
    </w:p>
    <w:p w:rsidR="00AA4BF8" w:rsidRPr="00866443" w:rsidRDefault="00AA4BF8" w:rsidP="00AA4BF8">
      <w:pPr>
        <w:widowControl w:val="0"/>
        <w:jc w:val="both"/>
        <w:rPr>
          <w:rFonts w:cs="Arial"/>
          <w:snapToGrid w:val="0"/>
          <w:sz w:val="16"/>
          <w:szCs w:val="16"/>
        </w:rPr>
      </w:pPr>
    </w:p>
    <w:p w:rsidR="00AA4BF8" w:rsidRPr="00866443" w:rsidRDefault="00AA4BF8" w:rsidP="00AA4BF8">
      <w:pPr>
        <w:widowControl w:val="0"/>
        <w:ind w:left="1634" w:hanging="540"/>
        <w:jc w:val="both"/>
        <w:rPr>
          <w:rFonts w:cs="Arial"/>
          <w:snapToGrid w:val="0"/>
          <w:sz w:val="20"/>
        </w:rPr>
      </w:pPr>
      <w:r w:rsidRPr="00866443">
        <w:rPr>
          <w:rFonts w:cs="Arial"/>
          <w:snapToGrid w:val="0"/>
          <w:sz w:val="20"/>
        </w:rPr>
        <w:t xml:space="preserve">(a) </w:t>
      </w:r>
      <w:r w:rsidRPr="00866443">
        <w:rPr>
          <w:rFonts w:cs="Arial"/>
          <w:snapToGrid w:val="0"/>
          <w:sz w:val="20"/>
        </w:rPr>
        <w:tab/>
        <w:t xml:space="preserve">of company registered under the Companies Ordinance 1984 (XLVII of 1984),  and having its registered office in Pakistan, as is derived by  it by way of royalty, commission or fees from a foreign enterprise in consideration for  the use outside Pakistan of any patent, invention, model, design, secret  process or formula or similar property right, or information concerning  industrial, commercial or scientific knowledge, experience or skill made available or provided to such enterprise by the company or in the  consideration of technical services rendered outside Pakistan to such enterprise by the company under an agreement in this behalf, or </w:t>
      </w:r>
    </w:p>
    <w:p w:rsidR="00AA4BF8" w:rsidRPr="00866443" w:rsidRDefault="00AA4BF8" w:rsidP="00AA4BF8">
      <w:pPr>
        <w:widowControl w:val="0"/>
        <w:tabs>
          <w:tab w:val="num" w:pos="1080"/>
        </w:tabs>
        <w:jc w:val="both"/>
        <w:rPr>
          <w:rFonts w:cs="Arial"/>
          <w:snapToGrid w:val="0"/>
          <w:sz w:val="16"/>
          <w:szCs w:val="16"/>
        </w:rPr>
      </w:pPr>
    </w:p>
    <w:p w:rsidR="00AA4BF8" w:rsidRPr="00866443" w:rsidRDefault="00AA4BF8" w:rsidP="00AA4BF8">
      <w:pPr>
        <w:widowControl w:val="0"/>
        <w:ind w:left="1634" w:hanging="540"/>
        <w:jc w:val="both"/>
        <w:rPr>
          <w:rFonts w:cs="Arial"/>
          <w:snapToGrid w:val="0"/>
          <w:sz w:val="20"/>
        </w:rPr>
      </w:pPr>
      <w:r w:rsidRPr="00866443">
        <w:rPr>
          <w:rFonts w:cs="Arial"/>
          <w:snapToGrid w:val="0"/>
          <w:sz w:val="20"/>
        </w:rPr>
        <w:t>(b)</w:t>
      </w:r>
      <w:r w:rsidRPr="00866443">
        <w:rPr>
          <w:rFonts w:cs="Arial"/>
          <w:snapToGrid w:val="0"/>
          <w:sz w:val="20"/>
        </w:rPr>
        <w:tab/>
        <w:t>of any other taxpayer as is derived by him, in the income year relevant to assessment year beginning with the first day of July, 1982 and any assessment year thereafter, by way of fees for technical services rendered outside Pakistan to a foreign enterprise under an agreement entered into in this behalf :-</w:t>
      </w:r>
    </w:p>
    <w:p w:rsidR="00AA4BF8" w:rsidRPr="00866443" w:rsidRDefault="00AA4BF8" w:rsidP="00AA4BF8">
      <w:pPr>
        <w:widowControl w:val="0"/>
        <w:jc w:val="both"/>
        <w:rPr>
          <w:rFonts w:cs="Arial"/>
          <w:snapToGrid w:val="0"/>
          <w:sz w:val="18"/>
          <w:szCs w:val="18"/>
        </w:rPr>
      </w:pPr>
    </w:p>
    <w:p w:rsidR="00AA4BF8" w:rsidRPr="00866443" w:rsidRDefault="00AA4BF8" w:rsidP="00AA4BF8">
      <w:pPr>
        <w:widowControl w:val="0"/>
        <w:jc w:val="both"/>
        <w:rPr>
          <w:rFonts w:cs="Arial"/>
          <w:snapToGrid w:val="0"/>
          <w:sz w:val="20"/>
        </w:rPr>
      </w:pPr>
      <w:r w:rsidRPr="00866443">
        <w:rPr>
          <w:rFonts w:cs="Arial"/>
          <w:snapToGrid w:val="0"/>
          <w:sz w:val="20"/>
        </w:rPr>
        <w:tab/>
      </w:r>
      <w:r w:rsidRPr="00866443">
        <w:rPr>
          <w:rFonts w:cs="Arial"/>
          <w:snapToGrid w:val="0"/>
          <w:sz w:val="20"/>
        </w:rPr>
        <w:tab/>
      </w:r>
      <w:r w:rsidRPr="00866443">
        <w:rPr>
          <w:rFonts w:cs="Arial"/>
          <w:snapToGrid w:val="0"/>
          <w:sz w:val="20"/>
        </w:rPr>
        <w:tab/>
      </w:r>
      <w:r w:rsidRPr="00866443">
        <w:rPr>
          <w:rFonts w:cs="Arial"/>
          <w:snapToGrid w:val="0"/>
          <w:sz w:val="20"/>
        </w:rPr>
        <w:tab/>
        <w:t>Provided that</w:t>
      </w:r>
      <w:r w:rsidRPr="00866443">
        <w:rPr>
          <w:rFonts w:cs="Arial"/>
          <w:sz w:val="20"/>
        </w:rPr>
        <w:t>—</w:t>
      </w:r>
    </w:p>
    <w:p w:rsidR="00AA4BF8" w:rsidRPr="00866443" w:rsidRDefault="00AA4BF8" w:rsidP="00AA4BF8">
      <w:pPr>
        <w:widowControl w:val="0"/>
        <w:jc w:val="both"/>
        <w:rPr>
          <w:rFonts w:cs="Arial"/>
          <w:snapToGrid w:val="0"/>
          <w:sz w:val="20"/>
        </w:rPr>
      </w:pPr>
    </w:p>
    <w:p w:rsidR="00AA4BF8" w:rsidRPr="00866443" w:rsidRDefault="00AA4BF8" w:rsidP="00AA4BF8">
      <w:pPr>
        <w:pStyle w:val="BodyText3"/>
        <w:ind w:left="2188" w:hanging="547"/>
        <w:rPr>
          <w:rFonts w:ascii="Arial" w:hAnsi="Arial" w:cs="Arial"/>
          <w:sz w:val="20"/>
        </w:rPr>
      </w:pPr>
      <w:r w:rsidRPr="00866443">
        <w:rPr>
          <w:rFonts w:ascii="Arial" w:hAnsi="Arial" w:cs="Arial"/>
          <w:sz w:val="20"/>
        </w:rPr>
        <w:t>(i)</w:t>
      </w:r>
      <w:r w:rsidRPr="00866443">
        <w:rPr>
          <w:rFonts w:ascii="Arial" w:hAnsi="Arial" w:cs="Arial"/>
          <w:sz w:val="20"/>
        </w:rPr>
        <w:tab/>
        <w:t>such income is received in Pakistan by or on behalf of the said company or other taxpayer, as the case may be, in accordance with the law for the time being in force for regulating payments and dealings in foreign exchange ; and</w:t>
      </w:r>
    </w:p>
    <w:p w:rsidR="00AA4BF8" w:rsidRPr="00866443" w:rsidRDefault="00AA4BF8" w:rsidP="00AA4BF8">
      <w:pPr>
        <w:widowControl w:val="0"/>
        <w:jc w:val="both"/>
        <w:rPr>
          <w:rFonts w:cs="Arial"/>
          <w:snapToGrid w:val="0"/>
          <w:sz w:val="22"/>
          <w:szCs w:val="22"/>
        </w:rPr>
      </w:pPr>
    </w:p>
    <w:p w:rsidR="00AA4BF8" w:rsidRPr="00866443" w:rsidRDefault="00AA4BF8" w:rsidP="00AA4BF8">
      <w:pPr>
        <w:widowControl w:val="0"/>
        <w:ind w:left="2188" w:hanging="547"/>
        <w:jc w:val="both"/>
        <w:rPr>
          <w:rFonts w:cs="Arial"/>
          <w:snapToGrid w:val="0"/>
          <w:sz w:val="20"/>
        </w:rPr>
      </w:pPr>
      <w:r w:rsidRPr="00866443">
        <w:rPr>
          <w:rFonts w:cs="Arial"/>
          <w:snapToGrid w:val="0"/>
          <w:sz w:val="20"/>
        </w:rPr>
        <w:t>(ii)</w:t>
      </w:r>
      <w:r w:rsidRPr="00866443">
        <w:rPr>
          <w:rFonts w:cs="Arial"/>
          <w:snapToGrid w:val="0"/>
          <w:sz w:val="20"/>
        </w:rPr>
        <w:tab/>
        <w:t xml:space="preserve">where any income as aforesaid is not brought </w:t>
      </w:r>
      <w:r w:rsidRPr="00866443">
        <w:rPr>
          <w:rFonts w:cs="Arial"/>
          <w:snapToGrid w:val="0"/>
          <w:sz w:val="20"/>
          <w:lang w:val="en-US"/>
        </w:rPr>
        <w:t>into Pakistan in the year in which it is</w:t>
      </w:r>
      <w:r w:rsidRPr="00866443">
        <w:rPr>
          <w:rFonts w:cs="Arial"/>
          <w:snapToGrid w:val="0"/>
          <w:sz w:val="20"/>
        </w:rPr>
        <w:t xml:space="preserve"> earned and tax is paid thereon</w:t>
      </w:r>
      <w:r w:rsidRPr="00866443">
        <w:rPr>
          <w:rFonts w:cs="Arial"/>
          <w:snapToGrid w:val="0"/>
          <w:sz w:val="20"/>
          <w:lang w:val="en-US"/>
        </w:rPr>
        <w:t>,</w:t>
      </w:r>
      <w:r w:rsidRPr="00866443">
        <w:rPr>
          <w:rFonts w:cs="Arial"/>
          <w:snapToGrid w:val="0"/>
          <w:sz w:val="20"/>
        </w:rPr>
        <w:t xml:space="preserve"> an amount equal to the tax so paid </w:t>
      </w:r>
      <w:r w:rsidRPr="00866443">
        <w:rPr>
          <w:rFonts w:cs="Arial"/>
          <w:snapToGrid w:val="0"/>
          <w:sz w:val="20"/>
          <w:lang w:val="en-US"/>
        </w:rPr>
        <w:t>shall</w:t>
      </w:r>
      <w:r w:rsidRPr="00866443">
        <w:rPr>
          <w:rFonts w:cs="Arial"/>
          <w:snapToGrid w:val="0"/>
          <w:sz w:val="20"/>
        </w:rPr>
        <w:t xml:space="preserve"> be deducted from the tax payable for the year in which it is brought into Pakistan and, where no tax is payable for that year or the tax payable is less than the amount to be deducted, the whole or such part of the said amount as is not deducted shall be carried forward and deducted from the tax payable for the year next following and so on.</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b/>
          <w:bCs/>
          <w:snapToGrid w:val="0"/>
          <w:sz w:val="20"/>
        </w:rPr>
        <w:t xml:space="preserve">(132)  </w:t>
      </w:r>
      <w:r w:rsidRPr="00412620">
        <w:rPr>
          <w:snapToGrid w:val="0"/>
          <w:sz w:val="20"/>
        </w:rPr>
        <w:t>Profits and gains derived by a taxpayer from an electric power generation project set up in Pakistan on or after the 1st day of July, 1988. The exemption under this clause shall apply to such project which is</w:t>
      </w:r>
      <w:r w:rsidRPr="00412620">
        <w:rPr>
          <w:sz w:val="20"/>
        </w:rPr>
        <w:t>—</w:t>
      </w:r>
    </w:p>
    <w:p w:rsidR="00AA4BF8" w:rsidRPr="00412620" w:rsidRDefault="00AA4BF8" w:rsidP="00AA4BF8">
      <w:pPr>
        <w:widowControl w:val="0"/>
        <w:jc w:val="both"/>
        <w:rPr>
          <w:snapToGrid w:val="0"/>
          <w:sz w:val="20"/>
        </w:rPr>
      </w:pPr>
    </w:p>
    <w:p w:rsidR="00AA4BF8" w:rsidRPr="00412620" w:rsidRDefault="00AA4BF8" w:rsidP="00AA4BF8">
      <w:pPr>
        <w:widowControl w:val="0"/>
        <w:ind w:left="1635" w:hanging="555"/>
        <w:jc w:val="both"/>
        <w:rPr>
          <w:snapToGrid w:val="0"/>
          <w:sz w:val="20"/>
        </w:rPr>
      </w:pPr>
      <w:r w:rsidRPr="00412620">
        <w:rPr>
          <w:snapToGrid w:val="0"/>
          <w:sz w:val="20"/>
        </w:rPr>
        <w:t>(a)</w:t>
      </w:r>
      <w:r w:rsidRPr="00412620">
        <w:rPr>
          <w:snapToGrid w:val="0"/>
          <w:sz w:val="20"/>
        </w:rPr>
        <w:tab/>
        <w:t>owned and managed by a company formed for operating the said project and registered under the Companies Ordinance, 1984 (XLVII of 1984), and having its registered office in Pakistan;</w:t>
      </w:r>
    </w:p>
    <w:p w:rsidR="00AA4BF8" w:rsidRPr="00412620" w:rsidRDefault="00AA4BF8" w:rsidP="00AA4BF8">
      <w:pPr>
        <w:widowControl w:val="0"/>
        <w:jc w:val="both"/>
        <w:rPr>
          <w:snapToGrid w:val="0"/>
          <w:sz w:val="20"/>
        </w:rPr>
      </w:pPr>
    </w:p>
    <w:p w:rsidR="00AA4BF8" w:rsidRPr="00412620" w:rsidRDefault="00AA4BF8" w:rsidP="00AA4BF8">
      <w:pPr>
        <w:widowControl w:val="0"/>
        <w:ind w:left="1635" w:hanging="555"/>
        <w:jc w:val="both"/>
        <w:rPr>
          <w:snapToGrid w:val="0"/>
          <w:sz w:val="20"/>
        </w:rPr>
      </w:pPr>
      <w:r w:rsidRPr="00412620">
        <w:rPr>
          <w:snapToGrid w:val="0"/>
          <w:sz w:val="20"/>
        </w:rPr>
        <w:t>(b)</w:t>
      </w:r>
      <w:r w:rsidRPr="00412620">
        <w:rPr>
          <w:snapToGrid w:val="0"/>
          <w:sz w:val="20"/>
        </w:rPr>
        <w:tab/>
        <w:t>not formed by the splitting up, or the reconstruction or reconstitution, of a business already in existence or by transfer to a new business of any machinery or plant used in a business which was being carried on in Pakistan at any time before the commencement of the new business; and</w:t>
      </w:r>
    </w:p>
    <w:p w:rsidR="00AA4BF8" w:rsidRPr="00412620" w:rsidRDefault="00AA4BF8" w:rsidP="00AA4BF8">
      <w:pPr>
        <w:widowControl w:val="0"/>
        <w:jc w:val="both"/>
        <w:rPr>
          <w:snapToGrid w:val="0"/>
          <w:sz w:val="20"/>
        </w:rPr>
      </w:pPr>
    </w:p>
    <w:p w:rsidR="00AA4BF8" w:rsidRPr="00412620" w:rsidRDefault="00AA4BF8" w:rsidP="00AA4BF8">
      <w:pPr>
        <w:widowControl w:val="0"/>
        <w:ind w:left="1634" w:hanging="540"/>
        <w:jc w:val="both"/>
        <w:rPr>
          <w:snapToGrid w:val="0"/>
          <w:sz w:val="20"/>
        </w:rPr>
      </w:pPr>
      <w:r w:rsidRPr="00412620">
        <w:rPr>
          <w:snapToGrid w:val="0"/>
          <w:sz w:val="20"/>
        </w:rPr>
        <w:t>(c)</w:t>
      </w:r>
      <w:r w:rsidRPr="00412620">
        <w:rPr>
          <w:snapToGrid w:val="0"/>
          <w:sz w:val="20"/>
        </w:rPr>
        <w:tab/>
        <w:t xml:space="preserve">owned by a company fifty </w:t>
      </w:r>
      <w:r>
        <w:rPr>
          <w:snapToGrid w:val="0"/>
          <w:sz w:val="20"/>
        </w:rPr>
        <w:t>per cent</w:t>
      </w:r>
      <w:r w:rsidRPr="00412620">
        <w:rPr>
          <w:snapToGrid w:val="0"/>
          <w:sz w:val="20"/>
        </w:rPr>
        <w:t xml:space="preserve"> of whose shares are not held by the Federal Government or Provincial Government or a </w:t>
      </w:r>
      <w:r w:rsidRPr="00412620">
        <w:rPr>
          <w:rStyle w:val="FootnoteReference"/>
          <w:rFonts w:cs="Arial"/>
          <w:snapToGrid w:val="0"/>
          <w:sz w:val="20"/>
        </w:rPr>
        <w:footnoteReference w:id="2001"/>
      </w:r>
      <w:r w:rsidRPr="00412620">
        <w:rPr>
          <w:snapToGrid w:val="0"/>
          <w:sz w:val="20"/>
        </w:rPr>
        <w:t xml:space="preserve">[Local Government] or which is not controlled by the Federal Government or a Provincial Government or a </w:t>
      </w:r>
      <w:r w:rsidRPr="00412620">
        <w:rPr>
          <w:rStyle w:val="FootnoteReference"/>
          <w:rFonts w:cs="Arial"/>
          <w:snapToGrid w:val="0"/>
          <w:sz w:val="20"/>
        </w:rPr>
        <w:footnoteReference w:id="2002"/>
      </w:r>
      <w:r w:rsidRPr="00412620">
        <w:rPr>
          <w:snapToGrid w:val="0"/>
          <w:sz w:val="20"/>
        </w:rPr>
        <w:t xml:space="preserve">[Local Government]: </w:t>
      </w:r>
    </w:p>
    <w:p w:rsidR="00AA4BF8" w:rsidRPr="00412620" w:rsidRDefault="00AA4BF8" w:rsidP="00AA4BF8">
      <w:pPr>
        <w:widowControl w:val="0"/>
        <w:jc w:val="both"/>
        <w:rPr>
          <w:snapToGrid w:val="0"/>
          <w:sz w:val="20"/>
        </w:rPr>
      </w:pPr>
    </w:p>
    <w:p w:rsidR="00AA4BF8" w:rsidRDefault="00AA4BF8" w:rsidP="00AA4BF8">
      <w:pPr>
        <w:widowControl w:val="0"/>
        <w:ind w:left="1094" w:firstLine="541"/>
        <w:jc w:val="both"/>
        <w:rPr>
          <w:snapToGrid w:val="0"/>
          <w:sz w:val="20"/>
        </w:rPr>
      </w:pPr>
      <w:r w:rsidRPr="00412620">
        <w:rPr>
          <w:snapToGrid w:val="0"/>
          <w:sz w:val="20"/>
        </w:rPr>
        <w:t xml:space="preserve">Provided that the condition laid down in sub-clause (a) shall not apply to the Hub Power Company Limited </w:t>
      </w:r>
      <w:r w:rsidRPr="00412620">
        <w:rPr>
          <w:rStyle w:val="FootnoteReference"/>
          <w:rFonts w:cs="Arial"/>
          <w:snapToGrid w:val="0"/>
          <w:sz w:val="20"/>
        </w:rPr>
        <w:footnoteReference w:id="2003"/>
      </w:r>
      <w:r w:rsidRPr="00412620">
        <w:rPr>
          <w:snapToGrid w:val="0"/>
          <w:sz w:val="20"/>
        </w:rPr>
        <w:t>[:]</w:t>
      </w:r>
    </w:p>
    <w:p w:rsidR="002C74B5" w:rsidRPr="00412620" w:rsidRDefault="002C74B5" w:rsidP="00AA4BF8">
      <w:pPr>
        <w:widowControl w:val="0"/>
        <w:ind w:left="1094" w:firstLine="541"/>
        <w:jc w:val="both"/>
        <w:rPr>
          <w:snapToGrid w:val="0"/>
          <w:sz w:val="20"/>
        </w:rPr>
      </w:pPr>
    </w:p>
    <w:p w:rsidR="00AA4BF8" w:rsidRPr="00412620" w:rsidRDefault="00AA4BF8" w:rsidP="00AA4BF8">
      <w:pPr>
        <w:widowControl w:val="0"/>
        <w:ind w:left="1094" w:firstLine="541"/>
        <w:jc w:val="both"/>
        <w:rPr>
          <w:snapToGrid w:val="0"/>
          <w:sz w:val="20"/>
        </w:rPr>
      </w:pPr>
      <w:r w:rsidRPr="00412620">
        <w:rPr>
          <w:rStyle w:val="FootnoteReference"/>
          <w:rFonts w:cs="Arial"/>
          <w:sz w:val="20"/>
        </w:rPr>
        <w:footnoteReference w:id="2004"/>
      </w:r>
      <w:r w:rsidRPr="00412620">
        <w:rPr>
          <w:snapToGrid w:val="0"/>
          <w:sz w:val="20"/>
        </w:rPr>
        <w:t xml:space="preserve">[Provided further the exemption under this clause shall not apply to oil fired power plants setup </w:t>
      </w:r>
      <w:r w:rsidRPr="00412620">
        <w:footnoteReference w:id="2005"/>
      </w:r>
      <w:r w:rsidRPr="00412620">
        <w:rPr>
          <w:snapToGrid w:val="0"/>
          <w:sz w:val="20"/>
        </w:rPr>
        <w:t xml:space="preserve">[between 22nd October, 2002 and 30th June, 2006] </w:t>
      </w:r>
      <w:r w:rsidRPr="00412620">
        <w:footnoteReference w:id="2006"/>
      </w:r>
      <w:r w:rsidRPr="00412620">
        <w:rPr>
          <w:snapToGrid w:val="0"/>
          <w:sz w:val="20"/>
        </w:rPr>
        <w:t xml:space="preserve">[but shall apply to Dual Fuel (Oil/Gas) power projects set up on or after the first September, 2005] </w:t>
      </w:r>
      <w:r w:rsidRPr="00412620">
        <w:footnoteReference w:id="2007"/>
      </w:r>
      <w:r w:rsidRPr="00412620">
        <w:rPr>
          <w:snapToGrid w:val="0"/>
          <w:sz w:val="20"/>
        </w:rPr>
        <w:t>[:] ]</w:t>
      </w:r>
    </w:p>
    <w:p w:rsidR="00AA4BF8" w:rsidRPr="00412620" w:rsidRDefault="00AA4BF8" w:rsidP="00AA4BF8">
      <w:pPr>
        <w:widowControl w:val="0"/>
        <w:ind w:left="1094" w:firstLine="541"/>
        <w:jc w:val="both"/>
        <w:rPr>
          <w:snapToGrid w:val="0"/>
          <w:sz w:val="14"/>
          <w:szCs w:val="14"/>
        </w:rPr>
      </w:pPr>
    </w:p>
    <w:p w:rsidR="00AA4BF8" w:rsidRPr="00412620" w:rsidRDefault="00AA4BF8" w:rsidP="00AA4BF8">
      <w:pPr>
        <w:widowControl w:val="0"/>
        <w:ind w:left="1094" w:firstLine="541"/>
        <w:jc w:val="both"/>
        <w:rPr>
          <w:snapToGrid w:val="0"/>
          <w:sz w:val="16"/>
          <w:szCs w:val="16"/>
        </w:rPr>
      </w:pPr>
      <w:r w:rsidRPr="00412620">
        <w:rPr>
          <w:rStyle w:val="FootnoteReference"/>
          <w:rFonts w:cs="Arial"/>
          <w:sz w:val="20"/>
        </w:rPr>
        <w:footnoteReference w:id="2008"/>
      </w:r>
      <w:r w:rsidRPr="00412620">
        <w:rPr>
          <w:snapToGrid w:val="0"/>
          <w:sz w:val="20"/>
        </w:rPr>
        <w:t>[Provided further that the exemption under this clause shall be available to companies registered in Pakistan or Azad Jammu and Kashmir owning and managing Hydel Power Projects, set up in Azad Jammu</w:t>
      </w:r>
      <w:r w:rsidRPr="00412620">
        <w:rPr>
          <w:sz w:val="20"/>
        </w:rPr>
        <w:t xml:space="preserve"> and Kashmir or Pakistan </w:t>
      </w:r>
      <w:r w:rsidRPr="00412620">
        <w:rPr>
          <w:rStyle w:val="FootnoteReference"/>
          <w:rFonts w:cs="Arial"/>
          <w:sz w:val="20"/>
        </w:rPr>
        <w:footnoteReference w:id="2009"/>
      </w:r>
      <w:r w:rsidRPr="00412620">
        <w:rPr>
          <w:sz w:val="20"/>
        </w:rPr>
        <w:t>[:]]</w:t>
      </w:r>
    </w:p>
    <w:p w:rsidR="0050218F" w:rsidRDefault="0050218F" w:rsidP="00AA4BF8">
      <w:pPr>
        <w:widowControl w:val="0"/>
        <w:ind w:left="1094" w:firstLine="841"/>
        <w:jc w:val="both"/>
        <w:rPr>
          <w:snapToGrid w:val="0"/>
          <w:sz w:val="14"/>
          <w:szCs w:val="14"/>
        </w:rPr>
      </w:pPr>
    </w:p>
    <w:p w:rsidR="00AA4BF8" w:rsidRPr="00FA5556" w:rsidRDefault="00AA4BF8" w:rsidP="002C74B5">
      <w:pPr>
        <w:widowControl w:val="0"/>
        <w:ind w:left="1094" w:firstLine="526"/>
        <w:jc w:val="both"/>
        <w:rPr>
          <w:snapToGrid w:val="0"/>
          <w:color w:val="000000" w:themeColor="text1"/>
          <w:sz w:val="20"/>
        </w:rPr>
      </w:pPr>
      <w:r w:rsidRPr="00412620">
        <w:rPr>
          <w:rStyle w:val="FootnoteReference"/>
          <w:rFonts w:cs="Arial"/>
          <w:snapToGrid w:val="0"/>
          <w:sz w:val="20"/>
        </w:rPr>
        <w:footnoteReference w:id="2010"/>
      </w:r>
      <w:r w:rsidRPr="00412620">
        <w:rPr>
          <w:snapToGrid w:val="0"/>
          <w:sz w:val="20"/>
        </w:rPr>
        <w:t xml:space="preserve">[Provided further that exemption under this clause shall also be available to the expansion projects of the existing Independent </w:t>
      </w:r>
      <w:r w:rsidRPr="00412620">
        <w:rPr>
          <w:snapToGrid w:val="0"/>
          <w:sz w:val="20"/>
        </w:rPr>
        <w:lastRenderedPageBreak/>
        <w:t>Power Projects already in operation</w:t>
      </w:r>
      <w:r w:rsidR="00C75159">
        <w:rPr>
          <w:snapToGrid w:val="0"/>
          <w:sz w:val="20"/>
        </w:rPr>
        <w:t xml:space="preserve"> </w:t>
      </w:r>
      <w:r w:rsidR="00E62F18" w:rsidRPr="00FA5556">
        <w:rPr>
          <w:rStyle w:val="FootnoteReference"/>
          <w:snapToGrid w:val="0"/>
          <w:color w:val="000000" w:themeColor="text1"/>
          <w:sz w:val="20"/>
        </w:rPr>
        <w:footnoteReference w:id="2011"/>
      </w:r>
      <w:r w:rsidR="0050218F" w:rsidRPr="00FA5556">
        <w:rPr>
          <w:snapToGrid w:val="0"/>
          <w:color w:val="000000" w:themeColor="text1"/>
          <w:sz w:val="20"/>
        </w:rPr>
        <w:t>[“:”</w:t>
      </w:r>
      <w:r w:rsidRPr="00FA5556">
        <w:rPr>
          <w:snapToGrid w:val="0"/>
          <w:color w:val="000000" w:themeColor="text1"/>
          <w:sz w:val="20"/>
        </w:rPr>
        <w:t>]</w:t>
      </w:r>
    </w:p>
    <w:p w:rsidR="00E62F18" w:rsidRPr="00FA5556" w:rsidRDefault="00E62F18" w:rsidP="00AA4BF8">
      <w:pPr>
        <w:widowControl w:val="0"/>
        <w:ind w:left="1094" w:firstLine="841"/>
        <w:jc w:val="both"/>
        <w:rPr>
          <w:snapToGrid w:val="0"/>
          <w:color w:val="000000" w:themeColor="text1"/>
          <w:sz w:val="20"/>
        </w:rPr>
      </w:pPr>
    </w:p>
    <w:p w:rsidR="0050218F" w:rsidRPr="00FA5556" w:rsidRDefault="00E62F18" w:rsidP="00AA4BF8">
      <w:pPr>
        <w:widowControl w:val="0"/>
        <w:ind w:left="1094" w:firstLine="841"/>
        <w:jc w:val="both"/>
        <w:rPr>
          <w:snapToGrid w:val="0"/>
          <w:color w:val="000000" w:themeColor="text1"/>
          <w:sz w:val="20"/>
        </w:rPr>
      </w:pPr>
      <w:r w:rsidRPr="00FA5556">
        <w:rPr>
          <w:rStyle w:val="FootnoteReference"/>
          <w:snapToGrid w:val="0"/>
          <w:color w:val="000000" w:themeColor="text1"/>
          <w:sz w:val="20"/>
        </w:rPr>
        <w:footnoteReference w:id="2012"/>
      </w:r>
      <w:r w:rsidR="0050218F" w:rsidRPr="00FA5556">
        <w:rPr>
          <w:snapToGrid w:val="0"/>
          <w:color w:val="000000" w:themeColor="text1"/>
          <w:sz w:val="20"/>
        </w:rPr>
        <w:t>[</w:t>
      </w:r>
      <w:r w:rsidRPr="00FA5556">
        <w:rPr>
          <w:snapToGrid w:val="0"/>
          <w:color w:val="000000" w:themeColor="text1"/>
          <w:sz w:val="20"/>
        </w:rPr>
        <w:t>“P</w:t>
      </w:r>
      <w:r w:rsidR="0050218F" w:rsidRPr="00FA5556">
        <w:rPr>
          <w:snapToGrid w:val="0"/>
          <w:color w:val="000000" w:themeColor="text1"/>
          <w:sz w:val="20"/>
        </w:rPr>
        <w:t>rovided also that conditions laid down in sub-clause (b) shall not apply to electric power generation project formed by the splitting up, or the reconstruction or the reconstitution of an electric power generation business already in existence and availing exemption under this clause</w:t>
      </w:r>
      <w:r w:rsidRPr="00FA5556">
        <w:rPr>
          <w:snapToGrid w:val="0"/>
          <w:color w:val="000000" w:themeColor="text1"/>
          <w:sz w:val="20"/>
        </w:rPr>
        <w:t>.”]</w:t>
      </w:r>
    </w:p>
    <w:p w:rsidR="0050218F" w:rsidRPr="00412620" w:rsidRDefault="0050218F" w:rsidP="00AA4BF8">
      <w:pPr>
        <w:widowControl w:val="0"/>
        <w:ind w:left="1094" w:firstLine="841"/>
        <w:jc w:val="both"/>
        <w:rPr>
          <w:snapToGrid w:val="0"/>
          <w:sz w:val="20"/>
        </w:rPr>
      </w:pPr>
    </w:p>
    <w:p w:rsidR="00AA4BF8" w:rsidRPr="00866443" w:rsidRDefault="00AA4BF8" w:rsidP="00AA4BF8">
      <w:pPr>
        <w:widowControl w:val="0"/>
        <w:jc w:val="both"/>
        <w:rPr>
          <w:snapToGrid w:val="0"/>
          <w:sz w:val="12"/>
          <w:szCs w:val="12"/>
        </w:rPr>
      </w:pPr>
    </w:p>
    <w:p w:rsidR="00AA4BF8" w:rsidRDefault="00AA4BF8" w:rsidP="00AA4BF8">
      <w:pPr>
        <w:widowControl w:val="0"/>
        <w:jc w:val="both"/>
        <w:rPr>
          <w:snapToGrid w:val="0"/>
          <w:sz w:val="20"/>
        </w:rPr>
      </w:pPr>
      <w:r w:rsidRPr="00412620">
        <w:rPr>
          <w:rStyle w:val="FootnoteReference"/>
          <w:rFonts w:cs="Arial"/>
          <w:snapToGrid w:val="0"/>
          <w:sz w:val="20"/>
        </w:rPr>
        <w:footnoteReference w:id="2013"/>
      </w:r>
      <w:r w:rsidRPr="00412620">
        <w:rPr>
          <w:snapToGrid w:val="0"/>
          <w:sz w:val="20"/>
        </w:rPr>
        <w:t>[</w:t>
      </w:r>
      <w:r w:rsidRPr="00412620">
        <w:rPr>
          <w:b/>
          <w:bCs/>
          <w:snapToGrid w:val="0"/>
          <w:sz w:val="20"/>
        </w:rPr>
        <w:t>(132A)</w:t>
      </w:r>
      <w:r w:rsidRPr="00412620">
        <w:rPr>
          <w:snapToGrid w:val="0"/>
          <w:sz w:val="20"/>
        </w:rPr>
        <w:t xml:space="preserve"> Profit and gains derived by Bosicor Oil Pakistan Limited for a period of seven and half years beginning from the day on which the refinery is set up or commercial production is commenced whichever is later.]</w:t>
      </w:r>
    </w:p>
    <w:p w:rsidR="00AA4BF8" w:rsidRPr="00866443" w:rsidRDefault="00AA4BF8" w:rsidP="00AA4BF8">
      <w:pPr>
        <w:widowControl w:val="0"/>
        <w:jc w:val="both"/>
        <w:rPr>
          <w:snapToGrid w:val="0"/>
          <w:sz w:val="12"/>
          <w:szCs w:val="12"/>
        </w:rPr>
      </w:pPr>
    </w:p>
    <w:p w:rsidR="00AA4BF8" w:rsidRPr="00C75159" w:rsidRDefault="00AA4BF8" w:rsidP="00AA4BF8">
      <w:pPr>
        <w:widowControl w:val="0"/>
        <w:jc w:val="both"/>
        <w:rPr>
          <w:snapToGrid w:val="0"/>
          <w:color w:val="000000" w:themeColor="text1"/>
          <w:sz w:val="20"/>
        </w:rPr>
      </w:pPr>
      <w:r w:rsidRPr="00C75159">
        <w:rPr>
          <w:rStyle w:val="FootnoteReference"/>
          <w:snapToGrid w:val="0"/>
          <w:color w:val="000000" w:themeColor="text1"/>
          <w:sz w:val="20"/>
        </w:rPr>
        <w:footnoteReference w:id="2014"/>
      </w:r>
      <w:r w:rsidRPr="00C75159">
        <w:rPr>
          <w:snapToGrid w:val="0"/>
          <w:color w:val="000000" w:themeColor="text1"/>
          <w:sz w:val="20"/>
        </w:rPr>
        <w:t xml:space="preserve">[(132B) Profits and gains derived by a taxpayer from a coal mining project in Sindh, supplying coal exclusively to </w:t>
      </w:r>
      <w:r w:rsidR="00076A10" w:rsidRPr="00C75159">
        <w:rPr>
          <w:snapToGrid w:val="0"/>
          <w:color w:val="000000" w:themeColor="text1"/>
          <w:sz w:val="20"/>
        </w:rPr>
        <w:t>power generation projects.]</w:t>
      </w:r>
    </w:p>
    <w:p w:rsidR="00AA4BF8" w:rsidRPr="008E319C" w:rsidRDefault="00AA4BF8" w:rsidP="00AA4BF8">
      <w:pPr>
        <w:widowControl w:val="0"/>
        <w:jc w:val="both"/>
        <w:rPr>
          <w:snapToGrid w:val="0"/>
          <w:sz w:val="12"/>
          <w:szCs w:val="12"/>
        </w:rPr>
      </w:pPr>
    </w:p>
    <w:p w:rsidR="002C74B5" w:rsidRDefault="00AA4BF8" w:rsidP="00AA4BF8">
      <w:pPr>
        <w:widowControl w:val="0"/>
        <w:jc w:val="both"/>
        <w:rPr>
          <w:snapToGrid w:val="0"/>
          <w:color w:val="FF0000"/>
          <w:sz w:val="20"/>
        </w:rPr>
      </w:pPr>
      <w:r w:rsidRPr="00412620">
        <w:rPr>
          <w:rStyle w:val="FootnoteReference"/>
          <w:rFonts w:cs="Arial"/>
          <w:b/>
          <w:bCs/>
          <w:snapToGrid w:val="0"/>
          <w:sz w:val="20"/>
        </w:rPr>
        <w:footnoteReference w:id="2015"/>
      </w:r>
      <w:r w:rsidRPr="00412620">
        <w:rPr>
          <w:snapToGrid w:val="0"/>
          <w:sz w:val="20"/>
        </w:rPr>
        <w:t>[</w:t>
      </w:r>
      <w:r w:rsidRPr="00412620">
        <w:rPr>
          <w:b/>
          <w:bCs/>
          <w:snapToGrid w:val="0"/>
          <w:sz w:val="20"/>
        </w:rPr>
        <w:t>(133</w:t>
      </w:r>
      <w:r w:rsidR="00A87EB8" w:rsidRPr="00412620">
        <w:rPr>
          <w:b/>
          <w:bCs/>
          <w:snapToGrid w:val="0"/>
          <w:sz w:val="20"/>
        </w:rPr>
        <w:t>)</w:t>
      </w:r>
      <w:r w:rsidR="00A87EB8" w:rsidRPr="00412620">
        <w:rPr>
          <w:snapToGrid w:val="0"/>
          <w:sz w:val="20"/>
        </w:rPr>
        <w:t xml:space="preserve"> Income</w:t>
      </w:r>
      <w:r w:rsidRPr="00412620">
        <w:rPr>
          <w:snapToGrid w:val="0"/>
          <w:sz w:val="20"/>
        </w:rPr>
        <w:t xml:space="preserve"> from exports of computer software or IT services or IT enabled services upto the period ending on 30</w:t>
      </w:r>
      <w:r w:rsidRPr="00412620">
        <w:rPr>
          <w:snapToGrid w:val="0"/>
          <w:sz w:val="20"/>
          <w:vertAlign w:val="superscript"/>
        </w:rPr>
        <w:t>th</w:t>
      </w:r>
      <w:r w:rsidRPr="00412620">
        <w:rPr>
          <w:snapToGrid w:val="0"/>
          <w:sz w:val="20"/>
        </w:rPr>
        <w:t xml:space="preserve"> day of June, </w:t>
      </w:r>
      <w:r w:rsidR="002C74B5" w:rsidRPr="00D47C20">
        <w:rPr>
          <w:rStyle w:val="FootnoteReference"/>
          <w:snapToGrid w:val="0"/>
          <w:color w:val="0070C0"/>
          <w:sz w:val="20"/>
        </w:rPr>
        <w:footnoteReference w:id="2016"/>
      </w:r>
      <w:r w:rsidR="002C74B5" w:rsidRPr="00D47C20">
        <w:rPr>
          <w:snapToGrid w:val="0"/>
          <w:color w:val="0070C0"/>
          <w:sz w:val="20"/>
        </w:rPr>
        <w:t>[</w:t>
      </w:r>
      <w:r w:rsidRPr="00D47C20">
        <w:rPr>
          <w:snapToGrid w:val="0"/>
          <w:color w:val="0070C0"/>
          <w:sz w:val="20"/>
        </w:rPr>
        <w:t>201</w:t>
      </w:r>
      <w:r w:rsidR="002C74B5" w:rsidRPr="00D47C20">
        <w:rPr>
          <w:snapToGrid w:val="0"/>
          <w:color w:val="0070C0"/>
          <w:sz w:val="20"/>
        </w:rPr>
        <w:t>9:]</w:t>
      </w:r>
    </w:p>
    <w:p w:rsidR="002C74B5" w:rsidRDefault="002C74B5" w:rsidP="00AA4BF8">
      <w:pPr>
        <w:widowControl w:val="0"/>
        <w:jc w:val="both"/>
        <w:rPr>
          <w:snapToGrid w:val="0"/>
          <w:color w:val="FF0000"/>
          <w:sz w:val="20"/>
        </w:rPr>
      </w:pPr>
    </w:p>
    <w:p w:rsidR="002C74B5" w:rsidRPr="00D47C20" w:rsidRDefault="002C74B5" w:rsidP="002C74B5">
      <w:pPr>
        <w:pStyle w:val="ListParagraph"/>
        <w:ind w:firstLine="630"/>
        <w:jc w:val="both"/>
        <w:rPr>
          <w:rFonts w:cs="Arial"/>
          <w:snapToGrid w:val="0"/>
          <w:color w:val="0070C0"/>
          <w:sz w:val="20"/>
        </w:rPr>
      </w:pPr>
      <w:r w:rsidRPr="00D47C20">
        <w:rPr>
          <w:rStyle w:val="FootnoteReference"/>
          <w:snapToGrid w:val="0"/>
          <w:color w:val="0070C0"/>
          <w:sz w:val="20"/>
        </w:rPr>
        <w:footnoteReference w:id="2017"/>
      </w:r>
      <w:r w:rsidRPr="00D47C20">
        <w:rPr>
          <w:rFonts w:cs="Arial"/>
          <w:snapToGrid w:val="0"/>
          <w:color w:val="0070C0"/>
          <w:sz w:val="20"/>
        </w:rPr>
        <w:t xml:space="preserve">[“Provided that </w:t>
      </w:r>
      <w:r w:rsidRPr="00D47C20">
        <w:rPr>
          <w:rFonts w:cs="Arial"/>
          <w:color w:val="0070C0"/>
          <w:sz w:val="20"/>
        </w:rPr>
        <w:t xml:space="preserve">eighty per cent of the export proceeds is brought into Pakistan in foreign exchange remitted from outside Pakistan through normal banking channels.”] </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i/>
          <w:iCs/>
          <w:snapToGrid w:val="0"/>
          <w:sz w:val="20"/>
        </w:rPr>
        <w:t>Explanation</w:t>
      </w:r>
      <w:r w:rsidRPr="00412620">
        <w:rPr>
          <w:snapToGrid w:val="0"/>
          <w:sz w:val="20"/>
        </w:rPr>
        <w:t>.- For the purpose of this clause –</w:t>
      </w:r>
    </w:p>
    <w:p w:rsidR="00AA4BF8" w:rsidRPr="008E319C" w:rsidRDefault="00AA4BF8" w:rsidP="00AA4BF8">
      <w:pPr>
        <w:widowControl w:val="0"/>
        <w:jc w:val="both"/>
        <w:rPr>
          <w:snapToGrid w:val="0"/>
          <w:sz w:val="12"/>
          <w:szCs w:val="12"/>
        </w:rPr>
      </w:pPr>
    </w:p>
    <w:p w:rsidR="00AA4BF8" w:rsidRPr="00412620" w:rsidRDefault="00AA4BF8" w:rsidP="00AA4BF8">
      <w:pPr>
        <w:widowControl w:val="0"/>
        <w:ind w:left="1634" w:hanging="540"/>
        <w:jc w:val="both"/>
        <w:rPr>
          <w:snapToGrid w:val="0"/>
          <w:sz w:val="20"/>
        </w:rPr>
      </w:pPr>
      <w:r w:rsidRPr="00412620">
        <w:rPr>
          <w:snapToGrid w:val="0"/>
          <w:sz w:val="20"/>
        </w:rPr>
        <w:t>(a)</w:t>
      </w:r>
      <w:r w:rsidRPr="00412620">
        <w:rPr>
          <w:snapToGrid w:val="0"/>
          <w:sz w:val="20"/>
        </w:rPr>
        <w:tab/>
        <w:t xml:space="preserve">“IT Services” include software development, software maintenance, system integration, web design, web development, web hosting, and network design, and </w:t>
      </w:r>
    </w:p>
    <w:p w:rsidR="00AA4BF8" w:rsidRPr="008E319C" w:rsidRDefault="00AA4BF8" w:rsidP="00AA4BF8">
      <w:pPr>
        <w:widowControl w:val="0"/>
        <w:jc w:val="both"/>
        <w:rPr>
          <w:snapToGrid w:val="0"/>
          <w:sz w:val="12"/>
          <w:szCs w:val="12"/>
        </w:rPr>
      </w:pPr>
    </w:p>
    <w:p w:rsidR="00AA4BF8" w:rsidRPr="00412620" w:rsidRDefault="00AA4BF8" w:rsidP="00AA4BF8">
      <w:pPr>
        <w:widowControl w:val="0"/>
        <w:ind w:left="1634" w:hanging="540"/>
        <w:jc w:val="both"/>
        <w:rPr>
          <w:snapToGrid w:val="0"/>
          <w:sz w:val="20"/>
        </w:rPr>
      </w:pPr>
      <w:r w:rsidRPr="00412620">
        <w:rPr>
          <w:snapToGrid w:val="0"/>
          <w:sz w:val="20"/>
        </w:rPr>
        <w:t xml:space="preserve">(b) </w:t>
      </w:r>
      <w:r w:rsidRPr="00412620">
        <w:rPr>
          <w:snapToGrid w:val="0"/>
          <w:sz w:val="20"/>
        </w:rPr>
        <w:tab/>
        <w:t xml:space="preserve">“IT enabled services” include inbound or outbound call centres, medical transcription, remote monitoring, graphics design, accounting services, HR services, telemedicine centers, data entry operations </w:t>
      </w:r>
      <w:r w:rsidRPr="00412620">
        <w:rPr>
          <w:rStyle w:val="FootnoteReference"/>
          <w:rFonts w:cs="Arial"/>
          <w:snapToGrid w:val="0"/>
          <w:sz w:val="20"/>
        </w:rPr>
        <w:footnoteReference w:id="2018"/>
      </w:r>
      <w:r w:rsidRPr="00412620">
        <w:rPr>
          <w:snapToGrid w:val="0"/>
          <w:sz w:val="20"/>
        </w:rPr>
        <w:t>[, locally produced television programs] and insurance claims processing.]</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019"/>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020"/>
      </w:r>
      <w:r w:rsidRPr="00412620">
        <w:rPr>
          <w:snapToGrid w:val="0"/>
          <w:sz w:val="20"/>
        </w:rPr>
        <w:t>[  ]</w:t>
      </w:r>
    </w:p>
    <w:p w:rsidR="00AA4BF8" w:rsidRPr="00412620" w:rsidRDefault="00AA4BF8" w:rsidP="00AA4BF8">
      <w:pPr>
        <w:widowControl w:val="0"/>
        <w:jc w:val="both"/>
        <w:rPr>
          <w:snapToGrid w:val="0"/>
          <w:sz w:val="20"/>
        </w:rPr>
      </w:pPr>
    </w:p>
    <w:p w:rsidR="00AA4BF8" w:rsidRPr="00D47C20" w:rsidRDefault="00AA4BF8" w:rsidP="00AA4BF8">
      <w:pPr>
        <w:widowControl w:val="0"/>
        <w:jc w:val="both"/>
        <w:rPr>
          <w:snapToGrid w:val="0"/>
          <w:color w:val="000000" w:themeColor="text1"/>
          <w:sz w:val="20"/>
        </w:rPr>
      </w:pPr>
      <w:r w:rsidRPr="00D47C20">
        <w:rPr>
          <w:rStyle w:val="FootnoteReference"/>
          <w:bCs/>
          <w:snapToGrid w:val="0"/>
          <w:color w:val="000000" w:themeColor="text1"/>
          <w:sz w:val="20"/>
        </w:rPr>
        <w:footnoteReference w:id="2021"/>
      </w:r>
      <w:r w:rsidRPr="00D47C20">
        <w:rPr>
          <w:bCs/>
          <w:snapToGrid w:val="0"/>
          <w:color w:val="000000" w:themeColor="text1"/>
          <w:sz w:val="20"/>
        </w:rPr>
        <w:t>[  ]</w:t>
      </w:r>
    </w:p>
    <w:p w:rsidR="00AA4BF8" w:rsidRPr="00412620" w:rsidRDefault="00AA4BF8" w:rsidP="00AA4BF8">
      <w:pPr>
        <w:widowControl w:val="0"/>
        <w:rPr>
          <w:snapToGrid w:val="0"/>
          <w:sz w:val="20"/>
        </w:rPr>
      </w:pPr>
    </w:p>
    <w:p w:rsidR="00AA4BF8" w:rsidRPr="00412620" w:rsidRDefault="00AA4BF8" w:rsidP="00FA5556">
      <w:pPr>
        <w:widowControl w:val="0"/>
        <w:jc w:val="both"/>
        <w:rPr>
          <w:snapToGrid w:val="0"/>
          <w:sz w:val="20"/>
        </w:rPr>
      </w:pPr>
      <w:r w:rsidRPr="00412620">
        <w:rPr>
          <w:rStyle w:val="FootnoteReference"/>
          <w:rFonts w:cs="Arial"/>
          <w:snapToGrid w:val="0"/>
          <w:sz w:val="20"/>
        </w:rPr>
        <w:footnoteReference w:id="2022"/>
      </w:r>
      <w:r w:rsidRPr="00412620">
        <w:rPr>
          <w:snapToGrid w:val="0"/>
          <w:sz w:val="20"/>
        </w:rPr>
        <w:t>[</w:t>
      </w:r>
      <w:r w:rsidRPr="00412620">
        <w:rPr>
          <w:b/>
          <w:bCs/>
          <w:snapToGrid w:val="0"/>
          <w:sz w:val="20"/>
        </w:rPr>
        <w:t>(135A)</w:t>
      </w:r>
      <w:r w:rsidR="00827533">
        <w:rPr>
          <w:b/>
          <w:bCs/>
          <w:snapToGrid w:val="0"/>
          <w:sz w:val="20"/>
        </w:rPr>
        <w:t xml:space="preserve"> </w:t>
      </w:r>
      <w:r w:rsidRPr="00412620">
        <w:rPr>
          <w:snapToGrid w:val="0"/>
          <w:sz w:val="20"/>
        </w:rPr>
        <w:t>Any income derived by a non-resident from investment in OGDCL exchangeable bonds issued by the Federal Government.]</w:t>
      </w:r>
    </w:p>
    <w:p w:rsidR="00AA4BF8" w:rsidRPr="00412620" w:rsidRDefault="00AA4BF8" w:rsidP="00AA4BF8">
      <w:pPr>
        <w:widowControl w:val="0"/>
        <w:rPr>
          <w:snapToGrid w:val="0"/>
          <w:sz w:val="20"/>
        </w:rPr>
      </w:pPr>
    </w:p>
    <w:p w:rsidR="00AA4BF8" w:rsidRPr="00412620" w:rsidRDefault="00AA4BF8" w:rsidP="00AA4BF8">
      <w:pPr>
        <w:widowControl w:val="0"/>
        <w:jc w:val="both"/>
        <w:rPr>
          <w:snapToGrid w:val="0"/>
          <w:sz w:val="20"/>
        </w:rPr>
      </w:pPr>
      <w:r w:rsidRPr="00412620">
        <w:rPr>
          <w:b/>
          <w:bCs/>
          <w:snapToGrid w:val="0"/>
          <w:sz w:val="20"/>
        </w:rPr>
        <w:t xml:space="preserve">(136)  </w:t>
      </w:r>
      <w:r w:rsidRPr="00412620">
        <w:rPr>
          <w:snapToGrid w:val="0"/>
          <w:sz w:val="20"/>
        </w:rPr>
        <w:t>Any income of a special purpose vehicle as defined in the Asset Backed Securitization Rules, 1999 made under the Companies Ordinance, 1984 (XLVII of 1984):</w:t>
      </w:r>
    </w:p>
    <w:p w:rsidR="00AA4BF8" w:rsidRPr="00412620" w:rsidRDefault="00AA4BF8" w:rsidP="00AA4BF8">
      <w:pPr>
        <w:pStyle w:val="BodyText"/>
        <w:jc w:val="both"/>
        <w:rPr>
          <w:sz w:val="20"/>
        </w:rPr>
      </w:pPr>
    </w:p>
    <w:p w:rsidR="00AA4BF8" w:rsidRPr="00412620" w:rsidRDefault="00AA4BF8" w:rsidP="00AA4BF8">
      <w:pPr>
        <w:pStyle w:val="BodyText"/>
        <w:ind w:left="1094" w:firstLine="540"/>
        <w:jc w:val="both"/>
        <w:rPr>
          <w:sz w:val="20"/>
        </w:rPr>
      </w:pPr>
      <w:r w:rsidRPr="00412620">
        <w:rPr>
          <w:sz w:val="20"/>
        </w:rPr>
        <w:t>Provided that, if there is any income which accrues or arises in the accounts of the special purpose vehicle, after completion of the process of the securitization</w:t>
      </w:r>
      <w:r w:rsidR="00487F91">
        <w:rPr>
          <w:sz w:val="20"/>
        </w:rPr>
        <w:t xml:space="preserve"> </w:t>
      </w:r>
      <w:r w:rsidR="00487F91" w:rsidRPr="00487F91">
        <w:rPr>
          <w:rStyle w:val="FootnoteReference"/>
          <w:snapToGrid w:val="0"/>
          <w:color w:val="FF0000"/>
          <w:sz w:val="20"/>
        </w:rPr>
        <w:footnoteReference w:id="2023"/>
      </w:r>
      <w:r w:rsidR="00487F91" w:rsidRPr="00487F91">
        <w:rPr>
          <w:color w:val="FF0000"/>
          <w:sz w:val="20"/>
        </w:rPr>
        <w:t xml:space="preserve">[“or redemption of </w:t>
      </w:r>
      <w:r w:rsidR="00487F91" w:rsidRPr="00487F91">
        <w:rPr>
          <w:i/>
          <w:color w:val="FF0000"/>
          <w:sz w:val="20"/>
        </w:rPr>
        <w:t>sukuks</w:t>
      </w:r>
      <w:r w:rsidR="00487F91" w:rsidRPr="00487F91">
        <w:rPr>
          <w:color w:val="FF0000"/>
          <w:sz w:val="20"/>
        </w:rPr>
        <w:t>”]</w:t>
      </w:r>
      <w:r w:rsidRPr="00412620">
        <w:rPr>
          <w:sz w:val="20"/>
        </w:rPr>
        <w:t>, it shall be returned to the Originator as defined by the said rules within the income year next following the year in which the income has been determined and such income shall be taxable in the hands of the Originator.</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024"/>
      </w:r>
      <w:r w:rsidRPr="00412620">
        <w:rPr>
          <w:snapToGrid w:val="0"/>
          <w:sz w:val="20"/>
        </w:rPr>
        <w:t>[  ]</w:t>
      </w:r>
    </w:p>
    <w:p w:rsidR="00AA4BF8" w:rsidRDefault="00AA4BF8" w:rsidP="00AA4BF8">
      <w:pPr>
        <w:widowControl w:val="0"/>
        <w:jc w:val="both"/>
        <w:rPr>
          <w:snapToGrid w:val="0"/>
          <w:sz w:val="20"/>
        </w:rPr>
      </w:pPr>
      <w:r w:rsidRPr="00412620">
        <w:rPr>
          <w:rStyle w:val="FootnoteReference"/>
          <w:rFonts w:cs="Arial"/>
          <w:snapToGrid w:val="0"/>
          <w:sz w:val="20"/>
        </w:rPr>
        <w:footnoteReference w:id="2025"/>
      </w:r>
      <w:r w:rsidRPr="00412620">
        <w:rPr>
          <w:snapToGrid w:val="0"/>
          <w:sz w:val="20"/>
        </w:rPr>
        <w:t>[  ]</w:t>
      </w:r>
    </w:p>
    <w:p w:rsidR="00827533" w:rsidRPr="00412620" w:rsidRDefault="00827533"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026"/>
      </w:r>
      <w:r w:rsidRPr="00412620">
        <w:rPr>
          <w:b/>
          <w:bCs/>
          <w:snapToGrid w:val="0"/>
          <w:sz w:val="20"/>
        </w:rPr>
        <w:t xml:space="preserve">[(139)  </w:t>
      </w:r>
      <w:r w:rsidRPr="00412620">
        <w:rPr>
          <w:snapToGrid w:val="0"/>
          <w:sz w:val="20"/>
        </w:rPr>
        <w:t xml:space="preserve">(a) The benefit represented by free provision to the employee of medical </w:t>
      </w:r>
      <w:r w:rsidRPr="00412620">
        <w:rPr>
          <w:snapToGrid w:val="0"/>
          <w:sz w:val="20"/>
        </w:rPr>
        <w:lastRenderedPageBreak/>
        <w:t>treatment or hospitalization or both by an employer or the reimbursement received by the employee of the medical charges or hospital charges or both paid by him, where such provision or reimbursement is in accordance with the terms of employment:</w:t>
      </w:r>
    </w:p>
    <w:p w:rsidR="00AA4BF8" w:rsidRPr="00412620" w:rsidRDefault="00AA4BF8" w:rsidP="00AA4BF8">
      <w:pPr>
        <w:widowControl w:val="0"/>
        <w:jc w:val="both"/>
        <w:rPr>
          <w:snapToGrid w:val="0"/>
          <w:sz w:val="20"/>
        </w:rPr>
      </w:pPr>
    </w:p>
    <w:p w:rsidR="00AA4BF8" w:rsidRPr="00412620" w:rsidRDefault="00AA4BF8" w:rsidP="00AA4BF8">
      <w:pPr>
        <w:widowControl w:val="0"/>
        <w:ind w:left="1094" w:firstLine="541"/>
        <w:jc w:val="both"/>
        <w:rPr>
          <w:snapToGrid w:val="0"/>
          <w:sz w:val="20"/>
        </w:rPr>
      </w:pPr>
      <w:r w:rsidRPr="00412620">
        <w:rPr>
          <w:snapToGrid w:val="0"/>
          <w:sz w:val="20"/>
        </w:rPr>
        <w:t>Provided that National Tax Number of the hospital or clinic, as the case may be, is given and the employer also certifies and attests the medical or hospital bills to which this clause applies;</w:t>
      </w:r>
    </w:p>
    <w:p w:rsidR="00AA4BF8" w:rsidRPr="00412620" w:rsidRDefault="00AA4BF8" w:rsidP="00AA4BF8">
      <w:pPr>
        <w:widowControl w:val="0"/>
        <w:jc w:val="both"/>
        <w:rPr>
          <w:snapToGrid w:val="0"/>
          <w:sz w:val="14"/>
          <w:szCs w:val="14"/>
        </w:rPr>
      </w:pPr>
    </w:p>
    <w:p w:rsidR="00AA4BF8" w:rsidRDefault="00AA4BF8" w:rsidP="00197A9B">
      <w:pPr>
        <w:pStyle w:val="ListParagraph"/>
        <w:widowControl w:val="0"/>
        <w:numPr>
          <w:ilvl w:val="0"/>
          <w:numId w:val="38"/>
        </w:numPr>
        <w:jc w:val="both"/>
        <w:rPr>
          <w:snapToGrid w:val="0"/>
          <w:sz w:val="20"/>
        </w:rPr>
      </w:pPr>
      <w:r w:rsidRPr="00197A9B">
        <w:rPr>
          <w:snapToGrid w:val="0"/>
          <w:sz w:val="20"/>
        </w:rPr>
        <w:t>any medical allowance received by an employee not exceeding ten per cent of the basic salary of the employee if free medical treatment or hospitalization or reimbursement of medical or hospitalization charges is not provided for in the terms of employment; or</w:t>
      </w:r>
    </w:p>
    <w:p w:rsidR="00197A9B" w:rsidRPr="00197A9B" w:rsidRDefault="00197A9B" w:rsidP="00197A9B">
      <w:pPr>
        <w:pStyle w:val="ListParagraph"/>
        <w:widowControl w:val="0"/>
        <w:ind w:left="778"/>
        <w:jc w:val="both"/>
        <w:rPr>
          <w:snapToGrid w:val="0"/>
          <w:sz w:val="20"/>
        </w:rPr>
      </w:pPr>
    </w:p>
    <w:p w:rsidR="00AA4BF8" w:rsidRDefault="00AA4BF8" w:rsidP="00AA4BF8">
      <w:pPr>
        <w:widowControl w:val="0"/>
        <w:jc w:val="both"/>
        <w:rPr>
          <w:snapToGrid w:val="0"/>
          <w:sz w:val="20"/>
        </w:rPr>
      </w:pPr>
      <w:r w:rsidRPr="00412620">
        <w:rPr>
          <w:snapToGrid w:val="0"/>
          <w:sz w:val="20"/>
        </w:rPr>
        <w:tab/>
      </w:r>
      <w:r w:rsidRPr="00412620">
        <w:rPr>
          <w:rStyle w:val="FootnoteReference"/>
          <w:rFonts w:cs="Arial"/>
          <w:snapToGrid w:val="0"/>
          <w:sz w:val="20"/>
        </w:rPr>
        <w:footnoteReference w:id="2027"/>
      </w:r>
      <w:r w:rsidRPr="00412620">
        <w:rPr>
          <w:snapToGrid w:val="0"/>
          <w:sz w:val="20"/>
        </w:rPr>
        <w:t>[  ]</w:t>
      </w:r>
    </w:p>
    <w:p w:rsidR="00AA4BF8" w:rsidRPr="00412620" w:rsidRDefault="00AA4BF8" w:rsidP="00AA4BF8">
      <w:pPr>
        <w:pStyle w:val="Heading1"/>
        <w:jc w:val="both"/>
        <w:rPr>
          <w:snapToGrid w:val="0"/>
          <w:sz w:val="20"/>
        </w:rPr>
      </w:pPr>
    </w:p>
    <w:p w:rsidR="00AA4BF8" w:rsidRDefault="00AA4BF8" w:rsidP="00AA4BF8">
      <w:pPr>
        <w:pStyle w:val="Heading1"/>
        <w:jc w:val="both"/>
        <w:rPr>
          <w:b w:val="0"/>
          <w:caps w:val="0"/>
          <w:snapToGrid w:val="0"/>
          <w:sz w:val="20"/>
        </w:rPr>
      </w:pPr>
      <w:r w:rsidRPr="00412620">
        <w:rPr>
          <w:rStyle w:val="FootnoteReference"/>
          <w:rFonts w:cs="Arial"/>
          <w:b w:val="0"/>
          <w:snapToGrid w:val="0"/>
          <w:sz w:val="20"/>
        </w:rPr>
        <w:footnoteReference w:id="2028"/>
      </w:r>
      <w:r w:rsidRPr="00412620">
        <w:rPr>
          <w:b w:val="0"/>
          <w:snapToGrid w:val="0"/>
          <w:sz w:val="20"/>
        </w:rPr>
        <w:t>[</w:t>
      </w:r>
      <w:r w:rsidRPr="00412620">
        <w:rPr>
          <w:snapToGrid w:val="0"/>
          <w:sz w:val="20"/>
        </w:rPr>
        <w:t xml:space="preserve">(140) </w:t>
      </w:r>
      <w:r w:rsidRPr="00412620">
        <w:rPr>
          <w:b w:val="0"/>
          <w:caps w:val="0"/>
          <w:snapToGrid w:val="0"/>
          <w:sz w:val="20"/>
        </w:rPr>
        <w:tab/>
        <w:t>All payments on account of principal, interest, or fees received by the Overseas Private Investment Corporation (OPIC), from development project undertaken in pursuance to the Investment Incentive Agreement signed between the Government of Pakistan and the Government of the United States of America, dated 18</w:t>
      </w:r>
      <w:r w:rsidRPr="00412620">
        <w:rPr>
          <w:b w:val="0"/>
          <w:caps w:val="0"/>
          <w:snapToGrid w:val="0"/>
          <w:sz w:val="20"/>
          <w:vertAlign w:val="superscript"/>
        </w:rPr>
        <w:t>th</w:t>
      </w:r>
      <w:r w:rsidRPr="00412620">
        <w:rPr>
          <w:b w:val="0"/>
          <w:caps w:val="0"/>
          <w:snapToGrid w:val="0"/>
          <w:sz w:val="20"/>
        </w:rPr>
        <w:t xml:space="preserve"> November, 1997.]</w:t>
      </w:r>
    </w:p>
    <w:p w:rsidR="0098484F" w:rsidRDefault="0098484F" w:rsidP="0098484F"/>
    <w:p w:rsidR="0098484F" w:rsidRPr="00FA5556" w:rsidRDefault="0098484F" w:rsidP="0098484F">
      <w:pPr>
        <w:autoSpaceDE w:val="0"/>
        <w:autoSpaceDN w:val="0"/>
        <w:adjustRightInd w:val="0"/>
        <w:jc w:val="both"/>
        <w:rPr>
          <w:rFonts w:cs="Arial"/>
          <w:color w:val="000000" w:themeColor="text1"/>
          <w:sz w:val="20"/>
          <w:lang w:val="en-US"/>
        </w:rPr>
      </w:pPr>
      <w:r w:rsidRPr="00FA5556">
        <w:rPr>
          <w:rStyle w:val="FootnoteReference"/>
          <w:rFonts w:cs="Arial"/>
          <w:color w:val="000000" w:themeColor="text1"/>
          <w:sz w:val="20"/>
          <w:lang w:val="en-US"/>
        </w:rPr>
        <w:footnoteReference w:id="2029"/>
      </w:r>
      <w:r w:rsidRPr="00FA5556">
        <w:rPr>
          <w:rFonts w:cs="Arial"/>
          <w:color w:val="000000" w:themeColor="text1"/>
          <w:sz w:val="20"/>
          <w:lang w:val="en-US"/>
        </w:rPr>
        <w:t>[“</w:t>
      </w:r>
      <w:r w:rsidRPr="00FA5556">
        <w:rPr>
          <w:rFonts w:cs="Arial"/>
          <w:b/>
          <w:color w:val="000000" w:themeColor="text1"/>
          <w:sz w:val="20"/>
          <w:lang w:val="en-US"/>
        </w:rPr>
        <w:t xml:space="preserve">(141) </w:t>
      </w:r>
      <w:r w:rsidRPr="00FA5556">
        <w:rPr>
          <w:rFonts w:cs="Arial"/>
          <w:color w:val="000000" w:themeColor="text1"/>
          <w:sz w:val="20"/>
          <w:lang w:val="en-US"/>
        </w:rPr>
        <w:t>Profit and gains derived by LNG Terminal Operators and Terminal Owners for a period of five years beginning from the date when commercial operations are commenced.</w:t>
      </w:r>
      <w:r w:rsidR="00B37C9C" w:rsidRPr="00FA5556">
        <w:rPr>
          <w:rFonts w:cs="Arial"/>
          <w:color w:val="000000" w:themeColor="text1"/>
          <w:sz w:val="20"/>
          <w:lang w:val="en-US"/>
        </w:rPr>
        <w:t>”]</w:t>
      </w:r>
    </w:p>
    <w:p w:rsidR="0098484F" w:rsidRPr="00FA5556" w:rsidRDefault="0098484F" w:rsidP="0098484F">
      <w:pPr>
        <w:autoSpaceDE w:val="0"/>
        <w:autoSpaceDN w:val="0"/>
        <w:adjustRightInd w:val="0"/>
        <w:jc w:val="both"/>
        <w:rPr>
          <w:rFonts w:cs="Arial"/>
          <w:color w:val="000000" w:themeColor="text1"/>
          <w:sz w:val="20"/>
          <w:lang w:val="en-US"/>
        </w:rPr>
      </w:pPr>
    </w:p>
    <w:p w:rsidR="0098484F" w:rsidRPr="00FA5556" w:rsidRDefault="00B37C9C" w:rsidP="0098484F">
      <w:pPr>
        <w:autoSpaceDE w:val="0"/>
        <w:autoSpaceDN w:val="0"/>
        <w:adjustRightInd w:val="0"/>
        <w:jc w:val="both"/>
        <w:rPr>
          <w:rFonts w:cs="Arial"/>
          <w:color w:val="000000" w:themeColor="text1"/>
          <w:sz w:val="20"/>
          <w:lang w:val="en-US"/>
        </w:rPr>
      </w:pPr>
      <w:r w:rsidRPr="00FA5556">
        <w:rPr>
          <w:rStyle w:val="FootnoteReference"/>
          <w:rFonts w:cs="Arial"/>
          <w:b/>
          <w:color w:val="000000" w:themeColor="text1"/>
          <w:sz w:val="20"/>
          <w:lang w:val="en-US"/>
        </w:rPr>
        <w:footnoteReference w:id="2030"/>
      </w:r>
      <w:r w:rsidRPr="00FA5556">
        <w:rPr>
          <w:rFonts w:cs="Arial"/>
          <w:b/>
          <w:color w:val="000000" w:themeColor="text1"/>
          <w:sz w:val="20"/>
          <w:lang w:val="en-US"/>
        </w:rPr>
        <w:t>[“</w:t>
      </w:r>
      <w:r w:rsidR="0098484F" w:rsidRPr="00FA5556">
        <w:rPr>
          <w:rFonts w:cs="Arial"/>
          <w:b/>
          <w:color w:val="000000" w:themeColor="text1"/>
          <w:sz w:val="20"/>
          <w:lang w:val="en-US"/>
        </w:rPr>
        <w:t>(142)</w:t>
      </w:r>
      <w:r w:rsidR="0098484F" w:rsidRPr="00FA5556">
        <w:rPr>
          <w:rFonts w:cs="Arial"/>
          <w:color w:val="000000" w:themeColor="text1"/>
          <w:sz w:val="20"/>
          <w:lang w:val="en-US"/>
        </w:rPr>
        <w:t xml:space="preserve"> Income from social security contributions derived by Balochistan Employees‘ Social Security Institution, Employees‘ Social Security Institution </w:t>
      </w:r>
      <w:r w:rsidR="0098484F" w:rsidRPr="00FA5556">
        <w:rPr>
          <w:rFonts w:cs="Arial"/>
          <w:color w:val="000000" w:themeColor="text1"/>
          <w:sz w:val="20"/>
          <w:lang w:val="en-US"/>
        </w:rPr>
        <w:lastRenderedPageBreak/>
        <w:t>Khyber Pakhtunkhwa, Punjab Employees‘ Social Security Institution and Sindh Employees‘ Social Security Institution.</w:t>
      </w:r>
    </w:p>
    <w:p w:rsidR="0098484F" w:rsidRPr="0098484F" w:rsidRDefault="0098484F" w:rsidP="0098484F">
      <w:pPr>
        <w:autoSpaceDE w:val="0"/>
        <w:autoSpaceDN w:val="0"/>
        <w:adjustRightInd w:val="0"/>
        <w:jc w:val="both"/>
        <w:rPr>
          <w:rFonts w:cs="Arial"/>
          <w:color w:val="984806" w:themeColor="accent6" w:themeShade="80"/>
          <w:sz w:val="20"/>
          <w:lang w:val="en-US"/>
        </w:rPr>
      </w:pPr>
    </w:p>
    <w:p w:rsidR="0098484F" w:rsidRPr="00FA5556" w:rsidRDefault="0098484F" w:rsidP="0098484F">
      <w:pPr>
        <w:autoSpaceDE w:val="0"/>
        <w:autoSpaceDN w:val="0"/>
        <w:adjustRightInd w:val="0"/>
        <w:ind w:left="547" w:firstLine="547"/>
        <w:jc w:val="both"/>
        <w:rPr>
          <w:color w:val="000000" w:themeColor="text1"/>
          <w:sz w:val="20"/>
        </w:rPr>
      </w:pPr>
      <w:r w:rsidRPr="00FA5556">
        <w:rPr>
          <w:rFonts w:cs="Arial"/>
          <w:i/>
          <w:iCs/>
          <w:color w:val="000000" w:themeColor="text1"/>
          <w:sz w:val="20"/>
          <w:lang w:val="en-US"/>
        </w:rPr>
        <w:t>Explanation.</w:t>
      </w:r>
      <w:r w:rsidRPr="00FA5556">
        <w:rPr>
          <w:rFonts w:ascii="Arial,Italic" w:hAnsi="Arial,Italic" w:cs="Arial,Italic"/>
          <w:i/>
          <w:iCs/>
          <w:color w:val="000000" w:themeColor="text1"/>
          <w:sz w:val="20"/>
          <w:lang w:val="en-US"/>
        </w:rPr>
        <w:t xml:space="preserve">— </w:t>
      </w:r>
      <w:r w:rsidRPr="00FA5556">
        <w:rPr>
          <w:rFonts w:cs="Arial"/>
          <w:color w:val="000000" w:themeColor="text1"/>
          <w:sz w:val="20"/>
          <w:lang w:val="en-US"/>
        </w:rPr>
        <w:t>For the removal of doubt, it is clarified that all incomes other than social security contributions shall not be exempt”;]</w:t>
      </w:r>
    </w:p>
    <w:p w:rsidR="00AA4BF8" w:rsidRPr="008E319C" w:rsidRDefault="00AA4BF8" w:rsidP="00AA4BF8">
      <w:pPr>
        <w:jc w:val="center"/>
        <w:rPr>
          <w:rFonts w:cs="Arial"/>
          <w:b/>
          <w:bCs/>
          <w:sz w:val="28"/>
          <w:szCs w:val="28"/>
        </w:rPr>
      </w:pPr>
      <w:r w:rsidRPr="00412620">
        <w:rPr>
          <w:snapToGrid w:val="0"/>
          <w:sz w:val="20"/>
        </w:rPr>
        <w:br w:type="page"/>
      </w:r>
      <w:r w:rsidRPr="008E319C">
        <w:rPr>
          <w:rFonts w:cs="Arial"/>
          <w:b/>
          <w:bCs/>
          <w:sz w:val="28"/>
          <w:szCs w:val="28"/>
        </w:rPr>
        <w:lastRenderedPageBreak/>
        <w:t>PART II</w:t>
      </w:r>
    </w:p>
    <w:p w:rsidR="00AA4BF8" w:rsidRPr="008E319C" w:rsidRDefault="00AA4BF8" w:rsidP="00AA4BF8">
      <w:pPr>
        <w:pStyle w:val="Heading1"/>
        <w:rPr>
          <w:rFonts w:cs="Arial"/>
          <w:snapToGrid w:val="0"/>
          <w:sz w:val="20"/>
        </w:rPr>
      </w:pPr>
      <w:r w:rsidRPr="008E319C">
        <w:rPr>
          <w:rFonts w:cs="Arial"/>
          <w:snapToGrid w:val="0"/>
          <w:sz w:val="20"/>
        </w:rPr>
        <w:t>REDUCTION IN TAX RATES</w:t>
      </w:r>
    </w:p>
    <w:p w:rsidR="00AA4BF8" w:rsidRPr="008E319C" w:rsidRDefault="00AA4BF8" w:rsidP="00AA4BF8">
      <w:pPr>
        <w:pStyle w:val="CommentText"/>
        <w:keepNext/>
        <w:rPr>
          <w:rFonts w:cs="Arial"/>
        </w:rPr>
      </w:pPr>
    </w:p>
    <w:p w:rsidR="00AA4BF8" w:rsidRPr="008E319C" w:rsidRDefault="00AA4BF8" w:rsidP="00AA4BF8">
      <w:pPr>
        <w:widowControl w:val="0"/>
        <w:jc w:val="both"/>
        <w:rPr>
          <w:rFonts w:cs="Arial"/>
          <w:snapToGrid w:val="0"/>
          <w:sz w:val="20"/>
        </w:rPr>
      </w:pPr>
      <w:r w:rsidRPr="008E319C">
        <w:rPr>
          <w:rFonts w:cs="Arial"/>
          <w:snapToGrid w:val="0"/>
          <w:sz w:val="20"/>
        </w:rPr>
        <w:tab/>
        <w:t>Incomes or classes of income, or persons or classes of persons, enumerated below, shall be liable to tax at such rates which are less than the rates specified in the First Schedule, as are specified hereunder:</w:t>
      </w:r>
    </w:p>
    <w:p w:rsidR="00AA4BF8" w:rsidRPr="008E319C" w:rsidRDefault="00AA4BF8" w:rsidP="00AA4BF8">
      <w:pPr>
        <w:pStyle w:val="BodyText2"/>
        <w:jc w:val="both"/>
        <w:rPr>
          <w:rFonts w:cs="Arial"/>
          <w:sz w:val="20"/>
        </w:rPr>
      </w:pPr>
    </w:p>
    <w:p w:rsidR="00AA4BF8" w:rsidRPr="008E319C" w:rsidRDefault="00AA4BF8" w:rsidP="00AA4BF8">
      <w:pPr>
        <w:pStyle w:val="BodyText2"/>
        <w:jc w:val="both"/>
        <w:rPr>
          <w:rFonts w:cs="Arial"/>
          <w:sz w:val="20"/>
        </w:rPr>
      </w:pPr>
      <w:r w:rsidRPr="008E319C">
        <w:rPr>
          <w:rStyle w:val="FootnoteReference"/>
          <w:rFonts w:cs="Arial"/>
          <w:sz w:val="20"/>
        </w:rPr>
        <w:footnoteReference w:id="2031"/>
      </w:r>
      <w:r w:rsidRPr="008E319C">
        <w:rPr>
          <w:rFonts w:cs="Arial"/>
          <w:sz w:val="20"/>
        </w:rPr>
        <w:t>[  ]</w:t>
      </w:r>
    </w:p>
    <w:p w:rsidR="00AA4BF8" w:rsidRPr="008E319C" w:rsidRDefault="00AA4BF8" w:rsidP="00AA4BF8">
      <w:pPr>
        <w:pStyle w:val="BodyText2"/>
        <w:jc w:val="both"/>
        <w:rPr>
          <w:rFonts w:cs="Arial"/>
          <w:sz w:val="20"/>
        </w:rPr>
      </w:pPr>
    </w:p>
    <w:p w:rsidR="00AA4BF8" w:rsidRPr="008E319C" w:rsidRDefault="00AA4BF8" w:rsidP="00AA4BF8">
      <w:pPr>
        <w:widowControl w:val="0"/>
        <w:jc w:val="both"/>
        <w:rPr>
          <w:rFonts w:cs="Arial"/>
          <w:snapToGrid w:val="0"/>
          <w:sz w:val="20"/>
        </w:rPr>
      </w:pPr>
      <w:r w:rsidRPr="008E319C">
        <w:rPr>
          <w:rFonts w:cs="Arial"/>
          <w:b/>
          <w:bCs/>
          <w:snapToGrid w:val="0"/>
          <w:sz w:val="20"/>
        </w:rPr>
        <w:t>(2)</w:t>
      </w:r>
      <w:r w:rsidRPr="008E319C">
        <w:rPr>
          <w:rFonts w:cs="Arial"/>
          <w:snapToGrid w:val="0"/>
          <w:sz w:val="20"/>
        </w:rPr>
        <w:tab/>
        <w:t>Any income of persons whose profits or gains from business are computed under the Fifth Schedule to this Ordinance as is derived from letting out to other similar persons any pipeline for the purpose of carriage of petroleum shall be charged to tax at the same rate as is applicable to such persons in accordance with the provisions of the said Schedule.</w:t>
      </w:r>
    </w:p>
    <w:p w:rsidR="00AA4BF8" w:rsidRDefault="00AA4BF8" w:rsidP="00AA4BF8">
      <w:pPr>
        <w:pStyle w:val="BodyText3"/>
        <w:rPr>
          <w:rFonts w:ascii="Arial" w:hAnsi="Arial" w:cs="Arial"/>
          <w:b/>
          <w:bCs/>
          <w:sz w:val="20"/>
        </w:rPr>
      </w:pPr>
    </w:p>
    <w:p w:rsidR="00F75C58" w:rsidRPr="00D47C20" w:rsidRDefault="00B362C0" w:rsidP="00F75C58">
      <w:pPr>
        <w:jc w:val="both"/>
        <w:rPr>
          <w:rFonts w:cs="Arial"/>
          <w:color w:val="0070C0"/>
          <w:sz w:val="20"/>
        </w:rPr>
      </w:pPr>
      <w:r w:rsidRPr="00D47C20">
        <w:rPr>
          <w:rStyle w:val="FootnoteReference"/>
          <w:rFonts w:cs="Arial"/>
          <w:color w:val="0070C0"/>
          <w:sz w:val="20"/>
        </w:rPr>
        <w:footnoteReference w:id="2032"/>
      </w:r>
      <w:r w:rsidR="00F75C58" w:rsidRPr="00D47C20">
        <w:rPr>
          <w:rFonts w:cs="Arial"/>
          <w:color w:val="0070C0"/>
          <w:sz w:val="20"/>
        </w:rPr>
        <w:t>[“(3) (a) The tax in respect of income from services rendered outside Pakistan and construction contracts executed outside Pakistan shall be charged at the rates as specified in sub-clause (b), provided that receipts from services and income from contracts are brought into Pakistan in foreign exchange through normal banking channel.</w:t>
      </w:r>
    </w:p>
    <w:p w:rsidR="00F75C58" w:rsidRPr="00D47C20" w:rsidRDefault="00F75C58" w:rsidP="00F75C58">
      <w:pPr>
        <w:jc w:val="both"/>
        <w:rPr>
          <w:rFonts w:cs="Arial"/>
          <w:color w:val="0070C0"/>
          <w:sz w:val="20"/>
        </w:rPr>
      </w:pPr>
    </w:p>
    <w:p w:rsidR="00F75C58" w:rsidRPr="00D47C20" w:rsidRDefault="00F75C58" w:rsidP="00F75C58">
      <w:pPr>
        <w:pStyle w:val="BodyText3"/>
        <w:ind w:firstLine="547"/>
        <w:rPr>
          <w:rFonts w:ascii="Arial" w:hAnsi="Arial" w:cs="Arial"/>
          <w:b/>
          <w:bCs/>
          <w:color w:val="0070C0"/>
          <w:sz w:val="20"/>
        </w:rPr>
      </w:pPr>
      <w:r w:rsidRPr="00D47C20">
        <w:rPr>
          <w:rFonts w:ascii="Arial" w:hAnsi="Arial" w:cs="Arial"/>
          <w:color w:val="0070C0"/>
          <w:sz w:val="20"/>
        </w:rPr>
        <w:t>(b) The rates in respect of income from services rendered outside Pakistan shall be 50% of the rates as specified in clause (2) of Division III of Part III of the First Schedule and the rates in respect of contracts executed outside Pakistan shall be 50% of the rates as specified in clause (3) of Division III of Part III of the First Schedule.”]</w:t>
      </w:r>
    </w:p>
    <w:p w:rsidR="00F75C58" w:rsidRPr="008E319C" w:rsidRDefault="00F75C58" w:rsidP="00AA4BF8">
      <w:pPr>
        <w:pStyle w:val="BodyText3"/>
        <w:rPr>
          <w:rFonts w:ascii="Arial" w:hAnsi="Arial" w:cs="Arial"/>
          <w:b/>
          <w:bCs/>
          <w:sz w:val="20"/>
        </w:rPr>
      </w:pPr>
    </w:p>
    <w:p w:rsidR="00AA4BF8" w:rsidRPr="00C75159" w:rsidRDefault="00AA4BF8" w:rsidP="00AA4BF8">
      <w:pPr>
        <w:pStyle w:val="BodyText3"/>
        <w:rPr>
          <w:rFonts w:ascii="Arial" w:hAnsi="Arial" w:cs="Arial"/>
          <w:b/>
          <w:bCs/>
          <w:color w:val="000000" w:themeColor="text1"/>
          <w:sz w:val="14"/>
          <w:szCs w:val="14"/>
        </w:rPr>
      </w:pPr>
      <w:r w:rsidRPr="00C75159">
        <w:rPr>
          <w:rStyle w:val="FootnoteReference"/>
          <w:rFonts w:ascii="Arial" w:hAnsi="Arial" w:cs="Arial"/>
          <w:color w:val="000000" w:themeColor="text1"/>
          <w:sz w:val="20"/>
        </w:rPr>
        <w:footnoteReference w:id="2033"/>
      </w:r>
      <w:r w:rsidRPr="00C75159">
        <w:rPr>
          <w:rFonts w:ascii="Arial" w:hAnsi="Arial" w:cs="Arial"/>
          <w:color w:val="000000" w:themeColor="text1"/>
          <w:sz w:val="20"/>
        </w:rPr>
        <w:t>[</w:t>
      </w:r>
      <w:r w:rsidR="00C75159">
        <w:rPr>
          <w:rFonts w:ascii="Arial" w:hAnsi="Arial" w:cs="Arial"/>
          <w:color w:val="000000" w:themeColor="text1"/>
          <w:sz w:val="20"/>
        </w:rPr>
        <w:t xml:space="preserve">  </w:t>
      </w:r>
      <w:r w:rsidRPr="00C75159">
        <w:rPr>
          <w:rFonts w:ascii="Arial" w:hAnsi="Arial" w:cs="Arial"/>
          <w:bCs/>
          <w:color w:val="000000" w:themeColor="text1"/>
          <w:sz w:val="20"/>
        </w:rPr>
        <w:t>]</w:t>
      </w:r>
    </w:p>
    <w:p w:rsidR="00F75C58" w:rsidRDefault="00F75C58" w:rsidP="00AA4BF8">
      <w:pPr>
        <w:pStyle w:val="BodyText3"/>
        <w:rPr>
          <w:rFonts w:ascii="Arial" w:hAnsi="Arial" w:cs="Arial"/>
          <w:sz w:val="20"/>
        </w:rPr>
      </w:pPr>
    </w:p>
    <w:p w:rsidR="0061259F" w:rsidRPr="00D47C20" w:rsidRDefault="00C87C8C" w:rsidP="0061259F">
      <w:pPr>
        <w:jc w:val="both"/>
        <w:rPr>
          <w:rFonts w:cs="Arial"/>
          <w:color w:val="0070C0"/>
          <w:sz w:val="20"/>
        </w:rPr>
      </w:pPr>
      <w:r w:rsidRPr="00D47C20">
        <w:rPr>
          <w:rStyle w:val="FootnoteReference"/>
          <w:rFonts w:cs="Arial"/>
          <w:snapToGrid w:val="0"/>
          <w:color w:val="0070C0"/>
          <w:sz w:val="20"/>
        </w:rPr>
        <w:footnoteReference w:id="2034"/>
      </w:r>
      <w:r w:rsidR="0061259F" w:rsidRPr="00D47C20">
        <w:rPr>
          <w:rFonts w:cs="Arial"/>
          <w:snapToGrid w:val="0"/>
          <w:color w:val="0070C0"/>
          <w:sz w:val="20"/>
        </w:rPr>
        <w:t xml:space="preserve">[“(3B) </w:t>
      </w:r>
      <w:r w:rsidR="0061259F" w:rsidRPr="00D47C20">
        <w:rPr>
          <w:rFonts w:cs="Arial"/>
          <w:color w:val="0070C0"/>
          <w:sz w:val="20"/>
        </w:rPr>
        <w:t>The income of Pakistan Cricket Board derived from sources outside Pakistan including media rights, gate money, sponsorship fee, in-stadium rights,</w:t>
      </w:r>
      <w:r w:rsidR="0061259F" w:rsidRPr="00AC6F2A">
        <w:rPr>
          <w:rFonts w:cs="Arial"/>
          <w:color w:val="FF0000"/>
          <w:sz w:val="20"/>
        </w:rPr>
        <w:t xml:space="preserve"> </w:t>
      </w:r>
      <w:r w:rsidR="0061259F" w:rsidRPr="00D47C20">
        <w:rPr>
          <w:rFonts w:cs="Arial"/>
          <w:color w:val="0070C0"/>
          <w:sz w:val="20"/>
        </w:rPr>
        <w:lastRenderedPageBreak/>
        <w:t>out-stadium rights, payments made by International Cricket Council, Asian Cricket Council or any other Cricket Board shall be taxed at a rate of four per cent of the gross receipts from such sources</w:t>
      </w:r>
    </w:p>
    <w:p w:rsidR="0061259F" w:rsidRPr="00D47C20" w:rsidRDefault="0061259F" w:rsidP="0061259F">
      <w:pPr>
        <w:jc w:val="both"/>
        <w:rPr>
          <w:rFonts w:cs="Arial"/>
          <w:color w:val="0070C0"/>
          <w:sz w:val="20"/>
        </w:rPr>
      </w:pPr>
    </w:p>
    <w:p w:rsidR="0061259F" w:rsidRPr="00D47C20" w:rsidRDefault="0061259F" w:rsidP="0061259F">
      <w:pPr>
        <w:ind w:left="630" w:firstLine="540"/>
        <w:jc w:val="both"/>
        <w:rPr>
          <w:rFonts w:cs="Arial"/>
          <w:color w:val="0070C0"/>
          <w:sz w:val="20"/>
        </w:rPr>
      </w:pPr>
      <w:r w:rsidRPr="00D47C20">
        <w:rPr>
          <w:rFonts w:cs="Arial"/>
          <w:color w:val="0070C0"/>
          <w:sz w:val="20"/>
        </w:rPr>
        <w:t>Provided that Pakistan Cricket Board may opt to pay tax at the rate of four per cent of the gross receipts from tax year 2010 and onwards:</w:t>
      </w:r>
    </w:p>
    <w:p w:rsidR="0061259F" w:rsidRPr="00D47C20" w:rsidRDefault="0061259F" w:rsidP="0061259F">
      <w:pPr>
        <w:ind w:left="630" w:firstLine="540"/>
        <w:jc w:val="both"/>
        <w:rPr>
          <w:rFonts w:cs="Arial"/>
          <w:color w:val="0070C0"/>
          <w:sz w:val="20"/>
        </w:rPr>
      </w:pPr>
    </w:p>
    <w:p w:rsidR="0061259F" w:rsidRPr="00D47C20" w:rsidRDefault="0061259F" w:rsidP="0061259F">
      <w:pPr>
        <w:ind w:left="630" w:firstLine="540"/>
        <w:jc w:val="both"/>
        <w:rPr>
          <w:rFonts w:cs="Arial"/>
          <w:color w:val="0070C0"/>
          <w:sz w:val="20"/>
        </w:rPr>
      </w:pPr>
      <w:r w:rsidRPr="00D47C20">
        <w:rPr>
          <w:rFonts w:cs="Arial"/>
          <w:color w:val="0070C0"/>
          <w:sz w:val="20"/>
        </w:rPr>
        <w:t>Provided further that this option shall be available subject to withdrawal of appeals, references and petitions on the issue of tax rate pending before any appellate forum or tax authority:</w:t>
      </w:r>
    </w:p>
    <w:p w:rsidR="0061259F" w:rsidRPr="00D47C20" w:rsidRDefault="0061259F" w:rsidP="0061259F">
      <w:pPr>
        <w:ind w:left="630" w:firstLine="540"/>
        <w:jc w:val="both"/>
        <w:rPr>
          <w:rFonts w:cs="Arial"/>
          <w:color w:val="0070C0"/>
          <w:sz w:val="20"/>
        </w:rPr>
      </w:pPr>
    </w:p>
    <w:p w:rsidR="0061259F" w:rsidRPr="00D47C20" w:rsidRDefault="0061259F" w:rsidP="0061259F">
      <w:pPr>
        <w:pStyle w:val="BodyText3"/>
        <w:ind w:left="547" w:firstLine="547"/>
        <w:rPr>
          <w:rFonts w:ascii="Arial" w:hAnsi="Arial" w:cs="Arial"/>
          <w:color w:val="0070C0"/>
          <w:sz w:val="20"/>
        </w:rPr>
      </w:pPr>
      <w:r w:rsidRPr="00D47C20">
        <w:rPr>
          <w:rFonts w:ascii="Arial" w:hAnsi="Arial" w:cs="Arial"/>
          <w:color w:val="0070C0"/>
          <w:sz w:val="20"/>
        </w:rPr>
        <w:t>Provided further that the outstanding tax liability payable under this clause up to tax year 2015 is paid by 30</w:t>
      </w:r>
      <w:r w:rsidRPr="00D47C20">
        <w:rPr>
          <w:rFonts w:ascii="Arial" w:hAnsi="Arial" w:cs="Arial"/>
          <w:color w:val="0070C0"/>
          <w:sz w:val="20"/>
          <w:vertAlign w:val="superscript"/>
        </w:rPr>
        <w:t>th</w:t>
      </w:r>
      <w:r w:rsidRPr="00D47C20">
        <w:rPr>
          <w:rFonts w:ascii="Arial" w:hAnsi="Arial" w:cs="Arial"/>
          <w:color w:val="0070C0"/>
          <w:sz w:val="20"/>
        </w:rPr>
        <w:t xml:space="preserve"> June, 2016.”]</w:t>
      </w:r>
    </w:p>
    <w:p w:rsidR="0061259F" w:rsidRDefault="0061259F" w:rsidP="00AA4BF8">
      <w:pPr>
        <w:pStyle w:val="BodyText3"/>
        <w:rPr>
          <w:rFonts w:ascii="Arial" w:hAnsi="Arial" w:cs="Arial"/>
          <w:sz w:val="20"/>
        </w:rPr>
      </w:pPr>
    </w:p>
    <w:p w:rsidR="00AA4BF8" w:rsidRPr="008E319C" w:rsidRDefault="00AA4BF8" w:rsidP="00AA4BF8">
      <w:pPr>
        <w:pStyle w:val="BodyText3"/>
        <w:rPr>
          <w:rFonts w:ascii="Arial" w:hAnsi="Arial" w:cs="Arial"/>
          <w:sz w:val="20"/>
        </w:rPr>
      </w:pPr>
      <w:r w:rsidRPr="008E319C">
        <w:rPr>
          <w:rStyle w:val="FootnoteReference"/>
          <w:rFonts w:ascii="Arial" w:hAnsi="Arial" w:cs="Arial"/>
          <w:sz w:val="20"/>
        </w:rPr>
        <w:footnoteReference w:id="2035"/>
      </w:r>
      <w:r w:rsidRPr="008E319C">
        <w:rPr>
          <w:rFonts w:ascii="Arial" w:hAnsi="Arial" w:cs="Arial"/>
          <w:sz w:val="20"/>
        </w:rPr>
        <w:t>[  ]</w:t>
      </w:r>
    </w:p>
    <w:p w:rsidR="005B7B6B" w:rsidRDefault="005B7B6B" w:rsidP="00AA4BF8">
      <w:pPr>
        <w:pStyle w:val="BodyText3"/>
        <w:rPr>
          <w:rFonts w:ascii="Arial" w:hAnsi="Arial" w:cs="Arial"/>
          <w:sz w:val="20"/>
        </w:rPr>
      </w:pPr>
    </w:p>
    <w:p w:rsidR="00AA4BF8" w:rsidRPr="008E319C" w:rsidRDefault="00AA4BF8" w:rsidP="00AA4BF8">
      <w:pPr>
        <w:pStyle w:val="BodyText3"/>
        <w:rPr>
          <w:rFonts w:ascii="Arial" w:hAnsi="Arial" w:cs="Arial"/>
          <w:sz w:val="20"/>
        </w:rPr>
      </w:pPr>
      <w:r w:rsidRPr="008E319C">
        <w:rPr>
          <w:rStyle w:val="FootnoteReference"/>
          <w:rFonts w:ascii="Arial" w:hAnsi="Arial" w:cs="Arial"/>
          <w:sz w:val="20"/>
        </w:rPr>
        <w:footnoteReference w:id="2036"/>
      </w:r>
      <w:r w:rsidRPr="008E319C">
        <w:rPr>
          <w:rFonts w:ascii="Arial" w:hAnsi="Arial" w:cs="Arial"/>
          <w:sz w:val="20"/>
        </w:rPr>
        <w:t>[  ]</w:t>
      </w:r>
    </w:p>
    <w:p w:rsidR="00AA4BF8" w:rsidRPr="00412620" w:rsidRDefault="00AA4BF8" w:rsidP="00AA4BF8">
      <w:pPr>
        <w:widowControl w:val="0"/>
        <w:jc w:val="both"/>
        <w:rPr>
          <w:b/>
          <w:bCs/>
          <w:snapToGrid w:val="0"/>
          <w:sz w:val="16"/>
          <w:szCs w:val="16"/>
        </w:rPr>
      </w:pPr>
    </w:p>
    <w:p w:rsidR="00AA4BF8" w:rsidRPr="00412620" w:rsidRDefault="00AA4BF8" w:rsidP="00AA4BF8">
      <w:pPr>
        <w:widowControl w:val="0"/>
        <w:jc w:val="both"/>
        <w:rPr>
          <w:sz w:val="20"/>
        </w:rPr>
      </w:pPr>
      <w:r w:rsidRPr="00412620">
        <w:rPr>
          <w:rStyle w:val="FootnoteReference"/>
          <w:rFonts w:cs="Arial"/>
          <w:sz w:val="20"/>
        </w:rPr>
        <w:footnoteReference w:id="2037"/>
      </w:r>
      <w:r w:rsidRPr="00412620">
        <w:rPr>
          <w:sz w:val="20"/>
        </w:rPr>
        <w:t>[</w:t>
      </w:r>
      <w:r w:rsidRPr="00412620">
        <w:rPr>
          <w:b/>
          <w:bCs/>
          <w:sz w:val="20"/>
        </w:rPr>
        <w:t>(5A)</w:t>
      </w:r>
      <w:r w:rsidRPr="00412620">
        <w:rPr>
          <w:b/>
          <w:bCs/>
          <w:sz w:val="20"/>
        </w:rPr>
        <w:tab/>
      </w:r>
      <w:r w:rsidRPr="00412620">
        <w:rPr>
          <w:sz w:val="20"/>
        </w:rPr>
        <w:t xml:space="preserve"> The rate of tax to be deducted under sub-section (2) of section 152, in respect of payments </w:t>
      </w:r>
      <w:r w:rsidRPr="00412620">
        <w:rPr>
          <w:rStyle w:val="FootnoteReference"/>
          <w:rFonts w:cs="Arial"/>
          <w:sz w:val="20"/>
        </w:rPr>
        <w:footnoteReference w:id="2038"/>
      </w:r>
      <w:r w:rsidRPr="00412620">
        <w:rPr>
          <w:sz w:val="20"/>
        </w:rPr>
        <w:t xml:space="preserve">[from] profit on debt payable to a non-resident person having no permanent establishment in Pakistan, shall be 10% of the gross amount paid </w:t>
      </w:r>
      <w:r w:rsidRPr="00412620">
        <w:rPr>
          <w:rStyle w:val="FootnoteReference"/>
          <w:rFonts w:cs="Arial"/>
          <w:sz w:val="20"/>
        </w:rPr>
        <w:footnoteReference w:id="2039"/>
      </w:r>
      <w:r w:rsidRPr="00412620">
        <w:rPr>
          <w:sz w:val="20"/>
        </w:rPr>
        <w:t xml:space="preserve">[:] ] </w:t>
      </w:r>
    </w:p>
    <w:p w:rsidR="00AA4BF8" w:rsidRPr="00412620" w:rsidRDefault="00AA4BF8" w:rsidP="00AA4BF8">
      <w:pPr>
        <w:widowControl w:val="0"/>
        <w:jc w:val="both"/>
        <w:rPr>
          <w:sz w:val="20"/>
        </w:rPr>
      </w:pPr>
    </w:p>
    <w:p w:rsidR="00AA4BF8" w:rsidRPr="00412620" w:rsidRDefault="00AA4BF8" w:rsidP="00AA4BF8">
      <w:pPr>
        <w:widowControl w:val="0"/>
        <w:ind w:left="547" w:firstLine="548"/>
        <w:jc w:val="both"/>
        <w:rPr>
          <w:sz w:val="20"/>
        </w:rPr>
      </w:pPr>
      <w:r w:rsidRPr="00412620">
        <w:rPr>
          <w:rStyle w:val="FootnoteReference"/>
          <w:rFonts w:cs="Arial"/>
          <w:sz w:val="20"/>
        </w:rPr>
        <w:footnoteReference w:id="2040"/>
      </w:r>
      <w:r w:rsidRPr="00412620">
        <w:rPr>
          <w:sz w:val="20"/>
        </w:rPr>
        <w:t>[Provided that tax deducted on profit on debt from debt instruments, Government securities including treasury bills and Pakistan Investment Bonds shall be final tax on profit on debt payable to a non-resident person having no permanent establishment in Pakistan and the investments are exclusively made through a Special Rupee Convertible Account maintained with a Bank in Pakistan.]</w:t>
      </w:r>
      <w:r w:rsidRPr="00412620">
        <w:rPr>
          <w:sz w:val="20"/>
        </w:rPr>
        <w:tab/>
      </w:r>
    </w:p>
    <w:p w:rsidR="00AA4BF8" w:rsidRPr="00412620" w:rsidRDefault="00AA4BF8" w:rsidP="00AA4BF8">
      <w:pPr>
        <w:widowControl w:val="0"/>
        <w:jc w:val="both"/>
        <w:rPr>
          <w:sz w:val="20"/>
        </w:rPr>
      </w:pPr>
    </w:p>
    <w:p w:rsidR="00AA4BF8" w:rsidRPr="00412620" w:rsidRDefault="00AA4BF8" w:rsidP="00AA4BF8">
      <w:pPr>
        <w:widowControl w:val="0"/>
        <w:jc w:val="both"/>
        <w:rPr>
          <w:b/>
          <w:bCs/>
          <w:snapToGrid w:val="0"/>
          <w:sz w:val="20"/>
        </w:rPr>
      </w:pPr>
      <w:r w:rsidRPr="00412620">
        <w:rPr>
          <w:rStyle w:val="FootnoteReference"/>
          <w:rFonts w:cs="Arial"/>
          <w:sz w:val="20"/>
        </w:rPr>
        <w:footnoteReference w:id="2041"/>
      </w:r>
      <w:r w:rsidRPr="00412620">
        <w:rPr>
          <w:sz w:val="20"/>
        </w:rPr>
        <w:t>[</w:t>
      </w:r>
      <w:r w:rsidRPr="00412620">
        <w:rPr>
          <w:b/>
          <w:bCs/>
          <w:sz w:val="20"/>
        </w:rPr>
        <w:t>(5B)</w:t>
      </w:r>
      <w:r w:rsidRPr="00412620">
        <w:rPr>
          <w:sz w:val="20"/>
        </w:rPr>
        <w:tab/>
        <w:t xml:space="preserve">The tax in respect of capital gains derived by a person from the sale of shares or assets by a private limited company to Private Equity and Venture Capital Fund shall be charged at the rate of ten </w:t>
      </w:r>
      <w:r>
        <w:rPr>
          <w:sz w:val="20"/>
        </w:rPr>
        <w:t>per cent</w:t>
      </w:r>
      <w:r w:rsidRPr="00412620">
        <w:rPr>
          <w:sz w:val="20"/>
        </w:rPr>
        <w:t xml:space="preserve"> of such gains.]</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042"/>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043"/>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044"/>
      </w:r>
      <w:r w:rsidRPr="00412620">
        <w:rPr>
          <w:snapToGrid w:val="0"/>
          <w:sz w:val="20"/>
        </w:rPr>
        <w:t>[  ]</w:t>
      </w:r>
    </w:p>
    <w:p w:rsidR="00AA4BF8" w:rsidRPr="00412620" w:rsidRDefault="00AA4BF8" w:rsidP="00AA4BF8">
      <w:pPr>
        <w:widowControl w:val="0"/>
        <w:jc w:val="both"/>
        <w:rPr>
          <w:snapToGrid w:val="0"/>
          <w:sz w:val="20"/>
        </w:rPr>
      </w:pPr>
    </w:p>
    <w:p w:rsidR="00AA4BF8" w:rsidRPr="008E319C" w:rsidRDefault="00AA4BF8" w:rsidP="00AA4BF8">
      <w:pPr>
        <w:widowControl w:val="0"/>
        <w:jc w:val="both"/>
        <w:rPr>
          <w:rFonts w:cs="Arial"/>
          <w:snapToGrid w:val="0"/>
          <w:sz w:val="20"/>
        </w:rPr>
      </w:pPr>
      <w:r w:rsidRPr="008E319C">
        <w:rPr>
          <w:rStyle w:val="FootnoteReference"/>
          <w:rFonts w:cs="Arial"/>
          <w:snapToGrid w:val="0"/>
          <w:sz w:val="20"/>
        </w:rPr>
        <w:footnoteReference w:id="2045"/>
      </w:r>
      <w:r w:rsidRPr="008E319C">
        <w:rPr>
          <w:rFonts w:cs="Arial"/>
          <w:snapToGrid w:val="0"/>
          <w:sz w:val="20"/>
        </w:rPr>
        <w:t>[  ]</w:t>
      </w:r>
    </w:p>
    <w:p w:rsidR="00AA4BF8" w:rsidRPr="008E319C" w:rsidRDefault="00AA4BF8" w:rsidP="00AA4BF8">
      <w:pPr>
        <w:widowControl w:val="0"/>
        <w:jc w:val="both"/>
        <w:rPr>
          <w:rFonts w:cs="Arial"/>
          <w:snapToGrid w:val="0"/>
          <w:sz w:val="20"/>
        </w:rPr>
      </w:pPr>
    </w:p>
    <w:p w:rsidR="00AA4BF8" w:rsidRPr="008E319C" w:rsidRDefault="00AA4BF8" w:rsidP="00AA4BF8">
      <w:pPr>
        <w:widowControl w:val="0"/>
        <w:jc w:val="both"/>
        <w:rPr>
          <w:rFonts w:cs="Arial"/>
          <w:snapToGrid w:val="0"/>
          <w:sz w:val="20"/>
        </w:rPr>
      </w:pPr>
      <w:r w:rsidRPr="008E319C">
        <w:rPr>
          <w:rStyle w:val="FootnoteReference"/>
          <w:rFonts w:cs="Arial"/>
          <w:snapToGrid w:val="0"/>
          <w:sz w:val="20"/>
        </w:rPr>
        <w:footnoteReference w:id="2046"/>
      </w:r>
      <w:r w:rsidRPr="008E319C">
        <w:rPr>
          <w:rFonts w:cs="Arial"/>
          <w:snapToGrid w:val="0"/>
          <w:sz w:val="20"/>
        </w:rPr>
        <w:t>[  ]</w:t>
      </w:r>
    </w:p>
    <w:p w:rsidR="00AA4BF8" w:rsidRPr="008E319C" w:rsidRDefault="00AA4BF8" w:rsidP="00AA4BF8">
      <w:pPr>
        <w:widowControl w:val="0"/>
        <w:jc w:val="both"/>
        <w:rPr>
          <w:rFonts w:cs="Arial"/>
          <w:snapToGrid w:val="0"/>
          <w:sz w:val="20"/>
        </w:rPr>
      </w:pPr>
    </w:p>
    <w:p w:rsidR="00AA4BF8" w:rsidRPr="00C75159" w:rsidRDefault="00AA4BF8" w:rsidP="00AA4BF8">
      <w:pPr>
        <w:pStyle w:val="FootnoteText"/>
        <w:widowControl w:val="0"/>
        <w:ind w:left="0" w:firstLine="0"/>
        <w:jc w:val="both"/>
        <w:rPr>
          <w:rFonts w:cs="Arial"/>
          <w:snapToGrid w:val="0"/>
          <w:color w:val="000000" w:themeColor="text1"/>
          <w:sz w:val="20"/>
        </w:rPr>
      </w:pPr>
      <w:r w:rsidRPr="00C75159">
        <w:rPr>
          <w:rStyle w:val="FootnoteReference"/>
          <w:rFonts w:cs="Arial"/>
          <w:snapToGrid w:val="0"/>
          <w:color w:val="000000" w:themeColor="text1"/>
          <w:sz w:val="20"/>
        </w:rPr>
        <w:footnoteReference w:id="2047"/>
      </w:r>
      <w:r w:rsidRPr="00C75159">
        <w:rPr>
          <w:rFonts w:cs="Arial"/>
          <w:snapToGrid w:val="0"/>
          <w:color w:val="000000" w:themeColor="text1"/>
          <w:sz w:val="20"/>
        </w:rPr>
        <w:t xml:space="preserve">[ </w:t>
      </w:r>
      <w:r w:rsidR="00FA5556">
        <w:rPr>
          <w:rFonts w:cs="Arial"/>
          <w:snapToGrid w:val="0"/>
          <w:color w:val="000000" w:themeColor="text1"/>
          <w:sz w:val="20"/>
        </w:rPr>
        <w:t xml:space="preserve"> </w:t>
      </w:r>
      <w:r w:rsidRPr="00C75159">
        <w:rPr>
          <w:rFonts w:cs="Arial"/>
          <w:snapToGrid w:val="0"/>
          <w:color w:val="000000" w:themeColor="text1"/>
          <w:sz w:val="20"/>
        </w:rPr>
        <w:t xml:space="preserve"> ]</w:t>
      </w:r>
    </w:p>
    <w:p w:rsidR="00AA4BF8" w:rsidRPr="00C75159" w:rsidRDefault="00AA4BF8" w:rsidP="00AA4BF8">
      <w:pPr>
        <w:pStyle w:val="FootnoteText"/>
        <w:widowControl w:val="0"/>
        <w:rPr>
          <w:rFonts w:cs="Arial"/>
          <w:snapToGrid w:val="0"/>
          <w:color w:val="000000" w:themeColor="text1"/>
          <w:sz w:val="20"/>
        </w:rPr>
      </w:pPr>
    </w:p>
    <w:p w:rsidR="00AA4BF8" w:rsidRPr="00C75159" w:rsidRDefault="00AA4BF8" w:rsidP="00AA4BF8">
      <w:pPr>
        <w:pStyle w:val="FootnoteText"/>
        <w:widowControl w:val="0"/>
        <w:ind w:left="0" w:firstLine="0"/>
        <w:jc w:val="both"/>
        <w:rPr>
          <w:rFonts w:cs="Arial"/>
          <w:snapToGrid w:val="0"/>
          <w:color w:val="000000" w:themeColor="text1"/>
          <w:sz w:val="20"/>
        </w:rPr>
      </w:pPr>
      <w:r w:rsidRPr="00C75159">
        <w:rPr>
          <w:rStyle w:val="FootnoteReference"/>
          <w:rFonts w:cs="Arial"/>
          <w:snapToGrid w:val="0"/>
          <w:color w:val="000000" w:themeColor="text1"/>
          <w:sz w:val="20"/>
        </w:rPr>
        <w:footnoteReference w:id="2048"/>
      </w:r>
      <w:r w:rsidRPr="00C75159">
        <w:rPr>
          <w:rFonts w:cs="Arial"/>
          <w:snapToGrid w:val="0"/>
          <w:color w:val="000000" w:themeColor="text1"/>
          <w:sz w:val="20"/>
        </w:rPr>
        <w:t>[</w:t>
      </w:r>
      <w:r w:rsidR="00C75159" w:rsidRPr="00C75159">
        <w:rPr>
          <w:rFonts w:cs="Arial"/>
          <w:snapToGrid w:val="0"/>
          <w:color w:val="000000" w:themeColor="text1"/>
          <w:sz w:val="20"/>
        </w:rPr>
        <w:t xml:space="preserve"> </w:t>
      </w:r>
      <w:r w:rsidRPr="00C75159">
        <w:rPr>
          <w:rFonts w:cs="Arial"/>
          <w:snapToGrid w:val="0"/>
          <w:color w:val="000000" w:themeColor="text1"/>
          <w:sz w:val="20"/>
        </w:rPr>
        <w:t xml:space="preserve"> </w:t>
      </w:r>
      <w:r w:rsidR="00FA5556">
        <w:rPr>
          <w:rFonts w:cs="Arial"/>
          <w:snapToGrid w:val="0"/>
          <w:color w:val="000000" w:themeColor="text1"/>
          <w:sz w:val="20"/>
        </w:rPr>
        <w:t xml:space="preserve"> </w:t>
      </w:r>
      <w:r w:rsidRPr="00C75159">
        <w:rPr>
          <w:rFonts w:cs="Arial"/>
          <w:bCs/>
          <w:snapToGrid w:val="0"/>
          <w:color w:val="000000" w:themeColor="text1"/>
          <w:sz w:val="20"/>
        </w:rPr>
        <w:t>]</w:t>
      </w:r>
    </w:p>
    <w:p w:rsidR="00AA4BF8" w:rsidRPr="008E319C" w:rsidRDefault="00AA4BF8" w:rsidP="00AA4BF8">
      <w:pPr>
        <w:pStyle w:val="FootnoteText"/>
        <w:widowControl w:val="0"/>
        <w:rPr>
          <w:rFonts w:cs="Arial"/>
          <w:snapToGrid w:val="0"/>
          <w:sz w:val="20"/>
        </w:rPr>
      </w:pPr>
    </w:p>
    <w:p w:rsidR="00AA4BF8" w:rsidRPr="008E319C" w:rsidRDefault="00AA4BF8" w:rsidP="00AA4BF8">
      <w:pPr>
        <w:pStyle w:val="FootnoteText"/>
        <w:widowControl w:val="0"/>
        <w:rPr>
          <w:rFonts w:cs="Arial"/>
          <w:snapToGrid w:val="0"/>
          <w:sz w:val="20"/>
        </w:rPr>
      </w:pPr>
      <w:r w:rsidRPr="008E319C">
        <w:rPr>
          <w:rStyle w:val="FootnoteReference"/>
          <w:rFonts w:cs="Arial"/>
          <w:snapToGrid w:val="0"/>
          <w:sz w:val="20"/>
        </w:rPr>
        <w:footnoteReference w:id="2049"/>
      </w:r>
      <w:r w:rsidRPr="008E319C">
        <w:rPr>
          <w:rFonts w:cs="Arial"/>
          <w:snapToGrid w:val="0"/>
          <w:sz w:val="20"/>
        </w:rPr>
        <w:t xml:space="preserve">[  </w:t>
      </w:r>
      <w:r w:rsidR="00FA5556">
        <w:rPr>
          <w:rFonts w:cs="Arial"/>
          <w:snapToGrid w:val="0"/>
          <w:sz w:val="20"/>
        </w:rPr>
        <w:t xml:space="preserve"> </w:t>
      </w:r>
      <w:r w:rsidRPr="008E319C">
        <w:rPr>
          <w:rFonts w:cs="Arial"/>
          <w:snapToGrid w:val="0"/>
          <w:sz w:val="20"/>
        </w:rPr>
        <w:t>]</w:t>
      </w:r>
    </w:p>
    <w:p w:rsidR="00AA4BF8" w:rsidRPr="008E319C" w:rsidRDefault="00AA4BF8" w:rsidP="00AA4BF8">
      <w:pPr>
        <w:pStyle w:val="BodyText3"/>
        <w:rPr>
          <w:rFonts w:ascii="Arial" w:hAnsi="Arial" w:cs="Arial"/>
          <w:b/>
          <w:bCs/>
          <w:sz w:val="20"/>
        </w:rPr>
      </w:pPr>
    </w:p>
    <w:p w:rsidR="00AA4BF8" w:rsidRPr="008E319C" w:rsidRDefault="00AA4BF8" w:rsidP="00AA4BF8">
      <w:pPr>
        <w:pStyle w:val="BodyText3"/>
        <w:rPr>
          <w:rFonts w:ascii="Arial" w:hAnsi="Arial" w:cs="Arial"/>
          <w:sz w:val="20"/>
        </w:rPr>
      </w:pPr>
      <w:r w:rsidRPr="008E319C">
        <w:rPr>
          <w:rStyle w:val="FootnoteReference"/>
          <w:rFonts w:ascii="Arial" w:hAnsi="Arial" w:cs="Arial"/>
          <w:sz w:val="20"/>
        </w:rPr>
        <w:footnoteReference w:id="2050"/>
      </w:r>
      <w:r w:rsidRPr="008E319C">
        <w:rPr>
          <w:rFonts w:ascii="Arial" w:hAnsi="Arial" w:cs="Arial"/>
          <w:sz w:val="20"/>
        </w:rPr>
        <w:t xml:space="preserve">[ </w:t>
      </w:r>
      <w:r w:rsidR="00FA5556">
        <w:rPr>
          <w:rFonts w:ascii="Arial" w:hAnsi="Arial" w:cs="Arial"/>
          <w:sz w:val="20"/>
        </w:rPr>
        <w:t xml:space="preserve">  </w:t>
      </w:r>
      <w:r w:rsidRPr="008E319C">
        <w:rPr>
          <w:rFonts w:ascii="Arial" w:hAnsi="Arial" w:cs="Arial"/>
          <w:sz w:val="20"/>
        </w:rPr>
        <w:t>]</w:t>
      </w:r>
    </w:p>
    <w:p w:rsidR="00AA4BF8" w:rsidRPr="008E319C" w:rsidRDefault="00AA4BF8" w:rsidP="00AA4BF8">
      <w:pPr>
        <w:pStyle w:val="BodyText3"/>
        <w:rPr>
          <w:rFonts w:ascii="Arial" w:hAnsi="Arial" w:cs="Arial"/>
          <w:sz w:val="20"/>
        </w:rPr>
      </w:pPr>
    </w:p>
    <w:p w:rsidR="00AA4BF8" w:rsidRPr="008E319C" w:rsidRDefault="00AA4BF8" w:rsidP="00AA4BF8">
      <w:pPr>
        <w:pStyle w:val="BodyText3"/>
        <w:rPr>
          <w:rFonts w:ascii="Arial" w:hAnsi="Arial" w:cs="Arial"/>
          <w:sz w:val="20"/>
        </w:rPr>
      </w:pPr>
      <w:r w:rsidRPr="008E319C">
        <w:rPr>
          <w:rStyle w:val="FootnoteReference"/>
          <w:rFonts w:ascii="Arial" w:hAnsi="Arial" w:cs="Arial"/>
          <w:sz w:val="20"/>
        </w:rPr>
        <w:footnoteReference w:id="2051"/>
      </w:r>
      <w:r w:rsidRPr="008E319C">
        <w:rPr>
          <w:rFonts w:ascii="Arial" w:hAnsi="Arial" w:cs="Arial"/>
          <w:sz w:val="20"/>
        </w:rPr>
        <w:t xml:space="preserve">[ </w:t>
      </w:r>
      <w:r w:rsidR="00FA5556">
        <w:rPr>
          <w:rFonts w:ascii="Arial" w:hAnsi="Arial" w:cs="Arial"/>
          <w:sz w:val="20"/>
        </w:rPr>
        <w:t xml:space="preserve"> </w:t>
      </w:r>
      <w:r w:rsidRPr="008E319C">
        <w:rPr>
          <w:rFonts w:ascii="Arial" w:hAnsi="Arial" w:cs="Arial"/>
          <w:sz w:val="20"/>
        </w:rPr>
        <w:t xml:space="preserve"> ]</w:t>
      </w:r>
    </w:p>
    <w:p w:rsidR="00AA4BF8" w:rsidRPr="00412620" w:rsidRDefault="00AA4BF8" w:rsidP="00AA4BF8">
      <w:pPr>
        <w:pStyle w:val="BodyText3"/>
        <w:rPr>
          <w:b/>
          <w:bCs/>
          <w:sz w:val="20"/>
        </w:rPr>
      </w:pPr>
    </w:p>
    <w:p w:rsidR="00AA4BF8" w:rsidRPr="008E319C" w:rsidRDefault="00AA4BF8" w:rsidP="00AA4BF8">
      <w:pPr>
        <w:pStyle w:val="BodyText3"/>
        <w:rPr>
          <w:rFonts w:ascii="Arial" w:hAnsi="Arial" w:cs="Arial"/>
          <w:sz w:val="20"/>
        </w:rPr>
      </w:pPr>
      <w:r w:rsidRPr="008E319C">
        <w:rPr>
          <w:rStyle w:val="FootnoteReference"/>
          <w:rFonts w:ascii="Arial" w:hAnsi="Arial" w:cs="Arial"/>
          <w:sz w:val="20"/>
        </w:rPr>
        <w:footnoteReference w:id="2052"/>
      </w:r>
      <w:r w:rsidRPr="008E319C">
        <w:rPr>
          <w:rFonts w:ascii="Arial" w:hAnsi="Arial" w:cs="Arial"/>
          <w:sz w:val="20"/>
        </w:rPr>
        <w:t xml:space="preserve">[  </w:t>
      </w:r>
      <w:r w:rsidR="00FA5556">
        <w:rPr>
          <w:rFonts w:ascii="Arial" w:hAnsi="Arial" w:cs="Arial"/>
          <w:sz w:val="20"/>
        </w:rPr>
        <w:t xml:space="preserve"> </w:t>
      </w:r>
      <w:r w:rsidRPr="008E319C">
        <w:rPr>
          <w:rFonts w:ascii="Arial" w:hAnsi="Arial" w:cs="Arial"/>
          <w:sz w:val="20"/>
        </w:rPr>
        <w:t>]</w:t>
      </w:r>
    </w:p>
    <w:p w:rsidR="00AA4BF8" w:rsidRPr="008E319C" w:rsidRDefault="00AA4BF8" w:rsidP="00AA4BF8">
      <w:pPr>
        <w:pStyle w:val="BodyText3"/>
        <w:rPr>
          <w:rFonts w:ascii="Arial" w:hAnsi="Arial" w:cs="Arial"/>
          <w:sz w:val="20"/>
        </w:rPr>
      </w:pPr>
    </w:p>
    <w:p w:rsidR="00AA4BF8" w:rsidRPr="008E319C" w:rsidRDefault="00AA4BF8" w:rsidP="00AA4BF8">
      <w:pPr>
        <w:pStyle w:val="BodyText3"/>
        <w:rPr>
          <w:rFonts w:ascii="Arial" w:hAnsi="Arial" w:cs="Arial"/>
          <w:sz w:val="20"/>
        </w:rPr>
      </w:pPr>
      <w:r w:rsidRPr="008E319C">
        <w:rPr>
          <w:rStyle w:val="FootnoteReference"/>
          <w:rFonts w:ascii="Arial" w:hAnsi="Arial" w:cs="Arial"/>
          <w:sz w:val="20"/>
        </w:rPr>
        <w:footnoteReference w:id="2053"/>
      </w:r>
      <w:r w:rsidRPr="008E319C">
        <w:rPr>
          <w:rFonts w:ascii="Arial" w:hAnsi="Arial" w:cs="Arial"/>
          <w:sz w:val="20"/>
        </w:rPr>
        <w:t xml:space="preserve">[  </w:t>
      </w:r>
      <w:r w:rsidR="00FA5556">
        <w:rPr>
          <w:rFonts w:ascii="Arial" w:hAnsi="Arial" w:cs="Arial"/>
          <w:sz w:val="20"/>
        </w:rPr>
        <w:t xml:space="preserve"> </w:t>
      </w:r>
      <w:r w:rsidRPr="008E319C">
        <w:rPr>
          <w:rFonts w:ascii="Arial" w:hAnsi="Arial" w:cs="Arial"/>
          <w:sz w:val="20"/>
        </w:rPr>
        <w:t>]</w:t>
      </w:r>
    </w:p>
    <w:p w:rsidR="00AA4BF8" w:rsidRPr="008E319C" w:rsidRDefault="00AA4BF8" w:rsidP="00AA4BF8">
      <w:pPr>
        <w:pStyle w:val="BodyText3"/>
        <w:rPr>
          <w:rFonts w:ascii="Arial" w:hAnsi="Arial" w:cs="Arial"/>
          <w:sz w:val="20"/>
        </w:rPr>
      </w:pPr>
    </w:p>
    <w:p w:rsidR="00AA4BF8" w:rsidRPr="008E319C" w:rsidRDefault="00AA4BF8" w:rsidP="00AA4BF8">
      <w:pPr>
        <w:pStyle w:val="BodyText3"/>
        <w:rPr>
          <w:rFonts w:ascii="Arial" w:hAnsi="Arial" w:cs="Arial"/>
          <w:sz w:val="20"/>
        </w:rPr>
      </w:pPr>
      <w:r w:rsidRPr="008E319C">
        <w:rPr>
          <w:rStyle w:val="FootnoteReference"/>
          <w:rFonts w:ascii="Arial" w:hAnsi="Arial" w:cs="Arial"/>
          <w:sz w:val="20"/>
        </w:rPr>
        <w:footnoteReference w:id="2054"/>
      </w:r>
      <w:r w:rsidRPr="008E319C">
        <w:rPr>
          <w:rFonts w:ascii="Arial" w:hAnsi="Arial" w:cs="Arial"/>
          <w:sz w:val="20"/>
        </w:rPr>
        <w:t xml:space="preserve">[  </w:t>
      </w:r>
      <w:r w:rsidR="00FA5556">
        <w:rPr>
          <w:rFonts w:ascii="Arial" w:hAnsi="Arial" w:cs="Arial"/>
          <w:sz w:val="20"/>
        </w:rPr>
        <w:t xml:space="preserve"> </w:t>
      </w:r>
      <w:r w:rsidRPr="008E319C">
        <w:rPr>
          <w:rFonts w:ascii="Arial" w:hAnsi="Arial" w:cs="Arial"/>
          <w:sz w:val="20"/>
        </w:rPr>
        <w:t>]</w:t>
      </w:r>
    </w:p>
    <w:p w:rsidR="00AA4BF8" w:rsidRPr="008E319C" w:rsidRDefault="00AA4BF8" w:rsidP="00AA4BF8">
      <w:pPr>
        <w:pStyle w:val="BodyText3"/>
        <w:rPr>
          <w:rFonts w:ascii="Arial" w:hAnsi="Arial" w:cs="Arial"/>
          <w:b/>
          <w:bCs/>
          <w:sz w:val="20"/>
        </w:rPr>
      </w:pPr>
    </w:p>
    <w:p w:rsidR="00AA4BF8" w:rsidRPr="00FA5556" w:rsidRDefault="000346ED" w:rsidP="00AA4BF8">
      <w:pPr>
        <w:widowControl w:val="0"/>
        <w:jc w:val="both"/>
        <w:rPr>
          <w:rFonts w:cs="Arial"/>
          <w:snapToGrid w:val="0"/>
          <w:color w:val="000000" w:themeColor="text1"/>
          <w:sz w:val="20"/>
        </w:rPr>
      </w:pPr>
      <w:r w:rsidRPr="00FA5556">
        <w:rPr>
          <w:rStyle w:val="FootnoteReference"/>
          <w:rFonts w:cs="Arial"/>
          <w:snapToGrid w:val="0"/>
          <w:color w:val="000000" w:themeColor="text1"/>
          <w:sz w:val="20"/>
        </w:rPr>
        <w:footnoteReference w:id="2055"/>
      </w:r>
      <w:r w:rsidRPr="00FA5556">
        <w:rPr>
          <w:rFonts w:cs="Arial"/>
          <w:snapToGrid w:val="0"/>
          <w:color w:val="000000" w:themeColor="text1"/>
          <w:sz w:val="20"/>
        </w:rPr>
        <w:t xml:space="preserve">[  </w:t>
      </w:r>
      <w:r w:rsidR="00FA5556">
        <w:rPr>
          <w:rFonts w:cs="Arial"/>
          <w:snapToGrid w:val="0"/>
          <w:color w:val="000000" w:themeColor="text1"/>
          <w:sz w:val="20"/>
        </w:rPr>
        <w:t xml:space="preserve"> </w:t>
      </w:r>
      <w:r w:rsidRPr="00FA5556">
        <w:rPr>
          <w:rFonts w:cs="Arial"/>
          <w:snapToGrid w:val="0"/>
          <w:color w:val="000000" w:themeColor="text1"/>
          <w:sz w:val="20"/>
        </w:rPr>
        <w:t>]</w:t>
      </w:r>
    </w:p>
    <w:p w:rsidR="00AA4BF8" w:rsidRPr="008E319C" w:rsidRDefault="00AA4BF8" w:rsidP="00AA4BF8">
      <w:pPr>
        <w:widowControl w:val="0"/>
        <w:rPr>
          <w:rFonts w:cs="Arial"/>
          <w:b/>
          <w:bCs/>
          <w:snapToGrid w:val="0"/>
          <w:sz w:val="18"/>
          <w:szCs w:val="18"/>
        </w:rPr>
      </w:pPr>
    </w:p>
    <w:p w:rsidR="00AA4BF8" w:rsidRPr="008E319C" w:rsidRDefault="00AA4BF8" w:rsidP="00AA4BF8">
      <w:pPr>
        <w:widowControl w:val="0"/>
        <w:rPr>
          <w:rFonts w:cs="Arial"/>
          <w:snapToGrid w:val="0"/>
          <w:sz w:val="20"/>
        </w:rPr>
      </w:pPr>
      <w:r w:rsidRPr="008E319C">
        <w:rPr>
          <w:rStyle w:val="FootnoteReference"/>
          <w:rFonts w:cs="Arial"/>
          <w:snapToGrid w:val="0"/>
          <w:sz w:val="20"/>
        </w:rPr>
        <w:footnoteReference w:id="2056"/>
      </w:r>
      <w:r w:rsidRPr="008E319C">
        <w:rPr>
          <w:rFonts w:cs="Arial"/>
          <w:snapToGrid w:val="0"/>
          <w:sz w:val="20"/>
        </w:rPr>
        <w:t xml:space="preserve">[ </w:t>
      </w:r>
      <w:r w:rsidR="00FA5556">
        <w:rPr>
          <w:rFonts w:cs="Arial"/>
          <w:snapToGrid w:val="0"/>
          <w:sz w:val="20"/>
        </w:rPr>
        <w:t xml:space="preserve"> </w:t>
      </w:r>
      <w:r w:rsidRPr="008E319C">
        <w:rPr>
          <w:rFonts w:cs="Arial"/>
          <w:snapToGrid w:val="0"/>
          <w:sz w:val="20"/>
        </w:rPr>
        <w:t xml:space="preserve"> ]</w:t>
      </w:r>
    </w:p>
    <w:p w:rsidR="00AA4BF8" w:rsidRPr="008E319C" w:rsidRDefault="00AA4BF8" w:rsidP="00AA4BF8">
      <w:pPr>
        <w:pStyle w:val="Header"/>
        <w:widowControl w:val="0"/>
        <w:tabs>
          <w:tab w:val="left" w:pos="547"/>
        </w:tabs>
        <w:rPr>
          <w:rFonts w:cs="Arial"/>
          <w:snapToGrid w:val="0"/>
          <w:sz w:val="18"/>
          <w:szCs w:val="18"/>
        </w:rPr>
      </w:pPr>
    </w:p>
    <w:p w:rsidR="00AA4BF8" w:rsidRPr="00C75159" w:rsidRDefault="00AA4BF8" w:rsidP="00AA4BF8">
      <w:pPr>
        <w:widowControl w:val="0"/>
        <w:jc w:val="both"/>
        <w:rPr>
          <w:rFonts w:cs="Arial"/>
          <w:snapToGrid w:val="0"/>
          <w:color w:val="000000" w:themeColor="text1"/>
          <w:sz w:val="20"/>
        </w:rPr>
      </w:pPr>
      <w:r w:rsidRPr="00C75159">
        <w:rPr>
          <w:rStyle w:val="FootnoteReference"/>
          <w:rFonts w:cs="Arial"/>
          <w:bCs/>
          <w:snapToGrid w:val="0"/>
          <w:color w:val="000000" w:themeColor="text1"/>
          <w:sz w:val="20"/>
        </w:rPr>
        <w:footnoteReference w:id="2057"/>
      </w:r>
      <w:r w:rsidRPr="00C75159">
        <w:rPr>
          <w:rFonts w:cs="Arial"/>
          <w:bCs/>
          <w:snapToGrid w:val="0"/>
          <w:color w:val="000000" w:themeColor="text1"/>
          <w:sz w:val="20"/>
        </w:rPr>
        <w:t xml:space="preserve">[  </w:t>
      </w:r>
      <w:r w:rsidR="00FA5556">
        <w:rPr>
          <w:rFonts w:cs="Arial"/>
          <w:bCs/>
          <w:snapToGrid w:val="0"/>
          <w:color w:val="000000" w:themeColor="text1"/>
          <w:sz w:val="20"/>
        </w:rPr>
        <w:t xml:space="preserve"> </w:t>
      </w:r>
      <w:r w:rsidRPr="00C75159">
        <w:rPr>
          <w:rFonts w:cs="Arial"/>
          <w:bCs/>
          <w:snapToGrid w:val="0"/>
          <w:color w:val="000000" w:themeColor="text1"/>
          <w:sz w:val="20"/>
        </w:rPr>
        <w:t>]</w:t>
      </w:r>
    </w:p>
    <w:p w:rsidR="00AA4BF8" w:rsidRPr="00412620" w:rsidRDefault="00AA4BF8" w:rsidP="00AA4BF8">
      <w:pPr>
        <w:widowControl w:val="0"/>
        <w:rPr>
          <w:b/>
          <w:bCs/>
          <w:snapToGrid w:val="0"/>
          <w:sz w:val="18"/>
          <w:szCs w:val="18"/>
        </w:rPr>
      </w:pPr>
    </w:p>
    <w:p w:rsidR="00AA4BF8" w:rsidRPr="00412620" w:rsidRDefault="00AA4BF8" w:rsidP="00AA4BF8">
      <w:pPr>
        <w:widowControl w:val="0"/>
        <w:rPr>
          <w:snapToGrid w:val="0"/>
          <w:sz w:val="20"/>
        </w:rPr>
      </w:pPr>
      <w:r w:rsidRPr="00412620">
        <w:rPr>
          <w:rStyle w:val="FootnoteReference"/>
          <w:rFonts w:cs="Arial"/>
          <w:snapToGrid w:val="0"/>
          <w:sz w:val="20"/>
        </w:rPr>
        <w:footnoteReference w:id="2058"/>
      </w:r>
      <w:r w:rsidRPr="00412620">
        <w:rPr>
          <w:snapToGrid w:val="0"/>
          <w:sz w:val="20"/>
        </w:rPr>
        <w:t xml:space="preserve">[  </w:t>
      </w:r>
      <w:r w:rsidR="00FA5556">
        <w:rPr>
          <w:snapToGrid w:val="0"/>
          <w:sz w:val="20"/>
        </w:rPr>
        <w:t xml:space="preserve"> </w:t>
      </w:r>
      <w:r w:rsidRPr="00412620">
        <w:rPr>
          <w:snapToGrid w:val="0"/>
          <w:sz w:val="20"/>
        </w:rPr>
        <w:t>]</w:t>
      </w:r>
    </w:p>
    <w:p w:rsidR="00AA4BF8" w:rsidRPr="00412620" w:rsidRDefault="00AA4BF8" w:rsidP="00AA4BF8">
      <w:pPr>
        <w:widowControl w:val="0"/>
        <w:rPr>
          <w:snapToGrid w:val="0"/>
          <w:sz w:val="20"/>
        </w:rPr>
      </w:pPr>
    </w:p>
    <w:p w:rsidR="00AA4BF8" w:rsidRDefault="00AA4BF8" w:rsidP="00AA4BF8">
      <w:pPr>
        <w:widowControl w:val="0"/>
        <w:rPr>
          <w:snapToGrid w:val="0"/>
          <w:sz w:val="20"/>
        </w:rPr>
      </w:pPr>
      <w:r w:rsidRPr="00412620">
        <w:rPr>
          <w:rStyle w:val="FootnoteReference"/>
          <w:rFonts w:cs="Arial"/>
          <w:snapToGrid w:val="0"/>
          <w:sz w:val="20"/>
        </w:rPr>
        <w:footnoteReference w:id="2059"/>
      </w:r>
      <w:r w:rsidRPr="00412620">
        <w:rPr>
          <w:snapToGrid w:val="0"/>
          <w:sz w:val="20"/>
        </w:rPr>
        <w:t xml:space="preserve">[  </w:t>
      </w:r>
      <w:r w:rsidR="00FA5556">
        <w:rPr>
          <w:snapToGrid w:val="0"/>
          <w:sz w:val="20"/>
        </w:rPr>
        <w:t xml:space="preserve"> </w:t>
      </w:r>
      <w:r w:rsidRPr="00412620">
        <w:rPr>
          <w:snapToGrid w:val="0"/>
          <w:sz w:val="20"/>
        </w:rPr>
        <w:t>]</w:t>
      </w:r>
    </w:p>
    <w:p w:rsidR="00D268D9" w:rsidRDefault="00D268D9" w:rsidP="00AA4BF8">
      <w:pPr>
        <w:widowControl w:val="0"/>
        <w:rPr>
          <w:snapToGrid w:val="0"/>
          <w:sz w:val="20"/>
        </w:rPr>
      </w:pPr>
    </w:p>
    <w:p w:rsidR="00D268D9" w:rsidRPr="00412620" w:rsidRDefault="00D268D9" w:rsidP="00AA4BF8">
      <w:pPr>
        <w:widowControl w:val="0"/>
        <w:rPr>
          <w:snapToGrid w:val="0"/>
          <w:sz w:val="20"/>
        </w:rPr>
      </w:pPr>
      <w:r>
        <w:rPr>
          <w:rStyle w:val="FootnoteReference"/>
          <w:snapToGrid w:val="0"/>
          <w:sz w:val="20"/>
        </w:rPr>
        <w:footnoteReference w:id="2060"/>
      </w:r>
      <w:r>
        <w:rPr>
          <w:snapToGrid w:val="0"/>
          <w:sz w:val="20"/>
        </w:rPr>
        <w:t xml:space="preserve">[ </w:t>
      </w:r>
      <w:r w:rsidR="00FA5556">
        <w:rPr>
          <w:snapToGrid w:val="0"/>
          <w:sz w:val="20"/>
        </w:rPr>
        <w:t xml:space="preserve"> </w:t>
      </w:r>
      <w:r>
        <w:rPr>
          <w:snapToGrid w:val="0"/>
          <w:sz w:val="20"/>
        </w:rPr>
        <w:t xml:space="preserve"> ]</w:t>
      </w:r>
    </w:p>
    <w:p w:rsidR="00AA4BF8" w:rsidRPr="00412620" w:rsidRDefault="00AA4BF8" w:rsidP="00AA4BF8">
      <w:pPr>
        <w:autoSpaceDE w:val="0"/>
        <w:autoSpaceDN w:val="0"/>
        <w:adjustRightInd w:val="0"/>
        <w:ind w:left="547" w:firstLine="547"/>
        <w:jc w:val="both"/>
        <w:rPr>
          <w:sz w:val="18"/>
          <w:szCs w:val="18"/>
          <w:lang w:val="en-US"/>
        </w:rPr>
      </w:pPr>
    </w:p>
    <w:p w:rsidR="00AA4BF8" w:rsidRPr="00412620" w:rsidRDefault="00AA4BF8" w:rsidP="00AA4BF8">
      <w:pPr>
        <w:autoSpaceDE w:val="0"/>
        <w:autoSpaceDN w:val="0"/>
        <w:adjustRightInd w:val="0"/>
        <w:jc w:val="both"/>
        <w:rPr>
          <w:sz w:val="16"/>
          <w:szCs w:val="16"/>
          <w:lang w:val="en-US"/>
        </w:rPr>
      </w:pPr>
    </w:p>
    <w:p w:rsidR="00AA4BF8" w:rsidRPr="00C75159" w:rsidRDefault="00AA4BF8" w:rsidP="00AA4BF8">
      <w:pPr>
        <w:autoSpaceDE w:val="0"/>
        <w:autoSpaceDN w:val="0"/>
        <w:adjustRightInd w:val="0"/>
        <w:jc w:val="both"/>
        <w:rPr>
          <w:color w:val="000000" w:themeColor="text1"/>
          <w:sz w:val="20"/>
          <w:lang w:val="en-US"/>
        </w:rPr>
      </w:pPr>
      <w:r w:rsidRPr="00C75159">
        <w:rPr>
          <w:rStyle w:val="FootnoteReference"/>
          <w:color w:val="000000" w:themeColor="text1"/>
          <w:sz w:val="20"/>
          <w:lang w:val="en-US"/>
        </w:rPr>
        <w:footnoteReference w:id="2061"/>
      </w:r>
      <w:r w:rsidRPr="00C75159">
        <w:rPr>
          <w:color w:val="000000" w:themeColor="text1"/>
          <w:sz w:val="20"/>
          <w:lang w:val="en-US"/>
        </w:rPr>
        <w:t xml:space="preserve">[ </w:t>
      </w:r>
      <w:r w:rsidR="000D4DE5">
        <w:rPr>
          <w:color w:val="000000" w:themeColor="text1"/>
          <w:sz w:val="20"/>
          <w:lang w:val="en-US"/>
        </w:rPr>
        <w:t xml:space="preserve"> </w:t>
      </w:r>
      <w:r w:rsidRPr="00C75159">
        <w:rPr>
          <w:color w:val="000000" w:themeColor="text1"/>
          <w:sz w:val="20"/>
          <w:lang w:val="en-US"/>
        </w:rPr>
        <w:t xml:space="preserve"> ]</w:t>
      </w:r>
    </w:p>
    <w:p w:rsidR="00AA4BF8" w:rsidRPr="00C75159" w:rsidRDefault="00AA4BF8" w:rsidP="00AA4BF8">
      <w:pPr>
        <w:autoSpaceDE w:val="0"/>
        <w:autoSpaceDN w:val="0"/>
        <w:adjustRightInd w:val="0"/>
        <w:jc w:val="both"/>
        <w:rPr>
          <w:color w:val="000000" w:themeColor="text1"/>
          <w:sz w:val="20"/>
          <w:lang w:val="en-US"/>
        </w:rPr>
      </w:pPr>
    </w:p>
    <w:p w:rsidR="00AA4BF8" w:rsidRPr="00C75159" w:rsidRDefault="00AA4BF8" w:rsidP="00AA4BF8">
      <w:pPr>
        <w:autoSpaceDE w:val="0"/>
        <w:autoSpaceDN w:val="0"/>
        <w:adjustRightInd w:val="0"/>
        <w:jc w:val="both"/>
        <w:rPr>
          <w:color w:val="000000" w:themeColor="text1"/>
          <w:sz w:val="20"/>
        </w:rPr>
      </w:pPr>
      <w:r w:rsidRPr="00C75159">
        <w:rPr>
          <w:rStyle w:val="FootnoteReference"/>
          <w:color w:val="000000" w:themeColor="text1"/>
          <w:sz w:val="20"/>
        </w:rPr>
        <w:footnoteReference w:id="2062"/>
      </w:r>
      <w:r w:rsidRPr="00C75159">
        <w:rPr>
          <w:color w:val="000000" w:themeColor="text1"/>
          <w:sz w:val="20"/>
        </w:rPr>
        <w:t xml:space="preserve">[  </w:t>
      </w:r>
      <w:r w:rsidR="000D4DE5">
        <w:rPr>
          <w:color w:val="000000" w:themeColor="text1"/>
          <w:sz w:val="20"/>
        </w:rPr>
        <w:t xml:space="preserve"> </w:t>
      </w:r>
      <w:r w:rsidRPr="00C75159">
        <w:rPr>
          <w:color w:val="000000" w:themeColor="text1"/>
          <w:sz w:val="20"/>
        </w:rPr>
        <w:t>]</w:t>
      </w:r>
    </w:p>
    <w:p w:rsidR="00AA4BF8" w:rsidRPr="00412620" w:rsidRDefault="00AA4BF8" w:rsidP="00AA4BF8">
      <w:pPr>
        <w:autoSpaceDE w:val="0"/>
        <w:autoSpaceDN w:val="0"/>
        <w:adjustRightInd w:val="0"/>
        <w:jc w:val="both"/>
        <w:rPr>
          <w:sz w:val="20"/>
        </w:rPr>
      </w:pPr>
    </w:p>
    <w:p w:rsidR="007D791E" w:rsidRPr="00AD5E5C" w:rsidRDefault="007F0E98" w:rsidP="00AA4BF8">
      <w:pPr>
        <w:autoSpaceDE w:val="0"/>
        <w:autoSpaceDN w:val="0"/>
        <w:adjustRightInd w:val="0"/>
        <w:jc w:val="both"/>
        <w:rPr>
          <w:color w:val="000000" w:themeColor="text1"/>
          <w:sz w:val="20"/>
        </w:rPr>
      </w:pPr>
      <w:r w:rsidRPr="00AD5E5C">
        <w:rPr>
          <w:rStyle w:val="FootnoteReference"/>
          <w:color w:val="000000" w:themeColor="text1"/>
          <w:sz w:val="20"/>
        </w:rPr>
        <w:footnoteReference w:id="2063"/>
      </w:r>
      <w:r w:rsidRPr="00AD5E5C">
        <w:rPr>
          <w:color w:val="000000" w:themeColor="text1"/>
          <w:sz w:val="20"/>
        </w:rPr>
        <w:t>[   ]</w:t>
      </w:r>
    </w:p>
    <w:p w:rsidR="007F0E98" w:rsidRPr="00AD5E5C" w:rsidRDefault="007F0E98" w:rsidP="00AA4BF8">
      <w:pPr>
        <w:autoSpaceDE w:val="0"/>
        <w:autoSpaceDN w:val="0"/>
        <w:adjustRightInd w:val="0"/>
        <w:jc w:val="both"/>
        <w:rPr>
          <w:color w:val="000000" w:themeColor="text1"/>
          <w:sz w:val="20"/>
        </w:rPr>
      </w:pPr>
    </w:p>
    <w:p w:rsidR="00432B1E" w:rsidRPr="00AD5E5C" w:rsidRDefault="00D4182A" w:rsidP="00AA4BF8">
      <w:pPr>
        <w:autoSpaceDE w:val="0"/>
        <w:autoSpaceDN w:val="0"/>
        <w:adjustRightInd w:val="0"/>
        <w:jc w:val="both"/>
        <w:rPr>
          <w:color w:val="000000" w:themeColor="text1"/>
          <w:sz w:val="20"/>
        </w:rPr>
      </w:pPr>
      <w:r w:rsidRPr="00AD5E5C">
        <w:rPr>
          <w:rStyle w:val="FootnoteReference"/>
          <w:color w:val="000000" w:themeColor="text1"/>
          <w:sz w:val="20"/>
        </w:rPr>
        <w:footnoteReference w:id="2064"/>
      </w:r>
      <w:r w:rsidRPr="00AD5E5C">
        <w:rPr>
          <w:color w:val="000000" w:themeColor="text1"/>
          <w:sz w:val="20"/>
        </w:rPr>
        <w:t>[   ]</w:t>
      </w:r>
    </w:p>
    <w:p w:rsidR="00D4182A" w:rsidRPr="00AD5E5C" w:rsidRDefault="00D4182A" w:rsidP="00AA4BF8">
      <w:pPr>
        <w:autoSpaceDE w:val="0"/>
        <w:autoSpaceDN w:val="0"/>
        <w:adjustRightInd w:val="0"/>
        <w:jc w:val="both"/>
        <w:rPr>
          <w:color w:val="000000" w:themeColor="text1"/>
          <w:sz w:val="20"/>
        </w:rPr>
      </w:pPr>
    </w:p>
    <w:p w:rsidR="007D0AB1" w:rsidRPr="00AD5E5C" w:rsidRDefault="007D0AB1" w:rsidP="007D0AB1">
      <w:pPr>
        <w:autoSpaceDE w:val="0"/>
        <w:autoSpaceDN w:val="0"/>
        <w:adjustRightInd w:val="0"/>
        <w:jc w:val="both"/>
        <w:rPr>
          <w:color w:val="000000" w:themeColor="text1"/>
          <w:sz w:val="20"/>
        </w:rPr>
      </w:pPr>
      <w:r w:rsidRPr="00AD5E5C">
        <w:rPr>
          <w:rStyle w:val="FootnoteReference"/>
          <w:color w:val="000000" w:themeColor="text1"/>
          <w:sz w:val="20"/>
        </w:rPr>
        <w:footnoteReference w:id="2065"/>
      </w:r>
      <w:r w:rsidRPr="00AD5E5C">
        <w:rPr>
          <w:color w:val="000000" w:themeColor="text1"/>
          <w:sz w:val="20"/>
        </w:rPr>
        <w:t xml:space="preserve">[ </w:t>
      </w:r>
      <w:r w:rsidR="000D4DE5" w:rsidRPr="00AD5E5C">
        <w:rPr>
          <w:color w:val="000000" w:themeColor="text1"/>
          <w:sz w:val="20"/>
        </w:rPr>
        <w:t xml:space="preserve"> </w:t>
      </w:r>
      <w:r w:rsidRPr="00AD5E5C">
        <w:rPr>
          <w:color w:val="000000" w:themeColor="text1"/>
          <w:sz w:val="20"/>
        </w:rPr>
        <w:t xml:space="preserve"> ]</w:t>
      </w:r>
    </w:p>
    <w:p w:rsidR="00AA4BF8" w:rsidRPr="000049F0" w:rsidRDefault="00AA4BF8" w:rsidP="000049F0">
      <w:pPr>
        <w:autoSpaceDE w:val="0"/>
        <w:autoSpaceDN w:val="0"/>
        <w:adjustRightInd w:val="0"/>
        <w:ind w:firstLine="547"/>
        <w:jc w:val="both"/>
        <w:rPr>
          <w:color w:val="00B0F0"/>
          <w:sz w:val="20"/>
        </w:rPr>
      </w:pPr>
    </w:p>
    <w:p w:rsidR="000049F0" w:rsidRPr="003D3147" w:rsidRDefault="000049F0" w:rsidP="00AA4BF8">
      <w:pPr>
        <w:autoSpaceDE w:val="0"/>
        <w:autoSpaceDN w:val="0"/>
        <w:adjustRightInd w:val="0"/>
        <w:jc w:val="both"/>
        <w:rPr>
          <w:color w:val="0070C0"/>
          <w:sz w:val="20"/>
        </w:rPr>
      </w:pPr>
    </w:p>
    <w:p w:rsidR="00AA4BF8" w:rsidRDefault="00AA4BF8" w:rsidP="00AA4BF8">
      <w:pPr>
        <w:autoSpaceDE w:val="0"/>
        <w:autoSpaceDN w:val="0"/>
        <w:adjustRightInd w:val="0"/>
        <w:jc w:val="both"/>
        <w:rPr>
          <w:sz w:val="20"/>
        </w:rPr>
      </w:pPr>
      <w:r w:rsidRPr="00412620">
        <w:rPr>
          <w:rStyle w:val="FootnoteReference"/>
          <w:rFonts w:cs="Arial"/>
          <w:sz w:val="20"/>
        </w:rPr>
        <w:lastRenderedPageBreak/>
        <w:footnoteReference w:id="2066"/>
      </w:r>
      <w:r w:rsidRPr="00412620">
        <w:rPr>
          <w:sz w:val="20"/>
        </w:rPr>
        <w:t xml:space="preserve">[ </w:t>
      </w:r>
      <w:r w:rsidR="00AD5E5C">
        <w:rPr>
          <w:sz w:val="20"/>
        </w:rPr>
        <w:t xml:space="preserve"> </w:t>
      </w:r>
      <w:r w:rsidRPr="00412620">
        <w:rPr>
          <w:sz w:val="20"/>
        </w:rPr>
        <w:t xml:space="preserve"> ]</w:t>
      </w:r>
    </w:p>
    <w:p w:rsidR="00B92B2F" w:rsidRPr="00412620" w:rsidRDefault="00B92B2F" w:rsidP="00AA4BF8">
      <w:pPr>
        <w:autoSpaceDE w:val="0"/>
        <w:autoSpaceDN w:val="0"/>
        <w:adjustRightInd w:val="0"/>
        <w:jc w:val="both"/>
        <w:rPr>
          <w:sz w:val="20"/>
        </w:rPr>
      </w:pPr>
    </w:p>
    <w:p w:rsidR="00AA4BF8" w:rsidRPr="00412620" w:rsidRDefault="00AA4BF8" w:rsidP="00AA4BF8">
      <w:pPr>
        <w:autoSpaceDE w:val="0"/>
        <w:autoSpaceDN w:val="0"/>
        <w:adjustRightInd w:val="0"/>
        <w:jc w:val="both"/>
        <w:rPr>
          <w:sz w:val="20"/>
        </w:rPr>
      </w:pPr>
      <w:r w:rsidRPr="00412620">
        <w:rPr>
          <w:rStyle w:val="FootnoteReference"/>
          <w:rFonts w:cs="Arial"/>
          <w:sz w:val="20"/>
        </w:rPr>
        <w:footnoteReference w:id="2067"/>
      </w:r>
      <w:r w:rsidRPr="00412620">
        <w:rPr>
          <w:sz w:val="20"/>
        </w:rPr>
        <w:t xml:space="preserve">[ </w:t>
      </w:r>
      <w:r w:rsidR="00AD5E5C">
        <w:rPr>
          <w:sz w:val="20"/>
        </w:rPr>
        <w:t xml:space="preserve"> </w:t>
      </w:r>
      <w:r w:rsidRPr="00412620">
        <w:rPr>
          <w:sz w:val="20"/>
        </w:rPr>
        <w:t xml:space="preserve"> ]</w:t>
      </w:r>
    </w:p>
    <w:p w:rsidR="00AA4BF8" w:rsidRPr="00412620" w:rsidRDefault="00AA4BF8" w:rsidP="00AA4BF8">
      <w:pPr>
        <w:autoSpaceDE w:val="0"/>
        <w:autoSpaceDN w:val="0"/>
        <w:adjustRightInd w:val="0"/>
        <w:jc w:val="both"/>
        <w:rPr>
          <w:sz w:val="22"/>
          <w:szCs w:val="22"/>
        </w:rPr>
      </w:pPr>
    </w:p>
    <w:p w:rsidR="00AA4BF8" w:rsidRPr="00412620" w:rsidRDefault="00AA4BF8" w:rsidP="00AA4BF8">
      <w:pPr>
        <w:autoSpaceDE w:val="0"/>
        <w:autoSpaceDN w:val="0"/>
        <w:adjustRightInd w:val="0"/>
        <w:jc w:val="both"/>
        <w:rPr>
          <w:sz w:val="20"/>
          <w:lang w:val="en-US"/>
        </w:rPr>
      </w:pPr>
      <w:r w:rsidRPr="00412620">
        <w:rPr>
          <w:rStyle w:val="FootnoteReference"/>
          <w:rFonts w:cs="Arial"/>
          <w:sz w:val="20"/>
        </w:rPr>
        <w:footnoteReference w:id="2068"/>
      </w:r>
      <w:r w:rsidRPr="00412620">
        <w:rPr>
          <w:sz w:val="20"/>
        </w:rPr>
        <w:t xml:space="preserve">[ </w:t>
      </w:r>
      <w:r w:rsidR="00AD5E5C">
        <w:rPr>
          <w:sz w:val="20"/>
        </w:rPr>
        <w:t xml:space="preserve"> </w:t>
      </w:r>
      <w:r w:rsidRPr="00412620">
        <w:rPr>
          <w:sz w:val="20"/>
        </w:rPr>
        <w:t xml:space="preserve"> ]</w:t>
      </w:r>
    </w:p>
    <w:p w:rsidR="00AA4BF8" w:rsidRPr="00A112AE" w:rsidRDefault="00AA4BF8" w:rsidP="00AA4BF8">
      <w:pPr>
        <w:autoSpaceDE w:val="0"/>
        <w:autoSpaceDN w:val="0"/>
        <w:adjustRightInd w:val="0"/>
        <w:jc w:val="both"/>
        <w:rPr>
          <w:color w:val="0070C0"/>
          <w:lang w:val="en-US"/>
        </w:rPr>
      </w:pPr>
    </w:p>
    <w:p w:rsidR="00AA4BF8" w:rsidRPr="00C75159" w:rsidRDefault="00AA4BF8" w:rsidP="00AA4BF8">
      <w:pPr>
        <w:widowControl w:val="0"/>
        <w:jc w:val="both"/>
        <w:rPr>
          <w:bCs/>
          <w:snapToGrid w:val="0"/>
          <w:color w:val="000000" w:themeColor="text1"/>
          <w:sz w:val="20"/>
        </w:rPr>
      </w:pPr>
      <w:r w:rsidRPr="00C75159">
        <w:rPr>
          <w:rStyle w:val="FootnoteReference"/>
          <w:bCs/>
          <w:snapToGrid w:val="0"/>
          <w:color w:val="000000" w:themeColor="text1"/>
          <w:sz w:val="20"/>
        </w:rPr>
        <w:footnoteReference w:id="2069"/>
      </w:r>
      <w:r w:rsidRPr="00C75159">
        <w:rPr>
          <w:bCs/>
          <w:snapToGrid w:val="0"/>
          <w:color w:val="000000" w:themeColor="text1"/>
          <w:sz w:val="20"/>
        </w:rPr>
        <w:t xml:space="preserve">[ </w:t>
      </w:r>
      <w:r w:rsidR="00AD5E5C">
        <w:rPr>
          <w:bCs/>
          <w:snapToGrid w:val="0"/>
          <w:color w:val="000000" w:themeColor="text1"/>
          <w:sz w:val="20"/>
        </w:rPr>
        <w:t xml:space="preserve"> </w:t>
      </w:r>
      <w:r w:rsidRPr="00C75159">
        <w:rPr>
          <w:bCs/>
          <w:snapToGrid w:val="0"/>
          <w:color w:val="000000" w:themeColor="text1"/>
          <w:sz w:val="20"/>
        </w:rPr>
        <w:t xml:space="preserve"> ]</w:t>
      </w:r>
    </w:p>
    <w:p w:rsidR="00DB2B46" w:rsidRPr="001F693E" w:rsidRDefault="00DB2B46" w:rsidP="00AA4BF8">
      <w:pPr>
        <w:widowControl w:val="0"/>
        <w:jc w:val="both"/>
        <w:rPr>
          <w:snapToGrid w:val="0"/>
          <w:color w:val="00B0F0"/>
          <w:sz w:val="22"/>
          <w:szCs w:val="22"/>
        </w:rPr>
      </w:pPr>
    </w:p>
    <w:p w:rsidR="00AA4BF8" w:rsidRPr="00412620" w:rsidRDefault="00AA4BF8" w:rsidP="00AA4BF8">
      <w:pPr>
        <w:widowControl w:val="0"/>
        <w:jc w:val="both"/>
        <w:rPr>
          <w:b/>
          <w:bCs/>
          <w:snapToGrid w:val="0"/>
          <w:sz w:val="20"/>
        </w:rPr>
      </w:pPr>
      <w:r w:rsidRPr="00412620">
        <w:rPr>
          <w:rStyle w:val="FootnoteReference"/>
          <w:rFonts w:cs="Arial"/>
          <w:snapToGrid w:val="0"/>
          <w:sz w:val="20"/>
        </w:rPr>
        <w:footnoteReference w:id="2070"/>
      </w:r>
      <w:r w:rsidRPr="00412620">
        <w:rPr>
          <w:snapToGrid w:val="0"/>
          <w:sz w:val="20"/>
        </w:rPr>
        <w:t>[</w:t>
      </w:r>
      <w:r w:rsidRPr="00412620">
        <w:rPr>
          <w:b/>
          <w:bCs/>
          <w:snapToGrid w:val="0"/>
          <w:sz w:val="20"/>
        </w:rPr>
        <w:t xml:space="preserve">(18)  </w:t>
      </w:r>
      <w:r w:rsidRPr="00412620">
        <w:rPr>
          <w:snapToGrid w:val="0"/>
          <w:sz w:val="20"/>
        </w:rPr>
        <w:t>In the case of a modaraba the rate of income tax shall be 25% of total income excluding such part of total income to which Division III of Part I of the First Schedule or section153 or section 154 applies.]</w:t>
      </w:r>
    </w:p>
    <w:p w:rsidR="00AA4BF8" w:rsidRDefault="00AA4BF8" w:rsidP="00AA4BF8">
      <w:pPr>
        <w:widowControl w:val="0"/>
        <w:jc w:val="both"/>
        <w:rPr>
          <w:snapToGrid w:val="0"/>
          <w:sz w:val="22"/>
          <w:szCs w:val="22"/>
        </w:rPr>
      </w:pPr>
    </w:p>
    <w:p w:rsidR="00AA4BF8" w:rsidRPr="00C75159" w:rsidRDefault="00AA4BF8" w:rsidP="00AA4BF8">
      <w:pPr>
        <w:widowControl w:val="0"/>
        <w:jc w:val="both"/>
        <w:rPr>
          <w:snapToGrid w:val="0"/>
          <w:color w:val="000000" w:themeColor="text1"/>
          <w:sz w:val="20"/>
        </w:rPr>
      </w:pPr>
      <w:r w:rsidRPr="00C75159">
        <w:rPr>
          <w:rStyle w:val="FootnoteReference"/>
          <w:snapToGrid w:val="0"/>
          <w:color w:val="000000" w:themeColor="text1"/>
          <w:sz w:val="20"/>
        </w:rPr>
        <w:footnoteReference w:id="2071"/>
      </w:r>
      <w:r w:rsidRPr="00C75159">
        <w:rPr>
          <w:snapToGrid w:val="0"/>
          <w:color w:val="000000" w:themeColor="text1"/>
          <w:sz w:val="20"/>
        </w:rPr>
        <w:t xml:space="preserve">[(18A) The rate of tax as specified in Division II of Part 1 of the First Schedule shall be reduced to 20% for a company setting up an industrial undertaking between the first day of July, 2014 to the thirtieth day of June, 2017, for a period of five years beginning from the month in which the industrial undertaking is set up or commercial production </w:t>
      </w:r>
      <w:r w:rsidR="001C387B" w:rsidRPr="00C75159">
        <w:rPr>
          <w:snapToGrid w:val="0"/>
          <w:color w:val="000000" w:themeColor="text1"/>
          <w:sz w:val="20"/>
        </w:rPr>
        <w:t>is commenced whichever is later:</w:t>
      </w:r>
    </w:p>
    <w:p w:rsidR="00AA4BF8" w:rsidRPr="001C387B" w:rsidRDefault="00AA4BF8" w:rsidP="00AA4BF8">
      <w:pPr>
        <w:widowControl w:val="0"/>
        <w:jc w:val="both"/>
        <w:rPr>
          <w:snapToGrid w:val="0"/>
          <w:color w:val="00B0F0"/>
          <w:sz w:val="22"/>
          <w:szCs w:val="22"/>
        </w:rPr>
      </w:pPr>
    </w:p>
    <w:p w:rsidR="00AA4BF8" w:rsidRPr="00C75159" w:rsidRDefault="00AA4BF8" w:rsidP="00AA4BF8">
      <w:pPr>
        <w:widowControl w:val="0"/>
        <w:ind w:firstLine="547"/>
        <w:jc w:val="both"/>
        <w:rPr>
          <w:snapToGrid w:val="0"/>
          <w:color w:val="000000" w:themeColor="text1"/>
          <w:sz w:val="20"/>
        </w:rPr>
      </w:pPr>
      <w:r w:rsidRPr="00C75159">
        <w:rPr>
          <w:snapToGrid w:val="0"/>
          <w:color w:val="000000" w:themeColor="text1"/>
          <w:sz w:val="20"/>
        </w:rPr>
        <w:t>Provided that fifty percent of the cost of the project including working capital is through owner equ</w:t>
      </w:r>
      <w:r w:rsidR="001C387B" w:rsidRPr="00C75159">
        <w:rPr>
          <w:snapToGrid w:val="0"/>
          <w:color w:val="000000" w:themeColor="text1"/>
          <w:sz w:val="20"/>
        </w:rPr>
        <w:t>ity foreign direct investment.]</w:t>
      </w:r>
    </w:p>
    <w:p w:rsidR="00AA4BF8" w:rsidRPr="00E55152" w:rsidRDefault="00AA4BF8" w:rsidP="00AA4BF8">
      <w:pPr>
        <w:widowControl w:val="0"/>
        <w:jc w:val="both"/>
        <w:rPr>
          <w:snapToGrid w:val="0"/>
          <w:color w:val="0070C0"/>
          <w:sz w:val="22"/>
          <w:szCs w:val="22"/>
        </w:rPr>
      </w:pPr>
    </w:p>
    <w:p w:rsidR="00D91996" w:rsidRPr="00D47C20" w:rsidRDefault="00D91996" w:rsidP="00D91996">
      <w:pPr>
        <w:pStyle w:val="Default"/>
        <w:jc w:val="both"/>
        <w:rPr>
          <w:snapToGrid w:val="0"/>
          <w:color w:val="0070C0"/>
          <w:sz w:val="20"/>
          <w:szCs w:val="20"/>
        </w:rPr>
      </w:pPr>
      <w:r w:rsidRPr="00D47C20">
        <w:rPr>
          <w:rStyle w:val="FootnoteReference"/>
          <w:snapToGrid w:val="0"/>
          <w:color w:val="0070C0"/>
          <w:sz w:val="20"/>
          <w:szCs w:val="20"/>
        </w:rPr>
        <w:footnoteReference w:id="2072"/>
      </w:r>
      <w:r w:rsidRPr="00D47C20">
        <w:rPr>
          <w:snapToGrid w:val="0"/>
          <w:color w:val="0070C0"/>
          <w:sz w:val="20"/>
          <w:szCs w:val="20"/>
        </w:rPr>
        <w:t>[“(18B) The rate of tax as specified in Division II of Part I of the First Schedule shall be reduced by 2% in case of a company whose shares are traded on stock exchange if:</w:t>
      </w:r>
    </w:p>
    <w:p w:rsidR="00D91996" w:rsidRPr="0087301F" w:rsidRDefault="00D91996" w:rsidP="00D91996">
      <w:pPr>
        <w:pStyle w:val="Default"/>
        <w:jc w:val="both"/>
        <w:rPr>
          <w:color w:val="0070C0"/>
          <w:sz w:val="20"/>
          <w:szCs w:val="20"/>
        </w:rPr>
      </w:pPr>
    </w:p>
    <w:p w:rsidR="00D91996" w:rsidRPr="0087301F" w:rsidRDefault="00D91996" w:rsidP="00D91996">
      <w:pPr>
        <w:pStyle w:val="Default"/>
        <w:ind w:left="1094" w:right="720" w:hanging="547"/>
        <w:jc w:val="both"/>
        <w:rPr>
          <w:color w:val="0070C0"/>
          <w:sz w:val="20"/>
          <w:szCs w:val="20"/>
        </w:rPr>
      </w:pPr>
      <w:r w:rsidRPr="0087301F">
        <w:rPr>
          <w:color w:val="0070C0"/>
          <w:sz w:val="20"/>
          <w:szCs w:val="20"/>
        </w:rPr>
        <w:t>(a)</w:t>
      </w:r>
      <w:r w:rsidRPr="0087301F">
        <w:rPr>
          <w:color w:val="0070C0"/>
          <w:sz w:val="20"/>
          <w:szCs w:val="20"/>
        </w:rPr>
        <w:tab/>
        <w:t xml:space="preserve">it fulfils prescribed </w:t>
      </w:r>
      <w:r w:rsidRPr="0087301F">
        <w:rPr>
          <w:i/>
          <w:color w:val="0070C0"/>
          <w:sz w:val="20"/>
          <w:szCs w:val="20"/>
        </w:rPr>
        <w:t>shari’ah</w:t>
      </w:r>
      <w:r w:rsidRPr="0087301F">
        <w:rPr>
          <w:color w:val="0070C0"/>
          <w:sz w:val="20"/>
          <w:szCs w:val="20"/>
        </w:rPr>
        <w:t xml:space="preserve"> compliant criteria approved by State Bank of Pakistan, Securities and Exchange Commission of Pakistan and the Board;</w:t>
      </w:r>
    </w:p>
    <w:p w:rsidR="00D91996" w:rsidRPr="00301B0D" w:rsidRDefault="00D91996" w:rsidP="00D91996">
      <w:pPr>
        <w:pStyle w:val="Default"/>
        <w:ind w:left="547" w:right="720"/>
        <w:jc w:val="both"/>
        <w:rPr>
          <w:color w:val="FF0000"/>
          <w:sz w:val="20"/>
          <w:szCs w:val="20"/>
        </w:rPr>
      </w:pPr>
    </w:p>
    <w:p w:rsidR="00D91996" w:rsidRPr="00D47C20" w:rsidRDefault="00D91996" w:rsidP="00D91996">
      <w:pPr>
        <w:pStyle w:val="Default"/>
        <w:ind w:right="720" w:firstLine="547"/>
        <w:jc w:val="both"/>
        <w:rPr>
          <w:color w:val="0070C0"/>
          <w:sz w:val="20"/>
          <w:szCs w:val="20"/>
        </w:rPr>
      </w:pPr>
      <w:r w:rsidRPr="00D47C20">
        <w:rPr>
          <w:color w:val="0070C0"/>
          <w:sz w:val="20"/>
          <w:szCs w:val="20"/>
        </w:rPr>
        <w:t>(b)</w:t>
      </w:r>
      <w:r w:rsidRPr="00D47C20">
        <w:rPr>
          <w:color w:val="0070C0"/>
          <w:sz w:val="20"/>
          <w:szCs w:val="20"/>
        </w:rPr>
        <w:tab/>
        <w:t>derives income from manufacturing activities only;</w:t>
      </w:r>
    </w:p>
    <w:p w:rsidR="0011045A" w:rsidRPr="00D47C20" w:rsidRDefault="0011045A" w:rsidP="00D91996">
      <w:pPr>
        <w:pStyle w:val="Default"/>
        <w:ind w:right="720" w:firstLine="547"/>
        <w:jc w:val="both"/>
        <w:rPr>
          <w:color w:val="0070C0"/>
          <w:sz w:val="20"/>
          <w:szCs w:val="20"/>
        </w:rPr>
      </w:pPr>
    </w:p>
    <w:p w:rsidR="00D91996" w:rsidRPr="00D47C20" w:rsidRDefault="00D91996" w:rsidP="00D91996">
      <w:pPr>
        <w:pStyle w:val="Default"/>
        <w:ind w:left="1094" w:right="720" w:hanging="547"/>
        <w:jc w:val="both"/>
        <w:rPr>
          <w:color w:val="0070C0"/>
          <w:sz w:val="20"/>
          <w:szCs w:val="20"/>
        </w:rPr>
      </w:pPr>
      <w:r w:rsidRPr="00D47C20">
        <w:rPr>
          <w:color w:val="0070C0"/>
          <w:sz w:val="20"/>
          <w:szCs w:val="20"/>
        </w:rPr>
        <w:t>(c)</w:t>
      </w:r>
      <w:r w:rsidRPr="00D47C20">
        <w:rPr>
          <w:color w:val="0070C0"/>
          <w:sz w:val="20"/>
          <w:szCs w:val="20"/>
        </w:rPr>
        <w:tab/>
        <w:t>has declared taxable income for the last three consecutive tax years; and</w:t>
      </w:r>
    </w:p>
    <w:p w:rsidR="00D91996" w:rsidRPr="00D47C20" w:rsidRDefault="00D91996" w:rsidP="00D91996">
      <w:pPr>
        <w:pStyle w:val="Heading1"/>
        <w:keepNext w:val="0"/>
        <w:jc w:val="both"/>
        <w:rPr>
          <w:rFonts w:cs="Arial"/>
          <w:color w:val="0070C0"/>
          <w:sz w:val="20"/>
        </w:rPr>
      </w:pPr>
    </w:p>
    <w:p w:rsidR="00D91996" w:rsidRPr="00D47C20" w:rsidRDefault="00D91996" w:rsidP="00D91996">
      <w:pPr>
        <w:pStyle w:val="Heading1"/>
        <w:keepNext w:val="0"/>
        <w:ind w:left="1094" w:hanging="547"/>
        <w:jc w:val="both"/>
        <w:rPr>
          <w:b w:val="0"/>
          <w:snapToGrid w:val="0"/>
          <w:color w:val="0070C0"/>
          <w:sz w:val="20"/>
        </w:rPr>
      </w:pPr>
      <w:r w:rsidRPr="00D47C20">
        <w:rPr>
          <w:rFonts w:cs="Arial"/>
          <w:b w:val="0"/>
          <w:caps w:val="0"/>
          <w:color w:val="0070C0"/>
          <w:sz w:val="20"/>
        </w:rPr>
        <w:t>(d)</w:t>
      </w:r>
      <w:r w:rsidRPr="00D47C20">
        <w:rPr>
          <w:rFonts w:cs="Arial"/>
          <w:b w:val="0"/>
          <w:caps w:val="0"/>
          <w:color w:val="0070C0"/>
          <w:sz w:val="20"/>
        </w:rPr>
        <w:tab/>
        <w:t>has issued dividend for the last five consecutive tax years.”]</w:t>
      </w:r>
    </w:p>
    <w:p w:rsidR="00D91996" w:rsidRDefault="00D91996" w:rsidP="00AA4BF8">
      <w:pPr>
        <w:pStyle w:val="Heading1"/>
        <w:keepNext w:val="0"/>
        <w:jc w:val="both"/>
        <w:rPr>
          <w:b w:val="0"/>
          <w:snapToGrid w:val="0"/>
          <w:color w:val="000000" w:themeColor="text1"/>
          <w:sz w:val="20"/>
        </w:rPr>
      </w:pPr>
    </w:p>
    <w:p w:rsidR="00AA4BF8" w:rsidRPr="00C75159" w:rsidRDefault="001C387B" w:rsidP="00AA4BF8">
      <w:pPr>
        <w:pStyle w:val="Heading1"/>
        <w:keepNext w:val="0"/>
        <w:jc w:val="both"/>
        <w:rPr>
          <w:b w:val="0"/>
          <w:snapToGrid w:val="0"/>
          <w:color w:val="000000" w:themeColor="text1"/>
          <w:sz w:val="20"/>
        </w:rPr>
      </w:pPr>
      <w:r w:rsidRPr="00C75159">
        <w:rPr>
          <w:rStyle w:val="FootnoteReference"/>
          <w:b w:val="0"/>
          <w:snapToGrid w:val="0"/>
          <w:color w:val="000000" w:themeColor="text1"/>
          <w:sz w:val="20"/>
        </w:rPr>
        <w:footnoteReference w:id="2073"/>
      </w:r>
      <w:r w:rsidRPr="00C75159">
        <w:rPr>
          <w:b w:val="0"/>
          <w:snapToGrid w:val="0"/>
          <w:color w:val="000000" w:themeColor="text1"/>
          <w:sz w:val="20"/>
        </w:rPr>
        <w:t xml:space="preserve">[ </w:t>
      </w:r>
      <w:r w:rsidR="00AD5E5C">
        <w:rPr>
          <w:b w:val="0"/>
          <w:snapToGrid w:val="0"/>
          <w:color w:val="000000" w:themeColor="text1"/>
          <w:sz w:val="20"/>
        </w:rPr>
        <w:t xml:space="preserve"> </w:t>
      </w:r>
      <w:r w:rsidR="00C75159" w:rsidRPr="00C75159">
        <w:rPr>
          <w:b w:val="0"/>
          <w:snapToGrid w:val="0"/>
          <w:color w:val="000000" w:themeColor="text1"/>
          <w:sz w:val="20"/>
        </w:rPr>
        <w:t xml:space="preserve"> </w:t>
      </w:r>
      <w:r w:rsidRPr="00C75159">
        <w:rPr>
          <w:b w:val="0"/>
          <w:snapToGrid w:val="0"/>
          <w:color w:val="000000" w:themeColor="text1"/>
          <w:sz w:val="20"/>
        </w:rPr>
        <w:t>]</w:t>
      </w:r>
    </w:p>
    <w:p w:rsidR="00AA4BF8" w:rsidRPr="00C75159" w:rsidRDefault="00BD18B2" w:rsidP="00AA4BF8">
      <w:pPr>
        <w:jc w:val="both"/>
        <w:rPr>
          <w:color w:val="000000" w:themeColor="text1"/>
          <w:sz w:val="20"/>
        </w:rPr>
      </w:pPr>
      <w:r w:rsidRPr="00C75159">
        <w:rPr>
          <w:rStyle w:val="FootnoteReference"/>
          <w:color w:val="000000" w:themeColor="text1"/>
          <w:sz w:val="20"/>
        </w:rPr>
        <w:footnoteReference w:id="2074"/>
      </w:r>
      <w:r w:rsidRPr="00C75159">
        <w:rPr>
          <w:color w:val="000000" w:themeColor="text1"/>
          <w:sz w:val="20"/>
        </w:rPr>
        <w:t xml:space="preserve">[ </w:t>
      </w:r>
      <w:r w:rsidR="00AD5E5C">
        <w:rPr>
          <w:color w:val="000000" w:themeColor="text1"/>
          <w:sz w:val="20"/>
        </w:rPr>
        <w:t xml:space="preserve"> </w:t>
      </w:r>
      <w:r w:rsidR="00C75159" w:rsidRPr="00C75159">
        <w:rPr>
          <w:color w:val="000000" w:themeColor="text1"/>
          <w:sz w:val="20"/>
        </w:rPr>
        <w:t xml:space="preserve"> </w:t>
      </w:r>
      <w:r w:rsidRPr="00C75159">
        <w:rPr>
          <w:color w:val="000000" w:themeColor="text1"/>
          <w:sz w:val="20"/>
        </w:rPr>
        <w:t>]</w:t>
      </w:r>
    </w:p>
    <w:p w:rsidR="00AA4BF8" w:rsidRPr="00412620" w:rsidRDefault="00AA4BF8" w:rsidP="00AA4BF8">
      <w:pPr>
        <w:jc w:val="both"/>
        <w:rPr>
          <w:sz w:val="20"/>
        </w:rPr>
      </w:pPr>
    </w:p>
    <w:p w:rsidR="00275ECD" w:rsidRPr="00AD5E5C" w:rsidRDefault="00275ECD" w:rsidP="00275ECD">
      <w:pPr>
        <w:jc w:val="both"/>
        <w:rPr>
          <w:b/>
          <w:bCs/>
          <w:color w:val="000000" w:themeColor="text1"/>
          <w:sz w:val="20"/>
        </w:rPr>
      </w:pPr>
      <w:r w:rsidRPr="00AD5E5C">
        <w:rPr>
          <w:rStyle w:val="FootnoteReference"/>
          <w:color w:val="000000" w:themeColor="text1"/>
          <w:sz w:val="20"/>
        </w:rPr>
        <w:footnoteReference w:id="2075"/>
      </w:r>
      <w:r w:rsidRPr="00AD5E5C">
        <w:rPr>
          <w:color w:val="000000" w:themeColor="text1"/>
          <w:sz w:val="20"/>
        </w:rPr>
        <w:t xml:space="preserve">[ </w:t>
      </w:r>
      <w:r w:rsidR="00AD5E5C" w:rsidRPr="00AD5E5C">
        <w:rPr>
          <w:color w:val="000000" w:themeColor="text1"/>
          <w:sz w:val="20"/>
        </w:rPr>
        <w:t xml:space="preserve"> </w:t>
      </w:r>
      <w:r w:rsidRPr="00AD5E5C">
        <w:rPr>
          <w:color w:val="000000" w:themeColor="text1"/>
          <w:sz w:val="20"/>
        </w:rPr>
        <w:t xml:space="preserve"> ]</w:t>
      </w:r>
    </w:p>
    <w:p w:rsidR="00AA4BF8" w:rsidRPr="00412620" w:rsidRDefault="00AA4BF8" w:rsidP="00AA4BF8">
      <w:pPr>
        <w:jc w:val="center"/>
        <w:rPr>
          <w:b/>
          <w:bCs/>
          <w:snapToGrid w:val="0"/>
          <w:sz w:val="20"/>
        </w:rPr>
      </w:pPr>
    </w:p>
    <w:p w:rsidR="00AA4BF8" w:rsidRDefault="00AA4BF8" w:rsidP="00AA4BF8">
      <w:pPr>
        <w:jc w:val="both"/>
        <w:rPr>
          <w:snapToGrid w:val="0"/>
          <w:sz w:val="20"/>
        </w:rPr>
      </w:pPr>
      <w:r w:rsidRPr="00412620">
        <w:rPr>
          <w:rStyle w:val="FootnoteReference"/>
          <w:rFonts w:cs="Arial"/>
          <w:snapToGrid w:val="0"/>
          <w:sz w:val="20"/>
        </w:rPr>
        <w:footnoteReference w:id="2076"/>
      </w:r>
      <w:r w:rsidRPr="00412620">
        <w:rPr>
          <w:snapToGrid w:val="0"/>
          <w:sz w:val="20"/>
        </w:rPr>
        <w:t xml:space="preserve">[ </w:t>
      </w:r>
      <w:r w:rsidR="00AD5E5C">
        <w:rPr>
          <w:snapToGrid w:val="0"/>
          <w:sz w:val="20"/>
        </w:rPr>
        <w:t xml:space="preserve">  </w:t>
      </w:r>
      <w:r w:rsidRPr="00412620">
        <w:rPr>
          <w:snapToGrid w:val="0"/>
          <w:sz w:val="20"/>
        </w:rPr>
        <w:t>]</w:t>
      </w:r>
    </w:p>
    <w:p w:rsidR="008E319C" w:rsidRPr="00412620" w:rsidRDefault="008E319C" w:rsidP="00AA4BF8">
      <w:pPr>
        <w:jc w:val="both"/>
        <w:rPr>
          <w:snapToGrid w:val="0"/>
          <w:sz w:val="20"/>
        </w:rPr>
      </w:pPr>
    </w:p>
    <w:p w:rsidR="00AA4BF8" w:rsidRPr="00C75159" w:rsidRDefault="000A7DDF" w:rsidP="00AA4BF8">
      <w:pPr>
        <w:rPr>
          <w:bCs/>
          <w:snapToGrid w:val="0"/>
          <w:color w:val="000000" w:themeColor="text1"/>
          <w:sz w:val="20"/>
        </w:rPr>
      </w:pPr>
      <w:r w:rsidRPr="00C75159">
        <w:rPr>
          <w:rStyle w:val="FootnoteReference"/>
          <w:bCs/>
          <w:snapToGrid w:val="0"/>
          <w:color w:val="000000" w:themeColor="text1"/>
          <w:sz w:val="20"/>
        </w:rPr>
        <w:footnoteReference w:id="2077"/>
      </w:r>
      <w:r w:rsidRPr="00C75159">
        <w:rPr>
          <w:bCs/>
          <w:snapToGrid w:val="0"/>
          <w:color w:val="000000" w:themeColor="text1"/>
          <w:sz w:val="20"/>
        </w:rPr>
        <w:t xml:space="preserve">[ </w:t>
      </w:r>
      <w:r w:rsidR="00AD5E5C">
        <w:rPr>
          <w:bCs/>
          <w:snapToGrid w:val="0"/>
          <w:color w:val="000000" w:themeColor="text1"/>
          <w:sz w:val="20"/>
        </w:rPr>
        <w:t xml:space="preserve"> </w:t>
      </w:r>
      <w:r w:rsidR="00C75159" w:rsidRPr="00C75159">
        <w:rPr>
          <w:bCs/>
          <w:snapToGrid w:val="0"/>
          <w:color w:val="000000" w:themeColor="text1"/>
          <w:sz w:val="20"/>
        </w:rPr>
        <w:t xml:space="preserve"> </w:t>
      </w:r>
      <w:r w:rsidRPr="00C75159">
        <w:rPr>
          <w:bCs/>
          <w:snapToGrid w:val="0"/>
          <w:color w:val="000000" w:themeColor="text1"/>
          <w:sz w:val="20"/>
        </w:rPr>
        <w:t>]</w:t>
      </w:r>
    </w:p>
    <w:p w:rsidR="008E319C" w:rsidRPr="003A3D87" w:rsidRDefault="008E319C" w:rsidP="00AA4BF8">
      <w:pPr>
        <w:rPr>
          <w:b/>
          <w:bCs/>
          <w:snapToGrid w:val="0"/>
          <w:color w:val="00B0F0"/>
          <w:sz w:val="20"/>
        </w:rPr>
      </w:pPr>
    </w:p>
    <w:p w:rsidR="00AA4BF8" w:rsidRPr="00C75159" w:rsidRDefault="003A3D87" w:rsidP="00AA4BF8">
      <w:pPr>
        <w:jc w:val="both"/>
        <w:rPr>
          <w:snapToGrid w:val="0"/>
          <w:color w:val="000000" w:themeColor="text1"/>
          <w:sz w:val="20"/>
        </w:rPr>
      </w:pPr>
      <w:r w:rsidRPr="00C75159">
        <w:rPr>
          <w:rStyle w:val="FootnoteReference"/>
          <w:snapToGrid w:val="0"/>
          <w:color w:val="000000" w:themeColor="text1"/>
          <w:sz w:val="20"/>
        </w:rPr>
        <w:footnoteReference w:id="2078"/>
      </w:r>
      <w:r w:rsidRPr="00C75159">
        <w:rPr>
          <w:snapToGrid w:val="0"/>
          <w:color w:val="000000" w:themeColor="text1"/>
          <w:sz w:val="20"/>
        </w:rPr>
        <w:t xml:space="preserve">[ </w:t>
      </w:r>
      <w:r w:rsidR="00C75159" w:rsidRPr="00C75159">
        <w:rPr>
          <w:snapToGrid w:val="0"/>
          <w:color w:val="000000" w:themeColor="text1"/>
          <w:sz w:val="20"/>
        </w:rPr>
        <w:t xml:space="preserve"> </w:t>
      </w:r>
      <w:r w:rsidR="00AD5E5C">
        <w:rPr>
          <w:snapToGrid w:val="0"/>
          <w:color w:val="000000" w:themeColor="text1"/>
          <w:sz w:val="20"/>
        </w:rPr>
        <w:t xml:space="preserve"> </w:t>
      </w:r>
      <w:r w:rsidRPr="00C75159">
        <w:rPr>
          <w:snapToGrid w:val="0"/>
          <w:color w:val="000000" w:themeColor="text1"/>
          <w:sz w:val="20"/>
        </w:rPr>
        <w:t>]</w:t>
      </w:r>
    </w:p>
    <w:p w:rsidR="008E319C" w:rsidRPr="003A3D87" w:rsidRDefault="008E319C" w:rsidP="00AA4BF8">
      <w:pPr>
        <w:jc w:val="both"/>
        <w:rPr>
          <w:snapToGrid w:val="0"/>
          <w:color w:val="00B0F0"/>
          <w:sz w:val="20"/>
        </w:rPr>
      </w:pPr>
    </w:p>
    <w:p w:rsidR="00AA4BF8" w:rsidRPr="00412620" w:rsidRDefault="00AA4BF8" w:rsidP="00AA4BF8">
      <w:pPr>
        <w:jc w:val="both"/>
        <w:rPr>
          <w:snapToGrid w:val="0"/>
          <w:sz w:val="20"/>
        </w:rPr>
      </w:pPr>
      <w:r w:rsidRPr="00412620">
        <w:rPr>
          <w:rStyle w:val="FootnoteReference"/>
          <w:rFonts w:cs="Arial"/>
          <w:snapToGrid w:val="0"/>
          <w:sz w:val="20"/>
        </w:rPr>
        <w:footnoteReference w:id="2079"/>
      </w:r>
      <w:r w:rsidRPr="00412620">
        <w:rPr>
          <w:snapToGrid w:val="0"/>
          <w:sz w:val="20"/>
        </w:rPr>
        <w:t>[</w:t>
      </w:r>
      <w:r w:rsidRPr="00412620">
        <w:rPr>
          <w:b/>
          <w:bCs/>
          <w:snapToGrid w:val="0"/>
          <w:sz w:val="20"/>
        </w:rPr>
        <w:t>(24A)</w:t>
      </w:r>
      <w:r w:rsidRPr="00412620">
        <w:rPr>
          <w:snapToGrid w:val="0"/>
          <w:sz w:val="20"/>
        </w:rPr>
        <w:t xml:space="preserve"> The rate of tax, under clause (a) of sub-section (1) of section 153, from distributors of cigarette and pharmaceutical products </w:t>
      </w:r>
      <w:r w:rsidRPr="00412620">
        <w:rPr>
          <w:rStyle w:val="FootnoteReference"/>
          <w:rFonts w:cs="Arial"/>
          <w:snapToGrid w:val="0"/>
          <w:sz w:val="20"/>
        </w:rPr>
        <w:footnoteReference w:id="2080"/>
      </w:r>
      <w:r w:rsidRPr="00412620">
        <w:rPr>
          <w:snapToGrid w:val="0"/>
          <w:sz w:val="20"/>
        </w:rPr>
        <w:t>[and for large distribution houses who fulfill all the conditions for a large import house as laid down under clause (d) of sub-section (7) of section 148, for large import houses,] shall be 1% of the gross amount of payments.]</w:t>
      </w:r>
    </w:p>
    <w:p w:rsidR="00AA4BF8" w:rsidRPr="00412620" w:rsidRDefault="00AA4BF8" w:rsidP="00AA4BF8">
      <w:pPr>
        <w:jc w:val="both"/>
        <w:rPr>
          <w:snapToGrid w:val="0"/>
          <w:sz w:val="20"/>
        </w:rPr>
      </w:pPr>
    </w:p>
    <w:p w:rsidR="00AA4BF8" w:rsidRPr="00C75159" w:rsidRDefault="0032377C" w:rsidP="00AA4BF8">
      <w:pPr>
        <w:jc w:val="both"/>
        <w:rPr>
          <w:snapToGrid w:val="0"/>
          <w:color w:val="000000" w:themeColor="text1"/>
          <w:sz w:val="20"/>
        </w:rPr>
      </w:pPr>
      <w:r w:rsidRPr="00C75159">
        <w:rPr>
          <w:rStyle w:val="FootnoteReference"/>
          <w:snapToGrid w:val="0"/>
          <w:color w:val="000000" w:themeColor="text1"/>
          <w:sz w:val="20"/>
        </w:rPr>
        <w:footnoteReference w:id="2081"/>
      </w:r>
      <w:r w:rsidRPr="00C75159">
        <w:rPr>
          <w:snapToGrid w:val="0"/>
          <w:color w:val="000000" w:themeColor="text1"/>
          <w:sz w:val="20"/>
        </w:rPr>
        <w:t xml:space="preserve">[ </w:t>
      </w:r>
      <w:r w:rsidR="00C75159" w:rsidRPr="00C75159">
        <w:rPr>
          <w:snapToGrid w:val="0"/>
          <w:color w:val="000000" w:themeColor="text1"/>
          <w:sz w:val="20"/>
        </w:rPr>
        <w:t xml:space="preserve"> </w:t>
      </w:r>
      <w:r w:rsidRPr="00C75159">
        <w:rPr>
          <w:snapToGrid w:val="0"/>
          <w:color w:val="000000" w:themeColor="text1"/>
          <w:sz w:val="20"/>
        </w:rPr>
        <w:t>]</w:t>
      </w:r>
    </w:p>
    <w:p w:rsidR="00BC7456" w:rsidRPr="00BC7456" w:rsidRDefault="00BC7456" w:rsidP="00AA4BF8">
      <w:pPr>
        <w:jc w:val="both"/>
        <w:rPr>
          <w:snapToGrid w:val="0"/>
          <w:color w:val="00B0F0"/>
          <w:sz w:val="20"/>
        </w:rPr>
      </w:pPr>
    </w:p>
    <w:p w:rsidR="00AA4BF8" w:rsidRDefault="00AA4BF8" w:rsidP="00AA4BF8">
      <w:pPr>
        <w:jc w:val="both"/>
        <w:rPr>
          <w:snapToGrid w:val="0"/>
          <w:sz w:val="20"/>
        </w:rPr>
      </w:pPr>
      <w:r w:rsidRPr="00412620">
        <w:rPr>
          <w:rStyle w:val="FootnoteReference"/>
          <w:rFonts w:cs="Arial"/>
          <w:snapToGrid w:val="0"/>
          <w:sz w:val="20"/>
        </w:rPr>
        <w:footnoteReference w:id="2082"/>
      </w:r>
      <w:r w:rsidRPr="00412620">
        <w:rPr>
          <w:snapToGrid w:val="0"/>
          <w:sz w:val="20"/>
        </w:rPr>
        <w:t>[</w:t>
      </w:r>
      <w:r w:rsidR="00C75159">
        <w:rPr>
          <w:snapToGrid w:val="0"/>
          <w:sz w:val="20"/>
        </w:rPr>
        <w:t xml:space="preserve"> </w:t>
      </w:r>
      <w:r w:rsidRPr="00412620">
        <w:rPr>
          <w:snapToGrid w:val="0"/>
          <w:sz w:val="20"/>
        </w:rPr>
        <w:t xml:space="preserve"> ]</w:t>
      </w:r>
    </w:p>
    <w:p w:rsidR="008E319C" w:rsidRPr="00412620" w:rsidRDefault="008E319C" w:rsidP="00AA4BF8">
      <w:pPr>
        <w:jc w:val="both"/>
        <w:rPr>
          <w:snapToGrid w:val="0"/>
          <w:sz w:val="20"/>
        </w:rPr>
      </w:pPr>
    </w:p>
    <w:p w:rsidR="00AA4BF8" w:rsidRPr="001E66EB" w:rsidRDefault="00BC7456" w:rsidP="00AA4BF8">
      <w:pPr>
        <w:jc w:val="both"/>
        <w:rPr>
          <w:snapToGrid w:val="0"/>
          <w:color w:val="000000" w:themeColor="text1"/>
          <w:sz w:val="20"/>
        </w:rPr>
      </w:pPr>
      <w:r w:rsidRPr="001E66EB">
        <w:rPr>
          <w:rStyle w:val="FootnoteReference"/>
          <w:snapToGrid w:val="0"/>
          <w:color w:val="000000" w:themeColor="text1"/>
          <w:sz w:val="20"/>
        </w:rPr>
        <w:footnoteReference w:id="2083"/>
      </w:r>
      <w:r w:rsidRPr="001E66EB">
        <w:rPr>
          <w:snapToGrid w:val="0"/>
          <w:color w:val="000000" w:themeColor="text1"/>
          <w:sz w:val="20"/>
        </w:rPr>
        <w:t xml:space="preserve">[ </w:t>
      </w:r>
      <w:r w:rsidR="001E66EB" w:rsidRPr="001E66EB">
        <w:rPr>
          <w:snapToGrid w:val="0"/>
          <w:color w:val="000000" w:themeColor="text1"/>
          <w:sz w:val="20"/>
        </w:rPr>
        <w:t xml:space="preserve"> </w:t>
      </w:r>
      <w:r w:rsidRPr="001E66EB">
        <w:rPr>
          <w:snapToGrid w:val="0"/>
          <w:color w:val="000000" w:themeColor="text1"/>
          <w:sz w:val="20"/>
        </w:rPr>
        <w:t>]</w:t>
      </w:r>
    </w:p>
    <w:p w:rsidR="00AA4BF8" w:rsidRPr="00412620" w:rsidRDefault="00AA4BF8" w:rsidP="00AA4BF8">
      <w:pPr>
        <w:jc w:val="both"/>
        <w:rPr>
          <w:b/>
          <w:bCs/>
          <w:snapToGrid w:val="0"/>
          <w:sz w:val="20"/>
        </w:rPr>
      </w:pPr>
    </w:p>
    <w:p w:rsidR="00AA4BF8" w:rsidRPr="00412620" w:rsidRDefault="00AA4BF8" w:rsidP="00AA4BF8">
      <w:pPr>
        <w:jc w:val="both"/>
        <w:rPr>
          <w:snapToGrid w:val="0"/>
          <w:sz w:val="20"/>
        </w:rPr>
      </w:pPr>
      <w:r w:rsidRPr="00412620">
        <w:rPr>
          <w:rStyle w:val="FootnoteReference"/>
          <w:rFonts w:cs="Arial"/>
          <w:snapToGrid w:val="0"/>
          <w:sz w:val="20"/>
        </w:rPr>
        <w:footnoteReference w:id="2084"/>
      </w:r>
      <w:r w:rsidRPr="00412620">
        <w:rPr>
          <w:snapToGrid w:val="0"/>
          <w:sz w:val="20"/>
        </w:rPr>
        <w:t>[</w:t>
      </w:r>
      <w:r w:rsidRPr="00412620">
        <w:rPr>
          <w:b/>
          <w:bCs/>
          <w:snapToGrid w:val="0"/>
          <w:sz w:val="20"/>
        </w:rPr>
        <w:t>(27)</w:t>
      </w:r>
      <w:r w:rsidRPr="00412620">
        <w:rPr>
          <w:snapToGrid w:val="0"/>
          <w:sz w:val="20"/>
        </w:rPr>
        <w:tab/>
        <w:t>The tax on payments under the Compulsory Monetization of Transport Facility for Civil Servants in BS-20 to BS-22 (as reduced by deduction of driver’s salary) shall be charged at the rate of 5% as a separate block of income.]</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085"/>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896681" w:rsidP="00AA4BF8">
      <w:pPr>
        <w:widowControl w:val="0"/>
        <w:jc w:val="both"/>
        <w:rPr>
          <w:snapToGrid w:val="0"/>
          <w:sz w:val="20"/>
        </w:rPr>
      </w:pPr>
      <w:r>
        <w:rPr>
          <w:rStyle w:val="FootnoteReference"/>
          <w:snapToGrid w:val="0"/>
          <w:sz w:val="20"/>
        </w:rPr>
        <w:footnoteReference w:id="2086"/>
      </w:r>
      <w:r w:rsidR="00AA4BF8" w:rsidRPr="00412620">
        <w:rPr>
          <w:snapToGrid w:val="0"/>
          <w:sz w:val="20"/>
        </w:rPr>
        <w:t>[</w:t>
      </w:r>
      <w:r w:rsidR="00AA4BF8" w:rsidRPr="00412620">
        <w:rPr>
          <w:b/>
          <w:bCs/>
          <w:snapToGrid w:val="0"/>
          <w:sz w:val="20"/>
        </w:rPr>
        <w:t>(28A)</w:t>
      </w:r>
      <w:r w:rsidR="00AA4BF8" w:rsidRPr="00412620">
        <w:rPr>
          <w:snapToGrid w:val="0"/>
          <w:sz w:val="20"/>
        </w:rPr>
        <w:tab/>
        <w:t>The rate of tax under section 148 on import of hybrid cars shall be reduced as below:—</w:t>
      </w:r>
    </w:p>
    <w:p w:rsidR="00AA4BF8" w:rsidRPr="00412620" w:rsidRDefault="00AA4BF8" w:rsidP="00AA4BF8">
      <w:pPr>
        <w:widowControl w:val="0"/>
        <w:jc w:val="both"/>
        <w:rPr>
          <w:snapToGrid w:val="0"/>
          <w:sz w:val="20"/>
        </w:rPr>
      </w:pPr>
    </w:p>
    <w:tbl>
      <w:tblPr>
        <w:tblW w:w="4320" w:type="dxa"/>
        <w:tblInd w:w="2" w:type="dxa"/>
        <w:tblLook w:val="00A0"/>
      </w:tblPr>
      <w:tblGrid>
        <w:gridCol w:w="2340"/>
        <w:gridCol w:w="1980"/>
      </w:tblGrid>
      <w:tr w:rsidR="00AA4BF8" w:rsidRPr="00412620" w:rsidTr="00A752DD">
        <w:tc>
          <w:tcPr>
            <w:tcW w:w="2340" w:type="dxa"/>
          </w:tcPr>
          <w:p w:rsidR="00AA4BF8" w:rsidRPr="00412620" w:rsidRDefault="00AA4BF8" w:rsidP="00A752DD">
            <w:pPr>
              <w:widowControl w:val="0"/>
              <w:jc w:val="both"/>
              <w:rPr>
                <w:b/>
                <w:bCs/>
                <w:snapToGrid w:val="0"/>
                <w:sz w:val="20"/>
              </w:rPr>
            </w:pPr>
            <w:r w:rsidRPr="00412620">
              <w:rPr>
                <w:b/>
                <w:bCs/>
                <w:snapToGrid w:val="0"/>
                <w:sz w:val="20"/>
              </w:rPr>
              <w:t>Engine Capacity</w:t>
            </w:r>
          </w:p>
        </w:tc>
        <w:tc>
          <w:tcPr>
            <w:tcW w:w="1980" w:type="dxa"/>
          </w:tcPr>
          <w:p w:rsidR="00AA4BF8" w:rsidRPr="00412620" w:rsidRDefault="00AA4BF8" w:rsidP="00A752DD">
            <w:pPr>
              <w:widowControl w:val="0"/>
              <w:jc w:val="both"/>
              <w:rPr>
                <w:b/>
                <w:bCs/>
                <w:snapToGrid w:val="0"/>
                <w:sz w:val="20"/>
              </w:rPr>
            </w:pPr>
            <w:r w:rsidRPr="00412620">
              <w:rPr>
                <w:b/>
                <w:bCs/>
                <w:snapToGrid w:val="0"/>
                <w:sz w:val="20"/>
              </w:rPr>
              <w:t>Rate of reduction</w:t>
            </w:r>
          </w:p>
          <w:p w:rsidR="00AA4BF8" w:rsidRPr="00412620" w:rsidRDefault="00AA4BF8" w:rsidP="00A752DD">
            <w:pPr>
              <w:widowControl w:val="0"/>
              <w:jc w:val="both"/>
              <w:rPr>
                <w:b/>
                <w:bCs/>
                <w:snapToGrid w:val="0"/>
                <w:sz w:val="20"/>
              </w:rPr>
            </w:pPr>
          </w:p>
        </w:tc>
      </w:tr>
      <w:tr w:rsidR="00AA4BF8" w:rsidRPr="00412620" w:rsidTr="00A752DD">
        <w:tc>
          <w:tcPr>
            <w:tcW w:w="2340" w:type="dxa"/>
          </w:tcPr>
          <w:p w:rsidR="00AA4BF8" w:rsidRPr="00412620" w:rsidRDefault="00AA4BF8" w:rsidP="00A752DD">
            <w:pPr>
              <w:widowControl w:val="0"/>
              <w:jc w:val="both"/>
              <w:rPr>
                <w:snapToGrid w:val="0"/>
                <w:sz w:val="20"/>
              </w:rPr>
            </w:pPr>
            <w:r w:rsidRPr="00412620">
              <w:rPr>
                <w:snapToGrid w:val="0"/>
                <w:sz w:val="20"/>
              </w:rPr>
              <w:t>Upto 1200 cc</w:t>
            </w:r>
          </w:p>
        </w:tc>
        <w:tc>
          <w:tcPr>
            <w:tcW w:w="1980" w:type="dxa"/>
          </w:tcPr>
          <w:p w:rsidR="00AA4BF8" w:rsidRPr="00412620" w:rsidRDefault="00AA4BF8" w:rsidP="00A752DD">
            <w:pPr>
              <w:widowControl w:val="0"/>
              <w:jc w:val="center"/>
              <w:rPr>
                <w:snapToGrid w:val="0"/>
                <w:sz w:val="20"/>
              </w:rPr>
            </w:pPr>
            <w:r w:rsidRPr="00412620">
              <w:rPr>
                <w:snapToGrid w:val="0"/>
                <w:sz w:val="20"/>
              </w:rPr>
              <w:t>100%</w:t>
            </w:r>
          </w:p>
        </w:tc>
      </w:tr>
      <w:tr w:rsidR="00AA4BF8" w:rsidRPr="00412620" w:rsidTr="00A752DD">
        <w:tc>
          <w:tcPr>
            <w:tcW w:w="2340" w:type="dxa"/>
          </w:tcPr>
          <w:p w:rsidR="00AA4BF8" w:rsidRPr="00412620" w:rsidRDefault="00AA4BF8" w:rsidP="00A752DD">
            <w:pPr>
              <w:widowControl w:val="0"/>
              <w:jc w:val="both"/>
              <w:rPr>
                <w:snapToGrid w:val="0"/>
                <w:sz w:val="20"/>
              </w:rPr>
            </w:pPr>
            <w:r w:rsidRPr="00412620">
              <w:rPr>
                <w:snapToGrid w:val="0"/>
                <w:sz w:val="20"/>
              </w:rPr>
              <w:t>1201 to 1800 cc</w:t>
            </w:r>
          </w:p>
        </w:tc>
        <w:tc>
          <w:tcPr>
            <w:tcW w:w="1980" w:type="dxa"/>
          </w:tcPr>
          <w:p w:rsidR="00AA4BF8" w:rsidRPr="00412620" w:rsidRDefault="00AA4BF8" w:rsidP="00A752DD">
            <w:pPr>
              <w:widowControl w:val="0"/>
              <w:jc w:val="center"/>
              <w:rPr>
                <w:snapToGrid w:val="0"/>
                <w:sz w:val="20"/>
              </w:rPr>
            </w:pPr>
            <w:r w:rsidRPr="00412620">
              <w:rPr>
                <w:snapToGrid w:val="0"/>
                <w:sz w:val="20"/>
              </w:rPr>
              <w:t>50%</w:t>
            </w:r>
          </w:p>
        </w:tc>
      </w:tr>
      <w:tr w:rsidR="00AA4BF8" w:rsidRPr="00412620" w:rsidTr="00A752DD">
        <w:tc>
          <w:tcPr>
            <w:tcW w:w="2340" w:type="dxa"/>
          </w:tcPr>
          <w:p w:rsidR="00AA4BF8" w:rsidRPr="00412620" w:rsidRDefault="00AA4BF8" w:rsidP="00A752DD">
            <w:pPr>
              <w:widowControl w:val="0"/>
              <w:jc w:val="both"/>
              <w:rPr>
                <w:snapToGrid w:val="0"/>
                <w:sz w:val="20"/>
              </w:rPr>
            </w:pPr>
            <w:r w:rsidRPr="00412620">
              <w:rPr>
                <w:snapToGrid w:val="0"/>
                <w:sz w:val="20"/>
              </w:rPr>
              <w:t>1801 to 2500 cc</w:t>
            </w:r>
          </w:p>
        </w:tc>
        <w:tc>
          <w:tcPr>
            <w:tcW w:w="1980" w:type="dxa"/>
          </w:tcPr>
          <w:p w:rsidR="00AA4BF8" w:rsidRPr="00412620" w:rsidRDefault="00AA4BF8" w:rsidP="00A752DD">
            <w:pPr>
              <w:widowControl w:val="0"/>
              <w:jc w:val="center"/>
              <w:rPr>
                <w:snapToGrid w:val="0"/>
                <w:sz w:val="20"/>
              </w:rPr>
            </w:pPr>
            <w:r w:rsidRPr="00412620">
              <w:rPr>
                <w:snapToGrid w:val="0"/>
                <w:sz w:val="20"/>
              </w:rPr>
              <w:t>25%</w:t>
            </w:r>
            <w:r w:rsidR="00896681">
              <w:rPr>
                <w:snapToGrid w:val="0"/>
                <w:sz w:val="20"/>
              </w:rPr>
              <w:t>]</w:t>
            </w:r>
          </w:p>
        </w:tc>
      </w:tr>
    </w:tbl>
    <w:p w:rsidR="00AA4BF8" w:rsidRPr="00412620" w:rsidRDefault="00AA4BF8" w:rsidP="00AA4BF8">
      <w:pPr>
        <w:widowControl w:val="0"/>
        <w:jc w:val="both"/>
        <w:rPr>
          <w:snapToGrid w:val="0"/>
          <w:sz w:val="20"/>
        </w:rPr>
      </w:pPr>
    </w:p>
    <w:p w:rsidR="001F693E" w:rsidRPr="001E66EB" w:rsidRDefault="009C6516" w:rsidP="00BC059A">
      <w:pPr>
        <w:widowControl w:val="0"/>
        <w:rPr>
          <w:snapToGrid w:val="0"/>
          <w:color w:val="000000" w:themeColor="text1"/>
          <w:sz w:val="20"/>
        </w:rPr>
      </w:pPr>
      <w:r w:rsidRPr="001E66EB">
        <w:rPr>
          <w:rStyle w:val="FootnoteReference"/>
          <w:snapToGrid w:val="0"/>
          <w:color w:val="000000" w:themeColor="text1"/>
          <w:sz w:val="20"/>
        </w:rPr>
        <w:footnoteReference w:id="2087"/>
      </w:r>
      <w:r w:rsidRPr="001E66EB">
        <w:rPr>
          <w:snapToGrid w:val="0"/>
          <w:color w:val="000000" w:themeColor="text1"/>
          <w:sz w:val="20"/>
        </w:rPr>
        <w:t xml:space="preserve">[ </w:t>
      </w:r>
      <w:r w:rsidR="001E66EB" w:rsidRPr="001E66EB">
        <w:rPr>
          <w:snapToGrid w:val="0"/>
          <w:color w:val="000000" w:themeColor="text1"/>
          <w:sz w:val="20"/>
        </w:rPr>
        <w:t xml:space="preserve"> </w:t>
      </w:r>
      <w:r w:rsidRPr="001E66EB">
        <w:rPr>
          <w:snapToGrid w:val="0"/>
          <w:color w:val="000000" w:themeColor="text1"/>
          <w:sz w:val="20"/>
        </w:rPr>
        <w:t>]</w:t>
      </w:r>
    </w:p>
    <w:p w:rsidR="001F693E" w:rsidRDefault="001F693E" w:rsidP="00BC059A">
      <w:pPr>
        <w:widowControl w:val="0"/>
        <w:rPr>
          <w:snapToGrid w:val="0"/>
          <w:color w:val="00B0F0"/>
          <w:sz w:val="20"/>
        </w:rPr>
      </w:pPr>
    </w:p>
    <w:p w:rsidR="001F693E" w:rsidRPr="001E66EB" w:rsidRDefault="001F693E" w:rsidP="00BC059A">
      <w:pPr>
        <w:widowControl w:val="0"/>
        <w:rPr>
          <w:snapToGrid w:val="0"/>
          <w:color w:val="000000" w:themeColor="text1"/>
          <w:sz w:val="20"/>
        </w:rPr>
      </w:pPr>
      <w:r w:rsidRPr="001E66EB">
        <w:rPr>
          <w:rStyle w:val="FootnoteReference"/>
          <w:snapToGrid w:val="0"/>
          <w:color w:val="000000" w:themeColor="text1"/>
          <w:sz w:val="20"/>
        </w:rPr>
        <w:lastRenderedPageBreak/>
        <w:footnoteReference w:id="2088"/>
      </w:r>
      <w:r w:rsidRPr="001E66EB">
        <w:rPr>
          <w:snapToGrid w:val="0"/>
          <w:color w:val="000000" w:themeColor="text1"/>
          <w:sz w:val="20"/>
        </w:rPr>
        <w:t>[</w:t>
      </w:r>
      <w:r w:rsidR="001E66EB" w:rsidRPr="001E66EB">
        <w:rPr>
          <w:snapToGrid w:val="0"/>
          <w:color w:val="000000" w:themeColor="text1"/>
          <w:sz w:val="20"/>
        </w:rPr>
        <w:t xml:space="preserve"> </w:t>
      </w:r>
      <w:r w:rsidRPr="001E66EB">
        <w:rPr>
          <w:snapToGrid w:val="0"/>
          <w:color w:val="000000" w:themeColor="text1"/>
          <w:sz w:val="20"/>
        </w:rPr>
        <w:t xml:space="preserve"> ] </w:t>
      </w:r>
    </w:p>
    <w:p w:rsidR="001B7CC9" w:rsidRDefault="001B7CC9" w:rsidP="00BC059A">
      <w:pPr>
        <w:widowControl w:val="0"/>
        <w:rPr>
          <w:snapToGrid w:val="0"/>
          <w:color w:val="00B0F0"/>
          <w:sz w:val="20"/>
        </w:rPr>
      </w:pPr>
    </w:p>
    <w:p w:rsidR="001B7CC9" w:rsidRPr="00AD5E5C" w:rsidRDefault="00A073F1" w:rsidP="001B7CC9">
      <w:pPr>
        <w:autoSpaceDE w:val="0"/>
        <w:autoSpaceDN w:val="0"/>
        <w:adjustRightInd w:val="0"/>
        <w:jc w:val="both"/>
        <w:rPr>
          <w:snapToGrid w:val="0"/>
          <w:color w:val="000000" w:themeColor="text1"/>
          <w:sz w:val="20"/>
        </w:rPr>
      </w:pPr>
      <w:r w:rsidRPr="00AD5E5C">
        <w:rPr>
          <w:rStyle w:val="FootnoteReference"/>
          <w:rFonts w:cs="Arial"/>
          <w:color w:val="000000" w:themeColor="text1"/>
          <w:sz w:val="20"/>
          <w:lang w:val="en-US"/>
        </w:rPr>
        <w:footnoteReference w:id="2089"/>
      </w:r>
      <w:r w:rsidR="001B7CC9" w:rsidRPr="00AD5E5C">
        <w:rPr>
          <w:rFonts w:cs="Arial"/>
          <w:color w:val="000000" w:themeColor="text1"/>
          <w:sz w:val="20"/>
          <w:lang w:val="en-US"/>
        </w:rPr>
        <w:t>[(28B) The rate of tax shall be 0.15% under</w:t>
      </w:r>
      <w:r w:rsidR="001417A6" w:rsidRPr="00AD5E5C">
        <w:rPr>
          <w:rFonts w:cs="Arial"/>
          <w:color w:val="000000" w:themeColor="text1"/>
          <w:sz w:val="20"/>
          <w:lang w:val="en-US"/>
        </w:rPr>
        <w:t xml:space="preserve"> </w:t>
      </w:r>
      <w:r w:rsidR="001B7CC9" w:rsidRPr="00AD5E5C">
        <w:rPr>
          <w:rFonts w:cs="Arial"/>
          <w:color w:val="000000" w:themeColor="text1"/>
          <w:sz w:val="20"/>
          <w:lang w:val="en-US"/>
        </w:rPr>
        <w:t>section 231A on cash withdrawal by an exchange</w:t>
      </w:r>
      <w:r w:rsidR="001417A6" w:rsidRPr="00AD5E5C">
        <w:rPr>
          <w:rFonts w:cs="Arial"/>
          <w:color w:val="000000" w:themeColor="text1"/>
          <w:sz w:val="20"/>
          <w:lang w:val="en-US"/>
        </w:rPr>
        <w:t xml:space="preserve"> </w:t>
      </w:r>
      <w:r w:rsidR="001B7CC9" w:rsidRPr="00AD5E5C">
        <w:rPr>
          <w:rFonts w:cs="Arial"/>
          <w:color w:val="000000" w:themeColor="text1"/>
          <w:sz w:val="20"/>
          <w:lang w:val="en-US"/>
        </w:rPr>
        <w:t>company, duly licensed and authorized by the</w:t>
      </w:r>
      <w:r w:rsidR="001417A6" w:rsidRPr="00AD5E5C">
        <w:rPr>
          <w:rFonts w:cs="Arial"/>
          <w:color w:val="000000" w:themeColor="text1"/>
          <w:sz w:val="20"/>
          <w:lang w:val="en-US"/>
        </w:rPr>
        <w:t xml:space="preserve"> </w:t>
      </w:r>
      <w:r w:rsidR="001B7CC9" w:rsidRPr="00AD5E5C">
        <w:rPr>
          <w:rFonts w:cs="Arial"/>
          <w:color w:val="000000" w:themeColor="text1"/>
          <w:sz w:val="20"/>
          <w:lang w:val="en-US"/>
        </w:rPr>
        <w:t>State Bank of Pakistan, exclusively dedicated for</w:t>
      </w:r>
      <w:r w:rsidR="001417A6" w:rsidRPr="00AD5E5C">
        <w:rPr>
          <w:rFonts w:cs="Arial"/>
          <w:color w:val="000000" w:themeColor="text1"/>
          <w:sz w:val="20"/>
          <w:lang w:val="en-US"/>
        </w:rPr>
        <w:t xml:space="preserve"> </w:t>
      </w:r>
      <w:r w:rsidR="001B7CC9" w:rsidRPr="00AD5E5C">
        <w:rPr>
          <w:rFonts w:cs="Arial"/>
          <w:color w:val="000000" w:themeColor="text1"/>
          <w:sz w:val="20"/>
          <w:lang w:val="en-US"/>
        </w:rPr>
        <w:t>its authorized business related transactions,</w:t>
      </w:r>
      <w:r w:rsidR="001417A6" w:rsidRPr="00AD5E5C">
        <w:rPr>
          <w:rFonts w:cs="Arial"/>
          <w:color w:val="000000" w:themeColor="text1"/>
          <w:sz w:val="20"/>
          <w:lang w:val="en-US"/>
        </w:rPr>
        <w:t xml:space="preserve"> </w:t>
      </w:r>
      <w:r w:rsidR="001B7CC9" w:rsidRPr="00AD5E5C">
        <w:rPr>
          <w:rFonts w:cs="Arial"/>
          <w:color w:val="000000" w:themeColor="text1"/>
          <w:sz w:val="20"/>
          <w:lang w:val="en-US"/>
        </w:rPr>
        <w:t>subject to the condition that a certificate issued by</w:t>
      </w:r>
      <w:r w:rsidR="001417A6" w:rsidRPr="00AD5E5C">
        <w:rPr>
          <w:rFonts w:cs="Arial"/>
          <w:color w:val="000000" w:themeColor="text1"/>
          <w:sz w:val="20"/>
          <w:lang w:val="en-US"/>
        </w:rPr>
        <w:t xml:space="preserve"> </w:t>
      </w:r>
      <w:r w:rsidR="001B7CC9" w:rsidRPr="00AD5E5C">
        <w:rPr>
          <w:rFonts w:cs="Arial"/>
          <w:color w:val="000000" w:themeColor="text1"/>
          <w:sz w:val="20"/>
          <w:lang w:val="en-US"/>
        </w:rPr>
        <w:t>the concerned Commissioner Inland Revenue for</w:t>
      </w:r>
      <w:r w:rsidR="001417A6" w:rsidRPr="00AD5E5C">
        <w:rPr>
          <w:rFonts w:cs="Arial"/>
          <w:color w:val="000000" w:themeColor="text1"/>
          <w:sz w:val="20"/>
          <w:lang w:val="en-US"/>
        </w:rPr>
        <w:t xml:space="preserve"> </w:t>
      </w:r>
      <w:r w:rsidR="001B7CC9" w:rsidRPr="00AD5E5C">
        <w:rPr>
          <w:rFonts w:cs="Arial"/>
          <w:color w:val="000000" w:themeColor="text1"/>
          <w:sz w:val="20"/>
          <w:lang w:val="en-US"/>
        </w:rPr>
        <w:t>a financial year mentioning details and particulars</w:t>
      </w:r>
      <w:r w:rsidR="001417A6" w:rsidRPr="00AD5E5C">
        <w:rPr>
          <w:rFonts w:cs="Arial"/>
          <w:color w:val="000000" w:themeColor="text1"/>
          <w:sz w:val="20"/>
          <w:lang w:val="en-US"/>
        </w:rPr>
        <w:t xml:space="preserve"> </w:t>
      </w:r>
      <w:r w:rsidR="001B7CC9" w:rsidRPr="00AD5E5C">
        <w:rPr>
          <w:rFonts w:cs="Arial"/>
          <w:color w:val="000000" w:themeColor="text1"/>
          <w:sz w:val="20"/>
          <w:lang w:val="en-US"/>
        </w:rPr>
        <w:t>of its Bank Account being used entirely for</w:t>
      </w:r>
      <w:r w:rsidR="001417A6" w:rsidRPr="00AD5E5C">
        <w:rPr>
          <w:rFonts w:cs="Arial"/>
          <w:color w:val="000000" w:themeColor="text1"/>
          <w:sz w:val="20"/>
          <w:lang w:val="en-US"/>
        </w:rPr>
        <w:t xml:space="preserve"> </w:t>
      </w:r>
      <w:r w:rsidR="001B7CC9" w:rsidRPr="00AD5E5C">
        <w:rPr>
          <w:rFonts w:cs="Arial"/>
          <w:color w:val="000000" w:themeColor="text1"/>
          <w:sz w:val="20"/>
          <w:lang w:val="en-US"/>
        </w:rPr>
        <w:t>business transactions is provided.”</w:t>
      </w:r>
      <w:r w:rsidRPr="00AD5E5C">
        <w:rPr>
          <w:rFonts w:cs="Arial"/>
          <w:color w:val="000000" w:themeColor="text1"/>
          <w:sz w:val="20"/>
          <w:lang w:val="en-US"/>
        </w:rPr>
        <w:t>]</w:t>
      </w:r>
    </w:p>
    <w:p w:rsidR="00AA4BF8" w:rsidRPr="00412620" w:rsidRDefault="001F693E" w:rsidP="00BD6E7F">
      <w:pPr>
        <w:jc w:val="center"/>
        <w:rPr>
          <w:b/>
          <w:bCs/>
          <w:snapToGrid w:val="0"/>
          <w:sz w:val="32"/>
          <w:szCs w:val="32"/>
        </w:rPr>
      </w:pPr>
      <w:r>
        <w:rPr>
          <w:snapToGrid w:val="0"/>
          <w:color w:val="00B0F0"/>
          <w:sz w:val="20"/>
        </w:rPr>
        <w:br w:type="page"/>
      </w:r>
      <w:r w:rsidR="00AA4BF8" w:rsidRPr="00412620">
        <w:rPr>
          <w:b/>
          <w:bCs/>
          <w:snapToGrid w:val="0"/>
          <w:sz w:val="32"/>
          <w:szCs w:val="32"/>
        </w:rPr>
        <w:lastRenderedPageBreak/>
        <w:t>PART III</w:t>
      </w:r>
    </w:p>
    <w:p w:rsidR="00AA4BF8" w:rsidRPr="008E319C" w:rsidRDefault="00AA4BF8" w:rsidP="00AA4BF8">
      <w:pPr>
        <w:pStyle w:val="Heading1"/>
        <w:rPr>
          <w:rFonts w:cs="Arial"/>
          <w:snapToGrid w:val="0"/>
          <w:sz w:val="20"/>
        </w:rPr>
      </w:pPr>
      <w:r w:rsidRPr="008E319C">
        <w:rPr>
          <w:rFonts w:cs="Arial"/>
          <w:snapToGrid w:val="0"/>
          <w:sz w:val="20"/>
        </w:rPr>
        <w:t>REDUCTION IN TAX LIABILITY</w:t>
      </w:r>
    </w:p>
    <w:p w:rsidR="00AA4BF8" w:rsidRPr="008E319C" w:rsidRDefault="00AA4BF8" w:rsidP="00AA4BF8">
      <w:pPr>
        <w:keepNext/>
        <w:widowControl w:val="0"/>
        <w:rPr>
          <w:rFonts w:cs="Arial"/>
          <w:b/>
          <w:bCs/>
          <w:snapToGrid w:val="0"/>
          <w:sz w:val="20"/>
        </w:rPr>
      </w:pPr>
    </w:p>
    <w:p w:rsidR="00AA4BF8" w:rsidRPr="008E319C" w:rsidRDefault="00AA4BF8" w:rsidP="00AA4BF8">
      <w:pPr>
        <w:pStyle w:val="BodyText"/>
        <w:jc w:val="both"/>
        <w:rPr>
          <w:rFonts w:cs="Arial"/>
          <w:sz w:val="20"/>
        </w:rPr>
      </w:pPr>
      <w:r w:rsidRPr="008E319C">
        <w:rPr>
          <w:rFonts w:cs="Arial"/>
          <w:sz w:val="20"/>
        </w:rPr>
        <w:tab/>
        <w:t>Income, or classes of income, or person or classes of person, enumerated below, shall be allowed reduction in tax liability to the extent and subject to such conditions as are specified hereunder:-</w:t>
      </w:r>
    </w:p>
    <w:p w:rsidR="00AA4BF8" w:rsidRPr="008E319C" w:rsidRDefault="00AA4BF8" w:rsidP="00AA4BF8">
      <w:pPr>
        <w:pStyle w:val="BodyText"/>
        <w:jc w:val="both"/>
        <w:rPr>
          <w:rFonts w:cs="Arial"/>
          <w:sz w:val="20"/>
        </w:rPr>
      </w:pPr>
    </w:p>
    <w:p w:rsidR="00AA4BF8" w:rsidRPr="008E319C" w:rsidRDefault="00A27442" w:rsidP="004B20DC">
      <w:pPr>
        <w:pStyle w:val="BodyText3"/>
        <w:widowControl/>
        <w:numPr>
          <w:ilvl w:val="0"/>
          <w:numId w:val="50"/>
        </w:numPr>
        <w:rPr>
          <w:rFonts w:ascii="Arial" w:hAnsi="Arial" w:cs="Arial"/>
          <w:sz w:val="20"/>
          <w:lang w:val="en-AU"/>
        </w:rPr>
      </w:pPr>
      <w:r w:rsidRPr="008E319C">
        <w:rPr>
          <w:rStyle w:val="FootnoteReference"/>
          <w:rFonts w:ascii="Arial" w:hAnsi="Arial" w:cs="Arial"/>
          <w:sz w:val="20"/>
          <w:lang w:val="en-AU"/>
        </w:rPr>
        <w:footnoteReference w:id="2090"/>
      </w:r>
      <w:r w:rsidR="00AA4BF8" w:rsidRPr="008E319C">
        <w:rPr>
          <w:rFonts w:ascii="Arial" w:hAnsi="Arial" w:cs="Arial"/>
          <w:sz w:val="20"/>
          <w:lang w:val="en-AU"/>
        </w:rPr>
        <w:t xml:space="preserve">[(1) </w:t>
      </w:r>
      <w:r w:rsidR="00AA4BF8" w:rsidRPr="008E319C">
        <w:rPr>
          <w:rFonts w:ascii="Arial" w:hAnsi="Arial" w:cs="Arial"/>
          <w:sz w:val="20"/>
          <w:lang w:val="en-AU"/>
        </w:rPr>
        <w:tab/>
        <w:t>Any amount received as-</w:t>
      </w:r>
    </w:p>
    <w:p w:rsidR="00AA4BF8" w:rsidRPr="008E319C" w:rsidRDefault="00AA4BF8" w:rsidP="00AA4BF8">
      <w:pPr>
        <w:pStyle w:val="BodyText3"/>
        <w:widowControl/>
        <w:rPr>
          <w:rFonts w:ascii="Arial" w:hAnsi="Arial" w:cs="Arial"/>
          <w:sz w:val="20"/>
          <w:lang w:val="en-AU"/>
        </w:rPr>
      </w:pPr>
    </w:p>
    <w:p w:rsidR="00AA4BF8" w:rsidRPr="008E319C" w:rsidRDefault="00AA4BF8" w:rsidP="00AA4BF8">
      <w:pPr>
        <w:pStyle w:val="BodyText3"/>
        <w:widowControl/>
        <w:ind w:left="1634" w:hanging="540"/>
        <w:rPr>
          <w:rFonts w:ascii="Arial" w:hAnsi="Arial" w:cs="Arial"/>
          <w:sz w:val="20"/>
          <w:lang w:val="en-AU"/>
        </w:rPr>
      </w:pPr>
      <w:r w:rsidRPr="008E319C">
        <w:rPr>
          <w:rFonts w:ascii="Arial" w:hAnsi="Arial" w:cs="Arial"/>
          <w:sz w:val="20"/>
          <w:lang w:val="en-AU"/>
        </w:rPr>
        <w:t xml:space="preserve">(a) </w:t>
      </w:r>
      <w:r w:rsidRPr="008E319C">
        <w:rPr>
          <w:rFonts w:ascii="Arial" w:hAnsi="Arial" w:cs="Arial"/>
          <w:sz w:val="20"/>
          <w:lang w:val="en-AU"/>
        </w:rPr>
        <w:tab/>
        <w:t xml:space="preserve">flying allowance by </w:t>
      </w:r>
      <w:r w:rsidR="00BC059A" w:rsidRPr="001E66EB">
        <w:rPr>
          <w:rStyle w:val="FootnoteReference"/>
          <w:rFonts w:ascii="Arial" w:hAnsi="Arial" w:cs="Arial"/>
          <w:color w:val="000000" w:themeColor="text1"/>
          <w:sz w:val="20"/>
          <w:lang w:val="en-AU"/>
        </w:rPr>
        <w:footnoteReference w:id="2091"/>
      </w:r>
      <w:r w:rsidR="00BC059A" w:rsidRPr="001E66EB">
        <w:rPr>
          <w:rFonts w:ascii="Arial" w:hAnsi="Arial" w:cs="Arial"/>
          <w:color w:val="000000" w:themeColor="text1"/>
          <w:sz w:val="20"/>
          <w:lang w:val="en-AU"/>
        </w:rPr>
        <w:t xml:space="preserve">[ </w:t>
      </w:r>
      <w:r w:rsidR="001E66EB" w:rsidRPr="001E66EB">
        <w:rPr>
          <w:rFonts w:ascii="Arial" w:hAnsi="Arial" w:cs="Arial"/>
          <w:color w:val="000000" w:themeColor="text1"/>
          <w:sz w:val="20"/>
          <w:lang w:val="en-AU"/>
        </w:rPr>
        <w:t xml:space="preserve"> </w:t>
      </w:r>
      <w:r w:rsidR="00BC059A" w:rsidRPr="001E66EB">
        <w:rPr>
          <w:rFonts w:ascii="Arial" w:hAnsi="Arial" w:cs="Arial"/>
          <w:color w:val="000000" w:themeColor="text1"/>
          <w:sz w:val="20"/>
          <w:lang w:val="en-AU"/>
        </w:rPr>
        <w:t>]</w:t>
      </w:r>
      <w:r w:rsidR="001E66EB">
        <w:rPr>
          <w:rFonts w:ascii="Arial" w:hAnsi="Arial" w:cs="Arial"/>
          <w:color w:val="00B0F0"/>
          <w:sz w:val="20"/>
          <w:lang w:val="en-AU"/>
        </w:rPr>
        <w:t xml:space="preserve"> </w:t>
      </w:r>
      <w:r w:rsidRPr="008E319C">
        <w:rPr>
          <w:rFonts w:ascii="Arial" w:hAnsi="Arial" w:cs="Arial"/>
          <w:sz w:val="20"/>
          <w:lang w:val="en-AU"/>
        </w:rPr>
        <w:t>flight engineers, navigators of Pakistan Armed Forces, Pakistani Airlines or Civil Aviation Authority, Junior Commissioned Officers or other ranks of Pakistan Armed Forces; and</w:t>
      </w:r>
    </w:p>
    <w:p w:rsidR="00AA4BF8" w:rsidRPr="008E319C" w:rsidRDefault="00AA4BF8" w:rsidP="00AA4BF8">
      <w:pPr>
        <w:pStyle w:val="BodyText3"/>
        <w:widowControl/>
        <w:ind w:left="547" w:firstLine="547"/>
        <w:rPr>
          <w:rFonts w:ascii="Arial" w:hAnsi="Arial" w:cs="Arial"/>
          <w:sz w:val="20"/>
          <w:lang w:val="en-AU"/>
        </w:rPr>
      </w:pPr>
    </w:p>
    <w:p w:rsidR="00AA4BF8" w:rsidRPr="008E319C" w:rsidRDefault="00AA4BF8" w:rsidP="00AA4BF8">
      <w:pPr>
        <w:pStyle w:val="BodyText3"/>
        <w:widowControl/>
        <w:ind w:left="547" w:firstLine="547"/>
        <w:rPr>
          <w:rFonts w:ascii="Arial" w:hAnsi="Arial" w:cs="Arial"/>
          <w:sz w:val="20"/>
          <w:lang w:val="en-AU"/>
        </w:rPr>
      </w:pPr>
      <w:r w:rsidRPr="008E319C">
        <w:rPr>
          <w:rFonts w:ascii="Arial" w:hAnsi="Arial" w:cs="Arial"/>
          <w:sz w:val="20"/>
          <w:lang w:val="en-AU"/>
        </w:rPr>
        <w:t xml:space="preserve">(b) </w:t>
      </w:r>
      <w:r w:rsidRPr="008E319C">
        <w:rPr>
          <w:rFonts w:ascii="Arial" w:hAnsi="Arial" w:cs="Arial"/>
          <w:sz w:val="20"/>
          <w:lang w:val="en-AU"/>
        </w:rPr>
        <w:tab/>
        <w:t>submarine allowance by the officers of the Pakistan Navy,</w:t>
      </w:r>
    </w:p>
    <w:p w:rsidR="00AA4BF8" w:rsidRPr="008E319C" w:rsidRDefault="00AA4BF8" w:rsidP="00AA4BF8">
      <w:pPr>
        <w:pStyle w:val="BodyText3"/>
        <w:widowControl/>
        <w:ind w:left="547" w:firstLine="547"/>
        <w:rPr>
          <w:rFonts w:ascii="Arial" w:hAnsi="Arial" w:cs="Arial"/>
          <w:sz w:val="20"/>
          <w:lang w:val="en-AU"/>
        </w:rPr>
      </w:pPr>
    </w:p>
    <w:p w:rsidR="00AA4BF8" w:rsidRPr="008E319C" w:rsidRDefault="00AA4BF8" w:rsidP="00AA4BF8">
      <w:pPr>
        <w:pStyle w:val="BodyText3"/>
        <w:widowControl/>
        <w:ind w:left="547" w:firstLine="547"/>
        <w:rPr>
          <w:rFonts w:ascii="Arial" w:hAnsi="Arial" w:cs="Arial"/>
          <w:sz w:val="20"/>
          <w:lang w:val="en-AU"/>
        </w:rPr>
      </w:pPr>
      <w:r w:rsidRPr="008E319C">
        <w:rPr>
          <w:rFonts w:ascii="Arial" w:hAnsi="Arial" w:cs="Arial"/>
          <w:sz w:val="20"/>
          <w:lang w:val="en-AU"/>
        </w:rPr>
        <w:t xml:space="preserve">shall be taxed @ 2.5% as a separate block of income </w:t>
      </w:r>
      <w:r w:rsidRPr="008E319C">
        <w:rPr>
          <w:rStyle w:val="FootnoteReference"/>
          <w:rFonts w:ascii="Arial" w:hAnsi="Arial" w:cs="Arial"/>
          <w:sz w:val="20"/>
          <w:lang w:val="en-AU"/>
        </w:rPr>
        <w:footnoteReference w:id="2092"/>
      </w:r>
      <w:r w:rsidRPr="008E319C">
        <w:rPr>
          <w:rFonts w:ascii="Arial" w:hAnsi="Arial" w:cs="Arial"/>
          <w:sz w:val="20"/>
          <w:lang w:val="en-AU"/>
        </w:rPr>
        <w:t>[:] ]</w:t>
      </w:r>
    </w:p>
    <w:p w:rsidR="00AA4BF8" w:rsidRPr="008E319C" w:rsidRDefault="00AA4BF8" w:rsidP="00AA4BF8">
      <w:pPr>
        <w:pStyle w:val="BodyText3"/>
        <w:widowControl/>
        <w:ind w:left="547" w:firstLine="547"/>
        <w:rPr>
          <w:rFonts w:ascii="Arial" w:hAnsi="Arial" w:cs="Arial"/>
          <w:sz w:val="20"/>
          <w:lang w:val="en-AU"/>
        </w:rPr>
      </w:pPr>
    </w:p>
    <w:p w:rsidR="00AA4BF8" w:rsidRPr="008E319C" w:rsidRDefault="00AA4BF8" w:rsidP="004759CC">
      <w:pPr>
        <w:pStyle w:val="BodyText3"/>
        <w:widowControl/>
        <w:ind w:left="547" w:firstLine="547"/>
        <w:rPr>
          <w:rFonts w:ascii="Arial" w:hAnsi="Arial" w:cs="Arial"/>
          <w:sz w:val="20"/>
          <w:lang w:val="en-AU"/>
        </w:rPr>
      </w:pPr>
      <w:r w:rsidRPr="008E319C">
        <w:rPr>
          <w:rFonts w:ascii="Arial" w:hAnsi="Arial" w:cs="Arial"/>
          <w:sz w:val="20"/>
          <w:lang w:val="en-AU"/>
        </w:rPr>
        <w:tab/>
      </w:r>
      <w:r w:rsidRPr="008E319C">
        <w:rPr>
          <w:rFonts w:ascii="Arial" w:hAnsi="Arial" w:cs="Arial"/>
          <w:sz w:val="20"/>
          <w:lang w:val="en-AU"/>
        </w:rPr>
        <w:tab/>
      </w:r>
      <w:r w:rsidRPr="008E319C">
        <w:rPr>
          <w:rStyle w:val="FootnoteReference"/>
          <w:rFonts w:ascii="Arial" w:hAnsi="Arial" w:cs="Arial"/>
          <w:sz w:val="20"/>
          <w:lang w:val="en-AU"/>
        </w:rPr>
        <w:footnoteReference w:id="2093"/>
      </w:r>
      <w:r w:rsidRPr="008E319C">
        <w:rPr>
          <w:rFonts w:ascii="Arial" w:hAnsi="Arial" w:cs="Arial"/>
          <w:sz w:val="20"/>
          <w:lang w:val="en-AU"/>
        </w:rPr>
        <w:t xml:space="preserve">[Provided that the reduction under this clause shall be </w:t>
      </w:r>
      <w:r w:rsidRPr="008E319C">
        <w:rPr>
          <w:rFonts w:ascii="Arial" w:hAnsi="Arial" w:cs="Arial"/>
          <w:sz w:val="20"/>
          <w:lang w:val="en-AU"/>
        </w:rPr>
        <w:tab/>
      </w:r>
      <w:r w:rsidRPr="008E319C">
        <w:rPr>
          <w:rFonts w:ascii="Arial" w:hAnsi="Arial" w:cs="Arial"/>
          <w:sz w:val="20"/>
          <w:lang w:val="en-AU"/>
        </w:rPr>
        <w:tab/>
      </w:r>
      <w:r w:rsidRPr="008E319C">
        <w:rPr>
          <w:rFonts w:ascii="Arial" w:hAnsi="Arial" w:cs="Arial"/>
          <w:sz w:val="20"/>
          <w:lang w:val="en-AU"/>
        </w:rPr>
        <w:tab/>
        <w:t xml:space="preserve">available to so much of the flying allowance or the submarine </w:t>
      </w:r>
      <w:r w:rsidRPr="008E319C">
        <w:rPr>
          <w:rFonts w:ascii="Arial" w:hAnsi="Arial" w:cs="Arial"/>
          <w:sz w:val="20"/>
          <w:lang w:val="en-AU"/>
        </w:rPr>
        <w:tab/>
      </w:r>
      <w:r w:rsidRPr="008E319C">
        <w:rPr>
          <w:rFonts w:ascii="Arial" w:hAnsi="Arial" w:cs="Arial"/>
          <w:sz w:val="20"/>
          <w:lang w:val="en-AU"/>
        </w:rPr>
        <w:tab/>
      </w:r>
      <w:r w:rsidRPr="008E319C">
        <w:rPr>
          <w:rFonts w:ascii="Arial" w:hAnsi="Arial" w:cs="Arial"/>
          <w:sz w:val="20"/>
          <w:lang w:val="en-AU"/>
        </w:rPr>
        <w:tab/>
        <w:t xml:space="preserve">allowance as does not exceed an amount equal to the basic </w:t>
      </w:r>
      <w:r w:rsidRPr="008E319C">
        <w:rPr>
          <w:rFonts w:ascii="Arial" w:hAnsi="Arial" w:cs="Arial"/>
          <w:sz w:val="20"/>
          <w:lang w:val="en-AU"/>
        </w:rPr>
        <w:tab/>
      </w:r>
      <w:r w:rsidRPr="008E319C">
        <w:rPr>
          <w:rFonts w:ascii="Arial" w:hAnsi="Arial" w:cs="Arial"/>
          <w:sz w:val="20"/>
          <w:lang w:val="en-AU"/>
        </w:rPr>
        <w:tab/>
      </w:r>
      <w:r w:rsidRPr="008E319C">
        <w:rPr>
          <w:rFonts w:ascii="Arial" w:hAnsi="Arial" w:cs="Arial"/>
          <w:sz w:val="20"/>
          <w:lang w:val="en-AU"/>
        </w:rPr>
        <w:tab/>
        <w:t>salary.]</w:t>
      </w:r>
    </w:p>
    <w:p w:rsidR="00AA4BF8" w:rsidRPr="008E319C" w:rsidRDefault="00AA4BF8" w:rsidP="00AA4BF8">
      <w:pPr>
        <w:pStyle w:val="BodyText3"/>
        <w:widowControl/>
        <w:ind w:left="547" w:firstLine="547"/>
        <w:rPr>
          <w:rFonts w:ascii="Arial" w:hAnsi="Arial" w:cs="Arial"/>
          <w:sz w:val="20"/>
          <w:lang w:val="en-AU"/>
        </w:rPr>
      </w:pPr>
    </w:p>
    <w:p w:rsidR="00AA4BF8" w:rsidRPr="001E66EB" w:rsidRDefault="00AA4BF8" w:rsidP="00AA4BF8">
      <w:pPr>
        <w:ind w:left="547"/>
        <w:jc w:val="both"/>
        <w:rPr>
          <w:rFonts w:cs="Arial"/>
          <w:color w:val="000000" w:themeColor="text1"/>
          <w:sz w:val="20"/>
        </w:rPr>
      </w:pPr>
      <w:r w:rsidRPr="001E66EB">
        <w:rPr>
          <w:rStyle w:val="FootnoteReference"/>
          <w:rFonts w:cs="Arial"/>
          <w:color w:val="000000" w:themeColor="text1"/>
          <w:sz w:val="20"/>
        </w:rPr>
        <w:footnoteReference w:id="2094"/>
      </w:r>
      <w:r w:rsidRPr="001E66EB">
        <w:rPr>
          <w:rFonts w:cs="Arial"/>
          <w:color w:val="000000" w:themeColor="text1"/>
          <w:sz w:val="20"/>
        </w:rPr>
        <w:t>[  ]</w:t>
      </w:r>
    </w:p>
    <w:p w:rsidR="008E319C" w:rsidRPr="001E66EB" w:rsidRDefault="008E319C" w:rsidP="00AA4BF8">
      <w:pPr>
        <w:ind w:left="547"/>
        <w:jc w:val="both"/>
        <w:rPr>
          <w:rFonts w:cs="Arial"/>
          <w:b/>
          <w:bCs/>
          <w:color w:val="000000" w:themeColor="text1"/>
          <w:sz w:val="20"/>
        </w:rPr>
      </w:pPr>
    </w:p>
    <w:p w:rsidR="00AA4BF8" w:rsidRPr="001E66EB" w:rsidRDefault="00AA4BF8" w:rsidP="001E66EB">
      <w:pPr>
        <w:ind w:firstLine="547"/>
        <w:jc w:val="both"/>
        <w:rPr>
          <w:rFonts w:cs="Arial"/>
          <w:color w:val="000000" w:themeColor="text1"/>
          <w:sz w:val="20"/>
        </w:rPr>
      </w:pPr>
      <w:r w:rsidRPr="001E66EB">
        <w:rPr>
          <w:rStyle w:val="FootnoteReference"/>
          <w:rFonts w:cs="Arial"/>
          <w:color w:val="000000" w:themeColor="text1"/>
          <w:sz w:val="20"/>
        </w:rPr>
        <w:footnoteReference w:id="2095"/>
      </w:r>
      <w:r w:rsidRPr="001E66EB">
        <w:rPr>
          <w:rFonts w:cs="Arial"/>
          <w:color w:val="000000" w:themeColor="text1"/>
          <w:sz w:val="20"/>
        </w:rPr>
        <w:t>[(1AA) Total allowances received by pilots of any Pakistani airlines shall be taxed at a rate of 7.5%, provided that the reduction under this clause shall be available to so much of the allowances as exceeds an amou</w:t>
      </w:r>
      <w:r w:rsidR="001105E2" w:rsidRPr="001E66EB">
        <w:rPr>
          <w:rFonts w:cs="Arial"/>
          <w:color w:val="000000" w:themeColor="text1"/>
          <w:sz w:val="20"/>
        </w:rPr>
        <w:t>nt equal to the basic pay.]</w:t>
      </w:r>
    </w:p>
    <w:p w:rsidR="00AA4BF8" w:rsidRPr="001E66EB" w:rsidRDefault="00AA4BF8" w:rsidP="00AA4BF8">
      <w:pPr>
        <w:rPr>
          <w:rFonts w:cs="Arial"/>
          <w:color w:val="000000" w:themeColor="text1"/>
          <w:sz w:val="20"/>
        </w:rPr>
      </w:pPr>
    </w:p>
    <w:p w:rsidR="00AA4BF8" w:rsidRDefault="00AA4BF8" w:rsidP="00AA4BF8">
      <w:pPr>
        <w:autoSpaceDE w:val="0"/>
        <w:autoSpaceDN w:val="0"/>
        <w:adjustRightInd w:val="0"/>
        <w:ind w:firstLine="547"/>
        <w:jc w:val="both"/>
        <w:rPr>
          <w:sz w:val="20"/>
          <w:lang w:val="en-US"/>
        </w:rPr>
      </w:pPr>
      <w:r w:rsidRPr="00412620">
        <w:rPr>
          <w:rStyle w:val="FootnoteReference"/>
          <w:rFonts w:cs="Arial"/>
          <w:sz w:val="20"/>
          <w:lang w:val="en-US"/>
        </w:rPr>
        <w:lastRenderedPageBreak/>
        <w:footnoteReference w:id="2096"/>
      </w:r>
      <w:r w:rsidRPr="00412620">
        <w:rPr>
          <w:sz w:val="20"/>
          <w:lang w:val="en-US"/>
        </w:rPr>
        <w:t>[</w:t>
      </w:r>
      <w:r w:rsidRPr="00412620">
        <w:rPr>
          <w:b/>
          <w:bCs/>
          <w:sz w:val="20"/>
          <w:lang w:val="en-US"/>
        </w:rPr>
        <w:t>(</w:t>
      </w:r>
      <w:r w:rsidRPr="00A101D7">
        <w:rPr>
          <w:bCs/>
          <w:sz w:val="20"/>
          <w:lang w:val="en-US"/>
        </w:rPr>
        <w:t>2</w:t>
      </w:r>
      <w:r w:rsidRPr="00412620">
        <w:rPr>
          <w:b/>
          <w:bCs/>
          <w:sz w:val="20"/>
          <w:lang w:val="en-US"/>
        </w:rPr>
        <w:t>)</w:t>
      </w:r>
      <w:r w:rsidRPr="00412620">
        <w:rPr>
          <w:sz w:val="20"/>
          <w:lang w:val="en-US"/>
        </w:rPr>
        <w:tab/>
        <w:t xml:space="preserve">The tax payable by a full time teacher or a researcher, employed in a non profit education or research institution duly recognized by Higher Education Commission, a Board of Education or a University recognized by the Higher Education Commission, including government training and research institution, shall be reduced by an amount equal to </w:t>
      </w:r>
      <w:r w:rsidRPr="00412620">
        <w:rPr>
          <w:rStyle w:val="FootnoteReference"/>
          <w:rFonts w:cs="Arial"/>
          <w:sz w:val="20"/>
          <w:lang w:val="en-US"/>
        </w:rPr>
        <w:footnoteReference w:id="2097"/>
      </w:r>
      <w:r w:rsidRPr="00412620">
        <w:rPr>
          <w:sz w:val="20"/>
          <w:lang w:val="en-US"/>
        </w:rPr>
        <w:t>[40]% of tax payable on his income from salary.]</w:t>
      </w:r>
    </w:p>
    <w:p w:rsidR="00A101D7" w:rsidRDefault="00A101D7" w:rsidP="00A101D7">
      <w:pPr>
        <w:autoSpaceDE w:val="0"/>
        <w:autoSpaceDN w:val="0"/>
        <w:adjustRightInd w:val="0"/>
        <w:jc w:val="both"/>
        <w:rPr>
          <w:sz w:val="20"/>
          <w:lang w:val="en-US"/>
        </w:rPr>
      </w:pPr>
    </w:p>
    <w:p w:rsidR="00AA4BF8" w:rsidRPr="00A101D7" w:rsidRDefault="00A101D7" w:rsidP="00A101D7">
      <w:pPr>
        <w:autoSpaceDE w:val="0"/>
        <w:autoSpaceDN w:val="0"/>
        <w:adjustRightInd w:val="0"/>
        <w:jc w:val="both"/>
        <w:rPr>
          <w:sz w:val="20"/>
          <w:lang w:val="en-US"/>
        </w:rPr>
      </w:pPr>
      <w:r>
        <w:rPr>
          <w:sz w:val="20"/>
          <w:lang w:val="en-US"/>
        </w:rPr>
        <w:t>(</w:t>
      </w:r>
      <w:r w:rsidRPr="00A101D7">
        <w:rPr>
          <w:b/>
          <w:sz w:val="20"/>
          <w:lang w:val="en-US"/>
        </w:rPr>
        <w:t>2</w:t>
      </w:r>
      <w:r>
        <w:rPr>
          <w:sz w:val="20"/>
          <w:lang w:val="en-US"/>
        </w:rPr>
        <w:t>)</w:t>
      </w:r>
      <w:r>
        <w:rPr>
          <w:sz w:val="20"/>
          <w:lang w:val="en-US"/>
        </w:rPr>
        <w:tab/>
      </w:r>
      <w:r w:rsidR="00AA4BF8" w:rsidRPr="00412620">
        <w:rPr>
          <w:snapToGrid w:val="0"/>
          <w:sz w:val="20"/>
        </w:rPr>
        <w:t>The amount of tax payable, in a year in which the rupee is revalued or devalued, by a taxpayer whose profits or gains are computed in accordance with the rules contained in the Fifth Schedule to this Ordinance and who had entered with the Government into an agreement which provides for such reduction, shall be reduced to the amount that would be payable in the absence of the revaluation or devaluation of the rupee.</w:t>
      </w:r>
    </w:p>
    <w:p w:rsidR="00AA4BF8" w:rsidRPr="00412620" w:rsidRDefault="00AA4BF8" w:rsidP="00AA4BF8">
      <w:pPr>
        <w:widowControl w:val="0"/>
        <w:rPr>
          <w:snapToGrid w:val="0"/>
          <w:sz w:val="18"/>
          <w:szCs w:val="18"/>
        </w:rPr>
      </w:pPr>
    </w:p>
    <w:p w:rsidR="00AA4BF8" w:rsidRPr="00412620" w:rsidRDefault="00AA4BF8" w:rsidP="00AA4BF8">
      <w:pPr>
        <w:widowControl w:val="0"/>
        <w:rPr>
          <w:snapToGrid w:val="0"/>
          <w:sz w:val="20"/>
        </w:rPr>
      </w:pPr>
      <w:r w:rsidRPr="00412620">
        <w:rPr>
          <w:rStyle w:val="FootnoteReference"/>
          <w:rFonts w:cs="Arial"/>
          <w:snapToGrid w:val="0"/>
          <w:sz w:val="20"/>
        </w:rPr>
        <w:footnoteReference w:id="2098"/>
      </w:r>
      <w:r w:rsidRPr="00412620">
        <w:rPr>
          <w:snapToGrid w:val="0"/>
          <w:sz w:val="20"/>
        </w:rPr>
        <w:t>[  ]</w:t>
      </w:r>
    </w:p>
    <w:p w:rsidR="00AA4BF8" w:rsidRPr="00412620" w:rsidRDefault="00AA4BF8" w:rsidP="00AA4BF8">
      <w:pPr>
        <w:widowControl w:val="0"/>
        <w:rPr>
          <w:snapToGrid w:val="0"/>
          <w:sz w:val="18"/>
          <w:szCs w:val="18"/>
        </w:rPr>
      </w:pPr>
    </w:p>
    <w:p w:rsidR="00AA4BF8" w:rsidRPr="00412620" w:rsidRDefault="00AA4BF8" w:rsidP="00AA4BF8">
      <w:pPr>
        <w:widowControl w:val="0"/>
        <w:rPr>
          <w:snapToGrid w:val="0"/>
          <w:sz w:val="20"/>
        </w:rPr>
      </w:pPr>
      <w:r w:rsidRPr="00412620">
        <w:rPr>
          <w:rStyle w:val="FootnoteReference"/>
          <w:rFonts w:cs="Arial"/>
          <w:snapToGrid w:val="0"/>
          <w:sz w:val="20"/>
        </w:rPr>
        <w:footnoteReference w:id="2099"/>
      </w:r>
      <w:r w:rsidRPr="00412620">
        <w:rPr>
          <w:snapToGrid w:val="0"/>
          <w:sz w:val="20"/>
        </w:rPr>
        <w:t>[</w:t>
      </w:r>
      <w:r w:rsidRPr="00412620">
        <w:rPr>
          <w:b/>
          <w:bCs/>
          <w:snapToGrid w:val="0"/>
          <w:sz w:val="20"/>
        </w:rPr>
        <w:t>(4)</w:t>
      </w:r>
      <w:r w:rsidRPr="00412620">
        <w:rPr>
          <w:snapToGrid w:val="0"/>
          <w:sz w:val="20"/>
        </w:rPr>
        <w:tab/>
        <w:t>In respect of old and used automotive vehicles, tax under section 148 shall not exceed the amount specified in Notification No. S.R.O. 577(I)/2005, dated the 6</w:t>
      </w:r>
      <w:r w:rsidRPr="00412620">
        <w:rPr>
          <w:snapToGrid w:val="0"/>
          <w:sz w:val="20"/>
          <w:vertAlign w:val="superscript"/>
        </w:rPr>
        <w:t>th</w:t>
      </w:r>
      <w:r w:rsidRPr="00412620">
        <w:rPr>
          <w:snapToGrid w:val="0"/>
          <w:sz w:val="20"/>
        </w:rPr>
        <w:t xml:space="preserve"> June, 2005.]</w:t>
      </w:r>
    </w:p>
    <w:p w:rsidR="00AA4BF8" w:rsidRPr="00412620" w:rsidRDefault="00AA4BF8" w:rsidP="00AA4BF8">
      <w:pPr>
        <w:jc w:val="both"/>
        <w:rPr>
          <w:b/>
          <w:bCs/>
          <w:snapToGrid w:val="0"/>
          <w:sz w:val="16"/>
          <w:szCs w:val="16"/>
        </w:rPr>
      </w:pPr>
    </w:p>
    <w:p w:rsidR="00AA4BF8" w:rsidRPr="00F852EB" w:rsidRDefault="00AA4BF8" w:rsidP="00AA4BF8">
      <w:pPr>
        <w:jc w:val="both"/>
        <w:rPr>
          <w:color w:val="000000" w:themeColor="text1"/>
          <w:sz w:val="18"/>
          <w:szCs w:val="18"/>
        </w:rPr>
      </w:pPr>
      <w:r w:rsidRPr="00F852EB">
        <w:rPr>
          <w:rStyle w:val="FootnoteReference"/>
          <w:color w:val="000000" w:themeColor="text1"/>
          <w:sz w:val="20"/>
        </w:rPr>
        <w:footnoteReference w:id="2100"/>
      </w:r>
      <w:r w:rsidRPr="00F852EB">
        <w:rPr>
          <w:color w:val="000000" w:themeColor="text1"/>
          <w:sz w:val="20"/>
        </w:rPr>
        <w:t>[</w:t>
      </w:r>
      <w:r w:rsidR="00F852EB" w:rsidRPr="00F852EB">
        <w:rPr>
          <w:color w:val="000000" w:themeColor="text1"/>
          <w:sz w:val="20"/>
        </w:rPr>
        <w:t xml:space="preserve"> </w:t>
      </w:r>
      <w:r w:rsidRPr="00F852EB">
        <w:rPr>
          <w:bCs/>
          <w:color w:val="000000" w:themeColor="text1"/>
          <w:sz w:val="20"/>
        </w:rPr>
        <w:t xml:space="preserve"> ]</w:t>
      </w:r>
    </w:p>
    <w:p w:rsidR="00AA4BF8" w:rsidRPr="00412620" w:rsidRDefault="00AA4BF8" w:rsidP="00AA4BF8">
      <w:pPr>
        <w:widowControl w:val="0"/>
        <w:jc w:val="both"/>
        <w:rPr>
          <w:snapToGrid w:val="0"/>
          <w:sz w:val="20"/>
        </w:rPr>
      </w:pPr>
      <w:r w:rsidRPr="00412620">
        <w:rPr>
          <w:rStyle w:val="FootnoteReference"/>
          <w:rFonts w:cs="Arial"/>
          <w:sz w:val="20"/>
        </w:rPr>
        <w:lastRenderedPageBreak/>
        <w:footnoteReference w:id="2101"/>
      </w:r>
      <w:r w:rsidRPr="00412620">
        <w:rPr>
          <w:sz w:val="20"/>
        </w:rPr>
        <w:t>[</w:t>
      </w:r>
      <w:r w:rsidRPr="00412620">
        <w:rPr>
          <w:b/>
          <w:bCs/>
          <w:sz w:val="20"/>
        </w:rPr>
        <w:t>(</w:t>
      </w:r>
      <w:r w:rsidRPr="00412620">
        <w:rPr>
          <w:rStyle w:val="FootnoteReference"/>
          <w:rFonts w:cs="Arial"/>
          <w:b/>
          <w:bCs/>
          <w:sz w:val="20"/>
        </w:rPr>
        <w:footnoteReference w:id="2102"/>
      </w:r>
      <w:r w:rsidRPr="00412620">
        <w:rPr>
          <w:sz w:val="20"/>
        </w:rPr>
        <w:t>[</w:t>
      </w:r>
      <w:r w:rsidRPr="00412620">
        <w:rPr>
          <w:b/>
          <w:bCs/>
          <w:sz w:val="20"/>
        </w:rPr>
        <w:t>6</w:t>
      </w:r>
      <w:r w:rsidRPr="00412620">
        <w:rPr>
          <w:sz w:val="20"/>
        </w:rPr>
        <w:t>]</w:t>
      </w:r>
      <w:r w:rsidRPr="00412620">
        <w:rPr>
          <w:b/>
          <w:bCs/>
          <w:sz w:val="20"/>
        </w:rPr>
        <w:t>)</w:t>
      </w:r>
      <w:r w:rsidRPr="00412620">
        <w:rPr>
          <w:sz w:val="20"/>
        </w:rPr>
        <w:t xml:space="preserve">  The tax payable under clause (c) of sub-section (1) of section 39, in respect of any amount paid as yield or profit on investment in Bahbood Savings </w:t>
      </w:r>
      <w:r w:rsidRPr="00412620">
        <w:rPr>
          <w:snapToGrid w:val="0"/>
          <w:sz w:val="20"/>
        </w:rPr>
        <w:t>Certificate or Pensioners Benefit Account shall not exceed 10% of such profit.]</w:t>
      </w:r>
    </w:p>
    <w:p w:rsidR="00AA4BF8" w:rsidRPr="00412620" w:rsidRDefault="00AA4BF8" w:rsidP="00AA4BF8">
      <w:pPr>
        <w:widowControl w:val="0"/>
        <w:rPr>
          <w:snapToGrid w:val="0"/>
          <w:sz w:val="18"/>
          <w:szCs w:val="18"/>
        </w:rPr>
      </w:pPr>
    </w:p>
    <w:p w:rsidR="00AA4BF8" w:rsidRPr="00F852EB" w:rsidRDefault="00AA4BF8" w:rsidP="00AA4BF8">
      <w:pPr>
        <w:widowControl w:val="0"/>
        <w:jc w:val="both"/>
        <w:rPr>
          <w:bCs/>
          <w:snapToGrid w:val="0"/>
          <w:color w:val="000000" w:themeColor="text1"/>
          <w:sz w:val="20"/>
        </w:rPr>
      </w:pPr>
      <w:r w:rsidRPr="00F852EB">
        <w:rPr>
          <w:rStyle w:val="FootnoteReference"/>
          <w:snapToGrid w:val="0"/>
          <w:color w:val="000000" w:themeColor="text1"/>
          <w:sz w:val="20"/>
        </w:rPr>
        <w:footnoteReference w:id="2103"/>
      </w:r>
      <w:r w:rsidRPr="00F852EB">
        <w:rPr>
          <w:snapToGrid w:val="0"/>
          <w:color w:val="000000" w:themeColor="text1"/>
          <w:sz w:val="20"/>
        </w:rPr>
        <w:t>[</w:t>
      </w:r>
      <w:r w:rsidR="00F852EB" w:rsidRPr="00F852EB">
        <w:rPr>
          <w:snapToGrid w:val="0"/>
          <w:color w:val="000000" w:themeColor="text1"/>
          <w:sz w:val="20"/>
        </w:rPr>
        <w:t xml:space="preserve">  </w:t>
      </w:r>
      <w:r w:rsidRPr="00F852EB">
        <w:rPr>
          <w:bCs/>
          <w:snapToGrid w:val="0"/>
          <w:color w:val="000000" w:themeColor="text1"/>
          <w:sz w:val="20"/>
        </w:rPr>
        <w:t>]</w:t>
      </w:r>
    </w:p>
    <w:p w:rsidR="008E319C" w:rsidRPr="00F852EB" w:rsidRDefault="008E319C" w:rsidP="00AA4BF8">
      <w:pPr>
        <w:widowControl w:val="0"/>
        <w:jc w:val="both"/>
        <w:rPr>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04"/>
      </w:r>
      <w:r w:rsidRPr="00F852EB">
        <w:rPr>
          <w:snapToGrid w:val="0"/>
          <w:color w:val="000000" w:themeColor="text1"/>
          <w:sz w:val="20"/>
        </w:rPr>
        <w:t xml:space="preserve">[  ] </w:t>
      </w:r>
    </w:p>
    <w:p w:rsidR="008E319C" w:rsidRPr="00F852EB" w:rsidRDefault="008E319C" w:rsidP="00AA4BF8">
      <w:pPr>
        <w:widowControl w:val="0"/>
        <w:jc w:val="both"/>
        <w:rPr>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05"/>
      </w:r>
      <w:r w:rsidRPr="00F852EB">
        <w:rPr>
          <w:snapToGrid w:val="0"/>
          <w:color w:val="000000" w:themeColor="text1"/>
          <w:sz w:val="20"/>
        </w:rPr>
        <w:t>[  ]</w:t>
      </w:r>
    </w:p>
    <w:p w:rsidR="008E319C" w:rsidRPr="00F852EB" w:rsidRDefault="008E319C" w:rsidP="00AA4BF8">
      <w:pPr>
        <w:widowControl w:val="0"/>
        <w:jc w:val="both"/>
        <w:rPr>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06"/>
      </w:r>
      <w:r w:rsidRPr="00F852EB">
        <w:rPr>
          <w:snapToGrid w:val="0"/>
          <w:color w:val="000000" w:themeColor="text1"/>
          <w:sz w:val="20"/>
        </w:rPr>
        <w:t>[  ]</w:t>
      </w:r>
    </w:p>
    <w:p w:rsidR="008E319C" w:rsidRPr="00F852EB" w:rsidRDefault="008E319C" w:rsidP="00AA4BF8">
      <w:pPr>
        <w:widowControl w:val="0"/>
        <w:jc w:val="both"/>
        <w:rPr>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07"/>
      </w:r>
      <w:r w:rsidRPr="00F852EB">
        <w:rPr>
          <w:snapToGrid w:val="0"/>
          <w:color w:val="000000" w:themeColor="text1"/>
          <w:sz w:val="20"/>
        </w:rPr>
        <w:t>[  ]</w:t>
      </w:r>
    </w:p>
    <w:p w:rsidR="008E319C" w:rsidRPr="00F852EB" w:rsidRDefault="008E319C" w:rsidP="00AA4BF8">
      <w:pPr>
        <w:widowControl w:val="0"/>
        <w:jc w:val="both"/>
        <w:rPr>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08"/>
      </w:r>
      <w:r w:rsidRPr="00F852EB">
        <w:rPr>
          <w:snapToGrid w:val="0"/>
          <w:color w:val="000000" w:themeColor="text1"/>
          <w:sz w:val="20"/>
        </w:rPr>
        <w:t>[  ]</w:t>
      </w:r>
    </w:p>
    <w:p w:rsidR="008E319C" w:rsidRPr="00F852EB" w:rsidRDefault="008E319C" w:rsidP="00AA4BF8">
      <w:pPr>
        <w:widowControl w:val="0"/>
        <w:jc w:val="both"/>
        <w:rPr>
          <w:color w:val="000000" w:themeColor="text1"/>
          <w:sz w:val="20"/>
        </w:rPr>
      </w:pPr>
    </w:p>
    <w:p w:rsidR="00AA4BF8" w:rsidRPr="00F852EB" w:rsidRDefault="00AA4BF8" w:rsidP="00AA4BF8">
      <w:pPr>
        <w:widowControl w:val="0"/>
        <w:jc w:val="both"/>
        <w:rPr>
          <w:bCs/>
          <w:color w:val="000000" w:themeColor="text1"/>
          <w:sz w:val="20"/>
        </w:rPr>
      </w:pPr>
      <w:r w:rsidRPr="00F852EB">
        <w:rPr>
          <w:rStyle w:val="FootnoteReference"/>
          <w:bCs/>
          <w:color w:val="000000" w:themeColor="text1"/>
          <w:sz w:val="20"/>
        </w:rPr>
        <w:footnoteReference w:id="2109"/>
      </w:r>
      <w:r w:rsidRPr="00F852EB">
        <w:rPr>
          <w:bCs/>
          <w:color w:val="000000" w:themeColor="text1"/>
          <w:sz w:val="20"/>
        </w:rPr>
        <w:t>[  ]</w:t>
      </w:r>
    </w:p>
    <w:p w:rsidR="008E319C" w:rsidRPr="00F852EB" w:rsidRDefault="008E319C" w:rsidP="00AA4BF8">
      <w:pPr>
        <w:widowControl w:val="0"/>
        <w:jc w:val="both"/>
        <w:rPr>
          <w:bCs/>
          <w:color w:val="000000" w:themeColor="text1"/>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10"/>
      </w:r>
      <w:r w:rsidRPr="00F852EB">
        <w:rPr>
          <w:snapToGrid w:val="0"/>
          <w:color w:val="000000" w:themeColor="text1"/>
          <w:sz w:val="20"/>
        </w:rPr>
        <w:t>[  ]</w:t>
      </w:r>
    </w:p>
    <w:p w:rsidR="008E319C" w:rsidRPr="00290072" w:rsidRDefault="008E319C" w:rsidP="00AA4BF8">
      <w:pPr>
        <w:widowControl w:val="0"/>
        <w:jc w:val="both"/>
        <w:rPr>
          <w:snapToGrid w:val="0"/>
          <w:color w:val="00B0F0"/>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lastRenderedPageBreak/>
        <w:footnoteReference w:id="2111"/>
      </w:r>
      <w:r w:rsidRPr="00F852EB">
        <w:rPr>
          <w:snapToGrid w:val="0"/>
          <w:color w:val="000000" w:themeColor="text1"/>
          <w:sz w:val="20"/>
        </w:rPr>
        <w:t xml:space="preserve">[  </w:t>
      </w:r>
      <w:r w:rsidR="00F852EB" w:rsidRPr="00F852EB">
        <w:rPr>
          <w:snapToGrid w:val="0"/>
          <w:color w:val="000000" w:themeColor="text1"/>
          <w:sz w:val="20"/>
        </w:rPr>
        <w:t xml:space="preserve"> </w:t>
      </w:r>
      <w:r w:rsidRPr="00F852EB">
        <w:rPr>
          <w:snapToGrid w:val="0"/>
          <w:color w:val="000000" w:themeColor="text1"/>
          <w:sz w:val="20"/>
        </w:rPr>
        <w:t>]</w:t>
      </w:r>
    </w:p>
    <w:p w:rsidR="008E319C" w:rsidRDefault="008E319C" w:rsidP="00AA4BF8">
      <w:pPr>
        <w:widowControl w:val="0"/>
        <w:jc w:val="both"/>
        <w:rPr>
          <w:snapToGrid w:val="0"/>
          <w:color w:val="00B0F0"/>
          <w:sz w:val="20"/>
        </w:rPr>
      </w:pPr>
    </w:p>
    <w:p w:rsidR="00B448D5" w:rsidRPr="00AD5E5C" w:rsidRDefault="007E1022" w:rsidP="00AA4BF8">
      <w:pPr>
        <w:widowControl w:val="0"/>
        <w:jc w:val="both"/>
        <w:rPr>
          <w:snapToGrid w:val="0"/>
          <w:color w:val="000000" w:themeColor="text1"/>
          <w:sz w:val="20"/>
        </w:rPr>
      </w:pPr>
      <w:r w:rsidRPr="00AD5E5C">
        <w:rPr>
          <w:rStyle w:val="FootnoteReference"/>
          <w:snapToGrid w:val="0"/>
          <w:color w:val="000000" w:themeColor="text1"/>
          <w:sz w:val="20"/>
        </w:rPr>
        <w:footnoteReference w:id="2112"/>
      </w:r>
      <w:r w:rsidRPr="00AD5E5C">
        <w:rPr>
          <w:snapToGrid w:val="0"/>
          <w:color w:val="000000" w:themeColor="text1"/>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p>
    <w:p w:rsidR="00002143" w:rsidRDefault="00002143">
      <w:pPr>
        <w:rPr>
          <w:b/>
          <w:bCs/>
          <w:snapToGrid w:val="0"/>
          <w:sz w:val="32"/>
          <w:szCs w:val="32"/>
        </w:rPr>
      </w:pPr>
      <w:r>
        <w:rPr>
          <w:b/>
          <w:bCs/>
          <w:snapToGrid w:val="0"/>
          <w:sz w:val="32"/>
          <w:szCs w:val="32"/>
        </w:rPr>
        <w:br w:type="page"/>
      </w:r>
    </w:p>
    <w:p w:rsidR="00AA4BF8" w:rsidRPr="00412620" w:rsidRDefault="00AA4BF8" w:rsidP="00AA4BF8">
      <w:pPr>
        <w:widowControl w:val="0"/>
        <w:jc w:val="center"/>
        <w:rPr>
          <w:b/>
          <w:bCs/>
          <w:snapToGrid w:val="0"/>
          <w:sz w:val="32"/>
          <w:szCs w:val="32"/>
        </w:rPr>
      </w:pPr>
      <w:r w:rsidRPr="00412620">
        <w:rPr>
          <w:b/>
          <w:bCs/>
          <w:snapToGrid w:val="0"/>
          <w:sz w:val="32"/>
          <w:szCs w:val="32"/>
        </w:rPr>
        <w:lastRenderedPageBreak/>
        <w:t>PART IV</w:t>
      </w:r>
    </w:p>
    <w:p w:rsidR="00AA4BF8" w:rsidRPr="00076571" w:rsidRDefault="00AA4BF8" w:rsidP="00AA4BF8">
      <w:pPr>
        <w:pStyle w:val="Heading1"/>
        <w:rPr>
          <w:rFonts w:cs="Arial"/>
          <w:snapToGrid w:val="0"/>
          <w:sz w:val="20"/>
        </w:rPr>
      </w:pPr>
      <w:r w:rsidRPr="00076571">
        <w:rPr>
          <w:rFonts w:cs="Arial"/>
          <w:snapToGrid w:val="0"/>
          <w:sz w:val="20"/>
        </w:rPr>
        <w:t>EXEMPTION FROM SPECIFIC PROVISIONS</w:t>
      </w:r>
    </w:p>
    <w:p w:rsidR="00AA4BF8" w:rsidRPr="00076571" w:rsidRDefault="00AA4BF8" w:rsidP="00AA4BF8">
      <w:pPr>
        <w:keepNext/>
        <w:widowControl w:val="0"/>
        <w:jc w:val="both"/>
        <w:rPr>
          <w:rFonts w:cs="Arial"/>
          <w:b/>
          <w:bCs/>
          <w:snapToGrid w:val="0"/>
          <w:sz w:val="20"/>
        </w:rPr>
      </w:pPr>
    </w:p>
    <w:p w:rsidR="00AA4BF8" w:rsidRPr="00076571" w:rsidRDefault="00AA4BF8" w:rsidP="00AA4BF8">
      <w:pPr>
        <w:pStyle w:val="BodyText3"/>
        <w:rPr>
          <w:rFonts w:ascii="Arial" w:hAnsi="Arial" w:cs="Arial"/>
          <w:sz w:val="20"/>
        </w:rPr>
      </w:pPr>
      <w:r w:rsidRPr="00076571">
        <w:rPr>
          <w:rFonts w:ascii="Arial" w:hAnsi="Arial" w:cs="Arial"/>
          <w:sz w:val="20"/>
        </w:rPr>
        <w:tab/>
        <w:t>Income, or classes of income, or persons or classes of persons, enumerated below, shall be exempt from the operation of such provisions of this Ordinance, subject to such conditions and to the extent, as are specified hereunder: -</w:t>
      </w:r>
    </w:p>
    <w:p w:rsidR="00AA4BF8" w:rsidRPr="00076571" w:rsidRDefault="00AA4BF8" w:rsidP="00AA4BF8">
      <w:pPr>
        <w:widowControl w:val="0"/>
        <w:jc w:val="both"/>
        <w:rPr>
          <w:rFonts w:cs="Arial"/>
          <w:snapToGrid w:val="0"/>
          <w:sz w:val="20"/>
        </w:rPr>
      </w:pPr>
    </w:p>
    <w:p w:rsidR="000F0705" w:rsidRDefault="00AA4BF8" w:rsidP="000F0705">
      <w:pPr>
        <w:widowControl w:val="0"/>
        <w:jc w:val="both"/>
        <w:rPr>
          <w:rFonts w:cs="Arial"/>
          <w:snapToGrid w:val="0"/>
          <w:sz w:val="20"/>
        </w:rPr>
      </w:pPr>
      <w:r w:rsidRPr="00076571">
        <w:rPr>
          <w:rStyle w:val="FootnoteReference"/>
          <w:rFonts w:cs="Arial"/>
          <w:snapToGrid w:val="0"/>
          <w:sz w:val="20"/>
        </w:rPr>
        <w:footnoteReference w:id="2113"/>
      </w:r>
      <w:r w:rsidRPr="00076571">
        <w:rPr>
          <w:rFonts w:cs="Arial"/>
          <w:snapToGrid w:val="0"/>
          <w:sz w:val="20"/>
        </w:rPr>
        <w:t>[  ]</w:t>
      </w:r>
    </w:p>
    <w:p w:rsidR="000F0705" w:rsidRDefault="000F0705" w:rsidP="000F0705">
      <w:pPr>
        <w:widowControl w:val="0"/>
        <w:jc w:val="both"/>
        <w:rPr>
          <w:rFonts w:cs="Arial"/>
          <w:snapToGrid w:val="0"/>
          <w:sz w:val="20"/>
        </w:rPr>
      </w:pPr>
    </w:p>
    <w:p w:rsidR="000F0705" w:rsidRPr="00AD5E5C" w:rsidRDefault="00BF360E" w:rsidP="000F0705">
      <w:pPr>
        <w:widowControl w:val="0"/>
        <w:jc w:val="both"/>
        <w:rPr>
          <w:rFonts w:cs="Arial"/>
          <w:snapToGrid w:val="0"/>
          <w:color w:val="000000" w:themeColor="text1"/>
          <w:sz w:val="20"/>
        </w:rPr>
      </w:pPr>
      <w:r w:rsidRPr="00AD5E5C">
        <w:rPr>
          <w:rStyle w:val="FootnoteReference"/>
          <w:snapToGrid w:val="0"/>
          <w:color w:val="000000" w:themeColor="text1"/>
          <w:sz w:val="20"/>
        </w:rPr>
        <w:footnoteReference w:id="2114"/>
      </w:r>
      <w:r w:rsidR="000F0705" w:rsidRPr="00AD5E5C">
        <w:rPr>
          <w:snapToGrid w:val="0"/>
          <w:color w:val="000000" w:themeColor="text1"/>
          <w:sz w:val="20"/>
        </w:rPr>
        <w:t>[(1A)</w:t>
      </w:r>
      <w:r w:rsidR="000F0705" w:rsidRPr="00AD5E5C">
        <w:rPr>
          <w:snapToGrid w:val="0"/>
          <w:color w:val="000000" w:themeColor="text1"/>
          <w:sz w:val="20"/>
        </w:rPr>
        <w:tab/>
        <w:t xml:space="preserve">the provision of clause (d) of section 46 shall not apply to Sukuk issued by “The </w:t>
      </w:r>
      <w:r w:rsidR="000F0705" w:rsidRPr="00AD5E5C">
        <w:rPr>
          <w:rFonts w:ascii="Times New Roman" w:hAnsi="Times New Roman"/>
          <w:color w:val="000000" w:themeColor="text1"/>
          <w:szCs w:val="24"/>
        </w:rPr>
        <w:t>Second Pakistan International Sukuk Company Limited.”</w:t>
      </w:r>
      <w:r w:rsidRPr="00AD5E5C">
        <w:rPr>
          <w:rFonts w:ascii="Times New Roman" w:hAnsi="Times New Roman"/>
          <w:color w:val="000000" w:themeColor="text1"/>
          <w:szCs w:val="24"/>
        </w:rPr>
        <w:t>.]</w:t>
      </w:r>
    </w:p>
    <w:p w:rsidR="000F0705" w:rsidRDefault="000F0705" w:rsidP="00AA4BF8">
      <w:pPr>
        <w:widowControl w:val="0"/>
        <w:jc w:val="both"/>
        <w:rPr>
          <w:snapToGrid w:val="0"/>
          <w:sz w:val="20"/>
        </w:rPr>
      </w:pPr>
    </w:p>
    <w:p w:rsidR="000F0705" w:rsidRPr="00412620" w:rsidRDefault="000F0705" w:rsidP="00AA4BF8">
      <w:pPr>
        <w:widowControl w:val="0"/>
        <w:jc w:val="both"/>
        <w:rPr>
          <w:snapToGrid w:val="0"/>
          <w:sz w:val="20"/>
        </w:rPr>
      </w:pPr>
    </w:p>
    <w:p w:rsidR="00AA4BF8" w:rsidRPr="00412620" w:rsidRDefault="00AA4BF8" w:rsidP="00AA4BF8">
      <w:pPr>
        <w:pStyle w:val="BodyText"/>
        <w:jc w:val="both"/>
        <w:rPr>
          <w:sz w:val="20"/>
        </w:rPr>
      </w:pPr>
      <w:r w:rsidRPr="00412620">
        <w:rPr>
          <w:b/>
          <w:bCs/>
          <w:sz w:val="20"/>
        </w:rPr>
        <w:t>(2)</w:t>
      </w:r>
      <w:r w:rsidRPr="00412620">
        <w:rPr>
          <w:sz w:val="20"/>
        </w:rPr>
        <w:tab/>
        <w:t xml:space="preserve">In the case of losses referred to in section 57 in respect of an industrial undertaking set up in an area declared by the Federal Government to be a "Zone" within the meaning of Export Processing Zones Authority Ordinance, 1980 (IV of 1980), the period of six </w:t>
      </w:r>
      <w:r w:rsidRPr="00412620">
        <w:rPr>
          <w:rStyle w:val="FootnoteReference"/>
          <w:rFonts w:cs="Arial"/>
          <w:sz w:val="20"/>
        </w:rPr>
        <w:footnoteReference w:id="2115"/>
      </w:r>
      <w:r w:rsidRPr="00412620">
        <w:rPr>
          <w:sz w:val="20"/>
        </w:rPr>
        <w:t>[tax years] specified in the said section shall not apply.</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(3)</w:t>
      </w:r>
      <w:r w:rsidRPr="00412620">
        <w:rPr>
          <w:snapToGrid w:val="0"/>
          <w:sz w:val="20"/>
        </w:rPr>
        <w:tab/>
        <w:t xml:space="preserve">The provisions of </w:t>
      </w:r>
      <w:r w:rsidRPr="00412620">
        <w:rPr>
          <w:sz w:val="20"/>
        </w:rPr>
        <w:t xml:space="preserve">clause (b) of </w:t>
      </w:r>
      <w:r w:rsidRPr="00412620">
        <w:rPr>
          <w:rStyle w:val="FootnoteReference"/>
          <w:rFonts w:cs="Arial"/>
          <w:sz w:val="20"/>
        </w:rPr>
        <w:footnoteReference w:id="2116"/>
      </w:r>
      <w:r w:rsidRPr="00412620">
        <w:rPr>
          <w:sz w:val="20"/>
        </w:rPr>
        <w:t xml:space="preserve">[component C of the formula contained in] sub-section (2) of section 61 </w:t>
      </w:r>
      <w:r w:rsidRPr="00412620">
        <w:rPr>
          <w:snapToGrid w:val="0"/>
          <w:sz w:val="20"/>
        </w:rPr>
        <w:t>shall not apply in case of donations made to Agha Khan Hospital and Medical College, Karachi:</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17"/>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18"/>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19"/>
      </w:r>
      <w:r w:rsidRPr="00412620">
        <w:rPr>
          <w:snapToGrid w:val="0"/>
          <w:sz w:val="20"/>
        </w:rPr>
        <w:t>[</w:t>
      </w:r>
      <w:r w:rsidRPr="00412620">
        <w:rPr>
          <w:b/>
          <w:bCs/>
          <w:snapToGrid w:val="0"/>
          <w:sz w:val="20"/>
        </w:rPr>
        <w:t>(5)</w:t>
      </w:r>
      <w:r w:rsidRPr="00412620">
        <w:rPr>
          <w:snapToGrid w:val="0"/>
          <w:sz w:val="20"/>
        </w:rPr>
        <w:tab/>
        <w:t xml:space="preserve">The provisions of section 111 regarding un-explained income or assets </w:t>
      </w:r>
      <w:r w:rsidRPr="00412620">
        <w:rPr>
          <w:snapToGrid w:val="0"/>
          <w:sz w:val="20"/>
        </w:rPr>
        <w:lastRenderedPageBreak/>
        <w:t>shall not apply in respect of,</w:t>
      </w:r>
      <w:r w:rsidRPr="00412620">
        <w:rPr>
          <w:sz w:val="20"/>
        </w:rPr>
        <w:t xml:space="preserve"> —</w:t>
      </w:r>
    </w:p>
    <w:p w:rsidR="00AA4BF8" w:rsidRPr="00412620" w:rsidRDefault="00AA4BF8" w:rsidP="00AA4BF8">
      <w:pPr>
        <w:widowControl w:val="0"/>
        <w:jc w:val="both"/>
        <w:rPr>
          <w:snapToGrid w:val="0"/>
          <w:sz w:val="20"/>
        </w:rPr>
      </w:pPr>
    </w:p>
    <w:p w:rsidR="00AA4BF8" w:rsidRPr="00412620" w:rsidRDefault="00AA4BF8" w:rsidP="00AA4BF8">
      <w:pPr>
        <w:widowControl w:val="0"/>
        <w:ind w:left="1641" w:hanging="539"/>
        <w:jc w:val="both"/>
        <w:rPr>
          <w:snapToGrid w:val="0"/>
          <w:sz w:val="20"/>
        </w:rPr>
      </w:pPr>
      <w:r w:rsidRPr="00412620">
        <w:rPr>
          <w:snapToGrid w:val="0"/>
          <w:sz w:val="20"/>
        </w:rPr>
        <w:t xml:space="preserve">(i) </w:t>
      </w:r>
      <w:r w:rsidRPr="00412620">
        <w:rPr>
          <w:snapToGrid w:val="0"/>
          <w:sz w:val="20"/>
        </w:rPr>
        <w:tab/>
        <w:t>any amount of foreign exchange deposited in a private Foreign Currency account held with an authorized bank in Pakistan in accordance with the Foreign Currency Accounts Scheme introduced by the State Bank of Pakistan:</w:t>
      </w:r>
    </w:p>
    <w:p w:rsidR="00AA4BF8" w:rsidRPr="00412620" w:rsidRDefault="00AA4BF8" w:rsidP="00AA4BF8">
      <w:pPr>
        <w:widowControl w:val="0"/>
        <w:jc w:val="both"/>
        <w:rPr>
          <w:snapToGrid w:val="0"/>
          <w:sz w:val="20"/>
        </w:rPr>
      </w:pPr>
    </w:p>
    <w:p w:rsidR="00AA4BF8" w:rsidRPr="00412620" w:rsidRDefault="00AA4BF8" w:rsidP="00AA4BF8">
      <w:pPr>
        <w:widowControl w:val="0"/>
        <w:ind w:left="1641" w:firstLine="549"/>
        <w:jc w:val="both"/>
        <w:rPr>
          <w:snapToGrid w:val="0"/>
          <w:sz w:val="20"/>
        </w:rPr>
      </w:pPr>
      <w:r w:rsidRPr="00412620">
        <w:rPr>
          <w:snapToGrid w:val="0"/>
          <w:sz w:val="20"/>
        </w:rPr>
        <w:t>Provided that the exemption clause shall not be available in respect of any incremental deposits made on or after the 16</w:t>
      </w:r>
      <w:r w:rsidRPr="00412620">
        <w:rPr>
          <w:snapToGrid w:val="0"/>
          <w:sz w:val="20"/>
          <w:vertAlign w:val="superscript"/>
        </w:rPr>
        <w:t>th</w:t>
      </w:r>
      <w:r w:rsidRPr="00412620">
        <w:rPr>
          <w:snapToGrid w:val="0"/>
          <w:sz w:val="20"/>
        </w:rPr>
        <w:t xml:space="preserve"> day of December, 1999 in such accounts held by a resident person or in respect of any amount deposited in accounts opened on or after the said date by such person.</w:t>
      </w:r>
    </w:p>
    <w:p w:rsidR="00AA4BF8" w:rsidRPr="00412620" w:rsidRDefault="00AA4BF8" w:rsidP="00AA4BF8">
      <w:pPr>
        <w:widowControl w:val="0"/>
        <w:jc w:val="both"/>
        <w:rPr>
          <w:snapToGrid w:val="0"/>
          <w:sz w:val="20"/>
        </w:rPr>
      </w:pPr>
    </w:p>
    <w:p w:rsidR="00AA4BF8" w:rsidRPr="00412620" w:rsidRDefault="00AA4BF8" w:rsidP="00AA4BF8">
      <w:pPr>
        <w:widowControl w:val="0"/>
        <w:ind w:left="2188" w:hanging="547"/>
        <w:jc w:val="both"/>
        <w:rPr>
          <w:snapToGrid w:val="0"/>
          <w:sz w:val="20"/>
        </w:rPr>
      </w:pPr>
      <w:r w:rsidRPr="00412620">
        <w:rPr>
          <w:snapToGrid w:val="0"/>
          <w:sz w:val="20"/>
        </w:rPr>
        <w:t xml:space="preserve">(ii) </w:t>
      </w:r>
      <w:r w:rsidRPr="00412620">
        <w:rPr>
          <w:snapToGrid w:val="0"/>
          <w:sz w:val="20"/>
        </w:rPr>
        <w:tab/>
        <w:t>any amount invested in the acquisition of Three Years Foreign Currency Bearer Certificates issued under the Foreign Currency Bearer Certificates Rules, 1997.</w:t>
      </w:r>
    </w:p>
    <w:p w:rsidR="00AA4BF8" w:rsidRPr="00412620" w:rsidRDefault="00AA4BF8" w:rsidP="00AA4BF8">
      <w:pPr>
        <w:widowControl w:val="0"/>
        <w:jc w:val="both"/>
        <w:rPr>
          <w:snapToGrid w:val="0"/>
          <w:sz w:val="20"/>
        </w:rPr>
      </w:pPr>
    </w:p>
    <w:p w:rsidR="00AA4BF8" w:rsidRDefault="00AA4BF8" w:rsidP="00AA4BF8">
      <w:pPr>
        <w:widowControl w:val="0"/>
        <w:ind w:left="2188" w:hanging="547"/>
        <w:jc w:val="both"/>
        <w:rPr>
          <w:snapToGrid w:val="0"/>
          <w:sz w:val="20"/>
        </w:rPr>
      </w:pPr>
      <w:r w:rsidRPr="00412620">
        <w:rPr>
          <w:snapToGrid w:val="0"/>
          <w:sz w:val="20"/>
        </w:rPr>
        <w:t xml:space="preserve">(iii) </w:t>
      </w:r>
      <w:r w:rsidRPr="00412620">
        <w:rPr>
          <w:snapToGrid w:val="0"/>
          <w:sz w:val="20"/>
        </w:rPr>
        <w:tab/>
        <w:t>rupees withdrawn or assets created out of such withdrawal in rupees from private foreign currency accounts, or encashment of Foreign Exchange Bearer Certificates, US Dollar Bearer Certificates and Foreign Currency Bearer Certificates.]</w:t>
      </w:r>
    </w:p>
    <w:p w:rsidR="00AA4BF8" w:rsidRDefault="00AA4BF8" w:rsidP="00AA4BF8">
      <w:pPr>
        <w:widowControl w:val="0"/>
        <w:ind w:left="2188" w:hanging="547"/>
        <w:jc w:val="both"/>
        <w:rPr>
          <w:snapToGrid w:val="0"/>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20"/>
      </w:r>
      <w:r w:rsidR="00290072" w:rsidRPr="00F852EB">
        <w:rPr>
          <w:snapToGrid w:val="0"/>
          <w:color w:val="000000" w:themeColor="text1"/>
          <w:sz w:val="20"/>
        </w:rPr>
        <w:t>[</w:t>
      </w:r>
      <w:r w:rsidRPr="00F852EB">
        <w:rPr>
          <w:snapToGrid w:val="0"/>
          <w:color w:val="000000" w:themeColor="text1"/>
          <w:sz w:val="20"/>
        </w:rPr>
        <w:t>(9A) Provisions of clause (a) of sub-section (1) of section 153, shall not apply to steel melters, steel re-rollers, composite steel units, as a payer, in respect of purchase of scrap, provided that tax is collected in accordance with section 235B</w:t>
      </w:r>
      <w:r w:rsidR="007905D5" w:rsidRPr="00F852EB">
        <w:rPr>
          <w:snapToGrid w:val="0"/>
          <w:color w:val="000000" w:themeColor="text1"/>
          <w:sz w:val="20"/>
        </w:rPr>
        <w:t>:</w:t>
      </w:r>
    </w:p>
    <w:p w:rsidR="00AA4BF8" w:rsidRPr="00F852EB" w:rsidRDefault="00AA4BF8" w:rsidP="00AA4BF8">
      <w:pPr>
        <w:widowControl w:val="0"/>
        <w:jc w:val="both"/>
        <w:rPr>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snapToGrid w:val="0"/>
          <w:color w:val="000000" w:themeColor="text1"/>
          <w:sz w:val="20"/>
        </w:rPr>
        <w:tab/>
        <w:t>Provided that steel melters, steel re-rollers and composite steel units may opt to pay tax in accordance with section 235B, for tax year 2012 and 2013, if tax liability for the said tax years is paid by the 30</w:t>
      </w:r>
      <w:r w:rsidRPr="00F852EB">
        <w:rPr>
          <w:snapToGrid w:val="0"/>
          <w:color w:val="000000" w:themeColor="text1"/>
          <w:sz w:val="20"/>
          <w:vertAlign w:val="superscript"/>
        </w:rPr>
        <w:t>th</w:t>
      </w:r>
      <w:r w:rsidRPr="00F852EB">
        <w:rPr>
          <w:snapToGrid w:val="0"/>
          <w:color w:val="000000" w:themeColor="text1"/>
          <w:sz w:val="20"/>
        </w:rPr>
        <w:t xml:space="preserve"> day of June, 2014:</w:t>
      </w:r>
    </w:p>
    <w:p w:rsidR="00AA4BF8" w:rsidRPr="00F852EB" w:rsidRDefault="00AA4BF8" w:rsidP="00AA4BF8">
      <w:pPr>
        <w:widowControl w:val="0"/>
        <w:jc w:val="both"/>
        <w:rPr>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snapToGrid w:val="0"/>
          <w:color w:val="000000" w:themeColor="text1"/>
          <w:sz w:val="20"/>
        </w:rPr>
        <w:tab/>
        <w:t>Provided further that where tax has been deducted under clause (a) of sub-section (1) of section 153 or paid under an order under section 1</w:t>
      </w:r>
      <w:r w:rsidR="004E175F" w:rsidRPr="00F852EB">
        <w:rPr>
          <w:snapToGrid w:val="0"/>
          <w:color w:val="000000" w:themeColor="text1"/>
          <w:sz w:val="20"/>
        </w:rPr>
        <w:t>61, it shall not be refundable.</w:t>
      </w:r>
      <w:r w:rsidR="00290072" w:rsidRPr="00F852EB">
        <w:rPr>
          <w:snapToGrid w:val="0"/>
          <w:color w:val="000000" w:themeColor="text1"/>
          <w:sz w:val="20"/>
        </w:rPr>
        <w:t>]</w:t>
      </w:r>
    </w:p>
    <w:p w:rsidR="00AA4BF8" w:rsidRPr="00F852EB" w:rsidRDefault="00AA4BF8" w:rsidP="00AA4BF8">
      <w:pPr>
        <w:widowControl w:val="0"/>
        <w:jc w:val="both"/>
        <w:rPr>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21"/>
      </w:r>
      <w:r w:rsidR="00812121" w:rsidRPr="00F852EB">
        <w:rPr>
          <w:snapToGrid w:val="0"/>
          <w:color w:val="000000" w:themeColor="text1"/>
          <w:sz w:val="20"/>
        </w:rPr>
        <w:t>[</w:t>
      </w:r>
      <w:r w:rsidRPr="00F852EB">
        <w:rPr>
          <w:snapToGrid w:val="0"/>
          <w:color w:val="000000" w:themeColor="text1"/>
          <w:sz w:val="20"/>
        </w:rPr>
        <w:t>(9AA) Provisions of clause (a) of sub-section (1) of section 153, shall not apply to ship breakers as recipient of payment:</w:t>
      </w:r>
    </w:p>
    <w:p w:rsidR="00AA4BF8" w:rsidRPr="008D2D4C" w:rsidRDefault="00AA4BF8" w:rsidP="00AA4BF8">
      <w:pPr>
        <w:widowControl w:val="0"/>
        <w:jc w:val="both"/>
        <w:rPr>
          <w:snapToGrid w:val="0"/>
          <w:color w:val="00B0F0"/>
          <w:sz w:val="20"/>
        </w:rPr>
      </w:pPr>
    </w:p>
    <w:p w:rsidR="00AA4BF8" w:rsidRPr="00F852EB" w:rsidRDefault="00AA4BF8" w:rsidP="00AA4BF8">
      <w:pPr>
        <w:widowControl w:val="0"/>
        <w:ind w:firstLine="547"/>
        <w:jc w:val="both"/>
        <w:rPr>
          <w:snapToGrid w:val="0"/>
          <w:color w:val="000000" w:themeColor="text1"/>
          <w:sz w:val="20"/>
        </w:rPr>
      </w:pPr>
      <w:r w:rsidRPr="00F852EB">
        <w:rPr>
          <w:snapToGrid w:val="0"/>
          <w:color w:val="000000" w:themeColor="text1"/>
          <w:sz w:val="20"/>
        </w:rPr>
        <w:lastRenderedPageBreak/>
        <w:t>Provided that this clause shall only apply for ships imported after the 1</w:t>
      </w:r>
      <w:r w:rsidRPr="00F852EB">
        <w:rPr>
          <w:snapToGrid w:val="0"/>
          <w:color w:val="000000" w:themeColor="text1"/>
          <w:sz w:val="20"/>
          <w:vertAlign w:val="superscript"/>
        </w:rPr>
        <w:t>st</w:t>
      </w:r>
      <w:r w:rsidR="00812121" w:rsidRPr="00F852EB">
        <w:rPr>
          <w:snapToGrid w:val="0"/>
          <w:color w:val="000000" w:themeColor="text1"/>
          <w:sz w:val="20"/>
        </w:rPr>
        <w:t xml:space="preserve"> July 2014.]</w:t>
      </w:r>
    </w:p>
    <w:p w:rsidR="00AA4BF8" w:rsidRPr="008D2D4C" w:rsidRDefault="00AA4BF8" w:rsidP="00AA4BF8">
      <w:pPr>
        <w:widowControl w:val="0"/>
        <w:jc w:val="both"/>
        <w:rPr>
          <w:snapToGrid w:val="0"/>
          <w:color w:val="00B0F0"/>
          <w:sz w:val="20"/>
        </w:rPr>
      </w:pPr>
    </w:p>
    <w:p w:rsidR="00AA4BF8" w:rsidRDefault="00AA4BF8" w:rsidP="00AA4BF8">
      <w:pPr>
        <w:widowControl w:val="0"/>
        <w:jc w:val="both"/>
        <w:rPr>
          <w:snapToGrid w:val="0"/>
          <w:sz w:val="20"/>
        </w:rPr>
      </w:pPr>
      <w:r w:rsidRPr="00412620">
        <w:rPr>
          <w:rStyle w:val="FootnoteReference"/>
          <w:rFonts w:cs="Arial"/>
          <w:snapToGrid w:val="0"/>
          <w:sz w:val="20"/>
        </w:rPr>
        <w:footnoteReference w:id="2122"/>
      </w:r>
      <w:r w:rsidRPr="00412620">
        <w:rPr>
          <w:snapToGrid w:val="0"/>
          <w:sz w:val="20"/>
        </w:rPr>
        <w:t>[  ]</w:t>
      </w:r>
      <w:r w:rsidRPr="00412620">
        <w:rPr>
          <w:snapToGrid w:val="0"/>
          <w:sz w:val="20"/>
        </w:rPr>
        <w:tab/>
      </w:r>
    </w:p>
    <w:p w:rsidR="00076571" w:rsidRPr="00412620" w:rsidRDefault="00076571" w:rsidP="00AA4BF8">
      <w:pPr>
        <w:widowControl w:val="0"/>
        <w:jc w:val="both"/>
        <w:rPr>
          <w:snapToGrid w:val="0"/>
          <w:sz w:val="20"/>
        </w:rPr>
      </w:pPr>
    </w:p>
    <w:p w:rsidR="00AA4BF8" w:rsidRDefault="00AA4BF8" w:rsidP="00AA4BF8">
      <w:pPr>
        <w:widowControl w:val="0"/>
        <w:jc w:val="both"/>
        <w:rPr>
          <w:snapToGrid w:val="0"/>
          <w:sz w:val="20"/>
        </w:rPr>
      </w:pPr>
      <w:r w:rsidRPr="00412620">
        <w:rPr>
          <w:rStyle w:val="FootnoteReference"/>
          <w:rFonts w:cs="Arial"/>
          <w:snapToGrid w:val="0"/>
          <w:sz w:val="20"/>
        </w:rPr>
        <w:footnoteReference w:id="2123"/>
      </w:r>
      <w:r w:rsidRPr="00412620">
        <w:rPr>
          <w:snapToGrid w:val="0"/>
          <w:sz w:val="20"/>
        </w:rPr>
        <w:t>[  ]</w:t>
      </w:r>
    </w:p>
    <w:p w:rsidR="00076571" w:rsidRPr="00412620" w:rsidRDefault="00076571" w:rsidP="00AA4BF8">
      <w:pPr>
        <w:widowControl w:val="0"/>
        <w:jc w:val="both"/>
        <w:rPr>
          <w:snapToGrid w:val="0"/>
          <w:sz w:val="20"/>
        </w:rPr>
      </w:pPr>
    </w:p>
    <w:p w:rsidR="00AA4BF8" w:rsidRDefault="00AA4BF8" w:rsidP="00AA4BF8">
      <w:pPr>
        <w:widowControl w:val="0"/>
        <w:jc w:val="both"/>
        <w:rPr>
          <w:snapToGrid w:val="0"/>
          <w:sz w:val="20"/>
        </w:rPr>
      </w:pPr>
      <w:r w:rsidRPr="00412620">
        <w:rPr>
          <w:rStyle w:val="FootnoteReference"/>
          <w:rFonts w:cs="Arial"/>
          <w:snapToGrid w:val="0"/>
          <w:sz w:val="20"/>
        </w:rPr>
        <w:footnoteReference w:id="2124"/>
      </w:r>
      <w:r w:rsidRPr="00412620">
        <w:rPr>
          <w:snapToGrid w:val="0"/>
          <w:sz w:val="20"/>
        </w:rPr>
        <w:t>[  ]</w:t>
      </w:r>
    </w:p>
    <w:p w:rsidR="00076571" w:rsidRPr="00412620" w:rsidRDefault="00076571" w:rsidP="00AA4BF8">
      <w:pPr>
        <w:widowControl w:val="0"/>
        <w:jc w:val="both"/>
        <w:rPr>
          <w:snapToGrid w:val="0"/>
          <w:sz w:val="20"/>
        </w:rPr>
      </w:pPr>
    </w:p>
    <w:p w:rsidR="00AA4BF8" w:rsidRDefault="00AA4BF8" w:rsidP="00AA4BF8">
      <w:pPr>
        <w:widowControl w:val="0"/>
        <w:jc w:val="both"/>
        <w:rPr>
          <w:snapToGrid w:val="0"/>
          <w:sz w:val="20"/>
        </w:rPr>
      </w:pPr>
      <w:r w:rsidRPr="00412620">
        <w:rPr>
          <w:rStyle w:val="FootnoteReference"/>
          <w:rFonts w:cs="Arial"/>
          <w:snapToGrid w:val="0"/>
          <w:sz w:val="20"/>
        </w:rPr>
        <w:footnoteReference w:id="2125"/>
      </w:r>
      <w:r w:rsidRPr="00412620">
        <w:rPr>
          <w:snapToGrid w:val="0"/>
          <w:sz w:val="20"/>
        </w:rPr>
        <w:t>[  ]</w:t>
      </w:r>
    </w:p>
    <w:p w:rsidR="00076571" w:rsidRPr="007C5578" w:rsidRDefault="00076571" w:rsidP="00AA4BF8">
      <w:pPr>
        <w:widowControl w:val="0"/>
        <w:jc w:val="both"/>
        <w:rPr>
          <w:snapToGrid w:val="0"/>
          <w:sz w:val="20"/>
        </w:rPr>
      </w:pPr>
    </w:p>
    <w:p w:rsidR="00AA4BF8" w:rsidRPr="00F852EB" w:rsidRDefault="00AA4BF8" w:rsidP="00AA4BF8">
      <w:pPr>
        <w:widowControl w:val="0"/>
        <w:jc w:val="both"/>
        <w:rPr>
          <w:b/>
          <w:bCs/>
          <w:snapToGrid w:val="0"/>
          <w:color w:val="000000" w:themeColor="text1"/>
          <w:sz w:val="20"/>
        </w:rPr>
      </w:pPr>
      <w:r w:rsidRPr="00F852EB">
        <w:rPr>
          <w:rStyle w:val="FootnoteReference"/>
          <w:snapToGrid w:val="0"/>
          <w:color w:val="000000" w:themeColor="text1"/>
          <w:sz w:val="20"/>
        </w:rPr>
        <w:footnoteReference w:id="2126"/>
      </w:r>
      <w:r w:rsidRPr="00F852EB">
        <w:rPr>
          <w:snapToGrid w:val="0"/>
          <w:color w:val="000000" w:themeColor="text1"/>
          <w:sz w:val="20"/>
        </w:rPr>
        <w:t>[  ]</w:t>
      </w:r>
    </w:p>
    <w:p w:rsidR="00076571" w:rsidRPr="00F852EB" w:rsidRDefault="00076571" w:rsidP="00AA4BF8">
      <w:pPr>
        <w:widowControl w:val="0"/>
        <w:jc w:val="both"/>
        <w:rPr>
          <w:b/>
          <w:bCs/>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27"/>
      </w:r>
      <w:r w:rsidRPr="00F852EB">
        <w:rPr>
          <w:snapToGrid w:val="0"/>
          <w:color w:val="000000" w:themeColor="text1"/>
          <w:sz w:val="20"/>
        </w:rPr>
        <w:t>[  ]</w:t>
      </w:r>
    </w:p>
    <w:p w:rsidR="00AA4BF8" w:rsidRPr="00412620" w:rsidRDefault="00AA4BF8" w:rsidP="00AA4BF8">
      <w:pPr>
        <w:widowControl w:val="0"/>
        <w:jc w:val="both"/>
        <w:rPr>
          <w:snapToGrid w:val="0"/>
          <w:sz w:val="20"/>
        </w:rPr>
      </w:pPr>
      <w:r w:rsidRPr="00412620">
        <w:rPr>
          <w:rStyle w:val="FootnoteReference"/>
          <w:rFonts w:cs="Arial"/>
          <w:snapToGrid w:val="0"/>
          <w:sz w:val="20"/>
        </w:rPr>
        <w:lastRenderedPageBreak/>
        <w:footnoteReference w:id="2128"/>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29"/>
      </w:r>
      <w:r w:rsidRPr="00412620">
        <w:rPr>
          <w:snapToGrid w:val="0"/>
          <w:sz w:val="20"/>
        </w:rPr>
        <w:t>[</w:t>
      </w:r>
      <w:r w:rsidRPr="00412620">
        <w:rPr>
          <w:b/>
          <w:bCs/>
          <w:snapToGrid w:val="0"/>
          <w:sz w:val="20"/>
        </w:rPr>
        <w:t>(11A)</w:t>
      </w:r>
      <w:r w:rsidRPr="00412620">
        <w:rPr>
          <w:snapToGrid w:val="0"/>
          <w:sz w:val="20"/>
        </w:rPr>
        <w:tab/>
        <w:t xml:space="preserve">The provisions of section 113, regarding minimum tax, shall not apply to,- </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 xml:space="preserve">(i) </w:t>
      </w:r>
      <w:r w:rsidRPr="00412620">
        <w:rPr>
          <w:snapToGrid w:val="0"/>
          <w:sz w:val="20"/>
        </w:rPr>
        <w:tab/>
        <w:t xml:space="preserve">National Investment (Unit) Trust or a collective investment scheme authorized or registered under the Non-banking Finance Companies (Establishment and Regulation) Rules, 2003 or a real estate investment trust approved and authorized under the Real Estate Investment Trust </w:t>
      </w:r>
      <w:r w:rsidR="008D68FD" w:rsidRPr="003409C0">
        <w:rPr>
          <w:rStyle w:val="FootnoteReference"/>
          <w:snapToGrid w:val="0"/>
          <w:color w:val="000000" w:themeColor="text1"/>
          <w:sz w:val="20"/>
        </w:rPr>
        <w:footnoteReference w:id="2130"/>
      </w:r>
      <w:r w:rsidR="008D68FD" w:rsidRPr="003409C0">
        <w:rPr>
          <w:snapToGrid w:val="0"/>
          <w:color w:val="000000" w:themeColor="text1"/>
          <w:sz w:val="20"/>
        </w:rPr>
        <w:t>[“Regulations, 2015”]</w:t>
      </w:r>
      <w:r w:rsidRPr="003409C0">
        <w:rPr>
          <w:snapToGrid w:val="0"/>
          <w:color w:val="000000" w:themeColor="text1"/>
          <w:sz w:val="20"/>
        </w:rPr>
        <w:t>,</w:t>
      </w:r>
      <w:r w:rsidRPr="00412620">
        <w:rPr>
          <w:snapToGrid w:val="0"/>
          <w:sz w:val="20"/>
        </w:rPr>
        <w:t xml:space="preserve"> </w:t>
      </w:r>
      <w:r w:rsidRPr="00412620">
        <w:rPr>
          <w:rStyle w:val="FootnoteReference"/>
          <w:rFonts w:cs="Arial"/>
          <w:snapToGrid w:val="0"/>
          <w:sz w:val="20"/>
        </w:rPr>
        <w:footnoteReference w:id="2131"/>
      </w:r>
      <w:r w:rsidRPr="00412620">
        <w:rPr>
          <w:snapToGrid w:val="0"/>
          <w:sz w:val="20"/>
        </w:rPr>
        <w:t xml:space="preserve">[or a pension fund registered under the Voluntary Pension System Rules, 2005] or any other company in respect of turnover representing transactions in shares, or securities listed on a registered stock exchange; </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 xml:space="preserve">(ii) </w:t>
      </w:r>
      <w:r w:rsidRPr="00412620">
        <w:rPr>
          <w:snapToGrid w:val="0"/>
          <w:sz w:val="20"/>
        </w:rPr>
        <w:tab/>
        <w:t>petroleum dealers, in so far as they relate to turnover on account of sale of petroleum and petroleum products, notwithstanding their status as a company, a registered firm or an individual, engaged in retail sale of petroleum and petroleum products through petrol pumps for the purposes of assessment of their income and determination of tax thereon:</w:t>
      </w:r>
    </w:p>
    <w:p w:rsidR="00AA4BF8" w:rsidRPr="00412620" w:rsidRDefault="00AA4BF8" w:rsidP="00AA4BF8">
      <w:pPr>
        <w:widowControl w:val="0"/>
        <w:jc w:val="both"/>
        <w:rPr>
          <w:snapToGrid w:val="0"/>
          <w:sz w:val="20"/>
        </w:rPr>
      </w:pPr>
    </w:p>
    <w:p w:rsidR="00AA4BF8" w:rsidRPr="00412620" w:rsidRDefault="00AA4BF8" w:rsidP="00AA4BF8">
      <w:pPr>
        <w:widowControl w:val="0"/>
        <w:ind w:left="1635" w:firstLine="547"/>
        <w:jc w:val="both"/>
        <w:rPr>
          <w:snapToGrid w:val="0"/>
          <w:sz w:val="20"/>
        </w:rPr>
      </w:pPr>
      <w:r w:rsidRPr="00412620">
        <w:rPr>
          <w:snapToGrid w:val="0"/>
          <w:sz w:val="20"/>
        </w:rPr>
        <w:t>Provided that this exemption shall not apply to the sale of petroleum and petroleum products through petrol pumps which are directly operated or managed by companies engaged in distribution of petroleum and petroleum products.</w:t>
      </w:r>
    </w:p>
    <w:p w:rsidR="00AA4BF8" w:rsidRPr="00412620" w:rsidRDefault="00AA4BF8" w:rsidP="00AA4BF8">
      <w:pPr>
        <w:widowControl w:val="0"/>
        <w:jc w:val="both"/>
        <w:rPr>
          <w:snapToGrid w:val="0"/>
          <w:sz w:val="20"/>
        </w:rPr>
      </w:pPr>
    </w:p>
    <w:p w:rsidR="00AA4BF8" w:rsidRPr="00412620" w:rsidRDefault="00AA4BF8" w:rsidP="00AA4BF8">
      <w:pPr>
        <w:widowControl w:val="0"/>
        <w:ind w:left="1094" w:firstLine="541"/>
        <w:jc w:val="both"/>
        <w:rPr>
          <w:snapToGrid w:val="0"/>
          <w:sz w:val="20"/>
        </w:rPr>
      </w:pPr>
      <w:r w:rsidRPr="00412620">
        <w:rPr>
          <w:i/>
          <w:iCs/>
          <w:snapToGrid w:val="0"/>
          <w:sz w:val="20"/>
        </w:rPr>
        <w:t xml:space="preserve">Explanation.- </w:t>
      </w:r>
      <w:r w:rsidRPr="00412620">
        <w:rPr>
          <w:snapToGrid w:val="0"/>
          <w:sz w:val="20"/>
        </w:rPr>
        <w:t xml:space="preserve"> For the removal of doubt it is declared that the companies engaged in distribution of petroleum and petroleum products other than through petrol pumps shall not be entitled to the benefits of this exemption;</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 xml:space="preserve">(iii) </w:t>
      </w:r>
      <w:r w:rsidRPr="00412620">
        <w:rPr>
          <w:snapToGrid w:val="0"/>
          <w:sz w:val="20"/>
        </w:rPr>
        <w:tab/>
        <w:t>Hub Power Company Limited so far as they relate to its receipts on account of sale of electricity;</w:t>
      </w:r>
    </w:p>
    <w:p w:rsidR="00AA4BF8" w:rsidRPr="00412620" w:rsidRDefault="00AA4BF8" w:rsidP="00AA4BF8">
      <w:pPr>
        <w:widowControl w:val="0"/>
        <w:jc w:val="both"/>
        <w:rPr>
          <w:snapToGrid w:val="0"/>
          <w:sz w:val="20"/>
        </w:rPr>
      </w:pPr>
    </w:p>
    <w:p w:rsidR="00AA4BF8" w:rsidRPr="003409C0" w:rsidRDefault="007E7BF7" w:rsidP="00AA4BF8">
      <w:pPr>
        <w:widowControl w:val="0"/>
        <w:ind w:left="1094" w:hanging="554"/>
        <w:jc w:val="both"/>
        <w:rPr>
          <w:snapToGrid w:val="0"/>
          <w:color w:val="000000" w:themeColor="text1"/>
          <w:sz w:val="20"/>
        </w:rPr>
      </w:pPr>
      <w:r w:rsidRPr="003409C0">
        <w:rPr>
          <w:rStyle w:val="FootnoteReference"/>
          <w:snapToGrid w:val="0"/>
          <w:color w:val="000000" w:themeColor="text1"/>
          <w:sz w:val="20"/>
        </w:rPr>
        <w:footnoteReference w:id="2132"/>
      </w:r>
      <w:r w:rsidRPr="003409C0">
        <w:rPr>
          <w:snapToGrid w:val="0"/>
          <w:color w:val="000000" w:themeColor="text1"/>
          <w:sz w:val="20"/>
        </w:rPr>
        <w:t>[    ]</w:t>
      </w:r>
    </w:p>
    <w:p w:rsidR="00AA4BF8" w:rsidRPr="00412620" w:rsidRDefault="00AA4BF8" w:rsidP="00AA4BF8">
      <w:pPr>
        <w:widowControl w:val="0"/>
        <w:jc w:val="both"/>
        <w:rPr>
          <w:snapToGrid w:val="0"/>
          <w:sz w:val="20"/>
        </w:rPr>
      </w:pPr>
    </w:p>
    <w:p w:rsidR="00AA4BF8" w:rsidRDefault="00AA4BF8" w:rsidP="00AA4BF8">
      <w:pPr>
        <w:widowControl w:val="0"/>
        <w:ind w:left="1094" w:hanging="554"/>
        <w:jc w:val="both"/>
        <w:rPr>
          <w:snapToGrid w:val="0"/>
          <w:sz w:val="20"/>
        </w:rPr>
      </w:pPr>
      <w:r w:rsidRPr="00412620">
        <w:rPr>
          <w:snapToGrid w:val="0"/>
          <w:sz w:val="20"/>
        </w:rPr>
        <w:t>(v)</w:t>
      </w:r>
      <w:r w:rsidRPr="00412620">
        <w:rPr>
          <w:snapToGrid w:val="0"/>
          <w:sz w:val="20"/>
        </w:rPr>
        <w:tab/>
        <w:t>companies, qualifying for exemption under clause (132)</w:t>
      </w:r>
      <w:r w:rsidR="00F852EB">
        <w:rPr>
          <w:snapToGrid w:val="0"/>
          <w:sz w:val="20"/>
        </w:rPr>
        <w:t xml:space="preserve"> </w:t>
      </w:r>
      <w:r w:rsidR="00CB10B2" w:rsidRPr="00F852EB">
        <w:rPr>
          <w:rStyle w:val="FootnoteReference"/>
          <w:snapToGrid w:val="0"/>
          <w:color w:val="000000" w:themeColor="text1"/>
          <w:sz w:val="20"/>
        </w:rPr>
        <w:footnoteReference w:id="2133"/>
      </w:r>
      <w:r w:rsidR="00CB10B2" w:rsidRPr="00F852EB">
        <w:rPr>
          <w:snapToGrid w:val="0"/>
          <w:color w:val="000000" w:themeColor="text1"/>
          <w:sz w:val="20"/>
        </w:rPr>
        <w:t>[</w:t>
      </w:r>
      <w:r w:rsidR="00F852EB">
        <w:rPr>
          <w:snapToGrid w:val="0"/>
          <w:color w:val="000000" w:themeColor="text1"/>
          <w:sz w:val="20"/>
        </w:rPr>
        <w:t xml:space="preserve"> </w:t>
      </w:r>
      <w:r w:rsidR="00C677C4" w:rsidRPr="00C677C4">
        <w:rPr>
          <w:rStyle w:val="FootnoteReference"/>
          <w:snapToGrid w:val="0"/>
          <w:color w:val="000000" w:themeColor="text1"/>
          <w:sz w:val="20"/>
        </w:rPr>
        <w:footnoteReference w:id="2134"/>
      </w:r>
      <w:r w:rsidR="00C677C4" w:rsidRPr="00C677C4">
        <w:rPr>
          <w:snapToGrid w:val="0"/>
          <w:color w:val="984806" w:themeColor="accent6" w:themeShade="80"/>
          <w:sz w:val="20"/>
        </w:rPr>
        <w:t>[</w:t>
      </w:r>
      <w:r w:rsidR="004374C5">
        <w:rPr>
          <w:snapToGrid w:val="0"/>
          <w:color w:val="984806" w:themeColor="accent6" w:themeShade="80"/>
          <w:sz w:val="20"/>
        </w:rPr>
        <w:t xml:space="preserve"> ] </w:t>
      </w:r>
      <w:r w:rsidR="008D2188" w:rsidRPr="00F852EB">
        <w:rPr>
          <w:snapToGrid w:val="0"/>
          <w:color w:val="000000" w:themeColor="text1"/>
          <w:sz w:val="20"/>
        </w:rPr>
        <w:t>]</w:t>
      </w:r>
      <w:r w:rsidR="00F852EB">
        <w:rPr>
          <w:snapToGrid w:val="0"/>
          <w:color w:val="00B0F0"/>
          <w:sz w:val="20"/>
        </w:rPr>
        <w:t xml:space="preserve"> </w:t>
      </w:r>
      <w:r w:rsidRPr="00412620">
        <w:rPr>
          <w:snapToGrid w:val="0"/>
          <w:sz w:val="20"/>
        </w:rPr>
        <w:t>of Part-I of this Schedule, in respect of receipts from sale of electricity;</w:t>
      </w:r>
    </w:p>
    <w:p w:rsidR="00714696" w:rsidRPr="00412620" w:rsidRDefault="00714696" w:rsidP="00AA4BF8">
      <w:pPr>
        <w:widowControl w:val="0"/>
        <w:ind w:left="1094" w:hanging="554"/>
        <w:jc w:val="both"/>
        <w:rPr>
          <w:snapToGrid w:val="0"/>
          <w:sz w:val="20"/>
        </w:rPr>
      </w:pPr>
    </w:p>
    <w:p w:rsidR="00AA4BF8" w:rsidRPr="00412620" w:rsidRDefault="00AA4BF8" w:rsidP="00705DDC">
      <w:pPr>
        <w:widowControl w:val="0"/>
        <w:ind w:left="1094" w:hanging="540"/>
        <w:jc w:val="both"/>
        <w:rPr>
          <w:snapToGrid w:val="0"/>
          <w:sz w:val="20"/>
        </w:rPr>
      </w:pPr>
      <w:r w:rsidRPr="00412620">
        <w:rPr>
          <w:snapToGrid w:val="0"/>
          <w:sz w:val="20"/>
        </w:rPr>
        <w:t xml:space="preserve">(vi) </w:t>
      </w:r>
      <w:r w:rsidRPr="00412620">
        <w:rPr>
          <w:snapToGrid w:val="0"/>
          <w:sz w:val="20"/>
        </w:rPr>
        <w:tab/>
        <w:t>Provincial Governments and Local Governments, qualifying for exemption under section 49 and other Government bodies which are otherwise exempt from income tax:</w:t>
      </w:r>
    </w:p>
    <w:p w:rsidR="00AA4BF8" w:rsidRPr="00412620" w:rsidRDefault="00AA4BF8" w:rsidP="00AA4BF8">
      <w:pPr>
        <w:widowControl w:val="0"/>
        <w:jc w:val="both"/>
        <w:rPr>
          <w:snapToGrid w:val="0"/>
          <w:sz w:val="20"/>
        </w:rPr>
      </w:pPr>
    </w:p>
    <w:p w:rsidR="00AA4BF8" w:rsidRPr="00412620" w:rsidRDefault="00AA4BF8" w:rsidP="00AA4BF8">
      <w:pPr>
        <w:widowControl w:val="0"/>
        <w:ind w:left="1094" w:firstLine="541"/>
        <w:jc w:val="both"/>
        <w:rPr>
          <w:snapToGrid w:val="0"/>
          <w:sz w:val="20"/>
        </w:rPr>
      </w:pPr>
      <w:r w:rsidRPr="00412620">
        <w:rPr>
          <w:snapToGrid w:val="0"/>
          <w:sz w:val="20"/>
        </w:rPr>
        <w:t>Provided that nothing shall be construed to authorize any refund of tax already paid or the collection of any outstanding demand created under the said section;</w:t>
      </w:r>
    </w:p>
    <w:p w:rsidR="00AA4BF8" w:rsidRPr="00412620" w:rsidRDefault="00AA4BF8" w:rsidP="00AA4BF8">
      <w:pPr>
        <w:widowControl w:val="0"/>
        <w:ind w:left="1094" w:firstLine="541"/>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t xml:space="preserve">(vii) </w:t>
      </w:r>
      <w:r w:rsidRPr="00412620">
        <w:rPr>
          <w:snapToGrid w:val="0"/>
          <w:sz w:val="20"/>
        </w:rPr>
        <w:tab/>
        <w:t>Pakistan Red Crescent Society;</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(viii)</w:t>
      </w:r>
      <w:r w:rsidRPr="00412620">
        <w:rPr>
          <w:snapToGrid w:val="0"/>
          <w:sz w:val="20"/>
        </w:rPr>
        <w:tab/>
        <w:t>special purpose, non-profit companies engaged in securitizing the receivables of Provincial Governments;</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 xml:space="preserve">(ix) </w:t>
      </w:r>
      <w:r w:rsidRPr="00412620">
        <w:rPr>
          <w:snapToGrid w:val="0"/>
          <w:sz w:val="20"/>
        </w:rPr>
        <w:tab/>
        <w:t>non-profit organizations approved under clause (36) of section 2 or clause (58) or included in clause (61) of Part-I of this Schedule;</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 xml:space="preserve">(x) </w:t>
      </w:r>
      <w:r w:rsidRPr="00412620">
        <w:rPr>
          <w:snapToGrid w:val="0"/>
          <w:sz w:val="20"/>
        </w:rPr>
        <w:tab/>
        <w:t>a taxpayer who qualifies for exemption under clause (133) of Part-I of this Schedule, in respect of income from export of computer software or IT services or IT enabled services;</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 xml:space="preserve">(xi) </w:t>
      </w:r>
      <w:r w:rsidRPr="00412620">
        <w:rPr>
          <w:snapToGrid w:val="0"/>
          <w:sz w:val="20"/>
        </w:rPr>
        <w:tab/>
        <w:t>a resident person engaged in the business of shipping who qualifies for application of reduced rate of tax on tonnage basis as final tax under clause (21) of Part II of the Second Schedule;</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 xml:space="preserve">(xii) </w:t>
      </w:r>
      <w:r w:rsidRPr="00412620">
        <w:rPr>
          <w:snapToGrid w:val="0"/>
          <w:sz w:val="20"/>
        </w:rPr>
        <w:tab/>
        <w:t>a venture capital company, venture capital fund and Private Equity and Venture Capital Fund which is exempt under clause (101) of Part-I of this Schedule;</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 xml:space="preserve">(xiii) </w:t>
      </w:r>
      <w:r w:rsidRPr="00412620">
        <w:rPr>
          <w:snapToGrid w:val="0"/>
          <w:sz w:val="20"/>
        </w:rPr>
        <w:tab/>
        <w:t>a Modaraba registered under the Modaraba Companies and Modaraba (Floatation and Control) Ordinance, 1980 (XXXI of 1980);</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ab/>
        <w:t xml:space="preserve">(xiv) </w:t>
      </w:r>
      <w:r w:rsidRPr="00412620">
        <w:rPr>
          <w:snapToGrid w:val="0"/>
          <w:sz w:val="20"/>
        </w:rPr>
        <w:tab/>
        <w:t>Corporate and Industrial Restructuring Corporation (CIRC);</w:t>
      </w:r>
    </w:p>
    <w:p w:rsidR="00AA4BF8" w:rsidRPr="00412620" w:rsidRDefault="00AA4BF8" w:rsidP="00AA4BF8">
      <w:pPr>
        <w:widowControl w:val="0"/>
        <w:jc w:val="both"/>
        <w:rPr>
          <w:snapToGrid w:val="0"/>
          <w:sz w:val="20"/>
        </w:rPr>
      </w:pPr>
    </w:p>
    <w:p w:rsidR="00AA4BF8" w:rsidRPr="0046671C" w:rsidRDefault="00AA4BF8" w:rsidP="00AA4BF8">
      <w:pPr>
        <w:widowControl w:val="0"/>
        <w:ind w:left="1094" w:hanging="547"/>
        <w:jc w:val="both"/>
        <w:rPr>
          <w:rFonts w:cs="Arial"/>
          <w:snapToGrid w:val="0"/>
          <w:sz w:val="20"/>
        </w:rPr>
      </w:pPr>
      <w:r w:rsidRPr="00412620">
        <w:rPr>
          <w:snapToGrid w:val="0"/>
          <w:sz w:val="20"/>
        </w:rPr>
        <w:t>(xv)</w:t>
      </w:r>
      <w:r w:rsidRPr="00412620">
        <w:rPr>
          <w:snapToGrid w:val="0"/>
          <w:sz w:val="20"/>
        </w:rPr>
        <w:tab/>
        <w:t xml:space="preserve">The corporatized entities of Pakistan Water and Power Development Authority, so far as they relate to their receipts on account of sales of electricity, from the date of their creation upto the date of completion </w:t>
      </w:r>
      <w:r w:rsidRPr="0046671C">
        <w:rPr>
          <w:rFonts w:cs="Arial"/>
          <w:snapToGrid w:val="0"/>
          <w:sz w:val="20"/>
        </w:rPr>
        <w:t xml:space="preserve">of the process of corporatization i.e. till the tariff is notified; </w:t>
      </w:r>
    </w:p>
    <w:p w:rsidR="00AA4BF8" w:rsidRPr="0046671C" w:rsidRDefault="00AA4BF8" w:rsidP="00AA4BF8">
      <w:pPr>
        <w:widowControl w:val="0"/>
        <w:jc w:val="both"/>
        <w:rPr>
          <w:rFonts w:cs="Arial"/>
          <w:snapToGrid w:val="0"/>
          <w:sz w:val="20"/>
        </w:rPr>
      </w:pPr>
    </w:p>
    <w:p w:rsidR="00AA4BF8" w:rsidRPr="0046671C" w:rsidRDefault="00AA4BF8" w:rsidP="00AA4BF8">
      <w:pPr>
        <w:widowControl w:val="0"/>
        <w:ind w:left="1094" w:hanging="554"/>
        <w:jc w:val="both"/>
        <w:rPr>
          <w:rFonts w:cs="Arial"/>
          <w:snapToGrid w:val="0"/>
          <w:sz w:val="20"/>
        </w:rPr>
      </w:pPr>
      <w:r w:rsidRPr="0046671C">
        <w:rPr>
          <w:rFonts w:cs="Arial"/>
          <w:snapToGrid w:val="0"/>
          <w:sz w:val="20"/>
        </w:rPr>
        <w:t>(xvi)</w:t>
      </w:r>
      <w:r w:rsidRPr="0046671C">
        <w:rPr>
          <w:rFonts w:cs="Arial"/>
          <w:snapToGrid w:val="0"/>
          <w:sz w:val="20"/>
        </w:rPr>
        <w:tab/>
        <w:t>a morabaha bank or a financial institution approved by the State  Bank of Pakistan or the Securities and Exchange Commission of Pakistan (SECP), as the case may be, for the purpose of Islamic Banking and Finance in respect of turnover under a morabaha arrangement</w:t>
      </w:r>
      <w:r w:rsidRPr="003409C0">
        <w:rPr>
          <w:rFonts w:cs="Arial"/>
          <w:snapToGrid w:val="0"/>
          <w:color w:val="000000" w:themeColor="text1"/>
          <w:sz w:val="20"/>
        </w:rPr>
        <w:t xml:space="preserve">; </w:t>
      </w:r>
      <w:r w:rsidR="00EA0FED" w:rsidRPr="003409C0">
        <w:rPr>
          <w:rStyle w:val="FootnoteReference"/>
          <w:rFonts w:cs="Arial"/>
          <w:snapToGrid w:val="0"/>
          <w:color w:val="000000" w:themeColor="text1"/>
          <w:sz w:val="20"/>
        </w:rPr>
        <w:footnoteReference w:id="2135"/>
      </w:r>
      <w:r w:rsidR="00EA0FED" w:rsidRPr="003409C0">
        <w:rPr>
          <w:rFonts w:cs="Arial"/>
          <w:snapToGrid w:val="0"/>
          <w:color w:val="000000" w:themeColor="text1"/>
          <w:sz w:val="20"/>
        </w:rPr>
        <w:t>[    ]</w:t>
      </w:r>
    </w:p>
    <w:p w:rsidR="00AA4BF8" w:rsidRPr="0046671C" w:rsidRDefault="00AA4BF8" w:rsidP="00AA4BF8">
      <w:pPr>
        <w:widowControl w:val="0"/>
        <w:jc w:val="both"/>
        <w:rPr>
          <w:rFonts w:cs="Arial"/>
          <w:snapToGrid w:val="0"/>
          <w:sz w:val="20"/>
        </w:rPr>
      </w:pPr>
    </w:p>
    <w:p w:rsidR="00AA4BF8" w:rsidRPr="003409C0" w:rsidRDefault="00AA4BF8" w:rsidP="00AA4BF8">
      <w:pPr>
        <w:widowControl w:val="0"/>
        <w:jc w:val="both"/>
        <w:rPr>
          <w:rFonts w:cs="Arial"/>
          <w:snapToGrid w:val="0"/>
          <w:color w:val="000000" w:themeColor="text1"/>
          <w:sz w:val="20"/>
        </w:rPr>
      </w:pPr>
      <w:r w:rsidRPr="0046671C">
        <w:rPr>
          <w:rFonts w:cs="Arial"/>
          <w:snapToGrid w:val="0"/>
          <w:sz w:val="20"/>
        </w:rPr>
        <w:tab/>
      </w:r>
      <w:r w:rsidRPr="003409C0">
        <w:rPr>
          <w:rFonts w:cs="Arial"/>
          <w:snapToGrid w:val="0"/>
          <w:color w:val="000000" w:themeColor="text1"/>
          <w:sz w:val="20"/>
        </w:rPr>
        <w:t xml:space="preserve">(xvii) </w:t>
      </w:r>
      <w:r w:rsidRPr="003409C0">
        <w:rPr>
          <w:rFonts w:cs="Arial"/>
          <w:snapToGrid w:val="0"/>
          <w:color w:val="000000" w:themeColor="text1"/>
          <w:sz w:val="20"/>
        </w:rPr>
        <w:tab/>
        <w:t>WAPDA First Sukuk Company Limited</w:t>
      </w:r>
      <w:r w:rsidR="00F852EB" w:rsidRPr="003409C0">
        <w:rPr>
          <w:rFonts w:cs="Arial"/>
          <w:snapToGrid w:val="0"/>
          <w:color w:val="000000" w:themeColor="text1"/>
          <w:sz w:val="20"/>
        </w:rPr>
        <w:t xml:space="preserve"> </w:t>
      </w:r>
      <w:r w:rsidR="00EA0FED" w:rsidRPr="003409C0">
        <w:rPr>
          <w:rStyle w:val="FootnoteReference"/>
          <w:rFonts w:cs="Arial"/>
          <w:snapToGrid w:val="0"/>
          <w:color w:val="000000" w:themeColor="text1"/>
          <w:sz w:val="20"/>
        </w:rPr>
        <w:footnoteReference w:id="2136"/>
      </w:r>
      <w:r w:rsidR="00EA0FED" w:rsidRPr="003409C0">
        <w:rPr>
          <w:rFonts w:cs="Arial"/>
          <w:snapToGrid w:val="0"/>
          <w:color w:val="000000" w:themeColor="text1"/>
          <w:sz w:val="20"/>
        </w:rPr>
        <w:t>[“; and”</w:t>
      </w:r>
      <w:r w:rsidRPr="003409C0">
        <w:rPr>
          <w:rFonts w:cs="Arial"/>
          <w:snapToGrid w:val="0"/>
          <w:color w:val="000000" w:themeColor="text1"/>
          <w:sz w:val="20"/>
        </w:rPr>
        <w:t>]</w:t>
      </w:r>
    </w:p>
    <w:p w:rsidR="00966D71" w:rsidRPr="003409C0" w:rsidRDefault="00966D71" w:rsidP="00AA4BF8">
      <w:pPr>
        <w:widowControl w:val="0"/>
        <w:jc w:val="both"/>
        <w:rPr>
          <w:rFonts w:cs="Arial"/>
          <w:snapToGrid w:val="0"/>
          <w:color w:val="000000" w:themeColor="text1"/>
          <w:sz w:val="20"/>
        </w:rPr>
      </w:pPr>
    </w:p>
    <w:p w:rsidR="00EA0FED" w:rsidRPr="003409C0" w:rsidRDefault="00EA0FED" w:rsidP="00EA0FED">
      <w:pPr>
        <w:autoSpaceDE w:val="0"/>
        <w:autoSpaceDN w:val="0"/>
        <w:adjustRightInd w:val="0"/>
        <w:ind w:left="1260" w:hanging="720"/>
        <w:jc w:val="both"/>
        <w:rPr>
          <w:rFonts w:cs="Arial"/>
          <w:color w:val="000000" w:themeColor="text1"/>
          <w:sz w:val="20"/>
          <w:lang w:val="en-US"/>
        </w:rPr>
      </w:pPr>
      <w:r w:rsidRPr="003409C0">
        <w:rPr>
          <w:rStyle w:val="FootnoteReference"/>
          <w:rFonts w:cs="Arial"/>
          <w:snapToGrid w:val="0"/>
          <w:color w:val="000000" w:themeColor="text1"/>
          <w:sz w:val="20"/>
        </w:rPr>
        <w:footnoteReference w:id="2137"/>
      </w:r>
      <w:r w:rsidRPr="003409C0">
        <w:rPr>
          <w:rFonts w:cs="Arial"/>
          <w:snapToGrid w:val="0"/>
          <w:color w:val="000000" w:themeColor="text1"/>
          <w:sz w:val="20"/>
        </w:rPr>
        <w:t>[“</w:t>
      </w:r>
      <w:r w:rsidRPr="003409C0">
        <w:rPr>
          <w:rFonts w:cs="Arial"/>
          <w:color w:val="000000" w:themeColor="text1"/>
          <w:sz w:val="20"/>
          <w:lang w:val="en-US"/>
        </w:rPr>
        <w:t>(xviii) companies, qualifying for exemption under clause (132B) of Part-I of this Schedule, in respect of receipts from a coal mining project in Sindh, supplying coal exclusively to power generation projects.</w:t>
      </w:r>
    </w:p>
    <w:p w:rsidR="00966D71" w:rsidRPr="003409C0" w:rsidRDefault="00966D71" w:rsidP="00EA0FED">
      <w:pPr>
        <w:autoSpaceDE w:val="0"/>
        <w:autoSpaceDN w:val="0"/>
        <w:adjustRightInd w:val="0"/>
        <w:ind w:left="1260" w:hanging="720"/>
        <w:jc w:val="both"/>
        <w:rPr>
          <w:rFonts w:cs="Arial"/>
          <w:color w:val="000000" w:themeColor="text1"/>
          <w:sz w:val="20"/>
          <w:lang w:val="en-US"/>
        </w:rPr>
      </w:pPr>
    </w:p>
    <w:p w:rsidR="00966D71" w:rsidRPr="003409C0" w:rsidRDefault="00966D71" w:rsidP="00966D71">
      <w:pPr>
        <w:autoSpaceDE w:val="0"/>
        <w:autoSpaceDN w:val="0"/>
        <w:adjustRightInd w:val="0"/>
        <w:ind w:left="1260" w:hanging="720"/>
        <w:jc w:val="both"/>
        <w:rPr>
          <w:rFonts w:ascii="Times New Roman" w:hAnsi="Times New Roman"/>
          <w:color w:val="000000" w:themeColor="text1"/>
          <w:szCs w:val="24"/>
        </w:rPr>
      </w:pPr>
      <w:r w:rsidRPr="003409C0">
        <w:rPr>
          <w:rStyle w:val="FootnoteReference"/>
          <w:rFonts w:cs="Arial"/>
          <w:snapToGrid w:val="0"/>
          <w:color w:val="000000" w:themeColor="text1"/>
          <w:sz w:val="20"/>
        </w:rPr>
        <w:footnoteReference w:id="2138"/>
      </w:r>
      <w:r w:rsidRPr="003409C0">
        <w:rPr>
          <w:rFonts w:cs="Arial"/>
          <w:snapToGrid w:val="0"/>
          <w:color w:val="000000" w:themeColor="text1"/>
          <w:sz w:val="20"/>
        </w:rPr>
        <w:t>[“</w:t>
      </w:r>
      <w:r w:rsidRPr="003409C0">
        <w:rPr>
          <w:rFonts w:cs="Arial"/>
          <w:color w:val="000000" w:themeColor="text1"/>
          <w:sz w:val="20"/>
          <w:lang w:val="en-US"/>
        </w:rPr>
        <w:t xml:space="preserve">(xviii) </w:t>
      </w:r>
      <w:r w:rsidRPr="003409C0">
        <w:rPr>
          <w:rFonts w:ascii="Times New Roman" w:hAnsi="Times New Roman"/>
          <w:color w:val="000000" w:themeColor="text1"/>
          <w:szCs w:val="24"/>
        </w:rPr>
        <w:t>Pakistan International Sukuk Company Limited.”]</w:t>
      </w:r>
    </w:p>
    <w:p w:rsidR="00966D71" w:rsidRPr="003409C0" w:rsidRDefault="00966D71" w:rsidP="00966D71">
      <w:pPr>
        <w:autoSpaceDE w:val="0"/>
        <w:autoSpaceDN w:val="0"/>
        <w:adjustRightInd w:val="0"/>
        <w:ind w:left="1260" w:hanging="720"/>
        <w:jc w:val="both"/>
        <w:rPr>
          <w:rFonts w:ascii="Times New Roman" w:hAnsi="Times New Roman"/>
          <w:color w:val="000000" w:themeColor="text1"/>
          <w:szCs w:val="24"/>
        </w:rPr>
      </w:pPr>
    </w:p>
    <w:p w:rsidR="00966D71" w:rsidRPr="003409C0" w:rsidRDefault="000C40FF" w:rsidP="00966D71">
      <w:pPr>
        <w:autoSpaceDE w:val="0"/>
        <w:autoSpaceDN w:val="0"/>
        <w:adjustRightInd w:val="0"/>
        <w:ind w:left="1260" w:hanging="720"/>
        <w:jc w:val="both"/>
        <w:rPr>
          <w:rFonts w:ascii="Times New Roman" w:hAnsi="Times New Roman"/>
          <w:color w:val="000000" w:themeColor="text1"/>
          <w:szCs w:val="24"/>
        </w:rPr>
      </w:pPr>
      <w:r w:rsidRPr="003409C0">
        <w:rPr>
          <w:rStyle w:val="FootnoteReference"/>
          <w:rFonts w:cs="Arial"/>
          <w:snapToGrid w:val="0"/>
          <w:color w:val="000000" w:themeColor="text1"/>
          <w:sz w:val="20"/>
        </w:rPr>
        <w:footnoteReference w:id="2139"/>
      </w:r>
      <w:r w:rsidR="00966D71" w:rsidRPr="003409C0">
        <w:rPr>
          <w:rFonts w:cs="Arial"/>
          <w:snapToGrid w:val="0"/>
          <w:color w:val="000000" w:themeColor="text1"/>
          <w:sz w:val="20"/>
        </w:rPr>
        <w:t>[“</w:t>
      </w:r>
      <w:r w:rsidR="00966D71" w:rsidRPr="003409C0">
        <w:rPr>
          <w:rFonts w:cs="Arial"/>
          <w:color w:val="000000" w:themeColor="text1"/>
          <w:sz w:val="20"/>
          <w:lang w:val="en-US"/>
        </w:rPr>
        <w:t xml:space="preserve">(xix) Second </w:t>
      </w:r>
      <w:r w:rsidR="00966D71" w:rsidRPr="003409C0">
        <w:rPr>
          <w:rFonts w:ascii="Times New Roman" w:hAnsi="Times New Roman"/>
          <w:color w:val="000000" w:themeColor="text1"/>
          <w:szCs w:val="24"/>
        </w:rPr>
        <w:t>Pakistan International Sukuk Company Limited.”]</w:t>
      </w:r>
    </w:p>
    <w:p w:rsidR="00EA0FED" w:rsidRPr="003409C0" w:rsidRDefault="00EA0FED" w:rsidP="00EA0FED">
      <w:pPr>
        <w:autoSpaceDE w:val="0"/>
        <w:autoSpaceDN w:val="0"/>
        <w:adjustRightInd w:val="0"/>
        <w:ind w:left="1260" w:hanging="720"/>
        <w:jc w:val="both"/>
        <w:rPr>
          <w:rFonts w:cs="Arial"/>
          <w:color w:val="000000" w:themeColor="text1"/>
          <w:sz w:val="20"/>
          <w:lang w:val="en-US"/>
        </w:rPr>
      </w:pPr>
    </w:p>
    <w:p w:rsidR="00EA0FED" w:rsidRPr="003409C0" w:rsidRDefault="00EA0FED" w:rsidP="00EA0FED">
      <w:pPr>
        <w:autoSpaceDE w:val="0"/>
        <w:autoSpaceDN w:val="0"/>
        <w:adjustRightInd w:val="0"/>
        <w:ind w:firstLine="540"/>
        <w:jc w:val="both"/>
        <w:rPr>
          <w:rFonts w:cs="Arial"/>
          <w:color w:val="000000" w:themeColor="text1"/>
          <w:sz w:val="20"/>
          <w:lang w:val="en-US"/>
        </w:rPr>
      </w:pPr>
      <w:r w:rsidRPr="003409C0">
        <w:rPr>
          <w:rFonts w:cs="Arial"/>
          <w:color w:val="000000" w:themeColor="text1"/>
          <w:sz w:val="20"/>
          <w:lang w:val="en-US"/>
        </w:rPr>
        <w:t>(xix) LNG Terminal Operators and LNG Terminal Owners.</w:t>
      </w:r>
    </w:p>
    <w:p w:rsidR="00EA0FED" w:rsidRPr="003409C0" w:rsidRDefault="00EA0FED" w:rsidP="00EA0FED">
      <w:pPr>
        <w:autoSpaceDE w:val="0"/>
        <w:autoSpaceDN w:val="0"/>
        <w:adjustRightInd w:val="0"/>
        <w:ind w:firstLine="540"/>
        <w:jc w:val="both"/>
        <w:rPr>
          <w:rFonts w:cs="Arial"/>
          <w:color w:val="000000" w:themeColor="text1"/>
          <w:sz w:val="20"/>
          <w:lang w:val="en-US"/>
        </w:rPr>
      </w:pPr>
    </w:p>
    <w:p w:rsidR="00EA0FED" w:rsidRPr="003409C0" w:rsidRDefault="00EA0FED" w:rsidP="00EA0FED">
      <w:pPr>
        <w:autoSpaceDE w:val="0"/>
        <w:autoSpaceDN w:val="0"/>
        <w:adjustRightInd w:val="0"/>
        <w:ind w:left="1094" w:hanging="554"/>
        <w:jc w:val="both"/>
        <w:rPr>
          <w:rFonts w:cs="Arial"/>
          <w:color w:val="000000" w:themeColor="text1"/>
          <w:sz w:val="20"/>
          <w:lang w:val="en-US"/>
        </w:rPr>
      </w:pPr>
      <w:r w:rsidRPr="003409C0">
        <w:rPr>
          <w:rFonts w:cs="Arial"/>
          <w:color w:val="000000" w:themeColor="text1"/>
          <w:sz w:val="20"/>
          <w:lang w:val="en-US"/>
        </w:rPr>
        <w:t>(xx) taxpayers located in the most affected and moderately affected areas of Khyber Pakhtunkhwa, FATA and PATA for tax year 2010, 2011 and 2012 excluding manufacturers and suppliers of cement, sugar, beverages and cigarettes.</w:t>
      </w:r>
    </w:p>
    <w:p w:rsidR="00EA0FED" w:rsidRPr="003409C0" w:rsidRDefault="00EA0FED" w:rsidP="00EA0FED">
      <w:pPr>
        <w:autoSpaceDE w:val="0"/>
        <w:autoSpaceDN w:val="0"/>
        <w:adjustRightInd w:val="0"/>
        <w:ind w:left="1094" w:hanging="554"/>
        <w:jc w:val="both"/>
        <w:rPr>
          <w:rFonts w:cs="Arial"/>
          <w:color w:val="000000" w:themeColor="text1"/>
          <w:sz w:val="20"/>
          <w:lang w:val="en-US"/>
        </w:rPr>
      </w:pPr>
    </w:p>
    <w:p w:rsidR="00EA0FED" w:rsidRPr="003409C0" w:rsidRDefault="00EA0FED" w:rsidP="00EA0FED">
      <w:pPr>
        <w:autoSpaceDE w:val="0"/>
        <w:autoSpaceDN w:val="0"/>
        <w:adjustRightInd w:val="0"/>
        <w:ind w:firstLine="540"/>
        <w:jc w:val="both"/>
        <w:rPr>
          <w:rFonts w:cs="Arial"/>
          <w:color w:val="000000" w:themeColor="text1"/>
          <w:sz w:val="20"/>
          <w:lang w:val="en-US"/>
        </w:rPr>
      </w:pPr>
      <w:r w:rsidRPr="003409C0">
        <w:rPr>
          <w:rFonts w:cs="Arial"/>
          <w:color w:val="000000" w:themeColor="text1"/>
          <w:sz w:val="20"/>
          <w:lang w:val="en-US"/>
        </w:rPr>
        <w:t>(xxi) Rice Mills for the Tax Year 2015.</w:t>
      </w:r>
    </w:p>
    <w:p w:rsidR="00EA0FED" w:rsidRPr="003409C0" w:rsidRDefault="00EA0FED" w:rsidP="00EA0FED">
      <w:pPr>
        <w:autoSpaceDE w:val="0"/>
        <w:autoSpaceDN w:val="0"/>
        <w:adjustRightInd w:val="0"/>
        <w:ind w:firstLine="540"/>
        <w:jc w:val="both"/>
        <w:rPr>
          <w:rFonts w:cs="Arial"/>
          <w:color w:val="000000" w:themeColor="text1"/>
          <w:sz w:val="20"/>
          <w:lang w:val="en-US"/>
        </w:rPr>
      </w:pPr>
    </w:p>
    <w:p w:rsidR="00EA0FED" w:rsidRPr="003409C0" w:rsidRDefault="00EA0FED" w:rsidP="00EA0FED">
      <w:pPr>
        <w:autoSpaceDE w:val="0"/>
        <w:autoSpaceDN w:val="0"/>
        <w:adjustRightInd w:val="0"/>
        <w:ind w:left="1094" w:hanging="554"/>
        <w:jc w:val="both"/>
        <w:rPr>
          <w:rFonts w:cs="Arial"/>
          <w:color w:val="000000" w:themeColor="text1"/>
          <w:sz w:val="20"/>
          <w:lang w:val="en-US"/>
        </w:rPr>
      </w:pPr>
      <w:r w:rsidRPr="003409C0">
        <w:rPr>
          <w:rFonts w:cs="Arial"/>
          <w:color w:val="000000" w:themeColor="text1"/>
          <w:sz w:val="20"/>
          <w:lang w:val="en-US"/>
        </w:rPr>
        <w:t>(xxii) taxpayers qualifying for exemption under clauses (126I) of Part-I of this Schedule in respect of income from manufacture of equipment with dedicated use for generation of renewable energy.</w:t>
      </w:r>
    </w:p>
    <w:p w:rsidR="00EA0FED" w:rsidRPr="003409C0" w:rsidRDefault="00EA0FED" w:rsidP="00EA0FED">
      <w:pPr>
        <w:autoSpaceDE w:val="0"/>
        <w:autoSpaceDN w:val="0"/>
        <w:adjustRightInd w:val="0"/>
        <w:ind w:left="1094" w:hanging="554"/>
        <w:jc w:val="both"/>
        <w:rPr>
          <w:rFonts w:cs="Arial"/>
          <w:color w:val="000000" w:themeColor="text1"/>
          <w:sz w:val="20"/>
          <w:lang w:val="en-US"/>
        </w:rPr>
      </w:pPr>
    </w:p>
    <w:p w:rsidR="00EA0FED" w:rsidRPr="003409C0" w:rsidRDefault="00EA0FED" w:rsidP="00EA0FED">
      <w:pPr>
        <w:autoSpaceDE w:val="0"/>
        <w:autoSpaceDN w:val="0"/>
        <w:adjustRightInd w:val="0"/>
        <w:ind w:left="1094" w:hanging="554"/>
        <w:jc w:val="both"/>
        <w:rPr>
          <w:rFonts w:cs="Arial"/>
          <w:color w:val="000000" w:themeColor="text1"/>
          <w:sz w:val="20"/>
          <w:lang w:val="en-US"/>
        </w:rPr>
      </w:pPr>
      <w:r w:rsidRPr="003409C0">
        <w:rPr>
          <w:rFonts w:cs="Arial"/>
          <w:color w:val="000000" w:themeColor="text1"/>
          <w:sz w:val="20"/>
          <w:lang w:val="en-US"/>
        </w:rPr>
        <w:t>(xxiii) taxpayers qualifying for exemption under clauses (126J) of Part-I of this Schedule in respect of income from operating warehousing or cold chain facilities for storage of agriculture produce.</w:t>
      </w:r>
    </w:p>
    <w:p w:rsidR="00EA0FED" w:rsidRPr="00EA0FED" w:rsidRDefault="00EA0FED" w:rsidP="00EA0FED">
      <w:pPr>
        <w:autoSpaceDE w:val="0"/>
        <w:autoSpaceDN w:val="0"/>
        <w:adjustRightInd w:val="0"/>
        <w:ind w:left="1094" w:hanging="554"/>
        <w:jc w:val="both"/>
        <w:rPr>
          <w:rFonts w:cs="Arial"/>
          <w:color w:val="984806" w:themeColor="accent6" w:themeShade="80"/>
          <w:sz w:val="20"/>
          <w:lang w:val="en-US"/>
        </w:rPr>
      </w:pPr>
    </w:p>
    <w:p w:rsidR="00EA0FED" w:rsidRPr="003409C0" w:rsidRDefault="00EA0FED" w:rsidP="00EA0FED">
      <w:pPr>
        <w:autoSpaceDE w:val="0"/>
        <w:autoSpaceDN w:val="0"/>
        <w:adjustRightInd w:val="0"/>
        <w:ind w:left="1094" w:hanging="554"/>
        <w:jc w:val="both"/>
        <w:rPr>
          <w:rFonts w:cs="Arial"/>
          <w:color w:val="000000" w:themeColor="text1"/>
          <w:sz w:val="20"/>
          <w:lang w:val="en-US"/>
        </w:rPr>
      </w:pPr>
      <w:r w:rsidRPr="003409C0">
        <w:rPr>
          <w:rFonts w:cs="Arial"/>
          <w:color w:val="000000" w:themeColor="text1"/>
          <w:sz w:val="20"/>
          <w:lang w:val="en-US"/>
        </w:rPr>
        <w:lastRenderedPageBreak/>
        <w:t>(xxiv) taxpayers qualifying for exemption under clauses (126K) of Part-I of this Schedule in respect of income from operating halal meat production, during the period mentioned in clause (126K).</w:t>
      </w:r>
    </w:p>
    <w:p w:rsidR="00EA0FED" w:rsidRPr="003409C0" w:rsidRDefault="00EA0FED" w:rsidP="00EA0FED">
      <w:pPr>
        <w:autoSpaceDE w:val="0"/>
        <w:autoSpaceDN w:val="0"/>
        <w:adjustRightInd w:val="0"/>
        <w:ind w:left="1094" w:hanging="554"/>
        <w:jc w:val="both"/>
        <w:rPr>
          <w:rFonts w:cs="Arial"/>
          <w:color w:val="000000" w:themeColor="text1"/>
          <w:sz w:val="20"/>
          <w:lang w:val="en-US"/>
        </w:rPr>
      </w:pPr>
    </w:p>
    <w:p w:rsidR="00EA0FED" w:rsidRPr="00EA0FED" w:rsidRDefault="00EA0FED" w:rsidP="00EA0FED">
      <w:pPr>
        <w:autoSpaceDE w:val="0"/>
        <w:autoSpaceDN w:val="0"/>
        <w:adjustRightInd w:val="0"/>
        <w:ind w:left="1094" w:hanging="554"/>
        <w:jc w:val="both"/>
        <w:rPr>
          <w:rFonts w:cs="Arial"/>
          <w:snapToGrid w:val="0"/>
          <w:color w:val="984806" w:themeColor="accent6" w:themeShade="80"/>
          <w:sz w:val="20"/>
        </w:rPr>
      </w:pPr>
      <w:r w:rsidRPr="003409C0">
        <w:rPr>
          <w:rFonts w:cs="Arial"/>
          <w:color w:val="000000" w:themeColor="text1"/>
          <w:sz w:val="20"/>
          <w:lang w:val="en-US"/>
        </w:rPr>
        <w:t>(xxv) taxpayers qualifying for exemption under clauses (126L) of Part-I of this Schedule in respect of income from a manufacturing unit set up in Khyber Pukhtunkhwa Province between 1</w:t>
      </w:r>
      <w:r w:rsidRPr="003409C0">
        <w:rPr>
          <w:rFonts w:cs="Arial"/>
          <w:color w:val="000000" w:themeColor="text1"/>
          <w:sz w:val="20"/>
          <w:vertAlign w:val="superscript"/>
          <w:lang w:val="en-US"/>
        </w:rPr>
        <w:t>st</w:t>
      </w:r>
      <w:r w:rsidRPr="003409C0">
        <w:rPr>
          <w:rFonts w:cs="Arial"/>
          <w:color w:val="000000" w:themeColor="text1"/>
          <w:sz w:val="20"/>
          <w:lang w:val="en-US"/>
        </w:rPr>
        <w:t xml:space="preserve"> day of July, 2015 and 30th day of June, 2018</w:t>
      </w:r>
      <w:r w:rsidR="004332C9">
        <w:rPr>
          <w:rFonts w:cs="Arial"/>
          <w:color w:val="984806" w:themeColor="accent6" w:themeShade="80"/>
          <w:sz w:val="20"/>
          <w:lang w:val="en-US"/>
        </w:rPr>
        <w:t xml:space="preserve"> </w:t>
      </w:r>
      <w:r w:rsidR="004332C9" w:rsidRPr="00D47C20">
        <w:rPr>
          <w:rStyle w:val="FootnoteReference"/>
          <w:rFonts w:cs="Arial"/>
          <w:color w:val="0070C0"/>
          <w:sz w:val="20"/>
          <w:lang w:val="en-US"/>
        </w:rPr>
        <w:footnoteReference w:id="2140"/>
      </w:r>
      <w:r w:rsidR="004332C9" w:rsidRPr="00D47C20">
        <w:rPr>
          <w:rFonts w:cs="Arial"/>
          <w:color w:val="0070C0"/>
          <w:sz w:val="20"/>
          <w:lang w:val="en-US"/>
        </w:rPr>
        <w:t>[; and]</w:t>
      </w:r>
      <w:r w:rsidR="004332C9">
        <w:rPr>
          <w:rFonts w:cs="Arial"/>
          <w:color w:val="984806" w:themeColor="accent6" w:themeShade="80"/>
          <w:sz w:val="20"/>
          <w:lang w:val="en-US"/>
        </w:rPr>
        <w:t xml:space="preserve"> </w:t>
      </w:r>
      <w:r w:rsidRPr="003409C0">
        <w:rPr>
          <w:rFonts w:cs="Arial"/>
          <w:color w:val="000000" w:themeColor="text1"/>
          <w:sz w:val="20"/>
          <w:lang w:val="en-US"/>
        </w:rPr>
        <w:t>]</w:t>
      </w:r>
    </w:p>
    <w:p w:rsidR="00714696" w:rsidRDefault="00714696" w:rsidP="00AA4BF8">
      <w:pPr>
        <w:widowControl w:val="0"/>
        <w:jc w:val="both"/>
        <w:rPr>
          <w:rFonts w:cs="Arial"/>
          <w:snapToGrid w:val="0"/>
          <w:sz w:val="20"/>
        </w:rPr>
      </w:pPr>
    </w:p>
    <w:p w:rsidR="004332C9" w:rsidRPr="00D47C20" w:rsidRDefault="004332C9" w:rsidP="00687261">
      <w:pPr>
        <w:ind w:left="1260" w:hanging="720"/>
        <w:jc w:val="both"/>
        <w:rPr>
          <w:rFonts w:cs="Arial"/>
          <w:snapToGrid w:val="0"/>
          <w:color w:val="0070C0"/>
          <w:sz w:val="20"/>
        </w:rPr>
      </w:pPr>
      <w:r w:rsidRPr="00D47C20">
        <w:rPr>
          <w:rStyle w:val="FootnoteReference"/>
          <w:rFonts w:cs="Arial"/>
          <w:color w:val="0070C0"/>
          <w:sz w:val="20"/>
        </w:rPr>
        <w:footnoteReference w:id="2141"/>
      </w:r>
      <w:r w:rsidRPr="00D47C20">
        <w:rPr>
          <w:rFonts w:cs="Arial"/>
          <w:color w:val="0070C0"/>
          <w:sz w:val="20"/>
        </w:rPr>
        <w:t>[“(xxvi)</w:t>
      </w:r>
      <w:r w:rsidRPr="00D47C20">
        <w:rPr>
          <w:rFonts w:cs="Arial"/>
          <w:snapToGrid w:val="0"/>
          <w:color w:val="0070C0"/>
          <w:sz w:val="20"/>
        </w:rPr>
        <w:t>China Overseas Ports Holding Company Limited, China Overseas Ports Holding Company  Pakistan (Private) Limited, Gwadar International Terminal Limited, Gwadar Marine Services Limited and Gwadar Free Zone Company Limited for a period of twenty three  years, with effect from the sixth day of February, 2007.”]</w:t>
      </w:r>
    </w:p>
    <w:p w:rsidR="004332C9" w:rsidRPr="00D47C20" w:rsidRDefault="004332C9" w:rsidP="004332C9">
      <w:pPr>
        <w:ind w:left="1094" w:hanging="554"/>
        <w:jc w:val="both"/>
        <w:rPr>
          <w:rFonts w:cs="Arial"/>
          <w:snapToGrid w:val="0"/>
          <w:color w:val="0070C0"/>
          <w:sz w:val="20"/>
        </w:rPr>
      </w:pPr>
    </w:p>
    <w:p w:rsidR="004332C9" w:rsidRPr="004332C9" w:rsidRDefault="004332C9" w:rsidP="00687261">
      <w:pPr>
        <w:ind w:left="1260" w:hanging="720"/>
        <w:jc w:val="both"/>
        <w:rPr>
          <w:rFonts w:cs="Arial"/>
          <w:color w:val="FF0000"/>
          <w:sz w:val="20"/>
        </w:rPr>
      </w:pPr>
      <w:r w:rsidRPr="00D47C20">
        <w:rPr>
          <w:rStyle w:val="FootnoteReference"/>
          <w:rFonts w:cs="Arial"/>
          <w:snapToGrid w:val="0"/>
          <w:color w:val="0070C0"/>
          <w:sz w:val="20"/>
        </w:rPr>
        <w:footnoteReference w:id="2142"/>
      </w:r>
      <w:r w:rsidRPr="00D47C20">
        <w:rPr>
          <w:rFonts w:cs="Arial"/>
          <w:snapToGrid w:val="0"/>
          <w:color w:val="0070C0"/>
          <w:sz w:val="20"/>
        </w:rPr>
        <w:t>[(xxvii)companies, qualifying for exemption under clause (126M) of Part-I of this Schedule, in respect of profits and gains derived from a transmission line project.”]</w:t>
      </w:r>
    </w:p>
    <w:p w:rsidR="004332C9" w:rsidRDefault="004332C9" w:rsidP="00AA4BF8">
      <w:pPr>
        <w:widowControl w:val="0"/>
        <w:jc w:val="both"/>
        <w:rPr>
          <w:rFonts w:cs="Arial"/>
          <w:snapToGrid w:val="0"/>
          <w:sz w:val="20"/>
        </w:rPr>
      </w:pPr>
    </w:p>
    <w:p w:rsidR="004332C9" w:rsidRPr="0046671C" w:rsidRDefault="004332C9" w:rsidP="00AA4BF8">
      <w:pPr>
        <w:widowControl w:val="0"/>
        <w:jc w:val="both"/>
        <w:rPr>
          <w:rFonts w:cs="Arial"/>
          <w:snapToGrid w:val="0"/>
          <w:sz w:val="20"/>
        </w:rPr>
      </w:pPr>
    </w:p>
    <w:p w:rsidR="00AA4BF8" w:rsidRPr="0046671C" w:rsidRDefault="00AA4BF8" w:rsidP="005B1030">
      <w:pPr>
        <w:autoSpaceDE w:val="0"/>
        <w:autoSpaceDN w:val="0"/>
        <w:adjustRightInd w:val="0"/>
        <w:jc w:val="both"/>
        <w:rPr>
          <w:rFonts w:cs="Arial"/>
          <w:sz w:val="20"/>
        </w:rPr>
      </w:pPr>
      <w:r w:rsidRPr="0046671C">
        <w:rPr>
          <w:rStyle w:val="FootnoteReference"/>
          <w:rFonts w:cs="Arial"/>
          <w:sz w:val="20"/>
        </w:rPr>
        <w:footnoteReference w:id="2143"/>
      </w:r>
      <w:r w:rsidRPr="0046671C">
        <w:rPr>
          <w:rFonts w:cs="Arial"/>
          <w:sz w:val="20"/>
        </w:rPr>
        <w:t xml:space="preserve">[(11B) </w:t>
      </w:r>
      <w:r w:rsidRPr="0046671C">
        <w:rPr>
          <w:rFonts w:cs="Arial"/>
          <w:sz w:val="20"/>
        </w:rPr>
        <w:tab/>
        <w:t>The provisions of section 150 shall not apply in respect of inter-corporate dividend within the group companies entitled to group taxation under section 59AA</w:t>
      </w:r>
      <w:r w:rsidR="00CA27B9">
        <w:rPr>
          <w:rFonts w:cs="Arial"/>
          <w:sz w:val="20"/>
        </w:rPr>
        <w:t xml:space="preserve"> </w:t>
      </w:r>
      <w:r w:rsidR="00CA27B9" w:rsidRPr="00D47C20">
        <w:rPr>
          <w:rStyle w:val="FootnoteReference"/>
          <w:rFonts w:cs="Arial"/>
          <w:color w:val="0070C0"/>
          <w:sz w:val="20"/>
        </w:rPr>
        <w:footnoteReference w:id="2144"/>
      </w:r>
      <w:r w:rsidR="00CA27B9" w:rsidRPr="00D47C20">
        <w:rPr>
          <w:rFonts w:cs="Arial"/>
          <w:color w:val="0070C0"/>
          <w:sz w:val="20"/>
        </w:rPr>
        <w:t>[  ]</w:t>
      </w:r>
      <w:r w:rsidR="00CA27B9">
        <w:rPr>
          <w:rFonts w:cs="Arial"/>
          <w:sz w:val="20"/>
        </w:rPr>
        <w:t xml:space="preserve"> </w:t>
      </w:r>
      <w:r w:rsidR="005B1030" w:rsidRPr="003409C0">
        <w:rPr>
          <w:rStyle w:val="FootnoteReference"/>
          <w:rFonts w:cs="Arial"/>
          <w:color w:val="000000" w:themeColor="text1"/>
          <w:sz w:val="20"/>
        </w:rPr>
        <w:footnoteReference w:id="2145"/>
      </w:r>
      <w:r w:rsidR="00480CF8" w:rsidRPr="003409C0">
        <w:rPr>
          <w:rFonts w:cs="Arial"/>
          <w:color w:val="000000" w:themeColor="text1"/>
          <w:sz w:val="20"/>
        </w:rPr>
        <w:t>[“</w:t>
      </w:r>
      <w:r w:rsidR="00480CF8" w:rsidRPr="003409C0">
        <w:rPr>
          <w:rFonts w:cs="Arial"/>
          <w:color w:val="000000" w:themeColor="text1"/>
          <w:sz w:val="20"/>
          <w:lang w:val="en-US"/>
        </w:rPr>
        <w:t xml:space="preserve">subject to the condition that the return of the </w:t>
      </w:r>
      <w:r w:rsidR="001E3897" w:rsidRPr="003409C0">
        <w:rPr>
          <w:rFonts w:cs="Arial"/>
          <w:color w:val="000000" w:themeColor="text1"/>
          <w:sz w:val="20"/>
          <w:lang w:val="en-US"/>
        </w:rPr>
        <w:t>group has</w:t>
      </w:r>
      <w:r w:rsidR="00480CF8" w:rsidRPr="003409C0">
        <w:rPr>
          <w:rFonts w:cs="Arial"/>
          <w:color w:val="000000" w:themeColor="text1"/>
          <w:sz w:val="20"/>
          <w:lang w:val="en-US"/>
        </w:rPr>
        <w:t xml:space="preserve"> been filed for the latest completed tax year”]</w:t>
      </w:r>
      <w:r w:rsidRPr="003409C0">
        <w:rPr>
          <w:rFonts w:cs="Arial"/>
          <w:color w:val="000000" w:themeColor="text1"/>
          <w:sz w:val="20"/>
        </w:rPr>
        <w:t>.]</w:t>
      </w:r>
    </w:p>
    <w:p w:rsidR="00AA4BF8" w:rsidRPr="0046671C" w:rsidRDefault="00AA4BF8" w:rsidP="00AA4BF8">
      <w:pPr>
        <w:jc w:val="both"/>
        <w:rPr>
          <w:rFonts w:cs="Arial"/>
          <w:sz w:val="20"/>
        </w:rPr>
      </w:pPr>
    </w:p>
    <w:p w:rsidR="00AA4BF8" w:rsidRPr="003409C0" w:rsidRDefault="00AA4BF8" w:rsidP="004D7613">
      <w:pPr>
        <w:autoSpaceDE w:val="0"/>
        <w:autoSpaceDN w:val="0"/>
        <w:adjustRightInd w:val="0"/>
        <w:jc w:val="both"/>
        <w:rPr>
          <w:rFonts w:cs="Arial"/>
          <w:color w:val="000000" w:themeColor="text1"/>
          <w:sz w:val="20"/>
        </w:rPr>
      </w:pPr>
      <w:r w:rsidRPr="0046671C">
        <w:rPr>
          <w:rStyle w:val="FootnoteReference"/>
          <w:rFonts w:cs="Arial"/>
          <w:sz w:val="20"/>
        </w:rPr>
        <w:footnoteReference w:id="2146"/>
      </w:r>
      <w:r w:rsidRPr="0046671C">
        <w:rPr>
          <w:rFonts w:cs="Arial"/>
          <w:sz w:val="20"/>
        </w:rPr>
        <w:t>[(11C)</w:t>
      </w:r>
      <w:r w:rsidRPr="0046671C">
        <w:rPr>
          <w:rFonts w:cs="Arial"/>
          <w:sz w:val="20"/>
        </w:rPr>
        <w:tab/>
        <w:t xml:space="preserve">The provisions of section 151 shall not apply in respect of inter-corporate profit on debt within the group companies entitled to group taxation under section 59AA </w:t>
      </w:r>
      <w:r w:rsidR="00916843" w:rsidRPr="00D47C20">
        <w:rPr>
          <w:rStyle w:val="FootnoteReference"/>
          <w:rFonts w:cs="Arial"/>
          <w:color w:val="0070C0"/>
          <w:sz w:val="20"/>
        </w:rPr>
        <w:footnoteReference w:id="2147"/>
      </w:r>
      <w:r w:rsidR="00916843" w:rsidRPr="00D47C20">
        <w:rPr>
          <w:rFonts w:cs="Arial"/>
          <w:color w:val="0070C0"/>
          <w:sz w:val="20"/>
        </w:rPr>
        <w:t>[  ]</w:t>
      </w:r>
      <w:r w:rsidR="00916843">
        <w:rPr>
          <w:rFonts w:cs="Arial"/>
          <w:color w:val="FF0000"/>
          <w:sz w:val="20"/>
        </w:rPr>
        <w:t xml:space="preserve"> </w:t>
      </w:r>
      <w:r w:rsidR="00CC5B4C" w:rsidRPr="003409C0">
        <w:rPr>
          <w:rStyle w:val="FootnoteReference"/>
          <w:rFonts w:cs="Arial"/>
          <w:color w:val="000000" w:themeColor="text1"/>
          <w:sz w:val="20"/>
        </w:rPr>
        <w:footnoteReference w:id="2148"/>
      </w:r>
      <w:r w:rsidR="00480CF8" w:rsidRPr="003409C0">
        <w:rPr>
          <w:rFonts w:cs="Arial"/>
          <w:color w:val="000000" w:themeColor="text1"/>
          <w:sz w:val="20"/>
        </w:rPr>
        <w:t>[“</w:t>
      </w:r>
      <w:r w:rsidR="00480CF8" w:rsidRPr="003409C0">
        <w:rPr>
          <w:rFonts w:cs="Arial"/>
          <w:color w:val="000000" w:themeColor="text1"/>
          <w:sz w:val="20"/>
          <w:lang w:val="en-US"/>
        </w:rPr>
        <w:t xml:space="preserve">subject to the condition that the return of the </w:t>
      </w:r>
      <w:r w:rsidR="001E3897" w:rsidRPr="003409C0">
        <w:rPr>
          <w:rFonts w:cs="Arial"/>
          <w:color w:val="000000" w:themeColor="text1"/>
          <w:sz w:val="20"/>
          <w:lang w:val="en-US"/>
        </w:rPr>
        <w:t>group has</w:t>
      </w:r>
      <w:r w:rsidR="00480CF8" w:rsidRPr="003409C0">
        <w:rPr>
          <w:rFonts w:cs="Arial"/>
          <w:color w:val="000000" w:themeColor="text1"/>
          <w:sz w:val="20"/>
          <w:lang w:val="en-US"/>
        </w:rPr>
        <w:t xml:space="preserve"> been filed for the latest completed tax year”]</w:t>
      </w:r>
      <w:r w:rsidRPr="003409C0">
        <w:rPr>
          <w:rFonts w:cs="Arial"/>
          <w:color w:val="000000" w:themeColor="text1"/>
          <w:sz w:val="20"/>
        </w:rPr>
        <w:t>.]</w:t>
      </w:r>
    </w:p>
    <w:p w:rsidR="00D050D2" w:rsidRPr="003409C0" w:rsidRDefault="00D050D2" w:rsidP="004D7613">
      <w:pPr>
        <w:autoSpaceDE w:val="0"/>
        <w:autoSpaceDN w:val="0"/>
        <w:adjustRightInd w:val="0"/>
        <w:jc w:val="both"/>
        <w:rPr>
          <w:rFonts w:cs="Arial"/>
          <w:color w:val="000000" w:themeColor="text1"/>
          <w:sz w:val="20"/>
        </w:rPr>
      </w:pPr>
    </w:p>
    <w:p w:rsidR="00D050D2" w:rsidRPr="003409C0" w:rsidRDefault="006B21EE" w:rsidP="00D050D2">
      <w:pPr>
        <w:autoSpaceDE w:val="0"/>
        <w:autoSpaceDN w:val="0"/>
        <w:adjustRightInd w:val="0"/>
        <w:jc w:val="both"/>
        <w:rPr>
          <w:rFonts w:cs="Arial"/>
          <w:color w:val="000000" w:themeColor="text1"/>
          <w:sz w:val="20"/>
        </w:rPr>
      </w:pPr>
      <w:r w:rsidRPr="003409C0">
        <w:rPr>
          <w:rStyle w:val="FootnoteReference"/>
          <w:rFonts w:cs="Arial"/>
          <w:color w:val="000000" w:themeColor="text1"/>
          <w:sz w:val="20"/>
          <w:lang w:val="en-US"/>
        </w:rPr>
        <w:footnoteReference w:id="2149"/>
      </w:r>
      <w:r w:rsidR="00D050D2" w:rsidRPr="003409C0">
        <w:rPr>
          <w:rFonts w:cs="Arial"/>
          <w:color w:val="000000" w:themeColor="text1"/>
          <w:sz w:val="20"/>
          <w:lang w:val="en-US"/>
        </w:rPr>
        <w:t>[“(11D) The provisions of section 113C shall not apply to LNG Terminal Operators and LNG Terminal Owners.”]</w:t>
      </w:r>
    </w:p>
    <w:p w:rsidR="00AA4BF8" w:rsidRPr="0046671C" w:rsidRDefault="00AA4BF8" w:rsidP="00AA4BF8">
      <w:pPr>
        <w:widowControl w:val="0"/>
        <w:jc w:val="both"/>
        <w:rPr>
          <w:rFonts w:cs="Arial"/>
          <w:snapToGrid w:val="0"/>
          <w:sz w:val="20"/>
        </w:rPr>
      </w:pPr>
    </w:p>
    <w:p w:rsidR="00AA4BF8" w:rsidRPr="0046671C" w:rsidRDefault="00AA4BF8" w:rsidP="00AA4BF8">
      <w:pPr>
        <w:widowControl w:val="0"/>
        <w:jc w:val="both"/>
        <w:rPr>
          <w:rFonts w:cs="Arial"/>
          <w:b/>
          <w:bCs/>
          <w:snapToGrid w:val="0"/>
          <w:sz w:val="20"/>
        </w:rPr>
      </w:pPr>
      <w:r w:rsidRPr="0046671C">
        <w:rPr>
          <w:rStyle w:val="FootnoteReference"/>
          <w:rFonts w:cs="Arial"/>
          <w:snapToGrid w:val="0"/>
          <w:sz w:val="20"/>
        </w:rPr>
        <w:footnoteReference w:id="2150"/>
      </w:r>
      <w:r w:rsidRPr="0046671C">
        <w:rPr>
          <w:rFonts w:cs="Arial"/>
          <w:snapToGrid w:val="0"/>
          <w:sz w:val="20"/>
        </w:rPr>
        <w:t>[</w:t>
      </w:r>
      <w:r w:rsidRPr="0046671C">
        <w:rPr>
          <w:rFonts w:cs="Arial"/>
          <w:b/>
          <w:bCs/>
          <w:snapToGrid w:val="0"/>
          <w:sz w:val="20"/>
        </w:rPr>
        <w:t xml:space="preserve">(12) </w:t>
      </w:r>
      <w:r w:rsidRPr="0046671C">
        <w:rPr>
          <w:rFonts w:cs="Arial"/>
          <w:b/>
          <w:bCs/>
          <w:snapToGrid w:val="0"/>
          <w:sz w:val="20"/>
        </w:rPr>
        <w:tab/>
      </w:r>
    </w:p>
    <w:p w:rsidR="00AA4BF8" w:rsidRPr="0046671C" w:rsidRDefault="00AA4BF8" w:rsidP="00AA4BF8">
      <w:pPr>
        <w:widowControl w:val="0"/>
        <w:jc w:val="both"/>
        <w:rPr>
          <w:rFonts w:cs="Arial"/>
          <w:snapToGrid w:val="0"/>
          <w:sz w:val="20"/>
        </w:rPr>
      </w:pPr>
      <w:r w:rsidRPr="0046671C">
        <w:rPr>
          <w:rFonts w:cs="Arial"/>
          <w:snapToGrid w:val="0"/>
          <w:sz w:val="20"/>
        </w:rPr>
        <w:tab/>
        <w:t xml:space="preserve">(a) </w:t>
      </w:r>
      <w:r w:rsidRPr="0046671C">
        <w:rPr>
          <w:rFonts w:cs="Arial"/>
          <w:snapToGrid w:val="0"/>
          <w:sz w:val="20"/>
        </w:rPr>
        <w:tab/>
        <w:t>The provisions of clause (l)</w:t>
      </w:r>
      <w:r w:rsidR="00812121" w:rsidRPr="0046671C">
        <w:rPr>
          <w:rFonts w:cs="Arial"/>
          <w:snapToGrid w:val="0"/>
          <w:sz w:val="20"/>
        </w:rPr>
        <w:t xml:space="preserve"> of section 21 and clause (a) of</w:t>
      </w:r>
      <w:r w:rsidRPr="0046671C">
        <w:rPr>
          <w:rFonts w:cs="Arial"/>
          <w:snapToGrid w:val="0"/>
          <w:sz w:val="20"/>
        </w:rPr>
        <w:t xml:space="preserve"> sub-section (1) of section 153 shall not apply where agricultural produce is purchased </w:t>
      </w:r>
      <w:r w:rsidRPr="0046671C">
        <w:rPr>
          <w:rFonts w:cs="Arial"/>
          <w:snapToGrid w:val="0"/>
          <w:sz w:val="20"/>
        </w:rPr>
        <w:lastRenderedPageBreak/>
        <w:t>directly from the grower of such produce subject to provision of a certificate by the grower to the withholding agent in the following format, namely:—</w:t>
      </w:r>
    </w:p>
    <w:p w:rsidR="00AA4BF8" w:rsidRPr="0046671C" w:rsidRDefault="00AA4BF8" w:rsidP="00AA4BF8">
      <w:pPr>
        <w:widowControl w:val="0"/>
        <w:jc w:val="both"/>
        <w:rPr>
          <w:rFonts w:cs="Arial"/>
          <w:snapToGrid w:val="0"/>
          <w:sz w:val="20"/>
        </w:rPr>
      </w:pPr>
    </w:p>
    <w:p w:rsidR="00AA4BF8" w:rsidRPr="0046671C" w:rsidRDefault="00AA4BF8" w:rsidP="00AA4BF8">
      <w:pPr>
        <w:widowControl w:val="0"/>
        <w:jc w:val="center"/>
        <w:rPr>
          <w:rFonts w:cs="Arial"/>
          <w:b/>
          <w:bCs/>
          <w:i/>
          <w:iCs/>
          <w:snapToGrid w:val="0"/>
          <w:sz w:val="20"/>
          <w:u w:val="single"/>
        </w:rPr>
      </w:pPr>
      <w:r w:rsidRPr="0046671C">
        <w:rPr>
          <w:rFonts w:cs="Arial"/>
          <w:b/>
          <w:bCs/>
          <w:i/>
          <w:iCs/>
          <w:snapToGrid w:val="0"/>
          <w:sz w:val="20"/>
          <w:u w:val="single"/>
        </w:rPr>
        <w:t xml:space="preserve">CERTIFICATE TO BE FILED BY THE GROWER OF </w:t>
      </w:r>
    </w:p>
    <w:p w:rsidR="00AA4BF8" w:rsidRPr="0046671C" w:rsidRDefault="00AA4BF8" w:rsidP="00AA4BF8">
      <w:pPr>
        <w:widowControl w:val="0"/>
        <w:jc w:val="center"/>
        <w:rPr>
          <w:rFonts w:cs="Arial"/>
          <w:b/>
          <w:bCs/>
          <w:i/>
          <w:iCs/>
          <w:snapToGrid w:val="0"/>
          <w:sz w:val="20"/>
          <w:u w:val="single"/>
        </w:rPr>
      </w:pPr>
      <w:r w:rsidRPr="0046671C">
        <w:rPr>
          <w:rFonts w:cs="Arial"/>
          <w:b/>
          <w:bCs/>
          <w:i/>
          <w:iCs/>
          <w:snapToGrid w:val="0"/>
          <w:sz w:val="20"/>
          <w:u w:val="single"/>
        </w:rPr>
        <w:t>AGRICULTURAL PRODUCE</w:t>
      </w:r>
    </w:p>
    <w:p w:rsidR="00AA4BF8" w:rsidRPr="0046671C" w:rsidRDefault="00AA4BF8" w:rsidP="00AA4BF8">
      <w:pPr>
        <w:widowControl w:val="0"/>
        <w:jc w:val="both"/>
        <w:rPr>
          <w:rFonts w:cs="Arial"/>
          <w:snapToGrid w:val="0"/>
          <w:sz w:val="20"/>
        </w:rPr>
      </w:pPr>
    </w:p>
    <w:p w:rsidR="00AA4BF8" w:rsidRPr="0046671C" w:rsidRDefault="00AA4BF8" w:rsidP="00AA4BF8">
      <w:pPr>
        <w:widowControl w:val="0"/>
        <w:jc w:val="both"/>
        <w:rPr>
          <w:rFonts w:cs="Arial"/>
          <w:snapToGrid w:val="0"/>
          <w:sz w:val="20"/>
        </w:rPr>
      </w:pPr>
      <w:r w:rsidRPr="0046671C">
        <w:rPr>
          <w:rFonts w:cs="Arial"/>
          <w:snapToGrid w:val="0"/>
          <w:sz w:val="20"/>
        </w:rPr>
        <w:tab/>
      </w:r>
      <w:r w:rsidRPr="0046671C">
        <w:rPr>
          <w:rFonts w:cs="Arial"/>
          <w:snapToGrid w:val="0"/>
          <w:sz w:val="20"/>
        </w:rPr>
        <w:tab/>
        <w:t>It is certified that I …………………………. Holder of CNIC Number  …………………………………… have sold following agricultural produce, namely:</w:t>
      </w:r>
    </w:p>
    <w:p w:rsidR="00AA4BF8" w:rsidRPr="0046671C" w:rsidRDefault="00AA4BF8" w:rsidP="00AA4BF8">
      <w:pPr>
        <w:widowControl w:val="0"/>
        <w:jc w:val="both"/>
        <w:rPr>
          <w:rFonts w:cs="Arial"/>
          <w:snapToGrid w:val="0"/>
          <w:sz w:val="20"/>
        </w:rPr>
      </w:pPr>
    </w:p>
    <w:p w:rsidR="00AA4BF8" w:rsidRPr="0046671C" w:rsidRDefault="00AA4BF8" w:rsidP="00AA4BF8">
      <w:pPr>
        <w:widowControl w:val="0"/>
        <w:ind w:left="1094" w:hanging="554"/>
        <w:jc w:val="both"/>
        <w:rPr>
          <w:rFonts w:cs="Arial"/>
          <w:snapToGrid w:val="0"/>
          <w:sz w:val="20"/>
        </w:rPr>
      </w:pPr>
      <w:r w:rsidRPr="0046671C">
        <w:rPr>
          <w:rFonts w:cs="Arial"/>
          <w:snapToGrid w:val="0"/>
          <w:sz w:val="20"/>
        </w:rPr>
        <w:t>i)</w:t>
      </w:r>
      <w:r w:rsidRPr="0046671C">
        <w:rPr>
          <w:rFonts w:cs="Arial"/>
          <w:snapToGrid w:val="0"/>
          <w:sz w:val="20"/>
        </w:rPr>
        <w:tab/>
        <w:t>name of agricultural produce (wheat, rice, cotton, sugarcane, etc. …………………………………………………..</w:t>
      </w:r>
    </w:p>
    <w:p w:rsidR="00AA4BF8" w:rsidRPr="0046671C" w:rsidRDefault="00AA4BF8" w:rsidP="00AA4BF8">
      <w:pPr>
        <w:widowControl w:val="0"/>
        <w:jc w:val="both"/>
        <w:rPr>
          <w:rFonts w:cs="Arial"/>
          <w:snapToGrid w:val="0"/>
          <w:sz w:val="20"/>
        </w:rPr>
      </w:pPr>
      <w:r w:rsidRPr="0046671C">
        <w:rPr>
          <w:rFonts w:cs="Arial"/>
          <w:snapToGrid w:val="0"/>
          <w:sz w:val="20"/>
        </w:rPr>
        <w:tab/>
        <w:t xml:space="preserve">ii) </w:t>
      </w:r>
      <w:r w:rsidRPr="0046671C">
        <w:rPr>
          <w:rFonts w:cs="Arial"/>
          <w:snapToGrid w:val="0"/>
          <w:sz w:val="20"/>
        </w:rPr>
        <w:tab/>
        <w:t>quantity ………………………………………..</w:t>
      </w:r>
    </w:p>
    <w:p w:rsidR="00AA4BF8" w:rsidRPr="0046671C" w:rsidRDefault="00AA4BF8" w:rsidP="00AA4BF8">
      <w:pPr>
        <w:widowControl w:val="0"/>
        <w:jc w:val="both"/>
        <w:rPr>
          <w:rFonts w:cs="Arial"/>
          <w:snapToGrid w:val="0"/>
          <w:sz w:val="20"/>
        </w:rPr>
      </w:pPr>
      <w:r w:rsidRPr="0046671C">
        <w:rPr>
          <w:rFonts w:cs="Arial"/>
          <w:snapToGrid w:val="0"/>
          <w:sz w:val="20"/>
        </w:rPr>
        <w:tab/>
        <w:t xml:space="preserve">iii) </w:t>
      </w:r>
      <w:r w:rsidRPr="0046671C">
        <w:rPr>
          <w:rFonts w:cs="Arial"/>
          <w:snapToGrid w:val="0"/>
          <w:sz w:val="20"/>
        </w:rPr>
        <w:tab/>
        <w:t>total price ……………………………………...</w:t>
      </w:r>
    </w:p>
    <w:p w:rsidR="00AA4BF8" w:rsidRPr="0046671C" w:rsidRDefault="00AA4BF8" w:rsidP="00AA4BF8">
      <w:pPr>
        <w:widowControl w:val="0"/>
        <w:jc w:val="both"/>
        <w:rPr>
          <w:rFonts w:cs="Arial"/>
          <w:snapToGrid w:val="0"/>
          <w:sz w:val="20"/>
        </w:rPr>
      </w:pPr>
      <w:r w:rsidRPr="0046671C">
        <w:rPr>
          <w:rFonts w:cs="Arial"/>
          <w:snapToGrid w:val="0"/>
          <w:sz w:val="20"/>
        </w:rPr>
        <w:tab/>
        <w:t xml:space="preserve">iv) </w:t>
      </w:r>
      <w:r w:rsidRPr="0046671C">
        <w:rPr>
          <w:rFonts w:cs="Arial"/>
          <w:snapToGrid w:val="0"/>
          <w:sz w:val="20"/>
        </w:rPr>
        <w:tab/>
        <w:t>land identification (if any) ……………………</w:t>
      </w:r>
    </w:p>
    <w:p w:rsidR="00AA4BF8" w:rsidRPr="0046671C" w:rsidRDefault="00AA4BF8" w:rsidP="00AA4BF8">
      <w:pPr>
        <w:widowControl w:val="0"/>
        <w:jc w:val="both"/>
        <w:rPr>
          <w:rFonts w:cs="Arial"/>
          <w:snapToGrid w:val="0"/>
          <w:sz w:val="20"/>
        </w:rPr>
      </w:pPr>
    </w:p>
    <w:p w:rsidR="00AA4BF8" w:rsidRPr="0046671C" w:rsidRDefault="00AA4BF8" w:rsidP="00AA4BF8">
      <w:pPr>
        <w:widowControl w:val="0"/>
        <w:jc w:val="both"/>
        <w:rPr>
          <w:rFonts w:cs="Arial"/>
          <w:snapToGrid w:val="0"/>
          <w:sz w:val="20"/>
        </w:rPr>
      </w:pPr>
      <w:r w:rsidRPr="0046671C">
        <w:rPr>
          <w:rFonts w:cs="Arial"/>
          <w:snapToGrid w:val="0"/>
          <w:sz w:val="20"/>
        </w:rPr>
        <w:t>to Mr / M/s ………………………………………. on (date) ……………………. and being the grower / producer of the said agricultural produce and owner of agricultural land area measuring (optional) …………………………… located in ………………………………. I am not liable to any Withholding Income Tax.</w:t>
      </w:r>
    </w:p>
    <w:p w:rsidR="00AA4BF8" w:rsidRPr="0046671C" w:rsidRDefault="00AA4BF8" w:rsidP="00AA4BF8">
      <w:pPr>
        <w:widowControl w:val="0"/>
        <w:jc w:val="both"/>
        <w:rPr>
          <w:rFonts w:cs="Arial"/>
          <w:snapToGrid w:val="0"/>
          <w:sz w:val="20"/>
        </w:rPr>
      </w:pPr>
      <w:r w:rsidRPr="0046671C">
        <w:rPr>
          <w:rFonts w:cs="Arial"/>
          <w:snapToGrid w:val="0"/>
          <w:sz w:val="20"/>
        </w:rPr>
        <w:tab/>
      </w:r>
      <w:r w:rsidRPr="0046671C">
        <w:rPr>
          <w:rFonts w:cs="Arial"/>
          <w:snapToGrid w:val="0"/>
          <w:sz w:val="20"/>
        </w:rPr>
        <w:tab/>
      </w:r>
      <w:r w:rsidRPr="0046671C">
        <w:rPr>
          <w:rFonts w:cs="Arial"/>
          <w:snapToGrid w:val="0"/>
          <w:sz w:val="20"/>
        </w:rPr>
        <w:tab/>
      </w:r>
    </w:p>
    <w:p w:rsidR="00AA4BF8" w:rsidRPr="0046671C" w:rsidRDefault="00AA4BF8" w:rsidP="00AA4BF8">
      <w:pPr>
        <w:widowControl w:val="0"/>
        <w:jc w:val="both"/>
        <w:rPr>
          <w:rFonts w:cs="Arial"/>
          <w:snapToGrid w:val="0"/>
          <w:sz w:val="20"/>
        </w:rPr>
      </w:pPr>
      <w:r w:rsidRPr="0046671C">
        <w:rPr>
          <w:rFonts w:cs="Arial"/>
          <w:snapToGrid w:val="0"/>
          <w:sz w:val="20"/>
        </w:rPr>
        <w:tab/>
      </w:r>
      <w:r w:rsidRPr="0046671C">
        <w:rPr>
          <w:rFonts w:cs="Arial"/>
          <w:snapToGrid w:val="0"/>
          <w:sz w:val="20"/>
        </w:rPr>
        <w:tab/>
      </w:r>
      <w:r w:rsidRPr="0046671C">
        <w:rPr>
          <w:rFonts w:cs="Arial"/>
          <w:snapToGrid w:val="0"/>
          <w:sz w:val="20"/>
        </w:rPr>
        <w:tab/>
        <w:t>Signature / Thumb impression  …………………………………..</w:t>
      </w:r>
    </w:p>
    <w:p w:rsidR="00AA4BF8" w:rsidRPr="0046671C" w:rsidRDefault="00AA4BF8" w:rsidP="00AA4BF8">
      <w:pPr>
        <w:widowControl w:val="0"/>
        <w:jc w:val="both"/>
        <w:rPr>
          <w:rFonts w:cs="Arial"/>
          <w:snapToGrid w:val="0"/>
          <w:sz w:val="20"/>
        </w:rPr>
      </w:pPr>
      <w:r w:rsidRPr="0046671C">
        <w:rPr>
          <w:rFonts w:cs="Arial"/>
          <w:snapToGrid w:val="0"/>
          <w:sz w:val="20"/>
        </w:rPr>
        <w:tab/>
      </w:r>
      <w:r w:rsidRPr="0046671C">
        <w:rPr>
          <w:rFonts w:cs="Arial"/>
          <w:snapToGrid w:val="0"/>
          <w:sz w:val="20"/>
        </w:rPr>
        <w:tab/>
      </w:r>
      <w:r w:rsidRPr="0046671C">
        <w:rPr>
          <w:rFonts w:cs="Arial"/>
          <w:snapToGrid w:val="0"/>
          <w:sz w:val="20"/>
        </w:rPr>
        <w:tab/>
        <w:t>Name ………………………………………………………………..</w:t>
      </w:r>
    </w:p>
    <w:p w:rsidR="00AA4BF8" w:rsidRPr="0046671C" w:rsidRDefault="00AA4BF8" w:rsidP="00AA4BF8">
      <w:pPr>
        <w:widowControl w:val="0"/>
        <w:jc w:val="both"/>
        <w:rPr>
          <w:rFonts w:cs="Arial"/>
          <w:snapToGrid w:val="0"/>
          <w:sz w:val="20"/>
        </w:rPr>
      </w:pPr>
      <w:r w:rsidRPr="0046671C">
        <w:rPr>
          <w:rFonts w:cs="Arial"/>
          <w:snapToGrid w:val="0"/>
          <w:sz w:val="20"/>
        </w:rPr>
        <w:tab/>
      </w:r>
      <w:r w:rsidRPr="0046671C">
        <w:rPr>
          <w:rFonts w:cs="Arial"/>
          <w:snapToGrid w:val="0"/>
          <w:sz w:val="20"/>
        </w:rPr>
        <w:tab/>
      </w:r>
      <w:r w:rsidRPr="0046671C">
        <w:rPr>
          <w:rFonts w:cs="Arial"/>
          <w:snapToGrid w:val="0"/>
          <w:sz w:val="20"/>
        </w:rPr>
        <w:tab/>
        <w:t>CNIC …………………………………………………………………</w:t>
      </w:r>
    </w:p>
    <w:p w:rsidR="00AA4BF8" w:rsidRPr="00412620" w:rsidRDefault="00AA4BF8" w:rsidP="00AA4BF8">
      <w:pPr>
        <w:widowControl w:val="0"/>
        <w:jc w:val="both"/>
        <w:rPr>
          <w:snapToGrid w:val="0"/>
          <w:sz w:val="20"/>
        </w:rPr>
      </w:pPr>
      <w:r w:rsidRPr="00412620">
        <w:rPr>
          <w:snapToGrid w:val="0"/>
          <w:sz w:val="20"/>
        </w:rPr>
        <w:tab/>
      </w:r>
      <w:r w:rsidRPr="00412620">
        <w:rPr>
          <w:snapToGrid w:val="0"/>
          <w:sz w:val="20"/>
        </w:rPr>
        <w:tab/>
      </w:r>
      <w:r w:rsidRPr="00412620">
        <w:rPr>
          <w:snapToGrid w:val="0"/>
          <w:sz w:val="20"/>
        </w:rPr>
        <w:tab/>
        <w:t>Address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snapToGrid w:val="0"/>
          <w:sz w:val="20"/>
        </w:rPr>
        <w:t>Date…………………………….</w:t>
      </w:r>
    </w:p>
    <w:p w:rsidR="00AA4BF8" w:rsidRPr="00412620" w:rsidRDefault="00AA4BF8" w:rsidP="00AA4BF8">
      <w:pPr>
        <w:widowControl w:val="0"/>
        <w:jc w:val="both"/>
        <w:rPr>
          <w:snapToGrid w:val="0"/>
          <w:sz w:val="20"/>
        </w:rPr>
      </w:pPr>
    </w:p>
    <w:p w:rsidR="00AA4BF8" w:rsidRPr="00412620" w:rsidRDefault="00AA4BF8" w:rsidP="00AA4BF8">
      <w:pPr>
        <w:widowControl w:val="0"/>
        <w:ind w:left="1094" w:hanging="554"/>
        <w:jc w:val="both"/>
        <w:rPr>
          <w:snapToGrid w:val="0"/>
          <w:sz w:val="20"/>
        </w:rPr>
      </w:pPr>
      <w:r w:rsidRPr="00412620">
        <w:rPr>
          <w:snapToGrid w:val="0"/>
          <w:sz w:val="20"/>
        </w:rPr>
        <w:t xml:space="preserve">(b) </w:t>
      </w:r>
      <w:r w:rsidRPr="00412620">
        <w:rPr>
          <w:snapToGrid w:val="0"/>
          <w:sz w:val="20"/>
        </w:rPr>
        <w:tab/>
        <w:t>the provisions of clause (a) of sub-section (1) of section 153 shall not apply only in case of cash payments made for meeting the incidental expenses of a business trip to the crew of oil tanker. This exemption shall not apply in case of any other payments made by owners of oil tankers; and</w:t>
      </w:r>
    </w:p>
    <w:p w:rsidR="00AA4BF8" w:rsidRPr="00412620" w:rsidRDefault="00AA4BF8" w:rsidP="00AA4BF8">
      <w:pPr>
        <w:widowControl w:val="0"/>
        <w:jc w:val="both"/>
        <w:rPr>
          <w:snapToGrid w:val="0"/>
          <w:sz w:val="20"/>
        </w:rPr>
      </w:pPr>
    </w:p>
    <w:p w:rsidR="00AA4BF8" w:rsidRPr="00412620" w:rsidRDefault="00DD1689" w:rsidP="002C2E38">
      <w:pPr>
        <w:widowControl w:val="0"/>
        <w:jc w:val="both"/>
        <w:rPr>
          <w:snapToGrid w:val="0"/>
          <w:sz w:val="20"/>
        </w:rPr>
      </w:pPr>
      <w:r>
        <w:rPr>
          <w:rStyle w:val="FootnoteReference"/>
          <w:snapToGrid w:val="0"/>
          <w:sz w:val="20"/>
        </w:rPr>
        <w:footnoteReference w:id="2151"/>
      </w:r>
      <w:r>
        <w:rPr>
          <w:snapToGrid w:val="0"/>
          <w:sz w:val="20"/>
        </w:rPr>
        <w:t>[</w:t>
      </w:r>
      <w:r w:rsidR="00F852EB">
        <w:rPr>
          <w:snapToGrid w:val="0"/>
          <w:sz w:val="20"/>
        </w:rPr>
        <w:t xml:space="preserve">  </w:t>
      </w:r>
      <w:r w:rsidR="00AA4BF8" w:rsidRPr="00412620">
        <w:rPr>
          <w:snapToGrid w:val="0"/>
          <w:sz w:val="20"/>
        </w:rPr>
        <w:t xml:space="preserve">]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52"/>
      </w:r>
      <w:r w:rsidRPr="00412620">
        <w:rPr>
          <w:snapToGrid w:val="0"/>
          <w:sz w:val="20"/>
        </w:rPr>
        <w:t>[  ]</w:t>
      </w:r>
    </w:p>
    <w:p w:rsidR="00AA4BF8" w:rsidRPr="00412620" w:rsidRDefault="00AA4BF8" w:rsidP="00AA4BF8">
      <w:pPr>
        <w:widowControl w:val="0"/>
        <w:jc w:val="both"/>
        <w:rPr>
          <w:snapToGrid w:val="0"/>
          <w:sz w:val="26"/>
          <w:szCs w:val="2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53"/>
      </w:r>
      <w:r w:rsidRPr="00412620">
        <w:rPr>
          <w:snapToGrid w:val="0"/>
          <w:sz w:val="20"/>
        </w:rPr>
        <w:t>[  ]</w:t>
      </w:r>
    </w:p>
    <w:p w:rsidR="00AA4BF8" w:rsidRPr="00412620" w:rsidRDefault="00AA4BF8" w:rsidP="00AA4BF8">
      <w:pPr>
        <w:widowControl w:val="0"/>
        <w:jc w:val="both"/>
        <w:rPr>
          <w:snapToGrid w:val="0"/>
          <w:sz w:val="26"/>
          <w:szCs w:val="2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54"/>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55"/>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(16)</w:t>
      </w:r>
      <w:r w:rsidRPr="00412620">
        <w:rPr>
          <w:sz w:val="20"/>
        </w:rPr>
        <w:tab/>
        <w:t xml:space="preserve"> The provisions of sections </w:t>
      </w:r>
      <w:r w:rsidRPr="00412620">
        <w:rPr>
          <w:rStyle w:val="FootnoteReference"/>
          <w:rFonts w:cs="Arial"/>
          <w:sz w:val="20"/>
        </w:rPr>
        <w:footnoteReference w:id="2156"/>
      </w:r>
      <w:r w:rsidRPr="00412620">
        <w:rPr>
          <w:sz w:val="20"/>
        </w:rPr>
        <w:t xml:space="preserve">[113,] 148, 151, 153, 155 </w:t>
      </w:r>
      <w:r w:rsidRPr="00412620">
        <w:rPr>
          <w:rStyle w:val="FootnoteReference"/>
          <w:rFonts w:cs="Arial"/>
          <w:sz w:val="20"/>
        </w:rPr>
        <w:footnoteReference w:id="2157"/>
      </w:r>
      <w:r w:rsidRPr="00412620">
        <w:rPr>
          <w:sz w:val="20"/>
        </w:rPr>
        <w:t>[and 156] shall not apply to the institutions of the Agha Khan Development Network (Pakistan) listed in Schedule 1 of the Accord and Protocol dated November 13, 199</w:t>
      </w:r>
      <w:r w:rsidRPr="00412620">
        <w:rPr>
          <w:snapToGrid w:val="0"/>
          <w:sz w:val="20"/>
        </w:rPr>
        <w:t>4, executed between the Government of the Islamic Republic of Pakistan and Agha Khan Development Network:</w:t>
      </w:r>
    </w:p>
    <w:p w:rsidR="00AA4BF8" w:rsidRPr="00412620" w:rsidRDefault="00AA4BF8" w:rsidP="00AA4BF8">
      <w:pPr>
        <w:widowControl w:val="0"/>
        <w:ind w:left="720" w:hanging="720"/>
        <w:jc w:val="both"/>
        <w:rPr>
          <w:snapToGrid w:val="0"/>
          <w:sz w:val="20"/>
        </w:rPr>
      </w:pPr>
    </w:p>
    <w:p w:rsidR="00AA4BF8" w:rsidRPr="00412620" w:rsidRDefault="00AA4BF8" w:rsidP="002C2E38">
      <w:pPr>
        <w:widowControl w:val="0"/>
        <w:ind w:left="900"/>
        <w:jc w:val="both"/>
        <w:rPr>
          <w:snapToGrid w:val="0"/>
          <w:sz w:val="20"/>
        </w:rPr>
      </w:pPr>
      <w:r w:rsidRPr="00412620">
        <w:rPr>
          <w:snapToGrid w:val="0"/>
          <w:sz w:val="20"/>
        </w:rPr>
        <w:t xml:space="preserve">Provided that such institutions shall continue to collect and deduct tax under </w:t>
      </w:r>
      <w:r w:rsidRPr="00412620">
        <w:rPr>
          <w:sz w:val="20"/>
        </w:rPr>
        <w:t xml:space="preserve">section </w:t>
      </w:r>
      <w:r w:rsidRPr="00412620">
        <w:rPr>
          <w:rStyle w:val="FootnoteReference"/>
          <w:rFonts w:cs="Arial"/>
          <w:sz w:val="20"/>
        </w:rPr>
        <w:footnoteReference w:id="2158"/>
      </w:r>
      <w:r w:rsidRPr="00412620">
        <w:rPr>
          <w:sz w:val="20"/>
        </w:rPr>
        <w:t xml:space="preserve">[149, 151, 152, 153, 155, 156 or 233] </w:t>
      </w:r>
      <w:r w:rsidRPr="00412620">
        <w:rPr>
          <w:snapToGrid w:val="0"/>
          <w:sz w:val="20"/>
        </w:rPr>
        <w:t xml:space="preserve">from others persons, wherever required thereunder </w:t>
      </w:r>
      <w:r w:rsidRPr="00412620">
        <w:rPr>
          <w:rStyle w:val="FootnoteReference"/>
          <w:rFonts w:cs="Arial"/>
          <w:snapToGrid w:val="0"/>
          <w:sz w:val="20"/>
        </w:rPr>
        <w:footnoteReference w:id="2159"/>
      </w:r>
      <w:r w:rsidRPr="00412620">
        <w:rPr>
          <w:snapToGrid w:val="0"/>
          <w:sz w:val="20"/>
        </w:rPr>
        <w:t>[.]</w:t>
      </w:r>
    </w:p>
    <w:p w:rsidR="00AA4BF8" w:rsidRPr="00412620" w:rsidRDefault="00AA4BF8" w:rsidP="00AA4BF8">
      <w:pPr>
        <w:widowControl w:val="0"/>
        <w:jc w:val="both"/>
        <w:rPr>
          <w:snapToGrid w:val="0"/>
          <w:sz w:val="20"/>
        </w:rPr>
      </w:pPr>
    </w:p>
    <w:p w:rsidR="00AA4BF8" w:rsidRDefault="00FC1AA8" w:rsidP="00AA4BF8">
      <w:pPr>
        <w:widowControl w:val="0"/>
        <w:jc w:val="both"/>
        <w:rPr>
          <w:snapToGrid w:val="0"/>
          <w:sz w:val="20"/>
        </w:rPr>
      </w:pPr>
      <w:r>
        <w:rPr>
          <w:rStyle w:val="FootnoteReference"/>
          <w:snapToGrid w:val="0"/>
          <w:color w:val="984806" w:themeColor="accent6" w:themeShade="80"/>
          <w:sz w:val="20"/>
        </w:rPr>
        <w:footnoteReference w:id="2160"/>
      </w:r>
      <w:r w:rsidRPr="00FC1AA8">
        <w:rPr>
          <w:snapToGrid w:val="0"/>
          <w:color w:val="984806" w:themeColor="accent6" w:themeShade="80"/>
          <w:sz w:val="20"/>
        </w:rPr>
        <w:t>[  ]</w:t>
      </w:r>
    </w:p>
    <w:p w:rsidR="00FC1AA8" w:rsidRPr="00412620" w:rsidRDefault="00FC1AA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61"/>
      </w:r>
      <w:r w:rsidRPr="00412620">
        <w:rPr>
          <w:snapToGrid w:val="0"/>
          <w:sz w:val="20"/>
        </w:rPr>
        <w:t>[  ]</w:t>
      </w:r>
    </w:p>
    <w:p w:rsidR="00AA4BF8" w:rsidRPr="00412620" w:rsidRDefault="00AA4BF8" w:rsidP="00AA4BF8">
      <w:pPr>
        <w:widowControl w:val="0"/>
        <w:jc w:val="both"/>
        <w:rPr>
          <w:snapToGrid w:val="0"/>
          <w:sz w:val="20"/>
        </w:rPr>
      </w:pPr>
      <w:r w:rsidRPr="00412620">
        <w:rPr>
          <w:sz w:val="20"/>
        </w:rPr>
        <w:tab/>
      </w: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62"/>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63"/>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b/>
          <w:bCs/>
          <w:snapToGrid w:val="0"/>
          <w:sz w:val="20"/>
        </w:rPr>
        <w:t>(19)</w:t>
      </w:r>
      <w:r w:rsidRPr="00412620">
        <w:rPr>
          <w:snapToGrid w:val="0"/>
          <w:sz w:val="20"/>
        </w:rPr>
        <w:tab/>
      </w:r>
      <w:r w:rsidRPr="00412620">
        <w:rPr>
          <w:sz w:val="20"/>
        </w:rPr>
        <w:t xml:space="preserve">The provisions of </w:t>
      </w:r>
      <w:r w:rsidRPr="00412620">
        <w:rPr>
          <w:rStyle w:val="FootnoteReference"/>
          <w:rFonts w:cs="Arial"/>
          <w:sz w:val="20"/>
        </w:rPr>
        <w:footnoteReference w:id="2164"/>
      </w:r>
      <w:r w:rsidRPr="00412620">
        <w:rPr>
          <w:sz w:val="20"/>
        </w:rPr>
        <w:t xml:space="preserve">[sections 113 and] 151 shall not apply to non </w:t>
      </w:r>
      <w:r w:rsidRPr="00412620">
        <w:rPr>
          <w:snapToGrid w:val="0"/>
          <w:sz w:val="20"/>
        </w:rPr>
        <w:t>residents, (excluding local branches or subsidiaries or offices of foreign banks, companies, associations of persons or any other person operating in Pakistan), in respect of their receipts from Pak rupees denominated Government and corporate securities and redeemable capital, as defined in the Companies Ordinance, 1984 (XLVII of 1984), listed on a registered stock exchange, where the investments are made exclusively from foreign exchange remitted into Pakistan through a Special Convertible Rupee Account maintained with a bank in Pakistan.</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65"/>
      </w:r>
      <w:r w:rsidRPr="00412620">
        <w:rPr>
          <w:snapToGrid w:val="0"/>
          <w:sz w:val="20"/>
        </w:rPr>
        <w:t>[  ]</w:t>
      </w:r>
    </w:p>
    <w:p w:rsidR="00AA4BF8" w:rsidRPr="00412620" w:rsidRDefault="00AA4BF8" w:rsidP="00AA4BF8">
      <w:pPr>
        <w:widowControl w:val="0"/>
        <w:jc w:val="both"/>
        <w:rPr>
          <w:snapToGrid w:val="0"/>
          <w:sz w:val="20"/>
        </w:rPr>
      </w:pPr>
    </w:p>
    <w:p w:rsidR="00AA4BF8" w:rsidRDefault="00AA4BF8" w:rsidP="00AA4BF8">
      <w:pPr>
        <w:widowControl w:val="0"/>
        <w:jc w:val="both"/>
        <w:rPr>
          <w:snapToGrid w:val="0"/>
          <w:sz w:val="20"/>
        </w:rPr>
      </w:pPr>
      <w:r w:rsidRPr="00412620">
        <w:rPr>
          <w:rStyle w:val="FootnoteReference"/>
          <w:rFonts w:cs="Arial"/>
          <w:snapToGrid w:val="0"/>
          <w:sz w:val="20"/>
        </w:rPr>
        <w:footnoteReference w:id="2166"/>
      </w:r>
      <w:r w:rsidRPr="00412620">
        <w:rPr>
          <w:snapToGrid w:val="0"/>
          <w:sz w:val="20"/>
        </w:rPr>
        <w:t>[  ]</w:t>
      </w:r>
    </w:p>
    <w:p w:rsidR="0046671C" w:rsidRPr="00412620" w:rsidRDefault="0046671C"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67"/>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68"/>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69"/>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70"/>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71"/>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72"/>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73"/>
      </w:r>
      <w:r w:rsidRPr="00412620">
        <w:rPr>
          <w:snapToGrid w:val="0"/>
          <w:sz w:val="20"/>
        </w:rPr>
        <w:t>[  ]</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74"/>
      </w:r>
      <w:r w:rsidRPr="00412620">
        <w:rPr>
          <w:snapToGrid w:val="0"/>
          <w:sz w:val="20"/>
        </w:rPr>
        <w:t>[  ]</w:t>
      </w:r>
    </w:p>
    <w:p w:rsidR="00AA4BF8" w:rsidRPr="00412620" w:rsidRDefault="00AA4BF8" w:rsidP="00AA4BF8">
      <w:pPr>
        <w:widowControl w:val="0"/>
        <w:jc w:val="both"/>
        <w:rPr>
          <w:snapToGrid w:val="0"/>
          <w:sz w:val="18"/>
          <w:szCs w:val="18"/>
        </w:rPr>
      </w:pPr>
    </w:p>
    <w:p w:rsidR="00AA4BF8" w:rsidRDefault="00AA4BF8" w:rsidP="00AA4BF8">
      <w:pPr>
        <w:widowControl w:val="0"/>
        <w:ind w:left="546" w:hanging="546"/>
        <w:jc w:val="both"/>
        <w:rPr>
          <w:snapToGrid w:val="0"/>
          <w:sz w:val="20"/>
        </w:rPr>
      </w:pPr>
      <w:r w:rsidRPr="00412620">
        <w:rPr>
          <w:rStyle w:val="FootnoteReference"/>
          <w:rFonts w:cs="Arial"/>
          <w:snapToGrid w:val="0"/>
          <w:sz w:val="20"/>
        </w:rPr>
        <w:footnoteReference w:id="2175"/>
      </w:r>
      <w:r w:rsidRPr="00412620">
        <w:rPr>
          <w:snapToGrid w:val="0"/>
          <w:sz w:val="20"/>
        </w:rPr>
        <w:t xml:space="preserve">[  ] </w:t>
      </w:r>
    </w:p>
    <w:p w:rsidR="0046671C" w:rsidRDefault="0046671C" w:rsidP="00AA4BF8">
      <w:pPr>
        <w:widowControl w:val="0"/>
        <w:ind w:left="546" w:hanging="546"/>
        <w:jc w:val="both"/>
        <w:rPr>
          <w:snapToGrid w:val="0"/>
          <w:sz w:val="20"/>
        </w:rPr>
      </w:pPr>
    </w:p>
    <w:p w:rsidR="0046671C" w:rsidRPr="00412620" w:rsidRDefault="0046671C" w:rsidP="00AA4BF8">
      <w:pPr>
        <w:widowControl w:val="0"/>
        <w:ind w:left="546" w:hanging="546"/>
        <w:jc w:val="both"/>
        <w:rPr>
          <w:snapToGrid w:val="0"/>
          <w:sz w:val="20"/>
        </w:rPr>
      </w:pP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76"/>
      </w:r>
      <w:r w:rsidRPr="00412620">
        <w:rPr>
          <w:snapToGrid w:val="0"/>
          <w:sz w:val="20"/>
        </w:rPr>
        <w:t xml:space="preserve">[  ] </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77"/>
      </w:r>
      <w:r w:rsidRPr="00412620">
        <w:rPr>
          <w:snapToGrid w:val="0"/>
          <w:sz w:val="20"/>
        </w:rPr>
        <w:t>[  ]</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78"/>
      </w:r>
      <w:r w:rsidRPr="00412620">
        <w:rPr>
          <w:snapToGrid w:val="0"/>
          <w:sz w:val="20"/>
        </w:rPr>
        <w:t>[  ]</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79"/>
      </w:r>
      <w:r w:rsidRPr="00412620">
        <w:rPr>
          <w:snapToGrid w:val="0"/>
          <w:sz w:val="20"/>
        </w:rPr>
        <w:t>[  ]</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80"/>
      </w:r>
      <w:r w:rsidRPr="00412620">
        <w:rPr>
          <w:snapToGrid w:val="0"/>
          <w:sz w:val="20"/>
        </w:rPr>
        <w:t>[  ]</w:t>
      </w:r>
    </w:p>
    <w:p w:rsidR="00AA4BF8" w:rsidRPr="00412620" w:rsidRDefault="00AA4BF8" w:rsidP="00AA4BF8">
      <w:pPr>
        <w:widowControl w:val="0"/>
        <w:jc w:val="both"/>
        <w:rPr>
          <w:b/>
          <w:bCs/>
          <w:snapToGrid w:val="0"/>
          <w:sz w:val="16"/>
          <w:szCs w:val="16"/>
        </w:rPr>
      </w:pPr>
    </w:p>
    <w:p w:rsidR="00AA4BF8" w:rsidRPr="0046671C" w:rsidRDefault="00AA4BF8" w:rsidP="00AA4BF8">
      <w:pPr>
        <w:widowControl w:val="0"/>
        <w:jc w:val="both"/>
        <w:rPr>
          <w:snapToGrid w:val="0"/>
          <w:sz w:val="20"/>
        </w:rPr>
      </w:pPr>
      <w:r w:rsidRPr="0046671C">
        <w:rPr>
          <w:rStyle w:val="FootnoteReference"/>
          <w:rFonts w:cs="Arial"/>
          <w:bCs/>
          <w:snapToGrid w:val="0"/>
          <w:sz w:val="20"/>
        </w:rPr>
        <w:footnoteReference w:id="2181"/>
      </w:r>
      <w:r w:rsidRPr="0046671C">
        <w:rPr>
          <w:snapToGrid w:val="0"/>
          <w:sz w:val="20"/>
        </w:rPr>
        <w:t>[  ]</w:t>
      </w:r>
    </w:p>
    <w:p w:rsidR="00AA4BF8" w:rsidRPr="00412620" w:rsidRDefault="00AA4BF8" w:rsidP="00AA4BF8">
      <w:pPr>
        <w:widowControl w:val="0"/>
        <w:jc w:val="both"/>
        <w:rPr>
          <w:b/>
          <w:bCs/>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82"/>
      </w:r>
      <w:r w:rsidRPr="00412620">
        <w:rPr>
          <w:snapToGrid w:val="0"/>
          <w:sz w:val="20"/>
        </w:rPr>
        <w:t>[  ]</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83"/>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84"/>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85"/>
      </w:r>
      <w:r w:rsidRPr="00412620">
        <w:rPr>
          <w:snapToGrid w:val="0"/>
          <w:sz w:val="20"/>
        </w:rPr>
        <w:t>[</w:t>
      </w:r>
      <w:r w:rsidRPr="00412620">
        <w:rPr>
          <w:b/>
          <w:bCs/>
          <w:snapToGrid w:val="0"/>
          <w:sz w:val="20"/>
        </w:rPr>
        <w:t>(36A)</w:t>
      </w:r>
      <w:r w:rsidRPr="00412620">
        <w:rPr>
          <w:snapToGrid w:val="0"/>
          <w:sz w:val="20"/>
        </w:rPr>
        <w:t xml:space="preserve">  The provisions of clause (a) of sub-section (1) of section 151 shall not apply in respect of any amount paid as yield or profit on investment in Bahbood Savings Certificate or Pensioner’s Benefit Account.]</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86"/>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b/>
          <w:bCs/>
          <w:snapToGrid w:val="0"/>
          <w:sz w:val="20"/>
        </w:rPr>
      </w:pPr>
      <w:r w:rsidRPr="00412620">
        <w:rPr>
          <w:b/>
          <w:bCs/>
          <w:snapToGrid w:val="0"/>
          <w:sz w:val="20"/>
        </w:rPr>
        <w:t>(38)</w:t>
      </w:r>
      <w:r w:rsidRPr="00412620">
        <w:rPr>
          <w:snapToGrid w:val="0"/>
          <w:sz w:val="20"/>
        </w:rPr>
        <w:tab/>
        <w:t xml:space="preserve"> The provisions of section 151, </w:t>
      </w:r>
      <w:r w:rsidRPr="00412620">
        <w:rPr>
          <w:rStyle w:val="FootnoteReference"/>
          <w:rFonts w:cs="Arial"/>
          <w:snapToGrid w:val="0"/>
          <w:sz w:val="20"/>
        </w:rPr>
        <w:footnoteReference w:id="2187"/>
      </w:r>
      <w:r w:rsidRPr="00412620">
        <w:rPr>
          <w:snapToGrid w:val="0"/>
          <w:sz w:val="20"/>
        </w:rPr>
        <w:t xml:space="preserve">[153 </w:t>
      </w:r>
      <w:r w:rsidR="00B96602" w:rsidRPr="00487F91">
        <w:rPr>
          <w:rStyle w:val="FootnoteReference"/>
          <w:snapToGrid w:val="0"/>
          <w:color w:val="FF0000"/>
          <w:sz w:val="20"/>
        </w:rPr>
        <w:footnoteReference w:id="2188"/>
      </w:r>
      <w:r w:rsidR="00B96602" w:rsidRPr="00487F91">
        <w:rPr>
          <w:color w:val="FF0000"/>
          <w:sz w:val="20"/>
        </w:rPr>
        <w:t>[“</w:t>
      </w:r>
      <w:r w:rsidR="00B96602">
        <w:rPr>
          <w:color w:val="FF0000"/>
          <w:sz w:val="20"/>
        </w:rPr>
        <w:t>,</w:t>
      </w:r>
      <w:r w:rsidR="002D5F0A">
        <w:rPr>
          <w:color w:val="FF0000"/>
          <w:sz w:val="20"/>
        </w:rPr>
        <w:t xml:space="preserve"> </w:t>
      </w:r>
      <w:r w:rsidR="00B96602">
        <w:rPr>
          <w:color w:val="FF0000"/>
          <w:sz w:val="20"/>
        </w:rPr>
        <w:t>233 and 236Q</w:t>
      </w:r>
      <w:r w:rsidR="00B96602" w:rsidRPr="00487F91">
        <w:rPr>
          <w:color w:val="FF0000"/>
          <w:sz w:val="20"/>
        </w:rPr>
        <w:t>”]</w:t>
      </w:r>
      <w:r w:rsidR="00B96602">
        <w:rPr>
          <w:color w:val="FF0000"/>
          <w:sz w:val="20"/>
        </w:rPr>
        <w:t xml:space="preserve"> </w:t>
      </w:r>
      <w:r w:rsidRPr="00412620">
        <w:rPr>
          <w:snapToGrid w:val="0"/>
          <w:sz w:val="20"/>
        </w:rPr>
        <w:t>] shall not apply to special purpose vehicle for the purpose of securitization</w:t>
      </w:r>
      <w:r w:rsidR="002D5F0A">
        <w:rPr>
          <w:snapToGrid w:val="0"/>
          <w:sz w:val="20"/>
        </w:rPr>
        <w:t xml:space="preserve"> </w:t>
      </w:r>
      <w:r w:rsidR="002D5F0A" w:rsidRPr="00487F91">
        <w:rPr>
          <w:rStyle w:val="FootnoteReference"/>
          <w:snapToGrid w:val="0"/>
          <w:color w:val="FF0000"/>
          <w:sz w:val="20"/>
        </w:rPr>
        <w:footnoteReference w:id="2189"/>
      </w:r>
      <w:r w:rsidR="002D5F0A" w:rsidRPr="00487F91">
        <w:rPr>
          <w:color w:val="FF0000"/>
          <w:sz w:val="20"/>
        </w:rPr>
        <w:t xml:space="preserve">[“or </w:t>
      </w:r>
      <w:r w:rsidR="002D5F0A">
        <w:rPr>
          <w:color w:val="FF0000"/>
          <w:sz w:val="20"/>
        </w:rPr>
        <w:t xml:space="preserve">issue </w:t>
      </w:r>
      <w:r w:rsidR="002D5F0A" w:rsidRPr="00487F91">
        <w:rPr>
          <w:color w:val="FF0000"/>
          <w:sz w:val="20"/>
        </w:rPr>
        <w:t xml:space="preserve">of </w:t>
      </w:r>
      <w:r w:rsidR="002D5F0A" w:rsidRPr="00487F91">
        <w:rPr>
          <w:i/>
          <w:color w:val="FF0000"/>
          <w:sz w:val="20"/>
        </w:rPr>
        <w:t>sukuks</w:t>
      </w:r>
      <w:r w:rsidR="002D5F0A" w:rsidRPr="00487F91">
        <w:rPr>
          <w:color w:val="FF0000"/>
          <w:sz w:val="20"/>
        </w:rPr>
        <w:t>”]</w:t>
      </w:r>
      <w:r w:rsidRPr="00412620">
        <w:rPr>
          <w:snapToGrid w:val="0"/>
          <w:sz w:val="20"/>
        </w:rPr>
        <w:t>.</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90"/>
      </w:r>
      <w:r w:rsidRPr="00412620">
        <w:rPr>
          <w:snapToGrid w:val="0"/>
          <w:sz w:val="20"/>
        </w:rPr>
        <w:t>[</w:t>
      </w:r>
      <w:r w:rsidRPr="00412620">
        <w:rPr>
          <w:b/>
          <w:bCs/>
          <w:snapToGrid w:val="0"/>
          <w:sz w:val="20"/>
        </w:rPr>
        <w:t>(38A)</w:t>
      </w:r>
      <w:r w:rsidRPr="00412620">
        <w:rPr>
          <w:snapToGrid w:val="0"/>
          <w:sz w:val="20"/>
        </w:rPr>
        <w:t xml:space="preserve">  The provisions of sections 150, 151 and 233 shall not apply to a </w:t>
      </w:r>
      <w:r w:rsidRPr="00412620">
        <w:rPr>
          <w:snapToGrid w:val="0"/>
          <w:sz w:val="20"/>
        </w:rPr>
        <w:lastRenderedPageBreak/>
        <w:t>Venture Capital Company;]</w:t>
      </w:r>
    </w:p>
    <w:p w:rsidR="00AA4BF8" w:rsidRDefault="00AA4BF8" w:rsidP="00AA4BF8">
      <w:pPr>
        <w:widowControl w:val="0"/>
        <w:jc w:val="both"/>
        <w:rPr>
          <w:snapToGrid w:val="0"/>
          <w:sz w:val="20"/>
        </w:rPr>
      </w:pPr>
    </w:p>
    <w:p w:rsidR="00A03CCC" w:rsidRPr="00D47C20" w:rsidRDefault="00A03CCC" w:rsidP="00A03CCC">
      <w:pPr>
        <w:jc w:val="both"/>
        <w:rPr>
          <w:rFonts w:cs="Arial"/>
          <w:color w:val="0070C0"/>
          <w:sz w:val="20"/>
        </w:rPr>
      </w:pPr>
      <w:r w:rsidRPr="00D47C20">
        <w:rPr>
          <w:rStyle w:val="FootnoteReference"/>
          <w:rFonts w:cs="Arial"/>
          <w:snapToGrid w:val="0"/>
          <w:color w:val="0070C0"/>
          <w:sz w:val="20"/>
        </w:rPr>
        <w:footnoteReference w:id="2191"/>
      </w:r>
      <w:r w:rsidRPr="00D47C20">
        <w:rPr>
          <w:rFonts w:cs="Arial"/>
          <w:snapToGrid w:val="0"/>
          <w:color w:val="0070C0"/>
          <w:sz w:val="20"/>
        </w:rPr>
        <w:t>[“</w:t>
      </w:r>
      <w:r w:rsidRPr="00D47C20">
        <w:rPr>
          <w:rFonts w:cs="Arial"/>
          <w:bCs/>
          <w:snapToGrid w:val="0"/>
          <w:color w:val="0070C0"/>
          <w:sz w:val="20"/>
        </w:rPr>
        <w:t>(38AA)</w:t>
      </w:r>
      <w:r w:rsidRPr="00D47C20">
        <w:rPr>
          <w:rFonts w:cs="Arial"/>
          <w:snapToGrid w:val="0"/>
          <w:color w:val="0070C0"/>
          <w:sz w:val="20"/>
        </w:rPr>
        <w:t xml:space="preserve">  The provisions of section 150 shall not apply to China Overseas Ports Holding Company Limited, China Overseas Ports Holding Company  Pakistan (Private) Limited, Gwadar International Terminal Limited, Gwadar Marine Services Limited and Gwadar Free Zone Company Limited for a period of twenty-three  years.”]</w:t>
      </w:r>
    </w:p>
    <w:p w:rsidR="00A03CCC" w:rsidRPr="00412620" w:rsidRDefault="00A03CCC" w:rsidP="00AA4BF8">
      <w:pPr>
        <w:widowControl w:val="0"/>
        <w:jc w:val="both"/>
        <w:rPr>
          <w:snapToGrid w:val="0"/>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192"/>
      </w:r>
      <w:r w:rsidRPr="00F852EB">
        <w:rPr>
          <w:snapToGrid w:val="0"/>
          <w:color w:val="000000" w:themeColor="text1"/>
          <w:sz w:val="20"/>
        </w:rPr>
        <w:t>[  ]</w:t>
      </w:r>
    </w:p>
    <w:p w:rsidR="00AA4BF8" w:rsidRPr="00F852EB" w:rsidRDefault="00AA4BF8" w:rsidP="00AA4BF8">
      <w:pPr>
        <w:widowControl w:val="0"/>
        <w:jc w:val="both"/>
        <w:rPr>
          <w:b/>
          <w:bCs/>
          <w:snapToGrid w:val="0"/>
          <w:color w:val="000000" w:themeColor="text1"/>
          <w:sz w:val="20"/>
        </w:rPr>
      </w:pPr>
    </w:p>
    <w:p w:rsidR="00AA4BF8" w:rsidRPr="00412620" w:rsidRDefault="00323802" w:rsidP="00AA4BF8">
      <w:pPr>
        <w:widowControl w:val="0"/>
        <w:jc w:val="both"/>
        <w:rPr>
          <w:snapToGrid w:val="0"/>
          <w:sz w:val="20"/>
        </w:rPr>
      </w:pPr>
      <w:r w:rsidRPr="00F852EB">
        <w:rPr>
          <w:rStyle w:val="FootnoteReference"/>
          <w:b/>
          <w:bCs/>
          <w:snapToGrid w:val="0"/>
          <w:color w:val="000000" w:themeColor="text1"/>
          <w:sz w:val="20"/>
        </w:rPr>
        <w:footnoteReference w:id="2193"/>
      </w:r>
      <w:r w:rsidRPr="00F852EB">
        <w:rPr>
          <w:bCs/>
          <w:snapToGrid w:val="0"/>
          <w:color w:val="000000" w:themeColor="text1"/>
          <w:sz w:val="20"/>
        </w:rPr>
        <w:t>[</w:t>
      </w:r>
      <w:r w:rsidR="00AA4BF8" w:rsidRPr="00F852EB">
        <w:rPr>
          <w:b/>
          <w:bCs/>
          <w:snapToGrid w:val="0"/>
          <w:color w:val="000000" w:themeColor="text1"/>
          <w:sz w:val="20"/>
        </w:rPr>
        <w:t>(38C)</w:t>
      </w:r>
      <w:r w:rsidR="00AA4BF8" w:rsidRPr="00F852EB">
        <w:rPr>
          <w:snapToGrid w:val="0"/>
          <w:color w:val="000000" w:themeColor="text1"/>
          <w:sz w:val="20"/>
        </w:rPr>
        <w:tab/>
        <w:t>The provisions of section</w:t>
      </w:r>
      <w:r w:rsidR="00F852EB">
        <w:rPr>
          <w:snapToGrid w:val="0"/>
          <w:color w:val="000000" w:themeColor="text1"/>
          <w:sz w:val="20"/>
        </w:rPr>
        <w:t xml:space="preserve"> </w:t>
      </w:r>
      <w:r w:rsidR="00821D9D" w:rsidRPr="00F852EB">
        <w:rPr>
          <w:rStyle w:val="FootnoteReference"/>
          <w:snapToGrid w:val="0"/>
          <w:color w:val="000000" w:themeColor="text1"/>
          <w:sz w:val="20"/>
        </w:rPr>
        <w:footnoteReference w:id="2194"/>
      </w:r>
      <w:r w:rsidR="00821D9D" w:rsidRPr="00F852EB">
        <w:rPr>
          <w:snapToGrid w:val="0"/>
          <w:color w:val="000000" w:themeColor="text1"/>
          <w:sz w:val="20"/>
        </w:rPr>
        <w:t>[</w:t>
      </w:r>
      <w:r w:rsidR="00AA4BF8" w:rsidRPr="00F852EB">
        <w:rPr>
          <w:snapToGrid w:val="0"/>
          <w:color w:val="000000" w:themeColor="text1"/>
          <w:sz w:val="20"/>
        </w:rPr>
        <w:t>150,</w:t>
      </w:r>
      <w:r w:rsidR="00821D9D" w:rsidRPr="00F852EB">
        <w:rPr>
          <w:snapToGrid w:val="0"/>
          <w:color w:val="000000" w:themeColor="text1"/>
          <w:sz w:val="20"/>
        </w:rPr>
        <w:t>]</w:t>
      </w:r>
      <w:r w:rsidR="00AA4BF8" w:rsidRPr="00412620">
        <w:rPr>
          <w:snapToGrid w:val="0"/>
          <w:sz w:val="20"/>
        </w:rPr>
        <w:t xml:space="preserve"> 151, 152, 153 and 233 shall not apply t</w:t>
      </w:r>
      <w:r w:rsidR="00821D9D">
        <w:rPr>
          <w:snapToGrid w:val="0"/>
          <w:sz w:val="20"/>
        </w:rPr>
        <w:t>o the Islamic Development Bank.</w:t>
      </w:r>
      <w:r>
        <w:rPr>
          <w:snapToGrid w:val="0"/>
          <w:sz w:val="20"/>
        </w:rPr>
        <w:t>]</w:t>
      </w:r>
    </w:p>
    <w:p w:rsidR="00AA4BF8" w:rsidRPr="00412620" w:rsidRDefault="00AA4BF8" w:rsidP="00AA4BF8">
      <w:pPr>
        <w:widowControl w:val="0"/>
        <w:jc w:val="both"/>
        <w:rPr>
          <w:b/>
          <w:bCs/>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95"/>
      </w:r>
      <w:r w:rsidRPr="00412620">
        <w:rPr>
          <w:snapToGrid w:val="0"/>
          <w:sz w:val="20"/>
        </w:rPr>
        <w:t>[  ]</w:t>
      </w:r>
    </w:p>
    <w:p w:rsidR="00AA4BF8" w:rsidRPr="00412620" w:rsidRDefault="00AA4BF8" w:rsidP="00AA4BF8">
      <w:pPr>
        <w:widowControl w:val="0"/>
        <w:jc w:val="both"/>
        <w:rPr>
          <w:b/>
          <w:bCs/>
          <w:snapToGrid w:val="0"/>
          <w:sz w:val="22"/>
          <w:szCs w:val="2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196"/>
      </w:r>
      <w:r w:rsidRPr="00412620">
        <w:rPr>
          <w:snapToGrid w:val="0"/>
          <w:sz w:val="20"/>
        </w:rPr>
        <w:t>[  ]</w:t>
      </w:r>
    </w:p>
    <w:p w:rsidR="00AA4BF8" w:rsidRPr="00412620" w:rsidRDefault="00AA4BF8" w:rsidP="00AA4BF8">
      <w:pPr>
        <w:widowControl w:val="0"/>
        <w:jc w:val="both"/>
        <w:rPr>
          <w:snapToGrid w:val="0"/>
          <w:sz w:val="22"/>
          <w:szCs w:val="22"/>
        </w:rPr>
      </w:pPr>
    </w:p>
    <w:p w:rsidR="00AA4BF8" w:rsidRPr="00412620" w:rsidRDefault="00AA4BF8" w:rsidP="00AA4BF8">
      <w:pPr>
        <w:widowControl w:val="0"/>
        <w:jc w:val="both"/>
        <w:rPr>
          <w:snapToGrid w:val="0"/>
          <w:sz w:val="20"/>
        </w:rPr>
      </w:pPr>
      <w:r w:rsidRPr="00412620">
        <w:rPr>
          <w:b/>
          <w:bCs/>
          <w:snapToGrid w:val="0"/>
          <w:sz w:val="20"/>
        </w:rPr>
        <w:t>(41)</w:t>
      </w:r>
      <w:r w:rsidRPr="00412620">
        <w:rPr>
          <w:snapToGrid w:val="0"/>
          <w:sz w:val="20"/>
        </w:rPr>
        <w:tab/>
        <w:t xml:space="preserve">The provisions of </w:t>
      </w:r>
      <w:r w:rsidRPr="00412620">
        <w:rPr>
          <w:rStyle w:val="FootnoteReference"/>
          <w:rFonts w:cs="Arial"/>
          <w:snapToGrid w:val="0"/>
          <w:sz w:val="20"/>
        </w:rPr>
        <w:footnoteReference w:id="2197"/>
      </w:r>
      <w:r w:rsidRPr="00412620">
        <w:rPr>
          <w:snapToGrid w:val="0"/>
          <w:sz w:val="20"/>
        </w:rPr>
        <w:t>[sub-section</w:t>
      </w:r>
      <w:r>
        <w:rPr>
          <w:snapToGrid w:val="0"/>
          <w:sz w:val="20"/>
        </w:rPr>
        <w:t xml:space="preserve"> “</w:t>
      </w:r>
      <w:r w:rsidRPr="00412620">
        <w:rPr>
          <w:rStyle w:val="FootnoteReference"/>
          <w:rFonts w:cs="Arial"/>
          <w:snapToGrid w:val="0"/>
          <w:sz w:val="20"/>
        </w:rPr>
        <w:footnoteReference w:id="2198"/>
      </w:r>
      <w:r w:rsidRPr="00412620">
        <w:rPr>
          <w:snapToGrid w:val="0"/>
          <w:sz w:val="20"/>
        </w:rPr>
        <w:t>[(1B) of section 152]] shall not apply in respect of a non-resident person unless he opts for the presumptive tax regime:</w:t>
      </w:r>
    </w:p>
    <w:p w:rsidR="00AA4BF8" w:rsidRPr="00412620" w:rsidRDefault="00AA4BF8" w:rsidP="00AA4BF8">
      <w:pPr>
        <w:widowControl w:val="0"/>
        <w:jc w:val="both"/>
        <w:rPr>
          <w:snapToGrid w:val="0"/>
          <w:sz w:val="16"/>
          <w:szCs w:val="16"/>
        </w:rPr>
      </w:pPr>
    </w:p>
    <w:p w:rsidR="00AA4BF8" w:rsidRPr="00412620" w:rsidRDefault="00AA4BF8" w:rsidP="0046671C">
      <w:pPr>
        <w:widowControl w:val="0"/>
        <w:ind w:left="547" w:firstLine="547"/>
        <w:jc w:val="both"/>
        <w:rPr>
          <w:snapToGrid w:val="0"/>
          <w:sz w:val="20"/>
        </w:rPr>
      </w:pPr>
      <w:r w:rsidRPr="00412620">
        <w:rPr>
          <w:sz w:val="20"/>
        </w:rPr>
        <w:t xml:space="preserve">Provided that a declaration of option is furnished in writing within three </w:t>
      </w:r>
      <w:r w:rsidRPr="00412620">
        <w:rPr>
          <w:snapToGrid w:val="0"/>
          <w:sz w:val="20"/>
        </w:rPr>
        <w:t xml:space="preserve">months of the commencement of the </w:t>
      </w:r>
      <w:r w:rsidRPr="00412620">
        <w:rPr>
          <w:rStyle w:val="FootnoteReference"/>
          <w:rFonts w:cs="Arial"/>
          <w:snapToGrid w:val="0"/>
          <w:sz w:val="20"/>
        </w:rPr>
        <w:footnoteReference w:id="2199"/>
      </w:r>
      <w:r w:rsidRPr="00412620">
        <w:rPr>
          <w:snapToGrid w:val="0"/>
          <w:sz w:val="20"/>
        </w:rPr>
        <w:t>[tax] year and such declaration shall be irrevocable and shall remain in force for three years.</w:t>
      </w:r>
    </w:p>
    <w:p w:rsidR="00AA4BF8" w:rsidRPr="00412620" w:rsidRDefault="00AA4BF8" w:rsidP="00AA4BF8">
      <w:pPr>
        <w:widowControl w:val="0"/>
        <w:jc w:val="both"/>
        <w:rPr>
          <w:b/>
          <w:bCs/>
          <w:snapToGrid w:val="0"/>
          <w:sz w:val="20"/>
        </w:rPr>
      </w:pPr>
    </w:p>
    <w:p w:rsidR="00AA4BF8" w:rsidRPr="00F852EB" w:rsidRDefault="00AA4BF8" w:rsidP="00AA4BF8">
      <w:pPr>
        <w:jc w:val="both"/>
        <w:rPr>
          <w:color w:val="000000" w:themeColor="text1"/>
          <w:sz w:val="20"/>
        </w:rPr>
      </w:pPr>
      <w:r w:rsidRPr="00F852EB">
        <w:rPr>
          <w:rStyle w:val="FootnoteReference"/>
          <w:color w:val="000000" w:themeColor="text1"/>
          <w:sz w:val="20"/>
        </w:rPr>
        <w:footnoteReference w:id="2200"/>
      </w:r>
      <w:r w:rsidR="0046671C" w:rsidRPr="00F852EB">
        <w:rPr>
          <w:color w:val="000000" w:themeColor="text1"/>
          <w:sz w:val="20"/>
        </w:rPr>
        <w:t>[</w:t>
      </w:r>
      <w:r w:rsidR="00F852EB" w:rsidRPr="00F852EB">
        <w:rPr>
          <w:color w:val="000000" w:themeColor="text1"/>
          <w:sz w:val="20"/>
        </w:rPr>
        <w:t xml:space="preserve"> </w:t>
      </w:r>
      <w:r w:rsidR="0046671C" w:rsidRPr="00F852EB">
        <w:rPr>
          <w:color w:val="000000" w:themeColor="text1"/>
          <w:sz w:val="20"/>
        </w:rPr>
        <w:t xml:space="preserve"> </w:t>
      </w:r>
      <w:r w:rsidRPr="00F852EB">
        <w:rPr>
          <w:color w:val="000000" w:themeColor="text1"/>
          <w:sz w:val="20"/>
        </w:rPr>
        <w:t>]</w:t>
      </w:r>
    </w:p>
    <w:p w:rsidR="0046671C" w:rsidRPr="00F852EB" w:rsidRDefault="0046671C" w:rsidP="00AA4BF8">
      <w:pPr>
        <w:jc w:val="both"/>
        <w:rPr>
          <w:color w:val="000000" w:themeColor="text1"/>
          <w:sz w:val="20"/>
        </w:rPr>
      </w:pPr>
    </w:p>
    <w:p w:rsidR="00AA4BF8" w:rsidRPr="00F852EB" w:rsidRDefault="00AA4BF8" w:rsidP="00AA4BF8">
      <w:pPr>
        <w:jc w:val="both"/>
        <w:rPr>
          <w:color w:val="000000" w:themeColor="text1"/>
          <w:sz w:val="20"/>
        </w:rPr>
      </w:pPr>
      <w:r w:rsidRPr="00F852EB">
        <w:rPr>
          <w:rStyle w:val="FootnoteReference"/>
          <w:color w:val="000000" w:themeColor="text1"/>
          <w:sz w:val="20"/>
        </w:rPr>
        <w:footnoteReference w:id="2201"/>
      </w:r>
      <w:r w:rsidR="0046671C" w:rsidRPr="00F852EB">
        <w:rPr>
          <w:color w:val="000000" w:themeColor="text1"/>
          <w:sz w:val="20"/>
        </w:rPr>
        <w:t>[</w:t>
      </w:r>
      <w:r w:rsidRPr="00F852EB">
        <w:rPr>
          <w:color w:val="000000" w:themeColor="text1"/>
          <w:sz w:val="20"/>
        </w:rPr>
        <w:t xml:space="preserve"> </w:t>
      </w:r>
      <w:r w:rsidR="00F852EB" w:rsidRPr="00F852EB">
        <w:rPr>
          <w:color w:val="000000" w:themeColor="text1"/>
          <w:sz w:val="20"/>
        </w:rPr>
        <w:t xml:space="preserve"> </w:t>
      </w:r>
      <w:r w:rsidRPr="00F852EB">
        <w:rPr>
          <w:color w:val="000000" w:themeColor="text1"/>
          <w:sz w:val="20"/>
        </w:rPr>
        <w:t>]</w:t>
      </w:r>
    </w:p>
    <w:p w:rsidR="0046671C" w:rsidRPr="00F852EB" w:rsidRDefault="0046671C" w:rsidP="00AA4BF8">
      <w:pPr>
        <w:jc w:val="both"/>
        <w:rPr>
          <w:color w:val="000000" w:themeColor="text1"/>
          <w:sz w:val="20"/>
        </w:rPr>
      </w:pPr>
    </w:p>
    <w:p w:rsidR="00AA4BF8" w:rsidRPr="00F852EB" w:rsidRDefault="00AA4BF8" w:rsidP="00AA4BF8">
      <w:pPr>
        <w:widowControl w:val="0"/>
        <w:jc w:val="both"/>
        <w:rPr>
          <w:color w:val="000000" w:themeColor="text1"/>
          <w:sz w:val="20"/>
        </w:rPr>
      </w:pPr>
      <w:r w:rsidRPr="00F852EB">
        <w:rPr>
          <w:rStyle w:val="FootnoteReference"/>
          <w:color w:val="000000" w:themeColor="text1"/>
          <w:sz w:val="20"/>
        </w:rPr>
        <w:footnoteReference w:id="2202"/>
      </w:r>
      <w:r w:rsidRPr="00F852EB">
        <w:rPr>
          <w:color w:val="000000" w:themeColor="text1"/>
          <w:sz w:val="20"/>
        </w:rPr>
        <w:t>[</w:t>
      </w:r>
      <w:r w:rsidR="00F852EB" w:rsidRPr="00F852EB">
        <w:rPr>
          <w:color w:val="000000" w:themeColor="text1"/>
          <w:sz w:val="20"/>
        </w:rPr>
        <w:t xml:space="preserve">  </w:t>
      </w:r>
      <w:r w:rsidRPr="00F852EB">
        <w:rPr>
          <w:color w:val="000000" w:themeColor="text1"/>
          <w:sz w:val="20"/>
        </w:rPr>
        <w:t>]</w:t>
      </w:r>
    </w:p>
    <w:p w:rsidR="0046671C" w:rsidRPr="00F852EB" w:rsidRDefault="0046671C" w:rsidP="00AA4BF8">
      <w:pPr>
        <w:widowControl w:val="0"/>
        <w:jc w:val="both"/>
        <w:rPr>
          <w:b/>
          <w:bCs/>
          <w:snapToGrid w:val="0"/>
          <w:color w:val="000000" w:themeColor="text1"/>
          <w:sz w:val="20"/>
        </w:rPr>
      </w:pPr>
    </w:p>
    <w:p w:rsidR="00AA4BF8" w:rsidRPr="00F852EB" w:rsidRDefault="00AA4BF8" w:rsidP="00AA4BF8">
      <w:pPr>
        <w:widowControl w:val="0"/>
        <w:jc w:val="both"/>
        <w:rPr>
          <w:snapToGrid w:val="0"/>
          <w:color w:val="000000" w:themeColor="text1"/>
          <w:sz w:val="20"/>
        </w:rPr>
      </w:pPr>
      <w:r w:rsidRPr="00F852EB">
        <w:rPr>
          <w:rStyle w:val="FootnoteReference"/>
          <w:snapToGrid w:val="0"/>
          <w:color w:val="000000" w:themeColor="text1"/>
          <w:sz w:val="20"/>
        </w:rPr>
        <w:footnoteReference w:id="2203"/>
      </w:r>
      <w:r w:rsidR="00092065" w:rsidRPr="00F852EB">
        <w:rPr>
          <w:color w:val="000000" w:themeColor="text1"/>
          <w:sz w:val="20"/>
        </w:rPr>
        <w:t>[</w:t>
      </w:r>
      <w:r w:rsidR="00F852EB" w:rsidRPr="00F852EB">
        <w:rPr>
          <w:color w:val="000000" w:themeColor="text1"/>
          <w:sz w:val="20"/>
        </w:rPr>
        <w:t xml:space="preserve"> </w:t>
      </w:r>
      <w:r w:rsidR="00092065" w:rsidRPr="00F852EB">
        <w:rPr>
          <w:color w:val="000000" w:themeColor="text1"/>
          <w:sz w:val="20"/>
        </w:rPr>
        <w:t xml:space="preserve"> </w:t>
      </w:r>
      <w:r w:rsidRPr="00F852EB">
        <w:rPr>
          <w:color w:val="000000" w:themeColor="text1"/>
          <w:sz w:val="20"/>
        </w:rPr>
        <w:t>]</w:t>
      </w:r>
    </w:p>
    <w:p w:rsidR="00AA4BF8" w:rsidRPr="00412620" w:rsidRDefault="00AA4BF8" w:rsidP="00AA4BF8">
      <w:pPr>
        <w:widowControl w:val="0"/>
        <w:jc w:val="both"/>
        <w:rPr>
          <w:b/>
          <w:bCs/>
          <w:snapToGrid w:val="0"/>
          <w:sz w:val="14"/>
          <w:szCs w:val="14"/>
        </w:rPr>
      </w:pPr>
    </w:p>
    <w:p w:rsidR="00AA4BF8" w:rsidRPr="00412620" w:rsidRDefault="00AA4BF8" w:rsidP="00AA4BF8">
      <w:pPr>
        <w:widowControl w:val="0"/>
        <w:jc w:val="both"/>
        <w:rPr>
          <w:snapToGrid w:val="0"/>
          <w:sz w:val="20"/>
        </w:rPr>
      </w:pPr>
      <w:r w:rsidRPr="00412620">
        <w:rPr>
          <w:b/>
          <w:bCs/>
          <w:snapToGrid w:val="0"/>
          <w:sz w:val="20"/>
        </w:rPr>
        <w:t>(42)</w:t>
      </w:r>
      <w:r w:rsidRPr="00412620">
        <w:rPr>
          <w:snapToGrid w:val="0"/>
          <w:sz w:val="20"/>
        </w:rPr>
        <w:tab/>
        <w:t>The provisions of</w:t>
      </w:r>
      <w:r w:rsidRPr="00412620">
        <w:rPr>
          <w:rStyle w:val="FootnoteReference"/>
          <w:rFonts w:cs="Arial"/>
          <w:sz w:val="20"/>
        </w:rPr>
        <w:footnoteReference w:id="2204"/>
      </w:r>
      <w:r w:rsidRPr="00412620">
        <w:rPr>
          <w:sz w:val="20"/>
        </w:rPr>
        <w:t xml:space="preserve">[sub-section </w:t>
      </w:r>
      <w:r w:rsidRPr="00412620">
        <w:rPr>
          <w:rStyle w:val="FootnoteReference"/>
          <w:rFonts w:cs="Arial"/>
          <w:sz w:val="20"/>
        </w:rPr>
        <w:footnoteReference w:id="2205"/>
      </w:r>
      <w:r w:rsidRPr="00412620">
        <w:rPr>
          <w:sz w:val="20"/>
        </w:rPr>
        <w:t xml:space="preserve">[(3)] of section 153] </w:t>
      </w:r>
      <w:r w:rsidRPr="00412620">
        <w:rPr>
          <w:snapToGrid w:val="0"/>
          <w:sz w:val="20"/>
        </w:rPr>
        <w:t>shall not apply in respect of payments received by a resident person for providing services by way of operation of container or chemical or oil terminal at a sea-port in Pakistan or of an infrastructure project covered by the Government’s Investment Policy, 1997.</w:t>
      </w:r>
    </w:p>
    <w:p w:rsidR="00AA4BF8" w:rsidRPr="00412620" w:rsidRDefault="00AA4BF8" w:rsidP="00AA4BF8">
      <w:pPr>
        <w:widowControl w:val="0"/>
        <w:jc w:val="both"/>
        <w:rPr>
          <w:snapToGrid w:val="0"/>
          <w:sz w:val="18"/>
          <w:szCs w:val="18"/>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06"/>
      </w:r>
      <w:r w:rsidRPr="00412620">
        <w:rPr>
          <w:snapToGrid w:val="0"/>
          <w:sz w:val="20"/>
        </w:rPr>
        <w:t>[  ]</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z w:val="20"/>
        </w:rPr>
        <w:footnoteReference w:id="2207"/>
      </w:r>
      <w:r w:rsidRPr="00412620">
        <w:rPr>
          <w:snapToGrid w:val="0"/>
          <w:sz w:val="20"/>
        </w:rPr>
        <w:t>[  ]</w:t>
      </w:r>
    </w:p>
    <w:p w:rsidR="00AA4BF8" w:rsidRPr="00412620" w:rsidRDefault="00AA4BF8" w:rsidP="00AA4BF8">
      <w:pPr>
        <w:widowControl w:val="0"/>
        <w:jc w:val="both"/>
        <w:rPr>
          <w:snapToGrid w:val="0"/>
          <w:sz w:val="16"/>
          <w:szCs w:val="16"/>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08"/>
      </w:r>
      <w:r w:rsidRPr="00412620">
        <w:rPr>
          <w:snapToGrid w:val="0"/>
          <w:sz w:val="20"/>
        </w:rPr>
        <w:t>[</w:t>
      </w:r>
      <w:r w:rsidRPr="00412620">
        <w:rPr>
          <w:b/>
          <w:bCs/>
          <w:snapToGrid w:val="0"/>
          <w:sz w:val="20"/>
        </w:rPr>
        <w:t xml:space="preserve">(43A) </w:t>
      </w:r>
      <w:r w:rsidRPr="00412620">
        <w:rPr>
          <w:snapToGrid w:val="0"/>
          <w:sz w:val="20"/>
        </w:rPr>
        <w:t xml:space="preserve">The provisions of sub-section (1) of section 153 shall not apply to </w:t>
      </w:r>
      <w:r w:rsidRPr="00412620">
        <w:rPr>
          <w:snapToGrid w:val="0"/>
          <w:sz w:val="20"/>
        </w:rPr>
        <w:lastRenderedPageBreak/>
        <w:t xml:space="preserve">payments received by a person </w:t>
      </w:r>
      <w:r w:rsidRPr="00412620">
        <w:rPr>
          <w:rStyle w:val="FootnoteReference"/>
          <w:rFonts w:cs="Arial"/>
          <w:snapToGrid w:val="0"/>
          <w:sz w:val="20"/>
        </w:rPr>
        <w:footnoteReference w:id="2209"/>
      </w:r>
      <w:r w:rsidRPr="00412620">
        <w:rPr>
          <w:snapToGrid w:val="0"/>
          <w:sz w:val="20"/>
        </w:rPr>
        <w:t>[  ] on account of supply of petroleum product imported by the same person under the Government of Pakistan’s deregulation policy of POL products;]</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10"/>
      </w:r>
      <w:r w:rsidRPr="00412620">
        <w:rPr>
          <w:snapToGrid w:val="0"/>
          <w:sz w:val="20"/>
        </w:rPr>
        <w:t>[</w:t>
      </w:r>
      <w:r w:rsidRPr="00412620">
        <w:rPr>
          <w:b/>
          <w:bCs/>
          <w:snapToGrid w:val="0"/>
          <w:sz w:val="20"/>
        </w:rPr>
        <w:t>(43B)</w:t>
      </w:r>
      <w:r w:rsidR="003409C0">
        <w:rPr>
          <w:b/>
          <w:bCs/>
          <w:snapToGrid w:val="0"/>
          <w:sz w:val="20"/>
        </w:rPr>
        <w:tab/>
      </w:r>
      <w:r w:rsidRPr="00412620">
        <w:rPr>
          <w:sz w:val="20"/>
        </w:rPr>
        <w:t>The provisions of clause (a) sub-section (1) of section 153 shall not apply to payments received on sale of air tickets by travelling agents, who have paid withholding tax on their commission income.]</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11"/>
      </w:r>
      <w:r w:rsidRPr="00412620">
        <w:rPr>
          <w:snapToGrid w:val="0"/>
          <w:sz w:val="20"/>
        </w:rPr>
        <w:t>[</w:t>
      </w:r>
      <w:r w:rsidRPr="00412620">
        <w:rPr>
          <w:b/>
          <w:bCs/>
          <w:snapToGrid w:val="0"/>
          <w:sz w:val="20"/>
        </w:rPr>
        <w:t>(43C)</w:t>
      </w:r>
      <w:r w:rsidRPr="00412620">
        <w:rPr>
          <w:snapToGrid w:val="0"/>
          <w:sz w:val="20"/>
        </w:rPr>
        <w:tab/>
        <w:t>The provision of clause (a) of sub-section (1) of section 153 shall not be applicable to any payment received by a petroleum agent or distributor who is registered under Sales Tax Act, 1990 on account of supply of petroleum products.]</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12"/>
      </w:r>
      <w:r w:rsidRPr="00412620">
        <w:rPr>
          <w:snapToGrid w:val="0"/>
          <w:sz w:val="20"/>
        </w:rPr>
        <w:t>[</w:t>
      </w:r>
      <w:r w:rsidRPr="00412620">
        <w:rPr>
          <w:b/>
          <w:bCs/>
          <w:snapToGrid w:val="0"/>
          <w:sz w:val="20"/>
        </w:rPr>
        <w:t>(43D)</w:t>
      </w:r>
      <w:r w:rsidRPr="00412620">
        <w:rPr>
          <w:snapToGrid w:val="0"/>
          <w:sz w:val="20"/>
        </w:rPr>
        <w:tab/>
        <w:t>The provisions of clause (a) of sub-section (1) of section 153 shall not apply in case of an oil tanker contractor with effect from 1</w:t>
      </w:r>
      <w:r w:rsidRPr="00412620">
        <w:rPr>
          <w:snapToGrid w:val="0"/>
          <w:sz w:val="20"/>
          <w:vertAlign w:val="superscript"/>
        </w:rPr>
        <w:t>st</w:t>
      </w:r>
      <w:r w:rsidRPr="00412620">
        <w:rPr>
          <w:snapToGrid w:val="0"/>
          <w:sz w:val="20"/>
        </w:rPr>
        <w:t xml:space="preserve"> July 2008, provided that such contractor pays tax @ 2.5%, on the payments for rendering or providing of carriage services w.e.f. tax year 2012.]</w:t>
      </w:r>
    </w:p>
    <w:p w:rsidR="00AA4BF8" w:rsidRDefault="00AA4BF8" w:rsidP="00AA4BF8">
      <w:pPr>
        <w:widowControl w:val="0"/>
        <w:jc w:val="both"/>
        <w:rPr>
          <w:snapToGrid w:val="0"/>
          <w:sz w:val="16"/>
          <w:szCs w:val="16"/>
        </w:rPr>
      </w:pPr>
    </w:p>
    <w:p w:rsidR="00A22D2A" w:rsidRDefault="00A22D2A" w:rsidP="00AA4BF8">
      <w:pPr>
        <w:widowControl w:val="0"/>
        <w:jc w:val="both"/>
        <w:rPr>
          <w:snapToGrid w:val="0"/>
          <w:sz w:val="20"/>
        </w:rPr>
      </w:pPr>
      <w:r>
        <w:rPr>
          <w:rStyle w:val="FootnoteReference"/>
          <w:snapToGrid w:val="0"/>
          <w:sz w:val="20"/>
        </w:rPr>
        <w:footnoteReference w:id="2213"/>
      </w:r>
      <w:r w:rsidRPr="00A22D2A">
        <w:rPr>
          <w:snapToGrid w:val="0"/>
          <w:sz w:val="20"/>
        </w:rPr>
        <w:t>[</w:t>
      </w:r>
      <w:r w:rsidRPr="00A22D2A">
        <w:rPr>
          <w:b/>
          <w:snapToGrid w:val="0"/>
          <w:sz w:val="20"/>
        </w:rPr>
        <w:t>(43E)</w:t>
      </w:r>
      <w:r w:rsidRPr="00A22D2A">
        <w:rPr>
          <w:snapToGrid w:val="0"/>
          <w:sz w:val="20"/>
        </w:rPr>
        <w:tab/>
        <w:t>The</w:t>
      </w:r>
      <w:r>
        <w:rPr>
          <w:snapToGrid w:val="0"/>
          <w:sz w:val="20"/>
        </w:rPr>
        <w:t xml:space="preserve"> provisions of clause (a) of sub section (1) of section 153 shall not apply in case of goods transport contractors, provided that such contractors pay tax at the rate of 2.5% on payments for rendering or providing of carriage services.]</w:t>
      </w:r>
      <w:r w:rsidRPr="00A22D2A">
        <w:rPr>
          <w:snapToGrid w:val="0"/>
          <w:sz w:val="20"/>
        </w:rPr>
        <w:tab/>
      </w:r>
    </w:p>
    <w:p w:rsidR="00A22D2A" w:rsidRPr="00F9084A" w:rsidRDefault="00A22D2A" w:rsidP="00AA4BF8">
      <w:pPr>
        <w:widowControl w:val="0"/>
        <w:jc w:val="both"/>
        <w:rPr>
          <w:snapToGrid w:val="0"/>
          <w:sz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14"/>
      </w:r>
      <w:r w:rsidRPr="00412620">
        <w:rPr>
          <w:snapToGrid w:val="0"/>
          <w:sz w:val="20"/>
        </w:rPr>
        <w:t>[  ]</w:t>
      </w:r>
    </w:p>
    <w:p w:rsidR="00AA4BF8" w:rsidRPr="00F9084A" w:rsidRDefault="00AA4BF8" w:rsidP="00AA4BF8">
      <w:pPr>
        <w:widowControl w:val="0"/>
        <w:jc w:val="both"/>
        <w:rPr>
          <w:snapToGrid w:val="0"/>
          <w:sz w:val="12"/>
          <w:szCs w:val="12"/>
        </w:rPr>
      </w:pPr>
    </w:p>
    <w:p w:rsidR="00AA4BF8" w:rsidRPr="00412620" w:rsidRDefault="00AA4BF8" w:rsidP="00AA4BF8">
      <w:pPr>
        <w:widowControl w:val="0"/>
        <w:jc w:val="both"/>
        <w:rPr>
          <w:snapToGrid w:val="0"/>
          <w:sz w:val="20"/>
        </w:rPr>
      </w:pPr>
      <w:r w:rsidRPr="00412620">
        <w:rPr>
          <w:b/>
          <w:bCs/>
          <w:snapToGrid w:val="0"/>
          <w:sz w:val="20"/>
        </w:rPr>
        <w:t>(45)</w:t>
      </w:r>
      <w:r w:rsidRPr="00412620">
        <w:rPr>
          <w:snapToGrid w:val="0"/>
          <w:sz w:val="20"/>
        </w:rPr>
        <w:tab/>
        <w:t xml:space="preserve">The provisions of </w:t>
      </w:r>
      <w:r w:rsidRPr="00412620">
        <w:rPr>
          <w:rStyle w:val="FootnoteReference"/>
          <w:rFonts w:cs="Arial"/>
          <w:snapToGrid w:val="0"/>
          <w:sz w:val="20"/>
        </w:rPr>
        <w:footnoteReference w:id="2215"/>
      </w:r>
      <w:r w:rsidRPr="00412620">
        <w:rPr>
          <w:snapToGrid w:val="0"/>
          <w:sz w:val="20"/>
        </w:rPr>
        <w:t xml:space="preserve">[sub-section </w:t>
      </w:r>
      <w:r w:rsidRPr="00412620">
        <w:rPr>
          <w:rStyle w:val="FootnoteReference"/>
          <w:rFonts w:cs="Arial"/>
          <w:snapToGrid w:val="0"/>
          <w:sz w:val="20"/>
        </w:rPr>
        <w:footnoteReference w:id="2216"/>
      </w:r>
      <w:r w:rsidRPr="00412620">
        <w:rPr>
          <w:snapToGrid w:val="0"/>
          <w:sz w:val="20"/>
        </w:rPr>
        <w:t xml:space="preserve">[(1)] of section 153] shall not apply to any manufacturer-cum-exporter as </w:t>
      </w:r>
      <w:r w:rsidRPr="00412620">
        <w:rPr>
          <w:rStyle w:val="FootnoteReference"/>
          <w:rFonts w:cs="Arial"/>
          <w:snapToGrid w:val="0"/>
          <w:sz w:val="20"/>
        </w:rPr>
        <w:footnoteReference w:id="2217"/>
      </w:r>
      <w:r w:rsidRPr="00412620">
        <w:rPr>
          <w:snapToGrid w:val="0"/>
          <w:sz w:val="20"/>
        </w:rPr>
        <w:t>[the prescribed person]:</w:t>
      </w:r>
    </w:p>
    <w:p w:rsidR="00AA4BF8" w:rsidRPr="00412620" w:rsidRDefault="00AA4BF8" w:rsidP="00AA4BF8">
      <w:pPr>
        <w:widowControl w:val="0"/>
        <w:jc w:val="both"/>
        <w:rPr>
          <w:snapToGrid w:val="0"/>
          <w:sz w:val="14"/>
          <w:szCs w:val="14"/>
        </w:rPr>
      </w:pPr>
    </w:p>
    <w:p w:rsidR="00AA4BF8" w:rsidRPr="00412620" w:rsidRDefault="00AA4BF8" w:rsidP="00AA4BF8">
      <w:pPr>
        <w:widowControl w:val="0"/>
        <w:ind w:left="1613" w:firstLine="547"/>
        <w:jc w:val="both"/>
        <w:rPr>
          <w:snapToGrid w:val="0"/>
          <w:sz w:val="20"/>
        </w:rPr>
      </w:pPr>
      <w:r w:rsidRPr="00412620">
        <w:rPr>
          <w:snapToGrid w:val="0"/>
          <w:sz w:val="20"/>
        </w:rPr>
        <w:t>Provided that—</w:t>
      </w:r>
    </w:p>
    <w:p w:rsidR="00AA4BF8" w:rsidRPr="00F9084A" w:rsidRDefault="00AA4BF8" w:rsidP="00AA4BF8">
      <w:pPr>
        <w:widowControl w:val="0"/>
        <w:jc w:val="both"/>
        <w:rPr>
          <w:snapToGrid w:val="0"/>
          <w:sz w:val="12"/>
          <w:szCs w:val="12"/>
        </w:rPr>
      </w:pPr>
    </w:p>
    <w:p w:rsidR="00AA4BF8" w:rsidRPr="00412620" w:rsidRDefault="00AA4BF8" w:rsidP="00AA4BF8">
      <w:pPr>
        <w:pStyle w:val="BodyTextIndent"/>
        <w:ind w:left="2160"/>
        <w:jc w:val="both"/>
        <w:rPr>
          <w:sz w:val="20"/>
        </w:rPr>
      </w:pPr>
      <w:r w:rsidRPr="00412620">
        <w:rPr>
          <w:sz w:val="20"/>
        </w:rPr>
        <w:t>(a)</w:t>
      </w:r>
      <w:r w:rsidRPr="00412620">
        <w:rPr>
          <w:sz w:val="20"/>
        </w:rPr>
        <w:tab/>
        <w:t>the manufacturer-cum-exporter shall deduct tax from payments made in respect of goods sold in Pakistan;</w:t>
      </w:r>
    </w:p>
    <w:p w:rsidR="00AA4BF8" w:rsidRPr="00F9084A" w:rsidRDefault="00AA4BF8" w:rsidP="00AA4BF8">
      <w:pPr>
        <w:pStyle w:val="BodyTextIndent"/>
        <w:rPr>
          <w:sz w:val="12"/>
          <w:szCs w:val="12"/>
        </w:rPr>
      </w:pPr>
    </w:p>
    <w:p w:rsidR="00AA4BF8" w:rsidRPr="00412620" w:rsidRDefault="00AA4BF8" w:rsidP="00AA4BF8">
      <w:pPr>
        <w:pStyle w:val="BodyTextIndent"/>
        <w:ind w:left="2160"/>
        <w:jc w:val="both"/>
        <w:rPr>
          <w:snapToGrid w:val="0"/>
          <w:sz w:val="20"/>
        </w:rPr>
      </w:pPr>
      <w:r w:rsidRPr="00412620">
        <w:rPr>
          <w:snapToGrid w:val="0"/>
          <w:sz w:val="20"/>
        </w:rPr>
        <w:t>(b)</w:t>
      </w:r>
      <w:r w:rsidRPr="00412620">
        <w:rPr>
          <w:snapToGrid w:val="0"/>
          <w:sz w:val="20"/>
        </w:rPr>
        <w:tab/>
        <w:t xml:space="preserve">if tax has not been deducted from payments on account of supply of goods in respect of goods sold in Pakistan, the tax shall be paid by the manufacture-cum-exporter, if the sales in Pakistan are in excess of five </w:t>
      </w:r>
      <w:r>
        <w:rPr>
          <w:snapToGrid w:val="0"/>
          <w:sz w:val="20"/>
        </w:rPr>
        <w:t>per cent</w:t>
      </w:r>
      <w:r w:rsidRPr="00412620">
        <w:rPr>
          <w:snapToGrid w:val="0"/>
          <w:sz w:val="20"/>
        </w:rPr>
        <w:t xml:space="preserve"> of export sales; and</w:t>
      </w:r>
    </w:p>
    <w:p w:rsidR="00AA4BF8" w:rsidRPr="00F9084A" w:rsidRDefault="00AA4BF8" w:rsidP="00AA4BF8">
      <w:pPr>
        <w:widowControl w:val="0"/>
        <w:ind w:left="720" w:hanging="720"/>
        <w:jc w:val="both"/>
        <w:rPr>
          <w:snapToGrid w:val="0"/>
          <w:sz w:val="12"/>
          <w:szCs w:val="12"/>
        </w:rPr>
      </w:pPr>
    </w:p>
    <w:p w:rsidR="00AA4BF8" w:rsidRPr="00412620" w:rsidRDefault="00AA4BF8" w:rsidP="00F9084A">
      <w:pPr>
        <w:pStyle w:val="BodyTextIndent"/>
        <w:ind w:left="2160"/>
        <w:jc w:val="both"/>
        <w:rPr>
          <w:snapToGrid w:val="0"/>
          <w:sz w:val="20"/>
        </w:rPr>
      </w:pPr>
      <w:r w:rsidRPr="00412620">
        <w:rPr>
          <w:snapToGrid w:val="0"/>
          <w:sz w:val="20"/>
        </w:rPr>
        <w:t>(c)</w:t>
      </w:r>
      <w:r w:rsidRPr="00412620">
        <w:rPr>
          <w:snapToGrid w:val="0"/>
          <w:sz w:val="20"/>
        </w:rPr>
        <w:tab/>
        <w:t xml:space="preserve">nothing contained in this clause shall apply to payments made on account of purchase of the goods in respect of which special rates of tax deduction have been specified </w:t>
      </w:r>
      <w:r w:rsidRPr="00412620">
        <w:rPr>
          <w:rStyle w:val="FootnoteReference"/>
          <w:rFonts w:cs="Arial"/>
          <w:snapToGrid w:val="0"/>
          <w:sz w:val="20"/>
        </w:rPr>
        <w:footnoteReference w:id="2218"/>
      </w:r>
      <w:r w:rsidRPr="00412620">
        <w:rPr>
          <w:snapToGrid w:val="0"/>
          <w:sz w:val="20"/>
        </w:rPr>
        <w:t>[under the provisions of the repealed Ordinance].</w:t>
      </w:r>
    </w:p>
    <w:p w:rsidR="00AA4BF8" w:rsidRPr="00F9084A" w:rsidRDefault="00AA4BF8" w:rsidP="00AA4BF8">
      <w:pPr>
        <w:widowControl w:val="0"/>
        <w:jc w:val="both"/>
        <w:rPr>
          <w:snapToGrid w:val="0"/>
          <w:sz w:val="12"/>
          <w:szCs w:val="12"/>
        </w:rPr>
      </w:pPr>
    </w:p>
    <w:p w:rsidR="00AA4BF8" w:rsidRPr="009B1544" w:rsidRDefault="00AA4BF8" w:rsidP="00F9084A">
      <w:pPr>
        <w:widowControl w:val="0"/>
        <w:ind w:left="1094" w:hanging="1080"/>
        <w:jc w:val="both"/>
        <w:rPr>
          <w:b/>
          <w:bCs/>
          <w:snapToGrid w:val="0"/>
          <w:sz w:val="20"/>
        </w:rPr>
      </w:pPr>
      <w:r w:rsidRPr="00412620">
        <w:rPr>
          <w:rStyle w:val="FootnoteReference"/>
          <w:rFonts w:cs="Arial"/>
          <w:snapToGrid w:val="0"/>
          <w:sz w:val="20"/>
        </w:rPr>
        <w:footnoteReference w:id="2219"/>
      </w:r>
      <w:r w:rsidRPr="00412620">
        <w:rPr>
          <w:snapToGrid w:val="0"/>
          <w:sz w:val="20"/>
        </w:rPr>
        <w:t>[</w:t>
      </w:r>
      <w:r w:rsidRPr="00412620">
        <w:rPr>
          <w:b/>
          <w:bCs/>
          <w:snapToGrid w:val="0"/>
          <w:sz w:val="20"/>
        </w:rPr>
        <w:t>(45A)</w:t>
      </w:r>
      <w:r w:rsidR="004F7307">
        <w:rPr>
          <w:b/>
          <w:bCs/>
          <w:snapToGrid w:val="0"/>
          <w:sz w:val="20"/>
        </w:rPr>
        <w:tab/>
      </w:r>
      <w:r w:rsidRPr="00412620">
        <w:rPr>
          <w:snapToGrid w:val="0"/>
          <w:sz w:val="20"/>
        </w:rPr>
        <w:t xml:space="preserve">(a) </w:t>
      </w:r>
      <w:r w:rsidRPr="00412620">
        <w:rPr>
          <w:snapToGrid w:val="0"/>
          <w:sz w:val="20"/>
        </w:rPr>
        <w:tab/>
        <w:t xml:space="preserve">The rate of deduction of withholding tax under clauses (a) and (b) of sub-section (1) of section 153 shall be one </w:t>
      </w:r>
      <w:r>
        <w:rPr>
          <w:snapToGrid w:val="0"/>
          <w:sz w:val="20"/>
        </w:rPr>
        <w:t>per cent</w:t>
      </w:r>
      <w:r w:rsidRPr="00412620">
        <w:rPr>
          <w:snapToGrid w:val="0"/>
          <w:sz w:val="20"/>
        </w:rPr>
        <w:t xml:space="preserve"> on local sales, supplies and services provided or rendered to the </w:t>
      </w:r>
      <w:r w:rsidR="00CA2AB8">
        <w:rPr>
          <w:rStyle w:val="FootnoteReference"/>
          <w:snapToGrid w:val="0"/>
          <w:sz w:val="20"/>
        </w:rPr>
        <w:footnoteReference w:id="2220"/>
      </w:r>
      <w:r w:rsidR="00CA2AB8">
        <w:rPr>
          <w:snapToGrid w:val="0"/>
          <w:sz w:val="20"/>
        </w:rPr>
        <w:t>[</w:t>
      </w:r>
      <w:r w:rsidR="00C2581D">
        <w:rPr>
          <w:snapToGrid w:val="0"/>
          <w:sz w:val="20"/>
        </w:rPr>
        <w:t>taxpayers falling in the</w:t>
      </w:r>
      <w:r w:rsidR="00CA2AB8">
        <w:rPr>
          <w:snapToGrid w:val="0"/>
          <w:sz w:val="20"/>
        </w:rPr>
        <w:t>]</w:t>
      </w:r>
      <w:r w:rsidRPr="00412620">
        <w:rPr>
          <w:snapToGrid w:val="0"/>
          <w:sz w:val="20"/>
        </w:rPr>
        <w:t xml:space="preserve">following categories </w:t>
      </w:r>
      <w:r w:rsidR="00CA2AB8">
        <w:rPr>
          <w:rStyle w:val="FootnoteReference"/>
          <w:snapToGrid w:val="0"/>
          <w:sz w:val="20"/>
        </w:rPr>
        <w:footnoteReference w:id="2221"/>
      </w:r>
      <w:r w:rsidR="00CA2AB8">
        <w:rPr>
          <w:snapToGrid w:val="0"/>
          <w:sz w:val="20"/>
        </w:rPr>
        <w:t>[ ]</w:t>
      </w:r>
      <w:r w:rsidRPr="00412620">
        <w:rPr>
          <w:snapToGrid w:val="0"/>
          <w:sz w:val="20"/>
        </w:rPr>
        <w:t xml:space="preserve"> namely:-</w:t>
      </w:r>
    </w:p>
    <w:p w:rsidR="00AA4BF8" w:rsidRPr="00412620" w:rsidRDefault="00AA4BF8" w:rsidP="00AA4BF8">
      <w:pPr>
        <w:pStyle w:val="BodyTextIndent"/>
        <w:ind w:left="2160"/>
        <w:jc w:val="both"/>
        <w:rPr>
          <w:snapToGrid w:val="0"/>
          <w:sz w:val="20"/>
        </w:rPr>
      </w:pPr>
    </w:p>
    <w:p w:rsidR="00AA4BF8" w:rsidRPr="00412620" w:rsidRDefault="00AA4BF8" w:rsidP="00AA4BF8">
      <w:pPr>
        <w:pStyle w:val="BodyTextIndent"/>
        <w:ind w:left="2160"/>
        <w:jc w:val="both"/>
        <w:rPr>
          <w:snapToGrid w:val="0"/>
          <w:sz w:val="20"/>
        </w:rPr>
      </w:pPr>
      <w:r w:rsidRPr="00412620">
        <w:rPr>
          <w:snapToGrid w:val="0"/>
          <w:sz w:val="20"/>
        </w:rPr>
        <w:lastRenderedPageBreak/>
        <w:tab/>
        <w:t xml:space="preserve">(i) </w:t>
      </w:r>
      <w:r w:rsidRPr="00412620">
        <w:rPr>
          <w:snapToGrid w:val="0"/>
          <w:sz w:val="20"/>
        </w:rPr>
        <w:tab/>
        <w:t>textile and articles thereof;</w:t>
      </w:r>
    </w:p>
    <w:p w:rsidR="00AA4BF8" w:rsidRPr="00412620" w:rsidRDefault="00AA4BF8" w:rsidP="00AA4BF8">
      <w:pPr>
        <w:pStyle w:val="BodyTextIndent"/>
        <w:ind w:left="2160"/>
        <w:jc w:val="both"/>
        <w:rPr>
          <w:snapToGrid w:val="0"/>
          <w:sz w:val="20"/>
        </w:rPr>
      </w:pPr>
      <w:r w:rsidRPr="00412620">
        <w:rPr>
          <w:snapToGrid w:val="0"/>
          <w:sz w:val="20"/>
        </w:rPr>
        <w:tab/>
      </w:r>
      <w:r w:rsidRPr="00412620">
        <w:rPr>
          <w:snapToGrid w:val="0"/>
          <w:sz w:val="20"/>
        </w:rPr>
        <w:tab/>
      </w:r>
    </w:p>
    <w:p w:rsidR="00AA4BF8" w:rsidRPr="00412620" w:rsidRDefault="00AA4BF8" w:rsidP="00AA4BF8">
      <w:pPr>
        <w:pStyle w:val="BodyTextIndent"/>
        <w:ind w:left="2160"/>
        <w:jc w:val="both"/>
        <w:rPr>
          <w:snapToGrid w:val="0"/>
          <w:sz w:val="20"/>
        </w:rPr>
      </w:pPr>
      <w:r w:rsidRPr="00412620">
        <w:rPr>
          <w:snapToGrid w:val="0"/>
          <w:sz w:val="20"/>
        </w:rPr>
        <w:tab/>
        <w:t xml:space="preserve">(ii) </w:t>
      </w:r>
      <w:r w:rsidRPr="00412620">
        <w:rPr>
          <w:snapToGrid w:val="0"/>
          <w:sz w:val="20"/>
        </w:rPr>
        <w:tab/>
        <w:t>carpets;</w:t>
      </w:r>
    </w:p>
    <w:p w:rsidR="00AA4BF8" w:rsidRPr="00412620" w:rsidRDefault="00AA4BF8" w:rsidP="00AA4BF8">
      <w:pPr>
        <w:pStyle w:val="BodyTextIndent"/>
        <w:ind w:left="2160"/>
        <w:jc w:val="both"/>
        <w:rPr>
          <w:snapToGrid w:val="0"/>
          <w:sz w:val="20"/>
        </w:rPr>
      </w:pPr>
    </w:p>
    <w:p w:rsidR="00AA4BF8" w:rsidRPr="00412620" w:rsidRDefault="00AA4BF8" w:rsidP="00AA4BF8">
      <w:pPr>
        <w:pStyle w:val="BodyTextIndent"/>
        <w:ind w:left="2160"/>
        <w:jc w:val="both"/>
        <w:rPr>
          <w:snapToGrid w:val="0"/>
          <w:sz w:val="20"/>
        </w:rPr>
      </w:pPr>
      <w:r w:rsidRPr="00412620">
        <w:rPr>
          <w:snapToGrid w:val="0"/>
          <w:sz w:val="20"/>
        </w:rPr>
        <w:tab/>
        <w:t xml:space="preserve">(iii) </w:t>
      </w:r>
      <w:r w:rsidRPr="00412620">
        <w:rPr>
          <w:snapToGrid w:val="0"/>
          <w:sz w:val="20"/>
        </w:rPr>
        <w:tab/>
        <w:t xml:space="preserve">leather and articles thereof including artificial </w:t>
      </w:r>
      <w:r w:rsidRPr="00412620">
        <w:rPr>
          <w:snapToGrid w:val="0"/>
          <w:sz w:val="20"/>
        </w:rPr>
        <w:tab/>
      </w:r>
      <w:r w:rsidRPr="00412620">
        <w:rPr>
          <w:snapToGrid w:val="0"/>
          <w:sz w:val="20"/>
        </w:rPr>
        <w:tab/>
      </w:r>
      <w:r w:rsidRPr="00412620">
        <w:rPr>
          <w:snapToGrid w:val="0"/>
          <w:sz w:val="20"/>
        </w:rPr>
        <w:tab/>
        <w:t>leather footwear;</w:t>
      </w:r>
    </w:p>
    <w:p w:rsidR="00AA4BF8" w:rsidRPr="00412620" w:rsidRDefault="00AA4BF8" w:rsidP="00AA4BF8">
      <w:pPr>
        <w:pStyle w:val="BodyTextIndent"/>
        <w:ind w:left="2160"/>
        <w:jc w:val="both"/>
        <w:rPr>
          <w:snapToGrid w:val="0"/>
          <w:sz w:val="20"/>
        </w:rPr>
      </w:pPr>
    </w:p>
    <w:p w:rsidR="00AA4BF8" w:rsidRPr="00412620" w:rsidRDefault="00AA4BF8" w:rsidP="00AA4BF8">
      <w:pPr>
        <w:pStyle w:val="BodyTextIndent"/>
        <w:ind w:left="2160"/>
        <w:jc w:val="both"/>
        <w:rPr>
          <w:snapToGrid w:val="0"/>
          <w:sz w:val="20"/>
        </w:rPr>
      </w:pPr>
      <w:r w:rsidRPr="00412620">
        <w:rPr>
          <w:snapToGrid w:val="0"/>
          <w:sz w:val="20"/>
        </w:rPr>
        <w:tab/>
        <w:t xml:space="preserve">(iv) </w:t>
      </w:r>
      <w:r w:rsidRPr="00412620">
        <w:rPr>
          <w:snapToGrid w:val="0"/>
          <w:sz w:val="20"/>
        </w:rPr>
        <w:tab/>
        <w:t>surgical goods; and</w:t>
      </w:r>
    </w:p>
    <w:p w:rsidR="00AA4BF8" w:rsidRPr="00412620" w:rsidRDefault="00AA4BF8" w:rsidP="00AA4BF8">
      <w:pPr>
        <w:pStyle w:val="BodyTextIndent"/>
        <w:ind w:left="2160"/>
        <w:jc w:val="both"/>
        <w:rPr>
          <w:snapToGrid w:val="0"/>
          <w:sz w:val="20"/>
        </w:rPr>
      </w:pPr>
    </w:p>
    <w:p w:rsidR="00AA4BF8" w:rsidRPr="00412620" w:rsidRDefault="00AA4BF8" w:rsidP="00AA4BF8">
      <w:pPr>
        <w:pStyle w:val="BodyTextIndent"/>
        <w:ind w:left="2160"/>
        <w:jc w:val="both"/>
        <w:rPr>
          <w:snapToGrid w:val="0"/>
          <w:sz w:val="20"/>
        </w:rPr>
      </w:pPr>
      <w:r w:rsidRPr="00412620">
        <w:rPr>
          <w:snapToGrid w:val="0"/>
          <w:sz w:val="20"/>
        </w:rPr>
        <w:tab/>
        <w:t xml:space="preserve">(v) </w:t>
      </w:r>
      <w:r w:rsidRPr="00412620">
        <w:rPr>
          <w:snapToGrid w:val="0"/>
          <w:sz w:val="20"/>
        </w:rPr>
        <w:tab/>
        <w:t>sports goods;</w:t>
      </w:r>
    </w:p>
    <w:p w:rsidR="00AA4BF8" w:rsidRPr="00412620" w:rsidRDefault="00AA4BF8" w:rsidP="00AA4BF8">
      <w:pPr>
        <w:widowControl w:val="0"/>
        <w:jc w:val="both"/>
        <w:rPr>
          <w:snapToGrid w:val="0"/>
          <w:sz w:val="14"/>
          <w:szCs w:val="14"/>
        </w:rPr>
      </w:pPr>
    </w:p>
    <w:p w:rsidR="00AA4BF8" w:rsidRPr="00412620" w:rsidRDefault="00AA4BF8" w:rsidP="00AA4BF8">
      <w:pPr>
        <w:pStyle w:val="BodyTextIndent"/>
        <w:ind w:left="2160" w:firstLine="549"/>
        <w:jc w:val="both"/>
        <w:rPr>
          <w:snapToGrid w:val="0"/>
          <w:sz w:val="20"/>
        </w:rPr>
      </w:pPr>
      <w:r w:rsidRPr="00412620">
        <w:rPr>
          <w:snapToGrid w:val="0"/>
          <w:sz w:val="20"/>
        </w:rPr>
        <w:t>Provided that withholding tax under clauses (a) and (b) of sub-section (1) of section 153 shall not be deducted from sales, supplies and services made by traders of yarn to the above mentioned categories of taxpayers. Such traders of yarn shall pay minimum tax @ 0.1% on their annual turnover on monthly basis on 30th day of each month and monthly withholding tax statement shall be e-filed under the provisions of section 165 of this Ordinance.</w:t>
      </w:r>
    </w:p>
    <w:p w:rsidR="00AA4BF8" w:rsidRPr="00412620" w:rsidRDefault="00AA4BF8" w:rsidP="00AA4BF8">
      <w:pPr>
        <w:pStyle w:val="BodyTextIndent"/>
        <w:jc w:val="both"/>
        <w:rPr>
          <w:snapToGrid w:val="0"/>
          <w:sz w:val="20"/>
        </w:rPr>
      </w:pPr>
    </w:p>
    <w:p w:rsidR="00AA4BF8" w:rsidRPr="00412620" w:rsidRDefault="00AA4BF8" w:rsidP="004F7307">
      <w:pPr>
        <w:pStyle w:val="BodyTextIndent"/>
        <w:ind w:left="1080" w:firstLine="15"/>
        <w:jc w:val="both"/>
        <w:rPr>
          <w:snapToGrid w:val="0"/>
          <w:sz w:val="20"/>
        </w:rPr>
      </w:pPr>
      <w:r w:rsidRPr="00412620">
        <w:rPr>
          <w:snapToGrid w:val="0"/>
          <w:sz w:val="20"/>
        </w:rPr>
        <w:t xml:space="preserve">(b) </w:t>
      </w:r>
      <w:r w:rsidRPr="00412620">
        <w:rPr>
          <w:snapToGrid w:val="0"/>
          <w:sz w:val="20"/>
        </w:rPr>
        <w:tab/>
        <w:t>provisions of clause (a) of sub-section (1) of section 111 of this Ordinance shall not apply to the amounts credited in the books of accounts maintained for the period ending on the 30</w:t>
      </w:r>
      <w:r w:rsidRPr="00412620">
        <w:rPr>
          <w:snapToGrid w:val="0"/>
          <w:sz w:val="20"/>
          <w:vertAlign w:val="superscript"/>
        </w:rPr>
        <w:t>th</w:t>
      </w:r>
      <w:r w:rsidRPr="00412620">
        <w:rPr>
          <w:snapToGrid w:val="0"/>
          <w:sz w:val="20"/>
        </w:rPr>
        <w:t xml:space="preserve"> June 2011, by the sellers, suppliers, service providers to the categories of sales tax zero-rated taxpayers, as mentioned in sub-clause (a); and</w:t>
      </w:r>
    </w:p>
    <w:p w:rsidR="00AA4BF8" w:rsidRPr="00412620" w:rsidRDefault="00AA4BF8" w:rsidP="00AA4BF8">
      <w:pPr>
        <w:pStyle w:val="BodyTextIndent"/>
        <w:jc w:val="both"/>
        <w:rPr>
          <w:snapToGrid w:val="0"/>
          <w:sz w:val="20"/>
        </w:rPr>
      </w:pPr>
    </w:p>
    <w:p w:rsidR="00AA4BF8" w:rsidRPr="00412620" w:rsidRDefault="00AA4BF8" w:rsidP="00AA4BF8">
      <w:pPr>
        <w:pStyle w:val="BodyTextIndent"/>
        <w:ind w:left="1641" w:hanging="546"/>
        <w:jc w:val="both"/>
        <w:rPr>
          <w:snapToGrid w:val="0"/>
          <w:sz w:val="20"/>
        </w:rPr>
      </w:pPr>
      <w:r w:rsidRPr="00412620">
        <w:rPr>
          <w:snapToGrid w:val="0"/>
          <w:sz w:val="20"/>
        </w:rPr>
        <w:t xml:space="preserve">(c) </w:t>
      </w:r>
      <w:r w:rsidRPr="00412620">
        <w:rPr>
          <w:snapToGrid w:val="0"/>
          <w:sz w:val="20"/>
        </w:rPr>
        <w:tab/>
        <w:t>provisions of sub-clauses (a) and (b) shall be applicable only to the cases of sellers, suppliers, service providers of the above mentioned categories of sales tax zero-rated taxpayers, who are already registered and to those taxpayers who get themselves registered by the 30</w:t>
      </w:r>
      <w:r w:rsidRPr="00412620">
        <w:rPr>
          <w:snapToGrid w:val="0"/>
          <w:sz w:val="20"/>
          <w:vertAlign w:val="superscript"/>
        </w:rPr>
        <w:t>th</w:t>
      </w:r>
      <w:r w:rsidRPr="00412620">
        <w:rPr>
          <w:snapToGrid w:val="0"/>
          <w:sz w:val="20"/>
        </w:rPr>
        <w:t xml:space="preserve"> June, 2011.]</w:t>
      </w:r>
    </w:p>
    <w:p w:rsidR="00AA4BF8" w:rsidRPr="00412620" w:rsidRDefault="00AA4BF8" w:rsidP="00AA4BF8">
      <w:pPr>
        <w:pStyle w:val="BodyTextIndent"/>
        <w:jc w:val="both"/>
        <w:rPr>
          <w:snapToGrid w:val="0"/>
          <w:sz w:val="20"/>
        </w:rPr>
      </w:pPr>
    </w:p>
    <w:p w:rsidR="00AA4BF8" w:rsidRPr="00412620" w:rsidRDefault="00AA4BF8" w:rsidP="00AA4BF8">
      <w:pPr>
        <w:widowControl w:val="0"/>
        <w:jc w:val="both"/>
        <w:rPr>
          <w:snapToGrid w:val="0"/>
          <w:sz w:val="14"/>
          <w:szCs w:val="14"/>
        </w:rPr>
      </w:pPr>
    </w:p>
    <w:p w:rsidR="00AA4BF8" w:rsidRPr="00412620" w:rsidRDefault="00AA4BF8" w:rsidP="00C92507">
      <w:pPr>
        <w:autoSpaceDE w:val="0"/>
        <w:autoSpaceDN w:val="0"/>
        <w:adjustRightInd w:val="0"/>
        <w:jc w:val="both"/>
        <w:rPr>
          <w:snapToGrid w:val="0"/>
          <w:sz w:val="20"/>
        </w:rPr>
      </w:pPr>
      <w:r w:rsidRPr="00412620">
        <w:rPr>
          <w:rStyle w:val="FootnoteReference"/>
          <w:rFonts w:cs="Arial"/>
          <w:snapToGrid w:val="0"/>
          <w:sz w:val="20"/>
        </w:rPr>
        <w:footnoteReference w:id="2222"/>
      </w:r>
      <w:r w:rsidRPr="00412620">
        <w:rPr>
          <w:snapToGrid w:val="0"/>
          <w:sz w:val="20"/>
        </w:rPr>
        <w:t>[</w:t>
      </w:r>
      <w:r w:rsidRPr="00412620">
        <w:rPr>
          <w:b/>
          <w:bCs/>
          <w:snapToGrid w:val="0"/>
          <w:sz w:val="20"/>
        </w:rPr>
        <w:t>(46)</w:t>
      </w:r>
      <w:r w:rsidRPr="00412620">
        <w:rPr>
          <w:snapToGrid w:val="0"/>
          <w:sz w:val="20"/>
        </w:rPr>
        <w:tab/>
        <w:t xml:space="preserve">The provisions of sub-section (1) of section 153 shall not apply to any </w:t>
      </w:r>
      <w:r w:rsidRPr="003409C0">
        <w:rPr>
          <w:snapToGrid w:val="0"/>
          <w:color w:val="000000" w:themeColor="text1"/>
          <w:sz w:val="20"/>
        </w:rPr>
        <w:t xml:space="preserve">payment received by an oil distribution company or an oil refinery </w:t>
      </w:r>
      <w:r w:rsidRPr="003409C0">
        <w:rPr>
          <w:rStyle w:val="FootnoteReference"/>
          <w:rFonts w:cs="Arial"/>
          <w:snapToGrid w:val="0"/>
          <w:color w:val="000000" w:themeColor="text1"/>
          <w:sz w:val="20"/>
        </w:rPr>
        <w:footnoteReference w:id="2223"/>
      </w:r>
      <w:r w:rsidRPr="003409C0">
        <w:rPr>
          <w:snapToGrid w:val="0"/>
          <w:color w:val="000000" w:themeColor="text1"/>
          <w:sz w:val="20"/>
        </w:rPr>
        <w:t>[</w:t>
      </w:r>
      <w:r w:rsidR="00FC1814" w:rsidRPr="003409C0">
        <w:rPr>
          <w:rStyle w:val="FootnoteReference"/>
          <w:snapToGrid w:val="0"/>
          <w:color w:val="000000" w:themeColor="text1"/>
          <w:sz w:val="20"/>
        </w:rPr>
        <w:footnoteReference w:id="2224"/>
      </w:r>
      <w:r w:rsidR="00C92507" w:rsidRPr="003409C0">
        <w:rPr>
          <w:snapToGrid w:val="0"/>
          <w:color w:val="000000" w:themeColor="text1"/>
          <w:sz w:val="20"/>
        </w:rPr>
        <w:t>[“</w:t>
      </w:r>
      <w:r w:rsidR="00C92507" w:rsidRPr="003409C0">
        <w:rPr>
          <w:rFonts w:cs="Arial"/>
          <w:color w:val="000000" w:themeColor="text1"/>
          <w:sz w:val="20"/>
          <w:lang w:val="en-US"/>
        </w:rPr>
        <w:t>and provisions of sub-section (2A) of section152 shall not apply to”</w:t>
      </w:r>
      <w:r w:rsidR="00C92507" w:rsidRPr="003409C0">
        <w:rPr>
          <w:snapToGrid w:val="0"/>
          <w:color w:val="000000" w:themeColor="text1"/>
          <w:sz w:val="20"/>
        </w:rPr>
        <w:t>]</w:t>
      </w:r>
      <w:r w:rsidR="001C0BE8" w:rsidRPr="003409C0">
        <w:rPr>
          <w:snapToGrid w:val="0"/>
          <w:color w:val="000000" w:themeColor="text1"/>
          <w:sz w:val="20"/>
        </w:rPr>
        <w:t xml:space="preserve"> </w:t>
      </w:r>
      <w:r w:rsidRPr="003409C0">
        <w:rPr>
          <w:snapToGrid w:val="0"/>
          <w:color w:val="000000" w:themeColor="text1"/>
          <w:sz w:val="20"/>
        </w:rPr>
        <w:t>Permanent Establishment of Non-resident Petroleum Exploration</w:t>
      </w:r>
      <w:r w:rsidRPr="00412620">
        <w:rPr>
          <w:snapToGrid w:val="0"/>
          <w:sz w:val="20"/>
        </w:rPr>
        <w:t xml:space="preserve"> and Production (E&amp;P) Companies] for supply of its petroleum products.]</w:t>
      </w:r>
    </w:p>
    <w:p w:rsidR="00AA4BF8" w:rsidRPr="00412620" w:rsidRDefault="00AA4BF8" w:rsidP="00AA4BF8">
      <w:pPr>
        <w:widowControl w:val="0"/>
        <w:jc w:val="both"/>
        <w:rPr>
          <w:snapToGrid w:val="0"/>
          <w:sz w:val="20"/>
        </w:rPr>
      </w:pPr>
    </w:p>
    <w:p w:rsidR="00AA4BF8" w:rsidRPr="002F303D" w:rsidRDefault="00AA4BF8" w:rsidP="00AA4BF8">
      <w:pPr>
        <w:autoSpaceDE w:val="0"/>
        <w:autoSpaceDN w:val="0"/>
        <w:adjustRightInd w:val="0"/>
        <w:jc w:val="both"/>
        <w:rPr>
          <w:rFonts w:cs="Arial"/>
          <w:sz w:val="20"/>
          <w:lang w:val="en-US"/>
        </w:rPr>
      </w:pPr>
      <w:r w:rsidRPr="002F303D">
        <w:rPr>
          <w:rStyle w:val="FootnoteReference"/>
          <w:rFonts w:cs="Arial"/>
          <w:snapToGrid w:val="0"/>
          <w:sz w:val="20"/>
        </w:rPr>
        <w:lastRenderedPageBreak/>
        <w:footnoteReference w:id="2225"/>
      </w:r>
      <w:r w:rsidRPr="002F303D">
        <w:rPr>
          <w:rFonts w:cs="Arial"/>
          <w:snapToGrid w:val="0"/>
          <w:sz w:val="20"/>
        </w:rPr>
        <w:t>[</w:t>
      </w:r>
      <w:r w:rsidRPr="002F303D">
        <w:rPr>
          <w:rFonts w:cs="Arial"/>
          <w:b/>
          <w:bCs/>
          <w:sz w:val="20"/>
          <w:lang w:val="en-US"/>
        </w:rPr>
        <w:t>(46A)</w:t>
      </w:r>
      <w:r w:rsidRPr="002F303D">
        <w:rPr>
          <w:rFonts w:cs="Arial"/>
          <w:sz w:val="20"/>
          <w:lang w:val="en-US"/>
        </w:rPr>
        <w:t xml:space="preserve"> the provisions of sub-section </w:t>
      </w:r>
      <w:r w:rsidRPr="002F303D">
        <w:rPr>
          <w:rStyle w:val="FootnoteReference"/>
          <w:rFonts w:cs="Arial"/>
          <w:sz w:val="20"/>
          <w:lang w:val="en-US"/>
        </w:rPr>
        <w:footnoteReference w:id="2226"/>
      </w:r>
      <w:r w:rsidRPr="002F303D">
        <w:rPr>
          <w:rFonts w:cs="Arial"/>
          <w:sz w:val="20"/>
          <w:lang w:val="en-US"/>
        </w:rPr>
        <w:t>[(3)] of section 153 shall not apply to any payment received by a manufacturer of iron and steel products relating to sale of goods manufactured by him.]</w:t>
      </w:r>
    </w:p>
    <w:p w:rsidR="00F9084A" w:rsidRPr="002F303D" w:rsidRDefault="00F9084A" w:rsidP="00AA4BF8">
      <w:pPr>
        <w:autoSpaceDE w:val="0"/>
        <w:autoSpaceDN w:val="0"/>
        <w:adjustRightInd w:val="0"/>
        <w:jc w:val="both"/>
        <w:rPr>
          <w:rFonts w:cs="Arial"/>
          <w:sz w:val="20"/>
          <w:lang w:val="en-US"/>
        </w:rPr>
      </w:pPr>
    </w:p>
    <w:p w:rsidR="00AA4BF8" w:rsidRPr="002F303D" w:rsidRDefault="00AA4BF8" w:rsidP="00AA4BF8">
      <w:pPr>
        <w:widowControl w:val="0"/>
        <w:jc w:val="both"/>
        <w:rPr>
          <w:rFonts w:cs="Arial"/>
          <w:snapToGrid w:val="0"/>
          <w:sz w:val="20"/>
        </w:rPr>
      </w:pPr>
      <w:r w:rsidRPr="002F303D">
        <w:rPr>
          <w:rStyle w:val="FootnoteReference"/>
          <w:rFonts w:cs="Arial"/>
          <w:snapToGrid w:val="0"/>
          <w:sz w:val="20"/>
        </w:rPr>
        <w:footnoteReference w:id="2227"/>
      </w:r>
      <w:r w:rsidRPr="002F303D">
        <w:rPr>
          <w:rFonts w:cs="Arial"/>
          <w:snapToGrid w:val="0"/>
          <w:sz w:val="20"/>
        </w:rPr>
        <w:t>[  ]</w:t>
      </w:r>
    </w:p>
    <w:p w:rsidR="00AA4BF8" w:rsidRPr="002F303D" w:rsidRDefault="00AA4BF8" w:rsidP="00AA4BF8">
      <w:pPr>
        <w:autoSpaceDE w:val="0"/>
        <w:autoSpaceDN w:val="0"/>
        <w:adjustRightInd w:val="0"/>
        <w:jc w:val="both"/>
        <w:rPr>
          <w:rFonts w:cs="Arial"/>
          <w:sz w:val="20"/>
          <w:lang w:val="en-US"/>
        </w:rPr>
      </w:pPr>
    </w:p>
    <w:p w:rsidR="00AA4BF8" w:rsidRPr="002F303D" w:rsidRDefault="00AA4BF8" w:rsidP="00AA4BF8">
      <w:pPr>
        <w:autoSpaceDE w:val="0"/>
        <w:autoSpaceDN w:val="0"/>
        <w:adjustRightInd w:val="0"/>
        <w:jc w:val="both"/>
        <w:rPr>
          <w:rFonts w:cs="Arial"/>
          <w:sz w:val="20"/>
          <w:lang w:val="en-US"/>
        </w:rPr>
      </w:pPr>
      <w:r w:rsidRPr="002F303D">
        <w:rPr>
          <w:rStyle w:val="FootnoteReference"/>
          <w:rFonts w:cs="Arial"/>
          <w:sz w:val="20"/>
          <w:lang w:val="en-US"/>
        </w:rPr>
        <w:footnoteReference w:id="2228"/>
      </w:r>
      <w:r w:rsidRPr="002F303D">
        <w:rPr>
          <w:rFonts w:cs="Arial"/>
          <w:sz w:val="20"/>
          <w:lang w:val="en-US"/>
        </w:rPr>
        <w:t>[  ]</w:t>
      </w:r>
    </w:p>
    <w:p w:rsidR="00AA4BF8" w:rsidRPr="00412620" w:rsidRDefault="00AA4BF8" w:rsidP="00AA4BF8">
      <w:pPr>
        <w:widowControl w:val="0"/>
        <w:jc w:val="both"/>
        <w:rPr>
          <w:snapToGrid w:val="0"/>
          <w:sz w:val="14"/>
          <w:szCs w:val="14"/>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29"/>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30"/>
      </w:r>
      <w:r w:rsidRPr="00412620">
        <w:rPr>
          <w:snapToGrid w:val="0"/>
          <w:sz w:val="20"/>
        </w:rPr>
        <w:t>[  ]</w:t>
      </w:r>
    </w:p>
    <w:p w:rsidR="00AA4BF8" w:rsidRPr="00412620" w:rsidRDefault="00AA4BF8" w:rsidP="00AA4BF8">
      <w:pPr>
        <w:widowControl w:val="0"/>
        <w:jc w:val="both"/>
        <w:rPr>
          <w:snapToGrid w:val="0"/>
          <w:sz w:val="20"/>
        </w:rPr>
      </w:pPr>
    </w:p>
    <w:p w:rsidR="00AA4BF8" w:rsidRDefault="00AA4BF8" w:rsidP="00AA4BF8">
      <w:pPr>
        <w:widowControl w:val="0"/>
        <w:jc w:val="both"/>
        <w:rPr>
          <w:snapToGrid w:val="0"/>
          <w:sz w:val="20"/>
        </w:rPr>
      </w:pPr>
      <w:r w:rsidRPr="00412620">
        <w:rPr>
          <w:rStyle w:val="FootnoteReference"/>
          <w:rFonts w:cs="Arial"/>
          <w:snapToGrid w:val="0"/>
          <w:sz w:val="20"/>
        </w:rPr>
        <w:footnoteReference w:id="2231"/>
      </w:r>
      <w:r w:rsidRPr="00412620">
        <w:rPr>
          <w:snapToGrid w:val="0"/>
          <w:sz w:val="20"/>
        </w:rPr>
        <w:t>[</w:t>
      </w:r>
      <w:r w:rsidRPr="00412620">
        <w:rPr>
          <w:b/>
          <w:bCs/>
          <w:snapToGrid w:val="0"/>
          <w:sz w:val="20"/>
        </w:rPr>
        <w:t xml:space="preserve">(47A) </w:t>
      </w:r>
      <w:r w:rsidRPr="00412620">
        <w:rPr>
          <w:snapToGrid w:val="0"/>
          <w:sz w:val="20"/>
        </w:rPr>
        <w:t>The provisions of section 153 shall not apply in respect of payments received by a resident person for supply of such goods as were imported by the same person and on which tax has been paid under section 148.]</w:t>
      </w:r>
    </w:p>
    <w:p w:rsidR="00F9084A" w:rsidRPr="00743C08" w:rsidRDefault="00F9084A" w:rsidP="00AA4BF8">
      <w:pPr>
        <w:widowControl w:val="0"/>
        <w:jc w:val="both"/>
        <w:rPr>
          <w:snapToGrid w:val="0"/>
          <w:sz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32"/>
      </w:r>
      <w:r w:rsidRPr="00412620">
        <w:rPr>
          <w:snapToGrid w:val="0"/>
          <w:sz w:val="20"/>
        </w:rPr>
        <w:t>[</w:t>
      </w:r>
      <w:r w:rsidRPr="00412620">
        <w:rPr>
          <w:b/>
          <w:bCs/>
          <w:sz w:val="20"/>
        </w:rPr>
        <w:t>(47B)</w:t>
      </w:r>
      <w:r w:rsidRPr="00412620">
        <w:rPr>
          <w:sz w:val="20"/>
        </w:rPr>
        <w:t xml:space="preserve"> The provisions of sections 150, 151 </w:t>
      </w:r>
      <w:r w:rsidRPr="00412620">
        <w:rPr>
          <w:rStyle w:val="FootnoteReference"/>
          <w:rFonts w:cs="Arial"/>
          <w:sz w:val="20"/>
        </w:rPr>
        <w:footnoteReference w:id="2233"/>
      </w:r>
      <w:r w:rsidRPr="00412620">
        <w:rPr>
          <w:sz w:val="20"/>
        </w:rPr>
        <w:t xml:space="preserve">[, ] 233 </w:t>
      </w:r>
      <w:r w:rsidRPr="00412620">
        <w:rPr>
          <w:rStyle w:val="FootnoteReference"/>
          <w:rFonts w:cs="Arial"/>
          <w:sz w:val="20"/>
        </w:rPr>
        <w:footnoteReference w:id="2234"/>
      </w:r>
      <w:r w:rsidRPr="00412620">
        <w:rPr>
          <w:sz w:val="20"/>
        </w:rPr>
        <w:t>[and Part I, Divisi</w:t>
      </w:r>
      <w:r>
        <w:rPr>
          <w:sz w:val="20"/>
        </w:rPr>
        <w:t>on VII of the F</w:t>
      </w:r>
      <w:r w:rsidRPr="00412620">
        <w:rPr>
          <w:sz w:val="20"/>
        </w:rPr>
        <w:t xml:space="preserve">irst Schedule] shall not apply to any person making payment to National Investment Unit Trust or a collective investment scheme or a modaraba or Approved Pension Fund or an Approved Income Payment Plan or a REIT </w:t>
      </w:r>
      <w:r w:rsidRPr="00412620">
        <w:rPr>
          <w:sz w:val="20"/>
        </w:rPr>
        <w:lastRenderedPageBreak/>
        <w:t>Scheme or a Private Equity and Venture Capital Fund or a recognized provident fund or an approved superannuation fund or an approved gratuity fund.]</w:t>
      </w:r>
    </w:p>
    <w:p w:rsidR="00AA4BF8" w:rsidRPr="00F9084A" w:rsidRDefault="00AA4BF8" w:rsidP="00AA4BF8">
      <w:pPr>
        <w:widowControl w:val="0"/>
        <w:jc w:val="both"/>
        <w:rPr>
          <w:b/>
          <w:bCs/>
          <w:snapToGrid w:val="0"/>
          <w:sz w:val="12"/>
          <w:szCs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35"/>
      </w:r>
      <w:r w:rsidRPr="00412620">
        <w:rPr>
          <w:snapToGrid w:val="0"/>
          <w:sz w:val="20"/>
        </w:rPr>
        <w:t>[</w:t>
      </w:r>
      <w:r w:rsidRPr="00412620">
        <w:rPr>
          <w:b/>
          <w:bCs/>
          <w:snapToGrid w:val="0"/>
          <w:sz w:val="20"/>
        </w:rPr>
        <w:t>(47C)</w:t>
      </w:r>
      <w:r w:rsidRPr="00412620">
        <w:rPr>
          <w:snapToGrid w:val="0"/>
          <w:sz w:val="20"/>
        </w:rPr>
        <w:t xml:space="preserve">  The provisions of sub-section (1) of section 154 shall not apply to an exporter in respect of cooking oil or vegetable ghee exported to Afghanistan, from whom advance tax has been collected under section 148 on import of edible oil.]</w:t>
      </w:r>
    </w:p>
    <w:p w:rsidR="00AA4BF8" w:rsidRPr="00F9084A" w:rsidRDefault="00AA4BF8" w:rsidP="00AA4BF8">
      <w:pPr>
        <w:widowControl w:val="0"/>
        <w:jc w:val="both"/>
        <w:rPr>
          <w:b/>
          <w:bCs/>
          <w:snapToGrid w:val="0"/>
          <w:sz w:val="12"/>
          <w:szCs w:val="12"/>
        </w:rPr>
      </w:pPr>
    </w:p>
    <w:p w:rsidR="00AA4BF8" w:rsidRPr="00412620" w:rsidRDefault="00AA4BF8" w:rsidP="00AA4BF8">
      <w:pPr>
        <w:widowControl w:val="0"/>
        <w:tabs>
          <w:tab w:val="left" w:pos="630"/>
        </w:tabs>
        <w:jc w:val="both"/>
        <w:rPr>
          <w:snapToGrid w:val="0"/>
          <w:sz w:val="20"/>
        </w:rPr>
      </w:pPr>
      <w:r w:rsidRPr="00412620">
        <w:rPr>
          <w:rStyle w:val="FootnoteReference"/>
          <w:rFonts w:cs="Arial"/>
          <w:snapToGrid w:val="0"/>
          <w:sz w:val="20"/>
        </w:rPr>
        <w:footnoteReference w:id="2236"/>
      </w:r>
      <w:r w:rsidRPr="00412620">
        <w:rPr>
          <w:snapToGrid w:val="0"/>
          <w:sz w:val="20"/>
        </w:rPr>
        <w:t>[</w:t>
      </w:r>
      <w:r w:rsidRPr="00412620">
        <w:rPr>
          <w:b/>
          <w:bCs/>
          <w:snapToGrid w:val="0"/>
          <w:sz w:val="20"/>
        </w:rPr>
        <w:t>(47D)</w:t>
      </w:r>
      <w:r w:rsidRPr="00412620">
        <w:rPr>
          <w:snapToGrid w:val="0"/>
          <w:sz w:val="20"/>
        </w:rPr>
        <w:tab/>
        <w:t xml:space="preserve">    The provisions of clause (a) of sub-section (3) of section 153 shall not apply to cotton ginners.]</w:t>
      </w:r>
    </w:p>
    <w:p w:rsidR="00AA4BF8" w:rsidRPr="00F9084A" w:rsidRDefault="00AA4BF8" w:rsidP="00AA4BF8">
      <w:pPr>
        <w:widowControl w:val="0"/>
        <w:jc w:val="both"/>
        <w:rPr>
          <w:b/>
          <w:bCs/>
          <w:snapToGrid w:val="0"/>
          <w:sz w:val="12"/>
          <w:szCs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37"/>
      </w:r>
      <w:r w:rsidRPr="00412620">
        <w:rPr>
          <w:snapToGrid w:val="0"/>
          <w:sz w:val="20"/>
        </w:rPr>
        <w:t>[  ]</w:t>
      </w:r>
    </w:p>
    <w:p w:rsidR="00AA4BF8" w:rsidRPr="00F9084A" w:rsidRDefault="00AA4BF8" w:rsidP="00AA4BF8">
      <w:pPr>
        <w:widowControl w:val="0"/>
        <w:jc w:val="both"/>
        <w:rPr>
          <w:b/>
          <w:bCs/>
          <w:snapToGrid w:val="0"/>
          <w:sz w:val="12"/>
          <w:szCs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38"/>
      </w:r>
      <w:r w:rsidRPr="00412620">
        <w:rPr>
          <w:snapToGrid w:val="0"/>
          <w:sz w:val="20"/>
        </w:rPr>
        <w:t>[  ]</w:t>
      </w:r>
    </w:p>
    <w:p w:rsidR="00AA4BF8" w:rsidRPr="00F9084A" w:rsidRDefault="00AA4BF8" w:rsidP="00AA4BF8">
      <w:pPr>
        <w:widowControl w:val="0"/>
        <w:jc w:val="both"/>
        <w:rPr>
          <w:snapToGrid w:val="0"/>
          <w:sz w:val="12"/>
          <w:szCs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39"/>
      </w:r>
      <w:r w:rsidRPr="00412620">
        <w:rPr>
          <w:snapToGrid w:val="0"/>
          <w:sz w:val="20"/>
        </w:rPr>
        <w:t>[  ]</w:t>
      </w:r>
    </w:p>
    <w:p w:rsidR="00AA4BF8" w:rsidRPr="00F9084A" w:rsidRDefault="00AA4BF8" w:rsidP="00AA4BF8">
      <w:pPr>
        <w:widowControl w:val="0"/>
        <w:ind w:left="270" w:hanging="270"/>
        <w:jc w:val="both"/>
        <w:rPr>
          <w:snapToGrid w:val="0"/>
          <w:sz w:val="12"/>
          <w:szCs w:val="12"/>
        </w:rPr>
      </w:pPr>
    </w:p>
    <w:p w:rsidR="00AA4BF8" w:rsidRDefault="00AA4BF8" w:rsidP="00AA4BF8">
      <w:pPr>
        <w:widowControl w:val="0"/>
        <w:jc w:val="both"/>
        <w:rPr>
          <w:snapToGrid w:val="0"/>
          <w:sz w:val="20"/>
        </w:rPr>
      </w:pPr>
      <w:r w:rsidRPr="00412620">
        <w:rPr>
          <w:rStyle w:val="FootnoteReference"/>
          <w:rFonts w:cs="Arial"/>
          <w:snapToGrid w:val="0"/>
          <w:sz w:val="20"/>
        </w:rPr>
        <w:footnoteReference w:id="2240"/>
      </w:r>
      <w:r w:rsidRPr="00412620">
        <w:rPr>
          <w:snapToGrid w:val="0"/>
          <w:sz w:val="20"/>
        </w:rPr>
        <w:t>[  ]</w:t>
      </w:r>
    </w:p>
    <w:p w:rsidR="00F9084A" w:rsidRPr="00412620" w:rsidRDefault="00F9084A" w:rsidP="00AA4BF8">
      <w:pPr>
        <w:widowControl w:val="0"/>
        <w:jc w:val="both"/>
        <w:rPr>
          <w:snapToGrid w:val="0"/>
          <w:sz w:val="20"/>
        </w:rPr>
      </w:pPr>
    </w:p>
    <w:p w:rsidR="00AA4BF8" w:rsidRPr="00F9084A" w:rsidRDefault="00AA4BF8" w:rsidP="00AA4BF8">
      <w:pPr>
        <w:widowControl w:val="0"/>
        <w:jc w:val="both"/>
        <w:rPr>
          <w:snapToGrid w:val="0"/>
          <w:sz w:val="12"/>
          <w:szCs w:val="12"/>
        </w:rPr>
      </w:pPr>
    </w:p>
    <w:p w:rsidR="00AA4BF8" w:rsidRPr="00412620" w:rsidRDefault="00AA4BF8" w:rsidP="00AA4BF8">
      <w:pPr>
        <w:widowControl w:val="0"/>
        <w:jc w:val="both"/>
        <w:rPr>
          <w:snapToGrid w:val="0"/>
          <w:sz w:val="20"/>
        </w:rPr>
      </w:pPr>
      <w:r w:rsidRPr="00412620">
        <w:rPr>
          <w:rStyle w:val="FootnoteReference"/>
          <w:rFonts w:cs="Arial"/>
          <w:snapToGrid w:val="0"/>
          <w:sz w:val="20"/>
        </w:rPr>
        <w:footnoteReference w:id="2241"/>
      </w:r>
      <w:r w:rsidRPr="00412620">
        <w:rPr>
          <w:snapToGrid w:val="0"/>
          <w:sz w:val="20"/>
        </w:rPr>
        <w:t>[  ]</w:t>
      </w:r>
    </w:p>
    <w:p w:rsidR="00AA4BF8" w:rsidRPr="00412620" w:rsidRDefault="00AA4BF8" w:rsidP="00AA4BF8">
      <w:pPr>
        <w:widowControl w:val="0"/>
        <w:jc w:val="both"/>
        <w:rPr>
          <w:snapToGrid w:val="0"/>
          <w:sz w:val="20"/>
        </w:rPr>
      </w:pPr>
    </w:p>
    <w:p w:rsidR="00AA4BF8" w:rsidRPr="00412620" w:rsidRDefault="00AA4BF8" w:rsidP="00AA4BF8">
      <w:pPr>
        <w:jc w:val="both"/>
        <w:rPr>
          <w:snapToGrid w:val="0"/>
          <w:sz w:val="20"/>
        </w:rPr>
      </w:pPr>
      <w:r w:rsidRPr="00412620">
        <w:rPr>
          <w:rStyle w:val="FootnoteReference"/>
          <w:rFonts w:cs="Arial"/>
          <w:snapToGrid w:val="0"/>
          <w:sz w:val="20"/>
        </w:rPr>
        <w:footnoteReference w:id="2242"/>
      </w:r>
      <w:r w:rsidRPr="00412620">
        <w:rPr>
          <w:snapToGrid w:val="0"/>
          <w:sz w:val="20"/>
        </w:rPr>
        <w:t>[  ]</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rStyle w:val="FootnoteReference"/>
          <w:rFonts w:cs="Arial"/>
          <w:snapToGrid w:val="0"/>
          <w:sz w:val="20"/>
        </w:rPr>
        <w:footnoteReference w:id="2243"/>
      </w:r>
      <w:r w:rsidRPr="00412620">
        <w:rPr>
          <w:snapToGrid w:val="0"/>
          <w:sz w:val="20"/>
        </w:rPr>
        <w:t>[  ]</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rStyle w:val="FootnoteReference"/>
          <w:rFonts w:cs="Arial"/>
          <w:snapToGrid w:val="0"/>
          <w:sz w:val="20"/>
        </w:rPr>
        <w:footnoteReference w:id="2244"/>
      </w:r>
      <w:r w:rsidRPr="00412620">
        <w:rPr>
          <w:snapToGrid w:val="0"/>
          <w:sz w:val="20"/>
        </w:rPr>
        <w:t>[  ]</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rStyle w:val="FootnoteReference"/>
          <w:rFonts w:cs="Arial"/>
          <w:snapToGrid w:val="0"/>
          <w:sz w:val="20"/>
        </w:rPr>
        <w:footnoteReference w:id="2245"/>
      </w:r>
      <w:r w:rsidRPr="00412620">
        <w:rPr>
          <w:snapToGrid w:val="0"/>
          <w:sz w:val="20"/>
        </w:rPr>
        <w:t>[</w:t>
      </w:r>
      <w:r w:rsidRPr="00412620">
        <w:rPr>
          <w:b/>
          <w:bCs/>
          <w:snapToGrid w:val="0"/>
          <w:sz w:val="20"/>
        </w:rPr>
        <w:t>(56)</w:t>
      </w:r>
      <w:r w:rsidRPr="00412620">
        <w:rPr>
          <w:snapToGrid w:val="0"/>
          <w:sz w:val="20"/>
        </w:rPr>
        <w:tab/>
        <w:t xml:space="preserve">The provisions of section 148, regarding withholding tax on imports shall </w:t>
      </w:r>
    </w:p>
    <w:p w:rsidR="00AA4BF8" w:rsidRPr="00412620" w:rsidRDefault="00AA4BF8" w:rsidP="00AA4BF8">
      <w:pPr>
        <w:jc w:val="both"/>
        <w:rPr>
          <w:snapToGrid w:val="0"/>
          <w:sz w:val="20"/>
        </w:rPr>
      </w:pPr>
      <w:r w:rsidRPr="00412620">
        <w:rPr>
          <w:snapToGrid w:val="0"/>
          <w:sz w:val="20"/>
        </w:rPr>
        <w:lastRenderedPageBreak/>
        <w:t>not apply in respect of</w:t>
      </w:r>
      <w:r w:rsidRPr="00412620">
        <w:rPr>
          <w:sz w:val="20"/>
        </w:rPr>
        <w:t>—</w:t>
      </w:r>
    </w:p>
    <w:p w:rsidR="00AA4BF8" w:rsidRPr="00412620" w:rsidRDefault="00AA4BF8" w:rsidP="00AA4BF8">
      <w:pPr>
        <w:ind w:left="1094" w:hanging="554"/>
        <w:jc w:val="both"/>
        <w:rPr>
          <w:snapToGrid w:val="0"/>
          <w:sz w:val="20"/>
        </w:rPr>
      </w:pPr>
    </w:p>
    <w:p w:rsidR="00AA4BF8" w:rsidRPr="003409C0" w:rsidRDefault="00AA4BF8" w:rsidP="00C351BE">
      <w:pPr>
        <w:pStyle w:val="ListParagraph"/>
        <w:numPr>
          <w:ilvl w:val="0"/>
          <w:numId w:val="68"/>
        </w:numPr>
        <w:autoSpaceDE w:val="0"/>
        <w:autoSpaceDN w:val="0"/>
        <w:adjustRightInd w:val="0"/>
        <w:jc w:val="both"/>
        <w:rPr>
          <w:snapToGrid w:val="0"/>
          <w:color w:val="000000" w:themeColor="text1"/>
          <w:sz w:val="20"/>
        </w:rPr>
      </w:pPr>
      <w:r w:rsidRPr="003409C0">
        <w:rPr>
          <w:snapToGrid w:val="0"/>
          <w:color w:val="000000" w:themeColor="text1"/>
          <w:sz w:val="20"/>
        </w:rPr>
        <w:t>goods classified under Pakistan Customs Tariff falling under</w:t>
      </w:r>
      <w:r w:rsidR="00ED516E" w:rsidRPr="003409C0">
        <w:rPr>
          <w:rStyle w:val="FootnoteReference"/>
          <w:snapToGrid w:val="0"/>
          <w:color w:val="000000" w:themeColor="text1"/>
          <w:sz w:val="20"/>
        </w:rPr>
        <w:footnoteReference w:id="2246"/>
      </w:r>
      <w:r w:rsidR="009D5C13" w:rsidRPr="003409C0">
        <w:rPr>
          <w:snapToGrid w:val="0"/>
          <w:color w:val="000000" w:themeColor="text1"/>
          <w:sz w:val="20"/>
        </w:rPr>
        <w:t>[“</w:t>
      </w:r>
      <w:r w:rsidR="009D5C13" w:rsidRPr="003409C0">
        <w:rPr>
          <w:rFonts w:cs="Arial"/>
          <w:color w:val="000000" w:themeColor="text1"/>
          <w:sz w:val="20"/>
          <w:lang w:val="en-US"/>
        </w:rPr>
        <w:t>Chapter 86 and 99 except PCT Heading 9918”]</w:t>
      </w:r>
      <w:r w:rsidRPr="003409C0">
        <w:rPr>
          <w:snapToGrid w:val="0"/>
          <w:color w:val="000000" w:themeColor="text1"/>
          <w:sz w:val="20"/>
        </w:rPr>
        <w:t>;</w:t>
      </w:r>
    </w:p>
    <w:p w:rsidR="00C351BE" w:rsidRPr="003409C0" w:rsidRDefault="00C351BE" w:rsidP="00C351BE">
      <w:pPr>
        <w:autoSpaceDE w:val="0"/>
        <w:autoSpaceDN w:val="0"/>
        <w:adjustRightInd w:val="0"/>
        <w:ind w:left="540"/>
        <w:jc w:val="both"/>
        <w:rPr>
          <w:snapToGrid w:val="0"/>
          <w:color w:val="000000" w:themeColor="text1"/>
          <w:sz w:val="20"/>
        </w:rPr>
      </w:pPr>
    </w:p>
    <w:p w:rsidR="00C351BE" w:rsidRPr="003409C0" w:rsidRDefault="00C351BE" w:rsidP="00C351BE">
      <w:pPr>
        <w:autoSpaceDE w:val="0"/>
        <w:autoSpaceDN w:val="0"/>
        <w:adjustRightInd w:val="0"/>
        <w:ind w:left="1094" w:hanging="554"/>
        <w:jc w:val="both"/>
        <w:rPr>
          <w:snapToGrid w:val="0"/>
          <w:color w:val="000000" w:themeColor="text1"/>
          <w:sz w:val="20"/>
        </w:rPr>
      </w:pPr>
      <w:r w:rsidRPr="003409C0">
        <w:rPr>
          <w:rStyle w:val="FootnoteReference"/>
          <w:rFonts w:cs="Arial"/>
          <w:color w:val="000000" w:themeColor="text1"/>
          <w:sz w:val="20"/>
          <w:lang w:val="en-US"/>
        </w:rPr>
        <w:footnoteReference w:id="2247"/>
      </w:r>
      <w:r w:rsidRPr="003409C0">
        <w:rPr>
          <w:rFonts w:cs="Arial"/>
          <w:color w:val="000000" w:themeColor="text1"/>
          <w:sz w:val="20"/>
          <w:lang w:val="en-US"/>
        </w:rPr>
        <w:t>[“(ia) Petroleum oils and oils obtained from bituminous minerals crude (PCT Code 2709.0000), Furnace-oil (PCT Code 2710.1941), High speed diesel oil (PCT) Code 2710.1931), Motor spirit (PCT Code 2710.1210), J.P.1 (PCT Code 2710.1912), base oil for lubricating oil (PCT Code 2710.1993), Light diesel oil (PCT Code 2710.1921) and Super Kerosene Oil imported by Pakistan State Oil Company Limited, Shell Pakistan Limited, Attock Petroleum Limited, Byco Petroleum Pakistan Limited, Admore Gas Private Limited, Chevron Pakistan Limited, Total-PARCO Pakistan(Private) Limited, Hascol Petroleum Limited, Bakri Trading Company Pakistan (Pvt) Ltd, Overseas Oil Trading Company (Pvt) Ltd, Gas and Oil Pakistan</w:t>
      </w:r>
      <w:r w:rsidR="00256140" w:rsidRPr="003409C0">
        <w:rPr>
          <w:rFonts w:cs="Arial"/>
          <w:color w:val="000000" w:themeColor="text1"/>
          <w:sz w:val="20"/>
          <w:lang w:val="en-US"/>
        </w:rPr>
        <w:t xml:space="preserve"> (Pvt) Ltd and oil refineries.”</w:t>
      </w:r>
      <w:r w:rsidR="00CD3142" w:rsidRPr="003409C0">
        <w:rPr>
          <w:rFonts w:cs="Arial"/>
          <w:color w:val="000000" w:themeColor="text1"/>
          <w:sz w:val="20"/>
          <w:lang w:val="en-US"/>
        </w:rPr>
        <w:t>]</w:t>
      </w:r>
    </w:p>
    <w:p w:rsidR="00AA4BF8" w:rsidRPr="00412620" w:rsidRDefault="00AA4BF8" w:rsidP="00AA4BF8">
      <w:pPr>
        <w:jc w:val="both"/>
        <w:rPr>
          <w:snapToGrid w:val="0"/>
          <w:sz w:val="20"/>
        </w:rPr>
      </w:pPr>
    </w:p>
    <w:p w:rsidR="00AA4BF8" w:rsidRPr="00412620" w:rsidRDefault="00AA4BF8" w:rsidP="00AA4BF8">
      <w:pPr>
        <w:ind w:left="1094" w:hanging="554"/>
        <w:jc w:val="both"/>
        <w:rPr>
          <w:snapToGrid w:val="0"/>
          <w:sz w:val="20"/>
        </w:rPr>
      </w:pPr>
      <w:r w:rsidRPr="00412620">
        <w:rPr>
          <w:snapToGrid w:val="0"/>
          <w:sz w:val="20"/>
        </w:rPr>
        <w:t xml:space="preserve">(ii) </w:t>
      </w:r>
      <w:r w:rsidRPr="00412620">
        <w:rPr>
          <w:snapToGrid w:val="0"/>
          <w:sz w:val="20"/>
        </w:rPr>
        <w:tab/>
        <w:t>goods imported by direct and indirect exporters covered under sub-chapter 7 of Chapter XII of SRO 450(I)/2001 dated June 18, 2001;</w:t>
      </w:r>
    </w:p>
    <w:p w:rsidR="00AA4BF8" w:rsidRPr="00412620" w:rsidRDefault="00AA4BF8" w:rsidP="00AA4BF8">
      <w:pPr>
        <w:jc w:val="both"/>
        <w:rPr>
          <w:snapToGrid w:val="0"/>
          <w:sz w:val="20"/>
        </w:rPr>
      </w:pPr>
    </w:p>
    <w:p w:rsidR="00AA4BF8" w:rsidRPr="00412620" w:rsidRDefault="00AA4BF8" w:rsidP="00AA4BF8">
      <w:pPr>
        <w:ind w:left="1094" w:hanging="554"/>
        <w:jc w:val="both"/>
        <w:rPr>
          <w:snapToGrid w:val="0"/>
          <w:sz w:val="20"/>
        </w:rPr>
      </w:pPr>
      <w:r w:rsidRPr="00412620">
        <w:rPr>
          <w:snapToGrid w:val="0"/>
          <w:sz w:val="20"/>
        </w:rPr>
        <w:t xml:space="preserve">(iii) </w:t>
      </w:r>
      <w:r w:rsidRPr="00412620">
        <w:rPr>
          <w:snapToGrid w:val="0"/>
          <w:sz w:val="20"/>
        </w:rPr>
        <w:tab/>
        <w:t xml:space="preserve">goods temporarily imported into Pakistan for subsequent exportation and which are exempt from customs duty and sales tax under Notification </w:t>
      </w:r>
      <w:r w:rsidRPr="00412620">
        <w:rPr>
          <w:rStyle w:val="FootnoteReference"/>
          <w:rFonts w:cs="Arial"/>
          <w:snapToGrid w:val="0"/>
          <w:sz w:val="20"/>
        </w:rPr>
        <w:footnoteReference w:id="2248"/>
      </w:r>
      <w:r w:rsidRPr="00412620">
        <w:rPr>
          <w:snapToGrid w:val="0"/>
          <w:sz w:val="20"/>
        </w:rPr>
        <w:t>[No.492(I)/2009, dated the 13</w:t>
      </w:r>
      <w:r w:rsidRPr="00412620">
        <w:rPr>
          <w:snapToGrid w:val="0"/>
          <w:sz w:val="20"/>
          <w:vertAlign w:val="superscript"/>
        </w:rPr>
        <w:t>th</w:t>
      </w:r>
      <w:r w:rsidRPr="00412620">
        <w:rPr>
          <w:snapToGrid w:val="0"/>
          <w:sz w:val="20"/>
        </w:rPr>
        <w:t xml:space="preserve"> June, 2009];</w:t>
      </w:r>
      <w:r w:rsidRPr="00412620">
        <w:rPr>
          <w:rStyle w:val="FootnoteReference"/>
          <w:rFonts w:cs="Arial"/>
          <w:snapToGrid w:val="0"/>
          <w:sz w:val="20"/>
        </w:rPr>
        <w:footnoteReference w:id="2249"/>
      </w:r>
      <w:r w:rsidRPr="00412620">
        <w:rPr>
          <w:snapToGrid w:val="0"/>
          <w:sz w:val="20"/>
        </w:rPr>
        <w:t xml:space="preserve">[ ] </w:t>
      </w:r>
    </w:p>
    <w:p w:rsidR="00AA4BF8" w:rsidRPr="00412620" w:rsidRDefault="00AA4BF8" w:rsidP="00AA4BF8">
      <w:pPr>
        <w:jc w:val="both"/>
        <w:rPr>
          <w:snapToGrid w:val="0"/>
          <w:sz w:val="20"/>
        </w:rPr>
      </w:pPr>
    </w:p>
    <w:p w:rsidR="00AA4BF8" w:rsidRPr="00412620" w:rsidRDefault="00AA4BF8" w:rsidP="00AA4BF8">
      <w:pPr>
        <w:ind w:left="1094" w:hanging="554"/>
        <w:jc w:val="both"/>
        <w:rPr>
          <w:snapToGrid w:val="0"/>
          <w:sz w:val="20"/>
        </w:rPr>
      </w:pPr>
      <w:r w:rsidRPr="00412620">
        <w:rPr>
          <w:snapToGrid w:val="0"/>
          <w:sz w:val="20"/>
        </w:rPr>
        <w:t xml:space="preserve">(iv) </w:t>
      </w:r>
      <w:r w:rsidRPr="00412620">
        <w:rPr>
          <w:snapToGrid w:val="0"/>
          <w:sz w:val="20"/>
        </w:rPr>
        <w:tab/>
        <w:t xml:space="preserve">Manufacturing Bond as prescribed under Chapter XV of Customs Rules, 2001 notified </w:t>
      </w:r>
      <w:r w:rsidRPr="00412620">
        <w:rPr>
          <w:i/>
          <w:iCs/>
          <w:snapToGrid w:val="0"/>
          <w:sz w:val="20"/>
        </w:rPr>
        <w:t>vide</w:t>
      </w:r>
      <w:r w:rsidRPr="00412620">
        <w:rPr>
          <w:snapToGrid w:val="0"/>
          <w:sz w:val="20"/>
        </w:rPr>
        <w:t xml:space="preserve"> S.R.O. 450(I)/2001, dated June 18, 2001 </w:t>
      </w:r>
      <w:r w:rsidRPr="00412620">
        <w:rPr>
          <w:rStyle w:val="FootnoteReference"/>
          <w:rFonts w:cs="Arial"/>
          <w:snapToGrid w:val="0"/>
          <w:sz w:val="20"/>
        </w:rPr>
        <w:footnoteReference w:id="2250"/>
      </w:r>
      <w:r w:rsidRPr="00412620">
        <w:rPr>
          <w:snapToGrid w:val="0"/>
          <w:sz w:val="20"/>
        </w:rPr>
        <w:t>[; and]]</w:t>
      </w:r>
    </w:p>
    <w:p w:rsidR="00AA4BF8" w:rsidRPr="00412620" w:rsidRDefault="00AA4BF8" w:rsidP="00AA4BF8">
      <w:pPr>
        <w:jc w:val="both"/>
        <w:rPr>
          <w:snapToGrid w:val="0"/>
          <w:sz w:val="20"/>
        </w:rPr>
      </w:pPr>
    </w:p>
    <w:p w:rsidR="00AA4BF8" w:rsidRPr="00412620" w:rsidRDefault="00AA4BF8" w:rsidP="00AA4BF8">
      <w:pPr>
        <w:ind w:left="1094" w:hanging="554"/>
        <w:jc w:val="both"/>
        <w:rPr>
          <w:snapToGrid w:val="0"/>
          <w:sz w:val="20"/>
        </w:rPr>
      </w:pPr>
      <w:r w:rsidRPr="00412620">
        <w:rPr>
          <w:rStyle w:val="FootnoteReference"/>
          <w:rFonts w:cs="Arial"/>
          <w:snapToGrid w:val="0"/>
          <w:sz w:val="20"/>
        </w:rPr>
        <w:footnoteReference w:id="2251"/>
      </w:r>
      <w:r w:rsidRPr="00412620">
        <w:rPr>
          <w:snapToGrid w:val="0"/>
          <w:sz w:val="20"/>
        </w:rPr>
        <w:t xml:space="preserve">[(v) </w:t>
      </w:r>
      <w:r w:rsidRPr="00412620">
        <w:rPr>
          <w:snapToGrid w:val="0"/>
          <w:sz w:val="20"/>
        </w:rPr>
        <w:tab/>
        <w:t>mineral oil imported by a manufacturer or formulator of pesticides which is exempt from customs-duties under the customs Notification No. S.R.O. 857(I)/2008, dated the 16</w:t>
      </w:r>
      <w:r w:rsidRPr="00412620">
        <w:rPr>
          <w:snapToGrid w:val="0"/>
          <w:sz w:val="20"/>
          <w:vertAlign w:val="superscript"/>
        </w:rPr>
        <w:t>th</w:t>
      </w:r>
      <w:r w:rsidRPr="00412620">
        <w:rPr>
          <w:snapToGrid w:val="0"/>
          <w:sz w:val="20"/>
        </w:rPr>
        <w:t xml:space="preserve"> August, 2008.]</w:t>
      </w:r>
    </w:p>
    <w:p w:rsidR="00AA4BF8" w:rsidRPr="00412620" w:rsidRDefault="00AA4BF8" w:rsidP="00AA4BF8">
      <w:pPr>
        <w:jc w:val="both"/>
        <w:rPr>
          <w:snapToGrid w:val="0"/>
          <w:sz w:val="20"/>
        </w:rPr>
      </w:pPr>
    </w:p>
    <w:p w:rsidR="00AA4BF8" w:rsidRDefault="00AA4BF8" w:rsidP="00AA4BF8">
      <w:pPr>
        <w:jc w:val="both"/>
        <w:rPr>
          <w:snapToGrid w:val="0"/>
          <w:sz w:val="20"/>
        </w:rPr>
      </w:pPr>
      <w:r w:rsidRPr="00412620">
        <w:rPr>
          <w:rStyle w:val="FootnoteReference"/>
          <w:rFonts w:cs="Arial"/>
          <w:snapToGrid w:val="0"/>
          <w:sz w:val="20"/>
        </w:rPr>
        <w:footnoteReference w:id="2252"/>
      </w:r>
      <w:r w:rsidRPr="00412620">
        <w:rPr>
          <w:snapToGrid w:val="0"/>
          <w:sz w:val="20"/>
        </w:rPr>
        <w:t>[</w:t>
      </w:r>
      <w:r w:rsidRPr="00412620">
        <w:rPr>
          <w:b/>
          <w:bCs/>
          <w:snapToGrid w:val="0"/>
          <w:sz w:val="20"/>
        </w:rPr>
        <w:t>(56A)</w:t>
      </w:r>
      <w:r w:rsidRPr="00412620">
        <w:rPr>
          <w:snapToGrid w:val="0"/>
          <w:sz w:val="20"/>
        </w:rPr>
        <w:t xml:space="preserve"> The provisions of sub-section (7) of section 148 and clause (a) of sub-section (1) of section 169 shall not apply to a person who is liable to withholding tax under section 236E.]</w:t>
      </w:r>
    </w:p>
    <w:p w:rsidR="008E2BB3" w:rsidRPr="00412620" w:rsidRDefault="008E2BB3" w:rsidP="00AA4BF8">
      <w:pPr>
        <w:jc w:val="both"/>
        <w:rPr>
          <w:snapToGrid w:val="0"/>
          <w:sz w:val="20"/>
        </w:rPr>
      </w:pPr>
    </w:p>
    <w:p w:rsidR="00592AFC" w:rsidRDefault="00592AFC" w:rsidP="00AA4BF8">
      <w:pPr>
        <w:jc w:val="both"/>
        <w:rPr>
          <w:b/>
          <w:snapToGrid w:val="0"/>
          <w:sz w:val="20"/>
        </w:rPr>
      </w:pPr>
      <w:r>
        <w:rPr>
          <w:rStyle w:val="FootnoteReference"/>
          <w:b/>
          <w:snapToGrid w:val="0"/>
          <w:sz w:val="20"/>
        </w:rPr>
        <w:lastRenderedPageBreak/>
        <w:footnoteReference w:id="2253"/>
      </w:r>
      <w:r w:rsidRPr="00592AFC">
        <w:rPr>
          <w:b/>
          <w:snapToGrid w:val="0"/>
          <w:sz w:val="20"/>
        </w:rPr>
        <w:t>[</w:t>
      </w:r>
      <w:r w:rsidR="00F852EB">
        <w:rPr>
          <w:b/>
          <w:snapToGrid w:val="0"/>
          <w:sz w:val="20"/>
        </w:rPr>
        <w:t xml:space="preserve"> </w:t>
      </w:r>
      <w:r w:rsidR="002202AC" w:rsidRPr="003409C0">
        <w:rPr>
          <w:rStyle w:val="FootnoteReference"/>
          <w:b/>
          <w:snapToGrid w:val="0"/>
          <w:color w:val="000000" w:themeColor="text1"/>
          <w:sz w:val="20"/>
        </w:rPr>
        <w:footnoteReference w:id="2254"/>
      </w:r>
      <w:r w:rsidR="002202AC" w:rsidRPr="003409C0">
        <w:rPr>
          <w:snapToGrid w:val="0"/>
          <w:color w:val="000000" w:themeColor="text1"/>
          <w:sz w:val="20"/>
        </w:rPr>
        <w:t>[   ]</w:t>
      </w:r>
      <w:r w:rsidR="002202AC">
        <w:rPr>
          <w:b/>
          <w:snapToGrid w:val="0"/>
          <w:sz w:val="20"/>
        </w:rPr>
        <w:t xml:space="preserve">  ]</w:t>
      </w:r>
    </w:p>
    <w:p w:rsidR="002202AC" w:rsidRPr="00592AFC" w:rsidRDefault="002202AC" w:rsidP="00AA4BF8">
      <w:pPr>
        <w:jc w:val="both"/>
        <w:rPr>
          <w:snapToGrid w:val="0"/>
          <w:sz w:val="20"/>
        </w:rPr>
      </w:pPr>
    </w:p>
    <w:p w:rsidR="00AA4BF8" w:rsidRPr="00F852EB" w:rsidRDefault="00AA4BF8" w:rsidP="00AA4BF8">
      <w:pPr>
        <w:jc w:val="both"/>
        <w:rPr>
          <w:snapToGrid w:val="0"/>
          <w:color w:val="000000" w:themeColor="text1"/>
          <w:sz w:val="20"/>
        </w:rPr>
      </w:pPr>
      <w:r w:rsidRPr="00F852EB">
        <w:rPr>
          <w:rStyle w:val="FootnoteReference"/>
          <w:b/>
          <w:snapToGrid w:val="0"/>
          <w:color w:val="000000" w:themeColor="text1"/>
          <w:sz w:val="20"/>
        </w:rPr>
        <w:footnoteReference w:id="2255"/>
      </w:r>
      <w:r w:rsidRPr="00F852EB">
        <w:rPr>
          <w:b/>
          <w:snapToGrid w:val="0"/>
          <w:color w:val="000000" w:themeColor="text1"/>
          <w:sz w:val="20"/>
        </w:rPr>
        <w:t>[(56B)</w:t>
      </w:r>
      <w:r w:rsidRPr="00F852EB">
        <w:rPr>
          <w:snapToGrid w:val="0"/>
          <w:color w:val="000000" w:themeColor="text1"/>
          <w:sz w:val="20"/>
        </w:rPr>
        <w:t xml:space="preserve"> The provision of sub-section (7) of section 148, and clause (a) of sub-section</w:t>
      </w:r>
      <w:r w:rsidR="00A64951" w:rsidRPr="00F852EB">
        <w:rPr>
          <w:snapToGrid w:val="0"/>
          <w:color w:val="000000" w:themeColor="text1"/>
          <w:sz w:val="20"/>
        </w:rPr>
        <w:t xml:space="preserve"> (1) of section</w:t>
      </w:r>
      <w:r w:rsidRPr="00F852EB">
        <w:rPr>
          <w:snapToGrid w:val="0"/>
          <w:color w:val="000000" w:themeColor="text1"/>
          <w:sz w:val="20"/>
        </w:rPr>
        <w:t xml:space="preserve"> 169 shall not apply to a person being a commercial importer if the person opts to file return of total income along with accounts and documents as may be prescribed, subject to the condition that minimum tax liability under normal tax regime shall not be less than 5.5%, of the imports, if the person is a company and 6% otherwise.</w:t>
      </w:r>
      <w:r w:rsidR="00C710F0" w:rsidRPr="00F852EB">
        <w:rPr>
          <w:snapToGrid w:val="0"/>
          <w:color w:val="000000" w:themeColor="text1"/>
          <w:sz w:val="20"/>
        </w:rPr>
        <w:t>]</w:t>
      </w:r>
    </w:p>
    <w:p w:rsidR="00AA4BF8" w:rsidRPr="00F852EB" w:rsidRDefault="00AA4BF8" w:rsidP="00AA4BF8">
      <w:pPr>
        <w:jc w:val="both"/>
        <w:rPr>
          <w:snapToGrid w:val="0"/>
          <w:color w:val="000000" w:themeColor="text1"/>
          <w:sz w:val="20"/>
        </w:rPr>
      </w:pPr>
    </w:p>
    <w:p w:rsidR="00AA4BF8" w:rsidRPr="00F852EB" w:rsidRDefault="00AA4BF8" w:rsidP="00AA4BF8">
      <w:pPr>
        <w:jc w:val="both"/>
        <w:rPr>
          <w:snapToGrid w:val="0"/>
          <w:color w:val="000000" w:themeColor="text1"/>
          <w:sz w:val="20"/>
        </w:rPr>
      </w:pPr>
      <w:r w:rsidRPr="00F852EB">
        <w:rPr>
          <w:rStyle w:val="FootnoteReference"/>
          <w:b/>
          <w:snapToGrid w:val="0"/>
          <w:color w:val="000000" w:themeColor="text1"/>
          <w:sz w:val="20"/>
        </w:rPr>
        <w:footnoteReference w:id="2256"/>
      </w:r>
      <w:r w:rsidRPr="00F852EB">
        <w:rPr>
          <w:b/>
          <w:snapToGrid w:val="0"/>
          <w:color w:val="000000" w:themeColor="text1"/>
          <w:sz w:val="20"/>
        </w:rPr>
        <w:t xml:space="preserve">[(56C) </w:t>
      </w:r>
      <w:r w:rsidRPr="00F852EB">
        <w:rPr>
          <w:snapToGrid w:val="0"/>
          <w:color w:val="000000" w:themeColor="text1"/>
          <w:sz w:val="20"/>
        </w:rPr>
        <w:t>The provisions of sub-</w:t>
      </w:r>
      <w:r w:rsidR="00156B75" w:rsidRPr="00F852EB">
        <w:rPr>
          <w:snapToGrid w:val="0"/>
          <w:color w:val="000000" w:themeColor="text1"/>
          <w:sz w:val="20"/>
        </w:rPr>
        <w:t>section</w:t>
      </w:r>
      <w:r w:rsidRPr="00F852EB">
        <w:rPr>
          <w:snapToGrid w:val="0"/>
          <w:color w:val="000000" w:themeColor="text1"/>
          <w:sz w:val="20"/>
        </w:rPr>
        <w:t xml:space="preserve"> (3) of section 153, in respect of sale of goods and clause (a) of sub-section (1) of section 169 shall not apply to a person, if the person opts to file return of total income along with accounts and documents as may be prescribed subject to the condition that minimum tax</w:t>
      </w:r>
      <w:r w:rsidRPr="00C710F0">
        <w:rPr>
          <w:snapToGrid w:val="0"/>
          <w:color w:val="00B0F0"/>
          <w:sz w:val="20"/>
        </w:rPr>
        <w:t xml:space="preserve"> </w:t>
      </w:r>
      <w:r w:rsidRPr="00F852EB">
        <w:rPr>
          <w:snapToGrid w:val="0"/>
          <w:color w:val="000000" w:themeColor="text1"/>
          <w:sz w:val="20"/>
        </w:rPr>
        <w:t>liability under normal tax regime shall not be less than 3.5% of the gross amount of sales, if the person is a company and 4% otherwise.</w:t>
      </w:r>
      <w:r w:rsidR="00C710F0" w:rsidRPr="00F852EB">
        <w:rPr>
          <w:snapToGrid w:val="0"/>
          <w:color w:val="000000" w:themeColor="text1"/>
          <w:sz w:val="20"/>
        </w:rPr>
        <w:t>]</w:t>
      </w:r>
    </w:p>
    <w:p w:rsidR="00AA4BF8" w:rsidRPr="00F852EB" w:rsidRDefault="00AA4BF8" w:rsidP="00AA4BF8">
      <w:pPr>
        <w:jc w:val="both"/>
        <w:rPr>
          <w:snapToGrid w:val="0"/>
          <w:color w:val="000000" w:themeColor="text1"/>
          <w:sz w:val="12"/>
        </w:rPr>
      </w:pPr>
    </w:p>
    <w:p w:rsidR="00AA4BF8" w:rsidRPr="00F852EB" w:rsidRDefault="00AA4BF8" w:rsidP="00AA4BF8">
      <w:pPr>
        <w:jc w:val="both"/>
        <w:rPr>
          <w:b/>
          <w:snapToGrid w:val="0"/>
          <w:color w:val="000000" w:themeColor="text1"/>
          <w:sz w:val="20"/>
        </w:rPr>
      </w:pPr>
      <w:r w:rsidRPr="00F852EB">
        <w:rPr>
          <w:rStyle w:val="FootnoteReference"/>
          <w:b/>
          <w:snapToGrid w:val="0"/>
          <w:color w:val="000000" w:themeColor="text1"/>
          <w:sz w:val="20"/>
        </w:rPr>
        <w:footnoteReference w:id="2257"/>
      </w:r>
      <w:r w:rsidRPr="00F852EB">
        <w:rPr>
          <w:b/>
          <w:snapToGrid w:val="0"/>
          <w:color w:val="000000" w:themeColor="text1"/>
          <w:sz w:val="20"/>
        </w:rPr>
        <w:t xml:space="preserve">[(56D) </w:t>
      </w:r>
      <w:r w:rsidRPr="00F852EB">
        <w:rPr>
          <w:snapToGrid w:val="0"/>
          <w:color w:val="000000" w:themeColor="text1"/>
          <w:sz w:val="20"/>
        </w:rPr>
        <w:t>The provisions of sub-section (3) of section 153, in respect of contracts an</w:t>
      </w:r>
      <w:r w:rsidR="0034079A" w:rsidRPr="00F852EB">
        <w:rPr>
          <w:snapToGrid w:val="0"/>
          <w:color w:val="000000" w:themeColor="text1"/>
          <w:sz w:val="20"/>
        </w:rPr>
        <w:t>d</w:t>
      </w:r>
      <w:r w:rsidRPr="00F852EB">
        <w:rPr>
          <w:snapToGrid w:val="0"/>
          <w:color w:val="000000" w:themeColor="text1"/>
          <w:sz w:val="20"/>
        </w:rPr>
        <w:t xml:space="preserve"> clause (a) of sub-section (1) of section 169 shall not apply to a person if the person opts to file return of total income along with accounts and documents as may be prescribed subject to the condition that minimum tax liability under normal tax regime shall not be less than 6% of contract receipts, if the person is a company and 6.5 %otherwise.</w:t>
      </w:r>
      <w:r w:rsidR="00C710F0" w:rsidRPr="00F852EB">
        <w:rPr>
          <w:snapToGrid w:val="0"/>
          <w:color w:val="000000" w:themeColor="text1"/>
          <w:sz w:val="20"/>
        </w:rPr>
        <w:t>]</w:t>
      </w:r>
    </w:p>
    <w:p w:rsidR="00AA4BF8" w:rsidRPr="00F852EB" w:rsidRDefault="00AA4BF8" w:rsidP="00AA4BF8">
      <w:pPr>
        <w:jc w:val="both"/>
        <w:rPr>
          <w:b/>
          <w:snapToGrid w:val="0"/>
          <w:color w:val="000000" w:themeColor="text1"/>
          <w:sz w:val="12"/>
        </w:rPr>
      </w:pPr>
    </w:p>
    <w:p w:rsidR="00AA4BF8" w:rsidRPr="00F852EB" w:rsidRDefault="00AA4BF8" w:rsidP="00AA4BF8">
      <w:pPr>
        <w:jc w:val="both"/>
        <w:rPr>
          <w:snapToGrid w:val="0"/>
          <w:color w:val="000000" w:themeColor="text1"/>
          <w:sz w:val="20"/>
        </w:rPr>
      </w:pPr>
      <w:r w:rsidRPr="00F852EB">
        <w:rPr>
          <w:rStyle w:val="FootnoteReference"/>
          <w:b/>
          <w:snapToGrid w:val="0"/>
          <w:color w:val="000000" w:themeColor="text1"/>
          <w:sz w:val="20"/>
        </w:rPr>
        <w:footnoteReference w:id="2258"/>
      </w:r>
      <w:r w:rsidRPr="00F852EB">
        <w:rPr>
          <w:b/>
          <w:snapToGrid w:val="0"/>
          <w:color w:val="000000" w:themeColor="text1"/>
          <w:sz w:val="20"/>
        </w:rPr>
        <w:t xml:space="preserve">[(56E) </w:t>
      </w:r>
      <w:r w:rsidRPr="00F852EB">
        <w:rPr>
          <w:snapToGrid w:val="0"/>
          <w:color w:val="000000" w:themeColor="text1"/>
          <w:sz w:val="20"/>
        </w:rPr>
        <w:t xml:space="preserve">The provisions of sub-section (2) of section 153 and clause (a) of sub-section (1) of section 169 shall not apply in respect of a person if the person opts to file return of total income along with accounts and documents as may be prescribed subject to the condition that minimum tax liability under normal tax regime shall not be less </w:t>
      </w:r>
      <w:r w:rsidR="0034079A" w:rsidRPr="00F852EB">
        <w:rPr>
          <w:snapToGrid w:val="0"/>
          <w:color w:val="000000" w:themeColor="text1"/>
          <w:sz w:val="20"/>
        </w:rPr>
        <w:t xml:space="preserve">than </w:t>
      </w:r>
      <w:r w:rsidRPr="00F852EB">
        <w:rPr>
          <w:snapToGrid w:val="0"/>
          <w:color w:val="000000" w:themeColor="text1"/>
          <w:sz w:val="20"/>
        </w:rPr>
        <w:t>0.5% of gross amount of services received.</w:t>
      </w:r>
      <w:r w:rsidR="00C710F0" w:rsidRPr="00F852EB">
        <w:rPr>
          <w:snapToGrid w:val="0"/>
          <w:color w:val="000000" w:themeColor="text1"/>
          <w:sz w:val="20"/>
        </w:rPr>
        <w:t>]</w:t>
      </w:r>
    </w:p>
    <w:p w:rsidR="00AA4BF8" w:rsidRPr="00F852EB" w:rsidRDefault="00AA4BF8" w:rsidP="00AA4BF8">
      <w:pPr>
        <w:jc w:val="both"/>
        <w:rPr>
          <w:snapToGrid w:val="0"/>
          <w:color w:val="000000" w:themeColor="text1"/>
          <w:sz w:val="12"/>
        </w:rPr>
      </w:pPr>
    </w:p>
    <w:p w:rsidR="00AA4BF8" w:rsidRPr="00F852EB" w:rsidRDefault="00AA4BF8" w:rsidP="00AA4BF8">
      <w:pPr>
        <w:jc w:val="both"/>
        <w:rPr>
          <w:snapToGrid w:val="0"/>
          <w:color w:val="000000" w:themeColor="text1"/>
          <w:sz w:val="20"/>
        </w:rPr>
      </w:pPr>
      <w:r w:rsidRPr="00F852EB">
        <w:rPr>
          <w:rStyle w:val="FootnoteReference"/>
          <w:b/>
          <w:snapToGrid w:val="0"/>
          <w:color w:val="000000" w:themeColor="text1"/>
          <w:sz w:val="20"/>
        </w:rPr>
        <w:footnoteReference w:id="2259"/>
      </w:r>
      <w:r w:rsidRPr="00F852EB">
        <w:rPr>
          <w:b/>
          <w:snapToGrid w:val="0"/>
          <w:color w:val="000000" w:themeColor="text1"/>
          <w:sz w:val="20"/>
        </w:rPr>
        <w:t>[(56F)</w:t>
      </w:r>
      <w:r w:rsidRPr="00F852EB">
        <w:rPr>
          <w:snapToGrid w:val="0"/>
          <w:color w:val="000000" w:themeColor="text1"/>
          <w:sz w:val="20"/>
        </w:rPr>
        <w:t xml:space="preserve"> The provision of sub-section (2) of section 156A and clause (a) of sub-section (1) of section 169 shall not apply in respect of a person if the person opts to file return of total income along with accounts and documents as may be prescribed, subject to the condition that minimum tax liability under normal tax regime shall not be less than 10% of the commission or discount received.</w:t>
      </w:r>
      <w:r w:rsidR="00C710F0" w:rsidRPr="00F852EB">
        <w:rPr>
          <w:snapToGrid w:val="0"/>
          <w:color w:val="000000" w:themeColor="text1"/>
          <w:sz w:val="20"/>
        </w:rPr>
        <w:t>]</w:t>
      </w:r>
    </w:p>
    <w:p w:rsidR="00AA4BF8" w:rsidRPr="00F852EB" w:rsidRDefault="00AA4BF8" w:rsidP="00AA4BF8">
      <w:pPr>
        <w:jc w:val="both"/>
        <w:rPr>
          <w:snapToGrid w:val="0"/>
          <w:color w:val="000000" w:themeColor="text1"/>
          <w:sz w:val="12"/>
        </w:rPr>
      </w:pPr>
    </w:p>
    <w:p w:rsidR="00AA4BF8" w:rsidRDefault="00AA4BF8" w:rsidP="00AA4BF8">
      <w:pPr>
        <w:jc w:val="both"/>
        <w:rPr>
          <w:snapToGrid w:val="0"/>
          <w:color w:val="00B0F0"/>
          <w:sz w:val="20"/>
        </w:rPr>
      </w:pPr>
      <w:r w:rsidRPr="00F852EB">
        <w:rPr>
          <w:rStyle w:val="FootnoteReference"/>
          <w:b/>
          <w:snapToGrid w:val="0"/>
          <w:color w:val="000000" w:themeColor="text1"/>
          <w:sz w:val="20"/>
        </w:rPr>
        <w:lastRenderedPageBreak/>
        <w:footnoteReference w:id="2260"/>
      </w:r>
      <w:r w:rsidRPr="00F852EB">
        <w:rPr>
          <w:b/>
          <w:snapToGrid w:val="0"/>
          <w:color w:val="000000" w:themeColor="text1"/>
          <w:sz w:val="20"/>
        </w:rPr>
        <w:t>[(56G)</w:t>
      </w:r>
      <w:r w:rsidRPr="00F852EB">
        <w:rPr>
          <w:snapToGrid w:val="0"/>
          <w:color w:val="000000" w:themeColor="text1"/>
          <w:sz w:val="20"/>
        </w:rPr>
        <w:t xml:space="preserve"> The provisions of sub-section (3) of section 233 and clause (a) of sub-section (1) of section 169 shall not apply in respect of a person if the person opts to file return of total income along with accounts and documents as may be prescribed, subject to the condition that minimum tax liability under normal tax regime shall not be le</w:t>
      </w:r>
      <w:r w:rsidR="00C710F0" w:rsidRPr="00F852EB">
        <w:rPr>
          <w:snapToGrid w:val="0"/>
          <w:color w:val="000000" w:themeColor="text1"/>
          <w:sz w:val="20"/>
        </w:rPr>
        <w:t>ss than 10% of the commission.]</w:t>
      </w:r>
    </w:p>
    <w:p w:rsidR="004834AA" w:rsidRDefault="004834AA" w:rsidP="00AA4BF8">
      <w:pPr>
        <w:jc w:val="both"/>
        <w:rPr>
          <w:snapToGrid w:val="0"/>
          <w:color w:val="00B0F0"/>
          <w:sz w:val="20"/>
        </w:rPr>
      </w:pPr>
    </w:p>
    <w:p w:rsidR="004834AA" w:rsidRPr="003409C0" w:rsidRDefault="004834AA" w:rsidP="00AA4BF8">
      <w:pPr>
        <w:jc w:val="both"/>
        <w:rPr>
          <w:snapToGrid w:val="0"/>
          <w:color w:val="000000" w:themeColor="text1"/>
          <w:sz w:val="20"/>
        </w:rPr>
      </w:pPr>
      <w:r w:rsidRPr="003409C0">
        <w:rPr>
          <w:rStyle w:val="FootnoteReference"/>
          <w:snapToGrid w:val="0"/>
          <w:color w:val="000000" w:themeColor="text1"/>
          <w:sz w:val="20"/>
        </w:rPr>
        <w:footnoteReference w:id="2261"/>
      </w:r>
      <w:r w:rsidRPr="003409C0">
        <w:rPr>
          <w:snapToGrid w:val="0"/>
          <w:color w:val="000000" w:themeColor="text1"/>
          <w:sz w:val="20"/>
        </w:rPr>
        <w:t>[     ]</w:t>
      </w:r>
    </w:p>
    <w:p w:rsidR="00AA4BF8" w:rsidRPr="00124EA2" w:rsidRDefault="00AA4BF8" w:rsidP="00AA4BF8">
      <w:pPr>
        <w:jc w:val="both"/>
        <w:rPr>
          <w:snapToGrid w:val="0"/>
          <w:color w:val="00B0F0"/>
          <w:sz w:val="12"/>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262"/>
      </w:r>
      <w:r w:rsidRPr="00412620">
        <w:rPr>
          <w:snapToGrid w:val="0"/>
          <w:sz w:val="20"/>
        </w:rPr>
        <w:t>[</w:t>
      </w:r>
      <w:r w:rsidRPr="00412620">
        <w:rPr>
          <w:b/>
          <w:bCs/>
          <w:snapToGrid w:val="0"/>
          <w:sz w:val="20"/>
        </w:rPr>
        <w:t>(57)</w:t>
      </w:r>
      <w:r w:rsidRPr="00412620">
        <w:rPr>
          <w:snapToGrid w:val="0"/>
          <w:sz w:val="20"/>
        </w:rPr>
        <w:tab/>
        <w:t xml:space="preserve">The provisions of </w:t>
      </w:r>
      <w:r w:rsidRPr="00412620">
        <w:rPr>
          <w:rStyle w:val="FootnoteReference"/>
          <w:rFonts w:cs="Arial"/>
          <w:snapToGrid w:val="0"/>
          <w:sz w:val="20"/>
        </w:rPr>
        <w:footnoteReference w:id="2263"/>
      </w:r>
      <w:r w:rsidRPr="00412620">
        <w:rPr>
          <w:snapToGrid w:val="0"/>
          <w:sz w:val="20"/>
        </w:rPr>
        <w:t>[</w:t>
      </w:r>
      <w:r w:rsidR="00B7389F">
        <w:rPr>
          <w:snapToGrid w:val="0"/>
          <w:sz w:val="20"/>
        </w:rPr>
        <w:t xml:space="preserve"> </w:t>
      </w:r>
      <w:r w:rsidR="00B7389F" w:rsidRPr="00D47C20">
        <w:rPr>
          <w:rStyle w:val="FootnoteReference"/>
          <w:snapToGrid w:val="0"/>
          <w:color w:val="0070C0"/>
          <w:sz w:val="20"/>
        </w:rPr>
        <w:footnoteReference w:id="2264"/>
      </w:r>
      <w:r w:rsidR="00B7389F" w:rsidRPr="00D47C20">
        <w:rPr>
          <w:snapToGrid w:val="0"/>
          <w:color w:val="0070C0"/>
          <w:sz w:val="20"/>
        </w:rPr>
        <w:t>[</w:t>
      </w:r>
      <w:r w:rsidRPr="00D47C20">
        <w:rPr>
          <w:snapToGrid w:val="0"/>
          <w:color w:val="0070C0"/>
          <w:sz w:val="20"/>
        </w:rPr>
        <w:t>section</w:t>
      </w:r>
      <w:r w:rsidR="00B7389F" w:rsidRPr="00D47C20">
        <w:rPr>
          <w:snapToGrid w:val="0"/>
          <w:color w:val="0070C0"/>
          <w:sz w:val="20"/>
        </w:rPr>
        <w:t>]</w:t>
      </w:r>
      <w:r w:rsidR="00B7389F">
        <w:rPr>
          <w:snapToGrid w:val="0"/>
          <w:sz w:val="20"/>
        </w:rPr>
        <w:t xml:space="preserve"> </w:t>
      </w:r>
      <w:r w:rsidRPr="00412620">
        <w:rPr>
          <w:rStyle w:val="FootnoteReference"/>
          <w:rFonts w:cs="Arial"/>
          <w:snapToGrid w:val="0"/>
          <w:sz w:val="20"/>
        </w:rPr>
        <w:footnoteReference w:id="2265"/>
      </w:r>
      <w:r w:rsidRPr="00412620">
        <w:rPr>
          <w:snapToGrid w:val="0"/>
          <w:sz w:val="20"/>
        </w:rPr>
        <w:t>[</w:t>
      </w:r>
      <w:r w:rsidR="00B7389F">
        <w:rPr>
          <w:snapToGrid w:val="0"/>
          <w:sz w:val="20"/>
        </w:rPr>
        <w:t xml:space="preserve"> </w:t>
      </w:r>
      <w:r w:rsidRPr="00412620">
        <w:rPr>
          <w:snapToGrid w:val="0"/>
          <w:sz w:val="20"/>
        </w:rPr>
        <w:t>]</w:t>
      </w:r>
      <w:r w:rsidR="00B7389F">
        <w:rPr>
          <w:snapToGrid w:val="0"/>
          <w:sz w:val="20"/>
        </w:rPr>
        <w:t xml:space="preserve"> ]</w:t>
      </w:r>
      <w:r w:rsidRPr="00412620">
        <w:rPr>
          <w:snapToGrid w:val="0"/>
          <w:sz w:val="20"/>
        </w:rPr>
        <w:t xml:space="preserve"> </w:t>
      </w:r>
      <w:r w:rsidRPr="00412620">
        <w:rPr>
          <w:rStyle w:val="FootnoteReference"/>
          <w:rFonts w:cs="Arial"/>
          <w:snapToGrid w:val="0"/>
          <w:sz w:val="20"/>
        </w:rPr>
        <w:footnoteReference w:id="2266"/>
      </w:r>
      <w:r w:rsidRPr="00412620">
        <w:rPr>
          <w:snapToGrid w:val="0"/>
          <w:sz w:val="20"/>
        </w:rPr>
        <w:t xml:space="preserve">[  ] </w:t>
      </w:r>
      <w:r w:rsidRPr="00412620">
        <w:rPr>
          <w:rStyle w:val="FootnoteReference"/>
          <w:rFonts w:cs="Arial"/>
          <w:snapToGrid w:val="0"/>
          <w:sz w:val="20"/>
        </w:rPr>
        <w:footnoteReference w:id="2267"/>
      </w:r>
      <w:r w:rsidRPr="00412620">
        <w:rPr>
          <w:snapToGrid w:val="0"/>
          <w:sz w:val="20"/>
        </w:rPr>
        <w:t>[  ] 153 shall not apply to companies operating Trading Houses which—</w:t>
      </w:r>
    </w:p>
    <w:p w:rsidR="00124EA2" w:rsidRDefault="00124EA2" w:rsidP="00124EA2">
      <w:pPr>
        <w:jc w:val="both"/>
        <w:rPr>
          <w:snapToGrid w:val="0"/>
          <w:sz w:val="20"/>
        </w:rPr>
      </w:pPr>
    </w:p>
    <w:p w:rsidR="00AA4BF8" w:rsidRPr="00412620" w:rsidRDefault="00AA4BF8" w:rsidP="00124EA2">
      <w:pPr>
        <w:ind w:left="893" w:firstLine="547"/>
        <w:jc w:val="both"/>
        <w:rPr>
          <w:snapToGrid w:val="0"/>
          <w:sz w:val="20"/>
        </w:rPr>
      </w:pPr>
      <w:r w:rsidRPr="00412620">
        <w:rPr>
          <w:snapToGrid w:val="0"/>
          <w:sz w:val="20"/>
        </w:rPr>
        <w:t xml:space="preserve">(i) </w:t>
      </w:r>
      <w:r w:rsidRPr="00412620">
        <w:rPr>
          <w:snapToGrid w:val="0"/>
          <w:sz w:val="20"/>
        </w:rPr>
        <w:tab/>
        <w:t>have paid up capital of exceeding Rs.250 million;</w:t>
      </w:r>
    </w:p>
    <w:p w:rsidR="00AA4BF8" w:rsidRPr="00412620" w:rsidRDefault="00AA4BF8" w:rsidP="00AA4BF8">
      <w:pPr>
        <w:jc w:val="both"/>
        <w:rPr>
          <w:snapToGrid w:val="0"/>
          <w:sz w:val="26"/>
          <w:szCs w:val="26"/>
        </w:rPr>
      </w:pPr>
      <w:r w:rsidRPr="00412620">
        <w:rPr>
          <w:snapToGrid w:val="0"/>
          <w:sz w:val="20"/>
        </w:rPr>
        <w:tab/>
      </w:r>
    </w:p>
    <w:p w:rsidR="00AA4BF8" w:rsidRPr="00412620" w:rsidRDefault="00AA4BF8" w:rsidP="00AA4BF8">
      <w:pPr>
        <w:ind w:left="2160" w:hanging="720"/>
        <w:jc w:val="both"/>
        <w:rPr>
          <w:snapToGrid w:val="0"/>
          <w:sz w:val="20"/>
        </w:rPr>
      </w:pPr>
      <w:r w:rsidRPr="00412620">
        <w:rPr>
          <w:snapToGrid w:val="0"/>
          <w:sz w:val="20"/>
        </w:rPr>
        <w:t xml:space="preserve">(ii) </w:t>
      </w:r>
      <w:r w:rsidRPr="00412620">
        <w:rPr>
          <w:snapToGrid w:val="0"/>
          <w:sz w:val="20"/>
        </w:rPr>
        <w:tab/>
        <w:t>own fixed assets exceeding Rs.300 million at the  close of the Tax Year;</w:t>
      </w:r>
    </w:p>
    <w:p w:rsidR="00AA4BF8" w:rsidRPr="00412620" w:rsidRDefault="00AA4BF8" w:rsidP="00AA4BF8">
      <w:pPr>
        <w:ind w:left="2160" w:hanging="720"/>
        <w:jc w:val="both"/>
        <w:rPr>
          <w:snapToGrid w:val="0"/>
          <w:sz w:val="26"/>
          <w:szCs w:val="26"/>
        </w:rPr>
      </w:pPr>
    </w:p>
    <w:p w:rsidR="00AA4BF8" w:rsidRPr="00412620" w:rsidRDefault="00AA4BF8" w:rsidP="00AA4BF8">
      <w:pPr>
        <w:ind w:left="2160" w:hanging="720"/>
        <w:jc w:val="both"/>
        <w:rPr>
          <w:snapToGrid w:val="0"/>
          <w:sz w:val="20"/>
        </w:rPr>
      </w:pPr>
      <w:r w:rsidRPr="00412620">
        <w:rPr>
          <w:snapToGrid w:val="0"/>
          <w:sz w:val="20"/>
        </w:rPr>
        <w:t xml:space="preserve">(iii) </w:t>
      </w:r>
      <w:r w:rsidRPr="00412620">
        <w:rPr>
          <w:snapToGrid w:val="0"/>
          <w:sz w:val="20"/>
        </w:rPr>
        <w:tab/>
        <w:t>maintain computerized records of imports and  sales of goods;</w:t>
      </w:r>
    </w:p>
    <w:p w:rsidR="00AA4BF8" w:rsidRPr="00412620" w:rsidRDefault="00AA4BF8" w:rsidP="00AA4BF8">
      <w:pPr>
        <w:ind w:left="2160" w:hanging="720"/>
        <w:jc w:val="both"/>
        <w:rPr>
          <w:snapToGrid w:val="0"/>
          <w:sz w:val="26"/>
          <w:szCs w:val="26"/>
        </w:rPr>
      </w:pPr>
    </w:p>
    <w:p w:rsidR="00AA4BF8" w:rsidRPr="00412620" w:rsidRDefault="00AA4BF8" w:rsidP="00AA4BF8">
      <w:pPr>
        <w:ind w:left="2160" w:hanging="720"/>
        <w:jc w:val="both"/>
        <w:rPr>
          <w:snapToGrid w:val="0"/>
          <w:sz w:val="20"/>
        </w:rPr>
      </w:pPr>
      <w:r w:rsidRPr="00412620">
        <w:rPr>
          <w:snapToGrid w:val="0"/>
          <w:sz w:val="20"/>
        </w:rPr>
        <w:t xml:space="preserve">(iv) </w:t>
      </w:r>
      <w:r w:rsidRPr="00412620">
        <w:rPr>
          <w:snapToGrid w:val="0"/>
          <w:sz w:val="20"/>
        </w:rPr>
        <w:tab/>
        <w:t>maintain a system for issuance of 100% cash  receipts on sales;</w:t>
      </w:r>
    </w:p>
    <w:p w:rsidR="00AA4BF8" w:rsidRPr="00412620" w:rsidRDefault="00AA4BF8" w:rsidP="00AA4BF8">
      <w:pPr>
        <w:jc w:val="both"/>
        <w:rPr>
          <w:snapToGrid w:val="0"/>
          <w:sz w:val="20"/>
        </w:rPr>
      </w:pPr>
    </w:p>
    <w:p w:rsidR="00AA4BF8" w:rsidRPr="00412620" w:rsidRDefault="00AA4BF8" w:rsidP="00AA4BF8">
      <w:pPr>
        <w:ind w:left="2160" w:hanging="720"/>
        <w:jc w:val="both"/>
        <w:rPr>
          <w:snapToGrid w:val="0"/>
          <w:sz w:val="20"/>
        </w:rPr>
      </w:pPr>
      <w:r w:rsidRPr="00412620">
        <w:rPr>
          <w:snapToGrid w:val="0"/>
          <w:sz w:val="20"/>
        </w:rPr>
        <w:t xml:space="preserve">(v) </w:t>
      </w:r>
      <w:r w:rsidRPr="00412620">
        <w:rPr>
          <w:snapToGrid w:val="0"/>
          <w:sz w:val="20"/>
        </w:rPr>
        <w:tab/>
        <w:t>present accounts for tax audit every year; and</w:t>
      </w:r>
    </w:p>
    <w:p w:rsidR="00AA4BF8" w:rsidRPr="00412620" w:rsidRDefault="00AA4BF8" w:rsidP="00AA4BF8">
      <w:pPr>
        <w:jc w:val="both"/>
        <w:rPr>
          <w:snapToGrid w:val="0"/>
          <w:sz w:val="20"/>
        </w:rPr>
      </w:pPr>
    </w:p>
    <w:p w:rsidR="00AA4BF8" w:rsidRPr="00F852EB" w:rsidRDefault="00AA4BF8" w:rsidP="00AA4BF8">
      <w:pPr>
        <w:ind w:left="2160" w:hanging="720"/>
        <w:jc w:val="both"/>
        <w:rPr>
          <w:snapToGrid w:val="0"/>
          <w:color w:val="000000" w:themeColor="text1"/>
          <w:sz w:val="20"/>
        </w:rPr>
      </w:pPr>
      <w:r>
        <w:rPr>
          <w:snapToGrid w:val="0"/>
          <w:sz w:val="20"/>
        </w:rPr>
        <w:t xml:space="preserve">(vi) </w:t>
      </w:r>
      <w:r>
        <w:rPr>
          <w:snapToGrid w:val="0"/>
          <w:sz w:val="20"/>
        </w:rPr>
        <w:tab/>
        <w:t xml:space="preserve">is registered </w:t>
      </w:r>
      <w:r w:rsidR="0063770B" w:rsidRPr="00F852EB">
        <w:rPr>
          <w:rStyle w:val="FootnoteReference"/>
          <w:snapToGrid w:val="0"/>
          <w:color w:val="000000" w:themeColor="text1"/>
          <w:sz w:val="20"/>
        </w:rPr>
        <w:footnoteReference w:id="2268"/>
      </w:r>
      <w:r w:rsidR="0063770B" w:rsidRPr="00F852EB">
        <w:rPr>
          <w:snapToGrid w:val="0"/>
          <w:color w:val="000000" w:themeColor="text1"/>
          <w:sz w:val="20"/>
        </w:rPr>
        <w:t>[</w:t>
      </w:r>
      <w:r w:rsidRPr="00F852EB">
        <w:rPr>
          <w:snapToGrid w:val="0"/>
          <w:color w:val="000000" w:themeColor="text1"/>
          <w:sz w:val="20"/>
        </w:rPr>
        <w:t>under the Sales Tax Act, 1990</w:t>
      </w:r>
      <w:r w:rsidR="0063770B" w:rsidRPr="00F852EB">
        <w:rPr>
          <w:snapToGrid w:val="0"/>
          <w:color w:val="000000" w:themeColor="text1"/>
          <w:sz w:val="20"/>
        </w:rPr>
        <w:t>]</w:t>
      </w:r>
    </w:p>
    <w:p w:rsidR="00AA4BF8" w:rsidRPr="00135F3F" w:rsidRDefault="00AA4BF8" w:rsidP="00AA4BF8">
      <w:pPr>
        <w:pStyle w:val="Header"/>
        <w:tabs>
          <w:tab w:val="left" w:pos="547"/>
        </w:tabs>
        <w:jc w:val="both"/>
        <w:rPr>
          <w:snapToGrid w:val="0"/>
          <w:color w:val="0070C0"/>
          <w:sz w:val="20"/>
        </w:rPr>
      </w:pPr>
    </w:p>
    <w:p w:rsidR="00124EA2" w:rsidRDefault="00AA4BF8" w:rsidP="00124EA2">
      <w:pPr>
        <w:ind w:left="547" w:firstLine="547"/>
        <w:jc w:val="both"/>
        <w:rPr>
          <w:snapToGrid w:val="0"/>
          <w:sz w:val="20"/>
        </w:rPr>
      </w:pPr>
      <w:r w:rsidRPr="00412620">
        <w:rPr>
          <w:snapToGrid w:val="0"/>
          <w:sz w:val="20"/>
        </w:rPr>
        <w:t>Provided that the exemption under this clause shall not be available if any of the aforementioned conditions are not fulfilled for a tax year</w:t>
      </w:r>
      <w:r w:rsidRPr="00412620">
        <w:rPr>
          <w:rStyle w:val="FootnoteReference"/>
          <w:rFonts w:cs="Arial"/>
          <w:snapToGrid w:val="0"/>
          <w:sz w:val="20"/>
        </w:rPr>
        <w:footnoteReference w:id="2269"/>
      </w:r>
      <w:r w:rsidRPr="00412620">
        <w:rPr>
          <w:snapToGrid w:val="0"/>
          <w:sz w:val="20"/>
        </w:rPr>
        <w:t>[</w:t>
      </w:r>
      <w:r w:rsidRPr="00412620">
        <w:rPr>
          <w:rStyle w:val="FootnoteReference"/>
          <w:rFonts w:cs="Arial"/>
          <w:snapToGrid w:val="0"/>
          <w:sz w:val="20"/>
        </w:rPr>
        <w:footnoteReference w:id="2270"/>
      </w:r>
      <w:r w:rsidRPr="00412620">
        <w:rPr>
          <w:snapToGrid w:val="0"/>
          <w:sz w:val="20"/>
        </w:rPr>
        <w:t xml:space="preserve">[:] ] </w:t>
      </w:r>
    </w:p>
    <w:p w:rsidR="00124EA2" w:rsidRDefault="00124EA2" w:rsidP="00124EA2">
      <w:pPr>
        <w:ind w:left="547" w:firstLine="547"/>
        <w:jc w:val="both"/>
        <w:rPr>
          <w:snapToGrid w:val="0"/>
          <w:sz w:val="20"/>
        </w:rPr>
      </w:pPr>
    </w:p>
    <w:p w:rsidR="00124EA2" w:rsidRDefault="00124EA2" w:rsidP="00124EA2">
      <w:pPr>
        <w:ind w:left="547" w:firstLine="547"/>
        <w:jc w:val="both"/>
        <w:rPr>
          <w:snapToGrid w:val="0"/>
          <w:sz w:val="20"/>
        </w:rPr>
      </w:pPr>
      <w:r w:rsidRPr="00412620">
        <w:rPr>
          <w:rStyle w:val="FootnoteReference"/>
          <w:rFonts w:cs="Arial"/>
          <w:snapToGrid w:val="0"/>
          <w:sz w:val="20"/>
        </w:rPr>
        <w:footnoteReference w:id="2271"/>
      </w:r>
      <w:r w:rsidRPr="00412620">
        <w:rPr>
          <w:snapToGrid w:val="0"/>
          <w:sz w:val="20"/>
        </w:rPr>
        <w:t>[</w:t>
      </w:r>
      <w:r w:rsidR="00B7389F">
        <w:rPr>
          <w:snapToGrid w:val="0"/>
          <w:sz w:val="20"/>
        </w:rPr>
        <w:t xml:space="preserve"> </w:t>
      </w:r>
      <w:r w:rsidR="00B7389F" w:rsidRPr="00D47C20">
        <w:rPr>
          <w:rStyle w:val="FootnoteReference"/>
          <w:snapToGrid w:val="0"/>
          <w:color w:val="0070C0"/>
          <w:sz w:val="20"/>
        </w:rPr>
        <w:footnoteReference w:id="2272"/>
      </w:r>
      <w:r w:rsidR="00B7389F" w:rsidRPr="00D47C20">
        <w:rPr>
          <w:rFonts w:cs="Arial"/>
          <w:color w:val="0070C0"/>
          <w:sz w:val="20"/>
        </w:rPr>
        <w:t>[“</w:t>
      </w:r>
      <w:r w:rsidR="00B7389F" w:rsidRPr="00D47C20">
        <w:rPr>
          <w:rFonts w:cs="Arial"/>
          <w:snapToGrid w:val="0"/>
          <w:color w:val="0070C0"/>
          <w:sz w:val="20"/>
        </w:rPr>
        <w:t xml:space="preserve">Provided further that </w:t>
      </w:r>
      <w:r w:rsidR="00B7389F" w:rsidRPr="00D47C20">
        <w:rPr>
          <w:rFonts w:cs="Arial"/>
          <w:color w:val="0070C0"/>
          <w:sz w:val="20"/>
        </w:rPr>
        <w:t xml:space="preserve">minimum tax  </w:t>
      </w:r>
      <w:r w:rsidR="00B7389F" w:rsidRPr="00D47C20">
        <w:rPr>
          <w:rFonts w:cs="Arial"/>
          <w:snapToGrid w:val="0"/>
          <w:color w:val="0070C0"/>
          <w:sz w:val="20"/>
        </w:rPr>
        <w:t>under section 113 shall be 0.5% upto the tax year 2019 and one per cent thereafter.”]</w:t>
      </w:r>
      <w:r w:rsidR="00B7389F">
        <w:rPr>
          <w:rFonts w:cs="Arial"/>
          <w:snapToGrid w:val="0"/>
          <w:szCs w:val="24"/>
        </w:rPr>
        <w:t xml:space="preserve"> </w:t>
      </w:r>
      <w:r w:rsidR="00C04273">
        <w:rPr>
          <w:rFonts w:cs="Arial"/>
          <w:snapToGrid w:val="0"/>
          <w:szCs w:val="24"/>
        </w:rPr>
        <w:t xml:space="preserve"> </w:t>
      </w:r>
      <w:r w:rsidR="00B7389F">
        <w:rPr>
          <w:rFonts w:cs="Arial"/>
          <w:snapToGrid w:val="0"/>
          <w:szCs w:val="24"/>
        </w:rPr>
        <w:t>]</w:t>
      </w:r>
      <w:r w:rsidR="00B7389F">
        <w:rPr>
          <w:snapToGrid w:val="0"/>
          <w:sz w:val="20"/>
        </w:rPr>
        <w:t xml:space="preserve">   </w:t>
      </w:r>
    </w:p>
    <w:p w:rsidR="00AA4BF8" w:rsidRPr="00412620" w:rsidRDefault="00AA4BF8" w:rsidP="00AA4BF8">
      <w:pPr>
        <w:pStyle w:val="Header"/>
        <w:tabs>
          <w:tab w:val="left" w:pos="547"/>
        </w:tabs>
        <w:jc w:val="both"/>
        <w:rPr>
          <w:snapToGrid w:val="0"/>
          <w:sz w:val="20"/>
        </w:rPr>
      </w:pPr>
    </w:p>
    <w:p w:rsidR="00AA4BF8" w:rsidRPr="00F852EB" w:rsidRDefault="00AA4BF8" w:rsidP="002F0A71">
      <w:pPr>
        <w:pStyle w:val="Header"/>
        <w:tabs>
          <w:tab w:val="clear" w:pos="4320"/>
          <w:tab w:val="clear" w:pos="8640"/>
        </w:tabs>
        <w:ind w:left="547" w:firstLine="547"/>
        <w:jc w:val="both"/>
        <w:rPr>
          <w:snapToGrid w:val="0"/>
          <w:color w:val="000000" w:themeColor="text1"/>
          <w:sz w:val="20"/>
        </w:rPr>
      </w:pPr>
      <w:r w:rsidRPr="00F852EB">
        <w:rPr>
          <w:rStyle w:val="FootnoteReference"/>
          <w:snapToGrid w:val="0"/>
          <w:color w:val="000000" w:themeColor="text1"/>
          <w:sz w:val="20"/>
        </w:rPr>
        <w:footnoteReference w:id="2273"/>
      </w:r>
      <w:r w:rsidR="0063770B" w:rsidRPr="00F852EB">
        <w:rPr>
          <w:i/>
          <w:snapToGrid w:val="0"/>
          <w:color w:val="000000" w:themeColor="text1"/>
          <w:sz w:val="20"/>
        </w:rPr>
        <w:t>[Explanation</w:t>
      </w:r>
      <w:r w:rsidR="0063770B" w:rsidRPr="00F852EB">
        <w:rPr>
          <w:snapToGrid w:val="0"/>
          <w:color w:val="000000" w:themeColor="text1"/>
          <w:sz w:val="20"/>
        </w:rPr>
        <w:t>.-</w:t>
      </w:r>
      <w:r w:rsidR="00B015A0" w:rsidRPr="00F852EB">
        <w:rPr>
          <w:rStyle w:val="FootnoteReference"/>
          <w:snapToGrid w:val="0"/>
          <w:color w:val="000000" w:themeColor="text1"/>
          <w:sz w:val="20"/>
        </w:rPr>
        <w:footnoteReference w:id="2274"/>
      </w:r>
      <w:r w:rsidR="00B015A0" w:rsidRPr="00F852EB">
        <w:rPr>
          <w:snapToGrid w:val="0"/>
          <w:color w:val="000000" w:themeColor="text1"/>
          <w:sz w:val="20"/>
        </w:rPr>
        <w:t>[(i)]</w:t>
      </w:r>
      <w:r w:rsidR="00743C08" w:rsidRPr="00F852EB">
        <w:rPr>
          <w:snapToGrid w:val="0"/>
          <w:color w:val="000000" w:themeColor="text1"/>
          <w:sz w:val="20"/>
        </w:rPr>
        <w:t xml:space="preserve"> </w:t>
      </w:r>
      <w:r w:rsidRPr="00F852EB">
        <w:rPr>
          <w:snapToGrid w:val="0"/>
          <w:color w:val="000000" w:themeColor="text1"/>
          <w:sz w:val="20"/>
        </w:rPr>
        <w:t xml:space="preserve">For the removal of doubt, exemption under this clause, in respect of section 153, shall only be available as a recipient and not as withholding </w:t>
      </w:r>
      <w:r w:rsidR="0063770B" w:rsidRPr="00F852EB">
        <w:rPr>
          <w:snapToGrid w:val="0"/>
          <w:color w:val="000000" w:themeColor="text1"/>
          <w:sz w:val="20"/>
        </w:rPr>
        <w:t>agent.]</w:t>
      </w:r>
    </w:p>
    <w:p w:rsidR="00040ECC" w:rsidRDefault="00040ECC" w:rsidP="00AA4BF8">
      <w:pPr>
        <w:pStyle w:val="Header"/>
        <w:tabs>
          <w:tab w:val="clear" w:pos="4320"/>
          <w:tab w:val="clear" w:pos="8640"/>
        </w:tabs>
        <w:ind w:firstLine="547"/>
        <w:jc w:val="both"/>
        <w:rPr>
          <w:snapToGrid w:val="0"/>
          <w:color w:val="00B0F0"/>
          <w:sz w:val="20"/>
        </w:rPr>
      </w:pPr>
    </w:p>
    <w:p w:rsidR="00040ECC" w:rsidRPr="003409C0" w:rsidRDefault="002F0A71" w:rsidP="00040ECC">
      <w:pPr>
        <w:autoSpaceDE w:val="0"/>
        <w:autoSpaceDN w:val="0"/>
        <w:adjustRightInd w:val="0"/>
        <w:ind w:left="547" w:firstLine="547"/>
        <w:jc w:val="both"/>
        <w:rPr>
          <w:snapToGrid w:val="0"/>
          <w:color w:val="000000" w:themeColor="text1"/>
          <w:sz w:val="20"/>
        </w:rPr>
      </w:pPr>
      <w:r w:rsidRPr="003409C0">
        <w:rPr>
          <w:rStyle w:val="FootnoteReference"/>
          <w:snapToGrid w:val="0"/>
          <w:color w:val="000000" w:themeColor="text1"/>
          <w:sz w:val="20"/>
        </w:rPr>
        <w:footnoteReference w:id="2275"/>
      </w:r>
      <w:r w:rsidR="00040ECC" w:rsidRPr="003409C0">
        <w:rPr>
          <w:snapToGrid w:val="0"/>
          <w:color w:val="000000" w:themeColor="text1"/>
          <w:sz w:val="20"/>
        </w:rPr>
        <w:t>[“</w:t>
      </w:r>
      <w:r w:rsidR="00040ECC" w:rsidRPr="003409C0">
        <w:rPr>
          <w:rFonts w:cs="Arial"/>
          <w:color w:val="000000" w:themeColor="text1"/>
          <w:sz w:val="20"/>
          <w:lang w:val="en-US"/>
        </w:rPr>
        <w:t>(ii) It is further clarified that in-house preparation and</w:t>
      </w:r>
      <w:r w:rsidR="00716C91" w:rsidRPr="003409C0">
        <w:rPr>
          <w:rFonts w:cs="Arial"/>
          <w:color w:val="000000" w:themeColor="text1"/>
          <w:sz w:val="20"/>
          <w:lang w:val="en-US"/>
        </w:rPr>
        <w:t xml:space="preserve"> </w:t>
      </w:r>
      <w:r w:rsidR="00040ECC" w:rsidRPr="003409C0">
        <w:rPr>
          <w:rFonts w:cs="Arial"/>
          <w:color w:val="000000" w:themeColor="text1"/>
          <w:sz w:val="20"/>
          <w:lang w:val="en-US"/>
        </w:rPr>
        <w:t>processing of food and allied items for sale to customers shall</w:t>
      </w:r>
      <w:r w:rsidR="00716C91" w:rsidRPr="003409C0">
        <w:rPr>
          <w:rFonts w:cs="Arial"/>
          <w:color w:val="000000" w:themeColor="text1"/>
          <w:sz w:val="20"/>
          <w:lang w:val="en-US"/>
        </w:rPr>
        <w:t xml:space="preserve"> </w:t>
      </w:r>
      <w:r w:rsidR="00040ECC" w:rsidRPr="003409C0">
        <w:rPr>
          <w:rFonts w:cs="Arial"/>
          <w:color w:val="000000" w:themeColor="text1"/>
          <w:sz w:val="20"/>
          <w:lang w:val="en-US"/>
        </w:rPr>
        <w:t>not disqualify a company from being treated as a Trading</w:t>
      </w:r>
      <w:r w:rsidR="00716C91" w:rsidRPr="003409C0">
        <w:rPr>
          <w:rFonts w:cs="Arial"/>
          <w:color w:val="000000" w:themeColor="text1"/>
          <w:sz w:val="20"/>
          <w:lang w:val="en-US"/>
        </w:rPr>
        <w:t xml:space="preserve"> </w:t>
      </w:r>
      <w:r w:rsidR="00040ECC" w:rsidRPr="003409C0">
        <w:rPr>
          <w:rFonts w:cs="Arial"/>
          <w:color w:val="000000" w:themeColor="text1"/>
          <w:sz w:val="20"/>
          <w:lang w:val="en-US"/>
        </w:rPr>
        <w:t>House, provided that all the conditions in this clause are</w:t>
      </w:r>
      <w:r w:rsidR="00716C91" w:rsidRPr="003409C0">
        <w:rPr>
          <w:rFonts w:cs="Arial"/>
          <w:color w:val="000000" w:themeColor="text1"/>
          <w:sz w:val="20"/>
          <w:lang w:val="en-US"/>
        </w:rPr>
        <w:t xml:space="preserve"> </w:t>
      </w:r>
      <w:r w:rsidR="00040ECC" w:rsidRPr="003409C0">
        <w:rPr>
          <w:rFonts w:cs="Arial"/>
          <w:color w:val="000000" w:themeColor="text1"/>
          <w:sz w:val="20"/>
          <w:lang w:val="en-US"/>
        </w:rPr>
        <w:t>fulfilled and sale of such items does not exceed two per cent</w:t>
      </w:r>
      <w:r w:rsidR="00716C91" w:rsidRPr="003409C0">
        <w:rPr>
          <w:rFonts w:cs="Arial"/>
          <w:color w:val="000000" w:themeColor="text1"/>
          <w:sz w:val="20"/>
          <w:lang w:val="en-US"/>
        </w:rPr>
        <w:t xml:space="preserve"> </w:t>
      </w:r>
      <w:r w:rsidR="00040ECC" w:rsidRPr="003409C0">
        <w:rPr>
          <w:rFonts w:cs="Arial"/>
          <w:color w:val="000000" w:themeColor="text1"/>
          <w:sz w:val="20"/>
          <w:lang w:val="en-US"/>
        </w:rPr>
        <w:t>of the total sales.”]</w:t>
      </w:r>
    </w:p>
    <w:p w:rsidR="00F9084A" w:rsidRPr="00337C4E" w:rsidRDefault="00F9084A" w:rsidP="00AA4BF8">
      <w:pPr>
        <w:pStyle w:val="Header"/>
        <w:tabs>
          <w:tab w:val="clear" w:pos="4320"/>
          <w:tab w:val="clear" w:pos="8640"/>
        </w:tabs>
        <w:ind w:firstLine="547"/>
        <w:jc w:val="both"/>
        <w:rPr>
          <w:snapToGrid w:val="0"/>
          <w:color w:val="00B0F0"/>
          <w:sz w:val="20"/>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276"/>
      </w:r>
      <w:r w:rsidRPr="00412620">
        <w:rPr>
          <w:snapToGrid w:val="0"/>
          <w:sz w:val="20"/>
        </w:rPr>
        <w:t>[  ]</w:t>
      </w:r>
    </w:p>
    <w:p w:rsidR="00AA4BF8" w:rsidRPr="00412620" w:rsidRDefault="00AA4BF8" w:rsidP="00AA4BF8">
      <w:pPr>
        <w:jc w:val="both"/>
        <w:rPr>
          <w:snapToGrid w:val="0"/>
          <w:sz w:val="20"/>
        </w:rPr>
      </w:pPr>
      <w:r w:rsidRPr="00412620">
        <w:rPr>
          <w:snapToGrid w:val="0"/>
          <w:sz w:val="20"/>
        </w:rPr>
        <w:tab/>
      </w:r>
    </w:p>
    <w:p w:rsidR="00AA4BF8" w:rsidRPr="00412620" w:rsidRDefault="00AA4BF8" w:rsidP="00AA4BF8">
      <w:pPr>
        <w:pStyle w:val="Header"/>
        <w:tabs>
          <w:tab w:val="left" w:pos="547"/>
        </w:tabs>
        <w:jc w:val="both"/>
        <w:rPr>
          <w:sz w:val="20"/>
        </w:rPr>
      </w:pPr>
      <w:r w:rsidRPr="00412620">
        <w:rPr>
          <w:rStyle w:val="FootnoteReference"/>
          <w:rFonts w:cs="Arial"/>
          <w:snapToGrid w:val="0"/>
          <w:sz w:val="20"/>
        </w:rPr>
        <w:footnoteReference w:id="2277"/>
      </w:r>
      <w:r w:rsidRPr="00412620">
        <w:rPr>
          <w:snapToGrid w:val="0"/>
          <w:sz w:val="20"/>
        </w:rPr>
        <w:t>[</w:t>
      </w:r>
      <w:r w:rsidRPr="00412620">
        <w:rPr>
          <w:b/>
          <w:bCs/>
          <w:snapToGrid w:val="0"/>
          <w:sz w:val="20"/>
        </w:rPr>
        <w:t xml:space="preserve">(57A) </w:t>
      </w:r>
      <w:r w:rsidRPr="00412620">
        <w:rPr>
          <w:sz w:val="20"/>
        </w:rPr>
        <w:t>The provisions of sections 153 and 169 shall not apply to large import houses:</w:t>
      </w:r>
    </w:p>
    <w:p w:rsidR="00AA4BF8" w:rsidRPr="00412620" w:rsidRDefault="00AA4BF8" w:rsidP="00F9084A">
      <w:pPr>
        <w:ind w:left="547" w:firstLine="547"/>
        <w:jc w:val="both"/>
        <w:rPr>
          <w:snapToGrid w:val="0"/>
          <w:sz w:val="20"/>
        </w:rPr>
      </w:pPr>
      <w:r w:rsidRPr="00412620">
        <w:rPr>
          <w:snapToGrid w:val="0"/>
          <w:sz w:val="20"/>
        </w:rPr>
        <w:t>Provided that the exemption under this clause shall not be available if any of the conditions provided in section 148 are not fulfilled for a tax year.]</w:t>
      </w:r>
    </w:p>
    <w:p w:rsidR="00AA4BF8" w:rsidRPr="00412620" w:rsidRDefault="00AA4BF8" w:rsidP="00AA4BF8">
      <w:pPr>
        <w:ind w:left="1440" w:firstLine="750"/>
        <w:jc w:val="both"/>
        <w:rPr>
          <w:snapToGrid w:val="0"/>
          <w:sz w:val="20"/>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278"/>
      </w:r>
      <w:r w:rsidRPr="00412620">
        <w:rPr>
          <w:snapToGrid w:val="0"/>
          <w:sz w:val="20"/>
        </w:rPr>
        <w:t>[  ]</w:t>
      </w:r>
    </w:p>
    <w:p w:rsidR="00AA4BF8" w:rsidRPr="00412620" w:rsidRDefault="00AA4BF8" w:rsidP="00AA4BF8">
      <w:pPr>
        <w:pStyle w:val="Header"/>
        <w:tabs>
          <w:tab w:val="left" w:pos="547"/>
        </w:tabs>
        <w:jc w:val="both"/>
        <w:rPr>
          <w:snapToGrid w:val="0"/>
          <w:sz w:val="20"/>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279"/>
      </w:r>
      <w:r w:rsidRPr="00412620">
        <w:rPr>
          <w:snapToGrid w:val="0"/>
          <w:sz w:val="20"/>
        </w:rPr>
        <w:t>[</w:t>
      </w:r>
      <w:r w:rsidRPr="00412620">
        <w:rPr>
          <w:b/>
          <w:bCs/>
          <w:snapToGrid w:val="0"/>
          <w:sz w:val="20"/>
        </w:rPr>
        <w:t>(59)</w:t>
      </w:r>
      <w:r w:rsidRPr="00412620">
        <w:rPr>
          <w:snapToGrid w:val="0"/>
          <w:sz w:val="20"/>
        </w:rPr>
        <w:t xml:space="preserve"> The provisions of section 151, regarding withholding tax on profit on debt, shall not apply—</w:t>
      </w:r>
    </w:p>
    <w:p w:rsidR="00AA4BF8" w:rsidRPr="00412620" w:rsidRDefault="00AA4BF8" w:rsidP="00AA4BF8">
      <w:pPr>
        <w:pStyle w:val="Header"/>
        <w:tabs>
          <w:tab w:val="left" w:pos="547"/>
        </w:tabs>
        <w:jc w:val="both"/>
        <w:rPr>
          <w:snapToGrid w:val="0"/>
          <w:sz w:val="20"/>
        </w:rPr>
      </w:pPr>
    </w:p>
    <w:p w:rsidR="00AA4BF8" w:rsidRDefault="00BA1BE0" w:rsidP="00BA1BE0">
      <w:pPr>
        <w:pStyle w:val="Header"/>
        <w:tabs>
          <w:tab w:val="clear" w:pos="4320"/>
        </w:tabs>
        <w:jc w:val="both"/>
        <w:rPr>
          <w:snapToGrid w:val="0"/>
          <w:sz w:val="20"/>
        </w:rPr>
      </w:pPr>
      <w:r>
        <w:rPr>
          <w:snapToGrid w:val="0"/>
          <w:sz w:val="20"/>
        </w:rPr>
        <w:tab/>
      </w:r>
    </w:p>
    <w:p w:rsidR="00BA1BE0" w:rsidRPr="00D47C20" w:rsidRDefault="0065340F" w:rsidP="00BA1BE0">
      <w:pPr>
        <w:pStyle w:val="Header"/>
        <w:tabs>
          <w:tab w:val="left" w:pos="547"/>
        </w:tabs>
        <w:ind w:left="1440"/>
        <w:jc w:val="both"/>
        <w:rPr>
          <w:snapToGrid w:val="0"/>
          <w:color w:val="0070C0"/>
          <w:sz w:val="20"/>
        </w:rPr>
      </w:pPr>
      <w:r w:rsidRPr="00D47C20">
        <w:rPr>
          <w:rStyle w:val="FootnoteReference"/>
          <w:snapToGrid w:val="0"/>
          <w:color w:val="0070C0"/>
          <w:sz w:val="20"/>
        </w:rPr>
        <w:footnoteReference w:id="2280"/>
      </w:r>
      <w:r w:rsidR="00BA1BE0" w:rsidRPr="00D47C20">
        <w:rPr>
          <w:snapToGrid w:val="0"/>
          <w:color w:val="0070C0"/>
          <w:sz w:val="20"/>
        </w:rPr>
        <w:t xml:space="preserve">[ </w:t>
      </w:r>
      <w:r w:rsidRPr="00D47C20">
        <w:rPr>
          <w:snapToGrid w:val="0"/>
          <w:color w:val="0070C0"/>
          <w:sz w:val="20"/>
        </w:rPr>
        <w:t xml:space="preserve">  ]</w:t>
      </w:r>
    </w:p>
    <w:p w:rsidR="0065340F" w:rsidRDefault="0065340F" w:rsidP="00AA4BF8">
      <w:pPr>
        <w:ind w:left="2160" w:hanging="720"/>
        <w:jc w:val="both"/>
        <w:rPr>
          <w:snapToGrid w:val="0"/>
          <w:sz w:val="20"/>
        </w:rPr>
      </w:pPr>
    </w:p>
    <w:p w:rsidR="00AA4BF8" w:rsidRPr="00412620" w:rsidRDefault="00AA4BF8" w:rsidP="00AA4BF8">
      <w:pPr>
        <w:ind w:left="2160" w:hanging="720"/>
        <w:jc w:val="both"/>
        <w:rPr>
          <w:snapToGrid w:val="0"/>
          <w:sz w:val="20"/>
        </w:rPr>
      </w:pPr>
      <w:r w:rsidRPr="00412620">
        <w:rPr>
          <w:snapToGrid w:val="0"/>
          <w:sz w:val="20"/>
        </w:rPr>
        <w:t xml:space="preserve">(ii) </w:t>
      </w:r>
      <w:r w:rsidRPr="00412620">
        <w:rPr>
          <w:snapToGrid w:val="0"/>
          <w:sz w:val="20"/>
        </w:rPr>
        <w:tab/>
        <w:t>to any payment made by way profit or interest to any person on Term Finance Certificates being the instruments of redeemable capital under the Companies Ordinance, 1984 (XLVII of 1984), issued by Prime Minister’s Housing Development Company (Pvt) Limited (PHDCL);</w:t>
      </w:r>
    </w:p>
    <w:p w:rsidR="00AA4BF8" w:rsidRPr="00412620" w:rsidRDefault="00AA4BF8" w:rsidP="00AA4BF8">
      <w:pPr>
        <w:ind w:left="2160" w:hanging="720"/>
        <w:jc w:val="both"/>
        <w:rPr>
          <w:snapToGrid w:val="0"/>
          <w:sz w:val="20"/>
        </w:rPr>
      </w:pPr>
    </w:p>
    <w:p w:rsidR="00AA4BF8" w:rsidRPr="003409C0" w:rsidRDefault="005609C5" w:rsidP="00AA4BF8">
      <w:pPr>
        <w:ind w:left="2160" w:hanging="720"/>
        <w:jc w:val="both"/>
        <w:rPr>
          <w:snapToGrid w:val="0"/>
          <w:color w:val="000000" w:themeColor="text1"/>
          <w:sz w:val="20"/>
        </w:rPr>
      </w:pPr>
      <w:r w:rsidRPr="003409C0">
        <w:rPr>
          <w:rStyle w:val="FootnoteReference"/>
          <w:snapToGrid w:val="0"/>
          <w:color w:val="000000" w:themeColor="text1"/>
          <w:sz w:val="20"/>
        </w:rPr>
        <w:footnoteReference w:id="2281"/>
      </w:r>
      <w:r w:rsidRPr="003409C0">
        <w:rPr>
          <w:snapToGrid w:val="0"/>
          <w:color w:val="000000" w:themeColor="text1"/>
          <w:sz w:val="20"/>
        </w:rPr>
        <w:t xml:space="preserve">[     ] </w:t>
      </w:r>
    </w:p>
    <w:p w:rsidR="00AA4BF8" w:rsidRPr="00412620" w:rsidRDefault="00AA4BF8" w:rsidP="00AA4BF8">
      <w:pPr>
        <w:ind w:left="2160" w:hanging="720"/>
        <w:jc w:val="both"/>
        <w:rPr>
          <w:snapToGrid w:val="0"/>
          <w:sz w:val="20"/>
        </w:rPr>
      </w:pPr>
    </w:p>
    <w:p w:rsidR="00AA4BF8" w:rsidRPr="00412620" w:rsidRDefault="00AA4BF8" w:rsidP="00AA4BF8">
      <w:pPr>
        <w:ind w:left="2160" w:hanging="720"/>
        <w:jc w:val="both"/>
        <w:rPr>
          <w:snapToGrid w:val="0"/>
          <w:sz w:val="20"/>
        </w:rPr>
      </w:pPr>
      <w:r w:rsidRPr="00412620">
        <w:rPr>
          <w:snapToGrid w:val="0"/>
          <w:sz w:val="20"/>
        </w:rPr>
        <w:t xml:space="preserve">(iv) </w:t>
      </w:r>
      <w:r w:rsidRPr="00412620">
        <w:rPr>
          <w:snapToGrid w:val="0"/>
          <w:sz w:val="20"/>
        </w:rPr>
        <w:tab/>
        <w:t>in the case of any resident individual, no tax shall be deducted from income or profits paid on,-</w:t>
      </w:r>
    </w:p>
    <w:p w:rsidR="00AA4BF8" w:rsidRPr="00412620" w:rsidRDefault="00AA4BF8" w:rsidP="00AA4BF8">
      <w:pPr>
        <w:pStyle w:val="Header"/>
        <w:tabs>
          <w:tab w:val="left" w:pos="547"/>
        </w:tabs>
        <w:jc w:val="both"/>
        <w:rPr>
          <w:snapToGrid w:val="0"/>
          <w:sz w:val="20"/>
        </w:rPr>
      </w:pPr>
    </w:p>
    <w:p w:rsidR="00AA4BF8" w:rsidRPr="00412620" w:rsidRDefault="00AA4BF8" w:rsidP="00AA4BF8">
      <w:pPr>
        <w:pStyle w:val="Header"/>
        <w:tabs>
          <w:tab w:val="clear" w:pos="4320"/>
          <w:tab w:val="clear" w:pos="8640"/>
        </w:tabs>
        <w:jc w:val="both"/>
        <w:rPr>
          <w:snapToGrid w:val="0"/>
          <w:sz w:val="20"/>
        </w:rPr>
      </w:pPr>
      <w:r w:rsidRPr="00412620">
        <w:rPr>
          <w:snapToGrid w:val="0"/>
          <w:sz w:val="20"/>
        </w:rPr>
        <w:tab/>
      </w:r>
      <w:r w:rsidRPr="00412620">
        <w:rPr>
          <w:snapToGrid w:val="0"/>
          <w:sz w:val="20"/>
        </w:rPr>
        <w:tab/>
      </w:r>
      <w:r w:rsidRPr="00412620">
        <w:rPr>
          <w:snapToGrid w:val="0"/>
          <w:sz w:val="20"/>
        </w:rPr>
        <w:tab/>
      </w:r>
      <w:r w:rsidRPr="00412620">
        <w:rPr>
          <w:snapToGrid w:val="0"/>
          <w:sz w:val="20"/>
        </w:rPr>
        <w:tab/>
      </w:r>
      <w:r w:rsidRPr="00412620">
        <w:rPr>
          <w:rStyle w:val="FootnoteReference"/>
          <w:rFonts w:cs="Arial"/>
          <w:snapToGrid w:val="0"/>
          <w:sz w:val="20"/>
        </w:rPr>
        <w:footnoteReference w:id="2282"/>
      </w:r>
      <w:r w:rsidRPr="00412620">
        <w:rPr>
          <w:snapToGrid w:val="0"/>
          <w:sz w:val="20"/>
        </w:rPr>
        <w:t>[  ]</w:t>
      </w:r>
    </w:p>
    <w:p w:rsidR="00AA4BF8" w:rsidRPr="00412620" w:rsidRDefault="00AA4BF8" w:rsidP="00AA4BF8">
      <w:pPr>
        <w:pStyle w:val="Header"/>
        <w:tabs>
          <w:tab w:val="left" w:pos="547"/>
        </w:tabs>
        <w:jc w:val="both"/>
        <w:rPr>
          <w:snapToGrid w:val="0"/>
          <w:sz w:val="20"/>
        </w:rPr>
      </w:pPr>
    </w:p>
    <w:p w:rsidR="00AA4BF8" w:rsidRPr="00412620" w:rsidRDefault="00AA4BF8" w:rsidP="00AA4BF8">
      <w:pPr>
        <w:pStyle w:val="Header"/>
        <w:tabs>
          <w:tab w:val="left" w:pos="547"/>
        </w:tabs>
        <w:ind w:left="2880" w:hanging="720"/>
        <w:jc w:val="both"/>
        <w:rPr>
          <w:snapToGrid w:val="0"/>
          <w:sz w:val="20"/>
        </w:rPr>
      </w:pPr>
      <w:r w:rsidRPr="00412620">
        <w:rPr>
          <w:snapToGrid w:val="0"/>
          <w:sz w:val="20"/>
        </w:rPr>
        <w:t xml:space="preserve">(b) </w:t>
      </w:r>
      <w:r w:rsidRPr="00412620">
        <w:rPr>
          <w:snapToGrid w:val="0"/>
          <w:sz w:val="20"/>
        </w:rPr>
        <w:tab/>
        <w:t>Investment in monthly income Savings Accounts Scheme of Directorate of National Savings, where monthly installment in an account does not exceed one thousand rupees.]</w:t>
      </w:r>
    </w:p>
    <w:p w:rsidR="00AA4BF8" w:rsidRPr="00412620" w:rsidRDefault="00AA4BF8" w:rsidP="00AA4BF8">
      <w:pPr>
        <w:pStyle w:val="Header"/>
        <w:tabs>
          <w:tab w:val="left" w:pos="547"/>
        </w:tabs>
        <w:rPr>
          <w:snapToGrid w:val="0"/>
          <w:sz w:val="20"/>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283"/>
      </w:r>
      <w:r w:rsidRPr="00412620">
        <w:rPr>
          <w:snapToGrid w:val="0"/>
          <w:sz w:val="20"/>
        </w:rPr>
        <w:t>[</w:t>
      </w:r>
      <w:r w:rsidRPr="00412620">
        <w:rPr>
          <w:b/>
          <w:bCs/>
          <w:snapToGrid w:val="0"/>
          <w:sz w:val="20"/>
        </w:rPr>
        <w:t>(60)</w:t>
      </w:r>
      <w:r w:rsidRPr="00412620">
        <w:rPr>
          <w:snapToGrid w:val="0"/>
          <w:sz w:val="20"/>
        </w:rPr>
        <w:t xml:space="preserve"> The provisions of sections 148 and 153 shall not apply to fully as well partly designed/assembled cypher devices, for use within the country as are verified by </w:t>
      </w:r>
      <w:r w:rsidRPr="00412620">
        <w:rPr>
          <w:rStyle w:val="FootnoteReference"/>
          <w:rFonts w:cs="Arial"/>
          <w:snapToGrid w:val="0"/>
          <w:sz w:val="20"/>
        </w:rPr>
        <w:footnoteReference w:id="2284"/>
      </w:r>
      <w:r w:rsidRPr="00412620">
        <w:rPr>
          <w:snapToGrid w:val="0"/>
          <w:sz w:val="20"/>
        </w:rPr>
        <w:t>[Cabinet Division (NTISB)] with reference to design, quality and quantity.]</w:t>
      </w:r>
    </w:p>
    <w:p w:rsidR="00AA4BF8" w:rsidRDefault="00AA4BF8" w:rsidP="00AA4BF8">
      <w:pPr>
        <w:pStyle w:val="Header"/>
        <w:tabs>
          <w:tab w:val="left" w:pos="547"/>
        </w:tabs>
        <w:jc w:val="both"/>
        <w:rPr>
          <w:snapToGrid w:val="0"/>
          <w:sz w:val="20"/>
        </w:rPr>
      </w:pPr>
    </w:p>
    <w:p w:rsidR="00547C4B" w:rsidRPr="00547C4B" w:rsidRDefault="00547C4B" w:rsidP="00547C4B">
      <w:pPr>
        <w:ind w:left="90"/>
        <w:jc w:val="both"/>
        <w:rPr>
          <w:rFonts w:cs="Arial"/>
          <w:color w:val="FF0000"/>
          <w:sz w:val="20"/>
        </w:rPr>
      </w:pPr>
      <w:r>
        <w:rPr>
          <w:rStyle w:val="FootnoteReference"/>
          <w:rFonts w:cs="Arial"/>
          <w:color w:val="FF0000"/>
          <w:sz w:val="20"/>
        </w:rPr>
        <w:footnoteReference w:id="2285"/>
      </w:r>
      <w:r>
        <w:rPr>
          <w:rFonts w:cs="Arial"/>
          <w:color w:val="FF0000"/>
          <w:sz w:val="20"/>
        </w:rPr>
        <w:t>[</w:t>
      </w:r>
      <w:r w:rsidRPr="00547C4B">
        <w:rPr>
          <w:rFonts w:cs="Arial"/>
          <w:color w:val="FF0000"/>
          <w:sz w:val="20"/>
        </w:rPr>
        <w:t>“(60A)</w:t>
      </w:r>
      <w:r w:rsidRPr="00547C4B">
        <w:rPr>
          <w:rFonts w:cs="Arial"/>
          <w:color w:val="FF0000"/>
          <w:sz w:val="20"/>
        </w:rPr>
        <w:tab/>
        <w:t>The provisions of section 148 of the Income Tax Ordinance, 2001 shall not apply for import of plant, machinery and equipment including dumpers and special purposes motor vehicles imported by the following for construction of Sukkur-Multan section of Karachi-Peshawar Motorway project and Karakorum Highway (KKH) Phase-II (Thakot to Havellian Section) of CPEC project respectively:-</w:t>
      </w:r>
    </w:p>
    <w:p w:rsidR="00547C4B" w:rsidRPr="00547C4B" w:rsidRDefault="00547C4B" w:rsidP="00547C4B">
      <w:pPr>
        <w:spacing w:line="360" w:lineRule="auto"/>
        <w:ind w:left="720"/>
        <w:jc w:val="both"/>
        <w:rPr>
          <w:rFonts w:cs="Arial"/>
          <w:color w:val="FF0000"/>
          <w:sz w:val="20"/>
        </w:rPr>
      </w:pPr>
    </w:p>
    <w:p w:rsidR="00547C4B" w:rsidRPr="00547C4B" w:rsidRDefault="00547C4B" w:rsidP="00547C4B">
      <w:pPr>
        <w:pStyle w:val="ListParagraph"/>
        <w:numPr>
          <w:ilvl w:val="0"/>
          <w:numId w:val="104"/>
        </w:numPr>
        <w:ind w:left="1350" w:hanging="360"/>
        <w:contextualSpacing/>
        <w:jc w:val="both"/>
        <w:rPr>
          <w:rFonts w:cs="Arial"/>
          <w:color w:val="FF0000"/>
          <w:sz w:val="20"/>
        </w:rPr>
      </w:pPr>
      <w:r w:rsidRPr="00547C4B">
        <w:rPr>
          <w:rFonts w:cs="Arial"/>
          <w:color w:val="FF0000"/>
          <w:sz w:val="20"/>
        </w:rPr>
        <w:t>M/s China State Construction Engineering Corporation Ltd. (M/s CSCEC); and</w:t>
      </w:r>
    </w:p>
    <w:p w:rsidR="00547C4B" w:rsidRPr="00547C4B" w:rsidRDefault="00547C4B" w:rsidP="00547C4B">
      <w:pPr>
        <w:pStyle w:val="Header"/>
        <w:numPr>
          <w:ilvl w:val="0"/>
          <w:numId w:val="104"/>
        </w:numPr>
        <w:tabs>
          <w:tab w:val="left" w:pos="547"/>
        </w:tabs>
        <w:ind w:left="1350" w:hanging="360"/>
        <w:jc w:val="both"/>
        <w:rPr>
          <w:snapToGrid w:val="0"/>
          <w:sz w:val="20"/>
        </w:rPr>
      </w:pPr>
      <w:r w:rsidRPr="00547C4B">
        <w:rPr>
          <w:rFonts w:cs="Arial"/>
          <w:color w:val="FF0000"/>
          <w:sz w:val="20"/>
        </w:rPr>
        <w:t>M/s China Communication Construction Company (M/s CCCC).”</w:t>
      </w:r>
      <w:r>
        <w:rPr>
          <w:rFonts w:cs="Arial"/>
          <w:color w:val="FF0000"/>
          <w:sz w:val="20"/>
        </w:rPr>
        <w:t>]</w:t>
      </w:r>
    </w:p>
    <w:p w:rsidR="00547C4B" w:rsidRPr="00412620" w:rsidRDefault="00547C4B" w:rsidP="00AA4BF8">
      <w:pPr>
        <w:pStyle w:val="Header"/>
        <w:tabs>
          <w:tab w:val="left" w:pos="547"/>
        </w:tabs>
        <w:jc w:val="both"/>
        <w:rPr>
          <w:snapToGrid w:val="0"/>
          <w:sz w:val="20"/>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286"/>
      </w:r>
      <w:r w:rsidRPr="00412620">
        <w:rPr>
          <w:snapToGrid w:val="0"/>
          <w:sz w:val="20"/>
        </w:rPr>
        <w:t>[</w:t>
      </w:r>
      <w:r w:rsidRPr="00412620">
        <w:rPr>
          <w:b/>
          <w:bCs/>
          <w:snapToGrid w:val="0"/>
          <w:sz w:val="20"/>
        </w:rPr>
        <w:t>(61)</w:t>
      </w:r>
      <w:r w:rsidRPr="00412620">
        <w:rPr>
          <w:snapToGrid w:val="0"/>
          <w:sz w:val="20"/>
        </w:rPr>
        <w:tab/>
        <w:t xml:space="preserve">The provisions of section 231A shall not apply in respect of any cash withdrawal, from a bank, made by an earthquake victim against compensation </w:t>
      </w:r>
      <w:r w:rsidRPr="00412620">
        <w:rPr>
          <w:snapToGrid w:val="0"/>
          <w:sz w:val="20"/>
        </w:rPr>
        <w:lastRenderedPageBreak/>
        <w:t>received from GOP including payments through Earthquake Reconstruction and Rehabilitation Authority (ERRA) account.]</w:t>
      </w:r>
    </w:p>
    <w:p w:rsidR="00AA4BF8" w:rsidRPr="00412620" w:rsidRDefault="00AA4BF8" w:rsidP="00AA4BF8">
      <w:pPr>
        <w:pStyle w:val="Header"/>
        <w:tabs>
          <w:tab w:val="left" w:pos="547"/>
        </w:tabs>
        <w:jc w:val="both"/>
        <w:rPr>
          <w:snapToGrid w:val="0"/>
          <w:sz w:val="20"/>
        </w:rPr>
      </w:pPr>
    </w:p>
    <w:p w:rsidR="00AA4BF8" w:rsidRPr="003409C0" w:rsidRDefault="006B31A9" w:rsidP="006B31A9">
      <w:pPr>
        <w:pStyle w:val="Header"/>
        <w:tabs>
          <w:tab w:val="clear" w:pos="4320"/>
          <w:tab w:val="clear" w:pos="8640"/>
        </w:tabs>
        <w:jc w:val="both"/>
        <w:rPr>
          <w:snapToGrid w:val="0"/>
          <w:color w:val="000000" w:themeColor="text1"/>
          <w:sz w:val="20"/>
        </w:rPr>
      </w:pPr>
      <w:r w:rsidRPr="003409C0">
        <w:rPr>
          <w:rStyle w:val="FootnoteReference"/>
          <w:snapToGrid w:val="0"/>
          <w:color w:val="000000" w:themeColor="text1"/>
          <w:sz w:val="20"/>
        </w:rPr>
        <w:footnoteReference w:id="2287"/>
      </w:r>
      <w:r w:rsidRPr="003409C0">
        <w:rPr>
          <w:snapToGrid w:val="0"/>
          <w:color w:val="000000" w:themeColor="text1"/>
          <w:sz w:val="20"/>
        </w:rPr>
        <w:t xml:space="preserve">[   ] </w:t>
      </w:r>
    </w:p>
    <w:p w:rsidR="00AA4BF8" w:rsidRPr="00412620" w:rsidRDefault="00AA4BF8" w:rsidP="00AA4BF8">
      <w:pPr>
        <w:pStyle w:val="Header"/>
        <w:tabs>
          <w:tab w:val="clear" w:pos="4320"/>
          <w:tab w:val="clear" w:pos="8640"/>
        </w:tabs>
        <w:jc w:val="both"/>
        <w:rPr>
          <w:snapToGrid w:val="0"/>
          <w:sz w:val="20"/>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288"/>
      </w:r>
      <w:r w:rsidRPr="00412620">
        <w:rPr>
          <w:snapToGrid w:val="0"/>
          <w:sz w:val="20"/>
        </w:rPr>
        <w:t>[</w:t>
      </w:r>
      <w:r w:rsidRPr="00412620">
        <w:rPr>
          <w:b/>
          <w:bCs/>
          <w:snapToGrid w:val="0"/>
          <w:sz w:val="20"/>
        </w:rPr>
        <w:t>(62)</w:t>
      </w:r>
      <w:r w:rsidRPr="00412620">
        <w:rPr>
          <w:snapToGrid w:val="0"/>
          <w:sz w:val="20"/>
        </w:rPr>
        <w:t xml:space="preserve"> The following provisions of Section 97 shall not apply in case of transfer of assets on amalgamation of companies or their businesses or acquisition of shares, requiring that transferor:</w:t>
      </w:r>
    </w:p>
    <w:p w:rsidR="00AA4BF8" w:rsidRPr="00412620" w:rsidRDefault="00AA4BF8" w:rsidP="00AA4BF8">
      <w:pPr>
        <w:pStyle w:val="Header"/>
        <w:tabs>
          <w:tab w:val="left" w:pos="547"/>
        </w:tabs>
        <w:jc w:val="both"/>
        <w:rPr>
          <w:snapToGrid w:val="0"/>
          <w:sz w:val="20"/>
        </w:rPr>
      </w:pPr>
    </w:p>
    <w:p w:rsidR="00AA4BF8" w:rsidRPr="00412620" w:rsidRDefault="00AA4BF8" w:rsidP="00AA4BF8">
      <w:pPr>
        <w:pStyle w:val="Header"/>
        <w:tabs>
          <w:tab w:val="left" w:pos="547"/>
        </w:tabs>
        <w:jc w:val="both"/>
        <w:rPr>
          <w:snapToGrid w:val="0"/>
          <w:sz w:val="20"/>
        </w:rPr>
      </w:pPr>
    </w:p>
    <w:p w:rsidR="00AA4BF8" w:rsidRPr="00412620" w:rsidRDefault="00AA4BF8" w:rsidP="00AA4BF8">
      <w:pPr>
        <w:jc w:val="both"/>
        <w:rPr>
          <w:snapToGrid w:val="0"/>
          <w:sz w:val="20"/>
        </w:rPr>
      </w:pPr>
      <w:r w:rsidRPr="00412620">
        <w:rPr>
          <w:snapToGrid w:val="0"/>
          <w:sz w:val="20"/>
        </w:rPr>
        <w:tab/>
      </w:r>
      <w:r w:rsidRPr="00412620">
        <w:rPr>
          <w:snapToGrid w:val="0"/>
          <w:sz w:val="20"/>
        </w:rPr>
        <w:tab/>
        <w:t xml:space="preserve">(a) </w:t>
      </w:r>
      <w:r w:rsidRPr="00412620">
        <w:rPr>
          <w:snapToGrid w:val="0"/>
          <w:sz w:val="20"/>
        </w:rPr>
        <w:tab/>
        <w:t>be resident company; and</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snapToGrid w:val="0"/>
          <w:sz w:val="20"/>
        </w:rPr>
        <w:tab/>
      </w:r>
      <w:r w:rsidRPr="00412620">
        <w:rPr>
          <w:snapToGrid w:val="0"/>
          <w:sz w:val="20"/>
        </w:rPr>
        <w:tab/>
        <w:t xml:space="preserve">(b) </w:t>
      </w:r>
      <w:r w:rsidRPr="00412620">
        <w:rPr>
          <w:snapToGrid w:val="0"/>
          <w:sz w:val="20"/>
        </w:rPr>
        <w:tab/>
        <w:t>belong to a wholly-owned group of resident companies.</w:t>
      </w:r>
    </w:p>
    <w:p w:rsidR="00AA4BF8" w:rsidRPr="00412620" w:rsidRDefault="00AA4BF8" w:rsidP="00AA4BF8">
      <w:pPr>
        <w:jc w:val="both"/>
        <w:rPr>
          <w:snapToGrid w:val="0"/>
          <w:sz w:val="20"/>
        </w:rPr>
      </w:pPr>
    </w:p>
    <w:p w:rsidR="00AA4BF8" w:rsidRPr="00412620" w:rsidRDefault="00AA4BF8" w:rsidP="00AA4BF8">
      <w:pPr>
        <w:ind w:left="547" w:firstLine="547"/>
        <w:jc w:val="both"/>
        <w:rPr>
          <w:snapToGrid w:val="0"/>
          <w:sz w:val="20"/>
        </w:rPr>
      </w:pPr>
      <w:r w:rsidRPr="00412620">
        <w:rPr>
          <w:snapToGrid w:val="0"/>
          <w:sz w:val="20"/>
        </w:rPr>
        <w:t xml:space="preserve">Provided that: </w:t>
      </w:r>
    </w:p>
    <w:p w:rsidR="00AA4BF8" w:rsidRPr="00412620" w:rsidRDefault="00AA4BF8" w:rsidP="00AA4BF8">
      <w:pPr>
        <w:jc w:val="both"/>
        <w:rPr>
          <w:snapToGrid w:val="0"/>
          <w:sz w:val="20"/>
        </w:rPr>
      </w:pPr>
    </w:p>
    <w:p w:rsidR="00AA4BF8" w:rsidRPr="00412620" w:rsidRDefault="00AA4BF8" w:rsidP="00AA4BF8">
      <w:pPr>
        <w:ind w:left="1094" w:hanging="554"/>
        <w:jc w:val="both"/>
        <w:rPr>
          <w:snapToGrid w:val="0"/>
          <w:sz w:val="20"/>
        </w:rPr>
      </w:pPr>
      <w:r w:rsidRPr="00412620">
        <w:rPr>
          <w:snapToGrid w:val="0"/>
          <w:sz w:val="20"/>
        </w:rPr>
        <w:t xml:space="preserve">(i) </w:t>
      </w:r>
      <w:r w:rsidRPr="00412620">
        <w:rPr>
          <w:snapToGrid w:val="0"/>
          <w:sz w:val="20"/>
        </w:rPr>
        <w:tab/>
        <w:t>the transferee resident company shall own or acquire at</w:t>
      </w:r>
      <w:r w:rsidR="00743C08">
        <w:rPr>
          <w:snapToGrid w:val="0"/>
          <w:sz w:val="20"/>
        </w:rPr>
        <w:t xml:space="preserve"> </w:t>
      </w:r>
      <w:r w:rsidRPr="00412620">
        <w:rPr>
          <w:snapToGrid w:val="0"/>
          <w:sz w:val="20"/>
        </w:rPr>
        <w:t>least 75% of the share capital of the transferor company or the business in Pakistan of the transferor company;</w:t>
      </w:r>
      <w:r w:rsidRPr="00412620">
        <w:rPr>
          <w:snapToGrid w:val="0"/>
          <w:sz w:val="20"/>
        </w:rPr>
        <w:tab/>
      </w:r>
      <w:r w:rsidRPr="00412620">
        <w:rPr>
          <w:snapToGrid w:val="0"/>
          <w:sz w:val="20"/>
        </w:rPr>
        <w:tab/>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snapToGrid w:val="0"/>
          <w:sz w:val="20"/>
        </w:rPr>
        <w:tab/>
        <w:t xml:space="preserve">(ii) </w:t>
      </w:r>
      <w:r w:rsidRPr="00412620">
        <w:rPr>
          <w:snapToGrid w:val="0"/>
          <w:sz w:val="20"/>
        </w:rPr>
        <w:tab/>
        <w:t>the amalgamated company is a company incorporated in Pakistan;</w:t>
      </w:r>
    </w:p>
    <w:p w:rsidR="00AA4BF8" w:rsidRPr="00412620" w:rsidRDefault="00AA4BF8" w:rsidP="00AA4BF8">
      <w:pPr>
        <w:jc w:val="both"/>
        <w:rPr>
          <w:snapToGrid w:val="0"/>
          <w:sz w:val="20"/>
        </w:rPr>
      </w:pPr>
    </w:p>
    <w:p w:rsidR="00AA4BF8" w:rsidRPr="00412620" w:rsidRDefault="00AA4BF8" w:rsidP="00AA4BF8">
      <w:pPr>
        <w:ind w:left="1094" w:hanging="554"/>
        <w:jc w:val="both"/>
        <w:rPr>
          <w:snapToGrid w:val="0"/>
          <w:sz w:val="20"/>
        </w:rPr>
      </w:pPr>
      <w:r w:rsidRPr="00412620">
        <w:rPr>
          <w:snapToGrid w:val="0"/>
          <w:sz w:val="20"/>
        </w:rPr>
        <w:t xml:space="preserve">(iii) </w:t>
      </w:r>
      <w:r w:rsidRPr="00412620">
        <w:rPr>
          <w:snapToGrid w:val="0"/>
          <w:sz w:val="20"/>
        </w:rPr>
        <w:tab/>
        <w:t>the assets of the amalgamating company or companies immediately before the amalgamation become the assets of the amalgamated company by virtue of the amalgamation, otherwise than by purchase of such assets by the amalgamated company or as a result of distribution of such assets to the amalgamated company after the winding up of the amalgamating company or companies;</w:t>
      </w:r>
    </w:p>
    <w:p w:rsidR="00AA4BF8" w:rsidRPr="00412620" w:rsidRDefault="00AA4BF8" w:rsidP="00AA4BF8">
      <w:pPr>
        <w:jc w:val="both"/>
        <w:rPr>
          <w:snapToGrid w:val="0"/>
          <w:sz w:val="20"/>
        </w:rPr>
      </w:pPr>
    </w:p>
    <w:p w:rsidR="00AA4BF8" w:rsidRPr="00412620" w:rsidRDefault="00AA4BF8" w:rsidP="00AA4BF8">
      <w:pPr>
        <w:ind w:left="1094" w:hanging="554"/>
        <w:jc w:val="both"/>
        <w:rPr>
          <w:snapToGrid w:val="0"/>
          <w:sz w:val="20"/>
        </w:rPr>
      </w:pPr>
      <w:r w:rsidRPr="00412620">
        <w:rPr>
          <w:snapToGrid w:val="0"/>
          <w:sz w:val="20"/>
        </w:rPr>
        <w:t xml:space="preserve">(iv) </w:t>
      </w:r>
      <w:r w:rsidRPr="00412620">
        <w:rPr>
          <w:snapToGrid w:val="0"/>
          <w:sz w:val="20"/>
        </w:rPr>
        <w:tab/>
        <w:t>the liabilities of the amalgamating company or companies immediately before the amalgamation become the liabilities of the amalgamated company by virtue of the amalgamation; and</w:t>
      </w:r>
    </w:p>
    <w:p w:rsidR="00AA4BF8" w:rsidRPr="00412620" w:rsidRDefault="00AA4BF8" w:rsidP="00AA4BF8">
      <w:pPr>
        <w:jc w:val="both"/>
        <w:rPr>
          <w:snapToGrid w:val="0"/>
          <w:sz w:val="14"/>
          <w:szCs w:val="14"/>
        </w:rPr>
      </w:pPr>
    </w:p>
    <w:p w:rsidR="00AA4BF8" w:rsidRPr="00412620" w:rsidRDefault="00AA4BF8" w:rsidP="00AA4BF8">
      <w:pPr>
        <w:ind w:left="1094" w:hanging="554"/>
        <w:jc w:val="both"/>
        <w:rPr>
          <w:snapToGrid w:val="0"/>
          <w:sz w:val="20"/>
        </w:rPr>
      </w:pPr>
      <w:r w:rsidRPr="00412620">
        <w:rPr>
          <w:snapToGrid w:val="0"/>
          <w:sz w:val="20"/>
        </w:rPr>
        <w:t xml:space="preserve">(v) </w:t>
      </w:r>
      <w:r w:rsidRPr="00412620">
        <w:rPr>
          <w:snapToGrid w:val="0"/>
          <w:sz w:val="20"/>
        </w:rPr>
        <w:tab/>
        <w:t>the scheme of amalgamation is sanctioned by the State Bank of Pakistan, any court or authority as may be required under the law.]</w:t>
      </w:r>
    </w:p>
    <w:p w:rsidR="00AA4BF8" w:rsidRPr="00412620" w:rsidRDefault="00AA4BF8" w:rsidP="00AA4BF8">
      <w:pPr>
        <w:jc w:val="both"/>
        <w:rPr>
          <w:snapToGrid w:val="0"/>
          <w:sz w:val="20"/>
        </w:rPr>
      </w:pPr>
    </w:p>
    <w:p w:rsidR="00AA4BF8" w:rsidRPr="00412620" w:rsidRDefault="006A6A45" w:rsidP="00AA4BF8">
      <w:pPr>
        <w:jc w:val="both"/>
        <w:rPr>
          <w:snapToGrid w:val="0"/>
          <w:sz w:val="20"/>
        </w:rPr>
      </w:pPr>
      <w:r>
        <w:rPr>
          <w:rStyle w:val="FootnoteReference"/>
          <w:snapToGrid w:val="0"/>
          <w:sz w:val="20"/>
        </w:rPr>
        <w:lastRenderedPageBreak/>
        <w:footnoteReference w:id="2289"/>
      </w:r>
      <w:r>
        <w:rPr>
          <w:snapToGrid w:val="0"/>
          <w:sz w:val="20"/>
        </w:rPr>
        <w:t>[</w:t>
      </w:r>
      <w:r w:rsidR="00C87755">
        <w:rPr>
          <w:snapToGrid w:val="0"/>
          <w:sz w:val="20"/>
        </w:rPr>
        <w:t>(</w:t>
      </w:r>
      <w:r w:rsidR="00C87755" w:rsidRPr="00A06119">
        <w:rPr>
          <w:b/>
          <w:snapToGrid w:val="0"/>
          <w:sz w:val="20"/>
        </w:rPr>
        <w:t>63</w:t>
      </w:r>
      <w:r w:rsidR="00C87755">
        <w:rPr>
          <w:snapToGrid w:val="0"/>
          <w:sz w:val="20"/>
        </w:rPr>
        <w:t xml:space="preserve">)  M/s Dawat-e-Hadiya, Karachi shall be deemed to have been approved by the </w:t>
      </w:r>
      <w:r w:rsidR="00CF542D">
        <w:rPr>
          <w:snapToGrid w:val="0"/>
          <w:sz w:val="20"/>
        </w:rPr>
        <w:t>Commissioner</w:t>
      </w:r>
      <w:r w:rsidR="00C87755">
        <w:rPr>
          <w:snapToGrid w:val="0"/>
          <w:sz w:val="20"/>
        </w:rPr>
        <w:t xml:space="preserve"> for the purpose of sub-section </w:t>
      </w:r>
      <w:r w:rsidR="00CF542D">
        <w:rPr>
          <w:snapToGrid w:val="0"/>
          <w:sz w:val="20"/>
        </w:rPr>
        <w:t>(</w:t>
      </w:r>
      <w:r w:rsidR="00C87755">
        <w:rPr>
          <w:snapToGrid w:val="0"/>
          <w:sz w:val="20"/>
        </w:rPr>
        <w:t>36</w:t>
      </w:r>
      <w:r w:rsidR="00CF542D">
        <w:rPr>
          <w:snapToGrid w:val="0"/>
          <w:sz w:val="20"/>
        </w:rPr>
        <w:t>) of section 2 notwithstanding the provisions of clause (c) of sub-section (36) of section 2.</w:t>
      </w:r>
      <w:r w:rsidR="00AA4BF8" w:rsidRPr="00412620">
        <w:rPr>
          <w:snapToGrid w:val="0"/>
          <w:sz w:val="20"/>
        </w:rPr>
        <w:t>]</w:t>
      </w:r>
      <w:r>
        <w:rPr>
          <w:snapToGrid w:val="0"/>
          <w:sz w:val="20"/>
        </w:rPr>
        <w:t>]</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rStyle w:val="FootnoteReference"/>
          <w:rFonts w:cs="Arial"/>
          <w:snapToGrid w:val="0"/>
          <w:sz w:val="20"/>
        </w:rPr>
        <w:footnoteReference w:id="2290"/>
      </w:r>
      <w:r w:rsidRPr="00412620">
        <w:rPr>
          <w:snapToGrid w:val="0"/>
          <w:sz w:val="20"/>
        </w:rPr>
        <w:t>[  ]</w:t>
      </w:r>
    </w:p>
    <w:p w:rsidR="00AA4BF8" w:rsidRPr="00412620" w:rsidRDefault="00AA4BF8" w:rsidP="00AA4BF8">
      <w:pPr>
        <w:jc w:val="both"/>
        <w:rPr>
          <w:snapToGrid w:val="0"/>
          <w:sz w:val="20"/>
        </w:rPr>
      </w:pPr>
    </w:p>
    <w:p w:rsidR="00AA4BF8" w:rsidRPr="00412620" w:rsidRDefault="00AA4BF8" w:rsidP="00AA4BF8">
      <w:pPr>
        <w:jc w:val="both"/>
        <w:rPr>
          <w:sz w:val="20"/>
        </w:rPr>
      </w:pPr>
      <w:r w:rsidRPr="00412620">
        <w:rPr>
          <w:rStyle w:val="FootnoteReference"/>
          <w:rFonts w:cs="Arial"/>
          <w:snapToGrid w:val="0"/>
          <w:sz w:val="20"/>
        </w:rPr>
        <w:footnoteReference w:id="2291"/>
      </w:r>
      <w:r w:rsidRPr="00412620">
        <w:rPr>
          <w:snapToGrid w:val="0"/>
          <w:sz w:val="20"/>
        </w:rPr>
        <w:t>[</w:t>
      </w:r>
      <w:r w:rsidRPr="00412620">
        <w:rPr>
          <w:b/>
          <w:bCs/>
          <w:sz w:val="20"/>
        </w:rPr>
        <w:t>(65</w:t>
      </w:r>
      <w:r w:rsidRPr="00412620">
        <w:rPr>
          <w:snapToGrid w:val="0"/>
          <w:sz w:val="20"/>
        </w:rPr>
        <w:t>) Any income derived by a project, approved by Designated National Authority (DNA), from the transfer or sale of Clean Development Mechanism Credits i.e. Certified</w:t>
      </w:r>
      <w:r w:rsidRPr="00412620">
        <w:rPr>
          <w:sz w:val="20"/>
        </w:rPr>
        <w:t xml:space="preserve"> Emission Reductions, verified Emission Reductions.]</w:t>
      </w:r>
    </w:p>
    <w:p w:rsidR="00AA4BF8" w:rsidRPr="00412620" w:rsidRDefault="00AA4BF8" w:rsidP="00AA4BF8">
      <w:pPr>
        <w:jc w:val="both"/>
        <w:rPr>
          <w:sz w:val="20"/>
        </w:rPr>
      </w:pPr>
    </w:p>
    <w:p w:rsidR="00AA4BF8" w:rsidRPr="00412620" w:rsidRDefault="00AA4BF8" w:rsidP="00AA4BF8">
      <w:pPr>
        <w:spacing w:before="120" w:after="120"/>
        <w:jc w:val="both"/>
        <w:rPr>
          <w:snapToGrid w:val="0"/>
          <w:sz w:val="20"/>
        </w:rPr>
      </w:pPr>
      <w:r w:rsidRPr="00412620">
        <w:rPr>
          <w:rStyle w:val="FootnoteReference"/>
          <w:rFonts w:cs="Arial"/>
          <w:sz w:val="20"/>
        </w:rPr>
        <w:footnoteReference w:id="2292"/>
      </w:r>
      <w:r w:rsidRPr="00412620">
        <w:rPr>
          <w:sz w:val="20"/>
        </w:rPr>
        <w:t>[</w:t>
      </w:r>
      <w:r w:rsidRPr="00412620">
        <w:rPr>
          <w:b/>
          <w:bCs/>
          <w:sz w:val="20"/>
        </w:rPr>
        <w:t>(66)</w:t>
      </w:r>
      <w:r w:rsidRPr="00412620">
        <w:rPr>
          <w:sz w:val="20"/>
        </w:rPr>
        <w:tab/>
        <w:t xml:space="preserve">The </w:t>
      </w:r>
      <w:r w:rsidRPr="00412620">
        <w:rPr>
          <w:snapToGrid w:val="0"/>
          <w:sz w:val="20"/>
        </w:rPr>
        <w:t xml:space="preserve">provisions of section 235, shall not be applicable to the exporters-cum-manufacturers of </w:t>
      </w:r>
      <w:r w:rsidRPr="00412620">
        <w:rPr>
          <w:sz w:val="20"/>
        </w:rPr>
        <w:t>—</w:t>
      </w:r>
    </w:p>
    <w:p w:rsidR="00AA4BF8" w:rsidRPr="00412620" w:rsidRDefault="00AA4BF8" w:rsidP="00AA4BF8">
      <w:pPr>
        <w:spacing w:before="120" w:after="120"/>
        <w:jc w:val="both"/>
        <w:rPr>
          <w:snapToGrid w:val="0"/>
          <w:sz w:val="20"/>
        </w:rPr>
      </w:pPr>
      <w:r w:rsidRPr="00412620">
        <w:rPr>
          <w:snapToGrid w:val="0"/>
          <w:sz w:val="20"/>
        </w:rPr>
        <w:tab/>
      </w:r>
      <w:r w:rsidRPr="00412620">
        <w:rPr>
          <w:snapToGrid w:val="0"/>
          <w:sz w:val="20"/>
        </w:rPr>
        <w:tab/>
        <w:t>(a)</w:t>
      </w:r>
      <w:r w:rsidRPr="00412620">
        <w:rPr>
          <w:snapToGrid w:val="0"/>
          <w:sz w:val="20"/>
        </w:rPr>
        <w:tab/>
        <w:t>carpets;</w:t>
      </w:r>
    </w:p>
    <w:p w:rsidR="00AA4BF8" w:rsidRPr="00412620" w:rsidRDefault="00AA4BF8" w:rsidP="00AA4BF8">
      <w:pPr>
        <w:spacing w:before="120" w:after="120"/>
        <w:ind w:left="547" w:firstLine="547"/>
        <w:jc w:val="both"/>
        <w:rPr>
          <w:snapToGrid w:val="0"/>
          <w:sz w:val="20"/>
        </w:rPr>
      </w:pPr>
      <w:r w:rsidRPr="00412620">
        <w:rPr>
          <w:snapToGrid w:val="0"/>
          <w:sz w:val="20"/>
        </w:rPr>
        <w:t>(b)</w:t>
      </w:r>
      <w:r w:rsidRPr="00412620">
        <w:rPr>
          <w:snapToGrid w:val="0"/>
          <w:sz w:val="20"/>
        </w:rPr>
        <w:tab/>
        <w:t>leather and articles thereof including artificial leather footwear;</w:t>
      </w:r>
    </w:p>
    <w:p w:rsidR="00AA4BF8" w:rsidRPr="00412620" w:rsidRDefault="00AA4BF8" w:rsidP="00AA4BF8">
      <w:pPr>
        <w:spacing w:before="120" w:after="120"/>
        <w:ind w:left="547" w:firstLine="547"/>
        <w:jc w:val="both"/>
        <w:rPr>
          <w:snapToGrid w:val="0"/>
          <w:sz w:val="20"/>
        </w:rPr>
      </w:pPr>
      <w:r w:rsidRPr="00412620">
        <w:rPr>
          <w:snapToGrid w:val="0"/>
          <w:sz w:val="20"/>
        </w:rPr>
        <w:t>(c)</w:t>
      </w:r>
      <w:r w:rsidRPr="00412620">
        <w:rPr>
          <w:snapToGrid w:val="0"/>
          <w:sz w:val="20"/>
        </w:rPr>
        <w:tab/>
        <w:t>surgical goods;</w:t>
      </w:r>
    </w:p>
    <w:p w:rsidR="00AA4BF8" w:rsidRPr="00412620" w:rsidRDefault="00AA4BF8" w:rsidP="00AA4BF8">
      <w:pPr>
        <w:spacing w:before="120" w:after="120"/>
        <w:ind w:left="547" w:firstLine="547"/>
        <w:jc w:val="both"/>
        <w:rPr>
          <w:snapToGrid w:val="0"/>
          <w:sz w:val="20"/>
        </w:rPr>
      </w:pPr>
      <w:r w:rsidRPr="00412620">
        <w:rPr>
          <w:snapToGrid w:val="0"/>
          <w:sz w:val="20"/>
        </w:rPr>
        <w:t>(d)</w:t>
      </w:r>
      <w:r w:rsidRPr="00412620">
        <w:rPr>
          <w:snapToGrid w:val="0"/>
          <w:sz w:val="20"/>
        </w:rPr>
        <w:tab/>
        <w:t>sports goods; and</w:t>
      </w:r>
    </w:p>
    <w:p w:rsidR="00AA4BF8" w:rsidRPr="00412620" w:rsidRDefault="00AA4BF8" w:rsidP="00AA4BF8">
      <w:pPr>
        <w:spacing w:before="120" w:after="120"/>
        <w:ind w:left="547" w:firstLine="547"/>
        <w:jc w:val="both"/>
        <w:rPr>
          <w:sz w:val="20"/>
        </w:rPr>
      </w:pPr>
      <w:r w:rsidRPr="00412620">
        <w:rPr>
          <w:snapToGrid w:val="0"/>
          <w:sz w:val="20"/>
        </w:rPr>
        <w:t>(e)</w:t>
      </w:r>
      <w:r w:rsidRPr="00412620">
        <w:rPr>
          <w:snapToGrid w:val="0"/>
          <w:sz w:val="20"/>
        </w:rPr>
        <w:tab/>
        <w:t>textile</w:t>
      </w:r>
      <w:r w:rsidRPr="00412620">
        <w:rPr>
          <w:sz w:val="20"/>
        </w:rPr>
        <w:t xml:space="preserve"> and articles thereof.]</w:t>
      </w:r>
    </w:p>
    <w:p w:rsidR="00AA4BF8" w:rsidRDefault="00AA4BF8" w:rsidP="00AA4BF8">
      <w:pPr>
        <w:spacing w:before="120" w:after="120"/>
        <w:jc w:val="both"/>
        <w:rPr>
          <w:sz w:val="20"/>
        </w:rPr>
      </w:pPr>
      <w:r w:rsidRPr="00412620">
        <w:rPr>
          <w:rStyle w:val="FootnoteReference"/>
          <w:rFonts w:cs="Arial"/>
          <w:sz w:val="20"/>
        </w:rPr>
        <w:footnoteReference w:id="2293"/>
      </w:r>
      <w:r w:rsidRPr="00412620">
        <w:rPr>
          <w:sz w:val="20"/>
        </w:rPr>
        <w:t>[</w:t>
      </w:r>
      <w:r w:rsidRPr="00412620">
        <w:rPr>
          <w:b/>
          <w:bCs/>
          <w:sz w:val="20"/>
        </w:rPr>
        <w:t>(67)</w:t>
      </w:r>
      <w:r w:rsidRPr="00412620">
        <w:rPr>
          <w:sz w:val="20"/>
        </w:rPr>
        <w:tab/>
        <w:t>The provisions of sections 150, 151, 152, 153 and 233 shall not apply in respect of payments made to the International Finance Corporation established under the International Finance Corporation Act, 1956 (XXVII of 1956).]</w:t>
      </w:r>
    </w:p>
    <w:p w:rsidR="00D9635B" w:rsidRPr="003409C0" w:rsidRDefault="00D9635B" w:rsidP="00D9635B">
      <w:pPr>
        <w:autoSpaceDE w:val="0"/>
        <w:autoSpaceDN w:val="0"/>
        <w:adjustRightInd w:val="0"/>
        <w:jc w:val="both"/>
        <w:rPr>
          <w:color w:val="000000" w:themeColor="text1"/>
          <w:sz w:val="20"/>
        </w:rPr>
      </w:pPr>
      <w:r w:rsidRPr="003409C0">
        <w:rPr>
          <w:rStyle w:val="FootnoteReference"/>
          <w:color w:val="000000" w:themeColor="text1"/>
          <w:sz w:val="20"/>
        </w:rPr>
        <w:footnoteReference w:id="2294"/>
      </w:r>
      <w:r w:rsidRPr="003409C0">
        <w:rPr>
          <w:color w:val="000000" w:themeColor="text1"/>
          <w:sz w:val="20"/>
        </w:rPr>
        <w:t>[“</w:t>
      </w:r>
      <w:r w:rsidRPr="003409C0">
        <w:rPr>
          <w:rFonts w:cs="Arial"/>
          <w:color w:val="000000" w:themeColor="text1"/>
          <w:sz w:val="20"/>
          <w:lang w:val="en-US"/>
        </w:rPr>
        <w:t>(67A) The provisions of section 100B and Eighth</w:t>
      </w:r>
      <w:r w:rsidR="00716C91" w:rsidRPr="003409C0">
        <w:rPr>
          <w:rFonts w:cs="Arial"/>
          <w:color w:val="000000" w:themeColor="text1"/>
          <w:sz w:val="20"/>
          <w:lang w:val="en-US"/>
        </w:rPr>
        <w:t xml:space="preserve"> </w:t>
      </w:r>
      <w:r w:rsidRPr="003409C0">
        <w:rPr>
          <w:rFonts w:cs="Arial"/>
          <w:color w:val="000000" w:themeColor="text1"/>
          <w:sz w:val="20"/>
          <w:lang w:val="en-US"/>
        </w:rPr>
        <w:t>Schedule shall not apply to transactions carried on</w:t>
      </w:r>
      <w:r w:rsidR="00716C91" w:rsidRPr="003409C0">
        <w:rPr>
          <w:rFonts w:cs="Arial"/>
          <w:color w:val="000000" w:themeColor="text1"/>
          <w:sz w:val="20"/>
          <w:lang w:val="en-US"/>
        </w:rPr>
        <w:t xml:space="preserve"> </w:t>
      </w:r>
      <w:r w:rsidRPr="003409C0">
        <w:rPr>
          <w:rFonts w:cs="Arial"/>
          <w:color w:val="000000" w:themeColor="text1"/>
          <w:sz w:val="20"/>
          <w:lang w:val="en-US"/>
        </w:rPr>
        <w:t>upto 30th day of June, 2015, on any Stock Exchange</w:t>
      </w:r>
      <w:r w:rsidR="00716C91" w:rsidRPr="003409C0">
        <w:rPr>
          <w:rFonts w:cs="Arial"/>
          <w:color w:val="000000" w:themeColor="text1"/>
          <w:sz w:val="20"/>
          <w:lang w:val="en-US"/>
        </w:rPr>
        <w:t xml:space="preserve"> </w:t>
      </w:r>
      <w:r w:rsidRPr="003409C0">
        <w:rPr>
          <w:rFonts w:cs="Arial"/>
          <w:color w:val="000000" w:themeColor="text1"/>
          <w:sz w:val="20"/>
          <w:lang w:val="en-US"/>
        </w:rPr>
        <w:t>of Pakistan, by International Finance Corporation</w:t>
      </w:r>
      <w:r w:rsidR="00716C91" w:rsidRPr="003409C0">
        <w:rPr>
          <w:rFonts w:cs="Arial"/>
          <w:color w:val="000000" w:themeColor="text1"/>
          <w:sz w:val="20"/>
          <w:lang w:val="en-US"/>
        </w:rPr>
        <w:t xml:space="preserve"> </w:t>
      </w:r>
      <w:r w:rsidRPr="003409C0">
        <w:rPr>
          <w:rFonts w:cs="Arial"/>
          <w:color w:val="000000" w:themeColor="text1"/>
          <w:sz w:val="20"/>
          <w:lang w:val="en-US"/>
        </w:rPr>
        <w:t>established under the International Finance</w:t>
      </w:r>
      <w:r w:rsidR="00716C91" w:rsidRPr="003409C0">
        <w:rPr>
          <w:rFonts w:cs="Arial"/>
          <w:color w:val="000000" w:themeColor="text1"/>
          <w:sz w:val="20"/>
          <w:lang w:val="en-US"/>
        </w:rPr>
        <w:t xml:space="preserve"> </w:t>
      </w:r>
      <w:r w:rsidRPr="003409C0">
        <w:rPr>
          <w:rFonts w:cs="Arial"/>
          <w:color w:val="000000" w:themeColor="text1"/>
          <w:sz w:val="20"/>
          <w:lang w:val="en-US"/>
        </w:rPr>
        <w:t>Corporation Act, 1956 (XXVIII of 1956).”]</w:t>
      </w:r>
    </w:p>
    <w:p w:rsidR="00AA4BF8" w:rsidRPr="00412620" w:rsidRDefault="00AA4BF8" w:rsidP="00AA4BF8">
      <w:pPr>
        <w:spacing w:before="120" w:after="120"/>
        <w:jc w:val="both"/>
        <w:rPr>
          <w:sz w:val="20"/>
        </w:rPr>
      </w:pPr>
      <w:r w:rsidRPr="00412620">
        <w:rPr>
          <w:rStyle w:val="FootnoteReference"/>
          <w:rFonts w:cs="Arial"/>
          <w:sz w:val="20"/>
        </w:rPr>
        <w:footnoteReference w:id="2295"/>
      </w:r>
      <w:r w:rsidRPr="00412620">
        <w:rPr>
          <w:sz w:val="20"/>
        </w:rPr>
        <w:t>[</w:t>
      </w:r>
      <w:r w:rsidRPr="00412620">
        <w:rPr>
          <w:b/>
          <w:bCs/>
          <w:sz w:val="20"/>
        </w:rPr>
        <w:t>(68)</w:t>
      </w:r>
      <w:r w:rsidRPr="00412620">
        <w:rPr>
          <w:sz w:val="20"/>
        </w:rPr>
        <w:tab/>
        <w:t>The provisions of sections 151, 153 and 155 shall not apply in respect of payments made to the Pakistan Domestic Sukuk Company Ltd.]</w:t>
      </w:r>
    </w:p>
    <w:p w:rsidR="00AA4BF8" w:rsidRPr="00412620" w:rsidRDefault="00AA4BF8" w:rsidP="00AA4BF8">
      <w:pPr>
        <w:spacing w:before="120" w:after="120"/>
        <w:jc w:val="both"/>
        <w:rPr>
          <w:sz w:val="20"/>
        </w:rPr>
      </w:pPr>
      <w:r w:rsidRPr="00412620">
        <w:rPr>
          <w:rStyle w:val="FootnoteReference"/>
          <w:rFonts w:cs="Arial"/>
          <w:sz w:val="20"/>
        </w:rPr>
        <w:footnoteReference w:id="2296"/>
      </w:r>
      <w:r w:rsidRPr="00412620">
        <w:rPr>
          <w:sz w:val="20"/>
        </w:rPr>
        <w:t>[</w:t>
      </w:r>
      <w:r w:rsidRPr="00412620">
        <w:rPr>
          <w:b/>
          <w:bCs/>
          <w:sz w:val="20"/>
        </w:rPr>
        <w:t>(69)</w:t>
      </w:r>
      <w:r w:rsidRPr="00412620">
        <w:rPr>
          <w:sz w:val="20"/>
        </w:rPr>
        <w:tab/>
        <w:t>The provisions of sections 150, 151, 152, 153 and 233 shall not apply in respect of payments made to the Asian Development Bank established under the Asian Development Bank Ordinance, 1971 (IX of 1971).]</w:t>
      </w:r>
    </w:p>
    <w:p w:rsidR="00AA4BF8" w:rsidRPr="00412620" w:rsidRDefault="00AA4BF8" w:rsidP="00AA4BF8">
      <w:pPr>
        <w:spacing w:before="120" w:after="120"/>
        <w:jc w:val="both"/>
        <w:rPr>
          <w:sz w:val="20"/>
        </w:rPr>
      </w:pPr>
      <w:r w:rsidRPr="00412620">
        <w:rPr>
          <w:rStyle w:val="FootnoteReference"/>
          <w:rFonts w:cs="Arial"/>
          <w:sz w:val="20"/>
        </w:rPr>
        <w:lastRenderedPageBreak/>
        <w:footnoteReference w:id="2297"/>
      </w:r>
      <w:r w:rsidRPr="00412620">
        <w:rPr>
          <w:sz w:val="20"/>
        </w:rPr>
        <w:t>[</w:t>
      </w:r>
      <w:r w:rsidRPr="00412620">
        <w:rPr>
          <w:b/>
          <w:bCs/>
          <w:sz w:val="20"/>
        </w:rPr>
        <w:t>(70)</w:t>
      </w:r>
      <w:r w:rsidRPr="00412620">
        <w:rPr>
          <w:sz w:val="20"/>
        </w:rPr>
        <w:tab/>
        <w:t>The provisions of section 148, regarding withholding tax on imports, shall not apply in respect of goods or classes of goods for the execution of contract, imported by contractors and sub-contractors engaged in the execution of power project under the agreement between the Islamic Republic of Pakistan and HUB Power Company Limited.]</w:t>
      </w:r>
    </w:p>
    <w:p w:rsidR="00AA4BF8" w:rsidRPr="00412620" w:rsidRDefault="00AA4BF8" w:rsidP="00AA4BF8">
      <w:pPr>
        <w:spacing w:before="120" w:after="120"/>
        <w:jc w:val="both"/>
        <w:rPr>
          <w:sz w:val="20"/>
        </w:rPr>
      </w:pPr>
      <w:r w:rsidRPr="00412620">
        <w:rPr>
          <w:rStyle w:val="FootnoteReference"/>
          <w:rFonts w:cs="Arial"/>
          <w:sz w:val="20"/>
        </w:rPr>
        <w:footnoteReference w:id="2298"/>
      </w:r>
      <w:r w:rsidRPr="00412620">
        <w:rPr>
          <w:sz w:val="20"/>
        </w:rPr>
        <w:t>[</w:t>
      </w:r>
      <w:r w:rsidRPr="00412620">
        <w:rPr>
          <w:b/>
          <w:bCs/>
          <w:sz w:val="20"/>
        </w:rPr>
        <w:t>(71)</w:t>
      </w:r>
      <w:r w:rsidRPr="00412620">
        <w:rPr>
          <w:sz w:val="20"/>
        </w:rPr>
        <w:tab/>
        <w:t>The provisions of this Ordinance shall not be applicable to the M/s TAISEI Corporation under the agreement between National Highway Authority, GOP, which falls under the zero rated regime of sales tax and registered with sales tax in respect of supply of products, services and equipment.]</w:t>
      </w:r>
    </w:p>
    <w:p w:rsidR="00AA4BF8" w:rsidRPr="00412620" w:rsidRDefault="00AA4BF8" w:rsidP="00AA4BF8">
      <w:pPr>
        <w:pStyle w:val="Header"/>
        <w:tabs>
          <w:tab w:val="left" w:pos="547"/>
        </w:tabs>
        <w:jc w:val="both"/>
        <w:rPr>
          <w:snapToGrid w:val="0"/>
          <w:sz w:val="20"/>
        </w:rPr>
      </w:pPr>
      <w:r w:rsidRPr="00412620">
        <w:rPr>
          <w:rStyle w:val="FootnoteReference"/>
          <w:rFonts w:cs="Arial"/>
          <w:sz w:val="20"/>
        </w:rPr>
        <w:footnoteReference w:id="2299"/>
      </w:r>
      <w:r w:rsidRPr="00412620">
        <w:rPr>
          <w:sz w:val="20"/>
        </w:rPr>
        <w:t>[</w:t>
      </w:r>
      <w:r w:rsidRPr="00412620">
        <w:rPr>
          <w:b/>
          <w:bCs/>
          <w:sz w:val="20"/>
        </w:rPr>
        <w:t>(72)</w:t>
      </w:r>
      <w:r w:rsidRPr="00412620">
        <w:rPr>
          <w:sz w:val="20"/>
        </w:rPr>
        <w:tab/>
        <w:t xml:space="preserve">The provisions of sections 150, 151, 152, 153 and 233 shall not apply in </w:t>
      </w:r>
      <w:r w:rsidRPr="00412620">
        <w:rPr>
          <w:snapToGrid w:val="0"/>
          <w:sz w:val="20"/>
        </w:rPr>
        <w:t>respect of payments made to The ECO Trade and Development Bank.]</w:t>
      </w:r>
    </w:p>
    <w:p w:rsidR="00AA4BF8" w:rsidRPr="00412620" w:rsidRDefault="00AA4BF8" w:rsidP="00AA4BF8">
      <w:pPr>
        <w:pStyle w:val="Header"/>
        <w:tabs>
          <w:tab w:val="left" w:pos="547"/>
        </w:tabs>
        <w:jc w:val="both"/>
        <w:rPr>
          <w:snapToGrid w:val="0"/>
          <w:sz w:val="20"/>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300"/>
      </w:r>
      <w:r w:rsidRPr="00412620">
        <w:rPr>
          <w:snapToGrid w:val="0"/>
          <w:sz w:val="20"/>
        </w:rPr>
        <w:t>[</w:t>
      </w:r>
      <w:r w:rsidRPr="00412620">
        <w:rPr>
          <w:b/>
          <w:bCs/>
          <w:snapToGrid w:val="0"/>
          <w:sz w:val="20"/>
        </w:rPr>
        <w:t>(72A)</w:t>
      </w:r>
      <w:r w:rsidRPr="00412620">
        <w:rPr>
          <w:snapToGrid w:val="0"/>
          <w:sz w:val="20"/>
        </w:rPr>
        <w:t xml:space="preserve"> The provisions of clause (l) and section 21, sections 113 and 152 shall not apply in case of a Hajj Group Operator in respect of Hajj operations provided that the tax has been paid at the rate of Rs.3,500 per Hajji for the tax year 2013 and Rs.5,000 per Hajji for the tax year 2014</w:t>
      </w:r>
      <w:r w:rsidR="00D33427">
        <w:rPr>
          <w:snapToGrid w:val="0"/>
          <w:sz w:val="20"/>
        </w:rPr>
        <w:t xml:space="preserve"> </w:t>
      </w:r>
      <w:r w:rsidR="00CD4B03" w:rsidRPr="003409C0">
        <w:rPr>
          <w:rStyle w:val="FootnoteReference"/>
          <w:snapToGrid w:val="0"/>
          <w:color w:val="000000" w:themeColor="text1"/>
          <w:sz w:val="20"/>
        </w:rPr>
        <w:footnoteReference w:id="2301"/>
      </w:r>
      <w:r w:rsidR="00CD4B03" w:rsidRPr="003409C0">
        <w:rPr>
          <w:snapToGrid w:val="0"/>
          <w:color w:val="000000" w:themeColor="text1"/>
          <w:sz w:val="20"/>
        </w:rPr>
        <w:t>[</w:t>
      </w:r>
      <w:r w:rsidR="00D33427">
        <w:rPr>
          <w:snapToGrid w:val="0"/>
          <w:color w:val="984806" w:themeColor="accent6" w:themeShade="80"/>
          <w:sz w:val="20"/>
        </w:rPr>
        <w:t xml:space="preserve"> </w:t>
      </w:r>
      <w:r w:rsidR="00D33427" w:rsidRPr="000E5E48">
        <w:rPr>
          <w:rStyle w:val="FootnoteReference"/>
          <w:snapToGrid w:val="0"/>
          <w:color w:val="0070C0"/>
          <w:sz w:val="20"/>
        </w:rPr>
        <w:footnoteReference w:id="2302"/>
      </w:r>
      <w:r w:rsidR="00D33427" w:rsidRPr="000E5E48">
        <w:rPr>
          <w:snapToGrid w:val="0"/>
          <w:color w:val="0070C0"/>
          <w:sz w:val="20"/>
        </w:rPr>
        <w:t>[to 2016]</w:t>
      </w:r>
      <w:r w:rsidR="00D33427">
        <w:rPr>
          <w:snapToGrid w:val="0"/>
          <w:color w:val="984806" w:themeColor="accent6" w:themeShade="80"/>
          <w:sz w:val="20"/>
        </w:rPr>
        <w:t xml:space="preserve"> </w:t>
      </w:r>
      <w:r w:rsidR="00CD4B03" w:rsidRPr="003409C0">
        <w:rPr>
          <w:snapToGrid w:val="0"/>
          <w:color w:val="000000" w:themeColor="text1"/>
          <w:sz w:val="20"/>
        </w:rPr>
        <w:t>]</w:t>
      </w:r>
      <w:r w:rsidRPr="00412620">
        <w:rPr>
          <w:snapToGrid w:val="0"/>
          <w:sz w:val="20"/>
        </w:rPr>
        <w:t xml:space="preserve"> in respect of income from Hajj operations.]</w:t>
      </w:r>
    </w:p>
    <w:p w:rsidR="00AA4BF8" w:rsidRPr="00412620" w:rsidRDefault="00AA4BF8" w:rsidP="00AA4BF8">
      <w:pPr>
        <w:pStyle w:val="Header"/>
        <w:tabs>
          <w:tab w:val="left" w:pos="547"/>
        </w:tabs>
        <w:jc w:val="both"/>
        <w:rPr>
          <w:snapToGrid w:val="0"/>
          <w:sz w:val="20"/>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303"/>
      </w:r>
      <w:r w:rsidRPr="00412620">
        <w:rPr>
          <w:snapToGrid w:val="0"/>
          <w:sz w:val="20"/>
        </w:rPr>
        <w:t>[</w:t>
      </w:r>
      <w:r w:rsidRPr="00412620">
        <w:rPr>
          <w:b/>
          <w:bCs/>
          <w:snapToGrid w:val="0"/>
          <w:sz w:val="20"/>
        </w:rPr>
        <w:t>(72B)</w:t>
      </w:r>
      <w:r w:rsidRPr="00412620">
        <w:rPr>
          <w:snapToGrid w:val="0"/>
          <w:sz w:val="20"/>
        </w:rPr>
        <w:t xml:space="preserve"> The provisions of section 148 shall not apply to an industrial undertaking if the tax liability for the current tax year, on the basis of determined tax liability for any of the preceding two tax years, whichever is the higher, has been paid and a certificate to this effect is issued by the concerned Commissioner.]</w:t>
      </w:r>
    </w:p>
    <w:p w:rsidR="00AA4BF8" w:rsidRDefault="00AA4BF8" w:rsidP="00AA4BF8">
      <w:pPr>
        <w:pStyle w:val="Header"/>
        <w:tabs>
          <w:tab w:val="left" w:pos="547"/>
        </w:tabs>
        <w:jc w:val="both"/>
        <w:rPr>
          <w:snapToGrid w:val="0"/>
          <w:sz w:val="20"/>
        </w:rPr>
      </w:pPr>
    </w:p>
    <w:p w:rsidR="00AA4BF8" w:rsidRDefault="00AA4BF8" w:rsidP="00F9084A">
      <w:pPr>
        <w:pStyle w:val="Header"/>
        <w:tabs>
          <w:tab w:val="clear" w:pos="4320"/>
          <w:tab w:val="clear" w:pos="8640"/>
        </w:tabs>
        <w:ind w:left="547" w:firstLine="848"/>
        <w:jc w:val="both"/>
        <w:rPr>
          <w:snapToGrid w:val="0"/>
          <w:color w:val="000000" w:themeColor="text1"/>
          <w:sz w:val="20"/>
        </w:rPr>
      </w:pPr>
      <w:r w:rsidRPr="00F852EB">
        <w:rPr>
          <w:snapToGrid w:val="0"/>
          <w:color w:val="000000" w:themeColor="text1"/>
          <w:sz w:val="20"/>
        </w:rPr>
        <w:t xml:space="preserve">Provided that the certificate shall only be issued by </w:t>
      </w:r>
      <w:r w:rsidR="001008EA" w:rsidRPr="00F852EB">
        <w:rPr>
          <w:snapToGrid w:val="0"/>
          <w:color w:val="000000" w:themeColor="text1"/>
          <w:sz w:val="20"/>
        </w:rPr>
        <w:t>the C</w:t>
      </w:r>
      <w:r w:rsidRPr="00F852EB">
        <w:rPr>
          <w:snapToGrid w:val="0"/>
          <w:color w:val="000000" w:themeColor="text1"/>
          <w:sz w:val="20"/>
        </w:rPr>
        <w:t>ommissioner if an application for the said certificate is filed before the Commissioner, in the manner and after fulfilling the conditions as specified by notification in the official Gazette, issued by the Board for the purpose of this clause</w:t>
      </w:r>
      <w:r w:rsidR="00852912">
        <w:rPr>
          <w:snapToGrid w:val="0"/>
          <w:color w:val="000000" w:themeColor="text1"/>
          <w:sz w:val="20"/>
        </w:rPr>
        <w:t xml:space="preserve"> </w:t>
      </w:r>
      <w:r w:rsidR="00852912" w:rsidRPr="000E5E48">
        <w:rPr>
          <w:rStyle w:val="FootnoteReference"/>
          <w:snapToGrid w:val="0"/>
          <w:color w:val="0070C0"/>
          <w:sz w:val="20"/>
        </w:rPr>
        <w:footnoteReference w:id="2304"/>
      </w:r>
      <w:r w:rsidR="00852912" w:rsidRPr="000E5E48">
        <w:rPr>
          <w:snapToGrid w:val="0"/>
          <w:color w:val="0070C0"/>
          <w:sz w:val="20"/>
        </w:rPr>
        <w:t>[:]</w:t>
      </w:r>
      <w:r w:rsidR="00852912">
        <w:rPr>
          <w:snapToGrid w:val="0"/>
          <w:color w:val="000000" w:themeColor="text1"/>
          <w:sz w:val="20"/>
        </w:rPr>
        <w:t xml:space="preserve"> </w:t>
      </w:r>
      <w:r w:rsidRPr="00F852EB">
        <w:rPr>
          <w:snapToGrid w:val="0"/>
          <w:color w:val="000000" w:themeColor="text1"/>
          <w:sz w:val="20"/>
        </w:rPr>
        <w:t>]</w:t>
      </w:r>
    </w:p>
    <w:p w:rsidR="00852912" w:rsidRDefault="00852912" w:rsidP="00F9084A">
      <w:pPr>
        <w:pStyle w:val="Header"/>
        <w:tabs>
          <w:tab w:val="clear" w:pos="4320"/>
          <w:tab w:val="clear" w:pos="8640"/>
        </w:tabs>
        <w:ind w:left="547" w:firstLine="848"/>
        <w:jc w:val="both"/>
        <w:rPr>
          <w:snapToGrid w:val="0"/>
          <w:color w:val="000000" w:themeColor="text1"/>
          <w:sz w:val="20"/>
        </w:rPr>
      </w:pPr>
    </w:p>
    <w:p w:rsidR="00852912" w:rsidRPr="000E5E48" w:rsidRDefault="00852912" w:rsidP="00852912">
      <w:pPr>
        <w:pStyle w:val="Header"/>
        <w:tabs>
          <w:tab w:val="clear" w:pos="4320"/>
          <w:tab w:val="clear" w:pos="8640"/>
        </w:tabs>
        <w:ind w:left="540" w:firstLine="810"/>
        <w:jc w:val="both"/>
        <w:rPr>
          <w:rFonts w:cs="Arial"/>
          <w:snapToGrid w:val="0"/>
          <w:color w:val="0070C0"/>
          <w:sz w:val="20"/>
        </w:rPr>
      </w:pPr>
      <w:r w:rsidRPr="000E5E48">
        <w:rPr>
          <w:rStyle w:val="FootnoteReference"/>
          <w:rFonts w:cs="Arial"/>
          <w:color w:val="0070C0"/>
          <w:sz w:val="20"/>
        </w:rPr>
        <w:footnoteReference w:id="2305"/>
      </w:r>
      <w:r w:rsidRPr="000E5E48">
        <w:rPr>
          <w:rFonts w:cs="Arial"/>
          <w:color w:val="0070C0"/>
          <w:sz w:val="20"/>
        </w:rPr>
        <w:t>[“</w:t>
      </w:r>
      <w:r w:rsidRPr="000E5E48">
        <w:rPr>
          <w:rFonts w:cs="Arial"/>
          <w:snapToGrid w:val="0"/>
          <w:color w:val="0070C0"/>
          <w:sz w:val="20"/>
        </w:rPr>
        <w:t>Provided further that the quantity of raw material to be imported which is sought to be exempted from tax under section 148 shall not exceed 110 per cent of the quantity of raw material imported and consumed during the previous tax year:</w:t>
      </w:r>
    </w:p>
    <w:p w:rsidR="00852912" w:rsidRPr="000E5E48" w:rsidRDefault="00852912" w:rsidP="00852912">
      <w:pPr>
        <w:pStyle w:val="Header"/>
        <w:tabs>
          <w:tab w:val="clear" w:pos="4320"/>
          <w:tab w:val="clear" w:pos="8640"/>
        </w:tabs>
        <w:ind w:left="3600" w:firstLine="720"/>
        <w:jc w:val="both"/>
        <w:rPr>
          <w:rFonts w:cs="Arial"/>
          <w:snapToGrid w:val="0"/>
          <w:color w:val="0070C0"/>
          <w:sz w:val="20"/>
        </w:rPr>
      </w:pPr>
    </w:p>
    <w:p w:rsidR="00852912" w:rsidRPr="000E5E48" w:rsidRDefault="00852912" w:rsidP="00852912">
      <w:pPr>
        <w:pStyle w:val="Header"/>
        <w:tabs>
          <w:tab w:val="clear" w:pos="4320"/>
          <w:tab w:val="clear" w:pos="8640"/>
        </w:tabs>
        <w:ind w:left="540" w:firstLine="810"/>
        <w:jc w:val="both"/>
        <w:rPr>
          <w:rFonts w:cs="Arial"/>
          <w:snapToGrid w:val="0"/>
          <w:color w:val="0070C0"/>
          <w:sz w:val="20"/>
        </w:rPr>
      </w:pPr>
      <w:r w:rsidRPr="000E5E48">
        <w:rPr>
          <w:rFonts w:cs="Arial"/>
          <w:color w:val="0070C0"/>
          <w:sz w:val="20"/>
        </w:rPr>
        <w:t>Provided also that the Commissioner shall conduct audit of taxpayer’s accounts during the financial year in which the certificate</w:t>
      </w:r>
      <w:r w:rsidRPr="000E5E48">
        <w:rPr>
          <w:rFonts w:cs="Arial"/>
          <w:snapToGrid w:val="0"/>
          <w:color w:val="0070C0"/>
          <w:sz w:val="20"/>
        </w:rPr>
        <w:t xml:space="preserve"> is </w:t>
      </w:r>
      <w:r w:rsidRPr="000E5E48">
        <w:rPr>
          <w:rFonts w:cs="Arial"/>
          <w:snapToGrid w:val="0"/>
          <w:color w:val="0070C0"/>
          <w:sz w:val="20"/>
        </w:rPr>
        <w:lastRenderedPageBreak/>
        <w:t>issued in respect of consumption, production and sales of the latest tax year for which return has been filed and the taxpayer shall be treated to have been selected for audit under section 214C:</w:t>
      </w:r>
    </w:p>
    <w:p w:rsidR="00852912" w:rsidRPr="000E5E48" w:rsidRDefault="00852912" w:rsidP="00852912">
      <w:pPr>
        <w:pStyle w:val="Header"/>
        <w:tabs>
          <w:tab w:val="clear" w:pos="4320"/>
          <w:tab w:val="clear" w:pos="8640"/>
        </w:tabs>
        <w:ind w:left="3600" w:firstLine="720"/>
        <w:jc w:val="both"/>
        <w:rPr>
          <w:rFonts w:cs="Arial"/>
          <w:snapToGrid w:val="0"/>
          <w:color w:val="0070C0"/>
          <w:sz w:val="20"/>
        </w:rPr>
      </w:pPr>
    </w:p>
    <w:p w:rsidR="00852912" w:rsidRPr="000E5E48" w:rsidRDefault="00852912" w:rsidP="00852912">
      <w:pPr>
        <w:pStyle w:val="Header"/>
        <w:tabs>
          <w:tab w:val="clear" w:pos="4320"/>
          <w:tab w:val="clear" w:pos="8640"/>
        </w:tabs>
        <w:ind w:left="547" w:firstLine="848"/>
        <w:jc w:val="both"/>
        <w:rPr>
          <w:snapToGrid w:val="0"/>
          <w:color w:val="0070C0"/>
          <w:sz w:val="20"/>
        </w:rPr>
      </w:pPr>
      <w:r w:rsidRPr="000E5E48">
        <w:rPr>
          <w:rFonts w:cs="Arial"/>
          <w:color w:val="0070C0"/>
          <w:sz w:val="20"/>
        </w:rPr>
        <w:t>Provided</w:t>
      </w:r>
      <w:r w:rsidRPr="000E5E48">
        <w:rPr>
          <w:rFonts w:cs="Arial"/>
          <w:snapToGrid w:val="0"/>
          <w:color w:val="0070C0"/>
          <w:sz w:val="20"/>
        </w:rPr>
        <w:t xml:space="preserve"> also if the taxpayer fails to present accounts or documents to the Commissioner or the </w:t>
      </w:r>
      <w:r w:rsidRPr="000E5E48">
        <w:rPr>
          <w:rFonts w:cs="Arial"/>
          <w:color w:val="0070C0"/>
          <w:sz w:val="20"/>
        </w:rPr>
        <w:t>officer authorized by the Commissioner,</w:t>
      </w:r>
      <w:r w:rsidRPr="000E5E48">
        <w:rPr>
          <w:rFonts w:cs="Arial"/>
          <w:snapToGrid w:val="0"/>
          <w:color w:val="0070C0"/>
          <w:sz w:val="20"/>
        </w:rPr>
        <w:t xml:space="preserve"> the Commissioner shall, by an order in writing, cancel the certificate issued and shall proceed to recover the tax not collected under section 148 for the period prior to such cancellation and all the provisions of the Ordinance shall apply accordingly.”]</w:t>
      </w:r>
    </w:p>
    <w:p w:rsidR="00AA4BF8" w:rsidRPr="0036153F" w:rsidRDefault="00AA4BF8" w:rsidP="00AA4BF8">
      <w:pPr>
        <w:pStyle w:val="Header"/>
        <w:tabs>
          <w:tab w:val="left" w:pos="547"/>
        </w:tabs>
        <w:jc w:val="both"/>
        <w:rPr>
          <w:snapToGrid w:val="0"/>
          <w:color w:val="0070C0"/>
          <w:sz w:val="20"/>
        </w:rPr>
      </w:pPr>
    </w:p>
    <w:p w:rsidR="00AA4BF8" w:rsidRPr="00412620" w:rsidRDefault="00AA4BF8" w:rsidP="00AA4BF8">
      <w:pPr>
        <w:pStyle w:val="Header"/>
        <w:tabs>
          <w:tab w:val="left" w:pos="547"/>
        </w:tabs>
        <w:jc w:val="both"/>
        <w:rPr>
          <w:snapToGrid w:val="0"/>
          <w:sz w:val="20"/>
        </w:rPr>
      </w:pPr>
      <w:r w:rsidRPr="00412620">
        <w:rPr>
          <w:rStyle w:val="FootnoteReference"/>
          <w:rFonts w:cs="Arial"/>
          <w:snapToGrid w:val="0"/>
          <w:sz w:val="20"/>
        </w:rPr>
        <w:footnoteReference w:id="2306"/>
      </w:r>
      <w:r w:rsidRPr="00412620">
        <w:rPr>
          <w:snapToGrid w:val="0"/>
          <w:sz w:val="20"/>
        </w:rPr>
        <w:t>[</w:t>
      </w:r>
      <w:r w:rsidRPr="00412620">
        <w:rPr>
          <w:b/>
          <w:bCs/>
          <w:snapToGrid w:val="0"/>
          <w:sz w:val="20"/>
        </w:rPr>
        <w:t>(73)</w:t>
      </w:r>
      <w:r w:rsidRPr="00412620">
        <w:rPr>
          <w:snapToGrid w:val="0"/>
          <w:sz w:val="20"/>
        </w:rPr>
        <w:t xml:space="preserve"> To mitigate part of the cost of obtaining foreign support to fill productivity gap, income tax payable by a foreign expert shall be exempted provided that such expert is acquired with the prior approval of the Ministry of Textile Industry.]</w:t>
      </w:r>
    </w:p>
    <w:p w:rsidR="00AA4BF8" w:rsidRPr="00412620" w:rsidRDefault="00AA4BF8" w:rsidP="00AA4BF8">
      <w:pPr>
        <w:pStyle w:val="Header"/>
        <w:tabs>
          <w:tab w:val="left" w:pos="547"/>
        </w:tabs>
        <w:jc w:val="both"/>
        <w:rPr>
          <w:snapToGrid w:val="0"/>
          <w:sz w:val="20"/>
        </w:rPr>
      </w:pPr>
    </w:p>
    <w:p w:rsidR="00AA4BF8" w:rsidRPr="00412620" w:rsidRDefault="00AA4BF8" w:rsidP="00AA4BF8">
      <w:pPr>
        <w:pStyle w:val="Header"/>
        <w:tabs>
          <w:tab w:val="clear" w:pos="4320"/>
        </w:tabs>
        <w:jc w:val="both"/>
        <w:rPr>
          <w:snapToGrid w:val="0"/>
          <w:sz w:val="20"/>
        </w:rPr>
      </w:pPr>
      <w:r w:rsidRPr="00412620">
        <w:rPr>
          <w:rStyle w:val="FootnoteReference"/>
          <w:rFonts w:cs="Arial"/>
          <w:snapToGrid w:val="0"/>
          <w:sz w:val="20"/>
        </w:rPr>
        <w:footnoteReference w:id="2307"/>
      </w:r>
      <w:r w:rsidRPr="00412620">
        <w:rPr>
          <w:snapToGrid w:val="0"/>
          <w:sz w:val="20"/>
        </w:rPr>
        <w:t>[</w:t>
      </w:r>
      <w:r w:rsidRPr="00412620">
        <w:rPr>
          <w:b/>
          <w:bCs/>
          <w:snapToGrid w:val="0"/>
          <w:sz w:val="20"/>
        </w:rPr>
        <w:t>(74)</w:t>
      </w:r>
      <w:r w:rsidRPr="00412620">
        <w:rPr>
          <w:snapToGrid w:val="0"/>
          <w:sz w:val="20"/>
        </w:rPr>
        <w:t xml:space="preserve"> The provisions of sub-section (8) of section 22 shall not apply to Civil Aviation Authority (CAA) in respect of the asset transferred for the purpose of the </w:t>
      </w:r>
      <w:r w:rsidRPr="00412620">
        <w:rPr>
          <w:i/>
          <w:iCs/>
          <w:snapToGrid w:val="0"/>
          <w:sz w:val="20"/>
        </w:rPr>
        <w:t>ijara</w:t>
      </w:r>
      <w:r w:rsidRPr="00412620">
        <w:rPr>
          <w:snapToGrid w:val="0"/>
          <w:sz w:val="20"/>
        </w:rPr>
        <w:t xml:space="preserve"> agreement between Pakistan Domestic </w:t>
      </w:r>
      <w:r w:rsidRPr="00412620">
        <w:rPr>
          <w:i/>
          <w:iCs/>
          <w:snapToGrid w:val="0"/>
          <w:sz w:val="20"/>
        </w:rPr>
        <w:t>Sukuk</w:t>
      </w:r>
      <w:r w:rsidRPr="00412620">
        <w:rPr>
          <w:snapToGrid w:val="0"/>
          <w:sz w:val="20"/>
        </w:rPr>
        <w:t xml:space="preserve"> Company Limited and the Federal Government.]</w:t>
      </w:r>
    </w:p>
    <w:p w:rsidR="00AA4BF8" w:rsidRPr="00F9084A" w:rsidRDefault="00AA4BF8" w:rsidP="00AA4BF8">
      <w:pPr>
        <w:pStyle w:val="Header"/>
        <w:tabs>
          <w:tab w:val="left" w:pos="547"/>
        </w:tabs>
        <w:jc w:val="both"/>
        <w:rPr>
          <w:snapToGrid w:val="0"/>
          <w:sz w:val="12"/>
          <w:szCs w:val="12"/>
        </w:rPr>
      </w:pPr>
    </w:p>
    <w:p w:rsidR="00AA4BF8" w:rsidRPr="00412620" w:rsidRDefault="00AA4BF8" w:rsidP="00AA4BF8">
      <w:pPr>
        <w:pStyle w:val="Header"/>
        <w:tabs>
          <w:tab w:val="clear" w:pos="4320"/>
        </w:tabs>
        <w:jc w:val="both"/>
        <w:rPr>
          <w:snapToGrid w:val="0"/>
          <w:sz w:val="20"/>
        </w:rPr>
      </w:pPr>
      <w:r w:rsidRPr="00412620">
        <w:rPr>
          <w:rStyle w:val="FootnoteReference"/>
          <w:rFonts w:cs="Arial"/>
          <w:snapToGrid w:val="0"/>
          <w:sz w:val="20"/>
        </w:rPr>
        <w:footnoteReference w:id="2308"/>
      </w:r>
      <w:r w:rsidRPr="00412620">
        <w:rPr>
          <w:snapToGrid w:val="0"/>
          <w:sz w:val="20"/>
        </w:rPr>
        <w:t>[</w:t>
      </w:r>
      <w:r w:rsidRPr="00412620">
        <w:rPr>
          <w:b/>
          <w:bCs/>
          <w:snapToGrid w:val="0"/>
          <w:sz w:val="20"/>
        </w:rPr>
        <w:t>(75)</w:t>
      </w:r>
      <w:r w:rsidRPr="00412620">
        <w:rPr>
          <w:snapToGrid w:val="0"/>
          <w:sz w:val="20"/>
        </w:rPr>
        <w:t xml:space="preserve"> The provisions of sub-section (15) of section 22 shall not apply to Civil Aviation Authority (CAA) on the assets acquired from the Federal Government which were previously transferred for the purpose of the ijara agreement between Pakistan Domestic Sukuk Company Limited and the Federal Government:</w:t>
      </w:r>
    </w:p>
    <w:p w:rsidR="00AA4BF8" w:rsidRPr="00F9084A" w:rsidRDefault="00AA4BF8" w:rsidP="00AA4BF8">
      <w:pPr>
        <w:jc w:val="both"/>
        <w:rPr>
          <w:snapToGrid w:val="0"/>
          <w:sz w:val="12"/>
          <w:szCs w:val="12"/>
        </w:rPr>
      </w:pPr>
    </w:p>
    <w:p w:rsidR="00AA4BF8" w:rsidRPr="00412620" w:rsidRDefault="00AA4BF8" w:rsidP="00F9084A">
      <w:pPr>
        <w:ind w:left="547" w:firstLine="547"/>
        <w:jc w:val="both"/>
        <w:rPr>
          <w:snapToGrid w:val="0"/>
          <w:sz w:val="20"/>
        </w:rPr>
      </w:pPr>
      <w:r w:rsidRPr="00412620">
        <w:rPr>
          <w:snapToGrid w:val="0"/>
          <w:sz w:val="20"/>
        </w:rPr>
        <w:t xml:space="preserve">Provided that depreciation shall be allowed at the written down value of the assets immediately before their transfer for the purpose of above mentioned Ijara agreement.] </w:t>
      </w:r>
    </w:p>
    <w:p w:rsidR="00AA4BF8" w:rsidRPr="00F9084A" w:rsidRDefault="00AA4BF8" w:rsidP="00AA4BF8">
      <w:pPr>
        <w:jc w:val="both"/>
        <w:rPr>
          <w:snapToGrid w:val="0"/>
          <w:sz w:val="12"/>
          <w:szCs w:val="12"/>
        </w:rPr>
      </w:pPr>
    </w:p>
    <w:p w:rsidR="00AA4BF8" w:rsidRPr="00412620" w:rsidRDefault="00AA4BF8" w:rsidP="00AA4BF8">
      <w:pPr>
        <w:jc w:val="both"/>
        <w:rPr>
          <w:snapToGrid w:val="0"/>
          <w:sz w:val="20"/>
        </w:rPr>
      </w:pPr>
      <w:r w:rsidRPr="00412620">
        <w:rPr>
          <w:rStyle w:val="FootnoteReference"/>
          <w:rFonts w:cs="Arial"/>
          <w:snapToGrid w:val="0"/>
          <w:sz w:val="20"/>
        </w:rPr>
        <w:footnoteReference w:id="2309"/>
      </w:r>
      <w:r w:rsidRPr="00412620">
        <w:rPr>
          <w:snapToGrid w:val="0"/>
          <w:sz w:val="20"/>
        </w:rPr>
        <w:t xml:space="preserve">[  ] </w:t>
      </w:r>
    </w:p>
    <w:p w:rsidR="00AA4BF8" w:rsidRPr="00F9084A" w:rsidRDefault="00AA4BF8" w:rsidP="00AA4BF8">
      <w:pPr>
        <w:jc w:val="both"/>
        <w:rPr>
          <w:snapToGrid w:val="0"/>
          <w:sz w:val="12"/>
          <w:szCs w:val="12"/>
        </w:rPr>
      </w:pPr>
    </w:p>
    <w:p w:rsidR="00AA4BF8" w:rsidRPr="00412620" w:rsidRDefault="00AA4BF8" w:rsidP="00CD4B03">
      <w:pPr>
        <w:autoSpaceDE w:val="0"/>
        <w:autoSpaceDN w:val="0"/>
        <w:adjustRightInd w:val="0"/>
        <w:jc w:val="both"/>
        <w:rPr>
          <w:snapToGrid w:val="0"/>
          <w:sz w:val="20"/>
        </w:rPr>
      </w:pPr>
      <w:r w:rsidRPr="00412620">
        <w:rPr>
          <w:rStyle w:val="FootnoteReference"/>
          <w:rFonts w:cs="Arial"/>
          <w:snapToGrid w:val="0"/>
          <w:sz w:val="20"/>
        </w:rPr>
        <w:footnoteReference w:id="2310"/>
      </w:r>
      <w:r w:rsidRPr="00412620">
        <w:rPr>
          <w:snapToGrid w:val="0"/>
          <w:sz w:val="20"/>
        </w:rPr>
        <w:t>[</w:t>
      </w:r>
      <w:r w:rsidRPr="00412620">
        <w:rPr>
          <w:b/>
          <w:bCs/>
          <w:snapToGrid w:val="0"/>
          <w:sz w:val="20"/>
        </w:rPr>
        <w:t>(77)</w:t>
      </w:r>
      <w:r w:rsidRPr="00412620">
        <w:rPr>
          <w:snapToGrid w:val="0"/>
          <w:sz w:val="20"/>
        </w:rPr>
        <w:tab/>
        <w:t xml:space="preserve">Provisions of sections 148 and 153 shall not be applicable on import and subsequent supply of items with dedicated use of renewable sources of energy like solar and wind etc., even if locally manufactured, which include induction lamps, SMD, LEDs with or without ballast with fittings and fixtures, wind turbines including alternator and mast, solar torches, </w:t>
      </w:r>
      <w:r w:rsidR="00CD4B03" w:rsidRPr="003409C0">
        <w:rPr>
          <w:rStyle w:val="FootnoteReference"/>
          <w:snapToGrid w:val="0"/>
          <w:color w:val="000000" w:themeColor="text1"/>
          <w:sz w:val="20"/>
        </w:rPr>
        <w:footnoteReference w:id="2311"/>
      </w:r>
      <w:r w:rsidR="00CD4B03" w:rsidRPr="003409C0">
        <w:rPr>
          <w:snapToGrid w:val="0"/>
          <w:color w:val="000000" w:themeColor="text1"/>
          <w:sz w:val="20"/>
        </w:rPr>
        <w:t>[“</w:t>
      </w:r>
      <w:r w:rsidR="00CD4B03" w:rsidRPr="003409C0">
        <w:rPr>
          <w:rFonts w:cs="Arial"/>
          <w:color w:val="000000" w:themeColor="text1"/>
          <w:sz w:val="20"/>
          <w:lang w:val="en-US"/>
        </w:rPr>
        <w:t xml:space="preserve">tubular </w:t>
      </w:r>
      <w:r w:rsidR="00921CBF" w:rsidRPr="003409C0">
        <w:rPr>
          <w:rFonts w:cs="Arial"/>
          <w:color w:val="000000" w:themeColor="text1"/>
          <w:sz w:val="20"/>
          <w:lang w:val="en-US"/>
        </w:rPr>
        <w:t>day lighting</w:t>
      </w:r>
      <w:r w:rsidR="00CD4B03" w:rsidRPr="003409C0">
        <w:rPr>
          <w:rFonts w:cs="Arial"/>
          <w:color w:val="000000" w:themeColor="text1"/>
          <w:sz w:val="20"/>
          <w:lang w:val="en-US"/>
        </w:rPr>
        <w:t xml:space="preserve"> devices such as</w:t>
      </w:r>
      <w:r w:rsidR="00743C08" w:rsidRPr="003409C0">
        <w:rPr>
          <w:rFonts w:cs="Arial"/>
          <w:color w:val="000000" w:themeColor="text1"/>
          <w:sz w:val="20"/>
          <w:lang w:val="en-US"/>
        </w:rPr>
        <w:t xml:space="preserve"> </w:t>
      </w:r>
      <w:r w:rsidR="00CD4B03" w:rsidRPr="003409C0">
        <w:rPr>
          <w:rFonts w:cs="Arial"/>
          <w:color w:val="000000" w:themeColor="text1"/>
          <w:sz w:val="20"/>
          <w:lang w:val="en-US"/>
        </w:rPr>
        <w:t>sola</w:t>
      </w:r>
      <w:r w:rsidR="00743C08" w:rsidRPr="003409C0">
        <w:rPr>
          <w:rFonts w:cs="Arial"/>
          <w:color w:val="000000" w:themeColor="text1"/>
          <w:sz w:val="20"/>
          <w:lang w:val="en-US"/>
        </w:rPr>
        <w:t xml:space="preserve"> </w:t>
      </w:r>
      <w:r w:rsidR="00CD4B03" w:rsidRPr="003409C0">
        <w:rPr>
          <w:rFonts w:cs="Arial"/>
          <w:color w:val="000000" w:themeColor="text1"/>
          <w:sz w:val="20"/>
          <w:lang w:val="en-US"/>
        </w:rPr>
        <w:t>tube,”</w:t>
      </w:r>
      <w:r w:rsidR="00CD4B03" w:rsidRPr="003409C0">
        <w:rPr>
          <w:snapToGrid w:val="0"/>
          <w:color w:val="000000" w:themeColor="text1"/>
          <w:sz w:val="20"/>
        </w:rPr>
        <w:t>]</w:t>
      </w:r>
      <w:r w:rsidR="00743C08" w:rsidRPr="003409C0">
        <w:rPr>
          <w:snapToGrid w:val="0"/>
          <w:color w:val="000000" w:themeColor="text1"/>
          <w:sz w:val="20"/>
        </w:rPr>
        <w:t xml:space="preserve"> </w:t>
      </w:r>
      <w:r w:rsidRPr="003409C0">
        <w:rPr>
          <w:snapToGrid w:val="0"/>
          <w:color w:val="000000" w:themeColor="text1"/>
          <w:sz w:val="20"/>
        </w:rPr>
        <w:t>lanterns</w:t>
      </w:r>
      <w:r w:rsidRPr="00412620">
        <w:rPr>
          <w:snapToGrid w:val="0"/>
          <w:sz w:val="20"/>
        </w:rPr>
        <w:t xml:space="preserve"> and related instruments, PV modules </w:t>
      </w:r>
      <w:r w:rsidRPr="00412620">
        <w:rPr>
          <w:rStyle w:val="FootnoteReference"/>
          <w:rFonts w:cs="Arial"/>
          <w:snapToGrid w:val="0"/>
          <w:sz w:val="20"/>
        </w:rPr>
        <w:footnoteReference w:id="2312"/>
      </w:r>
      <w:r w:rsidRPr="00412620">
        <w:rPr>
          <w:snapToGrid w:val="0"/>
          <w:sz w:val="20"/>
        </w:rPr>
        <w:t>[with or without] the related components including invertors, charge controllers and batteries.]</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rStyle w:val="FootnoteReference"/>
          <w:rFonts w:cs="Arial"/>
          <w:snapToGrid w:val="0"/>
          <w:sz w:val="20"/>
        </w:rPr>
        <w:footnoteReference w:id="2313"/>
      </w:r>
      <w:r w:rsidRPr="00412620">
        <w:rPr>
          <w:snapToGrid w:val="0"/>
          <w:sz w:val="20"/>
        </w:rPr>
        <w:t>[</w:t>
      </w:r>
      <w:r w:rsidRPr="00412620">
        <w:rPr>
          <w:b/>
          <w:bCs/>
          <w:snapToGrid w:val="0"/>
          <w:sz w:val="20"/>
        </w:rPr>
        <w:t>(78)</w:t>
      </w:r>
      <w:r w:rsidRPr="00412620">
        <w:rPr>
          <w:snapToGrid w:val="0"/>
          <w:sz w:val="20"/>
        </w:rPr>
        <w:tab/>
      </w:r>
      <w:r w:rsidRPr="00412620">
        <w:rPr>
          <w:rStyle w:val="FootnoteReference"/>
          <w:rFonts w:cs="Arial"/>
          <w:snapToGrid w:val="0"/>
          <w:sz w:val="20"/>
        </w:rPr>
        <w:footnoteReference w:id="2314"/>
      </w:r>
      <w:r w:rsidRPr="00412620">
        <w:rPr>
          <w:snapToGrid w:val="0"/>
          <w:sz w:val="20"/>
        </w:rPr>
        <w:t>[Coal Mining and Coal based Power Generation Projects in Sindh],—</w:t>
      </w:r>
    </w:p>
    <w:p w:rsidR="00AA4BF8" w:rsidRPr="00412620" w:rsidRDefault="00AA4BF8" w:rsidP="00AA4BF8">
      <w:pPr>
        <w:jc w:val="both"/>
        <w:rPr>
          <w:snapToGrid w:val="0"/>
          <w:sz w:val="20"/>
        </w:rPr>
      </w:pPr>
    </w:p>
    <w:p w:rsidR="00AA4BF8" w:rsidRPr="00412620" w:rsidRDefault="00AA4BF8" w:rsidP="00CD4B03">
      <w:pPr>
        <w:ind w:left="1641" w:hanging="546"/>
        <w:jc w:val="both"/>
        <w:rPr>
          <w:snapToGrid w:val="0"/>
          <w:sz w:val="20"/>
        </w:rPr>
      </w:pPr>
      <w:r w:rsidRPr="00412620">
        <w:rPr>
          <w:snapToGrid w:val="0"/>
          <w:sz w:val="20"/>
        </w:rPr>
        <w:t xml:space="preserve">(i) </w:t>
      </w:r>
      <w:r w:rsidRPr="00412620">
        <w:rPr>
          <w:snapToGrid w:val="0"/>
          <w:sz w:val="20"/>
        </w:rPr>
        <w:tab/>
        <w:t>the dividend income of the shareholders of such a project shall be exempt from provisions of section 150 from the date of commencement of business till 30 years from such date; and</w:t>
      </w:r>
      <w:r w:rsidRPr="00412620">
        <w:rPr>
          <w:snapToGrid w:val="0"/>
          <w:sz w:val="20"/>
        </w:rPr>
        <w:tab/>
      </w:r>
    </w:p>
    <w:p w:rsidR="00AA4BF8" w:rsidRPr="00412620" w:rsidRDefault="00AA4BF8" w:rsidP="00AA4BF8">
      <w:pPr>
        <w:ind w:left="1641" w:hanging="546"/>
        <w:jc w:val="both"/>
        <w:rPr>
          <w:snapToGrid w:val="0"/>
          <w:sz w:val="20"/>
        </w:rPr>
      </w:pPr>
    </w:p>
    <w:p w:rsidR="00AA4BF8" w:rsidRPr="003409C0" w:rsidRDefault="00AA4BF8" w:rsidP="00AA4BF8">
      <w:pPr>
        <w:ind w:left="1641" w:hanging="546"/>
        <w:jc w:val="both"/>
        <w:rPr>
          <w:snapToGrid w:val="0"/>
          <w:color w:val="000000" w:themeColor="text1"/>
          <w:sz w:val="20"/>
        </w:rPr>
      </w:pPr>
      <w:r w:rsidRPr="00412620">
        <w:rPr>
          <w:snapToGrid w:val="0"/>
          <w:sz w:val="20"/>
        </w:rPr>
        <w:t xml:space="preserve">(ii) </w:t>
      </w:r>
      <w:r w:rsidRPr="00412620">
        <w:rPr>
          <w:snapToGrid w:val="0"/>
          <w:sz w:val="20"/>
        </w:rPr>
        <w:tab/>
        <w:t>the payments made on account of sale or supply of goods or providing or rendering of services during project construction and operations, shall be exempt from the provisions of section</w:t>
      </w:r>
      <w:r w:rsidR="000E5E48">
        <w:rPr>
          <w:snapToGrid w:val="0"/>
          <w:sz w:val="20"/>
        </w:rPr>
        <w:t xml:space="preserve"> </w:t>
      </w:r>
      <w:r w:rsidR="00F917CF" w:rsidRPr="003409C0">
        <w:rPr>
          <w:rStyle w:val="FootnoteReference"/>
          <w:snapToGrid w:val="0"/>
          <w:color w:val="000000" w:themeColor="text1"/>
          <w:sz w:val="20"/>
        </w:rPr>
        <w:footnoteReference w:id="2315"/>
      </w:r>
      <w:r w:rsidR="00F917CF" w:rsidRPr="003409C0">
        <w:rPr>
          <w:snapToGrid w:val="0"/>
          <w:color w:val="000000" w:themeColor="text1"/>
          <w:sz w:val="20"/>
        </w:rPr>
        <w:t>[152(2A) and section]</w:t>
      </w:r>
      <w:r w:rsidRPr="003409C0">
        <w:rPr>
          <w:snapToGrid w:val="0"/>
          <w:color w:val="000000" w:themeColor="text1"/>
          <w:sz w:val="20"/>
        </w:rPr>
        <w:t xml:space="preserve"> 153.]</w:t>
      </w:r>
    </w:p>
    <w:p w:rsidR="00AA4BF8" w:rsidRPr="003409C0" w:rsidRDefault="00AA4BF8" w:rsidP="00AA4BF8">
      <w:pPr>
        <w:jc w:val="both"/>
        <w:rPr>
          <w:snapToGrid w:val="0"/>
          <w:color w:val="000000" w:themeColor="text1"/>
          <w:sz w:val="20"/>
        </w:rPr>
      </w:pPr>
    </w:p>
    <w:p w:rsidR="00AA4BF8" w:rsidRPr="003409C0" w:rsidRDefault="00BC48F2" w:rsidP="00AA4BF8">
      <w:pPr>
        <w:jc w:val="both"/>
        <w:rPr>
          <w:snapToGrid w:val="0"/>
          <w:color w:val="000000" w:themeColor="text1"/>
          <w:sz w:val="20"/>
        </w:rPr>
      </w:pPr>
      <w:r w:rsidRPr="003409C0">
        <w:rPr>
          <w:rStyle w:val="FootnoteReference"/>
          <w:snapToGrid w:val="0"/>
          <w:color w:val="000000" w:themeColor="text1"/>
          <w:sz w:val="20"/>
        </w:rPr>
        <w:footnoteReference w:id="2316"/>
      </w:r>
      <w:r w:rsidRPr="003409C0">
        <w:rPr>
          <w:snapToGrid w:val="0"/>
          <w:color w:val="000000" w:themeColor="text1"/>
          <w:sz w:val="20"/>
        </w:rPr>
        <w:t xml:space="preserve">[    ] </w:t>
      </w:r>
    </w:p>
    <w:p w:rsidR="00AA4BF8" w:rsidRPr="00412620" w:rsidRDefault="00AA4BF8" w:rsidP="00AA4BF8">
      <w:pPr>
        <w:jc w:val="both"/>
        <w:rPr>
          <w:snapToGrid w:val="0"/>
          <w:sz w:val="20"/>
        </w:rPr>
      </w:pPr>
    </w:p>
    <w:p w:rsidR="00AA4BF8" w:rsidRPr="00F852EB" w:rsidRDefault="00AA4BF8" w:rsidP="00AA4BF8">
      <w:pPr>
        <w:rPr>
          <w:snapToGrid w:val="0"/>
          <w:color w:val="000000" w:themeColor="text1"/>
          <w:sz w:val="20"/>
        </w:rPr>
      </w:pPr>
      <w:r w:rsidRPr="00F852EB">
        <w:rPr>
          <w:rStyle w:val="FootnoteReference"/>
          <w:snapToGrid w:val="0"/>
          <w:color w:val="000000" w:themeColor="text1"/>
          <w:sz w:val="20"/>
        </w:rPr>
        <w:footnoteReference w:id="2317"/>
      </w:r>
      <w:r w:rsidRPr="00F852EB">
        <w:rPr>
          <w:snapToGrid w:val="0"/>
          <w:color w:val="000000" w:themeColor="text1"/>
          <w:sz w:val="20"/>
        </w:rPr>
        <w:t>[  ]</w:t>
      </w:r>
    </w:p>
    <w:p w:rsidR="001318A4" w:rsidRPr="007E0D7D" w:rsidRDefault="001318A4" w:rsidP="00AA4BF8">
      <w:pPr>
        <w:rPr>
          <w:snapToGrid w:val="0"/>
          <w:color w:val="00B0F0"/>
          <w:sz w:val="20"/>
        </w:rPr>
      </w:pPr>
    </w:p>
    <w:p w:rsidR="001318A4" w:rsidRDefault="001318A4" w:rsidP="001318A4">
      <w:pPr>
        <w:jc w:val="both"/>
        <w:rPr>
          <w:rFonts w:cs="Arial"/>
          <w:snapToGrid w:val="0"/>
          <w:sz w:val="20"/>
        </w:rPr>
      </w:pPr>
      <w:r>
        <w:rPr>
          <w:rStyle w:val="FootnoteReference"/>
          <w:rFonts w:cs="Arial"/>
          <w:snapToGrid w:val="0"/>
          <w:sz w:val="20"/>
        </w:rPr>
        <w:footnoteReference w:id="2318"/>
      </w:r>
      <w:r>
        <w:rPr>
          <w:rFonts w:cs="Arial"/>
          <w:snapToGrid w:val="0"/>
          <w:sz w:val="20"/>
        </w:rPr>
        <w:t>[(81)</w:t>
      </w:r>
      <w:r>
        <w:rPr>
          <w:rFonts w:cs="Arial"/>
          <w:snapToGrid w:val="0"/>
          <w:sz w:val="20"/>
        </w:rPr>
        <w:tab/>
        <w:t xml:space="preserve">The provisions of clause (a) of section 165, shall not apply to any manufacturer, distributor, dealer and wholesaler required to collect advance tax under sub section (1) of section 236H.] </w:t>
      </w:r>
    </w:p>
    <w:p w:rsidR="001318A4" w:rsidRDefault="001318A4" w:rsidP="001318A4">
      <w:pPr>
        <w:jc w:val="both"/>
        <w:rPr>
          <w:rFonts w:cs="Arial"/>
          <w:snapToGrid w:val="0"/>
          <w:sz w:val="20"/>
        </w:rPr>
      </w:pPr>
    </w:p>
    <w:p w:rsidR="001318A4" w:rsidRDefault="001318A4" w:rsidP="001318A4">
      <w:pPr>
        <w:jc w:val="both"/>
        <w:rPr>
          <w:rFonts w:cs="Arial"/>
          <w:snapToGrid w:val="0"/>
          <w:sz w:val="20"/>
        </w:rPr>
      </w:pPr>
      <w:r>
        <w:rPr>
          <w:rStyle w:val="FootnoteReference"/>
          <w:rFonts w:cs="Arial"/>
          <w:snapToGrid w:val="0"/>
          <w:sz w:val="20"/>
        </w:rPr>
        <w:footnoteReference w:id="2319"/>
      </w:r>
      <w:r>
        <w:rPr>
          <w:rFonts w:cs="Arial"/>
          <w:snapToGrid w:val="0"/>
          <w:sz w:val="20"/>
        </w:rPr>
        <w:t>[</w:t>
      </w:r>
      <w:r w:rsidR="00020AD2">
        <w:rPr>
          <w:rFonts w:cs="Arial"/>
          <w:snapToGrid w:val="0"/>
          <w:sz w:val="20"/>
        </w:rPr>
        <w:t xml:space="preserve">  </w:t>
      </w:r>
      <w:r w:rsidR="00020AD2" w:rsidRPr="000E5E48">
        <w:rPr>
          <w:rStyle w:val="FootnoteReference"/>
          <w:rFonts w:cs="Arial"/>
          <w:snapToGrid w:val="0"/>
          <w:color w:val="0070C0"/>
          <w:sz w:val="20"/>
        </w:rPr>
        <w:footnoteReference w:id="2320"/>
      </w:r>
      <w:r w:rsidR="00020AD2" w:rsidRPr="000E5E48">
        <w:rPr>
          <w:rFonts w:cs="Arial"/>
          <w:snapToGrid w:val="0"/>
          <w:color w:val="0070C0"/>
          <w:sz w:val="20"/>
        </w:rPr>
        <w:t>[     ]</w:t>
      </w:r>
      <w:r w:rsidR="00020AD2">
        <w:rPr>
          <w:rFonts w:cs="Arial"/>
          <w:snapToGrid w:val="0"/>
          <w:sz w:val="20"/>
        </w:rPr>
        <w:t xml:space="preserve">  </w:t>
      </w:r>
      <w:r w:rsidR="00B7070F">
        <w:rPr>
          <w:rFonts w:cs="Arial"/>
          <w:snapToGrid w:val="0"/>
          <w:sz w:val="20"/>
        </w:rPr>
        <w:t>]</w:t>
      </w:r>
    </w:p>
    <w:p w:rsidR="00AA4BF8" w:rsidRDefault="00AA4BF8" w:rsidP="00AA4BF8">
      <w:pPr>
        <w:rPr>
          <w:snapToGrid w:val="0"/>
          <w:color w:val="0070C0"/>
          <w:sz w:val="20"/>
        </w:rPr>
      </w:pPr>
    </w:p>
    <w:p w:rsidR="008F6C46" w:rsidRPr="003409C0" w:rsidRDefault="00E04594" w:rsidP="008F6C46">
      <w:pPr>
        <w:jc w:val="both"/>
        <w:rPr>
          <w:rFonts w:cs="Arial"/>
          <w:snapToGrid w:val="0"/>
          <w:color w:val="000000" w:themeColor="text1"/>
          <w:sz w:val="20"/>
        </w:rPr>
      </w:pPr>
      <w:r w:rsidRPr="003409C0">
        <w:rPr>
          <w:rStyle w:val="FootnoteReference"/>
          <w:rFonts w:cs="Arial"/>
          <w:snapToGrid w:val="0"/>
          <w:color w:val="000000" w:themeColor="text1"/>
          <w:sz w:val="20"/>
        </w:rPr>
        <w:footnoteReference w:id="2321"/>
      </w:r>
      <w:r w:rsidRPr="003409C0">
        <w:rPr>
          <w:rFonts w:cs="Arial"/>
          <w:snapToGrid w:val="0"/>
          <w:color w:val="000000" w:themeColor="text1"/>
          <w:sz w:val="20"/>
        </w:rPr>
        <w:t xml:space="preserve">[    ] </w:t>
      </w:r>
    </w:p>
    <w:p w:rsidR="008F6C46" w:rsidRDefault="008F6C46" w:rsidP="00AA4BF8">
      <w:pPr>
        <w:rPr>
          <w:snapToGrid w:val="0"/>
          <w:color w:val="0070C0"/>
          <w:sz w:val="20"/>
        </w:rPr>
      </w:pPr>
    </w:p>
    <w:p w:rsidR="00D508AF" w:rsidRPr="00F852EB" w:rsidRDefault="00D508AF" w:rsidP="00AA4BF8">
      <w:pPr>
        <w:rPr>
          <w:snapToGrid w:val="0"/>
          <w:color w:val="000000" w:themeColor="text1"/>
          <w:sz w:val="20"/>
        </w:rPr>
      </w:pPr>
      <w:r w:rsidRPr="00F852EB">
        <w:rPr>
          <w:rStyle w:val="FootnoteReference"/>
          <w:snapToGrid w:val="0"/>
          <w:color w:val="000000" w:themeColor="text1"/>
          <w:sz w:val="20"/>
        </w:rPr>
        <w:footnoteReference w:id="2322"/>
      </w:r>
      <w:r w:rsidRPr="00F852EB">
        <w:rPr>
          <w:snapToGrid w:val="0"/>
          <w:color w:val="000000" w:themeColor="text1"/>
          <w:sz w:val="20"/>
        </w:rPr>
        <w:t xml:space="preserve">[ </w:t>
      </w:r>
      <w:r w:rsidR="00F852EB" w:rsidRPr="00F852EB">
        <w:rPr>
          <w:snapToGrid w:val="0"/>
          <w:color w:val="000000" w:themeColor="text1"/>
          <w:sz w:val="20"/>
        </w:rPr>
        <w:t xml:space="preserve">  </w:t>
      </w:r>
      <w:r w:rsidR="00020AD2">
        <w:rPr>
          <w:snapToGrid w:val="0"/>
          <w:color w:val="000000" w:themeColor="text1"/>
          <w:sz w:val="20"/>
        </w:rPr>
        <w:t xml:space="preserve"> </w:t>
      </w:r>
      <w:r w:rsidRPr="00F852EB">
        <w:rPr>
          <w:snapToGrid w:val="0"/>
          <w:color w:val="000000" w:themeColor="text1"/>
          <w:sz w:val="20"/>
        </w:rPr>
        <w:t>]</w:t>
      </w:r>
    </w:p>
    <w:p w:rsidR="00D508AF" w:rsidRPr="00F852EB" w:rsidRDefault="00D508AF" w:rsidP="00AA4BF8">
      <w:pPr>
        <w:rPr>
          <w:snapToGrid w:val="0"/>
          <w:color w:val="000000" w:themeColor="text1"/>
          <w:sz w:val="20"/>
        </w:rPr>
      </w:pPr>
    </w:p>
    <w:p w:rsidR="00D508AF" w:rsidRPr="00F852EB" w:rsidRDefault="00D508AF" w:rsidP="00AA4BF8">
      <w:pPr>
        <w:rPr>
          <w:snapToGrid w:val="0"/>
          <w:color w:val="000000" w:themeColor="text1"/>
          <w:sz w:val="20"/>
        </w:rPr>
      </w:pPr>
      <w:r w:rsidRPr="00F852EB">
        <w:rPr>
          <w:rStyle w:val="FootnoteReference"/>
          <w:snapToGrid w:val="0"/>
          <w:color w:val="000000" w:themeColor="text1"/>
          <w:sz w:val="20"/>
        </w:rPr>
        <w:footnoteReference w:id="2323"/>
      </w:r>
      <w:r w:rsidRPr="00F852EB">
        <w:rPr>
          <w:snapToGrid w:val="0"/>
          <w:color w:val="000000" w:themeColor="text1"/>
          <w:sz w:val="20"/>
        </w:rPr>
        <w:t xml:space="preserve">[ </w:t>
      </w:r>
      <w:r w:rsidR="00F852EB" w:rsidRPr="00F852EB">
        <w:rPr>
          <w:snapToGrid w:val="0"/>
          <w:color w:val="000000" w:themeColor="text1"/>
          <w:sz w:val="20"/>
        </w:rPr>
        <w:t xml:space="preserve">  </w:t>
      </w:r>
      <w:r w:rsidR="00020AD2">
        <w:rPr>
          <w:snapToGrid w:val="0"/>
          <w:color w:val="000000" w:themeColor="text1"/>
          <w:sz w:val="20"/>
        </w:rPr>
        <w:t xml:space="preserve"> </w:t>
      </w:r>
      <w:r w:rsidRPr="00F852EB">
        <w:rPr>
          <w:snapToGrid w:val="0"/>
          <w:color w:val="000000" w:themeColor="text1"/>
          <w:sz w:val="20"/>
        </w:rPr>
        <w:t>]</w:t>
      </w:r>
    </w:p>
    <w:p w:rsidR="00D508AF" w:rsidRDefault="00D508AF" w:rsidP="00AA4BF8">
      <w:pPr>
        <w:rPr>
          <w:snapToGrid w:val="0"/>
          <w:color w:val="0070C0"/>
          <w:sz w:val="20"/>
        </w:rPr>
      </w:pPr>
    </w:p>
    <w:p w:rsidR="00D508AF" w:rsidRDefault="00F202FC" w:rsidP="00D508AF">
      <w:pPr>
        <w:jc w:val="both"/>
        <w:rPr>
          <w:rFonts w:cs="Arial"/>
          <w:snapToGrid w:val="0"/>
          <w:sz w:val="20"/>
        </w:rPr>
      </w:pPr>
      <w:r>
        <w:rPr>
          <w:rStyle w:val="FootnoteReference"/>
          <w:rFonts w:cs="Arial"/>
          <w:snapToGrid w:val="0"/>
          <w:sz w:val="20"/>
        </w:rPr>
        <w:footnoteReference w:id="2324"/>
      </w:r>
      <w:r>
        <w:rPr>
          <w:rFonts w:cs="Arial"/>
          <w:snapToGrid w:val="0"/>
          <w:sz w:val="20"/>
        </w:rPr>
        <w:t>[</w:t>
      </w:r>
      <w:r w:rsidR="00D508AF">
        <w:rPr>
          <w:rFonts w:cs="Arial"/>
          <w:snapToGrid w:val="0"/>
          <w:sz w:val="20"/>
        </w:rPr>
        <w:t xml:space="preserve">(86) (a) </w:t>
      </w:r>
      <w:r w:rsidR="00D508AF">
        <w:rPr>
          <w:rFonts w:cs="Arial"/>
          <w:snapToGrid w:val="0"/>
          <w:sz w:val="20"/>
        </w:rPr>
        <w:tab/>
        <w:t>The provisions of section 111 shall not apply to-</w:t>
      </w:r>
    </w:p>
    <w:p w:rsidR="00BA1142" w:rsidRDefault="00BA1142" w:rsidP="00D508AF">
      <w:pPr>
        <w:jc w:val="both"/>
        <w:rPr>
          <w:rFonts w:cs="Arial"/>
          <w:snapToGrid w:val="0"/>
          <w:sz w:val="20"/>
        </w:rPr>
      </w:pPr>
    </w:p>
    <w:p w:rsidR="00D508AF" w:rsidRDefault="00D508AF" w:rsidP="00BA1142">
      <w:pPr>
        <w:ind w:left="1634" w:hanging="540"/>
        <w:jc w:val="both"/>
        <w:rPr>
          <w:rFonts w:cs="Arial"/>
          <w:snapToGrid w:val="0"/>
          <w:sz w:val="20"/>
        </w:rPr>
      </w:pPr>
      <w:r>
        <w:rPr>
          <w:rFonts w:cs="Arial"/>
          <w:snapToGrid w:val="0"/>
          <w:sz w:val="20"/>
        </w:rPr>
        <w:t>(i)</w:t>
      </w:r>
      <w:r>
        <w:rPr>
          <w:rFonts w:cs="Arial"/>
          <w:snapToGrid w:val="0"/>
          <w:sz w:val="20"/>
        </w:rPr>
        <w:tab/>
        <w:t>investment made by an individual in a Greenfield industrial undertaking directly or as an original allottee in the purchase of shares of a company establishing an industrial undertaking or capital contribution in an association of persons establishing an industrial undertaking;</w:t>
      </w:r>
    </w:p>
    <w:p w:rsidR="00D508AF" w:rsidRDefault="00D508AF" w:rsidP="00BA1142">
      <w:pPr>
        <w:ind w:left="1634" w:hanging="540"/>
        <w:jc w:val="both"/>
        <w:rPr>
          <w:rFonts w:cs="Arial"/>
          <w:snapToGrid w:val="0"/>
          <w:sz w:val="20"/>
        </w:rPr>
      </w:pPr>
      <w:r>
        <w:rPr>
          <w:rFonts w:cs="Arial"/>
          <w:snapToGrid w:val="0"/>
          <w:sz w:val="20"/>
        </w:rPr>
        <w:t>(ii)</w:t>
      </w:r>
      <w:r>
        <w:rPr>
          <w:rFonts w:cs="Arial"/>
          <w:snapToGrid w:val="0"/>
          <w:sz w:val="20"/>
        </w:rPr>
        <w:tab/>
        <w:t>investment made by an association of persons in an industrial undertaking; and</w:t>
      </w:r>
    </w:p>
    <w:p w:rsidR="00D508AF" w:rsidRDefault="00D508AF" w:rsidP="00BA1142">
      <w:pPr>
        <w:ind w:left="1094"/>
        <w:jc w:val="both"/>
        <w:rPr>
          <w:rFonts w:cs="Arial"/>
          <w:snapToGrid w:val="0"/>
          <w:sz w:val="20"/>
        </w:rPr>
      </w:pPr>
      <w:r>
        <w:rPr>
          <w:rFonts w:cs="Arial"/>
          <w:snapToGrid w:val="0"/>
          <w:sz w:val="20"/>
        </w:rPr>
        <w:t>(iii)</w:t>
      </w:r>
      <w:r>
        <w:rPr>
          <w:rFonts w:cs="Arial"/>
          <w:snapToGrid w:val="0"/>
          <w:sz w:val="20"/>
        </w:rPr>
        <w:tab/>
        <w:t>investment made by a company in an industrial undertaking;</w:t>
      </w:r>
    </w:p>
    <w:p w:rsidR="00D508AF" w:rsidRDefault="00D508AF" w:rsidP="00BA1142">
      <w:pPr>
        <w:ind w:left="1635"/>
        <w:jc w:val="both"/>
        <w:rPr>
          <w:rFonts w:cs="Arial"/>
          <w:snapToGrid w:val="0"/>
          <w:sz w:val="20"/>
        </w:rPr>
      </w:pPr>
      <w:r>
        <w:rPr>
          <w:rFonts w:cs="Arial"/>
          <w:snapToGrid w:val="0"/>
          <w:sz w:val="20"/>
        </w:rPr>
        <w:t>If the said investment is made on or after the 1</w:t>
      </w:r>
      <w:r w:rsidRPr="00B17798">
        <w:rPr>
          <w:rFonts w:cs="Arial"/>
          <w:snapToGrid w:val="0"/>
          <w:sz w:val="20"/>
          <w:vertAlign w:val="superscript"/>
        </w:rPr>
        <w:t>st</w:t>
      </w:r>
      <w:r>
        <w:rPr>
          <w:rFonts w:cs="Arial"/>
          <w:snapToGrid w:val="0"/>
          <w:sz w:val="20"/>
        </w:rPr>
        <w:t xml:space="preserve"> day of January, 2014, and commercial production commences on or before the 30</w:t>
      </w:r>
      <w:r w:rsidRPr="00B17798">
        <w:rPr>
          <w:rFonts w:cs="Arial"/>
          <w:snapToGrid w:val="0"/>
          <w:sz w:val="20"/>
          <w:vertAlign w:val="superscript"/>
        </w:rPr>
        <w:t>th</w:t>
      </w:r>
      <w:r>
        <w:rPr>
          <w:rFonts w:cs="Arial"/>
          <w:snapToGrid w:val="0"/>
          <w:sz w:val="20"/>
        </w:rPr>
        <w:t xml:space="preserve"> day of June, </w:t>
      </w:r>
      <w:r w:rsidR="00BB1E84" w:rsidRPr="003409C0">
        <w:rPr>
          <w:rStyle w:val="FootnoteReference"/>
          <w:rFonts w:cs="Arial"/>
          <w:snapToGrid w:val="0"/>
          <w:color w:val="000000" w:themeColor="text1"/>
          <w:sz w:val="20"/>
        </w:rPr>
        <w:footnoteReference w:id="2325"/>
      </w:r>
      <w:r w:rsidR="00BB1E84" w:rsidRPr="003409C0">
        <w:rPr>
          <w:rFonts w:cs="Arial"/>
          <w:snapToGrid w:val="0"/>
          <w:color w:val="000000" w:themeColor="text1"/>
          <w:sz w:val="20"/>
        </w:rPr>
        <w:t>[</w:t>
      </w:r>
      <w:r w:rsidR="003E2868">
        <w:rPr>
          <w:rFonts w:cs="Arial"/>
          <w:snapToGrid w:val="0"/>
          <w:color w:val="984806" w:themeColor="accent6" w:themeShade="80"/>
          <w:sz w:val="20"/>
        </w:rPr>
        <w:t xml:space="preserve"> </w:t>
      </w:r>
      <w:r w:rsidR="003E2868" w:rsidRPr="000E5E48">
        <w:rPr>
          <w:rStyle w:val="FootnoteReference"/>
          <w:rFonts w:cs="Arial"/>
          <w:snapToGrid w:val="0"/>
          <w:color w:val="0070C0"/>
          <w:sz w:val="20"/>
        </w:rPr>
        <w:footnoteReference w:id="2326"/>
      </w:r>
      <w:r w:rsidR="003E2868" w:rsidRPr="000E5E48">
        <w:rPr>
          <w:rFonts w:cs="Arial"/>
          <w:snapToGrid w:val="0"/>
          <w:color w:val="0070C0"/>
          <w:sz w:val="20"/>
        </w:rPr>
        <w:t>[</w:t>
      </w:r>
      <w:r w:rsidR="00BB1E84" w:rsidRPr="000E5E48">
        <w:rPr>
          <w:rFonts w:cs="Arial"/>
          <w:snapToGrid w:val="0"/>
          <w:color w:val="0070C0"/>
          <w:sz w:val="20"/>
        </w:rPr>
        <w:t>201</w:t>
      </w:r>
      <w:r w:rsidR="003E2868" w:rsidRPr="000E5E48">
        <w:rPr>
          <w:rFonts w:cs="Arial"/>
          <w:snapToGrid w:val="0"/>
          <w:color w:val="0070C0"/>
          <w:sz w:val="20"/>
        </w:rPr>
        <w:t>9]</w:t>
      </w:r>
      <w:r w:rsidR="003E2868">
        <w:rPr>
          <w:rFonts w:cs="Arial"/>
          <w:snapToGrid w:val="0"/>
          <w:color w:val="984806" w:themeColor="accent6" w:themeShade="80"/>
          <w:sz w:val="20"/>
        </w:rPr>
        <w:t xml:space="preserve"> </w:t>
      </w:r>
      <w:r w:rsidR="00BB1E84" w:rsidRPr="003409C0">
        <w:rPr>
          <w:rFonts w:cs="Arial"/>
          <w:snapToGrid w:val="0"/>
          <w:color w:val="000000" w:themeColor="text1"/>
          <w:sz w:val="20"/>
        </w:rPr>
        <w:t>]</w:t>
      </w:r>
      <w:r>
        <w:rPr>
          <w:rFonts w:cs="Arial"/>
          <w:snapToGrid w:val="0"/>
          <w:sz w:val="20"/>
        </w:rPr>
        <w:t>.</w:t>
      </w:r>
    </w:p>
    <w:p w:rsidR="00D508AF" w:rsidRDefault="00D508AF" w:rsidP="00D508AF">
      <w:pPr>
        <w:jc w:val="both"/>
        <w:rPr>
          <w:rFonts w:cs="Arial"/>
          <w:snapToGrid w:val="0"/>
          <w:sz w:val="20"/>
        </w:rPr>
      </w:pPr>
      <w:r>
        <w:rPr>
          <w:rFonts w:cs="Arial"/>
          <w:snapToGrid w:val="0"/>
          <w:sz w:val="20"/>
        </w:rPr>
        <w:t>(b)</w:t>
      </w:r>
      <w:r>
        <w:rPr>
          <w:rFonts w:cs="Arial"/>
          <w:snapToGrid w:val="0"/>
          <w:sz w:val="20"/>
        </w:rPr>
        <w:tab/>
        <w:t>The concessions given in this clause shall also apply to investment made in:-</w:t>
      </w:r>
    </w:p>
    <w:p w:rsidR="00D508AF" w:rsidRDefault="00D508AF" w:rsidP="00D508AF">
      <w:pPr>
        <w:jc w:val="both"/>
        <w:rPr>
          <w:rFonts w:cs="Arial"/>
          <w:snapToGrid w:val="0"/>
          <w:sz w:val="20"/>
        </w:rPr>
      </w:pPr>
    </w:p>
    <w:p w:rsidR="00D508AF" w:rsidRDefault="00D508AF" w:rsidP="004B20DC">
      <w:pPr>
        <w:pStyle w:val="ListParagraph"/>
        <w:numPr>
          <w:ilvl w:val="0"/>
          <w:numId w:val="45"/>
        </w:numPr>
        <w:jc w:val="both"/>
        <w:rPr>
          <w:rFonts w:cs="Arial"/>
          <w:snapToGrid w:val="0"/>
          <w:sz w:val="20"/>
        </w:rPr>
      </w:pPr>
      <w:r>
        <w:rPr>
          <w:rFonts w:cs="Arial"/>
          <w:snapToGrid w:val="0"/>
          <w:sz w:val="20"/>
        </w:rPr>
        <w:t>Construction industry in corporate sector.</w:t>
      </w:r>
    </w:p>
    <w:p w:rsidR="00D508AF" w:rsidRDefault="00D508AF" w:rsidP="004B20DC">
      <w:pPr>
        <w:pStyle w:val="ListParagraph"/>
        <w:numPr>
          <w:ilvl w:val="0"/>
          <w:numId w:val="45"/>
        </w:numPr>
        <w:jc w:val="both"/>
        <w:rPr>
          <w:rFonts w:cs="Arial"/>
          <w:snapToGrid w:val="0"/>
          <w:sz w:val="20"/>
        </w:rPr>
      </w:pPr>
      <w:r>
        <w:rPr>
          <w:rFonts w:cs="Arial"/>
          <w:snapToGrid w:val="0"/>
          <w:sz w:val="20"/>
        </w:rPr>
        <w:t>Low cost housing construction in the corporate sector.</w:t>
      </w:r>
    </w:p>
    <w:p w:rsidR="00D508AF" w:rsidRDefault="00D508AF" w:rsidP="004B20DC">
      <w:pPr>
        <w:pStyle w:val="ListParagraph"/>
        <w:numPr>
          <w:ilvl w:val="0"/>
          <w:numId w:val="45"/>
        </w:numPr>
        <w:jc w:val="both"/>
        <w:rPr>
          <w:rFonts w:cs="Arial"/>
          <w:snapToGrid w:val="0"/>
          <w:sz w:val="20"/>
        </w:rPr>
      </w:pPr>
      <w:r>
        <w:rPr>
          <w:rFonts w:cs="Arial"/>
          <w:snapToGrid w:val="0"/>
          <w:sz w:val="20"/>
        </w:rPr>
        <w:t>Livestock development projects in the corporate sector.</w:t>
      </w:r>
    </w:p>
    <w:p w:rsidR="00D508AF" w:rsidRDefault="00D508AF" w:rsidP="004B20DC">
      <w:pPr>
        <w:pStyle w:val="ListParagraph"/>
        <w:numPr>
          <w:ilvl w:val="0"/>
          <w:numId w:val="45"/>
        </w:numPr>
        <w:jc w:val="both"/>
        <w:rPr>
          <w:rFonts w:cs="Arial"/>
          <w:snapToGrid w:val="0"/>
          <w:sz w:val="20"/>
        </w:rPr>
      </w:pPr>
      <w:r>
        <w:rPr>
          <w:rFonts w:cs="Arial"/>
          <w:snapToGrid w:val="0"/>
          <w:sz w:val="20"/>
        </w:rPr>
        <w:t>New captive power plants.</w:t>
      </w:r>
    </w:p>
    <w:p w:rsidR="00D508AF" w:rsidRDefault="00D508AF" w:rsidP="00D508AF">
      <w:pPr>
        <w:pStyle w:val="ListParagraph"/>
        <w:ind w:left="1080"/>
        <w:jc w:val="both"/>
        <w:rPr>
          <w:rFonts w:cs="Arial"/>
          <w:snapToGrid w:val="0"/>
          <w:sz w:val="20"/>
        </w:rPr>
      </w:pPr>
    </w:p>
    <w:p w:rsidR="00D508AF" w:rsidRDefault="00D508AF" w:rsidP="004B20DC">
      <w:pPr>
        <w:pStyle w:val="ListParagraph"/>
        <w:numPr>
          <w:ilvl w:val="0"/>
          <w:numId w:val="45"/>
        </w:numPr>
        <w:jc w:val="both"/>
        <w:rPr>
          <w:rFonts w:cs="Arial"/>
          <w:snapToGrid w:val="0"/>
          <w:sz w:val="20"/>
        </w:rPr>
      </w:pPr>
      <w:r>
        <w:rPr>
          <w:rFonts w:cs="Arial"/>
          <w:snapToGrid w:val="0"/>
          <w:sz w:val="20"/>
        </w:rPr>
        <w:t>Mining and quarrying in Thar coal, Balochistan and Khyber Pakhtunkhawa.</w:t>
      </w:r>
    </w:p>
    <w:p w:rsidR="00D508AF" w:rsidRDefault="00D508AF" w:rsidP="00D508AF">
      <w:pPr>
        <w:jc w:val="both"/>
        <w:rPr>
          <w:rFonts w:cs="Arial"/>
          <w:snapToGrid w:val="0"/>
          <w:sz w:val="20"/>
        </w:rPr>
      </w:pPr>
      <w:r>
        <w:rPr>
          <w:rFonts w:cs="Arial"/>
          <w:snapToGrid w:val="0"/>
          <w:sz w:val="20"/>
        </w:rPr>
        <w:t>(c)</w:t>
      </w:r>
      <w:r>
        <w:rPr>
          <w:rFonts w:cs="Arial"/>
          <w:snapToGrid w:val="0"/>
          <w:sz w:val="20"/>
        </w:rPr>
        <w:tab/>
        <w:t>The concessions given in sub-clause (a) shall not apply to investment made in:-</w:t>
      </w:r>
    </w:p>
    <w:p w:rsidR="00D508AF" w:rsidRDefault="00D508AF" w:rsidP="00D508AF">
      <w:pPr>
        <w:ind w:firstLine="360"/>
        <w:jc w:val="both"/>
        <w:rPr>
          <w:rFonts w:cs="Arial"/>
          <w:snapToGrid w:val="0"/>
          <w:sz w:val="20"/>
        </w:rPr>
      </w:pPr>
      <w:r>
        <w:rPr>
          <w:rFonts w:cs="Arial"/>
          <w:snapToGrid w:val="0"/>
          <w:sz w:val="20"/>
        </w:rPr>
        <w:t>(i)</w:t>
      </w:r>
      <w:r>
        <w:rPr>
          <w:rFonts w:cs="Arial"/>
          <w:snapToGrid w:val="0"/>
          <w:sz w:val="20"/>
        </w:rPr>
        <w:tab/>
      </w:r>
      <w:r>
        <w:rPr>
          <w:rFonts w:cs="Arial"/>
          <w:snapToGrid w:val="0"/>
          <w:sz w:val="20"/>
        </w:rPr>
        <w:tab/>
        <w:t>Arms and ammunitions</w:t>
      </w:r>
    </w:p>
    <w:p w:rsidR="00D508AF" w:rsidRDefault="00D508AF" w:rsidP="00D508AF">
      <w:pPr>
        <w:tabs>
          <w:tab w:val="left" w:pos="360"/>
          <w:tab w:val="left" w:pos="547"/>
          <w:tab w:val="left" w:pos="1094"/>
          <w:tab w:val="left" w:pos="1641"/>
          <w:tab w:val="left" w:pos="2188"/>
          <w:tab w:val="left" w:pos="2998"/>
        </w:tabs>
        <w:jc w:val="both"/>
        <w:rPr>
          <w:rFonts w:cs="Arial"/>
          <w:snapToGrid w:val="0"/>
          <w:sz w:val="20"/>
        </w:rPr>
      </w:pPr>
      <w:r>
        <w:rPr>
          <w:rFonts w:cs="Arial"/>
          <w:snapToGrid w:val="0"/>
          <w:sz w:val="20"/>
        </w:rPr>
        <w:tab/>
        <w:t>(ii)</w:t>
      </w:r>
      <w:r>
        <w:rPr>
          <w:rFonts w:cs="Arial"/>
          <w:snapToGrid w:val="0"/>
          <w:sz w:val="20"/>
        </w:rPr>
        <w:tab/>
        <w:t>Explosives</w:t>
      </w:r>
      <w:r>
        <w:rPr>
          <w:rFonts w:cs="Arial"/>
          <w:snapToGrid w:val="0"/>
          <w:sz w:val="20"/>
        </w:rPr>
        <w:tab/>
      </w:r>
      <w:r>
        <w:rPr>
          <w:rFonts w:cs="Arial"/>
          <w:snapToGrid w:val="0"/>
          <w:sz w:val="20"/>
        </w:rPr>
        <w:tab/>
      </w:r>
    </w:p>
    <w:p w:rsidR="00D508AF" w:rsidRDefault="00D508AF" w:rsidP="00D508AF">
      <w:pPr>
        <w:tabs>
          <w:tab w:val="left" w:pos="360"/>
        </w:tabs>
        <w:jc w:val="both"/>
        <w:rPr>
          <w:rFonts w:cs="Arial"/>
          <w:snapToGrid w:val="0"/>
          <w:sz w:val="20"/>
        </w:rPr>
      </w:pPr>
      <w:r>
        <w:rPr>
          <w:rFonts w:cs="Arial"/>
          <w:snapToGrid w:val="0"/>
          <w:sz w:val="20"/>
        </w:rPr>
        <w:tab/>
        <w:t>(iii)</w:t>
      </w:r>
      <w:r>
        <w:rPr>
          <w:rFonts w:cs="Arial"/>
          <w:snapToGrid w:val="0"/>
          <w:sz w:val="20"/>
        </w:rPr>
        <w:tab/>
        <w:t>Fertilizers</w:t>
      </w:r>
    </w:p>
    <w:p w:rsidR="00D508AF" w:rsidRPr="0061064C" w:rsidRDefault="00D508AF" w:rsidP="008C2DA3">
      <w:pPr>
        <w:pStyle w:val="ListParagraph"/>
        <w:numPr>
          <w:ilvl w:val="0"/>
          <w:numId w:val="39"/>
        </w:numPr>
        <w:ind w:left="1080"/>
        <w:jc w:val="both"/>
        <w:rPr>
          <w:rFonts w:cs="Arial"/>
          <w:snapToGrid w:val="0"/>
          <w:sz w:val="20"/>
        </w:rPr>
      </w:pPr>
      <w:r w:rsidRPr="0061064C">
        <w:rPr>
          <w:rFonts w:cs="Arial"/>
          <w:snapToGrid w:val="0"/>
          <w:sz w:val="20"/>
        </w:rPr>
        <w:t>Sugar</w:t>
      </w:r>
    </w:p>
    <w:p w:rsidR="00D508AF" w:rsidRPr="0061064C" w:rsidRDefault="00D508AF" w:rsidP="008C2DA3">
      <w:pPr>
        <w:pStyle w:val="ListParagraph"/>
        <w:numPr>
          <w:ilvl w:val="0"/>
          <w:numId w:val="39"/>
        </w:numPr>
        <w:ind w:left="1080"/>
        <w:jc w:val="both"/>
        <w:rPr>
          <w:rFonts w:cs="Arial"/>
          <w:snapToGrid w:val="0"/>
          <w:sz w:val="20"/>
        </w:rPr>
      </w:pPr>
      <w:r w:rsidRPr="0061064C">
        <w:rPr>
          <w:rFonts w:cs="Arial"/>
          <w:snapToGrid w:val="0"/>
          <w:sz w:val="20"/>
        </w:rPr>
        <w:t>Cigarettes</w:t>
      </w:r>
    </w:p>
    <w:p w:rsidR="00D508AF" w:rsidRDefault="00D508AF" w:rsidP="004B20DC">
      <w:pPr>
        <w:pStyle w:val="ListParagraph"/>
        <w:numPr>
          <w:ilvl w:val="0"/>
          <w:numId w:val="45"/>
        </w:numPr>
        <w:jc w:val="both"/>
        <w:rPr>
          <w:rFonts w:cs="Arial"/>
          <w:snapToGrid w:val="0"/>
          <w:sz w:val="20"/>
        </w:rPr>
      </w:pPr>
      <w:r>
        <w:rPr>
          <w:rFonts w:cs="Arial"/>
          <w:snapToGrid w:val="0"/>
          <w:sz w:val="20"/>
        </w:rPr>
        <w:t>Aerated beverages</w:t>
      </w:r>
    </w:p>
    <w:p w:rsidR="00D508AF" w:rsidRDefault="00D508AF" w:rsidP="004B20DC">
      <w:pPr>
        <w:pStyle w:val="ListParagraph"/>
        <w:numPr>
          <w:ilvl w:val="0"/>
          <w:numId w:val="45"/>
        </w:numPr>
        <w:jc w:val="both"/>
        <w:rPr>
          <w:rFonts w:cs="Arial"/>
          <w:snapToGrid w:val="0"/>
          <w:sz w:val="20"/>
        </w:rPr>
      </w:pPr>
      <w:r>
        <w:rPr>
          <w:rFonts w:cs="Arial"/>
          <w:snapToGrid w:val="0"/>
          <w:sz w:val="20"/>
        </w:rPr>
        <w:t>Cement</w:t>
      </w:r>
    </w:p>
    <w:p w:rsidR="00D508AF" w:rsidRDefault="00D508AF" w:rsidP="004B20DC">
      <w:pPr>
        <w:pStyle w:val="ListParagraph"/>
        <w:numPr>
          <w:ilvl w:val="0"/>
          <w:numId w:val="45"/>
        </w:numPr>
        <w:jc w:val="both"/>
        <w:rPr>
          <w:rFonts w:cs="Arial"/>
          <w:snapToGrid w:val="0"/>
          <w:sz w:val="20"/>
        </w:rPr>
      </w:pPr>
      <w:r>
        <w:rPr>
          <w:rFonts w:cs="Arial"/>
          <w:snapToGrid w:val="0"/>
          <w:sz w:val="20"/>
        </w:rPr>
        <w:t>Textile spinning units</w:t>
      </w:r>
    </w:p>
    <w:p w:rsidR="00D508AF" w:rsidRDefault="00D508AF" w:rsidP="004B20DC">
      <w:pPr>
        <w:pStyle w:val="ListParagraph"/>
        <w:numPr>
          <w:ilvl w:val="0"/>
          <w:numId w:val="45"/>
        </w:numPr>
        <w:jc w:val="both"/>
        <w:rPr>
          <w:rFonts w:cs="Arial"/>
          <w:snapToGrid w:val="0"/>
          <w:sz w:val="20"/>
        </w:rPr>
      </w:pPr>
      <w:r>
        <w:rPr>
          <w:rFonts w:cs="Arial"/>
          <w:snapToGrid w:val="0"/>
          <w:sz w:val="20"/>
        </w:rPr>
        <w:lastRenderedPageBreak/>
        <w:t>Flour mills</w:t>
      </w:r>
    </w:p>
    <w:p w:rsidR="00D508AF" w:rsidRDefault="00D508AF" w:rsidP="004B20DC">
      <w:pPr>
        <w:pStyle w:val="ListParagraph"/>
        <w:numPr>
          <w:ilvl w:val="0"/>
          <w:numId w:val="45"/>
        </w:numPr>
        <w:jc w:val="both"/>
        <w:rPr>
          <w:rFonts w:cs="Arial"/>
          <w:snapToGrid w:val="0"/>
          <w:sz w:val="20"/>
        </w:rPr>
      </w:pPr>
      <w:r>
        <w:rPr>
          <w:rFonts w:cs="Arial"/>
          <w:snapToGrid w:val="0"/>
          <w:sz w:val="20"/>
        </w:rPr>
        <w:t>Vegetable ghee and</w:t>
      </w:r>
    </w:p>
    <w:p w:rsidR="00D508AF" w:rsidRDefault="00D508AF" w:rsidP="004B20DC">
      <w:pPr>
        <w:pStyle w:val="ListParagraph"/>
        <w:numPr>
          <w:ilvl w:val="0"/>
          <w:numId w:val="45"/>
        </w:numPr>
        <w:jc w:val="both"/>
        <w:rPr>
          <w:rFonts w:cs="Arial"/>
          <w:snapToGrid w:val="0"/>
          <w:sz w:val="20"/>
        </w:rPr>
      </w:pPr>
      <w:r>
        <w:rPr>
          <w:rFonts w:cs="Arial"/>
          <w:snapToGrid w:val="0"/>
          <w:sz w:val="20"/>
        </w:rPr>
        <w:t>Cooking oil manufacturing</w:t>
      </w:r>
    </w:p>
    <w:p w:rsidR="00D508AF" w:rsidRDefault="00D508AF" w:rsidP="00D508AF">
      <w:pPr>
        <w:jc w:val="both"/>
        <w:rPr>
          <w:rFonts w:cs="Arial"/>
          <w:snapToGrid w:val="0"/>
          <w:sz w:val="20"/>
        </w:rPr>
      </w:pPr>
    </w:p>
    <w:p w:rsidR="00D508AF" w:rsidRDefault="00D508AF" w:rsidP="00D508AF">
      <w:pPr>
        <w:ind w:left="360" w:hanging="360"/>
        <w:jc w:val="both"/>
        <w:rPr>
          <w:rFonts w:cs="Arial"/>
          <w:snapToGrid w:val="0"/>
          <w:sz w:val="20"/>
        </w:rPr>
      </w:pPr>
      <w:r>
        <w:rPr>
          <w:rFonts w:cs="Arial"/>
          <w:snapToGrid w:val="0"/>
          <w:sz w:val="20"/>
        </w:rPr>
        <w:t>(d)</w:t>
      </w:r>
      <w:r>
        <w:rPr>
          <w:rFonts w:cs="Arial"/>
          <w:snapToGrid w:val="0"/>
          <w:sz w:val="20"/>
        </w:rPr>
        <w:tab/>
        <w:t>The term Green</w:t>
      </w:r>
      <w:r w:rsidR="00716C91">
        <w:rPr>
          <w:rFonts w:cs="Arial"/>
          <w:snapToGrid w:val="0"/>
          <w:sz w:val="20"/>
        </w:rPr>
        <w:t xml:space="preserve"> </w:t>
      </w:r>
      <w:r>
        <w:rPr>
          <w:rFonts w:cs="Arial"/>
          <w:snapToGrid w:val="0"/>
          <w:sz w:val="20"/>
        </w:rPr>
        <w:t>filed industrial undertaking shall include expansion projects for the purposes of this clause.</w:t>
      </w:r>
    </w:p>
    <w:p w:rsidR="00D508AF" w:rsidRDefault="00D508AF" w:rsidP="00D508AF">
      <w:pPr>
        <w:ind w:left="360" w:hanging="360"/>
        <w:jc w:val="both"/>
        <w:rPr>
          <w:rFonts w:cs="Arial"/>
          <w:snapToGrid w:val="0"/>
          <w:sz w:val="20"/>
        </w:rPr>
      </w:pPr>
      <w:r>
        <w:rPr>
          <w:rFonts w:cs="Arial"/>
          <w:snapToGrid w:val="0"/>
          <w:sz w:val="20"/>
        </w:rPr>
        <w:t>(e)</w:t>
      </w:r>
      <w:r>
        <w:rPr>
          <w:rFonts w:cs="Arial"/>
          <w:snapToGrid w:val="0"/>
          <w:sz w:val="20"/>
        </w:rPr>
        <w:tab/>
        <w:t>Immunity under this clause shall not be available to proceeds of crime relating to offences under the following laws:</w:t>
      </w:r>
    </w:p>
    <w:p w:rsidR="00D508AF" w:rsidRDefault="00D508AF" w:rsidP="00D508AF">
      <w:pPr>
        <w:ind w:left="360" w:hanging="360"/>
        <w:jc w:val="both"/>
        <w:rPr>
          <w:rFonts w:cs="Arial"/>
          <w:snapToGrid w:val="0"/>
          <w:sz w:val="20"/>
        </w:rPr>
      </w:pPr>
      <w:r>
        <w:rPr>
          <w:rFonts w:cs="Arial"/>
          <w:snapToGrid w:val="0"/>
          <w:sz w:val="20"/>
        </w:rPr>
        <w:tab/>
        <w:t>(i)</w:t>
      </w:r>
      <w:r>
        <w:rPr>
          <w:rFonts w:cs="Arial"/>
          <w:snapToGrid w:val="0"/>
          <w:sz w:val="20"/>
        </w:rPr>
        <w:tab/>
      </w:r>
      <w:r>
        <w:rPr>
          <w:rFonts w:cs="Arial"/>
          <w:snapToGrid w:val="0"/>
          <w:sz w:val="20"/>
        </w:rPr>
        <w:tab/>
        <w:t xml:space="preserve">Control of Narcotics Substances Act, 1997; </w:t>
      </w:r>
    </w:p>
    <w:p w:rsidR="00D508AF" w:rsidRDefault="00D508AF" w:rsidP="00D508AF">
      <w:pPr>
        <w:ind w:left="360" w:hanging="360"/>
        <w:jc w:val="both"/>
        <w:rPr>
          <w:rFonts w:cs="Arial"/>
          <w:snapToGrid w:val="0"/>
          <w:sz w:val="20"/>
        </w:rPr>
      </w:pPr>
      <w:r>
        <w:rPr>
          <w:rFonts w:cs="Arial"/>
          <w:snapToGrid w:val="0"/>
          <w:sz w:val="20"/>
        </w:rPr>
        <w:tab/>
        <w:t>(ii)</w:t>
      </w:r>
      <w:r>
        <w:rPr>
          <w:rFonts w:cs="Arial"/>
          <w:snapToGrid w:val="0"/>
          <w:sz w:val="20"/>
        </w:rPr>
        <w:tab/>
        <w:t>Anti Terrorism Act, 1997; and</w:t>
      </w:r>
    </w:p>
    <w:p w:rsidR="00D508AF" w:rsidRDefault="00D508AF" w:rsidP="00D508AF">
      <w:pPr>
        <w:ind w:left="360" w:hanging="360"/>
        <w:jc w:val="both"/>
        <w:rPr>
          <w:rFonts w:cs="Arial"/>
          <w:snapToGrid w:val="0"/>
          <w:sz w:val="20"/>
        </w:rPr>
      </w:pPr>
      <w:r>
        <w:rPr>
          <w:rFonts w:cs="Arial"/>
          <w:snapToGrid w:val="0"/>
          <w:sz w:val="20"/>
        </w:rPr>
        <w:tab/>
        <w:t>(iii)</w:t>
      </w:r>
      <w:r>
        <w:rPr>
          <w:rFonts w:cs="Arial"/>
          <w:snapToGrid w:val="0"/>
          <w:sz w:val="20"/>
        </w:rPr>
        <w:tab/>
        <w:t>Anti-Money Laundering Act, 2010</w:t>
      </w:r>
      <w:r w:rsidR="00F202FC">
        <w:rPr>
          <w:rFonts w:cs="Arial"/>
          <w:snapToGrid w:val="0"/>
          <w:sz w:val="20"/>
        </w:rPr>
        <w:t>]</w:t>
      </w:r>
      <w:r>
        <w:rPr>
          <w:rFonts w:cs="Arial"/>
          <w:snapToGrid w:val="0"/>
          <w:sz w:val="20"/>
        </w:rPr>
        <w:t>.</w:t>
      </w:r>
    </w:p>
    <w:p w:rsidR="00D508AF" w:rsidRDefault="00D508AF" w:rsidP="00D508AF">
      <w:pPr>
        <w:ind w:left="360" w:hanging="360"/>
        <w:jc w:val="both"/>
        <w:rPr>
          <w:rFonts w:cs="Arial"/>
          <w:snapToGrid w:val="0"/>
          <w:sz w:val="20"/>
        </w:rPr>
      </w:pPr>
    </w:p>
    <w:p w:rsidR="00D508AF" w:rsidRPr="00F852EB" w:rsidRDefault="00146D44" w:rsidP="00E20A2D">
      <w:pPr>
        <w:jc w:val="both"/>
        <w:rPr>
          <w:rFonts w:cs="Arial"/>
          <w:snapToGrid w:val="0"/>
          <w:color w:val="000000" w:themeColor="text1"/>
          <w:sz w:val="20"/>
        </w:rPr>
      </w:pPr>
      <w:r w:rsidRPr="00F852EB">
        <w:rPr>
          <w:rStyle w:val="FootnoteReference"/>
          <w:rFonts w:cs="Arial"/>
          <w:snapToGrid w:val="0"/>
          <w:color w:val="000000" w:themeColor="text1"/>
          <w:sz w:val="20"/>
        </w:rPr>
        <w:footnoteReference w:id="2327"/>
      </w:r>
      <w:r w:rsidRPr="00F852EB">
        <w:rPr>
          <w:rFonts w:cs="Arial"/>
          <w:snapToGrid w:val="0"/>
          <w:color w:val="000000" w:themeColor="text1"/>
          <w:sz w:val="20"/>
        </w:rPr>
        <w:t xml:space="preserve">[ </w:t>
      </w:r>
      <w:r w:rsidR="00F852EB" w:rsidRPr="00F852EB">
        <w:rPr>
          <w:rFonts w:cs="Arial"/>
          <w:snapToGrid w:val="0"/>
          <w:color w:val="000000" w:themeColor="text1"/>
          <w:sz w:val="20"/>
        </w:rPr>
        <w:t xml:space="preserve"> </w:t>
      </w:r>
      <w:r w:rsidRPr="00F852EB">
        <w:rPr>
          <w:rFonts w:cs="Arial"/>
          <w:snapToGrid w:val="0"/>
          <w:color w:val="000000" w:themeColor="text1"/>
          <w:sz w:val="20"/>
        </w:rPr>
        <w:t>]</w:t>
      </w:r>
    </w:p>
    <w:p w:rsidR="00D508AF" w:rsidRPr="00E20A2D" w:rsidRDefault="00D508AF" w:rsidP="00D508AF">
      <w:pPr>
        <w:jc w:val="both"/>
        <w:rPr>
          <w:rFonts w:cs="Arial"/>
          <w:snapToGrid w:val="0"/>
          <w:color w:val="00B0F0"/>
          <w:sz w:val="20"/>
        </w:rPr>
      </w:pPr>
    </w:p>
    <w:p w:rsidR="00D508AF" w:rsidRPr="003409C0" w:rsidRDefault="00D93AC1" w:rsidP="00D93AC1">
      <w:pPr>
        <w:jc w:val="both"/>
        <w:rPr>
          <w:rFonts w:cs="Arial"/>
          <w:snapToGrid w:val="0"/>
          <w:color w:val="000000" w:themeColor="text1"/>
          <w:sz w:val="20"/>
        </w:rPr>
      </w:pPr>
      <w:r w:rsidRPr="003409C0">
        <w:rPr>
          <w:rStyle w:val="FootnoteReference"/>
          <w:rFonts w:cs="Arial"/>
          <w:snapToGrid w:val="0"/>
          <w:color w:val="000000" w:themeColor="text1"/>
          <w:sz w:val="20"/>
        </w:rPr>
        <w:footnoteReference w:id="2328"/>
      </w:r>
      <w:r w:rsidRPr="003409C0">
        <w:rPr>
          <w:rFonts w:cs="Arial"/>
          <w:snapToGrid w:val="0"/>
          <w:color w:val="000000" w:themeColor="text1"/>
          <w:sz w:val="20"/>
        </w:rPr>
        <w:t>[</w:t>
      </w:r>
      <w:r w:rsidR="00F852EB" w:rsidRPr="003409C0">
        <w:rPr>
          <w:rFonts w:cs="Arial"/>
          <w:snapToGrid w:val="0"/>
          <w:color w:val="000000" w:themeColor="text1"/>
          <w:sz w:val="20"/>
        </w:rPr>
        <w:t xml:space="preserve"> </w:t>
      </w:r>
      <w:r w:rsidR="00E20A2D" w:rsidRPr="003409C0">
        <w:rPr>
          <w:rFonts w:cs="Arial"/>
          <w:snapToGrid w:val="0"/>
          <w:color w:val="000000" w:themeColor="text1"/>
          <w:sz w:val="20"/>
        </w:rPr>
        <w:t xml:space="preserve"> ]</w:t>
      </w:r>
    </w:p>
    <w:p w:rsidR="00D508AF" w:rsidRPr="003409C0" w:rsidRDefault="00195084" w:rsidP="00195084">
      <w:pPr>
        <w:jc w:val="both"/>
        <w:rPr>
          <w:rFonts w:cs="Arial"/>
          <w:snapToGrid w:val="0"/>
          <w:color w:val="000000" w:themeColor="text1"/>
          <w:sz w:val="20"/>
        </w:rPr>
      </w:pPr>
      <w:r w:rsidRPr="003409C0">
        <w:rPr>
          <w:rStyle w:val="FootnoteReference"/>
          <w:rFonts w:cs="Arial"/>
          <w:snapToGrid w:val="0"/>
          <w:color w:val="000000" w:themeColor="text1"/>
          <w:sz w:val="20"/>
        </w:rPr>
        <w:lastRenderedPageBreak/>
        <w:footnoteReference w:id="2329"/>
      </w:r>
      <w:r w:rsidRPr="003409C0">
        <w:rPr>
          <w:rFonts w:cs="Arial"/>
          <w:snapToGrid w:val="0"/>
          <w:color w:val="000000" w:themeColor="text1"/>
          <w:sz w:val="20"/>
        </w:rPr>
        <w:t xml:space="preserve">[    ] </w:t>
      </w:r>
    </w:p>
    <w:p w:rsidR="00195084" w:rsidRPr="003409C0" w:rsidRDefault="00195084" w:rsidP="00195084">
      <w:pPr>
        <w:jc w:val="both"/>
        <w:rPr>
          <w:rFonts w:cs="Arial"/>
          <w:snapToGrid w:val="0"/>
          <w:color w:val="000000" w:themeColor="text1"/>
          <w:sz w:val="20"/>
        </w:rPr>
      </w:pPr>
    </w:p>
    <w:p w:rsidR="00D508AF" w:rsidRPr="003409C0" w:rsidRDefault="004339E0" w:rsidP="004339E0">
      <w:pPr>
        <w:jc w:val="both"/>
        <w:rPr>
          <w:rFonts w:cs="Arial"/>
          <w:snapToGrid w:val="0"/>
          <w:color w:val="000000" w:themeColor="text1"/>
          <w:sz w:val="20"/>
        </w:rPr>
      </w:pPr>
      <w:r w:rsidRPr="003409C0">
        <w:rPr>
          <w:rStyle w:val="FootnoteReference"/>
          <w:rFonts w:cs="Arial"/>
          <w:snapToGrid w:val="0"/>
          <w:color w:val="000000" w:themeColor="text1"/>
          <w:sz w:val="20"/>
        </w:rPr>
        <w:footnoteReference w:id="2330"/>
      </w:r>
      <w:r w:rsidRPr="003409C0">
        <w:rPr>
          <w:rFonts w:cs="Arial"/>
          <w:snapToGrid w:val="0"/>
          <w:color w:val="000000" w:themeColor="text1"/>
          <w:sz w:val="20"/>
        </w:rPr>
        <w:t>[    ]</w:t>
      </w:r>
    </w:p>
    <w:p w:rsidR="002C2E9E" w:rsidRPr="003409C0" w:rsidRDefault="002C2E9E" w:rsidP="004339E0">
      <w:pPr>
        <w:jc w:val="both"/>
        <w:rPr>
          <w:rFonts w:cs="Arial"/>
          <w:snapToGrid w:val="0"/>
          <w:color w:val="000000" w:themeColor="text1"/>
          <w:sz w:val="20"/>
        </w:rPr>
      </w:pPr>
    </w:p>
    <w:p w:rsidR="00204087" w:rsidRDefault="002C2E9E" w:rsidP="004339E0">
      <w:pPr>
        <w:jc w:val="both"/>
        <w:rPr>
          <w:rFonts w:cs="Arial"/>
          <w:szCs w:val="24"/>
        </w:rPr>
      </w:pPr>
      <w:r w:rsidRPr="003409C0">
        <w:rPr>
          <w:rStyle w:val="FootnoteReference"/>
          <w:rFonts w:cs="Arial"/>
          <w:snapToGrid w:val="0"/>
          <w:color w:val="000000" w:themeColor="text1"/>
          <w:sz w:val="20"/>
        </w:rPr>
        <w:footnoteReference w:id="2331"/>
      </w:r>
      <w:r w:rsidRPr="003409C0">
        <w:rPr>
          <w:rFonts w:cs="Arial"/>
          <w:snapToGrid w:val="0"/>
          <w:color w:val="000000" w:themeColor="text1"/>
          <w:sz w:val="20"/>
        </w:rPr>
        <w:t>[</w:t>
      </w:r>
      <w:r w:rsidR="00F12B26" w:rsidRPr="003409C0">
        <w:rPr>
          <w:rFonts w:cs="Arial"/>
          <w:snapToGrid w:val="0"/>
          <w:color w:val="000000" w:themeColor="text1"/>
          <w:sz w:val="20"/>
        </w:rPr>
        <w:t xml:space="preserve"> </w:t>
      </w:r>
      <w:r w:rsidR="00204087" w:rsidRPr="000E5E48">
        <w:rPr>
          <w:rStyle w:val="FootnoteReference"/>
          <w:rFonts w:cs="Arial"/>
          <w:snapToGrid w:val="0"/>
          <w:color w:val="0070C0"/>
          <w:sz w:val="20"/>
        </w:rPr>
        <w:footnoteReference w:id="2332"/>
      </w:r>
      <w:r w:rsidR="00204087" w:rsidRPr="000E5E48">
        <w:rPr>
          <w:rFonts w:cs="Arial"/>
          <w:snapToGrid w:val="0"/>
          <w:color w:val="0070C0"/>
          <w:sz w:val="20"/>
        </w:rPr>
        <w:t>[    ]</w:t>
      </w:r>
      <w:r w:rsidR="00204087">
        <w:rPr>
          <w:rFonts w:cs="Arial"/>
          <w:snapToGrid w:val="0"/>
          <w:color w:val="984806" w:themeColor="accent6" w:themeShade="80"/>
          <w:sz w:val="20"/>
        </w:rPr>
        <w:t xml:space="preserve"> </w:t>
      </w:r>
      <w:r w:rsidR="00B53FFD" w:rsidRPr="003409C0">
        <w:rPr>
          <w:rFonts w:cs="Arial"/>
          <w:snapToGrid w:val="0"/>
          <w:color w:val="000000" w:themeColor="text1"/>
          <w:sz w:val="20"/>
        </w:rPr>
        <w:t>]</w:t>
      </w:r>
    </w:p>
    <w:p w:rsidR="00B8383C" w:rsidRDefault="00685600" w:rsidP="004339E0">
      <w:pPr>
        <w:jc w:val="both"/>
        <w:rPr>
          <w:rFonts w:cs="Arial"/>
          <w:snapToGrid w:val="0"/>
          <w:sz w:val="20"/>
        </w:rPr>
      </w:pPr>
      <w:r>
        <w:rPr>
          <w:rFonts w:cs="Arial"/>
          <w:snapToGrid w:val="0"/>
          <w:color w:val="984806" w:themeColor="accent6" w:themeShade="80"/>
          <w:sz w:val="20"/>
        </w:rPr>
        <w:t xml:space="preserve"> </w:t>
      </w:r>
    </w:p>
    <w:p w:rsidR="00B8383C" w:rsidRPr="003409C0" w:rsidRDefault="00381BB9" w:rsidP="00B8383C">
      <w:pPr>
        <w:autoSpaceDE w:val="0"/>
        <w:autoSpaceDN w:val="0"/>
        <w:adjustRightInd w:val="0"/>
        <w:rPr>
          <w:rFonts w:cs="Arial"/>
          <w:color w:val="000000" w:themeColor="text1"/>
          <w:sz w:val="20"/>
          <w:lang w:val="en-US"/>
        </w:rPr>
      </w:pPr>
      <w:r w:rsidRPr="003409C0">
        <w:rPr>
          <w:rStyle w:val="FootnoteReference"/>
          <w:rFonts w:cs="Arial"/>
          <w:color w:val="000000" w:themeColor="text1"/>
          <w:sz w:val="20"/>
          <w:lang w:val="en-US"/>
        </w:rPr>
        <w:footnoteReference w:id="2333"/>
      </w:r>
      <w:r w:rsidR="00B8383C" w:rsidRPr="003409C0">
        <w:rPr>
          <w:rFonts w:cs="Arial"/>
          <w:color w:val="000000" w:themeColor="text1"/>
          <w:sz w:val="20"/>
          <w:lang w:val="en-US"/>
        </w:rPr>
        <w:t>[“(91) The provisions of section 148 shall not apply to-</w:t>
      </w:r>
    </w:p>
    <w:p w:rsidR="00B8383C" w:rsidRPr="003409C0" w:rsidRDefault="00B8383C" w:rsidP="00B8383C">
      <w:pPr>
        <w:autoSpaceDE w:val="0"/>
        <w:autoSpaceDN w:val="0"/>
        <w:adjustRightInd w:val="0"/>
        <w:rPr>
          <w:rFonts w:cs="Arial"/>
          <w:color w:val="000000" w:themeColor="text1"/>
          <w:sz w:val="14"/>
          <w:lang w:val="en-US"/>
        </w:rPr>
      </w:pPr>
    </w:p>
    <w:p w:rsidR="00B8383C" w:rsidRPr="003409C0" w:rsidRDefault="00B8383C" w:rsidP="002B7A31">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(i) Tillage and seed bed preparation equipment as</w:t>
      </w:r>
      <w:r w:rsidR="00A0443E" w:rsidRPr="003409C0">
        <w:rPr>
          <w:rFonts w:cs="Arial"/>
          <w:color w:val="000000" w:themeColor="text1"/>
          <w:sz w:val="20"/>
          <w:lang w:val="en-US"/>
        </w:rPr>
        <w:t xml:space="preserve"> </w:t>
      </w:r>
      <w:r w:rsidRPr="003409C0">
        <w:rPr>
          <w:rFonts w:cs="Arial"/>
          <w:color w:val="000000" w:themeColor="text1"/>
          <w:sz w:val="20"/>
          <w:lang w:val="en-US"/>
        </w:rPr>
        <w:t>specified below</w:t>
      </w:r>
    </w:p>
    <w:p w:rsidR="0067435F" w:rsidRPr="00B8383C" w:rsidRDefault="0067435F" w:rsidP="00B8383C">
      <w:pPr>
        <w:autoSpaceDE w:val="0"/>
        <w:autoSpaceDN w:val="0"/>
        <w:adjustRightInd w:val="0"/>
        <w:rPr>
          <w:rFonts w:cs="Arial"/>
          <w:color w:val="984806" w:themeColor="accent6" w:themeShade="80"/>
          <w:sz w:val="20"/>
          <w:lang w:val="en-US"/>
        </w:rPr>
      </w:pPr>
    </w:p>
    <w:tbl>
      <w:tblPr>
        <w:tblStyle w:val="TableGrid"/>
        <w:tblW w:w="0" w:type="auto"/>
        <w:tblInd w:w="1098" w:type="dxa"/>
        <w:tblBorders>
          <w:left w:val="none" w:sz="0" w:space="0" w:color="auto"/>
          <w:right w:val="none" w:sz="0" w:space="0" w:color="auto"/>
          <w:insideH w:val="none" w:sz="0" w:space="0" w:color="auto"/>
          <w:insideV w:val="none" w:sz="0" w:space="0" w:color="auto"/>
        </w:tblBorders>
        <w:tblLook w:val="04A0"/>
      </w:tblPr>
      <w:tblGrid>
        <w:gridCol w:w="540"/>
        <w:gridCol w:w="2160"/>
        <w:gridCol w:w="1440"/>
      </w:tblGrid>
      <w:tr w:rsidR="0067435F" w:rsidRPr="003409C0" w:rsidTr="0067435F">
        <w:tc>
          <w:tcPr>
            <w:tcW w:w="540" w:type="dxa"/>
          </w:tcPr>
          <w:p w:rsidR="0067435F" w:rsidRPr="003409C0" w:rsidRDefault="0067435F" w:rsidP="00B8383C">
            <w:pPr>
              <w:autoSpaceDE w:val="0"/>
              <w:autoSpaceDN w:val="0"/>
              <w:adjustRightInd w:val="0"/>
              <w:rPr>
                <w:rFonts w:cs="Arial"/>
                <w:b/>
                <w:bCs/>
                <w:color w:val="000000" w:themeColor="text1"/>
                <w:sz w:val="20"/>
                <w:lang w:val="en-US"/>
              </w:rPr>
            </w:pPr>
          </w:p>
        </w:tc>
        <w:tc>
          <w:tcPr>
            <w:tcW w:w="2160" w:type="dxa"/>
          </w:tcPr>
          <w:p w:rsidR="0067435F" w:rsidRPr="003409C0" w:rsidRDefault="0067435F" w:rsidP="00B8383C">
            <w:pPr>
              <w:autoSpaceDE w:val="0"/>
              <w:autoSpaceDN w:val="0"/>
              <w:adjustRightInd w:val="0"/>
              <w:rPr>
                <w:rFonts w:cs="Arial"/>
                <w:b/>
                <w:bCs/>
                <w:color w:val="000000" w:themeColor="text1"/>
                <w:sz w:val="20"/>
                <w:lang w:val="en-US"/>
              </w:rPr>
            </w:pPr>
            <w:r w:rsidRPr="003409C0">
              <w:rPr>
                <w:rFonts w:cs="Arial"/>
                <w:b/>
                <w:bCs/>
                <w:color w:val="000000" w:themeColor="text1"/>
                <w:sz w:val="20"/>
                <w:lang w:val="en-US"/>
              </w:rPr>
              <w:t>Equipment</w:t>
            </w:r>
          </w:p>
        </w:tc>
        <w:tc>
          <w:tcPr>
            <w:tcW w:w="1440" w:type="dxa"/>
          </w:tcPr>
          <w:p w:rsidR="0067435F" w:rsidRPr="003409C0" w:rsidRDefault="0067435F" w:rsidP="00B8383C">
            <w:pPr>
              <w:autoSpaceDE w:val="0"/>
              <w:autoSpaceDN w:val="0"/>
              <w:adjustRightInd w:val="0"/>
              <w:rPr>
                <w:rFonts w:cs="Arial"/>
                <w:b/>
                <w:bCs/>
                <w:color w:val="000000" w:themeColor="text1"/>
                <w:sz w:val="20"/>
                <w:lang w:val="en-US"/>
              </w:rPr>
            </w:pPr>
            <w:r w:rsidRPr="003409C0">
              <w:rPr>
                <w:rFonts w:cs="Arial"/>
                <w:b/>
                <w:bCs/>
                <w:color w:val="000000" w:themeColor="text1"/>
                <w:sz w:val="20"/>
                <w:lang w:val="en-US"/>
              </w:rPr>
              <w:t>PCT Code</w:t>
            </w:r>
          </w:p>
        </w:tc>
      </w:tr>
    </w:tbl>
    <w:p w:rsidR="00B8383C" w:rsidRPr="003409C0" w:rsidRDefault="00B8383C" w:rsidP="0067435F">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(i) </w:t>
      </w:r>
      <w:r w:rsidR="0067435F" w:rsidRPr="003409C0">
        <w:rPr>
          <w:rFonts w:cs="Arial"/>
          <w:color w:val="000000" w:themeColor="text1"/>
          <w:sz w:val="20"/>
          <w:lang w:val="en-US"/>
        </w:rPr>
        <w:tab/>
      </w:r>
      <w:r w:rsidRPr="003409C0">
        <w:rPr>
          <w:rFonts w:cs="Arial"/>
          <w:color w:val="000000" w:themeColor="text1"/>
          <w:sz w:val="20"/>
          <w:lang w:val="en-US"/>
        </w:rPr>
        <w:t xml:space="preserve">Rotavator </w:t>
      </w:r>
      <w:r w:rsidR="0067435F" w:rsidRPr="003409C0">
        <w:rPr>
          <w:rFonts w:cs="Arial"/>
          <w:color w:val="000000" w:themeColor="text1"/>
          <w:sz w:val="20"/>
          <w:lang w:val="en-US"/>
        </w:rPr>
        <w:tab/>
      </w:r>
      <w:r w:rsidR="0067435F" w:rsidRPr="003409C0">
        <w:rPr>
          <w:rFonts w:cs="Arial"/>
          <w:color w:val="000000" w:themeColor="text1"/>
          <w:sz w:val="20"/>
          <w:lang w:val="en-US"/>
        </w:rPr>
        <w:tab/>
      </w:r>
      <w:r w:rsidR="0067435F" w:rsidRPr="003409C0">
        <w:rPr>
          <w:rFonts w:cs="Arial"/>
          <w:color w:val="000000" w:themeColor="text1"/>
          <w:sz w:val="20"/>
          <w:lang w:val="en-US"/>
        </w:rPr>
        <w:tab/>
      </w:r>
      <w:r w:rsidRPr="003409C0">
        <w:rPr>
          <w:rFonts w:cs="Arial"/>
          <w:color w:val="000000" w:themeColor="text1"/>
          <w:sz w:val="20"/>
          <w:lang w:val="en-US"/>
        </w:rPr>
        <w:t>8432.8010</w:t>
      </w:r>
    </w:p>
    <w:p w:rsidR="00B8383C" w:rsidRPr="003409C0" w:rsidRDefault="00B8383C" w:rsidP="0067435F">
      <w:pPr>
        <w:autoSpaceDE w:val="0"/>
        <w:autoSpaceDN w:val="0"/>
        <w:adjustRightInd w:val="0"/>
        <w:ind w:left="1094"/>
        <w:rPr>
          <w:rFonts w:cs="Arial"/>
          <w:color w:val="000000" w:themeColor="text1"/>
          <w:sz w:val="20"/>
          <w:lang w:val="en-US"/>
        </w:rPr>
      </w:pPr>
      <w:r w:rsidRPr="003409C0">
        <w:rPr>
          <w:rFonts w:cs="Arial"/>
          <w:color w:val="000000" w:themeColor="text1"/>
          <w:sz w:val="20"/>
          <w:lang w:val="en-US"/>
        </w:rPr>
        <w:t xml:space="preserve">(ii) </w:t>
      </w:r>
      <w:r w:rsidR="0067435F" w:rsidRPr="003409C0">
        <w:rPr>
          <w:rFonts w:cs="Arial"/>
          <w:color w:val="000000" w:themeColor="text1"/>
          <w:sz w:val="20"/>
          <w:lang w:val="en-US"/>
        </w:rPr>
        <w:tab/>
      </w:r>
      <w:r w:rsidRPr="003409C0">
        <w:rPr>
          <w:rFonts w:cs="Arial"/>
          <w:color w:val="000000" w:themeColor="text1"/>
          <w:sz w:val="20"/>
          <w:lang w:val="en-US"/>
        </w:rPr>
        <w:t xml:space="preserve">Cultivator </w:t>
      </w:r>
      <w:r w:rsidR="0067435F" w:rsidRPr="003409C0">
        <w:rPr>
          <w:rFonts w:cs="Arial"/>
          <w:color w:val="000000" w:themeColor="text1"/>
          <w:sz w:val="20"/>
          <w:lang w:val="en-US"/>
        </w:rPr>
        <w:tab/>
      </w:r>
      <w:r w:rsidR="0067435F" w:rsidRPr="003409C0">
        <w:rPr>
          <w:rFonts w:cs="Arial"/>
          <w:color w:val="000000" w:themeColor="text1"/>
          <w:sz w:val="20"/>
          <w:lang w:val="en-US"/>
        </w:rPr>
        <w:tab/>
      </w:r>
      <w:r w:rsidR="0067435F" w:rsidRPr="003409C0">
        <w:rPr>
          <w:rFonts w:cs="Arial"/>
          <w:color w:val="000000" w:themeColor="text1"/>
          <w:sz w:val="20"/>
          <w:lang w:val="en-US"/>
        </w:rPr>
        <w:tab/>
      </w:r>
      <w:r w:rsidRPr="003409C0">
        <w:rPr>
          <w:rFonts w:cs="Arial"/>
          <w:color w:val="000000" w:themeColor="text1"/>
          <w:sz w:val="20"/>
          <w:lang w:val="en-US"/>
        </w:rPr>
        <w:t>8432.2910</w:t>
      </w:r>
    </w:p>
    <w:p w:rsidR="00B8383C" w:rsidRPr="003409C0" w:rsidRDefault="00B8383C" w:rsidP="0067435F">
      <w:pPr>
        <w:autoSpaceDE w:val="0"/>
        <w:autoSpaceDN w:val="0"/>
        <w:adjustRightInd w:val="0"/>
        <w:ind w:left="1094"/>
        <w:rPr>
          <w:rFonts w:cs="Arial"/>
          <w:color w:val="000000" w:themeColor="text1"/>
          <w:sz w:val="20"/>
          <w:lang w:val="en-US"/>
        </w:rPr>
      </w:pPr>
      <w:r w:rsidRPr="003409C0">
        <w:rPr>
          <w:rFonts w:cs="Arial"/>
          <w:color w:val="000000" w:themeColor="text1"/>
          <w:sz w:val="20"/>
          <w:lang w:val="en-US"/>
        </w:rPr>
        <w:t xml:space="preserve">(iii) </w:t>
      </w:r>
      <w:r w:rsidR="0067435F" w:rsidRPr="003409C0">
        <w:rPr>
          <w:rFonts w:cs="Arial"/>
          <w:color w:val="000000" w:themeColor="text1"/>
          <w:sz w:val="20"/>
          <w:lang w:val="en-US"/>
        </w:rPr>
        <w:tab/>
      </w:r>
      <w:r w:rsidRPr="003409C0">
        <w:rPr>
          <w:rFonts w:cs="Arial"/>
          <w:color w:val="000000" w:themeColor="text1"/>
          <w:sz w:val="20"/>
          <w:lang w:val="en-US"/>
        </w:rPr>
        <w:t xml:space="preserve">Ridger </w:t>
      </w:r>
      <w:r w:rsidR="0067435F" w:rsidRPr="003409C0">
        <w:rPr>
          <w:rFonts w:cs="Arial"/>
          <w:color w:val="000000" w:themeColor="text1"/>
          <w:sz w:val="20"/>
          <w:lang w:val="en-US"/>
        </w:rPr>
        <w:tab/>
      </w:r>
      <w:r w:rsidR="0067435F" w:rsidRPr="003409C0">
        <w:rPr>
          <w:rFonts w:cs="Arial"/>
          <w:color w:val="000000" w:themeColor="text1"/>
          <w:sz w:val="20"/>
          <w:lang w:val="en-US"/>
        </w:rPr>
        <w:tab/>
      </w:r>
      <w:r w:rsidR="0067435F" w:rsidRPr="003409C0">
        <w:rPr>
          <w:rFonts w:cs="Arial"/>
          <w:color w:val="000000" w:themeColor="text1"/>
          <w:sz w:val="20"/>
          <w:lang w:val="en-US"/>
        </w:rPr>
        <w:tab/>
      </w:r>
      <w:r w:rsidRPr="003409C0">
        <w:rPr>
          <w:rFonts w:cs="Arial"/>
          <w:color w:val="000000" w:themeColor="text1"/>
          <w:sz w:val="20"/>
          <w:lang w:val="en-US"/>
        </w:rPr>
        <w:t>8432.8090</w:t>
      </w:r>
    </w:p>
    <w:p w:rsidR="00B8383C" w:rsidRPr="003409C0" w:rsidRDefault="00B8383C" w:rsidP="0067435F">
      <w:pPr>
        <w:autoSpaceDE w:val="0"/>
        <w:autoSpaceDN w:val="0"/>
        <w:adjustRightInd w:val="0"/>
        <w:ind w:left="1094"/>
        <w:rPr>
          <w:rFonts w:cs="Arial"/>
          <w:color w:val="000000" w:themeColor="text1"/>
          <w:sz w:val="20"/>
          <w:lang w:val="en-US"/>
        </w:rPr>
      </w:pPr>
      <w:r w:rsidRPr="003409C0">
        <w:rPr>
          <w:rFonts w:cs="Arial"/>
          <w:color w:val="000000" w:themeColor="text1"/>
          <w:sz w:val="20"/>
          <w:lang w:val="en-US"/>
        </w:rPr>
        <w:t xml:space="preserve">(iv) </w:t>
      </w:r>
      <w:r w:rsidR="0067435F" w:rsidRPr="003409C0">
        <w:rPr>
          <w:rFonts w:cs="Arial"/>
          <w:color w:val="000000" w:themeColor="text1"/>
          <w:sz w:val="20"/>
          <w:lang w:val="en-US"/>
        </w:rPr>
        <w:tab/>
      </w:r>
      <w:r w:rsidRPr="003409C0">
        <w:rPr>
          <w:rFonts w:cs="Arial"/>
          <w:color w:val="000000" w:themeColor="text1"/>
          <w:sz w:val="20"/>
          <w:lang w:val="en-US"/>
        </w:rPr>
        <w:t xml:space="preserve">Sub soiler </w:t>
      </w:r>
      <w:r w:rsidR="0067435F" w:rsidRPr="003409C0">
        <w:rPr>
          <w:rFonts w:cs="Arial"/>
          <w:color w:val="000000" w:themeColor="text1"/>
          <w:sz w:val="20"/>
          <w:lang w:val="en-US"/>
        </w:rPr>
        <w:tab/>
      </w:r>
      <w:r w:rsidR="0067435F" w:rsidRPr="003409C0">
        <w:rPr>
          <w:rFonts w:cs="Arial"/>
          <w:color w:val="000000" w:themeColor="text1"/>
          <w:sz w:val="20"/>
          <w:lang w:val="en-US"/>
        </w:rPr>
        <w:tab/>
      </w:r>
      <w:r w:rsidR="0067435F" w:rsidRPr="003409C0">
        <w:rPr>
          <w:rFonts w:cs="Arial"/>
          <w:color w:val="000000" w:themeColor="text1"/>
          <w:sz w:val="20"/>
          <w:lang w:val="en-US"/>
        </w:rPr>
        <w:tab/>
      </w:r>
      <w:r w:rsidRPr="003409C0">
        <w:rPr>
          <w:rFonts w:cs="Arial"/>
          <w:color w:val="000000" w:themeColor="text1"/>
          <w:sz w:val="20"/>
          <w:lang w:val="en-US"/>
        </w:rPr>
        <w:t>8432.3090</w:t>
      </w:r>
    </w:p>
    <w:p w:rsidR="00B8383C" w:rsidRPr="003409C0" w:rsidRDefault="00B8383C" w:rsidP="0067435F">
      <w:pPr>
        <w:autoSpaceDE w:val="0"/>
        <w:autoSpaceDN w:val="0"/>
        <w:adjustRightInd w:val="0"/>
        <w:ind w:left="1094"/>
        <w:rPr>
          <w:rFonts w:cs="Arial"/>
          <w:color w:val="000000" w:themeColor="text1"/>
          <w:sz w:val="20"/>
          <w:lang w:val="en-US"/>
        </w:rPr>
      </w:pPr>
      <w:r w:rsidRPr="003409C0">
        <w:rPr>
          <w:rFonts w:cs="Arial"/>
          <w:color w:val="000000" w:themeColor="text1"/>
          <w:sz w:val="20"/>
          <w:lang w:val="en-US"/>
        </w:rPr>
        <w:t xml:space="preserve">(v) </w:t>
      </w:r>
      <w:r w:rsidR="0067435F" w:rsidRPr="003409C0">
        <w:rPr>
          <w:rFonts w:cs="Arial"/>
          <w:color w:val="000000" w:themeColor="text1"/>
          <w:sz w:val="20"/>
          <w:lang w:val="en-US"/>
        </w:rPr>
        <w:tab/>
      </w:r>
      <w:r w:rsidRPr="003409C0">
        <w:rPr>
          <w:rFonts w:cs="Arial"/>
          <w:color w:val="000000" w:themeColor="text1"/>
          <w:sz w:val="20"/>
          <w:lang w:val="en-US"/>
        </w:rPr>
        <w:t xml:space="preserve">Rotary slasher </w:t>
      </w:r>
      <w:r w:rsidR="0067435F" w:rsidRPr="003409C0">
        <w:rPr>
          <w:rFonts w:cs="Arial"/>
          <w:color w:val="000000" w:themeColor="text1"/>
          <w:sz w:val="20"/>
          <w:lang w:val="en-US"/>
        </w:rPr>
        <w:tab/>
      </w:r>
      <w:r w:rsidR="0067435F" w:rsidRPr="003409C0">
        <w:rPr>
          <w:rFonts w:cs="Arial"/>
          <w:color w:val="000000" w:themeColor="text1"/>
          <w:sz w:val="20"/>
          <w:lang w:val="en-US"/>
        </w:rPr>
        <w:tab/>
      </w:r>
      <w:r w:rsidRPr="003409C0">
        <w:rPr>
          <w:rFonts w:cs="Arial"/>
          <w:color w:val="000000" w:themeColor="text1"/>
          <w:sz w:val="20"/>
          <w:lang w:val="en-US"/>
        </w:rPr>
        <w:t>8432.8090</w:t>
      </w:r>
    </w:p>
    <w:p w:rsidR="00B8383C" w:rsidRPr="003409C0" w:rsidRDefault="00B8383C" w:rsidP="0067435F">
      <w:pPr>
        <w:autoSpaceDE w:val="0"/>
        <w:autoSpaceDN w:val="0"/>
        <w:adjustRightInd w:val="0"/>
        <w:ind w:left="1094"/>
        <w:rPr>
          <w:rFonts w:cs="Arial"/>
          <w:color w:val="000000" w:themeColor="text1"/>
          <w:sz w:val="20"/>
          <w:lang w:val="en-US"/>
        </w:rPr>
      </w:pPr>
      <w:r w:rsidRPr="003409C0">
        <w:rPr>
          <w:rFonts w:cs="Arial"/>
          <w:color w:val="000000" w:themeColor="text1"/>
          <w:sz w:val="20"/>
          <w:lang w:val="en-US"/>
        </w:rPr>
        <w:lastRenderedPageBreak/>
        <w:t xml:space="preserve">(vi) </w:t>
      </w:r>
      <w:r w:rsidR="0067435F" w:rsidRPr="003409C0">
        <w:rPr>
          <w:rFonts w:cs="Arial"/>
          <w:color w:val="000000" w:themeColor="text1"/>
          <w:sz w:val="20"/>
          <w:lang w:val="en-US"/>
        </w:rPr>
        <w:tab/>
      </w:r>
      <w:r w:rsidRPr="003409C0">
        <w:rPr>
          <w:rFonts w:cs="Arial"/>
          <w:color w:val="000000" w:themeColor="text1"/>
          <w:sz w:val="20"/>
          <w:lang w:val="en-US"/>
        </w:rPr>
        <w:t xml:space="preserve">Chisel plow </w:t>
      </w:r>
      <w:r w:rsidR="0067435F" w:rsidRPr="003409C0">
        <w:rPr>
          <w:rFonts w:cs="Arial"/>
          <w:color w:val="000000" w:themeColor="text1"/>
          <w:sz w:val="20"/>
          <w:lang w:val="en-US"/>
        </w:rPr>
        <w:tab/>
      </w:r>
      <w:r w:rsidR="0067435F" w:rsidRPr="003409C0">
        <w:rPr>
          <w:rFonts w:cs="Arial"/>
          <w:color w:val="000000" w:themeColor="text1"/>
          <w:sz w:val="20"/>
          <w:lang w:val="en-US"/>
        </w:rPr>
        <w:tab/>
      </w:r>
      <w:r w:rsidR="0067435F" w:rsidRPr="003409C0">
        <w:rPr>
          <w:rFonts w:cs="Arial"/>
          <w:color w:val="000000" w:themeColor="text1"/>
          <w:sz w:val="20"/>
          <w:lang w:val="en-US"/>
        </w:rPr>
        <w:tab/>
      </w:r>
      <w:r w:rsidRPr="003409C0">
        <w:rPr>
          <w:rFonts w:cs="Arial"/>
          <w:color w:val="000000" w:themeColor="text1"/>
          <w:sz w:val="20"/>
          <w:lang w:val="en-US"/>
        </w:rPr>
        <w:t>8432.1010</w:t>
      </w:r>
    </w:p>
    <w:p w:rsidR="00B8383C" w:rsidRPr="003409C0" w:rsidRDefault="00B8383C" w:rsidP="0067435F">
      <w:pPr>
        <w:autoSpaceDE w:val="0"/>
        <w:autoSpaceDN w:val="0"/>
        <w:adjustRightInd w:val="0"/>
        <w:ind w:left="1094"/>
        <w:rPr>
          <w:rFonts w:cs="Arial"/>
          <w:color w:val="000000" w:themeColor="text1"/>
          <w:sz w:val="20"/>
          <w:lang w:val="en-US"/>
        </w:rPr>
      </w:pPr>
      <w:r w:rsidRPr="003409C0">
        <w:rPr>
          <w:rFonts w:cs="Arial"/>
          <w:color w:val="000000" w:themeColor="text1"/>
          <w:sz w:val="20"/>
          <w:lang w:val="en-US"/>
        </w:rPr>
        <w:t xml:space="preserve">(vii) </w:t>
      </w:r>
      <w:r w:rsidR="0067435F" w:rsidRPr="003409C0">
        <w:rPr>
          <w:rFonts w:cs="Arial"/>
          <w:color w:val="000000" w:themeColor="text1"/>
          <w:sz w:val="20"/>
          <w:lang w:val="en-US"/>
        </w:rPr>
        <w:tab/>
      </w:r>
      <w:r w:rsidRPr="003409C0">
        <w:rPr>
          <w:rFonts w:cs="Arial"/>
          <w:color w:val="000000" w:themeColor="text1"/>
          <w:sz w:val="20"/>
          <w:lang w:val="en-US"/>
        </w:rPr>
        <w:t xml:space="preserve">Ditcher </w:t>
      </w:r>
      <w:r w:rsidR="0067435F" w:rsidRPr="003409C0">
        <w:rPr>
          <w:rFonts w:cs="Arial"/>
          <w:color w:val="000000" w:themeColor="text1"/>
          <w:sz w:val="20"/>
          <w:lang w:val="en-US"/>
        </w:rPr>
        <w:tab/>
      </w:r>
      <w:r w:rsidR="0067435F" w:rsidRPr="003409C0">
        <w:rPr>
          <w:rFonts w:cs="Arial"/>
          <w:color w:val="000000" w:themeColor="text1"/>
          <w:sz w:val="20"/>
          <w:lang w:val="en-US"/>
        </w:rPr>
        <w:tab/>
      </w:r>
      <w:r w:rsidR="0067435F" w:rsidRPr="003409C0">
        <w:rPr>
          <w:rFonts w:cs="Arial"/>
          <w:color w:val="000000" w:themeColor="text1"/>
          <w:sz w:val="20"/>
          <w:lang w:val="en-US"/>
        </w:rPr>
        <w:tab/>
      </w:r>
      <w:r w:rsidRPr="003409C0">
        <w:rPr>
          <w:rFonts w:cs="Arial"/>
          <w:color w:val="000000" w:themeColor="text1"/>
          <w:sz w:val="20"/>
          <w:lang w:val="en-US"/>
        </w:rPr>
        <w:t>8432.1090</w:t>
      </w:r>
    </w:p>
    <w:p w:rsidR="00B8383C" w:rsidRPr="003409C0" w:rsidRDefault="00B8383C" w:rsidP="0067435F">
      <w:pPr>
        <w:autoSpaceDE w:val="0"/>
        <w:autoSpaceDN w:val="0"/>
        <w:adjustRightInd w:val="0"/>
        <w:ind w:left="1094"/>
        <w:rPr>
          <w:rFonts w:cs="Arial"/>
          <w:color w:val="000000" w:themeColor="text1"/>
          <w:sz w:val="20"/>
          <w:lang w:val="en-US"/>
        </w:rPr>
      </w:pPr>
      <w:r w:rsidRPr="003409C0">
        <w:rPr>
          <w:rFonts w:cs="Arial"/>
          <w:color w:val="000000" w:themeColor="text1"/>
          <w:sz w:val="20"/>
          <w:lang w:val="en-US"/>
        </w:rPr>
        <w:t xml:space="preserve">(viii) </w:t>
      </w:r>
      <w:r w:rsidR="0067435F" w:rsidRPr="003409C0">
        <w:rPr>
          <w:rFonts w:cs="Arial"/>
          <w:color w:val="000000" w:themeColor="text1"/>
          <w:sz w:val="20"/>
          <w:lang w:val="en-US"/>
        </w:rPr>
        <w:tab/>
      </w:r>
      <w:r w:rsidRPr="003409C0">
        <w:rPr>
          <w:rFonts w:cs="Arial"/>
          <w:color w:val="000000" w:themeColor="text1"/>
          <w:sz w:val="20"/>
          <w:lang w:val="en-US"/>
        </w:rPr>
        <w:t xml:space="preserve">Border disc </w:t>
      </w:r>
      <w:r w:rsidR="0067435F" w:rsidRPr="003409C0">
        <w:rPr>
          <w:rFonts w:cs="Arial"/>
          <w:color w:val="000000" w:themeColor="text1"/>
          <w:sz w:val="20"/>
          <w:lang w:val="en-US"/>
        </w:rPr>
        <w:tab/>
      </w:r>
      <w:r w:rsidR="0067435F" w:rsidRPr="003409C0">
        <w:rPr>
          <w:rFonts w:cs="Arial"/>
          <w:color w:val="000000" w:themeColor="text1"/>
          <w:sz w:val="20"/>
          <w:lang w:val="en-US"/>
        </w:rPr>
        <w:tab/>
      </w:r>
      <w:r w:rsidR="0067435F" w:rsidRPr="003409C0">
        <w:rPr>
          <w:rFonts w:cs="Arial"/>
          <w:color w:val="000000" w:themeColor="text1"/>
          <w:sz w:val="20"/>
          <w:lang w:val="en-US"/>
        </w:rPr>
        <w:tab/>
      </w:r>
      <w:r w:rsidRPr="003409C0">
        <w:rPr>
          <w:rFonts w:cs="Arial"/>
          <w:color w:val="000000" w:themeColor="text1"/>
          <w:sz w:val="20"/>
          <w:lang w:val="en-US"/>
        </w:rPr>
        <w:t>8432.2990</w:t>
      </w:r>
    </w:p>
    <w:p w:rsidR="00B8383C" w:rsidRPr="003409C0" w:rsidRDefault="00B8383C" w:rsidP="0067435F">
      <w:pPr>
        <w:autoSpaceDE w:val="0"/>
        <w:autoSpaceDN w:val="0"/>
        <w:adjustRightInd w:val="0"/>
        <w:ind w:left="1094"/>
        <w:rPr>
          <w:rFonts w:cs="Arial"/>
          <w:color w:val="000000" w:themeColor="text1"/>
          <w:sz w:val="20"/>
          <w:lang w:val="en-US"/>
        </w:rPr>
      </w:pPr>
      <w:r w:rsidRPr="003409C0">
        <w:rPr>
          <w:rFonts w:cs="Arial"/>
          <w:color w:val="000000" w:themeColor="text1"/>
          <w:sz w:val="20"/>
          <w:lang w:val="en-US"/>
        </w:rPr>
        <w:t>(ix)</w:t>
      </w:r>
      <w:r w:rsidR="0067435F" w:rsidRPr="003409C0">
        <w:rPr>
          <w:rFonts w:cs="Arial"/>
          <w:color w:val="000000" w:themeColor="text1"/>
          <w:sz w:val="20"/>
          <w:lang w:val="en-US"/>
        </w:rPr>
        <w:tab/>
      </w:r>
      <w:r w:rsidRPr="003409C0">
        <w:rPr>
          <w:rFonts w:cs="Arial"/>
          <w:color w:val="000000" w:themeColor="text1"/>
          <w:sz w:val="20"/>
          <w:lang w:val="en-US"/>
        </w:rPr>
        <w:t xml:space="preserve">Disc harrow </w:t>
      </w:r>
      <w:r w:rsidR="0067435F" w:rsidRPr="003409C0">
        <w:rPr>
          <w:rFonts w:cs="Arial"/>
          <w:color w:val="000000" w:themeColor="text1"/>
          <w:sz w:val="20"/>
          <w:lang w:val="en-US"/>
        </w:rPr>
        <w:tab/>
      </w:r>
      <w:r w:rsidR="0067435F" w:rsidRPr="003409C0">
        <w:rPr>
          <w:rFonts w:cs="Arial"/>
          <w:color w:val="000000" w:themeColor="text1"/>
          <w:sz w:val="20"/>
          <w:lang w:val="en-US"/>
        </w:rPr>
        <w:tab/>
      </w:r>
      <w:r w:rsidRPr="003409C0">
        <w:rPr>
          <w:rFonts w:cs="Arial"/>
          <w:color w:val="000000" w:themeColor="text1"/>
          <w:sz w:val="20"/>
          <w:lang w:val="en-US"/>
        </w:rPr>
        <w:t>8432.2100</w:t>
      </w:r>
    </w:p>
    <w:p w:rsidR="00B8383C" w:rsidRPr="003409C0" w:rsidRDefault="00B8383C" w:rsidP="008B3286">
      <w:pPr>
        <w:autoSpaceDE w:val="0"/>
        <w:autoSpaceDN w:val="0"/>
        <w:adjustRightInd w:val="0"/>
        <w:ind w:left="1094" w:hanging="14"/>
        <w:rPr>
          <w:rFonts w:cs="Arial"/>
          <w:color w:val="000000" w:themeColor="text1"/>
          <w:sz w:val="20"/>
          <w:lang w:val="en-US"/>
        </w:rPr>
      </w:pPr>
      <w:r w:rsidRPr="003409C0">
        <w:rPr>
          <w:rFonts w:cs="Arial"/>
          <w:color w:val="000000" w:themeColor="text1"/>
          <w:sz w:val="20"/>
          <w:lang w:val="en-US"/>
        </w:rPr>
        <w:t xml:space="preserve">(x) </w:t>
      </w:r>
      <w:r w:rsidR="009A1D3A" w:rsidRPr="003409C0">
        <w:rPr>
          <w:rFonts w:cs="Arial"/>
          <w:color w:val="000000" w:themeColor="text1"/>
          <w:sz w:val="20"/>
          <w:lang w:val="en-US"/>
        </w:rPr>
        <w:tab/>
      </w:r>
      <w:r w:rsidRPr="003409C0">
        <w:rPr>
          <w:rFonts w:cs="Arial"/>
          <w:color w:val="000000" w:themeColor="text1"/>
          <w:sz w:val="20"/>
          <w:lang w:val="en-US"/>
        </w:rPr>
        <w:t xml:space="preserve">Bar harrow </w:t>
      </w:r>
      <w:r w:rsidR="009A1D3A" w:rsidRPr="003409C0">
        <w:rPr>
          <w:rFonts w:cs="Arial"/>
          <w:color w:val="000000" w:themeColor="text1"/>
          <w:sz w:val="20"/>
          <w:lang w:val="en-US"/>
        </w:rPr>
        <w:tab/>
      </w:r>
      <w:r w:rsidR="009A1D3A" w:rsidRPr="003409C0">
        <w:rPr>
          <w:rFonts w:cs="Arial"/>
          <w:color w:val="000000" w:themeColor="text1"/>
          <w:sz w:val="20"/>
          <w:lang w:val="en-US"/>
        </w:rPr>
        <w:tab/>
      </w:r>
      <w:r w:rsidR="009A1D3A" w:rsidRPr="003409C0">
        <w:rPr>
          <w:rFonts w:cs="Arial"/>
          <w:color w:val="000000" w:themeColor="text1"/>
          <w:sz w:val="20"/>
          <w:lang w:val="en-US"/>
        </w:rPr>
        <w:tab/>
      </w:r>
      <w:r w:rsidRPr="003409C0">
        <w:rPr>
          <w:rFonts w:cs="Arial"/>
          <w:color w:val="000000" w:themeColor="text1"/>
          <w:sz w:val="20"/>
          <w:lang w:val="en-US"/>
        </w:rPr>
        <w:t>8432.2990</w:t>
      </w:r>
    </w:p>
    <w:p w:rsidR="00B8383C" w:rsidRPr="003409C0" w:rsidRDefault="00B8383C" w:rsidP="008B3286">
      <w:pPr>
        <w:autoSpaceDE w:val="0"/>
        <w:autoSpaceDN w:val="0"/>
        <w:adjustRightInd w:val="0"/>
        <w:ind w:left="1094" w:hanging="14"/>
        <w:rPr>
          <w:rFonts w:cs="Arial"/>
          <w:color w:val="000000" w:themeColor="text1"/>
          <w:sz w:val="20"/>
          <w:lang w:val="en-US"/>
        </w:rPr>
      </w:pPr>
      <w:r w:rsidRPr="003409C0">
        <w:rPr>
          <w:rFonts w:cs="Arial"/>
          <w:color w:val="000000" w:themeColor="text1"/>
          <w:sz w:val="20"/>
          <w:lang w:val="en-US"/>
        </w:rPr>
        <w:t xml:space="preserve">(xi) </w:t>
      </w:r>
      <w:r w:rsidR="009A1D3A" w:rsidRPr="003409C0">
        <w:rPr>
          <w:rFonts w:cs="Arial"/>
          <w:color w:val="000000" w:themeColor="text1"/>
          <w:sz w:val="20"/>
          <w:lang w:val="en-US"/>
        </w:rPr>
        <w:tab/>
      </w:r>
      <w:r w:rsidRPr="003409C0">
        <w:rPr>
          <w:rFonts w:cs="Arial"/>
          <w:color w:val="000000" w:themeColor="text1"/>
          <w:sz w:val="20"/>
          <w:lang w:val="en-US"/>
        </w:rPr>
        <w:t xml:space="preserve">Mould board plow </w:t>
      </w:r>
      <w:r w:rsidR="009A1D3A" w:rsidRPr="003409C0">
        <w:rPr>
          <w:rFonts w:cs="Arial"/>
          <w:color w:val="000000" w:themeColor="text1"/>
          <w:sz w:val="20"/>
          <w:lang w:val="en-US"/>
        </w:rPr>
        <w:tab/>
      </w:r>
      <w:r w:rsidR="009A1D3A" w:rsidRPr="003409C0">
        <w:rPr>
          <w:rFonts w:cs="Arial"/>
          <w:color w:val="000000" w:themeColor="text1"/>
          <w:sz w:val="20"/>
          <w:lang w:val="en-US"/>
        </w:rPr>
        <w:tab/>
      </w:r>
      <w:r w:rsidRPr="003409C0">
        <w:rPr>
          <w:rFonts w:cs="Arial"/>
          <w:color w:val="000000" w:themeColor="text1"/>
          <w:sz w:val="20"/>
          <w:lang w:val="en-US"/>
        </w:rPr>
        <w:t>8432.1090</w:t>
      </w:r>
    </w:p>
    <w:p w:rsidR="009A1D3A" w:rsidRPr="003409C0" w:rsidRDefault="00B8383C" w:rsidP="008B3286">
      <w:pPr>
        <w:autoSpaceDE w:val="0"/>
        <w:autoSpaceDN w:val="0"/>
        <w:adjustRightInd w:val="0"/>
        <w:ind w:left="533" w:firstLine="547"/>
        <w:rPr>
          <w:rFonts w:cs="Arial"/>
          <w:color w:val="000000" w:themeColor="text1"/>
          <w:sz w:val="20"/>
          <w:lang w:val="en-US"/>
        </w:rPr>
      </w:pPr>
      <w:r w:rsidRPr="003409C0">
        <w:rPr>
          <w:rFonts w:cs="Arial"/>
          <w:color w:val="000000" w:themeColor="text1"/>
          <w:sz w:val="20"/>
          <w:lang w:val="en-US"/>
        </w:rPr>
        <w:t>(xii)</w:t>
      </w:r>
      <w:r w:rsidR="009A1D3A" w:rsidRPr="003409C0">
        <w:rPr>
          <w:rFonts w:cs="Arial"/>
          <w:color w:val="000000" w:themeColor="text1"/>
          <w:sz w:val="20"/>
          <w:lang w:val="en-US"/>
        </w:rPr>
        <w:tab/>
      </w:r>
      <w:r w:rsidRPr="003409C0">
        <w:rPr>
          <w:rFonts w:cs="Arial"/>
          <w:color w:val="000000" w:themeColor="text1"/>
          <w:sz w:val="20"/>
          <w:lang w:val="en-US"/>
        </w:rPr>
        <w:t>Tractor rear or</w:t>
      </w:r>
      <w:r w:rsidR="009A1D3A" w:rsidRPr="003409C0">
        <w:rPr>
          <w:rFonts w:cs="Arial"/>
          <w:color w:val="000000" w:themeColor="text1"/>
          <w:sz w:val="20"/>
          <w:lang w:val="en-US"/>
        </w:rPr>
        <w:tab/>
      </w:r>
      <w:r w:rsidR="009A1D3A" w:rsidRPr="003409C0">
        <w:rPr>
          <w:rFonts w:cs="Arial"/>
          <w:color w:val="000000" w:themeColor="text1"/>
          <w:sz w:val="20"/>
          <w:lang w:val="en-US"/>
        </w:rPr>
        <w:tab/>
        <w:t>8430.6900</w:t>
      </w:r>
    </w:p>
    <w:p w:rsidR="00B8383C" w:rsidRPr="003409C0" w:rsidRDefault="008B3286" w:rsidP="008B3286">
      <w:pPr>
        <w:autoSpaceDE w:val="0"/>
        <w:autoSpaceDN w:val="0"/>
        <w:adjustRightInd w:val="0"/>
        <w:ind w:left="1641" w:hanging="21"/>
        <w:rPr>
          <w:rFonts w:cs="Arial"/>
          <w:color w:val="000000" w:themeColor="text1"/>
          <w:sz w:val="20"/>
          <w:lang w:val="en-US"/>
        </w:rPr>
      </w:pPr>
      <w:r w:rsidRPr="003409C0">
        <w:rPr>
          <w:rFonts w:cs="Arial"/>
          <w:color w:val="000000" w:themeColor="text1"/>
          <w:sz w:val="20"/>
          <w:lang w:val="en-US"/>
        </w:rPr>
        <w:t>f</w:t>
      </w:r>
      <w:r w:rsidR="00B8383C" w:rsidRPr="003409C0">
        <w:rPr>
          <w:rFonts w:cs="Arial"/>
          <w:color w:val="000000" w:themeColor="text1"/>
          <w:sz w:val="20"/>
          <w:lang w:val="en-US"/>
        </w:rPr>
        <w:t>ront blade</w:t>
      </w:r>
    </w:p>
    <w:p w:rsidR="00B8383C" w:rsidRPr="003409C0" w:rsidRDefault="00B8383C" w:rsidP="008B3286">
      <w:pPr>
        <w:pStyle w:val="ListParagraph"/>
        <w:numPr>
          <w:ilvl w:val="0"/>
          <w:numId w:val="45"/>
        </w:numPr>
        <w:autoSpaceDE w:val="0"/>
        <w:autoSpaceDN w:val="0"/>
        <w:adjustRightInd w:val="0"/>
        <w:ind w:left="1620" w:hanging="540"/>
        <w:rPr>
          <w:rFonts w:cs="Arial"/>
          <w:color w:val="000000" w:themeColor="text1"/>
          <w:sz w:val="20"/>
          <w:lang w:val="en-US"/>
        </w:rPr>
      </w:pPr>
      <w:r w:rsidRPr="003409C0">
        <w:rPr>
          <w:rFonts w:cs="Arial"/>
          <w:color w:val="000000" w:themeColor="text1"/>
          <w:sz w:val="20"/>
          <w:lang w:val="en-US"/>
        </w:rPr>
        <w:t>Land leveller or</w:t>
      </w:r>
      <w:r w:rsidR="008B3286" w:rsidRPr="003409C0">
        <w:rPr>
          <w:rFonts w:cs="Arial"/>
          <w:color w:val="000000" w:themeColor="text1"/>
          <w:sz w:val="20"/>
          <w:lang w:val="en-US"/>
        </w:rPr>
        <w:tab/>
      </w:r>
      <w:r w:rsidR="008B3286" w:rsidRPr="003409C0">
        <w:rPr>
          <w:rFonts w:cs="Arial"/>
          <w:color w:val="000000" w:themeColor="text1"/>
          <w:sz w:val="20"/>
          <w:lang w:val="en-US"/>
        </w:rPr>
        <w:tab/>
        <w:t>8430.6900</w:t>
      </w:r>
    </w:p>
    <w:p w:rsidR="00B8383C" w:rsidRPr="003409C0" w:rsidRDefault="00B8383C" w:rsidP="008B3286">
      <w:pPr>
        <w:autoSpaceDE w:val="0"/>
        <w:autoSpaceDN w:val="0"/>
        <w:adjustRightInd w:val="0"/>
        <w:ind w:left="1620"/>
        <w:rPr>
          <w:rFonts w:cs="Arial"/>
          <w:color w:val="000000" w:themeColor="text1"/>
          <w:sz w:val="20"/>
          <w:lang w:val="en-US"/>
        </w:rPr>
      </w:pPr>
      <w:r w:rsidRPr="003409C0">
        <w:rPr>
          <w:rFonts w:cs="Arial"/>
          <w:color w:val="000000" w:themeColor="text1"/>
          <w:sz w:val="20"/>
          <w:lang w:val="en-US"/>
        </w:rPr>
        <w:t>land planer</w:t>
      </w:r>
    </w:p>
    <w:p w:rsidR="00B8383C" w:rsidRPr="003409C0" w:rsidRDefault="00B8383C" w:rsidP="008B3286">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(xiv) </w:t>
      </w:r>
      <w:r w:rsidR="008B3286" w:rsidRPr="003409C0">
        <w:rPr>
          <w:rFonts w:cs="Arial"/>
          <w:color w:val="000000" w:themeColor="text1"/>
          <w:sz w:val="20"/>
          <w:lang w:val="en-US"/>
        </w:rPr>
        <w:tab/>
      </w:r>
      <w:r w:rsidRPr="003409C0">
        <w:rPr>
          <w:rFonts w:cs="Arial"/>
          <w:color w:val="000000" w:themeColor="text1"/>
          <w:sz w:val="20"/>
          <w:lang w:val="en-US"/>
        </w:rPr>
        <w:t xml:space="preserve">Rotary tiller </w:t>
      </w:r>
      <w:r w:rsidR="008B3286" w:rsidRPr="003409C0">
        <w:rPr>
          <w:rFonts w:cs="Arial"/>
          <w:color w:val="000000" w:themeColor="text1"/>
          <w:sz w:val="20"/>
          <w:lang w:val="en-US"/>
        </w:rPr>
        <w:tab/>
      </w:r>
      <w:r w:rsidR="008B3286" w:rsidRPr="003409C0">
        <w:rPr>
          <w:rFonts w:cs="Arial"/>
          <w:color w:val="000000" w:themeColor="text1"/>
          <w:sz w:val="20"/>
          <w:lang w:val="en-US"/>
        </w:rPr>
        <w:tab/>
      </w:r>
      <w:r w:rsidR="008B3286" w:rsidRPr="003409C0">
        <w:rPr>
          <w:rFonts w:cs="Arial"/>
          <w:color w:val="000000" w:themeColor="text1"/>
          <w:sz w:val="20"/>
          <w:lang w:val="en-US"/>
        </w:rPr>
        <w:tab/>
      </w:r>
      <w:r w:rsidRPr="003409C0">
        <w:rPr>
          <w:rFonts w:cs="Arial"/>
          <w:color w:val="000000" w:themeColor="text1"/>
          <w:sz w:val="20"/>
          <w:lang w:val="en-US"/>
        </w:rPr>
        <w:t>8432.8090</w:t>
      </w:r>
    </w:p>
    <w:p w:rsidR="00B8383C" w:rsidRPr="003409C0" w:rsidRDefault="00B8383C" w:rsidP="007873B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(xv) </w:t>
      </w:r>
      <w:r w:rsidR="007873BA" w:rsidRPr="003409C0">
        <w:rPr>
          <w:rFonts w:cs="Arial"/>
          <w:color w:val="000000" w:themeColor="text1"/>
          <w:sz w:val="20"/>
          <w:lang w:val="en-US"/>
        </w:rPr>
        <w:tab/>
      </w:r>
      <w:r w:rsidRPr="003409C0">
        <w:rPr>
          <w:rFonts w:cs="Arial"/>
          <w:color w:val="000000" w:themeColor="text1"/>
          <w:sz w:val="20"/>
          <w:lang w:val="en-US"/>
        </w:rPr>
        <w:t xml:space="preserve">Disc plow </w:t>
      </w:r>
      <w:r w:rsidR="007873BA" w:rsidRPr="003409C0">
        <w:rPr>
          <w:rFonts w:cs="Arial"/>
          <w:color w:val="000000" w:themeColor="text1"/>
          <w:sz w:val="20"/>
          <w:lang w:val="en-US"/>
        </w:rPr>
        <w:tab/>
      </w:r>
      <w:r w:rsidR="007873BA" w:rsidRPr="003409C0">
        <w:rPr>
          <w:rFonts w:cs="Arial"/>
          <w:color w:val="000000" w:themeColor="text1"/>
          <w:sz w:val="20"/>
          <w:lang w:val="en-US"/>
        </w:rPr>
        <w:tab/>
      </w:r>
      <w:r w:rsidR="007873BA" w:rsidRPr="003409C0">
        <w:rPr>
          <w:rFonts w:cs="Arial"/>
          <w:color w:val="000000" w:themeColor="text1"/>
          <w:sz w:val="20"/>
          <w:lang w:val="en-US"/>
        </w:rPr>
        <w:tab/>
      </w:r>
      <w:r w:rsidRPr="003409C0">
        <w:rPr>
          <w:rFonts w:cs="Arial"/>
          <w:color w:val="000000" w:themeColor="text1"/>
          <w:sz w:val="20"/>
          <w:lang w:val="en-US"/>
        </w:rPr>
        <w:t>8432.1090</w:t>
      </w:r>
    </w:p>
    <w:p w:rsidR="00B8383C" w:rsidRPr="003409C0" w:rsidRDefault="00B8383C" w:rsidP="007873B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(xvi) </w:t>
      </w:r>
      <w:r w:rsidR="007873BA" w:rsidRPr="003409C0">
        <w:rPr>
          <w:rFonts w:cs="Arial"/>
          <w:color w:val="000000" w:themeColor="text1"/>
          <w:sz w:val="20"/>
          <w:lang w:val="en-US"/>
        </w:rPr>
        <w:tab/>
      </w:r>
      <w:r w:rsidRPr="003409C0">
        <w:rPr>
          <w:rFonts w:cs="Arial"/>
          <w:color w:val="000000" w:themeColor="text1"/>
          <w:sz w:val="20"/>
          <w:lang w:val="en-US"/>
        </w:rPr>
        <w:t xml:space="preserve">Soil-scrapper </w:t>
      </w:r>
      <w:r w:rsidR="007873BA" w:rsidRPr="003409C0">
        <w:rPr>
          <w:rFonts w:cs="Arial"/>
          <w:color w:val="000000" w:themeColor="text1"/>
          <w:sz w:val="20"/>
          <w:lang w:val="en-US"/>
        </w:rPr>
        <w:tab/>
      </w:r>
      <w:r w:rsidR="007873BA" w:rsidRPr="003409C0">
        <w:rPr>
          <w:rFonts w:cs="Arial"/>
          <w:color w:val="000000" w:themeColor="text1"/>
          <w:sz w:val="20"/>
          <w:lang w:val="en-US"/>
        </w:rPr>
        <w:tab/>
      </w:r>
      <w:r w:rsidRPr="003409C0">
        <w:rPr>
          <w:rFonts w:cs="Arial"/>
          <w:color w:val="000000" w:themeColor="text1"/>
          <w:sz w:val="20"/>
          <w:lang w:val="en-US"/>
        </w:rPr>
        <w:t>8432.8090</w:t>
      </w:r>
    </w:p>
    <w:p w:rsidR="00B8383C" w:rsidRPr="003409C0" w:rsidRDefault="00B8383C" w:rsidP="007873B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(xvii)</w:t>
      </w:r>
      <w:r w:rsidR="007873BA" w:rsidRPr="003409C0">
        <w:rPr>
          <w:rFonts w:cs="Arial"/>
          <w:color w:val="000000" w:themeColor="text1"/>
          <w:sz w:val="20"/>
          <w:lang w:val="en-US"/>
        </w:rPr>
        <w:tab/>
      </w:r>
      <w:r w:rsidRPr="003409C0">
        <w:rPr>
          <w:rFonts w:cs="Arial"/>
          <w:color w:val="000000" w:themeColor="text1"/>
          <w:sz w:val="20"/>
          <w:lang w:val="en-US"/>
        </w:rPr>
        <w:t xml:space="preserve">K.R.Karundi </w:t>
      </w:r>
      <w:r w:rsidR="007873BA" w:rsidRPr="003409C0">
        <w:rPr>
          <w:rFonts w:cs="Arial"/>
          <w:color w:val="000000" w:themeColor="text1"/>
          <w:sz w:val="20"/>
          <w:lang w:val="en-US"/>
        </w:rPr>
        <w:tab/>
      </w:r>
      <w:r w:rsidR="007873BA" w:rsidRPr="003409C0">
        <w:rPr>
          <w:rFonts w:cs="Arial"/>
          <w:color w:val="000000" w:themeColor="text1"/>
          <w:sz w:val="20"/>
          <w:lang w:val="en-US"/>
        </w:rPr>
        <w:tab/>
      </w:r>
      <w:r w:rsidRPr="003409C0">
        <w:rPr>
          <w:rFonts w:cs="Arial"/>
          <w:color w:val="000000" w:themeColor="text1"/>
          <w:sz w:val="20"/>
          <w:lang w:val="en-US"/>
        </w:rPr>
        <w:t>8432.8090</w:t>
      </w:r>
    </w:p>
    <w:p w:rsidR="00B8383C" w:rsidRPr="003409C0" w:rsidRDefault="00B8383C" w:rsidP="00B10F5D">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(xviii) Tractor mounted</w:t>
      </w:r>
      <w:r w:rsidR="00B10F5D" w:rsidRPr="003409C0">
        <w:rPr>
          <w:rFonts w:cs="Arial"/>
          <w:color w:val="000000" w:themeColor="text1"/>
          <w:sz w:val="20"/>
          <w:lang w:val="en-US"/>
        </w:rPr>
        <w:tab/>
      </w:r>
      <w:r w:rsidR="00B10F5D" w:rsidRPr="003409C0">
        <w:rPr>
          <w:rFonts w:cs="Arial"/>
          <w:color w:val="000000" w:themeColor="text1"/>
          <w:sz w:val="20"/>
          <w:lang w:val="en-US"/>
        </w:rPr>
        <w:tab/>
        <w:t>8701.9020</w:t>
      </w:r>
    </w:p>
    <w:p w:rsidR="00B8383C" w:rsidRPr="003409C0" w:rsidRDefault="00B8383C" w:rsidP="00B10F5D">
      <w:pPr>
        <w:autoSpaceDE w:val="0"/>
        <w:autoSpaceDN w:val="0"/>
        <w:adjustRightInd w:val="0"/>
        <w:ind w:left="1094" w:firstLine="547"/>
        <w:rPr>
          <w:rFonts w:cs="Arial"/>
          <w:color w:val="000000" w:themeColor="text1"/>
          <w:sz w:val="20"/>
          <w:lang w:val="en-US"/>
        </w:rPr>
      </w:pPr>
      <w:r w:rsidRPr="003409C0">
        <w:rPr>
          <w:rFonts w:cs="Arial"/>
          <w:color w:val="000000" w:themeColor="text1"/>
          <w:sz w:val="20"/>
          <w:lang w:val="en-US"/>
        </w:rPr>
        <w:t>trancher</w:t>
      </w:r>
    </w:p>
    <w:p w:rsidR="00B8383C" w:rsidRPr="003409C0" w:rsidRDefault="00B8383C" w:rsidP="00B10F5D">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(xix) </w:t>
      </w:r>
      <w:r w:rsidR="00B10F5D" w:rsidRPr="003409C0">
        <w:rPr>
          <w:rFonts w:cs="Arial"/>
          <w:color w:val="000000" w:themeColor="text1"/>
          <w:sz w:val="20"/>
          <w:lang w:val="en-US"/>
        </w:rPr>
        <w:tab/>
      </w:r>
      <w:r w:rsidRPr="003409C0">
        <w:rPr>
          <w:rFonts w:cs="Arial"/>
          <w:color w:val="000000" w:themeColor="text1"/>
          <w:sz w:val="20"/>
          <w:lang w:val="en-US"/>
        </w:rPr>
        <w:t xml:space="preserve">Land leveler </w:t>
      </w:r>
      <w:r w:rsidR="00B10F5D" w:rsidRPr="003409C0">
        <w:rPr>
          <w:rFonts w:cs="Arial"/>
          <w:color w:val="000000" w:themeColor="text1"/>
          <w:sz w:val="20"/>
          <w:lang w:val="en-US"/>
        </w:rPr>
        <w:tab/>
      </w:r>
      <w:r w:rsidR="00B10F5D" w:rsidRPr="003409C0">
        <w:rPr>
          <w:rFonts w:cs="Arial"/>
          <w:color w:val="000000" w:themeColor="text1"/>
          <w:sz w:val="20"/>
          <w:lang w:val="en-US"/>
        </w:rPr>
        <w:tab/>
      </w:r>
      <w:r w:rsidRPr="003409C0">
        <w:rPr>
          <w:rFonts w:cs="Arial"/>
          <w:color w:val="000000" w:themeColor="text1"/>
          <w:sz w:val="20"/>
          <w:lang w:val="en-US"/>
        </w:rPr>
        <w:t>8430.6900</w:t>
      </w:r>
    </w:p>
    <w:tbl>
      <w:tblPr>
        <w:tblStyle w:val="TableGrid"/>
        <w:tblpPr w:leftFromText="180" w:rightFromText="180" w:vertAnchor="text" w:horzAnchor="page" w:tblpX="1799" w:tblpY="85"/>
        <w:tblW w:w="0" w:type="auto"/>
        <w:tblLook w:val="04A0"/>
      </w:tblPr>
      <w:tblGrid>
        <w:gridCol w:w="5198"/>
      </w:tblGrid>
      <w:tr w:rsidR="0043099D" w:rsidRPr="003409C0" w:rsidTr="0043099D">
        <w:trPr>
          <w:trHeight w:val="348"/>
        </w:trPr>
        <w:tc>
          <w:tcPr>
            <w:tcW w:w="5198" w:type="dxa"/>
            <w:tcBorders>
              <w:left w:val="nil"/>
              <w:right w:val="nil"/>
            </w:tcBorders>
          </w:tcPr>
          <w:p w:rsidR="0043099D" w:rsidRPr="003409C0" w:rsidRDefault="0043099D" w:rsidP="0043099D">
            <w:pPr>
              <w:pStyle w:val="ListParagraph"/>
              <w:autoSpaceDE w:val="0"/>
              <w:autoSpaceDN w:val="0"/>
              <w:adjustRightInd w:val="0"/>
              <w:ind w:left="540"/>
              <w:rPr>
                <w:rFonts w:cs="Arial"/>
                <w:color w:val="000000" w:themeColor="text1"/>
                <w:sz w:val="12"/>
                <w:lang w:val="en-US"/>
              </w:rPr>
            </w:pPr>
          </w:p>
          <w:p w:rsidR="0043099D" w:rsidRPr="003409C0" w:rsidRDefault="0043099D" w:rsidP="0043099D">
            <w:pPr>
              <w:pStyle w:val="ListParagraph"/>
              <w:numPr>
                <w:ilvl w:val="0"/>
                <w:numId w:val="68"/>
              </w:numPr>
              <w:autoSpaceDE w:val="0"/>
              <w:autoSpaceDN w:val="0"/>
              <w:adjustRightInd w:val="0"/>
              <w:ind w:left="720" w:hanging="630"/>
              <w:rPr>
                <w:rFonts w:cs="Arial"/>
                <w:color w:val="000000" w:themeColor="text1"/>
                <w:sz w:val="20"/>
                <w:lang w:val="en-US"/>
              </w:rPr>
            </w:pPr>
            <w:r w:rsidRPr="003409C0">
              <w:rPr>
                <w:rFonts w:cs="Arial"/>
                <w:color w:val="000000" w:themeColor="text1"/>
                <w:sz w:val="20"/>
                <w:lang w:val="en-US"/>
              </w:rPr>
              <w:t>Seeding or planting equipment</w:t>
            </w:r>
          </w:p>
          <w:p w:rsidR="0043099D" w:rsidRPr="003409C0" w:rsidRDefault="0043099D" w:rsidP="0043099D">
            <w:pPr>
              <w:pStyle w:val="ListParagraph"/>
              <w:autoSpaceDE w:val="0"/>
              <w:autoSpaceDN w:val="0"/>
              <w:adjustRightInd w:val="0"/>
              <w:ind w:left="0" w:right="2430"/>
              <w:rPr>
                <w:rFonts w:cs="Arial"/>
                <w:color w:val="000000" w:themeColor="text1"/>
                <w:sz w:val="14"/>
                <w:lang w:val="en-US"/>
              </w:rPr>
            </w:pPr>
          </w:p>
        </w:tc>
      </w:tr>
    </w:tbl>
    <w:p w:rsidR="00B10F5D" w:rsidRPr="003409C0" w:rsidRDefault="00B10F5D" w:rsidP="00B10F5D">
      <w:pPr>
        <w:pStyle w:val="ListParagraph"/>
        <w:autoSpaceDE w:val="0"/>
        <w:autoSpaceDN w:val="0"/>
        <w:adjustRightInd w:val="0"/>
        <w:ind w:left="1260"/>
        <w:rPr>
          <w:rFonts w:cs="Arial"/>
          <w:color w:val="000000" w:themeColor="text1"/>
          <w:sz w:val="20"/>
          <w:lang w:val="en-US"/>
        </w:rPr>
      </w:pPr>
    </w:p>
    <w:p w:rsidR="00B10F5D" w:rsidRPr="003409C0" w:rsidRDefault="00B10F5D" w:rsidP="00B10F5D">
      <w:pPr>
        <w:pStyle w:val="ListParagraph"/>
        <w:autoSpaceDE w:val="0"/>
        <w:autoSpaceDN w:val="0"/>
        <w:adjustRightInd w:val="0"/>
        <w:ind w:left="1260" w:right="2430"/>
        <w:rPr>
          <w:rFonts w:cs="Arial"/>
          <w:color w:val="000000" w:themeColor="text1"/>
          <w:sz w:val="20"/>
          <w:lang w:val="en-US"/>
        </w:rPr>
      </w:pPr>
    </w:p>
    <w:p w:rsidR="00B10F5D" w:rsidRPr="003409C0" w:rsidRDefault="00B10F5D" w:rsidP="00B10F5D">
      <w:pPr>
        <w:pStyle w:val="ListParagraph"/>
        <w:autoSpaceDE w:val="0"/>
        <w:autoSpaceDN w:val="0"/>
        <w:adjustRightInd w:val="0"/>
        <w:ind w:left="1260"/>
        <w:rPr>
          <w:rFonts w:cs="Arial"/>
          <w:color w:val="000000" w:themeColor="text1"/>
          <w:sz w:val="20"/>
          <w:lang w:val="en-US"/>
        </w:rPr>
      </w:pPr>
    </w:p>
    <w:tbl>
      <w:tblPr>
        <w:tblStyle w:val="TableGrid"/>
        <w:tblW w:w="0" w:type="auto"/>
        <w:tblInd w:w="37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1466"/>
        <w:gridCol w:w="2044"/>
        <w:gridCol w:w="1644"/>
      </w:tblGrid>
      <w:tr w:rsidR="00B10F5D" w:rsidRPr="003409C0" w:rsidTr="00AD1B1B">
        <w:trPr>
          <w:trHeight w:val="278"/>
        </w:trPr>
        <w:tc>
          <w:tcPr>
            <w:tcW w:w="1466" w:type="dxa"/>
          </w:tcPr>
          <w:p w:rsidR="00B10F5D" w:rsidRPr="003409C0" w:rsidRDefault="00B10F5D" w:rsidP="00B8383C">
            <w:pPr>
              <w:autoSpaceDE w:val="0"/>
              <w:autoSpaceDN w:val="0"/>
              <w:adjustRightInd w:val="0"/>
              <w:rPr>
                <w:rFonts w:cs="Arial"/>
                <w:b/>
                <w:bCs/>
                <w:color w:val="000000" w:themeColor="text1"/>
                <w:sz w:val="20"/>
                <w:lang w:val="en-US"/>
              </w:rPr>
            </w:pPr>
          </w:p>
        </w:tc>
        <w:tc>
          <w:tcPr>
            <w:tcW w:w="2044" w:type="dxa"/>
          </w:tcPr>
          <w:p w:rsidR="00B10F5D" w:rsidRPr="003409C0" w:rsidRDefault="00B10F5D" w:rsidP="00B8383C">
            <w:pPr>
              <w:autoSpaceDE w:val="0"/>
              <w:autoSpaceDN w:val="0"/>
              <w:adjustRightInd w:val="0"/>
              <w:rPr>
                <w:rFonts w:cs="Arial"/>
                <w:b/>
                <w:bCs/>
                <w:color w:val="000000" w:themeColor="text1"/>
                <w:sz w:val="20"/>
                <w:lang w:val="en-US"/>
              </w:rPr>
            </w:pPr>
            <w:r w:rsidRPr="003409C0">
              <w:rPr>
                <w:rFonts w:cs="Arial"/>
                <w:b/>
                <w:bCs/>
                <w:color w:val="000000" w:themeColor="text1"/>
                <w:sz w:val="20"/>
                <w:lang w:val="en-US"/>
              </w:rPr>
              <w:t>Equipment</w:t>
            </w:r>
          </w:p>
        </w:tc>
        <w:tc>
          <w:tcPr>
            <w:tcW w:w="1644" w:type="dxa"/>
          </w:tcPr>
          <w:p w:rsidR="00B10F5D" w:rsidRPr="003409C0" w:rsidRDefault="00B10F5D" w:rsidP="0043099D">
            <w:pPr>
              <w:autoSpaceDE w:val="0"/>
              <w:autoSpaceDN w:val="0"/>
              <w:adjustRightInd w:val="0"/>
              <w:ind w:left="-18"/>
              <w:rPr>
                <w:rFonts w:cs="Arial"/>
                <w:b/>
                <w:bCs/>
                <w:color w:val="000000" w:themeColor="text1"/>
                <w:sz w:val="20"/>
                <w:lang w:val="en-US"/>
              </w:rPr>
            </w:pPr>
            <w:r w:rsidRPr="003409C0">
              <w:rPr>
                <w:rFonts w:cs="Arial"/>
                <w:b/>
                <w:bCs/>
                <w:color w:val="000000" w:themeColor="text1"/>
                <w:sz w:val="20"/>
                <w:lang w:val="en-US"/>
              </w:rPr>
              <w:t>PCT Code</w:t>
            </w:r>
          </w:p>
        </w:tc>
      </w:tr>
    </w:tbl>
    <w:p w:rsidR="00B8383C" w:rsidRPr="003409C0" w:rsidRDefault="00B8383C" w:rsidP="0043099D">
      <w:pPr>
        <w:pStyle w:val="ListParagraph"/>
        <w:numPr>
          <w:ilvl w:val="0"/>
          <w:numId w:val="69"/>
        </w:numPr>
        <w:autoSpaceDE w:val="0"/>
        <w:autoSpaceDN w:val="0"/>
        <w:adjustRightInd w:val="0"/>
        <w:rPr>
          <w:rFonts w:cs="Arial"/>
          <w:color w:val="000000" w:themeColor="text1"/>
          <w:sz w:val="20"/>
          <w:lang w:val="en-US"/>
        </w:rPr>
      </w:pPr>
      <w:r w:rsidRPr="003409C0">
        <w:rPr>
          <w:rFonts w:cs="Arial"/>
          <w:color w:val="000000" w:themeColor="text1"/>
          <w:sz w:val="20"/>
          <w:lang w:val="en-US"/>
        </w:rPr>
        <w:t>Seed-cum-fertilizer</w:t>
      </w:r>
      <w:r w:rsidR="0043099D" w:rsidRPr="003409C0">
        <w:rPr>
          <w:rFonts w:cs="Arial"/>
          <w:color w:val="000000" w:themeColor="text1"/>
          <w:sz w:val="20"/>
          <w:lang w:val="en-US"/>
        </w:rPr>
        <w:tab/>
      </w:r>
      <w:r w:rsidR="00717085" w:rsidRPr="003409C0">
        <w:rPr>
          <w:rFonts w:cs="Arial"/>
          <w:color w:val="000000" w:themeColor="text1"/>
          <w:sz w:val="20"/>
          <w:lang w:val="en-US"/>
        </w:rPr>
        <w:t>8432.3010</w:t>
      </w:r>
    </w:p>
    <w:p w:rsidR="00B8383C" w:rsidRPr="003409C0" w:rsidRDefault="00B8383C" w:rsidP="0043099D">
      <w:pPr>
        <w:autoSpaceDE w:val="0"/>
        <w:autoSpaceDN w:val="0"/>
        <w:adjustRightInd w:val="0"/>
        <w:ind w:left="1268" w:firstLine="547"/>
        <w:rPr>
          <w:rFonts w:cs="Arial"/>
          <w:color w:val="000000" w:themeColor="text1"/>
          <w:sz w:val="20"/>
          <w:lang w:val="en-US"/>
        </w:rPr>
      </w:pPr>
      <w:r w:rsidRPr="003409C0">
        <w:rPr>
          <w:rFonts w:cs="Arial"/>
          <w:color w:val="000000" w:themeColor="text1"/>
          <w:sz w:val="20"/>
          <w:lang w:val="en-US"/>
        </w:rPr>
        <w:t>drill (wheat, rice</w:t>
      </w:r>
    </w:p>
    <w:p w:rsidR="00B8383C" w:rsidRPr="003409C0" w:rsidRDefault="00B8383C" w:rsidP="0043099D">
      <w:pPr>
        <w:autoSpaceDE w:val="0"/>
        <w:autoSpaceDN w:val="0"/>
        <w:adjustRightInd w:val="0"/>
        <w:ind w:left="1268" w:firstLine="547"/>
        <w:rPr>
          <w:rFonts w:cs="Arial"/>
          <w:color w:val="000000" w:themeColor="text1"/>
          <w:sz w:val="20"/>
          <w:lang w:val="en-US"/>
        </w:rPr>
      </w:pPr>
      <w:r w:rsidRPr="003409C0">
        <w:rPr>
          <w:rFonts w:cs="Arial"/>
          <w:color w:val="000000" w:themeColor="text1"/>
          <w:sz w:val="20"/>
          <w:lang w:val="en-US"/>
        </w:rPr>
        <w:t>barley, etc.)</w:t>
      </w:r>
    </w:p>
    <w:p w:rsidR="0043099D" w:rsidRPr="003409C0" w:rsidRDefault="0043099D" w:rsidP="0043099D">
      <w:pPr>
        <w:autoSpaceDE w:val="0"/>
        <w:autoSpaceDN w:val="0"/>
        <w:adjustRightInd w:val="0"/>
        <w:ind w:left="1268" w:firstLine="547"/>
        <w:rPr>
          <w:rFonts w:cs="Arial"/>
          <w:color w:val="000000" w:themeColor="text1"/>
          <w:sz w:val="20"/>
          <w:lang w:val="en-US"/>
        </w:rPr>
      </w:pPr>
    </w:p>
    <w:p w:rsidR="00B8383C" w:rsidRPr="003409C0" w:rsidRDefault="00B8383C" w:rsidP="0043099D">
      <w:pPr>
        <w:pStyle w:val="ListParagraph"/>
        <w:numPr>
          <w:ilvl w:val="0"/>
          <w:numId w:val="69"/>
        </w:numPr>
        <w:autoSpaceDE w:val="0"/>
        <w:autoSpaceDN w:val="0"/>
        <w:adjustRightInd w:val="0"/>
        <w:rPr>
          <w:rFonts w:cs="Arial"/>
          <w:color w:val="000000" w:themeColor="text1"/>
          <w:sz w:val="20"/>
          <w:lang w:val="en-US"/>
        </w:rPr>
      </w:pPr>
      <w:r w:rsidRPr="003409C0">
        <w:rPr>
          <w:rFonts w:cs="Arial"/>
          <w:color w:val="000000" w:themeColor="text1"/>
          <w:sz w:val="20"/>
          <w:lang w:val="en-US"/>
        </w:rPr>
        <w:t>Cotton or maize</w:t>
      </w:r>
      <w:r w:rsidR="00717085" w:rsidRPr="003409C0">
        <w:rPr>
          <w:rFonts w:cs="Arial"/>
          <w:color w:val="000000" w:themeColor="text1"/>
          <w:sz w:val="20"/>
          <w:lang w:val="en-US"/>
        </w:rPr>
        <w:tab/>
      </w:r>
      <w:r w:rsidR="00717085" w:rsidRPr="003409C0">
        <w:rPr>
          <w:rFonts w:cs="Arial"/>
          <w:color w:val="000000" w:themeColor="text1"/>
          <w:sz w:val="20"/>
          <w:lang w:val="en-US"/>
        </w:rPr>
        <w:tab/>
        <w:t>8432.3090</w:t>
      </w:r>
    </w:p>
    <w:p w:rsidR="00B8383C" w:rsidRPr="003409C0" w:rsidRDefault="00B8383C" w:rsidP="0043099D">
      <w:pPr>
        <w:autoSpaceDE w:val="0"/>
        <w:autoSpaceDN w:val="0"/>
        <w:adjustRightInd w:val="0"/>
        <w:ind w:left="1268" w:firstLine="547"/>
        <w:rPr>
          <w:rFonts w:cs="Arial"/>
          <w:color w:val="000000" w:themeColor="text1"/>
          <w:sz w:val="20"/>
          <w:lang w:val="en-US"/>
        </w:rPr>
      </w:pPr>
      <w:r w:rsidRPr="003409C0">
        <w:rPr>
          <w:rFonts w:cs="Arial"/>
          <w:color w:val="000000" w:themeColor="text1"/>
          <w:sz w:val="20"/>
          <w:lang w:val="en-US"/>
        </w:rPr>
        <w:t>planter with</w:t>
      </w:r>
      <w:r w:rsidR="00716C91" w:rsidRPr="003409C0">
        <w:rPr>
          <w:rFonts w:cs="Arial"/>
          <w:color w:val="000000" w:themeColor="text1"/>
          <w:sz w:val="20"/>
          <w:lang w:val="en-US"/>
        </w:rPr>
        <w:t xml:space="preserve"> </w:t>
      </w:r>
      <w:r w:rsidRPr="003409C0">
        <w:rPr>
          <w:rFonts w:cs="Arial"/>
          <w:color w:val="000000" w:themeColor="text1"/>
          <w:sz w:val="20"/>
          <w:lang w:val="en-US"/>
        </w:rPr>
        <w:t>fertilizer</w:t>
      </w:r>
    </w:p>
    <w:p w:rsidR="00B8383C" w:rsidRPr="003409C0" w:rsidRDefault="00B8383C" w:rsidP="0043099D">
      <w:pPr>
        <w:autoSpaceDE w:val="0"/>
        <w:autoSpaceDN w:val="0"/>
        <w:adjustRightInd w:val="0"/>
        <w:ind w:left="1268" w:firstLine="547"/>
        <w:rPr>
          <w:rFonts w:cs="Arial"/>
          <w:color w:val="000000" w:themeColor="text1"/>
          <w:sz w:val="20"/>
          <w:lang w:val="en-US"/>
        </w:rPr>
      </w:pPr>
      <w:r w:rsidRPr="003409C0">
        <w:rPr>
          <w:rFonts w:cs="Arial"/>
          <w:color w:val="000000" w:themeColor="text1"/>
          <w:sz w:val="20"/>
          <w:lang w:val="en-US"/>
        </w:rPr>
        <w:t>attachment</w:t>
      </w:r>
    </w:p>
    <w:p w:rsidR="0043099D" w:rsidRPr="003409C0" w:rsidRDefault="0043099D" w:rsidP="0043099D">
      <w:pPr>
        <w:autoSpaceDE w:val="0"/>
        <w:autoSpaceDN w:val="0"/>
        <w:adjustRightInd w:val="0"/>
        <w:ind w:left="1268" w:firstLine="547"/>
        <w:rPr>
          <w:rFonts w:cs="Arial"/>
          <w:color w:val="000000" w:themeColor="text1"/>
          <w:sz w:val="20"/>
          <w:lang w:val="en-US"/>
        </w:rPr>
      </w:pPr>
    </w:p>
    <w:p w:rsidR="00B8383C" w:rsidRPr="003409C0" w:rsidRDefault="00B8383C" w:rsidP="0043099D">
      <w:pPr>
        <w:pStyle w:val="ListParagraph"/>
        <w:numPr>
          <w:ilvl w:val="0"/>
          <w:numId w:val="69"/>
        </w:numPr>
        <w:autoSpaceDE w:val="0"/>
        <w:autoSpaceDN w:val="0"/>
        <w:adjustRightInd w:val="0"/>
        <w:rPr>
          <w:rFonts w:cs="Arial"/>
          <w:color w:val="000000" w:themeColor="text1"/>
          <w:sz w:val="20"/>
          <w:lang w:val="en-US"/>
        </w:rPr>
      </w:pPr>
      <w:r w:rsidRPr="003409C0">
        <w:rPr>
          <w:rFonts w:cs="Arial"/>
          <w:color w:val="000000" w:themeColor="text1"/>
          <w:sz w:val="20"/>
          <w:lang w:val="en-US"/>
        </w:rPr>
        <w:t xml:space="preserve">Potato planter </w:t>
      </w:r>
      <w:r w:rsidR="0043099D" w:rsidRPr="003409C0">
        <w:rPr>
          <w:rFonts w:cs="Arial"/>
          <w:color w:val="000000" w:themeColor="text1"/>
          <w:sz w:val="20"/>
          <w:lang w:val="en-US"/>
        </w:rPr>
        <w:tab/>
      </w:r>
      <w:r w:rsidR="0043099D" w:rsidRPr="003409C0">
        <w:rPr>
          <w:rFonts w:cs="Arial"/>
          <w:color w:val="000000" w:themeColor="text1"/>
          <w:sz w:val="20"/>
          <w:lang w:val="en-US"/>
        </w:rPr>
        <w:tab/>
      </w:r>
      <w:r w:rsidRPr="003409C0">
        <w:rPr>
          <w:rFonts w:cs="Arial"/>
          <w:color w:val="000000" w:themeColor="text1"/>
          <w:sz w:val="20"/>
          <w:lang w:val="en-US"/>
        </w:rPr>
        <w:t>8432.3090</w:t>
      </w:r>
    </w:p>
    <w:p w:rsidR="0043099D" w:rsidRPr="003409C0" w:rsidRDefault="0043099D" w:rsidP="0043099D">
      <w:pPr>
        <w:pStyle w:val="ListParagraph"/>
        <w:autoSpaceDE w:val="0"/>
        <w:autoSpaceDN w:val="0"/>
        <w:adjustRightInd w:val="0"/>
        <w:ind w:left="1815"/>
        <w:rPr>
          <w:rFonts w:cs="Arial"/>
          <w:color w:val="000000" w:themeColor="text1"/>
          <w:sz w:val="20"/>
          <w:lang w:val="en-US"/>
        </w:rPr>
      </w:pPr>
    </w:p>
    <w:p w:rsidR="00B8383C" w:rsidRPr="003409C0" w:rsidRDefault="00B8383C" w:rsidP="005D1FBA">
      <w:pPr>
        <w:pStyle w:val="ListParagraph"/>
        <w:numPr>
          <w:ilvl w:val="0"/>
          <w:numId w:val="69"/>
        </w:numPr>
        <w:autoSpaceDE w:val="0"/>
        <w:autoSpaceDN w:val="0"/>
        <w:adjustRightInd w:val="0"/>
        <w:rPr>
          <w:rFonts w:cs="Arial"/>
          <w:color w:val="000000" w:themeColor="text1"/>
          <w:sz w:val="20"/>
          <w:lang w:val="en-US"/>
        </w:rPr>
      </w:pPr>
      <w:r w:rsidRPr="003409C0">
        <w:rPr>
          <w:rFonts w:cs="Arial"/>
          <w:color w:val="000000" w:themeColor="text1"/>
          <w:sz w:val="20"/>
          <w:lang w:val="en-US"/>
        </w:rPr>
        <w:t>Fertilizer or</w:t>
      </w:r>
      <w:r w:rsidR="00C311DA" w:rsidRPr="003409C0">
        <w:rPr>
          <w:rFonts w:cs="Arial"/>
          <w:color w:val="000000" w:themeColor="text1"/>
          <w:sz w:val="20"/>
          <w:lang w:val="en-US"/>
        </w:rPr>
        <w:tab/>
      </w:r>
      <w:r w:rsidR="00C311DA" w:rsidRPr="003409C0">
        <w:rPr>
          <w:rFonts w:cs="Arial"/>
          <w:color w:val="000000" w:themeColor="text1"/>
          <w:sz w:val="20"/>
          <w:lang w:val="en-US"/>
        </w:rPr>
        <w:tab/>
        <w:t>8432.4000</w:t>
      </w:r>
    </w:p>
    <w:p w:rsidR="00B8383C" w:rsidRPr="003409C0" w:rsidRDefault="00B8383C" w:rsidP="005D1FBA">
      <w:pPr>
        <w:autoSpaceDE w:val="0"/>
        <w:autoSpaceDN w:val="0"/>
        <w:adjustRightInd w:val="0"/>
        <w:ind w:left="1268" w:firstLine="547"/>
        <w:rPr>
          <w:rFonts w:cs="Arial"/>
          <w:color w:val="000000" w:themeColor="text1"/>
          <w:sz w:val="20"/>
          <w:lang w:val="en-US"/>
        </w:rPr>
      </w:pPr>
      <w:r w:rsidRPr="003409C0">
        <w:rPr>
          <w:rFonts w:cs="Arial"/>
          <w:color w:val="000000" w:themeColor="text1"/>
          <w:sz w:val="20"/>
          <w:lang w:val="en-US"/>
        </w:rPr>
        <w:t>manure spreader</w:t>
      </w:r>
    </w:p>
    <w:p w:rsidR="00B8383C" w:rsidRPr="003409C0" w:rsidRDefault="00B8383C" w:rsidP="005D1FBA">
      <w:pPr>
        <w:autoSpaceDE w:val="0"/>
        <w:autoSpaceDN w:val="0"/>
        <w:adjustRightInd w:val="0"/>
        <w:ind w:left="1268" w:firstLine="547"/>
        <w:rPr>
          <w:rFonts w:cs="Arial"/>
          <w:color w:val="000000" w:themeColor="text1"/>
          <w:sz w:val="20"/>
          <w:lang w:val="en-US"/>
        </w:rPr>
      </w:pPr>
      <w:r w:rsidRPr="003409C0">
        <w:rPr>
          <w:rFonts w:cs="Arial"/>
          <w:color w:val="000000" w:themeColor="text1"/>
          <w:sz w:val="20"/>
          <w:lang w:val="en-US"/>
        </w:rPr>
        <w:t>or broadcaster</w:t>
      </w:r>
    </w:p>
    <w:p w:rsidR="005D1FBA" w:rsidRPr="003409C0" w:rsidRDefault="005D1FBA" w:rsidP="00B8383C">
      <w:pPr>
        <w:autoSpaceDE w:val="0"/>
        <w:autoSpaceDN w:val="0"/>
        <w:adjustRightInd w:val="0"/>
        <w:rPr>
          <w:rFonts w:cs="Arial"/>
          <w:color w:val="000000" w:themeColor="text1"/>
          <w:sz w:val="20"/>
          <w:lang w:val="en-US"/>
        </w:rPr>
      </w:pPr>
    </w:p>
    <w:p w:rsidR="00B8383C" w:rsidRPr="003409C0" w:rsidRDefault="00B8383C" w:rsidP="005D1FBA">
      <w:pPr>
        <w:pStyle w:val="ListParagraph"/>
        <w:numPr>
          <w:ilvl w:val="0"/>
          <w:numId w:val="69"/>
        </w:numPr>
        <w:autoSpaceDE w:val="0"/>
        <w:autoSpaceDN w:val="0"/>
        <w:adjustRightInd w:val="0"/>
        <w:rPr>
          <w:rFonts w:cs="Arial"/>
          <w:color w:val="000000" w:themeColor="text1"/>
          <w:sz w:val="20"/>
          <w:lang w:val="en-US"/>
        </w:rPr>
      </w:pPr>
      <w:r w:rsidRPr="003409C0">
        <w:rPr>
          <w:rFonts w:cs="Arial"/>
          <w:color w:val="000000" w:themeColor="text1"/>
          <w:sz w:val="20"/>
          <w:lang w:val="en-US"/>
        </w:rPr>
        <w:t xml:space="preserve">Rice transplanter </w:t>
      </w:r>
      <w:r w:rsidR="005D1FBA" w:rsidRPr="003409C0">
        <w:rPr>
          <w:rFonts w:cs="Arial"/>
          <w:color w:val="000000" w:themeColor="text1"/>
          <w:sz w:val="20"/>
          <w:lang w:val="en-US"/>
        </w:rPr>
        <w:tab/>
      </w:r>
      <w:r w:rsidRPr="003409C0">
        <w:rPr>
          <w:rFonts w:cs="Arial"/>
          <w:color w:val="000000" w:themeColor="text1"/>
          <w:sz w:val="20"/>
          <w:lang w:val="en-US"/>
        </w:rPr>
        <w:t>8432.3090</w:t>
      </w:r>
    </w:p>
    <w:p w:rsidR="005D1FBA" w:rsidRPr="003409C0" w:rsidRDefault="005D1FBA" w:rsidP="005D1FBA">
      <w:pPr>
        <w:pStyle w:val="ListParagraph"/>
        <w:autoSpaceDE w:val="0"/>
        <w:autoSpaceDN w:val="0"/>
        <w:adjustRightInd w:val="0"/>
        <w:ind w:left="1815"/>
        <w:rPr>
          <w:rFonts w:cs="Arial"/>
          <w:color w:val="000000" w:themeColor="text1"/>
          <w:sz w:val="20"/>
          <w:lang w:val="en-US"/>
        </w:rPr>
      </w:pPr>
    </w:p>
    <w:p w:rsidR="00B8383C" w:rsidRPr="003409C0" w:rsidRDefault="00B8383C" w:rsidP="005D1FBA">
      <w:pPr>
        <w:pStyle w:val="ListParagraph"/>
        <w:numPr>
          <w:ilvl w:val="0"/>
          <w:numId w:val="69"/>
        </w:numPr>
        <w:autoSpaceDE w:val="0"/>
        <w:autoSpaceDN w:val="0"/>
        <w:adjustRightInd w:val="0"/>
        <w:rPr>
          <w:rFonts w:cs="Arial"/>
          <w:color w:val="000000" w:themeColor="text1"/>
          <w:sz w:val="20"/>
          <w:lang w:val="en-US"/>
        </w:rPr>
      </w:pPr>
      <w:r w:rsidRPr="003409C0">
        <w:rPr>
          <w:rFonts w:cs="Arial"/>
          <w:color w:val="000000" w:themeColor="text1"/>
          <w:sz w:val="20"/>
          <w:lang w:val="en-US"/>
        </w:rPr>
        <w:t>Canola or</w:t>
      </w:r>
      <w:r w:rsidR="005D1FBA" w:rsidRPr="003409C0">
        <w:rPr>
          <w:rFonts w:cs="Arial"/>
          <w:color w:val="000000" w:themeColor="text1"/>
          <w:sz w:val="20"/>
          <w:lang w:val="en-US"/>
        </w:rPr>
        <w:tab/>
      </w:r>
      <w:r w:rsidR="005D1FBA" w:rsidRPr="003409C0">
        <w:rPr>
          <w:rFonts w:cs="Arial"/>
          <w:color w:val="000000" w:themeColor="text1"/>
          <w:sz w:val="20"/>
          <w:lang w:val="en-US"/>
        </w:rPr>
        <w:tab/>
      </w:r>
      <w:r w:rsidR="005D1FBA" w:rsidRPr="003409C0">
        <w:rPr>
          <w:rFonts w:cs="Arial"/>
          <w:color w:val="000000" w:themeColor="text1"/>
          <w:sz w:val="20"/>
          <w:lang w:val="en-US"/>
        </w:rPr>
        <w:tab/>
        <w:t>8432.3010</w:t>
      </w:r>
    </w:p>
    <w:p w:rsidR="00B8383C" w:rsidRPr="003409C0" w:rsidRDefault="00B8383C" w:rsidP="005D1FBA">
      <w:pPr>
        <w:autoSpaceDE w:val="0"/>
        <w:autoSpaceDN w:val="0"/>
        <w:adjustRightInd w:val="0"/>
        <w:ind w:left="1268" w:firstLine="547"/>
        <w:rPr>
          <w:rFonts w:cs="Arial"/>
          <w:color w:val="000000" w:themeColor="text1"/>
          <w:sz w:val="20"/>
          <w:lang w:val="en-US"/>
        </w:rPr>
      </w:pPr>
      <w:r w:rsidRPr="003409C0">
        <w:rPr>
          <w:rFonts w:cs="Arial"/>
          <w:color w:val="000000" w:themeColor="text1"/>
          <w:sz w:val="20"/>
          <w:lang w:val="en-US"/>
        </w:rPr>
        <w:t>sunflower drill</w:t>
      </w:r>
    </w:p>
    <w:p w:rsidR="005D1FBA" w:rsidRPr="003409C0" w:rsidRDefault="005D1FBA" w:rsidP="00B8383C">
      <w:pPr>
        <w:autoSpaceDE w:val="0"/>
        <w:autoSpaceDN w:val="0"/>
        <w:adjustRightInd w:val="0"/>
        <w:rPr>
          <w:rFonts w:cs="Arial"/>
          <w:color w:val="000000" w:themeColor="text1"/>
          <w:sz w:val="20"/>
          <w:lang w:val="en-US"/>
        </w:rPr>
      </w:pPr>
    </w:p>
    <w:p w:rsidR="00B8383C" w:rsidRPr="003409C0" w:rsidRDefault="00B8383C" w:rsidP="005D1FBA">
      <w:pPr>
        <w:pStyle w:val="ListParagraph"/>
        <w:numPr>
          <w:ilvl w:val="0"/>
          <w:numId w:val="69"/>
        </w:numPr>
        <w:autoSpaceDE w:val="0"/>
        <w:autoSpaceDN w:val="0"/>
        <w:adjustRightInd w:val="0"/>
        <w:rPr>
          <w:rFonts w:cs="Arial"/>
          <w:color w:val="000000" w:themeColor="text1"/>
          <w:sz w:val="20"/>
          <w:lang w:val="en-US"/>
        </w:rPr>
      </w:pPr>
      <w:r w:rsidRPr="003409C0">
        <w:rPr>
          <w:rFonts w:cs="Arial"/>
          <w:color w:val="000000" w:themeColor="text1"/>
          <w:sz w:val="20"/>
          <w:lang w:val="en-US"/>
        </w:rPr>
        <w:t xml:space="preserve">Sugarcane planter </w:t>
      </w:r>
      <w:r w:rsidR="005D1FBA" w:rsidRPr="003409C0">
        <w:rPr>
          <w:rFonts w:cs="Arial"/>
          <w:color w:val="000000" w:themeColor="text1"/>
          <w:sz w:val="20"/>
          <w:lang w:val="en-US"/>
        </w:rPr>
        <w:tab/>
      </w:r>
      <w:r w:rsidRPr="003409C0">
        <w:rPr>
          <w:rFonts w:cs="Arial"/>
          <w:color w:val="000000" w:themeColor="text1"/>
          <w:sz w:val="20"/>
          <w:lang w:val="en-US"/>
        </w:rPr>
        <w:t>8432.3090</w:t>
      </w:r>
    </w:p>
    <w:tbl>
      <w:tblPr>
        <w:tblStyle w:val="TableGrid"/>
        <w:tblpPr w:leftFromText="180" w:rightFromText="180" w:vertAnchor="text" w:horzAnchor="margin" w:tblpY="73"/>
        <w:tblW w:w="0" w:type="auto"/>
        <w:tblLook w:val="04A0"/>
      </w:tblPr>
      <w:tblGrid>
        <w:gridCol w:w="5120"/>
      </w:tblGrid>
      <w:tr w:rsidR="00033CDC" w:rsidRPr="003409C0" w:rsidTr="00033CDC">
        <w:trPr>
          <w:trHeight w:val="617"/>
        </w:trPr>
        <w:tc>
          <w:tcPr>
            <w:tcW w:w="5120" w:type="dxa"/>
            <w:tcBorders>
              <w:left w:val="nil"/>
              <w:right w:val="nil"/>
            </w:tcBorders>
          </w:tcPr>
          <w:p w:rsidR="00033CDC" w:rsidRPr="003409C0" w:rsidRDefault="00033CDC" w:rsidP="00033CDC">
            <w:pPr>
              <w:pStyle w:val="ListParagraph"/>
              <w:autoSpaceDE w:val="0"/>
              <w:autoSpaceDN w:val="0"/>
              <w:adjustRightInd w:val="0"/>
              <w:ind w:left="540"/>
              <w:rPr>
                <w:rFonts w:cs="Arial"/>
                <w:color w:val="000000" w:themeColor="text1"/>
                <w:sz w:val="12"/>
                <w:lang w:val="en-US"/>
              </w:rPr>
            </w:pPr>
          </w:p>
          <w:p w:rsidR="00033CDC" w:rsidRPr="003409C0" w:rsidRDefault="00033CDC" w:rsidP="00033CDC">
            <w:pPr>
              <w:autoSpaceDE w:val="0"/>
              <w:autoSpaceDN w:val="0"/>
              <w:adjustRightInd w:val="0"/>
              <w:ind w:left="1080" w:hanging="900"/>
              <w:rPr>
                <w:rFonts w:cs="Arial"/>
                <w:color w:val="000000" w:themeColor="text1"/>
                <w:sz w:val="20"/>
                <w:lang w:val="en-US"/>
              </w:rPr>
            </w:pPr>
            <w:r w:rsidRPr="003409C0">
              <w:rPr>
                <w:rFonts w:cs="Arial"/>
                <w:color w:val="000000" w:themeColor="text1"/>
                <w:sz w:val="20"/>
                <w:lang w:val="en-US"/>
              </w:rPr>
              <w:t>(iii) Irrigation, drainage and agro-chemical</w:t>
            </w:r>
          </w:p>
          <w:p w:rsidR="00033CDC" w:rsidRPr="003409C0" w:rsidRDefault="00033CDC" w:rsidP="00033CDC">
            <w:pPr>
              <w:autoSpaceDE w:val="0"/>
              <w:autoSpaceDN w:val="0"/>
              <w:adjustRightInd w:val="0"/>
              <w:ind w:left="540"/>
              <w:rPr>
                <w:rFonts w:cs="Arial"/>
                <w:color w:val="000000" w:themeColor="text1"/>
                <w:sz w:val="14"/>
                <w:lang w:val="en-US"/>
              </w:rPr>
            </w:pPr>
            <w:r w:rsidRPr="003409C0">
              <w:rPr>
                <w:rFonts w:cs="Arial"/>
                <w:color w:val="000000" w:themeColor="text1"/>
                <w:sz w:val="20"/>
                <w:lang w:val="en-US"/>
              </w:rPr>
              <w:t>application equipment</w:t>
            </w:r>
          </w:p>
        </w:tc>
      </w:tr>
    </w:tbl>
    <w:p w:rsidR="005D1FBA" w:rsidRPr="003409C0" w:rsidRDefault="005D1FBA" w:rsidP="005D1FBA">
      <w:pPr>
        <w:pStyle w:val="ListParagraph"/>
        <w:autoSpaceDE w:val="0"/>
        <w:autoSpaceDN w:val="0"/>
        <w:adjustRightInd w:val="0"/>
        <w:ind w:left="1815"/>
        <w:rPr>
          <w:rFonts w:cs="Arial"/>
          <w:color w:val="000000" w:themeColor="text1"/>
          <w:sz w:val="20"/>
          <w:lang w:val="en-US"/>
        </w:rPr>
      </w:pPr>
    </w:p>
    <w:p w:rsidR="00B8383C" w:rsidRPr="003409C0" w:rsidRDefault="00B8383C" w:rsidP="00B8383C">
      <w:pPr>
        <w:autoSpaceDE w:val="0"/>
        <w:autoSpaceDN w:val="0"/>
        <w:adjustRightInd w:val="0"/>
        <w:rPr>
          <w:rFonts w:cs="Arial"/>
          <w:color w:val="000000" w:themeColor="text1"/>
          <w:sz w:val="20"/>
          <w:lang w:val="en-US"/>
        </w:rPr>
      </w:pPr>
    </w:p>
    <w:p w:rsidR="00033CDC" w:rsidRPr="003409C0" w:rsidRDefault="00033CDC" w:rsidP="00B8383C">
      <w:pPr>
        <w:autoSpaceDE w:val="0"/>
        <w:autoSpaceDN w:val="0"/>
        <w:adjustRightInd w:val="0"/>
        <w:rPr>
          <w:rFonts w:cs="Arial"/>
          <w:b/>
          <w:bCs/>
          <w:color w:val="000000" w:themeColor="text1"/>
          <w:sz w:val="20"/>
          <w:lang w:val="en-US"/>
        </w:rPr>
      </w:pPr>
    </w:p>
    <w:tbl>
      <w:tblPr>
        <w:tblStyle w:val="TableGrid"/>
        <w:tblpPr w:leftFromText="180" w:rightFromText="180" w:vertAnchor="text" w:horzAnchor="margin" w:tblpY="32"/>
        <w:tblW w:w="0" w:type="auto"/>
        <w:tblLook w:val="04A0"/>
      </w:tblPr>
      <w:tblGrid>
        <w:gridCol w:w="5151"/>
      </w:tblGrid>
      <w:tr w:rsidR="00033CDC" w:rsidRPr="003409C0" w:rsidTr="00A00088">
        <w:trPr>
          <w:trHeight w:val="266"/>
        </w:trPr>
        <w:tc>
          <w:tcPr>
            <w:tcW w:w="5151" w:type="dxa"/>
            <w:tcBorders>
              <w:top w:val="nil"/>
              <w:left w:val="nil"/>
              <w:bottom w:val="single" w:sz="4" w:space="0" w:color="auto"/>
              <w:right w:val="nil"/>
            </w:tcBorders>
          </w:tcPr>
          <w:p w:rsidR="00033CDC" w:rsidRPr="003409C0" w:rsidRDefault="00033CDC" w:rsidP="00033CDC">
            <w:pPr>
              <w:autoSpaceDE w:val="0"/>
              <w:autoSpaceDN w:val="0"/>
              <w:adjustRightInd w:val="0"/>
              <w:ind w:left="1800"/>
              <w:rPr>
                <w:rFonts w:cs="Arial"/>
                <w:b/>
                <w:bCs/>
                <w:color w:val="000000" w:themeColor="text1"/>
                <w:sz w:val="20"/>
                <w:lang w:val="en-US"/>
              </w:rPr>
            </w:pPr>
            <w:r w:rsidRPr="003409C0">
              <w:rPr>
                <w:rFonts w:cs="Arial"/>
                <w:b/>
                <w:bCs/>
                <w:color w:val="000000" w:themeColor="text1"/>
                <w:sz w:val="20"/>
                <w:lang w:val="en-US"/>
              </w:rPr>
              <w:t>Equipment PCT Code</w:t>
            </w:r>
          </w:p>
        </w:tc>
      </w:tr>
    </w:tbl>
    <w:p w:rsidR="00A00088" w:rsidRPr="003409C0" w:rsidRDefault="00A00088" w:rsidP="00A00088">
      <w:pPr>
        <w:autoSpaceDE w:val="0"/>
        <w:autoSpaceDN w:val="0"/>
        <w:adjustRightInd w:val="0"/>
        <w:rPr>
          <w:rFonts w:cs="Arial"/>
          <w:b/>
          <w:bCs/>
          <w:color w:val="000000" w:themeColor="text1"/>
          <w:sz w:val="20"/>
          <w:lang w:val="en-US"/>
        </w:rPr>
      </w:pPr>
    </w:p>
    <w:p w:rsidR="00A00088" w:rsidRPr="003409C0" w:rsidRDefault="00A00088" w:rsidP="00A00088">
      <w:pPr>
        <w:autoSpaceDE w:val="0"/>
        <w:autoSpaceDN w:val="0"/>
        <w:adjustRightInd w:val="0"/>
        <w:rPr>
          <w:rFonts w:cs="Arial"/>
          <w:b/>
          <w:bCs/>
          <w:color w:val="000000" w:themeColor="text1"/>
          <w:sz w:val="20"/>
          <w:lang w:val="en-US"/>
        </w:rPr>
      </w:pPr>
    </w:p>
    <w:p w:rsidR="00A00088" w:rsidRPr="003409C0" w:rsidRDefault="00B8383C" w:rsidP="00A00088">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lastRenderedPageBreak/>
        <w:t xml:space="preserve">(i) </w:t>
      </w:r>
      <w:r w:rsidR="00033CDC" w:rsidRPr="003409C0">
        <w:rPr>
          <w:rFonts w:cs="Arial"/>
          <w:color w:val="000000" w:themeColor="text1"/>
          <w:sz w:val="20"/>
          <w:lang w:val="en-US"/>
        </w:rPr>
        <w:tab/>
      </w:r>
      <w:r w:rsidRPr="003409C0">
        <w:rPr>
          <w:rFonts w:cs="Arial"/>
          <w:color w:val="000000" w:themeColor="text1"/>
          <w:sz w:val="20"/>
          <w:lang w:val="en-US"/>
        </w:rPr>
        <w:t>Tubewells filters or</w:t>
      </w:r>
      <w:r w:rsidR="00A00088" w:rsidRPr="003409C0">
        <w:rPr>
          <w:rFonts w:cs="Arial"/>
          <w:color w:val="000000" w:themeColor="text1"/>
          <w:sz w:val="20"/>
          <w:lang w:val="en-US"/>
        </w:rPr>
        <w:tab/>
        <w:t>8421.2100,</w:t>
      </w:r>
    </w:p>
    <w:p w:rsidR="00B8383C" w:rsidRPr="003409C0" w:rsidRDefault="00921CBF" w:rsidP="00A00088">
      <w:pPr>
        <w:autoSpaceDE w:val="0"/>
        <w:autoSpaceDN w:val="0"/>
        <w:adjustRightInd w:val="0"/>
        <w:ind w:left="1094" w:firstLine="547"/>
        <w:rPr>
          <w:rFonts w:cs="Arial"/>
          <w:color w:val="000000" w:themeColor="text1"/>
          <w:sz w:val="20"/>
          <w:lang w:val="en-US"/>
        </w:rPr>
      </w:pPr>
      <w:r w:rsidRPr="003409C0">
        <w:rPr>
          <w:rFonts w:cs="Arial"/>
          <w:color w:val="000000" w:themeColor="text1"/>
          <w:sz w:val="20"/>
          <w:lang w:val="en-US"/>
        </w:rPr>
        <w:t>S</w:t>
      </w:r>
      <w:r w:rsidR="00B8383C" w:rsidRPr="003409C0">
        <w:rPr>
          <w:rFonts w:cs="Arial"/>
          <w:color w:val="000000" w:themeColor="text1"/>
          <w:sz w:val="20"/>
          <w:lang w:val="en-US"/>
        </w:rPr>
        <w:t>trainers</w:t>
      </w:r>
      <w:r w:rsidRPr="003409C0">
        <w:rPr>
          <w:rFonts w:cs="Arial"/>
          <w:color w:val="000000" w:themeColor="text1"/>
          <w:sz w:val="20"/>
          <w:lang w:val="en-US"/>
        </w:rPr>
        <w:tab/>
      </w:r>
      <w:r w:rsidRPr="003409C0">
        <w:rPr>
          <w:rFonts w:cs="Arial"/>
          <w:color w:val="000000" w:themeColor="text1"/>
          <w:sz w:val="20"/>
          <w:lang w:val="en-US"/>
        </w:rPr>
        <w:tab/>
      </w:r>
      <w:r w:rsidRPr="003409C0">
        <w:rPr>
          <w:rFonts w:cs="Arial"/>
          <w:color w:val="000000" w:themeColor="text1"/>
          <w:sz w:val="20"/>
          <w:lang w:val="en-US"/>
        </w:rPr>
        <w:tab/>
        <w:t>8421.9990</w:t>
      </w:r>
    </w:p>
    <w:p w:rsidR="00B8383C" w:rsidRPr="003409C0" w:rsidRDefault="00B8383C" w:rsidP="00A00088">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(ii) </w:t>
      </w:r>
      <w:r w:rsidR="00A00088" w:rsidRPr="003409C0">
        <w:rPr>
          <w:rFonts w:cs="Arial"/>
          <w:color w:val="000000" w:themeColor="text1"/>
          <w:sz w:val="20"/>
          <w:lang w:val="en-US"/>
        </w:rPr>
        <w:tab/>
      </w:r>
      <w:r w:rsidRPr="003409C0">
        <w:rPr>
          <w:rFonts w:cs="Arial"/>
          <w:color w:val="000000" w:themeColor="text1"/>
          <w:sz w:val="20"/>
          <w:lang w:val="en-US"/>
        </w:rPr>
        <w:t xml:space="preserve">Knapsack sprayers </w:t>
      </w:r>
      <w:r w:rsidR="00A00088" w:rsidRPr="003409C0">
        <w:rPr>
          <w:rFonts w:cs="Arial"/>
          <w:color w:val="000000" w:themeColor="text1"/>
          <w:sz w:val="20"/>
          <w:lang w:val="en-US"/>
        </w:rPr>
        <w:tab/>
      </w:r>
      <w:r w:rsidRPr="003409C0">
        <w:rPr>
          <w:rFonts w:cs="Arial"/>
          <w:color w:val="000000" w:themeColor="text1"/>
          <w:sz w:val="20"/>
          <w:lang w:val="en-US"/>
        </w:rPr>
        <w:t>8424.2010</w:t>
      </w:r>
    </w:p>
    <w:p w:rsidR="00B8383C" w:rsidRPr="003409C0" w:rsidRDefault="00B8383C" w:rsidP="00A00088">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(iii) </w:t>
      </w:r>
      <w:r w:rsidR="00A00088" w:rsidRPr="003409C0">
        <w:rPr>
          <w:rFonts w:cs="Arial"/>
          <w:color w:val="000000" w:themeColor="text1"/>
          <w:sz w:val="20"/>
          <w:lang w:val="en-US"/>
        </w:rPr>
        <w:tab/>
      </w:r>
      <w:r w:rsidRPr="003409C0">
        <w:rPr>
          <w:rFonts w:cs="Arial"/>
          <w:color w:val="000000" w:themeColor="text1"/>
          <w:sz w:val="20"/>
          <w:lang w:val="en-US"/>
        </w:rPr>
        <w:t xml:space="preserve">Granular applicator </w:t>
      </w:r>
      <w:r w:rsidR="00A00088" w:rsidRPr="003409C0">
        <w:rPr>
          <w:rFonts w:cs="Arial"/>
          <w:color w:val="000000" w:themeColor="text1"/>
          <w:sz w:val="20"/>
          <w:lang w:val="en-US"/>
        </w:rPr>
        <w:tab/>
      </w:r>
      <w:r w:rsidRPr="003409C0">
        <w:rPr>
          <w:rFonts w:cs="Arial"/>
          <w:color w:val="000000" w:themeColor="text1"/>
          <w:sz w:val="20"/>
          <w:lang w:val="en-US"/>
        </w:rPr>
        <w:t>8424.2010</w:t>
      </w:r>
    </w:p>
    <w:p w:rsidR="00B8383C" w:rsidRPr="003409C0" w:rsidRDefault="00B8383C" w:rsidP="00A00088">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(iv) </w:t>
      </w:r>
      <w:r w:rsidR="00A00088" w:rsidRPr="003409C0">
        <w:rPr>
          <w:rFonts w:cs="Arial"/>
          <w:color w:val="000000" w:themeColor="text1"/>
          <w:sz w:val="20"/>
          <w:lang w:val="en-US"/>
        </w:rPr>
        <w:tab/>
      </w:r>
      <w:r w:rsidRPr="003409C0">
        <w:rPr>
          <w:rFonts w:cs="Arial"/>
          <w:color w:val="000000" w:themeColor="text1"/>
          <w:sz w:val="20"/>
          <w:lang w:val="en-US"/>
        </w:rPr>
        <w:t xml:space="preserve">Boom or field sprayers </w:t>
      </w:r>
      <w:r w:rsidR="00A00088" w:rsidRPr="003409C0">
        <w:rPr>
          <w:rFonts w:cs="Arial"/>
          <w:color w:val="000000" w:themeColor="text1"/>
          <w:sz w:val="20"/>
          <w:lang w:val="en-US"/>
        </w:rPr>
        <w:tab/>
      </w:r>
      <w:r w:rsidRPr="003409C0">
        <w:rPr>
          <w:rFonts w:cs="Arial"/>
          <w:color w:val="000000" w:themeColor="text1"/>
          <w:sz w:val="20"/>
          <w:lang w:val="en-US"/>
        </w:rPr>
        <w:t>8424.2010</w:t>
      </w:r>
    </w:p>
    <w:p w:rsidR="00B8383C" w:rsidRPr="003409C0" w:rsidRDefault="00B8383C" w:rsidP="00A00088">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(v) </w:t>
      </w:r>
      <w:r w:rsidR="00A00088" w:rsidRPr="003409C0">
        <w:rPr>
          <w:rFonts w:cs="Arial"/>
          <w:color w:val="000000" w:themeColor="text1"/>
          <w:sz w:val="20"/>
          <w:lang w:val="en-US"/>
        </w:rPr>
        <w:tab/>
      </w:r>
      <w:r w:rsidRPr="003409C0">
        <w:rPr>
          <w:rFonts w:cs="Arial"/>
          <w:color w:val="000000" w:themeColor="text1"/>
          <w:sz w:val="20"/>
          <w:lang w:val="en-US"/>
        </w:rPr>
        <w:t xml:space="preserve">Self propelled sprayers </w:t>
      </w:r>
      <w:r w:rsidR="00F863F4" w:rsidRPr="003409C0">
        <w:rPr>
          <w:rFonts w:cs="Arial"/>
          <w:color w:val="000000" w:themeColor="text1"/>
          <w:sz w:val="20"/>
          <w:lang w:val="en-US"/>
        </w:rPr>
        <w:tab/>
      </w:r>
      <w:r w:rsidRPr="003409C0">
        <w:rPr>
          <w:rFonts w:cs="Arial"/>
          <w:color w:val="000000" w:themeColor="text1"/>
          <w:sz w:val="20"/>
          <w:lang w:val="en-US"/>
        </w:rPr>
        <w:t>8424.2010</w:t>
      </w:r>
    </w:p>
    <w:p w:rsidR="00B8383C" w:rsidRPr="003409C0" w:rsidRDefault="00B8383C" w:rsidP="00A00088">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(vi) </w:t>
      </w:r>
      <w:r w:rsidR="00A00088" w:rsidRPr="003409C0">
        <w:rPr>
          <w:rFonts w:cs="Arial"/>
          <w:color w:val="000000" w:themeColor="text1"/>
          <w:sz w:val="20"/>
          <w:lang w:val="en-US"/>
        </w:rPr>
        <w:tab/>
      </w:r>
      <w:r w:rsidRPr="003409C0">
        <w:rPr>
          <w:rFonts w:cs="Arial"/>
          <w:color w:val="000000" w:themeColor="text1"/>
          <w:sz w:val="20"/>
          <w:lang w:val="en-US"/>
        </w:rPr>
        <w:t xml:space="preserve">Orchard sprayer </w:t>
      </w:r>
      <w:r w:rsidR="00F863F4" w:rsidRPr="003409C0">
        <w:rPr>
          <w:rFonts w:cs="Arial"/>
          <w:color w:val="000000" w:themeColor="text1"/>
          <w:sz w:val="20"/>
          <w:lang w:val="en-US"/>
        </w:rPr>
        <w:tab/>
      </w:r>
      <w:r w:rsidR="00F863F4" w:rsidRPr="003409C0">
        <w:rPr>
          <w:rFonts w:cs="Arial"/>
          <w:color w:val="000000" w:themeColor="text1"/>
          <w:sz w:val="20"/>
          <w:lang w:val="en-US"/>
        </w:rPr>
        <w:tab/>
      </w:r>
      <w:r w:rsidRPr="003409C0">
        <w:rPr>
          <w:rFonts w:cs="Arial"/>
          <w:color w:val="000000" w:themeColor="text1"/>
          <w:sz w:val="20"/>
          <w:lang w:val="en-US"/>
        </w:rPr>
        <w:t>8424.2010</w:t>
      </w:r>
    </w:p>
    <w:tbl>
      <w:tblPr>
        <w:tblStyle w:val="TableGrid"/>
        <w:tblpPr w:leftFromText="180" w:rightFromText="180" w:vertAnchor="text" w:horzAnchor="margin" w:tblpY="73"/>
        <w:tblW w:w="0" w:type="auto"/>
        <w:tblLook w:val="04A0"/>
      </w:tblPr>
      <w:tblGrid>
        <w:gridCol w:w="5485"/>
      </w:tblGrid>
      <w:tr w:rsidR="0030226A" w:rsidRPr="003409C0" w:rsidTr="0030226A">
        <w:trPr>
          <w:trHeight w:val="408"/>
        </w:trPr>
        <w:tc>
          <w:tcPr>
            <w:tcW w:w="5485" w:type="dxa"/>
            <w:tcBorders>
              <w:left w:val="nil"/>
              <w:right w:val="nil"/>
            </w:tcBorders>
          </w:tcPr>
          <w:p w:rsidR="0030226A" w:rsidRPr="003409C0" w:rsidRDefault="0030226A" w:rsidP="00C304C8">
            <w:pPr>
              <w:pStyle w:val="ListParagraph"/>
              <w:autoSpaceDE w:val="0"/>
              <w:autoSpaceDN w:val="0"/>
              <w:adjustRightInd w:val="0"/>
              <w:ind w:left="540"/>
              <w:rPr>
                <w:rFonts w:cs="Arial"/>
                <w:color w:val="000000" w:themeColor="text1"/>
                <w:sz w:val="12"/>
                <w:lang w:val="en-US"/>
              </w:rPr>
            </w:pPr>
          </w:p>
          <w:p w:rsidR="0030226A" w:rsidRPr="003409C0" w:rsidRDefault="0030226A" w:rsidP="0030226A">
            <w:pPr>
              <w:autoSpaceDE w:val="0"/>
              <w:autoSpaceDN w:val="0"/>
              <w:adjustRightInd w:val="0"/>
              <w:ind w:left="900" w:right="-136" w:hanging="540"/>
              <w:rPr>
                <w:rFonts w:cs="Arial"/>
                <w:color w:val="000000" w:themeColor="text1"/>
                <w:sz w:val="20"/>
                <w:lang w:val="en-US"/>
              </w:rPr>
            </w:pPr>
            <w:r w:rsidRPr="003409C0">
              <w:rPr>
                <w:rFonts w:cs="Arial"/>
                <w:color w:val="000000" w:themeColor="text1"/>
                <w:sz w:val="20"/>
                <w:lang w:val="en-US"/>
              </w:rPr>
              <w:t>(iv) Harvesting, threshing and storage equipment</w:t>
            </w:r>
          </w:p>
          <w:p w:rsidR="0030226A" w:rsidRPr="003409C0" w:rsidRDefault="0030226A" w:rsidP="00C304C8">
            <w:pPr>
              <w:autoSpaceDE w:val="0"/>
              <w:autoSpaceDN w:val="0"/>
              <w:adjustRightInd w:val="0"/>
              <w:ind w:left="540"/>
              <w:rPr>
                <w:rFonts w:cs="Arial"/>
                <w:color w:val="000000" w:themeColor="text1"/>
                <w:sz w:val="14"/>
                <w:lang w:val="en-US"/>
              </w:rPr>
            </w:pPr>
          </w:p>
        </w:tc>
      </w:tr>
    </w:tbl>
    <w:p w:rsidR="0030226A" w:rsidRPr="003409C0" w:rsidRDefault="0030226A" w:rsidP="00B8383C">
      <w:pPr>
        <w:autoSpaceDE w:val="0"/>
        <w:autoSpaceDN w:val="0"/>
        <w:adjustRightInd w:val="0"/>
        <w:rPr>
          <w:rFonts w:cs="Arial"/>
          <w:b/>
          <w:bCs/>
          <w:color w:val="000000" w:themeColor="text1"/>
          <w:sz w:val="20"/>
          <w:lang w:val="en-US"/>
        </w:rPr>
      </w:pPr>
    </w:p>
    <w:p w:rsidR="0030226A" w:rsidRPr="003409C0" w:rsidRDefault="0030226A" w:rsidP="00B8383C">
      <w:pPr>
        <w:autoSpaceDE w:val="0"/>
        <w:autoSpaceDN w:val="0"/>
        <w:adjustRightInd w:val="0"/>
        <w:rPr>
          <w:rFonts w:cs="Arial"/>
          <w:b/>
          <w:bCs/>
          <w:color w:val="000000" w:themeColor="text1"/>
          <w:sz w:val="20"/>
          <w:lang w:val="en-US"/>
        </w:rPr>
      </w:pPr>
    </w:p>
    <w:p w:rsidR="0030226A" w:rsidRPr="003409C0" w:rsidRDefault="0030226A" w:rsidP="00B8383C">
      <w:pPr>
        <w:autoSpaceDE w:val="0"/>
        <w:autoSpaceDN w:val="0"/>
        <w:adjustRightInd w:val="0"/>
        <w:rPr>
          <w:rFonts w:cs="Arial"/>
          <w:b/>
          <w:bCs/>
          <w:color w:val="000000" w:themeColor="text1"/>
          <w:sz w:val="20"/>
          <w:lang w:val="en-US"/>
        </w:rPr>
      </w:pPr>
    </w:p>
    <w:tbl>
      <w:tblPr>
        <w:tblStyle w:val="TableGrid"/>
        <w:tblpPr w:leftFromText="180" w:rightFromText="180" w:vertAnchor="text" w:horzAnchor="margin" w:tblpY="9"/>
        <w:tblW w:w="0" w:type="auto"/>
        <w:tblLook w:val="04A0"/>
      </w:tblPr>
      <w:tblGrid>
        <w:gridCol w:w="5511"/>
      </w:tblGrid>
      <w:tr w:rsidR="0030226A" w:rsidRPr="003409C0" w:rsidTr="0030226A">
        <w:trPr>
          <w:trHeight w:val="363"/>
        </w:trPr>
        <w:tc>
          <w:tcPr>
            <w:tcW w:w="5511" w:type="dxa"/>
            <w:tcBorders>
              <w:top w:val="nil"/>
              <w:left w:val="nil"/>
              <w:right w:val="nil"/>
            </w:tcBorders>
          </w:tcPr>
          <w:p w:rsidR="0030226A" w:rsidRPr="003409C0" w:rsidRDefault="0030226A" w:rsidP="002F706B">
            <w:pPr>
              <w:autoSpaceDE w:val="0"/>
              <w:autoSpaceDN w:val="0"/>
              <w:adjustRightInd w:val="0"/>
              <w:ind w:firstLine="1620"/>
              <w:rPr>
                <w:rFonts w:cs="Arial"/>
                <w:b/>
                <w:bCs/>
                <w:color w:val="000000" w:themeColor="text1"/>
                <w:sz w:val="20"/>
                <w:lang w:val="en-US"/>
              </w:rPr>
            </w:pPr>
            <w:r w:rsidRPr="003409C0">
              <w:rPr>
                <w:rFonts w:cs="Arial"/>
                <w:b/>
                <w:bCs/>
                <w:color w:val="000000" w:themeColor="text1"/>
                <w:sz w:val="20"/>
                <w:lang w:val="en-US"/>
              </w:rPr>
              <w:t>Equipment PCT Code</w:t>
            </w:r>
          </w:p>
        </w:tc>
      </w:tr>
    </w:tbl>
    <w:p w:rsidR="0030226A" w:rsidRPr="003409C0" w:rsidRDefault="0030226A" w:rsidP="00B8383C">
      <w:pPr>
        <w:autoSpaceDE w:val="0"/>
        <w:autoSpaceDN w:val="0"/>
        <w:adjustRightInd w:val="0"/>
        <w:rPr>
          <w:rFonts w:cs="Arial"/>
          <w:b/>
          <w:bCs/>
          <w:color w:val="000000" w:themeColor="text1"/>
          <w:sz w:val="20"/>
          <w:lang w:val="en-US"/>
        </w:rPr>
      </w:pPr>
    </w:p>
    <w:p w:rsidR="0030226A" w:rsidRPr="003409C0" w:rsidRDefault="0030226A" w:rsidP="00B8383C">
      <w:pPr>
        <w:autoSpaceDE w:val="0"/>
        <w:autoSpaceDN w:val="0"/>
        <w:adjustRightInd w:val="0"/>
        <w:rPr>
          <w:rFonts w:cs="Arial"/>
          <w:color w:val="000000" w:themeColor="text1"/>
          <w:sz w:val="20"/>
          <w:lang w:val="en-US"/>
        </w:rPr>
      </w:pPr>
    </w:p>
    <w:p w:rsidR="0030226A" w:rsidRPr="003409C0" w:rsidRDefault="00B8383C" w:rsidP="002C73AE">
      <w:pPr>
        <w:pStyle w:val="ListParagraph"/>
        <w:numPr>
          <w:ilvl w:val="0"/>
          <w:numId w:val="70"/>
        </w:numPr>
        <w:autoSpaceDE w:val="0"/>
        <w:autoSpaceDN w:val="0"/>
        <w:adjustRightInd w:val="0"/>
        <w:ind w:left="1620" w:hanging="526"/>
        <w:rPr>
          <w:rFonts w:cs="Arial"/>
          <w:color w:val="000000" w:themeColor="text1"/>
          <w:sz w:val="20"/>
          <w:lang w:val="en-US"/>
        </w:rPr>
      </w:pPr>
      <w:r w:rsidRPr="003409C0">
        <w:rPr>
          <w:rFonts w:cs="Arial"/>
          <w:color w:val="000000" w:themeColor="text1"/>
          <w:sz w:val="20"/>
          <w:lang w:val="en-US"/>
        </w:rPr>
        <w:t>Wheat thresher</w:t>
      </w:r>
      <w:r w:rsidR="0030226A" w:rsidRPr="003409C0">
        <w:rPr>
          <w:rFonts w:cs="Arial"/>
          <w:color w:val="000000" w:themeColor="text1"/>
          <w:sz w:val="20"/>
          <w:lang w:val="en-US"/>
        </w:rPr>
        <w:tab/>
      </w:r>
      <w:r w:rsidR="0030226A" w:rsidRPr="003409C0">
        <w:rPr>
          <w:rFonts w:cs="Arial"/>
          <w:color w:val="000000" w:themeColor="text1"/>
          <w:sz w:val="20"/>
          <w:lang w:val="en-US"/>
        </w:rPr>
        <w:tab/>
      </w:r>
      <w:r w:rsidR="0030226A" w:rsidRPr="003409C0">
        <w:rPr>
          <w:rFonts w:cs="Arial"/>
          <w:color w:val="000000" w:themeColor="text1"/>
          <w:sz w:val="20"/>
          <w:lang w:val="en-US"/>
        </w:rPr>
        <w:tab/>
      </w:r>
      <w:r w:rsidRPr="003409C0">
        <w:rPr>
          <w:rFonts w:cs="Arial"/>
          <w:color w:val="000000" w:themeColor="text1"/>
          <w:sz w:val="20"/>
          <w:lang w:val="en-US"/>
        </w:rPr>
        <w:t>8433.5200</w:t>
      </w:r>
    </w:p>
    <w:p w:rsidR="0030226A" w:rsidRPr="003409C0" w:rsidRDefault="00B8383C" w:rsidP="002C73AE">
      <w:pPr>
        <w:pStyle w:val="ListParagraph"/>
        <w:numPr>
          <w:ilvl w:val="0"/>
          <w:numId w:val="70"/>
        </w:numPr>
        <w:autoSpaceDE w:val="0"/>
        <w:autoSpaceDN w:val="0"/>
        <w:adjustRightInd w:val="0"/>
        <w:ind w:left="1620" w:hanging="526"/>
        <w:rPr>
          <w:rFonts w:cs="Arial"/>
          <w:color w:val="000000" w:themeColor="text1"/>
          <w:sz w:val="20"/>
          <w:lang w:val="en-US"/>
        </w:rPr>
      </w:pPr>
      <w:r w:rsidRPr="003409C0">
        <w:rPr>
          <w:rFonts w:cs="Arial"/>
          <w:color w:val="000000" w:themeColor="text1"/>
          <w:sz w:val="20"/>
          <w:lang w:val="en-US"/>
        </w:rPr>
        <w:t>Maize or groundnut</w:t>
      </w:r>
      <w:r w:rsidR="0030226A" w:rsidRPr="003409C0">
        <w:rPr>
          <w:rFonts w:cs="Arial"/>
          <w:color w:val="000000" w:themeColor="text1"/>
          <w:sz w:val="20"/>
          <w:lang w:val="en-US"/>
        </w:rPr>
        <w:tab/>
      </w:r>
      <w:r w:rsidR="0030226A" w:rsidRPr="003409C0">
        <w:rPr>
          <w:rFonts w:cs="Arial"/>
          <w:color w:val="000000" w:themeColor="text1"/>
          <w:sz w:val="20"/>
          <w:lang w:val="en-US"/>
        </w:rPr>
        <w:tab/>
        <w:t>8433.5200</w:t>
      </w:r>
    </w:p>
    <w:p w:rsidR="00B8383C" w:rsidRPr="003409C0" w:rsidRDefault="0030226A" w:rsidP="0030226A">
      <w:pPr>
        <w:pStyle w:val="ListParagraph"/>
        <w:autoSpaceDE w:val="0"/>
        <w:autoSpaceDN w:val="0"/>
        <w:adjustRightInd w:val="0"/>
        <w:ind w:left="1620"/>
        <w:rPr>
          <w:rFonts w:cs="Arial"/>
          <w:color w:val="000000" w:themeColor="text1"/>
          <w:sz w:val="20"/>
          <w:lang w:val="en-US"/>
        </w:rPr>
      </w:pPr>
      <w:r w:rsidRPr="003409C0">
        <w:rPr>
          <w:rFonts w:cs="Arial"/>
          <w:color w:val="000000" w:themeColor="text1"/>
          <w:sz w:val="20"/>
          <w:lang w:val="en-US"/>
        </w:rPr>
        <w:t>t</w:t>
      </w:r>
      <w:r w:rsidR="00B8383C" w:rsidRPr="003409C0">
        <w:rPr>
          <w:rFonts w:cs="Arial"/>
          <w:color w:val="000000" w:themeColor="text1"/>
          <w:sz w:val="20"/>
          <w:lang w:val="en-US"/>
        </w:rPr>
        <w:t>hresheror sheller</w:t>
      </w:r>
    </w:p>
    <w:p w:rsidR="00B8383C" w:rsidRPr="003409C0" w:rsidRDefault="0030226A" w:rsidP="00B8383C">
      <w:pPr>
        <w:autoSpaceDE w:val="0"/>
        <w:autoSpaceDN w:val="0"/>
        <w:adjustRightInd w:val="0"/>
        <w:rPr>
          <w:rFonts w:cs="Arial"/>
          <w:color w:val="000000" w:themeColor="text1"/>
          <w:sz w:val="20"/>
          <w:lang w:val="en-US"/>
        </w:rPr>
      </w:pPr>
      <w:r w:rsidRPr="003409C0">
        <w:rPr>
          <w:rFonts w:cs="Arial"/>
          <w:color w:val="000000" w:themeColor="text1"/>
          <w:sz w:val="20"/>
          <w:lang w:val="en-US"/>
        </w:rPr>
        <w:tab/>
      </w:r>
      <w:r w:rsidRPr="003409C0">
        <w:rPr>
          <w:rFonts w:cs="Arial"/>
          <w:color w:val="000000" w:themeColor="text1"/>
          <w:sz w:val="20"/>
          <w:lang w:val="en-US"/>
        </w:rPr>
        <w:tab/>
      </w:r>
      <w:r w:rsidR="00B8383C" w:rsidRPr="003409C0">
        <w:rPr>
          <w:rFonts w:cs="Arial"/>
          <w:color w:val="000000" w:themeColor="text1"/>
          <w:sz w:val="20"/>
          <w:lang w:val="en-US"/>
        </w:rPr>
        <w:t xml:space="preserve">(iii) </w:t>
      </w:r>
      <w:r w:rsidRPr="003409C0">
        <w:rPr>
          <w:rFonts w:cs="Arial"/>
          <w:color w:val="000000" w:themeColor="text1"/>
          <w:sz w:val="20"/>
          <w:lang w:val="en-US"/>
        </w:rPr>
        <w:tab/>
      </w:r>
      <w:r w:rsidR="00B8383C" w:rsidRPr="003409C0">
        <w:rPr>
          <w:rFonts w:cs="Arial"/>
          <w:color w:val="000000" w:themeColor="text1"/>
          <w:sz w:val="20"/>
          <w:lang w:val="en-US"/>
        </w:rPr>
        <w:t xml:space="preserve">Groundnut digger </w:t>
      </w:r>
      <w:r w:rsidRPr="003409C0">
        <w:rPr>
          <w:rFonts w:cs="Arial"/>
          <w:color w:val="000000" w:themeColor="text1"/>
          <w:sz w:val="20"/>
          <w:lang w:val="en-US"/>
        </w:rPr>
        <w:tab/>
      </w:r>
      <w:r w:rsidRPr="003409C0">
        <w:rPr>
          <w:rFonts w:cs="Arial"/>
          <w:color w:val="000000" w:themeColor="text1"/>
          <w:sz w:val="20"/>
          <w:lang w:val="en-US"/>
        </w:rPr>
        <w:tab/>
      </w:r>
      <w:r w:rsidRPr="003409C0">
        <w:rPr>
          <w:rFonts w:cs="Arial"/>
          <w:color w:val="000000" w:themeColor="text1"/>
          <w:sz w:val="20"/>
          <w:lang w:val="en-US"/>
        </w:rPr>
        <w:tab/>
      </w:r>
      <w:r w:rsidR="00B8383C" w:rsidRPr="003409C0">
        <w:rPr>
          <w:rFonts w:cs="Arial"/>
          <w:color w:val="000000" w:themeColor="text1"/>
          <w:sz w:val="20"/>
          <w:lang w:val="en-US"/>
        </w:rPr>
        <w:t>8433.5900</w:t>
      </w:r>
    </w:p>
    <w:p w:rsidR="00B8383C" w:rsidRPr="003409C0" w:rsidRDefault="00B8383C" w:rsidP="0030226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(iv) </w:t>
      </w:r>
      <w:r w:rsidR="0030226A" w:rsidRPr="003409C0">
        <w:rPr>
          <w:rFonts w:cs="Arial"/>
          <w:color w:val="000000" w:themeColor="text1"/>
          <w:sz w:val="20"/>
          <w:lang w:val="en-US"/>
        </w:rPr>
        <w:tab/>
      </w:r>
      <w:r w:rsidRPr="003409C0">
        <w:rPr>
          <w:rFonts w:cs="Arial"/>
          <w:color w:val="000000" w:themeColor="text1"/>
          <w:sz w:val="20"/>
          <w:lang w:val="en-US"/>
        </w:rPr>
        <w:t xml:space="preserve">Potato digger or harvester </w:t>
      </w:r>
      <w:r w:rsidR="0030226A" w:rsidRPr="003409C0">
        <w:rPr>
          <w:rFonts w:cs="Arial"/>
          <w:color w:val="000000" w:themeColor="text1"/>
          <w:sz w:val="20"/>
          <w:lang w:val="en-US"/>
        </w:rPr>
        <w:tab/>
      </w:r>
      <w:r w:rsidRPr="003409C0">
        <w:rPr>
          <w:rFonts w:cs="Arial"/>
          <w:color w:val="000000" w:themeColor="text1"/>
          <w:sz w:val="20"/>
          <w:lang w:val="en-US"/>
        </w:rPr>
        <w:t>8433.5300</w:t>
      </w:r>
    </w:p>
    <w:p w:rsidR="00B8383C" w:rsidRPr="003409C0" w:rsidRDefault="00B8383C" w:rsidP="0030226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(iv)</w:t>
      </w:r>
      <w:r w:rsidR="0030226A" w:rsidRPr="003409C0">
        <w:rPr>
          <w:rFonts w:cs="Arial"/>
          <w:color w:val="000000" w:themeColor="text1"/>
          <w:sz w:val="20"/>
          <w:lang w:val="en-US"/>
        </w:rPr>
        <w:tab/>
      </w:r>
      <w:r w:rsidRPr="003409C0">
        <w:rPr>
          <w:rFonts w:cs="Arial"/>
          <w:color w:val="000000" w:themeColor="text1"/>
          <w:sz w:val="20"/>
          <w:lang w:val="en-US"/>
        </w:rPr>
        <w:t xml:space="preserve">Sunflower thresher </w:t>
      </w:r>
      <w:r w:rsidR="0030226A" w:rsidRPr="003409C0">
        <w:rPr>
          <w:rFonts w:cs="Arial"/>
          <w:color w:val="000000" w:themeColor="text1"/>
          <w:sz w:val="20"/>
          <w:lang w:val="en-US"/>
        </w:rPr>
        <w:tab/>
      </w:r>
      <w:r w:rsidR="0030226A" w:rsidRPr="003409C0">
        <w:rPr>
          <w:rFonts w:cs="Arial"/>
          <w:color w:val="000000" w:themeColor="text1"/>
          <w:sz w:val="20"/>
          <w:lang w:val="en-US"/>
        </w:rPr>
        <w:tab/>
      </w:r>
      <w:r w:rsidRPr="003409C0">
        <w:rPr>
          <w:rFonts w:cs="Arial"/>
          <w:color w:val="000000" w:themeColor="text1"/>
          <w:sz w:val="20"/>
          <w:lang w:val="en-US"/>
        </w:rPr>
        <w:t>8433.5200</w:t>
      </w:r>
    </w:p>
    <w:p w:rsidR="00B8383C" w:rsidRPr="003409C0" w:rsidRDefault="00B8383C" w:rsidP="0030226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(v) </w:t>
      </w:r>
      <w:r w:rsidR="0030226A" w:rsidRPr="003409C0">
        <w:rPr>
          <w:rFonts w:cs="Arial"/>
          <w:color w:val="000000" w:themeColor="text1"/>
          <w:sz w:val="20"/>
          <w:lang w:val="en-US"/>
        </w:rPr>
        <w:tab/>
      </w:r>
      <w:r w:rsidRPr="003409C0">
        <w:rPr>
          <w:rFonts w:cs="Arial"/>
          <w:color w:val="000000" w:themeColor="text1"/>
          <w:sz w:val="20"/>
          <w:lang w:val="en-US"/>
        </w:rPr>
        <w:t xml:space="preserve">Post hole digger </w:t>
      </w:r>
      <w:r w:rsidR="0030226A" w:rsidRPr="003409C0">
        <w:rPr>
          <w:rFonts w:cs="Arial"/>
          <w:color w:val="000000" w:themeColor="text1"/>
          <w:sz w:val="20"/>
          <w:lang w:val="en-US"/>
        </w:rPr>
        <w:tab/>
      </w:r>
      <w:r w:rsidR="0030226A" w:rsidRPr="003409C0">
        <w:rPr>
          <w:rFonts w:cs="Arial"/>
          <w:color w:val="000000" w:themeColor="text1"/>
          <w:sz w:val="20"/>
          <w:lang w:val="en-US"/>
        </w:rPr>
        <w:tab/>
      </w:r>
      <w:r w:rsidR="0030226A" w:rsidRPr="003409C0">
        <w:rPr>
          <w:rFonts w:cs="Arial"/>
          <w:color w:val="000000" w:themeColor="text1"/>
          <w:sz w:val="20"/>
          <w:lang w:val="en-US"/>
        </w:rPr>
        <w:tab/>
      </w:r>
      <w:r w:rsidRPr="003409C0">
        <w:rPr>
          <w:rFonts w:cs="Arial"/>
          <w:color w:val="000000" w:themeColor="text1"/>
          <w:sz w:val="20"/>
          <w:lang w:val="en-US"/>
        </w:rPr>
        <w:t>8433.5900</w:t>
      </w:r>
    </w:p>
    <w:p w:rsidR="00B8383C" w:rsidRPr="003409C0" w:rsidRDefault="00B8383C" w:rsidP="0030226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(vi) </w:t>
      </w:r>
      <w:r w:rsidR="0030226A" w:rsidRPr="003409C0">
        <w:rPr>
          <w:rFonts w:cs="Arial"/>
          <w:color w:val="000000" w:themeColor="text1"/>
          <w:sz w:val="20"/>
          <w:lang w:val="en-US"/>
        </w:rPr>
        <w:tab/>
      </w:r>
      <w:r w:rsidRPr="003409C0">
        <w:rPr>
          <w:rFonts w:cs="Arial"/>
          <w:color w:val="000000" w:themeColor="text1"/>
          <w:sz w:val="20"/>
          <w:lang w:val="en-US"/>
        </w:rPr>
        <w:t xml:space="preserve">Straw balers </w:t>
      </w:r>
      <w:r w:rsidR="0030226A" w:rsidRPr="003409C0">
        <w:rPr>
          <w:rFonts w:cs="Arial"/>
          <w:color w:val="000000" w:themeColor="text1"/>
          <w:sz w:val="20"/>
          <w:lang w:val="en-US"/>
        </w:rPr>
        <w:tab/>
      </w:r>
      <w:r w:rsidR="0030226A" w:rsidRPr="003409C0">
        <w:rPr>
          <w:rFonts w:cs="Arial"/>
          <w:color w:val="000000" w:themeColor="text1"/>
          <w:sz w:val="20"/>
          <w:lang w:val="en-US"/>
        </w:rPr>
        <w:tab/>
      </w:r>
      <w:r w:rsidR="0030226A" w:rsidRPr="003409C0">
        <w:rPr>
          <w:rFonts w:cs="Arial"/>
          <w:color w:val="000000" w:themeColor="text1"/>
          <w:sz w:val="20"/>
          <w:lang w:val="en-US"/>
        </w:rPr>
        <w:tab/>
      </w:r>
      <w:r w:rsidRPr="003409C0">
        <w:rPr>
          <w:rFonts w:cs="Arial"/>
          <w:color w:val="000000" w:themeColor="text1"/>
          <w:sz w:val="20"/>
          <w:lang w:val="en-US"/>
        </w:rPr>
        <w:t>8433.4000</w:t>
      </w:r>
    </w:p>
    <w:p w:rsidR="00B8383C" w:rsidRPr="003409C0" w:rsidRDefault="00B8383C" w:rsidP="0030226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(vii) </w:t>
      </w:r>
      <w:r w:rsidR="0030226A" w:rsidRPr="003409C0">
        <w:rPr>
          <w:rFonts w:cs="Arial"/>
          <w:color w:val="000000" w:themeColor="text1"/>
          <w:sz w:val="20"/>
          <w:lang w:val="en-US"/>
        </w:rPr>
        <w:tab/>
      </w:r>
      <w:r w:rsidRPr="003409C0">
        <w:rPr>
          <w:rFonts w:cs="Arial"/>
          <w:color w:val="000000" w:themeColor="text1"/>
          <w:sz w:val="20"/>
          <w:lang w:val="en-US"/>
        </w:rPr>
        <w:t xml:space="preserve">Fodder rake </w:t>
      </w:r>
      <w:r w:rsidR="0030226A" w:rsidRPr="003409C0">
        <w:rPr>
          <w:rFonts w:cs="Arial"/>
          <w:color w:val="000000" w:themeColor="text1"/>
          <w:sz w:val="20"/>
          <w:lang w:val="en-US"/>
        </w:rPr>
        <w:tab/>
      </w:r>
      <w:r w:rsidR="0030226A" w:rsidRPr="003409C0">
        <w:rPr>
          <w:rFonts w:cs="Arial"/>
          <w:color w:val="000000" w:themeColor="text1"/>
          <w:sz w:val="20"/>
          <w:lang w:val="en-US"/>
        </w:rPr>
        <w:tab/>
      </w:r>
      <w:r w:rsidR="0030226A" w:rsidRPr="003409C0">
        <w:rPr>
          <w:rFonts w:cs="Arial"/>
          <w:color w:val="000000" w:themeColor="text1"/>
          <w:sz w:val="20"/>
          <w:lang w:val="en-US"/>
        </w:rPr>
        <w:tab/>
      </w:r>
      <w:r w:rsidRPr="003409C0">
        <w:rPr>
          <w:rFonts w:cs="Arial"/>
          <w:color w:val="000000" w:themeColor="text1"/>
          <w:sz w:val="20"/>
          <w:lang w:val="en-US"/>
        </w:rPr>
        <w:t>8433.5900</w:t>
      </w:r>
    </w:p>
    <w:p w:rsidR="00B8383C" w:rsidRPr="003409C0" w:rsidRDefault="00B8383C" w:rsidP="0030226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(viii) </w:t>
      </w:r>
      <w:r w:rsidR="0030226A" w:rsidRPr="003409C0">
        <w:rPr>
          <w:rFonts w:cs="Arial"/>
          <w:color w:val="000000" w:themeColor="text1"/>
          <w:sz w:val="20"/>
          <w:lang w:val="en-US"/>
        </w:rPr>
        <w:tab/>
      </w:r>
      <w:r w:rsidRPr="003409C0">
        <w:rPr>
          <w:rFonts w:cs="Arial"/>
          <w:color w:val="000000" w:themeColor="text1"/>
          <w:sz w:val="20"/>
          <w:lang w:val="en-US"/>
        </w:rPr>
        <w:t xml:space="preserve">Wheat or rice reaper </w:t>
      </w:r>
      <w:r w:rsidR="0030226A" w:rsidRPr="003409C0">
        <w:rPr>
          <w:rFonts w:cs="Arial"/>
          <w:color w:val="000000" w:themeColor="text1"/>
          <w:sz w:val="20"/>
          <w:lang w:val="en-US"/>
        </w:rPr>
        <w:tab/>
      </w:r>
      <w:r w:rsidR="0030226A" w:rsidRPr="003409C0">
        <w:rPr>
          <w:rFonts w:cs="Arial"/>
          <w:color w:val="000000" w:themeColor="text1"/>
          <w:sz w:val="20"/>
          <w:lang w:val="en-US"/>
        </w:rPr>
        <w:tab/>
      </w:r>
      <w:r w:rsidRPr="003409C0">
        <w:rPr>
          <w:rFonts w:cs="Arial"/>
          <w:color w:val="000000" w:themeColor="text1"/>
          <w:sz w:val="20"/>
          <w:lang w:val="en-US"/>
        </w:rPr>
        <w:t>8433.5900</w:t>
      </w:r>
    </w:p>
    <w:p w:rsidR="00B8383C" w:rsidRPr="003409C0" w:rsidRDefault="00B8383C" w:rsidP="0030226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(ix) </w:t>
      </w:r>
      <w:r w:rsidR="0030226A" w:rsidRPr="003409C0">
        <w:rPr>
          <w:rFonts w:cs="Arial"/>
          <w:color w:val="000000" w:themeColor="text1"/>
          <w:sz w:val="20"/>
          <w:lang w:val="en-US"/>
        </w:rPr>
        <w:tab/>
      </w:r>
      <w:r w:rsidRPr="003409C0">
        <w:rPr>
          <w:rFonts w:cs="Arial"/>
          <w:color w:val="000000" w:themeColor="text1"/>
          <w:sz w:val="20"/>
          <w:lang w:val="en-US"/>
        </w:rPr>
        <w:t xml:space="preserve">Chaff or fodder cutter </w:t>
      </w:r>
      <w:r w:rsidR="0030226A" w:rsidRPr="003409C0">
        <w:rPr>
          <w:rFonts w:cs="Arial"/>
          <w:color w:val="000000" w:themeColor="text1"/>
          <w:sz w:val="20"/>
          <w:lang w:val="en-US"/>
        </w:rPr>
        <w:tab/>
      </w:r>
      <w:r w:rsidR="0030226A" w:rsidRPr="003409C0">
        <w:rPr>
          <w:rFonts w:cs="Arial"/>
          <w:color w:val="000000" w:themeColor="text1"/>
          <w:sz w:val="20"/>
          <w:lang w:val="en-US"/>
        </w:rPr>
        <w:tab/>
      </w:r>
      <w:r w:rsidRPr="003409C0">
        <w:rPr>
          <w:rFonts w:cs="Arial"/>
          <w:color w:val="000000" w:themeColor="text1"/>
          <w:sz w:val="20"/>
          <w:lang w:val="en-US"/>
        </w:rPr>
        <w:t>8433.5900</w:t>
      </w:r>
    </w:p>
    <w:p w:rsidR="00B8383C" w:rsidRPr="003409C0" w:rsidRDefault="00B8383C" w:rsidP="0030226A">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 xml:space="preserve">(x) </w:t>
      </w:r>
      <w:r w:rsidR="0030226A" w:rsidRPr="003409C0">
        <w:rPr>
          <w:rFonts w:cs="Arial"/>
          <w:color w:val="000000" w:themeColor="text1"/>
          <w:sz w:val="20"/>
          <w:lang w:val="en-US"/>
        </w:rPr>
        <w:tab/>
      </w:r>
      <w:r w:rsidRPr="003409C0">
        <w:rPr>
          <w:rFonts w:cs="Arial"/>
          <w:color w:val="000000" w:themeColor="text1"/>
          <w:sz w:val="20"/>
          <w:lang w:val="en-US"/>
        </w:rPr>
        <w:t xml:space="preserve">Cotton picker </w:t>
      </w:r>
      <w:r w:rsidR="0030226A" w:rsidRPr="003409C0">
        <w:rPr>
          <w:rFonts w:cs="Arial"/>
          <w:color w:val="000000" w:themeColor="text1"/>
          <w:sz w:val="20"/>
          <w:lang w:val="en-US"/>
        </w:rPr>
        <w:tab/>
      </w:r>
      <w:r w:rsidR="0030226A" w:rsidRPr="003409C0">
        <w:rPr>
          <w:rFonts w:cs="Arial"/>
          <w:color w:val="000000" w:themeColor="text1"/>
          <w:sz w:val="20"/>
          <w:lang w:val="en-US"/>
        </w:rPr>
        <w:tab/>
      </w:r>
      <w:r w:rsidR="0030226A" w:rsidRPr="003409C0">
        <w:rPr>
          <w:rFonts w:cs="Arial"/>
          <w:color w:val="000000" w:themeColor="text1"/>
          <w:sz w:val="20"/>
          <w:lang w:val="en-US"/>
        </w:rPr>
        <w:tab/>
      </w:r>
      <w:r w:rsidRPr="003409C0">
        <w:rPr>
          <w:rFonts w:cs="Arial"/>
          <w:color w:val="000000" w:themeColor="text1"/>
          <w:sz w:val="20"/>
          <w:lang w:val="en-US"/>
        </w:rPr>
        <w:t>8433.5900</w:t>
      </w:r>
    </w:p>
    <w:p w:rsidR="00B8383C" w:rsidRPr="003409C0" w:rsidRDefault="00B8383C" w:rsidP="00744484">
      <w:pPr>
        <w:autoSpaceDE w:val="0"/>
        <w:autoSpaceDN w:val="0"/>
        <w:adjustRightInd w:val="0"/>
        <w:ind w:left="547" w:firstLine="547"/>
        <w:rPr>
          <w:rFonts w:cs="Arial"/>
          <w:color w:val="000000" w:themeColor="text1"/>
          <w:sz w:val="20"/>
          <w:lang w:val="en-US"/>
        </w:rPr>
      </w:pPr>
      <w:r w:rsidRPr="003409C0">
        <w:rPr>
          <w:rFonts w:cs="Arial"/>
          <w:color w:val="000000" w:themeColor="text1"/>
          <w:sz w:val="20"/>
          <w:lang w:val="en-US"/>
        </w:rPr>
        <w:t>(xi)</w:t>
      </w:r>
      <w:r w:rsidR="00744484" w:rsidRPr="003409C0">
        <w:rPr>
          <w:rFonts w:cs="Arial"/>
          <w:color w:val="000000" w:themeColor="text1"/>
          <w:sz w:val="20"/>
          <w:lang w:val="en-US"/>
        </w:rPr>
        <w:tab/>
      </w:r>
      <w:r w:rsidRPr="003409C0">
        <w:rPr>
          <w:rFonts w:cs="Arial"/>
          <w:color w:val="000000" w:themeColor="text1"/>
          <w:sz w:val="20"/>
          <w:lang w:val="en-US"/>
        </w:rPr>
        <w:t xml:space="preserve">Onion or garlic harvester </w:t>
      </w:r>
      <w:r w:rsidR="00744484" w:rsidRPr="003409C0">
        <w:rPr>
          <w:rFonts w:cs="Arial"/>
          <w:color w:val="000000" w:themeColor="text1"/>
          <w:sz w:val="20"/>
          <w:lang w:val="en-US"/>
        </w:rPr>
        <w:tab/>
      </w:r>
      <w:r w:rsidRPr="003409C0">
        <w:rPr>
          <w:rFonts w:cs="Arial"/>
          <w:color w:val="000000" w:themeColor="text1"/>
          <w:sz w:val="20"/>
          <w:lang w:val="en-US"/>
        </w:rPr>
        <w:t>8433.5200</w:t>
      </w:r>
    </w:p>
    <w:p w:rsidR="00B8383C" w:rsidRPr="003409C0" w:rsidRDefault="00B8383C" w:rsidP="00744484">
      <w:pPr>
        <w:autoSpaceDE w:val="0"/>
        <w:autoSpaceDN w:val="0"/>
        <w:adjustRightInd w:val="0"/>
        <w:ind w:firstLine="1080"/>
        <w:rPr>
          <w:rFonts w:cs="Arial"/>
          <w:color w:val="000000" w:themeColor="text1"/>
          <w:sz w:val="20"/>
          <w:lang w:val="en-US"/>
        </w:rPr>
      </w:pPr>
      <w:r w:rsidRPr="003409C0">
        <w:rPr>
          <w:rFonts w:cs="Arial"/>
          <w:color w:val="000000" w:themeColor="text1"/>
          <w:sz w:val="20"/>
          <w:lang w:val="en-US"/>
        </w:rPr>
        <w:t xml:space="preserve">(xii) </w:t>
      </w:r>
      <w:r w:rsidR="00744484" w:rsidRPr="003409C0">
        <w:rPr>
          <w:rFonts w:cs="Arial"/>
          <w:color w:val="000000" w:themeColor="text1"/>
          <w:sz w:val="20"/>
          <w:lang w:val="en-US"/>
        </w:rPr>
        <w:tab/>
      </w:r>
      <w:r w:rsidRPr="003409C0">
        <w:rPr>
          <w:rFonts w:cs="Arial"/>
          <w:color w:val="000000" w:themeColor="text1"/>
          <w:sz w:val="20"/>
          <w:lang w:val="en-US"/>
        </w:rPr>
        <w:t xml:space="preserve">Sugar harvester </w:t>
      </w:r>
      <w:r w:rsidR="00744484" w:rsidRPr="003409C0">
        <w:rPr>
          <w:rFonts w:cs="Arial"/>
          <w:color w:val="000000" w:themeColor="text1"/>
          <w:sz w:val="20"/>
          <w:lang w:val="en-US"/>
        </w:rPr>
        <w:tab/>
      </w:r>
      <w:r w:rsidR="00744484" w:rsidRPr="003409C0">
        <w:rPr>
          <w:rFonts w:cs="Arial"/>
          <w:color w:val="000000" w:themeColor="text1"/>
          <w:sz w:val="20"/>
          <w:lang w:val="en-US"/>
        </w:rPr>
        <w:tab/>
      </w:r>
      <w:r w:rsidR="00744484" w:rsidRPr="003409C0">
        <w:rPr>
          <w:rFonts w:cs="Arial"/>
          <w:color w:val="000000" w:themeColor="text1"/>
          <w:sz w:val="20"/>
          <w:lang w:val="en-US"/>
        </w:rPr>
        <w:tab/>
      </w:r>
      <w:r w:rsidRPr="003409C0">
        <w:rPr>
          <w:rFonts w:cs="Arial"/>
          <w:color w:val="000000" w:themeColor="text1"/>
          <w:sz w:val="20"/>
          <w:lang w:val="en-US"/>
        </w:rPr>
        <w:t>8433.5200</w:t>
      </w:r>
    </w:p>
    <w:p w:rsidR="00B8383C" w:rsidRPr="003409C0" w:rsidRDefault="00B8383C" w:rsidP="00744484">
      <w:pPr>
        <w:autoSpaceDE w:val="0"/>
        <w:autoSpaceDN w:val="0"/>
        <w:adjustRightInd w:val="0"/>
        <w:ind w:firstLine="1080"/>
        <w:rPr>
          <w:rFonts w:cs="Arial"/>
          <w:color w:val="000000" w:themeColor="text1"/>
          <w:sz w:val="20"/>
          <w:lang w:val="en-US"/>
        </w:rPr>
      </w:pPr>
      <w:r w:rsidRPr="003409C0">
        <w:rPr>
          <w:rFonts w:cs="Arial"/>
          <w:color w:val="000000" w:themeColor="text1"/>
          <w:sz w:val="20"/>
          <w:lang w:val="en-US"/>
        </w:rPr>
        <w:t xml:space="preserve">(xiii) </w:t>
      </w:r>
      <w:r w:rsidR="00744484" w:rsidRPr="003409C0">
        <w:rPr>
          <w:rFonts w:cs="Arial"/>
          <w:color w:val="000000" w:themeColor="text1"/>
          <w:sz w:val="20"/>
          <w:lang w:val="en-US"/>
        </w:rPr>
        <w:tab/>
      </w:r>
      <w:r w:rsidRPr="003409C0">
        <w:rPr>
          <w:rFonts w:cs="Arial"/>
          <w:color w:val="000000" w:themeColor="text1"/>
          <w:sz w:val="20"/>
          <w:lang w:val="en-US"/>
        </w:rPr>
        <w:t>Tractor trolley or forage wagon8716.8090</w:t>
      </w:r>
    </w:p>
    <w:p w:rsidR="00B8383C" w:rsidRPr="003409C0" w:rsidRDefault="00B8383C" w:rsidP="00744484">
      <w:pPr>
        <w:autoSpaceDE w:val="0"/>
        <w:autoSpaceDN w:val="0"/>
        <w:adjustRightInd w:val="0"/>
        <w:ind w:firstLine="1080"/>
        <w:rPr>
          <w:rFonts w:cs="Arial"/>
          <w:color w:val="000000" w:themeColor="text1"/>
          <w:sz w:val="20"/>
          <w:lang w:val="en-US"/>
        </w:rPr>
      </w:pPr>
      <w:r w:rsidRPr="003409C0">
        <w:rPr>
          <w:rFonts w:cs="Arial"/>
          <w:color w:val="000000" w:themeColor="text1"/>
          <w:sz w:val="20"/>
          <w:lang w:val="en-US"/>
        </w:rPr>
        <w:t xml:space="preserve">(xiv) </w:t>
      </w:r>
      <w:r w:rsidR="00744484" w:rsidRPr="003409C0">
        <w:rPr>
          <w:rFonts w:cs="Arial"/>
          <w:color w:val="000000" w:themeColor="text1"/>
          <w:sz w:val="20"/>
          <w:lang w:val="en-US"/>
        </w:rPr>
        <w:tab/>
      </w:r>
      <w:r w:rsidRPr="003409C0">
        <w:rPr>
          <w:rFonts w:cs="Arial"/>
          <w:color w:val="000000" w:themeColor="text1"/>
          <w:sz w:val="20"/>
          <w:lang w:val="en-US"/>
        </w:rPr>
        <w:t xml:space="preserve">Reaping machines </w:t>
      </w:r>
      <w:r w:rsidR="00744484" w:rsidRPr="003409C0">
        <w:rPr>
          <w:rFonts w:cs="Arial"/>
          <w:color w:val="000000" w:themeColor="text1"/>
          <w:sz w:val="20"/>
          <w:lang w:val="en-US"/>
        </w:rPr>
        <w:tab/>
      </w:r>
      <w:r w:rsidR="00744484" w:rsidRPr="003409C0">
        <w:rPr>
          <w:rFonts w:cs="Arial"/>
          <w:color w:val="000000" w:themeColor="text1"/>
          <w:sz w:val="20"/>
          <w:lang w:val="en-US"/>
        </w:rPr>
        <w:tab/>
      </w:r>
      <w:r w:rsidRPr="003409C0">
        <w:rPr>
          <w:rFonts w:cs="Arial"/>
          <w:color w:val="000000" w:themeColor="text1"/>
          <w:sz w:val="20"/>
          <w:lang w:val="en-US"/>
        </w:rPr>
        <w:t>8433.5900</w:t>
      </w:r>
    </w:p>
    <w:p w:rsidR="00B8383C" w:rsidRPr="003409C0" w:rsidRDefault="00B8383C" w:rsidP="00744484">
      <w:pPr>
        <w:autoSpaceDE w:val="0"/>
        <w:autoSpaceDN w:val="0"/>
        <w:adjustRightInd w:val="0"/>
        <w:ind w:firstLine="1080"/>
        <w:rPr>
          <w:rFonts w:cs="Arial"/>
          <w:color w:val="000000" w:themeColor="text1"/>
          <w:sz w:val="20"/>
          <w:lang w:val="en-US"/>
        </w:rPr>
      </w:pPr>
      <w:r w:rsidRPr="003409C0">
        <w:rPr>
          <w:rFonts w:cs="Arial"/>
          <w:color w:val="000000" w:themeColor="text1"/>
          <w:sz w:val="20"/>
          <w:lang w:val="en-US"/>
        </w:rPr>
        <w:t xml:space="preserve">(xv) </w:t>
      </w:r>
      <w:r w:rsidR="00744484" w:rsidRPr="003409C0">
        <w:rPr>
          <w:rFonts w:cs="Arial"/>
          <w:color w:val="000000" w:themeColor="text1"/>
          <w:sz w:val="20"/>
          <w:lang w:val="en-US"/>
        </w:rPr>
        <w:tab/>
      </w:r>
      <w:r w:rsidRPr="003409C0">
        <w:rPr>
          <w:rFonts w:cs="Arial"/>
          <w:color w:val="000000" w:themeColor="text1"/>
          <w:sz w:val="20"/>
          <w:lang w:val="en-US"/>
        </w:rPr>
        <w:t xml:space="preserve">Combined harvesters </w:t>
      </w:r>
      <w:r w:rsidR="00744484" w:rsidRPr="003409C0">
        <w:rPr>
          <w:rFonts w:cs="Arial"/>
          <w:color w:val="000000" w:themeColor="text1"/>
          <w:sz w:val="20"/>
          <w:lang w:val="en-US"/>
        </w:rPr>
        <w:tab/>
      </w:r>
      <w:r w:rsidR="00744484" w:rsidRPr="003409C0">
        <w:rPr>
          <w:rFonts w:cs="Arial"/>
          <w:color w:val="000000" w:themeColor="text1"/>
          <w:sz w:val="20"/>
          <w:lang w:val="en-US"/>
        </w:rPr>
        <w:tab/>
      </w:r>
      <w:r w:rsidRPr="003409C0">
        <w:rPr>
          <w:rFonts w:cs="Arial"/>
          <w:color w:val="000000" w:themeColor="text1"/>
          <w:sz w:val="20"/>
          <w:lang w:val="en-US"/>
        </w:rPr>
        <w:t>8433.5100</w:t>
      </w:r>
    </w:p>
    <w:p w:rsidR="00B8383C" w:rsidRPr="003409C0" w:rsidRDefault="00B8383C" w:rsidP="00744484">
      <w:pPr>
        <w:autoSpaceDE w:val="0"/>
        <w:autoSpaceDN w:val="0"/>
        <w:adjustRightInd w:val="0"/>
        <w:ind w:firstLine="1080"/>
        <w:rPr>
          <w:rFonts w:cs="Arial"/>
          <w:color w:val="000000" w:themeColor="text1"/>
          <w:sz w:val="20"/>
          <w:lang w:val="en-US"/>
        </w:rPr>
      </w:pPr>
      <w:r w:rsidRPr="003409C0">
        <w:rPr>
          <w:rFonts w:cs="Arial"/>
          <w:color w:val="000000" w:themeColor="text1"/>
          <w:sz w:val="20"/>
          <w:lang w:val="en-US"/>
        </w:rPr>
        <w:t xml:space="preserve">(xvi) </w:t>
      </w:r>
      <w:r w:rsidR="00744484" w:rsidRPr="003409C0">
        <w:rPr>
          <w:rFonts w:cs="Arial"/>
          <w:color w:val="000000" w:themeColor="text1"/>
          <w:sz w:val="20"/>
          <w:lang w:val="en-US"/>
        </w:rPr>
        <w:tab/>
      </w:r>
      <w:r w:rsidRPr="003409C0">
        <w:rPr>
          <w:rFonts w:cs="Arial"/>
          <w:color w:val="000000" w:themeColor="text1"/>
          <w:sz w:val="20"/>
          <w:lang w:val="en-US"/>
        </w:rPr>
        <w:t xml:space="preserve">Pruner/shears </w:t>
      </w:r>
      <w:r w:rsidR="00744484" w:rsidRPr="003409C0">
        <w:rPr>
          <w:rFonts w:cs="Arial"/>
          <w:color w:val="000000" w:themeColor="text1"/>
          <w:sz w:val="20"/>
          <w:lang w:val="en-US"/>
        </w:rPr>
        <w:tab/>
      </w:r>
      <w:r w:rsidR="00744484" w:rsidRPr="003409C0">
        <w:rPr>
          <w:rFonts w:cs="Arial"/>
          <w:color w:val="000000" w:themeColor="text1"/>
          <w:sz w:val="20"/>
          <w:lang w:val="en-US"/>
        </w:rPr>
        <w:tab/>
      </w:r>
      <w:r w:rsidR="00744484" w:rsidRPr="003409C0">
        <w:rPr>
          <w:rFonts w:cs="Arial"/>
          <w:color w:val="000000" w:themeColor="text1"/>
          <w:sz w:val="20"/>
          <w:lang w:val="en-US"/>
        </w:rPr>
        <w:tab/>
      </w:r>
      <w:r w:rsidRPr="003409C0">
        <w:rPr>
          <w:rFonts w:cs="Arial"/>
          <w:color w:val="000000" w:themeColor="text1"/>
          <w:sz w:val="20"/>
          <w:lang w:val="en-US"/>
        </w:rPr>
        <w:t>8433.5900</w:t>
      </w:r>
    </w:p>
    <w:p w:rsidR="00744484" w:rsidRPr="003409C0" w:rsidRDefault="00744484" w:rsidP="00744484">
      <w:pPr>
        <w:autoSpaceDE w:val="0"/>
        <w:autoSpaceDN w:val="0"/>
        <w:adjustRightInd w:val="0"/>
        <w:ind w:firstLine="1080"/>
        <w:rPr>
          <w:rFonts w:cs="Arial"/>
          <w:color w:val="000000" w:themeColor="text1"/>
          <w:sz w:val="20"/>
          <w:lang w:val="en-US"/>
        </w:rPr>
      </w:pPr>
    </w:p>
    <w:p w:rsidR="00744484" w:rsidRPr="003409C0" w:rsidRDefault="00744484" w:rsidP="00B8383C">
      <w:pPr>
        <w:autoSpaceDE w:val="0"/>
        <w:autoSpaceDN w:val="0"/>
        <w:adjustRightInd w:val="0"/>
        <w:rPr>
          <w:rFonts w:cs="Arial"/>
          <w:color w:val="000000" w:themeColor="text1"/>
          <w:sz w:val="20"/>
          <w:lang w:val="en-US"/>
        </w:rPr>
      </w:pPr>
    </w:p>
    <w:tbl>
      <w:tblPr>
        <w:tblStyle w:val="TableGrid"/>
        <w:tblpPr w:leftFromText="180" w:rightFromText="180" w:vertAnchor="text" w:horzAnchor="margin" w:tblpY="73"/>
        <w:tblW w:w="0" w:type="auto"/>
        <w:tblLook w:val="04A0"/>
      </w:tblPr>
      <w:tblGrid>
        <w:gridCol w:w="5485"/>
      </w:tblGrid>
      <w:tr w:rsidR="00744484" w:rsidRPr="003409C0" w:rsidTr="00C304C8">
        <w:trPr>
          <w:trHeight w:val="408"/>
        </w:trPr>
        <w:tc>
          <w:tcPr>
            <w:tcW w:w="5485" w:type="dxa"/>
            <w:tcBorders>
              <w:left w:val="nil"/>
              <w:right w:val="nil"/>
            </w:tcBorders>
          </w:tcPr>
          <w:p w:rsidR="00744484" w:rsidRPr="003409C0" w:rsidRDefault="00744484" w:rsidP="00C304C8">
            <w:pPr>
              <w:pStyle w:val="ListParagraph"/>
              <w:autoSpaceDE w:val="0"/>
              <w:autoSpaceDN w:val="0"/>
              <w:adjustRightInd w:val="0"/>
              <w:ind w:left="540"/>
              <w:rPr>
                <w:rFonts w:cs="Arial"/>
                <w:color w:val="000000" w:themeColor="text1"/>
                <w:sz w:val="12"/>
                <w:lang w:val="en-US"/>
              </w:rPr>
            </w:pPr>
          </w:p>
          <w:p w:rsidR="00744484" w:rsidRPr="003409C0" w:rsidRDefault="00744484" w:rsidP="00744484">
            <w:pPr>
              <w:autoSpaceDE w:val="0"/>
              <w:autoSpaceDN w:val="0"/>
              <w:adjustRightInd w:val="0"/>
              <w:ind w:left="547" w:hanging="187"/>
              <w:rPr>
                <w:rFonts w:cs="Arial"/>
                <w:color w:val="000000" w:themeColor="text1"/>
                <w:sz w:val="20"/>
                <w:lang w:val="en-US"/>
              </w:rPr>
            </w:pPr>
            <w:r w:rsidRPr="003409C0">
              <w:rPr>
                <w:rFonts w:cs="Arial"/>
                <w:color w:val="000000" w:themeColor="text1"/>
                <w:sz w:val="20"/>
                <w:lang w:val="en-US"/>
              </w:rPr>
              <w:t>( v )  Post-harvest handling and processing &amp;</w:t>
            </w:r>
          </w:p>
          <w:p w:rsidR="00744484" w:rsidRPr="003409C0" w:rsidRDefault="00744484" w:rsidP="00744484">
            <w:pPr>
              <w:autoSpaceDE w:val="0"/>
              <w:autoSpaceDN w:val="0"/>
              <w:adjustRightInd w:val="0"/>
              <w:ind w:left="810"/>
              <w:rPr>
                <w:rFonts w:cs="Arial"/>
                <w:color w:val="000000" w:themeColor="text1"/>
                <w:sz w:val="14"/>
                <w:lang w:val="en-US"/>
              </w:rPr>
            </w:pPr>
            <w:r w:rsidRPr="003409C0">
              <w:rPr>
                <w:rFonts w:cs="Arial"/>
                <w:color w:val="000000" w:themeColor="text1"/>
                <w:sz w:val="20"/>
                <w:lang w:val="en-US"/>
              </w:rPr>
              <w:t>miscellaneous machinery</w:t>
            </w:r>
          </w:p>
        </w:tc>
      </w:tr>
      <w:tr w:rsidR="00744484" w:rsidRPr="003409C0" w:rsidTr="00C304C8">
        <w:trPr>
          <w:trHeight w:val="408"/>
        </w:trPr>
        <w:tc>
          <w:tcPr>
            <w:tcW w:w="5485" w:type="dxa"/>
            <w:tcBorders>
              <w:left w:val="nil"/>
              <w:right w:val="nil"/>
            </w:tcBorders>
          </w:tcPr>
          <w:p w:rsidR="00B37923" w:rsidRPr="003409C0" w:rsidRDefault="00B37923" w:rsidP="00B37923">
            <w:pPr>
              <w:autoSpaceDE w:val="0"/>
              <w:autoSpaceDN w:val="0"/>
              <w:adjustRightInd w:val="0"/>
              <w:ind w:firstLine="1620"/>
              <w:rPr>
                <w:rFonts w:cs="Arial"/>
                <w:b/>
                <w:bCs/>
                <w:color w:val="000000" w:themeColor="text1"/>
                <w:sz w:val="20"/>
                <w:lang w:val="en-US"/>
              </w:rPr>
            </w:pPr>
            <w:r w:rsidRPr="003409C0">
              <w:rPr>
                <w:rFonts w:cs="Arial"/>
                <w:b/>
                <w:bCs/>
                <w:color w:val="000000" w:themeColor="text1"/>
                <w:sz w:val="20"/>
                <w:lang w:val="en-US"/>
              </w:rPr>
              <w:t>Equipment PCT Code</w:t>
            </w:r>
          </w:p>
          <w:p w:rsidR="00744484" w:rsidRPr="003409C0" w:rsidRDefault="00744484" w:rsidP="00C304C8">
            <w:pPr>
              <w:pStyle w:val="ListParagraph"/>
              <w:autoSpaceDE w:val="0"/>
              <w:autoSpaceDN w:val="0"/>
              <w:adjustRightInd w:val="0"/>
              <w:ind w:left="540"/>
              <w:rPr>
                <w:rFonts w:cs="Arial"/>
                <w:color w:val="000000" w:themeColor="text1"/>
                <w:sz w:val="12"/>
                <w:lang w:val="en-US"/>
              </w:rPr>
            </w:pPr>
          </w:p>
        </w:tc>
      </w:tr>
    </w:tbl>
    <w:p w:rsidR="00B8383C" w:rsidRPr="003409C0" w:rsidRDefault="00B8383C" w:rsidP="00B8383C">
      <w:pPr>
        <w:autoSpaceDE w:val="0"/>
        <w:autoSpaceDN w:val="0"/>
        <w:adjustRightInd w:val="0"/>
        <w:rPr>
          <w:rFonts w:cs="Arial"/>
          <w:color w:val="000000" w:themeColor="text1"/>
          <w:sz w:val="20"/>
          <w:lang w:val="en-US"/>
        </w:rPr>
      </w:pPr>
    </w:p>
    <w:p w:rsidR="00744484" w:rsidRPr="003409C0" w:rsidRDefault="00744484" w:rsidP="00B8383C">
      <w:pPr>
        <w:autoSpaceDE w:val="0"/>
        <w:autoSpaceDN w:val="0"/>
        <w:adjustRightInd w:val="0"/>
        <w:rPr>
          <w:rFonts w:cs="Arial"/>
          <w:b/>
          <w:bCs/>
          <w:color w:val="000000" w:themeColor="text1"/>
          <w:sz w:val="20"/>
          <w:lang w:val="en-US"/>
        </w:rPr>
      </w:pPr>
    </w:p>
    <w:p w:rsidR="00744484" w:rsidRPr="003409C0" w:rsidRDefault="00744484" w:rsidP="00B8383C">
      <w:pPr>
        <w:autoSpaceDE w:val="0"/>
        <w:autoSpaceDN w:val="0"/>
        <w:adjustRightInd w:val="0"/>
        <w:rPr>
          <w:rFonts w:cs="Arial"/>
          <w:b/>
          <w:bCs/>
          <w:color w:val="000000" w:themeColor="text1"/>
          <w:sz w:val="20"/>
          <w:lang w:val="en-US"/>
        </w:rPr>
      </w:pPr>
    </w:p>
    <w:p w:rsidR="00744484" w:rsidRPr="003409C0" w:rsidRDefault="00744484" w:rsidP="00B8383C">
      <w:pPr>
        <w:autoSpaceDE w:val="0"/>
        <w:autoSpaceDN w:val="0"/>
        <w:adjustRightInd w:val="0"/>
        <w:rPr>
          <w:rFonts w:cs="Arial"/>
          <w:b/>
          <w:bCs/>
          <w:color w:val="000000" w:themeColor="text1"/>
          <w:sz w:val="20"/>
          <w:lang w:val="en-US"/>
        </w:rPr>
      </w:pPr>
    </w:p>
    <w:p w:rsidR="00B37923" w:rsidRPr="003409C0" w:rsidRDefault="00B37923" w:rsidP="00B8383C">
      <w:pPr>
        <w:autoSpaceDE w:val="0"/>
        <w:autoSpaceDN w:val="0"/>
        <w:adjustRightInd w:val="0"/>
        <w:rPr>
          <w:rFonts w:cs="Arial"/>
          <w:color w:val="000000" w:themeColor="text1"/>
          <w:sz w:val="20"/>
          <w:lang w:val="en-US"/>
        </w:rPr>
      </w:pPr>
    </w:p>
    <w:p w:rsidR="00B37923" w:rsidRPr="003409C0" w:rsidRDefault="00B8383C" w:rsidP="002C73AE">
      <w:pPr>
        <w:pStyle w:val="ListParagraph"/>
        <w:numPr>
          <w:ilvl w:val="0"/>
          <w:numId w:val="71"/>
        </w:numPr>
        <w:autoSpaceDE w:val="0"/>
        <w:autoSpaceDN w:val="0"/>
        <w:adjustRightInd w:val="0"/>
        <w:ind w:left="1620" w:hanging="526"/>
        <w:rPr>
          <w:rFonts w:cs="Arial"/>
          <w:color w:val="000000" w:themeColor="text1"/>
          <w:sz w:val="20"/>
          <w:lang w:val="en-US"/>
        </w:rPr>
      </w:pPr>
      <w:r w:rsidRPr="003409C0">
        <w:rPr>
          <w:rFonts w:cs="Arial"/>
          <w:color w:val="000000" w:themeColor="text1"/>
          <w:sz w:val="20"/>
          <w:lang w:val="en-US"/>
        </w:rPr>
        <w:t>Vegetables and fruits</w:t>
      </w:r>
      <w:r w:rsidR="00B37923" w:rsidRPr="003409C0">
        <w:rPr>
          <w:rFonts w:cs="Arial"/>
          <w:color w:val="000000" w:themeColor="text1"/>
          <w:sz w:val="20"/>
          <w:lang w:val="en-US"/>
        </w:rPr>
        <w:tab/>
      </w:r>
      <w:r w:rsidR="00B37923" w:rsidRPr="003409C0">
        <w:rPr>
          <w:rFonts w:cs="Arial"/>
          <w:color w:val="000000" w:themeColor="text1"/>
          <w:sz w:val="20"/>
          <w:lang w:val="en-US"/>
        </w:rPr>
        <w:tab/>
        <w:t>8437.1000</w:t>
      </w:r>
    </w:p>
    <w:p w:rsidR="00B37923" w:rsidRPr="003409C0" w:rsidRDefault="00716C91" w:rsidP="00B37923">
      <w:pPr>
        <w:pStyle w:val="ListParagraph"/>
        <w:autoSpaceDE w:val="0"/>
        <w:autoSpaceDN w:val="0"/>
        <w:adjustRightInd w:val="0"/>
        <w:ind w:left="1620"/>
        <w:rPr>
          <w:rFonts w:cs="Arial"/>
          <w:color w:val="000000" w:themeColor="text1"/>
          <w:sz w:val="20"/>
          <w:lang w:val="en-US"/>
        </w:rPr>
      </w:pPr>
      <w:r w:rsidRPr="003409C0">
        <w:rPr>
          <w:rFonts w:cs="Arial"/>
          <w:color w:val="000000" w:themeColor="text1"/>
          <w:sz w:val="20"/>
          <w:lang w:val="en-US"/>
        </w:rPr>
        <w:t>C</w:t>
      </w:r>
      <w:r w:rsidR="00B8383C" w:rsidRPr="003409C0">
        <w:rPr>
          <w:rFonts w:cs="Arial"/>
          <w:color w:val="000000" w:themeColor="text1"/>
          <w:sz w:val="20"/>
          <w:lang w:val="en-US"/>
        </w:rPr>
        <w:t>leaning</w:t>
      </w:r>
      <w:r w:rsidRPr="003409C0">
        <w:rPr>
          <w:rFonts w:cs="Arial"/>
          <w:color w:val="000000" w:themeColor="text1"/>
          <w:sz w:val="20"/>
          <w:lang w:val="en-US"/>
        </w:rPr>
        <w:t xml:space="preserve"> </w:t>
      </w:r>
      <w:r w:rsidR="00B8383C" w:rsidRPr="003409C0">
        <w:rPr>
          <w:rFonts w:cs="Arial"/>
          <w:color w:val="000000" w:themeColor="text1"/>
          <w:sz w:val="20"/>
          <w:lang w:val="en-US"/>
        </w:rPr>
        <w:t xml:space="preserve">and sorting </w:t>
      </w:r>
    </w:p>
    <w:p w:rsidR="00B8383C" w:rsidRPr="003409C0" w:rsidRDefault="00B8383C" w:rsidP="00B37923">
      <w:pPr>
        <w:pStyle w:val="ListParagraph"/>
        <w:autoSpaceDE w:val="0"/>
        <w:autoSpaceDN w:val="0"/>
        <w:adjustRightInd w:val="0"/>
        <w:ind w:left="1620"/>
        <w:rPr>
          <w:rFonts w:cs="Arial"/>
          <w:color w:val="000000" w:themeColor="text1"/>
          <w:sz w:val="20"/>
          <w:lang w:val="en-US"/>
        </w:rPr>
      </w:pPr>
      <w:r w:rsidRPr="003409C0">
        <w:rPr>
          <w:rFonts w:cs="Arial"/>
          <w:color w:val="000000" w:themeColor="text1"/>
          <w:sz w:val="20"/>
          <w:lang w:val="en-US"/>
        </w:rPr>
        <w:t>or grading</w:t>
      </w:r>
      <w:r w:rsidR="00716C91" w:rsidRPr="003409C0">
        <w:rPr>
          <w:rFonts w:cs="Arial"/>
          <w:color w:val="000000" w:themeColor="text1"/>
          <w:sz w:val="20"/>
          <w:lang w:val="en-US"/>
        </w:rPr>
        <w:t xml:space="preserve"> </w:t>
      </w:r>
      <w:r w:rsidRPr="003409C0">
        <w:rPr>
          <w:rFonts w:cs="Arial"/>
          <w:color w:val="000000" w:themeColor="text1"/>
          <w:sz w:val="20"/>
          <w:lang w:val="en-US"/>
        </w:rPr>
        <w:t>equipment</w:t>
      </w:r>
    </w:p>
    <w:p w:rsidR="00B37923" w:rsidRDefault="00B37923" w:rsidP="00B8383C">
      <w:pPr>
        <w:autoSpaceDE w:val="0"/>
        <w:autoSpaceDN w:val="0"/>
        <w:adjustRightInd w:val="0"/>
        <w:rPr>
          <w:rFonts w:cs="Arial"/>
          <w:color w:val="984806" w:themeColor="accent6" w:themeShade="80"/>
          <w:sz w:val="20"/>
          <w:lang w:val="en-US"/>
        </w:rPr>
      </w:pPr>
    </w:p>
    <w:p w:rsidR="00B37923" w:rsidRPr="003409C0" w:rsidRDefault="00B8383C" w:rsidP="002C73AE">
      <w:pPr>
        <w:pStyle w:val="ListParagraph"/>
        <w:numPr>
          <w:ilvl w:val="0"/>
          <w:numId w:val="71"/>
        </w:numPr>
        <w:autoSpaceDE w:val="0"/>
        <w:autoSpaceDN w:val="0"/>
        <w:adjustRightInd w:val="0"/>
        <w:ind w:left="1620" w:hanging="526"/>
        <w:rPr>
          <w:rFonts w:cs="Arial"/>
          <w:color w:val="000000" w:themeColor="text1"/>
          <w:sz w:val="20"/>
          <w:lang w:val="en-US"/>
        </w:rPr>
      </w:pPr>
      <w:r w:rsidRPr="003409C0">
        <w:rPr>
          <w:rFonts w:cs="Arial"/>
          <w:color w:val="000000" w:themeColor="text1"/>
          <w:sz w:val="20"/>
          <w:lang w:val="en-US"/>
        </w:rPr>
        <w:t xml:space="preserve">Fodder and feed cube </w:t>
      </w:r>
      <w:r w:rsidR="00B37923" w:rsidRPr="003409C0">
        <w:rPr>
          <w:rFonts w:cs="Arial"/>
          <w:color w:val="000000" w:themeColor="text1"/>
          <w:sz w:val="20"/>
          <w:lang w:val="en-US"/>
        </w:rPr>
        <w:tab/>
      </w:r>
      <w:r w:rsidR="00B37923" w:rsidRPr="003409C0">
        <w:rPr>
          <w:rFonts w:cs="Arial"/>
          <w:color w:val="000000" w:themeColor="text1"/>
          <w:sz w:val="20"/>
          <w:lang w:val="en-US"/>
        </w:rPr>
        <w:tab/>
        <w:t>8433.4000</w:t>
      </w:r>
    </w:p>
    <w:p w:rsidR="00B8383C" w:rsidRPr="003409C0" w:rsidRDefault="00716C91" w:rsidP="00B37923">
      <w:pPr>
        <w:pStyle w:val="ListParagraph"/>
        <w:autoSpaceDE w:val="0"/>
        <w:autoSpaceDN w:val="0"/>
        <w:adjustRightInd w:val="0"/>
        <w:ind w:left="1620"/>
        <w:rPr>
          <w:rFonts w:cs="Arial"/>
          <w:color w:val="000000" w:themeColor="text1"/>
          <w:sz w:val="20"/>
          <w:lang w:val="en-US"/>
        </w:rPr>
      </w:pPr>
      <w:r w:rsidRPr="003409C0">
        <w:rPr>
          <w:rFonts w:cs="Arial"/>
          <w:color w:val="000000" w:themeColor="text1"/>
          <w:sz w:val="20"/>
          <w:lang w:val="en-US"/>
        </w:rPr>
        <w:t>m</w:t>
      </w:r>
      <w:r w:rsidR="00B8383C" w:rsidRPr="003409C0">
        <w:rPr>
          <w:rFonts w:cs="Arial"/>
          <w:color w:val="000000" w:themeColor="text1"/>
          <w:sz w:val="20"/>
          <w:lang w:val="en-US"/>
        </w:rPr>
        <w:t>aker</w:t>
      </w:r>
      <w:r w:rsidRPr="003409C0">
        <w:rPr>
          <w:rFonts w:cs="Arial"/>
          <w:color w:val="000000" w:themeColor="text1"/>
          <w:sz w:val="20"/>
          <w:lang w:val="en-US"/>
        </w:rPr>
        <w:t xml:space="preserve"> </w:t>
      </w:r>
      <w:r w:rsidR="00B8383C" w:rsidRPr="003409C0">
        <w:rPr>
          <w:rFonts w:cs="Arial"/>
          <w:color w:val="000000" w:themeColor="text1"/>
          <w:sz w:val="20"/>
          <w:lang w:val="en-US"/>
        </w:rPr>
        <w:t>equipment</w:t>
      </w:r>
      <w:r w:rsidR="008D1F51" w:rsidRPr="003409C0">
        <w:rPr>
          <w:rFonts w:cs="Arial"/>
          <w:color w:val="000000" w:themeColor="text1"/>
          <w:sz w:val="20"/>
          <w:lang w:val="en-US"/>
        </w:rPr>
        <w:t>”]</w:t>
      </w:r>
    </w:p>
    <w:tbl>
      <w:tblPr>
        <w:tblW w:w="0" w:type="auto"/>
        <w:tblInd w:w="108" w:type="dxa"/>
        <w:tblBorders>
          <w:top w:val="single" w:sz="4" w:space="0" w:color="auto"/>
        </w:tblBorders>
        <w:tblLook w:val="0000"/>
      </w:tblPr>
      <w:tblGrid>
        <w:gridCol w:w="5410"/>
      </w:tblGrid>
      <w:tr w:rsidR="00194A47" w:rsidTr="00194A47">
        <w:trPr>
          <w:trHeight w:val="62"/>
        </w:trPr>
        <w:tc>
          <w:tcPr>
            <w:tcW w:w="5410" w:type="dxa"/>
          </w:tcPr>
          <w:p w:rsidR="00194A47" w:rsidRDefault="00194A47" w:rsidP="00B8383C">
            <w:pPr>
              <w:autoSpaceDE w:val="0"/>
              <w:autoSpaceDN w:val="0"/>
              <w:adjustRightInd w:val="0"/>
              <w:rPr>
                <w:rFonts w:cs="Arial"/>
                <w:color w:val="984806" w:themeColor="accent6" w:themeShade="80"/>
                <w:sz w:val="20"/>
                <w:lang w:val="en-US"/>
              </w:rPr>
            </w:pPr>
          </w:p>
        </w:tc>
      </w:tr>
    </w:tbl>
    <w:p w:rsidR="00B53FFD" w:rsidRDefault="00200D46" w:rsidP="00AB5FEB">
      <w:pPr>
        <w:jc w:val="both"/>
        <w:rPr>
          <w:rFonts w:cs="Arial"/>
          <w:snapToGrid w:val="0"/>
          <w:color w:val="FF0000"/>
          <w:sz w:val="20"/>
        </w:rPr>
      </w:pPr>
      <w:r w:rsidRPr="003409C0">
        <w:rPr>
          <w:rStyle w:val="FootnoteReference"/>
          <w:rFonts w:cs="Arial"/>
          <w:color w:val="000000" w:themeColor="text1"/>
          <w:sz w:val="20"/>
          <w:lang w:val="en-US"/>
        </w:rPr>
        <w:lastRenderedPageBreak/>
        <w:footnoteReference w:id="2334"/>
      </w:r>
      <w:r w:rsidR="00AB5FEB" w:rsidRPr="003409C0">
        <w:rPr>
          <w:rFonts w:cs="Arial"/>
          <w:color w:val="000000" w:themeColor="text1"/>
          <w:sz w:val="20"/>
          <w:lang w:val="en-US"/>
        </w:rPr>
        <w:t>[</w:t>
      </w:r>
      <w:r w:rsidR="00685600" w:rsidRPr="003409C0">
        <w:rPr>
          <w:rFonts w:cs="Arial"/>
          <w:color w:val="000000" w:themeColor="text1"/>
          <w:sz w:val="20"/>
          <w:lang w:val="en-US"/>
        </w:rPr>
        <w:t xml:space="preserve"> </w:t>
      </w:r>
      <w:r w:rsidR="00B53FFD">
        <w:rPr>
          <w:rFonts w:cs="Arial"/>
          <w:color w:val="984806" w:themeColor="accent6" w:themeShade="80"/>
          <w:sz w:val="20"/>
          <w:lang w:val="en-US"/>
        </w:rPr>
        <w:t xml:space="preserve"> </w:t>
      </w:r>
      <w:r w:rsidR="00B53FFD" w:rsidRPr="000E5E48">
        <w:rPr>
          <w:rStyle w:val="FootnoteReference"/>
          <w:rFonts w:cs="Arial"/>
          <w:snapToGrid w:val="0"/>
          <w:color w:val="0070C0"/>
          <w:sz w:val="20"/>
        </w:rPr>
        <w:footnoteReference w:id="2335"/>
      </w:r>
      <w:r w:rsidR="00B53FFD" w:rsidRPr="000E5E48">
        <w:rPr>
          <w:rFonts w:cs="Arial"/>
          <w:snapToGrid w:val="0"/>
          <w:color w:val="0070C0"/>
          <w:sz w:val="20"/>
        </w:rPr>
        <w:t>[   ]</w:t>
      </w:r>
      <w:r w:rsidR="00B53FFD">
        <w:rPr>
          <w:rFonts w:cs="Arial"/>
          <w:snapToGrid w:val="0"/>
          <w:color w:val="FF0000"/>
          <w:sz w:val="20"/>
        </w:rPr>
        <w:t xml:space="preserve">  </w:t>
      </w:r>
      <w:r w:rsidR="00B53FFD" w:rsidRPr="003409C0">
        <w:rPr>
          <w:rFonts w:cs="Arial"/>
          <w:snapToGrid w:val="0"/>
          <w:color w:val="000000" w:themeColor="text1"/>
          <w:sz w:val="20"/>
        </w:rPr>
        <w:t xml:space="preserve"> </w:t>
      </w:r>
      <w:r w:rsidR="001E1028" w:rsidRPr="003409C0">
        <w:rPr>
          <w:rFonts w:cs="Arial"/>
          <w:color w:val="000000" w:themeColor="text1"/>
          <w:sz w:val="20"/>
          <w:lang w:val="en-US"/>
        </w:rPr>
        <w:t>]</w:t>
      </w:r>
    </w:p>
    <w:p w:rsidR="00AB5FEB" w:rsidRPr="002C2E9E" w:rsidRDefault="00AB5FEB" w:rsidP="00AB5FEB">
      <w:pPr>
        <w:jc w:val="both"/>
        <w:rPr>
          <w:rFonts w:cs="Arial"/>
          <w:snapToGrid w:val="0"/>
          <w:color w:val="984806" w:themeColor="accent6" w:themeShade="80"/>
          <w:sz w:val="20"/>
        </w:rPr>
      </w:pPr>
    </w:p>
    <w:p w:rsidR="00AB5FEB" w:rsidRDefault="00AB5FEB" w:rsidP="00B8383C">
      <w:pPr>
        <w:autoSpaceDE w:val="0"/>
        <w:autoSpaceDN w:val="0"/>
        <w:adjustRightInd w:val="0"/>
        <w:rPr>
          <w:rFonts w:cs="Arial"/>
          <w:color w:val="984806" w:themeColor="accent6" w:themeShade="80"/>
          <w:sz w:val="20"/>
          <w:lang w:val="en-US"/>
        </w:rPr>
      </w:pPr>
    </w:p>
    <w:p w:rsidR="00B8383C" w:rsidRPr="003409C0" w:rsidRDefault="00A24C3A" w:rsidP="00B8383C">
      <w:pPr>
        <w:autoSpaceDE w:val="0"/>
        <w:autoSpaceDN w:val="0"/>
        <w:adjustRightInd w:val="0"/>
        <w:rPr>
          <w:rFonts w:cs="Arial"/>
          <w:color w:val="000000" w:themeColor="text1"/>
          <w:sz w:val="20"/>
          <w:lang w:val="en-US"/>
        </w:rPr>
      </w:pPr>
      <w:r w:rsidRPr="003409C0">
        <w:rPr>
          <w:rStyle w:val="FootnoteReference"/>
          <w:rFonts w:cs="Arial"/>
          <w:color w:val="000000" w:themeColor="text1"/>
          <w:sz w:val="20"/>
          <w:lang w:val="en-US"/>
        </w:rPr>
        <w:footnoteReference w:id="2336"/>
      </w:r>
      <w:r w:rsidR="001D7B69" w:rsidRPr="003409C0">
        <w:rPr>
          <w:rFonts w:cs="Arial"/>
          <w:color w:val="000000" w:themeColor="text1"/>
          <w:sz w:val="20"/>
          <w:lang w:val="en-US"/>
        </w:rPr>
        <w:t>[“</w:t>
      </w:r>
      <w:r w:rsidR="00B8383C" w:rsidRPr="003409C0">
        <w:rPr>
          <w:rFonts w:cs="Arial"/>
          <w:color w:val="000000" w:themeColor="text1"/>
          <w:sz w:val="20"/>
          <w:lang w:val="en-US"/>
        </w:rPr>
        <w:t>(92) The provisions of section 148 shall not apply to.—</w:t>
      </w:r>
    </w:p>
    <w:p w:rsidR="00194A47" w:rsidRPr="003409C0" w:rsidRDefault="00194A47" w:rsidP="00B8383C">
      <w:pPr>
        <w:autoSpaceDE w:val="0"/>
        <w:autoSpaceDN w:val="0"/>
        <w:adjustRightInd w:val="0"/>
        <w:rPr>
          <w:rFonts w:cs="Arial"/>
          <w:b/>
          <w:bCs/>
          <w:color w:val="000000" w:themeColor="text1"/>
          <w:sz w:val="20"/>
          <w:lang w:val="en-US"/>
        </w:rPr>
      </w:pPr>
    </w:p>
    <w:p w:rsidR="00B8383C" w:rsidRPr="003409C0" w:rsidRDefault="00B8383C" w:rsidP="00194A47">
      <w:pPr>
        <w:autoSpaceDE w:val="0"/>
        <w:autoSpaceDN w:val="0"/>
        <w:adjustRightInd w:val="0"/>
        <w:ind w:left="3829" w:firstLine="547"/>
        <w:rPr>
          <w:rFonts w:cs="Arial"/>
          <w:b/>
          <w:bCs/>
          <w:color w:val="000000" w:themeColor="text1"/>
          <w:sz w:val="20"/>
          <w:lang w:val="en-US"/>
        </w:rPr>
      </w:pPr>
      <w:r w:rsidRPr="003409C0">
        <w:rPr>
          <w:rFonts w:cs="Arial"/>
          <w:b/>
          <w:bCs/>
          <w:color w:val="000000" w:themeColor="text1"/>
          <w:sz w:val="20"/>
          <w:lang w:val="en-US"/>
        </w:rPr>
        <w:t>PCT Code</w:t>
      </w:r>
    </w:p>
    <w:p w:rsidR="00194A47" w:rsidRPr="003409C0" w:rsidRDefault="00194A47" w:rsidP="00194A47">
      <w:pPr>
        <w:autoSpaceDE w:val="0"/>
        <w:autoSpaceDN w:val="0"/>
        <w:adjustRightInd w:val="0"/>
        <w:ind w:left="3829" w:firstLine="547"/>
        <w:rPr>
          <w:rFonts w:cs="Arial"/>
          <w:b/>
          <w:bCs/>
          <w:color w:val="000000" w:themeColor="text1"/>
          <w:sz w:val="20"/>
          <w:lang w:val="en-US"/>
        </w:rPr>
      </w:pP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Aircraft, whether imported or</w:t>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t>8802.4000</w:t>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acquired on wet or dry lease</w:t>
      </w:r>
    </w:p>
    <w:p w:rsidR="00194A47" w:rsidRPr="003409C0" w:rsidRDefault="00194A47" w:rsidP="00194A47">
      <w:pPr>
        <w:autoSpaceDE w:val="0"/>
        <w:autoSpaceDN w:val="0"/>
        <w:adjustRightInd w:val="0"/>
        <w:ind w:firstLine="547"/>
        <w:rPr>
          <w:rFonts w:cs="Arial"/>
          <w:color w:val="000000" w:themeColor="text1"/>
          <w:sz w:val="20"/>
          <w:lang w:val="en-US"/>
        </w:rPr>
      </w:pP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Maintenance kits for use in</w:t>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t>Respective</w:t>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trainer aircrafts of PCT</w:t>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t>headings</w:t>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headings 8802.2000 and</w:t>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8802.3000</w:t>
      </w:r>
    </w:p>
    <w:p w:rsidR="00194A47" w:rsidRPr="003409C0" w:rsidRDefault="00194A47" w:rsidP="00194A47">
      <w:pPr>
        <w:autoSpaceDE w:val="0"/>
        <w:autoSpaceDN w:val="0"/>
        <w:adjustRightInd w:val="0"/>
        <w:ind w:firstLine="547"/>
        <w:rPr>
          <w:rFonts w:cs="Arial"/>
          <w:color w:val="000000" w:themeColor="text1"/>
          <w:sz w:val="20"/>
          <w:lang w:val="en-US"/>
        </w:rPr>
      </w:pP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Spare parts for use in</w:t>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t xml:space="preserve">Respective </w:t>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aircrafts, trainer aircrafts or</w:t>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t>headings</w:t>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simulators</w:t>
      </w:r>
    </w:p>
    <w:p w:rsidR="00194A47" w:rsidRPr="003409C0" w:rsidRDefault="00194A47" w:rsidP="00B8383C">
      <w:pPr>
        <w:autoSpaceDE w:val="0"/>
        <w:autoSpaceDN w:val="0"/>
        <w:adjustRightInd w:val="0"/>
        <w:rPr>
          <w:rFonts w:cs="Arial"/>
          <w:color w:val="000000" w:themeColor="text1"/>
          <w:sz w:val="20"/>
          <w:lang w:val="en-US"/>
        </w:rPr>
      </w:pP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Machinery, equipment and</w:t>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t>Respective</w:t>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tools for setting up</w:t>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r>
      <w:r w:rsidR="00194A47" w:rsidRPr="003409C0">
        <w:rPr>
          <w:rFonts w:cs="Arial"/>
          <w:color w:val="000000" w:themeColor="text1"/>
          <w:sz w:val="20"/>
          <w:lang w:val="en-US"/>
        </w:rPr>
        <w:tab/>
        <w:t>headings</w:t>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maintenance, repair and</w:t>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overhaul (MRO) workshop by</w:t>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MRO company recognized</w:t>
      </w:r>
    </w:p>
    <w:p w:rsidR="00B8383C" w:rsidRPr="003409C0" w:rsidRDefault="00B8383C" w:rsidP="00194A47">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by Aviation Division</w:t>
      </w:r>
    </w:p>
    <w:p w:rsidR="00194A47" w:rsidRPr="003409C0" w:rsidRDefault="00194A47" w:rsidP="00B8383C">
      <w:pPr>
        <w:autoSpaceDE w:val="0"/>
        <w:autoSpaceDN w:val="0"/>
        <w:adjustRightInd w:val="0"/>
        <w:rPr>
          <w:rFonts w:cs="Arial"/>
          <w:color w:val="000000" w:themeColor="text1"/>
          <w:sz w:val="20"/>
          <w:lang w:val="en-US"/>
        </w:rPr>
      </w:pPr>
    </w:p>
    <w:p w:rsidR="00B8383C" w:rsidRPr="003409C0" w:rsidRDefault="00B8383C" w:rsidP="00E4105E">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Operational tools, machinery,</w:t>
      </w:r>
      <w:r w:rsidR="00E4105E" w:rsidRPr="003409C0">
        <w:rPr>
          <w:rFonts w:cs="Arial"/>
          <w:color w:val="000000" w:themeColor="text1"/>
          <w:sz w:val="20"/>
          <w:lang w:val="en-US"/>
        </w:rPr>
        <w:tab/>
      </w:r>
      <w:r w:rsidR="00E4105E" w:rsidRPr="003409C0">
        <w:rPr>
          <w:rFonts w:cs="Arial"/>
          <w:color w:val="000000" w:themeColor="text1"/>
          <w:sz w:val="20"/>
          <w:lang w:val="en-US"/>
        </w:rPr>
        <w:tab/>
      </w:r>
      <w:r w:rsidR="00E4105E" w:rsidRPr="003409C0">
        <w:rPr>
          <w:rFonts w:cs="Arial"/>
          <w:color w:val="000000" w:themeColor="text1"/>
          <w:sz w:val="20"/>
          <w:lang w:val="en-US"/>
        </w:rPr>
        <w:tab/>
        <w:t>Respective</w:t>
      </w:r>
    </w:p>
    <w:p w:rsidR="00B8383C" w:rsidRPr="003409C0" w:rsidRDefault="00B8383C" w:rsidP="00E4105E">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equipment and furniture and</w:t>
      </w:r>
      <w:r w:rsidR="00E4105E" w:rsidRPr="003409C0">
        <w:rPr>
          <w:rFonts w:cs="Arial"/>
          <w:color w:val="000000" w:themeColor="text1"/>
          <w:sz w:val="20"/>
          <w:lang w:val="en-US"/>
        </w:rPr>
        <w:tab/>
      </w:r>
      <w:r w:rsidR="00E4105E" w:rsidRPr="003409C0">
        <w:rPr>
          <w:rFonts w:cs="Arial"/>
          <w:color w:val="000000" w:themeColor="text1"/>
          <w:sz w:val="20"/>
          <w:lang w:val="en-US"/>
        </w:rPr>
        <w:tab/>
      </w:r>
      <w:r w:rsidR="00E4105E" w:rsidRPr="003409C0">
        <w:rPr>
          <w:rFonts w:cs="Arial"/>
          <w:color w:val="000000" w:themeColor="text1"/>
          <w:sz w:val="20"/>
          <w:lang w:val="en-US"/>
        </w:rPr>
        <w:tab/>
        <w:t>headings</w:t>
      </w:r>
    </w:p>
    <w:p w:rsidR="00B8383C" w:rsidRPr="003409C0" w:rsidRDefault="00B8383C" w:rsidP="00E4105E">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fixtures on one-time basis for</w:t>
      </w:r>
    </w:p>
    <w:p w:rsidR="00B8383C" w:rsidRPr="003409C0" w:rsidRDefault="00B8383C" w:rsidP="00E4105E">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setting up Greenfield airports</w:t>
      </w:r>
    </w:p>
    <w:p w:rsidR="00B8383C" w:rsidRPr="003409C0" w:rsidRDefault="00B8383C" w:rsidP="00E4105E">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by a company authorized by</w:t>
      </w:r>
    </w:p>
    <w:p w:rsidR="00B8383C" w:rsidRPr="003409C0" w:rsidRDefault="00B8383C" w:rsidP="00E4105E">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Aviation Division</w:t>
      </w:r>
    </w:p>
    <w:p w:rsidR="00E4105E" w:rsidRPr="003409C0" w:rsidRDefault="00E4105E" w:rsidP="00B8383C">
      <w:pPr>
        <w:autoSpaceDE w:val="0"/>
        <w:autoSpaceDN w:val="0"/>
        <w:adjustRightInd w:val="0"/>
        <w:rPr>
          <w:rFonts w:cs="Arial"/>
          <w:color w:val="000000" w:themeColor="text1"/>
          <w:sz w:val="20"/>
          <w:lang w:val="en-US"/>
        </w:rPr>
      </w:pPr>
    </w:p>
    <w:p w:rsidR="00B8383C" w:rsidRPr="003409C0" w:rsidRDefault="00B8383C" w:rsidP="00E4105E">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Aviation simulators imported</w:t>
      </w:r>
      <w:r w:rsidR="00E4105E" w:rsidRPr="003409C0">
        <w:rPr>
          <w:rFonts w:cs="Arial"/>
          <w:color w:val="000000" w:themeColor="text1"/>
          <w:sz w:val="20"/>
          <w:lang w:val="en-US"/>
        </w:rPr>
        <w:tab/>
      </w:r>
      <w:r w:rsidR="00E4105E" w:rsidRPr="003409C0">
        <w:rPr>
          <w:rFonts w:cs="Arial"/>
          <w:color w:val="000000" w:themeColor="text1"/>
          <w:sz w:val="20"/>
          <w:lang w:val="en-US"/>
        </w:rPr>
        <w:tab/>
      </w:r>
      <w:r w:rsidR="00E4105E" w:rsidRPr="003409C0">
        <w:rPr>
          <w:rFonts w:cs="Arial"/>
          <w:color w:val="000000" w:themeColor="text1"/>
          <w:sz w:val="20"/>
          <w:lang w:val="en-US"/>
        </w:rPr>
        <w:tab/>
        <w:t xml:space="preserve">Respective </w:t>
      </w:r>
    </w:p>
    <w:p w:rsidR="00B8383C" w:rsidRPr="003409C0" w:rsidRDefault="00B8383C" w:rsidP="00E4105E">
      <w:pPr>
        <w:autoSpaceDE w:val="0"/>
        <w:autoSpaceDN w:val="0"/>
        <w:adjustRightInd w:val="0"/>
        <w:ind w:firstLine="547"/>
        <w:rPr>
          <w:rFonts w:cs="Arial"/>
          <w:color w:val="000000" w:themeColor="text1"/>
          <w:sz w:val="20"/>
          <w:lang w:val="en-US"/>
        </w:rPr>
      </w:pPr>
      <w:r w:rsidRPr="003409C0">
        <w:rPr>
          <w:rFonts w:cs="Arial"/>
          <w:color w:val="000000" w:themeColor="text1"/>
          <w:sz w:val="20"/>
          <w:lang w:val="en-US"/>
        </w:rPr>
        <w:t>by airline company</w:t>
      </w:r>
      <w:r w:rsidR="00E4105E" w:rsidRPr="003409C0">
        <w:rPr>
          <w:rFonts w:cs="Arial"/>
          <w:color w:val="000000" w:themeColor="text1"/>
          <w:sz w:val="20"/>
          <w:lang w:val="en-US"/>
        </w:rPr>
        <w:tab/>
      </w:r>
      <w:r w:rsidR="00E4105E" w:rsidRPr="003409C0">
        <w:rPr>
          <w:rFonts w:cs="Arial"/>
          <w:color w:val="000000" w:themeColor="text1"/>
          <w:sz w:val="20"/>
          <w:lang w:val="en-US"/>
        </w:rPr>
        <w:tab/>
      </w:r>
      <w:r w:rsidR="00E4105E" w:rsidRPr="003409C0">
        <w:rPr>
          <w:rFonts w:cs="Arial"/>
          <w:color w:val="000000" w:themeColor="text1"/>
          <w:sz w:val="20"/>
          <w:lang w:val="en-US"/>
        </w:rPr>
        <w:tab/>
      </w:r>
      <w:r w:rsidR="00E4105E" w:rsidRPr="003409C0">
        <w:rPr>
          <w:rFonts w:cs="Arial"/>
          <w:color w:val="000000" w:themeColor="text1"/>
          <w:sz w:val="20"/>
          <w:lang w:val="en-US"/>
        </w:rPr>
        <w:tab/>
        <w:t>headings</w:t>
      </w:r>
    </w:p>
    <w:p w:rsidR="00B8383C" w:rsidRPr="00B8383C" w:rsidRDefault="00B8383C" w:rsidP="00E4105E">
      <w:pPr>
        <w:autoSpaceDE w:val="0"/>
        <w:autoSpaceDN w:val="0"/>
        <w:adjustRightInd w:val="0"/>
        <w:ind w:firstLine="547"/>
        <w:rPr>
          <w:rFonts w:cs="Arial"/>
          <w:color w:val="984806" w:themeColor="accent6" w:themeShade="80"/>
          <w:sz w:val="20"/>
          <w:lang w:val="en-US"/>
        </w:rPr>
      </w:pPr>
      <w:r w:rsidRPr="003409C0">
        <w:rPr>
          <w:rFonts w:cs="Arial"/>
          <w:color w:val="000000" w:themeColor="text1"/>
          <w:sz w:val="20"/>
          <w:lang w:val="en-US"/>
        </w:rPr>
        <w:t>recognized by Aviation</w:t>
      </w:r>
      <w:r w:rsidR="00716C91" w:rsidRPr="003409C0">
        <w:rPr>
          <w:rFonts w:cs="Arial"/>
          <w:color w:val="000000" w:themeColor="text1"/>
          <w:sz w:val="20"/>
          <w:lang w:val="en-US"/>
        </w:rPr>
        <w:t xml:space="preserve"> </w:t>
      </w:r>
      <w:r w:rsidRPr="003409C0">
        <w:rPr>
          <w:rFonts w:cs="Arial"/>
          <w:color w:val="000000" w:themeColor="text1"/>
          <w:sz w:val="20"/>
          <w:lang w:val="en-US"/>
        </w:rPr>
        <w:t>Division</w:t>
      </w:r>
      <w:r w:rsidR="00B96BD7" w:rsidRPr="003409C0">
        <w:rPr>
          <w:rFonts w:cs="Arial"/>
          <w:color w:val="000000" w:themeColor="text1"/>
          <w:sz w:val="20"/>
          <w:lang w:val="en-US"/>
        </w:rPr>
        <w:t>”]</w:t>
      </w:r>
    </w:p>
    <w:p w:rsidR="00E4105E" w:rsidRDefault="00E4105E" w:rsidP="00B8383C">
      <w:pPr>
        <w:autoSpaceDE w:val="0"/>
        <w:autoSpaceDN w:val="0"/>
        <w:adjustRightInd w:val="0"/>
        <w:rPr>
          <w:rFonts w:cs="Arial"/>
          <w:color w:val="984806" w:themeColor="accent6" w:themeShade="80"/>
          <w:sz w:val="20"/>
          <w:lang w:val="en-US"/>
        </w:rPr>
      </w:pPr>
    </w:p>
    <w:p w:rsidR="0089207E" w:rsidRDefault="00414447" w:rsidP="002F706B">
      <w:pPr>
        <w:autoSpaceDE w:val="0"/>
        <w:autoSpaceDN w:val="0"/>
        <w:adjustRightInd w:val="0"/>
        <w:jc w:val="both"/>
        <w:rPr>
          <w:rFonts w:cs="Arial"/>
          <w:color w:val="984806" w:themeColor="accent6" w:themeShade="80"/>
          <w:sz w:val="20"/>
          <w:lang w:val="en-US"/>
        </w:rPr>
      </w:pPr>
      <w:r w:rsidRPr="003409C0">
        <w:rPr>
          <w:rStyle w:val="FootnoteReference"/>
          <w:rFonts w:cs="Arial"/>
          <w:color w:val="000000" w:themeColor="text1"/>
          <w:sz w:val="20"/>
          <w:lang w:val="en-US"/>
        </w:rPr>
        <w:footnoteReference w:id="2337"/>
      </w:r>
      <w:r w:rsidR="0089207E" w:rsidRPr="003409C0">
        <w:rPr>
          <w:rFonts w:cs="Arial"/>
          <w:color w:val="000000" w:themeColor="text1"/>
          <w:sz w:val="20"/>
          <w:lang w:val="en-US"/>
        </w:rPr>
        <w:t>[</w:t>
      </w:r>
      <w:r w:rsidR="00685600">
        <w:rPr>
          <w:rFonts w:cs="Arial"/>
          <w:color w:val="984806" w:themeColor="accent6" w:themeShade="80"/>
          <w:sz w:val="20"/>
          <w:lang w:val="en-US"/>
        </w:rPr>
        <w:t xml:space="preserve"> </w:t>
      </w:r>
      <w:r w:rsidR="001E1028" w:rsidRPr="000E5E48">
        <w:rPr>
          <w:rStyle w:val="FootnoteReference"/>
          <w:rFonts w:cs="Arial"/>
          <w:snapToGrid w:val="0"/>
          <w:color w:val="0070C0"/>
          <w:sz w:val="20"/>
        </w:rPr>
        <w:footnoteReference w:id="2338"/>
      </w:r>
      <w:r w:rsidR="001E1028" w:rsidRPr="000E5E48">
        <w:rPr>
          <w:rFonts w:cs="Arial"/>
          <w:snapToGrid w:val="0"/>
          <w:color w:val="0070C0"/>
          <w:sz w:val="20"/>
        </w:rPr>
        <w:t>[   ]</w:t>
      </w:r>
      <w:r w:rsidR="001E1028">
        <w:rPr>
          <w:rFonts w:cs="Arial"/>
          <w:color w:val="984806" w:themeColor="accent6" w:themeShade="80"/>
          <w:sz w:val="20"/>
          <w:lang w:val="en-US"/>
        </w:rPr>
        <w:t xml:space="preserve"> </w:t>
      </w:r>
      <w:r w:rsidR="001E1028" w:rsidRPr="003409C0">
        <w:rPr>
          <w:rFonts w:cs="Arial"/>
          <w:color w:val="000000" w:themeColor="text1"/>
          <w:sz w:val="20"/>
          <w:lang w:val="en-US"/>
        </w:rPr>
        <w:t>]</w:t>
      </w:r>
      <w:r w:rsidR="00685600">
        <w:rPr>
          <w:rFonts w:cs="Arial"/>
          <w:color w:val="984806" w:themeColor="accent6" w:themeShade="80"/>
          <w:sz w:val="20"/>
          <w:lang w:val="en-US"/>
        </w:rPr>
        <w:t xml:space="preserve"> </w:t>
      </w:r>
      <w:r w:rsidR="00685600">
        <w:rPr>
          <w:rFonts w:cs="Arial"/>
          <w:szCs w:val="24"/>
        </w:rPr>
        <w:t xml:space="preserve"> </w:t>
      </w:r>
      <w:r w:rsidR="00685600">
        <w:rPr>
          <w:rFonts w:cs="Arial"/>
          <w:color w:val="984806" w:themeColor="accent6" w:themeShade="80"/>
          <w:sz w:val="20"/>
          <w:lang w:val="en-US"/>
        </w:rPr>
        <w:t xml:space="preserve">  </w:t>
      </w:r>
    </w:p>
    <w:p w:rsidR="0089207E" w:rsidRDefault="0089207E" w:rsidP="002F706B">
      <w:pPr>
        <w:autoSpaceDE w:val="0"/>
        <w:autoSpaceDN w:val="0"/>
        <w:adjustRightInd w:val="0"/>
        <w:jc w:val="both"/>
        <w:rPr>
          <w:rFonts w:cs="Arial"/>
          <w:color w:val="984806" w:themeColor="accent6" w:themeShade="80"/>
          <w:sz w:val="20"/>
          <w:lang w:val="en-US"/>
        </w:rPr>
      </w:pPr>
    </w:p>
    <w:p w:rsidR="00B8383C" w:rsidRPr="003409C0" w:rsidRDefault="00EA5869" w:rsidP="002F706B">
      <w:pPr>
        <w:autoSpaceDE w:val="0"/>
        <w:autoSpaceDN w:val="0"/>
        <w:adjustRightInd w:val="0"/>
        <w:jc w:val="both"/>
        <w:rPr>
          <w:rFonts w:cs="Arial"/>
          <w:color w:val="000000" w:themeColor="text1"/>
          <w:sz w:val="20"/>
          <w:lang w:val="en-US"/>
        </w:rPr>
      </w:pPr>
      <w:r w:rsidRPr="003409C0">
        <w:rPr>
          <w:rStyle w:val="FootnoteReference"/>
          <w:rFonts w:cs="Arial"/>
          <w:color w:val="000000" w:themeColor="text1"/>
          <w:sz w:val="20"/>
          <w:lang w:val="en-US"/>
        </w:rPr>
        <w:footnoteReference w:id="2339"/>
      </w:r>
      <w:r w:rsidRPr="003409C0">
        <w:rPr>
          <w:rFonts w:cs="Arial"/>
          <w:color w:val="000000" w:themeColor="text1"/>
          <w:sz w:val="20"/>
          <w:lang w:val="en-US"/>
        </w:rPr>
        <w:t>[“</w:t>
      </w:r>
      <w:r w:rsidR="00B8383C" w:rsidRPr="003409C0">
        <w:rPr>
          <w:rFonts w:cs="Arial"/>
          <w:color w:val="000000" w:themeColor="text1"/>
          <w:sz w:val="20"/>
          <w:lang w:val="en-US"/>
        </w:rPr>
        <w:t>(93) The provisions of sub-section (1) of section 154 shall</w:t>
      </w:r>
      <w:r w:rsidR="00D81A21" w:rsidRPr="003409C0">
        <w:rPr>
          <w:rFonts w:cs="Arial"/>
          <w:color w:val="000000" w:themeColor="text1"/>
          <w:sz w:val="20"/>
          <w:lang w:val="en-US"/>
        </w:rPr>
        <w:t xml:space="preserve"> </w:t>
      </w:r>
      <w:r w:rsidR="00B8383C" w:rsidRPr="003409C0">
        <w:rPr>
          <w:rFonts w:cs="Arial"/>
          <w:color w:val="000000" w:themeColor="text1"/>
          <w:sz w:val="20"/>
          <w:lang w:val="en-US"/>
        </w:rPr>
        <w:t>not apply to taxpayers</w:t>
      </w:r>
      <w:r w:rsidR="00D81A21" w:rsidRPr="003409C0">
        <w:rPr>
          <w:rFonts w:cs="Arial"/>
          <w:color w:val="000000" w:themeColor="text1"/>
          <w:sz w:val="20"/>
          <w:lang w:val="en-US"/>
        </w:rPr>
        <w:t xml:space="preserve"> </w:t>
      </w:r>
      <w:r w:rsidR="00B8383C" w:rsidRPr="003409C0">
        <w:rPr>
          <w:rFonts w:cs="Arial"/>
          <w:color w:val="000000" w:themeColor="text1"/>
          <w:sz w:val="20"/>
          <w:lang w:val="en-US"/>
        </w:rPr>
        <w:t>operating halal meat production and</w:t>
      </w:r>
      <w:r w:rsidR="00D81A21" w:rsidRPr="003409C0">
        <w:rPr>
          <w:rFonts w:cs="Arial"/>
          <w:color w:val="000000" w:themeColor="text1"/>
          <w:sz w:val="20"/>
          <w:lang w:val="en-US"/>
        </w:rPr>
        <w:t xml:space="preserve"> </w:t>
      </w:r>
      <w:r w:rsidR="00B8383C" w:rsidRPr="003409C0">
        <w:rPr>
          <w:rFonts w:cs="Arial"/>
          <w:color w:val="000000" w:themeColor="text1"/>
          <w:sz w:val="20"/>
          <w:lang w:val="en-US"/>
        </w:rPr>
        <w:t>qualifying for exemption under clause</w:t>
      </w:r>
      <w:r w:rsidR="00D33815" w:rsidRPr="003409C0">
        <w:rPr>
          <w:rFonts w:cs="Arial"/>
          <w:color w:val="000000" w:themeColor="text1"/>
          <w:sz w:val="20"/>
          <w:lang w:val="en-US"/>
        </w:rPr>
        <w:t xml:space="preserve"> </w:t>
      </w:r>
      <w:r w:rsidR="00B8383C" w:rsidRPr="003409C0">
        <w:rPr>
          <w:rFonts w:cs="Arial"/>
          <w:color w:val="000000" w:themeColor="text1"/>
          <w:sz w:val="20"/>
          <w:lang w:val="en-US"/>
        </w:rPr>
        <w:t>(126K) of Part-I of this</w:t>
      </w:r>
      <w:r w:rsidR="00D81A21" w:rsidRPr="003409C0">
        <w:rPr>
          <w:rFonts w:cs="Arial"/>
          <w:color w:val="000000" w:themeColor="text1"/>
          <w:sz w:val="20"/>
          <w:lang w:val="en-US"/>
        </w:rPr>
        <w:t xml:space="preserve"> </w:t>
      </w:r>
      <w:r w:rsidR="00B8383C" w:rsidRPr="003409C0">
        <w:rPr>
          <w:rFonts w:cs="Arial"/>
          <w:color w:val="000000" w:themeColor="text1"/>
          <w:sz w:val="20"/>
          <w:lang w:val="en-US"/>
        </w:rPr>
        <w:t>Schedule for the period specified in clause (126K).</w:t>
      </w:r>
      <w:r w:rsidR="002F706B" w:rsidRPr="003409C0">
        <w:rPr>
          <w:rFonts w:cs="Arial"/>
          <w:color w:val="000000" w:themeColor="text1"/>
          <w:sz w:val="20"/>
          <w:lang w:val="en-US"/>
        </w:rPr>
        <w:t>”]</w:t>
      </w:r>
    </w:p>
    <w:p w:rsidR="00B53FFD" w:rsidRPr="003409C0" w:rsidRDefault="00B53FFD" w:rsidP="002F706B">
      <w:pPr>
        <w:autoSpaceDE w:val="0"/>
        <w:autoSpaceDN w:val="0"/>
        <w:adjustRightInd w:val="0"/>
        <w:jc w:val="both"/>
        <w:rPr>
          <w:rFonts w:cs="Arial"/>
          <w:color w:val="000000" w:themeColor="text1"/>
          <w:sz w:val="20"/>
          <w:lang w:val="en-US"/>
        </w:rPr>
      </w:pPr>
    </w:p>
    <w:p w:rsidR="00631436" w:rsidRPr="003409C0" w:rsidRDefault="00631436" w:rsidP="00716C91">
      <w:pPr>
        <w:spacing w:before="36" w:after="216"/>
        <w:jc w:val="both"/>
        <w:rPr>
          <w:color w:val="000000" w:themeColor="text1"/>
          <w:sz w:val="20"/>
        </w:rPr>
      </w:pPr>
      <w:r w:rsidRPr="003409C0">
        <w:rPr>
          <w:rStyle w:val="FootnoteReference"/>
          <w:color w:val="000000" w:themeColor="text1"/>
          <w:sz w:val="20"/>
        </w:rPr>
        <w:footnoteReference w:id="2340"/>
      </w:r>
      <w:r w:rsidRPr="003409C0">
        <w:rPr>
          <w:color w:val="000000" w:themeColor="text1"/>
          <w:sz w:val="20"/>
        </w:rPr>
        <w:t xml:space="preserve">["(94) The provisions of clause (b) of the proviso to sub-section (3) of section 153 shall not apply for </w:t>
      </w:r>
      <w:r w:rsidR="007C570A" w:rsidRPr="003409C0">
        <w:rPr>
          <w:rStyle w:val="FootnoteReference"/>
          <w:color w:val="000000" w:themeColor="text1"/>
          <w:sz w:val="20"/>
        </w:rPr>
        <w:footnoteReference w:id="2341"/>
      </w:r>
      <w:r w:rsidR="00831A93" w:rsidRPr="003409C0">
        <w:rPr>
          <w:color w:val="000000" w:themeColor="text1"/>
          <w:sz w:val="20"/>
        </w:rPr>
        <w:t>[“</w:t>
      </w:r>
      <w:r w:rsidR="00831A93" w:rsidRPr="003409C0">
        <w:rPr>
          <w:rFonts w:cs="Arial"/>
          <w:color w:val="000000" w:themeColor="text1"/>
          <w:sz w:val="20"/>
        </w:rPr>
        <w:t>the period beginning on the first day of July, 2015 and ending on the thirtieth day of June,</w:t>
      </w:r>
      <w:r w:rsidR="00831A93" w:rsidRPr="00831A93">
        <w:rPr>
          <w:rFonts w:cs="Arial"/>
          <w:color w:val="7030A0"/>
          <w:sz w:val="20"/>
        </w:rPr>
        <w:t xml:space="preserve"> </w:t>
      </w:r>
      <w:r w:rsidR="00685600" w:rsidRPr="000E5E48">
        <w:rPr>
          <w:rStyle w:val="FootnoteReference"/>
          <w:rFonts w:cs="Arial"/>
          <w:color w:val="0070C0"/>
          <w:sz w:val="20"/>
        </w:rPr>
        <w:footnoteReference w:id="2342"/>
      </w:r>
      <w:r w:rsidR="00685600" w:rsidRPr="000E5E48">
        <w:rPr>
          <w:rFonts w:cs="Arial"/>
          <w:color w:val="0070C0"/>
          <w:sz w:val="20"/>
        </w:rPr>
        <w:t>[</w:t>
      </w:r>
      <w:r w:rsidR="00831A93" w:rsidRPr="000E5E48">
        <w:rPr>
          <w:rFonts w:cs="Arial"/>
          <w:color w:val="0070C0"/>
          <w:sz w:val="20"/>
        </w:rPr>
        <w:t>201</w:t>
      </w:r>
      <w:r w:rsidR="00685600" w:rsidRPr="000E5E48">
        <w:rPr>
          <w:rFonts w:cs="Arial"/>
          <w:color w:val="0070C0"/>
          <w:sz w:val="20"/>
        </w:rPr>
        <w:t>7]</w:t>
      </w:r>
      <w:r w:rsidR="00685600">
        <w:rPr>
          <w:rFonts w:cs="Arial"/>
          <w:color w:val="7030A0"/>
          <w:sz w:val="20"/>
        </w:rPr>
        <w:t xml:space="preserve"> </w:t>
      </w:r>
      <w:r w:rsidR="00650988" w:rsidRPr="003409C0">
        <w:rPr>
          <w:rFonts w:cs="Arial"/>
          <w:color w:val="000000" w:themeColor="text1"/>
          <w:sz w:val="20"/>
        </w:rPr>
        <w:t>]</w:t>
      </w:r>
      <w:r w:rsidR="00831A93" w:rsidRPr="003409C0">
        <w:rPr>
          <w:color w:val="000000" w:themeColor="text1"/>
        </w:rPr>
        <w:t xml:space="preserve"> </w:t>
      </w:r>
      <w:r w:rsidRPr="003409C0">
        <w:rPr>
          <w:color w:val="000000" w:themeColor="text1"/>
          <w:sz w:val="20"/>
        </w:rPr>
        <w:t>to a company being a filer and engaged in providing or rendering freight forwarding services, air cargo services, courier services, manpower outsourcing services, hotel services, security guard services, software development services,</w:t>
      </w:r>
      <w:r w:rsidR="009D08E6" w:rsidRPr="009D08E6">
        <w:rPr>
          <w:rFonts w:cs="Arial"/>
          <w:color w:val="FF0000"/>
          <w:sz w:val="20"/>
        </w:rPr>
        <w:t xml:space="preserve"> </w:t>
      </w:r>
      <w:r w:rsidR="009D08E6" w:rsidRPr="000E5E48">
        <w:rPr>
          <w:rStyle w:val="FootnoteReference"/>
          <w:rFonts w:cs="Arial"/>
          <w:color w:val="0070C0"/>
          <w:sz w:val="20"/>
        </w:rPr>
        <w:footnoteReference w:id="2343"/>
      </w:r>
      <w:r w:rsidR="009D08E6" w:rsidRPr="000E5E48">
        <w:rPr>
          <w:rFonts w:cs="Arial"/>
          <w:color w:val="0070C0"/>
          <w:sz w:val="20"/>
        </w:rPr>
        <w:t>[“IT services and IT enabled services as defined in clause (133) of Part I of this Schedule”]</w:t>
      </w:r>
      <w:r w:rsidR="009D08E6" w:rsidRPr="00AE4931">
        <w:rPr>
          <w:rFonts w:cs="Arial"/>
          <w:szCs w:val="24"/>
        </w:rPr>
        <w:t xml:space="preserve"> </w:t>
      </w:r>
      <w:r w:rsidRPr="003409C0">
        <w:rPr>
          <w:color w:val="000000" w:themeColor="text1"/>
          <w:sz w:val="20"/>
        </w:rPr>
        <w:t>tracking services, advertising services (other than by print or electronic media), share registrar services, engineering services or car rental services:</w:t>
      </w:r>
    </w:p>
    <w:p w:rsidR="00AA4BF8" w:rsidRPr="0087301F" w:rsidRDefault="00631436" w:rsidP="006F678B">
      <w:pPr>
        <w:ind w:firstLine="630"/>
        <w:jc w:val="both"/>
        <w:rPr>
          <w:snapToGrid w:val="0"/>
          <w:color w:val="0070C0"/>
          <w:sz w:val="20"/>
        </w:rPr>
      </w:pPr>
      <w:r w:rsidRPr="003409C0">
        <w:rPr>
          <w:color w:val="000000" w:themeColor="text1"/>
          <w:sz w:val="20"/>
        </w:rPr>
        <w:t>Provided that the tax payable or paid on the income from providing or rendering aforesaid services shall not be less than two percent of the gross amount of turnover from all sources and that the company furnishes in writing an irrevocable undertaking by the fifteenth day of November, 2015 to present its accounts to the Commissioner within thirty days of filing of return, for audit of its income tax affairs for tax year 2016</w:t>
      </w:r>
      <w:r w:rsidR="00FA2508">
        <w:rPr>
          <w:color w:val="7030A0"/>
          <w:sz w:val="20"/>
        </w:rPr>
        <w:t xml:space="preserve"> </w:t>
      </w:r>
      <w:r w:rsidR="00FA2508" w:rsidRPr="0087301F">
        <w:rPr>
          <w:rStyle w:val="FootnoteReference"/>
          <w:color w:val="0070C0"/>
          <w:sz w:val="20"/>
        </w:rPr>
        <w:footnoteReference w:id="2344"/>
      </w:r>
      <w:r w:rsidR="00FA2508" w:rsidRPr="0087301F">
        <w:rPr>
          <w:color w:val="0070C0"/>
          <w:sz w:val="20"/>
        </w:rPr>
        <w:t>[“or 2017, as the case may be”]</w:t>
      </w:r>
      <w:r w:rsidR="00B335B7" w:rsidRPr="0087301F">
        <w:rPr>
          <w:color w:val="0070C0"/>
          <w:sz w:val="20"/>
        </w:rPr>
        <w:t xml:space="preserve"> </w:t>
      </w:r>
      <w:r w:rsidR="00B335B7" w:rsidRPr="0087301F">
        <w:rPr>
          <w:rStyle w:val="FootnoteReference"/>
          <w:snapToGrid w:val="0"/>
          <w:color w:val="0070C0"/>
          <w:sz w:val="20"/>
        </w:rPr>
        <w:footnoteReference w:id="2345"/>
      </w:r>
      <w:r w:rsidR="00B335B7" w:rsidRPr="0087301F">
        <w:rPr>
          <w:color w:val="0070C0"/>
          <w:sz w:val="20"/>
        </w:rPr>
        <w:t xml:space="preserve">[:] </w:t>
      </w:r>
      <w:r w:rsidRPr="0087301F">
        <w:rPr>
          <w:color w:val="0070C0"/>
          <w:sz w:val="20"/>
        </w:rPr>
        <w:t>”]</w:t>
      </w:r>
    </w:p>
    <w:p w:rsidR="00AA4BF8" w:rsidRPr="0087301F" w:rsidRDefault="00AA4BF8" w:rsidP="00AA4BF8">
      <w:pPr>
        <w:rPr>
          <w:snapToGrid w:val="0"/>
          <w:color w:val="0070C0"/>
          <w:sz w:val="20"/>
        </w:rPr>
      </w:pPr>
    </w:p>
    <w:p w:rsidR="00D508AF" w:rsidRPr="000E5E48" w:rsidRDefault="00B335B7" w:rsidP="00B335B7">
      <w:pPr>
        <w:jc w:val="both"/>
        <w:rPr>
          <w:snapToGrid w:val="0"/>
          <w:color w:val="0070C0"/>
          <w:sz w:val="20"/>
        </w:rPr>
      </w:pPr>
      <w:r>
        <w:rPr>
          <w:snapToGrid w:val="0"/>
          <w:color w:val="0070C0"/>
          <w:sz w:val="20"/>
        </w:rPr>
        <w:tab/>
      </w:r>
      <w:r w:rsidRPr="000E5E48">
        <w:rPr>
          <w:rStyle w:val="FootnoteReference"/>
          <w:snapToGrid w:val="0"/>
          <w:color w:val="0070C0"/>
          <w:sz w:val="20"/>
        </w:rPr>
        <w:footnoteReference w:id="2346"/>
      </w:r>
      <w:r w:rsidRPr="000E5E48">
        <w:rPr>
          <w:rFonts w:cs="Arial"/>
          <w:color w:val="0070C0"/>
          <w:sz w:val="20"/>
        </w:rPr>
        <w:t>[“Provided further that for tax year 2017, the company shall furnish irrevocable undertaking by November, 2016, to present its accounts to the Commissioner.”]</w:t>
      </w:r>
    </w:p>
    <w:p w:rsidR="00D508AF" w:rsidRPr="000E5E48" w:rsidRDefault="00D508AF" w:rsidP="00AA4BF8">
      <w:pPr>
        <w:rPr>
          <w:snapToGrid w:val="0"/>
          <w:color w:val="0070C0"/>
          <w:sz w:val="20"/>
        </w:rPr>
      </w:pPr>
    </w:p>
    <w:p w:rsidR="00287F26" w:rsidRPr="000E5E48" w:rsidRDefault="00287F26" w:rsidP="00287F26">
      <w:pPr>
        <w:autoSpaceDE w:val="0"/>
        <w:autoSpaceDN w:val="0"/>
        <w:adjustRightInd w:val="0"/>
        <w:jc w:val="both"/>
        <w:rPr>
          <w:rFonts w:cs="Arial"/>
          <w:color w:val="0070C0"/>
          <w:sz w:val="20"/>
        </w:rPr>
      </w:pPr>
      <w:r w:rsidRPr="000E5E48">
        <w:rPr>
          <w:rStyle w:val="FootnoteReference"/>
          <w:rFonts w:cs="Arial"/>
          <w:color w:val="0070C0"/>
          <w:sz w:val="20"/>
        </w:rPr>
        <w:footnoteReference w:id="2347"/>
      </w:r>
      <w:r w:rsidRPr="000E5E48">
        <w:rPr>
          <w:rFonts w:cs="Arial"/>
          <w:color w:val="0070C0"/>
          <w:sz w:val="20"/>
        </w:rPr>
        <w:t>[“</w:t>
      </w:r>
      <w:r w:rsidRPr="000E5E48">
        <w:rPr>
          <w:rFonts w:cs="Arial"/>
          <w:snapToGrid w:val="0"/>
          <w:color w:val="0070C0"/>
          <w:sz w:val="20"/>
        </w:rPr>
        <w:t>(95)</w:t>
      </w:r>
      <w:r w:rsidR="00862CE9" w:rsidRPr="000E5E48">
        <w:rPr>
          <w:rFonts w:cs="Arial"/>
          <w:snapToGrid w:val="0"/>
          <w:color w:val="0070C0"/>
          <w:sz w:val="20"/>
        </w:rPr>
        <w:t xml:space="preserve">  </w:t>
      </w:r>
      <w:r w:rsidRPr="000E5E48">
        <w:rPr>
          <w:rFonts w:cs="Arial"/>
          <w:snapToGrid w:val="0"/>
          <w:color w:val="0070C0"/>
          <w:sz w:val="20"/>
        </w:rPr>
        <w:t xml:space="preserve">the provisions of sections 147, 151, 152, 231A, 231AA, 236A and 236K shall not apply to “The </w:t>
      </w:r>
      <w:r w:rsidRPr="000E5E48">
        <w:rPr>
          <w:rFonts w:cs="Arial"/>
          <w:color w:val="0070C0"/>
          <w:sz w:val="20"/>
        </w:rPr>
        <w:t>Second Pakistan International Sukuk Company Limited”, as a payer.”]</w:t>
      </w:r>
    </w:p>
    <w:p w:rsidR="00287F26" w:rsidRPr="000E5E48" w:rsidRDefault="00287F26" w:rsidP="00287F26">
      <w:pPr>
        <w:autoSpaceDE w:val="0"/>
        <w:autoSpaceDN w:val="0"/>
        <w:adjustRightInd w:val="0"/>
        <w:jc w:val="both"/>
        <w:rPr>
          <w:rFonts w:cs="Arial"/>
          <w:color w:val="0070C0"/>
          <w:sz w:val="16"/>
        </w:rPr>
      </w:pPr>
    </w:p>
    <w:p w:rsidR="00287F26" w:rsidRPr="000E5E48" w:rsidRDefault="00862CE9" w:rsidP="00287F26">
      <w:pPr>
        <w:autoSpaceDE w:val="0"/>
        <w:autoSpaceDN w:val="0"/>
        <w:adjustRightInd w:val="0"/>
        <w:jc w:val="both"/>
        <w:rPr>
          <w:rFonts w:cs="Arial"/>
          <w:snapToGrid w:val="0"/>
          <w:color w:val="0070C0"/>
          <w:sz w:val="20"/>
        </w:rPr>
      </w:pPr>
      <w:r w:rsidRPr="000E5E48">
        <w:rPr>
          <w:rStyle w:val="FootnoteReference"/>
          <w:rFonts w:cs="Arial"/>
          <w:color w:val="0070C0"/>
          <w:sz w:val="20"/>
        </w:rPr>
        <w:footnoteReference w:id="2348"/>
      </w:r>
      <w:r w:rsidR="00287F26" w:rsidRPr="000E5E48">
        <w:rPr>
          <w:rFonts w:cs="Arial"/>
          <w:color w:val="0070C0"/>
          <w:sz w:val="20"/>
        </w:rPr>
        <w:t>[“(96)</w:t>
      </w:r>
      <w:r w:rsidRPr="000E5E48">
        <w:rPr>
          <w:rFonts w:cs="Arial"/>
          <w:color w:val="0070C0"/>
          <w:sz w:val="20"/>
        </w:rPr>
        <w:t xml:space="preserve">  </w:t>
      </w:r>
      <w:r w:rsidR="00287F26" w:rsidRPr="000E5E48">
        <w:rPr>
          <w:rFonts w:cs="Arial"/>
          <w:snapToGrid w:val="0"/>
          <w:color w:val="0070C0"/>
          <w:sz w:val="20"/>
        </w:rPr>
        <w:t xml:space="preserve">the provisions of sections 147, 151 and 155 shall not apply to “The </w:t>
      </w:r>
      <w:r w:rsidR="00287F26" w:rsidRPr="000E5E48">
        <w:rPr>
          <w:rFonts w:cs="Arial"/>
          <w:color w:val="0070C0"/>
          <w:sz w:val="20"/>
        </w:rPr>
        <w:t>Second Pakistan International Sukuk Company Limited”, as a recipient.”]</w:t>
      </w:r>
      <w:r w:rsidR="00287F26" w:rsidRPr="000E5E48">
        <w:rPr>
          <w:rFonts w:cs="Arial"/>
          <w:color w:val="0070C0"/>
          <w:szCs w:val="24"/>
        </w:rPr>
        <w:t xml:space="preserve"> </w:t>
      </w:r>
      <w:r w:rsidR="00287F26" w:rsidRPr="000E5E48">
        <w:rPr>
          <w:rFonts w:cs="Arial"/>
          <w:color w:val="0070C0"/>
          <w:sz w:val="20"/>
          <w:lang w:val="en-US"/>
        </w:rPr>
        <w:t xml:space="preserve">  </w:t>
      </w:r>
    </w:p>
    <w:p w:rsidR="00287F26" w:rsidRDefault="00287F26" w:rsidP="00287F26">
      <w:pPr>
        <w:rPr>
          <w:snapToGrid w:val="0"/>
          <w:color w:val="0070C0"/>
          <w:sz w:val="20"/>
        </w:rPr>
      </w:pPr>
    </w:p>
    <w:p w:rsidR="00287F26" w:rsidRPr="000E5E48" w:rsidRDefault="00CD018A" w:rsidP="00287F26">
      <w:pPr>
        <w:spacing w:before="36" w:after="216"/>
        <w:jc w:val="both"/>
        <w:rPr>
          <w:color w:val="0070C0"/>
          <w:sz w:val="20"/>
        </w:rPr>
      </w:pPr>
      <w:r w:rsidRPr="000E5E48">
        <w:rPr>
          <w:rStyle w:val="FootnoteReference"/>
          <w:rFonts w:cs="Arial"/>
          <w:color w:val="0070C0"/>
          <w:sz w:val="20"/>
        </w:rPr>
        <w:lastRenderedPageBreak/>
        <w:footnoteReference w:id="2349"/>
      </w:r>
      <w:r w:rsidR="00287F26" w:rsidRPr="000E5E48">
        <w:rPr>
          <w:rFonts w:cs="Arial"/>
          <w:color w:val="0070C0"/>
          <w:sz w:val="20"/>
        </w:rPr>
        <w:t>[</w:t>
      </w:r>
      <w:r w:rsidRPr="000E5E48">
        <w:rPr>
          <w:rFonts w:cs="Arial"/>
          <w:color w:val="0070C0"/>
          <w:sz w:val="20"/>
        </w:rPr>
        <w:t xml:space="preserve">“(97) </w:t>
      </w:r>
      <w:r w:rsidR="00287F26" w:rsidRPr="000E5E48">
        <w:rPr>
          <w:rFonts w:cs="Arial"/>
          <w:color w:val="0070C0"/>
          <w:sz w:val="20"/>
        </w:rPr>
        <w:t>the</w:t>
      </w:r>
      <w:r w:rsidR="00287F26" w:rsidRPr="000E5E48">
        <w:rPr>
          <w:rFonts w:cs="Arial"/>
          <w:snapToGrid w:val="0"/>
          <w:color w:val="0070C0"/>
          <w:sz w:val="20"/>
        </w:rPr>
        <w:t xml:space="preserve"> provision of section 236C shall not apply to “</w:t>
      </w:r>
      <w:r w:rsidR="00287F26" w:rsidRPr="000E5E48">
        <w:rPr>
          <w:rFonts w:cs="Arial"/>
          <w:color w:val="0070C0"/>
          <w:sz w:val="20"/>
        </w:rPr>
        <w:t>Pakistan International Sukuk Company Limited.”]</w:t>
      </w:r>
    </w:p>
    <w:p w:rsidR="00287F26" w:rsidRPr="000E5E48" w:rsidRDefault="00287F26" w:rsidP="00971453">
      <w:pPr>
        <w:jc w:val="both"/>
        <w:rPr>
          <w:rFonts w:cs="Arial"/>
          <w:bCs/>
          <w:color w:val="0070C0"/>
          <w:sz w:val="20"/>
        </w:rPr>
      </w:pPr>
    </w:p>
    <w:p w:rsidR="00971453" w:rsidRPr="000E5E48" w:rsidRDefault="00803237" w:rsidP="00971453">
      <w:pPr>
        <w:jc w:val="both"/>
        <w:rPr>
          <w:rFonts w:cs="Arial"/>
          <w:color w:val="0070C0"/>
          <w:sz w:val="20"/>
        </w:rPr>
      </w:pPr>
      <w:r w:rsidRPr="000E5E48">
        <w:rPr>
          <w:rStyle w:val="FootnoteReference"/>
          <w:snapToGrid w:val="0"/>
          <w:color w:val="0070C0"/>
          <w:sz w:val="20"/>
        </w:rPr>
        <w:footnoteReference w:id="2350"/>
      </w:r>
      <w:r w:rsidR="00971453" w:rsidRPr="000E5E48">
        <w:rPr>
          <w:rFonts w:cs="Arial"/>
          <w:bCs/>
          <w:color w:val="0070C0"/>
          <w:sz w:val="20"/>
        </w:rPr>
        <w:t>[“</w:t>
      </w:r>
      <w:r w:rsidR="00971453" w:rsidRPr="000E5E48">
        <w:rPr>
          <w:rFonts w:cs="Arial"/>
          <w:color w:val="0070C0"/>
          <w:sz w:val="20"/>
        </w:rPr>
        <w:t>(98) The provisions of section 148 shall not apply to import of ships and other floating crafts including tugs, survey vessels and other specialized crafts purchased or bare-boat chartered by a Pakistani entity and flying Pakistani flag:</w:t>
      </w:r>
    </w:p>
    <w:p w:rsidR="00971453" w:rsidRPr="000E5E48" w:rsidRDefault="00971453" w:rsidP="00971453">
      <w:pPr>
        <w:jc w:val="both"/>
        <w:rPr>
          <w:rFonts w:cs="Arial"/>
          <w:color w:val="0070C0"/>
          <w:sz w:val="20"/>
        </w:rPr>
      </w:pPr>
    </w:p>
    <w:p w:rsidR="00971453" w:rsidRPr="000E5E48" w:rsidRDefault="00971453" w:rsidP="00971453">
      <w:pPr>
        <w:ind w:left="720" w:firstLine="630"/>
        <w:jc w:val="both"/>
        <w:rPr>
          <w:rFonts w:cs="Arial"/>
          <w:color w:val="0070C0"/>
          <w:sz w:val="20"/>
        </w:rPr>
      </w:pPr>
      <w:r w:rsidRPr="000E5E48">
        <w:rPr>
          <w:rFonts w:cs="Arial"/>
          <w:color w:val="0070C0"/>
          <w:sz w:val="20"/>
        </w:rPr>
        <w:t>Provided that exemption under this clause shall be available up to the year 2020, subject to the condition that the ships and crafts are used for the purpose for which they were procured, and in case such ships and crafts are used for demolition purposes, tax collectible under section 148, applicable to ships and crafts purchased for demolition purposes, shall be chargeable.</w:t>
      </w:r>
      <w:r w:rsidR="00F66836" w:rsidRPr="000E5E48">
        <w:rPr>
          <w:rFonts w:cs="Arial"/>
          <w:color w:val="0070C0"/>
          <w:sz w:val="20"/>
        </w:rPr>
        <w:t>]</w:t>
      </w:r>
    </w:p>
    <w:p w:rsidR="00971453" w:rsidRPr="000E5E48" w:rsidRDefault="00971453" w:rsidP="00971453">
      <w:pPr>
        <w:ind w:left="720" w:firstLine="630"/>
        <w:jc w:val="both"/>
        <w:rPr>
          <w:rFonts w:cs="Arial"/>
          <w:color w:val="0070C0"/>
          <w:sz w:val="20"/>
        </w:rPr>
      </w:pPr>
    </w:p>
    <w:p w:rsidR="00AA4BF8" w:rsidRPr="000E5E48" w:rsidRDefault="00803237" w:rsidP="00971453">
      <w:pPr>
        <w:jc w:val="both"/>
        <w:rPr>
          <w:snapToGrid w:val="0"/>
          <w:color w:val="0070C0"/>
          <w:sz w:val="20"/>
        </w:rPr>
      </w:pPr>
      <w:r w:rsidRPr="000E5E48">
        <w:rPr>
          <w:rStyle w:val="FootnoteReference"/>
          <w:snapToGrid w:val="0"/>
          <w:color w:val="0070C0"/>
          <w:sz w:val="20"/>
        </w:rPr>
        <w:footnoteReference w:id="2351"/>
      </w:r>
      <w:r w:rsidR="00F66836" w:rsidRPr="000E5E48">
        <w:rPr>
          <w:rFonts w:cs="Arial"/>
          <w:color w:val="0070C0"/>
          <w:sz w:val="20"/>
        </w:rPr>
        <w:t>[</w:t>
      </w:r>
      <w:r w:rsidR="00971453" w:rsidRPr="000E5E48">
        <w:rPr>
          <w:rFonts w:cs="Arial"/>
          <w:color w:val="0070C0"/>
          <w:sz w:val="20"/>
        </w:rPr>
        <w:t>(99) The provisions of section 148 shall not apply to import or acquisition of aircraft on wet or dry lease by M/s Pakistan International Airlines Corporation with effect from 19</w:t>
      </w:r>
      <w:r w:rsidR="00971453" w:rsidRPr="000E5E48">
        <w:rPr>
          <w:rFonts w:cs="Arial"/>
          <w:color w:val="0070C0"/>
          <w:sz w:val="20"/>
          <w:vertAlign w:val="superscript"/>
        </w:rPr>
        <w:t>th</w:t>
      </w:r>
      <w:r w:rsidR="00971453" w:rsidRPr="000E5E48">
        <w:rPr>
          <w:rFonts w:cs="Arial"/>
          <w:color w:val="0070C0"/>
          <w:sz w:val="20"/>
        </w:rPr>
        <w:t xml:space="preserve"> March, 2015.”]</w:t>
      </w:r>
    </w:p>
    <w:p w:rsidR="00AA4BF8" w:rsidRPr="000E5E48" w:rsidRDefault="00AA4BF8" w:rsidP="00AA4BF8">
      <w:pPr>
        <w:rPr>
          <w:snapToGrid w:val="0"/>
          <w:color w:val="0070C0"/>
          <w:sz w:val="20"/>
        </w:rPr>
      </w:pPr>
    </w:p>
    <w:p w:rsidR="00AA4BF8" w:rsidRPr="00412620" w:rsidRDefault="00AA4BF8" w:rsidP="00AA4BF8">
      <w:pPr>
        <w:jc w:val="center"/>
        <w:rPr>
          <w:b/>
          <w:bCs/>
          <w:sz w:val="32"/>
          <w:szCs w:val="32"/>
        </w:rPr>
      </w:pPr>
      <w:r w:rsidRPr="00412620">
        <w:rPr>
          <w:snapToGrid w:val="0"/>
          <w:sz w:val="20"/>
        </w:rPr>
        <w:br w:type="page"/>
      </w:r>
      <w:r w:rsidRPr="00412620">
        <w:rPr>
          <w:b/>
          <w:bCs/>
          <w:sz w:val="32"/>
          <w:szCs w:val="32"/>
        </w:rPr>
        <w:lastRenderedPageBreak/>
        <w:t>THE THIRD SCHEDULE</w:t>
      </w:r>
    </w:p>
    <w:p w:rsidR="00AA4BF8" w:rsidRPr="00412620" w:rsidRDefault="00AA4BF8" w:rsidP="00AA4BF8">
      <w:pPr>
        <w:pStyle w:val="Heading2"/>
        <w:spacing w:line="240" w:lineRule="auto"/>
        <w:rPr>
          <w:sz w:val="20"/>
        </w:rPr>
      </w:pPr>
      <w:r w:rsidRPr="00412620">
        <w:rPr>
          <w:rStyle w:val="FootnoteReference"/>
          <w:rFonts w:cs="Arial"/>
          <w:sz w:val="20"/>
        </w:rPr>
        <w:footnoteReference w:id="2352"/>
      </w:r>
      <w:r w:rsidRPr="00412620">
        <w:rPr>
          <w:b w:val="0"/>
          <w:sz w:val="32"/>
          <w:szCs w:val="32"/>
        </w:rPr>
        <w:t>[PART-I</w:t>
      </w:r>
    </w:p>
    <w:p w:rsidR="00AA4BF8" w:rsidRPr="00412620" w:rsidRDefault="00AA4BF8" w:rsidP="00AA4BF8">
      <w:pPr>
        <w:keepNext/>
        <w:jc w:val="center"/>
        <w:rPr>
          <w:b/>
          <w:bCs/>
          <w:sz w:val="20"/>
        </w:rPr>
      </w:pPr>
      <w:r w:rsidRPr="00412620">
        <w:rPr>
          <w:b/>
          <w:bCs/>
          <w:sz w:val="20"/>
        </w:rPr>
        <w:t>DEPRECIATION</w:t>
      </w:r>
    </w:p>
    <w:p w:rsidR="00AA4BF8" w:rsidRPr="00412620" w:rsidRDefault="00AA4BF8" w:rsidP="00AA4BF8">
      <w:pPr>
        <w:keepNext/>
        <w:jc w:val="center"/>
        <w:rPr>
          <w:sz w:val="20"/>
        </w:rPr>
      </w:pPr>
      <w:r w:rsidRPr="00412620">
        <w:rPr>
          <w:b/>
          <w:bCs/>
          <w:sz w:val="20"/>
        </w:rPr>
        <w:t>(</w:t>
      </w:r>
      <w:r w:rsidRPr="00412620">
        <w:rPr>
          <w:i/>
          <w:iCs/>
          <w:sz w:val="20"/>
        </w:rPr>
        <w:t>See Section 22</w:t>
      </w:r>
      <w:r w:rsidRPr="00412620">
        <w:rPr>
          <w:b/>
          <w:bCs/>
          <w:sz w:val="20"/>
        </w:rPr>
        <w:t>)</w:t>
      </w:r>
    </w:p>
    <w:p w:rsidR="00AA4BF8" w:rsidRPr="00412620" w:rsidRDefault="00AA4BF8" w:rsidP="00AA4BF8">
      <w:pPr>
        <w:keepNext/>
        <w:jc w:val="center"/>
        <w:rPr>
          <w:sz w:val="10"/>
          <w:szCs w:val="10"/>
        </w:rPr>
      </w:pPr>
    </w:p>
    <w:p w:rsidR="00AA4BF8" w:rsidRPr="00412620" w:rsidRDefault="00AA4BF8" w:rsidP="00AA4BF8">
      <w:pPr>
        <w:jc w:val="both"/>
        <w:rPr>
          <w:sz w:val="20"/>
        </w:rPr>
      </w:pPr>
      <w:r w:rsidRPr="00412620">
        <w:rPr>
          <w:sz w:val="20"/>
        </w:rPr>
        <w:t>Depreciation rates specified for the purposes of section 22 shall be, —</w:t>
      </w:r>
    </w:p>
    <w:p w:rsidR="00AA4BF8" w:rsidRPr="00412620" w:rsidRDefault="00AA4BF8" w:rsidP="00AA4BF8">
      <w:pPr>
        <w:jc w:val="both"/>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0"/>
        <w:gridCol w:w="4230"/>
        <w:gridCol w:w="990"/>
      </w:tblGrid>
      <w:tr w:rsidR="00AA4BF8" w:rsidRPr="00412620" w:rsidTr="00A752DD">
        <w:tc>
          <w:tcPr>
            <w:tcW w:w="720" w:type="dxa"/>
          </w:tcPr>
          <w:p w:rsidR="00AA4BF8" w:rsidRPr="00412620" w:rsidRDefault="00AA4BF8" w:rsidP="00A752DD">
            <w:pPr>
              <w:jc w:val="center"/>
              <w:rPr>
                <w:sz w:val="20"/>
              </w:rPr>
            </w:pPr>
            <w:r w:rsidRPr="00412620">
              <w:rPr>
                <w:sz w:val="20"/>
              </w:rPr>
              <w:lastRenderedPageBreak/>
              <w:t>I.</w:t>
            </w:r>
          </w:p>
        </w:tc>
        <w:tc>
          <w:tcPr>
            <w:tcW w:w="4230" w:type="dxa"/>
          </w:tcPr>
          <w:p w:rsidR="00AA4BF8" w:rsidRPr="00412620" w:rsidRDefault="00AA4BF8" w:rsidP="00A752DD">
            <w:pPr>
              <w:jc w:val="both"/>
              <w:rPr>
                <w:sz w:val="20"/>
              </w:rPr>
            </w:pPr>
            <w:r w:rsidRPr="00412620">
              <w:rPr>
                <w:sz w:val="20"/>
              </w:rPr>
              <w:t>Building (all types).</w:t>
            </w:r>
          </w:p>
          <w:p w:rsidR="00AA4BF8" w:rsidRPr="00412620" w:rsidRDefault="00AA4BF8" w:rsidP="00A752DD">
            <w:pPr>
              <w:jc w:val="both"/>
              <w:rPr>
                <w:sz w:val="20"/>
              </w:rPr>
            </w:pPr>
          </w:p>
        </w:tc>
        <w:tc>
          <w:tcPr>
            <w:tcW w:w="990" w:type="dxa"/>
          </w:tcPr>
          <w:p w:rsidR="00AA4BF8" w:rsidRPr="00412620" w:rsidRDefault="00AA4BF8" w:rsidP="00A752DD">
            <w:pPr>
              <w:jc w:val="center"/>
              <w:rPr>
                <w:sz w:val="20"/>
              </w:rPr>
            </w:pPr>
            <w:r w:rsidRPr="00412620">
              <w:rPr>
                <w:sz w:val="20"/>
              </w:rPr>
              <w:t>10%</w:t>
            </w:r>
          </w:p>
        </w:tc>
      </w:tr>
      <w:tr w:rsidR="00AA4BF8" w:rsidRPr="00412620" w:rsidTr="00A752DD">
        <w:tc>
          <w:tcPr>
            <w:tcW w:w="720" w:type="dxa"/>
          </w:tcPr>
          <w:p w:rsidR="00AA4BF8" w:rsidRPr="00412620" w:rsidRDefault="00AA4BF8" w:rsidP="00A752DD">
            <w:pPr>
              <w:jc w:val="center"/>
              <w:rPr>
                <w:sz w:val="20"/>
              </w:rPr>
            </w:pPr>
            <w:r w:rsidRPr="00412620">
              <w:rPr>
                <w:sz w:val="20"/>
              </w:rPr>
              <w:t>II.</w:t>
            </w:r>
          </w:p>
        </w:tc>
        <w:tc>
          <w:tcPr>
            <w:tcW w:w="4230" w:type="dxa"/>
          </w:tcPr>
          <w:p w:rsidR="00AA4BF8" w:rsidRPr="00412620" w:rsidRDefault="00AA4BF8" w:rsidP="00A752DD">
            <w:pPr>
              <w:rPr>
                <w:sz w:val="20"/>
              </w:rPr>
            </w:pPr>
            <w:r w:rsidRPr="00412620">
              <w:rPr>
                <w:sz w:val="20"/>
              </w:rPr>
              <w:t>Furniture (including fittings) and machinery and plant (not otherwise specified), Motor vehicles (all types), ships, technical or professional books.</w:t>
            </w:r>
          </w:p>
          <w:p w:rsidR="00AA4BF8" w:rsidRPr="00412620" w:rsidRDefault="00AA4BF8" w:rsidP="00A752DD">
            <w:pPr>
              <w:rPr>
                <w:sz w:val="20"/>
              </w:rPr>
            </w:pPr>
          </w:p>
        </w:tc>
        <w:tc>
          <w:tcPr>
            <w:tcW w:w="990" w:type="dxa"/>
          </w:tcPr>
          <w:p w:rsidR="00AA4BF8" w:rsidRPr="00412620" w:rsidRDefault="00AA4BF8" w:rsidP="00A752DD">
            <w:pPr>
              <w:jc w:val="center"/>
              <w:rPr>
                <w:sz w:val="20"/>
              </w:rPr>
            </w:pPr>
            <w:r w:rsidRPr="00412620">
              <w:rPr>
                <w:sz w:val="20"/>
              </w:rPr>
              <w:t>15%</w:t>
            </w:r>
          </w:p>
        </w:tc>
      </w:tr>
      <w:tr w:rsidR="00AA4BF8" w:rsidRPr="00412620" w:rsidTr="00A752DD">
        <w:tc>
          <w:tcPr>
            <w:tcW w:w="720" w:type="dxa"/>
          </w:tcPr>
          <w:p w:rsidR="00AA4BF8" w:rsidRPr="00412620" w:rsidRDefault="00AA4BF8" w:rsidP="00A752DD">
            <w:pPr>
              <w:jc w:val="center"/>
              <w:rPr>
                <w:sz w:val="20"/>
              </w:rPr>
            </w:pPr>
            <w:r w:rsidRPr="00412620">
              <w:rPr>
                <w:sz w:val="20"/>
              </w:rPr>
              <w:t>III.</w:t>
            </w:r>
          </w:p>
        </w:tc>
        <w:tc>
          <w:tcPr>
            <w:tcW w:w="4230" w:type="dxa"/>
          </w:tcPr>
          <w:p w:rsidR="00AA4BF8" w:rsidRPr="00412620" w:rsidRDefault="00AA4BF8" w:rsidP="00A752DD">
            <w:pPr>
              <w:jc w:val="both"/>
              <w:rPr>
                <w:sz w:val="20"/>
              </w:rPr>
            </w:pPr>
            <w:r w:rsidRPr="00412620">
              <w:rPr>
                <w:sz w:val="20"/>
              </w:rPr>
              <w:t xml:space="preserve">Computer hardware including printer, monitor and allied items </w:t>
            </w:r>
            <w:r w:rsidRPr="00412620">
              <w:rPr>
                <w:rStyle w:val="FootnoteReference"/>
                <w:rFonts w:cs="Arial"/>
                <w:sz w:val="20"/>
              </w:rPr>
              <w:footnoteReference w:id="2353"/>
            </w:r>
            <w:r w:rsidRPr="00412620">
              <w:rPr>
                <w:sz w:val="20"/>
              </w:rPr>
              <w:t>[,machinery and equipment used in manufacture of I.T. products], aircrafts and aero engines.</w:t>
            </w:r>
          </w:p>
          <w:p w:rsidR="00AA4BF8" w:rsidRPr="00412620" w:rsidRDefault="00AA4BF8" w:rsidP="00A752DD">
            <w:pPr>
              <w:jc w:val="both"/>
              <w:rPr>
                <w:sz w:val="20"/>
              </w:rPr>
            </w:pPr>
          </w:p>
        </w:tc>
        <w:tc>
          <w:tcPr>
            <w:tcW w:w="990" w:type="dxa"/>
          </w:tcPr>
          <w:p w:rsidR="00AA4BF8" w:rsidRPr="00412620" w:rsidRDefault="00AA4BF8" w:rsidP="00A752DD">
            <w:pPr>
              <w:jc w:val="center"/>
              <w:rPr>
                <w:sz w:val="20"/>
              </w:rPr>
            </w:pPr>
            <w:r w:rsidRPr="00412620">
              <w:rPr>
                <w:sz w:val="20"/>
              </w:rPr>
              <w:t>30%</w:t>
            </w:r>
          </w:p>
        </w:tc>
      </w:tr>
      <w:tr w:rsidR="00AA4BF8" w:rsidRPr="00412620" w:rsidTr="00A752DD">
        <w:tc>
          <w:tcPr>
            <w:tcW w:w="720" w:type="dxa"/>
          </w:tcPr>
          <w:p w:rsidR="00AA4BF8" w:rsidRPr="00412620" w:rsidRDefault="00AA4BF8" w:rsidP="00A752DD">
            <w:pPr>
              <w:jc w:val="center"/>
              <w:rPr>
                <w:sz w:val="20"/>
              </w:rPr>
            </w:pPr>
            <w:r w:rsidRPr="00412620">
              <w:rPr>
                <w:sz w:val="20"/>
              </w:rPr>
              <w:t>IV.</w:t>
            </w:r>
          </w:p>
        </w:tc>
        <w:tc>
          <w:tcPr>
            <w:tcW w:w="4230" w:type="dxa"/>
          </w:tcPr>
          <w:p w:rsidR="00AA4BF8" w:rsidRPr="00412620" w:rsidRDefault="00AA4BF8" w:rsidP="00A752DD">
            <w:pPr>
              <w:jc w:val="both"/>
              <w:rPr>
                <w:sz w:val="20"/>
              </w:rPr>
            </w:pPr>
            <w:r w:rsidRPr="00412620">
              <w:rPr>
                <w:sz w:val="20"/>
              </w:rPr>
              <w:t>In case of mineral oil concerns the income of which is liable to be computed in accordance with the rules in Part-I of the Fifth Schedule.</w:t>
            </w:r>
          </w:p>
          <w:p w:rsidR="00AA4BF8" w:rsidRPr="00412620" w:rsidRDefault="00AA4BF8" w:rsidP="00A752DD">
            <w:pPr>
              <w:jc w:val="both"/>
              <w:rPr>
                <w:sz w:val="20"/>
              </w:rPr>
            </w:pPr>
          </w:p>
          <w:p w:rsidR="00AA4BF8" w:rsidRPr="00412620" w:rsidRDefault="00AA4BF8" w:rsidP="00A752DD">
            <w:pPr>
              <w:jc w:val="both"/>
              <w:rPr>
                <w:sz w:val="20"/>
              </w:rPr>
            </w:pPr>
            <w:r w:rsidRPr="00412620">
              <w:rPr>
                <w:sz w:val="20"/>
              </w:rPr>
              <w:t xml:space="preserve">(a) </w:t>
            </w:r>
            <w:r w:rsidRPr="00412620">
              <w:rPr>
                <w:sz w:val="20"/>
              </w:rPr>
              <w:tab/>
              <w:t>Below ground installations</w:t>
            </w:r>
          </w:p>
          <w:p w:rsidR="00AA4BF8" w:rsidRPr="00412620" w:rsidRDefault="00AA4BF8" w:rsidP="00A752DD">
            <w:pPr>
              <w:jc w:val="both"/>
              <w:rPr>
                <w:sz w:val="20"/>
              </w:rPr>
            </w:pPr>
          </w:p>
          <w:p w:rsidR="00AA4BF8" w:rsidRPr="00412620" w:rsidRDefault="00AA4BF8" w:rsidP="00A752DD">
            <w:pPr>
              <w:jc w:val="both"/>
              <w:rPr>
                <w:sz w:val="20"/>
              </w:rPr>
            </w:pPr>
            <w:r w:rsidRPr="00412620">
              <w:rPr>
                <w:sz w:val="20"/>
              </w:rPr>
              <w:t xml:space="preserve">(b) </w:t>
            </w:r>
            <w:r w:rsidRPr="00412620">
              <w:rPr>
                <w:sz w:val="20"/>
              </w:rPr>
              <w:tab/>
              <w:t>Offshore platform and production</w:t>
            </w:r>
          </w:p>
          <w:p w:rsidR="00AA4BF8" w:rsidRPr="00412620" w:rsidRDefault="00AA4BF8" w:rsidP="00A752DD">
            <w:pPr>
              <w:jc w:val="both"/>
              <w:rPr>
                <w:sz w:val="20"/>
              </w:rPr>
            </w:pPr>
            <w:r w:rsidRPr="00412620">
              <w:rPr>
                <w:sz w:val="20"/>
              </w:rPr>
              <w:tab/>
              <w:t>installations.</w:t>
            </w:r>
          </w:p>
        </w:tc>
        <w:tc>
          <w:tcPr>
            <w:tcW w:w="990" w:type="dxa"/>
          </w:tcPr>
          <w:p w:rsidR="00AA4BF8" w:rsidRPr="00412620" w:rsidRDefault="00AA4BF8" w:rsidP="00A752DD">
            <w:pPr>
              <w:jc w:val="center"/>
              <w:rPr>
                <w:sz w:val="20"/>
              </w:rPr>
            </w:pPr>
          </w:p>
          <w:p w:rsidR="00AA4BF8" w:rsidRPr="00412620" w:rsidRDefault="00AA4BF8" w:rsidP="00A752DD">
            <w:pPr>
              <w:jc w:val="center"/>
              <w:rPr>
                <w:sz w:val="20"/>
              </w:rPr>
            </w:pPr>
          </w:p>
          <w:p w:rsidR="00AA4BF8" w:rsidRPr="00412620" w:rsidRDefault="00AA4BF8" w:rsidP="00A752DD">
            <w:pPr>
              <w:jc w:val="center"/>
              <w:rPr>
                <w:sz w:val="20"/>
              </w:rPr>
            </w:pPr>
          </w:p>
          <w:p w:rsidR="00AA4BF8" w:rsidRPr="00412620" w:rsidRDefault="00AA4BF8" w:rsidP="00A752DD">
            <w:pPr>
              <w:jc w:val="center"/>
              <w:rPr>
                <w:sz w:val="20"/>
              </w:rPr>
            </w:pPr>
          </w:p>
          <w:p w:rsidR="00AA4BF8" w:rsidRPr="00412620" w:rsidRDefault="00AA4BF8" w:rsidP="00A752DD">
            <w:pPr>
              <w:jc w:val="center"/>
              <w:rPr>
                <w:sz w:val="20"/>
              </w:rPr>
            </w:pPr>
            <w:r w:rsidRPr="00412620">
              <w:rPr>
                <w:sz w:val="20"/>
              </w:rPr>
              <w:t>100%</w:t>
            </w:r>
          </w:p>
          <w:p w:rsidR="00AA4BF8" w:rsidRPr="00412620" w:rsidRDefault="00AA4BF8" w:rsidP="00A752DD">
            <w:pPr>
              <w:jc w:val="center"/>
              <w:rPr>
                <w:sz w:val="20"/>
              </w:rPr>
            </w:pPr>
          </w:p>
          <w:p w:rsidR="00AA4BF8" w:rsidRPr="00412620" w:rsidRDefault="00AA4BF8" w:rsidP="00A752DD">
            <w:pPr>
              <w:jc w:val="center"/>
              <w:rPr>
                <w:sz w:val="20"/>
              </w:rPr>
            </w:pPr>
            <w:r w:rsidRPr="00412620">
              <w:rPr>
                <w:sz w:val="20"/>
              </w:rPr>
              <w:t>20%]</w:t>
            </w:r>
          </w:p>
        </w:tc>
      </w:tr>
      <w:tr w:rsidR="00AA4BF8" w:rsidRPr="00412620" w:rsidTr="00A752DD">
        <w:tc>
          <w:tcPr>
            <w:tcW w:w="720" w:type="dxa"/>
          </w:tcPr>
          <w:p w:rsidR="00AA4BF8" w:rsidRPr="00412620" w:rsidRDefault="00AA4BF8" w:rsidP="00A752DD">
            <w:pPr>
              <w:jc w:val="center"/>
              <w:rPr>
                <w:sz w:val="20"/>
              </w:rPr>
            </w:pPr>
            <w:r w:rsidRPr="00412620">
              <w:rPr>
                <w:rStyle w:val="FootnoteReference"/>
                <w:rFonts w:cs="Arial"/>
                <w:snapToGrid w:val="0"/>
                <w:sz w:val="20"/>
              </w:rPr>
              <w:footnoteReference w:id="2354"/>
            </w:r>
            <w:r w:rsidRPr="00412620">
              <w:rPr>
                <w:sz w:val="20"/>
              </w:rPr>
              <w:t>[V.</w:t>
            </w:r>
          </w:p>
        </w:tc>
        <w:tc>
          <w:tcPr>
            <w:tcW w:w="4230" w:type="dxa"/>
          </w:tcPr>
          <w:p w:rsidR="00AA4BF8" w:rsidRPr="00412620" w:rsidRDefault="00AA4BF8" w:rsidP="00A752DD">
            <w:pPr>
              <w:jc w:val="both"/>
              <w:rPr>
                <w:sz w:val="20"/>
              </w:rPr>
            </w:pPr>
            <w:r w:rsidRPr="00412620">
              <w:rPr>
                <w:sz w:val="20"/>
              </w:rPr>
              <w:t>A ramp built to provide access to persons with disabilities not exceeding Rs.250,000 each.</w:t>
            </w:r>
          </w:p>
        </w:tc>
        <w:tc>
          <w:tcPr>
            <w:tcW w:w="990" w:type="dxa"/>
          </w:tcPr>
          <w:p w:rsidR="00AA4BF8" w:rsidRPr="00412620" w:rsidRDefault="00AA4BF8" w:rsidP="00A752DD">
            <w:pPr>
              <w:jc w:val="center"/>
              <w:rPr>
                <w:sz w:val="20"/>
              </w:rPr>
            </w:pPr>
            <w:r w:rsidRPr="00412620">
              <w:rPr>
                <w:sz w:val="20"/>
              </w:rPr>
              <w:t>100%]</w:t>
            </w:r>
          </w:p>
        </w:tc>
      </w:tr>
    </w:tbl>
    <w:p w:rsidR="00AA4BF8" w:rsidRPr="00412620" w:rsidRDefault="00AA4BF8" w:rsidP="00AA4BF8">
      <w:pPr>
        <w:pStyle w:val="Heading2"/>
        <w:spacing w:line="240" w:lineRule="auto"/>
        <w:rPr>
          <w:sz w:val="20"/>
        </w:rPr>
      </w:pPr>
    </w:p>
    <w:p w:rsidR="00AA4BF8" w:rsidRPr="00412620" w:rsidRDefault="00AA4BF8" w:rsidP="00AA4BF8"/>
    <w:p w:rsidR="00AA4BF8" w:rsidRPr="00412620" w:rsidRDefault="00AA4BF8" w:rsidP="00AA4BF8">
      <w:pPr>
        <w:keepNext/>
        <w:jc w:val="center"/>
        <w:rPr>
          <w:b/>
          <w:bCs/>
          <w:sz w:val="32"/>
          <w:szCs w:val="32"/>
        </w:rPr>
      </w:pPr>
      <w:r w:rsidRPr="00412620">
        <w:rPr>
          <w:b/>
          <w:bCs/>
          <w:sz w:val="20"/>
        </w:rPr>
        <w:br w:type="page"/>
      </w:r>
      <w:r w:rsidRPr="00412620">
        <w:rPr>
          <w:b/>
          <w:bCs/>
          <w:sz w:val="32"/>
          <w:szCs w:val="32"/>
        </w:rPr>
        <w:lastRenderedPageBreak/>
        <w:t>PART II</w:t>
      </w:r>
    </w:p>
    <w:p w:rsidR="00AA4BF8" w:rsidRPr="00412620" w:rsidRDefault="00AA4BF8" w:rsidP="00AA4BF8">
      <w:pPr>
        <w:keepNext/>
        <w:jc w:val="center"/>
        <w:rPr>
          <w:b/>
          <w:bCs/>
          <w:sz w:val="20"/>
        </w:rPr>
      </w:pPr>
      <w:r w:rsidRPr="00412620">
        <w:rPr>
          <w:b/>
          <w:bCs/>
          <w:sz w:val="20"/>
        </w:rPr>
        <w:t xml:space="preserve">INITIAL ALLOWANCE </w:t>
      </w:r>
      <w:r w:rsidRPr="00412620">
        <w:rPr>
          <w:rStyle w:val="FootnoteReference"/>
          <w:rFonts w:cs="Arial"/>
          <w:b/>
          <w:bCs/>
          <w:sz w:val="20"/>
        </w:rPr>
        <w:footnoteReference w:id="2355"/>
      </w:r>
      <w:r w:rsidRPr="00412620">
        <w:rPr>
          <w:b/>
          <w:bCs/>
          <w:sz w:val="20"/>
        </w:rPr>
        <w:t>[AND FIRST YEAR ALLOWANCE]</w:t>
      </w:r>
    </w:p>
    <w:p w:rsidR="00AA4BF8" w:rsidRPr="00412620" w:rsidRDefault="00AA4BF8" w:rsidP="00AA4BF8">
      <w:pPr>
        <w:pStyle w:val="BodyText2"/>
        <w:keepNext/>
        <w:rPr>
          <w:sz w:val="20"/>
        </w:rPr>
      </w:pPr>
      <w:r w:rsidRPr="00412620">
        <w:rPr>
          <w:rStyle w:val="FootnoteReference"/>
          <w:rFonts w:cs="Arial"/>
          <w:sz w:val="20"/>
        </w:rPr>
        <w:footnoteReference w:id="2356"/>
      </w:r>
      <w:r w:rsidRPr="00412620">
        <w:rPr>
          <w:sz w:val="20"/>
        </w:rPr>
        <w:t>[(</w:t>
      </w:r>
      <w:r w:rsidRPr="00412620">
        <w:rPr>
          <w:rStyle w:val="FootnoteReference"/>
          <w:rFonts w:cs="Arial"/>
          <w:sz w:val="20"/>
        </w:rPr>
        <w:footnoteReference w:id="2357"/>
      </w:r>
      <w:r w:rsidRPr="00412620">
        <w:rPr>
          <w:sz w:val="20"/>
        </w:rPr>
        <w:t>[See Sections 23,  23A and 23B])]</w:t>
      </w:r>
    </w:p>
    <w:p w:rsidR="00AA4BF8" w:rsidRPr="00412620" w:rsidRDefault="00AA4BF8" w:rsidP="00AA4BF8">
      <w:pPr>
        <w:pStyle w:val="CommentText"/>
        <w:keepNext/>
      </w:pPr>
    </w:p>
    <w:p w:rsidR="00AA4BF8" w:rsidRPr="00412620" w:rsidRDefault="00713611" w:rsidP="00AA4BF8">
      <w:pPr>
        <w:rPr>
          <w:sz w:val="20"/>
        </w:rPr>
      </w:pPr>
      <w:r>
        <w:rPr>
          <w:sz w:val="20"/>
        </w:rPr>
        <w:t>(1)</w:t>
      </w:r>
      <w:r w:rsidR="00AA4BF8" w:rsidRPr="00412620">
        <w:rPr>
          <w:sz w:val="20"/>
        </w:rPr>
        <w:tab/>
        <w:t xml:space="preserve">The rate of initial allowance under section 23 shall be </w:t>
      </w:r>
      <w:r w:rsidR="00AA4BF8" w:rsidRPr="00412620">
        <w:rPr>
          <w:rStyle w:val="FootnoteReference"/>
          <w:rFonts w:cs="Arial"/>
          <w:sz w:val="20"/>
        </w:rPr>
        <w:footnoteReference w:id="2358"/>
      </w:r>
      <w:r w:rsidR="00AA4BF8" w:rsidRPr="00412620">
        <w:rPr>
          <w:sz w:val="20"/>
        </w:rPr>
        <w:t>[</w:t>
      </w:r>
      <w:r w:rsidR="00176F09">
        <w:rPr>
          <w:sz w:val="20"/>
        </w:rPr>
        <w:t>2</w:t>
      </w:r>
      <w:r w:rsidRPr="00713611">
        <w:rPr>
          <w:sz w:val="20"/>
        </w:rPr>
        <w:t>5</w:t>
      </w:r>
      <w:r w:rsidR="00176F09">
        <w:rPr>
          <w:sz w:val="20"/>
        </w:rPr>
        <w:t>]%</w:t>
      </w:r>
      <w:r w:rsidR="00AA4BF8" w:rsidRPr="00412620">
        <w:rPr>
          <w:rStyle w:val="FootnoteReference"/>
          <w:rFonts w:cs="Arial"/>
          <w:sz w:val="20"/>
        </w:rPr>
        <w:footnoteReference w:id="2359"/>
      </w:r>
      <w:r w:rsidR="00AA4BF8" w:rsidRPr="00412620">
        <w:rPr>
          <w:sz w:val="20"/>
        </w:rPr>
        <w:t xml:space="preserve">[for plant and machinery and </w:t>
      </w:r>
      <w:r w:rsidRPr="00F852EB">
        <w:rPr>
          <w:rStyle w:val="FootnoteReference"/>
          <w:color w:val="000000" w:themeColor="text1"/>
          <w:sz w:val="20"/>
        </w:rPr>
        <w:footnoteReference w:id="2360"/>
      </w:r>
      <w:r w:rsidRPr="00F852EB">
        <w:rPr>
          <w:color w:val="000000" w:themeColor="text1"/>
          <w:sz w:val="20"/>
        </w:rPr>
        <w:t>[</w:t>
      </w:r>
      <w:r w:rsidR="00176F09" w:rsidRPr="00F852EB">
        <w:rPr>
          <w:color w:val="000000" w:themeColor="text1"/>
          <w:sz w:val="20"/>
        </w:rPr>
        <w:t>1</w:t>
      </w:r>
      <w:r w:rsidR="00AA4BF8" w:rsidRPr="00F852EB">
        <w:rPr>
          <w:color w:val="000000" w:themeColor="text1"/>
          <w:sz w:val="20"/>
        </w:rPr>
        <w:t>5</w:t>
      </w:r>
      <w:r w:rsidRPr="00F852EB">
        <w:rPr>
          <w:color w:val="000000" w:themeColor="text1"/>
          <w:sz w:val="20"/>
        </w:rPr>
        <w:t>]</w:t>
      </w:r>
      <w:r w:rsidR="00AA4BF8" w:rsidRPr="00F852EB">
        <w:rPr>
          <w:color w:val="000000" w:themeColor="text1"/>
          <w:sz w:val="20"/>
        </w:rPr>
        <w:t>%</w:t>
      </w:r>
      <w:r w:rsidR="00AA4BF8" w:rsidRPr="00412620">
        <w:rPr>
          <w:sz w:val="20"/>
        </w:rPr>
        <w:t xml:space="preserve"> for buildings].</w:t>
      </w:r>
    </w:p>
    <w:p w:rsidR="00AA4BF8" w:rsidRPr="00412620" w:rsidRDefault="00AA4BF8" w:rsidP="00AA4BF8">
      <w:pPr>
        <w:jc w:val="both"/>
        <w:rPr>
          <w:sz w:val="20"/>
        </w:rPr>
      </w:pPr>
    </w:p>
    <w:p w:rsidR="00AA4BF8" w:rsidRPr="00412620" w:rsidRDefault="00AA4BF8" w:rsidP="00AA4BF8">
      <w:pPr>
        <w:jc w:val="both"/>
        <w:rPr>
          <w:sz w:val="20"/>
        </w:rPr>
      </w:pPr>
      <w:r w:rsidRPr="00412620">
        <w:rPr>
          <w:rStyle w:val="FootnoteReference"/>
          <w:rFonts w:cs="Arial"/>
          <w:sz w:val="20"/>
        </w:rPr>
        <w:footnoteReference w:id="2361"/>
      </w:r>
      <w:r w:rsidRPr="00412620">
        <w:rPr>
          <w:sz w:val="20"/>
        </w:rPr>
        <w:t xml:space="preserve">[(2) </w:t>
      </w:r>
      <w:r w:rsidRPr="00412620">
        <w:rPr>
          <w:sz w:val="20"/>
        </w:rPr>
        <w:tab/>
        <w:t xml:space="preserve">The rate of First Year Allowance under section 23A </w:t>
      </w:r>
      <w:r w:rsidRPr="00412620">
        <w:rPr>
          <w:rStyle w:val="FootnoteReference"/>
          <w:rFonts w:cs="Arial"/>
          <w:sz w:val="20"/>
        </w:rPr>
        <w:footnoteReference w:id="2362"/>
      </w:r>
      <w:r w:rsidR="00713611">
        <w:rPr>
          <w:sz w:val="20"/>
        </w:rPr>
        <w:t>[and section 23B] shall be 90%.</w:t>
      </w:r>
    </w:p>
    <w:p w:rsidR="00AA4BF8" w:rsidRPr="00412620" w:rsidRDefault="00AA4BF8" w:rsidP="00AA4BF8">
      <w:pPr>
        <w:jc w:val="both"/>
        <w:rPr>
          <w:sz w:val="20"/>
        </w:rPr>
      </w:pPr>
    </w:p>
    <w:p w:rsidR="00AA4BF8" w:rsidRPr="00412620" w:rsidRDefault="00AA4BF8" w:rsidP="00AA4BF8">
      <w:pPr>
        <w:rPr>
          <w:b/>
          <w:bCs/>
          <w:sz w:val="20"/>
        </w:rPr>
      </w:pPr>
    </w:p>
    <w:p w:rsidR="00AA4BF8" w:rsidRPr="00412620" w:rsidRDefault="00AA4BF8" w:rsidP="00AA4BF8">
      <w:pPr>
        <w:keepNext/>
        <w:jc w:val="center"/>
        <w:rPr>
          <w:b/>
          <w:bCs/>
          <w:sz w:val="32"/>
          <w:szCs w:val="32"/>
        </w:rPr>
      </w:pPr>
      <w:r w:rsidRPr="00412620">
        <w:rPr>
          <w:b/>
          <w:bCs/>
          <w:sz w:val="20"/>
        </w:rPr>
        <w:br w:type="page"/>
      </w:r>
      <w:r w:rsidRPr="00412620">
        <w:rPr>
          <w:b/>
          <w:bCs/>
          <w:sz w:val="32"/>
          <w:szCs w:val="32"/>
        </w:rPr>
        <w:lastRenderedPageBreak/>
        <w:t>PART III</w:t>
      </w:r>
    </w:p>
    <w:p w:rsidR="00AA4BF8" w:rsidRPr="00FB227F" w:rsidRDefault="00AA4BF8" w:rsidP="00AA4BF8">
      <w:pPr>
        <w:keepNext/>
        <w:jc w:val="center"/>
        <w:rPr>
          <w:rFonts w:cs="Arial"/>
          <w:b/>
          <w:bCs/>
          <w:sz w:val="20"/>
        </w:rPr>
      </w:pPr>
      <w:r w:rsidRPr="00FB227F">
        <w:rPr>
          <w:rFonts w:cs="Arial"/>
          <w:b/>
          <w:bCs/>
          <w:sz w:val="20"/>
        </w:rPr>
        <w:t>PRE-COMMENCEMENT EXPENDITURE</w:t>
      </w:r>
    </w:p>
    <w:p w:rsidR="00AA4BF8" w:rsidRPr="00FB227F" w:rsidRDefault="00AA4BF8" w:rsidP="00AA4BF8">
      <w:pPr>
        <w:pStyle w:val="BodyText2"/>
        <w:keepNext/>
        <w:rPr>
          <w:rFonts w:cs="Arial"/>
          <w:sz w:val="20"/>
        </w:rPr>
      </w:pPr>
      <w:r w:rsidRPr="00FB227F">
        <w:rPr>
          <w:rFonts w:cs="Arial"/>
          <w:sz w:val="20"/>
        </w:rPr>
        <w:t>(See Section 25)</w:t>
      </w:r>
    </w:p>
    <w:p w:rsidR="00AA4BF8" w:rsidRPr="00FB227F" w:rsidRDefault="00AA4BF8" w:rsidP="00AA4BF8">
      <w:pPr>
        <w:keepNext/>
        <w:rPr>
          <w:rFonts w:cs="Arial"/>
          <w:b/>
          <w:bCs/>
          <w:sz w:val="20"/>
        </w:rPr>
      </w:pPr>
    </w:p>
    <w:p w:rsidR="00AA4BF8" w:rsidRPr="00FB227F" w:rsidRDefault="00AA4BF8" w:rsidP="00AA4BF8">
      <w:pPr>
        <w:pStyle w:val="BodyText3"/>
        <w:widowControl/>
        <w:rPr>
          <w:rFonts w:ascii="Arial" w:hAnsi="Arial" w:cs="Arial"/>
          <w:sz w:val="20"/>
          <w:lang w:val="en-AU"/>
        </w:rPr>
      </w:pPr>
      <w:r w:rsidRPr="00FB227F">
        <w:rPr>
          <w:rFonts w:ascii="Arial" w:hAnsi="Arial" w:cs="Arial"/>
          <w:sz w:val="20"/>
          <w:lang w:val="en-AU"/>
        </w:rPr>
        <w:tab/>
        <w:t>The rate of amortisation of pre-commencement expenditure under section 25 shall be 20%.</w:t>
      </w:r>
    </w:p>
    <w:p w:rsidR="00AA4BF8" w:rsidRPr="00FB227F" w:rsidRDefault="00AA4BF8" w:rsidP="00AA4BF8">
      <w:pPr>
        <w:pStyle w:val="BodyText3"/>
        <w:widowControl/>
        <w:rPr>
          <w:rFonts w:ascii="Arial" w:hAnsi="Arial" w:cs="Arial"/>
          <w:sz w:val="20"/>
          <w:lang w:val="en-AU"/>
        </w:rPr>
      </w:pPr>
    </w:p>
    <w:p w:rsidR="00AA4BF8" w:rsidRPr="00412620" w:rsidRDefault="00AA4BF8" w:rsidP="00AA4BF8">
      <w:pPr>
        <w:pStyle w:val="BodyText3"/>
        <w:widowControl/>
        <w:rPr>
          <w:sz w:val="20"/>
          <w:lang w:val="en-AU"/>
        </w:rPr>
      </w:pPr>
    </w:p>
    <w:p w:rsidR="00AA4BF8" w:rsidRPr="00412620" w:rsidRDefault="00AA4BF8" w:rsidP="00AA4BF8">
      <w:pPr>
        <w:keepNext/>
        <w:jc w:val="center"/>
        <w:rPr>
          <w:b/>
          <w:bCs/>
          <w:sz w:val="32"/>
          <w:szCs w:val="32"/>
        </w:rPr>
      </w:pPr>
      <w:r w:rsidRPr="00412620">
        <w:rPr>
          <w:b/>
          <w:bCs/>
          <w:sz w:val="20"/>
        </w:rPr>
        <w:br w:type="page"/>
      </w:r>
      <w:r w:rsidRPr="00412620">
        <w:rPr>
          <w:b/>
          <w:bCs/>
          <w:sz w:val="32"/>
          <w:szCs w:val="32"/>
        </w:rPr>
        <w:lastRenderedPageBreak/>
        <w:t>THE FOURTH SCHEDULE</w:t>
      </w:r>
    </w:p>
    <w:p w:rsidR="00AA4BF8" w:rsidRPr="00FB227F" w:rsidRDefault="00AA4BF8" w:rsidP="00AA4BF8">
      <w:pPr>
        <w:pStyle w:val="BodyText2"/>
        <w:keepNext/>
        <w:rPr>
          <w:rFonts w:cs="Arial"/>
          <w:sz w:val="20"/>
        </w:rPr>
      </w:pPr>
      <w:r w:rsidRPr="00FB227F">
        <w:rPr>
          <w:rFonts w:cs="Arial"/>
          <w:sz w:val="20"/>
        </w:rPr>
        <w:t>(See Section 99)</w:t>
      </w:r>
    </w:p>
    <w:p w:rsidR="00AA4BF8" w:rsidRPr="00FB227F" w:rsidRDefault="00AA4BF8" w:rsidP="00AA4BF8">
      <w:pPr>
        <w:keepNext/>
        <w:rPr>
          <w:rFonts w:cs="Arial"/>
          <w:i/>
          <w:iCs/>
          <w:sz w:val="20"/>
        </w:rPr>
      </w:pPr>
    </w:p>
    <w:p w:rsidR="00AA4BF8" w:rsidRPr="00FB227F" w:rsidRDefault="00AA4BF8" w:rsidP="00AA4BF8">
      <w:pPr>
        <w:jc w:val="center"/>
        <w:rPr>
          <w:rFonts w:cs="Arial"/>
          <w:sz w:val="20"/>
        </w:rPr>
      </w:pPr>
      <w:r w:rsidRPr="00FB227F">
        <w:rPr>
          <w:rFonts w:cs="Arial"/>
          <w:b/>
          <w:bCs/>
          <w:sz w:val="20"/>
        </w:rPr>
        <w:t>RULES FOR THE COMPUTATION OF THE PROFITS AND GAINS OF INSURANCE BUSINESS</w:t>
      </w:r>
    </w:p>
    <w:p w:rsidR="00AA4BF8" w:rsidRPr="00FB227F" w:rsidRDefault="00AA4BF8" w:rsidP="00AA4BF8">
      <w:pPr>
        <w:pStyle w:val="CommentText"/>
        <w:keepNext/>
        <w:rPr>
          <w:rFonts w:cs="Arial"/>
        </w:rPr>
      </w:pPr>
    </w:p>
    <w:p w:rsidR="00AA4BF8" w:rsidRPr="00FB227F" w:rsidRDefault="00AA4BF8" w:rsidP="00AA4BF8">
      <w:pPr>
        <w:pStyle w:val="Heading3"/>
        <w:spacing w:line="240" w:lineRule="auto"/>
        <w:rPr>
          <w:rFonts w:cs="Arial"/>
          <w:caps w:val="0"/>
          <w:sz w:val="20"/>
        </w:rPr>
      </w:pPr>
      <w:r w:rsidRPr="00FB227F">
        <w:rPr>
          <w:rFonts w:cs="Arial"/>
          <w:caps w:val="0"/>
          <w:sz w:val="20"/>
        </w:rPr>
        <w:t>Profits on Life Insurance to be Computed Separately</w:t>
      </w:r>
    </w:p>
    <w:p w:rsidR="00AA4BF8" w:rsidRPr="00FB227F" w:rsidRDefault="00AA4BF8" w:rsidP="00AA4BF8">
      <w:pPr>
        <w:keepNext/>
        <w:rPr>
          <w:rFonts w:cs="Arial"/>
          <w:b/>
          <w:bCs/>
          <w:sz w:val="20"/>
        </w:rPr>
      </w:pPr>
    </w:p>
    <w:p w:rsidR="00AA4BF8" w:rsidRPr="00FB227F" w:rsidRDefault="00AA4BF8" w:rsidP="00AA4BF8">
      <w:pPr>
        <w:jc w:val="both"/>
        <w:rPr>
          <w:rFonts w:cs="Arial"/>
          <w:sz w:val="20"/>
        </w:rPr>
      </w:pPr>
      <w:r w:rsidRPr="00FB227F">
        <w:rPr>
          <w:rFonts w:cs="Arial"/>
          <w:sz w:val="20"/>
        </w:rPr>
        <w:t>1.</w:t>
      </w:r>
      <w:r w:rsidRPr="00FB227F">
        <w:rPr>
          <w:rFonts w:cs="Arial"/>
          <w:sz w:val="20"/>
        </w:rPr>
        <w:tab/>
        <w:t xml:space="preserve">The profits and gains of a taxpayer carrying on life insurance business chargeable under the head “Income from Business” shall be computed separately from the taxpayer’s income from other business. </w:t>
      </w:r>
      <w:r w:rsidRPr="00FB227F">
        <w:rPr>
          <w:rStyle w:val="FootnoteReference"/>
          <w:rFonts w:cs="Arial"/>
          <w:sz w:val="20"/>
        </w:rPr>
        <w:footnoteReference w:id="2363"/>
      </w:r>
      <w:r w:rsidRPr="00FB227F">
        <w:rPr>
          <w:rFonts w:cs="Arial"/>
          <w:sz w:val="20"/>
        </w:rPr>
        <w:t>[Income from other business shall be profit or loss before tax as per profit and loss account prepared under the Insurance Ordinance, 2000 (XXXIX of 2000), excluding any surplus appropriation made during the year.]</w:t>
      </w:r>
    </w:p>
    <w:p w:rsidR="00AA4BF8" w:rsidRPr="00FB227F" w:rsidRDefault="00AA4BF8" w:rsidP="00AA4BF8">
      <w:pPr>
        <w:rPr>
          <w:rFonts w:cs="Arial"/>
          <w:sz w:val="20"/>
        </w:rPr>
      </w:pPr>
    </w:p>
    <w:p w:rsidR="00AA4BF8" w:rsidRPr="00FB227F" w:rsidRDefault="00AA4BF8" w:rsidP="00AA4BF8">
      <w:pPr>
        <w:pStyle w:val="Heading3"/>
        <w:spacing w:line="240" w:lineRule="auto"/>
        <w:rPr>
          <w:rFonts w:cs="Arial"/>
          <w:caps w:val="0"/>
          <w:sz w:val="20"/>
        </w:rPr>
      </w:pPr>
      <w:r w:rsidRPr="00FB227F">
        <w:rPr>
          <w:rFonts w:cs="Arial"/>
          <w:caps w:val="0"/>
          <w:sz w:val="20"/>
        </w:rPr>
        <w:t>Computation of Profits and Gains of Life Insurance Business</w:t>
      </w:r>
    </w:p>
    <w:p w:rsidR="00AA4BF8" w:rsidRPr="00FB227F" w:rsidRDefault="00AA4BF8" w:rsidP="00AA4BF8">
      <w:pPr>
        <w:pStyle w:val="CommentText"/>
        <w:keepNext/>
        <w:rPr>
          <w:rFonts w:cs="Arial"/>
        </w:rPr>
      </w:pPr>
    </w:p>
    <w:p w:rsidR="00AA4BF8" w:rsidRPr="00FB227F" w:rsidRDefault="00AA4BF8" w:rsidP="00AA4BF8">
      <w:pPr>
        <w:jc w:val="both"/>
        <w:rPr>
          <w:rFonts w:cs="Arial"/>
          <w:sz w:val="20"/>
        </w:rPr>
      </w:pPr>
      <w:r w:rsidRPr="00FB227F">
        <w:rPr>
          <w:rStyle w:val="FootnoteReference"/>
          <w:rFonts w:cs="Arial"/>
          <w:sz w:val="20"/>
        </w:rPr>
        <w:footnoteReference w:id="2364"/>
      </w:r>
      <w:r w:rsidRPr="00FB227F">
        <w:rPr>
          <w:rFonts w:cs="Arial"/>
          <w:sz w:val="20"/>
        </w:rPr>
        <w:t>[2.</w:t>
      </w:r>
      <w:r w:rsidRPr="00FB227F">
        <w:rPr>
          <w:rFonts w:cs="Arial"/>
          <w:sz w:val="20"/>
        </w:rPr>
        <w:tab/>
        <w:t>The profits and gains of a life insurance business shall be the current year’s surplus appropriated to profit and loss account prepared under the Insurance Ordinance, 2000 (XXXIX of 2000), as per advice of the Appointed Actuary, net of adjustments under sections 22(8), 23(8) and 23(11) of the Insurance Ordinance, 2000 (XXXIX of 2000) so as to exclude from it any expenditure other than expenditure which is, under the provisions of Part IV of Chapter III, allowed as a deduction in computing profits and gains of a business to the extent of the proportion of surplus not distributed to policy holders.]</w:t>
      </w:r>
    </w:p>
    <w:p w:rsidR="00AA4BF8" w:rsidRPr="00FB227F" w:rsidRDefault="00AA4BF8" w:rsidP="00AA4BF8">
      <w:pPr>
        <w:pStyle w:val="Heading3"/>
        <w:spacing w:line="240" w:lineRule="auto"/>
        <w:jc w:val="both"/>
        <w:rPr>
          <w:rFonts w:cs="Arial"/>
          <w:caps w:val="0"/>
          <w:sz w:val="20"/>
        </w:rPr>
      </w:pPr>
      <w:r w:rsidRPr="00FB227F">
        <w:rPr>
          <w:rFonts w:cs="Arial"/>
          <w:caps w:val="0"/>
          <w:sz w:val="20"/>
        </w:rPr>
        <w:t>Computing the Surplus under Rule 2</w:t>
      </w:r>
    </w:p>
    <w:p w:rsidR="00AA4BF8" w:rsidRPr="00FB227F" w:rsidRDefault="00AA4BF8" w:rsidP="00AA4BF8">
      <w:pPr>
        <w:keepNext/>
        <w:jc w:val="both"/>
        <w:rPr>
          <w:rFonts w:cs="Arial"/>
          <w:sz w:val="20"/>
        </w:rPr>
      </w:pPr>
    </w:p>
    <w:p w:rsidR="00AA4BF8" w:rsidRPr="00FB227F" w:rsidRDefault="00AA4BF8" w:rsidP="00AA4BF8">
      <w:pPr>
        <w:jc w:val="both"/>
        <w:rPr>
          <w:rFonts w:cs="Arial"/>
          <w:sz w:val="20"/>
        </w:rPr>
      </w:pPr>
      <w:r w:rsidRPr="00FB227F">
        <w:rPr>
          <w:rFonts w:cs="Arial"/>
          <w:sz w:val="20"/>
        </w:rPr>
        <w:t>3.</w:t>
      </w:r>
      <w:r w:rsidRPr="00FB227F">
        <w:rPr>
          <w:rFonts w:cs="Arial"/>
          <w:sz w:val="20"/>
        </w:rPr>
        <w:tab/>
        <w:t>(1)</w:t>
      </w:r>
      <w:r w:rsidRPr="00FB227F">
        <w:rPr>
          <w:rFonts w:cs="Arial"/>
          <w:sz w:val="20"/>
        </w:rPr>
        <w:tab/>
        <w:t xml:space="preserve">The following </w:t>
      </w:r>
      <w:r w:rsidRPr="00FB227F">
        <w:rPr>
          <w:rStyle w:val="FootnoteReference"/>
          <w:rFonts w:cs="Arial"/>
          <w:sz w:val="20"/>
        </w:rPr>
        <w:footnoteReference w:id="2365"/>
      </w:r>
      <w:r w:rsidRPr="00FB227F">
        <w:rPr>
          <w:rFonts w:cs="Arial"/>
          <w:sz w:val="20"/>
        </w:rPr>
        <w:t>[provisions] shall apply in computing the surplus for the purposes of rule 2, namely:–</w:t>
      </w:r>
    </w:p>
    <w:p w:rsidR="00AA4BF8" w:rsidRPr="00FB227F" w:rsidRDefault="00AA4BF8" w:rsidP="00AA4BF8">
      <w:pPr>
        <w:jc w:val="both"/>
        <w:rPr>
          <w:rFonts w:cs="Arial"/>
          <w:sz w:val="20"/>
        </w:rPr>
      </w:pPr>
    </w:p>
    <w:p w:rsidR="00AA4BF8" w:rsidRPr="00FB227F" w:rsidRDefault="00AA4BF8" w:rsidP="00AA4BF8">
      <w:pPr>
        <w:ind w:left="1620" w:hanging="540"/>
        <w:jc w:val="both"/>
        <w:rPr>
          <w:rFonts w:cs="Arial"/>
          <w:sz w:val="20"/>
        </w:rPr>
      </w:pPr>
      <w:r w:rsidRPr="00FB227F">
        <w:rPr>
          <w:rFonts w:cs="Arial"/>
          <w:sz w:val="20"/>
        </w:rPr>
        <w:t>(a)</w:t>
      </w:r>
      <w:r w:rsidRPr="00FB227F">
        <w:rPr>
          <w:rFonts w:cs="Arial"/>
          <w:sz w:val="20"/>
        </w:rPr>
        <w:tab/>
        <w:t>the amounts paid to, or reserved for, or expended on behalf of policy-holders  shall be allowed as a deduction;</w:t>
      </w:r>
    </w:p>
    <w:p w:rsidR="00AA4BF8" w:rsidRPr="00FB227F" w:rsidRDefault="00AA4BF8" w:rsidP="00AA4BF8">
      <w:pPr>
        <w:jc w:val="both"/>
        <w:rPr>
          <w:rFonts w:cs="Arial"/>
          <w:sz w:val="20"/>
        </w:rPr>
      </w:pPr>
    </w:p>
    <w:p w:rsidR="00AA4BF8" w:rsidRPr="00412620" w:rsidRDefault="00AA4BF8" w:rsidP="00AA4BF8">
      <w:pPr>
        <w:ind w:left="1620" w:hanging="540"/>
        <w:jc w:val="both"/>
        <w:rPr>
          <w:sz w:val="20"/>
        </w:rPr>
      </w:pPr>
      <w:r w:rsidRPr="00FB227F">
        <w:rPr>
          <w:rFonts w:cs="Arial"/>
          <w:sz w:val="20"/>
        </w:rPr>
        <w:t>(b)</w:t>
      </w:r>
      <w:r w:rsidRPr="00FB227F">
        <w:rPr>
          <w:rFonts w:cs="Arial"/>
          <w:sz w:val="20"/>
        </w:rPr>
        <w:tab/>
        <w:t>any amount either written off or reserved in the accounts, or through the actuarial valuation balance sheet to meet depreciation, or loss on the realization of investments  shall be allowed as a deduction, and any sums taken credit for in the</w:t>
      </w:r>
      <w:r w:rsidR="00A0443E">
        <w:rPr>
          <w:rFonts w:cs="Arial"/>
          <w:sz w:val="20"/>
        </w:rPr>
        <w:t xml:space="preserve"> </w:t>
      </w:r>
      <w:r w:rsidRPr="00412620">
        <w:rPr>
          <w:sz w:val="20"/>
        </w:rPr>
        <w:lastRenderedPageBreak/>
        <w:t xml:space="preserve">accounts or actuarial valuation balance sheet on account of appreciation, or gains on the realisation of investments </w:t>
      </w:r>
      <w:r w:rsidRPr="00412620">
        <w:rPr>
          <w:rStyle w:val="FootnoteReference"/>
          <w:rFonts w:cs="Arial"/>
          <w:sz w:val="20"/>
        </w:rPr>
        <w:footnoteReference w:id="2366"/>
      </w:r>
      <w:r w:rsidRPr="00412620">
        <w:rPr>
          <w:sz w:val="20"/>
        </w:rPr>
        <w:t>[shall be included in the surplus]; and</w:t>
      </w:r>
    </w:p>
    <w:p w:rsidR="00AA4BF8" w:rsidRPr="00412620" w:rsidRDefault="00AA4BF8" w:rsidP="00AA4BF8">
      <w:pPr>
        <w:jc w:val="both"/>
        <w:rPr>
          <w:sz w:val="20"/>
        </w:rPr>
      </w:pPr>
    </w:p>
    <w:p w:rsidR="00AA4BF8" w:rsidRPr="00412620" w:rsidRDefault="00AA4BF8" w:rsidP="00AA4BF8">
      <w:pPr>
        <w:ind w:left="1620" w:hanging="540"/>
        <w:jc w:val="both"/>
        <w:rPr>
          <w:sz w:val="20"/>
        </w:rPr>
      </w:pPr>
      <w:r w:rsidRPr="00412620">
        <w:rPr>
          <w:sz w:val="20"/>
        </w:rPr>
        <w:t>(c)</w:t>
      </w:r>
      <w:r w:rsidRPr="00412620">
        <w:rPr>
          <w:sz w:val="20"/>
        </w:rPr>
        <w:tab/>
        <w:t xml:space="preserve">profit on debt </w:t>
      </w:r>
      <w:r w:rsidRPr="00412620">
        <w:rPr>
          <w:rStyle w:val="FootnoteReference"/>
          <w:rFonts w:cs="Arial"/>
          <w:sz w:val="20"/>
        </w:rPr>
        <w:footnoteReference w:id="2367"/>
      </w:r>
      <w:r w:rsidRPr="00412620">
        <w:rPr>
          <w:sz w:val="20"/>
        </w:rPr>
        <w:t xml:space="preserve">[accrued] in the inter-valuation period in respect of any securities of the Federal Government which have been issued or declared to be income tax-free shall not be excluded, but shall be exempt from tax </w:t>
      </w:r>
      <w:r w:rsidRPr="00412620">
        <w:rPr>
          <w:rStyle w:val="FootnoteReference"/>
          <w:rFonts w:cs="Arial"/>
          <w:sz w:val="20"/>
        </w:rPr>
        <w:footnoteReference w:id="2368"/>
      </w:r>
      <w:r w:rsidRPr="00412620">
        <w:rPr>
          <w:sz w:val="20"/>
        </w:rPr>
        <w:t>[  ].</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For the purposes of clause (a) of sub-rule (1) –</w:t>
      </w:r>
    </w:p>
    <w:p w:rsidR="00AA4BF8" w:rsidRPr="00412620" w:rsidRDefault="00AA4BF8" w:rsidP="00AA4BF8">
      <w:pPr>
        <w:jc w:val="both"/>
        <w:rPr>
          <w:sz w:val="20"/>
        </w:rPr>
      </w:pPr>
    </w:p>
    <w:p w:rsidR="00AA4BF8" w:rsidRPr="00412620" w:rsidRDefault="00AA4BF8" w:rsidP="00AA4BF8">
      <w:pPr>
        <w:ind w:left="1620" w:hanging="540"/>
        <w:jc w:val="both"/>
        <w:rPr>
          <w:sz w:val="20"/>
        </w:rPr>
      </w:pPr>
      <w:r w:rsidRPr="00412620">
        <w:rPr>
          <w:sz w:val="20"/>
        </w:rPr>
        <w:t>(a)</w:t>
      </w:r>
      <w:r w:rsidRPr="00412620">
        <w:rPr>
          <w:sz w:val="20"/>
        </w:rPr>
        <w:tab/>
        <w:t xml:space="preserve">in the first computation of the surplus, no account shall be taken of amounts referred to in the </w:t>
      </w:r>
      <w:r w:rsidRPr="00412620">
        <w:rPr>
          <w:rStyle w:val="FootnoteReference"/>
          <w:rFonts w:cs="Arial"/>
          <w:sz w:val="20"/>
        </w:rPr>
        <w:footnoteReference w:id="2369"/>
      </w:r>
      <w:r w:rsidRPr="00412620">
        <w:rPr>
          <w:sz w:val="20"/>
        </w:rPr>
        <w:t>[said clause] to the extent to which they are paid out, or in respect of any surplus brought forward from a previous inter-valuation period; and</w:t>
      </w:r>
    </w:p>
    <w:p w:rsidR="00AA4BF8" w:rsidRPr="00412620" w:rsidRDefault="00AA4BF8" w:rsidP="00AA4BF8">
      <w:pPr>
        <w:jc w:val="both"/>
        <w:rPr>
          <w:sz w:val="20"/>
        </w:rPr>
      </w:pPr>
    </w:p>
    <w:p w:rsidR="00AA4BF8" w:rsidRPr="00412620" w:rsidRDefault="00AA4BF8" w:rsidP="00AA4BF8">
      <w:pPr>
        <w:ind w:left="1620" w:hanging="540"/>
        <w:jc w:val="both"/>
        <w:rPr>
          <w:sz w:val="20"/>
        </w:rPr>
      </w:pPr>
      <w:r w:rsidRPr="00412620">
        <w:rPr>
          <w:sz w:val="20"/>
        </w:rPr>
        <w:t>(b)</w:t>
      </w:r>
      <w:r w:rsidRPr="00412620">
        <w:rPr>
          <w:sz w:val="20"/>
        </w:rPr>
        <w:tab/>
        <w:t xml:space="preserve">if any amount reserved for policy-holders ceases to be so reserved, and is not paid to, or expended on behalf of policy-holders, the sums previously allowed as a deduction under this Ordinance </w:t>
      </w:r>
      <w:r w:rsidRPr="00412620">
        <w:rPr>
          <w:rStyle w:val="FootnoteReference"/>
          <w:rFonts w:cs="Arial"/>
          <w:sz w:val="20"/>
        </w:rPr>
        <w:footnoteReference w:id="2370"/>
      </w:r>
      <w:r w:rsidRPr="00412620">
        <w:rPr>
          <w:sz w:val="20"/>
        </w:rPr>
        <w:t xml:space="preserve">[or the repealed Ordinance] shall be treated as part of the </w:t>
      </w:r>
      <w:r w:rsidRPr="00412620">
        <w:rPr>
          <w:rStyle w:val="FootnoteReference"/>
          <w:rFonts w:cs="Arial"/>
          <w:sz w:val="20"/>
        </w:rPr>
        <w:footnoteReference w:id="2371"/>
      </w:r>
      <w:r w:rsidRPr="00412620">
        <w:rPr>
          <w:sz w:val="20"/>
        </w:rPr>
        <w:t>[respective statutory fund] for the tax year in which the amount ceased to be so reserved.</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For the purposes of clause (b) of sub-rule (1), if it appears to the Commissioner, after consultation with the Securities and Exchange Commission of Pakistan, that the rate of profit on debt or other factors employed in determining the liability in respect of outstanding policies is inconsistent with the valuation of investments so as artificially to reduce the surplus, the Commissioner may make such adjustment to the allowance for depreciation, or in respect of appreciation, of such investment as the Commissioner thinks reasonable.</w:t>
      </w:r>
    </w:p>
    <w:p w:rsidR="00AA4BF8" w:rsidRPr="00412620" w:rsidRDefault="00AA4BF8" w:rsidP="00AA4BF8">
      <w:pPr>
        <w:jc w:val="both"/>
        <w:rPr>
          <w:sz w:val="20"/>
        </w:rPr>
      </w:pPr>
    </w:p>
    <w:p w:rsidR="00AA4BF8" w:rsidRPr="00412620" w:rsidRDefault="00AA4BF8" w:rsidP="00AA4BF8">
      <w:pPr>
        <w:jc w:val="both"/>
        <w:rPr>
          <w:sz w:val="20"/>
        </w:rPr>
      </w:pPr>
      <w:r w:rsidRPr="00412620">
        <w:rPr>
          <w:rStyle w:val="FootnoteReference"/>
          <w:rFonts w:cs="Arial"/>
          <w:sz w:val="20"/>
        </w:rPr>
        <w:footnoteReference w:id="2372"/>
      </w:r>
      <w:r w:rsidRPr="00412620">
        <w:rPr>
          <w:sz w:val="20"/>
        </w:rPr>
        <w:t>[  ]</w:t>
      </w:r>
    </w:p>
    <w:p w:rsidR="00AA4BF8" w:rsidRPr="00412620" w:rsidRDefault="00AA4BF8" w:rsidP="00AA4BF8">
      <w:pPr>
        <w:jc w:val="both"/>
        <w:rPr>
          <w:sz w:val="20"/>
        </w:rPr>
      </w:pPr>
    </w:p>
    <w:p w:rsidR="00AA4BF8" w:rsidRPr="00412620" w:rsidRDefault="00AA4BF8" w:rsidP="00AA4BF8">
      <w:pPr>
        <w:pStyle w:val="Heading3"/>
        <w:spacing w:line="240" w:lineRule="auto"/>
        <w:jc w:val="both"/>
        <w:rPr>
          <w:caps w:val="0"/>
          <w:sz w:val="20"/>
        </w:rPr>
      </w:pPr>
      <w:r w:rsidRPr="00412620">
        <w:rPr>
          <w:caps w:val="0"/>
          <w:sz w:val="20"/>
        </w:rPr>
        <w:t>General Insurance</w:t>
      </w:r>
    </w:p>
    <w:p w:rsidR="00AA4BF8" w:rsidRPr="00412620" w:rsidRDefault="00AA4BF8" w:rsidP="00AA4BF8">
      <w:pPr>
        <w:keepNext/>
        <w:jc w:val="both"/>
        <w:rPr>
          <w:sz w:val="20"/>
        </w:rPr>
      </w:pPr>
    </w:p>
    <w:p w:rsidR="00AA4BF8" w:rsidRPr="00412620" w:rsidRDefault="00AA4BF8" w:rsidP="00AA4BF8">
      <w:pPr>
        <w:jc w:val="both"/>
        <w:rPr>
          <w:sz w:val="20"/>
        </w:rPr>
      </w:pPr>
      <w:r w:rsidRPr="00412620">
        <w:rPr>
          <w:sz w:val="20"/>
        </w:rPr>
        <w:t>5.</w:t>
      </w:r>
      <w:r w:rsidRPr="00412620">
        <w:rPr>
          <w:sz w:val="20"/>
        </w:rPr>
        <w:tab/>
        <w:t xml:space="preserve">The profits and gains of any business of insurance (other than life insurance) shall be taken to be the balance of the profits disclosed by the annual accounts required under the Insurance Ordinance, 2000 (XXXIX of 2000), to be furnished to the Securities and Exchange </w:t>
      </w:r>
      <w:r w:rsidRPr="00412620">
        <w:rPr>
          <w:rStyle w:val="FootnoteReference"/>
          <w:rFonts w:cs="Arial"/>
          <w:sz w:val="20"/>
        </w:rPr>
        <w:footnoteReference w:id="2373"/>
      </w:r>
      <w:r w:rsidRPr="00412620">
        <w:rPr>
          <w:sz w:val="20"/>
        </w:rPr>
        <w:t>[Commission] of Pakistan subject to the following adjustments –</w:t>
      </w:r>
    </w:p>
    <w:p w:rsidR="00AA4BF8" w:rsidRPr="00412620" w:rsidRDefault="00AA4BF8" w:rsidP="00AA4BF8">
      <w:pPr>
        <w:jc w:val="both"/>
        <w:rPr>
          <w:sz w:val="20"/>
        </w:rPr>
      </w:pPr>
    </w:p>
    <w:p w:rsidR="00AA4BF8" w:rsidRPr="00412620" w:rsidRDefault="00AA4BF8" w:rsidP="00AA4BF8">
      <w:pPr>
        <w:pStyle w:val="BodyTextIndent"/>
        <w:ind w:left="1620" w:hanging="540"/>
        <w:jc w:val="both"/>
        <w:rPr>
          <w:sz w:val="20"/>
        </w:rPr>
      </w:pPr>
      <w:r w:rsidRPr="00412620">
        <w:rPr>
          <w:sz w:val="20"/>
        </w:rPr>
        <w:t>(a)</w:t>
      </w:r>
      <w:r w:rsidRPr="00412620">
        <w:rPr>
          <w:sz w:val="20"/>
        </w:rPr>
        <w:tab/>
        <w:t>any expenditure or allowance, or any reserve or provision for any expenditure, or the amount of any tax deducted at source from dividends or profit on debt received which is not deductible in computing the income chargeable under the head “Income from Business” shall be excluded;</w:t>
      </w:r>
    </w:p>
    <w:p w:rsidR="00AA4BF8" w:rsidRPr="00412620" w:rsidRDefault="00AA4BF8" w:rsidP="00AA4BF8">
      <w:pPr>
        <w:pStyle w:val="BodyTextIndent"/>
        <w:jc w:val="both"/>
        <w:rPr>
          <w:sz w:val="20"/>
        </w:rPr>
      </w:pPr>
      <w:r w:rsidRPr="00412620">
        <w:rPr>
          <w:sz w:val="20"/>
        </w:rPr>
        <w:tab/>
      </w:r>
    </w:p>
    <w:p w:rsidR="00AA4BF8" w:rsidRPr="00412620" w:rsidRDefault="00AA4BF8" w:rsidP="00AA4BF8">
      <w:pPr>
        <w:pStyle w:val="BodyTextIndent"/>
        <w:ind w:left="1620" w:hanging="526"/>
        <w:jc w:val="both"/>
        <w:rPr>
          <w:sz w:val="20"/>
        </w:rPr>
      </w:pPr>
      <w:r w:rsidRPr="00412620">
        <w:rPr>
          <w:rStyle w:val="FootnoteReference"/>
          <w:rFonts w:cs="Arial"/>
          <w:sz w:val="20"/>
        </w:rPr>
        <w:footnoteReference w:id="2374"/>
      </w:r>
      <w:r w:rsidRPr="00412620">
        <w:rPr>
          <w:sz w:val="20"/>
        </w:rPr>
        <w:t xml:space="preserve">[(b) </w:t>
      </w:r>
      <w:r w:rsidRPr="00412620">
        <w:rPr>
          <w:sz w:val="20"/>
        </w:rPr>
        <w:tab/>
        <w:t>subject to the provisions of rule 6A, any amount of investment  written off shall be allowed as a deduction, but any amount taken to reserve to meet depreciation of investments shall not be allowed as a deduction, and any sums taken credit for in the accounts on account of appreciation of investment shall not be treated as part of the profits and gains, unless these have been crystallized as gains or losses on the realization of investments;]</w:t>
      </w:r>
    </w:p>
    <w:p w:rsidR="00AA4BF8" w:rsidRPr="00412620" w:rsidRDefault="00AA4BF8" w:rsidP="00AA4BF8">
      <w:pPr>
        <w:pStyle w:val="BodyTextIndent"/>
        <w:jc w:val="both"/>
        <w:rPr>
          <w:sz w:val="20"/>
        </w:rPr>
      </w:pPr>
    </w:p>
    <w:p w:rsidR="00AA4BF8" w:rsidRPr="00412620" w:rsidRDefault="00AA4BF8" w:rsidP="00AA4BF8">
      <w:pPr>
        <w:pStyle w:val="BodyTextIndent"/>
        <w:ind w:left="1620" w:hanging="540"/>
        <w:jc w:val="both"/>
        <w:rPr>
          <w:sz w:val="20"/>
        </w:rPr>
      </w:pPr>
      <w:r w:rsidRPr="00412620">
        <w:rPr>
          <w:sz w:val="20"/>
        </w:rPr>
        <w:t>(c)</w:t>
      </w:r>
      <w:r w:rsidRPr="00412620">
        <w:rPr>
          <w:sz w:val="20"/>
        </w:rPr>
        <w:tab/>
        <w:t xml:space="preserve">no deduction shall be allowed for any expenditure, allowance, reserve, or provision in excess of the limits laid down in the Insurance Ordinance, 2000 (XXXIX of 2000), unless the excess is allowed by the </w:t>
      </w:r>
      <w:r w:rsidRPr="00412620">
        <w:rPr>
          <w:rStyle w:val="FootnoteReference"/>
          <w:rFonts w:cs="Arial"/>
          <w:sz w:val="20"/>
        </w:rPr>
        <w:footnoteReference w:id="2375"/>
      </w:r>
      <w:r w:rsidRPr="00412620">
        <w:rPr>
          <w:sz w:val="20"/>
        </w:rPr>
        <w:t xml:space="preserve">[Securities] and Exchange Commission and is incurred in deriving income chargeable to tax </w:t>
      </w:r>
      <w:r w:rsidRPr="00412620">
        <w:rPr>
          <w:rStyle w:val="FootnoteReference"/>
          <w:rFonts w:cs="Arial"/>
          <w:sz w:val="20"/>
        </w:rPr>
        <w:footnoteReference w:id="2376"/>
      </w:r>
      <w:r w:rsidRPr="00412620">
        <w:rPr>
          <w:sz w:val="20"/>
        </w:rPr>
        <w:t>[; and]</w:t>
      </w:r>
    </w:p>
    <w:p w:rsidR="00AA4BF8" w:rsidRPr="00412620" w:rsidRDefault="00AA4BF8" w:rsidP="00AA4BF8">
      <w:pPr>
        <w:pStyle w:val="BodyTextIndent"/>
        <w:ind w:left="0" w:firstLine="0"/>
        <w:jc w:val="both"/>
        <w:rPr>
          <w:sz w:val="20"/>
        </w:rPr>
      </w:pPr>
    </w:p>
    <w:p w:rsidR="00AA4BF8" w:rsidRPr="00412620" w:rsidRDefault="00AA4BF8" w:rsidP="00AA4BF8">
      <w:pPr>
        <w:pStyle w:val="BodyTextIndent"/>
        <w:ind w:left="1620" w:hanging="525"/>
        <w:jc w:val="both"/>
        <w:rPr>
          <w:sz w:val="20"/>
        </w:rPr>
      </w:pPr>
      <w:r w:rsidRPr="00412620">
        <w:rPr>
          <w:rStyle w:val="FootnoteReference"/>
          <w:rFonts w:cs="Arial"/>
          <w:sz w:val="20"/>
        </w:rPr>
        <w:footnoteReference w:id="2377"/>
      </w:r>
      <w:r w:rsidRPr="00412620">
        <w:rPr>
          <w:sz w:val="20"/>
        </w:rPr>
        <w:t xml:space="preserve">[(d) </w:t>
      </w:r>
      <w:r w:rsidRPr="00412620">
        <w:rPr>
          <w:sz w:val="20"/>
        </w:rPr>
        <w:tab/>
        <w:t xml:space="preserve">no deduction shall be allowed for any expenditure incurred on account of insurance premium or re-insurance premium paid to an overseas insurance or re-insurance company or a local agent of an overseas insurance company </w:t>
      </w:r>
      <w:r w:rsidRPr="00412620">
        <w:rPr>
          <w:sz w:val="20"/>
        </w:rPr>
        <w:lastRenderedPageBreak/>
        <w:t>until tax at the rate of 5% is withheld on the gross amount of insurance or re-insurance premium.]</w:t>
      </w:r>
    </w:p>
    <w:p w:rsidR="00AA4BF8" w:rsidRPr="00412620" w:rsidRDefault="00AA4BF8" w:rsidP="00AA4BF8">
      <w:pPr>
        <w:jc w:val="both"/>
        <w:rPr>
          <w:sz w:val="20"/>
        </w:rPr>
      </w:pPr>
    </w:p>
    <w:p w:rsidR="00AA4BF8" w:rsidRPr="00412620" w:rsidRDefault="00AA4BF8" w:rsidP="00AA4BF8">
      <w:pPr>
        <w:pStyle w:val="Header"/>
        <w:keepNext/>
        <w:tabs>
          <w:tab w:val="left" w:pos="547"/>
        </w:tabs>
        <w:jc w:val="both"/>
        <w:rPr>
          <w:sz w:val="20"/>
        </w:rPr>
      </w:pPr>
      <w:r w:rsidRPr="00412620">
        <w:rPr>
          <w:b/>
          <w:bCs/>
          <w:sz w:val="20"/>
        </w:rPr>
        <w:t>Mutual Insurance Association</w:t>
      </w:r>
    </w:p>
    <w:p w:rsidR="00AA4BF8" w:rsidRPr="00013CEF" w:rsidRDefault="00AA4BF8" w:rsidP="00AA4BF8">
      <w:pPr>
        <w:pStyle w:val="Header"/>
        <w:keepNext/>
        <w:tabs>
          <w:tab w:val="left" w:pos="547"/>
        </w:tabs>
        <w:jc w:val="both"/>
        <w:rPr>
          <w:sz w:val="10"/>
        </w:rPr>
      </w:pPr>
    </w:p>
    <w:p w:rsidR="00AA4BF8" w:rsidRPr="00412620" w:rsidRDefault="00AA4BF8" w:rsidP="00AA4BF8">
      <w:pPr>
        <w:pStyle w:val="Header"/>
        <w:tabs>
          <w:tab w:val="left" w:pos="547"/>
        </w:tabs>
        <w:jc w:val="both"/>
        <w:rPr>
          <w:sz w:val="20"/>
        </w:rPr>
      </w:pPr>
      <w:r w:rsidRPr="00412620">
        <w:rPr>
          <w:sz w:val="20"/>
        </w:rPr>
        <w:t>6.</w:t>
      </w:r>
      <w:r w:rsidRPr="00412620">
        <w:rPr>
          <w:sz w:val="20"/>
        </w:rPr>
        <w:tab/>
        <w:t>These rules shall also apply to the assessment of the profits and gains of any business of insurance carried on by a mutual insurance association and such profits and gains shall be chargeable to tax under the head “Income from Business”.</w:t>
      </w:r>
    </w:p>
    <w:p w:rsidR="00AA4BF8" w:rsidRPr="00013CEF" w:rsidRDefault="00AA4BF8" w:rsidP="00AA4BF8">
      <w:pPr>
        <w:pStyle w:val="Header"/>
        <w:tabs>
          <w:tab w:val="left" w:pos="547"/>
        </w:tabs>
        <w:jc w:val="both"/>
        <w:rPr>
          <w:sz w:val="10"/>
        </w:rPr>
      </w:pPr>
    </w:p>
    <w:p w:rsidR="00AA4BF8" w:rsidRPr="003409C0" w:rsidRDefault="001A1BE7" w:rsidP="00AA4BF8">
      <w:pPr>
        <w:pStyle w:val="Header"/>
        <w:tabs>
          <w:tab w:val="left" w:pos="547"/>
        </w:tabs>
        <w:jc w:val="both"/>
        <w:rPr>
          <w:color w:val="000000" w:themeColor="text1"/>
          <w:sz w:val="20"/>
        </w:rPr>
      </w:pPr>
      <w:r w:rsidRPr="003409C0">
        <w:rPr>
          <w:rStyle w:val="FootnoteReference"/>
          <w:color w:val="000000" w:themeColor="text1"/>
          <w:sz w:val="20"/>
        </w:rPr>
        <w:footnoteReference w:id="2378"/>
      </w:r>
      <w:r w:rsidRPr="003409C0">
        <w:rPr>
          <w:color w:val="000000" w:themeColor="text1"/>
          <w:sz w:val="20"/>
        </w:rPr>
        <w:t xml:space="preserve">[   ] </w:t>
      </w:r>
    </w:p>
    <w:p w:rsidR="00013CEF" w:rsidRPr="00013CEF" w:rsidRDefault="00013CEF" w:rsidP="00AA4BF8">
      <w:pPr>
        <w:pStyle w:val="Header"/>
        <w:tabs>
          <w:tab w:val="left" w:pos="547"/>
        </w:tabs>
        <w:jc w:val="both"/>
        <w:rPr>
          <w:sz w:val="10"/>
        </w:rPr>
      </w:pPr>
    </w:p>
    <w:p w:rsidR="00013CEF" w:rsidRPr="00443A1D" w:rsidRDefault="00AA4BF8" w:rsidP="00810A7F">
      <w:pPr>
        <w:pStyle w:val="Header"/>
        <w:tabs>
          <w:tab w:val="left" w:pos="547"/>
        </w:tabs>
        <w:jc w:val="both"/>
        <w:rPr>
          <w:sz w:val="16"/>
        </w:rPr>
      </w:pPr>
      <w:r w:rsidRPr="00412620">
        <w:rPr>
          <w:rStyle w:val="FootnoteReference"/>
          <w:rFonts w:cs="Arial"/>
          <w:snapToGrid w:val="0"/>
          <w:sz w:val="20"/>
        </w:rPr>
        <w:footnoteReference w:id="2379"/>
      </w:r>
      <w:r w:rsidRPr="00412620">
        <w:rPr>
          <w:sz w:val="20"/>
        </w:rPr>
        <w:t>[</w:t>
      </w:r>
      <w:r w:rsidR="00810A7F">
        <w:rPr>
          <w:sz w:val="20"/>
        </w:rPr>
        <w:t xml:space="preserve"> </w:t>
      </w:r>
      <w:r w:rsidR="00810A7F" w:rsidRPr="000E5E48">
        <w:rPr>
          <w:rStyle w:val="FootnoteReference"/>
          <w:color w:val="0070C0"/>
          <w:sz w:val="20"/>
        </w:rPr>
        <w:footnoteReference w:id="2380"/>
      </w:r>
      <w:r w:rsidR="00810A7F" w:rsidRPr="000E5E48">
        <w:rPr>
          <w:rFonts w:cs="Arial"/>
          <w:color w:val="0070C0"/>
          <w:sz w:val="20"/>
        </w:rPr>
        <w:t>[“6B.</w:t>
      </w:r>
      <w:r w:rsidR="00810A7F" w:rsidRPr="000E5E48">
        <w:rPr>
          <w:rFonts w:cs="Arial"/>
          <w:color w:val="0070C0"/>
          <w:sz w:val="20"/>
        </w:rPr>
        <w:tab/>
        <w:t>In computing income under this Schedule, there shall be included capital gains on disposal of shares and dividend of listed companies, vouchers of Pakistan Telecommunication corporation, modaraba certificate or instruments of redeemable capital and derivative products and shall be taxed at the rates specified in Division II of Part I of First Schedule.”]</w:t>
      </w:r>
      <w:r w:rsidR="00810A7F">
        <w:rPr>
          <w:rFonts w:cs="Arial"/>
          <w:szCs w:val="24"/>
        </w:rPr>
        <w:t xml:space="preserve"> </w:t>
      </w:r>
    </w:p>
    <w:p w:rsidR="00810A7F" w:rsidRDefault="00810A7F" w:rsidP="00810A7F">
      <w:pPr>
        <w:pStyle w:val="BodyTextIndent"/>
        <w:jc w:val="both"/>
        <w:rPr>
          <w:color w:val="984806" w:themeColor="accent6" w:themeShade="80"/>
          <w:sz w:val="20"/>
        </w:rPr>
      </w:pPr>
    </w:p>
    <w:p w:rsidR="00AA4BF8" w:rsidRPr="003409C0" w:rsidRDefault="00013CEF" w:rsidP="00810A7F">
      <w:pPr>
        <w:pStyle w:val="BodyTextIndent"/>
        <w:jc w:val="both"/>
        <w:rPr>
          <w:color w:val="000000" w:themeColor="text1"/>
          <w:sz w:val="20"/>
        </w:rPr>
      </w:pPr>
      <w:r w:rsidRPr="003409C0">
        <w:rPr>
          <w:rStyle w:val="FootnoteReference"/>
          <w:color w:val="000000" w:themeColor="text1"/>
          <w:sz w:val="20"/>
        </w:rPr>
        <w:footnoteReference w:id="2381"/>
      </w:r>
      <w:r w:rsidRPr="003409C0">
        <w:rPr>
          <w:color w:val="000000" w:themeColor="text1"/>
          <w:sz w:val="20"/>
        </w:rPr>
        <w:t xml:space="preserve">[   ] </w:t>
      </w:r>
    </w:p>
    <w:p w:rsidR="00810A7F" w:rsidRDefault="00810A7F" w:rsidP="00AA4BF8">
      <w:pPr>
        <w:pStyle w:val="BodyTextIndent"/>
        <w:ind w:left="0" w:firstLine="0"/>
        <w:jc w:val="both"/>
        <w:rPr>
          <w:sz w:val="20"/>
        </w:rPr>
      </w:pPr>
    </w:p>
    <w:p w:rsidR="00AA4BF8" w:rsidRDefault="00AA4BF8" w:rsidP="00AA4BF8">
      <w:pPr>
        <w:pStyle w:val="BodyTextIndent"/>
        <w:ind w:left="0" w:firstLine="0"/>
        <w:jc w:val="both"/>
        <w:rPr>
          <w:sz w:val="20"/>
        </w:rPr>
      </w:pPr>
      <w:r w:rsidRPr="00412620">
        <w:rPr>
          <w:rStyle w:val="FootnoteReference"/>
          <w:rFonts w:cs="Arial"/>
          <w:snapToGrid w:val="0"/>
          <w:sz w:val="20"/>
        </w:rPr>
        <w:footnoteReference w:id="2382"/>
      </w:r>
      <w:r w:rsidRPr="00412620">
        <w:rPr>
          <w:sz w:val="20"/>
        </w:rPr>
        <w:t xml:space="preserve">[(6C) Notwithstanding anything contained in this Ordinance, where loss on disposal of securities is sustained in a tax year, the loss shall be set off only </w:t>
      </w:r>
      <w:r w:rsidRPr="00412620">
        <w:rPr>
          <w:sz w:val="20"/>
        </w:rPr>
        <w:lastRenderedPageBreak/>
        <w:t>against the gain from any other securities chargeable to tax under Rule 6B and no loss shall be carried forward to the subsequent tax year.]</w:t>
      </w:r>
    </w:p>
    <w:p w:rsidR="00EF5FC6" w:rsidRDefault="00EF5FC6" w:rsidP="00AA4BF8">
      <w:pPr>
        <w:pStyle w:val="BodyTextIndent"/>
        <w:ind w:left="0" w:firstLine="0"/>
        <w:jc w:val="both"/>
        <w:rPr>
          <w:sz w:val="20"/>
        </w:rPr>
      </w:pPr>
    </w:p>
    <w:p w:rsidR="00EF5FC6" w:rsidRPr="003409C0" w:rsidRDefault="00EF5FC6" w:rsidP="00EF5FC6">
      <w:pPr>
        <w:autoSpaceDE w:val="0"/>
        <w:autoSpaceDN w:val="0"/>
        <w:adjustRightInd w:val="0"/>
        <w:jc w:val="both"/>
        <w:rPr>
          <w:color w:val="000000" w:themeColor="text1"/>
          <w:sz w:val="20"/>
        </w:rPr>
      </w:pPr>
      <w:r w:rsidRPr="003409C0">
        <w:rPr>
          <w:rStyle w:val="FootnoteReference"/>
          <w:rFonts w:cs="Arial"/>
          <w:b/>
          <w:bCs/>
          <w:color w:val="000000" w:themeColor="text1"/>
          <w:sz w:val="20"/>
          <w:lang w:val="en-US"/>
        </w:rPr>
        <w:footnoteReference w:id="2383"/>
      </w:r>
      <w:r w:rsidRPr="003409C0">
        <w:rPr>
          <w:rFonts w:cs="Arial"/>
          <w:b/>
          <w:bCs/>
          <w:color w:val="000000" w:themeColor="text1"/>
          <w:sz w:val="20"/>
          <w:lang w:val="en-US"/>
        </w:rPr>
        <w:t>[</w:t>
      </w:r>
      <w:r w:rsidR="00AB6879" w:rsidRPr="003409C0">
        <w:rPr>
          <w:rFonts w:cs="Arial"/>
          <w:b/>
          <w:bCs/>
          <w:color w:val="000000" w:themeColor="text1"/>
          <w:sz w:val="20"/>
          <w:lang w:val="en-US"/>
        </w:rPr>
        <w:t>“</w:t>
      </w:r>
      <w:r w:rsidRPr="003409C0">
        <w:rPr>
          <w:rFonts w:cs="Arial"/>
          <w:b/>
          <w:bCs/>
          <w:color w:val="000000" w:themeColor="text1"/>
          <w:sz w:val="20"/>
          <w:lang w:val="en-US"/>
        </w:rPr>
        <w:t xml:space="preserve">6D. </w:t>
      </w:r>
      <w:r w:rsidRPr="003409C0">
        <w:rPr>
          <w:rFonts w:cs="Arial"/>
          <w:color w:val="000000" w:themeColor="text1"/>
          <w:sz w:val="20"/>
          <w:lang w:val="en-US"/>
        </w:rPr>
        <w:t>The provisions of section 4B shall apply to the taxpayers under this schedule and taxed at the rates specified in Division IIA of Part I of the First Schedule.”]</w:t>
      </w:r>
    </w:p>
    <w:p w:rsidR="00AA4BF8" w:rsidRPr="00412620" w:rsidRDefault="00AA4BF8" w:rsidP="00AA4BF8">
      <w:pPr>
        <w:pStyle w:val="Header"/>
        <w:tabs>
          <w:tab w:val="left" w:pos="547"/>
        </w:tabs>
        <w:jc w:val="both"/>
        <w:rPr>
          <w:sz w:val="20"/>
        </w:rPr>
      </w:pPr>
    </w:p>
    <w:p w:rsidR="00AA4BF8" w:rsidRPr="00412620" w:rsidRDefault="00AA4BF8" w:rsidP="00AA4BF8">
      <w:pPr>
        <w:pStyle w:val="Header"/>
        <w:keepNext/>
        <w:tabs>
          <w:tab w:val="left" w:pos="547"/>
        </w:tabs>
        <w:jc w:val="both"/>
        <w:rPr>
          <w:sz w:val="20"/>
        </w:rPr>
      </w:pPr>
      <w:r w:rsidRPr="00412620">
        <w:rPr>
          <w:b/>
          <w:bCs/>
          <w:sz w:val="20"/>
        </w:rPr>
        <w:t xml:space="preserve">Definitions </w:t>
      </w:r>
    </w:p>
    <w:p w:rsidR="00AA4BF8" w:rsidRPr="00412620" w:rsidRDefault="00AA4BF8" w:rsidP="00AA4BF8">
      <w:pPr>
        <w:pStyle w:val="Header"/>
        <w:keepNext/>
        <w:tabs>
          <w:tab w:val="left" w:pos="547"/>
        </w:tabs>
        <w:jc w:val="both"/>
        <w:rPr>
          <w:sz w:val="20"/>
        </w:rPr>
      </w:pPr>
    </w:p>
    <w:p w:rsidR="00AA4BF8" w:rsidRPr="00412620" w:rsidRDefault="00AA4BF8" w:rsidP="00AA4BF8">
      <w:pPr>
        <w:pStyle w:val="Header"/>
        <w:tabs>
          <w:tab w:val="left" w:pos="547"/>
        </w:tabs>
        <w:jc w:val="both"/>
        <w:rPr>
          <w:sz w:val="20"/>
        </w:rPr>
      </w:pPr>
      <w:r w:rsidRPr="00412620">
        <w:rPr>
          <w:sz w:val="20"/>
        </w:rPr>
        <w:t>7.</w:t>
      </w:r>
      <w:r w:rsidRPr="00412620">
        <w:rPr>
          <w:sz w:val="20"/>
        </w:rPr>
        <w:tab/>
        <w:t>In this Schedule, –</w:t>
      </w:r>
    </w:p>
    <w:p w:rsidR="00AA4BF8" w:rsidRPr="00412620" w:rsidRDefault="00AA4BF8" w:rsidP="00AA4BF8">
      <w:pPr>
        <w:pStyle w:val="Header"/>
        <w:tabs>
          <w:tab w:val="left" w:pos="547"/>
        </w:tabs>
        <w:jc w:val="both"/>
        <w:rPr>
          <w:sz w:val="20"/>
        </w:rPr>
      </w:pPr>
    </w:p>
    <w:p w:rsidR="00AA4BF8" w:rsidRPr="00412620" w:rsidRDefault="00AA4BF8" w:rsidP="00AA4BF8">
      <w:pPr>
        <w:pStyle w:val="BodyTextIndent2"/>
        <w:ind w:left="540"/>
        <w:jc w:val="both"/>
        <w:rPr>
          <w:sz w:val="20"/>
        </w:rPr>
      </w:pPr>
      <w:r w:rsidRPr="00412620">
        <w:rPr>
          <w:sz w:val="20"/>
        </w:rPr>
        <w:t xml:space="preserve">“investments” includes all forms of shares, debentures, bonds, deposits and other securities, derivative instruments, and includes immovable property whether or not occupied by the insurer; </w:t>
      </w:r>
    </w:p>
    <w:p w:rsidR="00AA4BF8" w:rsidRPr="00412620" w:rsidRDefault="00AA4BF8" w:rsidP="00AA4BF8">
      <w:pPr>
        <w:ind w:left="540" w:hanging="540"/>
        <w:jc w:val="both"/>
        <w:rPr>
          <w:sz w:val="20"/>
        </w:rPr>
      </w:pPr>
    </w:p>
    <w:p w:rsidR="00AA4BF8" w:rsidRPr="00412620" w:rsidRDefault="00AA4BF8" w:rsidP="00AA4BF8">
      <w:pPr>
        <w:pStyle w:val="BodyTextIndent2"/>
        <w:ind w:left="540"/>
        <w:jc w:val="both"/>
        <w:rPr>
          <w:sz w:val="20"/>
        </w:rPr>
      </w:pPr>
      <w:r w:rsidRPr="00412620">
        <w:rPr>
          <w:sz w:val="20"/>
        </w:rPr>
        <w:t>“life insurance business” means life insurance business as defined in section 4 of the Insurance Ordinance, 2000 (XXXIX of 2000);</w:t>
      </w:r>
      <w:r w:rsidRPr="00412620">
        <w:rPr>
          <w:rStyle w:val="FootnoteReference"/>
          <w:rFonts w:cs="Arial"/>
          <w:sz w:val="20"/>
        </w:rPr>
        <w:footnoteReference w:id="2384"/>
      </w:r>
      <w:r w:rsidRPr="00412620">
        <w:rPr>
          <w:sz w:val="20"/>
        </w:rPr>
        <w:t>[and]</w:t>
      </w:r>
    </w:p>
    <w:p w:rsidR="00AA4BF8" w:rsidRPr="00412620" w:rsidRDefault="00AA4BF8" w:rsidP="00AA4BF8">
      <w:pPr>
        <w:pStyle w:val="BodyTextIndent2"/>
        <w:ind w:left="0"/>
        <w:jc w:val="both"/>
        <w:rPr>
          <w:sz w:val="20"/>
        </w:rPr>
      </w:pPr>
    </w:p>
    <w:p w:rsidR="00AA4BF8" w:rsidRPr="00412620" w:rsidRDefault="00AA4BF8" w:rsidP="00AA4BF8">
      <w:pPr>
        <w:pStyle w:val="BodyTextIndent2"/>
        <w:ind w:left="540"/>
        <w:jc w:val="both"/>
        <w:rPr>
          <w:sz w:val="20"/>
        </w:rPr>
      </w:pPr>
      <w:r w:rsidRPr="00412620">
        <w:rPr>
          <w:sz w:val="20"/>
        </w:rPr>
        <w:t xml:space="preserve">“Securities and Exchange Commission of Pakistan” means the Securities and Exchange Commission established under the Securities and Exchange Commission of Pakistan Act, 1997 (XLII of 1997) </w:t>
      </w:r>
      <w:r w:rsidRPr="00412620">
        <w:rPr>
          <w:rStyle w:val="FootnoteReference"/>
          <w:rFonts w:cs="Arial"/>
          <w:sz w:val="20"/>
        </w:rPr>
        <w:footnoteReference w:id="2385"/>
      </w:r>
      <w:r w:rsidRPr="00412620">
        <w:rPr>
          <w:sz w:val="20"/>
        </w:rPr>
        <w:t>[:]</w:t>
      </w:r>
    </w:p>
    <w:p w:rsidR="00AA4BF8" w:rsidRPr="00412620" w:rsidRDefault="00AA4BF8" w:rsidP="00AA4BF8">
      <w:pPr>
        <w:pStyle w:val="BodyTextIndent2"/>
        <w:ind w:left="540"/>
        <w:jc w:val="both"/>
        <w:rPr>
          <w:sz w:val="20"/>
        </w:rPr>
      </w:pPr>
    </w:p>
    <w:p w:rsidR="00AA4BF8" w:rsidRPr="00412620" w:rsidRDefault="00AA4BF8" w:rsidP="00AA4BF8">
      <w:pPr>
        <w:pStyle w:val="BodyTextIndent2"/>
        <w:ind w:left="540"/>
        <w:jc w:val="both"/>
        <w:rPr>
          <w:b/>
          <w:bCs/>
          <w:sz w:val="20"/>
        </w:rPr>
      </w:pPr>
      <w:r w:rsidRPr="00412620">
        <w:rPr>
          <w:rStyle w:val="FootnoteReference"/>
          <w:rFonts w:cs="Arial"/>
          <w:snapToGrid w:val="0"/>
          <w:sz w:val="20"/>
        </w:rPr>
        <w:footnoteReference w:id="2386"/>
      </w:r>
      <w:r w:rsidRPr="00412620">
        <w:rPr>
          <w:sz w:val="20"/>
        </w:rPr>
        <w:t>[“Securities” for the purposes of Rule 6B means shares of a public company, vouchers of Pakistan Telecommunication Corporation, Modaraba Certificates or instruments of redeemable capital and derivative products.”]</w:t>
      </w:r>
    </w:p>
    <w:p w:rsidR="00AA4BF8" w:rsidRPr="00412620" w:rsidRDefault="00AA4BF8" w:rsidP="00AA4BF8">
      <w:pPr>
        <w:pStyle w:val="BodyTextIndent2"/>
        <w:ind w:left="0"/>
        <w:jc w:val="both"/>
        <w:rPr>
          <w:sz w:val="20"/>
        </w:rPr>
      </w:pPr>
    </w:p>
    <w:p w:rsidR="00AA4BF8" w:rsidRPr="00412620" w:rsidRDefault="00AA4BF8" w:rsidP="00AA4BF8">
      <w:pPr>
        <w:rPr>
          <w:sz w:val="20"/>
        </w:rPr>
      </w:pPr>
      <w:r w:rsidRPr="00412620">
        <w:rPr>
          <w:rStyle w:val="FootnoteReference"/>
          <w:rFonts w:cs="Arial"/>
          <w:sz w:val="20"/>
        </w:rPr>
        <w:footnoteReference w:id="2387"/>
      </w:r>
      <w:r w:rsidRPr="00412620">
        <w:rPr>
          <w:sz w:val="20"/>
        </w:rPr>
        <w:t xml:space="preserve"> [  ]</w:t>
      </w:r>
    </w:p>
    <w:p w:rsidR="00AA4BF8" w:rsidRPr="00412620" w:rsidRDefault="00AA4BF8" w:rsidP="00AA4BF8">
      <w:pPr>
        <w:keepNext/>
        <w:jc w:val="center"/>
        <w:rPr>
          <w:b/>
          <w:bCs/>
          <w:sz w:val="32"/>
          <w:szCs w:val="32"/>
        </w:rPr>
      </w:pPr>
      <w:r w:rsidRPr="00412620">
        <w:rPr>
          <w:sz w:val="20"/>
        </w:rPr>
        <w:br w:type="page"/>
      </w:r>
      <w:r w:rsidRPr="00412620">
        <w:rPr>
          <w:b/>
          <w:bCs/>
          <w:sz w:val="32"/>
          <w:szCs w:val="32"/>
        </w:rPr>
        <w:lastRenderedPageBreak/>
        <w:t>THE FIFTH SCHEDULE</w:t>
      </w:r>
    </w:p>
    <w:p w:rsidR="00AA4BF8" w:rsidRPr="00412620" w:rsidRDefault="00AA4BF8" w:rsidP="00AA4BF8">
      <w:pPr>
        <w:pStyle w:val="BodyText2"/>
        <w:keepNext/>
        <w:rPr>
          <w:sz w:val="20"/>
        </w:rPr>
      </w:pPr>
      <w:r w:rsidRPr="00412620">
        <w:rPr>
          <w:sz w:val="20"/>
        </w:rPr>
        <w:t>(See Section 100)</w:t>
      </w:r>
    </w:p>
    <w:p w:rsidR="00AA4BF8" w:rsidRPr="00412620" w:rsidRDefault="00AA4BF8" w:rsidP="00AA4BF8">
      <w:pPr>
        <w:keepNext/>
        <w:rPr>
          <w:b/>
          <w:bCs/>
          <w:sz w:val="20"/>
        </w:rPr>
      </w:pPr>
    </w:p>
    <w:p w:rsidR="00AA4BF8" w:rsidRPr="00412620" w:rsidRDefault="00AA4BF8" w:rsidP="00AA4BF8">
      <w:pPr>
        <w:pStyle w:val="Heading2"/>
        <w:spacing w:line="240" w:lineRule="auto"/>
        <w:rPr>
          <w:sz w:val="32"/>
          <w:szCs w:val="32"/>
        </w:rPr>
      </w:pPr>
      <w:r w:rsidRPr="00412620">
        <w:rPr>
          <w:sz w:val="32"/>
          <w:szCs w:val="32"/>
        </w:rPr>
        <w:t>PART I</w:t>
      </w:r>
    </w:p>
    <w:p w:rsidR="00AA4BF8" w:rsidRPr="00412620" w:rsidRDefault="00AA4BF8" w:rsidP="00AA4BF8">
      <w:pPr>
        <w:keepNext/>
        <w:rPr>
          <w:b/>
          <w:bCs/>
          <w:sz w:val="20"/>
        </w:rPr>
      </w:pPr>
    </w:p>
    <w:p w:rsidR="00AA4BF8" w:rsidRPr="00412620" w:rsidRDefault="00AA4BF8" w:rsidP="00AA4BF8">
      <w:pPr>
        <w:keepNext/>
        <w:jc w:val="center"/>
        <w:rPr>
          <w:b/>
          <w:bCs/>
          <w:sz w:val="20"/>
        </w:rPr>
      </w:pPr>
      <w:r w:rsidRPr="00412620">
        <w:rPr>
          <w:b/>
          <w:bCs/>
          <w:sz w:val="20"/>
        </w:rPr>
        <w:t>RULES FOR THE COMPUTATION OF THE PROFITS AND GAINS FROM THE EXPLORATION AND PRODUCTION OF PETROLEUM</w:t>
      </w:r>
    </w:p>
    <w:p w:rsidR="00AA4BF8" w:rsidRPr="00412620" w:rsidRDefault="00AA4BF8" w:rsidP="00AA4BF8">
      <w:pPr>
        <w:keepNext/>
        <w:rPr>
          <w:b/>
          <w:bCs/>
          <w:sz w:val="20"/>
        </w:rPr>
      </w:pPr>
    </w:p>
    <w:p w:rsidR="00AA4BF8" w:rsidRPr="00412620" w:rsidRDefault="00AA4BF8" w:rsidP="00AA4BF8">
      <w:pPr>
        <w:pStyle w:val="Heading3"/>
        <w:spacing w:line="240" w:lineRule="auto"/>
        <w:rPr>
          <w:caps w:val="0"/>
          <w:sz w:val="20"/>
        </w:rPr>
      </w:pPr>
      <w:r w:rsidRPr="00412620">
        <w:rPr>
          <w:caps w:val="0"/>
          <w:sz w:val="20"/>
        </w:rPr>
        <w:t>Exploration and Production of Petroleum a Separate Business</w:t>
      </w:r>
    </w:p>
    <w:p w:rsidR="00AA4BF8" w:rsidRPr="00412620" w:rsidRDefault="00AA4BF8" w:rsidP="00AA4BF8">
      <w:pPr>
        <w:pStyle w:val="CommentText"/>
        <w:keepNext/>
      </w:pPr>
    </w:p>
    <w:p w:rsidR="00AA4BF8" w:rsidRPr="00412620" w:rsidRDefault="00AA4BF8" w:rsidP="00AA4BF8">
      <w:pPr>
        <w:jc w:val="both"/>
        <w:rPr>
          <w:sz w:val="20"/>
        </w:rPr>
      </w:pPr>
      <w:r w:rsidRPr="00412620">
        <w:rPr>
          <w:sz w:val="20"/>
        </w:rPr>
        <w:t>1.</w:t>
      </w:r>
      <w:r w:rsidRPr="00412620">
        <w:rPr>
          <w:sz w:val="20"/>
        </w:rPr>
        <w:tab/>
        <w:t>Where any person carries on, or is treated as carrying on, under an agreement with the Federal Government, any business which consists of, or includes, the exploration or production of petroleum in Pakistan or setting up refineries at Dhodak and Bobi fields, income of exploration and production companies from pipeline operations, and manufacture and sale of liquified petroleum gas or compressed natural gas, such business or part thereof, as the case may be, shall be, for the purposes of this Ordinance, treated as a separate business undertaking (hereinafter referred to as “such undertaking”) and the profits and gains of such undertaking shall be computed separately from the income, profits, or gains from any other business, if any, carried on by the person.</w:t>
      </w:r>
    </w:p>
    <w:p w:rsidR="00AA4BF8" w:rsidRPr="00412620" w:rsidRDefault="00AA4BF8" w:rsidP="00AA4BF8">
      <w:pPr>
        <w:jc w:val="both"/>
        <w:rPr>
          <w:sz w:val="20"/>
        </w:rPr>
      </w:pPr>
    </w:p>
    <w:p w:rsidR="00AA4BF8" w:rsidRPr="00412620" w:rsidRDefault="00AA4BF8" w:rsidP="00AA4BF8">
      <w:pPr>
        <w:pStyle w:val="Heading3"/>
        <w:spacing w:line="240" w:lineRule="auto"/>
        <w:jc w:val="both"/>
        <w:rPr>
          <w:caps w:val="0"/>
          <w:sz w:val="20"/>
        </w:rPr>
      </w:pPr>
      <w:r w:rsidRPr="00412620">
        <w:rPr>
          <w:caps w:val="0"/>
          <w:sz w:val="20"/>
        </w:rPr>
        <w:t>Computation of Profits</w:t>
      </w:r>
    </w:p>
    <w:p w:rsidR="00AA4BF8" w:rsidRPr="00412620" w:rsidRDefault="00AA4BF8" w:rsidP="00AA4BF8">
      <w:pPr>
        <w:keepNext/>
        <w:jc w:val="both"/>
        <w:rPr>
          <w:sz w:val="20"/>
        </w:rPr>
      </w:pPr>
    </w:p>
    <w:p w:rsidR="00AA4BF8" w:rsidRPr="00412620" w:rsidRDefault="00AA4BF8" w:rsidP="00AA4BF8">
      <w:pPr>
        <w:jc w:val="both"/>
        <w:rPr>
          <w:sz w:val="20"/>
        </w:rPr>
      </w:pPr>
      <w:r w:rsidRPr="00412620">
        <w:rPr>
          <w:sz w:val="20"/>
        </w:rPr>
        <w:t>2</w:t>
      </w:r>
      <w:r w:rsidRPr="00412620">
        <w:rPr>
          <w:sz w:val="20"/>
        </w:rPr>
        <w:tab/>
        <w:t>(1)</w:t>
      </w:r>
      <w:r w:rsidRPr="00412620">
        <w:rPr>
          <w:sz w:val="20"/>
        </w:rPr>
        <w:tab/>
        <w:t xml:space="preserve">Subject to the provisions of this Part, the profits and gains of such undertaking </w:t>
      </w:r>
      <w:r w:rsidRPr="00412620">
        <w:rPr>
          <w:rStyle w:val="FootnoteReference"/>
          <w:rFonts w:cs="Arial"/>
          <w:sz w:val="20"/>
        </w:rPr>
        <w:footnoteReference w:id="2388"/>
      </w:r>
      <w:r w:rsidRPr="00412620">
        <w:rPr>
          <w:sz w:val="20"/>
        </w:rPr>
        <w:t>[shall be] computed in the manner applicable to income, profits and gains chargeable under the head “Income from Business”.</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Where such person incurs any expenditure on searching for or discovering and testing a petroleum deposit or winning access thereto but the search, exploration, enquiry upon which the expenditure is incurred is given up before the commencement of commercial production, the expenditure allocable to a surrendered area or to the drilling of a dry-hole shall be treated as lost at the time of the surrender of the area or the completion of the dry-hole, as the case may be.</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Where the agreement provides that any portion of the expenditure is treated as lost under sub-rule (2) (hereinafter referred to as the “said loss”) and is allowed against any income of such undertaking, it shall be allowed in either of the following ways as may be provided for in the agreement, namely: —</w:t>
      </w:r>
    </w:p>
    <w:p w:rsidR="00AA4BF8" w:rsidRPr="00412620" w:rsidRDefault="00AA4BF8" w:rsidP="00AA4BF8">
      <w:pPr>
        <w:jc w:val="both"/>
        <w:rPr>
          <w:sz w:val="20"/>
        </w:rPr>
      </w:pPr>
    </w:p>
    <w:p w:rsidR="00AA4BF8" w:rsidRPr="00412620" w:rsidRDefault="00AA4BF8" w:rsidP="00AA4BF8">
      <w:pPr>
        <w:pStyle w:val="BodyTextIndent"/>
        <w:ind w:left="1620" w:hanging="540"/>
        <w:jc w:val="both"/>
        <w:rPr>
          <w:sz w:val="20"/>
        </w:rPr>
      </w:pPr>
      <w:r w:rsidRPr="00412620">
        <w:rPr>
          <w:sz w:val="20"/>
        </w:rPr>
        <w:t>(a)</w:t>
      </w:r>
      <w:r w:rsidRPr="00412620">
        <w:rPr>
          <w:sz w:val="20"/>
        </w:rPr>
        <w:tab/>
        <w:t xml:space="preserve">The said loss in any year shall be set off against the income of that year chargeable under the head “Income from Business” </w:t>
      </w:r>
      <w:r w:rsidRPr="00412620">
        <w:rPr>
          <w:sz w:val="20"/>
        </w:rPr>
        <w:lastRenderedPageBreak/>
        <w:t>or any income (other than income from dividends) chargeable under any other head and where the loss cannot be wholly set off in this manner the portion not so set off shall be carried forward to the following year and set off in the same manner and so on, but no loss shall be carried forward for more than six years; or</w:t>
      </w:r>
    </w:p>
    <w:p w:rsidR="00AA4BF8" w:rsidRPr="00412620" w:rsidRDefault="00AA4BF8" w:rsidP="00AA4BF8">
      <w:pPr>
        <w:jc w:val="both"/>
        <w:rPr>
          <w:sz w:val="20"/>
        </w:rPr>
      </w:pPr>
    </w:p>
    <w:p w:rsidR="00AA4BF8" w:rsidRPr="00412620" w:rsidRDefault="00AA4BF8" w:rsidP="00AA4BF8">
      <w:pPr>
        <w:ind w:left="1620" w:hanging="540"/>
        <w:jc w:val="both"/>
        <w:rPr>
          <w:sz w:val="20"/>
        </w:rPr>
      </w:pPr>
      <w:r w:rsidRPr="00412620">
        <w:rPr>
          <w:sz w:val="20"/>
        </w:rPr>
        <w:t>(b)</w:t>
      </w:r>
      <w:r w:rsidRPr="00412620">
        <w:rPr>
          <w:sz w:val="20"/>
        </w:rPr>
        <w:tab/>
        <w:t>the said loss in any year shall be set off against the income of such undertaking of the tax year in which commercial production has commenced and where the loss cannot be wholly set off against the income of such undertaking of that year, the portion not set off against the income, if any, of such undertaking of that year, and if it cannot be wholly so set off the amount of loss not so set off shall be carried forward to the following year, and so on, but no loss shall be carried forward for more than ten years.</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(4)</w:t>
      </w:r>
      <w:r w:rsidRPr="00412620">
        <w:rPr>
          <w:sz w:val="20"/>
        </w:rPr>
        <w:tab/>
        <w:t xml:space="preserve">After the commencement of commercial production, all expenditure incurred prior thereto and not </w:t>
      </w:r>
      <w:r w:rsidRPr="00412620">
        <w:rPr>
          <w:rStyle w:val="FootnoteReference"/>
          <w:rFonts w:cs="Arial"/>
          <w:sz w:val="20"/>
        </w:rPr>
        <w:footnoteReference w:id="2389"/>
      </w:r>
      <w:r w:rsidRPr="00412620">
        <w:rPr>
          <w:sz w:val="20"/>
        </w:rPr>
        <w:t xml:space="preserve">[treated as] lost under sub-rule (2) and not represented by physical assets in use at the time the commercial production shall be allowed as a deduction, so, however, that the portion of such deduction to be so allowed in any year shall be such amount not exceeding ten </w:t>
      </w:r>
      <w:r>
        <w:rPr>
          <w:sz w:val="20"/>
        </w:rPr>
        <w:t>per cent</w:t>
      </w:r>
      <w:r w:rsidRPr="00412620">
        <w:rPr>
          <w:sz w:val="20"/>
        </w:rPr>
        <w:t xml:space="preserve"> of the aggregate amount deductible in respect of </w:t>
      </w:r>
      <w:r w:rsidRPr="00412620">
        <w:rPr>
          <w:rStyle w:val="FootnoteReference"/>
          <w:rFonts w:cs="Arial"/>
          <w:sz w:val="20"/>
        </w:rPr>
        <w:footnoteReference w:id="2390"/>
      </w:r>
      <w:r w:rsidRPr="00412620">
        <w:rPr>
          <w:sz w:val="20"/>
        </w:rPr>
        <w:t xml:space="preserve">[onshore] areas, and not exceeding twenty five </w:t>
      </w:r>
      <w:r>
        <w:rPr>
          <w:sz w:val="20"/>
        </w:rPr>
        <w:t>per cent</w:t>
      </w:r>
      <w:r w:rsidRPr="00412620">
        <w:rPr>
          <w:sz w:val="20"/>
        </w:rPr>
        <w:t xml:space="preserve"> for offshore areas, as may be selected by the taxpayer.</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(5)</w:t>
      </w:r>
      <w:r w:rsidRPr="00412620">
        <w:rPr>
          <w:sz w:val="20"/>
        </w:rPr>
        <w:tab/>
        <w:t>Any expenditure, including a royalty paid to the Federal Government by an onshore petroleum exploration and production undertaking on, or after, the first day of July 2001 (not being in the nature of capital expenditure or personal expenses of the taxpayer) laid out or expended after the commencement of commercial production wholly and exclusively for the purpose of the business of production and exploration of petroleum carried on by such undertaking shall be allowed as a deduction, provided that –</w:t>
      </w:r>
    </w:p>
    <w:p w:rsidR="00AA4BF8" w:rsidRPr="00412620" w:rsidRDefault="00AA4BF8" w:rsidP="00AA4BF8">
      <w:pPr>
        <w:jc w:val="both"/>
        <w:rPr>
          <w:sz w:val="20"/>
        </w:rPr>
      </w:pPr>
    </w:p>
    <w:p w:rsidR="00AA4BF8" w:rsidRPr="00412620" w:rsidRDefault="00AA4BF8" w:rsidP="00AA4BF8">
      <w:pPr>
        <w:ind w:left="1620" w:hanging="540"/>
        <w:jc w:val="both"/>
        <w:rPr>
          <w:sz w:val="20"/>
        </w:rPr>
      </w:pPr>
      <w:r w:rsidRPr="00412620">
        <w:rPr>
          <w:sz w:val="20"/>
        </w:rPr>
        <w:t>(a)</w:t>
      </w:r>
      <w:r w:rsidRPr="00412620">
        <w:rPr>
          <w:sz w:val="20"/>
        </w:rPr>
        <w:tab/>
        <w:t>no deduction shall be allowed in respect of such expenditure incurred in the acquisition of depreciable assets to which section 22 applies or in the acquisition of an intangible to which section 24 applies;</w:t>
      </w:r>
    </w:p>
    <w:p w:rsidR="00AA4BF8" w:rsidRPr="00412620" w:rsidRDefault="00AA4BF8" w:rsidP="00AA4BF8">
      <w:pPr>
        <w:jc w:val="both"/>
        <w:rPr>
          <w:sz w:val="20"/>
        </w:rPr>
      </w:pPr>
    </w:p>
    <w:p w:rsidR="00AA4BF8" w:rsidRPr="00412620" w:rsidRDefault="00AA4BF8" w:rsidP="00AA4BF8">
      <w:pPr>
        <w:ind w:left="1620" w:hanging="540"/>
        <w:jc w:val="both"/>
        <w:rPr>
          <w:sz w:val="20"/>
        </w:rPr>
      </w:pPr>
      <w:r w:rsidRPr="00412620">
        <w:rPr>
          <w:sz w:val="20"/>
        </w:rPr>
        <w:t>(b)</w:t>
      </w:r>
      <w:r w:rsidRPr="00412620">
        <w:rPr>
          <w:sz w:val="20"/>
        </w:rPr>
        <w:tab/>
      </w:r>
      <w:r w:rsidRPr="00412620">
        <w:rPr>
          <w:rStyle w:val="FootnoteReference"/>
          <w:rFonts w:cs="Arial"/>
          <w:sz w:val="20"/>
        </w:rPr>
        <w:footnoteReference w:id="2391"/>
      </w:r>
      <w:r w:rsidRPr="00412620">
        <w:rPr>
          <w:sz w:val="20"/>
        </w:rPr>
        <w:t>[deductions under sections 22, 23 and 24 shall be admissible] in respect of assets referred to in clause (a);</w:t>
      </w:r>
    </w:p>
    <w:p w:rsidR="00AA4BF8" w:rsidRPr="00412620" w:rsidRDefault="00AA4BF8" w:rsidP="00AA4BF8">
      <w:pPr>
        <w:jc w:val="both"/>
        <w:rPr>
          <w:sz w:val="20"/>
        </w:rPr>
      </w:pPr>
    </w:p>
    <w:p w:rsidR="00AA4BF8" w:rsidRPr="00412620" w:rsidRDefault="00AA4BF8" w:rsidP="00AA4BF8">
      <w:pPr>
        <w:ind w:left="1620" w:hanging="540"/>
        <w:jc w:val="both"/>
        <w:rPr>
          <w:sz w:val="20"/>
        </w:rPr>
      </w:pPr>
      <w:r w:rsidRPr="00412620">
        <w:rPr>
          <w:sz w:val="20"/>
        </w:rPr>
        <w:lastRenderedPageBreak/>
        <w:t>(c)</w:t>
      </w:r>
      <w:r w:rsidRPr="00412620">
        <w:rPr>
          <w:sz w:val="20"/>
        </w:rPr>
        <w:tab/>
        <w:t>a depreciation deduction shall also be allowed under section 22 in respect of such expenditure incurred on the acquisition of the physical assets acquired before the commencement of commercial production and were being used by such undertaking on and after that date, as if such assets had been acquired at the time of the commencement of commercial production at their original cost, as reduced by the amount of depreciation deduction, if any, previously allowed to be deducted under this Ordinance.</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(6)</w:t>
      </w:r>
      <w:r w:rsidRPr="00412620">
        <w:rPr>
          <w:sz w:val="20"/>
        </w:rPr>
        <w:tab/>
        <w:t>If, in any year, the deductions allowed Part IV of Chapter III and sub-rules (3) and (4) exceed the gross receipts from the sale of petroleum produced in Pakistan, such excess shall be set off against other income (not being dividends) and carried forward in the manner and subject to the limitations in section 57, so however that no portion of such excess shall be carried forward for more than six years.</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(7)</w:t>
      </w:r>
      <w:r w:rsidRPr="00412620">
        <w:rPr>
          <w:sz w:val="20"/>
        </w:rPr>
        <w:tab/>
        <w:t xml:space="preserve">The limitation of six years specified in </w:t>
      </w:r>
      <w:r w:rsidRPr="00412620">
        <w:rPr>
          <w:rStyle w:val="FootnoteReference"/>
          <w:rFonts w:cs="Arial"/>
          <w:sz w:val="20"/>
        </w:rPr>
        <w:footnoteReference w:id="2392"/>
      </w:r>
      <w:r w:rsidRPr="00412620">
        <w:rPr>
          <w:sz w:val="20"/>
        </w:rPr>
        <w:t>[sub-rule] (6) shall not apply to depreciation allowed to a person carrying on the business of offshore petroleum exploration and production, in respect of any machinery, plant or other equipment used in such exploration or production.</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(8)</w:t>
      </w:r>
      <w:r w:rsidRPr="00412620">
        <w:rPr>
          <w:sz w:val="20"/>
        </w:rPr>
        <w:tab/>
        <w:t>For the purposes of section 22, where any asset used by a person in the exploration and production of petroleum is exported or transferred out of Pakistan, the person shall be treated as having made a disposal of the asset for a consideration received equal to the cost of the asset as reduced by any depreciation deductions allowed under this Ordinance (other than an initial allowance under section 23).</w:t>
      </w:r>
    </w:p>
    <w:p w:rsidR="00AA4BF8" w:rsidRPr="00412620" w:rsidRDefault="00AA4BF8" w:rsidP="00AA4BF8">
      <w:pPr>
        <w:jc w:val="both"/>
        <w:rPr>
          <w:sz w:val="20"/>
        </w:rPr>
      </w:pPr>
    </w:p>
    <w:p w:rsidR="00AA4BF8" w:rsidRPr="00412620" w:rsidRDefault="00AA4BF8" w:rsidP="00AA4BF8">
      <w:pPr>
        <w:jc w:val="both"/>
        <w:rPr>
          <w:sz w:val="20"/>
        </w:rPr>
      </w:pPr>
    </w:p>
    <w:p w:rsidR="00AA4BF8" w:rsidRPr="00412620" w:rsidRDefault="00AA4BF8" w:rsidP="00AA4BF8">
      <w:pPr>
        <w:pStyle w:val="Heading3"/>
        <w:spacing w:line="240" w:lineRule="auto"/>
        <w:jc w:val="both"/>
        <w:rPr>
          <w:caps w:val="0"/>
          <w:sz w:val="20"/>
        </w:rPr>
      </w:pPr>
      <w:r w:rsidRPr="00412620">
        <w:rPr>
          <w:caps w:val="0"/>
          <w:sz w:val="20"/>
        </w:rPr>
        <w:t>Depletion Allowance</w:t>
      </w:r>
    </w:p>
    <w:p w:rsidR="00AA4BF8" w:rsidRPr="00412620" w:rsidRDefault="00AA4BF8" w:rsidP="00AA4BF8">
      <w:pPr>
        <w:keepNext/>
        <w:jc w:val="both"/>
        <w:rPr>
          <w:sz w:val="20"/>
        </w:rPr>
      </w:pPr>
    </w:p>
    <w:p w:rsidR="00AA4BF8" w:rsidRPr="00412620" w:rsidRDefault="00AA4BF8" w:rsidP="00AA4BF8">
      <w:pPr>
        <w:jc w:val="both"/>
        <w:rPr>
          <w:sz w:val="20"/>
        </w:rPr>
      </w:pPr>
      <w:r w:rsidRPr="00412620">
        <w:rPr>
          <w:sz w:val="20"/>
        </w:rPr>
        <w:t>3.</w:t>
      </w:r>
      <w:r w:rsidRPr="00412620">
        <w:rPr>
          <w:sz w:val="20"/>
        </w:rPr>
        <w:tab/>
        <w:t xml:space="preserve">In determining the income of such undertaking for any year ending after the date on which commercial production has commenced, an allowance for depletion shall be made equal to fifteen </w:t>
      </w:r>
      <w:r>
        <w:rPr>
          <w:sz w:val="20"/>
        </w:rPr>
        <w:t>per cent</w:t>
      </w:r>
      <w:r w:rsidRPr="00412620">
        <w:rPr>
          <w:sz w:val="20"/>
        </w:rPr>
        <w:t xml:space="preserve"> of the gross receipts representing the well-head value of the production, but not exceeding fifty </w:t>
      </w:r>
      <w:r>
        <w:rPr>
          <w:sz w:val="20"/>
        </w:rPr>
        <w:t>per cent</w:t>
      </w:r>
      <w:r w:rsidRPr="00412620">
        <w:rPr>
          <w:sz w:val="20"/>
        </w:rPr>
        <w:t xml:space="preserve"> of the profits or gains of such undertaking before the deduction of such allowance.</w:t>
      </w:r>
    </w:p>
    <w:p w:rsidR="00AA4BF8" w:rsidRPr="00412620" w:rsidRDefault="00AA4BF8" w:rsidP="00AA4BF8">
      <w:pPr>
        <w:jc w:val="both"/>
        <w:rPr>
          <w:sz w:val="20"/>
        </w:rPr>
      </w:pPr>
    </w:p>
    <w:p w:rsidR="00AA4BF8" w:rsidRPr="00412620" w:rsidRDefault="00AA4BF8" w:rsidP="00AA4BF8">
      <w:pPr>
        <w:pStyle w:val="Heading3"/>
        <w:spacing w:line="240" w:lineRule="auto"/>
        <w:jc w:val="both"/>
        <w:rPr>
          <w:caps w:val="0"/>
          <w:sz w:val="20"/>
        </w:rPr>
      </w:pPr>
      <w:r w:rsidRPr="00412620">
        <w:rPr>
          <w:caps w:val="0"/>
          <w:sz w:val="20"/>
        </w:rPr>
        <w:t>Limitation on Payment to Federal Government and Taxes</w:t>
      </w:r>
    </w:p>
    <w:p w:rsidR="00AA4BF8" w:rsidRPr="00412620" w:rsidRDefault="00AA4BF8" w:rsidP="00AA4BF8">
      <w:pPr>
        <w:keepNext/>
        <w:jc w:val="both"/>
        <w:rPr>
          <w:sz w:val="20"/>
        </w:rPr>
      </w:pPr>
    </w:p>
    <w:p w:rsidR="00AA4BF8" w:rsidRPr="00412620" w:rsidRDefault="00AA4BF8" w:rsidP="00AA4BF8">
      <w:pPr>
        <w:jc w:val="both"/>
        <w:rPr>
          <w:sz w:val="20"/>
        </w:rPr>
      </w:pPr>
      <w:r w:rsidRPr="00412620">
        <w:rPr>
          <w:sz w:val="20"/>
        </w:rPr>
        <w:t>4.</w:t>
      </w:r>
      <w:r w:rsidRPr="00412620">
        <w:rPr>
          <w:sz w:val="20"/>
        </w:rPr>
        <w:tab/>
        <w:t>(1)</w:t>
      </w:r>
      <w:r w:rsidRPr="00412620">
        <w:rPr>
          <w:sz w:val="20"/>
        </w:rPr>
        <w:tab/>
        <w:t>The aggregate of the taxes on income and other payments excluding a royalty as specified in the Pakistan Petroleum</w:t>
      </w:r>
      <w:r w:rsidR="001D16CC">
        <w:rPr>
          <w:rStyle w:val="FootnoteReference"/>
          <w:sz w:val="20"/>
        </w:rPr>
        <w:footnoteReference w:id="2393"/>
      </w:r>
      <w:r w:rsidR="001D16CC">
        <w:rPr>
          <w:sz w:val="20"/>
        </w:rPr>
        <w:t>[</w:t>
      </w:r>
      <w:r w:rsidR="001D16CC" w:rsidRPr="00412620">
        <w:rPr>
          <w:sz w:val="20"/>
        </w:rPr>
        <w:t>exploration</w:t>
      </w:r>
      <w:r w:rsidR="001D16CC">
        <w:rPr>
          <w:sz w:val="20"/>
        </w:rPr>
        <w:t xml:space="preserve">] </w:t>
      </w:r>
      <w:r w:rsidRPr="00412620">
        <w:rPr>
          <w:sz w:val="20"/>
        </w:rPr>
        <w:t xml:space="preserve">  (Production) </w:t>
      </w:r>
      <w:r w:rsidRPr="00412620">
        <w:rPr>
          <w:sz w:val="20"/>
        </w:rPr>
        <w:lastRenderedPageBreak/>
        <w:t xml:space="preserve">Rules, 1949 or the Pakistan Petroleum (Exploration and Production) Rules, 1986 and paid by an onshore petroleum and production undertaking on, or after, the first day of July 2001 to the Government in respect of the profits or gains derived from such undertaking for a tax year shall not exceed the limits provided for in the agreement, provided the </w:t>
      </w:r>
      <w:r w:rsidRPr="00412620">
        <w:rPr>
          <w:rStyle w:val="FootnoteReference"/>
          <w:rFonts w:cs="Arial"/>
          <w:sz w:val="20"/>
        </w:rPr>
        <w:footnoteReference w:id="2394"/>
      </w:r>
      <w:r w:rsidRPr="00412620">
        <w:rPr>
          <w:sz w:val="20"/>
        </w:rPr>
        <w:t xml:space="preserve">[said aggregate shall not be] less than fifty </w:t>
      </w:r>
      <w:r>
        <w:rPr>
          <w:sz w:val="20"/>
        </w:rPr>
        <w:t>per cent</w:t>
      </w:r>
      <w:r w:rsidRPr="00412620">
        <w:rPr>
          <w:sz w:val="20"/>
        </w:rPr>
        <w:t xml:space="preserve"> of the profits or gains derived by an onshore petroleum exploration and production undertaking and forty </w:t>
      </w:r>
      <w:r>
        <w:rPr>
          <w:sz w:val="20"/>
        </w:rPr>
        <w:t>per cent</w:t>
      </w:r>
      <w:r w:rsidRPr="00412620">
        <w:rPr>
          <w:sz w:val="20"/>
        </w:rPr>
        <w:t xml:space="preserve"> of the profits or gains derived by an offshore petroleum exploration and production undertaking, before deduction of the payment to the Federal Government.</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 xml:space="preserve">In respect of any tax year commencing on, or after, the first day of July, 2002, the aggregate referred to in sub-clause (1) shall not be less than forty </w:t>
      </w:r>
      <w:r>
        <w:rPr>
          <w:sz w:val="20"/>
        </w:rPr>
        <w:t>per cent</w:t>
      </w:r>
      <w:r w:rsidRPr="00412620">
        <w:rPr>
          <w:sz w:val="20"/>
        </w:rPr>
        <w:t xml:space="preserve"> of the profit or gains derived by an onshore petroleum exploration and production undertaking before the deduction of payment excluding royalty paid by an onshore </w:t>
      </w:r>
      <w:r w:rsidRPr="00412620">
        <w:rPr>
          <w:rStyle w:val="FootnoteReference"/>
          <w:rFonts w:cs="Arial"/>
          <w:sz w:val="20"/>
        </w:rPr>
        <w:footnoteReference w:id="2395"/>
      </w:r>
      <w:r w:rsidRPr="00412620">
        <w:rPr>
          <w:sz w:val="20"/>
        </w:rPr>
        <w:t>[petroleum exploration and production undertaking] to the Federal Government.</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 xml:space="preserve">If, in respect of any tax year, the aggregate of the taxes on income and payments to the Federal Government is greater or less than the amount provided for in the agreement, an </w:t>
      </w:r>
      <w:r w:rsidRPr="00412620">
        <w:rPr>
          <w:rStyle w:val="FootnoteReference"/>
          <w:rFonts w:cs="Arial"/>
          <w:sz w:val="20"/>
        </w:rPr>
        <w:footnoteReference w:id="2396"/>
      </w:r>
      <w:r w:rsidRPr="00412620">
        <w:rPr>
          <w:sz w:val="20"/>
        </w:rPr>
        <w:t>[additional amount of tax] shall be payable by the taxpayer, or an abatement of tax shall be allowed to the taxpayer, as the case may be, so as to make the aggregate of the taxes on income and payments to the Federal Government equal to the amount provided for in the agreement.</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(4)</w:t>
      </w:r>
      <w:r w:rsidRPr="00412620">
        <w:rPr>
          <w:sz w:val="20"/>
        </w:rPr>
        <w:tab/>
        <w:t>If, in respect of any year, the payments to the Federal Government exceed the amount provided for in the agreement, so much of the excess as consists of any tax or levy referred to in sub-clause (b) of clause (3) of rule 6 shall be carried forward and treated, for the purposes of this rule, as payments to the Federal Government for the succeeding year, provided that the whole of the payments to the Federal Government exceeding the amount provided for in such agreement may be carried forward if so provided for in any agreement with a taxpayer made before the first day of 1970.</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r>
      <w:r w:rsidRPr="00412620">
        <w:rPr>
          <w:rStyle w:val="FootnoteReference"/>
          <w:rFonts w:cs="Arial"/>
          <w:sz w:val="20"/>
        </w:rPr>
        <w:footnoteReference w:id="2397"/>
      </w:r>
      <w:r w:rsidRPr="00412620">
        <w:rPr>
          <w:sz w:val="20"/>
        </w:rPr>
        <w:t>[(4A)</w:t>
      </w:r>
      <w:r w:rsidRPr="00412620">
        <w:rPr>
          <w:sz w:val="20"/>
        </w:rPr>
        <w:tab/>
        <w:t xml:space="preserve">Notwithstanding anything contained in this Schedule, a person, for tax year 2012 and onward, may opt to pay tax at the rate of forty </w:t>
      </w:r>
      <w:r>
        <w:rPr>
          <w:sz w:val="20"/>
        </w:rPr>
        <w:t>per cent</w:t>
      </w:r>
      <w:r w:rsidRPr="00412620">
        <w:rPr>
          <w:sz w:val="20"/>
        </w:rPr>
        <w:t xml:space="preserve"> of the profits and gains, net of royalty, derived by a petroleum exploration and production undertaking:</w:t>
      </w:r>
    </w:p>
    <w:p w:rsidR="00AA4BF8" w:rsidRPr="00412620" w:rsidRDefault="00AA4BF8" w:rsidP="00AA4BF8">
      <w:pPr>
        <w:jc w:val="both"/>
        <w:rPr>
          <w:sz w:val="20"/>
        </w:rPr>
      </w:pPr>
    </w:p>
    <w:p w:rsidR="00AA4BF8" w:rsidRPr="00412620" w:rsidRDefault="00AA4BF8" w:rsidP="00AA4BF8">
      <w:pPr>
        <w:ind w:left="1094" w:firstLine="541"/>
        <w:jc w:val="both"/>
        <w:rPr>
          <w:sz w:val="20"/>
        </w:rPr>
      </w:pPr>
      <w:r w:rsidRPr="00412620">
        <w:rPr>
          <w:sz w:val="20"/>
        </w:rPr>
        <w:t>Provided that this option shall be available subject to withdrawal of appeals, references and petitions on the issue of tax rate pending before any appellate forum:</w:t>
      </w:r>
    </w:p>
    <w:p w:rsidR="00AA4BF8" w:rsidRPr="00412620" w:rsidRDefault="00AA4BF8" w:rsidP="00AA4BF8">
      <w:pPr>
        <w:jc w:val="both"/>
        <w:rPr>
          <w:sz w:val="20"/>
        </w:rPr>
      </w:pPr>
    </w:p>
    <w:p w:rsidR="00AA4BF8" w:rsidRPr="00412620" w:rsidRDefault="00AA4BF8" w:rsidP="00AA4BF8">
      <w:pPr>
        <w:ind w:left="1094" w:firstLine="541"/>
        <w:jc w:val="both"/>
        <w:rPr>
          <w:sz w:val="20"/>
        </w:rPr>
      </w:pPr>
      <w:r w:rsidRPr="00412620">
        <w:rPr>
          <w:sz w:val="20"/>
        </w:rPr>
        <w:lastRenderedPageBreak/>
        <w:t>Provided further that the outstanding tax liability created under this Ordinance up to tax year 2011 is paid by the 30</w:t>
      </w:r>
      <w:r w:rsidRPr="00412620">
        <w:rPr>
          <w:sz w:val="20"/>
          <w:vertAlign w:val="superscript"/>
        </w:rPr>
        <w:t>th</w:t>
      </w:r>
      <w:r w:rsidRPr="00412620">
        <w:rPr>
          <w:sz w:val="20"/>
        </w:rPr>
        <w:t xml:space="preserve"> June, 2012:</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r>
      <w:r w:rsidRPr="00412620">
        <w:rPr>
          <w:sz w:val="20"/>
        </w:rPr>
        <w:tab/>
      </w:r>
      <w:r w:rsidRPr="00412620">
        <w:rPr>
          <w:sz w:val="20"/>
        </w:rPr>
        <w:tab/>
        <w:t xml:space="preserve">Provided also that this option is available only for one time and </w:t>
      </w:r>
      <w:r w:rsidRPr="00412620">
        <w:rPr>
          <w:sz w:val="20"/>
        </w:rPr>
        <w:tab/>
      </w:r>
      <w:r w:rsidRPr="00412620">
        <w:rPr>
          <w:sz w:val="20"/>
        </w:rPr>
        <w:tab/>
        <w:t>shall be irrevocable.]</w:t>
      </w:r>
    </w:p>
    <w:p w:rsidR="00AA4BF8" w:rsidRDefault="00AA4BF8" w:rsidP="00AA4BF8">
      <w:pPr>
        <w:jc w:val="both"/>
        <w:rPr>
          <w:sz w:val="20"/>
        </w:rPr>
      </w:pPr>
    </w:p>
    <w:p w:rsidR="00AA4BF8" w:rsidRDefault="00AA4BF8" w:rsidP="00AA4BF8">
      <w:pPr>
        <w:jc w:val="both"/>
        <w:rPr>
          <w:sz w:val="20"/>
        </w:rPr>
      </w:pPr>
      <w:r>
        <w:rPr>
          <w:rStyle w:val="FootnoteReference"/>
          <w:rFonts w:cs="Arial"/>
          <w:sz w:val="20"/>
        </w:rPr>
        <w:footnoteReference w:id="2398"/>
      </w:r>
      <w:r>
        <w:rPr>
          <w:sz w:val="20"/>
        </w:rPr>
        <w:t>[</w:t>
      </w:r>
      <w:r w:rsidRPr="00412620">
        <w:rPr>
          <w:sz w:val="20"/>
        </w:rPr>
        <w:t>4A</w:t>
      </w:r>
      <w:r>
        <w:rPr>
          <w:sz w:val="20"/>
        </w:rPr>
        <w:t>.</w:t>
      </w:r>
      <w:r w:rsidRPr="00412620">
        <w:rPr>
          <w:b/>
          <w:bCs/>
          <w:sz w:val="20"/>
        </w:rPr>
        <w:t>Decommissioning cost.</w:t>
      </w:r>
      <w:r w:rsidRPr="00412620">
        <w:rPr>
          <w:sz w:val="20"/>
        </w:rPr>
        <w:t xml:space="preserve">— With effect </w:t>
      </w:r>
      <w:r w:rsidR="009F1642" w:rsidRPr="00412620">
        <w:rPr>
          <w:sz w:val="20"/>
        </w:rPr>
        <w:t>from</w:t>
      </w:r>
      <w:r w:rsidRPr="00412620">
        <w:rPr>
          <w:sz w:val="20"/>
        </w:rPr>
        <w:t xml:space="preserve"> the Tax Year 2010, “Decommissioning Cost” as certified by a Chartered Accountant or a Cost Accountants, in the manner prescribed, shall be allowed over a period of ten years or the life of the development and production or mining lease whichever is less, starting from the year of commencement of commercial production or commenced prior to the 1</w:t>
      </w:r>
      <w:r w:rsidRPr="00412620">
        <w:rPr>
          <w:sz w:val="20"/>
          <w:vertAlign w:val="superscript"/>
        </w:rPr>
        <w:t>st</w:t>
      </w:r>
      <w:r w:rsidRPr="00412620">
        <w:rPr>
          <w:sz w:val="20"/>
        </w:rPr>
        <w:t xml:space="preserve"> July, 2010, deduction for decommissioning cost as referred earlier shall be allowed from the Tax Year 2010 over the period of ten years or the remaining life of the development and production or mining lease, whichever is less.</w:t>
      </w:r>
      <w:r>
        <w:rPr>
          <w:sz w:val="20"/>
        </w:rPr>
        <w:t>]</w:t>
      </w:r>
    </w:p>
    <w:p w:rsidR="008736E4" w:rsidRDefault="008736E4" w:rsidP="00AA4BF8">
      <w:pPr>
        <w:jc w:val="both"/>
        <w:rPr>
          <w:sz w:val="20"/>
        </w:rPr>
      </w:pPr>
    </w:p>
    <w:p w:rsidR="008736E4" w:rsidRPr="003409C0" w:rsidRDefault="00BC5217" w:rsidP="008736E4">
      <w:pPr>
        <w:autoSpaceDE w:val="0"/>
        <w:autoSpaceDN w:val="0"/>
        <w:adjustRightInd w:val="0"/>
        <w:jc w:val="both"/>
        <w:rPr>
          <w:color w:val="000000" w:themeColor="text1"/>
          <w:sz w:val="20"/>
        </w:rPr>
      </w:pPr>
      <w:r w:rsidRPr="003409C0">
        <w:rPr>
          <w:rStyle w:val="FootnoteReference"/>
          <w:rFonts w:cs="Arial"/>
          <w:b/>
          <w:bCs/>
          <w:color w:val="000000" w:themeColor="text1"/>
          <w:sz w:val="20"/>
          <w:lang w:val="en-US"/>
        </w:rPr>
        <w:footnoteReference w:id="2399"/>
      </w:r>
      <w:r w:rsidR="008736E4" w:rsidRPr="003409C0">
        <w:rPr>
          <w:rFonts w:cs="Arial"/>
          <w:b/>
          <w:bCs/>
          <w:color w:val="000000" w:themeColor="text1"/>
          <w:sz w:val="20"/>
          <w:lang w:val="en-US"/>
        </w:rPr>
        <w:t xml:space="preserve">[“4AA. </w:t>
      </w:r>
      <w:r w:rsidR="008736E4" w:rsidRPr="003409C0">
        <w:rPr>
          <w:rFonts w:cs="Arial"/>
          <w:color w:val="000000" w:themeColor="text1"/>
          <w:sz w:val="20"/>
          <w:lang w:val="en-US"/>
        </w:rPr>
        <w:t>The provisions of section 4B shall apply to the taxpayers</w:t>
      </w:r>
      <w:r w:rsidR="00A0443E" w:rsidRPr="003409C0">
        <w:rPr>
          <w:rFonts w:cs="Arial"/>
          <w:color w:val="000000" w:themeColor="text1"/>
          <w:sz w:val="20"/>
          <w:lang w:val="en-US"/>
        </w:rPr>
        <w:t xml:space="preserve"> </w:t>
      </w:r>
      <w:r w:rsidR="008736E4" w:rsidRPr="003409C0">
        <w:rPr>
          <w:rFonts w:cs="Arial"/>
          <w:color w:val="000000" w:themeColor="text1"/>
          <w:sz w:val="20"/>
          <w:lang w:val="en-US"/>
        </w:rPr>
        <w:t>under this Part and taxed at the rates specified in Division IIA of</w:t>
      </w:r>
      <w:r w:rsidR="00A0443E" w:rsidRPr="003409C0">
        <w:rPr>
          <w:rFonts w:cs="Arial"/>
          <w:color w:val="000000" w:themeColor="text1"/>
          <w:sz w:val="20"/>
          <w:lang w:val="en-US"/>
        </w:rPr>
        <w:t xml:space="preserve"> </w:t>
      </w:r>
      <w:r w:rsidR="008736E4" w:rsidRPr="003409C0">
        <w:rPr>
          <w:rFonts w:cs="Arial"/>
          <w:color w:val="000000" w:themeColor="text1"/>
          <w:sz w:val="20"/>
          <w:lang w:val="en-US"/>
        </w:rPr>
        <w:t>Part I of the First Schedule.”]</w:t>
      </w:r>
    </w:p>
    <w:p w:rsidR="00AA4BF8" w:rsidRPr="00412620" w:rsidRDefault="00AA4BF8" w:rsidP="00AA4BF8">
      <w:pPr>
        <w:jc w:val="both"/>
        <w:rPr>
          <w:sz w:val="20"/>
        </w:rPr>
      </w:pPr>
    </w:p>
    <w:p w:rsidR="00AA4BF8" w:rsidRPr="00412620" w:rsidRDefault="00AA4BF8" w:rsidP="00AA4BF8">
      <w:pPr>
        <w:pStyle w:val="Heading3"/>
        <w:spacing w:line="240" w:lineRule="auto"/>
        <w:jc w:val="both"/>
        <w:rPr>
          <w:caps w:val="0"/>
          <w:sz w:val="20"/>
        </w:rPr>
      </w:pPr>
      <w:r w:rsidRPr="00412620">
        <w:rPr>
          <w:caps w:val="0"/>
          <w:sz w:val="20"/>
        </w:rPr>
        <w:t>Provision Relating to Rules</w:t>
      </w:r>
    </w:p>
    <w:p w:rsidR="00AA4BF8" w:rsidRPr="00412620" w:rsidRDefault="00AA4BF8" w:rsidP="00AA4BF8">
      <w:pPr>
        <w:keepNext/>
        <w:jc w:val="both"/>
        <w:rPr>
          <w:sz w:val="20"/>
        </w:rPr>
      </w:pPr>
    </w:p>
    <w:p w:rsidR="00AA4BF8" w:rsidRPr="00412620" w:rsidRDefault="00AA4BF8" w:rsidP="00AA4BF8">
      <w:pPr>
        <w:jc w:val="both"/>
        <w:rPr>
          <w:sz w:val="20"/>
        </w:rPr>
      </w:pPr>
      <w:r w:rsidRPr="00412620">
        <w:rPr>
          <w:sz w:val="20"/>
        </w:rPr>
        <w:t>5.</w:t>
      </w:r>
      <w:r w:rsidRPr="00412620">
        <w:rPr>
          <w:sz w:val="20"/>
        </w:rPr>
        <w:tab/>
        <w:t xml:space="preserve">The </w:t>
      </w:r>
      <w:r w:rsidR="006A674E">
        <w:rPr>
          <w:rStyle w:val="FootnoteReference"/>
          <w:sz w:val="20"/>
        </w:rPr>
        <w:footnoteReference w:id="2400"/>
      </w:r>
      <w:r w:rsidR="006A674E">
        <w:rPr>
          <w:sz w:val="20"/>
        </w:rPr>
        <w:t>[</w:t>
      </w:r>
      <w:r w:rsidRPr="006A674E">
        <w:rPr>
          <w:sz w:val="20"/>
        </w:rPr>
        <w:t>Board</w:t>
      </w:r>
      <w:r w:rsidR="006A674E">
        <w:rPr>
          <w:sz w:val="20"/>
        </w:rPr>
        <w:t>]</w:t>
      </w:r>
      <w:r w:rsidRPr="00412620">
        <w:rPr>
          <w:sz w:val="20"/>
        </w:rPr>
        <w:t>may make rules for the purposes of any matter connected with, or incidental to the operation of this Part.</w:t>
      </w:r>
    </w:p>
    <w:p w:rsidR="00AA4BF8" w:rsidRPr="00412620" w:rsidRDefault="00AA4BF8" w:rsidP="00AA4BF8">
      <w:pPr>
        <w:jc w:val="both"/>
        <w:rPr>
          <w:sz w:val="20"/>
        </w:rPr>
      </w:pPr>
    </w:p>
    <w:p w:rsidR="00AA4BF8" w:rsidRPr="00412620" w:rsidRDefault="00AA4BF8" w:rsidP="00AA4BF8">
      <w:pPr>
        <w:pStyle w:val="Heading3"/>
        <w:spacing w:line="240" w:lineRule="auto"/>
        <w:jc w:val="both"/>
        <w:rPr>
          <w:caps w:val="0"/>
          <w:sz w:val="20"/>
        </w:rPr>
      </w:pPr>
      <w:r w:rsidRPr="00412620">
        <w:rPr>
          <w:caps w:val="0"/>
          <w:sz w:val="20"/>
        </w:rPr>
        <w:t>Definitions</w:t>
      </w:r>
    </w:p>
    <w:p w:rsidR="00AA4BF8" w:rsidRPr="00412620" w:rsidRDefault="00AA4BF8" w:rsidP="00AA4BF8">
      <w:pPr>
        <w:keepNext/>
        <w:jc w:val="both"/>
        <w:rPr>
          <w:sz w:val="20"/>
        </w:rPr>
      </w:pPr>
    </w:p>
    <w:p w:rsidR="00AA4BF8" w:rsidRPr="00412620" w:rsidRDefault="00AA4BF8" w:rsidP="00AA4BF8">
      <w:pPr>
        <w:jc w:val="both"/>
        <w:rPr>
          <w:sz w:val="20"/>
        </w:rPr>
      </w:pPr>
      <w:r w:rsidRPr="00412620">
        <w:rPr>
          <w:sz w:val="20"/>
        </w:rPr>
        <w:t>6.</w:t>
      </w:r>
      <w:r w:rsidRPr="00412620">
        <w:rPr>
          <w:sz w:val="20"/>
        </w:rPr>
        <w:tab/>
        <w:t>In this Part, –</w:t>
      </w:r>
    </w:p>
    <w:p w:rsidR="00AA4BF8" w:rsidRPr="00412620" w:rsidRDefault="00AA4BF8" w:rsidP="00AA4BF8">
      <w:pPr>
        <w:jc w:val="both"/>
        <w:rPr>
          <w:sz w:val="20"/>
        </w:rPr>
      </w:pPr>
    </w:p>
    <w:p w:rsidR="00AA4BF8" w:rsidRPr="00412620" w:rsidRDefault="00AA4BF8" w:rsidP="00AA4BF8">
      <w:pPr>
        <w:pStyle w:val="BodyTextIndent3"/>
        <w:ind w:left="1080" w:hanging="540"/>
        <w:jc w:val="both"/>
        <w:rPr>
          <w:sz w:val="20"/>
        </w:rPr>
      </w:pPr>
      <w:r w:rsidRPr="00412620">
        <w:rPr>
          <w:sz w:val="20"/>
        </w:rPr>
        <w:t>(1)</w:t>
      </w:r>
      <w:r w:rsidRPr="00412620">
        <w:rPr>
          <w:sz w:val="20"/>
        </w:rPr>
        <w:tab/>
        <w:t>“agreement” means an agreement entered into between the Federal Government and a taxpayer for the exploration and production of petroleum in Pakistan;</w:t>
      </w:r>
    </w:p>
    <w:p w:rsidR="00AA4BF8" w:rsidRPr="00412620" w:rsidRDefault="00AA4BF8" w:rsidP="00AA4BF8">
      <w:pPr>
        <w:jc w:val="both"/>
        <w:rPr>
          <w:sz w:val="20"/>
        </w:rPr>
      </w:pPr>
    </w:p>
    <w:p w:rsidR="00AA4BF8" w:rsidRPr="00412620" w:rsidRDefault="00AA4BF8" w:rsidP="00AA4BF8">
      <w:pPr>
        <w:ind w:left="1080" w:hanging="540"/>
        <w:jc w:val="both"/>
        <w:rPr>
          <w:sz w:val="20"/>
        </w:rPr>
      </w:pPr>
      <w:r w:rsidRPr="00412620">
        <w:rPr>
          <w:sz w:val="20"/>
        </w:rPr>
        <w:t>(2)</w:t>
      </w:r>
      <w:r w:rsidRPr="00412620">
        <w:rPr>
          <w:sz w:val="20"/>
        </w:rPr>
        <w:tab/>
        <w:t>“commercial production” means production as determined by the Federal Government;</w:t>
      </w:r>
    </w:p>
    <w:p w:rsidR="00AA4BF8" w:rsidRPr="00412620" w:rsidRDefault="00AA4BF8" w:rsidP="00AA4BF8">
      <w:pPr>
        <w:jc w:val="both"/>
        <w:rPr>
          <w:sz w:val="20"/>
        </w:rPr>
      </w:pPr>
    </w:p>
    <w:p w:rsidR="00AA4BF8" w:rsidRPr="00412620" w:rsidRDefault="00AA4BF8" w:rsidP="00AA4BF8">
      <w:pPr>
        <w:ind w:left="1080" w:hanging="540"/>
        <w:jc w:val="both"/>
        <w:rPr>
          <w:sz w:val="20"/>
        </w:rPr>
      </w:pPr>
      <w:r w:rsidRPr="00412620">
        <w:rPr>
          <w:sz w:val="20"/>
        </w:rPr>
        <w:t>(3)</w:t>
      </w:r>
      <w:r w:rsidRPr="00412620">
        <w:rPr>
          <w:sz w:val="20"/>
        </w:rPr>
        <w:tab/>
        <w:t>“payments to the Federal Government” means amounts payable to the Federal Government or to any Federal Governmental authority in Pakistan –</w:t>
      </w:r>
    </w:p>
    <w:p w:rsidR="00AA4BF8" w:rsidRPr="00412620" w:rsidRDefault="00AA4BF8" w:rsidP="00AA4BF8">
      <w:pPr>
        <w:jc w:val="both"/>
        <w:rPr>
          <w:sz w:val="20"/>
        </w:rPr>
      </w:pPr>
    </w:p>
    <w:p w:rsidR="00AA4BF8" w:rsidRPr="00412620" w:rsidRDefault="00AA4BF8" w:rsidP="00AA4BF8">
      <w:pPr>
        <w:ind w:left="1620" w:hanging="540"/>
        <w:jc w:val="both"/>
        <w:rPr>
          <w:sz w:val="20"/>
        </w:rPr>
      </w:pPr>
      <w:r w:rsidRPr="00412620">
        <w:rPr>
          <w:sz w:val="20"/>
        </w:rPr>
        <w:t>(a)</w:t>
      </w:r>
      <w:r w:rsidRPr="00412620">
        <w:rPr>
          <w:sz w:val="20"/>
        </w:rPr>
        <w:tab/>
        <w:t>in respect of royalties as specified in the Pakistan Petroleum (Production) Rules, 1949, or the Pakistan Petroleum (Exploration and Production) Rules, 1986; and</w:t>
      </w:r>
    </w:p>
    <w:p w:rsidR="00AA4BF8" w:rsidRPr="00412620" w:rsidRDefault="00AA4BF8" w:rsidP="00AA4BF8">
      <w:pPr>
        <w:jc w:val="both"/>
        <w:rPr>
          <w:sz w:val="20"/>
        </w:rPr>
      </w:pPr>
    </w:p>
    <w:p w:rsidR="00AA4BF8" w:rsidRPr="00412620" w:rsidRDefault="00AA4BF8" w:rsidP="00AA4BF8">
      <w:pPr>
        <w:ind w:left="1620" w:hanging="540"/>
        <w:jc w:val="both"/>
        <w:rPr>
          <w:sz w:val="20"/>
        </w:rPr>
      </w:pPr>
      <w:r w:rsidRPr="00412620">
        <w:rPr>
          <w:sz w:val="20"/>
        </w:rPr>
        <w:t>(b)</w:t>
      </w:r>
      <w:r w:rsidRPr="00412620">
        <w:rPr>
          <w:sz w:val="20"/>
        </w:rPr>
        <w:tab/>
        <w:t>in respect of any tax or levy imposed in Pakistan peculiarly applicable to oil production or to extractive industries or any of them and not generally imposed upon all industrial and commercial activities;</w:t>
      </w:r>
    </w:p>
    <w:p w:rsidR="00AA4BF8" w:rsidRPr="00412620" w:rsidRDefault="00AA4BF8" w:rsidP="00AA4BF8">
      <w:pPr>
        <w:jc w:val="both"/>
        <w:rPr>
          <w:sz w:val="20"/>
        </w:rPr>
      </w:pPr>
    </w:p>
    <w:p w:rsidR="00AA4BF8" w:rsidRPr="00412620" w:rsidRDefault="00AA4BF8" w:rsidP="00AA4BF8">
      <w:pPr>
        <w:ind w:left="1080" w:hanging="540"/>
        <w:jc w:val="both"/>
        <w:rPr>
          <w:sz w:val="20"/>
        </w:rPr>
      </w:pPr>
      <w:r w:rsidRPr="00412620">
        <w:rPr>
          <w:sz w:val="20"/>
        </w:rPr>
        <w:t>(4)</w:t>
      </w:r>
      <w:r w:rsidRPr="00412620">
        <w:rPr>
          <w:sz w:val="20"/>
        </w:rPr>
        <w:tab/>
        <w:t>“petroleum” means crude oil, natural gas, and case-head petroleum spirits as defined in the Pakistan Petroleum (Production) Rules, 1949, or the Pakistan Petroleum (Exploration and Production) Rules, 1986, but does not include refined petroleum products;</w:t>
      </w:r>
    </w:p>
    <w:p w:rsidR="00AA4BF8" w:rsidRPr="00412620" w:rsidRDefault="00AA4BF8" w:rsidP="00AA4BF8">
      <w:pPr>
        <w:jc w:val="both"/>
        <w:rPr>
          <w:sz w:val="20"/>
        </w:rPr>
      </w:pPr>
    </w:p>
    <w:p w:rsidR="00AA4BF8" w:rsidRPr="00412620" w:rsidRDefault="00AA4BF8" w:rsidP="00AA4BF8">
      <w:pPr>
        <w:ind w:left="1080" w:hanging="540"/>
        <w:jc w:val="both"/>
        <w:rPr>
          <w:sz w:val="20"/>
        </w:rPr>
      </w:pPr>
      <w:r w:rsidRPr="00412620">
        <w:rPr>
          <w:sz w:val="20"/>
        </w:rPr>
        <w:t>(5)</w:t>
      </w:r>
      <w:r w:rsidRPr="00412620">
        <w:rPr>
          <w:sz w:val="20"/>
        </w:rPr>
        <w:tab/>
        <w:t>“surrender” means the termination of rights with respect to an area including the expiration of rights according to the terms of an agreement;</w:t>
      </w:r>
    </w:p>
    <w:p w:rsidR="00AA4BF8" w:rsidRPr="00412620" w:rsidRDefault="00AA4BF8" w:rsidP="00AA4BF8">
      <w:pPr>
        <w:jc w:val="both"/>
        <w:rPr>
          <w:sz w:val="20"/>
        </w:rPr>
      </w:pPr>
    </w:p>
    <w:p w:rsidR="00AA4BF8" w:rsidRPr="00412620" w:rsidRDefault="00AA4BF8" w:rsidP="00AA4BF8">
      <w:pPr>
        <w:ind w:left="1080" w:hanging="540"/>
        <w:jc w:val="both"/>
        <w:rPr>
          <w:sz w:val="20"/>
        </w:rPr>
      </w:pPr>
      <w:r w:rsidRPr="00412620">
        <w:rPr>
          <w:sz w:val="20"/>
        </w:rPr>
        <w:t>(6)</w:t>
      </w:r>
      <w:r w:rsidRPr="00412620">
        <w:rPr>
          <w:sz w:val="20"/>
        </w:rPr>
        <w:tab/>
        <w:t>“surrendered area” means an area with respect to which the rights of the person have terminated by surrender or by assignment or by termination of the business;</w:t>
      </w:r>
    </w:p>
    <w:p w:rsidR="00AA4BF8" w:rsidRPr="00412620" w:rsidRDefault="00AA4BF8" w:rsidP="00AA4BF8">
      <w:pPr>
        <w:jc w:val="both"/>
        <w:rPr>
          <w:sz w:val="20"/>
        </w:rPr>
      </w:pPr>
    </w:p>
    <w:p w:rsidR="00AA4BF8" w:rsidRPr="00412620" w:rsidRDefault="00AA4BF8" w:rsidP="00AA4BF8">
      <w:pPr>
        <w:ind w:left="1080" w:hanging="540"/>
        <w:jc w:val="both"/>
        <w:rPr>
          <w:sz w:val="20"/>
        </w:rPr>
      </w:pPr>
      <w:r w:rsidRPr="00412620">
        <w:rPr>
          <w:sz w:val="20"/>
        </w:rPr>
        <w:t>(7)</w:t>
      </w:r>
      <w:r w:rsidRPr="00412620">
        <w:rPr>
          <w:sz w:val="20"/>
        </w:rPr>
        <w:tab/>
        <w:t>“Taxes on income” and “tax” includes income tax, but does not include payments to the Federal Government; and</w:t>
      </w:r>
    </w:p>
    <w:p w:rsidR="00AA4BF8" w:rsidRPr="00412620" w:rsidRDefault="00AA4BF8" w:rsidP="00AA4BF8">
      <w:pPr>
        <w:jc w:val="both"/>
        <w:rPr>
          <w:sz w:val="20"/>
        </w:rPr>
      </w:pPr>
    </w:p>
    <w:p w:rsidR="00AA4BF8" w:rsidRPr="00412620" w:rsidRDefault="00AA4BF8" w:rsidP="00AA4BF8">
      <w:pPr>
        <w:ind w:left="1080" w:hanging="540"/>
        <w:jc w:val="both"/>
        <w:rPr>
          <w:sz w:val="20"/>
        </w:rPr>
      </w:pPr>
      <w:r w:rsidRPr="00412620">
        <w:rPr>
          <w:sz w:val="20"/>
        </w:rPr>
        <w:t>(8)</w:t>
      </w:r>
      <w:r w:rsidRPr="00412620">
        <w:rPr>
          <w:sz w:val="20"/>
        </w:rPr>
        <w:tab/>
        <w:t>“well-head value” shall have the meaning assigned to it in the agreement between the Federal Government and the taxpayer, and in the absence of any such definition in the agreement, the meaning assigned to it in the Pakistan Petroleum (Production) Rules, 1949, or the Pakistan Petroleum (Exploration and Production) Rules, 1986.</w:t>
      </w:r>
    </w:p>
    <w:p w:rsidR="00AA4BF8" w:rsidRPr="00412620" w:rsidRDefault="00AA4BF8" w:rsidP="00AA4BF8">
      <w:pPr>
        <w:rPr>
          <w:sz w:val="20"/>
        </w:rPr>
      </w:pPr>
    </w:p>
    <w:p w:rsidR="00AA4BF8" w:rsidRPr="00412620" w:rsidRDefault="00AA4BF8" w:rsidP="00AA4BF8">
      <w:pPr>
        <w:pStyle w:val="Heading2"/>
        <w:keepNext w:val="0"/>
        <w:spacing w:line="240" w:lineRule="auto"/>
        <w:rPr>
          <w:sz w:val="32"/>
          <w:szCs w:val="32"/>
        </w:rPr>
      </w:pPr>
      <w:r w:rsidRPr="00412620">
        <w:rPr>
          <w:sz w:val="20"/>
        </w:rPr>
        <w:br w:type="page"/>
      </w:r>
      <w:r w:rsidRPr="00412620">
        <w:rPr>
          <w:sz w:val="32"/>
          <w:szCs w:val="32"/>
        </w:rPr>
        <w:lastRenderedPageBreak/>
        <w:t>PART II</w:t>
      </w:r>
    </w:p>
    <w:p w:rsidR="00AA4BF8" w:rsidRPr="006C3E41" w:rsidRDefault="00AA4BF8" w:rsidP="00AA4BF8">
      <w:pPr>
        <w:pStyle w:val="CommentText"/>
        <w:keepNext/>
        <w:rPr>
          <w:sz w:val="12"/>
        </w:rPr>
      </w:pPr>
    </w:p>
    <w:p w:rsidR="00AA4BF8" w:rsidRPr="00412620" w:rsidRDefault="00AA4BF8" w:rsidP="00AA4BF8">
      <w:pPr>
        <w:keepNext/>
        <w:jc w:val="center"/>
        <w:rPr>
          <w:b/>
          <w:bCs/>
          <w:sz w:val="20"/>
        </w:rPr>
      </w:pPr>
      <w:r w:rsidRPr="00412620">
        <w:rPr>
          <w:b/>
          <w:bCs/>
          <w:sz w:val="20"/>
        </w:rPr>
        <w:t xml:space="preserve">RULES FOR THE COMPUTATION OF THE PROFITS AND GAINS </w:t>
      </w:r>
    </w:p>
    <w:p w:rsidR="00AA4BF8" w:rsidRPr="00412620" w:rsidRDefault="00AA4BF8" w:rsidP="00AA4BF8">
      <w:pPr>
        <w:keepNext/>
        <w:jc w:val="center"/>
        <w:rPr>
          <w:b/>
          <w:bCs/>
          <w:sz w:val="20"/>
        </w:rPr>
      </w:pPr>
      <w:r w:rsidRPr="00412620">
        <w:rPr>
          <w:b/>
          <w:bCs/>
          <w:sz w:val="20"/>
        </w:rPr>
        <w:t>FROM THE EXPLORATION AND EXTRACTION OF MINERAL DEPOSITS (OTHER THAN PETROLEUM)</w:t>
      </w:r>
    </w:p>
    <w:p w:rsidR="00AA4BF8" w:rsidRPr="00412620" w:rsidRDefault="00AA4BF8" w:rsidP="00AA4BF8">
      <w:pPr>
        <w:keepNext/>
        <w:rPr>
          <w:b/>
          <w:bCs/>
          <w:sz w:val="20"/>
        </w:rPr>
      </w:pPr>
    </w:p>
    <w:p w:rsidR="00AA4BF8" w:rsidRPr="00412620" w:rsidRDefault="00AA4BF8" w:rsidP="00AA4BF8">
      <w:pPr>
        <w:pStyle w:val="Heading3"/>
        <w:spacing w:line="240" w:lineRule="auto"/>
        <w:rPr>
          <w:caps w:val="0"/>
          <w:sz w:val="20"/>
        </w:rPr>
      </w:pPr>
      <w:r w:rsidRPr="00412620">
        <w:rPr>
          <w:caps w:val="0"/>
          <w:sz w:val="20"/>
        </w:rPr>
        <w:t>Exploration and Extraction of Mineral Deposits a Separate Business</w:t>
      </w:r>
    </w:p>
    <w:p w:rsidR="00AA4BF8" w:rsidRPr="006C3E41" w:rsidRDefault="00AA4BF8" w:rsidP="00AA4BF8">
      <w:pPr>
        <w:pStyle w:val="CommentText"/>
        <w:keepNext/>
        <w:rPr>
          <w:sz w:val="14"/>
        </w:rPr>
      </w:pPr>
    </w:p>
    <w:p w:rsidR="00AA4BF8" w:rsidRPr="00412620" w:rsidRDefault="00AA4BF8" w:rsidP="00AA4BF8">
      <w:pPr>
        <w:jc w:val="both"/>
        <w:rPr>
          <w:sz w:val="20"/>
        </w:rPr>
      </w:pPr>
      <w:r w:rsidRPr="00412620">
        <w:rPr>
          <w:sz w:val="20"/>
        </w:rPr>
        <w:t>1.</w:t>
      </w:r>
      <w:r w:rsidRPr="00412620">
        <w:rPr>
          <w:sz w:val="20"/>
        </w:rPr>
        <w:tab/>
        <w:t xml:space="preserve">Where any person carries on, or is treated as carrying on, any business which consists of or includes the exploration or extraction of mineral deposits  of a wasting nature (other than petroleum) in Pakistan, such business or part thereof, as the case may be, shall be, for the purposes of this Ordinance </w:t>
      </w:r>
      <w:r w:rsidRPr="00412620">
        <w:rPr>
          <w:rStyle w:val="FootnoteReference"/>
          <w:rFonts w:cs="Arial"/>
          <w:sz w:val="20"/>
        </w:rPr>
        <w:footnoteReference w:id="2401"/>
      </w:r>
      <w:r w:rsidRPr="00412620">
        <w:rPr>
          <w:sz w:val="20"/>
        </w:rPr>
        <w:t>[or the repealed Ordinance], treated as a separate undertaking (hereinafter referred to as “such undertaking”) and the profits and gains of such undertaking shall be computed separately from the income, profits and gains from any other business, if any, carried on by the person.</w:t>
      </w:r>
    </w:p>
    <w:p w:rsidR="00AA4BF8" w:rsidRPr="00412620" w:rsidRDefault="00AA4BF8" w:rsidP="00AA4BF8">
      <w:pPr>
        <w:jc w:val="both"/>
        <w:rPr>
          <w:sz w:val="20"/>
        </w:rPr>
      </w:pPr>
    </w:p>
    <w:p w:rsidR="00AA4BF8" w:rsidRPr="00412620" w:rsidRDefault="00AA4BF8" w:rsidP="00AA4BF8">
      <w:pPr>
        <w:pStyle w:val="Heading3"/>
        <w:spacing w:line="240" w:lineRule="auto"/>
        <w:jc w:val="both"/>
        <w:rPr>
          <w:caps w:val="0"/>
          <w:sz w:val="20"/>
        </w:rPr>
      </w:pPr>
      <w:r w:rsidRPr="00412620">
        <w:rPr>
          <w:caps w:val="0"/>
          <w:sz w:val="20"/>
        </w:rPr>
        <w:t>Computation of Profits</w:t>
      </w:r>
    </w:p>
    <w:p w:rsidR="00AA4BF8" w:rsidRPr="006C3E41" w:rsidRDefault="00AA4BF8" w:rsidP="00AA4BF8">
      <w:pPr>
        <w:keepNext/>
        <w:jc w:val="both"/>
        <w:rPr>
          <w:sz w:val="14"/>
        </w:rPr>
      </w:pPr>
    </w:p>
    <w:p w:rsidR="00AA4BF8" w:rsidRPr="00412620" w:rsidRDefault="00AA4BF8" w:rsidP="00AA4BF8">
      <w:pPr>
        <w:jc w:val="both"/>
        <w:rPr>
          <w:sz w:val="20"/>
        </w:rPr>
      </w:pPr>
      <w:r w:rsidRPr="00412620">
        <w:rPr>
          <w:sz w:val="20"/>
        </w:rPr>
        <w:t>2.</w:t>
      </w:r>
      <w:r w:rsidRPr="00412620">
        <w:rPr>
          <w:sz w:val="20"/>
        </w:rPr>
        <w:tab/>
        <w:t>(1)</w:t>
      </w:r>
      <w:r w:rsidRPr="00412620">
        <w:rPr>
          <w:sz w:val="20"/>
        </w:rPr>
        <w:tab/>
        <w:t>Subject to the provisions of this Part, the profits and gains of such undertaking shall be computed in the manner applicable to income, profits and gains chargeable under the head “Income from Business”.</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All expenditure on prospecting and exploration incurred by such undertaking up to the date of commercial production shall be, to the extent to which it cannot be set off against any other income of such undertaking, treated as a loss.</w:t>
      </w:r>
    </w:p>
    <w:p w:rsidR="00AA4BF8" w:rsidRPr="00412620" w:rsidRDefault="00AA4BF8" w:rsidP="00AA4BF8">
      <w:pPr>
        <w:jc w:val="both"/>
        <w:rPr>
          <w:sz w:val="20"/>
        </w:rPr>
      </w:pPr>
    </w:p>
    <w:p w:rsidR="00AA4BF8" w:rsidRPr="00412620" w:rsidRDefault="00AA4BF8" w:rsidP="00AA4BF8">
      <w:pPr>
        <w:ind w:firstLine="547"/>
        <w:jc w:val="both"/>
        <w:rPr>
          <w:sz w:val="20"/>
        </w:rPr>
      </w:pPr>
      <w:r w:rsidRPr="00412620">
        <w:rPr>
          <w:sz w:val="20"/>
        </w:rPr>
        <w:t>(3)</w:t>
      </w:r>
      <w:r w:rsidRPr="00412620">
        <w:rPr>
          <w:sz w:val="20"/>
        </w:rPr>
        <w:tab/>
        <w:t>The loss referred to in sub-rule (2) shall be carried forward and set off against the income of such undertaking after the commencement of commercial production, so, however, that if it cannot be wholly set off against the income of such undertaking of the tax year in which the commercial production had commenced, the portion not so set off shall be carried forward to the following year and so on, but no such loss shall be carried forward for more than ten years beginning with the year in which commercial production commenced.</w:t>
      </w:r>
    </w:p>
    <w:p w:rsidR="00AA4BF8" w:rsidRPr="00412620" w:rsidRDefault="00AA4BF8" w:rsidP="00AA4BF8">
      <w:pPr>
        <w:jc w:val="both"/>
        <w:rPr>
          <w:sz w:val="20"/>
        </w:rPr>
      </w:pPr>
    </w:p>
    <w:p w:rsidR="00AA4BF8" w:rsidRDefault="00AA4BF8" w:rsidP="00AA4BF8">
      <w:pPr>
        <w:jc w:val="both"/>
        <w:rPr>
          <w:sz w:val="20"/>
        </w:rPr>
      </w:pPr>
      <w:r w:rsidRPr="00412620">
        <w:rPr>
          <w:sz w:val="20"/>
        </w:rPr>
        <w:tab/>
        <w:t>(4)</w:t>
      </w:r>
      <w:r w:rsidRPr="00412620">
        <w:rPr>
          <w:sz w:val="20"/>
        </w:rPr>
        <w:tab/>
        <w:t>After the commencement of commercial production, depreciation in respect of machinery and plant for extracting the ore shall be allowed as a deduction from the profits and gains of the tax year in which they are used for the first time in an amount equal to the original cost of such asset and the provisions of section 22 shall apply accordingly.</w:t>
      </w:r>
    </w:p>
    <w:p w:rsidR="006C3E41" w:rsidRDefault="006C3E41" w:rsidP="00AA4BF8">
      <w:pPr>
        <w:jc w:val="both"/>
        <w:rPr>
          <w:sz w:val="20"/>
        </w:rPr>
      </w:pPr>
    </w:p>
    <w:p w:rsidR="006C3E41" w:rsidRPr="003409C0" w:rsidRDefault="006C3E41" w:rsidP="006C3E41">
      <w:pPr>
        <w:autoSpaceDE w:val="0"/>
        <w:autoSpaceDN w:val="0"/>
        <w:adjustRightInd w:val="0"/>
        <w:jc w:val="both"/>
        <w:rPr>
          <w:rFonts w:cs="Arial"/>
          <w:color w:val="000000" w:themeColor="text1"/>
          <w:sz w:val="20"/>
        </w:rPr>
      </w:pPr>
      <w:r w:rsidRPr="003409C0">
        <w:rPr>
          <w:rStyle w:val="FootnoteReference"/>
          <w:rFonts w:cs="Arial"/>
          <w:b/>
          <w:bCs/>
          <w:color w:val="000000" w:themeColor="text1"/>
          <w:sz w:val="20"/>
          <w:lang w:val="en-US"/>
        </w:rPr>
        <w:footnoteReference w:id="2402"/>
      </w:r>
      <w:r w:rsidRPr="003409C0">
        <w:rPr>
          <w:rFonts w:cs="Arial"/>
          <w:b/>
          <w:bCs/>
          <w:color w:val="000000" w:themeColor="text1"/>
          <w:sz w:val="20"/>
          <w:lang w:val="en-US"/>
        </w:rPr>
        <w:t xml:space="preserve">[“2A. </w:t>
      </w:r>
      <w:r w:rsidRPr="003409C0">
        <w:rPr>
          <w:rFonts w:cs="Arial"/>
          <w:color w:val="000000" w:themeColor="text1"/>
          <w:sz w:val="20"/>
          <w:lang w:val="en-US"/>
        </w:rPr>
        <w:t>The provisions of section 4B shall apply to the taxpayers</w:t>
      </w:r>
      <w:r w:rsidR="00A0443E" w:rsidRPr="003409C0">
        <w:rPr>
          <w:rFonts w:cs="Arial"/>
          <w:color w:val="000000" w:themeColor="text1"/>
          <w:sz w:val="20"/>
          <w:lang w:val="en-US"/>
        </w:rPr>
        <w:t xml:space="preserve"> </w:t>
      </w:r>
      <w:r w:rsidRPr="003409C0">
        <w:rPr>
          <w:rFonts w:cs="Arial"/>
          <w:color w:val="000000" w:themeColor="text1"/>
          <w:sz w:val="20"/>
          <w:lang w:val="en-US"/>
        </w:rPr>
        <w:t>under this Part and taxed at the rates specified in Division IIA of</w:t>
      </w:r>
      <w:r w:rsidR="00A0443E" w:rsidRPr="003409C0">
        <w:rPr>
          <w:rFonts w:cs="Arial"/>
          <w:color w:val="000000" w:themeColor="text1"/>
          <w:sz w:val="20"/>
          <w:lang w:val="en-US"/>
        </w:rPr>
        <w:t xml:space="preserve"> </w:t>
      </w:r>
      <w:r w:rsidRPr="003409C0">
        <w:rPr>
          <w:rFonts w:cs="Arial"/>
          <w:color w:val="000000" w:themeColor="text1"/>
          <w:sz w:val="20"/>
          <w:lang w:val="en-US"/>
        </w:rPr>
        <w:t>Part I of the First Schedule.”]</w:t>
      </w:r>
    </w:p>
    <w:p w:rsidR="00AA4BF8" w:rsidRPr="00412620" w:rsidRDefault="00AA4BF8" w:rsidP="00AA4BF8">
      <w:pPr>
        <w:pStyle w:val="Heading3"/>
        <w:spacing w:line="240" w:lineRule="auto"/>
        <w:jc w:val="both"/>
        <w:rPr>
          <w:caps w:val="0"/>
          <w:sz w:val="20"/>
        </w:rPr>
      </w:pPr>
      <w:r w:rsidRPr="00412620">
        <w:rPr>
          <w:caps w:val="0"/>
          <w:sz w:val="20"/>
        </w:rPr>
        <w:lastRenderedPageBreak/>
        <w:t>Depletion Allowance</w:t>
      </w:r>
    </w:p>
    <w:p w:rsidR="00AA4BF8" w:rsidRPr="00412620" w:rsidRDefault="00AA4BF8" w:rsidP="00AA4BF8">
      <w:pPr>
        <w:keepNext/>
        <w:jc w:val="both"/>
        <w:rPr>
          <w:sz w:val="20"/>
        </w:rPr>
      </w:pPr>
    </w:p>
    <w:p w:rsidR="00AA4BF8" w:rsidRPr="00412620" w:rsidRDefault="00AA4BF8" w:rsidP="00AA4BF8">
      <w:pPr>
        <w:jc w:val="both"/>
        <w:rPr>
          <w:sz w:val="20"/>
        </w:rPr>
      </w:pPr>
      <w:r w:rsidRPr="00412620">
        <w:rPr>
          <w:sz w:val="20"/>
        </w:rPr>
        <w:t>3.</w:t>
      </w:r>
      <w:r w:rsidRPr="00412620">
        <w:rPr>
          <w:sz w:val="20"/>
        </w:rPr>
        <w:tab/>
        <w:t>(1)</w:t>
      </w:r>
      <w:r w:rsidRPr="00412620">
        <w:rPr>
          <w:sz w:val="20"/>
        </w:rPr>
        <w:tab/>
        <w:t xml:space="preserve">In determining the profits and gains of such undertaking for any year an additional allowance (hereinafter referred to as the “depletion allowance”) shall be made equal to twenty </w:t>
      </w:r>
      <w:r>
        <w:rPr>
          <w:sz w:val="20"/>
        </w:rPr>
        <w:t>per cent</w:t>
      </w:r>
      <w:r w:rsidRPr="00412620">
        <w:rPr>
          <w:sz w:val="20"/>
        </w:rPr>
        <w:t xml:space="preserve"> of the taxable income of such undertaking (before the deduction of such allowance).</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No deduction under sub-rule (1) shall be made unless an amount equal to the depletion allowance is set apart and left as a reserve to be utilised for the development and expansion of such undertaking.</w:t>
      </w:r>
    </w:p>
    <w:p w:rsidR="00AA4BF8" w:rsidRPr="00412620" w:rsidRDefault="00AA4BF8" w:rsidP="00AA4BF8">
      <w:pPr>
        <w:jc w:val="both"/>
        <w:rPr>
          <w:sz w:val="20"/>
        </w:rPr>
      </w:pPr>
    </w:p>
    <w:p w:rsidR="00AA4BF8" w:rsidRPr="00412620" w:rsidRDefault="00AA4BF8" w:rsidP="00AA4BF8">
      <w:pPr>
        <w:pStyle w:val="BodyText3"/>
        <w:widowControl/>
        <w:rPr>
          <w:sz w:val="20"/>
          <w:lang w:val="en-AU"/>
        </w:rPr>
      </w:pPr>
      <w:r w:rsidRPr="00412620">
        <w:rPr>
          <w:sz w:val="20"/>
          <w:lang w:val="en-AU"/>
        </w:rPr>
        <w:tab/>
      </w:r>
      <w:r w:rsidRPr="00633DB5">
        <w:rPr>
          <w:rFonts w:ascii="Arial" w:hAnsi="Arial" w:cs="Arial"/>
          <w:sz w:val="20"/>
          <w:lang w:val="en-AU"/>
        </w:rPr>
        <w:t>(3)</w:t>
      </w:r>
      <w:r w:rsidRPr="00633DB5">
        <w:rPr>
          <w:rFonts w:ascii="Arial" w:hAnsi="Arial" w:cs="Arial"/>
          <w:sz w:val="20"/>
          <w:lang w:val="en-AU"/>
        </w:rPr>
        <w:tab/>
        <w:t xml:space="preserve">Where a depletion allowance is made in any tax year and subsequently it is utilised for any purpose contrary to the provisions of sub-rule (2), the amount originally allowed under this Ordinance shall be treated as having been wrongly allowed and the Commissioner may, notwithstanding anything contained in the Ordinance, recompute the taxable income of the taxpayer for the relevant tax years and the provisions of section 122 shall apply, so far as may be, thereto, the period of five years specified in the section being reckoned from the end of the tax year </w:t>
      </w:r>
      <w:r w:rsidRPr="00633DB5">
        <w:rPr>
          <w:rStyle w:val="FootnoteReference"/>
          <w:rFonts w:ascii="Arial" w:hAnsi="Arial" w:cs="Arial"/>
          <w:sz w:val="20"/>
          <w:lang w:val="en-AU"/>
        </w:rPr>
        <w:footnoteReference w:id="2403"/>
      </w:r>
      <w:r w:rsidRPr="00633DB5">
        <w:rPr>
          <w:rFonts w:ascii="Arial" w:hAnsi="Arial" w:cs="Arial"/>
          <w:sz w:val="20"/>
          <w:lang w:val="en-AU"/>
        </w:rPr>
        <w:t>[  ] in which the amount was so utilised</w:t>
      </w:r>
      <w:r w:rsidRPr="00412620">
        <w:rPr>
          <w:sz w:val="20"/>
          <w:lang w:val="en-AU"/>
        </w:rPr>
        <w:t>.</w:t>
      </w:r>
    </w:p>
    <w:p w:rsidR="00AA4BF8" w:rsidRPr="00412620" w:rsidRDefault="00AA4BF8" w:rsidP="00AA4BF8">
      <w:pPr>
        <w:rPr>
          <w:sz w:val="20"/>
        </w:rPr>
      </w:pPr>
    </w:p>
    <w:p w:rsidR="00AA4BF8" w:rsidRPr="00412620" w:rsidRDefault="00AA4BF8" w:rsidP="00AA4BF8">
      <w:pPr>
        <w:pStyle w:val="Heading3"/>
        <w:spacing w:line="240" w:lineRule="auto"/>
        <w:rPr>
          <w:caps w:val="0"/>
          <w:sz w:val="20"/>
        </w:rPr>
      </w:pPr>
      <w:r w:rsidRPr="00412620">
        <w:rPr>
          <w:caps w:val="0"/>
          <w:sz w:val="20"/>
        </w:rPr>
        <w:t>Tax Exemption of Profits from Refining or Concentrating Mineral Deposits</w:t>
      </w:r>
    </w:p>
    <w:p w:rsidR="00AA4BF8" w:rsidRPr="00412620" w:rsidRDefault="00AA4BF8" w:rsidP="00AA4BF8">
      <w:pPr>
        <w:pStyle w:val="CommentText"/>
        <w:keepNext/>
      </w:pPr>
    </w:p>
    <w:p w:rsidR="00AA4BF8" w:rsidRPr="00412620" w:rsidRDefault="00AA4BF8" w:rsidP="00AA4BF8">
      <w:pPr>
        <w:jc w:val="both"/>
        <w:rPr>
          <w:sz w:val="20"/>
        </w:rPr>
      </w:pPr>
      <w:r w:rsidRPr="00412620">
        <w:rPr>
          <w:sz w:val="20"/>
        </w:rPr>
        <w:t>4.</w:t>
      </w:r>
      <w:r w:rsidRPr="00412620">
        <w:rPr>
          <w:sz w:val="20"/>
        </w:rPr>
        <w:tab/>
        <w:t>(1)</w:t>
      </w:r>
      <w:r w:rsidRPr="00412620">
        <w:rPr>
          <w:sz w:val="20"/>
        </w:rPr>
        <w:tab/>
        <w:t xml:space="preserve">Where such undertaking is also engaged in the business of refining or concentrating in Pakistan the mineral deposits extracted by it in Pakistan, so much of the profits and gains (hereinafter referred to as the “said amount”) derived from such business as does not exceed ten </w:t>
      </w:r>
      <w:r>
        <w:rPr>
          <w:sz w:val="20"/>
        </w:rPr>
        <w:t>per cent</w:t>
      </w:r>
      <w:r w:rsidRPr="00412620">
        <w:rPr>
          <w:sz w:val="20"/>
        </w:rPr>
        <w:t xml:space="preserve"> of the capital employed in such business (such capital being computed in accordance with such rules as may be made by the </w:t>
      </w:r>
      <w:r w:rsidRPr="00412620">
        <w:rPr>
          <w:rStyle w:val="FootnoteReference"/>
          <w:rFonts w:cs="Arial"/>
          <w:sz w:val="20"/>
        </w:rPr>
        <w:footnoteReference w:id="2404"/>
      </w:r>
      <w:r w:rsidRPr="00412620">
        <w:rPr>
          <w:sz w:val="20"/>
        </w:rPr>
        <w:t>[</w:t>
      </w:r>
      <w:r w:rsidR="00633DB5">
        <w:rPr>
          <w:sz w:val="20"/>
        </w:rPr>
        <w:t>Board</w:t>
      </w:r>
      <w:r w:rsidRPr="00412620">
        <w:rPr>
          <w:sz w:val="20"/>
        </w:rPr>
        <w:t>] for the purposes of this rule) shall be exempt from tax.</w:t>
      </w:r>
    </w:p>
    <w:p w:rsidR="00AA4BF8" w:rsidRPr="00412620" w:rsidRDefault="00AA4BF8" w:rsidP="00AA4BF8">
      <w:pPr>
        <w:jc w:val="both"/>
        <w:rPr>
          <w:sz w:val="20"/>
        </w:rPr>
      </w:pPr>
    </w:p>
    <w:p w:rsidR="00AA4BF8" w:rsidRPr="00412620" w:rsidRDefault="00AA4BF8" w:rsidP="00AA4BF8">
      <w:pPr>
        <w:ind w:firstLine="547"/>
        <w:jc w:val="both"/>
        <w:rPr>
          <w:sz w:val="20"/>
        </w:rPr>
      </w:pPr>
      <w:r w:rsidRPr="00412620">
        <w:rPr>
          <w:sz w:val="20"/>
        </w:rPr>
        <w:t>(2)</w:t>
      </w:r>
      <w:r w:rsidRPr="00412620">
        <w:rPr>
          <w:sz w:val="20"/>
        </w:rPr>
        <w:tab/>
        <w:t>Where the profits and gains of such business computed for any tax year cover a period which is less or more than one year, the amount of profits and gains exempt under sub-rule (1) shall be the amount which bears the same proportion to the said amount of profits as the said period bears to a period of one year.</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The profits and gains of the business to which this rule applies shall be computed in accordance with Part IV of Chapter III.</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(4)</w:t>
      </w:r>
      <w:r w:rsidRPr="00412620">
        <w:rPr>
          <w:sz w:val="20"/>
        </w:rPr>
        <w:tab/>
        <w:t>Nothing contained in this rule shall apply to an undertaking formed by the splitting up or reconstruction or reconstitution of business already in existence or by the transfer to a new business of any building, machinery, or plant used in a business which was carried on before the 1</w:t>
      </w:r>
      <w:r w:rsidRPr="00412620">
        <w:rPr>
          <w:sz w:val="20"/>
          <w:vertAlign w:val="superscript"/>
        </w:rPr>
        <w:t>st</w:t>
      </w:r>
      <w:r w:rsidRPr="00412620">
        <w:rPr>
          <w:sz w:val="20"/>
        </w:rPr>
        <w:t xml:space="preserve"> day of July, 1975.</w:t>
      </w:r>
    </w:p>
    <w:p w:rsidR="00AA4BF8" w:rsidRPr="00412620" w:rsidRDefault="00AA4BF8" w:rsidP="00AA4BF8">
      <w:pPr>
        <w:jc w:val="both"/>
        <w:rPr>
          <w:sz w:val="20"/>
        </w:rPr>
      </w:pPr>
    </w:p>
    <w:p w:rsidR="00AA4BF8" w:rsidRPr="00412620" w:rsidRDefault="00AA4BF8" w:rsidP="00AA4BF8">
      <w:pPr>
        <w:ind w:firstLine="720"/>
        <w:jc w:val="both"/>
        <w:rPr>
          <w:sz w:val="20"/>
        </w:rPr>
      </w:pPr>
      <w:r w:rsidRPr="00412620">
        <w:rPr>
          <w:sz w:val="20"/>
        </w:rPr>
        <w:t>(5)</w:t>
      </w:r>
      <w:r w:rsidRPr="00412620">
        <w:rPr>
          <w:sz w:val="20"/>
        </w:rPr>
        <w:tab/>
        <w:t xml:space="preserve">The provisions of this rule shall apply to the tax year </w:t>
      </w:r>
      <w:r w:rsidRPr="00412620">
        <w:rPr>
          <w:rStyle w:val="FootnoteReference"/>
          <w:rFonts w:cs="Arial"/>
          <w:sz w:val="20"/>
        </w:rPr>
        <w:footnoteReference w:id="2405"/>
      </w:r>
      <w:r w:rsidRPr="00412620">
        <w:rPr>
          <w:sz w:val="20"/>
        </w:rPr>
        <w:t>[  ] in which commercial production is commenced or the loss or allowance, if any, under sub-rules (3) or (4) of rule 2, as the case may be, has been set off or deducted in full, whichever is the latter, and for the next following four years.</w:t>
      </w:r>
    </w:p>
    <w:p w:rsidR="00AA4BF8" w:rsidRPr="00412620" w:rsidRDefault="00AA4BF8" w:rsidP="00AA4BF8">
      <w:pPr>
        <w:jc w:val="both"/>
        <w:rPr>
          <w:sz w:val="20"/>
        </w:rPr>
      </w:pPr>
    </w:p>
    <w:p w:rsidR="00AA4BF8" w:rsidRPr="00412620" w:rsidRDefault="00AA4BF8" w:rsidP="00AA4BF8">
      <w:pPr>
        <w:pStyle w:val="Heading3"/>
        <w:spacing w:line="240" w:lineRule="auto"/>
        <w:jc w:val="both"/>
        <w:rPr>
          <w:caps w:val="0"/>
          <w:sz w:val="20"/>
        </w:rPr>
      </w:pPr>
      <w:r w:rsidRPr="00412620">
        <w:rPr>
          <w:caps w:val="0"/>
          <w:sz w:val="20"/>
        </w:rPr>
        <w:t>Provisions Relating to Rules</w:t>
      </w:r>
    </w:p>
    <w:p w:rsidR="00AA4BF8" w:rsidRPr="00412620" w:rsidRDefault="00AA4BF8" w:rsidP="00AA4BF8">
      <w:pPr>
        <w:keepNext/>
        <w:jc w:val="both"/>
        <w:rPr>
          <w:sz w:val="20"/>
        </w:rPr>
      </w:pPr>
    </w:p>
    <w:p w:rsidR="00AA4BF8" w:rsidRPr="00412620" w:rsidRDefault="00AA4BF8" w:rsidP="00AA4BF8">
      <w:pPr>
        <w:jc w:val="both"/>
        <w:rPr>
          <w:sz w:val="20"/>
        </w:rPr>
      </w:pPr>
      <w:r w:rsidRPr="00412620">
        <w:rPr>
          <w:sz w:val="20"/>
        </w:rPr>
        <w:t>5.</w:t>
      </w:r>
      <w:r w:rsidRPr="00412620">
        <w:rPr>
          <w:sz w:val="20"/>
        </w:rPr>
        <w:tab/>
        <w:t xml:space="preserve">The </w:t>
      </w:r>
      <w:r w:rsidRPr="00412620">
        <w:rPr>
          <w:rStyle w:val="FootnoteReference"/>
          <w:rFonts w:cs="Arial"/>
          <w:sz w:val="20"/>
        </w:rPr>
        <w:footnoteReference w:id="2406"/>
      </w:r>
      <w:r w:rsidRPr="00412620">
        <w:rPr>
          <w:sz w:val="20"/>
        </w:rPr>
        <w:t>[Board] may make rules providing for any matter connected with, or incidental to, the operations of this Part.</w:t>
      </w:r>
    </w:p>
    <w:p w:rsidR="00AA4BF8" w:rsidRPr="00412620" w:rsidRDefault="00AA4BF8" w:rsidP="00AA4BF8">
      <w:pPr>
        <w:jc w:val="both"/>
        <w:rPr>
          <w:sz w:val="20"/>
        </w:rPr>
      </w:pPr>
    </w:p>
    <w:p w:rsidR="00AA4BF8" w:rsidRPr="00412620" w:rsidRDefault="00AA4BF8" w:rsidP="00AA4BF8">
      <w:pPr>
        <w:pStyle w:val="Heading3"/>
        <w:spacing w:line="240" w:lineRule="auto"/>
        <w:jc w:val="both"/>
        <w:rPr>
          <w:caps w:val="0"/>
          <w:sz w:val="20"/>
        </w:rPr>
      </w:pPr>
      <w:r w:rsidRPr="00412620">
        <w:rPr>
          <w:caps w:val="0"/>
          <w:sz w:val="20"/>
        </w:rPr>
        <w:t>Definitions</w:t>
      </w:r>
    </w:p>
    <w:p w:rsidR="00AA4BF8" w:rsidRPr="00412620" w:rsidRDefault="00AA4BF8" w:rsidP="00AA4BF8">
      <w:pPr>
        <w:keepNext/>
        <w:jc w:val="both"/>
        <w:rPr>
          <w:sz w:val="20"/>
        </w:rPr>
      </w:pPr>
    </w:p>
    <w:p w:rsidR="00AA4BF8" w:rsidRPr="00412620" w:rsidRDefault="00AA4BF8" w:rsidP="00AA4BF8">
      <w:pPr>
        <w:jc w:val="both"/>
        <w:rPr>
          <w:sz w:val="20"/>
        </w:rPr>
      </w:pPr>
      <w:r w:rsidRPr="00412620">
        <w:rPr>
          <w:sz w:val="20"/>
        </w:rPr>
        <w:t>6.</w:t>
      </w:r>
      <w:r w:rsidRPr="00412620">
        <w:rPr>
          <w:sz w:val="20"/>
        </w:rPr>
        <w:tab/>
        <w:t>In this Part, –</w:t>
      </w:r>
    </w:p>
    <w:p w:rsidR="00AA4BF8" w:rsidRPr="00412620" w:rsidRDefault="00AA4BF8" w:rsidP="00AA4BF8">
      <w:pPr>
        <w:jc w:val="both"/>
        <w:rPr>
          <w:sz w:val="20"/>
        </w:rPr>
      </w:pPr>
    </w:p>
    <w:p w:rsidR="00AA4BF8" w:rsidRPr="00412620" w:rsidRDefault="00AA4BF8" w:rsidP="00AA4BF8">
      <w:pPr>
        <w:pStyle w:val="BodyTextIndent3"/>
        <w:ind w:left="1080" w:hanging="450"/>
        <w:jc w:val="both"/>
        <w:rPr>
          <w:sz w:val="20"/>
        </w:rPr>
      </w:pPr>
      <w:r w:rsidRPr="00412620">
        <w:rPr>
          <w:sz w:val="20"/>
        </w:rPr>
        <w:t>(1)</w:t>
      </w:r>
      <w:r w:rsidRPr="00412620">
        <w:rPr>
          <w:sz w:val="20"/>
        </w:rPr>
        <w:tab/>
        <w:t>“commercial production” means production as determined by the Commissioner; and</w:t>
      </w:r>
    </w:p>
    <w:p w:rsidR="00AA4BF8" w:rsidRPr="00412620" w:rsidRDefault="00AA4BF8" w:rsidP="00AA4BF8">
      <w:pPr>
        <w:ind w:left="1440" w:hanging="720"/>
        <w:jc w:val="both"/>
        <w:rPr>
          <w:sz w:val="20"/>
        </w:rPr>
      </w:pPr>
    </w:p>
    <w:p w:rsidR="00AA4BF8" w:rsidRPr="00412620" w:rsidRDefault="00AA4BF8" w:rsidP="00AA4BF8">
      <w:pPr>
        <w:pStyle w:val="BodyTextIndent3"/>
        <w:ind w:left="1080" w:hanging="450"/>
        <w:jc w:val="both"/>
        <w:rPr>
          <w:sz w:val="20"/>
        </w:rPr>
      </w:pPr>
      <w:r w:rsidRPr="00412620">
        <w:rPr>
          <w:sz w:val="20"/>
        </w:rPr>
        <w:t>(2)</w:t>
      </w:r>
      <w:r w:rsidRPr="00412620">
        <w:rPr>
          <w:sz w:val="20"/>
        </w:rPr>
        <w:tab/>
        <w:t>“petroleum” has the same meaning as in clause (4) of rule 6 of Part I.</w:t>
      </w:r>
    </w:p>
    <w:p w:rsidR="00AA4BF8" w:rsidRPr="00412620" w:rsidRDefault="00AA4BF8" w:rsidP="00AA4BF8">
      <w:pPr>
        <w:rPr>
          <w:sz w:val="20"/>
        </w:rPr>
      </w:pPr>
    </w:p>
    <w:p w:rsidR="00AA4BF8" w:rsidRPr="00412620" w:rsidRDefault="00AA4BF8" w:rsidP="00AA4BF8">
      <w:pPr>
        <w:rPr>
          <w:sz w:val="20"/>
        </w:rPr>
      </w:pPr>
    </w:p>
    <w:p w:rsidR="00AA4BF8" w:rsidRPr="00412620" w:rsidRDefault="00AA4BF8" w:rsidP="00AA4BF8">
      <w:pPr>
        <w:pStyle w:val="Heading2"/>
        <w:keepNext w:val="0"/>
        <w:spacing w:line="240" w:lineRule="auto"/>
        <w:rPr>
          <w:sz w:val="32"/>
          <w:szCs w:val="32"/>
        </w:rPr>
      </w:pPr>
      <w:r w:rsidRPr="00412620">
        <w:rPr>
          <w:b w:val="0"/>
          <w:sz w:val="20"/>
        </w:rPr>
        <w:br w:type="page"/>
      </w:r>
      <w:r w:rsidRPr="00412620">
        <w:rPr>
          <w:sz w:val="32"/>
          <w:szCs w:val="32"/>
        </w:rPr>
        <w:lastRenderedPageBreak/>
        <w:t>THE SIXTH SCHEDULE</w:t>
      </w:r>
    </w:p>
    <w:p w:rsidR="00AA4BF8" w:rsidRPr="00412620" w:rsidRDefault="00AA4BF8" w:rsidP="00AA4BF8">
      <w:pPr>
        <w:pStyle w:val="BodyText2"/>
        <w:keepNext/>
        <w:jc w:val="left"/>
        <w:rPr>
          <w:sz w:val="20"/>
        </w:rPr>
      </w:pPr>
    </w:p>
    <w:p w:rsidR="00AA4BF8" w:rsidRPr="00412620" w:rsidRDefault="00AA4BF8" w:rsidP="00AA4BF8">
      <w:pPr>
        <w:pStyle w:val="C"/>
        <w:keepNext/>
        <w:widowControl/>
        <w:spacing w:before="0" w:after="0"/>
        <w:rPr>
          <w:rFonts w:ascii="Arial" w:hAnsi="Arial" w:cs="Arial"/>
          <w:sz w:val="32"/>
          <w:szCs w:val="32"/>
          <w:lang w:val="en-AU"/>
        </w:rPr>
      </w:pPr>
      <w:r w:rsidRPr="00412620">
        <w:rPr>
          <w:rFonts w:ascii="Arial" w:hAnsi="Arial" w:cs="Arial"/>
          <w:sz w:val="32"/>
          <w:szCs w:val="32"/>
          <w:lang w:val="en-AU"/>
        </w:rPr>
        <w:t>PART I</w:t>
      </w:r>
    </w:p>
    <w:p w:rsidR="00AA4BF8" w:rsidRPr="00412620" w:rsidRDefault="00AA4BF8" w:rsidP="00AA4BF8">
      <w:pPr>
        <w:pStyle w:val="Heading2"/>
        <w:spacing w:line="240" w:lineRule="auto"/>
        <w:rPr>
          <w:sz w:val="20"/>
        </w:rPr>
      </w:pPr>
      <w:r w:rsidRPr="00412620">
        <w:rPr>
          <w:sz w:val="20"/>
        </w:rPr>
        <w:t>RECOGNISED PROVIDENT FUNDS</w:t>
      </w:r>
    </w:p>
    <w:p w:rsidR="00AA4BF8" w:rsidRPr="00412620" w:rsidRDefault="00AA4BF8" w:rsidP="00AA4BF8">
      <w:pPr>
        <w:keepNext/>
        <w:jc w:val="center"/>
        <w:rPr>
          <w:i/>
          <w:iCs/>
          <w:sz w:val="20"/>
        </w:rPr>
      </w:pPr>
      <w:r w:rsidRPr="00412620">
        <w:rPr>
          <w:i/>
          <w:iCs/>
          <w:sz w:val="20"/>
        </w:rPr>
        <w:t xml:space="preserve">[See sections 2( </w:t>
      </w:r>
      <w:r w:rsidRPr="00412620">
        <w:rPr>
          <w:rStyle w:val="FootnoteReference"/>
          <w:rFonts w:cs="Arial"/>
          <w:i/>
          <w:iCs/>
          <w:sz w:val="20"/>
        </w:rPr>
        <w:footnoteReference w:id="2407"/>
      </w:r>
      <w:r w:rsidRPr="00412620">
        <w:rPr>
          <w:i/>
          <w:iCs/>
          <w:sz w:val="20"/>
        </w:rPr>
        <w:t>[48] ) and 21(e)]</w:t>
      </w:r>
    </w:p>
    <w:p w:rsidR="00AA4BF8" w:rsidRPr="00412620" w:rsidRDefault="00AA4BF8" w:rsidP="00AA4BF8">
      <w:pPr>
        <w:pStyle w:val="CommentText"/>
        <w:keepNext/>
      </w:pPr>
    </w:p>
    <w:p w:rsidR="00AA4BF8" w:rsidRPr="00412620" w:rsidRDefault="00AA4BF8" w:rsidP="00AA4BF8">
      <w:pPr>
        <w:jc w:val="both"/>
        <w:rPr>
          <w:sz w:val="20"/>
        </w:rPr>
      </w:pPr>
      <w:r w:rsidRPr="00412620">
        <w:rPr>
          <w:b/>
          <w:bCs/>
          <w:sz w:val="20"/>
        </w:rPr>
        <w:t>1.</w:t>
      </w:r>
      <w:r w:rsidRPr="00412620">
        <w:rPr>
          <w:b/>
          <w:bCs/>
          <w:sz w:val="20"/>
        </w:rPr>
        <w:tab/>
        <w:t>Recognition of provident funds.—</w:t>
      </w:r>
      <w:r w:rsidRPr="00412620">
        <w:rPr>
          <w:sz w:val="20"/>
        </w:rPr>
        <w:t> (1) The Commissioner may accord recognition to any provident fund which, in his opinion, complies with the requirements of rule 2, and may at any time, withdraw such recognition if, in his opinion, the circumstances of the fund cease to warrant the continuance of the recognition.</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 xml:space="preserve">An order according recognition shall take effect on such date as the Commissioner may fix in accordance with such rules as the </w:t>
      </w:r>
      <w:r w:rsidR="006665D4">
        <w:rPr>
          <w:rStyle w:val="FootnoteReference"/>
          <w:sz w:val="20"/>
        </w:rPr>
        <w:footnoteReference w:id="2408"/>
      </w:r>
      <w:r w:rsidR="006665D4">
        <w:rPr>
          <w:sz w:val="20"/>
        </w:rPr>
        <w:t>[</w:t>
      </w:r>
      <w:r w:rsidRPr="00412620">
        <w:rPr>
          <w:sz w:val="20"/>
        </w:rPr>
        <w:t>Board</w:t>
      </w:r>
      <w:r w:rsidR="006665D4">
        <w:rPr>
          <w:sz w:val="20"/>
        </w:rPr>
        <w:t>]</w:t>
      </w:r>
      <w:r w:rsidRPr="00412620">
        <w:rPr>
          <w:sz w:val="20"/>
        </w:rPr>
        <w:t xml:space="preserve"> may make in this behalf, such date not being later than the last day of the financial year in which the order is made.</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An order according recognition to a provident fund shall not, unless the Commissioner otherwise directs, be affected by the fact that the fund is subsequently amalgamated with another provident fund on the occurrence of an amalgamation of the undertakings in connection with which the two funds are maintained or that it subsequently absorbs the whole or a part of another provident fund belonging to an undertaking which is wholly or in part transferred to, or merged in, the undertaking of the employer maintaining the first-mentioned fund.</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(4)</w:t>
      </w:r>
      <w:r w:rsidRPr="00412620">
        <w:rPr>
          <w:sz w:val="20"/>
        </w:rPr>
        <w:tab/>
        <w:t>An order withdrawing recognition shall take effect from such date as the Commissioner may fix.</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(5)</w:t>
      </w:r>
      <w:r w:rsidRPr="00412620">
        <w:rPr>
          <w:sz w:val="20"/>
        </w:rPr>
        <w:tab/>
        <w:t>The Commissioner shall neither refuse nor withdraw recognition of any provident fund, unless he has given to the trustees of the fund a reasonable opportunity of being heard.</w:t>
      </w:r>
    </w:p>
    <w:p w:rsidR="00AA4BF8" w:rsidRPr="00412620" w:rsidRDefault="00AA4BF8" w:rsidP="00AA4BF8">
      <w:pPr>
        <w:jc w:val="both"/>
        <w:rPr>
          <w:sz w:val="20"/>
        </w:rPr>
      </w:pPr>
    </w:p>
    <w:p w:rsidR="00AA4BF8" w:rsidRPr="00412620" w:rsidRDefault="00AA4BF8" w:rsidP="00AA4BF8">
      <w:pPr>
        <w:widowControl w:val="0"/>
        <w:jc w:val="both"/>
        <w:rPr>
          <w:sz w:val="20"/>
        </w:rPr>
      </w:pPr>
      <w:r w:rsidRPr="00412620">
        <w:rPr>
          <w:b/>
          <w:bCs/>
          <w:sz w:val="20"/>
        </w:rPr>
        <w:t>2.</w:t>
      </w:r>
      <w:r w:rsidRPr="00412620">
        <w:rPr>
          <w:b/>
          <w:bCs/>
          <w:sz w:val="20"/>
        </w:rPr>
        <w:tab/>
        <w:t>Conditions for approval.</w:t>
      </w:r>
      <w:r w:rsidRPr="00412620">
        <w:rPr>
          <w:sz w:val="20"/>
        </w:rPr>
        <w:t xml:space="preserve"> — (1) In order that a provident fund may receive and retain recognition it shall satisfy the conditions hereinafter specified and any other conditions which the </w:t>
      </w:r>
      <w:r w:rsidR="00AA04A3">
        <w:rPr>
          <w:rStyle w:val="FootnoteReference"/>
          <w:sz w:val="20"/>
        </w:rPr>
        <w:footnoteReference w:id="2409"/>
      </w:r>
      <w:r w:rsidR="00AA04A3">
        <w:rPr>
          <w:sz w:val="20"/>
        </w:rPr>
        <w:t>[</w:t>
      </w:r>
      <w:r w:rsidRPr="00412620">
        <w:rPr>
          <w:sz w:val="20"/>
        </w:rPr>
        <w:t>Board</w:t>
      </w:r>
      <w:r w:rsidR="00AA04A3">
        <w:rPr>
          <w:sz w:val="20"/>
        </w:rPr>
        <w:t>]</w:t>
      </w:r>
      <w:r w:rsidRPr="00412620">
        <w:rPr>
          <w:sz w:val="20"/>
        </w:rPr>
        <w:t xml:space="preserve"> may, by rules, prescribe  -</w:t>
      </w:r>
    </w:p>
    <w:p w:rsidR="00AA4BF8" w:rsidRPr="00412620" w:rsidRDefault="00AA4BF8" w:rsidP="00AA4BF8">
      <w:pPr>
        <w:jc w:val="both"/>
        <w:rPr>
          <w:sz w:val="20"/>
        </w:rPr>
      </w:pPr>
    </w:p>
    <w:p w:rsidR="00AA4BF8" w:rsidRPr="00412620" w:rsidRDefault="00AA4BF8" w:rsidP="00AA4BF8">
      <w:pPr>
        <w:ind w:left="1094" w:hanging="540"/>
        <w:jc w:val="both"/>
        <w:rPr>
          <w:sz w:val="20"/>
        </w:rPr>
      </w:pPr>
      <w:r w:rsidRPr="00412620">
        <w:rPr>
          <w:sz w:val="20"/>
        </w:rPr>
        <w:t>(a)</w:t>
      </w:r>
      <w:r w:rsidRPr="00412620">
        <w:rPr>
          <w:sz w:val="20"/>
        </w:rPr>
        <w:tab/>
        <w:t>all employees shall be employed in  Pakistan , or shall be employed by an employer whose principal place of business is in Pakistan:</w:t>
      </w:r>
    </w:p>
    <w:p w:rsidR="00AA4BF8" w:rsidRPr="00412620" w:rsidRDefault="00AA4BF8" w:rsidP="00AA4BF8">
      <w:pPr>
        <w:jc w:val="both"/>
        <w:rPr>
          <w:sz w:val="20"/>
        </w:rPr>
      </w:pPr>
    </w:p>
    <w:p w:rsidR="00AA4BF8" w:rsidRPr="00412620" w:rsidRDefault="00AA4BF8" w:rsidP="00AA4BF8">
      <w:pPr>
        <w:ind w:left="1641" w:firstLine="549"/>
        <w:jc w:val="both"/>
        <w:rPr>
          <w:sz w:val="20"/>
        </w:rPr>
      </w:pPr>
      <w:r w:rsidRPr="00412620">
        <w:rPr>
          <w:sz w:val="20"/>
        </w:rPr>
        <w:t xml:space="preserve">Provided that the Commissioner may, if he thinks fit, and subject to such conditions, if any, as he thinks proper to attach </w:t>
      </w:r>
      <w:r w:rsidRPr="00412620">
        <w:rPr>
          <w:sz w:val="20"/>
        </w:rPr>
        <w:lastRenderedPageBreak/>
        <w:t xml:space="preserve">to the recognition, accord recognition to a fund maintained by an employer whose principal place of business is not in Pakistan, provided the proportion of employees employed outside Pakistan does not exceed ten </w:t>
      </w:r>
      <w:r>
        <w:rPr>
          <w:i/>
          <w:iCs/>
          <w:sz w:val="20"/>
        </w:rPr>
        <w:t>per cent</w:t>
      </w:r>
      <w:r w:rsidRPr="00412620">
        <w:rPr>
          <w:sz w:val="20"/>
        </w:rPr>
        <w:t>;</w:t>
      </w:r>
    </w:p>
    <w:p w:rsidR="00AA4BF8" w:rsidRPr="00412620" w:rsidRDefault="00AA4BF8" w:rsidP="00AA4BF8">
      <w:pPr>
        <w:jc w:val="both"/>
        <w:rPr>
          <w:sz w:val="20"/>
        </w:rPr>
      </w:pPr>
    </w:p>
    <w:p w:rsidR="00AA4BF8" w:rsidRPr="00412620" w:rsidRDefault="00AA4BF8" w:rsidP="00AA4BF8">
      <w:pPr>
        <w:ind w:left="1094" w:hanging="540"/>
        <w:jc w:val="both"/>
        <w:rPr>
          <w:sz w:val="20"/>
        </w:rPr>
      </w:pPr>
      <w:r w:rsidRPr="00412620">
        <w:rPr>
          <w:sz w:val="20"/>
        </w:rPr>
        <w:t>(b)</w:t>
      </w:r>
      <w:r w:rsidRPr="00412620">
        <w:rPr>
          <w:sz w:val="20"/>
        </w:rPr>
        <w:tab/>
        <w:t>the contributions of an employee in any year shall be a definite proportion of his salary for that year, and shall be deducted by the employer from the employee's salary in that proportion, at each periodical payment of such salary in that year, and credited to the employee's individual account in the fund:</w:t>
      </w:r>
    </w:p>
    <w:p w:rsidR="00AA4BF8" w:rsidRPr="00412620" w:rsidRDefault="00AA4BF8" w:rsidP="00AA4BF8">
      <w:pPr>
        <w:jc w:val="both"/>
        <w:rPr>
          <w:sz w:val="20"/>
        </w:rPr>
      </w:pPr>
    </w:p>
    <w:p w:rsidR="00AA4BF8" w:rsidRPr="00412620" w:rsidRDefault="00AA4BF8" w:rsidP="00AA4BF8">
      <w:pPr>
        <w:ind w:left="1641" w:firstLine="549"/>
        <w:jc w:val="both"/>
        <w:rPr>
          <w:sz w:val="20"/>
        </w:rPr>
      </w:pPr>
      <w:r w:rsidRPr="00412620">
        <w:rPr>
          <w:sz w:val="20"/>
        </w:rPr>
        <w:t xml:space="preserve">Provided that an employee, who retains his employment while serving in armed forces of Pakistan or when taken into, or employed in, the national service under any law for the time being in force, may, whether he receives from the employer any salary or not contribute to the fund during his service in the armed forces of Pakistan or while so taken into, or employed in, the national service a sum not exceeding the amount he would have contributed had he continued to serve the </w:t>
      </w:r>
      <w:r w:rsidRPr="00412620">
        <w:rPr>
          <w:rStyle w:val="FootnoteReference"/>
          <w:rFonts w:cs="Arial"/>
          <w:sz w:val="20"/>
        </w:rPr>
        <w:footnoteReference w:id="2410"/>
      </w:r>
      <w:r w:rsidRPr="00412620">
        <w:rPr>
          <w:sz w:val="20"/>
        </w:rPr>
        <w:t>[employer];</w:t>
      </w:r>
    </w:p>
    <w:p w:rsidR="00AA4BF8" w:rsidRPr="00412620" w:rsidRDefault="00AA4BF8" w:rsidP="00AA4BF8">
      <w:pPr>
        <w:jc w:val="both"/>
        <w:rPr>
          <w:sz w:val="20"/>
        </w:rPr>
      </w:pPr>
    </w:p>
    <w:p w:rsidR="00AA4BF8" w:rsidRPr="00412620" w:rsidRDefault="00AA4BF8" w:rsidP="00AA4BF8">
      <w:pPr>
        <w:ind w:left="1094" w:hanging="540"/>
        <w:jc w:val="both"/>
        <w:rPr>
          <w:sz w:val="20"/>
        </w:rPr>
      </w:pPr>
      <w:r w:rsidRPr="00412620">
        <w:rPr>
          <w:sz w:val="20"/>
        </w:rPr>
        <w:t>(c)</w:t>
      </w:r>
      <w:r w:rsidRPr="00412620">
        <w:rPr>
          <w:sz w:val="20"/>
        </w:rPr>
        <w:tab/>
        <w:t>the contributions of an employer to the individual account of an employee in any year shall not exceed the amount of the contributions of the employee in that year, and shall be credited to the employee's individual account at intervals not exceeding one year:</w:t>
      </w:r>
    </w:p>
    <w:p w:rsidR="00AA4BF8" w:rsidRPr="00412620" w:rsidRDefault="00AA4BF8" w:rsidP="00AA4BF8">
      <w:pPr>
        <w:jc w:val="both"/>
        <w:rPr>
          <w:sz w:val="20"/>
        </w:rPr>
      </w:pPr>
    </w:p>
    <w:p w:rsidR="00AA4BF8" w:rsidRPr="00412620" w:rsidRDefault="00AA4BF8" w:rsidP="00AA4BF8">
      <w:pPr>
        <w:ind w:left="1094" w:firstLine="547"/>
        <w:jc w:val="both"/>
        <w:rPr>
          <w:sz w:val="20"/>
        </w:rPr>
      </w:pPr>
      <w:r w:rsidRPr="00412620">
        <w:rPr>
          <w:sz w:val="20"/>
        </w:rPr>
        <w:t xml:space="preserve">Provided that, subject to any rules which the </w:t>
      </w:r>
      <w:r w:rsidR="00255259">
        <w:rPr>
          <w:rStyle w:val="FootnoteReference"/>
          <w:sz w:val="20"/>
        </w:rPr>
        <w:footnoteReference w:id="2411"/>
      </w:r>
      <w:r w:rsidR="00255259">
        <w:rPr>
          <w:sz w:val="20"/>
        </w:rPr>
        <w:t>[</w:t>
      </w:r>
      <w:r w:rsidRPr="00412620">
        <w:rPr>
          <w:sz w:val="20"/>
        </w:rPr>
        <w:t>Board</w:t>
      </w:r>
      <w:r w:rsidR="00255259">
        <w:rPr>
          <w:sz w:val="20"/>
        </w:rPr>
        <w:t>]</w:t>
      </w:r>
      <w:r w:rsidRPr="00412620">
        <w:rPr>
          <w:sz w:val="20"/>
        </w:rPr>
        <w:t xml:space="preserve"> may make in this behalf, the Commissioner may, in respect of any particular fund, relax the provisions of this clause —</w:t>
      </w:r>
    </w:p>
    <w:p w:rsidR="00AA4BF8" w:rsidRPr="00412620" w:rsidRDefault="00AA4BF8" w:rsidP="00AA4BF8">
      <w:pPr>
        <w:jc w:val="both"/>
        <w:rPr>
          <w:sz w:val="20"/>
        </w:rPr>
      </w:pPr>
    </w:p>
    <w:p w:rsidR="00AA4BF8" w:rsidRPr="00412620" w:rsidRDefault="00AA4BF8" w:rsidP="00AA4BF8">
      <w:pPr>
        <w:ind w:left="2188" w:hanging="547"/>
        <w:jc w:val="both"/>
        <w:rPr>
          <w:sz w:val="20"/>
        </w:rPr>
      </w:pPr>
      <w:r w:rsidRPr="00412620">
        <w:rPr>
          <w:sz w:val="20"/>
        </w:rPr>
        <w:t>(i)</w:t>
      </w:r>
      <w:r w:rsidRPr="00412620">
        <w:rPr>
          <w:sz w:val="20"/>
        </w:rPr>
        <w:tab/>
        <w:t>so as to permit the payment of larger contributions by an employer to the individual accounts of employees whose salaries do not, in each case, exceed five hundred rupees per month;</w:t>
      </w:r>
    </w:p>
    <w:p w:rsidR="00AA4BF8" w:rsidRPr="00412620" w:rsidRDefault="00AA4BF8" w:rsidP="00AA4BF8">
      <w:pPr>
        <w:jc w:val="both"/>
        <w:rPr>
          <w:sz w:val="20"/>
        </w:rPr>
      </w:pPr>
    </w:p>
    <w:p w:rsidR="00AA4BF8" w:rsidRPr="00412620" w:rsidRDefault="00AA4BF8" w:rsidP="00AA4BF8">
      <w:pPr>
        <w:ind w:left="2188" w:hanging="547"/>
        <w:jc w:val="both"/>
        <w:rPr>
          <w:sz w:val="20"/>
        </w:rPr>
      </w:pPr>
      <w:r w:rsidRPr="00412620">
        <w:rPr>
          <w:sz w:val="20"/>
        </w:rPr>
        <w:t>(ii)</w:t>
      </w:r>
      <w:r w:rsidRPr="00412620">
        <w:rPr>
          <w:sz w:val="20"/>
        </w:rPr>
        <w:tab/>
        <w:t xml:space="preserve">so as to permit the crediting by employers to the individual accounts of employees of periodical bonuses or other contributions </w:t>
      </w:r>
      <w:r w:rsidRPr="00412620">
        <w:rPr>
          <w:rStyle w:val="FootnoteReference"/>
          <w:rFonts w:cs="Arial"/>
          <w:sz w:val="20"/>
        </w:rPr>
        <w:footnoteReference w:id="2412"/>
      </w:r>
      <w:r w:rsidRPr="00412620">
        <w:rPr>
          <w:sz w:val="20"/>
        </w:rPr>
        <w:t xml:space="preserve">[  ] of a contingent nature, where the calculation and payment of such bonuses or other contributions is provided for on definite principles by the regulations of the fund; </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(d)</w:t>
      </w:r>
      <w:r w:rsidRPr="00412620">
        <w:rPr>
          <w:sz w:val="20"/>
        </w:rPr>
        <w:tab/>
        <w:t>the employer shall not be entitled to recover any sum whatsoever from the fund, save in cases where the employee is dismissed for misconduct or voluntarily leaves his employment otherwise than on account of ill-health or other unavoidable cause before the expiration of the term of service specified in this behalf in the regulations of the fund:</w:t>
      </w:r>
    </w:p>
    <w:p w:rsidR="00AA4BF8" w:rsidRPr="00412620" w:rsidRDefault="00AA4BF8" w:rsidP="00AA4BF8">
      <w:pPr>
        <w:jc w:val="both"/>
        <w:rPr>
          <w:sz w:val="20"/>
        </w:rPr>
      </w:pPr>
    </w:p>
    <w:p w:rsidR="00AA4BF8" w:rsidRPr="00412620" w:rsidRDefault="00AA4BF8" w:rsidP="00AA4BF8">
      <w:pPr>
        <w:ind w:left="1634" w:firstLine="556"/>
        <w:jc w:val="both"/>
        <w:rPr>
          <w:sz w:val="20"/>
        </w:rPr>
      </w:pPr>
      <w:r w:rsidRPr="00412620">
        <w:rPr>
          <w:sz w:val="20"/>
        </w:rPr>
        <w:t>Provided that in such cases the recoveries made by the employer shall be limited to the contributions made by him to the individual account of the employee, and to interest credited in respect of such contributions in accordance with the regulations of the fund and accumulations thereof;</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(e)</w:t>
      </w:r>
      <w:r w:rsidRPr="00412620">
        <w:rPr>
          <w:sz w:val="20"/>
        </w:rPr>
        <w:tab/>
        <w:t>the fund shall be vested in two or more trustees or in the Official Trustees under a trust which shall not be recoverable save with the consent of all the beneficiaries;</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(f)</w:t>
      </w:r>
      <w:r w:rsidRPr="00412620">
        <w:rPr>
          <w:sz w:val="20"/>
        </w:rPr>
        <w:tab/>
        <w:t>the fund shall consist of contributions as above specified, received by the trustees, or accumulations thereof, and of interest credited in respect of such contributions and accumulations, and of securities purchased therewith and of any capital gains arising from the transfer of capital assets of the fund, and of no other sums;</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(g)</w:t>
      </w:r>
      <w:r w:rsidRPr="00412620">
        <w:rPr>
          <w:sz w:val="20"/>
        </w:rPr>
        <w:tab/>
        <w:t xml:space="preserve">the accumulated balance due to an employee shall be payable on the day he ceases to be an employee of the employer maintaining the </w:t>
      </w:r>
      <w:r w:rsidRPr="00412620">
        <w:rPr>
          <w:rStyle w:val="FootnoteReference"/>
          <w:rFonts w:cs="Arial"/>
          <w:sz w:val="20"/>
        </w:rPr>
        <w:footnoteReference w:id="2413"/>
      </w:r>
      <w:r w:rsidRPr="00412620">
        <w:rPr>
          <w:sz w:val="20"/>
        </w:rPr>
        <w:t>[fund]:</w:t>
      </w:r>
    </w:p>
    <w:p w:rsidR="00AA4BF8" w:rsidRPr="00412620" w:rsidRDefault="00AA4BF8" w:rsidP="00AA4BF8">
      <w:pPr>
        <w:jc w:val="both"/>
        <w:rPr>
          <w:sz w:val="20"/>
        </w:rPr>
      </w:pPr>
    </w:p>
    <w:p w:rsidR="00AA4BF8" w:rsidRPr="00412620" w:rsidRDefault="00AA4BF8" w:rsidP="00AA4BF8">
      <w:pPr>
        <w:ind w:left="1634" w:firstLine="556"/>
        <w:jc w:val="both"/>
        <w:rPr>
          <w:sz w:val="20"/>
        </w:rPr>
      </w:pPr>
      <w:r w:rsidRPr="00412620">
        <w:rPr>
          <w:sz w:val="20"/>
        </w:rPr>
        <w:t>Provided that notwithstanding anything contained in clause (f) or (g):—</w:t>
      </w:r>
    </w:p>
    <w:p w:rsidR="00AA4BF8" w:rsidRPr="00412620" w:rsidRDefault="00AA4BF8" w:rsidP="00AA4BF8">
      <w:pPr>
        <w:jc w:val="both"/>
        <w:rPr>
          <w:sz w:val="20"/>
        </w:rPr>
      </w:pPr>
    </w:p>
    <w:p w:rsidR="00AA4BF8" w:rsidRPr="00412620" w:rsidRDefault="00AA4BF8" w:rsidP="00AA4BF8">
      <w:pPr>
        <w:ind w:left="2188" w:hanging="547"/>
        <w:jc w:val="both"/>
        <w:rPr>
          <w:sz w:val="20"/>
        </w:rPr>
      </w:pPr>
      <w:r w:rsidRPr="00412620">
        <w:rPr>
          <w:snapToGrid w:val="0"/>
          <w:sz w:val="20"/>
        </w:rPr>
        <w:t>(i)</w:t>
      </w:r>
      <w:r w:rsidRPr="00412620">
        <w:rPr>
          <w:snapToGrid w:val="0"/>
          <w:sz w:val="20"/>
        </w:rPr>
        <w:tab/>
        <w:t xml:space="preserve">at the request made in writing by the employee who ceases to be an employee of the employer maintaining the fund, the trustees of the </w:t>
      </w:r>
      <w:r w:rsidRPr="00412620">
        <w:rPr>
          <w:sz w:val="20"/>
        </w:rPr>
        <w:t>fund may consent to retain the whole or any part of the accumulated balance due to the employee to be drawn by him at any time on demand;</w:t>
      </w:r>
    </w:p>
    <w:p w:rsidR="00AA4BF8" w:rsidRPr="00412620" w:rsidRDefault="00AA4BF8" w:rsidP="00AA4BF8">
      <w:pPr>
        <w:jc w:val="both"/>
        <w:rPr>
          <w:sz w:val="20"/>
        </w:rPr>
      </w:pPr>
    </w:p>
    <w:p w:rsidR="00AA4BF8" w:rsidRPr="00412620" w:rsidRDefault="00AA4BF8" w:rsidP="00AA4BF8">
      <w:pPr>
        <w:ind w:left="2188" w:hanging="547"/>
        <w:jc w:val="both"/>
        <w:rPr>
          <w:sz w:val="20"/>
        </w:rPr>
      </w:pPr>
      <w:r w:rsidRPr="00412620">
        <w:rPr>
          <w:sz w:val="20"/>
        </w:rPr>
        <w:t>(ii)</w:t>
      </w:r>
      <w:r w:rsidRPr="00412620">
        <w:rPr>
          <w:sz w:val="20"/>
        </w:rPr>
        <w:tab/>
        <w:t>where the accumulated balance due to an employee who has ceased to be an employee is retained in the fund in accordance with the  preceding clause, the fund may consist also of interest in respect of such accumulated balance;</w:t>
      </w:r>
    </w:p>
    <w:p w:rsidR="00AA4BF8" w:rsidRPr="00412620" w:rsidRDefault="00AA4BF8" w:rsidP="00AA4BF8">
      <w:pPr>
        <w:jc w:val="both"/>
        <w:rPr>
          <w:sz w:val="20"/>
        </w:rPr>
      </w:pPr>
    </w:p>
    <w:p w:rsidR="00AA4BF8" w:rsidRPr="00412620" w:rsidRDefault="00AA4BF8" w:rsidP="00AA4BF8">
      <w:pPr>
        <w:ind w:left="2188" w:hanging="547"/>
        <w:jc w:val="both"/>
        <w:rPr>
          <w:sz w:val="20"/>
        </w:rPr>
      </w:pPr>
      <w:r w:rsidRPr="00412620">
        <w:rPr>
          <w:sz w:val="20"/>
        </w:rPr>
        <w:t>(iii)</w:t>
      </w:r>
      <w:r w:rsidRPr="00412620">
        <w:rPr>
          <w:sz w:val="20"/>
        </w:rPr>
        <w:tab/>
        <w:t>the fund may also consist of any amount transferred from the individual account of an employee in any recognised provident fund maintained by his former employer and the interest in respect thereof;</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(h)</w:t>
      </w:r>
      <w:r w:rsidRPr="00412620">
        <w:rPr>
          <w:sz w:val="20"/>
        </w:rPr>
        <w:tab/>
        <w:t>save as provided in clause (g) or in accordance with such conditions and restrictions as the Central Board of Revenue may, by rules, specify, no portion of the balance to the credit of an employee shall be payable to him:</w:t>
      </w:r>
    </w:p>
    <w:p w:rsidR="00AA4BF8" w:rsidRPr="00412620" w:rsidRDefault="00AA4BF8" w:rsidP="00AA4BF8">
      <w:pPr>
        <w:jc w:val="both"/>
        <w:rPr>
          <w:sz w:val="20"/>
        </w:rPr>
      </w:pPr>
    </w:p>
    <w:p w:rsidR="00AA4BF8" w:rsidRPr="00412620" w:rsidRDefault="00AA4BF8" w:rsidP="00AA4BF8">
      <w:pPr>
        <w:ind w:left="1634" w:firstLine="556"/>
        <w:jc w:val="both"/>
        <w:rPr>
          <w:sz w:val="20"/>
        </w:rPr>
      </w:pPr>
      <w:r w:rsidRPr="00412620">
        <w:rPr>
          <w:sz w:val="20"/>
        </w:rPr>
        <w:t>Provided that in order to enable an employee to pay the amount of tax assessed on his total income as determined under sub-rule (4) of rule 7, he shall be entitled to withdraw from the balance to his credit in the recognised provident fund a sum not exceeding the difference between such amount and the amount to which he would have been assessed if the transferred balance referred to in sub-rule (2) of rule 7 had not been included in his total income.</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3.</w:t>
      </w:r>
      <w:r w:rsidRPr="00412620">
        <w:rPr>
          <w:b/>
          <w:bCs/>
          <w:sz w:val="20"/>
        </w:rPr>
        <w:tab/>
        <w:t>Employer's annual contributions, when deemed to be income received by employee.</w:t>
      </w:r>
      <w:r w:rsidRPr="00412620">
        <w:rPr>
          <w:sz w:val="20"/>
        </w:rPr>
        <w:t> —That portion of the annual accretion in any year to the balance at the credit of an employee participating in a recognised provident fund as consists of -</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(a)</w:t>
      </w:r>
      <w:r w:rsidRPr="00412620">
        <w:rPr>
          <w:sz w:val="20"/>
        </w:rPr>
        <w:tab/>
        <w:t xml:space="preserve">contributions made by the employer in excess of </w:t>
      </w:r>
      <w:r w:rsidRPr="00412620">
        <w:rPr>
          <w:rStyle w:val="FootnoteReference"/>
          <w:rFonts w:cs="Arial"/>
          <w:sz w:val="20"/>
        </w:rPr>
        <w:footnoteReference w:id="2414"/>
      </w:r>
      <w:r w:rsidRPr="00412620">
        <w:rPr>
          <w:sz w:val="20"/>
        </w:rPr>
        <w:t xml:space="preserve">[one-tenth of] the salary </w:t>
      </w:r>
      <w:r w:rsidRPr="00412620">
        <w:rPr>
          <w:rStyle w:val="FootnoteReference"/>
          <w:rFonts w:cs="Arial"/>
          <w:sz w:val="20"/>
        </w:rPr>
        <w:footnoteReference w:id="2415"/>
      </w:r>
      <w:r w:rsidRPr="00412620">
        <w:rPr>
          <w:sz w:val="20"/>
        </w:rPr>
        <w:t>[or Rs</w:t>
      </w:r>
      <w:r w:rsidRPr="000E5E48">
        <w:rPr>
          <w:color w:val="0070C0"/>
          <w:sz w:val="20"/>
        </w:rPr>
        <w:t>.</w:t>
      </w:r>
      <w:r w:rsidR="00786B4C" w:rsidRPr="000E5E48">
        <w:rPr>
          <w:rStyle w:val="FootnoteReference"/>
          <w:color w:val="0070C0"/>
          <w:sz w:val="20"/>
        </w:rPr>
        <w:footnoteReference w:id="2416"/>
      </w:r>
      <w:r w:rsidR="00786B4C" w:rsidRPr="000E5E48">
        <w:rPr>
          <w:color w:val="0070C0"/>
          <w:sz w:val="20"/>
        </w:rPr>
        <w:t>[</w:t>
      </w:r>
      <w:r w:rsidRPr="000E5E48">
        <w:rPr>
          <w:color w:val="0070C0"/>
          <w:sz w:val="20"/>
        </w:rPr>
        <w:t>1</w:t>
      </w:r>
      <w:r w:rsidR="00786B4C" w:rsidRPr="000E5E48">
        <w:rPr>
          <w:color w:val="0070C0"/>
          <w:sz w:val="20"/>
        </w:rPr>
        <w:t>5</w:t>
      </w:r>
      <w:r w:rsidRPr="000E5E48">
        <w:rPr>
          <w:color w:val="0070C0"/>
          <w:sz w:val="20"/>
        </w:rPr>
        <w:t>0,000</w:t>
      </w:r>
      <w:r w:rsidR="00786B4C" w:rsidRPr="000E5E48">
        <w:rPr>
          <w:color w:val="0070C0"/>
          <w:sz w:val="20"/>
        </w:rPr>
        <w:t>]</w:t>
      </w:r>
      <w:r w:rsidRPr="00412620">
        <w:rPr>
          <w:sz w:val="20"/>
        </w:rPr>
        <w:t>, whichever is low] of the employee; and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(b)</w:t>
      </w:r>
      <w:r w:rsidRPr="00412620">
        <w:rPr>
          <w:sz w:val="20"/>
        </w:rPr>
        <w:tab/>
        <w:t xml:space="preserve">interest credited on the balance to the credit of the employee in so far as it exceeds one-third of the salary of the employee or is allowed at a rate exceeding such rate as may be fixed by the Federal Government in this behalf by notification in the official Gazette, shall be </w:t>
      </w:r>
      <w:r w:rsidRPr="00412620">
        <w:rPr>
          <w:rStyle w:val="FootnoteReference"/>
          <w:rFonts w:cs="Arial"/>
          <w:sz w:val="20"/>
        </w:rPr>
        <w:footnoteReference w:id="2417"/>
      </w:r>
      <w:r w:rsidRPr="00412620">
        <w:rPr>
          <w:sz w:val="20"/>
        </w:rPr>
        <w:t>[treated]</w:t>
      </w:r>
      <w:r w:rsidR="00786B4C">
        <w:rPr>
          <w:sz w:val="20"/>
        </w:rPr>
        <w:t xml:space="preserve"> </w:t>
      </w:r>
      <w:r w:rsidRPr="00412620">
        <w:rPr>
          <w:sz w:val="20"/>
        </w:rPr>
        <w:t>to have been received by the employee in that year and shall be included in his total income for that year and shall be liable to income tax.</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4.</w:t>
      </w:r>
      <w:r w:rsidRPr="00412620">
        <w:rPr>
          <w:b/>
          <w:bCs/>
          <w:sz w:val="20"/>
        </w:rPr>
        <w:tab/>
        <w:t>Exclusion from total income of accumulated balance.</w:t>
      </w:r>
      <w:r w:rsidRPr="00412620">
        <w:rPr>
          <w:sz w:val="20"/>
        </w:rPr>
        <w:t xml:space="preserve"> — (1)  Subject to such rules as may be made by the </w:t>
      </w:r>
      <w:r w:rsidR="008D3A3C">
        <w:rPr>
          <w:rStyle w:val="FootnoteReference"/>
          <w:sz w:val="20"/>
        </w:rPr>
        <w:footnoteReference w:id="2418"/>
      </w:r>
      <w:r w:rsidR="008D3A3C">
        <w:rPr>
          <w:sz w:val="20"/>
        </w:rPr>
        <w:t>[</w:t>
      </w:r>
      <w:r w:rsidRPr="00412620">
        <w:rPr>
          <w:sz w:val="20"/>
        </w:rPr>
        <w:t>Board</w:t>
      </w:r>
      <w:r w:rsidR="008D3A3C">
        <w:rPr>
          <w:sz w:val="20"/>
        </w:rPr>
        <w:t>]</w:t>
      </w:r>
      <w:r w:rsidRPr="00412620">
        <w:rPr>
          <w:sz w:val="20"/>
        </w:rPr>
        <w:t xml:space="preserve"> in this behalf, the accumulated balance due and becoming payable to an employee participating in a recognised provident fund shall be excluded from the computation of his total income.</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The provisions of sub-rule (1) shall also apply where, on the cessation of his employment, the employee obtains employment with any other employer and the accumulated balance due and becoming payable to him is transferred to his individual account in any recognised provident fund maintained by such other employer.</w:t>
      </w:r>
    </w:p>
    <w:p w:rsidR="00AA4BF8" w:rsidRPr="00412620" w:rsidRDefault="00AA4BF8" w:rsidP="00AA4BF8">
      <w:pPr>
        <w:jc w:val="both"/>
        <w:rPr>
          <w:sz w:val="20"/>
        </w:rPr>
      </w:pPr>
    </w:p>
    <w:p w:rsidR="00AA4BF8" w:rsidRPr="00412620" w:rsidRDefault="00AA4BF8" w:rsidP="00AA4BF8">
      <w:pPr>
        <w:jc w:val="both"/>
        <w:rPr>
          <w:b/>
          <w:bCs/>
          <w:snapToGrid w:val="0"/>
          <w:sz w:val="20"/>
        </w:rPr>
      </w:pPr>
      <w:r w:rsidRPr="00412620">
        <w:rPr>
          <w:b/>
          <w:bCs/>
          <w:sz w:val="20"/>
        </w:rPr>
        <w:t>5.</w:t>
      </w:r>
      <w:r w:rsidRPr="00412620">
        <w:rPr>
          <w:b/>
          <w:bCs/>
          <w:sz w:val="20"/>
        </w:rPr>
        <w:tab/>
        <w:t>Tax on accumulated balance.</w:t>
      </w:r>
      <w:r w:rsidRPr="00412620">
        <w:rPr>
          <w:sz w:val="20"/>
        </w:rPr>
        <w:t xml:space="preserve"> — Where the accumulated balance due to an employee participating in a recognised provident fund is included in his total </w:t>
      </w:r>
      <w:r w:rsidRPr="00412620">
        <w:rPr>
          <w:snapToGrid w:val="0"/>
          <w:sz w:val="20"/>
        </w:rPr>
        <w:t xml:space="preserve">income, the Commissioner shall calculate the total of the various sums of tax which would have been payable by the employee in respect of his total income for each of the years concerned if the fund had not been a recognised provident fund and the amount by which such total exceeds the total of all sums paid by, or on behalf of such employee by way of tax for such years shall be payable by the employee in addition to any other tax for which he may be liable for the income year in which the accumulated balance due to him becomes payable. </w:t>
      </w:r>
    </w:p>
    <w:p w:rsidR="00AA4BF8" w:rsidRPr="00412620" w:rsidRDefault="00AA4BF8" w:rsidP="00AA4BF8">
      <w:pPr>
        <w:jc w:val="both"/>
        <w:rPr>
          <w:b/>
          <w:bCs/>
          <w:sz w:val="20"/>
        </w:rPr>
      </w:pPr>
    </w:p>
    <w:p w:rsidR="00AA4BF8" w:rsidRPr="00412620" w:rsidRDefault="00AA4BF8" w:rsidP="00AA4BF8">
      <w:pPr>
        <w:jc w:val="both"/>
        <w:rPr>
          <w:snapToGrid w:val="0"/>
          <w:sz w:val="20"/>
        </w:rPr>
      </w:pPr>
      <w:r w:rsidRPr="00412620">
        <w:rPr>
          <w:b/>
          <w:bCs/>
          <w:snapToGrid w:val="0"/>
          <w:sz w:val="20"/>
        </w:rPr>
        <w:t>6.</w:t>
      </w:r>
      <w:r w:rsidRPr="00412620">
        <w:rPr>
          <w:b/>
          <w:bCs/>
          <w:snapToGrid w:val="0"/>
          <w:sz w:val="20"/>
        </w:rPr>
        <w:tab/>
        <w:t>Deduction at source of tax payable on accumulated balance.</w:t>
      </w:r>
      <w:r w:rsidRPr="00412620">
        <w:rPr>
          <w:sz w:val="20"/>
        </w:rPr>
        <w:t>—</w:t>
      </w:r>
      <w:r w:rsidRPr="00412620">
        <w:rPr>
          <w:snapToGrid w:val="0"/>
          <w:sz w:val="20"/>
        </w:rPr>
        <w:t> The trustees of a recognised provident fund, or any person authorised by the regulations of the fund to make payment of accumulated balance due to employees shall, in cases where rule 5 applies, at the time an accumulated balance due to an employee is paid, deduct therefrom the amount payable under that rule and the provisions of Part V of Chapter X shall, so far as may be, apply as if the accumulated balance were income chargeable under the head "Salary".</w:t>
      </w:r>
    </w:p>
    <w:p w:rsidR="00AA4BF8" w:rsidRPr="00412620" w:rsidRDefault="00AA4BF8" w:rsidP="00AA4BF8">
      <w:pPr>
        <w:jc w:val="both"/>
        <w:rPr>
          <w:b/>
          <w:bCs/>
          <w:snapToGrid w:val="0"/>
          <w:sz w:val="20"/>
        </w:rPr>
      </w:pPr>
    </w:p>
    <w:p w:rsidR="00AA4BF8" w:rsidRPr="00412620" w:rsidRDefault="00AA4BF8" w:rsidP="00AA4BF8">
      <w:pPr>
        <w:jc w:val="both"/>
        <w:rPr>
          <w:snapToGrid w:val="0"/>
          <w:sz w:val="20"/>
        </w:rPr>
      </w:pPr>
      <w:r w:rsidRPr="00412620">
        <w:rPr>
          <w:b/>
          <w:bCs/>
          <w:snapToGrid w:val="0"/>
          <w:sz w:val="20"/>
        </w:rPr>
        <w:t>7.</w:t>
      </w:r>
      <w:r w:rsidRPr="00412620">
        <w:rPr>
          <w:b/>
          <w:bCs/>
          <w:snapToGrid w:val="0"/>
          <w:sz w:val="20"/>
        </w:rPr>
        <w:tab/>
        <w:t xml:space="preserve">Treatment of balance in newly recognised provident fund. </w:t>
      </w:r>
      <w:r w:rsidRPr="00412620">
        <w:rPr>
          <w:sz w:val="20"/>
        </w:rPr>
        <w:t>—</w:t>
      </w:r>
      <w:r w:rsidRPr="00412620">
        <w:rPr>
          <w:snapToGrid w:val="0"/>
          <w:sz w:val="20"/>
        </w:rPr>
        <w:t> (1) Where recognition is accorded to a provident fund with existing balance, an account shall be made of the fund up to the day immediately preceding the day on which the recognition takes effect showing the balance to the credit of each employee on such day and containing such further particulars as the Central Board of Revenue may prescribe.</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snapToGrid w:val="0"/>
          <w:sz w:val="20"/>
        </w:rPr>
        <w:tab/>
        <w:t>(2)</w:t>
      </w:r>
      <w:r w:rsidRPr="00412620">
        <w:rPr>
          <w:snapToGrid w:val="0"/>
          <w:sz w:val="20"/>
        </w:rPr>
        <w:tab/>
        <w:t>The account referred to in sub-rule (1) shall also show in respect of the balance to the credit of an employee the amount thereof which is to be transferred to that employee's account in the  recognised provident fund, and such amount (hereinafter called his `transferred balance') shall be shown as the balance to his credit in the recognised provident fund on the date on which the recognition of the fund takes effect, and the provisions of sub-rule (4) and the proviso to clause (h) of rule 2 shall apply thereto.</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Any portion of the balance to the credit of an employee in the existing fund which is not transferred to the recognised fund shall be excluded from the accounts of the recognised fund and shall be liable to income tax in accordance with the provisions of this Ordinance, other than this Part.</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lastRenderedPageBreak/>
        <w:tab/>
        <w:t>(4)</w:t>
      </w:r>
      <w:r w:rsidRPr="00412620">
        <w:rPr>
          <w:sz w:val="20"/>
        </w:rPr>
        <w:tab/>
        <w:t xml:space="preserve">Subject to such rules as the </w:t>
      </w:r>
      <w:r w:rsidR="002C4916">
        <w:rPr>
          <w:rStyle w:val="FootnoteReference"/>
          <w:sz w:val="20"/>
        </w:rPr>
        <w:footnoteReference w:id="2419"/>
      </w:r>
      <w:r w:rsidR="002C4916">
        <w:rPr>
          <w:sz w:val="20"/>
        </w:rPr>
        <w:t>[</w:t>
      </w:r>
      <w:r w:rsidRPr="00412620">
        <w:rPr>
          <w:sz w:val="20"/>
        </w:rPr>
        <w:t>Board</w:t>
      </w:r>
      <w:r w:rsidR="002C4916">
        <w:rPr>
          <w:sz w:val="20"/>
        </w:rPr>
        <w:t>]</w:t>
      </w:r>
      <w:r w:rsidRPr="00412620">
        <w:rPr>
          <w:sz w:val="20"/>
        </w:rPr>
        <w:t xml:space="preserve"> may make in this behalf, the Commissioner shall make a calculation of the aggregate of all sums comprised in a transferred balance which would have been liable to income-tax if this Part had been in force from the date of the institution of the fund, without regard to any tax which may have been paid on any sum, and such aggregate, if any, shall be deemed to be income received by the employee in the income year in which the recognition of the fund takes effect and shall be included in the employee's total income for that year, and, for the purposes of assessment, the remainder of the transferred balance shall be disregarded, but no other exemption or relief, by way of refund or otherwise, shall be granted in respect of any sum comprised in such transferred balance:</w:t>
      </w:r>
    </w:p>
    <w:p w:rsidR="00AA4BF8" w:rsidRPr="00412620" w:rsidRDefault="00AA4BF8" w:rsidP="00AA4BF8">
      <w:pPr>
        <w:jc w:val="both"/>
        <w:rPr>
          <w:sz w:val="20"/>
        </w:rPr>
      </w:pPr>
    </w:p>
    <w:p w:rsidR="00AA4BF8" w:rsidRPr="00412620" w:rsidRDefault="00AA4BF8" w:rsidP="00F47F6D">
      <w:pPr>
        <w:ind w:left="1080" w:firstLine="549"/>
        <w:jc w:val="both"/>
        <w:rPr>
          <w:sz w:val="20"/>
        </w:rPr>
      </w:pPr>
      <w:r w:rsidRPr="00412620">
        <w:rPr>
          <w:sz w:val="20"/>
        </w:rPr>
        <w:t>Provided that, in cases of serious accounting difficulty, the Commissioner may, subject to the said rules, make a summary calculation of such aggregate.</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(5)</w:t>
      </w:r>
      <w:r w:rsidRPr="00412620">
        <w:rPr>
          <w:sz w:val="20"/>
        </w:rPr>
        <w:tab/>
        <w:t>Nothing in this rule shall affect the rights of the persons administering an unrecognised provident fund or dealing with it, or with the balance to the credit of any individual employees, before recognition is accorded, in any manner which may be lawful.</w:t>
      </w:r>
    </w:p>
    <w:p w:rsidR="00AA4BF8" w:rsidRPr="00412620" w:rsidRDefault="00AA4BF8" w:rsidP="00AA4BF8">
      <w:pPr>
        <w:jc w:val="both"/>
        <w:rPr>
          <w:sz w:val="20"/>
        </w:rPr>
      </w:pPr>
    </w:p>
    <w:p w:rsidR="00AA4BF8" w:rsidRPr="00412620" w:rsidRDefault="00AA4BF8" w:rsidP="00AA4BF8">
      <w:pPr>
        <w:jc w:val="both"/>
        <w:rPr>
          <w:snapToGrid w:val="0"/>
          <w:sz w:val="20"/>
        </w:rPr>
      </w:pPr>
      <w:r w:rsidRPr="00412620">
        <w:rPr>
          <w:b/>
          <w:bCs/>
          <w:snapToGrid w:val="0"/>
          <w:sz w:val="20"/>
        </w:rPr>
        <w:t>8.</w:t>
      </w:r>
      <w:r w:rsidRPr="00412620">
        <w:rPr>
          <w:b/>
          <w:bCs/>
          <w:snapToGrid w:val="0"/>
          <w:sz w:val="20"/>
        </w:rPr>
        <w:tab/>
        <w:t xml:space="preserve">Accounts of recognised provident funds. </w:t>
      </w:r>
      <w:r w:rsidRPr="00412620">
        <w:rPr>
          <w:sz w:val="20"/>
        </w:rPr>
        <w:t>—</w:t>
      </w:r>
      <w:r w:rsidRPr="00412620">
        <w:rPr>
          <w:snapToGrid w:val="0"/>
          <w:sz w:val="20"/>
        </w:rPr>
        <w:t xml:space="preserve"> (1) The accounts of a recognised provident fund shall be maintained by the trustees of the fund and shall be in such form and for such periods, and shall contain such particulars, as may be prescribed.</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snapToGrid w:val="0"/>
          <w:sz w:val="20"/>
        </w:rPr>
        <w:tab/>
        <w:t>(2)</w:t>
      </w:r>
      <w:r w:rsidRPr="00412620">
        <w:rPr>
          <w:snapToGrid w:val="0"/>
          <w:sz w:val="20"/>
        </w:rPr>
        <w:tab/>
        <w:t>The accounts shall be open to inspection at all reasonable times by income tax authorities, and the trustees shall furnish to the Commissioner such abstracts thereof as may be prescribed.</w:t>
      </w:r>
    </w:p>
    <w:p w:rsidR="00AA4BF8" w:rsidRPr="00412620" w:rsidRDefault="00AA4BF8" w:rsidP="00AA4BF8">
      <w:pPr>
        <w:jc w:val="both"/>
        <w:rPr>
          <w:b/>
          <w:bCs/>
          <w:snapToGrid w:val="0"/>
          <w:sz w:val="20"/>
        </w:rPr>
      </w:pPr>
    </w:p>
    <w:p w:rsidR="00AA4BF8" w:rsidRPr="00412620" w:rsidRDefault="00AA4BF8" w:rsidP="00AA4BF8">
      <w:pPr>
        <w:jc w:val="both"/>
        <w:rPr>
          <w:snapToGrid w:val="0"/>
          <w:sz w:val="20"/>
        </w:rPr>
      </w:pPr>
      <w:r w:rsidRPr="00412620">
        <w:rPr>
          <w:b/>
          <w:bCs/>
          <w:snapToGrid w:val="0"/>
          <w:sz w:val="20"/>
        </w:rPr>
        <w:t>9.</w:t>
      </w:r>
      <w:r w:rsidRPr="00412620">
        <w:rPr>
          <w:b/>
          <w:bCs/>
          <w:snapToGrid w:val="0"/>
          <w:sz w:val="20"/>
        </w:rPr>
        <w:tab/>
        <w:t xml:space="preserve">Treatment of fund transferred by employer to trustee. </w:t>
      </w:r>
      <w:r w:rsidRPr="00412620">
        <w:rPr>
          <w:sz w:val="20"/>
        </w:rPr>
        <w:t>—</w:t>
      </w:r>
      <w:r w:rsidRPr="00412620">
        <w:rPr>
          <w:snapToGrid w:val="0"/>
          <w:sz w:val="20"/>
        </w:rPr>
        <w:t> (1) Where an employer, who maintains a provident fund (whether recognised or not) for the benefit of his employees and has not transferred the fund or any portion of it, transfers such fund or portion to trustees in trust for the employees participating in the fund, the amount so transferred shall be deemed to be of the nature of capital expenditure.</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snapToGrid w:val="0"/>
          <w:sz w:val="20"/>
        </w:rPr>
        <w:tab/>
        <w:t>(2)</w:t>
      </w:r>
      <w:r w:rsidRPr="00412620">
        <w:rPr>
          <w:snapToGrid w:val="0"/>
          <w:sz w:val="20"/>
        </w:rPr>
        <w:tab/>
        <w:t xml:space="preserve">When an employee participating in such fund is paid the accumulated balance due to him therefrom, any portion of such balance as represents his share in the amount so transferred to the trustees (without addition of interest, and exclusive of the employee's contributions and interest thereon) shall, if the employer has made effective arrangement to secure that tax shall be deducted at source from the amount of such share when paid to the employee, be deemed to be an expenditure by the employer, within the meaning </w:t>
      </w:r>
      <w:r w:rsidRPr="00412620">
        <w:rPr>
          <w:snapToGrid w:val="0"/>
          <w:sz w:val="20"/>
        </w:rPr>
        <w:lastRenderedPageBreak/>
        <w:t xml:space="preserve">of section </w:t>
      </w:r>
      <w:r w:rsidRPr="00412620">
        <w:rPr>
          <w:rStyle w:val="FootnoteReference"/>
          <w:rFonts w:cs="Arial"/>
          <w:snapToGrid w:val="0"/>
          <w:sz w:val="20"/>
        </w:rPr>
        <w:footnoteReference w:id="2420"/>
      </w:r>
      <w:r w:rsidRPr="00412620">
        <w:rPr>
          <w:snapToGrid w:val="0"/>
          <w:sz w:val="20"/>
        </w:rPr>
        <w:t xml:space="preserve">[20], incurred in the </w:t>
      </w:r>
      <w:r w:rsidRPr="00412620">
        <w:rPr>
          <w:rStyle w:val="FootnoteReference"/>
          <w:rFonts w:cs="Arial"/>
          <w:snapToGrid w:val="0"/>
          <w:sz w:val="20"/>
        </w:rPr>
        <w:footnoteReference w:id="2421"/>
      </w:r>
      <w:r w:rsidRPr="00412620">
        <w:rPr>
          <w:snapToGrid w:val="0"/>
          <w:sz w:val="20"/>
        </w:rPr>
        <w:t>[tax] year in which the accumulated balance due to the employee is paid.</w:t>
      </w:r>
    </w:p>
    <w:p w:rsidR="00AA4BF8" w:rsidRPr="00412620" w:rsidRDefault="00AA4BF8" w:rsidP="00AA4BF8">
      <w:pPr>
        <w:jc w:val="both"/>
        <w:rPr>
          <w:b/>
          <w:bCs/>
          <w:sz w:val="20"/>
        </w:rPr>
      </w:pPr>
    </w:p>
    <w:p w:rsidR="00AA4BF8" w:rsidRPr="00412620" w:rsidRDefault="00AA4BF8" w:rsidP="00AA4BF8">
      <w:pPr>
        <w:jc w:val="both"/>
        <w:rPr>
          <w:sz w:val="20"/>
        </w:rPr>
      </w:pPr>
      <w:r w:rsidRPr="00412620">
        <w:rPr>
          <w:b/>
          <w:bCs/>
          <w:sz w:val="20"/>
        </w:rPr>
        <w:t>10.</w:t>
      </w:r>
      <w:r w:rsidRPr="00412620">
        <w:rPr>
          <w:b/>
          <w:bCs/>
          <w:sz w:val="20"/>
        </w:rPr>
        <w:tab/>
        <w:t>Particulars to be furnished in respect of recognised provident funds.</w:t>
      </w:r>
      <w:r w:rsidRPr="00412620">
        <w:rPr>
          <w:sz w:val="20"/>
        </w:rPr>
        <w:t xml:space="preserve">— The trustees of a recognised provident fund and any employer who contributes to a recognised provident fund shall, when required by notice from the Commissioner, within such period (not being less than twenty one days from the date </w:t>
      </w:r>
      <w:r w:rsidRPr="00412620">
        <w:rPr>
          <w:rStyle w:val="FootnoteReference"/>
          <w:rFonts w:cs="Arial"/>
          <w:sz w:val="20"/>
        </w:rPr>
        <w:footnoteReference w:id="2422"/>
      </w:r>
      <w:r w:rsidRPr="00412620">
        <w:rPr>
          <w:sz w:val="20"/>
        </w:rPr>
        <w:t>[of service] of the notice), as may be specified in the notice, furnish such return, statement, particulars or information, as the Commissioner may require.</w:t>
      </w:r>
    </w:p>
    <w:p w:rsidR="00AA4BF8" w:rsidRPr="00412620" w:rsidRDefault="00AA4BF8" w:rsidP="00AA4BF8">
      <w:pPr>
        <w:jc w:val="both"/>
        <w:rPr>
          <w:b/>
          <w:bCs/>
          <w:sz w:val="20"/>
        </w:rPr>
      </w:pPr>
    </w:p>
    <w:p w:rsidR="00AA4BF8" w:rsidRPr="00412620" w:rsidRDefault="00AA4BF8" w:rsidP="00AA4BF8">
      <w:pPr>
        <w:jc w:val="both"/>
        <w:rPr>
          <w:sz w:val="20"/>
        </w:rPr>
      </w:pPr>
      <w:r w:rsidRPr="00412620">
        <w:rPr>
          <w:b/>
          <w:bCs/>
          <w:sz w:val="20"/>
        </w:rPr>
        <w:t>11.</w:t>
      </w:r>
      <w:r w:rsidRPr="00412620">
        <w:rPr>
          <w:b/>
          <w:bCs/>
          <w:sz w:val="20"/>
        </w:rPr>
        <w:tab/>
        <w:t xml:space="preserve">Provisions of this Part to prevail against regulations of the fund. </w:t>
      </w:r>
      <w:r w:rsidRPr="00412620">
        <w:rPr>
          <w:sz w:val="20"/>
        </w:rPr>
        <w:t>— Where there is a repugnance between any regulations of a recognised provident fund and any provision of this Part or of the rules made thereunder, the regulation shall, to the extent of the repugnance, be of no effect, and the Commissioner may, at any time, require that such repugnance shall be removed from the regulations of the fund.</w:t>
      </w:r>
    </w:p>
    <w:p w:rsidR="00AA4BF8" w:rsidRPr="00412620" w:rsidRDefault="00AA4BF8" w:rsidP="00AA4BF8">
      <w:pPr>
        <w:jc w:val="both"/>
        <w:rPr>
          <w:b/>
          <w:bCs/>
          <w:snapToGrid w:val="0"/>
          <w:sz w:val="20"/>
        </w:rPr>
      </w:pPr>
    </w:p>
    <w:p w:rsidR="00AA4BF8" w:rsidRPr="00412620" w:rsidRDefault="00AA4BF8" w:rsidP="00AA4BF8">
      <w:pPr>
        <w:jc w:val="both"/>
        <w:rPr>
          <w:snapToGrid w:val="0"/>
          <w:sz w:val="20"/>
        </w:rPr>
      </w:pPr>
      <w:r w:rsidRPr="00412620">
        <w:rPr>
          <w:b/>
          <w:bCs/>
          <w:snapToGrid w:val="0"/>
          <w:sz w:val="20"/>
        </w:rPr>
        <w:t>12.</w:t>
      </w:r>
      <w:r w:rsidRPr="00412620">
        <w:rPr>
          <w:b/>
          <w:bCs/>
          <w:snapToGrid w:val="0"/>
          <w:sz w:val="20"/>
        </w:rPr>
        <w:tab/>
        <w:t>Appeals.</w:t>
      </w:r>
      <w:r w:rsidRPr="00412620">
        <w:rPr>
          <w:sz w:val="20"/>
        </w:rPr>
        <w:t>—</w:t>
      </w:r>
      <w:r w:rsidRPr="00412620">
        <w:rPr>
          <w:b/>
          <w:bCs/>
          <w:snapToGrid w:val="0"/>
          <w:sz w:val="20"/>
        </w:rPr>
        <w:t> </w:t>
      </w:r>
      <w:r w:rsidRPr="00412620">
        <w:rPr>
          <w:snapToGrid w:val="0"/>
          <w:sz w:val="20"/>
        </w:rPr>
        <w:t xml:space="preserve">(1) An employer objecting to an order of Commissioner refusing to recognise, or an order withdrawing recognition from a provident fund may appeal, within sixty days of the </w:t>
      </w:r>
      <w:r w:rsidRPr="00412620">
        <w:rPr>
          <w:rStyle w:val="FootnoteReference"/>
          <w:rFonts w:cs="Arial"/>
          <w:snapToGrid w:val="0"/>
          <w:sz w:val="20"/>
        </w:rPr>
        <w:footnoteReference w:id="2423"/>
      </w:r>
      <w:r w:rsidRPr="00412620">
        <w:rPr>
          <w:snapToGrid w:val="0"/>
          <w:sz w:val="20"/>
        </w:rPr>
        <w:t xml:space="preserve">[service] of such order, to the </w:t>
      </w:r>
      <w:r w:rsidR="007E5D03">
        <w:rPr>
          <w:rStyle w:val="FootnoteReference"/>
          <w:snapToGrid w:val="0"/>
          <w:sz w:val="20"/>
        </w:rPr>
        <w:footnoteReference w:id="2424"/>
      </w:r>
      <w:r w:rsidR="007E5D03">
        <w:rPr>
          <w:snapToGrid w:val="0"/>
          <w:sz w:val="20"/>
        </w:rPr>
        <w:t>[</w:t>
      </w:r>
      <w:r w:rsidRPr="00412620">
        <w:rPr>
          <w:snapToGrid w:val="0"/>
          <w:sz w:val="20"/>
        </w:rPr>
        <w:t>Board</w:t>
      </w:r>
      <w:r w:rsidR="007E5D03">
        <w:rPr>
          <w:snapToGrid w:val="0"/>
          <w:sz w:val="20"/>
        </w:rPr>
        <w:t>]</w:t>
      </w:r>
      <w:r w:rsidRPr="00412620">
        <w:rPr>
          <w:snapToGrid w:val="0"/>
          <w:sz w:val="20"/>
        </w:rPr>
        <w:t>.</w:t>
      </w:r>
    </w:p>
    <w:p w:rsidR="00AA4BF8" w:rsidRPr="00412620" w:rsidRDefault="00AA4BF8" w:rsidP="00AA4BF8">
      <w:pPr>
        <w:rPr>
          <w:snapToGrid w:val="0"/>
          <w:sz w:val="20"/>
        </w:rPr>
      </w:pPr>
    </w:p>
    <w:p w:rsidR="00AA4BF8" w:rsidRPr="00412620" w:rsidRDefault="00AA4BF8" w:rsidP="00AA4BF8">
      <w:pPr>
        <w:jc w:val="both"/>
        <w:rPr>
          <w:snapToGrid w:val="0"/>
          <w:sz w:val="20"/>
        </w:rPr>
      </w:pPr>
      <w:r w:rsidRPr="00412620">
        <w:rPr>
          <w:snapToGrid w:val="0"/>
          <w:sz w:val="20"/>
        </w:rPr>
        <w:tab/>
        <w:t>(2)</w:t>
      </w:r>
      <w:r w:rsidRPr="00412620">
        <w:rPr>
          <w:snapToGrid w:val="0"/>
          <w:sz w:val="20"/>
        </w:rPr>
        <w:tab/>
        <w:t xml:space="preserve">The </w:t>
      </w:r>
      <w:r w:rsidR="004C676E">
        <w:rPr>
          <w:rStyle w:val="FootnoteReference"/>
          <w:snapToGrid w:val="0"/>
          <w:sz w:val="20"/>
        </w:rPr>
        <w:footnoteReference w:id="2425"/>
      </w:r>
      <w:r w:rsidR="004C676E">
        <w:rPr>
          <w:snapToGrid w:val="0"/>
          <w:sz w:val="20"/>
        </w:rPr>
        <w:t>[</w:t>
      </w:r>
      <w:r w:rsidRPr="00412620">
        <w:rPr>
          <w:snapToGrid w:val="0"/>
          <w:sz w:val="20"/>
        </w:rPr>
        <w:t>Board</w:t>
      </w:r>
      <w:r w:rsidR="004C676E">
        <w:rPr>
          <w:snapToGrid w:val="0"/>
          <w:sz w:val="20"/>
        </w:rPr>
        <w:t>]</w:t>
      </w:r>
      <w:r w:rsidRPr="00412620">
        <w:rPr>
          <w:snapToGrid w:val="0"/>
          <w:sz w:val="20"/>
        </w:rPr>
        <w:t xml:space="preserve"> may admit an appeal after the expiration of the period specified in sub-rule (1), if it is satisfied that the appellant was prevented by sufficient cause from presenting it within that period.</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snapToGrid w:val="0"/>
          <w:sz w:val="20"/>
        </w:rPr>
        <w:tab/>
        <w:t>(3)</w:t>
      </w:r>
      <w:r w:rsidRPr="00412620">
        <w:rPr>
          <w:snapToGrid w:val="0"/>
          <w:sz w:val="20"/>
        </w:rPr>
        <w:tab/>
        <w:t>The appeal shall be in such form and shall be verified in such manner and shall be accompanied by such fee as may be prescribed.</w:t>
      </w:r>
    </w:p>
    <w:p w:rsidR="00AA4BF8" w:rsidRPr="00412620" w:rsidRDefault="00AA4BF8" w:rsidP="00AA4BF8">
      <w:pPr>
        <w:jc w:val="both"/>
        <w:rPr>
          <w:snapToGrid w:val="0"/>
          <w:sz w:val="20"/>
        </w:rPr>
      </w:pPr>
    </w:p>
    <w:p w:rsidR="00AA4BF8" w:rsidRPr="00412620" w:rsidRDefault="00AA4BF8" w:rsidP="00AA4BF8">
      <w:pPr>
        <w:jc w:val="both"/>
        <w:rPr>
          <w:snapToGrid w:val="0"/>
          <w:sz w:val="20"/>
        </w:rPr>
      </w:pPr>
      <w:r w:rsidRPr="00412620">
        <w:rPr>
          <w:b/>
          <w:bCs/>
          <w:snapToGrid w:val="0"/>
          <w:sz w:val="20"/>
        </w:rPr>
        <w:t>13.</w:t>
      </w:r>
      <w:r w:rsidRPr="00412620">
        <w:rPr>
          <w:b/>
          <w:bCs/>
          <w:snapToGrid w:val="0"/>
          <w:sz w:val="20"/>
        </w:rPr>
        <w:tab/>
        <w:t xml:space="preserve">Provisions relating to rules. </w:t>
      </w:r>
      <w:r w:rsidRPr="00412620">
        <w:rPr>
          <w:sz w:val="20"/>
        </w:rPr>
        <w:t>—</w:t>
      </w:r>
      <w:r w:rsidRPr="00412620">
        <w:rPr>
          <w:snapToGrid w:val="0"/>
          <w:sz w:val="20"/>
        </w:rPr>
        <w:t xml:space="preserve"> In addition to any power conferred by this Part, the </w:t>
      </w:r>
      <w:r w:rsidR="00B90475">
        <w:rPr>
          <w:rStyle w:val="FootnoteReference"/>
          <w:snapToGrid w:val="0"/>
          <w:sz w:val="20"/>
        </w:rPr>
        <w:footnoteReference w:id="2426"/>
      </w:r>
      <w:r w:rsidR="00B90475">
        <w:rPr>
          <w:snapToGrid w:val="0"/>
          <w:sz w:val="20"/>
        </w:rPr>
        <w:t>[</w:t>
      </w:r>
      <w:r w:rsidRPr="00412620">
        <w:rPr>
          <w:snapToGrid w:val="0"/>
          <w:sz w:val="20"/>
        </w:rPr>
        <w:t>Board</w:t>
      </w:r>
      <w:r w:rsidR="00B90475">
        <w:rPr>
          <w:snapToGrid w:val="0"/>
          <w:sz w:val="20"/>
        </w:rPr>
        <w:t>]</w:t>
      </w:r>
      <w:r w:rsidRPr="00412620">
        <w:rPr>
          <w:snapToGrid w:val="0"/>
          <w:sz w:val="20"/>
        </w:rPr>
        <w:t xml:space="preserve"> may make rules:-</w:t>
      </w:r>
    </w:p>
    <w:p w:rsidR="00AA4BF8" w:rsidRPr="00412620" w:rsidRDefault="00AA4BF8" w:rsidP="00AA4BF8">
      <w:pPr>
        <w:jc w:val="both"/>
        <w:rPr>
          <w:snapToGrid w:val="0"/>
          <w:sz w:val="20"/>
        </w:rPr>
      </w:pPr>
    </w:p>
    <w:p w:rsidR="00AA4BF8" w:rsidRPr="00412620" w:rsidRDefault="00AA4BF8" w:rsidP="00AA4BF8">
      <w:pPr>
        <w:ind w:left="1634" w:hanging="540"/>
        <w:jc w:val="both"/>
        <w:rPr>
          <w:snapToGrid w:val="0"/>
          <w:sz w:val="20"/>
        </w:rPr>
      </w:pPr>
      <w:r w:rsidRPr="00412620">
        <w:rPr>
          <w:snapToGrid w:val="0"/>
          <w:sz w:val="20"/>
        </w:rPr>
        <w:t>(a)</w:t>
      </w:r>
      <w:r w:rsidRPr="00412620">
        <w:rPr>
          <w:snapToGrid w:val="0"/>
          <w:sz w:val="20"/>
        </w:rPr>
        <w:tab/>
        <w:t>prescribing the form of application for recognition and the statement and other particulars and documents to be submitted therewith;</w:t>
      </w:r>
    </w:p>
    <w:p w:rsidR="00AA4BF8" w:rsidRPr="00412620" w:rsidRDefault="00AA4BF8" w:rsidP="00AA4BF8">
      <w:pPr>
        <w:jc w:val="both"/>
        <w:rPr>
          <w:snapToGrid w:val="0"/>
          <w:sz w:val="20"/>
        </w:rPr>
      </w:pPr>
    </w:p>
    <w:p w:rsidR="00AA4BF8" w:rsidRPr="00412620" w:rsidRDefault="00AA4BF8" w:rsidP="00AA4BF8">
      <w:pPr>
        <w:ind w:left="1634" w:hanging="540"/>
        <w:jc w:val="both"/>
        <w:rPr>
          <w:snapToGrid w:val="0"/>
          <w:sz w:val="20"/>
        </w:rPr>
      </w:pPr>
      <w:r w:rsidRPr="00412620">
        <w:rPr>
          <w:snapToGrid w:val="0"/>
          <w:sz w:val="20"/>
        </w:rPr>
        <w:t>(b)</w:t>
      </w:r>
      <w:r w:rsidRPr="00412620">
        <w:rPr>
          <w:snapToGrid w:val="0"/>
          <w:sz w:val="20"/>
        </w:rPr>
        <w:tab/>
        <w:t>limiting the contributions to a recognised provident fund by employees of a company, who are shareholders in the company;</w:t>
      </w:r>
    </w:p>
    <w:p w:rsidR="00AA4BF8" w:rsidRPr="00412620" w:rsidRDefault="00AA4BF8" w:rsidP="00AA4BF8">
      <w:pPr>
        <w:jc w:val="both"/>
        <w:rPr>
          <w:snapToGrid w:val="0"/>
          <w:sz w:val="20"/>
        </w:rPr>
      </w:pPr>
    </w:p>
    <w:p w:rsidR="00AA4BF8" w:rsidRPr="00412620" w:rsidRDefault="00AA4BF8" w:rsidP="00AA4BF8">
      <w:pPr>
        <w:ind w:left="1634" w:hanging="540"/>
        <w:jc w:val="both"/>
        <w:rPr>
          <w:snapToGrid w:val="0"/>
          <w:sz w:val="20"/>
        </w:rPr>
      </w:pPr>
      <w:r w:rsidRPr="00412620">
        <w:rPr>
          <w:snapToGrid w:val="0"/>
          <w:sz w:val="20"/>
        </w:rPr>
        <w:lastRenderedPageBreak/>
        <w:t>(c)</w:t>
      </w:r>
      <w:r w:rsidRPr="00412620">
        <w:rPr>
          <w:snapToGrid w:val="0"/>
          <w:sz w:val="20"/>
        </w:rPr>
        <w:tab/>
        <w:t>providing for the assessment by way of penalty of any consideration received by an employee for an assignment of, or creation of a charge upon, his beneficial interest in a recognised provident fund;</w:t>
      </w:r>
    </w:p>
    <w:p w:rsidR="00AA4BF8" w:rsidRPr="00412620" w:rsidRDefault="00AA4BF8" w:rsidP="00AA4BF8">
      <w:pPr>
        <w:jc w:val="both"/>
        <w:rPr>
          <w:snapToGrid w:val="0"/>
          <w:sz w:val="20"/>
        </w:rPr>
      </w:pPr>
    </w:p>
    <w:p w:rsidR="00AA4BF8" w:rsidRPr="00412620" w:rsidRDefault="00AA4BF8" w:rsidP="00AA4BF8">
      <w:pPr>
        <w:ind w:left="1634" w:hanging="540"/>
        <w:jc w:val="both"/>
        <w:rPr>
          <w:snapToGrid w:val="0"/>
          <w:sz w:val="20"/>
        </w:rPr>
      </w:pPr>
      <w:r w:rsidRPr="00412620">
        <w:rPr>
          <w:snapToGrid w:val="0"/>
          <w:sz w:val="20"/>
        </w:rPr>
        <w:t>(d)</w:t>
      </w:r>
      <w:r w:rsidRPr="00412620">
        <w:rPr>
          <w:snapToGrid w:val="0"/>
          <w:sz w:val="20"/>
        </w:rPr>
        <w:tab/>
        <w:t>determining the extent to, and the manner in, which exemption from payment of tax may be granted in respect of contributions and interest credited to the individual accounts of employees in a provident fund from which recognition has been withdrawn;</w:t>
      </w:r>
    </w:p>
    <w:p w:rsidR="00AA4BF8" w:rsidRPr="00412620" w:rsidRDefault="00AA4BF8" w:rsidP="00AA4BF8">
      <w:pPr>
        <w:jc w:val="both"/>
        <w:rPr>
          <w:snapToGrid w:val="0"/>
          <w:sz w:val="20"/>
        </w:rPr>
      </w:pPr>
    </w:p>
    <w:p w:rsidR="00AA4BF8" w:rsidRPr="00412620" w:rsidRDefault="00AA4BF8" w:rsidP="00AA4BF8">
      <w:pPr>
        <w:ind w:left="1634" w:hanging="540"/>
        <w:jc w:val="both"/>
        <w:rPr>
          <w:snapToGrid w:val="0"/>
          <w:sz w:val="20"/>
        </w:rPr>
      </w:pPr>
      <w:r w:rsidRPr="00412620">
        <w:rPr>
          <w:snapToGrid w:val="0"/>
          <w:sz w:val="20"/>
        </w:rPr>
        <w:t>(e)</w:t>
      </w:r>
      <w:r w:rsidRPr="00412620">
        <w:rPr>
          <w:snapToGrid w:val="0"/>
          <w:sz w:val="20"/>
        </w:rPr>
        <w:tab/>
        <w:t>regulating the investment of the moneys of a recognised provident fund; and</w:t>
      </w:r>
    </w:p>
    <w:p w:rsidR="00AA4BF8" w:rsidRPr="00412620" w:rsidRDefault="00AA4BF8" w:rsidP="00AA4BF8">
      <w:pPr>
        <w:jc w:val="both"/>
        <w:rPr>
          <w:snapToGrid w:val="0"/>
          <w:sz w:val="20"/>
        </w:rPr>
      </w:pPr>
    </w:p>
    <w:p w:rsidR="00AA4BF8" w:rsidRPr="00412620" w:rsidRDefault="00AA4BF8" w:rsidP="00AA4BF8">
      <w:pPr>
        <w:ind w:left="1634" w:hanging="540"/>
        <w:jc w:val="both"/>
        <w:rPr>
          <w:snapToGrid w:val="0"/>
          <w:sz w:val="20"/>
        </w:rPr>
      </w:pPr>
      <w:r w:rsidRPr="00412620">
        <w:rPr>
          <w:snapToGrid w:val="0"/>
          <w:sz w:val="20"/>
        </w:rPr>
        <w:t>(f)</w:t>
      </w:r>
      <w:r w:rsidRPr="00412620">
        <w:rPr>
          <w:snapToGrid w:val="0"/>
          <w:sz w:val="20"/>
        </w:rPr>
        <w:tab/>
        <w:t>generally, to carry out the purposes of this Part and to secure such further control over the recognition of provident funds and the administration of recognised provident funds as it may deem requisite.</w:t>
      </w:r>
    </w:p>
    <w:p w:rsidR="00AA4BF8" w:rsidRPr="00412620" w:rsidRDefault="00AA4BF8" w:rsidP="00AA4BF8">
      <w:pPr>
        <w:jc w:val="both"/>
        <w:rPr>
          <w:snapToGrid w:val="0"/>
          <w:sz w:val="20"/>
        </w:rPr>
      </w:pPr>
    </w:p>
    <w:p w:rsidR="00AA4BF8" w:rsidRPr="00412620" w:rsidRDefault="00AA4BF8" w:rsidP="00AA4BF8">
      <w:pPr>
        <w:keepNext/>
        <w:jc w:val="both"/>
        <w:rPr>
          <w:snapToGrid w:val="0"/>
          <w:sz w:val="20"/>
        </w:rPr>
      </w:pPr>
      <w:r w:rsidRPr="00412620">
        <w:rPr>
          <w:b/>
          <w:bCs/>
          <w:snapToGrid w:val="0"/>
          <w:sz w:val="20"/>
        </w:rPr>
        <w:t>14.</w:t>
      </w:r>
      <w:r w:rsidRPr="00412620">
        <w:rPr>
          <w:b/>
          <w:bCs/>
          <w:snapToGrid w:val="0"/>
          <w:sz w:val="20"/>
        </w:rPr>
        <w:tab/>
        <w:t xml:space="preserve">Definitions. </w:t>
      </w:r>
      <w:r w:rsidRPr="00412620">
        <w:rPr>
          <w:sz w:val="20"/>
        </w:rPr>
        <w:t>—</w:t>
      </w:r>
      <w:r w:rsidRPr="00412620">
        <w:rPr>
          <w:snapToGrid w:val="0"/>
          <w:sz w:val="20"/>
        </w:rPr>
        <w:t>In this Part, unless the context otherwise requires ,</w:t>
      </w:r>
    </w:p>
    <w:p w:rsidR="00AA4BF8" w:rsidRPr="00412620" w:rsidRDefault="00AA4BF8" w:rsidP="00AA4BF8">
      <w:pPr>
        <w:keepNext/>
        <w:jc w:val="both"/>
        <w:rPr>
          <w:snapToGrid w:val="0"/>
          <w:sz w:val="16"/>
          <w:szCs w:val="16"/>
        </w:rPr>
      </w:pPr>
    </w:p>
    <w:p w:rsidR="00AA4BF8" w:rsidRPr="00412620" w:rsidRDefault="00AA4BF8" w:rsidP="00AA4BF8">
      <w:pPr>
        <w:ind w:left="1634" w:hanging="540"/>
        <w:jc w:val="both"/>
        <w:rPr>
          <w:snapToGrid w:val="0"/>
          <w:sz w:val="20"/>
        </w:rPr>
      </w:pPr>
      <w:r w:rsidRPr="00412620">
        <w:rPr>
          <w:snapToGrid w:val="0"/>
          <w:sz w:val="20"/>
        </w:rPr>
        <w:t>(a)</w:t>
      </w:r>
      <w:r w:rsidRPr="00412620">
        <w:rPr>
          <w:snapToGrid w:val="0"/>
          <w:sz w:val="20"/>
        </w:rPr>
        <w:tab/>
        <w:t xml:space="preserve">"accumulated balance due to an employee" means the balance to his credit, or such portion thereof as may be claimable by him under the regulations of the fund, on the day he ceases to be an employee of the employer maintaining the </w:t>
      </w:r>
      <w:r w:rsidRPr="00412620">
        <w:rPr>
          <w:rStyle w:val="FootnoteReference"/>
          <w:rFonts w:cs="Arial"/>
          <w:snapToGrid w:val="0"/>
          <w:sz w:val="20"/>
        </w:rPr>
        <w:footnoteReference w:id="2427"/>
      </w:r>
      <w:r w:rsidRPr="00412620">
        <w:rPr>
          <w:snapToGrid w:val="0"/>
          <w:sz w:val="20"/>
        </w:rPr>
        <w:t>[fund];</w:t>
      </w:r>
    </w:p>
    <w:p w:rsidR="00AA4BF8" w:rsidRPr="00412620" w:rsidRDefault="00AA4BF8" w:rsidP="00AA4BF8">
      <w:pPr>
        <w:jc w:val="both"/>
        <w:rPr>
          <w:snapToGrid w:val="0"/>
          <w:sz w:val="16"/>
          <w:szCs w:val="16"/>
        </w:rPr>
      </w:pPr>
    </w:p>
    <w:p w:rsidR="00AA4BF8" w:rsidRPr="00412620" w:rsidRDefault="00AA4BF8" w:rsidP="00AA4BF8">
      <w:pPr>
        <w:ind w:left="1634" w:hanging="540"/>
        <w:jc w:val="both"/>
        <w:rPr>
          <w:snapToGrid w:val="0"/>
          <w:sz w:val="20"/>
        </w:rPr>
      </w:pPr>
      <w:r w:rsidRPr="00412620">
        <w:rPr>
          <w:snapToGrid w:val="0"/>
          <w:sz w:val="20"/>
        </w:rPr>
        <w:t>(b)</w:t>
      </w:r>
      <w:r w:rsidRPr="00412620">
        <w:rPr>
          <w:snapToGrid w:val="0"/>
          <w:sz w:val="20"/>
        </w:rPr>
        <w:tab/>
        <w:t>"annual accretion" in relation to the balance to the credit of an employee, means the increase  to such balance in any year, arising from contributions and interest;</w:t>
      </w:r>
    </w:p>
    <w:p w:rsidR="00AA4BF8" w:rsidRPr="00412620" w:rsidRDefault="00AA4BF8" w:rsidP="00AA4BF8">
      <w:pPr>
        <w:jc w:val="both"/>
        <w:rPr>
          <w:snapToGrid w:val="0"/>
          <w:sz w:val="16"/>
          <w:szCs w:val="16"/>
        </w:rPr>
      </w:pPr>
    </w:p>
    <w:p w:rsidR="00AA4BF8" w:rsidRPr="00412620" w:rsidRDefault="00AA4BF8" w:rsidP="00AA4BF8">
      <w:pPr>
        <w:ind w:left="1634" w:hanging="540"/>
        <w:jc w:val="both"/>
        <w:rPr>
          <w:snapToGrid w:val="0"/>
          <w:sz w:val="20"/>
        </w:rPr>
      </w:pPr>
      <w:r w:rsidRPr="00412620">
        <w:rPr>
          <w:snapToGrid w:val="0"/>
          <w:sz w:val="20"/>
        </w:rPr>
        <w:t>(c)</w:t>
      </w:r>
      <w:r w:rsidRPr="00412620">
        <w:rPr>
          <w:snapToGrid w:val="0"/>
          <w:sz w:val="20"/>
        </w:rPr>
        <w:tab/>
        <w:t>"balance to the credit of an employee" means the total amount to the credit of his individual account in a provident fund at any time;</w:t>
      </w:r>
    </w:p>
    <w:p w:rsidR="00AA4BF8" w:rsidRPr="00412620" w:rsidRDefault="00AA4BF8" w:rsidP="00AA4BF8">
      <w:pPr>
        <w:jc w:val="both"/>
        <w:rPr>
          <w:snapToGrid w:val="0"/>
          <w:sz w:val="16"/>
          <w:szCs w:val="16"/>
        </w:rPr>
      </w:pPr>
    </w:p>
    <w:p w:rsidR="00AA4BF8" w:rsidRPr="00412620" w:rsidRDefault="00AA4BF8" w:rsidP="00AA4BF8">
      <w:pPr>
        <w:ind w:left="1634" w:hanging="540"/>
        <w:jc w:val="both"/>
        <w:rPr>
          <w:snapToGrid w:val="0"/>
          <w:sz w:val="20"/>
        </w:rPr>
      </w:pPr>
      <w:r w:rsidRPr="00412620">
        <w:rPr>
          <w:snapToGrid w:val="0"/>
          <w:sz w:val="20"/>
        </w:rPr>
        <w:t>(d)</w:t>
      </w:r>
      <w:r w:rsidRPr="00412620">
        <w:rPr>
          <w:snapToGrid w:val="0"/>
          <w:sz w:val="20"/>
        </w:rPr>
        <w:tab/>
        <w:t>"contribution" means any sum credited by or on behalf of, any employee out of his salary or by an employer out of his own money, to the individual account of an employee, but does not include any sum credited as interest;</w:t>
      </w:r>
    </w:p>
    <w:p w:rsidR="00AA4BF8" w:rsidRPr="00412620" w:rsidRDefault="00AA4BF8" w:rsidP="00AA4BF8">
      <w:pPr>
        <w:jc w:val="both"/>
        <w:rPr>
          <w:snapToGrid w:val="0"/>
          <w:sz w:val="16"/>
          <w:szCs w:val="16"/>
        </w:rPr>
      </w:pPr>
    </w:p>
    <w:p w:rsidR="00AA4BF8" w:rsidRPr="00412620" w:rsidRDefault="00AA4BF8" w:rsidP="00AA4BF8">
      <w:pPr>
        <w:ind w:left="1634" w:hanging="540"/>
        <w:jc w:val="both"/>
        <w:rPr>
          <w:snapToGrid w:val="0"/>
          <w:sz w:val="20"/>
        </w:rPr>
      </w:pPr>
      <w:r w:rsidRPr="00412620">
        <w:rPr>
          <w:snapToGrid w:val="0"/>
          <w:sz w:val="20"/>
        </w:rPr>
        <w:t>(e)</w:t>
      </w:r>
      <w:r w:rsidRPr="00412620">
        <w:rPr>
          <w:snapToGrid w:val="0"/>
          <w:sz w:val="20"/>
        </w:rPr>
        <w:tab/>
        <w:t>"employee" means an employee participating in a provident fund, but does not include a personal or domestic servant;</w:t>
      </w:r>
    </w:p>
    <w:p w:rsidR="00AA4BF8" w:rsidRPr="00412620" w:rsidRDefault="00AA4BF8" w:rsidP="00AA4BF8">
      <w:pPr>
        <w:jc w:val="both"/>
        <w:rPr>
          <w:snapToGrid w:val="0"/>
          <w:sz w:val="16"/>
          <w:szCs w:val="16"/>
        </w:rPr>
      </w:pPr>
    </w:p>
    <w:p w:rsidR="00AA4BF8" w:rsidRPr="00412620" w:rsidRDefault="00AA4BF8" w:rsidP="00AA4BF8">
      <w:pPr>
        <w:ind w:left="1634" w:hanging="540"/>
        <w:jc w:val="both"/>
        <w:rPr>
          <w:snapToGrid w:val="0"/>
          <w:sz w:val="20"/>
        </w:rPr>
      </w:pPr>
      <w:r w:rsidRPr="00412620">
        <w:rPr>
          <w:snapToGrid w:val="0"/>
          <w:sz w:val="20"/>
        </w:rPr>
        <w:t>(f)</w:t>
      </w:r>
      <w:r w:rsidRPr="00412620">
        <w:rPr>
          <w:snapToGrid w:val="0"/>
          <w:sz w:val="20"/>
        </w:rPr>
        <w:tab/>
        <w:t xml:space="preserve">"employer" means any person who maintains a provident fund for the benefit of his or its employees, being an individual, a company or an association of persons engaged in any </w:t>
      </w:r>
      <w:r w:rsidRPr="00412620">
        <w:rPr>
          <w:snapToGrid w:val="0"/>
          <w:sz w:val="20"/>
        </w:rPr>
        <w:lastRenderedPageBreak/>
        <w:t>business the profits and gains whereof are chargeable to income tax under the head "Income from Business";</w:t>
      </w:r>
    </w:p>
    <w:p w:rsidR="00AA4BF8" w:rsidRPr="00412620" w:rsidRDefault="00AA4BF8" w:rsidP="00AA4BF8">
      <w:pPr>
        <w:jc w:val="both"/>
        <w:rPr>
          <w:snapToGrid w:val="0"/>
          <w:sz w:val="16"/>
          <w:szCs w:val="16"/>
        </w:rPr>
      </w:pPr>
    </w:p>
    <w:p w:rsidR="00AA4BF8" w:rsidRPr="00412620" w:rsidRDefault="00AA4BF8" w:rsidP="00AA4BF8">
      <w:pPr>
        <w:ind w:left="1634" w:hanging="540"/>
        <w:jc w:val="both"/>
        <w:rPr>
          <w:snapToGrid w:val="0"/>
          <w:sz w:val="20"/>
        </w:rPr>
      </w:pPr>
      <w:r w:rsidRPr="00412620">
        <w:rPr>
          <w:snapToGrid w:val="0"/>
          <w:sz w:val="20"/>
        </w:rPr>
        <w:t>(g)</w:t>
      </w:r>
      <w:r w:rsidRPr="00412620">
        <w:rPr>
          <w:snapToGrid w:val="0"/>
          <w:sz w:val="20"/>
        </w:rPr>
        <w:tab/>
        <w:t xml:space="preserve">"regulations of fund" means the special body of regulations governing the constitution and administration of a particular provident fund; and </w:t>
      </w:r>
    </w:p>
    <w:p w:rsidR="00AA4BF8" w:rsidRPr="00412620" w:rsidRDefault="00AA4BF8" w:rsidP="00AA4BF8">
      <w:pPr>
        <w:jc w:val="both"/>
        <w:rPr>
          <w:snapToGrid w:val="0"/>
          <w:sz w:val="16"/>
          <w:szCs w:val="16"/>
        </w:rPr>
      </w:pPr>
    </w:p>
    <w:p w:rsidR="00AA4BF8" w:rsidRPr="00412620" w:rsidRDefault="00AA4BF8" w:rsidP="00AA4BF8">
      <w:pPr>
        <w:ind w:left="1634" w:hanging="540"/>
        <w:jc w:val="both"/>
        <w:rPr>
          <w:snapToGrid w:val="0"/>
          <w:sz w:val="20"/>
        </w:rPr>
      </w:pPr>
      <w:r w:rsidRPr="00412620">
        <w:rPr>
          <w:snapToGrid w:val="0"/>
          <w:sz w:val="20"/>
        </w:rPr>
        <w:t>(h)</w:t>
      </w:r>
      <w:r w:rsidRPr="00412620">
        <w:rPr>
          <w:snapToGrid w:val="0"/>
          <w:sz w:val="20"/>
        </w:rPr>
        <w:tab/>
        <w:t>"salary" includes dearness allowance, if the terms of employment so provide, but excludes all other allowances and perquisites.</w:t>
      </w:r>
    </w:p>
    <w:p w:rsidR="00AA4BF8" w:rsidRPr="00412620" w:rsidRDefault="00AA4BF8" w:rsidP="00AA4BF8">
      <w:pPr>
        <w:jc w:val="both"/>
        <w:rPr>
          <w:b/>
          <w:bCs/>
          <w:snapToGrid w:val="0"/>
          <w:sz w:val="16"/>
          <w:szCs w:val="16"/>
        </w:rPr>
      </w:pPr>
    </w:p>
    <w:p w:rsidR="00AA4BF8" w:rsidRPr="00412620" w:rsidRDefault="00AA4BF8" w:rsidP="00AA4BF8">
      <w:pPr>
        <w:jc w:val="both"/>
        <w:rPr>
          <w:snapToGrid w:val="0"/>
          <w:sz w:val="20"/>
        </w:rPr>
      </w:pPr>
      <w:r w:rsidRPr="00412620">
        <w:rPr>
          <w:b/>
          <w:bCs/>
          <w:snapToGrid w:val="0"/>
          <w:sz w:val="20"/>
        </w:rPr>
        <w:t>15.</w:t>
      </w:r>
      <w:r w:rsidRPr="00412620">
        <w:rPr>
          <w:b/>
          <w:bCs/>
          <w:snapToGrid w:val="0"/>
          <w:sz w:val="20"/>
        </w:rPr>
        <w:tab/>
        <w:t>Application of this Part.</w:t>
      </w:r>
      <w:r w:rsidRPr="00412620">
        <w:rPr>
          <w:snapToGrid w:val="0"/>
          <w:sz w:val="20"/>
        </w:rPr>
        <w:t> </w:t>
      </w:r>
      <w:r w:rsidRPr="00412620">
        <w:rPr>
          <w:sz w:val="20"/>
        </w:rPr>
        <w:t>—</w:t>
      </w:r>
      <w:r w:rsidRPr="00412620">
        <w:rPr>
          <w:snapToGrid w:val="0"/>
          <w:sz w:val="20"/>
        </w:rPr>
        <w:t> This Part shall not apply to any provident fund to which the Provident Funds Act, 1925 (XIX of 1925) applies.</w:t>
      </w:r>
    </w:p>
    <w:p w:rsidR="00AA4BF8" w:rsidRPr="00412620" w:rsidRDefault="00AA4BF8" w:rsidP="00AA4BF8">
      <w:pPr>
        <w:keepNext/>
        <w:jc w:val="center"/>
        <w:rPr>
          <w:b/>
          <w:bCs/>
          <w:sz w:val="32"/>
          <w:szCs w:val="32"/>
        </w:rPr>
      </w:pPr>
      <w:r w:rsidRPr="00412620">
        <w:rPr>
          <w:b/>
          <w:bCs/>
          <w:sz w:val="32"/>
          <w:szCs w:val="32"/>
        </w:rPr>
        <w:br w:type="page"/>
      </w:r>
      <w:r w:rsidRPr="00412620">
        <w:rPr>
          <w:b/>
          <w:bCs/>
          <w:sz w:val="32"/>
          <w:szCs w:val="32"/>
        </w:rPr>
        <w:lastRenderedPageBreak/>
        <w:t>PART II</w:t>
      </w:r>
    </w:p>
    <w:p w:rsidR="00AA4BF8" w:rsidRPr="00412620" w:rsidRDefault="00AA4BF8" w:rsidP="00AA4BF8">
      <w:pPr>
        <w:keepNext/>
        <w:jc w:val="center"/>
        <w:rPr>
          <w:i/>
          <w:iCs/>
          <w:sz w:val="20"/>
        </w:rPr>
      </w:pPr>
      <w:r w:rsidRPr="00412620">
        <w:rPr>
          <w:i/>
          <w:iCs/>
          <w:sz w:val="20"/>
        </w:rPr>
        <w:t>[ See sections</w:t>
      </w:r>
      <w:r w:rsidRPr="00412620">
        <w:rPr>
          <w:rStyle w:val="FootnoteReference"/>
          <w:rFonts w:cs="Arial"/>
          <w:i/>
          <w:iCs/>
          <w:sz w:val="20"/>
        </w:rPr>
        <w:footnoteReference w:id="2428"/>
      </w:r>
      <w:r w:rsidRPr="00412620">
        <w:rPr>
          <w:i/>
          <w:iCs/>
          <w:sz w:val="20"/>
        </w:rPr>
        <w:t xml:space="preserve"> [12](5) and 21(e), and the Second Schedule]</w:t>
      </w:r>
    </w:p>
    <w:p w:rsidR="00AA4BF8" w:rsidRPr="00412620" w:rsidRDefault="00AA4BF8" w:rsidP="00AA4BF8">
      <w:pPr>
        <w:keepNext/>
        <w:rPr>
          <w:i/>
          <w:iCs/>
          <w:sz w:val="20"/>
        </w:rPr>
      </w:pPr>
    </w:p>
    <w:p w:rsidR="00AA4BF8" w:rsidRPr="00412620" w:rsidRDefault="00AA4BF8" w:rsidP="00AA4BF8">
      <w:pPr>
        <w:keepNext/>
        <w:jc w:val="center"/>
        <w:rPr>
          <w:b/>
          <w:bCs/>
          <w:sz w:val="20"/>
        </w:rPr>
      </w:pPr>
      <w:r w:rsidRPr="00412620">
        <w:rPr>
          <w:b/>
          <w:bCs/>
          <w:sz w:val="20"/>
        </w:rPr>
        <w:t>APPROVED SUPERANNUATION FUNDS</w:t>
      </w:r>
    </w:p>
    <w:p w:rsidR="00AA4BF8" w:rsidRPr="00412620" w:rsidRDefault="00AA4BF8" w:rsidP="00AA4BF8">
      <w:pPr>
        <w:keepNext/>
        <w:rPr>
          <w:b/>
          <w:bCs/>
          <w:sz w:val="20"/>
        </w:rPr>
      </w:pPr>
    </w:p>
    <w:p w:rsidR="00AA4BF8" w:rsidRPr="00412620" w:rsidRDefault="00AA4BF8" w:rsidP="00AA4BF8">
      <w:pPr>
        <w:jc w:val="both"/>
        <w:rPr>
          <w:sz w:val="20"/>
        </w:rPr>
      </w:pPr>
      <w:r w:rsidRPr="00412620">
        <w:rPr>
          <w:b/>
          <w:bCs/>
          <w:sz w:val="20"/>
        </w:rPr>
        <w:t>1.</w:t>
      </w:r>
      <w:r w:rsidRPr="00412620">
        <w:rPr>
          <w:b/>
          <w:bCs/>
          <w:sz w:val="20"/>
        </w:rPr>
        <w:tab/>
        <w:t>Approval of superannuation funds.</w:t>
      </w:r>
      <w:r w:rsidRPr="00412620">
        <w:rPr>
          <w:sz w:val="20"/>
        </w:rPr>
        <w:t>— (1) The Commissioner may accord approval to any superannuation fund or any part of a superannuation fund which, in his opinion, complies with the requirements of rule 2, and may, at any time withdraw such approval if, in his opinion, the circumstances of the fund or the part, as the case may be, cease to warrant the continuance of the approval.</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An order according approval or withdrawing approval shall take effect from such date as the Commissioner may fix.</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The Commissioner shall neither refuse nor withdraw approval to any superannuation fund or any part of a superannuation fund unless he has given the trustees of that fund a reasonable opportunity of being heard.</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2.</w:t>
      </w:r>
      <w:r w:rsidRPr="00412620">
        <w:rPr>
          <w:b/>
          <w:bCs/>
          <w:sz w:val="20"/>
        </w:rPr>
        <w:tab/>
        <w:t>Conditions for approval. </w:t>
      </w:r>
      <w:r w:rsidRPr="00412620">
        <w:rPr>
          <w:sz w:val="20"/>
        </w:rPr>
        <w:t xml:space="preserve">— In order that a superannuation fund may receive and retain approval, it shall satisfy the conditions hereinafter specified and any other conditions which the </w:t>
      </w:r>
      <w:r w:rsidR="00D056ED">
        <w:rPr>
          <w:rStyle w:val="FootnoteReference"/>
          <w:sz w:val="20"/>
        </w:rPr>
        <w:footnoteReference w:id="2429"/>
      </w:r>
      <w:r w:rsidR="00D056ED">
        <w:rPr>
          <w:sz w:val="20"/>
        </w:rPr>
        <w:t>[</w:t>
      </w:r>
      <w:r w:rsidRPr="00412620">
        <w:rPr>
          <w:sz w:val="20"/>
        </w:rPr>
        <w:t>Board</w:t>
      </w:r>
      <w:r w:rsidR="00D056ED">
        <w:rPr>
          <w:sz w:val="20"/>
        </w:rPr>
        <w:t>]</w:t>
      </w:r>
      <w:r w:rsidRPr="00412620">
        <w:rPr>
          <w:sz w:val="20"/>
        </w:rPr>
        <w:t xml:space="preserve"> may, by rules prescribe -</w:t>
      </w:r>
    </w:p>
    <w:p w:rsidR="00AA4BF8" w:rsidRPr="00412620" w:rsidRDefault="00AA4BF8" w:rsidP="00AA4BF8">
      <w:pPr>
        <w:jc w:val="both"/>
        <w:rPr>
          <w:sz w:val="20"/>
        </w:rPr>
      </w:pPr>
    </w:p>
    <w:p w:rsidR="00AA4BF8" w:rsidRPr="00412620" w:rsidRDefault="00AA4BF8" w:rsidP="00AA4BF8">
      <w:pPr>
        <w:ind w:left="1094" w:hanging="540"/>
        <w:jc w:val="both"/>
        <w:rPr>
          <w:sz w:val="20"/>
        </w:rPr>
      </w:pPr>
      <w:r w:rsidRPr="00412620">
        <w:rPr>
          <w:sz w:val="20"/>
        </w:rPr>
        <w:t>(a)</w:t>
      </w:r>
      <w:r w:rsidRPr="00412620">
        <w:rPr>
          <w:sz w:val="20"/>
        </w:rPr>
        <w:tab/>
        <w:t xml:space="preserve">the fund shall be a fund established under an irrevocable trust, in connection with a trade or undertaking carried on in Pakistan, and not less than ninety </w:t>
      </w:r>
      <w:r>
        <w:rPr>
          <w:i/>
          <w:iCs/>
          <w:sz w:val="20"/>
        </w:rPr>
        <w:t>per cent</w:t>
      </w:r>
      <w:r w:rsidRPr="00412620">
        <w:rPr>
          <w:sz w:val="20"/>
        </w:rPr>
        <w:t xml:space="preserve"> of the employees shall be employed in Pakistan;</w:t>
      </w:r>
    </w:p>
    <w:p w:rsidR="00AA4BF8" w:rsidRPr="00412620" w:rsidRDefault="00AA4BF8" w:rsidP="00AA4BF8">
      <w:pPr>
        <w:jc w:val="both"/>
        <w:rPr>
          <w:sz w:val="20"/>
        </w:rPr>
      </w:pPr>
    </w:p>
    <w:p w:rsidR="00AA4BF8" w:rsidRPr="00412620" w:rsidRDefault="00AA4BF8" w:rsidP="00AA4BF8">
      <w:pPr>
        <w:ind w:left="1094" w:hanging="540"/>
        <w:jc w:val="both"/>
        <w:rPr>
          <w:sz w:val="20"/>
        </w:rPr>
      </w:pPr>
      <w:r w:rsidRPr="00412620">
        <w:rPr>
          <w:sz w:val="20"/>
        </w:rPr>
        <w:t>(b)</w:t>
      </w:r>
      <w:r w:rsidRPr="00412620">
        <w:rPr>
          <w:sz w:val="20"/>
        </w:rPr>
        <w:tab/>
        <w:t>the fund shall have for its sole purpose the provision of annuities for employees in the trade or undertaking on their retirement at or after a specified age or on their becoming incapacitated prior to such retirement, or for widows, children or dependants of persons who are or have been such employees on the death of these persons;</w:t>
      </w:r>
    </w:p>
    <w:p w:rsidR="00AA4BF8" w:rsidRPr="00412620" w:rsidRDefault="00AA4BF8" w:rsidP="00AA4BF8">
      <w:pPr>
        <w:jc w:val="both"/>
        <w:rPr>
          <w:sz w:val="20"/>
        </w:rPr>
      </w:pPr>
    </w:p>
    <w:p w:rsidR="00AA4BF8" w:rsidRPr="00412620" w:rsidRDefault="00AA4BF8" w:rsidP="00AA4BF8">
      <w:pPr>
        <w:ind w:left="1094" w:hanging="540"/>
        <w:jc w:val="both"/>
        <w:rPr>
          <w:sz w:val="20"/>
        </w:rPr>
      </w:pPr>
      <w:r w:rsidRPr="00412620">
        <w:rPr>
          <w:sz w:val="20"/>
        </w:rPr>
        <w:t>(c)</w:t>
      </w:r>
      <w:r w:rsidRPr="00412620">
        <w:rPr>
          <w:sz w:val="20"/>
        </w:rPr>
        <w:tab/>
        <w:t>the employer in the trade or undertaking shall be a contributor to the fund; and</w:t>
      </w:r>
    </w:p>
    <w:p w:rsidR="00AA4BF8" w:rsidRPr="00412620" w:rsidRDefault="00AA4BF8" w:rsidP="00AA4BF8">
      <w:pPr>
        <w:jc w:val="both"/>
        <w:rPr>
          <w:sz w:val="20"/>
        </w:rPr>
      </w:pPr>
    </w:p>
    <w:p w:rsidR="00AA4BF8" w:rsidRPr="00412620" w:rsidRDefault="00AA4BF8" w:rsidP="00AA4BF8">
      <w:pPr>
        <w:ind w:left="1094" w:hanging="540"/>
        <w:jc w:val="both"/>
        <w:rPr>
          <w:sz w:val="20"/>
        </w:rPr>
      </w:pPr>
      <w:r w:rsidRPr="00412620">
        <w:rPr>
          <w:sz w:val="20"/>
        </w:rPr>
        <w:t>(d)</w:t>
      </w:r>
      <w:r w:rsidRPr="00412620">
        <w:rPr>
          <w:sz w:val="20"/>
        </w:rPr>
        <w:tab/>
        <w:t>all annuities, pensions and other benefits granted from the fund shall be payable only in Pakistan.</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3.</w:t>
      </w:r>
      <w:r w:rsidRPr="00412620">
        <w:rPr>
          <w:b/>
          <w:bCs/>
          <w:sz w:val="20"/>
        </w:rPr>
        <w:tab/>
        <w:t>Application for approval.</w:t>
      </w:r>
      <w:r w:rsidRPr="00412620">
        <w:rPr>
          <w:sz w:val="20"/>
        </w:rPr>
        <w:t xml:space="preserve">— (1) An application for approval of a superannuation fund, or part of a superannuation fund, shall be made in writing by the trustees of the fund to the Commissioner by whom the employer is assessable, and shall be accompanied by a copy of the instrument under which </w:t>
      </w:r>
      <w:r w:rsidRPr="00412620">
        <w:rPr>
          <w:sz w:val="20"/>
        </w:rPr>
        <w:lastRenderedPageBreak/>
        <w:t>the fund is established and by two copies of the regulations and, where the fund has been in existence during any year or years prior to the financial year in which the application for approval is made, also two copies of the accounts of the funds relating to such prior year or years (not being more than three years immediately preceding the year in which the said application is made) for which such accounts have been made up, but the Commissioner may require such further information to be supplied as he thinks proper.</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 xml:space="preserve">If any alternation in the regulations, constitutions, objects or conditions of the fund is made at any time after the date of the application for approval, the trustees of the fund shall forthwith communicate such alteration to the Commissioner mentioned in sub-rule (1), and, in default of such communication, any approval given shall, unless the Commissioner otherwise directs, be deemed to have been withdrawn from the date on which the alteration took effect. </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4.</w:t>
      </w:r>
      <w:r w:rsidRPr="00412620">
        <w:rPr>
          <w:b/>
          <w:bCs/>
          <w:sz w:val="20"/>
        </w:rPr>
        <w:tab/>
        <w:t>Contributions by employer, when deemed to be his income.</w:t>
      </w:r>
      <w:r w:rsidRPr="00412620">
        <w:rPr>
          <w:sz w:val="20"/>
        </w:rPr>
        <w:t xml:space="preserve"> — Where any contributions by an employer (including the interest thereon, if any), are repaid to the employer, the amount so repaid shall be deemed for the purpose of tax to be the income of the employer of the income year in which it is so repaid.</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5.</w:t>
      </w:r>
      <w:r w:rsidRPr="00412620">
        <w:rPr>
          <w:b/>
          <w:bCs/>
          <w:sz w:val="20"/>
        </w:rPr>
        <w:tab/>
        <w:t>Deduction of tax on contributions paid to an employee.</w:t>
      </w:r>
      <w:r w:rsidRPr="00412620">
        <w:rPr>
          <w:sz w:val="20"/>
        </w:rPr>
        <w:t xml:space="preserve"> — Where any contributions made by an employer (including interest on contributions, if any), are repaid to an employee during his life-time in circumstances other than those referred to in clause (25) of Part I of the Second Schedule, tax on the amount so repaid shall be deducted by the trustees </w:t>
      </w:r>
      <w:r w:rsidRPr="00412620">
        <w:rPr>
          <w:rStyle w:val="FootnoteReference"/>
          <w:rFonts w:cs="Arial"/>
          <w:sz w:val="20"/>
        </w:rPr>
        <w:footnoteReference w:id="2430"/>
      </w:r>
      <w:r w:rsidRPr="00412620">
        <w:rPr>
          <w:sz w:val="20"/>
        </w:rPr>
        <w:t>[at the rate applicable to the year of withdrawal] and shall be paid by the trustees to the credit of the Federal Government within such time and in such manner as may be prescribed.</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6.</w:t>
      </w:r>
      <w:r w:rsidRPr="00412620">
        <w:rPr>
          <w:b/>
          <w:bCs/>
          <w:sz w:val="20"/>
        </w:rPr>
        <w:tab/>
        <w:t>Deduction from pay of and contributions on behalf of employees to be included in a statement under section 165.</w:t>
      </w:r>
      <w:r w:rsidRPr="00412620">
        <w:rPr>
          <w:sz w:val="20"/>
        </w:rPr>
        <w:t xml:space="preserve"> — Where an employer deducts from the emoluments paid to an employee or pays on his behalf any contributions of that employee to an approved superannuation fund, he shall include all such deductions or payments in a statement which he is required to furnish under section 165.</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7.</w:t>
      </w:r>
      <w:r w:rsidRPr="00412620">
        <w:rPr>
          <w:b/>
          <w:bCs/>
          <w:sz w:val="20"/>
        </w:rPr>
        <w:tab/>
        <w:t xml:space="preserve">Liability of trustees on cessation of approval. </w:t>
      </w:r>
      <w:r w:rsidRPr="00412620">
        <w:rPr>
          <w:sz w:val="20"/>
        </w:rPr>
        <w:t>— If a fund, or a part of a fund, for any reason ceases to be an approved superannuation fund, the trustees of the fund shall nevertheless remain liable to tax on any sum paid on account of returned contributions (including interest on contributions, if any), in so far as the sum so paid is in respect of contributions made before the fund or part of the fund, as the case may be, ceased to be an approved superannuation fund under the provisions of this Part.</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8.</w:t>
      </w:r>
      <w:r w:rsidRPr="00412620">
        <w:rPr>
          <w:b/>
          <w:bCs/>
          <w:sz w:val="20"/>
        </w:rPr>
        <w:tab/>
        <w:t xml:space="preserve">Particulars to be furnished in respect of superannuation fund. </w:t>
      </w:r>
      <w:r w:rsidRPr="00412620">
        <w:rPr>
          <w:sz w:val="20"/>
        </w:rPr>
        <w:t xml:space="preserve">— The trustees of an approved superannuation fund and any employer who contributes to an approved superannuation fund shall, when required by notice from the Commissioner, within such period (not being less than twenty-one days from the date </w:t>
      </w:r>
      <w:r w:rsidRPr="00412620">
        <w:rPr>
          <w:rStyle w:val="FootnoteReference"/>
          <w:rFonts w:cs="Arial"/>
          <w:sz w:val="20"/>
        </w:rPr>
        <w:footnoteReference w:id="2431"/>
      </w:r>
      <w:r w:rsidRPr="00412620">
        <w:rPr>
          <w:sz w:val="20"/>
        </w:rPr>
        <w:t>[of service] of the notice), as may be specified in the notice, furnish such return, statement, particulars or information, as the Commissioner may require.</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9.</w:t>
      </w:r>
      <w:r w:rsidRPr="00412620">
        <w:rPr>
          <w:b/>
          <w:bCs/>
          <w:sz w:val="20"/>
        </w:rPr>
        <w:tab/>
        <w:t>Provisions of the Part to prevail against regulations of the fund.</w:t>
      </w:r>
      <w:r w:rsidRPr="00412620">
        <w:rPr>
          <w:sz w:val="20"/>
        </w:rPr>
        <w:t xml:space="preserve"> — Where there is a repugnance between any regulation of an approved superannuation fund and any provision of this Part or of the rules made thereunder the regulation shall, to the extent of the repugnance, be of no effect ; and the Commissioner may, at any time, require that such repugnance shall be removed from the regulations of the fund.</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10.</w:t>
      </w:r>
      <w:r w:rsidRPr="00412620">
        <w:rPr>
          <w:b/>
          <w:bCs/>
          <w:sz w:val="20"/>
        </w:rPr>
        <w:tab/>
        <w:t>Appeals.</w:t>
      </w:r>
      <w:r w:rsidRPr="00412620">
        <w:rPr>
          <w:sz w:val="20"/>
        </w:rPr>
        <w:t xml:space="preserve"> —(1) An employer objecting to an order of the Commissioner refusing to accord approval to a superannuation fund or an order withdrawing such approval may appeal, within sixty days of the </w:t>
      </w:r>
      <w:r w:rsidRPr="00412620">
        <w:rPr>
          <w:rStyle w:val="FootnoteReference"/>
          <w:rFonts w:cs="Arial"/>
          <w:sz w:val="20"/>
        </w:rPr>
        <w:footnoteReference w:id="2432"/>
      </w:r>
      <w:r w:rsidRPr="00412620">
        <w:rPr>
          <w:sz w:val="20"/>
        </w:rPr>
        <w:t xml:space="preserve">[service] of such order, to the </w:t>
      </w:r>
      <w:r w:rsidR="004F5CE6">
        <w:rPr>
          <w:rStyle w:val="FootnoteReference"/>
          <w:sz w:val="20"/>
        </w:rPr>
        <w:footnoteReference w:id="2433"/>
      </w:r>
      <w:r w:rsidR="004F5CE6">
        <w:rPr>
          <w:sz w:val="20"/>
        </w:rPr>
        <w:t>[</w:t>
      </w:r>
      <w:r w:rsidRPr="00412620">
        <w:rPr>
          <w:sz w:val="20"/>
        </w:rPr>
        <w:t>Board</w:t>
      </w:r>
      <w:r w:rsidR="004F5CE6">
        <w:rPr>
          <w:sz w:val="20"/>
        </w:rPr>
        <w:t>]</w:t>
      </w:r>
      <w:r w:rsidRPr="00412620">
        <w:rPr>
          <w:sz w:val="20"/>
        </w:rPr>
        <w:t>.</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 xml:space="preserve">The </w:t>
      </w:r>
      <w:r w:rsidR="004F5CE6">
        <w:rPr>
          <w:rStyle w:val="FootnoteReference"/>
          <w:sz w:val="20"/>
        </w:rPr>
        <w:footnoteReference w:id="2434"/>
      </w:r>
      <w:r w:rsidR="004F5CE6">
        <w:rPr>
          <w:sz w:val="20"/>
        </w:rPr>
        <w:t>[</w:t>
      </w:r>
      <w:r w:rsidRPr="00412620">
        <w:rPr>
          <w:sz w:val="20"/>
        </w:rPr>
        <w:t>Board</w:t>
      </w:r>
      <w:r w:rsidR="004F5CE6">
        <w:rPr>
          <w:sz w:val="20"/>
        </w:rPr>
        <w:t>]</w:t>
      </w:r>
      <w:r w:rsidRPr="00412620">
        <w:rPr>
          <w:sz w:val="20"/>
        </w:rPr>
        <w:t xml:space="preserve"> may admit an appeal after the expiration of the period specified in sub-rule (1), if it is satisfied that the appellant was prevented by sufficient cause from presenting it within that period.</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The appeal shall be in such form and shall be verified in such manner and shall be accompanied by such fee as may be prescribed.</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11.</w:t>
      </w:r>
      <w:r w:rsidRPr="00412620">
        <w:rPr>
          <w:b/>
          <w:bCs/>
          <w:sz w:val="20"/>
        </w:rPr>
        <w:tab/>
        <w:t xml:space="preserve">Provisions relating to rules. </w:t>
      </w:r>
      <w:r w:rsidRPr="00412620">
        <w:rPr>
          <w:sz w:val="20"/>
        </w:rPr>
        <w:t xml:space="preserve">—(1) In addition to any power conferred by this Part, the </w:t>
      </w:r>
      <w:r w:rsidR="004F5CE6">
        <w:rPr>
          <w:rStyle w:val="FootnoteReference"/>
          <w:sz w:val="20"/>
        </w:rPr>
        <w:footnoteReference w:id="2435"/>
      </w:r>
      <w:r w:rsidR="004F5CE6">
        <w:rPr>
          <w:sz w:val="20"/>
        </w:rPr>
        <w:t>[</w:t>
      </w:r>
      <w:r w:rsidRPr="00412620">
        <w:rPr>
          <w:sz w:val="20"/>
        </w:rPr>
        <w:t>Board</w:t>
      </w:r>
      <w:r w:rsidR="004F5CE6">
        <w:rPr>
          <w:sz w:val="20"/>
        </w:rPr>
        <w:t xml:space="preserve">] </w:t>
      </w:r>
      <w:r w:rsidRPr="00412620">
        <w:rPr>
          <w:sz w:val="20"/>
        </w:rPr>
        <w:t>may make rules -</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(a)</w:t>
      </w:r>
      <w:r w:rsidRPr="00412620">
        <w:rPr>
          <w:sz w:val="20"/>
        </w:rPr>
        <w:tab/>
        <w:t>prescribing the statements and other information to be submitted along with an application for approval;</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(b)</w:t>
      </w:r>
      <w:r w:rsidRPr="00412620">
        <w:rPr>
          <w:sz w:val="20"/>
        </w:rPr>
        <w:tab/>
        <w:t>prescribing the returns, statements, particulars, or information which the Commissioner may require from the trustees of an approved superannuation fund or from the employer;</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(c)</w:t>
      </w:r>
      <w:r w:rsidRPr="00412620">
        <w:rPr>
          <w:sz w:val="20"/>
        </w:rPr>
        <w:tab/>
        <w:t>limiting the ordinary annual contribution and any other contributions to an approved superannuation fund by an employer;</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lastRenderedPageBreak/>
        <w:t>(d)</w:t>
      </w:r>
      <w:r w:rsidRPr="00412620">
        <w:rPr>
          <w:sz w:val="20"/>
        </w:rPr>
        <w:tab/>
        <w:t>regulating the investment or deposit of the moneys of any approved superannuation fund;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(e)</w:t>
      </w:r>
      <w:r w:rsidRPr="00412620">
        <w:rPr>
          <w:sz w:val="20"/>
        </w:rPr>
        <w:tab/>
        <w:t>providing for the assessment by way of penalty of any consideration received by an employee for an assignment of, or creation of a charge upon, his beneficial interest in an approved superannuation fund;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(f)</w:t>
      </w:r>
      <w:r w:rsidRPr="00412620">
        <w:rPr>
          <w:sz w:val="20"/>
        </w:rPr>
        <w:tab/>
        <w:t>providing for the withdrawal of approval in the case of a fund which ceases to satisfy the requirements of this Part or of the rules made thereunder; and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(g)</w:t>
      </w:r>
      <w:r w:rsidRPr="00412620">
        <w:rPr>
          <w:sz w:val="20"/>
        </w:rPr>
        <w:tab/>
        <w:t>generally, to carry out the purposes of this Part and to secure such further control over the approval of superannuation funds and the administration of approved superannuation funds as it may deem requisite.</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12.</w:t>
      </w:r>
      <w:r w:rsidRPr="00412620">
        <w:rPr>
          <w:b/>
          <w:bCs/>
          <w:sz w:val="20"/>
        </w:rPr>
        <w:tab/>
        <w:t>Definitions.</w:t>
      </w:r>
      <w:r w:rsidRPr="00412620">
        <w:rPr>
          <w:sz w:val="20"/>
        </w:rPr>
        <w:t>— In this Part, unless the context otherwise requires "contributions", "employee', "employer", "regulations of a fund" and "salary" have, in relation to superannuation funds, the meanings assigned to those expressions in rule 14 of Part I in relation to provident funds.</w:t>
      </w:r>
    </w:p>
    <w:p w:rsidR="00AA4BF8" w:rsidRPr="00412620" w:rsidRDefault="00AA4BF8" w:rsidP="00AA4BF8">
      <w:pPr>
        <w:keepNext/>
        <w:jc w:val="center"/>
        <w:rPr>
          <w:b/>
          <w:bCs/>
          <w:snapToGrid w:val="0"/>
          <w:sz w:val="20"/>
        </w:rPr>
      </w:pPr>
    </w:p>
    <w:p w:rsidR="00AA4BF8" w:rsidRPr="00412620" w:rsidRDefault="00AA4BF8" w:rsidP="00AA4BF8">
      <w:pPr>
        <w:keepNext/>
        <w:jc w:val="center"/>
        <w:rPr>
          <w:b/>
          <w:bCs/>
          <w:snapToGrid w:val="0"/>
          <w:sz w:val="32"/>
          <w:szCs w:val="32"/>
        </w:rPr>
      </w:pPr>
      <w:r w:rsidRPr="00412620">
        <w:rPr>
          <w:b/>
          <w:bCs/>
          <w:snapToGrid w:val="0"/>
          <w:sz w:val="20"/>
        </w:rPr>
        <w:br w:type="page"/>
      </w:r>
      <w:r w:rsidRPr="00412620">
        <w:rPr>
          <w:b/>
          <w:bCs/>
          <w:snapToGrid w:val="0"/>
          <w:sz w:val="32"/>
          <w:szCs w:val="32"/>
        </w:rPr>
        <w:lastRenderedPageBreak/>
        <w:t>PART III</w:t>
      </w:r>
    </w:p>
    <w:p w:rsidR="00AA4BF8" w:rsidRPr="00412620" w:rsidRDefault="00AA4BF8" w:rsidP="00AA4BF8">
      <w:pPr>
        <w:keepNext/>
        <w:jc w:val="center"/>
        <w:rPr>
          <w:i/>
          <w:iCs/>
          <w:snapToGrid w:val="0"/>
          <w:sz w:val="20"/>
        </w:rPr>
      </w:pPr>
      <w:r w:rsidRPr="00412620">
        <w:rPr>
          <w:i/>
          <w:iCs/>
          <w:snapToGrid w:val="0"/>
          <w:sz w:val="20"/>
        </w:rPr>
        <w:t>[ See sections 2(4) and 21(e), and the Second Schedule]</w:t>
      </w:r>
    </w:p>
    <w:p w:rsidR="00AA4BF8" w:rsidRPr="00412620" w:rsidRDefault="00AA4BF8" w:rsidP="00AA4BF8">
      <w:pPr>
        <w:keepNext/>
        <w:rPr>
          <w:i/>
          <w:iCs/>
          <w:snapToGrid w:val="0"/>
          <w:sz w:val="20"/>
        </w:rPr>
      </w:pPr>
    </w:p>
    <w:p w:rsidR="00AA4BF8" w:rsidRPr="00412620" w:rsidRDefault="00AA4BF8" w:rsidP="00AA4BF8">
      <w:pPr>
        <w:keepNext/>
        <w:jc w:val="center"/>
        <w:rPr>
          <w:b/>
          <w:bCs/>
          <w:sz w:val="20"/>
        </w:rPr>
      </w:pPr>
      <w:r w:rsidRPr="00412620">
        <w:rPr>
          <w:b/>
          <w:bCs/>
          <w:sz w:val="20"/>
        </w:rPr>
        <w:t>APPROVED GRATUITY FUNDS</w:t>
      </w:r>
    </w:p>
    <w:p w:rsidR="00AA4BF8" w:rsidRPr="00412620" w:rsidRDefault="00AA4BF8" w:rsidP="00AA4BF8">
      <w:pPr>
        <w:keepNext/>
        <w:rPr>
          <w:b/>
          <w:bCs/>
          <w:sz w:val="20"/>
        </w:rPr>
      </w:pPr>
    </w:p>
    <w:p w:rsidR="00AA4BF8" w:rsidRPr="00412620" w:rsidRDefault="00AA4BF8" w:rsidP="00AA4BF8">
      <w:pPr>
        <w:jc w:val="both"/>
        <w:rPr>
          <w:sz w:val="20"/>
        </w:rPr>
      </w:pPr>
      <w:r w:rsidRPr="00412620">
        <w:rPr>
          <w:b/>
          <w:bCs/>
          <w:sz w:val="20"/>
        </w:rPr>
        <w:t>1.</w:t>
      </w:r>
      <w:r w:rsidRPr="00412620">
        <w:rPr>
          <w:b/>
          <w:bCs/>
          <w:sz w:val="20"/>
        </w:rPr>
        <w:tab/>
        <w:t>Approval of Gratuity Funds.</w:t>
      </w:r>
      <w:r w:rsidRPr="00412620">
        <w:rPr>
          <w:sz w:val="20"/>
        </w:rPr>
        <w:t xml:space="preserve"> — (1) The Commissioner may accord approval to any gratuity fund which, in his opinion, complies with the requirements of rule 2 and may, at any time, withdraw such approval if, in his opinion, the circumstances of the fund cease to warrant the continuance of the approval.</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An order according approval or withdrawing approval shall take effect from such date as the Commissioner may fix.</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The Commissioner shall neither refuse nor withdraw approval to any gratuity fund unless he has given the trustees of that fund a reasonable opportunity of being heard.</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2.</w:t>
      </w:r>
      <w:r w:rsidRPr="00412620">
        <w:rPr>
          <w:b/>
          <w:bCs/>
          <w:sz w:val="20"/>
        </w:rPr>
        <w:tab/>
        <w:t>Conditions for approval.</w:t>
      </w:r>
      <w:r w:rsidRPr="00412620">
        <w:rPr>
          <w:sz w:val="20"/>
        </w:rPr>
        <w:t xml:space="preserve"> — In order that a gratuity fund may receive and retain approval, it shall satisfy the conditions hereinafter specified and any other conditions which the </w:t>
      </w:r>
      <w:r w:rsidR="006A508B">
        <w:rPr>
          <w:rStyle w:val="FootnoteReference"/>
          <w:sz w:val="20"/>
        </w:rPr>
        <w:footnoteReference w:id="2436"/>
      </w:r>
      <w:r w:rsidR="006A508B">
        <w:rPr>
          <w:sz w:val="20"/>
        </w:rPr>
        <w:t>[</w:t>
      </w:r>
      <w:r w:rsidRPr="00412620">
        <w:rPr>
          <w:sz w:val="20"/>
        </w:rPr>
        <w:t>Board</w:t>
      </w:r>
      <w:r w:rsidR="006A508B">
        <w:rPr>
          <w:sz w:val="20"/>
        </w:rPr>
        <w:t>]</w:t>
      </w:r>
      <w:r w:rsidRPr="00412620">
        <w:rPr>
          <w:sz w:val="20"/>
        </w:rPr>
        <w:t xml:space="preserve"> may, by rules, prescribe –</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(a)</w:t>
      </w:r>
      <w:r w:rsidRPr="00412620">
        <w:rPr>
          <w:sz w:val="20"/>
        </w:rPr>
        <w:tab/>
        <w:t xml:space="preserve">the fund shall be a fund established under an irrevocable trust in connection with trade or undertaking carried on in Pakistan, and not less than ninety </w:t>
      </w:r>
      <w:r>
        <w:rPr>
          <w:i/>
          <w:iCs/>
          <w:sz w:val="20"/>
        </w:rPr>
        <w:t>per cent</w:t>
      </w:r>
      <w:r w:rsidRPr="00412620">
        <w:rPr>
          <w:sz w:val="20"/>
        </w:rPr>
        <w:t xml:space="preserve"> of the employees shall be employed in Pakistan;</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(b)</w:t>
      </w:r>
      <w:r w:rsidRPr="00412620">
        <w:rPr>
          <w:sz w:val="20"/>
        </w:rPr>
        <w:tab/>
        <w:t xml:space="preserve">the fund shall have for its sole purpose the provision of a gratuity to employees in the trade or undertaking on their retirement at or after a specified age or on their </w:t>
      </w:r>
      <w:r w:rsidRPr="00412620">
        <w:rPr>
          <w:rStyle w:val="FootnoteReference"/>
          <w:rFonts w:cs="Arial"/>
          <w:sz w:val="20"/>
        </w:rPr>
        <w:footnoteReference w:id="2437"/>
      </w:r>
      <w:r w:rsidRPr="00412620">
        <w:rPr>
          <w:sz w:val="20"/>
        </w:rPr>
        <w:t>[becoming incapacitated prior to] such retirement, or on termination of their employment after a minimum period of service specified in the regulations of the fund or to the widows, children or dependents of such employees on their death;</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(c)</w:t>
      </w:r>
      <w:r w:rsidRPr="00412620">
        <w:rPr>
          <w:sz w:val="20"/>
        </w:rPr>
        <w:tab/>
        <w:t>the employer in the trade or undertaking shall be a contributor to the fund; and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(d)</w:t>
      </w:r>
      <w:r w:rsidRPr="00412620">
        <w:rPr>
          <w:sz w:val="20"/>
        </w:rPr>
        <w:tab/>
        <w:t>all benefits granted by the fund shall be payable only in Pakistan.</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3.</w:t>
      </w:r>
      <w:r w:rsidRPr="00412620">
        <w:rPr>
          <w:b/>
          <w:bCs/>
          <w:sz w:val="20"/>
        </w:rPr>
        <w:tab/>
        <w:t>Application for approval.</w:t>
      </w:r>
      <w:r w:rsidRPr="00412620">
        <w:rPr>
          <w:sz w:val="20"/>
        </w:rPr>
        <w:t xml:space="preserve"> — (1) An application for approval of a gratuity fund shall be made in writing by the trustees of the fund to the Commissioner by </w:t>
      </w:r>
      <w:r w:rsidRPr="00412620">
        <w:rPr>
          <w:sz w:val="20"/>
        </w:rPr>
        <w:lastRenderedPageBreak/>
        <w:t>whom the employer is assessable and shall be accompanied by  copy of the instrument under which the fund is established and by two copies of the rules and, where the fund has been in existence during any year or years prior to the financial year in which the application for approval is made, also two copies of the accounts of the fund relating to such prior year or years (not being more than three years immediately preceding year in which the said application is made) for which such accounts have been made up, but the Commissioner may require such further information to be supplied as he thinks proper.</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 xml:space="preserve">If any alteration in the rules, constitution, objects or conditions of the fund is made at any time after the date of the application for approval, the trustees of the fund shall forthwith communicate such </w:t>
      </w:r>
      <w:r w:rsidRPr="00412620">
        <w:rPr>
          <w:rStyle w:val="FootnoteReference"/>
          <w:rFonts w:cs="Arial"/>
          <w:sz w:val="20"/>
        </w:rPr>
        <w:footnoteReference w:id="2438"/>
      </w:r>
      <w:r w:rsidRPr="00412620">
        <w:rPr>
          <w:sz w:val="20"/>
        </w:rPr>
        <w:t>[alteration] to the Commissioner mentioned in sub-rule (1), and in default of such communication, any approval given shall, unless the Commissioner otherwise orders, be deemed to have been withdrawn from the date on which the alteration took effect.</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4.</w:t>
      </w:r>
      <w:r w:rsidRPr="00412620">
        <w:rPr>
          <w:b/>
          <w:bCs/>
          <w:sz w:val="20"/>
        </w:rPr>
        <w:tab/>
        <w:t>Gratuity deemed to be salary.</w:t>
      </w:r>
      <w:r w:rsidRPr="00412620">
        <w:rPr>
          <w:sz w:val="20"/>
        </w:rPr>
        <w:t xml:space="preserve"> —Where any gratuity is paid to an employee during his life-time, the gratuity shall be treated as salary paid to the employee for the purposes of this Ordinance.</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5.</w:t>
      </w:r>
      <w:r w:rsidRPr="00412620">
        <w:rPr>
          <w:b/>
          <w:bCs/>
          <w:sz w:val="20"/>
        </w:rPr>
        <w:tab/>
        <w:t xml:space="preserve">Liability of trustees on cessation of approval. </w:t>
      </w:r>
      <w:r w:rsidRPr="00412620">
        <w:rPr>
          <w:sz w:val="20"/>
        </w:rPr>
        <w:t>—If a gratuity fund for any reason ceases to be an approved gratuity fund, the trustees of the fund shall nevertheless remain liable to tax on any gratuity paid to any employee.</w:t>
      </w:r>
    </w:p>
    <w:p w:rsidR="00AA4BF8" w:rsidRPr="00412620" w:rsidRDefault="00AA4BF8" w:rsidP="00AA4BF8">
      <w:pPr>
        <w:jc w:val="both"/>
        <w:rPr>
          <w:b/>
          <w:bCs/>
          <w:sz w:val="20"/>
        </w:rPr>
      </w:pPr>
    </w:p>
    <w:p w:rsidR="00AA4BF8" w:rsidRPr="00412620" w:rsidRDefault="00AA4BF8" w:rsidP="00AA4BF8">
      <w:pPr>
        <w:jc w:val="both"/>
        <w:rPr>
          <w:sz w:val="20"/>
        </w:rPr>
      </w:pPr>
      <w:r w:rsidRPr="00412620">
        <w:rPr>
          <w:b/>
          <w:bCs/>
          <w:sz w:val="20"/>
        </w:rPr>
        <w:t>6.</w:t>
      </w:r>
      <w:r w:rsidRPr="00412620">
        <w:rPr>
          <w:b/>
          <w:bCs/>
          <w:sz w:val="20"/>
        </w:rPr>
        <w:tab/>
        <w:t>Contributions by employer, when deemed to be his income.</w:t>
      </w:r>
      <w:r w:rsidRPr="00412620">
        <w:rPr>
          <w:sz w:val="20"/>
        </w:rPr>
        <w:t xml:space="preserve"> —  Where any contributions by an employer (including the interest thereon, if any,) are repaid to the employer, the amount so repaid shall be deemed for the purposes of tax to be the income of the employer of the income year in which they are so repaid.</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7.</w:t>
      </w:r>
      <w:r w:rsidRPr="00412620">
        <w:rPr>
          <w:b/>
          <w:bCs/>
          <w:sz w:val="20"/>
        </w:rPr>
        <w:tab/>
        <w:t>Particulars to be furnished in respect of gratuity funds.</w:t>
      </w:r>
      <w:r w:rsidRPr="00412620">
        <w:rPr>
          <w:sz w:val="20"/>
        </w:rPr>
        <w:t xml:space="preserve"> — The trustees of an approved gratuity fund and any employer who contributes to an approved gratuity fund shall, when required by notice from the Commissioner, furnish, within such period not being less than twenty-one days from the date </w:t>
      </w:r>
      <w:r w:rsidRPr="00412620">
        <w:rPr>
          <w:rStyle w:val="FootnoteReference"/>
          <w:rFonts w:cs="Arial"/>
          <w:sz w:val="20"/>
        </w:rPr>
        <w:footnoteReference w:id="2439"/>
      </w:r>
      <w:r w:rsidRPr="00412620">
        <w:rPr>
          <w:sz w:val="20"/>
        </w:rPr>
        <w:t>[of service] of the notice as may be specified in the notice, such return, statement, particulars or information, as the Commissioner may require.</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8.</w:t>
      </w:r>
      <w:r w:rsidRPr="00412620">
        <w:rPr>
          <w:b/>
          <w:bCs/>
          <w:sz w:val="20"/>
        </w:rPr>
        <w:tab/>
        <w:t>Provisions of the Part to prevail against regulations of the fund.</w:t>
      </w:r>
      <w:r w:rsidRPr="00412620">
        <w:rPr>
          <w:sz w:val="20"/>
        </w:rPr>
        <w:t xml:space="preserve"> —Where there is a repugnance between any rule of an approved gratuity fund and any provision of this Part or of the rules made thereunder the said rule shall, to the extent of repugnance, be of no effect and the Commissioner may, at any time, require that such repugnance shall be removed from the rules of the fund.</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lastRenderedPageBreak/>
        <w:t>9.</w:t>
      </w:r>
      <w:r w:rsidRPr="00412620">
        <w:rPr>
          <w:b/>
          <w:bCs/>
          <w:sz w:val="20"/>
        </w:rPr>
        <w:tab/>
        <w:t>Appeals.</w:t>
      </w:r>
      <w:r w:rsidRPr="00412620">
        <w:rPr>
          <w:sz w:val="20"/>
        </w:rPr>
        <w:t xml:space="preserve"> — (1) An employer objecting to an order of the Commissioner refusing to accord approval to a gratuity fund or an order withdrawing such approval may appeal, within sixty days of the </w:t>
      </w:r>
      <w:r w:rsidRPr="00412620">
        <w:rPr>
          <w:rStyle w:val="FootnoteReference"/>
          <w:rFonts w:cs="Arial"/>
          <w:sz w:val="20"/>
        </w:rPr>
        <w:footnoteReference w:id="2440"/>
      </w:r>
      <w:r w:rsidRPr="00412620">
        <w:rPr>
          <w:sz w:val="20"/>
        </w:rPr>
        <w:t xml:space="preserve">[receipt] of such order, to the </w:t>
      </w:r>
      <w:r w:rsidR="009A760B">
        <w:rPr>
          <w:rStyle w:val="FootnoteReference"/>
          <w:sz w:val="20"/>
        </w:rPr>
        <w:footnoteReference w:id="2441"/>
      </w:r>
      <w:r w:rsidR="009A760B">
        <w:rPr>
          <w:sz w:val="20"/>
        </w:rPr>
        <w:t>[</w:t>
      </w:r>
      <w:r w:rsidRPr="00412620">
        <w:rPr>
          <w:sz w:val="20"/>
        </w:rPr>
        <w:t>Board</w:t>
      </w:r>
      <w:r w:rsidR="009A760B">
        <w:rPr>
          <w:sz w:val="20"/>
        </w:rPr>
        <w:t>]</w:t>
      </w:r>
      <w:r w:rsidRPr="00412620">
        <w:rPr>
          <w:sz w:val="20"/>
        </w:rPr>
        <w:t>.</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 xml:space="preserve">The </w:t>
      </w:r>
      <w:r w:rsidR="00B80F7E">
        <w:rPr>
          <w:rStyle w:val="FootnoteReference"/>
          <w:sz w:val="20"/>
        </w:rPr>
        <w:footnoteReference w:id="2442"/>
      </w:r>
      <w:r w:rsidR="00B80F7E">
        <w:rPr>
          <w:sz w:val="20"/>
        </w:rPr>
        <w:t>[</w:t>
      </w:r>
      <w:r w:rsidRPr="00412620">
        <w:rPr>
          <w:sz w:val="20"/>
        </w:rPr>
        <w:t>Board</w:t>
      </w:r>
      <w:r w:rsidR="00B80F7E">
        <w:rPr>
          <w:sz w:val="20"/>
        </w:rPr>
        <w:t>]</w:t>
      </w:r>
      <w:r w:rsidRPr="00412620">
        <w:rPr>
          <w:sz w:val="20"/>
        </w:rPr>
        <w:t xml:space="preserve"> may admit an appeal after the expiration of the period specified in sub-rule (1), if it is satisfied that the appellant was prevented by sufficient cause from presenting it within that period.</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The appeal shall be in such form and shall be verified in such manner and shall be accompanied by such fee as may be prescribed.</w:t>
      </w:r>
    </w:p>
    <w:p w:rsidR="00AA4BF8" w:rsidRPr="00412620" w:rsidRDefault="00AA4BF8" w:rsidP="00AA4BF8">
      <w:pPr>
        <w:jc w:val="both"/>
        <w:rPr>
          <w:sz w:val="20"/>
        </w:rPr>
      </w:pPr>
    </w:p>
    <w:p w:rsidR="00AA4BF8" w:rsidRPr="00412620" w:rsidRDefault="00AA4BF8" w:rsidP="00AA4BF8">
      <w:pPr>
        <w:jc w:val="both"/>
        <w:rPr>
          <w:sz w:val="20"/>
        </w:rPr>
      </w:pPr>
      <w:r w:rsidRPr="00412620">
        <w:rPr>
          <w:b/>
          <w:bCs/>
          <w:sz w:val="20"/>
        </w:rPr>
        <w:t>10.</w:t>
      </w:r>
      <w:r w:rsidRPr="00412620">
        <w:rPr>
          <w:b/>
          <w:bCs/>
          <w:sz w:val="20"/>
        </w:rPr>
        <w:tab/>
        <w:t>Provisions relating to rules.</w:t>
      </w:r>
      <w:r w:rsidRPr="00412620">
        <w:rPr>
          <w:sz w:val="20"/>
        </w:rPr>
        <w:t xml:space="preserve"> —(1) In addition to any power conferred in this Part, the </w:t>
      </w:r>
      <w:r w:rsidR="009E69C8">
        <w:rPr>
          <w:rStyle w:val="FootnoteReference"/>
          <w:sz w:val="20"/>
        </w:rPr>
        <w:footnoteReference w:id="2443"/>
      </w:r>
      <w:r w:rsidR="00E72559">
        <w:rPr>
          <w:sz w:val="20"/>
        </w:rPr>
        <w:t>[</w:t>
      </w:r>
      <w:r w:rsidRPr="00412620">
        <w:rPr>
          <w:sz w:val="20"/>
        </w:rPr>
        <w:t>Board</w:t>
      </w:r>
      <w:r w:rsidR="00E72559">
        <w:rPr>
          <w:sz w:val="20"/>
        </w:rPr>
        <w:t>]</w:t>
      </w:r>
      <w:r w:rsidRPr="00412620">
        <w:rPr>
          <w:sz w:val="20"/>
        </w:rPr>
        <w:t xml:space="preserve"> may make rules –</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(a)</w:t>
      </w:r>
      <w:r w:rsidRPr="00412620">
        <w:rPr>
          <w:sz w:val="20"/>
        </w:rPr>
        <w:tab/>
        <w:t>prescribing the statements and other information to be submitted along with an application for approval;</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(b)</w:t>
      </w:r>
      <w:r w:rsidRPr="00412620">
        <w:rPr>
          <w:sz w:val="20"/>
        </w:rPr>
        <w:tab/>
        <w:t>limiting the ordinary annual and other contributions of an employer to the fund;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(c)</w:t>
      </w:r>
      <w:r w:rsidRPr="00412620">
        <w:rPr>
          <w:sz w:val="20"/>
        </w:rPr>
        <w:tab/>
        <w:t>regulating the investment or deposit of the moneys of an approved gratuity fund;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(d)</w:t>
      </w:r>
      <w:r w:rsidRPr="00412620">
        <w:rPr>
          <w:sz w:val="20"/>
        </w:rPr>
        <w:tab/>
        <w:t>providing for the assessment by way of penalty of any consideration received by an employee for an assignment of, or the creation of a charge upon, his beneficial interest in an approved gratuity fund;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(e)</w:t>
      </w:r>
      <w:r w:rsidRPr="00412620">
        <w:rPr>
          <w:sz w:val="20"/>
        </w:rPr>
        <w:tab/>
        <w:t>providing for withdrawal of the approval in the case of a fund which ceases to satisfy the requirements of this Part or the rules made thereunder; and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(f)</w:t>
      </w:r>
      <w:r w:rsidRPr="00412620">
        <w:rPr>
          <w:sz w:val="20"/>
        </w:rPr>
        <w:tab/>
        <w:t>generally, to carry out the purposes of this Part and to secure such further control over the approval of gratuity funds and the administration of gratuity funds as it may deem requisite.</w:t>
      </w:r>
    </w:p>
    <w:p w:rsidR="00AA4BF8" w:rsidRPr="00412620" w:rsidRDefault="00AA4BF8" w:rsidP="00AA4BF8">
      <w:pPr>
        <w:jc w:val="both"/>
        <w:rPr>
          <w:sz w:val="20"/>
        </w:rPr>
      </w:pPr>
    </w:p>
    <w:p w:rsidR="00AA4BF8" w:rsidRPr="00412620" w:rsidRDefault="00AA4BF8" w:rsidP="00AA4BF8">
      <w:pPr>
        <w:pStyle w:val="BodyText2"/>
        <w:jc w:val="both"/>
        <w:rPr>
          <w:sz w:val="20"/>
        </w:rPr>
      </w:pPr>
      <w:r w:rsidRPr="00412620">
        <w:rPr>
          <w:b/>
          <w:bCs/>
          <w:sz w:val="20"/>
        </w:rPr>
        <w:t>11.</w:t>
      </w:r>
      <w:r w:rsidRPr="00412620">
        <w:rPr>
          <w:b/>
          <w:bCs/>
          <w:sz w:val="20"/>
        </w:rPr>
        <w:tab/>
        <w:t>Definitions.</w:t>
      </w:r>
      <w:r w:rsidRPr="00412620">
        <w:rPr>
          <w:sz w:val="20"/>
        </w:rPr>
        <w:t>—In this Part, unless the context otherwise requires, "contribution", "employee", "employer", "regulations of a fund" and "salary" have in relation to gratuity funds, the meaning assigned to those expressions in rule 14 of Part I in relation to provident funds.</w:t>
      </w:r>
    </w:p>
    <w:p w:rsidR="00AA4BF8" w:rsidRPr="00412620" w:rsidRDefault="00AA4BF8" w:rsidP="00AA4BF8">
      <w:pPr>
        <w:keepNext/>
        <w:jc w:val="center"/>
        <w:rPr>
          <w:i/>
          <w:iCs/>
          <w:sz w:val="20"/>
        </w:rPr>
      </w:pPr>
      <w:r w:rsidRPr="00412620">
        <w:rPr>
          <w:sz w:val="20"/>
        </w:rPr>
        <w:br w:type="page"/>
      </w:r>
    </w:p>
    <w:tbl>
      <w:tblPr>
        <w:tblW w:w="0" w:type="auto"/>
        <w:tblInd w:w="2" w:type="dxa"/>
        <w:tblLook w:val="01E0"/>
      </w:tblPr>
      <w:tblGrid>
        <w:gridCol w:w="7414"/>
      </w:tblGrid>
      <w:tr w:rsidR="00AA4BF8" w:rsidRPr="00412620" w:rsidTr="00A752DD">
        <w:tc>
          <w:tcPr>
            <w:tcW w:w="7416" w:type="dxa"/>
          </w:tcPr>
          <w:p w:rsidR="00AA4BF8" w:rsidRPr="00412620" w:rsidRDefault="00AA4BF8" w:rsidP="00A752DD">
            <w:pPr>
              <w:keepNext/>
              <w:jc w:val="center"/>
              <w:rPr>
                <w:b/>
                <w:bCs/>
                <w:sz w:val="20"/>
              </w:rPr>
            </w:pPr>
            <w:r w:rsidRPr="00412620">
              <w:rPr>
                <w:rStyle w:val="FootnoteReference"/>
                <w:rFonts w:cs="Arial"/>
                <w:sz w:val="20"/>
              </w:rPr>
              <w:lastRenderedPageBreak/>
              <w:footnoteReference w:id="2444"/>
            </w:r>
            <w:r w:rsidRPr="00412620">
              <w:rPr>
                <w:sz w:val="32"/>
                <w:szCs w:val="32"/>
              </w:rPr>
              <w:t>[</w:t>
            </w:r>
            <w:r w:rsidRPr="00412620">
              <w:rPr>
                <w:b/>
                <w:bCs/>
                <w:sz w:val="32"/>
                <w:szCs w:val="32"/>
              </w:rPr>
              <w:t>THE SEVENTH SCHEDULE</w:t>
            </w:r>
            <w:r w:rsidRPr="00412620">
              <w:rPr>
                <w:sz w:val="32"/>
                <w:szCs w:val="32"/>
              </w:rPr>
              <w:t>]</w:t>
            </w:r>
          </w:p>
          <w:p w:rsidR="00AA4BF8" w:rsidRPr="00412620" w:rsidRDefault="00AA4BF8" w:rsidP="00A752DD">
            <w:pPr>
              <w:keepNext/>
              <w:jc w:val="center"/>
              <w:rPr>
                <w:sz w:val="20"/>
              </w:rPr>
            </w:pPr>
            <w:r w:rsidRPr="00412620">
              <w:rPr>
                <w:i/>
                <w:iCs/>
                <w:sz w:val="20"/>
              </w:rPr>
              <w:lastRenderedPageBreak/>
              <w:t>(See section 100A)</w:t>
            </w:r>
          </w:p>
          <w:p w:rsidR="00AA4BF8" w:rsidRPr="00412620" w:rsidRDefault="00AA4BF8" w:rsidP="00A752DD">
            <w:pPr>
              <w:pStyle w:val="2"/>
              <w:spacing w:line="272" w:lineRule="atLeast"/>
              <w:rPr>
                <w:color w:val="auto"/>
                <w:sz w:val="10"/>
                <w:szCs w:val="10"/>
              </w:rPr>
            </w:pPr>
          </w:p>
        </w:tc>
      </w:tr>
    </w:tbl>
    <w:p w:rsidR="00AA4BF8" w:rsidRPr="00620281" w:rsidRDefault="00AA4BF8" w:rsidP="00AA4BF8">
      <w:pPr>
        <w:pStyle w:val="1"/>
        <w:jc w:val="center"/>
        <w:rPr>
          <w:rFonts w:ascii="Arial" w:hAnsi="Arial" w:cs="Arial"/>
          <w:b/>
          <w:bCs/>
          <w:color w:val="auto"/>
          <w:sz w:val="20"/>
          <w:szCs w:val="20"/>
        </w:rPr>
      </w:pPr>
      <w:r w:rsidRPr="00620281">
        <w:rPr>
          <w:rFonts w:ascii="Arial" w:hAnsi="Arial" w:cs="Arial"/>
          <w:b/>
          <w:bCs/>
          <w:color w:val="auto"/>
          <w:sz w:val="20"/>
          <w:szCs w:val="20"/>
        </w:rPr>
        <w:lastRenderedPageBreak/>
        <w:t>RULES FOR THE COMPUTATION OF THE PROFITS AND GAINS OF A BANKING COMPANY AND TAX PAYABLE THEREON</w:t>
      </w:r>
    </w:p>
    <w:p w:rsidR="00AA4BF8" w:rsidRPr="00620281" w:rsidRDefault="00AA4BF8" w:rsidP="00AA4BF8">
      <w:pPr>
        <w:pStyle w:val="1"/>
        <w:jc w:val="center"/>
        <w:rPr>
          <w:rFonts w:ascii="Arial" w:hAnsi="Arial" w:cs="Arial"/>
          <w:color w:val="auto"/>
          <w:sz w:val="14"/>
          <w:szCs w:val="14"/>
        </w:rPr>
      </w:pPr>
    </w:p>
    <w:p w:rsidR="00AA4BF8" w:rsidRPr="00620281" w:rsidRDefault="00AA4BF8" w:rsidP="00AA4BF8">
      <w:pPr>
        <w:pStyle w:val="1"/>
        <w:rPr>
          <w:rFonts w:ascii="Arial" w:hAnsi="Arial" w:cs="Arial"/>
          <w:color w:val="auto"/>
          <w:sz w:val="20"/>
          <w:szCs w:val="20"/>
        </w:rPr>
      </w:pPr>
      <w:r w:rsidRPr="00620281">
        <w:rPr>
          <w:rFonts w:ascii="Arial" w:hAnsi="Arial" w:cs="Arial"/>
          <w:color w:val="auto"/>
          <w:sz w:val="20"/>
          <w:szCs w:val="20"/>
        </w:rPr>
        <w:tab/>
        <w:t>1.</w:t>
      </w:r>
      <w:r w:rsidRPr="00620281">
        <w:rPr>
          <w:rFonts w:ascii="Arial" w:hAnsi="Arial" w:cs="Arial"/>
          <w:color w:val="auto"/>
          <w:sz w:val="20"/>
          <w:szCs w:val="20"/>
        </w:rPr>
        <w:tab/>
        <w:t xml:space="preserve">Income, profits and gains of a banking company shall be taken to be the balance of the income, from all sources before tax, disclosed in the annual accounts required to be furnished to the State Bank of Pakistan subject to the following provisions, namely:— </w:t>
      </w:r>
    </w:p>
    <w:p w:rsidR="00AA4BF8" w:rsidRPr="00620281" w:rsidRDefault="00AA4BF8" w:rsidP="00AA4BF8">
      <w:pPr>
        <w:pStyle w:val="1"/>
        <w:tabs>
          <w:tab w:val="clear" w:pos="720"/>
          <w:tab w:val="clear" w:pos="1200"/>
        </w:tabs>
        <w:rPr>
          <w:rFonts w:ascii="Arial" w:hAnsi="Arial" w:cs="Arial"/>
          <w:color w:val="auto"/>
          <w:sz w:val="20"/>
          <w:szCs w:val="20"/>
        </w:rPr>
      </w:pPr>
    </w:p>
    <w:tbl>
      <w:tblPr>
        <w:tblW w:w="6840" w:type="dxa"/>
        <w:tblInd w:w="2" w:type="dxa"/>
        <w:tblLook w:val="00A0"/>
      </w:tblPr>
      <w:tblGrid>
        <w:gridCol w:w="794"/>
        <w:gridCol w:w="6046"/>
      </w:tblGrid>
      <w:tr w:rsidR="00AA4BF8" w:rsidRPr="00620281" w:rsidTr="00A752DD">
        <w:tc>
          <w:tcPr>
            <w:tcW w:w="720" w:type="dxa"/>
          </w:tcPr>
          <w:p w:rsidR="00AA4BF8" w:rsidRPr="00620281" w:rsidRDefault="00AA4BF8" w:rsidP="00A752DD">
            <w:pPr>
              <w:pStyle w:val="1"/>
              <w:tabs>
                <w:tab w:val="clear" w:pos="720"/>
                <w:tab w:val="clear" w:pos="1200"/>
              </w:tabs>
              <w:spacing w:line="272" w:lineRule="atLeast"/>
              <w:rPr>
                <w:rFonts w:ascii="Arial" w:hAnsi="Arial" w:cs="Arial"/>
                <w:color w:val="auto"/>
                <w:sz w:val="20"/>
                <w:szCs w:val="20"/>
              </w:rPr>
            </w:pPr>
            <w:r w:rsidRPr="00620281">
              <w:rPr>
                <w:rFonts w:ascii="Arial" w:hAnsi="Arial" w:cs="Arial"/>
                <w:color w:val="auto"/>
                <w:sz w:val="20"/>
                <w:szCs w:val="20"/>
              </w:rPr>
              <w:t>(a)</w:t>
            </w:r>
          </w:p>
        </w:tc>
        <w:tc>
          <w:tcPr>
            <w:tcW w:w="6120" w:type="dxa"/>
          </w:tcPr>
          <w:p w:rsidR="00AA4BF8" w:rsidRPr="00620281" w:rsidRDefault="00AA4BF8" w:rsidP="00A752DD">
            <w:pPr>
              <w:pStyle w:val="2"/>
              <w:tabs>
                <w:tab w:val="clear" w:pos="960"/>
                <w:tab w:val="clear" w:pos="1200"/>
              </w:tabs>
              <w:ind w:left="0" w:firstLine="0"/>
              <w:rPr>
                <w:rFonts w:ascii="Arial" w:hAnsi="Arial" w:cs="Arial"/>
                <w:color w:val="auto"/>
                <w:sz w:val="20"/>
                <w:szCs w:val="20"/>
              </w:rPr>
            </w:pPr>
            <w:r w:rsidRPr="00620281">
              <w:rPr>
                <w:rFonts w:ascii="Arial" w:hAnsi="Arial" w:cs="Arial"/>
                <w:color w:val="auto"/>
                <w:sz w:val="20"/>
                <w:szCs w:val="20"/>
              </w:rPr>
              <w:t>Deduction shall be allowed in respect of depreciation, initial allowance and amortization under sections 22, 23 and 24 provided that accounting depreciation, initial allowance or amortization deduction shall be added to the income. No allowance or deduction under this rule shall be admissible on assets given on finance lease.</w:t>
            </w:r>
          </w:p>
          <w:p w:rsidR="00AA4BF8" w:rsidRPr="00620281" w:rsidRDefault="00AA4BF8" w:rsidP="00A752DD">
            <w:pPr>
              <w:pStyle w:val="1"/>
              <w:spacing w:line="272" w:lineRule="atLeast"/>
              <w:rPr>
                <w:rFonts w:ascii="Arial" w:hAnsi="Arial" w:cs="Arial"/>
                <w:color w:val="auto"/>
                <w:sz w:val="16"/>
                <w:szCs w:val="16"/>
              </w:rPr>
            </w:pPr>
          </w:p>
        </w:tc>
      </w:tr>
      <w:tr w:rsidR="00AA4BF8" w:rsidRPr="00620281" w:rsidTr="00A752DD">
        <w:tc>
          <w:tcPr>
            <w:tcW w:w="720" w:type="dxa"/>
          </w:tcPr>
          <w:p w:rsidR="00AA4BF8" w:rsidRPr="00620281" w:rsidRDefault="00AA4BF8" w:rsidP="00A752DD">
            <w:pPr>
              <w:pStyle w:val="1"/>
              <w:spacing w:line="272" w:lineRule="atLeast"/>
              <w:rPr>
                <w:rFonts w:ascii="Arial" w:hAnsi="Arial" w:cs="Arial"/>
                <w:color w:val="auto"/>
                <w:sz w:val="20"/>
                <w:szCs w:val="20"/>
              </w:rPr>
            </w:pPr>
            <w:r w:rsidRPr="00620281">
              <w:rPr>
                <w:rFonts w:ascii="Arial" w:hAnsi="Arial" w:cs="Arial"/>
                <w:color w:val="auto"/>
                <w:sz w:val="20"/>
                <w:szCs w:val="20"/>
              </w:rPr>
              <w:t>(b)</w:t>
            </w:r>
          </w:p>
        </w:tc>
        <w:tc>
          <w:tcPr>
            <w:tcW w:w="6120" w:type="dxa"/>
          </w:tcPr>
          <w:p w:rsidR="00AA4BF8" w:rsidRPr="00620281" w:rsidRDefault="00AA4BF8" w:rsidP="00A752DD">
            <w:pPr>
              <w:pStyle w:val="1"/>
              <w:tabs>
                <w:tab w:val="clear" w:pos="720"/>
                <w:tab w:val="clear" w:pos="1200"/>
              </w:tabs>
              <w:spacing w:line="272" w:lineRule="atLeast"/>
              <w:rPr>
                <w:rFonts w:ascii="Arial" w:hAnsi="Arial" w:cs="Arial"/>
                <w:color w:val="auto"/>
                <w:sz w:val="20"/>
                <w:szCs w:val="20"/>
                <w:lang w:val="en-AU"/>
              </w:rPr>
            </w:pPr>
            <w:r w:rsidRPr="00620281">
              <w:rPr>
                <w:rFonts w:ascii="Arial" w:hAnsi="Arial" w:cs="Arial"/>
                <w:color w:val="auto"/>
                <w:sz w:val="20"/>
                <w:szCs w:val="20"/>
                <w:lang w:val="en-AU"/>
              </w:rPr>
              <w:t>Section 21, sub-section (8) of section 22 and Part III of Chapter IV shall, mutatis mutandis, for computation of a banking company apply.</w:t>
            </w:r>
          </w:p>
          <w:p w:rsidR="00AA4BF8" w:rsidRPr="00620281" w:rsidRDefault="00AA4BF8" w:rsidP="00A752DD">
            <w:pPr>
              <w:pStyle w:val="1"/>
              <w:tabs>
                <w:tab w:val="clear" w:pos="720"/>
                <w:tab w:val="clear" w:pos="1200"/>
              </w:tabs>
              <w:spacing w:line="272" w:lineRule="atLeast"/>
              <w:rPr>
                <w:rFonts w:ascii="Arial" w:hAnsi="Arial" w:cs="Arial"/>
                <w:color w:val="auto"/>
                <w:sz w:val="16"/>
                <w:szCs w:val="16"/>
              </w:rPr>
            </w:pPr>
          </w:p>
        </w:tc>
      </w:tr>
      <w:tr w:rsidR="00AA4BF8" w:rsidRPr="00620281" w:rsidTr="00A752DD">
        <w:tc>
          <w:tcPr>
            <w:tcW w:w="720" w:type="dxa"/>
          </w:tcPr>
          <w:p w:rsidR="00AA4BF8" w:rsidRPr="00620281" w:rsidRDefault="00AA4BF8" w:rsidP="00A752DD">
            <w:pPr>
              <w:pStyle w:val="1"/>
              <w:spacing w:line="272" w:lineRule="atLeast"/>
              <w:rPr>
                <w:rFonts w:ascii="Arial" w:hAnsi="Arial" w:cs="Arial"/>
                <w:color w:val="auto"/>
                <w:sz w:val="16"/>
                <w:szCs w:val="16"/>
              </w:rPr>
            </w:pPr>
            <w:r w:rsidRPr="00620281">
              <w:rPr>
                <w:rFonts w:ascii="Arial" w:hAnsi="Arial" w:cs="Arial"/>
                <w:color w:val="auto"/>
                <w:sz w:val="20"/>
                <w:szCs w:val="20"/>
                <w:vertAlign w:val="superscript"/>
                <w:lang w:val="en-AU"/>
              </w:rPr>
              <w:footnoteReference w:id="2445"/>
            </w:r>
            <w:r w:rsidRPr="00620281">
              <w:rPr>
                <w:rFonts w:ascii="Arial" w:hAnsi="Arial" w:cs="Arial"/>
                <w:color w:val="auto"/>
                <w:sz w:val="20"/>
                <w:szCs w:val="20"/>
                <w:lang w:val="en-AU"/>
              </w:rPr>
              <w:t>[(c)</w:t>
            </w:r>
            <w:r w:rsidRPr="00620281">
              <w:rPr>
                <w:rFonts w:ascii="Arial" w:hAnsi="Arial" w:cs="Arial"/>
                <w:color w:val="auto"/>
                <w:sz w:val="20"/>
                <w:szCs w:val="20"/>
                <w:lang w:val="en-AU"/>
              </w:rPr>
              <w:tab/>
            </w:r>
          </w:p>
        </w:tc>
        <w:tc>
          <w:tcPr>
            <w:tcW w:w="6120" w:type="dxa"/>
          </w:tcPr>
          <w:p w:rsidR="00AA4BF8" w:rsidRPr="00620281" w:rsidRDefault="00AA4BF8" w:rsidP="00A752DD">
            <w:pPr>
              <w:pStyle w:val="1"/>
              <w:tabs>
                <w:tab w:val="clear" w:pos="720"/>
                <w:tab w:val="clear" w:pos="1200"/>
              </w:tabs>
              <w:spacing w:line="272" w:lineRule="atLeast"/>
              <w:rPr>
                <w:rFonts w:ascii="Arial" w:hAnsi="Arial" w:cs="Arial"/>
                <w:color w:val="auto"/>
                <w:sz w:val="16"/>
                <w:szCs w:val="16"/>
              </w:rPr>
            </w:pPr>
            <w:r w:rsidRPr="00620281">
              <w:rPr>
                <w:rFonts w:ascii="Arial" w:hAnsi="Arial" w:cs="Arial"/>
                <w:color w:val="auto"/>
                <w:sz w:val="20"/>
                <w:szCs w:val="20"/>
                <w:lang w:val="en-AU"/>
              </w:rPr>
              <w:t xml:space="preserve">Provisions for advances and off balance sheet items shall be allowed upto a maximum of 1% of total advances; </w:t>
            </w:r>
            <w:r w:rsidRPr="00620281">
              <w:rPr>
                <w:rStyle w:val="FootnoteReference"/>
                <w:rFonts w:ascii="Arial" w:hAnsi="Arial" w:cs="Arial"/>
                <w:color w:val="auto"/>
                <w:sz w:val="20"/>
                <w:szCs w:val="20"/>
                <w:lang w:val="en-AU"/>
              </w:rPr>
              <w:footnoteReference w:id="2446"/>
            </w:r>
            <w:r w:rsidRPr="00620281">
              <w:rPr>
                <w:rFonts w:ascii="Arial" w:hAnsi="Arial" w:cs="Arial"/>
                <w:color w:val="auto"/>
                <w:sz w:val="20"/>
                <w:szCs w:val="20"/>
                <w:lang w:val="en-AU"/>
              </w:rPr>
              <w:t xml:space="preserve">[and provisions for advances and off-balance sheet items shall be allowed at 5% of total advances for consumers and small and medium enterprises (SMEs) (as defined under the State Bank Prudential Regulations)] provided a certificate from the external auditor is furnished by the banking company to the effect that such provisions are based upon and are in line with the Prudential Regulations. Provisioning in excess of 1% </w:t>
            </w:r>
            <w:r w:rsidRPr="00620281">
              <w:rPr>
                <w:rStyle w:val="FootnoteReference"/>
                <w:rFonts w:ascii="Arial" w:hAnsi="Arial" w:cs="Arial"/>
                <w:color w:val="auto"/>
                <w:sz w:val="20"/>
                <w:szCs w:val="20"/>
                <w:lang w:val="en-AU"/>
              </w:rPr>
              <w:footnoteReference w:id="2447"/>
            </w:r>
            <w:r w:rsidRPr="00620281">
              <w:rPr>
                <w:rFonts w:ascii="Arial" w:hAnsi="Arial" w:cs="Arial"/>
                <w:color w:val="auto"/>
                <w:sz w:val="20"/>
                <w:szCs w:val="20"/>
                <w:lang w:val="en-AU"/>
              </w:rPr>
              <w:t xml:space="preserve">[of total advances for a banking company and 5% of total advances for consumers and small and medium enterprises (SMEs)] would be </w:t>
            </w:r>
            <w:r w:rsidRPr="00620281">
              <w:rPr>
                <w:rFonts w:ascii="Arial" w:hAnsi="Arial" w:cs="Arial"/>
                <w:color w:val="auto"/>
                <w:sz w:val="20"/>
                <w:szCs w:val="20"/>
                <w:lang w:val="en-AU"/>
              </w:rPr>
              <w:lastRenderedPageBreak/>
              <w:t>allowed to be carried over to succeeding years:</w:t>
            </w:r>
          </w:p>
        </w:tc>
      </w:tr>
    </w:tbl>
    <w:p w:rsidR="00AA4BF8" w:rsidRPr="00620281" w:rsidRDefault="00AA4BF8" w:rsidP="00AA4BF8">
      <w:pPr>
        <w:pStyle w:val="2"/>
        <w:tabs>
          <w:tab w:val="clear" w:pos="960"/>
          <w:tab w:val="clear" w:pos="1200"/>
        </w:tabs>
        <w:ind w:left="1080" w:hanging="1080"/>
        <w:rPr>
          <w:rFonts w:ascii="Arial" w:hAnsi="Arial" w:cs="Arial"/>
          <w:color w:val="auto"/>
          <w:sz w:val="20"/>
          <w:szCs w:val="20"/>
          <w:lang w:val="en-AU"/>
        </w:rPr>
      </w:pPr>
      <w:r w:rsidRPr="00620281">
        <w:rPr>
          <w:rFonts w:ascii="Arial" w:hAnsi="Arial" w:cs="Arial"/>
          <w:color w:val="auto"/>
          <w:sz w:val="20"/>
          <w:szCs w:val="20"/>
          <w:lang w:val="en-AU"/>
        </w:rPr>
        <w:lastRenderedPageBreak/>
        <w:tab/>
      </w:r>
    </w:p>
    <w:p w:rsidR="00AA4BF8" w:rsidRPr="00620281" w:rsidRDefault="00AA4BF8" w:rsidP="00AA4BF8">
      <w:pPr>
        <w:pStyle w:val="2"/>
        <w:tabs>
          <w:tab w:val="clear" w:pos="960"/>
          <w:tab w:val="clear" w:pos="1200"/>
        </w:tabs>
        <w:ind w:left="1080" w:hanging="1080"/>
        <w:rPr>
          <w:rFonts w:ascii="Arial" w:hAnsi="Arial" w:cs="Arial"/>
          <w:color w:val="auto"/>
          <w:sz w:val="20"/>
          <w:szCs w:val="20"/>
          <w:lang w:val="en-AU"/>
        </w:rPr>
      </w:pPr>
      <w:r w:rsidRPr="00620281">
        <w:rPr>
          <w:rFonts w:ascii="Arial" w:hAnsi="Arial" w:cs="Arial"/>
          <w:color w:val="auto"/>
          <w:sz w:val="20"/>
          <w:szCs w:val="20"/>
          <w:lang w:val="en-AU"/>
        </w:rPr>
        <w:tab/>
      </w:r>
      <w:r w:rsidRPr="00620281">
        <w:rPr>
          <w:rFonts w:ascii="Arial" w:hAnsi="Arial" w:cs="Arial"/>
          <w:color w:val="auto"/>
          <w:sz w:val="20"/>
          <w:szCs w:val="20"/>
          <w:lang w:val="en-AU"/>
        </w:rPr>
        <w:tab/>
      </w:r>
      <w:r w:rsidRPr="00620281">
        <w:rPr>
          <w:rFonts w:ascii="Arial" w:hAnsi="Arial" w:cs="Arial"/>
          <w:color w:val="auto"/>
          <w:sz w:val="20"/>
          <w:szCs w:val="20"/>
          <w:lang w:val="en-AU"/>
        </w:rPr>
        <w:tab/>
      </w:r>
      <w:r w:rsidRPr="00620281">
        <w:rPr>
          <w:rStyle w:val="FootnoteReference"/>
          <w:rFonts w:ascii="Arial" w:hAnsi="Arial" w:cs="Arial"/>
          <w:color w:val="auto"/>
          <w:sz w:val="20"/>
          <w:szCs w:val="20"/>
          <w:lang w:val="en-AU"/>
        </w:rPr>
        <w:footnoteReference w:id="2448"/>
      </w:r>
      <w:r w:rsidRPr="00620281">
        <w:rPr>
          <w:rFonts w:ascii="Arial" w:hAnsi="Arial" w:cs="Arial"/>
          <w:color w:val="auto"/>
          <w:sz w:val="20"/>
          <w:szCs w:val="20"/>
          <w:lang w:val="en-AU"/>
        </w:rPr>
        <w:t>[Provided that if provisioning is less than 1% of advances, for a banking company then actual provisioning for the year shall be allowed:]</w:t>
      </w:r>
    </w:p>
    <w:p w:rsidR="00AA4BF8" w:rsidRPr="00620281" w:rsidRDefault="00AA4BF8" w:rsidP="00AA4BF8">
      <w:pPr>
        <w:pStyle w:val="2"/>
        <w:tabs>
          <w:tab w:val="clear" w:pos="960"/>
          <w:tab w:val="clear" w:pos="1200"/>
        </w:tabs>
        <w:ind w:left="1080" w:hanging="1080"/>
        <w:rPr>
          <w:rFonts w:ascii="Arial" w:hAnsi="Arial" w:cs="Arial"/>
          <w:color w:val="auto"/>
          <w:sz w:val="20"/>
          <w:szCs w:val="20"/>
          <w:lang w:val="en-AU"/>
        </w:rPr>
      </w:pPr>
    </w:p>
    <w:p w:rsidR="00AA4BF8" w:rsidRPr="00620281" w:rsidRDefault="00AA4BF8" w:rsidP="00AA4BF8">
      <w:pPr>
        <w:pStyle w:val="2"/>
        <w:tabs>
          <w:tab w:val="clear" w:pos="960"/>
          <w:tab w:val="clear" w:pos="1200"/>
        </w:tabs>
        <w:ind w:left="1080" w:hanging="1080"/>
        <w:rPr>
          <w:rFonts w:ascii="Arial" w:hAnsi="Arial" w:cs="Arial"/>
          <w:color w:val="auto"/>
          <w:sz w:val="20"/>
          <w:szCs w:val="20"/>
          <w:lang w:val="en-AU"/>
        </w:rPr>
      </w:pPr>
      <w:r w:rsidRPr="00620281">
        <w:rPr>
          <w:rFonts w:ascii="Arial" w:hAnsi="Arial" w:cs="Arial"/>
          <w:color w:val="auto"/>
          <w:sz w:val="20"/>
          <w:szCs w:val="20"/>
          <w:lang w:val="en-AU"/>
        </w:rPr>
        <w:tab/>
      </w:r>
      <w:r w:rsidRPr="00620281">
        <w:rPr>
          <w:rFonts w:ascii="Arial" w:hAnsi="Arial" w:cs="Arial"/>
          <w:color w:val="auto"/>
          <w:sz w:val="20"/>
          <w:szCs w:val="20"/>
          <w:lang w:val="en-AU"/>
        </w:rPr>
        <w:tab/>
      </w:r>
      <w:r w:rsidRPr="00620281">
        <w:rPr>
          <w:rFonts w:ascii="Arial" w:hAnsi="Arial" w:cs="Arial"/>
          <w:color w:val="auto"/>
          <w:sz w:val="20"/>
          <w:szCs w:val="20"/>
          <w:lang w:val="en-AU"/>
        </w:rPr>
        <w:tab/>
      </w:r>
      <w:r w:rsidRPr="00620281">
        <w:rPr>
          <w:rStyle w:val="FootnoteReference"/>
          <w:rFonts w:ascii="Arial" w:hAnsi="Arial" w:cs="Arial"/>
          <w:color w:val="auto"/>
          <w:sz w:val="20"/>
          <w:szCs w:val="20"/>
          <w:lang w:val="en-AU"/>
        </w:rPr>
        <w:footnoteReference w:id="2449"/>
      </w:r>
      <w:r w:rsidRPr="00620281">
        <w:rPr>
          <w:rFonts w:ascii="Arial" w:hAnsi="Arial" w:cs="Arial"/>
          <w:color w:val="auto"/>
          <w:sz w:val="20"/>
          <w:szCs w:val="20"/>
          <w:lang w:val="en-AU"/>
        </w:rPr>
        <w:t>[Provided further that if provisioning is less than 5% of advances for consumers and small and medium enterprises (SMEs) then actual provisioning for the year shall be allowed and this provisioning shall be allowable from the first day of July, 2010.]</w:t>
      </w:r>
    </w:p>
    <w:p w:rsidR="00AA4BF8" w:rsidRPr="00620281" w:rsidRDefault="00AA4BF8" w:rsidP="00AA4BF8">
      <w:pPr>
        <w:pStyle w:val="2"/>
        <w:tabs>
          <w:tab w:val="clear" w:pos="960"/>
          <w:tab w:val="clear" w:pos="1200"/>
        </w:tabs>
        <w:ind w:left="1080" w:hanging="1080"/>
        <w:rPr>
          <w:rFonts w:ascii="Arial" w:hAnsi="Arial" w:cs="Arial"/>
          <w:color w:val="auto"/>
          <w:sz w:val="20"/>
          <w:szCs w:val="20"/>
          <w:lang w:val="en-AU"/>
        </w:rPr>
      </w:pPr>
      <w:r w:rsidRPr="00620281">
        <w:rPr>
          <w:rFonts w:ascii="Arial" w:hAnsi="Arial" w:cs="Arial"/>
          <w:color w:val="auto"/>
          <w:sz w:val="20"/>
          <w:szCs w:val="20"/>
          <w:lang w:val="en-AU"/>
        </w:rPr>
        <w:tab/>
      </w:r>
      <w:r w:rsidRPr="00620281">
        <w:rPr>
          <w:rFonts w:ascii="Arial" w:hAnsi="Arial" w:cs="Arial"/>
          <w:color w:val="auto"/>
          <w:sz w:val="20"/>
          <w:szCs w:val="20"/>
          <w:lang w:val="en-AU"/>
        </w:rPr>
        <w:tab/>
      </w:r>
      <w:r w:rsidRPr="00620281">
        <w:rPr>
          <w:rFonts w:ascii="Arial" w:hAnsi="Arial" w:cs="Arial"/>
          <w:color w:val="auto"/>
          <w:sz w:val="20"/>
          <w:szCs w:val="20"/>
          <w:lang w:val="en-AU"/>
        </w:rPr>
        <w:tab/>
      </w:r>
    </w:p>
    <w:p w:rsidR="00AA4BF8" w:rsidRPr="00620281" w:rsidRDefault="00AA4BF8" w:rsidP="00AA4BF8">
      <w:pPr>
        <w:pStyle w:val="2"/>
        <w:tabs>
          <w:tab w:val="clear" w:pos="960"/>
          <w:tab w:val="clear" w:pos="1200"/>
        </w:tabs>
        <w:ind w:left="1080" w:hanging="540"/>
        <w:rPr>
          <w:rFonts w:ascii="Arial" w:hAnsi="Arial" w:cs="Arial"/>
          <w:color w:val="auto"/>
          <w:sz w:val="20"/>
          <w:szCs w:val="20"/>
          <w:lang w:val="en-AU"/>
        </w:rPr>
      </w:pPr>
      <w:r w:rsidRPr="00620281">
        <w:rPr>
          <w:rStyle w:val="FootnoteReference"/>
          <w:rFonts w:ascii="Arial" w:hAnsi="Arial" w:cs="Arial"/>
          <w:color w:val="auto"/>
          <w:sz w:val="20"/>
          <w:szCs w:val="20"/>
          <w:lang w:val="en-AU"/>
        </w:rPr>
        <w:footnoteReference w:id="2450"/>
      </w:r>
      <w:r w:rsidRPr="00620281">
        <w:rPr>
          <w:rFonts w:ascii="Arial" w:hAnsi="Arial" w:cs="Arial"/>
          <w:color w:val="auto"/>
          <w:sz w:val="20"/>
          <w:szCs w:val="20"/>
          <w:lang w:val="en-AU"/>
        </w:rPr>
        <w:t>[(d)</w:t>
      </w:r>
      <w:r w:rsidRPr="00620281">
        <w:rPr>
          <w:rFonts w:ascii="Arial" w:hAnsi="Arial" w:cs="Arial"/>
          <w:color w:val="auto"/>
          <w:sz w:val="20"/>
          <w:szCs w:val="20"/>
          <w:lang w:val="en-AU"/>
        </w:rPr>
        <w:tab/>
        <w:t>The amount of “bad debts” classified as “sub-standard” under the Prudential Regulations issued by the State Bank of Pakistan shall not be allowed as expense.]</w:t>
      </w:r>
    </w:p>
    <w:p w:rsidR="00AA4BF8" w:rsidRPr="00620281" w:rsidRDefault="00AA4BF8" w:rsidP="00AA4BF8">
      <w:pPr>
        <w:pStyle w:val="2"/>
        <w:tabs>
          <w:tab w:val="clear" w:pos="960"/>
          <w:tab w:val="clear" w:pos="1200"/>
        </w:tabs>
        <w:ind w:left="0" w:firstLine="0"/>
        <w:rPr>
          <w:rFonts w:ascii="Arial" w:hAnsi="Arial" w:cs="Arial"/>
          <w:color w:val="auto"/>
          <w:sz w:val="20"/>
          <w:szCs w:val="20"/>
          <w:lang w:val="en-AU"/>
        </w:rPr>
      </w:pPr>
    </w:p>
    <w:p w:rsidR="00AA4BF8" w:rsidRPr="00620281" w:rsidRDefault="00AA4BF8" w:rsidP="00AA4BF8">
      <w:pPr>
        <w:pStyle w:val="2"/>
        <w:tabs>
          <w:tab w:val="clear" w:pos="960"/>
          <w:tab w:val="clear" w:pos="1200"/>
        </w:tabs>
        <w:ind w:left="1080" w:hanging="540"/>
        <w:rPr>
          <w:rFonts w:ascii="Arial" w:hAnsi="Arial" w:cs="Arial"/>
          <w:color w:val="auto"/>
          <w:sz w:val="20"/>
          <w:szCs w:val="20"/>
          <w:lang w:val="en-AU"/>
        </w:rPr>
      </w:pPr>
      <w:r w:rsidRPr="00620281">
        <w:rPr>
          <w:rStyle w:val="FootnoteReference"/>
          <w:rFonts w:ascii="Arial" w:hAnsi="Arial" w:cs="Arial"/>
          <w:color w:val="auto"/>
          <w:sz w:val="20"/>
          <w:szCs w:val="20"/>
          <w:lang w:val="en-AU"/>
        </w:rPr>
        <w:footnoteReference w:id="2451"/>
      </w:r>
      <w:r w:rsidRPr="00620281">
        <w:rPr>
          <w:rFonts w:ascii="Arial" w:hAnsi="Arial" w:cs="Arial"/>
          <w:color w:val="auto"/>
          <w:sz w:val="20"/>
          <w:szCs w:val="20"/>
          <w:lang w:val="en-AU"/>
        </w:rPr>
        <w:t xml:space="preserve">[(e) </w:t>
      </w:r>
      <w:r w:rsidRPr="00620281">
        <w:rPr>
          <w:rFonts w:ascii="Arial" w:hAnsi="Arial" w:cs="Arial"/>
          <w:color w:val="auto"/>
          <w:sz w:val="20"/>
          <w:szCs w:val="20"/>
          <w:lang w:val="en-AU"/>
        </w:rPr>
        <w:tab/>
        <w:t xml:space="preserve">Where any addition made under sub-rule (d) is reclassified by the taxpayer under the Prudential Regulations issued by the SBP, as ‘doubtful’ or ‘loss’, provision of sub-rule (c) shall </w:t>
      </w:r>
      <w:r w:rsidRPr="00620281">
        <w:rPr>
          <w:rFonts w:ascii="Arial" w:hAnsi="Arial" w:cs="Arial"/>
          <w:i/>
          <w:iCs/>
          <w:color w:val="auto"/>
          <w:sz w:val="20"/>
          <w:szCs w:val="20"/>
          <w:lang w:val="en-AU"/>
        </w:rPr>
        <w:t>mutatis mutandis</w:t>
      </w:r>
      <w:r w:rsidRPr="00620281">
        <w:rPr>
          <w:rFonts w:ascii="Arial" w:hAnsi="Arial" w:cs="Arial"/>
          <w:color w:val="auto"/>
          <w:sz w:val="20"/>
          <w:szCs w:val="20"/>
          <w:lang w:val="en-AU"/>
        </w:rPr>
        <w:t xml:space="preserve"> apply in computing the provision for that tax year.]</w:t>
      </w:r>
    </w:p>
    <w:p w:rsidR="00AA4BF8" w:rsidRPr="00620281" w:rsidRDefault="00AA4BF8" w:rsidP="00AA4BF8">
      <w:pPr>
        <w:pStyle w:val="2"/>
        <w:tabs>
          <w:tab w:val="clear" w:pos="960"/>
          <w:tab w:val="clear" w:pos="1200"/>
        </w:tabs>
        <w:ind w:left="0" w:firstLine="0"/>
        <w:rPr>
          <w:rFonts w:ascii="Arial" w:hAnsi="Arial" w:cs="Arial"/>
          <w:color w:val="auto"/>
          <w:sz w:val="20"/>
          <w:szCs w:val="20"/>
          <w:lang w:val="en-AU"/>
        </w:rPr>
      </w:pPr>
    </w:p>
    <w:p w:rsidR="00AA4BF8" w:rsidRPr="00620281" w:rsidRDefault="00AA4BF8" w:rsidP="00AA4BF8">
      <w:pPr>
        <w:pStyle w:val="2"/>
        <w:tabs>
          <w:tab w:val="clear" w:pos="960"/>
          <w:tab w:val="clear" w:pos="1200"/>
        </w:tabs>
        <w:ind w:left="1080" w:hanging="540"/>
        <w:rPr>
          <w:rFonts w:ascii="Arial" w:hAnsi="Arial" w:cs="Arial"/>
          <w:color w:val="auto"/>
          <w:sz w:val="20"/>
          <w:szCs w:val="20"/>
          <w:lang w:val="en-AU"/>
        </w:rPr>
      </w:pPr>
      <w:r w:rsidRPr="00620281">
        <w:rPr>
          <w:rStyle w:val="FootnoteReference"/>
          <w:rFonts w:ascii="Arial" w:hAnsi="Arial" w:cs="Arial"/>
          <w:color w:val="auto"/>
          <w:sz w:val="20"/>
          <w:szCs w:val="20"/>
          <w:lang w:val="en-AU"/>
        </w:rPr>
        <w:footnoteReference w:id="2452"/>
      </w:r>
      <w:r w:rsidRPr="00620281">
        <w:rPr>
          <w:rFonts w:ascii="Arial" w:hAnsi="Arial" w:cs="Arial"/>
          <w:color w:val="auto"/>
          <w:sz w:val="20"/>
          <w:szCs w:val="20"/>
          <w:lang w:val="en-AU"/>
        </w:rPr>
        <w:t xml:space="preserve">[(f) </w:t>
      </w:r>
      <w:r w:rsidRPr="00620281">
        <w:rPr>
          <w:rFonts w:ascii="Arial" w:hAnsi="Arial" w:cs="Arial"/>
          <w:color w:val="auto"/>
          <w:sz w:val="20"/>
          <w:szCs w:val="20"/>
          <w:lang w:val="en-AU"/>
        </w:rPr>
        <w:tab/>
        <w:t>Where any addition made under sub-rule (d) is reclassified by the taxpayer in a subsequent year as ‘recoverable’, a deduction shall be allowed in computing the income for that tax year.]</w:t>
      </w:r>
    </w:p>
    <w:p w:rsidR="00AA4BF8" w:rsidRPr="00620281" w:rsidRDefault="00AA4BF8" w:rsidP="00AA4BF8">
      <w:pPr>
        <w:pStyle w:val="2"/>
        <w:tabs>
          <w:tab w:val="clear" w:pos="960"/>
          <w:tab w:val="clear" w:pos="1200"/>
        </w:tabs>
        <w:spacing w:line="272" w:lineRule="atLeast"/>
        <w:ind w:left="0" w:firstLine="0"/>
        <w:rPr>
          <w:rFonts w:ascii="Arial" w:hAnsi="Arial" w:cs="Arial"/>
          <w:color w:val="auto"/>
          <w:sz w:val="14"/>
          <w:szCs w:val="14"/>
        </w:rPr>
      </w:pPr>
    </w:p>
    <w:p w:rsidR="00AA4BF8" w:rsidRPr="00412620" w:rsidRDefault="00AA4BF8" w:rsidP="00AA4BF8">
      <w:pPr>
        <w:keepNext/>
        <w:ind w:left="1094" w:hanging="554"/>
        <w:jc w:val="both"/>
        <w:rPr>
          <w:sz w:val="20"/>
        </w:rPr>
      </w:pPr>
      <w:r w:rsidRPr="00412620">
        <w:rPr>
          <w:sz w:val="20"/>
        </w:rPr>
        <w:t>(g)</w:t>
      </w:r>
      <w:r w:rsidRPr="00412620">
        <w:rPr>
          <w:sz w:val="20"/>
        </w:rPr>
        <w:tab/>
        <w:t xml:space="preserve"> Adjustment made in the annual accounts, on account of application of international accounting standards 39 and 40 shall be excluded in arriving at taxable income.</w:t>
      </w:r>
    </w:p>
    <w:p w:rsidR="00AA4BF8" w:rsidRPr="00412620" w:rsidRDefault="00AA4BF8" w:rsidP="00AA4BF8">
      <w:pPr>
        <w:pStyle w:val="2"/>
        <w:spacing w:line="272" w:lineRule="atLeast"/>
        <w:rPr>
          <w:color w:val="auto"/>
          <w:sz w:val="14"/>
          <w:szCs w:val="14"/>
        </w:rPr>
      </w:pPr>
    </w:p>
    <w:p w:rsidR="00AA4BF8" w:rsidRPr="00412620" w:rsidRDefault="00AA4BF8" w:rsidP="00AA4BF8">
      <w:pPr>
        <w:keepNext/>
        <w:ind w:left="1094" w:hanging="554"/>
        <w:jc w:val="both"/>
        <w:rPr>
          <w:sz w:val="20"/>
        </w:rPr>
      </w:pPr>
      <w:r w:rsidRPr="00412620">
        <w:rPr>
          <w:sz w:val="20"/>
        </w:rPr>
        <w:t>(h)</w:t>
      </w:r>
      <w:r w:rsidRPr="00412620">
        <w:rPr>
          <w:sz w:val="20"/>
        </w:rPr>
        <w:tab/>
        <w:t xml:space="preserve">An adjustment shall be made for exclusions from income on account of paragraph (g) for determining the cost of related item in the </w:t>
      </w:r>
      <w:r w:rsidRPr="00412620">
        <w:rPr>
          <w:sz w:val="20"/>
        </w:rPr>
        <w:lastRenderedPageBreak/>
        <w:t>financial statement in the year of disposal of such item or asset or the discharge of the liability, as the case may be.</w:t>
      </w:r>
    </w:p>
    <w:p w:rsidR="00AA4BF8" w:rsidRPr="00412620" w:rsidRDefault="00AA4BF8" w:rsidP="00AA4BF8">
      <w:pPr>
        <w:pStyle w:val="2"/>
        <w:spacing w:line="272" w:lineRule="atLeast"/>
        <w:rPr>
          <w:color w:val="auto"/>
          <w:sz w:val="20"/>
          <w:szCs w:val="20"/>
        </w:rPr>
      </w:pPr>
    </w:p>
    <w:tbl>
      <w:tblPr>
        <w:tblW w:w="0" w:type="auto"/>
        <w:tblInd w:w="2" w:type="dxa"/>
        <w:tblLook w:val="00A0"/>
      </w:tblPr>
      <w:tblGrid>
        <w:gridCol w:w="1080"/>
        <w:gridCol w:w="483"/>
        <w:gridCol w:w="5670"/>
      </w:tblGrid>
      <w:tr w:rsidR="00AA4BF8" w:rsidRPr="002355E9" w:rsidTr="00A752DD">
        <w:tc>
          <w:tcPr>
            <w:tcW w:w="1080" w:type="dxa"/>
          </w:tcPr>
          <w:p w:rsidR="00AA4BF8" w:rsidRPr="002355E9" w:rsidRDefault="00AA4BF8" w:rsidP="00A752DD">
            <w:pPr>
              <w:pStyle w:val="2"/>
              <w:spacing w:line="272" w:lineRule="atLeast"/>
              <w:ind w:left="0" w:firstLine="0"/>
              <w:jc w:val="center"/>
              <w:rPr>
                <w:rFonts w:ascii="Arial" w:hAnsi="Arial" w:cs="Arial"/>
                <w:color w:val="auto"/>
                <w:sz w:val="20"/>
                <w:szCs w:val="20"/>
              </w:rPr>
            </w:pPr>
            <w:r w:rsidRPr="002355E9">
              <w:rPr>
                <w:rFonts w:ascii="Arial" w:hAnsi="Arial" w:cs="Arial"/>
                <w:color w:val="auto"/>
                <w:sz w:val="20"/>
                <w:szCs w:val="20"/>
              </w:rPr>
              <w:t>2.</w:t>
            </w:r>
          </w:p>
        </w:tc>
        <w:tc>
          <w:tcPr>
            <w:tcW w:w="450" w:type="dxa"/>
          </w:tcPr>
          <w:p w:rsidR="00AA4BF8" w:rsidRPr="002355E9" w:rsidRDefault="00AA4BF8" w:rsidP="00A752DD">
            <w:pPr>
              <w:pStyle w:val="2"/>
              <w:spacing w:line="272" w:lineRule="atLeast"/>
              <w:ind w:left="0" w:firstLine="0"/>
              <w:rPr>
                <w:rFonts w:ascii="Arial" w:hAnsi="Arial" w:cs="Arial"/>
                <w:color w:val="auto"/>
                <w:sz w:val="20"/>
                <w:szCs w:val="20"/>
              </w:rPr>
            </w:pPr>
            <w:r w:rsidRPr="002355E9">
              <w:rPr>
                <w:rFonts w:ascii="Arial" w:hAnsi="Arial" w:cs="Arial"/>
                <w:color w:val="auto"/>
                <w:sz w:val="20"/>
                <w:szCs w:val="20"/>
              </w:rPr>
              <w:t>(i)</w:t>
            </w:r>
          </w:p>
        </w:tc>
        <w:tc>
          <w:tcPr>
            <w:tcW w:w="5670" w:type="dxa"/>
          </w:tcPr>
          <w:p w:rsidR="00AA4BF8" w:rsidRPr="002355E9" w:rsidRDefault="00AA4BF8" w:rsidP="00A752DD">
            <w:pPr>
              <w:pStyle w:val="2"/>
              <w:spacing w:line="272" w:lineRule="atLeast"/>
              <w:ind w:left="0" w:firstLine="0"/>
              <w:rPr>
                <w:rFonts w:ascii="Arial" w:hAnsi="Arial" w:cs="Arial"/>
                <w:color w:val="auto"/>
                <w:sz w:val="20"/>
                <w:szCs w:val="20"/>
              </w:rPr>
            </w:pPr>
            <w:r w:rsidRPr="002355E9">
              <w:rPr>
                <w:rFonts w:ascii="Arial" w:hAnsi="Arial" w:cs="Arial"/>
                <w:color w:val="auto"/>
                <w:sz w:val="20"/>
                <w:szCs w:val="20"/>
              </w:rPr>
              <w:t>Where a deduction is allowed for any expenditure (other than on account of charge for irrecoverable debt) in the manner referred to in rule 1 and the liability or a part of the liability to which the deduction relates is not paid within three years of the end of the tax year in which the deduction was allowed, the unpaid amount of the liability shall be chargeable to tax under the head “Income from Business” in the first tax year following the end of three years.</w:t>
            </w:r>
          </w:p>
          <w:p w:rsidR="00AA4BF8" w:rsidRPr="002355E9" w:rsidRDefault="00AA4BF8" w:rsidP="00A752DD">
            <w:pPr>
              <w:pStyle w:val="2"/>
              <w:spacing w:line="272" w:lineRule="atLeast"/>
              <w:ind w:left="0" w:firstLine="0"/>
              <w:rPr>
                <w:rFonts w:ascii="Arial" w:hAnsi="Arial" w:cs="Arial"/>
                <w:color w:val="auto"/>
                <w:sz w:val="20"/>
                <w:szCs w:val="20"/>
              </w:rPr>
            </w:pPr>
          </w:p>
        </w:tc>
      </w:tr>
      <w:tr w:rsidR="00AA4BF8" w:rsidRPr="002355E9" w:rsidTr="00A752DD">
        <w:tc>
          <w:tcPr>
            <w:tcW w:w="1080" w:type="dxa"/>
          </w:tcPr>
          <w:p w:rsidR="00AA4BF8" w:rsidRPr="002355E9" w:rsidRDefault="00AA4BF8" w:rsidP="00A752DD">
            <w:pPr>
              <w:pStyle w:val="2"/>
              <w:spacing w:line="272" w:lineRule="atLeast"/>
              <w:ind w:left="0" w:firstLine="0"/>
              <w:rPr>
                <w:rFonts w:ascii="Arial" w:hAnsi="Arial" w:cs="Arial"/>
                <w:color w:val="auto"/>
                <w:sz w:val="20"/>
                <w:szCs w:val="20"/>
              </w:rPr>
            </w:pPr>
          </w:p>
        </w:tc>
        <w:tc>
          <w:tcPr>
            <w:tcW w:w="450" w:type="dxa"/>
          </w:tcPr>
          <w:p w:rsidR="00AA4BF8" w:rsidRPr="002355E9" w:rsidRDefault="00AA4BF8" w:rsidP="00A752DD">
            <w:pPr>
              <w:pStyle w:val="2"/>
              <w:spacing w:line="272" w:lineRule="atLeast"/>
              <w:ind w:left="0" w:firstLine="0"/>
              <w:rPr>
                <w:rFonts w:ascii="Arial" w:hAnsi="Arial" w:cs="Arial"/>
                <w:color w:val="auto"/>
                <w:sz w:val="20"/>
                <w:szCs w:val="20"/>
              </w:rPr>
            </w:pPr>
            <w:r w:rsidRPr="002355E9">
              <w:rPr>
                <w:rFonts w:ascii="Arial" w:hAnsi="Arial" w:cs="Arial"/>
                <w:color w:val="auto"/>
                <w:sz w:val="20"/>
                <w:szCs w:val="20"/>
              </w:rPr>
              <w:t>(ii)</w:t>
            </w:r>
          </w:p>
        </w:tc>
        <w:tc>
          <w:tcPr>
            <w:tcW w:w="5670" w:type="dxa"/>
          </w:tcPr>
          <w:p w:rsidR="00AA4BF8" w:rsidRPr="002355E9" w:rsidRDefault="00AA4BF8" w:rsidP="00A752DD">
            <w:pPr>
              <w:pStyle w:val="2"/>
              <w:spacing w:line="272" w:lineRule="atLeast"/>
              <w:ind w:left="0" w:firstLine="0"/>
              <w:rPr>
                <w:rFonts w:ascii="Arial" w:hAnsi="Arial" w:cs="Arial"/>
                <w:color w:val="auto"/>
                <w:sz w:val="20"/>
                <w:szCs w:val="20"/>
              </w:rPr>
            </w:pPr>
            <w:r w:rsidRPr="002355E9">
              <w:rPr>
                <w:rFonts w:ascii="Arial" w:hAnsi="Arial" w:cs="Arial"/>
                <w:color w:val="auto"/>
                <w:sz w:val="20"/>
                <w:szCs w:val="20"/>
              </w:rPr>
              <w:t>Where an unpaid liability is chargeable to tax as a result of the application of sub-rule (i) and such liability or a part thereof is subsequently paid, a deduction shall be allowed for the amount paid in the tax year in which the payment is made.</w:t>
            </w:r>
          </w:p>
          <w:p w:rsidR="00AA4BF8" w:rsidRPr="002355E9" w:rsidRDefault="00AA4BF8" w:rsidP="00A752DD">
            <w:pPr>
              <w:pStyle w:val="2"/>
              <w:spacing w:line="272" w:lineRule="atLeast"/>
              <w:ind w:left="0" w:firstLine="0"/>
              <w:rPr>
                <w:rFonts w:ascii="Arial" w:hAnsi="Arial" w:cs="Arial"/>
                <w:color w:val="auto"/>
                <w:sz w:val="20"/>
                <w:szCs w:val="20"/>
              </w:rPr>
            </w:pPr>
          </w:p>
        </w:tc>
      </w:tr>
      <w:tr w:rsidR="00AA4BF8" w:rsidRPr="002355E9" w:rsidTr="00A752DD">
        <w:tc>
          <w:tcPr>
            <w:tcW w:w="1080" w:type="dxa"/>
          </w:tcPr>
          <w:p w:rsidR="00AA4BF8" w:rsidRPr="002355E9" w:rsidRDefault="00AA4BF8" w:rsidP="00A752DD">
            <w:pPr>
              <w:pStyle w:val="2"/>
              <w:spacing w:line="272" w:lineRule="atLeast"/>
              <w:ind w:left="0" w:firstLine="0"/>
              <w:rPr>
                <w:rFonts w:ascii="Arial" w:hAnsi="Arial" w:cs="Arial"/>
                <w:color w:val="auto"/>
                <w:sz w:val="20"/>
                <w:szCs w:val="20"/>
              </w:rPr>
            </w:pPr>
          </w:p>
        </w:tc>
        <w:tc>
          <w:tcPr>
            <w:tcW w:w="450" w:type="dxa"/>
          </w:tcPr>
          <w:p w:rsidR="00AA4BF8" w:rsidRPr="002355E9" w:rsidRDefault="00AA4BF8" w:rsidP="00A752DD">
            <w:pPr>
              <w:pStyle w:val="2"/>
              <w:spacing w:line="272" w:lineRule="atLeast"/>
              <w:ind w:left="0" w:firstLine="0"/>
              <w:rPr>
                <w:rFonts w:ascii="Arial" w:hAnsi="Arial" w:cs="Arial"/>
                <w:color w:val="auto"/>
                <w:sz w:val="20"/>
                <w:szCs w:val="20"/>
              </w:rPr>
            </w:pPr>
            <w:r w:rsidRPr="002355E9">
              <w:rPr>
                <w:rFonts w:ascii="Arial" w:hAnsi="Arial" w:cs="Arial"/>
                <w:color w:val="auto"/>
                <w:sz w:val="20"/>
                <w:szCs w:val="20"/>
              </w:rPr>
              <w:t>(iii)</w:t>
            </w:r>
          </w:p>
        </w:tc>
        <w:tc>
          <w:tcPr>
            <w:tcW w:w="5670" w:type="dxa"/>
          </w:tcPr>
          <w:p w:rsidR="00AA4BF8" w:rsidRPr="002355E9" w:rsidRDefault="00AA4BF8" w:rsidP="00A752DD">
            <w:pPr>
              <w:pStyle w:val="2"/>
              <w:spacing w:line="272" w:lineRule="atLeast"/>
              <w:ind w:left="0" w:firstLine="0"/>
              <w:rPr>
                <w:rFonts w:ascii="Arial" w:hAnsi="Arial" w:cs="Arial"/>
                <w:color w:val="auto"/>
                <w:sz w:val="20"/>
                <w:szCs w:val="20"/>
              </w:rPr>
            </w:pPr>
            <w:r w:rsidRPr="002355E9">
              <w:rPr>
                <w:rFonts w:ascii="Arial" w:hAnsi="Arial" w:cs="Arial"/>
                <w:color w:val="auto"/>
                <w:sz w:val="20"/>
                <w:szCs w:val="20"/>
              </w:rPr>
              <w:t>Loss on sale of shares of listed companies, disposed of within one year of the date of acquisition, shall be adjustable against business income of the tax year. Where such loss is not fully set off against business income during the tax year, it shall be carried forward to the following tax year and set off against capital gain only. No loss shall be carried forward for more than six years immediately succeeding the tax year for which the loss was first computed.</w:t>
            </w:r>
          </w:p>
        </w:tc>
      </w:tr>
    </w:tbl>
    <w:p w:rsidR="00AA4BF8" w:rsidRPr="002355E9" w:rsidRDefault="00AA4BF8" w:rsidP="00AA4BF8">
      <w:pPr>
        <w:pStyle w:val="2"/>
        <w:spacing w:line="272" w:lineRule="atLeast"/>
        <w:rPr>
          <w:rFonts w:ascii="Arial" w:hAnsi="Arial" w:cs="Arial"/>
          <w:color w:val="auto"/>
          <w:sz w:val="20"/>
          <w:szCs w:val="20"/>
        </w:rPr>
      </w:pPr>
    </w:p>
    <w:p w:rsidR="00AA4BF8" w:rsidRPr="00412620" w:rsidRDefault="00AA4BF8" w:rsidP="00AA4BF8">
      <w:pPr>
        <w:pStyle w:val="1"/>
        <w:spacing w:line="272" w:lineRule="atLeast"/>
        <w:rPr>
          <w:color w:val="auto"/>
          <w:sz w:val="10"/>
          <w:szCs w:val="10"/>
        </w:rPr>
      </w:pPr>
      <w:r w:rsidRPr="00412620">
        <w:rPr>
          <w:color w:val="auto"/>
          <w:sz w:val="20"/>
          <w:szCs w:val="20"/>
        </w:rPr>
        <w:tab/>
      </w:r>
    </w:p>
    <w:p w:rsidR="00AA4BF8" w:rsidRPr="00412620" w:rsidRDefault="00AA4BF8" w:rsidP="00AA4BF8">
      <w:pPr>
        <w:pStyle w:val="1"/>
        <w:rPr>
          <w:color w:val="auto"/>
          <w:sz w:val="20"/>
          <w:szCs w:val="20"/>
        </w:rPr>
      </w:pPr>
      <w:r w:rsidRPr="00412620">
        <w:rPr>
          <w:color w:val="auto"/>
          <w:sz w:val="20"/>
          <w:szCs w:val="20"/>
        </w:rPr>
        <w:tab/>
        <w:t>3.</w:t>
      </w:r>
      <w:r w:rsidRPr="00412620">
        <w:rPr>
          <w:color w:val="auto"/>
          <w:sz w:val="20"/>
          <w:szCs w:val="20"/>
        </w:rPr>
        <w:tab/>
      </w:r>
      <w:r w:rsidRPr="002355E9">
        <w:rPr>
          <w:rFonts w:ascii="Arial" w:hAnsi="Arial" w:cs="Arial"/>
          <w:i/>
          <w:iCs/>
          <w:color w:val="auto"/>
          <w:sz w:val="20"/>
          <w:szCs w:val="20"/>
        </w:rPr>
        <w:t>Treatment for shariah compliant banking</w:t>
      </w:r>
      <w:r w:rsidRPr="00412620">
        <w:rPr>
          <w:i/>
          <w:iCs/>
          <w:color w:val="auto"/>
          <w:sz w:val="20"/>
          <w:szCs w:val="20"/>
        </w:rPr>
        <w:t xml:space="preserve">.— </w:t>
      </w:r>
    </w:p>
    <w:p w:rsidR="00AA4BF8" w:rsidRPr="00412620" w:rsidRDefault="00AA4BF8" w:rsidP="00AA4BF8">
      <w:pPr>
        <w:pStyle w:val="1"/>
        <w:rPr>
          <w:color w:val="auto"/>
          <w:sz w:val="14"/>
          <w:szCs w:val="14"/>
        </w:rPr>
      </w:pPr>
    </w:p>
    <w:p w:rsidR="00AA4BF8" w:rsidRPr="002355E9" w:rsidRDefault="00AA4BF8" w:rsidP="00AA4BF8">
      <w:pPr>
        <w:pStyle w:val="3"/>
        <w:rPr>
          <w:rFonts w:ascii="Arial" w:hAnsi="Arial" w:cs="Arial"/>
          <w:color w:val="auto"/>
          <w:sz w:val="20"/>
          <w:szCs w:val="20"/>
        </w:rPr>
      </w:pPr>
      <w:r w:rsidRPr="00412620">
        <w:rPr>
          <w:color w:val="auto"/>
          <w:sz w:val="20"/>
          <w:szCs w:val="20"/>
        </w:rPr>
        <w:tab/>
        <w:t>(1)</w:t>
      </w:r>
      <w:r w:rsidRPr="00412620">
        <w:rPr>
          <w:color w:val="auto"/>
          <w:sz w:val="20"/>
          <w:szCs w:val="20"/>
        </w:rPr>
        <w:tab/>
      </w:r>
      <w:r w:rsidRPr="002355E9">
        <w:rPr>
          <w:rFonts w:ascii="Arial" w:hAnsi="Arial" w:cs="Arial"/>
          <w:color w:val="auto"/>
          <w:sz w:val="20"/>
          <w:szCs w:val="20"/>
        </w:rPr>
        <w:t>Any special treatment for ‘Shariah Compliant Banking’ approved by the State Bank of Pakistan shall not be provided for any reduction or addition to income and tax liability for the said ‘Shariah Compliant Banking’ as computed in the manner laid down in this schedule.</w:t>
      </w:r>
    </w:p>
    <w:p w:rsidR="00AA4BF8" w:rsidRPr="00412620" w:rsidRDefault="00AA4BF8" w:rsidP="00AA4BF8">
      <w:pPr>
        <w:keepNext/>
        <w:jc w:val="both"/>
        <w:rPr>
          <w:sz w:val="20"/>
        </w:rPr>
      </w:pPr>
    </w:p>
    <w:p w:rsidR="00AA4BF8" w:rsidRPr="00412620" w:rsidRDefault="00AA4BF8" w:rsidP="00AA4BF8">
      <w:pPr>
        <w:keepNext/>
        <w:ind w:left="1641" w:hanging="546"/>
        <w:jc w:val="both"/>
        <w:rPr>
          <w:sz w:val="18"/>
          <w:szCs w:val="18"/>
        </w:rPr>
      </w:pPr>
      <w:r w:rsidRPr="00412620">
        <w:rPr>
          <w:sz w:val="20"/>
        </w:rPr>
        <w:t xml:space="preserve"> (2)</w:t>
      </w:r>
      <w:r w:rsidRPr="00412620">
        <w:rPr>
          <w:sz w:val="20"/>
        </w:rPr>
        <w:tab/>
        <w:t>A statement, certified by the auditors of the bank, shall be attached to the return of income to disclose the comparative position of transaction as per Islamic mode of financing and as per normal accounting principles. Adjustment to the income of the company on this account shall be made according to the accounting income for purpose of this schedule.</w:t>
      </w:r>
    </w:p>
    <w:p w:rsidR="00AA4BF8" w:rsidRPr="00412620" w:rsidRDefault="00AA4BF8" w:rsidP="00AA4BF8">
      <w:pPr>
        <w:keepNext/>
        <w:jc w:val="both"/>
        <w:rPr>
          <w:sz w:val="18"/>
          <w:szCs w:val="18"/>
        </w:rPr>
      </w:pPr>
    </w:p>
    <w:p w:rsidR="00AA4BF8" w:rsidRPr="002355E9" w:rsidRDefault="00AA4BF8" w:rsidP="00AA4BF8">
      <w:pPr>
        <w:pStyle w:val="1"/>
        <w:rPr>
          <w:rFonts w:ascii="Arial" w:hAnsi="Arial" w:cs="Arial"/>
          <w:color w:val="auto"/>
          <w:sz w:val="20"/>
          <w:szCs w:val="20"/>
        </w:rPr>
      </w:pPr>
      <w:r w:rsidRPr="00412620">
        <w:rPr>
          <w:color w:val="auto"/>
          <w:sz w:val="20"/>
          <w:szCs w:val="20"/>
        </w:rPr>
        <w:tab/>
        <w:t>4.</w:t>
      </w:r>
      <w:r w:rsidRPr="00412620">
        <w:rPr>
          <w:color w:val="auto"/>
          <w:sz w:val="20"/>
          <w:szCs w:val="20"/>
        </w:rPr>
        <w:tab/>
      </w:r>
      <w:r w:rsidRPr="002355E9">
        <w:rPr>
          <w:rFonts w:ascii="Arial" w:hAnsi="Arial" w:cs="Arial"/>
          <w:i/>
          <w:iCs/>
          <w:color w:val="auto"/>
          <w:sz w:val="20"/>
          <w:szCs w:val="20"/>
        </w:rPr>
        <w:t>Head office expenditure.—</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3"/>
        <w:rPr>
          <w:rFonts w:ascii="Arial" w:hAnsi="Arial" w:cs="Arial"/>
          <w:color w:val="auto"/>
          <w:sz w:val="20"/>
          <w:szCs w:val="20"/>
        </w:rPr>
      </w:pPr>
      <w:r w:rsidRPr="002355E9">
        <w:rPr>
          <w:rFonts w:ascii="Arial" w:hAnsi="Arial" w:cs="Arial"/>
          <w:color w:val="auto"/>
          <w:sz w:val="20"/>
          <w:szCs w:val="20"/>
        </w:rPr>
        <w:tab/>
        <w:t>(1)</w:t>
      </w:r>
      <w:r w:rsidRPr="002355E9">
        <w:rPr>
          <w:rFonts w:ascii="Arial" w:hAnsi="Arial" w:cs="Arial"/>
          <w:color w:val="auto"/>
          <w:sz w:val="20"/>
          <w:szCs w:val="20"/>
        </w:rPr>
        <w:tab/>
        <w:t xml:space="preserve">In case of foreign banks head office expenditure shall be allowed as deduction as per the following formula, namely:— </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1"/>
        <w:rPr>
          <w:rFonts w:ascii="Arial" w:hAnsi="Arial" w:cs="Arial"/>
          <w:color w:val="auto"/>
          <w:sz w:val="20"/>
          <w:szCs w:val="20"/>
        </w:rPr>
      </w:pPr>
      <w:r w:rsidRPr="002355E9">
        <w:rPr>
          <w:rFonts w:ascii="Arial" w:hAnsi="Arial" w:cs="Arial"/>
          <w:color w:val="auto"/>
          <w:sz w:val="20"/>
          <w:szCs w:val="20"/>
        </w:rPr>
        <w:tab/>
      </w:r>
      <w:r w:rsidRPr="002355E9">
        <w:rPr>
          <w:rFonts w:ascii="Arial" w:hAnsi="Arial" w:cs="Arial"/>
          <w:color w:val="auto"/>
          <w:sz w:val="20"/>
          <w:szCs w:val="20"/>
        </w:rPr>
        <w:tab/>
        <w:t>Head office expenditure = (A/B) XC</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2"/>
        <w:rPr>
          <w:rFonts w:ascii="Arial" w:hAnsi="Arial" w:cs="Arial"/>
          <w:color w:val="auto"/>
          <w:sz w:val="20"/>
          <w:szCs w:val="20"/>
        </w:rPr>
      </w:pPr>
      <w:r w:rsidRPr="002355E9">
        <w:rPr>
          <w:rFonts w:ascii="Arial" w:hAnsi="Arial" w:cs="Arial"/>
          <w:color w:val="auto"/>
          <w:sz w:val="20"/>
          <w:szCs w:val="20"/>
        </w:rPr>
        <w:tab/>
      </w:r>
      <w:r w:rsidRPr="002355E9">
        <w:rPr>
          <w:rFonts w:ascii="Arial" w:hAnsi="Arial" w:cs="Arial"/>
          <w:color w:val="auto"/>
          <w:sz w:val="20"/>
          <w:szCs w:val="20"/>
        </w:rPr>
        <w:tab/>
        <w:t>Where—</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3"/>
        <w:rPr>
          <w:rFonts w:ascii="Arial" w:hAnsi="Arial" w:cs="Arial"/>
          <w:color w:val="auto"/>
          <w:sz w:val="20"/>
          <w:szCs w:val="20"/>
        </w:rPr>
      </w:pPr>
      <w:r w:rsidRPr="002355E9">
        <w:rPr>
          <w:rFonts w:ascii="Arial" w:hAnsi="Arial" w:cs="Arial"/>
          <w:color w:val="auto"/>
          <w:sz w:val="20"/>
          <w:szCs w:val="20"/>
        </w:rPr>
        <w:tab/>
        <w:t>A.</w:t>
      </w:r>
      <w:r w:rsidRPr="002355E9">
        <w:rPr>
          <w:rFonts w:ascii="Arial" w:hAnsi="Arial" w:cs="Arial"/>
          <w:color w:val="auto"/>
          <w:sz w:val="20"/>
          <w:szCs w:val="20"/>
        </w:rPr>
        <w:tab/>
        <w:t>is the gross receipts of permanent establishment in Pakistan;</w:t>
      </w:r>
    </w:p>
    <w:p w:rsidR="00AA4BF8" w:rsidRPr="002355E9" w:rsidRDefault="00AA4BF8" w:rsidP="00AA4BF8">
      <w:pPr>
        <w:pStyle w:val="3"/>
        <w:rPr>
          <w:rFonts w:ascii="Arial" w:hAnsi="Arial" w:cs="Arial"/>
          <w:color w:val="auto"/>
          <w:sz w:val="20"/>
          <w:szCs w:val="20"/>
        </w:rPr>
      </w:pPr>
    </w:p>
    <w:p w:rsidR="00AA4BF8" w:rsidRPr="002355E9" w:rsidRDefault="00AA4BF8" w:rsidP="00AA4BF8">
      <w:pPr>
        <w:pStyle w:val="3"/>
        <w:rPr>
          <w:rFonts w:ascii="Arial" w:hAnsi="Arial" w:cs="Arial"/>
          <w:color w:val="auto"/>
          <w:sz w:val="20"/>
          <w:szCs w:val="20"/>
        </w:rPr>
      </w:pPr>
      <w:r w:rsidRPr="002355E9">
        <w:rPr>
          <w:rFonts w:ascii="Arial" w:hAnsi="Arial" w:cs="Arial"/>
          <w:color w:val="auto"/>
          <w:sz w:val="20"/>
          <w:szCs w:val="20"/>
        </w:rPr>
        <w:tab/>
        <w:t>B.</w:t>
      </w:r>
      <w:r w:rsidRPr="002355E9">
        <w:rPr>
          <w:rFonts w:ascii="Arial" w:hAnsi="Arial" w:cs="Arial"/>
          <w:color w:val="auto"/>
          <w:sz w:val="20"/>
          <w:szCs w:val="20"/>
        </w:rPr>
        <w:tab/>
        <w:t>is the world gross receipts; and</w:t>
      </w:r>
    </w:p>
    <w:p w:rsidR="00AA4BF8" w:rsidRPr="002355E9" w:rsidRDefault="00AA4BF8" w:rsidP="00AA4BF8">
      <w:pPr>
        <w:pStyle w:val="3"/>
        <w:tabs>
          <w:tab w:val="clear" w:pos="1440"/>
        </w:tabs>
        <w:rPr>
          <w:rFonts w:ascii="Arial" w:hAnsi="Arial" w:cs="Arial"/>
          <w:color w:val="auto"/>
          <w:sz w:val="20"/>
          <w:szCs w:val="20"/>
        </w:rPr>
      </w:pPr>
      <w:r w:rsidRPr="002355E9">
        <w:rPr>
          <w:rFonts w:ascii="Arial" w:hAnsi="Arial" w:cs="Arial"/>
          <w:color w:val="auto"/>
          <w:sz w:val="20"/>
          <w:szCs w:val="20"/>
        </w:rPr>
        <w:tab/>
      </w:r>
    </w:p>
    <w:p w:rsidR="00AA4BF8" w:rsidRPr="002355E9" w:rsidRDefault="00AA4BF8" w:rsidP="00AA4BF8">
      <w:pPr>
        <w:pStyle w:val="3"/>
        <w:rPr>
          <w:rFonts w:ascii="Arial" w:hAnsi="Arial" w:cs="Arial"/>
          <w:color w:val="auto"/>
          <w:sz w:val="20"/>
          <w:szCs w:val="20"/>
        </w:rPr>
      </w:pPr>
      <w:r w:rsidRPr="002355E9">
        <w:rPr>
          <w:rFonts w:ascii="Arial" w:hAnsi="Arial" w:cs="Arial"/>
          <w:color w:val="auto"/>
          <w:sz w:val="20"/>
          <w:szCs w:val="20"/>
        </w:rPr>
        <w:tab/>
        <w:t>C.</w:t>
      </w:r>
      <w:r w:rsidRPr="002355E9">
        <w:rPr>
          <w:rFonts w:ascii="Arial" w:hAnsi="Arial" w:cs="Arial"/>
          <w:color w:val="auto"/>
          <w:sz w:val="20"/>
          <w:szCs w:val="20"/>
        </w:rPr>
        <w:tab/>
        <w:t>is the total Head Office expenditure.</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3"/>
        <w:rPr>
          <w:rFonts w:ascii="Arial" w:hAnsi="Arial" w:cs="Arial"/>
          <w:color w:val="auto"/>
          <w:sz w:val="20"/>
          <w:szCs w:val="20"/>
        </w:rPr>
      </w:pPr>
      <w:r w:rsidRPr="002355E9">
        <w:rPr>
          <w:rFonts w:ascii="Arial" w:hAnsi="Arial" w:cs="Arial"/>
          <w:color w:val="auto"/>
          <w:sz w:val="20"/>
          <w:szCs w:val="20"/>
        </w:rPr>
        <w:tab/>
        <w:t>(2)</w:t>
      </w:r>
      <w:r w:rsidRPr="002355E9">
        <w:rPr>
          <w:rFonts w:ascii="Arial" w:hAnsi="Arial" w:cs="Arial"/>
          <w:color w:val="auto"/>
          <w:sz w:val="20"/>
          <w:szCs w:val="20"/>
        </w:rPr>
        <w:tab/>
        <w:t>The head office expenditure shall have the meaning as given in sub-sections (3) and (4) of section 105.</w:t>
      </w:r>
    </w:p>
    <w:p w:rsidR="00AA4BF8" w:rsidRPr="002355E9" w:rsidRDefault="00AA4BF8" w:rsidP="00AA4BF8">
      <w:pPr>
        <w:pStyle w:val="3"/>
        <w:rPr>
          <w:rFonts w:ascii="Arial" w:hAnsi="Arial" w:cs="Arial"/>
          <w:color w:val="auto"/>
          <w:sz w:val="20"/>
          <w:szCs w:val="20"/>
        </w:rPr>
      </w:pPr>
    </w:p>
    <w:p w:rsidR="00AA4BF8" w:rsidRPr="002355E9" w:rsidRDefault="00AA4BF8" w:rsidP="00AA4BF8">
      <w:pPr>
        <w:pStyle w:val="3"/>
        <w:rPr>
          <w:rFonts w:ascii="Arial" w:hAnsi="Arial" w:cs="Arial"/>
          <w:color w:val="auto"/>
          <w:sz w:val="20"/>
          <w:szCs w:val="20"/>
        </w:rPr>
      </w:pPr>
      <w:r w:rsidRPr="002355E9">
        <w:rPr>
          <w:rFonts w:ascii="Arial" w:hAnsi="Arial" w:cs="Arial"/>
          <w:color w:val="auto"/>
          <w:sz w:val="20"/>
          <w:szCs w:val="20"/>
        </w:rPr>
        <w:tab/>
        <w:t>(3)</w:t>
      </w:r>
      <w:r w:rsidRPr="002355E9">
        <w:rPr>
          <w:rFonts w:ascii="Arial" w:hAnsi="Arial" w:cs="Arial"/>
          <w:color w:val="auto"/>
          <w:sz w:val="20"/>
          <w:szCs w:val="20"/>
        </w:rPr>
        <w:tab/>
        <w:t>The head office expenditure shall only be allowed if it is charged in the books of accounts of the permanent establishment and a certificate from external auditors is provided to the effect that the claim of such expenditure:</w:t>
      </w:r>
    </w:p>
    <w:p w:rsidR="00AA4BF8" w:rsidRPr="002355E9" w:rsidRDefault="00AA4BF8" w:rsidP="00AA4BF8">
      <w:pPr>
        <w:pStyle w:val="3"/>
        <w:rPr>
          <w:rFonts w:ascii="Arial" w:hAnsi="Arial" w:cs="Arial"/>
          <w:color w:val="auto"/>
          <w:sz w:val="20"/>
          <w:szCs w:val="20"/>
        </w:rPr>
      </w:pPr>
      <w:r w:rsidRPr="002355E9">
        <w:rPr>
          <w:rFonts w:ascii="Arial" w:hAnsi="Arial" w:cs="Arial"/>
          <w:color w:val="auto"/>
          <w:sz w:val="20"/>
          <w:szCs w:val="20"/>
        </w:rPr>
        <w:tab/>
      </w:r>
      <w:r w:rsidRPr="002355E9">
        <w:rPr>
          <w:rFonts w:ascii="Arial" w:hAnsi="Arial" w:cs="Arial"/>
          <w:color w:val="auto"/>
          <w:sz w:val="20"/>
          <w:szCs w:val="20"/>
        </w:rPr>
        <w:tab/>
      </w:r>
    </w:p>
    <w:p w:rsidR="00AA4BF8" w:rsidRPr="002355E9" w:rsidRDefault="00AA4BF8" w:rsidP="00AA4BF8">
      <w:pPr>
        <w:pStyle w:val="4"/>
        <w:rPr>
          <w:rFonts w:ascii="Arial" w:hAnsi="Arial" w:cs="Arial"/>
          <w:color w:val="auto"/>
          <w:sz w:val="20"/>
          <w:szCs w:val="20"/>
        </w:rPr>
      </w:pPr>
      <w:r w:rsidRPr="002355E9">
        <w:rPr>
          <w:rFonts w:ascii="Arial" w:hAnsi="Arial" w:cs="Arial"/>
          <w:color w:val="auto"/>
          <w:sz w:val="20"/>
          <w:szCs w:val="20"/>
        </w:rPr>
        <w:tab/>
        <w:t>(i)</w:t>
      </w:r>
      <w:r w:rsidRPr="002355E9">
        <w:rPr>
          <w:rFonts w:ascii="Arial" w:hAnsi="Arial" w:cs="Arial"/>
          <w:color w:val="auto"/>
          <w:sz w:val="20"/>
          <w:szCs w:val="20"/>
        </w:rPr>
        <w:tab/>
        <w:t>has been made in accordance with the provision of this rule; and</w:t>
      </w:r>
    </w:p>
    <w:p w:rsidR="00AA4BF8" w:rsidRPr="002355E9" w:rsidRDefault="00AA4BF8" w:rsidP="00AA4BF8">
      <w:pPr>
        <w:pStyle w:val="4"/>
        <w:rPr>
          <w:rFonts w:ascii="Arial" w:hAnsi="Arial" w:cs="Arial"/>
          <w:color w:val="auto"/>
          <w:sz w:val="20"/>
          <w:szCs w:val="20"/>
        </w:rPr>
      </w:pPr>
      <w:r w:rsidRPr="002355E9">
        <w:rPr>
          <w:rFonts w:ascii="Arial" w:hAnsi="Arial" w:cs="Arial"/>
          <w:color w:val="auto"/>
          <w:sz w:val="20"/>
          <w:szCs w:val="20"/>
        </w:rPr>
        <w:tab/>
      </w:r>
      <w:r w:rsidRPr="002355E9">
        <w:rPr>
          <w:rFonts w:ascii="Arial" w:hAnsi="Arial" w:cs="Arial"/>
          <w:color w:val="auto"/>
          <w:sz w:val="20"/>
          <w:szCs w:val="20"/>
        </w:rPr>
        <w:tab/>
      </w:r>
    </w:p>
    <w:p w:rsidR="00AA4BF8" w:rsidRPr="002355E9" w:rsidRDefault="00AA4BF8" w:rsidP="00AA4BF8">
      <w:pPr>
        <w:pStyle w:val="4"/>
        <w:rPr>
          <w:rFonts w:ascii="Arial" w:hAnsi="Arial" w:cs="Arial"/>
          <w:color w:val="auto"/>
          <w:sz w:val="20"/>
          <w:szCs w:val="20"/>
        </w:rPr>
      </w:pPr>
      <w:r w:rsidRPr="002355E9">
        <w:rPr>
          <w:rFonts w:ascii="Arial" w:hAnsi="Arial" w:cs="Arial"/>
          <w:color w:val="auto"/>
          <w:sz w:val="20"/>
          <w:szCs w:val="20"/>
        </w:rPr>
        <w:tab/>
        <w:t>(ii)</w:t>
      </w:r>
      <w:r w:rsidRPr="002355E9">
        <w:rPr>
          <w:rFonts w:ascii="Arial" w:hAnsi="Arial" w:cs="Arial"/>
          <w:color w:val="auto"/>
          <w:sz w:val="20"/>
          <w:szCs w:val="20"/>
        </w:rPr>
        <w:tab/>
        <w:t>is reasonable in relation to operation of the permanent establishment in Pakistan.</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1"/>
        <w:rPr>
          <w:rFonts w:ascii="Arial" w:hAnsi="Arial" w:cs="Arial"/>
          <w:color w:val="auto"/>
          <w:sz w:val="20"/>
          <w:szCs w:val="20"/>
        </w:rPr>
      </w:pPr>
      <w:r w:rsidRPr="002355E9">
        <w:rPr>
          <w:rFonts w:ascii="Arial" w:hAnsi="Arial" w:cs="Arial"/>
          <w:color w:val="auto"/>
          <w:sz w:val="20"/>
          <w:szCs w:val="20"/>
        </w:rPr>
        <w:tab/>
        <w:t>5.</w:t>
      </w:r>
      <w:r w:rsidRPr="002355E9">
        <w:rPr>
          <w:rFonts w:ascii="Arial" w:hAnsi="Arial" w:cs="Arial"/>
          <w:color w:val="auto"/>
          <w:sz w:val="20"/>
          <w:szCs w:val="20"/>
        </w:rPr>
        <w:tab/>
      </w:r>
      <w:r w:rsidRPr="002355E9">
        <w:rPr>
          <w:rFonts w:ascii="Arial" w:hAnsi="Arial" w:cs="Arial"/>
          <w:i/>
          <w:iCs/>
          <w:color w:val="auto"/>
          <w:sz w:val="20"/>
          <w:szCs w:val="20"/>
        </w:rPr>
        <w:t>Advance tax.—</w:t>
      </w:r>
    </w:p>
    <w:p w:rsidR="00AA4BF8" w:rsidRPr="002355E9" w:rsidRDefault="00AA4BF8" w:rsidP="00AA4BF8">
      <w:pPr>
        <w:pStyle w:val="1"/>
        <w:spacing w:line="272" w:lineRule="atLeast"/>
        <w:rPr>
          <w:rFonts w:ascii="Arial" w:hAnsi="Arial" w:cs="Arial"/>
          <w:color w:val="auto"/>
          <w:sz w:val="20"/>
          <w:szCs w:val="20"/>
        </w:rPr>
      </w:pPr>
    </w:p>
    <w:p w:rsidR="00AA4BF8" w:rsidRPr="002355E9" w:rsidRDefault="00AA4BF8" w:rsidP="00AA4BF8">
      <w:pPr>
        <w:pStyle w:val="3"/>
        <w:spacing w:line="272" w:lineRule="atLeast"/>
        <w:rPr>
          <w:rFonts w:ascii="Arial" w:hAnsi="Arial" w:cs="Arial"/>
          <w:color w:val="auto"/>
          <w:sz w:val="20"/>
          <w:szCs w:val="20"/>
        </w:rPr>
      </w:pPr>
      <w:r w:rsidRPr="002355E9">
        <w:rPr>
          <w:rFonts w:ascii="Arial" w:hAnsi="Arial" w:cs="Arial"/>
          <w:color w:val="auto"/>
          <w:sz w:val="20"/>
          <w:szCs w:val="20"/>
        </w:rPr>
        <w:tab/>
        <w:t>(1)</w:t>
      </w:r>
      <w:r w:rsidRPr="002355E9">
        <w:rPr>
          <w:rFonts w:ascii="Arial" w:hAnsi="Arial" w:cs="Arial"/>
          <w:color w:val="auto"/>
          <w:sz w:val="20"/>
          <w:szCs w:val="20"/>
        </w:rPr>
        <w:tab/>
        <w:t xml:space="preserve">The banking company shall be required to pay advance tax for the year under section 147 in twelve equal installments payable by 15th of every month. Other provisions of section 147 </w:t>
      </w:r>
      <w:r w:rsidRPr="002355E9">
        <w:rPr>
          <w:rStyle w:val="FootnoteReference"/>
          <w:rFonts w:ascii="Arial" w:hAnsi="Arial" w:cs="Arial"/>
          <w:color w:val="auto"/>
          <w:sz w:val="20"/>
          <w:szCs w:val="20"/>
        </w:rPr>
        <w:footnoteReference w:id="2453"/>
      </w:r>
      <w:r w:rsidRPr="002355E9">
        <w:rPr>
          <w:rFonts w:ascii="Arial" w:hAnsi="Arial" w:cs="Arial"/>
          <w:color w:val="auto"/>
          <w:sz w:val="20"/>
          <w:szCs w:val="20"/>
        </w:rPr>
        <w:t>[except sub-sections (4A) and (6)]</w:t>
      </w:r>
      <w:r w:rsidR="007642C5">
        <w:rPr>
          <w:rFonts w:ascii="Arial" w:hAnsi="Arial" w:cs="Arial"/>
          <w:color w:val="auto"/>
          <w:sz w:val="20"/>
          <w:szCs w:val="20"/>
        </w:rPr>
        <w:t xml:space="preserve"> </w:t>
      </w:r>
      <w:r w:rsidRPr="002355E9">
        <w:rPr>
          <w:rFonts w:ascii="Arial" w:hAnsi="Arial" w:cs="Arial"/>
          <w:color w:val="auto"/>
          <w:sz w:val="20"/>
          <w:szCs w:val="20"/>
        </w:rPr>
        <w:t>shall apply as such.</w:t>
      </w:r>
    </w:p>
    <w:p w:rsidR="00AA4BF8" w:rsidRPr="002355E9" w:rsidRDefault="00AA4BF8" w:rsidP="00AA4BF8">
      <w:pPr>
        <w:pStyle w:val="3"/>
        <w:tabs>
          <w:tab w:val="clear" w:pos="1440"/>
          <w:tab w:val="clear" w:pos="1680"/>
        </w:tabs>
        <w:spacing w:line="272" w:lineRule="atLeast"/>
        <w:ind w:left="0" w:firstLine="0"/>
        <w:rPr>
          <w:rFonts w:ascii="Arial" w:hAnsi="Arial" w:cs="Arial"/>
          <w:color w:val="auto"/>
          <w:sz w:val="20"/>
          <w:szCs w:val="20"/>
        </w:rPr>
      </w:pPr>
    </w:p>
    <w:p w:rsidR="00AA4BF8" w:rsidRPr="002355E9" w:rsidRDefault="00AA4BF8" w:rsidP="00AA4BF8">
      <w:pPr>
        <w:pStyle w:val="3"/>
        <w:tabs>
          <w:tab w:val="clear" w:pos="1440"/>
          <w:tab w:val="clear" w:pos="1680"/>
        </w:tabs>
        <w:spacing w:line="272" w:lineRule="atLeast"/>
        <w:ind w:left="1641" w:hanging="546"/>
        <w:rPr>
          <w:rFonts w:ascii="Arial" w:hAnsi="Arial" w:cs="Arial"/>
          <w:color w:val="auto"/>
          <w:sz w:val="20"/>
          <w:szCs w:val="20"/>
        </w:rPr>
      </w:pPr>
      <w:r w:rsidRPr="002355E9">
        <w:rPr>
          <w:rStyle w:val="FootnoteReference"/>
          <w:rFonts w:ascii="Arial" w:hAnsi="Arial" w:cs="Arial"/>
          <w:color w:val="auto"/>
          <w:sz w:val="20"/>
          <w:szCs w:val="20"/>
        </w:rPr>
        <w:footnoteReference w:id="2454"/>
      </w:r>
      <w:r w:rsidRPr="002355E9">
        <w:rPr>
          <w:rFonts w:ascii="Arial" w:hAnsi="Arial" w:cs="Arial"/>
          <w:color w:val="auto"/>
          <w:sz w:val="20"/>
          <w:szCs w:val="20"/>
        </w:rPr>
        <w:t>[(1A) A banking company required to make payment of advance tax in accordance with sub-rule (1), shall estimate the tax payable by it for the relevant Tax Year, at any time before the installment payable on 15</w:t>
      </w:r>
      <w:r w:rsidRPr="002355E9">
        <w:rPr>
          <w:rFonts w:ascii="Arial" w:hAnsi="Arial" w:cs="Arial"/>
          <w:color w:val="auto"/>
          <w:sz w:val="20"/>
          <w:szCs w:val="20"/>
          <w:vertAlign w:val="superscript"/>
        </w:rPr>
        <w:t>th</w:t>
      </w:r>
      <w:r w:rsidRPr="002355E9">
        <w:rPr>
          <w:rFonts w:ascii="Arial" w:hAnsi="Arial" w:cs="Arial"/>
          <w:color w:val="auto"/>
          <w:sz w:val="20"/>
          <w:szCs w:val="20"/>
        </w:rPr>
        <w:t xml:space="preserve"> June, of the relevant year is due. In case the tax payable is likely to be more than the amount it is required to pay under sub-rule (1), the banking company shall furnish to the Commissioner an estimate of the amount of tax payable by it and thereafter pay in the installment due on 15</w:t>
      </w:r>
      <w:r w:rsidRPr="002355E9">
        <w:rPr>
          <w:rFonts w:ascii="Arial" w:hAnsi="Arial" w:cs="Arial"/>
          <w:color w:val="auto"/>
          <w:sz w:val="20"/>
          <w:szCs w:val="20"/>
          <w:vertAlign w:val="superscript"/>
        </w:rPr>
        <w:t>th</w:t>
      </w:r>
      <w:r w:rsidRPr="002355E9">
        <w:rPr>
          <w:rFonts w:ascii="Arial" w:hAnsi="Arial" w:cs="Arial"/>
          <w:color w:val="auto"/>
          <w:sz w:val="20"/>
          <w:szCs w:val="20"/>
        </w:rPr>
        <w:t xml:space="preserve"> June the difference, if any, of fifty per cent of such estimate and advance tax already paid upto 15</w:t>
      </w:r>
      <w:r w:rsidRPr="002355E9">
        <w:rPr>
          <w:rFonts w:ascii="Arial" w:hAnsi="Arial" w:cs="Arial"/>
          <w:color w:val="auto"/>
          <w:sz w:val="20"/>
          <w:szCs w:val="20"/>
          <w:vertAlign w:val="superscript"/>
        </w:rPr>
        <w:t>th</w:t>
      </w:r>
      <w:r w:rsidRPr="002355E9">
        <w:rPr>
          <w:rFonts w:ascii="Arial" w:hAnsi="Arial" w:cs="Arial"/>
          <w:color w:val="auto"/>
          <w:sz w:val="20"/>
          <w:szCs w:val="20"/>
        </w:rPr>
        <w:t xml:space="preserve"> June, of the relevant tax year. The remaining fifty per cent of the estimate shall be paid after 15</w:t>
      </w:r>
      <w:r w:rsidRPr="002355E9">
        <w:rPr>
          <w:rFonts w:ascii="Arial" w:hAnsi="Arial" w:cs="Arial"/>
          <w:color w:val="auto"/>
          <w:sz w:val="20"/>
          <w:szCs w:val="20"/>
          <w:vertAlign w:val="superscript"/>
        </w:rPr>
        <w:t>th</w:t>
      </w:r>
      <w:r w:rsidRPr="002355E9">
        <w:rPr>
          <w:rFonts w:ascii="Arial" w:hAnsi="Arial" w:cs="Arial"/>
          <w:color w:val="auto"/>
          <w:sz w:val="20"/>
          <w:szCs w:val="20"/>
        </w:rPr>
        <w:t xml:space="preserve"> June in six equal installments payable by 15</w:t>
      </w:r>
      <w:r w:rsidRPr="002355E9">
        <w:rPr>
          <w:rFonts w:ascii="Arial" w:hAnsi="Arial" w:cs="Arial"/>
          <w:color w:val="auto"/>
          <w:sz w:val="20"/>
          <w:szCs w:val="20"/>
          <w:vertAlign w:val="superscript"/>
        </w:rPr>
        <w:t>th</w:t>
      </w:r>
      <w:r w:rsidRPr="002355E9">
        <w:rPr>
          <w:rFonts w:ascii="Arial" w:hAnsi="Arial" w:cs="Arial"/>
          <w:color w:val="auto"/>
          <w:sz w:val="20"/>
          <w:szCs w:val="20"/>
        </w:rPr>
        <w:t xml:space="preserve"> of each succeeding month of the relevant tax year.]</w:t>
      </w:r>
    </w:p>
    <w:p w:rsidR="00AA4BF8" w:rsidRPr="002355E9" w:rsidRDefault="00AA4BF8" w:rsidP="00AA4BF8">
      <w:pPr>
        <w:pStyle w:val="3"/>
        <w:spacing w:line="272" w:lineRule="atLeast"/>
        <w:rPr>
          <w:rFonts w:ascii="Arial" w:hAnsi="Arial" w:cs="Arial"/>
          <w:color w:val="auto"/>
          <w:sz w:val="20"/>
          <w:szCs w:val="20"/>
        </w:rPr>
      </w:pPr>
    </w:p>
    <w:p w:rsidR="00AA4BF8" w:rsidRPr="002355E9" w:rsidRDefault="00AA4BF8" w:rsidP="00AA4BF8">
      <w:pPr>
        <w:pStyle w:val="3"/>
        <w:spacing w:line="272" w:lineRule="atLeast"/>
        <w:rPr>
          <w:rFonts w:ascii="Arial" w:hAnsi="Arial" w:cs="Arial"/>
          <w:color w:val="auto"/>
          <w:sz w:val="20"/>
          <w:szCs w:val="20"/>
        </w:rPr>
      </w:pPr>
      <w:r w:rsidRPr="002355E9">
        <w:rPr>
          <w:rFonts w:ascii="Arial" w:hAnsi="Arial" w:cs="Arial"/>
          <w:color w:val="auto"/>
          <w:sz w:val="20"/>
          <w:szCs w:val="20"/>
        </w:rPr>
        <w:tab/>
        <w:t>(2)</w:t>
      </w:r>
      <w:r w:rsidRPr="002355E9">
        <w:rPr>
          <w:rFonts w:ascii="Arial" w:hAnsi="Arial" w:cs="Arial"/>
          <w:color w:val="auto"/>
          <w:sz w:val="20"/>
          <w:szCs w:val="20"/>
        </w:rPr>
        <w:tab/>
        <w:t>Provisions of withholding tax under this Ordinance shall not apply to a banking company as a recipient of the amount on which tax is deductible.</w:t>
      </w:r>
    </w:p>
    <w:p w:rsidR="00AA4BF8" w:rsidRPr="002355E9" w:rsidRDefault="00AA4BF8" w:rsidP="00AA4BF8">
      <w:pPr>
        <w:pStyle w:val="1"/>
        <w:rPr>
          <w:rFonts w:ascii="Arial" w:hAnsi="Arial" w:cs="Arial"/>
          <w:color w:val="auto"/>
          <w:sz w:val="20"/>
          <w:szCs w:val="20"/>
        </w:rPr>
      </w:pPr>
    </w:p>
    <w:p w:rsidR="003622CC" w:rsidRPr="007642C5" w:rsidRDefault="00AA4BF8" w:rsidP="003622CC">
      <w:pPr>
        <w:pStyle w:val="1"/>
        <w:rPr>
          <w:rFonts w:ascii="Arial" w:hAnsi="Arial" w:cs="Arial"/>
          <w:color w:val="000000" w:themeColor="text1"/>
          <w:sz w:val="20"/>
          <w:szCs w:val="20"/>
        </w:rPr>
      </w:pPr>
      <w:r w:rsidRPr="002355E9">
        <w:rPr>
          <w:rFonts w:ascii="Arial" w:hAnsi="Arial" w:cs="Arial"/>
          <w:b/>
          <w:bCs/>
          <w:color w:val="auto"/>
          <w:sz w:val="20"/>
          <w:szCs w:val="20"/>
        </w:rPr>
        <w:tab/>
      </w:r>
      <w:r w:rsidRPr="002355E9">
        <w:rPr>
          <w:rFonts w:ascii="Arial" w:hAnsi="Arial" w:cs="Arial"/>
          <w:color w:val="auto"/>
          <w:sz w:val="20"/>
          <w:szCs w:val="20"/>
        </w:rPr>
        <w:t>6.</w:t>
      </w:r>
      <w:r w:rsidRPr="002355E9">
        <w:rPr>
          <w:rFonts w:ascii="Arial" w:hAnsi="Arial" w:cs="Arial"/>
          <w:b/>
          <w:bCs/>
          <w:color w:val="auto"/>
          <w:sz w:val="20"/>
          <w:szCs w:val="20"/>
        </w:rPr>
        <w:tab/>
      </w:r>
      <w:r w:rsidRPr="002355E9">
        <w:rPr>
          <w:rFonts w:ascii="Arial" w:hAnsi="Arial" w:cs="Arial"/>
          <w:i/>
          <w:iCs/>
          <w:color w:val="auto"/>
          <w:sz w:val="20"/>
          <w:szCs w:val="20"/>
        </w:rPr>
        <w:t>Tax on income computed</w:t>
      </w:r>
      <w:r w:rsidRPr="002355E9">
        <w:rPr>
          <w:rFonts w:ascii="Arial" w:hAnsi="Arial" w:cs="Arial"/>
          <w:b/>
          <w:bCs/>
          <w:color w:val="auto"/>
          <w:sz w:val="20"/>
          <w:szCs w:val="20"/>
        </w:rPr>
        <w:t>—</w:t>
      </w:r>
      <w:r w:rsidRPr="002355E9">
        <w:rPr>
          <w:rFonts w:ascii="Arial" w:hAnsi="Arial" w:cs="Arial"/>
          <w:color w:val="auto"/>
          <w:sz w:val="20"/>
          <w:szCs w:val="20"/>
        </w:rPr>
        <w:t xml:space="preserve">Income computed under this Schedule shall be chargeable to tax under the head “Income from Business” and tax payable thereon shall be computed at the rate applicable in Division II of Part I of the First Schedule. </w:t>
      </w:r>
      <w:r w:rsidR="003622CC" w:rsidRPr="007642C5">
        <w:rPr>
          <w:rStyle w:val="FootnoteReference"/>
          <w:rFonts w:ascii="Arial" w:hAnsi="Arial" w:cs="Arial"/>
          <w:color w:val="000000" w:themeColor="text1"/>
          <w:sz w:val="20"/>
          <w:szCs w:val="20"/>
        </w:rPr>
        <w:footnoteReference w:id="2455"/>
      </w:r>
      <w:r w:rsidR="003622CC" w:rsidRPr="007642C5">
        <w:rPr>
          <w:rFonts w:ascii="Arial" w:hAnsi="Arial" w:cs="Arial"/>
          <w:color w:val="000000" w:themeColor="text1"/>
          <w:sz w:val="20"/>
          <w:szCs w:val="20"/>
        </w:rPr>
        <w:t>[     ]</w:t>
      </w:r>
    </w:p>
    <w:p w:rsidR="003622CC" w:rsidRPr="007642C5" w:rsidRDefault="003622CC" w:rsidP="003622CC">
      <w:pPr>
        <w:pStyle w:val="1"/>
        <w:rPr>
          <w:rFonts w:ascii="Arial" w:hAnsi="Arial" w:cs="Arial"/>
          <w:color w:val="000000" w:themeColor="text1"/>
          <w:sz w:val="20"/>
          <w:szCs w:val="20"/>
        </w:rPr>
      </w:pPr>
    </w:p>
    <w:p w:rsidR="003622CC" w:rsidRPr="007642C5" w:rsidRDefault="003622CC" w:rsidP="003622CC">
      <w:pPr>
        <w:pStyle w:val="1"/>
        <w:rPr>
          <w:rFonts w:ascii="Arial" w:hAnsi="Arial" w:cs="Arial"/>
          <w:color w:val="000000" w:themeColor="text1"/>
          <w:sz w:val="20"/>
          <w:szCs w:val="20"/>
        </w:rPr>
      </w:pPr>
      <w:r w:rsidRPr="007642C5">
        <w:rPr>
          <w:rFonts w:ascii="Arial" w:hAnsi="Arial" w:cs="Arial"/>
          <w:color w:val="000000" w:themeColor="text1"/>
          <w:sz w:val="20"/>
          <w:szCs w:val="20"/>
        </w:rPr>
        <w:tab/>
      </w:r>
      <w:r w:rsidRPr="007642C5">
        <w:rPr>
          <w:rStyle w:val="FootnoteReference"/>
          <w:rFonts w:ascii="Arial" w:hAnsi="Arial" w:cs="Arial"/>
          <w:color w:val="000000" w:themeColor="text1"/>
          <w:sz w:val="20"/>
          <w:szCs w:val="20"/>
        </w:rPr>
        <w:footnoteReference w:id="2456"/>
      </w:r>
      <w:r w:rsidRPr="007642C5">
        <w:rPr>
          <w:rFonts w:ascii="Arial" w:hAnsi="Arial" w:cs="Arial"/>
          <w:color w:val="000000" w:themeColor="text1"/>
          <w:sz w:val="20"/>
          <w:szCs w:val="20"/>
        </w:rPr>
        <w:t>[    ]</w:t>
      </w:r>
    </w:p>
    <w:p w:rsidR="003622CC" w:rsidRPr="007642C5" w:rsidRDefault="003622CC" w:rsidP="003622CC">
      <w:pPr>
        <w:pStyle w:val="1"/>
        <w:rPr>
          <w:rFonts w:ascii="Arial" w:hAnsi="Arial" w:cs="Arial"/>
          <w:color w:val="000000" w:themeColor="text1"/>
          <w:sz w:val="20"/>
          <w:szCs w:val="20"/>
        </w:rPr>
      </w:pPr>
    </w:p>
    <w:p w:rsidR="003622CC" w:rsidRPr="007642C5" w:rsidRDefault="003622CC" w:rsidP="003622CC">
      <w:pPr>
        <w:pStyle w:val="1"/>
        <w:rPr>
          <w:rFonts w:ascii="Arial" w:hAnsi="Arial" w:cs="Arial"/>
          <w:color w:val="000000" w:themeColor="text1"/>
          <w:sz w:val="20"/>
          <w:szCs w:val="20"/>
        </w:rPr>
      </w:pPr>
      <w:r w:rsidRPr="007642C5">
        <w:rPr>
          <w:rFonts w:ascii="Arial" w:hAnsi="Arial" w:cs="Arial"/>
          <w:color w:val="000000" w:themeColor="text1"/>
          <w:sz w:val="20"/>
          <w:szCs w:val="20"/>
        </w:rPr>
        <w:tab/>
      </w:r>
      <w:r w:rsidRPr="007642C5">
        <w:rPr>
          <w:rStyle w:val="FootnoteReference"/>
          <w:rFonts w:ascii="Arial" w:hAnsi="Arial" w:cs="Arial"/>
          <w:color w:val="000000" w:themeColor="text1"/>
          <w:sz w:val="20"/>
          <w:szCs w:val="20"/>
        </w:rPr>
        <w:footnoteReference w:id="2457"/>
      </w:r>
      <w:r w:rsidRPr="007642C5">
        <w:rPr>
          <w:rFonts w:ascii="Arial" w:hAnsi="Arial" w:cs="Arial"/>
          <w:color w:val="000000" w:themeColor="text1"/>
          <w:sz w:val="20"/>
          <w:szCs w:val="20"/>
        </w:rPr>
        <w:t>[    ]</w:t>
      </w:r>
    </w:p>
    <w:p w:rsidR="003622CC" w:rsidRPr="007642C5" w:rsidRDefault="003622CC" w:rsidP="003622CC">
      <w:pPr>
        <w:pStyle w:val="1"/>
        <w:rPr>
          <w:rFonts w:ascii="Arial" w:hAnsi="Arial" w:cs="Arial"/>
          <w:color w:val="000000" w:themeColor="text1"/>
          <w:sz w:val="20"/>
          <w:szCs w:val="20"/>
        </w:rPr>
      </w:pPr>
    </w:p>
    <w:p w:rsidR="003622CC" w:rsidRPr="007642C5" w:rsidRDefault="003622CC" w:rsidP="003622CC">
      <w:pPr>
        <w:pStyle w:val="1"/>
        <w:rPr>
          <w:rFonts w:ascii="Arial" w:hAnsi="Arial" w:cs="Arial"/>
          <w:color w:val="000000" w:themeColor="text1"/>
          <w:sz w:val="20"/>
          <w:szCs w:val="20"/>
        </w:rPr>
      </w:pPr>
      <w:r w:rsidRPr="007642C5">
        <w:rPr>
          <w:rFonts w:ascii="Arial" w:hAnsi="Arial" w:cs="Arial"/>
          <w:color w:val="000000" w:themeColor="text1"/>
          <w:sz w:val="20"/>
          <w:szCs w:val="20"/>
        </w:rPr>
        <w:tab/>
      </w:r>
      <w:r w:rsidRPr="007642C5">
        <w:rPr>
          <w:rStyle w:val="FootnoteReference"/>
          <w:rFonts w:ascii="Arial" w:hAnsi="Arial" w:cs="Arial"/>
          <w:color w:val="000000" w:themeColor="text1"/>
          <w:sz w:val="20"/>
          <w:szCs w:val="20"/>
        </w:rPr>
        <w:footnoteReference w:id="2458"/>
      </w:r>
      <w:r w:rsidRPr="007642C5">
        <w:rPr>
          <w:rFonts w:ascii="Arial" w:hAnsi="Arial" w:cs="Arial"/>
          <w:color w:val="000000" w:themeColor="text1"/>
          <w:sz w:val="20"/>
          <w:szCs w:val="20"/>
        </w:rPr>
        <w:t>[    ]</w:t>
      </w:r>
    </w:p>
    <w:p w:rsidR="00AA4BF8" w:rsidRPr="002355E9" w:rsidRDefault="00AA4BF8" w:rsidP="00AA4BF8">
      <w:pPr>
        <w:pStyle w:val="1"/>
        <w:ind w:left="1641"/>
        <w:rPr>
          <w:rFonts w:ascii="Arial" w:hAnsi="Arial" w:cs="Arial"/>
          <w:color w:val="auto"/>
          <w:sz w:val="20"/>
          <w:szCs w:val="20"/>
        </w:rPr>
      </w:pPr>
    </w:p>
    <w:p w:rsidR="00AA4BF8" w:rsidRPr="002355E9" w:rsidRDefault="00AA4BF8" w:rsidP="00AA4BF8">
      <w:pPr>
        <w:pStyle w:val="1"/>
        <w:ind w:left="1641"/>
        <w:rPr>
          <w:rFonts w:ascii="Arial" w:hAnsi="Arial" w:cs="Arial"/>
          <w:color w:val="auto"/>
          <w:sz w:val="20"/>
          <w:szCs w:val="20"/>
        </w:rPr>
      </w:pPr>
    </w:p>
    <w:p w:rsidR="00AA4BF8" w:rsidRPr="007642C5" w:rsidRDefault="0051584C" w:rsidP="0051584C">
      <w:pPr>
        <w:pStyle w:val="1"/>
        <w:rPr>
          <w:rFonts w:ascii="Arial" w:hAnsi="Arial" w:cs="Arial"/>
          <w:color w:val="000000" w:themeColor="text1"/>
          <w:sz w:val="20"/>
          <w:szCs w:val="20"/>
        </w:rPr>
      </w:pPr>
      <w:r w:rsidRPr="007642C5">
        <w:rPr>
          <w:rStyle w:val="FootnoteReference"/>
          <w:rFonts w:ascii="Arial" w:hAnsi="Arial" w:cs="Arial"/>
          <w:color w:val="000000" w:themeColor="text1"/>
          <w:sz w:val="20"/>
          <w:szCs w:val="20"/>
        </w:rPr>
        <w:footnoteReference w:id="2459"/>
      </w:r>
      <w:r w:rsidRPr="007642C5">
        <w:rPr>
          <w:rFonts w:ascii="Arial" w:hAnsi="Arial" w:cs="Arial"/>
          <w:color w:val="000000" w:themeColor="text1"/>
          <w:sz w:val="20"/>
          <w:szCs w:val="20"/>
        </w:rPr>
        <w:t xml:space="preserve">[  </w:t>
      </w:r>
      <w:r w:rsidR="007642C5" w:rsidRPr="007642C5">
        <w:rPr>
          <w:rFonts w:ascii="Arial" w:hAnsi="Arial" w:cs="Arial"/>
          <w:color w:val="000000" w:themeColor="text1"/>
          <w:sz w:val="20"/>
          <w:szCs w:val="20"/>
        </w:rPr>
        <w:t xml:space="preserve"> </w:t>
      </w:r>
      <w:r w:rsidRPr="007642C5">
        <w:rPr>
          <w:rFonts w:ascii="Arial" w:hAnsi="Arial" w:cs="Arial"/>
          <w:color w:val="000000" w:themeColor="text1"/>
          <w:sz w:val="20"/>
          <w:szCs w:val="20"/>
        </w:rPr>
        <w:t>]</w:t>
      </w:r>
    </w:p>
    <w:p w:rsidR="00AA4BF8" w:rsidRPr="007642C5" w:rsidRDefault="00AA4BF8" w:rsidP="00AA4BF8">
      <w:pPr>
        <w:pStyle w:val="1"/>
        <w:rPr>
          <w:rFonts w:ascii="Arial" w:hAnsi="Arial" w:cs="Arial"/>
          <w:color w:val="000000" w:themeColor="text1"/>
          <w:sz w:val="20"/>
          <w:szCs w:val="20"/>
        </w:rPr>
      </w:pPr>
    </w:p>
    <w:p w:rsidR="00AA4BF8" w:rsidRPr="007642C5" w:rsidRDefault="008F7A4A" w:rsidP="008F7A4A">
      <w:pPr>
        <w:pStyle w:val="1"/>
        <w:rPr>
          <w:rFonts w:ascii="Arial" w:hAnsi="Arial" w:cs="Arial"/>
          <w:color w:val="000000" w:themeColor="text1"/>
          <w:sz w:val="20"/>
          <w:szCs w:val="20"/>
        </w:rPr>
      </w:pPr>
      <w:r w:rsidRPr="007642C5">
        <w:rPr>
          <w:rStyle w:val="FootnoteReference"/>
          <w:rFonts w:ascii="Arial" w:hAnsi="Arial" w:cs="Arial"/>
          <w:color w:val="000000" w:themeColor="text1"/>
          <w:sz w:val="20"/>
          <w:szCs w:val="20"/>
        </w:rPr>
        <w:footnoteReference w:id="2460"/>
      </w:r>
      <w:r w:rsidRPr="007642C5">
        <w:rPr>
          <w:rFonts w:ascii="Arial" w:hAnsi="Arial" w:cs="Arial"/>
          <w:color w:val="000000" w:themeColor="text1"/>
          <w:sz w:val="20"/>
          <w:szCs w:val="20"/>
        </w:rPr>
        <w:t xml:space="preserve">[ </w:t>
      </w:r>
      <w:r w:rsidR="007642C5" w:rsidRPr="007642C5">
        <w:rPr>
          <w:rFonts w:ascii="Arial" w:hAnsi="Arial" w:cs="Arial"/>
          <w:color w:val="000000" w:themeColor="text1"/>
          <w:sz w:val="20"/>
          <w:szCs w:val="20"/>
        </w:rPr>
        <w:t xml:space="preserve">  </w:t>
      </w:r>
      <w:r w:rsidRPr="007642C5">
        <w:rPr>
          <w:rFonts w:ascii="Arial" w:hAnsi="Arial" w:cs="Arial"/>
          <w:color w:val="000000" w:themeColor="text1"/>
          <w:sz w:val="20"/>
          <w:szCs w:val="20"/>
        </w:rPr>
        <w:t>]</w:t>
      </w:r>
    </w:p>
    <w:p w:rsidR="00AA4BF8" w:rsidRPr="002355E9" w:rsidRDefault="00AA4BF8" w:rsidP="00AA4BF8">
      <w:pPr>
        <w:pStyle w:val="1"/>
        <w:rPr>
          <w:rFonts w:ascii="Arial" w:hAnsi="Arial" w:cs="Arial"/>
          <w:color w:val="0070C0"/>
          <w:sz w:val="20"/>
          <w:szCs w:val="20"/>
        </w:rPr>
      </w:pPr>
    </w:p>
    <w:p w:rsidR="00AA4BF8" w:rsidRPr="002355E9" w:rsidRDefault="00AA4BF8" w:rsidP="00AA4BF8">
      <w:pPr>
        <w:pStyle w:val="1"/>
        <w:rPr>
          <w:rFonts w:ascii="Arial" w:hAnsi="Arial" w:cs="Arial"/>
          <w:color w:val="auto"/>
          <w:sz w:val="20"/>
          <w:szCs w:val="20"/>
        </w:rPr>
      </w:pPr>
      <w:r w:rsidRPr="002355E9">
        <w:rPr>
          <w:rFonts w:ascii="Arial" w:hAnsi="Arial" w:cs="Arial"/>
          <w:color w:val="auto"/>
          <w:sz w:val="20"/>
          <w:szCs w:val="20"/>
        </w:rPr>
        <w:tab/>
      </w:r>
      <w:r w:rsidRPr="002355E9">
        <w:rPr>
          <w:rStyle w:val="FootnoteReference"/>
          <w:rFonts w:ascii="Arial" w:hAnsi="Arial" w:cs="Arial"/>
          <w:color w:val="auto"/>
          <w:sz w:val="20"/>
          <w:szCs w:val="20"/>
        </w:rPr>
        <w:footnoteReference w:id="2461"/>
      </w:r>
      <w:r w:rsidRPr="002355E9">
        <w:rPr>
          <w:rFonts w:ascii="Arial" w:hAnsi="Arial" w:cs="Arial"/>
          <w:color w:val="auto"/>
          <w:sz w:val="20"/>
          <w:szCs w:val="20"/>
        </w:rPr>
        <w:t>[  ]</w:t>
      </w:r>
    </w:p>
    <w:p w:rsidR="00AA4BF8" w:rsidRPr="002355E9" w:rsidRDefault="00AA4BF8" w:rsidP="00AA4BF8">
      <w:pPr>
        <w:pStyle w:val="1"/>
        <w:rPr>
          <w:rFonts w:ascii="Arial" w:hAnsi="Arial" w:cs="Arial"/>
          <w:color w:val="auto"/>
          <w:sz w:val="20"/>
          <w:szCs w:val="20"/>
        </w:rPr>
      </w:pPr>
    </w:p>
    <w:p w:rsidR="00AA4BF8" w:rsidRDefault="00A3742C" w:rsidP="00AA4BF8">
      <w:pPr>
        <w:pStyle w:val="1"/>
        <w:rPr>
          <w:rFonts w:ascii="Arial" w:hAnsi="Arial" w:cs="Arial"/>
          <w:color w:val="auto"/>
          <w:sz w:val="20"/>
          <w:szCs w:val="20"/>
        </w:rPr>
      </w:pPr>
      <w:r>
        <w:rPr>
          <w:rFonts w:ascii="Arial" w:hAnsi="Arial" w:cs="Arial"/>
          <w:color w:val="auto"/>
          <w:sz w:val="20"/>
          <w:szCs w:val="20"/>
        </w:rPr>
        <w:tab/>
      </w:r>
      <w:r w:rsidR="00AA4BF8" w:rsidRPr="002355E9">
        <w:rPr>
          <w:rStyle w:val="FootnoteReference"/>
          <w:rFonts w:ascii="Arial" w:hAnsi="Arial" w:cs="Arial"/>
          <w:color w:val="auto"/>
          <w:sz w:val="20"/>
          <w:szCs w:val="20"/>
          <w:lang w:val="en-AU"/>
        </w:rPr>
        <w:footnoteReference w:id="2462"/>
      </w:r>
      <w:r w:rsidR="00AA4BF8" w:rsidRPr="002355E9">
        <w:rPr>
          <w:rFonts w:ascii="Arial" w:hAnsi="Arial" w:cs="Arial"/>
          <w:color w:val="auto"/>
          <w:sz w:val="20"/>
          <w:szCs w:val="20"/>
        </w:rPr>
        <w:t>[7A. The provisions of section 113 shall apply to banking companies as they apply to any other resident company.]</w:t>
      </w:r>
    </w:p>
    <w:p w:rsidR="00A3742C" w:rsidRDefault="00A3742C" w:rsidP="00AA4BF8">
      <w:pPr>
        <w:pStyle w:val="1"/>
        <w:rPr>
          <w:rFonts w:ascii="Arial" w:hAnsi="Arial" w:cs="Arial"/>
          <w:color w:val="auto"/>
          <w:sz w:val="20"/>
          <w:szCs w:val="20"/>
        </w:rPr>
      </w:pPr>
    </w:p>
    <w:p w:rsidR="00A3742C" w:rsidRPr="007642C5" w:rsidRDefault="00A3742C" w:rsidP="00A3742C">
      <w:pPr>
        <w:autoSpaceDE w:val="0"/>
        <w:autoSpaceDN w:val="0"/>
        <w:adjustRightInd w:val="0"/>
        <w:jc w:val="both"/>
        <w:rPr>
          <w:rFonts w:cs="Arial"/>
          <w:color w:val="000000" w:themeColor="text1"/>
          <w:sz w:val="20"/>
          <w:lang w:val="en-US"/>
        </w:rPr>
      </w:pPr>
      <w:r>
        <w:rPr>
          <w:rFonts w:cs="Arial"/>
          <w:sz w:val="20"/>
        </w:rPr>
        <w:tab/>
      </w:r>
      <w:r w:rsidRPr="007642C5">
        <w:rPr>
          <w:rStyle w:val="FootnoteReference"/>
          <w:rFonts w:cs="Arial"/>
          <w:color w:val="000000" w:themeColor="text1"/>
          <w:sz w:val="20"/>
        </w:rPr>
        <w:footnoteReference w:id="2463"/>
      </w:r>
      <w:r w:rsidRPr="007642C5">
        <w:rPr>
          <w:rFonts w:cs="Arial"/>
          <w:color w:val="000000" w:themeColor="text1"/>
          <w:sz w:val="20"/>
        </w:rPr>
        <w:t>[“</w:t>
      </w:r>
      <w:r w:rsidRPr="007642C5">
        <w:rPr>
          <w:rFonts w:cs="Arial"/>
          <w:color w:val="000000" w:themeColor="text1"/>
          <w:sz w:val="20"/>
          <w:lang w:val="en-US"/>
        </w:rPr>
        <w:t>(7B) From tax year 2015 and onwards, income from Dividend and income from Capital Gains shall be taxed at the rate specified in Division II of Part I of First Schedule.</w:t>
      </w:r>
    </w:p>
    <w:p w:rsidR="00A3742C" w:rsidRPr="007642C5" w:rsidRDefault="00A3742C" w:rsidP="00A3742C">
      <w:pPr>
        <w:autoSpaceDE w:val="0"/>
        <w:autoSpaceDN w:val="0"/>
        <w:adjustRightInd w:val="0"/>
        <w:jc w:val="both"/>
        <w:rPr>
          <w:rFonts w:cs="Arial"/>
          <w:color w:val="000000" w:themeColor="text1"/>
          <w:sz w:val="20"/>
          <w:lang w:val="en-US"/>
        </w:rPr>
      </w:pPr>
    </w:p>
    <w:p w:rsidR="00A3742C" w:rsidRPr="007642C5" w:rsidRDefault="00B01064" w:rsidP="00A3742C">
      <w:pPr>
        <w:autoSpaceDE w:val="0"/>
        <w:autoSpaceDN w:val="0"/>
        <w:adjustRightInd w:val="0"/>
        <w:ind w:firstLine="547"/>
        <w:jc w:val="both"/>
        <w:rPr>
          <w:rFonts w:cs="Arial"/>
          <w:color w:val="000000" w:themeColor="text1"/>
          <w:sz w:val="20"/>
        </w:rPr>
      </w:pPr>
      <w:r w:rsidRPr="007642C5">
        <w:rPr>
          <w:rFonts w:cs="Arial"/>
          <w:color w:val="000000" w:themeColor="text1"/>
          <w:sz w:val="20"/>
          <w:lang w:val="en-US"/>
        </w:rPr>
        <w:t xml:space="preserve">   </w:t>
      </w:r>
      <w:r w:rsidR="00A3742C" w:rsidRPr="007642C5">
        <w:rPr>
          <w:rFonts w:cs="Arial"/>
          <w:color w:val="000000" w:themeColor="text1"/>
          <w:sz w:val="20"/>
          <w:lang w:val="en-US"/>
        </w:rPr>
        <w:t>(7C) For tax year 2015</w:t>
      </w:r>
      <w:r>
        <w:rPr>
          <w:rFonts w:cs="Arial"/>
          <w:color w:val="984806" w:themeColor="accent6" w:themeShade="80"/>
          <w:sz w:val="20"/>
          <w:lang w:val="en-US"/>
        </w:rPr>
        <w:t xml:space="preserve"> </w:t>
      </w:r>
      <w:r w:rsidRPr="000E5E48">
        <w:rPr>
          <w:rStyle w:val="FootnoteReference"/>
          <w:rFonts w:cs="Arial"/>
          <w:color w:val="0070C0"/>
          <w:sz w:val="20"/>
          <w:lang w:val="en-US"/>
        </w:rPr>
        <w:footnoteReference w:id="2464"/>
      </w:r>
      <w:r w:rsidRPr="000E5E48">
        <w:rPr>
          <w:rFonts w:cs="Arial"/>
          <w:color w:val="0070C0"/>
          <w:sz w:val="20"/>
          <w:lang w:val="en-US"/>
        </w:rPr>
        <w:t>[and 2016]</w:t>
      </w:r>
      <w:r w:rsidR="00A3742C" w:rsidRPr="007642C5">
        <w:rPr>
          <w:rFonts w:cs="Arial"/>
          <w:color w:val="000000" w:themeColor="text1"/>
          <w:sz w:val="20"/>
          <w:lang w:val="en-US"/>
        </w:rPr>
        <w:t>,</w:t>
      </w:r>
      <w:r w:rsidR="00A3742C" w:rsidRPr="00A3742C">
        <w:rPr>
          <w:rFonts w:cs="Arial"/>
          <w:color w:val="984806" w:themeColor="accent6" w:themeShade="80"/>
          <w:sz w:val="20"/>
          <w:lang w:val="en-US"/>
        </w:rPr>
        <w:t xml:space="preserve"> </w:t>
      </w:r>
      <w:r w:rsidR="00A3742C" w:rsidRPr="007642C5">
        <w:rPr>
          <w:rFonts w:cs="Arial"/>
          <w:color w:val="000000" w:themeColor="text1"/>
          <w:sz w:val="20"/>
          <w:lang w:val="en-US"/>
        </w:rPr>
        <w:t>the provisions of section 4B shall apply to banking companies and shall be taxed at the rate specified in Division IIA of Part I of First Schedule.”]</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1"/>
        <w:rPr>
          <w:rFonts w:ascii="Arial" w:hAnsi="Arial" w:cs="Arial"/>
          <w:color w:val="auto"/>
          <w:sz w:val="20"/>
          <w:szCs w:val="20"/>
        </w:rPr>
      </w:pPr>
      <w:r w:rsidRPr="002355E9">
        <w:rPr>
          <w:rFonts w:ascii="Arial" w:hAnsi="Arial" w:cs="Arial"/>
          <w:color w:val="auto"/>
          <w:sz w:val="20"/>
          <w:szCs w:val="20"/>
        </w:rPr>
        <w:tab/>
        <w:t>8.</w:t>
      </w:r>
      <w:r w:rsidRPr="002355E9">
        <w:rPr>
          <w:rFonts w:ascii="Arial" w:hAnsi="Arial" w:cs="Arial"/>
          <w:b/>
          <w:bCs/>
          <w:color w:val="auto"/>
          <w:sz w:val="20"/>
          <w:szCs w:val="20"/>
        </w:rPr>
        <w:tab/>
      </w:r>
      <w:r w:rsidRPr="002355E9">
        <w:rPr>
          <w:rFonts w:ascii="Arial" w:hAnsi="Arial" w:cs="Arial"/>
          <w:i/>
          <w:iCs/>
          <w:color w:val="auto"/>
          <w:sz w:val="20"/>
          <w:szCs w:val="20"/>
        </w:rPr>
        <w:t>Exemptions</w:t>
      </w:r>
      <w:r w:rsidRPr="002355E9">
        <w:rPr>
          <w:rFonts w:ascii="Arial" w:hAnsi="Arial" w:cs="Arial"/>
          <w:b/>
          <w:bCs/>
          <w:color w:val="auto"/>
          <w:sz w:val="20"/>
          <w:szCs w:val="20"/>
        </w:rPr>
        <w:t>—</w:t>
      </w:r>
      <w:r w:rsidRPr="002355E9">
        <w:rPr>
          <w:rFonts w:ascii="Arial" w:hAnsi="Arial" w:cs="Arial"/>
          <w:color w:val="auto"/>
          <w:sz w:val="20"/>
          <w:szCs w:val="20"/>
        </w:rPr>
        <w:t>(1) Exemptions and tax concessions under the Second Schedule to this Ordinance shall not apply to income of a banking company computed under this Schedule.</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1"/>
        <w:rPr>
          <w:rFonts w:ascii="Arial" w:hAnsi="Arial" w:cs="Arial"/>
          <w:color w:val="auto"/>
          <w:sz w:val="20"/>
          <w:szCs w:val="20"/>
        </w:rPr>
      </w:pPr>
      <w:r w:rsidRPr="002355E9">
        <w:rPr>
          <w:rFonts w:ascii="Arial" w:hAnsi="Arial" w:cs="Arial"/>
          <w:color w:val="auto"/>
          <w:sz w:val="20"/>
          <w:szCs w:val="20"/>
        </w:rPr>
        <w:tab/>
      </w:r>
      <w:r w:rsidRPr="002355E9">
        <w:rPr>
          <w:rStyle w:val="FootnoteReference"/>
          <w:rFonts w:ascii="Arial" w:hAnsi="Arial" w:cs="Arial"/>
          <w:color w:val="auto"/>
          <w:sz w:val="20"/>
          <w:szCs w:val="20"/>
        </w:rPr>
        <w:footnoteReference w:id="2465"/>
      </w:r>
      <w:r w:rsidRPr="002355E9">
        <w:rPr>
          <w:rFonts w:ascii="Arial" w:hAnsi="Arial" w:cs="Arial"/>
          <w:color w:val="auto"/>
          <w:sz w:val="20"/>
          <w:szCs w:val="20"/>
        </w:rPr>
        <w:t xml:space="preserve">[(1A) The accumulated loss under the head “Income from Business” (not being speculation business losses) of an amalgamating banking company or banking companies shall be set off or carried forward against the business profits and gains of the amalgamated company and vice versa, up to a period of six tax years immediately succeeding the tax year in which the loss was first computed </w:t>
      </w:r>
      <w:r w:rsidRPr="002355E9">
        <w:rPr>
          <w:rFonts w:ascii="Arial" w:hAnsi="Arial" w:cs="Arial"/>
          <w:color w:val="auto"/>
          <w:sz w:val="20"/>
          <w:szCs w:val="20"/>
        </w:rPr>
        <w:lastRenderedPageBreak/>
        <w:t>in the case of amalgamated banking company or amalgamating banking company or companies.]</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1"/>
        <w:rPr>
          <w:rFonts w:ascii="Arial" w:hAnsi="Arial" w:cs="Arial"/>
          <w:color w:val="auto"/>
          <w:sz w:val="20"/>
          <w:szCs w:val="20"/>
        </w:rPr>
      </w:pPr>
      <w:r w:rsidRPr="002355E9">
        <w:rPr>
          <w:rFonts w:ascii="Arial" w:hAnsi="Arial" w:cs="Arial"/>
          <w:color w:val="auto"/>
          <w:sz w:val="20"/>
          <w:szCs w:val="20"/>
        </w:rPr>
        <w:tab/>
        <w:t>(2) The provisions relating to group relief as contained in section 59B shall be available to the banking companies provided the holding and subsidiary companies are banking companies. The accounts of the group companies shall be audited by the chartered accountants firm on the panel of auditors of the State Bank of Pakistan. The surrender and claim of loss would be subject to the approval of the State Bank of Pakistan.</w:t>
      </w:r>
    </w:p>
    <w:p w:rsidR="00AA4BF8" w:rsidRPr="002355E9" w:rsidRDefault="00AA4BF8" w:rsidP="00AA4BF8">
      <w:pPr>
        <w:pStyle w:val="1"/>
        <w:rPr>
          <w:rFonts w:ascii="Arial" w:hAnsi="Arial" w:cs="Arial"/>
          <w:color w:val="auto"/>
          <w:sz w:val="20"/>
          <w:szCs w:val="20"/>
        </w:rPr>
      </w:pPr>
    </w:p>
    <w:p w:rsidR="00AA4BF8" w:rsidRPr="002355E9" w:rsidRDefault="00AA4BF8" w:rsidP="00AA4BF8">
      <w:pPr>
        <w:pStyle w:val="1"/>
        <w:rPr>
          <w:rFonts w:ascii="Arial" w:hAnsi="Arial" w:cs="Arial"/>
          <w:color w:val="auto"/>
          <w:sz w:val="20"/>
          <w:szCs w:val="20"/>
        </w:rPr>
      </w:pPr>
      <w:r w:rsidRPr="002355E9">
        <w:rPr>
          <w:rFonts w:ascii="Arial" w:hAnsi="Arial" w:cs="Arial"/>
          <w:color w:val="auto"/>
          <w:sz w:val="20"/>
          <w:szCs w:val="20"/>
        </w:rPr>
        <w:tab/>
        <w:t>(3) The holding and subsidiary companies of 100% owned group of banking companies may opt to be taxed as one fiscal unit as per the provisions of section 59AA relating to group taxation subject to the approval of the State Bank of Pakistan.</w:t>
      </w:r>
    </w:p>
    <w:p w:rsidR="00AA4BF8" w:rsidRPr="002355E9" w:rsidRDefault="00AA4BF8" w:rsidP="00AA4BF8">
      <w:pPr>
        <w:pStyle w:val="1"/>
        <w:tabs>
          <w:tab w:val="clear" w:pos="720"/>
          <w:tab w:val="clear" w:pos="1200"/>
        </w:tabs>
        <w:rPr>
          <w:rFonts w:ascii="Arial" w:hAnsi="Arial" w:cs="Arial"/>
          <w:color w:val="auto"/>
          <w:sz w:val="20"/>
          <w:szCs w:val="20"/>
        </w:rPr>
      </w:pPr>
    </w:p>
    <w:p w:rsidR="00AA4BF8" w:rsidRPr="002355E9" w:rsidRDefault="00AA4BF8" w:rsidP="00AA4BF8">
      <w:pPr>
        <w:pStyle w:val="1"/>
        <w:tabs>
          <w:tab w:val="clear" w:pos="720"/>
          <w:tab w:val="clear" w:pos="1200"/>
        </w:tabs>
        <w:rPr>
          <w:rFonts w:ascii="Arial" w:hAnsi="Arial" w:cs="Arial"/>
          <w:color w:val="auto"/>
          <w:sz w:val="20"/>
          <w:szCs w:val="20"/>
        </w:rPr>
      </w:pPr>
      <w:r w:rsidRPr="002355E9">
        <w:rPr>
          <w:rFonts w:ascii="Arial" w:hAnsi="Arial" w:cs="Arial"/>
          <w:color w:val="auto"/>
          <w:sz w:val="20"/>
          <w:szCs w:val="20"/>
        </w:rPr>
        <w:tab/>
      </w:r>
      <w:r w:rsidRPr="002355E9">
        <w:rPr>
          <w:rStyle w:val="FootnoteReference"/>
          <w:rFonts w:ascii="Arial" w:hAnsi="Arial" w:cs="Arial"/>
          <w:color w:val="auto"/>
          <w:sz w:val="20"/>
          <w:szCs w:val="20"/>
        </w:rPr>
        <w:footnoteReference w:id="2466"/>
      </w:r>
      <w:r w:rsidRPr="002355E9">
        <w:rPr>
          <w:rFonts w:ascii="Arial" w:hAnsi="Arial" w:cs="Arial"/>
          <w:color w:val="auto"/>
          <w:sz w:val="20"/>
          <w:szCs w:val="20"/>
        </w:rPr>
        <w:t xml:space="preserve">[8A. </w:t>
      </w:r>
      <w:r w:rsidRPr="002355E9">
        <w:rPr>
          <w:rFonts w:ascii="Arial" w:hAnsi="Arial" w:cs="Arial"/>
          <w:color w:val="auto"/>
          <w:sz w:val="20"/>
          <w:szCs w:val="20"/>
        </w:rPr>
        <w:tab/>
      </w:r>
      <w:r w:rsidRPr="002355E9">
        <w:rPr>
          <w:rFonts w:ascii="Arial" w:hAnsi="Arial" w:cs="Arial"/>
          <w:i/>
          <w:iCs/>
          <w:color w:val="auto"/>
          <w:sz w:val="20"/>
          <w:szCs w:val="20"/>
        </w:rPr>
        <w:t>Transitional provisions.</w:t>
      </w:r>
      <w:r w:rsidRPr="002355E9">
        <w:rPr>
          <w:rFonts w:ascii="Arial" w:hAnsi="Arial" w:cs="Arial"/>
          <w:color w:val="auto"/>
          <w:sz w:val="20"/>
          <w:szCs w:val="20"/>
        </w:rPr>
        <w:t>— (1) Amounts provided for in the tax year 2008 and prior to the said tax year for or against irrecoverable or doubtful advances, which were neither claimed nor allowed as a tax deductible in any tax year, shall be allowed in the tax year in which such advances are actually written off against such provisions, in accordance with the provision of section 29 and 29A.</w:t>
      </w:r>
    </w:p>
    <w:p w:rsidR="00AA4BF8" w:rsidRPr="002355E9" w:rsidRDefault="00AA4BF8" w:rsidP="00AA4BF8">
      <w:pPr>
        <w:pStyle w:val="1"/>
        <w:tabs>
          <w:tab w:val="clear" w:pos="720"/>
          <w:tab w:val="clear" w:pos="1200"/>
        </w:tabs>
        <w:rPr>
          <w:rFonts w:ascii="Arial" w:hAnsi="Arial" w:cs="Arial"/>
          <w:color w:val="auto"/>
          <w:sz w:val="20"/>
          <w:szCs w:val="20"/>
        </w:rPr>
      </w:pPr>
    </w:p>
    <w:p w:rsidR="00AA4BF8" w:rsidRPr="002355E9" w:rsidRDefault="00AA4BF8" w:rsidP="00AA4BF8">
      <w:pPr>
        <w:pStyle w:val="1"/>
        <w:tabs>
          <w:tab w:val="clear" w:pos="720"/>
          <w:tab w:val="clear" w:pos="1200"/>
        </w:tabs>
        <w:rPr>
          <w:rFonts w:ascii="Arial" w:hAnsi="Arial" w:cs="Arial"/>
          <w:color w:val="auto"/>
          <w:sz w:val="20"/>
          <w:szCs w:val="20"/>
        </w:rPr>
      </w:pPr>
      <w:r w:rsidRPr="002355E9">
        <w:rPr>
          <w:rFonts w:ascii="Arial" w:hAnsi="Arial" w:cs="Arial"/>
          <w:color w:val="auto"/>
          <w:sz w:val="20"/>
          <w:szCs w:val="20"/>
        </w:rPr>
        <w:tab/>
        <w:t xml:space="preserve">(2) </w:t>
      </w:r>
      <w:r w:rsidRPr="002355E9">
        <w:rPr>
          <w:rFonts w:ascii="Arial" w:hAnsi="Arial" w:cs="Arial"/>
          <w:color w:val="auto"/>
          <w:sz w:val="20"/>
          <w:szCs w:val="20"/>
        </w:rPr>
        <w:tab/>
        <w:t>Amounts provided for in the tax year 2008 and prior to the said tax year for or against irrecoverable or doubtful advances, which were neither claimed nor allowed as a tax deductible in any tax year, which are written back in the tax year 2009 and thereafter in any tax year and credited to the profit and loss account, shall be excluded in computing the total income of that tax year under rule 1 of this Schedule.</w:t>
      </w:r>
    </w:p>
    <w:p w:rsidR="00AA4BF8" w:rsidRPr="002355E9" w:rsidRDefault="00AA4BF8" w:rsidP="00AA4BF8">
      <w:pPr>
        <w:pStyle w:val="1"/>
        <w:tabs>
          <w:tab w:val="clear" w:pos="720"/>
          <w:tab w:val="clear" w:pos="1200"/>
        </w:tabs>
        <w:rPr>
          <w:rFonts w:ascii="Arial" w:hAnsi="Arial" w:cs="Arial"/>
          <w:color w:val="auto"/>
          <w:sz w:val="20"/>
          <w:szCs w:val="20"/>
        </w:rPr>
      </w:pPr>
    </w:p>
    <w:p w:rsidR="00AA4BF8" w:rsidRPr="002355E9" w:rsidRDefault="00AA4BF8" w:rsidP="00AA4BF8">
      <w:pPr>
        <w:pStyle w:val="1"/>
        <w:tabs>
          <w:tab w:val="clear" w:pos="720"/>
          <w:tab w:val="clear" w:pos="1200"/>
        </w:tabs>
        <w:rPr>
          <w:rFonts w:ascii="Arial" w:hAnsi="Arial" w:cs="Arial"/>
          <w:color w:val="auto"/>
          <w:sz w:val="20"/>
          <w:szCs w:val="20"/>
        </w:rPr>
      </w:pPr>
      <w:r w:rsidRPr="002355E9">
        <w:rPr>
          <w:rFonts w:ascii="Arial" w:hAnsi="Arial" w:cs="Arial"/>
          <w:color w:val="auto"/>
          <w:sz w:val="20"/>
          <w:szCs w:val="20"/>
        </w:rPr>
        <w:tab/>
        <w:t xml:space="preserve">(3) </w:t>
      </w:r>
      <w:r w:rsidRPr="002355E9">
        <w:rPr>
          <w:rFonts w:ascii="Arial" w:hAnsi="Arial" w:cs="Arial"/>
          <w:color w:val="auto"/>
          <w:sz w:val="20"/>
          <w:szCs w:val="20"/>
        </w:rPr>
        <w:tab/>
        <w:t>The provisions of this Schedule shall not apply to any asset given or acquired on finance lease by a banking company up to the tax year 2008, and recognition of income and deductions in respect of such asset shall be dealt in accordance with the provisions of the Ordinance as if this Schedule has not come into force:</w:t>
      </w:r>
    </w:p>
    <w:p w:rsidR="00AA4BF8" w:rsidRPr="002355E9" w:rsidRDefault="00AA4BF8" w:rsidP="00AA4BF8">
      <w:pPr>
        <w:pStyle w:val="1"/>
        <w:tabs>
          <w:tab w:val="clear" w:pos="720"/>
          <w:tab w:val="clear" w:pos="1200"/>
        </w:tabs>
        <w:rPr>
          <w:rFonts w:ascii="Arial" w:hAnsi="Arial" w:cs="Arial"/>
          <w:color w:val="auto"/>
          <w:sz w:val="20"/>
          <w:szCs w:val="20"/>
        </w:rPr>
      </w:pPr>
    </w:p>
    <w:p w:rsidR="00AA4BF8" w:rsidRPr="002355E9" w:rsidRDefault="00AA4BF8" w:rsidP="00AA4BF8">
      <w:pPr>
        <w:pStyle w:val="1"/>
        <w:tabs>
          <w:tab w:val="clear" w:pos="720"/>
          <w:tab w:val="clear" w:pos="1200"/>
        </w:tabs>
        <w:ind w:left="1094" w:firstLine="541"/>
        <w:rPr>
          <w:rFonts w:ascii="Arial" w:hAnsi="Arial" w:cs="Arial"/>
          <w:color w:val="auto"/>
          <w:sz w:val="20"/>
          <w:szCs w:val="20"/>
        </w:rPr>
      </w:pPr>
      <w:r w:rsidRPr="002355E9">
        <w:rPr>
          <w:rFonts w:ascii="Arial" w:hAnsi="Arial" w:cs="Arial"/>
          <w:color w:val="auto"/>
          <w:sz w:val="20"/>
          <w:szCs w:val="20"/>
        </w:rPr>
        <w:t>Provided that un-absorbed depreciation in respect of such assets shall be allowed to be set-off against the said lease rental income only.]</w:t>
      </w:r>
    </w:p>
    <w:p w:rsidR="00AA4BF8" w:rsidRPr="002355E9" w:rsidRDefault="00AA4BF8" w:rsidP="00AA4BF8">
      <w:pPr>
        <w:pStyle w:val="1"/>
        <w:tabs>
          <w:tab w:val="clear" w:pos="720"/>
          <w:tab w:val="clear" w:pos="1200"/>
        </w:tabs>
        <w:rPr>
          <w:rFonts w:ascii="Arial" w:hAnsi="Arial" w:cs="Arial"/>
          <w:color w:val="auto"/>
          <w:sz w:val="20"/>
          <w:szCs w:val="20"/>
        </w:rPr>
      </w:pPr>
    </w:p>
    <w:p w:rsidR="00AA4BF8" w:rsidRPr="002355E9" w:rsidRDefault="00AA4BF8" w:rsidP="00AA4BF8">
      <w:pPr>
        <w:pStyle w:val="1"/>
        <w:rPr>
          <w:rFonts w:ascii="Arial" w:hAnsi="Arial" w:cs="Arial"/>
          <w:color w:val="auto"/>
          <w:sz w:val="20"/>
          <w:szCs w:val="20"/>
        </w:rPr>
      </w:pPr>
      <w:r w:rsidRPr="002355E9">
        <w:rPr>
          <w:rFonts w:ascii="Arial" w:hAnsi="Arial" w:cs="Arial"/>
          <w:color w:val="auto"/>
          <w:sz w:val="20"/>
          <w:szCs w:val="20"/>
        </w:rPr>
        <w:tab/>
        <w:t>9.</w:t>
      </w:r>
      <w:r w:rsidRPr="002355E9">
        <w:rPr>
          <w:rFonts w:ascii="Arial" w:hAnsi="Arial" w:cs="Arial"/>
          <w:color w:val="auto"/>
          <w:sz w:val="20"/>
          <w:szCs w:val="20"/>
        </w:rPr>
        <w:tab/>
      </w:r>
      <w:r w:rsidRPr="002355E9">
        <w:rPr>
          <w:rFonts w:ascii="Arial" w:hAnsi="Arial" w:cs="Arial"/>
          <w:i/>
          <w:iCs/>
          <w:color w:val="auto"/>
          <w:sz w:val="20"/>
          <w:szCs w:val="20"/>
        </w:rPr>
        <w:t>Provision of Ordinance to apply</w:t>
      </w:r>
      <w:r w:rsidRPr="002355E9">
        <w:rPr>
          <w:rFonts w:ascii="Arial" w:hAnsi="Arial" w:cs="Arial"/>
          <w:b/>
          <w:bCs/>
          <w:color w:val="auto"/>
          <w:sz w:val="20"/>
          <w:szCs w:val="20"/>
        </w:rPr>
        <w:t xml:space="preserve">— </w:t>
      </w:r>
      <w:r w:rsidRPr="002355E9">
        <w:rPr>
          <w:rFonts w:ascii="Arial" w:hAnsi="Arial" w:cs="Arial"/>
          <w:color w:val="auto"/>
          <w:sz w:val="20"/>
          <w:szCs w:val="20"/>
        </w:rPr>
        <w:t xml:space="preserve">The provisions of the Ordinance not specifically dealt with in the aforesaid rules shall apply, </w:t>
      </w:r>
      <w:r w:rsidRPr="002355E9">
        <w:rPr>
          <w:rFonts w:ascii="Arial" w:hAnsi="Arial" w:cs="Arial"/>
          <w:i/>
          <w:iCs/>
          <w:color w:val="auto"/>
          <w:sz w:val="20"/>
          <w:szCs w:val="20"/>
        </w:rPr>
        <w:t xml:space="preserve">mutatis mutandis, </w:t>
      </w:r>
      <w:r w:rsidRPr="002355E9">
        <w:rPr>
          <w:rFonts w:ascii="Arial" w:hAnsi="Arial" w:cs="Arial"/>
          <w:color w:val="auto"/>
          <w:sz w:val="20"/>
          <w:szCs w:val="20"/>
        </w:rPr>
        <w:t>to the banking company.</w:t>
      </w:r>
    </w:p>
    <w:p w:rsidR="00AA4BF8" w:rsidRPr="00412620" w:rsidRDefault="00AA4BF8" w:rsidP="00AA4BF8">
      <w:pPr>
        <w:pStyle w:val="1"/>
        <w:rPr>
          <w:color w:val="auto"/>
          <w:sz w:val="14"/>
          <w:szCs w:val="14"/>
        </w:rPr>
      </w:pPr>
    </w:p>
    <w:p w:rsidR="00AA4BF8" w:rsidRPr="00412620" w:rsidRDefault="00AA4BF8" w:rsidP="00AA4BF8">
      <w:pPr>
        <w:keepNext/>
        <w:jc w:val="both"/>
        <w:rPr>
          <w:sz w:val="20"/>
        </w:rPr>
      </w:pPr>
      <w:r w:rsidRPr="00412620">
        <w:rPr>
          <w:sz w:val="20"/>
        </w:rPr>
        <w:lastRenderedPageBreak/>
        <w:tab/>
        <w:t>10.</w:t>
      </w:r>
      <w:r w:rsidRPr="00412620">
        <w:rPr>
          <w:sz w:val="20"/>
        </w:rPr>
        <w:tab/>
        <w:t>The Federal Government may, from time to time, by notification in the official Gazette, amend the schedule so as to add any entry therein or modify or omit any entry therein.</w:t>
      </w:r>
    </w:p>
    <w:p w:rsidR="00AA4BF8" w:rsidRPr="00412620" w:rsidRDefault="00AA4BF8" w:rsidP="00AA4BF8">
      <w:pPr>
        <w:keepNext/>
        <w:jc w:val="center"/>
        <w:rPr>
          <w:sz w:val="20"/>
        </w:rPr>
      </w:pPr>
    </w:p>
    <w:p w:rsidR="00AA4BF8" w:rsidRPr="00412620" w:rsidRDefault="00AA4BF8" w:rsidP="00AA4BF8">
      <w:pPr>
        <w:pStyle w:val="CommentText"/>
        <w:jc w:val="both"/>
      </w:pPr>
    </w:p>
    <w:p w:rsidR="00AA4BF8" w:rsidRPr="00412620" w:rsidRDefault="00AA4BF8" w:rsidP="00AA4BF8">
      <w:pPr>
        <w:jc w:val="center"/>
        <w:rPr>
          <w:b/>
          <w:bCs/>
          <w:sz w:val="32"/>
          <w:szCs w:val="32"/>
        </w:rPr>
      </w:pPr>
      <w:r w:rsidRPr="00412620">
        <w:br w:type="page"/>
      </w:r>
      <w:r w:rsidRPr="00412620">
        <w:rPr>
          <w:sz w:val="32"/>
          <w:szCs w:val="32"/>
        </w:rPr>
        <w:lastRenderedPageBreak/>
        <w:t>[</w:t>
      </w:r>
      <w:r w:rsidRPr="00412620">
        <w:rPr>
          <w:b/>
          <w:bCs/>
          <w:sz w:val="32"/>
          <w:szCs w:val="32"/>
        </w:rPr>
        <w:t>THE EIGHTH SCHEDULE</w:t>
      </w:r>
    </w:p>
    <w:p w:rsidR="00AA4BF8" w:rsidRPr="00412620" w:rsidRDefault="00AA4BF8" w:rsidP="00AA4BF8">
      <w:pPr>
        <w:jc w:val="center"/>
      </w:pPr>
      <w:r w:rsidRPr="00412620">
        <w:t>[</w:t>
      </w:r>
      <w:r w:rsidRPr="00412620">
        <w:rPr>
          <w:i/>
          <w:iCs/>
        </w:rPr>
        <w:t>Section 100B</w:t>
      </w:r>
      <w:r w:rsidRPr="00412620">
        <w:t>]</w:t>
      </w:r>
    </w:p>
    <w:p w:rsidR="00AA4BF8" w:rsidRPr="00412620" w:rsidRDefault="00AA4BF8" w:rsidP="00AA4BF8">
      <w:pPr>
        <w:jc w:val="center"/>
        <w:rPr>
          <w:b/>
          <w:bCs/>
        </w:rPr>
      </w:pPr>
    </w:p>
    <w:p w:rsidR="00AA4BF8" w:rsidRPr="00412620" w:rsidRDefault="00AA4BF8" w:rsidP="00AA4BF8">
      <w:pPr>
        <w:jc w:val="center"/>
        <w:rPr>
          <w:b/>
          <w:bCs/>
        </w:rPr>
      </w:pPr>
      <w:r w:rsidRPr="00412620">
        <w:rPr>
          <w:b/>
          <w:bCs/>
        </w:rPr>
        <w:t xml:space="preserve">RULES FOR THE COMPUTATION OF CAPITAL GAINS ON </w:t>
      </w:r>
    </w:p>
    <w:p w:rsidR="00AA4BF8" w:rsidRPr="00412620" w:rsidRDefault="00AA4BF8" w:rsidP="00AA4BF8">
      <w:pPr>
        <w:jc w:val="center"/>
        <w:rPr>
          <w:b/>
          <w:bCs/>
        </w:rPr>
      </w:pPr>
      <w:r w:rsidRPr="00412620">
        <w:rPr>
          <w:b/>
          <w:bCs/>
        </w:rPr>
        <w:t>LISTED SECURITIES</w:t>
      </w:r>
    </w:p>
    <w:p w:rsidR="00AA4BF8" w:rsidRPr="00412620" w:rsidRDefault="00AA4BF8" w:rsidP="00AA4BF8">
      <w:pPr>
        <w:rPr>
          <w:b/>
          <w:bCs/>
        </w:rPr>
      </w:pPr>
    </w:p>
    <w:p w:rsidR="00AA4BF8" w:rsidRPr="00412620" w:rsidRDefault="00AA4BF8" w:rsidP="00AA4BF8">
      <w:pPr>
        <w:jc w:val="both"/>
        <w:rPr>
          <w:sz w:val="20"/>
        </w:rPr>
      </w:pPr>
      <w:r w:rsidRPr="00412620">
        <w:rPr>
          <w:b/>
          <w:bCs/>
          <w:sz w:val="20"/>
        </w:rPr>
        <w:t>1. Manner and basis of computation of capital gains and tax thereon.—</w:t>
      </w:r>
      <w:r w:rsidRPr="00412620">
        <w:rPr>
          <w:sz w:val="20"/>
        </w:rPr>
        <w:t xml:space="preserve">  (1)</w:t>
      </w:r>
      <w:r w:rsidRPr="00412620">
        <w:rPr>
          <w:sz w:val="20"/>
        </w:rPr>
        <w:tab/>
        <w:t>Capital gains on disposal of listed securities, subject to tax under section 37A, and to which section 100B apply, shall be computed and determined under this Schedule and tax thereon shall be collected and deposited on behalf of taxpayers by NCCPL in the manner prescribed.</w:t>
      </w:r>
    </w:p>
    <w:p w:rsidR="00AA4BF8" w:rsidRPr="00412620" w:rsidRDefault="00AA4BF8" w:rsidP="00AA4BF8">
      <w:pPr>
        <w:ind w:firstLine="547"/>
        <w:jc w:val="both"/>
        <w:rPr>
          <w:sz w:val="20"/>
        </w:rPr>
      </w:pPr>
    </w:p>
    <w:p w:rsidR="0053732C" w:rsidRPr="000E5E48" w:rsidRDefault="0053732C" w:rsidP="0053732C">
      <w:pPr>
        <w:pStyle w:val="NormalWeb"/>
        <w:spacing w:line="240" w:lineRule="auto"/>
        <w:ind w:firstLine="547"/>
        <w:jc w:val="both"/>
        <w:rPr>
          <w:rFonts w:cs="Arial"/>
          <w:color w:val="0070C0"/>
        </w:rPr>
      </w:pPr>
      <w:r w:rsidRPr="000E5E48">
        <w:rPr>
          <w:rStyle w:val="FootnoteReference"/>
          <w:rFonts w:cs="Arial"/>
          <w:color w:val="0070C0"/>
        </w:rPr>
        <w:footnoteReference w:id="2467"/>
      </w:r>
      <w:r w:rsidRPr="000E5E48">
        <w:rPr>
          <w:rFonts w:cs="Arial"/>
          <w:color w:val="0070C0"/>
        </w:rPr>
        <w:t>[“(1A)</w:t>
      </w:r>
      <w:r w:rsidRPr="000E5E48">
        <w:rPr>
          <w:rFonts w:cs="Arial"/>
          <w:color w:val="0070C0"/>
        </w:rPr>
        <w:tab/>
        <w:t>Capital gains on disposal of units of open ended mutual funds and to which section 100B apply, shall be computed and determined under this Schedule and tax thereon shall be collected and deposited by NCCPL in the prescribed manner:</w:t>
      </w:r>
    </w:p>
    <w:p w:rsidR="0053732C" w:rsidRPr="000E5E48" w:rsidRDefault="0053732C" w:rsidP="0053732C">
      <w:pPr>
        <w:pStyle w:val="NormalWeb"/>
        <w:spacing w:line="240" w:lineRule="auto"/>
        <w:ind w:left="540" w:hanging="540"/>
        <w:jc w:val="both"/>
        <w:rPr>
          <w:rFonts w:cs="Arial"/>
          <w:color w:val="0070C0"/>
        </w:rPr>
      </w:pPr>
    </w:p>
    <w:p w:rsidR="0053732C" w:rsidRPr="000E5E48" w:rsidRDefault="0053732C" w:rsidP="0053732C">
      <w:pPr>
        <w:pStyle w:val="NormalWeb"/>
        <w:spacing w:line="240" w:lineRule="auto"/>
        <w:ind w:left="810" w:firstLine="450"/>
        <w:jc w:val="both"/>
        <w:rPr>
          <w:rFonts w:cs="Arial"/>
          <w:bCs/>
          <w:color w:val="0070C0"/>
        </w:rPr>
      </w:pPr>
      <w:r w:rsidRPr="000E5E48">
        <w:rPr>
          <w:rFonts w:cs="Arial"/>
          <w:color w:val="0070C0"/>
        </w:rPr>
        <w:tab/>
      </w:r>
      <w:r w:rsidRPr="000E5E48">
        <w:rPr>
          <w:rFonts w:cs="Arial"/>
          <w:bCs/>
          <w:color w:val="0070C0"/>
        </w:rPr>
        <w:t>Provided that second and third proviso in Division VII of Part I of the First Schedule regarding capital gains arising on redemption of securities shall continue to apply.]</w:t>
      </w:r>
    </w:p>
    <w:p w:rsidR="0053732C" w:rsidRPr="000E5E48" w:rsidRDefault="0053732C" w:rsidP="0053732C">
      <w:pPr>
        <w:pStyle w:val="NormalWeb"/>
        <w:spacing w:line="240" w:lineRule="auto"/>
        <w:ind w:left="1620" w:firstLine="90"/>
        <w:jc w:val="both"/>
        <w:rPr>
          <w:rFonts w:cs="Arial"/>
          <w:color w:val="0070C0"/>
        </w:rPr>
      </w:pPr>
    </w:p>
    <w:p w:rsidR="0053732C" w:rsidRPr="000E5E48" w:rsidRDefault="0053732C" w:rsidP="0053732C">
      <w:pPr>
        <w:ind w:firstLine="547"/>
        <w:jc w:val="both"/>
        <w:rPr>
          <w:color w:val="0070C0"/>
          <w:sz w:val="20"/>
        </w:rPr>
      </w:pPr>
      <w:r w:rsidRPr="000E5E48">
        <w:rPr>
          <w:rStyle w:val="FootnoteReference"/>
          <w:rFonts w:cs="Arial"/>
          <w:color w:val="0070C0"/>
          <w:sz w:val="20"/>
        </w:rPr>
        <w:footnoteReference w:id="2468"/>
      </w:r>
      <w:r w:rsidRPr="000E5E48">
        <w:rPr>
          <w:rFonts w:cs="Arial"/>
          <w:color w:val="0070C0"/>
          <w:sz w:val="20"/>
        </w:rPr>
        <w:t>[(1B)</w:t>
      </w:r>
      <w:r w:rsidRPr="000E5E48">
        <w:rPr>
          <w:rFonts w:cs="Arial"/>
          <w:color w:val="0070C0"/>
          <w:sz w:val="20"/>
        </w:rPr>
        <w:tab/>
        <w:t>Gain or loss arising to persons through trading of future commodity contracts on Pakistan Mercantile Exchange, subject to tax under section 37A and to which section 100B apply, shall be computed and determined under this Schedule and tax thereon shall be collected and deposited on behalf of taxpayers by NCCPL in the manner prescribed.”]</w:t>
      </w:r>
    </w:p>
    <w:p w:rsidR="0053732C" w:rsidRDefault="0053732C" w:rsidP="00AA4BF8">
      <w:pPr>
        <w:ind w:firstLine="547"/>
        <w:jc w:val="both"/>
        <w:rPr>
          <w:sz w:val="20"/>
        </w:rPr>
      </w:pPr>
    </w:p>
    <w:p w:rsidR="00AA4BF8" w:rsidRPr="00412620" w:rsidRDefault="00AA4BF8" w:rsidP="00AA4BF8">
      <w:pPr>
        <w:ind w:firstLine="547"/>
        <w:jc w:val="both"/>
        <w:rPr>
          <w:sz w:val="20"/>
        </w:rPr>
      </w:pPr>
      <w:r w:rsidRPr="00412620">
        <w:rPr>
          <w:sz w:val="20"/>
        </w:rPr>
        <w:t>(2)</w:t>
      </w:r>
      <w:r w:rsidRPr="00412620">
        <w:rPr>
          <w:sz w:val="20"/>
        </w:rPr>
        <w:tab/>
        <w:t>For the purpose of sub-rule (1)</w:t>
      </w:r>
      <w:r w:rsidR="00F80A8D">
        <w:rPr>
          <w:sz w:val="20"/>
        </w:rPr>
        <w:t xml:space="preserve"> </w:t>
      </w:r>
      <w:r w:rsidR="00F80A8D" w:rsidRPr="000E5E48">
        <w:rPr>
          <w:rStyle w:val="FootnoteReference"/>
          <w:rFonts w:cs="Arial"/>
          <w:color w:val="0070C0"/>
          <w:sz w:val="20"/>
        </w:rPr>
        <w:footnoteReference w:id="2469"/>
      </w:r>
      <w:r w:rsidR="00F80A8D" w:rsidRPr="000E5E48">
        <w:rPr>
          <w:color w:val="0070C0"/>
          <w:sz w:val="20"/>
        </w:rPr>
        <w:t>[,(1A) and (IB)]</w:t>
      </w:r>
      <w:r w:rsidRPr="00412620">
        <w:rPr>
          <w:sz w:val="20"/>
        </w:rPr>
        <w:t>, NCCPL shall develop an automated system.</w:t>
      </w:r>
    </w:p>
    <w:p w:rsidR="00AA4BF8" w:rsidRPr="00412620" w:rsidRDefault="00AA4BF8" w:rsidP="00AA4BF8">
      <w:pPr>
        <w:jc w:val="both"/>
        <w:rPr>
          <w:sz w:val="20"/>
        </w:rPr>
      </w:pPr>
    </w:p>
    <w:p w:rsidR="003271A5" w:rsidRDefault="00AA4BF8" w:rsidP="003271A5">
      <w:pPr>
        <w:jc w:val="both"/>
        <w:rPr>
          <w:sz w:val="20"/>
        </w:rPr>
      </w:pPr>
      <w:r w:rsidRPr="00412620">
        <w:rPr>
          <w:sz w:val="20"/>
        </w:rPr>
        <w:tab/>
        <w:t>(3)</w:t>
      </w:r>
      <w:r w:rsidRPr="00412620">
        <w:rPr>
          <w:sz w:val="20"/>
        </w:rPr>
        <w:tab/>
        <w:t>Central Depository Company of Pakistan Limited shall furnish information as required by NCCPL for discharging obligations under this Schedule</w:t>
      </w:r>
      <w:r w:rsidR="003271A5">
        <w:rPr>
          <w:sz w:val="20"/>
        </w:rPr>
        <w:t xml:space="preserve"> </w:t>
      </w:r>
      <w:r w:rsidR="003271A5" w:rsidRPr="000E5E48">
        <w:rPr>
          <w:rStyle w:val="FootnoteReference"/>
          <w:rFonts w:cs="Arial"/>
          <w:color w:val="0070C0"/>
          <w:sz w:val="20"/>
        </w:rPr>
        <w:footnoteReference w:id="2470"/>
      </w:r>
      <w:r w:rsidR="003271A5" w:rsidRPr="000E5E48">
        <w:rPr>
          <w:color w:val="0070C0"/>
          <w:sz w:val="20"/>
        </w:rPr>
        <w:t xml:space="preserve">[:] </w:t>
      </w:r>
    </w:p>
    <w:p w:rsidR="003271A5" w:rsidRDefault="003271A5" w:rsidP="003271A5">
      <w:pPr>
        <w:jc w:val="both"/>
        <w:rPr>
          <w:sz w:val="20"/>
        </w:rPr>
      </w:pPr>
    </w:p>
    <w:p w:rsidR="003271A5" w:rsidRPr="000E5E48" w:rsidRDefault="004A08B1" w:rsidP="003271A5">
      <w:pPr>
        <w:ind w:left="1094" w:firstLine="541"/>
        <w:jc w:val="both"/>
        <w:rPr>
          <w:color w:val="0070C0"/>
          <w:sz w:val="20"/>
        </w:rPr>
      </w:pPr>
      <w:r w:rsidRPr="000E5E48">
        <w:rPr>
          <w:rStyle w:val="FootnoteReference"/>
          <w:rFonts w:cs="Arial"/>
          <w:color w:val="0070C0"/>
          <w:sz w:val="20"/>
        </w:rPr>
        <w:footnoteReference w:id="2471"/>
      </w:r>
      <w:r w:rsidR="003271A5" w:rsidRPr="000E5E48">
        <w:rPr>
          <w:rFonts w:cs="Arial"/>
          <w:color w:val="0070C0"/>
          <w:sz w:val="20"/>
        </w:rPr>
        <w:t>[“Provided that if the said information is not furnished under this sub-rule or sub-rule (3A), NCCPL shall forward the details to the Commissioner who shall exercise powers under the Ordinance to enforce furnishing of the said information including all penalty provisions.”]</w:t>
      </w:r>
    </w:p>
    <w:p w:rsidR="00AA4BF8" w:rsidRPr="00412620" w:rsidRDefault="003271A5" w:rsidP="00AA4BF8">
      <w:pPr>
        <w:jc w:val="both"/>
        <w:rPr>
          <w:sz w:val="20"/>
        </w:rPr>
      </w:pPr>
      <w:r>
        <w:rPr>
          <w:sz w:val="20"/>
        </w:rPr>
        <w:t xml:space="preserve"> </w:t>
      </w:r>
      <w:r w:rsidR="00AA4BF8" w:rsidRPr="00412620">
        <w:rPr>
          <w:sz w:val="20"/>
        </w:rPr>
        <w:t>.</w:t>
      </w:r>
    </w:p>
    <w:p w:rsidR="003271A5" w:rsidRPr="000E5E48" w:rsidRDefault="009C71CB" w:rsidP="003271A5">
      <w:pPr>
        <w:pStyle w:val="ListParagraph"/>
        <w:ind w:left="0" w:firstLine="540"/>
        <w:jc w:val="both"/>
        <w:rPr>
          <w:rFonts w:cs="Arial"/>
          <w:color w:val="0070C0"/>
          <w:sz w:val="20"/>
        </w:rPr>
      </w:pPr>
      <w:r w:rsidRPr="000E5E48">
        <w:rPr>
          <w:rStyle w:val="FootnoteReference"/>
          <w:rFonts w:cs="Arial"/>
          <w:color w:val="0070C0"/>
          <w:sz w:val="20"/>
        </w:rPr>
        <w:lastRenderedPageBreak/>
        <w:footnoteReference w:id="2472"/>
      </w:r>
      <w:r w:rsidR="003271A5" w:rsidRPr="000E5E48">
        <w:rPr>
          <w:rFonts w:cs="Arial"/>
          <w:color w:val="0070C0"/>
          <w:sz w:val="20"/>
        </w:rPr>
        <w:t>[“(3A)</w:t>
      </w:r>
      <w:r w:rsidR="001454B3" w:rsidRPr="000E5E48">
        <w:rPr>
          <w:rFonts w:cs="Arial"/>
          <w:color w:val="0070C0"/>
          <w:sz w:val="20"/>
        </w:rPr>
        <w:t xml:space="preserve"> </w:t>
      </w:r>
      <w:r w:rsidR="003271A5" w:rsidRPr="000E5E48">
        <w:rPr>
          <w:rFonts w:cs="Arial"/>
          <w:color w:val="0070C0"/>
          <w:sz w:val="20"/>
        </w:rPr>
        <w:t>The Asset Management Companies, Pakistan Mercantile Exchange and any other person shall furnish information when required by NCCPL for discharging obligations under this Schedule.”]</w:t>
      </w:r>
    </w:p>
    <w:p w:rsidR="00AA4BF8" w:rsidRPr="00412620" w:rsidRDefault="00AA4BF8" w:rsidP="00AA4BF8">
      <w:pPr>
        <w:jc w:val="both"/>
        <w:rPr>
          <w:sz w:val="20"/>
        </w:rPr>
      </w:pPr>
    </w:p>
    <w:p w:rsidR="003271A5" w:rsidRDefault="00AA4BF8" w:rsidP="00AA4BF8">
      <w:pPr>
        <w:jc w:val="both"/>
        <w:rPr>
          <w:sz w:val="20"/>
        </w:rPr>
      </w:pPr>
      <w:r w:rsidRPr="00412620">
        <w:rPr>
          <w:sz w:val="20"/>
        </w:rPr>
        <w:tab/>
      </w:r>
    </w:p>
    <w:p w:rsidR="00AA4BF8" w:rsidRPr="00412620" w:rsidRDefault="00AA4BF8" w:rsidP="003271A5">
      <w:pPr>
        <w:ind w:firstLine="547"/>
        <w:jc w:val="both"/>
        <w:rPr>
          <w:sz w:val="20"/>
        </w:rPr>
      </w:pPr>
      <w:r w:rsidRPr="00412620">
        <w:rPr>
          <w:sz w:val="20"/>
        </w:rPr>
        <w:t>(4)</w:t>
      </w:r>
      <w:r w:rsidRPr="00412620">
        <w:rPr>
          <w:sz w:val="20"/>
        </w:rPr>
        <w:tab/>
        <w:t>NCCPL shall issue an annual certificate to the taxpayer on the prescribed form in respect of capital gains subject to tax under this Schedule for a financial year:</w:t>
      </w:r>
    </w:p>
    <w:p w:rsidR="00AA4BF8" w:rsidRPr="00412620" w:rsidRDefault="00AA4BF8" w:rsidP="00AA4BF8">
      <w:pPr>
        <w:jc w:val="both"/>
        <w:rPr>
          <w:sz w:val="20"/>
        </w:rPr>
      </w:pPr>
    </w:p>
    <w:p w:rsidR="00AA4BF8" w:rsidRPr="00412620" w:rsidRDefault="00AA4BF8" w:rsidP="00AA4BF8">
      <w:pPr>
        <w:ind w:left="1094" w:firstLine="541"/>
        <w:jc w:val="both"/>
        <w:rPr>
          <w:sz w:val="20"/>
        </w:rPr>
      </w:pPr>
      <w:r w:rsidRPr="00412620">
        <w:rPr>
          <w:sz w:val="20"/>
        </w:rPr>
        <w:t xml:space="preserve">Provided that on the request of a taxpayer or if required by the Commissioner, NCCPL shall issue a certificate for a shorter period within a financial year. </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(5)</w:t>
      </w:r>
      <w:r w:rsidRPr="00412620">
        <w:rPr>
          <w:sz w:val="20"/>
        </w:rPr>
        <w:tab/>
        <w:t>Every taxpayer shall file the certificate referred to in sub-rule (4) along with the return of income and such certificate shall be conclusive evidence in respect of the income under this Schedule.</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(6)</w:t>
      </w:r>
      <w:r w:rsidRPr="00412620">
        <w:rPr>
          <w:sz w:val="20"/>
        </w:rPr>
        <w:tab/>
        <w:t>NCCPL shall furnish to the Board within thirty days of the end of each quarter, a statement of capital gains and tax computed thereon in that quarter in the prescribed manner and format.</w:t>
      </w:r>
    </w:p>
    <w:p w:rsidR="00AA4BF8" w:rsidRPr="00412620" w:rsidRDefault="00AA4BF8" w:rsidP="00AA4BF8">
      <w:pPr>
        <w:jc w:val="both"/>
        <w:rPr>
          <w:sz w:val="20"/>
        </w:rPr>
      </w:pPr>
    </w:p>
    <w:p w:rsidR="00AA4BF8" w:rsidRDefault="00AA4BF8" w:rsidP="00AA4BF8">
      <w:pPr>
        <w:jc w:val="both"/>
        <w:rPr>
          <w:sz w:val="20"/>
        </w:rPr>
      </w:pPr>
      <w:r w:rsidRPr="00412620">
        <w:rPr>
          <w:sz w:val="20"/>
        </w:rPr>
        <w:tab/>
        <w:t>(7)</w:t>
      </w:r>
      <w:r w:rsidRPr="00412620">
        <w:rPr>
          <w:sz w:val="20"/>
        </w:rPr>
        <w:tab/>
        <w:t>Capital gains computed under this Schedule shall be chargeable to tax at the rate applicable in Division VII of Part I of the First Schedule.</w:t>
      </w:r>
    </w:p>
    <w:p w:rsidR="00345EB1" w:rsidRDefault="00345EB1" w:rsidP="00AA4BF8">
      <w:pPr>
        <w:jc w:val="both"/>
        <w:rPr>
          <w:sz w:val="20"/>
        </w:rPr>
      </w:pPr>
    </w:p>
    <w:p w:rsidR="00345EB1" w:rsidRPr="007642C5" w:rsidRDefault="00345EB1" w:rsidP="00345EB1">
      <w:pPr>
        <w:autoSpaceDE w:val="0"/>
        <w:autoSpaceDN w:val="0"/>
        <w:adjustRightInd w:val="0"/>
        <w:ind w:firstLine="547"/>
        <w:jc w:val="both"/>
        <w:rPr>
          <w:color w:val="000000" w:themeColor="text1"/>
          <w:sz w:val="20"/>
        </w:rPr>
      </w:pPr>
      <w:r w:rsidRPr="007642C5">
        <w:rPr>
          <w:rStyle w:val="FootnoteReference"/>
          <w:rFonts w:cs="Arial"/>
          <w:color w:val="000000" w:themeColor="text1"/>
          <w:sz w:val="20"/>
          <w:lang w:val="en-US"/>
        </w:rPr>
        <w:footnoteReference w:id="2473"/>
      </w:r>
      <w:r w:rsidRPr="007642C5">
        <w:rPr>
          <w:rFonts w:cs="Arial"/>
          <w:color w:val="000000" w:themeColor="text1"/>
          <w:sz w:val="20"/>
          <w:lang w:val="en-US"/>
        </w:rPr>
        <w:t>[“(8) The provisions of section 4B shall apply to the taxpayers under this schedule and taxed at the rates specified in Division IIA of Part I of the First Schedule.”]</w:t>
      </w:r>
    </w:p>
    <w:p w:rsidR="00345EB1" w:rsidRDefault="00345EB1" w:rsidP="00AA4BF8">
      <w:pPr>
        <w:jc w:val="both"/>
        <w:rPr>
          <w:b/>
          <w:bCs/>
          <w:sz w:val="20"/>
        </w:rPr>
      </w:pPr>
    </w:p>
    <w:p w:rsidR="00386D52" w:rsidRDefault="00386D52" w:rsidP="00AA4BF8">
      <w:pPr>
        <w:jc w:val="both"/>
        <w:rPr>
          <w:b/>
          <w:bCs/>
          <w:sz w:val="20"/>
        </w:rPr>
      </w:pPr>
    </w:p>
    <w:p w:rsidR="00AA4BF8" w:rsidRPr="00412620" w:rsidRDefault="00AA4BF8" w:rsidP="00AA4BF8">
      <w:pPr>
        <w:jc w:val="both"/>
        <w:rPr>
          <w:sz w:val="20"/>
        </w:rPr>
      </w:pPr>
      <w:r w:rsidRPr="00412620">
        <w:rPr>
          <w:b/>
          <w:bCs/>
          <w:sz w:val="20"/>
        </w:rPr>
        <w:t>2. Sources of Investment</w:t>
      </w:r>
      <w:r w:rsidRPr="00412620">
        <w:rPr>
          <w:sz w:val="20"/>
        </w:rPr>
        <w:t>.— (1)</w:t>
      </w:r>
      <w:r w:rsidR="001F6BDE">
        <w:rPr>
          <w:sz w:val="20"/>
        </w:rPr>
        <w:t xml:space="preserve"> </w:t>
      </w:r>
      <w:r w:rsidRPr="00412620">
        <w:rPr>
          <w:sz w:val="20"/>
        </w:rPr>
        <w:t>Where a person has made any investment in the listed securities, enquiries as to the nature and source of the amount invested shall not be made for any investment made prior to the introduction of this Schedule, provided that —</w:t>
      </w:r>
    </w:p>
    <w:p w:rsidR="00AA4BF8" w:rsidRPr="00412620" w:rsidRDefault="00AA4BF8" w:rsidP="00AA4BF8">
      <w:pPr>
        <w:jc w:val="both"/>
        <w:rPr>
          <w:sz w:val="20"/>
        </w:rPr>
      </w:pPr>
    </w:p>
    <w:p w:rsidR="00AA4BF8" w:rsidRPr="00412620" w:rsidRDefault="00AA4BF8" w:rsidP="00AA4BF8">
      <w:pPr>
        <w:ind w:left="1641" w:hanging="546"/>
        <w:jc w:val="both"/>
        <w:rPr>
          <w:sz w:val="20"/>
        </w:rPr>
      </w:pPr>
      <w:r w:rsidRPr="00412620">
        <w:rPr>
          <w:sz w:val="20"/>
        </w:rPr>
        <w:t>(a)</w:t>
      </w:r>
      <w:r w:rsidRPr="00412620">
        <w:rPr>
          <w:sz w:val="20"/>
        </w:rPr>
        <w:tab/>
        <w:t>a statement of investments is filed with the Commissioner along with the return of income and wealth statement for tax year 2012 within the due date as provided in section 118 of this Ordinance and in the manners prescribed; and</w:t>
      </w:r>
    </w:p>
    <w:p w:rsidR="00AA4BF8" w:rsidRPr="00412620" w:rsidRDefault="00AA4BF8" w:rsidP="00AA4BF8">
      <w:pPr>
        <w:jc w:val="both"/>
        <w:rPr>
          <w:sz w:val="20"/>
        </w:rPr>
      </w:pPr>
    </w:p>
    <w:p w:rsidR="00AA4BF8" w:rsidRPr="00412620" w:rsidRDefault="00AA4BF8" w:rsidP="00AA4BF8">
      <w:pPr>
        <w:ind w:left="1635" w:hanging="540"/>
        <w:jc w:val="both"/>
        <w:rPr>
          <w:sz w:val="20"/>
        </w:rPr>
      </w:pPr>
      <w:r w:rsidRPr="00412620">
        <w:rPr>
          <w:sz w:val="20"/>
        </w:rPr>
        <w:t>(b)</w:t>
      </w:r>
      <w:r w:rsidRPr="00412620">
        <w:rPr>
          <w:sz w:val="20"/>
        </w:rPr>
        <w:tab/>
      </w:r>
      <w:r w:rsidRPr="00412620">
        <w:rPr>
          <w:sz w:val="20"/>
        </w:rPr>
        <w:tab/>
        <w:t>that the amount remains invested for a period of forty- five days upto 30th of June 2012, in the manner as may be prescribed.</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lastRenderedPageBreak/>
        <w:tab/>
        <w:t>(2)</w:t>
      </w:r>
      <w:r w:rsidRPr="00412620">
        <w:rPr>
          <w:sz w:val="20"/>
        </w:rPr>
        <w:tab/>
        <w:t>Where a person has made any investment in the shares of a public company traded at a registered stock exchange in Pakistan from the date of coming into force of this Schedule till June 30, 2014, enquiries as to the nature and sources of amount invested shall not be made provided that —</w:t>
      </w:r>
    </w:p>
    <w:p w:rsidR="00AA4BF8" w:rsidRPr="00412620" w:rsidRDefault="00AA4BF8" w:rsidP="00AA4BF8">
      <w:pPr>
        <w:jc w:val="both"/>
        <w:rPr>
          <w:sz w:val="20"/>
        </w:rPr>
      </w:pPr>
    </w:p>
    <w:p w:rsidR="00AA4BF8" w:rsidRPr="00412620" w:rsidRDefault="00AA4BF8" w:rsidP="00AA4BF8">
      <w:pPr>
        <w:ind w:left="1641" w:hanging="546"/>
        <w:jc w:val="both"/>
        <w:rPr>
          <w:sz w:val="20"/>
        </w:rPr>
      </w:pPr>
      <w:r w:rsidRPr="00412620">
        <w:rPr>
          <w:sz w:val="20"/>
        </w:rPr>
        <w:t>(a)</w:t>
      </w:r>
      <w:r w:rsidRPr="00412620">
        <w:rPr>
          <w:sz w:val="20"/>
        </w:rPr>
        <w:tab/>
        <w:t xml:space="preserve">the amount remains invested for a period of one hundred and twenty days in the manner as may be prescribed ; </w:t>
      </w:r>
    </w:p>
    <w:p w:rsidR="00AA4BF8" w:rsidRPr="00412620" w:rsidRDefault="00AA4BF8" w:rsidP="00AA4BF8">
      <w:pPr>
        <w:jc w:val="both"/>
        <w:rPr>
          <w:sz w:val="20"/>
        </w:rPr>
      </w:pPr>
    </w:p>
    <w:p w:rsidR="00AA4BF8" w:rsidRPr="00412620" w:rsidRDefault="00AA4BF8" w:rsidP="00AA4BF8">
      <w:pPr>
        <w:ind w:left="1641" w:hanging="546"/>
        <w:jc w:val="both"/>
        <w:rPr>
          <w:sz w:val="20"/>
        </w:rPr>
      </w:pPr>
      <w:r w:rsidRPr="00412620">
        <w:rPr>
          <w:sz w:val="20"/>
        </w:rPr>
        <w:t>(b)</w:t>
      </w:r>
      <w:r w:rsidRPr="00412620">
        <w:rPr>
          <w:sz w:val="20"/>
        </w:rPr>
        <w:tab/>
        <w:t>tax on capital gains, if any, has duly been discharged in the manner laid down in this Schedule; and</w:t>
      </w:r>
    </w:p>
    <w:p w:rsidR="00AA4BF8" w:rsidRPr="00412620" w:rsidRDefault="00AA4BF8" w:rsidP="00AA4BF8">
      <w:pPr>
        <w:jc w:val="both"/>
        <w:rPr>
          <w:sz w:val="20"/>
        </w:rPr>
      </w:pPr>
    </w:p>
    <w:p w:rsidR="00AA4BF8" w:rsidRPr="00412620" w:rsidRDefault="00AA4BF8" w:rsidP="00AA4BF8">
      <w:pPr>
        <w:ind w:left="1634" w:hanging="540"/>
        <w:jc w:val="both"/>
        <w:rPr>
          <w:sz w:val="20"/>
        </w:rPr>
      </w:pPr>
      <w:r w:rsidRPr="00412620">
        <w:rPr>
          <w:sz w:val="20"/>
        </w:rPr>
        <w:t>(c)</w:t>
      </w:r>
      <w:r w:rsidRPr="00412620">
        <w:rPr>
          <w:sz w:val="20"/>
        </w:rPr>
        <w:tab/>
      </w:r>
      <w:r w:rsidRPr="00412620">
        <w:rPr>
          <w:sz w:val="20"/>
        </w:rPr>
        <w:tab/>
        <w:t>a statement of investments is filed with the Commissioner along with the return of income and wealth statement for the relevant tax year within the due date as provided in section 118 of this Ordinance and in the manner prescribed.</w:t>
      </w:r>
    </w:p>
    <w:p w:rsidR="00AA4BF8" w:rsidRPr="00412620" w:rsidRDefault="00AA4BF8" w:rsidP="00AA4BF8">
      <w:pPr>
        <w:jc w:val="both"/>
        <w:rPr>
          <w:sz w:val="20"/>
        </w:rPr>
      </w:pPr>
    </w:p>
    <w:p w:rsidR="000C76D6" w:rsidRPr="00412620" w:rsidRDefault="00AA4BF8" w:rsidP="000C76D6">
      <w:pPr>
        <w:jc w:val="both"/>
        <w:rPr>
          <w:sz w:val="20"/>
        </w:rPr>
      </w:pPr>
      <w:r w:rsidRPr="00412620">
        <w:rPr>
          <w:sz w:val="20"/>
        </w:rPr>
        <w:tab/>
        <w:t>(3)</w:t>
      </w:r>
      <w:r w:rsidRPr="00412620">
        <w:rPr>
          <w:sz w:val="20"/>
        </w:rPr>
        <w:tab/>
        <w:t>For the purpose of this rule, amount of investment shall be calculated in the prescribed manner, excluding market value of net open sale position in futures and derivatives, if such sale is in a security that constitutes the said investment</w:t>
      </w:r>
      <w:r w:rsidR="000C76D6">
        <w:rPr>
          <w:sz w:val="20"/>
        </w:rPr>
        <w:t>.</w:t>
      </w:r>
      <w:r w:rsidR="002B6DBA">
        <w:rPr>
          <w:sz w:val="20"/>
        </w:rPr>
        <w:t xml:space="preserve"> </w:t>
      </w:r>
    </w:p>
    <w:p w:rsidR="00AA4BF8" w:rsidRPr="00412620" w:rsidRDefault="00AA4BF8" w:rsidP="00AA4BF8">
      <w:pPr>
        <w:jc w:val="both"/>
        <w:rPr>
          <w:b/>
          <w:bCs/>
          <w:sz w:val="20"/>
        </w:rPr>
      </w:pPr>
    </w:p>
    <w:p w:rsidR="00AA4BF8" w:rsidRDefault="00AA4BF8" w:rsidP="00AA4BF8">
      <w:pPr>
        <w:jc w:val="both"/>
        <w:rPr>
          <w:sz w:val="20"/>
        </w:rPr>
      </w:pPr>
      <w:r w:rsidRPr="00412620">
        <w:rPr>
          <w:b/>
          <w:bCs/>
          <w:sz w:val="20"/>
        </w:rPr>
        <w:t>3. Certain provisions of this Ordinance not to apply</w:t>
      </w:r>
      <w:r w:rsidRPr="00412620">
        <w:rPr>
          <w:sz w:val="20"/>
        </w:rPr>
        <w:t>.—  The respective provisions for collection and recovery of tax, advance tax and deduction of tax at source laid down in the Parts IV and V of Chapter X shall not apply on the income from capital gains subject to tax under this Schedule and these provisions shall apply in the manner as laid down in the rules made under this Ordinance, except where the recovery of tax is referred by NCCPL to the Board in terms of rule 6(3).</w:t>
      </w:r>
    </w:p>
    <w:p w:rsidR="000C76D6" w:rsidRPr="00412620" w:rsidRDefault="000C76D6" w:rsidP="00AA4BF8">
      <w:pPr>
        <w:jc w:val="both"/>
        <w:rPr>
          <w:sz w:val="20"/>
        </w:rPr>
      </w:pPr>
    </w:p>
    <w:p w:rsidR="00AA4BF8" w:rsidRPr="00412620" w:rsidRDefault="00AA4BF8" w:rsidP="00AA4BF8">
      <w:pPr>
        <w:jc w:val="both"/>
        <w:rPr>
          <w:sz w:val="20"/>
        </w:rPr>
      </w:pPr>
      <w:r w:rsidRPr="00412620">
        <w:rPr>
          <w:b/>
          <w:bCs/>
          <w:sz w:val="20"/>
        </w:rPr>
        <w:t>4. Payment of tax collected by NCCPL to the Board</w:t>
      </w:r>
      <w:r w:rsidRPr="00412620">
        <w:rPr>
          <w:sz w:val="20"/>
        </w:rPr>
        <w:t>.— The amount collected by NCCPL on behalf of the Board as computed in the manner laid down under this Schedule shall be deposited in a separate bank account with National Bank of Pakistan and the said amount shall be paid to the Board along with interest accrued thereon on yearly basis by July 31st next following the financial year in which the amount was collected.</w:t>
      </w:r>
    </w:p>
    <w:p w:rsidR="00AA4BF8" w:rsidRPr="00412620" w:rsidRDefault="00AA4BF8" w:rsidP="00AA4BF8">
      <w:pPr>
        <w:jc w:val="both"/>
        <w:rPr>
          <w:b/>
          <w:bCs/>
          <w:sz w:val="20"/>
        </w:rPr>
      </w:pPr>
    </w:p>
    <w:p w:rsidR="00AA4BF8" w:rsidRPr="00412620" w:rsidRDefault="00AA4BF8" w:rsidP="00AA4BF8">
      <w:pPr>
        <w:jc w:val="both"/>
        <w:rPr>
          <w:sz w:val="20"/>
        </w:rPr>
      </w:pPr>
      <w:r w:rsidRPr="00412620">
        <w:rPr>
          <w:b/>
          <w:bCs/>
          <w:sz w:val="20"/>
        </w:rPr>
        <w:t>5. Persons to whom this Schedule shall not apply.—</w:t>
      </w:r>
      <w:r w:rsidRPr="00412620">
        <w:rPr>
          <w:sz w:val="20"/>
        </w:rPr>
        <w:t xml:space="preserve"> If a person intends not to opt for determination and payment of tax as laid down in this Schedule, he shall file an irrevocable option to NCCPL after obtaining prior approval of the Commissioner in the manner prescribed. In such case the provisions of rule 2 shall not apply.</w:t>
      </w:r>
    </w:p>
    <w:p w:rsidR="00AA4BF8" w:rsidRPr="00412620" w:rsidRDefault="00AA4BF8" w:rsidP="00AA4BF8">
      <w:pPr>
        <w:jc w:val="both"/>
        <w:rPr>
          <w:b/>
          <w:bCs/>
          <w:sz w:val="20"/>
        </w:rPr>
      </w:pPr>
    </w:p>
    <w:p w:rsidR="00AA4BF8" w:rsidRPr="00412620" w:rsidRDefault="00AA4BF8" w:rsidP="00AA4BF8">
      <w:pPr>
        <w:jc w:val="both"/>
        <w:rPr>
          <w:sz w:val="20"/>
        </w:rPr>
      </w:pPr>
      <w:r w:rsidRPr="00412620">
        <w:rPr>
          <w:b/>
          <w:bCs/>
          <w:sz w:val="20"/>
        </w:rPr>
        <w:t>6. Responsibility and obligation of NCCPL</w:t>
      </w:r>
      <w:r w:rsidRPr="00412620">
        <w:rPr>
          <w:sz w:val="20"/>
        </w:rPr>
        <w:t xml:space="preserve">.— (1) Pakistan Revenue Automation Limited (PRAL), a company incorporated under the Companies Ordinance, 1984 (XLVII of 1984) or any other company or firm approved by the Board and any authority appointed under section 209 of this Ordinance, not </w:t>
      </w:r>
      <w:r w:rsidRPr="00412620">
        <w:rPr>
          <w:sz w:val="20"/>
        </w:rPr>
        <w:lastRenderedPageBreak/>
        <w:t>below the level of an Additional Commissioner Inland Revenue, shall conduct regular system and procedural audits of NCCPL on quarterly basis to verify the implementation of this Schedule and rules made under this Ordinance.</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(2)</w:t>
      </w:r>
      <w:r w:rsidRPr="00412620">
        <w:rPr>
          <w:sz w:val="20"/>
        </w:rPr>
        <w:tab/>
        <w:t xml:space="preserve">NCCPL shall implement the recommendations, if any, of the audit report under sub-rule (1), as approved by the Commissioner, and make adjustments for short or excessive deductions. However, no penal action shall be taken against NCCPL on account of any error, omission or mistake that has occurred from application of the system as audited under sub-rule (1).  </w:t>
      </w:r>
    </w:p>
    <w:p w:rsidR="00AA4BF8" w:rsidRPr="00412620" w:rsidRDefault="00AA4BF8" w:rsidP="00AA4BF8">
      <w:pPr>
        <w:jc w:val="both"/>
        <w:rPr>
          <w:sz w:val="20"/>
        </w:rPr>
      </w:pPr>
    </w:p>
    <w:p w:rsidR="00AA4BF8" w:rsidRPr="00412620" w:rsidRDefault="00AA4BF8" w:rsidP="00AA4BF8">
      <w:pPr>
        <w:jc w:val="both"/>
        <w:rPr>
          <w:sz w:val="20"/>
        </w:rPr>
      </w:pPr>
      <w:r w:rsidRPr="00412620">
        <w:rPr>
          <w:sz w:val="20"/>
        </w:rPr>
        <w:tab/>
        <w:t>(3)</w:t>
      </w:r>
      <w:r w:rsidRPr="00412620">
        <w:rPr>
          <w:sz w:val="20"/>
        </w:rPr>
        <w:tab/>
        <w:t>NCCPL shall be empowered to refer a particular case for recovery of tax to the Board in case NCCPL is unable to recover the amount of tax.</w:t>
      </w:r>
    </w:p>
    <w:p w:rsidR="00AA4BF8" w:rsidRPr="00412620" w:rsidRDefault="00AA4BF8" w:rsidP="00AA4BF8">
      <w:pPr>
        <w:rPr>
          <w:b/>
          <w:bCs/>
          <w:sz w:val="20"/>
        </w:rPr>
      </w:pPr>
    </w:p>
    <w:p w:rsidR="00AA4BF8" w:rsidRPr="00412620" w:rsidRDefault="00AA4BF8" w:rsidP="00AA4BF8">
      <w:pPr>
        <w:jc w:val="both"/>
        <w:rPr>
          <w:sz w:val="20"/>
        </w:rPr>
      </w:pPr>
      <w:r w:rsidRPr="00412620">
        <w:rPr>
          <w:b/>
          <w:bCs/>
          <w:sz w:val="20"/>
        </w:rPr>
        <w:t>7. Transitional Provisions.</w:t>
      </w:r>
      <w:r w:rsidRPr="00412620">
        <w:rPr>
          <w:sz w:val="20"/>
        </w:rPr>
        <w:t>— In respect of tax year 2012, for the period commencing from coming  into force of this Schedule till June 30, 2012, the certificate issued by NCCPL under rule 1(4) shall be the basis of capital gains and tax thereon for that period.]</w:t>
      </w:r>
    </w:p>
    <w:p w:rsidR="00AA4BF8" w:rsidRPr="00412620" w:rsidRDefault="00AA4BF8" w:rsidP="00AA4BF8">
      <w:pPr>
        <w:jc w:val="both"/>
        <w:rPr>
          <w:sz w:val="20"/>
        </w:rPr>
      </w:pPr>
    </w:p>
    <w:p w:rsidR="000C76D6" w:rsidRDefault="000C76D6">
      <w:pPr>
        <w:rPr>
          <w:sz w:val="20"/>
        </w:rPr>
      </w:pPr>
    </w:p>
    <w:p w:rsidR="000C76D6" w:rsidRDefault="000C76D6">
      <w:pPr>
        <w:rPr>
          <w:sz w:val="20"/>
        </w:rPr>
      </w:pPr>
    </w:p>
    <w:p w:rsidR="000C76D6" w:rsidRDefault="000C76D6">
      <w:pPr>
        <w:rPr>
          <w:sz w:val="20"/>
        </w:rPr>
      </w:pPr>
    </w:p>
    <w:p w:rsidR="00061850" w:rsidRDefault="00061850">
      <w:pPr>
        <w:rPr>
          <w:sz w:val="20"/>
        </w:rPr>
      </w:pPr>
      <w:r>
        <w:rPr>
          <w:sz w:val="20"/>
        </w:rPr>
        <w:br w:type="page"/>
      </w:r>
    </w:p>
    <w:p w:rsidR="00061850" w:rsidRPr="007642C5" w:rsidRDefault="008574EC" w:rsidP="00185611">
      <w:pPr>
        <w:jc w:val="center"/>
        <w:rPr>
          <w:rFonts w:cs="Arial"/>
          <w:b/>
          <w:color w:val="000000" w:themeColor="text1"/>
          <w:sz w:val="32"/>
          <w:szCs w:val="32"/>
        </w:rPr>
      </w:pPr>
      <w:r w:rsidRPr="007642C5">
        <w:rPr>
          <w:rStyle w:val="FootnoteReference"/>
          <w:rFonts w:cs="Arial"/>
          <w:color w:val="000000" w:themeColor="text1"/>
          <w:sz w:val="32"/>
          <w:szCs w:val="32"/>
        </w:rPr>
        <w:lastRenderedPageBreak/>
        <w:footnoteReference w:id="2474"/>
      </w:r>
      <w:r w:rsidR="00061850" w:rsidRPr="007642C5">
        <w:rPr>
          <w:rFonts w:cs="Arial"/>
          <w:color w:val="000000" w:themeColor="text1"/>
          <w:sz w:val="32"/>
          <w:szCs w:val="32"/>
        </w:rPr>
        <w:t>[</w:t>
      </w:r>
      <w:r w:rsidR="00061850" w:rsidRPr="007642C5">
        <w:rPr>
          <w:rFonts w:cs="Arial"/>
          <w:b/>
          <w:color w:val="000000" w:themeColor="text1"/>
          <w:sz w:val="32"/>
          <w:szCs w:val="32"/>
        </w:rPr>
        <w:t>“THE NINTH SCHEDULE</w:t>
      </w:r>
    </w:p>
    <w:p w:rsidR="00061850" w:rsidRPr="007642C5" w:rsidRDefault="00061850" w:rsidP="00185611">
      <w:pPr>
        <w:jc w:val="center"/>
        <w:rPr>
          <w:rFonts w:cs="Arial"/>
          <w:bCs/>
          <w:color w:val="000000" w:themeColor="text1"/>
          <w:szCs w:val="24"/>
        </w:rPr>
      </w:pPr>
      <w:r w:rsidRPr="007642C5">
        <w:rPr>
          <w:rFonts w:cs="Arial"/>
          <w:bCs/>
          <w:color w:val="000000" w:themeColor="text1"/>
          <w:szCs w:val="24"/>
        </w:rPr>
        <w:t>(See section 99A)</w:t>
      </w:r>
    </w:p>
    <w:p w:rsidR="00061850" w:rsidRPr="007642C5" w:rsidRDefault="00061850" w:rsidP="00061850">
      <w:pPr>
        <w:ind w:left="2430"/>
        <w:jc w:val="center"/>
        <w:rPr>
          <w:rFonts w:cs="Arial"/>
          <w:bCs/>
          <w:color w:val="000000" w:themeColor="text1"/>
          <w:sz w:val="20"/>
        </w:rPr>
      </w:pPr>
    </w:p>
    <w:p w:rsidR="00061850" w:rsidRPr="007642C5" w:rsidRDefault="00061850" w:rsidP="00586F38">
      <w:pPr>
        <w:ind w:firstLine="540"/>
        <w:jc w:val="both"/>
        <w:rPr>
          <w:rFonts w:cs="Arial"/>
          <w:bCs/>
          <w:color w:val="000000" w:themeColor="text1"/>
          <w:sz w:val="20"/>
        </w:rPr>
      </w:pPr>
      <w:r w:rsidRPr="007642C5">
        <w:rPr>
          <w:rFonts w:cs="Arial"/>
          <w:bCs/>
          <w:color w:val="000000" w:themeColor="text1"/>
          <w:sz w:val="20"/>
        </w:rPr>
        <w:t>Notwithstanding anything contained in this Ordinance or any other law for the time being in force, a trader qualifying under this Schedule shall have the option to be assessed including for filing of return, either-</w:t>
      </w:r>
    </w:p>
    <w:p w:rsidR="00061850" w:rsidRPr="007642C5" w:rsidRDefault="00061850" w:rsidP="00061850">
      <w:pPr>
        <w:ind w:firstLine="1260"/>
        <w:jc w:val="both"/>
        <w:rPr>
          <w:rFonts w:cs="Arial"/>
          <w:bCs/>
          <w:color w:val="000000" w:themeColor="text1"/>
          <w:sz w:val="20"/>
        </w:rPr>
      </w:pPr>
    </w:p>
    <w:p w:rsidR="00061850" w:rsidRPr="007642C5" w:rsidRDefault="00061850" w:rsidP="00375E5A">
      <w:pPr>
        <w:numPr>
          <w:ilvl w:val="0"/>
          <w:numId w:val="81"/>
        </w:numPr>
        <w:ind w:left="900"/>
        <w:rPr>
          <w:rFonts w:cs="Arial"/>
          <w:bCs/>
          <w:color w:val="000000" w:themeColor="text1"/>
          <w:sz w:val="20"/>
        </w:rPr>
      </w:pPr>
      <w:r w:rsidRPr="007642C5">
        <w:rPr>
          <w:rFonts w:cs="Arial"/>
          <w:bCs/>
          <w:color w:val="000000" w:themeColor="text1"/>
          <w:sz w:val="20"/>
        </w:rPr>
        <w:t>under the provisions of this Ordinance, other than this Schedule; or</w:t>
      </w:r>
    </w:p>
    <w:p w:rsidR="00061850" w:rsidRPr="007642C5" w:rsidRDefault="00061850" w:rsidP="00061850">
      <w:pPr>
        <w:ind w:left="3240"/>
        <w:rPr>
          <w:rFonts w:cs="Arial"/>
          <w:bCs/>
          <w:color w:val="000000" w:themeColor="text1"/>
          <w:sz w:val="20"/>
        </w:rPr>
      </w:pPr>
    </w:p>
    <w:p w:rsidR="00061850" w:rsidRPr="007642C5" w:rsidRDefault="00061850" w:rsidP="00375E5A">
      <w:pPr>
        <w:numPr>
          <w:ilvl w:val="0"/>
          <w:numId w:val="81"/>
        </w:numPr>
        <w:spacing w:line="360" w:lineRule="auto"/>
        <w:ind w:left="900"/>
        <w:rPr>
          <w:rFonts w:cs="Arial"/>
          <w:bCs/>
          <w:color w:val="000000" w:themeColor="text1"/>
          <w:sz w:val="20"/>
        </w:rPr>
      </w:pPr>
      <w:r w:rsidRPr="007642C5">
        <w:rPr>
          <w:rFonts w:cs="Arial"/>
          <w:bCs/>
          <w:color w:val="000000" w:themeColor="text1"/>
          <w:sz w:val="20"/>
        </w:rPr>
        <w:t>under the provision of this Schedule.</w:t>
      </w:r>
    </w:p>
    <w:p w:rsidR="00185611" w:rsidRPr="007642C5" w:rsidRDefault="00185611" w:rsidP="00185611">
      <w:pPr>
        <w:spacing w:line="360" w:lineRule="auto"/>
        <w:jc w:val="center"/>
        <w:rPr>
          <w:rFonts w:cs="Arial"/>
          <w:color w:val="000000" w:themeColor="text1"/>
          <w:sz w:val="12"/>
          <w:szCs w:val="24"/>
        </w:rPr>
      </w:pPr>
    </w:p>
    <w:p w:rsidR="00061850" w:rsidRPr="007642C5" w:rsidRDefault="00061850" w:rsidP="00185611">
      <w:pPr>
        <w:spacing w:line="360" w:lineRule="auto"/>
        <w:jc w:val="center"/>
        <w:rPr>
          <w:rFonts w:cs="Arial"/>
          <w:color w:val="000000" w:themeColor="text1"/>
          <w:szCs w:val="24"/>
        </w:rPr>
      </w:pPr>
      <w:r w:rsidRPr="007642C5">
        <w:rPr>
          <w:rFonts w:cs="Arial"/>
          <w:color w:val="000000" w:themeColor="text1"/>
          <w:szCs w:val="24"/>
        </w:rPr>
        <w:t>PART I</w:t>
      </w:r>
    </w:p>
    <w:p w:rsidR="00061850" w:rsidRPr="007642C5" w:rsidRDefault="00061850" w:rsidP="00185611">
      <w:pPr>
        <w:jc w:val="both"/>
        <w:rPr>
          <w:rFonts w:cs="Arial"/>
          <w:b/>
          <w:bCs/>
          <w:color w:val="000000" w:themeColor="text1"/>
          <w:sz w:val="20"/>
        </w:rPr>
      </w:pPr>
      <w:r w:rsidRPr="007642C5">
        <w:rPr>
          <w:rFonts w:cs="Arial"/>
          <w:b/>
          <w:bCs/>
          <w:color w:val="000000" w:themeColor="text1"/>
          <w:sz w:val="20"/>
        </w:rPr>
        <w:t>RULES FOR THE COMPUTATION OF THE TAX PAYABLE ON PROFITS AND GAINS OF A TRADER FALLING UNDER SUB-SECTION (1) OF SECTION 99A</w:t>
      </w:r>
    </w:p>
    <w:p w:rsidR="00061850" w:rsidRPr="007642C5" w:rsidRDefault="00061850" w:rsidP="00061850">
      <w:pPr>
        <w:spacing w:line="360" w:lineRule="auto"/>
        <w:ind w:left="2430"/>
        <w:jc w:val="both"/>
        <w:rPr>
          <w:rFonts w:cs="Arial"/>
          <w:b/>
          <w:bCs/>
          <w:color w:val="000000" w:themeColor="text1"/>
          <w:sz w:val="20"/>
        </w:rPr>
      </w:pPr>
    </w:p>
    <w:p w:rsidR="00061850" w:rsidRPr="007642C5" w:rsidRDefault="00061850" w:rsidP="00185611">
      <w:pPr>
        <w:ind w:firstLine="540"/>
        <w:jc w:val="both"/>
        <w:rPr>
          <w:rFonts w:cs="Arial"/>
          <w:color w:val="000000" w:themeColor="text1"/>
          <w:sz w:val="20"/>
        </w:rPr>
      </w:pPr>
      <w:r w:rsidRPr="007642C5">
        <w:rPr>
          <w:rFonts w:cs="Arial"/>
          <w:color w:val="000000" w:themeColor="text1"/>
          <w:sz w:val="20"/>
        </w:rPr>
        <w:t>1.</w:t>
      </w:r>
      <w:r w:rsidRPr="007642C5">
        <w:rPr>
          <w:rFonts w:cs="Arial"/>
          <w:color w:val="000000" w:themeColor="text1"/>
          <w:sz w:val="20"/>
        </w:rPr>
        <w:tab/>
        <w:t>The tax payable on profits and gains of a trader  falling under sub-section (1) of section 99A in respect of trading activities chargeable under the head “income from business” shall be computed in the manner hereinafter provided.</w:t>
      </w:r>
    </w:p>
    <w:p w:rsidR="00061850" w:rsidRPr="007642C5" w:rsidRDefault="00061850" w:rsidP="00061850">
      <w:pPr>
        <w:spacing w:line="360" w:lineRule="auto"/>
        <w:ind w:left="2430" w:firstLine="450"/>
        <w:jc w:val="both"/>
        <w:rPr>
          <w:rFonts w:cs="Arial"/>
          <w:color w:val="000000" w:themeColor="text1"/>
          <w:sz w:val="20"/>
        </w:rPr>
      </w:pPr>
    </w:p>
    <w:p w:rsidR="00061850" w:rsidRPr="007642C5" w:rsidRDefault="00061850" w:rsidP="00185611">
      <w:pPr>
        <w:ind w:firstLine="540"/>
        <w:jc w:val="both"/>
        <w:rPr>
          <w:rFonts w:cs="Arial"/>
          <w:color w:val="000000" w:themeColor="text1"/>
          <w:sz w:val="20"/>
        </w:rPr>
      </w:pPr>
      <w:r w:rsidRPr="007642C5">
        <w:rPr>
          <w:rFonts w:cs="Arial"/>
          <w:color w:val="000000" w:themeColor="text1"/>
          <w:sz w:val="20"/>
        </w:rPr>
        <w:t>2.</w:t>
      </w:r>
      <w:r w:rsidRPr="007642C5">
        <w:rPr>
          <w:rFonts w:cs="Arial"/>
          <w:color w:val="000000" w:themeColor="text1"/>
          <w:sz w:val="20"/>
        </w:rPr>
        <w:tab/>
        <w:t>For trader qualifying under this Part, working capital for tax year 2015 shall not exceed rupees fifty million and tax at the rate of one per cent of the working capital shall be the tax payable on profits and gains from the trading activity.</w:t>
      </w:r>
    </w:p>
    <w:p w:rsidR="00061850" w:rsidRPr="007642C5" w:rsidRDefault="00061850" w:rsidP="00061850">
      <w:pPr>
        <w:spacing w:line="360" w:lineRule="auto"/>
        <w:ind w:left="2430" w:firstLine="450"/>
        <w:jc w:val="both"/>
        <w:rPr>
          <w:rFonts w:cs="Arial"/>
          <w:color w:val="000000" w:themeColor="text1"/>
          <w:sz w:val="20"/>
        </w:rPr>
      </w:pPr>
    </w:p>
    <w:p w:rsidR="00061850" w:rsidRPr="007642C5" w:rsidRDefault="00061850" w:rsidP="00185611">
      <w:pPr>
        <w:ind w:firstLine="540"/>
        <w:jc w:val="both"/>
        <w:rPr>
          <w:rFonts w:cs="Arial"/>
          <w:color w:val="000000" w:themeColor="text1"/>
          <w:sz w:val="20"/>
        </w:rPr>
      </w:pPr>
      <w:r w:rsidRPr="007642C5">
        <w:rPr>
          <w:rFonts w:cs="Arial"/>
          <w:color w:val="000000" w:themeColor="text1"/>
          <w:sz w:val="20"/>
        </w:rPr>
        <w:t>3.</w:t>
      </w:r>
      <w:r w:rsidRPr="007642C5">
        <w:rPr>
          <w:rFonts w:cs="Arial"/>
          <w:color w:val="000000" w:themeColor="text1"/>
          <w:sz w:val="20"/>
        </w:rPr>
        <w:tab/>
        <w:t>For tax years 2016, 2017 and 2018, trader qualifying under this Part and who has paid tax for the tax year 2015 under rule 2 of this Part shall pay tax specified in rule 4 of this Part subject to the following conditions, namely:-</w:t>
      </w:r>
    </w:p>
    <w:p w:rsidR="00061850" w:rsidRPr="007642C5" w:rsidRDefault="00061850" w:rsidP="00061850">
      <w:pPr>
        <w:spacing w:line="360" w:lineRule="auto"/>
        <w:ind w:left="2430" w:firstLine="450"/>
        <w:jc w:val="both"/>
        <w:rPr>
          <w:rFonts w:cs="Arial"/>
          <w:color w:val="000000" w:themeColor="text1"/>
          <w:sz w:val="20"/>
        </w:rPr>
      </w:pPr>
    </w:p>
    <w:p w:rsidR="00061850" w:rsidRPr="007642C5" w:rsidRDefault="00061850" w:rsidP="00375E5A">
      <w:pPr>
        <w:pStyle w:val="ListParagraph"/>
        <w:numPr>
          <w:ilvl w:val="0"/>
          <w:numId w:val="78"/>
        </w:numPr>
        <w:spacing w:after="200"/>
        <w:ind w:left="1260"/>
        <w:contextualSpacing/>
        <w:jc w:val="both"/>
        <w:rPr>
          <w:rFonts w:cs="Arial"/>
          <w:color w:val="000000" w:themeColor="text1"/>
          <w:sz w:val="20"/>
        </w:rPr>
      </w:pPr>
      <w:r w:rsidRPr="007642C5">
        <w:rPr>
          <w:rFonts w:cs="Arial"/>
          <w:color w:val="000000" w:themeColor="text1"/>
          <w:sz w:val="20"/>
        </w:rPr>
        <w:t>for tax year 2016, the trader shall declare turnover at least three times of the working capital declared during tax year 2015; and</w:t>
      </w:r>
    </w:p>
    <w:p w:rsidR="00061850" w:rsidRPr="007642C5" w:rsidRDefault="00061850" w:rsidP="00061850">
      <w:pPr>
        <w:pStyle w:val="ListParagraph"/>
        <w:spacing w:after="200" w:line="360" w:lineRule="auto"/>
        <w:ind w:left="3600"/>
        <w:contextualSpacing/>
        <w:jc w:val="both"/>
        <w:rPr>
          <w:rFonts w:cs="Arial"/>
          <w:color w:val="000000" w:themeColor="text1"/>
          <w:sz w:val="20"/>
        </w:rPr>
      </w:pPr>
    </w:p>
    <w:p w:rsidR="00061850" w:rsidRPr="007642C5" w:rsidRDefault="00061850" w:rsidP="00375E5A">
      <w:pPr>
        <w:pStyle w:val="ListParagraph"/>
        <w:numPr>
          <w:ilvl w:val="0"/>
          <w:numId w:val="78"/>
        </w:numPr>
        <w:spacing w:after="200"/>
        <w:ind w:left="1260"/>
        <w:contextualSpacing/>
        <w:jc w:val="both"/>
        <w:rPr>
          <w:rFonts w:cs="Arial"/>
          <w:color w:val="000000" w:themeColor="text1"/>
          <w:sz w:val="20"/>
        </w:rPr>
      </w:pPr>
      <w:r w:rsidRPr="007642C5">
        <w:rPr>
          <w:rFonts w:cs="Arial"/>
          <w:color w:val="000000" w:themeColor="text1"/>
          <w:sz w:val="20"/>
        </w:rPr>
        <w:t>for tax years 2017 and 2018 the trader shall declare turnover on which tax paid is at least twenty-five per cent more than the tax paid for the preceding tax year.</w:t>
      </w:r>
    </w:p>
    <w:p w:rsidR="00061850" w:rsidRPr="007642C5" w:rsidRDefault="00061850" w:rsidP="00185611">
      <w:pPr>
        <w:ind w:firstLine="540"/>
        <w:jc w:val="both"/>
        <w:rPr>
          <w:rFonts w:cs="Arial"/>
          <w:color w:val="000000" w:themeColor="text1"/>
          <w:sz w:val="20"/>
        </w:rPr>
      </w:pPr>
      <w:r w:rsidRPr="007642C5">
        <w:rPr>
          <w:rFonts w:cs="Arial"/>
          <w:color w:val="000000" w:themeColor="text1"/>
          <w:sz w:val="20"/>
        </w:rPr>
        <w:t>4.</w:t>
      </w:r>
      <w:r w:rsidRPr="007642C5">
        <w:rPr>
          <w:rFonts w:cs="Arial"/>
          <w:color w:val="000000" w:themeColor="text1"/>
          <w:sz w:val="20"/>
        </w:rPr>
        <w:tab/>
        <w:t>For the purpose of rule 3 of this Part, the following shall be tax rate on turnover:-</w:t>
      </w:r>
    </w:p>
    <w:p w:rsidR="00185611" w:rsidRPr="007642C5" w:rsidRDefault="00185611" w:rsidP="00185611">
      <w:pPr>
        <w:ind w:firstLine="540"/>
        <w:jc w:val="both"/>
        <w:rPr>
          <w:rFonts w:cs="Arial"/>
          <w:color w:val="000000" w:themeColor="text1"/>
          <w:sz w:val="20"/>
        </w:rPr>
      </w:pPr>
    </w:p>
    <w:p w:rsidR="00185611" w:rsidRPr="007642C5" w:rsidRDefault="00185611" w:rsidP="00185611">
      <w:pPr>
        <w:ind w:firstLine="540"/>
        <w:jc w:val="both"/>
        <w:rPr>
          <w:rFonts w:cs="Arial"/>
          <w:color w:val="000000" w:themeColor="text1"/>
          <w:sz w:val="20"/>
        </w:rPr>
      </w:pPr>
    </w:p>
    <w:p w:rsidR="00185611" w:rsidRPr="007642C5" w:rsidRDefault="00185611" w:rsidP="00185611">
      <w:pPr>
        <w:ind w:firstLine="540"/>
        <w:jc w:val="both"/>
        <w:rPr>
          <w:rFonts w:cs="Arial"/>
          <w:color w:val="000000" w:themeColor="text1"/>
          <w:sz w:val="20"/>
        </w:rPr>
      </w:pPr>
    </w:p>
    <w:p w:rsidR="00061850" w:rsidRPr="007642C5" w:rsidRDefault="00061850" w:rsidP="00061850">
      <w:pPr>
        <w:ind w:left="2430" w:firstLine="450"/>
        <w:jc w:val="both"/>
        <w:rPr>
          <w:rFonts w:cs="Arial"/>
          <w:color w:val="000000" w:themeColor="text1"/>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10"/>
        <w:gridCol w:w="2898"/>
      </w:tblGrid>
      <w:tr w:rsidR="00061850" w:rsidRPr="007642C5" w:rsidTr="00185611">
        <w:trPr>
          <w:trHeight w:val="296"/>
        </w:trPr>
        <w:tc>
          <w:tcPr>
            <w:tcW w:w="4410" w:type="dxa"/>
          </w:tcPr>
          <w:p w:rsidR="00061850" w:rsidRPr="007642C5" w:rsidRDefault="00061850" w:rsidP="00B4160E">
            <w:pPr>
              <w:jc w:val="center"/>
              <w:rPr>
                <w:rFonts w:cs="Arial"/>
                <w:b/>
                <w:color w:val="000000" w:themeColor="text1"/>
                <w:sz w:val="20"/>
              </w:rPr>
            </w:pPr>
            <w:r w:rsidRPr="007642C5">
              <w:rPr>
                <w:rFonts w:cs="Arial"/>
                <w:color w:val="000000" w:themeColor="text1"/>
                <w:sz w:val="20"/>
              </w:rPr>
              <w:t>Turnover</w:t>
            </w:r>
          </w:p>
        </w:tc>
        <w:tc>
          <w:tcPr>
            <w:tcW w:w="2898" w:type="dxa"/>
          </w:tcPr>
          <w:p w:rsidR="00061850" w:rsidRPr="007642C5" w:rsidRDefault="00061850" w:rsidP="00B4160E">
            <w:pPr>
              <w:jc w:val="center"/>
              <w:rPr>
                <w:rFonts w:cs="Arial"/>
                <w:color w:val="000000" w:themeColor="text1"/>
                <w:sz w:val="20"/>
              </w:rPr>
            </w:pPr>
            <w:r w:rsidRPr="007642C5">
              <w:rPr>
                <w:rFonts w:cs="Arial"/>
                <w:color w:val="000000" w:themeColor="text1"/>
                <w:sz w:val="20"/>
              </w:rPr>
              <w:t>Rate</w:t>
            </w:r>
          </w:p>
        </w:tc>
      </w:tr>
      <w:tr w:rsidR="00061850" w:rsidRPr="007642C5" w:rsidTr="00185611">
        <w:trPr>
          <w:trHeight w:val="242"/>
        </w:trPr>
        <w:tc>
          <w:tcPr>
            <w:tcW w:w="4410" w:type="dxa"/>
          </w:tcPr>
          <w:p w:rsidR="00061850" w:rsidRPr="007642C5" w:rsidRDefault="00061850" w:rsidP="00B4160E">
            <w:pPr>
              <w:jc w:val="center"/>
              <w:rPr>
                <w:rFonts w:cs="Arial"/>
                <w:color w:val="000000" w:themeColor="text1"/>
                <w:sz w:val="20"/>
              </w:rPr>
            </w:pPr>
            <w:r w:rsidRPr="007642C5">
              <w:rPr>
                <w:rFonts w:cs="Arial"/>
                <w:color w:val="000000" w:themeColor="text1"/>
                <w:sz w:val="20"/>
              </w:rPr>
              <w:t>(1)</w:t>
            </w:r>
          </w:p>
        </w:tc>
        <w:tc>
          <w:tcPr>
            <w:tcW w:w="2898" w:type="dxa"/>
          </w:tcPr>
          <w:p w:rsidR="00061850" w:rsidRPr="007642C5" w:rsidRDefault="00061850" w:rsidP="00B4160E">
            <w:pPr>
              <w:jc w:val="center"/>
              <w:rPr>
                <w:rFonts w:cs="Arial"/>
                <w:color w:val="000000" w:themeColor="text1"/>
                <w:sz w:val="20"/>
              </w:rPr>
            </w:pPr>
            <w:r w:rsidRPr="007642C5">
              <w:rPr>
                <w:rFonts w:cs="Arial"/>
                <w:color w:val="000000" w:themeColor="text1"/>
                <w:sz w:val="20"/>
              </w:rPr>
              <w:t>(2)</w:t>
            </w:r>
          </w:p>
        </w:tc>
      </w:tr>
      <w:tr w:rsidR="00061850" w:rsidRPr="007642C5" w:rsidTr="00185611">
        <w:tc>
          <w:tcPr>
            <w:tcW w:w="4410" w:type="dxa"/>
          </w:tcPr>
          <w:p w:rsidR="00061850" w:rsidRPr="007642C5" w:rsidRDefault="00061850" w:rsidP="00B4160E">
            <w:pPr>
              <w:jc w:val="both"/>
              <w:rPr>
                <w:rFonts w:cs="Arial"/>
                <w:color w:val="000000" w:themeColor="text1"/>
                <w:sz w:val="20"/>
              </w:rPr>
            </w:pPr>
            <w:r w:rsidRPr="007642C5">
              <w:rPr>
                <w:rFonts w:cs="Arial"/>
                <w:color w:val="000000" w:themeColor="text1"/>
                <w:sz w:val="20"/>
              </w:rPr>
              <w:t>Where turnover does not exceed 50 million rupees</w:t>
            </w:r>
          </w:p>
        </w:tc>
        <w:tc>
          <w:tcPr>
            <w:tcW w:w="2898" w:type="dxa"/>
          </w:tcPr>
          <w:p w:rsidR="00061850" w:rsidRPr="007642C5" w:rsidRDefault="00061850" w:rsidP="00B4160E">
            <w:pPr>
              <w:rPr>
                <w:rFonts w:cs="Arial"/>
                <w:color w:val="000000" w:themeColor="text1"/>
                <w:sz w:val="20"/>
              </w:rPr>
            </w:pPr>
            <w:r w:rsidRPr="007642C5">
              <w:rPr>
                <w:rFonts w:cs="Arial"/>
                <w:color w:val="000000" w:themeColor="text1"/>
                <w:sz w:val="20"/>
              </w:rPr>
              <w:t>0.2%</w:t>
            </w:r>
          </w:p>
        </w:tc>
      </w:tr>
      <w:tr w:rsidR="00061850" w:rsidRPr="007642C5" w:rsidTr="00185611">
        <w:tc>
          <w:tcPr>
            <w:tcW w:w="4410" w:type="dxa"/>
          </w:tcPr>
          <w:p w:rsidR="00061850" w:rsidRPr="007642C5" w:rsidRDefault="00061850" w:rsidP="00B4160E">
            <w:pPr>
              <w:jc w:val="both"/>
              <w:rPr>
                <w:rFonts w:cs="Arial"/>
                <w:color w:val="000000" w:themeColor="text1"/>
                <w:sz w:val="20"/>
              </w:rPr>
            </w:pPr>
            <w:r w:rsidRPr="007642C5">
              <w:rPr>
                <w:rFonts w:cs="Arial"/>
                <w:color w:val="000000" w:themeColor="text1"/>
                <w:sz w:val="20"/>
              </w:rPr>
              <w:t>Where turnover exceeds 50 million rupees but does not exceeds 250 million rupees</w:t>
            </w:r>
          </w:p>
        </w:tc>
        <w:tc>
          <w:tcPr>
            <w:tcW w:w="2898" w:type="dxa"/>
          </w:tcPr>
          <w:p w:rsidR="00061850" w:rsidRPr="007642C5" w:rsidRDefault="00061850" w:rsidP="00B4160E">
            <w:pPr>
              <w:jc w:val="both"/>
              <w:rPr>
                <w:rFonts w:cs="Arial"/>
                <w:color w:val="000000" w:themeColor="text1"/>
                <w:sz w:val="20"/>
              </w:rPr>
            </w:pPr>
            <w:r w:rsidRPr="007642C5">
              <w:rPr>
                <w:rFonts w:cs="Arial"/>
                <w:color w:val="000000" w:themeColor="text1"/>
                <w:sz w:val="20"/>
              </w:rPr>
              <w:t>Rs 100,000 plus 0.15% of the amount exceeding 50 million rupees</w:t>
            </w:r>
          </w:p>
        </w:tc>
      </w:tr>
      <w:tr w:rsidR="00061850" w:rsidRPr="007642C5" w:rsidTr="00185611">
        <w:tc>
          <w:tcPr>
            <w:tcW w:w="4410" w:type="dxa"/>
          </w:tcPr>
          <w:p w:rsidR="00061850" w:rsidRPr="007642C5" w:rsidRDefault="00061850" w:rsidP="00B4160E">
            <w:pPr>
              <w:jc w:val="both"/>
              <w:rPr>
                <w:rFonts w:cs="Arial"/>
                <w:color w:val="000000" w:themeColor="text1"/>
                <w:sz w:val="20"/>
              </w:rPr>
            </w:pPr>
            <w:r w:rsidRPr="007642C5">
              <w:rPr>
                <w:rFonts w:cs="Arial"/>
                <w:color w:val="000000" w:themeColor="text1"/>
                <w:sz w:val="20"/>
              </w:rPr>
              <w:t>Where turnover exceeds 250 million rupees</w:t>
            </w:r>
          </w:p>
        </w:tc>
        <w:tc>
          <w:tcPr>
            <w:tcW w:w="2898" w:type="dxa"/>
          </w:tcPr>
          <w:p w:rsidR="00061850" w:rsidRPr="007642C5" w:rsidRDefault="00061850" w:rsidP="00B4160E">
            <w:pPr>
              <w:jc w:val="both"/>
              <w:rPr>
                <w:rFonts w:cs="Arial"/>
                <w:color w:val="000000" w:themeColor="text1"/>
                <w:sz w:val="20"/>
              </w:rPr>
            </w:pPr>
            <w:r w:rsidRPr="007642C5">
              <w:rPr>
                <w:rFonts w:cs="Arial"/>
                <w:color w:val="000000" w:themeColor="text1"/>
                <w:sz w:val="20"/>
              </w:rPr>
              <w:t>Rs 400,000 plus 0.1% of the amount exceeding 250 million rupees</w:t>
            </w:r>
          </w:p>
        </w:tc>
      </w:tr>
    </w:tbl>
    <w:p w:rsidR="00061850" w:rsidRPr="007642C5" w:rsidRDefault="00061850" w:rsidP="00061850">
      <w:pPr>
        <w:spacing w:line="360" w:lineRule="auto"/>
        <w:ind w:left="2430"/>
        <w:jc w:val="both"/>
        <w:rPr>
          <w:rFonts w:cs="Arial"/>
          <w:color w:val="000000" w:themeColor="text1"/>
          <w:sz w:val="20"/>
        </w:rPr>
      </w:pPr>
      <w:r w:rsidRPr="007642C5">
        <w:rPr>
          <w:rFonts w:cs="Arial"/>
          <w:color w:val="000000" w:themeColor="text1"/>
          <w:sz w:val="20"/>
        </w:rPr>
        <w:tab/>
      </w:r>
      <w:r w:rsidRPr="007642C5">
        <w:rPr>
          <w:rFonts w:cs="Arial"/>
          <w:color w:val="000000" w:themeColor="text1"/>
          <w:sz w:val="20"/>
        </w:rPr>
        <w:tab/>
      </w:r>
      <w:r w:rsidRPr="007642C5">
        <w:rPr>
          <w:rFonts w:cs="Arial"/>
          <w:color w:val="000000" w:themeColor="text1"/>
          <w:sz w:val="20"/>
        </w:rPr>
        <w:tab/>
      </w:r>
      <w:r w:rsidRPr="007642C5">
        <w:rPr>
          <w:rFonts w:cs="Arial"/>
          <w:color w:val="000000" w:themeColor="text1"/>
          <w:sz w:val="20"/>
        </w:rPr>
        <w:tab/>
      </w:r>
      <w:r w:rsidRPr="007642C5">
        <w:rPr>
          <w:rFonts w:cs="Arial"/>
          <w:color w:val="000000" w:themeColor="text1"/>
          <w:sz w:val="20"/>
        </w:rPr>
        <w:tab/>
      </w:r>
    </w:p>
    <w:p w:rsidR="00061850" w:rsidRPr="007642C5" w:rsidRDefault="00061850" w:rsidP="00185611">
      <w:pPr>
        <w:ind w:firstLine="540"/>
        <w:jc w:val="both"/>
        <w:rPr>
          <w:rFonts w:cs="Arial"/>
          <w:color w:val="000000" w:themeColor="text1"/>
          <w:sz w:val="20"/>
        </w:rPr>
      </w:pPr>
      <w:r w:rsidRPr="007642C5">
        <w:rPr>
          <w:rFonts w:cs="Arial"/>
          <w:color w:val="000000" w:themeColor="text1"/>
          <w:sz w:val="20"/>
        </w:rPr>
        <w:t>5.</w:t>
      </w:r>
      <w:r w:rsidRPr="007642C5">
        <w:rPr>
          <w:rFonts w:cs="Arial"/>
          <w:color w:val="000000" w:themeColor="text1"/>
          <w:sz w:val="20"/>
        </w:rPr>
        <w:tab/>
        <w:t>Trader qualifying under this Part shall be entitled to take credit of imputable income as defined in clause (28A) of section 2, for tax years 2016 to 2018, in relation to tax paid under rule 3 of this Part for the purpose of section 111.</w:t>
      </w:r>
    </w:p>
    <w:p w:rsidR="00061850" w:rsidRPr="007642C5" w:rsidRDefault="00061850" w:rsidP="00061850">
      <w:pPr>
        <w:spacing w:line="360" w:lineRule="auto"/>
        <w:ind w:left="2430"/>
        <w:jc w:val="both"/>
        <w:rPr>
          <w:rFonts w:cs="Arial"/>
          <w:color w:val="000000" w:themeColor="text1"/>
          <w:sz w:val="10"/>
        </w:rPr>
      </w:pPr>
    </w:p>
    <w:p w:rsidR="00185611" w:rsidRPr="007642C5" w:rsidRDefault="00061850" w:rsidP="00185611">
      <w:pPr>
        <w:jc w:val="center"/>
        <w:rPr>
          <w:rFonts w:cs="Arial"/>
          <w:b/>
          <w:bCs/>
          <w:color w:val="000000" w:themeColor="text1"/>
          <w:sz w:val="20"/>
        </w:rPr>
      </w:pPr>
      <w:r w:rsidRPr="007642C5">
        <w:rPr>
          <w:rFonts w:cs="Arial"/>
          <w:b/>
          <w:color w:val="000000" w:themeColor="text1"/>
          <w:sz w:val="20"/>
        </w:rPr>
        <w:t>PART II</w:t>
      </w:r>
    </w:p>
    <w:p w:rsidR="00061850" w:rsidRPr="007642C5" w:rsidRDefault="00061850" w:rsidP="00185611">
      <w:pPr>
        <w:jc w:val="center"/>
        <w:rPr>
          <w:rFonts w:cs="Arial"/>
          <w:b/>
          <w:bCs/>
          <w:color w:val="000000" w:themeColor="text1"/>
          <w:sz w:val="20"/>
        </w:rPr>
      </w:pPr>
      <w:r w:rsidRPr="007642C5">
        <w:rPr>
          <w:rFonts w:cs="Arial"/>
          <w:b/>
          <w:bCs/>
          <w:color w:val="000000" w:themeColor="text1"/>
          <w:sz w:val="20"/>
        </w:rPr>
        <w:t>RULES FOR THE COMPUTATION OF THE TAX PAYABLE ON PROFITS AND GAINS OF A TRADER FALLING UNDER SUB-SECTION (2) OF SECTION 99A</w:t>
      </w:r>
    </w:p>
    <w:p w:rsidR="00061850" w:rsidRPr="007642C5" w:rsidRDefault="00061850" w:rsidP="00061850">
      <w:pPr>
        <w:ind w:left="2430"/>
        <w:jc w:val="center"/>
        <w:rPr>
          <w:rFonts w:cs="Arial"/>
          <w:b/>
          <w:bCs/>
          <w:color w:val="000000" w:themeColor="text1"/>
          <w:sz w:val="20"/>
        </w:rPr>
      </w:pPr>
    </w:p>
    <w:p w:rsidR="00061850" w:rsidRPr="007642C5" w:rsidRDefault="00061850" w:rsidP="00185611">
      <w:pPr>
        <w:ind w:firstLine="540"/>
        <w:jc w:val="both"/>
        <w:rPr>
          <w:rFonts w:cs="Arial"/>
          <w:color w:val="000000" w:themeColor="text1"/>
          <w:sz w:val="20"/>
        </w:rPr>
      </w:pPr>
      <w:r w:rsidRPr="007642C5">
        <w:rPr>
          <w:rFonts w:cs="Arial"/>
          <w:color w:val="000000" w:themeColor="text1"/>
          <w:sz w:val="20"/>
        </w:rPr>
        <w:t>1.</w:t>
      </w:r>
      <w:r w:rsidRPr="007642C5">
        <w:rPr>
          <w:rFonts w:cs="Arial"/>
          <w:color w:val="000000" w:themeColor="text1"/>
          <w:sz w:val="20"/>
        </w:rPr>
        <w:tab/>
        <w:t>The tax payable on profits and gains of a trader  falling under sub-section (2) of section 99A in respect of trading activities chargeable under the head “income from business” shall be computed in the manner hereinafter provided.</w:t>
      </w:r>
    </w:p>
    <w:p w:rsidR="00061850" w:rsidRPr="007642C5" w:rsidRDefault="00061850" w:rsidP="00061850">
      <w:pPr>
        <w:ind w:left="2430" w:firstLine="450"/>
        <w:jc w:val="both"/>
        <w:rPr>
          <w:rFonts w:cs="Arial"/>
          <w:color w:val="000000" w:themeColor="text1"/>
          <w:sz w:val="20"/>
        </w:rPr>
      </w:pPr>
    </w:p>
    <w:p w:rsidR="00061850" w:rsidRPr="007642C5" w:rsidRDefault="00061850" w:rsidP="00185611">
      <w:pPr>
        <w:ind w:firstLine="540"/>
        <w:jc w:val="both"/>
        <w:rPr>
          <w:rFonts w:cs="Arial"/>
          <w:color w:val="000000" w:themeColor="text1"/>
          <w:sz w:val="20"/>
        </w:rPr>
      </w:pPr>
      <w:r w:rsidRPr="007642C5">
        <w:rPr>
          <w:rFonts w:cs="Arial"/>
          <w:bCs/>
          <w:color w:val="000000" w:themeColor="text1"/>
          <w:sz w:val="20"/>
        </w:rPr>
        <w:t>2.</w:t>
      </w:r>
      <w:r w:rsidRPr="007642C5">
        <w:rPr>
          <w:rFonts w:cs="Arial"/>
          <w:bCs/>
          <w:color w:val="000000" w:themeColor="text1"/>
          <w:sz w:val="20"/>
        </w:rPr>
        <w:tab/>
        <w:t>For tax year 2015, the tax payable on profits and gains of a trader</w:t>
      </w:r>
      <w:r w:rsidRPr="007642C5">
        <w:rPr>
          <w:rFonts w:cs="Arial"/>
          <w:color w:val="000000" w:themeColor="text1"/>
          <w:sz w:val="20"/>
        </w:rPr>
        <w:t xml:space="preserve"> qualifying under this Part shall be higher of the following:</w:t>
      </w:r>
    </w:p>
    <w:p w:rsidR="00061850" w:rsidRPr="007642C5" w:rsidRDefault="00061850" w:rsidP="00061850">
      <w:pPr>
        <w:ind w:left="2430" w:firstLine="450"/>
        <w:jc w:val="both"/>
        <w:rPr>
          <w:rFonts w:cs="Arial"/>
          <w:color w:val="000000" w:themeColor="text1"/>
          <w:sz w:val="20"/>
        </w:rPr>
      </w:pPr>
    </w:p>
    <w:p w:rsidR="00061850" w:rsidRPr="007642C5" w:rsidRDefault="00061850" w:rsidP="00375E5A">
      <w:pPr>
        <w:numPr>
          <w:ilvl w:val="0"/>
          <w:numId w:val="82"/>
        </w:numPr>
        <w:ind w:left="1440"/>
        <w:jc w:val="both"/>
        <w:rPr>
          <w:rFonts w:cs="Arial"/>
          <w:color w:val="000000" w:themeColor="text1"/>
          <w:sz w:val="20"/>
        </w:rPr>
      </w:pPr>
      <w:r w:rsidRPr="007642C5">
        <w:rPr>
          <w:rFonts w:cs="Arial"/>
          <w:color w:val="000000" w:themeColor="text1"/>
          <w:sz w:val="20"/>
        </w:rPr>
        <w:t>25% higher tax than paid for tax year 2014 or for the latest tax year for which return has been filed on the basis of taxable income;</w:t>
      </w:r>
    </w:p>
    <w:p w:rsidR="00061850" w:rsidRPr="007642C5" w:rsidRDefault="00061850" w:rsidP="00061850">
      <w:pPr>
        <w:ind w:left="4140"/>
        <w:jc w:val="both"/>
        <w:rPr>
          <w:rFonts w:cs="Arial"/>
          <w:color w:val="000000" w:themeColor="text1"/>
          <w:sz w:val="20"/>
        </w:rPr>
      </w:pPr>
    </w:p>
    <w:p w:rsidR="00061850" w:rsidRPr="007642C5" w:rsidRDefault="00061850" w:rsidP="00375E5A">
      <w:pPr>
        <w:numPr>
          <w:ilvl w:val="0"/>
          <w:numId w:val="82"/>
        </w:numPr>
        <w:ind w:left="1440"/>
        <w:jc w:val="both"/>
        <w:rPr>
          <w:rFonts w:cs="Arial"/>
          <w:color w:val="000000" w:themeColor="text1"/>
          <w:sz w:val="20"/>
        </w:rPr>
      </w:pPr>
      <w:r w:rsidRPr="007642C5">
        <w:rPr>
          <w:rFonts w:cs="Arial"/>
          <w:color w:val="000000" w:themeColor="text1"/>
          <w:sz w:val="20"/>
        </w:rPr>
        <w:t>tax on turnover at the rates specified in rule 4 of Part I; or</w:t>
      </w:r>
    </w:p>
    <w:p w:rsidR="00061850" w:rsidRPr="007642C5" w:rsidRDefault="00061850" w:rsidP="00061850">
      <w:pPr>
        <w:pStyle w:val="ListParagraph"/>
        <w:rPr>
          <w:rFonts w:cs="Arial"/>
          <w:color w:val="000000" w:themeColor="text1"/>
          <w:sz w:val="20"/>
        </w:rPr>
      </w:pPr>
    </w:p>
    <w:p w:rsidR="00061850" w:rsidRPr="007642C5" w:rsidRDefault="00061850" w:rsidP="00185611">
      <w:pPr>
        <w:spacing w:line="360" w:lineRule="auto"/>
        <w:ind w:left="1080"/>
        <w:jc w:val="both"/>
        <w:rPr>
          <w:rFonts w:cs="Arial"/>
          <w:b/>
          <w:bCs/>
          <w:color w:val="000000" w:themeColor="text1"/>
          <w:sz w:val="20"/>
        </w:rPr>
      </w:pPr>
      <w:r w:rsidRPr="007642C5">
        <w:rPr>
          <w:rFonts w:cs="Arial"/>
          <w:color w:val="000000" w:themeColor="text1"/>
          <w:sz w:val="20"/>
        </w:rPr>
        <w:t xml:space="preserve">(c) </w:t>
      </w:r>
      <w:r w:rsidR="00185611" w:rsidRPr="007642C5">
        <w:rPr>
          <w:rFonts w:cs="Arial"/>
          <w:color w:val="000000" w:themeColor="text1"/>
          <w:sz w:val="20"/>
        </w:rPr>
        <w:t xml:space="preserve"> </w:t>
      </w:r>
      <w:r w:rsidRPr="007642C5">
        <w:rPr>
          <w:rFonts w:cs="Arial"/>
          <w:color w:val="000000" w:themeColor="text1"/>
          <w:sz w:val="20"/>
        </w:rPr>
        <w:t>rupees thirty thousand.</w:t>
      </w:r>
      <w:r w:rsidRPr="007642C5">
        <w:rPr>
          <w:rFonts w:cs="Arial"/>
          <w:b/>
          <w:bCs/>
          <w:color w:val="000000" w:themeColor="text1"/>
          <w:sz w:val="20"/>
        </w:rPr>
        <w:tab/>
      </w:r>
    </w:p>
    <w:p w:rsidR="00054435" w:rsidRPr="007642C5" w:rsidRDefault="00054435" w:rsidP="00185611">
      <w:pPr>
        <w:spacing w:line="360" w:lineRule="auto"/>
        <w:ind w:left="1080"/>
        <w:jc w:val="both"/>
        <w:rPr>
          <w:rFonts w:cs="Arial"/>
          <w:b/>
          <w:bCs/>
          <w:color w:val="000000" w:themeColor="text1"/>
          <w:sz w:val="12"/>
        </w:rPr>
      </w:pPr>
    </w:p>
    <w:p w:rsidR="00061850" w:rsidRPr="007642C5" w:rsidRDefault="00061850" w:rsidP="00054435">
      <w:pPr>
        <w:ind w:firstLine="540"/>
        <w:jc w:val="both"/>
        <w:rPr>
          <w:rFonts w:cs="Arial"/>
          <w:color w:val="000000" w:themeColor="text1"/>
          <w:sz w:val="20"/>
        </w:rPr>
      </w:pPr>
      <w:r w:rsidRPr="007642C5">
        <w:rPr>
          <w:rFonts w:cs="Arial"/>
          <w:bCs/>
          <w:color w:val="000000" w:themeColor="text1"/>
          <w:sz w:val="20"/>
        </w:rPr>
        <w:t>3.</w:t>
      </w:r>
      <w:r w:rsidRPr="007642C5">
        <w:rPr>
          <w:rFonts w:cs="Arial"/>
          <w:bCs/>
          <w:color w:val="000000" w:themeColor="text1"/>
          <w:sz w:val="20"/>
        </w:rPr>
        <w:tab/>
        <w:t>For tax years 2016 to 2018, the tax payable on profits and gains of a trader</w:t>
      </w:r>
      <w:r w:rsidRPr="007642C5">
        <w:rPr>
          <w:rFonts w:cs="Arial"/>
          <w:color w:val="000000" w:themeColor="text1"/>
          <w:sz w:val="20"/>
        </w:rPr>
        <w:t xml:space="preserve"> qualifying under this Part shall be higher of the following:</w:t>
      </w:r>
    </w:p>
    <w:p w:rsidR="00061850" w:rsidRPr="007642C5" w:rsidRDefault="00061850" w:rsidP="00061850">
      <w:pPr>
        <w:ind w:left="2430" w:firstLine="450"/>
        <w:jc w:val="both"/>
        <w:rPr>
          <w:rFonts w:cs="Arial"/>
          <w:color w:val="000000" w:themeColor="text1"/>
          <w:sz w:val="20"/>
        </w:rPr>
      </w:pPr>
    </w:p>
    <w:p w:rsidR="00061850" w:rsidRPr="007642C5" w:rsidRDefault="00061850" w:rsidP="00375E5A">
      <w:pPr>
        <w:numPr>
          <w:ilvl w:val="0"/>
          <w:numId w:val="83"/>
        </w:numPr>
        <w:ind w:left="1440"/>
        <w:jc w:val="both"/>
        <w:rPr>
          <w:rFonts w:cs="Arial"/>
          <w:color w:val="000000" w:themeColor="text1"/>
          <w:sz w:val="20"/>
        </w:rPr>
      </w:pPr>
      <w:r w:rsidRPr="007642C5">
        <w:rPr>
          <w:rFonts w:cs="Arial"/>
          <w:color w:val="000000" w:themeColor="text1"/>
          <w:sz w:val="20"/>
        </w:rPr>
        <w:t>25% higher tax on the basis of taxable income than tax paid for the preceding tax year; or</w:t>
      </w:r>
    </w:p>
    <w:p w:rsidR="00061850" w:rsidRPr="007642C5" w:rsidRDefault="00061850" w:rsidP="00061850">
      <w:pPr>
        <w:ind w:left="3960"/>
        <w:jc w:val="both"/>
        <w:rPr>
          <w:rFonts w:cs="Arial"/>
          <w:color w:val="000000" w:themeColor="text1"/>
          <w:sz w:val="20"/>
        </w:rPr>
      </w:pPr>
    </w:p>
    <w:p w:rsidR="00061850" w:rsidRPr="007642C5" w:rsidRDefault="00061850" w:rsidP="00375E5A">
      <w:pPr>
        <w:numPr>
          <w:ilvl w:val="0"/>
          <w:numId w:val="83"/>
        </w:numPr>
        <w:ind w:left="1440"/>
        <w:jc w:val="both"/>
        <w:rPr>
          <w:rFonts w:cs="Arial"/>
          <w:color w:val="000000" w:themeColor="text1"/>
          <w:sz w:val="20"/>
        </w:rPr>
      </w:pPr>
      <w:r w:rsidRPr="007642C5">
        <w:rPr>
          <w:rFonts w:cs="Arial"/>
          <w:color w:val="000000" w:themeColor="text1"/>
          <w:sz w:val="20"/>
        </w:rPr>
        <w:t>tax on turnover at the rates specified in rule 4 of Part I.</w:t>
      </w:r>
    </w:p>
    <w:p w:rsidR="00061850" w:rsidRPr="007642C5" w:rsidRDefault="00061850" w:rsidP="00061850">
      <w:pPr>
        <w:pStyle w:val="ListParagraph"/>
        <w:rPr>
          <w:rFonts w:cs="Arial"/>
          <w:color w:val="000000" w:themeColor="text1"/>
          <w:sz w:val="20"/>
        </w:rPr>
      </w:pPr>
    </w:p>
    <w:p w:rsidR="00061850" w:rsidRPr="007642C5" w:rsidRDefault="00061850" w:rsidP="00525678">
      <w:pPr>
        <w:ind w:firstLine="540"/>
        <w:jc w:val="both"/>
        <w:rPr>
          <w:rFonts w:cs="Arial"/>
          <w:color w:val="000000" w:themeColor="text1"/>
          <w:sz w:val="20"/>
        </w:rPr>
      </w:pPr>
      <w:r w:rsidRPr="007642C5">
        <w:rPr>
          <w:rFonts w:cs="Arial"/>
          <w:color w:val="000000" w:themeColor="text1"/>
          <w:sz w:val="20"/>
        </w:rPr>
        <w:t>4.</w:t>
      </w:r>
      <w:r w:rsidRPr="007642C5">
        <w:rPr>
          <w:rFonts w:cs="Arial"/>
          <w:color w:val="000000" w:themeColor="text1"/>
          <w:sz w:val="20"/>
        </w:rPr>
        <w:tab/>
        <w:t>Trader qualifying under this Part, who has filed return for tax year 2015 before the due date of filing of return under this Schedule, may file a revised return subject to the condition that the tax paid is higher of the following:</w:t>
      </w:r>
    </w:p>
    <w:p w:rsidR="00061850" w:rsidRPr="007642C5" w:rsidRDefault="00061850" w:rsidP="00061850">
      <w:pPr>
        <w:spacing w:line="360" w:lineRule="auto"/>
        <w:ind w:left="2430" w:firstLine="450"/>
        <w:jc w:val="both"/>
        <w:rPr>
          <w:rFonts w:cs="Arial"/>
          <w:color w:val="000000" w:themeColor="text1"/>
          <w:sz w:val="20"/>
        </w:rPr>
      </w:pPr>
    </w:p>
    <w:p w:rsidR="00061850" w:rsidRPr="007642C5" w:rsidRDefault="00061850" w:rsidP="00525678">
      <w:pPr>
        <w:ind w:left="3960" w:hanging="2880"/>
        <w:jc w:val="both"/>
        <w:rPr>
          <w:rFonts w:cs="Arial"/>
          <w:color w:val="000000" w:themeColor="text1"/>
          <w:sz w:val="20"/>
        </w:rPr>
      </w:pPr>
      <w:r w:rsidRPr="007642C5">
        <w:rPr>
          <w:rFonts w:cs="Arial"/>
          <w:color w:val="000000" w:themeColor="text1"/>
          <w:sz w:val="20"/>
        </w:rPr>
        <w:t xml:space="preserve">(a) tax as per rule 2 of this Part on the basis of revised return; </w:t>
      </w:r>
    </w:p>
    <w:p w:rsidR="00061850" w:rsidRPr="007642C5" w:rsidRDefault="00525678" w:rsidP="00525678">
      <w:pPr>
        <w:ind w:left="1080"/>
        <w:jc w:val="both"/>
        <w:rPr>
          <w:rFonts w:cs="Arial"/>
          <w:color w:val="000000" w:themeColor="text1"/>
          <w:sz w:val="20"/>
        </w:rPr>
      </w:pPr>
      <w:r w:rsidRPr="007642C5">
        <w:rPr>
          <w:rFonts w:cs="Arial"/>
          <w:color w:val="000000" w:themeColor="text1"/>
          <w:sz w:val="20"/>
        </w:rPr>
        <w:t>o</w:t>
      </w:r>
      <w:r w:rsidR="00061850" w:rsidRPr="007642C5">
        <w:rPr>
          <w:rFonts w:cs="Arial"/>
          <w:color w:val="000000" w:themeColor="text1"/>
          <w:sz w:val="20"/>
        </w:rPr>
        <w:t>r</w:t>
      </w:r>
    </w:p>
    <w:p w:rsidR="00525678" w:rsidRPr="007642C5" w:rsidRDefault="00525678" w:rsidP="00525678">
      <w:pPr>
        <w:ind w:left="1080"/>
        <w:jc w:val="both"/>
        <w:rPr>
          <w:rFonts w:cs="Arial"/>
          <w:color w:val="000000" w:themeColor="text1"/>
          <w:sz w:val="20"/>
        </w:rPr>
      </w:pPr>
    </w:p>
    <w:p w:rsidR="00061850" w:rsidRPr="007642C5" w:rsidRDefault="00061850" w:rsidP="00525678">
      <w:pPr>
        <w:ind w:left="3960" w:hanging="2880"/>
        <w:jc w:val="both"/>
        <w:rPr>
          <w:rFonts w:cs="Arial"/>
          <w:color w:val="000000" w:themeColor="text1"/>
          <w:sz w:val="20"/>
        </w:rPr>
      </w:pPr>
      <w:r w:rsidRPr="007642C5">
        <w:rPr>
          <w:rFonts w:cs="Arial"/>
          <w:color w:val="000000" w:themeColor="text1"/>
          <w:sz w:val="20"/>
        </w:rPr>
        <w:t>(b) 10% higher tax than the tax paid as per original return.</w:t>
      </w:r>
    </w:p>
    <w:p w:rsidR="00061850" w:rsidRPr="007642C5" w:rsidRDefault="00061850" w:rsidP="00061850">
      <w:pPr>
        <w:ind w:left="3960" w:hanging="360"/>
        <w:jc w:val="both"/>
        <w:rPr>
          <w:rFonts w:cs="Arial"/>
          <w:color w:val="000000" w:themeColor="text1"/>
          <w:sz w:val="20"/>
        </w:rPr>
      </w:pPr>
    </w:p>
    <w:p w:rsidR="00061850" w:rsidRPr="007642C5" w:rsidRDefault="00061850" w:rsidP="00525678">
      <w:pPr>
        <w:ind w:firstLine="540"/>
        <w:jc w:val="both"/>
        <w:rPr>
          <w:rFonts w:cs="Arial"/>
          <w:snapToGrid w:val="0"/>
          <w:color w:val="000000" w:themeColor="text1"/>
          <w:sz w:val="20"/>
        </w:rPr>
      </w:pPr>
      <w:r w:rsidRPr="007642C5">
        <w:rPr>
          <w:rFonts w:cs="Arial"/>
          <w:color w:val="000000" w:themeColor="text1"/>
          <w:sz w:val="20"/>
        </w:rPr>
        <w:t>5.</w:t>
      </w:r>
      <w:r w:rsidRPr="007642C5">
        <w:rPr>
          <w:rFonts w:cs="Arial"/>
          <w:color w:val="000000" w:themeColor="text1"/>
          <w:sz w:val="20"/>
        </w:rPr>
        <w:tab/>
        <w:t>F</w:t>
      </w:r>
      <w:r w:rsidRPr="007642C5">
        <w:rPr>
          <w:rFonts w:cs="Arial"/>
          <w:snapToGrid w:val="0"/>
          <w:color w:val="000000" w:themeColor="text1"/>
          <w:sz w:val="20"/>
        </w:rPr>
        <w:t>or tax year 2015, the provisions of clause (ba) of sub-section (6) of section 114 shall not apply to a trader who has revised the return under rule 4 of this Part before the due date of filing of return under this Schedule.</w:t>
      </w:r>
    </w:p>
    <w:p w:rsidR="00061850" w:rsidRPr="007642C5" w:rsidRDefault="00061850" w:rsidP="00061850">
      <w:pPr>
        <w:ind w:left="2430" w:firstLine="450"/>
        <w:jc w:val="both"/>
        <w:rPr>
          <w:rFonts w:cs="Arial"/>
          <w:snapToGrid w:val="0"/>
          <w:color w:val="000000" w:themeColor="text1"/>
          <w:sz w:val="20"/>
        </w:rPr>
      </w:pPr>
    </w:p>
    <w:p w:rsidR="00061850" w:rsidRPr="007642C5" w:rsidRDefault="00061850" w:rsidP="00525678">
      <w:pPr>
        <w:ind w:firstLine="540"/>
        <w:jc w:val="both"/>
        <w:rPr>
          <w:rFonts w:cs="Arial"/>
          <w:color w:val="000000" w:themeColor="text1"/>
          <w:sz w:val="20"/>
        </w:rPr>
      </w:pPr>
      <w:r w:rsidRPr="007642C5">
        <w:rPr>
          <w:rFonts w:cs="Arial"/>
          <w:snapToGrid w:val="0"/>
          <w:color w:val="000000" w:themeColor="text1"/>
          <w:sz w:val="20"/>
        </w:rPr>
        <w:t>6.</w:t>
      </w:r>
      <w:r w:rsidRPr="007642C5">
        <w:rPr>
          <w:rFonts w:cs="Arial"/>
          <w:snapToGrid w:val="0"/>
          <w:color w:val="000000" w:themeColor="text1"/>
          <w:sz w:val="20"/>
        </w:rPr>
        <w:tab/>
        <w:t xml:space="preserve">Where the imputable income </w:t>
      </w:r>
      <w:r w:rsidRPr="007642C5">
        <w:rPr>
          <w:rFonts w:cs="Arial"/>
          <w:color w:val="000000" w:themeColor="text1"/>
          <w:sz w:val="20"/>
        </w:rPr>
        <w:t xml:space="preserve">as defined in clause (28A) of section 2 in relation to tax on turnover at the rates specified in rule </w:t>
      </w:r>
      <w:r w:rsidRPr="007642C5">
        <w:rPr>
          <w:rFonts w:cs="Arial"/>
          <w:snapToGrid w:val="0"/>
          <w:color w:val="000000" w:themeColor="text1"/>
          <w:sz w:val="20"/>
        </w:rPr>
        <w:t>4 of Part I</w:t>
      </w:r>
      <w:r w:rsidRPr="007642C5">
        <w:rPr>
          <w:rFonts w:cs="Arial"/>
          <w:color w:val="000000" w:themeColor="text1"/>
          <w:sz w:val="20"/>
        </w:rPr>
        <w:t xml:space="preserve"> is higher than the taxable income declared, the trader qualifying under this Part may opt to take the credit for the purpose of section 111, of the difference between the said imputable income and taxable income, provided that tax at the rate of one per cent of the difference is paid along with the return.</w:t>
      </w:r>
    </w:p>
    <w:p w:rsidR="00061850" w:rsidRPr="007642C5" w:rsidRDefault="00061850" w:rsidP="00061850">
      <w:pPr>
        <w:spacing w:line="360" w:lineRule="auto"/>
        <w:ind w:left="2430"/>
        <w:jc w:val="both"/>
        <w:rPr>
          <w:rFonts w:cs="Arial"/>
          <w:color w:val="000000" w:themeColor="text1"/>
          <w:sz w:val="20"/>
        </w:rPr>
      </w:pPr>
    </w:p>
    <w:p w:rsidR="00061850" w:rsidRPr="007642C5" w:rsidRDefault="00061850" w:rsidP="00F84E76">
      <w:pPr>
        <w:jc w:val="center"/>
        <w:rPr>
          <w:rFonts w:cs="Arial"/>
          <w:b/>
          <w:bCs/>
          <w:color w:val="000000" w:themeColor="text1"/>
          <w:sz w:val="20"/>
        </w:rPr>
      </w:pPr>
      <w:r w:rsidRPr="007642C5">
        <w:rPr>
          <w:rFonts w:cs="Arial"/>
          <w:b/>
          <w:color w:val="000000" w:themeColor="text1"/>
          <w:sz w:val="20"/>
        </w:rPr>
        <w:t>PART III</w:t>
      </w:r>
    </w:p>
    <w:p w:rsidR="00061850" w:rsidRPr="007642C5" w:rsidRDefault="00061850" w:rsidP="00F84E76">
      <w:pPr>
        <w:jc w:val="center"/>
        <w:rPr>
          <w:rFonts w:cs="Arial"/>
          <w:b/>
          <w:bCs/>
          <w:color w:val="000000" w:themeColor="text1"/>
          <w:sz w:val="20"/>
        </w:rPr>
      </w:pPr>
      <w:r w:rsidRPr="007642C5">
        <w:rPr>
          <w:rFonts w:cs="Arial"/>
          <w:b/>
          <w:bCs/>
          <w:color w:val="000000" w:themeColor="text1"/>
          <w:sz w:val="20"/>
        </w:rPr>
        <w:t>GENERAL PROVISIONS FOR THE TRADERS UNDER PART I AND PART II</w:t>
      </w:r>
    </w:p>
    <w:p w:rsidR="00061850" w:rsidRPr="007642C5" w:rsidRDefault="00061850" w:rsidP="00061850">
      <w:pPr>
        <w:ind w:left="2430"/>
        <w:jc w:val="center"/>
        <w:rPr>
          <w:rFonts w:cs="Arial"/>
          <w:b/>
          <w:bCs/>
          <w:color w:val="000000" w:themeColor="text1"/>
          <w:sz w:val="20"/>
        </w:rPr>
      </w:pPr>
    </w:p>
    <w:p w:rsidR="00061850" w:rsidRPr="007642C5" w:rsidRDefault="00061850" w:rsidP="00F84E76">
      <w:pPr>
        <w:ind w:firstLine="540"/>
        <w:jc w:val="both"/>
        <w:rPr>
          <w:rFonts w:cs="Arial"/>
          <w:color w:val="000000" w:themeColor="text1"/>
          <w:sz w:val="20"/>
        </w:rPr>
      </w:pPr>
      <w:r w:rsidRPr="007642C5">
        <w:rPr>
          <w:rFonts w:cs="Arial"/>
          <w:bCs/>
          <w:color w:val="000000" w:themeColor="text1"/>
          <w:sz w:val="20"/>
        </w:rPr>
        <w:t xml:space="preserve">1. </w:t>
      </w:r>
      <w:r w:rsidRPr="007642C5">
        <w:rPr>
          <w:rFonts w:cs="Arial"/>
          <w:bCs/>
          <w:color w:val="000000" w:themeColor="text1"/>
          <w:sz w:val="20"/>
        </w:rPr>
        <w:tab/>
      </w:r>
      <w:r w:rsidRPr="007642C5">
        <w:rPr>
          <w:rFonts w:cs="Arial"/>
          <w:color w:val="000000" w:themeColor="text1"/>
          <w:sz w:val="20"/>
        </w:rPr>
        <w:t>Traders deriving income other than from trading activities chargeable under the head “income from business” shall not qualify under this Schedule.</w:t>
      </w:r>
    </w:p>
    <w:p w:rsidR="00061850" w:rsidRPr="007642C5" w:rsidRDefault="00061850" w:rsidP="00061850">
      <w:pPr>
        <w:ind w:left="2430" w:firstLine="450"/>
        <w:jc w:val="both"/>
        <w:rPr>
          <w:rFonts w:cs="Arial"/>
          <w:bCs/>
          <w:color w:val="000000" w:themeColor="text1"/>
          <w:sz w:val="20"/>
        </w:rPr>
      </w:pPr>
    </w:p>
    <w:p w:rsidR="00061850" w:rsidRPr="007642C5" w:rsidRDefault="00061850" w:rsidP="00F84E76">
      <w:pPr>
        <w:ind w:firstLine="540"/>
        <w:jc w:val="both"/>
        <w:rPr>
          <w:rFonts w:cs="Arial"/>
          <w:color w:val="000000" w:themeColor="text1"/>
          <w:sz w:val="20"/>
        </w:rPr>
      </w:pPr>
      <w:r w:rsidRPr="007642C5">
        <w:rPr>
          <w:rFonts w:cs="Arial"/>
          <w:bCs/>
          <w:color w:val="000000" w:themeColor="text1"/>
          <w:sz w:val="20"/>
        </w:rPr>
        <w:t>2.</w:t>
      </w:r>
      <w:r w:rsidRPr="007642C5">
        <w:rPr>
          <w:rFonts w:cs="Arial"/>
          <w:bCs/>
          <w:color w:val="000000" w:themeColor="text1"/>
          <w:sz w:val="20"/>
        </w:rPr>
        <w:tab/>
      </w:r>
      <w:r w:rsidRPr="007642C5">
        <w:rPr>
          <w:rFonts w:cs="Arial"/>
          <w:color w:val="000000" w:themeColor="text1"/>
          <w:sz w:val="20"/>
        </w:rPr>
        <w:t xml:space="preserve">The provisions of sections 177 and 214C shall not apply to a trader qualifying under this Schedule, for tax years 2015 to 2018. </w:t>
      </w:r>
    </w:p>
    <w:p w:rsidR="00061850" w:rsidRPr="007642C5" w:rsidRDefault="00061850" w:rsidP="00061850">
      <w:pPr>
        <w:ind w:left="2430" w:firstLine="450"/>
        <w:jc w:val="both"/>
        <w:rPr>
          <w:rFonts w:cs="Arial"/>
          <w:color w:val="000000" w:themeColor="text1"/>
          <w:sz w:val="20"/>
        </w:rPr>
      </w:pPr>
    </w:p>
    <w:p w:rsidR="00061850" w:rsidRPr="007642C5" w:rsidRDefault="00061850" w:rsidP="00F84E76">
      <w:pPr>
        <w:ind w:firstLine="540"/>
        <w:jc w:val="both"/>
        <w:rPr>
          <w:rFonts w:cs="Arial"/>
          <w:color w:val="000000" w:themeColor="text1"/>
          <w:sz w:val="20"/>
        </w:rPr>
      </w:pPr>
      <w:r w:rsidRPr="007642C5">
        <w:rPr>
          <w:rFonts w:cs="Arial"/>
          <w:color w:val="000000" w:themeColor="text1"/>
          <w:sz w:val="20"/>
        </w:rPr>
        <w:t>3.</w:t>
      </w:r>
      <w:r w:rsidRPr="007642C5">
        <w:rPr>
          <w:rFonts w:cs="Arial"/>
          <w:bCs/>
          <w:color w:val="000000" w:themeColor="text1"/>
          <w:sz w:val="20"/>
        </w:rPr>
        <w:tab/>
      </w:r>
      <w:r w:rsidRPr="007642C5">
        <w:rPr>
          <w:rFonts w:cs="Arial"/>
          <w:color w:val="000000" w:themeColor="text1"/>
          <w:sz w:val="20"/>
        </w:rPr>
        <w:t>Trader qualifying under Part I of this Schedule shall file a return as specified in Form ‘A” to rule 17 of this Part and trader qualifying under Part II of this Schedule shall file a return as prescribed under the Income Tax Rules, 2002.</w:t>
      </w:r>
    </w:p>
    <w:p w:rsidR="00061850" w:rsidRPr="007642C5" w:rsidRDefault="00061850" w:rsidP="00061850">
      <w:pPr>
        <w:ind w:left="2430" w:firstLine="450"/>
        <w:jc w:val="both"/>
        <w:rPr>
          <w:rFonts w:cs="Arial"/>
          <w:color w:val="000000" w:themeColor="text1"/>
          <w:sz w:val="20"/>
        </w:rPr>
      </w:pPr>
    </w:p>
    <w:p w:rsidR="00061850" w:rsidRPr="007642C5" w:rsidRDefault="00061850" w:rsidP="00F84E76">
      <w:pPr>
        <w:spacing w:after="120"/>
        <w:ind w:firstLine="540"/>
        <w:jc w:val="both"/>
        <w:rPr>
          <w:rFonts w:cs="Arial"/>
          <w:snapToGrid w:val="0"/>
          <w:color w:val="000000" w:themeColor="text1"/>
          <w:sz w:val="20"/>
        </w:rPr>
      </w:pPr>
      <w:r w:rsidRPr="007642C5">
        <w:rPr>
          <w:rFonts w:cs="Arial"/>
          <w:color w:val="000000" w:themeColor="text1"/>
          <w:sz w:val="20"/>
        </w:rPr>
        <w:t>4.</w:t>
      </w:r>
      <w:r w:rsidRPr="007642C5">
        <w:rPr>
          <w:rFonts w:cs="Arial"/>
          <w:color w:val="000000" w:themeColor="text1"/>
          <w:sz w:val="20"/>
        </w:rPr>
        <w:tab/>
        <w:t xml:space="preserve">A trader qualifying under this Schedule </w:t>
      </w:r>
      <w:r w:rsidRPr="007642C5">
        <w:rPr>
          <w:rFonts w:cs="Arial"/>
          <w:snapToGrid w:val="0"/>
          <w:color w:val="000000" w:themeColor="text1"/>
          <w:sz w:val="20"/>
        </w:rPr>
        <w:t>shall not be entitled to claim any adjustment of withholding tax collected or deducted under this Ordinance, against tax payable in respect of profits and gains relating to trading activity.</w:t>
      </w:r>
    </w:p>
    <w:p w:rsidR="00061850" w:rsidRPr="007642C5" w:rsidRDefault="00061850" w:rsidP="00F84E76">
      <w:pPr>
        <w:spacing w:after="120"/>
        <w:ind w:firstLine="540"/>
        <w:jc w:val="both"/>
        <w:rPr>
          <w:rFonts w:cs="Arial"/>
          <w:snapToGrid w:val="0"/>
          <w:color w:val="000000" w:themeColor="text1"/>
          <w:sz w:val="20"/>
        </w:rPr>
      </w:pPr>
      <w:r w:rsidRPr="007642C5">
        <w:rPr>
          <w:rFonts w:cs="Arial"/>
          <w:color w:val="000000" w:themeColor="text1"/>
          <w:sz w:val="20"/>
        </w:rPr>
        <w:t>5.</w:t>
      </w:r>
      <w:r w:rsidRPr="007642C5">
        <w:rPr>
          <w:rFonts w:cs="Arial"/>
          <w:color w:val="000000" w:themeColor="text1"/>
          <w:sz w:val="20"/>
        </w:rPr>
        <w:tab/>
        <w:t xml:space="preserve">A trader qualifying under this Schedule </w:t>
      </w:r>
      <w:r w:rsidRPr="007642C5">
        <w:rPr>
          <w:rFonts w:cs="Arial"/>
          <w:snapToGrid w:val="0"/>
          <w:color w:val="000000" w:themeColor="text1"/>
          <w:sz w:val="20"/>
        </w:rPr>
        <w:t>shall not be entitled to claim any adjustment of refund due against tax</w:t>
      </w:r>
      <w:r w:rsidR="00F84E76" w:rsidRPr="007642C5">
        <w:rPr>
          <w:rFonts w:cs="Arial"/>
          <w:snapToGrid w:val="0"/>
          <w:color w:val="000000" w:themeColor="text1"/>
          <w:sz w:val="20"/>
        </w:rPr>
        <w:t xml:space="preserve"> </w:t>
      </w:r>
      <w:r w:rsidRPr="007642C5">
        <w:rPr>
          <w:rFonts w:cs="Arial"/>
          <w:color w:val="000000" w:themeColor="text1"/>
          <w:sz w:val="20"/>
        </w:rPr>
        <w:t>payable under rule 2 or 3 of Part I or rule 1, 3, or 4 of Part II.</w:t>
      </w:r>
    </w:p>
    <w:p w:rsidR="00061850" w:rsidRPr="007642C5" w:rsidRDefault="00061850" w:rsidP="00F84E76">
      <w:pPr>
        <w:spacing w:after="120"/>
        <w:ind w:firstLine="540"/>
        <w:jc w:val="both"/>
        <w:rPr>
          <w:rFonts w:cs="Arial"/>
          <w:snapToGrid w:val="0"/>
          <w:color w:val="000000" w:themeColor="text1"/>
          <w:sz w:val="20"/>
        </w:rPr>
      </w:pPr>
      <w:r w:rsidRPr="007642C5">
        <w:rPr>
          <w:rFonts w:cs="Arial"/>
          <w:snapToGrid w:val="0"/>
          <w:color w:val="000000" w:themeColor="text1"/>
          <w:sz w:val="20"/>
        </w:rPr>
        <w:t xml:space="preserve">6. </w:t>
      </w:r>
      <w:r w:rsidRPr="007642C5">
        <w:rPr>
          <w:rFonts w:cs="Arial"/>
          <w:snapToGrid w:val="0"/>
          <w:color w:val="000000" w:themeColor="text1"/>
          <w:sz w:val="20"/>
        </w:rPr>
        <w:tab/>
      </w:r>
      <w:r w:rsidRPr="007642C5">
        <w:rPr>
          <w:rFonts w:cs="Arial"/>
          <w:color w:val="000000" w:themeColor="text1"/>
          <w:sz w:val="20"/>
        </w:rPr>
        <w:t xml:space="preserve">A trader qualifying under this Schedule </w:t>
      </w:r>
      <w:r w:rsidRPr="007642C5">
        <w:rPr>
          <w:rFonts w:cs="Arial"/>
          <w:snapToGrid w:val="0"/>
          <w:color w:val="000000" w:themeColor="text1"/>
          <w:sz w:val="20"/>
        </w:rPr>
        <w:t>shall not be entitled for any tax credit under this Ordinance.</w:t>
      </w:r>
    </w:p>
    <w:p w:rsidR="00061850" w:rsidRPr="007642C5" w:rsidRDefault="00061850" w:rsidP="00F84E76">
      <w:pPr>
        <w:spacing w:after="120"/>
        <w:ind w:firstLine="540"/>
        <w:jc w:val="both"/>
        <w:rPr>
          <w:rFonts w:cs="Arial"/>
          <w:color w:val="000000" w:themeColor="text1"/>
          <w:sz w:val="20"/>
        </w:rPr>
      </w:pPr>
      <w:r w:rsidRPr="007642C5">
        <w:rPr>
          <w:rFonts w:cs="Arial"/>
          <w:snapToGrid w:val="0"/>
          <w:color w:val="000000" w:themeColor="text1"/>
          <w:sz w:val="20"/>
        </w:rPr>
        <w:t>7.</w:t>
      </w:r>
      <w:r w:rsidRPr="007642C5">
        <w:rPr>
          <w:rFonts w:cs="Arial"/>
          <w:snapToGrid w:val="0"/>
          <w:color w:val="000000" w:themeColor="text1"/>
          <w:sz w:val="20"/>
        </w:rPr>
        <w:tab/>
      </w:r>
      <w:r w:rsidRPr="007642C5">
        <w:rPr>
          <w:rFonts w:cs="Arial"/>
          <w:color w:val="000000" w:themeColor="text1"/>
          <w:sz w:val="20"/>
        </w:rPr>
        <w:t xml:space="preserve">If a trader fails to furnish a return for any of the tax years 2016, 2017 or 2018 after having furnished a return for tax year 2015 shall not qualify under </w:t>
      </w:r>
      <w:r w:rsidRPr="007642C5">
        <w:rPr>
          <w:rFonts w:cs="Arial"/>
          <w:color w:val="000000" w:themeColor="text1"/>
          <w:sz w:val="20"/>
        </w:rPr>
        <w:lastRenderedPageBreak/>
        <w:t xml:space="preserve">this Schedule for any of the tax years 2015 to 2018 notwithstanding the fact that the return for tax year 2015 stood qualified under this Schedule at the time of furnishing of such return and all the provisions of this Ordinance shall apply. </w:t>
      </w:r>
    </w:p>
    <w:p w:rsidR="00061850" w:rsidRPr="007642C5" w:rsidRDefault="00061850" w:rsidP="00F84E76">
      <w:pPr>
        <w:spacing w:after="120"/>
        <w:ind w:firstLine="540"/>
        <w:jc w:val="both"/>
        <w:rPr>
          <w:rFonts w:cs="Arial"/>
          <w:color w:val="000000" w:themeColor="text1"/>
          <w:sz w:val="20"/>
        </w:rPr>
      </w:pPr>
      <w:r w:rsidRPr="007642C5">
        <w:rPr>
          <w:rFonts w:cs="Arial"/>
          <w:color w:val="000000" w:themeColor="text1"/>
          <w:sz w:val="20"/>
        </w:rPr>
        <w:t xml:space="preserve">8. </w:t>
      </w:r>
      <w:r w:rsidRPr="007642C5">
        <w:rPr>
          <w:rFonts w:cs="Arial"/>
          <w:color w:val="000000" w:themeColor="text1"/>
          <w:sz w:val="20"/>
        </w:rPr>
        <w:tab/>
        <w:t xml:space="preserve">Where it is subsequently discovered by the Commissioner that the trader was not eligible to be qualified under this Schedule or became ineligible to be qualified under this Schedule during any time between tax years 2015 to 2018 due to non-payment of tax or filing of return or otherwise, the trader shall be treated to have exercised the option to be assessed </w:t>
      </w:r>
      <w:r w:rsidRPr="007642C5">
        <w:rPr>
          <w:rFonts w:cs="Arial"/>
          <w:bCs/>
          <w:color w:val="000000" w:themeColor="text1"/>
          <w:sz w:val="20"/>
        </w:rPr>
        <w:t>under the provisions of this Ordinance, other than this Schedule</w:t>
      </w:r>
      <w:r w:rsidRPr="007642C5">
        <w:rPr>
          <w:rFonts w:cs="Arial"/>
          <w:color w:val="000000" w:themeColor="text1"/>
          <w:sz w:val="20"/>
        </w:rPr>
        <w:t xml:space="preserve"> and all this provisions of this Ordinance shall apply accordingly.</w:t>
      </w:r>
    </w:p>
    <w:p w:rsidR="00061850" w:rsidRPr="007642C5" w:rsidRDefault="00061850" w:rsidP="00F84E76">
      <w:pPr>
        <w:spacing w:after="120"/>
        <w:ind w:firstLine="540"/>
        <w:jc w:val="both"/>
        <w:rPr>
          <w:rFonts w:cs="Arial"/>
          <w:color w:val="000000" w:themeColor="text1"/>
          <w:sz w:val="20"/>
        </w:rPr>
      </w:pPr>
      <w:r w:rsidRPr="007642C5">
        <w:rPr>
          <w:rFonts w:cs="Arial"/>
          <w:color w:val="000000" w:themeColor="text1"/>
          <w:sz w:val="20"/>
        </w:rPr>
        <w:t>9.</w:t>
      </w:r>
      <w:r w:rsidRPr="007642C5">
        <w:rPr>
          <w:rFonts w:cs="Arial"/>
          <w:color w:val="000000" w:themeColor="text1"/>
          <w:sz w:val="20"/>
        </w:rPr>
        <w:tab/>
        <w:t>Tax payable under rule 2 or 3 of Part I or rule 1, 3, or 4 of Part II shall be paid in the State Bank of Pakistan or authorized branches of National Bank of Pakistan and evidence in the form of a copy of computerized tax payment receipt (CPR) shall be provided along with the specified or prescribed return, as the case may be, by the due date.</w:t>
      </w:r>
    </w:p>
    <w:p w:rsidR="00061850" w:rsidRPr="007642C5" w:rsidRDefault="00061850" w:rsidP="00F84E76">
      <w:pPr>
        <w:ind w:firstLine="540"/>
        <w:jc w:val="both"/>
        <w:rPr>
          <w:rFonts w:cs="Arial"/>
          <w:color w:val="000000" w:themeColor="text1"/>
          <w:sz w:val="20"/>
        </w:rPr>
      </w:pPr>
      <w:r w:rsidRPr="007642C5">
        <w:rPr>
          <w:rFonts w:cs="Arial"/>
          <w:color w:val="000000" w:themeColor="text1"/>
          <w:sz w:val="20"/>
        </w:rPr>
        <w:t>10.</w:t>
      </w:r>
      <w:r w:rsidRPr="007642C5">
        <w:rPr>
          <w:rFonts w:cs="Arial"/>
          <w:color w:val="000000" w:themeColor="text1"/>
          <w:sz w:val="20"/>
        </w:rPr>
        <w:tab/>
        <w:t xml:space="preserve">A trader qualifying under this Schedule </w:t>
      </w:r>
      <w:r w:rsidRPr="007642C5">
        <w:rPr>
          <w:rFonts w:cs="Arial"/>
          <w:snapToGrid w:val="0"/>
          <w:color w:val="000000" w:themeColor="text1"/>
          <w:sz w:val="20"/>
        </w:rPr>
        <w:t>shall</w:t>
      </w:r>
      <w:r w:rsidRPr="007642C5">
        <w:rPr>
          <w:rFonts w:cs="Arial"/>
          <w:color w:val="000000" w:themeColor="text1"/>
          <w:sz w:val="20"/>
        </w:rPr>
        <w:t xml:space="preserve"> not be a prescribed person for the purpose of section 153.</w:t>
      </w:r>
    </w:p>
    <w:p w:rsidR="00061850" w:rsidRPr="007642C5" w:rsidRDefault="00061850" w:rsidP="00061850">
      <w:pPr>
        <w:ind w:left="2430" w:firstLine="450"/>
        <w:jc w:val="both"/>
        <w:rPr>
          <w:rFonts w:cs="Arial"/>
          <w:color w:val="000000" w:themeColor="text1"/>
          <w:sz w:val="20"/>
        </w:rPr>
      </w:pPr>
    </w:p>
    <w:p w:rsidR="00061850" w:rsidRPr="007642C5" w:rsidRDefault="00061850" w:rsidP="003014B3">
      <w:pPr>
        <w:ind w:firstLine="540"/>
        <w:jc w:val="both"/>
        <w:rPr>
          <w:rFonts w:cs="Arial"/>
          <w:color w:val="000000" w:themeColor="text1"/>
          <w:sz w:val="20"/>
        </w:rPr>
      </w:pPr>
      <w:r w:rsidRPr="007642C5">
        <w:rPr>
          <w:rFonts w:cs="Arial"/>
          <w:color w:val="000000" w:themeColor="text1"/>
          <w:sz w:val="20"/>
        </w:rPr>
        <w:t>11.</w:t>
      </w:r>
      <w:r w:rsidRPr="007642C5">
        <w:rPr>
          <w:rFonts w:cs="Arial"/>
          <w:color w:val="000000" w:themeColor="text1"/>
          <w:sz w:val="20"/>
        </w:rPr>
        <w:tab/>
        <w:t>For the income relating to trading activity and qualifying under this Schedule-</w:t>
      </w:r>
    </w:p>
    <w:p w:rsidR="00061850" w:rsidRPr="007642C5" w:rsidRDefault="00061850" w:rsidP="00061850">
      <w:pPr>
        <w:ind w:left="2430" w:firstLine="450"/>
        <w:jc w:val="both"/>
        <w:rPr>
          <w:rFonts w:cs="Arial"/>
          <w:color w:val="000000" w:themeColor="text1"/>
          <w:sz w:val="20"/>
        </w:rPr>
      </w:pPr>
    </w:p>
    <w:p w:rsidR="00061850" w:rsidRPr="007642C5" w:rsidRDefault="00061850" w:rsidP="00375E5A">
      <w:pPr>
        <w:pStyle w:val="ListParagraph"/>
        <w:numPr>
          <w:ilvl w:val="0"/>
          <w:numId w:val="79"/>
        </w:numPr>
        <w:spacing w:after="200"/>
        <w:ind w:left="1080" w:hanging="540"/>
        <w:contextualSpacing/>
        <w:jc w:val="both"/>
        <w:rPr>
          <w:rFonts w:cs="Arial"/>
          <w:color w:val="000000" w:themeColor="text1"/>
          <w:sz w:val="20"/>
        </w:rPr>
      </w:pPr>
      <w:r w:rsidRPr="007642C5">
        <w:rPr>
          <w:rFonts w:cs="Arial"/>
          <w:color w:val="000000" w:themeColor="text1"/>
          <w:sz w:val="20"/>
        </w:rPr>
        <w:t>the Commissioner shall be deemed to have made an assessment of income for that tax year and the tax due thereon as equal to those respective amounts</w:t>
      </w:r>
      <w:r w:rsidRPr="007642C5">
        <w:rPr>
          <w:rFonts w:cs="Arial"/>
          <w:snapToGrid w:val="0"/>
          <w:color w:val="000000" w:themeColor="text1"/>
          <w:sz w:val="20"/>
        </w:rPr>
        <w:t xml:space="preserve"> computed under rules </w:t>
      </w:r>
      <w:r w:rsidRPr="007642C5">
        <w:rPr>
          <w:rFonts w:cs="Arial"/>
          <w:color w:val="000000" w:themeColor="text1"/>
          <w:sz w:val="20"/>
        </w:rPr>
        <w:t xml:space="preserve"> 2 or 3 of Part I or rule 1, 3, or 4 of Part II; and</w:t>
      </w:r>
    </w:p>
    <w:p w:rsidR="00061850" w:rsidRPr="007642C5" w:rsidRDefault="00061850" w:rsidP="00061850">
      <w:pPr>
        <w:pStyle w:val="ListParagraph"/>
        <w:spacing w:after="200"/>
        <w:ind w:left="4140"/>
        <w:contextualSpacing/>
        <w:jc w:val="both"/>
        <w:rPr>
          <w:rFonts w:cs="Arial"/>
          <w:color w:val="000000" w:themeColor="text1"/>
          <w:sz w:val="20"/>
        </w:rPr>
      </w:pPr>
    </w:p>
    <w:p w:rsidR="00061850" w:rsidRPr="007642C5" w:rsidRDefault="00061850" w:rsidP="00375E5A">
      <w:pPr>
        <w:pStyle w:val="ListParagraph"/>
        <w:numPr>
          <w:ilvl w:val="0"/>
          <w:numId w:val="79"/>
        </w:numPr>
        <w:spacing w:after="200"/>
        <w:ind w:left="1080" w:hanging="540"/>
        <w:contextualSpacing/>
        <w:jc w:val="both"/>
        <w:rPr>
          <w:rFonts w:cs="Arial"/>
          <w:color w:val="000000" w:themeColor="text1"/>
          <w:sz w:val="20"/>
        </w:rPr>
      </w:pPr>
      <w:r w:rsidRPr="007642C5">
        <w:rPr>
          <w:rFonts w:cs="Arial"/>
          <w:color w:val="000000" w:themeColor="text1"/>
          <w:sz w:val="20"/>
        </w:rPr>
        <w:t>the specified or prescribed return, as the case may be, shall, for all purposes of this Ordinance, be deemed to be an assessment order including the application of section 120.</w:t>
      </w:r>
    </w:p>
    <w:p w:rsidR="00061850" w:rsidRPr="007642C5" w:rsidRDefault="00061850" w:rsidP="00061850">
      <w:pPr>
        <w:pStyle w:val="ListParagraph"/>
        <w:spacing w:after="200" w:line="360" w:lineRule="auto"/>
        <w:ind w:left="4140"/>
        <w:contextualSpacing/>
        <w:jc w:val="both"/>
        <w:rPr>
          <w:rFonts w:cs="Arial"/>
          <w:color w:val="000000" w:themeColor="text1"/>
          <w:sz w:val="20"/>
        </w:rPr>
      </w:pPr>
    </w:p>
    <w:p w:rsidR="00061850" w:rsidRPr="007642C5" w:rsidRDefault="003014B3" w:rsidP="00C81C23">
      <w:pPr>
        <w:pStyle w:val="ListParagraph"/>
        <w:spacing w:after="200"/>
        <w:ind w:left="1080"/>
        <w:contextualSpacing/>
        <w:jc w:val="both"/>
        <w:rPr>
          <w:rFonts w:cs="Arial"/>
          <w:color w:val="000000" w:themeColor="text1"/>
          <w:sz w:val="20"/>
        </w:rPr>
      </w:pPr>
      <w:r w:rsidRPr="007642C5">
        <w:rPr>
          <w:rFonts w:cs="Arial"/>
          <w:i/>
          <w:color w:val="000000" w:themeColor="text1"/>
          <w:sz w:val="20"/>
        </w:rPr>
        <w:t xml:space="preserve"> </w:t>
      </w:r>
      <w:r w:rsidR="00061850" w:rsidRPr="007642C5">
        <w:rPr>
          <w:rFonts w:cs="Arial"/>
          <w:i/>
          <w:color w:val="000000" w:themeColor="text1"/>
          <w:sz w:val="20"/>
        </w:rPr>
        <w:t>Explanation.-</w:t>
      </w:r>
      <w:r w:rsidR="00061850" w:rsidRPr="007642C5">
        <w:rPr>
          <w:rFonts w:cs="Arial"/>
          <w:color w:val="000000" w:themeColor="text1"/>
          <w:sz w:val="20"/>
        </w:rPr>
        <w:t xml:space="preserve"> For removal of doubt and for the purpose of this rule, it is declared that income means taxable income or imputable income as the case may be.</w:t>
      </w:r>
    </w:p>
    <w:p w:rsidR="00061850" w:rsidRPr="007642C5" w:rsidRDefault="00061850" w:rsidP="00C81C23">
      <w:pPr>
        <w:ind w:firstLine="540"/>
        <w:jc w:val="both"/>
        <w:rPr>
          <w:rFonts w:cs="Arial"/>
          <w:color w:val="000000" w:themeColor="text1"/>
          <w:sz w:val="20"/>
        </w:rPr>
      </w:pPr>
      <w:r w:rsidRPr="007642C5">
        <w:rPr>
          <w:rFonts w:cs="Arial"/>
          <w:color w:val="000000" w:themeColor="text1"/>
          <w:sz w:val="20"/>
        </w:rPr>
        <w:t>12.</w:t>
      </w:r>
      <w:r w:rsidRPr="007642C5">
        <w:rPr>
          <w:rFonts w:cs="Arial"/>
          <w:color w:val="000000" w:themeColor="text1"/>
          <w:sz w:val="20"/>
        </w:rPr>
        <w:tab/>
        <w:t>The Federal Government may, from time to time, by notification in the official Gazette, amend the Schedule so as to add any rule therein or modify or omit any rule therefrom.</w:t>
      </w:r>
    </w:p>
    <w:p w:rsidR="00C81C23" w:rsidRPr="007642C5" w:rsidRDefault="00C81C23" w:rsidP="00061850">
      <w:pPr>
        <w:ind w:left="2430" w:firstLine="450"/>
        <w:jc w:val="both"/>
        <w:rPr>
          <w:rFonts w:cs="Arial"/>
          <w:color w:val="000000" w:themeColor="text1"/>
          <w:sz w:val="20"/>
        </w:rPr>
      </w:pPr>
    </w:p>
    <w:p w:rsidR="00061850" w:rsidRPr="007642C5" w:rsidRDefault="00061850" w:rsidP="00C81C23">
      <w:pPr>
        <w:ind w:firstLine="540"/>
        <w:jc w:val="both"/>
        <w:rPr>
          <w:rFonts w:cs="Arial"/>
          <w:snapToGrid w:val="0"/>
          <w:color w:val="000000" w:themeColor="text1"/>
          <w:sz w:val="20"/>
        </w:rPr>
      </w:pPr>
      <w:r w:rsidRPr="007642C5">
        <w:rPr>
          <w:rFonts w:cs="Arial"/>
          <w:color w:val="000000" w:themeColor="text1"/>
          <w:sz w:val="20"/>
        </w:rPr>
        <w:t>13.</w:t>
      </w:r>
      <w:r w:rsidRPr="007642C5">
        <w:rPr>
          <w:rFonts w:cs="Arial"/>
          <w:color w:val="000000" w:themeColor="text1"/>
          <w:sz w:val="20"/>
        </w:rPr>
        <w:tab/>
      </w:r>
      <w:r w:rsidRPr="007642C5">
        <w:rPr>
          <w:rFonts w:cs="Arial"/>
          <w:snapToGrid w:val="0"/>
          <w:color w:val="000000" w:themeColor="text1"/>
          <w:sz w:val="20"/>
        </w:rPr>
        <w:t>The provisions of sub-section (2) of section 116 shall not apply for the tax year 2015 to the trader qualifying under this Schedule if the declared income for the year is less than one million rupees.</w:t>
      </w:r>
    </w:p>
    <w:p w:rsidR="00061850" w:rsidRPr="007642C5" w:rsidRDefault="00061850" w:rsidP="00061850">
      <w:pPr>
        <w:ind w:left="2430" w:firstLine="450"/>
        <w:jc w:val="both"/>
        <w:rPr>
          <w:rFonts w:cs="Arial"/>
          <w:snapToGrid w:val="0"/>
          <w:color w:val="000000" w:themeColor="text1"/>
          <w:sz w:val="20"/>
        </w:rPr>
      </w:pPr>
    </w:p>
    <w:p w:rsidR="00061850" w:rsidRPr="007642C5" w:rsidRDefault="00061850" w:rsidP="00C81C23">
      <w:pPr>
        <w:ind w:firstLine="540"/>
        <w:jc w:val="both"/>
        <w:rPr>
          <w:rFonts w:cs="Arial"/>
          <w:snapToGrid w:val="0"/>
          <w:color w:val="000000" w:themeColor="text1"/>
          <w:sz w:val="20"/>
        </w:rPr>
      </w:pPr>
      <w:r w:rsidRPr="007642C5">
        <w:rPr>
          <w:rFonts w:cs="Arial"/>
          <w:snapToGrid w:val="0"/>
          <w:color w:val="000000" w:themeColor="text1"/>
          <w:sz w:val="20"/>
        </w:rPr>
        <w:t>14.</w:t>
      </w:r>
      <w:r w:rsidRPr="007642C5">
        <w:rPr>
          <w:rFonts w:cs="Arial"/>
          <w:snapToGrid w:val="0"/>
          <w:color w:val="000000" w:themeColor="text1"/>
          <w:sz w:val="20"/>
        </w:rPr>
        <w:tab/>
      </w:r>
      <w:r w:rsidRPr="007642C5">
        <w:rPr>
          <w:rFonts w:cs="Arial"/>
          <w:color w:val="000000" w:themeColor="text1"/>
          <w:sz w:val="20"/>
        </w:rPr>
        <w:t xml:space="preserve">Notwithstanding anything contained in aforesaid rules, a return qualifying </w:t>
      </w:r>
      <w:r w:rsidRPr="007642C5">
        <w:rPr>
          <w:rFonts w:cs="Arial"/>
          <w:snapToGrid w:val="0"/>
          <w:color w:val="000000" w:themeColor="text1"/>
          <w:sz w:val="20"/>
        </w:rPr>
        <w:t>under this Schedule</w:t>
      </w:r>
      <w:r w:rsidRPr="007642C5">
        <w:rPr>
          <w:rFonts w:cs="Arial"/>
          <w:color w:val="000000" w:themeColor="text1"/>
          <w:sz w:val="20"/>
        </w:rPr>
        <w:t xml:space="preserve"> may be subject to amendment under section 122 where definite information, as defined in sub-section (8) of section 122, comes </w:t>
      </w:r>
      <w:r w:rsidRPr="007642C5">
        <w:rPr>
          <w:rFonts w:cs="Arial"/>
          <w:color w:val="000000" w:themeColor="text1"/>
          <w:sz w:val="20"/>
        </w:rPr>
        <w:lastRenderedPageBreak/>
        <w:t>into the knowledge or possession of the Commissioner in which case all the provisions of the Ordinance shall apply accordingly.</w:t>
      </w:r>
    </w:p>
    <w:p w:rsidR="00061850" w:rsidRPr="007642C5" w:rsidRDefault="00061850" w:rsidP="00061850">
      <w:pPr>
        <w:spacing w:line="360" w:lineRule="auto"/>
        <w:ind w:left="2430" w:firstLine="450"/>
        <w:jc w:val="both"/>
        <w:rPr>
          <w:rFonts w:cs="Arial"/>
          <w:snapToGrid w:val="0"/>
          <w:color w:val="000000" w:themeColor="text1"/>
          <w:sz w:val="20"/>
        </w:rPr>
      </w:pPr>
    </w:p>
    <w:p w:rsidR="00061850" w:rsidRPr="007642C5" w:rsidRDefault="00061850" w:rsidP="00C81C23">
      <w:pPr>
        <w:spacing w:line="360" w:lineRule="auto"/>
        <w:ind w:left="1080" w:hanging="540"/>
        <w:jc w:val="both"/>
        <w:rPr>
          <w:rFonts w:cs="Arial"/>
          <w:color w:val="000000" w:themeColor="text1"/>
          <w:sz w:val="20"/>
        </w:rPr>
      </w:pPr>
      <w:r w:rsidRPr="007642C5">
        <w:rPr>
          <w:rFonts w:cs="Arial"/>
          <w:snapToGrid w:val="0"/>
          <w:color w:val="000000" w:themeColor="text1"/>
          <w:sz w:val="20"/>
        </w:rPr>
        <w:t>15.</w:t>
      </w:r>
      <w:r w:rsidRPr="007642C5">
        <w:rPr>
          <w:rFonts w:cs="Arial"/>
          <w:snapToGrid w:val="0"/>
          <w:color w:val="000000" w:themeColor="text1"/>
          <w:sz w:val="20"/>
        </w:rPr>
        <w:tab/>
      </w:r>
      <w:r w:rsidRPr="007642C5">
        <w:rPr>
          <w:rFonts w:cs="Arial"/>
          <w:color w:val="000000" w:themeColor="text1"/>
          <w:sz w:val="20"/>
        </w:rPr>
        <w:t>In this Schedule,-</w:t>
      </w:r>
    </w:p>
    <w:p w:rsidR="00061850" w:rsidRPr="007642C5" w:rsidRDefault="00061850" w:rsidP="00375E5A">
      <w:pPr>
        <w:pStyle w:val="ListParagraph"/>
        <w:numPr>
          <w:ilvl w:val="0"/>
          <w:numId w:val="80"/>
        </w:numPr>
        <w:spacing w:after="200"/>
        <w:ind w:left="1440"/>
        <w:contextualSpacing/>
        <w:jc w:val="both"/>
        <w:rPr>
          <w:rFonts w:cs="Arial"/>
          <w:color w:val="000000" w:themeColor="text1"/>
          <w:sz w:val="20"/>
        </w:rPr>
      </w:pPr>
      <w:r w:rsidRPr="007642C5">
        <w:rPr>
          <w:rFonts w:cs="Arial"/>
          <w:color w:val="000000" w:themeColor="text1"/>
          <w:sz w:val="20"/>
        </w:rPr>
        <w:t>‘due date’</w:t>
      </w:r>
      <w:r w:rsidR="00B4160E" w:rsidRPr="007642C5">
        <w:rPr>
          <w:rFonts w:cs="Arial"/>
          <w:color w:val="000000" w:themeColor="text1"/>
          <w:sz w:val="20"/>
        </w:rPr>
        <w:t xml:space="preserve"> </w:t>
      </w:r>
      <w:r w:rsidRPr="007642C5">
        <w:rPr>
          <w:rFonts w:cs="Arial"/>
          <w:color w:val="000000" w:themeColor="text1"/>
          <w:sz w:val="20"/>
        </w:rPr>
        <w:t xml:space="preserve">means the date as specified by the Federal Government </w:t>
      </w:r>
      <w:r w:rsidR="00B4160E" w:rsidRPr="007642C5">
        <w:rPr>
          <w:rStyle w:val="FootnoteReference"/>
          <w:rFonts w:cs="Arial"/>
          <w:color w:val="000000" w:themeColor="text1"/>
          <w:sz w:val="20"/>
        </w:rPr>
        <w:footnoteReference w:id="2475"/>
      </w:r>
      <w:r w:rsidR="00B4160E" w:rsidRPr="007642C5">
        <w:rPr>
          <w:rFonts w:cs="Arial"/>
          <w:color w:val="000000" w:themeColor="text1"/>
          <w:sz w:val="20"/>
        </w:rPr>
        <w:t xml:space="preserve">[*] </w:t>
      </w:r>
      <w:r w:rsidRPr="007642C5">
        <w:rPr>
          <w:rFonts w:cs="Arial"/>
          <w:color w:val="000000" w:themeColor="text1"/>
          <w:sz w:val="20"/>
        </w:rPr>
        <w:t>for tax year 2015 and for the tax years 2016, 2017 and 2018 the date specified in clause (b) of sub-section (2) of section 118.</w:t>
      </w:r>
    </w:p>
    <w:p w:rsidR="00061850" w:rsidRPr="007642C5" w:rsidRDefault="00061850" w:rsidP="00061850">
      <w:pPr>
        <w:pStyle w:val="ListParagraph"/>
        <w:spacing w:after="200" w:line="360" w:lineRule="auto"/>
        <w:ind w:left="3780"/>
        <w:contextualSpacing/>
        <w:jc w:val="both"/>
        <w:rPr>
          <w:rFonts w:cs="Arial"/>
          <w:color w:val="000000" w:themeColor="text1"/>
          <w:sz w:val="12"/>
        </w:rPr>
      </w:pPr>
    </w:p>
    <w:p w:rsidR="00061850" w:rsidRPr="007642C5" w:rsidRDefault="00061850" w:rsidP="00375E5A">
      <w:pPr>
        <w:pStyle w:val="ListParagraph"/>
        <w:numPr>
          <w:ilvl w:val="0"/>
          <w:numId w:val="80"/>
        </w:numPr>
        <w:spacing w:after="200"/>
        <w:ind w:left="1440"/>
        <w:contextualSpacing/>
        <w:jc w:val="both"/>
        <w:rPr>
          <w:rFonts w:cs="Arial"/>
          <w:color w:val="000000" w:themeColor="text1"/>
          <w:sz w:val="20"/>
        </w:rPr>
      </w:pPr>
      <w:r w:rsidRPr="007642C5">
        <w:rPr>
          <w:rFonts w:cs="Arial"/>
          <w:color w:val="000000" w:themeColor="text1"/>
          <w:sz w:val="20"/>
        </w:rPr>
        <w:t xml:space="preserve">‘turnover’ means turnover as defined in clause (a) of sub-section (3) of section 113. </w:t>
      </w:r>
    </w:p>
    <w:p w:rsidR="00061850" w:rsidRPr="007642C5" w:rsidRDefault="00061850" w:rsidP="00C81C23">
      <w:pPr>
        <w:ind w:firstLine="540"/>
        <w:jc w:val="both"/>
        <w:rPr>
          <w:rFonts w:cs="Arial"/>
          <w:snapToGrid w:val="0"/>
          <w:color w:val="000000" w:themeColor="text1"/>
          <w:sz w:val="20"/>
        </w:rPr>
      </w:pPr>
      <w:r w:rsidRPr="007642C5">
        <w:rPr>
          <w:rFonts w:cs="Arial"/>
          <w:color w:val="000000" w:themeColor="text1"/>
          <w:sz w:val="20"/>
        </w:rPr>
        <w:t>16.</w:t>
      </w:r>
      <w:r w:rsidRPr="007642C5">
        <w:rPr>
          <w:rFonts w:cs="Arial"/>
          <w:color w:val="000000" w:themeColor="text1"/>
          <w:sz w:val="20"/>
        </w:rPr>
        <w:tab/>
        <w:t xml:space="preserve">Persons convicted under Control </w:t>
      </w:r>
      <w:r w:rsidRPr="007642C5">
        <w:rPr>
          <w:rFonts w:cs="Arial"/>
          <w:snapToGrid w:val="0"/>
          <w:color w:val="000000" w:themeColor="text1"/>
          <w:sz w:val="20"/>
        </w:rPr>
        <w:t>of Narcotics Substances Act, 1997 (XXV of 1997), Anti-Terrorism Act, 1997 (XXVII of 1997) and Anti-Money Laundering Act, 2010 (VII of 2010) shall not be eligible to qualify under this Schedule.</w:t>
      </w:r>
    </w:p>
    <w:p w:rsidR="00061850" w:rsidRPr="007642C5" w:rsidRDefault="00061850" w:rsidP="00061850">
      <w:pPr>
        <w:ind w:left="2430" w:firstLine="450"/>
        <w:jc w:val="both"/>
        <w:rPr>
          <w:rFonts w:cs="Arial"/>
          <w:color w:val="000000" w:themeColor="text1"/>
          <w:sz w:val="20"/>
        </w:rPr>
      </w:pPr>
    </w:p>
    <w:p w:rsidR="00061850" w:rsidRPr="007642C5" w:rsidRDefault="00061850" w:rsidP="00C81C23">
      <w:pPr>
        <w:ind w:firstLine="540"/>
        <w:jc w:val="both"/>
        <w:rPr>
          <w:rFonts w:cs="Arial"/>
          <w:color w:val="000000" w:themeColor="text1"/>
          <w:sz w:val="20"/>
        </w:rPr>
      </w:pPr>
      <w:r w:rsidRPr="007642C5">
        <w:rPr>
          <w:rFonts w:cs="Arial"/>
          <w:color w:val="000000" w:themeColor="text1"/>
          <w:sz w:val="20"/>
        </w:rPr>
        <w:t>17.</w:t>
      </w:r>
      <w:r w:rsidRPr="007642C5">
        <w:rPr>
          <w:rFonts w:cs="Arial"/>
          <w:color w:val="000000" w:themeColor="text1"/>
          <w:sz w:val="20"/>
        </w:rPr>
        <w:tab/>
        <w:t>Return for the trader qualifying under Part I of this Schedule shall be on Form A as specified below:-</w:t>
      </w:r>
    </w:p>
    <w:p w:rsidR="00061850" w:rsidRPr="007642C5" w:rsidRDefault="00061850" w:rsidP="00061850">
      <w:pPr>
        <w:spacing w:line="360" w:lineRule="auto"/>
        <w:ind w:left="2430"/>
        <w:jc w:val="center"/>
        <w:rPr>
          <w:rFonts w:cs="Arial"/>
          <w:color w:val="000000" w:themeColor="text1"/>
          <w:sz w:val="20"/>
        </w:rPr>
      </w:pPr>
    </w:p>
    <w:p w:rsidR="00061850" w:rsidRPr="007642C5" w:rsidRDefault="00061850" w:rsidP="00C81C23">
      <w:pPr>
        <w:jc w:val="center"/>
        <w:rPr>
          <w:rFonts w:cs="Arial"/>
          <w:color w:val="000000" w:themeColor="text1"/>
          <w:sz w:val="20"/>
        </w:rPr>
      </w:pPr>
      <w:r w:rsidRPr="007642C5">
        <w:rPr>
          <w:rFonts w:cs="Arial"/>
          <w:color w:val="000000" w:themeColor="text1"/>
          <w:sz w:val="20"/>
        </w:rPr>
        <w:t>Form A</w:t>
      </w:r>
    </w:p>
    <w:p w:rsidR="00061850" w:rsidRPr="007642C5" w:rsidRDefault="00061850" w:rsidP="00C81C23">
      <w:pPr>
        <w:jc w:val="center"/>
        <w:rPr>
          <w:rFonts w:cs="Arial"/>
          <w:color w:val="000000" w:themeColor="text1"/>
          <w:sz w:val="20"/>
        </w:rPr>
      </w:pPr>
      <w:r w:rsidRPr="007642C5">
        <w:rPr>
          <w:rFonts w:cs="Arial"/>
          <w:color w:val="000000" w:themeColor="text1"/>
          <w:sz w:val="20"/>
        </w:rPr>
        <w:t>RETURN FOR TRADER QUALIFYING UNDER PART I OF THE SCHEDULE FOR THE TAX YEARS 2015 TO 2018</w:t>
      </w:r>
    </w:p>
    <w:p w:rsidR="00061850" w:rsidRPr="007642C5" w:rsidRDefault="00061850" w:rsidP="00061850">
      <w:pPr>
        <w:ind w:left="2430"/>
        <w:jc w:val="center"/>
        <w:rPr>
          <w:rFonts w:cs="Arial"/>
          <w:color w:val="000000" w:themeColor="text1"/>
          <w:sz w:val="20"/>
        </w:rPr>
      </w:pPr>
    </w:p>
    <w:p w:rsidR="00061850" w:rsidRPr="007642C5" w:rsidRDefault="00061850" w:rsidP="00C81C23">
      <w:pPr>
        <w:ind w:right="-90"/>
        <w:rPr>
          <w:rFonts w:cs="Arial"/>
          <w:color w:val="000000" w:themeColor="text1"/>
          <w:sz w:val="20"/>
        </w:rPr>
      </w:pPr>
      <w:r w:rsidRPr="007642C5">
        <w:rPr>
          <w:rFonts w:cs="Arial"/>
          <w:color w:val="000000" w:themeColor="text1"/>
          <w:sz w:val="20"/>
        </w:rPr>
        <w:t>Name of proprietor/Managing Member of AOP__________</w:t>
      </w:r>
      <w:r w:rsidR="00C81C23" w:rsidRPr="007642C5">
        <w:rPr>
          <w:rFonts w:cs="Arial"/>
          <w:color w:val="000000" w:themeColor="text1"/>
          <w:sz w:val="20"/>
        </w:rPr>
        <w:t>________________</w:t>
      </w:r>
      <w:r w:rsidRPr="007642C5">
        <w:rPr>
          <w:rFonts w:cs="Arial"/>
          <w:color w:val="000000" w:themeColor="text1"/>
          <w:sz w:val="20"/>
        </w:rPr>
        <w:t>__</w:t>
      </w:r>
    </w:p>
    <w:p w:rsidR="00061850" w:rsidRPr="007642C5" w:rsidRDefault="00061850" w:rsidP="00C81C23">
      <w:pPr>
        <w:rPr>
          <w:rFonts w:cs="Arial"/>
          <w:b/>
          <w:color w:val="000000" w:themeColor="text1"/>
          <w:sz w:val="20"/>
        </w:rPr>
      </w:pPr>
      <w:r w:rsidRPr="007642C5">
        <w:rPr>
          <w:rFonts w:cs="Arial"/>
          <w:color w:val="000000" w:themeColor="text1"/>
          <w:sz w:val="20"/>
        </w:rPr>
        <w:t>CNIC: (please attach copy of CNIC)__________________</w:t>
      </w:r>
      <w:r w:rsidR="00C81C23" w:rsidRPr="007642C5">
        <w:rPr>
          <w:rFonts w:cs="Arial"/>
          <w:color w:val="000000" w:themeColor="text1"/>
          <w:sz w:val="20"/>
        </w:rPr>
        <w:t>_______________</w:t>
      </w:r>
      <w:r w:rsidRPr="007642C5">
        <w:rPr>
          <w:rFonts w:cs="Arial"/>
          <w:color w:val="000000" w:themeColor="text1"/>
          <w:sz w:val="20"/>
        </w:rPr>
        <w:t>___</w:t>
      </w:r>
    </w:p>
    <w:p w:rsidR="00061850" w:rsidRPr="007642C5" w:rsidRDefault="00061850" w:rsidP="00C81C23">
      <w:pPr>
        <w:rPr>
          <w:rFonts w:cs="Arial"/>
          <w:color w:val="000000" w:themeColor="text1"/>
          <w:sz w:val="20"/>
        </w:rPr>
      </w:pPr>
      <w:r w:rsidRPr="007642C5">
        <w:rPr>
          <w:rFonts w:cs="Arial"/>
          <w:color w:val="000000" w:themeColor="text1"/>
          <w:sz w:val="20"/>
        </w:rPr>
        <w:t>Business (es) Name &amp; Address(es) _____________________</w:t>
      </w:r>
      <w:r w:rsidR="00C81C23" w:rsidRPr="007642C5">
        <w:rPr>
          <w:rFonts w:cs="Arial"/>
          <w:color w:val="000000" w:themeColor="text1"/>
          <w:sz w:val="20"/>
        </w:rPr>
        <w:t>______________</w:t>
      </w:r>
      <w:r w:rsidRPr="007642C5">
        <w:rPr>
          <w:rFonts w:cs="Arial"/>
          <w:color w:val="000000" w:themeColor="text1"/>
          <w:sz w:val="20"/>
        </w:rPr>
        <w:t>_     _______________________________________________</w:t>
      </w:r>
      <w:r w:rsidR="00C81C23" w:rsidRPr="007642C5">
        <w:rPr>
          <w:rFonts w:cs="Arial"/>
          <w:color w:val="000000" w:themeColor="text1"/>
          <w:sz w:val="20"/>
        </w:rPr>
        <w:t>______________</w:t>
      </w:r>
      <w:r w:rsidRPr="007642C5">
        <w:rPr>
          <w:rFonts w:cs="Arial"/>
          <w:color w:val="000000" w:themeColor="text1"/>
          <w:sz w:val="20"/>
        </w:rPr>
        <w:t>___</w:t>
      </w:r>
    </w:p>
    <w:p w:rsidR="00061850" w:rsidRPr="007642C5" w:rsidRDefault="00061850" w:rsidP="00C81C23">
      <w:pPr>
        <w:rPr>
          <w:rFonts w:cs="Arial"/>
          <w:color w:val="000000" w:themeColor="text1"/>
          <w:sz w:val="20"/>
        </w:rPr>
      </w:pPr>
      <w:r w:rsidRPr="007642C5">
        <w:rPr>
          <w:rFonts w:cs="Arial"/>
          <w:color w:val="000000" w:themeColor="text1"/>
          <w:sz w:val="20"/>
        </w:rPr>
        <w:t>Phone:</w:t>
      </w:r>
      <w:r w:rsidR="00DD5882" w:rsidRPr="007642C5">
        <w:rPr>
          <w:rFonts w:cs="Arial"/>
          <w:color w:val="000000" w:themeColor="text1"/>
          <w:sz w:val="20"/>
        </w:rPr>
        <w:t xml:space="preserve"> </w:t>
      </w:r>
      <w:r w:rsidRPr="007642C5">
        <w:rPr>
          <w:rFonts w:cs="Arial"/>
          <w:color w:val="000000" w:themeColor="text1"/>
          <w:sz w:val="20"/>
        </w:rPr>
        <w:t>______</w:t>
      </w:r>
      <w:r w:rsidR="00C81C23" w:rsidRPr="007642C5">
        <w:rPr>
          <w:rFonts w:cs="Arial"/>
          <w:color w:val="000000" w:themeColor="text1"/>
          <w:sz w:val="20"/>
        </w:rPr>
        <w:t>___</w:t>
      </w:r>
      <w:r w:rsidRPr="007642C5">
        <w:rPr>
          <w:rFonts w:cs="Arial"/>
          <w:color w:val="000000" w:themeColor="text1"/>
          <w:sz w:val="20"/>
        </w:rPr>
        <w:t>_____Email:</w:t>
      </w:r>
      <w:r w:rsidR="00DD5882" w:rsidRPr="007642C5">
        <w:rPr>
          <w:rFonts w:cs="Arial"/>
          <w:color w:val="000000" w:themeColor="text1"/>
          <w:sz w:val="20"/>
        </w:rPr>
        <w:t xml:space="preserve"> </w:t>
      </w:r>
      <w:r w:rsidRPr="007642C5">
        <w:rPr>
          <w:rFonts w:cs="Arial"/>
          <w:color w:val="000000" w:themeColor="text1"/>
          <w:sz w:val="20"/>
        </w:rPr>
        <w:t>_________</w:t>
      </w:r>
      <w:r w:rsidR="00C81C23" w:rsidRPr="007642C5">
        <w:rPr>
          <w:rFonts w:cs="Arial"/>
          <w:color w:val="000000" w:themeColor="text1"/>
          <w:sz w:val="20"/>
        </w:rPr>
        <w:t>___</w:t>
      </w:r>
      <w:r w:rsidRPr="007642C5">
        <w:rPr>
          <w:rFonts w:cs="Arial"/>
          <w:color w:val="000000" w:themeColor="text1"/>
          <w:sz w:val="20"/>
        </w:rPr>
        <w:t>______Mobile: ______</w:t>
      </w:r>
      <w:r w:rsidR="00C81C23" w:rsidRPr="007642C5">
        <w:rPr>
          <w:rFonts w:cs="Arial"/>
          <w:color w:val="000000" w:themeColor="text1"/>
          <w:sz w:val="20"/>
        </w:rPr>
        <w:t>_______</w:t>
      </w:r>
      <w:r w:rsidRPr="007642C5">
        <w:rPr>
          <w:rFonts w:cs="Arial"/>
          <w:color w:val="000000" w:themeColor="text1"/>
          <w:sz w:val="20"/>
        </w:rPr>
        <w:t>_</w:t>
      </w:r>
    </w:p>
    <w:p w:rsidR="00061850" w:rsidRPr="007642C5" w:rsidRDefault="00061850" w:rsidP="00C81C23">
      <w:pPr>
        <w:rPr>
          <w:rFonts w:cs="Arial"/>
          <w:color w:val="000000" w:themeColor="text1"/>
          <w:sz w:val="20"/>
        </w:rPr>
      </w:pPr>
      <w:r w:rsidRPr="007642C5">
        <w:rPr>
          <w:rFonts w:cs="Arial"/>
          <w:color w:val="000000" w:themeColor="text1"/>
          <w:sz w:val="20"/>
        </w:rPr>
        <w:t>Residential Address of the proprietor:        ___________________________________________________________________________________________________</w:t>
      </w:r>
      <w:r w:rsidR="00C81C23" w:rsidRPr="007642C5">
        <w:rPr>
          <w:rFonts w:cs="Arial"/>
          <w:color w:val="000000" w:themeColor="text1"/>
          <w:sz w:val="20"/>
        </w:rPr>
        <w:t>__________________________</w:t>
      </w:r>
      <w:r w:rsidRPr="007642C5">
        <w:rPr>
          <w:rFonts w:cs="Arial"/>
          <w:color w:val="000000" w:themeColor="text1"/>
          <w:sz w:val="20"/>
        </w:rPr>
        <w:t>___</w:t>
      </w:r>
    </w:p>
    <w:p w:rsidR="00061850" w:rsidRPr="007642C5" w:rsidRDefault="00061850" w:rsidP="00C81C23">
      <w:pPr>
        <w:jc w:val="both"/>
        <w:rPr>
          <w:rFonts w:cs="Arial"/>
          <w:color w:val="000000" w:themeColor="text1"/>
          <w:sz w:val="20"/>
        </w:rPr>
      </w:pPr>
      <w:r w:rsidRPr="007642C5">
        <w:rPr>
          <w:rFonts w:cs="Arial"/>
          <w:color w:val="000000" w:themeColor="text1"/>
          <w:sz w:val="20"/>
        </w:rPr>
        <w:t>Name(s) and Residential address(es) of Members of AOP (if applicable)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1C23" w:rsidRPr="007642C5">
        <w:rPr>
          <w:rFonts w:cs="Arial"/>
          <w:color w:val="000000" w:themeColor="text1"/>
          <w:sz w:val="20"/>
        </w:rPr>
        <w:t>______________</w:t>
      </w:r>
      <w:r w:rsidRPr="007642C5">
        <w:rPr>
          <w:rFonts w:cs="Arial"/>
          <w:color w:val="000000" w:themeColor="text1"/>
          <w:sz w:val="20"/>
        </w:rPr>
        <w:t>________</w:t>
      </w:r>
    </w:p>
    <w:p w:rsidR="00061850" w:rsidRPr="007642C5" w:rsidRDefault="00061850" w:rsidP="00C81C23">
      <w:pPr>
        <w:rPr>
          <w:rFonts w:cs="Arial"/>
          <w:color w:val="000000" w:themeColor="text1"/>
          <w:sz w:val="20"/>
        </w:rPr>
      </w:pPr>
      <w:r w:rsidRPr="007642C5">
        <w:rPr>
          <w:rFonts w:cs="Arial"/>
          <w:color w:val="000000" w:themeColor="text1"/>
          <w:sz w:val="20"/>
        </w:rPr>
        <w:t>(1) Amount of working capital ________________________</w:t>
      </w:r>
      <w:r w:rsidR="00C81C23" w:rsidRPr="007642C5">
        <w:rPr>
          <w:rFonts w:cs="Arial"/>
          <w:color w:val="000000" w:themeColor="text1"/>
          <w:sz w:val="20"/>
        </w:rPr>
        <w:t>_______________</w:t>
      </w:r>
      <w:r w:rsidRPr="007642C5">
        <w:rPr>
          <w:rFonts w:cs="Arial"/>
          <w:color w:val="000000" w:themeColor="text1"/>
          <w:sz w:val="20"/>
        </w:rPr>
        <w:t>_</w:t>
      </w:r>
    </w:p>
    <w:p w:rsidR="00061850" w:rsidRPr="007642C5" w:rsidRDefault="00061850" w:rsidP="00C81C23">
      <w:pPr>
        <w:rPr>
          <w:rFonts w:cs="Arial"/>
          <w:color w:val="000000" w:themeColor="text1"/>
          <w:sz w:val="20"/>
        </w:rPr>
      </w:pPr>
      <w:r w:rsidRPr="007642C5">
        <w:rPr>
          <w:rFonts w:cs="Arial"/>
          <w:color w:val="000000" w:themeColor="text1"/>
          <w:sz w:val="20"/>
        </w:rPr>
        <w:lastRenderedPageBreak/>
        <w:t>(2) Tax payable on (1) above (for tax year 2015 only)_____</w:t>
      </w:r>
      <w:r w:rsidR="00C81C23" w:rsidRPr="007642C5">
        <w:rPr>
          <w:rFonts w:cs="Arial"/>
          <w:color w:val="000000" w:themeColor="text1"/>
          <w:sz w:val="20"/>
        </w:rPr>
        <w:t>_______________</w:t>
      </w:r>
      <w:r w:rsidRPr="007642C5">
        <w:rPr>
          <w:rFonts w:cs="Arial"/>
          <w:color w:val="000000" w:themeColor="text1"/>
          <w:sz w:val="20"/>
        </w:rPr>
        <w:t>__</w:t>
      </w:r>
    </w:p>
    <w:p w:rsidR="00061850" w:rsidRPr="007642C5" w:rsidRDefault="00061850" w:rsidP="00C81C23">
      <w:pPr>
        <w:rPr>
          <w:rFonts w:cs="Arial"/>
          <w:color w:val="000000" w:themeColor="text1"/>
          <w:sz w:val="20"/>
        </w:rPr>
      </w:pPr>
      <w:r w:rsidRPr="007642C5">
        <w:rPr>
          <w:rFonts w:cs="Arial"/>
          <w:color w:val="000000" w:themeColor="text1"/>
          <w:sz w:val="20"/>
        </w:rPr>
        <w:t>(3) Total Turnover _________________________________</w:t>
      </w:r>
      <w:r w:rsidR="00C81C23" w:rsidRPr="007642C5">
        <w:rPr>
          <w:rFonts w:cs="Arial"/>
          <w:color w:val="000000" w:themeColor="text1"/>
          <w:sz w:val="20"/>
        </w:rPr>
        <w:t>______________</w:t>
      </w:r>
      <w:r w:rsidRPr="007642C5">
        <w:rPr>
          <w:rFonts w:cs="Arial"/>
          <w:color w:val="000000" w:themeColor="text1"/>
          <w:sz w:val="20"/>
        </w:rPr>
        <w:t>__</w:t>
      </w:r>
    </w:p>
    <w:p w:rsidR="00061850" w:rsidRPr="007642C5" w:rsidRDefault="00061850" w:rsidP="00C81C23">
      <w:pPr>
        <w:rPr>
          <w:rFonts w:cs="Arial"/>
          <w:color w:val="000000" w:themeColor="text1"/>
          <w:sz w:val="20"/>
        </w:rPr>
      </w:pPr>
      <w:r w:rsidRPr="007642C5">
        <w:rPr>
          <w:rFonts w:cs="Arial"/>
          <w:color w:val="000000" w:themeColor="text1"/>
          <w:sz w:val="20"/>
        </w:rPr>
        <w:t>(4) Tax payable on (3) above (for tax years 2016, 2017 and 2018 only)___</w:t>
      </w:r>
      <w:r w:rsidR="00C81C23" w:rsidRPr="007642C5">
        <w:rPr>
          <w:rFonts w:cs="Arial"/>
          <w:color w:val="000000" w:themeColor="text1"/>
          <w:sz w:val="20"/>
        </w:rPr>
        <w:t>____</w:t>
      </w:r>
      <w:r w:rsidRPr="007642C5">
        <w:rPr>
          <w:rFonts w:cs="Arial"/>
          <w:color w:val="000000" w:themeColor="text1"/>
          <w:sz w:val="20"/>
        </w:rPr>
        <w:t xml:space="preserve">_ </w:t>
      </w:r>
    </w:p>
    <w:p w:rsidR="00061850" w:rsidRPr="007642C5" w:rsidRDefault="00061850" w:rsidP="00C81C23">
      <w:pPr>
        <w:rPr>
          <w:rFonts w:cs="Arial"/>
          <w:color w:val="000000" w:themeColor="text1"/>
          <w:sz w:val="20"/>
        </w:rPr>
      </w:pPr>
      <w:r w:rsidRPr="007642C5">
        <w:rPr>
          <w:rFonts w:cs="Arial"/>
          <w:color w:val="000000" w:themeColor="text1"/>
          <w:sz w:val="20"/>
        </w:rPr>
        <w:t>(5) Amount of Tax [(2) or (4)] ______________________</w:t>
      </w:r>
      <w:r w:rsidR="00C81C23" w:rsidRPr="007642C5">
        <w:rPr>
          <w:rFonts w:cs="Arial"/>
          <w:color w:val="000000" w:themeColor="text1"/>
          <w:sz w:val="20"/>
        </w:rPr>
        <w:t>________________</w:t>
      </w:r>
      <w:r w:rsidRPr="007642C5">
        <w:rPr>
          <w:rFonts w:cs="Arial"/>
          <w:color w:val="000000" w:themeColor="text1"/>
          <w:sz w:val="20"/>
        </w:rPr>
        <w:t>___</w:t>
      </w:r>
    </w:p>
    <w:p w:rsidR="00061850" w:rsidRPr="007642C5" w:rsidRDefault="00061850" w:rsidP="00C81C23">
      <w:pPr>
        <w:rPr>
          <w:rFonts w:cs="Arial"/>
          <w:color w:val="000000" w:themeColor="text1"/>
          <w:sz w:val="20"/>
        </w:rPr>
      </w:pPr>
      <w:r w:rsidRPr="007642C5">
        <w:rPr>
          <w:rFonts w:cs="Arial"/>
          <w:color w:val="000000" w:themeColor="text1"/>
          <w:sz w:val="20"/>
        </w:rPr>
        <w:t xml:space="preserve">(6) CPR No: </w:t>
      </w:r>
      <w:r w:rsidRPr="007642C5">
        <w:rPr>
          <w:rFonts w:cs="Arial"/>
          <w:color w:val="000000" w:themeColor="text1"/>
          <w:sz w:val="20"/>
        </w:rPr>
        <w:softHyphen/>
      </w:r>
      <w:r w:rsidRPr="007642C5">
        <w:rPr>
          <w:rFonts w:cs="Arial"/>
          <w:color w:val="000000" w:themeColor="text1"/>
          <w:sz w:val="20"/>
        </w:rPr>
        <w:softHyphen/>
      </w:r>
      <w:r w:rsidRPr="007642C5">
        <w:rPr>
          <w:rFonts w:cs="Arial"/>
          <w:color w:val="000000" w:themeColor="text1"/>
          <w:sz w:val="20"/>
        </w:rPr>
        <w:softHyphen/>
        <w:t>_________________</w:t>
      </w:r>
      <w:r w:rsidR="00C81C23" w:rsidRPr="007642C5">
        <w:rPr>
          <w:rFonts w:cs="Arial"/>
          <w:color w:val="000000" w:themeColor="text1"/>
          <w:sz w:val="20"/>
        </w:rPr>
        <w:t>__</w:t>
      </w:r>
      <w:r w:rsidRPr="007642C5">
        <w:rPr>
          <w:rFonts w:cs="Arial"/>
          <w:color w:val="000000" w:themeColor="text1"/>
          <w:sz w:val="20"/>
        </w:rPr>
        <w:t>___</w:t>
      </w:r>
      <w:r w:rsidR="00C81C23" w:rsidRPr="007642C5">
        <w:rPr>
          <w:rFonts w:cs="Arial"/>
          <w:color w:val="000000" w:themeColor="text1"/>
          <w:sz w:val="20"/>
        </w:rPr>
        <w:t>__</w:t>
      </w:r>
      <w:r w:rsidRPr="007642C5">
        <w:rPr>
          <w:rFonts w:cs="Arial"/>
          <w:color w:val="000000" w:themeColor="text1"/>
          <w:sz w:val="20"/>
        </w:rPr>
        <w:t>_ Dated: _</w:t>
      </w:r>
      <w:r w:rsidR="00C81C23" w:rsidRPr="007642C5">
        <w:rPr>
          <w:rFonts w:cs="Arial"/>
          <w:color w:val="000000" w:themeColor="text1"/>
          <w:sz w:val="20"/>
        </w:rPr>
        <w:t>_____________</w:t>
      </w:r>
      <w:r w:rsidRPr="007642C5">
        <w:rPr>
          <w:rFonts w:cs="Arial"/>
          <w:color w:val="000000" w:themeColor="text1"/>
          <w:sz w:val="20"/>
        </w:rPr>
        <w:t>_________</w:t>
      </w:r>
    </w:p>
    <w:p w:rsidR="00061850" w:rsidRPr="007642C5" w:rsidRDefault="00061850" w:rsidP="00061850">
      <w:pPr>
        <w:pStyle w:val="ListParagraph"/>
        <w:ind w:left="2430"/>
        <w:rPr>
          <w:rFonts w:cs="Arial"/>
          <w:color w:val="000000" w:themeColor="text1"/>
          <w:sz w:val="20"/>
        </w:rPr>
      </w:pPr>
    </w:p>
    <w:p w:rsidR="00061850" w:rsidRPr="007642C5" w:rsidRDefault="00061850" w:rsidP="00061850">
      <w:pPr>
        <w:pStyle w:val="ListParagraph"/>
        <w:ind w:hanging="720"/>
        <w:rPr>
          <w:rFonts w:cs="Arial"/>
          <w:b/>
          <w:color w:val="000000" w:themeColor="text1"/>
          <w:sz w:val="20"/>
        </w:rPr>
      </w:pPr>
    </w:p>
    <w:p w:rsidR="00061850" w:rsidRPr="007642C5" w:rsidRDefault="00061850" w:rsidP="00C81C23">
      <w:pPr>
        <w:rPr>
          <w:rFonts w:cs="Arial"/>
          <w:color w:val="000000" w:themeColor="text1"/>
          <w:sz w:val="20"/>
        </w:rPr>
      </w:pPr>
      <w:r w:rsidRPr="007642C5">
        <w:rPr>
          <w:rFonts w:cs="Arial"/>
          <w:color w:val="000000" w:themeColor="text1"/>
          <w:sz w:val="20"/>
        </w:rPr>
        <w:t>Declaration:</w:t>
      </w:r>
    </w:p>
    <w:p w:rsidR="00061850" w:rsidRPr="007642C5" w:rsidRDefault="00061850" w:rsidP="00061850">
      <w:pPr>
        <w:jc w:val="both"/>
        <w:rPr>
          <w:rFonts w:cs="Arial"/>
          <w:color w:val="000000" w:themeColor="text1"/>
          <w:sz w:val="20"/>
        </w:rPr>
      </w:pPr>
    </w:p>
    <w:p w:rsidR="00061850" w:rsidRPr="007642C5" w:rsidRDefault="00061850" w:rsidP="00C81C23">
      <w:pPr>
        <w:jc w:val="both"/>
        <w:rPr>
          <w:rFonts w:cs="Arial"/>
          <w:color w:val="000000" w:themeColor="text1"/>
          <w:sz w:val="20"/>
        </w:rPr>
      </w:pPr>
      <w:r w:rsidRPr="007642C5">
        <w:rPr>
          <w:rFonts w:cs="Arial"/>
          <w:color w:val="000000" w:themeColor="text1"/>
          <w:sz w:val="20"/>
        </w:rPr>
        <w:t>I________________</w:t>
      </w:r>
      <w:r w:rsidR="00C81C23" w:rsidRPr="007642C5">
        <w:rPr>
          <w:rFonts w:cs="Arial"/>
          <w:color w:val="000000" w:themeColor="text1"/>
          <w:sz w:val="20"/>
        </w:rPr>
        <w:t>_________</w:t>
      </w:r>
      <w:r w:rsidRPr="007642C5">
        <w:rPr>
          <w:rFonts w:cs="Arial"/>
          <w:color w:val="000000" w:themeColor="text1"/>
          <w:sz w:val="20"/>
        </w:rPr>
        <w:t>____   CNIC No.____</w:t>
      </w:r>
      <w:r w:rsidR="00C81C23" w:rsidRPr="007642C5">
        <w:rPr>
          <w:rFonts w:cs="Arial"/>
          <w:color w:val="000000" w:themeColor="text1"/>
          <w:sz w:val="20"/>
        </w:rPr>
        <w:t>__</w:t>
      </w:r>
      <w:r w:rsidRPr="007642C5">
        <w:rPr>
          <w:rFonts w:cs="Arial"/>
          <w:color w:val="000000" w:themeColor="text1"/>
          <w:sz w:val="20"/>
        </w:rPr>
        <w:t>_______________        in my capacity as self /representative of taxpayer named above, do hereby solemnly declare that to the best of my knowledge and belief the information given in simplified return is correct and complete in accordance with the provisions of Part I of the Ninth Schedule to Income Tax Ordinance, 2001 (XLIX of 2001).</w:t>
      </w:r>
    </w:p>
    <w:p w:rsidR="00061850" w:rsidRPr="007642C5" w:rsidRDefault="00061850" w:rsidP="00061850">
      <w:pPr>
        <w:ind w:left="2410"/>
        <w:jc w:val="both"/>
        <w:rPr>
          <w:rFonts w:cs="Arial"/>
          <w:color w:val="000000" w:themeColor="text1"/>
          <w:sz w:val="20"/>
        </w:rPr>
      </w:pPr>
    </w:p>
    <w:p w:rsidR="00061850" w:rsidRPr="007642C5" w:rsidRDefault="00061850" w:rsidP="00C81C23">
      <w:pPr>
        <w:rPr>
          <w:rFonts w:cs="Arial"/>
          <w:color w:val="000000" w:themeColor="text1"/>
          <w:sz w:val="20"/>
        </w:rPr>
      </w:pPr>
      <w:r w:rsidRPr="007642C5">
        <w:rPr>
          <w:rFonts w:cs="Arial"/>
          <w:color w:val="000000" w:themeColor="text1"/>
          <w:sz w:val="20"/>
        </w:rPr>
        <w:t>Signature</w:t>
      </w:r>
      <w:r w:rsidRPr="007642C5">
        <w:rPr>
          <w:rFonts w:cs="Arial"/>
          <w:color w:val="000000" w:themeColor="text1"/>
          <w:sz w:val="20"/>
        </w:rPr>
        <w:tab/>
        <w:t xml:space="preserve">: ________________________  </w:t>
      </w:r>
    </w:p>
    <w:p w:rsidR="00061850" w:rsidRPr="007642C5" w:rsidRDefault="00061850" w:rsidP="00061850">
      <w:pPr>
        <w:ind w:left="2410"/>
        <w:rPr>
          <w:rFonts w:cs="Arial"/>
          <w:color w:val="000000" w:themeColor="text1"/>
          <w:sz w:val="20"/>
        </w:rPr>
      </w:pPr>
    </w:p>
    <w:p w:rsidR="00061850" w:rsidRPr="007642C5" w:rsidRDefault="00061850" w:rsidP="00C81C23">
      <w:pPr>
        <w:spacing w:line="360" w:lineRule="auto"/>
        <w:ind w:right="-360"/>
        <w:jc w:val="both"/>
        <w:rPr>
          <w:rFonts w:cs="Arial"/>
          <w:color w:val="000000" w:themeColor="text1"/>
          <w:sz w:val="20"/>
        </w:rPr>
      </w:pPr>
      <w:r w:rsidRPr="007642C5">
        <w:rPr>
          <w:rFonts w:cs="Arial"/>
          <w:color w:val="000000" w:themeColor="text1"/>
          <w:sz w:val="20"/>
        </w:rPr>
        <w:t>Date</w:t>
      </w:r>
      <w:r w:rsidRPr="007642C5">
        <w:rPr>
          <w:rFonts w:cs="Arial"/>
          <w:color w:val="000000" w:themeColor="text1"/>
          <w:sz w:val="20"/>
        </w:rPr>
        <w:tab/>
      </w:r>
      <w:r w:rsidRPr="007642C5">
        <w:rPr>
          <w:rFonts w:cs="Arial"/>
          <w:color w:val="000000" w:themeColor="text1"/>
          <w:sz w:val="20"/>
        </w:rPr>
        <w:tab/>
        <w:t>: ________________________”</w:t>
      </w:r>
      <w:r w:rsidR="003E4A70" w:rsidRPr="007642C5">
        <w:rPr>
          <w:rFonts w:cs="Arial"/>
          <w:color w:val="000000" w:themeColor="text1"/>
          <w:sz w:val="20"/>
        </w:rPr>
        <w:t>]</w:t>
      </w:r>
    </w:p>
    <w:p w:rsidR="00044983" w:rsidRPr="00412620" w:rsidRDefault="00044983" w:rsidP="00AA4BF8">
      <w:pPr>
        <w:keepNext/>
        <w:jc w:val="center"/>
        <w:rPr>
          <w:sz w:val="20"/>
        </w:rPr>
      </w:pPr>
    </w:p>
    <w:sectPr w:rsidR="00044983" w:rsidRPr="00412620" w:rsidSect="00FF3E2E">
      <w:headerReference w:type="even" r:id="rId8"/>
      <w:headerReference w:type="default" r:id="rId9"/>
      <w:footnotePr>
        <w:numRestart w:val="eachPage"/>
      </w:footnotePr>
      <w:pgSz w:w="10080" w:h="12960"/>
      <w:pgMar w:top="1152" w:right="1440" w:bottom="1008" w:left="1440" w:header="720" w:footer="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25B" w:rsidRDefault="00B7025B">
      <w:r>
        <w:rPr>
          <w:rFonts w:cs="Arial"/>
          <w:szCs w:val="24"/>
        </w:rPr>
        <w:separator/>
      </w:r>
    </w:p>
  </w:endnote>
  <w:endnote w:type="continuationSeparator" w:id="1">
    <w:p w:rsidR="00B7025B" w:rsidRDefault="00B7025B">
      <w:r>
        <w:rPr>
          <w:rFonts w:cs="Arial"/>
          <w:szCs w:val="24"/>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00000007" w:usb1="00000000" w:usb2="00000000" w:usb3="00000000" w:csb0="00000093"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Bold">
    <w:altName w:val="Arial Unicode MS"/>
    <w:panose1 w:val="00000000000000000000"/>
    <w:charset w:val="00"/>
    <w:family w:val="swiss"/>
    <w:notTrueType/>
    <w:pitch w:val="default"/>
    <w:sig w:usb0="00000000" w:usb1="08070000" w:usb2="00000010" w:usb3="00000000" w:csb0="0002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25B" w:rsidRDefault="00B7025B">
      <w:r>
        <w:rPr>
          <w:rFonts w:cs="Arial"/>
          <w:szCs w:val="24"/>
        </w:rPr>
        <w:separator/>
      </w:r>
    </w:p>
  </w:footnote>
  <w:footnote w:type="continuationSeparator" w:id="1">
    <w:p w:rsidR="00B7025B" w:rsidRDefault="00B7025B">
      <w:r>
        <w:rPr>
          <w:rFonts w:cs="Arial"/>
          <w:szCs w:val="24"/>
        </w:rPr>
        <w:continuationSeparator/>
      </w:r>
    </w:p>
  </w:footnote>
  <w:footnote w:id="2">
    <w:p w:rsidR="00BF2117" w:rsidRPr="00412620" w:rsidRDefault="00BF2117" w:rsidP="00603226">
      <w:pPr>
        <w:pStyle w:val="FootnoteText"/>
        <w:ind w:left="90" w:hanging="90"/>
        <w:jc w:val="both"/>
        <w:rPr>
          <w:sz w:val="16"/>
        </w:rPr>
      </w:pPr>
      <w:r w:rsidRPr="00412620">
        <w:rPr>
          <w:rStyle w:val="FootnoteReference"/>
          <w:b/>
        </w:rPr>
        <w:t>*</w:t>
      </w:r>
      <w:r w:rsidRPr="00412620">
        <w:rPr>
          <w:sz w:val="16"/>
        </w:rPr>
        <w:t xml:space="preserve">Vide notification S.R.O.381(I)/2002 dated 15.06.2002 the Federal Government appointed the first  day of July, 2002 on which the Ordinance shall come into force. </w:t>
      </w:r>
    </w:p>
  </w:footnote>
  <w:footnote w:id="3">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4">
    <w:p w:rsidR="00BF2117" w:rsidRPr="00412620" w:rsidRDefault="00BF2117">
      <w:pPr>
        <w:pStyle w:val="FootnoteText"/>
        <w:rPr>
          <w:sz w:val="16"/>
        </w:rPr>
      </w:pPr>
      <w:r w:rsidRPr="00412620">
        <w:rPr>
          <w:rStyle w:val="FootnoteReference"/>
          <w:rFonts w:cs="Arial"/>
        </w:rPr>
        <w:footnoteRef/>
      </w:r>
      <w:r w:rsidRPr="00412620">
        <w:rPr>
          <w:sz w:val="16"/>
        </w:rPr>
        <w:t xml:space="preserve"> The word “includes” substituted by the Finance Act, 2005.</w:t>
      </w:r>
    </w:p>
  </w:footnote>
  <w:footnote w:id="5">
    <w:p w:rsidR="00BF2117" w:rsidRPr="00412620" w:rsidRDefault="00BF2117">
      <w:pPr>
        <w:pStyle w:val="FootnoteText"/>
        <w:rPr>
          <w:sz w:val="16"/>
        </w:rPr>
      </w:pPr>
      <w:r w:rsidRPr="00412620">
        <w:rPr>
          <w:rStyle w:val="FootnoteReference"/>
          <w:rFonts w:cs="Arial"/>
        </w:rPr>
        <w:footnoteRef/>
      </w:r>
      <w:r w:rsidRPr="00412620">
        <w:rPr>
          <w:sz w:val="16"/>
        </w:rPr>
        <w:t xml:space="preserve"> Clauses (a), (d) and (e) of sub-section (20) substituted by the Finance Act, 2002.</w:t>
      </w:r>
    </w:p>
  </w:footnote>
  <w:footnote w:id="6">
    <w:p w:rsidR="00BF2117" w:rsidRPr="00412620" w:rsidRDefault="00BF2117">
      <w:pPr>
        <w:pStyle w:val="FootnoteText"/>
        <w:rPr>
          <w:sz w:val="16"/>
        </w:rPr>
      </w:pPr>
      <w:r w:rsidRPr="00412620">
        <w:rPr>
          <w:rStyle w:val="FootnoteReference"/>
          <w:rFonts w:cs="Arial"/>
        </w:rPr>
        <w:footnoteRef/>
      </w:r>
      <w:r w:rsidRPr="00412620">
        <w:rPr>
          <w:sz w:val="16"/>
        </w:rPr>
        <w:t xml:space="preserve"> Clause (c) of sub-section (20) substituted by the Finance Act, 2002.</w:t>
      </w:r>
    </w:p>
  </w:footnote>
  <w:footnote w:id="7">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p>
  </w:footnote>
  <w:footnote w:id="8">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2004.</w:t>
      </w:r>
    </w:p>
  </w:footnote>
  <w:footnote w:id="9">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10">
    <w:p w:rsidR="00BF2117" w:rsidRPr="00412620" w:rsidRDefault="00BF2117">
      <w:pPr>
        <w:pStyle w:val="FootnoteText"/>
        <w:rPr>
          <w:sz w:val="16"/>
          <w:lang w:val="en-US"/>
        </w:rPr>
      </w:pPr>
      <w:r w:rsidRPr="00412620">
        <w:rPr>
          <w:rStyle w:val="FootnoteReference"/>
        </w:rPr>
        <w:footnoteRef/>
      </w:r>
      <w:r w:rsidRPr="00412620">
        <w:rPr>
          <w:sz w:val="16"/>
        </w:rPr>
        <w:t>Inserted by the Finance Act, 2007.</w:t>
      </w:r>
    </w:p>
  </w:footnote>
  <w:footnote w:id="11">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12">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2005.</w:t>
      </w:r>
    </w:p>
  </w:footnote>
  <w:footnote w:id="13">
    <w:p w:rsidR="00BF2117" w:rsidRPr="00412620" w:rsidRDefault="00BF2117">
      <w:pPr>
        <w:pStyle w:val="FootnoteText"/>
        <w:rPr>
          <w:sz w:val="16"/>
        </w:rPr>
      </w:pPr>
      <w:r w:rsidRPr="00412620">
        <w:rPr>
          <w:rStyle w:val="FootnoteReference"/>
          <w:rFonts w:cs="Arial"/>
        </w:rPr>
        <w:footnoteRef/>
      </w:r>
      <w:r w:rsidRPr="00412620">
        <w:rPr>
          <w:sz w:val="16"/>
        </w:rPr>
        <w:t xml:space="preserve"> The semi-colon and word “and” substituted by the Finance Act, 2005.</w:t>
      </w:r>
    </w:p>
  </w:footnote>
  <w:footnote w:id="14">
    <w:p w:rsidR="00BF2117" w:rsidRPr="00412620" w:rsidRDefault="00BF2117">
      <w:pPr>
        <w:pStyle w:val="FootnoteText"/>
        <w:keepNext/>
        <w:rPr>
          <w:sz w:val="16"/>
        </w:rPr>
      </w:pPr>
      <w:r w:rsidRPr="00412620">
        <w:rPr>
          <w:rStyle w:val="FootnoteReference"/>
          <w:rFonts w:cs="Arial"/>
        </w:rPr>
        <w:footnoteRef/>
      </w:r>
      <w:r w:rsidRPr="00412620">
        <w:rPr>
          <w:sz w:val="16"/>
        </w:rPr>
        <w:t xml:space="preserve"> Clause (c) omitted by the Finance Act, 2005. The omitted clause (c) read as follows: -</w:t>
      </w:r>
    </w:p>
    <w:p w:rsidR="00BF2117" w:rsidRPr="00412620" w:rsidRDefault="00BF2117" w:rsidP="006316FB">
      <w:pPr>
        <w:pStyle w:val="FootnoteText"/>
        <w:keepNext/>
        <w:ind w:left="547" w:hanging="360"/>
        <w:rPr>
          <w:sz w:val="16"/>
        </w:rPr>
      </w:pPr>
      <w:r w:rsidRPr="00412620">
        <w:rPr>
          <w:rFonts w:cs="Arial"/>
          <w:sz w:val="16"/>
        </w:rPr>
        <w:t>“(c)</w:t>
      </w:r>
      <w:r w:rsidRPr="00412620">
        <w:rPr>
          <w:rFonts w:cs="Arial"/>
          <w:sz w:val="16"/>
        </w:rPr>
        <w:tab/>
        <w:t>the scheme of amalgamation is approved by the State Bank of Pakistan or by the Securities and Exchange Commission of Pakistan on or before thirtieth day of June, 2006;”</w:t>
      </w:r>
    </w:p>
  </w:footnote>
  <w:footnote w:id="15">
    <w:p w:rsidR="00BF2117" w:rsidRPr="00412620" w:rsidRDefault="00BF2117" w:rsidP="00FF048F">
      <w:pPr>
        <w:pStyle w:val="FootnoteText"/>
        <w:ind w:left="180" w:hanging="180"/>
        <w:jc w:val="both"/>
        <w:rPr>
          <w:sz w:val="16"/>
          <w:szCs w:val="16"/>
        </w:rPr>
      </w:pPr>
      <w:r w:rsidRPr="00412620">
        <w:rPr>
          <w:rStyle w:val="FootnoteReference"/>
        </w:rPr>
        <w:footnoteRef/>
      </w:r>
      <w:r w:rsidRPr="00412620">
        <w:rPr>
          <w:sz w:val="16"/>
          <w:szCs w:val="16"/>
        </w:rPr>
        <w:t xml:space="preserve">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Clause (2) before substitution by the Finance (Amendment) Ordinance, 2009 read as follows:</w:t>
      </w:r>
    </w:p>
    <w:p w:rsidR="00BF2117" w:rsidRPr="00412620" w:rsidRDefault="00BF2117" w:rsidP="000153E6">
      <w:pPr>
        <w:pStyle w:val="FootnoteText"/>
        <w:ind w:left="540" w:hanging="360"/>
        <w:rPr>
          <w:sz w:val="16"/>
          <w:szCs w:val="16"/>
          <w:lang w:val="en-US"/>
        </w:rPr>
      </w:pPr>
      <w:r w:rsidRPr="00412620">
        <w:rPr>
          <w:sz w:val="16"/>
          <w:szCs w:val="16"/>
        </w:rPr>
        <w:t>“</w:t>
      </w:r>
      <w:r w:rsidRPr="00412620">
        <w:rPr>
          <w:rFonts w:cs="Arial"/>
          <w:sz w:val="16"/>
          <w:szCs w:val="16"/>
        </w:rPr>
        <w:t>(2) “</w:t>
      </w:r>
      <w:r w:rsidRPr="00412620">
        <w:rPr>
          <w:sz w:val="16"/>
          <w:szCs w:val="16"/>
        </w:rPr>
        <w:t>Appellate Tribunal” means the Appellate Tribunal Inland Revenue established under section 130;”.</w:t>
      </w:r>
      <w:r w:rsidRPr="00412620">
        <w:rPr>
          <w:sz w:val="16"/>
          <w:szCs w:val="16"/>
        </w:rPr>
        <w:tab/>
      </w:r>
    </w:p>
  </w:footnote>
  <w:footnote w:id="16">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17">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18">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19">
    <w:p w:rsidR="00BF2117" w:rsidRPr="00412620" w:rsidRDefault="00BF2117">
      <w:pPr>
        <w:pStyle w:val="FootnoteText"/>
        <w:rPr>
          <w:sz w:val="16"/>
          <w:lang w:val="en-US"/>
        </w:rPr>
      </w:pPr>
      <w:r w:rsidRPr="00412620">
        <w:rPr>
          <w:rStyle w:val="FootnoteReference"/>
        </w:rPr>
        <w:footnoteRef/>
      </w:r>
      <w:r w:rsidRPr="00412620">
        <w:rPr>
          <w:sz w:val="16"/>
        </w:rPr>
        <w:t>Inserted by the Finance Act, 2006.</w:t>
      </w:r>
    </w:p>
  </w:footnote>
  <w:footnote w:id="20">
    <w:p w:rsidR="00BF2117" w:rsidRPr="00412620" w:rsidRDefault="00BF2117">
      <w:pPr>
        <w:pStyle w:val="FootnoteText"/>
        <w:rPr>
          <w:lang w:val="en-US"/>
        </w:rPr>
      </w:pPr>
      <w:r w:rsidRPr="00412620">
        <w:rPr>
          <w:rStyle w:val="FootnoteReference"/>
        </w:rPr>
        <w:footnoteRef/>
      </w:r>
      <w:r w:rsidRPr="00412620">
        <w:rPr>
          <w:sz w:val="16"/>
        </w:rPr>
        <w:t>Inserted by the Finance Act, 2006</w:t>
      </w:r>
    </w:p>
  </w:footnote>
  <w:footnote w:id="21">
    <w:p w:rsidR="00BF2117" w:rsidRPr="00412620" w:rsidRDefault="00BF2117">
      <w:pPr>
        <w:keepNext/>
        <w:rPr>
          <w:sz w:val="16"/>
        </w:rPr>
      </w:pPr>
      <w:r w:rsidRPr="00412620">
        <w:rPr>
          <w:rStyle w:val="FootnoteReference"/>
          <w:rFonts w:cs="Arial"/>
          <w:sz w:val="22"/>
        </w:rPr>
        <w:footnoteRef/>
      </w:r>
      <w:r w:rsidRPr="00412620">
        <w:rPr>
          <w:sz w:val="16"/>
        </w:rPr>
        <w:t xml:space="preserve"> Clause (5) substituted by the Finance Act, 2002. The substituted clause read as follows:</w:t>
      </w:r>
    </w:p>
    <w:p w:rsidR="00BF2117" w:rsidRPr="00412620" w:rsidRDefault="00BF2117">
      <w:pPr>
        <w:keepNext/>
        <w:ind w:left="1094" w:hanging="547"/>
        <w:jc w:val="both"/>
        <w:rPr>
          <w:rFonts w:cs="Arial"/>
          <w:sz w:val="16"/>
        </w:rPr>
      </w:pPr>
      <w:r w:rsidRPr="00412620">
        <w:rPr>
          <w:rFonts w:cs="Arial"/>
          <w:sz w:val="16"/>
        </w:rPr>
        <w:t>“(5)</w:t>
      </w:r>
      <w:r w:rsidRPr="00412620">
        <w:rPr>
          <w:rFonts w:cs="Arial"/>
          <w:sz w:val="16"/>
        </w:rPr>
        <w:tab/>
        <w:t>“assessment” means –</w:t>
      </w:r>
    </w:p>
    <w:p w:rsidR="00BF2117" w:rsidRPr="00412620" w:rsidRDefault="00BF2117">
      <w:pPr>
        <w:keepNext/>
        <w:ind w:left="1094"/>
        <w:jc w:val="both"/>
        <w:rPr>
          <w:rFonts w:cs="Arial"/>
          <w:sz w:val="16"/>
        </w:rPr>
      </w:pPr>
      <w:r w:rsidRPr="00412620">
        <w:rPr>
          <w:rFonts w:cs="Arial"/>
          <w:sz w:val="16"/>
        </w:rPr>
        <w:t>(a)</w:t>
      </w:r>
      <w:r w:rsidRPr="00412620">
        <w:rPr>
          <w:rFonts w:cs="Arial"/>
          <w:sz w:val="16"/>
        </w:rPr>
        <w:tab/>
        <w:t>an assessment referred to in section 120;</w:t>
      </w:r>
    </w:p>
    <w:p w:rsidR="00BF2117" w:rsidRPr="00412620" w:rsidRDefault="00BF2117">
      <w:pPr>
        <w:keepNext/>
        <w:ind w:left="1094"/>
        <w:jc w:val="both"/>
        <w:rPr>
          <w:rFonts w:cs="Arial"/>
          <w:sz w:val="16"/>
        </w:rPr>
      </w:pPr>
      <w:r w:rsidRPr="00412620">
        <w:rPr>
          <w:rFonts w:cs="Arial"/>
          <w:sz w:val="16"/>
        </w:rPr>
        <w:t>(b)</w:t>
      </w:r>
      <w:r w:rsidRPr="00412620">
        <w:rPr>
          <w:rFonts w:cs="Arial"/>
          <w:sz w:val="16"/>
        </w:rPr>
        <w:tab/>
        <w:t>an assessment raised under section 121;</w:t>
      </w:r>
    </w:p>
    <w:p w:rsidR="00BF2117" w:rsidRPr="00412620" w:rsidRDefault="00BF2117">
      <w:pPr>
        <w:keepNext/>
        <w:ind w:left="1094"/>
        <w:jc w:val="both"/>
        <w:rPr>
          <w:rFonts w:cs="Arial"/>
          <w:sz w:val="16"/>
        </w:rPr>
      </w:pPr>
      <w:r w:rsidRPr="00412620">
        <w:rPr>
          <w:rFonts w:cs="Arial"/>
          <w:sz w:val="16"/>
        </w:rPr>
        <w:t>(c)</w:t>
      </w:r>
      <w:r w:rsidRPr="00412620">
        <w:rPr>
          <w:rFonts w:cs="Arial"/>
          <w:sz w:val="16"/>
        </w:rPr>
        <w:tab/>
        <w:t>an amended assessment under section 122;</w:t>
      </w:r>
    </w:p>
    <w:p w:rsidR="00BF2117" w:rsidRPr="00412620" w:rsidRDefault="00BF2117">
      <w:pPr>
        <w:keepNext/>
        <w:ind w:left="1094"/>
        <w:jc w:val="both"/>
        <w:rPr>
          <w:rFonts w:cs="Arial"/>
          <w:sz w:val="16"/>
        </w:rPr>
      </w:pPr>
      <w:r w:rsidRPr="00412620">
        <w:rPr>
          <w:rFonts w:cs="Arial"/>
          <w:sz w:val="16"/>
        </w:rPr>
        <w:t>(d)</w:t>
      </w:r>
      <w:r w:rsidRPr="00412620">
        <w:rPr>
          <w:rFonts w:cs="Arial"/>
          <w:sz w:val="16"/>
        </w:rPr>
        <w:tab/>
        <w:t xml:space="preserve">a demand for an amount due under sections 141, 142, 143 and 144; or </w:t>
      </w:r>
    </w:p>
    <w:p w:rsidR="00BF2117" w:rsidRPr="00412620" w:rsidRDefault="00BF2117">
      <w:pPr>
        <w:pStyle w:val="FootnoteText"/>
        <w:ind w:left="1094" w:firstLine="0"/>
        <w:jc w:val="both"/>
        <w:rPr>
          <w:rFonts w:cs="Arial"/>
          <w:sz w:val="16"/>
        </w:rPr>
      </w:pPr>
      <w:r w:rsidRPr="00412620">
        <w:rPr>
          <w:rFonts w:cs="Arial"/>
          <w:sz w:val="16"/>
        </w:rPr>
        <w:t>(e)</w:t>
      </w:r>
      <w:r w:rsidRPr="00412620">
        <w:rPr>
          <w:rFonts w:cs="Arial"/>
          <w:sz w:val="16"/>
        </w:rPr>
        <w:tab/>
        <w:t xml:space="preserve">an assessment of penalty under section 190;”. </w:t>
      </w:r>
    </w:p>
  </w:footnote>
  <w:footnote w:id="22">
    <w:p w:rsidR="00BF2117" w:rsidRPr="00412620" w:rsidRDefault="00BF2117" w:rsidP="00A85205">
      <w:pPr>
        <w:pStyle w:val="FootnoteText"/>
        <w:jc w:val="both"/>
        <w:rPr>
          <w:sz w:val="16"/>
          <w:szCs w:val="16"/>
          <w:lang w:val="en-US"/>
        </w:rPr>
      </w:pPr>
      <w:r w:rsidRPr="00412620">
        <w:rPr>
          <w:rStyle w:val="FootnoteReference"/>
        </w:rPr>
        <w:footnoteRef/>
      </w:r>
      <w:r w:rsidRPr="00412620">
        <w:rPr>
          <w:sz w:val="16"/>
          <w:szCs w:val="16"/>
          <w:lang w:val="en-US"/>
        </w:rPr>
        <w:t>Inserted by the Finance Act, 2011.</w:t>
      </w:r>
    </w:p>
  </w:footnote>
  <w:footnote w:id="23">
    <w:p w:rsidR="00BF2117" w:rsidRPr="00412620" w:rsidRDefault="00BF2117">
      <w:pPr>
        <w:pStyle w:val="FootnoteText"/>
        <w:rPr>
          <w:sz w:val="16"/>
        </w:rPr>
      </w:pPr>
      <w:r w:rsidRPr="00412620">
        <w:rPr>
          <w:rStyle w:val="FootnoteReference"/>
          <w:rFonts w:cs="Arial"/>
        </w:rPr>
        <w:footnoteRef/>
      </w:r>
      <w:r w:rsidRPr="00412620">
        <w:rPr>
          <w:sz w:val="16"/>
        </w:rPr>
        <w:t xml:space="preserve">Inserted by the Finance Act, 2002 </w:t>
      </w:r>
    </w:p>
  </w:footnote>
  <w:footnote w:id="24">
    <w:p w:rsidR="00BF2117" w:rsidRPr="00412620" w:rsidRDefault="00BF2117">
      <w:pPr>
        <w:pStyle w:val="FootnoteText"/>
        <w:rPr>
          <w:sz w:val="16"/>
          <w:szCs w:val="16"/>
          <w:lang w:val="en-US"/>
        </w:rPr>
      </w:pPr>
      <w:r w:rsidRPr="00412620">
        <w:rPr>
          <w:rStyle w:val="FootnoteReference"/>
        </w:rPr>
        <w:footnoteRef/>
      </w:r>
      <w:r w:rsidRPr="00412620">
        <w:rPr>
          <w:sz w:val="16"/>
          <w:szCs w:val="16"/>
          <w:lang w:val="en-US"/>
        </w:rPr>
        <w:t>Clause (5B) substituted by the Finance Act, 2008. The substituted clause (5B) read as follows:</w:t>
      </w:r>
    </w:p>
    <w:p w:rsidR="00BF2117" w:rsidRPr="00412620" w:rsidRDefault="00BF2117" w:rsidP="0075589B">
      <w:pPr>
        <w:pStyle w:val="FootnoteText"/>
        <w:ind w:left="360" w:hanging="180"/>
        <w:rPr>
          <w:sz w:val="18"/>
          <w:lang w:val="en-US"/>
        </w:rPr>
      </w:pPr>
      <w:r w:rsidRPr="00412620">
        <w:rPr>
          <w:sz w:val="16"/>
          <w:szCs w:val="16"/>
          <w:lang w:val="en-US"/>
        </w:rPr>
        <w:t>“</w:t>
      </w:r>
      <w:r w:rsidRPr="00412620">
        <w:rPr>
          <w:sz w:val="16"/>
          <w:szCs w:val="16"/>
        </w:rPr>
        <w:t>(5B) “assets management company” means a company registered under the Assets Management companies Rules, 1995;”</w:t>
      </w:r>
    </w:p>
  </w:footnote>
  <w:footnote w:id="25">
    <w:p w:rsidR="00BF2117" w:rsidRPr="00245086" w:rsidRDefault="00BF2117" w:rsidP="00245086">
      <w:pPr>
        <w:pStyle w:val="FootnoteText"/>
        <w:ind w:left="180" w:hanging="180"/>
        <w:jc w:val="both"/>
        <w:rPr>
          <w:color w:val="000000" w:themeColor="text1"/>
          <w:lang w:val="en-US"/>
        </w:rPr>
      </w:pPr>
      <w:r w:rsidRPr="00245086">
        <w:rPr>
          <w:rStyle w:val="FootnoteReference"/>
          <w:color w:val="000000" w:themeColor="text1"/>
        </w:rPr>
        <w:footnoteRef/>
      </w:r>
      <w:r w:rsidRPr="00245086">
        <w:rPr>
          <w:color w:val="000000" w:themeColor="text1"/>
          <w:sz w:val="16"/>
          <w:szCs w:val="16"/>
        </w:rPr>
        <w:t>Clauses (8), (9), (10) and (11) re-numbered as clauses (9), (10), (11) and (8) respectively by the Finance Act, 2014.</w:t>
      </w:r>
    </w:p>
  </w:footnote>
  <w:footnote w:id="26">
    <w:p w:rsidR="00BF2117" w:rsidRPr="00412620" w:rsidRDefault="00BF2117">
      <w:pPr>
        <w:pStyle w:val="FootnoteText"/>
        <w:rPr>
          <w:sz w:val="16"/>
        </w:rPr>
      </w:pPr>
      <w:r w:rsidRPr="00412620">
        <w:rPr>
          <w:rStyle w:val="FootnoteReference"/>
          <w:rFonts w:cs="Arial"/>
        </w:rPr>
        <w:footnoteRef/>
      </w:r>
      <w:r w:rsidRPr="00412620">
        <w:rPr>
          <w:sz w:val="16"/>
        </w:rPr>
        <w:t>Inserted by the Finance Act, 2002.</w:t>
      </w:r>
    </w:p>
  </w:footnote>
  <w:footnote w:id="27">
    <w:p w:rsidR="00BF2117" w:rsidRPr="00412620" w:rsidRDefault="00BF2117" w:rsidP="00CB7517">
      <w:pPr>
        <w:pStyle w:val="FootnoteText"/>
        <w:ind w:left="180" w:hanging="180"/>
        <w:jc w:val="both"/>
        <w:rPr>
          <w:sz w:val="16"/>
          <w:szCs w:val="16"/>
        </w:rPr>
      </w:pPr>
      <w:r w:rsidRPr="00412620">
        <w:rPr>
          <w:rStyle w:val="FootnoteReference"/>
          <w:szCs w:val="22"/>
        </w:rPr>
        <w:footnoteRef/>
      </w:r>
      <w:r w:rsidRPr="00412620">
        <w:rPr>
          <w:sz w:val="16"/>
          <w:szCs w:val="16"/>
        </w:rPr>
        <w:t xml:space="preserve">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The substituted clause (11B) read as follows:</w:t>
      </w:r>
    </w:p>
    <w:p w:rsidR="00BF2117" w:rsidRPr="00412620" w:rsidRDefault="00BF2117" w:rsidP="00E20E8B">
      <w:pPr>
        <w:pStyle w:val="FootnoteText"/>
        <w:ind w:left="1080" w:hanging="533"/>
        <w:jc w:val="both"/>
        <w:rPr>
          <w:sz w:val="16"/>
          <w:szCs w:val="16"/>
          <w:lang w:val="en-US"/>
        </w:rPr>
      </w:pPr>
      <w:r w:rsidRPr="00412620">
        <w:rPr>
          <w:sz w:val="16"/>
          <w:szCs w:val="16"/>
        </w:rPr>
        <w:t xml:space="preserve">“(11B) </w:t>
      </w:r>
      <w:r w:rsidRPr="00412620">
        <w:rPr>
          <w:rFonts w:cs="Arial"/>
          <w:sz w:val="16"/>
          <w:szCs w:val="16"/>
        </w:rPr>
        <w:t>“Chief Commissioner” means a person appointed as Chief Commissioner Inland  Revenue under section 208 and includes a Regional Commissioner of Income Tax and a Director-General of Income Tax and Sales Tax.”</w:t>
      </w:r>
    </w:p>
  </w:footnote>
  <w:footnote w:id="28">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2011.</w:t>
      </w:r>
    </w:p>
  </w:footnote>
  <w:footnote w:id="29">
    <w:p w:rsidR="00BF2117" w:rsidRPr="00412620" w:rsidRDefault="00BF2117" w:rsidP="00E20E8B">
      <w:pPr>
        <w:pStyle w:val="FootnoteText"/>
        <w:ind w:left="180" w:hanging="180"/>
        <w:jc w:val="both"/>
        <w:rPr>
          <w:sz w:val="16"/>
          <w:szCs w:val="16"/>
        </w:rPr>
      </w:pPr>
      <w:r w:rsidRPr="00412620">
        <w:rPr>
          <w:rStyle w:val="FootnoteReference"/>
        </w:rPr>
        <w:footnoteRef/>
      </w:r>
      <w:r w:rsidRPr="00412620">
        <w:rPr>
          <w:sz w:val="16"/>
          <w:szCs w:val="16"/>
        </w:rPr>
        <w:t>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The substituted Clause (13) read as   follows:</w:t>
      </w:r>
    </w:p>
    <w:p w:rsidR="00BF2117" w:rsidRPr="00412620" w:rsidRDefault="00BF2117" w:rsidP="00ED2E96">
      <w:pPr>
        <w:pStyle w:val="FootnoteText"/>
        <w:ind w:left="1094" w:hanging="547"/>
        <w:jc w:val="both"/>
        <w:rPr>
          <w:sz w:val="16"/>
          <w:szCs w:val="16"/>
          <w:lang w:val="en-US"/>
        </w:rPr>
      </w:pPr>
      <w:r w:rsidRPr="00412620">
        <w:rPr>
          <w:sz w:val="16"/>
          <w:szCs w:val="16"/>
        </w:rPr>
        <w:t xml:space="preserve">“(13) </w:t>
      </w:r>
      <w:r w:rsidRPr="00412620">
        <w:rPr>
          <w:sz w:val="16"/>
          <w:szCs w:val="16"/>
        </w:rPr>
        <w:tab/>
        <w:t>Commissioner” means a person appointed as Commissioner Inland Revenue under section 208, and includes any other authority vested with all or any of the powers and functions of the Commissioner;”.</w:t>
      </w:r>
    </w:p>
  </w:footnote>
  <w:footnote w:id="30">
    <w:p w:rsidR="00BF2117" w:rsidRPr="00412620" w:rsidRDefault="00BF2117" w:rsidP="00C72EC0">
      <w:pPr>
        <w:pStyle w:val="FootnoteText"/>
        <w:ind w:left="180" w:hanging="180"/>
        <w:jc w:val="both"/>
        <w:rPr>
          <w:lang w:val="en-US"/>
        </w:rPr>
      </w:pPr>
      <w:r w:rsidRPr="00412620">
        <w:rPr>
          <w:rStyle w:val="FootnoteReference"/>
        </w:rPr>
        <w:footnoteRef/>
      </w:r>
      <w:r w:rsidRPr="00412620">
        <w:rPr>
          <w:sz w:val="16"/>
          <w:szCs w:val="16"/>
        </w:rPr>
        <w:t xml:space="preserve">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w:t>
      </w:r>
      <w:r w:rsidRPr="00412620">
        <w:rPr>
          <w:sz w:val="16"/>
          <w:szCs w:val="16"/>
          <w:lang w:val="en-US"/>
        </w:rPr>
        <w:t xml:space="preserve"> The substituted Clause (13A) read as follows:</w:t>
      </w:r>
    </w:p>
    <w:p w:rsidR="00BF2117" w:rsidRPr="00412620" w:rsidRDefault="00BF2117" w:rsidP="00C72EC0">
      <w:pPr>
        <w:pStyle w:val="FootnoteText"/>
        <w:ind w:left="1094" w:hanging="554"/>
        <w:jc w:val="both"/>
        <w:rPr>
          <w:sz w:val="16"/>
          <w:szCs w:val="16"/>
        </w:rPr>
      </w:pPr>
      <w:r w:rsidRPr="00412620">
        <w:rPr>
          <w:sz w:val="16"/>
          <w:szCs w:val="16"/>
        </w:rPr>
        <w:t xml:space="preserve">“(13A) </w:t>
      </w:r>
      <w:r w:rsidRPr="00412620">
        <w:rPr>
          <w:sz w:val="16"/>
          <w:szCs w:val="16"/>
        </w:rPr>
        <w:tab/>
        <w:t>“Commissioner (Appeals)” means a person appointed as Commissioner Inland Revenue (Appeals) under section 208;</w:t>
      </w:r>
    </w:p>
  </w:footnote>
  <w:footnote w:id="31">
    <w:p w:rsidR="00BF2117" w:rsidRPr="00F357CD" w:rsidRDefault="00BF2117">
      <w:pPr>
        <w:pStyle w:val="FootnoteText"/>
        <w:rPr>
          <w:lang w:val="en-US"/>
        </w:rPr>
      </w:pPr>
      <w:r>
        <w:rPr>
          <w:rStyle w:val="FootnoteReference"/>
        </w:rPr>
        <w:footnoteRef/>
      </w:r>
      <w:r w:rsidRPr="00412620">
        <w:rPr>
          <w:sz w:val="16"/>
        </w:rPr>
        <w:t>Inserted by the Finance Act, 2</w:t>
      </w:r>
      <w:r>
        <w:rPr>
          <w:sz w:val="16"/>
        </w:rPr>
        <w:t>01</w:t>
      </w:r>
      <w:r w:rsidRPr="00412620">
        <w:rPr>
          <w:sz w:val="16"/>
        </w:rPr>
        <w:t>5</w:t>
      </w:r>
    </w:p>
  </w:footnote>
  <w:footnote w:id="32">
    <w:p w:rsidR="00BF2117" w:rsidRPr="00412620" w:rsidRDefault="00BF2117">
      <w:pPr>
        <w:pStyle w:val="FootnoteText"/>
        <w:rPr>
          <w:sz w:val="16"/>
        </w:rPr>
      </w:pPr>
      <w:r w:rsidRPr="00412620">
        <w:rPr>
          <w:rStyle w:val="FootnoteReference"/>
          <w:rFonts w:cs="Arial"/>
          <w:szCs w:val="18"/>
        </w:rPr>
        <w:footnoteRef/>
      </w:r>
      <w:r w:rsidRPr="00412620">
        <w:rPr>
          <w:sz w:val="16"/>
        </w:rPr>
        <w:t xml:space="preserve"> Inserted by the Finance Act, 2005.</w:t>
      </w:r>
    </w:p>
  </w:footnote>
  <w:footnote w:id="33">
    <w:p w:rsidR="00BF2117" w:rsidRPr="00412620" w:rsidRDefault="00BF2117" w:rsidP="0092297A">
      <w:pPr>
        <w:pStyle w:val="FootnoteText"/>
        <w:ind w:left="180" w:hanging="180"/>
        <w:rPr>
          <w:sz w:val="16"/>
          <w:lang w:val="en-US"/>
        </w:rPr>
      </w:pPr>
      <w:r w:rsidRPr="00412620">
        <w:rPr>
          <w:rStyle w:val="FootnoteReference"/>
        </w:rPr>
        <w:footnoteRef/>
      </w:r>
      <w:r w:rsidRPr="00412620">
        <w:rPr>
          <w:sz w:val="16"/>
        </w:rPr>
        <w:t>The comma and words “, but not exceeding five hundred thousand rupees in a tax year” omitted by the Finance Act, 2006.</w:t>
      </w:r>
    </w:p>
  </w:footnote>
  <w:footnote w:id="34">
    <w:p w:rsidR="00BF2117" w:rsidRPr="00AE5E7B" w:rsidRDefault="00BF2117">
      <w:pPr>
        <w:pStyle w:val="FootnoteText"/>
        <w:rPr>
          <w:lang w:val="en-US"/>
        </w:rPr>
      </w:pPr>
      <w:r>
        <w:rPr>
          <w:rStyle w:val="FootnoteReference"/>
        </w:rPr>
        <w:footnoteRef/>
      </w:r>
      <w:r w:rsidRPr="00412620">
        <w:rPr>
          <w:sz w:val="16"/>
        </w:rPr>
        <w:t>Inserted by the Finance Act, 2</w:t>
      </w:r>
      <w:r>
        <w:rPr>
          <w:sz w:val="16"/>
        </w:rPr>
        <w:t>01</w:t>
      </w:r>
      <w:r w:rsidRPr="00412620">
        <w:rPr>
          <w:sz w:val="16"/>
        </w:rPr>
        <w:t>5</w:t>
      </w:r>
    </w:p>
  </w:footnote>
  <w:footnote w:id="35">
    <w:p w:rsidR="00BF2117" w:rsidRPr="00412620" w:rsidRDefault="00BF2117" w:rsidP="009C1738">
      <w:pPr>
        <w:pStyle w:val="FootnoteText"/>
        <w:ind w:left="180" w:hanging="180"/>
        <w:rPr>
          <w:sz w:val="16"/>
        </w:rPr>
      </w:pPr>
      <w:r w:rsidRPr="00412620">
        <w:rPr>
          <w:rStyle w:val="FootnoteReference"/>
          <w:rFonts w:cs="Arial"/>
        </w:rPr>
        <w:footnoteRef/>
      </w:r>
      <w:r w:rsidRPr="00412620">
        <w:rPr>
          <w:sz w:val="16"/>
        </w:rPr>
        <w:t xml:space="preserve"> The words  “and any distribution to its shareholders of shares by way of bonus or bonus shares”, omitted by the Finance Act, 2002</w:t>
      </w:r>
    </w:p>
  </w:footnote>
  <w:footnote w:id="36">
    <w:p w:rsidR="00BF2117" w:rsidRPr="00412620" w:rsidRDefault="00BF2117">
      <w:pPr>
        <w:pStyle w:val="FootnoteText"/>
        <w:rPr>
          <w:lang w:val="en-US"/>
        </w:rPr>
      </w:pPr>
      <w:r w:rsidRPr="00412620">
        <w:rPr>
          <w:rStyle w:val="FootnoteReference"/>
          <w:szCs w:val="16"/>
        </w:rPr>
        <w:footnoteRef/>
      </w:r>
      <w:r w:rsidRPr="00412620">
        <w:rPr>
          <w:sz w:val="16"/>
        </w:rPr>
        <w:t>The word ‘or’ omitted by Finance Act, 2008.</w:t>
      </w:r>
    </w:p>
  </w:footnote>
  <w:footnote w:id="37">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38">
    <w:p w:rsidR="00BF2117" w:rsidRPr="00412620" w:rsidRDefault="00BF2117">
      <w:pPr>
        <w:pStyle w:val="FootnoteText"/>
        <w:rPr>
          <w:lang w:val="en-US"/>
        </w:rPr>
      </w:pPr>
      <w:r w:rsidRPr="00412620">
        <w:rPr>
          <w:rStyle w:val="FootnoteReference"/>
        </w:rPr>
        <w:footnoteRef/>
      </w:r>
      <w:r w:rsidRPr="00412620">
        <w:rPr>
          <w:sz w:val="16"/>
        </w:rPr>
        <w:t>The word ‘or’ added by the Finance Act, 2008.</w:t>
      </w:r>
    </w:p>
  </w:footnote>
  <w:footnote w:id="39">
    <w:p w:rsidR="00BF2117" w:rsidRPr="005756E9" w:rsidRDefault="00BF2117" w:rsidP="00183778">
      <w:pPr>
        <w:pStyle w:val="FootnoteText"/>
        <w:rPr>
          <w:sz w:val="16"/>
          <w:szCs w:val="16"/>
          <w:lang w:val="en-US"/>
        </w:rPr>
      </w:pPr>
      <w:r w:rsidRPr="005756E9">
        <w:rPr>
          <w:rStyle w:val="FootnoteReference"/>
          <w:szCs w:val="16"/>
        </w:rPr>
        <w:footnoteRef/>
      </w:r>
      <w:r w:rsidRPr="005756E9">
        <w:rPr>
          <w:sz w:val="16"/>
          <w:szCs w:val="16"/>
          <w:lang w:val="en-US"/>
        </w:rPr>
        <w:t>Inserted by the Finance Act, 2008.</w:t>
      </w:r>
    </w:p>
  </w:footnote>
  <w:footnote w:id="40">
    <w:p w:rsidR="00BF2117" w:rsidRPr="00F658CD" w:rsidRDefault="00BF2117" w:rsidP="00183778">
      <w:pPr>
        <w:pStyle w:val="FootnoteText"/>
        <w:rPr>
          <w:color w:val="00B0F0"/>
          <w:sz w:val="16"/>
          <w:lang w:val="en-US"/>
        </w:rPr>
      </w:pPr>
      <w:r w:rsidRPr="005756E9">
        <w:rPr>
          <w:rStyle w:val="FootnoteReference"/>
        </w:rPr>
        <w:footnoteRef/>
      </w:r>
      <w:r w:rsidRPr="005756E9">
        <w:rPr>
          <w:sz w:val="16"/>
        </w:rPr>
        <w:t>The word “any” substituted by the Finance Act, 2009.</w:t>
      </w:r>
    </w:p>
  </w:footnote>
  <w:footnote w:id="41">
    <w:p w:rsidR="00BF2117" w:rsidRPr="00412620" w:rsidRDefault="00BF2117">
      <w:pPr>
        <w:pStyle w:val="FootnoteText"/>
        <w:rPr>
          <w:sz w:val="16"/>
        </w:rPr>
      </w:pPr>
      <w:r w:rsidRPr="00412620">
        <w:rPr>
          <w:rStyle w:val="FootnoteReference"/>
          <w:rFonts w:cs="Arial"/>
        </w:rPr>
        <w:footnoteRef/>
      </w:r>
      <w:r w:rsidRPr="00412620">
        <w:rPr>
          <w:sz w:val="16"/>
        </w:rPr>
        <w:t xml:space="preserve"> Substituted for “clause” by the Finance Act, 2002</w:t>
      </w:r>
    </w:p>
  </w:footnote>
  <w:footnote w:id="42">
    <w:p w:rsidR="00BF2117" w:rsidRPr="00412620" w:rsidRDefault="00BF2117">
      <w:pPr>
        <w:pStyle w:val="FootnoteText"/>
        <w:rPr>
          <w:sz w:val="16"/>
          <w:szCs w:val="16"/>
          <w:lang w:val="en-US"/>
        </w:rPr>
      </w:pPr>
      <w:r w:rsidRPr="00412620">
        <w:rPr>
          <w:rStyle w:val="FootnoteReference"/>
        </w:rPr>
        <w:footnoteRef/>
      </w:r>
      <w:r w:rsidRPr="00412620">
        <w:rPr>
          <w:sz w:val="16"/>
        </w:rPr>
        <w:t>The word “and” omitted by the Finance Act, 2009.</w:t>
      </w:r>
    </w:p>
  </w:footnote>
  <w:footnote w:id="43">
    <w:p w:rsidR="00BF2117" w:rsidRPr="00412620" w:rsidRDefault="00BF2117">
      <w:pPr>
        <w:pStyle w:val="FootnoteText"/>
        <w:rPr>
          <w:sz w:val="16"/>
        </w:rPr>
      </w:pPr>
      <w:r w:rsidRPr="00412620">
        <w:rPr>
          <w:rStyle w:val="FootnoteReference"/>
          <w:rFonts w:cs="Arial"/>
        </w:rPr>
        <w:footnoteRef/>
      </w:r>
      <w:r w:rsidRPr="00412620">
        <w:rPr>
          <w:sz w:val="16"/>
        </w:rPr>
        <w:t xml:space="preserve"> The word  “clause” substituted by the Finance Act, 2002</w:t>
      </w:r>
    </w:p>
  </w:footnote>
  <w:footnote w:id="44">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 “and” inserted by the Finance Act, 2009.</w:t>
      </w:r>
    </w:p>
  </w:footnote>
  <w:footnote w:id="45">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2009.</w:t>
      </w:r>
    </w:p>
  </w:footnote>
  <w:footnote w:id="46">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47">
    <w:p w:rsidR="00BF2117" w:rsidRPr="00412620" w:rsidRDefault="00BF2117">
      <w:pPr>
        <w:pStyle w:val="FootnoteText"/>
        <w:rPr>
          <w:lang w:val="en-US"/>
        </w:rPr>
      </w:pPr>
      <w:r w:rsidRPr="00412620">
        <w:rPr>
          <w:rStyle w:val="FootnoteReference"/>
        </w:rPr>
        <w:footnoteRef/>
      </w:r>
      <w:r w:rsidRPr="00412620">
        <w:rPr>
          <w:sz w:val="16"/>
        </w:rPr>
        <w:t xml:space="preserve"> The words “has obtained” substituted by the Finance Act, 2007.</w:t>
      </w:r>
    </w:p>
  </w:footnote>
  <w:footnote w:id="48">
    <w:p w:rsidR="00BF2117" w:rsidRPr="00412620" w:rsidRDefault="00BF2117">
      <w:pPr>
        <w:pStyle w:val="FootnoteText"/>
        <w:rPr>
          <w:lang w:val="en-US"/>
        </w:rPr>
      </w:pPr>
      <w:r w:rsidRPr="00412620">
        <w:rPr>
          <w:rStyle w:val="FootnoteReference"/>
        </w:rPr>
        <w:footnoteRef/>
      </w:r>
      <w:r w:rsidRPr="00412620">
        <w:rPr>
          <w:sz w:val="16"/>
        </w:rPr>
        <w:t xml:space="preserve"> Inserted by the Finance Act, 2007.</w:t>
      </w:r>
    </w:p>
  </w:footnote>
  <w:footnote w:id="49">
    <w:p w:rsidR="00BF2117" w:rsidRPr="00412620" w:rsidRDefault="00BF2117">
      <w:pPr>
        <w:pStyle w:val="FootnoteText"/>
        <w:rPr>
          <w:sz w:val="16"/>
          <w:lang w:val="en-US"/>
        </w:rPr>
      </w:pPr>
      <w:r w:rsidRPr="00412620">
        <w:rPr>
          <w:rStyle w:val="FootnoteReference"/>
        </w:rPr>
        <w:footnoteRef/>
      </w:r>
      <w:r w:rsidRPr="00412620">
        <w:rPr>
          <w:sz w:val="16"/>
        </w:rPr>
        <w:t xml:space="preserve">Inserted by the Finance Act, 2008. </w:t>
      </w:r>
    </w:p>
  </w:footnote>
  <w:footnote w:id="50">
    <w:p w:rsidR="00BF2117" w:rsidRPr="00412620" w:rsidRDefault="00BF2117" w:rsidP="00491E9F">
      <w:pPr>
        <w:pStyle w:val="FootnoteText"/>
        <w:ind w:left="270" w:hanging="270"/>
        <w:jc w:val="both"/>
        <w:rPr>
          <w:sz w:val="16"/>
          <w:lang w:val="en-US"/>
        </w:rPr>
      </w:pPr>
      <w:r w:rsidRPr="00412620">
        <w:rPr>
          <w:rStyle w:val="FootnoteReference"/>
        </w:rPr>
        <w:footnoteRef/>
      </w:r>
      <w:r w:rsidRPr="00412620">
        <w:rPr>
          <w:sz w:val="16"/>
        </w:rPr>
        <w:t>The words “</w:t>
      </w:r>
      <w:r w:rsidRPr="00412620">
        <w:rPr>
          <w:bCs/>
          <w:sz w:val="16"/>
          <w:szCs w:val="16"/>
        </w:rPr>
        <w:t>but does not include an individual who is entitled to benefit under any other approved employment pension or annuity scheme” omitted by the Finance Act, 2006.</w:t>
      </w:r>
    </w:p>
  </w:footnote>
  <w:footnote w:id="51">
    <w:p w:rsidR="00BF2117" w:rsidRPr="00412620" w:rsidRDefault="00BF2117">
      <w:pPr>
        <w:pStyle w:val="FootnoteText"/>
        <w:rPr>
          <w:sz w:val="16"/>
          <w:lang w:val="en-US"/>
        </w:rPr>
      </w:pPr>
      <w:r w:rsidRPr="00412620">
        <w:rPr>
          <w:rStyle w:val="FootnoteReference"/>
          <w:szCs w:val="18"/>
        </w:rPr>
        <w:footnoteRef/>
      </w:r>
      <w:r w:rsidRPr="00412620">
        <w:rPr>
          <w:sz w:val="16"/>
        </w:rPr>
        <w:t>The semicolon substituted by the Finance Act, 2006.</w:t>
      </w:r>
    </w:p>
  </w:footnote>
  <w:footnote w:id="52">
    <w:p w:rsidR="00BF2117" w:rsidRPr="00412620" w:rsidRDefault="00BF2117">
      <w:pPr>
        <w:pStyle w:val="FootnoteText"/>
        <w:rPr>
          <w:sz w:val="16"/>
          <w:szCs w:val="16"/>
          <w:lang w:val="en-US"/>
        </w:rPr>
      </w:pPr>
      <w:r w:rsidRPr="00412620">
        <w:rPr>
          <w:rStyle w:val="FootnoteReference"/>
          <w:sz w:val="20"/>
        </w:rPr>
        <w:footnoteRef/>
      </w:r>
      <w:r w:rsidRPr="00412620">
        <w:rPr>
          <w:sz w:val="16"/>
          <w:szCs w:val="16"/>
        </w:rPr>
        <w:t>Inserted by the Finance Act, 2006.</w:t>
      </w:r>
    </w:p>
  </w:footnote>
  <w:footnote w:id="53">
    <w:p w:rsidR="00BF2117" w:rsidRPr="00412620" w:rsidRDefault="00BF2117">
      <w:pPr>
        <w:pStyle w:val="FootnoteText"/>
        <w:rPr>
          <w:sz w:val="16"/>
          <w:szCs w:val="16"/>
          <w:lang w:val="en-US"/>
        </w:rPr>
      </w:pPr>
      <w:r w:rsidRPr="00412620">
        <w:rPr>
          <w:rStyle w:val="FootnoteReference"/>
        </w:rPr>
        <w:footnoteRef/>
      </w:r>
      <w:r w:rsidRPr="00412620">
        <w:rPr>
          <w:sz w:val="16"/>
          <w:szCs w:val="16"/>
        </w:rPr>
        <w:t xml:space="preserve"> Inserted by the Finance Act, 2008.</w:t>
      </w:r>
    </w:p>
  </w:footnote>
  <w:footnote w:id="54">
    <w:p w:rsidR="00BF2117" w:rsidRPr="00412620" w:rsidRDefault="00BF2117">
      <w:pPr>
        <w:pStyle w:val="FootnoteText"/>
        <w:rPr>
          <w:lang w:val="en-US"/>
        </w:rPr>
      </w:pPr>
      <w:r w:rsidRPr="00412620">
        <w:rPr>
          <w:rStyle w:val="FootnoteReference"/>
        </w:rPr>
        <w:footnoteRef/>
      </w:r>
      <w:r w:rsidRPr="00412620">
        <w:rPr>
          <w:sz w:val="16"/>
          <w:szCs w:val="16"/>
        </w:rPr>
        <w:t>New clause (19C) inserted by Finance Act, 2008.</w:t>
      </w:r>
    </w:p>
  </w:footnote>
  <w:footnote w:id="55">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2008.</w:t>
      </w:r>
    </w:p>
  </w:footnote>
  <w:footnote w:id="56">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2008.</w:t>
      </w:r>
    </w:p>
  </w:footnote>
  <w:footnote w:id="57">
    <w:p w:rsidR="00BF2117" w:rsidRPr="00D76314" w:rsidRDefault="00BF2117">
      <w:pPr>
        <w:pStyle w:val="FootnoteText"/>
        <w:rPr>
          <w:lang w:val="en-US"/>
        </w:rPr>
      </w:pPr>
      <w:r w:rsidRPr="00D76314">
        <w:rPr>
          <w:rStyle w:val="FootnoteReference"/>
        </w:rPr>
        <w:footnoteRef/>
      </w:r>
      <w:r w:rsidRPr="00D76314">
        <w:rPr>
          <w:sz w:val="16"/>
          <w:szCs w:val="16"/>
        </w:rPr>
        <w:t>Inserted by the Finance Act 201</w:t>
      </w:r>
      <w:r>
        <w:rPr>
          <w:sz w:val="16"/>
          <w:szCs w:val="16"/>
        </w:rPr>
        <w:t>5</w:t>
      </w:r>
    </w:p>
  </w:footnote>
  <w:footnote w:id="58">
    <w:p w:rsidR="00BF2117" w:rsidRPr="00245086" w:rsidRDefault="00BF2117">
      <w:pPr>
        <w:pStyle w:val="FootnoteText"/>
        <w:rPr>
          <w:color w:val="000000" w:themeColor="text1"/>
          <w:sz w:val="16"/>
          <w:szCs w:val="16"/>
          <w:lang w:val="en-US"/>
        </w:rPr>
      </w:pPr>
      <w:r w:rsidRPr="00245086">
        <w:rPr>
          <w:rStyle w:val="FootnoteReference"/>
          <w:color w:val="000000" w:themeColor="text1"/>
        </w:rPr>
        <w:footnoteRef/>
      </w:r>
      <w:r w:rsidRPr="00245086">
        <w:rPr>
          <w:color w:val="000000" w:themeColor="text1"/>
          <w:sz w:val="16"/>
          <w:szCs w:val="16"/>
        </w:rPr>
        <w:t>Inserted by the Finance Act 2014.</w:t>
      </w:r>
    </w:p>
  </w:footnote>
  <w:footnote w:id="59">
    <w:p w:rsidR="00BF2117" w:rsidRPr="00412620" w:rsidRDefault="00BF2117">
      <w:pPr>
        <w:pStyle w:val="FootnoteText"/>
        <w:rPr>
          <w:sz w:val="16"/>
        </w:rPr>
      </w:pPr>
      <w:r w:rsidRPr="00412620">
        <w:rPr>
          <w:rStyle w:val="FootnoteReference"/>
          <w:rFonts w:cs="Arial"/>
        </w:rPr>
        <w:footnoteRef/>
      </w:r>
      <w:r w:rsidRPr="00412620">
        <w:rPr>
          <w:sz w:val="16"/>
        </w:rPr>
        <w:t xml:space="preserve"> The word “notified” substituted by the Finance Act, 2005.</w:t>
      </w:r>
    </w:p>
  </w:footnote>
  <w:footnote w:id="60">
    <w:p w:rsidR="00BF2117" w:rsidRPr="00412620" w:rsidRDefault="00BF2117">
      <w:pPr>
        <w:pStyle w:val="FootnoteText"/>
        <w:rPr>
          <w:sz w:val="16"/>
        </w:rPr>
      </w:pPr>
      <w:r w:rsidRPr="00412620">
        <w:rPr>
          <w:rStyle w:val="FootnoteReference"/>
          <w:rFonts w:cs="Arial"/>
        </w:rPr>
        <w:footnoteRef/>
      </w:r>
      <w:r w:rsidRPr="00412620">
        <w:rPr>
          <w:sz w:val="16"/>
        </w:rPr>
        <w:t xml:space="preserve"> The figures, brackets and words  “1980 (XXXI of 1980)” substituted by the Finance Act, 2002.</w:t>
      </w:r>
    </w:p>
  </w:footnote>
  <w:footnote w:id="61">
    <w:p w:rsidR="00BF2117" w:rsidRPr="00412620" w:rsidRDefault="00BF2117" w:rsidP="005C1874">
      <w:pPr>
        <w:pStyle w:val="FootnoteText"/>
        <w:ind w:left="180" w:hanging="180"/>
        <w:jc w:val="both"/>
        <w:rPr>
          <w:sz w:val="16"/>
        </w:rPr>
      </w:pPr>
      <w:r w:rsidRPr="00412620">
        <w:rPr>
          <w:rStyle w:val="FootnoteReference"/>
          <w:rFonts w:cs="Arial"/>
        </w:rPr>
        <w:footnoteRef/>
      </w:r>
      <w:r w:rsidRPr="00412620">
        <w:rPr>
          <w:sz w:val="16"/>
        </w:rPr>
        <w:t xml:space="preserve"> The words “by the Federal Government in the official Gazette as a financial institution” omitted by the Finance Act, 2003.</w:t>
      </w:r>
    </w:p>
  </w:footnote>
  <w:footnote w:id="62">
    <w:p w:rsidR="00BF2117" w:rsidRPr="00206A9A" w:rsidRDefault="00BF2117">
      <w:pPr>
        <w:pStyle w:val="FootnoteText"/>
        <w:rPr>
          <w:lang w:val="en-US"/>
        </w:rPr>
      </w:pPr>
      <w:r>
        <w:rPr>
          <w:rStyle w:val="FootnoteReference"/>
        </w:rPr>
        <w:footnoteRef/>
      </w:r>
      <w:r w:rsidRPr="00412620">
        <w:rPr>
          <w:sz w:val="16"/>
        </w:rPr>
        <w:t>Inserted by the Finance Act, 20</w:t>
      </w:r>
      <w:r>
        <w:rPr>
          <w:sz w:val="16"/>
        </w:rPr>
        <w:t>15</w:t>
      </w:r>
    </w:p>
  </w:footnote>
  <w:footnote w:id="63">
    <w:p w:rsidR="00BF2117" w:rsidRPr="00412620" w:rsidRDefault="00BF2117" w:rsidP="00456E00">
      <w:pPr>
        <w:pStyle w:val="FootnoteText"/>
        <w:keepNext/>
        <w:ind w:left="180" w:hanging="180"/>
        <w:jc w:val="both"/>
        <w:rPr>
          <w:sz w:val="16"/>
        </w:rPr>
      </w:pPr>
      <w:r w:rsidRPr="00412620">
        <w:rPr>
          <w:rStyle w:val="FootnoteReference"/>
          <w:rFonts w:cs="Arial"/>
        </w:rPr>
        <w:footnoteRef/>
      </w:r>
      <w:r w:rsidRPr="00412620">
        <w:rPr>
          <w:sz w:val="16"/>
        </w:rPr>
        <w:t xml:space="preserve"> Clause (29) substituted by the Finance Act, 2002. The substituted clause read as follows: </w:t>
      </w:r>
    </w:p>
    <w:p w:rsidR="00BF2117" w:rsidRPr="00412620" w:rsidRDefault="00BF2117" w:rsidP="005B419C">
      <w:pPr>
        <w:ind w:left="540" w:hanging="450"/>
        <w:jc w:val="both"/>
        <w:rPr>
          <w:rFonts w:cs="Arial"/>
          <w:sz w:val="16"/>
        </w:rPr>
      </w:pPr>
      <w:r w:rsidRPr="00412620">
        <w:rPr>
          <w:rFonts w:cs="Arial"/>
          <w:sz w:val="16"/>
        </w:rPr>
        <w:t xml:space="preserve"> “(29)</w:t>
      </w:r>
      <w:r w:rsidRPr="00412620">
        <w:rPr>
          <w:rFonts w:cs="Arial"/>
          <w:sz w:val="16"/>
        </w:rPr>
        <w:tab/>
        <w:t xml:space="preserve">“income” includes any amount chargeable to tax under this Ordinance, any amount subject to collection of tax under Division II of Part V of Chapter X, sub-section (5) of 234 Division III of Chapter XII, and any loss of income;” </w:t>
      </w:r>
    </w:p>
  </w:footnote>
  <w:footnote w:id="64">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65">
    <w:p w:rsidR="00BF2117" w:rsidRPr="00412620" w:rsidRDefault="00BF2117">
      <w:pPr>
        <w:pStyle w:val="FootnoteText"/>
        <w:rPr>
          <w:sz w:val="16"/>
        </w:rPr>
      </w:pPr>
      <w:r w:rsidRPr="00412620">
        <w:rPr>
          <w:rStyle w:val="FootnoteReference"/>
          <w:rFonts w:cs="Arial"/>
        </w:rPr>
        <w:footnoteRef/>
      </w:r>
      <w:r w:rsidRPr="00412620">
        <w:rPr>
          <w:sz w:val="16"/>
        </w:rPr>
        <w:t xml:space="preserve"> The figures, commas and word “153, 154 and 156,” substituted by the Finance Act, 2005.</w:t>
      </w:r>
    </w:p>
  </w:footnote>
  <w:footnote w:id="66">
    <w:p w:rsidR="00BF2117" w:rsidRPr="00245086" w:rsidRDefault="00BF2117">
      <w:pPr>
        <w:pStyle w:val="FootnoteText"/>
        <w:rPr>
          <w:color w:val="000000" w:themeColor="text1"/>
          <w:sz w:val="16"/>
          <w:szCs w:val="16"/>
          <w:lang w:val="en-US"/>
        </w:rPr>
      </w:pPr>
      <w:r w:rsidRPr="00245086">
        <w:rPr>
          <w:rStyle w:val="FootnoteReference"/>
          <w:color w:val="000000" w:themeColor="text1"/>
          <w:sz w:val="16"/>
          <w:szCs w:val="16"/>
        </w:rPr>
        <w:footnoteRef/>
      </w:r>
      <w:r w:rsidRPr="00245086">
        <w:rPr>
          <w:color w:val="000000" w:themeColor="text1"/>
          <w:sz w:val="16"/>
          <w:szCs w:val="16"/>
        </w:rPr>
        <w:t xml:space="preserve"> The word “and” substituted by a comma by the Finance Act, 2014.</w:t>
      </w:r>
    </w:p>
  </w:footnote>
  <w:footnote w:id="67">
    <w:p w:rsidR="00BF2117" w:rsidRPr="00245086" w:rsidRDefault="00BF2117">
      <w:pPr>
        <w:pStyle w:val="FootnoteText"/>
        <w:rPr>
          <w:color w:val="000000" w:themeColor="text1"/>
          <w:lang w:val="en-US"/>
        </w:rPr>
      </w:pPr>
      <w:r w:rsidRPr="00245086">
        <w:rPr>
          <w:rStyle w:val="FootnoteReference"/>
          <w:color w:val="000000" w:themeColor="text1"/>
        </w:rPr>
        <w:footnoteRef/>
      </w:r>
      <w:r w:rsidRPr="00245086">
        <w:rPr>
          <w:color w:val="000000" w:themeColor="text1"/>
          <w:sz w:val="16"/>
          <w:szCs w:val="16"/>
        </w:rPr>
        <w:t>The word and figure “and 236M” substituted by a comma by the Finance Act, 2015</w:t>
      </w:r>
    </w:p>
  </w:footnote>
  <w:footnote w:id="68">
    <w:p w:rsidR="00BF2117" w:rsidRPr="00245086" w:rsidRDefault="00BF2117">
      <w:pPr>
        <w:pStyle w:val="FootnoteText"/>
        <w:rPr>
          <w:color w:val="000000" w:themeColor="text1"/>
          <w:sz w:val="16"/>
        </w:rPr>
      </w:pPr>
      <w:r w:rsidRPr="00245086">
        <w:rPr>
          <w:rStyle w:val="FootnoteReference"/>
          <w:rFonts w:cs="Arial"/>
          <w:color w:val="000000" w:themeColor="text1"/>
        </w:rPr>
        <w:footnoteRef/>
      </w:r>
      <w:r w:rsidRPr="00245086">
        <w:rPr>
          <w:color w:val="000000" w:themeColor="text1"/>
          <w:sz w:val="16"/>
        </w:rPr>
        <w:t xml:space="preserve"> Inserted by the Finance Act, 2003.</w:t>
      </w:r>
    </w:p>
  </w:footnote>
  <w:footnote w:id="69">
    <w:p w:rsidR="00BF2117" w:rsidRPr="00245086" w:rsidRDefault="00BF2117" w:rsidP="005B1192">
      <w:pPr>
        <w:jc w:val="both"/>
        <w:rPr>
          <w:rFonts w:cs="Arial"/>
          <w:color w:val="000000" w:themeColor="text1"/>
          <w:sz w:val="16"/>
        </w:rPr>
      </w:pPr>
      <w:r w:rsidRPr="00245086">
        <w:rPr>
          <w:rStyle w:val="FootnoteReference"/>
          <w:color w:val="000000" w:themeColor="text1"/>
          <w:sz w:val="16"/>
          <w:szCs w:val="16"/>
        </w:rPr>
        <w:footnoteRef/>
      </w:r>
      <w:r w:rsidRPr="00245086">
        <w:rPr>
          <w:rFonts w:cs="Arial"/>
          <w:color w:val="000000" w:themeColor="text1"/>
          <w:sz w:val="16"/>
        </w:rPr>
        <w:t xml:space="preserve">Omitted by the Finance Act, 2014. The omitted text read as follows: </w:t>
      </w:r>
    </w:p>
    <w:p w:rsidR="00BF2117" w:rsidRPr="00245086" w:rsidRDefault="00BF2117" w:rsidP="00CB6045">
      <w:pPr>
        <w:ind w:firstLine="547"/>
        <w:jc w:val="both"/>
        <w:rPr>
          <w:color w:val="000000" w:themeColor="text1"/>
          <w:lang w:val="en-US"/>
        </w:rPr>
      </w:pPr>
      <w:r w:rsidRPr="00245086">
        <w:rPr>
          <w:rFonts w:cs="Arial"/>
          <w:color w:val="000000" w:themeColor="text1"/>
          <w:sz w:val="16"/>
        </w:rPr>
        <w:t>“but does not include, in case of a shareholder of a company, the amount representing the face value of any bonus share or the amount of any bonus declared, issued or paid by the company to the shareholders with a view to increasing its paid up share capital.”</w:t>
      </w:r>
    </w:p>
  </w:footnote>
  <w:footnote w:id="70">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r>
        <w:rPr>
          <w:sz w:val="16"/>
        </w:rPr>
        <w:t>.</w:t>
      </w:r>
    </w:p>
  </w:footnote>
  <w:footnote w:id="71">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72">
    <w:p w:rsidR="00BF2117" w:rsidRPr="00412620" w:rsidRDefault="00BF2117">
      <w:pPr>
        <w:pStyle w:val="FootnoteText"/>
        <w:rPr>
          <w:sz w:val="16"/>
          <w:szCs w:val="16"/>
        </w:rPr>
      </w:pPr>
      <w:r w:rsidRPr="00412620">
        <w:rPr>
          <w:rStyle w:val="FootnoteReference"/>
        </w:rPr>
        <w:footnoteRef/>
      </w:r>
      <w:r w:rsidRPr="00412620">
        <w:rPr>
          <w:sz w:val="16"/>
          <w:szCs w:val="16"/>
        </w:rPr>
        <w:t>Clause (29C) substituted by the Finance Act, 2010. The substituted clause (29C) read as follows:-</w:t>
      </w:r>
    </w:p>
    <w:p w:rsidR="00BF2117" w:rsidRPr="00412620" w:rsidRDefault="00BF2117" w:rsidP="00E827F9">
      <w:pPr>
        <w:ind w:left="1080" w:hanging="810"/>
        <w:jc w:val="both"/>
        <w:rPr>
          <w:sz w:val="16"/>
          <w:szCs w:val="16"/>
        </w:rPr>
      </w:pPr>
      <w:r w:rsidRPr="00412620">
        <w:rPr>
          <w:sz w:val="16"/>
          <w:szCs w:val="16"/>
        </w:rPr>
        <w:t xml:space="preserve"> “(29C)</w:t>
      </w:r>
      <w:r w:rsidRPr="00412620">
        <w:rPr>
          <w:sz w:val="16"/>
          <w:szCs w:val="16"/>
        </w:rPr>
        <w:tab/>
        <w:t>“Industrial undertaking” means –</w:t>
      </w:r>
    </w:p>
    <w:p w:rsidR="00BF2117" w:rsidRPr="00412620" w:rsidRDefault="00BF2117" w:rsidP="00E827F9">
      <w:pPr>
        <w:ind w:left="1080" w:hanging="810"/>
        <w:jc w:val="both"/>
        <w:rPr>
          <w:rFonts w:cs="Arial"/>
          <w:sz w:val="16"/>
          <w:szCs w:val="16"/>
        </w:rPr>
      </w:pPr>
    </w:p>
    <w:p w:rsidR="00BF2117" w:rsidRPr="00412620" w:rsidRDefault="00BF2117" w:rsidP="005F2FC7">
      <w:pPr>
        <w:ind w:left="360" w:hanging="15"/>
        <w:jc w:val="both"/>
        <w:rPr>
          <w:rFonts w:cs="Arial"/>
          <w:sz w:val="16"/>
          <w:szCs w:val="16"/>
        </w:rPr>
      </w:pPr>
      <w:r w:rsidRPr="00412620">
        <w:rPr>
          <w:rFonts w:cs="Arial"/>
          <w:sz w:val="16"/>
          <w:szCs w:val="16"/>
        </w:rPr>
        <w:t xml:space="preserve">(a) </w:t>
      </w:r>
      <w:r w:rsidRPr="00412620">
        <w:rPr>
          <w:rFonts w:cs="Arial"/>
          <w:sz w:val="16"/>
          <w:szCs w:val="16"/>
        </w:rPr>
        <w:tab/>
        <w:t>an undertaking which is set up in Pakistan and which employs, (i) ten or more persons in Pakistan and involves the use of electrical energy or any other form of energy which is mechanically transmitted and is not generated by human or animal energy; or (ii) twenty or more persons in Pakistan and does not involve the use of electrical energy or any other form of energy which is mechanically transmitted and is not generated by human or animal energy and which is engaged in,-</w:t>
      </w:r>
    </w:p>
    <w:p w:rsidR="00BF2117" w:rsidRPr="00412620" w:rsidRDefault="00BF2117" w:rsidP="00E827F9">
      <w:pPr>
        <w:ind w:left="1080" w:hanging="810"/>
        <w:jc w:val="both"/>
        <w:rPr>
          <w:rFonts w:cs="Arial"/>
          <w:sz w:val="16"/>
          <w:szCs w:val="16"/>
        </w:rPr>
      </w:pPr>
    </w:p>
    <w:p w:rsidR="00BF2117" w:rsidRPr="00412620" w:rsidRDefault="00BF2117" w:rsidP="005F2FC7">
      <w:pPr>
        <w:ind w:left="1080" w:hanging="28"/>
        <w:jc w:val="both"/>
        <w:rPr>
          <w:rFonts w:cs="Arial"/>
          <w:sz w:val="16"/>
          <w:szCs w:val="16"/>
        </w:rPr>
      </w:pPr>
      <w:r w:rsidRPr="00412620">
        <w:rPr>
          <w:rFonts w:cs="Arial"/>
          <w:sz w:val="16"/>
          <w:szCs w:val="16"/>
        </w:rPr>
        <w:t xml:space="preserve"> (i) </w:t>
      </w:r>
      <w:r w:rsidRPr="00412620">
        <w:rPr>
          <w:rFonts w:cs="Arial"/>
          <w:sz w:val="16"/>
          <w:szCs w:val="16"/>
        </w:rPr>
        <w:tab/>
        <w:t>the manufacture of goods or materials or the subjection of goods or materials to any process which substantially changes their original condition;</w:t>
      </w:r>
    </w:p>
    <w:p w:rsidR="00BF2117" w:rsidRPr="00412620" w:rsidRDefault="00BF2117" w:rsidP="00E827F9">
      <w:pPr>
        <w:ind w:left="1080" w:hanging="810"/>
        <w:jc w:val="both"/>
        <w:rPr>
          <w:rFonts w:cs="Arial"/>
          <w:sz w:val="16"/>
          <w:szCs w:val="16"/>
        </w:rPr>
      </w:pPr>
    </w:p>
    <w:p w:rsidR="00BF2117" w:rsidRPr="00412620" w:rsidRDefault="00BF2117" w:rsidP="005F2FC7">
      <w:pPr>
        <w:ind w:left="505" w:firstLine="547"/>
        <w:jc w:val="both"/>
        <w:rPr>
          <w:rFonts w:cs="Arial"/>
          <w:sz w:val="16"/>
          <w:szCs w:val="16"/>
        </w:rPr>
      </w:pPr>
      <w:r w:rsidRPr="00412620">
        <w:rPr>
          <w:rFonts w:cs="Arial"/>
          <w:sz w:val="16"/>
          <w:szCs w:val="16"/>
        </w:rPr>
        <w:t xml:space="preserve">(ii) </w:t>
      </w:r>
      <w:r w:rsidRPr="00412620">
        <w:rPr>
          <w:rFonts w:cs="Arial"/>
          <w:sz w:val="16"/>
          <w:szCs w:val="16"/>
        </w:rPr>
        <w:tab/>
        <w:t xml:space="preserve">ship-building; </w:t>
      </w:r>
    </w:p>
    <w:p w:rsidR="00BF2117" w:rsidRPr="00412620" w:rsidRDefault="00BF2117" w:rsidP="00E827F9">
      <w:pPr>
        <w:ind w:left="1080" w:hanging="810"/>
        <w:jc w:val="both"/>
        <w:rPr>
          <w:rFonts w:cs="Arial"/>
          <w:sz w:val="16"/>
          <w:szCs w:val="16"/>
        </w:rPr>
      </w:pPr>
    </w:p>
    <w:p w:rsidR="00BF2117" w:rsidRPr="00412620" w:rsidRDefault="00BF2117" w:rsidP="00E827F9">
      <w:pPr>
        <w:ind w:left="2188" w:hanging="553"/>
        <w:jc w:val="both"/>
        <w:rPr>
          <w:rFonts w:cs="Arial"/>
          <w:sz w:val="16"/>
          <w:szCs w:val="16"/>
        </w:rPr>
      </w:pPr>
      <w:r w:rsidRPr="00412620">
        <w:rPr>
          <w:rFonts w:cs="Arial"/>
          <w:sz w:val="16"/>
          <w:szCs w:val="16"/>
        </w:rPr>
        <w:t xml:space="preserve">(iii) </w:t>
      </w:r>
      <w:r w:rsidRPr="00412620">
        <w:rPr>
          <w:rFonts w:cs="Arial"/>
          <w:sz w:val="16"/>
          <w:szCs w:val="16"/>
        </w:rPr>
        <w:tab/>
        <w:t>generation, conversion, transmission or distribution of electrical energy, or the supply of hydraulic power; or</w:t>
      </w:r>
    </w:p>
    <w:p w:rsidR="00BF2117" w:rsidRPr="00412620" w:rsidRDefault="00BF2117" w:rsidP="00E827F9">
      <w:pPr>
        <w:jc w:val="both"/>
        <w:rPr>
          <w:rFonts w:cs="Arial"/>
          <w:sz w:val="16"/>
          <w:szCs w:val="16"/>
        </w:rPr>
      </w:pPr>
    </w:p>
    <w:p w:rsidR="00BF2117" w:rsidRPr="00412620" w:rsidRDefault="00BF2117" w:rsidP="00E827F9">
      <w:pPr>
        <w:ind w:left="2188" w:hanging="553"/>
        <w:jc w:val="both"/>
        <w:rPr>
          <w:rFonts w:cs="Arial"/>
          <w:sz w:val="16"/>
          <w:szCs w:val="16"/>
        </w:rPr>
      </w:pPr>
      <w:r w:rsidRPr="00412620">
        <w:rPr>
          <w:rFonts w:cs="Arial"/>
          <w:sz w:val="16"/>
          <w:szCs w:val="16"/>
        </w:rPr>
        <w:t xml:space="preserve">(iv) </w:t>
      </w:r>
      <w:r w:rsidRPr="00412620">
        <w:rPr>
          <w:rFonts w:cs="Arial"/>
          <w:sz w:val="16"/>
          <w:szCs w:val="16"/>
        </w:rPr>
        <w:tab/>
        <w:t>the working of any mine, oil-well or any other source of mineral deposits; and</w:t>
      </w:r>
    </w:p>
    <w:p w:rsidR="00BF2117" w:rsidRPr="00412620" w:rsidRDefault="00BF2117" w:rsidP="00E827F9">
      <w:pPr>
        <w:ind w:left="1080" w:hanging="810"/>
        <w:jc w:val="both"/>
        <w:rPr>
          <w:rFonts w:cs="Arial"/>
          <w:sz w:val="16"/>
          <w:szCs w:val="16"/>
        </w:rPr>
      </w:pPr>
    </w:p>
    <w:p w:rsidR="00BF2117" w:rsidRPr="00412620" w:rsidRDefault="00BF2117" w:rsidP="00CC163B">
      <w:pPr>
        <w:pStyle w:val="FootnoteText"/>
        <w:ind w:left="1635" w:hanging="915"/>
        <w:rPr>
          <w:sz w:val="16"/>
          <w:szCs w:val="16"/>
          <w:lang w:val="en-US"/>
        </w:rPr>
      </w:pPr>
      <w:r w:rsidRPr="00412620">
        <w:rPr>
          <w:rFonts w:cs="Arial"/>
          <w:sz w:val="16"/>
          <w:szCs w:val="16"/>
        </w:rPr>
        <w:t xml:space="preserve">(b) </w:t>
      </w:r>
      <w:r w:rsidRPr="00412620">
        <w:rPr>
          <w:rFonts w:cs="Arial"/>
          <w:sz w:val="16"/>
          <w:szCs w:val="16"/>
        </w:rPr>
        <w:tab/>
      </w:r>
      <w:r w:rsidRPr="00412620">
        <w:rPr>
          <w:rFonts w:cs="Arial"/>
          <w:sz w:val="16"/>
          <w:szCs w:val="16"/>
        </w:rPr>
        <w:tab/>
        <w:t>any other industrial undertaking which the Board may by notification in the official Gazette, specify;”.</w:t>
      </w:r>
    </w:p>
  </w:footnote>
  <w:footnote w:id="73">
    <w:p w:rsidR="00BF2117" w:rsidRPr="00412620" w:rsidRDefault="00BF2117">
      <w:pPr>
        <w:pStyle w:val="FootnoteText"/>
        <w:rPr>
          <w:sz w:val="16"/>
          <w:szCs w:val="16"/>
        </w:rPr>
      </w:pPr>
      <w:r w:rsidRPr="00412620">
        <w:rPr>
          <w:rStyle w:val="FootnoteReference"/>
          <w:rFonts w:cs="Arial"/>
        </w:rPr>
        <w:footnoteRef/>
      </w:r>
      <w:r w:rsidRPr="00412620">
        <w:rPr>
          <w:sz w:val="16"/>
        </w:rPr>
        <w:t xml:space="preserve"> Clause (30A) substituted  </w:t>
      </w:r>
      <w:r w:rsidRPr="00412620">
        <w:rPr>
          <w:sz w:val="16"/>
          <w:szCs w:val="16"/>
        </w:rPr>
        <w:t>by the Finance Act, 2008. The substituted clause (30A) read as follows:</w:t>
      </w:r>
    </w:p>
    <w:p w:rsidR="00BF2117" w:rsidRPr="00412620" w:rsidRDefault="00BF2117" w:rsidP="00970CAF">
      <w:pPr>
        <w:pStyle w:val="FootnoteText"/>
        <w:ind w:left="270" w:hanging="180"/>
        <w:rPr>
          <w:sz w:val="16"/>
          <w:szCs w:val="16"/>
        </w:rPr>
      </w:pPr>
      <w:r w:rsidRPr="00412620">
        <w:rPr>
          <w:sz w:val="16"/>
          <w:szCs w:val="16"/>
        </w:rPr>
        <w:t>“ (30A) “investment company” means a company registered under the Investment Companies and Investment Advisors Rules, 1971;”</w:t>
      </w:r>
    </w:p>
  </w:footnote>
  <w:footnote w:id="74">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75">
    <w:p w:rsidR="00BF2117" w:rsidRPr="00412620" w:rsidRDefault="00BF2117">
      <w:pPr>
        <w:pStyle w:val="FootnoteText"/>
        <w:rPr>
          <w:sz w:val="16"/>
          <w:szCs w:val="16"/>
        </w:rPr>
      </w:pPr>
      <w:r w:rsidRPr="00412620">
        <w:rPr>
          <w:rStyle w:val="FootnoteReference"/>
        </w:rPr>
        <w:footnoteRef/>
      </w:r>
      <w:r w:rsidRPr="00412620">
        <w:rPr>
          <w:sz w:val="16"/>
        </w:rPr>
        <w:t xml:space="preserve">Clause (30B) substituted </w:t>
      </w:r>
      <w:r w:rsidRPr="00412620">
        <w:rPr>
          <w:sz w:val="16"/>
          <w:szCs w:val="16"/>
        </w:rPr>
        <w:t>by the Finance Act, 2008. The substituted clause (30B) read as follows:</w:t>
      </w:r>
    </w:p>
    <w:p w:rsidR="00BF2117" w:rsidRPr="00412620" w:rsidRDefault="00BF2117" w:rsidP="00970CAF">
      <w:pPr>
        <w:pStyle w:val="FootnoteText"/>
        <w:ind w:left="270" w:hanging="180"/>
        <w:rPr>
          <w:sz w:val="16"/>
          <w:szCs w:val="16"/>
          <w:lang w:val="en-US"/>
        </w:rPr>
      </w:pPr>
      <w:r w:rsidRPr="00412620">
        <w:rPr>
          <w:sz w:val="16"/>
          <w:szCs w:val="16"/>
        </w:rPr>
        <w:t>“ (30B) “leasing company” means a company licensed under the Leasing Companies (Establishment and Regulation) Rules, 2000;</w:t>
      </w:r>
    </w:p>
  </w:footnote>
  <w:footnote w:id="76">
    <w:p w:rsidR="00BF2117" w:rsidRPr="00412620" w:rsidRDefault="00BF2117">
      <w:pPr>
        <w:pStyle w:val="FootnoteText"/>
        <w:rPr>
          <w:sz w:val="16"/>
          <w:szCs w:val="16"/>
          <w:lang w:val="en-US"/>
        </w:rPr>
      </w:pPr>
      <w:r w:rsidRPr="00412620">
        <w:rPr>
          <w:rStyle w:val="FootnoteReference"/>
        </w:rPr>
        <w:footnoteRef/>
      </w:r>
      <w:r w:rsidRPr="00412620">
        <w:rPr>
          <w:sz w:val="16"/>
          <w:szCs w:val="16"/>
          <w:lang w:val="en-US"/>
        </w:rPr>
        <w:t>Inserted by the Finance Act, 2008.</w:t>
      </w:r>
    </w:p>
  </w:footnote>
  <w:footnote w:id="77">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p>
  </w:footnote>
  <w:footnote w:id="78">
    <w:p w:rsidR="00BF2117" w:rsidRPr="00412620" w:rsidRDefault="00BF2117">
      <w:pPr>
        <w:ind w:left="180" w:hanging="180"/>
        <w:jc w:val="both"/>
        <w:rPr>
          <w:sz w:val="16"/>
        </w:rPr>
      </w:pPr>
      <w:r w:rsidRPr="00412620">
        <w:rPr>
          <w:rStyle w:val="FootnoteReference"/>
          <w:rFonts w:cs="Arial"/>
          <w:sz w:val="22"/>
        </w:rPr>
        <w:footnoteRef/>
      </w:r>
      <w:r w:rsidRPr="00412620">
        <w:rPr>
          <w:sz w:val="16"/>
        </w:rPr>
        <w:t xml:space="preserve"> The  words “set up by the Investment Corporation of Pakistan or by an investment company” substituted by the Finance Act, 2003.</w:t>
      </w:r>
    </w:p>
  </w:footnote>
  <w:footnote w:id="79">
    <w:p w:rsidR="00BF2117" w:rsidRPr="00412620" w:rsidRDefault="00BF2117" w:rsidP="002835D3">
      <w:pPr>
        <w:pStyle w:val="FootnoteText"/>
        <w:rPr>
          <w:sz w:val="16"/>
          <w:szCs w:val="16"/>
          <w:lang w:val="en-US"/>
        </w:rPr>
      </w:pPr>
      <w:r w:rsidRPr="00412620">
        <w:rPr>
          <w:rStyle w:val="FootnoteReference"/>
        </w:rPr>
        <w:footnoteRef/>
      </w:r>
      <w:r w:rsidRPr="00412620">
        <w:rPr>
          <w:sz w:val="16"/>
          <w:szCs w:val="16"/>
        </w:rPr>
        <w:t>Inserted by the Finance Act, 2012.</w:t>
      </w:r>
    </w:p>
  </w:footnote>
  <w:footnote w:id="80">
    <w:p w:rsidR="00BF2117" w:rsidRPr="00412620" w:rsidRDefault="00BF2117">
      <w:pPr>
        <w:pStyle w:val="FootnoteText"/>
        <w:rPr>
          <w:sz w:val="16"/>
          <w:szCs w:val="16"/>
          <w:lang w:val="en-US"/>
        </w:rPr>
      </w:pPr>
      <w:r w:rsidRPr="00412620">
        <w:rPr>
          <w:rStyle w:val="FootnoteReference"/>
        </w:rPr>
        <w:footnoteRef/>
      </w:r>
      <w:r w:rsidRPr="00412620">
        <w:rPr>
          <w:sz w:val="16"/>
          <w:szCs w:val="16"/>
          <w:lang w:val="en-US"/>
        </w:rPr>
        <w:t>Clause (35B) substituted  by the Finance Act, 2008. The substituted clause (35B) read as follows:</w:t>
      </w:r>
    </w:p>
    <w:p w:rsidR="00BF2117" w:rsidRPr="00412620" w:rsidRDefault="00BF2117" w:rsidP="002909E0">
      <w:pPr>
        <w:pStyle w:val="FootnoteText"/>
        <w:ind w:left="180" w:hanging="90"/>
        <w:jc w:val="both"/>
        <w:rPr>
          <w:sz w:val="16"/>
          <w:szCs w:val="16"/>
          <w:lang w:val="en-US"/>
        </w:rPr>
      </w:pPr>
      <w:r w:rsidRPr="00412620">
        <w:rPr>
          <w:sz w:val="16"/>
          <w:szCs w:val="16"/>
          <w:lang w:val="en-US"/>
        </w:rPr>
        <w:t>“</w:t>
      </w:r>
      <w:r w:rsidRPr="00412620">
        <w:rPr>
          <w:rFonts w:cs="Arial"/>
          <w:sz w:val="16"/>
        </w:rPr>
        <w:t xml:space="preserve"> (35B) “non-banking finance company” means an institution notified under the Non-Banking Finance Companies (Establishment and Regulation) Rules, 2003.”</w:t>
      </w:r>
    </w:p>
  </w:footnote>
  <w:footnote w:id="81">
    <w:p w:rsidR="00BF2117" w:rsidRPr="00245086" w:rsidRDefault="00BF2117">
      <w:pPr>
        <w:pStyle w:val="FootnoteText"/>
        <w:rPr>
          <w:color w:val="000000" w:themeColor="text1"/>
          <w:lang w:val="en-US"/>
        </w:rPr>
      </w:pPr>
      <w:r w:rsidRPr="00245086">
        <w:rPr>
          <w:rStyle w:val="FootnoteReference"/>
          <w:color w:val="000000" w:themeColor="text1"/>
        </w:rPr>
        <w:footnoteRef/>
      </w:r>
      <w:r w:rsidRPr="00245086">
        <w:rPr>
          <w:color w:val="000000" w:themeColor="text1"/>
          <w:sz w:val="16"/>
          <w:szCs w:val="16"/>
          <w:lang w:val="en-US"/>
        </w:rPr>
        <w:t>Inserted by the Finance Act,  2014</w:t>
      </w:r>
      <w:r w:rsidRPr="00245086">
        <w:rPr>
          <w:color w:val="000000" w:themeColor="text1"/>
          <w:lang w:val="en-US"/>
        </w:rPr>
        <w:t>.</w:t>
      </w:r>
    </w:p>
  </w:footnote>
  <w:footnote w:id="82">
    <w:p w:rsidR="00BF2117" w:rsidRPr="00412620" w:rsidRDefault="00BF2117">
      <w:pPr>
        <w:keepNext/>
        <w:jc w:val="both"/>
        <w:rPr>
          <w:sz w:val="16"/>
        </w:rPr>
      </w:pPr>
      <w:r w:rsidRPr="00412620">
        <w:rPr>
          <w:rStyle w:val="FootnoteReference"/>
          <w:rFonts w:cs="Arial"/>
          <w:sz w:val="22"/>
        </w:rPr>
        <w:footnoteRef/>
      </w:r>
      <w:r w:rsidRPr="00412620">
        <w:rPr>
          <w:sz w:val="16"/>
        </w:rPr>
        <w:t xml:space="preserve"> Clause (36) substituted by the Finance Act, 2002. The substituted clause (36) read as follows:</w:t>
      </w:r>
    </w:p>
    <w:p w:rsidR="00BF2117" w:rsidRPr="00412620" w:rsidRDefault="00BF2117">
      <w:pPr>
        <w:keepNext/>
        <w:ind w:left="1080" w:hanging="540"/>
        <w:jc w:val="both"/>
        <w:rPr>
          <w:rFonts w:cs="Arial"/>
          <w:sz w:val="16"/>
          <w:szCs w:val="16"/>
        </w:rPr>
      </w:pPr>
      <w:r w:rsidRPr="00412620">
        <w:rPr>
          <w:rFonts w:cs="Arial"/>
          <w:sz w:val="16"/>
          <w:szCs w:val="16"/>
        </w:rPr>
        <w:t>“(36)</w:t>
      </w:r>
      <w:r w:rsidRPr="00412620">
        <w:rPr>
          <w:rFonts w:cs="Arial"/>
          <w:sz w:val="16"/>
          <w:szCs w:val="16"/>
        </w:rPr>
        <w:tab/>
        <w:t>“non-profit organization” means any person –</w:t>
      </w:r>
    </w:p>
    <w:p w:rsidR="00BF2117" w:rsidRPr="00412620" w:rsidRDefault="00BF2117">
      <w:pPr>
        <w:keepNext/>
        <w:ind w:left="1635" w:hanging="555"/>
        <w:jc w:val="both"/>
        <w:rPr>
          <w:rFonts w:cs="Arial"/>
          <w:sz w:val="16"/>
          <w:szCs w:val="16"/>
        </w:rPr>
      </w:pPr>
      <w:r w:rsidRPr="00412620">
        <w:rPr>
          <w:rFonts w:cs="Arial"/>
          <w:sz w:val="16"/>
          <w:szCs w:val="16"/>
        </w:rPr>
        <w:t>(a)</w:t>
      </w:r>
      <w:r w:rsidRPr="00412620">
        <w:rPr>
          <w:rFonts w:cs="Arial"/>
          <w:sz w:val="16"/>
          <w:szCs w:val="16"/>
        </w:rPr>
        <w:tab/>
        <w:t>established for religious, charitable or educational purposes, or for the promotion of amateur sport;</w:t>
      </w:r>
    </w:p>
    <w:p w:rsidR="00BF2117" w:rsidRPr="00412620" w:rsidRDefault="00BF2117">
      <w:pPr>
        <w:keepNext/>
        <w:ind w:left="1635" w:hanging="555"/>
        <w:jc w:val="both"/>
        <w:rPr>
          <w:rFonts w:cs="Arial"/>
          <w:sz w:val="16"/>
          <w:szCs w:val="16"/>
        </w:rPr>
      </w:pPr>
      <w:r w:rsidRPr="00412620">
        <w:rPr>
          <w:rFonts w:cs="Arial"/>
          <w:sz w:val="16"/>
          <w:szCs w:val="16"/>
        </w:rPr>
        <w:t>(b)</w:t>
      </w:r>
      <w:r w:rsidRPr="00412620">
        <w:rPr>
          <w:rFonts w:cs="Arial"/>
          <w:sz w:val="16"/>
          <w:szCs w:val="16"/>
        </w:rPr>
        <w:tab/>
        <w:t>which is registered under any law as a non-profit organization and in respect of which the Commissioner has issued a ruling certifying that the person is a non-profit organization for the purposes of this Ordinance; and</w:t>
      </w:r>
    </w:p>
    <w:p w:rsidR="00BF2117" w:rsidRPr="00412620" w:rsidRDefault="00BF2117">
      <w:pPr>
        <w:ind w:left="1635" w:hanging="555"/>
        <w:jc w:val="both"/>
        <w:rPr>
          <w:rFonts w:cs="Arial"/>
          <w:sz w:val="14"/>
        </w:rPr>
      </w:pPr>
      <w:r w:rsidRPr="00412620">
        <w:rPr>
          <w:rFonts w:cs="Arial"/>
          <w:sz w:val="16"/>
          <w:szCs w:val="16"/>
        </w:rPr>
        <w:t>(c)</w:t>
      </w:r>
      <w:r w:rsidRPr="00412620">
        <w:rPr>
          <w:rFonts w:cs="Arial"/>
          <w:sz w:val="16"/>
          <w:szCs w:val="16"/>
        </w:rPr>
        <w:tab/>
        <w:t>none of the income or assets of the person confers, or may confer a private benefit on any other person”;.</w:t>
      </w:r>
    </w:p>
  </w:footnote>
  <w:footnote w:id="83">
    <w:p w:rsidR="00BF2117" w:rsidRPr="00412620" w:rsidRDefault="00BF2117" w:rsidP="00971A52">
      <w:pPr>
        <w:pStyle w:val="FootnoteText"/>
        <w:ind w:left="180" w:hanging="180"/>
        <w:jc w:val="both"/>
        <w:rPr>
          <w:sz w:val="16"/>
          <w:szCs w:val="16"/>
        </w:rPr>
      </w:pPr>
      <w:r w:rsidRPr="00412620">
        <w:rPr>
          <w:rStyle w:val="FootnoteReference"/>
        </w:rPr>
        <w:footnoteRef/>
      </w:r>
      <w:r w:rsidRPr="00412620">
        <w:rPr>
          <w:sz w:val="16"/>
          <w:szCs w:val="16"/>
        </w:rPr>
        <w:t>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The substituted clause (38A) read as follows:</w:t>
      </w:r>
    </w:p>
    <w:p w:rsidR="00BF2117" w:rsidRPr="00412620" w:rsidRDefault="00BF2117" w:rsidP="00971A52">
      <w:pPr>
        <w:pStyle w:val="FootnoteText"/>
        <w:ind w:left="1094" w:hanging="554"/>
        <w:jc w:val="both"/>
        <w:rPr>
          <w:sz w:val="16"/>
          <w:szCs w:val="16"/>
          <w:lang w:val="en-US"/>
        </w:rPr>
      </w:pPr>
      <w:r w:rsidRPr="00412620">
        <w:rPr>
          <w:sz w:val="16"/>
          <w:szCs w:val="16"/>
          <w:lang w:val="en-US"/>
        </w:rPr>
        <w:t xml:space="preserve">“(38A) </w:t>
      </w:r>
      <w:r w:rsidRPr="00412620">
        <w:rPr>
          <w:sz w:val="16"/>
          <w:szCs w:val="16"/>
          <w:lang w:val="en-US"/>
        </w:rPr>
        <w:tab/>
      </w:r>
      <w:r w:rsidRPr="00412620">
        <w:rPr>
          <w:rFonts w:cs="Arial"/>
          <w:sz w:val="16"/>
          <w:szCs w:val="16"/>
        </w:rPr>
        <w:t>“Officer of Inland Revenue” means any Additional  Commissioner Inland Revenue,  Deputy Commissioner Inland Revenue, Assistant Commissioner Inland Revenue, Inland Revenue Officer, Special Officer Inland Revenue or any other officer however designated or appointed by the Board for the purposes of this Ordinance.”</w:t>
      </w:r>
    </w:p>
  </w:footnote>
  <w:footnote w:id="84">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85">
    <w:p w:rsidR="00BF2117" w:rsidRPr="00412620" w:rsidRDefault="00BF2117">
      <w:pPr>
        <w:pStyle w:val="FootnoteText"/>
        <w:rPr>
          <w:sz w:val="16"/>
          <w:szCs w:val="16"/>
          <w:lang w:val="en-US"/>
        </w:rPr>
      </w:pPr>
      <w:r w:rsidRPr="00412620">
        <w:rPr>
          <w:rStyle w:val="FootnoteReference"/>
          <w:szCs w:val="16"/>
        </w:rPr>
        <w:footnoteRef/>
      </w:r>
      <w:r w:rsidRPr="00412620">
        <w:rPr>
          <w:sz w:val="16"/>
          <w:szCs w:val="16"/>
        </w:rPr>
        <w:t xml:space="preserve"> Inserted by the Finance Act, 2006.</w:t>
      </w:r>
    </w:p>
  </w:footnote>
  <w:footnote w:id="86">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87">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88">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 “connect” substituted by the Finance Act, 2010.</w:t>
      </w:r>
    </w:p>
  </w:footnote>
  <w:footnote w:id="89">
    <w:p w:rsidR="00BF2117" w:rsidRPr="00412620" w:rsidRDefault="00BF2117" w:rsidP="002914DC">
      <w:pPr>
        <w:pStyle w:val="FootnoteText"/>
        <w:rPr>
          <w:sz w:val="16"/>
          <w:szCs w:val="16"/>
          <w:lang w:val="en-US"/>
        </w:rPr>
      </w:pPr>
      <w:r w:rsidRPr="00412620">
        <w:rPr>
          <w:rStyle w:val="FootnoteReference"/>
          <w:szCs w:val="16"/>
        </w:rPr>
        <w:footnoteRef/>
      </w:r>
      <w:r w:rsidRPr="00412620">
        <w:rPr>
          <w:sz w:val="16"/>
          <w:szCs w:val="16"/>
        </w:rPr>
        <w:t xml:space="preserve"> Inserted by the Finance Act, 2006.</w:t>
      </w:r>
    </w:p>
  </w:footnote>
  <w:footnote w:id="90">
    <w:p w:rsidR="00BF2117" w:rsidRPr="00412620" w:rsidRDefault="00BF2117" w:rsidP="007C64E6">
      <w:pPr>
        <w:pStyle w:val="FootnoteText"/>
        <w:rPr>
          <w:sz w:val="16"/>
          <w:szCs w:val="16"/>
          <w:lang w:val="en-US"/>
        </w:rPr>
      </w:pPr>
      <w:r w:rsidRPr="00412620">
        <w:rPr>
          <w:rStyle w:val="FootnoteReference"/>
        </w:rPr>
        <w:footnoteRef/>
      </w:r>
      <w:r w:rsidRPr="00412620">
        <w:rPr>
          <w:sz w:val="16"/>
          <w:szCs w:val="16"/>
        </w:rPr>
        <w:t>The word “connect” substituted by the Finance Act, 2010.</w:t>
      </w:r>
    </w:p>
  </w:footnote>
  <w:footnote w:id="91">
    <w:p w:rsidR="00BF2117" w:rsidRPr="00412620" w:rsidRDefault="00BF2117" w:rsidP="00CC6398">
      <w:pPr>
        <w:pStyle w:val="FootnoteText"/>
        <w:keepNext/>
        <w:ind w:left="180" w:hanging="180"/>
        <w:jc w:val="both"/>
        <w:rPr>
          <w:sz w:val="16"/>
        </w:rPr>
      </w:pPr>
      <w:r w:rsidRPr="00412620">
        <w:rPr>
          <w:rStyle w:val="FootnoteReference"/>
          <w:rFonts w:cs="Arial"/>
        </w:rPr>
        <w:footnoteRef/>
      </w:r>
      <w:r w:rsidRPr="00412620">
        <w:rPr>
          <w:sz w:val="16"/>
        </w:rPr>
        <w:t xml:space="preserve"> The words “, but only where activities of that nature continue for the same or a connected project within Pakistan for a period or periods aggregating more than ninety days within any twelve-month period” omitted by the Finance Act, 2003.</w:t>
      </w:r>
    </w:p>
  </w:footnote>
  <w:footnote w:id="92">
    <w:p w:rsidR="00BF2117" w:rsidRPr="00412620" w:rsidRDefault="00BF2117">
      <w:pPr>
        <w:pStyle w:val="FootnoteText"/>
        <w:rPr>
          <w:sz w:val="16"/>
        </w:rPr>
      </w:pPr>
      <w:r w:rsidRPr="00412620">
        <w:rPr>
          <w:rStyle w:val="FootnoteReference"/>
          <w:rFonts w:cs="Arial"/>
        </w:rPr>
        <w:footnoteRef/>
      </w:r>
      <w:r w:rsidRPr="00412620">
        <w:rPr>
          <w:sz w:val="16"/>
        </w:rPr>
        <w:t xml:space="preserve"> Comma  substituted by the Finance Act, 2002</w:t>
      </w:r>
    </w:p>
  </w:footnote>
  <w:footnote w:id="93">
    <w:p w:rsidR="00BF2117" w:rsidRPr="00832D2B" w:rsidRDefault="00BF2117">
      <w:pPr>
        <w:pStyle w:val="FootnoteText"/>
        <w:rPr>
          <w:lang w:val="en-US"/>
        </w:rPr>
      </w:pPr>
      <w:r>
        <w:rPr>
          <w:rStyle w:val="FootnoteReference"/>
        </w:rPr>
        <w:footnoteRef/>
      </w:r>
      <w:r w:rsidRPr="00412620">
        <w:rPr>
          <w:sz w:val="16"/>
        </w:rPr>
        <w:t>Inserted by the Finance Act, 20</w:t>
      </w:r>
      <w:r>
        <w:rPr>
          <w:sz w:val="16"/>
        </w:rPr>
        <w:t>15.</w:t>
      </w:r>
    </w:p>
  </w:footnote>
  <w:footnote w:id="94">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95">
    <w:p w:rsidR="00BF2117" w:rsidRPr="00412620" w:rsidRDefault="00BF2117">
      <w:pPr>
        <w:pStyle w:val="FootnoteText"/>
        <w:rPr>
          <w:sz w:val="16"/>
          <w:lang w:val="en-US"/>
        </w:rPr>
      </w:pPr>
      <w:r w:rsidRPr="00412620">
        <w:rPr>
          <w:rStyle w:val="FootnoteReference"/>
        </w:rPr>
        <w:footnoteRef/>
      </w:r>
      <w:r w:rsidRPr="00412620">
        <w:rPr>
          <w:sz w:val="16"/>
          <w:lang w:val="en-US"/>
        </w:rPr>
        <w:t>Clause (45A) omitted by the Finance Act, 2008. The omitted clause (45A) read as follows:</w:t>
      </w:r>
    </w:p>
    <w:p w:rsidR="00BF2117" w:rsidRPr="00412620" w:rsidRDefault="00BF2117" w:rsidP="002F099E">
      <w:pPr>
        <w:pStyle w:val="FootnoteText"/>
        <w:ind w:left="270" w:hanging="90"/>
        <w:rPr>
          <w:sz w:val="16"/>
          <w:lang w:val="en-US"/>
        </w:rPr>
      </w:pPr>
      <w:r w:rsidRPr="00412620">
        <w:rPr>
          <w:sz w:val="16"/>
          <w:lang w:val="en-US"/>
        </w:rPr>
        <w:t>“</w:t>
      </w:r>
      <w:r w:rsidRPr="00412620">
        <w:rPr>
          <w:rFonts w:cs="Arial"/>
          <w:sz w:val="16"/>
        </w:rPr>
        <w:t xml:space="preserve"> (45A)</w:t>
      </w:r>
      <w:r w:rsidRPr="00412620">
        <w:rPr>
          <w:rFonts w:cs="Arial"/>
          <w:sz w:val="16"/>
        </w:rPr>
        <w:tab/>
        <w:t>“Private Equity and Venture Capital Fund” means a fund registered with the Securities and Exchange Commission of Pakistan under the Private Equity and Venture Capital Fund Rules, 2007;”</w:t>
      </w:r>
    </w:p>
  </w:footnote>
  <w:footnote w:id="96">
    <w:p w:rsidR="00BF2117" w:rsidRPr="00412620" w:rsidRDefault="00BF2117" w:rsidP="00E551AA">
      <w:pPr>
        <w:pStyle w:val="FootnoteText"/>
        <w:rPr>
          <w:sz w:val="16"/>
          <w:lang w:val="en-US"/>
        </w:rPr>
      </w:pPr>
      <w:r w:rsidRPr="00412620">
        <w:rPr>
          <w:rStyle w:val="FootnoteReference"/>
        </w:rPr>
        <w:footnoteRef/>
      </w:r>
      <w:r w:rsidRPr="00412620">
        <w:rPr>
          <w:sz w:val="16"/>
          <w:lang w:val="en-US"/>
        </w:rPr>
        <w:t>Clause (45B) omitted by the Finance Act, 2008. The omitted clause (45B) read as follows:</w:t>
      </w:r>
    </w:p>
    <w:p w:rsidR="00BF2117" w:rsidRPr="00412620" w:rsidRDefault="00BF2117" w:rsidP="002F099E">
      <w:pPr>
        <w:pStyle w:val="FootnoteText"/>
        <w:ind w:left="360" w:hanging="90"/>
        <w:jc w:val="both"/>
        <w:rPr>
          <w:lang w:val="en-US"/>
        </w:rPr>
      </w:pPr>
      <w:r w:rsidRPr="00412620">
        <w:rPr>
          <w:sz w:val="16"/>
          <w:lang w:val="en-US"/>
        </w:rPr>
        <w:t>“</w:t>
      </w:r>
      <w:r w:rsidRPr="00412620">
        <w:rPr>
          <w:rFonts w:cs="Arial"/>
          <w:sz w:val="16"/>
        </w:rPr>
        <w:t>(45B) “Private Equity and Venture Capital Fund Management Company” means a company licensed by the Securities and Exchange Commission of Pakistan under the Private Equity and Venture Capital Fund Rules, 2007;”</w:t>
      </w:r>
    </w:p>
  </w:footnote>
  <w:footnote w:id="97">
    <w:p w:rsidR="00BF2117" w:rsidRPr="00412620" w:rsidRDefault="00BF2117">
      <w:pPr>
        <w:pStyle w:val="FootnoteText"/>
        <w:rPr>
          <w:sz w:val="16"/>
        </w:rPr>
      </w:pPr>
      <w:r w:rsidRPr="00412620">
        <w:rPr>
          <w:rStyle w:val="FootnoteReference"/>
          <w:rFonts w:cs="Arial"/>
        </w:rPr>
        <w:footnoteRef/>
      </w:r>
      <w:r w:rsidRPr="00412620">
        <w:rPr>
          <w:sz w:val="16"/>
        </w:rPr>
        <w:t xml:space="preserve"> The word “means” substituted by the Finance Act, 2003.</w:t>
      </w:r>
    </w:p>
  </w:footnote>
  <w:footnote w:id="98">
    <w:p w:rsidR="00BF2117" w:rsidRPr="00412620" w:rsidRDefault="00BF2117">
      <w:pPr>
        <w:pStyle w:val="FootnoteText"/>
        <w:rPr>
          <w:sz w:val="16"/>
        </w:rPr>
      </w:pPr>
      <w:r w:rsidRPr="00412620">
        <w:rPr>
          <w:rStyle w:val="FootnoteReference"/>
          <w:rFonts w:cs="Arial"/>
        </w:rPr>
        <w:footnoteRef/>
      </w:r>
      <w:r w:rsidRPr="00412620">
        <w:rPr>
          <w:sz w:val="16"/>
        </w:rPr>
        <w:t xml:space="preserve"> Comma inserted by the Finance Act, 2002.</w:t>
      </w:r>
    </w:p>
  </w:footnote>
  <w:footnote w:id="99">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100">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101">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102">
    <w:p w:rsidR="00BF2117" w:rsidRPr="00412620" w:rsidRDefault="00BF2117">
      <w:pPr>
        <w:pStyle w:val="FootnoteText"/>
        <w:rPr>
          <w:sz w:val="16"/>
        </w:rPr>
      </w:pPr>
      <w:r w:rsidRPr="00412620">
        <w:rPr>
          <w:rStyle w:val="FootnoteReference"/>
          <w:rFonts w:cs="Arial"/>
        </w:rPr>
        <w:footnoteRef/>
      </w:r>
      <w:r w:rsidRPr="00412620">
        <w:rPr>
          <w:sz w:val="16"/>
        </w:rPr>
        <w:t xml:space="preserve"> The full stop substituted by the Finance Act, 2005.</w:t>
      </w:r>
    </w:p>
  </w:footnote>
  <w:footnote w:id="103">
    <w:p w:rsidR="00BF2117" w:rsidRPr="00412620" w:rsidRDefault="00BF2117">
      <w:pPr>
        <w:pStyle w:val="FootnoteText"/>
        <w:ind w:left="360" w:hanging="360"/>
        <w:rPr>
          <w:sz w:val="16"/>
        </w:rPr>
      </w:pPr>
      <w:r w:rsidRPr="00412620">
        <w:rPr>
          <w:rStyle w:val="FootnoteReference"/>
          <w:rFonts w:cs="Arial"/>
        </w:rPr>
        <w:footnoteRef/>
      </w:r>
      <w:r w:rsidRPr="00412620">
        <w:rPr>
          <w:sz w:val="16"/>
        </w:rPr>
        <w:t xml:space="preserve"> The words “and was on the Central Depository System,” omitted by the Finance Act, 2002.</w:t>
      </w:r>
    </w:p>
  </w:footnote>
  <w:footnote w:id="104">
    <w:p w:rsidR="00BF2117" w:rsidRPr="00412620" w:rsidRDefault="00BF2117">
      <w:pPr>
        <w:pStyle w:val="FootnoteText"/>
        <w:keepNext/>
        <w:rPr>
          <w:sz w:val="16"/>
        </w:rPr>
      </w:pPr>
      <w:r w:rsidRPr="00412620">
        <w:rPr>
          <w:rStyle w:val="FootnoteReference"/>
          <w:rFonts w:cs="Arial"/>
        </w:rPr>
        <w:footnoteRef/>
      </w:r>
      <w:r w:rsidRPr="00412620">
        <w:rPr>
          <w:sz w:val="16"/>
        </w:rPr>
        <w:t xml:space="preserve"> Clause (c) substituted by the Finance Act, 2003. The substituted clause (c) read as follows: </w:t>
      </w:r>
    </w:p>
    <w:p w:rsidR="00BF2117" w:rsidRPr="00412620" w:rsidRDefault="00BF2117">
      <w:pPr>
        <w:pStyle w:val="FootnoteText"/>
        <w:ind w:left="270" w:hanging="270"/>
        <w:rPr>
          <w:rFonts w:cs="Arial"/>
          <w:sz w:val="16"/>
        </w:rPr>
      </w:pPr>
      <w:r w:rsidRPr="00412620">
        <w:rPr>
          <w:rFonts w:cs="Arial"/>
          <w:sz w:val="16"/>
        </w:rPr>
        <w:t xml:space="preserve">   “(c) a unit trust whose units are widely available to the public and any other public trust;”</w:t>
      </w:r>
    </w:p>
  </w:footnote>
  <w:footnote w:id="105">
    <w:p w:rsidR="00BF2117" w:rsidRDefault="00BF2117">
      <w:pPr>
        <w:pStyle w:val="FootnoteText"/>
      </w:pPr>
      <w:r>
        <w:rPr>
          <w:rStyle w:val="FootnoteReference"/>
        </w:rPr>
        <w:footnoteRef/>
      </w:r>
      <w:r w:rsidRPr="00412620">
        <w:rPr>
          <w:sz w:val="16"/>
        </w:rPr>
        <w:t>Clause (</w:t>
      </w:r>
      <w:r>
        <w:rPr>
          <w:sz w:val="16"/>
        </w:rPr>
        <w:t>47A</w:t>
      </w:r>
      <w:r w:rsidRPr="00412620">
        <w:rPr>
          <w:sz w:val="16"/>
        </w:rPr>
        <w:t>) substituted by the Finance Act, 20</w:t>
      </w:r>
      <w:r>
        <w:rPr>
          <w:sz w:val="16"/>
        </w:rPr>
        <w:t>15</w:t>
      </w:r>
      <w:r w:rsidRPr="00412620">
        <w:rPr>
          <w:sz w:val="16"/>
        </w:rPr>
        <w:t>. The substituted clause read as follows:</w:t>
      </w:r>
    </w:p>
    <w:p w:rsidR="00BF2117" w:rsidRPr="00C61051" w:rsidRDefault="00BF2117" w:rsidP="00C61051">
      <w:pPr>
        <w:pStyle w:val="FootnoteText"/>
        <w:ind w:hanging="630"/>
        <w:rPr>
          <w:sz w:val="16"/>
          <w:szCs w:val="16"/>
          <w:lang w:val="en-US"/>
        </w:rPr>
      </w:pPr>
      <w:r>
        <w:rPr>
          <w:rFonts w:cs="Arial"/>
          <w:sz w:val="16"/>
          <w:szCs w:val="16"/>
        </w:rPr>
        <w:t>“</w:t>
      </w:r>
      <w:r w:rsidRPr="00C61051">
        <w:rPr>
          <w:rFonts w:cs="Arial"/>
          <w:sz w:val="16"/>
          <w:szCs w:val="16"/>
        </w:rPr>
        <w:t xml:space="preserve">(47A) </w:t>
      </w:r>
      <w:r w:rsidRPr="00C61051">
        <w:rPr>
          <w:rFonts w:cs="Arial"/>
          <w:sz w:val="16"/>
          <w:szCs w:val="16"/>
        </w:rPr>
        <w:tab/>
        <w:t>“Real Estate Investment Trust (REIT) Scheme” means a REIT Scheme as defined in the Real Estate Investment Trust Regulations, 2008;</w:t>
      </w:r>
    </w:p>
  </w:footnote>
  <w:footnote w:id="106">
    <w:p w:rsidR="00BF2117" w:rsidRPr="00412620" w:rsidRDefault="00BF2117">
      <w:pPr>
        <w:pStyle w:val="FootnoteText"/>
        <w:rPr>
          <w:sz w:val="16"/>
          <w:lang w:val="en-US"/>
        </w:rPr>
      </w:pPr>
      <w:r w:rsidRPr="00412620">
        <w:rPr>
          <w:rStyle w:val="FootnoteReference"/>
        </w:rPr>
        <w:footnoteRef/>
      </w:r>
      <w:r w:rsidRPr="00412620">
        <w:rPr>
          <w:sz w:val="16"/>
          <w:lang w:val="en-US"/>
        </w:rPr>
        <w:t>Clause (47B) substituted by the Finance Act, 2008. The substituted clause (47B) read as follows:</w:t>
      </w:r>
    </w:p>
    <w:p w:rsidR="00BF2117" w:rsidRPr="00412620" w:rsidRDefault="00BF2117" w:rsidP="007C5F12">
      <w:pPr>
        <w:pStyle w:val="FootnoteText"/>
        <w:ind w:left="270" w:hanging="180"/>
        <w:jc w:val="both"/>
        <w:rPr>
          <w:sz w:val="16"/>
          <w:lang w:val="en-US"/>
        </w:rPr>
      </w:pPr>
      <w:r w:rsidRPr="00412620">
        <w:rPr>
          <w:sz w:val="16"/>
          <w:lang w:val="en-US"/>
        </w:rPr>
        <w:t xml:space="preserve"> “</w:t>
      </w:r>
      <w:r w:rsidRPr="00412620">
        <w:rPr>
          <w:rFonts w:cs="Arial"/>
          <w:sz w:val="16"/>
        </w:rPr>
        <w:t>(47B) “Real Estate Investment Trust Management Company” means a company licensed by the Security and Exchange Commission of Pakistan under the Real Estate Investment Trust Rules, 2006.”</w:t>
      </w:r>
    </w:p>
  </w:footnote>
  <w:footnote w:id="107">
    <w:p w:rsidR="00BF2117" w:rsidRPr="009D6EFD" w:rsidRDefault="00BF2117">
      <w:pPr>
        <w:pStyle w:val="FootnoteText"/>
        <w:rPr>
          <w:lang w:val="en-US"/>
        </w:rPr>
      </w:pPr>
      <w:r>
        <w:rPr>
          <w:rStyle w:val="FootnoteReference"/>
        </w:rPr>
        <w:footnoteRef/>
      </w:r>
      <w:r w:rsidRPr="00412620">
        <w:rPr>
          <w:sz w:val="16"/>
        </w:rPr>
        <w:t>Inserted by the Finance Act, 20</w:t>
      </w:r>
      <w:r>
        <w:rPr>
          <w:sz w:val="16"/>
        </w:rPr>
        <w:t>15.</w:t>
      </w:r>
    </w:p>
  </w:footnote>
  <w:footnote w:id="108">
    <w:p w:rsidR="00BF2117" w:rsidRPr="009D6EFD" w:rsidRDefault="00BF2117" w:rsidP="009D6EFD">
      <w:pPr>
        <w:pStyle w:val="FootnoteText"/>
        <w:rPr>
          <w:lang w:val="en-US"/>
        </w:rPr>
      </w:pPr>
      <w:r>
        <w:rPr>
          <w:rStyle w:val="FootnoteReference"/>
        </w:rPr>
        <w:footnoteRef/>
      </w:r>
      <w:r w:rsidRPr="00412620">
        <w:rPr>
          <w:sz w:val="16"/>
        </w:rPr>
        <w:t>Inserted by the Finance Act, 20</w:t>
      </w:r>
      <w:r>
        <w:rPr>
          <w:sz w:val="16"/>
        </w:rPr>
        <w:t>15.</w:t>
      </w:r>
    </w:p>
  </w:footnote>
  <w:footnote w:id="109">
    <w:p w:rsidR="00BF2117" w:rsidRPr="0037253E" w:rsidRDefault="00BF2117">
      <w:pPr>
        <w:pStyle w:val="FootnoteText"/>
        <w:rPr>
          <w:sz w:val="16"/>
          <w:szCs w:val="16"/>
          <w:lang w:val="en-US"/>
        </w:rPr>
      </w:pPr>
      <w:r w:rsidRPr="0037253E">
        <w:rPr>
          <w:rStyle w:val="FootnoteReference"/>
          <w:sz w:val="16"/>
          <w:szCs w:val="16"/>
        </w:rPr>
        <w:footnoteRef/>
      </w:r>
      <w:r w:rsidRPr="0037253E">
        <w:rPr>
          <w:sz w:val="16"/>
          <w:szCs w:val="16"/>
        </w:rPr>
        <w:t xml:space="preserve"> The figure “2008” substituted by the Finance Act, 2015.</w:t>
      </w:r>
    </w:p>
  </w:footnote>
  <w:footnote w:id="110">
    <w:p w:rsidR="00BF2117" w:rsidRPr="00A56FC6" w:rsidRDefault="00BF2117">
      <w:pPr>
        <w:pStyle w:val="FootnoteText"/>
        <w:rPr>
          <w:lang w:val="en-US"/>
        </w:rPr>
      </w:pPr>
      <w:r>
        <w:rPr>
          <w:rStyle w:val="FootnoteReference"/>
        </w:rPr>
        <w:footnoteRef/>
      </w:r>
      <w:r w:rsidRPr="00412620">
        <w:rPr>
          <w:sz w:val="16"/>
        </w:rPr>
        <w:t>Inserted by the Finance Act, 20</w:t>
      </w:r>
      <w:r>
        <w:rPr>
          <w:sz w:val="16"/>
        </w:rPr>
        <w:t>15.</w:t>
      </w:r>
    </w:p>
  </w:footnote>
  <w:footnote w:id="111">
    <w:p w:rsidR="00BF2117" w:rsidRPr="00412620" w:rsidRDefault="00BF2117">
      <w:pPr>
        <w:pStyle w:val="FootnoteText"/>
        <w:rPr>
          <w:sz w:val="16"/>
          <w:szCs w:val="16"/>
        </w:rPr>
      </w:pPr>
      <w:r w:rsidRPr="00412620">
        <w:rPr>
          <w:rStyle w:val="FootnoteReference"/>
        </w:rPr>
        <w:footnoteRef/>
      </w:r>
      <w:r w:rsidRPr="00412620">
        <w:rPr>
          <w:sz w:val="16"/>
          <w:szCs w:val="16"/>
        </w:rPr>
        <w:t>Clause (48A) omitted  by the Finance Act, 2010. The omitted clause (48A) read as follows:</w:t>
      </w:r>
    </w:p>
    <w:p w:rsidR="00BF2117" w:rsidRPr="00412620" w:rsidRDefault="00BF2117" w:rsidP="0053584C">
      <w:pPr>
        <w:pStyle w:val="FootnoteText"/>
        <w:ind w:left="270" w:hanging="90"/>
        <w:jc w:val="both"/>
        <w:rPr>
          <w:sz w:val="16"/>
          <w:szCs w:val="16"/>
          <w:lang w:val="en-US"/>
        </w:rPr>
      </w:pPr>
      <w:r w:rsidRPr="00412620">
        <w:rPr>
          <w:sz w:val="16"/>
          <w:szCs w:val="16"/>
        </w:rPr>
        <w:t>“(48)  “Regional Commissioner” means a person appointed as a Regional Commissioner of Income Tax under section 208 and includes a Director-General of Income Tax and Sales Tax.”</w:t>
      </w:r>
    </w:p>
  </w:footnote>
  <w:footnote w:id="112">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p>
  </w:footnote>
  <w:footnote w:id="113">
    <w:p w:rsidR="00BF2117" w:rsidRPr="00412620" w:rsidRDefault="00BF2117">
      <w:pPr>
        <w:pStyle w:val="FootnoteText"/>
        <w:rPr>
          <w:sz w:val="16"/>
        </w:rPr>
      </w:pPr>
      <w:r w:rsidRPr="00412620">
        <w:rPr>
          <w:rStyle w:val="FootnoteReference"/>
          <w:rFonts w:cs="Arial"/>
        </w:rPr>
        <w:footnoteRef/>
      </w:r>
      <w:r w:rsidRPr="00412620">
        <w:rPr>
          <w:sz w:val="16"/>
        </w:rPr>
        <w:t xml:space="preserve"> The word “royalties” substituted by the Finance Act, 2002.</w:t>
      </w:r>
    </w:p>
  </w:footnote>
  <w:footnote w:id="114">
    <w:p w:rsidR="00BF2117" w:rsidRPr="00412620" w:rsidRDefault="00BF2117">
      <w:pPr>
        <w:pStyle w:val="FootnoteText"/>
        <w:rPr>
          <w:sz w:val="16"/>
        </w:rPr>
      </w:pPr>
      <w:r w:rsidRPr="00412620">
        <w:rPr>
          <w:rStyle w:val="FootnoteReference"/>
          <w:rFonts w:cs="Arial"/>
        </w:rPr>
        <w:footnoteRef/>
      </w:r>
      <w:r w:rsidRPr="00412620">
        <w:rPr>
          <w:sz w:val="16"/>
        </w:rPr>
        <w:t xml:space="preserve"> The word “clauses” substituted by the Finance Act, 2002.</w:t>
      </w:r>
    </w:p>
  </w:footnote>
  <w:footnote w:id="115">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2005.</w:t>
      </w:r>
    </w:p>
  </w:footnote>
  <w:footnote w:id="116">
    <w:p w:rsidR="00BF2117" w:rsidRPr="00412620" w:rsidRDefault="00BF2117">
      <w:pPr>
        <w:pStyle w:val="FootnoteText"/>
        <w:rPr>
          <w:sz w:val="16"/>
        </w:rPr>
      </w:pPr>
      <w:r w:rsidRPr="00412620">
        <w:rPr>
          <w:rStyle w:val="FootnoteReference"/>
          <w:rFonts w:cs="Arial"/>
        </w:rPr>
        <w:footnoteRef/>
      </w:r>
      <w:r w:rsidRPr="00412620">
        <w:rPr>
          <w:sz w:val="16"/>
        </w:rPr>
        <w:t xml:space="preserve"> The word “clauses” substituted by the Finance Act, 2002</w:t>
      </w:r>
    </w:p>
  </w:footnote>
  <w:footnote w:id="117">
    <w:p w:rsidR="00BF2117" w:rsidRPr="00412620" w:rsidRDefault="00BF2117">
      <w:pPr>
        <w:pStyle w:val="FootnoteText"/>
        <w:rPr>
          <w:sz w:val="16"/>
        </w:rPr>
      </w:pPr>
      <w:r w:rsidRPr="00412620">
        <w:rPr>
          <w:rStyle w:val="FootnoteReference"/>
          <w:rFonts w:cs="Arial"/>
        </w:rPr>
        <w:footnoteRef/>
      </w:r>
      <w:r w:rsidRPr="00412620">
        <w:rPr>
          <w:sz w:val="16"/>
        </w:rPr>
        <w:t xml:space="preserve"> Inserted for “, a unit holder of a unit trust” by the Finance Act, 2002</w:t>
      </w:r>
    </w:p>
  </w:footnote>
  <w:footnote w:id="118">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119">
    <w:p w:rsidR="00BF2117" w:rsidRPr="004A69E9" w:rsidRDefault="00BF2117">
      <w:pPr>
        <w:pStyle w:val="FootnoteText"/>
        <w:rPr>
          <w:lang w:val="en-US"/>
        </w:rPr>
      </w:pPr>
      <w:r>
        <w:rPr>
          <w:rStyle w:val="FootnoteReference"/>
        </w:rPr>
        <w:footnoteRef/>
      </w:r>
      <w:r w:rsidRPr="004A69E9">
        <w:rPr>
          <w:sz w:val="16"/>
          <w:szCs w:val="16"/>
        </w:rPr>
        <w:t>The word “twenty-five” substituted by the Finance Act, 2015</w:t>
      </w:r>
    </w:p>
  </w:footnote>
  <w:footnote w:id="120">
    <w:p w:rsidR="00BF2117" w:rsidRPr="00412620" w:rsidRDefault="00BF2117">
      <w:pPr>
        <w:pStyle w:val="FootnoteText"/>
        <w:rPr>
          <w:lang w:val="en-US"/>
        </w:rPr>
      </w:pPr>
      <w:r w:rsidRPr="00412620">
        <w:rPr>
          <w:rStyle w:val="FootnoteReference"/>
        </w:rPr>
        <w:footnoteRef/>
      </w:r>
      <w:r w:rsidRPr="00412620">
        <w:rPr>
          <w:sz w:val="16"/>
        </w:rPr>
        <w:t>Inserted by the Finance Act, 2007.</w:t>
      </w:r>
    </w:p>
  </w:footnote>
  <w:footnote w:id="121">
    <w:p w:rsidR="00BF2117" w:rsidRPr="00412620" w:rsidRDefault="00BF2117">
      <w:pPr>
        <w:pStyle w:val="FootnoteText"/>
        <w:rPr>
          <w:lang w:val="en-US"/>
        </w:rPr>
      </w:pPr>
      <w:r w:rsidRPr="00412620">
        <w:rPr>
          <w:rStyle w:val="FootnoteReference"/>
        </w:rPr>
        <w:footnoteRef/>
      </w:r>
      <w:r w:rsidRPr="00412620">
        <w:rPr>
          <w:sz w:val="16"/>
        </w:rPr>
        <w:t>Inserted by the Finance Act, 2007.</w:t>
      </w:r>
    </w:p>
  </w:footnote>
  <w:footnote w:id="122">
    <w:p w:rsidR="00BF2117" w:rsidRPr="00245086" w:rsidRDefault="00BF2117">
      <w:pPr>
        <w:pStyle w:val="FootnoteText"/>
        <w:rPr>
          <w:color w:val="000000" w:themeColor="text1"/>
          <w:sz w:val="16"/>
          <w:szCs w:val="16"/>
          <w:lang w:val="en-US"/>
        </w:rPr>
      </w:pPr>
      <w:r w:rsidRPr="00245086">
        <w:rPr>
          <w:rStyle w:val="FootnoteReference"/>
          <w:color w:val="000000" w:themeColor="text1"/>
        </w:rPr>
        <w:footnoteRef/>
      </w:r>
      <w:r w:rsidRPr="00245086">
        <w:rPr>
          <w:color w:val="000000" w:themeColor="text1"/>
          <w:sz w:val="16"/>
          <w:szCs w:val="16"/>
        </w:rPr>
        <w:t>Inserted by the Finance Act, 2014.</w:t>
      </w:r>
    </w:p>
  </w:footnote>
  <w:footnote w:id="123">
    <w:p w:rsidR="00BF2117" w:rsidRPr="00295CC8" w:rsidRDefault="00BF2117">
      <w:pPr>
        <w:pStyle w:val="FootnoteText"/>
        <w:rPr>
          <w:lang w:val="en-US"/>
        </w:rPr>
      </w:pPr>
      <w:r w:rsidRPr="00245086">
        <w:rPr>
          <w:rStyle w:val="FootnoteReference"/>
          <w:color w:val="000000" w:themeColor="text1"/>
        </w:rPr>
        <w:footnoteRef/>
      </w:r>
      <w:r w:rsidRPr="00245086">
        <w:rPr>
          <w:color w:val="000000" w:themeColor="text1"/>
          <w:sz w:val="16"/>
          <w:szCs w:val="16"/>
        </w:rPr>
        <w:t>Inserted by the Finance Act,  2014..</w:t>
      </w:r>
    </w:p>
  </w:footnote>
  <w:footnote w:id="124">
    <w:p w:rsidR="00BF2117" w:rsidRPr="00412620" w:rsidRDefault="00BF2117">
      <w:pPr>
        <w:pStyle w:val="FootnoteText"/>
        <w:rPr>
          <w:sz w:val="16"/>
          <w:szCs w:val="16"/>
          <w:lang w:val="en-US"/>
        </w:rPr>
      </w:pPr>
      <w:r w:rsidRPr="00412620">
        <w:rPr>
          <w:rStyle w:val="FootnoteReference"/>
        </w:rPr>
        <w:footnoteRef/>
      </w:r>
      <w:r w:rsidRPr="00412620">
        <w:rPr>
          <w:sz w:val="16"/>
          <w:szCs w:val="16"/>
          <w:lang w:val="en-US"/>
        </w:rPr>
        <w:t>Clause (65) omitted by the Finance Act, 2010. The omitted Clause (65) read as follows:</w:t>
      </w:r>
    </w:p>
    <w:p w:rsidR="00BF2117" w:rsidRPr="00412620" w:rsidRDefault="00BF2117" w:rsidP="00956623">
      <w:pPr>
        <w:ind w:left="1094" w:hanging="554"/>
        <w:jc w:val="both"/>
        <w:rPr>
          <w:rFonts w:cs="Arial"/>
          <w:sz w:val="16"/>
          <w:szCs w:val="16"/>
        </w:rPr>
      </w:pPr>
      <w:r w:rsidRPr="00412620">
        <w:rPr>
          <w:sz w:val="16"/>
          <w:szCs w:val="16"/>
          <w:lang w:val="en-US"/>
        </w:rPr>
        <w:t xml:space="preserve">“(65) </w:t>
      </w:r>
      <w:r w:rsidRPr="00412620">
        <w:rPr>
          <w:sz w:val="16"/>
          <w:szCs w:val="16"/>
          <w:lang w:val="en-US"/>
        </w:rPr>
        <w:tab/>
        <w:t>“</w:t>
      </w:r>
      <w:r w:rsidRPr="00412620">
        <w:rPr>
          <w:sz w:val="16"/>
          <w:szCs w:val="16"/>
        </w:rPr>
        <w:t>taxation officer” means any Additional Commissioner of Income Tax, Deputy Commissioner of Income Tax, Assistant Commissioner of Income Tax, Income Tax Officer, Special Officer or any other officer however designated appointed by the Board for the purposes of this Ordinance;”</w:t>
      </w:r>
    </w:p>
  </w:footnote>
  <w:footnote w:id="125">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p>
  </w:footnote>
  <w:footnote w:id="126">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127">
    <w:p w:rsidR="00BF2117" w:rsidRPr="00412620" w:rsidRDefault="00BF2117">
      <w:pPr>
        <w:pStyle w:val="FootnoteText"/>
        <w:rPr>
          <w:sz w:val="16"/>
        </w:rPr>
      </w:pPr>
      <w:r w:rsidRPr="00412620">
        <w:rPr>
          <w:rStyle w:val="FootnoteReference"/>
          <w:rFonts w:cs="Arial"/>
        </w:rPr>
        <w:footnoteRef/>
      </w:r>
      <w:r w:rsidRPr="00412620">
        <w:rPr>
          <w:sz w:val="16"/>
        </w:rPr>
        <w:t xml:space="preserve"> Added by Finance Act, 2002</w:t>
      </w:r>
    </w:p>
  </w:footnote>
  <w:footnote w:id="128">
    <w:p w:rsidR="00BF2117" w:rsidRPr="00412620" w:rsidRDefault="00BF2117">
      <w:pPr>
        <w:pStyle w:val="FootnoteText"/>
        <w:ind w:left="180" w:hanging="180"/>
        <w:rPr>
          <w:sz w:val="16"/>
        </w:rPr>
      </w:pPr>
      <w:r w:rsidRPr="00412620">
        <w:rPr>
          <w:rStyle w:val="FootnoteReference"/>
          <w:rFonts w:cs="Arial"/>
        </w:rPr>
        <w:footnoteRef/>
      </w:r>
      <w:r w:rsidRPr="00412620">
        <w:rPr>
          <w:sz w:val="16"/>
        </w:rPr>
        <w:t xml:space="preserve"> The words, brackets, comma and figure “Venture Capital Company and Venture Capital Fund Rules, 2001” substituted by the Finance Act, 2004.</w:t>
      </w:r>
    </w:p>
  </w:footnote>
  <w:footnote w:id="129">
    <w:p w:rsidR="00BF2117" w:rsidRPr="00412620" w:rsidRDefault="00BF2117">
      <w:pPr>
        <w:pStyle w:val="FootnoteText"/>
        <w:rPr>
          <w:sz w:val="16"/>
        </w:rPr>
      </w:pPr>
      <w:r w:rsidRPr="00412620">
        <w:rPr>
          <w:rStyle w:val="FootnoteReference"/>
          <w:rFonts w:cs="Arial"/>
        </w:rPr>
        <w:footnoteRef/>
      </w:r>
      <w:r w:rsidRPr="00412620">
        <w:rPr>
          <w:sz w:val="16"/>
        </w:rPr>
        <w:t xml:space="preserve"> The word “Company” substituted by the Finance Act, 2005.</w:t>
      </w:r>
    </w:p>
  </w:footnote>
  <w:footnote w:id="130">
    <w:p w:rsidR="00BF2117" w:rsidRPr="00F86B0B" w:rsidRDefault="00BF2117">
      <w:pPr>
        <w:pStyle w:val="FootnoteText"/>
        <w:rPr>
          <w:lang w:val="en-US"/>
        </w:rPr>
      </w:pPr>
      <w:r>
        <w:rPr>
          <w:rStyle w:val="FootnoteReference"/>
        </w:rPr>
        <w:footnoteRef/>
      </w:r>
      <w:r w:rsidRPr="00412620">
        <w:rPr>
          <w:sz w:val="16"/>
          <w:szCs w:val="16"/>
        </w:rPr>
        <w:t>Inserted by the Finance Act, 20</w:t>
      </w:r>
      <w:r>
        <w:rPr>
          <w:sz w:val="16"/>
          <w:szCs w:val="16"/>
        </w:rPr>
        <w:t>15.</w:t>
      </w:r>
    </w:p>
  </w:footnote>
  <w:footnote w:id="131">
    <w:p w:rsidR="00BF2117" w:rsidRPr="00412620" w:rsidRDefault="00BF2117" w:rsidP="00B33320">
      <w:pPr>
        <w:pStyle w:val="FootnoteText"/>
        <w:rPr>
          <w:sz w:val="16"/>
          <w:szCs w:val="16"/>
          <w:lang w:val="en-US"/>
        </w:rPr>
      </w:pPr>
      <w:r w:rsidRPr="00412620">
        <w:rPr>
          <w:rStyle w:val="FootnoteReference"/>
        </w:rPr>
        <w:footnoteRef/>
      </w:r>
      <w:r w:rsidRPr="00412620">
        <w:rPr>
          <w:sz w:val="16"/>
          <w:szCs w:val="16"/>
        </w:rPr>
        <w:t>The words and letters “Division I or II” substituted by the Finance Act, 2010.</w:t>
      </w:r>
    </w:p>
  </w:footnote>
  <w:footnote w:id="132">
    <w:p w:rsidR="00BF2117" w:rsidRPr="00412620" w:rsidRDefault="00BF2117" w:rsidP="00B33320">
      <w:pPr>
        <w:pStyle w:val="FootnoteText"/>
        <w:rPr>
          <w:sz w:val="16"/>
        </w:rPr>
      </w:pPr>
      <w:r w:rsidRPr="00412620">
        <w:rPr>
          <w:rStyle w:val="FootnoteReference"/>
          <w:rFonts w:cs="Arial"/>
        </w:rPr>
        <w:footnoteRef/>
      </w:r>
      <w:r w:rsidRPr="00412620">
        <w:rPr>
          <w:sz w:val="16"/>
        </w:rPr>
        <w:t xml:space="preserve"> The figure and comma “140,” omitted by the Finance Act, 2003.</w:t>
      </w:r>
    </w:p>
  </w:footnote>
  <w:footnote w:id="133">
    <w:p w:rsidR="00BF2117" w:rsidRPr="00412620" w:rsidRDefault="00BF2117" w:rsidP="00B33320">
      <w:pPr>
        <w:pStyle w:val="FootnoteText"/>
        <w:rPr>
          <w:sz w:val="16"/>
          <w:szCs w:val="16"/>
          <w:lang w:val="en-US"/>
        </w:rPr>
      </w:pPr>
      <w:r w:rsidRPr="00412620">
        <w:rPr>
          <w:rStyle w:val="FootnoteReference"/>
        </w:rPr>
        <w:footnoteRef/>
      </w:r>
      <w:r w:rsidRPr="00412620">
        <w:rPr>
          <w:sz w:val="16"/>
          <w:szCs w:val="16"/>
        </w:rPr>
        <w:t>The word “or” substituted by the Finance Act, 2010.</w:t>
      </w:r>
    </w:p>
  </w:footnote>
  <w:footnote w:id="134">
    <w:p w:rsidR="00BF2117" w:rsidRPr="00412620" w:rsidRDefault="00BF2117" w:rsidP="00B33320">
      <w:pPr>
        <w:pStyle w:val="FootnoteText"/>
        <w:rPr>
          <w:sz w:val="16"/>
        </w:rPr>
      </w:pPr>
      <w:r w:rsidRPr="00412620">
        <w:rPr>
          <w:rStyle w:val="FootnoteReference"/>
          <w:rFonts w:cs="Arial"/>
        </w:rPr>
        <w:footnoteRef/>
      </w:r>
      <w:r w:rsidRPr="00412620">
        <w:rPr>
          <w:sz w:val="16"/>
        </w:rPr>
        <w:t xml:space="preserve"> Added by the Finance Act, 2003.</w:t>
      </w:r>
    </w:p>
  </w:footnote>
  <w:footnote w:id="135">
    <w:p w:rsidR="00BF2117" w:rsidRPr="00412620" w:rsidRDefault="00BF2117" w:rsidP="00B33320">
      <w:pPr>
        <w:pStyle w:val="FootnoteText"/>
        <w:rPr>
          <w:sz w:val="16"/>
        </w:rPr>
      </w:pPr>
      <w:r w:rsidRPr="00412620">
        <w:rPr>
          <w:rStyle w:val="FootnoteReference"/>
          <w:rFonts w:cs="Arial"/>
        </w:rPr>
        <w:footnoteRef/>
      </w:r>
      <w:r w:rsidRPr="00412620">
        <w:rPr>
          <w:sz w:val="16"/>
        </w:rPr>
        <w:t xml:space="preserve"> The semicolon substituted by the Finance Act, 2005.</w:t>
      </w:r>
    </w:p>
  </w:footnote>
  <w:footnote w:id="136">
    <w:p w:rsidR="00BF2117" w:rsidRPr="00245086" w:rsidRDefault="00BF2117" w:rsidP="00DB0BF6">
      <w:pPr>
        <w:pStyle w:val="FootnoteText"/>
        <w:ind w:left="180" w:hanging="180"/>
        <w:jc w:val="both"/>
        <w:rPr>
          <w:color w:val="000000" w:themeColor="text1"/>
          <w:sz w:val="16"/>
          <w:szCs w:val="16"/>
        </w:rPr>
      </w:pPr>
      <w:r w:rsidRPr="00245086">
        <w:rPr>
          <w:rStyle w:val="FootnoteReference"/>
          <w:rFonts w:cs="Arial"/>
          <w:color w:val="000000" w:themeColor="text1"/>
        </w:rPr>
        <w:footnoteRef/>
      </w:r>
      <w:r w:rsidRPr="00245086">
        <w:rPr>
          <w:color w:val="000000" w:themeColor="text1"/>
          <w:sz w:val="16"/>
          <w:szCs w:val="16"/>
        </w:rPr>
        <w:t xml:space="preserve">Omitted by the Finance Act, 2014. Section 4A was added by Income Tax (Amendment) Ordinance, dated 30.05.2011. Earlier the identical section 4A was added by Income Tax (Amendment) Ordinance, dated 16.03.2011. The omitted section 4A read as follows:  </w:t>
      </w:r>
      <w:r w:rsidRPr="00245086">
        <w:rPr>
          <w:rFonts w:cs="Arial"/>
          <w:b/>
          <w:color w:val="000000" w:themeColor="text1"/>
          <w:sz w:val="18"/>
        </w:rPr>
        <w:t>—</w:t>
      </w:r>
    </w:p>
    <w:p w:rsidR="00BF2117" w:rsidRPr="00245086" w:rsidRDefault="00BF2117" w:rsidP="00DB0BF6">
      <w:pPr>
        <w:ind w:left="180"/>
        <w:jc w:val="both"/>
        <w:rPr>
          <w:color w:val="000000" w:themeColor="text1"/>
          <w:sz w:val="16"/>
          <w:szCs w:val="16"/>
        </w:rPr>
      </w:pPr>
      <w:r w:rsidRPr="00245086">
        <w:rPr>
          <w:rFonts w:cs="Arial"/>
          <w:caps/>
          <w:color w:val="000000" w:themeColor="text1"/>
          <w:sz w:val="16"/>
          <w:szCs w:val="16"/>
        </w:rPr>
        <w:t>“</w:t>
      </w:r>
      <w:r w:rsidRPr="00245086">
        <w:rPr>
          <w:rFonts w:cs="Arial"/>
          <w:b/>
          <w:caps/>
          <w:color w:val="000000" w:themeColor="text1"/>
          <w:sz w:val="16"/>
          <w:szCs w:val="16"/>
        </w:rPr>
        <w:t>4A</w:t>
      </w:r>
      <w:r w:rsidRPr="00245086">
        <w:rPr>
          <w:color w:val="000000" w:themeColor="text1"/>
          <w:sz w:val="16"/>
          <w:szCs w:val="16"/>
        </w:rPr>
        <w:tab/>
        <w:t>Surcharge.</w:t>
      </w:r>
      <w:r w:rsidRPr="00245086">
        <w:rPr>
          <w:b/>
          <w:color w:val="000000" w:themeColor="text1"/>
          <w:sz w:val="16"/>
          <w:szCs w:val="16"/>
        </w:rPr>
        <w:t xml:space="preserve"> — </w:t>
      </w:r>
      <w:r w:rsidRPr="00245086">
        <w:rPr>
          <w:color w:val="000000" w:themeColor="text1"/>
          <w:sz w:val="16"/>
          <w:szCs w:val="16"/>
        </w:rPr>
        <w:t>(1) Subject to this Ordinance, a surcharge shall be payable by every taxpayer at the rate of fifteen per cent of the income tax payable under this Ordinance including the tax payable under Part V of Chapter X of Chapter XIII, as the case may be, for the period commencing from the promulgation of this Ordinance, till the 30</w:t>
      </w:r>
      <w:r w:rsidRPr="00245086">
        <w:rPr>
          <w:color w:val="000000" w:themeColor="text1"/>
          <w:sz w:val="16"/>
          <w:szCs w:val="16"/>
          <w:vertAlign w:val="superscript"/>
        </w:rPr>
        <w:t>th</w:t>
      </w:r>
      <w:r w:rsidRPr="00245086">
        <w:rPr>
          <w:color w:val="000000" w:themeColor="text1"/>
          <w:sz w:val="16"/>
          <w:szCs w:val="16"/>
        </w:rPr>
        <w:t xml:space="preserve"> June, 2011.</w:t>
      </w:r>
    </w:p>
    <w:p w:rsidR="00BF2117" w:rsidRPr="00245086" w:rsidRDefault="00BF2117" w:rsidP="00DB0BF6">
      <w:pPr>
        <w:ind w:left="180"/>
        <w:jc w:val="both"/>
        <w:rPr>
          <w:color w:val="000000" w:themeColor="text1"/>
          <w:sz w:val="16"/>
          <w:szCs w:val="16"/>
        </w:rPr>
      </w:pPr>
      <w:r w:rsidRPr="00245086">
        <w:rPr>
          <w:color w:val="000000" w:themeColor="text1"/>
          <w:sz w:val="16"/>
          <w:szCs w:val="16"/>
        </w:rPr>
        <w:tab/>
        <w:t xml:space="preserve">(2) </w:t>
      </w:r>
      <w:r w:rsidRPr="00245086">
        <w:rPr>
          <w:color w:val="000000" w:themeColor="text1"/>
          <w:sz w:val="16"/>
          <w:szCs w:val="16"/>
        </w:rPr>
        <w:tab/>
        <w:t>Surcharge shall be paid, collected, educated and deposited at the same time and in the same manner as the tax is paid, collected, deducted and deposited under this Ordinance including Chapter X or XII as the case may be:</w:t>
      </w:r>
    </w:p>
    <w:p w:rsidR="00BF2117" w:rsidRPr="005B4162" w:rsidRDefault="00BF2117" w:rsidP="006F6445">
      <w:pPr>
        <w:jc w:val="both"/>
        <w:rPr>
          <w:color w:val="00B0F0"/>
          <w:sz w:val="16"/>
          <w:szCs w:val="16"/>
        </w:rPr>
      </w:pPr>
    </w:p>
    <w:p w:rsidR="00BF2117" w:rsidRPr="00245086" w:rsidRDefault="00BF2117" w:rsidP="006F6445">
      <w:pPr>
        <w:pStyle w:val="FootnoteText"/>
        <w:ind w:firstLine="0"/>
        <w:jc w:val="both"/>
        <w:rPr>
          <w:color w:val="000000" w:themeColor="text1"/>
          <w:sz w:val="14"/>
        </w:rPr>
      </w:pPr>
      <w:r w:rsidRPr="00245086">
        <w:rPr>
          <w:color w:val="000000" w:themeColor="text1"/>
          <w:sz w:val="16"/>
          <w:szCs w:val="16"/>
        </w:rPr>
        <w:t>Provided that this surcharge shall not be payable for the tax year 2010 and prior tax years and shall be applicable, subject to the provisions of sub-section (1), for the tax year 2011 only.”</w:t>
      </w:r>
    </w:p>
  </w:footnote>
  <w:footnote w:id="137">
    <w:p w:rsidR="00BF2117" w:rsidRPr="00784D87" w:rsidRDefault="00BF2117">
      <w:pPr>
        <w:pStyle w:val="FootnoteText"/>
        <w:rPr>
          <w:lang w:val="en-US"/>
        </w:rPr>
      </w:pPr>
      <w:r>
        <w:rPr>
          <w:rStyle w:val="FootnoteReference"/>
        </w:rPr>
        <w:footnoteRef/>
      </w:r>
      <w:r w:rsidRPr="00412620">
        <w:rPr>
          <w:sz w:val="16"/>
          <w:szCs w:val="16"/>
        </w:rPr>
        <w:t>Inserted by the Finance Act, 20</w:t>
      </w:r>
      <w:r>
        <w:rPr>
          <w:sz w:val="16"/>
          <w:szCs w:val="16"/>
        </w:rPr>
        <w:t>15.</w:t>
      </w:r>
    </w:p>
  </w:footnote>
  <w:footnote w:id="138">
    <w:p w:rsidR="00BF2117" w:rsidRPr="00D612BA" w:rsidRDefault="00BF2117">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The word and figure “year 2015” substituted by the Finance Act, 2016.</w:t>
      </w:r>
    </w:p>
  </w:footnote>
  <w:footnote w:id="139">
    <w:p w:rsidR="00BF2117" w:rsidRPr="00D612BA" w:rsidRDefault="00BF2117">
      <w:pPr>
        <w:pStyle w:val="FootnoteText"/>
        <w:rPr>
          <w:color w:val="0070C0"/>
          <w:lang w:val="en-US"/>
        </w:rPr>
      </w:pPr>
      <w:r w:rsidRPr="00D612BA">
        <w:rPr>
          <w:rStyle w:val="FootnoteReference"/>
          <w:color w:val="0070C0"/>
          <w:sz w:val="16"/>
          <w:szCs w:val="16"/>
        </w:rPr>
        <w:footnoteRef/>
      </w:r>
      <w:r w:rsidRPr="00D612BA">
        <w:rPr>
          <w:color w:val="0070C0"/>
          <w:sz w:val="16"/>
          <w:szCs w:val="16"/>
        </w:rPr>
        <w:t xml:space="preserve"> Inserted by the Finance Act, 2016.</w:t>
      </w:r>
    </w:p>
  </w:footnote>
  <w:footnote w:id="140">
    <w:p w:rsidR="00BF2117" w:rsidRPr="00412620" w:rsidRDefault="00BF2117">
      <w:pPr>
        <w:pStyle w:val="FootnoteText"/>
        <w:rPr>
          <w:sz w:val="16"/>
        </w:rPr>
      </w:pPr>
      <w:r w:rsidRPr="00412620">
        <w:rPr>
          <w:rStyle w:val="FootnoteReference"/>
          <w:rFonts w:cs="Arial"/>
        </w:rPr>
        <w:footnoteRef/>
      </w:r>
      <w:r w:rsidRPr="00412620">
        <w:rPr>
          <w:sz w:val="16"/>
        </w:rPr>
        <w:t xml:space="preserve"> The word “resident” omitted by the Finance Act, 2003.</w:t>
      </w:r>
    </w:p>
  </w:footnote>
  <w:footnote w:id="141">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142">
    <w:p w:rsidR="00BF2117" w:rsidRPr="00CF5E67" w:rsidRDefault="00BF2117">
      <w:pPr>
        <w:pStyle w:val="FootnoteText"/>
        <w:rPr>
          <w:lang w:val="en-US"/>
        </w:rPr>
      </w:pPr>
      <w:r>
        <w:rPr>
          <w:rStyle w:val="FootnoteReference"/>
        </w:rPr>
        <w:footnoteRef/>
      </w:r>
      <w:r w:rsidRPr="00412620">
        <w:rPr>
          <w:sz w:val="16"/>
          <w:szCs w:val="16"/>
        </w:rPr>
        <w:t>Inserted by the Finance Act, 20</w:t>
      </w:r>
      <w:r>
        <w:rPr>
          <w:sz w:val="16"/>
          <w:szCs w:val="16"/>
        </w:rPr>
        <w:t>15</w:t>
      </w:r>
    </w:p>
  </w:footnote>
  <w:footnote w:id="143">
    <w:p w:rsidR="00BF2117" w:rsidRPr="00D41075" w:rsidRDefault="00BF2117" w:rsidP="007A7191">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Added </w:t>
      </w:r>
      <w:r w:rsidRPr="00D41075">
        <w:rPr>
          <w:color w:val="FF0000"/>
          <w:sz w:val="16"/>
          <w:szCs w:val="16"/>
        </w:rPr>
        <w:t>by the Presidential Order No.F.2(1)/2016-Pub dated 31.0</w:t>
      </w:r>
      <w:r>
        <w:rPr>
          <w:color w:val="FF0000"/>
          <w:sz w:val="16"/>
          <w:szCs w:val="16"/>
        </w:rPr>
        <w:t>8</w:t>
      </w:r>
      <w:r w:rsidRPr="00D41075">
        <w:rPr>
          <w:color w:val="FF0000"/>
          <w:sz w:val="16"/>
          <w:szCs w:val="16"/>
        </w:rPr>
        <w:t>.2016</w:t>
      </w:r>
      <w:r>
        <w:rPr>
          <w:color w:val="FF0000"/>
          <w:sz w:val="16"/>
          <w:szCs w:val="16"/>
        </w:rPr>
        <w:t xml:space="preserve">. </w:t>
      </w:r>
    </w:p>
  </w:footnote>
  <w:footnote w:id="144">
    <w:p w:rsidR="00BF2117" w:rsidRPr="008614CF" w:rsidRDefault="00BF2117">
      <w:pPr>
        <w:pStyle w:val="FootnoteText"/>
        <w:rPr>
          <w:lang w:val="en-US"/>
        </w:rPr>
      </w:pPr>
      <w:r>
        <w:rPr>
          <w:rStyle w:val="FootnoteReference"/>
        </w:rPr>
        <w:footnoteRef/>
      </w:r>
      <w:r w:rsidRPr="00412620">
        <w:rPr>
          <w:sz w:val="16"/>
          <w:szCs w:val="16"/>
        </w:rPr>
        <w:t>Inserted by the Finance Act, 20</w:t>
      </w:r>
      <w:r>
        <w:rPr>
          <w:sz w:val="16"/>
          <w:szCs w:val="16"/>
        </w:rPr>
        <w:t>15</w:t>
      </w:r>
    </w:p>
  </w:footnote>
  <w:footnote w:id="145">
    <w:p w:rsidR="00BF2117" w:rsidRPr="003F0352" w:rsidRDefault="00BF2117">
      <w:pPr>
        <w:pStyle w:val="FootnoteText"/>
        <w:rPr>
          <w:lang w:val="en-US"/>
        </w:rPr>
      </w:pPr>
      <w:r>
        <w:rPr>
          <w:rStyle w:val="FootnoteReference"/>
        </w:rPr>
        <w:footnoteRef/>
      </w:r>
      <w:r w:rsidRPr="00412620">
        <w:rPr>
          <w:sz w:val="16"/>
          <w:szCs w:val="16"/>
        </w:rPr>
        <w:t>Inserted by the Finance Act, 20</w:t>
      </w:r>
      <w:r>
        <w:rPr>
          <w:sz w:val="16"/>
          <w:szCs w:val="16"/>
        </w:rPr>
        <w:t>15</w:t>
      </w:r>
    </w:p>
  </w:footnote>
  <w:footnote w:id="146">
    <w:p w:rsidR="00BF2117" w:rsidRPr="00D612BA" w:rsidRDefault="00BF2117">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Inserted by the Finance Act, 2016.</w:t>
      </w:r>
    </w:p>
  </w:footnote>
  <w:footnote w:id="147">
    <w:p w:rsidR="00BF2117" w:rsidRPr="00D612BA" w:rsidRDefault="00BF2117" w:rsidP="00CE57F4">
      <w:pPr>
        <w:pStyle w:val="FootnoteText"/>
        <w:rPr>
          <w:color w:val="0070C0"/>
          <w:sz w:val="16"/>
          <w:szCs w:val="16"/>
          <w:lang w:val="en-US"/>
        </w:rPr>
      </w:pPr>
      <w:r w:rsidRPr="00D612BA">
        <w:rPr>
          <w:rStyle w:val="FootnoteReference"/>
          <w:color w:val="0070C0"/>
        </w:rPr>
        <w:footnoteRef/>
      </w:r>
      <w:r w:rsidRPr="00D612BA">
        <w:rPr>
          <w:color w:val="0070C0"/>
        </w:rPr>
        <w:t xml:space="preserve"> </w:t>
      </w:r>
      <w:r w:rsidRPr="00D612BA">
        <w:rPr>
          <w:color w:val="0070C0"/>
          <w:sz w:val="16"/>
          <w:szCs w:val="16"/>
        </w:rPr>
        <w:t>Inserted by the Finance Act, 2016.</w:t>
      </w:r>
    </w:p>
    <w:p w:rsidR="00BF2117" w:rsidRPr="00CE57F4" w:rsidRDefault="00BF2117">
      <w:pPr>
        <w:pStyle w:val="FootnoteText"/>
        <w:rPr>
          <w:lang w:val="en-US"/>
        </w:rPr>
      </w:pPr>
    </w:p>
  </w:footnote>
  <w:footnote w:id="148">
    <w:p w:rsidR="00BF2117" w:rsidRPr="00203E57" w:rsidRDefault="00BF2117">
      <w:pPr>
        <w:pStyle w:val="FootnoteText"/>
        <w:rPr>
          <w:lang w:val="en-US"/>
        </w:rPr>
      </w:pPr>
      <w:r>
        <w:rPr>
          <w:rStyle w:val="FootnoteReference"/>
        </w:rPr>
        <w:footnoteRef/>
      </w:r>
      <w:r w:rsidRPr="00C723C1">
        <w:rPr>
          <w:sz w:val="16"/>
          <w:szCs w:val="16"/>
        </w:rPr>
        <w:t>The</w:t>
      </w:r>
      <w:r>
        <w:rPr>
          <w:sz w:val="16"/>
          <w:szCs w:val="16"/>
        </w:rPr>
        <w:t xml:space="preserve"> word and figure “6 and 7” substituted </w:t>
      </w:r>
      <w:r w:rsidRPr="00412620">
        <w:rPr>
          <w:sz w:val="16"/>
          <w:szCs w:val="16"/>
        </w:rPr>
        <w:t>by the Finance Act, 20</w:t>
      </w:r>
      <w:r>
        <w:rPr>
          <w:sz w:val="16"/>
          <w:szCs w:val="16"/>
        </w:rPr>
        <w:t>15</w:t>
      </w:r>
    </w:p>
  </w:footnote>
  <w:footnote w:id="149">
    <w:p w:rsidR="00BF2117" w:rsidRPr="00D41075" w:rsidRDefault="00BF2117" w:rsidP="00337678">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Inserted </w:t>
      </w:r>
      <w:r w:rsidRPr="00D41075">
        <w:rPr>
          <w:color w:val="FF0000"/>
          <w:sz w:val="16"/>
          <w:szCs w:val="16"/>
        </w:rPr>
        <w:t>by the Presidential Order No.F.2(1)/2016-Pub dated 31.0</w:t>
      </w:r>
      <w:r>
        <w:rPr>
          <w:color w:val="FF0000"/>
          <w:sz w:val="16"/>
          <w:szCs w:val="16"/>
        </w:rPr>
        <w:t>8</w:t>
      </w:r>
      <w:r w:rsidRPr="00D41075">
        <w:rPr>
          <w:color w:val="FF0000"/>
          <w:sz w:val="16"/>
          <w:szCs w:val="16"/>
        </w:rPr>
        <w:t>.2016</w:t>
      </w:r>
      <w:r>
        <w:rPr>
          <w:color w:val="FF0000"/>
          <w:sz w:val="16"/>
          <w:szCs w:val="16"/>
        </w:rPr>
        <w:t xml:space="preserve">. </w:t>
      </w:r>
    </w:p>
  </w:footnote>
  <w:footnote w:id="150">
    <w:p w:rsidR="00BF2117" w:rsidRPr="00D612BA" w:rsidRDefault="00BF2117">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The expression “and 7B” substituted by the Finance Act, 2016.</w:t>
      </w:r>
    </w:p>
  </w:footnote>
  <w:footnote w:id="151">
    <w:p w:rsidR="00BF2117" w:rsidRPr="00245086" w:rsidRDefault="00BF2117">
      <w:pPr>
        <w:pStyle w:val="FootnoteText"/>
        <w:rPr>
          <w:color w:val="000000" w:themeColor="text1"/>
          <w:lang w:val="en-US"/>
        </w:rPr>
      </w:pPr>
      <w:r w:rsidRPr="00245086">
        <w:rPr>
          <w:rStyle w:val="FootnoteReference"/>
          <w:color w:val="000000" w:themeColor="text1"/>
        </w:rPr>
        <w:footnoteRef/>
      </w:r>
      <w:r w:rsidRPr="00245086">
        <w:rPr>
          <w:color w:val="000000" w:themeColor="text1"/>
          <w:sz w:val="16"/>
          <w:szCs w:val="16"/>
        </w:rPr>
        <w:t>The word “sections” substituted by the word “section”</w:t>
      </w:r>
      <w:r w:rsidRPr="00245086">
        <w:rPr>
          <w:color w:val="000000" w:themeColor="text1"/>
          <w:sz w:val="16"/>
          <w:szCs w:val="16"/>
          <w:lang w:val="en-US"/>
        </w:rPr>
        <w:t>by the Finance Act, 2014.</w:t>
      </w:r>
    </w:p>
  </w:footnote>
  <w:footnote w:id="152">
    <w:p w:rsidR="00BF2117" w:rsidRPr="00245086" w:rsidRDefault="00BF2117">
      <w:pPr>
        <w:pStyle w:val="FootnoteText"/>
        <w:rPr>
          <w:color w:val="000000" w:themeColor="text1"/>
          <w:lang w:val="en-US"/>
        </w:rPr>
      </w:pPr>
      <w:r w:rsidRPr="00245086">
        <w:rPr>
          <w:rStyle w:val="FootnoteReference"/>
          <w:color w:val="000000" w:themeColor="text1"/>
        </w:rPr>
        <w:footnoteRef/>
      </w:r>
      <w:r w:rsidRPr="00245086">
        <w:rPr>
          <w:color w:val="000000" w:themeColor="text1"/>
          <w:sz w:val="16"/>
          <w:szCs w:val="16"/>
        </w:rPr>
        <w:t>The</w:t>
      </w:r>
      <w:r>
        <w:rPr>
          <w:color w:val="000000" w:themeColor="text1"/>
          <w:sz w:val="16"/>
          <w:szCs w:val="16"/>
        </w:rPr>
        <w:t xml:space="preserve"> </w:t>
      </w:r>
      <w:r w:rsidRPr="00245086">
        <w:rPr>
          <w:color w:val="000000" w:themeColor="text1"/>
          <w:sz w:val="16"/>
          <w:szCs w:val="16"/>
        </w:rPr>
        <w:t>word and figure “6 or 7” substituted by the Finance Act, 2015.</w:t>
      </w:r>
    </w:p>
  </w:footnote>
  <w:footnote w:id="153">
    <w:p w:rsidR="00BF2117" w:rsidRPr="00D41075" w:rsidRDefault="00BF2117" w:rsidP="006B07E8">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Inserted </w:t>
      </w:r>
      <w:r w:rsidRPr="00D41075">
        <w:rPr>
          <w:color w:val="FF0000"/>
          <w:sz w:val="16"/>
          <w:szCs w:val="16"/>
        </w:rPr>
        <w:t>by the Presidential Order No.F.2(1)/2016-Pub dated 31.0</w:t>
      </w:r>
      <w:r>
        <w:rPr>
          <w:color w:val="FF0000"/>
          <w:sz w:val="16"/>
          <w:szCs w:val="16"/>
        </w:rPr>
        <w:t>8</w:t>
      </w:r>
      <w:r w:rsidRPr="00D41075">
        <w:rPr>
          <w:color w:val="FF0000"/>
          <w:sz w:val="16"/>
          <w:szCs w:val="16"/>
        </w:rPr>
        <w:t>.2016</w:t>
      </w:r>
      <w:r>
        <w:rPr>
          <w:color w:val="FF0000"/>
          <w:sz w:val="16"/>
          <w:szCs w:val="16"/>
        </w:rPr>
        <w:t xml:space="preserve">. </w:t>
      </w:r>
    </w:p>
  </w:footnote>
  <w:footnote w:id="154">
    <w:p w:rsidR="00BF2117" w:rsidRPr="00D612BA" w:rsidRDefault="00BF2117">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The word “or” substituted by the Finance Act, 2016.</w:t>
      </w:r>
    </w:p>
  </w:footnote>
  <w:footnote w:id="155">
    <w:p w:rsidR="00BF2117" w:rsidRPr="00D612BA" w:rsidRDefault="00BF2117">
      <w:pPr>
        <w:pStyle w:val="FootnoteText"/>
        <w:rPr>
          <w:color w:val="0070C0"/>
          <w:lang w:val="en-US"/>
        </w:rPr>
      </w:pPr>
      <w:r w:rsidRPr="00D612BA">
        <w:rPr>
          <w:rStyle w:val="FootnoteReference"/>
          <w:color w:val="0070C0"/>
          <w:sz w:val="16"/>
          <w:szCs w:val="16"/>
        </w:rPr>
        <w:footnoteRef/>
      </w:r>
      <w:r w:rsidRPr="00D612BA">
        <w:rPr>
          <w:color w:val="0070C0"/>
          <w:sz w:val="16"/>
          <w:szCs w:val="16"/>
        </w:rPr>
        <w:t xml:space="preserve"> Inserted by the Finance Act, 2016.</w:t>
      </w:r>
    </w:p>
  </w:footnote>
  <w:footnote w:id="156">
    <w:p w:rsidR="00BF2117" w:rsidRPr="00443B1B" w:rsidRDefault="00BF2117">
      <w:pPr>
        <w:pStyle w:val="FootnoteText"/>
        <w:rPr>
          <w:lang w:val="en-US"/>
        </w:rPr>
      </w:pPr>
      <w:r w:rsidRPr="00245086">
        <w:rPr>
          <w:rStyle w:val="FootnoteReference"/>
          <w:color w:val="000000" w:themeColor="text1"/>
        </w:rPr>
        <w:footnoteRef/>
      </w:r>
      <w:r w:rsidRPr="00245086">
        <w:rPr>
          <w:color w:val="000000" w:themeColor="text1"/>
          <w:sz w:val="16"/>
          <w:szCs w:val="16"/>
        </w:rPr>
        <w:t>The word “sections” substituted by the word “section”</w:t>
      </w:r>
      <w:r w:rsidRPr="00245086">
        <w:rPr>
          <w:color w:val="000000" w:themeColor="text1"/>
          <w:sz w:val="16"/>
          <w:szCs w:val="16"/>
          <w:lang w:val="en-US"/>
        </w:rPr>
        <w:t>by the Finance Act, 2014.</w:t>
      </w:r>
    </w:p>
  </w:footnote>
  <w:footnote w:id="157">
    <w:p w:rsidR="00BF2117" w:rsidRPr="00412620" w:rsidRDefault="00BF2117">
      <w:pPr>
        <w:pStyle w:val="FootnoteText"/>
        <w:rPr>
          <w:sz w:val="16"/>
          <w:szCs w:val="16"/>
          <w:lang w:val="en-US"/>
        </w:rPr>
      </w:pPr>
      <w:r w:rsidRPr="00412620">
        <w:rPr>
          <w:rStyle w:val="FootnoteReference"/>
          <w:szCs w:val="16"/>
        </w:rPr>
        <w:footnoteRef/>
      </w:r>
      <w:r w:rsidRPr="00412620">
        <w:rPr>
          <w:sz w:val="16"/>
          <w:szCs w:val="16"/>
        </w:rPr>
        <w:t xml:space="preserve"> Colon substituted by the Finance Act, 2013.</w:t>
      </w:r>
    </w:p>
  </w:footnote>
  <w:footnote w:id="158">
    <w:p w:rsidR="00BF2117" w:rsidRPr="00412620" w:rsidRDefault="00BF2117">
      <w:pPr>
        <w:pStyle w:val="FootnoteText"/>
        <w:rPr>
          <w:sz w:val="16"/>
        </w:rPr>
      </w:pPr>
      <w:r w:rsidRPr="00412620">
        <w:rPr>
          <w:rStyle w:val="FootnoteReference"/>
        </w:rPr>
        <w:footnoteRef/>
      </w:r>
      <w:r w:rsidRPr="00412620">
        <w:rPr>
          <w:sz w:val="16"/>
        </w:rPr>
        <w:t xml:space="preserve"> Proviso omitted by the Finance Act, 2013. The omitted proviso read as follows: </w:t>
      </w:r>
    </w:p>
    <w:p w:rsidR="00BF2117" w:rsidRPr="00412620" w:rsidRDefault="00BF2117">
      <w:pPr>
        <w:pStyle w:val="FootnoteText"/>
        <w:rPr>
          <w:lang w:val="en-US"/>
        </w:rPr>
      </w:pPr>
      <w:r w:rsidRPr="00412620">
        <w:rPr>
          <w:sz w:val="18"/>
          <w:lang w:val="en-US"/>
        </w:rPr>
        <w:t xml:space="preserve">  “</w:t>
      </w:r>
      <w:r w:rsidRPr="00412620">
        <w:rPr>
          <w:rFonts w:cs="Arial"/>
          <w:sz w:val="16"/>
        </w:rPr>
        <w:t>Provided that the provision of this section shall not apply to dividend received by a company.”</w:t>
      </w:r>
    </w:p>
  </w:footnote>
  <w:footnote w:id="159">
    <w:p w:rsidR="00BF2117" w:rsidRPr="00412620" w:rsidRDefault="00BF2117" w:rsidP="002D1C19">
      <w:pPr>
        <w:pStyle w:val="FootnoteText"/>
        <w:rPr>
          <w:sz w:val="16"/>
          <w:szCs w:val="16"/>
          <w:lang w:val="en-US"/>
        </w:rPr>
      </w:pPr>
      <w:r w:rsidRPr="00412620">
        <w:rPr>
          <w:rStyle w:val="FootnoteReference"/>
        </w:rPr>
        <w:footnoteRef/>
      </w:r>
      <w:r w:rsidRPr="00412620">
        <w:rPr>
          <w:sz w:val="16"/>
          <w:szCs w:val="16"/>
        </w:rPr>
        <w:t>Inserted by the Finance Act, 2012.</w:t>
      </w:r>
    </w:p>
  </w:footnote>
  <w:footnote w:id="160">
    <w:p w:rsidR="00BF2117" w:rsidRPr="00412620" w:rsidRDefault="00BF2117" w:rsidP="00476893">
      <w:pPr>
        <w:pStyle w:val="FootnoteText"/>
        <w:ind w:left="180" w:hanging="180"/>
        <w:jc w:val="both"/>
        <w:rPr>
          <w:lang w:val="en-US"/>
        </w:rPr>
      </w:pPr>
      <w:r w:rsidRPr="00412620">
        <w:rPr>
          <w:rStyle w:val="FootnoteReference"/>
        </w:rPr>
        <w:footnoteRef/>
      </w:r>
      <w:r w:rsidRPr="00412620">
        <w:rPr>
          <w:sz w:val="16"/>
          <w:szCs w:val="16"/>
        </w:rPr>
        <w:t>The words “person’s income under each of the heads of income for the year” substituted by the Finance Act, 2012.</w:t>
      </w:r>
    </w:p>
  </w:footnote>
  <w:footnote w:id="161">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162">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163">
    <w:p w:rsidR="00BF2117" w:rsidRPr="00412620" w:rsidRDefault="00BF2117">
      <w:pPr>
        <w:keepNext/>
        <w:rPr>
          <w:sz w:val="16"/>
        </w:rPr>
      </w:pPr>
      <w:r w:rsidRPr="00412620">
        <w:rPr>
          <w:rStyle w:val="FootnoteReference"/>
          <w:rFonts w:cs="Arial"/>
          <w:sz w:val="22"/>
        </w:rPr>
        <w:footnoteRef/>
      </w:r>
      <w:r w:rsidRPr="00412620">
        <w:rPr>
          <w:sz w:val="16"/>
        </w:rPr>
        <w:t xml:space="preserve"> Clause (b) substituted by the Finance Act, 2002. The substituted clause (b) read as follows:</w:t>
      </w:r>
    </w:p>
    <w:p w:rsidR="00BF2117" w:rsidRPr="00412620" w:rsidRDefault="00BF2117" w:rsidP="00CD4A47">
      <w:pPr>
        <w:keepNext/>
        <w:ind w:left="533" w:firstLine="547"/>
        <w:rPr>
          <w:sz w:val="16"/>
          <w:szCs w:val="16"/>
        </w:rPr>
      </w:pPr>
      <w:r w:rsidRPr="00412620">
        <w:rPr>
          <w:sz w:val="16"/>
          <w:szCs w:val="16"/>
        </w:rPr>
        <w:t xml:space="preserve"> “(b)</w:t>
      </w:r>
      <w:r w:rsidRPr="00412620">
        <w:rPr>
          <w:sz w:val="16"/>
          <w:szCs w:val="16"/>
        </w:rPr>
        <w:tab/>
        <w:t>income from property;”</w:t>
      </w:r>
    </w:p>
  </w:footnote>
  <w:footnote w:id="164">
    <w:p w:rsidR="00BF2117" w:rsidRPr="00412620" w:rsidRDefault="00BF2117" w:rsidP="00CD4A47">
      <w:pPr>
        <w:keepNext/>
        <w:rPr>
          <w:sz w:val="16"/>
        </w:rPr>
      </w:pPr>
      <w:r w:rsidRPr="00412620">
        <w:rPr>
          <w:rStyle w:val="FootnoteReference"/>
          <w:rFonts w:cs="Arial"/>
          <w:sz w:val="22"/>
        </w:rPr>
        <w:footnoteRef/>
      </w:r>
      <w:r w:rsidRPr="00412620">
        <w:rPr>
          <w:sz w:val="16"/>
        </w:rPr>
        <w:t xml:space="preserve"> Clause (c) substituted by the Finance Act, 2002. The substituted clause (c) read as follows:</w:t>
      </w:r>
    </w:p>
    <w:p w:rsidR="00BF2117" w:rsidRPr="00412620" w:rsidRDefault="00BF2117" w:rsidP="00CD4A47">
      <w:pPr>
        <w:keepNext/>
        <w:ind w:left="1087" w:hanging="7"/>
        <w:jc w:val="both"/>
        <w:rPr>
          <w:rFonts w:cs="Arial"/>
          <w:sz w:val="16"/>
          <w:szCs w:val="16"/>
        </w:rPr>
      </w:pPr>
      <w:r w:rsidRPr="00412620">
        <w:rPr>
          <w:sz w:val="16"/>
          <w:szCs w:val="16"/>
        </w:rPr>
        <w:t xml:space="preserve">  “(c)</w:t>
      </w:r>
      <w:r w:rsidRPr="00412620">
        <w:rPr>
          <w:sz w:val="16"/>
          <w:szCs w:val="16"/>
        </w:rPr>
        <w:tab/>
        <w:t xml:space="preserve">income from business;” </w:t>
      </w:r>
    </w:p>
  </w:footnote>
  <w:footnote w:id="165">
    <w:p w:rsidR="00BF2117" w:rsidRPr="00412620" w:rsidRDefault="00BF2117" w:rsidP="00CD4A47">
      <w:pPr>
        <w:keepNext/>
        <w:rPr>
          <w:sz w:val="16"/>
        </w:rPr>
      </w:pPr>
      <w:r w:rsidRPr="00412620">
        <w:rPr>
          <w:rStyle w:val="FootnoteReference"/>
          <w:rFonts w:cs="Arial"/>
          <w:sz w:val="22"/>
        </w:rPr>
        <w:footnoteRef/>
      </w:r>
      <w:r w:rsidRPr="00412620">
        <w:rPr>
          <w:sz w:val="16"/>
        </w:rPr>
        <w:t xml:space="preserve"> Clause (d) substituted by the Finance Act, 2002. The substituted clause (d) read as follows:</w:t>
      </w:r>
    </w:p>
    <w:p w:rsidR="00BF2117" w:rsidRPr="00412620" w:rsidRDefault="00BF2117" w:rsidP="00CD4A47">
      <w:pPr>
        <w:keepNext/>
        <w:ind w:left="1087" w:hanging="7"/>
        <w:jc w:val="both"/>
        <w:rPr>
          <w:rFonts w:cs="Arial"/>
          <w:sz w:val="16"/>
          <w:szCs w:val="16"/>
        </w:rPr>
      </w:pPr>
      <w:r w:rsidRPr="00412620">
        <w:rPr>
          <w:sz w:val="16"/>
          <w:szCs w:val="16"/>
        </w:rPr>
        <w:t xml:space="preserve">  “(d)</w:t>
      </w:r>
      <w:r w:rsidRPr="00412620">
        <w:rPr>
          <w:sz w:val="16"/>
          <w:szCs w:val="16"/>
        </w:rPr>
        <w:tab/>
        <w:t>capital gains; and”</w:t>
      </w:r>
    </w:p>
  </w:footnote>
  <w:footnote w:id="166">
    <w:p w:rsidR="00BF2117" w:rsidRPr="00412620" w:rsidRDefault="00BF2117" w:rsidP="00CD4A47">
      <w:pPr>
        <w:keepNext/>
        <w:rPr>
          <w:sz w:val="16"/>
        </w:rPr>
      </w:pPr>
      <w:r w:rsidRPr="00412620">
        <w:rPr>
          <w:rStyle w:val="FootnoteReference"/>
          <w:rFonts w:cs="Arial"/>
          <w:sz w:val="22"/>
        </w:rPr>
        <w:footnoteRef/>
      </w:r>
      <w:r w:rsidRPr="00412620">
        <w:rPr>
          <w:sz w:val="16"/>
        </w:rPr>
        <w:t xml:space="preserve"> Clause (e) substituted by the Finance Act, 2002. The substituted clause (e) read as follows:</w:t>
      </w:r>
    </w:p>
    <w:p w:rsidR="00BF2117" w:rsidRPr="00412620" w:rsidRDefault="00BF2117" w:rsidP="00CD4A47">
      <w:pPr>
        <w:keepNext/>
        <w:ind w:left="1087" w:hanging="7"/>
        <w:jc w:val="both"/>
        <w:rPr>
          <w:rFonts w:cs="Arial"/>
          <w:sz w:val="16"/>
        </w:rPr>
      </w:pPr>
      <w:r w:rsidRPr="00412620">
        <w:rPr>
          <w:rFonts w:cs="Arial"/>
          <w:sz w:val="16"/>
        </w:rPr>
        <w:t xml:space="preserve">  “(e)</w:t>
      </w:r>
      <w:r w:rsidRPr="00412620">
        <w:rPr>
          <w:rFonts w:cs="Arial"/>
          <w:sz w:val="16"/>
        </w:rPr>
        <w:tab/>
        <w:t>income from other sources.”</w:t>
      </w:r>
    </w:p>
    <w:p w:rsidR="00BF2117" w:rsidRPr="00412620" w:rsidRDefault="00BF2117" w:rsidP="00CD4A47">
      <w:pPr>
        <w:pStyle w:val="FootnoteText"/>
        <w:ind w:left="180" w:firstLine="0"/>
        <w:rPr>
          <w:rFonts w:cs="Arial"/>
          <w:sz w:val="16"/>
        </w:rPr>
      </w:pPr>
    </w:p>
  </w:footnote>
  <w:footnote w:id="167">
    <w:p w:rsidR="00BF2117" w:rsidRPr="00412620" w:rsidRDefault="00BF2117">
      <w:pPr>
        <w:pStyle w:val="FootnoteText"/>
        <w:rPr>
          <w:sz w:val="16"/>
          <w:szCs w:val="16"/>
          <w:lang w:val="en-US"/>
        </w:rPr>
      </w:pPr>
      <w:r w:rsidRPr="00412620">
        <w:rPr>
          <w:rStyle w:val="FootnoteReference"/>
        </w:rPr>
        <w:footnoteRef/>
      </w:r>
      <w:r w:rsidRPr="00412620">
        <w:rPr>
          <w:sz w:val="16"/>
          <w:szCs w:val="16"/>
        </w:rPr>
        <w:t>Semi-colon substituted by the Finance Act, 20</w:t>
      </w:r>
      <w:r>
        <w:rPr>
          <w:sz w:val="16"/>
          <w:szCs w:val="16"/>
        </w:rPr>
        <w:t>15</w:t>
      </w:r>
      <w:r w:rsidRPr="00412620">
        <w:rPr>
          <w:sz w:val="16"/>
          <w:szCs w:val="16"/>
        </w:rPr>
        <w:t>.</w:t>
      </w:r>
    </w:p>
  </w:footnote>
  <w:footnote w:id="168">
    <w:p w:rsidR="00BF2117" w:rsidRDefault="00BF2117">
      <w:pPr>
        <w:pStyle w:val="FootnoteText"/>
        <w:rPr>
          <w:sz w:val="16"/>
        </w:rPr>
      </w:pPr>
      <w:r w:rsidRPr="00412620">
        <w:rPr>
          <w:rStyle w:val="FootnoteReference"/>
        </w:rPr>
        <w:footnoteRef/>
      </w:r>
      <w:r>
        <w:rPr>
          <w:sz w:val="16"/>
        </w:rPr>
        <w:t xml:space="preserve"> Omitted </w:t>
      </w:r>
      <w:r w:rsidRPr="00412620">
        <w:rPr>
          <w:sz w:val="16"/>
        </w:rPr>
        <w:t>by the Finance Act, 20</w:t>
      </w:r>
      <w:r>
        <w:rPr>
          <w:sz w:val="16"/>
        </w:rPr>
        <w:t>15</w:t>
      </w:r>
      <w:r w:rsidRPr="00412620">
        <w:rPr>
          <w:sz w:val="16"/>
        </w:rPr>
        <w:t>.</w:t>
      </w:r>
      <w:r>
        <w:rPr>
          <w:sz w:val="16"/>
        </w:rPr>
        <w:t xml:space="preserve"> The omitted proviso read as follows:-  </w:t>
      </w:r>
    </w:p>
    <w:p w:rsidR="00BF2117" w:rsidRPr="00197C44" w:rsidRDefault="00BF2117" w:rsidP="00197C44">
      <w:pPr>
        <w:pStyle w:val="FootnoteText"/>
        <w:ind w:left="180" w:firstLine="540"/>
        <w:jc w:val="both"/>
        <w:rPr>
          <w:sz w:val="16"/>
          <w:szCs w:val="16"/>
          <w:lang w:val="en-US"/>
        </w:rPr>
      </w:pPr>
      <w:r w:rsidRPr="00197C44">
        <w:rPr>
          <w:rFonts w:cs="Arial"/>
          <w:sz w:val="16"/>
          <w:szCs w:val="16"/>
        </w:rPr>
        <w:t>Provided that any bonus paid or payable to corporate emplo</w:t>
      </w:r>
      <w:r>
        <w:rPr>
          <w:rFonts w:cs="Arial"/>
          <w:sz w:val="16"/>
          <w:szCs w:val="16"/>
        </w:rPr>
        <w:t xml:space="preserve">yees receiving salary income of </w:t>
      </w:r>
      <w:r w:rsidRPr="00197C44">
        <w:rPr>
          <w:rFonts w:cs="Arial"/>
          <w:sz w:val="16"/>
          <w:szCs w:val="16"/>
        </w:rPr>
        <w:t>one million rupees or more (excluding bonus) in tax year 2010, shall be chargeable to tax at the rate provided in paragraph (2) of Division I o</w:t>
      </w:r>
      <w:r>
        <w:rPr>
          <w:rFonts w:cs="Arial"/>
          <w:sz w:val="16"/>
          <w:szCs w:val="16"/>
        </w:rPr>
        <w:t>f Part I of the First Schedule;</w:t>
      </w:r>
    </w:p>
  </w:footnote>
  <w:footnote w:id="169">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p>
  </w:footnote>
  <w:footnote w:id="170">
    <w:p w:rsidR="00BF2117" w:rsidRPr="00245086" w:rsidRDefault="00BF2117" w:rsidP="00807B0B">
      <w:pPr>
        <w:pStyle w:val="FootnoteText"/>
        <w:ind w:left="0" w:firstLine="0"/>
        <w:jc w:val="both"/>
        <w:rPr>
          <w:color w:val="000000" w:themeColor="text1"/>
          <w:sz w:val="16"/>
          <w:szCs w:val="16"/>
        </w:rPr>
      </w:pPr>
      <w:r w:rsidRPr="00245086">
        <w:rPr>
          <w:rStyle w:val="FootnoteReference"/>
          <w:color w:val="000000" w:themeColor="text1"/>
        </w:rPr>
        <w:footnoteRef/>
      </w:r>
      <w:r w:rsidRPr="00245086">
        <w:rPr>
          <w:color w:val="000000" w:themeColor="text1"/>
          <w:sz w:val="16"/>
          <w:szCs w:val="16"/>
        </w:rPr>
        <w:t>Substituted by the Finance Ordinance, 2002. The substituted sub-section (3) read as follows:-</w:t>
      </w:r>
    </w:p>
    <w:p w:rsidR="00BF2117" w:rsidRPr="00245086" w:rsidRDefault="00BF2117" w:rsidP="00503947">
      <w:pPr>
        <w:pStyle w:val="FootnoteText"/>
        <w:ind w:left="180" w:hanging="180"/>
        <w:jc w:val="both"/>
        <w:rPr>
          <w:color w:val="000000" w:themeColor="text1"/>
          <w:sz w:val="16"/>
          <w:szCs w:val="16"/>
        </w:rPr>
      </w:pPr>
      <w:r w:rsidRPr="00245086">
        <w:rPr>
          <w:color w:val="000000" w:themeColor="text1"/>
          <w:sz w:val="16"/>
          <w:szCs w:val="16"/>
        </w:rPr>
        <w:tab/>
        <w:t>“ (3)</w:t>
      </w:r>
      <w:r w:rsidRPr="00245086">
        <w:rPr>
          <w:color w:val="000000" w:themeColor="text1"/>
          <w:sz w:val="16"/>
          <w:szCs w:val="16"/>
        </w:rPr>
        <w:tab/>
        <w:t xml:space="preserve">Subject to sub-section (4), where, in a tax year, a motor vehicle is provided by an employer to an employee wholly or partly for the private use of the employee, the amount chargeable to tax to the employee under the head “Salary” for that year shall include the amount computed in accordance with the following formula, namely:- </w:t>
      </w:r>
    </w:p>
    <w:p w:rsidR="00BF2117" w:rsidRPr="00245086" w:rsidRDefault="00BF2117" w:rsidP="00807B0B">
      <w:pPr>
        <w:pStyle w:val="FootnoteText"/>
        <w:jc w:val="center"/>
        <w:rPr>
          <w:color w:val="000000" w:themeColor="text1"/>
          <w:sz w:val="16"/>
          <w:szCs w:val="16"/>
        </w:rPr>
      </w:pPr>
      <w:r w:rsidRPr="00245086">
        <w:rPr>
          <w:color w:val="000000" w:themeColor="text1"/>
          <w:sz w:val="16"/>
          <w:szCs w:val="16"/>
        </w:rPr>
        <w:t>(A*B)-C</w:t>
      </w:r>
    </w:p>
    <w:p w:rsidR="00BF2117" w:rsidRPr="00245086" w:rsidRDefault="00BF2117" w:rsidP="00245086">
      <w:pPr>
        <w:pStyle w:val="FootnoteText"/>
        <w:ind w:hanging="173"/>
        <w:rPr>
          <w:color w:val="000000" w:themeColor="text1"/>
          <w:sz w:val="16"/>
          <w:szCs w:val="16"/>
        </w:rPr>
      </w:pPr>
      <w:r w:rsidRPr="00245086">
        <w:rPr>
          <w:color w:val="000000" w:themeColor="text1"/>
          <w:sz w:val="16"/>
          <w:szCs w:val="16"/>
        </w:rPr>
        <w:t xml:space="preserve">Where, </w:t>
      </w:r>
    </w:p>
    <w:p w:rsidR="00BF2117" w:rsidRPr="00245086" w:rsidRDefault="00BF2117" w:rsidP="00807B0B">
      <w:pPr>
        <w:pStyle w:val="FootnoteText"/>
        <w:rPr>
          <w:color w:val="000000" w:themeColor="text1"/>
          <w:sz w:val="16"/>
          <w:szCs w:val="16"/>
        </w:rPr>
      </w:pPr>
      <w:r w:rsidRPr="00245086">
        <w:rPr>
          <w:color w:val="000000" w:themeColor="text1"/>
          <w:sz w:val="16"/>
          <w:szCs w:val="16"/>
        </w:rPr>
        <w:t>A</w:t>
      </w:r>
      <w:r w:rsidRPr="00245086">
        <w:rPr>
          <w:color w:val="000000" w:themeColor="text1"/>
          <w:sz w:val="16"/>
          <w:szCs w:val="16"/>
        </w:rPr>
        <w:tab/>
        <w:t>is the cost to the employer of acquiring the motor vehicle or, if the vehicle is leased by the employer, the fair market value of the vehicle at the commencement of the lease;</w:t>
      </w:r>
    </w:p>
    <w:p w:rsidR="00BF2117" w:rsidRPr="00245086" w:rsidRDefault="00BF2117" w:rsidP="00807B0B">
      <w:pPr>
        <w:pStyle w:val="FootnoteText"/>
        <w:rPr>
          <w:color w:val="000000" w:themeColor="text1"/>
          <w:sz w:val="16"/>
          <w:szCs w:val="16"/>
        </w:rPr>
      </w:pPr>
      <w:r w:rsidRPr="00245086">
        <w:rPr>
          <w:color w:val="000000" w:themeColor="text1"/>
          <w:sz w:val="16"/>
          <w:szCs w:val="16"/>
        </w:rPr>
        <w:t>B</w:t>
      </w:r>
      <w:r w:rsidRPr="00245086">
        <w:rPr>
          <w:color w:val="000000" w:themeColor="text1"/>
          <w:sz w:val="16"/>
          <w:szCs w:val="16"/>
        </w:rPr>
        <w:tab/>
        <w:t>is-</w:t>
      </w:r>
    </w:p>
    <w:p w:rsidR="00BF2117" w:rsidRPr="00245086" w:rsidRDefault="00BF2117" w:rsidP="00807B0B">
      <w:pPr>
        <w:pStyle w:val="FootnoteText"/>
        <w:rPr>
          <w:color w:val="000000" w:themeColor="text1"/>
          <w:sz w:val="16"/>
          <w:szCs w:val="16"/>
        </w:rPr>
      </w:pPr>
      <w:r w:rsidRPr="00245086">
        <w:rPr>
          <w:color w:val="000000" w:themeColor="text1"/>
          <w:sz w:val="16"/>
          <w:szCs w:val="16"/>
        </w:rPr>
        <w:tab/>
        <w:t>(a)</w:t>
      </w:r>
      <w:r w:rsidRPr="00245086">
        <w:rPr>
          <w:color w:val="000000" w:themeColor="text1"/>
          <w:sz w:val="16"/>
          <w:szCs w:val="16"/>
        </w:rPr>
        <w:tab/>
        <w:t>where the vehicle is wholly for private use, fifteen per cent;</w:t>
      </w:r>
    </w:p>
    <w:p w:rsidR="00BF2117" w:rsidRPr="00245086" w:rsidRDefault="00BF2117" w:rsidP="00807B0B">
      <w:pPr>
        <w:pStyle w:val="FootnoteText"/>
        <w:rPr>
          <w:color w:val="000000" w:themeColor="text1"/>
          <w:sz w:val="16"/>
          <w:szCs w:val="16"/>
        </w:rPr>
      </w:pPr>
      <w:r w:rsidRPr="00245086">
        <w:rPr>
          <w:color w:val="000000" w:themeColor="text1"/>
          <w:sz w:val="16"/>
          <w:szCs w:val="16"/>
        </w:rPr>
        <w:tab/>
        <w:t>(b)</w:t>
      </w:r>
      <w:r w:rsidRPr="00245086">
        <w:rPr>
          <w:color w:val="000000" w:themeColor="text1"/>
          <w:sz w:val="16"/>
          <w:szCs w:val="16"/>
        </w:rPr>
        <w:tab/>
        <w:t>where the vehicle is only partly for private use, seven and a half per cent; and</w:t>
      </w:r>
    </w:p>
    <w:p w:rsidR="00BF2117" w:rsidRPr="00807B0B" w:rsidRDefault="00BF2117" w:rsidP="00807B0B">
      <w:pPr>
        <w:pStyle w:val="FootnoteText"/>
        <w:rPr>
          <w:color w:val="00B0F0"/>
          <w:sz w:val="16"/>
          <w:szCs w:val="16"/>
          <w:lang w:val="en-US"/>
        </w:rPr>
      </w:pPr>
      <w:r w:rsidRPr="00245086">
        <w:rPr>
          <w:color w:val="000000" w:themeColor="text1"/>
          <w:sz w:val="16"/>
          <w:szCs w:val="16"/>
        </w:rPr>
        <w:t>C</w:t>
      </w:r>
      <w:r w:rsidRPr="00245086">
        <w:rPr>
          <w:color w:val="000000" w:themeColor="text1"/>
          <w:sz w:val="16"/>
          <w:szCs w:val="16"/>
        </w:rPr>
        <w:tab/>
        <w:t>is any payment made by the employee for the use of the motor vehicle or for its running costs.”</w:t>
      </w:r>
    </w:p>
  </w:footnote>
  <w:footnote w:id="171">
    <w:p w:rsidR="00BF2117" w:rsidRPr="00412620" w:rsidRDefault="00BF2117">
      <w:pPr>
        <w:pStyle w:val="FootnoteText"/>
        <w:keepNext/>
        <w:rPr>
          <w:sz w:val="16"/>
        </w:rPr>
      </w:pPr>
      <w:r w:rsidRPr="00412620">
        <w:rPr>
          <w:rStyle w:val="FootnoteReference"/>
          <w:rFonts w:cs="Arial"/>
        </w:rPr>
        <w:footnoteRef/>
      </w:r>
      <w:r w:rsidRPr="00412620">
        <w:rPr>
          <w:sz w:val="16"/>
        </w:rPr>
        <w:t xml:space="preserve"> Sub-section (4) omitted by the Finance Act, 2002. The omitted sub-section (4) read as follows:</w:t>
      </w:r>
    </w:p>
    <w:p w:rsidR="00BF2117" w:rsidRPr="00412620" w:rsidRDefault="00BF2117" w:rsidP="009C1738">
      <w:pPr>
        <w:ind w:left="180" w:firstLine="367"/>
        <w:jc w:val="both"/>
        <w:rPr>
          <w:rFonts w:cs="Arial"/>
          <w:sz w:val="16"/>
        </w:rPr>
      </w:pPr>
      <w:r w:rsidRPr="00412620">
        <w:rPr>
          <w:rFonts w:cs="Arial"/>
          <w:sz w:val="16"/>
        </w:rPr>
        <w:t xml:space="preserve">“(4) </w:t>
      </w:r>
      <w:r w:rsidRPr="00412620">
        <w:rPr>
          <w:rFonts w:cs="Arial"/>
          <w:sz w:val="16"/>
        </w:rPr>
        <w:tab/>
        <w:t>Where a motor vehicle referred to in sub-section (3) is available to more than one employee for a tax year, the amount chargeable to tax under the head “Salary” for each such employee for that year shall be the amount determined under sub-section (3) divided by the number of employees permitted to use the vehicle.”</w:t>
      </w:r>
    </w:p>
  </w:footnote>
  <w:footnote w:id="172">
    <w:p w:rsidR="00BF2117" w:rsidRPr="00412620" w:rsidRDefault="00BF2117">
      <w:pPr>
        <w:pStyle w:val="FootnoteText"/>
        <w:rPr>
          <w:sz w:val="16"/>
        </w:rPr>
      </w:pPr>
      <w:r w:rsidRPr="00412620">
        <w:rPr>
          <w:rStyle w:val="FootnoteReference"/>
          <w:rFonts w:cs="Arial"/>
        </w:rPr>
        <w:footnoteRef/>
      </w:r>
      <w:r w:rsidRPr="00412620">
        <w:rPr>
          <w:sz w:val="16"/>
        </w:rPr>
        <w:t xml:space="preserve"> The words “domestic assistant” substituted by the Finance Act, 2002</w:t>
      </w:r>
    </w:p>
  </w:footnote>
  <w:footnote w:id="173">
    <w:p w:rsidR="00BF2117" w:rsidRPr="00412620" w:rsidRDefault="00BF2117">
      <w:pPr>
        <w:pStyle w:val="FootnoteText"/>
        <w:rPr>
          <w:sz w:val="16"/>
        </w:rPr>
      </w:pPr>
      <w:r w:rsidRPr="00412620">
        <w:rPr>
          <w:rStyle w:val="FootnoteReference"/>
          <w:rFonts w:cs="Arial"/>
        </w:rPr>
        <w:footnoteRef/>
      </w:r>
      <w:r w:rsidRPr="00412620">
        <w:rPr>
          <w:sz w:val="16"/>
        </w:rPr>
        <w:t xml:space="preserve"> The words  “by the employee” substituted by the Finance Act, 2002</w:t>
      </w:r>
    </w:p>
  </w:footnote>
  <w:footnote w:id="174">
    <w:p w:rsidR="00BF2117" w:rsidRPr="00412620" w:rsidRDefault="00BF2117">
      <w:pPr>
        <w:pStyle w:val="FootnoteText"/>
        <w:keepNext/>
        <w:ind w:left="180" w:hanging="180"/>
        <w:rPr>
          <w:sz w:val="16"/>
        </w:rPr>
      </w:pPr>
      <w:r w:rsidRPr="00412620">
        <w:rPr>
          <w:rStyle w:val="FootnoteReference"/>
          <w:rFonts w:cs="Arial"/>
        </w:rPr>
        <w:footnoteRef/>
      </w:r>
      <w:r w:rsidRPr="00412620">
        <w:rPr>
          <w:sz w:val="16"/>
        </w:rPr>
        <w:t xml:space="preserve"> Sub-section (7) substituted by the Finance Act, 2002. The substituted sub-section (7) read as follows:</w:t>
      </w:r>
    </w:p>
    <w:p w:rsidR="00BF2117" w:rsidRPr="00412620" w:rsidRDefault="00BF2117">
      <w:pPr>
        <w:pStyle w:val="FootnoteText"/>
        <w:keepLines/>
        <w:ind w:left="187" w:firstLine="360"/>
        <w:jc w:val="both"/>
        <w:rPr>
          <w:rFonts w:cs="Arial"/>
          <w:sz w:val="16"/>
        </w:rPr>
      </w:pPr>
      <w:r w:rsidRPr="00412620">
        <w:rPr>
          <w:rFonts w:cs="Arial"/>
          <w:sz w:val="16"/>
        </w:rPr>
        <w:t>“(7)</w:t>
      </w:r>
      <w:r w:rsidRPr="00412620">
        <w:rPr>
          <w:rFonts w:cs="Arial"/>
          <w:sz w:val="16"/>
        </w:rPr>
        <w:tab/>
        <w:t>Where, in a tax year, a loan is made by an employer to an employee, the amount chargeable to tax to the employee under the head “Salary” for that year shall include the difference between the profit paid by the employee on the loan in the tax year, if any, and the profit which would have been paid by the employee on the loan for the year if the loan had been made at the benchmark rate for that year.”</w:t>
      </w:r>
    </w:p>
  </w:footnote>
  <w:footnote w:id="175">
    <w:p w:rsidR="00BF2117" w:rsidRPr="00412620" w:rsidRDefault="00BF2117">
      <w:pPr>
        <w:pStyle w:val="FootnoteText"/>
        <w:rPr>
          <w:sz w:val="16"/>
          <w:szCs w:val="16"/>
          <w:lang w:val="en-US"/>
        </w:rPr>
      </w:pPr>
      <w:r w:rsidRPr="00412620">
        <w:rPr>
          <w:rStyle w:val="FootnoteReference"/>
        </w:rPr>
        <w:footnoteRef/>
      </w:r>
      <w:r w:rsidRPr="00412620">
        <w:rPr>
          <w:sz w:val="16"/>
          <w:szCs w:val="16"/>
        </w:rPr>
        <w:t>Full stop substituted by the Finance Act, 2010.</w:t>
      </w:r>
    </w:p>
  </w:footnote>
  <w:footnote w:id="176">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2010.</w:t>
      </w:r>
    </w:p>
  </w:footnote>
  <w:footnote w:id="177">
    <w:p w:rsidR="00BF2117" w:rsidRPr="00412620" w:rsidRDefault="00BF2117">
      <w:pPr>
        <w:pStyle w:val="FootnoteText"/>
        <w:rPr>
          <w:lang w:val="en-US"/>
        </w:rPr>
      </w:pPr>
      <w:r w:rsidRPr="00412620">
        <w:rPr>
          <w:rStyle w:val="FootnoteReference"/>
        </w:rPr>
        <w:footnoteRef/>
      </w:r>
      <w:r w:rsidRPr="00412620">
        <w:rPr>
          <w:sz w:val="16"/>
          <w:szCs w:val="16"/>
        </w:rPr>
        <w:t>Full stop substituted by the Finance Act, 2012.</w:t>
      </w:r>
    </w:p>
  </w:footnote>
  <w:footnote w:id="178">
    <w:p w:rsidR="00BF2117" w:rsidRPr="00412620" w:rsidRDefault="00BF2117">
      <w:pPr>
        <w:pStyle w:val="FootnoteText"/>
        <w:rPr>
          <w:lang w:val="en-US"/>
        </w:rPr>
      </w:pPr>
      <w:r w:rsidRPr="00412620">
        <w:rPr>
          <w:rStyle w:val="FootnoteReference"/>
        </w:rPr>
        <w:footnoteRef/>
      </w:r>
      <w:r w:rsidRPr="00412620">
        <w:rPr>
          <w:sz w:val="16"/>
          <w:szCs w:val="16"/>
        </w:rPr>
        <w:t>Added by the Finance Act, 2012.</w:t>
      </w:r>
    </w:p>
  </w:footnote>
  <w:footnote w:id="179">
    <w:p w:rsidR="00BF2117" w:rsidRPr="00412620" w:rsidRDefault="00BF2117">
      <w:pPr>
        <w:pStyle w:val="FootnoteText"/>
        <w:rPr>
          <w:sz w:val="16"/>
        </w:rPr>
      </w:pPr>
      <w:r w:rsidRPr="00412620">
        <w:rPr>
          <w:rStyle w:val="FootnoteReference"/>
          <w:rFonts w:cs="Arial"/>
        </w:rPr>
        <w:footnoteRef/>
      </w:r>
      <w:r w:rsidRPr="00412620">
        <w:rPr>
          <w:sz w:val="16"/>
        </w:rPr>
        <w:t xml:space="preserve"> The word “property” substituted by the Finance Act, 2002</w:t>
      </w:r>
    </w:p>
  </w:footnote>
  <w:footnote w:id="180">
    <w:p w:rsidR="00BF2117" w:rsidRPr="00245086" w:rsidRDefault="00BF2117">
      <w:pPr>
        <w:pStyle w:val="FootnoteText"/>
        <w:rPr>
          <w:color w:val="000000" w:themeColor="text1"/>
          <w:lang w:val="en-US"/>
        </w:rPr>
      </w:pPr>
      <w:r w:rsidRPr="00245086">
        <w:rPr>
          <w:rStyle w:val="FootnoteReference"/>
          <w:color w:val="000000" w:themeColor="text1"/>
        </w:rPr>
        <w:footnoteRef/>
      </w:r>
      <w:r w:rsidRPr="00245086">
        <w:rPr>
          <w:color w:val="000000" w:themeColor="text1"/>
          <w:sz w:val="16"/>
          <w:szCs w:val="16"/>
          <w:lang w:val="en-US"/>
        </w:rPr>
        <w:t>The word “the” omitted by the Finance Act, 2014</w:t>
      </w:r>
    </w:p>
  </w:footnote>
  <w:footnote w:id="181">
    <w:p w:rsidR="00BF2117" w:rsidRPr="00412620" w:rsidRDefault="00BF2117">
      <w:pPr>
        <w:pStyle w:val="FootnoteText"/>
        <w:rPr>
          <w:sz w:val="16"/>
        </w:rPr>
      </w:pPr>
      <w:r w:rsidRPr="00412620">
        <w:rPr>
          <w:rStyle w:val="FootnoteReference"/>
          <w:rFonts w:cs="Arial"/>
        </w:rPr>
        <w:footnoteRef/>
      </w:r>
      <w:r w:rsidRPr="00412620">
        <w:rPr>
          <w:sz w:val="16"/>
        </w:rPr>
        <w:t xml:space="preserve"> The word “owed” substituted by the Finance Act, 2002</w:t>
      </w:r>
    </w:p>
  </w:footnote>
  <w:footnote w:id="182">
    <w:p w:rsidR="00BF2117" w:rsidRPr="00412620" w:rsidRDefault="00BF2117" w:rsidP="00FB6412">
      <w:pPr>
        <w:keepNext/>
        <w:ind w:left="180" w:hanging="180"/>
        <w:jc w:val="both"/>
        <w:rPr>
          <w:sz w:val="16"/>
        </w:rPr>
      </w:pPr>
      <w:r w:rsidRPr="00412620">
        <w:rPr>
          <w:rStyle w:val="FootnoteReference"/>
          <w:rFonts w:cs="Arial"/>
          <w:sz w:val="22"/>
        </w:rPr>
        <w:footnoteRef/>
      </w:r>
      <w:r w:rsidRPr="00412620">
        <w:rPr>
          <w:sz w:val="16"/>
        </w:rPr>
        <w:t xml:space="preserve"> Sub-section (12) substituted by the Finance Act, 2002. The substituted sub-section (12) read as follows:</w:t>
      </w:r>
    </w:p>
    <w:p w:rsidR="00BF2117" w:rsidRPr="00412620" w:rsidRDefault="00BF2117">
      <w:pPr>
        <w:keepNext/>
        <w:ind w:left="180" w:firstLine="367"/>
        <w:jc w:val="both"/>
        <w:rPr>
          <w:rFonts w:cs="Arial"/>
          <w:strike/>
          <w:sz w:val="16"/>
        </w:rPr>
      </w:pPr>
      <w:r w:rsidRPr="00412620">
        <w:rPr>
          <w:rFonts w:cs="Arial"/>
          <w:sz w:val="16"/>
        </w:rPr>
        <w:t>“(12)</w:t>
      </w:r>
      <w:r w:rsidRPr="00412620">
        <w:rPr>
          <w:rFonts w:cs="Arial"/>
          <w:sz w:val="16"/>
        </w:rPr>
        <w:tab/>
        <w:t>Where, in a tax year, accommodation or housing is provided by an employer to an employee, the amount chargeable to tax to the employee under the head “Salary” for that year shall include –</w:t>
      </w:r>
    </w:p>
    <w:p w:rsidR="00BF2117" w:rsidRPr="00412620" w:rsidRDefault="00BF2117">
      <w:pPr>
        <w:pStyle w:val="BodyTextIndent"/>
        <w:keepNext/>
        <w:ind w:left="1620" w:hanging="540"/>
        <w:jc w:val="both"/>
        <w:rPr>
          <w:rFonts w:cs="Arial"/>
          <w:sz w:val="16"/>
        </w:rPr>
      </w:pPr>
      <w:r w:rsidRPr="00412620">
        <w:rPr>
          <w:rFonts w:cs="Arial"/>
          <w:sz w:val="16"/>
        </w:rPr>
        <w:t>(a)</w:t>
      </w:r>
      <w:r w:rsidRPr="00412620">
        <w:rPr>
          <w:rFonts w:cs="Arial"/>
          <w:sz w:val="16"/>
        </w:rPr>
        <w:tab/>
        <w:t xml:space="preserve">where the employer or an associate owns the accommodation or housing, the fair market rent of the accommodation or housing; or </w:t>
      </w:r>
    </w:p>
    <w:p w:rsidR="00BF2117" w:rsidRPr="00412620" w:rsidRDefault="00BF2117">
      <w:pPr>
        <w:pStyle w:val="BodyTextIndent"/>
        <w:ind w:left="1620" w:hanging="540"/>
        <w:jc w:val="both"/>
        <w:rPr>
          <w:rFonts w:cs="Arial"/>
          <w:sz w:val="16"/>
        </w:rPr>
      </w:pPr>
      <w:r w:rsidRPr="00412620">
        <w:rPr>
          <w:rFonts w:cs="Arial"/>
          <w:sz w:val="16"/>
        </w:rPr>
        <w:t>(b)</w:t>
      </w:r>
      <w:r w:rsidRPr="00412620">
        <w:rPr>
          <w:rFonts w:cs="Arial"/>
          <w:sz w:val="16"/>
        </w:rPr>
        <w:tab/>
        <w:t>in any other case, the rent paid by the employer for the accommodation or housing, as reduced by any payment made by the employee for the accommodation or housing.”</w:t>
      </w:r>
    </w:p>
  </w:footnote>
  <w:footnote w:id="183">
    <w:p w:rsidR="00BF2117" w:rsidRPr="00412620" w:rsidRDefault="00BF2117">
      <w:pPr>
        <w:pStyle w:val="FootnoteText"/>
        <w:rPr>
          <w:sz w:val="16"/>
        </w:rPr>
      </w:pPr>
      <w:r w:rsidRPr="00412620">
        <w:rPr>
          <w:rStyle w:val="FootnoteReference"/>
          <w:rFonts w:cs="Arial"/>
        </w:rPr>
        <w:footnoteRef/>
      </w:r>
      <w:r w:rsidRPr="00412620">
        <w:rPr>
          <w:sz w:val="16"/>
        </w:rPr>
        <w:t>Inserted by the Finance Act, 2002</w:t>
      </w:r>
    </w:p>
  </w:footnote>
  <w:footnote w:id="184">
    <w:p w:rsidR="00BF2117" w:rsidRPr="00412620" w:rsidRDefault="00BF2117" w:rsidP="000C3320">
      <w:pPr>
        <w:keepNext/>
        <w:ind w:left="180" w:hanging="180"/>
        <w:jc w:val="both"/>
        <w:rPr>
          <w:sz w:val="16"/>
        </w:rPr>
      </w:pPr>
      <w:r w:rsidRPr="00412620">
        <w:rPr>
          <w:rStyle w:val="FootnoteReference"/>
          <w:rFonts w:cs="Arial"/>
          <w:sz w:val="22"/>
        </w:rPr>
        <w:footnoteRef/>
      </w:r>
      <w:r w:rsidRPr="00412620">
        <w:rPr>
          <w:sz w:val="16"/>
        </w:rPr>
        <w:t xml:space="preserve"> Sub-section (14) substituted  by the Finance Act, 2002. The substituted sub-section (14) read as follows:</w:t>
      </w:r>
    </w:p>
    <w:p w:rsidR="00BF2117" w:rsidRPr="00412620" w:rsidRDefault="00BF2117">
      <w:pPr>
        <w:keepNext/>
        <w:ind w:firstLine="547"/>
        <w:jc w:val="both"/>
        <w:rPr>
          <w:rFonts w:cs="Arial"/>
          <w:sz w:val="16"/>
        </w:rPr>
      </w:pPr>
      <w:r w:rsidRPr="00412620">
        <w:rPr>
          <w:rFonts w:cs="Arial"/>
          <w:sz w:val="16"/>
        </w:rPr>
        <w:t>“(14)</w:t>
      </w:r>
      <w:r w:rsidRPr="00412620">
        <w:rPr>
          <w:rFonts w:cs="Arial"/>
          <w:sz w:val="16"/>
        </w:rPr>
        <w:tab/>
        <w:t>In this section, -</w:t>
      </w:r>
    </w:p>
    <w:p w:rsidR="00BF2117" w:rsidRPr="00412620" w:rsidRDefault="00BF2117">
      <w:pPr>
        <w:keepNext/>
        <w:ind w:left="1094"/>
        <w:jc w:val="both"/>
        <w:rPr>
          <w:rFonts w:cs="Arial"/>
          <w:sz w:val="16"/>
        </w:rPr>
      </w:pPr>
      <w:r w:rsidRPr="00412620">
        <w:rPr>
          <w:rFonts w:cs="Arial"/>
          <w:sz w:val="16"/>
        </w:rPr>
        <w:t xml:space="preserve">“benchmark rate” means the State Bank of Pakistan discount rate at the commencement of the tax year; </w:t>
      </w:r>
    </w:p>
    <w:p w:rsidR="00BF2117" w:rsidRPr="00412620" w:rsidRDefault="00BF2117">
      <w:pPr>
        <w:pStyle w:val="BodyTextIndent2"/>
        <w:keepNext/>
        <w:ind w:firstLine="374"/>
        <w:jc w:val="both"/>
        <w:rPr>
          <w:rFonts w:cs="Arial"/>
          <w:sz w:val="16"/>
        </w:rPr>
      </w:pPr>
      <w:r w:rsidRPr="00412620">
        <w:rPr>
          <w:rFonts w:cs="Arial"/>
          <w:sz w:val="16"/>
        </w:rPr>
        <w:t xml:space="preserve">“services” includes the making available of any facility; and  </w:t>
      </w:r>
    </w:p>
    <w:p w:rsidR="00BF2117" w:rsidRPr="00412620" w:rsidRDefault="00BF2117">
      <w:pPr>
        <w:pStyle w:val="FootnoteText"/>
        <w:ind w:firstLine="374"/>
        <w:rPr>
          <w:rFonts w:cs="Arial"/>
          <w:sz w:val="16"/>
        </w:rPr>
      </w:pPr>
      <w:r w:rsidRPr="00412620">
        <w:rPr>
          <w:rFonts w:cs="Arial"/>
          <w:sz w:val="16"/>
        </w:rPr>
        <w:t>“utilities” includes electricity, gas, water and telephone.”</w:t>
      </w:r>
    </w:p>
  </w:footnote>
  <w:footnote w:id="185">
    <w:p w:rsidR="00BF2117" w:rsidRPr="00412620" w:rsidRDefault="00BF2117" w:rsidP="006A7402">
      <w:pPr>
        <w:pStyle w:val="FootnoteText"/>
        <w:ind w:left="180" w:hanging="180"/>
        <w:rPr>
          <w:lang w:val="en-US"/>
        </w:rPr>
      </w:pPr>
      <w:r w:rsidRPr="00412620">
        <w:rPr>
          <w:rStyle w:val="FootnoteReference"/>
        </w:rPr>
        <w:footnoteRef/>
      </w:r>
      <w:r w:rsidRPr="00412620">
        <w:rPr>
          <w:sz w:val="16"/>
          <w:szCs w:val="16"/>
        </w:rPr>
        <w:t>The words “</w:t>
      </w:r>
      <w:r w:rsidRPr="00412620">
        <w:rPr>
          <w:rFonts w:cs="Arial"/>
          <w:sz w:val="16"/>
          <w:szCs w:val="16"/>
        </w:rPr>
        <w:t>such rate, if any, as the Federal</w:t>
      </w:r>
      <w:r w:rsidRPr="00412620">
        <w:rPr>
          <w:sz w:val="16"/>
          <w:szCs w:val="16"/>
        </w:rPr>
        <w:t>.</w:t>
      </w:r>
      <w:r w:rsidRPr="00412620">
        <w:rPr>
          <w:rFonts w:cs="Arial"/>
          <w:sz w:val="16"/>
          <w:szCs w:val="16"/>
        </w:rPr>
        <w:t xml:space="preserve"> Government may, by notification, specify”</w:t>
      </w:r>
      <w:r w:rsidRPr="00412620">
        <w:rPr>
          <w:sz w:val="16"/>
          <w:szCs w:val="16"/>
        </w:rPr>
        <w:t xml:space="preserve"> substituted by the Finance Act, 2012</w:t>
      </w:r>
    </w:p>
  </w:footnote>
  <w:footnote w:id="186">
    <w:p w:rsidR="00BF2117" w:rsidRPr="00412620" w:rsidRDefault="00BF2117">
      <w:pPr>
        <w:pStyle w:val="FootnoteText"/>
        <w:rPr>
          <w:sz w:val="16"/>
        </w:rPr>
      </w:pPr>
      <w:r w:rsidRPr="00412620">
        <w:rPr>
          <w:rStyle w:val="FootnoteReference"/>
          <w:rFonts w:cs="Arial"/>
        </w:rPr>
        <w:footnoteRef/>
      </w:r>
      <w:r w:rsidRPr="00412620">
        <w:rPr>
          <w:sz w:val="16"/>
        </w:rPr>
        <w:t xml:space="preserve"> Substituted for the word “in” by the Finance Act, 2003.</w:t>
      </w:r>
    </w:p>
  </w:footnote>
  <w:footnote w:id="187">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188">
    <w:p w:rsidR="00BF2117" w:rsidRPr="00412620" w:rsidRDefault="00BF2117" w:rsidP="00097994">
      <w:pPr>
        <w:pStyle w:val="FootnoteText"/>
        <w:ind w:left="180" w:hanging="180"/>
        <w:jc w:val="both"/>
        <w:rPr>
          <w:sz w:val="16"/>
          <w:szCs w:val="16"/>
        </w:rPr>
      </w:pPr>
      <w:r w:rsidRPr="00412620">
        <w:rPr>
          <w:rStyle w:val="FootnoteReference"/>
          <w:szCs w:val="16"/>
        </w:rPr>
        <w:footnoteRef/>
      </w:r>
      <w:r w:rsidRPr="00412620">
        <w:rPr>
          <w:sz w:val="16"/>
          <w:szCs w:val="16"/>
        </w:rPr>
        <w:t xml:space="preserve"> Sub-section (6) omitted by the Finance Act, 2013. The omitted sub-section (6) read as follows:</w:t>
      </w:r>
    </w:p>
    <w:p w:rsidR="00BF2117" w:rsidRPr="00412620" w:rsidRDefault="00BF2117" w:rsidP="00B56AFF">
      <w:pPr>
        <w:pStyle w:val="FootnoteText"/>
        <w:ind w:left="1094" w:hanging="547"/>
        <w:jc w:val="both"/>
        <w:rPr>
          <w:sz w:val="16"/>
          <w:szCs w:val="16"/>
          <w:lang w:val="en-US"/>
        </w:rPr>
      </w:pPr>
      <w:r w:rsidRPr="00412620">
        <w:rPr>
          <w:sz w:val="12"/>
          <w:szCs w:val="16"/>
        </w:rPr>
        <w:t>“</w:t>
      </w:r>
      <w:r w:rsidRPr="00412620">
        <w:rPr>
          <w:rFonts w:cs="Arial"/>
          <w:sz w:val="16"/>
        </w:rPr>
        <w:t xml:space="preserve">(6) </w:t>
      </w:r>
      <w:r w:rsidRPr="00412620">
        <w:rPr>
          <w:rFonts w:cs="Arial"/>
          <w:sz w:val="16"/>
        </w:rPr>
        <w:tab/>
        <w:t>Income under this section shall be liable to tax at the rate specified in Division VI of Part I of the First Schedule.”</w:t>
      </w:r>
    </w:p>
  </w:footnote>
  <w:footnote w:id="189">
    <w:p w:rsidR="00BF2117" w:rsidRPr="00412620" w:rsidRDefault="00BF2117">
      <w:pPr>
        <w:pStyle w:val="FootnoteText"/>
        <w:rPr>
          <w:sz w:val="16"/>
          <w:szCs w:val="16"/>
        </w:rPr>
      </w:pPr>
      <w:r w:rsidRPr="00412620">
        <w:rPr>
          <w:rStyle w:val="FootnoteReference"/>
        </w:rPr>
        <w:footnoteRef/>
      </w:r>
      <w:r w:rsidRPr="00412620">
        <w:rPr>
          <w:sz w:val="16"/>
          <w:szCs w:val="16"/>
        </w:rPr>
        <w:t>Sub-section (7) omitted by the Finance Act, 2013. The omitted sub-section (6) read as follows:</w:t>
      </w:r>
    </w:p>
    <w:p w:rsidR="00BF2117" w:rsidRPr="00412620" w:rsidRDefault="00BF2117" w:rsidP="00B7598E">
      <w:pPr>
        <w:ind w:left="547"/>
        <w:jc w:val="both"/>
        <w:rPr>
          <w:rFonts w:cs="Arial"/>
          <w:sz w:val="16"/>
          <w:szCs w:val="16"/>
        </w:rPr>
      </w:pPr>
      <w:r w:rsidRPr="00412620">
        <w:rPr>
          <w:sz w:val="16"/>
          <w:szCs w:val="16"/>
        </w:rPr>
        <w:t>“</w:t>
      </w:r>
      <w:r w:rsidRPr="00412620">
        <w:rPr>
          <w:rFonts w:cs="Arial"/>
          <w:sz w:val="16"/>
          <w:szCs w:val="16"/>
        </w:rPr>
        <w:t xml:space="preserve">(7) </w:t>
      </w:r>
      <w:r w:rsidRPr="00412620">
        <w:rPr>
          <w:rFonts w:cs="Arial"/>
          <w:sz w:val="16"/>
          <w:szCs w:val="16"/>
        </w:rPr>
        <w:tab/>
        <w:t xml:space="preserve">the provisions of sub-section (1), shall not apply in respect of a taxpayer who— </w:t>
      </w:r>
    </w:p>
    <w:p w:rsidR="00BF2117" w:rsidRPr="00412620" w:rsidRDefault="00BF2117" w:rsidP="00B7598E">
      <w:pPr>
        <w:jc w:val="both"/>
        <w:rPr>
          <w:rFonts w:cs="Arial"/>
          <w:sz w:val="16"/>
          <w:szCs w:val="16"/>
        </w:rPr>
      </w:pPr>
      <w:r w:rsidRPr="00412620">
        <w:rPr>
          <w:rFonts w:cs="Arial"/>
          <w:sz w:val="16"/>
          <w:szCs w:val="16"/>
        </w:rPr>
        <w:tab/>
        <w:t xml:space="preserve">   (i) </w:t>
      </w:r>
      <w:r w:rsidRPr="00412620">
        <w:rPr>
          <w:rFonts w:cs="Arial"/>
          <w:sz w:val="16"/>
          <w:szCs w:val="16"/>
        </w:rPr>
        <w:tab/>
        <w:t xml:space="preserve">is an individual or association of persons; </w:t>
      </w:r>
      <w:r w:rsidRPr="00412620">
        <w:rPr>
          <w:rFonts w:cs="Arial"/>
          <w:sz w:val="16"/>
          <w:szCs w:val="16"/>
        </w:rPr>
        <w:tab/>
      </w:r>
    </w:p>
    <w:p w:rsidR="00BF2117" w:rsidRPr="00412620" w:rsidRDefault="00BF2117" w:rsidP="00B7598E">
      <w:pPr>
        <w:ind w:left="1094" w:hanging="554"/>
        <w:jc w:val="both"/>
        <w:rPr>
          <w:rFonts w:cs="Arial"/>
          <w:sz w:val="16"/>
          <w:szCs w:val="16"/>
        </w:rPr>
      </w:pPr>
      <w:r w:rsidRPr="00412620">
        <w:rPr>
          <w:rFonts w:cs="Arial"/>
          <w:sz w:val="16"/>
          <w:szCs w:val="16"/>
        </w:rPr>
        <w:t xml:space="preserve">  (ii) </w:t>
      </w:r>
      <w:r w:rsidRPr="00412620">
        <w:rPr>
          <w:rFonts w:cs="Arial"/>
          <w:sz w:val="16"/>
          <w:szCs w:val="16"/>
        </w:rPr>
        <w:tab/>
        <w:t>derives income chargeable to tax under this section not exceeding  Rs. 150,000 in a tax year; and</w:t>
      </w:r>
    </w:p>
    <w:p w:rsidR="00BF2117" w:rsidRPr="00412620" w:rsidRDefault="00BF2117" w:rsidP="00B7598E">
      <w:pPr>
        <w:ind w:left="1094" w:hanging="554"/>
        <w:jc w:val="both"/>
        <w:rPr>
          <w:rFonts w:cs="Arial"/>
          <w:sz w:val="16"/>
          <w:szCs w:val="16"/>
        </w:rPr>
      </w:pPr>
      <w:r w:rsidRPr="00412620">
        <w:rPr>
          <w:rFonts w:cs="Arial"/>
          <w:sz w:val="16"/>
          <w:szCs w:val="16"/>
        </w:rPr>
        <w:t xml:space="preserve"> (iii) </w:t>
      </w:r>
      <w:r w:rsidRPr="00412620">
        <w:rPr>
          <w:rFonts w:cs="Arial"/>
          <w:sz w:val="16"/>
          <w:szCs w:val="16"/>
        </w:rPr>
        <w:tab/>
        <w:t>does not derive taxable income under any other head.”</w:t>
      </w:r>
    </w:p>
  </w:footnote>
  <w:footnote w:id="190">
    <w:p w:rsidR="00BF2117" w:rsidRPr="00D612BA" w:rsidRDefault="00BF2117">
      <w:pPr>
        <w:pStyle w:val="FootnoteText"/>
        <w:rPr>
          <w:color w:val="0070C0"/>
          <w:lang w:val="en-US"/>
        </w:rPr>
      </w:pPr>
      <w:r w:rsidRPr="00D612BA">
        <w:rPr>
          <w:rStyle w:val="FootnoteReference"/>
          <w:color w:val="0070C0"/>
        </w:rPr>
        <w:footnoteRef/>
      </w:r>
      <w:r w:rsidRPr="00D612BA">
        <w:rPr>
          <w:color w:val="0070C0"/>
          <w:sz w:val="16"/>
          <w:szCs w:val="16"/>
        </w:rPr>
        <w:t xml:space="preserve"> Inserted by the Finance Act, 2016.</w:t>
      </w:r>
    </w:p>
  </w:footnote>
  <w:footnote w:id="191">
    <w:p w:rsidR="00BF2117" w:rsidRPr="00D612BA" w:rsidRDefault="00BF2117">
      <w:pPr>
        <w:pStyle w:val="FootnoteText"/>
        <w:rPr>
          <w:color w:val="0070C0"/>
          <w:lang w:val="en-US"/>
        </w:rPr>
      </w:pPr>
      <w:r w:rsidRPr="00D612BA">
        <w:rPr>
          <w:rStyle w:val="FootnoteReference"/>
          <w:color w:val="0070C0"/>
        </w:rPr>
        <w:footnoteRef/>
      </w:r>
      <w:r w:rsidRPr="00D612BA">
        <w:rPr>
          <w:color w:val="0070C0"/>
          <w:sz w:val="16"/>
          <w:szCs w:val="16"/>
        </w:rPr>
        <w:t xml:space="preserve"> Inserted by the Finance Act, 2016.</w:t>
      </w:r>
    </w:p>
  </w:footnote>
  <w:footnote w:id="192">
    <w:p w:rsidR="00BF2117" w:rsidRPr="00E504DB" w:rsidRDefault="00BF2117">
      <w:pPr>
        <w:pStyle w:val="FootnoteText"/>
        <w:rPr>
          <w:lang w:val="en-US"/>
        </w:rPr>
      </w:pPr>
      <w:r>
        <w:rPr>
          <w:rStyle w:val="FootnoteReference"/>
        </w:rPr>
        <w:footnoteRef/>
      </w:r>
      <w:r w:rsidRPr="00412620">
        <w:rPr>
          <w:sz w:val="16"/>
          <w:szCs w:val="16"/>
        </w:rPr>
        <w:t>Inserted by the Finance Act, 2013.</w:t>
      </w:r>
    </w:p>
  </w:footnote>
  <w:footnote w:id="193">
    <w:p w:rsidR="00BF2117" w:rsidRPr="00D612BA" w:rsidRDefault="00BF2117">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The word “person” substituted by the Finance Act, 2016.</w:t>
      </w:r>
    </w:p>
  </w:footnote>
  <w:footnote w:id="194">
    <w:p w:rsidR="00BF2117" w:rsidRPr="00D612BA" w:rsidRDefault="00BF2117" w:rsidP="00727072">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The word “person” substituted by the Finance Act, 2016.</w:t>
      </w:r>
    </w:p>
  </w:footnote>
  <w:footnote w:id="195">
    <w:p w:rsidR="00BF2117" w:rsidRPr="00D612BA" w:rsidRDefault="00BF2117" w:rsidP="00727072">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w:t>
      </w:r>
      <w:r w:rsidRPr="00D612BA">
        <w:rPr>
          <w:rStyle w:val="FootnoteReference"/>
          <w:color w:val="0070C0"/>
          <w:sz w:val="16"/>
          <w:szCs w:val="16"/>
        </w:rPr>
        <w:footnoteRef/>
      </w:r>
      <w:r w:rsidRPr="00D612BA">
        <w:rPr>
          <w:color w:val="0070C0"/>
          <w:sz w:val="16"/>
          <w:szCs w:val="16"/>
        </w:rPr>
        <w:t>The word “person” substituted by the Finance Act, 2016.</w:t>
      </w:r>
    </w:p>
  </w:footnote>
  <w:footnote w:id="196">
    <w:p w:rsidR="00BF2117" w:rsidRPr="00D612BA" w:rsidRDefault="00BF2117" w:rsidP="00727072">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The word “person” substituted by the Finance Act, 2016.</w:t>
      </w:r>
    </w:p>
  </w:footnote>
  <w:footnote w:id="197">
    <w:p w:rsidR="00BF2117" w:rsidRPr="00D612BA" w:rsidRDefault="00BF2117" w:rsidP="00210F31">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The word “person” substituted by the Finance Act, 2016.</w:t>
      </w:r>
    </w:p>
  </w:footnote>
  <w:footnote w:id="198">
    <w:p w:rsidR="00BF2117" w:rsidRPr="00D612BA" w:rsidRDefault="00BF2117" w:rsidP="00210F31">
      <w:pPr>
        <w:pStyle w:val="FootnoteText"/>
        <w:rPr>
          <w:color w:val="0070C0"/>
          <w:sz w:val="16"/>
          <w:szCs w:val="16"/>
          <w:lang w:val="en-US"/>
        </w:rPr>
      </w:pPr>
      <w:r w:rsidRPr="00D612BA">
        <w:rPr>
          <w:rStyle w:val="FootnoteReference"/>
          <w:color w:val="0070C0"/>
          <w:sz w:val="16"/>
          <w:szCs w:val="16"/>
        </w:rPr>
        <w:footnoteRef/>
      </w:r>
      <w:r w:rsidRPr="00D612BA">
        <w:rPr>
          <w:color w:val="0070C0"/>
          <w:sz w:val="16"/>
          <w:szCs w:val="16"/>
        </w:rPr>
        <w:t xml:space="preserve"> The word “person” substituted by the Finance Act, 2016.</w:t>
      </w:r>
    </w:p>
  </w:footnote>
  <w:footnote w:id="199">
    <w:p w:rsidR="00BF2117" w:rsidRPr="00D612BA" w:rsidRDefault="00BF2117" w:rsidP="00210F31">
      <w:pPr>
        <w:pStyle w:val="FootnoteText"/>
        <w:rPr>
          <w:color w:val="0070C0"/>
          <w:lang w:val="en-US"/>
        </w:rPr>
      </w:pPr>
      <w:r w:rsidRPr="00D612BA">
        <w:rPr>
          <w:rStyle w:val="FootnoteReference"/>
          <w:color w:val="0070C0"/>
        </w:rPr>
        <w:footnoteRef/>
      </w:r>
      <w:r w:rsidRPr="00D612BA">
        <w:rPr>
          <w:color w:val="0070C0"/>
        </w:rPr>
        <w:t xml:space="preserve"> </w:t>
      </w:r>
      <w:r w:rsidRPr="00D612BA">
        <w:rPr>
          <w:color w:val="0070C0"/>
          <w:sz w:val="16"/>
          <w:szCs w:val="16"/>
        </w:rPr>
        <w:t>The word “person” substituted by the Finance Act, 2016.</w:t>
      </w:r>
    </w:p>
  </w:footnote>
  <w:footnote w:id="200">
    <w:p w:rsidR="00BF2117" w:rsidRDefault="00BF2117" w:rsidP="00210F31">
      <w:pPr>
        <w:ind w:left="1094" w:hanging="1094"/>
        <w:jc w:val="both"/>
        <w:rPr>
          <w:sz w:val="16"/>
        </w:rPr>
      </w:pPr>
      <w:r>
        <w:rPr>
          <w:rStyle w:val="FootnoteReference"/>
        </w:rPr>
        <w:footnoteRef/>
      </w:r>
      <w:r w:rsidRPr="00AC737C">
        <w:rPr>
          <w:sz w:val="16"/>
          <w:szCs w:val="16"/>
        </w:rPr>
        <w:t>Clause</w:t>
      </w:r>
      <w:r>
        <w:rPr>
          <w:sz w:val="16"/>
        </w:rPr>
        <w:t xml:space="preserve"> (h) </w:t>
      </w:r>
      <w:r w:rsidRPr="00412620">
        <w:rPr>
          <w:sz w:val="16"/>
        </w:rPr>
        <w:t>substituted by the Finance Act, 20</w:t>
      </w:r>
      <w:r>
        <w:rPr>
          <w:sz w:val="16"/>
        </w:rPr>
        <w:t>15</w:t>
      </w:r>
      <w:r w:rsidRPr="00412620">
        <w:rPr>
          <w:sz w:val="16"/>
        </w:rPr>
        <w:t>. The substituted (</w:t>
      </w:r>
      <w:r>
        <w:rPr>
          <w:sz w:val="16"/>
        </w:rPr>
        <w:t>h</w:t>
      </w:r>
      <w:r w:rsidRPr="00412620">
        <w:rPr>
          <w:sz w:val="16"/>
        </w:rPr>
        <w:t>) read as follows</w:t>
      </w:r>
      <w:r>
        <w:rPr>
          <w:sz w:val="16"/>
        </w:rPr>
        <w:t>:-</w:t>
      </w:r>
    </w:p>
    <w:p w:rsidR="00BF2117" w:rsidRPr="00AC737C" w:rsidRDefault="00BF2117" w:rsidP="00110E2F">
      <w:pPr>
        <w:ind w:left="900" w:hanging="450"/>
        <w:jc w:val="both"/>
        <w:rPr>
          <w:lang w:val="en-US"/>
        </w:rPr>
      </w:pPr>
      <w:r w:rsidRPr="00AC737C">
        <w:rPr>
          <w:rFonts w:cs="Arial"/>
          <w:sz w:val="16"/>
          <w:szCs w:val="16"/>
        </w:rPr>
        <w:t xml:space="preserve">“(h) </w:t>
      </w:r>
      <w:r w:rsidRPr="00AC737C">
        <w:rPr>
          <w:rFonts w:cs="Arial"/>
          <w:sz w:val="16"/>
          <w:szCs w:val="16"/>
        </w:rPr>
        <w:tab/>
        <w:t>any expenditure (not exceeding six per cent of the rent chargeable to tax in respect of the property for the year computed before any deduction allowed under this section) paid or payable by the person in the year for the purpose of collecting the rent due in respect of the property;”</w:t>
      </w:r>
    </w:p>
  </w:footnote>
  <w:footnote w:id="201">
    <w:p w:rsidR="00BF2117" w:rsidRPr="00D612BA" w:rsidRDefault="00BF2117" w:rsidP="00210F31">
      <w:pPr>
        <w:pStyle w:val="FootnoteText"/>
        <w:rPr>
          <w:color w:val="0070C0"/>
          <w:lang w:val="en-US"/>
        </w:rPr>
      </w:pPr>
      <w:r w:rsidRPr="00D612BA">
        <w:rPr>
          <w:rStyle w:val="FootnoteReference"/>
          <w:color w:val="0070C0"/>
        </w:rPr>
        <w:footnoteRef/>
      </w:r>
      <w:r w:rsidRPr="00D612BA">
        <w:rPr>
          <w:color w:val="0070C0"/>
        </w:rPr>
        <w:t xml:space="preserve"> </w:t>
      </w:r>
      <w:r w:rsidRPr="00D612BA">
        <w:rPr>
          <w:color w:val="0070C0"/>
          <w:sz w:val="16"/>
          <w:szCs w:val="16"/>
        </w:rPr>
        <w:t>The word “person” substituted by the Finance Act, 2016.</w:t>
      </w:r>
    </w:p>
  </w:footnote>
  <w:footnote w:id="202">
    <w:p w:rsidR="00BF2117" w:rsidRPr="00D612BA" w:rsidRDefault="00BF2117" w:rsidP="00210F31">
      <w:pPr>
        <w:pStyle w:val="FootnoteText"/>
        <w:rPr>
          <w:color w:val="0070C0"/>
          <w:lang w:val="en-US"/>
        </w:rPr>
      </w:pPr>
      <w:r w:rsidRPr="00D612BA">
        <w:rPr>
          <w:rStyle w:val="FootnoteReference"/>
          <w:color w:val="0070C0"/>
        </w:rPr>
        <w:footnoteRef/>
      </w:r>
      <w:r w:rsidRPr="00D612BA">
        <w:rPr>
          <w:color w:val="0070C0"/>
        </w:rPr>
        <w:t xml:space="preserve"> </w:t>
      </w:r>
      <w:r w:rsidRPr="00D612BA">
        <w:rPr>
          <w:color w:val="0070C0"/>
          <w:sz w:val="16"/>
          <w:szCs w:val="16"/>
        </w:rPr>
        <w:t>The word “person” substituted by the Finance Act, 2016.</w:t>
      </w:r>
    </w:p>
  </w:footnote>
  <w:footnote w:id="203">
    <w:p w:rsidR="00BF2117" w:rsidRPr="00D612BA" w:rsidRDefault="00BF2117" w:rsidP="00210F31">
      <w:pPr>
        <w:pStyle w:val="FootnoteText"/>
        <w:rPr>
          <w:color w:val="0070C0"/>
          <w:lang w:val="en-US"/>
        </w:rPr>
      </w:pPr>
      <w:r w:rsidRPr="00D612BA">
        <w:rPr>
          <w:rStyle w:val="FootnoteReference"/>
          <w:color w:val="0070C0"/>
        </w:rPr>
        <w:footnoteRef/>
      </w:r>
      <w:r w:rsidRPr="00D612BA">
        <w:rPr>
          <w:color w:val="0070C0"/>
        </w:rPr>
        <w:t xml:space="preserve"> </w:t>
      </w:r>
      <w:r w:rsidRPr="00D612BA">
        <w:rPr>
          <w:color w:val="0070C0"/>
          <w:sz w:val="16"/>
          <w:szCs w:val="16"/>
        </w:rPr>
        <w:t>The word “person” substituted by the Finance Act, 2016.</w:t>
      </w:r>
    </w:p>
  </w:footnote>
  <w:footnote w:id="204">
    <w:p w:rsidR="00BF2117" w:rsidRPr="00D612BA" w:rsidRDefault="00BF2117" w:rsidP="00210F31">
      <w:pPr>
        <w:pStyle w:val="FootnoteText"/>
        <w:rPr>
          <w:color w:val="0070C0"/>
          <w:lang w:val="en-US"/>
        </w:rPr>
      </w:pPr>
      <w:r w:rsidRPr="00D612BA">
        <w:rPr>
          <w:rStyle w:val="FootnoteReference"/>
          <w:color w:val="0070C0"/>
        </w:rPr>
        <w:footnoteRef/>
      </w:r>
      <w:r w:rsidRPr="00D612BA">
        <w:rPr>
          <w:color w:val="0070C0"/>
        </w:rPr>
        <w:t xml:space="preserve"> </w:t>
      </w:r>
      <w:r w:rsidRPr="00D612BA">
        <w:rPr>
          <w:color w:val="0070C0"/>
          <w:sz w:val="16"/>
          <w:szCs w:val="16"/>
        </w:rPr>
        <w:t>The word “person” substituted by the Finance Act, 2016.</w:t>
      </w:r>
    </w:p>
  </w:footnote>
  <w:footnote w:id="205">
    <w:p w:rsidR="00BF2117" w:rsidRPr="00D612BA" w:rsidRDefault="00BF2117" w:rsidP="00210F31">
      <w:pPr>
        <w:pStyle w:val="FootnoteText"/>
        <w:rPr>
          <w:color w:val="0070C0"/>
          <w:lang w:val="en-US"/>
        </w:rPr>
      </w:pPr>
      <w:r w:rsidRPr="00D612BA">
        <w:rPr>
          <w:rStyle w:val="FootnoteReference"/>
          <w:color w:val="0070C0"/>
        </w:rPr>
        <w:footnoteRef/>
      </w:r>
      <w:r w:rsidRPr="00D612BA">
        <w:rPr>
          <w:color w:val="0070C0"/>
        </w:rPr>
        <w:t xml:space="preserve"> </w:t>
      </w:r>
      <w:r w:rsidRPr="00D612BA">
        <w:rPr>
          <w:color w:val="0070C0"/>
          <w:sz w:val="16"/>
          <w:szCs w:val="16"/>
        </w:rPr>
        <w:t>The word “person” substituted by the Finance Act, 2016.</w:t>
      </w:r>
    </w:p>
  </w:footnote>
  <w:footnote w:id="206">
    <w:p w:rsidR="00BF2117" w:rsidRPr="00B455DC" w:rsidRDefault="00BF2117" w:rsidP="00210F31">
      <w:pPr>
        <w:pStyle w:val="FootnoteText"/>
        <w:rPr>
          <w:color w:val="0070C0"/>
          <w:lang w:val="en-US"/>
        </w:rPr>
      </w:pPr>
      <w:r w:rsidRPr="00B455DC">
        <w:rPr>
          <w:rStyle w:val="FootnoteReference"/>
          <w:color w:val="0070C0"/>
        </w:rPr>
        <w:footnoteRef/>
      </w:r>
      <w:r w:rsidRPr="00B455DC">
        <w:rPr>
          <w:color w:val="0070C0"/>
        </w:rPr>
        <w:t xml:space="preserve"> </w:t>
      </w:r>
      <w:r w:rsidRPr="00B455DC">
        <w:rPr>
          <w:color w:val="0070C0"/>
          <w:sz w:val="16"/>
          <w:szCs w:val="16"/>
        </w:rPr>
        <w:t>The word “person” substituted by the Finance Act, 2016.</w:t>
      </w:r>
    </w:p>
  </w:footnote>
  <w:footnote w:id="207">
    <w:p w:rsidR="00BF2117" w:rsidRPr="00412620" w:rsidRDefault="00BF2117">
      <w:pPr>
        <w:pStyle w:val="FootnoteText"/>
        <w:rPr>
          <w:sz w:val="16"/>
          <w:szCs w:val="16"/>
        </w:rPr>
      </w:pPr>
      <w:r w:rsidRPr="00412620">
        <w:rPr>
          <w:rStyle w:val="FootnoteReference"/>
          <w:szCs w:val="16"/>
        </w:rPr>
        <w:footnoteRef/>
      </w:r>
      <w:r w:rsidRPr="00412620">
        <w:rPr>
          <w:sz w:val="16"/>
          <w:szCs w:val="16"/>
        </w:rPr>
        <w:t xml:space="preserve"> Section 17 omitted  by the Finance Act, 2006. The omitted section 17 read as follows: </w:t>
      </w:r>
    </w:p>
    <w:p w:rsidR="00BF2117" w:rsidRPr="00412620" w:rsidRDefault="00BF2117" w:rsidP="00BF513F">
      <w:pPr>
        <w:ind w:left="180"/>
        <w:jc w:val="both"/>
        <w:rPr>
          <w:sz w:val="16"/>
          <w:szCs w:val="16"/>
        </w:rPr>
      </w:pPr>
      <w:r w:rsidRPr="00412620">
        <w:rPr>
          <w:sz w:val="16"/>
          <w:szCs w:val="16"/>
          <w:lang w:val="en-US"/>
        </w:rPr>
        <w:tab/>
        <w:t>“</w:t>
      </w:r>
      <w:r w:rsidRPr="00412620">
        <w:rPr>
          <w:rFonts w:cs="Arial"/>
          <w:b/>
          <w:sz w:val="16"/>
          <w:szCs w:val="16"/>
        </w:rPr>
        <w:t>17.</w:t>
      </w:r>
      <w:r w:rsidRPr="00412620">
        <w:rPr>
          <w:rFonts w:cs="Arial"/>
          <w:b/>
          <w:sz w:val="16"/>
          <w:szCs w:val="16"/>
        </w:rPr>
        <w:tab/>
        <w:t>Deductions in computing income chargeable under the head “Income from Property”.-</w:t>
      </w:r>
      <w:r w:rsidRPr="00412620">
        <w:rPr>
          <w:sz w:val="16"/>
          <w:szCs w:val="16"/>
        </w:rPr>
        <w:t xml:space="preserve"> (1)  In computing the income of a person chargeable to tax under the head “Income from Property” for a tax year, a deduction shall be allowed for the following expenditures or allowances, namely:–</w:t>
      </w:r>
    </w:p>
    <w:p w:rsidR="00BF2117" w:rsidRPr="00412620" w:rsidRDefault="00BF2117" w:rsidP="00E85C54">
      <w:pPr>
        <w:ind w:left="90"/>
        <w:jc w:val="both"/>
        <w:rPr>
          <w:sz w:val="16"/>
          <w:szCs w:val="16"/>
        </w:rPr>
      </w:pPr>
    </w:p>
    <w:p w:rsidR="00BF2117" w:rsidRPr="00412620" w:rsidRDefault="00BF2117" w:rsidP="00E85C54">
      <w:pPr>
        <w:pStyle w:val="BodyTextIndent"/>
        <w:ind w:left="630" w:hanging="360"/>
        <w:jc w:val="both"/>
        <w:rPr>
          <w:rFonts w:cs="Arial"/>
          <w:sz w:val="16"/>
          <w:szCs w:val="16"/>
        </w:rPr>
      </w:pPr>
      <w:r w:rsidRPr="00412620">
        <w:rPr>
          <w:rFonts w:cs="Arial"/>
          <w:sz w:val="16"/>
          <w:szCs w:val="16"/>
        </w:rPr>
        <w:t>(a)</w:t>
      </w:r>
      <w:r w:rsidRPr="00412620">
        <w:rPr>
          <w:rFonts w:cs="Arial"/>
          <w:sz w:val="16"/>
          <w:szCs w:val="16"/>
        </w:rPr>
        <w:tab/>
        <w:t>In respect of repairs to a building, an allowance equal to one-fifth of the rent chargeable to tax in respect of the building for the year, computed before any deduction allowed under this section;</w:t>
      </w:r>
    </w:p>
    <w:p w:rsidR="00BF2117" w:rsidRPr="00412620" w:rsidRDefault="00BF2117" w:rsidP="00E85C54">
      <w:pPr>
        <w:pStyle w:val="BodyTextIndent"/>
        <w:ind w:left="630" w:hanging="360"/>
        <w:jc w:val="both"/>
        <w:rPr>
          <w:rFonts w:cs="Arial"/>
          <w:sz w:val="16"/>
          <w:szCs w:val="16"/>
        </w:rPr>
      </w:pPr>
      <w:r w:rsidRPr="00412620">
        <w:rPr>
          <w:rFonts w:cs="Arial"/>
          <w:sz w:val="16"/>
          <w:szCs w:val="16"/>
        </w:rPr>
        <w:t>(b)</w:t>
      </w:r>
      <w:r w:rsidRPr="00412620">
        <w:rPr>
          <w:rFonts w:cs="Arial"/>
          <w:sz w:val="16"/>
          <w:szCs w:val="16"/>
        </w:rPr>
        <w:tab/>
        <w:t>any premium paid or payable by the person in the year to insure the building against the risk of damage or destruction;</w:t>
      </w:r>
    </w:p>
    <w:p w:rsidR="00BF2117" w:rsidRPr="00412620" w:rsidRDefault="00BF2117" w:rsidP="00E85C54">
      <w:pPr>
        <w:pStyle w:val="BodyTextIndent"/>
        <w:ind w:left="630" w:hanging="360"/>
        <w:jc w:val="both"/>
        <w:rPr>
          <w:rFonts w:cs="Arial"/>
          <w:sz w:val="16"/>
          <w:szCs w:val="16"/>
        </w:rPr>
      </w:pPr>
      <w:r w:rsidRPr="00412620">
        <w:rPr>
          <w:rFonts w:cs="Arial"/>
          <w:sz w:val="16"/>
          <w:szCs w:val="16"/>
        </w:rPr>
        <w:t>(c)</w:t>
      </w:r>
      <w:r w:rsidRPr="00412620">
        <w:rPr>
          <w:rFonts w:cs="Arial"/>
          <w:sz w:val="16"/>
          <w:szCs w:val="16"/>
        </w:rPr>
        <w:tab/>
        <w:t>any local rate, tax, charge, or cess in respect of the property or the rent from the property paid or payable by the person to any local authority or government in the year, not being any tax payable under this Ordinance;</w:t>
      </w:r>
    </w:p>
    <w:p w:rsidR="00BF2117" w:rsidRPr="00412620" w:rsidRDefault="00BF2117" w:rsidP="00E85C54">
      <w:pPr>
        <w:pStyle w:val="BodyTextIndent"/>
        <w:ind w:left="630" w:hanging="360"/>
        <w:jc w:val="both"/>
        <w:rPr>
          <w:rFonts w:cs="Arial"/>
          <w:sz w:val="16"/>
          <w:szCs w:val="16"/>
        </w:rPr>
      </w:pPr>
      <w:r w:rsidRPr="00412620">
        <w:rPr>
          <w:rFonts w:cs="Arial"/>
          <w:sz w:val="16"/>
          <w:szCs w:val="16"/>
        </w:rPr>
        <w:t>(d)</w:t>
      </w:r>
      <w:r w:rsidRPr="00412620">
        <w:rPr>
          <w:rFonts w:cs="Arial"/>
          <w:sz w:val="16"/>
          <w:szCs w:val="16"/>
        </w:rPr>
        <w:tab/>
        <w:t>any ground rent paid or payable by the person in the year in respect of the property;</w:t>
      </w:r>
    </w:p>
    <w:p w:rsidR="00BF2117" w:rsidRPr="00412620" w:rsidRDefault="00BF2117" w:rsidP="00E85C54">
      <w:pPr>
        <w:pStyle w:val="BodyTextIndent"/>
        <w:ind w:left="630" w:hanging="360"/>
        <w:jc w:val="both"/>
        <w:rPr>
          <w:rFonts w:cs="Arial"/>
          <w:sz w:val="16"/>
          <w:szCs w:val="16"/>
        </w:rPr>
      </w:pPr>
      <w:r w:rsidRPr="00412620">
        <w:rPr>
          <w:rFonts w:cs="Arial"/>
          <w:sz w:val="16"/>
          <w:szCs w:val="16"/>
        </w:rPr>
        <w:t>(e)</w:t>
      </w:r>
      <w:r w:rsidRPr="00412620">
        <w:rPr>
          <w:rFonts w:cs="Arial"/>
          <w:sz w:val="16"/>
          <w:szCs w:val="16"/>
        </w:rPr>
        <w:tab/>
        <w:t>any profit paid or payable by the person in the year on any money borrowed including by way of mortgage, to acquire, construct, renovate, extend, or reconstruct the property;</w:t>
      </w:r>
    </w:p>
    <w:p w:rsidR="00BF2117" w:rsidRPr="00412620" w:rsidRDefault="00BF2117" w:rsidP="00E85C54">
      <w:pPr>
        <w:pStyle w:val="BodyTextIndent"/>
        <w:ind w:left="630" w:hanging="360"/>
        <w:jc w:val="both"/>
        <w:rPr>
          <w:rFonts w:cs="Arial"/>
          <w:sz w:val="16"/>
          <w:szCs w:val="16"/>
        </w:rPr>
      </w:pPr>
      <w:r w:rsidRPr="00412620">
        <w:rPr>
          <w:rFonts w:cs="Arial"/>
          <w:sz w:val="16"/>
          <w:szCs w:val="16"/>
        </w:rPr>
        <w:t>(f)</w:t>
      </w:r>
      <w:r w:rsidRPr="00412620">
        <w:rPr>
          <w:rFonts w:cs="Arial"/>
          <w:sz w:val="16"/>
          <w:szCs w:val="16"/>
        </w:rPr>
        <w:tab/>
        <w:t>where the property has been acquired, constructed, renovated, extended, or reconstructed by the person with capital contributed by the House Building Finance Corporation or a scheduled bank under a scheme of investment in property on the basis of sharing the rent made by the Corporation or bank, the share in rent and share towards appreciation in the value of property (excluding the return of capital, if any) from the property paid or payable by the person to the said Corporation or the bank in the year under that scheme;</w:t>
      </w:r>
    </w:p>
    <w:p w:rsidR="00BF2117" w:rsidRPr="00412620" w:rsidRDefault="00BF2117" w:rsidP="002E4C66">
      <w:pPr>
        <w:pStyle w:val="BodyTextIndent"/>
        <w:ind w:left="630" w:hanging="450"/>
        <w:jc w:val="both"/>
        <w:rPr>
          <w:rFonts w:cs="Arial"/>
          <w:sz w:val="16"/>
          <w:szCs w:val="16"/>
        </w:rPr>
      </w:pPr>
      <w:r w:rsidRPr="00412620">
        <w:rPr>
          <w:sz w:val="16"/>
          <w:szCs w:val="16"/>
        </w:rPr>
        <w:t xml:space="preserve"> (fa</w:t>
      </w:r>
      <w:r w:rsidRPr="00412620">
        <w:rPr>
          <w:rFonts w:cs="Arial"/>
          <w:sz w:val="16"/>
          <w:szCs w:val="16"/>
        </w:rPr>
        <w:t>)  where the property is subject to mortgage or other capital charge, the amount of profit or interest paid on such mortgage or charge;</w:t>
      </w:r>
    </w:p>
    <w:p w:rsidR="00BF2117" w:rsidRPr="00412620" w:rsidRDefault="00BF2117" w:rsidP="00E85C54">
      <w:pPr>
        <w:pStyle w:val="BodyTextIndent"/>
        <w:ind w:left="630" w:hanging="360"/>
        <w:jc w:val="both"/>
        <w:rPr>
          <w:rFonts w:cs="Arial"/>
          <w:sz w:val="16"/>
          <w:szCs w:val="16"/>
        </w:rPr>
      </w:pPr>
      <w:r w:rsidRPr="00412620">
        <w:rPr>
          <w:rFonts w:cs="Arial"/>
          <w:sz w:val="16"/>
          <w:szCs w:val="16"/>
        </w:rPr>
        <w:t>(g)</w:t>
      </w:r>
      <w:r w:rsidRPr="00412620">
        <w:rPr>
          <w:rFonts w:cs="Arial"/>
          <w:sz w:val="16"/>
          <w:szCs w:val="16"/>
        </w:rPr>
        <w:tab/>
        <w:t xml:space="preserve">any expenditure (not exceeding six </w:t>
      </w:r>
      <w:r>
        <w:rPr>
          <w:rFonts w:cs="Arial"/>
          <w:sz w:val="16"/>
          <w:szCs w:val="16"/>
        </w:rPr>
        <w:t>per cent</w:t>
      </w:r>
      <w:r w:rsidRPr="00412620">
        <w:rPr>
          <w:rFonts w:cs="Arial"/>
          <w:sz w:val="16"/>
          <w:szCs w:val="16"/>
        </w:rPr>
        <w:t xml:space="preserve"> of the rent chargeable to tax in respect of the property for the year computed before any deduction allowed under this section) paid or payable by the person in the year for the purpose of collecting the rent due in respect of the property;</w:t>
      </w:r>
    </w:p>
    <w:p w:rsidR="00BF2117" w:rsidRPr="00412620" w:rsidRDefault="00BF2117" w:rsidP="00E85C54">
      <w:pPr>
        <w:pStyle w:val="BodyTextIndent"/>
        <w:ind w:left="630" w:hanging="360"/>
        <w:jc w:val="both"/>
        <w:rPr>
          <w:rFonts w:cs="Arial"/>
          <w:sz w:val="16"/>
          <w:szCs w:val="16"/>
        </w:rPr>
      </w:pPr>
      <w:r w:rsidRPr="00412620">
        <w:rPr>
          <w:rFonts w:cs="Arial"/>
          <w:sz w:val="16"/>
          <w:szCs w:val="16"/>
        </w:rPr>
        <w:t>(h)</w:t>
      </w:r>
      <w:r w:rsidRPr="00412620">
        <w:rPr>
          <w:rFonts w:cs="Arial"/>
          <w:sz w:val="16"/>
          <w:szCs w:val="16"/>
        </w:rPr>
        <w:tab/>
        <w:t>any expenditure paid or payable by the person in the tax year for legal services acquired to defend the person’s title to the property or any suit connected with the property in a Court; and</w:t>
      </w:r>
    </w:p>
    <w:p w:rsidR="00BF2117" w:rsidRPr="00412620" w:rsidRDefault="00BF2117" w:rsidP="00E85C54">
      <w:pPr>
        <w:pStyle w:val="BodyTextIndent"/>
        <w:ind w:left="630" w:hanging="360"/>
        <w:jc w:val="both"/>
        <w:rPr>
          <w:rFonts w:cs="Arial"/>
          <w:sz w:val="16"/>
          <w:szCs w:val="16"/>
        </w:rPr>
      </w:pPr>
      <w:r w:rsidRPr="00412620">
        <w:rPr>
          <w:rFonts w:cs="Arial"/>
          <w:sz w:val="16"/>
          <w:szCs w:val="16"/>
        </w:rPr>
        <w:t>(i)</w:t>
      </w:r>
      <w:r w:rsidRPr="00412620">
        <w:rPr>
          <w:rFonts w:cs="Arial"/>
          <w:sz w:val="16"/>
          <w:szCs w:val="16"/>
        </w:rPr>
        <w:tab/>
        <w:t>where there are reasonable grounds for believing that any unpaid rent in respect of the property is irrecoverable, an allowance equal to the unpaid rent where –</w:t>
      </w:r>
    </w:p>
    <w:p w:rsidR="00BF2117" w:rsidRPr="00412620" w:rsidRDefault="00BF2117" w:rsidP="00851DAD">
      <w:pPr>
        <w:pStyle w:val="BodyTextIndent"/>
        <w:ind w:left="1080" w:hanging="450"/>
        <w:jc w:val="both"/>
        <w:rPr>
          <w:rFonts w:cs="Arial"/>
          <w:sz w:val="16"/>
          <w:szCs w:val="16"/>
        </w:rPr>
      </w:pPr>
    </w:p>
    <w:p w:rsidR="00BF2117" w:rsidRPr="00412620" w:rsidRDefault="00BF2117" w:rsidP="00851DAD">
      <w:pPr>
        <w:pStyle w:val="BodyTextIndent"/>
        <w:ind w:left="1080" w:hanging="450"/>
        <w:jc w:val="both"/>
        <w:rPr>
          <w:rFonts w:cs="Arial"/>
          <w:sz w:val="16"/>
          <w:szCs w:val="16"/>
        </w:rPr>
      </w:pPr>
      <w:r w:rsidRPr="00412620">
        <w:rPr>
          <w:rFonts w:cs="Arial"/>
          <w:sz w:val="16"/>
          <w:szCs w:val="16"/>
        </w:rPr>
        <w:t xml:space="preserve">  (i)</w:t>
      </w:r>
      <w:r w:rsidRPr="00412620">
        <w:rPr>
          <w:rFonts w:cs="Arial"/>
          <w:sz w:val="16"/>
          <w:szCs w:val="16"/>
        </w:rPr>
        <w:tab/>
        <w:t>the tenancy was bona fide, the defaulting tenant has vacated the property or steps have been taken to compel the tenant to vacate the property, and the defaulting tenant is not in occupation of any other property of the person;</w:t>
      </w:r>
    </w:p>
    <w:p w:rsidR="00BF2117" w:rsidRPr="00412620" w:rsidRDefault="00BF2117" w:rsidP="00851DAD">
      <w:pPr>
        <w:pStyle w:val="BodyTextIndent"/>
        <w:ind w:left="1080" w:hanging="450"/>
        <w:jc w:val="both"/>
        <w:rPr>
          <w:rFonts w:cs="Arial"/>
          <w:sz w:val="16"/>
          <w:szCs w:val="16"/>
        </w:rPr>
      </w:pPr>
      <w:r w:rsidRPr="00412620">
        <w:rPr>
          <w:rFonts w:cs="Arial"/>
          <w:sz w:val="16"/>
          <w:szCs w:val="16"/>
        </w:rPr>
        <w:t xml:space="preserve"> (ii)</w:t>
      </w:r>
      <w:r w:rsidRPr="00412620">
        <w:rPr>
          <w:rFonts w:cs="Arial"/>
          <w:sz w:val="16"/>
          <w:szCs w:val="16"/>
        </w:rPr>
        <w:tab/>
        <w:t>the person has taken all reasonable steps to institute legal proceedings for the recovery of the unpaid rent or has reasonable grounds to believe that legal proceedings would be useless; and</w:t>
      </w:r>
    </w:p>
    <w:p w:rsidR="00BF2117" w:rsidRPr="00412620" w:rsidRDefault="00BF2117" w:rsidP="00851DAD">
      <w:pPr>
        <w:pStyle w:val="BodyTextIndent"/>
        <w:ind w:left="1080" w:hanging="450"/>
        <w:jc w:val="both"/>
        <w:rPr>
          <w:rFonts w:cs="Arial"/>
          <w:sz w:val="16"/>
          <w:szCs w:val="16"/>
        </w:rPr>
      </w:pPr>
      <w:r w:rsidRPr="00412620">
        <w:rPr>
          <w:rFonts w:cs="Arial"/>
          <w:sz w:val="16"/>
          <w:szCs w:val="16"/>
        </w:rPr>
        <w:t>(iii)</w:t>
      </w:r>
      <w:r w:rsidRPr="00412620">
        <w:rPr>
          <w:rFonts w:cs="Arial"/>
          <w:sz w:val="16"/>
          <w:szCs w:val="16"/>
        </w:rPr>
        <w:tab/>
        <w:t>the unpaid rent has been included in the income of the person chargeable to tax under the head “Income from Property” for the tax year in which the rent was due and tax has been duly paid on such income.</w:t>
      </w:r>
    </w:p>
    <w:p w:rsidR="00BF2117" w:rsidRPr="00412620" w:rsidRDefault="00BF2117" w:rsidP="00E85C54">
      <w:pPr>
        <w:jc w:val="both"/>
        <w:rPr>
          <w:rFonts w:cs="Arial"/>
          <w:sz w:val="16"/>
          <w:szCs w:val="16"/>
        </w:rPr>
      </w:pPr>
    </w:p>
    <w:p w:rsidR="00BF2117" w:rsidRPr="00412620" w:rsidRDefault="00BF2117" w:rsidP="00BF513F">
      <w:pPr>
        <w:ind w:left="90" w:hanging="90"/>
        <w:jc w:val="both"/>
        <w:rPr>
          <w:rFonts w:cs="Arial"/>
          <w:sz w:val="16"/>
          <w:szCs w:val="16"/>
        </w:rPr>
      </w:pPr>
      <w:r w:rsidRPr="00412620">
        <w:rPr>
          <w:rFonts w:cs="Arial"/>
          <w:sz w:val="16"/>
          <w:szCs w:val="16"/>
        </w:rPr>
        <w:tab/>
      </w:r>
      <w:r w:rsidRPr="00412620">
        <w:rPr>
          <w:rFonts w:cs="Arial"/>
          <w:sz w:val="16"/>
          <w:szCs w:val="16"/>
        </w:rPr>
        <w:tab/>
        <w:t>(2)</w:t>
      </w:r>
      <w:r w:rsidRPr="00412620">
        <w:rPr>
          <w:rFonts w:cs="Arial"/>
          <w:sz w:val="16"/>
          <w:szCs w:val="16"/>
        </w:rPr>
        <w:tab/>
        <w:t>Where any unpaid rent allowed as a deduction under clause (i) of sub-section (1) is wholly or partly recovered, the amount recovered shall be chargeable to tax in the tax year in which it is recovered.</w:t>
      </w:r>
    </w:p>
    <w:p w:rsidR="00BF2117" w:rsidRPr="00412620" w:rsidRDefault="00BF2117" w:rsidP="00E85C54">
      <w:pPr>
        <w:jc w:val="both"/>
        <w:rPr>
          <w:rFonts w:cs="Arial"/>
          <w:sz w:val="16"/>
          <w:szCs w:val="16"/>
        </w:rPr>
      </w:pPr>
      <w:r w:rsidRPr="00412620">
        <w:rPr>
          <w:rFonts w:cs="Arial"/>
          <w:sz w:val="14"/>
          <w:szCs w:val="16"/>
        </w:rPr>
        <w:tab/>
      </w:r>
      <w:r w:rsidRPr="00412620">
        <w:rPr>
          <w:rFonts w:cs="Arial"/>
          <w:sz w:val="16"/>
          <w:szCs w:val="16"/>
        </w:rPr>
        <w:t>(3)</w:t>
      </w:r>
      <w:r w:rsidRPr="00412620">
        <w:rPr>
          <w:rFonts w:cs="Arial"/>
          <w:sz w:val="16"/>
          <w:szCs w:val="16"/>
        </w:rPr>
        <w:tab/>
        <w:t>Where a person has been allowed a deduction for any expenditure incurred in deriving rent chargeable to tax under the head “Income from Property” and the person has not paid the liability or a part of the liability to which the deduction relates within three years of the end of the tax year in which the deduction was allowed, the unpaid amount of the liability shall be chargeable to tax under the head “Income from Property” in the first tax year following the end of the three years.</w:t>
      </w:r>
    </w:p>
    <w:p w:rsidR="00BF2117" w:rsidRPr="00412620" w:rsidRDefault="00BF2117" w:rsidP="00E85C54">
      <w:pPr>
        <w:jc w:val="both"/>
        <w:rPr>
          <w:rFonts w:cs="Arial"/>
          <w:sz w:val="16"/>
          <w:szCs w:val="16"/>
        </w:rPr>
      </w:pPr>
      <w:r w:rsidRPr="00412620">
        <w:rPr>
          <w:rFonts w:cs="Arial"/>
          <w:sz w:val="16"/>
          <w:szCs w:val="16"/>
        </w:rPr>
        <w:tab/>
        <w:t>(4)</w:t>
      </w:r>
      <w:r w:rsidRPr="00412620">
        <w:rPr>
          <w:rFonts w:cs="Arial"/>
          <w:sz w:val="16"/>
          <w:szCs w:val="16"/>
        </w:rPr>
        <w:tab/>
        <w:t xml:space="preserve">Where an unpaid liability is chargeable to tax as a result of the application of sub-section (3) and the person subsequently pays the liability or a part of the liability, the person shall be allowed a deduction for the amount paid in the tax year in which the payment is made. </w:t>
      </w:r>
    </w:p>
    <w:p w:rsidR="00BF2117" w:rsidRPr="00412620" w:rsidRDefault="00BF2117" w:rsidP="00E85C54">
      <w:pPr>
        <w:jc w:val="both"/>
        <w:rPr>
          <w:rFonts w:cs="Arial"/>
          <w:sz w:val="16"/>
          <w:szCs w:val="16"/>
        </w:rPr>
      </w:pPr>
      <w:r w:rsidRPr="00412620">
        <w:rPr>
          <w:rFonts w:cs="Arial"/>
          <w:sz w:val="16"/>
          <w:szCs w:val="16"/>
        </w:rPr>
        <w:tab/>
        <w:t>(5)</w:t>
      </w:r>
      <w:r w:rsidRPr="00412620">
        <w:rPr>
          <w:rFonts w:cs="Arial"/>
          <w:sz w:val="16"/>
          <w:szCs w:val="16"/>
        </w:rPr>
        <w:tab/>
        <w:t>Any expenditure allowed to a person under this section as a deduction shall not be allowed as a deduction in computing the income of the person chargeable to tax under any other head of income.</w:t>
      </w:r>
    </w:p>
    <w:p w:rsidR="00BF2117" w:rsidRPr="00412620" w:rsidRDefault="00BF2117" w:rsidP="00E85C54">
      <w:pPr>
        <w:jc w:val="both"/>
        <w:rPr>
          <w:lang w:val="en-US"/>
        </w:rPr>
      </w:pPr>
      <w:r w:rsidRPr="00412620">
        <w:rPr>
          <w:rFonts w:cs="Arial"/>
          <w:sz w:val="16"/>
          <w:szCs w:val="16"/>
        </w:rPr>
        <w:tab/>
        <w:t>(6)</w:t>
      </w:r>
      <w:r w:rsidRPr="00412620">
        <w:rPr>
          <w:rFonts w:cs="Arial"/>
          <w:sz w:val="16"/>
          <w:szCs w:val="16"/>
        </w:rPr>
        <w:tab/>
        <w:t>The provisions of section 21 shall apply in determining the deductions allowed to a person under this section in the same manner as they apply in determining the deductions allowed in computing the income of a person chargeable to tax under the head “Income from Business”.”</w:t>
      </w:r>
    </w:p>
  </w:footnote>
  <w:footnote w:id="208">
    <w:p w:rsidR="00BF2117" w:rsidRPr="00412620" w:rsidRDefault="00BF2117">
      <w:pPr>
        <w:pStyle w:val="FootnoteText"/>
        <w:rPr>
          <w:sz w:val="16"/>
          <w:szCs w:val="16"/>
          <w:lang w:val="en-US"/>
        </w:rPr>
      </w:pPr>
      <w:r w:rsidRPr="00412620">
        <w:rPr>
          <w:rStyle w:val="FootnoteReference"/>
        </w:rPr>
        <w:footnoteRef/>
      </w:r>
      <w:r w:rsidRPr="00412620">
        <w:rPr>
          <w:sz w:val="16"/>
          <w:szCs w:val="16"/>
        </w:rPr>
        <w:t>The semi-colon and the word “and” substituted by the Finance Act, 2011.</w:t>
      </w:r>
    </w:p>
  </w:footnote>
  <w:footnote w:id="209">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2011.</w:t>
      </w:r>
    </w:p>
  </w:footnote>
  <w:footnote w:id="210">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211">
    <w:p w:rsidR="00BF2117" w:rsidRPr="00412620" w:rsidRDefault="00BF2117">
      <w:pPr>
        <w:pStyle w:val="FootnoteText"/>
        <w:rPr>
          <w:sz w:val="16"/>
        </w:rPr>
      </w:pPr>
      <w:r w:rsidRPr="00412620">
        <w:rPr>
          <w:rStyle w:val="FootnoteReference"/>
          <w:rFonts w:cs="Arial"/>
          <w:sz w:val="16"/>
        </w:rPr>
        <w:footnoteRef/>
      </w:r>
      <w:r w:rsidRPr="00412620">
        <w:rPr>
          <w:sz w:val="16"/>
        </w:rPr>
        <w:t xml:space="preserve"> Added by the Finance Act, 2003.</w:t>
      </w:r>
    </w:p>
  </w:footnote>
  <w:footnote w:id="212">
    <w:p w:rsidR="00BF2117" w:rsidRPr="00245086" w:rsidRDefault="00BF2117">
      <w:pPr>
        <w:pStyle w:val="FootnoteText"/>
        <w:rPr>
          <w:color w:val="000000" w:themeColor="text1"/>
          <w:lang w:val="en-US"/>
        </w:rPr>
      </w:pPr>
      <w:r w:rsidRPr="00245086">
        <w:rPr>
          <w:rStyle w:val="FootnoteReference"/>
          <w:color w:val="000000" w:themeColor="text1"/>
        </w:rPr>
        <w:footnoteRef/>
      </w:r>
      <w:r w:rsidRPr="00245086">
        <w:rPr>
          <w:color w:val="000000" w:themeColor="text1"/>
          <w:sz w:val="16"/>
          <w:szCs w:val="16"/>
          <w:lang w:val="en-US"/>
        </w:rPr>
        <w:t>The word “lesser”  substituted by the word “lessor”  by the Finance Act, 2014.</w:t>
      </w:r>
    </w:p>
  </w:footnote>
  <w:footnote w:id="213">
    <w:p w:rsidR="00BF2117" w:rsidRPr="00385616" w:rsidRDefault="00BF2117">
      <w:pPr>
        <w:pStyle w:val="FootnoteText"/>
        <w:rPr>
          <w:lang w:val="en-US"/>
        </w:rPr>
      </w:pPr>
      <w:r w:rsidRPr="00245086">
        <w:rPr>
          <w:rStyle w:val="FootnoteReference"/>
          <w:color w:val="000000" w:themeColor="text1"/>
        </w:rPr>
        <w:footnoteRef/>
      </w:r>
      <w:r w:rsidRPr="00245086">
        <w:rPr>
          <w:color w:val="000000" w:themeColor="text1"/>
          <w:sz w:val="16"/>
          <w:szCs w:val="16"/>
          <w:lang w:val="en-US"/>
        </w:rPr>
        <w:t>The word “lesser”  substituted by the word “lessor”  by the Finance Act, 2014.</w:t>
      </w:r>
    </w:p>
  </w:footnote>
  <w:footnote w:id="21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Added by the Finance Act, 2003.</w:t>
      </w:r>
    </w:p>
  </w:footnote>
  <w:footnote w:id="215">
    <w:p w:rsidR="00BF2117" w:rsidRPr="00412620" w:rsidRDefault="00BF2117">
      <w:pPr>
        <w:pStyle w:val="FootnoteText"/>
        <w:rPr>
          <w:lang w:val="en-US"/>
        </w:rPr>
      </w:pPr>
      <w:r w:rsidRPr="00412620">
        <w:rPr>
          <w:rStyle w:val="FootnoteReference"/>
          <w:sz w:val="16"/>
        </w:rPr>
        <w:footnoteRef/>
      </w:r>
      <w:r w:rsidRPr="00412620">
        <w:rPr>
          <w:sz w:val="16"/>
        </w:rPr>
        <w:t xml:space="preserve"> Inserted by the Finance Act, 2007.</w:t>
      </w:r>
    </w:p>
  </w:footnote>
  <w:footnote w:id="216">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217">
    <w:p w:rsidR="00BF2117" w:rsidRPr="00412620" w:rsidRDefault="00BF2117">
      <w:pPr>
        <w:pStyle w:val="FootnoteText"/>
        <w:rPr>
          <w:sz w:val="16"/>
        </w:rPr>
      </w:pPr>
      <w:r w:rsidRPr="00412620">
        <w:rPr>
          <w:rStyle w:val="FootnoteReference"/>
          <w:rFonts w:cs="Arial"/>
        </w:rPr>
        <w:footnoteRef/>
      </w:r>
      <w:r w:rsidRPr="00412620">
        <w:rPr>
          <w:sz w:val="16"/>
        </w:rPr>
        <w:t xml:space="preserve"> The word “stock” substituted by the Finance Act, 2005.</w:t>
      </w:r>
    </w:p>
  </w:footnote>
  <w:footnote w:id="218">
    <w:p w:rsidR="00BF2117" w:rsidRPr="00412620" w:rsidRDefault="00BF2117">
      <w:pPr>
        <w:pStyle w:val="FootnoteText"/>
        <w:rPr>
          <w:sz w:val="16"/>
        </w:rPr>
      </w:pPr>
      <w:r w:rsidRPr="00412620">
        <w:rPr>
          <w:rStyle w:val="FootnoteReference"/>
          <w:rFonts w:cs="Arial"/>
        </w:rPr>
        <w:footnoteRef/>
      </w:r>
      <w:r w:rsidRPr="00412620">
        <w:rPr>
          <w:sz w:val="16"/>
        </w:rPr>
        <w:t xml:space="preserve"> The word “arbitrate” substituted by the Finance Act, 2005.</w:t>
      </w:r>
    </w:p>
  </w:footnote>
  <w:footnote w:id="219">
    <w:p w:rsidR="00BF2117" w:rsidRPr="00412620" w:rsidRDefault="00BF2117">
      <w:pPr>
        <w:pStyle w:val="FootnoteText"/>
        <w:ind w:left="180" w:hanging="180"/>
        <w:rPr>
          <w:sz w:val="16"/>
        </w:rPr>
      </w:pPr>
      <w:r w:rsidRPr="00412620">
        <w:rPr>
          <w:rStyle w:val="FootnoteReference"/>
          <w:rFonts w:cs="Arial"/>
        </w:rPr>
        <w:footnoteRef/>
      </w:r>
      <w:r w:rsidRPr="00412620">
        <w:rPr>
          <w:sz w:val="16"/>
        </w:rPr>
        <w:t xml:space="preserve"> The words “to the extent the expenditure is incurred in deriving income from business chargeable to tax” substituted by the Finance Act, 2004.</w:t>
      </w:r>
    </w:p>
  </w:footnote>
  <w:footnote w:id="220">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221">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2002</w:t>
      </w:r>
    </w:p>
  </w:footnote>
  <w:footnote w:id="222">
    <w:p w:rsidR="00BF2117" w:rsidRPr="00B455DC" w:rsidRDefault="00BF2117">
      <w:pPr>
        <w:pStyle w:val="FootnoteText"/>
        <w:rPr>
          <w:color w:val="0070C0"/>
          <w:sz w:val="16"/>
          <w:szCs w:val="16"/>
        </w:rPr>
      </w:pPr>
      <w:r w:rsidRPr="00B455DC">
        <w:rPr>
          <w:rStyle w:val="FootnoteReference"/>
          <w:color w:val="0070C0"/>
          <w:sz w:val="16"/>
          <w:szCs w:val="16"/>
        </w:rPr>
        <w:footnoteRef/>
      </w:r>
      <w:r w:rsidRPr="00B455DC">
        <w:rPr>
          <w:color w:val="0070C0"/>
          <w:sz w:val="16"/>
          <w:szCs w:val="16"/>
        </w:rPr>
        <w:t xml:space="preserve"> Clause (c) substituted by the Finance Act, 2016. The substituted clause (c) read as follows:</w:t>
      </w:r>
    </w:p>
    <w:p w:rsidR="00BF2117" w:rsidRPr="00B455DC" w:rsidRDefault="00BF2117" w:rsidP="00650B42">
      <w:pPr>
        <w:pStyle w:val="FootnoteText"/>
        <w:ind w:left="630" w:hanging="360"/>
        <w:jc w:val="both"/>
        <w:rPr>
          <w:color w:val="000000" w:themeColor="text1"/>
          <w:sz w:val="16"/>
          <w:szCs w:val="16"/>
          <w:lang w:val="en-US"/>
        </w:rPr>
      </w:pPr>
      <w:r w:rsidRPr="00B455DC">
        <w:rPr>
          <w:color w:val="000000" w:themeColor="text1"/>
          <w:sz w:val="16"/>
          <w:szCs w:val="16"/>
          <w:lang w:val="en-US"/>
        </w:rPr>
        <w:t>“(c)</w:t>
      </w:r>
      <w:r w:rsidRPr="00B455DC">
        <w:rPr>
          <w:color w:val="000000" w:themeColor="text1"/>
          <w:sz w:val="16"/>
          <w:szCs w:val="16"/>
          <w:lang w:val="en-US"/>
        </w:rPr>
        <w:tab/>
      </w:r>
      <w:r w:rsidRPr="00B455DC">
        <w:rPr>
          <w:rFonts w:cs="Arial"/>
          <w:color w:val="000000" w:themeColor="text1"/>
          <w:sz w:val="16"/>
          <w:szCs w:val="16"/>
        </w:rPr>
        <w:t xml:space="preserve">any salary, rent, brokerage or commission, profit on debt, payment to non-resident, payment for services or fee paid by the person from which the person is required to deduct tax under Division III of Part V of Chapter X or section 233 of chapter XII, </w:t>
      </w:r>
      <w:r w:rsidRPr="00B455DC">
        <w:rPr>
          <w:rStyle w:val="FootnoteReference"/>
          <w:rFonts w:cs="Arial"/>
          <w:color w:val="000000" w:themeColor="text1"/>
          <w:sz w:val="16"/>
          <w:szCs w:val="16"/>
        </w:rPr>
        <w:footnoteRef/>
      </w:r>
      <w:r w:rsidRPr="00B455DC">
        <w:rPr>
          <w:rFonts w:cs="Arial"/>
          <w:color w:val="000000" w:themeColor="text1"/>
          <w:sz w:val="16"/>
          <w:szCs w:val="16"/>
        </w:rPr>
        <w:t xml:space="preserve">[unless] the person has </w:t>
      </w:r>
      <w:r w:rsidRPr="00B455DC">
        <w:rPr>
          <w:rStyle w:val="FootnoteReference"/>
          <w:rFonts w:cs="Arial"/>
          <w:color w:val="000000" w:themeColor="text1"/>
          <w:sz w:val="16"/>
          <w:szCs w:val="16"/>
        </w:rPr>
        <w:footnoteRef/>
      </w:r>
      <w:r w:rsidRPr="00B455DC">
        <w:rPr>
          <w:rFonts w:cs="Arial"/>
          <w:color w:val="000000" w:themeColor="text1"/>
          <w:sz w:val="16"/>
          <w:szCs w:val="16"/>
        </w:rPr>
        <w:t>[paid or] deducted and paid the tax as required by Division IV of Part V of Chapter X”</w:t>
      </w:r>
    </w:p>
  </w:footnote>
  <w:footnote w:id="223">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24">
    <w:p w:rsidR="00BF2117" w:rsidRPr="00A7684E" w:rsidRDefault="00BF2117">
      <w:pPr>
        <w:pStyle w:val="FootnoteText"/>
        <w:rPr>
          <w:color w:val="000000" w:themeColor="text1"/>
          <w:sz w:val="16"/>
          <w:szCs w:val="16"/>
          <w:lang w:val="en-US"/>
        </w:rPr>
      </w:pPr>
      <w:r w:rsidRPr="00A7684E">
        <w:rPr>
          <w:rStyle w:val="FootnoteReference"/>
          <w:color w:val="000000" w:themeColor="text1"/>
        </w:rPr>
        <w:footnoteRef/>
      </w:r>
      <w:r w:rsidRPr="00A7684E">
        <w:rPr>
          <w:color w:val="000000" w:themeColor="text1"/>
          <w:sz w:val="16"/>
          <w:szCs w:val="16"/>
        </w:rPr>
        <w:t>Inserted by Finance Act, 2014.</w:t>
      </w:r>
    </w:p>
  </w:footnote>
  <w:footnote w:id="225">
    <w:p w:rsidR="00BF2117" w:rsidRDefault="00BF2117">
      <w:pPr>
        <w:pStyle w:val="FootnoteText"/>
        <w:rPr>
          <w:sz w:val="16"/>
        </w:rPr>
      </w:pPr>
      <w:r w:rsidRPr="00412620">
        <w:rPr>
          <w:rStyle w:val="FootnoteReference"/>
          <w:rFonts w:cs="Arial"/>
        </w:rPr>
        <w:footnoteRef/>
      </w:r>
      <w:r w:rsidRPr="00412620">
        <w:rPr>
          <w:sz w:val="16"/>
        </w:rPr>
        <w:t xml:space="preserve"> Inserted by the Finance Act, 2005.</w:t>
      </w:r>
    </w:p>
    <w:p w:rsidR="00BF2117" w:rsidRPr="000B4C0F" w:rsidRDefault="00BF2117">
      <w:pPr>
        <w:pStyle w:val="FootnoteText"/>
        <w:rPr>
          <w:color w:val="FF0066"/>
          <w:sz w:val="16"/>
        </w:rPr>
      </w:pPr>
    </w:p>
  </w:footnote>
  <w:footnote w:id="226">
    <w:p w:rsidR="00BF2117" w:rsidRPr="00412620" w:rsidRDefault="00BF2117">
      <w:pPr>
        <w:pStyle w:val="FootnoteText"/>
        <w:rPr>
          <w:sz w:val="16"/>
          <w:szCs w:val="16"/>
        </w:rPr>
      </w:pPr>
      <w:r w:rsidRPr="00412620">
        <w:rPr>
          <w:rStyle w:val="FootnoteReference"/>
          <w:szCs w:val="16"/>
        </w:rPr>
        <w:footnoteRef/>
      </w:r>
      <w:r w:rsidRPr="00412620">
        <w:rPr>
          <w:sz w:val="16"/>
          <w:szCs w:val="16"/>
        </w:rPr>
        <w:t xml:space="preserve"> Clause (k) omitted by the Finance Act, 2006. The omitted clause (k) read as follows:</w:t>
      </w:r>
    </w:p>
    <w:p w:rsidR="00BF2117" w:rsidRPr="00412620" w:rsidRDefault="00BF2117" w:rsidP="00E30FB2">
      <w:pPr>
        <w:pStyle w:val="FootnoteText"/>
        <w:ind w:left="450" w:hanging="360"/>
        <w:jc w:val="both"/>
        <w:rPr>
          <w:lang w:val="en-US"/>
        </w:rPr>
      </w:pPr>
      <w:r w:rsidRPr="00412620">
        <w:rPr>
          <w:sz w:val="16"/>
          <w:szCs w:val="16"/>
          <w:lang w:val="en-US"/>
        </w:rPr>
        <w:t xml:space="preserve"> “</w:t>
      </w:r>
      <w:r w:rsidRPr="00412620">
        <w:rPr>
          <w:rFonts w:cs="Arial"/>
          <w:sz w:val="16"/>
          <w:szCs w:val="16"/>
        </w:rPr>
        <w:t>(k)</w:t>
      </w:r>
      <w:r w:rsidRPr="00412620">
        <w:rPr>
          <w:rFonts w:cs="Arial"/>
          <w:sz w:val="16"/>
          <w:szCs w:val="16"/>
        </w:rPr>
        <w:tab/>
        <w:t xml:space="preserve">any expenditure paid or payable by an employer on the provision of perquisites and allowances to an employee where the sum of the value of the perquisites computed under section 13 and the amount of the allowances exceeds fifty </w:t>
      </w:r>
      <w:r>
        <w:rPr>
          <w:rFonts w:cs="Arial"/>
          <w:sz w:val="16"/>
          <w:szCs w:val="16"/>
        </w:rPr>
        <w:t>per cent</w:t>
      </w:r>
      <w:r w:rsidRPr="00412620">
        <w:rPr>
          <w:rFonts w:cs="Arial"/>
          <w:sz w:val="16"/>
          <w:szCs w:val="16"/>
        </w:rPr>
        <w:t xml:space="preserve"> of the employee’s salary for a tax year (excluding the value of the perquisites or amount of the allowances);”</w:t>
      </w:r>
    </w:p>
  </w:footnote>
  <w:footnote w:id="227">
    <w:p w:rsidR="00BF2117" w:rsidRPr="00412620" w:rsidRDefault="00BF2117" w:rsidP="00E30FB2">
      <w:pPr>
        <w:pStyle w:val="FootnoteText"/>
        <w:rPr>
          <w:sz w:val="16"/>
          <w:szCs w:val="16"/>
        </w:rPr>
      </w:pPr>
      <w:r w:rsidRPr="00412620">
        <w:rPr>
          <w:rStyle w:val="FootnoteReference"/>
          <w:szCs w:val="16"/>
        </w:rPr>
        <w:footnoteRef/>
      </w:r>
      <w:r w:rsidRPr="00412620">
        <w:rPr>
          <w:sz w:val="16"/>
          <w:szCs w:val="16"/>
        </w:rPr>
        <w:t xml:space="preserve"> Clause (l) substituted by the Finance Act, 2006. The substituted clause (l) read as follows:</w:t>
      </w:r>
    </w:p>
    <w:p w:rsidR="00BF2117" w:rsidRPr="00412620" w:rsidRDefault="00BF2117" w:rsidP="00177473">
      <w:pPr>
        <w:pStyle w:val="FootnoteText"/>
        <w:ind w:left="450" w:hanging="360"/>
        <w:jc w:val="both"/>
      </w:pPr>
      <w:r w:rsidRPr="00412620">
        <w:rPr>
          <w:sz w:val="16"/>
          <w:szCs w:val="16"/>
        </w:rPr>
        <w:t>“</w:t>
      </w:r>
      <w:r w:rsidRPr="00412620">
        <w:rPr>
          <w:rFonts w:cs="Arial"/>
          <w:sz w:val="16"/>
          <w:szCs w:val="16"/>
        </w:rPr>
        <w:t>(l)</w:t>
      </w:r>
      <w:r w:rsidRPr="00412620">
        <w:rPr>
          <w:rFonts w:cs="Arial"/>
          <w:sz w:val="16"/>
          <w:szCs w:val="16"/>
        </w:rPr>
        <w:tab/>
        <w:t>any expenditure paid or payable under a single account head which, in aggregate, exceeds fifty thousand rupees made other than by a crossed bank cheque or crossed bank draft, except expenditures not exceeding ten thousand rupees or on account of freight charges, travel fare, postage, utilities or payment of taxes, duties, fee, fines or any other statutory obligation;”</w:t>
      </w:r>
    </w:p>
  </w:footnote>
  <w:footnote w:id="228">
    <w:p w:rsidR="00BF2117" w:rsidRPr="00412620" w:rsidRDefault="00BF2117">
      <w:pPr>
        <w:pStyle w:val="FootnoteText"/>
        <w:rPr>
          <w:sz w:val="16"/>
          <w:lang w:val="en-US"/>
        </w:rPr>
      </w:pPr>
      <w:r w:rsidRPr="00412620">
        <w:rPr>
          <w:rStyle w:val="FootnoteReference"/>
        </w:rPr>
        <w:footnoteRef/>
      </w:r>
      <w:r w:rsidRPr="00412620">
        <w:rPr>
          <w:sz w:val="16"/>
          <w:lang w:val="en-US"/>
        </w:rPr>
        <w:t>The word “ten” substituted by the Finance Act, 2008.</w:t>
      </w:r>
    </w:p>
  </w:footnote>
  <w:footnote w:id="229">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The word “and” omitted by the Finance Act, 2016.</w:t>
      </w:r>
    </w:p>
  </w:footnote>
  <w:footnote w:id="230">
    <w:p w:rsidR="00BF2117" w:rsidRPr="00B455DC" w:rsidRDefault="00BF2117">
      <w:pPr>
        <w:pStyle w:val="FootnoteText"/>
        <w:rPr>
          <w:color w:val="0070C0"/>
          <w:lang w:val="en-US"/>
        </w:rPr>
      </w:pPr>
      <w:r w:rsidRPr="00B455DC">
        <w:rPr>
          <w:rStyle w:val="FootnoteReference"/>
          <w:color w:val="0070C0"/>
        </w:rPr>
        <w:footnoteRef/>
      </w:r>
      <w:r w:rsidRPr="00B455DC">
        <w:rPr>
          <w:color w:val="0070C0"/>
        </w:rPr>
        <w:t xml:space="preserve"> </w:t>
      </w:r>
      <w:r w:rsidRPr="00B455DC">
        <w:rPr>
          <w:color w:val="0070C0"/>
          <w:sz w:val="16"/>
          <w:szCs w:val="16"/>
        </w:rPr>
        <w:t>The full stop substituted by the Finance Act, 2016.</w:t>
      </w:r>
    </w:p>
  </w:footnote>
  <w:footnote w:id="231">
    <w:p w:rsidR="00BF2117" w:rsidRPr="003902D9" w:rsidRDefault="00BF2117">
      <w:pPr>
        <w:pStyle w:val="FootnoteText"/>
        <w:rPr>
          <w:color w:val="FF0066"/>
          <w:sz w:val="16"/>
          <w:szCs w:val="16"/>
          <w:lang w:val="en-US"/>
        </w:rPr>
      </w:pPr>
      <w:r w:rsidRPr="00B455DC">
        <w:rPr>
          <w:rStyle w:val="FootnoteReference"/>
          <w:color w:val="0070C0"/>
          <w:sz w:val="16"/>
          <w:szCs w:val="16"/>
        </w:rPr>
        <w:footnoteRef/>
      </w:r>
      <w:r w:rsidRPr="00B455DC">
        <w:rPr>
          <w:color w:val="0070C0"/>
          <w:sz w:val="16"/>
          <w:szCs w:val="16"/>
        </w:rPr>
        <w:t xml:space="preserve"> Inserted by the Finance Act, 2016</w:t>
      </w:r>
    </w:p>
  </w:footnote>
  <w:footnote w:id="232">
    <w:p w:rsidR="00BF2117" w:rsidRPr="00412620" w:rsidRDefault="00BF2117">
      <w:pPr>
        <w:pStyle w:val="FootnoteText"/>
        <w:rPr>
          <w:sz w:val="16"/>
        </w:rPr>
      </w:pPr>
      <w:r w:rsidRPr="00412620">
        <w:rPr>
          <w:rStyle w:val="FootnoteReference"/>
          <w:rFonts w:cs="Arial"/>
        </w:rPr>
        <w:footnoteRef/>
      </w:r>
      <w:r w:rsidRPr="00412620">
        <w:rPr>
          <w:sz w:val="16"/>
        </w:rPr>
        <w:t xml:space="preserve"> The word “sub-sections” substituted by the Finance Act, 2005.</w:t>
      </w:r>
    </w:p>
  </w:footnote>
  <w:footnote w:id="233">
    <w:p w:rsidR="00BF2117" w:rsidRPr="00412620" w:rsidRDefault="00BF2117">
      <w:pPr>
        <w:pStyle w:val="FootnoteText"/>
        <w:rPr>
          <w:sz w:val="16"/>
        </w:rPr>
      </w:pPr>
      <w:r w:rsidRPr="00412620">
        <w:rPr>
          <w:rStyle w:val="FootnoteReference"/>
          <w:rFonts w:cs="Arial"/>
        </w:rPr>
        <w:footnoteRef/>
      </w:r>
      <w:r w:rsidRPr="00412620">
        <w:rPr>
          <w:sz w:val="16"/>
        </w:rPr>
        <w:t xml:space="preserve"> The word, brackets and figure “and (4)” omitted by Finance Act, 2004.</w:t>
      </w:r>
    </w:p>
  </w:footnote>
  <w:footnote w:id="234">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 “were” substituted by the Finance Act, 2010.</w:t>
      </w:r>
    </w:p>
  </w:footnote>
  <w:footnote w:id="235">
    <w:p w:rsidR="00BF2117" w:rsidRPr="00412620" w:rsidRDefault="00BF2117">
      <w:pPr>
        <w:pStyle w:val="FootnoteText"/>
        <w:rPr>
          <w:sz w:val="16"/>
        </w:rPr>
      </w:pPr>
      <w:r w:rsidRPr="00412620">
        <w:rPr>
          <w:rStyle w:val="FootnoteReference"/>
          <w:rFonts w:cs="Arial"/>
        </w:rPr>
        <w:footnoteRef/>
      </w:r>
      <w:r w:rsidRPr="00412620">
        <w:rPr>
          <w:sz w:val="16"/>
        </w:rPr>
        <w:t xml:space="preserve"> The word “derived” substituted by the Finance Act, 2003.</w:t>
      </w:r>
    </w:p>
  </w:footnote>
  <w:footnote w:id="236">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Sub-section (4) omitted by the Finance Act, 2004. The omitted sub-section (4) reads as follows:</w:t>
      </w:r>
    </w:p>
    <w:p w:rsidR="00BF2117" w:rsidRPr="00412620" w:rsidRDefault="00BF2117">
      <w:pPr>
        <w:keepNext/>
        <w:ind w:left="180" w:firstLine="367"/>
        <w:jc w:val="both"/>
        <w:rPr>
          <w:rFonts w:cs="Arial"/>
          <w:sz w:val="16"/>
        </w:rPr>
      </w:pPr>
      <w:r w:rsidRPr="00412620">
        <w:rPr>
          <w:rFonts w:cs="Arial"/>
          <w:sz w:val="16"/>
        </w:rPr>
        <w:t>“(4)</w:t>
      </w:r>
      <w:r w:rsidRPr="00412620">
        <w:rPr>
          <w:rFonts w:cs="Arial"/>
          <w:sz w:val="16"/>
        </w:rPr>
        <w:tab/>
        <w:t>Where a depreciable asset is not used for the whole of the tax year in deriving income from business chargeable to tax, the deduction allowed under this section shall be computed according to the following formula, namely:–</w:t>
      </w:r>
    </w:p>
    <w:p w:rsidR="00BF2117" w:rsidRPr="00412620" w:rsidRDefault="00BF2117">
      <w:pPr>
        <w:pStyle w:val="Heading2"/>
        <w:spacing w:line="240" w:lineRule="auto"/>
        <w:rPr>
          <w:rFonts w:cs="Arial"/>
          <w:sz w:val="16"/>
        </w:rPr>
      </w:pPr>
      <w:r w:rsidRPr="00412620">
        <w:rPr>
          <w:rFonts w:cs="Arial"/>
          <w:sz w:val="16"/>
        </w:rPr>
        <w:t>A x B/C</w:t>
      </w:r>
    </w:p>
    <w:p w:rsidR="00BF2117" w:rsidRPr="00412620" w:rsidRDefault="00BF2117">
      <w:pPr>
        <w:pStyle w:val="Header"/>
        <w:keepNext/>
        <w:tabs>
          <w:tab w:val="left" w:pos="547"/>
        </w:tabs>
        <w:ind w:left="180"/>
        <w:jc w:val="both"/>
        <w:rPr>
          <w:rFonts w:cs="Arial"/>
          <w:sz w:val="16"/>
        </w:rPr>
      </w:pPr>
      <w:r w:rsidRPr="00412620">
        <w:rPr>
          <w:rFonts w:cs="Arial"/>
          <w:sz w:val="16"/>
        </w:rPr>
        <w:t>where –</w:t>
      </w:r>
    </w:p>
    <w:p w:rsidR="00BF2117" w:rsidRPr="00412620" w:rsidRDefault="00BF2117">
      <w:pPr>
        <w:pStyle w:val="Header"/>
        <w:keepNext/>
        <w:tabs>
          <w:tab w:val="left" w:pos="547"/>
        </w:tabs>
        <w:ind w:left="180"/>
        <w:jc w:val="both"/>
        <w:rPr>
          <w:sz w:val="16"/>
        </w:rPr>
      </w:pPr>
      <w:r w:rsidRPr="00412620">
        <w:rPr>
          <w:rFonts w:cs="Arial"/>
          <w:b/>
          <w:sz w:val="16"/>
        </w:rPr>
        <w:t>A</w:t>
      </w:r>
      <w:r w:rsidRPr="00412620">
        <w:rPr>
          <w:sz w:val="16"/>
        </w:rPr>
        <w:tab/>
        <w:t xml:space="preserve">is the amount of depreciation computed under sub-section (2) or (3), as the case may be; </w:t>
      </w:r>
    </w:p>
    <w:p w:rsidR="00BF2117" w:rsidRPr="00412620" w:rsidRDefault="00BF2117" w:rsidP="00601C94">
      <w:pPr>
        <w:pStyle w:val="Header"/>
        <w:keepNext/>
        <w:tabs>
          <w:tab w:val="left" w:pos="547"/>
        </w:tabs>
        <w:ind w:left="540" w:hanging="360"/>
        <w:jc w:val="both"/>
        <w:rPr>
          <w:sz w:val="16"/>
        </w:rPr>
      </w:pPr>
      <w:r w:rsidRPr="00412620">
        <w:rPr>
          <w:rFonts w:cs="Arial"/>
          <w:b/>
          <w:sz w:val="16"/>
        </w:rPr>
        <w:t>B</w:t>
      </w:r>
      <w:r w:rsidRPr="00412620">
        <w:rPr>
          <w:sz w:val="16"/>
        </w:rPr>
        <w:tab/>
        <w:t>is the number of months in the tax year the asset is used in deriving income from business chargeable to tax; and</w:t>
      </w:r>
    </w:p>
    <w:p w:rsidR="00BF2117" w:rsidRPr="00412620" w:rsidRDefault="00BF2117">
      <w:pPr>
        <w:pStyle w:val="Header"/>
        <w:tabs>
          <w:tab w:val="left" w:pos="547"/>
        </w:tabs>
        <w:ind w:left="180"/>
        <w:jc w:val="both"/>
        <w:rPr>
          <w:sz w:val="16"/>
        </w:rPr>
      </w:pPr>
      <w:r w:rsidRPr="00412620">
        <w:rPr>
          <w:rFonts w:cs="Arial"/>
          <w:b/>
          <w:sz w:val="16"/>
        </w:rPr>
        <w:t>C</w:t>
      </w:r>
      <w:r w:rsidRPr="00412620">
        <w:rPr>
          <w:sz w:val="16"/>
        </w:rPr>
        <w:tab/>
        <w:t>is the number of months in the tax year.”</w:t>
      </w:r>
    </w:p>
  </w:footnote>
  <w:footnote w:id="237">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Inserted by the Finance Act, 2016.</w:t>
      </w:r>
    </w:p>
  </w:footnote>
  <w:footnote w:id="238">
    <w:p w:rsidR="00BF2117" w:rsidRPr="00412620" w:rsidRDefault="00BF2117">
      <w:pPr>
        <w:pStyle w:val="FootnoteText"/>
        <w:rPr>
          <w:sz w:val="16"/>
        </w:rPr>
      </w:pPr>
      <w:r w:rsidRPr="00412620">
        <w:rPr>
          <w:rStyle w:val="FootnoteReference"/>
          <w:rFonts w:cs="Arial"/>
        </w:rPr>
        <w:footnoteRef/>
      </w:r>
      <w:r w:rsidRPr="00412620">
        <w:rPr>
          <w:sz w:val="16"/>
        </w:rPr>
        <w:t xml:space="preserve"> The words “written down value” substituted by the Finance Act, 2004.</w:t>
      </w:r>
    </w:p>
  </w:footnote>
  <w:footnote w:id="239">
    <w:p w:rsidR="00BF2117" w:rsidRPr="00412620" w:rsidRDefault="00BF2117">
      <w:pPr>
        <w:pStyle w:val="FootnoteText"/>
        <w:rPr>
          <w:sz w:val="16"/>
        </w:rPr>
      </w:pPr>
      <w:r w:rsidRPr="00412620">
        <w:rPr>
          <w:rStyle w:val="FootnoteReference"/>
          <w:rFonts w:cs="Arial"/>
        </w:rPr>
        <w:footnoteRef/>
      </w:r>
      <w:r w:rsidRPr="00412620">
        <w:rPr>
          <w:sz w:val="16"/>
        </w:rPr>
        <w:t xml:space="preserve"> The word “consideration” substituted by the Finance Act, 2004.</w:t>
      </w:r>
    </w:p>
  </w:footnote>
  <w:footnote w:id="240">
    <w:p w:rsidR="00BF2117" w:rsidRPr="00412620" w:rsidRDefault="00BF2117">
      <w:pPr>
        <w:pStyle w:val="FootnoteText"/>
        <w:keepNext/>
        <w:ind w:left="360" w:hanging="360"/>
        <w:jc w:val="both"/>
        <w:rPr>
          <w:sz w:val="16"/>
        </w:rPr>
      </w:pPr>
      <w:r w:rsidRPr="00412620">
        <w:rPr>
          <w:rStyle w:val="FootnoteReference"/>
          <w:rFonts w:cs="Arial"/>
        </w:rPr>
        <w:footnoteRef/>
      </w:r>
      <w:r w:rsidRPr="00412620">
        <w:rPr>
          <w:sz w:val="16"/>
        </w:rPr>
        <w:t xml:space="preserve"> Sub-section (12) substituted by the Finance Act, 2002. The substituted sub-section (12)  read as follows:</w:t>
      </w:r>
    </w:p>
    <w:p w:rsidR="00BF2117" w:rsidRPr="00412620" w:rsidRDefault="00BF2117">
      <w:pPr>
        <w:ind w:left="180" w:firstLine="180"/>
        <w:jc w:val="both"/>
        <w:rPr>
          <w:rFonts w:cs="Arial"/>
          <w:sz w:val="16"/>
        </w:rPr>
      </w:pPr>
      <w:r w:rsidRPr="00412620">
        <w:rPr>
          <w:rFonts w:cs="Arial"/>
          <w:sz w:val="16"/>
        </w:rPr>
        <w:t>“(12)</w:t>
      </w:r>
      <w:r w:rsidRPr="00412620">
        <w:rPr>
          <w:rFonts w:cs="Arial"/>
          <w:sz w:val="16"/>
        </w:rPr>
        <w:tab/>
        <w:t xml:space="preserve">The depreciation deductions allowed to a leasing company in respect of assets owned by the company and leased to another person shall be deductible only against the lease rental income derived in respect of such assets.” </w:t>
      </w:r>
    </w:p>
  </w:footnote>
  <w:footnote w:id="241">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 “one” substituted by the Finance Act, 2012.</w:t>
      </w:r>
    </w:p>
  </w:footnote>
  <w:footnote w:id="242">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243">
    <w:p w:rsidR="00BF2117" w:rsidRPr="00412620" w:rsidRDefault="00BF2117">
      <w:pPr>
        <w:pStyle w:val="FootnoteText"/>
        <w:rPr>
          <w:sz w:val="16"/>
          <w:szCs w:val="16"/>
        </w:rPr>
      </w:pPr>
      <w:r w:rsidRPr="00412620">
        <w:rPr>
          <w:rStyle w:val="FootnoteReference"/>
        </w:rPr>
        <w:footnoteRef/>
      </w:r>
      <w:r w:rsidRPr="00412620">
        <w:rPr>
          <w:sz w:val="16"/>
          <w:szCs w:val="16"/>
        </w:rPr>
        <w:t>Proviso omitted by the Finance Act, 2009. The omitted proviso read as follows:</w:t>
      </w:r>
    </w:p>
    <w:p w:rsidR="00BF2117" w:rsidRPr="00412620" w:rsidRDefault="00BF2117" w:rsidP="00ED093F">
      <w:pPr>
        <w:pStyle w:val="BodyTextIndent"/>
        <w:ind w:left="270" w:hanging="270"/>
        <w:jc w:val="both"/>
        <w:rPr>
          <w:rFonts w:cs="Arial"/>
          <w:sz w:val="16"/>
          <w:szCs w:val="16"/>
        </w:rPr>
      </w:pPr>
      <w:r w:rsidRPr="00412620">
        <w:rPr>
          <w:sz w:val="16"/>
          <w:szCs w:val="16"/>
        </w:rPr>
        <w:t xml:space="preserve">   “</w:t>
      </w:r>
      <w:r w:rsidRPr="00412620">
        <w:rPr>
          <w:rFonts w:cs="Arial"/>
          <w:sz w:val="16"/>
          <w:szCs w:val="16"/>
        </w:rPr>
        <w:t>Provided that the prescribed limit of one million rupees shall not apply to passenger transport vehicles, not plying for hire, acquired on or after the first day of July, 2005.”</w:t>
      </w:r>
    </w:p>
    <w:p w:rsidR="00BF2117" w:rsidRPr="00412620" w:rsidRDefault="00BF2117">
      <w:pPr>
        <w:pStyle w:val="FootnoteText"/>
        <w:rPr>
          <w:sz w:val="16"/>
          <w:szCs w:val="16"/>
          <w:lang w:val="en-US"/>
        </w:rPr>
      </w:pPr>
    </w:p>
  </w:footnote>
  <w:footnote w:id="244">
    <w:p w:rsidR="00BF2117" w:rsidRPr="00412620" w:rsidRDefault="00BF2117">
      <w:pPr>
        <w:pStyle w:val="FootnoteText"/>
        <w:keepNext/>
        <w:ind w:left="180" w:hanging="180"/>
        <w:jc w:val="both"/>
        <w:rPr>
          <w:sz w:val="16"/>
        </w:rPr>
      </w:pPr>
      <w:r w:rsidRPr="00412620">
        <w:rPr>
          <w:rStyle w:val="FootnoteReference"/>
          <w:rFonts w:cs="Arial"/>
          <w:sz w:val="16"/>
        </w:rPr>
        <w:footnoteRef/>
      </w:r>
      <w:r w:rsidRPr="00412620">
        <w:rPr>
          <w:sz w:val="16"/>
        </w:rPr>
        <w:t xml:space="preserve"> Clause (c) substituted by the Finance Act, 2002. The substituted clause read as follows:</w:t>
      </w:r>
    </w:p>
    <w:p w:rsidR="00BF2117" w:rsidRPr="00412620" w:rsidRDefault="00BF2117" w:rsidP="00251DBA">
      <w:pPr>
        <w:pStyle w:val="FootnoteText"/>
        <w:ind w:left="810" w:hanging="540"/>
        <w:jc w:val="both"/>
        <w:rPr>
          <w:rFonts w:cs="Arial"/>
          <w:sz w:val="16"/>
        </w:rPr>
      </w:pPr>
      <w:r w:rsidRPr="00412620">
        <w:rPr>
          <w:rFonts w:cs="Arial"/>
          <w:sz w:val="16"/>
        </w:rPr>
        <w:t xml:space="preserve">“(c) </w:t>
      </w:r>
      <w:r w:rsidRPr="00412620">
        <w:rPr>
          <w:rFonts w:cs="Arial"/>
          <w:sz w:val="16"/>
        </w:rPr>
        <w:tab/>
        <w:t>an asset owned by a financial institution or leasing company and leased to another person is treated as used in the financial institution or leasing company’s business; and”.</w:t>
      </w:r>
    </w:p>
  </w:footnote>
  <w:footnote w:id="245">
    <w:p w:rsidR="00BF2117" w:rsidRPr="00E6514F" w:rsidRDefault="00BF2117">
      <w:pPr>
        <w:pStyle w:val="FootnoteText"/>
        <w:rPr>
          <w:lang w:val="en-US"/>
        </w:rPr>
      </w:pPr>
      <w:r w:rsidRPr="00E6514F">
        <w:rPr>
          <w:rStyle w:val="FootnoteReference"/>
        </w:rPr>
        <w:footnoteRef/>
      </w:r>
      <w:r w:rsidRPr="00E6514F">
        <w:rPr>
          <w:sz w:val="16"/>
          <w:lang w:val="en-US"/>
        </w:rPr>
        <w:t>Substituted for “wholly and exclusively used by the person in deriving income from business chargeable to tax” by Finance Act,2004 dated June 24,2004 w.e.f July 1,2004</w:t>
      </w:r>
    </w:p>
  </w:footnote>
  <w:footnote w:id="246">
    <w:p w:rsidR="00BF2117" w:rsidRPr="00412620" w:rsidRDefault="00BF2117">
      <w:pPr>
        <w:pStyle w:val="FootnoteText"/>
        <w:keepNext/>
        <w:ind w:left="270" w:hanging="270"/>
        <w:jc w:val="both"/>
        <w:rPr>
          <w:sz w:val="16"/>
        </w:rPr>
      </w:pPr>
      <w:r w:rsidRPr="00412620">
        <w:rPr>
          <w:rStyle w:val="FootnoteReference"/>
          <w:rFonts w:cs="Arial"/>
        </w:rPr>
        <w:footnoteRef/>
      </w:r>
      <w:r w:rsidRPr="00412620">
        <w:rPr>
          <w:sz w:val="16"/>
        </w:rPr>
        <w:t xml:space="preserve"> Sub-section (4) substituted by the Finance Act, 2002. The substituted sub-section (4) read as follows:</w:t>
      </w:r>
    </w:p>
    <w:p w:rsidR="00BF2117" w:rsidRPr="00412620" w:rsidRDefault="00BF2117">
      <w:pPr>
        <w:pStyle w:val="FootnoteText"/>
        <w:ind w:left="180" w:hanging="180"/>
        <w:jc w:val="both"/>
        <w:rPr>
          <w:rFonts w:cs="Arial"/>
          <w:sz w:val="16"/>
        </w:rPr>
      </w:pPr>
      <w:r w:rsidRPr="00412620">
        <w:rPr>
          <w:rFonts w:cs="Arial"/>
          <w:sz w:val="16"/>
        </w:rPr>
        <w:tab/>
      </w:r>
      <w:r w:rsidRPr="00412620">
        <w:rPr>
          <w:rFonts w:cs="Arial"/>
          <w:sz w:val="16"/>
        </w:rPr>
        <w:tab/>
        <w:t>“(4)</w:t>
      </w:r>
      <w:r w:rsidRPr="00412620">
        <w:rPr>
          <w:rFonts w:cs="Arial"/>
          <w:sz w:val="16"/>
        </w:rPr>
        <w:tab/>
        <w:t xml:space="preserve">A deduction allowed under this section to a leasing company in respect of assets owned by the company and leased to another person shall be deductible only against the lease rental income derived in respect of such assets.” </w:t>
      </w:r>
    </w:p>
  </w:footnote>
  <w:footnote w:id="247">
    <w:p w:rsidR="00BF2117" w:rsidRPr="00884947" w:rsidRDefault="00BF2117" w:rsidP="00CC75DD">
      <w:pPr>
        <w:pStyle w:val="FootnoteText"/>
        <w:ind w:left="0" w:firstLine="0"/>
        <w:rPr>
          <w:sz w:val="16"/>
          <w:vertAlign w:val="superscript"/>
        </w:rPr>
      </w:pPr>
      <w:r>
        <w:rPr>
          <w:rStyle w:val="FootnoteReference"/>
        </w:rPr>
        <w:footnoteRef/>
      </w:r>
      <w:r w:rsidRPr="00412620">
        <w:rPr>
          <w:sz w:val="16"/>
        </w:rPr>
        <w:t xml:space="preserve"> The words and comma “that is plant and machinery,” omitted by the Finance Act, 2003.</w:t>
      </w:r>
    </w:p>
  </w:footnote>
  <w:footnote w:id="248">
    <w:p w:rsidR="00BF2117" w:rsidRPr="00D4066D" w:rsidRDefault="00BF2117">
      <w:pPr>
        <w:pStyle w:val="FootnoteText"/>
        <w:rPr>
          <w:lang w:val="en-US"/>
        </w:rPr>
      </w:pPr>
      <w:r>
        <w:rPr>
          <w:rStyle w:val="FootnoteReference"/>
        </w:rPr>
        <w:footnoteRef/>
      </w:r>
      <w:r w:rsidRPr="00E6514F">
        <w:rPr>
          <w:sz w:val="16"/>
        </w:rPr>
        <w:t>The</w:t>
      </w:r>
      <w:r>
        <w:rPr>
          <w:sz w:val="16"/>
        </w:rPr>
        <w:t xml:space="preserve"> </w:t>
      </w:r>
      <w:r w:rsidRPr="00884947">
        <w:rPr>
          <w:sz w:val="16"/>
        </w:rPr>
        <w:t>words</w:t>
      </w:r>
      <w:r>
        <w:rPr>
          <w:sz w:val="16"/>
        </w:rPr>
        <w:t xml:space="preserve"> “that is acquired second hand”</w:t>
      </w:r>
      <w:r w:rsidRPr="00884947">
        <w:rPr>
          <w:sz w:val="16"/>
        </w:rPr>
        <w:t xml:space="preserve"> substituted by the Finance Act.2003</w:t>
      </w:r>
    </w:p>
  </w:footnote>
  <w:footnote w:id="249">
    <w:p w:rsidR="00BF2117" w:rsidRPr="00E6514F" w:rsidRDefault="00BF2117">
      <w:pPr>
        <w:pStyle w:val="FootnoteText"/>
        <w:rPr>
          <w:lang w:val="en-US"/>
        </w:rPr>
      </w:pPr>
      <w:r>
        <w:rPr>
          <w:rStyle w:val="FootnoteReference"/>
        </w:rPr>
        <w:footnoteRef/>
      </w:r>
      <w:r w:rsidRPr="00412620">
        <w:rPr>
          <w:sz w:val="16"/>
          <w:lang w:val="en-US"/>
        </w:rPr>
        <w:t>Inserted by the Finance Act, 2008.</w:t>
      </w:r>
    </w:p>
  </w:footnote>
  <w:footnote w:id="250">
    <w:p w:rsidR="00BF2117" w:rsidRPr="004B38CB" w:rsidRDefault="00BF2117">
      <w:pPr>
        <w:pStyle w:val="FootnoteText"/>
        <w:rPr>
          <w:lang w:val="en-US"/>
        </w:rPr>
      </w:pPr>
      <w:r>
        <w:rPr>
          <w:rStyle w:val="FootnoteReference"/>
        </w:rPr>
        <w:footnoteRef/>
      </w:r>
      <w:r w:rsidRPr="00412620">
        <w:rPr>
          <w:sz w:val="16"/>
          <w:lang w:val="en-US"/>
        </w:rPr>
        <w:t>Inserted by the Finance Act, 20</w:t>
      </w:r>
      <w:r>
        <w:rPr>
          <w:sz w:val="16"/>
          <w:lang w:val="en-US"/>
        </w:rPr>
        <w:t>15.</w:t>
      </w:r>
    </w:p>
  </w:footnote>
  <w:footnote w:id="251">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252">
    <w:p w:rsidR="00BF2117" w:rsidRPr="00412620" w:rsidRDefault="00BF2117">
      <w:pPr>
        <w:pStyle w:val="FootnoteText"/>
        <w:rPr>
          <w:sz w:val="16"/>
        </w:rPr>
      </w:pPr>
      <w:r w:rsidRPr="00412620">
        <w:rPr>
          <w:rStyle w:val="FootnoteReference"/>
          <w:rFonts w:cs="Arial"/>
        </w:rPr>
        <w:footnoteRef/>
      </w:r>
      <w:r w:rsidRPr="00412620">
        <w:rPr>
          <w:sz w:val="16"/>
        </w:rPr>
        <w:t xml:space="preserve"> The word “depreciation” substituted by the Finance Act, 2002</w:t>
      </w:r>
    </w:p>
  </w:footnote>
  <w:footnote w:id="253">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54">
    <w:p w:rsidR="00BF2117" w:rsidRPr="00412620" w:rsidRDefault="00BF2117">
      <w:pPr>
        <w:pStyle w:val="FootnoteText"/>
        <w:rPr>
          <w:sz w:val="16"/>
        </w:rPr>
      </w:pPr>
      <w:r w:rsidRPr="00412620">
        <w:rPr>
          <w:rStyle w:val="FootnoteReference"/>
          <w:rFonts w:cs="Arial"/>
        </w:rPr>
        <w:footnoteRef/>
      </w:r>
      <w:r w:rsidRPr="00412620">
        <w:rPr>
          <w:sz w:val="16"/>
        </w:rPr>
        <w:t xml:space="preserve"> The word  “activities” substituted by the Finance Act, 2002</w:t>
      </w:r>
    </w:p>
  </w:footnote>
  <w:footnote w:id="255">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56">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57">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258">
    <w:p w:rsidR="00BF2117" w:rsidRPr="00412620" w:rsidRDefault="00BF2117">
      <w:pPr>
        <w:pStyle w:val="FootnoteText"/>
        <w:jc w:val="both"/>
        <w:rPr>
          <w:sz w:val="16"/>
        </w:rPr>
      </w:pPr>
      <w:r w:rsidRPr="00412620">
        <w:rPr>
          <w:rStyle w:val="FootnoteReference"/>
          <w:rFonts w:cs="Arial"/>
        </w:rPr>
        <w:footnoteRef/>
      </w:r>
      <w:r w:rsidRPr="00412620">
        <w:rPr>
          <w:sz w:val="16"/>
        </w:rPr>
        <w:t xml:space="preserve"> Inserted by the Finance Act, 2003.</w:t>
      </w:r>
    </w:p>
  </w:footnote>
  <w:footnote w:id="259">
    <w:p w:rsidR="00BF2117" w:rsidRPr="00412620" w:rsidRDefault="00BF2117">
      <w:pPr>
        <w:pStyle w:val="FootnoteText"/>
        <w:rPr>
          <w:sz w:val="16"/>
          <w:lang w:val="en-US"/>
        </w:rPr>
      </w:pPr>
      <w:r w:rsidRPr="00412620">
        <w:rPr>
          <w:rStyle w:val="FootnoteReference"/>
        </w:rPr>
        <w:footnoteRef/>
      </w:r>
      <w:r w:rsidRPr="00412620">
        <w:rPr>
          <w:sz w:val="16"/>
          <w:lang w:val="en-US"/>
        </w:rPr>
        <w:t>The words “local authority” substituted by the Finance Act, 2008.</w:t>
      </w:r>
    </w:p>
  </w:footnote>
  <w:footnote w:id="260">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261">
    <w:p w:rsidR="00BF2117" w:rsidRPr="00412620" w:rsidRDefault="00BF2117">
      <w:pPr>
        <w:pStyle w:val="FootnoteText"/>
        <w:ind w:left="180" w:hanging="180"/>
        <w:jc w:val="both"/>
        <w:rPr>
          <w:sz w:val="16"/>
        </w:rPr>
      </w:pPr>
      <w:r w:rsidRPr="00412620">
        <w:rPr>
          <w:rStyle w:val="FootnoteReference"/>
          <w:rFonts w:cs="Arial"/>
        </w:rPr>
        <w:footnoteRef/>
      </w:r>
      <w:r w:rsidRPr="00412620">
        <w:rPr>
          <w:sz w:val="16"/>
        </w:rPr>
        <w:t xml:space="preserve"> The words “in deriving income chargeable to tax under the head “Income from Business” substituted by the Finance Act, 2004.</w:t>
      </w:r>
    </w:p>
  </w:footnote>
  <w:footnote w:id="262">
    <w:p w:rsidR="00BF2117" w:rsidRPr="00412620" w:rsidRDefault="00BF2117">
      <w:pPr>
        <w:pStyle w:val="FootnoteText"/>
        <w:ind w:left="180" w:hanging="180"/>
        <w:jc w:val="both"/>
        <w:rPr>
          <w:sz w:val="16"/>
        </w:rPr>
      </w:pPr>
      <w:r w:rsidRPr="00412620">
        <w:rPr>
          <w:rStyle w:val="FootnoteReference"/>
          <w:rFonts w:cs="Arial"/>
        </w:rPr>
        <w:footnoteRef/>
      </w:r>
      <w:r w:rsidRPr="00412620">
        <w:rPr>
          <w:sz w:val="16"/>
        </w:rPr>
        <w:t xml:space="preserve"> The words “in deriving income chargeable to tax under the head “Income from Business” substituted by the Finance Act, 2004.</w:t>
      </w:r>
    </w:p>
  </w:footnote>
  <w:footnote w:id="263">
    <w:p w:rsidR="00BF2117" w:rsidRPr="00412620" w:rsidRDefault="00BF2117">
      <w:pPr>
        <w:pStyle w:val="FootnoteText"/>
        <w:ind w:left="180" w:hanging="180"/>
        <w:jc w:val="both"/>
        <w:rPr>
          <w:sz w:val="16"/>
        </w:rPr>
      </w:pPr>
      <w:r w:rsidRPr="00412620">
        <w:rPr>
          <w:rStyle w:val="FootnoteReference"/>
          <w:rFonts w:cs="Arial"/>
        </w:rPr>
        <w:footnoteRef/>
      </w:r>
      <w:r w:rsidRPr="00412620">
        <w:rPr>
          <w:sz w:val="16"/>
        </w:rPr>
        <w:t xml:space="preserve"> The words “in deriving income chargeable to tax under the head “Income from Business” substituted by the Finance Act, 2004.</w:t>
      </w:r>
    </w:p>
  </w:footnote>
  <w:footnote w:id="264">
    <w:p w:rsidR="00BF2117" w:rsidRPr="00412620" w:rsidRDefault="00BF2117" w:rsidP="00182465">
      <w:pPr>
        <w:pStyle w:val="FootnoteText"/>
        <w:ind w:left="180" w:hanging="180"/>
        <w:jc w:val="both"/>
        <w:rPr>
          <w:sz w:val="16"/>
          <w:szCs w:val="16"/>
          <w:lang w:val="en-US"/>
        </w:rPr>
      </w:pPr>
      <w:r w:rsidRPr="00412620">
        <w:rPr>
          <w:rStyle w:val="FootnoteReference"/>
        </w:rPr>
        <w:footnoteRef/>
      </w:r>
      <w:r w:rsidRPr="00412620">
        <w:rPr>
          <w:sz w:val="16"/>
          <w:szCs w:val="16"/>
        </w:rPr>
        <w:t>The words “</w:t>
      </w:r>
      <w:r w:rsidRPr="00412620">
        <w:rPr>
          <w:rFonts w:cs="Arial"/>
          <w:sz w:val="16"/>
          <w:szCs w:val="16"/>
        </w:rPr>
        <w:t>Small Business Finance Corporation (hereinafter referred to as “the Corporation”)” substituted by the Finance Act, 2009.</w:t>
      </w:r>
    </w:p>
  </w:footnote>
  <w:footnote w:id="265">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 “Corporation” substituted by the Finance Act, 2011.</w:t>
      </w:r>
    </w:p>
  </w:footnote>
  <w:footnote w:id="266">
    <w:p w:rsidR="00BF2117" w:rsidRPr="00D41075" w:rsidRDefault="00BF2117" w:rsidP="00E81985">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Inserted </w:t>
      </w:r>
      <w:r w:rsidRPr="00D41075">
        <w:rPr>
          <w:color w:val="FF0000"/>
          <w:sz w:val="16"/>
          <w:szCs w:val="16"/>
        </w:rPr>
        <w:t>by the Presidential Order No.F.2(1)/2016-Pub dated 31.0</w:t>
      </w:r>
      <w:r>
        <w:rPr>
          <w:color w:val="FF0000"/>
          <w:sz w:val="16"/>
          <w:szCs w:val="16"/>
        </w:rPr>
        <w:t>8</w:t>
      </w:r>
      <w:r w:rsidRPr="00D41075">
        <w:rPr>
          <w:color w:val="FF0000"/>
          <w:sz w:val="16"/>
          <w:szCs w:val="16"/>
        </w:rPr>
        <w:t>.2016</w:t>
      </w:r>
      <w:r>
        <w:rPr>
          <w:color w:val="FF0000"/>
          <w:sz w:val="16"/>
          <w:szCs w:val="16"/>
        </w:rPr>
        <w:t xml:space="preserve">. </w:t>
      </w:r>
    </w:p>
  </w:footnote>
  <w:footnote w:id="267">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268">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269">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70">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words “banking company or” omitted by the Finance Act, 2009.</w:t>
      </w:r>
    </w:p>
  </w:footnote>
  <w:footnote w:id="271">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2004.</w:t>
      </w:r>
    </w:p>
  </w:footnote>
  <w:footnote w:id="272">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2004.</w:t>
      </w:r>
    </w:p>
  </w:footnote>
  <w:footnote w:id="273">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words “a banking company or” omitted by the Finance Act, 2009.</w:t>
      </w:r>
    </w:p>
  </w:footnote>
  <w:footnote w:id="274">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75">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76">
    <w:p w:rsidR="00BF2117" w:rsidRPr="00412620" w:rsidRDefault="00BF2117">
      <w:pPr>
        <w:pStyle w:val="FootnoteText"/>
        <w:rPr>
          <w:sz w:val="16"/>
        </w:rPr>
      </w:pPr>
      <w:r w:rsidRPr="00412620">
        <w:rPr>
          <w:rStyle w:val="FootnoteReference"/>
          <w:rFonts w:cs="Arial"/>
        </w:rPr>
        <w:footnoteRef/>
      </w:r>
      <w:r w:rsidRPr="00412620">
        <w:rPr>
          <w:sz w:val="16"/>
        </w:rPr>
        <w:t xml:space="preserve"> The words “Non-bank Financial Institutions” substituted by the Finance Act, 2003.</w:t>
      </w:r>
    </w:p>
  </w:footnote>
  <w:footnote w:id="277">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78">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79">
    <w:p w:rsidR="00BF2117" w:rsidRPr="00412620" w:rsidRDefault="00BF2117" w:rsidP="00EC788E">
      <w:pPr>
        <w:pStyle w:val="FootnoteText"/>
        <w:rPr>
          <w:sz w:val="16"/>
        </w:rPr>
      </w:pPr>
      <w:r w:rsidRPr="00412620">
        <w:rPr>
          <w:rStyle w:val="FootnoteReference"/>
          <w:rFonts w:cs="Arial"/>
        </w:rPr>
        <w:footnoteRef/>
      </w:r>
      <w:r w:rsidRPr="00412620">
        <w:rPr>
          <w:sz w:val="16"/>
        </w:rPr>
        <w:t xml:space="preserve"> Inserted by the Finance Act, 2003.</w:t>
      </w:r>
    </w:p>
  </w:footnote>
  <w:footnote w:id="280">
    <w:p w:rsidR="00BF2117" w:rsidRPr="00A7684E" w:rsidRDefault="00BF2117" w:rsidP="00EC788E">
      <w:pPr>
        <w:jc w:val="both"/>
        <w:rPr>
          <w:color w:val="000000" w:themeColor="text1"/>
          <w:sz w:val="16"/>
          <w:szCs w:val="16"/>
        </w:rPr>
      </w:pPr>
      <w:r w:rsidRPr="00A7684E">
        <w:rPr>
          <w:rStyle w:val="FootnoteReference"/>
          <w:color w:val="000000" w:themeColor="text1"/>
        </w:rPr>
        <w:footnoteRef/>
      </w:r>
      <w:r w:rsidRPr="00A7684E">
        <w:rPr>
          <w:color w:val="000000" w:themeColor="text1"/>
          <w:sz w:val="16"/>
          <w:szCs w:val="16"/>
        </w:rPr>
        <w:t>The words “Banking Tribunals Ordinance, 1984” substituted by the words “Financial Institutions (Recovery Of Finances)    Ordinance, 2001 (XLVI of 2001) by the Finance Act 2014”.</w:t>
      </w:r>
    </w:p>
    <w:p w:rsidR="00BF2117" w:rsidRPr="00EC788E" w:rsidRDefault="00BF2117">
      <w:pPr>
        <w:pStyle w:val="FootnoteText"/>
        <w:rPr>
          <w:lang w:val="en-US"/>
        </w:rPr>
      </w:pPr>
    </w:p>
  </w:footnote>
  <w:footnote w:id="281">
    <w:p w:rsidR="00BF2117" w:rsidRPr="00412620" w:rsidRDefault="00BF2117" w:rsidP="00D052DE">
      <w:pPr>
        <w:pStyle w:val="FootnoteText"/>
        <w:keepNext/>
        <w:ind w:left="360" w:hanging="360"/>
        <w:jc w:val="both"/>
        <w:rPr>
          <w:sz w:val="16"/>
        </w:rPr>
      </w:pPr>
      <w:r w:rsidRPr="00412620">
        <w:rPr>
          <w:rStyle w:val="FootnoteReference"/>
          <w:rFonts w:cs="Arial"/>
        </w:rPr>
        <w:footnoteRef/>
      </w:r>
      <w:r w:rsidRPr="00412620">
        <w:rPr>
          <w:sz w:val="16"/>
        </w:rPr>
        <w:t xml:space="preserve"> Sub-section (1) substituted by the Finance Act, 2003. The substituted sub-section (1) read as follows:</w:t>
      </w:r>
    </w:p>
    <w:p w:rsidR="00BF2117" w:rsidRPr="00412620" w:rsidRDefault="00BF2117">
      <w:pPr>
        <w:ind w:left="180" w:firstLine="367"/>
        <w:jc w:val="both"/>
        <w:rPr>
          <w:rFonts w:cs="Arial"/>
          <w:sz w:val="16"/>
        </w:rPr>
      </w:pPr>
      <w:r w:rsidRPr="00412620">
        <w:rPr>
          <w:rFonts w:cs="Arial"/>
          <w:sz w:val="16"/>
        </w:rPr>
        <w:t>“(1)</w:t>
      </w:r>
      <w:r w:rsidRPr="00412620">
        <w:rPr>
          <w:rFonts w:cs="Arial"/>
          <w:sz w:val="16"/>
        </w:rPr>
        <w:tab/>
        <w:t>A person’s income chargeable to tax under the head “Income from Business” shall be computed in accordance with the method of accounting regularly employed by the person.”</w:t>
      </w:r>
    </w:p>
  </w:footnote>
  <w:footnote w:id="282">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283">
    <w:p w:rsidR="00BF2117" w:rsidRPr="00412620" w:rsidRDefault="00BF2117">
      <w:pPr>
        <w:pStyle w:val="FootnoteText"/>
        <w:rPr>
          <w:sz w:val="16"/>
        </w:rPr>
      </w:pPr>
      <w:r w:rsidRPr="00412620">
        <w:rPr>
          <w:rStyle w:val="FootnoteReference"/>
          <w:rFonts w:cs="Arial"/>
        </w:rPr>
        <w:footnoteRef/>
      </w:r>
      <w:r w:rsidRPr="00412620">
        <w:rPr>
          <w:sz w:val="16"/>
        </w:rPr>
        <w:t xml:space="preserve"> Substituted for the word “notice” by the Finance Act, 2003.</w:t>
      </w:r>
    </w:p>
  </w:footnote>
  <w:footnote w:id="284">
    <w:p w:rsidR="00BF2117" w:rsidRPr="00412620" w:rsidRDefault="00BF2117">
      <w:pPr>
        <w:pStyle w:val="FootnoteText"/>
        <w:ind w:left="90" w:hanging="90"/>
        <w:rPr>
          <w:sz w:val="16"/>
        </w:rPr>
      </w:pPr>
      <w:r w:rsidRPr="00412620">
        <w:rPr>
          <w:rStyle w:val="FootnoteReference"/>
          <w:rFonts w:cs="Arial"/>
        </w:rPr>
        <w:footnoteRef/>
      </w:r>
      <w:r w:rsidRPr="00412620">
        <w:rPr>
          <w:sz w:val="16"/>
        </w:rPr>
        <w:t xml:space="preserve"> The comma and words “, but not before economic performance occurs” omitted by the Finance Act, 2004.</w:t>
      </w:r>
    </w:p>
  </w:footnote>
  <w:footnote w:id="285">
    <w:p w:rsidR="00BF2117" w:rsidRPr="00412620" w:rsidRDefault="00BF2117">
      <w:pPr>
        <w:pStyle w:val="FootnoteText"/>
        <w:keepNext/>
        <w:rPr>
          <w:sz w:val="16"/>
        </w:rPr>
      </w:pPr>
      <w:r w:rsidRPr="00412620">
        <w:rPr>
          <w:rStyle w:val="FootnoteReference"/>
          <w:rFonts w:cs="Arial"/>
        </w:rPr>
        <w:footnoteRef/>
      </w:r>
      <w:r w:rsidRPr="00412620">
        <w:rPr>
          <w:sz w:val="16"/>
        </w:rPr>
        <w:t xml:space="preserve"> Sub-section (4) omitted by the Finance Act, 2004. The omitted sub-section (4) read as follows: </w:t>
      </w:r>
    </w:p>
    <w:p w:rsidR="00BF2117" w:rsidRPr="00412620" w:rsidRDefault="00BF2117">
      <w:pPr>
        <w:keepNext/>
        <w:ind w:firstLine="547"/>
        <w:jc w:val="both"/>
        <w:rPr>
          <w:rFonts w:cs="Arial"/>
          <w:sz w:val="16"/>
        </w:rPr>
      </w:pPr>
      <w:r w:rsidRPr="00412620">
        <w:rPr>
          <w:rFonts w:cs="Arial"/>
          <w:sz w:val="16"/>
        </w:rPr>
        <w:t>“(4)</w:t>
      </w:r>
      <w:r w:rsidRPr="00412620">
        <w:rPr>
          <w:rFonts w:cs="Arial"/>
          <w:sz w:val="16"/>
        </w:rPr>
        <w:tab/>
        <w:t>For the purposes of sub-section (3), economic performance shall occur -</w:t>
      </w:r>
    </w:p>
    <w:p w:rsidR="00BF2117" w:rsidRPr="00412620" w:rsidRDefault="00BF2117">
      <w:pPr>
        <w:pStyle w:val="BodyTextIndent2"/>
        <w:keepNext/>
        <w:ind w:left="1620" w:hanging="540"/>
        <w:jc w:val="both"/>
        <w:rPr>
          <w:rFonts w:cs="Arial"/>
          <w:sz w:val="16"/>
        </w:rPr>
      </w:pPr>
      <w:r w:rsidRPr="00412620">
        <w:rPr>
          <w:rFonts w:cs="Arial"/>
          <w:sz w:val="16"/>
        </w:rPr>
        <w:t>(a)</w:t>
      </w:r>
      <w:r w:rsidRPr="00412620">
        <w:rPr>
          <w:rFonts w:cs="Arial"/>
          <w:sz w:val="16"/>
        </w:rPr>
        <w:tab/>
        <w:t>in the case of the acquisition of services or assets, at the time the services or assets are provided;</w:t>
      </w:r>
    </w:p>
    <w:p w:rsidR="00BF2117" w:rsidRPr="00412620" w:rsidRDefault="00BF2117">
      <w:pPr>
        <w:pStyle w:val="BodyTextIndent2"/>
        <w:keepNext/>
        <w:ind w:left="1620" w:hanging="540"/>
        <w:jc w:val="both"/>
        <w:rPr>
          <w:rFonts w:cs="Arial"/>
          <w:sz w:val="16"/>
        </w:rPr>
      </w:pPr>
      <w:r w:rsidRPr="00412620">
        <w:rPr>
          <w:rFonts w:cs="Arial"/>
          <w:sz w:val="16"/>
        </w:rPr>
        <w:t>(b)</w:t>
      </w:r>
      <w:r w:rsidRPr="00412620">
        <w:rPr>
          <w:rFonts w:cs="Arial"/>
          <w:sz w:val="16"/>
        </w:rPr>
        <w:tab/>
        <w:t>in the case of the use of assets, at the time the assets are used; and</w:t>
      </w:r>
    </w:p>
    <w:p w:rsidR="00BF2117" w:rsidRPr="00412620" w:rsidRDefault="00BF2117">
      <w:pPr>
        <w:pStyle w:val="FootnoteText"/>
        <w:ind w:left="1620" w:hanging="540"/>
        <w:rPr>
          <w:rFonts w:cs="Arial"/>
          <w:sz w:val="16"/>
        </w:rPr>
      </w:pPr>
      <w:r w:rsidRPr="00412620">
        <w:rPr>
          <w:rFonts w:cs="Arial"/>
          <w:sz w:val="16"/>
        </w:rPr>
        <w:t>(c)</w:t>
      </w:r>
      <w:r w:rsidRPr="00412620">
        <w:rPr>
          <w:rFonts w:cs="Arial"/>
          <w:sz w:val="16"/>
        </w:rPr>
        <w:tab/>
        <w:t>in any other case, at the time payment is made in full satisfaction of the liability.”</w:t>
      </w:r>
    </w:p>
  </w:footnote>
  <w:footnote w:id="286">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87">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288">
    <w:p w:rsidR="00BF2117" w:rsidRPr="00412620" w:rsidRDefault="00BF2117">
      <w:pPr>
        <w:pStyle w:val="FootnoteText"/>
        <w:rPr>
          <w:sz w:val="16"/>
        </w:rPr>
      </w:pPr>
      <w:r w:rsidRPr="00412620">
        <w:rPr>
          <w:rStyle w:val="FootnoteReference"/>
          <w:rFonts w:cs="Arial"/>
        </w:rPr>
        <w:footnoteRef/>
      </w:r>
      <w:r w:rsidRPr="00412620">
        <w:rPr>
          <w:sz w:val="16"/>
        </w:rPr>
        <w:t xml:space="preserve"> Substituted for the words “fair market” by the Finance Act, 2002</w:t>
      </w:r>
    </w:p>
  </w:footnote>
  <w:footnote w:id="289">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290">
    <w:p w:rsidR="00BF2117" w:rsidRPr="00A7684E" w:rsidRDefault="00BF2117">
      <w:pPr>
        <w:pStyle w:val="FootnoteText"/>
        <w:rPr>
          <w:color w:val="000000" w:themeColor="text1"/>
          <w:lang w:val="en-US"/>
        </w:rPr>
      </w:pPr>
      <w:r w:rsidRPr="00A7684E">
        <w:rPr>
          <w:rStyle w:val="FootnoteReference"/>
          <w:color w:val="000000" w:themeColor="text1"/>
        </w:rPr>
        <w:footnoteRef/>
      </w:r>
      <w:r w:rsidRPr="00A7684E">
        <w:rPr>
          <w:color w:val="000000" w:themeColor="text1"/>
          <w:sz w:val="16"/>
          <w:szCs w:val="16"/>
        </w:rPr>
        <w:t>The words and comma “</w:t>
      </w:r>
      <w:r w:rsidRPr="00A7684E">
        <w:rPr>
          <w:rFonts w:cs="Arial"/>
          <w:color w:val="000000" w:themeColor="text1"/>
          <w:sz w:val="16"/>
          <w:szCs w:val="16"/>
        </w:rPr>
        <w:t>held for a period upto two years,” omitted by the Finance Act, 2014.</w:t>
      </w:r>
    </w:p>
  </w:footnote>
  <w:footnote w:id="291">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2010.</w:t>
      </w:r>
    </w:p>
  </w:footnote>
  <w:footnote w:id="292">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293">
    <w:p w:rsidR="00BF2117" w:rsidRPr="00412620" w:rsidRDefault="00BF2117">
      <w:pPr>
        <w:pStyle w:val="FootnoteText"/>
        <w:rPr>
          <w:sz w:val="16"/>
        </w:rPr>
      </w:pPr>
      <w:r w:rsidRPr="00412620">
        <w:rPr>
          <w:rStyle w:val="FootnoteReference"/>
          <w:rFonts w:cs="Arial"/>
        </w:rPr>
        <w:footnoteRef/>
      </w:r>
      <w:r w:rsidRPr="00412620">
        <w:rPr>
          <w:sz w:val="16"/>
        </w:rPr>
        <w:t xml:space="preserve"> The brackets and words “(a) any stock-in-trade;” substituted by the Finance Act, 2002</w:t>
      </w:r>
    </w:p>
  </w:footnote>
  <w:footnote w:id="294">
    <w:p w:rsidR="00BF2117" w:rsidRPr="00412620" w:rsidRDefault="00BF2117">
      <w:pPr>
        <w:pStyle w:val="FootnoteText"/>
        <w:rPr>
          <w:sz w:val="16"/>
          <w:szCs w:val="16"/>
          <w:lang w:val="en-US"/>
        </w:rPr>
      </w:pPr>
      <w:r w:rsidRPr="00412620">
        <w:rPr>
          <w:rStyle w:val="FootnoteReference"/>
        </w:rPr>
        <w:footnoteRef/>
      </w:r>
      <w:r w:rsidRPr="00412620">
        <w:rPr>
          <w:sz w:val="16"/>
          <w:szCs w:val="16"/>
        </w:rPr>
        <w:t>The brackets and words “(not being stocks and shares)” omitted by the Finance Act, 2010.</w:t>
      </w:r>
    </w:p>
  </w:footnote>
  <w:footnote w:id="295">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296">
    <w:p w:rsidR="00BF2117" w:rsidRPr="00412620" w:rsidRDefault="00BF2117">
      <w:pPr>
        <w:pStyle w:val="FootnoteText"/>
        <w:rPr>
          <w:sz w:val="16"/>
          <w:szCs w:val="16"/>
        </w:rPr>
      </w:pPr>
      <w:r w:rsidRPr="00412620">
        <w:rPr>
          <w:rStyle w:val="FootnoteReference"/>
        </w:rPr>
        <w:footnoteRef/>
      </w:r>
      <w:r w:rsidRPr="00412620">
        <w:rPr>
          <w:sz w:val="16"/>
          <w:szCs w:val="16"/>
        </w:rPr>
        <w:t>Clause (c) omitted by the Finance Act, 2012. Omitted clause (c) read as follows:-</w:t>
      </w:r>
    </w:p>
    <w:p w:rsidR="00BF2117" w:rsidRPr="00412620" w:rsidRDefault="00BF2117">
      <w:pPr>
        <w:pStyle w:val="FootnoteText"/>
        <w:rPr>
          <w:lang w:val="en-US"/>
        </w:rPr>
      </w:pPr>
      <w:r w:rsidRPr="00412620">
        <w:rPr>
          <w:sz w:val="16"/>
          <w:szCs w:val="16"/>
        </w:rPr>
        <w:t xml:space="preserve">   “(c) </w:t>
      </w:r>
      <w:r w:rsidRPr="00412620">
        <w:rPr>
          <w:sz w:val="16"/>
          <w:szCs w:val="16"/>
        </w:rPr>
        <w:tab/>
        <w:t>any immovable property; or”</w:t>
      </w:r>
    </w:p>
  </w:footnote>
  <w:footnote w:id="297">
    <w:p w:rsidR="00BF2117" w:rsidRPr="00412620" w:rsidRDefault="00BF2117">
      <w:pPr>
        <w:pStyle w:val="FootnoteText"/>
        <w:ind w:left="180" w:hanging="180"/>
        <w:rPr>
          <w:sz w:val="16"/>
        </w:rPr>
      </w:pPr>
      <w:r w:rsidRPr="00412620">
        <w:rPr>
          <w:rStyle w:val="FootnoteReference"/>
          <w:rFonts w:cs="Arial"/>
        </w:rPr>
        <w:footnoteRef/>
      </w:r>
      <w:r w:rsidRPr="00412620">
        <w:rPr>
          <w:sz w:val="16"/>
        </w:rPr>
        <w:t xml:space="preserve"> The brackets, commas and words “(including wearing apparel, jewellery, or furniture)” substituted by the Finance Act, 2003.</w:t>
      </w:r>
    </w:p>
  </w:footnote>
  <w:footnote w:id="298">
    <w:p w:rsidR="00BF2117" w:rsidRPr="00412620" w:rsidRDefault="00BF2117">
      <w:pPr>
        <w:pStyle w:val="FootnoteText"/>
        <w:rPr>
          <w:sz w:val="16"/>
        </w:rPr>
      </w:pPr>
      <w:r w:rsidRPr="00412620">
        <w:rPr>
          <w:rStyle w:val="FootnoteReference"/>
          <w:rFonts w:cs="Arial"/>
        </w:rPr>
        <w:footnoteRef/>
      </w:r>
      <w:r w:rsidRPr="00412620">
        <w:rPr>
          <w:sz w:val="16"/>
        </w:rPr>
        <w:t xml:space="preserve"> The comma and word “; or” substituted by the Finance Act, 2002</w:t>
      </w:r>
    </w:p>
  </w:footnote>
  <w:footnote w:id="299">
    <w:p w:rsidR="00BF2117" w:rsidRPr="00412620" w:rsidRDefault="00BF2117">
      <w:pPr>
        <w:pStyle w:val="FootnoteText"/>
        <w:keepNext/>
        <w:rPr>
          <w:sz w:val="16"/>
        </w:rPr>
      </w:pPr>
      <w:r w:rsidRPr="00412620">
        <w:rPr>
          <w:rStyle w:val="FootnoteReference"/>
          <w:rFonts w:cs="Arial"/>
        </w:rPr>
        <w:footnoteRef/>
      </w:r>
      <w:r w:rsidRPr="00412620">
        <w:rPr>
          <w:sz w:val="16"/>
        </w:rPr>
        <w:t xml:space="preserve"> Clause (e) omitted by the Finance Act, 2001. The omitted clause (e)  read as follows:</w:t>
      </w:r>
    </w:p>
    <w:p w:rsidR="00BF2117" w:rsidRPr="00412620" w:rsidRDefault="00BF2117" w:rsidP="002E0271">
      <w:pPr>
        <w:pStyle w:val="BodyTextIndent"/>
        <w:ind w:left="1634" w:hanging="540"/>
        <w:jc w:val="both"/>
        <w:rPr>
          <w:rFonts w:cs="Arial"/>
          <w:sz w:val="16"/>
        </w:rPr>
      </w:pPr>
      <w:r w:rsidRPr="00412620">
        <w:rPr>
          <w:rFonts w:cs="Arial"/>
          <w:sz w:val="16"/>
        </w:rPr>
        <w:t>“(e)</w:t>
      </w:r>
      <w:r w:rsidRPr="00412620">
        <w:rPr>
          <w:rFonts w:cs="Arial"/>
          <w:sz w:val="16"/>
        </w:rPr>
        <w:tab/>
        <w:t>any modaraba certificate or any instrument of redeemable capital listed on any stock exchange or shares of a public company.”</w:t>
      </w:r>
    </w:p>
  </w:footnote>
  <w:footnote w:id="300">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2010.</w:t>
      </w:r>
    </w:p>
  </w:footnote>
  <w:footnote w:id="301">
    <w:p w:rsidR="00BF2117" w:rsidRDefault="00BF2117">
      <w:pPr>
        <w:pStyle w:val="FootnoteText"/>
        <w:rPr>
          <w:sz w:val="16"/>
          <w:szCs w:val="16"/>
          <w:lang w:val="en-US"/>
        </w:rPr>
      </w:pPr>
      <w:r>
        <w:rPr>
          <w:rStyle w:val="FootnoteReference"/>
        </w:rPr>
        <w:footnoteRef/>
      </w:r>
      <w:r>
        <w:rPr>
          <w:sz w:val="16"/>
          <w:szCs w:val="16"/>
          <w:lang w:val="en-US"/>
        </w:rPr>
        <w:t xml:space="preserve">Omitted </w:t>
      </w:r>
      <w:r w:rsidRPr="002E0271">
        <w:rPr>
          <w:sz w:val="16"/>
          <w:szCs w:val="16"/>
          <w:lang w:val="en-US"/>
        </w:rPr>
        <w:t xml:space="preserve">by Finance Act, 2015. The </w:t>
      </w:r>
      <w:r>
        <w:rPr>
          <w:sz w:val="16"/>
          <w:szCs w:val="16"/>
          <w:lang w:val="en-US"/>
        </w:rPr>
        <w:t>omitted</w:t>
      </w:r>
      <w:r w:rsidRPr="002E0271">
        <w:rPr>
          <w:sz w:val="16"/>
          <w:szCs w:val="16"/>
          <w:lang w:val="en-US"/>
        </w:rPr>
        <w:t xml:space="preserve"> words read as follows:-</w:t>
      </w:r>
    </w:p>
    <w:p w:rsidR="00BF2117" w:rsidRPr="002E0271" w:rsidRDefault="00BF2117" w:rsidP="00D22324">
      <w:pPr>
        <w:pStyle w:val="FootnoteText"/>
        <w:ind w:hanging="173"/>
        <w:rPr>
          <w:lang w:val="en-US"/>
        </w:rPr>
      </w:pPr>
      <w:r>
        <w:rPr>
          <w:sz w:val="16"/>
          <w:szCs w:val="16"/>
          <w:lang w:val="en-US"/>
        </w:rPr>
        <w:t>“</w:t>
      </w:r>
      <w:r w:rsidRPr="002E0271">
        <w:rPr>
          <w:rFonts w:cs="Arial"/>
          <w:sz w:val="16"/>
          <w:szCs w:val="16"/>
        </w:rPr>
        <w:t xml:space="preserve"> held for a period of less than a year</w:t>
      </w:r>
      <w:r>
        <w:rPr>
          <w:rFonts w:cs="Arial"/>
          <w:sz w:val="16"/>
          <w:szCs w:val="16"/>
        </w:rPr>
        <w:t>,”</w:t>
      </w:r>
    </w:p>
  </w:footnote>
  <w:footnote w:id="302">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303">
    <w:p w:rsidR="00BF2117" w:rsidRPr="00A7684E" w:rsidRDefault="00BF2117" w:rsidP="005F4DBA">
      <w:pPr>
        <w:pStyle w:val="FootnoteText"/>
        <w:ind w:left="0" w:firstLine="0"/>
        <w:rPr>
          <w:color w:val="000000" w:themeColor="text1"/>
          <w:sz w:val="16"/>
          <w:szCs w:val="16"/>
          <w:lang w:val="en-US"/>
        </w:rPr>
      </w:pPr>
      <w:r w:rsidRPr="00A7684E">
        <w:rPr>
          <w:rFonts w:cs="Arial"/>
          <w:color w:val="000000" w:themeColor="text1"/>
          <w:sz w:val="16"/>
          <w:szCs w:val="16"/>
        </w:rPr>
        <w:t>4 The First proviso omitted by Finance Act, 2014. The omitted proviso read as follows:</w:t>
      </w:r>
    </w:p>
    <w:p w:rsidR="00BF2117" w:rsidRPr="00A7684E" w:rsidRDefault="00BF2117" w:rsidP="005F4DBA">
      <w:pPr>
        <w:pStyle w:val="FootnoteText"/>
        <w:ind w:left="547" w:firstLine="0"/>
        <w:rPr>
          <w:color w:val="000000" w:themeColor="text1"/>
          <w:sz w:val="16"/>
          <w:szCs w:val="16"/>
          <w:lang w:val="en-US"/>
        </w:rPr>
      </w:pPr>
      <w:r w:rsidRPr="00A7684E">
        <w:rPr>
          <w:rFonts w:cs="Arial"/>
          <w:color w:val="000000" w:themeColor="text1"/>
          <w:sz w:val="16"/>
          <w:szCs w:val="16"/>
        </w:rPr>
        <w:t>“Provided that this section shall not apply if the securities are held for a period of more than a year.”</w:t>
      </w:r>
    </w:p>
  </w:footnote>
  <w:footnote w:id="304">
    <w:p w:rsidR="00BF2117" w:rsidRPr="00A7684E" w:rsidRDefault="00BF2117">
      <w:pPr>
        <w:pStyle w:val="FootnoteText"/>
        <w:rPr>
          <w:color w:val="000000" w:themeColor="text1"/>
          <w:lang w:val="en-US"/>
        </w:rPr>
      </w:pPr>
      <w:r w:rsidRPr="00A7684E">
        <w:rPr>
          <w:rStyle w:val="FootnoteReference"/>
          <w:color w:val="000000" w:themeColor="text1"/>
        </w:rPr>
        <w:footnoteRef/>
      </w:r>
      <w:r w:rsidRPr="00A7684E">
        <w:rPr>
          <w:color w:val="000000" w:themeColor="text1"/>
          <w:sz w:val="16"/>
          <w:szCs w:val="16"/>
          <w:lang w:val="en-US"/>
        </w:rPr>
        <w:t>The word “further” omitted by Finance Act, 2014</w:t>
      </w:r>
    </w:p>
  </w:footnote>
  <w:footnote w:id="305">
    <w:p w:rsidR="00BF2117" w:rsidRPr="00A7684E" w:rsidRDefault="00BF2117">
      <w:pPr>
        <w:pStyle w:val="FootnoteText"/>
        <w:rPr>
          <w:color w:val="000000" w:themeColor="text1"/>
          <w:lang w:val="en-US"/>
        </w:rPr>
      </w:pPr>
      <w:r w:rsidRPr="00A7684E">
        <w:rPr>
          <w:rStyle w:val="FootnoteReference"/>
          <w:color w:val="000000" w:themeColor="text1"/>
        </w:rPr>
        <w:footnoteRef/>
      </w:r>
      <w:r w:rsidRPr="00A7684E">
        <w:rPr>
          <w:color w:val="000000" w:themeColor="text1"/>
          <w:sz w:val="16"/>
          <w:szCs w:val="16"/>
        </w:rPr>
        <w:t>Inserted by the Finance Act,2012.</w:t>
      </w:r>
    </w:p>
  </w:footnote>
  <w:footnote w:id="306">
    <w:p w:rsidR="00BF2117" w:rsidRPr="00D92A58" w:rsidRDefault="00BF2117">
      <w:pPr>
        <w:pStyle w:val="FootnoteText"/>
        <w:rPr>
          <w:lang w:val="en-US"/>
        </w:rPr>
      </w:pPr>
      <w:r w:rsidRPr="00A7684E">
        <w:rPr>
          <w:rStyle w:val="FootnoteReference"/>
          <w:color w:val="000000" w:themeColor="text1"/>
        </w:rPr>
        <w:footnoteRef/>
      </w:r>
      <w:r w:rsidRPr="00A7684E">
        <w:rPr>
          <w:color w:val="000000" w:themeColor="text1"/>
          <w:sz w:val="16"/>
          <w:szCs w:val="16"/>
        </w:rPr>
        <w:t xml:space="preserve">Inserted </w:t>
      </w:r>
      <w:r w:rsidRPr="00A7684E">
        <w:rPr>
          <w:rFonts w:cs="Arial"/>
          <w:color w:val="000000" w:themeColor="text1"/>
          <w:sz w:val="16"/>
          <w:szCs w:val="16"/>
        </w:rPr>
        <w:t>by the Finance Act, 2014.</w:t>
      </w:r>
    </w:p>
  </w:footnote>
  <w:footnote w:id="307">
    <w:p w:rsidR="00BF2117" w:rsidRPr="00A7684E" w:rsidRDefault="00BF2117">
      <w:pPr>
        <w:pStyle w:val="FootnoteText"/>
        <w:rPr>
          <w:color w:val="000000" w:themeColor="text1"/>
          <w:sz w:val="16"/>
          <w:szCs w:val="16"/>
          <w:lang w:val="en-US"/>
        </w:rPr>
      </w:pPr>
      <w:r w:rsidRPr="00A7684E">
        <w:rPr>
          <w:rStyle w:val="FootnoteReference"/>
          <w:color w:val="000000" w:themeColor="text1"/>
        </w:rPr>
        <w:footnoteRef/>
      </w:r>
      <w:r w:rsidRPr="00A7684E">
        <w:rPr>
          <w:color w:val="000000" w:themeColor="text1"/>
          <w:sz w:val="16"/>
          <w:szCs w:val="16"/>
        </w:rPr>
        <w:t>The sub-section (3A) inserted by the Finance Act, 2014.</w:t>
      </w:r>
    </w:p>
  </w:footnote>
  <w:footnote w:id="308">
    <w:p w:rsidR="00BF2117" w:rsidRPr="00B455DC" w:rsidRDefault="00BF2117">
      <w:pPr>
        <w:pStyle w:val="FootnoteText"/>
        <w:rPr>
          <w:color w:val="0070C0"/>
          <w:lang w:val="en-US"/>
        </w:rPr>
      </w:pPr>
      <w:r w:rsidRPr="00B455DC">
        <w:rPr>
          <w:rStyle w:val="FootnoteReference"/>
          <w:color w:val="0070C0"/>
        </w:rPr>
        <w:footnoteRef/>
      </w:r>
      <w:r w:rsidRPr="00B455DC">
        <w:rPr>
          <w:color w:val="0070C0"/>
        </w:rPr>
        <w:t xml:space="preserve"> </w:t>
      </w:r>
      <w:r w:rsidRPr="00B455DC">
        <w:rPr>
          <w:color w:val="0070C0"/>
          <w:sz w:val="16"/>
          <w:szCs w:val="16"/>
        </w:rPr>
        <w:t>Inserted by the Finance Act, 2016.</w:t>
      </w:r>
    </w:p>
  </w:footnote>
  <w:footnote w:id="309">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p>
  </w:footnote>
  <w:footnote w:id="310">
    <w:p w:rsidR="00BF2117" w:rsidRPr="00412620" w:rsidRDefault="00BF2117">
      <w:pPr>
        <w:pStyle w:val="FootnoteText"/>
        <w:rPr>
          <w:sz w:val="16"/>
        </w:rPr>
      </w:pPr>
      <w:r w:rsidRPr="00412620">
        <w:rPr>
          <w:rStyle w:val="FootnoteReference"/>
          <w:rFonts w:cs="Arial"/>
        </w:rPr>
        <w:footnoteRef/>
      </w:r>
      <w:r w:rsidRPr="00412620">
        <w:rPr>
          <w:sz w:val="16"/>
        </w:rPr>
        <w:t xml:space="preserve"> The word “Dividends” substituted by the Finance Act, 2002</w:t>
      </w:r>
    </w:p>
  </w:footnote>
  <w:footnote w:id="311">
    <w:p w:rsidR="00BF2117" w:rsidRPr="00412620" w:rsidRDefault="00BF2117">
      <w:pPr>
        <w:pStyle w:val="FootnoteText"/>
        <w:rPr>
          <w:sz w:val="16"/>
        </w:rPr>
      </w:pPr>
      <w:r w:rsidRPr="00412620">
        <w:rPr>
          <w:rStyle w:val="FootnoteReference"/>
          <w:rFonts w:cs="Arial"/>
        </w:rPr>
        <w:footnoteRef/>
      </w:r>
      <w:r w:rsidRPr="00412620">
        <w:rPr>
          <w:sz w:val="16"/>
        </w:rPr>
        <w:t xml:space="preserve"> The word “royalties” substituted by the Finance Act, 2002</w:t>
      </w:r>
    </w:p>
  </w:footnote>
  <w:footnote w:id="312">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313">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314">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315">
    <w:p w:rsidR="00BF2117" w:rsidRPr="00A7684E" w:rsidRDefault="00BF2117">
      <w:pPr>
        <w:pStyle w:val="FootnoteText"/>
        <w:rPr>
          <w:color w:val="000000" w:themeColor="text1"/>
          <w:lang w:val="en-US"/>
        </w:rPr>
      </w:pPr>
      <w:r w:rsidRPr="00A7684E">
        <w:rPr>
          <w:rStyle w:val="FootnoteReference"/>
          <w:color w:val="000000" w:themeColor="text1"/>
        </w:rPr>
        <w:footnoteRef/>
      </w:r>
      <w:r w:rsidRPr="00A7684E">
        <w:rPr>
          <w:color w:val="000000" w:themeColor="text1"/>
          <w:sz w:val="16"/>
          <w:szCs w:val="16"/>
          <w:lang w:val="en-US"/>
        </w:rPr>
        <w:t>The word “and” omitted by the Finance Act, 2014.</w:t>
      </w:r>
    </w:p>
  </w:footnote>
  <w:footnote w:id="316">
    <w:p w:rsidR="00BF2117" w:rsidRPr="00A7684E" w:rsidRDefault="00BF2117">
      <w:pPr>
        <w:pStyle w:val="FootnoteText"/>
        <w:rPr>
          <w:color w:val="000000" w:themeColor="text1"/>
          <w:sz w:val="16"/>
        </w:rPr>
      </w:pPr>
      <w:r w:rsidRPr="00A7684E">
        <w:rPr>
          <w:rStyle w:val="FootnoteReference"/>
          <w:rFonts w:cs="Arial"/>
          <w:color w:val="000000" w:themeColor="text1"/>
        </w:rPr>
        <w:footnoteRef/>
      </w:r>
      <w:r w:rsidRPr="00A7684E">
        <w:rPr>
          <w:color w:val="000000" w:themeColor="text1"/>
          <w:sz w:val="16"/>
        </w:rPr>
        <w:t xml:space="preserve"> Added by the Finance Act, 2005.</w:t>
      </w:r>
    </w:p>
  </w:footnote>
  <w:footnote w:id="317">
    <w:p w:rsidR="00BF2117" w:rsidRPr="00A7684E" w:rsidRDefault="00BF2117">
      <w:pPr>
        <w:pStyle w:val="FootnoteText"/>
        <w:rPr>
          <w:color w:val="000000" w:themeColor="text1"/>
          <w:sz w:val="16"/>
          <w:szCs w:val="16"/>
          <w:lang w:val="en-US"/>
        </w:rPr>
      </w:pPr>
      <w:r w:rsidRPr="00A7684E">
        <w:rPr>
          <w:rStyle w:val="FootnoteReference"/>
          <w:color w:val="000000" w:themeColor="text1"/>
        </w:rPr>
        <w:footnoteRef/>
      </w:r>
      <w:r w:rsidRPr="00A7684E">
        <w:rPr>
          <w:color w:val="000000" w:themeColor="text1"/>
          <w:sz w:val="16"/>
          <w:szCs w:val="16"/>
        </w:rPr>
        <w:t>Added by the Finance Act, 2014.</w:t>
      </w:r>
    </w:p>
  </w:footnote>
  <w:footnote w:id="318">
    <w:p w:rsidR="00BF2117" w:rsidRPr="007B712A" w:rsidRDefault="00BF2117">
      <w:pPr>
        <w:pStyle w:val="FootnoteText"/>
        <w:rPr>
          <w:lang w:val="en-US"/>
        </w:rPr>
      </w:pPr>
      <w:r w:rsidRPr="00A7684E">
        <w:rPr>
          <w:rStyle w:val="FootnoteReference"/>
          <w:color w:val="000000" w:themeColor="text1"/>
        </w:rPr>
        <w:footnoteRef/>
      </w:r>
      <w:r w:rsidRPr="00A7684E">
        <w:rPr>
          <w:color w:val="000000" w:themeColor="text1"/>
          <w:sz w:val="16"/>
          <w:szCs w:val="16"/>
        </w:rPr>
        <w:t>Added by the Finance Act , 2014.</w:t>
      </w:r>
    </w:p>
  </w:footnote>
  <w:footnote w:id="319">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320">
    <w:p w:rsidR="00BF2117" w:rsidRPr="00412620" w:rsidRDefault="00BF2117">
      <w:pPr>
        <w:pStyle w:val="FootnoteText"/>
        <w:rPr>
          <w:sz w:val="16"/>
        </w:rPr>
      </w:pPr>
      <w:r w:rsidRPr="00412620">
        <w:rPr>
          <w:rStyle w:val="FootnoteReference"/>
          <w:rFonts w:cs="Arial"/>
        </w:rPr>
        <w:footnoteRef/>
      </w:r>
      <w:r w:rsidRPr="00412620">
        <w:rPr>
          <w:sz w:val="16"/>
        </w:rPr>
        <w:t xml:space="preserve"> The words “an income year” substituted by the Finance Act, 2002</w:t>
      </w:r>
    </w:p>
  </w:footnote>
  <w:footnote w:id="321">
    <w:p w:rsidR="00BF2117" w:rsidRPr="00412620" w:rsidRDefault="00BF2117">
      <w:pPr>
        <w:pStyle w:val="FootnoteText"/>
        <w:rPr>
          <w:sz w:val="16"/>
          <w:szCs w:val="16"/>
          <w:lang w:val="en-US"/>
        </w:rPr>
      </w:pPr>
      <w:r w:rsidRPr="00412620">
        <w:rPr>
          <w:rStyle w:val="FootnoteReference"/>
          <w:szCs w:val="16"/>
        </w:rPr>
        <w:footnoteRef/>
      </w:r>
      <w:r w:rsidRPr="00412620">
        <w:rPr>
          <w:sz w:val="16"/>
          <w:szCs w:val="16"/>
        </w:rPr>
        <w:t xml:space="preserve"> The word “Card” omitted by the Finance Act, 2006.</w:t>
      </w:r>
    </w:p>
  </w:footnote>
  <w:footnote w:id="322">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323">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2003.</w:t>
      </w:r>
    </w:p>
  </w:footnote>
  <w:footnote w:id="324">
    <w:p w:rsidR="00BF2117" w:rsidRPr="00412620" w:rsidRDefault="00BF2117">
      <w:pPr>
        <w:pStyle w:val="FootnoteText"/>
        <w:keepNext/>
        <w:rPr>
          <w:sz w:val="16"/>
        </w:rPr>
      </w:pPr>
      <w:r w:rsidRPr="00412620">
        <w:rPr>
          <w:rStyle w:val="FootnoteReference"/>
          <w:rFonts w:cs="Arial"/>
        </w:rPr>
        <w:footnoteRef/>
      </w:r>
      <w:r w:rsidRPr="00412620">
        <w:rPr>
          <w:sz w:val="16"/>
        </w:rPr>
        <w:t xml:space="preserve"> Sub-section (6) omitted by the Finance Act, 2002. The omitted sub-section (6) read as follows:</w:t>
      </w:r>
    </w:p>
    <w:p w:rsidR="00BF2117" w:rsidRPr="00412620" w:rsidRDefault="00BF2117">
      <w:pPr>
        <w:pStyle w:val="FootnoteText"/>
        <w:ind w:left="540" w:firstLine="0"/>
        <w:rPr>
          <w:rFonts w:cs="Arial"/>
          <w:sz w:val="16"/>
        </w:rPr>
      </w:pPr>
      <w:r w:rsidRPr="00412620">
        <w:rPr>
          <w:rFonts w:cs="Arial"/>
          <w:sz w:val="16"/>
        </w:rPr>
        <w:t xml:space="preserve">“(6) </w:t>
      </w:r>
      <w:r w:rsidRPr="00412620">
        <w:rPr>
          <w:rFonts w:cs="Arial"/>
          <w:sz w:val="16"/>
        </w:rPr>
        <w:tab/>
        <w:t>Expenditure is of a capital nature if it has a normal useful life of more than one year.”</w:t>
      </w:r>
    </w:p>
  </w:footnote>
  <w:footnote w:id="325">
    <w:p w:rsidR="00BF2117" w:rsidRPr="00412620" w:rsidRDefault="00BF2117">
      <w:pPr>
        <w:pStyle w:val="FootnoteText"/>
        <w:rPr>
          <w:sz w:val="16"/>
        </w:rPr>
      </w:pPr>
      <w:r w:rsidRPr="00412620">
        <w:rPr>
          <w:rStyle w:val="FootnoteReference"/>
          <w:rFonts w:cs="Arial"/>
        </w:rPr>
        <w:footnoteRef/>
      </w:r>
      <w:r w:rsidRPr="00412620">
        <w:rPr>
          <w:sz w:val="16"/>
        </w:rPr>
        <w:t xml:space="preserve"> The words “on the profit” omitted by the Finance Act, 2003.</w:t>
      </w:r>
    </w:p>
  </w:footnote>
  <w:footnote w:id="326">
    <w:p w:rsidR="00BF2117" w:rsidRPr="00412620" w:rsidRDefault="00BF2117">
      <w:pPr>
        <w:pStyle w:val="FootnoteText"/>
        <w:rPr>
          <w:sz w:val="16"/>
        </w:rPr>
      </w:pPr>
      <w:r w:rsidRPr="00412620">
        <w:rPr>
          <w:rStyle w:val="FootnoteReference"/>
          <w:rFonts w:cs="Arial"/>
        </w:rPr>
        <w:footnoteRef/>
      </w:r>
      <w:r w:rsidRPr="00412620">
        <w:rPr>
          <w:sz w:val="16"/>
        </w:rPr>
        <w:t xml:space="preserve"> The brackets, letter and word “(e) or” omitted by the Finance Act, 2003.</w:t>
      </w:r>
    </w:p>
  </w:footnote>
  <w:footnote w:id="327">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2002.</w:t>
      </w:r>
    </w:p>
  </w:footnote>
  <w:footnote w:id="328">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2002</w:t>
      </w:r>
    </w:p>
  </w:footnote>
  <w:footnote w:id="329">
    <w:p w:rsidR="00BF2117" w:rsidRPr="00412620" w:rsidRDefault="00BF2117">
      <w:pPr>
        <w:pStyle w:val="FootnoteText"/>
        <w:rPr>
          <w:sz w:val="16"/>
        </w:rPr>
      </w:pPr>
      <w:r w:rsidRPr="00412620">
        <w:rPr>
          <w:rStyle w:val="FootnoteReference"/>
          <w:rFonts w:cs="Arial"/>
        </w:rPr>
        <w:footnoteRef/>
      </w:r>
      <w:r w:rsidRPr="00412620">
        <w:rPr>
          <w:sz w:val="16"/>
        </w:rPr>
        <w:t xml:space="preserve"> The comma and word  “,and” substituted by the Finance Act, 2002</w:t>
      </w:r>
    </w:p>
  </w:footnote>
  <w:footnote w:id="330">
    <w:p w:rsidR="00BF2117" w:rsidRPr="00412620" w:rsidRDefault="00BF2117">
      <w:pPr>
        <w:pStyle w:val="FootnoteText"/>
        <w:keepNext/>
        <w:rPr>
          <w:sz w:val="16"/>
        </w:rPr>
      </w:pPr>
      <w:r w:rsidRPr="00412620">
        <w:rPr>
          <w:rStyle w:val="FootnoteReference"/>
          <w:rFonts w:cs="Arial"/>
        </w:rPr>
        <w:footnoteRef/>
      </w:r>
      <w:r w:rsidRPr="00412620">
        <w:rPr>
          <w:sz w:val="16"/>
        </w:rPr>
        <w:t xml:space="preserve"> Clause (d) omitted by the Finance Act, 2002. The omitted clause (d) read as under:</w:t>
      </w:r>
    </w:p>
    <w:p w:rsidR="00BF2117" w:rsidRPr="00412620" w:rsidRDefault="00BF2117">
      <w:pPr>
        <w:pStyle w:val="FootnoteText"/>
        <w:ind w:left="1080" w:firstLine="0"/>
        <w:rPr>
          <w:rFonts w:cs="Arial"/>
          <w:sz w:val="16"/>
        </w:rPr>
      </w:pPr>
      <w:r w:rsidRPr="00412620">
        <w:rPr>
          <w:rFonts w:cs="Arial"/>
          <w:sz w:val="16"/>
        </w:rPr>
        <w:t>“(d)</w:t>
      </w:r>
      <w:r w:rsidRPr="00412620">
        <w:rPr>
          <w:rFonts w:cs="Arial"/>
          <w:sz w:val="16"/>
        </w:rPr>
        <w:tab/>
        <w:t>the income is subject to tax in that foreign country.”</w:t>
      </w:r>
    </w:p>
  </w:footnote>
  <w:footnote w:id="331">
    <w:p w:rsidR="00BF2117" w:rsidRPr="00412620" w:rsidRDefault="00BF2117">
      <w:pPr>
        <w:pStyle w:val="FootnoteText"/>
        <w:rPr>
          <w:sz w:val="16"/>
        </w:rPr>
      </w:pPr>
      <w:r w:rsidRPr="00412620">
        <w:rPr>
          <w:rStyle w:val="FootnoteReference"/>
          <w:rFonts w:cs="Arial"/>
        </w:rPr>
        <w:footnoteRef/>
      </w:r>
      <w:r w:rsidRPr="00412620">
        <w:rPr>
          <w:sz w:val="16"/>
        </w:rPr>
        <w:t xml:space="preserve"> The words “a non-resident” substituted by the Finance Act, 2003.</w:t>
      </w:r>
    </w:p>
  </w:footnote>
  <w:footnote w:id="332">
    <w:p w:rsidR="00BF2117" w:rsidRPr="000256B1" w:rsidRDefault="00BF2117">
      <w:pPr>
        <w:pStyle w:val="FootnoteText"/>
        <w:rPr>
          <w:sz w:val="16"/>
          <w:szCs w:val="16"/>
          <w:lang w:val="en-US"/>
        </w:rPr>
      </w:pPr>
      <w:r w:rsidRPr="000256B1">
        <w:rPr>
          <w:rStyle w:val="FootnoteReference"/>
          <w:sz w:val="16"/>
          <w:szCs w:val="16"/>
        </w:rPr>
        <w:footnoteRef/>
      </w:r>
      <w:r w:rsidRPr="000256B1">
        <w:rPr>
          <w:sz w:val="16"/>
          <w:szCs w:val="16"/>
        </w:rPr>
        <w:t xml:space="preserve"> The words “Central Board of Revenue” substituted by the Finance Act, 2007.</w:t>
      </w:r>
    </w:p>
  </w:footnote>
  <w:footnote w:id="333">
    <w:p w:rsidR="00BF2117" w:rsidRPr="000256B1" w:rsidRDefault="00BF2117">
      <w:pPr>
        <w:pStyle w:val="FootnoteText"/>
        <w:ind w:left="180" w:hanging="180"/>
        <w:jc w:val="both"/>
        <w:rPr>
          <w:sz w:val="16"/>
          <w:szCs w:val="16"/>
        </w:rPr>
      </w:pPr>
      <w:r w:rsidRPr="000256B1">
        <w:rPr>
          <w:rStyle w:val="FootnoteReference"/>
          <w:rFonts w:cs="Arial"/>
          <w:sz w:val="16"/>
          <w:szCs w:val="16"/>
        </w:rPr>
        <w:footnoteRef/>
      </w:r>
      <w:r w:rsidRPr="000256B1">
        <w:rPr>
          <w:sz w:val="16"/>
          <w:szCs w:val="16"/>
        </w:rPr>
        <w:t xml:space="preserve"> The words “Any support payment received by a spouse under an agreement to live apart” substituted by the Finance Act, 2002.</w:t>
      </w:r>
    </w:p>
  </w:footnote>
  <w:footnote w:id="334">
    <w:p w:rsidR="00BF2117" w:rsidRPr="000256B1" w:rsidRDefault="00BF2117">
      <w:pPr>
        <w:pStyle w:val="FootnoteText"/>
        <w:rPr>
          <w:sz w:val="16"/>
          <w:szCs w:val="16"/>
          <w:lang w:val="en-US"/>
        </w:rPr>
      </w:pPr>
      <w:r w:rsidRPr="000256B1">
        <w:rPr>
          <w:rStyle w:val="FootnoteReference"/>
          <w:sz w:val="16"/>
          <w:szCs w:val="16"/>
        </w:rPr>
        <w:footnoteRef/>
      </w:r>
      <w:r w:rsidRPr="000256B1">
        <w:rPr>
          <w:sz w:val="16"/>
          <w:szCs w:val="16"/>
        </w:rPr>
        <w:t xml:space="preserve"> The word “and” substituted by the Finance Act, 2009.</w:t>
      </w:r>
    </w:p>
  </w:footnote>
  <w:footnote w:id="335">
    <w:p w:rsidR="00BF2117" w:rsidRPr="000256B1" w:rsidRDefault="00BF2117">
      <w:pPr>
        <w:pStyle w:val="FootnoteText"/>
        <w:rPr>
          <w:sz w:val="16"/>
          <w:szCs w:val="16"/>
          <w:lang w:val="en-US"/>
        </w:rPr>
      </w:pPr>
      <w:r w:rsidRPr="000256B1">
        <w:rPr>
          <w:rStyle w:val="FootnoteReference"/>
          <w:sz w:val="16"/>
          <w:szCs w:val="16"/>
        </w:rPr>
        <w:footnoteRef/>
      </w:r>
      <w:r w:rsidRPr="000256B1">
        <w:rPr>
          <w:sz w:val="16"/>
          <w:szCs w:val="16"/>
          <w:lang w:val="en-US"/>
        </w:rPr>
        <w:t>The words “local authority” substituted by the Finance Act, 2008.</w:t>
      </w:r>
    </w:p>
  </w:footnote>
  <w:footnote w:id="336">
    <w:p w:rsidR="00BF2117" w:rsidRPr="000256B1" w:rsidRDefault="00BF2117">
      <w:pPr>
        <w:pStyle w:val="FootnoteText"/>
        <w:rPr>
          <w:sz w:val="16"/>
          <w:szCs w:val="16"/>
          <w:lang w:val="en-US"/>
        </w:rPr>
      </w:pPr>
      <w:r w:rsidRPr="000256B1">
        <w:rPr>
          <w:rStyle w:val="FootnoteReference"/>
          <w:sz w:val="16"/>
          <w:szCs w:val="16"/>
        </w:rPr>
        <w:footnoteRef/>
      </w:r>
      <w:r w:rsidRPr="000256B1">
        <w:rPr>
          <w:sz w:val="16"/>
          <w:szCs w:val="16"/>
          <w:lang w:val="en-US"/>
        </w:rPr>
        <w:t>The words “local authority” substituted by the Finance Act, 2008.</w:t>
      </w:r>
    </w:p>
  </w:footnote>
  <w:footnote w:id="337">
    <w:p w:rsidR="00BF2117" w:rsidRPr="000256B1" w:rsidRDefault="00BF2117">
      <w:pPr>
        <w:pStyle w:val="FootnoteText"/>
        <w:rPr>
          <w:sz w:val="16"/>
          <w:szCs w:val="16"/>
          <w:lang w:val="en-US"/>
        </w:rPr>
      </w:pPr>
      <w:r w:rsidRPr="000256B1">
        <w:rPr>
          <w:rStyle w:val="FootnoteReference"/>
          <w:sz w:val="16"/>
          <w:szCs w:val="16"/>
        </w:rPr>
        <w:footnoteRef/>
      </w:r>
      <w:r w:rsidRPr="000256B1">
        <w:rPr>
          <w:sz w:val="16"/>
          <w:szCs w:val="16"/>
          <w:lang w:val="en-US"/>
        </w:rPr>
        <w:t>The words “local authority” substituted by the Finance Act, 2008.</w:t>
      </w:r>
    </w:p>
  </w:footnote>
  <w:footnote w:id="338">
    <w:p w:rsidR="00BF2117" w:rsidRPr="000256B1" w:rsidRDefault="00BF2117">
      <w:pPr>
        <w:pStyle w:val="FootnoteText"/>
        <w:rPr>
          <w:sz w:val="16"/>
          <w:szCs w:val="16"/>
          <w:lang w:val="en-US"/>
        </w:rPr>
      </w:pPr>
      <w:r w:rsidRPr="000256B1">
        <w:rPr>
          <w:rStyle w:val="FootnoteReference"/>
          <w:sz w:val="16"/>
          <w:szCs w:val="16"/>
        </w:rPr>
        <w:footnoteRef/>
      </w:r>
      <w:r w:rsidRPr="000256B1">
        <w:rPr>
          <w:sz w:val="16"/>
          <w:szCs w:val="16"/>
        </w:rPr>
        <w:t xml:space="preserve"> Added by the Finance Act, 2006.</w:t>
      </w:r>
    </w:p>
  </w:footnote>
  <w:footnote w:id="339">
    <w:p w:rsidR="00BF2117" w:rsidRPr="000256B1" w:rsidRDefault="00BF2117">
      <w:pPr>
        <w:pStyle w:val="FootnoteText"/>
        <w:rPr>
          <w:sz w:val="16"/>
          <w:szCs w:val="16"/>
          <w:lang w:val="en-US"/>
        </w:rPr>
      </w:pPr>
      <w:r w:rsidRPr="000256B1">
        <w:rPr>
          <w:rStyle w:val="FootnoteReference"/>
          <w:sz w:val="16"/>
          <w:szCs w:val="16"/>
        </w:rPr>
        <w:footnoteRef/>
      </w:r>
      <w:r w:rsidRPr="000256B1">
        <w:rPr>
          <w:sz w:val="16"/>
          <w:szCs w:val="16"/>
          <w:lang w:val="en-US"/>
        </w:rPr>
        <w:t>The words “local authority” substituted by the Finance Act, 2008.</w:t>
      </w:r>
    </w:p>
  </w:footnote>
  <w:footnote w:id="340">
    <w:p w:rsidR="00BF2117" w:rsidRPr="000256B1" w:rsidRDefault="00BF2117">
      <w:pPr>
        <w:pStyle w:val="FootnoteText"/>
        <w:rPr>
          <w:sz w:val="16"/>
          <w:szCs w:val="16"/>
          <w:lang w:val="en-US"/>
        </w:rPr>
      </w:pPr>
      <w:r w:rsidRPr="000256B1">
        <w:rPr>
          <w:rStyle w:val="FootnoteReference"/>
          <w:sz w:val="16"/>
          <w:szCs w:val="16"/>
        </w:rPr>
        <w:footnoteRef/>
      </w:r>
      <w:r w:rsidRPr="000256B1">
        <w:rPr>
          <w:sz w:val="16"/>
          <w:szCs w:val="16"/>
        </w:rPr>
        <w:t xml:space="preserve"> Added by the Finance Act, 2007.</w:t>
      </w:r>
    </w:p>
  </w:footnote>
  <w:footnote w:id="341">
    <w:p w:rsidR="00BF2117" w:rsidRPr="0062158D" w:rsidRDefault="00BF2117">
      <w:pPr>
        <w:pStyle w:val="FootnoteText"/>
        <w:rPr>
          <w:lang w:val="en-US"/>
        </w:rPr>
      </w:pPr>
      <w:r w:rsidRPr="00A7684E">
        <w:rPr>
          <w:rStyle w:val="FootnoteReference"/>
          <w:color w:val="000000" w:themeColor="text1"/>
        </w:rPr>
        <w:footnoteRef/>
      </w:r>
      <w:r w:rsidRPr="00A7684E">
        <w:rPr>
          <w:color w:val="000000" w:themeColor="text1"/>
          <w:sz w:val="16"/>
          <w:szCs w:val="16"/>
        </w:rPr>
        <w:t xml:space="preserve">Full stop substituted by a colon </w:t>
      </w:r>
      <w:r w:rsidRPr="00A7684E">
        <w:rPr>
          <w:color w:val="000000" w:themeColor="text1"/>
          <w:sz w:val="16"/>
          <w:szCs w:val="16"/>
          <w:lang w:val="en-US"/>
        </w:rPr>
        <w:t>by the Finance Act, 2014</w:t>
      </w:r>
      <w:r w:rsidRPr="0062158D">
        <w:rPr>
          <w:color w:val="00B0F0"/>
          <w:sz w:val="16"/>
          <w:szCs w:val="16"/>
          <w:lang w:val="en-US"/>
        </w:rPr>
        <w:t>.</w:t>
      </w:r>
    </w:p>
  </w:footnote>
  <w:footnote w:id="342">
    <w:p w:rsidR="00BF2117" w:rsidRPr="00A7684E" w:rsidRDefault="00BF2117">
      <w:pPr>
        <w:pStyle w:val="FootnoteText"/>
        <w:rPr>
          <w:color w:val="000000" w:themeColor="text1"/>
          <w:sz w:val="16"/>
          <w:szCs w:val="16"/>
          <w:lang w:val="en-US"/>
        </w:rPr>
      </w:pPr>
      <w:r w:rsidRPr="00A7684E">
        <w:rPr>
          <w:rStyle w:val="FootnoteReference"/>
          <w:color w:val="000000" w:themeColor="text1"/>
        </w:rPr>
        <w:footnoteRef/>
      </w:r>
      <w:r w:rsidRPr="00A7684E">
        <w:rPr>
          <w:color w:val="000000" w:themeColor="text1"/>
          <w:sz w:val="16"/>
          <w:szCs w:val="16"/>
        </w:rPr>
        <w:t>Added by the Finance Act, 2014.</w:t>
      </w:r>
    </w:p>
  </w:footnote>
  <w:footnote w:id="343">
    <w:p w:rsidR="00BF2117" w:rsidRPr="00412620" w:rsidRDefault="00BF2117">
      <w:pPr>
        <w:pStyle w:val="FootnoteText"/>
        <w:rPr>
          <w:sz w:val="16"/>
        </w:rPr>
      </w:pPr>
      <w:r w:rsidRPr="00412620">
        <w:rPr>
          <w:rStyle w:val="FootnoteReference"/>
          <w:rFonts w:cs="Arial"/>
        </w:rPr>
        <w:footnoteRef/>
      </w:r>
      <w:r w:rsidRPr="00412620">
        <w:rPr>
          <w:sz w:val="16"/>
        </w:rPr>
        <w:t xml:space="preserve"> The brackets and words “(other than a citizen of Pakistan)” omitted by the Finance Act, 2003.</w:t>
      </w:r>
    </w:p>
  </w:footnote>
  <w:footnote w:id="344">
    <w:p w:rsidR="00BF2117" w:rsidRPr="00412620" w:rsidRDefault="00BF2117">
      <w:pPr>
        <w:pStyle w:val="FootnoteText"/>
        <w:rPr>
          <w:sz w:val="16"/>
        </w:rPr>
      </w:pPr>
      <w:r w:rsidRPr="00412620">
        <w:rPr>
          <w:rStyle w:val="FootnoteReference"/>
          <w:rFonts w:cs="Arial"/>
        </w:rPr>
        <w:footnoteRef/>
      </w:r>
      <w:r w:rsidRPr="00412620">
        <w:rPr>
          <w:sz w:val="16"/>
        </w:rPr>
        <w:t xml:space="preserve"> Section </w:t>
      </w:r>
      <w:r w:rsidRPr="00412620">
        <w:rPr>
          <w:b/>
          <w:sz w:val="16"/>
        </w:rPr>
        <w:t>51</w:t>
      </w:r>
      <w:r w:rsidRPr="00412620">
        <w:rPr>
          <w:sz w:val="16"/>
        </w:rPr>
        <w:t xml:space="preserve"> numbered as sub-section (1) of section </w:t>
      </w:r>
      <w:r w:rsidRPr="00412620">
        <w:rPr>
          <w:b/>
          <w:sz w:val="16"/>
        </w:rPr>
        <w:t>51</w:t>
      </w:r>
      <w:r w:rsidRPr="00412620">
        <w:rPr>
          <w:sz w:val="16"/>
        </w:rPr>
        <w:t xml:space="preserve"> by the Finance Act, 2003.</w:t>
      </w:r>
    </w:p>
  </w:footnote>
  <w:footnote w:id="345">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2003.</w:t>
      </w:r>
    </w:p>
  </w:footnote>
  <w:footnote w:id="346">
    <w:p w:rsidR="00BF2117" w:rsidRPr="00412620" w:rsidRDefault="00BF2117">
      <w:pPr>
        <w:pStyle w:val="FootnoteText"/>
        <w:keepNext/>
        <w:ind w:left="450" w:hanging="450"/>
        <w:rPr>
          <w:sz w:val="16"/>
        </w:rPr>
      </w:pPr>
      <w:r w:rsidRPr="00412620">
        <w:rPr>
          <w:rStyle w:val="FootnoteReference"/>
          <w:rFonts w:cs="Arial"/>
        </w:rPr>
        <w:footnoteRef/>
      </w:r>
      <w:r w:rsidRPr="00412620">
        <w:rPr>
          <w:sz w:val="16"/>
        </w:rPr>
        <w:t xml:space="preserve"> Section 52 omitted by the Finance Act, 2002. The omitted section 52 read as follows:</w:t>
      </w:r>
    </w:p>
    <w:p w:rsidR="00BF2117" w:rsidRPr="00412620" w:rsidRDefault="00BF2117">
      <w:pPr>
        <w:keepNext/>
        <w:ind w:left="180"/>
        <w:jc w:val="both"/>
        <w:rPr>
          <w:rFonts w:cs="Arial"/>
          <w:sz w:val="16"/>
        </w:rPr>
      </w:pPr>
      <w:r w:rsidRPr="00412620">
        <w:rPr>
          <w:rFonts w:cs="Arial"/>
          <w:sz w:val="16"/>
        </w:rPr>
        <w:t>“</w:t>
      </w:r>
      <w:r w:rsidRPr="00412620">
        <w:rPr>
          <w:rFonts w:cs="Arial"/>
          <w:b/>
          <w:sz w:val="16"/>
        </w:rPr>
        <w:t>52. Non-resident shipping and airline enterprises.-</w:t>
      </w:r>
      <w:r w:rsidRPr="00412620">
        <w:rPr>
          <w:rFonts w:cs="Arial"/>
          <w:sz w:val="16"/>
        </w:rPr>
        <w:t xml:space="preserve"> (1)  Subject to sub-section (2), any income of a non-resident person, for the time being approved by the Federal Government for the purpose of this section, from the operation of ships and aircraft in international traffic shall be exempt from tax under this Ordinance, other than income from ships and aircraft operated principally to transport passengers, livestock, mail, or goods exclusively between places in Pakistan. </w:t>
      </w:r>
    </w:p>
    <w:p w:rsidR="00BF2117" w:rsidRPr="00412620" w:rsidRDefault="00BF2117">
      <w:pPr>
        <w:ind w:left="180" w:firstLine="367"/>
        <w:jc w:val="both"/>
        <w:rPr>
          <w:rFonts w:cs="Arial"/>
          <w:sz w:val="16"/>
        </w:rPr>
      </w:pPr>
      <w:r w:rsidRPr="00412620">
        <w:rPr>
          <w:rFonts w:cs="Arial"/>
          <w:sz w:val="16"/>
        </w:rPr>
        <w:t>(2)</w:t>
      </w:r>
      <w:r w:rsidRPr="00412620">
        <w:rPr>
          <w:rFonts w:cs="Arial"/>
          <w:sz w:val="16"/>
        </w:rPr>
        <w:tab/>
        <w:t>Sub-section (1) shall not apply to a non-resident person where the person’s country of residence does not allow a similar exemption to a resident of Pakistan.”</w:t>
      </w:r>
    </w:p>
  </w:footnote>
  <w:footnote w:id="347">
    <w:p w:rsidR="00BF2117" w:rsidRPr="00995F7D" w:rsidRDefault="00BF2117">
      <w:pPr>
        <w:pStyle w:val="FootnoteText"/>
        <w:rPr>
          <w:sz w:val="16"/>
          <w:szCs w:val="16"/>
        </w:rPr>
      </w:pPr>
      <w:r w:rsidRPr="00995F7D">
        <w:rPr>
          <w:rStyle w:val="FootnoteReference"/>
          <w:sz w:val="16"/>
          <w:szCs w:val="16"/>
        </w:rPr>
        <w:footnoteRef/>
      </w:r>
      <w:r w:rsidRPr="00995F7D">
        <w:rPr>
          <w:sz w:val="16"/>
          <w:szCs w:val="16"/>
        </w:rPr>
        <w:t xml:space="preserve"> Sub-section (1A) omitted by the Finance Act, 2012. The omitted sub-section (1A) read as follows:-</w:t>
      </w:r>
    </w:p>
    <w:p w:rsidR="00BF2117" w:rsidRPr="00995F7D" w:rsidRDefault="00BF2117" w:rsidP="00A6257E">
      <w:pPr>
        <w:pStyle w:val="FootnoteText"/>
        <w:ind w:left="270" w:hanging="270"/>
        <w:jc w:val="both"/>
        <w:rPr>
          <w:sz w:val="16"/>
          <w:szCs w:val="16"/>
          <w:lang w:val="en-US"/>
        </w:rPr>
      </w:pPr>
      <w:r w:rsidRPr="00995F7D">
        <w:rPr>
          <w:rFonts w:cs="Arial"/>
          <w:sz w:val="16"/>
          <w:szCs w:val="16"/>
        </w:rPr>
        <w:t xml:space="preserve">           “(1A) </w:t>
      </w:r>
      <w:r w:rsidRPr="00995F7D">
        <w:rPr>
          <w:rFonts w:cs="Arial"/>
          <w:sz w:val="16"/>
          <w:szCs w:val="16"/>
        </w:rPr>
        <w:tab/>
        <w:t>Where any income which is exempt from tax under any provision of the Second Schedule, such income, as may be specified in the said Schedule and subject to such conditions as may be specified therein, shall be included in the total income, however the tax shall not be payable in respect of such income.”</w:t>
      </w:r>
    </w:p>
  </w:footnote>
  <w:footnote w:id="348">
    <w:p w:rsidR="00BF2117" w:rsidRPr="00610DBD" w:rsidRDefault="00BF2117">
      <w:pPr>
        <w:pStyle w:val="FootnoteText"/>
        <w:rPr>
          <w:lang w:val="en-US"/>
        </w:rPr>
      </w:pPr>
      <w:r>
        <w:rPr>
          <w:rStyle w:val="FootnoteReference"/>
        </w:rPr>
        <w:footnoteRef/>
      </w:r>
      <w:r w:rsidRPr="00412620">
        <w:rPr>
          <w:sz w:val="16"/>
        </w:rPr>
        <w:t>Inserted by the Finance Act, 20</w:t>
      </w:r>
      <w:r>
        <w:rPr>
          <w:sz w:val="16"/>
        </w:rPr>
        <w:t>15.</w:t>
      </w:r>
    </w:p>
  </w:footnote>
  <w:footnote w:id="349">
    <w:p w:rsidR="00BF2117" w:rsidRPr="00B455DC" w:rsidRDefault="00BF2117">
      <w:pPr>
        <w:pStyle w:val="FootnoteText"/>
        <w:rPr>
          <w:color w:val="0070C0"/>
          <w:lang w:val="en-US"/>
        </w:rPr>
      </w:pPr>
      <w:r w:rsidRPr="00B455DC">
        <w:rPr>
          <w:rStyle w:val="FootnoteReference"/>
          <w:color w:val="0070C0"/>
        </w:rPr>
        <w:footnoteRef/>
      </w:r>
      <w:r w:rsidRPr="00B455DC">
        <w:rPr>
          <w:color w:val="0070C0"/>
        </w:rPr>
        <w:t xml:space="preserve"> </w:t>
      </w:r>
      <w:r w:rsidRPr="00B455DC">
        <w:rPr>
          <w:color w:val="0070C0"/>
          <w:sz w:val="16"/>
          <w:szCs w:val="16"/>
        </w:rPr>
        <w:t>Inserted by the Finance Act, 2016.</w:t>
      </w:r>
    </w:p>
  </w:footnote>
  <w:footnote w:id="350">
    <w:p w:rsidR="00BF2117" w:rsidRPr="006E09B0" w:rsidRDefault="00BF2117">
      <w:pPr>
        <w:pStyle w:val="FootnoteText"/>
        <w:rPr>
          <w:color w:val="FF0000"/>
          <w:lang w:val="en-US"/>
        </w:rPr>
      </w:pPr>
      <w:r w:rsidRPr="00B455DC">
        <w:rPr>
          <w:rStyle w:val="FootnoteReference"/>
          <w:color w:val="0070C0"/>
        </w:rPr>
        <w:footnoteRef/>
      </w:r>
      <w:r w:rsidRPr="00B455DC">
        <w:rPr>
          <w:color w:val="0070C0"/>
        </w:rPr>
        <w:t xml:space="preserve"> </w:t>
      </w:r>
      <w:r w:rsidRPr="00B455DC">
        <w:rPr>
          <w:color w:val="0070C0"/>
          <w:sz w:val="16"/>
          <w:szCs w:val="16"/>
        </w:rPr>
        <w:t>Inserted by the Finance Act, 2016.</w:t>
      </w:r>
    </w:p>
  </w:footnote>
  <w:footnote w:id="351">
    <w:p w:rsidR="00BF2117" w:rsidRPr="0091555D" w:rsidRDefault="00BF2117">
      <w:pPr>
        <w:pStyle w:val="FootnoteText"/>
        <w:rPr>
          <w:lang w:val="en-US"/>
        </w:rPr>
      </w:pPr>
      <w:r>
        <w:rPr>
          <w:rStyle w:val="FootnoteReference"/>
        </w:rPr>
        <w:footnoteRef/>
      </w:r>
      <w:r w:rsidRPr="00412620">
        <w:rPr>
          <w:sz w:val="16"/>
        </w:rPr>
        <w:t>Inserted by the Finance Act, 20</w:t>
      </w:r>
      <w:r>
        <w:rPr>
          <w:sz w:val="16"/>
        </w:rPr>
        <w:t>15.</w:t>
      </w:r>
    </w:p>
  </w:footnote>
  <w:footnote w:id="352">
    <w:p w:rsidR="00BF2117" w:rsidRPr="00412620" w:rsidRDefault="00BF2117">
      <w:pPr>
        <w:pStyle w:val="FootnoteText"/>
        <w:rPr>
          <w:sz w:val="16"/>
          <w:lang w:val="en-US"/>
        </w:rPr>
      </w:pPr>
      <w:r w:rsidRPr="00412620">
        <w:rPr>
          <w:rStyle w:val="FootnoteReference"/>
        </w:rPr>
        <w:footnoteRef/>
      </w:r>
      <w:r w:rsidRPr="00412620">
        <w:rPr>
          <w:sz w:val="16"/>
          <w:lang w:val="en-US"/>
        </w:rPr>
        <w:t>The colon substituted by the Finance Act, 2008.</w:t>
      </w:r>
    </w:p>
  </w:footnote>
  <w:footnote w:id="353">
    <w:p w:rsidR="00BF2117" w:rsidRPr="00412620" w:rsidRDefault="00BF2117">
      <w:pPr>
        <w:pStyle w:val="FootnoteText"/>
        <w:rPr>
          <w:sz w:val="16"/>
          <w:lang w:val="en-US"/>
        </w:rPr>
      </w:pPr>
      <w:r w:rsidRPr="00412620">
        <w:rPr>
          <w:rStyle w:val="FootnoteReference"/>
        </w:rPr>
        <w:footnoteRef/>
      </w:r>
      <w:r w:rsidRPr="00412620">
        <w:rPr>
          <w:sz w:val="16"/>
          <w:lang w:val="en-US"/>
        </w:rPr>
        <w:t>Proviso omitted by the Finance Act, 2008. The omitted proviso read as follows:</w:t>
      </w:r>
    </w:p>
    <w:p w:rsidR="00BF2117" w:rsidRPr="00412620" w:rsidRDefault="00BF2117" w:rsidP="003D65F3">
      <w:pPr>
        <w:pStyle w:val="FootnoteText"/>
        <w:ind w:left="180" w:firstLine="367"/>
        <w:jc w:val="both"/>
        <w:rPr>
          <w:sz w:val="16"/>
          <w:lang w:val="en-US"/>
        </w:rPr>
      </w:pPr>
      <w:r w:rsidRPr="00412620">
        <w:rPr>
          <w:sz w:val="16"/>
          <w:lang w:val="en-US"/>
        </w:rPr>
        <w:t>“</w:t>
      </w:r>
      <w:r w:rsidRPr="00412620">
        <w:rPr>
          <w:rFonts w:cs="Arial"/>
          <w:sz w:val="16"/>
        </w:rPr>
        <w:t>Provided that any exemption from income tax or a reduction in the rate of tax or a reduction in tax liability of any person or an exemption from the operation of any provision of this Ordinance provided in any other law and in force on the commencement of this Ordinance shall continue to be available unless withdrawn.”</w:t>
      </w:r>
    </w:p>
  </w:footnote>
  <w:footnote w:id="354">
    <w:p w:rsidR="00BF2117" w:rsidRPr="00412620" w:rsidRDefault="00BF2117">
      <w:pPr>
        <w:pStyle w:val="FootnoteText"/>
        <w:keepNext/>
        <w:rPr>
          <w:sz w:val="16"/>
        </w:rPr>
      </w:pPr>
      <w:r w:rsidRPr="00412620">
        <w:rPr>
          <w:rStyle w:val="FootnoteReference"/>
          <w:rFonts w:cs="Arial"/>
        </w:rPr>
        <w:footnoteRef/>
      </w:r>
      <w:r w:rsidRPr="00412620">
        <w:rPr>
          <w:sz w:val="16"/>
        </w:rPr>
        <w:t xml:space="preserve"> Sub-section (2) omitted by the Finance Act, 2003. Omitted sub-section (2) read as follows: -</w:t>
      </w:r>
    </w:p>
    <w:p w:rsidR="00BF2117" w:rsidRPr="00412620" w:rsidRDefault="00BF2117">
      <w:pPr>
        <w:ind w:left="180" w:firstLine="367"/>
        <w:jc w:val="both"/>
        <w:rPr>
          <w:rFonts w:cs="Arial"/>
          <w:sz w:val="16"/>
        </w:rPr>
      </w:pPr>
      <w:r w:rsidRPr="00412620">
        <w:rPr>
          <w:rFonts w:cs="Arial"/>
          <w:sz w:val="16"/>
        </w:rPr>
        <w:t>“(2)</w:t>
      </w:r>
      <w:r w:rsidRPr="00412620">
        <w:rPr>
          <w:rFonts w:cs="Arial"/>
          <w:sz w:val="16"/>
        </w:rPr>
        <w:tab/>
        <w:t>Where a person’s income from business is exempt from tax under this Ordinance as a result of a tax concession, any loss sustained in the period of the exemption shall not be set off against the person’s income chargeable to tax after the exemption expires.”</w:t>
      </w:r>
    </w:p>
  </w:footnote>
  <w:footnote w:id="355">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2013.</w:t>
      </w:r>
    </w:p>
  </w:footnote>
  <w:footnote w:id="356">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p>
  </w:footnote>
  <w:footnote w:id="357">
    <w:p w:rsidR="00BF2117" w:rsidRPr="00412620" w:rsidRDefault="00BF2117">
      <w:pPr>
        <w:pStyle w:val="FootnoteText"/>
        <w:rPr>
          <w:lang w:val="en-US"/>
        </w:rPr>
      </w:pPr>
      <w:r w:rsidRPr="00412620">
        <w:rPr>
          <w:rStyle w:val="FootnoteReference"/>
        </w:rPr>
        <w:footnoteRef/>
      </w:r>
      <w:r w:rsidRPr="00412620">
        <w:rPr>
          <w:sz w:val="16"/>
        </w:rPr>
        <w:t xml:space="preserve"> Inserted by the Finance Act, 2007.</w:t>
      </w:r>
    </w:p>
  </w:footnote>
  <w:footnote w:id="358">
    <w:p w:rsidR="00BF2117" w:rsidRPr="00A7684E" w:rsidRDefault="00BF2117">
      <w:pPr>
        <w:pStyle w:val="FootnoteText"/>
        <w:rPr>
          <w:color w:val="000000" w:themeColor="text1"/>
          <w:sz w:val="16"/>
          <w:szCs w:val="16"/>
          <w:lang w:val="en-US"/>
        </w:rPr>
      </w:pPr>
      <w:r w:rsidRPr="00A7684E">
        <w:rPr>
          <w:rStyle w:val="FootnoteReference"/>
          <w:color w:val="000000" w:themeColor="text1"/>
        </w:rPr>
        <w:footnoteRef/>
      </w:r>
      <w:r w:rsidRPr="00A7684E">
        <w:rPr>
          <w:color w:val="000000" w:themeColor="text1"/>
          <w:sz w:val="16"/>
          <w:szCs w:val="16"/>
        </w:rPr>
        <w:t>The word “onword” substituted by the word “onward” by the Finance Act, 2014.</w:t>
      </w:r>
    </w:p>
  </w:footnote>
  <w:footnote w:id="359">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p>
  </w:footnote>
  <w:footnote w:id="360">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361">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362">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2002.</w:t>
      </w:r>
    </w:p>
  </w:footnote>
  <w:footnote w:id="363">
    <w:p w:rsidR="00BF2117" w:rsidRPr="00412620" w:rsidRDefault="00BF2117" w:rsidP="006B6B97">
      <w:pPr>
        <w:pStyle w:val="FootnoteText"/>
        <w:ind w:left="180" w:hanging="180"/>
        <w:jc w:val="both"/>
        <w:rPr>
          <w:sz w:val="16"/>
          <w:szCs w:val="16"/>
        </w:rPr>
      </w:pPr>
      <w:r w:rsidRPr="00412620">
        <w:rPr>
          <w:rStyle w:val="FootnoteReference"/>
        </w:rPr>
        <w:footnoteRef/>
      </w:r>
      <w:r w:rsidRPr="00412620">
        <w:rPr>
          <w:sz w:val="16"/>
          <w:szCs w:val="16"/>
        </w:rPr>
        <w:t>Sub-section (1) substituted by the Finance Act, 2007. The substituted sub-section (1) read as follows:</w:t>
      </w:r>
    </w:p>
    <w:p w:rsidR="00BF2117" w:rsidRPr="00412620" w:rsidRDefault="00BF2117" w:rsidP="006B6B97">
      <w:pPr>
        <w:pStyle w:val="FootnoteText"/>
        <w:ind w:left="270" w:hanging="90"/>
        <w:jc w:val="both"/>
        <w:rPr>
          <w:lang w:val="en-US"/>
        </w:rPr>
      </w:pPr>
      <w:r w:rsidRPr="00412620">
        <w:rPr>
          <w:sz w:val="16"/>
          <w:szCs w:val="16"/>
        </w:rPr>
        <w:t xml:space="preserve">“(1) The accumulated loss under the head “Income from Business” (not being a loss to which section 58 applies) of an amalgamating company or companies shall be set off or carried forward against the business profits and gains of the amalgamated company and </w:t>
      </w:r>
      <w:r w:rsidRPr="00412620">
        <w:rPr>
          <w:i/>
          <w:iCs/>
          <w:sz w:val="16"/>
          <w:szCs w:val="16"/>
        </w:rPr>
        <w:t>vice versa,</w:t>
      </w:r>
      <w:r w:rsidRPr="00412620">
        <w:rPr>
          <w:sz w:val="16"/>
          <w:szCs w:val="16"/>
        </w:rPr>
        <w:t xml:space="preserve"> up to a period of six tax years immediately succeeding the tax year in which the loss was first computed in the case of amalgamated company or amalgamating company or companies.”</w:t>
      </w:r>
    </w:p>
  </w:footnote>
  <w:footnote w:id="364">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365">
    <w:p w:rsidR="00BF2117" w:rsidRPr="00412620" w:rsidRDefault="00BF2117">
      <w:pPr>
        <w:pStyle w:val="FootnoteText"/>
        <w:rPr>
          <w:sz w:val="16"/>
        </w:rPr>
      </w:pPr>
      <w:r w:rsidRPr="00412620">
        <w:rPr>
          <w:rStyle w:val="FootnoteReference"/>
          <w:rFonts w:cs="Arial"/>
        </w:rPr>
        <w:footnoteRef/>
      </w:r>
      <w:r w:rsidRPr="00412620">
        <w:rPr>
          <w:sz w:val="16"/>
        </w:rPr>
        <w:t xml:space="preserve"> Full stop substituted by the Finance Act, 2005.</w:t>
      </w:r>
    </w:p>
  </w:footnote>
  <w:footnote w:id="366">
    <w:p w:rsidR="00BF2117" w:rsidRPr="00412620" w:rsidRDefault="00BF2117" w:rsidP="00ED75E7">
      <w:pPr>
        <w:pStyle w:val="FootnoteText"/>
        <w:rPr>
          <w:sz w:val="16"/>
        </w:rPr>
      </w:pPr>
      <w:r w:rsidRPr="00412620">
        <w:rPr>
          <w:rStyle w:val="FootnoteReference"/>
          <w:rFonts w:cs="Arial"/>
        </w:rPr>
        <w:footnoteRef/>
      </w:r>
      <w:r w:rsidRPr="00412620">
        <w:rPr>
          <w:sz w:val="16"/>
        </w:rPr>
        <w:t xml:space="preserve"> Inserted by the Finance Act, 2005.</w:t>
      </w:r>
    </w:p>
  </w:footnote>
  <w:footnote w:id="367">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2008.</w:t>
      </w:r>
    </w:p>
  </w:footnote>
  <w:footnote w:id="368">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369">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370">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371">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2003.</w:t>
      </w:r>
    </w:p>
  </w:footnote>
  <w:footnote w:id="372">
    <w:p w:rsidR="00BF2117" w:rsidRPr="00412620" w:rsidRDefault="00BF2117">
      <w:pPr>
        <w:pStyle w:val="FootnoteText"/>
        <w:rPr>
          <w:sz w:val="16"/>
          <w:szCs w:val="16"/>
        </w:rPr>
      </w:pPr>
      <w:r w:rsidRPr="00412620">
        <w:rPr>
          <w:rStyle w:val="FootnoteReference"/>
        </w:rPr>
        <w:footnoteRef/>
      </w:r>
      <w:r w:rsidRPr="00412620">
        <w:rPr>
          <w:sz w:val="16"/>
          <w:szCs w:val="16"/>
        </w:rPr>
        <w:t>Sub-section (1) omitted by the Finance Act, 2012. The omitted sub-section (1) read as follows:</w:t>
      </w:r>
    </w:p>
    <w:p w:rsidR="00BF2117" w:rsidRPr="00412620" w:rsidRDefault="00BF2117" w:rsidP="007C395C">
      <w:pPr>
        <w:ind w:left="180" w:hanging="180"/>
        <w:jc w:val="both"/>
        <w:rPr>
          <w:sz w:val="16"/>
          <w:szCs w:val="16"/>
          <w:lang w:val="en-US"/>
        </w:rPr>
      </w:pPr>
      <w:r w:rsidRPr="00412620">
        <w:rPr>
          <w:sz w:val="16"/>
          <w:szCs w:val="16"/>
        </w:rPr>
        <w:t xml:space="preserve">   “(1) In case of an association of persons to which sub-section (3) of section 92 applies, any loss which cannot be set off against any other income of the association of persons in accordance with section 56, shall be dealt with as provided under sub-section (2) of section 93.</w:t>
      </w:r>
    </w:p>
  </w:footnote>
  <w:footnote w:id="373">
    <w:p w:rsidR="00BF2117" w:rsidRPr="00412620" w:rsidRDefault="00BF2117">
      <w:pPr>
        <w:pStyle w:val="FootnoteText"/>
        <w:rPr>
          <w:sz w:val="16"/>
          <w:szCs w:val="16"/>
        </w:rPr>
      </w:pPr>
      <w:r w:rsidRPr="00412620">
        <w:rPr>
          <w:rStyle w:val="FootnoteReference"/>
        </w:rPr>
        <w:footnoteRef/>
      </w:r>
      <w:r w:rsidRPr="00412620">
        <w:rPr>
          <w:sz w:val="16"/>
          <w:szCs w:val="16"/>
        </w:rPr>
        <w:t>Sub-section (2) omitted by the Finance Act, 2012. The omitted sub-section (2) read as follows:</w:t>
      </w:r>
    </w:p>
    <w:p w:rsidR="00BF2117" w:rsidRPr="00412620" w:rsidRDefault="00BF2117" w:rsidP="0002282C">
      <w:pPr>
        <w:ind w:left="180" w:hanging="180"/>
        <w:jc w:val="both"/>
        <w:rPr>
          <w:rFonts w:cs="Arial"/>
          <w:sz w:val="16"/>
          <w:szCs w:val="16"/>
        </w:rPr>
      </w:pPr>
      <w:r w:rsidRPr="00412620">
        <w:rPr>
          <w:sz w:val="16"/>
          <w:szCs w:val="16"/>
        </w:rPr>
        <w:t xml:space="preserve">   “(2) </w:t>
      </w:r>
      <w:r w:rsidRPr="00412620">
        <w:rPr>
          <w:sz w:val="16"/>
          <w:szCs w:val="16"/>
        </w:rPr>
        <w:tab/>
        <w:t>Nothing contained in section 57, section 58 or section 59 shall entitle an association of persons, to which sub-section (3) of section 92 applies to have its loss carried forward and set off thereunder.</w:t>
      </w:r>
    </w:p>
  </w:footnote>
  <w:footnote w:id="374">
    <w:p w:rsidR="00BF2117" w:rsidRPr="00412620" w:rsidRDefault="00BF2117" w:rsidP="00FE3B67">
      <w:pPr>
        <w:pStyle w:val="FootnoteText"/>
        <w:ind w:left="180" w:hanging="180"/>
        <w:rPr>
          <w:lang w:val="en-US"/>
        </w:rPr>
      </w:pPr>
      <w:r w:rsidRPr="00412620">
        <w:rPr>
          <w:rStyle w:val="FootnoteReference"/>
        </w:rPr>
        <w:footnoteRef/>
      </w:r>
      <w:r w:rsidRPr="00412620">
        <w:rPr>
          <w:sz w:val="16"/>
          <w:szCs w:val="16"/>
        </w:rPr>
        <w:t>The words, figures, commas and brackets “, to which sub-section (3) of section 92 does not apply, any lo</w:t>
      </w:r>
      <w:r>
        <w:rPr>
          <w:sz w:val="16"/>
          <w:szCs w:val="16"/>
        </w:rPr>
        <w:t>ss for such association” substituted</w:t>
      </w:r>
      <w:r w:rsidRPr="00412620">
        <w:rPr>
          <w:sz w:val="16"/>
          <w:szCs w:val="16"/>
        </w:rPr>
        <w:t xml:space="preserve"> by the Finance Act, 2012.</w:t>
      </w:r>
    </w:p>
  </w:footnote>
  <w:footnote w:id="375">
    <w:p w:rsidR="00BF2117" w:rsidRPr="0015072B" w:rsidRDefault="00BF2117" w:rsidP="0015072B">
      <w:pPr>
        <w:pStyle w:val="FootnoteText"/>
        <w:ind w:left="180" w:hanging="180"/>
        <w:rPr>
          <w:sz w:val="16"/>
          <w:szCs w:val="16"/>
          <w:lang w:val="en-US"/>
        </w:rPr>
      </w:pPr>
      <w:r>
        <w:rPr>
          <w:rStyle w:val="FootnoteReference"/>
        </w:rPr>
        <w:footnoteRef/>
      </w:r>
      <w:r>
        <w:rPr>
          <w:sz w:val="16"/>
          <w:szCs w:val="16"/>
        </w:rPr>
        <w:t>The words, figures, commas and brackets “ to which sub-section (3) of section 92 does not apply,” omitted by the Finance Act, 2012.</w:t>
      </w:r>
    </w:p>
  </w:footnote>
  <w:footnote w:id="376">
    <w:p w:rsidR="00BF2117" w:rsidRPr="00412620" w:rsidRDefault="00BF2117">
      <w:pPr>
        <w:pStyle w:val="FootnoteText"/>
        <w:rPr>
          <w:lang w:val="en-US"/>
        </w:rPr>
      </w:pPr>
      <w:r w:rsidRPr="00412620">
        <w:rPr>
          <w:rStyle w:val="FootnoteReference"/>
        </w:rPr>
        <w:footnoteRef/>
      </w:r>
      <w:r w:rsidRPr="00412620">
        <w:rPr>
          <w:sz w:val="16"/>
        </w:rPr>
        <w:t xml:space="preserve"> Inserted by the Finance Act, 2007.</w:t>
      </w:r>
    </w:p>
  </w:footnote>
  <w:footnote w:id="377">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2013.</w:t>
      </w:r>
    </w:p>
  </w:footnote>
  <w:footnote w:id="378">
    <w:p w:rsidR="00BF2117" w:rsidRPr="00A7684E" w:rsidRDefault="00BF2117">
      <w:pPr>
        <w:pStyle w:val="FootnoteText"/>
        <w:rPr>
          <w:color w:val="000000" w:themeColor="text1"/>
          <w:lang w:val="en-US"/>
        </w:rPr>
      </w:pPr>
      <w:r w:rsidRPr="00A7684E">
        <w:rPr>
          <w:rStyle w:val="FootnoteReference"/>
          <w:color w:val="000000" w:themeColor="text1"/>
          <w:sz w:val="16"/>
          <w:szCs w:val="16"/>
        </w:rPr>
        <w:footnoteRef/>
      </w:r>
      <w:r w:rsidRPr="00A7684E">
        <w:rPr>
          <w:color w:val="000000" w:themeColor="text1"/>
          <w:sz w:val="16"/>
          <w:szCs w:val="16"/>
        </w:rPr>
        <w:t>The words “Central Board of Revenue” substituted by the word “Board” by the Finance Act.  2014.</w:t>
      </w:r>
    </w:p>
  </w:footnote>
  <w:footnote w:id="379">
    <w:p w:rsidR="00BF2117" w:rsidRPr="00412620" w:rsidRDefault="00BF2117">
      <w:pPr>
        <w:pStyle w:val="FootnoteText"/>
        <w:rPr>
          <w:sz w:val="16"/>
          <w:szCs w:val="16"/>
          <w:lang w:val="en-US"/>
        </w:rPr>
      </w:pPr>
      <w:r w:rsidRPr="00412620">
        <w:rPr>
          <w:rStyle w:val="FootnoteReference"/>
          <w:szCs w:val="16"/>
        </w:rPr>
        <w:footnoteRef/>
      </w:r>
      <w:r w:rsidRPr="00412620">
        <w:rPr>
          <w:sz w:val="16"/>
          <w:szCs w:val="16"/>
          <w:lang w:val="en-US"/>
        </w:rPr>
        <w:t>Section 59B substituted by the Finance Act, 2007. The substituted section 59B read as follows:</w:t>
      </w:r>
    </w:p>
    <w:p w:rsidR="00BF2117" w:rsidRPr="00412620" w:rsidRDefault="00BF2117" w:rsidP="005E5826">
      <w:pPr>
        <w:ind w:left="180"/>
        <w:jc w:val="both"/>
        <w:rPr>
          <w:sz w:val="16"/>
          <w:szCs w:val="16"/>
        </w:rPr>
      </w:pPr>
      <w:r w:rsidRPr="00412620">
        <w:rPr>
          <w:sz w:val="16"/>
          <w:szCs w:val="16"/>
        </w:rPr>
        <w:t>“</w:t>
      </w:r>
      <w:r w:rsidRPr="00412620">
        <w:rPr>
          <w:b/>
          <w:bCs/>
          <w:sz w:val="16"/>
          <w:szCs w:val="16"/>
        </w:rPr>
        <w:t>59B. Group Relief.-</w:t>
      </w:r>
      <w:r w:rsidRPr="00412620">
        <w:rPr>
          <w:sz w:val="16"/>
          <w:szCs w:val="16"/>
        </w:rPr>
        <w:t xml:space="preserve"> (1) Subject to sub-section (2), any company, being a subsidiary of a public company listed on a registered stock exchange in Pakistan, owning and managing an industrial undertaking or an undertaking engaged in providing services, may surrender its assessed loss for the tax year other than brought forward losses, in favour of its holding company provided such holding company owns or acquires seventy-five </w:t>
      </w:r>
      <w:r>
        <w:rPr>
          <w:sz w:val="16"/>
          <w:szCs w:val="16"/>
        </w:rPr>
        <w:t>per cent</w:t>
      </w:r>
      <w:r w:rsidRPr="00412620">
        <w:rPr>
          <w:sz w:val="16"/>
          <w:szCs w:val="16"/>
        </w:rPr>
        <w:t xml:space="preserve"> or more of the share capital of the subsidiary company.</w:t>
      </w:r>
    </w:p>
    <w:p w:rsidR="00BF2117" w:rsidRPr="00412620" w:rsidRDefault="00BF2117" w:rsidP="00BB6294">
      <w:pPr>
        <w:ind w:left="90"/>
        <w:jc w:val="both"/>
        <w:rPr>
          <w:rFonts w:cs="Arial"/>
          <w:sz w:val="16"/>
          <w:szCs w:val="16"/>
        </w:rPr>
      </w:pPr>
      <w:r w:rsidRPr="00412620">
        <w:rPr>
          <w:rFonts w:cs="Arial"/>
          <w:sz w:val="16"/>
          <w:szCs w:val="16"/>
        </w:rPr>
        <w:tab/>
        <w:t xml:space="preserve">(2) </w:t>
      </w:r>
      <w:r w:rsidRPr="00412620">
        <w:rPr>
          <w:rFonts w:cs="Arial"/>
          <w:sz w:val="16"/>
          <w:szCs w:val="16"/>
        </w:rPr>
        <w:tab/>
        <w:t>The loss surrendered by the subsidiary company may be claimed by the holding company for set off against its income under the head “income from Business” in the tax year and the following two tax years subject to the following conditions, namely:-</w:t>
      </w:r>
    </w:p>
    <w:p w:rsidR="00BF2117" w:rsidRPr="00412620" w:rsidRDefault="00BF2117" w:rsidP="00BB6294">
      <w:pPr>
        <w:numPr>
          <w:ilvl w:val="0"/>
          <w:numId w:val="15"/>
        </w:numPr>
        <w:jc w:val="both"/>
        <w:rPr>
          <w:sz w:val="16"/>
          <w:szCs w:val="16"/>
        </w:rPr>
      </w:pPr>
      <w:r w:rsidRPr="00412620">
        <w:rPr>
          <w:sz w:val="16"/>
          <w:szCs w:val="16"/>
        </w:rPr>
        <w:t xml:space="preserve">there is continued ownership of share capital of the subsidiary company to the extent of seventy-five </w:t>
      </w:r>
      <w:r>
        <w:rPr>
          <w:sz w:val="16"/>
          <w:szCs w:val="16"/>
        </w:rPr>
        <w:t>per cent</w:t>
      </w:r>
      <w:r w:rsidRPr="00412620">
        <w:rPr>
          <w:sz w:val="16"/>
          <w:szCs w:val="16"/>
        </w:rPr>
        <w:t xml:space="preserve"> or more for five years; and </w:t>
      </w:r>
    </w:p>
    <w:p w:rsidR="00BF2117" w:rsidRPr="00412620" w:rsidRDefault="00BF2117" w:rsidP="00BB6294">
      <w:pPr>
        <w:numPr>
          <w:ilvl w:val="0"/>
          <w:numId w:val="15"/>
        </w:numPr>
        <w:jc w:val="both"/>
        <w:rPr>
          <w:sz w:val="16"/>
          <w:szCs w:val="16"/>
        </w:rPr>
      </w:pPr>
      <w:r w:rsidRPr="00412620">
        <w:rPr>
          <w:sz w:val="16"/>
          <w:szCs w:val="16"/>
        </w:rPr>
        <w:t>the subsidiary company continues the same business during the said period of five years.</w:t>
      </w:r>
    </w:p>
    <w:p w:rsidR="00BF2117" w:rsidRPr="00412620" w:rsidRDefault="00BF2117" w:rsidP="00BB6294">
      <w:pPr>
        <w:ind w:left="90" w:firstLine="457"/>
        <w:jc w:val="both"/>
        <w:rPr>
          <w:rFonts w:cs="Arial"/>
          <w:sz w:val="16"/>
          <w:szCs w:val="16"/>
        </w:rPr>
      </w:pPr>
      <w:r w:rsidRPr="00412620">
        <w:rPr>
          <w:rFonts w:cs="Arial"/>
          <w:sz w:val="16"/>
          <w:szCs w:val="16"/>
        </w:rPr>
        <w:t xml:space="preserve">(3) </w:t>
      </w:r>
      <w:r w:rsidRPr="00412620">
        <w:rPr>
          <w:rFonts w:cs="Arial"/>
          <w:sz w:val="16"/>
          <w:szCs w:val="16"/>
        </w:rPr>
        <w:tab/>
        <w:t xml:space="preserve">The subsidiary company shall not be allowed to surrender its assessed losses for set off against income of the holding company for more than three tax years. </w:t>
      </w:r>
    </w:p>
    <w:p w:rsidR="00BF2117" w:rsidRPr="00412620" w:rsidRDefault="00BF2117" w:rsidP="00F73E85">
      <w:pPr>
        <w:ind w:left="90"/>
        <w:jc w:val="both"/>
        <w:rPr>
          <w:rFonts w:cs="Arial"/>
          <w:sz w:val="16"/>
          <w:szCs w:val="16"/>
        </w:rPr>
      </w:pPr>
      <w:r w:rsidRPr="00412620">
        <w:rPr>
          <w:rFonts w:cs="Arial"/>
          <w:sz w:val="16"/>
          <w:szCs w:val="16"/>
        </w:rPr>
        <w:tab/>
        <w:t xml:space="preserve">(4) </w:t>
      </w:r>
      <w:r w:rsidRPr="00412620">
        <w:rPr>
          <w:rFonts w:cs="Arial"/>
          <w:sz w:val="16"/>
          <w:szCs w:val="16"/>
        </w:rPr>
        <w:tab/>
        <w:t>Where the losses surrendered by a subsidiary company are not adjusted against income of the holding company in the said three tax years, the subsidiary company shall carry forward the unadjusted losses in accordance with the provision of section 57.</w:t>
      </w:r>
    </w:p>
    <w:p w:rsidR="00BF2117" w:rsidRPr="00412620" w:rsidRDefault="00BF2117" w:rsidP="00FD4DC7">
      <w:pPr>
        <w:ind w:left="90" w:firstLine="457"/>
        <w:jc w:val="both"/>
        <w:rPr>
          <w:lang w:val="en-US"/>
        </w:rPr>
      </w:pPr>
      <w:r w:rsidRPr="00412620">
        <w:rPr>
          <w:rFonts w:cs="Arial"/>
          <w:sz w:val="16"/>
          <w:szCs w:val="16"/>
        </w:rPr>
        <w:t xml:space="preserve">(5) </w:t>
      </w:r>
      <w:r w:rsidRPr="00412620">
        <w:rPr>
          <w:rFonts w:cs="Arial"/>
          <w:sz w:val="16"/>
          <w:szCs w:val="16"/>
        </w:rPr>
        <w:tab/>
        <w:t xml:space="preserve">If there has been any disposal of shares by the holding company during the aforesaid period of five years to bring the ownership of the holding company to less than seventy-five </w:t>
      </w:r>
      <w:r>
        <w:rPr>
          <w:rFonts w:cs="Arial"/>
          <w:sz w:val="16"/>
          <w:szCs w:val="16"/>
        </w:rPr>
        <w:t>per cent</w:t>
      </w:r>
      <w:r w:rsidRPr="00412620">
        <w:rPr>
          <w:rFonts w:cs="Arial"/>
          <w:sz w:val="16"/>
          <w:szCs w:val="16"/>
        </w:rPr>
        <w:t>, the holding company shall, in the year of disposal, offer the amount of profit on which taxes have not been paid due to set off of losses surrendered by the subsidiary company.”</w:t>
      </w:r>
    </w:p>
  </w:footnote>
  <w:footnote w:id="380">
    <w:p w:rsidR="00BF2117" w:rsidRPr="00B455DC" w:rsidRDefault="00BF2117">
      <w:pPr>
        <w:pStyle w:val="FootnoteText"/>
        <w:rPr>
          <w:color w:val="0070C0"/>
          <w:lang w:val="en-US"/>
        </w:rPr>
      </w:pPr>
      <w:r w:rsidRPr="00B455DC">
        <w:rPr>
          <w:rStyle w:val="FootnoteReference"/>
          <w:color w:val="0070C0"/>
        </w:rPr>
        <w:footnoteRef/>
      </w:r>
      <w:r w:rsidRPr="00B455DC">
        <w:rPr>
          <w:color w:val="0070C0"/>
        </w:rPr>
        <w:t xml:space="preserve"> </w:t>
      </w:r>
      <w:r w:rsidRPr="00B455DC">
        <w:rPr>
          <w:color w:val="0070C0"/>
          <w:sz w:val="16"/>
        </w:rPr>
        <w:t>Inserted by the Finance Act, 2016.</w:t>
      </w:r>
    </w:p>
  </w:footnote>
  <w:footnote w:id="381">
    <w:p w:rsidR="00BF2117" w:rsidRPr="00B455DC" w:rsidRDefault="00BF2117">
      <w:pPr>
        <w:pStyle w:val="FootnoteText"/>
        <w:rPr>
          <w:color w:val="0070C0"/>
          <w:lang w:val="en-US"/>
        </w:rPr>
      </w:pPr>
      <w:r w:rsidRPr="00B455DC">
        <w:rPr>
          <w:rStyle w:val="FootnoteReference"/>
          <w:color w:val="0070C0"/>
        </w:rPr>
        <w:footnoteRef/>
      </w:r>
      <w:r w:rsidRPr="00B455DC">
        <w:rPr>
          <w:color w:val="0070C0"/>
        </w:rPr>
        <w:t xml:space="preserve"> </w:t>
      </w:r>
      <w:r w:rsidRPr="00B455DC">
        <w:rPr>
          <w:color w:val="0070C0"/>
          <w:sz w:val="16"/>
        </w:rPr>
        <w:t>Inserted by the Finance Act, 2016.</w:t>
      </w:r>
    </w:p>
  </w:footnote>
  <w:footnote w:id="382">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2013.</w:t>
      </w:r>
    </w:p>
  </w:footnote>
  <w:footnote w:id="383">
    <w:p w:rsidR="00BF2117" w:rsidRPr="00412620" w:rsidRDefault="00BF2117">
      <w:pPr>
        <w:pStyle w:val="FootnoteText"/>
        <w:rPr>
          <w:sz w:val="16"/>
        </w:rPr>
      </w:pPr>
      <w:r w:rsidRPr="00412620">
        <w:rPr>
          <w:rStyle w:val="FootnoteReference"/>
          <w:rFonts w:cs="Arial"/>
        </w:rPr>
        <w:footnoteRef/>
      </w:r>
      <w:r w:rsidRPr="00412620">
        <w:rPr>
          <w:sz w:val="16"/>
        </w:rPr>
        <w:t>Added by the Finance Act, 2003.</w:t>
      </w:r>
    </w:p>
  </w:footnote>
  <w:footnote w:id="384">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2005.</w:t>
      </w:r>
    </w:p>
  </w:footnote>
  <w:footnote w:id="385">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2004.</w:t>
      </w:r>
    </w:p>
  </w:footnote>
  <w:footnote w:id="386">
    <w:p w:rsidR="00BF2117" w:rsidRPr="00412620" w:rsidRDefault="00BF2117" w:rsidP="00FB01A3">
      <w:pPr>
        <w:pStyle w:val="FootnoteText"/>
        <w:keepNext/>
        <w:ind w:left="180" w:hanging="180"/>
        <w:rPr>
          <w:sz w:val="16"/>
        </w:rPr>
      </w:pPr>
      <w:r w:rsidRPr="00412620">
        <w:rPr>
          <w:rStyle w:val="FootnoteReference"/>
          <w:rFonts w:cs="Arial"/>
        </w:rPr>
        <w:footnoteRef/>
      </w:r>
      <w:r w:rsidRPr="00412620">
        <w:rPr>
          <w:sz w:val="16"/>
        </w:rPr>
        <w:t xml:space="preserve"> Sub-section (1) substituted by the Finance Act, 2003. The substituted sub-section (1) read as follows: </w:t>
      </w:r>
    </w:p>
    <w:p w:rsidR="00BF2117" w:rsidRPr="00412620" w:rsidRDefault="00BF2117" w:rsidP="00721DEC">
      <w:pPr>
        <w:pStyle w:val="FootnoteText"/>
        <w:ind w:left="180" w:firstLine="367"/>
        <w:jc w:val="both"/>
        <w:rPr>
          <w:rFonts w:cs="Arial"/>
          <w:sz w:val="16"/>
        </w:rPr>
      </w:pPr>
      <w:r w:rsidRPr="00412620">
        <w:rPr>
          <w:rFonts w:cs="Arial"/>
          <w:sz w:val="16"/>
        </w:rPr>
        <w:t xml:space="preserve">“(1) </w:t>
      </w:r>
      <w:r w:rsidRPr="00412620">
        <w:rPr>
          <w:rFonts w:cs="Arial"/>
          <w:sz w:val="16"/>
        </w:rPr>
        <w:tab/>
        <w:t>A person shall be entitled to a tax credit for a tax year in respect of any amount paid, or property given by the person in the tax year as a donation to a non-profit organization.”</w:t>
      </w:r>
    </w:p>
  </w:footnote>
  <w:footnote w:id="387">
    <w:p w:rsidR="00BF2117" w:rsidRPr="00412620" w:rsidRDefault="00BF2117">
      <w:pPr>
        <w:pStyle w:val="FootnoteText"/>
        <w:rPr>
          <w:lang w:val="en-US"/>
        </w:rPr>
      </w:pPr>
      <w:r w:rsidRPr="00412620">
        <w:rPr>
          <w:rStyle w:val="FootnoteReference"/>
        </w:rPr>
        <w:footnoteRef/>
      </w:r>
      <w:r w:rsidRPr="00412620">
        <w:rPr>
          <w:sz w:val="16"/>
          <w:lang w:val="en-US"/>
        </w:rPr>
        <w:t>The words “local authority” substituted by the Finance Act, 2008.</w:t>
      </w:r>
    </w:p>
  </w:footnote>
  <w:footnote w:id="388">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 “fifteen” substituted by the Finance Act, 2009.</w:t>
      </w:r>
    </w:p>
  </w:footnote>
  <w:footnote w:id="389">
    <w:p w:rsidR="00BF2117" w:rsidRPr="00412620" w:rsidRDefault="00BF2117">
      <w:pPr>
        <w:pStyle w:val="FootnoteText"/>
        <w:rPr>
          <w:sz w:val="16"/>
        </w:rPr>
      </w:pPr>
      <w:r w:rsidRPr="00412620">
        <w:rPr>
          <w:rStyle w:val="FootnoteReference"/>
          <w:rFonts w:cs="Arial"/>
        </w:rPr>
        <w:footnoteRef/>
      </w:r>
      <w:r w:rsidRPr="00412620">
        <w:rPr>
          <w:sz w:val="16"/>
        </w:rPr>
        <w:t xml:space="preserve"> Inserted by the Finance Act, 2002.</w:t>
      </w:r>
    </w:p>
  </w:footnote>
  <w:footnote w:id="390">
    <w:p w:rsidR="00BF2117" w:rsidRPr="00412620" w:rsidRDefault="00BF2117">
      <w:pPr>
        <w:pStyle w:val="FootnoteText"/>
        <w:rPr>
          <w:sz w:val="16"/>
        </w:rPr>
      </w:pPr>
      <w:r w:rsidRPr="00412620">
        <w:rPr>
          <w:rStyle w:val="FootnoteReference"/>
          <w:rFonts w:cs="Arial"/>
        </w:rPr>
        <w:footnoteRef/>
      </w:r>
      <w:r w:rsidRPr="00412620">
        <w:rPr>
          <w:sz w:val="16"/>
        </w:rPr>
        <w:t xml:space="preserve"> Added by the Finance Act, 2003.</w:t>
      </w:r>
    </w:p>
  </w:footnote>
  <w:footnote w:id="391">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392">
    <w:p w:rsidR="00BF2117" w:rsidRPr="00412620" w:rsidRDefault="00BF2117">
      <w:pPr>
        <w:pStyle w:val="FootnoteText"/>
        <w:rPr>
          <w:sz w:val="16"/>
          <w:szCs w:val="16"/>
        </w:rPr>
      </w:pPr>
      <w:r w:rsidRPr="00412620">
        <w:rPr>
          <w:rStyle w:val="FootnoteReference"/>
        </w:rPr>
        <w:footnoteRef/>
      </w:r>
      <w:r w:rsidRPr="00412620">
        <w:rPr>
          <w:sz w:val="16"/>
          <w:szCs w:val="16"/>
        </w:rPr>
        <w:t>Section 62 substituted by the Finance Act, 2011. The substituted section 62 read as follows:</w:t>
      </w:r>
    </w:p>
    <w:p w:rsidR="00BF2117" w:rsidRPr="00412620" w:rsidRDefault="00BF2117" w:rsidP="000F07C8">
      <w:pPr>
        <w:ind w:left="90"/>
        <w:jc w:val="both"/>
        <w:rPr>
          <w:sz w:val="16"/>
          <w:szCs w:val="16"/>
        </w:rPr>
      </w:pPr>
      <w:r w:rsidRPr="00412620">
        <w:rPr>
          <w:sz w:val="16"/>
          <w:szCs w:val="16"/>
        </w:rPr>
        <w:t>“</w:t>
      </w:r>
      <w:r w:rsidRPr="00412620">
        <w:rPr>
          <w:rFonts w:cs="Arial"/>
          <w:b/>
          <w:sz w:val="16"/>
          <w:szCs w:val="16"/>
        </w:rPr>
        <w:t>62.</w:t>
      </w:r>
      <w:r w:rsidRPr="00412620">
        <w:rPr>
          <w:rFonts w:cs="Arial"/>
          <w:b/>
          <w:sz w:val="16"/>
          <w:szCs w:val="16"/>
        </w:rPr>
        <w:tab/>
        <w:t xml:space="preserve">Investment in shares.— </w:t>
      </w:r>
      <w:r w:rsidRPr="00412620">
        <w:rPr>
          <w:sz w:val="16"/>
          <w:szCs w:val="16"/>
        </w:rPr>
        <w:t xml:space="preserve">(1)  A person </w:t>
      </w:r>
      <w:r w:rsidRPr="00412620">
        <w:rPr>
          <w:rStyle w:val="FootnoteReference"/>
          <w:sz w:val="16"/>
          <w:szCs w:val="16"/>
        </w:rPr>
        <w:footnoteRef/>
      </w:r>
      <w:r w:rsidRPr="00412620">
        <w:rPr>
          <w:sz w:val="16"/>
          <w:szCs w:val="16"/>
        </w:rPr>
        <w:t xml:space="preserve">[other than a company] shall be entitled to a tax credit for a tax year in respect of the cost of acquiring in the year new shares offered to the public by a public company listed on a stock exchange in Pakistan where the person </w:t>
      </w:r>
      <w:r w:rsidRPr="00412620">
        <w:rPr>
          <w:rStyle w:val="FootnoteReference"/>
          <w:sz w:val="16"/>
          <w:szCs w:val="16"/>
        </w:rPr>
        <w:footnoteRef/>
      </w:r>
      <w:r w:rsidRPr="00412620">
        <w:rPr>
          <w:sz w:val="16"/>
          <w:szCs w:val="16"/>
        </w:rPr>
        <w:t xml:space="preserve">[other than a company] is the original allottee of the shares or the shares are acquired from the Privatization Commission of Pakistan. </w:t>
      </w:r>
    </w:p>
    <w:p w:rsidR="00BF2117" w:rsidRPr="00412620" w:rsidRDefault="00BF2117" w:rsidP="000F07C8">
      <w:pPr>
        <w:ind w:left="90"/>
        <w:jc w:val="both"/>
        <w:rPr>
          <w:rFonts w:cs="Arial"/>
          <w:sz w:val="16"/>
          <w:szCs w:val="16"/>
        </w:rPr>
      </w:pPr>
      <w:r w:rsidRPr="00412620">
        <w:rPr>
          <w:rFonts w:cs="Arial"/>
          <w:sz w:val="16"/>
          <w:szCs w:val="16"/>
        </w:rPr>
        <w:tab/>
        <w:t>(2)</w:t>
      </w:r>
      <w:r w:rsidRPr="00412620">
        <w:rPr>
          <w:rFonts w:cs="Arial"/>
          <w:sz w:val="16"/>
          <w:szCs w:val="16"/>
        </w:rPr>
        <w:tab/>
        <w:t>The amount of a person’s tax credit allowed under sub-section (1) for a tax year shall be computed according to the following formula, namely: —</w:t>
      </w:r>
    </w:p>
    <w:p w:rsidR="00BF2117" w:rsidRPr="00412620" w:rsidRDefault="00BF2117" w:rsidP="000F07C8">
      <w:pPr>
        <w:rPr>
          <w:rFonts w:cs="Arial"/>
          <w:sz w:val="16"/>
          <w:szCs w:val="16"/>
        </w:rPr>
      </w:pPr>
    </w:p>
    <w:p w:rsidR="00BF2117" w:rsidRPr="00412620" w:rsidRDefault="00BF2117" w:rsidP="000F07C8">
      <w:pPr>
        <w:pStyle w:val="C"/>
        <w:keepNext/>
        <w:widowControl/>
        <w:spacing w:before="0" w:after="0"/>
        <w:rPr>
          <w:rFonts w:ascii="Arial" w:hAnsi="Arial"/>
          <w:sz w:val="16"/>
          <w:szCs w:val="16"/>
          <w:lang w:val="en-AU"/>
        </w:rPr>
      </w:pPr>
      <w:r w:rsidRPr="00412620">
        <w:rPr>
          <w:rFonts w:ascii="Arial" w:hAnsi="Arial"/>
          <w:sz w:val="16"/>
          <w:szCs w:val="16"/>
          <w:lang w:val="en-AU"/>
        </w:rPr>
        <w:t>(A/B) x C</w:t>
      </w:r>
    </w:p>
    <w:p w:rsidR="00BF2117" w:rsidRPr="00412620" w:rsidRDefault="00BF2117" w:rsidP="000F07C8">
      <w:pPr>
        <w:pStyle w:val="Header"/>
        <w:tabs>
          <w:tab w:val="left" w:pos="547"/>
        </w:tabs>
        <w:jc w:val="both"/>
        <w:rPr>
          <w:rFonts w:cs="Arial"/>
          <w:sz w:val="16"/>
          <w:szCs w:val="16"/>
        </w:rPr>
      </w:pPr>
    </w:p>
    <w:p w:rsidR="00BF2117" w:rsidRPr="00412620" w:rsidRDefault="00BF2117" w:rsidP="000F07C8">
      <w:pPr>
        <w:pStyle w:val="Header"/>
        <w:tabs>
          <w:tab w:val="left" w:pos="547"/>
        </w:tabs>
        <w:ind w:left="90"/>
        <w:jc w:val="both"/>
        <w:rPr>
          <w:rFonts w:cs="Arial"/>
          <w:sz w:val="16"/>
          <w:szCs w:val="16"/>
        </w:rPr>
      </w:pPr>
      <w:r w:rsidRPr="00412620">
        <w:rPr>
          <w:rFonts w:cs="Arial"/>
          <w:sz w:val="16"/>
          <w:szCs w:val="16"/>
        </w:rPr>
        <w:t>where –</w:t>
      </w:r>
    </w:p>
    <w:p w:rsidR="00BF2117" w:rsidRPr="00412620" w:rsidRDefault="00BF2117" w:rsidP="000F07C8">
      <w:pPr>
        <w:ind w:left="540" w:hanging="450"/>
        <w:jc w:val="both"/>
        <w:rPr>
          <w:sz w:val="16"/>
          <w:szCs w:val="16"/>
        </w:rPr>
      </w:pPr>
      <w:r w:rsidRPr="00412620">
        <w:rPr>
          <w:rFonts w:cs="Arial"/>
          <w:b/>
          <w:sz w:val="16"/>
          <w:szCs w:val="16"/>
        </w:rPr>
        <w:t>A</w:t>
      </w:r>
      <w:r w:rsidRPr="00412620">
        <w:rPr>
          <w:rFonts w:cs="Arial"/>
          <w:b/>
          <w:caps/>
          <w:sz w:val="16"/>
          <w:szCs w:val="16"/>
        </w:rPr>
        <w:tab/>
      </w:r>
      <w:r w:rsidRPr="00412620">
        <w:rPr>
          <w:sz w:val="16"/>
          <w:szCs w:val="16"/>
        </w:rPr>
        <w:t>is the amount of tax assessed to the person for the tax year before allowance of any tax credit under this Part;</w:t>
      </w:r>
    </w:p>
    <w:p w:rsidR="00BF2117" w:rsidRPr="00412620" w:rsidRDefault="00BF2117" w:rsidP="000F07C8">
      <w:pPr>
        <w:ind w:left="540" w:hanging="450"/>
        <w:jc w:val="both"/>
        <w:rPr>
          <w:sz w:val="16"/>
          <w:szCs w:val="16"/>
        </w:rPr>
      </w:pPr>
      <w:r w:rsidRPr="00412620">
        <w:rPr>
          <w:rFonts w:cs="Arial"/>
          <w:b/>
          <w:sz w:val="16"/>
          <w:szCs w:val="16"/>
        </w:rPr>
        <w:t>B</w:t>
      </w:r>
      <w:r w:rsidRPr="00412620">
        <w:rPr>
          <w:sz w:val="16"/>
          <w:szCs w:val="16"/>
        </w:rPr>
        <w:tab/>
        <w:t xml:space="preserve">is the person’s taxable income for the tax year; and </w:t>
      </w:r>
    </w:p>
    <w:p w:rsidR="00BF2117" w:rsidRPr="00412620" w:rsidRDefault="00BF2117" w:rsidP="000F07C8">
      <w:pPr>
        <w:ind w:left="540" w:hanging="450"/>
        <w:jc w:val="both"/>
        <w:rPr>
          <w:sz w:val="16"/>
          <w:szCs w:val="16"/>
        </w:rPr>
      </w:pPr>
      <w:r w:rsidRPr="00412620">
        <w:rPr>
          <w:rFonts w:cs="Arial"/>
          <w:b/>
          <w:sz w:val="16"/>
          <w:szCs w:val="16"/>
        </w:rPr>
        <w:t>C</w:t>
      </w:r>
      <w:r w:rsidRPr="00412620">
        <w:rPr>
          <w:sz w:val="16"/>
          <w:szCs w:val="16"/>
        </w:rPr>
        <w:tab/>
        <w:t xml:space="preserve">is the lesser of </w:t>
      </w:r>
      <w:r w:rsidRPr="00412620">
        <w:rPr>
          <w:rFonts w:cs="Arial"/>
          <w:sz w:val="16"/>
          <w:szCs w:val="16"/>
        </w:rPr>
        <w:t>—</w:t>
      </w:r>
    </w:p>
    <w:p w:rsidR="00BF2117" w:rsidRPr="00412620" w:rsidRDefault="00BF2117" w:rsidP="000F07C8">
      <w:pPr>
        <w:ind w:left="1635" w:hanging="555"/>
        <w:jc w:val="both"/>
        <w:rPr>
          <w:rFonts w:cs="Arial"/>
          <w:sz w:val="16"/>
          <w:szCs w:val="16"/>
        </w:rPr>
      </w:pPr>
      <w:r w:rsidRPr="00412620">
        <w:rPr>
          <w:rFonts w:cs="Arial"/>
          <w:sz w:val="16"/>
          <w:szCs w:val="16"/>
        </w:rPr>
        <w:t>(a)</w:t>
      </w:r>
      <w:r w:rsidRPr="00412620">
        <w:rPr>
          <w:rFonts w:cs="Arial"/>
          <w:sz w:val="16"/>
          <w:szCs w:val="16"/>
        </w:rPr>
        <w:tab/>
        <w:t>the total cost of acquiring the shares referred to in sub-section (1) in the year;</w:t>
      </w:r>
    </w:p>
    <w:p w:rsidR="00BF2117" w:rsidRPr="00412620" w:rsidRDefault="00BF2117" w:rsidP="000F07C8">
      <w:pPr>
        <w:ind w:left="1080"/>
        <w:jc w:val="both"/>
        <w:rPr>
          <w:rFonts w:cs="Arial"/>
          <w:sz w:val="16"/>
          <w:szCs w:val="16"/>
        </w:rPr>
      </w:pPr>
      <w:r w:rsidRPr="00412620">
        <w:rPr>
          <w:rFonts w:cs="Arial"/>
          <w:sz w:val="16"/>
          <w:szCs w:val="16"/>
        </w:rPr>
        <w:t>(b)</w:t>
      </w:r>
      <w:r w:rsidRPr="00412620">
        <w:rPr>
          <w:rFonts w:cs="Arial"/>
          <w:sz w:val="16"/>
          <w:szCs w:val="16"/>
        </w:rPr>
        <w:tab/>
        <w:t xml:space="preserve">ten </w:t>
      </w:r>
      <w:r>
        <w:rPr>
          <w:rFonts w:cs="Arial"/>
          <w:sz w:val="16"/>
          <w:szCs w:val="16"/>
        </w:rPr>
        <w:t>per cent</w:t>
      </w:r>
      <w:r w:rsidRPr="00412620">
        <w:rPr>
          <w:rFonts w:cs="Arial"/>
          <w:sz w:val="16"/>
          <w:szCs w:val="16"/>
        </w:rPr>
        <w:t xml:space="preserve"> of the person’s </w:t>
      </w:r>
      <w:r w:rsidRPr="00412620">
        <w:rPr>
          <w:rStyle w:val="FootnoteReference"/>
          <w:rFonts w:cs="Arial"/>
          <w:sz w:val="16"/>
          <w:szCs w:val="16"/>
        </w:rPr>
        <w:footnoteRef/>
      </w:r>
      <w:r w:rsidRPr="00412620">
        <w:rPr>
          <w:rFonts w:cs="Arial"/>
          <w:sz w:val="16"/>
          <w:szCs w:val="16"/>
        </w:rPr>
        <w:t>[taxable] income for the year; or</w:t>
      </w:r>
    </w:p>
    <w:p w:rsidR="00BF2117" w:rsidRPr="00412620" w:rsidRDefault="00BF2117" w:rsidP="000F07C8">
      <w:pPr>
        <w:ind w:left="1080"/>
        <w:jc w:val="both"/>
        <w:rPr>
          <w:rFonts w:cs="Arial"/>
          <w:sz w:val="16"/>
          <w:szCs w:val="16"/>
        </w:rPr>
      </w:pPr>
      <w:r w:rsidRPr="00412620">
        <w:rPr>
          <w:rFonts w:cs="Arial"/>
          <w:sz w:val="16"/>
          <w:szCs w:val="16"/>
        </w:rPr>
        <w:t>(c)</w:t>
      </w:r>
      <w:r w:rsidRPr="00412620">
        <w:rPr>
          <w:rFonts w:cs="Arial"/>
          <w:sz w:val="16"/>
          <w:szCs w:val="16"/>
        </w:rPr>
        <w:tab/>
      </w:r>
      <w:r w:rsidRPr="00412620">
        <w:rPr>
          <w:rStyle w:val="FootnoteReference"/>
          <w:rFonts w:cs="Arial"/>
          <w:sz w:val="16"/>
          <w:szCs w:val="16"/>
        </w:rPr>
        <w:footnoteRef/>
      </w:r>
      <w:r w:rsidRPr="00412620">
        <w:rPr>
          <w:rFonts w:cs="Arial"/>
          <w:sz w:val="16"/>
          <w:szCs w:val="16"/>
        </w:rPr>
        <w:t xml:space="preserve">[ </w:t>
      </w:r>
      <w:r w:rsidRPr="00412620">
        <w:rPr>
          <w:rStyle w:val="FootnoteReference"/>
          <w:rFonts w:cs="Arial"/>
          <w:sz w:val="16"/>
          <w:szCs w:val="16"/>
        </w:rPr>
        <w:footnoteRef/>
      </w:r>
      <w:r w:rsidRPr="00412620">
        <w:rPr>
          <w:rFonts w:cs="Arial"/>
          <w:sz w:val="16"/>
          <w:szCs w:val="16"/>
        </w:rPr>
        <w:t>[three] hundred] thousand rupees.</w:t>
      </w:r>
    </w:p>
    <w:p w:rsidR="00BF2117" w:rsidRPr="00412620" w:rsidRDefault="00BF2117" w:rsidP="000F07C8">
      <w:pPr>
        <w:jc w:val="both"/>
        <w:rPr>
          <w:rFonts w:cs="Arial"/>
          <w:sz w:val="16"/>
          <w:szCs w:val="16"/>
        </w:rPr>
      </w:pPr>
      <w:r w:rsidRPr="00412620">
        <w:rPr>
          <w:rFonts w:cs="Arial"/>
          <w:sz w:val="16"/>
          <w:szCs w:val="16"/>
        </w:rPr>
        <w:tab/>
        <w:t>(3)</w:t>
      </w:r>
      <w:r w:rsidRPr="00412620">
        <w:rPr>
          <w:rFonts w:cs="Arial"/>
          <w:sz w:val="16"/>
          <w:szCs w:val="16"/>
        </w:rPr>
        <w:tab/>
        <w:t>Where –</w:t>
      </w:r>
    </w:p>
    <w:p w:rsidR="00BF2117" w:rsidRPr="00412620" w:rsidRDefault="00BF2117" w:rsidP="000F07C8">
      <w:pPr>
        <w:pStyle w:val="BodyTextIndent"/>
        <w:ind w:left="1620" w:hanging="540"/>
        <w:jc w:val="both"/>
        <w:rPr>
          <w:rFonts w:cs="Arial"/>
          <w:sz w:val="16"/>
          <w:szCs w:val="16"/>
        </w:rPr>
      </w:pPr>
      <w:r w:rsidRPr="00412620">
        <w:rPr>
          <w:rFonts w:cs="Arial"/>
          <w:sz w:val="16"/>
          <w:szCs w:val="16"/>
        </w:rPr>
        <w:t>(a)</w:t>
      </w:r>
      <w:r w:rsidRPr="00412620">
        <w:rPr>
          <w:rFonts w:cs="Arial"/>
          <w:sz w:val="16"/>
          <w:szCs w:val="16"/>
        </w:rPr>
        <w:tab/>
        <w:t xml:space="preserve">a person has </w:t>
      </w:r>
      <w:r w:rsidRPr="00412620">
        <w:rPr>
          <w:rStyle w:val="FootnoteReference"/>
          <w:rFonts w:cs="Arial"/>
          <w:sz w:val="16"/>
          <w:szCs w:val="16"/>
        </w:rPr>
        <w:footnoteRef/>
      </w:r>
      <w:r w:rsidRPr="00412620">
        <w:rPr>
          <w:rFonts w:cs="Arial"/>
          <w:sz w:val="16"/>
          <w:szCs w:val="16"/>
        </w:rPr>
        <w:t>[been allowed] a tax credit under sub-section (1) in a tax year in respect of the purchase of a share; and</w:t>
      </w:r>
    </w:p>
    <w:p w:rsidR="00BF2117" w:rsidRPr="00412620" w:rsidRDefault="00BF2117" w:rsidP="000F07C8">
      <w:pPr>
        <w:pStyle w:val="BodyTextIndent"/>
        <w:ind w:left="1620" w:hanging="540"/>
        <w:jc w:val="both"/>
        <w:rPr>
          <w:rFonts w:cs="Arial"/>
          <w:sz w:val="16"/>
          <w:szCs w:val="16"/>
        </w:rPr>
      </w:pPr>
      <w:r w:rsidRPr="00412620">
        <w:rPr>
          <w:rFonts w:cs="Arial"/>
          <w:sz w:val="16"/>
          <w:szCs w:val="16"/>
        </w:rPr>
        <w:t>(b)</w:t>
      </w:r>
      <w:r w:rsidRPr="00412620">
        <w:rPr>
          <w:rFonts w:cs="Arial"/>
          <w:sz w:val="16"/>
          <w:szCs w:val="16"/>
        </w:rPr>
        <w:tab/>
        <w:t>the person has made a disposal of the share within twelve months of the date of acquisition,</w:t>
      </w:r>
    </w:p>
    <w:p w:rsidR="00BF2117" w:rsidRPr="00412620" w:rsidRDefault="00BF2117" w:rsidP="000F07C8">
      <w:pPr>
        <w:jc w:val="both"/>
        <w:rPr>
          <w:rFonts w:cs="Arial"/>
          <w:sz w:val="16"/>
          <w:szCs w:val="16"/>
        </w:rPr>
      </w:pPr>
    </w:p>
    <w:p w:rsidR="00BF2117" w:rsidRPr="00412620" w:rsidRDefault="00BF2117" w:rsidP="000F07C8">
      <w:pPr>
        <w:pStyle w:val="FootnoteText"/>
        <w:ind w:left="90" w:firstLine="0"/>
        <w:rPr>
          <w:sz w:val="16"/>
          <w:szCs w:val="16"/>
          <w:lang w:val="en-US"/>
        </w:rPr>
      </w:pPr>
      <w:r w:rsidRPr="00412620">
        <w:rPr>
          <w:rFonts w:cs="Arial"/>
          <w:sz w:val="16"/>
          <w:szCs w:val="16"/>
        </w:rPr>
        <w:t>the amount of tax payable by the person for the tax year in which the shares were disposed of shall be increased by the amount of the credit allowed.”</w:t>
      </w:r>
    </w:p>
  </w:footnote>
  <w:footnote w:id="393">
    <w:p w:rsidR="00BF2117" w:rsidRPr="00412620" w:rsidRDefault="00BF2117">
      <w:pPr>
        <w:pStyle w:val="FootnoteText"/>
        <w:rPr>
          <w:sz w:val="16"/>
          <w:szCs w:val="16"/>
          <w:lang w:val="en-US"/>
        </w:rPr>
      </w:pPr>
      <w:r w:rsidRPr="00412620">
        <w:rPr>
          <w:rStyle w:val="FootnoteReference"/>
        </w:rPr>
        <w:footnoteRef/>
      </w:r>
      <w:r w:rsidRPr="00412620">
        <w:rPr>
          <w:sz w:val="16"/>
          <w:szCs w:val="16"/>
          <w:lang w:val="en-US"/>
        </w:rPr>
        <w:t>The word “fifteen” substituted by the Finance Act, 2012.</w:t>
      </w:r>
    </w:p>
  </w:footnote>
  <w:footnote w:id="394">
    <w:p w:rsidR="00BF2117" w:rsidRPr="00412620" w:rsidRDefault="00BF2117">
      <w:pPr>
        <w:pStyle w:val="FootnoteText"/>
        <w:rPr>
          <w:lang w:val="en-US"/>
        </w:rPr>
      </w:pPr>
      <w:r w:rsidRPr="00412620">
        <w:rPr>
          <w:rStyle w:val="FootnoteReference"/>
        </w:rPr>
        <w:footnoteRef/>
      </w:r>
      <w:r w:rsidRPr="00412620">
        <w:rPr>
          <w:sz w:val="16"/>
          <w:szCs w:val="16"/>
          <w:lang w:val="en-US"/>
        </w:rPr>
        <w:t>The words “five hundred thousand rupees” substituted by the Finance Act, 2012.</w:t>
      </w:r>
    </w:p>
  </w:footnote>
  <w:footnote w:id="395">
    <w:p w:rsidR="00BF2117" w:rsidRPr="00D56576" w:rsidRDefault="00BF2117">
      <w:pPr>
        <w:pStyle w:val="FootnoteText"/>
        <w:rPr>
          <w:lang w:val="en-US"/>
        </w:rPr>
      </w:pPr>
      <w:r>
        <w:rPr>
          <w:rStyle w:val="FootnoteReference"/>
        </w:rPr>
        <w:footnoteRef/>
      </w:r>
      <w:r w:rsidRPr="00412620">
        <w:rPr>
          <w:sz w:val="16"/>
        </w:rPr>
        <w:t>Inserted by the Finance Act, 20</w:t>
      </w:r>
      <w:r>
        <w:rPr>
          <w:sz w:val="16"/>
        </w:rPr>
        <w:t>15.</w:t>
      </w:r>
    </w:p>
  </w:footnote>
  <w:footnote w:id="396">
    <w:p w:rsidR="00BF2117" w:rsidRPr="00412620" w:rsidRDefault="00BF2117">
      <w:pPr>
        <w:pStyle w:val="FootnoteText"/>
        <w:rPr>
          <w:lang w:val="en-US"/>
        </w:rPr>
      </w:pPr>
      <w:r w:rsidRPr="00412620">
        <w:rPr>
          <w:rStyle w:val="FootnoteReference"/>
        </w:rPr>
        <w:footnoteRef/>
      </w:r>
      <w:r w:rsidRPr="00412620">
        <w:rPr>
          <w:sz w:val="16"/>
          <w:szCs w:val="16"/>
          <w:lang w:val="en-US"/>
        </w:rPr>
        <w:t>The word “thirty-six” substituted by the Finance Act, 2012.</w:t>
      </w:r>
    </w:p>
  </w:footnote>
  <w:footnote w:id="397">
    <w:p w:rsidR="00BF2117" w:rsidRPr="00B455DC" w:rsidRDefault="00BF2117">
      <w:pPr>
        <w:pStyle w:val="FootnoteText"/>
        <w:rPr>
          <w:color w:val="0070C0"/>
          <w:lang w:val="en-US"/>
        </w:rPr>
      </w:pPr>
      <w:r w:rsidRPr="00B455DC">
        <w:rPr>
          <w:rStyle w:val="FootnoteReference"/>
          <w:color w:val="0070C0"/>
        </w:rPr>
        <w:footnoteRef/>
      </w:r>
      <w:r w:rsidRPr="00B455DC">
        <w:rPr>
          <w:color w:val="0070C0"/>
        </w:rPr>
        <w:t xml:space="preserve"> </w:t>
      </w:r>
      <w:r w:rsidRPr="00B455DC">
        <w:rPr>
          <w:color w:val="0070C0"/>
          <w:sz w:val="16"/>
        </w:rPr>
        <w:t>Inserted by the Finance Act, 2016.</w:t>
      </w:r>
    </w:p>
  </w:footnote>
  <w:footnote w:id="398">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Section 63 substituted by the Finance Act, 2005. The original section 63 read as follows:</w:t>
      </w:r>
    </w:p>
    <w:p w:rsidR="00BF2117" w:rsidRPr="00412620" w:rsidRDefault="00BF2117">
      <w:pPr>
        <w:keepNext/>
        <w:ind w:left="180"/>
        <w:jc w:val="both"/>
        <w:rPr>
          <w:sz w:val="16"/>
        </w:rPr>
      </w:pPr>
      <w:r w:rsidRPr="00412620">
        <w:rPr>
          <w:rFonts w:cs="Arial"/>
          <w:b/>
          <w:sz w:val="16"/>
        </w:rPr>
        <w:t>“63.</w:t>
      </w:r>
      <w:r w:rsidRPr="00412620">
        <w:rPr>
          <w:rFonts w:cs="Arial"/>
          <w:b/>
          <w:sz w:val="16"/>
        </w:rPr>
        <w:tab/>
        <w:t xml:space="preserve">Retirement annuity scheme. – </w:t>
      </w:r>
      <w:r w:rsidRPr="00412620">
        <w:rPr>
          <w:sz w:val="16"/>
        </w:rPr>
        <w:t>(1)  Subject to sub-section (3), a resident individual deriving income chargeable to tax under the head “Salary” or the head “Income from Business” shall be entitled to a tax credit for a tax year in respect of any contribution or premium paid in the year by the person under a contract of annuity scheme approved by, Securities  and Exchange Commission of Pakistan] of an insurance company duly registered under the Insurance Ordinance, 2000 (XXXIX of 2000), having its main object the provision to the person of an annuity in old age.</w:t>
      </w:r>
    </w:p>
    <w:p w:rsidR="00BF2117" w:rsidRPr="00412620" w:rsidRDefault="00BF2117">
      <w:pPr>
        <w:keepNext/>
        <w:ind w:left="180"/>
        <w:jc w:val="both"/>
        <w:rPr>
          <w:rFonts w:cs="Arial"/>
          <w:sz w:val="16"/>
        </w:rPr>
      </w:pPr>
      <w:r w:rsidRPr="00412620">
        <w:rPr>
          <w:rFonts w:cs="Arial"/>
          <w:sz w:val="16"/>
        </w:rPr>
        <w:tab/>
        <w:t>(2)</w:t>
      </w:r>
      <w:r w:rsidRPr="00412620">
        <w:rPr>
          <w:rFonts w:cs="Arial"/>
          <w:sz w:val="16"/>
        </w:rPr>
        <w:tab/>
        <w:t xml:space="preserve">The amount of a resident individual’s tax credit allowed under sub-section (1) for a tax </w:t>
      </w:r>
      <w:r w:rsidRPr="00412620">
        <w:rPr>
          <w:rFonts w:cs="Arial"/>
          <w:bCs/>
          <w:sz w:val="16"/>
        </w:rPr>
        <w:t>year</w:t>
      </w:r>
      <w:r w:rsidRPr="00412620">
        <w:rPr>
          <w:rFonts w:cs="Arial"/>
          <w:sz w:val="16"/>
        </w:rPr>
        <w:t xml:space="preserve"> shall be computed according to the following formula, namely: –</w:t>
      </w:r>
    </w:p>
    <w:p w:rsidR="00BF2117" w:rsidRPr="00412620" w:rsidRDefault="00BF2117">
      <w:pPr>
        <w:pStyle w:val="C"/>
        <w:keepNext/>
        <w:widowControl/>
        <w:spacing w:before="0" w:after="0"/>
        <w:rPr>
          <w:rFonts w:ascii="Arial" w:hAnsi="Arial"/>
          <w:sz w:val="16"/>
          <w:lang w:val="en-AU"/>
        </w:rPr>
      </w:pPr>
      <w:r w:rsidRPr="00412620">
        <w:rPr>
          <w:rFonts w:ascii="Arial" w:hAnsi="Arial"/>
          <w:sz w:val="16"/>
          <w:lang w:val="en-AU"/>
        </w:rPr>
        <w:t>(A/B) x C</w:t>
      </w:r>
    </w:p>
    <w:p w:rsidR="00BF2117" w:rsidRPr="00412620" w:rsidRDefault="00BF2117">
      <w:pPr>
        <w:keepNext/>
        <w:ind w:left="180"/>
        <w:jc w:val="both"/>
        <w:rPr>
          <w:rFonts w:cs="Arial"/>
          <w:sz w:val="16"/>
        </w:rPr>
      </w:pPr>
      <w:r w:rsidRPr="00412620">
        <w:rPr>
          <w:rFonts w:cs="Arial"/>
          <w:sz w:val="16"/>
        </w:rPr>
        <w:t>where –</w:t>
      </w:r>
    </w:p>
    <w:p w:rsidR="00BF2117" w:rsidRPr="00412620" w:rsidRDefault="00BF2117" w:rsidP="000E0316">
      <w:pPr>
        <w:keepNext/>
        <w:ind w:left="450" w:hanging="270"/>
        <w:jc w:val="both"/>
        <w:rPr>
          <w:sz w:val="16"/>
        </w:rPr>
      </w:pPr>
      <w:r w:rsidRPr="00412620">
        <w:rPr>
          <w:rFonts w:cs="Arial"/>
          <w:b/>
          <w:sz w:val="16"/>
        </w:rPr>
        <w:t xml:space="preserve">A   </w:t>
      </w:r>
      <w:r w:rsidRPr="00412620">
        <w:rPr>
          <w:sz w:val="16"/>
        </w:rPr>
        <w:t>is the amount of tax assessed to the person for the tax year before allowance of any tax credit  under this Part;</w:t>
      </w:r>
    </w:p>
    <w:p w:rsidR="00BF2117" w:rsidRPr="00412620" w:rsidRDefault="00BF2117">
      <w:pPr>
        <w:keepNext/>
        <w:ind w:firstLine="180"/>
        <w:jc w:val="both"/>
        <w:rPr>
          <w:sz w:val="16"/>
        </w:rPr>
      </w:pPr>
      <w:r w:rsidRPr="00412620">
        <w:rPr>
          <w:rFonts w:cs="Arial"/>
          <w:b/>
          <w:sz w:val="16"/>
        </w:rPr>
        <w:t xml:space="preserve">B   </w:t>
      </w:r>
      <w:r w:rsidRPr="00412620">
        <w:rPr>
          <w:sz w:val="16"/>
        </w:rPr>
        <w:t xml:space="preserve">is the person’s taxable income for the tax year; and </w:t>
      </w:r>
    </w:p>
    <w:p w:rsidR="00BF2117" w:rsidRPr="00412620" w:rsidRDefault="00BF2117">
      <w:pPr>
        <w:keepNext/>
        <w:ind w:firstLine="180"/>
        <w:jc w:val="both"/>
        <w:rPr>
          <w:sz w:val="16"/>
        </w:rPr>
      </w:pPr>
      <w:r w:rsidRPr="00412620">
        <w:rPr>
          <w:rFonts w:cs="Arial"/>
          <w:b/>
          <w:sz w:val="16"/>
        </w:rPr>
        <w:t xml:space="preserve">C   </w:t>
      </w:r>
      <w:r w:rsidRPr="00412620">
        <w:rPr>
          <w:sz w:val="16"/>
        </w:rPr>
        <w:t>is the lesser of –</w:t>
      </w:r>
    </w:p>
    <w:p w:rsidR="00BF2117" w:rsidRPr="00412620" w:rsidRDefault="00BF2117">
      <w:pPr>
        <w:keepNext/>
        <w:ind w:left="1634" w:hanging="540"/>
        <w:jc w:val="both"/>
        <w:rPr>
          <w:rFonts w:cs="Arial"/>
          <w:sz w:val="16"/>
        </w:rPr>
      </w:pPr>
      <w:r w:rsidRPr="00412620">
        <w:rPr>
          <w:rFonts w:cs="Arial"/>
          <w:sz w:val="16"/>
        </w:rPr>
        <w:t>(a)</w:t>
      </w:r>
      <w:r w:rsidRPr="00412620">
        <w:rPr>
          <w:rFonts w:cs="Arial"/>
          <w:sz w:val="16"/>
        </w:rPr>
        <w:tab/>
        <w:t>the total contribution or premium referred to in sub-section (1) paid by the individual in the year;</w:t>
      </w:r>
    </w:p>
    <w:p w:rsidR="00BF2117" w:rsidRPr="00412620" w:rsidRDefault="00BF2117">
      <w:pPr>
        <w:keepNext/>
        <w:ind w:left="547" w:firstLine="547"/>
        <w:jc w:val="both"/>
        <w:rPr>
          <w:rFonts w:cs="Arial"/>
          <w:sz w:val="16"/>
        </w:rPr>
      </w:pPr>
      <w:r w:rsidRPr="00412620">
        <w:rPr>
          <w:rFonts w:cs="Arial"/>
          <w:sz w:val="16"/>
        </w:rPr>
        <w:t>(b)</w:t>
      </w:r>
      <w:r w:rsidRPr="00412620">
        <w:rPr>
          <w:rFonts w:cs="Arial"/>
          <w:sz w:val="16"/>
        </w:rPr>
        <w:tab/>
        <w:t xml:space="preserve">ten </w:t>
      </w:r>
      <w:r>
        <w:rPr>
          <w:rFonts w:cs="Arial"/>
          <w:sz w:val="16"/>
        </w:rPr>
        <w:t>per cent</w:t>
      </w:r>
      <w:r w:rsidRPr="00412620">
        <w:rPr>
          <w:rFonts w:cs="Arial"/>
          <w:sz w:val="16"/>
        </w:rPr>
        <w:t xml:space="preserve"> of the person’s taxable income for the tax year; or</w:t>
      </w:r>
    </w:p>
    <w:p w:rsidR="00BF2117" w:rsidRPr="00412620" w:rsidRDefault="00BF2117">
      <w:pPr>
        <w:keepNext/>
        <w:ind w:left="547" w:firstLine="547"/>
        <w:jc w:val="both"/>
        <w:rPr>
          <w:rFonts w:cs="Arial"/>
          <w:sz w:val="16"/>
        </w:rPr>
      </w:pPr>
      <w:r w:rsidRPr="00412620">
        <w:rPr>
          <w:rFonts w:cs="Arial"/>
          <w:sz w:val="16"/>
        </w:rPr>
        <w:t>(c)</w:t>
      </w:r>
      <w:r w:rsidRPr="00412620">
        <w:rPr>
          <w:rFonts w:cs="Arial"/>
          <w:sz w:val="16"/>
        </w:rPr>
        <w:tab/>
        <w:t>two hundred thousand rupees.</w:t>
      </w:r>
    </w:p>
    <w:p w:rsidR="00BF2117" w:rsidRPr="00412620" w:rsidRDefault="00BF2117">
      <w:pPr>
        <w:keepNext/>
        <w:ind w:left="180" w:firstLine="360"/>
        <w:jc w:val="both"/>
        <w:rPr>
          <w:rFonts w:cs="Arial"/>
          <w:sz w:val="16"/>
        </w:rPr>
      </w:pPr>
      <w:r w:rsidRPr="00412620">
        <w:rPr>
          <w:rFonts w:cs="Arial"/>
          <w:sz w:val="16"/>
        </w:rPr>
        <w:t>(3)</w:t>
      </w:r>
      <w:r w:rsidRPr="00412620">
        <w:rPr>
          <w:rFonts w:cs="Arial"/>
          <w:sz w:val="16"/>
        </w:rPr>
        <w:tab/>
        <w:t>A person shall not be entitled to a tax credit under sub-section (1) in respect of a contract of annuity which provides –</w:t>
      </w:r>
    </w:p>
    <w:p w:rsidR="00BF2117" w:rsidRPr="00412620" w:rsidRDefault="00BF2117" w:rsidP="000E0316">
      <w:pPr>
        <w:keepNext/>
        <w:ind w:left="1620" w:hanging="540"/>
        <w:jc w:val="both"/>
        <w:rPr>
          <w:rFonts w:cs="Arial"/>
          <w:sz w:val="16"/>
        </w:rPr>
      </w:pPr>
      <w:r w:rsidRPr="00412620">
        <w:rPr>
          <w:rFonts w:cs="Arial"/>
          <w:sz w:val="16"/>
        </w:rPr>
        <w:t>(a)</w:t>
      </w:r>
      <w:r w:rsidRPr="00412620">
        <w:rPr>
          <w:rFonts w:cs="Arial"/>
          <w:sz w:val="16"/>
        </w:rPr>
        <w:tab/>
        <w:t>for the payment during the life of the person of any amount besides an annuity;</w:t>
      </w:r>
    </w:p>
    <w:p w:rsidR="00BF2117" w:rsidRPr="00412620" w:rsidRDefault="00BF2117">
      <w:pPr>
        <w:keepNext/>
        <w:ind w:left="1635" w:hanging="555"/>
        <w:jc w:val="both"/>
        <w:rPr>
          <w:rFonts w:cs="Arial"/>
          <w:sz w:val="16"/>
        </w:rPr>
      </w:pPr>
      <w:r w:rsidRPr="00412620">
        <w:rPr>
          <w:rFonts w:cs="Arial"/>
          <w:sz w:val="16"/>
        </w:rPr>
        <w:t>(b)</w:t>
      </w:r>
      <w:r w:rsidRPr="00412620">
        <w:rPr>
          <w:rFonts w:cs="Arial"/>
          <w:sz w:val="16"/>
        </w:rPr>
        <w:tab/>
        <w:t xml:space="preserve">for the annuity payable to the person to commence before the person attains the age of sixty years; </w:t>
      </w:r>
    </w:p>
    <w:p w:rsidR="00BF2117" w:rsidRPr="00412620" w:rsidRDefault="00BF2117" w:rsidP="005333AD">
      <w:pPr>
        <w:keepNext/>
        <w:ind w:left="1620" w:hanging="540"/>
        <w:jc w:val="both"/>
      </w:pPr>
      <w:r w:rsidRPr="00412620">
        <w:rPr>
          <w:sz w:val="18"/>
        </w:rPr>
        <w:t>(c)</w:t>
      </w:r>
      <w:r w:rsidRPr="00412620">
        <w:rPr>
          <w:sz w:val="18"/>
        </w:rPr>
        <w:tab/>
        <w:t>that the annuity is capable, in whole or part, of surrender, commutation, or assignment; or for payment of the annuity outside Pakistan.”</w:t>
      </w:r>
    </w:p>
  </w:footnote>
  <w:footnote w:id="399">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Inserted by the Finance Act, 2006.</w:t>
      </w:r>
    </w:p>
  </w:footnote>
  <w:footnote w:id="400">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The words “a person” substituted by the Finance Act, 2006.</w:t>
      </w:r>
    </w:p>
  </w:footnote>
  <w:footnote w:id="401">
    <w:p w:rsidR="00BF2117" w:rsidRPr="00412620" w:rsidRDefault="00BF2117" w:rsidP="000E0316">
      <w:pPr>
        <w:pStyle w:val="FootnoteText"/>
        <w:ind w:left="270" w:hanging="270"/>
        <w:rPr>
          <w:sz w:val="16"/>
          <w:szCs w:val="16"/>
          <w:lang w:val="en-US"/>
        </w:rPr>
      </w:pPr>
      <w:r w:rsidRPr="00412620">
        <w:rPr>
          <w:rStyle w:val="FootnoteReference"/>
          <w:sz w:val="16"/>
          <w:szCs w:val="16"/>
        </w:rPr>
        <w:footnoteRef/>
      </w:r>
      <w:r w:rsidRPr="00412620">
        <w:rPr>
          <w:sz w:val="16"/>
          <w:szCs w:val="16"/>
        </w:rPr>
        <w:t xml:space="preserve"> The words, figure and commas “</w:t>
      </w:r>
      <w:r w:rsidRPr="00412620">
        <w:rPr>
          <w:rFonts w:cs="Arial"/>
          <w:bCs/>
          <w:sz w:val="16"/>
          <w:szCs w:val="16"/>
        </w:rPr>
        <w:t>of the notification of the Voluntary Pension System Rules, 2005,” substituted by the Finance Act, 2006.</w:t>
      </w:r>
    </w:p>
  </w:footnote>
  <w:footnote w:id="402">
    <w:p w:rsidR="00BF2117" w:rsidRPr="00412620" w:rsidRDefault="00BF2117">
      <w:pPr>
        <w:pStyle w:val="FootnoteText"/>
        <w:rPr>
          <w:sz w:val="16"/>
          <w:szCs w:val="16"/>
          <w:lang w:val="en-US"/>
        </w:rPr>
      </w:pPr>
      <w:r w:rsidRPr="00412620">
        <w:rPr>
          <w:rStyle w:val="FootnoteReference"/>
        </w:rPr>
        <w:footnoteRef/>
      </w:r>
      <w:r w:rsidRPr="00412620">
        <w:rPr>
          <w:sz w:val="16"/>
          <w:szCs w:val="16"/>
        </w:rPr>
        <w:t>The semi-colon and the word “or” substituted by the Finance Act, 2011.</w:t>
      </w:r>
    </w:p>
  </w:footnote>
  <w:footnote w:id="403">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Full stop substituted by the Finance Act, 2016.</w:t>
      </w:r>
    </w:p>
  </w:footnote>
  <w:footnote w:id="404">
    <w:p w:rsidR="00BF2117" w:rsidRPr="008005BA" w:rsidRDefault="00BF2117">
      <w:pPr>
        <w:pStyle w:val="FootnoteText"/>
        <w:rPr>
          <w:color w:val="FF0000"/>
          <w:sz w:val="16"/>
          <w:szCs w:val="16"/>
          <w:lang w:val="en-US"/>
        </w:rPr>
      </w:pPr>
      <w:r w:rsidRPr="00B455DC">
        <w:rPr>
          <w:rStyle w:val="FootnoteReference"/>
          <w:color w:val="0070C0"/>
          <w:sz w:val="16"/>
          <w:szCs w:val="16"/>
        </w:rPr>
        <w:footnoteRef/>
      </w:r>
      <w:r w:rsidRPr="00B455DC">
        <w:rPr>
          <w:color w:val="0070C0"/>
          <w:sz w:val="16"/>
          <w:szCs w:val="16"/>
        </w:rPr>
        <w:t xml:space="preserve"> Inserted by the Finance Act, 2016.</w:t>
      </w:r>
    </w:p>
  </w:footnote>
  <w:footnote w:id="405">
    <w:p w:rsidR="00BF2117" w:rsidRPr="00412620" w:rsidRDefault="00BF2117">
      <w:pPr>
        <w:pStyle w:val="FootnoteText"/>
        <w:rPr>
          <w:sz w:val="16"/>
          <w:szCs w:val="16"/>
        </w:rPr>
      </w:pPr>
      <w:r w:rsidRPr="00412620">
        <w:rPr>
          <w:rStyle w:val="FootnoteReference"/>
        </w:rPr>
        <w:footnoteRef/>
      </w:r>
      <w:r w:rsidRPr="00412620">
        <w:rPr>
          <w:sz w:val="16"/>
          <w:szCs w:val="16"/>
        </w:rPr>
        <w:t>Clause (iii) omitted by the Finance Act, 2011. The omitted clause (iii) read as follows:</w:t>
      </w:r>
    </w:p>
    <w:p w:rsidR="00BF2117" w:rsidRPr="00412620" w:rsidRDefault="00BF2117">
      <w:pPr>
        <w:pStyle w:val="FootnoteText"/>
        <w:rPr>
          <w:lang w:val="en-US"/>
        </w:rPr>
      </w:pPr>
      <w:r w:rsidRPr="00412620">
        <w:rPr>
          <w:sz w:val="16"/>
          <w:szCs w:val="16"/>
        </w:rPr>
        <w:tab/>
        <w:t>“(iii)</w:t>
      </w:r>
      <w:r w:rsidRPr="00412620">
        <w:rPr>
          <w:sz w:val="16"/>
          <w:szCs w:val="16"/>
        </w:rPr>
        <w:tab/>
        <w:t>five hundred thousand rupees.”</w:t>
      </w:r>
    </w:p>
  </w:footnote>
  <w:footnote w:id="406">
    <w:p w:rsidR="00BF2117" w:rsidRDefault="00BF2117">
      <w:pPr>
        <w:pStyle w:val="FootnoteText"/>
        <w:rPr>
          <w:sz w:val="16"/>
          <w:szCs w:val="16"/>
        </w:rPr>
      </w:pPr>
      <w:r w:rsidRPr="00412620">
        <w:rPr>
          <w:rStyle w:val="FootnoteReference"/>
          <w:sz w:val="16"/>
          <w:szCs w:val="16"/>
        </w:rPr>
        <w:footnoteRef/>
      </w:r>
      <w:r w:rsidRPr="00412620">
        <w:rPr>
          <w:sz w:val="16"/>
          <w:szCs w:val="16"/>
        </w:rPr>
        <w:t xml:space="preserve"> Added by the Finance Act, 2006.</w:t>
      </w:r>
    </w:p>
    <w:p w:rsidR="00BF2117" w:rsidRPr="00412620" w:rsidRDefault="00BF2117">
      <w:pPr>
        <w:pStyle w:val="FootnoteText"/>
        <w:rPr>
          <w:sz w:val="16"/>
          <w:szCs w:val="16"/>
          <w:lang w:val="en-US"/>
        </w:rPr>
      </w:pPr>
    </w:p>
  </w:footnote>
  <w:footnote w:id="407">
    <w:p w:rsidR="00BF2117" w:rsidRDefault="00BF2117">
      <w:pPr>
        <w:pStyle w:val="FootnoteText"/>
        <w:rPr>
          <w:sz w:val="16"/>
          <w:szCs w:val="16"/>
        </w:rPr>
      </w:pPr>
      <w:r w:rsidRPr="0075086A">
        <w:rPr>
          <w:rStyle w:val="FootnoteReference"/>
          <w:sz w:val="16"/>
          <w:szCs w:val="16"/>
        </w:rPr>
        <w:footnoteRef/>
      </w:r>
      <w:r w:rsidRPr="0075086A">
        <w:rPr>
          <w:sz w:val="16"/>
          <w:szCs w:val="16"/>
        </w:rPr>
        <w:t xml:space="preserve"> Section 64 omitted by the Finance Act, 2015. Omitted section read as follows:- </w:t>
      </w:r>
    </w:p>
    <w:p w:rsidR="00BF2117" w:rsidRPr="0075086A" w:rsidRDefault="00BF2117" w:rsidP="0075086A">
      <w:pPr>
        <w:jc w:val="both"/>
        <w:rPr>
          <w:b/>
          <w:sz w:val="16"/>
          <w:szCs w:val="16"/>
        </w:rPr>
      </w:pPr>
      <w:r>
        <w:rPr>
          <w:rFonts w:cs="Arial"/>
          <w:b/>
          <w:sz w:val="16"/>
          <w:szCs w:val="16"/>
        </w:rPr>
        <w:t>“</w:t>
      </w:r>
      <w:r w:rsidRPr="0075086A">
        <w:rPr>
          <w:rFonts w:cs="Arial"/>
          <w:b/>
          <w:sz w:val="16"/>
          <w:szCs w:val="16"/>
        </w:rPr>
        <w:t>64.</w:t>
      </w:r>
      <w:r w:rsidRPr="0075086A">
        <w:rPr>
          <w:rFonts w:cs="Arial"/>
          <w:b/>
          <w:sz w:val="16"/>
          <w:szCs w:val="16"/>
        </w:rPr>
        <w:tab/>
        <w:t>Profit on debt.—</w:t>
      </w:r>
      <w:r w:rsidRPr="0075086A">
        <w:rPr>
          <w:rStyle w:val="FootnoteReference"/>
          <w:sz w:val="16"/>
          <w:szCs w:val="16"/>
        </w:rPr>
        <w:footnoteRef/>
      </w:r>
      <w:r w:rsidRPr="0075086A">
        <w:rPr>
          <w:sz w:val="16"/>
          <w:szCs w:val="16"/>
        </w:rPr>
        <w:t>[(1) A person shall be entitled to a tax credit for a tax year in respect of any profit or share in rent and share in appreciation for value of house paid by the person in the year on a loan by a scheduled bank or non-banking finance institution regulated by the Securities and Exchange Commission of Pakistan or advanced by Government or the</w:t>
      </w:r>
      <w:r w:rsidRPr="0075086A">
        <w:rPr>
          <w:rStyle w:val="FootnoteReference"/>
          <w:sz w:val="16"/>
          <w:szCs w:val="16"/>
        </w:rPr>
        <w:footnoteRef/>
      </w:r>
      <w:r w:rsidRPr="0075086A">
        <w:rPr>
          <w:sz w:val="16"/>
          <w:szCs w:val="16"/>
        </w:rPr>
        <w:t xml:space="preserve">[Local Government] </w:t>
      </w:r>
      <w:r w:rsidRPr="0075086A">
        <w:rPr>
          <w:rStyle w:val="FootnoteReference"/>
          <w:sz w:val="16"/>
          <w:szCs w:val="16"/>
        </w:rPr>
        <w:footnoteRef/>
      </w:r>
      <w:r w:rsidRPr="0075086A">
        <w:rPr>
          <w:sz w:val="16"/>
          <w:szCs w:val="16"/>
        </w:rPr>
        <w:t xml:space="preserve">[or a statutory body or a public company listed on a registered stock exchange in Pakistan] where the person utilizes the loan for the construction of a new house or the acquisition of a house.] </w:t>
      </w:r>
    </w:p>
    <w:p w:rsidR="00BF2117" w:rsidRPr="0075086A" w:rsidRDefault="00BF2117" w:rsidP="0075086A">
      <w:pPr>
        <w:jc w:val="both"/>
        <w:rPr>
          <w:rFonts w:cs="Arial"/>
          <w:b/>
          <w:sz w:val="16"/>
          <w:szCs w:val="16"/>
        </w:rPr>
      </w:pPr>
    </w:p>
    <w:p w:rsidR="00BF2117" w:rsidRPr="0075086A" w:rsidRDefault="00BF2117" w:rsidP="0075086A">
      <w:pPr>
        <w:jc w:val="both"/>
        <w:rPr>
          <w:rFonts w:cs="Arial"/>
          <w:sz w:val="16"/>
          <w:szCs w:val="16"/>
        </w:rPr>
      </w:pPr>
      <w:r w:rsidRPr="0075086A">
        <w:rPr>
          <w:rFonts w:cs="Arial"/>
          <w:sz w:val="16"/>
          <w:szCs w:val="16"/>
        </w:rPr>
        <w:tab/>
        <w:t>(2)</w:t>
      </w:r>
      <w:r w:rsidRPr="0075086A">
        <w:rPr>
          <w:rFonts w:cs="Arial"/>
          <w:sz w:val="16"/>
          <w:szCs w:val="16"/>
        </w:rPr>
        <w:tab/>
        <w:t>The amount of a person’s tax credit allowed under sub-section (1) for a tax year shall be computed according to the following formula, namely:</w:t>
      </w:r>
      <w:r w:rsidRPr="0075086A">
        <w:rPr>
          <w:rFonts w:cs="Arial"/>
          <w:b/>
          <w:sz w:val="16"/>
          <w:szCs w:val="16"/>
        </w:rPr>
        <w:t>—</w:t>
      </w:r>
    </w:p>
    <w:p w:rsidR="00BF2117" w:rsidRPr="0075086A" w:rsidRDefault="00BF2117" w:rsidP="0075086A">
      <w:pPr>
        <w:rPr>
          <w:rFonts w:cs="Arial"/>
          <w:sz w:val="16"/>
          <w:szCs w:val="16"/>
        </w:rPr>
      </w:pPr>
    </w:p>
    <w:p w:rsidR="00BF2117" w:rsidRPr="0075086A" w:rsidRDefault="00BF2117" w:rsidP="0075086A">
      <w:pPr>
        <w:pStyle w:val="C"/>
        <w:keepNext/>
        <w:widowControl/>
        <w:spacing w:before="0" w:after="0"/>
        <w:rPr>
          <w:rFonts w:ascii="Arial" w:hAnsi="Arial"/>
          <w:b w:val="0"/>
          <w:sz w:val="16"/>
          <w:szCs w:val="16"/>
          <w:lang w:val="en-AU"/>
        </w:rPr>
      </w:pPr>
      <w:r w:rsidRPr="0075086A">
        <w:rPr>
          <w:rFonts w:ascii="Arial" w:hAnsi="Arial"/>
          <w:sz w:val="16"/>
          <w:szCs w:val="16"/>
          <w:lang w:val="en-AU"/>
        </w:rPr>
        <w:t>(A/B) x C</w:t>
      </w:r>
    </w:p>
    <w:p w:rsidR="00BF2117" w:rsidRPr="0075086A" w:rsidRDefault="00BF2117" w:rsidP="0075086A">
      <w:pPr>
        <w:jc w:val="both"/>
        <w:rPr>
          <w:rFonts w:cs="Arial"/>
          <w:sz w:val="16"/>
          <w:szCs w:val="16"/>
        </w:rPr>
      </w:pPr>
      <w:r w:rsidRPr="0075086A">
        <w:rPr>
          <w:rFonts w:cs="Arial"/>
          <w:sz w:val="16"/>
          <w:szCs w:val="16"/>
        </w:rPr>
        <w:t xml:space="preserve">where </w:t>
      </w:r>
      <w:r w:rsidRPr="0075086A">
        <w:rPr>
          <w:rFonts w:cs="Arial"/>
          <w:b/>
          <w:sz w:val="16"/>
          <w:szCs w:val="16"/>
        </w:rPr>
        <w:t>—</w:t>
      </w:r>
    </w:p>
    <w:p w:rsidR="00BF2117" w:rsidRPr="0075086A" w:rsidRDefault="00BF2117" w:rsidP="0075086A">
      <w:pPr>
        <w:jc w:val="both"/>
        <w:rPr>
          <w:rFonts w:cs="Arial"/>
          <w:sz w:val="16"/>
          <w:szCs w:val="16"/>
        </w:rPr>
      </w:pPr>
    </w:p>
    <w:p w:rsidR="00BF2117" w:rsidRPr="0075086A" w:rsidRDefault="00BF2117" w:rsidP="00D837B6">
      <w:pPr>
        <w:ind w:left="540" w:hanging="540"/>
        <w:jc w:val="both"/>
        <w:rPr>
          <w:rFonts w:cs="Arial"/>
          <w:b/>
          <w:sz w:val="16"/>
          <w:szCs w:val="16"/>
        </w:rPr>
      </w:pPr>
      <w:r w:rsidRPr="0075086A">
        <w:rPr>
          <w:rFonts w:cs="Arial"/>
          <w:b/>
          <w:sz w:val="16"/>
          <w:szCs w:val="16"/>
        </w:rPr>
        <w:t>A</w:t>
      </w:r>
      <w:r w:rsidRPr="0075086A">
        <w:rPr>
          <w:rFonts w:cs="Arial"/>
          <w:b/>
          <w:caps/>
          <w:sz w:val="16"/>
          <w:szCs w:val="16"/>
        </w:rPr>
        <w:tab/>
      </w:r>
      <w:r w:rsidRPr="0075086A">
        <w:rPr>
          <w:sz w:val="16"/>
          <w:szCs w:val="16"/>
        </w:rPr>
        <w:t>is the amount of tax assessed to the person for the tax year before allowance of any tax credit under this Part;</w:t>
      </w:r>
    </w:p>
    <w:p w:rsidR="00BF2117" w:rsidRPr="0075086A" w:rsidRDefault="00BF2117" w:rsidP="0075086A">
      <w:pPr>
        <w:ind w:left="540" w:hanging="540"/>
        <w:jc w:val="both"/>
        <w:rPr>
          <w:sz w:val="16"/>
          <w:szCs w:val="16"/>
        </w:rPr>
      </w:pPr>
      <w:r w:rsidRPr="0075086A">
        <w:rPr>
          <w:rFonts w:cs="Arial"/>
          <w:b/>
          <w:sz w:val="16"/>
          <w:szCs w:val="16"/>
        </w:rPr>
        <w:t>B</w:t>
      </w:r>
      <w:r w:rsidRPr="0075086A">
        <w:rPr>
          <w:sz w:val="16"/>
          <w:szCs w:val="16"/>
        </w:rPr>
        <w:tab/>
        <w:t xml:space="preserve">is the person’s taxable income for the tax year; and </w:t>
      </w:r>
    </w:p>
    <w:p w:rsidR="00BF2117" w:rsidRPr="0075086A" w:rsidRDefault="00BF2117" w:rsidP="0075086A">
      <w:pPr>
        <w:ind w:left="540" w:hanging="540"/>
        <w:jc w:val="both"/>
        <w:rPr>
          <w:sz w:val="16"/>
          <w:szCs w:val="16"/>
        </w:rPr>
      </w:pPr>
      <w:r w:rsidRPr="0075086A">
        <w:rPr>
          <w:rFonts w:cs="Arial"/>
          <w:b/>
          <w:sz w:val="16"/>
          <w:szCs w:val="16"/>
        </w:rPr>
        <w:t>C</w:t>
      </w:r>
      <w:r w:rsidRPr="0075086A">
        <w:rPr>
          <w:sz w:val="16"/>
          <w:szCs w:val="16"/>
        </w:rPr>
        <w:tab/>
        <w:t xml:space="preserve">is the lesser of </w:t>
      </w:r>
      <w:r w:rsidRPr="0075086A">
        <w:rPr>
          <w:rFonts w:cs="Arial"/>
          <w:b/>
          <w:sz w:val="16"/>
          <w:szCs w:val="16"/>
        </w:rPr>
        <w:t>—</w:t>
      </w:r>
    </w:p>
    <w:p w:rsidR="00BF2117" w:rsidRPr="0075086A" w:rsidRDefault="00BF2117" w:rsidP="0075086A">
      <w:pPr>
        <w:ind w:left="1635" w:hanging="555"/>
        <w:jc w:val="both"/>
        <w:rPr>
          <w:rFonts w:cs="Arial"/>
          <w:sz w:val="16"/>
          <w:szCs w:val="16"/>
        </w:rPr>
      </w:pPr>
      <w:r w:rsidRPr="0075086A">
        <w:rPr>
          <w:rFonts w:cs="Arial"/>
          <w:sz w:val="16"/>
          <w:szCs w:val="16"/>
        </w:rPr>
        <w:t>(a)</w:t>
      </w:r>
      <w:r w:rsidRPr="0075086A">
        <w:rPr>
          <w:rFonts w:cs="Arial"/>
          <w:sz w:val="16"/>
          <w:szCs w:val="16"/>
        </w:rPr>
        <w:tab/>
        <w:t>the total profit referred to in sub-section (1) paid by the person in the year;</w:t>
      </w:r>
    </w:p>
    <w:p w:rsidR="00BF2117" w:rsidRPr="0075086A" w:rsidRDefault="00BF2117" w:rsidP="0075086A">
      <w:pPr>
        <w:ind w:left="1635" w:hanging="555"/>
        <w:jc w:val="both"/>
        <w:rPr>
          <w:rFonts w:cs="Arial"/>
          <w:sz w:val="16"/>
          <w:szCs w:val="16"/>
        </w:rPr>
      </w:pPr>
      <w:r w:rsidRPr="0075086A">
        <w:rPr>
          <w:rFonts w:cs="Arial"/>
          <w:sz w:val="16"/>
          <w:szCs w:val="16"/>
        </w:rPr>
        <w:t>(b)</w:t>
      </w:r>
      <w:r w:rsidRPr="0075086A">
        <w:rPr>
          <w:rFonts w:cs="Arial"/>
          <w:sz w:val="16"/>
          <w:szCs w:val="16"/>
        </w:rPr>
        <w:tab/>
      </w:r>
      <w:r w:rsidRPr="0075086A">
        <w:rPr>
          <w:rStyle w:val="FootnoteReference"/>
          <w:rFonts w:cs="Arial"/>
          <w:sz w:val="16"/>
          <w:szCs w:val="16"/>
        </w:rPr>
        <w:footnoteRef/>
      </w:r>
      <w:r w:rsidRPr="0075086A">
        <w:rPr>
          <w:rFonts w:cs="Arial"/>
          <w:sz w:val="16"/>
          <w:szCs w:val="16"/>
        </w:rPr>
        <w:t xml:space="preserve">[fifty] per cent of the person’s </w:t>
      </w:r>
      <w:r w:rsidRPr="0075086A">
        <w:rPr>
          <w:rStyle w:val="FootnoteReference"/>
          <w:rFonts w:cs="Arial"/>
          <w:sz w:val="16"/>
          <w:szCs w:val="16"/>
        </w:rPr>
        <w:footnoteRef/>
      </w:r>
      <w:r w:rsidRPr="0075086A">
        <w:rPr>
          <w:rFonts w:cs="Arial"/>
          <w:sz w:val="16"/>
          <w:szCs w:val="16"/>
        </w:rPr>
        <w:t>[taxable] income for the year; or</w:t>
      </w:r>
    </w:p>
    <w:p w:rsidR="00BF2117" w:rsidRPr="0075086A" w:rsidRDefault="00BF2117" w:rsidP="0075086A">
      <w:pPr>
        <w:ind w:left="1080"/>
        <w:jc w:val="both"/>
        <w:rPr>
          <w:rFonts w:cs="Arial"/>
          <w:sz w:val="16"/>
          <w:szCs w:val="16"/>
        </w:rPr>
      </w:pPr>
      <w:r w:rsidRPr="0075086A">
        <w:rPr>
          <w:rFonts w:cs="Arial"/>
          <w:sz w:val="16"/>
          <w:szCs w:val="16"/>
        </w:rPr>
        <w:t>(c)</w:t>
      </w:r>
      <w:r w:rsidRPr="0075086A">
        <w:rPr>
          <w:rFonts w:cs="Arial"/>
          <w:sz w:val="16"/>
          <w:szCs w:val="16"/>
        </w:rPr>
        <w:tab/>
      </w:r>
      <w:r w:rsidRPr="0075086A">
        <w:rPr>
          <w:rStyle w:val="FootnoteReference"/>
          <w:rFonts w:cs="Arial"/>
          <w:sz w:val="16"/>
          <w:szCs w:val="16"/>
        </w:rPr>
        <w:footnoteRef/>
      </w:r>
      <w:r w:rsidRPr="0075086A">
        <w:rPr>
          <w:rFonts w:cs="Arial"/>
          <w:sz w:val="16"/>
          <w:szCs w:val="16"/>
        </w:rPr>
        <w:t>[seven hundred and fifty] thousand rupees.</w:t>
      </w:r>
    </w:p>
    <w:p w:rsidR="00BF2117" w:rsidRPr="0075086A" w:rsidRDefault="00BF2117" w:rsidP="00D837B6">
      <w:pPr>
        <w:jc w:val="both"/>
        <w:rPr>
          <w:sz w:val="16"/>
          <w:szCs w:val="16"/>
          <w:lang w:val="en-US"/>
        </w:rPr>
      </w:pPr>
      <w:r w:rsidRPr="0075086A">
        <w:rPr>
          <w:rFonts w:cs="Arial"/>
          <w:sz w:val="16"/>
          <w:szCs w:val="16"/>
        </w:rPr>
        <w:tab/>
        <w:t>(3)</w:t>
      </w:r>
      <w:r w:rsidRPr="0075086A">
        <w:rPr>
          <w:rFonts w:cs="Arial"/>
          <w:sz w:val="16"/>
          <w:szCs w:val="16"/>
        </w:rPr>
        <w:tab/>
        <w:t xml:space="preserve">A person is not entitled to </w:t>
      </w:r>
      <w:r w:rsidRPr="0075086A">
        <w:rPr>
          <w:rStyle w:val="FootnoteReference"/>
          <w:rFonts w:cs="Arial"/>
          <w:sz w:val="16"/>
          <w:szCs w:val="16"/>
        </w:rPr>
        <w:footnoteRef/>
      </w:r>
      <w:r w:rsidRPr="0075086A">
        <w:rPr>
          <w:rFonts w:cs="Arial"/>
          <w:sz w:val="16"/>
          <w:szCs w:val="16"/>
        </w:rPr>
        <w:t>[tax credit]under this section for any profit deductible under section 17.</w:t>
      </w:r>
      <w:r>
        <w:rPr>
          <w:rFonts w:cs="Arial"/>
          <w:sz w:val="16"/>
          <w:szCs w:val="16"/>
        </w:rPr>
        <w:t>”</w:t>
      </w:r>
    </w:p>
  </w:footnote>
  <w:footnote w:id="408">
    <w:p w:rsidR="00BF2117" w:rsidRPr="00233970" w:rsidRDefault="00BF2117">
      <w:pPr>
        <w:pStyle w:val="FootnoteText"/>
        <w:rPr>
          <w:lang w:val="en-US"/>
        </w:rPr>
      </w:pPr>
      <w:r w:rsidRPr="00233970">
        <w:rPr>
          <w:rStyle w:val="FootnoteReference"/>
          <w:sz w:val="16"/>
          <w:szCs w:val="16"/>
        </w:rPr>
        <w:footnoteRef/>
      </w:r>
      <w:r w:rsidRPr="00412620">
        <w:rPr>
          <w:sz w:val="16"/>
          <w:szCs w:val="16"/>
        </w:rPr>
        <w:t>Inserted by the Finance Act, 20</w:t>
      </w:r>
      <w:r>
        <w:rPr>
          <w:sz w:val="16"/>
          <w:szCs w:val="16"/>
        </w:rPr>
        <w:t>15.</w:t>
      </w:r>
    </w:p>
  </w:footnote>
  <w:footnote w:id="409">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The word “one” substituted by the Finance Act, 2016.</w:t>
      </w:r>
    </w:p>
  </w:footnote>
  <w:footnote w:id="410">
    <w:p w:rsidR="00BF2117" w:rsidRPr="00EA02D5" w:rsidRDefault="00BF2117">
      <w:pPr>
        <w:pStyle w:val="FootnoteText"/>
        <w:rPr>
          <w:color w:val="FF0066"/>
          <w:sz w:val="16"/>
          <w:szCs w:val="16"/>
          <w:lang w:val="en-US"/>
        </w:rPr>
      </w:pPr>
      <w:r w:rsidRPr="00B455DC">
        <w:rPr>
          <w:rStyle w:val="FootnoteReference"/>
          <w:color w:val="0070C0"/>
          <w:sz w:val="16"/>
          <w:szCs w:val="16"/>
        </w:rPr>
        <w:footnoteRef/>
      </w:r>
      <w:r w:rsidRPr="00B455DC">
        <w:rPr>
          <w:color w:val="0070C0"/>
          <w:sz w:val="16"/>
          <w:szCs w:val="16"/>
        </w:rPr>
        <w:t xml:space="preserve"> Inserted by the Finance Act, 2016.</w:t>
      </w:r>
    </w:p>
  </w:footnote>
  <w:footnote w:id="411">
    <w:p w:rsidR="00BF2117" w:rsidRPr="00A70078" w:rsidRDefault="00BF2117">
      <w:pPr>
        <w:pStyle w:val="FootnoteText"/>
        <w:rPr>
          <w:sz w:val="16"/>
          <w:szCs w:val="16"/>
          <w:lang w:val="en-US"/>
        </w:rPr>
      </w:pPr>
      <w:r w:rsidRPr="00A70078">
        <w:rPr>
          <w:rStyle w:val="FootnoteReference"/>
          <w:sz w:val="16"/>
          <w:szCs w:val="16"/>
        </w:rPr>
        <w:footnoteRef/>
      </w:r>
      <w:r w:rsidRPr="00A70078">
        <w:rPr>
          <w:sz w:val="16"/>
          <w:szCs w:val="16"/>
        </w:rPr>
        <w:t xml:space="preserve"> Inserted by the Finance Act, 20</w:t>
      </w:r>
      <w:r>
        <w:rPr>
          <w:sz w:val="16"/>
          <w:szCs w:val="16"/>
        </w:rPr>
        <w:t>15.</w:t>
      </w:r>
    </w:p>
  </w:footnote>
  <w:footnote w:id="412">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The figure “2018” substituted by the Finance Act, 2016.</w:t>
      </w:r>
    </w:p>
  </w:footnote>
  <w:footnote w:id="413">
    <w:p w:rsidR="00BF2117" w:rsidRPr="00B455DC" w:rsidRDefault="00BF2117">
      <w:pPr>
        <w:pStyle w:val="FootnoteText"/>
        <w:rPr>
          <w:color w:val="0070C0"/>
          <w:lang w:val="en-US"/>
        </w:rPr>
      </w:pPr>
      <w:r w:rsidRPr="00B455DC">
        <w:rPr>
          <w:rStyle w:val="FootnoteReference"/>
          <w:color w:val="0070C0"/>
        </w:rPr>
        <w:footnoteRef/>
      </w:r>
      <w:r w:rsidRPr="00B455DC">
        <w:rPr>
          <w:color w:val="0070C0"/>
        </w:rPr>
        <w:t xml:space="preserve"> </w:t>
      </w:r>
      <w:r w:rsidRPr="00B455DC">
        <w:rPr>
          <w:color w:val="0070C0"/>
          <w:sz w:val="16"/>
          <w:szCs w:val="16"/>
        </w:rPr>
        <w:t>The word “one” substituted by the Finance Act, 2016.</w:t>
      </w:r>
    </w:p>
  </w:footnote>
  <w:footnote w:id="41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415">
    <w:p w:rsidR="00BF2117" w:rsidRPr="00FC294E" w:rsidRDefault="00BF2117">
      <w:pPr>
        <w:pStyle w:val="FootnoteText"/>
        <w:rPr>
          <w:sz w:val="16"/>
          <w:szCs w:val="16"/>
          <w:lang w:val="en-US"/>
        </w:rPr>
      </w:pPr>
      <w:r w:rsidRPr="00FC294E">
        <w:rPr>
          <w:rStyle w:val="FootnoteReference"/>
          <w:sz w:val="16"/>
          <w:szCs w:val="16"/>
        </w:rPr>
        <w:footnoteRef/>
      </w:r>
      <w:r w:rsidRPr="00412620">
        <w:rPr>
          <w:sz w:val="16"/>
        </w:rPr>
        <w:t>Inserted by the Finance Act, 20</w:t>
      </w:r>
      <w:r>
        <w:rPr>
          <w:sz w:val="16"/>
        </w:rPr>
        <w:t>15</w:t>
      </w:r>
    </w:p>
  </w:footnote>
  <w:footnote w:id="416">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2009.</w:t>
      </w:r>
    </w:p>
  </w:footnote>
  <w:footnote w:id="417">
    <w:p w:rsidR="00BF2117" w:rsidRPr="00EA02D5" w:rsidRDefault="00BF2117">
      <w:pPr>
        <w:pStyle w:val="FootnoteText"/>
        <w:rPr>
          <w:color w:val="FF0066"/>
          <w:sz w:val="16"/>
          <w:szCs w:val="16"/>
          <w:lang w:val="en-US"/>
        </w:rPr>
      </w:pPr>
      <w:r w:rsidRPr="00B455DC">
        <w:rPr>
          <w:rStyle w:val="FootnoteReference"/>
          <w:color w:val="0070C0"/>
          <w:sz w:val="16"/>
          <w:szCs w:val="16"/>
        </w:rPr>
        <w:footnoteRef/>
      </w:r>
      <w:r w:rsidRPr="00B455DC">
        <w:rPr>
          <w:color w:val="0070C0"/>
          <w:sz w:val="16"/>
          <w:szCs w:val="16"/>
        </w:rPr>
        <w:t xml:space="preserve"> The words “one and a half” substituted by the finance Act, 2016</w:t>
      </w:r>
      <w:r w:rsidRPr="00EA02D5">
        <w:rPr>
          <w:color w:val="FF0066"/>
          <w:sz w:val="16"/>
          <w:szCs w:val="16"/>
        </w:rPr>
        <w:t>.</w:t>
      </w:r>
    </w:p>
  </w:footnote>
  <w:footnote w:id="418">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2010.</w:t>
      </w:r>
    </w:p>
  </w:footnote>
  <w:footnote w:id="419">
    <w:p w:rsidR="00BF2117" w:rsidRPr="00412620" w:rsidRDefault="00BF2117">
      <w:pPr>
        <w:pStyle w:val="FootnoteText"/>
        <w:rPr>
          <w:lang w:val="en-US"/>
        </w:rPr>
      </w:pPr>
      <w:r w:rsidRPr="00412620">
        <w:rPr>
          <w:rStyle w:val="FootnoteReference"/>
        </w:rPr>
        <w:footnoteRef/>
      </w:r>
      <w:r w:rsidRPr="00412620">
        <w:rPr>
          <w:sz w:val="16"/>
          <w:szCs w:val="16"/>
          <w:lang w:val="en-US"/>
        </w:rPr>
        <w:t>Inserted by the Finance Act, 2012.</w:t>
      </w:r>
    </w:p>
  </w:footnote>
  <w:footnote w:id="420">
    <w:p w:rsidR="00BF2117" w:rsidRPr="00F8458C" w:rsidRDefault="00BF2117">
      <w:pPr>
        <w:pStyle w:val="FootnoteText"/>
        <w:rPr>
          <w:sz w:val="18"/>
          <w:szCs w:val="18"/>
          <w:lang w:val="en-US"/>
        </w:rPr>
      </w:pPr>
      <w:r w:rsidRPr="00F8458C">
        <w:rPr>
          <w:rStyle w:val="FootnoteReference"/>
          <w:sz w:val="18"/>
          <w:szCs w:val="18"/>
        </w:rPr>
        <w:footnoteRef/>
      </w:r>
      <w:r w:rsidRPr="00F8458C">
        <w:rPr>
          <w:sz w:val="16"/>
          <w:szCs w:val="16"/>
        </w:rPr>
        <w:t>The figure “2015” substituted by Finance Act, 2015.</w:t>
      </w:r>
    </w:p>
  </w:footnote>
  <w:footnote w:id="421">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The figure “2016” substituted by the Finance Act, 2016.</w:t>
      </w:r>
    </w:p>
  </w:footnote>
  <w:footnote w:id="422">
    <w:p w:rsidR="00BF2117" w:rsidRPr="00412620" w:rsidRDefault="00BF2117" w:rsidP="00FD2E89">
      <w:pPr>
        <w:pStyle w:val="FootnoteText"/>
        <w:ind w:left="180" w:hanging="180"/>
        <w:jc w:val="both"/>
        <w:rPr>
          <w:sz w:val="16"/>
          <w:szCs w:val="16"/>
        </w:rPr>
      </w:pPr>
      <w:r w:rsidRPr="00412620">
        <w:rPr>
          <w:rStyle w:val="FootnoteReference"/>
        </w:rPr>
        <w:footnoteRef/>
      </w:r>
      <w:r w:rsidRPr="00412620">
        <w:rPr>
          <w:sz w:val="16"/>
          <w:szCs w:val="16"/>
        </w:rPr>
        <w:t>Sub-section (4) substituted by the Finance Act, 2012. The substituted sub-section (4) read as follows:</w:t>
      </w:r>
    </w:p>
    <w:p w:rsidR="00BF2117" w:rsidRPr="00412620" w:rsidRDefault="00BF2117" w:rsidP="00CD3C18">
      <w:pPr>
        <w:pStyle w:val="C"/>
        <w:widowControl/>
        <w:spacing w:before="0" w:after="0"/>
        <w:ind w:left="180" w:hanging="180"/>
        <w:jc w:val="both"/>
        <w:rPr>
          <w:rFonts w:ascii="Arial" w:hAnsi="Arial"/>
          <w:b w:val="0"/>
          <w:sz w:val="16"/>
          <w:szCs w:val="16"/>
          <w:lang w:val="en-AU"/>
        </w:rPr>
      </w:pPr>
      <w:r w:rsidRPr="00412620">
        <w:rPr>
          <w:rFonts w:ascii="Arial" w:hAnsi="Arial"/>
          <w:b w:val="0"/>
          <w:sz w:val="16"/>
          <w:szCs w:val="16"/>
          <w:lang w:val="en-AU"/>
        </w:rPr>
        <w:tab/>
      </w:r>
      <w:r w:rsidRPr="00412620">
        <w:rPr>
          <w:rFonts w:ascii="Arial" w:hAnsi="Arial"/>
          <w:b w:val="0"/>
          <w:sz w:val="16"/>
          <w:szCs w:val="16"/>
          <w:lang w:val="en-AU"/>
        </w:rPr>
        <w:tab/>
        <w:t>“(4)</w:t>
      </w:r>
      <w:r w:rsidRPr="00412620">
        <w:rPr>
          <w:rFonts w:ascii="Arial" w:hAnsi="Arial"/>
          <w:b w:val="0"/>
          <w:sz w:val="16"/>
          <w:szCs w:val="16"/>
          <w:lang w:val="en-AU"/>
        </w:rPr>
        <w:tab/>
        <w:t>Where no tax is payable by the taxpayer in respect of the tax year in which such plant or machinery is installed, or where the tax payable is less than the amount of credit, the amount of the credit or so much of it as is in excess thereof, as the case may be, shall be carried forward and deducted from the tax payable by the taxpayer in respect of the following tax year, and so on, but no such amount shall be carried forward for more than two tax years, however, the deduction made under sub-section (2) and this sub-section shall not exceed in aggregate the limit specified in sub-section (1).”</w:t>
      </w:r>
    </w:p>
  </w:footnote>
  <w:footnote w:id="423">
    <w:p w:rsidR="00BF2117" w:rsidRPr="00412620" w:rsidRDefault="00BF2117" w:rsidP="00FD2E89">
      <w:pPr>
        <w:pStyle w:val="FootnoteText"/>
        <w:ind w:left="180" w:hanging="180"/>
        <w:jc w:val="both"/>
        <w:rPr>
          <w:sz w:val="16"/>
          <w:szCs w:val="16"/>
        </w:rPr>
      </w:pPr>
      <w:r w:rsidRPr="00412620">
        <w:rPr>
          <w:rStyle w:val="FootnoteReference"/>
        </w:rPr>
        <w:footnoteRef/>
      </w:r>
      <w:r w:rsidRPr="00412620">
        <w:rPr>
          <w:sz w:val="16"/>
          <w:szCs w:val="16"/>
        </w:rPr>
        <w:t>Sub-section (5) substituted by the Finance Act, 2012. The substituted sub-section (5) read as follows:</w:t>
      </w:r>
    </w:p>
    <w:p w:rsidR="00BF2117" w:rsidRPr="00412620" w:rsidRDefault="00BF2117" w:rsidP="00823895">
      <w:pPr>
        <w:pStyle w:val="C"/>
        <w:widowControl/>
        <w:spacing w:before="0" w:after="0"/>
        <w:ind w:left="180" w:hanging="180"/>
        <w:jc w:val="both"/>
        <w:rPr>
          <w:rFonts w:ascii="Arial" w:hAnsi="Arial"/>
          <w:b w:val="0"/>
          <w:sz w:val="16"/>
          <w:szCs w:val="16"/>
          <w:lang w:val="en-AU"/>
        </w:rPr>
      </w:pPr>
      <w:r w:rsidRPr="00412620">
        <w:rPr>
          <w:rFonts w:ascii="Arial" w:hAnsi="Arial"/>
          <w:b w:val="0"/>
          <w:sz w:val="16"/>
          <w:szCs w:val="16"/>
          <w:lang w:val="en-AU"/>
        </w:rPr>
        <w:tab/>
      </w:r>
      <w:r w:rsidRPr="00412620">
        <w:rPr>
          <w:rFonts w:ascii="Arial" w:hAnsi="Arial"/>
          <w:b w:val="0"/>
          <w:sz w:val="16"/>
          <w:szCs w:val="16"/>
          <w:lang w:val="en-AU"/>
        </w:rPr>
        <w:tab/>
        <w:t>“(5)</w:t>
      </w:r>
      <w:r w:rsidRPr="00412620">
        <w:rPr>
          <w:rFonts w:ascii="Arial" w:hAnsi="Arial"/>
          <w:b w:val="0"/>
          <w:sz w:val="16"/>
          <w:szCs w:val="16"/>
          <w:lang w:val="en-AU"/>
        </w:rPr>
        <w:tab/>
        <w:t>Where any credit is allowed under this section and subsequently it is discovered by the Commissioner Inland Revenue that any one or more of the conditions specified in this section was, or were, not fulfilled, as the case may be, the credit originally allowed shall be deemed to have been wrongly allowed and the Commissioner Inland Revenue may, notwithstanding anything contained in this Ordinance, re-compute the tax payable by the taxpayer for the relevant year and the provisions of this Ordinance shall, so far as may be, apply accordingly.”</w:t>
      </w:r>
    </w:p>
  </w:footnote>
  <w:footnote w:id="424">
    <w:p w:rsidR="00BF2117" w:rsidRPr="00412620" w:rsidRDefault="00BF2117">
      <w:pPr>
        <w:pStyle w:val="FootnoteText"/>
        <w:rPr>
          <w:lang w:val="en-US"/>
        </w:rPr>
      </w:pPr>
      <w:r w:rsidRPr="00412620">
        <w:rPr>
          <w:rStyle w:val="FootnoteReference"/>
        </w:rPr>
        <w:footnoteRef/>
      </w:r>
      <w:r w:rsidRPr="00412620">
        <w:rPr>
          <w:sz w:val="16"/>
          <w:szCs w:val="16"/>
        </w:rPr>
        <w:t>Added by the Finance Act, 2012.</w:t>
      </w:r>
    </w:p>
  </w:footnote>
  <w:footnote w:id="425">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2010.</w:t>
      </w:r>
    </w:p>
  </w:footnote>
  <w:footnote w:id="426">
    <w:p w:rsidR="00BF2117" w:rsidRPr="00412620" w:rsidRDefault="00BF2117">
      <w:pPr>
        <w:pStyle w:val="FootnoteText"/>
        <w:rPr>
          <w:lang w:val="en-US"/>
        </w:rPr>
      </w:pPr>
      <w:r w:rsidRPr="00412620">
        <w:rPr>
          <w:rStyle w:val="FootnoteReference"/>
        </w:rPr>
        <w:footnoteRef/>
      </w:r>
      <w:r w:rsidRPr="00412620">
        <w:rPr>
          <w:sz w:val="16"/>
          <w:szCs w:val="16"/>
        </w:rPr>
        <w:t>The word “</w:t>
      </w:r>
      <w:r>
        <w:rPr>
          <w:sz w:val="16"/>
          <w:szCs w:val="16"/>
        </w:rPr>
        <w:t>fifteen</w:t>
      </w:r>
      <w:r w:rsidRPr="00412620">
        <w:rPr>
          <w:sz w:val="16"/>
          <w:szCs w:val="16"/>
        </w:rPr>
        <w:t>” substituted by the Finance Act, 201</w:t>
      </w:r>
      <w:r>
        <w:rPr>
          <w:sz w:val="16"/>
          <w:szCs w:val="16"/>
        </w:rPr>
        <w:t>5</w:t>
      </w:r>
      <w:r w:rsidRPr="00412620">
        <w:rPr>
          <w:sz w:val="16"/>
          <w:szCs w:val="16"/>
        </w:rPr>
        <w:t>.</w:t>
      </w:r>
    </w:p>
  </w:footnote>
  <w:footnote w:id="427">
    <w:p w:rsidR="00BF2117" w:rsidRPr="00EA02D5" w:rsidRDefault="00BF2117">
      <w:pPr>
        <w:pStyle w:val="FootnoteText"/>
        <w:rPr>
          <w:color w:val="FF0066"/>
          <w:sz w:val="16"/>
          <w:szCs w:val="16"/>
          <w:lang w:val="en-US"/>
        </w:rPr>
      </w:pPr>
      <w:r w:rsidRPr="00B455DC">
        <w:rPr>
          <w:rStyle w:val="FootnoteReference"/>
          <w:color w:val="0070C0"/>
          <w:sz w:val="16"/>
          <w:szCs w:val="16"/>
        </w:rPr>
        <w:footnoteRef/>
      </w:r>
      <w:r w:rsidRPr="00B455DC">
        <w:rPr>
          <w:color w:val="0070C0"/>
          <w:sz w:val="16"/>
          <w:szCs w:val="16"/>
        </w:rPr>
        <w:t xml:space="preserve"> Added by the Finance Act, 2016</w:t>
      </w:r>
      <w:r w:rsidRPr="00EA02D5">
        <w:rPr>
          <w:color w:val="FF0066"/>
          <w:sz w:val="16"/>
          <w:szCs w:val="16"/>
        </w:rPr>
        <w:t>.</w:t>
      </w:r>
    </w:p>
  </w:footnote>
  <w:footnote w:id="428">
    <w:p w:rsidR="00BF2117" w:rsidRPr="00412620" w:rsidRDefault="00BF2117">
      <w:pPr>
        <w:pStyle w:val="FootnoteText"/>
        <w:rPr>
          <w:lang w:val="en-US"/>
        </w:rPr>
      </w:pPr>
      <w:r w:rsidRPr="00412620">
        <w:rPr>
          <w:rStyle w:val="FootnoteReference"/>
        </w:rPr>
        <w:footnoteRef/>
      </w:r>
      <w:r w:rsidRPr="00412620">
        <w:rPr>
          <w:sz w:val="16"/>
          <w:szCs w:val="16"/>
        </w:rPr>
        <w:t>Added by the Finance Act, 2011.</w:t>
      </w:r>
    </w:p>
  </w:footnote>
  <w:footnote w:id="429">
    <w:p w:rsidR="00BF2117" w:rsidRPr="00412620" w:rsidRDefault="00BF2117">
      <w:pPr>
        <w:pStyle w:val="FootnoteText"/>
        <w:rPr>
          <w:lang w:val="en-US"/>
        </w:rPr>
      </w:pPr>
      <w:r w:rsidRPr="00412620">
        <w:rPr>
          <w:rStyle w:val="FootnoteReference"/>
        </w:rPr>
        <w:footnoteRef/>
      </w:r>
      <w:r w:rsidRPr="00412620">
        <w:rPr>
          <w:sz w:val="16"/>
          <w:szCs w:val="16"/>
        </w:rPr>
        <w:t>The words “for manufacturing in Pakistan” substituted by the Finance Act, 2012.</w:t>
      </w:r>
    </w:p>
  </w:footnote>
  <w:footnote w:id="430">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431">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w:t>
      </w:r>
      <w:r w:rsidRPr="00B455DC">
        <w:rPr>
          <w:color w:val="0070C0"/>
          <w:sz w:val="16"/>
          <w:szCs w:val="16"/>
          <w:lang w:val="en-US"/>
        </w:rPr>
        <w:t>The words “hundred per cent” substituted by the Finance Act, 2016.</w:t>
      </w:r>
    </w:p>
  </w:footnote>
  <w:footnote w:id="432">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433">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Inserted by the Finance Act, 2016.</w:t>
      </w:r>
    </w:p>
  </w:footnote>
  <w:footnote w:id="434">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The figure “2016” substituted by the Finance Act, 2016.</w:t>
      </w:r>
    </w:p>
  </w:footnote>
  <w:footnote w:id="435">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The word “hundred per cent” substituted by the Finance Act, 2016.</w:t>
      </w:r>
    </w:p>
  </w:footnote>
  <w:footnote w:id="436">
    <w:p w:rsidR="00BF2117" w:rsidRPr="00412620" w:rsidRDefault="00BF2117">
      <w:pPr>
        <w:pStyle w:val="FootnoteText"/>
        <w:rPr>
          <w:lang w:val="en-US"/>
        </w:rPr>
      </w:pPr>
      <w:r w:rsidRPr="00412620">
        <w:rPr>
          <w:rStyle w:val="FootnoteReference"/>
        </w:rPr>
        <w:footnoteRef/>
      </w:r>
      <w:r w:rsidRPr="00412620">
        <w:rPr>
          <w:sz w:val="16"/>
          <w:szCs w:val="16"/>
        </w:rPr>
        <w:t>The words and full stop “owned by the company.” substituted by the Finance Act, 2012.</w:t>
      </w:r>
    </w:p>
  </w:footnote>
  <w:footnote w:id="437">
    <w:p w:rsidR="00BF2117" w:rsidRPr="00412620" w:rsidRDefault="00BF2117">
      <w:pPr>
        <w:pStyle w:val="FootnoteText"/>
        <w:rPr>
          <w:lang w:val="en-US"/>
        </w:rPr>
      </w:pPr>
      <w:r w:rsidRPr="00412620">
        <w:rPr>
          <w:rStyle w:val="FootnoteReference"/>
        </w:rPr>
        <w:footnoteRef/>
      </w:r>
      <w:r w:rsidRPr="00412620">
        <w:rPr>
          <w:sz w:val="16"/>
          <w:szCs w:val="16"/>
        </w:rPr>
        <w:t>Added by the Finance Act, 2012.</w:t>
      </w:r>
    </w:p>
  </w:footnote>
  <w:footnote w:id="438">
    <w:p w:rsidR="00BF2117" w:rsidRPr="00412620" w:rsidRDefault="00BF2117" w:rsidP="006E6232">
      <w:pPr>
        <w:pStyle w:val="FootnoteText"/>
        <w:ind w:left="180" w:hanging="180"/>
        <w:jc w:val="both"/>
        <w:rPr>
          <w:sz w:val="16"/>
          <w:szCs w:val="16"/>
        </w:rPr>
      </w:pPr>
      <w:r w:rsidRPr="00412620">
        <w:rPr>
          <w:rStyle w:val="FootnoteReference"/>
        </w:rPr>
        <w:footnoteRef/>
      </w:r>
      <w:r w:rsidRPr="00412620">
        <w:rPr>
          <w:sz w:val="16"/>
          <w:szCs w:val="16"/>
        </w:rPr>
        <w:t>`The omitted sub-section (3) read as follows:</w:t>
      </w:r>
    </w:p>
    <w:p w:rsidR="00BF2117" w:rsidRPr="00412620" w:rsidRDefault="00BF2117" w:rsidP="006E6232">
      <w:pPr>
        <w:pStyle w:val="C"/>
        <w:widowControl/>
        <w:spacing w:before="0" w:after="0"/>
        <w:ind w:left="180"/>
        <w:jc w:val="both"/>
        <w:rPr>
          <w:rFonts w:ascii="Arial" w:hAnsi="Arial" w:cs="Arial"/>
          <w:b w:val="0"/>
          <w:sz w:val="16"/>
          <w:szCs w:val="16"/>
          <w:lang w:val="en-AU"/>
        </w:rPr>
      </w:pPr>
      <w:r w:rsidRPr="00412620">
        <w:rPr>
          <w:rFonts w:ascii="Arial" w:hAnsi="Arial" w:cs="Arial"/>
          <w:b w:val="0"/>
          <w:sz w:val="16"/>
          <w:szCs w:val="16"/>
        </w:rPr>
        <w:tab/>
        <w:t xml:space="preserve">“(3) </w:t>
      </w:r>
      <w:r w:rsidRPr="00412620">
        <w:rPr>
          <w:rFonts w:ascii="Arial" w:hAnsi="Arial" w:cs="Arial"/>
          <w:b w:val="0"/>
          <w:sz w:val="16"/>
          <w:szCs w:val="16"/>
        </w:rPr>
        <w:tab/>
        <w:t>The amount of credit admissible under this section shall be deducted from the tax payable by the taxpayer in respect of the tax year in which the plant or machinery referred in sub-section (1) is purchased and installed.”</w:t>
      </w:r>
    </w:p>
  </w:footnote>
  <w:footnote w:id="439">
    <w:p w:rsidR="00BF2117" w:rsidRPr="00B455DC" w:rsidRDefault="00BF2117">
      <w:pPr>
        <w:pStyle w:val="FootnoteText"/>
        <w:rPr>
          <w:color w:val="0070C0"/>
          <w:sz w:val="16"/>
          <w:szCs w:val="16"/>
          <w:lang w:val="en-US"/>
        </w:rPr>
      </w:pPr>
      <w:r w:rsidRPr="00B455DC">
        <w:rPr>
          <w:rStyle w:val="FootnoteReference"/>
          <w:color w:val="0070C0"/>
          <w:sz w:val="16"/>
          <w:szCs w:val="16"/>
        </w:rPr>
        <w:footnoteRef/>
      </w:r>
      <w:r w:rsidRPr="00B455DC">
        <w:rPr>
          <w:color w:val="0070C0"/>
          <w:sz w:val="16"/>
          <w:szCs w:val="16"/>
        </w:rPr>
        <w:t xml:space="preserve"> Inserted by the Finance Act, 2016.</w:t>
      </w:r>
    </w:p>
  </w:footnote>
  <w:footnote w:id="440">
    <w:p w:rsidR="00BF2117" w:rsidRPr="00412620" w:rsidRDefault="00BF2117">
      <w:pPr>
        <w:pStyle w:val="FootnoteText"/>
        <w:rPr>
          <w:lang w:val="en-US"/>
        </w:rPr>
      </w:pPr>
      <w:r w:rsidRPr="00412620">
        <w:rPr>
          <w:rStyle w:val="FootnoteReference"/>
        </w:rPr>
        <w:footnoteRef/>
      </w:r>
      <w:r w:rsidRPr="00412620">
        <w:rPr>
          <w:sz w:val="16"/>
          <w:szCs w:val="16"/>
        </w:rPr>
        <w:t>The word “condition” substituted by the Finance Act, 2012.</w:t>
      </w:r>
    </w:p>
  </w:footnote>
  <w:footnote w:id="441">
    <w:p w:rsidR="00BF2117" w:rsidRPr="00412620" w:rsidRDefault="00BF2117">
      <w:pPr>
        <w:pStyle w:val="FootnoteText"/>
        <w:rPr>
          <w:lang w:val="en-US"/>
        </w:rPr>
      </w:pPr>
      <w:r w:rsidRPr="00412620">
        <w:rPr>
          <w:rStyle w:val="FootnoteReference"/>
        </w:rPr>
        <w:footnoteRef/>
      </w:r>
      <w:r w:rsidRPr="00412620">
        <w:rPr>
          <w:sz w:val="16"/>
          <w:szCs w:val="16"/>
        </w:rPr>
        <w:t>The word “was” substituted by the Finance Act, 2012.</w:t>
      </w:r>
    </w:p>
  </w:footnote>
  <w:footnote w:id="442">
    <w:p w:rsidR="00BF2117" w:rsidRPr="00412620" w:rsidRDefault="00BF2117">
      <w:pPr>
        <w:pStyle w:val="FootnoteText"/>
        <w:rPr>
          <w:lang w:val="en-US"/>
        </w:rPr>
      </w:pPr>
      <w:r w:rsidRPr="00412620">
        <w:rPr>
          <w:rStyle w:val="FootnoteReference"/>
        </w:rPr>
        <w:footnoteRef/>
      </w:r>
      <w:r w:rsidRPr="00412620">
        <w:rPr>
          <w:sz w:val="16"/>
          <w:szCs w:val="16"/>
        </w:rPr>
        <w:t>Added by the Finance Act, 2012.</w:t>
      </w:r>
    </w:p>
  </w:footnote>
  <w:footnote w:id="443">
    <w:p w:rsidR="00BF2117" w:rsidRPr="00412620" w:rsidRDefault="00BF2117">
      <w:pPr>
        <w:pStyle w:val="FootnoteText"/>
        <w:rPr>
          <w:lang w:val="en-US"/>
        </w:rPr>
      </w:pPr>
      <w:r w:rsidRPr="00412620">
        <w:rPr>
          <w:rStyle w:val="FootnoteReference"/>
        </w:rPr>
        <w:footnoteRef/>
      </w:r>
      <w:r w:rsidRPr="00412620">
        <w:rPr>
          <w:sz w:val="16"/>
          <w:szCs w:val="16"/>
        </w:rPr>
        <w:t>Added by the Finance Act, 2011.</w:t>
      </w:r>
    </w:p>
  </w:footnote>
  <w:footnote w:id="444">
    <w:p w:rsidR="00BF2117" w:rsidRPr="00412620" w:rsidRDefault="00BF2117" w:rsidP="00E13352">
      <w:pPr>
        <w:pStyle w:val="FootnoteText"/>
        <w:ind w:left="180" w:hanging="180"/>
        <w:rPr>
          <w:sz w:val="16"/>
          <w:szCs w:val="16"/>
        </w:rPr>
      </w:pPr>
      <w:r w:rsidRPr="00412620">
        <w:rPr>
          <w:rStyle w:val="FootnoteReference"/>
        </w:rPr>
        <w:footnoteRef/>
      </w:r>
      <w:r w:rsidRPr="00412620">
        <w:rPr>
          <w:sz w:val="16"/>
          <w:szCs w:val="16"/>
        </w:rPr>
        <w:t xml:space="preserve">Sub-section (1) substituted by the Finance Act, 2012. The substituted sub-section (1) read as follows: </w:t>
      </w:r>
    </w:p>
    <w:p w:rsidR="00BF2117" w:rsidRPr="00412620" w:rsidRDefault="00BF2117" w:rsidP="00E13352">
      <w:pPr>
        <w:pStyle w:val="C"/>
        <w:widowControl/>
        <w:spacing w:before="0" w:after="0"/>
        <w:ind w:left="180" w:firstLine="367"/>
        <w:jc w:val="both"/>
        <w:rPr>
          <w:rFonts w:ascii="Arial" w:hAnsi="Arial" w:cs="Arial"/>
          <w:b w:val="0"/>
          <w:sz w:val="16"/>
          <w:szCs w:val="16"/>
        </w:rPr>
      </w:pPr>
      <w:r w:rsidRPr="00412620">
        <w:rPr>
          <w:rFonts w:ascii="Arial" w:hAnsi="Arial" w:cs="Arial"/>
          <w:b w:val="0"/>
          <w:sz w:val="16"/>
          <w:szCs w:val="16"/>
        </w:rPr>
        <w:t xml:space="preserve">“(1) Where a taxpayer being a company invests any amount, with hundred </w:t>
      </w:r>
      <w:r>
        <w:rPr>
          <w:rFonts w:ascii="Arial" w:hAnsi="Arial" w:cs="Arial"/>
          <w:b w:val="0"/>
          <w:sz w:val="16"/>
          <w:szCs w:val="16"/>
        </w:rPr>
        <w:t>per cent</w:t>
      </w:r>
      <w:r w:rsidRPr="00412620">
        <w:rPr>
          <w:rFonts w:ascii="Arial" w:hAnsi="Arial" w:cs="Arial"/>
          <w:b w:val="0"/>
          <w:sz w:val="16"/>
          <w:szCs w:val="16"/>
        </w:rPr>
        <w:t xml:space="preserve"> equity investment, in the purchase and installation of plant and machinery for the purposes of balancing, modernization, replacement, or for expansion of the plant and machinery already installed in an industrial undertaking setup in Pakistan before the first day of July 2011, a tax credit shall be allowed against the tax payable in the manner provided hrereinafter, in the same proportion, which exists between the total investment and such equity investment made by the industrial undertaking.”</w:t>
      </w:r>
    </w:p>
  </w:footnote>
  <w:footnote w:id="445">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The words “hundred per cent” substituted by the Finance Act, 2016.</w:t>
      </w:r>
    </w:p>
  </w:footnote>
  <w:footnote w:id="446">
    <w:p w:rsidR="00BF2117" w:rsidRPr="00412620" w:rsidRDefault="00BF2117" w:rsidP="003537EB">
      <w:pPr>
        <w:pStyle w:val="FootnoteText"/>
        <w:ind w:left="180" w:hanging="180"/>
        <w:rPr>
          <w:sz w:val="16"/>
          <w:szCs w:val="16"/>
        </w:rPr>
      </w:pPr>
      <w:r w:rsidRPr="00412620">
        <w:rPr>
          <w:rStyle w:val="FootnoteReference"/>
        </w:rPr>
        <w:footnoteRef/>
      </w:r>
      <w:r w:rsidRPr="00412620">
        <w:rPr>
          <w:sz w:val="16"/>
          <w:szCs w:val="16"/>
        </w:rPr>
        <w:t xml:space="preserve">Sub-section (2) substituted by the Finance Act, 2012. The substituted sub-section (1) read as follows: </w:t>
      </w:r>
    </w:p>
    <w:p w:rsidR="00BF2117" w:rsidRPr="00412620" w:rsidRDefault="00BF2117" w:rsidP="003537EB">
      <w:pPr>
        <w:pStyle w:val="C"/>
        <w:widowControl/>
        <w:spacing w:before="0" w:after="0"/>
        <w:ind w:left="180" w:firstLine="367"/>
        <w:jc w:val="both"/>
        <w:rPr>
          <w:rFonts w:ascii="Arial" w:hAnsi="Arial" w:cs="Arial"/>
          <w:b w:val="0"/>
          <w:sz w:val="16"/>
          <w:szCs w:val="16"/>
          <w:lang w:val="en-AU"/>
        </w:rPr>
      </w:pPr>
      <w:r w:rsidRPr="00412620">
        <w:rPr>
          <w:rFonts w:ascii="Arial" w:hAnsi="Arial" w:cs="Arial"/>
          <w:b w:val="0"/>
          <w:sz w:val="16"/>
          <w:szCs w:val="16"/>
        </w:rPr>
        <w:t>“(2) The provisions of sub-section (1) shall apply if the plant and machinery is purchased and installed at any time between the first day of July, 2011, and the 30</w:t>
      </w:r>
      <w:r w:rsidRPr="00412620">
        <w:rPr>
          <w:rFonts w:ascii="Arial" w:hAnsi="Arial" w:cs="Arial"/>
          <w:b w:val="0"/>
          <w:sz w:val="16"/>
          <w:szCs w:val="16"/>
          <w:vertAlign w:val="superscript"/>
        </w:rPr>
        <w:t>th</w:t>
      </w:r>
      <w:r w:rsidRPr="00412620">
        <w:rPr>
          <w:rFonts w:ascii="Arial" w:hAnsi="Arial" w:cs="Arial"/>
          <w:b w:val="0"/>
          <w:sz w:val="16"/>
          <w:szCs w:val="16"/>
        </w:rPr>
        <w:t xml:space="preserve"> day of June, 2016.”</w:t>
      </w:r>
    </w:p>
  </w:footnote>
  <w:footnote w:id="447">
    <w:p w:rsidR="00BF2117" w:rsidRPr="0026128B" w:rsidRDefault="00BF2117" w:rsidP="00A92A39">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The words “hundred per cent” substituted by the Finance Act, 2016.</w:t>
      </w:r>
    </w:p>
  </w:footnote>
  <w:footnote w:id="448">
    <w:p w:rsidR="00BF2117" w:rsidRPr="00412620" w:rsidRDefault="00BF2117" w:rsidP="00D36B13">
      <w:pPr>
        <w:pStyle w:val="FootnoteText"/>
        <w:ind w:left="180" w:hanging="180"/>
        <w:rPr>
          <w:sz w:val="16"/>
          <w:szCs w:val="16"/>
        </w:rPr>
      </w:pPr>
      <w:r w:rsidRPr="00412620">
        <w:rPr>
          <w:rStyle w:val="FootnoteReference"/>
        </w:rPr>
        <w:footnoteRef/>
      </w:r>
      <w:r w:rsidRPr="00412620">
        <w:rPr>
          <w:sz w:val="16"/>
          <w:szCs w:val="16"/>
        </w:rPr>
        <w:t xml:space="preserve">Sub-section (3) substituted by the Finance Act, 2012. The substituted sub-section (1) read as follows: </w:t>
      </w:r>
    </w:p>
    <w:p w:rsidR="00BF2117" w:rsidRPr="00412620" w:rsidRDefault="00BF2117" w:rsidP="00D36B13">
      <w:pPr>
        <w:pStyle w:val="C"/>
        <w:widowControl/>
        <w:spacing w:before="0" w:after="0"/>
        <w:ind w:left="180" w:firstLine="367"/>
        <w:jc w:val="both"/>
        <w:rPr>
          <w:rFonts w:ascii="Arial" w:hAnsi="Arial" w:cs="Arial"/>
          <w:b w:val="0"/>
          <w:sz w:val="16"/>
          <w:szCs w:val="16"/>
          <w:lang w:val="en-AU"/>
        </w:rPr>
      </w:pPr>
      <w:r w:rsidRPr="00412620">
        <w:rPr>
          <w:rFonts w:ascii="Arial" w:hAnsi="Arial" w:cs="Arial"/>
          <w:b w:val="0"/>
          <w:sz w:val="16"/>
          <w:szCs w:val="16"/>
        </w:rPr>
        <w:t>“(3) The amount of credit admissible under this section shall be deducted from the tax payable by the taxpayer in respect of the tax year in which the plant or machinery referred in sub-section (1) is purchased and installed and for the subsequent four years.”</w:t>
      </w:r>
    </w:p>
  </w:footnote>
  <w:footnote w:id="449">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The words “this section” substituted by the Finance Act, 2016.</w:t>
      </w:r>
    </w:p>
  </w:footnote>
  <w:footnote w:id="450">
    <w:p w:rsidR="00BF2117" w:rsidRPr="00294973" w:rsidRDefault="00BF2117">
      <w:pPr>
        <w:pStyle w:val="FootnoteText"/>
        <w:rPr>
          <w:color w:val="FF0066"/>
          <w:sz w:val="16"/>
          <w:szCs w:val="16"/>
          <w:lang w:val="en-US"/>
        </w:rPr>
      </w:pPr>
      <w:r w:rsidRPr="0026128B">
        <w:rPr>
          <w:rStyle w:val="FootnoteReference"/>
          <w:color w:val="0070C0"/>
          <w:sz w:val="16"/>
          <w:szCs w:val="16"/>
        </w:rPr>
        <w:footnoteRef/>
      </w:r>
      <w:r w:rsidRPr="0026128B">
        <w:rPr>
          <w:color w:val="0070C0"/>
          <w:sz w:val="16"/>
          <w:szCs w:val="16"/>
        </w:rPr>
        <w:t xml:space="preserve"> Inserted by the Finance Act, 2016.</w:t>
      </w:r>
    </w:p>
  </w:footnote>
  <w:footnote w:id="451">
    <w:p w:rsidR="00BF2117" w:rsidRPr="00412620" w:rsidRDefault="00BF2117" w:rsidP="002A2680">
      <w:pPr>
        <w:pStyle w:val="FootnoteText"/>
        <w:ind w:left="180" w:hanging="180"/>
        <w:rPr>
          <w:sz w:val="16"/>
          <w:szCs w:val="16"/>
        </w:rPr>
      </w:pPr>
      <w:r w:rsidRPr="00412620">
        <w:rPr>
          <w:rStyle w:val="FootnoteReference"/>
        </w:rPr>
        <w:footnoteRef/>
      </w:r>
      <w:r w:rsidRPr="00412620">
        <w:rPr>
          <w:sz w:val="16"/>
          <w:szCs w:val="16"/>
        </w:rPr>
        <w:t xml:space="preserve">Sub-section (4) substituted by the Finance Act, 2012. The substituted sub-section (1) read as follows: </w:t>
      </w:r>
    </w:p>
    <w:p w:rsidR="00BF2117" w:rsidRPr="00412620" w:rsidRDefault="00BF2117" w:rsidP="002A2680">
      <w:pPr>
        <w:pStyle w:val="C"/>
        <w:widowControl/>
        <w:spacing w:before="0" w:after="0"/>
        <w:ind w:left="180" w:firstLine="367"/>
        <w:jc w:val="both"/>
        <w:rPr>
          <w:rFonts w:ascii="Arial" w:hAnsi="Arial" w:cs="Arial"/>
          <w:b w:val="0"/>
          <w:sz w:val="16"/>
          <w:szCs w:val="16"/>
          <w:lang w:val="en-AU"/>
        </w:rPr>
      </w:pPr>
      <w:r w:rsidRPr="00412620">
        <w:rPr>
          <w:rFonts w:ascii="Arial" w:hAnsi="Arial" w:cs="Arial"/>
          <w:b w:val="0"/>
          <w:sz w:val="16"/>
          <w:szCs w:val="16"/>
        </w:rPr>
        <w:t xml:space="preserve">“(4) </w:t>
      </w:r>
      <w:r w:rsidRPr="00412620">
        <w:rPr>
          <w:rFonts w:ascii="Arial" w:hAnsi="Arial" w:cs="Arial"/>
          <w:b w:val="0"/>
          <w:sz w:val="16"/>
          <w:szCs w:val="16"/>
          <w:lang w:val="en-AU"/>
        </w:rPr>
        <w:t>Where no tax is payable by the taxpayer in respect of the tax year in which such plant or machinery is installed, or where the tax payable is less than the amount of tax credit, the amount of such credit or so much of it as is in excess thereof, shall be carried forward and deducted from the tax payable by the taxpayer in respect of the following tax year:</w:t>
      </w:r>
    </w:p>
    <w:p w:rsidR="00BF2117" w:rsidRPr="00412620" w:rsidRDefault="00BF2117" w:rsidP="002A2680">
      <w:pPr>
        <w:pStyle w:val="C"/>
        <w:widowControl/>
        <w:spacing w:before="0" w:after="0"/>
        <w:ind w:left="720"/>
        <w:jc w:val="both"/>
        <w:rPr>
          <w:rFonts w:ascii="Arial" w:hAnsi="Arial" w:cs="Arial"/>
          <w:b w:val="0"/>
          <w:sz w:val="16"/>
          <w:szCs w:val="16"/>
          <w:lang w:val="en-AU"/>
        </w:rPr>
      </w:pPr>
      <w:r w:rsidRPr="00412620">
        <w:rPr>
          <w:rFonts w:ascii="Arial" w:hAnsi="Arial" w:cs="Arial"/>
          <w:b w:val="0"/>
          <w:sz w:val="16"/>
          <w:szCs w:val="16"/>
          <w:lang w:val="en-AU"/>
        </w:rPr>
        <w:tab/>
        <w:t>Provided that no such amount shall be carried forward for  more than four tax years:</w:t>
      </w:r>
    </w:p>
    <w:p w:rsidR="00BF2117" w:rsidRPr="00412620" w:rsidRDefault="00BF2117" w:rsidP="002A2680">
      <w:pPr>
        <w:pStyle w:val="FootnoteText"/>
        <w:jc w:val="both"/>
        <w:rPr>
          <w:lang w:val="en-US"/>
        </w:rPr>
      </w:pPr>
      <w:r w:rsidRPr="00412620">
        <w:rPr>
          <w:rFonts w:cs="Arial"/>
          <w:sz w:val="16"/>
          <w:szCs w:val="16"/>
        </w:rPr>
        <w:tab/>
      </w:r>
      <w:r w:rsidRPr="00412620">
        <w:rPr>
          <w:rFonts w:cs="Arial"/>
          <w:sz w:val="16"/>
          <w:szCs w:val="16"/>
        </w:rPr>
        <w:tab/>
        <w:t>Provided further that deduction made under sub-section (1) and under this sub-section shall not exceed in aggregate the limit of the tax credit specified in sub-section (1).”</w:t>
      </w:r>
    </w:p>
  </w:footnote>
  <w:footnote w:id="452">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The figure “2016” substituted by the Finance Act, 2016.</w:t>
      </w:r>
    </w:p>
  </w:footnote>
  <w:footnote w:id="453">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454">
    <w:p w:rsidR="00BF2117" w:rsidRPr="003D1AA6" w:rsidRDefault="00BF2117" w:rsidP="00B85760">
      <w:pPr>
        <w:pStyle w:val="C"/>
        <w:widowControl/>
        <w:spacing w:before="0" w:after="0"/>
        <w:jc w:val="both"/>
        <w:rPr>
          <w:sz w:val="16"/>
          <w:szCs w:val="16"/>
        </w:rPr>
      </w:pPr>
      <w:r w:rsidRPr="003D1AA6">
        <w:rPr>
          <w:rStyle w:val="FootnoteReference"/>
          <w:b w:val="0"/>
          <w:sz w:val="18"/>
          <w:szCs w:val="18"/>
        </w:rPr>
        <w:footnoteRef/>
      </w:r>
      <w:r w:rsidRPr="003D1AA6">
        <w:rPr>
          <w:b w:val="0"/>
          <w:sz w:val="16"/>
          <w:szCs w:val="16"/>
        </w:rPr>
        <w:t xml:space="preserve">  The </w:t>
      </w:r>
      <w:r>
        <w:rPr>
          <w:b w:val="0"/>
          <w:sz w:val="16"/>
          <w:szCs w:val="16"/>
        </w:rPr>
        <w:t xml:space="preserve">words </w:t>
      </w:r>
      <w:r w:rsidRPr="003D1AA6">
        <w:rPr>
          <w:b w:val="0"/>
          <w:sz w:val="16"/>
          <w:szCs w:val="16"/>
        </w:rPr>
        <w:t>“</w:t>
      </w:r>
      <w:r w:rsidRPr="003D1AA6">
        <w:rPr>
          <w:rFonts w:ascii="Arial" w:hAnsi="Arial" w:cs="Arial"/>
          <w:b w:val="0"/>
          <w:sz w:val="16"/>
          <w:szCs w:val="16"/>
        </w:rPr>
        <w:t>in respect of the tax year in which the plant or machinery referred to in sub-section (1) is installed and for the subsequent four years</w:t>
      </w:r>
      <w:r>
        <w:rPr>
          <w:rFonts w:ascii="Arial" w:hAnsi="Arial" w:cs="Arial"/>
          <w:b w:val="0"/>
          <w:sz w:val="16"/>
          <w:szCs w:val="16"/>
        </w:rPr>
        <w:t>” substituted by Finance Act, 2015.</w:t>
      </w:r>
    </w:p>
  </w:footnote>
  <w:footnote w:id="455">
    <w:p w:rsidR="00BF2117" w:rsidRPr="00412620" w:rsidRDefault="00BF2117">
      <w:pPr>
        <w:pStyle w:val="FootnoteText"/>
        <w:rPr>
          <w:lang w:val="en-US"/>
        </w:rPr>
      </w:pPr>
      <w:r w:rsidRPr="00412620">
        <w:rPr>
          <w:rStyle w:val="FootnoteReference"/>
        </w:rPr>
        <w:footnoteRef/>
      </w:r>
      <w:r w:rsidRPr="00412620">
        <w:rPr>
          <w:sz w:val="16"/>
          <w:szCs w:val="16"/>
        </w:rPr>
        <w:t>Sub-section (5) renumbered by the Finance Act, 2012.</w:t>
      </w:r>
    </w:p>
  </w:footnote>
  <w:footnote w:id="456">
    <w:p w:rsidR="00BF2117" w:rsidRPr="0026128B" w:rsidRDefault="00BF2117" w:rsidP="00361178">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Inserted by the Finance Act, 2016.</w:t>
      </w:r>
    </w:p>
  </w:footnote>
  <w:footnote w:id="457">
    <w:p w:rsidR="00BF2117" w:rsidRPr="00412620" w:rsidRDefault="00BF2117">
      <w:pPr>
        <w:pStyle w:val="FootnoteText"/>
        <w:rPr>
          <w:lang w:val="en-US"/>
        </w:rPr>
      </w:pPr>
      <w:r w:rsidRPr="00412620">
        <w:rPr>
          <w:rStyle w:val="FootnoteReference"/>
        </w:rPr>
        <w:footnoteRef/>
      </w:r>
      <w:r w:rsidRPr="00412620">
        <w:rPr>
          <w:sz w:val="16"/>
          <w:szCs w:val="16"/>
        </w:rPr>
        <w:t>Added by the Finance Act, 2012.</w:t>
      </w:r>
    </w:p>
  </w:footnote>
  <w:footnote w:id="458">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Substituted by the Finance Act, 2016.</w:t>
      </w:r>
    </w:p>
  </w:footnote>
  <w:footnote w:id="459">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460">
    <w:p w:rsidR="00BF2117" w:rsidRPr="000C0B93" w:rsidRDefault="00BF2117" w:rsidP="000C0B93">
      <w:pPr>
        <w:pStyle w:val="FootnoteText"/>
        <w:rPr>
          <w:color w:val="FF0066"/>
          <w:sz w:val="16"/>
          <w:szCs w:val="16"/>
          <w:lang w:val="en-US"/>
        </w:rPr>
      </w:pPr>
      <w:r w:rsidRPr="0026128B">
        <w:rPr>
          <w:rStyle w:val="FootnoteReference"/>
          <w:color w:val="0070C0"/>
          <w:sz w:val="16"/>
          <w:szCs w:val="16"/>
        </w:rPr>
        <w:footnoteRef/>
      </w:r>
      <w:r w:rsidRPr="0026128B">
        <w:rPr>
          <w:color w:val="0070C0"/>
          <w:sz w:val="16"/>
          <w:szCs w:val="16"/>
        </w:rPr>
        <w:t xml:space="preserve"> Substituted by the Finance Act, 2016</w:t>
      </w:r>
      <w:r w:rsidRPr="000C0B93">
        <w:rPr>
          <w:color w:val="FF0066"/>
          <w:sz w:val="16"/>
          <w:szCs w:val="16"/>
        </w:rPr>
        <w:t>.</w:t>
      </w:r>
    </w:p>
  </w:footnote>
  <w:footnote w:id="461">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462">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figure “232” substituted by the Finance Act, 2002.</w:t>
      </w:r>
    </w:p>
  </w:footnote>
  <w:footnote w:id="463">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Inserted by the Finance Act, 2016.</w:t>
      </w:r>
    </w:p>
  </w:footnote>
  <w:footnote w:id="46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46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466">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467">
    <w:p w:rsidR="00BF2117" w:rsidRPr="00412620" w:rsidRDefault="00BF2117">
      <w:pPr>
        <w:pStyle w:val="FootnoteText"/>
        <w:rPr>
          <w:sz w:val="16"/>
        </w:rPr>
      </w:pPr>
      <w:r w:rsidRPr="00412620">
        <w:rPr>
          <w:rStyle w:val="FootnoteReference"/>
          <w:rFonts w:cs="Arial"/>
          <w:sz w:val="16"/>
        </w:rPr>
        <w:footnoteRef/>
      </w:r>
      <w:r w:rsidRPr="00412620">
        <w:rPr>
          <w:sz w:val="16"/>
        </w:rPr>
        <w:t xml:space="preserve"> Added by the Finance Act, 2003.</w:t>
      </w:r>
    </w:p>
  </w:footnote>
  <w:footnote w:id="468">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Inserted by the Finance Act, 2016. </w:t>
      </w:r>
    </w:p>
  </w:footnote>
  <w:footnote w:id="469">
    <w:p w:rsidR="00BF2117" w:rsidRPr="0026128B" w:rsidRDefault="00BF2117">
      <w:pPr>
        <w:pStyle w:val="FootnoteText"/>
        <w:rPr>
          <w:color w:val="0070C0"/>
          <w:lang w:val="en-US"/>
        </w:rPr>
      </w:pPr>
      <w:r w:rsidRPr="0026128B">
        <w:rPr>
          <w:rStyle w:val="FootnoteReference"/>
          <w:color w:val="0070C0"/>
        </w:rPr>
        <w:footnoteRef/>
      </w:r>
      <w:r w:rsidRPr="0026128B">
        <w:rPr>
          <w:color w:val="0070C0"/>
        </w:rPr>
        <w:t xml:space="preserve"> </w:t>
      </w:r>
      <w:r w:rsidRPr="0026128B">
        <w:rPr>
          <w:color w:val="0070C0"/>
          <w:sz w:val="16"/>
          <w:szCs w:val="16"/>
        </w:rPr>
        <w:t>Inserted by the Finance Act, 2016.</w:t>
      </w:r>
    </w:p>
  </w:footnote>
  <w:footnote w:id="470">
    <w:p w:rsidR="00BF2117" w:rsidRDefault="00BF2117" w:rsidP="00D41075">
      <w:pPr>
        <w:pStyle w:val="FootnoteText"/>
        <w:ind w:left="90" w:hanging="90"/>
        <w:jc w:val="both"/>
        <w:rPr>
          <w:color w:val="FF0000"/>
          <w:sz w:val="16"/>
          <w:szCs w:val="16"/>
        </w:rPr>
      </w:pPr>
      <w:r w:rsidRPr="00D41075">
        <w:rPr>
          <w:rStyle w:val="FootnoteReference"/>
          <w:color w:val="FF0000"/>
          <w:sz w:val="16"/>
          <w:szCs w:val="16"/>
        </w:rPr>
        <w:footnoteRef/>
      </w:r>
      <w:r w:rsidRPr="00D41075">
        <w:rPr>
          <w:color w:val="FF0000"/>
          <w:sz w:val="16"/>
          <w:szCs w:val="16"/>
        </w:rPr>
        <w:t xml:space="preserve"> Substituted by the Presidential Order No.F.2(1)/2016-Pub dated 31.07.2016</w:t>
      </w:r>
      <w:r>
        <w:rPr>
          <w:color w:val="FF0000"/>
          <w:sz w:val="16"/>
          <w:szCs w:val="16"/>
        </w:rPr>
        <w:t>. The substituted expression read as follows:</w:t>
      </w:r>
    </w:p>
    <w:p w:rsidR="00BF2117" w:rsidRPr="00D41075" w:rsidRDefault="00BF2117" w:rsidP="00D41075">
      <w:pPr>
        <w:pStyle w:val="FootnoteText"/>
        <w:ind w:left="90" w:hanging="90"/>
        <w:jc w:val="both"/>
        <w:rPr>
          <w:color w:val="FF0000"/>
          <w:sz w:val="16"/>
          <w:szCs w:val="16"/>
          <w:lang w:val="en-US"/>
        </w:rPr>
      </w:pPr>
      <w:r w:rsidRPr="00D41075">
        <w:rPr>
          <w:color w:val="FF0000"/>
          <w:sz w:val="16"/>
          <w:szCs w:val="16"/>
        </w:rPr>
        <w:t xml:space="preserve"> </w:t>
      </w:r>
      <w:r>
        <w:rPr>
          <w:color w:val="FF0000"/>
          <w:sz w:val="16"/>
          <w:szCs w:val="16"/>
        </w:rPr>
        <w:tab/>
        <w:t>“</w:t>
      </w:r>
      <w:r w:rsidRPr="00D41075">
        <w:rPr>
          <w:rFonts w:cs="Arial"/>
          <w:color w:val="FF0000"/>
          <w:sz w:val="16"/>
          <w:szCs w:val="16"/>
        </w:rPr>
        <w:t>the fair market value of immovable property shall be determined on the basis of valuation made by a panel of approved valuers of the State Bank of Pakistan</w:t>
      </w:r>
      <w:r>
        <w:rPr>
          <w:rFonts w:cs="Arial"/>
          <w:color w:val="FF0000"/>
          <w:sz w:val="16"/>
          <w:szCs w:val="16"/>
        </w:rPr>
        <w:t>”</w:t>
      </w:r>
    </w:p>
  </w:footnote>
  <w:footnote w:id="471">
    <w:p w:rsidR="00BF2117" w:rsidRPr="00D41075" w:rsidRDefault="00BF2117" w:rsidP="0015014F">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Added </w:t>
      </w:r>
      <w:r w:rsidRPr="00D41075">
        <w:rPr>
          <w:color w:val="FF0000"/>
          <w:sz w:val="16"/>
          <w:szCs w:val="16"/>
        </w:rPr>
        <w:t>by the Presidential Order No.F.2(1)/2016-Pub dated 31.07.2016</w:t>
      </w:r>
      <w:r>
        <w:rPr>
          <w:color w:val="FF0000"/>
          <w:sz w:val="16"/>
          <w:szCs w:val="16"/>
        </w:rPr>
        <w:t xml:space="preserve">. </w:t>
      </w:r>
    </w:p>
  </w:footnote>
  <w:footnote w:id="472">
    <w:p w:rsidR="00BF2117" w:rsidRPr="00D41075" w:rsidRDefault="00BF2117" w:rsidP="0015014F">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Added </w:t>
      </w:r>
      <w:r w:rsidRPr="00D41075">
        <w:rPr>
          <w:color w:val="FF0000"/>
          <w:sz w:val="16"/>
          <w:szCs w:val="16"/>
        </w:rPr>
        <w:t>by the Presidential Order No.F.2(1)/2016-Pub dated 31.07.2016</w:t>
      </w:r>
      <w:r>
        <w:rPr>
          <w:color w:val="FF0000"/>
          <w:sz w:val="16"/>
          <w:szCs w:val="16"/>
        </w:rPr>
        <w:t xml:space="preserve">. </w:t>
      </w:r>
    </w:p>
  </w:footnote>
  <w:footnote w:id="473">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“mid-exchange” omitted by the Finance Act, 2003.</w:t>
      </w:r>
    </w:p>
  </w:footnote>
  <w:footnote w:id="474">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Section 74 substituted by the Finance Act, 2002. The substituted section 74  read as follows:</w:t>
      </w:r>
    </w:p>
    <w:p w:rsidR="00BF2117" w:rsidRPr="00412620" w:rsidRDefault="00BF2117">
      <w:pPr>
        <w:keepNext/>
        <w:ind w:left="180"/>
        <w:jc w:val="both"/>
        <w:rPr>
          <w:rFonts w:cs="Arial"/>
          <w:sz w:val="16"/>
        </w:rPr>
      </w:pPr>
      <w:r w:rsidRPr="00412620">
        <w:rPr>
          <w:rFonts w:cs="Arial"/>
          <w:sz w:val="16"/>
        </w:rPr>
        <w:t xml:space="preserve"> “</w:t>
      </w:r>
      <w:r w:rsidRPr="00412620">
        <w:rPr>
          <w:rFonts w:cs="Arial"/>
          <w:b/>
          <w:sz w:val="16"/>
        </w:rPr>
        <w:t>74.</w:t>
      </w:r>
      <w:r w:rsidRPr="00412620">
        <w:rPr>
          <w:rFonts w:cs="Arial"/>
          <w:b/>
          <w:sz w:val="16"/>
        </w:rPr>
        <w:tab/>
        <w:t>Tax year.-</w:t>
      </w:r>
      <w:r w:rsidRPr="00412620">
        <w:rPr>
          <w:rFonts w:cs="Arial"/>
          <w:sz w:val="16"/>
        </w:rPr>
        <w:t xml:space="preserve"> (1)  For the purposes of this Ordinance and subject to this section, the tax year shall be the period of twelve months ending on the 30</w:t>
      </w:r>
      <w:r w:rsidRPr="00412620">
        <w:rPr>
          <w:rFonts w:cs="Arial"/>
          <w:sz w:val="16"/>
          <w:vertAlign w:val="superscript"/>
        </w:rPr>
        <w:t>th</w:t>
      </w:r>
      <w:r w:rsidRPr="00412620">
        <w:rPr>
          <w:rFonts w:cs="Arial"/>
          <w:sz w:val="16"/>
        </w:rPr>
        <w:t xml:space="preserve"> day of June (referred to in this section as the financial year). </w:t>
      </w:r>
    </w:p>
    <w:p w:rsidR="00BF2117" w:rsidRPr="00412620" w:rsidRDefault="00BF2117">
      <w:pPr>
        <w:keepNext/>
        <w:ind w:left="180" w:firstLine="367"/>
        <w:jc w:val="both"/>
        <w:rPr>
          <w:rFonts w:cs="Arial"/>
          <w:sz w:val="16"/>
        </w:rPr>
      </w:pPr>
      <w:r w:rsidRPr="00412620">
        <w:rPr>
          <w:rFonts w:cs="Arial"/>
          <w:sz w:val="16"/>
        </w:rPr>
        <w:t>(2)</w:t>
      </w:r>
      <w:r w:rsidRPr="00412620">
        <w:rPr>
          <w:rFonts w:cs="Arial"/>
          <w:sz w:val="16"/>
        </w:rPr>
        <w:tab/>
        <w:t>A person may apply, in writing, to use as the person’s tax year a twelve-month period (hereinafter referred to as a “special year”) other than the financial year and the Commissioner may, subject to sub-section (4), by notice in writing, approve the application.</w:t>
      </w:r>
    </w:p>
    <w:p w:rsidR="00BF2117" w:rsidRPr="00412620" w:rsidRDefault="00BF2117">
      <w:pPr>
        <w:keepNext/>
        <w:ind w:left="180" w:firstLine="367"/>
        <w:jc w:val="both"/>
        <w:rPr>
          <w:rFonts w:cs="Arial"/>
          <w:sz w:val="16"/>
        </w:rPr>
      </w:pPr>
      <w:r w:rsidRPr="00412620">
        <w:rPr>
          <w:rFonts w:cs="Arial"/>
          <w:sz w:val="16"/>
        </w:rPr>
        <w:t>(3)</w:t>
      </w:r>
      <w:r w:rsidRPr="00412620">
        <w:rPr>
          <w:rFonts w:cs="Arial"/>
          <w:sz w:val="16"/>
        </w:rPr>
        <w:tab/>
        <w:t>A person granted permission under sub-section (2) to use a special year may apply, in writing, to change the person’s tax year to the financial year or to another special year and the Commissioner may, subject to sub-section (4), by notice in writing, approve such application.</w:t>
      </w:r>
    </w:p>
    <w:p w:rsidR="00BF2117" w:rsidRPr="00412620" w:rsidRDefault="00BF2117">
      <w:pPr>
        <w:keepNext/>
        <w:ind w:left="180" w:firstLine="367"/>
        <w:jc w:val="both"/>
        <w:rPr>
          <w:rFonts w:cs="Arial"/>
          <w:sz w:val="16"/>
        </w:rPr>
      </w:pPr>
      <w:r w:rsidRPr="00412620">
        <w:rPr>
          <w:rFonts w:cs="Arial"/>
          <w:sz w:val="16"/>
        </w:rPr>
        <w:t>(4)</w:t>
      </w:r>
      <w:r w:rsidRPr="00412620">
        <w:rPr>
          <w:rFonts w:cs="Arial"/>
          <w:sz w:val="16"/>
        </w:rPr>
        <w:tab/>
        <w:t>The Commissioner may approve an application under sub-section (2) or (3) only if the person has shown a compelling need to use a special year or to change the person’s tax year and any approval shall be subject to such conditions as the Commissioner may prescribe.</w:t>
      </w:r>
    </w:p>
    <w:p w:rsidR="00BF2117" w:rsidRPr="00412620" w:rsidRDefault="00BF2117">
      <w:pPr>
        <w:keepNext/>
        <w:ind w:left="180" w:firstLine="367"/>
        <w:jc w:val="both"/>
        <w:rPr>
          <w:rFonts w:cs="Arial"/>
          <w:sz w:val="16"/>
        </w:rPr>
      </w:pPr>
      <w:r w:rsidRPr="00412620">
        <w:rPr>
          <w:rFonts w:cs="Arial"/>
          <w:sz w:val="16"/>
        </w:rPr>
        <w:t>(5)</w:t>
      </w:r>
      <w:r w:rsidRPr="00412620">
        <w:rPr>
          <w:rFonts w:cs="Arial"/>
          <w:sz w:val="16"/>
        </w:rPr>
        <w:tab/>
        <w:t>The Commissioner may, by notice in writing to a person, withdraw the permission to use a special year granted under sub-section (2) or (3).</w:t>
      </w:r>
    </w:p>
    <w:p w:rsidR="00BF2117" w:rsidRPr="00412620" w:rsidRDefault="00BF2117">
      <w:pPr>
        <w:keepNext/>
        <w:ind w:left="180" w:firstLine="367"/>
        <w:jc w:val="both"/>
        <w:rPr>
          <w:rFonts w:cs="Arial"/>
          <w:sz w:val="16"/>
        </w:rPr>
      </w:pPr>
      <w:r w:rsidRPr="00412620">
        <w:rPr>
          <w:rFonts w:cs="Arial"/>
          <w:sz w:val="16"/>
        </w:rPr>
        <w:t>(6)</w:t>
      </w:r>
      <w:r w:rsidRPr="00412620">
        <w:rPr>
          <w:rFonts w:cs="Arial"/>
          <w:sz w:val="16"/>
        </w:rPr>
        <w:tab/>
        <w:t>A notice served by the Commissioner under sub-section (2) shall take effect on the date specified in the notice and a notice under sub-section (3) or (5) shall take effect at the end of the special year of the person in which the notice was served.</w:t>
      </w:r>
    </w:p>
    <w:p w:rsidR="00BF2117" w:rsidRPr="00412620" w:rsidRDefault="00BF2117">
      <w:pPr>
        <w:keepNext/>
        <w:ind w:left="180" w:firstLine="367"/>
        <w:jc w:val="both"/>
        <w:rPr>
          <w:rFonts w:cs="Arial"/>
          <w:sz w:val="16"/>
        </w:rPr>
      </w:pPr>
      <w:r w:rsidRPr="00412620">
        <w:rPr>
          <w:rFonts w:cs="Arial"/>
          <w:sz w:val="16"/>
        </w:rPr>
        <w:t>(7)</w:t>
      </w:r>
      <w:r w:rsidRPr="00412620">
        <w:rPr>
          <w:rFonts w:cs="Arial"/>
          <w:sz w:val="16"/>
        </w:rPr>
        <w:tab/>
        <w:t>Where the tax year of a person changes as a result of sub-section (2), (3) or (5), the period between the last full tax year prior to the change and the date on which the changed tax year commences shall be treated as a separate tax year, to be known as the “transitional year”.</w:t>
      </w:r>
    </w:p>
    <w:p w:rsidR="00BF2117" w:rsidRPr="00412620" w:rsidRDefault="00BF2117">
      <w:pPr>
        <w:keepNext/>
        <w:ind w:left="180" w:firstLine="367"/>
        <w:jc w:val="both"/>
        <w:rPr>
          <w:rFonts w:cs="Arial"/>
          <w:sz w:val="16"/>
        </w:rPr>
      </w:pPr>
      <w:r w:rsidRPr="00412620">
        <w:rPr>
          <w:rFonts w:cs="Arial"/>
          <w:sz w:val="16"/>
        </w:rPr>
        <w:t>(8)</w:t>
      </w:r>
      <w:r w:rsidRPr="00412620">
        <w:rPr>
          <w:rFonts w:cs="Arial"/>
          <w:sz w:val="16"/>
        </w:rPr>
        <w:tab/>
        <w:t xml:space="preserve">In this Ordinance, a reference to a particular financial year shall include a special year or a transitional year of a person commencing during the financial year. </w:t>
      </w:r>
    </w:p>
    <w:p w:rsidR="00BF2117" w:rsidRPr="00412620" w:rsidRDefault="00BF2117">
      <w:pPr>
        <w:ind w:left="180" w:firstLine="367"/>
        <w:jc w:val="both"/>
        <w:rPr>
          <w:rFonts w:cs="Arial"/>
          <w:sz w:val="16"/>
        </w:rPr>
      </w:pPr>
      <w:r w:rsidRPr="00412620">
        <w:rPr>
          <w:rFonts w:cs="Arial"/>
          <w:sz w:val="16"/>
        </w:rPr>
        <w:t>(9)</w:t>
      </w:r>
      <w:r w:rsidRPr="00412620">
        <w:rPr>
          <w:rFonts w:cs="Arial"/>
          <w:sz w:val="16"/>
        </w:rPr>
        <w:tab/>
        <w:t>A person dissatisfied with a decision of the Commissioner under sub-section (2), (3) or (5) may challenge the decision only under the appeal procedure in Part III of Chapter X.”</w:t>
      </w:r>
    </w:p>
  </w:footnote>
  <w:footnote w:id="47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Added by the Finance Act, 2004.</w:t>
      </w:r>
    </w:p>
  </w:footnote>
  <w:footnote w:id="476">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477">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478">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479">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 </w:t>
      </w:r>
    </w:p>
  </w:footnote>
  <w:footnote w:id="480">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481">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2009.</w:t>
      </w:r>
    </w:p>
  </w:footnote>
  <w:footnote w:id="482">
    <w:p w:rsidR="00BF2117" w:rsidRPr="00412620" w:rsidRDefault="00BF2117">
      <w:pPr>
        <w:pStyle w:val="FootnoteText"/>
        <w:rPr>
          <w:lang w:val="en-US"/>
        </w:rPr>
      </w:pPr>
      <w:r w:rsidRPr="00412620">
        <w:rPr>
          <w:rStyle w:val="FootnoteReference"/>
        </w:rPr>
        <w:footnoteRef/>
      </w:r>
      <w:r w:rsidRPr="00412620">
        <w:rPr>
          <w:sz w:val="16"/>
        </w:rPr>
        <w:t>Added by the Finance Act, 2012.</w:t>
      </w:r>
    </w:p>
  </w:footnote>
  <w:footnote w:id="483">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48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48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486">
    <w:p w:rsidR="00BF2117" w:rsidRPr="00412620" w:rsidRDefault="00BF2117">
      <w:pPr>
        <w:pStyle w:val="FootnoteText"/>
        <w:rPr>
          <w:lang w:val="en-US"/>
        </w:rPr>
      </w:pPr>
      <w:r w:rsidRPr="00412620">
        <w:rPr>
          <w:rStyle w:val="FootnoteReference"/>
        </w:rPr>
        <w:footnoteRef/>
      </w:r>
      <w:r w:rsidRPr="00412620">
        <w:rPr>
          <w:sz w:val="16"/>
        </w:rPr>
        <w:t>Added by the Finance Act, 2012.</w:t>
      </w:r>
    </w:p>
  </w:footnote>
  <w:footnote w:id="487">
    <w:p w:rsidR="00BF2117" w:rsidRPr="00412620" w:rsidRDefault="00BF2117">
      <w:pPr>
        <w:pStyle w:val="FootnoteText"/>
        <w:rPr>
          <w:sz w:val="16"/>
          <w:szCs w:val="16"/>
        </w:rPr>
      </w:pPr>
      <w:r w:rsidRPr="00412620">
        <w:rPr>
          <w:rStyle w:val="FootnoteReference"/>
        </w:rPr>
        <w:footnoteRef/>
      </w:r>
      <w:r w:rsidRPr="00412620">
        <w:rPr>
          <w:sz w:val="16"/>
          <w:szCs w:val="16"/>
        </w:rPr>
        <w:t>Clause (v) substituted by the Finance Act, 2013. The substituted Clause (v) read as follows:-</w:t>
      </w:r>
    </w:p>
    <w:p w:rsidR="00BF2117" w:rsidRPr="00412620" w:rsidRDefault="00BF2117" w:rsidP="00F43F70">
      <w:pPr>
        <w:ind w:left="1620" w:hanging="540"/>
        <w:jc w:val="both"/>
        <w:rPr>
          <w:rFonts w:cs="Arial"/>
          <w:sz w:val="16"/>
          <w:szCs w:val="16"/>
        </w:rPr>
      </w:pPr>
      <w:r w:rsidRPr="00412620">
        <w:rPr>
          <w:rFonts w:cs="Arial"/>
          <w:sz w:val="16"/>
          <w:szCs w:val="16"/>
        </w:rPr>
        <w:t>“(v)</w:t>
      </w:r>
      <w:r w:rsidRPr="00412620">
        <w:rPr>
          <w:rFonts w:cs="Arial"/>
          <w:sz w:val="16"/>
          <w:szCs w:val="16"/>
        </w:rPr>
        <w:tab/>
        <w:t>a trust,  a co-operative  society or a finance society or any other society established or constituted by or under any law for the time being in force;”</w:t>
      </w:r>
    </w:p>
    <w:p w:rsidR="00BF2117" w:rsidRPr="00412620" w:rsidRDefault="00BF2117">
      <w:pPr>
        <w:pStyle w:val="FootnoteText"/>
        <w:rPr>
          <w:sz w:val="16"/>
          <w:szCs w:val="16"/>
          <w:lang w:val="en-US"/>
        </w:rPr>
      </w:pPr>
    </w:p>
  </w:footnote>
  <w:footnote w:id="488">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2013.</w:t>
      </w:r>
    </w:p>
  </w:footnote>
  <w:footnote w:id="489">
    <w:p w:rsidR="00BF2117" w:rsidRPr="00412620" w:rsidRDefault="00BF2117" w:rsidP="00FA3BB8">
      <w:pPr>
        <w:pStyle w:val="FootnoteText"/>
        <w:rPr>
          <w:sz w:val="16"/>
          <w:szCs w:val="16"/>
          <w:lang w:val="en-US"/>
        </w:rPr>
      </w:pPr>
      <w:r w:rsidRPr="00412620">
        <w:rPr>
          <w:rStyle w:val="FootnoteReference"/>
        </w:rPr>
        <w:footnoteRef/>
      </w:r>
      <w:r w:rsidRPr="00412620">
        <w:rPr>
          <w:sz w:val="16"/>
          <w:szCs w:val="16"/>
        </w:rPr>
        <w:t>Inserted by the Finance Act, 2013.</w:t>
      </w:r>
    </w:p>
  </w:footnote>
  <w:footnote w:id="490">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491">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“or” omitted by the Finance Act, 2005.</w:t>
      </w:r>
    </w:p>
  </w:footnote>
  <w:footnote w:id="492">
    <w:p w:rsidR="00BF2117" w:rsidRPr="00412620" w:rsidRDefault="00BF2117">
      <w:pPr>
        <w:pStyle w:val="FootnoteText"/>
        <w:rPr>
          <w:lang w:val="en-US"/>
        </w:rPr>
      </w:pPr>
      <w:r w:rsidRPr="00412620">
        <w:rPr>
          <w:rStyle w:val="FootnoteReference"/>
        </w:rPr>
        <w:footnoteRef/>
      </w:r>
      <w:r w:rsidRPr="00412620">
        <w:rPr>
          <w:sz w:val="16"/>
          <w:lang w:val="en-US"/>
        </w:rPr>
        <w:t>The words “local authority” substituted by the Finance Act, 2008.</w:t>
      </w:r>
    </w:p>
  </w:footnote>
  <w:footnote w:id="493">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2005.</w:t>
      </w:r>
    </w:p>
  </w:footnote>
  <w:footnote w:id="49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Added by the Finance Act, 2005.</w:t>
      </w:r>
    </w:p>
  </w:footnote>
  <w:footnote w:id="495">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The words “eighty-two” substituted by the Finance Act, 2006.</w:t>
      </w:r>
    </w:p>
  </w:footnote>
  <w:footnote w:id="496">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2005.</w:t>
      </w:r>
    </w:p>
  </w:footnote>
  <w:footnote w:id="497">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Clause (b) omitted by the Finance Act, 2003. The omitted clause (b) read as follows: </w:t>
      </w:r>
    </w:p>
    <w:p w:rsidR="00BF2117" w:rsidRPr="00412620" w:rsidRDefault="00BF2117">
      <w:pPr>
        <w:ind w:left="1634" w:hanging="540"/>
        <w:jc w:val="both"/>
        <w:rPr>
          <w:rFonts w:cs="Arial"/>
          <w:sz w:val="16"/>
        </w:rPr>
      </w:pPr>
      <w:r w:rsidRPr="00412620">
        <w:rPr>
          <w:rFonts w:cs="Arial"/>
          <w:sz w:val="16"/>
        </w:rPr>
        <w:t>“(b)</w:t>
      </w:r>
      <w:r w:rsidRPr="00412620">
        <w:rPr>
          <w:rFonts w:cs="Arial"/>
          <w:sz w:val="16"/>
        </w:rPr>
        <w:tab/>
        <w:t>is present in Pakistan for a period of, or periods amounting in aggregate to, ninety days or more in the tax year and who, in the four years preceding the tax year, has been in Pakistan for a period of, or periods amounting in aggregate to, three hundred and sixty-five days or more; or”</w:t>
      </w:r>
    </w:p>
  </w:footnote>
  <w:footnote w:id="498">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words “or almost wholly” omitted by the Finance Act, 2003.</w:t>
      </w:r>
    </w:p>
  </w:footnote>
  <w:footnote w:id="499">
    <w:p w:rsidR="00BF2117" w:rsidRPr="00412620" w:rsidRDefault="00BF2117">
      <w:pPr>
        <w:pStyle w:val="FootnoteText"/>
        <w:rPr>
          <w:lang w:val="en-US"/>
        </w:rPr>
      </w:pPr>
      <w:r w:rsidRPr="00412620">
        <w:rPr>
          <w:rStyle w:val="FootnoteReference"/>
        </w:rPr>
        <w:footnoteRef/>
      </w:r>
      <w:r w:rsidRPr="00412620">
        <w:rPr>
          <w:sz w:val="16"/>
          <w:lang w:val="en-US"/>
        </w:rPr>
        <w:t>The words “local authority” substituted by the Finance Act, 2008.</w:t>
      </w:r>
    </w:p>
  </w:footnote>
  <w:footnote w:id="500">
    <w:p w:rsidR="00BF2117" w:rsidRPr="00412620" w:rsidRDefault="00BF2117" w:rsidP="0039688E">
      <w:pPr>
        <w:pStyle w:val="FootnoteText"/>
        <w:jc w:val="both"/>
        <w:rPr>
          <w:sz w:val="16"/>
          <w:szCs w:val="16"/>
          <w:lang w:val="en-US"/>
        </w:rPr>
      </w:pPr>
      <w:r w:rsidRPr="00412620">
        <w:rPr>
          <w:rStyle w:val="FootnoteReference"/>
        </w:rPr>
        <w:footnoteRef/>
      </w:r>
      <w:r w:rsidRPr="00412620">
        <w:rPr>
          <w:sz w:val="16"/>
          <w:szCs w:val="16"/>
        </w:rPr>
        <w:t>Added by the Finance Act, 2010.</w:t>
      </w:r>
    </w:p>
  </w:footnote>
  <w:footnote w:id="501">
    <w:p w:rsidR="00BF2117" w:rsidRPr="00A7684E" w:rsidRDefault="00BF2117" w:rsidP="009F6F84">
      <w:pPr>
        <w:jc w:val="both"/>
        <w:rPr>
          <w:color w:val="000000" w:themeColor="text1"/>
          <w:sz w:val="16"/>
          <w:szCs w:val="16"/>
        </w:rPr>
      </w:pPr>
      <w:r w:rsidRPr="00A7684E">
        <w:rPr>
          <w:rStyle w:val="FootnoteReference"/>
          <w:rFonts w:cs="Arial"/>
          <w:bCs/>
          <w:color w:val="000000" w:themeColor="text1"/>
          <w:sz w:val="16"/>
          <w:szCs w:val="16"/>
        </w:rPr>
        <w:footnoteRef/>
      </w:r>
      <w:r w:rsidRPr="00A7684E">
        <w:rPr>
          <w:color w:val="000000" w:themeColor="text1"/>
          <w:sz w:val="16"/>
          <w:szCs w:val="16"/>
        </w:rPr>
        <w:t xml:space="preserve"> Section 88A omitted by Finance Act, 2014. The omitted section read as follows:</w:t>
      </w:r>
    </w:p>
    <w:p w:rsidR="00BF2117" w:rsidRPr="00A7684E" w:rsidRDefault="00BF2117" w:rsidP="007223EA">
      <w:pPr>
        <w:ind w:left="90" w:firstLine="457"/>
        <w:jc w:val="both"/>
        <w:rPr>
          <w:color w:val="000000" w:themeColor="text1"/>
          <w:sz w:val="16"/>
          <w:szCs w:val="16"/>
        </w:rPr>
      </w:pPr>
      <w:r w:rsidRPr="00A7684E">
        <w:rPr>
          <w:b/>
          <w:color w:val="000000" w:themeColor="text1"/>
          <w:sz w:val="16"/>
          <w:szCs w:val="16"/>
        </w:rPr>
        <w:t>“88A. Share profits of company to be added to taxable income.</w:t>
      </w:r>
      <w:r w:rsidRPr="00A7684E">
        <w:rPr>
          <w:rFonts w:cs="Arial"/>
          <w:b/>
          <w:color w:val="000000" w:themeColor="text1"/>
          <w:sz w:val="16"/>
          <w:szCs w:val="16"/>
        </w:rPr>
        <w:t>—</w:t>
      </w:r>
      <w:r w:rsidRPr="00A7684E">
        <w:rPr>
          <w:color w:val="000000" w:themeColor="text1"/>
          <w:sz w:val="16"/>
          <w:szCs w:val="16"/>
        </w:rPr>
        <w:t>(1) Notwithstanding the provisions of sub-section (1) of section 92, the share of profits derived by a company from an association of persons shall be added to the taxable income of the company.</w:t>
      </w:r>
    </w:p>
    <w:p w:rsidR="00BF2117" w:rsidRPr="00A7684E" w:rsidRDefault="00BF2117" w:rsidP="00E15DE9">
      <w:pPr>
        <w:ind w:left="1094" w:hanging="554"/>
        <w:jc w:val="both"/>
        <w:rPr>
          <w:color w:val="000000" w:themeColor="text1"/>
          <w:sz w:val="16"/>
          <w:szCs w:val="16"/>
        </w:rPr>
      </w:pPr>
      <w:r w:rsidRPr="00A7684E">
        <w:rPr>
          <w:color w:val="000000" w:themeColor="text1"/>
          <w:sz w:val="16"/>
          <w:szCs w:val="16"/>
        </w:rPr>
        <w:t>(2)</w:t>
      </w:r>
      <w:r w:rsidRPr="00A7684E">
        <w:rPr>
          <w:color w:val="000000" w:themeColor="text1"/>
          <w:sz w:val="16"/>
          <w:szCs w:val="16"/>
        </w:rPr>
        <w:tab/>
        <w:t xml:space="preserve">The company shall be allowed a tax credit in accordance with the following formula, namely: </w:t>
      </w:r>
      <w:r w:rsidRPr="00A7684E">
        <w:rPr>
          <w:rFonts w:cs="Arial"/>
          <w:b/>
          <w:color w:val="000000" w:themeColor="text1"/>
          <w:sz w:val="16"/>
          <w:szCs w:val="16"/>
        </w:rPr>
        <w:t>—</w:t>
      </w:r>
    </w:p>
    <w:p w:rsidR="00BF2117" w:rsidRPr="00A7684E" w:rsidRDefault="00BF2117" w:rsidP="009F6F84">
      <w:pPr>
        <w:keepNext/>
        <w:jc w:val="center"/>
        <w:rPr>
          <w:b/>
          <w:color w:val="000000" w:themeColor="text1"/>
          <w:sz w:val="16"/>
          <w:szCs w:val="16"/>
        </w:rPr>
      </w:pPr>
      <w:r w:rsidRPr="00A7684E">
        <w:rPr>
          <w:b/>
          <w:color w:val="000000" w:themeColor="text1"/>
          <w:sz w:val="16"/>
          <w:szCs w:val="16"/>
        </w:rPr>
        <w:t>(A/B) x C</w:t>
      </w:r>
    </w:p>
    <w:p w:rsidR="00BF2117" w:rsidRPr="00A7684E" w:rsidRDefault="00BF2117" w:rsidP="00E15DE9">
      <w:pPr>
        <w:ind w:left="547" w:firstLine="547"/>
        <w:jc w:val="both"/>
        <w:rPr>
          <w:rFonts w:cs="Arial"/>
          <w:color w:val="000000" w:themeColor="text1"/>
          <w:sz w:val="16"/>
          <w:szCs w:val="16"/>
        </w:rPr>
      </w:pPr>
      <w:r w:rsidRPr="00A7684E">
        <w:rPr>
          <w:rFonts w:cs="Arial"/>
          <w:color w:val="000000" w:themeColor="text1"/>
          <w:sz w:val="16"/>
          <w:szCs w:val="16"/>
        </w:rPr>
        <w:t xml:space="preserve">Where </w:t>
      </w:r>
      <w:r w:rsidRPr="00A7684E">
        <w:rPr>
          <w:rFonts w:cs="Arial"/>
          <w:b/>
          <w:color w:val="000000" w:themeColor="text1"/>
          <w:sz w:val="16"/>
          <w:szCs w:val="16"/>
        </w:rPr>
        <w:t>—</w:t>
      </w:r>
    </w:p>
    <w:p w:rsidR="00BF2117" w:rsidRPr="00A7684E" w:rsidRDefault="00BF2117" w:rsidP="009F6F84">
      <w:pPr>
        <w:jc w:val="both"/>
        <w:rPr>
          <w:rFonts w:cs="Arial"/>
          <w:color w:val="000000" w:themeColor="text1"/>
          <w:sz w:val="16"/>
          <w:szCs w:val="16"/>
        </w:rPr>
      </w:pPr>
    </w:p>
    <w:p w:rsidR="00BF2117" w:rsidRPr="00A7684E" w:rsidRDefault="00BF2117" w:rsidP="00E15DE9">
      <w:pPr>
        <w:ind w:left="553" w:hanging="6"/>
        <w:jc w:val="both"/>
        <w:rPr>
          <w:color w:val="000000" w:themeColor="text1"/>
          <w:sz w:val="16"/>
          <w:szCs w:val="16"/>
        </w:rPr>
      </w:pPr>
      <w:r w:rsidRPr="00A7684E">
        <w:rPr>
          <w:rFonts w:cs="Arial"/>
          <w:b/>
          <w:bCs/>
          <w:color w:val="000000" w:themeColor="text1"/>
          <w:sz w:val="16"/>
          <w:szCs w:val="16"/>
        </w:rPr>
        <w:t>A</w:t>
      </w:r>
      <w:r w:rsidRPr="00A7684E">
        <w:rPr>
          <w:color w:val="000000" w:themeColor="text1"/>
          <w:sz w:val="16"/>
          <w:szCs w:val="16"/>
        </w:rPr>
        <w:tab/>
        <w:t>is the amount of share of profits received by the company from the association;</w:t>
      </w:r>
    </w:p>
    <w:p w:rsidR="00BF2117" w:rsidRPr="00A7684E" w:rsidRDefault="00BF2117" w:rsidP="009F6F84">
      <w:pPr>
        <w:jc w:val="both"/>
        <w:rPr>
          <w:rFonts w:cs="Arial"/>
          <w:color w:val="000000" w:themeColor="text1"/>
          <w:sz w:val="16"/>
          <w:szCs w:val="16"/>
        </w:rPr>
      </w:pPr>
    </w:p>
    <w:p w:rsidR="00BF2117" w:rsidRPr="00A7684E" w:rsidRDefault="00BF2117" w:rsidP="00E15DE9">
      <w:pPr>
        <w:ind w:firstLine="547"/>
        <w:jc w:val="both"/>
        <w:rPr>
          <w:color w:val="000000" w:themeColor="text1"/>
          <w:sz w:val="16"/>
          <w:szCs w:val="16"/>
        </w:rPr>
      </w:pPr>
      <w:r w:rsidRPr="00A7684E">
        <w:rPr>
          <w:rFonts w:cs="Arial"/>
          <w:b/>
          <w:bCs/>
          <w:color w:val="000000" w:themeColor="text1"/>
          <w:sz w:val="16"/>
          <w:szCs w:val="16"/>
        </w:rPr>
        <w:t>B</w:t>
      </w:r>
      <w:r w:rsidRPr="00A7684E">
        <w:rPr>
          <w:color w:val="000000" w:themeColor="text1"/>
          <w:sz w:val="16"/>
          <w:szCs w:val="16"/>
        </w:rPr>
        <w:tab/>
        <w:t>is the taxable income of the association; and</w:t>
      </w:r>
    </w:p>
    <w:p w:rsidR="00BF2117" w:rsidRPr="00A7684E" w:rsidRDefault="00BF2117" w:rsidP="009F6F84">
      <w:pPr>
        <w:jc w:val="both"/>
        <w:rPr>
          <w:rFonts w:cs="Arial"/>
          <w:color w:val="000000" w:themeColor="text1"/>
          <w:sz w:val="16"/>
          <w:szCs w:val="16"/>
        </w:rPr>
      </w:pPr>
    </w:p>
    <w:p w:rsidR="00BF2117" w:rsidRPr="00A7684E" w:rsidRDefault="00BF2117" w:rsidP="00E15DE9">
      <w:pPr>
        <w:ind w:firstLine="547"/>
        <w:jc w:val="both"/>
        <w:rPr>
          <w:color w:val="000000" w:themeColor="text1"/>
          <w:sz w:val="16"/>
          <w:szCs w:val="16"/>
        </w:rPr>
      </w:pPr>
      <w:r w:rsidRPr="00A7684E">
        <w:rPr>
          <w:rFonts w:cs="Arial"/>
          <w:b/>
          <w:bCs/>
          <w:color w:val="000000" w:themeColor="text1"/>
          <w:sz w:val="16"/>
          <w:szCs w:val="16"/>
        </w:rPr>
        <w:t>C</w:t>
      </w:r>
      <w:r w:rsidRPr="00A7684E">
        <w:rPr>
          <w:color w:val="000000" w:themeColor="text1"/>
          <w:sz w:val="16"/>
          <w:szCs w:val="16"/>
        </w:rPr>
        <w:tab/>
        <w:t>is the amount of tax assessed on the association.</w:t>
      </w:r>
    </w:p>
    <w:p w:rsidR="00BF2117" w:rsidRPr="00A7684E" w:rsidRDefault="00BF2117" w:rsidP="009F6F84">
      <w:pPr>
        <w:jc w:val="both"/>
        <w:rPr>
          <w:rFonts w:cs="Arial"/>
          <w:color w:val="000000" w:themeColor="text1"/>
          <w:sz w:val="16"/>
          <w:szCs w:val="16"/>
        </w:rPr>
      </w:pPr>
    </w:p>
    <w:p w:rsidR="00BF2117" w:rsidRPr="00A7684E" w:rsidRDefault="00BF2117" w:rsidP="00E15DE9">
      <w:pPr>
        <w:ind w:left="1094" w:hanging="554"/>
        <w:jc w:val="both"/>
        <w:rPr>
          <w:color w:val="000000" w:themeColor="text1"/>
          <w:sz w:val="16"/>
          <w:szCs w:val="16"/>
        </w:rPr>
      </w:pPr>
      <w:r w:rsidRPr="00A7684E">
        <w:rPr>
          <w:color w:val="000000" w:themeColor="text1"/>
          <w:sz w:val="16"/>
          <w:szCs w:val="16"/>
        </w:rPr>
        <w:t>(3)</w:t>
      </w:r>
      <w:r w:rsidRPr="00A7684E">
        <w:rPr>
          <w:color w:val="000000" w:themeColor="text1"/>
          <w:sz w:val="16"/>
          <w:szCs w:val="16"/>
        </w:rPr>
        <w:tab/>
        <w:t xml:space="preserve">The tax credit allowed under this section shall be applied in accordance with sub-section (3) of section 4.” </w:t>
      </w:r>
    </w:p>
    <w:p w:rsidR="00BF2117" w:rsidRPr="00A7684E" w:rsidRDefault="00BF2117">
      <w:pPr>
        <w:pStyle w:val="FootnoteText"/>
        <w:rPr>
          <w:color w:val="000000" w:themeColor="text1"/>
          <w:sz w:val="16"/>
          <w:szCs w:val="16"/>
          <w:lang w:val="en-US"/>
        </w:rPr>
      </w:pPr>
    </w:p>
  </w:footnote>
  <w:footnote w:id="502">
    <w:p w:rsidR="00BF2117" w:rsidRPr="00412620" w:rsidRDefault="00BF2117" w:rsidP="00F038FE">
      <w:pPr>
        <w:pStyle w:val="FootnoteText"/>
        <w:ind w:left="180" w:hanging="180"/>
        <w:rPr>
          <w:sz w:val="16"/>
          <w:szCs w:val="16"/>
          <w:lang w:val="en-US"/>
        </w:rPr>
      </w:pPr>
      <w:r w:rsidRPr="00412620">
        <w:rPr>
          <w:rStyle w:val="FootnoteReference"/>
          <w:sz w:val="16"/>
          <w:szCs w:val="16"/>
        </w:rPr>
        <w:footnoteRef/>
      </w:r>
      <w:r w:rsidRPr="00412620">
        <w:rPr>
          <w:sz w:val="16"/>
          <w:szCs w:val="16"/>
          <w:lang w:val="en-US"/>
        </w:rPr>
        <w:t>The words, brackets, figure and comma “Subject to sub-section (2)” omitted by the Finance Act, 2007.</w:t>
      </w:r>
    </w:p>
  </w:footnote>
  <w:footnote w:id="503">
    <w:p w:rsidR="00BF2117" w:rsidRPr="00A7684E" w:rsidRDefault="00BF2117">
      <w:pPr>
        <w:pStyle w:val="FootnoteText"/>
        <w:rPr>
          <w:color w:val="000000" w:themeColor="text1"/>
          <w:sz w:val="16"/>
        </w:rPr>
      </w:pPr>
      <w:r w:rsidRPr="00A7684E">
        <w:rPr>
          <w:rStyle w:val="FootnoteReference"/>
          <w:rFonts w:cs="Arial"/>
          <w:color w:val="000000" w:themeColor="text1"/>
          <w:sz w:val="16"/>
        </w:rPr>
        <w:footnoteRef/>
      </w:r>
      <w:r w:rsidRPr="00A7684E">
        <w:rPr>
          <w:color w:val="000000" w:themeColor="text1"/>
          <w:sz w:val="16"/>
        </w:rPr>
        <w:t xml:space="preserve"> Inserted by the Finance Act, 2003.</w:t>
      </w:r>
    </w:p>
  </w:footnote>
  <w:footnote w:id="504">
    <w:p w:rsidR="00BF2117" w:rsidRPr="00A7684E" w:rsidRDefault="00BF2117">
      <w:pPr>
        <w:pStyle w:val="FootnoteText"/>
        <w:rPr>
          <w:color w:val="000000" w:themeColor="text1"/>
          <w:sz w:val="16"/>
          <w:lang w:val="en-US"/>
        </w:rPr>
      </w:pPr>
      <w:r w:rsidRPr="00A7684E">
        <w:rPr>
          <w:rStyle w:val="FootnoteReference"/>
          <w:color w:val="000000" w:themeColor="text1"/>
          <w:sz w:val="16"/>
        </w:rPr>
        <w:footnoteRef/>
      </w:r>
      <w:r w:rsidRPr="00A7684E">
        <w:rPr>
          <w:color w:val="000000" w:themeColor="text1"/>
          <w:sz w:val="16"/>
        </w:rPr>
        <w:t xml:space="preserve"> Full stop substituted by a colon </w:t>
      </w:r>
      <w:r w:rsidRPr="00A7684E">
        <w:rPr>
          <w:color w:val="000000" w:themeColor="text1"/>
          <w:sz w:val="16"/>
          <w:lang w:val="en-US"/>
        </w:rPr>
        <w:t>by the Finance Act, 2014.</w:t>
      </w:r>
    </w:p>
  </w:footnote>
  <w:footnote w:id="505">
    <w:p w:rsidR="00BF2117" w:rsidRPr="00A7684E" w:rsidRDefault="00BF2117">
      <w:pPr>
        <w:pStyle w:val="FootnoteText"/>
        <w:rPr>
          <w:color w:val="000000" w:themeColor="text1"/>
          <w:lang w:val="en-US"/>
        </w:rPr>
      </w:pPr>
      <w:r w:rsidRPr="00A7684E">
        <w:rPr>
          <w:rStyle w:val="FootnoteReference"/>
          <w:color w:val="000000" w:themeColor="text1"/>
        </w:rPr>
        <w:footnoteRef/>
      </w:r>
      <w:r w:rsidRPr="00A7684E">
        <w:rPr>
          <w:color w:val="000000" w:themeColor="text1"/>
          <w:sz w:val="16"/>
          <w:szCs w:val="16"/>
        </w:rPr>
        <w:t>Added by the Finance Act, 2014.</w:t>
      </w:r>
    </w:p>
  </w:footnote>
  <w:footnote w:id="506">
    <w:p w:rsidR="00BF2117" w:rsidRPr="00412620" w:rsidRDefault="00BF2117">
      <w:pPr>
        <w:pStyle w:val="FootnoteText"/>
        <w:rPr>
          <w:sz w:val="16"/>
          <w:szCs w:val="16"/>
        </w:rPr>
      </w:pPr>
      <w:r w:rsidRPr="00412620">
        <w:rPr>
          <w:rStyle w:val="FootnoteReference"/>
          <w:sz w:val="16"/>
          <w:szCs w:val="16"/>
        </w:rPr>
        <w:footnoteRef/>
      </w:r>
      <w:r w:rsidRPr="00412620">
        <w:rPr>
          <w:sz w:val="16"/>
          <w:szCs w:val="16"/>
        </w:rPr>
        <w:t xml:space="preserve"> Sub-section (2) omitted by the Finance Act, 2007. The omitted sub-section (2) read as follows: </w:t>
      </w:r>
    </w:p>
    <w:p w:rsidR="00BF2117" w:rsidRPr="00412620" w:rsidRDefault="00BF2117" w:rsidP="00E741E9">
      <w:pPr>
        <w:pStyle w:val="FootnoteText"/>
        <w:ind w:left="90" w:firstLine="0"/>
        <w:jc w:val="both"/>
        <w:rPr>
          <w:lang w:val="en-US"/>
        </w:rPr>
      </w:pPr>
      <w:r w:rsidRPr="00412620">
        <w:rPr>
          <w:sz w:val="16"/>
          <w:szCs w:val="16"/>
        </w:rPr>
        <w:t>“</w:t>
      </w:r>
      <w:r w:rsidRPr="00412620">
        <w:rPr>
          <w:rFonts w:cs="Arial"/>
          <w:sz w:val="16"/>
          <w:szCs w:val="16"/>
        </w:rPr>
        <w:t xml:space="preserve"> (2)</w:t>
      </w:r>
      <w:r w:rsidRPr="00412620">
        <w:rPr>
          <w:rFonts w:cs="Arial"/>
          <w:sz w:val="16"/>
          <w:szCs w:val="16"/>
        </w:rPr>
        <w:tab/>
        <w:t>Sub-section (1) shall not apply to an association of persons that is a professional firm prohibited from incorporating by any law or the rules of the body regulating the profession.”</w:t>
      </w:r>
    </w:p>
  </w:footnote>
  <w:footnote w:id="507">
    <w:p w:rsidR="00BF2117" w:rsidRPr="00412620" w:rsidRDefault="00BF2117">
      <w:pPr>
        <w:pStyle w:val="FootnoteText"/>
        <w:rPr>
          <w:sz w:val="16"/>
          <w:szCs w:val="16"/>
        </w:rPr>
      </w:pPr>
      <w:r w:rsidRPr="00412620">
        <w:rPr>
          <w:rStyle w:val="FootnoteReference"/>
          <w:sz w:val="20"/>
          <w:szCs w:val="16"/>
        </w:rPr>
        <w:footnoteRef/>
      </w:r>
      <w:r w:rsidRPr="00412620">
        <w:rPr>
          <w:sz w:val="16"/>
          <w:szCs w:val="16"/>
        </w:rPr>
        <w:t>Sub-section (3) omitted by the Finance Act, 2007. The omitted sub-section (3) read as follows:</w:t>
      </w:r>
    </w:p>
    <w:p w:rsidR="00BF2117" w:rsidRPr="00412620" w:rsidRDefault="00BF2117" w:rsidP="00E741E9">
      <w:pPr>
        <w:pStyle w:val="FootnoteText"/>
        <w:ind w:left="90" w:firstLine="0"/>
        <w:jc w:val="both"/>
        <w:rPr>
          <w:sz w:val="16"/>
          <w:szCs w:val="16"/>
          <w:lang w:val="en-US"/>
        </w:rPr>
      </w:pPr>
      <w:r w:rsidRPr="00412620">
        <w:rPr>
          <w:sz w:val="16"/>
          <w:szCs w:val="16"/>
        </w:rPr>
        <w:t>“(3)  An association of persons to which subsection (2) applies shall not be liable to tax and the income of the association shall be taxed to the members in accordance with section 93”.</w:t>
      </w:r>
    </w:p>
  </w:footnote>
  <w:footnote w:id="508">
    <w:p w:rsidR="00BF2117" w:rsidRPr="001347D7" w:rsidRDefault="00BF2117" w:rsidP="00E741E9">
      <w:pPr>
        <w:jc w:val="both"/>
        <w:rPr>
          <w:sz w:val="16"/>
          <w:szCs w:val="16"/>
        </w:rPr>
      </w:pPr>
      <w:r w:rsidRPr="001347D7">
        <w:rPr>
          <w:rStyle w:val="FootnoteReference"/>
          <w:sz w:val="16"/>
          <w:szCs w:val="16"/>
        </w:rPr>
        <w:footnoteRef/>
      </w:r>
      <w:r w:rsidRPr="001347D7">
        <w:rPr>
          <w:sz w:val="16"/>
          <w:szCs w:val="16"/>
        </w:rPr>
        <w:t xml:space="preserve"> Sub-section (4) omitted by the Finance Act, 2007. The omitted sub-section (4) read as follows: </w:t>
      </w:r>
    </w:p>
    <w:p w:rsidR="00BF2117" w:rsidRPr="00412620" w:rsidRDefault="00BF2117" w:rsidP="003976FE">
      <w:pPr>
        <w:pStyle w:val="FootnoteText"/>
        <w:ind w:left="90" w:firstLine="0"/>
        <w:jc w:val="both"/>
        <w:rPr>
          <w:lang w:val="en-US"/>
        </w:rPr>
      </w:pPr>
      <w:r w:rsidRPr="001347D7">
        <w:rPr>
          <w:sz w:val="16"/>
          <w:szCs w:val="16"/>
        </w:rPr>
        <w:t>“(4)</w:t>
      </w:r>
      <w:r w:rsidRPr="00412620">
        <w:rPr>
          <w:rFonts w:cs="Arial"/>
          <w:sz w:val="16"/>
          <w:szCs w:val="16"/>
        </w:rPr>
        <w:t xml:space="preserve">An </w:t>
      </w:r>
      <w:r w:rsidRPr="00412620">
        <w:rPr>
          <w:sz w:val="16"/>
          <w:szCs w:val="16"/>
        </w:rPr>
        <w:t>association</w:t>
      </w:r>
      <w:r w:rsidRPr="00412620">
        <w:rPr>
          <w:rFonts w:cs="Arial"/>
          <w:sz w:val="16"/>
          <w:szCs w:val="16"/>
        </w:rPr>
        <w:t xml:space="preserve"> of persons referred to in sub-section (3) shall furnish a return of total income for each tax year.</w:t>
      </w:r>
    </w:p>
  </w:footnote>
  <w:footnote w:id="509">
    <w:p w:rsidR="00BF2117" w:rsidRPr="00412620" w:rsidRDefault="00BF2117">
      <w:pPr>
        <w:pStyle w:val="FootnoteText"/>
        <w:rPr>
          <w:sz w:val="16"/>
          <w:szCs w:val="16"/>
        </w:rPr>
      </w:pPr>
      <w:r w:rsidRPr="00412620">
        <w:rPr>
          <w:rStyle w:val="FootnoteReference"/>
        </w:rPr>
        <w:footnoteRef/>
      </w:r>
      <w:r w:rsidRPr="00412620">
        <w:rPr>
          <w:sz w:val="16"/>
          <w:szCs w:val="16"/>
        </w:rPr>
        <w:t>Sub-section (5) omitted by the Finance Act, 2007. The omitted sub-section (5) read as follows:</w:t>
      </w:r>
    </w:p>
    <w:p w:rsidR="00BF2117" w:rsidRPr="00412620" w:rsidRDefault="00BF2117" w:rsidP="003976FE">
      <w:pPr>
        <w:pStyle w:val="FootnoteText"/>
        <w:ind w:left="90" w:firstLine="0"/>
        <w:jc w:val="both"/>
        <w:rPr>
          <w:sz w:val="16"/>
          <w:szCs w:val="16"/>
          <w:lang w:val="en-US"/>
        </w:rPr>
      </w:pPr>
      <w:r w:rsidRPr="00412620">
        <w:rPr>
          <w:sz w:val="16"/>
          <w:szCs w:val="16"/>
        </w:rPr>
        <w:t>“</w:t>
      </w:r>
      <w:r w:rsidRPr="00412620">
        <w:rPr>
          <w:rFonts w:cs="Arial"/>
          <w:sz w:val="16"/>
          <w:szCs w:val="16"/>
        </w:rPr>
        <w:t>(5)</w:t>
      </w:r>
      <w:r w:rsidRPr="00412620">
        <w:rPr>
          <w:rFonts w:cs="Arial"/>
          <w:sz w:val="16"/>
          <w:szCs w:val="16"/>
        </w:rPr>
        <w:tab/>
        <w:t>Sections 114, 118 and 119 shall apply to a return of total income required to be furnished under sub-section (4).”</w:t>
      </w:r>
    </w:p>
  </w:footnote>
  <w:footnote w:id="510">
    <w:p w:rsidR="00BF2117" w:rsidRPr="00412620" w:rsidRDefault="00BF2117">
      <w:pPr>
        <w:pStyle w:val="FootnoteText"/>
        <w:rPr>
          <w:sz w:val="16"/>
          <w:szCs w:val="16"/>
        </w:rPr>
      </w:pPr>
      <w:r w:rsidRPr="00412620">
        <w:rPr>
          <w:rStyle w:val="FootnoteReference"/>
          <w:sz w:val="18"/>
          <w:szCs w:val="16"/>
        </w:rPr>
        <w:footnoteRef/>
      </w:r>
      <w:r w:rsidRPr="00412620">
        <w:rPr>
          <w:sz w:val="16"/>
          <w:szCs w:val="16"/>
        </w:rPr>
        <w:t xml:space="preserve"> Section 93 omitted by the Finance Act, 2007. The omitted section read as follows: </w:t>
      </w:r>
    </w:p>
    <w:p w:rsidR="00BF2117" w:rsidRPr="00412620" w:rsidRDefault="00BF2117" w:rsidP="006F571E">
      <w:pPr>
        <w:ind w:left="90"/>
        <w:jc w:val="both"/>
        <w:rPr>
          <w:sz w:val="16"/>
          <w:szCs w:val="16"/>
        </w:rPr>
      </w:pPr>
      <w:r w:rsidRPr="00412620">
        <w:rPr>
          <w:rFonts w:cs="Arial"/>
          <w:sz w:val="16"/>
          <w:szCs w:val="16"/>
        </w:rPr>
        <w:t>“</w:t>
      </w:r>
      <w:r w:rsidRPr="00412620">
        <w:rPr>
          <w:rFonts w:cs="Arial"/>
          <w:b/>
          <w:sz w:val="16"/>
          <w:szCs w:val="16"/>
        </w:rPr>
        <w:t>93.</w:t>
      </w:r>
      <w:r w:rsidRPr="00412620">
        <w:rPr>
          <w:rFonts w:cs="Arial"/>
          <w:b/>
          <w:sz w:val="16"/>
          <w:szCs w:val="16"/>
        </w:rPr>
        <w:tab/>
        <w:t>Taxation of members of an association of persons.-</w:t>
      </w:r>
      <w:r w:rsidRPr="00412620">
        <w:rPr>
          <w:sz w:val="16"/>
          <w:szCs w:val="16"/>
        </w:rPr>
        <w:t xml:space="preserve"> (1)  Where sub-section (3) of section 92 applies, the income of a member of an association of persons chargeable under the head “Income from Business” for a tax year shall include –</w:t>
      </w:r>
    </w:p>
    <w:p w:rsidR="00BF2117" w:rsidRPr="00412620" w:rsidRDefault="00BF2117" w:rsidP="006F571E">
      <w:pPr>
        <w:pStyle w:val="BodyTextIndent"/>
        <w:ind w:left="1620" w:hanging="540"/>
        <w:jc w:val="both"/>
        <w:rPr>
          <w:rFonts w:cs="Arial"/>
          <w:sz w:val="16"/>
          <w:szCs w:val="16"/>
        </w:rPr>
      </w:pPr>
      <w:r w:rsidRPr="00412620">
        <w:rPr>
          <w:rFonts w:cs="Arial"/>
          <w:sz w:val="16"/>
          <w:szCs w:val="16"/>
        </w:rPr>
        <w:t>(a)</w:t>
      </w:r>
      <w:r w:rsidRPr="00412620">
        <w:rPr>
          <w:rFonts w:cs="Arial"/>
          <w:sz w:val="16"/>
          <w:szCs w:val="16"/>
        </w:rPr>
        <w:tab/>
        <w:t>in the case of a resident member, the member’s share in the total income of the association; or</w:t>
      </w:r>
    </w:p>
    <w:p w:rsidR="00BF2117" w:rsidRPr="00412620" w:rsidRDefault="00BF2117" w:rsidP="006F571E">
      <w:pPr>
        <w:pStyle w:val="BodyTextIndent"/>
        <w:ind w:left="1620" w:hanging="540"/>
        <w:jc w:val="both"/>
        <w:rPr>
          <w:rFonts w:cs="Arial"/>
          <w:sz w:val="16"/>
          <w:szCs w:val="16"/>
        </w:rPr>
      </w:pPr>
      <w:r w:rsidRPr="00412620">
        <w:rPr>
          <w:rFonts w:cs="Arial"/>
          <w:sz w:val="16"/>
          <w:szCs w:val="16"/>
        </w:rPr>
        <w:t>(b)</w:t>
      </w:r>
      <w:r w:rsidRPr="00412620">
        <w:rPr>
          <w:rFonts w:cs="Arial"/>
          <w:sz w:val="16"/>
          <w:szCs w:val="16"/>
        </w:rPr>
        <w:tab/>
        <w:t>in the case of a non-resident member, the member’s share in so much of the total income of the association as is attributable to Pakistani-source income.</w:t>
      </w:r>
    </w:p>
    <w:p w:rsidR="00BF2117" w:rsidRPr="00412620" w:rsidRDefault="00BF2117" w:rsidP="006F571E">
      <w:pPr>
        <w:ind w:left="90"/>
        <w:jc w:val="both"/>
        <w:rPr>
          <w:rFonts w:cs="Arial"/>
          <w:sz w:val="16"/>
          <w:szCs w:val="16"/>
        </w:rPr>
      </w:pPr>
      <w:r w:rsidRPr="00412620">
        <w:rPr>
          <w:rFonts w:cs="Arial"/>
          <w:sz w:val="16"/>
          <w:szCs w:val="16"/>
        </w:rPr>
        <w:tab/>
        <w:t>(2)</w:t>
      </w:r>
      <w:r w:rsidRPr="00412620">
        <w:rPr>
          <w:rFonts w:cs="Arial"/>
          <w:sz w:val="16"/>
          <w:szCs w:val="16"/>
        </w:rPr>
        <w:tab/>
        <w:t>Where an association of persons to which sub-section (3) of section 92 applies sustains a loss that cannot be set off against any other income of the association in accordance with section 56, the amount of the loss shall be apportioned among the members of the association according to their interest in the association and the members shall be entitled to have their share of the loss set off and carried forward for set off under Part VIII of Chapter III in computing their taxable income under this Ordinance.</w:t>
      </w:r>
    </w:p>
    <w:p w:rsidR="00BF2117" w:rsidRPr="00412620" w:rsidRDefault="00BF2117" w:rsidP="006F571E">
      <w:pPr>
        <w:ind w:left="90"/>
        <w:jc w:val="both"/>
        <w:rPr>
          <w:rFonts w:cs="Arial"/>
          <w:sz w:val="16"/>
          <w:szCs w:val="16"/>
        </w:rPr>
      </w:pPr>
      <w:r w:rsidRPr="00412620">
        <w:rPr>
          <w:rFonts w:cs="Arial"/>
          <w:sz w:val="16"/>
          <w:szCs w:val="16"/>
        </w:rPr>
        <w:tab/>
        <w:t>(3)</w:t>
      </w:r>
      <w:r w:rsidRPr="00412620">
        <w:rPr>
          <w:rFonts w:cs="Arial"/>
          <w:sz w:val="16"/>
          <w:szCs w:val="16"/>
        </w:rPr>
        <w:tab/>
        <w:t>The share of a loss referred to in sub-section (2) of a non-resident member shall be limited to the extent that the loss relates to the derivation of Pakistan-source income.</w:t>
      </w:r>
    </w:p>
    <w:p w:rsidR="00BF2117" w:rsidRPr="00412620" w:rsidRDefault="00BF2117" w:rsidP="006F571E">
      <w:pPr>
        <w:ind w:left="90"/>
        <w:jc w:val="both"/>
        <w:rPr>
          <w:rFonts w:cs="Arial"/>
          <w:sz w:val="16"/>
          <w:szCs w:val="16"/>
        </w:rPr>
      </w:pPr>
      <w:r w:rsidRPr="00412620">
        <w:rPr>
          <w:rFonts w:cs="Arial"/>
          <w:sz w:val="16"/>
          <w:szCs w:val="16"/>
        </w:rPr>
        <w:tab/>
        <w:t>(4)</w:t>
      </w:r>
      <w:r w:rsidRPr="00412620">
        <w:rPr>
          <w:rFonts w:cs="Arial"/>
          <w:sz w:val="16"/>
          <w:szCs w:val="16"/>
        </w:rPr>
        <w:tab/>
        <w:t>The total income of an association of persons for the purposes of sub-section (1) and the loss of an association for the purposes of sub-section (2) shall be computed as if the association were a resident person.</w:t>
      </w:r>
    </w:p>
    <w:p w:rsidR="00BF2117" w:rsidRPr="00412620" w:rsidRDefault="00BF2117" w:rsidP="006F571E">
      <w:pPr>
        <w:ind w:left="90"/>
        <w:jc w:val="both"/>
        <w:rPr>
          <w:rFonts w:cs="Arial"/>
          <w:sz w:val="16"/>
          <w:szCs w:val="16"/>
        </w:rPr>
      </w:pPr>
      <w:r w:rsidRPr="00412620">
        <w:rPr>
          <w:rFonts w:cs="Arial"/>
          <w:sz w:val="16"/>
          <w:szCs w:val="16"/>
        </w:rPr>
        <w:tab/>
        <w:t>(5)</w:t>
      </w:r>
      <w:r w:rsidRPr="00412620">
        <w:rPr>
          <w:rFonts w:cs="Arial"/>
          <w:sz w:val="16"/>
          <w:szCs w:val="16"/>
        </w:rPr>
        <w:tab/>
        <w:t>Income, expenditures and losses of an association of persons to which this section applies shall retain their character as to geographic source and type of income, expenditure or loss in the hands of the members of the association, and shall be treated as having passed through the association on a pro rata basis, unless the Commissioner permits otherwise by order in writing to the association.</w:t>
      </w:r>
    </w:p>
    <w:p w:rsidR="00BF2117" w:rsidRPr="00412620" w:rsidRDefault="00BF2117" w:rsidP="006F571E">
      <w:pPr>
        <w:ind w:left="90"/>
        <w:jc w:val="both"/>
        <w:rPr>
          <w:rFonts w:cs="Arial"/>
          <w:sz w:val="20"/>
        </w:rPr>
      </w:pPr>
      <w:r w:rsidRPr="00412620">
        <w:rPr>
          <w:rFonts w:cs="Arial"/>
          <w:sz w:val="16"/>
          <w:szCs w:val="16"/>
        </w:rPr>
        <w:tab/>
        <w:t>(6)</w:t>
      </w:r>
      <w:r w:rsidRPr="00412620">
        <w:rPr>
          <w:rFonts w:cs="Arial"/>
          <w:sz w:val="16"/>
          <w:szCs w:val="16"/>
        </w:rPr>
        <w:tab/>
        <w:t>The share of a member in the total income of an association of persons shall be determined according to the  member’s interest in the association and shall include any profit on debt, brokerage, commission, salary or other remuneration received or due from the association.”</w:t>
      </w:r>
    </w:p>
    <w:p w:rsidR="00BF2117" w:rsidRPr="00412620" w:rsidRDefault="00BF2117">
      <w:pPr>
        <w:pStyle w:val="FootnoteText"/>
        <w:rPr>
          <w:lang w:val="en-US"/>
        </w:rPr>
      </w:pPr>
    </w:p>
  </w:footnote>
  <w:footnote w:id="511">
    <w:p w:rsidR="00BF2117" w:rsidRPr="00F363E7" w:rsidRDefault="00BF2117">
      <w:pPr>
        <w:pStyle w:val="FootnoteText"/>
        <w:rPr>
          <w:lang w:val="en-US"/>
        </w:rPr>
      </w:pPr>
      <w:r>
        <w:rPr>
          <w:rStyle w:val="FootnoteReference"/>
        </w:rPr>
        <w:footnoteRef/>
      </w:r>
      <w:r w:rsidRPr="00412620">
        <w:rPr>
          <w:sz w:val="16"/>
          <w:szCs w:val="16"/>
        </w:rPr>
        <w:t>The word “</w:t>
      </w:r>
      <w:r>
        <w:rPr>
          <w:sz w:val="16"/>
          <w:szCs w:val="16"/>
        </w:rPr>
        <w:t>resident</w:t>
      </w:r>
      <w:r w:rsidRPr="00412620">
        <w:rPr>
          <w:sz w:val="16"/>
          <w:szCs w:val="16"/>
        </w:rPr>
        <w:t>” omitted by the Finance Act, 20</w:t>
      </w:r>
      <w:r>
        <w:rPr>
          <w:sz w:val="16"/>
          <w:szCs w:val="16"/>
        </w:rPr>
        <w:t>15</w:t>
      </w:r>
    </w:p>
  </w:footnote>
  <w:footnote w:id="512">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The words “at fair market value” omitted by the Finance Act, 2007.</w:t>
      </w:r>
    </w:p>
  </w:footnote>
  <w:footnote w:id="513">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The words “at fair market value” omitted by the Finance Act, 2007.</w:t>
      </w:r>
    </w:p>
  </w:footnote>
  <w:footnote w:id="51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515">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The words “at fair market value” omitted by the Finance Act, 2007.</w:t>
      </w:r>
    </w:p>
  </w:footnote>
  <w:footnote w:id="516">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Inserted by the Finance Act, 2007.</w:t>
      </w:r>
    </w:p>
  </w:footnote>
  <w:footnote w:id="517">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518">
    <w:p w:rsidR="00BF2117" w:rsidRPr="00C13665" w:rsidRDefault="00BF2117" w:rsidP="00504686">
      <w:pPr>
        <w:pStyle w:val="FootnoteText"/>
        <w:ind w:left="90" w:hanging="90"/>
        <w:jc w:val="both"/>
        <w:rPr>
          <w:color w:val="7030A0"/>
          <w:sz w:val="16"/>
          <w:szCs w:val="16"/>
          <w:lang w:val="en-US"/>
        </w:rPr>
      </w:pPr>
      <w:r w:rsidRPr="00B70268">
        <w:rPr>
          <w:rStyle w:val="FootnoteReference"/>
          <w:color w:val="000000" w:themeColor="text1"/>
          <w:sz w:val="16"/>
          <w:szCs w:val="16"/>
        </w:rPr>
        <w:footnoteRef/>
      </w:r>
      <w:r w:rsidRPr="00B70268">
        <w:rPr>
          <w:color w:val="000000" w:themeColor="text1"/>
          <w:sz w:val="16"/>
          <w:szCs w:val="16"/>
        </w:rPr>
        <w:t xml:space="preserve"> Inserted by the National Assembly Secretariat’s O.M. No.F.22(2)/2016-Legis dated 29.01.2016</w:t>
      </w:r>
      <w:r>
        <w:rPr>
          <w:color w:val="7030A0"/>
          <w:sz w:val="16"/>
          <w:szCs w:val="16"/>
        </w:rPr>
        <w:t xml:space="preserve">. </w:t>
      </w:r>
    </w:p>
  </w:footnote>
  <w:footnote w:id="519">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Inserted by the Finance Act, 2007.</w:t>
      </w:r>
    </w:p>
  </w:footnote>
  <w:footnote w:id="520">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2012.</w:t>
      </w:r>
    </w:p>
  </w:footnote>
  <w:footnote w:id="521">
    <w:p w:rsidR="00BF2117" w:rsidRPr="00A7684E" w:rsidRDefault="00BF2117" w:rsidP="004328CA">
      <w:pPr>
        <w:rPr>
          <w:color w:val="000000" w:themeColor="text1"/>
          <w:sz w:val="16"/>
          <w:szCs w:val="16"/>
        </w:rPr>
      </w:pPr>
      <w:r w:rsidRPr="00A7684E">
        <w:rPr>
          <w:rStyle w:val="FootnoteReference"/>
          <w:color w:val="000000" w:themeColor="text1"/>
          <w:sz w:val="16"/>
          <w:szCs w:val="16"/>
        </w:rPr>
        <w:footnoteRef/>
      </w:r>
      <w:r w:rsidRPr="00A7684E">
        <w:rPr>
          <w:color w:val="000000" w:themeColor="text1"/>
          <w:sz w:val="16"/>
          <w:szCs w:val="16"/>
        </w:rPr>
        <w:t xml:space="preserve"> Clause (d) substituted by new clause (d) by the Finance Act, 2014. The substituted clause read as follows:</w:t>
      </w:r>
    </w:p>
    <w:p w:rsidR="00BF2117" w:rsidRPr="00A7684E" w:rsidRDefault="00BF2117" w:rsidP="001347D7">
      <w:pPr>
        <w:ind w:left="547"/>
        <w:rPr>
          <w:color w:val="000000" w:themeColor="text1"/>
          <w:sz w:val="16"/>
          <w:szCs w:val="16"/>
          <w:lang w:val="en-US"/>
        </w:rPr>
      </w:pPr>
      <w:r w:rsidRPr="00A7684E">
        <w:rPr>
          <w:color w:val="000000" w:themeColor="text1"/>
          <w:sz w:val="16"/>
          <w:szCs w:val="16"/>
        </w:rPr>
        <w:t xml:space="preserve">“(d) “a foreign institutional investor” being a person registered with NCCPL as a foreign institutional investor; and” </w:t>
      </w:r>
    </w:p>
  </w:footnote>
  <w:footnote w:id="522">
    <w:p w:rsidR="00BF2117" w:rsidRPr="00A7684E" w:rsidRDefault="00BF2117">
      <w:pPr>
        <w:pStyle w:val="FootnoteText"/>
        <w:rPr>
          <w:color w:val="000000" w:themeColor="text1"/>
          <w:sz w:val="16"/>
          <w:szCs w:val="16"/>
          <w:lang w:val="en-US"/>
        </w:rPr>
      </w:pPr>
      <w:r w:rsidRPr="00A7684E">
        <w:rPr>
          <w:rStyle w:val="FootnoteReference"/>
          <w:color w:val="000000" w:themeColor="text1"/>
          <w:sz w:val="16"/>
          <w:szCs w:val="16"/>
        </w:rPr>
        <w:footnoteRef/>
      </w:r>
      <w:r w:rsidRPr="00A7684E">
        <w:rPr>
          <w:color w:val="000000" w:themeColor="text1"/>
          <w:sz w:val="16"/>
          <w:szCs w:val="16"/>
        </w:rPr>
        <w:t xml:space="preserve"> Inserted by the Finance Act, 2014.</w:t>
      </w:r>
    </w:p>
  </w:footnote>
  <w:footnote w:id="523">
    <w:p w:rsidR="00BF2117" w:rsidRPr="0093066A" w:rsidRDefault="00BF2117">
      <w:pPr>
        <w:pStyle w:val="FootnoteText"/>
        <w:rPr>
          <w:lang w:val="en-US"/>
        </w:rPr>
      </w:pPr>
      <w:r>
        <w:rPr>
          <w:rStyle w:val="FootnoteReference"/>
        </w:rPr>
        <w:footnoteRef/>
      </w:r>
      <w:r w:rsidRPr="0093066A">
        <w:rPr>
          <w:color w:val="000000" w:themeColor="text1"/>
          <w:sz w:val="16"/>
          <w:szCs w:val="16"/>
        </w:rPr>
        <w:t>Inserted by the Finance Act, 201</w:t>
      </w:r>
      <w:r>
        <w:rPr>
          <w:color w:val="000000" w:themeColor="text1"/>
          <w:sz w:val="16"/>
          <w:szCs w:val="16"/>
        </w:rPr>
        <w:t>5</w:t>
      </w:r>
      <w:r w:rsidRPr="0093066A">
        <w:rPr>
          <w:color w:val="000000" w:themeColor="text1"/>
          <w:sz w:val="16"/>
          <w:szCs w:val="16"/>
        </w:rPr>
        <w:t>.</w:t>
      </w:r>
    </w:p>
  </w:footnote>
  <w:footnote w:id="524">
    <w:p w:rsidR="00BF2117" w:rsidRPr="0049680D" w:rsidRDefault="00BF2117">
      <w:pPr>
        <w:pStyle w:val="FootnoteText"/>
        <w:rPr>
          <w:lang w:val="en-US"/>
        </w:rPr>
      </w:pPr>
      <w:r>
        <w:rPr>
          <w:rStyle w:val="FootnoteReference"/>
        </w:rPr>
        <w:footnoteRef/>
      </w:r>
      <w:r w:rsidRPr="0093066A">
        <w:rPr>
          <w:color w:val="000000" w:themeColor="text1"/>
          <w:sz w:val="16"/>
          <w:szCs w:val="16"/>
        </w:rPr>
        <w:t>Inserted by the Finance Act, 201</w:t>
      </w:r>
      <w:r>
        <w:rPr>
          <w:color w:val="000000" w:themeColor="text1"/>
          <w:sz w:val="16"/>
          <w:szCs w:val="16"/>
        </w:rPr>
        <w:t>5</w:t>
      </w:r>
    </w:p>
  </w:footnote>
  <w:footnote w:id="525">
    <w:p w:rsidR="00BF2117" w:rsidRPr="00EC72D4" w:rsidRDefault="00BF2117">
      <w:pPr>
        <w:pStyle w:val="FootnoteText"/>
        <w:rPr>
          <w:lang w:val="en-US"/>
        </w:rPr>
      </w:pPr>
      <w:r w:rsidRPr="00EC72D4">
        <w:rPr>
          <w:rStyle w:val="FootnoteReference"/>
          <w:sz w:val="16"/>
          <w:szCs w:val="16"/>
        </w:rPr>
        <w:footnoteRef/>
      </w:r>
      <w:r w:rsidRPr="00EC72D4">
        <w:rPr>
          <w:sz w:val="16"/>
          <w:szCs w:val="16"/>
        </w:rPr>
        <w:t xml:space="preserve"> The word</w:t>
      </w:r>
      <w:r>
        <w:rPr>
          <w:sz w:val="16"/>
          <w:szCs w:val="16"/>
        </w:rPr>
        <w:t xml:space="preserve"> and hyphen</w:t>
      </w:r>
      <w:r w:rsidRPr="00EC72D4">
        <w:rPr>
          <w:sz w:val="16"/>
          <w:szCs w:val="16"/>
        </w:rPr>
        <w:t xml:space="preserve"> “sub-“</w:t>
      </w:r>
      <w:r>
        <w:rPr>
          <w:sz w:val="16"/>
          <w:szCs w:val="16"/>
        </w:rPr>
        <w:t xml:space="preserve"> </w:t>
      </w:r>
      <w:r w:rsidRPr="00EC72D4">
        <w:rPr>
          <w:sz w:val="16"/>
          <w:szCs w:val="16"/>
        </w:rPr>
        <w:t>omitted</w:t>
      </w:r>
      <w:r>
        <w:rPr>
          <w:sz w:val="16"/>
          <w:szCs w:val="16"/>
        </w:rPr>
        <w:t xml:space="preserve"> </w:t>
      </w:r>
      <w:r w:rsidRPr="0093066A">
        <w:rPr>
          <w:color w:val="000000" w:themeColor="text1"/>
          <w:sz w:val="16"/>
          <w:szCs w:val="16"/>
        </w:rPr>
        <w:t>by the Finance Act, 201</w:t>
      </w:r>
      <w:r>
        <w:rPr>
          <w:color w:val="000000" w:themeColor="text1"/>
          <w:sz w:val="16"/>
          <w:szCs w:val="16"/>
        </w:rPr>
        <w:t>5.</w:t>
      </w:r>
    </w:p>
  </w:footnote>
  <w:footnote w:id="526">
    <w:p w:rsidR="00BF2117" w:rsidRPr="00412620" w:rsidRDefault="00BF2117">
      <w:pPr>
        <w:pStyle w:val="FootnoteText"/>
        <w:rPr>
          <w:lang w:val="en-US"/>
        </w:rPr>
      </w:pPr>
      <w:r w:rsidRPr="00412620">
        <w:rPr>
          <w:rStyle w:val="FootnoteReference"/>
        </w:rPr>
        <w:footnoteRef/>
      </w:r>
      <w:r w:rsidRPr="00412620">
        <w:rPr>
          <w:sz w:val="16"/>
          <w:lang w:val="en-US"/>
        </w:rPr>
        <w:t>The words “local authority” substituted by the Finance Act, 2008.</w:t>
      </w:r>
    </w:p>
  </w:footnote>
  <w:footnote w:id="527">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“or” omitted by the Finance Act, 2003.</w:t>
      </w:r>
    </w:p>
  </w:footnote>
  <w:footnote w:id="528">
    <w:p w:rsidR="00BF2117" w:rsidRPr="00412620" w:rsidRDefault="00BF2117">
      <w:pPr>
        <w:pStyle w:val="FootnoteText"/>
        <w:rPr>
          <w:sz w:val="16"/>
        </w:rPr>
      </w:pPr>
      <w:r w:rsidRPr="00412620">
        <w:rPr>
          <w:rStyle w:val="FootnoteReference"/>
          <w:rFonts w:cs="Arial"/>
          <w:sz w:val="16"/>
        </w:rPr>
        <w:footnoteRef/>
      </w:r>
      <w:r w:rsidRPr="00412620">
        <w:rPr>
          <w:sz w:val="16"/>
        </w:rPr>
        <w:t xml:space="preserve"> Full stop substituted by the Finance Act, 2003.</w:t>
      </w:r>
    </w:p>
  </w:footnote>
  <w:footnote w:id="529">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530">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Sub-section (4) substituted by the Finance Act, 2003. The substituted sub-section (4) read as follows: -</w:t>
      </w:r>
    </w:p>
    <w:p w:rsidR="00BF2117" w:rsidRPr="00412620" w:rsidRDefault="00BF2117">
      <w:pPr>
        <w:keepNext/>
        <w:ind w:left="90" w:firstLine="457"/>
        <w:jc w:val="both"/>
        <w:rPr>
          <w:rFonts w:cs="Arial"/>
          <w:sz w:val="16"/>
        </w:rPr>
      </w:pPr>
      <w:r w:rsidRPr="00412620">
        <w:rPr>
          <w:rFonts w:cs="Arial"/>
          <w:sz w:val="16"/>
        </w:rPr>
        <w:t>“(4)</w:t>
      </w:r>
      <w:r w:rsidRPr="00412620">
        <w:rPr>
          <w:rFonts w:cs="Arial"/>
          <w:sz w:val="16"/>
        </w:rPr>
        <w:tab/>
        <w:t>Where the business of a non-resident person comprises the rendering of independent services (including professional services and the services of entertainers and sports-persons), the Pakistan-source business income of the person shall include (in addition to any amounts treated as Pakistan-source income under sub-section (3)) any remuneration derived by the person where –</w:t>
      </w:r>
    </w:p>
    <w:p w:rsidR="00BF2117" w:rsidRPr="00412620" w:rsidRDefault="00BF2117">
      <w:pPr>
        <w:keepNext/>
        <w:ind w:left="1635" w:hanging="555"/>
        <w:jc w:val="both"/>
        <w:rPr>
          <w:rFonts w:cs="Arial"/>
          <w:sz w:val="16"/>
        </w:rPr>
      </w:pPr>
      <w:r w:rsidRPr="00412620">
        <w:rPr>
          <w:rFonts w:cs="Arial"/>
          <w:sz w:val="16"/>
        </w:rPr>
        <w:t>(a)</w:t>
      </w:r>
      <w:r w:rsidRPr="00412620">
        <w:rPr>
          <w:rFonts w:cs="Arial"/>
          <w:sz w:val="16"/>
        </w:rPr>
        <w:tab/>
        <w:t>the remuneration is paid by a resident person or borne by a permanent establishment in Pakistan of a non-resident; person; and</w:t>
      </w:r>
    </w:p>
    <w:p w:rsidR="00BF2117" w:rsidRPr="00412620" w:rsidRDefault="00BF2117" w:rsidP="0027157C">
      <w:pPr>
        <w:pStyle w:val="FootnoteText"/>
        <w:ind w:left="1635" w:hanging="555"/>
        <w:jc w:val="both"/>
        <w:rPr>
          <w:rFonts w:cs="Arial"/>
          <w:sz w:val="16"/>
        </w:rPr>
      </w:pPr>
      <w:r w:rsidRPr="00412620">
        <w:rPr>
          <w:rFonts w:cs="Arial"/>
          <w:sz w:val="16"/>
        </w:rPr>
        <w:t>(b)</w:t>
      </w:r>
      <w:r w:rsidRPr="00412620">
        <w:rPr>
          <w:rFonts w:cs="Arial"/>
          <w:sz w:val="16"/>
        </w:rPr>
        <w:tab/>
        <w:t>the aggregate gross amount (before deduction of expenses) of the remuneration is sixty thousand rupees or more.”</w:t>
      </w:r>
    </w:p>
  </w:footnote>
  <w:footnote w:id="531">
    <w:p w:rsidR="00BF2117" w:rsidRPr="00412620" w:rsidRDefault="00BF2117">
      <w:pPr>
        <w:pStyle w:val="FootnoteText"/>
        <w:rPr>
          <w:lang w:val="en-US"/>
        </w:rPr>
      </w:pPr>
      <w:r w:rsidRPr="00412620">
        <w:rPr>
          <w:rStyle w:val="FootnoteReference"/>
        </w:rPr>
        <w:footnoteRef/>
      </w:r>
      <w:r w:rsidRPr="00412620">
        <w:rPr>
          <w:sz w:val="16"/>
        </w:rPr>
        <w:t xml:space="preserve"> The words and full stop “paid by a resident company.” substituted by the Finance Act, 2012.</w:t>
      </w:r>
    </w:p>
  </w:footnote>
  <w:footnote w:id="532">
    <w:p w:rsidR="00BF2117" w:rsidRPr="00412620" w:rsidRDefault="00BF2117">
      <w:pPr>
        <w:pStyle w:val="FootnoteText"/>
        <w:rPr>
          <w:lang w:val="en-US"/>
        </w:rPr>
      </w:pPr>
      <w:r w:rsidRPr="00412620">
        <w:rPr>
          <w:rStyle w:val="FootnoteReference"/>
        </w:rPr>
        <w:footnoteRef/>
      </w:r>
      <w:r w:rsidRPr="00412620">
        <w:rPr>
          <w:sz w:val="16"/>
        </w:rPr>
        <w:t>Added by the Finance Act, 2012.</w:t>
      </w:r>
    </w:p>
  </w:footnote>
  <w:footnote w:id="533">
    <w:p w:rsidR="00BF2117" w:rsidRPr="00412620" w:rsidRDefault="00BF2117" w:rsidP="003319AD">
      <w:pPr>
        <w:pStyle w:val="FootnoteText"/>
        <w:rPr>
          <w:lang w:val="en-US"/>
        </w:rPr>
      </w:pPr>
      <w:r w:rsidRPr="00412620">
        <w:rPr>
          <w:rStyle w:val="FootnoteReference"/>
        </w:rPr>
        <w:footnoteRef/>
      </w:r>
      <w:r w:rsidRPr="00412620">
        <w:rPr>
          <w:sz w:val="16"/>
        </w:rPr>
        <w:t>Added by the Finance Act, 2012.</w:t>
      </w:r>
    </w:p>
    <w:p w:rsidR="00BF2117" w:rsidRPr="00412620" w:rsidRDefault="00BF2117">
      <w:pPr>
        <w:pStyle w:val="FootnoteText"/>
        <w:rPr>
          <w:lang w:val="en-US"/>
        </w:rPr>
      </w:pPr>
    </w:p>
  </w:footnote>
  <w:footnote w:id="534">
    <w:p w:rsidR="00BF2117" w:rsidRPr="00412620" w:rsidRDefault="00BF2117">
      <w:pPr>
        <w:pStyle w:val="FootnoteText"/>
        <w:rPr>
          <w:sz w:val="16"/>
          <w:szCs w:val="16"/>
          <w:lang w:val="en-US"/>
        </w:rPr>
      </w:pPr>
      <w:r w:rsidRPr="00412620">
        <w:rPr>
          <w:rStyle w:val="FootnoteReference"/>
        </w:rPr>
        <w:footnoteRef/>
      </w:r>
      <w:r w:rsidRPr="00412620">
        <w:rPr>
          <w:sz w:val="16"/>
          <w:szCs w:val="16"/>
          <w:lang w:val="en-US"/>
        </w:rPr>
        <w:t>Inserted by the Finance Act, 2008.</w:t>
      </w:r>
    </w:p>
  </w:footnote>
  <w:footnote w:id="53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536">
    <w:p w:rsidR="00BF2117" w:rsidRPr="00412620" w:rsidRDefault="00BF2117">
      <w:pPr>
        <w:pStyle w:val="FootnoteText"/>
        <w:rPr>
          <w:sz w:val="16"/>
          <w:szCs w:val="16"/>
          <w:lang w:val="en-US"/>
        </w:rPr>
      </w:pPr>
      <w:r w:rsidRPr="00412620">
        <w:rPr>
          <w:rStyle w:val="FootnoteReference"/>
        </w:rPr>
        <w:footnoteRef/>
      </w:r>
      <w:r w:rsidRPr="00412620">
        <w:rPr>
          <w:sz w:val="16"/>
          <w:szCs w:val="16"/>
          <w:lang w:val="en-US"/>
        </w:rPr>
        <w:t>Inserted by the Finance Act, 2008.</w:t>
      </w:r>
    </w:p>
  </w:footnote>
  <w:footnote w:id="537">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words “corporate tax” substituted by the Finance Act, 2002</w:t>
      </w:r>
    </w:p>
  </w:footnote>
  <w:footnote w:id="538">
    <w:p w:rsidR="00BF2117" w:rsidRPr="000D6194" w:rsidRDefault="00BF2117" w:rsidP="000951D6">
      <w:pPr>
        <w:autoSpaceDE w:val="0"/>
        <w:autoSpaceDN w:val="0"/>
        <w:adjustRightInd w:val="0"/>
        <w:jc w:val="both"/>
        <w:rPr>
          <w:lang w:val="en-US"/>
        </w:rPr>
      </w:pPr>
      <w:r w:rsidRPr="000D6194">
        <w:rPr>
          <w:rStyle w:val="FootnoteReference"/>
          <w:sz w:val="16"/>
          <w:szCs w:val="16"/>
        </w:rPr>
        <w:footnoteRef/>
      </w:r>
      <w:r w:rsidRPr="000D6194">
        <w:rPr>
          <w:sz w:val="16"/>
          <w:szCs w:val="16"/>
        </w:rPr>
        <w:t xml:space="preserve"> The sub-section (1) substituted by Finance Act, 2015. Substituted sub-section (1) read as follows:-  </w:t>
      </w:r>
      <w:r>
        <w:rPr>
          <w:sz w:val="16"/>
          <w:szCs w:val="16"/>
        </w:rPr>
        <w:t>“</w:t>
      </w:r>
      <w:r w:rsidRPr="000D6194">
        <w:rPr>
          <w:sz w:val="16"/>
          <w:szCs w:val="16"/>
        </w:rPr>
        <w:t>(1) The Federal Government may enter into an agreement with the government of a foreign country for the avoidance of double taxation and the prevention of fiscal evasion with respect to taxes on income imposed under this Ordinance and under the corresponding laws in force in that country, and may, by notification in the official Gazette make such provisions as may be necessary for implementing the agreement.</w:t>
      </w:r>
      <w:r>
        <w:rPr>
          <w:sz w:val="16"/>
          <w:szCs w:val="16"/>
        </w:rPr>
        <w:t>”</w:t>
      </w:r>
    </w:p>
  </w:footnote>
  <w:footnote w:id="539">
    <w:p w:rsidR="00BF2117" w:rsidRPr="0026128B" w:rsidRDefault="00BF2117" w:rsidP="00983C7C">
      <w:pPr>
        <w:pStyle w:val="FootnoteText"/>
        <w:ind w:left="90" w:hanging="90"/>
        <w:rPr>
          <w:color w:val="0070C0"/>
          <w:sz w:val="16"/>
          <w:szCs w:val="16"/>
        </w:rPr>
      </w:pPr>
      <w:r w:rsidRPr="0026128B">
        <w:rPr>
          <w:rStyle w:val="FootnoteReference"/>
          <w:color w:val="0070C0"/>
          <w:sz w:val="16"/>
          <w:szCs w:val="16"/>
        </w:rPr>
        <w:footnoteRef/>
      </w:r>
      <w:r w:rsidRPr="0026128B">
        <w:rPr>
          <w:color w:val="0070C0"/>
          <w:sz w:val="16"/>
          <w:szCs w:val="16"/>
        </w:rPr>
        <w:t xml:space="preserve"> Sub-section (1) substituted by the Finance Act, 2016. The substituted sub-section (1) reads as follows:-</w:t>
      </w:r>
    </w:p>
    <w:p w:rsidR="00BF2117" w:rsidRPr="0026128B" w:rsidRDefault="00BF2117" w:rsidP="00A92D63">
      <w:pPr>
        <w:pStyle w:val="FootnoteText"/>
        <w:ind w:left="547" w:firstLine="0"/>
        <w:jc w:val="both"/>
        <w:rPr>
          <w:color w:val="000000" w:themeColor="text1"/>
          <w:sz w:val="16"/>
          <w:szCs w:val="16"/>
          <w:lang w:val="en-US"/>
        </w:rPr>
      </w:pPr>
      <w:r w:rsidRPr="0026128B">
        <w:rPr>
          <w:color w:val="000000" w:themeColor="text1"/>
          <w:sz w:val="16"/>
          <w:szCs w:val="16"/>
        </w:rPr>
        <w:t>“</w:t>
      </w:r>
      <w:r w:rsidRPr="0026128B">
        <w:rPr>
          <w:rFonts w:cs="Arial"/>
          <w:color w:val="000000" w:themeColor="text1"/>
          <w:sz w:val="16"/>
          <w:szCs w:val="16"/>
          <w:lang w:val="en-US"/>
        </w:rPr>
        <w:t>(1) The Federal Government may enter into an agreement, bilateral or multilateral with the government or governments of foreign countries or tax jurisdictions for the avoidance of double taxation and the prevention of fiscal evasion and exchange of information including automatic exchange of information with respect to taxes on income imposed under this Ordinance or any other law for the time being in force and under the corresponding laws in force in that country, and may, by notification in the official Gazette, make such provisions as may be necessary for implementing the agreement.”</w:t>
      </w:r>
    </w:p>
  </w:footnote>
  <w:footnote w:id="540">
    <w:p w:rsidR="00BF2117" w:rsidRPr="000951D6" w:rsidRDefault="00BF2117">
      <w:pPr>
        <w:pStyle w:val="FootnoteText"/>
        <w:rPr>
          <w:lang w:val="en-US"/>
        </w:rPr>
      </w:pPr>
      <w:r>
        <w:rPr>
          <w:rStyle w:val="FootnoteReference"/>
        </w:rPr>
        <w:footnoteRef/>
      </w:r>
      <w:r w:rsidRPr="00412620">
        <w:rPr>
          <w:sz w:val="16"/>
          <w:szCs w:val="16"/>
        </w:rPr>
        <w:t>Inserted by the Finance Act, 201</w:t>
      </w:r>
      <w:r>
        <w:rPr>
          <w:sz w:val="16"/>
          <w:szCs w:val="16"/>
        </w:rPr>
        <w:t>5</w:t>
      </w:r>
    </w:p>
  </w:footnote>
  <w:footnote w:id="541">
    <w:p w:rsidR="00BF2117" w:rsidRPr="00A92D63" w:rsidRDefault="00BF2117" w:rsidP="0077439D">
      <w:pPr>
        <w:pStyle w:val="FootnoteText"/>
        <w:rPr>
          <w:sz w:val="16"/>
          <w:szCs w:val="16"/>
          <w:lang w:val="en-US"/>
        </w:rPr>
      </w:pPr>
      <w:r>
        <w:rPr>
          <w:rStyle w:val="FootnoteReference"/>
        </w:rPr>
        <w:footnoteRef/>
      </w:r>
      <w:r w:rsidRPr="00412620">
        <w:rPr>
          <w:sz w:val="16"/>
          <w:szCs w:val="16"/>
        </w:rPr>
        <w:t>Inserted by the Finance Act, 201</w:t>
      </w:r>
      <w:r>
        <w:rPr>
          <w:sz w:val="16"/>
          <w:szCs w:val="16"/>
        </w:rPr>
        <w:t>5</w:t>
      </w:r>
    </w:p>
  </w:footnote>
  <w:footnote w:id="542">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The expression “</w:t>
      </w:r>
      <w:r w:rsidRPr="0026128B">
        <w:rPr>
          <w:rFonts w:cs="Arial"/>
          <w:color w:val="0070C0"/>
          <w:sz w:val="16"/>
          <w:szCs w:val="16"/>
          <w:lang w:val="en-US"/>
        </w:rPr>
        <w:t>subject to sub-section (3) of section 216” omitted by the Finance Act, 2016</w:t>
      </w:r>
    </w:p>
  </w:footnote>
  <w:footnote w:id="543">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Inserted by the Finance Act, 2016.</w:t>
      </w:r>
    </w:p>
  </w:footnote>
  <w:footnote w:id="544">
    <w:p w:rsidR="00BF2117" w:rsidRPr="0026128B" w:rsidRDefault="00BF2117">
      <w:pPr>
        <w:pStyle w:val="FootnoteText"/>
        <w:rPr>
          <w:color w:val="0070C0"/>
          <w:lang w:val="en-US"/>
        </w:rPr>
      </w:pPr>
      <w:r w:rsidRPr="0026128B">
        <w:rPr>
          <w:rStyle w:val="FootnoteReference"/>
          <w:color w:val="0070C0"/>
        </w:rPr>
        <w:footnoteRef/>
      </w:r>
      <w:r w:rsidRPr="0026128B">
        <w:rPr>
          <w:color w:val="0070C0"/>
        </w:rPr>
        <w:t xml:space="preserve"> </w:t>
      </w:r>
      <w:r w:rsidRPr="0026128B">
        <w:rPr>
          <w:color w:val="0070C0"/>
          <w:sz w:val="16"/>
          <w:szCs w:val="16"/>
        </w:rPr>
        <w:t>Inserted by the Finance Act, 2016.</w:t>
      </w:r>
    </w:p>
  </w:footnote>
  <w:footnote w:id="545">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Added by the Finance Act, 2016.</w:t>
      </w:r>
    </w:p>
  </w:footnote>
  <w:footnote w:id="546">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 “or” omitted by the Finance Act, 2011.</w:t>
      </w:r>
    </w:p>
  </w:footnote>
  <w:footnote w:id="547">
    <w:p w:rsidR="00BF2117" w:rsidRPr="00412620" w:rsidRDefault="00BF2117">
      <w:pPr>
        <w:pStyle w:val="FootnoteText"/>
        <w:rPr>
          <w:sz w:val="16"/>
          <w:szCs w:val="16"/>
          <w:lang w:val="en-US"/>
        </w:rPr>
      </w:pPr>
      <w:r w:rsidRPr="00412620">
        <w:rPr>
          <w:rStyle w:val="FootnoteReference"/>
        </w:rPr>
        <w:footnoteRef/>
      </w:r>
      <w:r w:rsidRPr="00412620">
        <w:rPr>
          <w:sz w:val="16"/>
          <w:szCs w:val="16"/>
        </w:rPr>
        <w:t>Comma substituted by the Finance Act, 2011.</w:t>
      </w:r>
    </w:p>
  </w:footnote>
  <w:footnote w:id="548">
    <w:p w:rsidR="00BF2117" w:rsidRPr="00412620" w:rsidRDefault="00BF2117">
      <w:pPr>
        <w:pStyle w:val="FootnoteText"/>
        <w:rPr>
          <w:lang w:val="en-US"/>
        </w:rPr>
      </w:pPr>
      <w:r w:rsidRPr="00412620">
        <w:rPr>
          <w:rStyle w:val="FootnoteReference"/>
        </w:rPr>
        <w:footnoteRef/>
      </w:r>
      <w:r w:rsidRPr="00412620">
        <w:rPr>
          <w:sz w:val="16"/>
          <w:szCs w:val="16"/>
        </w:rPr>
        <w:t>Added by the Finance Act, 2011</w:t>
      </w:r>
    </w:p>
  </w:footnote>
  <w:footnote w:id="549">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2011.</w:t>
      </w:r>
    </w:p>
  </w:footnote>
  <w:footnote w:id="550">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2011.</w:t>
      </w:r>
    </w:p>
  </w:footnote>
  <w:footnote w:id="551">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“Business” substituted by the Finance Act, 2002</w:t>
      </w:r>
    </w:p>
  </w:footnote>
  <w:footnote w:id="552">
    <w:p w:rsidR="00BF2117" w:rsidRPr="00412620" w:rsidRDefault="00BF2117">
      <w:pPr>
        <w:pStyle w:val="FootnoteText"/>
        <w:rPr>
          <w:sz w:val="16"/>
          <w:szCs w:val="16"/>
          <w:lang w:val="en-US"/>
        </w:rPr>
      </w:pPr>
      <w:r w:rsidRPr="00412620">
        <w:rPr>
          <w:rStyle w:val="FootnoteReference"/>
        </w:rPr>
        <w:footnoteRef/>
      </w:r>
      <w:r w:rsidRPr="00412620">
        <w:rPr>
          <w:sz w:val="16"/>
          <w:szCs w:val="16"/>
        </w:rPr>
        <w:t>Full stop substituted by the Finance Act, 2013.</w:t>
      </w:r>
    </w:p>
  </w:footnote>
  <w:footnote w:id="553">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2013.</w:t>
      </w:r>
    </w:p>
  </w:footnote>
  <w:footnote w:id="554">
    <w:p w:rsidR="00BF2117" w:rsidRPr="00412620" w:rsidRDefault="00BF2117" w:rsidP="00DA229A">
      <w:pPr>
        <w:pStyle w:val="FootnoteText"/>
        <w:ind w:left="180" w:hanging="180"/>
        <w:jc w:val="both"/>
        <w:rPr>
          <w:sz w:val="16"/>
          <w:szCs w:val="16"/>
          <w:lang w:val="en-US"/>
        </w:rPr>
      </w:pPr>
      <w:r w:rsidRPr="00412620">
        <w:rPr>
          <w:rStyle w:val="FootnoteReference"/>
        </w:rPr>
        <w:footnoteRef/>
      </w:r>
      <w:r w:rsidRPr="00412620">
        <w:rPr>
          <w:sz w:val="16"/>
          <w:szCs w:val="16"/>
        </w:rPr>
        <w:t>The words “</w:t>
      </w:r>
      <w:r w:rsidRPr="00412620">
        <w:rPr>
          <w:rFonts w:cs="Arial"/>
          <w:sz w:val="16"/>
          <w:szCs w:val="16"/>
        </w:rPr>
        <w:t>immediately preceding the financial year in which it was discovered by the Commissioner” substituted by the Finance Act, 2010.</w:t>
      </w:r>
    </w:p>
  </w:footnote>
  <w:footnote w:id="555">
    <w:p w:rsidR="00BF2117" w:rsidRPr="00412620" w:rsidRDefault="00BF2117" w:rsidP="00220AE1">
      <w:pPr>
        <w:pStyle w:val="FootnoteText"/>
        <w:keepNext/>
        <w:ind w:left="180" w:hanging="180"/>
        <w:rPr>
          <w:sz w:val="16"/>
        </w:rPr>
      </w:pPr>
      <w:r w:rsidRPr="00412620">
        <w:rPr>
          <w:rStyle w:val="FootnoteReference"/>
          <w:rFonts w:cs="Arial"/>
          <w:sz w:val="16"/>
        </w:rPr>
        <w:footnoteRef/>
      </w:r>
      <w:r w:rsidRPr="00412620">
        <w:rPr>
          <w:sz w:val="16"/>
        </w:rPr>
        <w:t xml:space="preserve">  Sub-section (3) substituted by the Finance Act, 2003. The substituted sub-section (3) read as follows: </w:t>
      </w:r>
    </w:p>
    <w:p w:rsidR="00BF2117" w:rsidRPr="00FB63C3" w:rsidRDefault="00BF2117" w:rsidP="00767DAC">
      <w:pPr>
        <w:keepNext/>
        <w:ind w:left="180" w:firstLine="367"/>
        <w:jc w:val="both"/>
        <w:rPr>
          <w:sz w:val="16"/>
          <w:szCs w:val="16"/>
        </w:rPr>
      </w:pPr>
      <w:r w:rsidRPr="00412620">
        <w:rPr>
          <w:sz w:val="16"/>
          <w:szCs w:val="16"/>
        </w:rPr>
        <w:t>“(3)</w:t>
      </w:r>
      <w:r w:rsidRPr="00412620">
        <w:rPr>
          <w:sz w:val="16"/>
          <w:szCs w:val="16"/>
        </w:rPr>
        <w:tab/>
        <w:t xml:space="preserve">Where the declared value of any investment, valuable article or expenditure of a person is less than the cost of the investment or valuable article, or the amount of the expenditure, </w:t>
      </w:r>
      <w:r w:rsidRPr="00FB63C3">
        <w:rPr>
          <w:sz w:val="16"/>
          <w:szCs w:val="16"/>
        </w:rPr>
        <w:t>the Commissioner may, having regard to all the circumstances, include the difference in the person’s income chargeable to tax under the head “Income from Other Sources” in the tax year in which the difference is discovered.”</w:t>
      </w:r>
    </w:p>
  </w:footnote>
  <w:footnote w:id="556">
    <w:p w:rsidR="00BF2117" w:rsidRPr="00FB63C3" w:rsidRDefault="00BF2117" w:rsidP="00B6277B">
      <w:pPr>
        <w:pStyle w:val="FootnoteText"/>
        <w:ind w:left="180" w:hanging="180"/>
        <w:jc w:val="both"/>
        <w:rPr>
          <w:sz w:val="16"/>
          <w:szCs w:val="16"/>
          <w:lang w:val="en-US"/>
        </w:rPr>
      </w:pPr>
      <w:r w:rsidRPr="00FB63C3">
        <w:rPr>
          <w:rStyle w:val="FootnoteReference"/>
          <w:sz w:val="16"/>
          <w:szCs w:val="16"/>
        </w:rPr>
        <w:footnoteRef/>
      </w:r>
      <w:r w:rsidRPr="00FB63C3">
        <w:rPr>
          <w:sz w:val="16"/>
          <w:szCs w:val="16"/>
        </w:rPr>
        <w:t>The words “</w:t>
      </w:r>
      <w:r w:rsidRPr="00FB63C3">
        <w:rPr>
          <w:rFonts w:cs="Arial"/>
          <w:sz w:val="16"/>
          <w:szCs w:val="16"/>
        </w:rPr>
        <w:t>immediately preceding the financial year in which the difference is discovered”  substituted by the Finance Act, 2010.</w:t>
      </w:r>
    </w:p>
  </w:footnote>
  <w:footnote w:id="557">
    <w:p w:rsidR="00BF2117" w:rsidRPr="00FB63C3" w:rsidRDefault="00BF2117" w:rsidP="006C4E26">
      <w:pPr>
        <w:pStyle w:val="FootnoteText"/>
        <w:keepNext/>
        <w:ind w:left="180" w:hanging="180"/>
        <w:jc w:val="both"/>
        <w:rPr>
          <w:sz w:val="16"/>
          <w:szCs w:val="16"/>
        </w:rPr>
      </w:pPr>
      <w:r w:rsidRPr="00FB63C3">
        <w:rPr>
          <w:rStyle w:val="FootnoteReference"/>
          <w:rFonts w:cs="Arial"/>
          <w:sz w:val="16"/>
          <w:szCs w:val="16"/>
        </w:rPr>
        <w:footnoteRef/>
      </w:r>
      <w:r w:rsidRPr="00FB63C3">
        <w:rPr>
          <w:sz w:val="16"/>
          <w:szCs w:val="16"/>
        </w:rPr>
        <w:t xml:space="preserve"> Sub-section (4) substituted by the Finance Act, 2004. The substituted sub-section (4) read as follows:</w:t>
      </w:r>
    </w:p>
    <w:p w:rsidR="00BF2117" w:rsidRPr="00FB63C3" w:rsidRDefault="00BF2117">
      <w:pPr>
        <w:keepNext/>
        <w:ind w:left="180" w:firstLine="367"/>
        <w:jc w:val="both"/>
        <w:rPr>
          <w:rFonts w:cs="Arial"/>
          <w:sz w:val="16"/>
          <w:szCs w:val="16"/>
        </w:rPr>
      </w:pPr>
      <w:r w:rsidRPr="00FB63C3">
        <w:rPr>
          <w:rFonts w:cs="Arial"/>
          <w:sz w:val="16"/>
          <w:szCs w:val="16"/>
        </w:rPr>
        <w:t>“(4)</w:t>
      </w:r>
      <w:r w:rsidRPr="00FB63C3">
        <w:rPr>
          <w:rFonts w:cs="Arial"/>
          <w:sz w:val="16"/>
          <w:szCs w:val="16"/>
        </w:rPr>
        <w:tab/>
        <w:t>Sub-section (1) does not apply to any amount of foreign exchange remitted from outside Pakistan through normal banking channels that is encashed into rupees by a scheduled bank and a certificate from such bank is produced to that effect.”</w:t>
      </w:r>
    </w:p>
  </w:footnote>
  <w:footnote w:id="558">
    <w:p w:rsidR="00BF2117" w:rsidRPr="00FB63C3" w:rsidRDefault="00BF2117">
      <w:pPr>
        <w:pStyle w:val="FootnoteText"/>
        <w:rPr>
          <w:sz w:val="16"/>
          <w:szCs w:val="16"/>
          <w:lang w:val="en-US"/>
        </w:rPr>
      </w:pPr>
      <w:r w:rsidRPr="00FB63C3">
        <w:rPr>
          <w:rStyle w:val="FootnoteReference"/>
          <w:sz w:val="16"/>
          <w:szCs w:val="16"/>
        </w:rPr>
        <w:footnoteRef/>
      </w:r>
      <w:r w:rsidRPr="00FB63C3">
        <w:rPr>
          <w:sz w:val="16"/>
          <w:szCs w:val="16"/>
        </w:rPr>
        <w:t xml:space="preserve"> The semicolon and the word “and” substituted by the Finance Act, 2010.</w:t>
      </w:r>
    </w:p>
  </w:footnote>
  <w:footnote w:id="559">
    <w:p w:rsidR="00BF2117" w:rsidRPr="00FB63C3" w:rsidRDefault="00BF2117" w:rsidP="00930A5E">
      <w:pPr>
        <w:pStyle w:val="FootnoteText"/>
        <w:ind w:left="180" w:hanging="180"/>
        <w:jc w:val="both"/>
        <w:rPr>
          <w:sz w:val="16"/>
          <w:szCs w:val="16"/>
        </w:rPr>
      </w:pPr>
      <w:r w:rsidRPr="00FB63C3">
        <w:rPr>
          <w:rStyle w:val="FootnoteReference"/>
          <w:sz w:val="16"/>
          <w:szCs w:val="16"/>
        </w:rPr>
        <w:footnoteRef/>
      </w:r>
      <w:r w:rsidRPr="00FB63C3">
        <w:rPr>
          <w:sz w:val="16"/>
          <w:szCs w:val="16"/>
        </w:rPr>
        <w:t xml:space="preserve"> Clause (b) omitted by the Finance Act, 2010. The provision has been made effective from 05.06.2010 by sub-clause (77) of clause 8 of the Finance Act, 2010. Earlier the substitution was made through Finance (Amendment) Ordinance, 2009 which was re-promulgated as Finance (Amendment) Ordinance, 2010 and remained effective till 05.06.2010. The omitted clause (b) read as follows:</w:t>
      </w:r>
    </w:p>
    <w:p w:rsidR="00BF2117" w:rsidRPr="00FB63C3" w:rsidRDefault="00BF2117" w:rsidP="00E16ABF">
      <w:pPr>
        <w:pStyle w:val="FootnoteText"/>
        <w:ind w:left="1094" w:hanging="374"/>
        <w:rPr>
          <w:sz w:val="16"/>
          <w:szCs w:val="16"/>
          <w:lang w:val="en-US"/>
        </w:rPr>
      </w:pPr>
      <w:r w:rsidRPr="00FB63C3">
        <w:rPr>
          <w:sz w:val="16"/>
          <w:szCs w:val="16"/>
        </w:rPr>
        <w:t xml:space="preserve">“(b) </w:t>
      </w:r>
      <w:r w:rsidRPr="00FB63C3">
        <w:rPr>
          <w:sz w:val="16"/>
          <w:szCs w:val="16"/>
        </w:rPr>
        <w:tab/>
        <w:t>to any amount referred to in sub-section (1),  relating to a period beyond preceding five tax years or assessment years.”</w:t>
      </w:r>
    </w:p>
  </w:footnote>
  <w:footnote w:id="560">
    <w:p w:rsidR="00BF2117" w:rsidRPr="00FB63C3" w:rsidRDefault="00BF2117">
      <w:pPr>
        <w:pStyle w:val="FootnoteText"/>
        <w:rPr>
          <w:sz w:val="16"/>
          <w:szCs w:val="16"/>
          <w:lang w:val="en-US"/>
        </w:rPr>
      </w:pPr>
      <w:r w:rsidRPr="00FB63C3">
        <w:rPr>
          <w:rStyle w:val="FootnoteReference"/>
          <w:sz w:val="16"/>
          <w:szCs w:val="16"/>
        </w:rPr>
        <w:footnoteRef/>
      </w:r>
      <w:r w:rsidRPr="00FB63C3">
        <w:rPr>
          <w:sz w:val="16"/>
          <w:szCs w:val="16"/>
        </w:rPr>
        <w:t xml:space="preserve"> The words “Central Board of Revenue” substituted by the Finance Act, 2007.</w:t>
      </w:r>
    </w:p>
  </w:footnote>
  <w:footnote w:id="561">
    <w:p w:rsidR="00BF2117" w:rsidRPr="00FB63C3" w:rsidRDefault="00BF2117">
      <w:pPr>
        <w:pStyle w:val="FootnoteText"/>
        <w:rPr>
          <w:sz w:val="16"/>
          <w:szCs w:val="16"/>
        </w:rPr>
      </w:pPr>
      <w:r w:rsidRPr="00FB63C3">
        <w:rPr>
          <w:rStyle w:val="FootnoteReference"/>
          <w:rFonts w:cs="Arial"/>
          <w:sz w:val="16"/>
          <w:szCs w:val="16"/>
        </w:rPr>
        <w:footnoteRef/>
      </w:r>
      <w:r w:rsidRPr="00FB63C3">
        <w:rPr>
          <w:sz w:val="16"/>
          <w:szCs w:val="16"/>
        </w:rPr>
        <w:t xml:space="preserve"> The figure “232” substituted by the Finance Act, 2002.</w:t>
      </w:r>
    </w:p>
  </w:footnote>
  <w:footnote w:id="562">
    <w:p w:rsidR="00BF2117" w:rsidRPr="00FB63C3" w:rsidRDefault="00BF2117" w:rsidP="005568D3">
      <w:pPr>
        <w:pStyle w:val="FootnoteText"/>
        <w:rPr>
          <w:sz w:val="16"/>
          <w:szCs w:val="16"/>
        </w:rPr>
      </w:pPr>
      <w:r w:rsidRPr="00FB63C3">
        <w:rPr>
          <w:rStyle w:val="FootnoteReference"/>
          <w:rFonts w:cs="Arial"/>
          <w:sz w:val="16"/>
          <w:szCs w:val="16"/>
        </w:rPr>
        <w:footnoteRef/>
      </w:r>
      <w:r w:rsidRPr="00FB63C3">
        <w:rPr>
          <w:sz w:val="16"/>
          <w:szCs w:val="16"/>
        </w:rPr>
        <w:t xml:space="preserve"> Inserted by the Finance Act, 2003.</w:t>
      </w:r>
    </w:p>
  </w:footnote>
  <w:footnote w:id="563">
    <w:p w:rsidR="00BF2117" w:rsidRPr="00412620" w:rsidRDefault="00BF2117" w:rsidP="00DC11C6">
      <w:pPr>
        <w:pStyle w:val="FootnoteText"/>
        <w:rPr>
          <w:sz w:val="16"/>
          <w:szCs w:val="16"/>
          <w:lang w:val="en-US"/>
        </w:rPr>
      </w:pPr>
      <w:r w:rsidRPr="00412620">
        <w:rPr>
          <w:rStyle w:val="FootnoteReference"/>
        </w:rPr>
        <w:footnoteRef/>
      </w:r>
      <w:r w:rsidRPr="00412620">
        <w:rPr>
          <w:sz w:val="16"/>
          <w:szCs w:val="16"/>
          <w:lang w:val="en-US"/>
        </w:rPr>
        <w:t>Inserted by the Finance Act, 2009.</w:t>
      </w:r>
    </w:p>
  </w:footnote>
  <w:footnote w:id="564">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2010.</w:t>
      </w:r>
    </w:p>
  </w:footnote>
  <w:footnote w:id="565">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The word “fifty” substituted by the Finance Act, 2016.</w:t>
      </w:r>
    </w:p>
  </w:footnote>
  <w:footnote w:id="566">
    <w:p w:rsidR="00BF2117" w:rsidRPr="0026128B" w:rsidRDefault="00BF2117">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The figure “2009” substituted by the Finance Act, 2016</w:t>
      </w:r>
    </w:p>
  </w:footnote>
  <w:footnote w:id="567">
    <w:p w:rsidR="00BF2117" w:rsidRPr="0026128B" w:rsidRDefault="00BF2117" w:rsidP="009D71A4">
      <w:pPr>
        <w:pStyle w:val="FootnoteText"/>
        <w:rPr>
          <w:color w:val="0070C0"/>
          <w:sz w:val="16"/>
          <w:szCs w:val="16"/>
          <w:lang w:val="en-US"/>
        </w:rPr>
      </w:pPr>
      <w:r w:rsidRPr="0026128B">
        <w:rPr>
          <w:rStyle w:val="FootnoteReference"/>
          <w:color w:val="0070C0"/>
          <w:sz w:val="16"/>
          <w:szCs w:val="16"/>
        </w:rPr>
        <w:footnoteRef/>
      </w:r>
      <w:r w:rsidRPr="0026128B">
        <w:rPr>
          <w:color w:val="0070C0"/>
          <w:sz w:val="16"/>
          <w:szCs w:val="16"/>
        </w:rPr>
        <w:t xml:space="preserve"> The word “fifty” substituted by the Finance Act, 2016.</w:t>
      </w:r>
    </w:p>
  </w:footnote>
  <w:footnote w:id="568">
    <w:p w:rsidR="00BF2117" w:rsidRPr="0026128B" w:rsidRDefault="00BF2117">
      <w:pPr>
        <w:pStyle w:val="FootnoteText"/>
        <w:rPr>
          <w:color w:val="0070C0"/>
          <w:lang w:val="en-US"/>
        </w:rPr>
      </w:pPr>
      <w:r w:rsidRPr="0026128B">
        <w:rPr>
          <w:rStyle w:val="FootnoteReference"/>
          <w:color w:val="0070C0"/>
        </w:rPr>
        <w:footnoteRef/>
      </w:r>
      <w:r w:rsidRPr="0026128B">
        <w:rPr>
          <w:color w:val="0070C0"/>
        </w:rPr>
        <w:t xml:space="preserve"> </w:t>
      </w:r>
      <w:r w:rsidRPr="0026128B">
        <w:rPr>
          <w:color w:val="0070C0"/>
          <w:sz w:val="16"/>
          <w:szCs w:val="16"/>
        </w:rPr>
        <w:t>The figure “2007” substituted by the Finance Act, 2016</w:t>
      </w:r>
    </w:p>
  </w:footnote>
  <w:footnote w:id="569">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 “one-half” substituted by the Finance Act, 2013.</w:t>
      </w:r>
    </w:p>
  </w:footnote>
  <w:footnote w:id="570">
    <w:p w:rsidR="00BF2117" w:rsidRPr="0026128B" w:rsidRDefault="00BF2117">
      <w:pPr>
        <w:pStyle w:val="FootnoteText"/>
        <w:rPr>
          <w:color w:val="0070C0"/>
          <w:sz w:val="16"/>
          <w:szCs w:val="16"/>
        </w:rPr>
      </w:pPr>
      <w:r w:rsidRPr="0026128B">
        <w:rPr>
          <w:rStyle w:val="FootnoteReference"/>
          <w:color w:val="0070C0"/>
          <w:sz w:val="16"/>
          <w:szCs w:val="16"/>
        </w:rPr>
        <w:footnoteRef/>
      </w:r>
      <w:r w:rsidRPr="0026128B">
        <w:rPr>
          <w:color w:val="0070C0"/>
          <w:sz w:val="16"/>
          <w:szCs w:val="16"/>
        </w:rPr>
        <w:t xml:space="preserve"> Proviso omitted by the Finance Act, 2016. The omitted proviso reads as follows:-</w:t>
      </w:r>
    </w:p>
    <w:p w:rsidR="00BF2117" w:rsidRPr="0026128B" w:rsidRDefault="00BF2117" w:rsidP="00E31C11">
      <w:pPr>
        <w:pStyle w:val="FootnoteText"/>
        <w:ind w:left="90" w:firstLine="457"/>
        <w:jc w:val="both"/>
        <w:rPr>
          <w:color w:val="000000" w:themeColor="text1"/>
          <w:sz w:val="16"/>
          <w:szCs w:val="16"/>
          <w:lang w:val="en-US"/>
        </w:rPr>
      </w:pPr>
      <w:r>
        <w:rPr>
          <w:color w:val="000000" w:themeColor="text1"/>
          <w:sz w:val="16"/>
          <w:szCs w:val="16"/>
        </w:rPr>
        <w:t>“</w:t>
      </w:r>
      <w:r w:rsidRPr="0026128B">
        <w:rPr>
          <w:color w:val="000000" w:themeColor="text1"/>
          <w:sz w:val="16"/>
          <w:szCs w:val="16"/>
        </w:rPr>
        <w:t>Provided that this sub-section shall not apply in the case of a company, which has declared gross loss before set off of depreciation and other inadmissible expenses under the Ordinance. If the loss is arrived at by setting off the aforesaid or changing accounting pattern, the Commissioner may ignore such claim and proceed to compute the tax as per historical accounting pattern and provision of this Ordinance and all other provisions of the Ordinance shall apply accordingly.</w:t>
      </w:r>
      <w:r>
        <w:rPr>
          <w:color w:val="000000" w:themeColor="text1"/>
          <w:sz w:val="16"/>
          <w:szCs w:val="16"/>
        </w:rPr>
        <w:t>”</w:t>
      </w:r>
    </w:p>
  </w:footnote>
  <w:footnote w:id="571">
    <w:p w:rsidR="00BF2117" w:rsidRPr="00412620" w:rsidRDefault="00BF2117">
      <w:pPr>
        <w:pStyle w:val="FootnoteText"/>
        <w:rPr>
          <w:lang w:val="en-US"/>
        </w:rPr>
      </w:pPr>
      <w:r w:rsidRPr="00412620">
        <w:rPr>
          <w:rStyle w:val="FootnoteReference"/>
        </w:rPr>
        <w:footnoteRef/>
      </w:r>
      <w:r w:rsidRPr="00412620">
        <w:rPr>
          <w:sz w:val="16"/>
          <w:szCs w:val="16"/>
        </w:rPr>
        <w:t>Added by the Finance Act, 2012.</w:t>
      </w:r>
    </w:p>
  </w:footnote>
  <w:footnote w:id="572">
    <w:p w:rsidR="00BF2117" w:rsidRPr="00C3232C" w:rsidRDefault="00BF2117">
      <w:pPr>
        <w:pStyle w:val="FootnoteText"/>
        <w:rPr>
          <w:color w:val="0070C0"/>
          <w:sz w:val="16"/>
          <w:szCs w:val="16"/>
        </w:rPr>
      </w:pPr>
      <w:r w:rsidRPr="00C3232C">
        <w:rPr>
          <w:rStyle w:val="FootnoteReference"/>
          <w:color w:val="0070C0"/>
        </w:rPr>
        <w:footnoteRef/>
      </w:r>
      <w:r w:rsidRPr="00C3232C">
        <w:rPr>
          <w:color w:val="0070C0"/>
        </w:rPr>
        <w:t xml:space="preserve"> </w:t>
      </w:r>
      <w:r w:rsidRPr="00C3232C">
        <w:rPr>
          <w:color w:val="0070C0"/>
          <w:sz w:val="16"/>
          <w:szCs w:val="16"/>
        </w:rPr>
        <w:t>Explanation substituted by the Finance Act, 2016. The substituted Explanation reads as follows:-</w:t>
      </w:r>
    </w:p>
    <w:p w:rsidR="00BF2117" w:rsidRPr="00C3232C" w:rsidRDefault="00BF2117" w:rsidP="00BB1E2D">
      <w:pPr>
        <w:pStyle w:val="C"/>
        <w:keepNext/>
        <w:widowControl/>
        <w:spacing w:before="0" w:after="0"/>
        <w:ind w:firstLine="720"/>
        <w:jc w:val="both"/>
        <w:rPr>
          <w:rFonts w:ascii="Arial" w:hAnsi="Arial" w:cs="Arial"/>
          <w:b w:val="0"/>
          <w:color w:val="000000" w:themeColor="text1"/>
          <w:sz w:val="16"/>
          <w:szCs w:val="16"/>
          <w:lang w:val="en-AU"/>
        </w:rPr>
      </w:pPr>
      <w:r w:rsidRPr="00C3232C">
        <w:rPr>
          <w:rFonts w:ascii="Arial" w:hAnsi="Arial" w:cs="Arial"/>
          <w:b w:val="0"/>
          <w:bCs/>
          <w:color w:val="000000" w:themeColor="text1"/>
          <w:sz w:val="16"/>
          <w:szCs w:val="16"/>
        </w:rPr>
        <w:t>[“</w:t>
      </w:r>
      <w:r w:rsidRPr="00C3232C">
        <w:rPr>
          <w:rFonts w:ascii="Arial" w:hAnsi="Arial" w:cs="Arial"/>
          <w:b w:val="0"/>
          <w:bCs/>
          <w:i/>
          <w:color w:val="000000" w:themeColor="text1"/>
          <w:sz w:val="16"/>
          <w:szCs w:val="16"/>
        </w:rPr>
        <w:t>Explanation</w:t>
      </w:r>
      <w:r w:rsidRPr="00C3232C">
        <w:rPr>
          <w:rFonts w:ascii="Arial" w:hAnsi="Arial" w:cs="Arial"/>
          <w:b w:val="0"/>
          <w:bCs/>
          <w:color w:val="000000" w:themeColor="text1"/>
          <w:sz w:val="16"/>
          <w:szCs w:val="16"/>
        </w:rPr>
        <w:t>.-</w:t>
      </w:r>
      <w:r w:rsidRPr="00C3232C">
        <w:rPr>
          <w:rFonts w:ascii="Arial" w:hAnsi="Arial" w:cs="Arial"/>
          <w:b w:val="0"/>
          <w:color w:val="000000" w:themeColor="text1"/>
          <w:sz w:val="16"/>
          <w:szCs w:val="16"/>
        </w:rPr>
        <w:t xml:space="preserve"> For the purpose of this sub-section, the expression “tax payable or paid” does not include tax already paid or payable in respect of deemed income which is assessed as final discharge  of the tax liability under section 169 or under any other provision of this Ordinance.]</w:t>
      </w:r>
    </w:p>
    <w:p w:rsidR="00BF2117" w:rsidRPr="00BB1E2D" w:rsidRDefault="00BF2117">
      <w:pPr>
        <w:pStyle w:val="FootnoteText"/>
        <w:rPr>
          <w:color w:val="FF0066"/>
          <w:sz w:val="16"/>
          <w:szCs w:val="16"/>
          <w:lang w:val="en-US"/>
        </w:rPr>
      </w:pPr>
    </w:p>
  </w:footnote>
  <w:footnote w:id="573">
    <w:p w:rsidR="00BF2117" w:rsidRPr="00F53D60" w:rsidRDefault="00BF2117" w:rsidP="00C70E73">
      <w:pPr>
        <w:pStyle w:val="C"/>
        <w:keepNext/>
        <w:widowControl/>
        <w:spacing w:before="0" w:after="0"/>
        <w:jc w:val="both"/>
        <w:rPr>
          <w:b w:val="0"/>
          <w:color w:val="000000" w:themeColor="text1"/>
        </w:rPr>
      </w:pPr>
      <w:r w:rsidRPr="00F53D60">
        <w:rPr>
          <w:rStyle w:val="FootnoteReference"/>
          <w:b w:val="0"/>
          <w:color w:val="000000" w:themeColor="text1"/>
          <w:sz w:val="16"/>
        </w:rPr>
        <w:footnoteRef/>
      </w:r>
      <w:r w:rsidRPr="00F53D60">
        <w:rPr>
          <w:rFonts w:ascii="Arial" w:hAnsi="Arial" w:cs="Arial"/>
          <w:b w:val="0"/>
          <w:color w:val="000000" w:themeColor="text1"/>
          <w:sz w:val="16"/>
          <w:szCs w:val="16"/>
        </w:rPr>
        <w:t>The words “an amount equal  to one percent of the person’s turnover for the year” substituted by  the words “minimum tax  computed on the basis of rates as specified in Division IX of Part I of First Schedule”, by the Finance Act, 2014.</w:t>
      </w:r>
    </w:p>
  </w:footnote>
  <w:footnote w:id="574">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2013.</w:t>
      </w:r>
    </w:p>
  </w:footnote>
  <w:footnote w:id="575">
    <w:p w:rsidR="00BF2117" w:rsidRPr="00412620" w:rsidRDefault="00BF2117">
      <w:pPr>
        <w:pStyle w:val="FootnoteText"/>
        <w:rPr>
          <w:lang w:val="en-US"/>
        </w:rPr>
      </w:pPr>
      <w:r w:rsidRPr="00412620">
        <w:rPr>
          <w:rStyle w:val="FootnoteReference"/>
        </w:rPr>
        <w:footnoteRef/>
      </w:r>
      <w:r w:rsidRPr="00412620">
        <w:rPr>
          <w:sz w:val="16"/>
          <w:szCs w:val="16"/>
        </w:rPr>
        <w:t>The word “three” substituted by the Finance Act, 2011.</w:t>
      </w:r>
    </w:p>
  </w:footnote>
  <w:footnote w:id="576">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2011.</w:t>
      </w:r>
    </w:p>
  </w:footnote>
  <w:footnote w:id="577">
    <w:p w:rsidR="00BF2117" w:rsidRPr="00412620" w:rsidRDefault="00BF2117">
      <w:pPr>
        <w:pStyle w:val="FootnoteText"/>
        <w:rPr>
          <w:sz w:val="16"/>
          <w:szCs w:val="16"/>
        </w:rPr>
      </w:pPr>
      <w:r w:rsidRPr="00412620">
        <w:rPr>
          <w:rStyle w:val="FootnoteReference"/>
        </w:rPr>
        <w:footnoteRef/>
      </w:r>
      <w:r w:rsidRPr="00412620">
        <w:rPr>
          <w:sz w:val="16"/>
          <w:szCs w:val="16"/>
        </w:rPr>
        <w:t>Section 113A substituted by the Finance Act, 2013. The substituted section 113A read as follows:-</w:t>
      </w:r>
    </w:p>
    <w:p w:rsidR="00BF2117" w:rsidRPr="00412620" w:rsidRDefault="00BF2117" w:rsidP="00980BA4">
      <w:pPr>
        <w:pStyle w:val="Header"/>
        <w:tabs>
          <w:tab w:val="left" w:pos="547"/>
        </w:tabs>
        <w:ind w:left="180"/>
        <w:jc w:val="both"/>
        <w:rPr>
          <w:sz w:val="16"/>
          <w:szCs w:val="16"/>
        </w:rPr>
      </w:pPr>
      <w:r w:rsidRPr="00412620">
        <w:rPr>
          <w:sz w:val="16"/>
          <w:szCs w:val="16"/>
          <w:lang w:val="en-US"/>
        </w:rPr>
        <w:t>“</w:t>
      </w:r>
      <w:r w:rsidRPr="00412620">
        <w:rPr>
          <w:b/>
          <w:bCs/>
          <w:sz w:val="16"/>
          <w:szCs w:val="16"/>
        </w:rPr>
        <w:t>113A. Tax on Income of certain persons.</w:t>
      </w:r>
      <w:r w:rsidRPr="00412620">
        <w:rPr>
          <w:rFonts w:cs="Arial"/>
          <w:sz w:val="16"/>
          <w:szCs w:val="16"/>
        </w:rPr>
        <w:t xml:space="preserve"> —</w:t>
      </w:r>
      <w:r w:rsidRPr="00412620">
        <w:rPr>
          <w:sz w:val="16"/>
          <w:szCs w:val="16"/>
        </w:rPr>
        <w:t xml:space="preserve"> (1) Subject to this Ordinance, where a retailer being an individual or an association of persons has turnover upto rupees five million for any tax year, such person may opt for payment of tax as a final tax at the rates specified in Division IA of Part I of the First Schedule.</w:t>
      </w:r>
    </w:p>
    <w:p w:rsidR="00BF2117" w:rsidRPr="00412620" w:rsidRDefault="00BF2117" w:rsidP="00980BA4">
      <w:pPr>
        <w:pStyle w:val="Header"/>
        <w:numPr>
          <w:ilvl w:val="0"/>
          <w:numId w:val="17"/>
        </w:numPr>
        <w:jc w:val="both"/>
        <w:rPr>
          <w:sz w:val="16"/>
          <w:szCs w:val="16"/>
        </w:rPr>
      </w:pPr>
      <w:r w:rsidRPr="00412620">
        <w:rPr>
          <w:sz w:val="16"/>
          <w:szCs w:val="16"/>
        </w:rPr>
        <w:t>For the purposes of this section,</w:t>
      </w:r>
      <w:r w:rsidRPr="00412620">
        <w:rPr>
          <w:rFonts w:cs="Arial"/>
          <w:sz w:val="16"/>
          <w:szCs w:val="16"/>
        </w:rPr>
        <w:t xml:space="preserve"> —</w:t>
      </w:r>
    </w:p>
    <w:p w:rsidR="00BF2117" w:rsidRPr="00412620" w:rsidRDefault="00BF2117" w:rsidP="00980BA4">
      <w:pPr>
        <w:pStyle w:val="Header"/>
        <w:tabs>
          <w:tab w:val="left" w:pos="547"/>
        </w:tabs>
        <w:ind w:left="1641" w:hanging="546"/>
        <w:jc w:val="both"/>
        <w:rPr>
          <w:rFonts w:cs="Arial"/>
          <w:sz w:val="16"/>
          <w:szCs w:val="16"/>
        </w:rPr>
      </w:pPr>
      <w:r w:rsidRPr="00412620">
        <w:rPr>
          <w:rFonts w:cs="Arial"/>
          <w:sz w:val="16"/>
          <w:szCs w:val="16"/>
        </w:rPr>
        <w:t xml:space="preserve">(a) </w:t>
      </w:r>
      <w:r w:rsidRPr="00412620">
        <w:rPr>
          <w:rFonts w:cs="Arial"/>
          <w:sz w:val="16"/>
          <w:szCs w:val="16"/>
        </w:rPr>
        <w:tab/>
        <w:t>“retailer” means a person selling goods to general public for the purpose of consumption;</w:t>
      </w:r>
    </w:p>
    <w:p w:rsidR="00BF2117" w:rsidRPr="00412620" w:rsidRDefault="00BF2117" w:rsidP="00980BA4">
      <w:pPr>
        <w:pStyle w:val="Header"/>
        <w:tabs>
          <w:tab w:val="left" w:pos="547"/>
        </w:tabs>
        <w:ind w:left="1641" w:hanging="546"/>
        <w:jc w:val="both"/>
        <w:rPr>
          <w:rFonts w:cs="Arial"/>
          <w:sz w:val="16"/>
          <w:szCs w:val="16"/>
        </w:rPr>
      </w:pPr>
      <w:r w:rsidRPr="00412620">
        <w:rPr>
          <w:rFonts w:cs="Arial"/>
          <w:sz w:val="16"/>
          <w:szCs w:val="16"/>
        </w:rPr>
        <w:t xml:space="preserve">(b) </w:t>
      </w:r>
      <w:r w:rsidRPr="00412620">
        <w:rPr>
          <w:rFonts w:cs="Arial"/>
          <w:sz w:val="16"/>
          <w:szCs w:val="16"/>
        </w:rPr>
        <w:tab/>
        <w:t>“turnover” shall have the same meaning as assigned to it in sub-section (3) of section 113.</w:t>
      </w:r>
    </w:p>
    <w:p w:rsidR="00BF2117" w:rsidRPr="00412620" w:rsidRDefault="00BF2117" w:rsidP="00980BA4">
      <w:pPr>
        <w:pStyle w:val="Header"/>
        <w:tabs>
          <w:tab w:val="left" w:pos="547"/>
        </w:tabs>
        <w:ind w:left="180"/>
        <w:jc w:val="both"/>
        <w:rPr>
          <w:sz w:val="16"/>
          <w:szCs w:val="16"/>
          <w:lang w:val="en-US"/>
        </w:rPr>
      </w:pPr>
      <w:r w:rsidRPr="00412620">
        <w:rPr>
          <w:rFonts w:cs="Arial"/>
          <w:sz w:val="16"/>
          <w:szCs w:val="16"/>
        </w:rPr>
        <w:tab/>
        <w:t xml:space="preserve">(3) </w:t>
      </w:r>
      <w:r w:rsidRPr="00412620">
        <w:rPr>
          <w:rFonts w:cs="Arial"/>
          <w:sz w:val="16"/>
          <w:szCs w:val="16"/>
        </w:rPr>
        <w:tab/>
        <w:t>The tax paid under this section shall be a final tax on the income arising from the turnover as specified in sub-section (1). The retailer shall not be entitled to claim any adjustment of withholding tax collected or deducted under any head during the year.”</w:t>
      </w:r>
    </w:p>
  </w:footnote>
  <w:footnote w:id="578">
    <w:p w:rsidR="00BF2117" w:rsidRPr="00C3232C" w:rsidRDefault="00BF2117">
      <w:pPr>
        <w:pStyle w:val="FootnoteText"/>
        <w:rPr>
          <w:color w:val="0070C0"/>
          <w:sz w:val="16"/>
          <w:szCs w:val="16"/>
        </w:rPr>
      </w:pPr>
      <w:r w:rsidRPr="00C3232C">
        <w:rPr>
          <w:rStyle w:val="FootnoteReference"/>
          <w:color w:val="0070C0"/>
          <w:sz w:val="16"/>
          <w:szCs w:val="16"/>
        </w:rPr>
        <w:footnoteRef/>
      </w:r>
      <w:r w:rsidRPr="00C3232C">
        <w:rPr>
          <w:color w:val="0070C0"/>
          <w:sz w:val="16"/>
          <w:szCs w:val="16"/>
        </w:rPr>
        <w:t xml:space="preserve"> Section 113A omitted by the Finance Act, 2016. The omitted section 113a reads as follows:- </w:t>
      </w:r>
    </w:p>
    <w:p w:rsidR="00BF2117" w:rsidRPr="00C3232C" w:rsidRDefault="00BF2117" w:rsidP="00B96522">
      <w:pPr>
        <w:pStyle w:val="Header"/>
        <w:tabs>
          <w:tab w:val="left" w:pos="547"/>
        </w:tabs>
        <w:jc w:val="both"/>
        <w:rPr>
          <w:rFonts w:cs="Arial"/>
          <w:color w:val="000000" w:themeColor="text1"/>
          <w:sz w:val="16"/>
          <w:szCs w:val="16"/>
        </w:rPr>
      </w:pPr>
      <w:r w:rsidRPr="00C3232C">
        <w:rPr>
          <w:b/>
          <w:color w:val="000000" w:themeColor="text1"/>
          <w:sz w:val="16"/>
          <w:szCs w:val="16"/>
        </w:rPr>
        <w:t>“113A.    Minimum tax on builders.</w:t>
      </w:r>
      <w:r w:rsidRPr="00C3232C">
        <w:rPr>
          <w:rFonts w:cs="Arial"/>
          <w:color w:val="000000" w:themeColor="text1"/>
          <w:sz w:val="16"/>
          <w:szCs w:val="16"/>
        </w:rPr>
        <w:t xml:space="preserve">— (1) </w:t>
      </w:r>
      <w:r w:rsidRPr="00C3232C">
        <w:rPr>
          <w:rFonts w:cs="Arial"/>
          <w:color w:val="000000" w:themeColor="text1"/>
          <w:sz w:val="16"/>
          <w:szCs w:val="16"/>
        </w:rPr>
        <w:tab/>
        <w:t>Subject to this Ordinance, where a person derives income from the business of construction and sale of residential, commercial or other buildings, he shall pay minimum tax at the rates as the Federal Government may notify in the official Gazette. The Federal Government may also specify the mode, manner and time of payment of such amount of tax.</w:t>
      </w:r>
    </w:p>
    <w:p w:rsidR="00BF2117" w:rsidRPr="00C3232C" w:rsidRDefault="00BF2117" w:rsidP="00B96522">
      <w:pPr>
        <w:pStyle w:val="Header"/>
        <w:tabs>
          <w:tab w:val="left" w:pos="547"/>
          <w:tab w:val="left" w:pos="1440"/>
        </w:tabs>
        <w:jc w:val="both"/>
        <w:rPr>
          <w:rFonts w:cs="Arial"/>
          <w:color w:val="000000" w:themeColor="text1"/>
          <w:sz w:val="16"/>
          <w:szCs w:val="16"/>
        </w:rPr>
      </w:pPr>
      <w:r w:rsidRPr="00C3232C">
        <w:rPr>
          <w:rFonts w:cs="Arial"/>
          <w:color w:val="000000" w:themeColor="text1"/>
          <w:sz w:val="16"/>
          <w:szCs w:val="16"/>
        </w:rPr>
        <w:tab/>
        <w:t xml:space="preserve">(2) </w:t>
      </w:r>
      <w:r w:rsidRPr="00C3232C">
        <w:rPr>
          <w:rFonts w:cs="Arial"/>
          <w:color w:val="000000" w:themeColor="text1"/>
          <w:sz w:val="16"/>
          <w:szCs w:val="16"/>
        </w:rPr>
        <w:tab/>
        <w:t>The tax paid under this section shall be minimum tax on the income of the builder from the sale of such residential, commercial or other building.]</w:t>
      </w:r>
    </w:p>
    <w:p w:rsidR="00BF2117" w:rsidRPr="00C3232C" w:rsidRDefault="00BF2117" w:rsidP="00B96522">
      <w:pPr>
        <w:pStyle w:val="Header"/>
        <w:tabs>
          <w:tab w:val="left" w:pos="547"/>
          <w:tab w:val="left" w:pos="1440"/>
        </w:tabs>
        <w:jc w:val="both"/>
        <w:rPr>
          <w:color w:val="000000" w:themeColor="text1"/>
          <w:sz w:val="16"/>
          <w:szCs w:val="16"/>
          <w:lang w:val="en-US"/>
        </w:rPr>
      </w:pPr>
      <w:r w:rsidRPr="00C3232C">
        <w:rPr>
          <w:rFonts w:cs="Arial"/>
          <w:color w:val="000000" w:themeColor="text1"/>
          <w:sz w:val="16"/>
          <w:szCs w:val="16"/>
          <w:lang w:val="en-US"/>
        </w:rPr>
        <w:tab/>
      </w:r>
      <w:r w:rsidRPr="00C3232C">
        <w:rPr>
          <w:rStyle w:val="FootnoteReference"/>
          <w:rFonts w:cs="Arial"/>
          <w:color w:val="000000" w:themeColor="text1"/>
          <w:sz w:val="16"/>
          <w:szCs w:val="16"/>
          <w:lang w:val="en-US"/>
        </w:rPr>
        <w:footnoteRef/>
      </w:r>
      <w:r w:rsidRPr="00C3232C">
        <w:rPr>
          <w:rFonts w:cs="Arial"/>
          <w:color w:val="000000" w:themeColor="text1"/>
          <w:sz w:val="16"/>
          <w:szCs w:val="16"/>
          <w:lang w:val="en-US"/>
        </w:rPr>
        <w:t>[“(3) This section shall not have effect till the 30th June, 2018.”]”</w:t>
      </w:r>
    </w:p>
  </w:footnote>
  <w:footnote w:id="579">
    <w:p w:rsidR="00BF2117" w:rsidRPr="00412620" w:rsidRDefault="00BF2117">
      <w:pPr>
        <w:pStyle w:val="FootnoteText"/>
        <w:rPr>
          <w:sz w:val="16"/>
          <w:szCs w:val="16"/>
        </w:rPr>
      </w:pPr>
      <w:r w:rsidRPr="00412620">
        <w:rPr>
          <w:rStyle w:val="FootnoteReference"/>
        </w:rPr>
        <w:footnoteRef/>
      </w:r>
      <w:r w:rsidRPr="00412620">
        <w:rPr>
          <w:sz w:val="16"/>
          <w:szCs w:val="16"/>
        </w:rPr>
        <w:t>Section 113B substituted by the Finance Act, 2013. The substituted section 113B read as follows:-</w:t>
      </w:r>
    </w:p>
    <w:p w:rsidR="00BF2117" w:rsidRPr="00412620" w:rsidRDefault="00BF2117" w:rsidP="003C4E5A">
      <w:pPr>
        <w:keepNext/>
        <w:jc w:val="both"/>
        <w:rPr>
          <w:rFonts w:cs="Arial"/>
          <w:sz w:val="16"/>
          <w:szCs w:val="16"/>
        </w:rPr>
      </w:pPr>
      <w:r w:rsidRPr="00412620">
        <w:rPr>
          <w:sz w:val="16"/>
          <w:szCs w:val="16"/>
        </w:rPr>
        <w:t>“</w:t>
      </w:r>
      <w:r w:rsidRPr="00412620">
        <w:rPr>
          <w:rFonts w:cs="Arial"/>
          <w:b/>
          <w:sz w:val="16"/>
          <w:szCs w:val="16"/>
        </w:rPr>
        <w:t>113B.   Taxation of income of certain retailers.</w:t>
      </w:r>
      <w:r w:rsidRPr="00412620">
        <w:rPr>
          <w:rFonts w:cs="Arial"/>
          <w:sz w:val="16"/>
          <w:szCs w:val="16"/>
        </w:rPr>
        <w:t xml:space="preserve"> — Subject to this Ordinance, a retailer being an individual or association of persons,- </w:t>
      </w:r>
    </w:p>
    <w:p w:rsidR="00BF2117" w:rsidRPr="00412620" w:rsidRDefault="00BF2117" w:rsidP="003C4E5A">
      <w:pPr>
        <w:keepNext/>
        <w:rPr>
          <w:rFonts w:cs="Arial"/>
          <w:sz w:val="16"/>
          <w:szCs w:val="16"/>
        </w:rPr>
      </w:pPr>
      <w:r w:rsidRPr="00412620">
        <w:rPr>
          <w:rFonts w:cs="Arial"/>
          <w:sz w:val="16"/>
          <w:szCs w:val="16"/>
        </w:rPr>
        <w:tab/>
      </w:r>
      <w:r w:rsidRPr="00412620">
        <w:rPr>
          <w:rFonts w:cs="Arial"/>
          <w:sz w:val="16"/>
          <w:szCs w:val="16"/>
        </w:rPr>
        <w:tab/>
        <w:t xml:space="preserve">(a) </w:t>
      </w:r>
      <w:r w:rsidRPr="00412620">
        <w:rPr>
          <w:rFonts w:cs="Arial"/>
          <w:sz w:val="16"/>
          <w:szCs w:val="16"/>
        </w:rPr>
        <w:tab/>
        <w:t>whose turnover exceeds five million rupees; and</w:t>
      </w:r>
    </w:p>
    <w:p w:rsidR="00BF2117" w:rsidRPr="00412620" w:rsidRDefault="00BF2117" w:rsidP="003C4E5A">
      <w:pPr>
        <w:keepNext/>
        <w:ind w:left="1641" w:hanging="546"/>
        <w:jc w:val="both"/>
        <w:rPr>
          <w:rFonts w:cs="Arial"/>
          <w:sz w:val="16"/>
          <w:szCs w:val="16"/>
        </w:rPr>
      </w:pPr>
      <w:r w:rsidRPr="00412620">
        <w:rPr>
          <w:rFonts w:cs="Arial"/>
          <w:sz w:val="16"/>
          <w:szCs w:val="16"/>
        </w:rPr>
        <w:t xml:space="preserve">(b) </w:t>
      </w:r>
      <w:r w:rsidRPr="00412620">
        <w:rPr>
          <w:rFonts w:cs="Arial"/>
          <w:sz w:val="16"/>
          <w:szCs w:val="16"/>
        </w:rPr>
        <w:tab/>
        <w:t>who is subject to special procedure for payment of sales tax  under Chapter II of the Sales Tax Special Procedures Rules, 2007,</w:t>
      </w:r>
    </w:p>
    <w:p w:rsidR="00BF2117" w:rsidRPr="00412620" w:rsidRDefault="00BF2117" w:rsidP="003C4E5A">
      <w:pPr>
        <w:keepNext/>
        <w:jc w:val="both"/>
        <w:rPr>
          <w:rFonts w:cs="Arial"/>
          <w:sz w:val="16"/>
          <w:szCs w:val="16"/>
        </w:rPr>
      </w:pPr>
      <w:r w:rsidRPr="00412620">
        <w:rPr>
          <w:rFonts w:cs="Arial"/>
          <w:sz w:val="16"/>
          <w:szCs w:val="16"/>
        </w:rPr>
        <w:t>shall pay final tax at the following rates which shall form part of single stage sales tax as envisaged in the aforesaid rules;</w:t>
      </w:r>
    </w:p>
    <w:p w:rsidR="00BF2117" w:rsidRPr="00412620" w:rsidRDefault="00BF2117" w:rsidP="003C4E5A">
      <w:pPr>
        <w:pStyle w:val="1"/>
        <w:rPr>
          <w:rFonts w:ascii="Arial" w:hAnsi="Arial" w:cs="Arial"/>
          <w:color w:val="auto"/>
          <w:sz w:val="16"/>
          <w:szCs w:val="16"/>
        </w:rPr>
      </w:pPr>
      <w:r w:rsidRPr="00412620">
        <w:rPr>
          <w:rFonts w:ascii="Arial" w:hAnsi="Arial" w:cs="Arial"/>
          <w:color w:val="auto"/>
          <w:sz w:val="16"/>
          <w:szCs w:val="16"/>
        </w:rPr>
        <w:t>________________________________________________________________</w:t>
      </w:r>
    </w:p>
    <w:p w:rsidR="00BF2117" w:rsidRPr="00412620" w:rsidRDefault="00BF2117" w:rsidP="003C4E5A">
      <w:pPr>
        <w:pStyle w:val="1"/>
        <w:tabs>
          <w:tab w:val="left" w:pos="4320"/>
        </w:tabs>
        <w:rPr>
          <w:rFonts w:ascii="Arial" w:hAnsi="Arial" w:cs="Arial"/>
          <w:color w:val="auto"/>
          <w:sz w:val="16"/>
          <w:szCs w:val="16"/>
        </w:rPr>
      </w:pPr>
      <w:r w:rsidRPr="00412620">
        <w:rPr>
          <w:rFonts w:ascii="Arial" w:hAnsi="Arial" w:cs="Arial"/>
          <w:color w:val="auto"/>
          <w:sz w:val="16"/>
          <w:szCs w:val="16"/>
        </w:rPr>
        <w:t>S.No.</w:t>
      </w:r>
      <w:r w:rsidRPr="00412620">
        <w:rPr>
          <w:rFonts w:ascii="Arial" w:hAnsi="Arial" w:cs="Arial"/>
          <w:color w:val="auto"/>
          <w:sz w:val="16"/>
          <w:szCs w:val="16"/>
        </w:rPr>
        <w:tab/>
        <w:t>Amount of turnover</w:t>
      </w:r>
      <w:r w:rsidRPr="00412620">
        <w:rPr>
          <w:rFonts w:ascii="Arial" w:hAnsi="Arial" w:cs="Arial"/>
          <w:color w:val="auto"/>
          <w:sz w:val="16"/>
          <w:szCs w:val="16"/>
        </w:rPr>
        <w:tab/>
        <w:t>Rate of tax</w:t>
      </w:r>
    </w:p>
    <w:p w:rsidR="00BF2117" w:rsidRPr="00412620" w:rsidRDefault="00BF2117" w:rsidP="003C4E5A">
      <w:pPr>
        <w:pStyle w:val="1"/>
        <w:tabs>
          <w:tab w:val="left" w:pos="4320"/>
        </w:tabs>
        <w:rPr>
          <w:rFonts w:ascii="Arial" w:hAnsi="Arial" w:cs="Arial"/>
          <w:color w:val="auto"/>
          <w:sz w:val="16"/>
          <w:szCs w:val="16"/>
        </w:rPr>
      </w:pPr>
      <w:r w:rsidRPr="00412620">
        <w:rPr>
          <w:rFonts w:ascii="Arial" w:hAnsi="Arial" w:cs="Arial"/>
          <w:color w:val="auto"/>
          <w:sz w:val="16"/>
          <w:szCs w:val="16"/>
        </w:rPr>
        <w:t>________________________________________________________________</w:t>
      </w:r>
    </w:p>
    <w:p w:rsidR="00BF2117" w:rsidRPr="00412620" w:rsidRDefault="00BF2117" w:rsidP="003C4E5A">
      <w:pPr>
        <w:pStyle w:val="1"/>
        <w:tabs>
          <w:tab w:val="left" w:pos="4320"/>
        </w:tabs>
        <w:rPr>
          <w:rFonts w:ascii="Arial" w:hAnsi="Arial" w:cs="Arial"/>
          <w:color w:val="auto"/>
          <w:sz w:val="16"/>
          <w:szCs w:val="16"/>
        </w:rPr>
      </w:pPr>
      <w:r w:rsidRPr="00412620">
        <w:rPr>
          <w:rFonts w:ascii="Arial" w:hAnsi="Arial" w:cs="Arial"/>
          <w:color w:val="auto"/>
          <w:sz w:val="16"/>
          <w:szCs w:val="16"/>
        </w:rPr>
        <w:t>1.</w:t>
      </w:r>
      <w:r w:rsidRPr="00412620">
        <w:rPr>
          <w:rFonts w:ascii="Arial" w:hAnsi="Arial" w:cs="Arial"/>
          <w:color w:val="auto"/>
          <w:sz w:val="16"/>
          <w:szCs w:val="16"/>
        </w:rPr>
        <w:tab/>
        <w:t>Where turnover</w:t>
      </w:r>
      <w:r w:rsidRPr="00412620">
        <w:rPr>
          <w:rFonts w:ascii="Arial" w:hAnsi="Arial" w:cs="Arial"/>
          <w:color w:val="auto"/>
          <w:sz w:val="16"/>
          <w:szCs w:val="16"/>
        </w:rPr>
        <w:tab/>
        <w:t xml:space="preserve">Rs.25,000 plus </w:t>
      </w:r>
    </w:p>
    <w:p w:rsidR="00BF2117" w:rsidRPr="00412620" w:rsidRDefault="00BF2117" w:rsidP="003C4E5A">
      <w:pPr>
        <w:pStyle w:val="1"/>
        <w:tabs>
          <w:tab w:val="left" w:pos="4320"/>
        </w:tabs>
        <w:rPr>
          <w:rFonts w:ascii="Arial" w:hAnsi="Arial" w:cs="Arial"/>
          <w:color w:val="auto"/>
          <w:sz w:val="16"/>
          <w:szCs w:val="16"/>
        </w:rPr>
      </w:pPr>
      <w:r w:rsidRPr="00412620">
        <w:rPr>
          <w:rFonts w:ascii="Arial" w:hAnsi="Arial" w:cs="Arial"/>
          <w:color w:val="auto"/>
          <w:sz w:val="16"/>
          <w:szCs w:val="16"/>
        </w:rPr>
        <w:tab/>
        <w:t xml:space="preserve">exceeds Rs.5,000,000 </w:t>
      </w:r>
      <w:r w:rsidRPr="00412620">
        <w:rPr>
          <w:rFonts w:ascii="Arial" w:hAnsi="Arial" w:cs="Arial"/>
          <w:color w:val="auto"/>
          <w:sz w:val="16"/>
          <w:szCs w:val="16"/>
        </w:rPr>
        <w:tab/>
        <w:t>0.5% of the</w:t>
      </w:r>
    </w:p>
    <w:p w:rsidR="00BF2117" w:rsidRPr="00412620" w:rsidRDefault="00BF2117" w:rsidP="003C4E5A">
      <w:pPr>
        <w:pStyle w:val="1"/>
        <w:tabs>
          <w:tab w:val="left" w:pos="4320"/>
        </w:tabs>
        <w:rPr>
          <w:rFonts w:ascii="Arial" w:hAnsi="Arial" w:cs="Arial"/>
          <w:color w:val="auto"/>
          <w:sz w:val="16"/>
          <w:szCs w:val="16"/>
        </w:rPr>
      </w:pPr>
      <w:r w:rsidRPr="00412620">
        <w:rPr>
          <w:rFonts w:ascii="Arial" w:hAnsi="Arial" w:cs="Arial"/>
          <w:color w:val="auto"/>
          <w:sz w:val="16"/>
          <w:szCs w:val="16"/>
        </w:rPr>
        <w:tab/>
        <w:t>but does not exceed</w:t>
      </w:r>
      <w:r w:rsidRPr="00412620">
        <w:rPr>
          <w:rFonts w:ascii="Arial" w:hAnsi="Arial" w:cs="Arial"/>
          <w:color w:val="auto"/>
          <w:sz w:val="16"/>
          <w:szCs w:val="16"/>
        </w:rPr>
        <w:tab/>
        <w:t>turnover exceeding</w:t>
      </w:r>
    </w:p>
    <w:p w:rsidR="00BF2117" w:rsidRPr="00412620" w:rsidRDefault="00BF2117" w:rsidP="003C4E5A">
      <w:pPr>
        <w:pStyle w:val="1"/>
        <w:tabs>
          <w:tab w:val="left" w:pos="4320"/>
        </w:tabs>
        <w:rPr>
          <w:rFonts w:ascii="Arial" w:hAnsi="Arial" w:cs="Arial"/>
          <w:color w:val="auto"/>
          <w:sz w:val="16"/>
          <w:szCs w:val="16"/>
        </w:rPr>
      </w:pPr>
      <w:r w:rsidRPr="00412620">
        <w:rPr>
          <w:rFonts w:ascii="Arial" w:hAnsi="Arial" w:cs="Arial"/>
          <w:color w:val="auto"/>
          <w:sz w:val="16"/>
          <w:szCs w:val="16"/>
        </w:rPr>
        <w:tab/>
        <w:t>Rs. 10,000,000</w:t>
      </w:r>
      <w:r w:rsidRPr="00412620">
        <w:rPr>
          <w:rFonts w:ascii="Arial" w:hAnsi="Arial" w:cs="Arial"/>
          <w:color w:val="auto"/>
          <w:sz w:val="16"/>
          <w:szCs w:val="16"/>
        </w:rPr>
        <w:tab/>
        <w:t>Rs.5 ,000,000</w:t>
      </w:r>
    </w:p>
    <w:p w:rsidR="00BF2117" w:rsidRPr="00412620" w:rsidRDefault="00BF2117" w:rsidP="003C4E5A">
      <w:pPr>
        <w:pStyle w:val="1"/>
        <w:tabs>
          <w:tab w:val="left" w:pos="4320"/>
        </w:tabs>
        <w:rPr>
          <w:rFonts w:ascii="Arial" w:hAnsi="Arial" w:cs="Arial"/>
          <w:color w:val="auto"/>
          <w:sz w:val="16"/>
          <w:szCs w:val="16"/>
        </w:rPr>
      </w:pPr>
    </w:p>
    <w:p w:rsidR="00BF2117" w:rsidRPr="00412620" w:rsidRDefault="00BF2117" w:rsidP="003C4E5A">
      <w:pPr>
        <w:pStyle w:val="1"/>
        <w:tabs>
          <w:tab w:val="left" w:pos="4320"/>
        </w:tabs>
        <w:rPr>
          <w:rFonts w:ascii="Arial" w:hAnsi="Arial" w:cs="Arial"/>
          <w:color w:val="auto"/>
          <w:sz w:val="16"/>
          <w:szCs w:val="16"/>
        </w:rPr>
      </w:pPr>
      <w:r w:rsidRPr="00412620">
        <w:rPr>
          <w:rFonts w:ascii="Arial" w:hAnsi="Arial" w:cs="Arial"/>
          <w:color w:val="auto"/>
          <w:sz w:val="16"/>
          <w:szCs w:val="16"/>
        </w:rPr>
        <w:t>2.</w:t>
      </w:r>
      <w:r w:rsidRPr="00412620">
        <w:rPr>
          <w:rFonts w:ascii="Arial" w:hAnsi="Arial" w:cs="Arial"/>
          <w:color w:val="auto"/>
          <w:sz w:val="16"/>
          <w:szCs w:val="16"/>
        </w:rPr>
        <w:tab/>
        <w:t>Where turnover</w:t>
      </w:r>
      <w:r w:rsidRPr="00412620">
        <w:rPr>
          <w:rFonts w:ascii="Arial" w:hAnsi="Arial" w:cs="Arial"/>
          <w:color w:val="auto"/>
          <w:sz w:val="16"/>
          <w:szCs w:val="16"/>
        </w:rPr>
        <w:tab/>
        <w:t>Rs. 50,000 plus</w:t>
      </w:r>
    </w:p>
    <w:p w:rsidR="00BF2117" w:rsidRPr="00412620" w:rsidRDefault="00BF2117" w:rsidP="003C4E5A">
      <w:pPr>
        <w:pStyle w:val="1"/>
        <w:tabs>
          <w:tab w:val="left" w:pos="4320"/>
        </w:tabs>
        <w:rPr>
          <w:rFonts w:ascii="Arial" w:hAnsi="Arial" w:cs="Arial"/>
          <w:color w:val="auto"/>
          <w:sz w:val="16"/>
          <w:szCs w:val="16"/>
        </w:rPr>
      </w:pPr>
      <w:r w:rsidRPr="00412620">
        <w:rPr>
          <w:rFonts w:ascii="Arial" w:hAnsi="Arial" w:cs="Arial"/>
          <w:color w:val="auto"/>
          <w:sz w:val="16"/>
          <w:szCs w:val="16"/>
        </w:rPr>
        <w:tab/>
        <w:t>exceeds</w:t>
      </w:r>
      <w:r w:rsidRPr="00412620">
        <w:rPr>
          <w:rFonts w:ascii="Arial" w:hAnsi="Arial" w:cs="Arial"/>
          <w:color w:val="auto"/>
          <w:sz w:val="16"/>
          <w:szCs w:val="16"/>
        </w:rPr>
        <w:tab/>
        <w:t>0.75% of the</w:t>
      </w:r>
    </w:p>
    <w:p w:rsidR="00BF2117" w:rsidRPr="00412620" w:rsidRDefault="00BF2117" w:rsidP="003C4E5A">
      <w:pPr>
        <w:pStyle w:val="1"/>
        <w:tabs>
          <w:tab w:val="left" w:pos="4320"/>
        </w:tabs>
        <w:rPr>
          <w:rFonts w:ascii="Arial" w:hAnsi="Arial" w:cs="Arial"/>
          <w:color w:val="auto"/>
          <w:sz w:val="16"/>
          <w:szCs w:val="16"/>
        </w:rPr>
      </w:pPr>
      <w:r w:rsidRPr="00412620">
        <w:rPr>
          <w:rFonts w:ascii="Arial" w:hAnsi="Arial" w:cs="Arial"/>
          <w:color w:val="auto"/>
          <w:sz w:val="16"/>
          <w:szCs w:val="16"/>
        </w:rPr>
        <w:tab/>
        <w:t>Rs.10,000,000</w:t>
      </w:r>
      <w:r w:rsidRPr="00412620">
        <w:rPr>
          <w:rFonts w:ascii="Arial" w:hAnsi="Arial" w:cs="Arial"/>
          <w:color w:val="auto"/>
          <w:sz w:val="16"/>
          <w:szCs w:val="16"/>
        </w:rPr>
        <w:tab/>
        <w:t>turnover exceeding</w:t>
      </w:r>
    </w:p>
    <w:p w:rsidR="00BF2117" w:rsidRPr="00412620" w:rsidRDefault="00BF2117" w:rsidP="003C4E5A">
      <w:pPr>
        <w:pStyle w:val="1"/>
        <w:pBdr>
          <w:bottom w:val="single" w:sz="12" w:space="1" w:color="auto"/>
        </w:pBdr>
        <w:tabs>
          <w:tab w:val="left" w:pos="4320"/>
        </w:tabs>
        <w:rPr>
          <w:rFonts w:ascii="Arial" w:hAnsi="Arial" w:cs="Arial"/>
          <w:color w:val="auto"/>
          <w:sz w:val="16"/>
          <w:szCs w:val="16"/>
        </w:rPr>
      </w:pPr>
      <w:r w:rsidRPr="00412620">
        <w:rPr>
          <w:rFonts w:ascii="Arial" w:hAnsi="Arial" w:cs="Arial"/>
          <w:color w:val="auto"/>
          <w:sz w:val="16"/>
          <w:szCs w:val="16"/>
        </w:rPr>
        <w:tab/>
      </w:r>
      <w:r w:rsidRPr="00412620">
        <w:rPr>
          <w:rFonts w:ascii="Arial" w:hAnsi="Arial" w:cs="Arial"/>
          <w:color w:val="auto"/>
          <w:sz w:val="16"/>
          <w:szCs w:val="16"/>
        </w:rPr>
        <w:tab/>
      </w:r>
      <w:r w:rsidRPr="00412620">
        <w:rPr>
          <w:rFonts w:ascii="Arial" w:hAnsi="Arial" w:cs="Arial"/>
          <w:color w:val="auto"/>
          <w:sz w:val="16"/>
          <w:szCs w:val="16"/>
        </w:rPr>
        <w:tab/>
        <w:t>Rs.10,000,000.</w:t>
      </w:r>
    </w:p>
    <w:p w:rsidR="00BF2117" w:rsidRPr="00412620" w:rsidRDefault="00BF2117" w:rsidP="003C4E5A">
      <w:pPr>
        <w:pStyle w:val="Header"/>
        <w:tabs>
          <w:tab w:val="clear" w:pos="4320"/>
          <w:tab w:val="clear" w:pos="8640"/>
        </w:tabs>
        <w:ind w:left="1634" w:hanging="540"/>
        <w:jc w:val="both"/>
        <w:rPr>
          <w:rFonts w:cs="Arial"/>
          <w:sz w:val="16"/>
          <w:szCs w:val="16"/>
        </w:rPr>
      </w:pPr>
      <w:r w:rsidRPr="00412620">
        <w:rPr>
          <w:rFonts w:cs="Arial"/>
          <w:sz w:val="16"/>
          <w:szCs w:val="16"/>
        </w:rPr>
        <w:t xml:space="preserve">(c) </w:t>
      </w:r>
      <w:r w:rsidRPr="00412620">
        <w:rPr>
          <w:rFonts w:cs="Arial"/>
          <w:sz w:val="16"/>
          <w:szCs w:val="16"/>
        </w:rPr>
        <w:tab/>
        <w:t>The retailer shall not be entitled to claim any adjustment of withholding tax collected or deducted under any head during the year:</w:t>
      </w:r>
    </w:p>
    <w:p w:rsidR="00BF2117" w:rsidRPr="00412620" w:rsidRDefault="00BF2117" w:rsidP="00DC6A07">
      <w:pPr>
        <w:pStyle w:val="FootnoteText"/>
        <w:jc w:val="both"/>
        <w:rPr>
          <w:sz w:val="16"/>
          <w:szCs w:val="16"/>
          <w:lang w:val="en-US"/>
        </w:rPr>
      </w:pPr>
      <w:r w:rsidRPr="00412620">
        <w:rPr>
          <w:rFonts w:cs="Arial"/>
          <w:sz w:val="16"/>
          <w:szCs w:val="16"/>
        </w:rPr>
        <w:tab/>
      </w:r>
      <w:r w:rsidRPr="00412620">
        <w:rPr>
          <w:rFonts w:cs="Arial"/>
          <w:sz w:val="16"/>
          <w:szCs w:val="16"/>
        </w:rPr>
        <w:tab/>
        <w:t>Provided that turnover chargeable to tax under this section shall not include the sale of goods on which tax is deducted or deductible under clause (a) of sub-section (1) of section 153.”</w:t>
      </w:r>
    </w:p>
  </w:footnote>
  <w:footnote w:id="580">
    <w:p w:rsidR="00BF2117" w:rsidRPr="00C3232C" w:rsidRDefault="00BF2117">
      <w:pPr>
        <w:pStyle w:val="FootnoteText"/>
        <w:rPr>
          <w:color w:val="0070C0"/>
          <w:sz w:val="16"/>
          <w:szCs w:val="16"/>
        </w:rPr>
      </w:pPr>
      <w:r w:rsidRPr="00C3232C">
        <w:rPr>
          <w:rStyle w:val="FootnoteReference"/>
          <w:color w:val="0070C0"/>
          <w:sz w:val="16"/>
          <w:szCs w:val="16"/>
        </w:rPr>
        <w:footnoteRef/>
      </w:r>
      <w:r w:rsidRPr="00C3232C">
        <w:rPr>
          <w:color w:val="0070C0"/>
          <w:sz w:val="16"/>
          <w:szCs w:val="16"/>
        </w:rPr>
        <w:t xml:space="preserve"> Section 113B omitted by the Finance Act, 2016. The omitted section reads as follows:-</w:t>
      </w:r>
    </w:p>
    <w:p w:rsidR="00BF2117" w:rsidRPr="00C3232C" w:rsidRDefault="00BF2117" w:rsidP="00B96522">
      <w:pPr>
        <w:pStyle w:val="Header"/>
        <w:tabs>
          <w:tab w:val="left" w:pos="547"/>
        </w:tabs>
        <w:jc w:val="both"/>
        <w:rPr>
          <w:rFonts w:cs="Arial"/>
          <w:color w:val="000000" w:themeColor="text1"/>
          <w:sz w:val="16"/>
          <w:szCs w:val="16"/>
        </w:rPr>
      </w:pPr>
      <w:r w:rsidRPr="00C3232C">
        <w:rPr>
          <w:rFonts w:cs="Arial"/>
          <w:b/>
          <w:color w:val="000000" w:themeColor="text1"/>
          <w:sz w:val="16"/>
          <w:szCs w:val="16"/>
        </w:rPr>
        <w:t xml:space="preserve">“113B.   Minimum tax on land developers.— </w:t>
      </w:r>
      <w:r w:rsidRPr="00C3232C">
        <w:rPr>
          <w:rFonts w:cs="Arial"/>
          <w:color w:val="000000" w:themeColor="text1"/>
          <w:sz w:val="16"/>
          <w:szCs w:val="16"/>
        </w:rPr>
        <w:t>(1) Subject to this Ordinance, where a person derives income from the business of development and sale of residential, commercial or other plots, he shall pay minimum tax</w:t>
      </w:r>
      <w:r w:rsidRPr="00C3232C">
        <w:rPr>
          <w:rStyle w:val="FootnoteReference"/>
          <w:rFonts w:cs="Arial"/>
          <w:color w:val="000000" w:themeColor="text1"/>
          <w:sz w:val="16"/>
          <w:szCs w:val="16"/>
        </w:rPr>
        <w:footnoteRef/>
      </w:r>
      <w:r w:rsidRPr="00C3232C">
        <w:rPr>
          <w:rFonts w:cs="Arial"/>
          <w:color w:val="000000" w:themeColor="text1"/>
          <w:sz w:val="16"/>
          <w:szCs w:val="16"/>
        </w:rPr>
        <w:t>[at the rate of two per cent of the value of land notified by any authority for the purpose of stamp duty]. The Federal Government may also specify the mode, manner and time of payment of such amount of tax.</w:t>
      </w:r>
    </w:p>
    <w:p w:rsidR="00BF2117" w:rsidRPr="00B96522" w:rsidRDefault="00BF2117" w:rsidP="00B96522">
      <w:pPr>
        <w:jc w:val="both"/>
        <w:rPr>
          <w:color w:val="FF0066"/>
          <w:sz w:val="16"/>
          <w:szCs w:val="16"/>
          <w:lang w:val="en-US"/>
        </w:rPr>
      </w:pPr>
      <w:r w:rsidRPr="00C3232C">
        <w:rPr>
          <w:rFonts w:cs="Arial"/>
          <w:color w:val="000000" w:themeColor="text1"/>
          <w:sz w:val="16"/>
          <w:szCs w:val="16"/>
        </w:rPr>
        <w:tab/>
        <w:t xml:space="preserve">(2) </w:t>
      </w:r>
      <w:r w:rsidRPr="00C3232C">
        <w:rPr>
          <w:rFonts w:cs="Arial"/>
          <w:color w:val="000000" w:themeColor="text1"/>
          <w:sz w:val="16"/>
          <w:szCs w:val="16"/>
        </w:rPr>
        <w:tab/>
        <w:t>The tax paid under this section shall be minimum tax on the income of the developer from the sale of such residential, commercial or other plots sold or booked."]</w:t>
      </w:r>
    </w:p>
  </w:footnote>
  <w:footnote w:id="581">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Section 113C inserted by the Finance Act, 2014.</w:t>
      </w:r>
    </w:p>
  </w:footnote>
  <w:footnote w:id="582">
    <w:p w:rsidR="00BF2117" w:rsidRPr="009C4825" w:rsidRDefault="00BF2117">
      <w:pPr>
        <w:pStyle w:val="FootnoteText"/>
        <w:rPr>
          <w:lang w:val="en-US"/>
        </w:rPr>
      </w:pPr>
      <w:r>
        <w:rPr>
          <w:rStyle w:val="FootnoteReference"/>
        </w:rPr>
        <w:footnoteRef/>
      </w:r>
      <w:r w:rsidRPr="00412620">
        <w:rPr>
          <w:sz w:val="16"/>
          <w:szCs w:val="16"/>
        </w:rPr>
        <w:t>Inserted by the Finance Act, 201</w:t>
      </w:r>
      <w:r>
        <w:rPr>
          <w:sz w:val="16"/>
          <w:szCs w:val="16"/>
        </w:rPr>
        <w:t>5</w:t>
      </w:r>
    </w:p>
  </w:footnote>
  <w:footnote w:id="583">
    <w:p w:rsidR="00BF2117" w:rsidRPr="006318B3" w:rsidRDefault="00BF2117" w:rsidP="00385CC0">
      <w:pPr>
        <w:pStyle w:val="FootnoteText"/>
        <w:ind w:left="180" w:hanging="180"/>
        <w:jc w:val="both"/>
        <w:rPr>
          <w:sz w:val="16"/>
          <w:szCs w:val="16"/>
        </w:rPr>
      </w:pPr>
      <w:r w:rsidRPr="006318B3">
        <w:rPr>
          <w:rStyle w:val="FootnoteReference"/>
          <w:sz w:val="16"/>
          <w:szCs w:val="16"/>
        </w:rPr>
        <w:footnoteRef/>
      </w:r>
      <w:r w:rsidRPr="006318B3">
        <w:rPr>
          <w:sz w:val="16"/>
          <w:szCs w:val="16"/>
        </w:rPr>
        <w:t xml:space="preserve"> Clause (c) Substituted by the Finance Act, 2015</w:t>
      </w:r>
      <w:r>
        <w:rPr>
          <w:sz w:val="16"/>
          <w:szCs w:val="16"/>
        </w:rPr>
        <w:t>. T</w:t>
      </w:r>
      <w:r w:rsidRPr="006318B3">
        <w:rPr>
          <w:sz w:val="16"/>
          <w:szCs w:val="16"/>
        </w:rPr>
        <w:t xml:space="preserve">he substituted clause </w:t>
      </w:r>
      <w:r>
        <w:rPr>
          <w:sz w:val="16"/>
          <w:szCs w:val="16"/>
        </w:rPr>
        <w:t>(</w:t>
      </w:r>
      <w:r w:rsidRPr="006318B3">
        <w:rPr>
          <w:sz w:val="16"/>
          <w:szCs w:val="16"/>
        </w:rPr>
        <w:t>c</w:t>
      </w:r>
      <w:r>
        <w:rPr>
          <w:sz w:val="16"/>
          <w:szCs w:val="16"/>
        </w:rPr>
        <w:t>)</w:t>
      </w:r>
      <w:r w:rsidRPr="006318B3">
        <w:rPr>
          <w:sz w:val="16"/>
          <w:szCs w:val="16"/>
        </w:rPr>
        <w:t xml:space="preserve"> read as follows</w:t>
      </w:r>
      <w:r>
        <w:rPr>
          <w:sz w:val="16"/>
          <w:szCs w:val="16"/>
        </w:rPr>
        <w:t>:-</w:t>
      </w:r>
      <w:r w:rsidRPr="006318B3">
        <w:rPr>
          <w:rFonts w:cs="Arial"/>
          <w:color w:val="00B0F0"/>
          <w:sz w:val="16"/>
          <w:szCs w:val="16"/>
        </w:rPr>
        <w:t>“</w:t>
      </w:r>
      <w:r w:rsidRPr="006318B3">
        <w:rPr>
          <w:rFonts w:cs="Arial"/>
          <w:sz w:val="16"/>
          <w:szCs w:val="16"/>
        </w:rPr>
        <w:t>Corporate Tax” means total tax payable by the company, including tax payable on account of minimum tax and final taxes payable, under any of the provisions of this Ordinance but not including those mentioned in sections 8, 161 and 162 and any amount charged or paid on account of default surcharge or penalty and the tax payable under this section.</w:t>
      </w:r>
    </w:p>
  </w:footnote>
  <w:footnote w:id="584">
    <w:p w:rsidR="00BF2117" w:rsidRDefault="00BF2117" w:rsidP="006318B3">
      <w:pPr>
        <w:pStyle w:val="Default"/>
      </w:pPr>
      <w:r>
        <w:rPr>
          <w:rStyle w:val="FootnoteReference"/>
        </w:rPr>
        <w:footnoteRef/>
      </w:r>
      <w:r w:rsidRPr="006318B3">
        <w:rPr>
          <w:sz w:val="16"/>
          <w:szCs w:val="16"/>
        </w:rPr>
        <w:t>Sub-Clause</w:t>
      </w:r>
      <w:r>
        <w:rPr>
          <w:sz w:val="16"/>
        </w:rPr>
        <w:t xml:space="preserve"> (ii) substituted by </w:t>
      </w:r>
      <w:r w:rsidRPr="00412620">
        <w:rPr>
          <w:sz w:val="16"/>
        </w:rPr>
        <w:t>Finance Act, 20</w:t>
      </w:r>
      <w:r>
        <w:rPr>
          <w:sz w:val="16"/>
        </w:rPr>
        <w:t>15. The substituted clause read as follows:-</w:t>
      </w:r>
    </w:p>
    <w:p w:rsidR="00BF2117" w:rsidRPr="006318B3" w:rsidRDefault="00BF2117" w:rsidP="006318B3">
      <w:pPr>
        <w:pStyle w:val="Default"/>
        <w:jc w:val="both"/>
        <w:rPr>
          <w:sz w:val="16"/>
          <w:szCs w:val="16"/>
        </w:rPr>
      </w:pPr>
      <w:r>
        <w:rPr>
          <w:sz w:val="16"/>
          <w:szCs w:val="16"/>
        </w:rPr>
        <w:tab/>
      </w:r>
      <w:r w:rsidRPr="006318B3">
        <w:rPr>
          <w:sz w:val="16"/>
          <w:szCs w:val="16"/>
        </w:rPr>
        <w:t xml:space="preserve">(ii) income subject to tax under section 37A and final tax chargeable under sub-section (7) of </w:t>
      </w:r>
      <w:r>
        <w:rPr>
          <w:sz w:val="16"/>
          <w:szCs w:val="16"/>
        </w:rPr>
        <w:tab/>
      </w:r>
      <w:r w:rsidRPr="006318B3">
        <w:rPr>
          <w:sz w:val="16"/>
          <w:szCs w:val="16"/>
        </w:rPr>
        <w:t xml:space="preserve">section 148, section 150, sub-section (3) of section 153, sub-section (4) of sections 154, 156 </w:t>
      </w:r>
      <w:r>
        <w:rPr>
          <w:sz w:val="16"/>
          <w:szCs w:val="16"/>
        </w:rPr>
        <w:tab/>
      </w:r>
      <w:r w:rsidRPr="006318B3">
        <w:rPr>
          <w:sz w:val="16"/>
          <w:szCs w:val="16"/>
        </w:rPr>
        <w:t xml:space="preserve">and sub-section (3) of section 233;” </w:t>
      </w:r>
    </w:p>
    <w:p w:rsidR="00BF2117" w:rsidRPr="00805E58" w:rsidRDefault="00BF2117">
      <w:pPr>
        <w:pStyle w:val="FootnoteText"/>
        <w:rPr>
          <w:lang w:val="en-US"/>
        </w:rPr>
      </w:pPr>
    </w:p>
  </w:footnote>
  <w:footnote w:id="585">
    <w:p w:rsidR="00BF2117" w:rsidRPr="00D25A30" w:rsidRDefault="00BF2117">
      <w:pPr>
        <w:pStyle w:val="FootnoteText"/>
        <w:rPr>
          <w:lang w:val="en-US"/>
        </w:rPr>
      </w:pPr>
      <w:r>
        <w:rPr>
          <w:rStyle w:val="FootnoteReference"/>
        </w:rPr>
        <w:footnoteRef/>
      </w:r>
      <w:r w:rsidRPr="00D25A30">
        <w:rPr>
          <w:sz w:val="16"/>
          <w:szCs w:val="16"/>
        </w:rPr>
        <w:t>The</w:t>
      </w:r>
      <w:r>
        <w:rPr>
          <w:sz w:val="16"/>
          <w:szCs w:val="16"/>
        </w:rPr>
        <w:t xml:space="preserve"> word and figure </w:t>
      </w:r>
      <w:r w:rsidRPr="00D25A30">
        <w:rPr>
          <w:sz w:val="16"/>
          <w:szCs w:val="16"/>
        </w:rPr>
        <w:t>“and 65E” substituted</w:t>
      </w:r>
      <w:r>
        <w:rPr>
          <w:sz w:val="16"/>
          <w:szCs w:val="16"/>
        </w:rPr>
        <w:t xml:space="preserve"> </w:t>
      </w:r>
      <w:r w:rsidRPr="00412620">
        <w:rPr>
          <w:sz w:val="16"/>
        </w:rPr>
        <w:t>by the Finance Act, 20</w:t>
      </w:r>
      <w:r>
        <w:rPr>
          <w:sz w:val="16"/>
        </w:rPr>
        <w:t>15</w:t>
      </w:r>
    </w:p>
  </w:footnote>
  <w:footnote w:id="586">
    <w:p w:rsidR="00BF2117" w:rsidRPr="00E022AA" w:rsidRDefault="00BF2117" w:rsidP="00E022AA">
      <w:pPr>
        <w:contextualSpacing/>
        <w:rPr>
          <w:rFonts w:cs="Arial"/>
          <w:color w:val="00B0F0"/>
          <w:sz w:val="16"/>
          <w:szCs w:val="16"/>
        </w:rPr>
      </w:pPr>
      <w:r w:rsidRPr="00E022AA">
        <w:rPr>
          <w:rStyle w:val="FootnoteReference"/>
          <w:sz w:val="16"/>
          <w:szCs w:val="16"/>
        </w:rPr>
        <w:footnoteRef/>
      </w:r>
      <w:r>
        <w:rPr>
          <w:sz w:val="16"/>
          <w:szCs w:val="16"/>
        </w:rPr>
        <w:t xml:space="preserve">Sub-clause </w:t>
      </w:r>
      <w:r w:rsidRPr="00E022AA">
        <w:rPr>
          <w:sz w:val="16"/>
          <w:szCs w:val="16"/>
        </w:rPr>
        <w:t xml:space="preserve">(iv) </w:t>
      </w:r>
      <w:r>
        <w:rPr>
          <w:sz w:val="16"/>
          <w:szCs w:val="16"/>
        </w:rPr>
        <w:t xml:space="preserve">and (v) </w:t>
      </w:r>
      <w:r w:rsidRPr="00E022AA">
        <w:rPr>
          <w:sz w:val="16"/>
          <w:szCs w:val="16"/>
        </w:rPr>
        <w:t xml:space="preserve">omitted by Finance Act, 2015. The omitted clause read as follows:- </w:t>
      </w:r>
    </w:p>
    <w:p w:rsidR="00BF2117" w:rsidRDefault="00BF2117" w:rsidP="000220C3">
      <w:pPr>
        <w:ind w:firstLine="547"/>
        <w:contextualSpacing/>
      </w:pPr>
      <w:r w:rsidRPr="00E022AA">
        <w:rPr>
          <w:sz w:val="16"/>
          <w:szCs w:val="16"/>
        </w:rPr>
        <w:t>“(iv</w:t>
      </w:r>
      <w:r w:rsidRPr="00E022AA">
        <w:rPr>
          <w:color w:val="000000" w:themeColor="text1"/>
          <w:sz w:val="16"/>
          <w:szCs w:val="16"/>
        </w:rPr>
        <w:t xml:space="preserve">) </w:t>
      </w:r>
      <w:r w:rsidRPr="00E022AA">
        <w:rPr>
          <w:rFonts w:cs="Arial"/>
          <w:iCs/>
          <w:color w:val="000000" w:themeColor="text1"/>
          <w:sz w:val="16"/>
          <w:szCs w:val="16"/>
        </w:rPr>
        <w:t>income subject to tax credit under section 100C;”</w:t>
      </w:r>
    </w:p>
    <w:p w:rsidR="00BF2117" w:rsidRPr="00E022AA" w:rsidRDefault="00BF2117" w:rsidP="000220C3">
      <w:pPr>
        <w:pStyle w:val="Default"/>
      </w:pPr>
      <w:r>
        <w:rPr>
          <w:sz w:val="16"/>
          <w:szCs w:val="16"/>
        </w:rPr>
        <w:tab/>
        <w:t>“</w:t>
      </w:r>
      <w:r w:rsidRPr="000220C3">
        <w:rPr>
          <w:sz w:val="16"/>
          <w:szCs w:val="16"/>
        </w:rPr>
        <w:t>(v) income of the company subject to clause (18A) of Part-II of the Second Schedule;</w:t>
      </w:r>
      <w:r>
        <w:rPr>
          <w:sz w:val="16"/>
          <w:szCs w:val="16"/>
        </w:rPr>
        <w:t>”</w:t>
      </w:r>
    </w:p>
  </w:footnote>
  <w:footnote w:id="587">
    <w:p w:rsidR="00BF2117" w:rsidRPr="003F0858" w:rsidRDefault="00BF2117">
      <w:pPr>
        <w:pStyle w:val="FootnoteText"/>
        <w:rPr>
          <w:sz w:val="16"/>
          <w:szCs w:val="16"/>
          <w:lang w:val="en-US"/>
        </w:rPr>
      </w:pPr>
      <w:r w:rsidRPr="003F0858">
        <w:rPr>
          <w:rStyle w:val="FootnoteReference"/>
          <w:sz w:val="16"/>
          <w:szCs w:val="16"/>
        </w:rPr>
        <w:footnoteRef/>
      </w:r>
      <w:r w:rsidRPr="003F0858">
        <w:rPr>
          <w:sz w:val="16"/>
          <w:szCs w:val="16"/>
        </w:rPr>
        <w:t xml:space="preserve"> The words “section” substituted by Finance Act, 2015.</w:t>
      </w:r>
    </w:p>
  </w:footnote>
  <w:footnote w:id="588">
    <w:p w:rsidR="00BF2117" w:rsidRPr="00E541B7" w:rsidRDefault="00BF2117">
      <w:pPr>
        <w:pStyle w:val="FootnoteText"/>
        <w:rPr>
          <w:sz w:val="16"/>
          <w:szCs w:val="16"/>
          <w:lang w:val="en-US"/>
        </w:rPr>
      </w:pPr>
      <w:r w:rsidRPr="00E541B7">
        <w:rPr>
          <w:rStyle w:val="FootnoteReference"/>
          <w:sz w:val="16"/>
          <w:szCs w:val="16"/>
        </w:rPr>
        <w:footnoteRef/>
      </w:r>
      <w:r w:rsidRPr="00E541B7">
        <w:rPr>
          <w:sz w:val="16"/>
          <w:szCs w:val="16"/>
          <w:lang w:val="en-US"/>
        </w:rPr>
        <w:t>Added by Finance Act, 2015.</w:t>
      </w:r>
    </w:p>
  </w:footnote>
  <w:footnote w:id="589">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Clause (a) substituted by the Finance Act, 2003. The substituted clause (a) read as follows: </w:t>
      </w:r>
    </w:p>
    <w:p w:rsidR="00BF2117" w:rsidRPr="00412620" w:rsidRDefault="00BF2117">
      <w:pPr>
        <w:pStyle w:val="BodyTextIndent"/>
        <w:ind w:left="1634" w:hanging="540"/>
        <w:jc w:val="both"/>
        <w:rPr>
          <w:rFonts w:cs="Arial"/>
          <w:sz w:val="16"/>
        </w:rPr>
      </w:pPr>
      <w:r w:rsidRPr="00412620">
        <w:rPr>
          <w:rFonts w:cs="Arial"/>
          <w:sz w:val="16"/>
        </w:rPr>
        <w:t>“(a)</w:t>
      </w:r>
      <w:r w:rsidRPr="00412620">
        <w:rPr>
          <w:rFonts w:cs="Arial"/>
          <w:sz w:val="16"/>
        </w:rPr>
        <w:tab/>
        <w:t>Every company and any other person whose taxable income for the year exceeds the maximum amount that is not chargeable to tax under this Ordinance for the year; and”</w:t>
      </w:r>
    </w:p>
  </w:footnote>
  <w:footnote w:id="590">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591">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2011.</w:t>
      </w:r>
    </w:p>
  </w:footnote>
  <w:footnote w:id="592">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Inserted by the Finance Act, 2006.</w:t>
      </w:r>
    </w:p>
  </w:footnote>
  <w:footnote w:id="593">
    <w:p w:rsidR="00BF2117" w:rsidRPr="00412620" w:rsidRDefault="00BF2117">
      <w:pPr>
        <w:pStyle w:val="FootnoteText"/>
        <w:rPr>
          <w:lang w:val="en-US"/>
        </w:rPr>
      </w:pPr>
      <w:r w:rsidRPr="00412620">
        <w:rPr>
          <w:rStyle w:val="FootnoteReference"/>
        </w:rPr>
        <w:footnoteRef/>
      </w:r>
      <w:r w:rsidRPr="00412620">
        <w:rPr>
          <w:sz w:val="16"/>
          <w:szCs w:val="16"/>
        </w:rPr>
        <w:t>The word “and” omitted by the Finance Act, 2011.</w:t>
      </w:r>
    </w:p>
  </w:footnote>
  <w:footnote w:id="594">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Inserted by the Finance Act, 2006.</w:t>
      </w:r>
    </w:p>
  </w:footnote>
  <w:footnote w:id="595">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Clause (b) substituted by the Finance Act, 2005. The substituted clause (b) read as follows: </w:t>
      </w:r>
    </w:p>
    <w:p w:rsidR="00BF2117" w:rsidRPr="00412620" w:rsidRDefault="00BF2117">
      <w:pPr>
        <w:pStyle w:val="BodyTextIndent"/>
        <w:keepNext/>
        <w:ind w:left="450" w:hanging="270"/>
        <w:jc w:val="both"/>
        <w:rPr>
          <w:rFonts w:cs="Arial"/>
          <w:sz w:val="16"/>
        </w:rPr>
      </w:pPr>
      <w:r w:rsidRPr="00412620">
        <w:rPr>
          <w:rFonts w:cs="Arial"/>
          <w:sz w:val="16"/>
        </w:rPr>
        <w:t>(b)</w:t>
      </w:r>
      <w:r w:rsidRPr="00412620">
        <w:rPr>
          <w:rFonts w:cs="Arial"/>
          <w:sz w:val="16"/>
        </w:rPr>
        <w:tab/>
        <w:t>any person not covered by clause (a) or (ab) who –</w:t>
      </w:r>
    </w:p>
    <w:p w:rsidR="00BF2117" w:rsidRPr="00412620" w:rsidRDefault="00BF2117">
      <w:pPr>
        <w:keepNext/>
        <w:ind w:left="720" w:hanging="270"/>
        <w:jc w:val="both"/>
        <w:rPr>
          <w:rFonts w:cs="Arial"/>
          <w:sz w:val="16"/>
        </w:rPr>
      </w:pPr>
      <w:r w:rsidRPr="00412620">
        <w:rPr>
          <w:rFonts w:cs="Arial"/>
          <w:sz w:val="16"/>
        </w:rPr>
        <w:t>(i)</w:t>
      </w:r>
      <w:r w:rsidRPr="00412620">
        <w:rPr>
          <w:rFonts w:cs="Arial"/>
          <w:sz w:val="16"/>
        </w:rPr>
        <w:tab/>
        <w:t xml:space="preserve">has been charged to tax in respect of any of the four preceding tax years; </w:t>
      </w:r>
    </w:p>
    <w:p w:rsidR="00BF2117" w:rsidRPr="00412620" w:rsidRDefault="00BF2117">
      <w:pPr>
        <w:keepNext/>
        <w:ind w:left="720" w:hanging="270"/>
        <w:jc w:val="both"/>
        <w:rPr>
          <w:rFonts w:cs="Arial"/>
          <w:sz w:val="16"/>
        </w:rPr>
      </w:pPr>
      <w:r w:rsidRPr="00412620">
        <w:rPr>
          <w:rFonts w:cs="Arial"/>
          <w:sz w:val="16"/>
        </w:rPr>
        <w:t>(ii)</w:t>
      </w:r>
      <w:r w:rsidRPr="00412620">
        <w:rPr>
          <w:rFonts w:cs="Arial"/>
          <w:sz w:val="16"/>
        </w:rPr>
        <w:tab/>
        <w:t xml:space="preserve">claims a loss carried forward under this Ordinance for a tax year; </w:t>
      </w:r>
    </w:p>
    <w:p w:rsidR="00BF2117" w:rsidRPr="00412620" w:rsidRDefault="00BF2117">
      <w:pPr>
        <w:ind w:left="720" w:hanging="270"/>
        <w:jc w:val="both"/>
        <w:rPr>
          <w:rFonts w:cs="Arial"/>
          <w:sz w:val="16"/>
        </w:rPr>
      </w:pPr>
      <w:r w:rsidRPr="00412620">
        <w:rPr>
          <w:rFonts w:cs="Arial"/>
          <w:sz w:val="16"/>
        </w:rPr>
        <w:t>(iii)</w:t>
      </w:r>
      <w:r w:rsidRPr="00412620">
        <w:rPr>
          <w:rFonts w:cs="Arial"/>
          <w:sz w:val="16"/>
        </w:rPr>
        <w:tab/>
        <w:t>owns immovable property, with a land area of two hundred and fifty square yards or more, located in areas falling in the limits of a Metropolitan/Municipal Corporation, a Cantonment Board, or the Islamabad Capital Territory or owns any flat;</w:t>
      </w:r>
    </w:p>
    <w:p w:rsidR="00BF2117" w:rsidRPr="00412620" w:rsidRDefault="00BF2117">
      <w:pPr>
        <w:ind w:left="720" w:hanging="270"/>
        <w:jc w:val="both"/>
        <w:rPr>
          <w:rFonts w:cs="Arial"/>
          <w:sz w:val="16"/>
        </w:rPr>
      </w:pPr>
      <w:r w:rsidRPr="00412620">
        <w:rPr>
          <w:rFonts w:cs="Arial"/>
          <w:sz w:val="16"/>
        </w:rPr>
        <w:t>(iv)</w:t>
      </w:r>
      <w:r w:rsidRPr="00412620">
        <w:rPr>
          <w:rFonts w:cs="Arial"/>
          <w:sz w:val="16"/>
        </w:rPr>
        <w:tab/>
        <w:t>owns a motor vehicle (other than a motor cycle) in Pakistan;</w:t>
      </w:r>
    </w:p>
    <w:p w:rsidR="00BF2117" w:rsidRPr="00412620" w:rsidRDefault="00BF2117">
      <w:pPr>
        <w:ind w:left="720" w:hanging="270"/>
        <w:jc w:val="both"/>
        <w:rPr>
          <w:rFonts w:cs="Arial"/>
          <w:sz w:val="16"/>
        </w:rPr>
      </w:pPr>
      <w:r w:rsidRPr="00412620">
        <w:rPr>
          <w:rFonts w:cs="Arial"/>
          <w:sz w:val="16"/>
        </w:rPr>
        <w:t>(v)</w:t>
      </w:r>
      <w:r w:rsidRPr="00412620">
        <w:rPr>
          <w:rFonts w:cs="Arial"/>
          <w:sz w:val="16"/>
        </w:rPr>
        <w:tab/>
        <w:t>subscribes for a telephone including a mobile phone in Pakistan;</w:t>
      </w:r>
    </w:p>
    <w:p w:rsidR="00BF2117" w:rsidRPr="00412620" w:rsidRDefault="00BF2117">
      <w:pPr>
        <w:ind w:left="720" w:hanging="270"/>
        <w:jc w:val="both"/>
        <w:rPr>
          <w:rFonts w:cs="Arial"/>
          <w:sz w:val="16"/>
        </w:rPr>
      </w:pPr>
      <w:r w:rsidRPr="00412620">
        <w:rPr>
          <w:rFonts w:cs="Arial"/>
          <w:sz w:val="16"/>
        </w:rPr>
        <w:t>(vi)</w:t>
      </w:r>
      <w:r w:rsidRPr="00412620">
        <w:rPr>
          <w:rFonts w:cs="Arial"/>
          <w:sz w:val="16"/>
        </w:rPr>
        <w:tab/>
        <w:t>has undertaken foreign travel in the tax year other than travel by a non-resident person or any travel for the purposes of the Haj, Umrah, or Ziarat; or</w:t>
      </w:r>
    </w:p>
    <w:p w:rsidR="00BF2117" w:rsidRPr="00412620" w:rsidRDefault="00BF2117" w:rsidP="00284C1E">
      <w:pPr>
        <w:ind w:left="720" w:hanging="270"/>
        <w:jc w:val="both"/>
        <w:rPr>
          <w:sz w:val="16"/>
        </w:rPr>
      </w:pPr>
      <w:r w:rsidRPr="00412620">
        <w:rPr>
          <w:rFonts w:cs="Arial"/>
          <w:sz w:val="16"/>
        </w:rPr>
        <w:t>(vii)</w:t>
      </w:r>
      <w:r w:rsidRPr="00412620">
        <w:rPr>
          <w:rFonts w:cs="Arial"/>
          <w:sz w:val="16"/>
        </w:rPr>
        <w:tab/>
        <w:t>is member of a club where the monthly subscription exceeds five hundred rupees or the admission fee exceeds twenty-five thousand rupees.</w:t>
      </w:r>
    </w:p>
  </w:footnote>
  <w:footnote w:id="596">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The letters and word “(a) or (ab)” substituted by the Finance Act, 2006.</w:t>
      </w:r>
    </w:p>
  </w:footnote>
  <w:footnote w:id="597">
    <w:p w:rsidR="00BF2117" w:rsidRPr="00412620" w:rsidRDefault="00BF2117">
      <w:pPr>
        <w:pStyle w:val="FootnoteText"/>
        <w:rPr>
          <w:sz w:val="16"/>
          <w:szCs w:val="16"/>
          <w:lang w:val="en-US"/>
        </w:rPr>
      </w:pPr>
      <w:r w:rsidRPr="00412620">
        <w:rPr>
          <w:rStyle w:val="FootnoteReference"/>
        </w:rPr>
        <w:footnoteRef/>
      </w:r>
      <w:r w:rsidRPr="00412620">
        <w:rPr>
          <w:sz w:val="16"/>
          <w:szCs w:val="16"/>
        </w:rPr>
        <w:t>Full stop substituted by the Finance Act, 2009.</w:t>
      </w:r>
    </w:p>
  </w:footnote>
  <w:footnote w:id="598">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599">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2009.</w:t>
      </w:r>
    </w:p>
  </w:footnote>
  <w:footnote w:id="600">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2009.</w:t>
      </w:r>
    </w:p>
  </w:footnote>
  <w:footnote w:id="601">
    <w:p w:rsidR="00BF2117" w:rsidRPr="00412620" w:rsidRDefault="00BF2117">
      <w:pPr>
        <w:pStyle w:val="FootnoteText"/>
        <w:rPr>
          <w:lang w:val="en-US"/>
        </w:rPr>
      </w:pPr>
      <w:r w:rsidRPr="00412620">
        <w:rPr>
          <w:rStyle w:val="FootnoteReference"/>
        </w:rPr>
        <w:footnoteRef/>
      </w:r>
      <w:r w:rsidRPr="00412620">
        <w:rPr>
          <w:sz w:val="16"/>
          <w:szCs w:val="16"/>
        </w:rPr>
        <w:t>The word “and” omitted by the Finance Act, 2011.</w:t>
      </w:r>
    </w:p>
  </w:footnote>
  <w:footnote w:id="602">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2009.</w:t>
      </w:r>
    </w:p>
  </w:footnote>
  <w:footnote w:id="603">
    <w:p w:rsidR="00BF2117" w:rsidRPr="00412620" w:rsidRDefault="00BF2117">
      <w:pPr>
        <w:pStyle w:val="FootnoteText"/>
        <w:rPr>
          <w:lang w:val="en-US"/>
        </w:rPr>
      </w:pPr>
      <w:r w:rsidRPr="00412620">
        <w:rPr>
          <w:rStyle w:val="FootnoteReference"/>
        </w:rPr>
        <w:footnoteRef/>
      </w:r>
      <w:r w:rsidRPr="00412620">
        <w:rPr>
          <w:sz w:val="16"/>
          <w:szCs w:val="16"/>
        </w:rPr>
        <w:t>Full stop substituted by the Finance Act, 2011.</w:t>
      </w:r>
    </w:p>
  </w:footnote>
  <w:footnote w:id="604">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2011.</w:t>
      </w:r>
    </w:p>
  </w:footnote>
  <w:footnote w:id="605">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words “one million” substituted by the Finance Act, 2013.</w:t>
      </w:r>
    </w:p>
  </w:footnote>
  <w:footnote w:id="606">
    <w:p w:rsidR="00BF2117" w:rsidRPr="00412620" w:rsidRDefault="00BF2117">
      <w:pPr>
        <w:pStyle w:val="FootnoteText"/>
        <w:rPr>
          <w:sz w:val="16"/>
          <w:szCs w:val="16"/>
          <w:lang w:val="en-US"/>
        </w:rPr>
      </w:pPr>
      <w:r w:rsidRPr="00412620">
        <w:rPr>
          <w:rStyle w:val="FootnoteReference"/>
        </w:rPr>
        <w:footnoteRef/>
      </w:r>
      <w:r w:rsidRPr="00412620">
        <w:rPr>
          <w:sz w:val="16"/>
          <w:szCs w:val="16"/>
        </w:rPr>
        <w:t>Full stop substituted by the Finance Act, 2013.</w:t>
      </w:r>
    </w:p>
  </w:footnote>
  <w:footnote w:id="607">
    <w:p w:rsidR="00BF2117" w:rsidRPr="00412620" w:rsidRDefault="00BF2117">
      <w:pPr>
        <w:pStyle w:val="FootnoteText"/>
        <w:rPr>
          <w:sz w:val="16"/>
          <w:szCs w:val="16"/>
          <w:lang w:val="en-US"/>
        </w:rPr>
      </w:pPr>
      <w:r w:rsidRPr="00412620">
        <w:rPr>
          <w:rStyle w:val="FootnoteReference"/>
        </w:rPr>
        <w:footnoteRef/>
      </w:r>
      <w:r w:rsidRPr="00412620">
        <w:rPr>
          <w:sz w:val="16"/>
          <w:szCs w:val="16"/>
        </w:rPr>
        <w:t xml:space="preserve">Added by the Finance Act, 2013. </w:t>
      </w:r>
    </w:p>
  </w:footnote>
  <w:footnote w:id="608">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The words </w:t>
      </w:r>
      <w:r w:rsidRPr="00F53D60">
        <w:rPr>
          <w:rFonts w:cs="Arial"/>
          <w:color w:val="000000" w:themeColor="text1"/>
          <w:sz w:val="16"/>
          <w:szCs w:val="16"/>
        </w:rPr>
        <w:t xml:space="preserve">“a resident person” </w:t>
      </w:r>
      <w:r w:rsidRPr="00F53D60">
        <w:rPr>
          <w:color w:val="000000" w:themeColor="text1"/>
          <w:sz w:val="16"/>
          <w:szCs w:val="16"/>
        </w:rPr>
        <w:t>inserted by the Finance Act, 2014.</w:t>
      </w:r>
    </w:p>
  </w:footnote>
  <w:footnote w:id="609">
    <w:p w:rsidR="00BF2117" w:rsidRPr="00412620" w:rsidRDefault="00BF2117">
      <w:pPr>
        <w:pStyle w:val="FootnoteText"/>
        <w:rPr>
          <w:lang w:val="en-US"/>
        </w:rPr>
      </w:pPr>
      <w:r w:rsidRPr="00412620">
        <w:rPr>
          <w:rStyle w:val="FootnoteReference"/>
        </w:rPr>
        <w:footnoteRef/>
      </w:r>
      <w:r w:rsidRPr="00412620">
        <w:rPr>
          <w:sz w:val="16"/>
          <w:szCs w:val="16"/>
        </w:rPr>
        <w:t>Inserted by the Finance Act, 2011.</w:t>
      </w:r>
    </w:p>
  </w:footnote>
  <w:footnote w:id="610">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words “three hundred and fifty thousand” substituted by the Finance Act, 2013.</w:t>
      </w:r>
    </w:p>
  </w:footnote>
  <w:footnote w:id="611">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Sub-section (2) substituted by the Finance Act, 2003. The substituted sub-section (2) read as follows: </w:t>
      </w:r>
    </w:p>
    <w:p w:rsidR="00BF2117" w:rsidRPr="00412620" w:rsidRDefault="00BF2117">
      <w:pPr>
        <w:keepNext/>
        <w:jc w:val="both"/>
        <w:rPr>
          <w:rFonts w:cs="Arial"/>
          <w:sz w:val="16"/>
        </w:rPr>
      </w:pPr>
      <w:r w:rsidRPr="00412620">
        <w:rPr>
          <w:rFonts w:cs="Arial"/>
          <w:sz w:val="16"/>
        </w:rPr>
        <w:tab/>
        <w:t>“(2)</w:t>
      </w:r>
      <w:r w:rsidRPr="00412620">
        <w:rPr>
          <w:rFonts w:cs="Arial"/>
          <w:sz w:val="16"/>
        </w:rPr>
        <w:tab/>
        <w:t>A return of income –</w:t>
      </w:r>
    </w:p>
    <w:p w:rsidR="00BF2117" w:rsidRPr="00412620" w:rsidRDefault="00BF2117">
      <w:pPr>
        <w:keepNext/>
        <w:ind w:left="1620" w:hanging="540"/>
        <w:jc w:val="both"/>
        <w:rPr>
          <w:rFonts w:cs="Arial"/>
          <w:sz w:val="16"/>
        </w:rPr>
      </w:pPr>
      <w:r w:rsidRPr="00412620">
        <w:rPr>
          <w:rFonts w:cs="Arial"/>
          <w:sz w:val="16"/>
        </w:rPr>
        <w:t>(a)</w:t>
      </w:r>
      <w:r w:rsidRPr="00412620">
        <w:rPr>
          <w:rFonts w:cs="Arial"/>
          <w:sz w:val="16"/>
        </w:rPr>
        <w:tab/>
        <w:t>shall be in the prescribed form;</w:t>
      </w:r>
    </w:p>
    <w:p w:rsidR="00BF2117" w:rsidRPr="00412620" w:rsidRDefault="00BF2117">
      <w:pPr>
        <w:keepNext/>
        <w:ind w:left="1620" w:hanging="540"/>
        <w:jc w:val="both"/>
        <w:rPr>
          <w:rFonts w:cs="Arial"/>
          <w:sz w:val="16"/>
        </w:rPr>
      </w:pPr>
      <w:r w:rsidRPr="00412620">
        <w:rPr>
          <w:rFonts w:cs="Arial"/>
          <w:sz w:val="16"/>
        </w:rPr>
        <w:t>(b)</w:t>
      </w:r>
      <w:r w:rsidRPr="00412620">
        <w:rPr>
          <w:rFonts w:cs="Arial"/>
          <w:sz w:val="16"/>
        </w:rPr>
        <w:tab/>
        <w:t>shall state the information required by the form, including a declaration of the records kept by the taxpayer;</w:t>
      </w:r>
    </w:p>
    <w:p w:rsidR="00BF2117" w:rsidRPr="00412620" w:rsidRDefault="00BF2117">
      <w:pPr>
        <w:keepNext/>
        <w:ind w:left="1620" w:hanging="540"/>
        <w:jc w:val="both"/>
        <w:rPr>
          <w:rFonts w:cs="Arial"/>
          <w:sz w:val="16"/>
        </w:rPr>
      </w:pPr>
      <w:r w:rsidRPr="00412620">
        <w:rPr>
          <w:rFonts w:cs="Arial"/>
          <w:sz w:val="16"/>
        </w:rPr>
        <w:t>(c)</w:t>
      </w:r>
      <w:r w:rsidRPr="00412620">
        <w:rPr>
          <w:rFonts w:cs="Arial"/>
          <w:sz w:val="16"/>
        </w:rPr>
        <w:tab/>
        <w:t>in the case of a person carrying on a business, shall include an income statement, balance sheet, and any other document as may be prescribed for the tax year; and</w:t>
      </w:r>
    </w:p>
    <w:p w:rsidR="00BF2117" w:rsidRPr="00412620" w:rsidRDefault="00BF2117">
      <w:pPr>
        <w:pStyle w:val="FootnoteText"/>
        <w:ind w:firstLine="360"/>
        <w:rPr>
          <w:rFonts w:cs="Arial"/>
          <w:sz w:val="16"/>
        </w:rPr>
      </w:pPr>
      <w:r w:rsidRPr="00412620">
        <w:rPr>
          <w:rFonts w:cs="Arial"/>
          <w:sz w:val="16"/>
        </w:rPr>
        <w:t>(d)</w:t>
      </w:r>
      <w:r w:rsidRPr="00412620">
        <w:rPr>
          <w:rFonts w:cs="Arial"/>
          <w:sz w:val="16"/>
        </w:rPr>
        <w:tab/>
        <w:t>shall be signed by the person or the person’s representative.”</w:t>
      </w:r>
    </w:p>
  </w:footnote>
  <w:footnote w:id="612">
    <w:p w:rsidR="00BF2117" w:rsidRPr="00412620" w:rsidRDefault="00BF2117">
      <w:pPr>
        <w:pStyle w:val="FootnoteText"/>
        <w:rPr>
          <w:lang w:val="en-US"/>
        </w:rPr>
      </w:pPr>
      <w:r w:rsidRPr="00412620">
        <w:rPr>
          <w:rStyle w:val="FootnoteReference"/>
        </w:rPr>
        <w:footnoteRef/>
      </w:r>
      <w:r w:rsidRPr="00412620">
        <w:rPr>
          <w:sz w:val="16"/>
          <w:szCs w:val="16"/>
        </w:rPr>
        <w:t>The word “and” omitted by the Finance Act, 2011.</w:t>
      </w:r>
    </w:p>
  </w:footnote>
  <w:footnote w:id="613">
    <w:p w:rsidR="00BF2117" w:rsidRPr="00412620" w:rsidRDefault="00BF2117">
      <w:pPr>
        <w:pStyle w:val="FootnoteText"/>
        <w:rPr>
          <w:lang w:val="en-US"/>
        </w:rPr>
      </w:pPr>
      <w:r w:rsidRPr="00412620">
        <w:rPr>
          <w:rStyle w:val="FootnoteReference"/>
        </w:rPr>
        <w:footnoteRef/>
      </w:r>
      <w:r w:rsidRPr="00412620">
        <w:rPr>
          <w:sz w:val="16"/>
          <w:szCs w:val="16"/>
        </w:rPr>
        <w:t>Full stop substituted by the Finance Act, 2011.</w:t>
      </w:r>
    </w:p>
  </w:footnote>
  <w:footnote w:id="614">
    <w:p w:rsidR="00BF2117" w:rsidRPr="00412620" w:rsidRDefault="00BF2117" w:rsidP="00B73F6B">
      <w:pPr>
        <w:pStyle w:val="FootnoteText"/>
        <w:rPr>
          <w:lang w:val="en-US"/>
        </w:rPr>
      </w:pPr>
      <w:r w:rsidRPr="00412620">
        <w:rPr>
          <w:rStyle w:val="FootnoteReference"/>
        </w:rPr>
        <w:footnoteRef/>
      </w:r>
      <w:r w:rsidRPr="00412620">
        <w:rPr>
          <w:sz w:val="16"/>
          <w:szCs w:val="16"/>
        </w:rPr>
        <w:t>Inserted by the Finance Act, 2011.</w:t>
      </w:r>
    </w:p>
  </w:footnote>
  <w:footnote w:id="615">
    <w:p w:rsidR="00BF2117" w:rsidRPr="00412620" w:rsidRDefault="00BF2117" w:rsidP="00B73F6B">
      <w:pPr>
        <w:pStyle w:val="FootnoteText"/>
        <w:rPr>
          <w:lang w:val="en-US"/>
        </w:rPr>
      </w:pPr>
      <w:r w:rsidRPr="00412620">
        <w:rPr>
          <w:rStyle w:val="FootnoteReference"/>
        </w:rPr>
        <w:footnoteRef/>
      </w:r>
      <w:r w:rsidRPr="00412620">
        <w:rPr>
          <w:sz w:val="16"/>
          <w:szCs w:val="16"/>
        </w:rPr>
        <w:t>Inserted by the Finance Act, 2011.</w:t>
      </w:r>
    </w:p>
  </w:footnote>
  <w:footnote w:id="616">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2005.</w:t>
      </w:r>
    </w:p>
  </w:footnote>
  <w:footnote w:id="617">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lang w:val="en-US"/>
        </w:rPr>
        <w:t>Inserted by the Finance Act, 2007.</w:t>
      </w:r>
    </w:p>
  </w:footnote>
  <w:footnote w:id="618">
    <w:p w:rsidR="00BF2117" w:rsidRPr="005736F2" w:rsidRDefault="00BF2117">
      <w:pPr>
        <w:pStyle w:val="FootnoteText"/>
        <w:keepNext/>
        <w:ind w:left="180" w:hanging="180"/>
        <w:jc w:val="both"/>
        <w:rPr>
          <w:sz w:val="16"/>
          <w:szCs w:val="16"/>
        </w:rPr>
      </w:pPr>
      <w:r w:rsidRPr="005736F2">
        <w:rPr>
          <w:rStyle w:val="FootnoteReference"/>
          <w:rFonts w:cs="Arial"/>
          <w:sz w:val="16"/>
          <w:szCs w:val="16"/>
        </w:rPr>
        <w:footnoteRef/>
      </w:r>
      <w:r w:rsidRPr="005736F2">
        <w:rPr>
          <w:sz w:val="16"/>
          <w:szCs w:val="16"/>
        </w:rPr>
        <w:t xml:space="preserve"> Clause (d) omitted by the Finance Act, 2003. Earlier this was omitted by S.R.O. 633(I)/2002 dated 14.09.2002 which stands rescinded by SRO 608(I)/2003, dated 24.06.2003 with effect from 01.07.2003. The omitted clause (d) read as follows:</w:t>
      </w:r>
    </w:p>
    <w:p w:rsidR="00BF2117" w:rsidRPr="005736F2" w:rsidRDefault="00BF2117">
      <w:pPr>
        <w:pStyle w:val="FootnoteText"/>
        <w:ind w:left="180" w:firstLine="0"/>
        <w:rPr>
          <w:rFonts w:cs="Arial"/>
          <w:sz w:val="16"/>
          <w:szCs w:val="16"/>
        </w:rPr>
      </w:pPr>
      <w:r w:rsidRPr="005736F2">
        <w:rPr>
          <w:rFonts w:cs="Arial"/>
          <w:sz w:val="16"/>
          <w:szCs w:val="16"/>
        </w:rPr>
        <w:t>“(d)</w:t>
      </w:r>
      <w:r w:rsidRPr="005736F2">
        <w:rPr>
          <w:rFonts w:cs="Arial"/>
          <w:sz w:val="16"/>
          <w:szCs w:val="16"/>
        </w:rPr>
        <w:tab/>
        <w:t>the person is otherwise about to cease carrying on business in Pakistan; or “</w:t>
      </w:r>
    </w:p>
  </w:footnote>
  <w:footnote w:id="619">
    <w:p w:rsidR="00BF2117" w:rsidRPr="005736F2" w:rsidRDefault="00BF2117">
      <w:pPr>
        <w:pStyle w:val="FootnoteText"/>
        <w:rPr>
          <w:sz w:val="16"/>
          <w:szCs w:val="16"/>
        </w:rPr>
      </w:pPr>
      <w:r w:rsidRPr="005736F2">
        <w:rPr>
          <w:rStyle w:val="FootnoteReference"/>
          <w:rFonts w:cs="Arial"/>
          <w:sz w:val="16"/>
          <w:szCs w:val="16"/>
        </w:rPr>
        <w:footnoteRef/>
      </w:r>
      <w:r w:rsidRPr="005736F2">
        <w:rPr>
          <w:sz w:val="16"/>
          <w:szCs w:val="16"/>
        </w:rPr>
        <w:t xml:space="preserve"> Inserted by the Finance Act, 2003.</w:t>
      </w:r>
    </w:p>
  </w:footnote>
  <w:footnote w:id="620">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2013.</w:t>
      </w:r>
    </w:p>
  </w:footnote>
  <w:footnote w:id="621">
    <w:p w:rsidR="00BF2117" w:rsidRPr="005736F2" w:rsidRDefault="00BF2117">
      <w:pPr>
        <w:pStyle w:val="FootnoteText"/>
        <w:ind w:left="180" w:hanging="180"/>
        <w:jc w:val="both"/>
        <w:rPr>
          <w:sz w:val="16"/>
          <w:szCs w:val="16"/>
        </w:rPr>
      </w:pPr>
      <w:r w:rsidRPr="005736F2">
        <w:rPr>
          <w:rStyle w:val="FootnoteReference"/>
          <w:rFonts w:cs="Arial"/>
          <w:sz w:val="16"/>
          <w:szCs w:val="16"/>
        </w:rPr>
        <w:footnoteRef/>
      </w:r>
      <w:r w:rsidRPr="005736F2">
        <w:rPr>
          <w:sz w:val="16"/>
          <w:szCs w:val="16"/>
        </w:rPr>
        <w:t xml:space="preserve"> The words “only in respect of the” substituted by Finance Act, 2003. Earlier these were substituted by S.R.O. 633(I)/2002 dated 14.09.2002 which stands rescinded by SRO 608(I)/2003, dated 24.06.2003 with effect from 01.07.2003.</w:t>
      </w:r>
    </w:p>
  </w:footnote>
  <w:footnote w:id="622">
    <w:p w:rsidR="00BF2117" w:rsidRPr="005736F2" w:rsidRDefault="00BF2117">
      <w:pPr>
        <w:pStyle w:val="FootnoteText"/>
        <w:rPr>
          <w:sz w:val="16"/>
          <w:szCs w:val="16"/>
        </w:rPr>
      </w:pPr>
      <w:r w:rsidRPr="005736F2">
        <w:rPr>
          <w:rStyle w:val="FootnoteReference"/>
          <w:rFonts w:cs="Arial"/>
          <w:sz w:val="16"/>
          <w:szCs w:val="16"/>
        </w:rPr>
        <w:footnoteRef/>
      </w:r>
      <w:r w:rsidRPr="005736F2">
        <w:rPr>
          <w:sz w:val="16"/>
          <w:szCs w:val="16"/>
        </w:rPr>
        <w:t xml:space="preserve"> Inserted by the Finance Act, 2005.</w:t>
      </w:r>
    </w:p>
  </w:footnote>
  <w:footnote w:id="623">
    <w:p w:rsidR="00BF2117" w:rsidRPr="005736F2" w:rsidRDefault="00BF2117">
      <w:pPr>
        <w:pStyle w:val="FootnoteText"/>
        <w:rPr>
          <w:sz w:val="16"/>
          <w:szCs w:val="16"/>
        </w:rPr>
      </w:pPr>
      <w:r w:rsidRPr="005736F2">
        <w:rPr>
          <w:rStyle w:val="FootnoteReference"/>
          <w:rFonts w:cs="Arial"/>
          <w:sz w:val="16"/>
          <w:szCs w:val="16"/>
        </w:rPr>
        <w:footnoteRef/>
      </w:r>
      <w:r w:rsidRPr="005736F2">
        <w:rPr>
          <w:sz w:val="16"/>
          <w:szCs w:val="16"/>
        </w:rPr>
        <w:t xml:space="preserve"> Inserted by the Finance Act, 2004.</w:t>
      </w:r>
    </w:p>
  </w:footnote>
  <w:footnote w:id="624">
    <w:p w:rsidR="00BF2117" w:rsidRPr="00C3232C" w:rsidRDefault="00BF2117">
      <w:pPr>
        <w:pStyle w:val="FootnoteText"/>
        <w:rPr>
          <w:color w:val="0070C0"/>
          <w:sz w:val="16"/>
          <w:szCs w:val="16"/>
          <w:lang w:val="en-US"/>
        </w:rPr>
      </w:pPr>
      <w:r w:rsidRPr="00C3232C">
        <w:rPr>
          <w:rStyle w:val="FootnoteReference"/>
          <w:color w:val="0070C0"/>
          <w:sz w:val="16"/>
          <w:szCs w:val="16"/>
        </w:rPr>
        <w:footnoteRef/>
      </w:r>
      <w:r w:rsidRPr="00C3232C">
        <w:rPr>
          <w:color w:val="0070C0"/>
          <w:sz w:val="16"/>
          <w:szCs w:val="16"/>
        </w:rPr>
        <w:t xml:space="preserve"> Full stop substituted by the Finance Act, 2016.</w:t>
      </w:r>
    </w:p>
  </w:footnote>
  <w:footnote w:id="625">
    <w:p w:rsidR="00BF2117" w:rsidRPr="003641C6" w:rsidRDefault="00BF2117">
      <w:pPr>
        <w:pStyle w:val="FootnoteText"/>
        <w:rPr>
          <w:color w:val="FF0066"/>
          <w:sz w:val="16"/>
          <w:szCs w:val="16"/>
          <w:lang w:val="en-US"/>
        </w:rPr>
      </w:pPr>
      <w:r w:rsidRPr="00C3232C">
        <w:rPr>
          <w:rStyle w:val="FootnoteReference"/>
          <w:color w:val="0070C0"/>
          <w:sz w:val="16"/>
          <w:szCs w:val="16"/>
        </w:rPr>
        <w:footnoteRef/>
      </w:r>
      <w:r w:rsidRPr="00C3232C">
        <w:rPr>
          <w:color w:val="0070C0"/>
          <w:sz w:val="16"/>
          <w:szCs w:val="16"/>
        </w:rPr>
        <w:t xml:space="preserve"> Added by the Finance Act, 2016.</w:t>
      </w:r>
    </w:p>
  </w:footnote>
  <w:footnote w:id="626">
    <w:p w:rsidR="00BF2117" w:rsidRPr="00412620" w:rsidRDefault="00BF2117" w:rsidP="002C5241">
      <w:pPr>
        <w:pStyle w:val="FootnoteText"/>
        <w:ind w:left="180" w:hanging="180"/>
        <w:jc w:val="both"/>
        <w:rPr>
          <w:sz w:val="16"/>
          <w:szCs w:val="16"/>
        </w:rPr>
      </w:pPr>
      <w:r w:rsidRPr="005736F2">
        <w:rPr>
          <w:rStyle w:val="FootnoteReference"/>
          <w:sz w:val="16"/>
          <w:szCs w:val="16"/>
        </w:rPr>
        <w:footnoteRef/>
      </w:r>
      <w:r w:rsidRPr="005736F2">
        <w:rPr>
          <w:sz w:val="16"/>
          <w:szCs w:val="16"/>
        </w:rPr>
        <w:t xml:space="preserve"> Sub-section (6) substituted by the Finance Act, 2010. The substituted provision has been made effective from 05.06.2010 by sub-clause (</w:t>
      </w:r>
      <w:r w:rsidRPr="00412620">
        <w:rPr>
          <w:sz w:val="16"/>
          <w:szCs w:val="16"/>
        </w:rPr>
        <w:t>77) of clause 8 of the Finance Act, 2010. Earlier the substitution was made through Finance (Amendment) Ordinance, 2009 which was re-promulgated as Finance (Amendment) Ordinance, 2010 and remained effective till 05.06.2010. The substituted sub-section (6) read as follows:</w:t>
      </w:r>
    </w:p>
    <w:p w:rsidR="00BF2117" w:rsidRPr="00412620" w:rsidRDefault="00BF2117" w:rsidP="00BF32C7">
      <w:pPr>
        <w:ind w:left="180"/>
        <w:jc w:val="both"/>
        <w:rPr>
          <w:rFonts w:cs="Arial"/>
          <w:sz w:val="16"/>
          <w:szCs w:val="16"/>
        </w:rPr>
      </w:pPr>
      <w:r w:rsidRPr="00412620">
        <w:rPr>
          <w:sz w:val="16"/>
          <w:szCs w:val="16"/>
        </w:rPr>
        <w:tab/>
        <w:t>“</w:t>
      </w:r>
      <w:r w:rsidRPr="00412620">
        <w:rPr>
          <w:rFonts w:cs="Arial"/>
          <w:sz w:val="16"/>
          <w:szCs w:val="16"/>
        </w:rPr>
        <w:t>(6) Subject to sub-section (6A), any person who, having furnished a return, discovers any omission or wrong statement therein, may file revised return subject to the following conditions, namely:-</w:t>
      </w:r>
    </w:p>
    <w:p w:rsidR="00BF2117" w:rsidRPr="00412620" w:rsidRDefault="00BF2117" w:rsidP="00BF32C7">
      <w:pPr>
        <w:autoSpaceDE w:val="0"/>
        <w:autoSpaceDN w:val="0"/>
        <w:adjustRightInd w:val="0"/>
        <w:ind w:left="1094" w:hanging="547"/>
        <w:jc w:val="both"/>
        <w:rPr>
          <w:rFonts w:cs="Arial"/>
          <w:bCs/>
          <w:sz w:val="16"/>
          <w:szCs w:val="16"/>
        </w:rPr>
      </w:pPr>
      <w:r w:rsidRPr="00412620">
        <w:rPr>
          <w:rFonts w:cs="Arial"/>
          <w:bCs/>
          <w:sz w:val="16"/>
          <w:szCs w:val="16"/>
        </w:rPr>
        <w:t>(a)</w:t>
      </w:r>
      <w:r w:rsidRPr="00412620">
        <w:rPr>
          <w:rFonts w:cs="Arial"/>
          <w:bCs/>
          <w:sz w:val="16"/>
          <w:szCs w:val="16"/>
        </w:rPr>
        <w:tab/>
        <w:t>it is accompanied by the revised accounts or revised audited accounts, as the case may be; and</w:t>
      </w:r>
    </w:p>
    <w:p w:rsidR="00BF2117" w:rsidRPr="005736F2" w:rsidRDefault="00BF2117" w:rsidP="0003246C">
      <w:pPr>
        <w:pStyle w:val="FootnoteText"/>
        <w:ind w:left="1094" w:hanging="547"/>
        <w:jc w:val="both"/>
        <w:rPr>
          <w:sz w:val="16"/>
          <w:szCs w:val="16"/>
          <w:lang w:val="en-US"/>
        </w:rPr>
      </w:pPr>
      <w:r w:rsidRPr="00412620">
        <w:rPr>
          <w:rFonts w:cs="Arial"/>
          <w:bCs/>
          <w:sz w:val="16"/>
          <w:szCs w:val="16"/>
        </w:rPr>
        <w:t>(b)</w:t>
      </w:r>
      <w:r w:rsidRPr="00412620">
        <w:rPr>
          <w:rFonts w:cs="Arial"/>
          <w:bCs/>
          <w:sz w:val="16"/>
          <w:szCs w:val="16"/>
        </w:rPr>
        <w:tab/>
        <w:t xml:space="preserve">the reasons for revision of return, in writing, duly signed, by the taxpayers are filed </w:t>
      </w:r>
      <w:r w:rsidRPr="005736F2">
        <w:rPr>
          <w:rFonts w:cs="Arial"/>
          <w:bCs/>
          <w:sz w:val="16"/>
          <w:szCs w:val="16"/>
        </w:rPr>
        <w:t>with the return.”</w:t>
      </w:r>
    </w:p>
  </w:footnote>
  <w:footnote w:id="627">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The word “and” omitted by the Finance Act, 2012.</w:t>
      </w:r>
    </w:p>
  </w:footnote>
  <w:footnote w:id="628">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lang w:val="en-US"/>
        </w:rPr>
        <w:t>Substituted by the Finance Act, 2012.</w:t>
      </w:r>
    </w:p>
  </w:footnote>
  <w:footnote w:id="629">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The word “and” omitted by the Finance Act, 2013.</w:t>
      </w:r>
    </w:p>
  </w:footnote>
  <w:footnote w:id="630">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2013.</w:t>
      </w:r>
    </w:p>
  </w:footnote>
  <w:footnote w:id="631">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Added by the Finance Act, 2012.</w:t>
      </w:r>
    </w:p>
  </w:footnote>
  <w:footnote w:id="632">
    <w:p w:rsidR="00BF2117" w:rsidRPr="003310FB" w:rsidRDefault="00BF2117">
      <w:pPr>
        <w:pStyle w:val="FootnoteText"/>
        <w:rPr>
          <w:sz w:val="16"/>
          <w:szCs w:val="16"/>
          <w:lang w:val="en-US"/>
        </w:rPr>
      </w:pPr>
      <w:r w:rsidRPr="003310FB">
        <w:rPr>
          <w:rStyle w:val="FootnoteReference"/>
          <w:sz w:val="16"/>
          <w:szCs w:val="16"/>
        </w:rPr>
        <w:footnoteRef/>
      </w:r>
      <w:r>
        <w:rPr>
          <w:sz w:val="16"/>
          <w:szCs w:val="16"/>
        </w:rPr>
        <w:t>Substituted by Finance Act, 2015.</w:t>
      </w:r>
    </w:p>
  </w:footnote>
  <w:footnote w:id="633">
    <w:p w:rsidR="00BF2117" w:rsidRPr="001D0DF7" w:rsidRDefault="00BF2117">
      <w:pPr>
        <w:pStyle w:val="FootnoteText"/>
        <w:rPr>
          <w:sz w:val="16"/>
          <w:szCs w:val="16"/>
          <w:lang w:val="en-US"/>
        </w:rPr>
      </w:pPr>
      <w:r w:rsidRPr="001D0DF7">
        <w:rPr>
          <w:rStyle w:val="FootnoteReference"/>
          <w:sz w:val="16"/>
          <w:szCs w:val="16"/>
        </w:rPr>
        <w:footnoteRef/>
      </w:r>
      <w:r>
        <w:rPr>
          <w:sz w:val="16"/>
          <w:szCs w:val="16"/>
        </w:rPr>
        <w:t>Added by Finance Act, 2015.</w:t>
      </w:r>
    </w:p>
  </w:footnote>
  <w:footnote w:id="634">
    <w:p w:rsidR="00BF2117" w:rsidRPr="00C3232C" w:rsidRDefault="00BF2117">
      <w:pPr>
        <w:pStyle w:val="FootnoteText"/>
        <w:rPr>
          <w:color w:val="0070C0"/>
          <w:sz w:val="16"/>
          <w:szCs w:val="16"/>
        </w:rPr>
      </w:pPr>
      <w:r w:rsidRPr="00C3232C">
        <w:rPr>
          <w:rStyle w:val="FootnoteReference"/>
          <w:color w:val="0070C0"/>
          <w:sz w:val="16"/>
          <w:szCs w:val="16"/>
        </w:rPr>
        <w:footnoteRef/>
      </w:r>
      <w:r w:rsidRPr="00C3232C">
        <w:rPr>
          <w:color w:val="0070C0"/>
          <w:sz w:val="16"/>
          <w:szCs w:val="16"/>
        </w:rPr>
        <w:t xml:space="preserve"> Proviso substituted by the Finance Act, 2016. Substituted proviso reads as follows:-</w:t>
      </w:r>
    </w:p>
    <w:p w:rsidR="00BF2117" w:rsidRPr="00C3232C" w:rsidRDefault="00BF2117" w:rsidP="007A7612">
      <w:pPr>
        <w:pStyle w:val="FootnoteText"/>
        <w:ind w:left="450" w:firstLine="270"/>
        <w:rPr>
          <w:color w:val="000000" w:themeColor="text1"/>
          <w:sz w:val="16"/>
          <w:szCs w:val="16"/>
          <w:lang w:val="en-US"/>
        </w:rPr>
      </w:pPr>
      <w:r w:rsidRPr="00C3232C">
        <w:rPr>
          <w:color w:val="000000" w:themeColor="text1"/>
          <w:sz w:val="16"/>
          <w:szCs w:val="16"/>
        </w:rPr>
        <w:t xml:space="preserve">“ </w:t>
      </w:r>
      <w:r w:rsidRPr="00C3232C">
        <w:rPr>
          <w:rFonts w:cs="Arial"/>
          <w:color w:val="000000" w:themeColor="text1"/>
          <w:sz w:val="16"/>
          <w:szCs w:val="16"/>
          <w:lang w:val="en-US"/>
        </w:rPr>
        <w:t>Provided further that the mode and manner for seeking the revision shall be as prescribed by the Board.”</w:t>
      </w:r>
    </w:p>
  </w:footnote>
  <w:footnote w:id="635">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Added by the Finance Act, 2010.</w:t>
      </w:r>
    </w:p>
  </w:footnote>
  <w:footnote w:id="636">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The words “wishes to file” substituted by the Finance Act, 2011.</w:t>
      </w:r>
    </w:p>
  </w:footnote>
  <w:footnote w:id="637">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The words “wishes to deposit” substituted by the Finance Act, 2011.</w:t>
      </w:r>
    </w:p>
  </w:footnote>
  <w:footnote w:id="638">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The words “wishes to revise” substituted by the Finance Act, 2011.</w:t>
      </w:r>
    </w:p>
  </w:footnote>
  <w:footnote w:id="639">
    <w:p w:rsidR="00BF2117" w:rsidRPr="005736F2" w:rsidRDefault="00BF2117">
      <w:pPr>
        <w:pStyle w:val="FootnoteText"/>
        <w:rPr>
          <w:sz w:val="16"/>
          <w:szCs w:val="16"/>
        </w:rPr>
      </w:pPr>
      <w:r w:rsidRPr="005736F2">
        <w:rPr>
          <w:rStyle w:val="FootnoteReference"/>
          <w:sz w:val="16"/>
          <w:szCs w:val="16"/>
        </w:rPr>
        <w:footnoteRef/>
      </w:r>
      <w:r w:rsidRPr="005736F2">
        <w:rPr>
          <w:sz w:val="16"/>
          <w:szCs w:val="16"/>
        </w:rPr>
        <w:t xml:space="preserve"> Sub-section (1) and the proviso there under omitted by the Finance Act, 2013. The omitted sub-section (1) and the proviso read as follows: </w:t>
      </w:r>
    </w:p>
    <w:p w:rsidR="00BF2117" w:rsidRPr="005736F2" w:rsidRDefault="00BF2117" w:rsidP="006E1C7B">
      <w:pPr>
        <w:pStyle w:val="FootnoteText"/>
        <w:ind w:left="180" w:firstLine="0"/>
        <w:jc w:val="both"/>
        <w:rPr>
          <w:sz w:val="16"/>
          <w:szCs w:val="16"/>
        </w:rPr>
      </w:pPr>
      <w:r w:rsidRPr="005736F2">
        <w:rPr>
          <w:rFonts w:cs="Arial"/>
          <w:sz w:val="16"/>
          <w:szCs w:val="16"/>
        </w:rPr>
        <w:tab/>
        <w:t>“(1) Where the entire income of a taxpayer in a tax year consists of income chargeable under the head “Salary”, Annual Statement of Deduction of Income Tax from Salary, filed by the employer of such taxpayer, in prescribed form, the same shall, for the purposes of this Ordinance, be treated as a return of income furnished by the taxpayer under section 114:</w:t>
      </w:r>
    </w:p>
    <w:p w:rsidR="00BF2117" w:rsidRPr="005736F2" w:rsidRDefault="00BF2117" w:rsidP="005F3D3B">
      <w:pPr>
        <w:ind w:left="1094" w:firstLine="766"/>
        <w:jc w:val="both"/>
        <w:rPr>
          <w:rFonts w:cs="Arial"/>
          <w:sz w:val="16"/>
          <w:szCs w:val="16"/>
        </w:rPr>
      </w:pPr>
      <w:r w:rsidRPr="005736F2">
        <w:rPr>
          <w:rFonts w:cs="Arial"/>
          <w:sz w:val="16"/>
          <w:szCs w:val="16"/>
        </w:rPr>
        <w:t>Provided that where salary income, for the tax year is five hundred thousand rupees or more, the taxpayer shall file return of income electronically in the prescribed form and it shall be accompanied by the proof of deduction or payment of tax and wealth statement as required under section 116.”</w:t>
      </w:r>
    </w:p>
    <w:p w:rsidR="00BF2117" w:rsidRPr="005736F2" w:rsidRDefault="00BF2117">
      <w:pPr>
        <w:pStyle w:val="FootnoteText"/>
        <w:rPr>
          <w:sz w:val="16"/>
          <w:szCs w:val="16"/>
          <w:lang w:val="en-US"/>
        </w:rPr>
      </w:pPr>
    </w:p>
  </w:footnote>
  <w:footnote w:id="640">
    <w:p w:rsidR="00BF2117" w:rsidRPr="005736F2" w:rsidRDefault="00BF2117">
      <w:pPr>
        <w:pStyle w:val="FootnoteText"/>
        <w:ind w:left="0" w:firstLine="0"/>
        <w:rPr>
          <w:sz w:val="16"/>
          <w:szCs w:val="16"/>
        </w:rPr>
      </w:pPr>
      <w:r w:rsidRPr="005736F2">
        <w:rPr>
          <w:rStyle w:val="FootnoteReference"/>
          <w:rFonts w:cs="Arial"/>
          <w:sz w:val="16"/>
          <w:szCs w:val="16"/>
        </w:rPr>
        <w:footnoteRef/>
      </w:r>
      <w:r w:rsidRPr="005736F2">
        <w:rPr>
          <w:sz w:val="16"/>
          <w:szCs w:val="16"/>
        </w:rPr>
        <w:t xml:space="preserve"> Sub-section (2) omitted by the Finance Act, 2004. Omitted sub-section (2) read as follows: </w:t>
      </w:r>
    </w:p>
    <w:p w:rsidR="00BF2117" w:rsidRPr="005736F2" w:rsidRDefault="00BF2117">
      <w:pPr>
        <w:pStyle w:val="FootnoteText"/>
        <w:ind w:left="180" w:hanging="180"/>
        <w:jc w:val="both"/>
        <w:rPr>
          <w:rFonts w:cs="Arial"/>
          <w:sz w:val="16"/>
          <w:szCs w:val="16"/>
        </w:rPr>
      </w:pPr>
      <w:r w:rsidRPr="005736F2">
        <w:rPr>
          <w:rFonts w:cs="Arial"/>
          <w:sz w:val="16"/>
          <w:szCs w:val="16"/>
        </w:rPr>
        <w:tab/>
      </w:r>
      <w:r w:rsidRPr="005736F2">
        <w:rPr>
          <w:rFonts w:cs="Arial"/>
          <w:sz w:val="16"/>
          <w:szCs w:val="16"/>
        </w:rPr>
        <w:tab/>
        <w:t>“(2)</w:t>
      </w:r>
      <w:r w:rsidRPr="005736F2">
        <w:rPr>
          <w:rFonts w:cs="Arial"/>
          <w:sz w:val="16"/>
          <w:szCs w:val="16"/>
        </w:rPr>
        <w:tab/>
        <w:t>Clause (b) of sub-section (1) shall not apply to a person whose declared income for the tax year, or whose last declared or assessed income, is less than two hundred thousand rupees.”</w:t>
      </w:r>
    </w:p>
  </w:footnote>
  <w:footnote w:id="641">
    <w:p w:rsidR="00BF2117" w:rsidRPr="005736F2" w:rsidRDefault="00BF2117" w:rsidP="003D296C">
      <w:pPr>
        <w:pStyle w:val="FootnoteText"/>
        <w:ind w:left="180" w:hanging="180"/>
        <w:rPr>
          <w:sz w:val="16"/>
          <w:szCs w:val="16"/>
          <w:lang w:val="en-US"/>
        </w:rPr>
      </w:pPr>
      <w:r w:rsidRPr="005736F2">
        <w:rPr>
          <w:rStyle w:val="FootnoteReference"/>
          <w:sz w:val="16"/>
          <w:szCs w:val="16"/>
        </w:rPr>
        <w:footnoteRef/>
      </w:r>
      <w:r w:rsidRPr="005736F2">
        <w:rPr>
          <w:sz w:val="16"/>
          <w:szCs w:val="16"/>
          <w:lang w:val="en-US"/>
        </w:rPr>
        <w:t>The words, brackets and figures “sub-clauses (iii) through (vii)” substituted by the Finance Act, 2008.</w:t>
      </w:r>
    </w:p>
  </w:footnote>
  <w:footnote w:id="642">
    <w:p w:rsidR="00BF2117" w:rsidRPr="005736F2" w:rsidRDefault="00BF2117" w:rsidP="00830B76">
      <w:pPr>
        <w:pStyle w:val="FootnoteText"/>
        <w:ind w:left="180" w:hanging="180"/>
        <w:rPr>
          <w:sz w:val="16"/>
          <w:szCs w:val="16"/>
        </w:rPr>
      </w:pPr>
      <w:r w:rsidRPr="005736F2">
        <w:rPr>
          <w:rStyle w:val="FootnoteReference"/>
          <w:sz w:val="16"/>
          <w:szCs w:val="16"/>
        </w:rPr>
        <w:footnoteRef/>
      </w:r>
      <w:r w:rsidRPr="005736F2">
        <w:rPr>
          <w:sz w:val="16"/>
          <w:szCs w:val="16"/>
        </w:rPr>
        <w:t xml:space="preserve"> Sub-section (4) substituted by the Finance Act, 2013. The substituted sub-section  (4) read as follows: </w:t>
      </w:r>
    </w:p>
    <w:p w:rsidR="00BF2117" w:rsidRPr="005736F2" w:rsidRDefault="00BF2117" w:rsidP="00830B76">
      <w:pPr>
        <w:pStyle w:val="FootnoteText"/>
        <w:ind w:left="180" w:hanging="180"/>
        <w:jc w:val="both"/>
        <w:rPr>
          <w:sz w:val="16"/>
          <w:szCs w:val="16"/>
          <w:lang w:val="en-US"/>
        </w:rPr>
      </w:pPr>
      <w:r w:rsidRPr="00412620">
        <w:rPr>
          <w:sz w:val="16"/>
          <w:szCs w:val="16"/>
        </w:rPr>
        <w:tab/>
      </w:r>
      <w:r w:rsidRPr="00412620">
        <w:rPr>
          <w:sz w:val="16"/>
          <w:szCs w:val="16"/>
        </w:rPr>
        <w:tab/>
        <w:t>“</w:t>
      </w:r>
      <w:r w:rsidRPr="00412620">
        <w:rPr>
          <w:rFonts w:cs="Arial"/>
          <w:sz w:val="16"/>
          <w:szCs w:val="16"/>
        </w:rPr>
        <w:t>(4)</w:t>
      </w:r>
      <w:r w:rsidRPr="00412620">
        <w:rPr>
          <w:rFonts w:cs="Arial"/>
          <w:sz w:val="16"/>
          <w:szCs w:val="16"/>
        </w:rPr>
        <w:tab/>
        <w:t xml:space="preserve">Any person who is not obliged to furnish a return for a tax year because all the person’s income is subject to final taxation under sections 5, 6, 7, 15, 113A, 113B, 148 of section </w:t>
      </w:r>
      <w:r w:rsidRPr="005736F2">
        <w:rPr>
          <w:rFonts w:cs="Arial"/>
          <w:sz w:val="16"/>
          <w:szCs w:val="16"/>
        </w:rPr>
        <w:t>151, section 152, clauses (a), (c) and (d) of sub-section (3) of section 153, 154, 156, 156A, sub-section (3) of section 233, or sub-section (5) of section 234 or sub-section (3) of section 234Ashall furnish to the Commissioner a statement showing such particulars relating to the person’s income for the tax year in such form and verified in such manner as may be prescribed.”</w:t>
      </w:r>
    </w:p>
  </w:footnote>
  <w:footnote w:id="643">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2009</w:t>
      </w:r>
    </w:p>
  </w:footnote>
  <w:footnote w:id="644">
    <w:p w:rsidR="00BF2117" w:rsidRPr="005736F2" w:rsidRDefault="00BF2117">
      <w:pPr>
        <w:pStyle w:val="FootnoteText"/>
        <w:rPr>
          <w:sz w:val="16"/>
          <w:szCs w:val="16"/>
        </w:rPr>
      </w:pPr>
      <w:r w:rsidRPr="005736F2">
        <w:rPr>
          <w:rStyle w:val="FootnoteReference"/>
          <w:sz w:val="16"/>
          <w:szCs w:val="16"/>
        </w:rPr>
        <w:footnoteRef/>
      </w:r>
      <w:r w:rsidRPr="005736F2">
        <w:rPr>
          <w:sz w:val="16"/>
          <w:szCs w:val="16"/>
        </w:rPr>
        <w:t xml:space="preserve"> Sub-section (4B) omitted by the Finance Act, 2010. The omitted sub-section (4B) read as follows:</w:t>
      </w:r>
    </w:p>
    <w:p w:rsidR="00BF2117" w:rsidRPr="005736F2" w:rsidRDefault="00BF2117" w:rsidP="00C64F68">
      <w:pPr>
        <w:pStyle w:val="FootnoteText"/>
        <w:ind w:left="180" w:hanging="180"/>
        <w:jc w:val="both"/>
        <w:rPr>
          <w:sz w:val="16"/>
          <w:szCs w:val="16"/>
          <w:lang w:val="en-US"/>
        </w:rPr>
      </w:pPr>
      <w:r w:rsidRPr="005736F2">
        <w:rPr>
          <w:sz w:val="16"/>
          <w:szCs w:val="16"/>
        </w:rPr>
        <w:tab/>
      </w:r>
      <w:r w:rsidRPr="005736F2">
        <w:rPr>
          <w:sz w:val="16"/>
          <w:szCs w:val="16"/>
        </w:rPr>
        <w:tab/>
        <w:t xml:space="preserve"> “</w:t>
      </w:r>
      <w:r w:rsidRPr="005736F2">
        <w:rPr>
          <w:rFonts w:cs="Arial"/>
          <w:sz w:val="16"/>
          <w:szCs w:val="16"/>
        </w:rPr>
        <w:t xml:space="preserve">(4B) </w:t>
      </w:r>
      <w:r w:rsidRPr="005736F2">
        <w:rPr>
          <w:rFonts w:cs="Arial"/>
          <w:sz w:val="16"/>
          <w:szCs w:val="16"/>
        </w:rPr>
        <w:tab/>
        <w:t>Every person (other than a company) filing statement under sub-section (4), falling under final tax regime (FTR) and has paid tax amounting to twenty thousand rupees or more for the tax year, shall file a wealth statement along with reconciliation of wealth statement.”</w:t>
      </w:r>
    </w:p>
  </w:footnote>
  <w:footnote w:id="645">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2007.</w:t>
      </w:r>
    </w:p>
  </w:footnote>
  <w:footnote w:id="646">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2007.</w:t>
      </w:r>
    </w:p>
  </w:footnote>
  <w:footnote w:id="647">
    <w:p w:rsidR="00BF2117" w:rsidRPr="005736F2" w:rsidRDefault="00BF2117" w:rsidP="009D4EB6">
      <w:pPr>
        <w:pStyle w:val="FootnoteText"/>
        <w:ind w:left="270" w:hanging="270"/>
        <w:rPr>
          <w:sz w:val="16"/>
          <w:szCs w:val="16"/>
          <w:lang w:val="en-US"/>
        </w:rPr>
      </w:pPr>
      <w:r w:rsidRPr="005736F2">
        <w:rPr>
          <w:rStyle w:val="FootnoteReference"/>
          <w:sz w:val="16"/>
          <w:szCs w:val="16"/>
        </w:rPr>
        <w:footnoteRef/>
      </w:r>
      <w:r w:rsidRPr="005736F2">
        <w:rPr>
          <w:sz w:val="16"/>
          <w:szCs w:val="16"/>
        </w:rPr>
        <w:t xml:space="preserve"> The words, brackets, figure, comma and word “Subject to sub-section (2)”. The” substituted by the Finance Act, 2007.</w:t>
      </w:r>
    </w:p>
  </w:footnote>
  <w:footnote w:id="648">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2013.</w:t>
      </w:r>
    </w:p>
  </w:footnote>
  <w:footnote w:id="649">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The word “and” omitted by the Finance Act, 2009.</w:t>
      </w:r>
    </w:p>
  </w:footnote>
  <w:footnote w:id="650">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Full stop substituted by the Finance Act, 2009.</w:t>
      </w:r>
    </w:p>
  </w:footnote>
  <w:footnote w:id="651">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2009.</w:t>
      </w:r>
    </w:p>
  </w:footnote>
  <w:footnote w:id="652">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2011.</w:t>
      </w:r>
    </w:p>
  </w:footnote>
  <w:footnote w:id="653">
    <w:p w:rsidR="00BF2117" w:rsidRPr="005736F2" w:rsidRDefault="00BF2117" w:rsidP="00D836BD">
      <w:pPr>
        <w:pStyle w:val="FootnoteText"/>
        <w:ind w:left="180" w:hanging="180"/>
        <w:jc w:val="both"/>
        <w:rPr>
          <w:sz w:val="16"/>
          <w:szCs w:val="16"/>
          <w:lang w:val="en-US"/>
        </w:rPr>
      </w:pPr>
      <w:r w:rsidRPr="005736F2">
        <w:rPr>
          <w:rStyle w:val="FootnoteReference"/>
          <w:sz w:val="16"/>
          <w:szCs w:val="16"/>
        </w:rPr>
        <w:footnoteRef/>
      </w:r>
      <w:r w:rsidRPr="005736F2">
        <w:rPr>
          <w:sz w:val="16"/>
          <w:szCs w:val="16"/>
        </w:rPr>
        <w:t xml:space="preserve"> The words and comma “whose last declared or assessed income or the declared income for the year, is one million rupees or more” omitted by the Finance Act, 2013. </w:t>
      </w:r>
      <w:r w:rsidRPr="005736F2">
        <w:rPr>
          <w:b/>
          <w:sz w:val="16"/>
          <w:szCs w:val="16"/>
        </w:rPr>
        <w:t>Note:</w:t>
      </w:r>
      <w:r w:rsidRPr="005736F2">
        <w:rPr>
          <w:sz w:val="16"/>
          <w:szCs w:val="16"/>
        </w:rPr>
        <w:t xml:space="preserve"> This amendment shall be effective for the tax year 2013 and onwards.</w:t>
      </w:r>
    </w:p>
  </w:footnote>
  <w:footnote w:id="654">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2009.</w:t>
      </w:r>
    </w:p>
  </w:footnote>
  <w:footnote w:id="655">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Full stop substituted by the Finance Act, 2011.</w:t>
      </w:r>
    </w:p>
  </w:footnote>
  <w:footnote w:id="656">
    <w:p w:rsidR="00BF2117" w:rsidRPr="005736F2" w:rsidRDefault="00BF2117">
      <w:pPr>
        <w:pStyle w:val="FootnoteText"/>
        <w:rPr>
          <w:sz w:val="16"/>
          <w:szCs w:val="16"/>
          <w:lang w:val="en-US"/>
        </w:rPr>
      </w:pPr>
      <w:r w:rsidRPr="005736F2">
        <w:rPr>
          <w:rStyle w:val="FootnoteReference"/>
          <w:sz w:val="16"/>
          <w:szCs w:val="16"/>
        </w:rPr>
        <w:footnoteRef/>
      </w:r>
      <w:r w:rsidRPr="005736F2">
        <w:rPr>
          <w:sz w:val="16"/>
          <w:szCs w:val="16"/>
        </w:rPr>
        <w:t xml:space="preserve"> Inserted by the Finance Act, 2011.</w:t>
      </w:r>
    </w:p>
  </w:footnote>
  <w:footnote w:id="657">
    <w:p w:rsidR="00BF2117" w:rsidRPr="005736F2" w:rsidRDefault="00BF2117" w:rsidP="00E926A5">
      <w:pPr>
        <w:pStyle w:val="FootnoteText"/>
        <w:ind w:left="180" w:hanging="180"/>
        <w:jc w:val="both"/>
        <w:rPr>
          <w:sz w:val="16"/>
          <w:szCs w:val="16"/>
          <w:lang w:val="en-US"/>
        </w:rPr>
      </w:pPr>
      <w:r w:rsidRPr="005736F2">
        <w:rPr>
          <w:rStyle w:val="FootnoteReference"/>
          <w:sz w:val="16"/>
          <w:szCs w:val="16"/>
        </w:rPr>
        <w:footnoteRef/>
      </w:r>
      <w:r w:rsidRPr="005736F2">
        <w:rPr>
          <w:sz w:val="16"/>
          <w:szCs w:val="16"/>
        </w:rPr>
        <w:t xml:space="preserve"> The words and commas “ whose share from the income of such association of persons, before tax, for the year is one million rupees or more” omitted by the Finance Act, 2013. </w:t>
      </w:r>
      <w:r w:rsidRPr="005736F2">
        <w:rPr>
          <w:b/>
          <w:sz w:val="16"/>
          <w:szCs w:val="16"/>
        </w:rPr>
        <w:t>Note:</w:t>
      </w:r>
      <w:r w:rsidRPr="005736F2">
        <w:rPr>
          <w:sz w:val="16"/>
          <w:szCs w:val="16"/>
        </w:rPr>
        <w:t xml:space="preserve"> This amendment shall be effective for the tax year 2013 and onwards.</w:t>
      </w:r>
    </w:p>
    <w:p w:rsidR="00BF2117" w:rsidRPr="005736F2" w:rsidRDefault="00BF2117">
      <w:pPr>
        <w:pStyle w:val="FootnoteText"/>
        <w:rPr>
          <w:sz w:val="16"/>
          <w:szCs w:val="16"/>
          <w:lang w:val="en-US"/>
        </w:rPr>
      </w:pPr>
    </w:p>
  </w:footnote>
  <w:footnote w:id="658">
    <w:p w:rsidR="00BF2117" w:rsidRPr="005736F2" w:rsidRDefault="00BF2117" w:rsidP="009C44B5">
      <w:pPr>
        <w:pStyle w:val="FootnoteText"/>
        <w:ind w:left="270" w:hanging="270"/>
        <w:rPr>
          <w:sz w:val="16"/>
          <w:szCs w:val="16"/>
        </w:rPr>
      </w:pPr>
      <w:r w:rsidRPr="005736F2">
        <w:rPr>
          <w:rStyle w:val="FootnoteReference"/>
          <w:sz w:val="16"/>
          <w:szCs w:val="16"/>
        </w:rPr>
        <w:footnoteRef/>
      </w:r>
      <w:r w:rsidRPr="005736F2">
        <w:rPr>
          <w:sz w:val="16"/>
          <w:szCs w:val="16"/>
        </w:rPr>
        <w:t xml:space="preserve"> Sub-section (2A) substituted by the Finance Act, 2011. The substituted sub-section (2A) read as follows:</w:t>
      </w:r>
    </w:p>
    <w:p w:rsidR="00BF2117" w:rsidRPr="00412620" w:rsidRDefault="00BF2117" w:rsidP="009C44B5">
      <w:pPr>
        <w:pStyle w:val="FootnoteText"/>
        <w:ind w:left="270" w:firstLine="277"/>
        <w:jc w:val="both"/>
        <w:rPr>
          <w:sz w:val="16"/>
          <w:szCs w:val="16"/>
          <w:lang w:val="en-US"/>
        </w:rPr>
      </w:pPr>
      <w:r w:rsidRPr="005736F2">
        <w:rPr>
          <w:sz w:val="16"/>
          <w:szCs w:val="16"/>
        </w:rPr>
        <w:t>“</w:t>
      </w:r>
      <w:r w:rsidRPr="005736F2">
        <w:rPr>
          <w:rFonts w:cs="Arial"/>
          <w:sz w:val="16"/>
          <w:szCs w:val="16"/>
        </w:rPr>
        <w:t>(2A) Where a person files a return in response to a provisional assessment under section 122C, he shall furnish a wealth statement for that year along with that return and such wealth</w:t>
      </w:r>
      <w:r w:rsidRPr="00412620">
        <w:rPr>
          <w:rFonts w:cs="Arial"/>
          <w:sz w:val="16"/>
          <w:szCs w:val="16"/>
        </w:rPr>
        <w:t xml:space="preserve"> statement shall be accompanied by a wealth reconciliation statement and an explanation of sources of acquisition of assets specified therein.”</w:t>
      </w:r>
    </w:p>
  </w:footnote>
  <w:footnote w:id="659">
    <w:p w:rsidR="00BF2117" w:rsidRPr="00B73853" w:rsidRDefault="00BF2117" w:rsidP="00FE74FE">
      <w:pPr>
        <w:pStyle w:val="FootnoteText"/>
        <w:tabs>
          <w:tab w:val="left" w:pos="5355"/>
        </w:tabs>
        <w:rPr>
          <w:sz w:val="16"/>
          <w:szCs w:val="16"/>
        </w:rPr>
      </w:pPr>
      <w:r w:rsidRPr="00B73853">
        <w:rPr>
          <w:rStyle w:val="FootnoteReference"/>
          <w:rFonts w:cs="Arial"/>
          <w:sz w:val="16"/>
          <w:szCs w:val="16"/>
        </w:rPr>
        <w:footnoteRef/>
      </w:r>
      <w:r w:rsidRPr="00B73853">
        <w:rPr>
          <w:sz w:val="16"/>
          <w:szCs w:val="16"/>
        </w:rPr>
        <w:t xml:space="preserve"> Added by the Finance Act, 2003.</w:t>
      </w:r>
      <w:r w:rsidRPr="00B73853">
        <w:rPr>
          <w:sz w:val="16"/>
          <w:szCs w:val="16"/>
        </w:rPr>
        <w:tab/>
      </w:r>
    </w:p>
  </w:footnote>
  <w:footnote w:id="660">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Inserted by the Finance Act, 2013.</w:t>
      </w:r>
    </w:p>
  </w:footnote>
  <w:footnote w:id="661">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Added by the Finance Act, 2010.</w:t>
      </w:r>
    </w:p>
  </w:footnote>
  <w:footnote w:id="662">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Inserted by the Finance Act, 2013. </w:t>
      </w:r>
    </w:p>
  </w:footnote>
  <w:footnote w:id="663">
    <w:p w:rsidR="00BF2117" w:rsidRPr="00B73853" w:rsidRDefault="00BF2117" w:rsidP="00222225">
      <w:pPr>
        <w:pStyle w:val="FootnoteText"/>
        <w:ind w:left="180" w:hanging="180"/>
        <w:jc w:val="both"/>
        <w:rPr>
          <w:sz w:val="16"/>
          <w:szCs w:val="16"/>
          <w:lang w:val="en-US"/>
        </w:rPr>
      </w:pPr>
      <w:r w:rsidRPr="00B73853">
        <w:rPr>
          <w:rStyle w:val="FootnoteReference"/>
          <w:sz w:val="16"/>
          <w:szCs w:val="16"/>
        </w:rPr>
        <w:footnoteRef/>
      </w:r>
      <w:r w:rsidRPr="00B73853">
        <w:rPr>
          <w:sz w:val="16"/>
          <w:szCs w:val="16"/>
        </w:rPr>
        <w:t xml:space="preserve"> The words and comma “and has paid tax amounting to thirty-five thousand rupees or more for the tax year,’ omitted by the Finance Act, 2013. </w:t>
      </w:r>
      <w:r w:rsidRPr="00B73853">
        <w:rPr>
          <w:b/>
          <w:sz w:val="16"/>
          <w:szCs w:val="16"/>
        </w:rPr>
        <w:t>Note:</w:t>
      </w:r>
      <w:r w:rsidRPr="00B73853">
        <w:rPr>
          <w:sz w:val="16"/>
          <w:szCs w:val="16"/>
        </w:rPr>
        <w:t xml:space="preserve"> This amendment shall be effective for the tax year 2013 and onwards.</w:t>
      </w:r>
    </w:p>
  </w:footnote>
  <w:footnote w:id="664">
    <w:p w:rsidR="00BF2117" w:rsidRPr="00B73853" w:rsidRDefault="00BF2117" w:rsidP="00EA4E4E">
      <w:pPr>
        <w:pStyle w:val="FootnoteText"/>
        <w:ind w:left="180" w:hanging="180"/>
        <w:jc w:val="both"/>
        <w:rPr>
          <w:sz w:val="16"/>
          <w:szCs w:val="16"/>
          <w:lang w:val="en-US"/>
        </w:rPr>
      </w:pPr>
      <w:r w:rsidRPr="00B73853">
        <w:rPr>
          <w:rStyle w:val="FootnoteReference"/>
          <w:sz w:val="16"/>
          <w:szCs w:val="16"/>
        </w:rPr>
        <w:footnoteRef/>
      </w:r>
      <w:r w:rsidRPr="00B73853">
        <w:rPr>
          <w:sz w:val="16"/>
          <w:szCs w:val="16"/>
        </w:rPr>
        <w:t xml:space="preserve"> The words, figure and comma “an employer’s certificate under section 115,” omitted by the Finance Act, 2013. </w:t>
      </w:r>
    </w:p>
  </w:footnote>
  <w:footnote w:id="665">
    <w:p w:rsidR="00BF2117" w:rsidRPr="00B73853" w:rsidRDefault="00BF2117" w:rsidP="00FE74FE">
      <w:pPr>
        <w:pStyle w:val="FootnoteText"/>
        <w:rPr>
          <w:sz w:val="16"/>
          <w:szCs w:val="16"/>
        </w:rPr>
      </w:pPr>
      <w:r w:rsidRPr="00B73853">
        <w:rPr>
          <w:rStyle w:val="FootnoteReference"/>
          <w:rFonts w:cs="Arial"/>
          <w:sz w:val="16"/>
          <w:szCs w:val="16"/>
        </w:rPr>
        <w:footnoteRef/>
      </w:r>
      <w:r w:rsidRPr="00B73853">
        <w:rPr>
          <w:sz w:val="16"/>
          <w:szCs w:val="16"/>
        </w:rPr>
        <w:t xml:space="preserve"> Inserted by the Finance Act, 2003.</w:t>
      </w:r>
    </w:p>
  </w:footnote>
  <w:footnote w:id="666">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Inserted by the Finance Act, 2013.</w:t>
      </w:r>
    </w:p>
  </w:footnote>
  <w:footnote w:id="667">
    <w:p w:rsidR="00BF2117" w:rsidRPr="00EB26C3" w:rsidRDefault="00BF2117">
      <w:pPr>
        <w:pStyle w:val="FootnoteText"/>
        <w:rPr>
          <w:sz w:val="16"/>
          <w:szCs w:val="16"/>
          <w:lang w:val="en-US"/>
        </w:rPr>
      </w:pPr>
      <w:r w:rsidRPr="00EB26C3">
        <w:rPr>
          <w:rStyle w:val="FootnoteReference"/>
          <w:sz w:val="16"/>
          <w:szCs w:val="16"/>
        </w:rPr>
        <w:footnoteRef/>
      </w:r>
      <w:r w:rsidRPr="00EB26C3">
        <w:rPr>
          <w:sz w:val="16"/>
          <w:szCs w:val="16"/>
          <w:lang w:val="en-US"/>
        </w:rPr>
        <w:t>Sub</w:t>
      </w:r>
      <w:r>
        <w:rPr>
          <w:sz w:val="16"/>
          <w:szCs w:val="16"/>
          <w:lang w:val="en-US"/>
        </w:rPr>
        <w:t>s</w:t>
      </w:r>
      <w:r w:rsidRPr="00EB26C3">
        <w:rPr>
          <w:sz w:val="16"/>
          <w:szCs w:val="16"/>
          <w:lang w:val="en-US"/>
        </w:rPr>
        <w:t>tituted by Finance Act, 2015</w:t>
      </w:r>
    </w:p>
  </w:footnote>
  <w:footnote w:id="668">
    <w:p w:rsidR="00BF2117" w:rsidRPr="00EB26C3" w:rsidRDefault="00BF2117">
      <w:pPr>
        <w:pStyle w:val="FootnoteText"/>
        <w:rPr>
          <w:lang w:val="en-US"/>
        </w:rPr>
      </w:pPr>
      <w:r w:rsidRPr="00EB26C3">
        <w:rPr>
          <w:rStyle w:val="FootnoteReference"/>
          <w:sz w:val="18"/>
          <w:szCs w:val="18"/>
        </w:rPr>
        <w:footnoteRef/>
      </w:r>
      <w:r w:rsidRPr="00EB26C3">
        <w:rPr>
          <w:sz w:val="16"/>
          <w:szCs w:val="16"/>
          <w:lang w:val="en-US"/>
        </w:rPr>
        <w:t>Sub</w:t>
      </w:r>
      <w:r>
        <w:rPr>
          <w:sz w:val="16"/>
          <w:szCs w:val="16"/>
          <w:lang w:val="en-US"/>
        </w:rPr>
        <w:t>s</w:t>
      </w:r>
      <w:r w:rsidRPr="00EB26C3">
        <w:rPr>
          <w:sz w:val="16"/>
          <w:szCs w:val="16"/>
          <w:lang w:val="en-US"/>
        </w:rPr>
        <w:t>tituted by Finance Act, 2015</w:t>
      </w:r>
    </w:p>
  </w:footnote>
  <w:footnote w:id="669">
    <w:p w:rsidR="00BF2117" w:rsidRDefault="00BF2117" w:rsidP="009A2F40">
      <w:pPr>
        <w:autoSpaceDE w:val="0"/>
        <w:autoSpaceDN w:val="0"/>
        <w:adjustRightInd w:val="0"/>
        <w:ind w:left="630" w:hanging="630"/>
        <w:jc w:val="both"/>
        <w:rPr>
          <w:sz w:val="16"/>
          <w:szCs w:val="16"/>
        </w:rPr>
      </w:pPr>
      <w:r w:rsidRPr="00E7498F">
        <w:rPr>
          <w:rStyle w:val="FootnoteReference"/>
          <w:sz w:val="16"/>
          <w:szCs w:val="16"/>
        </w:rPr>
        <w:footnoteRef/>
      </w:r>
      <w:r w:rsidRPr="00E7498F">
        <w:rPr>
          <w:sz w:val="16"/>
          <w:szCs w:val="16"/>
        </w:rPr>
        <w:t xml:space="preserve"> Inserted by the S.R.O. 791(I)/2015 dated 10.08.2015</w:t>
      </w:r>
      <w:r>
        <w:rPr>
          <w:sz w:val="16"/>
          <w:szCs w:val="16"/>
        </w:rPr>
        <w:t>.</w:t>
      </w:r>
    </w:p>
    <w:p w:rsidR="00BF2117" w:rsidRPr="00F728BC" w:rsidRDefault="00BF2117" w:rsidP="009A2F40">
      <w:pPr>
        <w:autoSpaceDE w:val="0"/>
        <w:autoSpaceDN w:val="0"/>
        <w:adjustRightInd w:val="0"/>
        <w:ind w:left="630" w:hanging="630"/>
        <w:jc w:val="both"/>
        <w:rPr>
          <w:rFonts w:cs="Arial"/>
          <w:color w:val="000000" w:themeColor="text1"/>
          <w:sz w:val="16"/>
          <w:szCs w:val="16"/>
          <w:lang w:val="en-US"/>
        </w:rPr>
      </w:pPr>
      <w:r w:rsidRPr="00F728BC">
        <w:rPr>
          <w:color w:val="000000" w:themeColor="text1"/>
          <w:sz w:val="16"/>
          <w:szCs w:val="16"/>
        </w:rPr>
        <w:t xml:space="preserve"> “</w:t>
      </w:r>
      <w:r>
        <w:rPr>
          <w:color w:val="000000" w:themeColor="text1"/>
          <w:sz w:val="16"/>
          <w:szCs w:val="16"/>
        </w:rPr>
        <w:t xml:space="preserve"> *</w:t>
      </w:r>
      <w:r w:rsidRPr="00F728BC">
        <w:rPr>
          <w:rFonts w:cs="Arial"/>
          <w:color w:val="000000" w:themeColor="text1"/>
          <w:sz w:val="16"/>
          <w:szCs w:val="16"/>
          <w:lang w:val="en-US"/>
        </w:rPr>
        <w:t>Notification</w:t>
      </w:r>
    </w:p>
    <w:p w:rsidR="00BF2117" w:rsidRPr="00F728BC" w:rsidRDefault="00BF2117" w:rsidP="009A2F40">
      <w:pPr>
        <w:autoSpaceDE w:val="0"/>
        <w:autoSpaceDN w:val="0"/>
        <w:adjustRightInd w:val="0"/>
        <w:ind w:left="90"/>
        <w:jc w:val="both"/>
        <w:rPr>
          <w:rFonts w:ascii="Times New Roman" w:hAnsi="Times New Roman"/>
          <w:color w:val="000000" w:themeColor="text1"/>
          <w:sz w:val="16"/>
          <w:szCs w:val="16"/>
        </w:rPr>
      </w:pPr>
      <w:r w:rsidRPr="00F728BC">
        <w:rPr>
          <w:rFonts w:ascii="Times New Roman" w:hAnsi="Times New Roman"/>
          <w:color w:val="000000" w:themeColor="text1"/>
          <w:sz w:val="16"/>
          <w:szCs w:val="16"/>
        </w:rPr>
        <w:t>In exercise of the powers conferred by the proviso to sub-section (2A) of section 118 of the Income Tax Ordinance, 2001 (XLIX of 2001), the Federal Government is pleased to direct that all individuals earning taxable salary income shall be liable to file their Income Tax returns electronically from Tax Year 2015 onwards. The condition of five hundred thousand rupees or more, as provided in the said sub-section shall not be applicable until further orders.”]</w:t>
      </w:r>
    </w:p>
    <w:p w:rsidR="00BF2117" w:rsidRPr="00E7498F" w:rsidRDefault="00BF2117" w:rsidP="009A2F40">
      <w:pPr>
        <w:pStyle w:val="FootnoteText"/>
        <w:ind w:left="180" w:hanging="180"/>
        <w:jc w:val="both"/>
        <w:rPr>
          <w:sz w:val="16"/>
          <w:szCs w:val="16"/>
          <w:lang w:val="en-US"/>
        </w:rPr>
      </w:pPr>
    </w:p>
  </w:footnote>
  <w:footnote w:id="670">
    <w:p w:rsidR="00BF2117" w:rsidRPr="00B73853" w:rsidRDefault="00BF2117" w:rsidP="00DE7653">
      <w:pPr>
        <w:pStyle w:val="FootnoteText"/>
        <w:ind w:left="180" w:hanging="180"/>
        <w:jc w:val="both"/>
        <w:rPr>
          <w:sz w:val="16"/>
          <w:szCs w:val="16"/>
        </w:rPr>
      </w:pPr>
      <w:r w:rsidRPr="00B73853">
        <w:rPr>
          <w:rStyle w:val="FootnoteReference"/>
          <w:sz w:val="16"/>
          <w:szCs w:val="16"/>
        </w:rPr>
        <w:footnoteRef/>
      </w:r>
      <w:r w:rsidRPr="00B73853">
        <w:rPr>
          <w:sz w:val="16"/>
          <w:szCs w:val="16"/>
        </w:rPr>
        <w:t xml:space="preserve"> Sub-section (3) substituted by the Finance Act, 2010. The substituted sub-section (3) read as follows:</w:t>
      </w:r>
    </w:p>
    <w:p w:rsidR="00BF2117" w:rsidRPr="00B73853" w:rsidRDefault="00BF2117" w:rsidP="00886165">
      <w:pPr>
        <w:pStyle w:val="FootnoteText"/>
        <w:ind w:left="180" w:firstLine="367"/>
        <w:jc w:val="both"/>
        <w:rPr>
          <w:sz w:val="16"/>
          <w:szCs w:val="16"/>
          <w:lang w:val="en-US"/>
        </w:rPr>
      </w:pPr>
      <w:r w:rsidRPr="00B73853">
        <w:rPr>
          <w:sz w:val="16"/>
          <w:szCs w:val="16"/>
        </w:rPr>
        <w:t>“</w:t>
      </w:r>
      <w:r w:rsidRPr="00B73853">
        <w:rPr>
          <w:rFonts w:cs="Arial"/>
          <w:sz w:val="16"/>
          <w:szCs w:val="16"/>
        </w:rPr>
        <w:t>(3)</w:t>
      </w:r>
      <w:r w:rsidRPr="00B73853">
        <w:rPr>
          <w:rFonts w:cs="Arial"/>
          <w:sz w:val="16"/>
          <w:szCs w:val="16"/>
        </w:rPr>
        <w:tab/>
        <w:t>A return of income for any person (other than a company), an employer certificate of an individual or a statement required under sub-section (4) of section 115 shall be furnished on or before the thirtieth day of September next following the end of the tax year to which the return, certificate or statement relates.”</w:t>
      </w:r>
    </w:p>
  </w:footnote>
  <w:footnote w:id="671">
    <w:p w:rsidR="00BF2117" w:rsidRPr="00B73853" w:rsidRDefault="00BF2117" w:rsidP="00301359">
      <w:pPr>
        <w:pStyle w:val="FootnoteText"/>
        <w:ind w:left="180" w:hanging="180"/>
        <w:rPr>
          <w:sz w:val="16"/>
          <w:szCs w:val="16"/>
          <w:lang w:val="en-US"/>
        </w:rPr>
      </w:pPr>
      <w:r w:rsidRPr="00B73853">
        <w:rPr>
          <w:rStyle w:val="FootnoteReference"/>
          <w:sz w:val="16"/>
          <w:szCs w:val="16"/>
        </w:rPr>
        <w:footnoteRef/>
      </w:r>
      <w:r w:rsidRPr="00B73853">
        <w:rPr>
          <w:sz w:val="16"/>
          <w:szCs w:val="16"/>
        </w:rPr>
        <w:t xml:space="preserve"> The words and comma “an Annual Statement of deduction of income tax from salary, filed by the employer of an individual” omitted by the Finance Act, 2013. </w:t>
      </w:r>
    </w:p>
  </w:footnote>
  <w:footnote w:id="672">
    <w:p w:rsidR="00BF2117" w:rsidRPr="00B73853" w:rsidRDefault="00BF2117">
      <w:pPr>
        <w:pStyle w:val="FootnoteText"/>
        <w:rPr>
          <w:sz w:val="16"/>
          <w:szCs w:val="16"/>
        </w:rPr>
      </w:pPr>
      <w:r w:rsidRPr="00B73853">
        <w:rPr>
          <w:rStyle w:val="FootnoteReference"/>
          <w:sz w:val="16"/>
          <w:szCs w:val="16"/>
        </w:rPr>
        <w:footnoteRef/>
      </w:r>
      <w:r w:rsidRPr="00B73853">
        <w:rPr>
          <w:sz w:val="16"/>
          <w:szCs w:val="16"/>
        </w:rPr>
        <w:t xml:space="preserve"> Clause (a) substituted by the Finance Act, 2013. The substituted clause (a) read as follows: </w:t>
      </w:r>
    </w:p>
    <w:p w:rsidR="00BF2117" w:rsidRPr="00412620" w:rsidRDefault="00BF2117" w:rsidP="00D931EC">
      <w:pPr>
        <w:ind w:left="1080" w:hanging="540"/>
        <w:jc w:val="both"/>
        <w:rPr>
          <w:sz w:val="16"/>
          <w:szCs w:val="16"/>
          <w:lang w:val="en-US"/>
        </w:rPr>
      </w:pPr>
      <w:r w:rsidRPr="00B73853">
        <w:rPr>
          <w:sz w:val="16"/>
          <w:szCs w:val="16"/>
        </w:rPr>
        <w:t>“</w:t>
      </w:r>
      <w:r w:rsidRPr="00B73853">
        <w:rPr>
          <w:rFonts w:cs="Arial"/>
          <w:sz w:val="16"/>
          <w:szCs w:val="16"/>
        </w:rPr>
        <w:t xml:space="preserve">(a) </w:t>
      </w:r>
      <w:r w:rsidRPr="00B73853">
        <w:rPr>
          <w:rFonts w:cs="Arial"/>
          <w:sz w:val="16"/>
          <w:szCs w:val="16"/>
        </w:rPr>
        <w:tab/>
        <w:t>in the case of an Annual statement of deduction of income tax from salary, filed by the employer of an individual, return of income through e-portal in the case of a salaried person or a statement required under sub-section (4) of section 115, on or before the 31st day of August next following the end of the tax year to which the return, Annual Statement of deduction of income tax from salary, filed by the employer or statement relates</w:t>
      </w:r>
      <w:r w:rsidRPr="00412620">
        <w:rPr>
          <w:rFonts w:cs="Arial"/>
          <w:sz w:val="16"/>
          <w:szCs w:val="16"/>
        </w:rPr>
        <w:t>.”</w:t>
      </w:r>
    </w:p>
  </w:footnote>
  <w:footnote w:id="673">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The words “or employer’s certificate” omitted by the Finance Act, 2013.</w:t>
      </w:r>
    </w:p>
  </w:footnote>
  <w:footnote w:id="674">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The words “or certificate” omitted by the Finance Act, 2013.</w:t>
      </w:r>
    </w:p>
  </w:footnote>
  <w:footnote w:id="675">
    <w:p w:rsidR="00BF2117" w:rsidRPr="00B73853" w:rsidRDefault="00BF2117" w:rsidP="00A35A66">
      <w:pPr>
        <w:pStyle w:val="FootnoteText"/>
        <w:rPr>
          <w:sz w:val="16"/>
          <w:szCs w:val="16"/>
          <w:lang w:val="en-US"/>
        </w:rPr>
      </w:pPr>
      <w:r w:rsidRPr="00B73853">
        <w:rPr>
          <w:rStyle w:val="FootnoteReference"/>
          <w:sz w:val="16"/>
          <w:szCs w:val="16"/>
        </w:rPr>
        <w:footnoteRef/>
      </w:r>
      <w:r w:rsidRPr="00B73853">
        <w:rPr>
          <w:sz w:val="16"/>
          <w:szCs w:val="16"/>
        </w:rPr>
        <w:t xml:space="preserve"> The words “or certificate” omitted by the Finance Act, 2013.</w:t>
      </w:r>
    </w:p>
  </w:footnote>
  <w:footnote w:id="676">
    <w:p w:rsidR="00BF2117" w:rsidRPr="00B73853" w:rsidRDefault="00BF2117">
      <w:pPr>
        <w:pStyle w:val="FootnoteText"/>
        <w:rPr>
          <w:sz w:val="16"/>
          <w:szCs w:val="16"/>
        </w:rPr>
      </w:pPr>
      <w:r w:rsidRPr="00B73853">
        <w:rPr>
          <w:rStyle w:val="FootnoteReference"/>
          <w:sz w:val="16"/>
          <w:szCs w:val="16"/>
        </w:rPr>
        <w:footnoteRef/>
      </w:r>
      <w:r w:rsidRPr="00B73853">
        <w:rPr>
          <w:sz w:val="16"/>
          <w:szCs w:val="16"/>
        </w:rPr>
        <w:t xml:space="preserve"> Clause (b) omitted by the Finance Act, 2013. The omitted clause (b) read as follows:</w:t>
      </w:r>
    </w:p>
    <w:p w:rsidR="00BF2117" w:rsidRPr="00B73853" w:rsidRDefault="00BF2117" w:rsidP="004A28D4">
      <w:pPr>
        <w:ind w:left="1620" w:hanging="540"/>
        <w:jc w:val="both"/>
        <w:rPr>
          <w:sz w:val="16"/>
          <w:szCs w:val="16"/>
          <w:lang w:val="en-US"/>
        </w:rPr>
      </w:pPr>
      <w:r w:rsidRPr="00B73853">
        <w:rPr>
          <w:sz w:val="16"/>
          <w:szCs w:val="16"/>
        </w:rPr>
        <w:t>“</w:t>
      </w:r>
      <w:r w:rsidRPr="00B73853">
        <w:rPr>
          <w:rFonts w:cs="Arial"/>
          <w:sz w:val="16"/>
          <w:szCs w:val="16"/>
        </w:rPr>
        <w:t>(b)</w:t>
      </w:r>
      <w:r w:rsidRPr="00B73853">
        <w:rPr>
          <w:rFonts w:cs="Arial"/>
          <w:sz w:val="16"/>
          <w:szCs w:val="16"/>
        </w:rPr>
        <w:tab/>
        <w:t>an employer’s certificate under section 115;”</w:t>
      </w:r>
    </w:p>
  </w:footnote>
  <w:footnote w:id="677">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The word and comma “certificate,” omitted by the Finance Act, 2013.</w:t>
      </w:r>
    </w:p>
  </w:footnote>
  <w:footnote w:id="678">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The words and comma “employer’s certificate,” omitted by the Finance Act, 2013. </w:t>
      </w:r>
    </w:p>
  </w:footnote>
  <w:footnote w:id="679">
    <w:p w:rsidR="00BF2117" w:rsidRPr="00B73853" w:rsidRDefault="00BF2117">
      <w:pPr>
        <w:pStyle w:val="FootnoteText"/>
        <w:rPr>
          <w:sz w:val="16"/>
          <w:szCs w:val="16"/>
        </w:rPr>
      </w:pPr>
      <w:r w:rsidRPr="00B73853">
        <w:rPr>
          <w:rStyle w:val="FootnoteReference"/>
          <w:rFonts w:cs="Arial"/>
          <w:sz w:val="16"/>
          <w:szCs w:val="16"/>
        </w:rPr>
        <w:footnoteRef/>
      </w:r>
      <w:r w:rsidRPr="00B73853">
        <w:rPr>
          <w:sz w:val="16"/>
          <w:szCs w:val="16"/>
        </w:rPr>
        <w:t xml:space="preserve"> The word “wealth” omitted by the Finance Act, 2002</w:t>
      </w:r>
    </w:p>
  </w:footnote>
  <w:footnote w:id="680">
    <w:p w:rsidR="00BF2117" w:rsidRPr="00412620" w:rsidRDefault="00BF2117" w:rsidP="00664E4F">
      <w:pPr>
        <w:pStyle w:val="FootnoteText"/>
        <w:rPr>
          <w:sz w:val="16"/>
          <w:szCs w:val="16"/>
          <w:lang w:val="en-US"/>
        </w:rPr>
      </w:pPr>
      <w:r w:rsidRPr="00412620">
        <w:rPr>
          <w:rStyle w:val="FootnoteReference"/>
        </w:rPr>
        <w:footnoteRef/>
      </w:r>
      <w:r w:rsidRPr="00412620">
        <w:rPr>
          <w:sz w:val="16"/>
          <w:szCs w:val="16"/>
        </w:rPr>
        <w:t xml:space="preserve">The words and comma “employer’s certificate,” omitted by the Finance Act, 2013. </w:t>
      </w:r>
    </w:p>
  </w:footnote>
  <w:footnote w:id="681">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“wealth” omitted by the Finance Act, 2002</w:t>
      </w:r>
    </w:p>
  </w:footnote>
  <w:footnote w:id="682">
    <w:p w:rsidR="00BF2117" w:rsidRPr="00412620" w:rsidRDefault="00BF2117">
      <w:pPr>
        <w:pStyle w:val="FootnoteText"/>
        <w:rPr>
          <w:sz w:val="16"/>
        </w:rPr>
      </w:pPr>
      <w:r w:rsidRPr="00412620">
        <w:rPr>
          <w:rStyle w:val="FootnoteReference"/>
          <w:rFonts w:cs="Arial"/>
          <w:sz w:val="16"/>
        </w:rPr>
        <w:footnoteRef/>
      </w:r>
      <w:r w:rsidRPr="00412620">
        <w:rPr>
          <w:sz w:val="16"/>
        </w:rPr>
        <w:t xml:space="preserve"> Substituted for the word “notice” by the Finance Act, 2002</w:t>
      </w:r>
    </w:p>
  </w:footnote>
  <w:footnote w:id="683">
    <w:p w:rsidR="00BF2117" w:rsidRPr="00412620" w:rsidRDefault="00BF2117" w:rsidP="00664E4F">
      <w:pPr>
        <w:pStyle w:val="FootnoteText"/>
        <w:rPr>
          <w:sz w:val="16"/>
          <w:szCs w:val="16"/>
          <w:lang w:val="en-US"/>
        </w:rPr>
      </w:pPr>
      <w:r w:rsidRPr="00412620">
        <w:rPr>
          <w:rStyle w:val="FootnoteReference"/>
        </w:rPr>
        <w:footnoteRef/>
      </w:r>
      <w:r w:rsidRPr="00412620">
        <w:rPr>
          <w:sz w:val="16"/>
          <w:szCs w:val="16"/>
        </w:rPr>
        <w:t>The word and comma “certificate,” omitted by the Finance Act, 2013.</w:t>
      </w:r>
    </w:p>
  </w:footnote>
  <w:footnote w:id="68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“wealth” omitted by the Finance Ordinance, 2002</w:t>
      </w:r>
    </w:p>
  </w:footnote>
  <w:footnote w:id="685">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Sub-section (5) omitted by the Finance Act, 2002. The omitted sub-section (5) read as follows:</w:t>
      </w:r>
    </w:p>
    <w:p w:rsidR="00BF2117" w:rsidRPr="00412620" w:rsidRDefault="00BF2117">
      <w:pPr>
        <w:pStyle w:val="FootnoteText"/>
        <w:ind w:left="180" w:firstLine="367"/>
        <w:jc w:val="both"/>
        <w:rPr>
          <w:rFonts w:cs="Arial"/>
          <w:sz w:val="16"/>
        </w:rPr>
      </w:pPr>
      <w:r w:rsidRPr="00412620">
        <w:rPr>
          <w:rFonts w:cs="Arial"/>
          <w:sz w:val="16"/>
        </w:rPr>
        <w:t xml:space="preserve">“(5) </w:t>
      </w:r>
      <w:r w:rsidRPr="00412620">
        <w:rPr>
          <w:rFonts w:cs="Arial"/>
          <w:sz w:val="16"/>
        </w:rPr>
        <w:tab/>
        <w:t>An applicant dissatisfied with a decision under sub-section (3) may challenge the decision only under the Part III of this Chapter.”</w:t>
      </w:r>
    </w:p>
  </w:footnote>
  <w:footnote w:id="686">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687">
    <w:p w:rsidR="00BF2117" w:rsidRPr="00412620" w:rsidRDefault="00BF2117" w:rsidP="00A94DBE">
      <w:pPr>
        <w:pStyle w:val="FootnoteText"/>
        <w:ind w:left="180" w:hanging="180"/>
        <w:jc w:val="both"/>
        <w:rPr>
          <w:sz w:val="16"/>
          <w:szCs w:val="16"/>
          <w:lang w:val="en-US"/>
        </w:rPr>
      </w:pPr>
      <w:r w:rsidRPr="00412620">
        <w:rPr>
          <w:rStyle w:val="FootnoteReference"/>
        </w:rPr>
        <w:footnoteRef/>
      </w:r>
      <w:r w:rsidRPr="00412620">
        <w:rPr>
          <w:sz w:val="16"/>
          <w:szCs w:val="16"/>
        </w:rPr>
        <w:t xml:space="preserve">The words “additional tax”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w:t>
      </w:r>
    </w:p>
  </w:footnote>
  <w:footnote w:id="688">
    <w:p w:rsidR="00BF2117" w:rsidRPr="00B73853" w:rsidRDefault="00BF2117">
      <w:pPr>
        <w:pStyle w:val="FootnoteText"/>
        <w:keepNext/>
        <w:jc w:val="both"/>
        <w:rPr>
          <w:sz w:val="16"/>
          <w:szCs w:val="16"/>
        </w:rPr>
      </w:pPr>
      <w:r w:rsidRPr="00B73853">
        <w:rPr>
          <w:rStyle w:val="FootnoteReference"/>
          <w:rFonts w:cs="Arial"/>
          <w:sz w:val="16"/>
          <w:szCs w:val="16"/>
        </w:rPr>
        <w:footnoteRef/>
      </w:r>
      <w:r w:rsidRPr="00B73853">
        <w:rPr>
          <w:sz w:val="16"/>
          <w:szCs w:val="16"/>
        </w:rPr>
        <w:t xml:space="preserve"> Section 120 substituted by the Finance Act, 2003. The substituted section 120 read as follows: </w:t>
      </w:r>
    </w:p>
    <w:p w:rsidR="00BF2117" w:rsidRPr="00B73853" w:rsidRDefault="00BF2117">
      <w:pPr>
        <w:keepNext/>
        <w:ind w:left="90"/>
        <w:jc w:val="both"/>
        <w:rPr>
          <w:rFonts w:cs="Arial"/>
          <w:sz w:val="16"/>
          <w:szCs w:val="16"/>
        </w:rPr>
      </w:pPr>
      <w:r w:rsidRPr="00B73853">
        <w:rPr>
          <w:rFonts w:cs="Arial"/>
          <w:sz w:val="16"/>
          <w:szCs w:val="16"/>
        </w:rPr>
        <w:t>“</w:t>
      </w:r>
      <w:r w:rsidRPr="00B73853">
        <w:rPr>
          <w:rFonts w:cs="Arial"/>
          <w:b/>
          <w:sz w:val="16"/>
          <w:szCs w:val="16"/>
        </w:rPr>
        <w:t>120.</w:t>
      </w:r>
      <w:r w:rsidRPr="00B73853">
        <w:rPr>
          <w:rFonts w:cs="Arial"/>
          <w:b/>
          <w:sz w:val="16"/>
          <w:szCs w:val="16"/>
        </w:rPr>
        <w:tab/>
        <w:t>Assessments.-</w:t>
      </w:r>
      <w:r w:rsidRPr="00B73853">
        <w:rPr>
          <w:rFonts w:cs="Arial"/>
          <w:sz w:val="16"/>
          <w:szCs w:val="16"/>
        </w:rPr>
        <w:t xml:space="preserve"> Where a taxpayer has furnished a return of income (other than a revised return under sub-section (6) of section 114) for a tax year ending on or after the 1</w:t>
      </w:r>
      <w:r w:rsidRPr="00B73853">
        <w:rPr>
          <w:rFonts w:cs="Arial"/>
          <w:sz w:val="16"/>
          <w:szCs w:val="16"/>
          <w:vertAlign w:val="superscript"/>
        </w:rPr>
        <w:t>st</w:t>
      </w:r>
      <w:r w:rsidRPr="00B73853">
        <w:rPr>
          <w:rFonts w:cs="Arial"/>
          <w:sz w:val="16"/>
          <w:szCs w:val="16"/>
        </w:rPr>
        <w:t xml:space="preserve"> day of July, 2002, –</w:t>
      </w:r>
    </w:p>
    <w:p w:rsidR="00BF2117" w:rsidRPr="00B73853" w:rsidRDefault="00BF2117">
      <w:pPr>
        <w:keepNext/>
        <w:ind w:left="1634" w:hanging="540"/>
        <w:jc w:val="both"/>
        <w:rPr>
          <w:rFonts w:cs="Arial"/>
          <w:sz w:val="16"/>
          <w:szCs w:val="16"/>
        </w:rPr>
      </w:pPr>
      <w:r w:rsidRPr="00B73853">
        <w:rPr>
          <w:rFonts w:cs="Arial"/>
          <w:sz w:val="16"/>
          <w:szCs w:val="16"/>
        </w:rPr>
        <w:t>(a)</w:t>
      </w:r>
      <w:r w:rsidRPr="00B73853">
        <w:rPr>
          <w:rFonts w:cs="Arial"/>
          <w:sz w:val="16"/>
          <w:szCs w:val="16"/>
        </w:rPr>
        <w:tab/>
        <w:t>the Commissioner shall be taken to have made an assessment of the taxable income of the taxpayer for the year and the tax due thereon, equal to those respective amounts specified in the return; and</w:t>
      </w:r>
    </w:p>
    <w:p w:rsidR="00BF2117" w:rsidRPr="00B73853" w:rsidRDefault="00BF2117" w:rsidP="00CD5082">
      <w:pPr>
        <w:pStyle w:val="FootnoteText"/>
        <w:keepNext/>
        <w:ind w:left="1634" w:hanging="540"/>
        <w:jc w:val="both"/>
        <w:rPr>
          <w:sz w:val="16"/>
          <w:szCs w:val="16"/>
        </w:rPr>
      </w:pPr>
      <w:r w:rsidRPr="00B73853">
        <w:rPr>
          <w:rFonts w:cs="Arial"/>
          <w:sz w:val="16"/>
          <w:szCs w:val="16"/>
        </w:rPr>
        <w:t>(b)</w:t>
      </w:r>
      <w:r w:rsidRPr="00B73853">
        <w:rPr>
          <w:rFonts w:cs="Arial"/>
          <w:sz w:val="16"/>
          <w:szCs w:val="16"/>
        </w:rPr>
        <w:tab/>
        <w:t>the taxpayer’s return shall be taken for all purposes of this Ordinance to be an assessment order issued to the taxpayer by the Commissioner on the day the return was furnished.”</w:t>
      </w:r>
    </w:p>
  </w:footnote>
  <w:footnote w:id="689">
    <w:p w:rsidR="00BF2117" w:rsidRPr="00B73853" w:rsidRDefault="00BF2117">
      <w:pPr>
        <w:pStyle w:val="FootnoteText"/>
        <w:rPr>
          <w:sz w:val="16"/>
          <w:szCs w:val="16"/>
        </w:rPr>
      </w:pPr>
      <w:r w:rsidRPr="00B73853">
        <w:rPr>
          <w:rStyle w:val="FootnoteReference"/>
          <w:rFonts w:cs="Arial"/>
          <w:sz w:val="16"/>
          <w:szCs w:val="16"/>
        </w:rPr>
        <w:footnoteRef/>
      </w:r>
      <w:r w:rsidRPr="00B73853">
        <w:rPr>
          <w:sz w:val="16"/>
          <w:szCs w:val="16"/>
        </w:rPr>
        <w:t xml:space="preserve"> Inserted by the Finance Act, 2005.</w:t>
      </w:r>
    </w:p>
  </w:footnote>
  <w:footnote w:id="690">
    <w:p w:rsidR="00BF2117" w:rsidRPr="00B73853" w:rsidRDefault="00BF2117" w:rsidP="0027329D">
      <w:pPr>
        <w:pStyle w:val="FootnoteText"/>
        <w:ind w:left="180" w:hanging="180"/>
        <w:jc w:val="both"/>
        <w:rPr>
          <w:sz w:val="16"/>
          <w:szCs w:val="16"/>
          <w:lang w:val="en-US"/>
        </w:rPr>
      </w:pPr>
      <w:r w:rsidRPr="00B73853">
        <w:rPr>
          <w:rStyle w:val="FootnoteReference"/>
          <w:sz w:val="16"/>
          <w:szCs w:val="16"/>
        </w:rPr>
        <w:footnoteRef/>
      </w:r>
      <w:r w:rsidRPr="00B73853">
        <w:rPr>
          <w:sz w:val="16"/>
          <w:szCs w:val="16"/>
        </w:rPr>
        <w:t xml:space="preserve"> The words “select a person for an audit of his income tax affairs”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691">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lang w:val="en-US"/>
        </w:rPr>
        <w:t>The words “end of the financial year in which return was furnished”  the Finance Act, 2012.</w:t>
      </w:r>
    </w:p>
  </w:footnote>
  <w:footnote w:id="692">
    <w:p w:rsidR="00BF2117" w:rsidRPr="00B73853" w:rsidRDefault="00BF2117">
      <w:pPr>
        <w:pStyle w:val="FootnoteText"/>
        <w:rPr>
          <w:sz w:val="16"/>
          <w:szCs w:val="16"/>
        </w:rPr>
      </w:pPr>
      <w:r w:rsidRPr="00B73853">
        <w:rPr>
          <w:rStyle w:val="FootnoteReference"/>
          <w:sz w:val="16"/>
          <w:szCs w:val="16"/>
        </w:rPr>
        <w:footnoteRef/>
      </w:r>
      <w:r w:rsidRPr="00B73853">
        <w:rPr>
          <w:sz w:val="16"/>
          <w:szCs w:val="16"/>
        </w:rPr>
        <w:t xml:space="preserve"> Section 120A omitted by the Finance Act, 2013. The omitted section 120A read as follows: </w:t>
      </w:r>
    </w:p>
    <w:p w:rsidR="00BF2117" w:rsidRPr="00B73853" w:rsidRDefault="00BF2117" w:rsidP="008D4BDF">
      <w:pPr>
        <w:ind w:left="90" w:hanging="90"/>
        <w:jc w:val="both"/>
        <w:rPr>
          <w:rFonts w:cs="Arial"/>
          <w:sz w:val="16"/>
          <w:szCs w:val="16"/>
        </w:rPr>
      </w:pPr>
      <w:r w:rsidRPr="00B73853">
        <w:rPr>
          <w:sz w:val="16"/>
          <w:szCs w:val="16"/>
        </w:rPr>
        <w:t>“</w:t>
      </w:r>
      <w:r w:rsidRPr="00B73853">
        <w:rPr>
          <w:rFonts w:cs="Arial"/>
          <w:b/>
          <w:sz w:val="16"/>
          <w:szCs w:val="16"/>
        </w:rPr>
        <w:t>120A.Investment Tax on income.—</w:t>
      </w:r>
      <w:r w:rsidRPr="00B73853">
        <w:rPr>
          <w:rFonts w:cs="Arial"/>
          <w:sz w:val="16"/>
          <w:szCs w:val="16"/>
        </w:rPr>
        <w:t xml:space="preserve">  (1) Subject to this Ordinance, the Board may make a scheme of payment of investment tax in respect of undisclosed income, representing any amount or investment made in movable or immovable assets.</w:t>
      </w:r>
    </w:p>
    <w:p w:rsidR="00BF2117" w:rsidRPr="00B73853" w:rsidRDefault="00BF2117" w:rsidP="008D4BDF">
      <w:pPr>
        <w:ind w:left="90" w:hanging="90"/>
        <w:jc w:val="both"/>
        <w:rPr>
          <w:rFonts w:cs="Arial"/>
          <w:sz w:val="16"/>
          <w:szCs w:val="16"/>
        </w:rPr>
      </w:pPr>
      <w:r w:rsidRPr="00B73853">
        <w:rPr>
          <w:rFonts w:cs="Arial"/>
          <w:sz w:val="16"/>
          <w:szCs w:val="16"/>
        </w:rPr>
        <w:tab/>
      </w:r>
      <w:r w:rsidRPr="00B73853">
        <w:rPr>
          <w:rFonts w:cs="Arial"/>
          <w:sz w:val="16"/>
          <w:szCs w:val="16"/>
        </w:rPr>
        <w:tab/>
        <w:t>(2)  Where any person declares undisclosed income under sub-section (1) in accordance with the scheme and the rules, the tax on such income called investment tax shall be charged at such rate as may be prescribed.</w:t>
      </w:r>
    </w:p>
    <w:p w:rsidR="00BF2117" w:rsidRPr="00B73853" w:rsidRDefault="00BF2117" w:rsidP="008D4BDF">
      <w:pPr>
        <w:ind w:left="90" w:hanging="90"/>
        <w:jc w:val="both"/>
        <w:rPr>
          <w:rFonts w:cs="Arial"/>
          <w:sz w:val="16"/>
          <w:szCs w:val="16"/>
        </w:rPr>
      </w:pPr>
      <w:r w:rsidRPr="00B73853">
        <w:rPr>
          <w:rFonts w:cs="Arial"/>
          <w:sz w:val="16"/>
          <w:szCs w:val="16"/>
        </w:rPr>
        <w:tab/>
      </w:r>
      <w:r w:rsidRPr="00B73853">
        <w:rPr>
          <w:rFonts w:cs="Arial"/>
          <w:sz w:val="16"/>
          <w:szCs w:val="16"/>
        </w:rPr>
        <w:tab/>
        <w:t xml:space="preserve">(3)  Where a person has paid tax on his undisclosed income in accordance with the scheme and the rules, he shall – </w:t>
      </w:r>
    </w:p>
    <w:p w:rsidR="00BF2117" w:rsidRPr="00B73853" w:rsidRDefault="00BF2117" w:rsidP="00DB124A">
      <w:pPr>
        <w:ind w:left="1094" w:hanging="547"/>
        <w:jc w:val="both"/>
        <w:rPr>
          <w:rFonts w:cs="Arial"/>
          <w:sz w:val="16"/>
          <w:szCs w:val="16"/>
        </w:rPr>
      </w:pPr>
      <w:r w:rsidRPr="00B73853">
        <w:rPr>
          <w:rFonts w:cs="Arial"/>
          <w:sz w:val="16"/>
          <w:szCs w:val="16"/>
        </w:rPr>
        <w:t>(a)</w:t>
      </w:r>
      <w:r w:rsidRPr="00B73853">
        <w:rPr>
          <w:rFonts w:cs="Arial"/>
          <w:sz w:val="16"/>
          <w:szCs w:val="16"/>
        </w:rPr>
        <w:tab/>
        <w:t>be entitled to incorporate in his books of account such undisclosed income in tangible form; and</w:t>
      </w:r>
    </w:p>
    <w:p w:rsidR="00BF2117" w:rsidRPr="00B73853" w:rsidRDefault="00BF2117" w:rsidP="00DB124A">
      <w:pPr>
        <w:ind w:left="1094" w:hanging="547"/>
        <w:jc w:val="both"/>
        <w:rPr>
          <w:rFonts w:cs="Arial"/>
          <w:sz w:val="16"/>
          <w:szCs w:val="16"/>
        </w:rPr>
      </w:pPr>
      <w:r w:rsidRPr="00B73853">
        <w:rPr>
          <w:rFonts w:cs="Arial"/>
          <w:sz w:val="16"/>
          <w:szCs w:val="16"/>
        </w:rPr>
        <w:t>(b)</w:t>
      </w:r>
      <w:r w:rsidRPr="00B73853">
        <w:rPr>
          <w:rFonts w:cs="Arial"/>
          <w:sz w:val="16"/>
          <w:szCs w:val="16"/>
        </w:rPr>
        <w:tab/>
        <w:t>not be liable to pay any tax, charge, levy, penalty or prosecution in respect of such income under this Ordinance.</w:t>
      </w:r>
    </w:p>
    <w:p w:rsidR="00BF2117" w:rsidRPr="00B73853" w:rsidRDefault="00BF2117" w:rsidP="008D4BDF">
      <w:pPr>
        <w:ind w:left="90" w:firstLine="457"/>
        <w:jc w:val="both"/>
        <w:rPr>
          <w:rFonts w:cs="Arial"/>
          <w:sz w:val="16"/>
          <w:szCs w:val="16"/>
        </w:rPr>
      </w:pPr>
      <w:r w:rsidRPr="00B73853">
        <w:rPr>
          <w:rFonts w:cs="Arial"/>
          <w:sz w:val="16"/>
          <w:szCs w:val="16"/>
        </w:rPr>
        <w:t>(4)  For the purposes of this section —</w:t>
      </w:r>
    </w:p>
    <w:p w:rsidR="00BF2117" w:rsidRPr="00B73853" w:rsidRDefault="00BF2117" w:rsidP="00DB124A">
      <w:pPr>
        <w:ind w:left="1710" w:hanging="630"/>
        <w:jc w:val="both"/>
        <w:rPr>
          <w:rFonts w:cs="Arial"/>
          <w:sz w:val="16"/>
          <w:szCs w:val="16"/>
        </w:rPr>
      </w:pPr>
      <w:r w:rsidRPr="00B73853">
        <w:rPr>
          <w:rFonts w:cs="Arial"/>
          <w:sz w:val="16"/>
          <w:szCs w:val="16"/>
        </w:rPr>
        <w:t>(i)</w:t>
      </w:r>
      <w:r w:rsidRPr="00B73853">
        <w:rPr>
          <w:rFonts w:cs="Arial"/>
          <w:sz w:val="16"/>
          <w:szCs w:val="16"/>
        </w:rPr>
        <w:tab/>
        <w:t>“undisclosed income” means any income, including any investment to be deemed as income under section 111 or any other deemed income, for any year or years, which was chargeable to tax but was not so charged; and</w:t>
      </w:r>
    </w:p>
    <w:p w:rsidR="00BF2117" w:rsidRPr="00B73853" w:rsidRDefault="00BF2117" w:rsidP="00DB124A">
      <w:pPr>
        <w:spacing w:before="120"/>
        <w:ind w:left="1710" w:hanging="630"/>
        <w:jc w:val="both"/>
        <w:rPr>
          <w:sz w:val="16"/>
          <w:szCs w:val="16"/>
          <w:lang w:val="en-US"/>
        </w:rPr>
      </w:pPr>
      <w:r w:rsidRPr="00B73853">
        <w:rPr>
          <w:rFonts w:cs="Arial"/>
          <w:sz w:val="16"/>
          <w:szCs w:val="16"/>
        </w:rPr>
        <w:t>(ii)</w:t>
      </w:r>
      <w:r w:rsidRPr="00B73853">
        <w:rPr>
          <w:rFonts w:cs="Arial"/>
          <w:sz w:val="16"/>
          <w:szCs w:val="16"/>
        </w:rPr>
        <w:tab/>
        <w:t>“investment tax” means tax chargeable on the undisclosed income under the scheme under sub-section (1) and shall have the same meaning as given in clause (63) of section 2 of the Income Tax Ordinance, 2001.”</w:t>
      </w:r>
    </w:p>
  </w:footnote>
  <w:footnote w:id="693">
    <w:p w:rsidR="00BF2117" w:rsidRPr="00B73853" w:rsidRDefault="00BF2117">
      <w:pPr>
        <w:pStyle w:val="FootnoteText"/>
        <w:keepNext/>
        <w:rPr>
          <w:sz w:val="16"/>
          <w:szCs w:val="16"/>
        </w:rPr>
      </w:pPr>
      <w:r w:rsidRPr="00B73853">
        <w:rPr>
          <w:rStyle w:val="FootnoteReference"/>
          <w:rFonts w:cs="Arial"/>
          <w:sz w:val="16"/>
          <w:szCs w:val="16"/>
        </w:rPr>
        <w:footnoteRef/>
      </w:r>
      <w:r w:rsidRPr="00B73853">
        <w:rPr>
          <w:sz w:val="16"/>
          <w:szCs w:val="16"/>
        </w:rPr>
        <w:t xml:space="preserve"> Section 121 substituted by the Finance Act, 2003. The substituted section 121 read as follows:</w:t>
      </w:r>
    </w:p>
    <w:p w:rsidR="00BF2117" w:rsidRPr="00B73853" w:rsidRDefault="00BF2117" w:rsidP="002323F8">
      <w:pPr>
        <w:keepNext/>
        <w:ind w:left="270"/>
        <w:jc w:val="both"/>
        <w:rPr>
          <w:rFonts w:cs="Arial"/>
          <w:sz w:val="16"/>
          <w:szCs w:val="16"/>
        </w:rPr>
      </w:pPr>
      <w:r w:rsidRPr="00B73853">
        <w:rPr>
          <w:rFonts w:cs="Arial"/>
          <w:sz w:val="16"/>
          <w:szCs w:val="16"/>
        </w:rPr>
        <w:t>“</w:t>
      </w:r>
      <w:r w:rsidRPr="00B73853">
        <w:rPr>
          <w:rFonts w:cs="Arial"/>
          <w:b/>
          <w:sz w:val="16"/>
          <w:szCs w:val="16"/>
        </w:rPr>
        <w:t>121.</w:t>
      </w:r>
      <w:r w:rsidRPr="00B73853">
        <w:rPr>
          <w:rFonts w:cs="Arial"/>
          <w:b/>
          <w:sz w:val="16"/>
          <w:szCs w:val="16"/>
        </w:rPr>
        <w:tab/>
        <w:t xml:space="preserve">Assessment of persons who have not furnished a return.- </w:t>
      </w:r>
      <w:r w:rsidRPr="00B73853">
        <w:rPr>
          <w:rFonts w:cs="Arial"/>
          <w:sz w:val="16"/>
          <w:szCs w:val="16"/>
        </w:rPr>
        <w:t xml:space="preserve">(1)  Where a person required by the Commissioner through a notice] to furnish a return of income for a tax year fails to do so by the due date, the Commissioner may, based on any available information and to the best of the Commissioner’s judgement, make an assessment of the taxable income of the person and the tax due thereon for the year. </w:t>
      </w:r>
    </w:p>
    <w:p w:rsidR="00BF2117" w:rsidRPr="00B73853" w:rsidRDefault="00BF2117" w:rsidP="002323F8">
      <w:pPr>
        <w:keepNext/>
        <w:ind w:left="270" w:firstLine="367"/>
        <w:jc w:val="both"/>
        <w:rPr>
          <w:rFonts w:cs="Arial"/>
          <w:sz w:val="16"/>
          <w:szCs w:val="16"/>
        </w:rPr>
      </w:pPr>
      <w:r w:rsidRPr="00B73853">
        <w:rPr>
          <w:rFonts w:cs="Arial"/>
          <w:sz w:val="16"/>
          <w:szCs w:val="16"/>
        </w:rPr>
        <w:t>(2)</w:t>
      </w:r>
      <w:r w:rsidRPr="00B73853">
        <w:rPr>
          <w:rFonts w:cs="Arial"/>
          <w:sz w:val="16"/>
          <w:szCs w:val="16"/>
        </w:rPr>
        <w:tab/>
        <w:t>As soon as possible after making an assessment under this section, the Commissioner shall issue, in writing, an assessment order to the taxpayer stating –</w:t>
      </w:r>
    </w:p>
    <w:p w:rsidR="00BF2117" w:rsidRPr="00B73853" w:rsidRDefault="00BF2117">
      <w:pPr>
        <w:keepNext/>
        <w:ind w:left="1620" w:hanging="540"/>
        <w:jc w:val="both"/>
        <w:rPr>
          <w:rFonts w:cs="Arial"/>
          <w:sz w:val="16"/>
          <w:szCs w:val="16"/>
        </w:rPr>
      </w:pPr>
      <w:r w:rsidRPr="00B73853">
        <w:rPr>
          <w:rFonts w:cs="Arial"/>
          <w:sz w:val="16"/>
          <w:szCs w:val="16"/>
        </w:rPr>
        <w:t>(a)</w:t>
      </w:r>
      <w:r w:rsidRPr="00B73853">
        <w:rPr>
          <w:rFonts w:cs="Arial"/>
          <w:sz w:val="16"/>
          <w:szCs w:val="16"/>
        </w:rPr>
        <w:tab/>
        <w:t>the taxable income of the taxpayer for the year;</w:t>
      </w:r>
    </w:p>
    <w:p w:rsidR="00BF2117" w:rsidRPr="00B73853" w:rsidRDefault="00BF2117">
      <w:pPr>
        <w:keepNext/>
        <w:ind w:left="1620" w:hanging="540"/>
        <w:jc w:val="both"/>
        <w:rPr>
          <w:rFonts w:cs="Arial"/>
          <w:sz w:val="16"/>
          <w:szCs w:val="16"/>
        </w:rPr>
      </w:pPr>
      <w:r w:rsidRPr="00B73853">
        <w:rPr>
          <w:rFonts w:cs="Arial"/>
          <w:sz w:val="16"/>
          <w:szCs w:val="16"/>
        </w:rPr>
        <w:t>(b)</w:t>
      </w:r>
      <w:r w:rsidRPr="00B73853">
        <w:rPr>
          <w:rFonts w:cs="Arial"/>
          <w:sz w:val="16"/>
          <w:szCs w:val="16"/>
        </w:rPr>
        <w:tab/>
        <w:t>the amount of tax due;</w:t>
      </w:r>
    </w:p>
    <w:p w:rsidR="00BF2117" w:rsidRPr="00B73853" w:rsidRDefault="00BF2117">
      <w:pPr>
        <w:keepNext/>
        <w:ind w:left="1620" w:hanging="540"/>
        <w:jc w:val="both"/>
        <w:rPr>
          <w:rFonts w:cs="Arial"/>
          <w:sz w:val="16"/>
          <w:szCs w:val="16"/>
        </w:rPr>
      </w:pPr>
      <w:r w:rsidRPr="00B73853">
        <w:rPr>
          <w:rFonts w:cs="Arial"/>
          <w:sz w:val="16"/>
          <w:szCs w:val="16"/>
        </w:rPr>
        <w:t>(c)</w:t>
      </w:r>
      <w:r w:rsidRPr="00B73853">
        <w:rPr>
          <w:rFonts w:cs="Arial"/>
          <w:sz w:val="16"/>
          <w:szCs w:val="16"/>
        </w:rPr>
        <w:tab/>
        <w:t>the amount of tax paid, if any; and</w:t>
      </w:r>
    </w:p>
    <w:p w:rsidR="00BF2117" w:rsidRPr="00B73853" w:rsidRDefault="00BF2117">
      <w:pPr>
        <w:keepNext/>
        <w:ind w:left="1620" w:hanging="540"/>
        <w:jc w:val="both"/>
        <w:rPr>
          <w:rFonts w:cs="Arial"/>
          <w:sz w:val="16"/>
          <w:szCs w:val="16"/>
        </w:rPr>
      </w:pPr>
      <w:r w:rsidRPr="00B73853">
        <w:rPr>
          <w:rFonts w:cs="Arial"/>
          <w:sz w:val="16"/>
          <w:szCs w:val="16"/>
        </w:rPr>
        <w:t>(d)</w:t>
      </w:r>
      <w:r w:rsidRPr="00B73853">
        <w:rPr>
          <w:rFonts w:cs="Arial"/>
          <w:sz w:val="16"/>
          <w:szCs w:val="16"/>
        </w:rPr>
        <w:tab/>
        <w:t>the time, place, and manner of appealing the assessment order.</w:t>
      </w:r>
    </w:p>
    <w:p w:rsidR="00BF2117" w:rsidRPr="00B73853" w:rsidRDefault="00BF2117" w:rsidP="00351A99">
      <w:pPr>
        <w:keepNext/>
        <w:numPr>
          <w:ilvl w:val="0"/>
          <w:numId w:val="21"/>
        </w:numPr>
        <w:ind w:left="270" w:firstLine="360"/>
        <w:jc w:val="both"/>
        <w:rPr>
          <w:sz w:val="16"/>
          <w:szCs w:val="16"/>
        </w:rPr>
      </w:pPr>
      <w:r w:rsidRPr="00B73853">
        <w:rPr>
          <w:sz w:val="16"/>
          <w:szCs w:val="16"/>
        </w:rPr>
        <w:t>An assessment order shall only be issued within five years after the end of the tax year</w:t>
      </w:r>
      <w:r w:rsidRPr="00B73853">
        <w:rPr>
          <w:b/>
          <w:sz w:val="16"/>
          <w:szCs w:val="16"/>
        </w:rPr>
        <w:t xml:space="preserve">, </w:t>
      </w:r>
      <w:r w:rsidRPr="00B73853">
        <w:rPr>
          <w:sz w:val="16"/>
          <w:szCs w:val="16"/>
        </w:rPr>
        <w:t>or the income year, to which it relates.”</w:t>
      </w:r>
    </w:p>
  </w:footnote>
  <w:footnote w:id="694">
    <w:p w:rsidR="00BF2117" w:rsidRPr="00B73853" w:rsidRDefault="00BF2117" w:rsidP="00F20CBA">
      <w:pPr>
        <w:pStyle w:val="FootnoteText"/>
        <w:ind w:left="0" w:firstLine="0"/>
        <w:rPr>
          <w:sz w:val="16"/>
          <w:szCs w:val="16"/>
        </w:rPr>
      </w:pPr>
      <w:r w:rsidRPr="00B73853">
        <w:rPr>
          <w:rStyle w:val="FootnoteReference"/>
          <w:sz w:val="16"/>
          <w:szCs w:val="16"/>
        </w:rPr>
        <w:footnoteRef/>
      </w:r>
      <w:r w:rsidRPr="00B73853">
        <w:rPr>
          <w:sz w:val="16"/>
          <w:szCs w:val="16"/>
        </w:rPr>
        <w:t>Omitted by the Finance Act, 2010. The omitted clause (a) read as follows:</w:t>
      </w:r>
    </w:p>
    <w:p w:rsidR="00BF2117" w:rsidRPr="00B73853" w:rsidRDefault="00BF2117" w:rsidP="00803545">
      <w:pPr>
        <w:ind w:left="1634" w:hanging="540"/>
        <w:jc w:val="both"/>
        <w:rPr>
          <w:rFonts w:cs="Arial"/>
          <w:sz w:val="16"/>
          <w:szCs w:val="16"/>
        </w:rPr>
      </w:pPr>
      <w:r w:rsidRPr="00B73853">
        <w:rPr>
          <w:sz w:val="16"/>
          <w:szCs w:val="16"/>
        </w:rPr>
        <w:t xml:space="preserve">“(a) </w:t>
      </w:r>
      <w:r w:rsidRPr="00B73853">
        <w:rPr>
          <w:sz w:val="16"/>
          <w:szCs w:val="16"/>
        </w:rPr>
        <w:tab/>
        <w:t xml:space="preserve">furnish a return of income as required by a notice under sub-section (3) or sub-section (4) of section 114; or </w:t>
      </w:r>
    </w:p>
  </w:footnote>
  <w:footnote w:id="695">
    <w:p w:rsidR="00BF2117" w:rsidRPr="00B73853" w:rsidRDefault="00BF2117" w:rsidP="00F20CBA">
      <w:pPr>
        <w:pStyle w:val="FootnoteText"/>
        <w:ind w:left="0" w:firstLine="0"/>
        <w:rPr>
          <w:sz w:val="16"/>
          <w:szCs w:val="16"/>
          <w:lang w:val="en-US"/>
        </w:rPr>
      </w:pPr>
      <w:r w:rsidRPr="00B73853">
        <w:rPr>
          <w:rStyle w:val="FootnoteReference"/>
          <w:sz w:val="16"/>
          <w:szCs w:val="16"/>
        </w:rPr>
        <w:footnoteRef/>
      </w:r>
      <w:r w:rsidRPr="00B73853">
        <w:rPr>
          <w:sz w:val="16"/>
          <w:szCs w:val="16"/>
        </w:rPr>
        <w:t>Inserted by the Finance Act, 2009.</w:t>
      </w:r>
    </w:p>
  </w:footnote>
  <w:footnote w:id="696">
    <w:p w:rsidR="00BF2117" w:rsidRPr="00CE75D6" w:rsidRDefault="00BF2117">
      <w:pPr>
        <w:pStyle w:val="FootnoteText"/>
        <w:rPr>
          <w:sz w:val="16"/>
          <w:szCs w:val="16"/>
          <w:lang w:val="en-US"/>
        </w:rPr>
      </w:pPr>
      <w:r w:rsidRPr="00CE75D6">
        <w:rPr>
          <w:rStyle w:val="FootnoteReference"/>
          <w:sz w:val="16"/>
          <w:szCs w:val="16"/>
        </w:rPr>
        <w:footnoteRef/>
      </w:r>
      <w:r w:rsidRPr="00B73853">
        <w:rPr>
          <w:sz w:val="16"/>
          <w:szCs w:val="16"/>
        </w:rPr>
        <w:t>Inserted by the Finance Act, 20</w:t>
      </w:r>
      <w:r>
        <w:rPr>
          <w:sz w:val="16"/>
          <w:szCs w:val="16"/>
        </w:rPr>
        <w:t>15</w:t>
      </w:r>
    </w:p>
  </w:footnote>
  <w:footnote w:id="697">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Inserted by the Finance Act, 2010.</w:t>
      </w:r>
    </w:p>
  </w:footnote>
  <w:footnote w:id="698">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Inserted by the Finance Act, 2010. </w:t>
      </w:r>
    </w:p>
  </w:footnote>
  <w:footnote w:id="699">
    <w:p w:rsidR="00BF2117" w:rsidRPr="00B73853" w:rsidRDefault="00BF2117">
      <w:pPr>
        <w:pStyle w:val="FootnoteText"/>
        <w:rPr>
          <w:sz w:val="16"/>
          <w:szCs w:val="16"/>
          <w:lang w:val="en-US"/>
        </w:rPr>
      </w:pPr>
      <w:r w:rsidRPr="00B73853">
        <w:rPr>
          <w:rStyle w:val="FootnoteReference"/>
          <w:sz w:val="16"/>
          <w:szCs w:val="16"/>
        </w:rPr>
        <w:footnoteRef/>
      </w:r>
      <w:r w:rsidRPr="00B73853">
        <w:rPr>
          <w:sz w:val="16"/>
          <w:szCs w:val="16"/>
        </w:rPr>
        <w:t xml:space="preserve"> Inserted by the Finance Act, 2012.</w:t>
      </w:r>
    </w:p>
  </w:footnote>
  <w:footnote w:id="700">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Inserted by the Finance Act, 2012.</w:t>
      </w:r>
    </w:p>
  </w:footnote>
  <w:footnote w:id="701">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Inserted by the Finance Act, 2002</w:t>
      </w:r>
    </w:p>
  </w:footnote>
  <w:footnote w:id="702">
    <w:p w:rsidR="00BF2117" w:rsidRPr="00652764" w:rsidRDefault="00BF2117" w:rsidP="00E04D78">
      <w:pPr>
        <w:pStyle w:val="FootnoteText"/>
        <w:ind w:left="180" w:hanging="180"/>
        <w:rPr>
          <w:sz w:val="16"/>
          <w:szCs w:val="16"/>
          <w:lang w:val="en-US"/>
        </w:rPr>
      </w:pPr>
      <w:r w:rsidRPr="00652764">
        <w:rPr>
          <w:rStyle w:val="FootnoteReference"/>
          <w:sz w:val="16"/>
          <w:szCs w:val="16"/>
        </w:rPr>
        <w:footnoteRef/>
      </w:r>
      <w:r w:rsidRPr="00652764">
        <w:rPr>
          <w:sz w:val="16"/>
          <w:szCs w:val="16"/>
        </w:rPr>
        <w:t xml:space="preserve"> The words, commas and the figures “issued under section 59, 59A, 62, 63 or 65 of the repealed Ordinance “  omitted by the Finance Act, 2012.</w:t>
      </w:r>
    </w:p>
  </w:footnote>
  <w:footnote w:id="703">
    <w:p w:rsidR="00BF2117" w:rsidRPr="00652764" w:rsidRDefault="00BF2117" w:rsidP="00CA6CF6">
      <w:pPr>
        <w:pStyle w:val="FootnoteText"/>
        <w:ind w:left="270" w:hanging="270"/>
        <w:rPr>
          <w:sz w:val="16"/>
          <w:szCs w:val="16"/>
        </w:rPr>
      </w:pPr>
      <w:r w:rsidRPr="00652764">
        <w:rPr>
          <w:rStyle w:val="FootnoteReference"/>
          <w:rFonts w:cs="Arial"/>
          <w:sz w:val="16"/>
          <w:szCs w:val="16"/>
        </w:rPr>
        <w:footnoteRef/>
      </w:r>
      <w:r w:rsidRPr="00652764">
        <w:rPr>
          <w:sz w:val="16"/>
          <w:szCs w:val="16"/>
        </w:rPr>
        <w:t xml:space="preserve"> The words “to ensure that the taxpayer is liable for correct amount of tax for the tax year to which the assessment order relates” omitted by the Finance Act, 2003.</w:t>
      </w:r>
    </w:p>
  </w:footnote>
  <w:footnote w:id="704">
    <w:p w:rsidR="00BF2117" w:rsidRPr="00652764" w:rsidRDefault="00BF2117">
      <w:pPr>
        <w:pStyle w:val="FootnoteText"/>
        <w:rPr>
          <w:sz w:val="16"/>
          <w:szCs w:val="16"/>
        </w:rPr>
      </w:pPr>
      <w:r w:rsidRPr="00652764">
        <w:rPr>
          <w:rStyle w:val="FootnoteReference"/>
          <w:sz w:val="16"/>
          <w:szCs w:val="16"/>
        </w:rPr>
        <w:footnoteRef/>
      </w:r>
      <w:r w:rsidRPr="00652764">
        <w:rPr>
          <w:sz w:val="16"/>
          <w:szCs w:val="16"/>
        </w:rPr>
        <w:t xml:space="preserve"> Sub-section (2) substituted by the Finance Act, 2009. The substituted sub-section (2) read as follows:</w:t>
      </w:r>
    </w:p>
    <w:p w:rsidR="00BF2117" w:rsidRPr="00652764" w:rsidRDefault="00BF2117" w:rsidP="00EC46CE">
      <w:pPr>
        <w:pStyle w:val="FootnoteText"/>
        <w:ind w:left="270" w:hanging="90"/>
        <w:jc w:val="both"/>
        <w:rPr>
          <w:sz w:val="16"/>
          <w:szCs w:val="16"/>
          <w:lang w:val="en-US"/>
        </w:rPr>
      </w:pPr>
      <w:r w:rsidRPr="00652764">
        <w:rPr>
          <w:sz w:val="16"/>
          <w:szCs w:val="16"/>
        </w:rPr>
        <w:t>“</w:t>
      </w:r>
      <w:r w:rsidRPr="00652764">
        <w:rPr>
          <w:rFonts w:cs="Arial"/>
          <w:sz w:val="16"/>
          <w:szCs w:val="16"/>
        </w:rPr>
        <w:t>(2) An assessment order shall only be amended under subsection (1) within five years after the Commissioner has issued or is treated as having issued the assessment order on the taxpayer.”</w:t>
      </w:r>
    </w:p>
  </w:footnote>
  <w:footnote w:id="705">
    <w:p w:rsidR="00BF2117" w:rsidRPr="00652764" w:rsidRDefault="00BF2117" w:rsidP="008F63A3">
      <w:pPr>
        <w:pStyle w:val="FootnoteText"/>
        <w:ind w:left="180" w:hanging="180"/>
        <w:jc w:val="both"/>
        <w:rPr>
          <w:sz w:val="16"/>
          <w:szCs w:val="16"/>
          <w:lang w:val="en-US"/>
        </w:rPr>
      </w:pPr>
      <w:r w:rsidRPr="00652764">
        <w:rPr>
          <w:rStyle w:val="FootnoteReference"/>
          <w:sz w:val="16"/>
          <w:szCs w:val="16"/>
        </w:rPr>
        <w:footnoteRef/>
      </w:r>
      <w:r w:rsidRPr="00652764">
        <w:rPr>
          <w:sz w:val="16"/>
          <w:szCs w:val="16"/>
        </w:rPr>
        <w:t xml:space="preserve">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706">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word “or” substituted by the Finance Act, 2010.</w:t>
      </w:r>
    </w:p>
  </w:footnote>
  <w:footnote w:id="707">
    <w:p w:rsidR="00BF2117" w:rsidRPr="00652764" w:rsidRDefault="00BF2117" w:rsidP="000E1C20">
      <w:pPr>
        <w:pStyle w:val="FootnoteText"/>
        <w:ind w:left="180" w:hanging="180"/>
        <w:jc w:val="both"/>
        <w:rPr>
          <w:sz w:val="16"/>
          <w:szCs w:val="16"/>
          <w:lang w:val="en-US"/>
        </w:rPr>
      </w:pPr>
      <w:r w:rsidRPr="00652764">
        <w:rPr>
          <w:rStyle w:val="FootnoteReference"/>
          <w:sz w:val="16"/>
          <w:szCs w:val="16"/>
        </w:rPr>
        <w:footnoteRef/>
      </w:r>
      <w:r w:rsidRPr="00652764">
        <w:rPr>
          <w:sz w:val="16"/>
          <w:szCs w:val="16"/>
        </w:rPr>
        <w:t xml:space="preserve"> Inserted by the Finance Act, 2010. Amendment made in sub-section (4) has been validated through sub-clause (18)(b) of clause (8) of Finance Act, 2010, with effect from the first day of July, 2003.</w:t>
      </w:r>
    </w:p>
  </w:footnote>
  <w:footnote w:id="708">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Inserted by the Finance Act, 2002</w:t>
      </w:r>
    </w:p>
  </w:footnote>
  <w:footnote w:id="709">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word “after” substituted by the Finance Act, 2009.</w:t>
      </w:r>
    </w:p>
  </w:footnote>
  <w:footnote w:id="710">
    <w:p w:rsidR="00BF2117" w:rsidRPr="00652764" w:rsidRDefault="00BF2117" w:rsidP="000166BD">
      <w:pPr>
        <w:pStyle w:val="FootnoteText"/>
        <w:rPr>
          <w:sz w:val="16"/>
          <w:szCs w:val="16"/>
          <w:lang w:val="en-US"/>
        </w:rPr>
      </w:pPr>
      <w:r w:rsidRPr="00652764">
        <w:rPr>
          <w:rStyle w:val="FootnoteReference"/>
          <w:sz w:val="16"/>
          <w:szCs w:val="16"/>
        </w:rPr>
        <w:footnoteRef/>
      </w:r>
      <w:r w:rsidRPr="00652764">
        <w:rPr>
          <w:sz w:val="16"/>
          <w:szCs w:val="16"/>
        </w:rPr>
        <w:t xml:space="preserve"> The word “after” substituted by the Finance Act, 2009.</w:t>
      </w:r>
    </w:p>
  </w:footnote>
  <w:footnote w:id="711">
    <w:p w:rsidR="00BF2117" w:rsidRPr="00652764" w:rsidRDefault="00BF2117">
      <w:pPr>
        <w:pStyle w:val="FootnoteText"/>
        <w:keepNext/>
        <w:ind w:left="180" w:hanging="180"/>
        <w:jc w:val="both"/>
        <w:rPr>
          <w:sz w:val="16"/>
          <w:szCs w:val="16"/>
        </w:rPr>
      </w:pPr>
      <w:r w:rsidRPr="00652764">
        <w:rPr>
          <w:rStyle w:val="FootnoteReference"/>
          <w:rFonts w:cs="Arial"/>
          <w:sz w:val="16"/>
          <w:szCs w:val="16"/>
        </w:rPr>
        <w:footnoteRef/>
      </w:r>
      <w:r w:rsidRPr="00652764">
        <w:rPr>
          <w:sz w:val="16"/>
          <w:szCs w:val="16"/>
        </w:rPr>
        <w:t xml:space="preserve"> Inserted by the Finance Act, 2003. Earlier sub-section (4A) was inserted by S.R.O. 633(I)/2002, dated 14.09.2002 which stands rescinded by SRO 608(I)/2003, dated 24.06.2003 with effect from 01.07.2003. The said sub-section (4A) read as follows:</w:t>
      </w:r>
    </w:p>
    <w:p w:rsidR="00BF2117" w:rsidRPr="00652764" w:rsidRDefault="00BF2117" w:rsidP="00AC7169">
      <w:pPr>
        <w:pStyle w:val="FootnoteText"/>
        <w:ind w:left="180" w:firstLine="0"/>
        <w:jc w:val="both"/>
        <w:rPr>
          <w:rFonts w:cs="Arial"/>
          <w:sz w:val="16"/>
          <w:szCs w:val="16"/>
        </w:rPr>
      </w:pPr>
      <w:r w:rsidRPr="00652764">
        <w:rPr>
          <w:rFonts w:cs="Arial"/>
          <w:sz w:val="16"/>
          <w:szCs w:val="16"/>
        </w:rPr>
        <w:t xml:space="preserve">      “(4A) </w:t>
      </w:r>
      <w:r w:rsidRPr="00652764">
        <w:rPr>
          <w:rFonts w:cs="Arial"/>
          <w:sz w:val="16"/>
          <w:szCs w:val="16"/>
        </w:rPr>
        <w:tab/>
        <w:t>An amended assessment shall only be made within six years of the date of original assessment.”</w:t>
      </w:r>
    </w:p>
  </w:footnote>
  <w:footnote w:id="712">
    <w:p w:rsidR="00BF2117" w:rsidRPr="00652764" w:rsidRDefault="00BF2117" w:rsidP="004D7049">
      <w:pPr>
        <w:pStyle w:val="FootnoteText"/>
        <w:keepNext/>
        <w:ind w:left="180" w:hanging="180"/>
        <w:jc w:val="both"/>
        <w:rPr>
          <w:sz w:val="16"/>
          <w:szCs w:val="16"/>
        </w:rPr>
      </w:pPr>
      <w:r w:rsidRPr="00652764">
        <w:rPr>
          <w:rStyle w:val="FootnoteReference"/>
          <w:rFonts w:cs="Arial"/>
          <w:sz w:val="16"/>
          <w:szCs w:val="16"/>
        </w:rPr>
        <w:footnoteRef/>
      </w:r>
      <w:r w:rsidRPr="00652764">
        <w:rPr>
          <w:sz w:val="16"/>
          <w:szCs w:val="16"/>
        </w:rPr>
        <w:t xml:space="preserve"> Sub-section (5) substituted by the Finance Act, 2003. The substituted sub-section (5) read as follows: </w:t>
      </w:r>
    </w:p>
    <w:p w:rsidR="00BF2117" w:rsidRPr="00652764" w:rsidRDefault="00BF2117">
      <w:pPr>
        <w:keepNext/>
        <w:ind w:left="180" w:firstLine="367"/>
        <w:jc w:val="both"/>
        <w:rPr>
          <w:rFonts w:cs="Arial"/>
          <w:sz w:val="16"/>
          <w:szCs w:val="16"/>
        </w:rPr>
      </w:pPr>
      <w:r w:rsidRPr="00652764">
        <w:rPr>
          <w:rFonts w:cs="Arial"/>
          <w:sz w:val="16"/>
          <w:szCs w:val="16"/>
        </w:rPr>
        <w:t>“(5)</w:t>
      </w:r>
      <w:r w:rsidRPr="00652764">
        <w:rPr>
          <w:rFonts w:cs="Arial"/>
          <w:sz w:val="16"/>
          <w:szCs w:val="16"/>
        </w:rPr>
        <w:tab/>
        <w:t>An assessment order shall only be amended under sub-section (1) and an amended assessment shall only be amended under subsection (4) where the Commissioner –</w:t>
      </w:r>
    </w:p>
    <w:p w:rsidR="00BF2117" w:rsidRPr="00652764" w:rsidRDefault="00BF2117">
      <w:pPr>
        <w:pStyle w:val="BodyTextIndent"/>
        <w:keepNext/>
        <w:tabs>
          <w:tab w:val="left" w:pos="1440"/>
        </w:tabs>
        <w:ind w:left="1440" w:hanging="360"/>
        <w:jc w:val="both"/>
        <w:rPr>
          <w:rFonts w:cs="Arial"/>
          <w:sz w:val="16"/>
          <w:szCs w:val="16"/>
        </w:rPr>
      </w:pPr>
      <w:r w:rsidRPr="00652764">
        <w:rPr>
          <w:rFonts w:cs="Arial"/>
          <w:sz w:val="16"/>
          <w:szCs w:val="16"/>
        </w:rPr>
        <w:t>(a)</w:t>
      </w:r>
      <w:r w:rsidRPr="00652764">
        <w:rPr>
          <w:rFonts w:cs="Arial"/>
          <w:sz w:val="16"/>
          <w:szCs w:val="16"/>
        </w:rPr>
        <w:tab/>
        <w:t>is of the view that this Ordinance or the repealed Ordinance] has been incorrectly applied in making the assessment (including the misclassification  of  an amount  under  a  head  of income, incorrect payment of tax with the return of income, an incorrect claim for tax relief or rebate, an incorrect claim for exemption of any amount or an incorrect claim for a refund); or</w:t>
      </w:r>
    </w:p>
    <w:p w:rsidR="00BF2117" w:rsidRPr="00652764" w:rsidRDefault="00BF2117" w:rsidP="00351A99">
      <w:pPr>
        <w:pStyle w:val="FootnoteText"/>
        <w:keepNext/>
        <w:numPr>
          <w:ilvl w:val="0"/>
          <w:numId w:val="22"/>
        </w:numPr>
        <w:tabs>
          <w:tab w:val="num" w:pos="1440"/>
        </w:tabs>
        <w:ind w:left="1440"/>
        <w:jc w:val="both"/>
        <w:rPr>
          <w:sz w:val="16"/>
          <w:szCs w:val="16"/>
        </w:rPr>
      </w:pPr>
      <w:r w:rsidRPr="00652764">
        <w:rPr>
          <w:sz w:val="16"/>
          <w:szCs w:val="16"/>
        </w:rPr>
        <w:t>has definite information acquired from an audit or otherwise that the income has been concealed or inaccurate particulars of income have been furnished or the assessment is otherwise incorrect.”</w:t>
      </w:r>
    </w:p>
  </w:footnote>
  <w:footnote w:id="713">
    <w:p w:rsidR="00BF2117" w:rsidRPr="00652764" w:rsidRDefault="00BF2117" w:rsidP="00FE626E">
      <w:pPr>
        <w:pStyle w:val="FootnoteText"/>
        <w:keepNext/>
        <w:ind w:left="270" w:hanging="270"/>
        <w:jc w:val="both"/>
        <w:rPr>
          <w:sz w:val="16"/>
          <w:szCs w:val="16"/>
        </w:rPr>
      </w:pPr>
      <w:r w:rsidRPr="00652764">
        <w:rPr>
          <w:rStyle w:val="FootnoteReference"/>
          <w:rFonts w:cs="Arial"/>
          <w:sz w:val="16"/>
          <w:szCs w:val="16"/>
        </w:rPr>
        <w:footnoteRef/>
      </w:r>
      <w:r w:rsidRPr="00652764">
        <w:rPr>
          <w:sz w:val="16"/>
          <w:szCs w:val="16"/>
        </w:rPr>
        <w:t xml:space="preserve"> Inserted by the Finance Act, 2003. Earlier sub-section (5A) was inserted by S.R.O. 633(I)/2002, dated 14.09.2002 which stands rescinded by SRO 608(I)/2003, dated 24.06.2003 with effect from 01.07.2003. The said sub-section (5A) read as follows: </w:t>
      </w:r>
    </w:p>
    <w:p w:rsidR="00BF2117" w:rsidRPr="00652764" w:rsidRDefault="00BF2117" w:rsidP="00473611">
      <w:pPr>
        <w:pStyle w:val="BodyTextIndent"/>
        <w:ind w:left="270" w:firstLine="277"/>
        <w:jc w:val="both"/>
        <w:rPr>
          <w:rFonts w:cs="Arial"/>
          <w:sz w:val="16"/>
          <w:szCs w:val="16"/>
        </w:rPr>
      </w:pPr>
      <w:r w:rsidRPr="00652764">
        <w:rPr>
          <w:rFonts w:cs="Arial"/>
          <w:sz w:val="16"/>
          <w:szCs w:val="16"/>
        </w:rPr>
        <w:t>“(5A)</w:t>
      </w:r>
      <w:r w:rsidRPr="00652764">
        <w:rPr>
          <w:rFonts w:cs="Arial"/>
          <w:sz w:val="16"/>
          <w:szCs w:val="16"/>
        </w:rPr>
        <w:tab/>
        <w:t xml:space="preserve">Where a person does not produce accounts and records, or details of expenditure, assets and liabilities or any other information required for the purposes of audit under section177, or does not file wealth statement under section 116, the Commissioner may, based on any available information and to the best of Commissioner’s judgement; make an amended assessment.” </w:t>
      </w:r>
    </w:p>
  </w:footnote>
  <w:footnote w:id="714">
    <w:p w:rsidR="00BF2117" w:rsidRPr="00652764" w:rsidRDefault="00BF2117">
      <w:pPr>
        <w:pStyle w:val="FootnoteText"/>
        <w:rPr>
          <w:sz w:val="16"/>
          <w:szCs w:val="16"/>
          <w:lang w:val="en-US"/>
        </w:rPr>
      </w:pPr>
      <w:r w:rsidRPr="00652764">
        <w:rPr>
          <w:rStyle w:val="FootnoteReference"/>
          <w:sz w:val="16"/>
          <w:szCs w:val="16"/>
        </w:rPr>
        <w:footnoteRef/>
      </w:r>
      <w:r w:rsidRPr="00652764">
        <w:rPr>
          <w:rFonts w:cs="Arial"/>
          <w:sz w:val="16"/>
          <w:szCs w:val="16"/>
        </w:rPr>
        <w:t xml:space="preserve"> Added by Finance Act, 2012.</w:t>
      </w:r>
    </w:p>
  </w:footnote>
  <w:footnote w:id="715">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Added by the Finance Act, 2010.</w:t>
      </w:r>
    </w:p>
  </w:footnote>
  <w:footnote w:id="716">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Inserted by the Finance Act, 2003.</w:t>
      </w:r>
    </w:p>
  </w:footnote>
  <w:footnote w:id="717">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The words, brackets and figures “sub-section (1) or (4)” substituted by the Finance Act, 2003.</w:t>
      </w:r>
    </w:p>
  </w:footnote>
  <w:footnote w:id="718">
    <w:p w:rsidR="00BF2117" w:rsidRPr="00412620" w:rsidRDefault="00BF2117">
      <w:pPr>
        <w:pStyle w:val="FootnoteText"/>
        <w:rPr>
          <w:sz w:val="16"/>
        </w:rPr>
      </w:pPr>
      <w:r w:rsidRPr="00652764">
        <w:rPr>
          <w:rStyle w:val="FootnoteReference"/>
          <w:rFonts w:cs="Arial"/>
          <w:sz w:val="16"/>
          <w:szCs w:val="16"/>
        </w:rPr>
        <w:footnoteRef/>
      </w:r>
      <w:r w:rsidRPr="00652764">
        <w:rPr>
          <w:sz w:val="16"/>
          <w:szCs w:val="16"/>
        </w:rPr>
        <w:t xml:space="preserve"> Inserted by the Finance Act, 2002</w:t>
      </w:r>
    </w:p>
  </w:footnote>
  <w:footnote w:id="719">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Added by the Finance Act, 2002</w:t>
      </w:r>
    </w:p>
  </w:footnote>
  <w:footnote w:id="720">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Added by the Finance Act, 2003.</w:t>
      </w:r>
    </w:p>
  </w:footnote>
  <w:footnote w:id="721">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Inserted by the Finance Act, 2004.</w:t>
      </w:r>
    </w:p>
  </w:footnote>
  <w:footnote w:id="722">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The word “</w:t>
      </w:r>
      <w:r w:rsidRPr="00652764">
        <w:rPr>
          <w:i/>
          <w:iCs/>
          <w:sz w:val="16"/>
          <w:szCs w:val="16"/>
        </w:rPr>
        <w:t>suomoto</w:t>
      </w:r>
      <w:r w:rsidRPr="00652764">
        <w:rPr>
          <w:sz w:val="16"/>
          <w:szCs w:val="16"/>
        </w:rPr>
        <w:t>” substituted by the Finance Act, 2005.</w:t>
      </w:r>
    </w:p>
  </w:footnote>
  <w:footnote w:id="723">
    <w:p w:rsidR="00BF2117" w:rsidRPr="00652764" w:rsidRDefault="00BF2117" w:rsidP="00E17F50">
      <w:pPr>
        <w:pStyle w:val="FootnoteText"/>
        <w:ind w:left="180" w:hanging="180"/>
        <w:jc w:val="both"/>
        <w:rPr>
          <w:sz w:val="16"/>
          <w:szCs w:val="16"/>
          <w:lang w:val="en-US"/>
        </w:rPr>
      </w:pPr>
      <w:r w:rsidRPr="00652764">
        <w:rPr>
          <w:rStyle w:val="FootnoteReference"/>
          <w:sz w:val="16"/>
          <w:szCs w:val="16"/>
        </w:rPr>
        <w:footnoteRef/>
      </w:r>
      <w:r w:rsidRPr="00652764">
        <w:rPr>
          <w:sz w:val="16"/>
          <w:szCs w:val="16"/>
        </w:rPr>
        <w:t xml:space="preserve"> The words “Taxation Officer”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w:t>
      </w:r>
    </w:p>
  </w:footnote>
  <w:footnote w:id="724">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Words added by Finance Act, 2004.</w:t>
      </w:r>
    </w:p>
  </w:footnote>
  <w:footnote w:id="725">
    <w:p w:rsidR="00BF2117" w:rsidRPr="00652764" w:rsidRDefault="00BF2117" w:rsidP="00342F7D">
      <w:pPr>
        <w:pStyle w:val="FootnoteText"/>
        <w:rPr>
          <w:sz w:val="16"/>
          <w:szCs w:val="16"/>
          <w:lang w:val="en-US"/>
        </w:rPr>
      </w:pPr>
      <w:r w:rsidRPr="00652764">
        <w:rPr>
          <w:rStyle w:val="FootnoteReference"/>
          <w:sz w:val="16"/>
          <w:szCs w:val="16"/>
        </w:rPr>
        <w:footnoteRef/>
      </w:r>
      <w:r w:rsidRPr="00652764">
        <w:rPr>
          <w:sz w:val="16"/>
          <w:szCs w:val="16"/>
        </w:rPr>
        <w:t xml:space="preserve"> Added by the Finance Act, 2006.</w:t>
      </w:r>
    </w:p>
  </w:footnote>
  <w:footnote w:id="726">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The words “Regional Commissioner” Substituted by “Chief Commissioner” by Finance Act, 2014.</w:t>
      </w:r>
    </w:p>
  </w:footnote>
  <w:footnote w:id="727">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The words “Regional Commissioner” Substituted by “Chief Commissioner” by Finance Act, 2014.</w:t>
      </w:r>
    </w:p>
  </w:footnote>
  <w:footnote w:id="728">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The words “Regional Commissioner” Substituted by “Chief Commissioner” by Finance Act, 2014</w:t>
      </w:r>
    </w:p>
  </w:footnote>
  <w:footnote w:id="729">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The words “Regional Commissioner” Substituted by “Chief Commissioner” by Finance Act, 2014</w:t>
      </w:r>
    </w:p>
  </w:footnote>
  <w:footnote w:id="730">
    <w:p w:rsidR="00BF2117" w:rsidRPr="00652764" w:rsidRDefault="00BF2117" w:rsidP="006B65E1">
      <w:pPr>
        <w:pStyle w:val="FootnoteText"/>
        <w:ind w:left="180" w:hanging="180"/>
        <w:jc w:val="both"/>
        <w:rPr>
          <w:sz w:val="16"/>
          <w:szCs w:val="16"/>
        </w:rPr>
      </w:pPr>
      <w:r w:rsidRPr="00652764">
        <w:rPr>
          <w:rStyle w:val="FootnoteReference"/>
          <w:sz w:val="16"/>
          <w:szCs w:val="16"/>
        </w:rPr>
        <w:footnoteRef/>
      </w:r>
      <w:r w:rsidRPr="00652764">
        <w:rPr>
          <w:sz w:val="16"/>
          <w:szCs w:val="16"/>
        </w:rPr>
        <w:t xml:space="preserve">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The substituted section “122C” read as follows:</w:t>
      </w:r>
    </w:p>
    <w:p w:rsidR="00BF2117" w:rsidRPr="00652764" w:rsidRDefault="00BF2117" w:rsidP="00393B76">
      <w:pPr>
        <w:ind w:left="180"/>
        <w:jc w:val="both"/>
        <w:rPr>
          <w:rFonts w:cs="Arial"/>
          <w:sz w:val="16"/>
          <w:szCs w:val="16"/>
        </w:rPr>
      </w:pPr>
      <w:r w:rsidRPr="00652764">
        <w:rPr>
          <w:sz w:val="16"/>
          <w:szCs w:val="16"/>
        </w:rPr>
        <w:t xml:space="preserve">“122C. </w:t>
      </w:r>
      <w:r w:rsidRPr="00652764">
        <w:rPr>
          <w:rFonts w:cs="Arial"/>
          <w:b/>
          <w:sz w:val="16"/>
          <w:szCs w:val="16"/>
        </w:rPr>
        <w:t>Provisional assessment.</w:t>
      </w:r>
      <w:r w:rsidRPr="00652764">
        <w:rPr>
          <w:rFonts w:cs="Arial"/>
          <w:sz w:val="16"/>
          <w:szCs w:val="16"/>
        </w:rPr>
        <w:t xml:space="preserve"> —  (1) Where in response to a notice under sub-section (3) or sub-section (4) of section 114 a person fails to furnish return of income for any tax year, the Commissioner may, based on any available information or material and to the best of his judgment, make a provisional assessment of the taxable income of the person and issue a provisional assessment order specifying the taxable income assessed and the tax due thereon. </w:t>
      </w:r>
    </w:p>
    <w:p w:rsidR="00BF2117" w:rsidRPr="00652764" w:rsidRDefault="00BF2117" w:rsidP="00393B76">
      <w:pPr>
        <w:ind w:left="180" w:firstLine="720"/>
        <w:jc w:val="both"/>
        <w:rPr>
          <w:rFonts w:cs="Arial"/>
          <w:sz w:val="16"/>
          <w:szCs w:val="16"/>
        </w:rPr>
      </w:pPr>
      <w:r w:rsidRPr="00652764">
        <w:rPr>
          <w:rFonts w:cs="Arial"/>
          <w:sz w:val="16"/>
          <w:szCs w:val="16"/>
        </w:rPr>
        <w:t>(2)  Notwithstanding anything contained in this Ordinance, the provisional assessment completed under sub-section (1) shall be treated as the final assessment after the expiry of sixty days from the date of service of order of provisional assessment and the provisions of this Ordinance shall apply accordingly:</w:t>
      </w:r>
    </w:p>
    <w:p w:rsidR="00BF2117" w:rsidRPr="00652764" w:rsidRDefault="00BF2117" w:rsidP="00393B76">
      <w:pPr>
        <w:pStyle w:val="FootnoteText"/>
        <w:ind w:left="1094" w:firstLine="547"/>
        <w:jc w:val="both"/>
        <w:rPr>
          <w:sz w:val="16"/>
          <w:szCs w:val="16"/>
          <w:lang w:val="en-US"/>
        </w:rPr>
      </w:pPr>
      <w:r w:rsidRPr="00652764">
        <w:rPr>
          <w:rFonts w:cs="Arial"/>
          <w:sz w:val="16"/>
          <w:szCs w:val="16"/>
        </w:rPr>
        <w:t>Provided that the provisions of sub-section (2) shall not apply if return of income along with wealth statement, wealth reconciliation statement and other documents required under sub-section (2A) of section 116 are filed by the person for the relevant tax year during the said period of sixty days.”</w:t>
      </w:r>
    </w:p>
  </w:footnote>
  <w:footnote w:id="731">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word “sixty” substituted by the Finance Act, 2013. </w:t>
      </w:r>
    </w:p>
  </w:footnote>
  <w:footnote w:id="732">
    <w:p w:rsidR="00BF2117" w:rsidRPr="00CD60C5" w:rsidRDefault="00BF2117" w:rsidP="00CD60C5">
      <w:pPr>
        <w:jc w:val="both"/>
        <w:rPr>
          <w:rFonts w:cs="Arial"/>
          <w:color w:val="FF0066"/>
          <w:sz w:val="16"/>
          <w:szCs w:val="16"/>
        </w:rPr>
      </w:pPr>
      <w:r w:rsidRPr="00C3232C">
        <w:rPr>
          <w:rStyle w:val="FootnoteReference"/>
          <w:color w:val="0070C0"/>
          <w:sz w:val="16"/>
          <w:szCs w:val="16"/>
        </w:rPr>
        <w:footnoteRef/>
      </w:r>
      <w:r w:rsidRPr="00C3232C">
        <w:rPr>
          <w:color w:val="0070C0"/>
          <w:sz w:val="16"/>
          <w:szCs w:val="16"/>
        </w:rPr>
        <w:t xml:space="preserve"> First and Second proviso substituted by the Finance Act, 2016. The substituted provisos read as follows:-</w:t>
      </w:r>
      <w:r>
        <w:rPr>
          <w:color w:val="FF0066"/>
          <w:sz w:val="16"/>
          <w:szCs w:val="16"/>
        </w:rPr>
        <w:t xml:space="preserve"> </w:t>
      </w:r>
      <w:r w:rsidRPr="00C3232C">
        <w:rPr>
          <w:rFonts w:cs="Arial"/>
          <w:color w:val="000000" w:themeColor="text1"/>
          <w:sz w:val="16"/>
          <w:szCs w:val="16"/>
        </w:rPr>
        <w:t xml:space="preserve">Provided that the provisions of sub-section (2) shall not apply if return of income along with wealth statement, wealth reconciliation statement and other documents required under sub-section (2A) of section 116 are filed by the person </w:t>
      </w:r>
      <w:r w:rsidRPr="00C3232C">
        <w:rPr>
          <w:rStyle w:val="FootnoteReference"/>
          <w:rFonts w:cs="Arial"/>
          <w:color w:val="000000" w:themeColor="text1"/>
          <w:sz w:val="16"/>
          <w:szCs w:val="16"/>
        </w:rPr>
        <w:footnoteRef/>
      </w:r>
      <w:r w:rsidRPr="00C3232C">
        <w:rPr>
          <w:rFonts w:cs="Arial"/>
          <w:color w:val="000000" w:themeColor="text1"/>
          <w:sz w:val="16"/>
          <w:szCs w:val="16"/>
        </w:rPr>
        <w:t xml:space="preserve">[being an individual or an association of persons] for the relevant tax year during the said period of </w:t>
      </w:r>
      <w:r w:rsidRPr="00C3232C">
        <w:rPr>
          <w:rStyle w:val="FootnoteReference"/>
          <w:rFonts w:cs="Arial"/>
          <w:color w:val="000000" w:themeColor="text1"/>
          <w:sz w:val="16"/>
          <w:szCs w:val="16"/>
        </w:rPr>
        <w:footnoteRef/>
      </w:r>
      <w:r w:rsidRPr="00C3232C">
        <w:rPr>
          <w:rFonts w:cs="Arial"/>
          <w:color w:val="000000" w:themeColor="text1"/>
          <w:sz w:val="16"/>
          <w:szCs w:val="16"/>
        </w:rPr>
        <w:t>[forty-five]  days</w:t>
      </w:r>
      <w:r w:rsidRPr="00C3232C">
        <w:rPr>
          <w:rStyle w:val="FootnoteReference"/>
          <w:rFonts w:cs="Arial"/>
          <w:color w:val="000000" w:themeColor="text1"/>
          <w:sz w:val="16"/>
          <w:szCs w:val="16"/>
        </w:rPr>
        <w:footnoteRef/>
      </w:r>
      <w:r w:rsidRPr="00C3232C">
        <w:rPr>
          <w:rFonts w:cs="Arial"/>
          <w:color w:val="000000" w:themeColor="text1"/>
          <w:sz w:val="16"/>
          <w:szCs w:val="16"/>
        </w:rPr>
        <w:t>[:]  ]</w:t>
      </w:r>
    </w:p>
    <w:p w:rsidR="00BF2117" w:rsidRPr="00CD60C5" w:rsidRDefault="00BF2117" w:rsidP="00CD60C5">
      <w:pPr>
        <w:ind w:left="547" w:firstLine="547"/>
        <w:jc w:val="both"/>
        <w:rPr>
          <w:rFonts w:cs="Arial"/>
          <w:color w:val="FF0066"/>
          <w:sz w:val="16"/>
          <w:szCs w:val="16"/>
        </w:rPr>
      </w:pPr>
    </w:p>
    <w:p w:rsidR="00BF2117" w:rsidRPr="00C3232C" w:rsidRDefault="00BF2117" w:rsidP="00CD60C5">
      <w:pPr>
        <w:ind w:firstLine="990"/>
        <w:jc w:val="both"/>
        <w:rPr>
          <w:rFonts w:cs="Arial"/>
          <w:color w:val="000000" w:themeColor="text1"/>
          <w:sz w:val="16"/>
          <w:szCs w:val="16"/>
        </w:rPr>
      </w:pPr>
      <w:r w:rsidRPr="00C3232C">
        <w:rPr>
          <w:rStyle w:val="FootnoteReference"/>
          <w:color w:val="000000" w:themeColor="text1"/>
          <w:sz w:val="16"/>
          <w:szCs w:val="16"/>
        </w:rPr>
        <w:footnoteRef/>
      </w:r>
      <w:r w:rsidRPr="00C3232C">
        <w:rPr>
          <w:color w:val="000000" w:themeColor="text1"/>
          <w:sz w:val="16"/>
          <w:szCs w:val="16"/>
        </w:rPr>
        <w:t>[Provided further that the provisions of sub-section (2) shall not apply to a company if return of income tax alongwith audited accounts or final accounts, as the</w:t>
      </w:r>
      <w:r w:rsidRPr="00C3232C">
        <w:rPr>
          <w:color w:val="000000" w:themeColor="text1"/>
          <w:sz w:val="20"/>
        </w:rPr>
        <w:t xml:space="preserve"> </w:t>
      </w:r>
      <w:r w:rsidRPr="00C3232C">
        <w:rPr>
          <w:color w:val="000000" w:themeColor="text1"/>
          <w:sz w:val="16"/>
          <w:szCs w:val="16"/>
        </w:rPr>
        <w:t xml:space="preserve">case may be, for the relevant tax year are filed by the company electronically during the said period of </w:t>
      </w:r>
      <w:r w:rsidRPr="00C3232C">
        <w:rPr>
          <w:rStyle w:val="FootnoteReference"/>
          <w:rFonts w:cs="Arial"/>
          <w:color w:val="000000" w:themeColor="text1"/>
          <w:sz w:val="16"/>
          <w:szCs w:val="16"/>
        </w:rPr>
        <w:footnoteRef/>
      </w:r>
      <w:r w:rsidRPr="00C3232C">
        <w:rPr>
          <w:rFonts w:cs="Arial"/>
          <w:color w:val="000000" w:themeColor="text1"/>
          <w:sz w:val="16"/>
          <w:szCs w:val="16"/>
        </w:rPr>
        <w:t xml:space="preserve">[forty-five] </w:t>
      </w:r>
      <w:r w:rsidRPr="00C3232C">
        <w:rPr>
          <w:color w:val="000000" w:themeColor="text1"/>
          <w:sz w:val="16"/>
          <w:szCs w:val="16"/>
        </w:rPr>
        <w:t xml:space="preserve"> days.]</w:t>
      </w:r>
    </w:p>
    <w:p w:rsidR="00BF2117" w:rsidRPr="00CD60C5" w:rsidRDefault="00BF2117">
      <w:pPr>
        <w:pStyle w:val="FootnoteText"/>
        <w:rPr>
          <w:color w:val="FF0066"/>
          <w:sz w:val="16"/>
          <w:szCs w:val="16"/>
          <w:lang w:val="en-US"/>
        </w:rPr>
      </w:pPr>
    </w:p>
  </w:footnote>
  <w:footnote w:id="733">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The words “after making it” omitted by the Finance Act, 2003.</w:t>
      </w:r>
    </w:p>
  </w:footnote>
  <w:footnote w:id="734">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words “Commissioner (Appeals)” omitted by the Finance Act, 2010.</w:t>
      </w:r>
    </w:p>
  </w:footnote>
  <w:footnote w:id="735">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Inserted by the Finance Act, 2003.</w:t>
      </w:r>
    </w:p>
  </w:footnote>
  <w:footnote w:id="736">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lang w:val="en-US"/>
        </w:rPr>
        <w:t>Inserted by the Finance Act, 2008.</w:t>
      </w:r>
    </w:p>
  </w:footnote>
  <w:footnote w:id="737">
    <w:p w:rsidR="00BF2117" w:rsidRPr="00652764" w:rsidRDefault="00BF2117" w:rsidP="00957729">
      <w:pPr>
        <w:pStyle w:val="FootnoteText"/>
        <w:rPr>
          <w:sz w:val="16"/>
          <w:szCs w:val="16"/>
          <w:lang w:val="en-US"/>
        </w:rPr>
      </w:pPr>
      <w:r w:rsidRPr="00652764">
        <w:rPr>
          <w:rStyle w:val="FootnoteReference"/>
          <w:sz w:val="16"/>
          <w:szCs w:val="16"/>
        </w:rPr>
        <w:footnoteRef/>
      </w:r>
      <w:r w:rsidRPr="00652764">
        <w:rPr>
          <w:sz w:val="16"/>
          <w:szCs w:val="16"/>
        </w:rPr>
        <w:t xml:space="preserve"> The word “make” substituted by the Finance Act, 2010.</w:t>
      </w:r>
    </w:p>
  </w:footnote>
  <w:footnote w:id="738">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lang w:val="en-US"/>
        </w:rPr>
        <w:t>Inserted by the Finance Act, 2008.</w:t>
      </w:r>
    </w:p>
  </w:footnote>
  <w:footnote w:id="739">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word “make” substituted by the Finance Act, 2010.</w:t>
      </w:r>
    </w:p>
  </w:footnote>
  <w:footnote w:id="740">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The words “six months from the date” substituted by the Finance Act, 2002.</w:t>
      </w:r>
    </w:p>
  </w:footnote>
  <w:footnote w:id="741">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lang w:val="en-US"/>
        </w:rPr>
        <w:t>Inserted by the Finance Act, 2008.</w:t>
      </w:r>
    </w:p>
  </w:footnote>
  <w:footnote w:id="742">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The full stop substituted by the Finance Act, 2005.</w:t>
      </w:r>
    </w:p>
  </w:footnote>
  <w:footnote w:id="743">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Inserted by the Finance Act, 2005.</w:t>
      </w:r>
    </w:p>
  </w:footnote>
  <w:footnote w:id="744">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words “setting aside the assessment” omitted by the Finance Act, 2010.</w:t>
      </w:r>
    </w:p>
  </w:footnote>
  <w:footnote w:id="745">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words “a Commissioner (Appeals)” omitted by the Finance Act, 2010.</w:t>
      </w:r>
    </w:p>
  </w:footnote>
  <w:footnote w:id="746">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Added by the Finance Act, 2003.</w:t>
      </w:r>
    </w:p>
  </w:footnote>
  <w:footnote w:id="747">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Inserted by the Finance Act, 2002.</w:t>
      </w:r>
    </w:p>
  </w:footnote>
  <w:footnote w:id="748">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The word “notice” substituted by the Finance Act, 2003.</w:t>
      </w:r>
    </w:p>
  </w:footnote>
  <w:footnote w:id="749">
    <w:p w:rsidR="00BF2117" w:rsidRPr="00652764" w:rsidRDefault="00BF2117" w:rsidP="008A6EB0">
      <w:pPr>
        <w:pStyle w:val="FootnoteText"/>
        <w:keepNext/>
        <w:ind w:left="180" w:hanging="360"/>
        <w:jc w:val="both"/>
        <w:rPr>
          <w:sz w:val="16"/>
          <w:szCs w:val="16"/>
        </w:rPr>
      </w:pPr>
      <w:r w:rsidRPr="00652764">
        <w:rPr>
          <w:rStyle w:val="FootnoteReference"/>
          <w:rFonts w:cs="Arial"/>
          <w:sz w:val="16"/>
          <w:szCs w:val="16"/>
        </w:rPr>
        <w:footnoteRef/>
      </w:r>
      <w:r w:rsidRPr="00652764">
        <w:rPr>
          <w:sz w:val="16"/>
          <w:szCs w:val="16"/>
        </w:rPr>
        <w:t xml:space="preserve"> Sub-section (1) substituted by the Finance Act, 2002. The substituted sub-section (1) read as follows:</w:t>
      </w:r>
    </w:p>
    <w:p w:rsidR="00BF2117" w:rsidRPr="00652764" w:rsidRDefault="00BF2117" w:rsidP="008A6EB0">
      <w:pPr>
        <w:ind w:left="180" w:firstLine="540"/>
        <w:jc w:val="both"/>
        <w:rPr>
          <w:rFonts w:cs="Arial"/>
          <w:sz w:val="16"/>
          <w:szCs w:val="16"/>
        </w:rPr>
      </w:pPr>
      <w:r w:rsidRPr="00652764">
        <w:rPr>
          <w:rFonts w:cs="Arial"/>
          <w:sz w:val="16"/>
          <w:szCs w:val="16"/>
        </w:rPr>
        <w:t>“(1)</w:t>
      </w:r>
      <w:r w:rsidRPr="00652764">
        <w:rPr>
          <w:rFonts w:cs="Arial"/>
          <w:sz w:val="16"/>
          <w:szCs w:val="16"/>
        </w:rPr>
        <w:tab/>
        <w:t xml:space="preserve">Any person dissatisfied with any proceeding under this Ordinance in which an order has been issued by a Commissioner of Income Tax (other than the Commissioner (Appeals)) or a taxation officer may prefer an appeal to the Commissioner (Appeals) against the order.” </w:t>
      </w:r>
    </w:p>
  </w:footnote>
  <w:footnote w:id="750">
    <w:p w:rsidR="00BF2117" w:rsidRPr="00F53D60" w:rsidRDefault="00BF2117" w:rsidP="003C71F2">
      <w:pPr>
        <w:pStyle w:val="FootnoteText"/>
        <w:ind w:left="547" w:hanging="547"/>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The words “Taxation officer” substituted by the Finance Act, 2014.</w:t>
      </w:r>
    </w:p>
  </w:footnote>
  <w:footnote w:id="751">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Inserted by the Finance Act, 2004.</w:t>
      </w:r>
    </w:p>
  </w:footnote>
  <w:footnote w:id="752">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figures and commas “183, 184, 185, 186, 187, 188 and 189” omitted by the Finance Act, 2010.</w:t>
      </w:r>
    </w:p>
  </w:footnote>
  <w:footnote w:id="753">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word and figure “or 189” substituted by the Finance Act, 2009.</w:t>
      </w:r>
    </w:p>
  </w:footnote>
  <w:footnote w:id="754">
    <w:p w:rsidR="00BF2117" w:rsidRPr="00652764" w:rsidRDefault="00BF2117">
      <w:pPr>
        <w:pStyle w:val="FootnoteText"/>
        <w:rPr>
          <w:sz w:val="16"/>
          <w:szCs w:val="16"/>
        </w:rPr>
      </w:pPr>
      <w:r w:rsidRPr="00652764">
        <w:rPr>
          <w:rStyle w:val="FootnoteReference"/>
          <w:rFonts w:cs="Arial"/>
          <w:sz w:val="16"/>
          <w:szCs w:val="16"/>
        </w:rPr>
        <w:footnoteRef/>
      </w:r>
      <w:r w:rsidRPr="00652764">
        <w:rPr>
          <w:sz w:val="16"/>
          <w:szCs w:val="16"/>
        </w:rPr>
        <w:t xml:space="preserve"> The word “treating” substituted by the Finance Act, 2003</w:t>
      </w:r>
    </w:p>
  </w:footnote>
  <w:footnote w:id="755">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Inserted by the Finance Act, 2011.</w:t>
      </w:r>
    </w:p>
  </w:footnote>
  <w:footnote w:id="756">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rPr>
        <w:t xml:space="preserve"> The words “a provisional” substituted by the Finance Act, 2012.</w:t>
      </w:r>
    </w:p>
  </w:footnote>
  <w:footnote w:id="757">
    <w:p w:rsidR="00BF2117" w:rsidRPr="00652764" w:rsidRDefault="00BF2117" w:rsidP="008A6EB0">
      <w:pPr>
        <w:keepNext/>
        <w:ind w:left="90" w:hanging="90"/>
        <w:jc w:val="both"/>
        <w:rPr>
          <w:sz w:val="16"/>
          <w:szCs w:val="16"/>
        </w:rPr>
      </w:pPr>
      <w:r w:rsidRPr="00652764">
        <w:rPr>
          <w:rStyle w:val="FootnoteReference"/>
          <w:rFonts w:cs="Arial"/>
          <w:sz w:val="16"/>
          <w:szCs w:val="16"/>
        </w:rPr>
        <w:footnoteRef/>
      </w:r>
      <w:r w:rsidRPr="00652764">
        <w:rPr>
          <w:sz w:val="16"/>
          <w:szCs w:val="16"/>
        </w:rPr>
        <w:t xml:space="preserve"> Sub-section (2) substituted by the Finance Ordinance, 2002. The substituted sub-section (2) read as follows: </w:t>
      </w:r>
    </w:p>
    <w:p w:rsidR="00BF2117" w:rsidRPr="00652764" w:rsidRDefault="00BF2117" w:rsidP="008A6EB0">
      <w:pPr>
        <w:keepNext/>
        <w:ind w:left="180" w:hanging="180"/>
        <w:jc w:val="both"/>
        <w:rPr>
          <w:rFonts w:cs="Arial"/>
          <w:sz w:val="16"/>
          <w:szCs w:val="16"/>
        </w:rPr>
      </w:pPr>
      <w:r w:rsidRPr="00652764">
        <w:rPr>
          <w:sz w:val="16"/>
          <w:szCs w:val="16"/>
        </w:rPr>
        <w:tab/>
        <w:t xml:space="preserve">“No appeal may be made by a taxpayer against an assessment unless the amount of tax due under the assessment that is not in dispute and fifteen percent of the disputed tax has been paid by the taxpayer.” </w:t>
      </w:r>
      <w:r w:rsidRPr="00652764">
        <w:rPr>
          <w:rFonts w:cs="Arial"/>
          <w:sz w:val="16"/>
          <w:szCs w:val="16"/>
        </w:rPr>
        <w:tab/>
      </w:r>
    </w:p>
  </w:footnote>
  <w:footnote w:id="758">
    <w:p w:rsidR="00BF2117" w:rsidRPr="00652764" w:rsidRDefault="00BF2117">
      <w:pPr>
        <w:pStyle w:val="FootnoteText"/>
        <w:rPr>
          <w:sz w:val="16"/>
          <w:szCs w:val="16"/>
          <w:lang w:val="en-US"/>
        </w:rPr>
      </w:pPr>
      <w:r w:rsidRPr="00652764">
        <w:rPr>
          <w:rStyle w:val="FootnoteReference"/>
          <w:sz w:val="16"/>
          <w:szCs w:val="16"/>
        </w:rPr>
        <w:footnoteRef/>
      </w:r>
      <w:r w:rsidRPr="00652764">
        <w:rPr>
          <w:sz w:val="16"/>
          <w:szCs w:val="16"/>
          <w:lang w:val="en-US"/>
        </w:rPr>
        <w:t>Clause (b) substituted by the Finance Act, 2004. The substituted clause (b)  read as under:-</w:t>
      </w:r>
    </w:p>
    <w:p w:rsidR="00BF2117" w:rsidRPr="000928AA" w:rsidRDefault="00BF2117" w:rsidP="000928AA">
      <w:pPr>
        <w:keepNext/>
        <w:jc w:val="both"/>
        <w:rPr>
          <w:sz w:val="16"/>
        </w:rPr>
      </w:pPr>
      <w:r>
        <w:rPr>
          <w:sz w:val="16"/>
        </w:rPr>
        <w:t xml:space="preserve">“(b) </w:t>
      </w:r>
      <w:r w:rsidRPr="000928AA">
        <w:rPr>
          <w:sz w:val="16"/>
        </w:rPr>
        <w:t>an amount equal to-</w:t>
      </w:r>
    </w:p>
    <w:p w:rsidR="00BF2117" w:rsidRDefault="00BF2117" w:rsidP="004B20DC">
      <w:pPr>
        <w:pStyle w:val="ListParagraph"/>
        <w:keepNext/>
        <w:numPr>
          <w:ilvl w:val="0"/>
          <w:numId w:val="51"/>
        </w:numPr>
        <w:jc w:val="both"/>
        <w:rPr>
          <w:sz w:val="16"/>
        </w:rPr>
      </w:pPr>
      <w:r w:rsidRPr="000928AA">
        <w:rPr>
          <w:sz w:val="16"/>
        </w:rPr>
        <w:t xml:space="preserve">fifteen per cent of the amount of tax assessed as is in excess of the tax due under sub-section (1) of section 137, or </w:t>
      </w:r>
    </w:p>
    <w:p w:rsidR="00BF2117" w:rsidRPr="00DD469A" w:rsidRDefault="00BF2117" w:rsidP="004B20DC">
      <w:pPr>
        <w:pStyle w:val="ListParagraph"/>
        <w:keepNext/>
        <w:numPr>
          <w:ilvl w:val="0"/>
          <w:numId w:val="52"/>
        </w:numPr>
        <w:ind w:left="1440" w:hanging="346"/>
        <w:jc w:val="both"/>
        <w:rPr>
          <w:sz w:val="16"/>
          <w:szCs w:val="16"/>
          <w:lang w:val="en-US"/>
        </w:rPr>
      </w:pPr>
      <w:r w:rsidRPr="00DD469A">
        <w:rPr>
          <w:sz w:val="16"/>
        </w:rPr>
        <w:t xml:space="preserve">twenty per cent of the amount of tax assessed for the immediately preceding tax year, and where a person has not been assessed to tax for that tax year, thirty per cent of the amount of tax mentioned in clause (a), </w:t>
      </w:r>
      <w:r w:rsidRPr="00DD469A">
        <w:rPr>
          <w:rFonts w:cs="Arial"/>
          <w:sz w:val="16"/>
        </w:rPr>
        <w:t>whichever is less.”</w:t>
      </w:r>
    </w:p>
  </w:footnote>
  <w:footnote w:id="759">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lang w:val="en-US"/>
        </w:rPr>
        <w:t>The word “again” substituted by the Finance Act, 2014.</w:t>
      </w:r>
    </w:p>
  </w:footnote>
  <w:footnote w:id="760">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The word “is” substituted by the Finance Act, 2002</w:t>
      </w:r>
    </w:p>
  </w:footnote>
  <w:footnote w:id="761">
    <w:p w:rsidR="00BF2117" w:rsidRPr="009C505A" w:rsidRDefault="00BF2117" w:rsidP="00FD347F">
      <w:pPr>
        <w:pStyle w:val="FootnoteText"/>
        <w:ind w:left="180" w:hanging="180"/>
        <w:rPr>
          <w:sz w:val="16"/>
          <w:szCs w:val="16"/>
          <w:lang w:val="en-US"/>
        </w:rPr>
      </w:pPr>
      <w:r w:rsidRPr="009C505A">
        <w:rPr>
          <w:rStyle w:val="FootnoteReference"/>
          <w:sz w:val="16"/>
          <w:szCs w:val="16"/>
        </w:rPr>
        <w:footnoteRef/>
      </w:r>
      <w:r w:rsidRPr="009C505A">
        <w:rPr>
          <w:sz w:val="16"/>
          <w:szCs w:val="16"/>
        </w:rPr>
        <w:t xml:space="preserve"> The words “the lesser of one thousand rupees or ten per cent of the tax assessed” substituted by the Finance Act, 2009.</w:t>
      </w:r>
    </w:p>
  </w:footnote>
  <w:footnote w:id="762">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The words “or ten </w:t>
      </w:r>
      <w:r w:rsidRPr="009C505A">
        <w:rPr>
          <w:i/>
          <w:sz w:val="16"/>
          <w:szCs w:val="16"/>
        </w:rPr>
        <w:t>per cent</w:t>
      </w:r>
      <w:r w:rsidRPr="009C505A">
        <w:rPr>
          <w:sz w:val="16"/>
          <w:szCs w:val="16"/>
        </w:rPr>
        <w:t xml:space="preserve"> of the tax assessed” omitted by the Finance Act, 2010.</w:t>
      </w:r>
    </w:p>
  </w:footnote>
  <w:footnote w:id="763">
    <w:p w:rsidR="00BF2117" w:rsidRPr="009C505A" w:rsidRDefault="00BF2117">
      <w:pPr>
        <w:keepNext/>
        <w:ind w:left="720" w:hanging="720"/>
        <w:jc w:val="both"/>
        <w:rPr>
          <w:sz w:val="16"/>
          <w:szCs w:val="16"/>
        </w:rPr>
      </w:pPr>
      <w:r w:rsidRPr="009C505A">
        <w:rPr>
          <w:rStyle w:val="FootnoteReference"/>
          <w:rFonts w:cs="Arial"/>
          <w:sz w:val="16"/>
          <w:szCs w:val="16"/>
        </w:rPr>
        <w:footnoteRef/>
      </w:r>
      <w:r w:rsidRPr="009C505A">
        <w:rPr>
          <w:sz w:val="16"/>
          <w:szCs w:val="16"/>
        </w:rPr>
        <w:t xml:space="preserve"> Sub-section (5) substituted by the Finance Act, 2002. The substituted sub-section (5) read as follows: “</w:t>
      </w:r>
    </w:p>
    <w:p w:rsidR="00BF2117" w:rsidRPr="009C505A" w:rsidRDefault="00BF2117">
      <w:pPr>
        <w:keepNext/>
        <w:ind w:firstLine="547"/>
        <w:jc w:val="both"/>
        <w:rPr>
          <w:rFonts w:cs="Arial"/>
          <w:sz w:val="16"/>
          <w:szCs w:val="16"/>
        </w:rPr>
      </w:pPr>
      <w:r w:rsidRPr="009C505A">
        <w:rPr>
          <w:rFonts w:cs="Arial"/>
          <w:sz w:val="16"/>
          <w:szCs w:val="16"/>
        </w:rPr>
        <w:t xml:space="preserve">“(5)  </w:t>
      </w:r>
      <w:r w:rsidRPr="009C505A">
        <w:rPr>
          <w:rFonts w:cs="Arial"/>
          <w:sz w:val="16"/>
          <w:szCs w:val="16"/>
        </w:rPr>
        <w:tab/>
        <w:t>An appeal shall be lodged with the Commissioner (Appeals) –</w:t>
      </w:r>
    </w:p>
    <w:p w:rsidR="00BF2117" w:rsidRPr="009C505A" w:rsidRDefault="00BF2117">
      <w:pPr>
        <w:pStyle w:val="BodyTextIndent"/>
        <w:keepNext/>
        <w:ind w:left="1635" w:hanging="555"/>
        <w:jc w:val="both"/>
        <w:rPr>
          <w:rFonts w:cs="Arial"/>
          <w:sz w:val="16"/>
          <w:szCs w:val="16"/>
        </w:rPr>
      </w:pPr>
      <w:r w:rsidRPr="009C505A">
        <w:rPr>
          <w:rFonts w:cs="Arial"/>
          <w:sz w:val="16"/>
          <w:szCs w:val="16"/>
        </w:rPr>
        <w:t>(a)</w:t>
      </w:r>
      <w:r w:rsidRPr="009C505A">
        <w:rPr>
          <w:rFonts w:cs="Arial"/>
          <w:sz w:val="16"/>
          <w:szCs w:val="16"/>
        </w:rPr>
        <w:tab/>
        <w:t>where the appeal relates to an assessment order, within thirty days of the date of service of the demand relating to the assessment; or</w:t>
      </w:r>
    </w:p>
    <w:p w:rsidR="00BF2117" w:rsidRPr="00412620" w:rsidRDefault="00BF2117">
      <w:pPr>
        <w:pStyle w:val="BodyTextIndent"/>
        <w:ind w:left="1635" w:hanging="555"/>
        <w:jc w:val="both"/>
        <w:rPr>
          <w:rFonts w:cs="Arial"/>
          <w:sz w:val="16"/>
        </w:rPr>
      </w:pPr>
      <w:r w:rsidRPr="009C505A">
        <w:rPr>
          <w:rFonts w:cs="Arial"/>
          <w:sz w:val="16"/>
          <w:szCs w:val="16"/>
        </w:rPr>
        <w:t>(b)</w:t>
      </w:r>
      <w:r w:rsidRPr="009C505A">
        <w:rPr>
          <w:rFonts w:cs="Arial"/>
          <w:sz w:val="16"/>
          <w:szCs w:val="16"/>
        </w:rPr>
        <w:tab/>
        <w:t>in any other case, within thirty days of the date of service of the notice of the decision or determination appealed against.”</w:t>
      </w:r>
    </w:p>
  </w:footnote>
  <w:footnote w:id="764">
    <w:p w:rsidR="00BF2117" w:rsidRPr="00412620" w:rsidRDefault="00BF2117">
      <w:pPr>
        <w:pStyle w:val="FootnoteText"/>
        <w:rPr>
          <w:lang w:val="en-US"/>
        </w:rPr>
      </w:pPr>
      <w:r w:rsidRPr="00412620">
        <w:rPr>
          <w:rStyle w:val="FootnoteReference"/>
        </w:rPr>
        <w:footnoteRef/>
      </w:r>
      <w:r w:rsidRPr="00412620">
        <w:rPr>
          <w:sz w:val="16"/>
        </w:rPr>
        <w:t>Inserted by the Finance Act, 2012.</w:t>
      </w:r>
    </w:p>
  </w:footnote>
  <w:footnote w:id="765">
    <w:p w:rsidR="00BF2117" w:rsidRPr="00777E2E" w:rsidRDefault="00BF2117">
      <w:pPr>
        <w:pStyle w:val="FootnoteText"/>
        <w:rPr>
          <w:lang w:val="en-US"/>
        </w:rPr>
      </w:pPr>
      <w:r>
        <w:rPr>
          <w:rStyle w:val="FootnoteReference"/>
        </w:rPr>
        <w:footnoteRef/>
      </w:r>
      <w:r w:rsidRPr="00412620">
        <w:rPr>
          <w:sz w:val="16"/>
        </w:rPr>
        <w:t>Inserted by the Finance Act, 201</w:t>
      </w:r>
      <w:r>
        <w:rPr>
          <w:sz w:val="16"/>
        </w:rPr>
        <w:t>5</w:t>
      </w:r>
    </w:p>
  </w:footnote>
  <w:footnote w:id="766">
    <w:p w:rsidR="00BF2117" w:rsidRPr="009C505A" w:rsidRDefault="00BF2117">
      <w:pPr>
        <w:pStyle w:val="FootnoteText"/>
        <w:keepNext/>
        <w:rPr>
          <w:sz w:val="16"/>
          <w:szCs w:val="16"/>
        </w:rPr>
      </w:pPr>
      <w:r w:rsidRPr="009C505A">
        <w:rPr>
          <w:rStyle w:val="FootnoteReference"/>
          <w:rFonts w:cs="Arial"/>
          <w:sz w:val="16"/>
          <w:szCs w:val="16"/>
        </w:rPr>
        <w:footnoteRef/>
      </w:r>
      <w:r w:rsidRPr="009C505A">
        <w:rPr>
          <w:sz w:val="16"/>
          <w:szCs w:val="16"/>
        </w:rPr>
        <w:t xml:space="preserve"> Clause (a) substituted by the Finance Act, 2005. The original clause (a) read as follows: </w:t>
      </w:r>
    </w:p>
    <w:p w:rsidR="00BF2117" w:rsidRPr="009C505A" w:rsidRDefault="00BF2117">
      <w:pPr>
        <w:keepNext/>
        <w:ind w:left="540" w:hanging="360"/>
        <w:jc w:val="both"/>
        <w:rPr>
          <w:rFonts w:cs="Arial"/>
          <w:sz w:val="16"/>
          <w:szCs w:val="16"/>
        </w:rPr>
      </w:pPr>
      <w:r w:rsidRPr="009C505A">
        <w:rPr>
          <w:rFonts w:cs="Arial"/>
          <w:sz w:val="16"/>
          <w:szCs w:val="16"/>
        </w:rPr>
        <w:t xml:space="preserve"> (a)</w:t>
      </w:r>
      <w:r w:rsidRPr="009C505A">
        <w:rPr>
          <w:rFonts w:cs="Arial"/>
          <w:sz w:val="16"/>
          <w:szCs w:val="16"/>
        </w:rPr>
        <w:tab/>
        <w:t>in the case of an appeal against an assessment order –</w:t>
      </w:r>
    </w:p>
    <w:p w:rsidR="00BF2117" w:rsidRPr="009C505A" w:rsidRDefault="00BF2117">
      <w:pPr>
        <w:keepNext/>
        <w:ind w:left="900" w:hanging="360"/>
        <w:jc w:val="both"/>
        <w:rPr>
          <w:rFonts w:cs="Arial"/>
          <w:sz w:val="16"/>
          <w:szCs w:val="16"/>
        </w:rPr>
      </w:pPr>
      <w:r w:rsidRPr="009C505A">
        <w:rPr>
          <w:rFonts w:cs="Arial"/>
          <w:sz w:val="16"/>
          <w:szCs w:val="16"/>
        </w:rPr>
        <w:t>(i)</w:t>
      </w:r>
      <w:r w:rsidRPr="009C505A">
        <w:rPr>
          <w:rFonts w:cs="Arial"/>
          <w:sz w:val="16"/>
          <w:szCs w:val="16"/>
        </w:rPr>
        <w:tab/>
        <w:t>make an order to set aside the assessment order and direct the Commissioner to make a new assessment order in accordance with any directions or recommendations of the Commissioner (Appeals); or</w:t>
      </w:r>
    </w:p>
    <w:p w:rsidR="00BF2117" w:rsidRPr="009C505A" w:rsidRDefault="00BF2117">
      <w:pPr>
        <w:ind w:left="900" w:hanging="360"/>
        <w:jc w:val="both"/>
        <w:rPr>
          <w:sz w:val="16"/>
          <w:szCs w:val="16"/>
        </w:rPr>
      </w:pPr>
      <w:r w:rsidRPr="009C505A">
        <w:rPr>
          <w:rFonts w:cs="Arial"/>
          <w:sz w:val="16"/>
          <w:szCs w:val="16"/>
        </w:rPr>
        <w:t>(ii)</w:t>
      </w:r>
      <w:r w:rsidRPr="009C505A">
        <w:rPr>
          <w:rFonts w:cs="Arial"/>
          <w:sz w:val="16"/>
          <w:szCs w:val="16"/>
        </w:rPr>
        <w:tab/>
        <w:t>make an order to confirm, modify or annul the assessment order; or</w:t>
      </w:r>
    </w:p>
  </w:footnote>
  <w:footnote w:id="767">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The words  “notice of” omitted by the Finance Act, 2002</w:t>
      </w:r>
    </w:p>
  </w:footnote>
  <w:footnote w:id="768">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Full stop substituted by the Finance Act, 2009.</w:t>
      </w:r>
    </w:p>
  </w:footnote>
  <w:footnote w:id="769">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Inserted by the Finance Act, 2009.</w:t>
      </w:r>
    </w:p>
  </w:footnote>
  <w:footnote w:id="770">
    <w:p w:rsidR="00BF2117" w:rsidRPr="009C505A" w:rsidRDefault="00BF2117">
      <w:pPr>
        <w:pStyle w:val="FootnoteText"/>
        <w:rPr>
          <w:sz w:val="16"/>
          <w:szCs w:val="16"/>
        </w:rPr>
      </w:pPr>
      <w:r w:rsidRPr="009C505A">
        <w:rPr>
          <w:rStyle w:val="FootnoteReference"/>
          <w:sz w:val="16"/>
          <w:szCs w:val="16"/>
        </w:rPr>
        <w:footnoteRef/>
      </w:r>
      <w:r w:rsidRPr="009C505A">
        <w:rPr>
          <w:sz w:val="16"/>
          <w:szCs w:val="16"/>
        </w:rPr>
        <w:t xml:space="preserve"> Sub-section (5) omitted by the Finance Act, 2012. The omitted sub-section (5) read as follows:</w:t>
      </w:r>
    </w:p>
    <w:p w:rsidR="00BF2117" w:rsidRPr="009C505A" w:rsidRDefault="00BF2117" w:rsidP="006E1FE6">
      <w:pPr>
        <w:ind w:left="180" w:firstLine="547"/>
        <w:jc w:val="both"/>
        <w:rPr>
          <w:rFonts w:cs="Arial"/>
          <w:sz w:val="16"/>
          <w:szCs w:val="16"/>
        </w:rPr>
      </w:pPr>
      <w:r w:rsidRPr="009C505A">
        <w:rPr>
          <w:sz w:val="16"/>
          <w:szCs w:val="16"/>
        </w:rPr>
        <w:t>“(5)</w:t>
      </w:r>
      <w:r w:rsidRPr="009C505A">
        <w:rPr>
          <w:sz w:val="16"/>
          <w:szCs w:val="16"/>
        </w:rPr>
        <w:tab/>
        <w:t xml:space="preserve">Where the Commissioner (Appeals) has not made an order on an appeal before the expiration of </w:t>
      </w:r>
      <w:r w:rsidRPr="009C505A">
        <w:rPr>
          <w:rStyle w:val="FootnoteReference"/>
          <w:rFonts w:cs="Arial"/>
          <w:sz w:val="16"/>
          <w:szCs w:val="16"/>
        </w:rPr>
        <w:footnoteRef/>
      </w:r>
      <w:r w:rsidRPr="009C505A">
        <w:rPr>
          <w:sz w:val="16"/>
          <w:szCs w:val="16"/>
        </w:rPr>
        <w:t>[four] months from the end of the month in which the appeal was</w:t>
      </w:r>
      <w:r w:rsidRPr="00412620">
        <w:rPr>
          <w:sz w:val="16"/>
          <w:szCs w:val="16"/>
        </w:rPr>
        <w:t xml:space="preserve"> lodged, the relief </w:t>
      </w:r>
      <w:r w:rsidRPr="009C505A">
        <w:rPr>
          <w:sz w:val="16"/>
          <w:szCs w:val="16"/>
        </w:rPr>
        <w:t>sought by the appellant in the appeal shall be treated as having been given and all the provisions of this Ordinance shall have effect accordingly.</w:t>
      </w:r>
    </w:p>
  </w:footnote>
  <w:footnote w:id="771">
    <w:p w:rsidR="00BF2117" w:rsidRPr="009C505A" w:rsidRDefault="00BF2117" w:rsidP="006C5F88">
      <w:pPr>
        <w:pStyle w:val="FootnoteText"/>
        <w:rPr>
          <w:sz w:val="16"/>
          <w:szCs w:val="16"/>
        </w:rPr>
      </w:pPr>
      <w:r w:rsidRPr="009C505A">
        <w:rPr>
          <w:rStyle w:val="FootnoteReference"/>
          <w:sz w:val="16"/>
          <w:szCs w:val="16"/>
        </w:rPr>
        <w:footnoteRef/>
      </w:r>
      <w:r w:rsidRPr="009C505A">
        <w:rPr>
          <w:sz w:val="16"/>
          <w:szCs w:val="16"/>
        </w:rPr>
        <w:t xml:space="preserve"> Sub-section (6) omitted by the Finance Act, 2012. The omitted sub-section (6) read as follows:</w:t>
      </w:r>
    </w:p>
    <w:p w:rsidR="00BF2117" w:rsidRPr="009C505A" w:rsidRDefault="00BF2117" w:rsidP="006C5F88">
      <w:pPr>
        <w:ind w:left="180" w:firstLine="367"/>
        <w:jc w:val="both"/>
        <w:rPr>
          <w:rFonts w:cs="Arial"/>
          <w:sz w:val="16"/>
          <w:szCs w:val="16"/>
        </w:rPr>
      </w:pPr>
      <w:r w:rsidRPr="009C505A">
        <w:rPr>
          <w:sz w:val="16"/>
          <w:szCs w:val="16"/>
          <w:lang w:val="en-US"/>
        </w:rPr>
        <w:t>“</w:t>
      </w:r>
      <w:r w:rsidRPr="009C505A">
        <w:rPr>
          <w:sz w:val="16"/>
          <w:szCs w:val="16"/>
        </w:rPr>
        <w:t>(6)</w:t>
      </w:r>
      <w:r w:rsidRPr="009C505A">
        <w:rPr>
          <w:sz w:val="16"/>
          <w:szCs w:val="16"/>
        </w:rPr>
        <w:tab/>
        <w:t>For the purposes of sub-section (5), any period during which the hearing of an appeal is adjourned on the request of the appellant shall be excluded in the computation of the period of four months referred to in that sub-section.”</w:t>
      </w:r>
    </w:p>
  </w:footnote>
  <w:footnote w:id="772">
    <w:p w:rsidR="00BF2117" w:rsidRPr="009C505A" w:rsidRDefault="00BF2117" w:rsidP="004E3FB1">
      <w:pPr>
        <w:pStyle w:val="FootnoteText"/>
        <w:rPr>
          <w:sz w:val="16"/>
          <w:szCs w:val="16"/>
        </w:rPr>
      </w:pPr>
      <w:r w:rsidRPr="009C505A">
        <w:rPr>
          <w:rStyle w:val="FootnoteReference"/>
          <w:sz w:val="16"/>
          <w:szCs w:val="16"/>
        </w:rPr>
        <w:footnoteRef/>
      </w:r>
      <w:r w:rsidRPr="009C505A">
        <w:rPr>
          <w:sz w:val="16"/>
          <w:szCs w:val="16"/>
        </w:rPr>
        <w:t xml:space="preserve"> Sub-section (7) omitted by the Finance Act, 2012. The omitted sub-section (7) read as follows:</w:t>
      </w:r>
    </w:p>
    <w:p w:rsidR="00BF2117" w:rsidRPr="009C505A" w:rsidRDefault="00BF2117" w:rsidP="00690443">
      <w:pPr>
        <w:ind w:left="180" w:firstLine="367"/>
        <w:jc w:val="both"/>
        <w:rPr>
          <w:sz w:val="16"/>
          <w:szCs w:val="16"/>
          <w:lang w:val="en-US"/>
        </w:rPr>
      </w:pPr>
      <w:r w:rsidRPr="009C505A">
        <w:rPr>
          <w:sz w:val="16"/>
          <w:szCs w:val="16"/>
        </w:rPr>
        <w:t>“(7)</w:t>
      </w:r>
      <w:r w:rsidRPr="009C505A">
        <w:rPr>
          <w:sz w:val="16"/>
          <w:szCs w:val="16"/>
        </w:rPr>
        <w:tab/>
        <w:t>The provisions of sub-section (5) shall not apply unless a notice by the appellant stating that no order under sub-section (1) has been made is personally served by the appellant on the Commissioner (Appeals) not less than thirty days before the expiration of the period of four months.”</w:t>
      </w:r>
    </w:p>
  </w:footnote>
  <w:footnote w:id="773">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The word “or” omitted by the Finance Act, 2013.</w:t>
      </w:r>
    </w:p>
  </w:footnote>
  <w:footnote w:id="774">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Full stop substituted by the Finance Act, 2013.</w:t>
      </w:r>
    </w:p>
  </w:footnote>
  <w:footnote w:id="775">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Added by the Finance Act, 2013. </w:t>
      </w:r>
    </w:p>
  </w:footnote>
  <w:footnote w:id="776">
    <w:p w:rsidR="00BF2117" w:rsidRPr="009C505A" w:rsidRDefault="00BF2117" w:rsidP="00F31C93">
      <w:pPr>
        <w:pStyle w:val="FootnoteText"/>
        <w:ind w:left="180" w:hanging="180"/>
        <w:jc w:val="both"/>
        <w:rPr>
          <w:sz w:val="16"/>
          <w:szCs w:val="16"/>
        </w:rPr>
      </w:pPr>
      <w:r w:rsidRPr="009C505A">
        <w:rPr>
          <w:rStyle w:val="FootnoteReference"/>
          <w:sz w:val="16"/>
          <w:szCs w:val="16"/>
        </w:rPr>
        <w:footnoteRef/>
      </w:r>
      <w:r w:rsidRPr="009C505A">
        <w:rPr>
          <w:sz w:val="16"/>
          <w:szCs w:val="16"/>
        </w:rPr>
        <w:t xml:space="preserve">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The substituted sub-section (4) read as follows:</w:t>
      </w:r>
    </w:p>
    <w:p w:rsidR="00BF2117" w:rsidRPr="00412620" w:rsidRDefault="00BF2117" w:rsidP="00352B2F">
      <w:pPr>
        <w:pStyle w:val="FootnoteText"/>
        <w:ind w:left="180" w:firstLine="367"/>
        <w:jc w:val="both"/>
        <w:rPr>
          <w:sz w:val="16"/>
          <w:szCs w:val="16"/>
          <w:lang w:val="en-US"/>
        </w:rPr>
      </w:pPr>
      <w:r w:rsidRPr="009C505A">
        <w:rPr>
          <w:sz w:val="16"/>
          <w:szCs w:val="16"/>
        </w:rPr>
        <w:t>“</w:t>
      </w:r>
      <w:r w:rsidRPr="009C505A">
        <w:rPr>
          <w:rFonts w:cs="Arial"/>
          <w:sz w:val="16"/>
          <w:szCs w:val="16"/>
        </w:rPr>
        <w:t xml:space="preserve">(4) </w:t>
      </w:r>
      <w:r w:rsidRPr="009C505A">
        <w:rPr>
          <w:rFonts w:cs="Arial"/>
          <w:sz w:val="16"/>
          <w:szCs w:val="16"/>
        </w:rPr>
        <w:tab/>
      </w:r>
      <w:r w:rsidRPr="009C505A">
        <w:rPr>
          <w:sz w:val="16"/>
          <w:szCs w:val="16"/>
        </w:rPr>
        <w:t>A person may be appointed as an accountant member of the Appellate Tribunal if the person is an officer of Inland Revenue equivalent in rank to that of a Regional Commissioner and</w:t>
      </w:r>
      <w:r w:rsidRPr="00412620">
        <w:rPr>
          <w:sz w:val="16"/>
          <w:szCs w:val="16"/>
        </w:rPr>
        <w:t xml:space="preserve"> the Commissioner of Inland Revenue or Commissioner of Inland Revenue (Appeals) having at least five years experience as Commissioner shall also be eligible for appointment.”</w:t>
      </w:r>
    </w:p>
  </w:footnote>
  <w:footnote w:id="777">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Inserted by the Finance Act, 2012</w:t>
      </w:r>
    </w:p>
  </w:footnote>
  <w:footnote w:id="778">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The word “or” omitted by the Finance Act, 2013. </w:t>
      </w:r>
    </w:p>
  </w:footnote>
  <w:footnote w:id="779">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The word “five” substituted by the Finance Act, 2012.</w:t>
      </w:r>
    </w:p>
  </w:footnote>
  <w:footnote w:id="780">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Full stop substituted by the Finance Act, 2013.</w:t>
      </w:r>
    </w:p>
  </w:footnote>
  <w:footnote w:id="781">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The word “or” omitted by the Finance Act, 2014.</w:t>
      </w:r>
    </w:p>
  </w:footnote>
  <w:footnote w:id="782">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Added by the Finance Act, 2013.</w:t>
      </w:r>
    </w:p>
  </w:footnote>
  <w:footnote w:id="783">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Full stop is substituted by semi colon and the word “or” inserted by the Finance Act, 2014.</w:t>
      </w:r>
    </w:p>
  </w:footnote>
  <w:footnote w:id="784">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Clause (d) add</w:t>
      </w:r>
      <w:r w:rsidRPr="00F53D60">
        <w:rPr>
          <w:color w:val="000000" w:themeColor="text1"/>
          <w:sz w:val="16"/>
          <w:szCs w:val="16"/>
          <w:lang w:val="en-US"/>
        </w:rPr>
        <w:t>ed by the Finance Act, 2014</w:t>
      </w:r>
    </w:p>
  </w:footnote>
  <w:footnote w:id="785">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Inserted by the Finance Act, 2013.</w:t>
      </w:r>
    </w:p>
  </w:footnote>
  <w:footnote w:id="786">
    <w:p w:rsidR="00BF2117" w:rsidRPr="009C505A" w:rsidRDefault="00BF2117" w:rsidP="00F66059">
      <w:pPr>
        <w:pStyle w:val="FootnoteText"/>
        <w:ind w:left="180" w:hanging="180"/>
        <w:rPr>
          <w:sz w:val="16"/>
          <w:szCs w:val="16"/>
          <w:lang w:val="en-US"/>
        </w:rPr>
      </w:pPr>
      <w:r w:rsidRPr="009C505A">
        <w:rPr>
          <w:rStyle w:val="FootnoteReference"/>
          <w:sz w:val="16"/>
          <w:szCs w:val="16"/>
        </w:rPr>
        <w:footnoteRef/>
      </w:r>
      <w:r w:rsidRPr="009C505A">
        <w:rPr>
          <w:sz w:val="16"/>
          <w:szCs w:val="16"/>
        </w:rPr>
        <w:t xml:space="preserve"> The words and commas  “and, except in special circumstances, the person appointed should be a judicial member” omitted by the Finance Act, 2012.</w:t>
      </w:r>
    </w:p>
  </w:footnote>
  <w:footnote w:id="787">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Inserted by the Finance Act, 2009.</w:t>
      </w:r>
    </w:p>
  </w:footnote>
  <w:footnote w:id="788">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The word “Chairman” substituted by the Finance Act, 2011.</w:t>
      </w:r>
    </w:p>
  </w:footnote>
  <w:footnote w:id="789">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Inserted by the Finance Act, 2009.</w:t>
      </w:r>
    </w:p>
  </w:footnote>
  <w:footnote w:id="790">
    <w:p w:rsidR="00BF2117" w:rsidRPr="009C505A" w:rsidRDefault="00BF2117" w:rsidP="00CA2109">
      <w:pPr>
        <w:pStyle w:val="FootnoteText"/>
        <w:rPr>
          <w:sz w:val="16"/>
          <w:szCs w:val="16"/>
          <w:lang w:val="en-US"/>
        </w:rPr>
      </w:pPr>
      <w:r w:rsidRPr="009C505A">
        <w:rPr>
          <w:rStyle w:val="FootnoteReference"/>
          <w:sz w:val="16"/>
          <w:szCs w:val="16"/>
        </w:rPr>
        <w:footnoteRef/>
      </w:r>
      <w:r w:rsidRPr="009C505A">
        <w:rPr>
          <w:sz w:val="16"/>
          <w:szCs w:val="16"/>
        </w:rPr>
        <w:t xml:space="preserve"> The word “Chairman” substituted by the Finance Act, 2011.</w:t>
      </w:r>
    </w:p>
  </w:footnote>
  <w:footnote w:id="791">
    <w:p w:rsidR="00BF2117" w:rsidRPr="009C505A" w:rsidRDefault="00BF2117" w:rsidP="00CA2109">
      <w:pPr>
        <w:pStyle w:val="FootnoteText"/>
        <w:rPr>
          <w:sz w:val="16"/>
          <w:szCs w:val="16"/>
          <w:lang w:val="en-US"/>
        </w:rPr>
      </w:pPr>
      <w:r w:rsidRPr="009C505A">
        <w:rPr>
          <w:rStyle w:val="FootnoteReference"/>
          <w:sz w:val="16"/>
          <w:szCs w:val="16"/>
        </w:rPr>
        <w:footnoteRef/>
      </w:r>
      <w:r w:rsidRPr="009C505A">
        <w:rPr>
          <w:sz w:val="16"/>
          <w:szCs w:val="16"/>
        </w:rPr>
        <w:t xml:space="preserve"> The word “Chairman” substituted by the Finance Act, 2011.</w:t>
      </w:r>
    </w:p>
  </w:footnote>
  <w:footnote w:id="792">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The word “five” substituted by the Finance Act, 2011.</w:t>
      </w:r>
    </w:p>
  </w:footnote>
  <w:footnote w:id="793">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The word “majority” substituted by the Finance Act, 2002.</w:t>
      </w:r>
    </w:p>
  </w:footnote>
  <w:footnote w:id="794">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The word  “appellant” substituted by the Finance Act, 2002.</w:t>
      </w:r>
    </w:p>
  </w:footnote>
  <w:footnote w:id="79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“appellant” substituted by the Finance Act, 2002.</w:t>
      </w:r>
    </w:p>
  </w:footnote>
  <w:footnote w:id="796">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The word  “appellant” substituted by the Finance Act, 2002.</w:t>
      </w:r>
    </w:p>
  </w:footnote>
  <w:footnote w:id="797">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The word  “appellant” substituted by the Finance Act, 2002.</w:t>
      </w:r>
    </w:p>
  </w:footnote>
  <w:footnote w:id="798">
    <w:p w:rsidR="00BF2117" w:rsidRPr="009C505A" w:rsidRDefault="00BF2117" w:rsidP="00394E4E">
      <w:pPr>
        <w:pStyle w:val="FootnoteText"/>
        <w:ind w:left="180" w:hanging="180"/>
        <w:rPr>
          <w:sz w:val="16"/>
          <w:szCs w:val="16"/>
        </w:rPr>
      </w:pPr>
      <w:r w:rsidRPr="009C505A">
        <w:rPr>
          <w:rStyle w:val="FootnoteReference"/>
          <w:sz w:val="16"/>
          <w:szCs w:val="16"/>
        </w:rPr>
        <w:footnoteRef/>
      </w:r>
      <w:r w:rsidRPr="009C505A">
        <w:rPr>
          <w:sz w:val="16"/>
          <w:szCs w:val="16"/>
        </w:rPr>
        <w:t xml:space="preserve"> Sub-section (3) substituted by the Finance Act, 2009. The substituted sub-section (3) read as follows:</w:t>
      </w:r>
    </w:p>
    <w:p w:rsidR="00BF2117" w:rsidRPr="009C505A" w:rsidRDefault="00BF2117" w:rsidP="00894CDC">
      <w:pPr>
        <w:ind w:left="180"/>
        <w:jc w:val="both"/>
        <w:rPr>
          <w:rFonts w:cs="Arial"/>
          <w:sz w:val="16"/>
          <w:szCs w:val="16"/>
        </w:rPr>
      </w:pPr>
      <w:r w:rsidRPr="009C505A">
        <w:rPr>
          <w:sz w:val="16"/>
          <w:szCs w:val="16"/>
          <w:lang w:val="en-US"/>
        </w:rPr>
        <w:t>“</w:t>
      </w:r>
      <w:r w:rsidRPr="009C505A">
        <w:rPr>
          <w:rFonts w:cs="Arial"/>
          <w:sz w:val="16"/>
          <w:szCs w:val="16"/>
        </w:rPr>
        <w:t>(3)</w:t>
      </w:r>
      <w:r w:rsidRPr="009C505A">
        <w:rPr>
          <w:rFonts w:cs="Arial"/>
          <w:sz w:val="16"/>
          <w:szCs w:val="16"/>
        </w:rPr>
        <w:tab/>
        <w:t>The prescribed fee shall be–</w:t>
      </w:r>
    </w:p>
    <w:p w:rsidR="00BF2117" w:rsidRPr="009C505A" w:rsidRDefault="00BF2117" w:rsidP="009C505A">
      <w:pPr>
        <w:ind w:left="1620" w:hanging="540"/>
        <w:jc w:val="both"/>
        <w:rPr>
          <w:rFonts w:cs="Arial"/>
          <w:sz w:val="16"/>
          <w:szCs w:val="16"/>
        </w:rPr>
      </w:pPr>
      <w:r w:rsidRPr="009C505A">
        <w:rPr>
          <w:rFonts w:cs="Arial"/>
          <w:sz w:val="16"/>
          <w:szCs w:val="16"/>
        </w:rPr>
        <w:t>(a)</w:t>
      </w:r>
      <w:r w:rsidRPr="009C505A">
        <w:rPr>
          <w:rFonts w:cs="Arial"/>
          <w:sz w:val="16"/>
          <w:szCs w:val="16"/>
        </w:rPr>
        <w:tab/>
        <w:t>in the case of an appeal in relation to an assessment order, the lesser of two thousand five hundred rupees or ten per cent of the tax assessed; or</w:t>
      </w:r>
    </w:p>
    <w:p w:rsidR="00BF2117" w:rsidRPr="009C505A" w:rsidRDefault="00BF2117" w:rsidP="00894CDC">
      <w:pPr>
        <w:ind w:left="1620" w:hanging="540"/>
        <w:jc w:val="both"/>
        <w:rPr>
          <w:rFonts w:cs="Arial"/>
          <w:sz w:val="16"/>
          <w:szCs w:val="16"/>
        </w:rPr>
      </w:pPr>
      <w:r w:rsidRPr="009C505A">
        <w:rPr>
          <w:rFonts w:cs="Arial"/>
          <w:sz w:val="16"/>
          <w:szCs w:val="16"/>
        </w:rPr>
        <w:t>(b)</w:t>
      </w:r>
      <w:r w:rsidRPr="009C505A">
        <w:rPr>
          <w:rFonts w:cs="Arial"/>
          <w:sz w:val="16"/>
          <w:szCs w:val="16"/>
        </w:rPr>
        <w:tab/>
        <w:t>in any other case –</w:t>
      </w:r>
    </w:p>
    <w:p w:rsidR="00BF2117" w:rsidRPr="009C505A" w:rsidRDefault="00BF2117" w:rsidP="00894CDC">
      <w:pPr>
        <w:ind w:left="2160" w:hanging="540"/>
        <w:jc w:val="both"/>
        <w:rPr>
          <w:rFonts w:cs="Arial"/>
          <w:sz w:val="16"/>
          <w:szCs w:val="16"/>
        </w:rPr>
      </w:pPr>
      <w:r w:rsidRPr="009C505A">
        <w:rPr>
          <w:rFonts w:cs="Arial"/>
          <w:sz w:val="16"/>
          <w:szCs w:val="16"/>
        </w:rPr>
        <w:t xml:space="preserve"> (i)</w:t>
      </w:r>
      <w:r w:rsidRPr="009C505A">
        <w:rPr>
          <w:rFonts w:cs="Arial"/>
          <w:sz w:val="16"/>
          <w:szCs w:val="16"/>
        </w:rPr>
        <w:tab/>
        <w:t>where the appellant is a company, two thousand rupees; or</w:t>
      </w:r>
    </w:p>
    <w:p w:rsidR="00BF2117" w:rsidRPr="009C505A" w:rsidRDefault="00BF2117" w:rsidP="00894CDC">
      <w:pPr>
        <w:pStyle w:val="FootnoteText"/>
        <w:ind w:left="1246" w:firstLine="374"/>
        <w:rPr>
          <w:sz w:val="16"/>
          <w:szCs w:val="16"/>
          <w:lang w:val="en-US"/>
        </w:rPr>
      </w:pPr>
      <w:r w:rsidRPr="009C505A">
        <w:rPr>
          <w:rFonts w:cs="Arial"/>
          <w:sz w:val="16"/>
          <w:szCs w:val="16"/>
        </w:rPr>
        <w:t>(ii)</w:t>
      </w:r>
      <w:r w:rsidRPr="009C505A">
        <w:rPr>
          <w:rFonts w:cs="Arial"/>
          <w:sz w:val="16"/>
          <w:szCs w:val="16"/>
        </w:rPr>
        <w:tab/>
        <w:t>where the appellant is not a company, five hundred rupees.”</w:t>
      </w:r>
    </w:p>
  </w:footnote>
  <w:footnote w:id="799">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Added by the Finance Act, 2003.</w:t>
      </w:r>
    </w:p>
  </w:footnote>
  <w:footnote w:id="800">
    <w:p w:rsidR="00BF2117" w:rsidRPr="009C505A" w:rsidRDefault="00BF2117">
      <w:pPr>
        <w:pStyle w:val="FootnoteText"/>
        <w:rPr>
          <w:sz w:val="16"/>
          <w:szCs w:val="16"/>
        </w:rPr>
      </w:pPr>
      <w:r w:rsidRPr="009C505A">
        <w:rPr>
          <w:rStyle w:val="FootnoteReference"/>
          <w:sz w:val="16"/>
          <w:szCs w:val="16"/>
        </w:rPr>
        <w:footnoteRef/>
      </w:r>
      <w:r w:rsidRPr="009C505A">
        <w:rPr>
          <w:sz w:val="16"/>
          <w:szCs w:val="16"/>
        </w:rPr>
        <w:t xml:space="preserve"> Provisos substituted by the Finance Act, 2012.  The substituted provisos read as follows”</w:t>
      </w:r>
    </w:p>
    <w:p w:rsidR="00BF2117" w:rsidRPr="009C505A" w:rsidRDefault="00BF2117" w:rsidP="00DD5B40">
      <w:pPr>
        <w:ind w:left="720" w:firstLine="427"/>
        <w:jc w:val="both"/>
        <w:rPr>
          <w:rFonts w:cs="Arial"/>
          <w:sz w:val="16"/>
          <w:szCs w:val="16"/>
        </w:rPr>
      </w:pPr>
      <w:r w:rsidRPr="009C505A">
        <w:rPr>
          <w:sz w:val="16"/>
          <w:szCs w:val="16"/>
        </w:rPr>
        <w:t>“</w:t>
      </w:r>
      <w:r w:rsidRPr="009C505A">
        <w:rPr>
          <w:rFonts w:cs="Arial"/>
          <w:sz w:val="16"/>
          <w:szCs w:val="16"/>
        </w:rPr>
        <w:t>Provided that where recovery of tax has been stayed by the Appellate Tribunal by an order, such order shall cease to have effect on the expiration of a period of three months following the date on which it is made, unless the appeal is decided, or such order be withdrawn by the Appellate Tribunal earlier:</w:t>
      </w:r>
    </w:p>
    <w:p w:rsidR="00BF2117" w:rsidRPr="009C505A" w:rsidRDefault="00BF2117" w:rsidP="00DD5B40">
      <w:pPr>
        <w:ind w:left="720" w:firstLine="375"/>
        <w:jc w:val="both"/>
        <w:rPr>
          <w:rFonts w:cs="Arial"/>
          <w:sz w:val="16"/>
          <w:szCs w:val="16"/>
        </w:rPr>
      </w:pPr>
      <w:r w:rsidRPr="009C505A">
        <w:rPr>
          <w:rFonts w:cs="Arial"/>
          <w:sz w:val="16"/>
          <w:szCs w:val="16"/>
        </w:rPr>
        <w:t>Provided further that the Appellate Tribunal shall not make an order which has the  effect of staying the recovery of tax beyond the period of six months in aggregate.</w:t>
      </w:r>
    </w:p>
    <w:p w:rsidR="00BF2117" w:rsidRPr="009C505A" w:rsidRDefault="00BF2117" w:rsidP="00DD5B40">
      <w:pPr>
        <w:pStyle w:val="FootnoteText"/>
        <w:jc w:val="both"/>
        <w:rPr>
          <w:sz w:val="16"/>
          <w:szCs w:val="16"/>
          <w:lang w:val="en-US"/>
        </w:rPr>
      </w:pPr>
      <w:r w:rsidRPr="009C505A">
        <w:rPr>
          <w:rFonts w:cs="Arial"/>
          <w:sz w:val="16"/>
          <w:szCs w:val="16"/>
        </w:rPr>
        <w:tab/>
      </w:r>
      <w:r w:rsidRPr="009C505A">
        <w:rPr>
          <w:rFonts w:cs="Arial"/>
          <w:sz w:val="16"/>
          <w:szCs w:val="16"/>
        </w:rPr>
        <w:tab/>
        <w:t>Provided further that the Appellate Tribunal may stay the recovery of the tax on filing the appeal which order will remain operative for thirty days and during which period a notice</w:t>
      </w:r>
      <w:r w:rsidRPr="00412620">
        <w:rPr>
          <w:rFonts w:cs="Arial"/>
          <w:sz w:val="16"/>
          <w:szCs w:val="16"/>
        </w:rPr>
        <w:t xml:space="preserve"> shall be issued to the respondent and after hearing the parties, order may be confirmed or </w:t>
      </w:r>
      <w:r w:rsidRPr="009C505A">
        <w:rPr>
          <w:rFonts w:cs="Arial"/>
          <w:sz w:val="16"/>
          <w:szCs w:val="16"/>
        </w:rPr>
        <w:t>varied as the Tribunal deems fit but stay order shall in no case remain operative for more than one hundred and eighty days.”</w:t>
      </w:r>
    </w:p>
  </w:footnote>
  <w:footnote w:id="801">
    <w:p w:rsidR="00BF2117" w:rsidRPr="009C505A" w:rsidRDefault="00BF2117">
      <w:pPr>
        <w:pStyle w:val="FootnoteText"/>
        <w:keepNext/>
        <w:ind w:left="360" w:hanging="360"/>
        <w:jc w:val="both"/>
        <w:rPr>
          <w:sz w:val="16"/>
          <w:szCs w:val="16"/>
        </w:rPr>
      </w:pPr>
      <w:r w:rsidRPr="009C505A">
        <w:rPr>
          <w:rStyle w:val="FootnoteReference"/>
          <w:rFonts w:cs="Arial"/>
          <w:sz w:val="16"/>
          <w:szCs w:val="16"/>
        </w:rPr>
        <w:footnoteRef/>
      </w:r>
      <w:r w:rsidRPr="009C505A">
        <w:rPr>
          <w:sz w:val="16"/>
          <w:szCs w:val="16"/>
        </w:rPr>
        <w:t xml:space="preserve"> Sub-section (2) substituted by the Finance Act, 2002. The substituted sub-section (2) read as follows:</w:t>
      </w:r>
    </w:p>
    <w:p w:rsidR="00BF2117" w:rsidRPr="009C505A" w:rsidRDefault="00BF2117">
      <w:pPr>
        <w:pStyle w:val="FootnoteText"/>
        <w:tabs>
          <w:tab w:val="left" w:pos="720"/>
        </w:tabs>
        <w:ind w:left="180" w:firstLine="180"/>
        <w:jc w:val="both"/>
        <w:rPr>
          <w:rFonts w:cs="Arial"/>
          <w:sz w:val="16"/>
          <w:szCs w:val="16"/>
        </w:rPr>
      </w:pPr>
      <w:r w:rsidRPr="009C505A">
        <w:rPr>
          <w:rFonts w:cs="Arial"/>
          <w:sz w:val="16"/>
          <w:szCs w:val="16"/>
        </w:rPr>
        <w:t xml:space="preserve">“(2) </w:t>
      </w:r>
      <w:r w:rsidRPr="009C505A">
        <w:rPr>
          <w:rFonts w:cs="Arial"/>
          <w:sz w:val="16"/>
          <w:szCs w:val="16"/>
        </w:rPr>
        <w:tab/>
        <w:t xml:space="preserve">The Appellate Tribunal shall give both parties to the appeal an opportunity of being heard either in person or through an authorised representative.” </w:t>
      </w:r>
    </w:p>
  </w:footnote>
  <w:footnote w:id="802">
    <w:p w:rsidR="00BF2117" w:rsidRPr="009C505A" w:rsidRDefault="00BF2117" w:rsidP="00FE07C5">
      <w:pPr>
        <w:pStyle w:val="FootnoteText"/>
        <w:ind w:left="180" w:hanging="180"/>
        <w:jc w:val="both"/>
        <w:rPr>
          <w:sz w:val="16"/>
          <w:szCs w:val="16"/>
          <w:lang w:val="en-US"/>
        </w:rPr>
      </w:pPr>
      <w:r w:rsidRPr="009C505A">
        <w:rPr>
          <w:rStyle w:val="FootnoteReference"/>
          <w:sz w:val="16"/>
          <w:szCs w:val="16"/>
        </w:rPr>
        <w:footnoteRef/>
      </w:r>
      <w:r w:rsidRPr="009C505A">
        <w:rPr>
          <w:sz w:val="16"/>
          <w:szCs w:val="16"/>
        </w:rPr>
        <w:t xml:space="preserve"> The words and commas “may, if it deems fit, dismiss the appeal in default, or” substituted by the Finance Act, 2011.</w:t>
      </w:r>
    </w:p>
  </w:footnote>
  <w:footnote w:id="803">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Inserted by the Finance Act, 2005.</w:t>
      </w:r>
    </w:p>
  </w:footnote>
  <w:footnote w:id="804">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Inserted by the Finance Act, 2002.</w:t>
      </w:r>
    </w:p>
  </w:footnote>
  <w:footnote w:id="805">
    <w:p w:rsidR="00BF2117" w:rsidRPr="009C505A" w:rsidRDefault="00BF2117">
      <w:pPr>
        <w:pStyle w:val="FootnoteText"/>
        <w:rPr>
          <w:sz w:val="16"/>
          <w:szCs w:val="16"/>
        </w:rPr>
      </w:pPr>
      <w:r w:rsidRPr="009C505A">
        <w:rPr>
          <w:rStyle w:val="FootnoteReference"/>
          <w:sz w:val="16"/>
          <w:szCs w:val="16"/>
        </w:rPr>
        <w:footnoteRef/>
      </w:r>
      <w:r w:rsidRPr="009C505A">
        <w:rPr>
          <w:sz w:val="16"/>
          <w:szCs w:val="16"/>
        </w:rPr>
        <w:t xml:space="preserve"> Clause (b) omitted by the Finance Act, 2007. The omitted clause (b) read as follows:</w:t>
      </w:r>
    </w:p>
    <w:p w:rsidR="00BF2117" w:rsidRPr="009C505A" w:rsidRDefault="00BF2117" w:rsidP="003206E6">
      <w:pPr>
        <w:pStyle w:val="FootnoteText"/>
        <w:ind w:left="1094" w:hanging="547"/>
        <w:jc w:val="both"/>
        <w:rPr>
          <w:sz w:val="16"/>
          <w:szCs w:val="16"/>
          <w:lang w:val="en-US"/>
        </w:rPr>
      </w:pPr>
      <w:r w:rsidRPr="009C505A">
        <w:rPr>
          <w:sz w:val="16"/>
          <w:szCs w:val="16"/>
        </w:rPr>
        <w:t>“</w:t>
      </w:r>
      <w:r w:rsidRPr="009C505A">
        <w:rPr>
          <w:rFonts w:cs="Arial"/>
          <w:sz w:val="16"/>
          <w:szCs w:val="16"/>
        </w:rPr>
        <w:t>(b)</w:t>
      </w:r>
      <w:r w:rsidRPr="009C505A">
        <w:rPr>
          <w:rFonts w:cs="Arial"/>
          <w:sz w:val="16"/>
          <w:szCs w:val="16"/>
        </w:rPr>
        <w:tab/>
        <w:t>set aside the assessment order and direct the Commissioner to make a new assessment order in accordance with the directions or recommendations of the Tribunal; or”</w:t>
      </w:r>
    </w:p>
  </w:footnote>
  <w:footnote w:id="806">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Added by the Finance Act, 2002.</w:t>
      </w:r>
    </w:p>
  </w:footnote>
  <w:footnote w:id="807">
    <w:p w:rsidR="00BF2117" w:rsidRPr="00412620" w:rsidRDefault="00BF2117">
      <w:pPr>
        <w:pStyle w:val="FootnoteText"/>
        <w:rPr>
          <w:sz w:val="16"/>
          <w:szCs w:val="16"/>
        </w:rPr>
      </w:pPr>
      <w:r w:rsidRPr="00412620">
        <w:rPr>
          <w:rStyle w:val="FootnoteReference"/>
          <w:rFonts w:cs="Arial"/>
          <w:sz w:val="16"/>
          <w:szCs w:val="16"/>
        </w:rPr>
        <w:footnoteRef/>
      </w:r>
      <w:r w:rsidRPr="00412620">
        <w:rPr>
          <w:sz w:val="16"/>
          <w:szCs w:val="16"/>
        </w:rPr>
        <w:t xml:space="preserve"> Inserted by the Finance Act, 2003.</w:t>
      </w:r>
    </w:p>
  </w:footnote>
  <w:footnote w:id="808">
    <w:p w:rsidR="00BF2117" w:rsidRPr="00412620" w:rsidRDefault="00BF2117">
      <w:pPr>
        <w:keepNext/>
        <w:ind w:left="360" w:hanging="360"/>
        <w:jc w:val="both"/>
        <w:rPr>
          <w:sz w:val="16"/>
          <w:szCs w:val="16"/>
        </w:rPr>
      </w:pPr>
      <w:r w:rsidRPr="00412620">
        <w:rPr>
          <w:rStyle w:val="FootnoteReference"/>
          <w:rFonts w:cs="Arial"/>
          <w:sz w:val="16"/>
          <w:szCs w:val="16"/>
        </w:rPr>
        <w:footnoteRef/>
      </w:r>
      <w:r w:rsidRPr="00412620">
        <w:rPr>
          <w:sz w:val="16"/>
          <w:szCs w:val="16"/>
        </w:rPr>
        <w:t xml:space="preserve"> Sub-section (7) substituted by the Finance Act, 2002. The substituted sub-section (7) read as follows:</w:t>
      </w:r>
    </w:p>
    <w:p w:rsidR="00BF2117" w:rsidRPr="00412620" w:rsidRDefault="00BF2117">
      <w:pPr>
        <w:ind w:left="180" w:firstLine="367"/>
        <w:jc w:val="both"/>
        <w:rPr>
          <w:rFonts w:cs="Arial"/>
          <w:sz w:val="16"/>
          <w:szCs w:val="16"/>
        </w:rPr>
      </w:pPr>
      <w:r w:rsidRPr="00412620">
        <w:rPr>
          <w:rFonts w:cs="Arial"/>
          <w:sz w:val="16"/>
          <w:szCs w:val="16"/>
        </w:rPr>
        <w:t xml:space="preserve">“(7) </w:t>
      </w:r>
      <w:r w:rsidRPr="00412620">
        <w:rPr>
          <w:rFonts w:cs="Arial"/>
          <w:sz w:val="16"/>
          <w:szCs w:val="16"/>
        </w:rPr>
        <w:tab/>
        <w:t xml:space="preserve">The Appellate Tribunal shall serve a notice of its order on the appellant and the Commissioner.” </w:t>
      </w:r>
    </w:p>
  </w:footnote>
  <w:footnote w:id="809">
    <w:p w:rsidR="00BF2117" w:rsidRPr="00412620" w:rsidRDefault="00BF2117">
      <w:pPr>
        <w:pStyle w:val="FootnoteText"/>
        <w:keepNext/>
        <w:rPr>
          <w:sz w:val="16"/>
          <w:szCs w:val="16"/>
        </w:rPr>
      </w:pPr>
      <w:r w:rsidRPr="00412620">
        <w:rPr>
          <w:rStyle w:val="FootnoteReference"/>
          <w:rFonts w:cs="Arial"/>
          <w:sz w:val="16"/>
          <w:szCs w:val="16"/>
        </w:rPr>
        <w:footnoteRef/>
      </w:r>
      <w:r w:rsidRPr="00412620">
        <w:rPr>
          <w:sz w:val="16"/>
          <w:szCs w:val="16"/>
        </w:rPr>
        <w:t xml:space="preserve"> Sub-section (8) omitted by Finance Act, 2002. The omitted sub-section (8) read as follows:</w:t>
      </w:r>
    </w:p>
    <w:p w:rsidR="00BF2117" w:rsidRPr="00412620" w:rsidRDefault="00BF2117">
      <w:pPr>
        <w:ind w:left="180" w:firstLine="367"/>
        <w:jc w:val="both"/>
        <w:rPr>
          <w:rFonts w:cs="Arial"/>
          <w:sz w:val="16"/>
          <w:szCs w:val="16"/>
        </w:rPr>
      </w:pPr>
      <w:r w:rsidRPr="00412620">
        <w:rPr>
          <w:rFonts w:cs="Arial"/>
          <w:sz w:val="16"/>
          <w:szCs w:val="16"/>
        </w:rPr>
        <w:t>“(8)</w:t>
      </w:r>
      <w:r w:rsidRPr="00412620">
        <w:rPr>
          <w:rFonts w:cs="Arial"/>
          <w:sz w:val="16"/>
          <w:szCs w:val="16"/>
        </w:rPr>
        <w:tab/>
        <w:t xml:space="preserve">Where the Appellate Tribunal has not made an order in respect of an appeal before the expiration of six months from the end of the month in which the appeal was filed, the relief sought by the appellant in the appeal shall be treated as having been given and all the provisions of this Ordinance shall have effect accordingly.” </w:t>
      </w:r>
    </w:p>
  </w:footnote>
  <w:footnote w:id="810">
    <w:p w:rsidR="00BF2117" w:rsidRPr="00412620" w:rsidRDefault="00BF2117">
      <w:pPr>
        <w:keepNext/>
        <w:jc w:val="both"/>
        <w:rPr>
          <w:sz w:val="16"/>
          <w:szCs w:val="16"/>
        </w:rPr>
      </w:pPr>
      <w:r w:rsidRPr="00412620">
        <w:rPr>
          <w:rStyle w:val="FootnoteReference"/>
          <w:rFonts w:cs="Arial"/>
          <w:sz w:val="16"/>
          <w:szCs w:val="16"/>
        </w:rPr>
        <w:footnoteRef/>
      </w:r>
      <w:r w:rsidRPr="00412620">
        <w:rPr>
          <w:sz w:val="16"/>
          <w:szCs w:val="16"/>
        </w:rPr>
        <w:t xml:space="preserve"> Sub-section (9) omitted by the Finance Act, 2002. The omitted sub-section (9) read as follows:</w:t>
      </w:r>
    </w:p>
    <w:p w:rsidR="00BF2117" w:rsidRPr="00412620" w:rsidRDefault="00BF2117">
      <w:pPr>
        <w:ind w:left="180" w:firstLine="367"/>
        <w:jc w:val="both"/>
        <w:rPr>
          <w:rFonts w:cs="Arial"/>
          <w:sz w:val="16"/>
          <w:szCs w:val="16"/>
        </w:rPr>
      </w:pPr>
      <w:r w:rsidRPr="00412620">
        <w:rPr>
          <w:rFonts w:cs="Arial"/>
          <w:sz w:val="16"/>
          <w:szCs w:val="16"/>
        </w:rPr>
        <w:t>“(9)</w:t>
      </w:r>
      <w:r w:rsidRPr="00412620">
        <w:rPr>
          <w:rFonts w:cs="Arial"/>
          <w:sz w:val="16"/>
          <w:szCs w:val="16"/>
        </w:rPr>
        <w:tab/>
        <w:t>For the purposes of sub-section (8), any period during which the hearing of an appeal is adjourned on the request of the appellant shall be excluded in the computation of the period of six months referred to in that sub-section.</w:t>
      </w:r>
    </w:p>
  </w:footnote>
  <w:footnote w:id="811">
    <w:p w:rsidR="00BF2117" w:rsidRPr="00412620" w:rsidRDefault="00BF2117">
      <w:pPr>
        <w:pStyle w:val="FootnoteText"/>
        <w:keepNext/>
        <w:rPr>
          <w:sz w:val="16"/>
          <w:szCs w:val="16"/>
        </w:rPr>
      </w:pPr>
      <w:r w:rsidRPr="00412620">
        <w:rPr>
          <w:rStyle w:val="FootnoteReference"/>
          <w:rFonts w:cs="Arial"/>
          <w:sz w:val="16"/>
          <w:szCs w:val="16"/>
        </w:rPr>
        <w:footnoteRef/>
      </w:r>
      <w:r w:rsidRPr="00412620">
        <w:rPr>
          <w:sz w:val="16"/>
          <w:szCs w:val="16"/>
        </w:rPr>
        <w:t xml:space="preserve"> Section 133 substituted by the Finance Act, 2005. The original section 133 read as follows: </w:t>
      </w:r>
    </w:p>
    <w:p w:rsidR="00BF2117" w:rsidRPr="00412620" w:rsidRDefault="00BF2117">
      <w:pPr>
        <w:jc w:val="both"/>
        <w:rPr>
          <w:sz w:val="16"/>
          <w:szCs w:val="16"/>
        </w:rPr>
      </w:pPr>
      <w:r w:rsidRPr="00412620">
        <w:rPr>
          <w:rFonts w:cs="Arial"/>
          <w:b/>
          <w:sz w:val="16"/>
          <w:szCs w:val="16"/>
        </w:rPr>
        <w:t>133.</w:t>
      </w:r>
      <w:r w:rsidRPr="00412620">
        <w:rPr>
          <w:rFonts w:cs="Arial"/>
          <w:b/>
          <w:sz w:val="16"/>
          <w:szCs w:val="16"/>
        </w:rPr>
        <w:tab/>
        <w:t xml:space="preserve"> Reference to High Court.-</w:t>
      </w:r>
      <w:r w:rsidRPr="00412620">
        <w:rPr>
          <w:sz w:val="16"/>
          <w:szCs w:val="16"/>
        </w:rPr>
        <w:t xml:space="preserve"> (1)  Where the Appellate Tribunal has made an order on an appeal under section132, the taxpayer or Commissioner may, by application in such form and accompanied by such documents as may be prescribed, require the Appellate Tribunal to refer any question of law arising out of such order to the High Court. </w:t>
      </w:r>
    </w:p>
    <w:p w:rsidR="00BF2117" w:rsidRPr="00412620" w:rsidRDefault="00BF2117">
      <w:pPr>
        <w:ind w:firstLine="270"/>
        <w:jc w:val="both"/>
        <w:rPr>
          <w:rFonts w:cs="Arial"/>
          <w:sz w:val="16"/>
          <w:szCs w:val="16"/>
        </w:rPr>
      </w:pPr>
      <w:r w:rsidRPr="00412620">
        <w:rPr>
          <w:rFonts w:cs="Arial"/>
          <w:sz w:val="16"/>
          <w:szCs w:val="16"/>
        </w:rPr>
        <w:t xml:space="preserve">(2) An application under sub-section (1) shall be made within ninety days of the date on which the taxpayer or Commissioner, as the case may be, was served with the Appellate Tribunal’s order. </w:t>
      </w:r>
    </w:p>
    <w:p w:rsidR="00BF2117" w:rsidRPr="00412620" w:rsidRDefault="00BF2117">
      <w:pPr>
        <w:ind w:firstLine="270"/>
        <w:jc w:val="both"/>
        <w:rPr>
          <w:rFonts w:cs="Arial"/>
          <w:sz w:val="16"/>
          <w:szCs w:val="16"/>
        </w:rPr>
      </w:pPr>
      <w:r w:rsidRPr="00412620">
        <w:rPr>
          <w:rFonts w:cs="Arial"/>
          <w:sz w:val="16"/>
          <w:szCs w:val="16"/>
        </w:rPr>
        <w:t>(3) Where, on an application under sub-section (1), the Appellate Tribunal is satisfied that a question of law arises out of its order, it shall, within ninety days of receipt of the application, draw up a statement of the case and refer it to the High Court.</w:t>
      </w:r>
    </w:p>
    <w:p w:rsidR="00BF2117" w:rsidRPr="00412620" w:rsidRDefault="00BF2117">
      <w:pPr>
        <w:ind w:firstLine="270"/>
        <w:jc w:val="both"/>
        <w:rPr>
          <w:rFonts w:cs="Arial"/>
          <w:sz w:val="16"/>
          <w:szCs w:val="16"/>
        </w:rPr>
      </w:pPr>
      <w:r w:rsidRPr="00412620">
        <w:rPr>
          <w:rFonts w:cs="Arial"/>
          <w:sz w:val="16"/>
          <w:szCs w:val="16"/>
        </w:rPr>
        <w:t xml:space="preserve">(4) Where, on an application under sub-section (1), the Appellate Tribunal refuses to state the case on the ground that no question of law arises, the taxpayer or the Commissioner, as the case may be, may apply to the High Court and the High Court may, if it is not satisfied with the correctness of the decision of the Appellate Tribunal, frame a question of law for its consideration. </w:t>
      </w:r>
    </w:p>
    <w:p w:rsidR="00BF2117" w:rsidRPr="00412620" w:rsidRDefault="00BF2117">
      <w:pPr>
        <w:ind w:firstLine="270"/>
        <w:jc w:val="both"/>
        <w:rPr>
          <w:rFonts w:cs="Arial"/>
          <w:sz w:val="16"/>
          <w:szCs w:val="16"/>
        </w:rPr>
      </w:pPr>
      <w:r w:rsidRPr="00412620">
        <w:rPr>
          <w:rFonts w:cs="Arial"/>
          <w:sz w:val="16"/>
          <w:szCs w:val="16"/>
        </w:rPr>
        <w:t>(5)</w:t>
      </w:r>
      <w:r w:rsidRPr="00412620">
        <w:rPr>
          <w:rFonts w:cs="Arial"/>
          <w:sz w:val="16"/>
          <w:szCs w:val="16"/>
        </w:rPr>
        <w:tab/>
        <w:t xml:space="preserve">An application under sub-section (4) shall be made within one-hundred and twenty days from the date on which the taxpayer or Commissioner, as the case may be, was served with order of the refusal. </w:t>
      </w:r>
    </w:p>
    <w:p w:rsidR="00BF2117" w:rsidRPr="00412620" w:rsidRDefault="00BF2117">
      <w:pPr>
        <w:ind w:firstLine="270"/>
        <w:jc w:val="both"/>
        <w:rPr>
          <w:rFonts w:cs="Arial"/>
          <w:sz w:val="16"/>
          <w:szCs w:val="16"/>
        </w:rPr>
      </w:pPr>
      <w:r w:rsidRPr="00412620">
        <w:rPr>
          <w:rFonts w:cs="Arial"/>
          <w:sz w:val="16"/>
          <w:szCs w:val="16"/>
        </w:rPr>
        <w:t>(6)</w:t>
      </w:r>
      <w:r w:rsidRPr="00412620">
        <w:rPr>
          <w:rFonts w:cs="Arial"/>
          <w:sz w:val="16"/>
          <w:szCs w:val="16"/>
        </w:rPr>
        <w:tab/>
        <w:t>Sub-sections (10) through (14) shall apply to a question of law framed by the High Court in the same manner as they apply to a reference made under sub-section (1).</w:t>
      </w:r>
    </w:p>
    <w:p w:rsidR="00BF2117" w:rsidRPr="00412620" w:rsidRDefault="00BF2117">
      <w:pPr>
        <w:ind w:firstLine="270"/>
        <w:jc w:val="both"/>
        <w:rPr>
          <w:sz w:val="16"/>
          <w:szCs w:val="16"/>
        </w:rPr>
      </w:pPr>
      <w:r w:rsidRPr="00412620">
        <w:rPr>
          <w:rFonts w:cs="Arial"/>
          <w:sz w:val="16"/>
          <w:szCs w:val="16"/>
        </w:rPr>
        <w:t>(7)</w:t>
      </w:r>
      <w:r w:rsidRPr="00412620">
        <w:rPr>
          <w:rFonts w:cs="Arial"/>
          <w:sz w:val="16"/>
          <w:szCs w:val="16"/>
        </w:rPr>
        <w:tab/>
        <w:t>If, on an application under sub-section (1), the Appellate Tribunal rejects the application on the ground that it is time-barred, the taxpayer or Commissioner may apply to the High Court and, if the High Court is not satisfied with the correctness of the Appellate Tribunal’s decision, the Court may require the Appellate Tribunal to treat the application as made within the time allowed under sub-section (2).</w:t>
      </w:r>
    </w:p>
    <w:p w:rsidR="00BF2117" w:rsidRPr="00412620" w:rsidRDefault="00BF2117">
      <w:pPr>
        <w:ind w:firstLine="270"/>
        <w:jc w:val="both"/>
        <w:rPr>
          <w:rFonts w:cs="Arial"/>
          <w:sz w:val="16"/>
          <w:szCs w:val="16"/>
        </w:rPr>
      </w:pPr>
      <w:r w:rsidRPr="00412620">
        <w:rPr>
          <w:rFonts w:cs="Arial"/>
          <w:sz w:val="16"/>
          <w:szCs w:val="16"/>
        </w:rPr>
        <w:t>(8)</w:t>
      </w:r>
      <w:r w:rsidRPr="00412620">
        <w:rPr>
          <w:rFonts w:cs="Arial"/>
          <w:sz w:val="16"/>
          <w:szCs w:val="16"/>
        </w:rPr>
        <w:tab/>
        <w:t xml:space="preserve">An application under sub-section (7) shall be made within ninety days from the date on which the taxpayer or Commissioner, as the case may be, was served with order of the rejection. </w:t>
      </w:r>
    </w:p>
    <w:p w:rsidR="00BF2117" w:rsidRPr="00412620" w:rsidRDefault="00BF2117">
      <w:pPr>
        <w:ind w:firstLine="270"/>
        <w:jc w:val="both"/>
        <w:rPr>
          <w:rFonts w:cs="Arial"/>
          <w:sz w:val="16"/>
          <w:szCs w:val="16"/>
        </w:rPr>
      </w:pPr>
      <w:r w:rsidRPr="00412620">
        <w:rPr>
          <w:rFonts w:cs="Arial"/>
          <w:sz w:val="16"/>
          <w:szCs w:val="16"/>
        </w:rPr>
        <w:t>(9)</w:t>
      </w:r>
      <w:r w:rsidRPr="00412620">
        <w:rPr>
          <w:rFonts w:cs="Arial"/>
          <w:sz w:val="16"/>
          <w:szCs w:val="16"/>
        </w:rPr>
        <w:tab/>
        <w:t>If the High Court is not satisfied that the statement in a case referred under sub-section (3) is sufficient to enable it to determine the question raised thereby, the Court may refer the case back to the Appellate Tribunal to make such modification therein as the Court may direct.</w:t>
      </w:r>
    </w:p>
    <w:p w:rsidR="00BF2117" w:rsidRPr="00412620" w:rsidRDefault="00BF2117">
      <w:pPr>
        <w:ind w:firstLine="270"/>
        <w:jc w:val="both"/>
        <w:rPr>
          <w:rFonts w:cs="Arial"/>
          <w:sz w:val="16"/>
          <w:szCs w:val="16"/>
        </w:rPr>
      </w:pPr>
      <w:r w:rsidRPr="00412620">
        <w:rPr>
          <w:rFonts w:cs="Arial"/>
          <w:sz w:val="16"/>
          <w:szCs w:val="16"/>
        </w:rPr>
        <w:t>(10) A reference to the High Court under this section shall be heard by a Bench of not less than two Judges of the High Court and, in respect of the reference, the provisions of section 98 of the Code of Civil Procedure, 1908 (V of 1908) shall apply, so far as may be, notwithstanding anything contained in any other law for the time being in force.</w:t>
      </w:r>
    </w:p>
    <w:p w:rsidR="00BF2117" w:rsidRPr="00412620" w:rsidRDefault="00BF2117">
      <w:pPr>
        <w:ind w:firstLine="270"/>
        <w:jc w:val="both"/>
        <w:rPr>
          <w:rFonts w:cs="Arial"/>
          <w:sz w:val="16"/>
          <w:szCs w:val="16"/>
        </w:rPr>
      </w:pPr>
      <w:r w:rsidRPr="00412620">
        <w:rPr>
          <w:rFonts w:cs="Arial"/>
          <w:sz w:val="16"/>
          <w:szCs w:val="16"/>
        </w:rPr>
        <w:t>(11) The High Court upon hearing a reference under this section shall decide the questions of law raised by the reference and deliver judgment thereon containing the grounds on which such decision is founded.</w:t>
      </w:r>
    </w:p>
    <w:p w:rsidR="00BF2117" w:rsidRPr="00412620" w:rsidRDefault="00BF2117">
      <w:pPr>
        <w:ind w:firstLine="270"/>
        <w:jc w:val="both"/>
        <w:rPr>
          <w:rFonts w:cs="Arial"/>
          <w:sz w:val="16"/>
          <w:szCs w:val="16"/>
        </w:rPr>
      </w:pPr>
      <w:r w:rsidRPr="00412620">
        <w:rPr>
          <w:rFonts w:cs="Arial"/>
          <w:sz w:val="16"/>
          <w:szCs w:val="16"/>
        </w:rPr>
        <w:t>(12) A copy of the judgment of the High Court shall be sent under the seal of the Court and the signature of the Registrar to the Appellate Tribunal which shall pass such orders as are necessary to dispose of the case conformably to such judgment.</w:t>
      </w:r>
    </w:p>
    <w:p w:rsidR="00BF2117" w:rsidRPr="00412620" w:rsidRDefault="00BF2117">
      <w:pPr>
        <w:ind w:firstLine="270"/>
        <w:jc w:val="both"/>
        <w:rPr>
          <w:rFonts w:cs="Arial"/>
          <w:sz w:val="16"/>
          <w:szCs w:val="16"/>
        </w:rPr>
      </w:pPr>
      <w:r w:rsidRPr="00412620">
        <w:rPr>
          <w:rFonts w:cs="Arial"/>
          <w:sz w:val="16"/>
          <w:szCs w:val="16"/>
        </w:rPr>
        <w:t>(13) The costs of a reference to the High Court under this section shall be at the discretion of the Court.</w:t>
      </w:r>
    </w:p>
    <w:p w:rsidR="00BF2117" w:rsidRPr="00412620" w:rsidRDefault="00BF2117">
      <w:pPr>
        <w:ind w:firstLine="270"/>
        <w:jc w:val="both"/>
        <w:rPr>
          <w:rFonts w:cs="Arial"/>
          <w:sz w:val="16"/>
          <w:szCs w:val="16"/>
        </w:rPr>
      </w:pPr>
      <w:r w:rsidRPr="00412620">
        <w:rPr>
          <w:rFonts w:cs="Arial"/>
          <w:sz w:val="16"/>
          <w:szCs w:val="16"/>
        </w:rPr>
        <w:t>(14) Where a reference relates to an assessment, the tax due under the assessment shall be payable in accordance with the assessment, unless recovery of the tax has been stayed by the High Court.</w:t>
      </w:r>
    </w:p>
    <w:p w:rsidR="00BF2117" w:rsidRPr="00412620" w:rsidRDefault="00BF2117">
      <w:pPr>
        <w:ind w:firstLine="270"/>
        <w:jc w:val="both"/>
        <w:rPr>
          <w:rFonts w:cs="Arial"/>
          <w:sz w:val="16"/>
          <w:szCs w:val="16"/>
        </w:rPr>
      </w:pPr>
      <w:r w:rsidRPr="00412620">
        <w:rPr>
          <w:rFonts w:cs="Arial"/>
          <w:sz w:val="16"/>
          <w:szCs w:val="16"/>
        </w:rPr>
        <w:t>(15) Section 5 of the Limitation Act, 1908 (IX of 1908) shall apply to an application under sub-section (1).</w:t>
      </w:r>
    </w:p>
    <w:p w:rsidR="00BF2117" w:rsidRPr="00412620" w:rsidRDefault="00BF2117">
      <w:pPr>
        <w:ind w:firstLine="270"/>
        <w:jc w:val="both"/>
        <w:rPr>
          <w:rFonts w:cs="Arial"/>
          <w:sz w:val="16"/>
          <w:szCs w:val="16"/>
        </w:rPr>
      </w:pPr>
      <w:r w:rsidRPr="00412620">
        <w:rPr>
          <w:rFonts w:cs="Arial"/>
          <w:sz w:val="16"/>
          <w:szCs w:val="16"/>
        </w:rPr>
        <w:t>(16) An application under sub-section (1) by a person other than the Commissioner shall be accompanied by a fee of one hundred rupees.”</w:t>
      </w:r>
    </w:p>
    <w:p w:rsidR="00BF2117" w:rsidRPr="00412620" w:rsidRDefault="00BF2117">
      <w:pPr>
        <w:ind w:firstLine="270"/>
        <w:jc w:val="both"/>
        <w:rPr>
          <w:sz w:val="16"/>
        </w:rPr>
      </w:pPr>
    </w:p>
  </w:footnote>
  <w:footnote w:id="812">
    <w:p w:rsidR="00BF2117" w:rsidRPr="00412620" w:rsidRDefault="00BF2117">
      <w:pPr>
        <w:pStyle w:val="FootnoteText"/>
        <w:rPr>
          <w:sz w:val="16"/>
          <w:szCs w:val="16"/>
        </w:rPr>
      </w:pPr>
      <w:r w:rsidRPr="00412620">
        <w:rPr>
          <w:rStyle w:val="FootnoteReference"/>
          <w:rFonts w:cs="Arial"/>
          <w:sz w:val="16"/>
          <w:szCs w:val="16"/>
        </w:rPr>
        <w:footnoteRef/>
      </w:r>
      <w:r w:rsidRPr="00412620">
        <w:rPr>
          <w:sz w:val="16"/>
          <w:szCs w:val="16"/>
        </w:rPr>
        <w:t xml:space="preserve"> Section 134 omitted by the Finance Act, 2005. The omitted section 134 read as follows: </w:t>
      </w:r>
    </w:p>
    <w:p w:rsidR="00BF2117" w:rsidRPr="00412620" w:rsidRDefault="00BF2117">
      <w:pPr>
        <w:pStyle w:val="FootnoteText"/>
        <w:ind w:left="180" w:firstLine="0"/>
        <w:jc w:val="both"/>
        <w:rPr>
          <w:sz w:val="16"/>
          <w:szCs w:val="16"/>
        </w:rPr>
      </w:pPr>
      <w:r w:rsidRPr="00412620">
        <w:rPr>
          <w:rFonts w:cs="Arial"/>
          <w:bCs/>
          <w:sz w:val="16"/>
          <w:szCs w:val="16"/>
        </w:rPr>
        <w:t>“</w:t>
      </w:r>
      <w:r w:rsidRPr="00412620">
        <w:rPr>
          <w:b/>
          <w:sz w:val="16"/>
          <w:szCs w:val="16"/>
        </w:rPr>
        <w:t>134.</w:t>
      </w:r>
      <w:r w:rsidRPr="00412620">
        <w:rPr>
          <w:b/>
          <w:sz w:val="16"/>
          <w:szCs w:val="16"/>
        </w:rPr>
        <w:tab/>
        <w:t xml:space="preserve"> Appeal to Supreme Court.-</w:t>
      </w:r>
      <w:r w:rsidRPr="00412620">
        <w:rPr>
          <w:sz w:val="16"/>
          <w:szCs w:val="16"/>
        </w:rPr>
        <w:t xml:space="preserve"> (1)  An appeal shall lie to the Supreme Court from any judgment of the High Court delivered on a reference made or question of law framed under section 133 in any case which the High Court certifies to be a fit one for appeal to the Supreme Court.</w:t>
      </w:r>
    </w:p>
    <w:p w:rsidR="00BF2117" w:rsidRPr="00412620" w:rsidRDefault="00BF2117">
      <w:pPr>
        <w:ind w:left="180"/>
        <w:jc w:val="both"/>
        <w:rPr>
          <w:rFonts w:cs="Arial"/>
          <w:sz w:val="16"/>
          <w:szCs w:val="16"/>
        </w:rPr>
      </w:pPr>
      <w:r w:rsidRPr="00412620">
        <w:rPr>
          <w:rFonts w:cs="Arial"/>
          <w:sz w:val="16"/>
          <w:szCs w:val="16"/>
        </w:rPr>
        <w:tab/>
        <w:t>(2)</w:t>
      </w:r>
      <w:r w:rsidRPr="00412620">
        <w:rPr>
          <w:rFonts w:cs="Arial"/>
          <w:sz w:val="16"/>
          <w:szCs w:val="16"/>
        </w:rPr>
        <w:tab/>
        <w:t>The provisions of the Code of Civil Procedure, 1908 (V of 1908), relating to appeals to the Supreme Court shall apply, so far as may be, in the case of an appeal under this section in like manner as they apply in the case of an appeal from decrees of a High Court.</w:t>
      </w:r>
    </w:p>
    <w:p w:rsidR="00BF2117" w:rsidRPr="00412620" w:rsidRDefault="00BF2117">
      <w:pPr>
        <w:ind w:left="180"/>
        <w:jc w:val="both"/>
        <w:rPr>
          <w:rFonts w:cs="Arial"/>
          <w:sz w:val="16"/>
          <w:szCs w:val="16"/>
        </w:rPr>
      </w:pPr>
      <w:r w:rsidRPr="00412620">
        <w:rPr>
          <w:rFonts w:cs="Arial"/>
          <w:sz w:val="16"/>
          <w:szCs w:val="16"/>
        </w:rPr>
        <w:tab/>
        <w:t>(3)</w:t>
      </w:r>
      <w:r w:rsidRPr="00412620">
        <w:rPr>
          <w:rFonts w:cs="Arial"/>
          <w:sz w:val="16"/>
          <w:szCs w:val="16"/>
        </w:rPr>
        <w:tab/>
        <w:t>Where the judgment of the High Court is varied or reversed in appeal under this section, effect shall be given to the order of the Supreme Court in the manner provided in sub-section (12) of section 133 in the case of a judgment of the High Court.</w:t>
      </w:r>
    </w:p>
    <w:p w:rsidR="00BF2117" w:rsidRPr="00412620" w:rsidRDefault="00BF2117">
      <w:pPr>
        <w:ind w:left="180"/>
        <w:jc w:val="both"/>
        <w:rPr>
          <w:sz w:val="16"/>
        </w:rPr>
      </w:pPr>
      <w:r w:rsidRPr="00412620">
        <w:rPr>
          <w:rFonts w:cs="Arial"/>
          <w:sz w:val="16"/>
          <w:szCs w:val="16"/>
        </w:rPr>
        <w:tab/>
        <w:t>(4)</w:t>
      </w:r>
      <w:r w:rsidRPr="00412620">
        <w:rPr>
          <w:rFonts w:cs="Arial"/>
          <w:sz w:val="16"/>
          <w:szCs w:val="16"/>
        </w:rPr>
        <w:tab/>
        <w:t>The provisions of sub-sections (11), (12) and (13) of section 133 shall apply in the case of an appeal to the Supreme Court made under this section as they apply to an appeal to the High Court under section 133.”</w:t>
      </w:r>
    </w:p>
  </w:footnote>
  <w:footnote w:id="813">
    <w:p w:rsidR="00BF2117" w:rsidRPr="00412620" w:rsidRDefault="00BF2117">
      <w:pPr>
        <w:pStyle w:val="FootnoteText"/>
        <w:rPr>
          <w:sz w:val="16"/>
        </w:rPr>
      </w:pPr>
      <w:r w:rsidRPr="00412620">
        <w:rPr>
          <w:rStyle w:val="FootnoteReference"/>
          <w:rFonts w:cs="Arial"/>
          <w:sz w:val="16"/>
        </w:rPr>
        <w:footnoteRef/>
      </w:r>
      <w:r w:rsidRPr="00412620">
        <w:rPr>
          <w:sz w:val="16"/>
        </w:rPr>
        <w:t xml:space="preserve"> Added by the Finance Act, 2004.</w:t>
      </w:r>
    </w:p>
  </w:footnote>
  <w:footnote w:id="814">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rPr>
        <w:t xml:space="preserve"> The word “Alternate” substituted by the Finance Act, 2006.</w:t>
      </w:r>
    </w:p>
  </w:footnote>
  <w:footnote w:id="815">
    <w:p w:rsidR="00BF2117" w:rsidRPr="00412620" w:rsidRDefault="00BF2117">
      <w:pPr>
        <w:pStyle w:val="FootnoteText"/>
        <w:rPr>
          <w:sz w:val="16"/>
          <w:szCs w:val="16"/>
        </w:rPr>
      </w:pPr>
      <w:r w:rsidRPr="00412620">
        <w:rPr>
          <w:rStyle w:val="FootnoteReference"/>
          <w:sz w:val="18"/>
          <w:szCs w:val="16"/>
        </w:rPr>
        <w:footnoteRef/>
      </w:r>
      <w:r w:rsidRPr="00412620">
        <w:rPr>
          <w:sz w:val="16"/>
          <w:szCs w:val="16"/>
        </w:rPr>
        <w:t xml:space="preserve"> Sub-section (1) substituted by the Finance Act, 2006. The substituted sub-section (1) read as follows: </w:t>
      </w:r>
    </w:p>
    <w:p w:rsidR="00BF2117" w:rsidRPr="00412620" w:rsidRDefault="00BF2117" w:rsidP="00FD457B">
      <w:pPr>
        <w:pStyle w:val="FootnoteText"/>
        <w:ind w:left="180" w:hanging="90"/>
        <w:jc w:val="both"/>
        <w:rPr>
          <w:lang w:val="en-US"/>
        </w:rPr>
      </w:pPr>
      <w:r w:rsidRPr="00412620">
        <w:rPr>
          <w:sz w:val="16"/>
          <w:szCs w:val="16"/>
        </w:rPr>
        <w:t xml:space="preserve"> “(1) Notwithstanding any other provision of this Ordinance, or the rules made thereunder, any aggrieved person in connection with any matter of income tax pertaining to liability of income tax, admissibility of refund, waiver or fixation of penalty or fine, relaxation of any time period or procedural and technical condition may apply to the Central Board of Revenue for the appointment of a committee for the resolution of any hardship or dispute mentioned in detail in the application.”</w:t>
      </w:r>
    </w:p>
  </w:footnote>
  <w:footnote w:id="816">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817">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818">
    <w:p w:rsidR="00BF2117" w:rsidRPr="00412620" w:rsidRDefault="00BF2117">
      <w:pPr>
        <w:pStyle w:val="FootnoteText"/>
        <w:rPr>
          <w:sz w:val="16"/>
          <w:szCs w:val="16"/>
          <w:lang w:val="en-US"/>
        </w:rPr>
      </w:pPr>
      <w:r w:rsidRPr="00412620">
        <w:rPr>
          <w:rStyle w:val="FootnoteReference"/>
        </w:rPr>
        <w:footnoteRef/>
      </w:r>
      <w:r w:rsidRPr="00412620">
        <w:rPr>
          <w:sz w:val="16"/>
          <w:szCs w:val="16"/>
        </w:rPr>
        <w:t>Inserted by the Finance Act, 2009.</w:t>
      </w:r>
    </w:p>
  </w:footnote>
  <w:footnote w:id="819">
    <w:p w:rsidR="00BF2117" w:rsidRPr="00412620" w:rsidRDefault="00BF2117" w:rsidP="00527968">
      <w:pPr>
        <w:pStyle w:val="FootnoteText"/>
        <w:ind w:left="180" w:hanging="180"/>
        <w:jc w:val="both"/>
        <w:rPr>
          <w:sz w:val="16"/>
          <w:szCs w:val="16"/>
          <w:lang w:val="en-US"/>
        </w:rPr>
      </w:pPr>
      <w:r w:rsidRPr="00412620">
        <w:rPr>
          <w:rStyle w:val="FootnoteReference"/>
        </w:rPr>
        <w:footnoteRef/>
      </w:r>
      <w:r w:rsidRPr="00412620">
        <w:rPr>
          <w:sz w:val="16"/>
          <w:szCs w:val="16"/>
        </w:rPr>
        <w:t xml:space="preserve">The words “Income Tax” substituted by the Finance Act, 2010. </w:t>
      </w:r>
    </w:p>
  </w:footnote>
  <w:footnote w:id="820">
    <w:p w:rsidR="00BF2117" w:rsidRPr="00BD4DFE" w:rsidRDefault="00BF2117">
      <w:pPr>
        <w:pStyle w:val="FootnoteText"/>
        <w:rPr>
          <w:color w:val="FF0066"/>
          <w:sz w:val="16"/>
          <w:szCs w:val="16"/>
          <w:lang w:val="en-US"/>
        </w:rPr>
      </w:pPr>
      <w:r w:rsidRPr="00966F3F">
        <w:rPr>
          <w:rStyle w:val="FootnoteReference"/>
          <w:color w:val="0070C0"/>
          <w:sz w:val="16"/>
          <w:szCs w:val="16"/>
        </w:rPr>
        <w:footnoteRef/>
      </w:r>
      <w:r w:rsidRPr="00966F3F">
        <w:rPr>
          <w:color w:val="0070C0"/>
          <w:sz w:val="16"/>
          <w:szCs w:val="16"/>
        </w:rPr>
        <w:t xml:space="preserve"> Inserted by the Finance Act, 2016</w:t>
      </w:r>
      <w:r>
        <w:rPr>
          <w:color w:val="FF0066"/>
          <w:sz w:val="16"/>
          <w:szCs w:val="16"/>
        </w:rPr>
        <w:t>.</w:t>
      </w:r>
    </w:p>
  </w:footnote>
  <w:footnote w:id="821">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words “notified panel” substituted by the Finance Act, 2005.</w:t>
      </w:r>
    </w:p>
  </w:footnote>
  <w:footnote w:id="822">
    <w:p w:rsidR="00BF2117" w:rsidRPr="00412620" w:rsidRDefault="00BF2117" w:rsidP="007345F4">
      <w:pPr>
        <w:pStyle w:val="FootnoteText"/>
        <w:ind w:left="180" w:hanging="180"/>
        <w:rPr>
          <w:sz w:val="16"/>
          <w:szCs w:val="16"/>
        </w:rPr>
      </w:pPr>
      <w:r w:rsidRPr="00412620">
        <w:rPr>
          <w:rStyle w:val="FootnoteReference"/>
        </w:rPr>
        <w:footnoteRef/>
      </w:r>
      <w:r w:rsidRPr="00412620">
        <w:rPr>
          <w:sz w:val="16"/>
        </w:rPr>
        <w:t>Sub-section (3) s</w:t>
      </w:r>
      <w:r w:rsidRPr="00412620">
        <w:rPr>
          <w:sz w:val="16"/>
          <w:szCs w:val="16"/>
        </w:rPr>
        <w:t>ubstituted by the Finance Act, 2009. The substituted sub-section (3) read as follows:</w:t>
      </w:r>
    </w:p>
    <w:p w:rsidR="00BF2117" w:rsidRPr="009C505A" w:rsidRDefault="00BF2117" w:rsidP="00C76BB0">
      <w:pPr>
        <w:pStyle w:val="FootnoteText"/>
        <w:ind w:left="180" w:firstLine="367"/>
        <w:jc w:val="both"/>
        <w:rPr>
          <w:sz w:val="16"/>
          <w:szCs w:val="16"/>
          <w:lang w:val="en-US"/>
        </w:rPr>
      </w:pPr>
      <w:r w:rsidRPr="00412620">
        <w:rPr>
          <w:sz w:val="16"/>
          <w:szCs w:val="16"/>
        </w:rPr>
        <w:t>“</w:t>
      </w:r>
      <w:r w:rsidRPr="00412620">
        <w:rPr>
          <w:rFonts w:cs="Arial"/>
          <w:sz w:val="16"/>
        </w:rPr>
        <w:t xml:space="preserve">(3) </w:t>
      </w:r>
      <w:r w:rsidRPr="00412620">
        <w:rPr>
          <w:rFonts w:cs="Arial"/>
          <w:sz w:val="16"/>
        </w:rPr>
        <w:tab/>
        <w:t xml:space="preserve">The committee constituted under sub-section (2) shall examine the issue and may, if it deems necessary, conduct inquiry, seek expert opinion, direct any officer of Income Tax or any </w:t>
      </w:r>
      <w:r w:rsidRPr="009C505A">
        <w:rPr>
          <w:rFonts w:cs="Arial"/>
          <w:sz w:val="16"/>
          <w:szCs w:val="16"/>
        </w:rPr>
        <w:t>other person to conduct an audit and make recommendations in respect of the resolution of dispute as it may deem fit.”</w:t>
      </w:r>
    </w:p>
  </w:footnote>
  <w:footnote w:id="823">
    <w:p w:rsidR="00BF2117" w:rsidRPr="009C505A" w:rsidRDefault="00BF2117" w:rsidP="00527968">
      <w:pPr>
        <w:pStyle w:val="FootnoteText"/>
        <w:ind w:left="270" w:hanging="270"/>
        <w:jc w:val="both"/>
        <w:rPr>
          <w:sz w:val="16"/>
          <w:szCs w:val="16"/>
          <w:lang w:val="en-US"/>
        </w:rPr>
      </w:pPr>
      <w:r w:rsidRPr="009C505A">
        <w:rPr>
          <w:rStyle w:val="FootnoteReference"/>
          <w:sz w:val="16"/>
          <w:szCs w:val="16"/>
        </w:rPr>
        <w:footnoteRef/>
      </w:r>
      <w:r w:rsidRPr="009C505A">
        <w:rPr>
          <w:sz w:val="16"/>
          <w:szCs w:val="16"/>
        </w:rPr>
        <w:t xml:space="preserve"> The words “Income Tax” substituted by the Finance Act, 2010.</w:t>
      </w:r>
    </w:p>
  </w:footnote>
  <w:footnote w:id="824">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The words “Central Board of Revenue” substituted by the Finance Act, 2007.</w:t>
      </w:r>
    </w:p>
  </w:footnote>
  <w:footnote w:id="825">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Inserted by the Finance Act, 2009.</w:t>
      </w:r>
    </w:p>
  </w:footnote>
  <w:footnote w:id="826">
    <w:p w:rsidR="00BF2117" w:rsidRPr="00966F3F" w:rsidRDefault="00BF2117">
      <w:pPr>
        <w:pStyle w:val="FootnoteText"/>
        <w:rPr>
          <w:color w:val="0070C0"/>
          <w:sz w:val="16"/>
          <w:szCs w:val="16"/>
          <w:lang w:val="en-US"/>
        </w:rPr>
      </w:pPr>
      <w:r w:rsidRPr="00966F3F">
        <w:rPr>
          <w:rStyle w:val="FootnoteReference"/>
          <w:color w:val="0070C0"/>
          <w:sz w:val="16"/>
          <w:szCs w:val="16"/>
        </w:rPr>
        <w:footnoteRef/>
      </w:r>
      <w:r w:rsidRPr="00966F3F">
        <w:rPr>
          <w:color w:val="0070C0"/>
          <w:sz w:val="16"/>
          <w:szCs w:val="16"/>
        </w:rPr>
        <w:t xml:space="preserve"> The words “forty five” substituted by the Finance Act, 2016. </w:t>
      </w:r>
    </w:p>
  </w:footnote>
  <w:footnote w:id="827">
    <w:p w:rsidR="00BF2117" w:rsidRPr="00966F3F" w:rsidRDefault="00BF2117">
      <w:pPr>
        <w:pStyle w:val="FootnoteText"/>
        <w:rPr>
          <w:color w:val="0070C0"/>
          <w:sz w:val="16"/>
          <w:szCs w:val="16"/>
          <w:lang w:val="en-US"/>
        </w:rPr>
      </w:pPr>
      <w:r w:rsidRPr="00966F3F">
        <w:rPr>
          <w:rStyle w:val="FootnoteReference"/>
          <w:color w:val="0070C0"/>
          <w:sz w:val="16"/>
          <w:szCs w:val="16"/>
        </w:rPr>
        <w:footnoteRef/>
      </w:r>
      <w:r w:rsidRPr="00966F3F">
        <w:rPr>
          <w:color w:val="0070C0"/>
          <w:sz w:val="16"/>
          <w:szCs w:val="16"/>
        </w:rPr>
        <w:t xml:space="preserve"> Full-stop substituted by the Finance Act, 2016.</w:t>
      </w:r>
    </w:p>
  </w:footnote>
  <w:footnote w:id="828">
    <w:p w:rsidR="00BF2117" w:rsidRPr="00284B64" w:rsidRDefault="00BF2117">
      <w:pPr>
        <w:pStyle w:val="FootnoteText"/>
        <w:rPr>
          <w:color w:val="FF0066"/>
          <w:sz w:val="16"/>
          <w:szCs w:val="16"/>
          <w:lang w:val="en-US"/>
        </w:rPr>
      </w:pPr>
      <w:r w:rsidRPr="00966F3F">
        <w:rPr>
          <w:rStyle w:val="FootnoteReference"/>
          <w:color w:val="0070C0"/>
          <w:sz w:val="16"/>
          <w:szCs w:val="16"/>
        </w:rPr>
        <w:footnoteRef/>
      </w:r>
      <w:r w:rsidRPr="00966F3F">
        <w:rPr>
          <w:color w:val="0070C0"/>
          <w:sz w:val="16"/>
          <w:szCs w:val="16"/>
        </w:rPr>
        <w:t xml:space="preserve"> Added by the Finance Act, 2016.</w:t>
      </w:r>
      <w:r>
        <w:rPr>
          <w:color w:val="FF0066"/>
          <w:sz w:val="16"/>
          <w:szCs w:val="16"/>
        </w:rPr>
        <w:t xml:space="preserve"> </w:t>
      </w:r>
    </w:p>
  </w:footnote>
  <w:footnote w:id="829">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lang w:val="en-US"/>
        </w:rPr>
        <w:t>Inserted by the Finance Act, 2008.</w:t>
      </w:r>
    </w:p>
  </w:footnote>
  <w:footnote w:id="830">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The words “Central Board of Revenue” substituted by the Finance Act, 2007.</w:t>
      </w:r>
    </w:p>
  </w:footnote>
  <w:footnote w:id="831">
    <w:p w:rsidR="00BF2117" w:rsidRPr="009C505A" w:rsidRDefault="00BF2117" w:rsidP="00FA60D0">
      <w:pPr>
        <w:pStyle w:val="FootnoteText"/>
        <w:ind w:left="270" w:hanging="270"/>
        <w:jc w:val="both"/>
        <w:rPr>
          <w:sz w:val="16"/>
          <w:szCs w:val="16"/>
          <w:lang w:val="en-US"/>
        </w:rPr>
      </w:pPr>
      <w:r w:rsidRPr="009C505A">
        <w:rPr>
          <w:rStyle w:val="FootnoteReference"/>
          <w:sz w:val="16"/>
          <w:szCs w:val="16"/>
        </w:rPr>
        <w:footnoteRef/>
      </w:r>
      <w:r w:rsidRPr="009C505A">
        <w:rPr>
          <w:sz w:val="16"/>
          <w:szCs w:val="16"/>
        </w:rPr>
        <w:t xml:space="preserve"> The commas and words “</w:t>
      </w:r>
      <w:r w:rsidRPr="009C505A">
        <w:rPr>
          <w:rFonts w:cs="Arial"/>
          <w:sz w:val="16"/>
          <w:szCs w:val="16"/>
        </w:rPr>
        <w:t>, in case the matter is already sub-judice before any authority or tribunal or the court,” omitted by the Finance Act, 2006.</w:t>
      </w:r>
    </w:p>
  </w:footnote>
  <w:footnote w:id="832">
    <w:p w:rsidR="00BF2117" w:rsidRPr="009C505A" w:rsidRDefault="00BF2117">
      <w:pPr>
        <w:pStyle w:val="FootnoteText"/>
        <w:ind w:left="270" w:hanging="270"/>
        <w:jc w:val="both"/>
        <w:rPr>
          <w:sz w:val="16"/>
          <w:szCs w:val="16"/>
        </w:rPr>
      </w:pPr>
      <w:r w:rsidRPr="009C505A">
        <w:rPr>
          <w:rStyle w:val="FootnoteReference"/>
          <w:rFonts w:cs="Arial"/>
          <w:sz w:val="16"/>
          <w:szCs w:val="16"/>
        </w:rPr>
        <w:footnoteRef/>
      </w:r>
      <w:r w:rsidRPr="009C505A">
        <w:rPr>
          <w:sz w:val="16"/>
          <w:szCs w:val="16"/>
        </w:rPr>
        <w:t xml:space="preserve"> The words “agreement made between the aggrieved person and” substituted by the Finance Act, 2005.</w:t>
      </w:r>
    </w:p>
  </w:footnote>
  <w:footnote w:id="833">
    <w:p w:rsidR="00BF2117" w:rsidRPr="009C505A" w:rsidRDefault="00BF2117">
      <w:pPr>
        <w:pStyle w:val="FootnoteText"/>
        <w:rPr>
          <w:sz w:val="16"/>
          <w:szCs w:val="16"/>
          <w:lang w:val="en-US"/>
        </w:rPr>
      </w:pPr>
      <w:r w:rsidRPr="009C505A">
        <w:rPr>
          <w:rStyle w:val="FootnoteReference"/>
          <w:sz w:val="16"/>
          <w:szCs w:val="16"/>
        </w:rPr>
        <w:footnoteRef/>
      </w:r>
      <w:r w:rsidRPr="009C505A">
        <w:rPr>
          <w:sz w:val="16"/>
          <w:szCs w:val="16"/>
        </w:rPr>
        <w:t xml:space="preserve"> Inserted by the Finance Act, 2006.</w:t>
      </w:r>
    </w:p>
  </w:footnote>
  <w:footnote w:id="834">
    <w:p w:rsidR="00BF2117" w:rsidRPr="009C505A" w:rsidRDefault="00BF2117">
      <w:pPr>
        <w:pStyle w:val="FootnoteText"/>
        <w:rPr>
          <w:sz w:val="16"/>
          <w:szCs w:val="16"/>
        </w:rPr>
      </w:pPr>
      <w:r w:rsidRPr="009C505A">
        <w:rPr>
          <w:rStyle w:val="FootnoteReference"/>
          <w:rFonts w:cs="Arial"/>
          <w:sz w:val="16"/>
          <w:szCs w:val="16"/>
        </w:rPr>
        <w:footnoteRef/>
      </w:r>
      <w:r w:rsidRPr="009C505A">
        <w:rPr>
          <w:sz w:val="16"/>
          <w:szCs w:val="16"/>
        </w:rPr>
        <w:t xml:space="preserve"> Full stop substituted by the Finance Act, 2005.</w:t>
      </w:r>
    </w:p>
  </w:footnote>
  <w:footnote w:id="835">
    <w:p w:rsidR="00BF2117" w:rsidRPr="009C505A" w:rsidRDefault="00BF2117" w:rsidP="0028632A">
      <w:pPr>
        <w:pStyle w:val="FootnoteText"/>
        <w:rPr>
          <w:sz w:val="16"/>
          <w:szCs w:val="16"/>
          <w:lang w:val="en-US"/>
        </w:rPr>
      </w:pPr>
      <w:r w:rsidRPr="009C505A">
        <w:rPr>
          <w:rStyle w:val="FootnoteReference"/>
          <w:sz w:val="16"/>
          <w:szCs w:val="16"/>
        </w:rPr>
        <w:footnoteRef/>
      </w:r>
      <w:r w:rsidRPr="009C505A">
        <w:rPr>
          <w:sz w:val="16"/>
          <w:szCs w:val="16"/>
          <w:lang w:val="en-US"/>
        </w:rPr>
        <w:t>Inserted by the Finance Act, 2005.</w:t>
      </w:r>
    </w:p>
  </w:footnote>
  <w:footnote w:id="836">
    <w:p w:rsidR="00BF2117" w:rsidRPr="00412620" w:rsidRDefault="00BF2117">
      <w:pPr>
        <w:pStyle w:val="FootnoteText"/>
        <w:keepNext/>
        <w:rPr>
          <w:sz w:val="16"/>
          <w:szCs w:val="16"/>
        </w:rPr>
      </w:pPr>
      <w:r w:rsidRPr="00412620">
        <w:rPr>
          <w:rStyle w:val="FootnoteReference"/>
          <w:rFonts w:cs="Arial"/>
          <w:sz w:val="16"/>
          <w:szCs w:val="16"/>
        </w:rPr>
        <w:footnoteRef/>
      </w:r>
      <w:r w:rsidRPr="00412620">
        <w:rPr>
          <w:sz w:val="16"/>
          <w:szCs w:val="16"/>
        </w:rPr>
        <w:t xml:space="preserve"> Sub-section (6) omitted by the Finance Act, 2005. The omitted sub-section (6) read as follows: </w:t>
      </w:r>
    </w:p>
    <w:p w:rsidR="00BF2117" w:rsidRPr="00412620" w:rsidRDefault="00BF2117">
      <w:pPr>
        <w:ind w:left="180"/>
        <w:jc w:val="both"/>
        <w:rPr>
          <w:sz w:val="16"/>
          <w:szCs w:val="16"/>
        </w:rPr>
      </w:pPr>
      <w:r w:rsidRPr="00412620">
        <w:rPr>
          <w:rFonts w:cs="Arial"/>
          <w:sz w:val="16"/>
          <w:szCs w:val="16"/>
        </w:rPr>
        <w:tab/>
        <w:t>“(6) In case the aggrieved person is not satisfied with the orders of the Central Board of Revenue, he may file an appeal or reference with the appropriate authority, tribunal or court under the relevant provisions of this Ordinance within a period of sixty days of the order passed by the Board under this section has been communicated to the aggrieved person.”</w:t>
      </w:r>
    </w:p>
  </w:footnote>
  <w:footnote w:id="837">
    <w:p w:rsidR="00BF2117" w:rsidRPr="00412620" w:rsidRDefault="00BF2117">
      <w:pPr>
        <w:pStyle w:val="FootnoteText"/>
        <w:keepNext/>
        <w:rPr>
          <w:sz w:val="16"/>
          <w:szCs w:val="16"/>
        </w:rPr>
      </w:pPr>
      <w:r w:rsidRPr="00412620">
        <w:rPr>
          <w:rStyle w:val="FootnoteReference"/>
          <w:rFonts w:cs="Arial"/>
          <w:sz w:val="16"/>
          <w:szCs w:val="16"/>
        </w:rPr>
        <w:footnoteRef/>
      </w:r>
      <w:r w:rsidRPr="00412620">
        <w:rPr>
          <w:sz w:val="16"/>
          <w:szCs w:val="16"/>
        </w:rPr>
        <w:t xml:space="preserve"> Section 135 omitted by the Finance Act, 2002. The omitted section 135 read as follows:</w:t>
      </w:r>
    </w:p>
    <w:p w:rsidR="00BF2117" w:rsidRPr="00412620" w:rsidRDefault="00BF2117">
      <w:pPr>
        <w:keepNext/>
        <w:ind w:left="180"/>
        <w:jc w:val="both"/>
        <w:rPr>
          <w:rFonts w:cs="Arial"/>
          <w:sz w:val="16"/>
          <w:szCs w:val="16"/>
        </w:rPr>
      </w:pPr>
      <w:r w:rsidRPr="00412620">
        <w:rPr>
          <w:rFonts w:cs="Arial"/>
          <w:sz w:val="16"/>
          <w:szCs w:val="16"/>
        </w:rPr>
        <w:t>“</w:t>
      </w:r>
      <w:r w:rsidRPr="00412620">
        <w:rPr>
          <w:rFonts w:cs="Arial"/>
          <w:b/>
          <w:sz w:val="16"/>
          <w:szCs w:val="16"/>
        </w:rPr>
        <w:t>135.</w:t>
      </w:r>
      <w:r w:rsidRPr="00412620">
        <w:rPr>
          <w:rFonts w:cs="Arial"/>
          <w:b/>
          <w:sz w:val="16"/>
          <w:szCs w:val="16"/>
        </w:rPr>
        <w:tab/>
        <w:t>Revision by the Commissioner.-</w:t>
      </w:r>
      <w:r w:rsidRPr="00412620">
        <w:rPr>
          <w:rFonts w:cs="Arial"/>
          <w:sz w:val="16"/>
          <w:szCs w:val="16"/>
        </w:rPr>
        <w:t xml:space="preserve"> (1)  The Commissioner may either of the Commissioner’s own motion or on application in writing by a person for revision, call for the record of any proceeding under this Ordinance in which an order has been passed by any taxation officer other than the Commissioner (Appeals). </w:t>
      </w:r>
    </w:p>
    <w:p w:rsidR="00BF2117" w:rsidRPr="00412620" w:rsidRDefault="00BF2117">
      <w:pPr>
        <w:keepNext/>
        <w:ind w:left="180" w:firstLine="367"/>
        <w:jc w:val="both"/>
        <w:rPr>
          <w:rFonts w:cs="Arial"/>
          <w:sz w:val="16"/>
          <w:szCs w:val="16"/>
        </w:rPr>
      </w:pPr>
      <w:r w:rsidRPr="00412620">
        <w:rPr>
          <w:rFonts w:cs="Arial"/>
          <w:sz w:val="16"/>
          <w:szCs w:val="16"/>
        </w:rPr>
        <w:t>(2)</w:t>
      </w:r>
      <w:r w:rsidRPr="00412620">
        <w:rPr>
          <w:rFonts w:cs="Arial"/>
          <w:sz w:val="16"/>
          <w:szCs w:val="16"/>
        </w:rPr>
        <w:tab/>
        <w:t>Subject to sub-section (3), where, after making such inquiry as is necessary, Commissioner considers that the order requires revision, the Commissioner may make such revision to the order as the Commissioner thinks fit.</w:t>
      </w:r>
    </w:p>
    <w:p w:rsidR="00BF2117" w:rsidRPr="00412620" w:rsidRDefault="00BF2117">
      <w:pPr>
        <w:keepNext/>
        <w:ind w:left="180" w:firstLine="367"/>
        <w:jc w:val="both"/>
        <w:rPr>
          <w:rFonts w:cs="Arial"/>
          <w:sz w:val="16"/>
          <w:szCs w:val="16"/>
        </w:rPr>
      </w:pPr>
      <w:r w:rsidRPr="00412620">
        <w:rPr>
          <w:rFonts w:cs="Arial"/>
          <w:sz w:val="16"/>
          <w:szCs w:val="16"/>
        </w:rPr>
        <w:t>(3)</w:t>
      </w:r>
      <w:r w:rsidRPr="00412620">
        <w:rPr>
          <w:rFonts w:cs="Arial"/>
          <w:sz w:val="16"/>
          <w:szCs w:val="16"/>
        </w:rPr>
        <w:tab/>
        <w:t>An order under sub-section (2) shall not be prejudicial to the person to whom the order relates.</w:t>
      </w:r>
    </w:p>
    <w:p w:rsidR="00BF2117" w:rsidRPr="00412620" w:rsidRDefault="00BF2117">
      <w:pPr>
        <w:keepNext/>
        <w:ind w:left="180" w:firstLine="367"/>
        <w:jc w:val="both"/>
        <w:rPr>
          <w:rFonts w:cs="Arial"/>
          <w:sz w:val="16"/>
          <w:szCs w:val="16"/>
        </w:rPr>
      </w:pPr>
      <w:r w:rsidRPr="00412620">
        <w:rPr>
          <w:rFonts w:cs="Arial"/>
          <w:sz w:val="16"/>
          <w:szCs w:val="16"/>
        </w:rPr>
        <w:t>(4)</w:t>
      </w:r>
      <w:r w:rsidRPr="00412620">
        <w:rPr>
          <w:rFonts w:cs="Arial"/>
          <w:sz w:val="16"/>
          <w:szCs w:val="16"/>
        </w:rPr>
        <w:tab/>
        <w:t>The Commissioner shall not revise any order under sub-section (2) if –</w:t>
      </w:r>
    </w:p>
    <w:p w:rsidR="00BF2117" w:rsidRPr="00412620" w:rsidRDefault="00BF2117">
      <w:pPr>
        <w:pStyle w:val="BodyTextIndent"/>
        <w:keepNext/>
        <w:tabs>
          <w:tab w:val="left" w:pos="900"/>
        </w:tabs>
        <w:ind w:left="1620" w:hanging="540"/>
        <w:jc w:val="both"/>
        <w:rPr>
          <w:rFonts w:cs="Arial"/>
          <w:sz w:val="16"/>
          <w:szCs w:val="16"/>
        </w:rPr>
      </w:pPr>
      <w:r w:rsidRPr="00412620">
        <w:rPr>
          <w:rFonts w:cs="Arial"/>
          <w:sz w:val="16"/>
          <w:szCs w:val="16"/>
        </w:rPr>
        <w:t>(a)</w:t>
      </w:r>
      <w:r w:rsidRPr="00412620">
        <w:rPr>
          <w:rFonts w:cs="Arial"/>
          <w:sz w:val="16"/>
          <w:szCs w:val="16"/>
        </w:rPr>
        <w:tab/>
        <w:t>where an appeal against the order lies to the Commissioner (Appeals) or to the Appellate Tribunal, the time within which such appeal may be made has not expired, or the person has not waived their right of appeal;</w:t>
      </w:r>
    </w:p>
    <w:p w:rsidR="00BF2117" w:rsidRPr="00412620" w:rsidRDefault="00BF2117">
      <w:pPr>
        <w:pStyle w:val="BodyTextIndent"/>
        <w:keepNext/>
        <w:tabs>
          <w:tab w:val="left" w:pos="900"/>
        </w:tabs>
        <w:ind w:left="1620" w:hanging="540"/>
        <w:jc w:val="both"/>
        <w:rPr>
          <w:rFonts w:cs="Arial"/>
          <w:sz w:val="16"/>
          <w:szCs w:val="16"/>
        </w:rPr>
      </w:pPr>
      <w:r w:rsidRPr="00412620">
        <w:rPr>
          <w:rFonts w:cs="Arial"/>
          <w:sz w:val="16"/>
          <w:szCs w:val="16"/>
        </w:rPr>
        <w:t>(b)</w:t>
      </w:r>
      <w:r w:rsidRPr="00412620">
        <w:rPr>
          <w:rFonts w:cs="Arial"/>
          <w:sz w:val="16"/>
          <w:szCs w:val="16"/>
        </w:rPr>
        <w:tab/>
        <w:t>the order is pending on appeal before the Commissioner (Appeals) or has been made the subject of an appeal to the Appellate Tribunal; or</w:t>
      </w:r>
    </w:p>
    <w:p w:rsidR="00BF2117" w:rsidRPr="00412620" w:rsidRDefault="00BF2117">
      <w:pPr>
        <w:pStyle w:val="BodyTextIndent"/>
        <w:keepNext/>
        <w:tabs>
          <w:tab w:val="left" w:pos="900"/>
        </w:tabs>
        <w:ind w:left="1620" w:hanging="540"/>
        <w:jc w:val="both"/>
        <w:rPr>
          <w:rFonts w:cs="Arial"/>
          <w:sz w:val="16"/>
          <w:szCs w:val="16"/>
        </w:rPr>
      </w:pPr>
      <w:r w:rsidRPr="00412620">
        <w:rPr>
          <w:rFonts w:cs="Arial"/>
          <w:sz w:val="16"/>
          <w:szCs w:val="16"/>
        </w:rPr>
        <w:t>(c)</w:t>
      </w:r>
      <w:r w:rsidRPr="00412620">
        <w:rPr>
          <w:rFonts w:cs="Arial"/>
          <w:sz w:val="16"/>
          <w:szCs w:val="16"/>
        </w:rPr>
        <w:tab/>
        <w:t>in the case of an application made by a person, the application has not been made within ninety days of the date on which such order was served on the person, unless the Commissioner is satisfied that the person was prevented by sufficient cause from making the application within the time allowed.</w:t>
      </w:r>
    </w:p>
    <w:p w:rsidR="00BF2117" w:rsidRPr="00412620" w:rsidRDefault="00BF2117">
      <w:pPr>
        <w:ind w:left="180" w:firstLine="367"/>
        <w:jc w:val="both"/>
        <w:rPr>
          <w:rFonts w:cs="Arial"/>
          <w:sz w:val="16"/>
          <w:szCs w:val="16"/>
        </w:rPr>
      </w:pPr>
      <w:r w:rsidRPr="00412620">
        <w:rPr>
          <w:rFonts w:cs="Arial"/>
          <w:sz w:val="16"/>
          <w:szCs w:val="16"/>
        </w:rPr>
        <w:t>(5)  No application for revision of an assessment order may be made under sub-section (1) unless the amount of tax due under the assessment that is not in dispute has been paid by the taxpayer.</w:t>
      </w:r>
    </w:p>
    <w:p w:rsidR="00BF2117" w:rsidRPr="00412620" w:rsidRDefault="00BF2117">
      <w:pPr>
        <w:keepNext/>
        <w:ind w:left="180" w:firstLine="367"/>
        <w:jc w:val="both"/>
        <w:rPr>
          <w:rFonts w:cs="Arial"/>
          <w:sz w:val="16"/>
          <w:szCs w:val="16"/>
        </w:rPr>
      </w:pPr>
      <w:r w:rsidRPr="00412620">
        <w:rPr>
          <w:rFonts w:cs="Arial"/>
          <w:sz w:val="16"/>
          <w:szCs w:val="16"/>
        </w:rPr>
        <w:t>(6)  An application under sub-section (1) shall be accompanied by –</w:t>
      </w:r>
    </w:p>
    <w:p w:rsidR="00BF2117" w:rsidRPr="00412620" w:rsidRDefault="00BF2117">
      <w:pPr>
        <w:pStyle w:val="BodyTextIndent"/>
        <w:keepNext/>
        <w:tabs>
          <w:tab w:val="left" w:pos="900"/>
        </w:tabs>
        <w:ind w:left="1620" w:hanging="540"/>
        <w:jc w:val="both"/>
        <w:rPr>
          <w:rFonts w:cs="Arial"/>
          <w:sz w:val="16"/>
          <w:szCs w:val="16"/>
        </w:rPr>
      </w:pPr>
      <w:r w:rsidRPr="00412620">
        <w:rPr>
          <w:rFonts w:cs="Arial"/>
          <w:sz w:val="16"/>
          <w:szCs w:val="16"/>
        </w:rPr>
        <w:t>(a)</w:t>
      </w:r>
      <w:r w:rsidRPr="00412620">
        <w:rPr>
          <w:rFonts w:cs="Arial"/>
          <w:sz w:val="16"/>
          <w:szCs w:val="16"/>
        </w:rPr>
        <w:tab/>
        <w:t xml:space="preserve">in relation to an assessment order, a fee of the lesser of two thousand five hundred rupees or ten </w:t>
      </w:r>
      <w:r>
        <w:rPr>
          <w:rFonts w:cs="Arial"/>
          <w:sz w:val="16"/>
          <w:szCs w:val="16"/>
        </w:rPr>
        <w:t>per cent</w:t>
      </w:r>
      <w:r w:rsidRPr="00412620">
        <w:rPr>
          <w:rFonts w:cs="Arial"/>
          <w:sz w:val="16"/>
          <w:szCs w:val="16"/>
        </w:rPr>
        <w:t xml:space="preserve"> of the tax assessed; or</w:t>
      </w:r>
    </w:p>
    <w:p w:rsidR="00BF2117" w:rsidRPr="00412620" w:rsidRDefault="00BF2117">
      <w:pPr>
        <w:pStyle w:val="BodyTextIndent"/>
        <w:keepNext/>
        <w:tabs>
          <w:tab w:val="left" w:pos="900"/>
        </w:tabs>
        <w:ind w:left="1620" w:hanging="540"/>
        <w:jc w:val="both"/>
        <w:rPr>
          <w:rFonts w:cs="Arial"/>
          <w:sz w:val="16"/>
          <w:szCs w:val="16"/>
        </w:rPr>
      </w:pPr>
      <w:r w:rsidRPr="00412620">
        <w:rPr>
          <w:rFonts w:cs="Arial"/>
          <w:sz w:val="16"/>
          <w:szCs w:val="16"/>
        </w:rPr>
        <w:t>(b)</w:t>
      </w:r>
      <w:r w:rsidRPr="00412620">
        <w:rPr>
          <w:rFonts w:cs="Arial"/>
          <w:sz w:val="16"/>
          <w:szCs w:val="16"/>
        </w:rPr>
        <w:tab/>
        <w:t>in any other case –</w:t>
      </w:r>
    </w:p>
    <w:p w:rsidR="00BF2117" w:rsidRPr="00412620" w:rsidRDefault="00BF2117">
      <w:pPr>
        <w:keepNext/>
        <w:ind w:left="1094" w:firstLine="547"/>
        <w:jc w:val="both"/>
        <w:rPr>
          <w:rFonts w:cs="Arial"/>
          <w:sz w:val="16"/>
          <w:szCs w:val="16"/>
        </w:rPr>
      </w:pPr>
      <w:r w:rsidRPr="00412620">
        <w:rPr>
          <w:rFonts w:cs="Arial"/>
          <w:sz w:val="16"/>
          <w:szCs w:val="16"/>
        </w:rPr>
        <w:t>(i)</w:t>
      </w:r>
      <w:r w:rsidRPr="00412620">
        <w:rPr>
          <w:rFonts w:cs="Arial"/>
          <w:sz w:val="16"/>
          <w:szCs w:val="16"/>
        </w:rPr>
        <w:tab/>
        <w:t>where the applicant is a company, a fee of two thousand rupees; or</w:t>
      </w:r>
    </w:p>
    <w:p w:rsidR="00BF2117" w:rsidRPr="00412620" w:rsidRDefault="00BF2117">
      <w:pPr>
        <w:keepNext/>
        <w:ind w:left="1094" w:firstLine="547"/>
        <w:jc w:val="both"/>
        <w:rPr>
          <w:rFonts w:cs="Arial"/>
          <w:sz w:val="16"/>
          <w:szCs w:val="16"/>
        </w:rPr>
      </w:pPr>
      <w:r w:rsidRPr="00412620">
        <w:rPr>
          <w:rFonts w:cs="Arial"/>
          <w:sz w:val="16"/>
          <w:szCs w:val="16"/>
        </w:rPr>
        <w:t>(ii)</w:t>
      </w:r>
      <w:r w:rsidRPr="00412620">
        <w:rPr>
          <w:rFonts w:cs="Arial"/>
          <w:sz w:val="16"/>
          <w:szCs w:val="16"/>
        </w:rPr>
        <w:tab/>
        <w:t>where the applicant is not a company, a fee of five hundred rupees.</w:t>
      </w:r>
    </w:p>
    <w:p w:rsidR="00BF2117" w:rsidRPr="00412620" w:rsidRDefault="00BF2117">
      <w:pPr>
        <w:ind w:left="180" w:firstLine="367"/>
        <w:jc w:val="both"/>
        <w:rPr>
          <w:rFonts w:cs="Arial"/>
          <w:sz w:val="14"/>
        </w:rPr>
      </w:pPr>
      <w:r w:rsidRPr="00412620">
        <w:rPr>
          <w:rFonts w:cs="Arial"/>
          <w:sz w:val="16"/>
          <w:szCs w:val="16"/>
        </w:rPr>
        <w:t>(7)  An order by the Commissioner declining to interfere shall not be treated as an order prejudicial to the applicant.”</w:t>
      </w:r>
    </w:p>
  </w:footnote>
  <w:footnote w:id="838">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839">
    <w:p w:rsidR="00BF2117" w:rsidRPr="00AC40F7" w:rsidRDefault="00BF2117">
      <w:pPr>
        <w:pStyle w:val="FootnoteText"/>
        <w:ind w:left="180" w:hanging="180"/>
        <w:jc w:val="both"/>
        <w:rPr>
          <w:sz w:val="16"/>
          <w:szCs w:val="16"/>
        </w:rPr>
      </w:pPr>
      <w:r w:rsidRPr="00AC40F7">
        <w:rPr>
          <w:rStyle w:val="FootnoteReference"/>
          <w:rFonts w:cs="Arial"/>
          <w:sz w:val="16"/>
          <w:szCs w:val="16"/>
        </w:rPr>
        <w:footnoteRef/>
      </w:r>
      <w:r w:rsidRPr="00AC40F7">
        <w:rPr>
          <w:sz w:val="16"/>
          <w:szCs w:val="16"/>
        </w:rPr>
        <w:t xml:space="preserve"> Inserted by the Finance Act, 2003. Earlier this was inserted by S.R.O. 633(I)/2002, dated 14.09.2002 which stands rescinded by SRO 608(I)/2003, dated 24.06.2003 with effect from 01.07.2003.</w:t>
      </w:r>
    </w:p>
  </w:footnote>
  <w:footnote w:id="840">
    <w:p w:rsidR="00BF2117" w:rsidRPr="00AC40F7" w:rsidRDefault="00BF2117">
      <w:pPr>
        <w:pStyle w:val="FootnoteText"/>
        <w:rPr>
          <w:sz w:val="16"/>
          <w:szCs w:val="16"/>
          <w:lang w:val="en-US"/>
        </w:rPr>
      </w:pPr>
      <w:r w:rsidRPr="00AC40F7">
        <w:rPr>
          <w:rStyle w:val="FootnoteReference"/>
          <w:sz w:val="16"/>
          <w:szCs w:val="16"/>
        </w:rPr>
        <w:footnoteRef/>
      </w:r>
      <w:r w:rsidRPr="00AC40F7">
        <w:rPr>
          <w:sz w:val="16"/>
          <w:szCs w:val="16"/>
          <w:lang w:val="en-US"/>
        </w:rPr>
        <w:t>The words and figure “section 113 or” omitted by the Finance Act, 2008.</w:t>
      </w:r>
    </w:p>
  </w:footnote>
  <w:footnote w:id="841">
    <w:p w:rsidR="00BF2117" w:rsidRPr="00AC40F7" w:rsidRDefault="00BF2117">
      <w:pPr>
        <w:pStyle w:val="FootnoteText"/>
        <w:rPr>
          <w:sz w:val="16"/>
          <w:szCs w:val="16"/>
        </w:rPr>
      </w:pPr>
      <w:r w:rsidRPr="00AC40F7">
        <w:rPr>
          <w:rStyle w:val="FootnoteReference"/>
          <w:rFonts w:cs="Arial"/>
          <w:sz w:val="16"/>
          <w:szCs w:val="16"/>
        </w:rPr>
        <w:footnoteRef/>
      </w:r>
      <w:r w:rsidRPr="00AC40F7">
        <w:rPr>
          <w:sz w:val="16"/>
          <w:szCs w:val="16"/>
        </w:rPr>
        <w:t xml:space="preserve"> Inserted by the Finance Act, 2004.</w:t>
      </w:r>
    </w:p>
  </w:footnote>
  <w:footnote w:id="842">
    <w:p w:rsidR="00BF2117" w:rsidRPr="00AC40F7" w:rsidRDefault="00BF2117">
      <w:pPr>
        <w:pStyle w:val="FootnoteText"/>
        <w:rPr>
          <w:sz w:val="16"/>
          <w:szCs w:val="16"/>
          <w:lang w:val="en-US"/>
        </w:rPr>
      </w:pPr>
      <w:r w:rsidRPr="00AC40F7">
        <w:rPr>
          <w:rStyle w:val="FootnoteReference"/>
          <w:sz w:val="16"/>
          <w:szCs w:val="16"/>
        </w:rPr>
        <w:footnoteRef/>
      </w:r>
      <w:r w:rsidRPr="00AC40F7">
        <w:rPr>
          <w:sz w:val="16"/>
          <w:szCs w:val="16"/>
        </w:rPr>
        <w:t xml:space="preserve"> Inserted by the Finance Act, 2009.</w:t>
      </w:r>
    </w:p>
  </w:footnote>
  <w:footnote w:id="843">
    <w:p w:rsidR="00BF2117" w:rsidRPr="00AC40F7" w:rsidRDefault="00BF2117">
      <w:pPr>
        <w:pStyle w:val="FootnoteText"/>
        <w:keepNext/>
        <w:rPr>
          <w:sz w:val="16"/>
          <w:szCs w:val="16"/>
        </w:rPr>
      </w:pPr>
      <w:r w:rsidRPr="00AC40F7">
        <w:rPr>
          <w:rStyle w:val="FootnoteReference"/>
          <w:rFonts w:cs="Arial"/>
          <w:sz w:val="16"/>
          <w:szCs w:val="16"/>
        </w:rPr>
        <w:footnoteRef/>
      </w:r>
      <w:r w:rsidRPr="00AC40F7">
        <w:rPr>
          <w:sz w:val="16"/>
          <w:szCs w:val="16"/>
        </w:rPr>
        <w:t xml:space="preserve"> Substituted by the Finance Act, 2003. The substituted sub-section (2) read as follows: </w:t>
      </w:r>
    </w:p>
    <w:p w:rsidR="00BF2117" w:rsidRPr="00AC40F7" w:rsidRDefault="00BF2117">
      <w:pPr>
        <w:ind w:left="180" w:firstLine="367"/>
        <w:jc w:val="both"/>
        <w:rPr>
          <w:rFonts w:cs="Arial"/>
          <w:sz w:val="16"/>
          <w:szCs w:val="16"/>
        </w:rPr>
      </w:pPr>
      <w:r w:rsidRPr="00AC40F7">
        <w:rPr>
          <w:rFonts w:cs="Arial"/>
          <w:sz w:val="16"/>
          <w:szCs w:val="16"/>
        </w:rPr>
        <w:t>“(2)</w:t>
      </w:r>
      <w:r w:rsidRPr="00AC40F7">
        <w:rPr>
          <w:rFonts w:cs="Arial"/>
          <w:sz w:val="16"/>
          <w:szCs w:val="16"/>
        </w:rPr>
        <w:tab/>
        <w:t>Where an assessment order or amended assessment order is issued by the  Commissioner, the tax payable under the order shall be payable within fifteen days from the date of the assessment order is issued. “</w:t>
      </w:r>
    </w:p>
  </w:footnote>
  <w:footnote w:id="844">
    <w:p w:rsidR="00BF2117" w:rsidRPr="00AC40F7" w:rsidRDefault="00BF2117">
      <w:pPr>
        <w:pStyle w:val="FootnoteText"/>
        <w:rPr>
          <w:sz w:val="16"/>
          <w:szCs w:val="16"/>
          <w:lang w:val="en-US"/>
        </w:rPr>
      </w:pPr>
      <w:r w:rsidRPr="00AC40F7">
        <w:rPr>
          <w:rStyle w:val="FootnoteReference"/>
          <w:sz w:val="16"/>
          <w:szCs w:val="16"/>
        </w:rPr>
        <w:footnoteRef/>
      </w:r>
      <w:r w:rsidRPr="00AC40F7">
        <w:rPr>
          <w:sz w:val="16"/>
          <w:szCs w:val="16"/>
          <w:lang w:val="en-US"/>
        </w:rPr>
        <w:t>The word “thirty” substituted by the Finance Act, 2008.</w:t>
      </w:r>
    </w:p>
  </w:footnote>
  <w:footnote w:id="845">
    <w:p w:rsidR="00BF2117" w:rsidRPr="004021FE" w:rsidRDefault="00BF2117">
      <w:pPr>
        <w:pStyle w:val="FootnoteText"/>
        <w:rPr>
          <w:lang w:val="en-US"/>
        </w:rPr>
      </w:pPr>
      <w:r>
        <w:rPr>
          <w:rStyle w:val="FootnoteReference"/>
        </w:rPr>
        <w:footnoteRef/>
      </w:r>
      <w:r w:rsidRPr="00AC40F7">
        <w:rPr>
          <w:sz w:val="16"/>
          <w:szCs w:val="16"/>
          <w:lang w:val="en-US"/>
        </w:rPr>
        <w:t>The word “</w:t>
      </w:r>
      <w:r>
        <w:rPr>
          <w:sz w:val="16"/>
          <w:szCs w:val="16"/>
          <w:lang w:val="en-US"/>
        </w:rPr>
        <w:t>fifteen</w:t>
      </w:r>
      <w:r w:rsidRPr="00AC40F7">
        <w:rPr>
          <w:sz w:val="16"/>
          <w:szCs w:val="16"/>
          <w:lang w:val="en-US"/>
        </w:rPr>
        <w:t>” substituted by the Finance Act, 20</w:t>
      </w:r>
      <w:r>
        <w:rPr>
          <w:sz w:val="16"/>
          <w:szCs w:val="16"/>
          <w:lang w:val="en-US"/>
        </w:rPr>
        <w:t>15</w:t>
      </w:r>
      <w:r w:rsidRPr="00AC40F7">
        <w:rPr>
          <w:sz w:val="16"/>
          <w:szCs w:val="16"/>
          <w:lang w:val="en-US"/>
        </w:rPr>
        <w:t>.</w:t>
      </w:r>
    </w:p>
  </w:footnote>
  <w:footnote w:id="846">
    <w:p w:rsidR="00BF2117" w:rsidRPr="00AC40F7" w:rsidRDefault="00BF2117">
      <w:pPr>
        <w:pStyle w:val="FootnoteText"/>
        <w:rPr>
          <w:sz w:val="16"/>
          <w:szCs w:val="16"/>
          <w:lang w:val="en-US"/>
        </w:rPr>
      </w:pPr>
      <w:r w:rsidRPr="00AC40F7">
        <w:rPr>
          <w:rStyle w:val="FootnoteReference"/>
          <w:sz w:val="16"/>
          <w:szCs w:val="16"/>
        </w:rPr>
        <w:footnoteRef/>
      </w:r>
      <w:r w:rsidRPr="00AC40F7">
        <w:rPr>
          <w:sz w:val="16"/>
          <w:szCs w:val="16"/>
        </w:rPr>
        <w:t xml:space="preserve"> Added by the Finance Act, 2010.</w:t>
      </w:r>
    </w:p>
  </w:footnote>
  <w:footnote w:id="847">
    <w:p w:rsidR="00BF2117" w:rsidRPr="00AC40F7" w:rsidRDefault="00BF2117">
      <w:pPr>
        <w:pStyle w:val="FootnoteText"/>
        <w:rPr>
          <w:sz w:val="16"/>
          <w:szCs w:val="16"/>
          <w:lang w:val="en-US"/>
        </w:rPr>
      </w:pPr>
      <w:r w:rsidRPr="00AC40F7">
        <w:rPr>
          <w:rStyle w:val="FootnoteReference"/>
          <w:sz w:val="16"/>
          <w:szCs w:val="16"/>
        </w:rPr>
        <w:footnoteRef/>
      </w:r>
      <w:r w:rsidRPr="00AC40F7">
        <w:rPr>
          <w:sz w:val="16"/>
          <w:szCs w:val="16"/>
        </w:rPr>
        <w:t xml:space="preserve"> Inserted by the Finance Act, 2011.</w:t>
      </w:r>
    </w:p>
  </w:footnote>
  <w:footnote w:id="848">
    <w:p w:rsidR="00BF2117" w:rsidRPr="00AC40F7" w:rsidRDefault="00BF2117">
      <w:pPr>
        <w:pStyle w:val="FootnoteText"/>
        <w:rPr>
          <w:sz w:val="16"/>
          <w:szCs w:val="16"/>
          <w:lang w:val="en-US"/>
        </w:rPr>
      </w:pPr>
      <w:r w:rsidRPr="00AC40F7">
        <w:rPr>
          <w:rStyle w:val="FootnoteReference"/>
          <w:sz w:val="16"/>
          <w:szCs w:val="16"/>
        </w:rPr>
        <w:footnoteRef/>
      </w:r>
      <w:r w:rsidRPr="00AC40F7">
        <w:rPr>
          <w:sz w:val="16"/>
          <w:szCs w:val="16"/>
        </w:rPr>
        <w:t xml:space="preserve"> Inserted by the Finance Act, 2011.</w:t>
      </w:r>
    </w:p>
  </w:footnote>
  <w:footnote w:id="849">
    <w:p w:rsidR="00BF2117" w:rsidRPr="000B52B6" w:rsidRDefault="00BF2117">
      <w:pPr>
        <w:pStyle w:val="FootnoteText"/>
        <w:rPr>
          <w:sz w:val="16"/>
          <w:szCs w:val="16"/>
          <w:lang w:val="en-US"/>
        </w:rPr>
      </w:pPr>
      <w:r w:rsidRPr="000B52B6">
        <w:rPr>
          <w:rStyle w:val="FootnoteReference"/>
          <w:sz w:val="16"/>
          <w:szCs w:val="16"/>
        </w:rPr>
        <w:footnoteRef/>
      </w:r>
      <w:r w:rsidRPr="000B52B6">
        <w:rPr>
          <w:sz w:val="16"/>
          <w:szCs w:val="16"/>
          <w:lang w:val="en-US"/>
        </w:rPr>
        <w:t xml:space="preserve">The word “sixty” substituted by Finance Act, 2015. </w:t>
      </w:r>
    </w:p>
  </w:footnote>
  <w:footnote w:id="850">
    <w:p w:rsidR="00BF2117" w:rsidRPr="00AC40F7" w:rsidRDefault="00BF2117">
      <w:pPr>
        <w:pStyle w:val="FootnoteText"/>
        <w:rPr>
          <w:sz w:val="16"/>
          <w:szCs w:val="16"/>
          <w:lang w:val="en-US"/>
        </w:rPr>
      </w:pPr>
      <w:r w:rsidRPr="00AC40F7">
        <w:rPr>
          <w:rStyle w:val="FootnoteReference"/>
          <w:sz w:val="16"/>
          <w:szCs w:val="16"/>
        </w:rPr>
        <w:footnoteRef/>
      </w:r>
      <w:r w:rsidRPr="00AC40F7">
        <w:rPr>
          <w:sz w:val="16"/>
          <w:szCs w:val="16"/>
          <w:lang w:val="en-US"/>
        </w:rPr>
        <w:t>Full stop substituted by the Finance Act, 2012.</w:t>
      </w:r>
    </w:p>
  </w:footnote>
  <w:footnote w:id="851">
    <w:p w:rsidR="00BF2117" w:rsidRPr="00AC40F7" w:rsidRDefault="00BF2117">
      <w:pPr>
        <w:pStyle w:val="FootnoteText"/>
        <w:rPr>
          <w:sz w:val="16"/>
          <w:szCs w:val="16"/>
          <w:lang w:val="en-US"/>
        </w:rPr>
      </w:pPr>
      <w:r w:rsidRPr="00AC40F7">
        <w:rPr>
          <w:rStyle w:val="FootnoteReference"/>
          <w:sz w:val="16"/>
          <w:szCs w:val="16"/>
        </w:rPr>
        <w:footnoteRef/>
      </w:r>
      <w:r w:rsidRPr="00AC40F7">
        <w:rPr>
          <w:sz w:val="16"/>
          <w:szCs w:val="16"/>
          <w:lang w:val="en-US"/>
        </w:rPr>
        <w:t>Added by the Finance Act, 2012.</w:t>
      </w:r>
    </w:p>
  </w:footnote>
  <w:footnote w:id="852">
    <w:p w:rsidR="00BF2117" w:rsidRPr="002262E3" w:rsidRDefault="00BF2117">
      <w:pPr>
        <w:pStyle w:val="FootnoteText"/>
        <w:rPr>
          <w:lang w:val="en-US"/>
        </w:rPr>
      </w:pPr>
      <w:r>
        <w:rPr>
          <w:rStyle w:val="FootnoteReference"/>
        </w:rPr>
        <w:footnoteRef/>
      </w:r>
      <w:r w:rsidRPr="000B52B6">
        <w:rPr>
          <w:sz w:val="16"/>
          <w:szCs w:val="16"/>
          <w:lang w:val="en-US"/>
        </w:rPr>
        <w:t>The word “sixty” substituted by Finance Act, 2015</w:t>
      </w:r>
    </w:p>
  </w:footnote>
  <w:footnote w:id="853">
    <w:p w:rsidR="00BF2117" w:rsidRPr="00AC40F7" w:rsidRDefault="00BF2117">
      <w:pPr>
        <w:pStyle w:val="FootnoteText"/>
        <w:ind w:left="180" w:hanging="180"/>
        <w:jc w:val="both"/>
        <w:rPr>
          <w:sz w:val="16"/>
          <w:szCs w:val="16"/>
        </w:rPr>
      </w:pPr>
      <w:r w:rsidRPr="00AC40F7">
        <w:rPr>
          <w:rStyle w:val="FootnoteReference"/>
          <w:rFonts w:cs="Arial"/>
          <w:sz w:val="16"/>
          <w:szCs w:val="16"/>
        </w:rPr>
        <w:footnoteRef/>
      </w:r>
      <w:r w:rsidRPr="00AC40F7">
        <w:rPr>
          <w:sz w:val="16"/>
          <w:szCs w:val="16"/>
        </w:rPr>
        <w:t xml:space="preserve"> Inserted by the Finance Act, 2003. Earlier this was inserted by S.R.O. 633(I)/2002, dated 14.09.2002 which stands rescinded by SRO 608(I)/2003, dated 24.06.2003 with effect from 01.07.2003.</w:t>
      </w:r>
    </w:p>
  </w:footnote>
  <w:footnote w:id="85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85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words “any tax due” substituted by the Finance Act, 2003.</w:t>
      </w:r>
    </w:p>
  </w:footnote>
  <w:footnote w:id="856">
    <w:p w:rsidR="00BF2117" w:rsidRPr="00661F9B" w:rsidRDefault="00BF2117">
      <w:pPr>
        <w:pStyle w:val="FootnoteText"/>
        <w:rPr>
          <w:sz w:val="16"/>
          <w:szCs w:val="16"/>
          <w:lang w:val="en-US"/>
        </w:rPr>
      </w:pPr>
      <w:r w:rsidRPr="00661F9B">
        <w:rPr>
          <w:rStyle w:val="FootnoteReference"/>
          <w:sz w:val="16"/>
          <w:szCs w:val="16"/>
        </w:rPr>
        <w:footnoteRef/>
      </w:r>
      <w:r w:rsidRPr="00661F9B">
        <w:rPr>
          <w:sz w:val="16"/>
          <w:szCs w:val="16"/>
        </w:rPr>
        <w:t xml:space="preserve"> The word s “additional tax” substituted by the Finance Act, 2010.</w:t>
      </w:r>
    </w:p>
  </w:footnote>
  <w:footnote w:id="857">
    <w:p w:rsidR="00BF2117" w:rsidRPr="00661F9B" w:rsidRDefault="00BF2117">
      <w:pPr>
        <w:pStyle w:val="FootnoteText"/>
        <w:rPr>
          <w:sz w:val="16"/>
          <w:szCs w:val="16"/>
        </w:rPr>
      </w:pPr>
      <w:r w:rsidRPr="00661F9B">
        <w:rPr>
          <w:rStyle w:val="FootnoteReference"/>
          <w:rFonts w:cs="Arial"/>
          <w:sz w:val="16"/>
          <w:szCs w:val="16"/>
        </w:rPr>
        <w:footnoteRef/>
      </w:r>
      <w:r w:rsidRPr="00661F9B">
        <w:rPr>
          <w:sz w:val="16"/>
          <w:szCs w:val="16"/>
        </w:rPr>
        <w:t xml:space="preserve"> The brackets and figure “(1)” substituted by the Finance Act, 2003.</w:t>
      </w:r>
    </w:p>
  </w:footnote>
  <w:footnote w:id="858">
    <w:p w:rsidR="00BF2117" w:rsidRPr="00661F9B" w:rsidRDefault="00BF2117">
      <w:pPr>
        <w:pStyle w:val="FootnoteText"/>
        <w:keepNext/>
        <w:rPr>
          <w:sz w:val="16"/>
          <w:szCs w:val="16"/>
        </w:rPr>
      </w:pPr>
      <w:r w:rsidRPr="00661F9B">
        <w:rPr>
          <w:rStyle w:val="FootnoteReference"/>
          <w:rFonts w:cs="Arial"/>
          <w:sz w:val="16"/>
          <w:szCs w:val="16"/>
        </w:rPr>
        <w:footnoteRef/>
      </w:r>
      <w:r w:rsidRPr="00661F9B">
        <w:rPr>
          <w:sz w:val="16"/>
          <w:szCs w:val="16"/>
        </w:rPr>
        <w:t xml:space="preserve"> Sub-section (7) omitted by the Finance Act, 2002. The omitted sub-section (7) read as under:</w:t>
      </w:r>
    </w:p>
    <w:p w:rsidR="00BF2117" w:rsidRPr="00661F9B" w:rsidRDefault="00BF2117">
      <w:pPr>
        <w:ind w:left="180" w:firstLine="367"/>
        <w:jc w:val="both"/>
        <w:rPr>
          <w:rFonts w:cs="Arial"/>
          <w:sz w:val="16"/>
          <w:szCs w:val="16"/>
        </w:rPr>
      </w:pPr>
      <w:r w:rsidRPr="00661F9B">
        <w:rPr>
          <w:rFonts w:cs="Arial"/>
          <w:sz w:val="16"/>
          <w:szCs w:val="16"/>
        </w:rPr>
        <w:t>“(7)</w:t>
      </w:r>
      <w:r w:rsidRPr="00661F9B">
        <w:rPr>
          <w:rFonts w:cs="Arial"/>
          <w:sz w:val="16"/>
          <w:szCs w:val="16"/>
        </w:rPr>
        <w:tab/>
        <w:t>A taxpayer dissatisfied with a decision under sub-section (4) may challenge the decision only under Part III of this Chapter.”</w:t>
      </w:r>
    </w:p>
  </w:footnote>
  <w:footnote w:id="859">
    <w:p w:rsidR="00BF2117" w:rsidRPr="00661F9B" w:rsidRDefault="00BF2117">
      <w:pPr>
        <w:keepNext/>
        <w:ind w:left="270" w:hanging="270"/>
        <w:jc w:val="both"/>
        <w:rPr>
          <w:sz w:val="16"/>
          <w:szCs w:val="16"/>
        </w:rPr>
      </w:pPr>
      <w:r w:rsidRPr="00661F9B">
        <w:rPr>
          <w:rStyle w:val="FootnoteReference"/>
          <w:rFonts w:cs="Arial"/>
          <w:sz w:val="16"/>
          <w:szCs w:val="16"/>
        </w:rPr>
        <w:footnoteRef/>
      </w:r>
      <w:r w:rsidRPr="00661F9B">
        <w:rPr>
          <w:sz w:val="16"/>
          <w:szCs w:val="16"/>
        </w:rPr>
        <w:t xml:space="preserve"> Section 138 substituted by Finance Act, 2002. The substituted section 138 read as follows:</w:t>
      </w:r>
    </w:p>
    <w:p w:rsidR="00BF2117" w:rsidRPr="00661F9B" w:rsidRDefault="00BF2117">
      <w:pPr>
        <w:keepNext/>
        <w:ind w:left="180"/>
        <w:jc w:val="both"/>
        <w:rPr>
          <w:rFonts w:cs="Arial"/>
          <w:sz w:val="16"/>
          <w:szCs w:val="16"/>
        </w:rPr>
      </w:pPr>
      <w:r w:rsidRPr="00661F9B">
        <w:rPr>
          <w:rFonts w:cs="Arial"/>
          <w:sz w:val="16"/>
          <w:szCs w:val="16"/>
        </w:rPr>
        <w:t>“</w:t>
      </w:r>
      <w:r w:rsidRPr="00661F9B">
        <w:rPr>
          <w:rFonts w:cs="Arial"/>
          <w:b/>
          <w:sz w:val="16"/>
          <w:szCs w:val="16"/>
        </w:rPr>
        <w:t>138. Tax as a debt due to the Federal Government.-</w:t>
      </w:r>
      <w:r w:rsidRPr="00661F9B">
        <w:rPr>
          <w:rFonts w:cs="Arial"/>
          <w:sz w:val="16"/>
          <w:szCs w:val="16"/>
        </w:rPr>
        <w:t xml:space="preserve"> (1)  Any tax due under this Ordinance by a taxpayer shall be a debt due to the Federal Government and shall be payable in the manner and at the place prescribed.</w:t>
      </w:r>
    </w:p>
    <w:p w:rsidR="00BF2117" w:rsidRPr="00661F9B" w:rsidRDefault="00BF2117">
      <w:pPr>
        <w:keepNext/>
        <w:ind w:left="180" w:firstLine="367"/>
        <w:jc w:val="both"/>
        <w:rPr>
          <w:rFonts w:cs="Arial"/>
          <w:sz w:val="16"/>
          <w:szCs w:val="16"/>
        </w:rPr>
      </w:pPr>
      <w:r w:rsidRPr="00661F9B">
        <w:rPr>
          <w:rFonts w:cs="Arial"/>
          <w:sz w:val="16"/>
          <w:szCs w:val="16"/>
        </w:rPr>
        <w:t>(2)</w:t>
      </w:r>
      <w:r w:rsidRPr="00661F9B">
        <w:rPr>
          <w:rFonts w:cs="Arial"/>
          <w:sz w:val="16"/>
          <w:szCs w:val="16"/>
        </w:rPr>
        <w:tab/>
        <w:t>Any tax that has not been paid by the due date may be sued for and recovered in any court of competent jurisdiction by the Commissioner acting in the Commissioner’s official name.</w:t>
      </w:r>
    </w:p>
    <w:p w:rsidR="00BF2117" w:rsidRPr="00661F9B" w:rsidRDefault="00BF2117">
      <w:pPr>
        <w:ind w:left="180" w:firstLine="367"/>
        <w:jc w:val="both"/>
        <w:rPr>
          <w:rFonts w:cs="Arial"/>
          <w:sz w:val="16"/>
          <w:szCs w:val="16"/>
        </w:rPr>
      </w:pPr>
      <w:r w:rsidRPr="00661F9B">
        <w:rPr>
          <w:rFonts w:cs="Arial"/>
          <w:sz w:val="16"/>
          <w:szCs w:val="16"/>
        </w:rPr>
        <w:t>(3)</w:t>
      </w:r>
      <w:r w:rsidRPr="00661F9B">
        <w:rPr>
          <w:rFonts w:cs="Arial"/>
          <w:sz w:val="16"/>
          <w:szCs w:val="16"/>
        </w:rPr>
        <w:tab/>
        <w:t xml:space="preserve">In any suit under sub-section (2), the production of a certificate signed by the Commissioner stating the name and address of the taxpayer and the amount of tax due shall be conclusive evidence of the amount of tax due by such taxpayer.” </w:t>
      </w:r>
    </w:p>
  </w:footnote>
  <w:footnote w:id="860">
    <w:p w:rsidR="00BF2117" w:rsidRPr="00661F9B" w:rsidRDefault="00BF2117">
      <w:pPr>
        <w:pStyle w:val="FootnoteText"/>
        <w:rPr>
          <w:sz w:val="16"/>
          <w:szCs w:val="16"/>
          <w:lang w:val="en-US"/>
        </w:rPr>
      </w:pPr>
      <w:r w:rsidRPr="00661F9B">
        <w:rPr>
          <w:rStyle w:val="FootnoteReference"/>
          <w:sz w:val="16"/>
          <w:szCs w:val="16"/>
        </w:rPr>
        <w:footnoteRef/>
      </w:r>
      <w:r w:rsidRPr="00661F9B">
        <w:rPr>
          <w:sz w:val="16"/>
          <w:szCs w:val="16"/>
        </w:rPr>
        <w:t xml:space="preserve"> The words “Central Board of Revenue” substituted by the Finance Act, 2007.</w:t>
      </w:r>
    </w:p>
  </w:footnote>
  <w:footnote w:id="861">
    <w:p w:rsidR="00BF2117" w:rsidRPr="00661F9B" w:rsidRDefault="00BF2117">
      <w:pPr>
        <w:pStyle w:val="FootnoteText"/>
        <w:rPr>
          <w:sz w:val="16"/>
          <w:szCs w:val="16"/>
        </w:rPr>
      </w:pPr>
      <w:r w:rsidRPr="00661F9B">
        <w:rPr>
          <w:rStyle w:val="FootnoteReference"/>
          <w:rFonts w:cs="Arial"/>
          <w:sz w:val="16"/>
          <w:szCs w:val="16"/>
        </w:rPr>
        <w:footnoteRef/>
      </w:r>
      <w:r w:rsidRPr="00661F9B">
        <w:rPr>
          <w:sz w:val="16"/>
          <w:szCs w:val="16"/>
        </w:rPr>
        <w:t xml:space="preserve"> Inserted by the Finance Act, 2002.</w:t>
      </w:r>
    </w:p>
  </w:footnote>
  <w:footnote w:id="862">
    <w:p w:rsidR="00BF2117" w:rsidRPr="00661F9B" w:rsidRDefault="00BF2117">
      <w:pPr>
        <w:pStyle w:val="FootnoteText"/>
        <w:rPr>
          <w:sz w:val="16"/>
          <w:szCs w:val="16"/>
          <w:lang w:val="en-US"/>
        </w:rPr>
      </w:pPr>
      <w:r w:rsidRPr="00661F9B">
        <w:rPr>
          <w:rStyle w:val="FootnoteReference"/>
          <w:sz w:val="16"/>
          <w:szCs w:val="16"/>
        </w:rPr>
        <w:footnoteRef/>
      </w:r>
      <w:r w:rsidRPr="00661F9B">
        <w:rPr>
          <w:sz w:val="16"/>
          <w:szCs w:val="16"/>
        </w:rPr>
        <w:t xml:space="preserve"> Added by the Finance Act, 2010.</w:t>
      </w:r>
    </w:p>
  </w:footnote>
  <w:footnote w:id="863">
    <w:p w:rsidR="00BF2117" w:rsidRPr="00966F3F" w:rsidRDefault="00BF2117">
      <w:pPr>
        <w:pStyle w:val="FootnoteText"/>
        <w:rPr>
          <w:color w:val="0070C0"/>
          <w:sz w:val="16"/>
          <w:szCs w:val="16"/>
          <w:lang w:val="en-US"/>
        </w:rPr>
      </w:pPr>
      <w:r w:rsidRPr="00966F3F">
        <w:rPr>
          <w:rStyle w:val="FootnoteReference"/>
          <w:color w:val="0070C0"/>
          <w:sz w:val="16"/>
          <w:szCs w:val="16"/>
        </w:rPr>
        <w:footnoteRef/>
      </w:r>
      <w:r w:rsidRPr="00966F3F">
        <w:rPr>
          <w:color w:val="0070C0"/>
          <w:sz w:val="16"/>
          <w:szCs w:val="16"/>
        </w:rPr>
        <w:t xml:space="preserve"> Full-stop substituted by the Finance Act, 2016.</w:t>
      </w:r>
    </w:p>
  </w:footnote>
  <w:footnote w:id="864">
    <w:p w:rsidR="00BF2117" w:rsidRPr="00D8296D" w:rsidRDefault="00BF2117">
      <w:pPr>
        <w:pStyle w:val="FootnoteText"/>
        <w:rPr>
          <w:color w:val="FF0066"/>
          <w:sz w:val="16"/>
          <w:szCs w:val="16"/>
          <w:lang w:val="en-US"/>
        </w:rPr>
      </w:pPr>
      <w:r w:rsidRPr="00966F3F">
        <w:rPr>
          <w:rStyle w:val="FootnoteReference"/>
          <w:color w:val="0070C0"/>
          <w:sz w:val="16"/>
          <w:szCs w:val="16"/>
        </w:rPr>
        <w:footnoteRef/>
      </w:r>
      <w:r w:rsidRPr="00966F3F">
        <w:rPr>
          <w:color w:val="0070C0"/>
          <w:sz w:val="16"/>
          <w:szCs w:val="16"/>
        </w:rPr>
        <w:t xml:space="preserve"> Added by the Finance Act, 2016.</w:t>
      </w:r>
    </w:p>
  </w:footnote>
  <w:footnote w:id="865">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Sub-section (7) omitted by the Finance Act, 2003. The omitted sub-section (7) read as follows: </w:t>
      </w:r>
    </w:p>
    <w:p w:rsidR="00BF2117" w:rsidRPr="00412620" w:rsidRDefault="00BF2117">
      <w:pPr>
        <w:ind w:left="180" w:firstLine="367"/>
        <w:jc w:val="both"/>
        <w:rPr>
          <w:rFonts w:cs="Arial"/>
          <w:sz w:val="16"/>
        </w:rPr>
      </w:pPr>
      <w:r w:rsidRPr="00412620">
        <w:rPr>
          <w:rFonts w:cs="Arial"/>
          <w:sz w:val="16"/>
        </w:rPr>
        <w:t>“(7)</w:t>
      </w:r>
      <w:r w:rsidRPr="00412620">
        <w:rPr>
          <w:rFonts w:cs="Arial"/>
          <w:sz w:val="16"/>
        </w:rPr>
        <w:tab/>
        <w:t>Where an amount has been paid under sub-section (1), the taxpayer shall be allowed a tax credit for the amount (unless the amount paid represents a final tax on the taxpayer’s income) in computing the tax due by the taxpayer on the taxpayer’s taxable income for the tax year in which the amount was paid.”</w:t>
      </w:r>
    </w:p>
  </w:footnote>
  <w:footnote w:id="866">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Sub-section (8) omitted by the Finance Act, 2003. The omitted sub-section (8) read as follows:</w:t>
      </w:r>
    </w:p>
    <w:p w:rsidR="00BF2117" w:rsidRPr="00412620" w:rsidRDefault="00BF2117">
      <w:pPr>
        <w:ind w:left="180" w:firstLine="367"/>
        <w:jc w:val="both"/>
        <w:rPr>
          <w:rFonts w:cs="Arial"/>
          <w:sz w:val="16"/>
        </w:rPr>
      </w:pPr>
      <w:r w:rsidRPr="00412620">
        <w:rPr>
          <w:rFonts w:cs="Arial"/>
          <w:sz w:val="16"/>
        </w:rPr>
        <w:t>“(8)</w:t>
      </w:r>
      <w:r w:rsidRPr="00412620">
        <w:rPr>
          <w:rFonts w:cs="Arial"/>
          <w:sz w:val="16"/>
        </w:rPr>
        <w:tab/>
        <w:t>The tax credit allowed under this section shall be applied in accordance with sub-section (3) of section 4.”</w:t>
      </w:r>
    </w:p>
  </w:footnote>
  <w:footnote w:id="867">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Sub-section (9) omitted by the Finance Act, 2003. The omitted sub-section (9) read as follows: </w:t>
      </w:r>
    </w:p>
    <w:p w:rsidR="00BF2117" w:rsidRPr="00412620" w:rsidRDefault="00BF2117">
      <w:pPr>
        <w:ind w:left="180" w:firstLine="367"/>
        <w:jc w:val="both"/>
        <w:rPr>
          <w:rFonts w:cs="Arial"/>
          <w:sz w:val="16"/>
        </w:rPr>
      </w:pPr>
      <w:r w:rsidRPr="00412620">
        <w:rPr>
          <w:rFonts w:cs="Arial"/>
          <w:sz w:val="16"/>
        </w:rPr>
        <w:t>“(9)</w:t>
      </w:r>
      <w:r w:rsidRPr="00412620">
        <w:rPr>
          <w:rFonts w:cs="Arial"/>
          <w:sz w:val="16"/>
        </w:rPr>
        <w:tab/>
        <w:t>A tax credit or part of a tax credit allowed under this section for a tax year that is not able to be credited under sub-section (3) of section 4 for the year must be refunded to the taxpayer in accordance with section 170.”</w:t>
      </w:r>
    </w:p>
  </w:footnote>
  <w:footnote w:id="868">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869">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words “shall be” omitted by the Finance Act, 2003.</w:t>
      </w:r>
    </w:p>
  </w:footnote>
  <w:footnote w:id="870">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871">
    <w:p w:rsidR="00BF2117" w:rsidRPr="00661F9B" w:rsidRDefault="00BF2117">
      <w:pPr>
        <w:pStyle w:val="FootnoteText"/>
        <w:keepNext/>
        <w:rPr>
          <w:sz w:val="16"/>
          <w:szCs w:val="16"/>
        </w:rPr>
      </w:pPr>
      <w:r w:rsidRPr="00661F9B">
        <w:rPr>
          <w:rStyle w:val="FootnoteReference"/>
          <w:rFonts w:cs="Arial"/>
          <w:sz w:val="16"/>
          <w:szCs w:val="16"/>
        </w:rPr>
        <w:footnoteRef/>
      </w:r>
      <w:r w:rsidRPr="00661F9B">
        <w:rPr>
          <w:sz w:val="16"/>
          <w:szCs w:val="16"/>
        </w:rPr>
        <w:t xml:space="preserve"> Section 145 substituted by the Finance Act, 2003. The substituted section 145 read as follows: </w:t>
      </w:r>
    </w:p>
    <w:p w:rsidR="00BF2117" w:rsidRPr="00661F9B" w:rsidRDefault="00BF2117">
      <w:pPr>
        <w:keepNext/>
        <w:ind w:left="180"/>
        <w:jc w:val="both"/>
        <w:rPr>
          <w:rFonts w:cs="Arial"/>
          <w:sz w:val="16"/>
          <w:szCs w:val="16"/>
        </w:rPr>
      </w:pPr>
      <w:r w:rsidRPr="00661F9B">
        <w:rPr>
          <w:rFonts w:cs="Arial"/>
          <w:sz w:val="16"/>
          <w:szCs w:val="16"/>
        </w:rPr>
        <w:t>“</w:t>
      </w:r>
      <w:r w:rsidRPr="00661F9B">
        <w:rPr>
          <w:rFonts w:cs="Arial"/>
          <w:b/>
          <w:sz w:val="16"/>
          <w:szCs w:val="16"/>
        </w:rPr>
        <w:t>145. Collection of tax from persons leaving Pakistan permanently.-</w:t>
      </w:r>
      <w:r w:rsidRPr="00661F9B">
        <w:rPr>
          <w:rFonts w:cs="Arial"/>
          <w:sz w:val="16"/>
          <w:szCs w:val="16"/>
        </w:rPr>
        <w:t xml:space="preserve"> (1)  Where the Commissioner has reasonable grounds to believe that a person may leave Pakistan permanently without paying tax due under this Ordinance, the Commissioner may issue a certificate containing particulars of the tax due to the Commissioner of Immigration and request the Commissioner of Immigration to prevent that person from leaving Pakistan until that person -</w:t>
      </w:r>
    </w:p>
    <w:p w:rsidR="00BF2117" w:rsidRPr="00661F9B" w:rsidRDefault="00BF2117">
      <w:pPr>
        <w:keepNext/>
        <w:ind w:left="547" w:firstLine="547"/>
        <w:jc w:val="both"/>
        <w:rPr>
          <w:rFonts w:cs="Arial"/>
          <w:sz w:val="16"/>
          <w:szCs w:val="16"/>
        </w:rPr>
      </w:pPr>
      <w:r w:rsidRPr="00661F9B">
        <w:rPr>
          <w:rFonts w:cs="Arial"/>
          <w:sz w:val="16"/>
          <w:szCs w:val="16"/>
        </w:rPr>
        <w:t>(a)</w:t>
      </w:r>
      <w:r w:rsidRPr="00661F9B">
        <w:rPr>
          <w:rFonts w:cs="Arial"/>
          <w:sz w:val="16"/>
          <w:szCs w:val="16"/>
        </w:rPr>
        <w:tab/>
        <w:t>makes payment of tax in full; or</w:t>
      </w:r>
    </w:p>
    <w:p w:rsidR="00BF2117" w:rsidRPr="00661F9B" w:rsidRDefault="00BF2117">
      <w:pPr>
        <w:keepNext/>
        <w:ind w:left="1634" w:hanging="540"/>
        <w:jc w:val="both"/>
        <w:rPr>
          <w:rFonts w:cs="Arial"/>
          <w:sz w:val="16"/>
          <w:szCs w:val="16"/>
        </w:rPr>
      </w:pPr>
      <w:r w:rsidRPr="00661F9B">
        <w:rPr>
          <w:rFonts w:cs="Arial"/>
          <w:sz w:val="16"/>
          <w:szCs w:val="16"/>
        </w:rPr>
        <w:t>(b)</w:t>
      </w:r>
      <w:r w:rsidRPr="00661F9B">
        <w:rPr>
          <w:rFonts w:cs="Arial"/>
          <w:sz w:val="16"/>
          <w:szCs w:val="16"/>
        </w:rPr>
        <w:tab/>
        <w:t>makes an arrangement satisfactory to the Commissioner for payment of the tax due.</w:t>
      </w:r>
    </w:p>
    <w:p w:rsidR="00BF2117" w:rsidRPr="00661F9B" w:rsidRDefault="00BF2117">
      <w:pPr>
        <w:keepNext/>
        <w:ind w:left="180" w:firstLine="367"/>
        <w:jc w:val="both"/>
        <w:rPr>
          <w:rFonts w:cs="Arial"/>
          <w:sz w:val="16"/>
          <w:szCs w:val="16"/>
        </w:rPr>
      </w:pPr>
      <w:r w:rsidRPr="00661F9B">
        <w:rPr>
          <w:rFonts w:cs="Arial"/>
          <w:sz w:val="16"/>
          <w:szCs w:val="16"/>
        </w:rPr>
        <w:t>(2)</w:t>
      </w:r>
      <w:r w:rsidRPr="00661F9B">
        <w:rPr>
          <w:rFonts w:cs="Arial"/>
          <w:sz w:val="16"/>
          <w:szCs w:val="16"/>
        </w:rPr>
        <w:tab/>
        <w:t>A copy of a certificate issued under sub-section (1) shall be served on the person named in the certificate if it is practicable to do so.</w:t>
      </w:r>
    </w:p>
    <w:p w:rsidR="00BF2117" w:rsidRPr="00661F9B" w:rsidRDefault="00BF2117">
      <w:pPr>
        <w:ind w:left="180" w:firstLine="367"/>
        <w:jc w:val="both"/>
        <w:rPr>
          <w:rFonts w:cs="Arial"/>
          <w:sz w:val="16"/>
          <w:szCs w:val="16"/>
        </w:rPr>
      </w:pPr>
      <w:r w:rsidRPr="00661F9B">
        <w:rPr>
          <w:rFonts w:cs="Arial"/>
          <w:sz w:val="16"/>
          <w:szCs w:val="16"/>
        </w:rPr>
        <w:t>(3)</w:t>
      </w:r>
      <w:r w:rsidRPr="00661F9B">
        <w:rPr>
          <w:rFonts w:cs="Arial"/>
          <w:sz w:val="16"/>
          <w:szCs w:val="16"/>
        </w:rPr>
        <w:tab/>
        <w:t>Payment of the tax specified in the certificate to a customs or immigration officer or the production of a certificate signed by the Commissioner stating that the tax has been paid or satisfactory arrangements for payment have been made shall be sufficient authority for allowing the person to leave Pakistan.”</w:t>
      </w:r>
    </w:p>
  </w:footnote>
  <w:footnote w:id="872">
    <w:p w:rsidR="00BF2117" w:rsidRPr="00661F9B" w:rsidRDefault="00BF2117">
      <w:pPr>
        <w:pStyle w:val="FootnoteText"/>
        <w:rPr>
          <w:sz w:val="16"/>
          <w:szCs w:val="16"/>
        </w:rPr>
      </w:pPr>
      <w:r w:rsidRPr="00661F9B">
        <w:rPr>
          <w:rStyle w:val="FootnoteReference"/>
          <w:rFonts w:cs="Arial"/>
          <w:sz w:val="16"/>
          <w:szCs w:val="16"/>
        </w:rPr>
        <w:footnoteRef/>
      </w:r>
      <w:r w:rsidRPr="00661F9B">
        <w:rPr>
          <w:sz w:val="16"/>
          <w:szCs w:val="16"/>
        </w:rPr>
        <w:t xml:space="preserve"> Inserted by the Finance Act, 2002.</w:t>
      </w:r>
    </w:p>
  </w:footnote>
  <w:footnote w:id="873">
    <w:p w:rsidR="00BF2117" w:rsidRPr="00661F9B" w:rsidRDefault="00BF2117">
      <w:pPr>
        <w:pStyle w:val="FootnoteText"/>
        <w:rPr>
          <w:sz w:val="16"/>
          <w:szCs w:val="16"/>
          <w:lang w:val="en-US"/>
        </w:rPr>
      </w:pPr>
      <w:r w:rsidRPr="00661F9B">
        <w:rPr>
          <w:rStyle w:val="FootnoteReference"/>
          <w:sz w:val="16"/>
          <w:szCs w:val="16"/>
        </w:rPr>
        <w:footnoteRef/>
      </w:r>
      <w:r w:rsidRPr="00661F9B">
        <w:rPr>
          <w:sz w:val="16"/>
          <w:szCs w:val="16"/>
          <w:lang w:val="en-US"/>
        </w:rPr>
        <w:t>Inserted by the Finance Act, 2008.</w:t>
      </w:r>
    </w:p>
  </w:footnote>
  <w:footnote w:id="874">
    <w:p w:rsidR="00BF2117" w:rsidRPr="00661F9B" w:rsidRDefault="00BF2117" w:rsidP="00AB15B4">
      <w:pPr>
        <w:pStyle w:val="FootnoteText"/>
        <w:ind w:left="180" w:hanging="180"/>
        <w:jc w:val="both"/>
        <w:rPr>
          <w:sz w:val="16"/>
          <w:szCs w:val="16"/>
          <w:lang w:val="en-US"/>
        </w:rPr>
      </w:pPr>
      <w:r w:rsidRPr="00661F9B">
        <w:rPr>
          <w:rStyle w:val="FootnoteReference"/>
          <w:sz w:val="16"/>
          <w:szCs w:val="16"/>
        </w:rPr>
        <w:footnoteRef/>
      </w:r>
      <w:r w:rsidRPr="00661F9B">
        <w:rPr>
          <w:sz w:val="16"/>
          <w:szCs w:val="16"/>
          <w:lang w:val="en-US"/>
        </w:rPr>
        <w:t>The word “additional tax”  substituted by the Finance Act, 2010.</w:t>
      </w:r>
      <w:r w:rsidRPr="00661F9B">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875">
    <w:p w:rsidR="00BF2117" w:rsidRPr="004E3ABA" w:rsidRDefault="00BF2117">
      <w:pPr>
        <w:pStyle w:val="FootnoteText"/>
        <w:ind w:left="180" w:hanging="180"/>
        <w:rPr>
          <w:sz w:val="16"/>
          <w:szCs w:val="16"/>
        </w:rPr>
      </w:pPr>
      <w:r w:rsidRPr="004E3ABA">
        <w:rPr>
          <w:rStyle w:val="FootnoteReference"/>
          <w:rFonts w:cs="Arial"/>
          <w:sz w:val="16"/>
          <w:szCs w:val="16"/>
        </w:rPr>
        <w:footnoteRef/>
      </w:r>
      <w:r w:rsidRPr="004E3ABA">
        <w:rPr>
          <w:sz w:val="16"/>
          <w:szCs w:val="16"/>
        </w:rPr>
        <w:t xml:space="preserve"> The words “who derives or expects to derive income chargeable to tax under this Ordinance in a tax year” substituted by the Finance Act, 2003.</w:t>
      </w:r>
    </w:p>
  </w:footnote>
  <w:footnote w:id="876">
    <w:p w:rsidR="00BF2117" w:rsidRPr="004E3ABA" w:rsidRDefault="00BF2117">
      <w:pPr>
        <w:pStyle w:val="FootnoteText"/>
        <w:rPr>
          <w:sz w:val="16"/>
          <w:szCs w:val="16"/>
        </w:rPr>
      </w:pPr>
      <w:r w:rsidRPr="004E3ABA">
        <w:rPr>
          <w:rStyle w:val="FootnoteReference"/>
          <w:sz w:val="16"/>
          <w:szCs w:val="16"/>
        </w:rPr>
        <w:footnoteRef/>
      </w:r>
      <w:r w:rsidRPr="004E3ABA">
        <w:rPr>
          <w:sz w:val="16"/>
          <w:szCs w:val="16"/>
        </w:rPr>
        <w:t xml:space="preserve"> Clause (a) omitted by the Finance Act, 2010. Omitted clause (a) read as follows:</w:t>
      </w:r>
    </w:p>
    <w:p w:rsidR="00BF2117" w:rsidRPr="004E3ABA" w:rsidRDefault="00BF2117" w:rsidP="00AF07D4">
      <w:pPr>
        <w:jc w:val="both"/>
        <w:rPr>
          <w:sz w:val="16"/>
          <w:szCs w:val="16"/>
          <w:lang w:val="en-US"/>
        </w:rPr>
      </w:pPr>
      <w:r w:rsidRPr="004E3ABA">
        <w:rPr>
          <w:sz w:val="16"/>
          <w:szCs w:val="16"/>
        </w:rPr>
        <w:tab/>
        <w:t xml:space="preserve">   “(a)</w:t>
      </w:r>
      <w:r w:rsidRPr="004E3ABA">
        <w:rPr>
          <w:sz w:val="16"/>
          <w:szCs w:val="16"/>
        </w:rPr>
        <w:tab/>
        <w:t>income chargeable to tax under the head “Capital Gains”;</w:t>
      </w:r>
    </w:p>
  </w:footnote>
  <w:footnote w:id="877">
    <w:p w:rsidR="00BF2117" w:rsidRPr="004E3ABA" w:rsidRDefault="00BF2117">
      <w:pPr>
        <w:pStyle w:val="FootnoteText"/>
        <w:rPr>
          <w:sz w:val="16"/>
          <w:szCs w:val="16"/>
        </w:rPr>
      </w:pPr>
      <w:r w:rsidRPr="004E3ABA">
        <w:rPr>
          <w:rStyle w:val="FootnoteReference"/>
          <w:sz w:val="16"/>
          <w:szCs w:val="16"/>
        </w:rPr>
        <w:footnoteRef/>
      </w:r>
      <w:r w:rsidRPr="004E3ABA">
        <w:rPr>
          <w:sz w:val="16"/>
          <w:szCs w:val="16"/>
        </w:rPr>
        <w:t xml:space="preserve"> Clause (ba) omitted by the Finance Act, 2013. The omitted clause (ba) read as follows:</w:t>
      </w:r>
    </w:p>
    <w:p w:rsidR="00BF2117" w:rsidRPr="004E3ABA" w:rsidRDefault="00BF2117" w:rsidP="00AF07D4">
      <w:pPr>
        <w:ind w:left="1620" w:hanging="990"/>
        <w:jc w:val="both"/>
        <w:rPr>
          <w:sz w:val="16"/>
          <w:szCs w:val="16"/>
          <w:lang w:val="en-US"/>
        </w:rPr>
      </w:pPr>
      <w:r w:rsidRPr="004E3ABA">
        <w:rPr>
          <w:sz w:val="16"/>
          <w:szCs w:val="16"/>
        </w:rPr>
        <w:t>“</w:t>
      </w:r>
      <w:r w:rsidRPr="004E3ABA">
        <w:rPr>
          <w:rFonts w:cs="Arial"/>
          <w:sz w:val="16"/>
          <w:szCs w:val="16"/>
        </w:rPr>
        <w:t>(ba)   income chargeable to tax under section 15;”</w:t>
      </w:r>
    </w:p>
  </w:footnote>
  <w:footnote w:id="878">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 “or” substituted by the Finance Act, 2009.</w:t>
      </w:r>
    </w:p>
  </w:footnote>
  <w:footnote w:id="879">
    <w:p w:rsidR="00BF2117" w:rsidRPr="004E3ABA" w:rsidRDefault="00BF2117">
      <w:pPr>
        <w:pStyle w:val="FootnoteText"/>
        <w:rPr>
          <w:sz w:val="16"/>
          <w:szCs w:val="16"/>
        </w:rPr>
      </w:pPr>
      <w:r w:rsidRPr="004E3ABA">
        <w:rPr>
          <w:rStyle w:val="FootnoteReference"/>
          <w:sz w:val="16"/>
          <w:szCs w:val="16"/>
        </w:rPr>
        <w:footnoteRef/>
      </w:r>
      <w:r w:rsidRPr="004E3ABA">
        <w:rPr>
          <w:sz w:val="16"/>
          <w:szCs w:val="16"/>
        </w:rPr>
        <w:t xml:space="preserve"> Clause (ca) omitted by the Finance Act, 2009. The omitted clause (ca) read as follows:</w:t>
      </w:r>
    </w:p>
    <w:p w:rsidR="00BF2117" w:rsidRPr="004E3ABA" w:rsidRDefault="00BF2117" w:rsidP="009E7901">
      <w:pPr>
        <w:pStyle w:val="FootnoteText"/>
        <w:ind w:hanging="540"/>
        <w:rPr>
          <w:sz w:val="16"/>
          <w:szCs w:val="16"/>
          <w:lang w:val="en-US"/>
        </w:rPr>
      </w:pPr>
      <w:r w:rsidRPr="004E3ABA">
        <w:rPr>
          <w:sz w:val="16"/>
          <w:szCs w:val="16"/>
        </w:rPr>
        <w:t>“</w:t>
      </w:r>
      <w:r w:rsidRPr="004E3ABA">
        <w:rPr>
          <w:rFonts w:cs="Arial"/>
          <w:sz w:val="16"/>
          <w:szCs w:val="16"/>
        </w:rPr>
        <w:t xml:space="preserve">(ca) </w:t>
      </w:r>
      <w:r w:rsidRPr="004E3ABA">
        <w:rPr>
          <w:rFonts w:cs="Arial"/>
          <w:sz w:val="16"/>
          <w:szCs w:val="16"/>
        </w:rPr>
        <w:tab/>
        <w:t>income chargeable to tax under section 233 and clauses (a) and (b) of sub-section (1) of section 233A;”</w:t>
      </w:r>
    </w:p>
  </w:footnote>
  <w:footnote w:id="880">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Inserted by the Finance Act, 2009.</w:t>
      </w:r>
    </w:p>
  </w:footnote>
  <w:footnote w:id="881">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words “or association of persons” omitted by the Finance Act, 2010.</w:t>
      </w:r>
    </w:p>
  </w:footnote>
  <w:footnote w:id="882">
    <w:p w:rsidR="00BF2117" w:rsidRPr="004E3ABA" w:rsidRDefault="00BF2117">
      <w:pPr>
        <w:pStyle w:val="FootnoteText"/>
        <w:rPr>
          <w:sz w:val="16"/>
          <w:szCs w:val="16"/>
        </w:rPr>
      </w:pPr>
      <w:r w:rsidRPr="004E3ABA">
        <w:rPr>
          <w:rStyle w:val="FootnoteReference"/>
          <w:rFonts w:cs="Arial"/>
          <w:sz w:val="16"/>
          <w:szCs w:val="16"/>
        </w:rPr>
        <w:footnoteRef/>
      </w:r>
      <w:r w:rsidRPr="004E3ABA">
        <w:rPr>
          <w:sz w:val="16"/>
          <w:szCs w:val="16"/>
        </w:rPr>
        <w:t xml:space="preserve"> Inserted by the Finance Act, 2002.</w:t>
      </w:r>
    </w:p>
  </w:footnote>
  <w:footnote w:id="883">
    <w:p w:rsidR="00BF2117" w:rsidRPr="004E3ABA" w:rsidRDefault="00BF2117">
      <w:pPr>
        <w:pStyle w:val="FootnoteText"/>
        <w:rPr>
          <w:sz w:val="16"/>
          <w:szCs w:val="16"/>
        </w:rPr>
      </w:pPr>
      <w:r w:rsidRPr="004E3ABA">
        <w:rPr>
          <w:rStyle w:val="FootnoteReference"/>
          <w:rFonts w:cs="Arial"/>
          <w:sz w:val="16"/>
          <w:szCs w:val="16"/>
        </w:rPr>
        <w:footnoteRef/>
      </w:r>
      <w:r w:rsidRPr="004E3ABA">
        <w:rPr>
          <w:sz w:val="16"/>
          <w:szCs w:val="16"/>
        </w:rPr>
        <w:t xml:space="preserve"> The words “one hundred and fifty thousand” substituted by the Finance Act, 2003.</w:t>
      </w:r>
    </w:p>
  </w:footnote>
  <w:footnote w:id="884">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 “two” substituted by the Finance Act, 2010.</w:t>
      </w:r>
    </w:p>
  </w:footnote>
  <w:footnote w:id="885">
    <w:p w:rsidR="00BF2117" w:rsidRPr="004E3ABA" w:rsidRDefault="00BF2117">
      <w:pPr>
        <w:pStyle w:val="FootnoteText"/>
        <w:keepNext/>
        <w:rPr>
          <w:sz w:val="16"/>
          <w:szCs w:val="16"/>
        </w:rPr>
      </w:pPr>
      <w:r w:rsidRPr="004E3ABA">
        <w:rPr>
          <w:rStyle w:val="FootnoteReference"/>
          <w:rFonts w:cs="Arial"/>
          <w:sz w:val="16"/>
          <w:szCs w:val="16"/>
        </w:rPr>
        <w:footnoteRef/>
      </w:r>
      <w:r w:rsidRPr="004E3ABA">
        <w:rPr>
          <w:sz w:val="16"/>
          <w:szCs w:val="16"/>
        </w:rPr>
        <w:t xml:space="preserve"> Sub-section (3) omitted by the Finance Act, 2004. The omitted sub-section (3) read as follows: </w:t>
      </w:r>
    </w:p>
    <w:p w:rsidR="00BF2117" w:rsidRPr="004E3ABA" w:rsidRDefault="00BF2117" w:rsidP="004B4095">
      <w:pPr>
        <w:keepNext/>
        <w:ind w:left="180" w:firstLine="547"/>
        <w:jc w:val="both"/>
        <w:rPr>
          <w:sz w:val="16"/>
          <w:szCs w:val="16"/>
        </w:rPr>
      </w:pPr>
      <w:r w:rsidRPr="004E3ABA">
        <w:rPr>
          <w:rFonts w:cs="Arial"/>
          <w:sz w:val="16"/>
          <w:szCs w:val="16"/>
        </w:rPr>
        <w:t>“(3)</w:t>
      </w:r>
      <w:r w:rsidRPr="004E3ABA">
        <w:rPr>
          <w:rFonts w:cs="Arial"/>
          <w:sz w:val="16"/>
          <w:szCs w:val="16"/>
        </w:rPr>
        <w:tab/>
        <w:t>Advance tax shall be payable by a taxpayer in respect of the following periods, namely</w:t>
      </w:r>
      <w:r w:rsidRPr="004E3ABA">
        <w:rPr>
          <w:sz w:val="16"/>
          <w:szCs w:val="16"/>
        </w:rPr>
        <w:t>:–</w:t>
      </w:r>
    </w:p>
    <w:p w:rsidR="00BF2117" w:rsidRPr="004E3ABA" w:rsidRDefault="00BF2117">
      <w:pPr>
        <w:keepNext/>
        <w:ind w:left="1440" w:hanging="360"/>
        <w:jc w:val="both"/>
        <w:rPr>
          <w:rFonts w:cs="Arial"/>
          <w:sz w:val="16"/>
          <w:szCs w:val="16"/>
        </w:rPr>
      </w:pPr>
      <w:r w:rsidRPr="004E3ABA">
        <w:rPr>
          <w:rFonts w:cs="Arial"/>
          <w:sz w:val="16"/>
          <w:szCs w:val="16"/>
        </w:rPr>
        <w:t>(a)</w:t>
      </w:r>
      <w:r w:rsidRPr="004E3ABA">
        <w:rPr>
          <w:rFonts w:cs="Arial"/>
          <w:sz w:val="16"/>
          <w:szCs w:val="16"/>
        </w:rPr>
        <w:tab/>
        <w:t>1</w:t>
      </w:r>
      <w:r w:rsidRPr="004E3ABA">
        <w:rPr>
          <w:rFonts w:cs="Arial"/>
          <w:sz w:val="16"/>
          <w:szCs w:val="16"/>
          <w:vertAlign w:val="superscript"/>
        </w:rPr>
        <w:t>st</w:t>
      </w:r>
      <w:r w:rsidRPr="004E3ABA">
        <w:rPr>
          <w:rFonts w:cs="Arial"/>
          <w:sz w:val="16"/>
          <w:szCs w:val="16"/>
        </w:rPr>
        <w:t xml:space="preserve"> of July to 30</w:t>
      </w:r>
      <w:r w:rsidRPr="004E3ABA">
        <w:rPr>
          <w:rFonts w:cs="Arial"/>
          <w:sz w:val="16"/>
          <w:szCs w:val="16"/>
          <w:vertAlign w:val="superscript"/>
        </w:rPr>
        <w:t>th</w:t>
      </w:r>
      <w:r w:rsidRPr="004E3ABA">
        <w:rPr>
          <w:rFonts w:cs="Arial"/>
          <w:sz w:val="16"/>
          <w:szCs w:val="16"/>
        </w:rPr>
        <w:t xml:space="preserve"> September (referred to as the “September quarter”);</w:t>
      </w:r>
    </w:p>
    <w:p w:rsidR="00BF2117" w:rsidRPr="004E3ABA" w:rsidRDefault="00BF2117">
      <w:pPr>
        <w:keepNext/>
        <w:ind w:left="1440" w:hanging="360"/>
        <w:jc w:val="both"/>
        <w:rPr>
          <w:rFonts w:cs="Arial"/>
          <w:sz w:val="16"/>
          <w:szCs w:val="16"/>
        </w:rPr>
      </w:pPr>
      <w:r w:rsidRPr="004E3ABA">
        <w:rPr>
          <w:rFonts w:cs="Arial"/>
          <w:sz w:val="16"/>
          <w:szCs w:val="16"/>
        </w:rPr>
        <w:t>(b)</w:t>
      </w:r>
      <w:r w:rsidRPr="004E3ABA">
        <w:rPr>
          <w:rFonts w:cs="Arial"/>
          <w:sz w:val="16"/>
          <w:szCs w:val="16"/>
        </w:rPr>
        <w:tab/>
        <w:t>1</w:t>
      </w:r>
      <w:r w:rsidRPr="004E3ABA">
        <w:rPr>
          <w:rFonts w:cs="Arial"/>
          <w:sz w:val="16"/>
          <w:szCs w:val="16"/>
          <w:vertAlign w:val="superscript"/>
        </w:rPr>
        <w:t>st</w:t>
      </w:r>
      <w:r w:rsidRPr="004E3ABA">
        <w:rPr>
          <w:rFonts w:cs="Arial"/>
          <w:sz w:val="16"/>
          <w:szCs w:val="16"/>
        </w:rPr>
        <w:t xml:space="preserve"> October to 31st December (referred to as the “December quarter”);</w:t>
      </w:r>
    </w:p>
    <w:p w:rsidR="00BF2117" w:rsidRPr="004E3ABA" w:rsidRDefault="00BF2117">
      <w:pPr>
        <w:keepNext/>
        <w:ind w:left="1440" w:hanging="360"/>
        <w:jc w:val="both"/>
        <w:rPr>
          <w:rFonts w:cs="Arial"/>
          <w:sz w:val="16"/>
          <w:szCs w:val="16"/>
        </w:rPr>
      </w:pPr>
      <w:r w:rsidRPr="004E3ABA">
        <w:rPr>
          <w:rFonts w:cs="Arial"/>
          <w:sz w:val="16"/>
          <w:szCs w:val="16"/>
        </w:rPr>
        <w:t>(c)</w:t>
      </w:r>
      <w:r w:rsidRPr="004E3ABA">
        <w:rPr>
          <w:rFonts w:cs="Arial"/>
          <w:sz w:val="16"/>
          <w:szCs w:val="16"/>
        </w:rPr>
        <w:tab/>
        <w:t>1st January to 31st March (referred to as the “March quarter”); and</w:t>
      </w:r>
    </w:p>
    <w:p w:rsidR="00BF2117" w:rsidRPr="004E3ABA" w:rsidRDefault="00BF2117">
      <w:pPr>
        <w:pStyle w:val="FootnoteText"/>
        <w:ind w:left="1440" w:hanging="360"/>
        <w:rPr>
          <w:rFonts w:cs="Arial"/>
          <w:sz w:val="16"/>
          <w:szCs w:val="16"/>
        </w:rPr>
      </w:pPr>
      <w:r w:rsidRPr="004E3ABA">
        <w:rPr>
          <w:rFonts w:cs="Arial"/>
          <w:sz w:val="16"/>
          <w:szCs w:val="16"/>
        </w:rPr>
        <w:t>(d)</w:t>
      </w:r>
      <w:r w:rsidRPr="004E3ABA">
        <w:rPr>
          <w:rFonts w:cs="Arial"/>
          <w:sz w:val="16"/>
          <w:szCs w:val="16"/>
        </w:rPr>
        <w:tab/>
        <w:t>1st April to 30th June (referred to as the “June quarter”).”</w:t>
      </w:r>
    </w:p>
  </w:footnote>
  <w:footnote w:id="886">
    <w:p w:rsidR="00BF2117" w:rsidRPr="004E3ABA" w:rsidRDefault="00BF2117">
      <w:pPr>
        <w:pStyle w:val="FootnoteText"/>
        <w:rPr>
          <w:sz w:val="16"/>
          <w:szCs w:val="16"/>
        </w:rPr>
      </w:pPr>
      <w:r w:rsidRPr="004E3ABA">
        <w:rPr>
          <w:rStyle w:val="FootnoteReference"/>
          <w:sz w:val="16"/>
          <w:szCs w:val="16"/>
        </w:rPr>
        <w:footnoteRef/>
      </w:r>
      <w:r w:rsidRPr="004E3ABA">
        <w:rPr>
          <w:sz w:val="16"/>
          <w:szCs w:val="16"/>
        </w:rPr>
        <w:t xml:space="preserve"> Sub-section (4) substituted by the Finance Act, 2009. The substituted sub-section (4) read as follows: </w:t>
      </w:r>
    </w:p>
    <w:p w:rsidR="00BF2117" w:rsidRPr="004E3ABA" w:rsidRDefault="00BF2117" w:rsidP="001A32CA">
      <w:pPr>
        <w:ind w:left="180"/>
        <w:jc w:val="both"/>
        <w:rPr>
          <w:rFonts w:cs="Arial"/>
          <w:sz w:val="16"/>
          <w:szCs w:val="16"/>
        </w:rPr>
      </w:pPr>
      <w:r w:rsidRPr="004E3ABA">
        <w:rPr>
          <w:sz w:val="16"/>
          <w:szCs w:val="16"/>
        </w:rPr>
        <w:t>“</w:t>
      </w:r>
      <w:r w:rsidRPr="004E3ABA">
        <w:rPr>
          <w:rFonts w:cs="Arial"/>
          <w:sz w:val="16"/>
          <w:szCs w:val="16"/>
        </w:rPr>
        <w:t>(4)</w:t>
      </w:r>
      <w:r w:rsidRPr="004E3ABA">
        <w:rPr>
          <w:rFonts w:cs="Arial"/>
          <w:sz w:val="16"/>
          <w:szCs w:val="16"/>
        </w:rPr>
        <w:tab/>
        <w:t xml:space="preserve">where the taxpayer is a company, the amount of advance tax due for a quarter shall be computed according to the following formula, namely:- </w:t>
      </w:r>
    </w:p>
    <w:p w:rsidR="00BF2117" w:rsidRPr="004E3ABA" w:rsidRDefault="00BF2117" w:rsidP="001A32CA">
      <w:pPr>
        <w:jc w:val="both"/>
        <w:rPr>
          <w:rFonts w:cs="Arial"/>
          <w:sz w:val="16"/>
          <w:szCs w:val="16"/>
        </w:rPr>
      </w:pPr>
    </w:p>
    <w:p w:rsidR="00BF2117" w:rsidRPr="004E3ABA" w:rsidRDefault="00BF2117" w:rsidP="001A32CA">
      <w:pPr>
        <w:ind w:left="2735" w:firstLine="547"/>
        <w:jc w:val="both"/>
        <w:rPr>
          <w:rFonts w:cs="Arial"/>
          <w:sz w:val="16"/>
          <w:szCs w:val="16"/>
        </w:rPr>
      </w:pPr>
      <w:r w:rsidRPr="004E3ABA">
        <w:rPr>
          <w:rFonts w:cs="Arial"/>
          <w:sz w:val="16"/>
          <w:szCs w:val="16"/>
        </w:rPr>
        <w:t>(A/4)  - B</w:t>
      </w:r>
    </w:p>
    <w:p w:rsidR="00BF2117" w:rsidRPr="004E3ABA" w:rsidRDefault="00BF2117" w:rsidP="001A32CA">
      <w:pPr>
        <w:ind w:left="180"/>
        <w:jc w:val="both"/>
        <w:rPr>
          <w:rFonts w:cs="Arial"/>
          <w:sz w:val="16"/>
          <w:szCs w:val="16"/>
        </w:rPr>
      </w:pPr>
      <w:r w:rsidRPr="004E3ABA">
        <w:rPr>
          <w:rFonts w:cs="Arial"/>
          <w:sz w:val="16"/>
          <w:szCs w:val="16"/>
        </w:rPr>
        <w:t>Where –</w:t>
      </w:r>
    </w:p>
    <w:p w:rsidR="00BF2117" w:rsidRPr="004E3ABA" w:rsidRDefault="00BF2117" w:rsidP="001A32CA">
      <w:pPr>
        <w:ind w:left="547" w:firstLine="547"/>
        <w:jc w:val="both"/>
        <w:rPr>
          <w:rFonts w:cs="Arial"/>
          <w:sz w:val="16"/>
          <w:szCs w:val="16"/>
        </w:rPr>
      </w:pPr>
    </w:p>
    <w:p w:rsidR="00BF2117" w:rsidRPr="004E3ABA" w:rsidRDefault="00BF2117" w:rsidP="001A32CA">
      <w:pPr>
        <w:ind w:left="540" w:hanging="360"/>
        <w:jc w:val="both"/>
        <w:rPr>
          <w:rFonts w:cs="Arial"/>
          <w:sz w:val="16"/>
          <w:szCs w:val="16"/>
        </w:rPr>
      </w:pPr>
      <w:r w:rsidRPr="004E3ABA">
        <w:rPr>
          <w:rFonts w:cs="Arial"/>
          <w:sz w:val="16"/>
          <w:szCs w:val="16"/>
        </w:rPr>
        <w:t>A</w:t>
      </w:r>
      <w:r w:rsidRPr="004E3ABA">
        <w:rPr>
          <w:rFonts w:cs="Arial"/>
          <w:sz w:val="16"/>
          <w:szCs w:val="16"/>
        </w:rPr>
        <w:tab/>
        <w:t xml:space="preserve">is the tax assessed to the taxpayer for the latest tax year or latest assessment year under the repealed Ordinance; and </w:t>
      </w:r>
    </w:p>
    <w:p w:rsidR="00BF2117" w:rsidRPr="004E3ABA" w:rsidRDefault="00BF2117" w:rsidP="001A32CA">
      <w:pPr>
        <w:ind w:left="547" w:firstLine="547"/>
        <w:jc w:val="both"/>
        <w:rPr>
          <w:rFonts w:cs="Arial"/>
          <w:sz w:val="16"/>
          <w:szCs w:val="16"/>
        </w:rPr>
      </w:pPr>
    </w:p>
    <w:p w:rsidR="00BF2117" w:rsidRPr="004E3ABA" w:rsidRDefault="00BF2117" w:rsidP="001A32CA">
      <w:pPr>
        <w:pStyle w:val="FootnoteText"/>
        <w:ind w:hanging="540"/>
        <w:rPr>
          <w:sz w:val="16"/>
          <w:szCs w:val="16"/>
          <w:lang w:val="en-US"/>
        </w:rPr>
      </w:pPr>
      <w:r w:rsidRPr="004E3ABA">
        <w:rPr>
          <w:rFonts w:cs="Arial"/>
          <w:sz w:val="16"/>
          <w:szCs w:val="16"/>
        </w:rPr>
        <w:t>B</w:t>
      </w:r>
      <w:r w:rsidRPr="004E3ABA">
        <w:rPr>
          <w:rFonts w:cs="Arial"/>
          <w:sz w:val="16"/>
          <w:szCs w:val="16"/>
        </w:rPr>
        <w:tab/>
        <w:t>is the tax paid in the quarter for which a tax credit is allowed under section 168, other than tax deducted under section 149 or 155.”</w:t>
      </w:r>
    </w:p>
  </w:footnote>
  <w:footnote w:id="887">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Inserted by the Finance Act, 2010.</w:t>
      </w:r>
    </w:p>
  </w:footnote>
  <w:footnote w:id="888">
    <w:p w:rsidR="00BF2117" w:rsidRPr="00966F3F" w:rsidRDefault="00BF2117">
      <w:pPr>
        <w:pStyle w:val="FootnoteText"/>
        <w:rPr>
          <w:color w:val="0070C0"/>
          <w:sz w:val="16"/>
          <w:szCs w:val="16"/>
          <w:lang w:val="en-US"/>
        </w:rPr>
      </w:pPr>
      <w:r w:rsidRPr="00966F3F">
        <w:rPr>
          <w:rStyle w:val="FootnoteReference"/>
          <w:color w:val="0070C0"/>
          <w:sz w:val="16"/>
          <w:szCs w:val="16"/>
        </w:rPr>
        <w:footnoteRef/>
      </w:r>
      <w:r w:rsidRPr="00966F3F">
        <w:rPr>
          <w:color w:val="0070C0"/>
          <w:sz w:val="16"/>
          <w:szCs w:val="16"/>
        </w:rPr>
        <w:t xml:space="preserve"> Semicolon substituted by the Finance Act, 2016.</w:t>
      </w:r>
    </w:p>
  </w:footnote>
  <w:footnote w:id="889">
    <w:p w:rsidR="00BF2117" w:rsidRPr="001768FA" w:rsidRDefault="00BF2117">
      <w:pPr>
        <w:pStyle w:val="FootnoteText"/>
        <w:rPr>
          <w:color w:val="FF0066"/>
          <w:sz w:val="16"/>
          <w:szCs w:val="16"/>
          <w:lang w:val="en-US"/>
        </w:rPr>
      </w:pPr>
      <w:r w:rsidRPr="00966F3F">
        <w:rPr>
          <w:rStyle w:val="FootnoteReference"/>
          <w:color w:val="0070C0"/>
          <w:sz w:val="16"/>
          <w:szCs w:val="16"/>
        </w:rPr>
        <w:footnoteRef/>
      </w:r>
      <w:r w:rsidRPr="00966F3F">
        <w:rPr>
          <w:color w:val="0070C0"/>
          <w:sz w:val="16"/>
          <w:szCs w:val="16"/>
        </w:rPr>
        <w:t xml:space="preserve"> Added by the Finance Act, 2016.</w:t>
      </w:r>
    </w:p>
  </w:footnote>
  <w:footnote w:id="890">
    <w:p w:rsidR="00BF2117" w:rsidRPr="004E3ABA" w:rsidRDefault="00BF2117" w:rsidP="005066F2">
      <w:pPr>
        <w:pStyle w:val="FootnoteText"/>
        <w:ind w:left="180" w:hanging="180"/>
        <w:jc w:val="both"/>
        <w:rPr>
          <w:sz w:val="16"/>
          <w:szCs w:val="16"/>
          <w:lang w:val="en-US"/>
        </w:rPr>
      </w:pPr>
      <w:r w:rsidRPr="004E3ABA">
        <w:rPr>
          <w:rStyle w:val="FootnoteReference"/>
          <w:sz w:val="16"/>
          <w:szCs w:val="16"/>
        </w:rPr>
        <w:footnoteRef/>
      </w:r>
      <w:r w:rsidRPr="004E3ABA">
        <w:rPr>
          <w:sz w:val="16"/>
          <w:szCs w:val="16"/>
        </w:rPr>
        <w:t xml:space="preserve"> The words, comma and figure “, other than tax deducted under section 155” omitted by the Finance Act, 2013.  </w:t>
      </w:r>
    </w:p>
  </w:footnote>
  <w:footnote w:id="891">
    <w:p w:rsidR="00BF2117" w:rsidRDefault="00BF2117">
      <w:pPr>
        <w:pStyle w:val="FootnoteText"/>
      </w:pPr>
      <w:r>
        <w:rPr>
          <w:rStyle w:val="FootnoteReference"/>
        </w:rPr>
        <w:footnoteRef/>
      </w:r>
      <w:r>
        <w:rPr>
          <w:sz w:val="16"/>
          <w:szCs w:val="16"/>
        </w:rPr>
        <w:t>Sub-section (4A) omitted by Finance Act, 2015. The substituted sub-section read as follows:-</w:t>
      </w:r>
    </w:p>
    <w:p w:rsidR="00BF2117" w:rsidRPr="00D0402D" w:rsidRDefault="00BF2117" w:rsidP="00D0402D">
      <w:pPr>
        <w:pStyle w:val="FootnoteText"/>
        <w:jc w:val="both"/>
        <w:rPr>
          <w:color w:val="000000" w:themeColor="text1"/>
          <w:sz w:val="16"/>
          <w:szCs w:val="16"/>
          <w:lang w:val="en-US"/>
        </w:rPr>
      </w:pPr>
      <w:r>
        <w:rPr>
          <w:sz w:val="16"/>
          <w:szCs w:val="16"/>
        </w:rPr>
        <w:tab/>
      </w:r>
      <w:r w:rsidRPr="00D0402D">
        <w:rPr>
          <w:sz w:val="16"/>
          <w:szCs w:val="16"/>
        </w:rPr>
        <w:t>“(4A) Any</w:t>
      </w:r>
      <w:r w:rsidRPr="00D0402D">
        <w:rPr>
          <w:color w:val="000000" w:themeColor="text1"/>
          <w:sz w:val="16"/>
          <w:szCs w:val="16"/>
        </w:rPr>
        <w:t>taxpayer who is required to make payment of advance tax in accordance with sub-section (4), shall estimate the tax payable byhim for the relevant tax year, at any time before the last instalment is due. In case the tax payable is likely to be more than the amount he is required to pay under sub-section (4), the taxpayer shall furnish to the Commissioner an estimate of the amount of tax payable by him and thereafter pay such amount after making adjustment for the amount (if any) already pa</w:t>
      </w:r>
      <w:r>
        <w:rPr>
          <w:color w:val="000000" w:themeColor="text1"/>
          <w:sz w:val="16"/>
          <w:szCs w:val="16"/>
        </w:rPr>
        <w:t>id in terms of sub-section (4)”.</w:t>
      </w:r>
    </w:p>
  </w:footnote>
  <w:footnote w:id="892">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Inserted by the Finance Act, 2009.</w:t>
      </w:r>
    </w:p>
  </w:footnote>
  <w:footnote w:id="893">
    <w:p w:rsidR="00BF2117" w:rsidRPr="00966F3F" w:rsidRDefault="00BF2117">
      <w:pPr>
        <w:pStyle w:val="FootnoteText"/>
        <w:rPr>
          <w:color w:val="0070C0"/>
          <w:sz w:val="16"/>
          <w:szCs w:val="16"/>
          <w:lang w:val="en-US"/>
        </w:rPr>
      </w:pPr>
      <w:r w:rsidRPr="00966F3F">
        <w:rPr>
          <w:rStyle w:val="FootnoteReference"/>
          <w:color w:val="0070C0"/>
          <w:sz w:val="16"/>
          <w:szCs w:val="16"/>
        </w:rPr>
        <w:footnoteRef/>
      </w:r>
      <w:r w:rsidRPr="00966F3F">
        <w:rPr>
          <w:color w:val="0070C0"/>
          <w:sz w:val="16"/>
          <w:szCs w:val="16"/>
        </w:rPr>
        <w:t xml:space="preserve"> The expression “section 113” substituted by the Finance Act, 2016.</w:t>
      </w:r>
    </w:p>
  </w:footnote>
  <w:footnote w:id="894">
    <w:p w:rsidR="00BF2117" w:rsidRPr="004E3ABA" w:rsidRDefault="00BF2117">
      <w:pPr>
        <w:pStyle w:val="FootnoteText"/>
        <w:rPr>
          <w:sz w:val="16"/>
          <w:szCs w:val="16"/>
        </w:rPr>
      </w:pPr>
      <w:r w:rsidRPr="004E3ABA">
        <w:rPr>
          <w:rStyle w:val="FootnoteReference"/>
          <w:rFonts w:cs="Arial"/>
          <w:sz w:val="16"/>
          <w:szCs w:val="16"/>
        </w:rPr>
        <w:footnoteRef/>
      </w:r>
      <w:r w:rsidRPr="004E3ABA">
        <w:rPr>
          <w:sz w:val="16"/>
          <w:szCs w:val="16"/>
        </w:rPr>
        <w:t xml:space="preserve"> Inserted by Finance Act, </w:t>
      </w:r>
      <w:r>
        <w:rPr>
          <w:sz w:val="16"/>
          <w:szCs w:val="16"/>
        </w:rPr>
        <w:t xml:space="preserve"> </w:t>
      </w:r>
      <w:r w:rsidRPr="004E3ABA">
        <w:rPr>
          <w:sz w:val="16"/>
          <w:szCs w:val="16"/>
        </w:rPr>
        <w:t>2003.</w:t>
      </w:r>
    </w:p>
  </w:footnote>
  <w:footnote w:id="895">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Sub-section (4A) re-numbered by the Finance Act, 2006.</w:t>
      </w:r>
    </w:p>
  </w:footnote>
  <w:footnote w:id="896">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words “or an association of persons” omitted by the Finance Act, 2010.</w:t>
      </w:r>
    </w:p>
  </w:footnote>
  <w:footnote w:id="897">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 “two” substituted by the Finance Act, 2010.</w:t>
      </w:r>
    </w:p>
  </w:footnote>
  <w:footnote w:id="898">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words and figure “or 155” omitted by the Finance Act, 2013.</w:t>
      </w:r>
    </w:p>
  </w:footnote>
  <w:footnote w:id="899">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lang w:val="en-US"/>
        </w:rPr>
        <w:t>The words “a taxpayer” substituted by the Finance Act, 2009.</w:t>
      </w:r>
    </w:p>
  </w:footnote>
  <w:footnote w:id="900">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words “or an association of persons” omitted by the Finance Act, 2010.</w:t>
      </w:r>
    </w:p>
  </w:footnote>
  <w:footnote w:id="901">
    <w:p w:rsidR="00BF2117" w:rsidRPr="004E3ABA" w:rsidRDefault="00BF2117">
      <w:pPr>
        <w:pStyle w:val="FootnoteText"/>
        <w:rPr>
          <w:sz w:val="16"/>
          <w:szCs w:val="16"/>
        </w:rPr>
      </w:pPr>
      <w:r w:rsidRPr="004E3ABA">
        <w:rPr>
          <w:rStyle w:val="FootnoteReference"/>
          <w:rFonts w:cs="Arial"/>
          <w:sz w:val="16"/>
          <w:szCs w:val="16"/>
        </w:rPr>
        <w:footnoteRef/>
      </w:r>
      <w:r w:rsidRPr="004E3ABA">
        <w:rPr>
          <w:sz w:val="16"/>
          <w:szCs w:val="16"/>
        </w:rPr>
        <w:t xml:space="preserve"> The word “by” substituted by the Finance Act, 2005.</w:t>
      </w:r>
    </w:p>
  </w:footnote>
  <w:footnote w:id="902">
    <w:p w:rsidR="00BF2117" w:rsidRPr="004E3ABA" w:rsidRDefault="00BF2117">
      <w:pPr>
        <w:pStyle w:val="FootnoteText"/>
        <w:rPr>
          <w:sz w:val="16"/>
          <w:szCs w:val="16"/>
        </w:rPr>
      </w:pPr>
      <w:r w:rsidRPr="004E3ABA">
        <w:rPr>
          <w:rStyle w:val="FootnoteReference"/>
          <w:rFonts w:cs="Arial"/>
          <w:sz w:val="16"/>
          <w:szCs w:val="16"/>
        </w:rPr>
        <w:footnoteRef/>
      </w:r>
      <w:r w:rsidRPr="004E3ABA">
        <w:rPr>
          <w:sz w:val="16"/>
          <w:szCs w:val="16"/>
        </w:rPr>
        <w:t xml:space="preserve"> The figure and words “7</w:t>
      </w:r>
      <w:r w:rsidRPr="004E3ABA">
        <w:rPr>
          <w:sz w:val="16"/>
          <w:szCs w:val="16"/>
          <w:vertAlign w:val="superscript"/>
        </w:rPr>
        <w:t>th</w:t>
      </w:r>
      <w:r w:rsidRPr="004E3ABA">
        <w:rPr>
          <w:sz w:val="16"/>
          <w:szCs w:val="16"/>
        </w:rPr>
        <w:t xml:space="preserve"> day of October” substituted by the Finance Act, 2004.</w:t>
      </w:r>
    </w:p>
  </w:footnote>
  <w:footnote w:id="903">
    <w:p w:rsidR="00BF2117" w:rsidRPr="004E3ABA" w:rsidRDefault="00BF2117">
      <w:pPr>
        <w:pStyle w:val="FootnoteText"/>
        <w:rPr>
          <w:sz w:val="16"/>
          <w:szCs w:val="16"/>
        </w:rPr>
      </w:pPr>
      <w:r w:rsidRPr="004E3ABA">
        <w:rPr>
          <w:rStyle w:val="FootnoteReference"/>
          <w:rFonts w:cs="Arial"/>
          <w:sz w:val="16"/>
          <w:szCs w:val="16"/>
        </w:rPr>
        <w:footnoteRef/>
      </w:r>
      <w:r w:rsidRPr="004E3ABA">
        <w:rPr>
          <w:sz w:val="16"/>
          <w:szCs w:val="16"/>
        </w:rPr>
        <w:t xml:space="preserve"> The figure and words “7</w:t>
      </w:r>
      <w:r w:rsidRPr="004E3ABA">
        <w:rPr>
          <w:sz w:val="16"/>
          <w:szCs w:val="16"/>
          <w:vertAlign w:val="superscript"/>
        </w:rPr>
        <w:t>th</w:t>
      </w:r>
      <w:r w:rsidRPr="004E3ABA">
        <w:rPr>
          <w:sz w:val="16"/>
          <w:szCs w:val="16"/>
        </w:rPr>
        <w:t xml:space="preserve"> day of January” substituted by the Finance Act, 2004.</w:t>
      </w:r>
    </w:p>
  </w:footnote>
  <w:footnote w:id="904">
    <w:p w:rsidR="00BF2117" w:rsidRPr="004E3ABA" w:rsidRDefault="00BF2117">
      <w:pPr>
        <w:pStyle w:val="FootnoteText"/>
        <w:rPr>
          <w:sz w:val="16"/>
          <w:szCs w:val="16"/>
        </w:rPr>
      </w:pPr>
      <w:r w:rsidRPr="004E3ABA">
        <w:rPr>
          <w:rStyle w:val="FootnoteReference"/>
          <w:rFonts w:cs="Arial"/>
          <w:sz w:val="16"/>
          <w:szCs w:val="16"/>
        </w:rPr>
        <w:footnoteRef/>
      </w:r>
      <w:r w:rsidRPr="004E3ABA">
        <w:rPr>
          <w:sz w:val="16"/>
          <w:szCs w:val="16"/>
        </w:rPr>
        <w:t xml:space="preserve"> The figure and words “7</w:t>
      </w:r>
      <w:r w:rsidRPr="004E3ABA">
        <w:rPr>
          <w:sz w:val="16"/>
          <w:szCs w:val="16"/>
          <w:vertAlign w:val="superscript"/>
        </w:rPr>
        <w:t>th</w:t>
      </w:r>
      <w:r w:rsidRPr="004E3ABA">
        <w:rPr>
          <w:sz w:val="16"/>
          <w:szCs w:val="16"/>
        </w:rPr>
        <w:t xml:space="preserve"> day of April” substituted by the Finance Act, 2004.</w:t>
      </w:r>
    </w:p>
  </w:footnote>
  <w:footnote w:id="905">
    <w:p w:rsidR="00BF2117" w:rsidRPr="004E3ABA" w:rsidRDefault="00BF2117">
      <w:pPr>
        <w:pStyle w:val="FootnoteText"/>
        <w:rPr>
          <w:sz w:val="16"/>
          <w:szCs w:val="16"/>
        </w:rPr>
      </w:pPr>
      <w:r w:rsidRPr="004E3ABA">
        <w:rPr>
          <w:rStyle w:val="FootnoteReference"/>
          <w:rFonts w:cs="Arial"/>
          <w:sz w:val="16"/>
          <w:szCs w:val="16"/>
        </w:rPr>
        <w:footnoteRef/>
      </w:r>
      <w:r w:rsidRPr="004E3ABA">
        <w:rPr>
          <w:sz w:val="16"/>
          <w:szCs w:val="16"/>
        </w:rPr>
        <w:t xml:space="preserve"> The figure and words “21</w:t>
      </w:r>
      <w:r w:rsidRPr="004E3ABA">
        <w:rPr>
          <w:sz w:val="16"/>
          <w:szCs w:val="16"/>
          <w:vertAlign w:val="superscript"/>
        </w:rPr>
        <w:t>st</w:t>
      </w:r>
      <w:r w:rsidRPr="004E3ABA">
        <w:rPr>
          <w:sz w:val="16"/>
          <w:szCs w:val="16"/>
        </w:rPr>
        <w:t xml:space="preserve"> day of June” substituted by the Finance Act, 2004.</w:t>
      </w:r>
    </w:p>
  </w:footnote>
  <w:footnote w:id="906">
    <w:p w:rsidR="00BF2117" w:rsidRPr="004E3ABA" w:rsidRDefault="00BF2117" w:rsidP="007C0307">
      <w:pPr>
        <w:pStyle w:val="FootnoteText"/>
        <w:ind w:left="180" w:hanging="180"/>
        <w:rPr>
          <w:sz w:val="16"/>
          <w:szCs w:val="16"/>
        </w:rPr>
      </w:pPr>
      <w:r w:rsidRPr="004E3ABA">
        <w:rPr>
          <w:rStyle w:val="FootnoteReference"/>
          <w:sz w:val="16"/>
          <w:szCs w:val="16"/>
        </w:rPr>
        <w:footnoteRef/>
      </w:r>
      <w:r w:rsidRPr="004E3ABA">
        <w:rPr>
          <w:sz w:val="16"/>
          <w:szCs w:val="16"/>
        </w:rPr>
        <w:t xml:space="preserve"> Sub-section (5A) substituted by the Finance Act, 2010. The substituted sub-section (5A) read as follows:</w:t>
      </w:r>
    </w:p>
    <w:p w:rsidR="00BF2117" w:rsidRPr="004E3ABA" w:rsidRDefault="00BF2117" w:rsidP="007C0307">
      <w:pPr>
        <w:jc w:val="both"/>
        <w:rPr>
          <w:rFonts w:cs="Arial"/>
          <w:sz w:val="16"/>
          <w:szCs w:val="16"/>
        </w:rPr>
      </w:pPr>
      <w:r w:rsidRPr="004E3ABA">
        <w:rPr>
          <w:sz w:val="16"/>
          <w:szCs w:val="16"/>
        </w:rPr>
        <w:tab/>
      </w:r>
      <w:r w:rsidRPr="004E3ABA">
        <w:rPr>
          <w:sz w:val="16"/>
          <w:szCs w:val="16"/>
        </w:rPr>
        <w:tab/>
        <w:t>“</w:t>
      </w:r>
      <w:r w:rsidRPr="004E3ABA">
        <w:rPr>
          <w:rFonts w:cs="Arial"/>
          <w:sz w:val="16"/>
          <w:szCs w:val="16"/>
        </w:rPr>
        <w:t xml:space="preserve">(5A) </w:t>
      </w:r>
      <w:r w:rsidRPr="004E3ABA">
        <w:rPr>
          <w:rFonts w:cs="Arial"/>
          <w:sz w:val="16"/>
          <w:szCs w:val="16"/>
        </w:rPr>
        <w:tab/>
        <w:t xml:space="preserve">Advance tax is payable by a company to the Commissioner – </w:t>
      </w:r>
    </w:p>
    <w:p w:rsidR="00BF2117" w:rsidRPr="004E3ABA" w:rsidRDefault="00BF2117" w:rsidP="007C0307">
      <w:pPr>
        <w:ind w:left="2188" w:hanging="547"/>
        <w:jc w:val="both"/>
        <w:rPr>
          <w:rFonts w:cs="Arial"/>
          <w:sz w:val="16"/>
          <w:szCs w:val="16"/>
        </w:rPr>
      </w:pPr>
      <w:r w:rsidRPr="004E3ABA">
        <w:rPr>
          <w:rFonts w:cs="Arial"/>
          <w:sz w:val="16"/>
          <w:szCs w:val="16"/>
        </w:rPr>
        <w:t xml:space="preserve">(a) </w:t>
      </w:r>
      <w:r w:rsidRPr="004E3ABA">
        <w:rPr>
          <w:rFonts w:cs="Arial"/>
          <w:sz w:val="16"/>
          <w:szCs w:val="16"/>
        </w:rPr>
        <w:tab/>
        <w:t>in respect of the September quarter, on or before the 15</w:t>
      </w:r>
      <w:r w:rsidRPr="004E3ABA">
        <w:rPr>
          <w:rFonts w:cs="Arial"/>
          <w:sz w:val="16"/>
          <w:szCs w:val="16"/>
          <w:vertAlign w:val="superscript"/>
        </w:rPr>
        <w:t>th</w:t>
      </w:r>
      <w:r w:rsidRPr="004E3ABA">
        <w:rPr>
          <w:rFonts w:cs="Arial"/>
          <w:sz w:val="16"/>
          <w:szCs w:val="16"/>
        </w:rPr>
        <w:t xml:space="preserve"> day of October;</w:t>
      </w:r>
    </w:p>
    <w:p w:rsidR="00BF2117" w:rsidRPr="004E3ABA" w:rsidRDefault="00BF2117" w:rsidP="007C0307">
      <w:pPr>
        <w:ind w:left="2188" w:hanging="547"/>
        <w:jc w:val="both"/>
        <w:rPr>
          <w:rFonts w:cs="Arial"/>
          <w:sz w:val="16"/>
          <w:szCs w:val="16"/>
        </w:rPr>
      </w:pPr>
      <w:r w:rsidRPr="004E3ABA">
        <w:rPr>
          <w:rFonts w:cs="Arial"/>
          <w:sz w:val="16"/>
          <w:szCs w:val="16"/>
        </w:rPr>
        <w:t xml:space="preserve">(b) </w:t>
      </w:r>
      <w:r w:rsidRPr="004E3ABA">
        <w:rPr>
          <w:rFonts w:cs="Arial"/>
          <w:sz w:val="16"/>
          <w:szCs w:val="16"/>
        </w:rPr>
        <w:tab/>
        <w:t>in respect of the December quarter, on or before the 15</w:t>
      </w:r>
      <w:r w:rsidRPr="004E3ABA">
        <w:rPr>
          <w:rFonts w:cs="Arial"/>
          <w:sz w:val="16"/>
          <w:szCs w:val="16"/>
          <w:vertAlign w:val="superscript"/>
        </w:rPr>
        <w:t>th</w:t>
      </w:r>
      <w:r w:rsidRPr="004E3ABA">
        <w:rPr>
          <w:rFonts w:cs="Arial"/>
          <w:sz w:val="16"/>
          <w:szCs w:val="16"/>
        </w:rPr>
        <w:t xml:space="preserve"> day of January;</w:t>
      </w:r>
    </w:p>
    <w:p w:rsidR="00BF2117" w:rsidRPr="004E3ABA" w:rsidRDefault="00BF2117" w:rsidP="007C0307">
      <w:pPr>
        <w:ind w:left="1641"/>
        <w:jc w:val="both"/>
        <w:rPr>
          <w:rFonts w:cs="Arial"/>
          <w:sz w:val="16"/>
          <w:szCs w:val="16"/>
        </w:rPr>
      </w:pPr>
      <w:r w:rsidRPr="004E3ABA">
        <w:rPr>
          <w:rFonts w:cs="Arial"/>
          <w:sz w:val="16"/>
          <w:szCs w:val="16"/>
        </w:rPr>
        <w:t xml:space="preserve">(c)  </w:t>
      </w:r>
      <w:r w:rsidRPr="004E3ABA">
        <w:rPr>
          <w:rFonts w:cs="Arial"/>
          <w:sz w:val="16"/>
          <w:szCs w:val="16"/>
        </w:rPr>
        <w:tab/>
        <w:t>in respect of the March quarter, on or before the 15</w:t>
      </w:r>
      <w:r w:rsidRPr="004E3ABA">
        <w:rPr>
          <w:rFonts w:cs="Arial"/>
          <w:sz w:val="16"/>
          <w:szCs w:val="16"/>
          <w:vertAlign w:val="superscript"/>
        </w:rPr>
        <w:t>th</w:t>
      </w:r>
      <w:r w:rsidRPr="004E3ABA">
        <w:rPr>
          <w:rFonts w:cs="Arial"/>
          <w:sz w:val="16"/>
          <w:szCs w:val="16"/>
        </w:rPr>
        <w:t xml:space="preserve"> day of April; and</w:t>
      </w:r>
    </w:p>
    <w:p w:rsidR="00BF2117" w:rsidRPr="004E3ABA" w:rsidRDefault="00BF2117" w:rsidP="007C0307">
      <w:pPr>
        <w:pStyle w:val="FootnoteText"/>
        <w:ind w:left="1274" w:firstLine="367"/>
        <w:rPr>
          <w:sz w:val="16"/>
          <w:szCs w:val="16"/>
          <w:lang w:val="en-US"/>
        </w:rPr>
      </w:pPr>
      <w:r w:rsidRPr="004E3ABA">
        <w:rPr>
          <w:rFonts w:cs="Arial"/>
          <w:sz w:val="16"/>
          <w:szCs w:val="16"/>
        </w:rPr>
        <w:t xml:space="preserve">(d) </w:t>
      </w:r>
      <w:r w:rsidRPr="004E3ABA">
        <w:rPr>
          <w:rFonts w:cs="Arial"/>
          <w:sz w:val="16"/>
          <w:szCs w:val="16"/>
        </w:rPr>
        <w:tab/>
        <w:t>in respect of the June quarter, on or before the 15</w:t>
      </w:r>
      <w:r w:rsidRPr="004E3ABA">
        <w:rPr>
          <w:rFonts w:cs="Arial"/>
          <w:sz w:val="16"/>
          <w:szCs w:val="16"/>
          <w:vertAlign w:val="superscript"/>
        </w:rPr>
        <w:t>th</w:t>
      </w:r>
      <w:r w:rsidRPr="004E3ABA">
        <w:rPr>
          <w:rFonts w:cs="Arial"/>
          <w:sz w:val="16"/>
          <w:szCs w:val="16"/>
        </w:rPr>
        <w:t xml:space="preserve"> day of June.”</w:t>
      </w:r>
    </w:p>
  </w:footnote>
  <w:footnote w:id="907">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Inserted by the Finance Act, 2010.</w:t>
      </w:r>
    </w:p>
  </w:footnote>
  <w:footnote w:id="908">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 “seven” substituted by the Finance Act, 2011.</w:t>
      </w:r>
    </w:p>
  </w:footnote>
  <w:footnote w:id="909">
    <w:p w:rsidR="00BF2117" w:rsidRPr="004E3ABA" w:rsidRDefault="00BF2117">
      <w:pPr>
        <w:pStyle w:val="FootnoteText"/>
        <w:keepNext/>
        <w:rPr>
          <w:sz w:val="16"/>
          <w:szCs w:val="16"/>
        </w:rPr>
      </w:pPr>
      <w:r w:rsidRPr="004E3ABA">
        <w:rPr>
          <w:rStyle w:val="FootnoteReference"/>
          <w:rFonts w:cs="Arial"/>
          <w:sz w:val="16"/>
          <w:szCs w:val="16"/>
        </w:rPr>
        <w:footnoteRef/>
      </w:r>
      <w:r w:rsidRPr="004E3ABA">
        <w:rPr>
          <w:sz w:val="16"/>
          <w:szCs w:val="16"/>
        </w:rPr>
        <w:t xml:space="preserve"> Sub-section (6) substituted by the Finance Act, 2004. The substituted sub-section (6) read as follows: </w:t>
      </w:r>
    </w:p>
    <w:p w:rsidR="00BF2117" w:rsidRPr="004E3ABA" w:rsidRDefault="00BF2117">
      <w:pPr>
        <w:pStyle w:val="FootnoteText"/>
        <w:ind w:left="180" w:firstLine="367"/>
        <w:jc w:val="both"/>
        <w:rPr>
          <w:rFonts w:cs="Arial"/>
          <w:sz w:val="16"/>
          <w:szCs w:val="16"/>
        </w:rPr>
      </w:pPr>
      <w:r w:rsidRPr="004E3ABA">
        <w:rPr>
          <w:rFonts w:cs="Arial"/>
          <w:sz w:val="16"/>
          <w:szCs w:val="16"/>
        </w:rPr>
        <w:t>“(6)</w:t>
      </w:r>
      <w:r w:rsidRPr="004E3ABA">
        <w:rPr>
          <w:rFonts w:cs="Arial"/>
          <w:sz w:val="16"/>
          <w:szCs w:val="16"/>
        </w:rPr>
        <w:tab/>
        <w:t>The turnover of a taxpayer for the period  from 16</w:t>
      </w:r>
      <w:r w:rsidRPr="004E3ABA">
        <w:rPr>
          <w:rFonts w:cs="Arial"/>
          <w:sz w:val="16"/>
          <w:szCs w:val="16"/>
          <w:vertAlign w:val="superscript"/>
        </w:rPr>
        <w:t>th</w:t>
      </w:r>
      <w:r w:rsidRPr="004E3ABA">
        <w:rPr>
          <w:rFonts w:cs="Arial"/>
          <w:sz w:val="16"/>
          <w:szCs w:val="16"/>
        </w:rPr>
        <w:t xml:space="preserve"> to 30</w:t>
      </w:r>
      <w:r w:rsidRPr="004E3ABA">
        <w:rPr>
          <w:rFonts w:cs="Arial"/>
          <w:sz w:val="16"/>
          <w:szCs w:val="16"/>
          <w:vertAlign w:val="superscript"/>
        </w:rPr>
        <w:t>th</w:t>
      </w:r>
      <w:r w:rsidRPr="004E3ABA">
        <w:rPr>
          <w:rFonts w:cs="Arial"/>
          <w:sz w:val="16"/>
          <w:szCs w:val="16"/>
        </w:rPr>
        <w:t xml:space="preserve"> June of the June quarter shall be taken to be equal to the turnover for the period from 1</w:t>
      </w:r>
      <w:r w:rsidRPr="004E3ABA">
        <w:rPr>
          <w:rFonts w:cs="Arial"/>
          <w:sz w:val="16"/>
          <w:szCs w:val="16"/>
          <w:vertAlign w:val="superscript"/>
        </w:rPr>
        <w:t>st</w:t>
      </w:r>
      <w:r w:rsidRPr="004E3ABA">
        <w:rPr>
          <w:rFonts w:cs="Arial"/>
          <w:sz w:val="16"/>
          <w:szCs w:val="16"/>
        </w:rPr>
        <w:t xml:space="preserve"> to 15</w:t>
      </w:r>
      <w:r w:rsidRPr="004E3ABA">
        <w:rPr>
          <w:rFonts w:cs="Arial"/>
          <w:sz w:val="16"/>
          <w:szCs w:val="16"/>
          <w:vertAlign w:val="superscript"/>
        </w:rPr>
        <w:t>th</w:t>
      </w:r>
      <w:r w:rsidRPr="004E3ABA">
        <w:rPr>
          <w:rFonts w:cs="Arial"/>
          <w:sz w:val="16"/>
          <w:szCs w:val="16"/>
        </w:rPr>
        <w:t xml:space="preserve"> June of that quarter.”</w:t>
      </w:r>
    </w:p>
  </w:footnote>
  <w:footnote w:id="910">
    <w:p w:rsidR="00BF2117" w:rsidRPr="004E3ABA" w:rsidRDefault="00BF2117">
      <w:pPr>
        <w:pStyle w:val="FootnoteText"/>
        <w:rPr>
          <w:sz w:val="16"/>
          <w:szCs w:val="16"/>
        </w:rPr>
      </w:pPr>
      <w:r w:rsidRPr="004E3ABA">
        <w:rPr>
          <w:rStyle w:val="FootnoteReference"/>
          <w:sz w:val="16"/>
          <w:szCs w:val="16"/>
        </w:rPr>
        <w:footnoteRef/>
      </w:r>
      <w:r w:rsidRPr="004E3ABA">
        <w:rPr>
          <w:sz w:val="16"/>
          <w:szCs w:val="16"/>
        </w:rPr>
        <w:t xml:space="preserve"> Sub-section (6A) substituted by the Finance Act, 2009. The substituted sub-section (6A) read as follows:</w:t>
      </w:r>
    </w:p>
    <w:p w:rsidR="00BF2117" w:rsidRPr="004E3ABA" w:rsidRDefault="00BF2117" w:rsidP="00074E9B">
      <w:pPr>
        <w:pStyle w:val="FootnoteText"/>
        <w:ind w:left="180" w:firstLine="367"/>
        <w:jc w:val="both"/>
        <w:rPr>
          <w:sz w:val="16"/>
          <w:szCs w:val="16"/>
          <w:lang w:val="en-US"/>
        </w:rPr>
      </w:pPr>
      <w:r w:rsidRPr="004E3ABA">
        <w:rPr>
          <w:sz w:val="16"/>
          <w:szCs w:val="16"/>
        </w:rPr>
        <w:t>“</w:t>
      </w:r>
      <w:r w:rsidRPr="004E3ABA">
        <w:rPr>
          <w:rFonts w:cs="Arial"/>
          <w:sz w:val="16"/>
          <w:szCs w:val="16"/>
        </w:rPr>
        <w:t>(6A)</w:t>
      </w:r>
      <w:r w:rsidRPr="004E3ABA">
        <w:rPr>
          <w:rFonts w:cs="Arial"/>
          <w:sz w:val="16"/>
          <w:szCs w:val="16"/>
        </w:rPr>
        <w:tab/>
        <w:t xml:space="preserve">Notwithstanding anything contained in this section, where the taxpayer is a company, advance tax shall be payable by it in the absence of last assessed income also. The taxpayer shall estimate the amount of advance tax payable on the basis of estimated </w:t>
      </w:r>
      <w:r w:rsidRPr="004E3ABA">
        <w:rPr>
          <w:sz w:val="16"/>
          <w:szCs w:val="16"/>
        </w:rPr>
        <w:t>Inserted by the Finance Act, 2009.”</w:t>
      </w:r>
    </w:p>
    <w:p w:rsidR="00BF2117" w:rsidRPr="004E3ABA" w:rsidRDefault="00BF2117" w:rsidP="00A5611B">
      <w:pPr>
        <w:pStyle w:val="FootnoteText"/>
        <w:ind w:left="180" w:firstLine="367"/>
        <w:jc w:val="both"/>
        <w:rPr>
          <w:sz w:val="16"/>
          <w:szCs w:val="16"/>
          <w:lang w:val="en-US"/>
        </w:rPr>
      </w:pPr>
    </w:p>
  </w:footnote>
  <w:footnote w:id="911">
    <w:p w:rsidR="00BF2117" w:rsidRPr="00966F3F" w:rsidRDefault="00BF2117" w:rsidP="00663B02">
      <w:pPr>
        <w:pStyle w:val="FootnoteText"/>
        <w:rPr>
          <w:color w:val="0070C0"/>
          <w:sz w:val="16"/>
          <w:szCs w:val="16"/>
          <w:lang w:val="en-US"/>
        </w:rPr>
      </w:pPr>
      <w:r w:rsidRPr="00966F3F">
        <w:rPr>
          <w:rStyle w:val="FootnoteReference"/>
          <w:color w:val="0070C0"/>
          <w:sz w:val="16"/>
          <w:szCs w:val="16"/>
        </w:rPr>
        <w:footnoteRef/>
      </w:r>
      <w:r w:rsidRPr="00966F3F">
        <w:rPr>
          <w:color w:val="0070C0"/>
          <w:sz w:val="16"/>
          <w:szCs w:val="16"/>
        </w:rPr>
        <w:t xml:space="preserve"> The expression “section 113” substituted by the Finance Act, 2016.</w:t>
      </w:r>
    </w:p>
  </w:footnote>
  <w:footnote w:id="912">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Clause (a) omitted </w:t>
      </w:r>
      <w:r w:rsidRPr="004E3ABA">
        <w:rPr>
          <w:sz w:val="16"/>
          <w:szCs w:val="16"/>
          <w:lang w:val="en-US"/>
        </w:rPr>
        <w:t>by the Finance Act, 2008. The omitted clause (a) read as follows:</w:t>
      </w:r>
    </w:p>
    <w:p w:rsidR="00BF2117" w:rsidRPr="004E3ABA" w:rsidRDefault="00BF2117" w:rsidP="008A3C8F">
      <w:pPr>
        <w:pStyle w:val="FootnoteText"/>
        <w:ind w:hanging="173"/>
        <w:rPr>
          <w:sz w:val="16"/>
          <w:szCs w:val="16"/>
          <w:lang w:val="en-US"/>
        </w:rPr>
      </w:pPr>
      <w:r w:rsidRPr="004E3ABA">
        <w:rPr>
          <w:sz w:val="16"/>
          <w:szCs w:val="16"/>
          <w:lang w:val="en-US"/>
        </w:rPr>
        <w:t>“</w:t>
      </w:r>
      <w:r w:rsidRPr="004E3ABA">
        <w:rPr>
          <w:rFonts w:cs="Arial"/>
          <w:sz w:val="16"/>
          <w:szCs w:val="16"/>
        </w:rPr>
        <w:t>(a)</w:t>
      </w:r>
      <w:r w:rsidRPr="004E3ABA">
        <w:rPr>
          <w:rFonts w:cs="Arial"/>
          <w:sz w:val="16"/>
          <w:szCs w:val="16"/>
        </w:rPr>
        <w:tab/>
        <w:t>taking into account tax payable under section 113 as provided in sub-section (4AA);”</w:t>
      </w:r>
    </w:p>
  </w:footnote>
  <w:footnote w:id="913">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Clause (b) omitted </w:t>
      </w:r>
      <w:r w:rsidRPr="004E3ABA">
        <w:rPr>
          <w:sz w:val="16"/>
          <w:szCs w:val="16"/>
          <w:lang w:val="en-US"/>
        </w:rPr>
        <w:t>by the Finance Act, 2008. The omitted clause (b) read as follows:</w:t>
      </w:r>
    </w:p>
    <w:p w:rsidR="00BF2117" w:rsidRPr="004E3ABA" w:rsidRDefault="00BF2117" w:rsidP="008A3C8F">
      <w:pPr>
        <w:pStyle w:val="FootnoteText"/>
        <w:ind w:hanging="173"/>
        <w:rPr>
          <w:sz w:val="16"/>
          <w:szCs w:val="16"/>
          <w:lang w:val="en-US"/>
        </w:rPr>
      </w:pPr>
      <w:r w:rsidRPr="004E3ABA">
        <w:rPr>
          <w:sz w:val="16"/>
          <w:szCs w:val="16"/>
          <w:lang w:val="en-US"/>
        </w:rPr>
        <w:t>“</w:t>
      </w:r>
      <w:r w:rsidRPr="004E3ABA">
        <w:rPr>
          <w:rFonts w:cs="Arial"/>
          <w:sz w:val="16"/>
          <w:szCs w:val="16"/>
        </w:rPr>
        <w:t>(b)</w:t>
      </w:r>
      <w:r w:rsidRPr="004E3ABA">
        <w:rPr>
          <w:rFonts w:cs="Arial"/>
          <w:sz w:val="16"/>
          <w:szCs w:val="16"/>
        </w:rPr>
        <w:tab/>
        <w:t>making adjustment for the amount (if any) already paid.”</w:t>
      </w:r>
    </w:p>
  </w:footnote>
  <w:footnote w:id="914">
    <w:p w:rsidR="00BF2117" w:rsidRPr="004E3ABA" w:rsidRDefault="00BF2117">
      <w:pPr>
        <w:pStyle w:val="FootnoteText"/>
        <w:keepNext/>
        <w:rPr>
          <w:sz w:val="16"/>
          <w:szCs w:val="16"/>
        </w:rPr>
      </w:pPr>
      <w:r w:rsidRPr="004E3ABA">
        <w:rPr>
          <w:rStyle w:val="FootnoteReference"/>
          <w:rFonts w:cs="Arial"/>
          <w:sz w:val="16"/>
          <w:szCs w:val="16"/>
        </w:rPr>
        <w:footnoteRef/>
      </w:r>
      <w:r w:rsidRPr="004E3ABA">
        <w:rPr>
          <w:sz w:val="16"/>
          <w:szCs w:val="16"/>
        </w:rPr>
        <w:t xml:space="preserve"> Sub-section (11) omitted by the Finance Act, 2004. The omitted sub-section (11) read as follows: </w:t>
      </w:r>
    </w:p>
    <w:p w:rsidR="00BF2117" w:rsidRPr="004E3ABA" w:rsidRDefault="00BF2117">
      <w:pPr>
        <w:pStyle w:val="FootnoteText"/>
        <w:ind w:left="270" w:hanging="90"/>
        <w:jc w:val="both"/>
        <w:rPr>
          <w:sz w:val="16"/>
          <w:szCs w:val="16"/>
        </w:rPr>
      </w:pPr>
      <w:r w:rsidRPr="004E3ABA">
        <w:rPr>
          <w:rFonts w:cs="Arial"/>
          <w:sz w:val="16"/>
          <w:szCs w:val="16"/>
        </w:rPr>
        <w:t>“(11)</w:t>
      </w:r>
      <w:r w:rsidRPr="004E3ABA">
        <w:rPr>
          <w:rFonts w:cs="Arial"/>
          <w:sz w:val="16"/>
          <w:szCs w:val="16"/>
        </w:rPr>
        <w:tab/>
        <w:t xml:space="preserve"> In this section, “turnover” shall not include amounts referred to in clauses (a), (b), (ba), (c) and (d) of sub-section (1).”</w:t>
      </w:r>
    </w:p>
  </w:footnote>
  <w:footnote w:id="915">
    <w:p w:rsidR="00BF2117" w:rsidRPr="00966F3F" w:rsidRDefault="00BF2117">
      <w:pPr>
        <w:pStyle w:val="FootnoteText"/>
        <w:rPr>
          <w:color w:val="0070C0"/>
          <w:sz w:val="16"/>
          <w:szCs w:val="16"/>
          <w:lang w:val="en-US"/>
        </w:rPr>
      </w:pPr>
      <w:r w:rsidRPr="00966F3F">
        <w:rPr>
          <w:rStyle w:val="FootnoteReference"/>
          <w:color w:val="0070C0"/>
          <w:sz w:val="16"/>
          <w:szCs w:val="16"/>
        </w:rPr>
        <w:footnoteRef/>
      </w:r>
      <w:r w:rsidRPr="00966F3F">
        <w:rPr>
          <w:color w:val="0070C0"/>
          <w:sz w:val="16"/>
          <w:szCs w:val="16"/>
        </w:rPr>
        <w:t xml:space="preserve"> Inserted by the Finance Act, 2016.</w:t>
      </w:r>
    </w:p>
  </w:footnote>
  <w:footnote w:id="916">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Sub-section (2) substituted </w:t>
      </w:r>
      <w:r w:rsidRPr="004E3ABA">
        <w:rPr>
          <w:sz w:val="16"/>
          <w:szCs w:val="16"/>
          <w:lang w:val="en-US"/>
        </w:rPr>
        <w:t xml:space="preserve">by the Finance Act, 2007. The substituted sub-section (2) read as follows: </w:t>
      </w:r>
    </w:p>
    <w:p w:rsidR="00BF2117" w:rsidRPr="004E3ABA" w:rsidRDefault="00BF2117" w:rsidP="00F66A78">
      <w:pPr>
        <w:ind w:left="180"/>
        <w:jc w:val="both"/>
        <w:rPr>
          <w:rFonts w:cs="Arial"/>
          <w:sz w:val="16"/>
          <w:szCs w:val="16"/>
        </w:rPr>
      </w:pPr>
      <w:r w:rsidRPr="004E3ABA">
        <w:rPr>
          <w:sz w:val="16"/>
          <w:szCs w:val="16"/>
          <w:lang w:val="en-US"/>
        </w:rPr>
        <w:t>“</w:t>
      </w:r>
      <w:r w:rsidRPr="004E3ABA">
        <w:rPr>
          <w:rFonts w:cs="Arial"/>
          <w:sz w:val="16"/>
          <w:szCs w:val="16"/>
        </w:rPr>
        <w:t>(2)</w:t>
      </w:r>
      <w:r w:rsidRPr="004E3ABA">
        <w:rPr>
          <w:rFonts w:cs="Arial"/>
          <w:sz w:val="16"/>
          <w:szCs w:val="16"/>
        </w:rPr>
        <w:tab/>
        <w:t>This section shall not apply to –</w:t>
      </w:r>
    </w:p>
    <w:p w:rsidR="00BF2117" w:rsidRPr="004E3ABA" w:rsidRDefault="00BF2117" w:rsidP="00F66A78">
      <w:pPr>
        <w:ind w:left="1620" w:hanging="540"/>
        <w:jc w:val="both"/>
        <w:rPr>
          <w:rFonts w:cs="Arial"/>
          <w:sz w:val="16"/>
          <w:szCs w:val="16"/>
        </w:rPr>
      </w:pPr>
      <w:r w:rsidRPr="004E3ABA">
        <w:rPr>
          <w:rFonts w:cs="Arial"/>
          <w:sz w:val="16"/>
          <w:szCs w:val="16"/>
        </w:rPr>
        <w:t>(a)</w:t>
      </w:r>
      <w:r w:rsidRPr="004E3ABA">
        <w:rPr>
          <w:rFonts w:cs="Arial"/>
          <w:sz w:val="16"/>
          <w:szCs w:val="16"/>
        </w:rPr>
        <w:tab/>
        <w:t>the re-importation of re-usable containers for re-export qualifying for customs-duty and sales tax exemption on temporary import under the Customs Notification No. S.R.O. 344(1)/95, dated the 25</w:t>
      </w:r>
      <w:r w:rsidRPr="004E3ABA">
        <w:rPr>
          <w:rFonts w:cs="Arial"/>
          <w:sz w:val="16"/>
          <w:szCs w:val="16"/>
          <w:vertAlign w:val="superscript"/>
        </w:rPr>
        <w:t>th</w:t>
      </w:r>
      <w:r w:rsidRPr="004E3ABA">
        <w:rPr>
          <w:rFonts w:cs="Arial"/>
          <w:sz w:val="16"/>
          <w:szCs w:val="16"/>
        </w:rPr>
        <w:t xml:space="preserve"> day of April, 1995; or</w:t>
      </w:r>
    </w:p>
    <w:p w:rsidR="00BF2117" w:rsidRPr="004E3ABA" w:rsidRDefault="00BF2117" w:rsidP="00F66A78">
      <w:pPr>
        <w:ind w:left="1620" w:hanging="540"/>
        <w:jc w:val="both"/>
        <w:rPr>
          <w:rFonts w:cs="Arial"/>
          <w:sz w:val="16"/>
          <w:szCs w:val="16"/>
        </w:rPr>
      </w:pPr>
      <w:r w:rsidRPr="004E3ABA">
        <w:rPr>
          <w:rFonts w:cs="Arial"/>
          <w:sz w:val="16"/>
          <w:szCs w:val="16"/>
        </w:rPr>
        <w:t>(b)</w:t>
      </w:r>
      <w:r w:rsidRPr="004E3ABA">
        <w:rPr>
          <w:rFonts w:cs="Arial"/>
          <w:sz w:val="16"/>
          <w:szCs w:val="16"/>
        </w:rPr>
        <w:tab/>
        <w:t>the importation of the following petroleum products –</w:t>
      </w:r>
    </w:p>
    <w:p w:rsidR="00BF2117" w:rsidRPr="004E3ABA" w:rsidRDefault="00BF2117" w:rsidP="00F66A78">
      <w:pPr>
        <w:ind w:left="1786" w:firstLine="402"/>
        <w:jc w:val="both"/>
        <w:rPr>
          <w:sz w:val="16"/>
          <w:szCs w:val="16"/>
          <w:lang w:val="en-US"/>
        </w:rPr>
      </w:pPr>
      <w:r w:rsidRPr="004E3ABA">
        <w:rPr>
          <w:rFonts w:cs="Arial"/>
          <w:sz w:val="16"/>
          <w:szCs w:val="16"/>
        </w:rPr>
        <w:t>“</w:t>
      </w:r>
      <w:r w:rsidRPr="004E3ABA">
        <w:rPr>
          <w:sz w:val="16"/>
          <w:szCs w:val="16"/>
          <w:lang w:val="en-US"/>
        </w:rPr>
        <w:t>Motor</w:t>
      </w:r>
      <w:r w:rsidRPr="004E3ABA">
        <w:rPr>
          <w:rFonts w:cs="Arial"/>
          <w:sz w:val="16"/>
          <w:szCs w:val="16"/>
        </w:rPr>
        <w:t xml:space="preserve"> Spirit (MS), Furnace Oil (FO), JP-1 and MTBE”.”</w:t>
      </w:r>
    </w:p>
  </w:footnote>
  <w:footnote w:id="917">
    <w:p w:rsidR="00BF2117" w:rsidRDefault="00BF2117" w:rsidP="001B7D2E">
      <w:pPr>
        <w:jc w:val="both"/>
        <w:rPr>
          <w:rStyle w:val="FootnoteReference"/>
          <w:rFonts w:cs="Arial"/>
          <w:sz w:val="20"/>
        </w:rPr>
      </w:pPr>
      <w:r w:rsidRPr="001B7D2E">
        <w:rPr>
          <w:rStyle w:val="FootnoteReference"/>
          <w:sz w:val="16"/>
          <w:szCs w:val="16"/>
        </w:rPr>
        <w:footnoteRef/>
      </w:r>
      <w:r>
        <w:rPr>
          <w:sz w:val="16"/>
          <w:szCs w:val="16"/>
        </w:rPr>
        <w:t>Omitted by Finance act, 2015. The omitted sub-section (2) read as follows:-</w:t>
      </w:r>
    </w:p>
    <w:p w:rsidR="00BF2117" w:rsidRPr="001B7D2E" w:rsidRDefault="00BF2117" w:rsidP="00430409">
      <w:pPr>
        <w:ind w:left="547"/>
        <w:jc w:val="both"/>
        <w:rPr>
          <w:sz w:val="16"/>
          <w:szCs w:val="16"/>
          <w:lang w:val="en-US"/>
        </w:rPr>
      </w:pPr>
      <w:r>
        <w:rPr>
          <w:rFonts w:cs="Arial"/>
          <w:sz w:val="20"/>
        </w:rPr>
        <w:t>“</w:t>
      </w:r>
      <w:r w:rsidRPr="001B7D2E">
        <w:rPr>
          <w:rFonts w:cs="Arial"/>
          <w:sz w:val="16"/>
          <w:szCs w:val="16"/>
        </w:rPr>
        <w:t>(2)</w:t>
      </w:r>
      <w:r w:rsidRPr="001B7D2E">
        <w:rPr>
          <w:sz w:val="16"/>
          <w:szCs w:val="16"/>
        </w:rPr>
        <w:t>Nothing contained in sub-section (1) shall apply to any goods or class of goods or persons or class of persons importing such goods or class of goods as</w:t>
      </w:r>
      <w:r>
        <w:rPr>
          <w:sz w:val="16"/>
          <w:szCs w:val="16"/>
        </w:rPr>
        <w:t xml:space="preserve"> may be specified by the Board.”</w:t>
      </w:r>
    </w:p>
  </w:footnote>
  <w:footnote w:id="918">
    <w:p w:rsidR="00BF2117" w:rsidRPr="00215B4F" w:rsidRDefault="00BF2117">
      <w:pPr>
        <w:pStyle w:val="FootnoteText"/>
        <w:rPr>
          <w:sz w:val="16"/>
          <w:szCs w:val="16"/>
          <w:lang w:val="en-US"/>
        </w:rPr>
      </w:pPr>
      <w:r w:rsidRPr="00215B4F">
        <w:rPr>
          <w:rStyle w:val="FootnoteReference"/>
          <w:sz w:val="16"/>
          <w:szCs w:val="16"/>
        </w:rPr>
        <w:footnoteRef/>
      </w:r>
      <w:r>
        <w:rPr>
          <w:sz w:val="16"/>
          <w:szCs w:val="16"/>
        </w:rPr>
        <w:t>Inserted by Finance Act, 2015.</w:t>
      </w:r>
    </w:p>
  </w:footnote>
  <w:footnote w:id="919">
    <w:p w:rsidR="00BF2117" w:rsidRPr="004E3ABA" w:rsidRDefault="00BF2117">
      <w:pPr>
        <w:pStyle w:val="FootnoteText"/>
        <w:rPr>
          <w:sz w:val="16"/>
          <w:szCs w:val="16"/>
        </w:rPr>
      </w:pPr>
      <w:r w:rsidRPr="004E3ABA">
        <w:rPr>
          <w:rStyle w:val="FootnoteReference"/>
          <w:sz w:val="16"/>
          <w:szCs w:val="16"/>
        </w:rPr>
        <w:footnoteRef/>
      </w:r>
      <w:r w:rsidRPr="004E3ABA">
        <w:rPr>
          <w:sz w:val="16"/>
          <w:szCs w:val="16"/>
        </w:rPr>
        <w:t xml:space="preserve"> Sub-section (3) omitted by the Finance Act, 2007. The omitted sub-section (3) read as follows:</w:t>
      </w:r>
    </w:p>
    <w:p w:rsidR="00BF2117" w:rsidRPr="004E3ABA" w:rsidRDefault="00BF2117" w:rsidP="00A8366F">
      <w:pPr>
        <w:ind w:left="180"/>
        <w:jc w:val="both"/>
        <w:rPr>
          <w:rFonts w:cs="Arial"/>
          <w:sz w:val="16"/>
          <w:szCs w:val="16"/>
        </w:rPr>
      </w:pPr>
      <w:r w:rsidRPr="004E3ABA">
        <w:rPr>
          <w:sz w:val="16"/>
          <w:szCs w:val="16"/>
        </w:rPr>
        <w:t>“</w:t>
      </w:r>
      <w:r w:rsidRPr="004E3ABA">
        <w:rPr>
          <w:rFonts w:cs="Arial"/>
          <w:sz w:val="16"/>
          <w:szCs w:val="16"/>
        </w:rPr>
        <w:t>(3)</w:t>
      </w:r>
      <w:r w:rsidRPr="004E3ABA">
        <w:rPr>
          <w:rFonts w:cs="Arial"/>
          <w:sz w:val="16"/>
          <w:szCs w:val="16"/>
        </w:rPr>
        <w:tab/>
        <w:t>Where a manufacturer imports raw materials (other than edible oils) exclusively for the manufacturer’s own use, the Commissioner may certify a reduction (of up to seventy five per cent) of the rate of advance tax applicable under this section if the aggregate of tax paid or collected in a tax year equals the amount of tax paid by the manufacturer in the immediately preceding year.”</w:t>
      </w:r>
    </w:p>
    <w:p w:rsidR="00BF2117" w:rsidRPr="004E3ABA" w:rsidRDefault="00BF2117" w:rsidP="00A8366F">
      <w:pPr>
        <w:ind w:left="180"/>
        <w:jc w:val="both"/>
        <w:rPr>
          <w:sz w:val="16"/>
          <w:szCs w:val="16"/>
          <w:lang w:val="en-US"/>
        </w:rPr>
      </w:pPr>
    </w:p>
  </w:footnote>
  <w:footnote w:id="920">
    <w:p w:rsidR="00BF2117" w:rsidRPr="004E3ABA" w:rsidRDefault="00BF2117">
      <w:pPr>
        <w:pStyle w:val="FootnoteText"/>
        <w:rPr>
          <w:sz w:val="16"/>
          <w:szCs w:val="16"/>
        </w:rPr>
      </w:pPr>
      <w:r w:rsidRPr="004E3ABA">
        <w:rPr>
          <w:rStyle w:val="FootnoteReference"/>
          <w:sz w:val="16"/>
          <w:szCs w:val="16"/>
        </w:rPr>
        <w:footnoteRef/>
      </w:r>
      <w:r w:rsidRPr="004E3ABA">
        <w:rPr>
          <w:sz w:val="16"/>
          <w:szCs w:val="16"/>
        </w:rPr>
        <w:t xml:space="preserve"> Sub-section (4) omitted by the Finance Act, 2007. The omitted sub-section (4) read as follows:</w:t>
      </w:r>
    </w:p>
    <w:p w:rsidR="00BF2117" w:rsidRPr="004E3ABA" w:rsidRDefault="00BF2117" w:rsidP="000352F5">
      <w:pPr>
        <w:ind w:left="180"/>
        <w:jc w:val="both"/>
        <w:rPr>
          <w:rFonts w:cs="Arial"/>
          <w:sz w:val="16"/>
          <w:szCs w:val="16"/>
        </w:rPr>
      </w:pPr>
      <w:r w:rsidRPr="004E3ABA">
        <w:rPr>
          <w:sz w:val="16"/>
          <w:szCs w:val="16"/>
        </w:rPr>
        <w:t>“</w:t>
      </w:r>
      <w:r w:rsidRPr="004E3ABA">
        <w:rPr>
          <w:rFonts w:cs="Arial"/>
          <w:sz w:val="16"/>
          <w:szCs w:val="16"/>
        </w:rPr>
        <w:t xml:space="preserve"> (4) </w:t>
      </w:r>
      <w:r w:rsidRPr="004E3ABA">
        <w:rPr>
          <w:rFonts w:cs="Arial"/>
          <w:sz w:val="16"/>
          <w:szCs w:val="16"/>
        </w:rPr>
        <w:tab/>
        <w:t>Notwithstanding the provisions of sub-section (3), a person being a manufacturer who is liable to pay advance tax under section 147, imports raw materials (other than edible oils) exclusively</w:t>
      </w:r>
      <w:r w:rsidRPr="00412620">
        <w:rPr>
          <w:rFonts w:cs="Arial"/>
          <w:sz w:val="16"/>
          <w:szCs w:val="16"/>
        </w:rPr>
        <w:t xml:space="preserve"> for his, or as the case may be, its own use, the Commissioner shall upon application in writing by such </w:t>
      </w:r>
      <w:r w:rsidRPr="004E3ABA">
        <w:rPr>
          <w:rFonts w:cs="Arial"/>
          <w:sz w:val="16"/>
          <w:szCs w:val="16"/>
        </w:rPr>
        <w:t>person, issue an exemption certificate effective from the date on which the certificate is issued to the 30</w:t>
      </w:r>
      <w:r w:rsidRPr="004E3ABA">
        <w:rPr>
          <w:rFonts w:cs="Arial"/>
          <w:sz w:val="16"/>
          <w:szCs w:val="16"/>
          <w:vertAlign w:val="superscript"/>
        </w:rPr>
        <w:t>th</w:t>
      </w:r>
      <w:r w:rsidRPr="004E3ABA">
        <w:rPr>
          <w:rFonts w:cs="Arial"/>
          <w:sz w:val="16"/>
          <w:szCs w:val="16"/>
        </w:rPr>
        <w:t xml:space="preserve"> day of June next falling:</w:t>
      </w:r>
    </w:p>
    <w:p w:rsidR="00BF2117" w:rsidRPr="004E3ABA" w:rsidRDefault="00BF2117" w:rsidP="000352F5">
      <w:pPr>
        <w:pStyle w:val="FootnoteText"/>
        <w:rPr>
          <w:sz w:val="16"/>
          <w:szCs w:val="16"/>
          <w:lang w:val="en-US"/>
        </w:rPr>
      </w:pPr>
      <w:r w:rsidRPr="004E3ABA">
        <w:rPr>
          <w:rFonts w:cs="Arial"/>
          <w:sz w:val="16"/>
          <w:szCs w:val="16"/>
        </w:rPr>
        <w:tab/>
        <w:t>Provided that where the person to whom an exemption certificate has been issued fails to pay any instalment due, the Commissioner may cancel the certificate.”</w:t>
      </w:r>
    </w:p>
  </w:footnote>
  <w:footnote w:id="921">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Sub-section (4A)  omitted </w:t>
      </w:r>
      <w:r w:rsidRPr="004E3ABA">
        <w:rPr>
          <w:sz w:val="16"/>
          <w:szCs w:val="16"/>
          <w:lang w:val="en-US"/>
        </w:rPr>
        <w:t>by the Finance Act, 2008. The omitted sub-section (4A) read as follows:-</w:t>
      </w:r>
    </w:p>
    <w:p w:rsidR="00BF2117" w:rsidRPr="004E3ABA" w:rsidRDefault="00BF2117" w:rsidP="006B0813">
      <w:pPr>
        <w:pStyle w:val="FootnoteText"/>
        <w:ind w:left="270" w:hanging="90"/>
        <w:jc w:val="both"/>
        <w:rPr>
          <w:sz w:val="16"/>
          <w:szCs w:val="16"/>
          <w:lang w:val="en-US"/>
        </w:rPr>
      </w:pPr>
      <w:r w:rsidRPr="004E3ABA">
        <w:rPr>
          <w:rFonts w:cs="Arial"/>
          <w:sz w:val="16"/>
          <w:szCs w:val="16"/>
        </w:rPr>
        <w:t xml:space="preserve">“(4A) </w:t>
      </w:r>
      <w:r w:rsidRPr="004E3ABA">
        <w:rPr>
          <w:sz w:val="16"/>
          <w:szCs w:val="16"/>
        </w:rPr>
        <w:t>Where, in the case of a person whose income is not subject to final taxation, the Commissioner is satisfied that such person is not likely to pay any tax (other than tax under section 113), the Commissioner shall, upon application in writing made by such person, issue certificate allowing payment of tax collectable under this section at a reduced rate of 0.5%”</w:t>
      </w:r>
    </w:p>
  </w:footnote>
  <w:footnote w:id="922">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lang w:val="en-US"/>
        </w:rPr>
        <w:t>Sub-section (7) substituted by the Finance Act, 2006. The substituted sub-section (7) read as follows:</w:t>
      </w:r>
    </w:p>
    <w:p w:rsidR="00BF2117" w:rsidRPr="004E3ABA" w:rsidRDefault="00BF2117" w:rsidP="009549AA">
      <w:pPr>
        <w:pStyle w:val="FootnoteText"/>
        <w:ind w:left="180" w:hanging="90"/>
        <w:jc w:val="both"/>
        <w:rPr>
          <w:sz w:val="16"/>
          <w:szCs w:val="16"/>
          <w:lang w:val="en-US"/>
        </w:rPr>
      </w:pPr>
      <w:r w:rsidRPr="004E3ABA">
        <w:rPr>
          <w:sz w:val="16"/>
          <w:szCs w:val="16"/>
          <w:lang w:val="en-US"/>
        </w:rPr>
        <w:t>“</w:t>
      </w:r>
      <w:r w:rsidRPr="004E3ABA">
        <w:rPr>
          <w:rFonts w:cs="Arial"/>
          <w:sz w:val="16"/>
          <w:szCs w:val="16"/>
        </w:rPr>
        <w:t>(7)</w:t>
      </w:r>
      <w:r w:rsidRPr="004E3ABA">
        <w:rPr>
          <w:rFonts w:cs="Arial"/>
          <w:sz w:val="16"/>
          <w:szCs w:val="16"/>
        </w:rPr>
        <w:tab/>
        <w:t>Except in the case of an industrial undertaking importing goods as raw materials, plant, machinery and equipment for its own use, the tax collected under this section shall be a final tax on the income of the importer arising from the imports subject to sub-section (1).”</w:t>
      </w:r>
    </w:p>
  </w:footnote>
  <w:footnote w:id="923">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lang w:val="en-US"/>
        </w:rPr>
        <w:t>Inserted by  the Finance Act, 2012.</w:t>
      </w:r>
    </w:p>
  </w:footnote>
  <w:footnote w:id="924">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Inserted by the Finance Act, 2010.</w:t>
      </w:r>
    </w:p>
  </w:footnote>
  <w:footnote w:id="925">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 “cars” substituted by the Finance Act, 2007.</w:t>
      </w:r>
    </w:p>
  </w:footnote>
  <w:footnote w:id="926">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 “cars” substituted by the Finance Act, 2007.</w:t>
      </w:r>
    </w:p>
  </w:footnote>
  <w:footnote w:id="927">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Inserted</w:t>
      </w:r>
      <w:r w:rsidRPr="004E3ABA">
        <w:rPr>
          <w:sz w:val="16"/>
          <w:szCs w:val="16"/>
          <w:lang w:val="en-US"/>
        </w:rPr>
        <w:t xml:space="preserve"> by the Finance Act, 2007.</w:t>
      </w:r>
    </w:p>
  </w:footnote>
  <w:footnote w:id="928">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figure “100” substituted by the Finance Act, 2009.</w:t>
      </w:r>
    </w:p>
  </w:footnote>
  <w:footnote w:id="929">
    <w:p w:rsidR="00BF2117" w:rsidRPr="004E3ABA" w:rsidRDefault="00BF2117" w:rsidP="004E3ABA">
      <w:pPr>
        <w:pStyle w:val="FootnoteText"/>
        <w:rPr>
          <w:sz w:val="16"/>
          <w:szCs w:val="16"/>
          <w:lang w:val="en-US"/>
        </w:rPr>
      </w:pPr>
      <w:r w:rsidRPr="004E3ABA">
        <w:rPr>
          <w:rStyle w:val="FootnoteReference"/>
          <w:sz w:val="16"/>
          <w:szCs w:val="16"/>
        </w:rPr>
        <w:footnoteRef/>
      </w:r>
      <w:r w:rsidRPr="004E3ABA">
        <w:rPr>
          <w:sz w:val="16"/>
          <w:szCs w:val="16"/>
        </w:rPr>
        <w:t xml:space="preserve"> The figure “100” substituted by the Finance Act, 2009.</w:t>
      </w:r>
    </w:p>
  </w:footnote>
  <w:footnote w:id="930">
    <w:p w:rsidR="00BF2117" w:rsidRPr="00F53D60" w:rsidRDefault="00BF2117" w:rsidP="004E3ABA">
      <w:pPr>
        <w:pStyle w:val="FootnoteText"/>
        <w:ind w:left="0" w:firstLine="0"/>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The words “</w:t>
      </w:r>
      <w:r w:rsidRPr="00F53D60">
        <w:rPr>
          <w:rFonts w:cs="Arial"/>
          <w:color w:val="000000" w:themeColor="text1"/>
          <w:sz w:val="16"/>
          <w:szCs w:val="16"/>
        </w:rPr>
        <w:t>With Sales Tax Department” substituted bythe Finance Act,  2014.</w:t>
      </w:r>
    </w:p>
  </w:footnote>
  <w:footnote w:id="931">
    <w:p w:rsidR="00BF2117" w:rsidRPr="00F53D60" w:rsidRDefault="00BF2117" w:rsidP="004E3ABA">
      <w:pPr>
        <w:pStyle w:val="FootnoteText"/>
        <w:ind w:left="0" w:firstLine="0"/>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The words “</w:t>
      </w:r>
      <w:r w:rsidRPr="00F53D60">
        <w:rPr>
          <w:rFonts w:cs="Arial"/>
          <w:color w:val="000000" w:themeColor="text1"/>
          <w:sz w:val="16"/>
          <w:szCs w:val="16"/>
        </w:rPr>
        <w:t>for sales tax purposes” substituted by the Finance Act, 2014.</w:t>
      </w:r>
    </w:p>
  </w:footnote>
  <w:footnote w:id="932">
    <w:p w:rsidR="00BF2117" w:rsidRPr="004E3ABA" w:rsidRDefault="00BF2117" w:rsidP="004E3ABA">
      <w:pPr>
        <w:pStyle w:val="FootnoteText"/>
        <w:rPr>
          <w:sz w:val="16"/>
          <w:szCs w:val="16"/>
          <w:lang w:val="en-US"/>
        </w:rPr>
      </w:pPr>
      <w:r w:rsidRPr="004E3ABA">
        <w:rPr>
          <w:rStyle w:val="FootnoteReference"/>
          <w:sz w:val="16"/>
          <w:szCs w:val="16"/>
        </w:rPr>
        <w:footnoteRef/>
      </w:r>
      <w:r w:rsidRPr="004E3ABA">
        <w:rPr>
          <w:sz w:val="16"/>
          <w:szCs w:val="16"/>
        </w:rPr>
        <w:t xml:space="preserve"> Full stop substituted by the Finance Act, 2013.</w:t>
      </w:r>
    </w:p>
  </w:footnote>
  <w:footnote w:id="933">
    <w:p w:rsidR="00BF2117" w:rsidRPr="004E3ABA" w:rsidRDefault="00BF2117" w:rsidP="004E3ABA">
      <w:pPr>
        <w:pStyle w:val="FootnoteText"/>
        <w:rPr>
          <w:sz w:val="16"/>
          <w:szCs w:val="16"/>
          <w:lang w:val="en-US"/>
        </w:rPr>
      </w:pPr>
      <w:r w:rsidRPr="004E3ABA">
        <w:rPr>
          <w:rStyle w:val="FootnoteReference"/>
          <w:sz w:val="16"/>
          <w:szCs w:val="16"/>
        </w:rPr>
        <w:footnoteRef/>
      </w:r>
      <w:r w:rsidRPr="004E3ABA">
        <w:rPr>
          <w:sz w:val="16"/>
          <w:szCs w:val="16"/>
        </w:rPr>
        <w:t xml:space="preserve"> Added by the Finance Act, 2013.</w:t>
      </w:r>
    </w:p>
  </w:footnote>
  <w:footnote w:id="934">
    <w:p w:rsidR="00BF2117" w:rsidRPr="004E3ABA" w:rsidRDefault="00BF2117" w:rsidP="004E3ABA">
      <w:pPr>
        <w:pStyle w:val="FootnoteText"/>
        <w:keepNext/>
        <w:rPr>
          <w:sz w:val="16"/>
          <w:szCs w:val="16"/>
        </w:rPr>
      </w:pPr>
      <w:r w:rsidRPr="004E3ABA">
        <w:rPr>
          <w:rStyle w:val="FootnoteReference"/>
          <w:rFonts w:cs="Arial"/>
          <w:sz w:val="16"/>
          <w:szCs w:val="16"/>
        </w:rPr>
        <w:footnoteRef/>
      </w:r>
      <w:r w:rsidRPr="004E3ABA">
        <w:rPr>
          <w:sz w:val="16"/>
          <w:szCs w:val="16"/>
        </w:rPr>
        <w:t xml:space="preserve"> Sub-section (8) substituted by the Finance Act, 2004. The substituted sub-section (8) read as follows: </w:t>
      </w:r>
    </w:p>
    <w:p w:rsidR="00BF2117" w:rsidRPr="004E3ABA" w:rsidRDefault="00BF2117" w:rsidP="004E3ABA">
      <w:pPr>
        <w:pStyle w:val="FootnoteText"/>
        <w:ind w:left="90" w:firstLine="457"/>
        <w:jc w:val="both"/>
        <w:rPr>
          <w:rFonts w:cs="Arial"/>
          <w:sz w:val="16"/>
          <w:szCs w:val="16"/>
        </w:rPr>
      </w:pPr>
      <w:r w:rsidRPr="004E3ABA">
        <w:rPr>
          <w:rFonts w:cs="Arial"/>
          <w:sz w:val="16"/>
          <w:szCs w:val="16"/>
        </w:rPr>
        <w:t>“(8)</w:t>
      </w:r>
      <w:r w:rsidRPr="004E3ABA">
        <w:rPr>
          <w:rFonts w:cs="Arial"/>
          <w:sz w:val="16"/>
          <w:szCs w:val="16"/>
        </w:rPr>
        <w:tab/>
        <w:t>The tax collected from a person under this section on the import of edible oils for a tax year shall be treated as the minimum amount of tax payable by the person under this Ordinance and where the person’s final tax liability exceeds the amount collected under this section the tax collected shall be credited against that final liability.”</w:t>
      </w:r>
    </w:p>
  </w:footnote>
  <w:footnote w:id="935">
    <w:p w:rsidR="00BF2117" w:rsidRPr="004E3ABA" w:rsidRDefault="00BF2117" w:rsidP="004E3ABA">
      <w:pPr>
        <w:pStyle w:val="FootnoteText"/>
        <w:rPr>
          <w:sz w:val="16"/>
          <w:szCs w:val="16"/>
          <w:lang w:val="en-US"/>
        </w:rPr>
      </w:pPr>
      <w:r w:rsidRPr="004E3ABA">
        <w:rPr>
          <w:rStyle w:val="FootnoteReference"/>
          <w:sz w:val="16"/>
          <w:szCs w:val="16"/>
        </w:rPr>
        <w:footnoteRef/>
      </w:r>
      <w:r w:rsidRPr="004E3ABA">
        <w:rPr>
          <w:sz w:val="16"/>
          <w:szCs w:val="16"/>
          <w:lang w:val="en-US"/>
        </w:rPr>
        <w:t>Inserted by  the Finance Act, 2012.</w:t>
      </w:r>
    </w:p>
  </w:footnote>
  <w:footnote w:id="936">
    <w:p w:rsidR="00BF2117" w:rsidRPr="004E3ABA" w:rsidRDefault="00BF2117" w:rsidP="004E3ABA">
      <w:pPr>
        <w:pStyle w:val="FootnoteText"/>
        <w:rPr>
          <w:sz w:val="16"/>
          <w:szCs w:val="16"/>
          <w:lang w:val="en-US"/>
        </w:rPr>
      </w:pPr>
      <w:r w:rsidRPr="004E3ABA">
        <w:rPr>
          <w:rStyle w:val="FootnoteReference"/>
          <w:sz w:val="16"/>
          <w:szCs w:val="16"/>
        </w:rPr>
        <w:footnoteRef/>
      </w:r>
      <w:r w:rsidRPr="004E3ABA">
        <w:rPr>
          <w:sz w:val="16"/>
          <w:szCs w:val="16"/>
        </w:rPr>
        <w:t xml:space="preserve"> Inserted by the Finance Act, 2009.</w:t>
      </w:r>
    </w:p>
  </w:footnote>
  <w:footnote w:id="937">
    <w:p w:rsidR="00BF2117" w:rsidRPr="004E3ABA" w:rsidRDefault="00BF2117" w:rsidP="004E3ABA">
      <w:pPr>
        <w:pStyle w:val="FootnoteText"/>
        <w:rPr>
          <w:sz w:val="16"/>
          <w:szCs w:val="16"/>
          <w:lang w:val="en-US"/>
        </w:rPr>
      </w:pPr>
      <w:r w:rsidRPr="004E3ABA">
        <w:rPr>
          <w:rStyle w:val="FootnoteReference"/>
          <w:sz w:val="16"/>
          <w:szCs w:val="16"/>
        </w:rPr>
        <w:footnoteRef/>
      </w:r>
      <w:r w:rsidRPr="004E3ABA">
        <w:rPr>
          <w:sz w:val="16"/>
          <w:szCs w:val="16"/>
        </w:rPr>
        <w:t xml:space="preserve"> The word “final” substituted by the Finance Act, 2009.</w:t>
      </w:r>
    </w:p>
  </w:footnote>
  <w:footnote w:id="938">
    <w:p w:rsidR="00BF2117" w:rsidRPr="004E3ABA" w:rsidRDefault="00BF2117" w:rsidP="004E3ABA">
      <w:pPr>
        <w:pStyle w:val="FootnoteText"/>
        <w:rPr>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Inserted by the Finance Act, 2014</w:t>
      </w:r>
      <w:r w:rsidRPr="004E3ABA">
        <w:rPr>
          <w:sz w:val="16"/>
          <w:szCs w:val="16"/>
        </w:rPr>
        <w:t>.</w:t>
      </w:r>
    </w:p>
  </w:footnote>
  <w:footnote w:id="939">
    <w:p w:rsidR="00BF2117" w:rsidRPr="004E3ABA" w:rsidRDefault="00BF2117">
      <w:pPr>
        <w:pStyle w:val="FootnoteText"/>
        <w:rPr>
          <w:sz w:val="16"/>
          <w:szCs w:val="16"/>
        </w:rPr>
      </w:pPr>
      <w:r w:rsidRPr="004E3ABA">
        <w:rPr>
          <w:rStyle w:val="FootnoteReference"/>
          <w:rFonts w:cs="Arial"/>
          <w:sz w:val="16"/>
          <w:szCs w:val="16"/>
        </w:rPr>
        <w:footnoteRef/>
      </w:r>
      <w:r w:rsidRPr="004E3ABA">
        <w:rPr>
          <w:sz w:val="16"/>
          <w:szCs w:val="16"/>
        </w:rPr>
        <w:t xml:space="preserve"> The word “and” omitted by the Finance Act, 2004.</w:t>
      </w:r>
    </w:p>
  </w:footnote>
  <w:footnote w:id="940">
    <w:p w:rsidR="00BF2117" w:rsidRPr="004E3ABA" w:rsidRDefault="00BF2117" w:rsidP="00E848D4">
      <w:pPr>
        <w:pStyle w:val="FootnoteText"/>
        <w:ind w:left="270" w:hanging="270"/>
        <w:rPr>
          <w:sz w:val="16"/>
          <w:szCs w:val="16"/>
        </w:rPr>
      </w:pPr>
      <w:r w:rsidRPr="004E3ABA">
        <w:rPr>
          <w:rStyle w:val="FootnoteReference"/>
          <w:sz w:val="16"/>
          <w:szCs w:val="16"/>
        </w:rPr>
        <w:footnoteRef/>
      </w:r>
      <w:r w:rsidRPr="004E3ABA">
        <w:rPr>
          <w:sz w:val="16"/>
          <w:szCs w:val="16"/>
        </w:rPr>
        <w:t xml:space="preserve"> Substituted by the Finance Act, 2007. The amendment is applicable retrospectively. The substituted expression “value of goods” read as follows: </w:t>
      </w:r>
    </w:p>
    <w:p w:rsidR="00BF2117" w:rsidRPr="004E3ABA" w:rsidRDefault="00BF2117" w:rsidP="00E35903">
      <w:pPr>
        <w:pStyle w:val="FootnoteText"/>
        <w:ind w:left="270" w:firstLine="0"/>
        <w:jc w:val="both"/>
        <w:rPr>
          <w:sz w:val="16"/>
          <w:szCs w:val="16"/>
          <w:lang w:val="en-US"/>
        </w:rPr>
      </w:pPr>
      <w:r w:rsidRPr="004E3ABA">
        <w:rPr>
          <w:rFonts w:cs="Arial"/>
          <w:sz w:val="16"/>
          <w:szCs w:val="16"/>
        </w:rPr>
        <w:t xml:space="preserve">“value of goods” means the value of the goods as determined under section 25 of the Customs Act, 1969 (IV of 1969), as if the goods were subject to </w:t>
      </w:r>
      <w:r w:rsidRPr="004E3ABA">
        <w:rPr>
          <w:rFonts w:cs="Arial"/>
          <w:i/>
          <w:sz w:val="16"/>
          <w:szCs w:val="16"/>
        </w:rPr>
        <w:t xml:space="preserve">ad valorem </w:t>
      </w:r>
      <w:r w:rsidRPr="004E3ABA">
        <w:rPr>
          <w:rFonts w:cs="Arial"/>
          <w:sz w:val="16"/>
          <w:szCs w:val="16"/>
        </w:rPr>
        <w:t>duty increased by the customs-duty and sales tax, if any, payable in respect of the import of the goods; and”</w:t>
      </w:r>
    </w:p>
  </w:footnote>
  <w:footnote w:id="941">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Inserted by the Finance Act, 2006.</w:t>
      </w:r>
    </w:p>
  </w:footnote>
  <w:footnote w:id="942">
    <w:p w:rsidR="00BF2117" w:rsidRPr="008E3620" w:rsidRDefault="00BF2117">
      <w:pPr>
        <w:pStyle w:val="FootnoteText"/>
        <w:rPr>
          <w:color w:val="000000" w:themeColor="text1"/>
          <w:lang w:val="en-US"/>
        </w:rPr>
      </w:pPr>
      <w:r w:rsidRPr="008E3620">
        <w:rPr>
          <w:rStyle w:val="FootnoteReference"/>
          <w:color w:val="000000" w:themeColor="text1"/>
          <w:sz w:val="16"/>
          <w:szCs w:val="16"/>
        </w:rPr>
        <w:footnoteRef/>
      </w:r>
      <w:r w:rsidRPr="008E3620">
        <w:rPr>
          <w:color w:val="000000" w:themeColor="text1"/>
          <w:sz w:val="16"/>
          <w:szCs w:val="16"/>
        </w:rPr>
        <w:t xml:space="preserve"> Inserted by the Finance Act, 2015.</w:t>
      </w:r>
    </w:p>
  </w:footnote>
  <w:footnote w:id="943">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 “employer” substituted by the Finance Act, 2013.</w:t>
      </w:r>
    </w:p>
  </w:footnote>
  <w:footnote w:id="944">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rPr>
        <w:t xml:space="preserve"> The words “such adjustment” substituted by the Finance Act, 2007.</w:t>
      </w:r>
    </w:p>
  </w:footnote>
  <w:footnote w:id="945">
    <w:p w:rsidR="00BF2117" w:rsidRPr="004E3ABA" w:rsidRDefault="00BF2117">
      <w:pPr>
        <w:pStyle w:val="FootnoteText"/>
        <w:rPr>
          <w:sz w:val="16"/>
          <w:szCs w:val="16"/>
          <w:lang w:val="en-US"/>
        </w:rPr>
      </w:pPr>
      <w:r w:rsidRPr="004E3ABA">
        <w:rPr>
          <w:rStyle w:val="FootnoteReference"/>
          <w:sz w:val="16"/>
          <w:szCs w:val="16"/>
        </w:rPr>
        <w:footnoteRef/>
      </w:r>
      <w:r w:rsidRPr="004E3ABA">
        <w:rPr>
          <w:sz w:val="16"/>
          <w:szCs w:val="16"/>
          <w:lang w:val="en-US"/>
        </w:rPr>
        <w:t>Inserted by the Finance Act, 2007.</w:t>
      </w:r>
    </w:p>
  </w:footnote>
  <w:footnote w:id="946">
    <w:p w:rsidR="00BF2117" w:rsidRPr="004E3ABA" w:rsidRDefault="00BF2117" w:rsidP="00391B77">
      <w:pPr>
        <w:pStyle w:val="FootnoteText"/>
        <w:ind w:left="90" w:hanging="90"/>
        <w:jc w:val="both"/>
        <w:rPr>
          <w:sz w:val="16"/>
          <w:szCs w:val="16"/>
          <w:lang w:val="en-US"/>
        </w:rPr>
      </w:pPr>
      <w:r w:rsidRPr="004E3ABA">
        <w:rPr>
          <w:rStyle w:val="FootnoteReference"/>
          <w:sz w:val="16"/>
          <w:szCs w:val="16"/>
        </w:rPr>
        <w:footnoteRef/>
      </w:r>
      <w:r w:rsidRPr="004E3ABA">
        <w:rPr>
          <w:sz w:val="16"/>
          <w:szCs w:val="16"/>
        </w:rPr>
        <w:t xml:space="preserve"> The words “any excess deduction or deficiency arising out of any previous deduction or failure to make a deduction during the year.” substituted by the Finance Act, 2007.</w:t>
      </w:r>
    </w:p>
  </w:footnote>
  <w:footnote w:id="947">
    <w:p w:rsidR="00BF2117" w:rsidRPr="00F53D60" w:rsidRDefault="00BF2117">
      <w:pPr>
        <w:pStyle w:val="FootnoteText"/>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 xml:space="preserve"> Sub-section (3) and (4) added</w:t>
      </w:r>
      <w:r w:rsidRPr="00F53D60">
        <w:rPr>
          <w:color w:val="000000" w:themeColor="text1"/>
          <w:sz w:val="16"/>
          <w:szCs w:val="16"/>
          <w:lang w:val="en-US"/>
        </w:rPr>
        <w:t xml:space="preserve"> by the Finance Act, 2014.</w:t>
      </w:r>
    </w:p>
  </w:footnote>
  <w:footnote w:id="948">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words “resident company” substituted by the Finance Act, 2009.</w:t>
      </w:r>
    </w:p>
  </w:footnote>
  <w:footnote w:id="949">
    <w:p w:rsidR="00BF2117" w:rsidRPr="00391B77" w:rsidRDefault="00BF2117">
      <w:pPr>
        <w:pStyle w:val="FootnoteText"/>
        <w:ind w:left="180" w:hanging="180"/>
        <w:rPr>
          <w:sz w:val="16"/>
          <w:szCs w:val="16"/>
        </w:rPr>
      </w:pPr>
      <w:r w:rsidRPr="00391B77">
        <w:rPr>
          <w:rStyle w:val="FootnoteReference"/>
          <w:rFonts w:cs="Arial"/>
          <w:sz w:val="16"/>
          <w:szCs w:val="16"/>
        </w:rPr>
        <w:footnoteRef/>
      </w:r>
      <w:r w:rsidRPr="00391B77">
        <w:rPr>
          <w:sz w:val="16"/>
          <w:szCs w:val="16"/>
        </w:rPr>
        <w:t xml:space="preserve"> The words “or collect tax from the shareholder in the case of bonus shares,” omitted by the Finance Act, 2002.</w:t>
      </w:r>
    </w:p>
  </w:footnote>
  <w:footnote w:id="950">
    <w:p w:rsidR="00BF2117" w:rsidRPr="00F53D60" w:rsidRDefault="00BF2117" w:rsidP="00DD6CBE">
      <w:pPr>
        <w:jc w:val="both"/>
        <w:rPr>
          <w:color w:val="000000" w:themeColor="text1"/>
          <w:sz w:val="16"/>
          <w:szCs w:val="16"/>
          <w:lang w:val="en-US"/>
        </w:rPr>
      </w:pPr>
      <w:r w:rsidRPr="00F53D60">
        <w:rPr>
          <w:rStyle w:val="FootnoteReference"/>
          <w:color w:val="000000" w:themeColor="text1"/>
          <w:sz w:val="16"/>
          <w:szCs w:val="16"/>
        </w:rPr>
        <w:footnoteRef/>
      </w:r>
      <w:r w:rsidRPr="00F53D60">
        <w:rPr>
          <w:color w:val="000000" w:themeColor="text1"/>
          <w:sz w:val="16"/>
          <w:szCs w:val="16"/>
        </w:rPr>
        <w:t>The expression “Division III of Part I” substituted by the expression “Division I of Part III” by the Finance Act, 2014.</w:t>
      </w:r>
    </w:p>
  </w:footnote>
  <w:footnote w:id="951">
    <w:p w:rsidR="00BF2117" w:rsidRPr="00D41075" w:rsidRDefault="00BF2117" w:rsidP="00437EF0">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Added </w:t>
      </w:r>
      <w:r w:rsidRPr="00D41075">
        <w:rPr>
          <w:color w:val="FF0000"/>
          <w:sz w:val="16"/>
          <w:szCs w:val="16"/>
        </w:rPr>
        <w:t>by the Presidential Order No.F.2(1)/2016-Pub dated 31.0</w:t>
      </w:r>
      <w:r>
        <w:rPr>
          <w:color w:val="FF0000"/>
          <w:sz w:val="16"/>
          <w:szCs w:val="16"/>
        </w:rPr>
        <w:t>8</w:t>
      </w:r>
      <w:r w:rsidRPr="00D41075">
        <w:rPr>
          <w:color w:val="FF0000"/>
          <w:sz w:val="16"/>
          <w:szCs w:val="16"/>
        </w:rPr>
        <w:t>.2016</w:t>
      </w:r>
      <w:r>
        <w:rPr>
          <w:color w:val="FF0000"/>
          <w:sz w:val="16"/>
          <w:szCs w:val="16"/>
        </w:rPr>
        <w:t xml:space="preserve">. </w:t>
      </w:r>
    </w:p>
  </w:footnote>
  <w:footnote w:id="952">
    <w:p w:rsidR="00BF2117" w:rsidRPr="00391B77" w:rsidRDefault="00BF2117">
      <w:pPr>
        <w:pStyle w:val="FootnoteText"/>
        <w:keepNext/>
        <w:rPr>
          <w:sz w:val="16"/>
          <w:szCs w:val="16"/>
        </w:rPr>
      </w:pPr>
      <w:r w:rsidRPr="00391B77">
        <w:rPr>
          <w:rStyle w:val="FootnoteReference"/>
          <w:rFonts w:cs="Arial"/>
          <w:sz w:val="16"/>
          <w:szCs w:val="16"/>
        </w:rPr>
        <w:footnoteRef/>
      </w:r>
      <w:r w:rsidRPr="00391B77">
        <w:rPr>
          <w:sz w:val="16"/>
          <w:szCs w:val="16"/>
        </w:rPr>
        <w:t xml:space="preserve"> Clause (a) substituted by the Finance Act, 2003. The substituted clause (a) read as follows: </w:t>
      </w:r>
    </w:p>
    <w:p w:rsidR="00BF2117" w:rsidRPr="00391B77" w:rsidRDefault="00BF2117" w:rsidP="00391B77">
      <w:pPr>
        <w:pStyle w:val="BodyTextIndent"/>
        <w:ind w:left="90" w:firstLine="0"/>
        <w:jc w:val="both"/>
        <w:rPr>
          <w:rFonts w:cs="Arial"/>
          <w:sz w:val="16"/>
          <w:szCs w:val="16"/>
        </w:rPr>
      </w:pPr>
      <w:r w:rsidRPr="00391B77">
        <w:rPr>
          <w:rFonts w:cs="Arial"/>
          <w:sz w:val="16"/>
          <w:szCs w:val="16"/>
        </w:rPr>
        <w:t>“(a)</w:t>
      </w:r>
      <w:r w:rsidRPr="00391B77">
        <w:rPr>
          <w:rFonts w:cs="Arial"/>
          <w:sz w:val="16"/>
          <w:szCs w:val="16"/>
        </w:rPr>
        <w:tab/>
        <w:t>a person pays yield on a National Savings Deposit Certificate, including a Defence Savings Certificate, under the National Savings Scheme;”</w:t>
      </w:r>
    </w:p>
  </w:footnote>
  <w:footnote w:id="953">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The word “and” substituted by the Finance Act, 2003.</w:t>
      </w:r>
    </w:p>
  </w:footnote>
  <w:footnote w:id="954">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The word “or” omitted by the Finance Act, 2002.</w:t>
      </w:r>
    </w:p>
  </w:footnote>
  <w:footnote w:id="955">
    <w:p w:rsidR="00BF2117" w:rsidRPr="00391B77" w:rsidRDefault="00BF2117">
      <w:pPr>
        <w:pStyle w:val="BodyTextIndent"/>
        <w:keepNext/>
        <w:ind w:left="360" w:hanging="360"/>
        <w:jc w:val="both"/>
        <w:rPr>
          <w:sz w:val="16"/>
          <w:szCs w:val="16"/>
        </w:rPr>
      </w:pPr>
      <w:r w:rsidRPr="00391B77">
        <w:rPr>
          <w:rStyle w:val="FootnoteReference"/>
          <w:rFonts w:cs="Arial"/>
          <w:sz w:val="16"/>
          <w:szCs w:val="16"/>
        </w:rPr>
        <w:footnoteRef/>
      </w:r>
      <w:r w:rsidRPr="00391B77">
        <w:rPr>
          <w:sz w:val="16"/>
          <w:szCs w:val="16"/>
        </w:rPr>
        <w:t xml:space="preserve"> Clause (c) substituted by the Finance Act, 2002. The substituted clause (c) read as follows:</w:t>
      </w:r>
    </w:p>
    <w:p w:rsidR="00BF2117" w:rsidRPr="00391B77" w:rsidRDefault="00BF2117" w:rsidP="00391B77">
      <w:pPr>
        <w:pStyle w:val="BodyTextIndent"/>
        <w:ind w:left="90" w:firstLine="0"/>
        <w:jc w:val="both"/>
        <w:rPr>
          <w:rFonts w:cs="Arial"/>
          <w:sz w:val="16"/>
          <w:szCs w:val="16"/>
        </w:rPr>
      </w:pPr>
      <w:r w:rsidRPr="00391B77">
        <w:rPr>
          <w:rFonts w:cs="Arial"/>
          <w:sz w:val="16"/>
          <w:szCs w:val="16"/>
        </w:rPr>
        <w:t xml:space="preserve">“(c) </w:t>
      </w:r>
      <w:r w:rsidRPr="00391B77">
        <w:rPr>
          <w:rFonts w:cs="Arial"/>
          <w:sz w:val="16"/>
          <w:szCs w:val="16"/>
        </w:rPr>
        <w:tab/>
        <w:t xml:space="preserve">the Federal Government, a Provincial Government, a local authority, banking company, financial institution, company referred to in clauses (a) and (b) of the definition of “company” in sub-section (2) of section 80, or finance society pays any profit on any bond, certificate, debenture, security or instrument of any kind (other than a loan agreement between a borrower and a banking company or a development finance institution) to any person other than a financial institution, “ </w:t>
      </w:r>
    </w:p>
  </w:footnote>
  <w:footnote w:id="956">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lang w:val="en-US"/>
        </w:rPr>
        <w:t>The words “local authority” substituted by the Finance Act, 2008.</w:t>
      </w:r>
    </w:p>
  </w:footnote>
  <w:footnote w:id="957">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The commas and words “, other than a financial institution,” omitted by the Finance Act, 2003.</w:t>
      </w:r>
    </w:p>
  </w:footnote>
  <w:footnote w:id="958">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Inserted by the Finance Act, 2003.</w:t>
      </w:r>
    </w:p>
  </w:footnote>
  <w:footnote w:id="959">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Added by the Finance Act, 2002.</w:t>
      </w:r>
    </w:p>
  </w:footnote>
  <w:footnote w:id="960">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The words, letters and brackets “clauses (a) and (b)” substituted by the Finance Act, 2003.</w:t>
      </w:r>
    </w:p>
  </w:footnote>
  <w:footnote w:id="961">
    <w:p w:rsidR="00BF2117" w:rsidRDefault="00BF2117" w:rsidP="00407513">
      <w:pPr>
        <w:tabs>
          <w:tab w:val="left" w:pos="720"/>
        </w:tabs>
        <w:rPr>
          <w:sz w:val="16"/>
          <w:szCs w:val="16"/>
          <w:lang w:val="en-US"/>
        </w:rPr>
      </w:pPr>
      <w:r w:rsidRPr="00391B77">
        <w:rPr>
          <w:rStyle w:val="FootnoteReference"/>
          <w:sz w:val="16"/>
          <w:szCs w:val="16"/>
        </w:rPr>
        <w:footnoteRef/>
      </w:r>
      <w:r>
        <w:rPr>
          <w:sz w:val="16"/>
          <w:szCs w:val="16"/>
        </w:rPr>
        <w:t xml:space="preserve">Substituted </w:t>
      </w:r>
      <w:r w:rsidRPr="00391B77">
        <w:rPr>
          <w:sz w:val="16"/>
          <w:szCs w:val="16"/>
        </w:rPr>
        <w:t>by the</w:t>
      </w:r>
      <w:r w:rsidRPr="00391B77">
        <w:rPr>
          <w:sz w:val="16"/>
          <w:szCs w:val="16"/>
          <w:lang w:val="en-US"/>
        </w:rPr>
        <w:t xml:space="preserve"> Finance Act, 20</w:t>
      </w:r>
      <w:r>
        <w:rPr>
          <w:sz w:val="16"/>
          <w:szCs w:val="16"/>
          <w:lang w:val="en-US"/>
        </w:rPr>
        <w:t>15</w:t>
      </w:r>
      <w:r w:rsidRPr="00391B77">
        <w:rPr>
          <w:sz w:val="16"/>
          <w:szCs w:val="16"/>
          <w:lang w:val="en-US"/>
        </w:rPr>
        <w:t>.</w:t>
      </w:r>
      <w:r>
        <w:rPr>
          <w:sz w:val="16"/>
          <w:szCs w:val="16"/>
          <w:lang w:val="en-US"/>
        </w:rPr>
        <w:t xml:space="preserve"> The substituted sub-section (3) read as follows:-</w:t>
      </w:r>
    </w:p>
    <w:p w:rsidR="00BF2117" w:rsidRDefault="00BF2117" w:rsidP="00946140">
      <w:pPr>
        <w:tabs>
          <w:tab w:val="left" w:pos="720"/>
        </w:tabs>
        <w:ind w:left="547" w:hanging="547"/>
        <w:jc w:val="both"/>
        <w:rPr>
          <w:rFonts w:cs="Arial"/>
          <w:color w:val="000000" w:themeColor="text1"/>
          <w:sz w:val="16"/>
          <w:szCs w:val="16"/>
        </w:rPr>
      </w:pPr>
      <w:r>
        <w:rPr>
          <w:sz w:val="16"/>
          <w:szCs w:val="16"/>
          <w:lang w:val="en-US"/>
        </w:rPr>
        <w:tab/>
        <w:t>“(</w:t>
      </w:r>
      <w:r w:rsidRPr="005D1CCD">
        <w:rPr>
          <w:rFonts w:cs="Arial"/>
          <w:sz w:val="16"/>
          <w:szCs w:val="16"/>
        </w:rPr>
        <w:t xml:space="preserve">3) </w:t>
      </w:r>
      <w:r w:rsidRPr="005D1CCD">
        <w:rPr>
          <w:rFonts w:cs="Arial"/>
          <w:sz w:val="16"/>
          <w:szCs w:val="16"/>
        </w:rPr>
        <w:tab/>
        <w:t>Tax deductible under this section shall be a final tax on the profit on debt arising to a taxpayer other than a company</w:t>
      </w:r>
      <w:r w:rsidRPr="00407513">
        <w:rPr>
          <w:rFonts w:cs="Arial"/>
          <w:color w:val="000000" w:themeColor="text1"/>
          <w:sz w:val="16"/>
          <w:szCs w:val="16"/>
        </w:rPr>
        <w:t xml:space="preserve">: </w:t>
      </w:r>
    </w:p>
    <w:p w:rsidR="00BF2117" w:rsidRPr="00391B77" w:rsidRDefault="00BF2117" w:rsidP="00944460">
      <w:pPr>
        <w:tabs>
          <w:tab w:val="left" w:pos="720"/>
        </w:tabs>
        <w:ind w:left="547"/>
        <w:jc w:val="both"/>
        <w:rPr>
          <w:sz w:val="16"/>
          <w:szCs w:val="16"/>
          <w:lang w:val="en-US"/>
        </w:rPr>
      </w:pPr>
      <w:r>
        <w:rPr>
          <w:rFonts w:cs="Arial"/>
          <w:color w:val="000000" w:themeColor="text1"/>
          <w:sz w:val="16"/>
          <w:szCs w:val="16"/>
        </w:rPr>
        <w:tab/>
      </w:r>
      <w:r>
        <w:rPr>
          <w:rFonts w:cs="Arial"/>
          <w:color w:val="000000" w:themeColor="text1"/>
          <w:sz w:val="16"/>
          <w:szCs w:val="16"/>
        </w:rPr>
        <w:tab/>
      </w:r>
      <w:r w:rsidRPr="00407513">
        <w:rPr>
          <w:rFonts w:cs="Arial"/>
          <w:color w:val="000000" w:themeColor="text1"/>
          <w:sz w:val="16"/>
          <w:szCs w:val="16"/>
        </w:rPr>
        <w:t>Provided that in the case of a non-filer other than a company</w:t>
      </w:r>
      <w:r>
        <w:rPr>
          <w:rFonts w:cs="Arial"/>
          <w:color w:val="000000" w:themeColor="text1"/>
          <w:sz w:val="16"/>
          <w:szCs w:val="16"/>
        </w:rPr>
        <w:t xml:space="preserve"> </w:t>
      </w:r>
      <w:r w:rsidRPr="00407513">
        <w:rPr>
          <w:rFonts w:cs="Arial"/>
          <w:color w:val="000000" w:themeColor="text1"/>
          <w:sz w:val="16"/>
          <w:szCs w:val="16"/>
        </w:rPr>
        <w:t>the final tax shall be equal to the tax deductible in the case of filer and the tax deducted in excess of that shall be advance income tax adjustable against tax liability.</w:t>
      </w:r>
      <w:r>
        <w:rPr>
          <w:rFonts w:cs="Arial"/>
          <w:color w:val="000000" w:themeColor="text1"/>
          <w:sz w:val="16"/>
          <w:szCs w:val="16"/>
        </w:rPr>
        <w:t>”</w:t>
      </w:r>
    </w:p>
  </w:footnote>
  <w:footnote w:id="962">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Substituted for the word  “royalties” by the Finance Act, 2002.</w:t>
      </w:r>
    </w:p>
  </w:footnote>
  <w:footnote w:id="963">
    <w:p w:rsidR="00BF2117" w:rsidRPr="00412620" w:rsidRDefault="00BF2117">
      <w:pPr>
        <w:pStyle w:val="FootnoteText"/>
        <w:rPr>
          <w:sz w:val="16"/>
          <w:szCs w:val="16"/>
          <w:lang w:val="en-US"/>
        </w:rPr>
      </w:pPr>
      <w:r w:rsidRPr="00412620">
        <w:rPr>
          <w:rStyle w:val="FootnoteReference"/>
          <w:sz w:val="16"/>
          <w:szCs w:val="16"/>
        </w:rPr>
        <w:footnoteRef/>
      </w:r>
      <w:r w:rsidRPr="00412620">
        <w:rPr>
          <w:sz w:val="16"/>
          <w:szCs w:val="16"/>
          <w:lang w:val="en-US"/>
        </w:rPr>
        <w:t>Inserted by the Finance Act, 2006.</w:t>
      </w:r>
    </w:p>
  </w:footnote>
  <w:footnote w:id="964">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2008.</w:t>
      </w:r>
    </w:p>
  </w:footnote>
  <w:footnote w:id="965">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2012.</w:t>
      </w:r>
    </w:p>
  </w:footnote>
  <w:footnote w:id="966">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lang w:val="en-US"/>
        </w:rPr>
        <w:t>Inserted by the Finance Act, 2006.</w:t>
      </w:r>
    </w:p>
  </w:footnote>
  <w:footnote w:id="967">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word “deducted” by the Finance Act, 2012.</w:t>
      </w:r>
    </w:p>
  </w:footnote>
  <w:footnote w:id="968">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2008.</w:t>
      </w:r>
    </w:p>
  </w:footnote>
  <w:footnote w:id="969">
    <w:p w:rsidR="00BF2117" w:rsidRPr="00391B77" w:rsidRDefault="00BF2117" w:rsidP="00FC0742">
      <w:pPr>
        <w:pStyle w:val="FootnoteText"/>
        <w:rPr>
          <w:sz w:val="16"/>
          <w:szCs w:val="16"/>
          <w:lang w:val="en-US"/>
        </w:rPr>
      </w:pPr>
      <w:r w:rsidRPr="00391B77">
        <w:rPr>
          <w:rStyle w:val="FootnoteReference"/>
          <w:sz w:val="16"/>
          <w:szCs w:val="16"/>
        </w:rPr>
        <w:footnoteRef/>
      </w:r>
      <w:r w:rsidRPr="00391B77">
        <w:rPr>
          <w:sz w:val="16"/>
          <w:szCs w:val="16"/>
        </w:rPr>
        <w:t xml:space="preserve"> The word “deducted” by the Finance Act, 2012.</w:t>
      </w:r>
    </w:p>
  </w:footnote>
  <w:footnote w:id="970">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lang w:val="en-US"/>
        </w:rPr>
        <w:t>Inserted by the Finance Act, 2007.</w:t>
      </w:r>
    </w:p>
  </w:footnote>
  <w:footnote w:id="971">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2010.</w:t>
      </w:r>
    </w:p>
  </w:footnote>
  <w:footnote w:id="972">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2012.</w:t>
      </w:r>
    </w:p>
  </w:footnote>
  <w:footnote w:id="973">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Added by the Finance Act, 2012.</w:t>
      </w:r>
    </w:p>
  </w:footnote>
  <w:footnote w:id="974">
    <w:p w:rsidR="00BF2117" w:rsidRPr="005D7995" w:rsidRDefault="00BF2117">
      <w:pPr>
        <w:pStyle w:val="FootnoteText"/>
        <w:rPr>
          <w:color w:val="FF0066"/>
          <w:sz w:val="16"/>
          <w:szCs w:val="16"/>
          <w:lang w:val="en-US"/>
        </w:rPr>
      </w:pPr>
      <w:r w:rsidRPr="00F55609">
        <w:rPr>
          <w:rStyle w:val="FootnoteReference"/>
          <w:color w:val="0070C0"/>
          <w:sz w:val="16"/>
          <w:szCs w:val="16"/>
        </w:rPr>
        <w:footnoteRef/>
      </w:r>
      <w:r w:rsidRPr="00F55609">
        <w:rPr>
          <w:color w:val="0070C0"/>
          <w:sz w:val="16"/>
          <w:szCs w:val="16"/>
        </w:rPr>
        <w:t xml:space="preserve"> Added by the Finance Act, 2016</w:t>
      </w:r>
      <w:r>
        <w:rPr>
          <w:color w:val="FF0066"/>
          <w:sz w:val="16"/>
          <w:szCs w:val="16"/>
        </w:rPr>
        <w:t>.</w:t>
      </w:r>
    </w:p>
  </w:footnote>
  <w:footnote w:id="975">
    <w:p w:rsidR="00BF2117" w:rsidRPr="00391B77" w:rsidRDefault="00BF2117" w:rsidP="0093578C">
      <w:pPr>
        <w:pStyle w:val="FootnoteText"/>
        <w:rPr>
          <w:sz w:val="16"/>
          <w:szCs w:val="16"/>
          <w:lang w:val="en-US"/>
        </w:rPr>
      </w:pPr>
      <w:r w:rsidRPr="00391B77">
        <w:rPr>
          <w:rStyle w:val="FootnoteReference"/>
          <w:sz w:val="16"/>
          <w:szCs w:val="16"/>
        </w:rPr>
        <w:footnoteRef/>
      </w:r>
      <w:r w:rsidRPr="00391B77">
        <w:rPr>
          <w:sz w:val="16"/>
          <w:szCs w:val="16"/>
        </w:rPr>
        <w:t xml:space="preserve"> Added by the Finance Act, 2012.</w:t>
      </w:r>
    </w:p>
  </w:footnote>
  <w:footnote w:id="976">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figure and comma “153,” omitted by the Finance Act, 2012.</w:t>
      </w:r>
    </w:p>
  </w:footnote>
  <w:footnote w:id="977">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figure and comma “155,” omitted by the Finance Act, 2013.</w:t>
      </w:r>
    </w:p>
  </w:footnote>
  <w:footnote w:id="978">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lang w:val="en-US"/>
        </w:rPr>
        <w:t>Inserted by the Finance Act, 2006.</w:t>
      </w:r>
    </w:p>
  </w:footnote>
  <w:footnote w:id="979">
    <w:p w:rsidR="00BF2117" w:rsidRPr="003C08D7" w:rsidRDefault="00BF2117">
      <w:pPr>
        <w:pStyle w:val="FootnoteText"/>
        <w:rPr>
          <w:lang w:val="en-US"/>
        </w:rPr>
      </w:pPr>
      <w:r>
        <w:rPr>
          <w:rStyle w:val="FootnoteReference"/>
        </w:rPr>
        <w:footnoteRef/>
      </w:r>
      <w:r w:rsidRPr="00391B77">
        <w:rPr>
          <w:sz w:val="16"/>
          <w:szCs w:val="16"/>
        </w:rPr>
        <w:t>Inserted by the Finance Act, 20</w:t>
      </w:r>
      <w:r>
        <w:rPr>
          <w:sz w:val="16"/>
          <w:szCs w:val="16"/>
        </w:rPr>
        <w:t>15.</w:t>
      </w:r>
    </w:p>
  </w:footnote>
  <w:footnote w:id="980">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2008.</w:t>
      </w:r>
    </w:p>
  </w:footnote>
  <w:footnote w:id="981">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Inserted by the Finance Act, 2003.</w:t>
      </w:r>
    </w:p>
  </w:footnote>
  <w:footnote w:id="982">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Inserted by the Finance Act, 2004.</w:t>
      </w:r>
    </w:p>
  </w:footnote>
  <w:footnote w:id="983">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The word “notice” substituted by the Finance Act, 2004.</w:t>
      </w:r>
    </w:p>
  </w:footnote>
  <w:footnote w:id="984">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lang w:val="en-US"/>
        </w:rPr>
        <w:t>Inserted by the Finance Act, 2008.</w:t>
      </w:r>
    </w:p>
  </w:footnote>
  <w:footnote w:id="985">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The word “the” omitted by the Finance Act, 2002.</w:t>
      </w:r>
    </w:p>
  </w:footnote>
  <w:footnote w:id="986">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Added by the Finance Act, 2012.</w:t>
      </w:r>
    </w:p>
  </w:footnote>
  <w:footnote w:id="987">
    <w:p w:rsidR="00BF2117" w:rsidRPr="00F55609" w:rsidRDefault="00BF2117">
      <w:pPr>
        <w:pStyle w:val="FootnoteText"/>
        <w:rPr>
          <w:color w:val="0070C0"/>
          <w:sz w:val="16"/>
          <w:szCs w:val="16"/>
          <w:lang w:val="en-US"/>
        </w:rPr>
      </w:pPr>
      <w:r w:rsidRPr="00F55609">
        <w:rPr>
          <w:rStyle w:val="FootnoteReference"/>
          <w:color w:val="0070C0"/>
          <w:sz w:val="16"/>
          <w:szCs w:val="16"/>
        </w:rPr>
        <w:footnoteRef/>
      </w:r>
      <w:r w:rsidRPr="00F55609">
        <w:rPr>
          <w:color w:val="0070C0"/>
          <w:sz w:val="16"/>
          <w:szCs w:val="16"/>
        </w:rPr>
        <w:t xml:space="preserve"> Inserted by the Finance Act, 2016.</w:t>
      </w:r>
    </w:p>
  </w:footnote>
  <w:footnote w:id="988">
    <w:p w:rsidR="00BF2117" w:rsidRPr="00391B77" w:rsidRDefault="00BF2117">
      <w:pPr>
        <w:pStyle w:val="FootnoteText"/>
        <w:rPr>
          <w:sz w:val="16"/>
          <w:szCs w:val="16"/>
        </w:rPr>
      </w:pPr>
      <w:r w:rsidRPr="00391B77">
        <w:rPr>
          <w:rStyle w:val="FootnoteReference"/>
          <w:sz w:val="16"/>
          <w:szCs w:val="16"/>
        </w:rPr>
        <w:footnoteRef/>
      </w:r>
      <w:r w:rsidRPr="00391B77">
        <w:rPr>
          <w:sz w:val="16"/>
          <w:szCs w:val="16"/>
        </w:rPr>
        <w:t xml:space="preserve"> Section 153 substituted by the Finance Act, 2011. The substituted section 153  read as follows:</w:t>
      </w:r>
    </w:p>
    <w:p w:rsidR="00BF2117" w:rsidRPr="00391B77" w:rsidRDefault="00BF2117" w:rsidP="0033616E">
      <w:pPr>
        <w:jc w:val="both"/>
        <w:rPr>
          <w:sz w:val="16"/>
          <w:szCs w:val="16"/>
        </w:rPr>
      </w:pPr>
      <w:r w:rsidRPr="00391B77">
        <w:rPr>
          <w:sz w:val="16"/>
          <w:szCs w:val="16"/>
        </w:rPr>
        <w:t>“</w:t>
      </w:r>
      <w:r w:rsidRPr="00391B77">
        <w:rPr>
          <w:rFonts w:cs="Arial"/>
          <w:b/>
          <w:sz w:val="16"/>
          <w:szCs w:val="16"/>
        </w:rPr>
        <w:t>153.</w:t>
      </w:r>
      <w:r w:rsidRPr="00391B77">
        <w:rPr>
          <w:rFonts w:cs="Arial"/>
          <w:b/>
          <w:sz w:val="16"/>
          <w:szCs w:val="16"/>
        </w:rPr>
        <w:tab/>
        <w:t xml:space="preserve"> Payments for goods and services.</w:t>
      </w:r>
      <w:r w:rsidRPr="00391B77">
        <w:rPr>
          <w:rFonts w:cs="Arial"/>
          <w:sz w:val="16"/>
          <w:szCs w:val="16"/>
        </w:rPr>
        <w:t xml:space="preserve"> —</w:t>
      </w:r>
      <w:r w:rsidRPr="00391B77">
        <w:rPr>
          <w:sz w:val="16"/>
          <w:szCs w:val="16"/>
        </w:rPr>
        <w:t xml:space="preserve"> (1)  Every prescribed person making a payment in full or part including a payment by way of advance to a resident person or permanent establishment in Pakistan of a non-resident person</w:t>
      </w:r>
      <w:r w:rsidRPr="00391B77">
        <w:rPr>
          <w:rFonts w:cs="Arial"/>
          <w:sz w:val="16"/>
          <w:szCs w:val="16"/>
        </w:rPr>
        <w:t>—</w:t>
      </w:r>
    </w:p>
    <w:p w:rsidR="00BF2117" w:rsidRPr="00412620" w:rsidRDefault="00BF2117" w:rsidP="0033616E">
      <w:pPr>
        <w:pStyle w:val="BodyTextIndent"/>
        <w:ind w:left="1620" w:hanging="540"/>
        <w:jc w:val="both"/>
        <w:rPr>
          <w:rFonts w:cs="Arial"/>
          <w:sz w:val="16"/>
          <w:szCs w:val="16"/>
        </w:rPr>
      </w:pPr>
      <w:r w:rsidRPr="00412620">
        <w:rPr>
          <w:rFonts w:cs="Arial"/>
          <w:sz w:val="16"/>
          <w:szCs w:val="16"/>
        </w:rPr>
        <w:t>(a)</w:t>
      </w:r>
      <w:r w:rsidRPr="00412620">
        <w:rPr>
          <w:rFonts w:cs="Arial"/>
          <w:sz w:val="16"/>
          <w:szCs w:val="16"/>
        </w:rPr>
        <w:tab/>
        <w:t xml:space="preserve">for the sale of goods; </w:t>
      </w:r>
    </w:p>
    <w:p w:rsidR="00BF2117" w:rsidRPr="00412620" w:rsidRDefault="00BF2117" w:rsidP="0033616E">
      <w:pPr>
        <w:pStyle w:val="BodyTextIndent"/>
        <w:ind w:left="1620" w:hanging="540"/>
        <w:jc w:val="both"/>
        <w:rPr>
          <w:rFonts w:cs="Arial"/>
          <w:sz w:val="16"/>
          <w:szCs w:val="16"/>
        </w:rPr>
      </w:pPr>
      <w:r w:rsidRPr="00412620">
        <w:rPr>
          <w:rFonts w:cs="Arial"/>
          <w:sz w:val="16"/>
          <w:szCs w:val="16"/>
        </w:rPr>
        <w:t>(b)</w:t>
      </w:r>
      <w:r w:rsidRPr="00412620">
        <w:rPr>
          <w:rFonts w:cs="Arial"/>
          <w:sz w:val="16"/>
          <w:szCs w:val="16"/>
        </w:rPr>
        <w:tab/>
        <w:t xml:space="preserve">for the rendering of or providing of services; </w:t>
      </w:r>
    </w:p>
    <w:p w:rsidR="00BF2117" w:rsidRPr="00412620" w:rsidRDefault="00BF2117" w:rsidP="0033616E">
      <w:pPr>
        <w:pStyle w:val="BodyTextIndent"/>
        <w:ind w:left="1620" w:hanging="540"/>
        <w:jc w:val="both"/>
        <w:rPr>
          <w:rFonts w:cs="Arial"/>
          <w:sz w:val="16"/>
          <w:szCs w:val="16"/>
        </w:rPr>
      </w:pPr>
      <w:r w:rsidRPr="00412620">
        <w:rPr>
          <w:rFonts w:cs="Arial"/>
          <w:sz w:val="16"/>
          <w:szCs w:val="16"/>
        </w:rPr>
        <w:t>(c)</w:t>
      </w:r>
      <w:r w:rsidRPr="00412620">
        <w:rPr>
          <w:rFonts w:cs="Arial"/>
          <w:sz w:val="16"/>
          <w:szCs w:val="16"/>
        </w:rPr>
        <w:tab/>
        <w:t>on the execution of a contract, other than a contract for the sale of  goods or the rendering of or providing of services,</w:t>
      </w:r>
    </w:p>
    <w:p w:rsidR="00BF2117" w:rsidRPr="00412620" w:rsidRDefault="00BF2117" w:rsidP="0033616E">
      <w:pPr>
        <w:jc w:val="both"/>
        <w:rPr>
          <w:rFonts w:cs="Arial"/>
          <w:sz w:val="16"/>
          <w:szCs w:val="16"/>
        </w:rPr>
      </w:pPr>
      <w:r w:rsidRPr="00412620">
        <w:rPr>
          <w:rFonts w:cs="Arial"/>
          <w:sz w:val="16"/>
          <w:szCs w:val="16"/>
        </w:rPr>
        <w:t>shall, at the time of making the payment, deduct tax from the gross amount payable at the rate specified in Division III of Part III of the First Schedule.</w:t>
      </w:r>
    </w:p>
    <w:p w:rsidR="00BF2117" w:rsidRPr="00412620" w:rsidRDefault="00BF2117" w:rsidP="0033616E">
      <w:pPr>
        <w:jc w:val="both"/>
        <w:rPr>
          <w:rFonts w:cs="Arial"/>
          <w:sz w:val="16"/>
          <w:szCs w:val="16"/>
        </w:rPr>
      </w:pPr>
      <w:r w:rsidRPr="00412620">
        <w:rPr>
          <w:rFonts w:cs="Arial"/>
          <w:sz w:val="16"/>
          <w:szCs w:val="16"/>
        </w:rPr>
        <w:tab/>
        <w:t>(1A) Every exporter or an export house making a payment in full or part including a payment by way of advance to a resident person or permanent establishment in Pakistan of a non-resident person for the rendering of or providing of services of stitching, dying, printing, embroidery, washing, sizing and weaving, shall at the time of making the payment, deduct tax from the gross amount payable at the rate specified in Division IV of Part III of the First Schedule.</w:t>
      </w:r>
    </w:p>
    <w:p w:rsidR="00BF2117" w:rsidRPr="00412620" w:rsidRDefault="00BF2117" w:rsidP="0033616E">
      <w:pPr>
        <w:jc w:val="both"/>
        <w:rPr>
          <w:rFonts w:cs="Arial"/>
          <w:sz w:val="16"/>
          <w:szCs w:val="16"/>
        </w:rPr>
      </w:pPr>
      <w:r w:rsidRPr="00412620">
        <w:rPr>
          <w:rFonts w:cs="Arial"/>
          <w:sz w:val="16"/>
          <w:szCs w:val="16"/>
        </w:rPr>
        <w:tab/>
        <w:t>(2)</w:t>
      </w:r>
      <w:r w:rsidRPr="00412620">
        <w:rPr>
          <w:rFonts w:cs="Arial"/>
          <w:sz w:val="16"/>
          <w:szCs w:val="16"/>
        </w:rPr>
        <w:tab/>
        <w:t>The gross amount payable for a sale of goods shall include the sales tax, if any, payable in respect of the sale.</w:t>
      </w:r>
    </w:p>
    <w:p w:rsidR="00BF2117" w:rsidRPr="00412620" w:rsidRDefault="00BF2117" w:rsidP="0033616E">
      <w:pPr>
        <w:jc w:val="both"/>
        <w:rPr>
          <w:rFonts w:cs="Arial"/>
          <w:sz w:val="16"/>
          <w:szCs w:val="16"/>
        </w:rPr>
      </w:pPr>
      <w:r w:rsidRPr="00412620">
        <w:rPr>
          <w:rFonts w:cs="Arial"/>
          <w:sz w:val="16"/>
          <w:szCs w:val="16"/>
        </w:rPr>
        <w:tab/>
        <w:t xml:space="preserve">(3) </w:t>
      </w:r>
      <w:r w:rsidRPr="00412620">
        <w:rPr>
          <w:rFonts w:cs="Arial"/>
          <w:sz w:val="16"/>
          <w:szCs w:val="16"/>
        </w:rPr>
        <w:tab/>
        <w:t xml:space="preserve">Omitted. </w:t>
      </w:r>
    </w:p>
    <w:p w:rsidR="00BF2117" w:rsidRPr="00412620" w:rsidRDefault="00BF2117" w:rsidP="0033616E">
      <w:pPr>
        <w:jc w:val="both"/>
        <w:rPr>
          <w:rFonts w:cs="Arial"/>
          <w:sz w:val="16"/>
          <w:szCs w:val="16"/>
        </w:rPr>
      </w:pPr>
      <w:r w:rsidRPr="00412620">
        <w:rPr>
          <w:rFonts w:cs="Arial"/>
          <w:sz w:val="16"/>
          <w:szCs w:val="16"/>
        </w:rPr>
        <w:tab/>
        <w:t>(4)</w:t>
      </w:r>
      <w:r w:rsidRPr="00412620">
        <w:rPr>
          <w:rFonts w:cs="Arial"/>
          <w:sz w:val="16"/>
          <w:szCs w:val="16"/>
        </w:rPr>
        <w:tab/>
        <w:t>The Commissioner may, on application made by the recipient of a payment referred to in sub-section (1) and after making such enquiry as the Commissioner thinks fit, allow, by order in writing, any person to make the payment without deduction of tax.</w:t>
      </w:r>
    </w:p>
    <w:p w:rsidR="00BF2117" w:rsidRPr="00412620" w:rsidRDefault="00BF2117" w:rsidP="0033616E">
      <w:pPr>
        <w:jc w:val="both"/>
        <w:rPr>
          <w:rFonts w:cs="Arial"/>
          <w:sz w:val="16"/>
          <w:szCs w:val="16"/>
        </w:rPr>
      </w:pPr>
      <w:r w:rsidRPr="00412620">
        <w:rPr>
          <w:rFonts w:cs="Arial"/>
          <w:sz w:val="16"/>
          <w:szCs w:val="16"/>
        </w:rPr>
        <w:tab/>
        <w:t>(5)</w:t>
      </w:r>
      <w:r w:rsidRPr="00412620">
        <w:rPr>
          <w:rFonts w:cs="Arial"/>
          <w:sz w:val="16"/>
          <w:szCs w:val="16"/>
        </w:rPr>
        <w:tab/>
        <w:t>Sub-section (1) shall not apply to –</w:t>
      </w:r>
    </w:p>
    <w:p w:rsidR="00BF2117" w:rsidRPr="00412620" w:rsidRDefault="00BF2117" w:rsidP="0033616E">
      <w:pPr>
        <w:ind w:left="1620" w:hanging="540"/>
        <w:jc w:val="both"/>
        <w:rPr>
          <w:rFonts w:cs="Arial"/>
          <w:sz w:val="16"/>
          <w:szCs w:val="16"/>
        </w:rPr>
      </w:pPr>
      <w:r w:rsidRPr="00412620">
        <w:rPr>
          <w:rFonts w:cs="Arial"/>
          <w:sz w:val="16"/>
          <w:szCs w:val="16"/>
        </w:rPr>
        <w:t>(a)</w:t>
      </w:r>
      <w:r w:rsidRPr="00412620">
        <w:rPr>
          <w:rFonts w:cs="Arial"/>
          <w:sz w:val="16"/>
          <w:szCs w:val="16"/>
        </w:rPr>
        <w:tab/>
        <w:t>a sale of goods where –</w:t>
      </w:r>
    </w:p>
    <w:p w:rsidR="00BF2117" w:rsidRPr="00412620" w:rsidRDefault="00BF2117" w:rsidP="0033616E">
      <w:pPr>
        <w:ind w:left="2160" w:hanging="540"/>
        <w:jc w:val="both"/>
        <w:rPr>
          <w:rFonts w:cs="Arial"/>
          <w:sz w:val="16"/>
          <w:szCs w:val="16"/>
        </w:rPr>
      </w:pPr>
      <w:r w:rsidRPr="00412620">
        <w:rPr>
          <w:rFonts w:cs="Arial"/>
          <w:sz w:val="16"/>
          <w:szCs w:val="16"/>
        </w:rPr>
        <w:t xml:space="preserve">  (i)</w:t>
      </w:r>
      <w:r w:rsidRPr="00412620">
        <w:rPr>
          <w:rFonts w:cs="Arial"/>
          <w:sz w:val="16"/>
          <w:szCs w:val="16"/>
        </w:rPr>
        <w:tab/>
        <w:t>the sale is made by the importer of the goods;</w:t>
      </w:r>
    </w:p>
    <w:p w:rsidR="00BF2117" w:rsidRPr="00412620" w:rsidRDefault="00BF2117" w:rsidP="0033616E">
      <w:pPr>
        <w:ind w:left="2160" w:hanging="540"/>
        <w:jc w:val="both"/>
        <w:rPr>
          <w:rFonts w:cs="Arial"/>
          <w:sz w:val="16"/>
          <w:szCs w:val="16"/>
        </w:rPr>
      </w:pPr>
      <w:r w:rsidRPr="00412620">
        <w:rPr>
          <w:rFonts w:cs="Arial"/>
          <w:sz w:val="16"/>
          <w:szCs w:val="16"/>
        </w:rPr>
        <w:t xml:space="preserve"> (ii)</w:t>
      </w:r>
      <w:r w:rsidRPr="00412620">
        <w:rPr>
          <w:rFonts w:cs="Arial"/>
          <w:sz w:val="16"/>
          <w:szCs w:val="16"/>
        </w:rPr>
        <w:tab/>
        <w:t>the importer has paid tax under section 148 in respect of the goods; and</w:t>
      </w:r>
    </w:p>
    <w:p w:rsidR="00BF2117" w:rsidRPr="00412620" w:rsidRDefault="00BF2117" w:rsidP="0033616E">
      <w:pPr>
        <w:ind w:left="2160" w:hanging="540"/>
        <w:jc w:val="both"/>
        <w:rPr>
          <w:rFonts w:cs="Arial"/>
          <w:sz w:val="16"/>
          <w:szCs w:val="16"/>
        </w:rPr>
      </w:pPr>
      <w:r w:rsidRPr="00412620">
        <w:rPr>
          <w:rFonts w:cs="Arial"/>
          <w:sz w:val="16"/>
          <w:szCs w:val="16"/>
        </w:rPr>
        <w:t>(iii)</w:t>
      </w:r>
      <w:r w:rsidRPr="00412620">
        <w:rPr>
          <w:rFonts w:cs="Arial"/>
          <w:sz w:val="16"/>
          <w:szCs w:val="16"/>
        </w:rPr>
        <w:tab/>
        <w:t>the goods are sold in the same condition they were in when imported;</w:t>
      </w:r>
    </w:p>
    <w:p w:rsidR="00BF2117" w:rsidRPr="00412620" w:rsidRDefault="00BF2117" w:rsidP="0033616E">
      <w:pPr>
        <w:ind w:left="1620" w:hanging="540"/>
        <w:jc w:val="both"/>
        <w:rPr>
          <w:rFonts w:cs="Arial"/>
          <w:sz w:val="16"/>
          <w:szCs w:val="16"/>
        </w:rPr>
      </w:pPr>
      <w:r w:rsidRPr="00412620">
        <w:rPr>
          <w:rFonts w:cs="Arial"/>
          <w:sz w:val="16"/>
          <w:szCs w:val="16"/>
        </w:rPr>
        <w:t>(b)</w:t>
      </w:r>
      <w:r w:rsidRPr="00412620">
        <w:rPr>
          <w:rFonts w:cs="Arial"/>
          <w:sz w:val="16"/>
          <w:szCs w:val="16"/>
        </w:rPr>
        <w:tab/>
        <w:t xml:space="preserve">a refund of any security deposit; </w:t>
      </w:r>
    </w:p>
    <w:p w:rsidR="00BF2117" w:rsidRPr="00412620" w:rsidRDefault="00BF2117" w:rsidP="000F6978">
      <w:pPr>
        <w:ind w:left="1620" w:hanging="540"/>
        <w:jc w:val="both"/>
        <w:rPr>
          <w:sz w:val="16"/>
          <w:szCs w:val="16"/>
        </w:rPr>
      </w:pPr>
      <w:r w:rsidRPr="00412620">
        <w:rPr>
          <w:sz w:val="16"/>
          <w:szCs w:val="16"/>
        </w:rPr>
        <w:t>(ba)</w:t>
      </w:r>
      <w:r w:rsidRPr="00412620">
        <w:rPr>
          <w:sz w:val="16"/>
          <w:szCs w:val="16"/>
        </w:rPr>
        <w:tab/>
        <w:t>a payment made by the Federal Government, a Provincial Government or a Local Government] to a contractor for construction materials supplied to the contractor by the said Government or the authority;</w:t>
      </w:r>
    </w:p>
    <w:p w:rsidR="00BF2117" w:rsidRPr="00412620" w:rsidRDefault="00BF2117" w:rsidP="000F6978">
      <w:pPr>
        <w:ind w:left="1620" w:hanging="540"/>
        <w:jc w:val="both"/>
        <w:rPr>
          <w:rFonts w:cs="Arial"/>
          <w:sz w:val="16"/>
          <w:szCs w:val="16"/>
        </w:rPr>
      </w:pPr>
      <w:r w:rsidRPr="00412620">
        <w:rPr>
          <w:sz w:val="16"/>
          <w:szCs w:val="16"/>
        </w:rPr>
        <w:t xml:space="preserve">(bb) </w:t>
      </w:r>
      <w:r w:rsidRPr="00412620">
        <w:rPr>
          <w:sz w:val="16"/>
          <w:szCs w:val="16"/>
        </w:rPr>
        <w:tab/>
        <w:t>a cotton ginner who deposits in the Government Treasury, an amount equal to the amount of tax deductible on the payment being made to him, and evidence to this effect is provided to the “prescribed person”;</w:t>
      </w:r>
    </w:p>
    <w:p w:rsidR="00BF2117" w:rsidRPr="00412620" w:rsidRDefault="00BF2117" w:rsidP="0033616E">
      <w:pPr>
        <w:ind w:left="1620" w:hanging="540"/>
        <w:jc w:val="both"/>
        <w:rPr>
          <w:rFonts w:cs="Arial"/>
          <w:sz w:val="16"/>
          <w:szCs w:val="16"/>
        </w:rPr>
      </w:pPr>
      <w:r w:rsidRPr="00412620">
        <w:rPr>
          <w:rFonts w:cs="Arial"/>
          <w:sz w:val="16"/>
          <w:szCs w:val="16"/>
        </w:rPr>
        <w:t>(c)</w:t>
      </w:r>
      <w:r w:rsidRPr="00412620">
        <w:rPr>
          <w:rFonts w:cs="Arial"/>
          <w:sz w:val="16"/>
          <w:szCs w:val="16"/>
        </w:rPr>
        <w:tab/>
        <w:t>the purchase of an asset under a lease and buy back agreement by a modaraba, leasing company, banking company or financial institution; or</w:t>
      </w:r>
    </w:p>
    <w:p w:rsidR="00BF2117" w:rsidRPr="00412620" w:rsidRDefault="00BF2117" w:rsidP="0033616E">
      <w:pPr>
        <w:ind w:left="1620" w:hanging="540"/>
        <w:jc w:val="both"/>
        <w:rPr>
          <w:rFonts w:cs="Arial"/>
          <w:sz w:val="16"/>
          <w:szCs w:val="16"/>
        </w:rPr>
      </w:pPr>
      <w:r w:rsidRPr="00412620">
        <w:rPr>
          <w:rFonts w:cs="Arial"/>
          <w:sz w:val="16"/>
          <w:szCs w:val="16"/>
        </w:rPr>
        <w:t>(d)</w:t>
      </w:r>
      <w:r w:rsidRPr="00412620">
        <w:rPr>
          <w:rFonts w:cs="Arial"/>
          <w:sz w:val="16"/>
          <w:szCs w:val="16"/>
        </w:rPr>
        <w:tab/>
        <w:t xml:space="preserve">any payment for securitization of receivables by a Special Purpose Vehicle to the Originator. </w:t>
      </w:r>
    </w:p>
    <w:p w:rsidR="00BF2117" w:rsidRPr="00412620" w:rsidRDefault="00BF2117" w:rsidP="0033616E">
      <w:pPr>
        <w:jc w:val="both"/>
        <w:rPr>
          <w:rFonts w:cs="Arial"/>
          <w:sz w:val="16"/>
          <w:szCs w:val="16"/>
        </w:rPr>
      </w:pPr>
      <w:r w:rsidRPr="00412620">
        <w:rPr>
          <w:rFonts w:cs="Arial"/>
          <w:sz w:val="16"/>
          <w:szCs w:val="16"/>
        </w:rPr>
        <w:tab/>
      </w:r>
      <w:r w:rsidRPr="00412620">
        <w:rPr>
          <w:rFonts w:cs="Arial"/>
          <w:sz w:val="16"/>
          <w:szCs w:val="16"/>
        </w:rPr>
        <w:tab/>
        <w:t xml:space="preserve">(e) </w:t>
      </w:r>
      <w:r w:rsidRPr="00412620">
        <w:rPr>
          <w:rFonts w:cs="Arial"/>
          <w:sz w:val="16"/>
          <w:szCs w:val="16"/>
        </w:rPr>
        <w:tab/>
        <w:t>Omitted.</w:t>
      </w:r>
    </w:p>
    <w:p w:rsidR="00BF2117" w:rsidRPr="00412620" w:rsidRDefault="00BF2117" w:rsidP="0033616E">
      <w:pPr>
        <w:jc w:val="both"/>
        <w:rPr>
          <w:rFonts w:cs="Arial"/>
          <w:sz w:val="16"/>
          <w:szCs w:val="16"/>
        </w:rPr>
      </w:pPr>
      <w:r w:rsidRPr="00412620">
        <w:rPr>
          <w:rFonts w:cs="Arial"/>
          <w:sz w:val="16"/>
          <w:szCs w:val="16"/>
        </w:rPr>
        <w:tab/>
        <w:t xml:space="preserve"> (6) </w:t>
      </w:r>
      <w:r w:rsidRPr="00412620">
        <w:rPr>
          <w:rFonts w:cs="Arial"/>
          <w:sz w:val="16"/>
          <w:szCs w:val="16"/>
        </w:rPr>
        <w:tab/>
        <w:t>The tax deducted under this section shall be a final tax on the income of a resident person arising from transactions referred to in sub-section (1) or (1A):</w:t>
      </w:r>
    </w:p>
    <w:p w:rsidR="00BF2117" w:rsidRPr="00412620" w:rsidRDefault="00BF2117" w:rsidP="0033616E">
      <w:pPr>
        <w:ind w:left="1094" w:firstLine="541"/>
        <w:jc w:val="both"/>
        <w:rPr>
          <w:rFonts w:cs="Arial"/>
          <w:sz w:val="16"/>
          <w:szCs w:val="16"/>
        </w:rPr>
      </w:pPr>
      <w:r w:rsidRPr="00412620">
        <w:rPr>
          <w:rFonts w:cs="Arial"/>
          <w:sz w:val="16"/>
          <w:szCs w:val="16"/>
        </w:rPr>
        <w:t>Provided that sub-section (6) shall not apply to companies in respect of transactions referred to in clause (b) of sub-section (1):</w:t>
      </w:r>
    </w:p>
    <w:p w:rsidR="00BF2117" w:rsidRPr="00412620" w:rsidRDefault="00BF2117" w:rsidP="0033616E">
      <w:pPr>
        <w:ind w:left="1094" w:firstLine="547"/>
        <w:jc w:val="both"/>
        <w:rPr>
          <w:rFonts w:cs="Arial"/>
          <w:sz w:val="16"/>
          <w:szCs w:val="16"/>
        </w:rPr>
      </w:pPr>
      <w:r w:rsidRPr="00412620">
        <w:rPr>
          <w:rFonts w:cs="Arial"/>
          <w:sz w:val="16"/>
          <w:szCs w:val="16"/>
        </w:rPr>
        <w:t>Provided further that this sub-section shall not apply to payments received on account of—</w:t>
      </w:r>
    </w:p>
    <w:p w:rsidR="00BF2117" w:rsidRPr="00412620" w:rsidRDefault="00BF2117" w:rsidP="0033616E">
      <w:pPr>
        <w:jc w:val="both"/>
        <w:rPr>
          <w:rFonts w:cs="Arial"/>
          <w:sz w:val="16"/>
          <w:szCs w:val="16"/>
        </w:rPr>
      </w:pPr>
      <w:r w:rsidRPr="00412620">
        <w:rPr>
          <w:rFonts w:cs="Arial"/>
          <w:sz w:val="16"/>
          <w:szCs w:val="16"/>
        </w:rPr>
        <w:tab/>
      </w:r>
      <w:r w:rsidRPr="00412620">
        <w:rPr>
          <w:rFonts w:cs="Arial"/>
          <w:sz w:val="16"/>
          <w:szCs w:val="16"/>
        </w:rPr>
        <w:tab/>
      </w:r>
      <w:r w:rsidRPr="00412620">
        <w:rPr>
          <w:rFonts w:cs="Arial"/>
          <w:sz w:val="16"/>
          <w:szCs w:val="16"/>
        </w:rPr>
        <w:tab/>
        <w:t>(i)</w:t>
      </w:r>
      <w:r w:rsidRPr="00412620">
        <w:rPr>
          <w:rFonts w:cs="Arial"/>
          <w:sz w:val="16"/>
          <w:szCs w:val="16"/>
        </w:rPr>
        <w:tab/>
        <w:t>advertisement services, by owners of newspapers and magazines;</w:t>
      </w:r>
    </w:p>
    <w:p w:rsidR="00BF2117" w:rsidRPr="00412620" w:rsidRDefault="00BF2117" w:rsidP="000F6978">
      <w:pPr>
        <w:ind w:left="2196" w:hanging="555"/>
        <w:jc w:val="both"/>
        <w:rPr>
          <w:rFonts w:cs="Arial"/>
          <w:sz w:val="16"/>
          <w:szCs w:val="16"/>
        </w:rPr>
      </w:pPr>
      <w:r w:rsidRPr="00412620">
        <w:rPr>
          <w:rFonts w:cs="Arial"/>
          <w:sz w:val="16"/>
          <w:szCs w:val="16"/>
        </w:rPr>
        <w:t>(ii)</w:t>
      </w:r>
      <w:r w:rsidRPr="00412620">
        <w:rPr>
          <w:rFonts w:cs="Arial"/>
          <w:sz w:val="16"/>
          <w:szCs w:val="16"/>
        </w:rPr>
        <w:tab/>
        <w:t>sale of goods and execution of contracts by a public company listed on a registered stock exchange in Pakistan; and</w:t>
      </w:r>
    </w:p>
    <w:p w:rsidR="00BF2117" w:rsidRPr="00412620" w:rsidRDefault="00BF2117" w:rsidP="000F6978">
      <w:pPr>
        <w:ind w:left="2188" w:hanging="508"/>
        <w:jc w:val="both"/>
        <w:rPr>
          <w:rFonts w:cs="Arial"/>
          <w:sz w:val="16"/>
          <w:szCs w:val="16"/>
        </w:rPr>
      </w:pPr>
      <w:r w:rsidRPr="00412620">
        <w:rPr>
          <w:rFonts w:cs="Arial"/>
          <w:sz w:val="16"/>
          <w:szCs w:val="16"/>
        </w:rPr>
        <w:t xml:space="preserve">(iii) </w:t>
      </w:r>
      <w:r w:rsidRPr="00412620">
        <w:rPr>
          <w:rFonts w:cs="Arial"/>
          <w:sz w:val="16"/>
          <w:szCs w:val="16"/>
        </w:rPr>
        <w:tab/>
        <w:t>the rendering of or providing of services referred to in sub-clause (b) of sub-section (1):</w:t>
      </w:r>
    </w:p>
    <w:p w:rsidR="00BF2117" w:rsidRPr="00412620" w:rsidRDefault="00BF2117" w:rsidP="0033616E">
      <w:pPr>
        <w:ind w:left="1094" w:firstLine="541"/>
        <w:jc w:val="both"/>
        <w:rPr>
          <w:rFonts w:cs="Arial"/>
          <w:sz w:val="16"/>
          <w:szCs w:val="16"/>
        </w:rPr>
      </w:pPr>
      <w:r w:rsidRPr="00412620">
        <w:rPr>
          <w:rFonts w:cs="Arial"/>
          <w:sz w:val="16"/>
          <w:szCs w:val="16"/>
        </w:rPr>
        <w:t>Provided that tax deducted under sub-clause (b) of sub-section (1) of section 153 shall be minimum tax.</w:t>
      </w:r>
    </w:p>
    <w:p w:rsidR="00BF2117" w:rsidRPr="00412620" w:rsidRDefault="00BF2117" w:rsidP="0033616E">
      <w:pPr>
        <w:jc w:val="both"/>
        <w:rPr>
          <w:rFonts w:cs="Arial"/>
          <w:sz w:val="16"/>
          <w:szCs w:val="16"/>
        </w:rPr>
      </w:pPr>
    </w:p>
    <w:p w:rsidR="00BF2117" w:rsidRPr="00412620" w:rsidRDefault="00BF2117" w:rsidP="00553606">
      <w:pPr>
        <w:ind w:firstLine="547"/>
        <w:jc w:val="both"/>
        <w:rPr>
          <w:sz w:val="16"/>
          <w:szCs w:val="16"/>
        </w:rPr>
      </w:pPr>
      <w:r w:rsidRPr="00412620">
        <w:rPr>
          <w:sz w:val="16"/>
          <w:szCs w:val="16"/>
        </w:rPr>
        <w:t xml:space="preserve"> (6A) </w:t>
      </w:r>
      <w:r w:rsidRPr="00412620">
        <w:rPr>
          <w:sz w:val="16"/>
          <w:szCs w:val="16"/>
        </w:rPr>
        <w:tab/>
        <w:t xml:space="preserve">The provisions of sub-section (6) in so far as they relate to payments on account of supply of goods from which tax is deductible under this section shall  not  apply in respect of a company being a manufacturer of such goods. </w:t>
      </w:r>
    </w:p>
    <w:p w:rsidR="00BF2117" w:rsidRPr="00412620" w:rsidRDefault="00BF2117" w:rsidP="0033616E">
      <w:pPr>
        <w:jc w:val="both"/>
        <w:rPr>
          <w:rFonts w:cs="Arial"/>
          <w:sz w:val="16"/>
          <w:szCs w:val="16"/>
        </w:rPr>
      </w:pPr>
      <w:r w:rsidRPr="00412620">
        <w:rPr>
          <w:rFonts w:cs="Arial"/>
          <w:sz w:val="16"/>
          <w:szCs w:val="16"/>
        </w:rPr>
        <w:tab/>
        <w:t>(6B)</w:t>
      </w:r>
      <w:r w:rsidRPr="00412620">
        <w:rPr>
          <w:rFonts w:cs="Arial"/>
          <w:sz w:val="16"/>
          <w:szCs w:val="16"/>
        </w:rPr>
        <w:tab/>
        <w:t>Omitted previously.</w:t>
      </w:r>
    </w:p>
    <w:p w:rsidR="00BF2117" w:rsidRPr="00412620" w:rsidRDefault="00BF2117" w:rsidP="0033616E">
      <w:pPr>
        <w:jc w:val="both"/>
        <w:rPr>
          <w:rFonts w:cs="Arial"/>
          <w:sz w:val="16"/>
          <w:szCs w:val="16"/>
        </w:rPr>
      </w:pPr>
      <w:r w:rsidRPr="00412620">
        <w:rPr>
          <w:rFonts w:cs="Arial"/>
          <w:sz w:val="16"/>
          <w:szCs w:val="16"/>
        </w:rPr>
        <w:tab/>
        <w:t>(7)</w:t>
      </w:r>
      <w:r w:rsidRPr="00412620">
        <w:rPr>
          <w:rFonts w:cs="Arial"/>
          <w:sz w:val="16"/>
          <w:szCs w:val="16"/>
        </w:rPr>
        <w:tab/>
        <w:t>Omitted previously.</w:t>
      </w:r>
    </w:p>
    <w:p w:rsidR="00BF2117" w:rsidRPr="00412620" w:rsidRDefault="00BF2117" w:rsidP="0033616E">
      <w:pPr>
        <w:jc w:val="both"/>
        <w:rPr>
          <w:rFonts w:cs="Arial"/>
          <w:sz w:val="16"/>
          <w:szCs w:val="16"/>
        </w:rPr>
      </w:pPr>
      <w:r w:rsidRPr="00412620">
        <w:rPr>
          <w:rFonts w:cs="Arial"/>
          <w:sz w:val="16"/>
          <w:szCs w:val="16"/>
        </w:rPr>
        <w:tab/>
        <w:t>(8)</w:t>
      </w:r>
      <w:r w:rsidRPr="00412620">
        <w:rPr>
          <w:rFonts w:cs="Arial"/>
          <w:sz w:val="16"/>
          <w:szCs w:val="16"/>
        </w:rPr>
        <w:tab/>
        <w:t>Where any tax is deducted by a person making a payment to a Special Purpose Vehicle, on behalf of the Originator, the tax is credited to the Originator.</w:t>
      </w:r>
    </w:p>
    <w:p w:rsidR="00BF2117" w:rsidRPr="00412620" w:rsidRDefault="00BF2117" w:rsidP="0033616E">
      <w:pPr>
        <w:jc w:val="both"/>
        <w:rPr>
          <w:rFonts w:cs="Arial"/>
          <w:sz w:val="16"/>
          <w:szCs w:val="16"/>
        </w:rPr>
      </w:pPr>
      <w:r w:rsidRPr="00412620">
        <w:rPr>
          <w:rFonts w:cs="Arial"/>
          <w:sz w:val="16"/>
          <w:szCs w:val="16"/>
        </w:rPr>
        <w:tab/>
        <w:t>(8A)</w:t>
      </w:r>
      <w:r w:rsidRPr="00412620">
        <w:rPr>
          <w:rFonts w:cs="Arial"/>
          <w:sz w:val="16"/>
          <w:szCs w:val="16"/>
        </w:rPr>
        <w:tab/>
        <w:t>Omitted previously.</w:t>
      </w:r>
    </w:p>
    <w:p w:rsidR="00BF2117" w:rsidRPr="00412620" w:rsidRDefault="00BF2117" w:rsidP="0033616E">
      <w:pPr>
        <w:jc w:val="both"/>
        <w:rPr>
          <w:rFonts w:cs="Arial"/>
          <w:sz w:val="16"/>
          <w:szCs w:val="16"/>
        </w:rPr>
      </w:pPr>
      <w:r w:rsidRPr="00412620">
        <w:rPr>
          <w:rFonts w:cs="Arial"/>
          <w:sz w:val="16"/>
          <w:szCs w:val="16"/>
        </w:rPr>
        <w:tab/>
        <w:t>(9)</w:t>
      </w:r>
      <w:r w:rsidRPr="00412620">
        <w:rPr>
          <w:rFonts w:cs="Arial"/>
          <w:sz w:val="16"/>
          <w:szCs w:val="16"/>
        </w:rPr>
        <w:tab/>
        <w:t>In this section, –</w:t>
      </w:r>
    </w:p>
    <w:p w:rsidR="00BF2117" w:rsidRPr="00412620" w:rsidRDefault="00BF2117" w:rsidP="0033616E">
      <w:pPr>
        <w:ind w:left="1080"/>
        <w:jc w:val="both"/>
        <w:rPr>
          <w:rFonts w:cs="Arial"/>
          <w:sz w:val="16"/>
          <w:szCs w:val="16"/>
        </w:rPr>
      </w:pPr>
      <w:r w:rsidRPr="00412620">
        <w:rPr>
          <w:rFonts w:cs="Arial"/>
          <w:sz w:val="16"/>
          <w:szCs w:val="16"/>
        </w:rPr>
        <w:t>“prescribed person” means –</w:t>
      </w:r>
    </w:p>
    <w:p w:rsidR="00BF2117" w:rsidRPr="00412620" w:rsidRDefault="00BF2117" w:rsidP="0033616E">
      <w:pPr>
        <w:ind w:left="1620" w:hanging="540"/>
        <w:jc w:val="both"/>
        <w:rPr>
          <w:rFonts w:cs="Arial"/>
          <w:sz w:val="16"/>
          <w:szCs w:val="16"/>
        </w:rPr>
      </w:pPr>
      <w:r w:rsidRPr="00412620">
        <w:rPr>
          <w:rFonts w:cs="Arial"/>
          <w:sz w:val="16"/>
          <w:szCs w:val="16"/>
        </w:rPr>
        <w:t>(a)</w:t>
      </w:r>
      <w:r w:rsidRPr="00412620">
        <w:rPr>
          <w:rFonts w:cs="Arial"/>
          <w:sz w:val="16"/>
          <w:szCs w:val="16"/>
        </w:rPr>
        <w:tab/>
        <w:t>the Federal Government;</w:t>
      </w:r>
    </w:p>
    <w:p w:rsidR="00BF2117" w:rsidRPr="00412620" w:rsidRDefault="00BF2117" w:rsidP="0033616E">
      <w:pPr>
        <w:ind w:left="1620" w:hanging="540"/>
        <w:jc w:val="both"/>
        <w:rPr>
          <w:rFonts w:cs="Arial"/>
          <w:sz w:val="16"/>
          <w:szCs w:val="16"/>
        </w:rPr>
      </w:pPr>
      <w:r w:rsidRPr="00412620">
        <w:rPr>
          <w:rFonts w:cs="Arial"/>
          <w:sz w:val="16"/>
          <w:szCs w:val="16"/>
        </w:rPr>
        <w:t>(b)</w:t>
      </w:r>
      <w:r w:rsidRPr="00412620">
        <w:rPr>
          <w:rFonts w:cs="Arial"/>
          <w:sz w:val="16"/>
          <w:szCs w:val="16"/>
        </w:rPr>
        <w:tab/>
        <w:t>a company;</w:t>
      </w:r>
    </w:p>
    <w:p w:rsidR="00BF2117" w:rsidRPr="00412620" w:rsidRDefault="00BF2117" w:rsidP="0033616E">
      <w:pPr>
        <w:ind w:left="1620" w:hanging="540"/>
        <w:jc w:val="both"/>
        <w:rPr>
          <w:rFonts w:cs="Arial"/>
          <w:sz w:val="16"/>
          <w:szCs w:val="16"/>
        </w:rPr>
      </w:pPr>
      <w:r w:rsidRPr="00412620">
        <w:rPr>
          <w:rFonts w:cs="Arial"/>
          <w:sz w:val="16"/>
          <w:szCs w:val="16"/>
        </w:rPr>
        <w:t>(c)</w:t>
      </w:r>
      <w:r w:rsidRPr="00412620">
        <w:rPr>
          <w:rFonts w:cs="Arial"/>
          <w:sz w:val="16"/>
          <w:szCs w:val="16"/>
        </w:rPr>
        <w:tab/>
        <w:t xml:space="preserve">an association of persons constituted by, or under law; </w:t>
      </w:r>
    </w:p>
    <w:p w:rsidR="00BF2117" w:rsidRPr="00412620" w:rsidRDefault="00BF2117" w:rsidP="0033616E">
      <w:pPr>
        <w:jc w:val="both"/>
        <w:rPr>
          <w:rFonts w:cs="Arial"/>
          <w:sz w:val="16"/>
          <w:szCs w:val="16"/>
        </w:rPr>
      </w:pPr>
      <w:r w:rsidRPr="00412620">
        <w:rPr>
          <w:rFonts w:cs="Arial"/>
          <w:sz w:val="16"/>
          <w:szCs w:val="16"/>
        </w:rPr>
        <w:tab/>
      </w:r>
      <w:r w:rsidRPr="00412620">
        <w:rPr>
          <w:rFonts w:cs="Arial"/>
          <w:sz w:val="16"/>
          <w:szCs w:val="16"/>
        </w:rPr>
        <w:tab/>
        <w:t xml:space="preserve">(cc) </w:t>
      </w:r>
      <w:r w:rsidRPr="00412620">
        <w:rPr>
          <w:rFonts w:cs="Arial"/>
          <w:sz w:val="16"/>
          <w:szCs w:val="16"/>
        </w:rPr>
        <w:tab/>
        <w:t>a non-profit organization;</w:t>
      </w:r>
    </w:p>
    <w:p w:rsidR="00BF2117" w:rsidRPr="00412620" w:rsidRDefault="00BF2117" w:rsidP="0033616E">
      <w:pPr>
        <w:ind w:left="1620" w:hanging="540"/>
        <w:jc w:val="both"/>
        <w:rPr>
          <w:rFonts w:cs="Arial"/>
          <w:sz w:val="16"/>
          <w:szCs w:val="16"/>
        </w:rPr>
      </w:pPr>
      <w:r w:rsidRPr="00412620">
        <w:rPr>
          <w:rFonts w:cs="Arial"/>
          <w:sz w:val="16"/>
          <w:szCs w:val="16"/>
        </w:rPr>
        <w:t>(d)</w:t>
      </w:r>
      <w:r w:rsidRPr="00412620">
        <w:rPr>
          <w:rFonts w:cs="Arial"/>
          <w:sz w:val="16"/>
          <w:szCs w:val="16"/>
        </w:rPr>
        <w:tab/>
        <w:t xml:space="preserve">a foreign contractor or consultant; </w:t>
      </w:r>
    </w:p>
    <w:p w:rsidR="00BF2117" w:rsidRPr="00412620" w:rsidRDefault="00BF2117" w:rsidP="0033616E">
      <w:pPr>
        <w:ind w:left="1620" w:hanging="540"/>
        <w:jc w:val="both"/>
        <w:rPr>
          <w:rFonts w:cs="Arial"/>
          <w:sz w:val="16"/>
          <w:szCs w:val="16"/>
        </w:rPr>
      </w:pPr>
      <w:r w:rsidRPr="00412620">
        <w:rPr>
          <w:rFonts w:cs="Arial"/>
          <w:sz w:val="16"/>
          <w:szCs w:val="16"/>
        </w:rPr>
        <w:t>(e)</w:t>
      </w:r>
      <w:r w:rsidRPr="00412620">
        <w:rPr>
          <w:rFonts w:cs="Arial"/>
          <w:sz w:val="16"/>
          <w:szCs w:val="16"/>
        </w:rPr>
        <w:tab/>
        <w:t xml:space="preserve">a consortium or joint venture; </w:t>
      </w:r>
    </w:p>
    <w:p w:rsidR="00BF2117" w:rsidRPr="00412620" w:rsidRDefault="00BF2117" w:rsidP="0033616E">
      <w:pPr>
        <w:ind w:left="1620" w:hanging="525"/>
        <w:jc w:val="both"/>
        <w:rPr>
          <w:rFonts w:cs="Arial"/>
          <w:sz w:val="16"/>
          <w:szCs w:val="16"/>
        </w:rPr>
      </w:pPr>
      <w:r w:rsidRPr="00412620">
        <w:rPr>
          <w:rFonts w:cs="Arial"/>
          <w:sz w:val="16"/>
          <w:szCs w:val="16"/>
        </w:rPr>
        <w:t xml:space="preserve">(f) </w:t>
      </w:r>
      <w:r w:rsidRPr="00412620">
        <w:rPr>
          <w:rFonts w:cs="Arial"/>
          <w:sz w:val="16"/>
          <w:szCs w:val="16"/>
        </w:rPr>
        <w:tab/>
        <w:t>an exporter or an export house for the purpose of sub-section  (1A);</w:t>
      </w:r>
    </w:p>
    <w:p w:rsidR="00BF2117" w:rsidRPr="00412620" w:rsidRDefault="00BF2117" w:rsidP="0033616E">
      <w:pPr>
        <w:ind w:left="1620" w:hanging="525"/>
        <w:jc w:val="both"/>
        <w:rPr>
          <w:rFonts w:cs="Arial"/>
          <w:sz w:val="16"/>
          <w:szCs w:val="16"/>
        </w:rPr>
      </w:pPr>
      <w:r w:rsidRPr="00412620">
        <w:rPr>
          <w:rFonts w:cs="Arial"/>
          <w:sz w:val="16"/>
          <w:szCs w:val="16"/>
        </w:rPr>
        <w:t>(g)</w:t>
      </w:r>
      <w:r w:rsidRPr="00412620">
        <w:rPr>
          <w:rFonts w:cs="Arial"/>
          <w:sz w:val="16"/>
          <w:szCs w:val="16"/>
        </w:rPr>
        <w:tab/>
        <w:t xml:space="preserve">an association of persons, having turnover of fifty million rupees or above in tax year 2007 </w:t>
      </w:r>
      <w:r w:rsidRPr="00412620">
        <w:rPr>
          <w:rStyle w:val="FootnoteReference"/>
          <w:rFonts w:cs="Arial"/>
          <w:sz w:val="16"/>
          <w:szCs w:val="16"/>
        </w:rPr>
        <w:footnoteRef/>
      </w:r>
      <w:r w:rsidRPr="00412620">
        <w:rPr>
          <w:rFonts w:cs="Arial"/>
          <w:sz w:val="16"/>
          <w:szCs w:val="16"/>
        </w:rPr>
        <w:t>[or in any subsequent tax year .</w:t>
      </w:r>
    </w:p>
    <w:p w:rsidR="00BF2117" w:rsidRPr="00412620" w:rsidRDefault="00BF2117" w:rsidP="0033616E">
      <w:pPr>
        <w:ind w:left="1620" w:hanging="525"/>
        <w:jc w:val="both"/>
        <w:rPr>
          <w:rFonts w:cs="Arial"/>
          <w:sz w:val="16"/>
          <w:szCs w:val="16"/>
        </w:rPr>
      </w:pPr>
      <w:r w:rsidRPr="00412620">
        <w:rPr>
          <w:rFonts w:cs="Arial"/>
          <w:sz w:val="16"/>
          <w:szCs w:val="16"/>
        </w:rPr>
        <w:t xml:space="preserve">(h) </w:t>
      </w:r>
      <w:r w:rsidRPr="00412620">
        <w:rPr>
          <w:rFonts w:cs="Arial"/>
          <w:sz w:val="16"/>
          <w:szCs w:val="16"/>
        </w:rPr>
        <w:tab/>
        <w:t>an individual, having turnover of fifty million rupees or above in the tax year 2009 or in any subsequent year.</w:t>
      </w:r>
    </w:p>
    <w:p w:rsidR="00BF2117" w:rsidRPr="00412620" w:rsidRDefault="00BF2117" w:rsidP="0033616E">
      <w:pPr>
        <w:ind w:left="1080"/>
        <w:jc w:val="both"/>
        <w:rPr>
          <w:rFonts w:cs="Arial"/>
          <w:sz w:val="16"/>
          <w:szCs w:val="16"/>
        </w:rPr>
      </w:pPr>
      <w:r w:rsidRPr="00412620">
        <w:rPr>
          <w:rFonts w:cs="Arial"/>
          <w:sz w:val="16"/>
          <w:szCs w:val="16"/>
        </w:rPr>
        <w:t>“services” includes the services of accountants, architects, dentists, doctors, engineers, interior decorators and lawyers, otherwise than as an employee.</w:t>
      </w:r>
    </w:p>
    <w:p w:rsidR="00BF2117" w:rsidRPr="00412620" w:rsidRDefault="00BF2117" w:rsidP="000F6978">
      <w:pPr>
        <w:pStyle w:val="BodyTextIndent2"/>
        <w:ind w:left="1080"/>
        <w:jc w:val="both"/>
        <w:rPr>
          <w:rFonts w:cs="Arial"/>
          <w:sz w:val="16"/>
          <w:szCs w:val="16"/>
        </w:rPr>
      </w:pPr>
      <w:r w:rsidRPr="00412620">
        <w:rPr>
          <w:rFonts w:cs="Arial"/>
          <w:sz w:val="16"/>
          <w:szCs w:val="16"/>
        </w:rPr>
        <w:t>“sale of goods” includes a sale of goods for cash or on credit, whether under written contract or not.</w:t>
      </w:r>
    </w:p>
    <w:p w:rsidR="00BF2117" w:rsidRPr="00412620" w:rsidRDefault="00BF2117" w:rsidP="00D15052">
      <w:pPr>
        <w:spacing w:before="120" w:after="120"/>
        <w:ind w:left="1094"/>
        <w:jc w:val="both"/>
        <w:rPr>
          <w:rFonts w:cs="Arial"/>
          <w:sz w:val="16"/>
          <w:szCs w:val="16"/>
        </w:rPr>
      </w:pPr>
      <w:r w:rsidRPr="00412620">
        <w:rPr>
          <w:rFonts w:cs="Arial"/>
          <w:sz w:val="16"/>
          <w:szCs w:val="16"/>
        </w:rPr>
        <w:t>“manufacturer” for the purpose of this section means, a person who is engaged in production or manufacturing of goods, which includes-</w:t>
      </w:r>
    </w:p>
    <w:p w:rsidR="00BF2117" w:rsidRPr="00412620" w:rsidRDefault="00BF2117" w:rsidP="0033616E">
      <w:pPr>
        <w:ind w:left="1620" w:hanging="525"/>
        <w:jc w:val="both"/>
        <w:rPr>
          <w:rFonts w:cs="Arial"/>
          <w:sz w:val="16"/>
          <w:szCs w:val="16"/>
        </w:rPr>
      </w:pPr>
      <w:r w:rsidRPr="00412620">
        <w:rPr>
          <w:rFonts w:cs="Arial"/>
          <w:sz w:val="16"/>
          <w:szCs w:val="16"/>
        </w:rPr>
        <w:t xml:space="preserve"> (a) </w:t>
      </w:r>
      <w:r w:rsidRPr="00412620">
        <w:rPr>
          <w:rFonts w:cs="Arial"/>
          <w:sz w:val="16"/>
          <w:szCs w:val="16"/>
        </w:rPr>
        <w:tab/>
        <w:t xml:space="preserve">any process in which an article singly or in combination with other articles, material, components, is either converted into another distinct article or produce is so changed, transferred, or reshaped that it becomes capable of being put to use differently or distinctly; or </w:t>
      </w:r>
    </w:p>
    <w:p w:rsidR="00BF2117" w:rsidRPr="00412620" w:rsidRDefault="00BF2117" w:rsidP="0033616E">
      <w:pPr>
        <w:ind w:left="1620" w:hanging="525"/>
        <w:jc w:val="both"/>
        <w:rPr>
          <w:rFonts w:cs="Arial"/>
          <w:sz w:val="16"/>
          <w:szCs w:val="16"/>
        </w:rPr>
      </w:pPr>
      <w:r w:rsidRPr="00412620">
        <w:rPr>
          <w:rFonts w:cs="Arial"/>
          <w:sz w:val="16"/>
          <w:szCs w:val="16"/>
        </w:rPr>
        <w:t xml:space="preserve">(b) </w:t>
      </w:r>
      <w:r w:rsidRPr="00412620">
        <w:rPr>
          <w:rFonts w:cs="Arial"/>
          <w:sz w:val="16"/>
          <w:szCs w:val="16"/>
        </w:rPr>
        <w:tab/>
        <w:t>a process of assembling, mixing, cutting or preparation of goods in any other manner.”</w:t>
      </w:r>
    </w:p>
    <w:p w:rsidR="00BF2117" w:rsidRPr="00412620" w:rsidRDefault="00BF2117">
      <w:pPr>
        <w:pStyle w:val="FootnoteText"/>
        <w:rPr>
          <w:sz w:val="16"/>
          <w:szCs w:val="16"/>
          <w:lang w:val="en-US"/>
        </w:rPr>
      </w:pPr>
    </w:p>
  </w:footnote>
  <w:footnote w:id="989">
    <w:p w:rsidR="00BF2117" w:rsidRPr="00412620" w:rsidRDefault="00BF2117" w:rsidP="009640BC">
      <w:pPr>
        <w:pStyle w:val="FootnoteText"/>
        <w:ind w:left="180" w:hanging="180"/>
        <w:jc w:val="both"/>
        <w:rPr>
          <w:lang w:val="en-US"/>
        </w:rPr>
      </w:pPr>
      <w:r w:rsidRPr="00412620">
        <w:rPr>
          <w:rStyle w:val="FootnoteReference"/>
        </w:rPr>
        <w:footnoteRef/>
      </w:r>
      <w:r w:rsidRPr="00412620">
        <w:rPr>
          <w:sz w:val="16"/>
          <w:szCs w:val="16"/>
        </w:rPr>
        <w:t>The words “permanent establishment in Pakistan of a non-resident person” omitted by the Finance Act, 2012.</w:t>
      </w:r>
    </w:p>
  </w:footnote>
  <w:footnote w:id="990">
    <w:p w:rsidR="00BF2117" w:rsidRPr="00E122F6" w:rsidRDefault="00BF2117">
      <w:pPr>
        <w:pStyle w:val="FootnoteText"/>
        <w:rPr>
          <w:color w:val="000000" w:themeColor="text1"/>
          <w:lang w:val="en-US"/>
        </w:rPr>
      </w:pPr>
      <w:r w:rsidRPr="00E122F6">
        <w:rPr>
          <w:rStyle w:val="FootnoteReference"/>
          <w:color w:val="000000" w:themeColor="text1"/>
        </w:rPr>
        <w:footnoteRef/>
      </w:r>
      <w:r w:rsidRPr="00E122F6">
        <w:rPr>
          <w:color w:val="000000" w:themeColor="text1"/>
          <w:sz w:val="16"/>
          <w:szCs w:val="16"/>
        </w:rPr>
        <w:t>Inserted by the Finance Act, 2014</w:t>
      </w:r>
      <w:r w:rsidRPr="00E122F6">
        <w:rPr>
          <w:color w:val="000000" w:themeColor="text1"/>
        </w:rPr>
        <w:t>.</w:t>
      </w:r>
    </w:p>
  </w:footnote>
  <w:footnote w:id="991">
    <w:p w:rsidR="00BF2117" w:rsidRPr="008B5829" w:rsidRDefault="00BF2117">
      <w:pPr>
        <w:pStyle w:val="FootnoteText"/>
        <w:rPr>
          <w:lang w:val="en-US"/>
        </w:rPr>
      </w:pPr>
      <w:r w:rsidRPr="00E122F6">
        <w:rPr>
          <w:rStyle w:val="FootnoteReference"/>
          <w:color w:val="000000" w:themeColor="text1"/>
        </w:rPr>
        <w:footnoteRef/>
      </w:r>
      <w:r w:rsidRPr="00E122F6">
        <w:rPr>
          <w:color w:val="000000" w:themeColor="text1"/>
          <w:sz w:val="16"/>
          <w:szCs w:val="16"/>
        </w:rPr>
        <w:t xml:space="preserve"> The words “other than” substituted by the words “but not including” by the Finance Act, 2014.</w:t>
      </w:r>
    </w:p>
  </w:footnote>
  <w:footnote w:id="992">
    <w:p w:rsidR="00BF2117" w:rsidRPr="00391B77" w:rsidRDefault="00BF2117" w:rsidP="00126F81">
      <w:pPr>
        <w:pStyle w:val="FootnoteText"/>
        <w:ind w:left="180" w:hanging="180"/>
        <w:jc w:val="both"/>
        <w:rPr>
          <w:sz w:val="16"/>
          <w:szCs w:val="16"/>
          <w:lang w:val="en-US"/>
        </w:rPr>
      </w:pPr>
      <w:r w:rsidRPr="00391B77">
        <w:rPr>
          <w:rStyle w:val="FootnoteReference"/>
          <w:sz w:val="16"/>
          <w:szCs w:val="16"/>
        </w:rPr>
        <w:footnoteRef/>
      </w:r>
      <w:r w:rsidRPr="00391B77">
        <w:rPr>
          <w:sz w:val="16"/>
          <w:szCs w:val="16"/>
        </w:rPr>
        <w:t xml:space="preserve"> The words “deducted” substituted by the Finance Act, 2012.</w:t>
      </w:r>
    </w:p>
  </w:footnote>
  <w:footnote w:id="993">
    <w:p w:rsidR="00BF2117" w:rsidRPr="00391B77" w:rsidRDefault="00BF2117" w:rsidP="00126F81">
      <w:pPr>
        <w:pStyle w:val="FootnoteText"/>
        <w:ind w:left="180" w:hanging="180"/>
        <w:jc w:val="both"/>
        <w:rPr>
          <w:sz w:val="16"/>
          <w:szCs w:val="16"/>
          <w:lang w:val="en-US"/>
        </w:rPr>
      </w:pPr>
      <w:r w:rsidRPr="00391B77">
        <w:rPr>
          <w:rStyle w:val="FootnoteReference"/>
          <w:sz w:val="16"/>
          <w:szCs w:val="16"/>
        </w:rPr>
        <w:footnoteRef/>
      </w:r>
      <w:r w:rsidRPr="00391B77">
        <w:rPr>
          <w:sz w:val="16"/>
          <w:szCs w:val="16"/>
        </w:rPr>
        <w:t xml:space="preserve"> The words “ permanent establishment in Pakistan of a non-resident person” omitted by the Finance Act, 2012.</w:t>
      </w:r>
    </w:p>
  </w:footnote>
  <w:footnote w:id="994">
    <w:p w:rsidR="00BF2117" w:rsidRPr="00391B77" w:rsidRDefault="00BF2117" w:rsidP="00C77199">
      <w:pPr>
        <w:pStyle w:val="FootnoteText"/>
        <w:ind w:left="180" w:hanging="180"/>
        <w:jc w:val="both"/>
        <w:rPr>
          <w:sz w:val="16"/>
          <w:szCs w:val="16"/>
          <w:lang w:val="en-US"/>
        </w:rPr>
      </w:pPr>
      <w:r w:rsidRPr="00391B77">
        <w:rPr>
          <w:rStyle w:val="FootnoteReference"/>
          <w:sz w:val="16"/>
          <w:szCs w:val="16"/>
        </w:rPr>
        <w:footnoteRef/>
      </w:r>
      <w:r w:rsidRPr="00391B77">
        <w:rPr>
          <w:sz w:val="16"/>
          <w:szCs w:val="16"/>
        </w:rPr>
        <w:t xml:space="preserve"> The words “deducted” substituted by the Finance Act, 2012.</w:t>
      </w:r>
    </w:p>
  </w:footnote>
  <w:footnote w:id="995">
    <w:p w:rsidR="00BF2117" w:rsidRPr="00E843BA" w:rsidRDefault="00BF2117" w:rsidP="0079759E">
      <w:pPr>
        <w:pStyle w:val="FootnoteText"/>
        <w:ind w:left="180" w:hanging="180"/>
        <w:rPr>
          <w:color w:val="000000" w:themeColor="text1"/>
          <w:sz w:val="18"/>
          <w:szCs w:val="18"/>
          <w:lang w:val="en-US"/>
        </w:rPr>
      </w:pPr>
      <w:r w:rsidRPr="00E843BA">
        <w:rPr>
          <w:rStyle w:val="FootnoteReference"/>
          <w:color w:val="000000" w:themeColor="text1"/>
        </w:rPr>
        <w:footnoteRef/>
      </w:r>
      <w:r w:rsidRPr="00E843BA">
        <w:rPr>
          <w:color w:val="000000" w:themeColor="text1"/>
        </w:rPr>
        <w:t xml:space="preserve"> </w:t>
      </w:r>
      <w:r w:rsidRPr="00E843BA">
        <w:rPr>
          <w:color w:val="000000" w:themeColor="text1"/>
          <w:sz w:val="18"/>
          <w:szCs w:val="18"/>
        </w:rPr>
        <w:t xml:space="preserve">The semicolon and the words “; and” substituted </w:t>
      </w:r>
      <w:r w:rsidRPr="00E843BA">
        <w:rPr>
          <w:color w:val="000000" w:themeColor="text1"/>
          <w:sz w:val="16"/>
          <w:szCs w:val="16"/>
          <w:lang w:val="en-US"/>
        </w:rPr>
        <w:t>by the National Assembly Secretariat’s O.M. No.F.22(41)/2015-Legis dated 29.01.2016</w:t>
      </w:r>
      <w:r w:rsidRPr="00E843BA">
        <w:rPr>
          <w:color w:val="000000" w:themeColor="text1"/>
          <w:sz w:val="18"/>
          <w:szCs w:val="18"/>
        </w:rPr>
        <w:t xml:space="preserve"> </w:t>
      </w:r>
    </w:p>
  </w:footnote>
  <w:footnote w:id="996">
    <w:p w:rsidR="00BF2117" w:rsidRPr="00E843BA" w:rsidRDefault="00BF2117">
      <w:pPr>
        <w:pStyle w:val="FootnoteText"/>
        <w:rPr>
          <w:color w:val="000000" w:themeColor="text1"/>
          <w:lang w:val="en-US"/>
        </w:rPr>
      </w:pPr>
      <w:r w:rsidRPr="00E843BA">
        <w:rPr>
          <w:rStyle w:val="FootnoteReference"/>
          <w:color w:val="000000" w:themeColor="text1"/>
        </w:rPr>
        <w:footnoteRef/>
      </w:r>
      <w:r w:rsidRPr="00E843BA">
        <w:rPr>
          <w:color w:val="000000" w:themeColor="text1"/>
        </w:rPr>
        <w:t xml:space="preserve"> </w:t>
      </w:r>
      <w:r w:rsidRPr="00E843BA">
        <w:rPr>
          <w:color w:val="000000" w:themeColor="text1"/>
          <w:sz w:val="16"/>
          <w:szCs w:val="16"/>
          <w:lang w:val="en-US"/>
        </w:rPr>
        <w:t>Inserted by the National Assembly Secretariat’s O.M. No.F.22(41)/2015-Legis dated 29.01.2016</w:t>
      </w:r>
    </w:p>
  </w:footnote>
  <w:footnote w:id="997">
    <w:p w:rsidR="00BF2117" w:rsidRPr="00E843BA" w:rsidRDefault="00BF2117">
      <w:pPr>
        <w:pStyle w:val="FootnoteText"/>
        <w:rPr>
          <w:color w:val="000000" w:themeColor="text1"/>
          <w:lang w:val="en-US"/>
        </w:rPr>
      </w:pPr>
      <w:r w:rsidRPr="00E843BA">
        <w:rPr>
          <w:rStyle w:val="FootnoteReference"/>
          <w:color w:val="000000" w:themeColor="text1"/>
        </w:rPr>
        <w:footnoteRef/>
      </w:r>
      <w:r w:rsidRPr="00E843BA">
        <w:rPr>
          <w:color w:val="000000" w:themeColor="text1"/>
        </w:rPr>
        <w:t xml:space="preserve"> </w:t>
      </w:r>
      <w:r w:rsidRPr="00E843BA">
        <w:rPr>
          <w:color w:val="000000" w:themeColor="text1"/>
          <w:sz w:val="16"/>
          <w:szCs w:val="16"/>
          <w:lang w:val="en-US"/>
        </w:rPr>
        <w:t>Inserted by the National Assembly Secretariat’s O.M. No.F.22(41)/2015-Legis dated 29.01.2016</w:t>
      </w:r>
    </w:p>
  </w:footnote>
  <w:footnote w:id="998">
    <w:p w:rsidR="00BF2117" w:rsidRPr="00E843BA" w:rsidRDefault="00BF2117">
      <w:pPr>
        <w:pStyle w:val="FootnoteText"/>
        <w:rPr>
          <w:color w:val="000000" w:themeColor="text1"/>
          <w:lang w:val="en-US"/>
        </w:rPr>
      </w:pPr>
      <w:r w:rsidRPr="00E843BA">
        <w:rPr>
          <w:rStyle w:val="FootnoteReference"/>
          <w:color w:val="000000" w:themeColor="text1"/>
        </w:rPr>
        <w:footnoteRef/>
      </w:r>
      <w:r w:rsidRPr="00E843BA">
        <w:rPr>
          <w:color w:val="000000" w:themeColor="text1"/>
        </w:rPr>
        <w:t xml:space="preserve"> </w:t>
      </w:r>
      <w:r w:rsidRPr="00E843BA">
        <w:rPr>
          <w:color w:val="000000" w:themeColor="text1"/>
          <w:sz w:val="16"/>
          <w:szCs w:val="16"/>
          <w:lang w:val="en-US"/>
        </w:rPr>
        <w:t>Inserted by the National Assembly Secretariat’s O.M. No.F.22(41)/2015-Legis dated 29.01.2016</w:t>
      </w:r>
    </w:p>
  </w:footnote>
  <w:footnote w:id="999">
    <w:p w:rsidR="00BF2117" w:rsidRPr="00F55609" w:rsidRDefault="00BF2117">
      <w:pPr>
        <w:pStyle w:val="FootnoteText"/>
        <w:rPr>
          <w:color w:val="0070C0"/>
          <w:sz w:val="16"/>
          <w:szCs w:val="16"/>
          <w:lang w:val="en-US"/>
        </w:rPr>
      </w:pPr>
      <w:r w:rsidRPr="00F55609">
        <w:rPr>
          <w:rStyle w:val="FootnoteReference"/>
          <w:color w:val="0070C0"/>
          <w:sz w:val="16"/>
          <w:szCs w:val="16"/>
        </w:rPr>
        <w:footnoteRef/>
      </w:r>
      <w:r w:rsidRPr="00F55609">
        <w:rPr>
          <w:color w:val="0070C0"/>
          <w:sz w:val="16"/>
          <w:szCs w:val="16"/>
        </w:rPr>
        <w:t xml:space="preserve"> The word “and “ omitted by the Finance Act, 2016.</w:t>
      </w:r>
    </w:p>
  </w:footnote>
  <w:footnote w:id="1000">
    <w:p w:rsidR="00BF2117" w:rsidRPr="00C77199" w:rsidRDefault="00BF2117">
      <w:pPr>
        <w:pStyle w:val="FootnoteText"/>
        <w:rPr>
          <w:lang w:val="en-US"/>
        </w:rPr>
      </w:pPr>
      <w:r>
        <w:rPr>
          <w:rStyle w:val="FootnoteReference"/>
        </w:rPr>
        <w:footnoteRef/>
      </w:r>
      <w:r>
        <w:rPr>
          <w:sz w:val="16"/>
          <w:szCs w:val="16"/>
        </w:rPr>
        <w:t xml:space="preserve">substituted “.” </w:t>
      </w:r>
      <w:r w:rsidRPr="00391B77">
        <w:rPr>
          <w:sz w:val="16"/>
          <w:szCs w:val="16"/>
        </w:rPr>
        <w:t>by the Finance Act, 20</w:t>
      </w:r>
      <w:r>
        <w:rPr>
          <w:sz w:val="16"/>
          <w:szCs w:val="16"/>
        </w:rPr>
        <w:t>15</w:t>
      </w:r>
    </w:p>
  </w:footnote>
  <w:footnote w:id="1001">
    <w:p w:rsidR="00BF2117" w:rsidRPr="00F55609" w:rsidRDefault="00BF2117">
      <w:pPr>
        <w:pStyle w:val="FootnoteText"/>
        <w:rPr>
          <w:color w:val="0070C0"/>
          <w:sz w:val="16"/>
          <w:szCs w:val="16"/>
          <w:lang w:val="en-US"/>
        </w:rPr>
      </w:pPr>
      <w:r w:rsidRPr="00F55609">
        <w:rPr>
          <w:rStyle w:val="FootnoteReference"/>
          <w:color w:val="0070C0"/>
          <w:sz w:val="16"/>
          <w:szCs w:val="16"/>
        </w:rPr>
        <w:footnoteRef/>
      </w:r>
      <w:r w:rsidRPr="00F55609">
        <w:rPr>
          <w:color w:val="0070C0"/>
          <w:sz w:val="16"/>
          <w:szCs w:val="16"/>
        </w:rPr>
        <w:t xml:space="preserve"> The word “and” omitted by the Finance Act, 2016. </w:t>
      </w:r>
    </w:p>
  </w:footnote>
  <w:footnote w:id="1002">
    <w:p w:rsidR="00BF2117" w:rsidRPr="00C77199" w:rsidRDefault="00BF2117">
      <w:pPr>
        <w:pStyle w:val="FootnoteText"/>
        <w:rPr>
          <w:lang w:val="en-US"/>
        </w:rPr>
      </w:pPr>
      <w:r>
        <w:rPr>
          <w:rStyle w:val="FootnoteReference"/>
        </w:rPr>
        <w:footnoteRef/>
      </w:r>
      <w:r w:rsidRPr="00391B77">
        <w:rPr>
          <w:sz w:val="16"/>
          <w:szCs w:val="16"/>
        </w:rPr>
        <w:t xml:space="preserve"> Inserted by the Finance Act,20</w:t>
      </w:r>
      <w:r>
        <w:rPr>
          <w:sz w:val="16"/>
          <w:szCs w:val="16"/>
        </w:rPr>
        <w:t>15</w:t>
      </w:r>
    </w:p>
  </w:footnote>
  <w:footnote w:id="1003">
    <w:p w:rsidR="00BF2117" w:rsidRPr="00F55609" w:rsidRDefault="00BF2117">
      <w:pPr>
        <w:pStyle w:val="FootnoteText"/>
        <w:rPr>
          <w:color w:val="0070C0"/>
          <w:sz w:val="16"/>
          <w:szCs w:val="16"/>
          <w:lang w:val="en-US"/>
        </w:rPr>
      </w:pPr>
      <w:r w:rsidRPr="00F55609">
        <w:rPr>
          <w:rStyle w:val="FootnoteReference"/>
          <w:color w:val="0070C0"/>
          <w:sz w:val="16"/>
          <w:szCs w:val="16"/>
        </w:rPr>
        <w:footnoteRef/>
      </w:r>
      <w:r w:rsidRPr="00F55609">
        <w:rPr>
          <w:color w:val="0070C0"/>
          <w:sz w:val="16"/>
          <w:szCs w:val="16"/>
        </w:rPr>
        <w:t xml:space="preserve"> Full-stop substituted by the Finance Act, 2016.</w:t>
      </w:r>
    </w:p>
  </w:footnote>
  <w:footnote w:id="1004">
    <w:p w:rsidR="00BF2117" w:rsidRPr="006F1958" w:rsidRDefault="00BF2117">
      <w:pPr>
        <w:pStyle w:val="FootnoteText"/>
        <w:rPr>
          <w:color w:val="FF0066"/>
          <w:sz w:val="16"/>
          <w:szCs w:val="16"/>
          <w:lang w:val="en-US"/>
        </w:rPr>
      </w:pPr>
      <w:r w:rsidRPr="00F55609">
        <w:rPr>
          <w:rStyle w:val="FootnoteReference"/>
          <w:color w:val="0070C0"/>
          <w:sz w:val="16"/>
          <w:szCs w:val="16"/>
        </w:rPr>
        <w:footnoteRef/>
      </w:r>
      <w:r w:rsidRPr="00F55609">
        <w:rPr>
          <w:color w:val="0070C0"/>
          <w:sz w:val="16"/>
          <w:szCs w:val="16"/>
        </w:rPr>
        <w:t xml:space="preserve"> Added by the Finance Act, 2016.</w:t>
      </w:r>
    </w:p>
  </w:footnote>
  <w:footnote w:id="1005">
    <w:p w:rsidR="00BF2117" w:rsidRPr="006420B7" w:rsidRDefault="00BF2117">
      <w:pPr>
        <w:pStyle w:val="FootnoteText"/>
        <w:rPr>
          <w:color w:val="000000" w:themeColor="text1"/>
          <w:lang w:val="en-US"/>
        </w:rPr>
      </w:pPr>
      <w:r w:rsidRPr="006420B7">
        <w:rPr>
          <w:rStyle w:val="FootnoteReference"/>
          <w:color w:val="000000" w:themeColor="text1"/>
        </w:rPr>
        <w:footnoteRef/>
      </w:r>
      <w:r w:rsidRPr="006420B7">
        <w:rPr>
          <w:color w:val="000000" w:themeColor="text1"/>
        </w:rPr>
        <w:t xml:space="preserve"> </w:t>
      </w:r>
      <w:r w:rsidRPr="006420B7">
        <w:rPr>
          <w:color w:val="000000" w:themeColor="text1"/>
          <w:sz w:val="16"/>
          <w:szCs w:val="16"/>
          <w:lang w:val="en-US"/>
        </w:rPr>
        <w:t>Inserted by the National Assembly Secretariat’s O.M. No.F.22(41)/2015-Legis dated 29.01.2016</w:t>
      </w:r>
    </w:p>
  </w:footnote>
  <w:footnote w:id="1006">
    <w:p w:rsidR="00BF2117" w:rsidRPr="00F55609" w:rsidRDefault="00BF2117">
      <w:pPr>
        <w:pStyle w:val="FootnoteText"/>
        <w:rPr>
          <w:color w:val="0070C0"/>
          <w:sz w:val="16"/>
          <w:szCs w:val="16"/>
        </w:rPr>
      </w:pPr>
      <w:r w:rsidRPr="00F55609">
        <w:rPr>
          <w:rStyle w:val="FootnoteReference"/>
          <w:color w:val="0070C0"/>
          <w:sz w:val="16"/>
          <w:szCs w:val="16"/>
        </w:rPr>
        <w:footnoteRef/>
      </w:r>
      <w:r w:rsidRPr="00F55609">
        <w:rPr>
          <w:color w:val="0070C0"/>
          <w:sz w:val="16"/>
          <w:szCs w:val="16"/>
        </w:rPr>
        <w:t xml:space="preserve"> Clause (e) omitted by the Finance Act, 2016. The omitted clause (e) read as follows:-</w:t>
      </w:r>
    </w:p>
    <w:p w:rsidR="00BF2117" w:rsidRPr="00F55609" w:rsidRDefault="00BF2117" w:rsidP="00FB21E1">
      <w:pPr>
        <w:pStyle w:val="FootnoteText"/>
        <w:ind w:left="540" w:hanging="360"/>
        <w:jc w:val="both"/>
        <w:rPr>
          <w:color w:val="000000" w:themeColor="text1"/>
          <w:sz w:val="16"/>
          <w:szCs w:val="16"/>
          <w:lang w:val="en-US"/>
        </w:rPr>
      </w:pPr>
      <w:r w:rsidRPr="00F55609">
        <w:rPr>
          <w:rFonts w:cs="Arial"/>
          <w:color w:val="000000" w:themeColor="text1"/>
          <w:sz w:val="16"/>
          <w:szCs w:val="16"/>
        </w:rPr>
        <w:t xml:space="preserve">“(e) </w:t>
      </w:r>
      <w:r w:rsidRPr="00F55609">
        <w:rPr>
          <w:rFonts w:cs="Arial"/>
          <w:color w:val="000000" w:themeColor="text1"/>
          <w:sz w:val="16"/>
          <w:szCs w:val="16"/>
        </w:rPr>
        <w:tab/>
        <w:t>a cotton ginner who deposits in the Government Treasury, an amount equal to the amount of tax deductible on the payment being made to him, and evidence to this effect is provided to the “prescribed person”.</w:t>
      </w:r>
    </w:p>
  </w:footnote>
  <w:footnote w:id="1007">
    <w:p w:rsidR="00BF2117" w:rsidRPr="00D41075" w:rsidRDefault="00BF2117" w:rsidP="00E843BA">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Inserted </w:t>
      </w:r>
      <w:r w:rsidRPr="00D41075">
        <w:rPr>
          <w:color w:val="FF0000"/>
          <w:sz w:val="16"/>
          <w:szCs w:val="16"/>
        </w:rPr>
        <w:t>by the Presidential Order No.F.2(1)/2016-Pub dated 31.0</w:t>
      </w:r>
      <w:r>
        <w:rPr>
          <w:color w:val="FF0000"/>
          <w:sz w:val="16"/>
          <w:szCs w:val="16"/>
        </w:rPr>
        <w:t>8</w:t>
      </w:r>
      <w:r w:rsidRPr="00D41075">
        <w:rPr>
          <w:color w:val="FF0000"/>
          <w:sz w:val="16"/>
          <w:szCs w:val="16"/>
        </w:rPr>
        <w:t>.2016</w:t>
      </w:r>
      <w:r>
        <w:rPr>
          <w:color w:val="FF0000"/>
          <w:sz w:val="16"/>
          <w:szCs w:val="16"/>
        </w:rPr>
        <w:t xml:space="preserve">. </w:t>
      </w:r>
    </w:p>
  </w:footnote>
  <w:footnote w:id="1008">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word “or” omitted by the Finance Act, 2013.</w:t>
      </w:r>
    </w:p>
  </w:footnote>
  <w:footnote w:id="1009">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Added by the Finance Act, 2013.</w:t>
      </w:r>
    </w:p>
  </w:footnote>
  <w:footnote w:id="1010">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Added by the Finance Act, 2013.</w:t>
      </w:r>
    </w:p>
  </w:footnote>
  <w:footnote w:id="1011">
    <w:p w:rsidR="00BF2117" w:rsidRPr="00391B77" w:rsidRDefault="00BF2117" w:rsidP="008F37C2">
      <w:pPr>
        <w:pStyle w:val="FootnoteText"/>
        <w:ind w:left="90" w:firstLine="0"/>
        <w:rPr>
          <w:sz w:val="16"/>
          <w:szCs w:val="16"/>
        </w:rPr>
      </w:pPr>
      <w:r w:rsidRPr="00391B77">
        <w:rPr>
          <w:rStyle w:val="FootnoteReference"/>
          <w:sz w:val="16"/>
          <w:szCs w:val="16"/>
        </w:rPr>
        <w:footnoteRef/>
      </w:r>
      <w:r w:rsidRPr="00391B77">
        <w:rPr>
          <w:sz w:val="16"/>
          <w:szCs w:val="16"/>
        </w:rPr>
        <w:t xml:space="preserve"> Section 153A omitted by the Finance Act, 2013. Earlier it was substituted by the Finance Act, 2012,  which was inserted by the Finance Act, 2008. The omitted section 153A read as follows:</w:t>
      </w:r>
    </w:p>
    <w:p w:rsidR="00BF2117" w:rsidRPr="00391B77" w:rsidRDefault="00BF2117" w:rsidP="00721886">
      <w:pPr>
        <w:ind w:left="90"/>
        <w:jc w:val="both"/>
        <w:rPr>
          <w:sz w:val="16"/>
          <w:szCs w:val="16"/>
        </w:rPr>
      </w:pPr>
      <w:r w:rsidRPr="00391B77">
        <w:rPr>
          <w:sz w:val="16"/>
          <w:szCs w:val="16"/>
        </w:rPr>
        <w:t>“</w:t>
      </w:r>
      <w:r w:rsidRPr="00391B77">
        <w:rPr>
          <w:b/>
          <w:sz w:val="16"/>
          <w:szCs w:val="16"/>
        </w:rPr>
        <w:t>153A</w:t>
      </w:r>
      <w:r w:rsidRPr="00391B77">
        <w:rPr>
          <w:sz w:val="16"/>
          <w:szCs w:val="16"/>
        </w:rPr>
        <w:t>.</w:t>
      </w:r>
      <w:r w:rsidRPr="00391B77">
        <w:rPr>
          <w:sz w:val="16"/>
          <w:szCs w:val="16"/>
        </w:rPr>
        <w:tab/>
      </w:r>
      <w:r w:rsidRPr="00391B77">
        <w:rPr>
          <w:b/>
          <w:sz w:val="16"/>
          <w:szCs w:val="16"/>
        </w:rPr>
        <w:t>Payment to traders and distributors.</w:t>
      </w:r>
      <w:r w:rsidRPr="00391B77">
        <w:rPr>
          <w:rFonts w:cs="Arial"/>
          <w:b/>
          <w:sz w:val="16"/>
          <w:szCs w:val="16"/>
        </w:rPr>
        <w:t>—</w:t>
      </w:r>
      <w:r w:rsidRPr="00391B77">
        <w:rPr>
          <w:sz w:val="16"/>
          <w:szCs w:val="16"/>
        </w:rPr>
        <w:t xml:space="preserve"> (1) Every manufacturer, at the time of sale to distributors, dealers and wholesalers, shall collect tax at the rate specified in Part IIA of the First Schedule, from the aforesaid persons, to whom such sales have been made.</w:t>
      </w:r>
    </w:p>
    <w:p w:rsidR="00BF2117" w:rsidRPr="00391B77" w:rsidRDefault="00BF2117" w:rsidP="006B234F">
      <w:pPr>
        <w:pStyle w:val="BodyTextIndent2"/>
        <w:ind w:left="90" w:firstLine="457"/>
        <w:jc w:val="both"/>
        <w:rPr>
          <w:sz w:val="16"/>
          <w:szCs w:val="16"/>
          <w:lang w:val="en-US"/>
        </w:rPr>
      </w:pPr>
      <w:r w:rsidRPr="00391B77">
        <w:rPr>
          <w:sz w:val="16"/>
          <w:szCs w:val="16"/>
        </w:rPr>
        <w:t>(2)</w:t>
      </w:r>
      <w:r w:rsidRPr="00391B77">
        <w:rPr>
          <w:sz w:val="16"/>
          <w:szCs w:val="16"/>
        </w:rPr>
        <w:tab/>
        <w:t>Tax credit for the tax collected under sub-section (1) shall be allowed in computing the tax due by the person on the taxable income for the tax year in which the tax was collected.”</w:t>
      </w:r>
    </w:p>
  </w:footnote>
  <w:footnote w:id="1012">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words “Central Board of Revenue” substituted by the Finance Act, 2007.</w:t>
      </w:r>
    </w:p>
  </w:footnote>
  <w:footnote w:id="1013">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Inserted by the Finance Act, 2003.</w:t>
      </w:r>
    </w:p>
  </w:footnote>
  <w:footnote w:id="1014">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Inserted by the Finance Act, 2003.</w:t>
      </w:r>
    </w:p>
  </w:footnote>
  <w:footnote w:id="1015">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2009.</w:t>
      </w:r>
    </w:p>
  </w:footnote>
  <w:footnote w:id="1016">
    <w:p w:rsidR="00BF2117" w:rsidRPr="00391B77" w:rsidRDefault="00BF2117" w:rsidP="00FC35D9">
      <w:pPr>
        <w:pStyle w:val="FootnoteText"/>
        <w:ind w:left="180" w:hanging="180"/>
        <w:jc w:val="both"/>
        <w:rPr>
          <w:sz w:val="16"/>
          <w:szCs w:val="16"/>
          <w:lang w:val="en-US"/>
        </w:rPr>
      </w:pPr>
      <w:r w:rsidRPr="00391B77">
        <w:rPr>
          <w:rStyle w:val="FootnoteReference"/>
          <w:sz w:val="16"/>
          <w:szCs w:val="16"/>
        </w:rPr>
        <w:footnoteRef/>
      </w:r>
      <w:r w:rsidRPr="00391B77">
        <w:rPr>
          <w:sz w:val="16"/>
          <w:szCs w:val="16"/>
        </w:rPr>
        <w:t xml:space="preserve"> The words “deducted” substituted by the Finance Act, 2012.</w:t>
      </w:r>
    </w:p>
  </w:footnote>
  <w:footnote w:id="1017">
    <w:p w:rsidR="00BF2117" w:rsidRPr="00391B77" w:rsidRDefault="00BF2117" w:rsidP="00936C1E">
      <w:pPr>
        <w:pStyle w:val="FootnoteText"/>
        <w:ind w:left="180" w:hanging="180"/>
        <w:jc w:val="both"/>
        <w:rPr>
          <w:sz w:val="16"/>
          <w:szCs w:val="16"/>
          <w:lang w:val="en-US"/>
        </w:rPr>
      </w:pPr>
      <w:r w:rsidRPr="00391B77">
        <w:rPr>
          <w:rStyle w:val="FootnoteReference"/>
          <w:sz w:val="16"/>
          <w:szCs w:val="16"/>
        </w:rPr>
        <w:footnoteRef/>
      </w:r>
      <w:r w:rsidRPr="00391B77">
        <w:rPr>
          <w:sz w:val="16"/>
          <w:szCs w:val="16"/>
        </w:rPr>
        <w:t xml:space="preserve"> The word, figures, brackets and commas “</w:t>
      </w:r>
      <w:r w:rsidRPr="00391B77">
        <w:rPr>
          <w:rFonts w:cs="Arial"/>
          <w:sz w:val="16"/>
          <w:szCs w:val="16"/>
        </w:rPr>
        <w:t>sub-section (1), (3), (3A) or (3B)” substituted by the Finance Act, 2006.</w:t>
      </w:r>
    </w:p>
  </w:footnote>
  <w:footnote w:id="1018">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words ”</w:t>
      </w:r>
      <w:r w:rsidRPr="00391B77">
        <w:rPr>
          <w:rFonts w:cs="Arial"/>
          <w:sz w:val="16"/>
          <w:szCs w:val="16"/>
        </w:rPr>
        <w:t>export or sale to an exporter” substituted by the Finance Act, 2007.</w:t>
      </w:r>
    </w:p>
  </w:footnote>
  <w:footnote w:id="1019">
    <w:p w:rsidR="00BF2117" w:rsidRPr="004D16B9" w:rsidRDefault="00BF2117">
      <w:pPr>
        <w:pStyle w:val="FootnoteText"/>
        <w:rPr>
          <w:sz w:val="16"/>
          <w:szCs w:val="16"/>
          <w:lang w:val="en-US"/>
        </w:rPr>
      </w:pPr>
      <w:r w:rsidRPr="004D16B9">
        <w:rPr>
          <w:rStyle w:val="FootnoteReference"/>
          <w:sz w:val="16"/>
          <w:szCs w:val="16"/>
        </w:rPr>
        <w:footnoteRef/>
      </w:r>
      <w:r w:rsidRPr="00391B77">
        <w:rPr>
          <w:sz w:val="16"/>
          <w:szCs w:val="16"/>
        </w:rPr>
        <w:t>Inserted by the Finance Act, 20</w:t>
      </w:r>
      <w:r>
        <w:rPr>
          <w:sz w:val="16"/>
          <w:szCs w:val="16"/>
        </w:rPr>
        <w:t>15</w:t>
      </w:r>
    </w:p>
  </w:footnote>
  <w:footnote w:id="1020">
    <w:p w:rsidR="00BF2117" w:rsidRPr="00391B77" w:rsidRDefault="00BF2117" w:rsidP="00936C1E">
      <w:pPr>
        <w:pStyle w:val="FootnoteText"/>
        <w:ind w:left="180" w:hanging="180"/>
        <w:jc w:val="both"/>
        <w:rPr>
          <w:sz w:val="16"/>
          <w:szCs w:val="16"/>
          <w:lang w:val="en-US"/>
        </w:rPr>
      </w:pPr>
      <w:r w:rsidRPr="00391B77">
        <w:rPr>
          <w:rStyle w:val="FootnoteReference"/>
          <w:sz w:val="16"/>
          <w:szCs w:val="16"/>
        </w:rPr>
        <w:footnoteRef/>
      </w:r>
      <w:r w:rsidRPr="00391B77">
        <w:rPr>
          <w:sz w:val="16"/>
          <w:szCs w:val="16"/>
        </w:rPr>
        <w:t xml:space="preserve"> The words, brackets, figure and comma “Subject to sub-section (2), every” substituted by the Finance Act, 2006.</w:t>
      </w:r>
    </w:p>
  </w:footnote>
  <w:footnote w:id="1021">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lang w:val="en-US"/>
        </w:rPr>
        <w:t>Inserted by the Finance Act, 2006.</w:t>
      </w:r>
    </w:p>
  </w:footnote>
  <w:footnote w:id="1022">
    <w:p w:rsidR="00BF2117" w:rsidRPr="00391B77" w:rsidRDefault="00BF2117">
      <w:pPr>
        <w:pStyle w:val="FootnoteText"/>
        <w:rPr>
          <w:sz w:val="16"/>
          <w:szCs w:val="16"/>
        </w:rPr>
      </w:pPr>
      <w:r w:rsidRPr="00391B77">
        <w:rPr>
          <w:rStyle w:val="FootnoteReference"/>
          <w:sz w:val="16"/>
          <w:szCs w:val="16"/>
        </w:rPr>
        <w:footnoteRef/>
      </w:r>
      <w:r w:rsidRPr="00391B77">
        <w:rPr>
          <w:sz w:val="16"/>
          <w:szCs w:val="16"/>
        </w:rPr>
        <w:t xml:space="preserve"> Sub-section (2) omitted by the Finance Act, 2010. The omitted sub-section (2) read as follows:</w:t>
      </w:r>
    </w:p>
    <w:p w:rsidR="00BF2117" w:rsidRPr="00391B77" w:rsidRDefault="00BF2117" w:rsidP="00DC460A">
      <w:pPr>
        <w:pStyle w:val="FootnoteText"/>
        <w:ind w:left="450" w:hanging="450"/>
        <w:jc w:val="both"/>
        <w:rPr>
          <w:sz w:val="16"/>
          <w:szCs w:val="16"/>
          <w:lang w:val="en-US"/>
        </w:rPr>
      </w:pPr>
      <w:r w:rsidRPr="00391B77">
        <w:rPr>
          <w:sz w:val="16"/>
          <w:szCs w:val="16"/>
        </w:rPr>
        <w:tab/>
        <w:t>“</w:t>
      </w:r>
      <w:r w:rsidRPr="00391B77">
        <w:rPr>
          <w:rFonts w:cs="Arial"/>
          <w:sz w:val="16"/>
          <w:szCs w:val="16"/>
        </w:rPr>
        <w:t xml:space="preserve">(2) </w:t>
      </w:r>
      <w:r w:rsidRPr="00391B77">
        <w:rPr>
          <w:rFonts w:cs="Arial"/>
          <w:sz w:val="16"/>
          <w:szCs w:val="16"/>
        </w:rPr>
        <w:tab/>
        <w:t>The tax deducted under sub-section (1) shall be a final tax on the income from property.”</w:t>
      </w:r>
    </w:p>
  </w:footnote>
  <w:footnote w:id="1023">
    <w:p w:rsidR="00BF2117" w:rsidRPr="00391B77" w:rsidRDefault="00BF2117">
      <w:pPr>
        <w:pStyle w:val="FootnoteText"/>
        <w:rPr>
          <w:sz w:val="16"/>
          <w:szCs w:val="16"/>
        </w:rPr>
      </w:pPr>
      <w:r w:rsidRPr="00391B77">
        <w:rPr>
          <w:rStyle w:val="FootnoteReference"/>
          <w:sz w:val="16"/>
          <w:szCs w:val="16"/>
        </w:rPr>
        <w:footnoteRef/>
      </w:r>
      <w:r w:rsidRPr="00391B77">
        <w:rPr>
          <w:sz w:val="16"/>
          <w:szCs w:val="16"/>
        </w:rPr>
        <w:t xml:space="preserve"> Sub-section (3) substituted  by the Finance Act, 2006. The substituted sub-section (3) read as follows: </w:t>
      </w:r>
    </w:p>
    <w:p w:rsidR="00BF2117" w:rsidRPr="00391B77" w:rsidRDefault="00BF2117" w:rsidP="002E6A2F">
      <w:pPr>
        <w:pStyle w:val="FootnoteText"/>
        <w:ind w:left="180" w:hanging="180"/>
        <w:rPr>
          <w:sz w:val="16"/>
          <w:szCs w:val="16"/>
          <w:lang w:val="en-US"/>
        </w:rPr>
      </w:pPr>
      <w:r w:rsidRPr="00391B77">
        <w:rPr>
          <w:rFonts w:cs="Arial"/>
          <w:sz w:val="16"/>
          <w:szCs w:val="16"/>
        </w:rPr>
        <w:tab/>
        <w:t>“(3)</w:t>
      </w:r>
      <w:r w:rsidRPr="00391B77">
        <w:rPr>
          <w:rFonts w:cs="Arial"/>
          <w:sz w:val="16"/>
          <w:szCs w:val="16"/>
        </w:rPr>
        <w:tab/>
        <w:t>In this section, “prescribed person” means the Federal Government, a Provincial Government, local authority, a company, a non-profit organisation or a diplomatic mission of a foreign state.”</w:t>
      </w:r>
    </w:p>
  </w:footnote>
  <w:footnote w:id="1024">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lang w:val="en-US"/>
        </w:rPr>
        <w:t>The words “local authority” substituted by the Finance Act, 2008.</w:t>
      </w:r>
    </w:p>
  </w:footnote>
  <w:footnote w:id="1025">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2013.</w:t>
      </w:r>
    </w:p>
  </w:footnote>
  <w:footnote w:id="1026">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word “or” omitted by the Finance Act, 2013. </w:t>
      </w:r>
    </w:p>
  </w:footnote>
  <w:footnote w:id="1027">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2013.</w:t>
      </w:r>
    </w:p>
  </w:footnote>
  <w:footnote w:id="1028">
    <w:p w:rsidR="00BF2117" w:rsidRPr="00391B77" w:rsidRDefault="00BF2117" w:rsidP="006965F5">
      <w:pPr>
        <w:pStyle w:val="FootnoteText"/>
        <w:rPr>
          <w:sz w:val="16"/>
          <w:szCs w:val="16"/>
          <w:lang w:val="en-US"/>
        </w:rPr>
      </w:pPr>
      <w:r w:rsidRPr="00391B77">
        <w:rPr>
          <w:rStyle w:val="FootnoteReference"/>
          <w:sz w:val="16"/>
          <w:szCs w:val="16"/>
        </w:rPr>
        <w:footnoteRef/>
      </w:r>
      <w:r w:rsidRPr="00391B77">
        <w:rPr>
          <w:sz w:val="16"/>
          <w:szCs w:val="16"/>
        </w:rPr>
        <w:t xml:space="preserve"> Inserted by the Finance Act, 2013.</w:t>
      </w:r>
    </w:p>
  </w:footnote>
  <w:footnote w:id="1029">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words “Central Board of Revenue” substituted by the Finance Act, 2007.</w:t>
      </w:r>
    </w:p>
  </w:footnote>
  <w:footnote w:id="1030">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Inserted by the Finance Act, 2002.</w:t>
      </w:r>
    </w:p>
  </w:footnote>
  <w:footnote w:id="1031">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Inserted by the Finance Act, 2003.</w:t>
      </w:r>
    </w:p>
  </w:footnote>
  <w:footnote w:id="1032">
    <w:p w:rsidR="00BF2117" w:rsidRPr="00391B77" w:rsidRDefault="00BF2117">
      <w:pPr>
        <w:keepNext/>
        <w:ind w:left="360" w:hanging="360"/>
        <w:jc w:val="both"/>
        <w:rPr>
          <w:sz w:val="16"/>
          <w:szCs w:val="16"/>
        </w:rPr>
      </w:pPr>
      <w:r w:rsidRPr="00391B77">
        <w:rPr>
          <w:rStyle w:val="FootnoteReference"/>
          <w:rFonts w:cs="Arial"/>
          <w:sz w:val="16"/>
          <w:szCs w:val="16"/>
        </w:rPr>
        <w:footnoteRef/>
      </w:r>
      <w:r w:rsidRPr="00391B77">
        <w:rPr>
          <w:sz w:val="16"/>
          <w:szCs w:val="16"/>
        </w:rPr>
        <w:t xml:space="preserve"> Sub-section (3) substituted by the Finance Act, 2002. The substituted sub-section (3) read as follows:</w:t>
      </w:r>
    </w:p>
    <w:p w:rsidR="00BF2117" w:rsidRPr="00391B77" w:rsidRDefault="00BF2117">
      <w:pPr>
        <w:ind w:left="180" w:firstLine="180"/>
        <w:jc w:val="both"/>
        <w:rPr>
          <w:rFonts w:cs="Arial"/>
          <w:sz w:val="16"/>
          <w:szCs w:val="16"/>
        </w:rPr>
      </w:pPr>
      <w:r w:rsidRPr="00391B77">
        <w:rPr>
          <w:rFonts w:cs="Arial"/>
          <w:sz w:val="16"/>
          <w:szCs w:val="16"/>
        </w:rPr>
        <w:t xml:space="preserve">“(3) The tax deducted under sub-section (1) shall be a final tax on the prize bond or winnings.“ </w:t>
      </w:r>
    </w:p>
  </w:footnote>
  <w:footnote w:id="1033">
    <w:p w:rsidR="00BF2117" w:rsidRPr="00391B77" w:rsidRDefault="00BF2117" w:rsidP="00D571C1">
      <w:pPr>
        <w:pStyle w:val="FootnoteText"/>
        <w:ind w:left="180" w:hanging="180"/>
        <w:jc w:val="both"/>
        <w:rPr>
          <w:sz w:val="16"/>
          <w:szCs w:val="16"/>
          <w:lang w:val="en-US"/>
        </w:rPr>
      </w:pPr>
      <w:r w:rsidRPr="00391B77">
        <w:rPr>
          <w:rStyle w:val="FootnoteReference"/>
          <w:sz w:val="16"/>
          <w:szCs w:val="16"/>
        </w:rPr>
        <w:footnoteRef/>
      </w:r>
      <w:r w:rsidRPr="00391B77">
        <w:rPr>
          <w:sz w:val="16"/>
          <w:szCs w:val="16"/>
        </w:rPr>
        <w:t xml:space="preserve"> The words “deducted” substituted by the Finance Act, 2012.</w:t>
      </w:r>
    </w:p>
  </w:footnote>
  <w:footnote w:id="1034">
    <w:p w:rsidR="00BF2117" w:rsidRPr="00E122F6" w:rsidRDefault="00BF2117">
      <w:pPr>
        <w:pStyle w:val="FootnoteText"/>
        <w:rPr>
          <w:color w:val="000000" w:themeColor="text1"/>
          <w:sz w:val="16"/>
          <w:szCs w:val="16"/>
          <w:lang w:val="en-US"/>
        </w:rPr>
      </w:pPr>
      <w:r w:rsidRPr="00E122F6">
        <w:rPr>
          <w:rStyle w:val="FootnoteReference"/>
          <w:color w:val="000000" w:themeColor="text1"/>
          <w:sz w:val="16"/>
          <w:szCs w:val="16"/>
        </w:rPr>
        <w:footnoteRef/>
      </w:r>
      <w:r w:rsidRPr="00E122F6">
        <w:rPr>
          <w:color w:val="000000" w:themeColor="text1"/>
          <w:sz w:val="16"/>
          <w:szCs w:val="16"/>
        </w:rPr>
        <w:t>Inserted by the Finance Act, 2014.</w:t>
      </w:r>
    </w:p>
  </w:footnote>
  <w:footnote w:id="1035">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Added by the Finance Act, 2004.</w:t>
      </w:r>
    </w:p>
  </w:footnote>
  <w:footnote w:id="1036">
    <w:p w:rsidR="00BF2117" w:rsidRPr="00391B77" w:rsidRDefault="00BF2117" w:rsidP="00757825">
      <w:pPr>
        <w:pStyle w:val="FootnoteText"/>
        <w:ind w:left="180" w:hanging="180"/>
        <w:jc w:val="both"/>
        <w:rPr>
          <w:sz w:val="16"/>
          <w:szCs w:val="16"/>
          <w:lang w:val="en-US"/>
        </w:rPr>
      </w:pPr>
      <w:r w:rsidRPr="00391B77">
        <w:rPr>
          <w:rStyle w:val="FootnoteReference"/>
          <w:sz w:val="16"/>
          <w:szCs w:val="16"/>
        </w:rPr>
        <w:footnoteRef/>
      </w:r>
      <w:r w:rsidRPr="00391B77">
        <w:rPr>
          <w:sz w:val="16"/>
          <w:szCs w:val="16"/>
        </w:rPr>
        <w:t xml:space="preserve"> The words “deducted” substituted by the Finance Act, 2012.</w:t>
      </w:r>
    </w:p>
    <w:p w:rsidR="00BF2117" w:rsidRPr="00412620" w:rsidRDefault="00BF2117" w:rsidP="00757825">
      <w:pPr>
        <w:pStyle w:val="FootnoteText"/>
        <w:rPr>
          <w:lang w:val="en-US"/>
        </w:rPr>
      </w:pPr>
    </w:p>
  </w:footnote>
  <w:footnote w:id="1037">
    <w:p w:rsidR="00BF2117" w:rsidRPr="00391B77" w:rsidRDefault="00BF2117">
      <w:pPr>
        <w:pStyle w:val="FootnoteText"/>
        <w:rPr>
          <w:sz w:val="16"/>
          <w:szCs w:val="16"/>
        </w:rPr>
      </w:pPr>
      <w:r w:rsidRPr="00391B77">
        <w:rPr>
          <w:rStyle w:val="FootnoteReference"/>
          <w:rFonts w:cs="Arial"/>
          <w:sz w:val="16"/>
          <w:szCs w:val="16"/>
        </w:rPr>
        <w:footnoteRef/>
      </w:r>
      <w:r w:rsidRPr="00391B77">
        <w:rPr>
          <w:sz w:val="16"/>
          <w:szCs w:val="16"/>
        </w:rPr>
        <w:t xml:space="preserve"> Inserted by the Finance Act, 2005.</w:t>
      </w:r>
    </w:p>
  </w:footnote>
  <w:footnote w:id="1038">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semicolon substituted by the Finance Act, 2006.</w:t>
      </w:r>
    </w:p>
  </w:footnote>
  <w:footnote w:id="1039">
    <w:p w:rsidR="00BF2117" w:rsidRPr="00391B77" w:rsidRDefault="00BF2117" w:rsidP="00981B8C">
      <w:pPr>
        <w:pStyle w:val="FootnoteText"/>
        <w:rPr>
          <w:sz w:val="16"/>
          <w:szCs w:val="16"/>
          <w:lang w:val="en-US"/>
        </w:rPr>
      </w:pPr>
      <w:r w:rsidRPr="00391B77">
        <w:rPr>
          <w:rStyle w:val="FootnoteReference"/>
          <w:sz w:val="16"/>
          <w:szCs w:val="16"/>
        </w:rPr>
        <w:footnoteRef/>
      </w:r>
      <w:r w:rsidRPr="00391B77">
        <w:rPr>
          <w:sz w:val="16"/>
          <w:szCs w:val="16"/>
          <w:lang w:val="en-US"/>
        </w:rPr>
        <w:t>Inserted by the Finance Act, 2006.</w:t>
      </w:r>
    </w:p>
  </w:footnote>
  <w:footnote w:id="1040">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lang w:val="en-US"/>
        </w:rPr>
        <w:t>Inserted by the Finance Act, 2006.</w:t>
      </w:r>
    </w:p>
  </w:footnote>
  <w:footnote w:id="1041">
    <w:p w:rsidR="00BF2117" w:rsidRPr="00391B77" w:rsidRDefault="00BF2117">
      <w:pPr>
        <w:pStyle w:val="FootnoteText"/>
        <w:rPr>
          <w:sz w:val="16"/>
          <w:szCs w:val="16"/>
          <w:lang w:val="en-US"/>
        </w:rPr>
      </w:pPr>
      <w:r w:rsidRPr="00391B77">
        <w:rPr>
          <w:rStyle w:val="FootnoteReference"/>
          <w:sz w:val="16"/>
          <w:szCs w:val="16"/>
        </w:rPr>
        <w:footnoteRef/>
      </w:r>
      <w:r w:rsidRPr="00391B77">
        <w:rPr>
          <w:sz w:val="16"/>
          <w:szCs w:val="16"/>
        </w:rPr>
        <w:t xml:space="preserve"> The figure and signe “25%” substituted by the Finance Act, 2011.</w:t>
      </w:r>
    </w:p>
  </w:footnote>
  <w:footnote w:id="1042">
    <w:p w:rsidR="00BF2117" w:rsidRPr="00391B77" w:rsidRDefault="00BF2117" w:rsidP="003950B8">
      <w:pPr>
        <w:pStyle w:val="FootnoteText"/>
        <w:rPr>
          <w:sz w:val="16"/>
          <w:szCs w:val="16"/>
        </w:rPr>
      </w:pPr>
      <w:r w:rsidRPr="00391B77">
        <w:rPr>
          <w:rStyle w:val="FootnoteReference"/>
          <w:sz w:val="16"/>
          <w:szCs w:val="16"/>
        </w:rPr>
        <w:footnoteRef/>
      </w:r>
      <w:r w:rsidRPr="00391B77">
        <w:rPr>
          <w:sz w:val="16"/>
          <w:szCs w:val="16"/>
        </w:rPr>
        <w:t xml:space="preserve"> Proviso substituted by the by the Finance Act, 2006. The substituted proviso read as follows:</w:t>
      </w:r>
    </w:p>
    <w:p w:rsidR="00BF2117" w:rsidRPr="00391B77" w:rsidRDefault="00BF2117" w:rsidP="003950B8">
      <w:pPr>
        <w:keepNext/>
        <w:ind w:left="180" w:firstLine="367"/>
        <w:jc w:val="both"/>
        <w:rPr>
          <w:sz w:val="16"/>
          <w:szCs w:val="16"/>
          <w:lang w:val="en-US"/>
        </w:rPr>
      </w:pPr>
      <w:r w:rsidRPr="00391B77">
        <w:rPr>
          <w:sz w:val="16"/>
          <w:szCs w:val="16"/>
        </w:rPr>
        <w:t>“</w:t>
      </w:r>
      <w:r w:rsidRPr="00391B77">
        <w:rPr>
          <w:rFonts w:cs="Arial"/>
          <w:sz w:val="16"/>
          <w:szCs w:val="16"/>
        </w:rPr>
        <w:t>Provided</w:t>
      </w:r>
      <w:r w:rsidRPr="00391B77">
        <w:rPr>
          <w:rFonts w:cs="Arial"/>
          <w:bCs/>
          <w:sz w:val="16"/>
          <w:szCs w:val="16"/>
        </w:rPr>
        <w:t xml:space="preserve"> that the tax shall not be deducted in case, the balance in the persons’ individual pension account is invested in an approved income payment plan of a pension fund manager or paid to a life insurance company for the purchase of an approved annuity plan or is transferred to another individual pension account of the taxpayer maintained with any other Pension Fund Manager under Change of Pension Fund Manager option specified in the Voluntary Pension System Rules, 2005.”</w:t>
      </w:r>
    </w:p>
  </w:footnote>
  <w:footnote w:id="1043">
    <w:p w:rsidR="00BF2117" w:rsidRPr="00412620" w:rsidRDefault="00BF2117">
      <w:pPr>
        <w:pStyle w:val="FootnoteText"/>
        <w:keepNext/>
        <w:rPr>
          <w:sz w:val="16"/>
        </w:rPr>
      </w:pPr>
      <w:r w:rsidRPr="00412620">
        <w:rPr>
          <w:rStyle w:val="FootnoteReference"/>
          <w:rFonts w:cs="Arial"/>
          <w:sz w:val="16"/>
        </w:rPr>
        <w:footnoteRef/>
      </w:r>
      <w:r w:rsidRPr="00412620">
        <w:rPr>
          <w:sz w:val="16"/>
        </w:rPr>
        <w:t xml:space="preserve"> Omitted by the Finance Act, 2002. The omitted section 157 read as follows:</w:t>
      </w:r>
    </w:p>
    <w:p w:rsidR="00BF2117" w:rsidRPr="00412620" w:rsidRDefault="00BF2117">
      <w:pPr>
        <w:keepNext/>
        <w:ind w:left="180"/>
        <w:jc w:val="both"/>
        <w:rPr>
          <w:rFonts w:cs="Arial"/>
          <w:sz w:val="16"/>
        </w:rPr>
      </w:pPr>
      <w:r w:rsidRPr="00412620">
        <w:rPr>
          <w:rFonts w:cs="Arial"/>
          <w:sz w:val="16"/>
        </w:rPr>
        <w:t xml:space="preserve"> “</w:t>
      </w:r>
      <w:r w:rsidRPr="00412620">
        <w:rPr>
          <w:rFonts w:cs="Arial"/>
          <w:b/>
          <w:sz w:val="16"/>
        </w:rPr>
        <w:t>157. Petroleum products.-</w:t>
      </w:r>
      <w:r w:rsidRPr="00412620">
        <w:rPr>
          <w:rFonts w:cs="Arial"/>
          <w:sz w:val="16"/>
        </w:rPr>
        <w:t xml:space="preserve"> (1)  Every person selling petroleum products to a petrol pump operator shall deduct tax from the amount of commission or discount allowed to the operator at the rate specified in Division VII of Part III of the First Schedule. </w:t>
      </w:r>
    </w:p>
    <w:p w:rsidR="00BF2117" w:rsidRPr="00412620" w:rsidRDefault="00BF2117">
      <w:pPr>
        <w:ind w:left="180"/>
        <w:jc w:val="both"/>
        <w:rPr>
          <w:rFonts w:cs="Arial"/>
          <w:sz w:val="16"/>
        </w:rPr>
      </w:pPr>
      <w:r w:rsidRPr="00412620">
        <w:rPr>
          <w:rFonts w:cs="Arial"/>
          <w:sz w:val="16"/>
        </w:rPr>
        <w:tab/>
        <w:t>(2)</w:t>
      </w:r>
      <w:r w:rsidRPr="00412620">
        <w:rPr>
          <w:rFonts w:cs="Arial"/>
          <w:sz w:val="16"/>
        </w:rPr>
        <w:tab/>
        <w:t xml:space="preserve">The tax deducted under sub-section (1) shall be a final tax on the income arising from the sale of petroleum products to which sub-section (1) applies.” </w:t>
      </w:r>
    </w:p>
  </w:footnote>
  <w:footnote w:id="1044">
    <w:p w:rsidR="00BF2117" w:rsidRPr="00412620" w:rsidRDefault="00BF2117">
      <w:pPr>
        <w:keepNext/>
        <w:jc w:val="both"/>
        <w:rPr>
          <w:sz w:val="16"/>
        </w:rPr>
      </w:pPr>
      <w:r w:rsidRPr="00412620">
        <w:rPr>
          <w:rStyle w:val="FootnoteReference"/>
          <w:rFonts w:cs="Arial"/>
          <w:sz w:val="16"/>
        </w:rPr>
        <w:footnoteRef/>
      </w:r>
      <w:r w:rsidRPr="00412620">
        <w:rPr>
          <w:sz w:val="16"/>
        </w:rPr>
        <w:t xml:space="preserve"> Substituted by the Finance Act, 2002. The substituted section 158 read as follows:</w:t>
      </w:r>
    </w:p>
    <w:p w:rsidR="00BF2117" w:rsidRPr="00412620" w:rsidRDefault="00BF2117">
      <w:pPr>
        <w:keepNext/>
        <w:ind w:left="180"/>
        <w:jc w:val="both"/>
        <w:rPr>
          <w:rFonts w:cs="Arial"/>
          <w:sz w:val="16"/>
        </w:rPr>
      </w:pPr>
      <w:r w:rsidRPr="00412620">
        <w:rPr>
          <w:rFonts w:cs="Arial"/>
          <w:sz w:val="16"/>
        </w:rPr>
        <w:t xml:space="preserve"> “</w:t>
      </w:r>
      <w:r w:rsidRPr="00412620">
        <w:rPr>
          <w:rFonts w:cs="Arial"/>
          <w:b/>
          <w:sz w:val="16"/>
        </w:rPr>
        <w:t xml:space="preserve">158. Time of deduction of tax.- </w:t>
      </w:r>
      <w:r w:rsidRPr="00412620">
        <w:rPr>
          <w:rFonts w:cs="Arial"/>
          <w:sz w:val="16"/>
        </w:rPr>
        <w:t>A person required to deduct tax from an amount paid by the person shall deduct the tax at the earlier of –</w:t>
      </w:r>
    </w:p>
    <w:p w:rsidR="00BF2117" w:rsidRPr="00412620" w:rsidRDefault="00BF2117">
      <w:pPr>
        <w:pStyle w:val="BodyTextIndent"/>
        <w:keepNext/>
        <w:ind w:firstLine="374"/>
        <w:jc w:val="both"/>
        <w:rPr>
          <w:rFonts w:cs="Arial"/>
          <w:sz w:val="16"/>
        </w:rPr>
      </w:pPr>
      <w:r w:rsidRPr="00412620">
        <w:rPr>
          <w:rFonts w:cs="Arial"/>
          <w:sz w:val="16"/>
        </w:rPr>
        <w:t>(a)</w:t>
      </w:r>
      <w:r w:rsidRPr="00412620">
        <w:rPr>
          <w:rFonts w:cs="Arial"/>
          <w:sz w:val="16"/>
        </w:rPr>
        <w:tab/>
        <w:t>the time the amount is credited to the account of the recipient; or</w:t>
      </w:r>
    </w:p>
    <w:p w:rsidR="00BF2117" w:rsidRPr="00412620" w:rsidRDefault="00BF2117">
      <w:pPr>
        <w:pStyle w:val="BodyTextIndent"/>
        <w:ind w:firstLine="374"/>
        <w:jc w:val="both"/>
        <w:rPr>
          <w:rFonts w:cs="Arial"/>
          <w:sz w:val="16"/>
        </w:rPr>
      </w:pPr>
      <w:r w:rsidRPr="00412620">
        <w:rPr>
          <w:rFonts w:cs="Arial"/>
          <w:sz w:val="16"/>
        </w:rPr>
        <w:t>(b)</w:t>
      </w:r>
      <w:r w:rsidRPr="00412620">
        <w:rPr>
          <w:rFonts w:cs="Arial"/>
          <w:sz w:val="16"/>
        </w:rPr>
        <w:tab/>
        <w:t>the time of amount is actually paid.”</w:t>
      </w:r>
    </w:p>
  </w:footnote>
  <w:footnote w:id="104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046">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047">
    <w:p w:rsidR="00BF2117" w:rsidRPr="000A0ED0" w:rsidRDefault="00BF2117">
      <w:pPr>
        <w:pStyle w:val="FootnoteText"/>
        <w:rPr>
          <w:lang w:val="en-US"/>
        </w:rPr>
      </w:pPr>
      <w:r>
        <w:rPr>
          <w:rStyle w:val="FootnoteReference"/>
        </w:rPr>
        <w:footnoteRef/>
      </w:r>
      <w:r w:rsidRPr="000A0ED0">
        <w:rPr>
          <w:sz w:val="16"/>
          <w:szCs w:val="16"/>
          <w:lang w:val="en-US"/>
        </w:rPr>
        <w:t>Substituted “.” By Finance Act, 2015.</w:t>
      </w:r>
    </w:p>
  </w:footnote>
  <w:footnote w:id="1048">
    <w:p w:rsidR="00BF2117" w:rsidRPr="000A0ED0" w:rsidRDefault="00BF2117">
      <w:pPr>
        <w:pStyle w:val="FootnoteText"/>
        <w:rPr>
          <w:lang w:val="en-US"/>
        </w:rPr>
      </w:pPr>
      <w:r>
        <w:rPr>
          <w:rStyle w:val="FootnoteReference"/>
        </w:rPr>
        <w:footnoteRef/>
      </w:r>
      <w:r w:rsidRPr="000A0ED0">
        <w:rPr>
          <w:sz w:val="16"/>
          <w:szCs w:val="16"/>
        </w:rPr>
        <w:t>Adde</w:t>
      </w:r>
      <w:r>
        <w:rPr>
          <w:sz w:val="16"/>
          <w:szCs w:val="16"/>
        </w:rPr>
        <w:t xml:space="preserve">d </w:t>
      </w:r>
      <w:r w:rsidRPr="00412620">
        <w:rPr>
          <w:sz w:val="16"/>
        </w:rPr>
        <w:t>by the Finance Act, 20</w:t>
      </w:r>
      <w:r>
        <w:rPr>
          <w:sz w:val="16"/>
        </w:rPr>
        <w:t>15</w:t>
      </w:r>
      <w:r w:rsidRPr="00412620">
        <w:rPr>
          <w:sz w:val="16"/>
        </w:rPr>
        <w:t>.</w:t>
      </w:r>
    </w:p>
  </w:footnote>
  <w:footnote w:id="1049">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words “paid to a person” omitted by the Finance Act, 2003.</w:t>
      </w:r>
    </w:p>
  </w:footnote>
  <w:footnote w:id="1050">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1051">
    <w:p w:rsidR="00BF2117" w:rsidRPr="000561B5" w:rsidRDefault="00BF2117">
      <w:pPr>
        <w:pStyle w:val="FootnoteText"/>
        <w:rPr>
          <w:color w:val="00B0F0"/>
          <w:sz w:val="16"/>
          <w:szCs w:val="16"/>
          <w:lang w:val="en-US"/>
        </w:rPr>
      </w:pPr>
      <w:r w:rsidRPr="00E122F6">
        <w:rPr>
          <w:rStyle w:val="FootnoteReference"/>
          <w:color w:val="000000" w:themeColor="text1"/>
          <w:sz w:val="16"/>
          <w:szCs w:val="16"/>
        </w:rPr>
        <w:footnoteRef/>
      </w:r>
      <w:r w:rsidRPr="00E122F6">
        <w:rPr>
          <w:color w:val="000000" w:themeColor="text1"/>
          <w:sz w:val="16"/>
          <w:szCs w:val="16"/>
          <w:lang w:val="en-US"/>
        </w:rPr>
        <w:t>Comma substituted by a semi colon and a new clause (c) added by the Finance Act, 2014</w:t>
      </w:r>
      <w:r w:rsidRPr="000561B5">
        <w:rPr>
          <w:color w:val="00B0F0"/>
          <w:sz w:val="16"/>
          <w:szCs w:val="16"/>
          <w:lang w:val="en-US"/>
        </w:rPr>
        <w:t>.</w:t>
      </w:r>
    </w:p>
  </w:footnote>
  <w:footnote w:id="1052">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053">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“the” omitted by the Finance Act, 2004.</w:t>
      </w:r>
    </w:p>
  </w:footnote>
  <w:footnote w:id="105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055">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2003.</w:t>
      </w:r>
    </w:p>
  </w:footnote>
  <w:footnote w:id="1056">
    <w:p w:rsidR="00BF2117" w:rsidRPr="00AF2B23" w:rsidRDefault="00BF2117" w:rsidP="00D5370D">
      <w:pPr>
        <w:pStyle w:val="FootnoteText"/>
        <w:ind w:left="90" w:hanging="90"/>
        <w:jc w:val="both"/>
        <w:rPr>
          <w:sz w:val="16"/>
          <w:szCs w:val="16"/>
          <w:lang w:val="en-US"/>
        </w:rPr>
      </w:pPr>
      <w:r w:rsidRPr="00AF2B23">
        <w:rPr>
          <w:rStyle w:val="FootnoteReference"/>
          <w:sz w:val="16"/>
          <w:szCs w:val="16"/>
        </w:rPr>
        <w:footnoteRef/>
      </w:r>
      <w:r w:rsidRPr="00AF2B23">
        <w:rPr>
          <w:sz w:val="16"/>
          <w:szCs w:val="16"/>
        </w:rPr>
        <w:t xml:space="preserve">Sub-section (3) substituted </w:t>
      </w:r>
      <w:r w:rsidRPr="00AF2B23">
        <w:rPr>
          <w:sz w:val="16"/>
          <w:szCs w:val="16"/>
          <w:lang w:val="en-US"/>
        </w:rPr>
        <w:t xml:space="preserve"> by the Finance Act, 2008. The substituted sub-section (3) read as follows:</w:t>
      </w:r>
    </w:p>
    <w:p w:rsidR="00BF2117" w:rsidRPr="00AF2B23" w:rsidRDefault="00BF2117" w:rsidP="00186BF2">
      <w:pPr>
        <w:pStyle w:val="FootnoteText"/>
        <w:ind w:left="180" w:firstLine="0"/>
        <w:jc w:val="both"/>
        <w:rPr>
          <w:sz w:val="16"/>
          <w:szCs w:val="16"/>
          <w:lang w:val="en-US"/>
        </w:rPr>
      </w:pPr>
      <w:r w:rsidRPr="00AF2B23">
        <w:rPr>
          <w:sz w:val="16"/>
          <w:szCs w:val="16"/>
          <w:lang w:val="en-US"/>
        </w:rPr>
        <w:t>“</w:t>
      </w:r>
      <w:r w:rsidRPr="00AF2B23">
        <w:rPr>
          <w:rFonts w:cs="Arial"/>
          <w:sz w:val="16"/>
          <w:szCs w:val="16"/>
        </w:rPr>
        <w:t>(3)</w:t>
      </w:r>
      <w:r w:rsidRPr="00AF2B23">
        <w:rPr>
          <w:rFonts w:cs="Arial"/>
          <w:sz w:val="16"/>
          <w:szCs w:val="16"/>
        </w:rPr>
        <w:tab/>
        <w:t xml:space="preserve">The Board may, from time to time, by notification in the official Gazette, amend the rates of withholding tax prescribed under the Ordinance.” </w:t>
      </w:r>
    </w:p>
  </w:footnote>
  <w:footnote w:id="1057">
    <w:p w:rsidR="00BF2117" w:rsidRDefault="00BF2117" w:rsidP="00186BF2">
      <w:pPr>
        <w:ind w:firstLine="7"/>
        <w:jc w:val="both"/>
        <w:rPr>
          <w:sz w:val="16"/>
          <w:szCs w:val="16"/>
        </w:rPr>
      </w:pPr>
      <w:r>
        <w:rPr>
          <w:rStyle w:val="FootnoteReference"/>
        </w:rPr>
        <w:footnoteRef/>
      </w:r>
      <w:r w:rsidRPr="00D5370D">
        <w:rPr>
          <w:sz w:val="16"/>
          <w:szCs w:val="16"/>
        </w:rPr>
        <w:t>Omitted by Finance Act, 2015.</w:t>
      </w:r>
      <w:r>
        <w:rPr>
          <w:sz w:val="16"/>
          <w:szCs w:val="16"/>
        </w:rPr>
        <w:t xml:space="preserve"> The omitted sub-section (3) read as follows:-  </w:t>
      </w:r>
    </w:p>
    <w:p w:rsidR="00BF2117" w:rsidRPr="006C229D" w:rsidRDefault="00BF2117" w:rsidP="00186BF2">
      <w:pPr>
        <w:ind w:firstLine="547"/>
        <w:jc w:val="both"/>
        <w:rPr>
          <w:rFonts w:cs="Arial"/>
          <w:sz w:val="16"/>
          <w:szCs w:val="16"/>
        </w:rPr>
      </w:pPr>
      <w:r>
        <w:rPr>
          <w:sz w:val="16"/>
          <w:szCs w:val="16"/>
        </w:rPr>
        <w:t>“</w:t>
      </w:r>
      <w:r w:rsidRPr="006C229D">
        <w:rPr>
          <w:rFonts w:cs="Arial"/>
          <w:sz w:val="16"/>
          <w:szCs w:val="16"/>
        </w:rPr>
        <w:t xml:space="preserve">(3) </w:t>
      </w:r>
      <w:r w:rsidRPr="006C229D">
        <w:rPr>
          <w:rFonts w:cs="Arial"/>
          <w:sz w:val="16"/>
          <w:szCs w:val="16"/>
        </w:rPr>
        <w:tab/>
        <w:t>The Board may, from time to time, by notification in the official Gazette –</w:t>
      </w:r>
    </w:p>
    <w:p w:rsidR="00BF2117" w:rsidRPr="006C229D" w:rsidRDefault="00BF2117" w:rsidP="00D5370D">
      <w:pPr>
        <w:ind w:left="1620" w:hanging="526"/>
        <w:jc w:val="both"/>
        <w:rPr>
          <w:rFonts w:cs="Arial"/>
          <w:sz w:val="16"/>
          <w:szCs w:val="16"/>
        </w:rPr>
      </w:pPr>
      <w:r w:rsidRPr="006C229D">
        <w:rPr>
          <w:rFonts w:cs="Arial"/>
          <w:sz w:val="16"/>
          <w:szCs w:val="16"/>
        </w:rPr>
        <w:t xml:space="preserve">(a)  </w:t>
      </w:r>
      <w:r w:rsidRPr="006C229D">
        <w:rPr>
          <w:rFonts w:cs="Arial"/>
          <w:sz w:val="16"/>
          <w:szCs w:val="16"/>
        </w:rPr>
        <w:tab/>
        <w:t xml:space="preserve">amend the rates of withholding tax prescribed under this Ordinance; or  </w:t>
      </w:r>
    </w:p>
    <w:p w:rsidR="00BF2117" w:rsidRPr="00B71805" w:rsidRDefault="00BF2117" w:rsidP="00D5370D">
      <w:pPr>
        <w:ind w:left="1620" w:hanging="526"/>
        <w:jc w:val="both"/>
        <w:rPr>
          <w:lang w:val="en-US"/>
        </w:rPr>
      </w:pPr>
      <w:r w:rsidRPr="006C229D">
        <w:rPr>
          <w:rFonts w:cs="Arial"/>
          <w:sz w:val="16"/>
          <w:szCs w:val="16"/>
        </w:rPr>
        <w:t>(b)</w:t>
      </w:r>
      <w:r w:rsidRPr="006C229D">
        <w:rPr>
          <w:rFonts w:cs="Arial"/>
          <w:sz w:val="16"/>
          <w:szCs w:val="16"/>
        </w:rPr>
        <w:tab/>
        <w:t>exempt persons, class of persons, goods or class of goods from withholding tax under this Ordinance.</w:t>
      </w:r>
      <w:r>
        <w:rPr>
          <w:rFonts w:cs="Arial"/>
          <w:sz w:val="16"/>
          <w:szCs w:val="16"/>
        </w:rPr>
        <w:t>”</w:t>
      </w:r>
    </w:p>
  </w:footnote>
  <w:footnote w:id="1058">
    <w:p w:rsidR="00BF2117" w:rsidRDefault="00BF2117">
      <w:pPr>
        <w:pStyle w:val="FootnoteText"/>
        <w:rPr>
          <w:sz w:val="16"/>
          <w:szCs w:val="16"/>
        </w:rPr>
      </w:pPr>
      <w:r w:rsidRPr="00622A99">
        <w:rPr>
          <w:rStyle w:val="FootnoteReference"/>
          <w:sz w:val="16"/>
          <w:szCs w:val="16"/>
        </w:rPr>
        <w:footnoteRef/>
      </w:r>
      <w:r w:rsidRPr="00622A99">
        <w:rPr>
          <w:sz w:val="16"/>
          <w:szCs w:val="16"/>
        </w:rPr>
        <w:t xml:space="preserve"> O</w:t>
      </w:r>
      <w:r w:rsidRPr="00D5370D">
        <w:rPr>
          <w:sz w:val="16"/>
          <w:szCs w:val="16"/>
        </w:rPr>
        <w:t>mitted by Finance Act, 2015.</w:t>
      </w:r>
      <w:r>
        <w:rPr>
          <w:sz w:val="16"/>
          <w:szCs w:val="16"/>
        </w:rPr>
        <w:t xml:space="preserve"> The omitted sub-section (4) read as follows:-  </w:t>
      </w:r>
    </w:p>
    <w:p w:rsidR="00BF2117" w:rsidRPr="0055557B" w:rsidRDefault="00BF2117" w:rsidP="00D5370D">
      <w:pPr>
        <w:pStyle w:val="FootnoteText"/>
        <w:ind w:hanging="173"/>
        <w:jc w:val="both"/>
        <w:rPr>
          <w:lang w:val="en-US"/>
        </w:rPr>
      </w:pPr>
      <w:r>
        <w:rPr>
          <w:sz w:val="16"/>
          <w:szCs w:val="16"/>
        </w:rPr>
        <w:t>“</w:t>
      </w:r>
      <w:r w:rsidRPr="006C229D">
        <w:rPr>
          <w:rFonts w:cs="Arial"/>
          <w:sz w:val="16"/>
          <w:szCs w:val="16"/>
        </w:rPr>
        <w:t>(4)All such amendments shall have effect in respect of any tax year beginningon any date before or after the commencement of the financial year in which the notification is issued and shall not be applicable in respect of income on which tax withheld is treated as discharge of final tax liability.</w:t>
      </w:r>
    </w:p>
  </w:footnote>
  <w:footnote w:id="1059">
    <w:p w:rsidR="00BF2117" w:rsidRDefault="00BF2117" w:rsidP="00622A99">
      <w:pPr>
        <w:jc w:val="both"/>
        <w:rPr>
          <w:sz w:val="16"/>
          <w:szCs w:val="16"/>
        </w:rPr>
      </w:pPr>
      <w:r w:rsidRPr="00622A99">
        <w:rPr>
          <w:rStyle w:val="FootnoteReference"/>
          <w:sz w:val="16"/>
          <w:szCs w:val="16"/>
        </w:rPr>
        <w:footnoteRef/>
      </w:r>
      <w:r w:rsidRPr="00622A99">
        <w:rPr>
          <w:sz w:val="16"/>
          <w:szCs w:val="16"/>
        </w:rPr>
        <w:t xml:space="preserve"> O</w:t>
      </w:r>
      <w:r w:rsidRPr="00D5370D">
        <w:rPr>
          <w:sz w:val="16"/>
          <w:szCs w:val="16"/>
        </w:rPr>
        <w:t>mitted by Finance Act, 2015.</w:t>
      </w:r>
      <w:r>
        <w:rPr>
          <w:sz w:val="16"/>
          <w:szCs w:val="16"/>
        </w:rPr>
        <w:t xml:space="preserve"> The omitted sub-section (4) read as follows:-  </w:t>
      </w:r>
    </w:p>
    <w:p w:rsidR="00BF2117" w:rsidRPr="00622A99" w:rsidRDefault="00BF2117" w:rsidP="00AD0647">
      <w:pPr>
        <w:ind w:left="1634" w:hanging="540"/>
        <w:jc w:val="both"/>
        <w:rPr>
          <w:sz w:val="16"/>
          <w:szCs w:val="16"/>
          <w:lang w:val="en-US"/>
        </w:rPr>
      </w:pPr>
      <w:r>
        <w:rPr>
          <w:sz w:val="16"/>
          <w:szCs w:val="16"/>
        </w:rPr>
        <w:t>“</w:t>
      </w:r>
      <w:r w:rsidRPr="00622A99">
        <w:rPr>
          <w:rFonts w:cs="Arial"/>
          <w:sz w:val="16"/>
          <w:szCs w:val="16"/>
        </w:rPr>
        <w:t>(5)</w:t>
      </w:r>
      <w:r w:rsidRPr="00622A99">
        <w:rPr>
          <w:rFonts w:cs="Arial"/>
          <w:sz w:val="16"/>
          <w:szCs w:val="16"/>
        </w:rPr>
        <w:tab/>
        <w:t>The Board shall place all notifications issued under sub-section (3) in a financial year before both Houses of Majlis-e-Shoora (Parliament).</w:t>
      </w:r>
      <w:r>
        <w:rPr>
          <w:rFonts w:cs="Arial"/>
          <w:sz w:val="16"/>
          <w:szCs w:val="16"/>
        </w:rPr>
        <w:t>”</w:t>
      </w:r>
    </w:p>
  </w:footnote>
  <w:footnote w:id="1060">
    <w:p w:rsidR="00BF2117" w:rsidRPr="00AD0647" w:rsidRDefault="00BF2117">
      <w:pPr>
        <w:pStyle w:val="FootnoteText"/>
        <w:rPr>
          <w:lang w:val="en-US"/>
        </w:rPr>
      </w:pPr>
      <w:r>
        <w:rPr>
          <w:rStyle w:val="FootnoteReference"/>
        </w:rPr>
        <w:footnoteRef/>
      </w:r>
      <w:r w:rsidRPr="00412620">
        <w:rPr>
          <w:sz w:val="16"/>
        </w:rPr>
        <w:t>Inserted by the Finance Act, 20</w:t>
      </w:r>
      <w:r>
        <w:rPr>
          <w:sz w:val="16"/>
        </w:rPr>
        <w:t>15</w:t>
      </w:r>
    </w:p>
  </w:footnote>
  <w:footnote w:id="1061">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2002.</w:t>
      </w:r>
    </w:p>
  </w:footnote>
  <w:footnote w:id="1062">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2003.</w:t>
      </w:r>
    </w:p>
  </w:footnote>
  <w:footnote w:id="1063">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2002.</w:t>
      </w:r>
    </w:p>
  </w:footnote>
  <w:footnote w:id="1064">
    <w:p w:rsidR="00BF2117" w:rsidRPr="00412620" w:rsidRDefault="00BF2117" w:rsidP="00AF2B23">
      <w:pPr>
        <w:pStyle w:val="FootnoteText"/>
        <w:ind w:left="90" w:hanging="90"/>
        <w:jc w:val="both"/>
        <w:rPr>
          <w:sz w:val="16"/>
        </w:rPr>
      </w:pPr>
      <w:r w:rsidRPr="00412620">
        <w:rPr>
          <w:rStyle w:val="FootnoteReference"/>
          <w:rFonts w:cs="Arial"/>
          <w:sz w:val="16"/>
        </w:rPr>
        <w:footnoteRef/>
      </w:r>
      <w:r w:rsidRPr="00412620">
        <w:rPr>
          <w:sz w:val="16"/>
        </w:rPr>
        <w:t>Inserted by the Finance Act, 2003. Earlier this was inserted by S.R.O. 633(I)/2002, dated 14.09.2002 which stands rescinded by SRO 608(I)/2003, dated 24.06.2003 with effect from 01.07.2003.</w:t>
      </w:r>
    </w:p>
  </w:footnote>
  <w:footnote w:id="1065">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2003.</w:t>
      </w:r>
    </w:p>
  </w:footnote>
  <w:footnote w:id="1066">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2002.</w:t>
      </w:r>
    </w:p>
  </w:footnote>
  <w:footnote w:id="1067">
    <w:p w:rsidR="00BF2117" w:rsidRPr="00AF2B23" w:rsidRDefault="00BF2117" w:rsidP="00315BA0">
      <w:pPr>
        <w:pStyle w:val="FootnoteText"/>
        <w:ind w:left="270" w:hanging="270"/>
        <w:jc w:val="both"/>
        <w:rPr>
          <w:sz w:val="16"/>
          <w:szCs w:val="16"/>
        </w:rPr>
      </w:pPr>
      <w:r w:rsidRPr="00AF2B23">
        <w:rPr>
          <w:rStyle w:val="FootnoteReference"/>
          <w:rFonts w:cs="Arial"/>
          <w:sz w:val="16"/>
          <w:szCs w:val="16"/>
        </w:rPr>
        <w:footnoteRef/>
      </w:r>
      <w:r w:rsidRPr="00AF2B23">
        <w:rPr>
          <w:sz w:val="16"/>
          <w:szCs w:val="16"/>
        </w:rPr>
        <w:t xml:space="preserve"> Inserted by the Finance Act, 2003. Earlier this was inserted by S.R.O. 633(I)/2002, dated 14.09.2002 which stands rescinded by SRO 608(I)/2003, dated 24.06.2003 with effect from 01.07.2003.</w:t>
      </w:r>
    </w:p>
  </w:footnote>
  <w:footnote w:id="1068">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2002.</w:t>
      </w:r>
    </w:p>
  </w:footnote>
  <w:footnote w:id="1069">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2003.</w:t>
      </w:r>
    </w:p>
  </w:footnote>
  <w:footnote w:id="1070">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New sub-sections “(1A) &amp; (1B)” inserted by the Finance Act, 2002.</w:t>
      </w:r>
    </w:p>
  </w:footnote>
  <w:footnote w:id="1071">
    <w:p w:rsidR="00BF2117" w:rsidRPr="00AF2B23" w:rsidRDefault="00BF2117">
      <w:pPr>
        <w:pStyle w:val="FootnoteText"/>
        <w:rPr>
          <w:sz w:val="16"/>
          <w:szCs w:val="16"/>
          <w:lang w:val="en-US"/>
        </w:rPr>
      </w:pPr>
      <w:r w:rsidRPr="00AF2B23">
        <w:rPr>
          <w:rStyle w:val="FootnoteReference"/>
          <w:sz w:val="16"/>
          <w:szCs w:val="16"/>
        </w:rPr>
        <w:footnoteRef/>
      </w:r>
      <w:r w:rsidRPr="00AF2B23">
        <w:rPr>
          <w:sz w:val="16"/>
          <w:szCs w:val="16"/>
          <w:lang w:val="en-US"/>
        </w:rPr>
        <w:t>The words  “additional tax”  substituted by the Finance Act, 2010.</w:t>
      </w:r>
    </w:p>
  </w:footnote>
  <w:footnote w:id="1072">
    <w:p w:rsidR="00BF2117" w:rsidRPr="006A7A80" w:rsidRDefault="00BF2117">
      <w:pPr>
        <w:pStyle w:val="FootnoteText"/>
        <w:rPr>
          <w:sz w:val="16"/>
          <w:szCs w:val="16"/>
          <w:lang w:val="en-US"/>
        </w:rPr>
      </w:pPr>
      <w:r w:rsidRPr="006A7A80">
        <w:rPr>
          <w:rStyle w:val="FootnoteReference"/>
          <w:sz w:val="16"/>
          <w:szCs w:val="16"/>
        </w:rPr>
        <w:footnoteRef/>
      </w:r>
      <w:r w:rsidRPr="006A7A80">
        <w:rPr>
          <w:sz w:val="16"/>
          <w:szCs w:val="16"/>
        </w:rPr>
        <w:t xml:space="preserve"> The word “</w:t>
      </w:r>
      <w:r w:rsidRPr="006A7A80">
        <w:rPr>
          <w:rFonts w:cs="Arial"/>
          <w:sz w:val="16"/>
          <w:szCs w:val="16"/>
          <w:lang w:val="en-US"/>
        </w:rPr>
        <w:t>eighteen” substituted by Finance Act, 2015.</w:t>
      </w:r>
    </w:p>
  </w:footnote>
  <w:footnote w:id="1073">
    <w:p w:rsidR="00BF2117" w:rsidRPr="00AF2B23" w:rsidRDefault="00BF2117">
      <w:pPr>
        <w:pStyle w:val="FootnoteText"/>
        <w:jc w:val="both"/>
        <w:rPr>
          <w:sz w:val="16"/>
          <w:szCs w:val="16"/>
        </w:rPr>
      </w:pPr>
      <w:r w:rsidRPr="00AF2B23">
        <w:rPr>
          <w:rStyle w:val="FootnoteReference"/>
          <w:rFonts w:cs="Arial"/>
          <w:sz w:val="16"/>
          <w:szCs w:val="16"/>
        </w:rPr>
        <w:footnoteRef/>
      </w:r>
      <w:r w:rsidRPr="00AF2B23">
        <w:rPr>
          <w:sz w:val="16"/>
          <w:szCs w:val="16"/>
        </w:rPr>
        <w:t xml:space="preserve"> Inserted by the Finance Act, 2003.</w:t>
      </w:r>
    </w:p>
  </w:footnote>
  <w:footnote w:id="1074">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2002.</w:t>
      </w:r>
    </w:p>
  </w:footnote>
  <w:footnote w:id="1075">
    <w:p w:rsidR="00BF2117" w:rsidRPr="00AF2B23" w:rsidRDefault="00BF2117">
      <w:pPr>
        <w:pStyle w:val="FootnoteText"/>
        <w:rPr>
          <w:sz w:val="16"/>
          <w:szCs w:val="16"/>
        </w:rPr>
      </w:pPr>
      <w:r w:rsidRPr="00AF2B23">
        <w:rPr>
          <w:rStyle w:val="FootnoteReference"/>
          <w:rFonts w:cs="Arial"/>
          <w:sz w:val="16"/>
          <w:szCs w:val="16"/>
        </w:rPr>
        <w:footnoteRef/>
      </w:r>
      <w:r w:rsidRPr="00AF2B23">
        <w:rPr>
          <w:sz w:val="16"/>
          <w:szCs w:val="16"/>
        </w:rPr>
        <w:t xml:space="preserve"> Inserted by the Finance Act, 2003.</w:t>
      </w:r>
    </w:p>
  </w:footnote>
  <w:footnote w:id="1076">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2002.</w:t>
      </w:r>
    </w:p>
  </w:footnote>
  <w:footnote w:id="1077">
    <w:p w:rsidR="00BF2117" w:rsidRPr="00812FA6" w:rsidRDefault="00BF2117" w:rsidP="00D23EE4">
      <w:pPr>
        <w:pStyle w:val="FootnoteText"/>
        <w:ind w:left="180" w:hanging="180"/>
        <w:jc w:val="both"/>
        <w:rPr>
          <w:sz w:val="16"/>
          <w:szCs w:val="16"/>
          <w:lang w:val="en-US"/>
        </w:rPr>
      </w:pPr>
      <w:r w:rsidRPr="00812FA6">
        <w:rPr>
          <w:rStyle w:val="FootnoteReference"/>
          <w:sz w:val="16"/>
          <w:szCs w:val="16"/>
        </w:rPr>
        <w:footnoteRef/>
      </w:r>
      <w:r w:rsidRPr="00812FA6">
        <w:rPr>
          <w:sz w:val="16"/>
          <w:szCs w:val="16"/>
          <w:lang w:val="en-US"/>
        </w:rPr>
        <w:t>The words  “additional tax”  substituted by the Finance Act, 2010.</w:t>
      </w:r>
      <w:r w:rsidRPr="00812FA6">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078">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2002.</w:t>
      </w:r>
    </w:p>
  </w:footnote>
  <w:footnote w:id="1079">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2003.</w:t>
      </w:r>
    </w:p>
  </w:footnote>
  <w:footnote w:id="1080">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rPr>
        <w:t xml:space="preserve"> Inserted by the Finance Act, 2009.</w:t>
      </w:r>
    </w:p>
  </w:footnote>
  <w:footnote w:id="1081">
    <w:p w:rsidR="00BF2117" w:rsidRPr="00812FA6" w:rsidRDefault="00BF2117">
      <w:pPr>
        <w:pStyle w:val="FootnoteText"/>
        <w:ind w:left="180" w:hanging="180"/>
        <w:jc w:val="both"/>
        <w:rPr>
          <w:sz w:val="16"/>
          <w:szCs w:val="16"/>
        </w:rPr>
      </w:pPr>
      <w:r w:rsidRPr="00812FA6">
        <w:rPr>
          <w:rStyle w:val="FootnoteReference"/>
          <w:rFonts w:cs="Arial"/>
          <w:sz w:val="16"/>
          <w:szCs w:val="16"/>
        </w:rPr>
        <w:footnoteRef/>
      </w:r>
      <w:r w:rsidRPr="00812FA6">
        <w:rPr>
          <w:sz w:val="16"/>
          <w:szCs w:val="16"/>
        </w:rPr>
        <w:t xml:space="preserve"> The words “pass an order to that effect and” omitted by the Finance Act, 2004. </w:t>
      </w:r>
    </w:p>
  </w:footnote>
  <w:footnote w:id="1082">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lang w:val="en-US"/>
        </w:rPr>
        <w:t xml:space="preserve">The words “any certificate” substituted by the Finance Act, 2009. </w:t>
      </w:r>
    </w:p>
  </w:footnote>
  <w:footnote w:id="1083">
    <w:p w:rsidR="00BF2117" w:rsidRPr="00812FA6" w:rsidRDefault="00BF2117" w:rsidP="00E30435">
      <w:pPr>
        <w:pStyle w:val="FootnoteText"/>
        <w:ind w:left="180" w:hanging="180"/>
        <w:rPr>
          <w:sz w:val="16"/>
          <w:szCs w:val="16"/>
          <w:lang w:val="en-US"/>
        </w:rPr>
      </w:pPr>
      <w:r w:rsidRPr="00812FA6">
        <w:rPr>
          <w:rStyle w:val="FootnoteReference"/>
          <w:sz w:val="16"/>
          <w:szCs w:val="16"/>
        </w:rPr>
        <w:footnoteRef/>
      </w:r>
      <w:r w:rsidRPr="00812FA6">
        <w:rPr>
          <w:sz w:val="16"/>
          <w:szCs w:val="16"/>
        </w:rPr>
        <w:t xml:space="preserve"> The words and figure “and such certificate shall be treated as sufficient evidence of the collection or deduction for the purposes of section 168”.</w:t>
      </w:r>
    </w:p>
  </w:footnote>
  <w:footnote w:id="1084">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2003.</w:t>
      </w:r>
    </w:p>
  </w:footnote>
  <w:footnote w:id="1085">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2002.</w:t>
      </w:r>
    </w:p>
  </w:footnote>
  <w:footnote w:id="1086">
    <w:p w:rsidR="00BF2117" w:rsidRPr="00812FA6" w:rsidRDefault="00BF2117" w:rsidP="003A01CC">
      <w:pPr>
        <w:pStyle w:val="FootnoteText"/>
        <w:ind w:left="180" w:hanging="180"/>
        <w:rPr>
          <w:sz w:val="16"/>
          <w:szCs w:val="16"/>
          <w:lang w:val="en-US"/>
        </w:rPr>
      </w:pPr>
      <w:r w:rsidRPr="00812FA6">
        <w:rPr>
          <w:rStyle w:val="FootnoteReference"/>
          <w:sz w:val="16"/>
          <w:szCs w:val="16"/>
        </w:rPr>
        <w:footnoteRef/>
      </w:r>
      <w:r w:rsidRPr="00812FA6">
        <w:rPr>
          <w:sz w:val="16"/>
          <w:szCs w:val="16"/>
          <w:lang w:val="en-US"/>
        </w:rPr>
        <w:t>The words  “within two months after the end of the financial year or within such further time as the Commissioner may allow by order in writing, ”  omitted by the Finance Act, 2010.</w:t>
      </w:r>
    </w:p>
  </w:footnote>
  <w:footnote w:id="1087">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rPr>
        <w:t xml:space="preserve">  Inserted by the Finance Act, 2011.</w:t>
      </w:r>
    </w:p>
  </w:footnote>
  <w:footnote w:id="1088">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rPr>
        <w:t xml:space="preserve"> Inserted by the Finance Act, 2011.</w:t>
      </w:r>
    </w:p>
  </w:footnote>
  <w:footnote w:id="1089">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2003.</w:t>
      </w:r>
    </w:p>
  </w:footnote>
  <w:footnote w:id="1090">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2002.</w:t>
      </w:r>
    </w:p>
  </w:footnote>
  <w:footnote w:id="1091">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lang w:val="en-US"/>
        </w:rPr>
        <w:t>The words  “the year” substituted by the Finance Act, 2010.</w:t>
      </w:r>
    </w:p>
  </w:footnote>
  <w:footnote w:id="1092">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rPr>
        <w:t xml:space="preserve"> The word “quarter” substituted by the Finance Act, 2011.</w:t>
      </w:r>
    </w:p>
  </w:footnote>
  <w:footnote w:id="1093">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2002.</w:t>
      </w:r>
    </w:p>
  </w:footnote>
  <w:footnote w:id="1094">
    <w:p w:rsidR="00BF2117" w:rsidRPr="00812FA6" w:rsidRDefault="00BF2117" w:rsidP="00F8697B">
      <w:pPr>
        <w:pStyle w:val="FootnoteText"/>
        <w:rPr>
          <w:sz w:val="16"/>
          <w:szCs w:val="16"/>
          <w:lang w:val="en-US"/>
        </w:rPr>
      </w:pPr>
      <w:r w:rsidRPr="00812FA6">
        <w:rPr>
          <w:rStyle w:val="FootnoteReference"/>
          <w:sz w:val="16"/>
          <w:szCs w:val="16"/>
        </w:rPr>
        <w:footnoteRef/>
      </w:r>
      <w:r w:rsidRPr="00812FA6">
        <w:rPr>
          <w:sz w:val="16"/>
          <w:szCs w:val="16"/>
          <w:lang w:val="en-US"/>
        </w:rPr>
        <w:t>The words  “the year” substituted by the Finance Act, 2010.</w:t>
      </w:r>
    </w:p>
  </w:footnote>
  <w:footnote w:id="1095">
    <w:p w:rsidR="00BF2117" w:rsidRPr="00812FA6" w:rsidRDefault="00BF2117" w:rsidP="006B77B0">
      <w:pPr>
        <w:pStyle w:val="FootnoteText"/>
        <w:rPr>
          <w:sz w:val="16"/>
          <w:szCs w:val="16"/>
          <w:lang w:val="en-US"/>
        </w:rPr>
      </w:pPr>
      <w:r w:rsidRPr="00812FA6">
        <w:rPr>
          <w:rStyle w:val="FootnoteReference"/>
          <w:sz w:val="16"/>
          <w:szCs w:val="16"/>
        </w:rPr>
        <w:footnoteRef/>
      </w:r>
      <w:r w:rsidRPr="00812FA6">
        <w:rPr>
          <w:sz w:val="16"/>
          <w:szCs w:val="16"/>
        </w:rPr>
        <w:t xml:space="preserve"> The word “quarter” substituted by the Finance Act, 2011.</w:t>
      </w:r>
    </w:p>
  </w:footnote>
  <w:footnote w:id="1096">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2003.</w:t>
      </w:r>
    </w:p>
  </w:footnote>
  <w:footnote w:id="1097">
    <w:p w:rsidR="00BF2117" w:rsidRPr="00812FA6" w:rsidRDefault="00BF2117">
      <w:pPr>
        <w:pStyle w:val="FootnoteText"/>
        <w:rPr>
          <w:sz w:val="16"/>
          <w:szCs w:val="16"/>
        </w:rPr>
      </w:pPr>
      <w:r w:rsidRPr="00812FA6">
        <w:rPr>
          <w:rStyle w:val="FootnoteReference"/>
          <w:rFonts w:cs="Arial"/>
          <w:sz w:val="16"/>
          <w:szCs w:val="16"/>
        </w:rPr>
        <w:footnoteRef/>
      </w:r>
      <w:r w:rsidRPr="00812FA6">
        <w:rPr>
          <w:sz w:val="16"/>
          <w:szCs w:val="16"/>
        </w:rPr>
        <w:t xml:space="preserve"> Inserted by the Finance Act, 2002.</w:t>
      </w:r>
    </w:p>
  </w:footnote>
  <w:footnote w:id="1098">
    <w:p w:rsidR="00BF2117" w:rsidRPr="00812FA6" w:rsidRDefault="00BF2117" w:rsidP="00F8697B">
      <w:pPr>
        <w:pStyle w:val="FootnoteText"/>
        <w:rPr>
          <w:sz w:val="16"/>
          <w:szCs w:val="16"/>
          <w:lang w:val="en-US"/>
        </w:rPr>
      </w:pPr>
      <w:r w:rsidRPr="00812FA6">
        <w:rPr>
          <w:rStyle w:val="FootnoteReference"/>
          <w:sz w:val="16"/>
          <w:szCs w:val="16"/>
        </w:rPr>
        <w:footnoteRef/>
      </w:r>
      <w:r w:rsidRPr="00812FA6">
        <w:rPr>
          <w:sz w:val="16"/>
          <w:szCs w:val="16"/>
          <w:lang w:val="en-US"/>
        </w:rPr>
        <w:t>The words  “the year” substituted by the Finance Act, 2010.</w:t>
      </w:r>
    </w:p>
  </w:footnote>
  <w:footnote w:id="1099">
    <w:p w:rsidR="00BF2117" w:rsidRPr="00812FA6" w:rsidRDefault="00BF2117" w:rsidP="000017D7">
      <w:pPr>
        <w:pStyle w:val="FootnoteText"/>
        <w:rPr>
          <w:sz w:val="16"/>
          <w:szCs w:val="16"/>
          <w:lang w:val="en-US"/>
        </w:rPr>
      </w:pPr>
      <w:r w:rsidRPr="00812FA6">
        <w:rPr>
          <w:rStyle w:val="FootnoteReference"/>
          <w:sz w:val="16"/>
          <w:szCs w:val="16"/>
        </w:rPr>
        <w:footnoteRef/>
      </w:r>
      <w:r w:rsidRPr="00812FA6">
        <w:rPr>
          <w:sz w:val="16"/>
          <w:szCs w:val="16"/>
        </w:rPr>
        <w:t xml:space="preserve"> The word “quarter” substituted by the Finance Act, 2011.</w:t>
      </w:r>
    </w:p>
  </w:footnote>
  <w:footnote w:id="1100">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lang w:val="en-US"/>
        </w:rPr>
        <w:t>Full stop substituted by the Finance Act, 2010.</w:t>
      </w:r>
    </w:p>
  </w:footnote>
  <w:footnote w:id="1101">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lang w:val="en-US"/>
        </w:rPr>
        <w:t>Inserted by the Finance Act, 2010.</w:t>
      </w:r>
    </w:p>
  </w:footnote>
  <w:footnote w:id="1102">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rPr>
        <w:t xml:space="preserve"> Added by the Finance Act, 2013. </w:t>
      </w:r>
    </w:p>
  </w:footnote>
  <w:footnote w:id="1103">
    <w:p w:rsidR="00BF2117" w:rsidRPr="00812FA6" w:rsidRDefault="00BF2117" w:rsidP="00C73AE1">
      <w:pPr>
        <w:pStyle w:val="FootnoteText"/>
        <w:ind w:left="90" w:hanging="90"/>
        <w:rPr>
          <w:rFonts w:cs="Arial"/>
          <w:sz w:val="16"/>
          <w:szCs w:val="16"/>
        </w:rPr>
      </w:pPr>
      <w:r w:rsidRPr="00812FA6">
        <w:rPr>
          <w:rStyle w:val="FootnoteReference"/>
          <w:sz w:val="16"/>
          <w:szCs w:val="16"/>
        </w:rPr>
        <w:footnoteRef/>
      </w:r>
      <w:r w:rsidRPr="00812FA6">
        <w:rPr>
          <w:rFonts w:cs="Arial"/>
          <w:sz w:val="16"/>
          <w:szCs w:val="16"/>
        </w:rPr>
        <w:t>Sub-section (2) substituted by the Finance Act, 2011. The substituted sub-section (2) read as follows:</w:t>
      </w:r>
    </w:p>
    <w:p w:rsidR="00BF2117" w:rsidRPr="00812FA6" w:rsidRDefault="00BF2117" w:rsidP="00C73AE1">
      <w:pPr>
        <w:ind w:left="90" w:firstLine="457"/>
        <w:jc w:val="both"/>
        <w:rPr>
          <w:rFonts w:cs="Arial"/>
          <w:sz w:val="16"/>
          <w:szCs w:val="16"/>
        </w:rPr>
      </w:pPr>
      <w:r w:rsidRPr="00812FA6">
        <w:rPr>
          <w:rFonts w:cs="Arial"/>
          <w:sz w:val="16"/>
          <w:szCs w:val="16"/>
        </w:rPr>
        <w:t xml:space="preserve">“(2) </w:t>
      </w:r>
      <w:r w:rsidRPr="00812FA6">
        <w:rPr>
          <w:rFonts w:cs="Arial"/>
          <w:sz w:val="16"/>
          <w:szCs w:val="16"/>
        </w:rPr>
        <w:tab/>
        <w:t>Every prescribed person collecting tax under Division II of this Part or Chapter XII or deducting tax under Division III of this Part or Chapter XII shall furnish statements under sub-section (1) as per the following schedule, namely:—</w:t>
      </w:r>
    </w:p>
    <w:p w:rsidR="00BF2117" w:rsidRPr="00812FA6" w:rsidRDefault="00BF2117" w:rsidP="00C73AE1">
      <w:pPr>
        <w:jc w:val="both"/>
        <w:rPr>
          <w:rFonts w:cs="Arial"/>
          <w:sz w:val="16"/>
          <w:szCs w:val="16"/>
        </w:rPr>
      </w:pPr>
      <w:r w:rsidRPr="00812FA6">
        <w:rPr>
          <w:rFonts w:cs="Arial"/>
          <w:sz w:val="16"/>
          <w:szCs w:val="16"/>
        </w:rPr>
        <w:tab/>
      </w:r>
      <w:r w:rsidRPr="00812FA6">
        <w:rPr>
          <w:rFonts w:cs="Arial"/>
          <w:sz w:val="16"/>
          <w:szCs w:val="16"/>
        </w:rPr>
        <w:tab/>
        <w:t xml:space="preserve">(a) </w:t>
      </w:r>
      <w:r w:rsidRPr="00812FA6">
        <w:rPr>
          <w:rFonts w:cs="Arial"/>
          <w:sz w:val="16"/>
          <w:szCs w:val="16"/>
        </w:rPr>
        <w:tab/>
        <w:t>in respect of the September quarter, on or before the 20</w:t>
      </w:r>
      <w:r w:rsidRPr="00812FA6">
        <w:rPr>
          <w:rFonts w:cs="Arial"/>
          <w:sz w:val="16"/>
          <w:szCs w:val="16"/>
          <w:vertAlign w:val="superscript"/>
        </w:rPr>
        <w:t>th</w:t>
      </w:r>
      <w:r w:rsidRPr="00812FA6">
        <w:rPr>
          <w:rFonts w:cs="Arial"/>
          <w:sz w:val="16"/>
          <w:szCs w:val="16"/>
        </w:rPr>
        <w:t xml:space="preserve"> day </w:t>
      </w:r>
      <w:r w:rsidRPr="00812FA6">
        <w:rPr>
          <w:rFonts w:cs="Arial"/>
          <w:sz w:val="16"/>
          <w:szCs w:val="16"/>
        </w:rPr>
        <w:tab/>
      </w:r>
      <w:r w:rsidRPr="00812FA6">
        <w:rPr>
          <w:rFonts w:cs="Arial"/>
          <w:sz w:val="16"/>
          <w:szCs w:val="16"/>
        </w:rPr>
        <w:tab/>
      </w:r>
      <w:r w:rsidRPr="00812FA6">
        <w:rPr>
          <w:rFonts w:cs="Arial"/>
          <w:sz w:val="16"/>
          <w:szCs w:val="16"/>
        </w:rPr>
        <w:tab/>
      </w:r>
      <w:r w:rsidRPr="00812FA6">
        <w:rPr>
          <w:rFonts w:cs="Arial"/>
          <w:sz w:val="16"/>
          <w:szCs w:val="16"/>
        </w:rPr>
        <w:tab/>
      </w:r>
      <w:r w:rsidRPr="00812FA6">
        <w:rPr>
          <w:rFonts w:cs="Arial"/>
          <w:sz w:val="16"/>
          <w:szCs w:val="16"/>
        </w:rPr>
        <w:tab/>
        <w:t>of October;</w:t>
      </w:r>
    </w:p>
    <w:p w:rsidR="00BF2117" w:rsidRPr="00812FA6" w:rsidRDefault="00BF2117" w:rsidP="00C73AE1">
      <w:pPr>
        <w:ind w:left="1641" w:hanging="546"/>
        <w:jc w:val="both"/>
        <w:rPr>
          <w:rFonts w:cs="Arial"/>
          <w:sz w:val="16"/>
          <w:szCs w:val="16"/>
        </w:rPr>
      </w:pPr>
      <w:r w:rsidRPr="00812FA6">
        <w:rPr>
          <w:rFonts w:cs="Arial"/>
          <w:sz w:val="16"/>
          <w:szCs w:val="16"/>
        </w:rPr>
        <w:t xml:space="preserve">(b) </w:t>
      </w:r>
      <w:r w:rsidRPr="00812FA6">
        <w:rPr>
          <w:rFonts w:cs="Arial"/>
          <w:sz w:val="16"/>
          <w:szCs w:val="16"/>
        </w:rPr>
        <w:tab/>
        <w:t>in respect of the December quarter, on or before the 20</w:t>
      </w:r>
      <w:r w:rsidRPr="00812FA6">
        <w:rPr>
          <w:rFonts w:cs="Arial"/>
          <w:sz w:val="16"/>
          <w:szCs w:val="16"/>
          <w:vertAlign w:val="superscript"/>
        </w:rPr>
        <w:t>th</w:t>
      </w:r>
      <w:r w:rsidRPr="00812FA6">
        <w:rPr>
          <w:rFonts w:cs="Arial"/>
          <w:sz w:val="16"/>
          <w:szCs w:val="16"/>
        </w:rPr>
        <w:t xml:space="preserve"> day of January;</w:t>
      </w:r>
    </w:p>
    <w:p w:rsidR="00BF2117" w:rsidRPr="00812FA6" w:rsidRDefault="00BF2117" w:rsidP="00C73AE1">
      <w:pPr>
        <w:ind w:left="1641" w:hanging="546"/>
        <w:jc w:val="both"/>
        <w:rPr>
          <w:rFonts w:cs="Arial"/>
          <w:sz w:val="16"/>
          <w:szCs w:val="16"/>
        </w:rPr>
      </w:pPr>
      <w:r w:rsidRPr="00812FA6">
        <w:rPr>
          <w:rFonts w:cs="Arial"/>
          <w:sz w:val="16"/>
          <w:szCs w:val="16"/>
        </w:rPr>
        <w:t>(c)</w:t>
      </w:r>
      <w:r w:rsidRPr="00812FA6">
        <w:rPr>
          <w:rFonts w:cs="Arial"/>
          <w:sz w:val="16"/>
          <w:szCs w:val="16"/>
        </w:rPr>
        <w:tab/>
        <w:t>in respect of the March quarter, on or before the 20th day of April; and</w:t>
      </w:r>
    </w:p>
    <w:p w:rsidR="00BF2117" w:rsidRPr="00812FA6" w:rsidRDefault="00BF2117" w:rsidP="00C73AE1">
      <w:pPr>
        <w:ind w:left="1641" w:hanging="546"/>
        <w:jc w:val="both"/>
        <w:rPr>
          <w:rFonts w:cs="Arial"/>
          <w:sz w:val="16"/>
          <w:szCs w:val="16"/>
        </w:rPr>
      </w:pPr>
      <w:r w:rsidRPr="00812FA6">
        <w:rPr>
          <w:sz w:val="16"/>
          <w:szCs w:val="16"/>
        </w:rPr>
        <w:t>(d)</w:t>
      </w:r>
      <w:r w:rsidRPr="00812FA6">
        <w:rPr>
          <w:sz w:val="16"/>
          <w:szCs w:val="16"/>
        </w:rPr>
        <w:tab/>
        <w:t>in respect of the June quarter, on or before the 20</w:t>
      </w:r>
      <w:r w:rsidRPr="00812FA6">
        <w:rPr>
          <w:sz w:val="16"/>
          <w:szCs w:val="16"/>
          <w:vertAlign w:val="superscript"/>
        </w:rPr>
        <w:t>th</w:t>
      </w:r>
      <w:r w:rsidRPr="00812FA6">
        <w:rPr>
          <w:sz w:val="16"/>
          <w:szCs w:val="16"/>
        </w:rPr>
        <w:t xml:space="preserve"> day of July.”</w:t>
      </w:r>
    </w:p>
  </w:footnote>
  <w:footnote w:id="1104">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lang w:val="en-US"/>
        </w:rPr>
        <w:t>Inserted by the Finance Act, 2006.</w:t>
      </w:r>
    </w:p>
  </w:footnote>
  <w:footnote w:id="1105">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rPr>
        <w:t xml:space="preserve"> The words “Central Board of Revenue” substituted by the Finance Act, 2007.</w:t>
      </w:r>
    </w:p>
  </w:footnote>
  <w:footnote w:id="1106">
    <w:p w:rsidR="00BF2117" w:rsidRPr="00812FA6" w:rsidRDefault="00BF2117">
      <w:pPr>
        <w:pStyle w:val="FootnoteText"/>
        <w:rPr>
          <w:sz w:val="16"/>
          <w:szCs w:val="16"/>
          <w:lang w:val="en-US"/>
        </w:rPr>
      </w:pPr>
      <w:r w:rsidRPr="00812FA6">
        <w:rPr>
          <w:rStyle w:val="FootnoteReference"/>
          <w:sz w:val="16"/>
          <w:szCs w:val="16"/>
        </w:rPr>
        <w:footnoteRef/>
      </w:r>
      <w:r w:rsidRPr="00812FA6">
        <w:rPr>
          <w:rFonts w:cs="Arial"/>
          <w:sz w:val="16"/>
          <w:szCs w:val="16"/>
        </w:rPr>
        <w:t>The word “periodically” omitted by the Finance Act, 2011.</w:t>
      </w:r>
    </w:p>
  </w:footnote>
  <w:footnote w:id="1107">
    <w:p w:rsidR="00BF2117" w:rsidRPr="00812FA6" w:rsidRDefault="00BF2117">
      <w:pPr>
        <w:pStyle w:val="FootnoteText"/>
        <w:rPr>
          <w:sz w:val="16"/>
          <w:szCs w:val="16"/>
          <w:lang w:val="en-US"/>
        </w:rPr>
      </w:pPr>
      <w:r w:rsidRPr="00812FA6">
        <w:rPr>
          <w:rStyle w:val="FootnoteReference"/>
          <w:sz w:val="16"/>
          <w:szCs w:val="16"/>
        </w:rPr>
        <w:footnoteRef/>
      </w:r>
      <w:r w:rsidRPr="00812FA6">
        <w:rPr>
          <w:rFonts w:cs="Arial"/>
          <w:sz w:val="16"/>
          <w:szCs w:val="16"/>
        </w:rPr>
        <w:t>Colon substituted by the Finance Act, 2011.</w:t>
      </w:r>
    </w:p>
  </w:footnote>
  <w:footnote w:id="1108">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lang w:val="en-US"/>
        </w:rPr>
        <w:t>Inserted by the Finance Act, 2006.</w:t>
      </w:r>
    </w:p>
  </w:footnote>
  <w:footnote w:id="1109">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lang w:val="en-US"/>
        </w:rPr>
        <w:t>The figure “(2)” substituted by the Finance Act, 2010.</w:t>
      </w:r>
    </w:p>
  </w:footnote>
  <w:footnote w:id="1110">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lang w:val="en-US"/>
        </w:rPr>
        <w:t>Inserted by the Finance Act, 2006.</w:t>
      </w:r>
    </w:p>
  </w:footnote>
  <w:footnote w:id="1111">
    <w:p w:rsidR="00BF2117" w:rsidRPr="00812FA6" w:rsidRDefault="00BF2117">
      <w:pPr>
        <w:pStyle w:val="FootnoteText"/>
        <w:rPr>
          <w:sz w:val="16"/>
          <w:szCs w:val="16"/>
          <w:lang w:val="en-US"/>
        </w:rPr>
      </w:pPr>
      <w:r w:rsidRPr="00812FA6">
        <w:rPr>
          <w:rStyle w:val="FootnoteReference"/>
          <w:sz w:val="16"/>
          <w:szCs w:val="16"/>
        </w:rPr>
        <w:footnoteRef/>
      </w:r>
      <w:r w:rsidRPr="00812FA6">
        <w:rPr>
          <w:rFonts w:cs="Arial"/>
          <w:sz w:val="16"/>
          <w:szCs w:val="16"/>
        </w:rPr>
        <w:t>Added by the Finance Act, 2011.</w:t>
      </w:r>
    </w:p>
  </w:footnote>
  <w:footnote w:id="1112">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rPr>
        <w:t xml:space="preserve"> Semi-colon substituted by the Finance Act, 2013. </w:t>
      </w:r>
    </w:p>
  </w:footnote>
  <w:footnote w:id="1113">
    <w:p w:rsidR="00BF2117" w:rsidRPr="00812FA6" w:rsidRDefault="00BF2117">
      <w:pPr>
        <w:pStyle w:val="FootnoteText"/>
        <w:rPr>
          <w:sz w:val="16"/>
          <w:szCs w:val="16"/>
        </w:rPr>
      </w:pPr>
      <w:r w:rsidRPr="00812FA6">
        <w:rPr>
          <w:rStyle w:val="FootnoteReference"/>
          <w:sz w:val="16"/>
          <w:szCs w:val="16"/>
        </w:rPr>
        <w:footnoteRef/>
      </w:r>
      <w:r w:rsidRPr="00812FA6">
        <w:rPr>
          <w:sz w:val="16"/>
          <w:szCs w:val="16"/>
        </w:rPr>
        <w:t xml:space="preserve"> Proviso omitted by the Finance Act, 2013. The omitted proviso read as follows:</w:t>
      </w:r>
    </w:p>
    <w:p w:rsidR="00BF2117" w:rsidRPr="00412620" w:rsidRDefault="00BF2117" w:rsidP="00297C01">
      <w:pPr>
        <w:ind w:left="1094" w:firstLine="541"/>
        <w:jc w:val="both"/>
        <w:rPr>
          <w:rFonts w:cs="Arial"/>
          <w:sz w:val="16"/>
          <w:szCs w:val="16"/>
        </w:rPr>
      </w:pPr>
      <w:r w:rsidRPr="00412620">
        <w:rPr>
          <w:sz w:val="16"/>
          <w:szCs w:val="16"/>
        </w:rPr>
        <w:t>“</w:t>
      </w:r>
      <w:r w:rsidRPr="00412620">
        <w:rPr>
          <w:rFonts w:cs="Arial"/>
          <w:sz w:val="16"/>
          <w:szCs w:val="16"/>
        </w:rPr>
        <w:t>Provided that annual statement shall also be filed where the income exceeds three hundred thousand rupees but does not exceed three hundred and fifty thousand rupees in a tax year.”</w:t>
      </w:r>
    </w:p>
    <w:p w:rsidR="00BF2117" w:rsidRPr="00412620" w:rsidRDefault="00BF2117">
      <w:pPr>
        <w:pStyle w:val="FootnoteText"/>
        <w:rPr>
          <w:sz w:val="16"/>
          <w:szCs w:val="16"/>
          <w:lang w:val="en-US"/>
        </w:rPr>
      </w:pPr>
    </w:p>
  </w:footnote>
  <w:footnote w:id="1114">
    <w:p w:rsidR="00BF2117" w:rsidRPr="00812FA6" w:rsidRDefault="00BF2117">
      <w:pPr>
        <w:pStyle w:val="FootnoteText"/>
        <w:rPr>
          <w:sz w:val="16"/>
          <w:szCs w:val="16"/>
          <w:lang w:val="en-US"/>
        </w:rPr>
      </w:pPr>
      <w:r w:rsidRPr="00812FA6">
        <w:rPr>
          <w:rStyle w:val="FootnoteReference"/>
          <w:sz w:val="16"/>
          <w:szCs w:val="16"/>
        </w:rPr>
        <w:footnoteRef/>
      </w:r>
      <w:r w:rsidRPr="00812FA6">
        <w:rPr>
          <w:sz w:val="16"/>
          <w:szCs w:val="16"/>
        </w:rPr>
        <w:t xml:space="preserve"> Added by the Finance Act, 2013.</w:t>
      </w:r>
    </w:p>
  </w:footnote>
  <w:footnote w:id="1115">
    <w:p w:rsidR="00BF2117" w:rsidRPr="006479E5" w:rsidRDefault="00BF2117">
      <w:pPr>
        <w:pStyle w:val="FootnoteText"/>
        <w:rPr>
          <w:sz w:val="16"/>
          <w:szCs w:val="16"/>
          <w:lang w:val="en-US"/>
        </w:rPr>
      </w:pPr>
      <w:r w:rsidRPr="006479E5">
        <w:rPr>
          <w:rStyle w:val="FootnoteReference"/>
          <w:sz w:val="16"/>
          <w:szCs w:val="16"/>
        </w:rPr>
        <w:footnoteRef/>
      </w:r>
      <w:r w:rsidRPr="00412620">
        <w:rPr>
          <w:sz w:val="16"/>
        </w:rPr>
        <w:t>Inserted by the Finance Act, 20</w:t>
      </w:r>
      <w:r>
        <w:rPr>
          <w:sz w:val="16"/>
        </w:rPr>
        <w:t>15.</w:t>
      </w:r>
    </w:p>
  </w:footnote>
  <w:footnote w:id="1116">
    <w:p w:rsidR="00BF2117" w:rsidRPr="00F55609" w:rsidRDefault="00BF2117">
      <w:pPr>
        <w:pStyle w:val="FootnoteText"/>
        <w:rPr>
          <w:color w:val="0070C0"/>
          <w:sz w:val="16"/>
          <w:szCs w:val="16"/>
          <w:lang w:val="en-US"/>
        </w:rPr>
      </w:pPr>
      <w:r w:rsidRPr="00F55609">
        <w:rPr>
          <w:rStyle w:val="FootnoteReference"/>
          <w:color w:val="0070C0"/>
        </w:rPr>
        <w:footnoteRef/>
      </w:r>
      <w:r w:rsidRPr="00F55609">
        <w:rPr>
          <w:color w:val="0070C0"/>
        </w:rPr>
        <w:t xml:space="preserve"> </w:t>
      </w:r>
      <w:r w:rsidRPr="00F55609">
        <w:rPr>
          <w:color w:val="0070C0"/>
          <w:sz w:val="16"/>
          <w:szCs w:val="16"/>
        </w:rPr>
        <w:t>The word and figure “Subject to section 216, all” substituted by the Finance Act, 2016.</w:t>
      </w:r>
    </w:p>
  </w:footnote>
  <w:footnote w:id="1117">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118">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1119">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120">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words “tax under Division II of this Part” omitted by the Finance Act, 2003.</w:t>
      </w:r>
    </w:p>
  </w:footnote>
  <w:footnote w:id="1121">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1122">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123">
    <w:p w:rsidR="00BF2117" w:rsidRPr="00412620" w:rsidRDefault="00BF2117" w:rsidP="00883D33">
      <w:pPr>
        <w:pStyle w:val="FootnoteText"/>
        <w:keepNext/>
        <w:rPr>
          <w:rFonts w:cs="Arial"/>
          <w:sz w:val="16"/>
        </w:rPr>
      </w:pPr>
      <w:r w:rsidRPr="00412620">
        <w:rPr>
          <w:rStyle w:val="FootnoteReference"/>
          <w:rFonts w:cs="Arial"/>
          <w:sz w:val="16"/>
        </w:rPr>
        <w:footnoteRef/>
      </w:r>
      <w:r w:rsidRPr="00412620">
        <w:rPr>
          <w:sz w:val="16"/>
        </w:rPr>
        <w:t xml:space="preserve"> Substituted for the words, figure and comma “Division II, Division III” by the Finance Act, 2003.</w:t>
      </w:r>
    </w:p>
  </w:footnote>
  <w:footnote w:id="112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112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1126">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127">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1128">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129">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1130">
    <w:p w:rsidR="00BF2117" w:rsidRPr="00412620" w:rsidRDefault="00BF2117" w:rsidP="00F32BD7">
      <w:pPr>
        <w:pStyle w:val="FootnoteText"/>
        <w:ind w:left="180" w:hanging="180"/>
        <w:rPr>
          <w:rFonts w:cs="Arial"/>
          <w:sz w:val="16"/>
          <w:szCs w:val="16"/>
        </w:rPr>
      </w:pPr>
      <w:r w:rsidRPr="00412620">
        <w:rPr>
          <w:rStyle w:val="FootnoteReference"/>
        </w:rPr>
        <w:footnoteRef/>
      </w:r>
      <w:r w:rsidRPr="00412620">
        <w:rPr>
          <w:rFonts w:cs="Arial"/>
          <w:sz w:val="16"/>
          <w:szCs w:val="16"/>
        </w:rPr>
        <w:t>Sub-section (3) substituted by the Finance Act, 2011. The substituted sub-section (3) read as follows:</w:t>
      </w:r>
    </w:p>
    <w:p w:rsidR="00BF2117" w:rsidRPr="00412620" w:rsidRDefault="00BF2117" w:rsidP="00FB5279">
      <w:pPr>
        <w:pStyle w:val="FootnoteText"/>
        <w:ind w:left="180" w:hanging="180"/>
        <w:jc w:val="both"/>
        <w:rPr>
          <w:sz w:val="16"/>
          <w:szCs w:val="16"/>
          <w:lang w:val="en-US"/>
        </w:rPr>
      </w:pPr>
      <w:r w:rsidRPr="00412620">
        <w:rPr>
          <w:rFonts w:cs="Arial"/>
          <w:sz w:val="16"/>
          <w:szCs w:val="16"/>
        </w:rPr>
        <w:tab/>
      </w:r>
      <w:r w:rsidRPr="00412620">
        <w:rPr>
          <w:rFonts w:cs="Arial"/>
          <w:sz w:val="16"/>
          <w:szCs w:val="16"/>
        </w:rPr>
        <w:tab/>
        <w:t>“(3)</w:t>
      </w:r>
      <w:r w:rsidRPr="00412620">
        <w:rPr>
          <w:rFonts w:cs="Arial"/>
          <w:sz w:val="16"/>
          <w:szCs w:val="16"/>
        </w:rPr>
        <w:tab/>
        <w:t>No tax credit shall be allowed for any tax collected or deducted that is a final tax under clauses (a), (b) and (d) of sub-section (1) of section 151, sub-section (1B) of section 152,  sub-section (6)] of section 153, sub-section (4) of section 154, section 155 sub-section (3) of section 156, sub-section (2) of section 156A, section 233, clauses (a) and (b) of sub-section (1) of section 233A or sub-section (5) of section 234 or section 234A.</w:t>
      </w:r>
    </w:p>
  </w:footnote>
  <w:footnote w:id="1131">
    <w:p w:rsidR="00BF2117" w:rsidRPr="00412620" w:rsidRDefault="00BF2117">
      <w:pPr>
        <w:pStyle w:val="FootnoteText"/>
        <w:rPr>
          <w:sz w:val="16"/>
          <w:szCs w:val="16"/>
          <w:lang w:val="en-US"/>
        </w:rPr>
      </w:pPr>
      <w:r w:rsidRPr="00412620">
        <w:rPr>
          <w:rStyle w:val="FootnoteReference"/>
        </w:rPr>
        <w:footnoteRef/>
      </w:r>
      <w:r w:rsidRPr="00412620">
        <w:rPr>
          <w:sz w:val="16"/>
          <w:szCs w:val="16"/>
        </w:rPr>
        <w:t>The words, comma and brackets “clauses (a), (c) and (d) of” omitted by the Finance Act, 2013.</w:t>
      </w:r>
    </w:p>
  </w:footnote>
  <w:footnote w:id="1132">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2013.</w:t>
      </w:r>
    </w:p>
  </w:footnote>
  <w:footnote w:id="1133">
    <w:p w:rsidR="00BF2117" w:rsidRPr="00412620" w:rsidRDefault="00BF2117">
      <w:pPr>
        <w:pStyle w:val="FootnoteText"/>
        <w:rPr>
          <w:sz w:val="16"/>
          <w:szCs w:val="16"/>
        </w:rPr>
      </w:pPr>
      <w:r w:rsidRPr="00412620">
        <w:rPr>
          <w:rStyle w:val="FootnoteReference"/>
        </w:rPr>
        <w:footnoteRef/>
      </w:r>
      <w:r w:rsidRPr="00412620">
        <w:rPr>
          <w:sz w:val="16"/>
          <w:szCs w:val="16"/>
        </w:rPr>
        <w:t>Clause (i) omitted by the Finance Act, 2013. The omitted clause (i) read as follows:</w:t>
      </w:r>
    </w:p>
    <w:p w:rsidR="00BF2117" w:rsidRPr="00412620" w:rsidRDefault="00BF2117" w:rsidP="003A0544">
      <w:pPr>
        <w:ind w:firstLine="547"/>
        <w:jc w:val="both"/>
        <w:rPr>
          <w:rFonts w:cs="Arial"/>
          <w:sz w:val="16"/>
          <w:szCs w:val="16"/>
        </w:rPr>
      </w:pPr>
      <w:r w:rsidRPr="00412620">
        <w:rPr>
          <w:sz w:val="16"/>
          <w:szCs w:val="16"/>
        </w:rPr>
        <w:tab/>
        <w:t>“</w:t>
      </w:r>
      <w:r w:rsidRPr="00412620">
        <w:rPr>
          <w:rFonts w:cs="Arial"/>
          <w:sz w:val="16"/>
          <w:szCs w:val="16"/>
        </w:rPr>
        <w:t xml:space="preserve">(i) </w:t>
      </w:r>
      <w:r w:rsidRPr="00412620">
        <w:rPr>
          <w:rFonts w:cs="Arial"/>
          <w:sz w:val="16"/>
          <w:szCs w:val="16"/>
        </w:rPr>
        <w:tab/>
        <w:t>sub-section (5) of section 234; and”</w:t>
      </w:r>
    </w:p>
    <w:p w:rsidR="00BF2117" w:rsidRPr="00412620" w:rsidRDefault="00BF2117">
      <w:pPr>
        <w:pStyle w:val="FootnoteText"/>
        <w:rPr>
          <w:sz w:val="16"/>
          <w:szCs w:val="16"/>
          <w:lang w:val="en-US"/>
        </w:rPr>
      </w:pPr>
    </w:p>
  </w:footnote>
  <w:footnote w:id="1134">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Added by the Finance Act, 2009.</w:t>
      </w:r>
    </w:p>
  </w:footnote>
  <w:footnote w:id="1135">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Added by the Finance Act, 2009.</w:t>
      </w:r>
    </w:p>
  </w:footnote>
  <w:footnote w:id="1136">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words “collection of advance tax” substituted by the Finance Act, 2012.</w:t>
      </w:r>
    </w:p>
  </w:footnote>
  <w:footnote w:id="1137">
    <w:p w:rsidR="00BF2117" w:rsidRPr="00C96266" w:rsidRDefault="00BF2117">
      <w:pPr>
        <w:pStyle w:val="FootnoteText"/>
        <w:rPr>
          <w:sz w:val="16"/>
          <w:szCs w:val="16"/>
          <w:lang w:val="en-US"/>
        </w:rPr>
      </w:pPr>
      <w:r w:rsidRPr="00C96266">
        <w:rPr>
          <w:rStyle w:val="FootnoteReference"/>
          <w:sz w:val="16"/>
          <w:szCs w:val="16"/>
        </w:rPr>
        <w:footnoteRef/>
      </w:r>
      <w:r w:rsidRPr="00F67B5B">
        <w:rPr>
          <w:sz w:val="16"/>
          <w:szCs w:val="16"/>
        </w:rPr>
        <w:t>Inserted by the Finance Act, 20</w:t>
      </w:r>
      <w:r>
        <w:rPr>
          <w:sz w:val="16"/>
          <w:szCs w:val="16"/>
        </w:rPr>
        <w:t>15.</w:t>
      </w:r>
    </w:p>
  </w:footnote>
  <w:footnote w:id="1138">
    <w:p w:rsidR="00BF2117" w:rsidRPr="00792592" w:rsidRDefault="00BF2117">
      <w:pPr>
        <w:pStyle w:val="FootnoteText"/>
        <w:rPr>
          <w:sz w:val="16"/>
          <w:szCs w:val="16"/>
          <w:lang w:val="en-US"/>
        </w:rPr>
      </w:pPr>
      <w:r w:rsidRPr="00792592">
        <w:rPr>
          <w:rStyle w:val="FootnoteReference"/>
          <w:sz w:val="16"/>
          <w:szCs w:val="16"/>
        </w:rPr>
        <w:footnoteRef/>
      </w:r>
      <w:r w:rsidRPr="00F67B5B">
        <w:rPr>
          <w:sz w:val="16"/>
          <w:szCs w:val="16"/>
        </w:rPr>
        <w:t>Inserted by the Finance Act, 20</w:t>
      </w:r>
      <w:r>
        <w:rPr>
          <w:sz w:val="16"/>
          <w:szCs w:val="16"/>
        </w:rPr>
        <w:t>15</w:t>
      </w:r>
    </w:p>
  </w:footnote>
  <w:footnote w:id="1139">
    <w:p w:rsidR="00BF2117" w:rsidRPr="00F67B5B" w:rsidRDefault="00BF2117" w:rsidP="008755C7">
      <w:pPr>
        <w:pStyle w:val="FootnoteText"/>
        <w:ind w:left="180" w:hanging="180"/>
        <w:rPr>
          <w:sz w:val="16"/>
          <w:szCs w:val="16"/>
          <w:lang w:val="en-US"/>
        </w:rPr>
      </w:pPr>
      <w:r w:rsidRPr="00F67B5B">
        <w:rPr>
          <w:rStyle w:val="FootnoteReference"/>
          <w:sz w:val="16"/>
          <w:szCs w:val="16"/>
        </w:rPr>
        <w:footnoteRef/>
      </w:r>
      <w:r w:rsidRPr="00F67B5B">
        <w:rPr>
          <w:sz w:val="16"/>
          <w:szCs w:val="16"/>
        </w:rPr>
        <w:t xml:space="preserve"> The words, brackets and figure “or sub-section (5) of section 234” omitted by the Finance Act, 2013.</w:t>
      </w:r>
    </w:p>
  </w:footnote>
  <w:footnote w:id="1140">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Inserted by the Finance Act, 2007.</w:t>
      </w:r>
    </w:p>
  </w:footnote>
  <w:footnote w:id="1141">
    <w:p w:rsidR="00BF2117" w:rsidRPr="00F67B5B" w:rsidRDefault="00BF2117" w:rsidP="007D012D">
      <w:pPr>
        <w:pStyle w:val="FootnoteText"/>
        <w:rPr>
          <w:sz w:val="16"/>
          <w:szCs w:val="16"/>
          <w:lang w:val="en-US"/>
        </w:rPr>
      </w:pPr>
      <w:r w:rsidRPr="00F67B5B">
        <w:rPr>
          <w:rStyle w:val="FootnoteReference"/>
          <w:sz w:val="16"/>
          <w:szCs w:val="16"/>
        </w:rPr>
        <w:footnoteRef/>
      </w:r>
      <w:r w:rsidRPr="00F67B5B">
        <w:rPr>
          <w:sz w:val="16"/>
          <w:szCs w:val="16"/>
        </w:rPr>
        <w:t xml:space="preserve"> The words “deduction of tax” substituted by the Finance Act, 2012.</w:t>
      </w:r>
    </w:p>
  </w:footnote>
  <w:footnote w:id="1142">
    <w:p w:rsidR="00BF2117" w:rsidRPr="00F67B5B" w:rsidRDefault="00BF2117" w:rsidP="001E2A96">
      <w:pPr>
        <w:pStyle w:val="FootnoteText"/>
        <w:ind w:left="180" w:hanging="180"/>
        <w:rPr>
          <w:sz w:val="16"/>
          <w:szCs w:val="16"/>
          <w:lang w:val="en-US"/>
        </w:rPr>
      </w:pPr>
      <w:r w:rsidRPr="00F67B5B">
        <w:rPr>
          <w:rStyle w:val="FootnoteReference"/>
          <w:sz w:val="16"/>
          <w:szCs w:val="16"/>
        </w:rPr>
        <w:footnoteRef/>
      </w:r>
      <w:r w:rsidRPr="00F67B5B">
        <w:rPr>
          <w:sz w:val="16"/>
          <w:szCs w:val="16"/>
        </w:rPr>
        <w:t xml:space="preserve"> The words, brackets, letters, comma and figure “clauses (a), (b) and (d) of sub-section (1) of section 151” substituted by the Finance Act, 2011.</w:t>
      </w:r>
    </w:p>
  </w:footnote>
  <w:footnote w:id="1143">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Inserted by the Finance Act, 2008.</w:t>
      </w:r>
    </w:p>
  </w:footnote>
  <w:footnote w:id="1144">
    <w:p w:rsidR="00BF2117" w:rsidRPr="00F67B5B" w:rsidRDefault="00BF2117" w:rsidP="007B72F5">
      <w:pPr>
        <w:pStyle w:val="FootnoteText"/>
        <w:ind w:left="180" w:hanging="180"/>
        <w:jc w:val="both"/>
        <w:rPr>
          <w:sz w:val="16"/>
          <w:szCs w:val="16"/>
          <w:lang w:val="en-US"/>
        </w:rPr>
      </w:pPr>
      <w:r w:rsidRPr="00F67B5B">
        <w:rPr>
          <w:rStyle w:val="FootnoteReference"/>
          <w:sz w:val="16"/>
          <w:szCs w:val="16"/>
        </w:rPr>
        <w:footnoteRef/>
      </w:r>
      <w:r w:rsidRPr="00F67B5B">
        <w:rPr>
          <w:sz w:val="16"/>
          <w:szCs w:val="16"/>
        </w:rPr>
        <w:t xml:space="preserve"> The words, brackets and figures “sub-section (6) of section 153” substituted by the Finance Act, 2011.</w:t>
      </w:r>
    </w:p>
  </w:footnote>
  <w:footnote w:id="1145">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words, comma and brackets “clauses (a), (c) and (d) of” omitted by the Finance Act, 2013.</w:t>
      </w:r>
    </w:p>
  </w:footnote>
  <w:footnote w:id="1146">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Inserted by the Finance Act, 2008.</w:t>
      </w:r>
    </w:p>
  </w:footnote>
  <w:footnote w:id="1147">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 and figure “section 153A” substituted by the Finance Act, 2012.</w:t>
      </w:r>
    </w:p>
  </w:footnote>
  <w:footnote w:id="1148">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The word, digit and comma “section 155,” omitted by the Finance Act, 2010.</w:t>
      </w:r>
    </w:p>
  </w:footnote>
  <w:footnote w:id="1149">
    <w:p w:rsidR="00BF2117" w:rsidRPr="00F67B5B" w:rsidRDefault="00BF2117" w:rsidP="003E392F">
      <w:pPr>
        <w:pStyle w:val="FootnoteText"/>
        <w:ind w:left="270" w:hanging="270"/>
        <w:rPr>
          <w:sz w:val="16"/>
          <w:szCs w:val="16"/>
        </w:rPr>
      </w:pPr>
      <w:r w:rsidRPr="00F67B5B">
        <w:rPr>
          <w:rStyle w:val="FootnoteReference"/>
          <w:rFonts w:cs="Arial"/>
          <w:sz w:val="16"/>
          <w:szCs w:val="16"/>
        </w:rPr>
        <w:footnoteRef/>
      </w:r>
      <w:r w:rsidRPr="00F67B5B">
        <w:rPr>
          <w:sz w:val="16"/>
          <w:szCs w:val="16"/>
        </w:rPr>
        <w:t xml:space="preserve"> The words, figures and brackets “or sub-section (2) of section 157” omitted by the Finance Act, 2002</w:t>
      </w:r>
    </w:p>
  </w:footnote>
  <w:footnote w:id="1150">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Inserted by the Finance Act, 2004.</w:t>
      </w:r>
    </w:p>
  </w:footnote>
  <w:footnote w:id="1151">
    <w:p w:rsidR="00BF2117" w:rsidRPr="00E122F6" w:rsidRDefault="00BF2117">
      <w:pPr>
        <w:pStyle w:val="FootnoteText"/>
        <w:rPr>
          <w:color w:val="000000" w:themeColor="text1"/>
          <w:sz w:val="16"/>
          <w:szCs w:val="16"/>
          <w:lang w:val="en-US"/>
        </w:rPr>
      </w:pPr>
      <w:r w:rsidRPr="00E122F6">
        <w:rPr>
          <w:rStyle w:val="FootnoteReference"/>
          <w:color w:val="000000" w:themeColor="text1"/>
          <w:sz w:val="16"/>
          <w:szCs w:val="16"/>
        </w:rPr>
        <w:footnoteRef/>
      </w:r>
      <w:r w:rsidRPr="00E122F6">
        <w:rPr>
          <w:color w:val="000000" w:themeColor="text1"/>
          <w:sz w:val="16"/>
          <w:szCs w:val="16"/>
        </w:rPr>
        <w:t>The word “of” substituted by the word “or” by the Finance Act, 2014.</w:t>
      </w:r>
    </w:p>
  </w:footnote>
  <w:footnote w:id="1152">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Inserted by the Finance Act, 2005.</w:t>
      </w:r>
    </w:p>
  </w:footnote>
  <w:footnote w:id="1153">
    <w:p w:rsidR="00BF2117" w:rsidRPr="00F67B5B" w:rsidRDefault="00BF2117" w:rsidP="00D4424B">
      <w:pPr>
        <w:pStyle w:val="FootnoteText"/>
        <w:ind w:left="180" w:hanging="180"/>
        <w:rPr>
          <w:sz w:val="16"/>
          <w:szCs w:val="16"/>
          <w:lang w:val="en-US"/>
        </w:rPr>
      </w:pPr>
      <w:r w:rsidRPr="00F67B5B">
        <w:rPr>
          <w:rStyle w:val="FootnoteReference"/>
          <w:sz w:val="16"/>
          <w:szCs w:val="16"/>
        </w:rPr>
        <w:footnoteRef/>
      </w:r>
      <w:r w:rsidRPr="00F67B5B">
        <w:rPr>
          <w:sz w:val="16"/>
          <w:szCs w:val="16"/>
          <w:lang w:val="en-US"/>
        </w:rPr>
        <w:t>The words, brackets, figure and letters “or clause (a) and clause (b) of sub-section (1) of section 233A” omitted by the Finance Act, 2008.</w:t>
      </w:r>
    </w:p>
  </w:footnote>
  <w:footnote w:id="1154">
    <w:p w:rsidR="00BF2117" w:rsidRPr="00F67B5B" w:rsidRDefault="00BF2117" w:rsidP="006C1C93">
      <w:pPr>
        <w:pStyle w:val="FootnoteText"/>
        <w:rPr>
          <w:sz w:val="16"/>
          <w:szCs w:val="16"/>
          <w:lang w:val="en-US"/>
        </w:rPr>
      </w:pPr>
      <w:r w:rsidRPr="00F67B5B">
        <w:rPr>
          <w:rStyle w:val="FootnoteReference"/>
          <w:sz w:val="16"/>
          <w:szCs w:val="16"/>
        </w:rPr>
        <w:footnoteRef/>
      </w:r>
      <w:r w:rsidRPr="00F67B5B">
        <w:rPr>
          <w:sz w:val="16"/>
          <w:szCs w:val="16"/>
        </w:rPr>
        <w:t xml:space="preserve"> The words “has been deducted” substituted by the Finance Act, 2012.</w:t>
      </w:r>
    </w:p>
  </w:footnote>
  <w:footnote w:id="1155">
    <w:p w:rsidR="00BF2117" w:rsidRPr="00F67B5B" w:rsidRDefault="00BF2117" w:rsidP="009507C3">
      <w:pPr>
        <w:pStyle w:val="FootnoteText"/>
        <w:rPr>
          <w:sz w:val="16"/>
          <w:szCs w:val="16"/>
          <w:lang w:val="en-US"/>
        </w:rPr>
      </w:pPr>
      <w:r w:rsidRPr="00F67B5B">
        <w:rPr>
          <w:rStyle w:val="FootnoteReference"/>
          <w:sz w:val="16"/>
          <w:szCs w:val="16"/>
        </w:rPr>
        <w:footnoteRef/>
      </w:r>
      <w:r w:rsidRPr="00F67B5B">
        <w:rPr>
          <w:sz w:val="16"/>
          <w:szCs w:val="16"/>
        </w:rPr>
        <w:t xml:space="preserve"> The word “and” omitted by the Finance Act, 2012.</w:t>
      </w:r>
    </w:p>
  </w:footnote>
  <w:footnote w:id="1156">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Added by the Finance Act, 2002.</w:t>
      </w:r>
    </w:p>
  </w:footnote>
  <w:footnote w:id="1157">
    <w:p w:rsidR="00BF2117" w:rsidRPr="00F67B5B" w:rsidRDefault="00BF2117" w:rsidP="00A96877">
      <w:pPr>
        <w:pStyle w:val="FootnoteText"/>
        <w:rPr>
          <w:sz w:val="16"/>
          <w:szCs w:val="16"/>
          <w:lang w:val="en-US"/>
        </w:rPr>
      </w:pPr>
      <w:r w:rsidRPr="00F67B5B">
        <w:rPr>
          <w:rStyle w:val="FootnoteReference"/>
          <w:sz w:val="16"/>
          <w:szCs w:val="16"/>
        </w:rPr>
        <w:footnoteRef/>
      </w:r>
      <w:r w:rsidRPr="00F67B5B">
        <w:rPr>
          <w:sz w:val="16"/>
          <w:szCs w:val="16"/>
        </w:rPr>
        <w:t xml:space="preserve"> Full stop substituted by the Finance Act, 2012.</w:t>
      </w:r>
    </w:p>
  </w:footnote>
  <w:footnote w:id="1158">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Added by the Finance Act, 2008.</w:t>
      </w:r>
    </w:p>
  </w:footnote>
  <w:footnote w:id="1159">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Comma substituted by the  Finance Act, 2013.</w:t>
      </w:r>
    </w:p>
  </w:footnote>
  <w:footnote w:id="1160">
    <w:p w:rsidR="00BF2117" w:rsidRPr="00F67B5B" w:rsidRDefault="00BF2117" w:rsidP="004E2BA1">
      <w:pPr>
        <w:pStyle w:val="FootnoteText"/>
        <w:ind w:left="180" w:hanging="180"/>
        <w:rPr>
          <w:sz w:val="16"/>
          <w:szCs w:val="16"/>
          <w:lang w:val="en-US"/>
        </w:rPr>
      </w:pPr>
      <w:r w:rsidRPr="00F67B5B">
        <w:rPr>
          <w:rStyle w:val="FootnoteReference"/>
          <w:sz w:val="16"/>
          <w:szCs w:val="16"/>
        </w:rPr>
        <w:footnoteRef/>
      </w:r>
      <w:r w:rsidRPr="00F67B5B">
        <w:rPr>
          <w:sz w:val="16"/>
          <w:szCs w:val="16"/>
        </w:rPr>
        <w:t xml:space="preserve"> The words, figure, comma and brackets “and 15, (other than dividend received by a company)” omitted by the Finance Act, 2013. </w:t>
      </w:r>
    </w:p>
  </w:footnote>
  <w:footnote w:id="1161">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Inserted by the Finance Act, 2002.</w:t>
      </w:r>
    </w:p>
  </w:footnote>
  <w:footnote w:id="1162">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Inserted by the Finance Act, 2010.</w:t>
      </w:r>
    </w:p>
  </w:footnote>
  <w:footnote w:id="1163">
    <w:p w:rsidR="00BF2117" w:rsidRPr="00F67B5B" w:rsidRDefault="00BF2117">
      <w:pPr>
        <w:pStyle w:val="FootnoteText"/>
        <w:keepNext/>
        <w:rPr>
          <w:sz w:val="16"/>
          <w:szCs w:val="16"/>
        </w:rPr>
      </w:pPr>
      <w:r w:rsidRPr="00F67B5B">
        <w:rPr>
          <w:rStyle w:val="FootnoteReference"/>
          <w:rFonts w:cs="Arial"/>
          <w:sz w:val="16"/>
          <w:szCs w:val="16"/>
        </w:rPr>
        <w:footnoteRef/>
      </w:r>
      <w:r w:rsidRPr="00F67B5B">
        <w:rPr>
          <w:sz w:val="16"/>
          <w:szCs w:val="16"/>
        </w:rPr>
        <w:t xml:space="preserve"> Omitted by the Finance Act, 2004. The omitted sub-section (4) read as follows: </w:t>
      </w:r>
    </w:p>
    <w:p w:rsidR="00BF2117" w:rsidRPr="00F67B5B" w:rsidRDefault="00BF2117" w:rsidP="001C0236">
      <w:pPr>
        <w:pStyle w:val="FootnoteText"/>
        <w:ind w:left="180" w:hanging="90"/>
        <w:jc w:val="both"/>
        <w:rPr>
          <w:sz w:val="16"/>
          <w:szCs w:val="16"/>
        </w:rPr>
      </w:pPr>
      <w:r w:rsidRPr="00F67B5B">
        <w:rPr>
          <w:rFonts w:cs="Arial"/>
          <w:sz w:val="16"/>
          <w:szCs w:val="16"/>
        </w:rPr>
        <w:t xml:space="preserve"> “</w:t>
      </w:r>
      <w:r w:rsidRPr="00F67B5B">
        <w:rPr>
          <w:sz w:val="16"/>
          <w:szCs w:val="16"/>
        </w:rPr>
        <w:t xml:space="preserve">(4) </w:t>
      </w:r>
      <w:r w:rsidRPr="00F67B5B">
        <w:rPr>
          <w:sz w:val="16"/>
          <w:szCs w:val="16"/>
        </w:rPr>
        <w:tab/>
        <w:t>Where a taxpayer, while explaining the nature and source of any amount, investment, money, valuable article, expenditure, referred to in section 111, takes into account any source of income which is subject to tax in accordance with the provisions of sections 148, 153, 154, 156 or sub-section (5) of section 234, he shall not be entitled to take credit of any sum as is in excess of an amount which if taxed at a rate or rates, other than the rate applicable to the income chargeable to tax under aforesaid sections 148, 153, 154, 156 or sub-section (5) of section 234 would have resulted in tax liability equal to the tax payable in respect of income under any of the aforesaid sections.”</w:t>
      </w:r>
    </w:p>
  </w:footnote>
  <w:footnote w:id="1164">
    <w:p w:rsidR="00BF2117" w:rsidRPr="00F55609" w:rsidRDefault="00BF2117">
      <w:pPr>
        <w:pStyle w:val="FootnoteText"/>
        <w:rPr>
          <w:color w:val="0070C0"/>
          <w:sz w:val="16"/>
          <w:szCs w:val="16"/>
          <w:lang w:val="en-US"/>
        </w:rPr>
      </w:pPr>
      <w:r w:rsidRPr="00F55609">
        <w:rPr>
          <w:rStyle w:val="FootnoteReference"/>
          <w:color w:val="0070C0"/>
          <w:sz w:val="16"/>
          <w:szCs w:val="16"/>
        </w:rPr>
        <w:footnoteRef/>
      </w:r>
      <w:r w:rsidRPr="00F55609">
        <w:rPr>
          <w:color w:val="0070C0"/>
          <w:sz w:val="16"/>
          <w:szCs w:val="16"/>
        </w:rPr>
        <w:t xml:space="preserve"> Added by the Finance Act, 2016.</w:t>
      </w:r>
    </w:p>
  </w:footnote>
  <w:footnote w:id="1165">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Inserted by the Finance Act, 2003.</w:t>
      </w:r>
    </w:p>
  </w:footnote>
  <w:footnote w:id="1166">
    <w:p w:rsidR="00BF2117" w:rsidRPr="003E4378" w:rsidRDefault="00BF2117">
      <w:pPr>
        <w:pStyle w:val="FootnoteText"/>
        <w:rPr>
          <w:color w:val="FF0066"/>
          <w:sz w:val="16"/>
          <w:szCs w:val="16"/>
          <w:lang w:val="en-US"/>
        </w:rPr>
      </w:pPr>
      <w:r w:rsidRPr="00F55609">
        <w:rPr>
          <w:rStyle w:val="FootnoteReference"/>
          <w:color w:val="0070C0"/>
          <w:sz w:val="16"/>
          <w:szCs w:val="16"/>
        </w:rPr>
        <w:footnoteRef/>
      </w:r>
      <w:r w:rsidRPr="00F55609">
        <w:rPr>
          <w:color w:val="0070C0"/>
          <w:sz w:val="16"/>
          <w:szCs w:val="16"/>
        </w:rPr>
        <w:t xml:space="preserve"> The word “two” substituted by the Finance Act, 2016</w:t>
      </w:r>
      <w:r>
        <w:rPr>
          <w:color w:val="FF0066"/>
          <w:sz w:val="16"/>
          <w:szCs w:val="16"/>
        </w:rPr>
        <w:t>.</w:t>
      </w:r>
    </w:p>
  </w:footnote>
  <w:footnote w:id="1167">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 “forty five” substituted by the Finance Act, 2009.</w:t>
      </w:r>
    </w:p>
  </w:footnote>
  <w:footnote w:id="1168">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Inserted by the Finance Act, 2003..</w:t>
      </w:r>
    </w:p>
  </w:footnote>
  <w:footnote w:id="1169">
    <w:p w:rsidR="00BF2117" w:rsidRPr="00F67B5B" w:rsidRDefault="00BF2117" w:rsidP="00DB1279">
      <w:pPr>
        <w:keepNext/>
        <w:ind w:left="180" w:hanging="180"/>
        <w:jc w:val="both"/>
        <w:rPr>
          <w:sz w:val="16"/>
          <w:szCs w:val="16"/>
        </w:rPr>
      </w:pPr>
      <w:r w:rsidRPr="00F67B5B">
        <w:rPr>
          <w:rStyle w:val="FootnoteReference"/>
          <w:rFonts w:cs="Arial"/>
          <w:sz w:val="16"/>
          <w:szCs w:val="16"/>
        </w:rPr>
        <w:footnoteRef/>
      </w:r>
      <w:r w:rsidRPr="00F67B5B">
        <w:rPr>
          <w:sz w:val="16"/>
          <w:szCs w:val="16"/>
        </w:rPr>
        <w:t xml:space="preserve"> Sub-section (5) substituted by the Finance Act, 2003. The substituted sub-section (5) read as follows:</w:t>
      </w:r>
    </w:p>
    <w:p w:rsidR="00BF2117" w:rsidRPr="00F67B5B" w:rsidRDefault="00BF2117">
      <w:pPr>
        <w:ind w:left="180" w:firstLine="367"/>
        <w:jc w:val="both"/>
        <w:rPr>
          <w:rFonts w:cs="Arial"/>
          <w:sz w:val="16"/>
          <w:szCs w:val="16"/>
        </w:rPr>
      </w:pPr>
      <w:r w:rsidRPr="00F67B5B">
        <w:rPr>
          <w:rFonts w:cs="Arial"/>
          <w:sz w:val="16"/>
          <w:szCs w:val="16"/>
        </w:rPr>
        <w:t>“(5)</w:t>
      </w:r>
      <w:r w:rsidRPr="00F67B5B">
        <w:rPr>
          <w:rFonts w:cs="Arial"/>
          <w:sz w:val="16"/>
          <w:szCs w:val="16"/>
        </w:rPr>
        <w:tab/>
        <w:t>A person dissatisfied with a decision referred to in sub-section (4) may challenge the decision only under Part III of this Chapter.”</w:t>
      </w:r>
    </w:p>
  </w:footnote>
  <w:footnote w:id="1170">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 “KIBOR” substituted by the Finance Act, 2012.</w:t>
      </w:r>
    </w:p>
  </w:footnote>
  <w:footnote w:id="1171">
    <w:p w:rsidR="00BF2117" w:rsidRPr="006E55D4" w:rsidRDefault="00BF2117">
      <w:pPr>
        <w:pStyle w:val="FootnoteText"/>
        <w:rPr>
          <w:sz w:val="16"/>
          <w:szCs w:val="16"/>
          <w:lang w:val="en-US"/>
        </w:rPr>
      </w:pPr>
      <w:r w:rsidRPr="006E55D4">
        <w:rPr>
          <w:rStyle w:val="FootnoteReference"/>
          <w:sz w:val="16"/>
          <w:szCs w:val="16"/>
        </w:rPr>
        <w:footnoteRef/>
      </w:r>
      <w:r>
        <w:rPr>
          <w:sz w:val="16"/>
          <w:szCs w:val="16"/>
        </w:rPr>
        <w:t>The word “fifteen” substituted by Finance Act, 2015.</w:t>
      </w:r>
    </w:p>
  </w:footnote>
  <w:footnote w:id="1172">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Full stop substituted by the Finance Act, 2009.</w:t>
      </w:r>
    </w:p>
  </w:footnote>
  <w:footnote w:id="1173">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Inserted by the Finance Act, 2009.</w:t>
      </w:r>
    </w:p>
  </w:footnote>
  <w:footnote w:id="1174">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Inserted by the Finance Act, 2003.</w:t>
      </w:r>
    </w:p>
  </w:footnote>
  <w:footnote w:id="1175">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Substituted for the figure “135” by the Finance Act, 2003.</w:t>
      </w:r>
    </w:p>
  </w:footnote>
  <w:footnote w:id="1176">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2013.</w:t>
      </w:r>
    </w:p>
  </w:footnote>
  <w:footnote w:id="1177">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The words “local authority” substituted by the Finance Act, 2008.</w:t>
      </w:r>
    </w:p>
  </w:footnote>
  <w:footnote w:id="1178">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The words “local authority” substituted by the Finance Act, 2008.</w:t>
      </w:r>
    </w:p>
  </w:footnote>
  <w:footnote w:id="1179">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The words “local authority” substituted by the Finance Act, 2008.</w:t>
      </w:r>
    </w:p>
  </w:footnote>
  <w:footnote w:id="1180">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Semi-colon substituted by the Finance Act, 2013. </w:t>
      </w:r>
    </w:p>
  </w:footnote>
  <w:footnote w:id="1181">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Added by the Finance Act, 2013.</w:t>
      </w:r>
    </w:p>
  </w:footnote>
  <w:footnote w:id="1182">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Substituted for the word “notice” by the Finance Act, 2003.</w:t>
      </w:r>
    </w:p>
  </w:footnote>
  <w:footnote w:id="1183">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words “or treated” omitted by the Finance Act, 2003.</w:t>
      </w:r>
    </w:p>
  </w:footnote>
  <w:footnote w:id="118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2003.</w:t>
      </w:r>
    </w:p>
  </w:footnote>
  <w:footnote w:id="1185">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Inserted by the Finance Act, 2003.</w:t>
      </w:r>
    </w:p>
  </w:footnote>
  <w:footnote w:id="1186">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The word “excuse” substituted by the Finance Act, 2003.</w:t>
      </w:r>
    </w:p>
  </w:footnote>
  <w:footnote w:id="1187">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The word “five”  substituted by the Finance Act, 2010.</w:t>
      </w:r>
    </w:p>
  </w:footnote>
  <w:footnote w:id="1188">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Full stop substituted by the Finance Act, 2010.</w:t>
      </w:r>
    </w:p>
  </w:footnote>
  <w:footnote w:id="1189">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Added by the Finance Act, 2010.</w:t>
      </w:r>
    </w:p>
  </w:footnote>
  <w:footnote w:id="1190">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Added by the Finance Act, 2010.</w:t>
      </w:r>
    </w:p>
  </w:footnote>
  <w:footnote w:id="1191">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Added by the Finance Act, 2003.</w:t>
      </w:r>
    </w:p>
  </w:footnote>
  <w:footnote w:id="1192">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lang w:val="en-US"/>
        </w:rPr>
        <w:t>Added by the Finance Act, 2008.</w:t>
      </w:r>
    </w:p>
  </w:footnote>
  <w:footnote w:id="1193">
    <w:p w:rsidR="00BF2117" w:rsidRPr="00412620" w:rsidRDefault="00BF2117" w:rsidP="00F67B5B">
      <w:pPr>
        <w:pStyle w:val="FootnoteText"/>
        <w:keepNext/>
        <w:ind w:left="90" w:hanging="90"/>
        <w:rPr>
          <w:sz w:val="16"/>
        </w:rPr>
      </w:pPr>
      <w:r w:rsidRPr="00412620">
        <w:rPr>
          <w:rStyle w:val="FootnoteReference"/>
          <w:rFonts w:cs="Arial"/>
          <w:sz w:val="16"/>
        </w:rPr>
        <w:footnoteRef/>
      </w:r>
      <w:r w:rsidRPr="00412620">
        <w:rPr>
          <w:sz w:val="16"/>
        </w:rPr>
        <w:t xml:space="preserve"> Sub-section (2) substituted by the Finance Act, 2003. The substituted sub-section (2) read as follows: </w:t>
      </w:r>
    </w:p>
    <w:p w:rsidR="00BF2117" w:rsidRPr="00412620" w:rsidRDefault="00BF2117" w:rsidP="00F67B5B">
      <w:pPr>
        <w:ind w:left="180" w:hanging="90"/>
        <w:jc w:val="both"/>
        <w:rPr>
          <w:rFonts w:cs="Arial"/>
          <w:sz w:val="16"/>
        </w:rPr>
      </w:pPr>
      <w:r w:rsidRPr="00412620">
        <w:rPr>
          <w:rFonts w:cs="Arial"/>
          <w:sz w:val="16"/>
        </w:rPr>
        <w:t>“(2)</w:t>
      </w:r>
      <w:r w:rsidRPr="00412620">
        <w:rPr>
          <w:rFonts w:cs="Arial"/>
          <w:sz w:val="16"/>
        </w:rPr>
        <w:tab/>
        <w:t>The Commissioner may authorise any valuer to enter any premises or place to inspect such accounts and documents as may be necessary to enable the valuer to make a valuation of an asset for the purposes of this Ordinance.”</w:t>
      </w:r>
    </w:p>
  </w:footnote>
  <w:footnote w:id="1194">
    <w:p w:rsidR="00BF2117" w:rsidRDefault="00BF2117" w:rsidP="005317A4">
      <w:pPr>
        <w:pStyle w:val="BodyTextIndent"/>
        <w:ind w:left="1440" w:hanging="1440"/>
        <w:rPr>
          <w:sz w:val="16"/>
          <w:szCs w:val="16"/>
        </w:rPr>
      </w:pPr>
      <w:r w:rsidRPr="005317A4">
        <w:rPr>
          <w:rStyle w:val="FootnoteReference"/>
          <w:sz w:val="16"/>
          <w:szCs w:val="16"/>
        </w:rPr>
        <w:footnoteRef/>
      </w:r>
      <w:r>
        <w:rPr>
          <w:sz w:val="16"/>
          <w:szCs w:val="16"/>
        </w:rPr>
        <w:t xml:space="preserve">Substituted by </w:t>
      </w:r>
      <w:r w:rsidRPr="00F67B5B">
        <w:rPr>
          <w:sz w:val="16"/>
          <w:szCs w:val="16"/>
        </w:rPr>
        <w:t>the Finance Act, 20</w:t>
      </w:r>
      <w:r>
        <w:rPr>
          <w:sz w:val="16"/>
          <w:szCs w:val="16"/>
        </w:rPr>
        <w:t>15</w:t>
      </w:r>
      <w:r w:rsidRPr="00F67B5B">
        <w:rPr>
          <w:sz w:val="16"/>
          <w:szCs w:val="16"/>
        </w:rPr>
        <w:t>.</w:t>
      </w:r>
      <w:r>
        <w:rPr>
          <w:sz w:val="16"/>
          <w:szCs w:val="16"/>
        </w:rPr>
        <w:t xml:space="preserve"> The substituted clause (a) read as follows:- </w:t>
      </w:r>
    </w:p>
    <w:p w:rsidR="00BF2117" w:rsidRPr="005317A4" w:rsidRDefault="00BF2117" w:rsidP="00423D1E">
      <w:pPr>
        <w:pStyle w:val="BodyTextIndent"/>
        <w:ind w:left="540" w:firstLine="0"/>
        <w:jc w:val="both"/>
        <w:rPr>
          <w:sz w:val="16"/>
          <w:szCs w:val="16"/>
          <w:lang w:val="en-US"/>
        </w:rPr>
      </w:pPr>
      <w:r w:rsidRPr="004A776D">
        <w:rPr>
          <w:rFonts w:cs="Arial"/>
          <w:sz w:val="16"/>
          <w:szCs w:val="16"/>
        </w:rPr>
        <w:t>“(a)</w:t>
      </w:r>
      <w:r w:rsidRPr="004A776D">
        <w:rPr>
          <w:rFonts w:cs="Arial"/>
          <w:sz w:val="16"/>
          <w:szCs w:val="16"/>
        </w:rPr>
        <w:tab/>
        <w:t xml:space="preserve">to furnish to the Commissioner or an authorised officer, any information relevant to any tax </w:t>
      </w:r>
      <w:r w:rsidRPr="004A776D">
        <w:rPr>
          <w:rStyle w:val="FootnoteReference"/>
          <w:rFonts w:cs="Arial"/>
          <w:sz w:val="16"/>
          <w:szCs w:val="16"/>
        </w:rPr>
        <w:footnoteRef/>
      </w:r>
      <w:r w:rsidRPr="004A776D">
        <w:rPr>
          <w:rFonts w:cs="Arial"/>
          <w:sz w:val="16"/>
          <w:szCs w:val="16"/>
        </w:rPr>
        <w:t>[leviable] under this Ordinance as specified in the notice; or”</w:t>
      </w:r>
    </w:p>
  </w:footnote>
  <w:footnote w:id="1195">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Full stop substituted by the Finance Act, 2009.</w:t>
      </w:r>
    </w:p>
  </w:footnote>
  <w:footnote w:id="1196">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Inserted by the Finance Act, 2009.</w:t>
      </w:r>
    </w:p>
  </w:footnote>
  <w:footnote w:id="1197">
    <w:p w:rsidR="00BF2117" w:rsidRPr="00F67B5B" w:rsidRDefault="00BF2117" w:rsidP="00011A78">
      <w:pPr>
        <w:pStyle w:val="FootnoteText"/>
        <w:ind w:left="180" w:hanging="180"/>
        <w:jc w:val="both"/>
        <w:rPr>
          <w:sz w:val="16"/>
          <w:szCs w:val="16"/>
          <w:lang w:val="en-US"/>
        </w:rPr>
      </w:pPr>
      <w:r w:rsidRPr="00F67B5B">
        <w:rPr>
          <w:rStyle w:val="FootnoteReference"/>
          <w:sz w:val="16"/>
          <w:szCs w:val="16"/>
        </w:rPr>
        <w:footnoteRef/>
      </w:r>
      <w:r w:rsidRPr="00F67B5B">
        <w:rPr>
          <w:sz w:val="16"/>
          <w:szCs w:val="16"/>
          <w:lang w:val="en-US"/>
        </w:rPr>
        <w:t>The word “Board” substituted by the Finance Act, 2010.</w:t>
      </w:r>
      <w:r w:rsidRPr="00F67B5B">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198">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words and comma “selected for audit,” omitted by the Finance Act, 2012.</w:t>
      </w:r>
    </w:p>
  </w:footnote>
  <w:footnote w:id="1199">
    <w:p w:rsidR="00BF2117" w:rsidRPr="00725AFC" w:rsidRDefault="00BF2117">
      <w:pPr>
        <w:pStyle w:val="FootnoteText"/>
        <w:rPr>
          <w:sz w:val="16"/>
          <w:szCs w:val="16"/>
          <w:lang w:val="en-US"/>
        </w:rPr>
      </w:pPr>
      <w:r w:rsidRPr="00725AFC">
        <w:rPr>
          <w:rStyle w:val="FootnoteReference"/>
          <w:sz w:val="16"/>
          <w:szCs w:val="16"/>
        </w:rPr>
        <w:footnoteRef/>
      </w:r>
      <w:r>
        <w:rPr>
          <w:sz w:val="16"/>
          <w:szCs w:val="16"/>
        </w:rPr>
        <w:t>Added by the Finance Act, 2015.</w:t>
      </w:r>
    </w:p>
  </w:footnote>
  <w:footnote w:id="1200">
    <w:p w:rsidR="00BF2117" w:rsidRPr="00F67B5B" w:rsidRDefault="00BF2117">
      <w:pPr>
        <w:pStyle w:val="FootnoteText"/>
        <w:rPr>
          <w:sz w:val="16"/>
          <w:szCs w:val="16"/>
        </w:rPr>
      </w:pPr>
      <w:r w:rsidRPr="00F67B5B">
        <w:rPr>
          <w:rStyle w:val="FootnoteReference"/>
          <w:rFonts w:cs="Arial"/>
          <w:sz w:val="16"/>
          <w:szCs w:val="16"/>
        </w:rPr>
        <w:footnoteRef/>
      </w:r>
      <w:r w:rsidRPr="00F67B5B">
        <w:rPr>
          <w:sz w:val="16"/>
          <w:szCs w:val="16"/>
        </w:rPr>
        <w:t xml:space="preserve"> Inserted by the Finance Act, 2005.</w:t>
      </w:r>
    </w:p>
  </w:footnote>
  <w:footnote w:id="1201">
    <w:p w:rsidR="00BF2117" w:rsidRPr="00412620" w:rsidRDefault="00BF2117" w:rsidP="00CA6AD6">
      <w:pPr>
        <w:pStyle w:val="FootnoteText"/>
        <w:ind w:left="180" w:hanging="180"/>
        <w:rPr>
          <w:sz w:val="16"/>
          <w:szCs w:val="16"/>
          <w:lang w:val="en-US"/>
        </w:rPr>
      </w:pPr>
      <w:r w:rsidRPr="00412620">
        <w:rPr>
          <w:rStyle w:val="FootnoteReference"/>
        </w:rPr>
        <w:footnoteRef/>
      </w:r>
      <w:r w:rsidRPr="00412620">
        <w:rPr>
          <w:sz w:val="16"/>
          <w:szCs w:val="16"/>
        </w:rPr>
        <w:t>The words “rule of law” substituted by the Finance Act, 2011.</w:t>
      </w:r>
    </w:p>
  </w:footnote>
  <w:footnote w:id="1202">
    <w:p w:rsidR="00BF2117" w:rsidRDefault="00BF2117">
      <w:pPr>
        <w:pStyle w:val="FootnoteText"/>
        <w:rPr>
          <w:sz w:val="16"/>
          <w:szCs w:val="16"/>
        </w:rPr>
      </w:pPr>
      <w:r>
        <w:rPr>
          <w:rStyle w:val="FootnoteReference"/>
        </w:rPr>
        <w:footnoteRef/>
      </w:r>
      <w:r>
        <w:rPr>
          <w:sz w:val="16"/>
          <w:szCs w:val="16"/>
        </w:rPr>
        <w:t>Section 177 substituted by the Finance Act, 2004. The Substituted section 177 read as follows:-</w:t>
      </w:r>
    </w:p>
    <w:p w:rsidR="00BF2117" w:rsidRDefault="00BF2117" w:rsidP="00163F8E">
      <w:pPr>
        <w:pStyle w:val="FootnoteText"/>
        <w:ind w:left="0" w:firstLine="0"/>
        <w:jc w:val="both"/>
        <w:rPr>
          <w:sz w:val="16"/>
          <w:szCs w:val="16"/>
        </w:rPr>
      </w:pPr>
      <w:r>
        <w:rPr>
          <w:sz w:val="16"/>
          <w:szCs w:val="16"/>
        </w:rPr>
        <w:t xml:space="preserve"> “177. Audit:- (1)  The commissioner may select any person for an audit of the person’s income tax affairs having regard to-</w:t>
      </w:r>
    </w:p>
    <w:p w:rsidR="00BF2117" w:rsidRDefault="00BF2117" w:rsidP="00163F8E">
      <w:pPr>
        <w:pStyle w:val="FootnoteText"/>
        <w:ind w:hanging="360"/>
        <w:jc w:val="both"/>
        <w:rPr>
          <w:sz w:val="16"/>
          <w:szCs w:val="16"/>
        </w:rPr>
      </w:pPr>
      <w:r>
        <w:rPr>
          <w:sz w:val="16"/>
          <w:szCs w:val="16"/>
        </w:rPr>
        <w:t>(a)</w:t>
      </w:r>
      <w:r>
        <w:rPr>
          <w:sz w:val="16"/>
          <w:szCs w:val="16"/>
        </w:rPr>
        <w:tab/>
        <w:t>the person’s history of compliance or non-compliance with this Ordinance;</w:t>
      </w:r>
    </w:p>
    <w:p w:rsidR="00BF2117" w:rsidRDefault="00BF2117" w:rsidP="00163F8E">
      <w:pPr>
        <w:pStyle w:val="FootnoteText"/>
        <w:ind w:hanging="374"/>
        <w:jc w:val="both"/>
        <w:rPr>
          <w:sz w:val="16"/>
          <w:szCs w:val="16"/>
        </w:rPr>
      </w:pPr>
      <w:r>
        <w:rPr>
          <w:sz w:val="16"/>
          <w:szCs w:val="16"/>
        </w:rPr>
        <w:t>(b)</w:t>
      </w:r>
      <w:r>
        <w:rPr>
          <w:sz w:val="16"/>
          <w:szCs w:val="16"/>
        </w:rPr>
        <w:tab/>
        <w:t>the amount of tax payable by the person;</w:t>
      </w:r>
    </w:p>
    <w:p w:rsidR="00BF2117" w:rsidRDefault="00BF2117" w:rsidP="00163F8E">
      <w:pPr>
        <w:pStyle w:val="FootnoteText"/>
        <w:ind w:hanging="374"/>
        <w:jc w:val="both"/>
        <w:rPr>
          <w:sz w:val="16"/>
          <w:szCs w:val="16"/>
        </w:rPr>
      </w:pPr>
      <w:r>
        <w:rPr>
          <w:sz w:val="16"/>
          <w:szCs w:val="16"/>
        </w:rPr>
        <w:t>(c)</w:t>
      </w:r>
      <w:r>
        <w:rPr>
          <w:sz w:val="16"/>
          <w:szCs w:val="16"/>
        </w:rPr>
        <w:tab/>
        <w:t>the class of business conducted by the person; and</w:t>
      </w:r>
    </w:p>
    <w:p w:rsidR="00BF2117" w:rsidRDefault="00BF2117" w:rsidP="00163F8E">
      <w:pPr>
        <w:pStyle w:val="FootnoteText"/>
        <w:ind w:hanging="360"/>
        <w:jc w:val="both"/>
        <w:rPr>
          <w:sz w:val="16"/>
          <w:szCs w:val="16"/>
        </w:rPr>
      </w:pPr>
      <w:r>
        <w:rPr>
          <w:sz w:val="16"/>
          <w:szCs w:val="16"/>
        </w:rPr>
        <w:t>(d)</w:t>
      </w:r>
      <w:r>
        <w:rPr>
          <w:sz w:val="16"/>
          <w:szCs w:val="16"/>
        </w:rPr>
        <w:tab/>
        <w:t>any other matter that the commissioner considers relevant.</w:t>
      </w:r>
    </w:p>
    <w:p w:rsidR="00BF2117" w:rsidRDefault="00BF2117" w:rsidP="00163F8E">
      <w:pPr>
        <w:pStyle w:val="FootnoteText"/>
        <w:ind w:left="0" w:firstLine="0"/>
        <w:jc w:val="both"/>
        <w:rPr>
          <w:sz w:val="16"/>
          <w:szCs w:val="16"/>
        </w:rPr>
      </w:pPr>
      <w:r>
        <w:rPr>
          <w:sz w:val="16"/>
          <w:szCs w:val="16"/>
        </w:rPr>
        <w:t xml:space="preserve"> (1A) </w:t>
      </w:r>
      <w:r>
        <w:rPr>
          <w:sz w:val="16"/>
          <w:szCs w:val="16"/>
        </w:rPr>
        <w:tab/>
        <w:t>After selection of a person for audit under sub-section (1), the Commissioner shall conduct an audit of the income tax affairs (including examination of accounts and records, enquiry into expenditure, assets and liabilities) of that person.</w:t>
      </w:r>
    </w:p>
    <w:p w:rsidR="00BF2117" w:rsidRDefault="00BF2117" w:rsidP="00163F8E">
      <w:pPr>
        <w:pStyle w:val="FootnoteText"/>
        <w:ind w:left="0" w:firstLine="0"/>
        <w:jc w:val="both"/>
        <w:rPr>
          <w:sz w:val="16"/>
          <w:szCs w:val="16"/>
        </w:rPr>
      </w:pPr>
      <w:r>
        <w:rPr>
          <w:sz w:val="16"/>
          <w:szCs w:val="16"/>
        </w:rPr>
        <w:t>(1B)</w:t>
      </w:r>
      <w:r>
        <w:rPr>
          <w:sz w:val="16"/>
          <w:szCs w:val="16"/>
        </w:rPr>
        <w:tab/>
        <w:t>After completion of the audit under sub-section (1A) or sub-section (3), the Commissioner may, if considered necessary, after obtaining taxpayer’s explanation on all the issues raised in the audit, amend the assessment under sub-section (1) or sub-section (4) of section 122, as the case may be.</w:t>
      </w:r>
    </w:p>
    <w:p w:rsidR="00BF2117" w:rsidRDefault="00BF2117" w:rsidP="00163F8E">
      <w:pPr>
        <w:pStyle w:val="FootnoteText"/>
        <w:ind w:left="0" w:firstLine="0"/>
        <w:jc w:val="both"/>
        <w:rPr>
          <w:sz w:val="16"/>
          <w:szCs w:val="16"/>
        </w:rPr>
      </w:pPr>
      <w:r>
        <w:rPr>
          <w:sz w:val="16"/>
          <w:szCs w:val="16"/>
        </w:rPr>
        <w:t xml:space="preserve"> (2)</w:t>
      </w:r>
      <w:r>
        <w:rPr>
          <w:sz w:val="16"/>
          <w:szCs w:val="16"/>
        </w:rPr>
        <w:tab/>
        <w:t>The fact that a person has been audited in a year shall not preclude the person from being audited again in the next and following years where there are reasonable grounds for such audits, particularly having regard to the factors in sub-section (1).</w:t>
      </w:r>
    </w:p>
    <w:p w:rsidR="00BF2117" w:rsidRDefault="00BF2117" w:rsidP="00163F8E">
      <w:pPr>
        <w:pStyle w:val="FootnoteText"/>
        <w:ind w:left="0" w:firstLine="0"/>
        <w:jc w:val="both"/>
        <w:rPr>
          <w:sz w:val="16"/>
          <w:szCs w:val="16"/>
        </w:rPr>
      </w:pPr>
      <w:r>
        <w:rPr>
          <w:sz w:val="16"/>
          <w:szCs w:val="16"/>
        </w:rPr>
        <w:t>(3)</w:t>
      </w:r>
      <w:r>
        <w:rPr>
          <w:sz w:val="16"/>
          <w:szCs w:val="16"/>
        </w:rPr>
        <w:tab/>
        <w:t>The Central Board of Revenue may appoint a firm of Chartered Accountants as defined under the Chartered Accountants Ordinance, 1961(X of 1961), to conduct an audit of the income tax affairs of any person and the scope of such audit shall be as determined by the Central Board of Revenue on a case by case basis.</w:t>
      </w:r>
    </w:p>
    <w:p w:rsidR="00BF2117" w:rsidRPr="00A3213E" w:rsidRDefault="00BF2117" w:rsidP="00163F8E">
      <w:pPr>
        <w:pStyle w:val="FootnoteText"/>
        <w:ind w:left="0" w:firstLine="0"/>
        <w:jc w:val="both"/>
        <w:rPr>
          <w:sz w:val="16"/>
          <w:szCs w:val="16"/>
          <w:lang w:val="en-US"/>
        </w:rPr>
      </w:pPr>
      <w:r>
        <w:rPr>
          <w:sz w:val="16"/>
          <w:szCs w:val="16"/>
        </w:rPr>
        <w:t>(4)</w:t>
      </w:r>
      <w:r>
        <w:rPr>
          <w:sz w:val="16"/>
          <w:szCs w:val="16"/>
        </w:rPr>
        <w:tab/>
        <w:t xml:space="preserve">Any person employed by a firm referred to in sub-section (3) may  by authorised by the commissioner, in writing, to exercise the powers in sections 175 and 176 for the purposes of the conducting audit under that subsection.” </w:t>
      </w:r>
    </w:p>
  </w:footnote>
  <w:footnote w:id="1203">
    <w:p w:rsidR="00BF2117" w:rsidRPr="00412620" w:rsidRDefault="00BF2117" w:rsidP="00163F8E">
      <w:pPr>
        <w:pStyle w:val="FootnoteText"/>
        <w:ind w:left="180" w:hanging="180"/>
        <w:jc w:val="both"/>
        <w:rPr>
          <w:sz w:val="16"/>
          <w:szCs w:val="16"/>
          <w:lang w:val="en-US"/>
        </w:rPr>
      </w:pPr>
      <w:r w:rsidRPr="00412620">
        <w:rPr>
          <w:rStyle w:val="FootnoteReference"/>
        </w:rPr>
        <w:footnoteRef/>
      </w:r>
      <w:r w:rsidRPr="00412620">
        <w:rPr>
          <w:sz w:val="16"/>
          <w:szCs w:val="16"/>
          <w:lang w:val="en-US"/>
        </w:rPr>
        <w:t xml:space="preserve">Sub-section (1) substituted by the Finance Act, 2010. The substituted sub-section (1) read as follows: </w:t>
      </w:r>
    </w:p>
    <w:p w:rsidR="00BF2117" w:rsidRPr="00412620" w:rsidRDefault="00BF2117" w:rsidP="00A45D05">
      <w:pPr>
        <w:ind w:left="180" w:firstLine="548"/>
        <w:jc w:val="both"/>
        <w:rPr>
          <w:rFonts w:cs="Arial"/>
          <w:sz w:val="16"/>
          <w:szCs w:val="16"/>
        </w:rPr>
      </w:pPr>
      <w:r w:rsidRPr="00412620">
        <w:rPr>
          <w:sz w:val="16"/>
          <w:szCs w:val="16"/>
          <w:lang w:val="en-US"/>
        </w:rPr>
        <w:t>“</w:t>
      </w:r>
      <w:r w:rsidRPr="00412620">
        <w:rPr>
          <w:sz w:val="16"/>
          <w:szCs w:val="16"/>
        </w:rPr>
        <w:t xml:space="preserve">(1) </w:t>
      </w:r>
      <w:r w:rsidRPr="00412620">
        <w:rPr>
          <w:rFonts w:cs="Arial"/>
          <w:sz w:val="16"/>
          <w:szCs w:val="16"/>
        </w:rPr>
        <w:t xml:space="preserve">The Commissioner may call for any record or documents including books of accounts maintained under this Ordinance or any other law for the time being in force for conducting audit of the income tax affairs of the person and where such record or documents have been kept on electronic data, the person shall allow access to the Commissioner or the officer authorized by the Commissioner for use of machine and software on which such data is kept and the Commissioner or the officer may take into possession such machine and duly attested hard copies of such information or data for the purpose of investigation and proceedings under this Ordinance in respect of such person or any other person: </w:t>
      </w:r>
    </w:p>
    <w:p w:rsidR="00BF2117" w:rsidRPr="00F67B5B" w:rsidRDefault="00BF2117" w:rsidP="00A45D05">
      <w:pPr>
        <w:pStyle w:val="FootnoteText"/>
        <w:ind w:left="1094" w:firstLine="547"/>
        <w:rPr>
          <w:sz w:val="16"/>
          <w:szCs w:val="16"/>
          <w:lang w:val="en-US"/>
        </w:rPr>
      </w:pPr>
      <w:r w:rsidRPr="00F67B5B">
        <w:rPr>
          <w:rFonts w:cs="Arial"/>
          <w:sz w:val="16"/>
          <w:szCs w:val="16"/>
        </w:rPr>
        <w:t>Provided that the Commissioner shall not call for record or documents of the taxpayer after expiry of six years from the end of the tax year to which they relate.”</w:t>
      </w:r>
    </w:p>
  </w:footnote>
  <w:footnote w:id="1204">
    <w:p w:rsidR="00BF2117" w:rsidRPr="00F67B5B" w:rsidRDefault="00BF2117" w:rsidP="001E0AB0">
      <w:pPr>
        <w:pStyle w:val="FootnoteText"/>
        <w:ind w:left="180" w:hanging="180"/>
        <w:jc w:val="both"/>
        <w:rPr>
          <w:sz w:val="16"/>
          <w:szCs w:val="16"/>
          <w:lang w:val="en-US"/>
        </w:rPr>
      </w:pPr>
      <w:r w:rsidRPr="00F67B5B">
        <w:rPr>
          <w:rStyle w:val="FootnoteReference"/>
          <w:sz w:val="16"/>
          <w:szCs w:val="16"/>
        </w:rPr>
        <w:footnoteRef/>
      </w:r>
      <w:r w:rsidRPr="00F67B5B">
        <w:rPr>
          <w:sz w:val="16"/>
          <w:szCs w:val="16"/>
          <w:lang w:val="en-US"/>
        </w:rPr>
        <w:t>Sub-section (2) substituted by the Finance Act, 2010. The substituted sub-section (2) read as follows:</w:t>
      </w:r>
    </w:p>
    <w:p w:rsidR="00BF2117" w:rsidRPr="00F67B5B" w:rsidRDefault="00BF2117" w:rsidP="00762562">
      <w:pPr>
        <w:pStyle w:val="FootnoteText"/>
        <w:ind w:left="180" w:hanging="180"/>
        <w:jc w:val="both"/>
        <w:rPr>
          <w:sz w:val="16"/>
          <w:szCs w:val="16"/>
          <w:lang w:val="en-US"/>
        </w:rPr>
      </w:pPr>
      <w:r w:rsidRPr="00F67B5B">
        <w:rPr>
          <w:sz w:val="16"/>
          <w:szCs w:val="16"/>
          <w:lang w:val="en-US"/>
        </w:rPr>
        <w:tab/>
      </w:r>
      <w:r w:rsidRPr="00F67B5B">
        <w:rPr>
          <w:sz w:val="16"/>
          <w:szCs w:val="16"/>
          <w:lang w:val="en-US"/>
        </w:rPr>
        <w:tab/>
        <w:t>“</w:t>
      </w:r>
      <w:r w:rsidRPr="00F67B5B">
        <w:rPr>
          <w:rFonts w:cs="Arial"/>
          <w:sz w:val="16"/>
          <w:szCs w:val="16"/>
        </w:rPr>
        <w:t>(2)</w:t>
      </w:r>
      <w:r w:rsidRPr="00F67B5B">
        <w:rPr>
          <w:rFonts w:cs="Arial"/>
          <w:sz w:val="16"/>
          <w:szCs w:val="16"/>
        </w:rPr>
        <w:tab/>
        <w:t xml:space="preserve"> After obtaining the record of a person under sub-section (1) or where necessary record is not maintained, the Commissioner shall conduct an audit of the income tax affairs (including examination of accounts and records, enquiry into expenditure, assets and liabilities) of that person or any other person and may call for such other information and documents as he may deem appropriate.”</w:t>
      </w:r>
    </w:p>
  </w:footnote>
  <w:footnote w:id="1205">
    <w:p w:rsidR="00BF2117" w:rsidRPr="00F67B5B" w:rsidRDefault="00BF2117" w:rsidP="00BB134F">
      <w:pPr>
        <w:pStyle w:val="FootnoteText"/>
        <w:ind w:left="90" w:hanging="90"/>
        <w:rPr>
          <w:sz w:val="16"/>
          <w:szCs w:val="16"/>
        </w:rPr>
      </w:pPr>
      <w:r w:rsidRPr="00F67B5B">
        <w:rPr>
          <w:rStyle w:val="FootnoteReference"/>
          <w:sz w:val="16"/>
          <w:szCs w:val="16"/>
        </w:rPr>
        <w:footnoteRef/>
      </w:r>
      <w:r w:rsidRPr="00F67B5B">
        <w:rPr>
          <w:sz w:val="16"/>
          <w:szCs w:val="16"/>
        </w:rPr>
        <w:t xml:space="preserve"> Sub-section (3) omitted by the </w:t>
      </w:r>
      <w:r w:rsidRPr="00F67B5B">
        <w:rPr>
          <w:sz w:val="16"/>
          <w:szCs w:val="16"/>
          <w:lang w:val="en-US"/>
        </w:rPr>
        <w:t xml:space="preserve">Finance Act, 2010. </w:t>
      </w:r>
      <w:r w:rsidRPr="00F67B5B">
        <w:rPr>
          <w:sz w:val="16"/>
          <w:szCs w:val="16"/>
        </w:rPr>
        <w:t>The omitted sub-section (3) read as follows:</w:t>
      </w:r>
    </w:p>
    <w:p w:rsidR="00BF2117" w:rsidRPr="00F67B5B" w:rsidRDefault="00BF2117" w:rsidP="008E6E6E">
      <w:pPr>
        <w:jc w:val="both"/>
        <w:rPr>
          <w:rFonts w:cs="Arial"/>
          <w:sz w:val="16"/>
          <w:szCs w:val="16"/>
        </w:rPr>
      </w:pPr>
      <w:r w:rsidRPr="00F67B5B">
        <w:rPr>
          <w:sz w:val="16"/>
          <w:szCs w:val="16"/>
        </w:rPr>
        <w:tab/>
        <w:t xml:space="preserve">“(3) </w:t>
      </w:r>
      <w:r w:rsidRPr="00F67B5B">
        <w:rPr>
          <w:sz w:val="16"/>
          <w:szCs w:val="16"/>
        </w:rPr>
        <w:tab/>
        <w:t>The Board shall keep the criteria confidential.”</w:t>
      </w:r>
    </w:p>
  </w:footnote>
  <w:footnote w:id="1206">
    <w:p w:rsidR="00BF2117" w:rsidRPr="00F67B5B" w:rsidRDefault="00BF2117" w:rsidP="001E0AB0">
      <w:pPr>
        <w:pStyle w:val="FootnoteText"/>
        <w:ind w:left="180" w:hanging="180"/>
        <w:rPr>
          <w:sz w:val="16"/>
          <w:szCs w:val="16"/>
        </w:rPr>
      </w:pPr>
      <w:r w:rsidRPr="00F67B5B">
        <w:rPr>
          <w:rStyle w:val="FootnoteReference"/>
          <w:sz w:val="16"/>
          <w:szCs w:val="16"/>
        </w:rPr>
        <w:footnoteRef/>
      </w:r>
      <w:r w:rsidRPr="00F67B5B">
        <w:rPr>
          <w:sz w:val="16"/>
          <w:szCs w:val="16"/>
        </w:rPr>
        <w:t xml:space="preserve"> Sub-section (4) omitted by the </w:t>
      </w:r>
      <w:r w:rsidRPr="00F67B5B">
        <w:rPr>
          <w:sz w:val="16"/>
          <w:szCs w:val="16"/>
          <w:lang w:val="en-US"/>
        </w:rPr>
        <w:t xml:space="preserve">Finance Act, 2010. </w:t>
      </w:r>
      <w:r w:rsidRPr="00F67B5B">
        <w:rPr>
          <w:sz w:val="16"/>
          <w:szCs w:val="16"/>
        </w:rPr>
        <w:t>The omitted sub-section (4)  read as follows:</w:t>
      </w:r>
    </w:p>
    <w:p w:rsidR="00BF2117" w:rsidRPr="00F67B5B" w:rsidRDefault="00BF2117" w:rsidP="001E0AB0">
      <w:pPr>
        <w:ind w:left="180"/>
        <w:jc w:val="both"/>
        <w:rPr>
          <w:rFonts w:cs="Arial"/>
          <w:sz w:val="16"/>
          <w:szCs w:val="16"/>
        </w:rPr>
      </w:pPr>
      <w:r w:rsidRPr="00F67B5B">
        <w:rPr>
          <w:sz w:val="16"/>
          <w:szCs w:val="16"/>
        </w:rPr>
        <w:tab/>
        <w:t>“</w:t>
      </w:r>
      <w:r w:rsidRPr="00F67B5B">
        <w:rPr>
          <w:rFonts w:cs="Arial"/>
          <w:sz w:val="16"/>
          <w:szCs w:val="16"/>
        </w:rPr>
        <w:t xml:space="preserve">(4) </w:t>
      </w:r>
      <w:r w:rsidRPr="00F67B5B">
        <w:rPr>
          <w:rFonts w:cs="Arial"/>
          <w:sz w:val="16"/>
          <w:szCs w:val="16"/>
        </w:rPr>
        <w:tab/>
        <w:t>In addition to the selection referred to in sub-section (2), the Commissioner may also select a person or classes of persons for an audit of the person’s income tax affairs having regard to -</w:t>
      </w:r>
    </w:p>
    <w:p w:rsidR="00BF2117" w:rsidRPr="00412620" w:rsidRDefault="00BF2117" w:rsidP="008E6E6E">
      <w:pPr>
        <w:ind w:left="1641" w:hanging="546"/>
        <w:jc w:val="both"/>
        <w:rPr>
          <w:rFonts w:cs="Arial"/>
          <w:sz w:val="16"/>
          <w:szCs w:val="16"/>
        </w:rPr>
      </w:pPr>
      <w:r w:rsidRPr="00F67B5B">
        <w:rPr>
          <w:rFonts w:cs="Arial"/>
          <w:sz w:val="16"/>
          <w:szCs w:val="16"/>
        </w:rPr>
        <w:t xml:space="preserve">(a) </w:t>
      </w:r>
      <w:r w:rsidRPr="00F67B5B">
        <w:rPr>
          <w:rFonts w:cs="Arial"/>
          <w:sz w:val="16"/>
          <w:szCs w:val="16"/>
        </w:rPr>
        <w:tab/>
        <w:t>the person’s history of compliance</w:t>
      </w:r>
      <w:r w:rsidRPr="00412620">
        <w:rPr>
          <w:rFonts w:cs="Arial"/>
          <w:sz w:val="16"/>
          <w:szCs w:val="16"/>
        </w:rPr>
        <w:t xml:space="preserve"> or non-compliance with this Ordinance;</w:t>
      </w:r>
    </w:p>
    <w:p w:rsidR="00BF2117" w:rsidRPr="00412620" w:rsidRDefault="00BF2117" w:rsidP="008E6E6E">
      <w:pPr>
        <w:jc w:val="both"/>
        <w:rPr>
          <w:rFonts w:cs="Arial"/>
          <w:sz w:val="16"/>
          <w:szCs w:val="16"/>
        </w:rPr>
      </w:pPr>
      <w:r w:rsidRPr="00412620">
        <w:rPr>
          <w:rFonts w:cs="Arial"/>
          <w:sz w:val="16"/>
          <w:szCs w:val="16"/>
        </w:rPr>
        <w:tab/>
      </w:r>
      <w:r w:rsidRPr="00412620">
        <w:rPr>
          <w:rFonts w:cs="Arial"/>
          <w:sz w:val="16"/>
          <w:szCs w:val="16"/>
        </w:rPr>
        <w:tab/>
        <w:t xml:space="preserve">(b) </w:t>
      </w:r>
      <w:r w:rsidRPr="00412620">
        <w:rPr>
          <w:rFonts w:cs="Arial"/>
          <w:sz w:val="16"/>
          <w:szCs w:val="16"/>
        </w:rPr>
        <w:tab/>
        <w:t>the amount of tax payable by the person;</w:t>
      </w:r>
    </w:p>
    <w:p w:rsidR="00BF2117" w:rsidRPr="00F67B5B" w:rsidRDefault="00BF2117" w:rsidP="008E6E6E">
      <w:pPr>
        <w:jc w:val="both"/>
        <w:rPr>
          <w:rFonts w:cs="Arial"/>
          <w:sz w:val="16"/>
          <w:szCs w:val="16"/>
        </w:rPr>
      </w:pPr>
      <w:r w:rsidRPr="00412620">
        <w:rPr>
          <w:rFonts w:cs="Arial"/>
          <w:sz w:val="16"/>
          <w:szCs w:val="16"/>
        </w:rPr>
        <w:tab/>
      </w:r>
      <w:r w:rsidRPr="00412620">
        <w:rPr>
          <w:rFonts w:cs="Arial"/>
          <w:sz w:val="16"/>
          <w:szCs w:val="16"/>
        </w:rPr>
        <w:tab/>
      </w:r>
      <w:r w:rsidRPr="00F67B5B">
        <w:rPr>
          <w:rFonts w:cs="Arial"/>
          <w:sz w:val="16"/>
          <w:szCs w:val="16"/>
        </w:rPr>
        <w:t xml:space="preserve">(c) </w:t>
      </w:r>
      <w:r w:rsidRPr="00F67B5B">
        <w:rPr>
          <w:rFonts w:cs="Arial"/>
          <w:sz w:val="16"/>
          <w:szCs w:val="16"/>
        </w:rPr>
        <w:tab/>
        <w:t>the class of business conducted by the person; and</w:t>
      </w:r>
    </w:p>
    <w:p w:rsidR="00BF2117" w:rsidRPr="00F67B5B" w:rsidRDefault="00BF2117" w:rsidP="001E0AB0">
      <w:pPr>
        <w:pStyle w:val="FootnoteText"/>
        <w:ind w:left="1634" w:hanging="540"/>
        <w:rPr>
          <w:sz w:val="16"/>
          <w:szCs w:val="16"/>
        </w:rPr>
      </w:pPr>
      <w:r w:rsidRPr="00F67B5B">
        <w:rPr>
          <w:rFonts w:cs="Arial"/>
          <w:sz w:val="16"/>
          <w:szCs w:val="16"/>
        </w:rPr>
        <w:t xml:space="preserve">(d) </w:t>
      </w:r>
      <w:r w:rsidRPr="00F67B5B">
        <w:rPr>
          <w:rFonts w:cs="Arial"/>
          <w:sz w:val="16"/>
          <w:szCs w:val="16"/>
        </w:rPr>
        <w:tab/>
        <w:t>any other matter which in the opinion of Commissioner is material for determination of correct income.”</w:t>
      </w:r>
    </w:p>
  </w:footnote>
  <w:footnote w:id="1207">
    <w:p w:rsidR="00BF2117" w:rsidRPr="00F67B5B" w:rsidRDefault="00BF2117" w:rsidP="008E6E6E">
      <w:pPr>
        <w:pStyle w:val="FootnoteText"/>
        <w:ind w:left="90" w:hanging="90"/>
        <w:rPr>
          <w:sz w:val="16"/>
          <w:szCs w:val="16"/>
        </w:rPr>
      </w:pPr>
      <w:r w:rsidRPr="00F67B5B">
        <w:rPr>
          <w:rStyle w:val="FootnoteReference"/>
          <w:sz w:val="16"/>
          <w:szCs w:val="16"/>
        </w:rPr>
        <w:footnoteRef/>
      </w:r>
      <w:r w:rsidRPr="00F67B5B">
        <w:rPr>
          <w:sz w:val="16"/>
          <w:szCs w:val="16"/>
        </w:rPr>
        <w:t xml:space="preserve"> Sub-section (5) omitted by the </w:t>
      </w:r>
      <w:r w:rsidRPr="00F67B5B">
        <w:rPr>
          <w:sz w:val="16"/>
          <w:szCs w:val="16"/>
          <w:lang w:val="en-US"/>
        </w:rPr>
        <w:t xml:space="preserve">Finance Act, 2010. </w:t>
      </w:r>
      <w:r w:rsidRPr="00F67B5B">
        <w:rPr>
          <w:sz w:val="16"/>
          <w:szCs w:val="16"/>
        </w:rPr>
        <w:t>The omitted sub-section  (5)  read as follows:</w:t>
      </w:r>
    </w:p>
    <w:p w:rsidR="00BF2117" w:rsidRPr="00F67B5B" w:rsidRDefault="00BF2117" w:rsidP="002A6F7A">
      <w:pPr>
        <w:pStyle w:val="FootnoteText"/>
        <w:ind w:left="180" w:hanging="180"/>
        <w:jc w:val="both"/>
        <w:rPr>
          <w:sz w:val="16"/>
          <w:szCs w:val="16"/>
        </w:rPr>
      </w:pPr>
      <w:r w:rsidRPr="00F67B5B">
        <w:rPr>
          <w:sz w:val="16"/>
          <w:szCs w:val="16"/>
        </w:rPr>
        <w:tab/>
      </w:r>
      <w:r w:rsidRPr="00F67B5B">
        <w:rPr>
          <w:sz w:val="16"/>
          <w:szCs w:val="16"/>
        </w:rPr>
        <w:tab/>
        <w:t>“</w:t>
      </w:r>
      <w:r w:rsidRPr="00F67B5B">
        <w:rPr>
          <w:rFonts w:cs="Arial"/>
          <w:sz w:val="16"/>
          <w:szCs w:val="16"/>
        </w:rPr>
        <w:t xml:space="preserve">(5) </w:t>
      </w:r>
      <w:r w:rsidRPr="00F67B5B">
        <w:rPr>
          <w:rFonts w:cs="Arial"/>
          <w:sz w:val="16"/>
          <w:szCs w:val="16"/>
        </w:rPr>
        <w:tab/>
        <w:t>After selection of a person or classes of persons for audit under sub-section (2) or (4), the Commissioner shall conduct an audit of the income tax affairs (including examination of accounts and records, enquiry into expenditure, assets and liabilities) of such person or classes of persons.”</w:t>
      </w:r>
    </w:p>
  </w:footnote>
  <w:footnote w:id="1208">
    <w:p w:rsidR="00BF2117" w:rsidRPr="00F67B5B" w:rsidRDefault="00BF2117" w:rsidP="005F44AB">
      <w:pPr>
        <w:pStyle w:val="FootnoteText"/>
        <w:ind w:left="180" w:hanging="180"/>
        <w:jc w:val="both"/>
        <w:rPr>
          <w:sz w:val="16"/>
          <w:szCs w:val="16"/>
          <w:lang w:val="en-US"/>
        </w:rPr>
      </w:pPr>
      <w:r w:rsidRPr="00F67B5B">
        <w:rPr>
          <w:rStyle w:val="FootnoteReference"/>
          <w:sz w:val="16"/>
          <w:szCs w:val="16"/>
        </w:rPr>
        <w:footnoteRef/>
      </w:r>
      <w:r w:rsidRPr="00F67B5B">
        <w:rPr>
          <w:rFonts w:cs="Arial"/>
          <w:sz w:val="16"/>
          <w:szCs w:val="16"/>
        </w:rPr>
        <w:t>The words, brackets and figures “under sub-section (5) or sub-section (8)” omitted by the Finance Act, 2010.</w:t>
      </w:r>
    </w:p>
  </w:footnote>
  <w:footnote w:id="1209">
    <w:p w:rsidR="00BF2117" w:rsidRPr="00F67B5B" w:rsidRDefault="00BF2117" w:rsidP="00C91F2E">
      <w:pPr>
        <w:pStyle w:val="FootnoteText"/>
        <w:ind w:left="180" w:hanging="180"/>
        <w:jc w:val="both"/>
        <w:rPr>
          <w:sz w:val="16"/>
          <w:szCs w:val="16"/>
          <w:lang w:val="en-US"/>
        </w:rPr>
      </w:pPr>
      <w:r w:rsidRPr="00F67B5B">
        <w:rPr>
          <w:rStyle w:val="FootnoteReference"/>
          <w:sz w:val="16"/>
          <w:szCs w:val="16"/>
        </w:rPr>
        <w:footnoteRef/>
      </w:r>
      <w:r w:rsidRPr="00F67B5B">
        <w:rPr>
          <w:rFonts w:cs="Arial"/>
          <w:sz w:val="16"/>
          <w:szCs w:val="16"/>
        </w:rPr>
        <w:t>The words, comma, brackets and figure “particularly having regard to the factors in sub-section (4)“ omitted by the Finance Act, 2010.</w:t>
      </w:r>
    </w:p>
  </w:footnote>
  <w:footnote w:id="1210">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words “Central Board of Revenue” substituted by the Finance Act, 2007.</w:t>
      </w:r>
    </w:p>
  </w:footnote>
  <w:footnote w:id="1211">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Inserted by the Finance Act, 2010.</w:t>
      </w:r>
    </w:p>
  </w:footnote>
  <w:footnote w:id="1212">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Inserted by the Finance Act, 2009.</w:t>
      </w:r>
    </w:p>
  </w:footnote>
  <w:footnote w:id="1213">
    <w:p w:rsidR="00BF2117" w:rsidRPr="00F67B5B" w:rsidRDefault="00BF2117" w:rsidP="00C92B4F">
      <w:pPr>
        <w:pStyle w:val="FootnoteText"/>
        <w:ind w:left="180" w:hanging="180"/>
        <w:rPr>
          <w:sz w:val="16"/>
          <w:szCs w:val="16"/>
          <w:lang w:val="en-US"/>
        </w:rPr>
      </w:pPr>
      <w:r w:rsidRPr="00F67B5B">
        <w:rPr>
          <w:rStyle w:val="FootnoteReference"/>
          <w:sz w:val="16"/>
          <w:szCs w:val="16"/>
        </w:rPr>
        <w:footnoteRef/>
      </w:r>
      <w:r w:rsidRPr="00F67B5B">
        <w:rPr>
          <w:sz w:val="16"/>
          <w:szCs w:val="16"/>
        </w:rPr>
        <w:t xml:space="preserve"> The  words “selected for audit by the Commissioner or by the Board” omitted by the Finance Act, 2010.</w:t>
      </w:r>
    </w:p>
  </w:footnote>
  <w:footnote w:id="1214">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words “Central Board of Revenue” substituted by the Finance Act, 2007.</w:t>
      </w:r>
    </w:p>
  </w:footnote>
  <w:footnote w:id="1215">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Inserted by the Finance Act, 2010.</w:t>
      </w:r>
    </w:p>
  </w:footnote>
  <w:footnote w:id="1216">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Added by the Finance Act, 2010.</w:t>
      </w:r>
    </w:p>
  </w:footnote>
  <w:footnote w:id="1217">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Added by the Finance Act, 2013.</w:t>
      </w:r>
    </w:p>
  </w:footnote>
  <w:footnote w:id="1218">
    <w:p w:rsidR="00BF2117" w:rsidRPr="0055337E" w:rsidRDefault="00BF2117">
      <w:pPr>
        <w:pStyle w:val="FootnoteText"/>
        <w:rPr>
          <w:sz w:val="16"/>
          <w:szCs w:val="16"/>
          <w:lang w:val="en-US"/>
        </w:rPr>
      </w:pPr>
      <w:r w:rsidRPr="0055337E">
        <w:rPr>
          <w:rStyle w:val="FootnoteReference"/>
          <w:sz w:val="16"/>
          <w:szCs w:val="16"/>
        </w:rPr>
        <w:footnoteRef/>
      </w:r>
      <w:r>
        <w:rPr>
          <w:sz w:val="16"/>
          <w:szCs w:val="16"/>
        </w:rPr>
        <w:t>Added by Finance Act, 2015.</w:t>
      </w:r>
    </w:p>
  </w:footnote>
  <w:footnote w:id="1219">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words and commas “Federal Excise, Sales Tax,” omitted by the Finance Act, 2013. </w:t>
      </w:r>
    </w:p>
  </w:footnote>
  <w:footnote w:id="1220">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The words “Central Board of Revenue” substituted by the Finance Act, 2007.</w:t>
      </w:r>
    </w:p>
  </w:footnote>
  <w:footnote w:id="1221">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Part IX s</w:t>
      </w:r>
      <w:r w:rsidRPr="00F67B5B">
        <w:rPr>
          <w:sz w:val="16"/>
          <w:szCs w:val="16"/>
          <w:lang w:val="en-US"/>
        </w:rPr>
        <w:t>substituted by the Finance Act, 2008. The substituted “Part IX” read as follows:</w:t>
      </w:r>
    </w:p>
    <w:p w:rsidR="00BF2117" w:rsidRPr="00F67B5B" w:rsidRDefault="00BF2117" w:rsidP="001F6A65">
      <w:pPr>
        <w:keepNext/>
        <w:jc w:val="center"/>
        <w:rPr>
          <w:rFonts w:cs="Arial"/>
          <w:b/>
          <w:sz w:val="16"/>
          <w:szCs w:val="16"/>
        </w:rPr>
      </w:pPr>
      <w:r w:rsidRPr="00F67B5B">
        <w:rPr>
          <w:sz w:val="16"/>
          <w:szCs w:val="16"/>
          <w:lang w:val="en-US"/>
        </w:rPr>
        <w:t>“</w:t>
      </w:r>
      <w:r w:rsidRPr="00F67B5B">
        <w:rPr>
          <w:rFonts w:cs="Arial"/>
          <w:b/>
          <w:sz w:val="16"/>
          <w:szCs w:val="16"/>
        </w:rPr>
        <w:t>PART IX</w:t>
      </w:r>
    </w:p>
    <w:p w:rsidR="00BF2117" w:rsidRPr="00F67B5B" w:rsidRDefault="00BF2117" w:rsidP="001F6A65">
      <w:pPr>
        <w:keepNext/>
        <w:jc w:val="center"/>
        <w:rPr>
          <w:rFonts w:cs="Arial"/>
          <w:b/>
          <w:sz w:val="16"/>
          <w:szCs w:val="16"/>
        </w:rPr>
      </w:pPr>
      <w:r w:rsidRPr="00F67B5B">
        <w:rPr>
          <w:rFonts w:cs="Arial"/>
          <w:b/>
          <w:sz w:val="16"/>
          <w:szCs w:val="16"/>
        </w:rPr>
        <w:t>NATIONAL TAX NUMBER CERTIFICATE</w:t>
      </w:r>
    </w:p>
    <w:p w:rsidR="00BF2117" w:rsidRPr="00F67B5B" w:rsidRDefault="00BF2117" w:rsidP="00E2362C">
      <w:pPr>
        <w:ind w:left="180"/>
        <w:jc w:val="both"/>
        <w:rPr>
          <w:sz w:val="16"/>
          <w:szCs w:val="16"/>
        </w:rPr>
      </w:pPr>
      <w:r w:rsidRPr="00F67B5B">
        <w:rPr>
          <w:rFonts w:cs="Arial"/>
          <w:b/>
          <w:sz w:val="16"/>
          <w:szCs w:val="16"/>
        </w:rPr>
        <w:t>181.</w:t>
      </w:r>
      <w:r w:rsidRPr="00F67B5B">
        <w:rPr>
          <w:rFonts w:cs="Arial"/>
          <w:b/>
          <w:sz w:val="16"/>
          <w:szCs w:val="16"/>
        </w:rPr>
        <w:tab/>
        <w:t xml:space="preserve"> National Tax Number Certificate.-</w:t>
      </w:r>
      <w:r w:rsidRPr="00F67B5B">
        <w:rPr>
          <w:sz w:val="16"/>
          <w:szCs w:val="16"/>
        </w:rPr>
        <w:t xml:space="preserve"> (1)  Every taxpayer shall apply in the prescribed form and in the prescribed manner for a National Tax Number Certificate. </w:t>
      </w:r>
    </w:p>
    <w:p w:rsidR="00BF2117" w:rsidRPr="00F67B5B" w:rsidRDefault="00BF2117" w:rsidP="00E2362C">
      <w:pPr>
        <w:ind w:left="180"/>
        <w:jc w:val="both"/>
        <w:rPr>
          <w:rFonts w:cs="Arial"/>
          <w:sz w:val="16"/>
          <w:szCs w:val="16"/>
        </w:rPr>
      </w:pPr>
      <w:r w:rsidRPr="00F67B5B">
        <w:rPr>
          <w:rFonts w:cs="Arial"/>
          <w:sz w:val="16"/>
          <w:szCs w:val="16"/>
        </w:rPr>
        <w:tab/>
        <w:t>(2)</w:t>
      </w:r>
      <w:r w:rsidRPr="00F67B5B">
        <w:rPr>
          <w:rFonts w:cs="Arial"/>
          <w:sz w:val="16"/>
          <w:szCs w:val="16"/>
        </w:rPr>
        <w:tab/>
        <w:t>An application under sub-section (1) shall be accompanied by the prescribed fee.</w:t>
      </w:r>
    </w:p>
    <w:p w:rsidR="00BF2117" w:rsidRPr="00F67B5B" w:rsidRDefault="00BF2117" w:rsidP="00E2362C">
      <w:pPr>
        <w:ind w:left="180" w:firstLine="547"/>
        <w:jc w:val="both"/>
        <w:rPr>
          <w:rFonts w:cs="Arial"/>
          <w:sz w:val="16"/>
          <w:szCs w:val="16"/>
        </w:rPr>
      </w:pPr>
      <w:r w:rsidRPr="00F67B5B">
        <w:rPr>
          <w:rFonts w:cs="Arial"/>
          <w:sz w:val="16"/>
          <w:szCs w:val="16"/>
        </w:rPr>
        <w:t>(3)</w:t>
      </w:r>
      <w:r w:rsidRPr="00F67B5B">
        <w:rPr>
          <w:rFonts w:cs="Arial"/>
          <w:sz w:val="16"/>
          <w:szCs w:val="16"/>
        </w:rPr>
        <w:tab/>
        <w:t>The Commissioner having jurisdiction over an applicant under sub-section (1) may after examination of all relevant documents and evidence, and after satisfying himself of the genuineness of the application, may direct issuance of the National Tax Number Certificate for a period prescribed by Commissioner:</w:t>
      </w:r>
    </w:p>
    <w:p w:rsidR="00BF2117" w:rsidRPr="00F67B5B" w:rsidRDefault="00BF2117" w:rsidP="00E2362C">
      <w:pPr>
        <w:pStyle w:val="FootnoteText"/>
        <w:ind w:left="180" w:firstLine="540"/>
        <w:jc w:val="both"/>
        <w:rPr>
          <w:sz w:val="16"/>
          <w:szCs w:val="16"/>
          <w:lang w:val="en-US"/>
        </w:rPr>
      </w:pPr>
      <w:r w:rsidRPr="00F67B5B">
        <w:rPr>
          <w:sz w:val="16"/>
          <w:szCs w:val="16"/>
        </w:rPr>
        <w:t>Provided that the Board may in the case of individuals allow use of National Identity Card, issued by the National Database and Registration Authority, in place of National Tax Number.”</w:t>
      </w:r>
    </w:p>
  </w:footnote>
  <w:footnote w:id="1222">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Full stop substituted by the Finance Act, 2013. </w:t>
      </w:r>
    </w:p>
  </w:footnote>
  <w:footnote w:id="1223">
    <w:p w:rsidR="00BF2117" w:rsidRPr="00736639" w:rsidRDefault="00BF2117">
      <w:pPr>
        <w:pStyle w:val="FootnoteText"/>
        <w:rPr>
          <w:sz w:val="16"/>
          <w:szCs w:val="16"/>
          <w:lang w:val="en-US"/>
        </w:rPr>
      </w:pPr>
      <w:r w:rsidRPr="00736639">
        <w:rPr>
          <w:rStyle w:val="FootnoteReference"/>
          <w:sz w:val="16"/>
          <w:szCs w:val="16"/>
        </w:rPr>
        <w:footnoteRef/>
      </w:r>
      <w:r>
        <w:rPr>
          <w:sz w:val="16"/>
          <w:szCs w:val="16"/>
        </w:rPr>
        <w:t>Substituted “:” by the Finance Act, 2015.</w:t>
      </w:r>
    </w:p>
  </w:footnote>
  <w:footnote w:id="1224">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Added by the Finance Act, 2013. </w:t>
      </w:r>
    </w:p>
  </w:footnote>
  <w:footnote w:id="1225">
    <w:p w:rsidR="00BF2117" w:rsidRDefault="00BF2117" w:rsidP="003D524B">
      <w:pPr>
        <w:rPr>
          <w:sz w:val="16"/>
          <w:szCs w:val="16"/>
        </w:rPr>
      </w:pPr>
      <w:r w:rsidRPr="00590C24">
        <w:rPr>
          <w:rStyle w:val="FootnoteReference"/>
          <w:sz w:val="16"/>
          <w:szCs w:val="16"/>
        </w:rPr>
        <w:footnoteRef/>
      </w:r>
      <w:r>
        <w:rPr>
          <w:sz w:val="16"/>
          <w:szCs w:val="16"/>
        </w:rPr>
        <w:t>Omitted by the Finance Act, 2015. The omitted proviso read as follows:-</w:t>
      </w:r>
    </w:p>
    <w:p w:rsidR="00BF2117" w:rsidRPr="003013D9" w:rsidRDefault="00BF2117" w:rsidP="00F87A3E">
      <w:pPr>
        <w:ind w:left="547" w:firstLine="547"/>
        <w:rPr>
          <w:lang w:val="en-US"/>
        </w:rPr>
      </w:pPr>
      <w:r>
        <w:rPr>
          <w:sz w:val="16"/>
          <w:szCs w:val="16"/>
        </w:rPr>
        <w:t>“</w:t>
      </w:r>
      <w:r w:rsidRPr="003D524B">
        <w:rPr>
          <w:rFonts w:cs="Arial"/>
          <w:sz w:val="16"/>
          <w:szCs w:val="16"/>
          <w:lang w:val="en-US"/>
        </w:rPr>
        <w:t>Provided that the Board may in case of individuals allow, in</w:t>
      </w:r>
      <w:r>
        <w:rPr>
          <w:rFonts w:cs="Arial"/>
          <w:sz w:val="16"/>
          <w:szCs w:val="16"/>
          <w:lang w:val="en-US"/>
        </w:rPr>
        <w:t xml:space="preserve"> </w:t>
      </w:r>
      <w:r w:rsidRPr="003D524B">
        <w:rPr>
          <w:rFonts w:cs="Arial"/>
          <w:sz w:val="16"/>
          <w:szCs w:val="16"/>
          <w:lang w:val="en-US"/>
        </w:rPr>
        <w:t>place of National Tax Number, use of Computerized National Identity</w:t>
      </w:r>
      <w:r>
        <w:rPr>
          <w:rFonts w:cs="Arial"/>
          <w:sz w:val="16"/>
          <w:szCs w:val="16"/>
          <w:lang w:val="en-US"/>
        </w:rPr>
        <w:t xml:space="preserve"> </w:t>
      </w:r>
      <w:r w:rsidRPr="003D524B">
        <w:rPr>
          <w:rFonts w:cs="Arial"/>
          <w:sz w:val="16"/>
          <w:szCs w:val="16"/>
          <w:lang w:val="en-US"/>
        </w:rPr>
        <w:t>Card issued by the National Database and Registration Authority.</w:t>
      </w:r>
      <w:r>
        <w:rPr>
          <w:rFonts w:cs="Arial"/>
          <w:sz w:val="16"/>
          <w:szCs w:val="16"/>
          <w:lang w:val="en-US"/>
        </w:rPr>
        <w:t>”</w:t>
      </w:r>
    </w:p>
  </w:footnote>
  <w:footnote w:id="1226">
    <w:p w:rsidR="00BF2117" w:rsidRPr="00793345" w:rsidRDefault="00BF2117">
      <w:pPr>
        <w:pStyle w:val="FootnoteText"/>
        <w:rPr>
          <w:sz w:val="16"/>
          <w:szCs w:val="16"/>
          <w:lang w:val="en-US"/>
        </w:rPr>
      </w:pPr>
      <w:r w:rsidRPr="00793345">
        <w:rPr>
          <w:rStyle w:val="FootnoteReference"/>
          <w:sz w:val="16"/>
          <w:szCs w:val="16"/>
        </w:rPr>
        <w:footnoteRef/>
      </w:r>
      <w:r>
        <w:rPr>
          <w:sz w:val="16"/>
          <w:szCs w:val="16"/>
        </w:rPr>
        <w:t xml:space="preserve">Added </w:t>
      </w:r>
      <w:r w:rsidRPr="00F67B5B">
        <w:rPr>
          <w:sz w:val="16"/>
          <w:szCs w:val="16"/>
        </w:rPr>
        <w:t>by the Finance Act, 201</w:t>
      </w:r>
      <w:r>
        <w:rPr>
          <w:sz w:val="16"/>
          <w:szCs w:val="16"/>
        </w:rPr>
        <w:t>5</w:t>
      </w:r>
      <w:r w:rsidRPr="00F67B5B">
        <w:rPr>
          <w:sz w:val="16"/>
          <w:szCs w:val="16"/>
        </w:rPr>
        <w:t>.</w:t>
      </w:r>
    </w:p>
  </w:footnote>
  <w:footnote w:id="1227">
    <w:p w:rsidR="00BF2117" w:rsidRPr="00F67B5B" w:rsidRDefault="00BF2117" w:rsidP="00AF7A4E">
      <w:pPr>
        <w:pStyle w:val="FootnoteText"/>
        <w:ind w:left="180" w:hanging="180"/>
        <w:jc w:val="both"/>
        <w:rPr>
          <w:sz w:val="16"/>
          <w:szCs w:val="16"/>
          <w:lang w:val="en-US"/>
        </w:rPr>
      </w:pPr>
      <w:r w:rsidRPr="00F67B5B">
        <w:rPr>
          <w:rStyle w:val="FootnoteReference"/>
          <w:sz w:val="16"/>
          <w:szCs w:val="16"/>
        </w:rPr>
        <w:footnoteRef/>
      </w:r>
      <w:r w:rsidRPr="00F67B5B">
        <w:rPr>
          <w:sz w:val="16"/>
          <w:szCs w:val="16"/>
        </w:rPr>
        <w:t xml:space="preserve"> Inserted by the Finance Act, 2010. </w:t>
      </w:r>
    </w:p>
  </w:footnote>
  <w:footnote w:id="1228">
    <w:p w:rsidR="00BF2117" w:rsidRPr="00F67B5B" w:rsidRDefault="00BF2117">
      <w:pPr>
        <w:pStyle w:val="FootnoteText"/>
        <w:rPr>
          <w:sz w:val="16"/>
          <w:szCs w:val="16"/>
          <w:lang w:val="en-US"/>
        </w:rPr>
      </w:pPr>
      <w:r w:rsidRPr="001B3020">
        <w:rPr>
          <w:rStyle w:val="FootnoteReference"/>
          <w:color w:val="000000" w:themeColor="text1"/>
          <w:sz w:val="16"/>
          <w:szCs w:val="16"/>
        </w:rPr>
        <w:footnoteRef/>
      </w:r>
      <w:r w:rsidRPr="001B3020">
        <w:rPr>
          <w:color w:val="000000" w:themeColor="text1"/>
          <w:sz w:val="16"/>
          <w:szCs w:val="16"/>
        </w:rPr>
        <w:t>Inserted by the Finance Act, 2014</w:t>
      </w:r>
      <w:r w:rsidRPr="00F67B5B">
        <w:rPr>
          <w:color w:val="00B0F0"/>
          <w:sz w:val="16"/>
          <w:szCs w:val="16"/>
        </w:rPr>
        <w:t>.</w:t>
      </w:r>
    </w:p>
  </w:footnote>
  <w:footnote w:id="1229">
    <w:p w:rsidR="00BF2117" w:rsidRPr="00F67B5B" w:rsidRDefault="00BF2117">
      <w:pPr>
        <w:pStyle w:val="FootnoteText"/>
        <w:rPr>
          <w:sz w:val="16"/>
          <w:szCs w:val="16"/>
          <w:lang w:val="en-US"/>
        </w:rPr>
      </w:pPr>
      <w:r w:rsidRPr="00F67B5B">
        <w:rPr>
          <w:rStyle w:val="FootnoteReference"/>
          <w:sz w:val="16"/>
          <w:szCs w:val="16"/>
        </w:rPr>
        <w:footnoteRef/>
      </w:r>
      <w:r w:rsidRPr="00F67B5B">
        <w:rPr>
          <w:sz w:val="16"/>
          <w:szCs w:val="16"/>
        </w:rPr>
        <w:t xml:space="preserve"> Added by the Finance Act, 2012.</w:t>
      </w:r>
    </w:p>
  </w:footnote>
  <w:footnote w:id="1230">
    <w:p w:rsidR="00BF2117" w:rsidRPr="00412620" w:rsidRDefault="00BF2117">
      <w:pPr>
        <w:pStyle w:val="FootnoteText"/>
        <w:rPr>
          <w:sz w:val="16"/>
          <w:szCs w:val="16"/>
          <w:lang w:val="en-US"/>
        </w:rPr>
      </w:pPr>
      <w:r w:rsidRPr="00412620">
        <w:rPr>
          <w:rStyle w:val="FootnoteReference"/>
        </w:rPr>
        <w:footnoteRef/>
      </w:r>
      <w:r w:rsidRPr="00412620">
        <w:rPr>
          <w:sz w:val="16"/>
          <w:szCs w:val="16"/>
        </w:rPr>
        <w:t>Added by the Finance Act, 2013.</w:t>
      </w:r>
    </w:p>
  </w:footnote>
  <w:footnote w:id="1231">
    <w:p w:rsidR="00BF2117" w:rsidRPr="00576986" w:rsidRDefault="00BF2117">
      <w:pPr>
        <w:pStyle w:val="FootnoteText"/>
        <w:rPr>
          <w:sz w:val="16"/>
          <w:szCs w:val="16"/>
        </w:rPr>
      </w:pPr>
      <w:r w:rsidRPr="00576986">
        <w:rPr>
          <w:rStyle w:val="FootnoteReference"/>
          <w:sz w:val="16"/>
          <w:szCs w:val="16"/>
        </w:rPr>
        <w:footnoteRef/>
      </w:r>
      <w:r w:rsidRPr="00576986">
        <w:rPr>
          <w:sz w:val="16"/>
          <w:szCs w:val="16"/>
        </w:rPr>
        <w:t xml:space="preserve"> Section 182 substituted by the Finance Act, 2010. The substituted section 182 read as follows:</w:t>
      </w:r>
    </w:p>
    <w:p w:rsidR="00BF2117" w:rsidRPr="00576986" w:rsidRDefault="00BF2117" w:rsidP="000149AF">
      <w:pPr>
        <w:ind w:left="180" w:hanging="180"/>
        <w:jc w:val="both"/>
        <w:rPr>
          <w:sz w:val="16"/>
          <w:szCs w:val="16"/>
        </w:rPr>
      </w:pPr>
      <w:r w:rsidRPr="00576986">
        <w:rPr>
          <w:sz w:val="16"/>
          <w:szCs w:val="16"/>
        </w:rPr>
        <w:tab/>
        <w:t>“</w:t>
      </w:r>
      <w:r w:rsidRPr="00576986">
        <w:rPr>
          <w:rFonts w:cs="Arial"/>
          <w:b/>
          <w:sz w:val="16"/>
          <w:szCs w:val="16"/>
        </w:rPr>
        <w:t>182.</w:t>
      </w:r>
      <w:r w:rsidRPr="00576986">
        <w:rPr>
          <w:rFonts w:cs="Arial"/>
          <w:b/>
          <w:sz w:val="16"/>
          <w:szCs w:val="16"/>
        </w:rPr>
        <w:tab/>
        <w:t xml:space="preserve"> Penalty for failure to furnish a return or statement.-</w:t>
      </w:r>
      <w:r w:rsidRPr="00576986">
        <w:rPr>
          <w:sz w:val="16"/>
          <w:szCs w:val="16"/>
        </w:rPr>
        <w:t xml:space="preserve"> (1)  Any person who, without reasonable excuse, fails to furnish, within the time allowed under this Ordinance, return of income or a statement as required under sub-section (4) of section 115 or wealth statement for any tax year as required under this Ordinance shall be liable for a penalty equal to one-tenth of one per cent of the tax payable for each day of default subject to a minimum penalty of five hundred rupees and a maximum penalty of twenty-five per cent of the tax payable in respect of that tax year.</w:t>
      </w:r>
    </w:p>
    <w:p w:rsidR="00BF2117" w:rsidRPr="00576986" w:rsidRDefault="00BF2117" w:rsidP="000149AF">
      <w:pPr>
        <w:ind w:left="180" w:hanging="180"/>
        <w:jc w:val="both"/>
        <w:rPr>
          <w:rFonts w:cs="Arial"/>
          <w:sz w:val="16"/>
          <w:szCs w:val="16"/>
        </w:rPr>
      </w:pPr>
      <w:r w:rsidRPr="00576986">
        <w:rPr>
          <w:rFonts w:cs="Arial"/>
          <w:sz w:val="16"/>
          <w:szCs w:val="16"/>
        </w:rPr>
        <w:tab/>
      </w:r>
      <w:r w:rsidRPr="00576986">
        <w:rPr>
          <w:rFonts w:cs="Arial"/>
          <w:sz w:val="16"/>
          <w:szCs w:val="16"/>
        </w:rPr>
        <w:tab/>
        <w:t>(2)</w:t>
      </w:r>
      <w:r w:rsidRPr="00576986">
        <w:rPr>
          <w:rFonts w:cs="Arial"/>
          <w:sz w:val="16"/>
          <w:szCs w:val="16"/>
        </w:rPr>
        <w:tab/>
        <w:t>Any person who, without reasonable excuse, fails to furnish, within the time allowed under this Ordinance, any statement required under section 165 shall be liable for a penalty of two thousand rupees.</w:t>
      </w:r>
    </w:p>
    <w:p w:rsidR="00BF2117" w:rsidRPr="00576986" w:rsidRDefault="00BF2117" w:rsidP="000149AF">
      <w:pPr>
        <w:pStyle w:val="FootnoteText"/>
        <w:ind w:left="180" w:hanging="180"/>
        <w:rPr>
          <w:sz w:val="16"/>
          <w:szCs w:val="16"/>
          <w:lang w:val="en-US"/>
        </w:rPr>
      </w:pPr>
      <w:r w:rsidRPr="00576986">
        <w:rPr>
          <w:rFonts w:cs="Arial"/>
          <w:sz w:val="16"/>
          <w:szCs w:val="16"/>
        </w:rPr>
        <w:tab/>
      </w:r>
      <w:r w:rsidRPr="00576986">
        <w:rPr>
          <w:rFonts w:cs="Arial"/>
          <w:sz w:val="16"/>
          <w:szCs w:val="16"/>
        </w:rPr>
        <w:tab/>
        <w:t>(3)</w:t>
      </w:r>
      <w:r w:rsidRPr="00576986">
        <w:rPr>
          <w:rFonts w:cs="Arial"/>
          <w:sz w:val="16"/>
          <w:szCs w:val="16"/>
        </w:rPr>
        <w:tab/>
        <w:t>Where a person liable to a penalty under sub-section (2) continues to fail to furnish the statement, the person shall be liable for an additional penalty of two hundred rupees for each day of default after the imposition of the penalty under sub-section (2).”</w:t>
      </w:r>
    </w:p>
  </w:footnote>
  <w:footnote w:id="1232">
    <w:p w:rsidR="00BF2117" w:rsidRPr="00576986" w:rsidRDefault="00BF2117" w:rsidP="004832ED">
      <w:pPr>
        <w:pStyle w:val="FootnoteText"/>
        <w:ind w:left="180" w:hanging="180"/>
        <w:rPr>
          <w:sz w:val="16"/>
          <w:szCs w:val="16"/>
          <w:lang w:val="en-US"/>
        </w:rPr>
      </w:pPr>
      <w:r w:rsidRPr="00576986">
        <w:rPr>
          <w:rStyle w:val="FootnoteReference"/>
          <w:sz w:val="16"/>
          <w:szCs w:val="16"/>
        </w:rPr>
        <w:footnoteRef/>
      </w:r>
      <w:r w:rsidRPr="00576986">
        <w:rPr>
          <w:sz w:val="16"/>
          <w:szCs w:val="16"/>
        </w:rPr>
        <w:t xml:space="preserve"> The words and figures “Where any person fails to furnish a return of income or a statement as required under section 115 or wealth statement or wealth reconciliation statement or statement under section 165 within the due date” substituted by the Finance Act, 2013</w:t>
      </w:r>
    </w:p>
  </w:footnote>
  <w:footnote w:id="1233">
    <w:p w:rsidR="00BF2117" w:rsidRPr="00576986" w:rsidRDefault="00BF2117" w:rsidP="004832ED">
      <w:pPr>
        <w:pStyle w:val="FootnoteText"/>
        <w:ind w:left="180" w:hanging="180"/>
        <w:rPr>
          <w:sz w:val="16"/>
          <w:szCs w:val="16"/>
          <w:lang w:val="en-US"/>
        </w:rPr>
      </w:pPr>
      <w:r w:rsidRPr="00576986">
        <w:rPr>
          <w:rStyle w:val="FootnoteReference"/>
          <w:sz w:val="16"/>
          <w:szCs w:val="16"/>
        </w:rPr>
        <w:footnoteRef/>
      </w:r>
      <w:r w:rsidRPr="00576986">
        <w:rPr>
          <w:sz w:val="16"/>
          <w:szCs w:val="16"/>
        </w:rPr>
        <w:t xml:space="preserve"> The words and figures “Such person shall pay a penalty equal to 0.1% of the tax payable for each day of default subject to a minimum penalty of five thousand rupees and a maximum penalty of 25% of the tax payable in respect of that tax year” substituted by the Finance Act, 2013.</w:t>
      </w:r>
    </w:p>
  </w:footnote>
  <w:footnote w:id="1234">
    <w:p w:rsidR="00BF2117" w:rsidRPr="00576986" w:rsidRDefault="00BF2117">
      <w:pPr>
        <w:pStyle w:val="FootnoteText"/>
        <w:rPr>
          <w:sz w:val="16"/>
          <w:szCs w:val="16"/>
          <w:lang w:val="en-US"/>
        </w:rPr>
      </w:pPr>
      <w:r w:rsidRPr="00576986">
        <w:rPr>
          <w:rStyle w:val="FootnoteReference"/>
          <w:sz w:val="16"/>
          <w:szCs w:val="16"/>
        </w:rPr>
        <w:footnoteRef/>
      </w:r>
      <w:r w:rsidRPr="00576986">
        <w:rPr>
          <w:sz w:val="16"/>
          <w:szCs w:val="16"/>
        </w:rPr>
        <w:t xml:space="preserve"> Full stop substituted  by the Finance Act, 2011.</w:t>
      </w:r>
    </w:p>
  </w:footnote>
  <w:footnote w:id="1235">
    <w:p w:rsidR="00BF2117" w:rsidRPr="00576986" w:rsidRDefault="00BF2117" w:rsidP="008B1324">
      <w:pPr>
        <w:pStyle w:val="FootnoteText"/>
        <w:rPr>
          <w:sz w:val="16"/>
          <w:szCs w:val="16"/>
          <w:lang w:val="en-US"/>
        </w:rPr>
      </w:pPr>
      <w:r w:rsidRPr="00576986">
        <w:rPr>
          <w:rStyle w:val="FootnoteReference"/>
          <w:sz w:val="16"/>
          <w:szCs w:val="16"/>
        </w:rPr>
        <w:footnoteRef/>
      </w:r>
      <w:r w:rsidRPr="00576986">
        <w:rPr>
          <w:sz w:val="16"/>
          <w:szCs w:val="16"/>
        </w:rPr>
        <w:t xml:space="preserve">  Inserted by the Finance Act, 2011.</w:t>
      </w:r>
    </w:p>
  </w:footnote>
  <w:footnote w:id="1236">
    <w:p w:rsidR="00BF2117" w:rsidRPr="00576986" w:rsidRDefault="00BF2117">
      <w:pPr>
        <w:pStyle w:val="FootnoteText"/>
        <w:rPr>
          <w:sz w:val="16"/>
          <w:szCs w:val="16"/>
          <w:lang w:val="en-US"/>
        </w:rPr>
      </w:pPr>
      <w:r w:rsidRPr="00576986">
        <w:rPr>
          <w:rStyle w:val="FootnoteReference"/>
          <w:sz w:val="16"/>
          <w:szCs w:val="16"/>
        </w:rPr>
        <w:footnoteRef/>
      </w:r>
      <w:r w:rsidRPr="00576986">
        <w:rPr>
          <w:sz w:val="16"/>
          <w:szCs w:val="16"/>
          <w:lang w:val="en-US"/>
        </w:rPr>
        <w:t>The commas, figures and words “,115, 116 and 165” substituted by the Finance Act, 2013.</w:t>
      </w:r>
    </w:p>
  </w:footnote>
  <w:footnote w:id="1237">
    <w:p w:rsidR="00BF2117" w:rsidRPr="00BC2BD1" w:rsidRDefault="00BF2117" w:rsidP="00E00243">
      <w:pPr>
        <w:pStyle w:val="FootnoteText"/>
        <w:rPr>
          <w:sz w:val="16"/>
          <w:szCs w:val="16"/>
          <w:lang w:val="en-US"/>
        </w:rPr>
      </w:pPr>
      <w:r w:rsidRPr="00BC2BD1">
        <w:rPr>
          <w:rStyle w:val="FootnoteReference"/>
          <w:sz w:val="16"/>
          <w:szCs w:val="16"/>
        </w:rPr>
        <w:footnoteRef/>
      </w:r>
      <w:r w:rsidRPr="00BC2BD1">
        <w:rPr>
          <w:sz w:val="16"/>
          <w:szCs w:val="16"/>
        </w:rPr>
        <w:t xml:space="preserve"> Inserted by the Finance Act, 2013.</w:t>
      </w:r>
    </w:p>
  </w:footnote>
  <w:footnote w:id="1238">
    <w:p w:rsidR="00BF2117" w:rsidRPr="00F55609" w:rsidRDefault="00BF2117">
      <w:pPr>
        <w:pStyle w:val="FootnoteText"/>
        <w:rPr>
          <w:color w:val="0070C0"/>
          <w:sz w:val="16"/>
          <w:szCs w:val="16"/>
          <w:lang w:val="en-US"/>
        </w:rPr>
      </w:pPr>
      <w:r w:rsidRPr="00F55609">
        <w:rPr>
          <w:rStyle w:val="FootnoteReference"/>
          <w:color w:val="0070C0"/>
          <w:sz w:val="16"/>
          <w:szCs w:val="16"/>
        </w:rPr>
        <w:footnoteRef/>
      </w:r>
      <w:r w:rsidRPr="00F55609">
        <w:rPr>
          <w:color w:val="0070C0"/>
          <w:sz w:val="16"/>
          <w:szCs w:val="16"/>
        </w:rPr>
        <w:t xml:space="preserve"> Inserted by the Finance Act, 2016.</w:t>
      </w:r>
    </w:p>
  </w:footnote>
  <w:footnote w:id="1239">
    <w:p w:rsidR="00BF2117" w:rsidRPr="00AB60D6" w:rsidRDefault="00BF2117">
      <w:pPr>
        <w:pStyle w:val="FootnoteText"/>
        <w:rPr>
          <w:sz w:val="16"/>
          <w:szCs w:val="16"/>
          <w:lang w:val="en-US"/>
        </w:rPr>
      </w:pPr>
      <w:r w:rsidRPr="00AB60D6">
        <w:rPr>
          <w:rStyle w:val="FootnoteReference"/>
          <w:sz w:val="16"/>
          <w:szCs w:val="16"/>
        </w:rPr>
        <w:footnoteRef/>
      </w:r>
      <w:r w:rsidRPr="00AB60D6">
        <w:rPr>
          <w:sz w:val="16"/>
          <w:szCs w:val="16"/>
          <w:lang w:val="en-US"/>
        </w:rPr>
        <w:t>Substituted “fifty” by the Finance Act, 2015</w:t>
      </w:r>
    </w:p>
  </w:footnote>
  <w:footnote w:id="1240">
    <w:p w:rsidR="00BF2117" w:rsidRPr="00F55609" w:rsidRDefault="00BF2117">
      <w:pPr>
        <w:pStyle w:val="FootnoteText"/>
        <w:rPr>
          <w:color w:val="0070C0"/>
          <w:sz w:val="16"/>
          <w:szCs w:val="16"/>
          <w:lang w:val="en-US"/>
        </w:rPr>
      </w:pPr>
      <w:r w:rsidRPr="00F55609">
        <w:rPr>
          <w:rStyle w:val="FootnoteReference"/>
          <w:color w:val="0070C0"/>
          <w:sz w:val="16"/>
          <w:szCs w:val="16"/>
        </w:rPr>
        <w:footnoteRef/>
      </w:r>
      <w:r w:rsidRPr="00F55609">
        <w:rPr>
          <w:color w:val="0070C0"/>
          <w:sz w:val="16"/>
          <w:szCs w:val="16"/>
        </w:rPr>
        <w:t xml:space="preserve"> Added by the Finance Act, 2016.</w:t>
      </w:r>
    </w:p>
  </w:footnote>
  <w:footnote w:id="1241">
    <w:p w:rsidR="00BF2117" w:rsidRPr="00BC2BD1" w:rsidRDefault="00BF2117" w:rsidP="00E00243">
      <w:pPr>
        <w:pStyle w:val="FootnoteText"/>
        <w:rPr>
          <w:sz w:val="16"/>
          <w:szCs w:val="16"/>
          <w:lang w:val="en-US"/>
        </w:rPr>
      </w:pPr>
      <w:r w:rsidRPr="00BC2BD1">
        <w:rPr>
          <w:rStyle w:val="FootnoteReference"/>
          <w:sz w:val="16"/>
          <w:szCs w:val="16"/>
        </w:rPr>
        <w:footnoteRef/>
      </w:r>
      <w:r w:rsidRPr="00BC2BD1">
        <w:rPr>
          <w:sz w:val="16"/>
          <w:szCs w:val="16"/>
        </w:rPr>
        <w:t xml:space="preserve"> Inserted by the Finance Act, 2013.</w:t>
      </w:r>
    </w:p>
  </w:footnote>
  <w:footnote w:id="1242">
    <w:p w:rsidR="00BF2117" w:rsidRPr="007F7590" w:rsidRDefault="00BF2117" w:rsidP="007F7590">
      <w:pPr>
        <w:keepNext/>
        <w:jc w:val="both"/>
        <w:rPr>
          <w:sz w:val="16"/>
          <w:szCs w:val="16"/>
          <w:lang w:val="en-US"/>
        </w:rPr>
      </w:pPr>
      <w:r w:rsidRPr="007F7590">
        <w:rPr>
          <w:rStyle w:val="FootnoteReference"/>
          <w:sz w:val="16"/>
          <w:szCs w:val="16"/>
        </w:rPr>
        <w:footnoteRef/>
      </w:r>
      <w:r w:rsidRPr="00AB60D6">
        <w:rPr>
          <w:sz w:val="16"/>
          <w:szCs w:val="16"/>
          <w:lang w:val="en-US"/>
        </w:rPr>
        <w:t>Substituted “</w:t>
      </w:r>
      <w:r w:rsidRPr="00412620">
        <w:rPr>
          <w:sz w:val="16"/>
        </w:rPr>
        <w:t>Rs.100 for each day of default.</w:t>
      </w:r>
      <w:r w:rsidRPr="00AB60D6">
        <w:rPr>
          <w:sz w:val="16"/>
          <w:szCs w:val="16"/>
          <w:lang w:val="en-US"/>
        </w:rPr>
        <w:t>” by the Finance Act, 2015</w:t>
      </w:r>
      <w:r>
        <w:rPr>
          <w:sz w:val="16"/>
          <w:szCs w:val="16"/>
          <w:lang w:val="en-US"/>
        </w:rPr>
        <w:t>.</w:t>
      </w:r>
    </w:p>
  </w:footnote>
  <w:footnote w:id="1243">
    <w:p w:rsidR="00BF2117" w:rsidRPr="00412620" w:rsidRDefault="00BF2117">
      <w:pPr>
        <w:pStyle w:val="FootnoteText"/>
        <w:rPr>
          <w:lang w:val="en-US"/>
        </w:rPr>
      </w:pPr>
      <w:r w:rsidRPr="00BC2BD1">
        <w:rPr>
          <w:rStyle w:val="FootnoteReference"/>
          <w:sz w:val="16"/>
          <w:szCs w:val="16"/>
        </w:rPr>
        <w:footnoteRef/>
      </w:r>
      <w:r w:rsidRPr="00BC2BD1">
        <w:rPr>
          <w:sz w:val="16"/>
          <w:szCs w:val="16"/>
        </w:rPr>
        <w:t xml:space="preserve"> Inserted by the Finance Act, 2011.</w:t>
      </w:r>
    </w:p>
  </w:footnote>
  <w:footnote w:id="1244">
    <w:p w:rsidR="00BF2117" w:rsidRPr="00BC2BD1" w:rsidRDefault="00BF2117">
      <w:pPr>
        <w:pStyle w:val="FootnoteText"/>
        <w:rPr>
          <w:sz w:val="16"/>
          <w:szCs w:val="16"/>
          <w:lang w:val="en-US"/>
        </w:rPr>
      </w:pPr>
      <w:r w:rsidRPr="00BC2BD1">
        <w:rPr>
          <w:rStyle w:val="FootnoteReference"/>
          <w:sz w:val="16"/>
          <w:szCs w:val="16"/>
        </w:rPr>
        <w:footnoteRef/>
      </w:r>
      <w:r w:rsidRPr="00BC2BD1">
        <w:rPr>
          <w:sz w:val="16"/>
          <w:szCs w:val="16"/>
        </w:rPr>
        <w:t xml:space="preserve"> The word “five” substituted by the Finance Act, 2013.</w:t>
      </w:r>
    </w:p>
  </w:footnote>
  <w:footnote w:id="1245">
    <w:p w:rsidR="00BF2117" w:rsidRPr="00BC2BD1" w:rsidRDefault="00BF2117">
      <w:pPr>
        <w:pStyle w:val="FootnoteText"/>
        <w:rPr>
          <w:sz w:val="16"/>
          <w:szCs w:val="16"/>
          <w:lang w:val="en-US"/>
        </w:rPr>
      </w:pPr>
      <w:r w:rsidRPr="00BC2BD1">
        <w:rPr>
          <w:rStyle w:val="FootnoteReference"/>
          <w:sz w:val="16"/>
          <w:szCs w:val="16"/>
        </w:rPr>
        <w:footnoteRef/>
      </w:r>
      <w:r w:rsidRPr="00BC2BD1">
        <w:rPr>
          <w:sz w:val="16"/>
          <w:szCs w:val="16"/>
        </w:rPr>
        <w:t xml:space="preserve"> The word “ten” substituted by the Finance Act, 2013.</w:t>
      </w:r>
    </w:p>
  </w:footnote>
  <w:footnote w:id="1246">
    <w:p w:rsidR="00BF2117" w:rsidRPr="00BC2BD1" w:rsidRDefault="00BF2117">
      <w:pPr>
        <w:pStyle w:val="FootnoteText"/>
        <w:rPr>
          <w:sz w:val="16"/>
          <w:szCs w:val="16"/>
          <w:lang w:val="en-US"/>
        </w:rPr>
      </w:pPr>
      <w:r w:rsidRPr="00BC2BD1">
        <w:rPr>
          <w:rStyle w:val="FootnoteReference"/>
          <w:sz w:val="16"/>
          <w:szCs w:val="16"/>
        </w:rPr>
        <w:footnoteRef/>
      </w:r>
      <w:r w:rsidRPr="00BC2BD1">
        <w:rPr>
          <w:sz w:val="16"/>
          <w:szCs w:val="16"/>
        </w:rPr>
        <w:t xml:space="preserve"> The word “fifty” substituted by the Finance Act, 2013.</w:t>
      </w:r>
    </w:p>
  </w:footnote>
  <w:footnote w:id="1247">
    <w:p w:rsidR="00BF2117" w:rsidRPr="00BC2BD1" w:rsidRDefault="00BF2117">
      <w:pPr>
        <w:pStyle w:val="FootnoteText"/>
        <w:rPr>
          <w:sz w:val="16"/>
          <w:szCs w:val="16"/>
          <w:lang w:val="en-US"/>
        </w:rPr>
      </w:pPr>
      <w:r w:rsidRPr="00BC2BD1">
        <w:rPr>
          <w:rStyle w:val="FootnoteReference"/>
          <w:sz w:val="16"/>
          <w:szCs w:val="16"/>
        </w:rPr>
        <w:footnoteRef/>
      </w:r>
      <w:r w:rsidRPr="00BC2BD1">
        <w:rPr>
          <w:sz w:val="16"/>
          <w:szCs w:val="16"/>
        </w:rPr>
        <w:t xml:space="preserve"> The word “five” substituted by the Finance Act, 2013.</w:t>
      </w:r>
    </w:p>
  </w:footnote>
  <w:footnote w:id="1248">
    <w:p w:rsidR="00BF2117" w:rsidRPr="00BC2BD1" w:rsidRDefault="00BF2117">
      <w:pPr>
        <w:pStyle w:val="FootnoteText"/>
        <w:rPr>
          <w:sz w:val="16"/>
          <w:szCs w:val="16"/>
          <w:lang w:val="en-US"/>
        </w:rPr>
      </w:pPr>
      <w:r w:rsidRPr="00BC2BD1">
        <w:rPr>
          <w:rStyle w:val="FootnoteReference"/>
          <w:sz w:val="16"/>
          <w:szCs w:val="16"/>
        </w:rPr>
        <w:footnoteRef/>
      </w:r>
      <w:r w:rsidRPr="00BC2BD1">
        <w:rPr>
          <w:sz w:val="16"/>
          <w:szCs w:val="16"/>
        </w:rPr>
        <w:t xml:space="preserve"> The word “ten” substituted by the Finance Act, 2013.</w:t>
      </w:r>
    </w:p>
  </w:footnote>
  <w:footnote w:id="1249">
    <w:p w:rsidR="00BF2117" w:rsidRPr="00735D13" w:rsidRDefault="00BF2117">
      <w:pPr>
        <w:pStyle w:val="FootnoteText"/>
        <w:rPr>
          <w:sz w:val="16"/>
          <w:szCs w:val="16"/>
          <w:lang w:val="en-US"/>
        </w:rPr>
      </w:pPr>
      <w:r w:rsidRPr="00735D13">
        <w:rPr>
          <w:rStyle w:val="FootnoteReference"/>
          <w:sz w:val="16"/>
          <w:szCs w:val="16"/>
        </w:rPr>
        <w:footnoteRef/>
      </w:r>
      <w:r w:rsidRPr="00735D13">
        <w:rPr>
          <w:sz w:val="16"/>
          <w:szCs w:val="16"/>
        </w:rPr>
        <w:t xml:space="preserve"> Added by the Finance Act, 2013.</w:t>
      </w:r>
    </w:p>
  </w:footnote>
  <w:footnote w:id="1250">
    <w:p w:rsidR="00BF2117" w:rsidRPr="00735D13" w:rsidRDefault="00BF2117">
      <w:pPr>
        <w:pStyle w:val="FootnoteText"/>
        <w:rPr>
          <w:sz w:val="16"/>
          <w:szCs w:val="16"/>
          <w:lang w:val="en-US"/>
        </w:rPr>
      </w:pPr>
      <w:r w:rsidRPr="00735D13">
        <w:rPr>
          <w:rStyle w:val="FootnoteReference"/>
          <w:sz w:val="16"/>
          <w:szCs w:val="16"/>
        </w:rPr>
        <w:footnoteRef/>
      </w:r>
      <w:r w:rsidRPr="00735D13">
        <w:rPr>
          <w:sz w:val="16"/>
          <w:szCs w:val="16"/>
        </w:rPr>
        <w:t xml:space="preserve"> Full stop substituted by the Finance Act, 2012.</w:t>
      </w:r>
    </w:p>
  </w:footnote>
  <w:footnote w:id="1251">
    <w:p w:rsidR="00BF2117" w:rsidRPr="00412620" w:rsidRDefault="00BF2117">
      <w:pPr>
        <w:pStyle w:val="FootnoteText"/>
        <w:rPr>
          <w:lang w:val="en-US"/>
        </w:rPr>
      </w:pPr>
      <w:r w:rsidRPr="00735D13">
        <w:rPr>
          <w:rStyle w:val="FootnoteReference"/>
          <w:sz w:val="16"/>
          <w:szCs w:val="16"/>
        </w:rPr>
        <w:footnoteRef/>
      </w:r>
      <w:r w:rsidRPr="00735D13">
        <w:rPr>
          <w:sz w:val="16"/>
          <w:szCs w:val="16"/>
        </w:rPr>
        <w:t xml:space="preserve"> Added by the Finance Act, 2011.</w:t>
      </w:r>
    </w:p>
  </w:footnote>
  <w:footnote w:id="1252">
    <w:p w:rsidR="00BF2117" w:rsidRPr="00735D13" w:rsidRDefault="00BF2117" w:rsidP="004F6928">
      <w:pPr>
        <w:pStyle w:val="FootnoteText"/>
        <w:rPr>
          <w:sz w:val="16"/>
          <w:szCs w:val="16"/>
        </w:rPr>
      </w:pPr>
      <w:r w:rsidRPr="00735D13">
        <w:rPr>
          <w:rStyle w:val="FootnoteReference"/>
          <w:sz w:val="16"/>
          <w:szCs w:val="16"/>
        </w:rPr>
        <w:footnoteRef/>
      </w:r>
      <w:r w:rsidRPr="00735D13">
        <w:rPr>
          <w:sz w:val="16"/>
          <w:szCs w:val="16"/>
        </w:rPr>
        <w:t>Section 183 substituted by the Finance Act, 2010. The substituted section 183 read as follows:</w:t>
      </w:r>
    </w:p>
    <w:p w:rsidR="00BF2117" w:rsidRPr="00735D13" w:rsidRDefault="00BF2117" w:rsidP="00522703">
      <w:pPr>
        <w:ind w:left="180" w:hanging="90"/>
        <w:jc w:val="both"/>
        <w:rPr>
          <w:sz w:val="16"/>
          <w:szCs w:val="16"/>
        </w:rPr>
      </w:pPr>
      <w:r w:rsidRPr="00735D13">
        <w:rPr>
          <w:sz w:val="16"/>
          <w:szCs w:val="16"/>
        </w:rPr>
        <w:t>“</w:t>
      </w:r>
      <w:r w:rsidRPr="00735D13">
        <w:rPr>
          <w:rFonts w:cs="Arial"/>
          <w:b/>
          <w:sz w:val="16"/>
          <w:szCs w:val="16"/>
        </w:rPr>
        <w:t>183.</w:t>
      </w:r>
      <w:r w:rsidRPr="00735D13">
        <w:rPr>
          <w:rFonts w:cs="Arial"/>
          <w:b/>
          <w:sz w:val="16"/>
          <w:szCs w:val="16"/>
        </w:rPr>
        <w:tab/>
        <w:t xml:space="preserve"> Penalty for non-payment of tax.-</w:t>
      </w:r>
      <w:r w:rsidRPr="00735D13">
        <w:rPr>
          <w:sz w:val="16"/>
          <w:szCs w:val="16"/>
        </w:rPr>
        <w:t xml:space="preserve"> (1)  A taxpayer who fails to pay any tax (other than penalty imposed under this section) due under this Ordinance by the due date shall be liable for a penalty equal to –</w:t>
      </w:r>
    </w:p>
    <w:p w:rsidR="00BF2117" w:rsidRPr="00735D13" w:rsidRDefault="00BF2117" w:rsidP="00522703">
      <w:pPr>
        <w:pStyle w:val="BodyTextIndent"/>
        <w:ind w:left="1620" w:hanging="540"/>
        <w:jc w:val="both"/>
        <w:rPr>
          <w:rFonts w:cs="Arial"/>
          <w:sz w:val="16"/>
          <w:szCs w:val="16"/>
        </w:rPr>
      </w:pPr>
      <w:r w:rsidRPr="00735D13">
        <w:rPr>
          <w:rFonts w:cs="Arial"/>
          <w:sz w:val="16"/>
          <w:szCs w:val="16"/>
        </w:rPr>
        <w:t>(a)</w:t>
      </w:r>
      <w:r w:rsidRPr="00735D13">
        <w:rPr>
          <w:rFonts w:cs="Arial"/>
          <w:sz w:val="16"/>
          <w:szCs w:val="16"/>
        </w:rPr>
        <w:tab/>
        <w:t>in the case of the first default, five per cent of the amount of tax in default;</w:t>
      </w:r>
    </w:p>
    <w:p w:rsidR="00BF2117" w:rsidRPr="00735D13" w:rsidRDefault="00BF2117" w:rsidP="00522703">
      <w:pPr>
        <w:ind w:left="1620" w:hanging="540"/>
        <w:jc w:val="both"/>
        <w:rPr>
          <w:rFonts w:cs="Arial"/>
          <w:sz w:val="16"/>
          <w:szCs w:val="16"/>
        </w:rPr>
      </w:pPr>
      <w:r w:rsidRPr="00735D13">
        <w:rPr>
          <w:rFonts w:cs="Arial"/>
          <w:sz w:val="16"/>
          <w:szCs w:val="16"/>
        </w:rPr>
        <w:t>(b)</w:t>
      </w:r>
      <w:r w:rsidRPr="00735D13">
        <w:rPr>
          <w:rFonts w:cs="Arial"/>
          <w:sz w:val="16"/>
          <w:szCs w:val="16"/>
        </w:rPr>
        <w:tab/>
        <w:t>in the case of a second default, an additional penalty of twenty per cent of the amount of tax in default;</w:t>
      </w:r>
    </w:p>
    <w:p w:rsidR="00BF2117" w:rsidRPr="00735D13" w:rsidRDefault="00BF2117" w:rsidP="00522703">
      <w:pPr>
        <w:ind w:left="1620" w:hanging="540"/>
        <w:jc w:val="both"/>
        <w:rPr>
          <w:rFonts w:cs="Arial"/>
          <w:sz w:val="16"/>
          <w:szCs w:val="16"/>
        </w:rPr>
      </w:pPr>
      <w:r w:rsidRPr="00735D13">
        <w:rPr>
          <w:rFonts w:cs="Arial"/>
          <w:sz w:val="16"/>
          <w:szCs w:val="16"/>
        </w:rPr>
        <w:t>(c)</w:t>
      </w:r>
      <w:r w:rsidRPr="00735D13">
        <w:rPr>
          <w:rFonts w:cs="Arial"/>
          <w:sz w:val="16"/>
          <w:szCs w:val="16"/>
        </w:rPr>
        <w:tab/>
        <w:t>in the case of a third default, an additional penalty of twenty-five per cent of the amount of tax in default; and</w:t>
      </w:r>
    </w:p>
    <w:p w:rsidR="00BF2117" w:rsidRPr="00735D13" w:rsidRDefault="00BF2117" w:rsidP="00522703">
      <w:pPr>
        <w:ind w:left="1620" w:hanging="540"/>
        <w:jc w:val="both"/>
        <w:rPr>
          <w:rFonts w:cs="Arial"/>
          <w:sz w:val="16"/>
          <w:szCs w:val="16"/>
        </w:rPr>
      </w:pPr>
      <w:r w:rsidRPr="00735D13">
        <w:rPr>
          <w:rFonts w:cs="Arial"/>
          <w:sz w:val="16"/>
          <w:szCs w:val="16"/>
        </w:rPr>
        <w:t>(d)</w:t>
      </w:r>
      <w:r w:rsidRPr="00735D13">
        <w:rPr>
          <w:rFonts w:cs="Arial"/>
          <w:sz w:val="16"/>
          <w:szCs w:val="16"/>
        </w:rPr>
        <w:tab/>
        <w:t>in the case of a fourth and subsequent default, an additional penalty of up to fifty per cent of the amount of tax in default as determined by the Commissioner, but the total penalty in respect of the amount of tax in default shall not exceed one hundred per cent of such amount of tax.</w:t>
      </w:r>
    </w:p>
    <w:p w:rsidR="00BF2117" w:rsidRPr="00735D13" w:rsidRDefault="00BF2117" w:rsidP="000552E3">
      <w:pPr>
        <w:pStyle w:val="FootnoteText"/>
        <w:ind w:left="180" w:hanging="180"/>
        <w:jc w:val="both"/>
        <w:rPr>
          <w:sz w:val="16"/>
          <w:szCs w:val="16"/>
          <w:lang w:val="en-US"/>
        </w:rPr>
      </w:pPr>
      <w:r w:rsidRPr="00735D13">
        <w:rPr>
          <w:rFonts w:cs="Arial"/>
          <w:sz w:val="16"/>
          <w:szCs w:val="16"/>
        </w:rPr>
        <w:tab/>
      </w:r>
      <w:r w:rsidRPr="00735D13">
        <w:rPr>
          <w:rFonts w:cs="Arial"/>
          <w:sz w:val="16"/>
          <w:szCs w:val="16"/>
        </w:rPr>
        <w:tab/>
        <w:t>(2)</w:t>
      </w:r>
      <w:r w:rsidRPr="00735D13">
        <w:rPr>
          <w:rFonts w:cs="Arial"/>
          <w:sz w:val="16"/>
          <w:szCs w:val="16"/>
        </w:rPr>
        <w:tab/>
        <w:t>Where, in consequence of any order under this Ordinance, the amount of tax in respect of which any penalty imposed under sub-section (1) is reduced, the amount of the penalty shall be reduced accordingly.”</w:t>
      </w:r>
    </w:p>
  </w:footnote>
  <w:footnote w:id="1253">
    <w:p w:rsidR="00BF2117" w:rsidRPr="00735D13" w:rsidRDefault="00BF2117" w:rsidP="0022795B">
      <w:pPr>
        <w:pStyle w:val="FootnoteText"/>
        <w:rPr>
          <w:sz w:val="16"/>
          <w:szCs w:val="16"/>
        </w:rPr>
      </w:pPr>
      <w:r w:rsidRPr="00735D13">
        <w:rPr>
          <w:rStyle w:val="FootnoteReference"/>
          <w:sz w:val="16"/>
          <w:szCs w:val="16"/>
        </w:rPr>
        <w:footnoteRef/>
      </w:r>
      <w:r w:rsidRPr="00735D13">
        <w:rPr>
          <w:sz w:val="16"/>
          <w:szCs w:val="16"/>
        </w:rPr>
        <w:t xml:space="preserve"> Section 184 omitted by the Finance Act, 2010. The omitted section 184 read as follows:</w:t>
      </w:r>
    </w:p>
    <w:p w:rsidR="00BF2117" w:rsidRPr="00735D13" w:rsidRDefault="00BF2117" w:rsidP="00106B9F">
      <w:pPr>
        <w:ind w:left="270" w:hanging="90"/>
        <w:jc w:val="both"/>
        <w:rPr>
          <w:sz w:val="16"/>
          <w:szCs w:val="16"/>
        </w:rPr>
      </w:pPr>
      <w:r w:rsidRPr="00735D13">
        <w:rPr>
          <w:sz w:val="16"/>
          <w:szCs w:val="16"/>
        </w:rPr>
        <w:t>“</w:t>
      </w:r>
      <w:r w:rsidRPr="00735D13">
        <w:rPr>
          <w:rFonts w:cs="Arial"/>
          <w:b/>
          <w:sz w:val="16"/>
          <w:szCs w:val="16"/>
        </w:rPr>
        <w:t>184.</w:t>
      </w:r>
      <w:r w:rsidRPr="00735D13">
        <w:rPr>
          <w:rFonts w:cs="Arial"/>
          <w:b/>
          <w:sz w:val="16"/>
          <w:szCs w:val="16"/>
        </w:rPr>
        <w:tab/>
        <w:t xml:space="preserve"> Penalty for concealment of income.-</w:t>
      </w:r>
      <w:r w:rsidRPr="00735D13">
        <w:rPr>
          <w:sz w:val="16"/>
          <w:szCs w:val="16"/>
        </w:rPr>
        <w:t xml:space="preserve"> (1)  Where, in the course of any proceedings under this Ordinance, the Commissioner, Commissioner (Appeals), or the Appellate Tribunal is satisfied that any person has either in the said proceedings or in any earlier proceedings relating to an assessment in respect of the same tax year concealed income or furnished inaccurate particulars of such income, the Commissioner, Commissioner (Appeals), or the Appellate Tribunal, as the case may be, may, by an order in writing, impose upon the person a penalty equal to the amount of tax which the person sought to evade by concealment of income or the furnishing of inaccurate particulars of such income.</w:t>
      </w:r>
    </w:p>
    <w:p w:rsidR="00BF2117" w:rsidRPr="00735D13" w:rsidRDefault="00BF2117" w:rsidP="00106B9F">
      <w:pPr>
        <w:ind w:left="270"/>
        <w:jc w:val="both"/>
        <w:rPr>
          <w:rFonts w:cs="Arial"/>
          <w:sz w:val="16"/>
          <w:szCs w:val="16"/>
        </w:rPr>
      </w:pPr>
      <w:r w:rsidRPr="00735D13">
        <w:rPr>
          <w:rFonts w:cs="Arial"/>
          <w:sz w:val="16"/>
          <w:szCs w:val="16"/>
        </w:rPr>
        <w:tab/>
        <w:t>(2)</w:t>
      </w:r>
      <w:r w:rsidRPr="00735D13">
        <w:rPr>
          <w:rFonts w:cs="Arial"/>
          <w:sz w:val="16"/>
          <w:szCs w:val="16"/>
        </w:rPr>
        <w:tab/>
        <w:t>For the purposes of sub-section (1), concealment of income or the furnishing of inaccurate particulars of income shall include –</w:t>
      </w:r>
    </w:p>
    <w:p w:rsidR="00BF2117" w:rsidRPr="00735D13" w:rsidRDefault="00BF2117" w:rsidP="00106B9F">
      <w:pPr>
        <w:ind w:left="1620" w:hanging="540"/>
        <w:jc w:val="both"/>
        <w:rPr>
          <w:rFonts w:cs="Arial"/>
          <w:sz w:val="16"/>
          <w:szCs w:val="16"/>
        </w:rPr>
      </w:pPr>
      <w:r w:rsidRPr="00735D13">
        <w:rPr>
          <w:rFonts w:cs="Arial"/>
          <w:sz w:val="16"/>
          <w:szCs w:val="16"/>
        </w:rPr>
        <w:t>(a)</w:t>
      </w:r>
      <w:r w:rsidRPr="00735D13">
        <w:rPr>
          <w:rFonts w:cs="Arial"/>
          <w:sz w:val="16"/>
          <w:szCs w:val="16"/>
        </w:rPr>
        <w:tab/>
        <w:t>the suppression of any income or amount chargeable to tax;</w:t>
      </w:r>
    </w:p>
    <w:p w:rsidR="00BF2117" w:rsidRPr="00735D13" w:rsidRDefault="00BF2117" w:rsidP="00106B9F">
      <w:pPr>
        <w:ind w:left="1620" w:hanging="540"/>
        <w:jc w:val="both"/>
        <w:rPr>
          <w:rFonts w:cs="Arial"/>
          <w:sz w:val="16"/>
          <w:szCs w:val="16"/>
        </w:rPr>
      </w:pPr>
      <w:r w:rsidRPr="00735D13">
        <w:rPr>
          <w:rFonts w:cs="Arial"/>
          <w:sz w:val="16"/>
          <w:szCs w:val="16"/>
        </w:rPr>
        <w:t>(b)</w:t>
      </w:r>
      <w:r w:rsidRPr="00735D13">
        <w:rPr>
          <w:rFonts w:cs="Arial"/>
          <w:sz w:val="16"/>
          <w:szCs w:val="16"/>
        </w:rPr>
        <w:tab/>
        <w:t>the claiming of any deduction for any expenditure not actually incurred; or</w:t>
      </w:r>
    </w:p>
    <w:p w:rsidR="00BF2117" w:rsidRPr="00735D13" w:rsidRDefault="00BF2117" w:rsidP="00106B9F">
      <w:pPr>
        <w:ind w:left="1620" w:hanging="540"/>
        <w:jc w:val="both"/>
        <w:rPr>
          <w:rFonts w:cs="Arial"/>
          <w:sz w:val="16"/>
          <w:szCs w:val="16"/>
        </w:rPr>
      </w:pPr>
      <w:r w:rsidRPr="00735D13">
        <w:rPr>
          <w:rFonts w:cs="Arial"/>
          <w:sz w:val="16"/>
          <w:szCs w:val="16"/>
        </w:rPr>
        <w:t>(c)</w:t>
      </w:r>
      <w:r w:rsidRPr="00735D13">
        <w:rPr>
          <w:rFonts w:cs="Arial"/>
          <w:sz w:val="16"/>
          <w:szCs w:val="16"/>
        </w:rPr>
        <w:tab/>
        <w:t>any act referred to in sub-section (1) of section 111.</w:t>
      </w:r>
    </w:p>
    <w:p w:rsidR="00BF2117" w:rsidRPr="00735D13" w:rsidRDefault="00BF2117" w:rsidP="00106B9F">
      <w:pPr>
        <w:ind w:left="270" w:hanging="90"/>
        <w:jc w:val="both"/>
        <w:rPr>
          <w:rFonts w:cs="Arial"/>
          <w:sz w:val="16"/>
          <w:szCs w:val="16"/>
        </w:rPr>
      </w:pPr>
      <w:r w:rsidRPr="00735D13">
        <w:rPr>
          <w:rFonts w:cs="Arial"/>
          <w:sz w:val="16"/>
          <w:szCs w:val="16"/>
        </w:rPr>
        <w:tab/>
      </w:r>
      <w:r w:rsidRPr="00735D13">
        <w:rPr>
          <w:rFonts w:cs="Arial"/>
          <w:sz w:val="16"/>
          <w:szCs w:val="16"/>
        </w:rPr>
        <w:tab/>
        <w:t>(3)</w:t>
      </w:r>
      <w:r w:rsidRPr="00735D13">
        <w:rPr>
          <w:rFonts w:cs="Arial"/>
          <w:sz w:val="16"/>
          <w:szCs w:val="16"/>
        </w:rPr>
        <w:tab/>
        <w:t>Where any income or amount declared by a taxpayer is claimed by the taxpayer to be exempt from tax or any expenditure declared by a taxpayer is claimed by the taxpayer to be deductible, the mere disallowance of such claim shall not constitute concealment of income or the furnishing of inaccurate particulars of income, unless it is proved that the taxpayer made the claim knowing it to be wrong.</w:t>
      </w:r>
    </w:p>
    <w:p w:rsidR="00BF2117" w:rsidRPr="00735D13" w:rsidRDefault="00BF2117" w:rsidP="00106B9F">
      <w:pPr>
        <w:ind w:left="270" w:hanging="90"/>
        <w:jc w:val="both"/>
        <w:rPr>
          <w:rFonts w:cs="Arial"/>
          <w:sz w:val="16"/>
          <w:szCs w:val="16"/>
        </w:rPr>
      </w:pPr>
      <w:r w:rsidRPr="00735D13">
        <w:rPr>
          <w:rFonts w:cs="Arial"/>
          <w:sz w:val="16"/>
          <w:szCs w:val="16"/>
        </w:rPr>
        <w:tab/>
      </w:r>
      <w:r w:rsidRPr="00735D13">
        <w:rPr>
          <w:rFonts w:cs="Arial"/>
          <w:sz w:val="16"/>
          <w:szCs w:val="16"/>
        </w:rPr>
        <w:tab/>
        <w:t>(4)</w:t>
      </w:r>
      <w:r w:rsidRPr="00735D13">
        <w:rPr>
          <w:rFonts w:cs="Arial"/>
          <w:sz w:val="16"/>
          <w:szCs w:val="16"/>
        </w:rPr>
        <w:tab/>
        <w:t>Where a Commissioner (Appeals) or the Appellate Tribunal makes an order under sub-section (1), the Commissioner (Appeals) or the Appellate Tribunal, as the case may be, shall immediately serve a copy of the order on the Commissioner and thereupon all the provisions of this Ordinance relating to the recovery of penalty shall apply as if the order were made by the Commissioner.</w:t>
      </w:r>
    </w:p>
    <w:p w:rsidR="00BF2117" w:rsidRPr="00412620" w:rsidRDefault="00BF2117" w:rsidP="00106B9F">
      <w:pPr>
        <w:jc w:val="both"/>
        <w:rPr>
          <w:rFonts w:cs="Arial"/>
          <w:sz w:val="16"/>
          <w:szCs w:val="16"/>
        </w:rPr>
      </w:pPr>
    </w:p>
    <w:p w:rsidR="00BF2117" w:rsidRPr="00735D13" w:rsidRDefault="00BF2117" w:rsidP="00E072AE">
      <w:pPr>
        <w:pStyle w:val="FootnoteText"/>
        <w:ind w:left="180" w:hanging="180"/>
        <w:jc w:val="both"/>
        <w:rPr>
          <w:sz w:val="16"/>
          <w:szCs w:val="16"/>
        </w:rPr>
      </w:pPr>
      <w:r w:rsidRPr="00412620">
        <w:rPr>
          <w:rFonts w:cs="Arial"/>
          <w:sz w:val="16"/>
          <w:szCs w:val="16"/>
        </w:rPr>
        <w:tab/>
      </w:r>
      <w:r w:rsidRPr="00412620">
        <w:rPr>
          <w:rFonts w:cs="Arial"/>
          <w:sz w:val="16"/>
          <w:szCs w:val="16"/>
        </w:rPr>
        <w:tab/>
      </w:r>
      <w:r w:rsidRPr="00735D13">
        <w:rPr>
          <w:rFonts w:cs="Arial"/>
          <w:sz w:val="16"/>
          <w:szCs w:val="16"/>
        </w:rPr>
        <w:t xml:space="preserve">(5) </w:t>
      </w:r>
      <w:r w:rsidRPr="00735D13">
        <w:rPr>
          <w:rFonts w:cs="Arial"/>
          <w:sz w:val="16"/>
          <w:szCs w:val="16"/>
        </w:rPr>
        <w:tab/>
        <w:t>Where, in consequence of any order under this Ordinance, the amount of tax in respect of which any penalty imposed under sub-section (1) is reduced, the amount of the penalty shall be reduced accordingly.”</w:t>
      </w:r>
    </w:p>
  </w:footnote>
  <w:footnote w:id="1254">
    <w:p w:rsidR="00BF2117" w:rsidRPr="00735D13" w:rsidRDefault="00BF2117">
      <w:pPr>
        <w:pStyle w:val="FootnoteText"/>
        <w:rPr>
          <w:sz w:val="16"/>
          <w:szCs w:val="16"/>
        </w:rPr>
      </w:pPr>
      <w:r w:rsidRPr="00735D13">
        <w:rPr>
          <w:rStyle w:val="FootnoteReference"/>
          <w:sz w:val="16"/>
          <w:szCs w:val="16"/>
        </w:rPr>
        <w:footnoteRef/>
      </w:r>
      <w:r w:rsidRPr="00735D13">
        <w:rPr>
          <w:sz w:val="16"/>
          <w:szCs w:val="16"/>
        </w:rPr>
        <w:t xml:space="preserve"> Section 185 omitted by the Finance Act, 2010. The omitted section 185 read as follows:</w:t>
      </w:r>
    </w:p>
    <w:p w:rsidR="00BF2117" w:rsidRPr="00735D13" w:rsidRDefault="00BF2117" w:rsidP="00D908DE">
      <w:pPr>
        <w:ind w:left="180" w:hanging="90"/>
        <w:jc w:val="both"/>
        <w:rPr>
          <w:sz w:val="16"/>
          <w:szCs w:val="16"/>
        </w:rPr>
      </w:pPr>
      <w:r w:rsidRPr="00735D13">
        <w:rPr>
          <w:sz w:val="16"/>
          <w:szCs w:val="16"/>
          <w:lang w:val="en-US"/>
        </w:rPr>
        <w:t>“</w:t>
      </w:r>
      <w:r w:rsidRPr="00735D13">
        <w:rPr>
          <w:rFonts w:cs="Arial"/>
          <w:b/>
          <w:sz w:val="16"/>
          <w:szCs w:val="16"/>
        </w:rPr>
        <w:t>185.</w:t>
      </w:r>
      <w:r w:rsidRPr="00735D13">
        <w:rPr>
          <w:rFonts w:cs="Arial"/>
          <w:b/>
          <w:sz w:val="16"/>
          <w:szCs w:val="16"/>
        </w:rPr>
        <w:tab/>
        <w:t xml:space="preserve"> Penalty for failure to maintain records.-</w:t>
      </w:r>
      <w:r w:rsidRPr="00735D13">
        <w:rPr>
          <w:sz w:val="16"/>
          <w:szCs w:val="16"/>
        </w:rPr>
        <w:t xml:space="preserve"> A person who, without reasonable excuse, fails to maintain records as required under this Ordinance shall be liable for a penalty equal to –</w:t>
      </w:r>
    </w:p>
    <w:p w:rsidR="00BF2117" w:rsidRPr="00735D13" w:rsidRDefault="00BF2117" w:rsidP="00D908DE">
      <w:pPr>
        <w:ind w:left="1620" w:hanging="540"/>
        <w:jc w:val="both"/>
        <w:rPr>
          <w:rFonts w:cs="Arial"/>
          <w:sz w:val="16"/>
          <w:szCs w:val="16"/>
        </w:rPr>
      </w:pPr>
      <w:r w:rsidRPr="00735D13">
        <w:rPr>
          <w:rFonts w:cs="Arial"/>
          <w:sz w:val="16"/>
          <w:szCs w:val="16"/>
        </w:rPr>
        <w:t>(a)</w:t>
      </w:r>
      <w:r w:rsidRPr="00735D13">
        <w:rPr>
          <w:rFonts w:cs="Arial"/>
          <w:sz w:val="16"/>
          <w:szCs w:val="16"/>
        </w:rPr>
        <w:tab/>
        <w:t>in the case of the first failure, two thousand rupees;</w:t>
      </w:r>
    </w:p>
    <w:p w:rsidR="00BF2117" w:rsidRPr="00735D13" w:rsidRDefault="00BF2117" w:rsidP="00D908DE">
      <w:pPr>
        <w:ind w:left="1620" w:hanging="540"/>
        <w:jc w:val="both"/>
        <w:rPr>
          <w:rFonts w:cs="Arial"/>
          <w:sz w:val="16"/>
          <w:szCs w:val="16"/>
        </w:rPr>
      </w:pPr>
      <w:r w:rsidRPr="00735D13">
        <w:rPr>
          <w:rFonts w:cs="Arial"/>
          <w:sz w:val="16"/>
          <w:szCs w:val="16"/>
        </w:rPr>
        <w:t>(b)</w:t>
      </w:r>
      <w:r w:rsidRPr="00735D13">
        <w:rPr>
          <w:rFonts w:cs="Arial"/>
          <w:sz w:val="16"/>
          <w:szCs w:val="16"/>
        </w:rPr>
        <w:tab/>
        <w:t>in the case of a second failure, five thousand rupees; and</w:t>
      </w:r>
    </w:p>
    <w:p w:rsidR="00BF2117" w:rsidRPr="00735D13" w:rsidRDefault="00BF2117" w:rsidP="00D908DE">
      <w:pPr>
        <w:pStyle w:val="FootnoteText"/>
        <w:ind w:firstLine="360"/>
        <w:rPr>
          <w:sz w:val="16"/>
          <w:szCs w:val="16"/>
          <w:lang w:val="en-US"/>
        </w:rPr>
      </w:pPr>
      <w:r w:rsidRPr="00735D13">
        <w:rPr>
          <w:rFonts w:cs="Arial"/>
          <w:sz w:val="16"/>
          <w:szCs w:val="16"/>
        </w:rPr>
        <w:t>(c)</w:t>
      </w:r>
      <w:r w:rsidRPr="00735D13">
        <w:rPr>
          <w:rFonts w:cs="Arial"/>
          <w:sz w:val="16"/>
          <w:szCs w:val="16"/>
        </w:rPr>
        <w:tab/>
        <w:t>in the case of a third and subsequent failure, ten thousand rupees.”</w:t>
      </w:r>
    </w:p>
  </w:footnote>
  <w:footnote w:id="1255">
    <w:p w:rsidR="00BF2117" w:rsidRPr="00735D13" w:rsidRDefault="00BF2117">
      <w:pPr>
        <w:pStyle w:val="FootnoteText"/>
        <w:rPr>
          <w:sz w:val="16"/>
          <w:szCs w:val="16"/>
        </w:rPr>
      </w:pPr>
      <w:r w:rsidRPr="00735D13">
        <w:rPr>
          <w:rStyle w:val="FootnoteReference"/>
          <w:sz w:val="16"/>
          <w:szCs w:val="16"/>
        </w:rPr>
        <w:footnoteRef/>
      </w:r>
      <w:r w:rsidRPr="00735D13">
        <w:rPr>
          <w:sz w:val="16"/>
          <w:szCs w:val="16"/>
        </w:rPr>
        <w:t xml:space="preserve"> Section 186 omitted by the Finance Act, 2010. The omitted section 186 read as follows:</w:t>
      </w:r>
    </w:p>
    <w:p w:rsidR="00BF2117" w:rsidRPr="00735D13" w:rsidRDefault="00BF2117" w:rsidP="007F5D70">
      <w:pPr>
        <w:ind w:left="180" w:hanging="90"/>
        <w:jc w:val="both"/>
        <w:rPr>
          <w:sz w:val="16"/>
          <w:szCs w:val="16"/>
        </w:rPr>
      </w:pPr>
      <w:r w:rsidRPr="00735D13">
        <w:rPr>
          <w:sz w:val="16"/>
          <w:szCs w:val="16"/>
          <w:lang w:val="en-US"/>
        </w:rPr>
        <w:t>“</w:t>
      </w:r>
      <w:r w:rsidRPr="00735D13">
        <w:rPr>
          <w:rFonts w:cs="Arial"/>
          <w:b/>
          <w:sz w:val="16"/>
          <w:szCs w:val="16"/>
        </w:rPr>
        <w:t>186.</w:t>
      </w:r>
      <w:r w:rsidRPr="00735D13">
        <w:rPr>
          <w:rFonts w:cs="Arial"/>
          <w:b/>
          <w:sz w:val="16"/>
          <w:szCs w:val="16"/>
        </w:rPr>
        <w:tab/>
        <w:t xml:space="preserve"> Penalty for non-compliance with notice.-</w:t>
      </w:r>
      <w:r w:rsidRPr="00735D13">
        <w:rPr>
          <w:sz w:val="16"/>
          <w:szCs w:val="16"/>
        </w:rPr>
        <w:t xml:space="preserve"> (1)  A person who, without reasonable excuse, fails to comply with any notice served on the person under section 116 or 176 shall be liable for a penalty equal to –</w:t>
      </w:r>
    </w:p>
    <w:p w:rsidR="00BF2117" w:rsidRPr="00735D13" w:rsidRDefault="00BF2117" w:rsidP="007F5D70">
      <w:pPr>
        <w:ind w:left="1620" w:hanging="540"/>
        <w:jc w:val="both"/>
        <w:rPr>
          <w:rFonts w:cs="Arial"/>
          <w:sz w:val="16"/>
          <w:szCs w:val="16"/>
        </w:rPr>
      </w:pPr>
      <w:r w:rsidRPr="00735D13">
        <w:rPr>
          <w:rFonts w:cs="Arial"/>
          <w:sz w:val="16"/>
          <w:szCs w:val="16"/>
        </w:rPr>
        <w:t>(a)</w:t>
      </w:r>
      <w:r w:rsidRPr="00735D13">
        <w:rPr>
          <w:rFonts w:cs="Arial"/>
          <w:sz w:val="16"/>
          <w:szCs w:val="16"/>
        </w:rPr>
        <w:tab/>
        <w:t>in the case of the first failure, two thousand rupees;</w:t>
      </w:r>
    </w:p>
    <w:p w:rsidR="00BF2117" w:rsidRPr="00735D13" w:rsidRDefault="00BF2117" w:rsidP="007F5D70">
      <w:pPr>
        <w:ind w:left="1620" w:hanging="540"/>
        <w:jc w:val="both"/>
        <w:rPr>
          <w:rFonts w:cs="Arial"/>
          <w:sz w:val="16"/>
          <w:szCs w:val="16"/>
        </w:rPr>
      </w:pPr>
      <w:r w:rsidRPr="00735D13">
        <w:rPr>
          <w:rFonts w:cs="Arial"/>
          <w:sz w:val="16"/>
          <w:szCs w:val="16"/>
        </w:rPr>
        <w:t>(b)</w:t>
      </w:r>
      <w:r w:rsidRPr="00735D13">
        <w:rPr>
          <w:rFonts w:cs="Arial"/>
          <w:sz w:val="16"/>
          <w:szCs w:val="16"/>
        </w:rPr>
        <w:tab/>
        <w:t>in the case of a second failure, five thousand rupees; or</w:t>
      </w:r>
    </w:p>
    <w:p w:rsidR="00BF2117" w:rsidRPr="00735D13" w:rsidRDefault="00BF2117" w:rsidP="007F5D70">
      <w:pPr>
        <w:ind w:left="1620" w:hanging="540"/>
        <w:jc w:val="both"/>
        <w:rPr>
          <w:rFonts w:cs="Arial"/>
          <w:sz w:val="16"/>
          <w:szCs w:val="16"/>
        </w:rPr>
      </w:pPr>
      <w:r w:rsidRPr="00735D13">
        <w:rPr>
          <w:rFonts w:cs="Arial"/>
          <w:sz w:val="16"/>
          <w:szCs w:val="16"/>
        </w:rPr>
        <w:t>(c)</w:t>
      </w:r>
      <w:r w:rsidRPr="00735D13">
        <w:rPr>
          <w:rFonts w:cs="Arial"/>
          <w:sz w:val="16"/>
          <w:szCs w:val="16"/>
        </w:rPr>
        <w:tab/>
        <w:t>in the case of a third and subsequent failure, ten thousand rupees.</w:t>
      </w:r>
    </w:p>
    <w:p w:rsidR="00BF2117" w:rsidRPr="00735D13" w:rsidRDefault="00BF2117" w:rsidP="007F5D70">
      <w:pPr>
        <w:ind w:left="180" w:hanging="180"/>
        <w:jc w:val="both"/>
        <w:rPr>
          <w:sz w:val="16"/>
          <w:szCs w:val="16"/>
          <w:lang w:val="en-US"/>
        </w:rPr>
      </w:pPr>
      <w:r w:rsidRPr="00735D13">
        <w:rPr>
          <w:sz w:val="16"/>
          <w:szCs w:val="16"/>
        </w:rPr>
        <w:tab/>
      </w:r>
      <w:r w:rsidRPr="00735D13">
        <w:rPr>
          <w:sz w:val="16"/>
          <w:szCs w:val="16"/>
        </w:rPr>
        <w:tab/>
        <w:t>(2)</w:t>
      </w:r>
      <w:r w:rsidRPr="00735D13">
        <w:rPr>
          <w:sz w:val="16"/>
          <w:szCs w:val="16"/>
        </w:rPr>
        <w:tab/>
        <w:t>Where a person liable for a penalty under sub-section (1) has an assessed tax liability for the tax year in which the failure occurred of less than twenty thousand rupees, the amount of the penalty imposed under sub-section (1) shall be reduced by seventy-five per cent.</w:t>
      </w:r>
      <w:r w:rsidRPr="00735D13">
        <w:rPr>
          <w:sz w:val="16"/>
          <w:szCs w:val="16"/>
          <w:lang w:val="en-US"/>
        </w:rPr>
        <w:t>“</w:t>
      </w:r>
    </w:p>
  </w:footnote>
  <w:footnote w:id="1256">
    <w:p w:rsidR="00BF2117" w:rsidRPr="00735D13" w:rsidRDefault="00BF2117">
      <w:pPr>
        <w:pStyle w:val="FootnoteText"/>
        <w:rPr>
          <w:sz w:val="16"/>
          <w:szCs w:val="16"/>
        </w:rPr>
      </w:pPr>
      <w:r w:rsidRPr="00735D13">
        <w:rPr>
          <w:rStyle w:val="FootnoteReference"/>
          <w:sz w:val="16"/>
          <w:szCs w:val="16"/>
        </w:rPr>
        <w:footnoteRef/>
      </w:r>
      <w:r w:rsidRPr="00735D13">
        <w:rPr>
          <w:sz w:val="16"/>
          <w:szCs w:val="16"/>
        </w:rPr>
        <w:t xml:space="preserve"> Section 187 omitted by the Finance Act, 2010. The omitted section 187 read as follows:</w:t>
      </w:r>
    </w:p>
    <w:p w:rsidR="00BF2117" w:rsidRPr="00735D13" w:rsidRDefault="00BF2117" w:rsidP="001820BB">
      <w:pPr>
        <w:ind w:left="180"/>
        <w:jc w:val="both"/>
        <w:rPr>
          <w:sz w:val="16"/>
          <w:szCs w:val="16"/>
        </w:rPr>
      </w:pPr>
      <w:r w:rsidRPr="00735D13">
        <w:rPr>
          <w:sz w:val="16"/>
          <w:szCs w:val="16"/>
          <w:lang w:val="en-US"/>
        </w:rPr>
        <w:t>“</w:t>
      </w:r>
      <w:r w:rsidRPr="00735D13">
        <w:rPr>
          <w:rFonts w:cs="Arial"/>
          <w:b/>
          <w:sz w:val="16"/>
          <w:szCs w:val="16"/>
        </w:rPr>
        <w:t>187.</w:t>
      </w:r>
      <w:r w:rsidRPr="00735D13">
        <w:rPr>
          <w:rFonts w:cs="Arial"/>
          <w:b/>
          <w:sz w:val="16"/>
          <w:szCs w:val="16"/>
        </w:rPr>
        <w:tab/>
        <w:t xml:space="preserve"> Penalty for making false or misleading statements.-</w:t>
      </w:r>
      <w:r w:rsidRPr="00735D13">
        <w:rPr>
          <w:sz w:val="16"/>
          <w:szCs w:val="16"/>
        </w:rPr>
        <w:t xml:space="preserve"> (1)  Where a person –</w:t>
      </w:r>
    </w:p>
    <w:p w:rsidR="00BF2117" w:rsidRPr="00735D13" w:rsidRDefault="00BF2117" w:rsidP="001820BB">
      <w:pPr>
        <w:ind w:left="1620" w:hanging="540"/>
        <w:jc w:val="both"/>
        <w:rPr>
          <w:rFonts w:cs="Arial"/>
          <w:sz w:val="16"/>
          <w:szCs w:val="16"/>
        </w:rPr>
      </w:pPr>
      <w:r w:rsidRPr="00735D13">
        <w:rPr>
          <w:rFonts w:cs="Arial"/>
          <w:sz w:val="16"/>
          <w:szCs w:val="16"/>
        </w:rPr>
        <w:t>(a)</w:t>
      </w:r>
      <w:r w:rsidRPr="00735D13">
        <w:rPr>
          <w:rFonts w:cs="Arial"/>
          <w:sz w:val="16"/>
          <w:szCs w:val="16"/>
        </w:rPr>
        <w:tab/>
        <w:t>makes a statement to an income tax authority that is false or misleading in a material particular or omits from a statement made to an income tax authority any matter or thing without which the statement is false or misleading in a material particular; and</w:t>
      </w:r>
    </w:p>
    <w:p w:rsidR="00BF2117" w:rsidRPr="00735D13" w:rsidRDefault="00BF2117" w:rsidP="001820BB">
      <w:pPr>
        <w:ind w:left="1620" w:hanging="540"/>
        <w:jc w:val="both"/>
        <w:rPr>
          <w:rFonts w:cs="Arial"/>
          <w:sz w:val="16"/>
          <w:szCs w:val="16"/>
        </w:rPr>
      </w:pPr>
      <w:r w:rsidRPr="00735D13">
        <w:rPr>
          <w:rFonts w:cs="Arial"/>
          <w:sz w:val="16"/>
          <w:szCs w:val="16"/>
        </w:rPr>
        <w:t>(b)</w:t>
      </w:r>
      <w:r w:rsidRPr="00735D13">
        <w:rPr>
          <w:rFonts w:cs="Arial"/>
          <w:sz w:val="16"/>
          <w:szCs w:val="16"/>
        </w:rPr>
        <w:tab/>
        <w:t>the tax liability (including the liability for advance tax under section 147) of the person computed on the basis of the statement is less than it would have been if the statement had not been false or misleading (the difference hereinafter referred to as the “tax shortfall”),</w:t>
      </w:r>
    </w:p>
    <w:p w:rsidR="00BF2117" w:rsidRPr="00735D13" w:rsidRDefault="00BF2117" w:rsidP="001820BB">
      <w:pPr>
        <w:pStyle w:val="Header"/>
        <w:tabs>
          <w:tab w:val="left" w:pos="547"/>
        </w:tabs>
        <w:ind w:left="270"/>
        <w:jc w:val="both"/>
        <w:rPr>
          <w:rFonts w:cs="Arial"/>
          <w:sz w:val="16"/>
          <w:szCs w:val="16"/>
        </w:rPr>
      </w:pPr>
      <w:r w:rsidRPr="00735D13">
        <w:rPr>
          <w:rFonts w:cs="Arial"/>
          <w:sz w:val="16"/>
          <w:szCs w:val="16"/>
        </w:rPr>
        <w:t>the person shall be liable for a penalty equal to –</w:t>
      </w:r>
    </w:p>
    <w:p w:rsidR="00BF2117" w:rsidRPr="00735D13" w:rsidRDefault="00BF2117" w:rsidP="001820BB">
      <w:pPr>
        <w:ind w:left="2188" w:hanging="568"/>
        <w:jc w:val="both"/>
        <w:rPr>
          <w:rFonts w:cs="Arial"/>
          <w:sz w:val="16"/>
          <w:szCs w:val="16"/>
        </w:rPr>
      </w:pPr>
      <w:r w:rsidRPr="00735D13">
        <w:rPr>
          <w:rFonts w:cs="Arial"/>
          <w:sz w:val="16"/>
          <w:szCs w:val="16"/>
        </w:rPr>
        <w:t xml:space="preserve"> (i)</w:t>
      </w:r>
      <w:r w:rsidRPr="00735D13">
        <w:rPr>
          <w:rFonts w:cs="Arial"/>
          <w:sz w:val="16"/>
          <w:szCs w:val="16"/>
        </w:rPr>
        <w:tab/>
        <w:t>where the statement or omission was made knowingly or recklessly, two hundred per cent of the tax shortfall; or</w:t>
      </w:r>
    </w:p>
    <w:p w:rsidR="00BF2117" w:rsidRPr="00735D13" w:rsidRDefault="00BF2117" w:rsidP="001820BB">
      <w:pPr>
        <w:ind w:left="2188" w:hanging="568"/>
        <w:jc w:val="both"/>
        <w:rPr>
          <w:rFonts w:cs="Arial"/>
          <w:sz w:val="16"/>
          <w:szCs w:val="16"/>
        </w:rPr>
      </w:pPr>
      <w:r w:rsidRPr="00735D13">
        <w:rPr>
          <w:rFonts w:cs="Arial"/>
          <w:sz w:val="16"/>
          <w:szCs w:val="16"/>
        </w:rPr>
        <w:t>(ii)</w:t>
      </w:r>
      <w:r w:rsidRPr="00735D13">
        <w:rPr>
          <w:rFonts w:cs="Arial"/>
          <w:sz w:val="16"/>
          <w:szCs w:val="16"/>
        </w:rPr>
        <w:tab/>
        <w:t>in any other case (other than where sub-section (2) applies), twenty-five per cent of the tax shortfall.</w:t>
      </w:r>
    </w:p>
    <w:p w:rsidR="00BF2117" w:rsidRPr="00735D13" w:rsidRDefault="00BF2117" w:rsidP="001820BB">
      <w:pPr>
        <w:ind w:left="270"/>
        <w:jc w:val="both"/>
        <w:rPr>
          <w:rFonts w:cs="Arial"/>
          <w:sz w:val="16"/>
          <w:szCs w:val="16"/>
        </w:rPr>
      </w:pPr>
      <w:r w:rsidRPr="00735D13">
        <w:rPr>
          <w:rFonts w:cs="Arial"/>
          <w:sz w:val="16"/>
          <w:szCs w:val="16"/>
        </w:rPr>
        <w:tab/>
        <w:t>(2)</w:t>
      </w:r>
      <w:r w:rsidRPr="00735D13">
        <w:rPr>
          <w:rFonts w:cs="Arial"/>
          <w:sz w:val="16"/>
          <w:szCs w:val="16"/>
        </w:rPr>
        <w:tab/>
        <w:t>In the case of an assessment order under section 120, no penalty shall be imposed under sub-section (1) to the extent to which the tax shortfall arose as a result of the taxpayer taking a reasonably arguable position on the application of this Ordinance to the taxpayer’s position.</w:t>
      </w:r>
    </w:p>
    <w:p w:rsidR="00BF2117" w:rsidRPr="00735D13" w:rsidRDefault="00BF2117" w:rsidP="001820BB">
      <w:pPr>
        <w:ind w:left="270"/>
        <w:jc w:val="both"/>
        <w:rPr>
          <w:rFonts w:cs="Arial"/>
          <w:sz w:val="16"/>
          <w:szCs w:val="16"/>
        </w:rPr>
      </w:pPr>
      <w:r w:rsidRPr="00735D13">
        <w:rPr>
          <w:rFonts w:cs="Arial"/>
          <w:sz w:val="16"/>
          <w:szCs w:val="16"/>
        </w:rPr>
        <w:tab/>
        <w:t>(3)</w:t>
      </w:r>
      <w:r w:rsidRPr="00735D13">
        <w:rPr>
          <w:rFonts w:cs="Arial"/>
          <w:sz w:val="16"/>
          <w:szCs w:val="16"/>
        </w:rPr>
        <w:tab/>
        <w:t>A reference in this section to a statement made to an income tax authority is a reference to a statement made in writing or orally to that authority acting in the performance of the authority’s duties under this Ordinance, and shall include a statement made -</w:t>
      </w:r>
    </w:p>
    <w:p w:rsidR="00BF2117" w:rsidRPr="00735D13" w:rsidRDefault="00BF2117" w:rsidP="001820BB">
      <w:pPr>
        <w:ind w:left="1620" w:hanging="540"/>
        <w:jc w:val="both"/>
        <w:rPr>
          <w:rFonts w:cs="Arial"/>
          <w:sz w:val="16"/>
          <w:szCs w:val="16"/>
        </w:rPr>
      </w:pPr>
      <w:r w:rsidRPr="00735D13">
        <w:rPr>
          <w:rFonts w:cs="Arial"/>
          <w:sz w:val="16"/>
          <w:szCs w:val="16"/>
        </w:rPr>
        <w:t>(a)</w:t>
      </w:r>
      <w:r w:rsidRPr="00735D13">
        <w:rPr>
          <w:rFonts w:cs="Arial"/>
          <w:sz w:val="16"/>
          <w:szCs w:val="16"/>
        </w:rPr>
        <w:tab/>
        <w:t xml:space="preserve">in an application, certificate, declaration, notification, return, objection or other document made, prepared, given, filed or furnished under this Ordinance; </w:t>
      </w:r>
    </w:p>
    <w:p w:rsidR="00BF2117" w:rsidRPr="00735D13" w:rsidRDefault="00BF2117" w:rsidP="001820BB">
      <w:pPr>
        <w:ind w:left="1620" w:hanging="540"/>
        <w:jc w:val="both"/>
        <w:rPr>
          <w:rFonts w:cs="Arial"/>
          <w:sz w:val="16"/>
          <w:szCs w:val="16"/>
        </w:rPr>
      </w:pPr>
      <w:r w:rsidRPr="00735D13">
        <w:rPr>
          <w:rFonts w:cs="Arial"/>
          <w:sz w:val="16"/>
          <w:szCs w:val="16"/>
        </w:rPr>
        <w:t>(b)</w:t>
      </w:r>
      <w:r w:rsidRPr="00735D13">
        <w:rPr>
          <w:rFonts w:cs="Arial"/>
          <w:sz w:val="16"/>
          <w:szCs w:val="16"/>
        </w:rPr>
        <w:tab/>
        <w:t xml:space="preserve">in information required to be furnished under this Ordinance; </w:t>
      </w:r>
    </w:p>
    <w:p w:rsidR="00BF2117" w:rsidRPr="00735D13" w:rsidRDefault="00BF2117" w:rsidP="001820BB">
      <w:pPr>
        <w:ind w:left="1620" w:hanging="540"/>
        <w:jc w:val="both"/>
        <w:rPr>
          <w:rFonts w:cs="Arial"/>
          <w:sz w:val="16"/>
          <w:szCs w:val="16"/>
        </w:rPr>
      </w:pPr>
      <w:r w:rsidRPr="00735D13">
        <w:rPr>
          <w:rFonts w:cs="Arial"/>
          <w:sz w:val="16"/>
          <w:szCs w:val="16"/>
        </w:rPr>
        <w:t>(c)</w:t>
      </w:r>
      <w:r w:rsidRPr="00735D13">
        <w:rPr>
          <w:rFonts w:cs="Arial"/>
          <w:sz w:val="16"/>
          <w:szCs w:val="16"/>
        </w:rPr>
        <w:tab/>
        <w:t xml:space="preserve">in a document furnished to an income tax authority otherwise than pursuant to this Ordinance; </w:t>
      </w:r>
    </w:p>
    <w:p w:rsidR="00BF2117" w:rsidRPr="00735D13" w:rsidRDefault="00BF2117" w:rsidP="001820BB">
      <w:pPr>
        <w:ind w:left="1620" w:hanging="540"/>
        <w:jc w:val="both"/>
        <w:rPr>
          <w:rFonts w:cs="Arial"/>
          <w:sz w:val="16"/>
          <w:szCs w:val="16"/>
        </w:rPr>
      </w:pPr>
      <w:r w:rsidRPr="00735D13">
        <w:rPr>
          <w:rFonts w:cs="Arial"/>
          <w:sz w:val="16"/>
          <w:szCs w:val="16"/>
        </w:rPr>
        <w:t>(d)</w:t>
      </w:r>
      <w:r w:rsidRPr="00735D13">
        <w:rPr>
          <w:rFonts w:cs="Arial"/>
          <w:sz w:val="16"/>
          <w:szCs w:val="16"/>
        </w:rPr>
        <w:tab/>
        <w:t>in answer to a question asked of a person by an income tax authority; or</w:t>
      </w:r>
    </w:p>
    <w:p w:rsidR="00BF2117" w:rsidRPr="00412620" w:rsidRDefault="00BF2117" w:rsidP="001820BB">
      <w:pPr>
        <w:jc w:val="both"/>
        <w:rPr>
          <w:rFonts w:cs="Arial"/>
          <w:sz w:val="16"/>
          <w:szCs w:val="16"/>
        </w:rPr>
      </w:pPr>
    </w:p>
    <w:p w:rsidR="00BF2117" w:rsidRPr="00412620" w:rsidRDefault="00BF2117" w:rsidP="001820BB">
      <w:pPr>
        <w:pStyle w:val="FootnoteText"/>
        <w:ind w:left="1094" w:hanging="360"/>
        <w:rPr>
          <w:sz w:val="16"/>
          <w:lang w:val="en-US"/>
        </w:rPr>
      </w:pPr>
      <w:r w:rsidRPr="00412620">
        <w:rPr>
          <w:rFonts w:cs="Arial"/>
          <w:sz w:val="16"/>
          <w:szCs w:val="16"/>
        </w:rPr>
        <w:t>(e)</w:t>
      </w:r>
      <w:r w:rsidRPr="00412620">
        <w:rPr>
          <w:rFonts w:cs="Arial"/>
          <w:sz w:val="16"/>
          <w:szCs w:val="16"/>
        </w:rPr>
        <w:tab/>
        <w:t>to another person with the knowledge or reasonable expectation that the statement would be conveyed to an income tax authority.”</w:t>
      </w:r>
    </w:p>
  </w:footnote>
  <w:footnote w:id="1257">
    <w:p w:rsidR="00BF2117" w:rsidRPr="00412620" w:rsidRDefault="00BF2117">
      <w:pPr>
        <w:pStyle w:val="FootnoteText"/>
        <w:rPr>
          <w:sz w:val="16"/>
          <w:szCs w:val="16"/>
        </w:rPr>
      </w:pPr>
      <w:r w:rsidRPr="00412620">
        <w:rPr>
          <w:rStyle w:val="FootnoteReference"/>
        </w:rPr>
        <w:footnoteRef/>
      </w:r>
      <w:r w:rsidRPr="00412620">
        <w:rPr>
          <w:sz w:val="16"/>
          <w:szCs w:val="16"/>
        </w:rPr>
        <w:t>Section 188 omitted by the Finance Act, 2010. The omitted section 188 read as follows:</w:t>
      </w:r>
    </w:p>
    <w:p w:rsidR="00BF2117" w:rsidRPr="00412620" w:rsidRDefault="00BF2117" w:rsidP="00FE638A">
      <w:pPr>
        <w:ind w:left="180" w:hanging="90"/>
        <w:jc w:val="both"/>
        <w:rPr>
          <w:sz w:val="16"/>
          <w:szCs w:val="16"/>
        </w:rPr>
      </w:pPr>
      <w:r w:rsidRPr="00412620">
        <w:rPr>
          <w:sz w:val="16"/>
          <w:szCs w:val="16"/>
          <w:lang w:val="en-US"/>
        </w:rPr>
        <w:t>“</w:t>
      </w:r>
      <w:r w:rsidRPr="00412620">
        <w:rPr>
          <w:rFonts w:cs="Arial"/>
          <w:b/>
          <w:sz w:val="16"/>
          <w:szCs w:val="16"/>
        </w:rPr>
        <w:t>188.</w:t>
      </w:r>
      <w:r w:rsidRPr="00412620">
        <w:rPr>
          <w:rFonts w:cs="Arial"/>
          <w:b/>
          <w:sz w:val="16"/>
          <w:szCs w:val="16"/>
        </w:rPr>
        <w:tab/>
        <w:t xml:space="preserve"> Penalty for failure to give notice.-</w:t>
      </w:r>
      <w:r w:rsidRPr="00412620">
        <w:rPr>
          <w:sz w:val="16"/>
          <w:szCs w:val="16"/>
        </w:rPr>
        <w:t xml:space="preserve"> (1)  Where a person fails to give notice of the discontinuance of the person’s business as required under section 117, the Commissioner may impose a penalty on the person not exceeding the amount of tax payable by the person for the tax year in which the business was discontinued. </w:t>
      </w:r>
    </w:p>
    <w:p w:rsidR="00BF2117" w:rsidRPr="00412620" w:rsidRDefault="00BF2117" w:rsidP="00FE638A">
      <w:pPr>
        <w:ind w:left="180" w:hanging="180"/>
        <w:jc w:val="both"/>
        <w:rPr>
          <w:rFonts w:cs="Arial"/>
          <w:sz w:val="20"/>
        </w:rPr>
      </w:pPr>
      <w:r w:rsidRPr="00412620">
        <w:rPr>
          <w:sz w:val="16"/>
          <w:szCs w:val="16"/>
        </w:rPr>
        <w:tab/>
      </w:r>
      <w:r w:rsidRPr="00412620">
        <w:rPr>
          <w:sz w:val="16"/>
          <w:szCs w:val="16"/>
        </w:rPr>
        <w:tab/>
        <w:t>(2)</w:t>
      </w:r>
      <w:r w:rsidRPr="00412620">
        <w:rPr>
          <w:sz w:val="16"/>
          <w:szCs w:val="16"/>
        </w:rPr>
        <w:tab/>
        <w:t>Where a person fails to give notice of the person’s appointment as liquidator as required under section 141, the Commissioner may impose a penalty on the person not exceeding ten thousand rupees.”</w:t>
      </w:r>
    </w:p>
  </w:footnote>
  <w:footnote w:id="1258">
    <w:p w:rsidR="00BF2117" w:rsidRPr="00412620" w:rsidRDefault="00BF2117">
      <w:pPr>
        <w:pStyle w:val="FootnoteText"/>
        <w:rPr>
          <w:sz w:val="16"/>
          <w:szCs w:val="16"/>
        </w:rPr>
      </w:pPr>
      <w:r w:rsidRPr="00412620">
        <w:rPr>
          <w:rStyle w:val="FootnoteReference"/>
        </w:rPr>
        <w:footnoteRef/>
      </w:r>
      <w:r w:rsidRPr="00412620">
        <w:rPr>
          <w:sz w:val="16"/>
          <w:szCs w:val="16"/>
        </w:rPr>
        <w:t>Section 189 omitted by the Finance Act, 2010. The omitted section 189 read as follows:</w:t>
      </w:r>
    </w:p>
    <w:p w:rsidR="00BF2117" w:rsidRPr="00412620" w:rsidRDefault="00BF2117" w:rsidP="00B76AB1">
      <w:pPr>
        <w:ind w:left="180" w:hanging="90"/>
        <w:jc w:val="both"/>
        <w:rPr>
          <w:sz w:val="16"/>
          <w:szCs w:val="16"/>
        </w:rPr>
      </w:pPr>
      <w:r w:rsidRPr="00412620">
        <w:rPr>
          <w:sz w:val="16"/>
          <w:szCs w:val="16"/>
          <w:lang w:val="en-US"/>
        </w:rPr>
        <w:t>“</w:t>
      </w:r>
      <w:r w:rsidRPr="00412620">
        <w:rPr>
          <w:rFonts w:cs="Arial"/>
          <w:b/>
          <w:sz w:val="16"/>
          <w:szCs w:val="16"/>
        </w:rPr>
        <w:t>189.</w:t>
      </w:r>
      <w:r w:rsidRPr="00412620">
        <w:rPr>
          <w:rFonts w:cs="Arial"/>
          <w:b/>
          <w:sz w:val="16"/>
          <w:szCs w:val="16"/>
        </w:rPr>
        <w:tab/>
        <w:t xml:space="preserve"> Penalty for obstruction.-</w:t>
      </w:r>
      <w:r w:rsidRPr="00412620">
        <w:rPr>
          <w:sz w:val="16"/>
          <w:szCs w:val="16"/>
        </w:rPr>
        <w:t xml:space="preserve"> Where any person obstructs the Commissioner or a taxation officer in discharge of the Commissioner or officer’s functions under this Ordinance, the Commissioner may impose a penalty on the person not exceeding ten thousand rupees.”</w:t>
      </w:r>
    </w:p>
  </w:footnote>
  <w:footnote w:id="1259">
    <w:p w:rsidR="00BF2117" w:rsidRPr="00412620" w:rsidRDefault="00BF2117">
      <w:pPr>
        <w:pStyle w:val="FootnoteText"/>
        <w:rPr>
          <w:sz w:val="16"/>
          <w:szCs w:val="16"/>
        </w:rPr>
      </w:pPr>
      <w:r w:rsidRPr="00412620">
        <w:rPr>
          <w:rStyle w:val="FootnoteReference"/>
        </w:rPr>
        <w:footnoteRef/>
      </w:r>
      <w:r w:rsidRPr="00412620">
        <w:rPr>
          <w:sz w:val="16"/>
          <w:szCs w:val="16"/>
        </w:rPr>
        <w:t>Section 190 omitted by the Finance Act, 2010. The omitted section 190 read as follows:</w:t>
      </w:r>
    </w:p>
    <w:p w:rsidR="00BF2117" w:rsidRPr="00412620" w:rsidRDefault="00BF2117" w:rsidP="00470E6C">
      <w:pPr>
        <w:ind w:left="180" w:hanging="90"/>
        <w:jc w:val="both"/>
        <w:rPr>
          <w:sz w:val="16"/>
          <w:szCs w:val="16"/>
        </w:rPr>
      </w:pPr>
      <w:r w:rsidRPr="00412620">
        <w:rPr>
          <w:sz w:val="16"/>
          <w:szCs w:val="16"/>
        </w:rPr>
        <w:t>“</w:t>
      </w:r>
      <w:r w:rsidRPr="00412620">
        <w:rPr>
          <w:rFonts w:cs="Arial"/>
          <w:b/>
          <w:sz w:val="16"/>
          <w:szCs w:val="16"/>
        </w:rPr>
        <w:t>190.</w:t>
      </w:r>
      <w:r w:rsidRPr="00412620">
        <w:rPr>
          <w:rFonts w:cs="Arial"/>
          <w:b/>
          <w:sz w:val="16"/>
          <w:szCs w:val="16"/>
        </w:rPr>
        <w:tab/>
        <w:t xml:space="preserve"> Imposition of penalty.-</w:t>
      </w:r>
      <w:r w:rsidRPr="00412620">
        <w:rPr>
          <w:sz w:val="16"/>
          <w:szCs w:val="16"/>
        </w:rPr>
        <w:t xml:space="preserve"> (1)  No penalty may be imposed under this Part on any person unless the person is given a reasonable opportunity of being heard.</w:t>
      </w:r>
    </w:p>
    <w:p w:rsidR="00BF2117" w:rsidRPr="00412620" w:rsidRDefault="00BF2117" w:rsidP="00470E6C">
      <w:pPr>
        <w:ind w:left="180"/>
        <w:jc w:val="both"/>
        <w:rPr>
          <w:rFonts w:cs="Arial"/>
          <w:sz w:val="16"/>
          <w:szCs w:val="16"/>
        </w:rPr>
      </w:pPr>
      <w:r w:rsidRPr="00412620">
        <w:rPr>
          <w:rFonts w:cs="Arial"/>
          <w:sz w:val="16"/>
          <w:szCs w:val="16"/>
        </w:rPr>
        <w:tab/>
        <w:t>(2)</w:t>
      </w:r>
      <w:r w:rsidRPr="00412620">
        <w:rPr>
          <w:rFonts w:cs="Arial"/>
          <w:sz w:val="16"/>
          <w:szCs w:val="16"/>
        </w:rPr>
        <w:tab/>
        <w:t>Subject to sub-section (3), the imposition of a penalty under this Part shall be without prejudice to any other liability incurred by the person under this Ordinance.</w:t>
      </w:r>
    </w:p>
    <w:p w:rsidR="00BF2117" w:rsidRPr="00412620" w:rsidRDefault="00BF2117" w:rsidP="00470E6C">
      <w:pPr>
        <w:ind w:left="180"/>
        <w:jc w:val="both"/>
        <w:rPr>
          <w:rFonts w:cs="Arial"/>
          <w:sz w:val="16"/>
          <w:szCs w:val="16"/>
        </w:rPr>
      </w:pPr>
      <w:r w:rsidRPr="00412620">
        <w:rPr>
          <w:rFonts w:cs="Arial"/>
          <w:sz w:val="16"/>
          <w:szCs w:val="16"/>
        </w:rPr>
        <w:tab/>
        <w:t>(3)</w:t>
      </w:r>
      <w:r w:rsidRPr="00412620">
        <w:rPr>
          <w:rFonts w:cs="Arial"/>
          <w:sz w:val="16"/>
          <w:szCs w:val="16"/>
        </w:rPr>
        <w:tab/>
        <w:t>The imposition of a penalty in relation to an act or omission shall be an alternative to prosecution under Part XI of this Chapter.</w:t>
      </w:r>
    </w:p>
    <w:p w:rsidR="00BF2117" w:rsidRPr="00412620" w:rsidRDefault="00BF2117" w:rsidP="00470E6C">
      <w:pPr>
        <w:ind w:left="180"/>
        <w:jc w:val="both"/>
        <w:rPr>
          <w:rFonts w:cs="Arial"/>
          <w:sz w:val="16"/>
          <w:szCs w:val="16"/>
        </w:rPr>
      </w:pPr>
      <w:r w:rsidRPr="00412620">
        <w:rPr>
          <w:rFonts w:cs="Arial"/>
          <w:sz w:val="16"/>
          <w:szCs w:val="16"/>
        </w:rPr>
        <w:tab/>
        <w:t>(4)</w:t>
      </w:r>
      <w:r w:rsidRPr="00412620">
        <w:rPr>
          <w:rFonts w:cs="Arial"/>
          <w:sz w:val="16"/>
          <w:szCs w:val="16"/>
        </w:rPr>
        <w:tab/>
        <w:t xml:space="preserve">If a penalty has been paid under this Part and the Commissioner institutes a prosecution proceeding under Part XI of this Chapter in respect of the same act or omission, the Commissioner shall refund the amount of penalty paid, and the penalty shall not be payable unless the prosecution is withdrawn. </w:t>
      </w:r>
    </w:p>
    <w:p w:rsidR="00BF2117" w:rsidRPr="00412620" w:rsidRDefault="00BF2117" w:rsidP="00470E6C">
      <w:pPr>
        <w:ind w:left="180" w:hanging="180"/>
        <w:jc w:val="both"/>
        <w:rPr>
          <w:rFonts w:cs="Arial"/>
          <w:sz w:val="16"/>
          <w:szCs w:val="16"/>
        </w:rPr>
      </w:pPr>
      <w:r w:rsidRPr="00412620">
        <w:rPr>
          <w:rFonts w:cs="Arial"/>
          <w:sz w:val="16"/>
          <w:szCs w:val="16"/>
        </w:rPr>
        <w:tab/>
        <w:t>(5)</w:t>
      </w:r>
      <w:r w:rsidRPr="00412620">
        <w:rPr>
          <w:rFonts w:cs="Arial"/>
          <w:sz w:val="16"/>
          <w:szCs w:val="16"/>
        </w:rPr>
        <w:tab/>
        <w:t>A penalty under sections 182, 183, 185, 186 and 187 shall be imposed by the Commissioner.</w:t>
      </w:r>
    </w:p>
    <w:p w:rsidR="00BF2117" w:rsidRPr="00412620" w:rsidRDefault="00BF2117" w:rsidP="00470E6C">
      <w:pPr>
        <w:ind w:left="180"/>
        <w:jc w:val="both"/>
        <w:rPr>
          <w:rFonts w:cs="Arial"/>
          <w:sz w:val="20"/>
        </w:rPr>
      </w:pPr>
      <w:r w:rsidRPr="00412620">
        <w:rPr>
          <w:sz w:val="16"/>
          <w:szCs w:val="16"/>
        </w:rPr>
        <w:tab/>
        <w:t>(6)</w:t>
      </w:r>
      <w:r w:rsidRPr="00412620">
        <w:rPr>
          <w:sz w:val="16"/>
          <w:szCs w:val="16"/>
        </w:rPr>
        <w:tab/>
        <w:t>The provisions of Parts III and IV of this Chapter shall apply to an assessment of penalty as if it were an assessment of tax.”</w:t>
      </w:r>
    </w:p>
  </w:footnote>
  <w:footnote w:id="1260">
    <w:p w:rsidR="00BF2117" w:rsidRPr="00606F37" w:rsidRDefault="00BF2117">
      <w:pPr>
        <w:pStyle w:val="FootnoteText"/>
        <w:keepNext/>
        <w:rPr>
          <w:sz w:val="16"/>
          <w:szCs w:val="16"/>
        </w:rPr>
      </w:pPr>
      <w:r w:rsidRPr="00606F37">
        <w:rPr>
          <w:rStyle w:val="FootnoteReference"/>
          <w:rFonts w:cs="Arial"/>
          <w:sz w:val="16"/>
          <w:szCs w:val="16"/>
        </w:rPr>
        <w:footnoteRef/>
      </w:r>
      <w:r w:rsidRPr="00606F37">
        <w:rPr>
          <w:sz w:val="16"/>
          <w:szCs w:val="16"/>
        </w:rPr>
        <w:t xml:space="preserve"> Substituted by the Finance Act, 2003. The substituted clause (a) read as follows:</w:t>
      </w:r>
    </w:p>
    <w:p w:rsidR="00BF2117" w:rsidRPr="00606F37" w:rsidRDefault="00BF2117" w:rsidP="00606F37">
      <w:pPr>
        <w:pStyle w:val="BodyTextIndent"/>
        <w:ind w:hanging="540"/>
        <w:jc w:val="both"/>
        <w:rPr>
          <w:rFonts w:cs="Arial"/>
          <w:sz w:val="16"/>
          <w:szCs w:val="16"/>
        </w:rPr>
      </w:pPr>
      <w:r w:rsidRPr="00606F37">
        <w:rPr>
          <w:rFonts w:cs="Arial"/>
          <w:sz w:val="16"/>
          <w:szCs w:val="16"/>
        </w:rPr>
        <w:t xml:space="preserve">“(a) </w:t>
      </w:r>
      <w:r w:rsidRPr="00606F37">
        <w:rPr>
          <w:rFonts w:cs="Arial"/>
          <w:sz w:val="16"/>
          <w:szCs w:val="16"/>
        </w:rPr>
        <w:tab/>
        <w:t>furnish a return of income as required under section 114 or a wealth statement as required under section 116;”</w:t>
      </w:r>
    </w:p>
  </w:footnote>
  <w:footnote w:id="1261">
    <w:p w:rsidR="00BF2117" w:rsidRPr="00606F37" w:rsidRDefault="00BF2117">
      <w:pPr>
        <w:pStyle w:val="FootnoteText"/>
        <w:rPr>
          <w:sz w:val="16"/>
          <w:szCs w:val="16"/>
        </w:rPr>
      </w:pPr>
      <w:r w:rsidRPr="00606F37">
        <w:rPr>
          <w:rStyle w:val="FootnoteReference"/>
          <w:rFonts w:cs="Arial"/>
          <w:sz w:val="16"/>
          <w:szCs w:val="16"/>
        </w:rPr>
        <w:footnoteRef/>
      </w:r>
      <w:r w:rsidRPr="00606F37">
        <w:rPr>
          <w:sz w:val="16"/>
          <w:szCs w:val="16"/>
        </w:rPr>
        <w:t xml:space="preserve"> Inserted by the Finance Act, 2003.</w:t>
      </w:r>
    </w:p>
  </w:footnote>
  <w:footnote w:id="1262">
    <w:p w:rsidR="00BF2117" w:rsidRPr="00606F37" w:rsidRDefault="00BF2117">
      <w:pPr>
        <w:pStyle w:val="FootnoteText"/>
        <w:rPr>
          <w:sz w:val="16"/>
          <w:szCs w:val="16"/>
          <w:lang w:val="en-US"/>
        </w:rPr>
      </w:pPr>
      <w:r w:rsidRPr="00606F37">
        <w:rPr>
          <w:rStyle w:val="FootnoteReference"/>
          <w:sz w:val="16"/>
          <w:szCs w:val="16"/>
        </w:rPr>
        <w:footnoteRef/>
      </w:r>
      <w:r w:rsidRPr="00606F37">
        <w:rPr>
          <w:sz w:val="16"/>
          <w:szCs w:val="16"/>
        </w:rPr>
        <w:t xml:space="preserve"> Inserted by the Finance Act, 2009.</w:t>
      </w:r>
    </w:p>
  </w:footnote>
  <w:footnote w:id="1263">
    <w:p w:rsidR="00BF2117" w:rsidRPr="00606F37" w:rsidRDefault="00BF2117">
      <w:pPr>
        <w:pStyle w:val="FootnoteText"/>
        <w:rPr>
          <w:sz w:val="16"/>
          <w:szCs w:val="16"/>
          <w:lang w:val="en-US"/>
        </w:rPr>
      </w:pPr>
      <w:r w:rsidRPr="00606F37">
        <w:rPr>
          <w:rStyle w:val="FootnoteReference"/>
          <w:sz w:val="16"/>
          <w:szCs w:val="16"/>
        </w:rPr>
        <w:footnoteRef/>
      </w:r>
      <w:r w:rsidRPr="00606F37">
        <w:rPr>
          <w:sz w:val="16"/>
          <w:szCs w:val="16"/>
        </w:rPr>
        <w:t xml:space="preserve"> Inserted by the Finance Act, 2009.</w:t>
      </w:r>
    </w:p>
  </w:footnote>
  <w:footnote w:id="1264">
    <w:p w:rsidR="00BF2117" w:rsidRPr="00606F37" w:rsidRDefault="00BF2117">
      <w:pPr>
        <w:pStyle w:val="FootnoteText"/>
        <w:rPr>
          <w:sz w:val="16"/>
          <w:szCs w:val="16"/>
          <w:lang w:val="en-US"/>
        </w:rPr>
      </w:pPr>
      <w:r w:rsidRPr="00606F37">
        <w:rPr>
          <w:rStyle w:val="FootnoteReference"/>
          <w:sz w:val="16"/>
          <w:szCs w:val="16"/>
        </w:rPr>
        <w:footnoteRef/>
      </w:r>
      <w:r w:rsidRPr="00606F37">
        <w:rPr>
          <w:sz w:val="16"/>
          <w:szCs w:val="16"/>
        </w:rPr>
        <w:t xml:space="preserve"> Inserted by the Finance Act, 2009.</w:t>
      </w:r>
    </w:p>
  </w:footnote>
  <w:footnote w:id="1265">
    <w:p w:rsidR="00BF2117" w:rsidRPr="00606F37" w:rsidRDefault="00BF2117">
      <w:pPr>
        <w:pStyle w:val="FootnoteText"/>
        <w:rPr>
          <w:sz w:val="16"/>
          <w:szCs w:val="16"/>
          <w:lang w:val="en-US"/>
        </w:rPr>
      </w:pPr>
      <w:r w:rsidRPr="00606F37">
        <w:rPr>
          <w:rStyle w:val="FootnoteReference"/>
          <w:sz w:val="16"/>
          <w:szCs w:val="16"/>
        </w:rPr>
        <w:footnoteRef/>
      </w:r>
      <w:r w:rsidRPr="00606F37">
        <w:rPr>
          <w:sz w:val="16"/>
          <w:szCs w:val="16"/>
        </w:rPr>
        <w:t xml:space="preserve"> Inserted by the Finance Act, 2009.</w:t>
      </w:r>
    </w:p>
  </w:footnote>
  <w:footnote w:id="1266">
    <w:p w:rsidR="00BF2117" w:rsidRPr="00606F37" w:rsidRDefault="00BF2117">
      <w:pPr>
        <w:pStyle w:val="FootnoteText"/>
        <w:rPr>
          <w:sz w:val="16"/>
          <w:szCs w:val="16"/>
          <w:lang w:val="en-US"/>
        </w:rPr>
      </w:pPr>
      <w:r w:rsidRPr="00606F37">
        <w:rPr>
          <w:rStyle w:val="FootnoteReference"/>
          <w:sz w:val="16"/>
          <w:szCs w:val="16"/>
        </w:rPr>
        <w:footnoteRef/>
      </w:r>
      <w:r w:rsidRPr="00606F37">
        <w:rPr>
          <w:sz w:val="16"/>
          <w:szCs w:val="16"/>
          <w:lang w:val="en-US"/>
        </w:rPr>
        <w:t>Inserted by the Finance Act, 2008.</w:t>
      </w:r>
    </w:p>
  </w:footnote>
  <w:footnote w:id="1267">
    <w:p w:rsidR="00BF2117" w:rsidRPr="00606F37" w:rsidRDefault="00BF2117">
      <w:pPr>
        <w:pStyle w:val="FootnoteText"/>
        <w:rPr>
          <w:sz w:val="16"/>
          <w:szCs w:val="16"/>
        </w:rPr>
      </w:pPr>
      <w:r w:rsidRPr="00606F37">
        <w:rPr>
          <w:rStyle w:val="FootnoteReference"/>
          <w:rFonts w:cs="Arial"/>
          <w:sz w:val="16"/>
          <w:szCs w:val="16"/>
        </w:rPr>
        <w:footnoteRef/>
      </w:r>
      <w:r w:rsidRPr="00606F37">
        <w:rPr>
          <w:sz w:val="16"/>
          <w:szCs w:val="16"/>
        </w:rPr>
        <w:t xml:space="preserve"> The word “Card” substituted by the Finance Act, 2005.</w:t>
      </w:r>
    </w:p>
  </w:footnote>
  <w:footnote w:id="1268">
    <w:p w:rsidR="00BF2117" w:rsidRPr="00606F37" w:rsidRDefault="00BF2117">
      <w:pPr>
        <w:pStyle w:val="FootnoteText"/>
        <w:rPr>
          <w:sz w:val="16"/>
          <w:szCs w:val="16"/>
        </w:rPr>
      </w:pPr>
      <w:r w:rsidRPr="00606F37">
        <w:rPr>
          <w:rStyle w:val="FootnoteReference"/>
          <w:rFonts w:cs="Arial"/>
          <w:sz w:val="16"/>
          <w:szCs w:val="16"/>
        </w:rPr>
        <w:footnoteRef/>
      </w:r>
      <w:r w:rsidRPr="00606F37">
        <w:rPr>
          <w:sz w:val="16"/>
          <w:szCs w:val="16"/>
        </w:rPr>
        <w:t xml:space="preserve"> The word “Card” substituted by the Finance Act, 2005.</w:t>
      </w:r>
    </w:p>
  </w:footnote>
  <w:footnote w:id="1269">
    <w:p w:rsidR="00BF2117" w:rsidRPr="00606F37" w:rsidRDefault="00BF2117">
      <w:pPr>
        <w:pStyle w:val="FootnoteText"/>
        <w:rPr>
          <w:sz w:val="16"/>
          <w:szCs w:val="16"/>
        </w:rPr>
      </w:pPr>
      <w:r w:rsidRPr="00606F37">
        <w:rPr>
          <w:rStyle w:val="FootnoteReference"/>
          <w:rFonts w:cs="Arial"/>
          <w:sz w:val="16"/>
          <w:szCs w:val="16"/>
        </w:rPr>
        <w:footnoteRef/>
      </w:r>
      <w:r w:rsidRPr="00606F37">
        <w:rPr>
          <w:sz w:val="16"/>
          <w:szCs w:val="16"/>
        </w:rPr>
        <w:t xml:space="preserve"> The word “Card” substituted by the Finance Act, 2005.</w:t>
      </w:r>
    </w:p>
  </w:footnote>
  <w:footnote w:id="1270">
    <w:p w:rsidR="00BF2117" w:rsidRPr="00412620" w:rsidRDefault="00BF2117">
      <w:pPr>
        <w:pStyle w:val="FootnoteText"/>
        <w:rPr>
          <w:lang w:val="en-US"/>
        </w:rPr>
      </w:pPr>
      <w:r w:rsidRPr="00606F37">
        <w:rPr>
          <w:rStyle w:val="FootnoteReference"/>
          <w:sz w:val="16"/>
          <w:szCs w:val="16"/>
        </w:rPr>
        <w:footnoteRef/>
      </w:r>
      <w:r w:rsidRPr="00606F37">
        <w:rPr>
          <w:sz w:val="16"/>
          <w:szCs w:val="16"/>
        </w:rPr>
        <w:t xml:space="preserve"> Inserted by the Finance Act, 2009</w:t>
      </w:r>
      <w:r w:rsidRPr="00412620">
        <w:rPr>
          <w:sz w:val="16"/>
          <w:szCs w:val="16"/>
        </w:rPr>
        <w:t>.</w:t>
      </w:r>
    </w:p>
  </w:footnote>
  <w:footnote w:id="1271">
    <w:p w:rsidR="00BF2117" w:rsidRPr="00606F37" w:rsidRDefault="00BF2117">
      <w:pPr>
        <w:pStyle w:val="FootnoteText"/>
        <w:rPr>
          <w:sz w:val="16"/>
          <w:szCs w:val="16"/>
        </w:rPr>
      </w:pPr>
      <w:r w:rsidRPr="00606F37">
        <w:rPr>
          <w:rStyle w:val="FootnoteReference"/>
          <w:rFonts w:cs="Arial"/>
          <w:sz w:val="16"/>
          <w:szCs w:val="16"/>
        </w:rPr>
        <w:footnoteRef/>
      </w:r>
      <w:r>
        <w:rPr>
          <w:sz w:val="16"/>
          <w:szCs w:val="16"/>
        </w:rPr>
        <w:t xml:space="preserve"> The words “a taxation officer”</w:t>
      </w:r>
      <w:r w:rsidRPr="00606F37">
        <w:rPr>
          <w:sz w:val="16"/>
          <w:szCs w:val="16"/>
        </w:rPr>
        <w:t xml:space="preserve"> substituted by the Finance Act, 2002.</w:t>
      </w:r>
    </w:p>
  </w:footnote>
  <w:footnote w:id="1272">
    <w:p w:rsidR="00BF2117" w:rsidRPr="00606F37" w:rsidRDefault="00BF2117">
      <w:pPr>
        <w:pStyle w:val="FootnoteText"/>
        <w:rPr>
          <w:sz w:val="16"/>
          <w:szCs w:val="16"/>
        </w:rPr>
      </w:pPr>
      <w:r w:rsidRPr="00606F37">
        <w:rPr>
          <w:rStyle w:val="FootnoteReference"/>
          <w:rFonts w:cs="Arial"/>
          <w:sz w:val="16"/>
          <w:szCs w:val="16"/>
        </w:rPr>
        <w:footnoteRef/>
      </w:r>
      <w:r w:rsidRPr="00606F37">
        <w:rPr>
          <w:sz w:val="16"/>
          <w:szCs w:val="16"/>
        </w:rPr>
        <w:t xml:space="preserve"> The words “a taxation officer</w:t>
      </w:r>
      <w:r>
        <w:rPr>
          <w:sz w:val="16"/>
          <w:szCs w:val="16"/>
        </w:rPr>
        <w:t>”</w:t>
      </w:r>
      <w:r w:rsidRPr="00606F37">
        <w:rPr>
          <w:sz w:val="16"/>
          <w:szCs w:val="16"/>
        </w:rPr>
        <w:t xml:space="preserve"> substituted by the Finance Act, 2002.</w:t>
      </w:r>
    </w:p>
  </w:footnote>
  <w:footnote w:id="1273">
    <w:p w:rsidR="00BF2117" w:rsidRPr="004F13A8" w:rsidRDefault="00BF2117">
      <w:pPr>
        <w:pStyle w:val="FootnoteText"/>
        <w:rPr>
          <w:sz w:val="16"/>
          <w:szCs w:val="16"/>
          <w:lang w:val="en-US"/>
        </w:rPr>
      </w:pPr>
      <w:r w:rsidRPr="004F13A8">
        <w:rPr>
          <w:rStyle w:val="FootnoteReference"/>
          <w:sz w:val="16"/>
          <w:szCs w:val="16"/>
        </w:rPr>
        <w:footnoteRef/>
      </w:r>
      <w:r>
        <w:rPr>
          <w:sz w:val="16"/>
          <w:szCs w:val="16"/>
        </w:rPr>
        <w:t>Substituted “</w:t>
      </w:r>
      <w:r w:rsidRPr="004F13A8">
        <w:rPr>
          <w:rFonts w:cs="Arial"/>
          <w:sz w:val="16"/>
          <w:szCs w:val="16"/>
        </w:rPr>
        <w:t>Sub-section (3) of section 187</w:t>
      </w:r>
      <w:r>
        <w:rPr>
          <w:rFonts w:cs="Arial"/>
          <w:sz w:val="16"/>
          <w:szCs w:val="16"/>
        </w:rPr>
        <w:t>” by the Finance Act, 2015.</w:t>
      </w:r>
    </w:p>
  </w:footnote>
  <w:footnote w:id="1274">
    <w:p w:rsidR="00BF2117" w:rsidRPr="00606F37" w:rsidRDefault="00BF2117">
      <w:pPr>
        <w:pStyle w:val="FootnoteText"/>
        <w:rPr>
          <w:sz w:val="16"/>
          <w:szCs w:val="16"/>
        </w:rPr>
      </w:pPr>
      <w:r w:rsidRPr="00606F37">
        <w:rPr>
          <w:rStyle w:val="FootnoteReference"/>
          <w:rFonts w:cs="Arial"/>
          <w:sz w:val="16"/>
          <w:szCs w:val="16"/>
        </w:rPr>
        <w:footnoteRef/>
      </w:r>
      <w:r w:rsidRPr="00606F37">
        <w:rPr>
          <w:sz w:val="16"/>
          <w:szCs w:val="16"/>
        </w:rPr>
        <w:t xml:space="preserve"> The words “a taxation officer</w:t>
      </w:r>
      <w:r>
        <w:rPr>
          <w:sz w:val="16"/>
          <w:szCs w:val="16"/>
        </w:rPr>
        <w:t>”</w:t>
      </w:r>
      <w:r w:rsidRPr="00606F37">
        <w:rPr>
          <w:sz w:val="16"/>
          <w:szCs w:val="16"/>
        </w:rPr>
        <w:t xml:space="preserve"> substituted by the Finance Act, 2002.</w:t>
      </w:r>
    </w:p>
  </w:footnote>
  <w:footnote w:id="1275">
    <w:p w:rsidR="00BF2117" w:rsidRPr="00606F37" w:rsidRDefault="00BF2117" w:rsidP="002F1DDC">
      <w:pPr>
        <w:pStyle w:val="FootnoteText"/>
        <w:rPr>
          <w:sz w:val="16"/>
          <w:szCs w:val="16"/>
        </w:rPr>
      </w:pPr>
      <w:r w:rsidRPr="00606F37">
        <w:rPr>
          <w:rStyle w:val="FootnoteReference"/>
          <w:rFonts w:cs="Arial"/>
          <w:sz w:val="16"/>
          <w:szCs w:val="16"/>
        </w:rPr>
        <w:footnoteRef/>
      </w:r>
      <w:r w:rsidRPr="00606F37">
        <w:rPr>
          <w:sz w:val="16"/>
          <w:szCs w:val="16"/>
        </w:rPr>
        <w:t xml:space="preserve"> The words “a taxation officer</w:t>
      </w:r>
      <w:r>
        <w:rPr>
          <w:sz w:val="16"/>
          <w:szCs w:val="16"/>
        </w:rPr>
        <w:t>”</w:t>
      </w:r>
      <w:r w:rsidRPr="00606F37">
        <w:rPr>
          <w:sz w:val="16"/>
          <w:szCs w:val="16"/>
        </w:rPr>
        <w:t xml:space="preserve"> substituted by the Finance Act, 2002.</w:t>
      </w:r>
    </w:p>
  </w:footnote>
  <w:footnote w:id="1276">
    <w:p w:rsidR="00BF2117" w:rsidRPr="00606F37" w:rsidRDefault="00BF2117">
      <w:pPr>
        <w:pStyle w:val="FootnoteText"/>
        <w:rPr>
          <w:sz w:val="16"/>
          <w:szCs w:val="16"/>
        </w:rPr>
      </w:pPr>
      <w:r w:rsidRPr="00606F37">
        <w:rPr>
          <w:rStyle w:val="FootnoteReference"/>
          <w:rFonts w:cs="Arial"/>
          <w:sz w:val="16"/>
          <w:szCs w:val="16"/>
        </w:rPr>
        <w:footnoteRef/>
      </w:r>
      <w:r w:rsidRPr="00606F37">
        <w:rPr>
          <w:sz w:val="16"/>
          <w:szCs w:val="16"/>
        </w:rPr>
        <w:t>The words “a taxation officer</w:t>
      </w:r>
      <w:r>
        <w:rPr>
          <w:sz w:val="16"/>
          <w:szCs w:val="16"/>
        </w:rPr>
        <w:t>”</w:t>
      </w:r>
      <w:r w:rsidRPr="00606F37">
        <w:rPr>
          <w:sz w:val="16"/>
          <w:szCs w:val="16"/>
        </w:rPr>
        <w:t xml:space="preserve"> substituted by the Finance Act, 2002.</w:t>
      </w:r>
    </w:p>
  </w:footnote>
  <w:footnote w:id="1277">
    <w:p w:rsidR="00BF2117" w:rsidRPr="00606F37" w:rsidRDefault="00BF2117">
      <w:pPr>
        <w:pStyle w:val="FootnoteText"/>
        <w:rPr>
          <w:sz w:val="16"/>
          <w:szCs w:val="16"/>
          <w:lang w:val="en-US"/>
        </w:rPr>
      </w:pPr>
      <w:r w:rsidRPr="00606F37">
        <w:rPr>
          <w:rStyle w:val="FootnoteReference"/>
          <w:sz w:val="16"/>
          <w:szCs w:val="16"/>
        </w:rPr>
        <w:footnoteRef/>
      </w:r>
      <w:r w:rsidRPr="00606F37">
        <w:rPr>
          <w:sz w:val="16"/>
          <w:szCs w:val="16"/>
        </w:rPr>
        <w:t xml:space="preserve"> Inserted by the Finance Act, 2009.</w:t>
      </w:r>
    </w:p>
  </w:footnote>
  <w:footnote w:id="1278">
    <w:p w:rsidR="00BF2117" w:rsidRPr="00F55609" w:rsidRDefault="00BF2117">
      <w:pPr>
        <w:pStyle w:val="FootnoteText"/>
        <w:rPr>
          <w:color w:val="0070C0"/>
          <w:sz w:val="16"/>
          <w:szCs w:val="16"/>
          <w:lang w:val="en-US"/>
        </w:rPr>
      </w:pPr>
      <w:r w:rsidRPr="00F55609">
        <w:rPr>
          <w:rStyle w:val="FootnoteReference"/>
          <w:color w:val="0070C0"/>
          <w:sz w:val="16"/>
          <w:szCs w:val="16"/>
        </w:rPr>
        <w:footnoteRef/>
      </w:r>
      <w:r w:rsidRPr="00F55609">
        <w:rPr>
          <w:color w:val="0070C0"/>
          <w:sz w:val="16"/>
          <w:szCs w:val="16"/>
        </w:rPr>
        <w:t xml:space="preserve"> Inserted by the Finance Act, 2016.</w:t>
      </w:r>
    </w:p>
  </w:footnote>
  <w:footnote w:id="1279">
    <w:p w:rsidR="00BF2117" w:rsidRPr="00606F37" w:rsidRDefault="00BF2117">
      <w:pPr>
        <w:pStyle w:val="FootnoteText"/>
        <w:rPr>
          <w:sz w:val="16"/>
          <w:szCs w:val="16"/>
          <w:lang w:val="en-US"/>
        </w:rPr>
      </w:pPr>
      <w:r w:rsidRPr="00606F37">
        <w:rPr>
          <w:rStyle w:val="FootnoteReference"/>
          <w:sz w:val="16"/>
          <w:szCs w:val="16"/>
        </w:rPr>
        <w:footnoteRef/>
      </w:r>
      <w:r w:rsidRPr="00606F37">
        <w:rPr>
          <w:sz w:val="16"/>
          <w:szCs w:val="16"/>
        </w:rPr>
        <w:t xml:space="preserve"> Inserted by the Finance Act, 2013.</w:t>
      </w:r>
    </w:p>
  </w:footnote>
  <w:footnote w:id="1280">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“six months” substituted by the Finance Act, 2013.</w:t>
      </w:r>
    </w:p>
  </w:footnote>
  <w:footnote w:id="1281">
    <w:p w:rsidR="00BF2117" w:rsidRPr="00E3545F" w:rsidRDefault="00BF2117">
      <w:pPr>
        <w:pStyle w:val="FootnoteText"/>
        <w:rPr>
          <w:sz w:val="16"/>
          <w:szCs w:val="16"/>
        </w:rPr>
      </w:pPr>
      <w:r w:rsidRPr="00E3545F">
        <w:rPr>
          <w:rStyle w:val="FootnoteReference"/>
          <w:rFonts w:cs="Arial"/>
          <w:sz w:val="16"/>
          <w:szCs w:val="16"/>
        </w:rPr>
        <w:footnoteRef/>
      </w:r>
      <w:r w:rsidRPr="00E3545F">
        <w:rPr>
          <w:sz w:val="16"/>
          <w:szCs w:val="16"/>
        </w:rPr>
        <w:t xml:space="preserve"> Inserted by the Finance Act, 2003.</w:t>
      </w:r>
    </w:p>
  </w:footnote>
  <w:footnote w:id="1282">
    <w:p w:rsidR="00BF2117" w:rsidRPr="00E3545F" w:rsidRDefault="00BF2117" w:rsidP="001C3CFF">
      <w:pPr>
        <w:pStyle w:val="FootnoteText"/>
        <w:ind w:left="180" w:hanging="180"/>
        <w:jc w:val="both"/>
        <w:rPr>
          <w:sz w:val="16"/>
          <w:szCs w:val="16"/>
        </w:rPr>
      </w:pPr>
      <w:r w:rsidRPr="00E3545F">
        <w:rPr>
          <w:rStyle w:val="FootnoteReference"/>
          <w:sz w:val="16"/>
          <w:szCs w:val="16"/>
        </w:rPr>
        <w:footnoteRef/>
      </w:r>
      <w:r w:rsidRPr="00E3545F">
        <w:rPr>
          <w:sz w:val="16"/>
          <w:szCs w:val="16"/>
        </w:rPr>
        <w:t xml:space="preserve">Section 202 substituted by the Finance Act, 2009. The substituted sub-section “202” read as follows: </w:t>
      </w:r>
    </w:p>
    <w:p w:rsidR="00BF2117" w:rsidRPr="00E3545F" w:rsidRDefault="00BF2117" w:rsidP="005561D9">
      <w:pPr>
        <w:pStyle w:val="FootnoteText"/>
        <w:ind w:left="180" w:hanging="90"/>
        <w:jc w:val="both"/>
        <w:rPr>
          <w:sz w:val="16"/>
          <w:szCs w:val="16"/>
          <w:lang w:val="en-US"/>
        </w:rPr>
      </w:pPr>
      <w:r w:rsidRPr="00E3545F">
        <w:rPr>
          <w:sz w:val="16"/>
          <w:szCs w:val="16"/>
        </w:rPr>
        <w:t>“</w:t>
      </w:r>
      <w:r w:rsidRPr="00E3545F">
        <w:rPr>
          <w:rFonts w:cs="Arial"/>
          <w:b/>
          <w:sz w:val="16"/>
          <w:szCs w:val="16"/>
        </w:rPr>
        <w:t>202.</w:t>
      </w:r>
      <w:r w:rsidRPr="00E3545F">
        <w:rPr>
          <w:rFonts w:cs="Arial"/>
          <w:b/>
          <w:sz w:val="16"/>
          <w:szCs w:val="16"/>
        </w:rPr>
        <w:tab/>
        <w:t xml:space="preserve"> Power to compound offences.-</w:t>
      </w:r>
      <w:r w:rsidRPr="00E3545F">
        <w:rPr>
          <w:sz w:val="16"/>
          <w:szCs w:val="16"/>
        </w:rPr>
        <w:t xml:space="preserve"> Where any person has committed any offence under this Part, the Commissioner may either before or after the institution of proceedings, compound such offence and order that such person pay the amount for which the offence may be compounded.”</w:t>
      </w:r>
    </w:p>
  </w:footnote>
  <w:footnote w:id="1283">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lang w:val="en-US"/>
        </w:rPr>
        <w:t>The words “Director General” substituted by Finance Act, 2012.</w:t>
      </w:r>
    </w:p>
  </w:footnote>
  <w:footnote w:id="1284">
    <w:p w:rsidR="00BF2117" w:rsidRPr="00E3545F" w:rsidRDefault="00BF2117" w:rsidP="00B86F79">
      <w:pPr>
        <w:pStyle w:val="FootnoteText"/>
        <w:ind w:left="0" w:firstLine="0"/>
        <w:rPr>
          <w:sz w:val="16"/>
          <w:szCs w:val="16"/>
          <w:lang w:val="en-US"/>
        </w:rPr>
      </w:pPr>
      <w:r w:rsidRPr="00E3545F">
        <w:rPr>
          <w:rStyle w:val="FootnoteReference"/>
          <w:sz w:val="16"/>
          <w:szCs w:val="16"/>
        </w:rPr>
        <w:footnoteRef/>
      </w:r>
      <w:r w:rsidRPr="00E3545F">
        <w:rPr>
          <w:sz w:val="16"/>
          <w:szCs w:val="16"/>
          <w:lang w:val="en-US"/>
        </w:rPr>
        <w:t>The words “additional tax” substituted by Finance Act, 2010.</w:t>
      </w:r>
    </w:p>
  </w:footnote>
  <w:footnote w:id="1285">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lang w:val="en-US"/>
        </w:rPr>
        <w:t>Sub-section (1) substituted by Finance Act, 2010. The substituted sub-section (1) read as follows:</w:t>
      </w:r>
    </w:p>
    <w:p w:rsidR="00BF2117" w:rsidRPr="00E3545F" w:rsidRDefault="00BF2117" w:rsidP="006C223B">
      <w:pPr>
        <w:pStyle w:val="FootnoteText"/>
        <w:ind w:left="180" w:firstLine="367"/>
        <w:jc w:val="both"/>
        <w:rPr>
          <w:sz w:val="16"/>
          <w:szCs w:val="16"/>
          <w:lang w:val="en-US"/>
        </w:rPr>
      </w:pPr>
      <w:r w:rsidRPr="00E3545F">
        <w:rPr>
          <w:sz w:val="16"/>
          <w:szCs w:val="16"/>
          <w:lang w:val="en-US"/>
        </w:rPr>
        <w:t xml:space="preserve">“(1) </w:t>
      </w:r>
      <w:r w:rsidRPr="00E3545F">
        <w:rPr>
          <w:sz w:val="16"/>
          <w:szCs w:val="16"/>
          <w:lang w:val="en-US"/>
        </w:rPr>
        <w:tab/>
      </w:r>
      <w:r w:rsidRPr="00E3545F">
        <w:rPr>
          <w:rFonts w:cs="Arial"/>
          <w:sz w:val="16"/>
          <w:szCs w:val="16"/>
        </w:rPr>
        <w:t>The Federal Government” may, by notification in the official Gazette, appoint as many special judges as it may consider necessary, and where it appoints more than one Special Judge, shall specify in the notification the territorial limits within which each of them shall exercise jurisdiction.”</w:t>
      </w:r>
    </w:p>
  </w:footnote>
  <w:footnote w:id="1286">
    <w:p w:rsidR="00BF2117" w:rsidRPr="001B3020" w:rsidRDefault="00BF2117">
      <w:pPr>
        <w:pStyle w:val="FootnoteText"/>
        <w:rPr>
          <w:color w:val="000000" w:themeColor="text1"/>
          <w:sz w:val="16"/>
          <w:szCs w:val="16"/>
          <w:lang w:val="en-US"/>
        </w:rPr>
      </w:pPr>
      <w:r w:rsidRPr="001B3020">
        <w:rPr>
          <w:rStyle w:val="FootnoteReference"/>
          <w:color w:val="000000" w:themeColor="text1"/>
          <w:sz w:val="16"/>
          <w:szCs w:val="16"/>
        </w:rPr>
        <w:footnoteRef/>
      </w:r>
      <w:r w:rsidRPr="001B3020">
        <w:rPr>
          <w:color w:val="000000" w:themeColor="text1"/>
          <w:sz w:val="16"/>
          <w:szCs w:val="16"/>
        </w:rPr>
        <w:t xml:space="preserve"> Full stop substituted by a colon and a proviso added by the Finance Act, 2014.</w:t>
      </w:r>
    </w:p>
  </w:footnote>
  <w:footnote w:id="1287">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lang w:val="en-US"/>
        </w:rPr>
        <w:t>Inserted by Finance Act, 2010.</w:t>
      </w:r>
    </w:p>
  </w:footnote>
  <w:footnote w:id="1288">
    <w:p w:rsidR="00BF2117" w:rsidRPr="00412620" w:rsidRDefault="00BF2117" w:rsidP="000668A6">
      <w:pPr>
        <w:pStyle w:val="FootnoteText"/>
        <w:rPr>
          <w:lang w:val="en-US"/>
        </w:rPr>
      </w:pPr>
      <w:r w:rsidRPr="00E3545F">
        <w:rPr>
          <w:rStyle w:val="FootnoteReference"/>
          <w:sz w:val="16"/>
          <w:szCs w:val="16"/>
        </w:rPr>
        <w:footnoteRef/>
      </w:r>
      <w:r w:rsidRPr="00E3545F">
        <w:rPr>
          <w:sz w:val="16"/>
          <w:szCs w:val="16"/>
          <w:lang w:val="en-US"/>
        </w:rPr>
        <w:t>Inserted by Finance Act, 2010.</w:t>
      </w:r>
    </w:p>
  </w:footnote>
  <w:footnote w:id="1289">
    <w:p w:rsidR="00BF2117" w:rsidRPr="00E3545F" w:rsidRDefault="00BF2117" w:rsidP="00D5041E">
      <w:pPr>
        <w:pStyle w:val="FootnoteText"/>
        <w:rPr>
          <w:sz w:val="16"/>
          <w:szCs w:val="16"/>
          <w:lang w:val="en-US"/>
        </w:rPr>
      </w:pPr>
      <w:r w:rsidRPr="00E3545F">
        <w:rPr>
          <w:rStyle w:val="FootnoteReference"/>
          <w:sz w:val="16"/>
          <w:szCs w:val="16"/>
        </w:rPr>
        <w:footnoteRef/>
      </w:r>
      <w:r w:rsidRPr="00E3545F">
        <w:rPr>
          <w:sz w:val="16"/>
          <w:szCs w:val="16"/>
          <w:lang w:val="en-US"/>
        </w:rPr>
        <w:t>Inserted by Finance Act, 2010.</w:t>
      </w:r>
    </w:p>
  </w:footnote>
  <w:footnote w:id="1290">
    <w:p w:rsidR="00BF2117" w:rsidRPr="00E3545F" w:rsidRDefault="00BF2117" w:rsidP="00D5041E">
      <w:pPr>
        <w:pStyle w:val="FootnoteText"/>
        <w:rPr>
          <w:sz w:val="16"/>
          <w:szCs w:val="16"/>
          <w:lang w:val="en-US"/>
        </w:rPr>
      </w:pPr>
      <w:r w:rsidRPr="00E3545F">
        <w:rPr>
          <w:rStyle w:val="FootnoteReference"/>
          <w:sz w:val="16"/>
          <w:szCs w:val="16"/>
        </w:rPr>
        <w:footnoteRef/>
      </w:r>
      <w:r w:rsidRPr="00E3545F">
        <w:rPr>
          <w:sz w:val="16"/>
          <w:szCs w:val="16"/>
          <w:lang w:val="en-US"/>
        </w:rPr>
        <w:t>Inserted by Finance Act, 2010.</w:t>
      </w:r>
    </w:p>
  </w:footnote>
  <w:footnote w:id="1291">
    <w:p w:rsidR="00BF2117" w:rsidRPr="00E3545F" w:rsidRDefault="00BF2117" w:rsidP="00007F86">
      <w:pPr>
        <w:pStyle w:val="FootnoteText"/>
        <w:rPr>
          <w:sz w:val="16"/>
          <w:szCs w:val="16"/>
          <w:lang w:val="en-US"/>
        </w:rPr>
      </w:pPr>
      <w:r w:rsidRPr="00E3545F">
        <w:rPr>
          <w:rStyle w:val="FootnoteReference"/>
          <w:sz w:val="16"/>
          <w:szCs w:val="16"/>
        </w:rPr>
        <w:footnoteRef/>
      </w:r>
      <w:r w:rsidRPr="00E3545F">
        <w:rPr>
          <w:sz w:val="16"/>
          <w:szCs w:val="16"/>
          <w:lang w:val="en-US"/>
        </w:rPr>
        <w:t>Inserted by Finance Act, 2010.</w:t>
      </w:r>
    </w:p>
  </w:footnote>
  <w:footnote w:id="1292">
    <w:p w:rsidR="00BF2117" w:rsidRPr="00E3545F" w:rsidRDefault="00BF2117" w:rsidP="00690FAB">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293">
    <w:p w:rsidR="00BF2117" w:rsidRPr="00E3545F" w:rsidRDefault="00BF2117" w:rsidP="00690FAB">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294">
    <w:p w:rsidR="00BF2117" w:rsidRPr="00E3545F" w:rsidRDefault="00BF2117">
      <w:pPr>
        <w:pStyle w:val="FootnoteText"/>
        <w:keepNext/>
        <w:rPr>
          <w:sz w:val="16"/>
          <w:szCs w:val="16"/>
        </w:rPr>
      </w:pPr>
      <w:r w:rsidRPr="00E3545F">
        <w:rPr>
          <w:rStyle w:val="FootnoteReference"/>
          <w:rFonts w:cs="Arial"/>
          <w:sz w:val="16"/>
          <w:szCs w:val="16"/>
        </w:rPr>
        <w:footnoteRef/>
      </w:r>
      <w:r w:rsidRPr="00E3545F">
        <w:rPr>
          <w:sz w:val="16"/>
          <w:szCs w:val="16"/>
        </w:rPr>
        <w:t xml:space="preserve"> Substituted by the Finance Act, 2003. The substituted clause (a) read as follows: </w:t>
      </w:r>
    </w:p>
    <w:p w:rsidR="00BF2117" w:rsidRPr="00E3545F" w:rsidRDefault="00BF2117" w:rsidP="008C734A">
      <w:pPr>
        <w:pStyle w:val="BodyTextIndent"/>
        <w:ind w:firstLine="374"/>
        <w:jc w:val="both"/>
        <w:rPr>
          <w:rFonts w:cs="Arial"/>
          <w:sz w:val="16"/>
          <w:szCs w:val="16"/>
        </w:rPr>
      </w:pPr>
      <w:r w:rsidRPr="00E3545F">
        <w:rPr>
          <w:rFonts w:cs="Arial"/>
          <w:sz w:val="16"/>
          <w:szCs w:val="16"/>
        </w:rPr>
        <w:t xml:space="preserve">“(a) </w:t>
      </w:r>
      <w:r w:rsidRPr="00E3545F">
        <w:rPr>
          <w:rFonts w:cs="Arial"/>
          <w:sz w:val="16"/>
          <w:szCs w:val="16"/>
        </w:rPr>
        <w:tab/>
        <w:t>any tax, including any advance payment of tax under section 147;”</w:t>
      </w:r>
    </w:p>
  </w:footnote>
  <w:footnote w:id="1295">
    <w:p w:rsidR="00BF2117" w:rsidRPr="00E3545F" w:rsidRDefault="00BF2117" w:rsidP="00690FAB">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296">
    <w:p w:rsidR="00BF2117" w:rsidRPr="00E3545F" w:rsidRDefault="00BF2117" w:rsidP="000F5DFC">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 xml:space="preserve"> 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297">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“KIBOR plus three per cent per quarter” substituted by the Finance Act, 2012.</w:t>
      </w:r>
    </w:p>
  </w:footnote>
  <w:footnote w:id="1298">
    <w:p w:rsidR="00BF2117" w:rsidRPr="00462D67" w:rsidRDefault="00BF2117">
      <w:pPr>
        <w:pStyle w:val="FootnoteText"/>
        <w:rPr>
          <w:sz w:val="16"/>
          <w:szCs w:val="16"/>
          <w:lang w:val="en-US"/>
        </w:rPr>
      </w:pPr>
      <w:r w:rsidRPr="00462D67">
        <w:rPr>
          <w:rStyle w:val="FootnoteReference"/>
          <w:sz w:val="16"/>
          <w:szCs w:val="16"/>
        </w:rPr>
        <w:footnoteRef/>
      </w:r>
      <w:r>
        <w:rPr>
          <w:sz w:val="16"/>
          <w:szCs w:val="16"/>
        </w:rPr>
        <w:t>The figure “18” substituted by Finance Act, 2015.</w:t>
      </w:r>
    </w:p>
  </w:footnote>
  <w:footnote w:id="1299">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Added by the Finance Act, 2012.</w:t>
      </w:r>
    </w:p>
  </w:footnote>
  <w:footnote w:id="1300">
    <w:p w:rsidR="00BF2117" w:rsidRPr="00E3545F" w:rsidRDefault="00BF2117">
      <w:pPr>
        <w:pStyle w:val="FootnoteText"/>
        <w:rPr>
          <w:sz w:val="16"/>
          <w:szCs w:val="16"/>
        </w:rPr>
      </w:pPr>
      <w:r w:rsidRPr="00E3545F">
        <w:rPr>
          <w:rStyle w:val="FootnoteReference"/>
          <w:rFonts w:cs="Arial"/>
          <w:sz w:val="16"/>
          <w:szCs w:val="16"/>
        </w:rPr>
        <w:footnoteRef/>
      </w:r>
      <w:r w:rsidRPr="00E3545F">
        <w:rPr>
          <w:sz w:val="16"/>
          <w:szCs w:val="16"/>
        </w:rPr>
        <w:t xml:space="preserve"> Inserted by the Finance Act, 2003.</w:t>
      </w:r>
    </w:p>
  </w:footnote>
  <w:footnote w:id="1301">
    <w:p w:rsidR="00BF2117" w:rsidRPr="00E3545F" w:rsidRDefault="00BF2117" w:rsidP="000F5DFC">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02">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“KIBOR plus three per cent per quarter” substituted by the Finance Act, 2012.</w:t>
      </w:r>
    </w:p>
  </w:footnote>
  <w:footnote w:id="1303">
    <w:p w:rsidR="00BF2117" w:rsidRPr="00462D67" w:rsidRDefault="00BF2117">
      <w:pPr>
        <w:pStyle w:val="FootnoteText"/>
        <w:rPr>
          <w:lang w:val="en-US"/>
        </w:rPr>
      </w:pPr>
      <w:r>
        <w:rPr>
          <w:rStyle w:val="FootnoteReference"/>
        </w:rPr>
        <w:footnoteRef/>
      </w:r>
      <w:r>
        <w:rPr>
          <w:sz w:val="16"/>
          <w:szCs w:val="16"/>
        </w:rPr>
        <w:t>The figure “18” substituted by Finance Act, 2015</w:t>
      </w:r>
    </w:p>
  </w:footnote>
  <w:footnote w:id="1304">
    <w:p w:rsidR="00BF2117" w:rsidRPr="00E3545F" w:rsidRDefault="00BF2117">
      <w:pPr>
        <w:pStyle w:val="FootnoteText"/>
        <w:rPr>
          <w:sz w:val="16"/>
          <w:szCs w:val="16"/>
        </w:rPr>
      </w:pPr>
      <w:r w:rsidRPr="00E3545F">
        <w:rPr>
          <w:rStyle w:val="FootnoteReference"/>
          <w:rFonts w:cs="Arial"/>
          <w:sz w:val="16"/>
          <w:szCs w:val="16"/>
        </w:rPr>
        <w:footnoteRef/>
      </w:r>
      <w:r w:rsidRPr="00E3545F">
        <w:rPr>
          <w:sz w:val="16"/>
          <w:szCs w:val="16"/>
        </w:rPr>
        <w:t xml:space="preserve"> Inserted by the Finance Act, 2004.</w:t>
      </w:r>
    </w:p>
  </w:footnote>
  <w:footnote w:id="1305">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Inserted by the Finance Act, 2006.</w:t>
      </w:r>
    </w:p>
  </w:footnote>
  <w:footnote w:id="1306">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 “eighty” substituted by the Finance Act, 2006.</w:t>
      </w:r>
    </w:p>
  </w:footnote>
  <w:footnote w:id="1307">
    <w:p w:rsidR="00BF2117" w:rsidRPr="00E3545F" w:rsidRDefault="00BF2117" w:rsidP="009D433D">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08">
    <w:p w:rsidR="00BF2117" w:rsidRPr="00E3545F" w:rsidRDefault="00BF2117" w:rsidP="00CA5BE8">
      <w:pPr>
        <w:pStyle w:val="FootnoteText"/>
        <w:rPr>
          <w:sz w:val="16"/>
          <w:szCs w:val="16"/>
          <w:lang w:val="en-US"/>
        </w:rPr>
      </w:pPr>
      <w:r w:rsidRPr="00E3545F">
        <w:rPr>
          <w:rStyle w:val="FootnoteReference"/>
          <w:sz w:val="16"/>
          <w:szCs w:val="16"/>
        </w:rPr>
        <w:footnoteRef/>
      </w:r>
      <w:r w:rsidRPr="00E3545F">
        <w:rPr>
          <w:sz w:val="16"/>
          <w:szCs w:val="16"/>
        </w:rPr>
        <w:t xml:space="preserve"> The words “KIBOR plus three per cent per quarter” substituted by the Finance Act, 2012.</w:t>
      </w:r>
    </w:p>
  </w:footnote>
  <w:footnote w:id="1309">
    <w:p w:rsidR="00BF2117" w:rsidRPr="00462D67" w:rsidRDefault="00BF2117">
      <w:pPr>
        <w:pStyle w:val="FootnoteText"/>
        <w:rPr>
          <w:lang w:val="en-US"/>
        </w:rPr>
      </w:pPr>
      <w:r>
        <w:rPr>
          <w:rStyle w:val="FootnoteReference"/>
        </w:rPr>
        <w:footnoteRef/>
      </w:r>
      <w:r>
        <w:rPr>
          <w:sz w:val="16"/>
          <w:szCs w:val="16"/>
        </w:rPr>
        <w:t>The figure “18” substituted by Finance Act, 2015</w:t>
      </w:r>
    </w:p>
  </w:footnote>
  <w:footnote w:id="1310">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 “eighty” substituted by the Finance Act, 2006.</w:t>
      </w:r>
    </w:p>
  </w:footnote>
  <w:footnote w:id="1311">
    <w:p w:rsidR="00BF2117" w:rsidRPr="00E3545F" w:rsidRDefault="00BF2117" w:rsidP="003E563B">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12">
    <w:p w:rsidR="00BF2117" w:rsidRPr="00E3545F" w:rsidRDefault="00BF2117" w:rsidP="003E563B">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13">
    <w:p w:rsidR="00BF2117" w:rsidRPr="00E3545F" w:rsidRDefault="00BF2117">
      <w:pPr>
        <w:pStyle w:val="FootnoteText"/>
        <w:rPr>
          <w:sz w:val="16"/>
          <w:szCs w:val="16"/>
        </w:rPr>
      </w:pPr>
      <w:r w:rsidRPr="00E3545F">
        <w:rPr>
          <w:rStyle w:val="FootnoteReference"/>
          <w:rFonts w:cs="Arial"/>
          <w:sz w:val="16"/>
          <w:szCs w:val="16"/>
        </w:rPr>
        <w:footnoteRef/>
      </w:r>
      <w:r w:rsidRPr="00E3545F">
        <w:rPr>
          <w:sz w:val="16"/>
          <w:szCs w:val="16"/>
        </w:rPr>
        <w:t xml:space="preserve"> Inserted by the Finance Act, 2003.</w:t>
      </w:r>
    </w:p>
  </w:footnote>
  <w:footnote w:id="1314">
    <w:p w:rsidR="00BF2117" w:rsidRPr="00E3545F" w:rsidRDefault="00BF2117" w:rsidP="003E563B">
      <w:pPr>
        <w:pStyle w:val="FootnoteText"/>
        <w:ind w:left="270" w:hanging="27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15">
    <w:p w:rsidR="00BF2117" w:rsidRPr="00E3545F" w:rsidRDefault="00BF2117" w:rsidP="00F020CA">
      <w:pPr>
        <w:pStyle w:val="FootnoteText"/>
        <w:rPr>
          <w:sz w:val="16"/>
          <w:szCs w:val="16"/>
          <w:lang w:val="en-US"/>
        </w:rPr>
      </w:pPr>
      <w:r w:rsidRPr="00E3545F">
        <w:rPr>
          <w:rStyle w:val="FootnoteReference"/>
          <w:sz w:val="16"/>
          <w:szCs w:val="16"/>
        </w:rPr>
        <w:footnoteRef/>
      </w:r>
      <w:r w:rsidRPr="00E3545F">
        <w:rPr>
          <w:sz w:val="16"/>
          <w:szCs w:val="16"/>
        </w:rPr>
        <w:t xml:space="preserve"> The words “KIBOR plus three per cent per quarter” substituted by the Finance Act, 2012.</w:t>
      </w:r>
    </w:p>
  </w:footnote>
  <w:footnote w:id="1316">
    <w:p w:rsidR="00BF2117" w:rsidRPr="00462D67" w:rsidRDefault="00BF2117">
      <w:pPr>
        <w:pStyle w:val="FootnoteText"/>
        <w:rPr>
          <w:lang w:val="en-US"/>
        </w:rPr>
      </w:pPr>
      <w:r>
        <w:rPr>
          <w:rStyle w:val="FootnoteReference"/>
        </w:rPr>
        <w:footnoteRef/>
      </w:r>
      <w:r>
        <w:rPr>
          <w:sz w:val="16"/>
          <w:szCs w:val="16"/>
        </w:rPr>
        <w:t>The figure “18” substituted by Finance Act, 2015</w:t>
      </w:r>
    </w:p>
  </w:footnote>
  <w:footnote w:id="1317">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Full stop substituted by the Finance Act, 2012.</w:t>
      </w:r>
    </w:p>
  </w:footnote>
  <w:footnote w:id="1318">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Added by the Finance Act, 2012.</w:t>
      </w:r>
    </w:p>
  </w:footnote>
  <w:footnote w:id="1319">
    <w:p w:rsidR="00BF2117" w:rsidRPr="00E3545F" w:rsidRDefault="00BF2117">
      <w:pPr>
        <w:pStyle w:val="FootnoteText"/>
        <w:keepNext/>
        <w:rPr>
          <w:sz w:val="16"/>
          <w:szCs w:val="16"/>
        </w:rPr>
      </w:pPr>
      <w:r w:rsidRPr="00E3545F">
        <w:rPr>
          <w:rStyle w:val="FootnoteReference"/>
          <w:rFonts w:cs="Arial"/>
          <w:sz w:val="16"/>
          <w:szCs w:val="16"/>
        </w:rPr>
        <w:footnoteRef/>
      </w:r>
      <w:r w:rsidRPr="00E3545F">
        <w:rPr>
          <w:sz w:val="16"/>
          <w:szCs w:val="16"/>
        </w:rPr>
        <w:t xml:space="preserve"> Sub-section (4) omitted by the Finance Act, 2003. The omitted sub-section (4) read as follows: </w:t>
      </w:r>
    </w:p>
    <w:p w:rsidR="00BF2117" w:rsidRPr="00E3545F" w:rsidRDefault="00BF2117">
      <w:pPr>
        <w:ind w:left="180" w:firstLine="367"/>
        <w:jc w:val="both"/>
        <w:rPr>
          <w:rFonts w:cs="Arial"/>
          <w:sz w:val="16"/>
          <w:szCs w:val="16"/>
        </w:rPr>
      </w:pPr>
      <w:r w:rsidRPr="00E3545F">
        <w:rPr>
          <w:rFonts w:cs="Arial"/>
          <w:sz w:val="16"/>
          <w:szCs w:val="16"/>
        </w:rPr>
        <w:t>”(4)</w:t>
      </w:r>
      <w:r w:rsidRPr="00E3545F">
        <w:rPr>
          <w:rFonts w:cs="Arial"/>
          <w:sz w:val="16"/>
          <w:szCs w:val="16"/>
        </w:rPr>
        <w:tab/>
        <w:t>Additional tax imposed under sub-section (3) shall be borne personally by the person obliged to collect or deduct the tax, and no part shall be recoverable from the taxpayer.”</w:t>
      </w:r>
    </w:p>
  </w:footnote>
  <w:footnote w:id="1320">
    <w:p w:rsidR="00BF2117" w:rsidRPr="00E3545F" w:rsidRDefault="00BF2117" w:rsidP="003D7D64">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21">
    <w:p w:rsidR="00BF2117" w:rsidRPr="00E3545F" w:rsidRDefault="00BF2117" w:rsidP="003D7D64">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22">
    <w:p w:rsidR="00BF2117" w:rsidRPr="00E3545F" w:rsidRDefault="00BF2117" w:rsidP="003D7D64">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 xml:space="preserve"> 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23">
    <w:p w:rsidR="00BF2117" w:rsidRPr="00E3545F" w:rsidRDefault="00BF2117">
      <w:pPr>
        <w:pStyle w:val="FootnoteText"/>
        <w:rPr>
          <w:sz w:val="16"/>
          <w:szCs w:val="16"/>
        </w:rPr>
      </w:pPr>
      <w:r w:rsidRPr="00E3545F">
        <w:rPr>
          <w:rStyle w:val="FootnoteReference"/>
          <w:rFonts w:cs="Arial"/>
          <w:sz w:val="16"/>
          <w:szCs w:val="16"/>
        </w:rPr>
        <w:footnoteRef/>
      </w:r>
      <w:r w:rsidRPr="00E3545F">
        <w:rPr>
          <w:sz w:val="16"/>
          <w:szCs w:val="16"/>
        </w:rPr>
        <w:t xml:space="preserve"> Added by the Finance Act, 2003.</w:t>
      </w:r>
    </w:p>
  </w:footnote>
  <w:footnote w:id="1324">
    <w:p w:rsidR="00BF2117" w:rsidRPr="00412620" w:rsidRDefault="00BF2117" w:rsidP="003D7D64">
      <w:pPr>
        <w:pStyle w:val="FootnoteText"/>
        <w:ind w:left="180" w:hanging="180"/>
        <w:jc w:val="both"/>
        <w:rPr>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w:t>
      </w:r>
      <w:r w:rsidRPr="00412620">
        <w:rPr>
          <w:sz w:val="16"/>
          <w:szCs w:val="16"/>
        </w:rPr>
        <w:t xml:space="preserve"> Earlier the substitution was made through Finance (Amendment) Ordinance, 2009 which was re-promulgated as Finance (Amendment) Ordinance, 2010 and remained effective till 05.06.2010.</w:t>
      </w:r>
    </w:p>
  </w:footnote>
  <w:footnote w:id="1325">
    <w:p w:rsidR="00BF2117" w:rsidRPr="00E3545F" w:rsidRDefault="00BF2117" w:rsidP="00E3545F">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26">
    <w:p w:rsidR="00BF2117" w:rsidRPr="00E3545F" w:rsidRDefault="00BF2117" w:rsidP="00E3545F">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 xml:space="preserve"> The words “additional tax”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27">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“Central Board of Revenue” substituted by the Finance Act, 2007.</w:t>
      </w:r>
    </w:p>
  </w:footnote>
  <w:footnote w:id="1328">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“Central Board of Revenue” substituted by the Finance Act, 2007.</w:t>
      </w:r>
    </w:p>
  </w:footnote>
  <w:footnote w:id="1329">
    <w:p w:rsidR="00BF2117" w:rsidRPr="00E3545F" w:rsidRDefault="00BF2117">
      <w:pPr>
        <w:pStyle w:val="FootnoteText"/>
        <w:rPr>
          <w:sz w:val="16"/>
          <w:szCs w:val="16"/>
        </w:rPr>
      </w:pPr>
      <w:r w:rsidRPr="00E3545F">
        <w:rPr>
          <w:rStyle w:val="FootnoteReference"/>
          <w:sz w:val="16"/>
          <w:szCs w:val="16"/>
        </w:rPr>
        <w:footnoteRef/>
      </w:r>
      <w:r w:rsidRPr="00E3545F">
        <w:rPr>
          <w:sz w:val="16"/>
          <w:szCs w:val="16"/>
        </w:rPr>
        <w:t xml:space="preserve"> Sub-section (2) substituted by the Finance Act, 2006. The substituted sub-section (2) read as follows: </w:t>
      </w:r>
    </w:p>
    <w:p w:rsidR="00BF2117" w:rsidRPr="00E3545F" w:rsidRDefault="00BF2117" w:rsidP="006E309F">
      <w:pPr>
        <w:ind w:left="180" w:firstLine="367"/>
        <w:jc w:val="both"/>
        <w:rPr>
          <w:sz w:val="16"/>
          <w:szCs w:val="16"/>
          <w:lang w:val="en-US"/>
        </w:rPr>
      </w:pPr>
      <w:r w:rsidRPr="00E3545F">
        <w:rPr>
          <w:sz w:val="16"/>
          <w:szCs w:val="16"/>
        </w:rPr>
        <w:t>“</w:t>
      </w:r>
      <w:r w:rsidRPr="00E3545F">
        <w:rPr>
          <w:rFonts w:cs="Arial"/>
          <w:sz w:val="16"/>
          <w:szCs w:val="16"/>
        </w:rPr>
        <w:t>(2)  A Circular shall be binding on the Central Board of Revenue, other than the Commissioner (Appeals).”</w:t>
      </w:r>
    </w:p>
  </w:footnote>
  <w:footnote w:id="1330">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“Central Board of Revenue” substituted by the Finance Act, 2007.</w:t>
      </w:r>
    </w:p>
  </w:footnote>
  <w:footnote w:id="1331">
    <w:p w:rsidR="00BF2117" w:rsidRPr="00E3545F" w:rsidRDefault="00BF2117">
      <w:pPr>
        <w:pStyle w:val="FootnoteText"/>
        <w:rPr>
          <w:sz w:val="16"/>
          <w:szCs w:val="16"/>
        </w:rPr>
      </w:pPr>
      <w:r w:rsidRPr="00E3545F">
        <w:rPr>
          <w:rStyle w:val="FootnoteReference"/>
          <w:rFonts w:cs="Arial"/>
          <w:sz w:val="16"/>
          <w:szCs w:val="16"/>
        </w:rPr>
        <w:footnoteRef/>
      </w:r>
      <w:r w:rsidRPr="00E3545F">
        <w:rPr>
          <w:sz w:val="16"/>
          <w:szCs w:val="16"/>
        </w:rPr>
        <w:t xml:space="preserve"> Inserted by the Finance Act, 2002.</w:t>
      </w:r>
    </w:p>
  </w:footnote>
  <w:footnote w:id="1332">
    <w:p w:rsidR="00BF2117" w:rsidRPr="00E3545F" w:rsidRDefault="00BF2117">
      <w:pPr>
        <w:pStyle w:val="FootnoteText"/>
        <w:rPr>
          <w:sz w:val="16"/>
          <w:szCs w:val="16"/>
        </w:rPr>
      </w:pPr>
      <w:r w:rsidRPr="00E3545F">
        <w:rPr>
          <w:rStyle w:val="FootnoteReference"/>
          <w:rFonts w:cs="Arial"/>
          <w:sz w:val="16"/>
          <w:szCs w:val="16"/>
        </w:rPr>
        <w:footnoteRef/>
      </w:r>
      <w:r w:rsidRPr="00E3545F">
        <w:rPr>
          <w:sz w:val="16"/>
          <w:szCs w:val="16"/>
        </w:rPr>
        <w:t xml:space="preserve"> Added by the Finance Act, 2003.</w:t>
      </w:r>
    </w:p>
  </w:footnote>
  <w:footnote w:id="1333">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“Central Board of Revenue” substituted by the Finance Act, 2007.</w:t>
      </w:r>
    </w:p>
  </w:footnote>
  <w:footnote w:id="1334">
    <w:p w:rsidR="00BF2117" w:rsidRPr="00E3545F" w:rsidRDefault="00BF2117">
      <w:pPr>
        <w:pStyle w:val="FootnoteText"/>
        <w:rPr>
          <w:sz w:val="16"/>
          <w:szCs w:val="16"/>
        </w:rPr>
      </w:pPr>
      <w:r w:rsidRPr="00E3545F">
        <w:rPr>
          <w:rStyle w:val="FootnoteReference"/>
          <w:rFonts w:cs="Arial"/>
          <w:sz w:val="16"/>
          <w:szCs w:val="16"/>
        </w:rPr>
        <w:footnoteRef/>
      </w:r>
      <w:r w:rsidRPr="00E3545F">
        <w:rPr>
          <w:sz w:val="16"/>
          <w:szCs w:val="16"/>
        </w:rPr>
        <w:t xml:space="preserve"> The word “blinding” substituted by the Finance Act, 2005.</w:t>
      </w:r>
    </w:p>
  </w:footnote>
  <w:footnote w:id="1335">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Full stop substituted by the Finance Act, 2011.</w:t>
      </w:r>
    </w:p>
  </w:footnote>
  <w:footnote w:id="1336">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Inserted by the Finance Act, 2011.</w:t>
      </w:r>
    </w:p>
  </w:footnote>
  <w:footnote w:id="1337">
    <w:p w:rsidR="00BF2117" w:rsidRPr="00E3545F" w:rsidRDefault="00BF2117" w:rsidP="00661192">
      <w:pPr>
        <w:pStyle w:val="FootnoteText"/>
        <w:ind w:left="180" w:hanging="180"/>
        <w:jc w:val="both"/>
        <w:rPr>
          <w:sz w:val="16"/>
          <w:szCs w:val="16"/>
        </w:rPr>
      </w:pPr>
      <w:r w:rsidRPr="00E3545F">
        <w:rPr>
          <w:rStyle w:val="FootnoteReference"/>
          <w:sz w:val="16"/>
          <w:szCs w:val="16"/>
        </w:rPr>
        <w:footnoteRef/>
      </w:r>
      <w:r w:rsidRPr="00E3545F">
        <w:rPr>
          <w:sz w:val="16"/>
          <w:szCs w:val="16"/>
        </w:rPr>
        <w:t xml:space="preserve"> Section 207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The substituted section 207 read as follows:</w:t>
      </w:r>
    </w:p>
    <w:p w:rsidR="00BF2117" w:rsidRPr="00E3545F" w:rsidRDefault="00BF2117" w:rsidP="00DD55E2">
      <w:pPr>
        <w:ind w:left="180" w:hanging="90"/>
        <w:jc w:val="both"/>
        <w:rPr>
          <w:b/>
          <w:sz w:val="16"/>
          <w:szCs w:val="16"/>
        </w:rPr>
      </w:pPr>
      <w:r w:rsidRPr="00E3545F">
        <w:rPr>
          <w:sz w:val="16"/>
          <w:szCs w:val="16"/>
        </w:rPr>
        <w:t>“</w:t>
      </w:r>
      <w:r w:rsidRPr="00E3545F">
        <w:rPr>
          <w:b/>
          <w:sz w:val="16"/>
          <w:szCs w:val="16"/>
        </w:rPr>
        <w:t xml:space="preserve">207. Income tax authorities.- (1) </w:t>
      </w:r>
      <w:r w:rsidRPr="00E3545F">
        <w:rPr>
          <w:sz w:val="16"/>
          <w:szCs w:val="16"/>
        </w:rPr>
        <w:t>There shall be the following income tax authorities for the purposes of this Ordinance and rules made thereunder,  namely:-</w:t>
      </w:r>
    </w:p>
    <w:p w:rsidR="00BF2117" w:rsidRPr="00E3545F" w:rsidRDefault="00BF2117" w:rsidP="00DD55E2">
      <w:pPr>
        <w:ind w:left="1620" w:hanging="540"/>
        <w:jc w:val="both"/>
        <w:rPr>
          <w:rFonts w:cs="Arial"/>
          <w:sz w:val="16"/>
          <w:szCs w:val="16"/>
        </w:rPr>
      </w:pPr>
      <w:r w:rsidRPr="00E3545F">
        <w:rPr>
          <w:rFonts w:cs="Arial"/>
          <w:sz w:val="16"/>
          <w:szCs w:val="16"/>
        </w:rPr>
        <w:t xml:space="preserve">(a) </w:t>
      </w:r>
      <w:r w:rsidRPr="00E3545F">
        <w:rPr>
          <w:rFonts w:cs="Arial"/>
          <w:sz w:val="16"/>
          <w:szCs w:val="16"/>
        </w:rPr>
        <w:tab/>
        <w:t>Board;</w:t>
      </w:r>
    </w:p>
    <w:p w:rsidR="00BF2117" w:rsidRPr="00E3545F" w:rsidRDefault="00BF2117" w:rsidP="00DD55E2">
      <w:pPr>
        <w:ind w:left="1620" w:hanging="540"/>
        <w:jc w:val="both"/>
        <w:rPr>
          <w:rFonts w:cs="Arial"/>
          <w:sz w:val="16"/>
          <w:szCs w:val="16"/>
        </w:rPr>
      </w:pPr>
      <w:r w:rsidRPr="00E3545F">
        <w:rPr>
          <w:rFonts w:cs="Arial"/>
          <w:sz w:val="16"/>
          <w:szCs w:val="16"/>
        </w:rPr>
        <w:t xml:space="preserve">(b) </w:t>
      </w:r>
      <w:r w:rsidRPr="00E3545F">
        <w:rPr>
          <w:rFonts w:cs="Arial"/>
          <w:sz w:val="16"/>
          <w:szCs w:val="16"/>
        </w:rPr>
        <w:tab/>
        <w:t>Chief Commissioner Inland Revenue;</w:t>
      </w:r>
    </w:p>
    <w:p w:rsidR="00BF2117" w:rsidRPr="00E3545F" w:rsidRDefault="00BF2117" w:rsidP="00DD55E2">
      <w:pPr>
        <w:ind w:left="1620" w:hanging="540"/>
        <w:jc w:val="both"/>
        <w:rPr>
          <w:rFonts w:cs="Arial"/>
          <w:sz w:val="16"/>
          <w:szCs w:val="16"/>
        </w:rPr>
      </w:pPr>
      <w:r w:rsidRPr="00E3545F">
        <w:rPr>
          <w:rFonts w:cs="Arial"/>
          <w:sz w:val="16"/>
          <w:szCs w:val="16"/>
        </w:rPr>
        <w:t xml:space="preserve">(c) </w:t>
      </w:r>
      <w:r w:rsidRPr="00E3545F">
        <w:rPr>
          <w:rFonts w:cs="Arial"/>
          <w:sz w:val="16"/>
          <w:szCs w:val="16"/>
        </w:rPr>
        <w:tab/>
        <w:t>Commissioner Inland Revenue;</w:t>
      </w:r>
    </w:p>
    <w:p w:rsidR="00BF2117" w:rsidRPr="00E3545F" w:rsidRDefault="00BF2117" w:rsidP="00DD55E2">
      <w:pPr>
        <w:ind w:left="1620" w:hanging="540"/>
        <w:jc w:val="both"/>
        <w:rPr>
          <w:rFonts w:cs="Arial"/>
          <w:sz w:val="16"/>
          <w:szCs w:val="16"/>
        </w:rPr>
      </w:pPr>
      <w:r w:rsidRPr="00E3545F">
        <w:rPr>
          <w:rFonts w:cs="Arial"/>
          <w:sz w:val="16"/>
          <w:szCs w:val="16"/>
        </w:rPr>
        <w:t xml:space="preserve">(d) </w:t>
      </w:r>
      <w:r w:rsidRPr="00E3545F">
        <w:rPr>
          <w:rFonts w:cs="Arial"/>
          <w:sz w:val="16"/>
          <w:szCs w:val="16"/>
        </w:rPr>
        <w:tab/>
        <w:t xml:space="preserve">Commissioner Inland Revenue (Appeals); </w:t>
      </w:r>
    </w:p>
    <w:p w:rsidR="00BF2117" w:rsidRPr="00E3545F" w:rsidRDefault="00BF2117" w:rsidP="00DD55E2">
      <w:pPr>
        <w:ind w:left="1620" w:hanging="540"/>
        <w:jc w:val="both"/>
        <w:rPr>
          <w:rFonts w:cs="Arial"/>
          <w:sz w:val="16"/>
          <w:szCs w:val="16"/>
        </w:rPr>
      </w:pPr>
      <w:r w:rsidRPr="00E3545F">
        <w:rPr>
          <w:rFonts w:cs="Arial"/>
          <w:sz w:val="16"/>
          <w:szCs w:val="16"/>
        </w:rPr>
        <w:t xml:space="preserve">(e) </w:t>
      </w:r>
      <w:r w:rsidRPr="00E3545F">
        <w:rPr>
          <w:rFonts w:cs="Arial"/>
          <w:sz w:val="16"/>
          <w:szCs w:val="16"/>
        </w:rPr>
        <w:tab/>
        <w:t>Additional Commissioner Inland Revenue;</w:t>
      </w:r>
    </w:p>
    <w:p w:rsidR="00BF2117" w:rsidRPr="00E3545F" w:rsidRDefault="00BF2117" w:rsidP="00DD55E2">
      <w:pPr>
        <w:ind w:left="1620" w:hanging="540"/>
        <w:jc w:val="both"/>
        <w:rPr>
          <w:rFonts w:cs="Arial"/>
          <w:sz w:val="16"/>
          <w:szCs w:val="16"/>
        </w:rPr>
      </w:pPr>
      <w:r w:rsidRPr="00E3545F">
        <w:rPr>
          <w:rFonts w:cs="Arial"/>
          <w:sz w:val="16"/>
          <w:szCs w:val="16"/>
        </w:rPr>
        <w:t xml:space="preserve">(f) </w:t>
      </w:r>
      <w:r w:rsidRPr="00E3545F">
        <w:rPr>
          <w:rFonts w:cs="Arial"/>
          <w:sz w:val="16"/>
          <w:szCs w:val="16"/>
        </w:rPr>
        <w:tab/>
        <w:t>Deputy Commissioner Inland Revenue;</w:t>
      </w:r>
    </w:p>
    <w:p w:rsidR="00BF2117" w:rsidRPr="00E3545F" w:rsidRDefault="00BF2117" w:rsidP="00DD55E2">
      <w:pPr>
        <w:ind w:left="1620" w:hanging="540"/>
        <w:jc w:val="both"/>
        <w:rPr>
          <w:rFonts w:cs="Arial"/>
          <w:sz w:val="16"/>
          <w:szCs w:val="16"/>
        </w:rPr>
      </w:pPr>
      <w:r w:rsidRPr="00E3545F">
        <w:rPr>
          <w:rFonts w:cs="Arial"/>
          <w:sz w:val="16"/>
          <w:szCs w:val="16"/>
        </w:rPr>
        <w:t>(g)</w:t>
      </w:r>
      <w:r w:rsidRPr="00E3545F">
        <w:rPr>
          <w:rFonts w:cs="Arial"/>
          <w:sz w:val="16"/>
          <w:szCs w:val="16"/>
        </w:rPr>
        <w:tab/>
        <w:t>Assistant Commissioner Inland Revenue;</w:t>
      </w:r>
    </w:p>
    <w:p w:rsidR="00BF2117" w:rsidRPr="00E3545F" w:rsidRDefault="00BF2117" w:rsidP="00DD55E2">
      <w:pPr>
        <w:ind w:left="1620" w:hanging="540"/>
        <w:jc w:val="both"/>
        <w:rPr>
          <w:rFonts w:cs="Arial"/>
          <w:sz w:val="16"/>
          <w:szCs w:val="16"/>
        </w:rPr>
      </w:pPr>
      <w:r w:rsidRPr="00E3545F">
        <w:rPr>
          <w:rFonts w:cs="Arial"/>
          <w:sz w:val="16"/>
          <w:szCs w:val="16"/>
        </w:rPr>
        <w:t xml:space="preserve">(h) </w:t>
      </w:r>
      <w:r w:rsidRPr="00E3545F">
        <w:rPr>
          <w:rFonts w:cs="Arial"/>
          <w:sz w:val="16"/>
          <w:szCs w:val="16"/>
        </w:rPr>
        <w:tab/>
        <w:t>Officer of Inland Revenue;</w:t>
      </w:r>
    </w:p>
    <w:p w:rsidR="00BF2117" w:rsidRPr="00E3545F" w:rsidRDefault="00BF2117" w:rsidP="00DD55E2">
      <w:pPr>
        <w:ind w:left="1620" w:hanging="540"/>
        <w:jc w:val="both"/>
        <w:rPr>
          <w:rFonts w:cs="Arial"/>
          <w:sz w:val="16"/>
          <w:szCs w:val="16"/>
        </w:rPr>
      </w:pPr>
      <w:r w:rsidRPr="00E3545F">
        <w:rPr>
          <w:rFonts w:cs="Arial"/>
          <w:sz w:val="16"/>
          <w:szCs w:val="16"/>
        </w:rPr>
        <w:t xml:space="preserve">(i) </w:t>
      </w:r>
      <w:r w:rsidRPr="00E3545F">
        <w:rPr>
          <w:rFonts w:cs="Arial"/>
          <w:sz w:val="16"/>
          <w:szCs w:val="16"/>
        </w:rPr>
        <w:tab/>
        <w:t>Special Officer Inland Revenue; and</w:t>
      </w:r>
    </w:p>
    <w:p w:rsidR="00BF2117" w:rsidRPr="00E3545F" w:rsidRDefault="00BF2117" w:rsidP="00DD55E2">
      <w:pPr>
        <w:ind w:left="1620" w:hanging="540"/>
        <w:jc w:val="both"/>
        <w:rPr>
          <w:rFonts w:cs="Arial"/>
          <w:sz w:val="16"/>
          <w:szCs w:val="16"/>
        </w:rPr>
      </w:pPr>
      <w:r w:rsidRPr="00E3545F">
        <w:rPr>
          <w:rFonts w:cs="Arial"/>
          <w:sz w:val="16"/>
          <w:szCs w:val="16"/>
        </w:rPr>
        <w:t xml:space="preserve">(j) </w:t>
      </w:r>
      <w:r w:rsidRPr="00E3545F">
        <w:rPr>
          <w:rFonts w:cs="Arial"/>
          <w:sz w:val="16"/>
          <w:szCs w:val="16"/>
        </w:rPr>
        <w:tab/>
        <w:t xml:space="preserve">Inspector Inland Revenue. </w:t>
      </w:r>
    </w:p>
    <w:p w:rsidR="00BF2117" w:rsidRPr="00E3545F" w:rsidRDefault="00BF2117" w:rsidP="004B5EAB">
      <w:pPr>
        <w:ind w:left="180"/>
        <w:jc w:val="both"/>
        <w:rPr>
          <w:rFonts w:cs="Arial"/>
          <w:b/>
          <w:sz w:val="16"/>
          <w:szCs w:val="16"/>
        </w:rPr>
      </w:pPr>
      <w:r w:rsidRPr="00E3545F">
        <w:rPr>
          <w:rFonts w:cs="Arial"/>
          <w:sz w:val="16"/>
          <w:szCs w:val="16"/>
        </w:rPr>
        <w:tab/>
        <w:t xml:space="preserve">(2) </w:t>
      </w:r>
      <w:r w:rsidRPr="00E3545F">
        <w:rPr>
          <w:rFonts w:cs="Arial"/>
          <w:sz w:val="16"/>
          <w:szCs w:val="16"/>
        </w:rPr>
        <w:tab/>
        <w:t>The Board shall examine, supervise and oversee the general administration of this Ordinance.</w:t>
      </w:r>
    </w:p>
    <w:p w:rsidR="00BF2117" w:rsidRPr="00E3545F" w:rsidRDefault="00BF2117" w:rsidP="00DD55E2">
      <w:pPr>
        <w:ind w:left="180" w:hanging="180"/>
        <w:jc w:val="both"/>
        <w:rPr>
          <w:rFonts w:cs="Arial"/>
          <w:sz w:val="16"/>
          <w:szCs w:val="16"/>
        </w:rPr>
      </w:pPr>
      <w:r w:rsidRPr="00E3545F">
        <w:rPr>
          <w:rFonts w:cs="Arial"/>
          <w:sz w:val="16"/>
          <w:szCs w:val="16"/>
        </w:rPr>
        <w:tab/>
      </w:r>
      <w:r w:rsidRPr="00E3545F">
        <w:rPr>
          <w:rFonts w:cs="Arial"/>
          <w:sz w:val="16"/>
          <w:szCs w:val="16"/>
        </w:rPr>
        <w:tab/>
      </w:r>
      <w:r w:rsidRPr="00E3545F">
        <w:rPr>
          <w:rFonts w:cs="Arial"/>
          <w:b/>
          <w:sz w:val="16"/>
          <w:szCs w:val="16"/>
        </w:rPr>
        <w:t>(</w:t>
      </w:r>
      <w:r w:rsidRPr="00E3545F">
        <w:rPr>
          <w:rFonts w:cs="Arial"/>
          <w:sz w:val="16"/>
          <w:szCs w:val="16"/>
        </w:rPr>
        <w:t xml:space="preserve">3) </w:t>
      </w:r>
      <w:r w:rsidRPr="00E3545F">
        <w:rPr>
          <w:rFonts w:cs="Arial"/>
          <w:sz w:val="16"/>
          <w:szCs w:val="16"/>
        </w:rPr>
        <w:tab/>
        <w:t>The Chief Commissioners Inland Revenue and Commissioners Inland Revenue (Appeals) shall be subordinate to the Board and Commissioners Inland Revenue, shall be subordinate to the Chief Commissioner Inland Revenue.</w:t>
      </w:r>
    </w:p>
    <w:p w:rsidR="00BF2117" w:rsidRPr="00E3545F" w:rsidRDefault="00BF2117" w:rsidP="00DD55E2">
      <w:pPr>
        <w:ind w:left="180" w:hanging="180"/>
        <w:jc w:val="both"/>
        <w:rPr>
          <w:rFonts w:cs="Arial"/>
          <w:sz w:val="16"/>
          <w:szCs w:val="16"/>
        </w:rPr>
      </w:pPr>
      <w:r w:rsidRPr="00E3545F">
        <w:rPr>
          <w:rFonts w:cs="Arial"/>
          <w:sz w:val="16"/>
          <w:szCs w:val="16"/>
        </w:rPr>
        <w:tab/>
      </w:r>
      <w:r w:rsidRPr="00E3545F">
        <w:rPr>
          <w:rFonts w:cs="Arial"/>
          <w:sz w:val="16"/>
          <w:szCs w:val="16"/>
        </w:rPr>
        <w:tab/>
        <w:t xml:space="preserve">(4) </w:t>
      </w:r>
      <w:r w:rsidRPr="00E3545F">
        <w:rPr>
          <w:rFonts w:cs="Arial"/>
          <w:sz w:val="16"/>
          <w:szCs w:val="16"/>
        </w:rPr>
        <w:tab/>
        <w:t>Subject to sub-section (5), Additional Commissioners Inland Revenue, Deputy Commissioners Inland Revenue, Assistant Commissioners Inland Revenue, Officer of Inland Revenue, Special Officers Inland Revenue and Inspectors Inland Revenue shall be subordinate to the Commissioners Inland Revenue.</w:t>
      </w:r>
    </w:p>
    <w:p w:rsidR="00BF2117" w:rsidRPr="00E3545F" w:rsidRDefault="00BF2117" w:rsidP="00DD55E2">
      <w:pPr>
        <w:pStyle w:val="FootnoteText"/>
        <w:ind w:left="180" w:hanging="180"/>
        <w:jc w:val="both"/>
        <w:rPr>
          <w:sz w:val="16"/>
          <w:szCs w:val="16"/>
          <w:lang w:val="en-US"/>
        </w:rPr>
      </w:pPr>
      <w:r w:rsidRPr="00E3545F">
        <w:rPr>
          <w:rFonts w:cs="Arial"/>
          <w:sz w:val="16"/>
          <w:szCs w:val="16"/>
        </w:rPr>
        <w:tab/>
      </w:r>
      <w:r w:rsidRPr="00E3545F">
        <w:rPr>
          <w:rFonts w:cs="Arial"/>
          <w:sz w:val="16"/>
          <w:szCs w:val="16"/>
        </w:rPr>
        <w:tab/>
        <w:t xml:space="preserve">(5) </w:t>
      </w:r>
      <w:r w:rsidRPr="00E3545F">
        <w:rPr>
          <w:rFonts w:cs="Arial"/>
          <w:sz w:val="16"/>
          <w:szCs w:val="16"/>
        </w:rPr>
        <w:tab/>
        <w:t>An officer vested with the powers and functions of the Commissioner, shall be subordinate to the Chief Commissioner Inland Revenue.”</w:t>
      </w:r>
    </w:p>
  </w:footnote>
  <w:footnote w:id="1338">
    <w:p w:rsidR="00BF2117" w:rsidRPr="001E1939" w:rsidRDefault="00BF2117">
      <w:pPr>
        <w:pStyle w:val="FootnoteText"/>
        <w:rPr>
          <w:lang w:val="en-US"/>
        </w:rPr>
      </w:pPr>
      <w:r w:rsidRPr="009B383E">
        <w:rPr>
          <w:rStyle w:val="FootnoteReference"/>
          <w:sz w:val="16"/>
          <w:szCs w:val="16"/>
        </w:rPr>
        <w:footnoteRef/>
      </w:r>
      <w:r w:rsidRPr="009B383E">
        <w:rPr>
          <w:sz w:val="16"/>
          <w:szCs w:val="16"/>
        </w:rPr>
        <w:t xml:space="preserve"> Inserted by Finance Act, 2015</w:t>
      </w:r>
      <w:r>
        <w:t>.</w:t>
      </w:r>
    </w:p>
  </w:footnote>
  <w:footnote w:id="1339">
    <w:p w:rsidR="00BF2117" w:rsidRPr="00E3545F" w:rsidRDefault="00BF2117" w:rsidP="00013422">
      <w:pPr>
        <w:pStyle w:val="FootnoteText"/>
        <w:ind w:left="180" w:hanging="180"/>
        <w:rPr>
          <w:sz w:val="16"/>
          <w:szCs w:val="16"/>
        </w:rPr>
      </w:pPr>
      <w:r w:rsidRPr="00E3545F">
        <w:rPr>
          <w:rStyle w:val="FootnoteReference"/>
          <w:sz w:val="16"/>
          <w:szCs w:val="16"/>
        </w:rPr>
        <w:footnoteRef/>
      </w:r>
      <w:r w:rsidRPr="00E3545F">
        <w:rPr>
          <w:sz w:val="16"/>
          <w:szCs w:val="16"/>
        </w:rPr>
        <w:t xml:space="preserve"> Sub-section (3) substituted by the Finance Act, 2012. The substituted sub-section (3) read as follows:</w:t>
      </w:r>
    </w:p>
    <w:p w:rsidR="00BF2117" w:rsidRPr="00E3545F" w:rsidRDefault="00BF2117" w:rsidP="00B91539">
      <w:pPr>
        <w:pStyle w:val="FootnoteText"/>
        <w:ind w:left="180" w:hanging="180"/>
        <w:jc w:val="both"/>
        <w:rPr>
          <w:sz w:val="16"/>
          <w:szCs w:val="16"/>
          <w:lang w:val="en-US"/>
        </w:rPr>
      </w:pPr>
      <w:r w:rsidRPr="00E3545F">
        <w:rPr>
          <w:sz w:val="16"/>
          <w:szCs w:val="16"/>
        </w:rPr>
        <w:tab/>
      </w:r>
      <w:r w:rsidRPr="00E3545F">
        <w:rPr>
          <w:sz w:val="16"/>
          <w:szCs w:val="16"/>
        </w:rPr>
        <w:tab/>
        <w:t>“</w:t>
      </w:r>
      <w:r w:rsidRPr="00E3545F">
        <w:rPr>
          <w:rFonts w:cs="Arial"/>
          <w:sz w:val="16"/>
          <w:szCs w:val="16"/>
        </w:rPr>
        <w:t xml:space="preserve">(3) </w:t>
      </w:r>
      <w:r w:rsidRPr="00E3545F">
        <w:rPr>
          <w:rFonts w:cs="Arial"/>
          <w:sz w:val="16"/>
          <w:szCs w:val="16"/>
        </w:rPr>
        <w:tab/>
        <w:t>The Chief Commissioners Inland Revenue and Commissioners Inland Revenue (Appeals) shall be subordinate to the Board and Commissioners Inland Revenue, shall be subordinate to the Chief Commissioner Inland Revenue.”</w:t>
      </w:r>
    </w:p>
  </w:footnote>
  <w:footnote w:id="1340">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Inserted by the Finance Act, 2012.</w:t>
      </w:r>
    </w:p>
  </w:footnote>
  <w:footnote w:id="1341">
    <w:p w:rsidR="00BF2117" w:rsidRPr="00E3545F" w:rsidRDefault="00BF2117">
      <w:pPr>
        <w:keepNext/>
        <w:rPr>
          <w:sz w:val="16"/>
          <w:szCs w:val="16"/>
        </w:rPr>
      </w:pPr>
      <w:r w:rsidRPr="00E3545F">
        <w:rPr>
          <w:rStyle w:val="FootnoteReference"/>
          <w:rFonts w:cs="Arial"/>
          <w:sz w:val="16"/>
          <w:szCs w:val="16"/>
        </w:rPr>
        <w:footnoteRef/>
      </w:r>
      <w:r w:rsidRPr="00E3545F">
        <w:rPr>
          <w:sz w:val="16"/>
          <w:szCs w:val="16"/>
        </w:rPr>
        <w:t xml:space="preserve"> Section 208 substituted by the Finance Act, 2002. The substituted section 208 read as follows:</w:t>
      </w:r>
    </w:p>
    <w:p w:rsidR="00BF2117" w:rsidRPr="00E3545F" w:rsidRDefault="00BF2117">
      <w:pPr>
        <w:ind w:left="180"/>
        <w:jc w:val="both"/>
        <w:rPr>
          <w:sz w:val="16"/>
          <w:szCs w:val="16"/>
        </w:rPr>
      </w:pPr>
      <w:r w:rsidRPr="00E3545F">
        <w:rPr>
          <w:rFonts w:cs="Arial"/>
          <w:b/>
          <w:sz w:val="16"/>
          <w:szCs w:val="16"/>
        </w:rPr>
        <w:t>“208. Central Board of Revenue.-</w:t>
      </w:r>
      <w:r w:rsidRPr="00E3545F">
        <w:rPr>
          <w:sz w:val="16"/>
          <w:szCs w:val="16"/>
        </w:rPr>
        <w:t xml:space="preserve"> The Central Board of Revenue shall exercise the general administration of this Ordinance.”</w:t>
      </w:r>
    </w:p>
  </w:footnote>
  <w:footnote w:id="1342">
    <w:p w:rsidR="00BF2117" w:rsidRPr="00E3545F" w:rsidRDefault="00BF2117" w:rsidP="006C5170">
      <w:pPr>
        <w:pStyle w:val="FootnoteText"/>
        <w:ind w:left="180" w:hanging="180"/>
        <w:jc w:val="both"/>
        <w:rPr>
          <w:sz w:val="16"/>
          <w:szCs w:val="16"/>
        </w:rPr>
      </w:pPr>
      <w:r w:rsidRPr="00E3545F">
        <w:rPr>
          <w:rStyle w:val="FootnoteReference"/>
          <w:sz w:val="16"/>
          <w:szCs w:val="16"/>
        </w:rPr>
        <w:footnoteRef/>
      </w:r>
      <w:r w:rsidRPr="00E3545F">
        <w:rPr>
          <w:sz w:val="16"/>
          <w:szCs w:val="16"/>
        </w:rPr>
        <w:t xml:space="preserve"> Sub-section (1)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 The substituted sub-section (1) read as follows:</w:t>
      </w:r>
    </w:p>
    <w:p w:rsidR="00BF2117" w:rsidRPr="00E3545F" w:rsidRDefault="00BF2117" w:rsidP="00767279">
      <w:pPr>
        <w:ind w:left="180" w:firstLine="367"/>
        <w:jc w:val="both"/>
        <w:rPr>
          <w:sz w:val="16"/>
          <w:szCs w:val="16"/>
        </w:rPr>
      </w:pPr>
      <w:r w:rsidRPr="00E3545F">
        <w:rPr>
          <w:sz w:val="16"/>
          <w:szCs w:val="16"/>
        </w:rPr>
        <w:t>“(1) The Central Board of Revenue may appoint as many Regional Commissioners of Income Tax, Commissioners of Income Tax, Commissioners of Income Tax (Appeals), taxation officers and such other executive or ministerial officers and staff as may be necessary.”</w:t>
      </w:r>
    </w:p>
    <w:p w:rsidR="00BF2117" w:rsidRPr="00412620" w:rsidRDefault="00BF2117">
      <w:pPr>
        <w:pStyle w:val="FootnoteText"/>
        <w:rPr>
          <w:lang w:val="en-US"/>
        </w:rPr>
      </w:pPr>
    </w:p>
  </w:footnote>
  <w:footnote w:id="1343">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“Central Board of Revenue” substituted by the Finance Act, 2007.</w:t>
      </w:r>
    </w:p>
  </w:footnote>
  <w:footnote w:id="1344">
    <w:p w:rsidR="00BF2117" w:rsidRPr="00E3545F" w:rsidRDefault="00BF2117">
      <w:pPr>
        <w:keepNext/>
        <w:rPr>
          <w:sz w:val="16"/>
          <w:szCs w:val="16"/>
        </w:rPr>
      </w:pPr>
      <w:r w:rsidRPr="00E3545F">
        <w:rPr>
          <w:rStyle w:val="FootnoteReference"/>
          <w:rFonts w:cs="Arial"/>
          <w:sz w:val="16"/>
          <w:szCs w:val="16"/>
        </w:rPr>
        <w:footnoteRef/>
      </w:r>
      <w:r w:rsidRPr="00E3545F">
        <w:rPr>
          <w:sz w:val="16"/>
          <w:szCs w:val="16"/>
        </w:rPr>
        <w:t xml:space="preserve"> Section 209 substituted by the Finance Act, 2002. The substituted section 209 read as follows:</w:t>
      </w:r>
    </w:p>
    <w:p w:rsidR="00BF2117" w:rsidRPr="00E3545F" w:rsidRDefault="00BF2117">
      <w:pPr>
        <w:ind w:left="180"/>
        <w:jc w:val="both"/>
        <w:rPr>
          <w:sz w:val="16"/>
          <w:szCs w:val="16"/>
        </w:rPr>
      </w:pPr>
      <w:r w:rsidRPr="00E3545F">
        <w:rPr>
          <w:rFonts w:cs="Arial"/>
          <w:b/>
          <w:sz w:val="16"/>
          <w:szCs w:val="16"/>
        </w:rPr>
        <w:t>“209.</w:t>
      </w:r>
      <w:r w:rsidRPr="00E3545F">
        <w:rPr>
          <w:rFonts w:cs="Arial"/>
          <w:b/>
          <w:sz w:val="16"/>
          <w:szCs w:val="16"/>
        </w:rPr>
        <w:tab/>
        <w:t>Appointment of Regional Commissioners of Income Tax and Commissioners of Income Tax.-</w:t>
      </w:r>
      <w:r w:rsidRPr="00E3545F">
        <w:rPr>
          <w:sz w:val="16"/>
          <w:szCs w:val="16"/>
        </w:rPr>
        <w:t xml:space="preserve"> (1)  The Central Board of Revenue may appoint as many Regional Commissioners of Income Tax and Commissioners of Income Tax as may be necessary.</w:t>
      </w:r>
    </w:p>
    <w:p w:rsidR="00BF2117" w:rsidRPr="00E3545F" w:rsidRDefault="00BF2117">
      <w:pPr>
        <w:ind w:left="180" w:firstLine="367"/>
        <w:jc w:val="both"/>
        <w:rPr>
          <w:rFonts w:cs="Arial"/>
          <w:sz w:val="16"/>
          <w:szCs w:val="16"/>
        </w:rPr>
      </w:pPr>
      <w:r w:rsidRPr="00E3545F">
        <w:rPr>
          <w:rFonts w:cs="Arial"/>
          <w:sz w:val="16"/>
          <w:szCs w:val="16"/>
        </w:rPr>
        <w:t>(2)</w:t>
      </w:r>
      <w:r w:rsidRPr="00E3545F">
        <w:rPr>
          <w:rFonts w:cs="Arial"/>
          <w:sz w:val="16"/>
          <w:szCs w:val="16"/>
        </w:rPr>
        <w:tab/>
        <w:t>Subject to such orders or directions as may be issued by the Central Board of Revenue, any Regional Commissioner of Income Tax may appoint any subordinate income tax authority subordinate and such other executive or ministerial officers and staff as may be necessary.</w:t>
      </w:r>
    </w:p>
    <w:p w:rsidR="00BF2117" w:rsidRPr="00E3545F" w:rsidRDefault="00BF2117">
      <w:pPr>
        <w:ind w:left="180" w:firstLine="367"/>
        <w:jc w:val="both"/>
        <w:rPr>
          <w:rFonts w:cs="Arial"/>
          <w:sz w:val="16"/>
          <w:szCs w:val="16"/>
        </w:rPr>
      </w:pPr>
      <w:r w:rsidRPr="00E3545F">
        <w:rPr>
          <w:rFonts w:cs="Arial"/>
          <w:sz w:val="16"/>
          <w:szCs w:val="16"/>
        </w:rPr>
        <w:t>(3)</w:t>
      </w:r>
      <w:r w:rsidRPr="00E3545F">
        <w:rPr>
          <w:rFonts w:cs="Arial"/>
          <w:sz w:val="16"/>
          <w:szCs w:val="16"/>
        </w:rPr>
        <w:tab/>
        <w:t>Subject to such orders or directions as may be issued by the Central Board of Revenue, any Commissioner of Income Tax may appoint such executive or ministerial officers and staff as may be necessary.</w:t>
      </w:r>
    </w:p>
    <w:p w:rsidR="00BF2117" w:rsidRPr="00E3545F" w:rsidRDefault="00BF2117">
      <w:pPr>
        <w:ind w:left="180" w:firstLine="367"/>
        <w:jc w:val="both"/>
        <w:rPr>
          <w:rFonts w:cs="Arial"/>
          <w:sz w:val="16"/>
          <w:szCs w:val="16"/>
        </w:rPr>
      </w:pPr>
      <w:r w:rsidRPr="00E3545F">
        <w:rPr>
          <w:rFonts w:cs="Arial"/>
          <w:sz w:val="16"/>
          <w:szCs w:val="16"/>
        </w:rPr>
        <w:t>(4)</w:t>
      </w:r>
      <w:r w:rsidRPr="00E3545F">
        <w:rPr>
          <w:rFonts w:cs="Arial"/>
          <w:sz w:val="16"/>
          <w:szCs w:val="16"/>
        </w:rPr>
        <w:tab/>
        <w:t>All appointments under this Ordinance shall be subject to the rules and orders of the Federal Government regulating the terms and conditions of service of persons in public services and posts.”</w:t>
      </w:r>
    </w:p>
  </w:footnote>
  <w:footnote w:id="1345">
    <w:p w:rsidR="00BF2117" w:rsidRPr="00E3545F" w:rsidRDefault="00BF2117">
      <w:pPr>
        <w:pStyle w:val="FootnoteText"/>
        <w:keepNext/>
        <w:rPr>
          <w:sz w:val="16"/>
          <w:szCs w:val="16"/>
        </w:rPr>
      </w:pPr>
      <w:r w:rsidRPr="00E3545F">
        <w:rPr>
          <w:rStyle w:val="FootnoteReference"/>
          <w:rFonts w:cs="Arial"/>
          <w:sz w:val="16"/>
          <w:szCs w:val="16"/>
        </w:rPr>
        <w:footnoteRef/>
      </w:r>
      <w:r w:rsidRPr="00E3545F">
        <w:rPr>
          <w:sz w:val="16"/>
          <w:szCs w:val="16"/>
        </w:rPr>
        <w:t xml:space="preserve"> Substituted by the Finance Act, 2003. The substituted sub-section (1) read as follows: </w:t>
      </w:r>
    </w:p>
    <w:p w:rsidR="00BF2117" w:rsidRPr="00E3545F" w:rsidRDefault="00BF2117">
      <w:pPr>
        <w:pStyle w:val="FootnoteText"/>
        <w:keepNext/>
        <w:ind w:left="180" w:firstLine="367"/>
        <w:jc w:val="both"/>
        <w:rPr>
          <w:rFonts w:cs="Arial"/>
          <w:sz w:val="16"/>
          <w:szCs w:val="16"/>
        </w:rPr>
      </w:pPr>
      <w:r w:rsidRPr="00E3545F">
        <w:rPr>
          <w:rFonts w:cs="Arial"/>
          <w:sz w:val="16"/>
          <w:szCs w:val="16"/>
        </w:rPr>
        <w:t xml:space="preserve">“(1) </w:t>
      </w:r>
      <w:r w:rsidRPr="00E3545F">
        <w:rPr>
          <w:rFonts w:cs="Arial"/>
          <w:sz w:val="16"/>
          <w:szCs w:val="16"/>
        </w:rPr>
        <w:tab/>
        <w:t>Subject to this Ordinance, the Regional Commissioners, the Commissioners and the Commissioners (Appeals) shall perform all or such functions and exercise all or such powers, under this Ordinance, in respect of such persons or classes of persons or such areas, as may be assigned to them by orders or directions issued by the Central Board of Revenue.”</w:t>
      </w:r>
    </w:p>
  </w:footnote>
  <w:footnote w:id="1346">
    <w:p w:rsidR="00BF2117" w:rsidRPr="00E3545F" w:rsidRDefault="00BF2117" w:rsidP="002E2F3E">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“Regional Commissioners” substituted by the Finance Act, 2010.</w:t>
      </w:r>
    </w:p>
  </w:footnote>
  <w:footnote w:id="1347">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“Central Board of Revenue” substituted by the Finance Act, 2007.</w:t>
      </w:r>
    </w:p>
  </w:footnote>
  <w:footnote w:id="1348">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Full stop substituted by the Finance Act, 2011.</w:t>
      </w:r>
    </w:p>
  </w:footnote>
  <w:footnote w:id="1349">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Inserted by the Finance Act, 2011.</w:t>
      </w:r>
    </w:p>
  </w:footnote>
  <w:footnote w:id="1350">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“Central Board of Revenue” substituted by the Finance Act, 2007.</w:t>
      </w:r>
    </w:p>
  </w:footnote>
  <w:footnote w:id="1351">
    <w:p w:rsidR="00BF2117" w:rsidRPr="00E3545F" w:rsidRDefault="00BF2117" w:rsidP="002E2F3E">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“Regional Commissioner”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52">
    <w:p w:rsidR="00BF2117" w:rsidRPr="00E3545F" w:rsidRDefault="00BF2117" w:rsidP="00E52D5F">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“taxation officer” substituted by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53">
    <w:p w:rsidR="00BF2117" w:rsidRPr="00E3545F" w:rsidRDefault="00BF2117">
      <w:pPr>
        <w:pStyle w:val="FootnoteText"/>
        <w:rPr>
          <w:sz w:val="16"/>
          <w:szCs w:val="16"/>
        </w:rPr>
      </w:pPr>
      <w:r w:rsidRPr="00E3545F">
        <w:rPr>
          <w:rStyle w:val="FootnoteReference"/>
          <w:rFonts w:cs="Arial"/>
          <w:sz w:val="16"/>
          <w:szCs w:val="16"/>
        </w:rPr>
        <w:footnoteRef/>
      </w:r>
      <w:r w:rsidRPr="00E3545F">
        <w:rPr>
          <w:sz w:val="16"/>
          <w:szCs w:val="16"/>
        </w:rPr>
        <w:t xml:space="preserve"> Inserted by the Finance Act, 2003.</w:t>
      </w:r>
    </w:p>
  </w:footnote>
  <w:footnote w:id="1354">
    <w:p w:rsidR="00BF2117" w:rsidRPr="00E3545F" w:rsidRDefault="00BF2117" w:rsidP="00E52D5F">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“Regional Commissioner”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55">
    <w:p w:rsidR="00BF2117" w:rsidRPr="00E3545F" w:rsidRDefault="00BF2117">
      <w:pPr>
        <w:pStyle w:val="FootnoteText"/>
        <w:rPr>
          <w:sz w:val="16"/>
          <w:szCs w:val="16"/>
          <w:lang w:val="en-US"/>
        </w:rPr>
      </w:pPr>
      <w:r w:rsidRPr="00E3545F">
        <w:rPr>
          <w:rStyle w:val="FootnoteReference"/>
          <w:sz w:val="16"/>
          <w:szCs w:val="16"/>
        </w:rPr>
        <w:footnoteRef/>
      </w:r>
      <w:r w:rsidRPr="00E3545F">
        <w:rPr>
          <w:sz w:val="16"/>
          <w:szCs w:val="16"/>
        </w:rPr>
        <w:t xml:space="preserve"> The words “Central Board of Revenue” substituted by the Finance Act, 2007.</w:t>
      </w:r>
    </w:p>
  </w:footnote>
  <w:footnote w:id="1356">
    <w:p w:rsidR="00BF2117" w:rsidRPr="00E3545F" w:rsidRDefault="00BF2117" w:rsidP="00E52D5F">
      <w:pPr>
        <w:pStyle w:val="FootnoteText"/>
        <w:ind w:left="180" w:hanging="180"/>
        <w:jc w:val="both"/>
        <w:rPr>
          <w:sz w:val="16"/>
          <w:szCs w:val="16"/>
          <w:lang w:val="en-US"/>
        </w:rPr>
      </w:pPr>
      <w:r w:rsidRPr="00E3545F">
        <w:rPr>
          <w:rStyle w:val="FootnoteReference"/>
          <w:sz w:val="16"/>
          <w:szCs w:val="16"/>
        </w:rPr>
        <w:footnoteRef/>
      </w:r>
      <w:r w:rsidRPr="00E3545F">
        <w:rPr>
          <w:sz w:val="16"/>
          <w:szCs w:val="16"/>
          <w:lang w:val="en-US"/>
        </w:rPr>
        <w:t>The words “taxation officer” substituted by the Finance Act, 2010.</w:t>
      </w:r>
      <w:r w:rsidRPr="00E3545F">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57">
    <w:p w:rsidR="00BF2117" w:rsidRPr="00E3545F" w:rsidRDefault="00BF2117" w:rsidP="0020615E">
      <w:pPr>
        <w:pStyle w:val="FootnoteText"/>
        <w:ind w:left="180" w:hanging="180"/>
        <w:jc w:val="both"/>
        <w:rPr>
          <w:sz w:val="16"/>
          <w:szCs w:val="16"/>
          <w:lang w:val="en-US"/>
        </w:rPr>
      </w:pPr>
      <w:r>
        <w:rPr>
          <w:rStyle w:val="FootnoteReference"/>
        </w:rPr>
        <w:footnoteRef/>
      </w:r>
      <w:r w:rsidRPr="00412620">
        <w:rPr>
          <w:sz w:val="16"/>
          <w:szCs w:val="16"/>
          <w:lang w:val="en-US"/>
        </w:rPr>
        <w:t>The words “Regional Commissioner</w:t>
      </w:r>
      <w:r>
        <w:rPr>
          <w:sz w:val="16"/>
          <w:szCs w:val="16"/>
          <w:lang w:val="en-US"/>
        </w:rPr>
        <w:t xml:space="preserve">” </w:t>
      </w:r>
      <w:r w:rsidRPr="00412620">
        <w:rPr>
          <w:sz w:val="16"/>
          <w:szCs w:val="16"/>
          <w:lang w:val="en-US"/>
        </w:rPr>
        <w:t>substituted by the Finance Act, 2010.</w:t>
      </w:r>
      <w:r w:rsidRPr="00412620">
        <w:rPr>
          <w:sz w:val="16"/>
          <w:szCs w:val="16"/>
        </w:rPr>
        <w:t xml:space="preserve"> The substituted provision has been made effective from 05.06.2010 by sub-clause (77) of clause 8 of the Finance Act, 2010. Earlier the substitution was made through Finance (Amendment) Ordinance, 2009 which </w:t>
      </w:r>
      <w:r w:rsidRPr="00E3545F">
        <w:rPr>
          <w:sz w:val="16"/>
          <w:szCs w:val="16"/>
        </w:rPr>
        <w:t>was re-promulgated as Finance (Amendment) Ordinance, 2010 and remained effective till 05.06.2010.</w:t>
      </w:r>
    </w:p>
  </w:footnote>
  <w:footnote w:id="1358">
    <w:p w:rsidR="00BF2117" w:rsidRPr="008D16BA" w:rsidRDefault="00BF2117" w:rsidP="0020615E">
      <w:pPr>
        <w:pStyle w:val="FootnoteText"/>
        <w:ind w:left="180" w:hanging="180"/>
        <w:jc w:val="both"/>
        <w:rPr>
          <w:sz w:val="14"/>
          <w:szCs w:val="14"/>
          <w:lang w:val="en-US"/>
        </w:rPr>
      </w:pPr>
      <w:r w:rsidRPr="008D16BA">
        <w:rPr>
          <w:rStyle w:val="FootnoteReference"/>
          <w:sz w:val="14"/>
          <w:szCs w:val="14"/>
        </w:rPr>
        <w:footnoteRef/>
      </w:r>
      <w:r w:rsidRPr="008D16BA">
        <w:rPr>
          <w:sz w:val="14"/>
          <w:szCs w:val="14"/>
          <w:lang w:val="en-US"/>
        </w:rPr>
        <w:t>The words “Regional Commissioners” substituted by the Finance Act, 2010.</w:t>
      </w:r>
      <w:r w:rsidRPr="008D16BA">
        <w:rPr>
          <w:sz w:val="14"/>
          <w:szCs w:val="14"/>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59">
    <w:p w:rsidR="00BF2117" w:rsidRPr="008D16BA" w:rsidRDefault="00BF2117">
      <w:pPr>
        <w:pStyle w:val="FootnoteText"/>
        <w:rPr>
          <w:sz w:val="14"/>
          <w:szCs w:val="14"/>
          <w:lang w:val="en-US"/>
        </w:rPr>
      </w:pPr>
      <w:r w:rsidRPr="008D16BA">
        <w:rPr>
          <w:rStyle w:val="FootnoteReference"/>
          <w:sz w:val="14"/>
          <w:szCs w:val="14"/>
        </w:rPr>
        <w:footnoteRef/>
      </w:r>
      <w:r w:rsidRPr="008D16BA">
        <w:rPr>
          <w:sz w:val="14"/>
          <w:szCs w:val="14"/>
        </w:rPr>
        <w:t xml:space="preserve"> The words “Central Board of Revenue” substituted by the Finance Act, 2007.</w:t>
      </w:r>
    </w:p>
  </w:footnote>
  <w:footnote w:id="1360">
    <w:p w:rsidR="00BF2117" w:rsidRPr="008D16BA" w:rsidRDefault="00BF2117">
      <w:pPr>
        <w:pStyle w:val="FootnoteText"/>
        <w:rPr>
          <w:sz w:val="14"/>
          <w:szCs w:val="14"/>
        </w:rPr>
      </w:pPr>
      <w:r w:rsidRPr="008D16BA">
        <w:rPr>
          <w:rStyle w:val="FootnoteReference"/>
          <w:rFonts w:cs="Arial"/>
          <w:sz w:val="14"/>
          <w:szCs w:val="14"/>
        </w:rPr>
        <w:footnoteRef/>
      </w:r>
      <w:r w:rsidRPr="008D16BA">
        <w:rPr>
          <w:sz w:val="14"/>
          <w:szCs w:val="14"/>
        </w:rPr>
        <w:t xml:space="preserve"> Inserted by the Finance Act, 2003.</w:t>
      </w:r>
    </w:p>
  </w:footnote>
  <w:footnote w:id="1361">
    <w:p w:rsidR="00BF2117" w:rsidRPr="008D16BA" w:rsidRDefault="00BF2117" w:rsidP="00991221">
      <w:pPr>
        <w:keepNext/>
        <w:rPr>
          <w:sz w:val="14"/>
          <w:szCs w:val="14"/>
        </w:rPr>
      </w:pPr>
      <w:r w:rsidRPr="008D16BA">
        <w:rPr>
          <w:rStyle w:val="FootnoteReference"/>
          <w:sz w:val="14"/>
          <w:szCs w:val="14"/>
        </w:rPr>
        <w:footnoteRef/>
      </w:r>
      <w:r w:rsidRPr="008D16BA">
        <w:rPr>
          <w:sz w:val="14"/>
          <w:szCs w:val="14"/>
        </w:rPr>
        <w:t xml:space="preserve"> Substituted by the Finance Act, 2002. The substituted section 210 read as follows:</w:t>
      </w:r>
    </w:p>
    <w:p w:rsidR="00BF2117" w:rsidRPr="008D16BA" w:rsidRDefault="00BF2117" w:rsidP="00991221">
      <w:pPr>
        <w:keepNext/>
        <w:ind w:left="180"/>
        <w:jc w:val="both"/>
        <w:rPr>
          <w:rFonts w:cs="Arial"/>
          <w:sz w:val="14"/>
          <w:szCs w:val="14"/>
        </w:rPr>
      </w:pPr>
      <w:r w:rsidRPr="008D16BA">
        <w:rPr>
          <w:rFonts w:cs="Arial"/>
          <w:sz w:val="14"/>
          <w:szCs w:val="14"/>
        </w:rPr>
        <w:t>“</w:t>
      </w:r>
      <w:r w:rsidRPr="008D16BA">
        <w:rPr>
          <w:rFonts w:cs="Arial"/>
          <w:b/>
          <w:sz w:val="14"/>
          <w:szCs w:val="14"/>
        </w:rPr>
        <w:t>210.  Jurisdiction of Regional Commissioners of Income Tax and Commissioners of Income Tax.-</w:t>
      </w:r>
      <w:r w:rsidRPr="008D16BA">
        <w:rPr>
          <w:rFonts w:cs="Arial"/>
          <w:sz w:val="14"/>
          <w:szCs w:val="14"/>
        </w:rPr>
        <w:t xml:space="preserve"> (1)  Subject to this Ordinance, the Regional Commissioners of Income Tax and the Commissioners of Income Tax shall perform such functions in respect of such persons or classes of person, or such areas, as may be assigned to them by directions issued by the Central Board of Revenue.</w:t>
      </w:r>
    </w:p>
    <w:p w:rsidR="00BF2117" w:rsidRPr="008D16BA" w:rsidRDefault="00BF2117" w:rsidP="00991221">
      <w:pPr>
        <w:keepNext/>
        <w:ind w:left="180" w:firstLine="367"/>
        <w:jc w:val="both"/>
        <w:rPr>
          <w:rFonts w:cs="Arial"/>
          <w:sz w:val="14"/>
          <w:szCs w:val="14"/>
        </w:rPr>
      </w:pPr>
      <w:r w:rsidRPr="008D16BA">
        <w:rPr>
          <w:rFonts w:cs="Arial"/>
          <w:sz w:val="14"/>
          <w:szCs w:val="14"/>
        </w:rPr>
        <w:t>(2)Where any directions issued under sub-section (1) have assigned to two or more income tax authorities the same function in respect of the same persons or class of persons, or the same areas, they shall perform their functions in accordance with such orders as the Central Board of Revenue, or any other authority to whom they are subordinate, may make for the allocation of functions and the distribution of the work performed.</w:t>
      </w:r>
    </w:p>
    <w:p w:rsidR="00BF2117" w:rsidRPr="008D16BA" w:rsidRDefault="00BF2117" w:rsidP="00991221">
      <w:pPr>
        <w:keepNext/>
        <w:ind w:firstLine="547"/>
        <w:jc w:val="both"/>
        <w:rPr>
          <w:rFonts w:cs="Arial"/>
          <w:sz w:val="14"/>
          <w:szCs w:val="14"/>
        </w:rPr>
      </w:pPr>
      <w:r w:rsidRPr="008D16BA">
        <w:rPr>
          <w:rFonts w:cs="Arial"/>
          <w:sz w:val="14"/>
          <w:szCs w:val="14"/>
        </w:rPr>
        <w:t>(3)Within a Commissioner’s assigned area, the Commissioner shall have jurisdiction, -</w:t>
      </w:r>
    </w:p>
    <w:p w:rsidR="00BF2117" w:rsidRPr="008D16BA" w:rsidRDefault="00BF2117" w:rsidP="00991221">
      <w:pPr>
        <w:pStyle w:val="BodyTextIndent"/>
        <w:keepNext/>
        <w:ind w:left="1634" w:hanging="540"/>
        <w:jc w:val="both"/>
        <w:rPr>
          <w:rFonts w:cs="Arial"/>
          <w:sz w:val="14"/>
          <w:szCs w:val="14"/>
        </w:rPr>
      </w:pPr>
      <w:r w:rsidRPr="008D16BA">
        <w:rPr>
          <w:rFonts w:cs="Arial"/>
          <w:sz w:val="14"/>
          <w:szCs w:val="14"/>
        </w:rPr>
        <w:t>(a)</w:t>
      </w:r>
      <w:r w:rsidRPr="008D16BA">
        <w:rPr>
          <w:rFonts w:cs="Arial"/>
          <w:sz w:val="14"/>
          <w:szCs w:val="14"/>
        </w:rPr>
        <w:tab/>
        <w:t>in respect of any person carrying on business, if the person’s place of business is within such area, or where the business is carried on in more than one place, the person’s principal place of business is within such area; or</w:t>
      </w:r>
    </w:p>
    <w:p w:rsidR="00BF2117" w:rsidRPr="008D16BA" w:rsidRDefault="00BF2117" w:rsidP="00991221">
      <w:pPr>
        <w:keepNext/>
        <w:ind w:left="547" w:firstLine="547"/>
        <w:jc w:val="both"/>
        <w:rPr>
          <w:rFonts w:cs="Arial"/>
          <w:sz w:val="14"/>
          <w:szCs w:val="14"/>
        </w:rPr>
      </w:pPr>
      <w:r w:rsidRPr="008D16BA">
        <w:rPr>
          <w:rFonts w:cs="Arial"/>
          <w:sz w:val="14"/>
          <w:szCs w:val="14"/>
        </w:rPr>
        <w:t>(b)</w:t>
      </w:r>
      <w:r w:rsidRPr="008D16BA">
        <w:rPr>
          <w:rFonts w:cs="Arial"/>
          <w:sz w:val="14"/>
          <w:szCs w:val="14"/>
        </w:rPr>
        <w:tab/>
        <w:t>in respect of any other person, if the person resides within such area.</w:t>
      </w:r>
    </w:p>
    <w:p w:rsidR="00BF2117" w:rsidRPr="008D16BA" w:rsidRDefault="00BF2117" w:rsidP="00991221">
      <w:pPr>
        <w:keepNext/>
        <w:ind w:left="180" w:firstLine="367"/>
        <w:jc w:val="both"/>
        <w:rPr>
          <w:rFonts w:cs="Arial"/>
          <w:sz w:val="14"/>
          <w:szCs w:val="14"/>
        </w:rPr>
      </w:pPr>
      <w:r w:rsidRPr="008D16BA">
        <w:rPr>
          <w:rFonts w:cs="Arial"/>
          <w:sz w:val="14"/>
          <w:szCs w:val="14"/>
        </w:rPr>
        <w:t>(4)Where a question arises as to whether a Commissioner has jurisdiction over any person, the question shall be decided by the Regional Commissioner or Regional Commissioners concerned and, if they are not in agreement, by the Central Board of Revenue.</w:t>
      </w:r>
    </w:p>
    <w:p w:rsidR="00BF2117" w:rsidRPr="008D16BA" w:rsidRDefault="00BF2117" w:rsidP="00991221">
      <w:pPr>
        <w:keepNext/>
        <w:ind w:left="180" w:firstLine="367"/>
        <w:jc w:val="both"/>
        <w:rPr>
          <w:rFonts w:cs="Arial"/>
          <w:sz w:val="14"/>
          <w:szCs w:val="14"/>
        </w:rPr>
      </w:pPr>
      <w:r w:rsidRPr="008D16BA">
        <w:rPr>
          <w:rFonts w:cs="Arial"/>
          <w:sz w:val="14"/>
          <w:szCs w:val="14"/>
        </w:rPr>
        <w:t>(5)No person shall call into question the jurisdiction of a Commissioner after the person has furnished a return of income to the Commissioner or, where the person has not furnished a return, after the time allowed by any notice served on the person for furnishing such return has expired.</w:t>
      </w:r>
    </w:p>
    <w:p w:rsidR="00BF2117" w:rsidRPr="008D16BA" w:rsidRDefault="00BF2117" w:rsidP="00991221">
      <w:pPr>
        <w:keepNext/>
        <w:ind w:left="180" w:firstLine="367"/>
        <w:jc w:val="both"/>
        <w:rPr>
          <w:rFonts w:cs="Arial"/>
          <w:sz w:val="14"/>
          <w:szCs w:val="14"/>
        </w:rPr>
      </w:pPr>
      <w:r w:rsidRPr="008D16BA">
        <w:rPr>
          <w:rFonts w:cs="Arial"/>
          <w:sz w:val="14"/>
          <w:szCs w:val="14"/>
        </w:rPr>
        <w:t>(6)Notwithstanding anything contained in this section, every Commissioner shall have all the powers conferred by, or under this Ordinance on a Commissioner in respect of any income arising within the Commissioner’s assigned area.</w:t>
      </w:r>
    </w:p>
    <w:p w:rsidR="00BF2117" w:rsidRPr="008D16BA" w:rsidRDefault="00BF2117" w:rsidP="00991221">
      <w:pPr>
        <w:ind w:left="180" w:firstLine="367"/>
        <w:jc w:val="both"/>
        <w:rPr>
          <w:sz w:val="14"/>
          <w:szCs w:val="14"/>
          <w:lang w:val="en-US"/>
        </w:rPr>
      </w:pPr>
      <w:r w:rsidRPr="008D16BA">
        <w:rPr>
          <w:rFonts w:cs="Arial"/>
          <w:sz w:val="14"/>
          <w:szCs w:val="14"/>
        </w:rPr>
        <w:t>(7)Where any application may be made by a person under this Ordinance, the application shall be made to the Commissioner with jurisdiction over the person or to the taxation officer with delegated power in respect of the application.”</w:t>
      </w:r>
    </w:p>
  </w:footnote>
  <w:footnote w:id="1362">
    <w:p w:rsidR="00BF2117" w:rsidRPr="008D16BA" w:rsidRDefault="00BF2117">
      <w:pPr>
        <w:pStyle w:val="FootnoteText"/>
        <w:rPr>
          <w:sz w:val="14"/>
          <w:szCs w:val="14"/>
        </w:rPr>
      </w:pPr>
      <w:r w:rsidRPr="008D16BA">
        <w:rPr>
          <w:rStyle w:val="FootnoteReference"/>
          <w:rFonts w:cs="Arial"/>
          <w:sz w:val="14"/>
          <w:szCs w:val="14"/>
        </w:rPr>
        <w:footnoteRef/>
      </w:r>
      <w:r w:rsidRPr="008D16BA">
        <w:rPr>
          <w:sz w:val="14"/>
          <w:szCs w:val="14"/>
        </w:rPr>
        <w:t xml:space="preserve"> Inserted by the Finance Act, 2004.</w:t>
      </w:r>
    </w:p>
  </w:footnote>
  <w:footnote w:id="1363">
    <w:p w:rsidR="00BF2117" w:rsidRPr="00061D47" w:rsidRDefault="00BF2117" w:rsidP="002A4674">
      <w:pPr>
        <w:pStyle w:val="FootnoteText"/>
        <w:ind w:left="180" w:hanging="180"/>
        <w:jc w:val="both"/>
        <w:rPr>
          <w:sz w:val="16"/>
          <w:szCs w:val="16"/>
          <w:lang w:val="en-US"/>
        </w:rPr>
      </w:pPr>
      <w:r w:rsidRPr="008D16BA">
        <w:rPr>
          <w:rStyle w:val="FootnoteReference"/>
          <w:sz w:val="14"/>
          <w:szCs w:val="14"/>
        </w:rPr>
        <w:footnoteRef/>
      </w:r>
      <w:r w:rsidRPr="008D16BA">
        <w:rPr>
          <w:sz w:val="14"/>
          <w:szCs w:val="14"/>
          <w:lang w:val="en-US"/>
        </w:rPr>
        <w:t>The words “taxation officer” substituted by Finance Act, 2010.</w:t>
      </w:r>
      <w:r w:rsidRPr="008D16BA">
        <w:rPr>
          <w:sz w:val="14"/>
          <w:szCs w:val="14"/>
        </w:rPr>
        <w:t xml:space="preserve"> The substituted provision has been made effective from 05.06.2010 by sub-clause (77) of clause 8 of the Finance Act, 2010. Earlier the substitution was made</w:t>
      </w:r>
      <w:r>
        <w:rPr>
          <w:sz w:val="14"/>
          <w:szCs w:val="14"/>
        </w:rPr>
        <w:t xml:space="preserve"> </w:t>
      </w:r>
      <w:r w:rsidRPr="00061D47">
        <w:rPr>
          <w:sz w:val="16"/>
          <w:szCs w:val="16"/>
        </w:rPr>
        <w:t>through Finance (Amendment) Ordinance, 2009 which was re-promulgated as Finance (Amendment) Ordinance, 2010 and remained effective till 05.06.2010.</w:t>
      </w:r>
    </w:p>
  </w:footnote>
  <w:footnote w:id="1364">
    <w:p w:rsidR="00BF2117" w:rsidRPr="00061D47" w:rsidRDefault="00BF2117">
      <w:pPr>
        <w:pStyle w:val="FootnoteText"/>
        <w:rPr>
          <w:sz w:val="16"/>
          <w:szCs w:val="16"/>
        </w:rPr>
      </w:pPr>
      <w:r w:rsidRPr="00061D47">
        <w:rPr>
          <w:rStyle w:val="FootnoteReference"/>
          <w:rFonts w:cs="Arial"/>
          <w:sz w:val="16"/>
          <w:szCs w:val="16"/>
        </w:rPr>
        <w:footnoteRef/>
      </w:r>
      <w:r w:rsidRPr="00061D47">
        <w:rPr>
          <w:sz w:val="16"/>
          <w:szCs w:val="16"/>
        </w:rPr>
        <w:t xml:space="preserve"> Added by the Finance Act, 2004.</w:t>
      </w:r>
    </w:p>
  </w:footnote>
  <w:footnote w:id="1365">
    <w:p w:rsidR="00BF2117" w:rsidRPr="00061D47" w:rsidRDefault="00BF2117" w:rsidP="002D2432">
      <w:pPr>
        <w:pStyle w:val="FootnoteText"/>
        <w:ind w:left="180" w:hanging="180"/>
        <w:jc w:val="both"/>
        <w:rPr>
          <w:sz w:val="16"/>
          <w:szCs w:val="16"/>
          <w:lang w:val="en-US"/>
        </w:rPr>
      </w:pPr>
      <w:r w:rsidRPr="00061D47">
        <w:rPr>
          <w:rStyle w:val="FootnoteReference"/>
          <w:sz w:val="16"/>
          <w:szCs w:val="16"/>
        </w:rPr>
        <w:footnoteRef/>
      </w:r>
      <w:r w:rsidRPr="00061D47">
        <w:rPr>
          <w:sz w:val="16"/>
          <w:szCs w:val="16"/>
          <w:lang w:val="en-US"/>
        </w:rPr>
        <w:t>The words “taxation officer below the rank of Additional Commissioner of Income Tax” substituted by the  Finance Act, 2010.</w:t>
      </w:r>
    </w:p>
  </w:footnote>
  <w:footnote w:id="1366">
    <w:p w:rsidR="00BF2117" w:rsidRDefault="00BF2117" w:rsidP="007C1766">
      <w:pPr>
        <w:jc w:val="both"/>
        <w:rPr>
          <w:rFonts w:cs="Arial"/>
          <w:sz w:val="16"/>
          <w:szCs w:val="16"/>
        </w:rPr>
      </w:pPr>
      <w:r w:rsidRPr="00A5714A">
        <w:rPr>
          <w:rStyle w:val="FootnoteReference"/>
          <w:sz w:val="16"/>
          <w:szCs w:val="16"/>
        </w:rPr>
        <w:footnoteRef/>
      </w:r>
      <w:r>
        <w:rPr>
          <w:sz w:val="16"/>
          <w:szCs w:val="16"/>
        </w:rPr>
        <w:t>Substituted by Finance Act, 2015. The substituted sub-section (1B) read as follows:-</w:t>
      </w:r>
    </w:p>
    <w:p w:rsidR="00BF2117" w:rsidRPr="00957111" w:rsidRDefault="00BF2117" w:rsidP="007C1766">
      <w:pPr>
        <w:ind w:left="547"/>
        <w:jc w:val="both"/>
        <w:rPr>
          <w:sz w:val="16"/>
          <w:szCs w:val="16"/>
        </w:rPr>
      </w:pPr>
      <w:r>
        <w:rPr>
          <w:rFonts w:cs="Arial"/>
          <w:sz w:val="16"/>
          <w:szCs w:val="16"/>
        </w:rPr>
        <w:t xml:space="preserve"> “(</w:t>
      </w:r>
      <w:r w:rsidRPr="00957111">
        <w:rPr>
          <w:rFonts w:cs="Arial"/>
          <w:sz w:val="16"/>
          <w:szCs w:val="16"/>
        </w:rPr>
        <w:t xml:space="preserve">1B) </w:t>
      </w:r>
      <w:r w:rsidRPr="00957111">
        <w:rPr>
          <w:rFonts w:cs="Arial"/>
          <w:sz w:val="16"/>
          <w:szCs w:val="16"/>
        </w:rPr>
        <w:tab/>
        <w:t>The Commissioner may delegate the powers to a firm of chartered accountants or a firm of Cost and Management Accountants]appointed  by the Board or the Commissioner to conduct the audit of persons for audit under section 177.</w:t>
      </w:r>
      <w:r>
        <w:rPr>
          <w:rFonts w:cs="Arial"/>
          <w:sz w:val="16"/>
          <w:szCs w:val="16"/>
        </w:rPr>
        <w:t>”</w:t>
      </w:r>
    </w:p>
    <w:p w:rsidR="00BF2117" w:rsidRPr="00A5714A" w:rsidRDefault="00BF2117">
      <w:pPr>
        <w:pStyle w:val="FootnoteText"/>
        <w:rPr>
          <w:sz w:val="16"/>
          <w:szCs w:val="16"/>
          <w:lang w:val="en-US"/>
        </w:rPr>
      </w:pPr>
    </w:p>
  </w:footnote>
  <w:footnote w:id="1367">
    <w:p w:rsidR="00BF2117" w:rsidRPr="00061D47" w:rsidRDefault="00BF2117">
      <w:pPr>
        <w:keepNext/>
        <w:rPr>
          <w:sz w:val="16"/>
          <w:szCs w:val="16"/>
        </w:rPr>
      </w:pPr>
      <w:r w:rsidRPr="00061D47">
        <w:rPr>
          <w:rStyle w:val="FootnoteReference"/>
          <w:rFonts w:cs="Arial"/>
          <w:sz w:val="16"/>
          <w:szCs w:val="16"/>
        </w:rPr>
        <w:footnoteRef/>
      </w:r>
      <w:r w:rsidRPr="00061D47">
        <w:rPr>
          <w:sz w:val="16"/>
          <w:szCs w:val="16"/>
        </w:rPr>
        <w:t xml:space="preserve"> Substituted by the Finance Act, 2002. The substituted section 211 read as follows:</w:t>
      </w:r>
    </w:p>
    <w:p w:rsidR="00BF2117" w:rsidRPr="00061D47" w:rsidRDefault="00BF2117">
      <w:pPr>
        <w:ind w:left="180"/>
        <w:jc w:val="both"/>
        <w:rPr>
          <w:rFonts w:cs="Arial"/>
          <w:sz w:val="16"/>
          <w:szCs w:val="16"/>
        </w:rPr>
      </w:pPr>
      <w:r w:rsidRPr="00061D47">
        <w:rPr>
          <w:rFonts w:cs="Arial"/>
          <w:sz w:val="16"/>
          <w:szCs w:val="16"/>
        </w:rPr>
        <w:t>“</w:t>
      </w:r>
      <w:r w:rsidRPr="00061D47">
        <w:rPr>
          <w:rFonts w:cs="Arial"/>
          <w:b/>
          <w:sz w:val="16"/>
          <w:szCs w:val="16"/>
        </w:rPr>
        <w:t>211.  Delegation.-</w:t>
      </w:r>
      <w:r w:rsidRPr="00061D47">
        <w:rPr>
          <w:rFonts w:cs="Arial"/>
          <w:sz w:val="16"/>
          <w:szCs w:val="16"/>
        </w:rPr>
        <w:t xml:space="preserve"> The Commissioner may delegate to any taxation officer any duty, power, or function conferred or imposed on the Commissioner under this Ordinance, other than the power of delegation under this section.” </w:t>
      </w:r>
    </w:p>
  </w:footnote>
  <w:footnote w:id="1368">
    <w:p w:rsidR="00BF2117" w:rsidRPr="00061D47" w:rsidRDefault="00BF2117" w:rsidP="000B577C">
      <w:pPr>
        <w:pStyle w:val="FootnoteText"/>
        <w:ind w:left="180" w:hanging="180"/>
        <w:jc w:val="both"/>
        <w:rPr>
          <w:sz w:val="16"/>
          <w:szCs w:val="16"/>
          <w:lang w:val="en-US"/>
        </w:rPr>
      </w:pPr>
      <w:r w:rsidRPr="00061D47">
        <w:rPr>
          <w:rStyle w:val="FootnoteReference"/>
          <w:sz w:val="16"/>
          <w:szCs w:val="16"/>
        </w:rPr>
        <w:footnoteRef/>
      </w:r>
      <w:r w:rsidRPr="00061D47">
        <w:rPr>
          <w:sz w:val="16"/>
          <w:szCs w:val="16"/>
          <w:lang w:val="en-US"/>
        </w:rPr>
        <w:t>The words “a taxation officer” substituted by Finance Act, 2010.</w:t>
      </w:r>
      <w:r w:rsidRPr="00061D47">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69">
    <w:p w:rsidR="00BF2117" w:rsidRPr="00AC7E76" w:rsidRDefault="00BF2117">
      <w:pPr>
        <w:pStyle w:val="FootnoteText"/>
        <w:rPr>
          <w:sz w:val="16"/>
          <w:szCs w:val="16"/>
          <w:lang w:val="en-US"/>
        </w:rPr>
      </w:pPr>
      <w:r w:rsidRPr="00AC7E76">
        <w:rPr>
          <w:rStyle w:val="FootnoteReference"/>
          <w:sz w:val="16"/>
          <w:szCs w:val="16"/>
        </w:rPr>
        <w:footnoteRef/>
      </w:r>
      <w:r>
        <w:rPr>
          <w:sz w:val="16"/>
          <w:szCs w:val="16"/>
        </w:rPr>
        <w:t>Inserted by the Finance Act, 2015.</w:t>
      </w:r>
    </w:p>
  </w:footnote>
  <w:footnote w:id="1370">
    <w:p w:rsidR="00BF2117" w:rsidRPr="00061D47" w:rsidRDefault="00BF2117" w:rsidP="004D53E1">
      <w:pPr>
        <w:pStyle w:val="FootnoteText"/>
        <w:rPr>
          <w:sz w:val="16"/>
          <w:szCs w:val="16"/>
          <w:lang w:val="en-US"/>
        </w:rPr>
      </w:pPr>
      <w:r w:rsidRPr="00061D47">
        <w:rPr>
          <w:rStyle w:val="FootnoteReference"/>
          <w:sz w:val="16"/>
          <w:szCs w:val="16"/>
        </w:rPr>
        <w:footnoteRef/>
      </w:r>
      <w:r w:rsidRPr="00061D47">
        <w:rPr>
          <w:sz w:val="16"/>
          <w:szCs w:val="16"/>
          <w:lang w:val="en-US"/>
        </w:rPr>
        <w:t>The words “a taxation officer” substituted by Finance (amendment) ordinance, 2009.</w:t>
      </w:r>
    </w:p>
  </w:footnote>
  <w:footnote w:id="1371">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Added by the Finance Act, 2012.</w:t>
      </w:r>
    </w:p>
  </w:footnote>
  <w:footnote w:id="1372">
    <w:p w:rsidR="00BF2117" w:rsidRPr="00061D47" w:rsidRDefault="00BF2117">
      <w:pPr>
        <w:keepNext/>
        <w:rPr>
          <w:sz w:val="16"/>
          <w:szCs w:val="16"/>
        </w:rPr>
      </w:pPr>
      <w:r w:rsidRPr="00061D47">
        <w:rPr>
          <w:rStyle w:val="FootnoteReference"/>
          <w:rFonts w:cs="Arial"/>
          <w:sz w:val="16"/>
          <w:szCs w:val="16"/>
        </w:rPr>
        <w:footnoteRef/>
      </w:r>
      <w:r w:rsidRPr="00061D47">
        <w:rPr>
          <w:sz w:val="16"/>
          <w:szCs w:val="16"/>
        </w:rPr>
        <w:t xml:space="preserve"> Substituted by the Finance Act, 2002. The substituted section 212 read as follows:</w:t>
      </w:r>
    </w:p>
    <w:p w:rsidR="00BF2117" w:rsidRPr="00061D47" w:rsidRDefault="00BF2117">
      <w:pPr>
        <w:ind w:left="180"/>
        <w:jc w:val="both"/>
        <w:rPr>
          <w:rFonts w:cs="Arial"/>
          <w:sz w:val="16"/>
          <w:szCs w:val="16"/>
        </w:rPr>
      </w:pPr>
      <w:r w:rsidRPr="00061D47">
        <w:rPr>
          <w:rFonts w:cs="Arial"/>
          <w:sz w:val="16"/>
          <w:szCs w:val="16"/>
        </w:rPr>
        <w:t>“</w:t>
      </w:r>
      <w:r w:rsidRPr="00061D47">
        <w:rPr>
          <w:rFonts w:cs="Arial"/>
          <w:b/>
          <w:sz w:val="16"/>
          <w:szCs w:val="16"/>
        </w:rPr>
        <w:t>212.  Authority of approval.-</w:t>
      </w:r>
      <w:r w:rsidRPr="00061D47">
        <w:rPr>
          <w:rFonts w:cs="Arial"/>
          <w:sz w:val="16"/>
          <w:szCs w:val="16"/>
        </w:rPr>
        <w:t xml:space="preserve"> The Central Board of Revenue may, by general or special order, in writing, authorise the Regional Commissioner or the Commissioner to grant approval in any case where such approval is required from the Central Board of Revenue under any provision of this Ordinance.” </w:t>
      </w:r>
    </w:p>
  </w:footnote>
  <w:footnote w:id="1373">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374">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375">
    <w:p w:rsidR="00BF2117" w:rsidRPr="00061D47" w:rsidRDefault="00BF2117">
      <w:pPr>
        <w:keepNext/>
        <w:rPr>
          <w:sz w:val="16"/>
          <w:szCs w:val="16"/>
        </w:rPr>
      </w:pPr>
      <w:r w:rsidRPr="00061D47">
        <w:rPr>
          <w:rStyle w:val="FootnoteReference"/>
          <w:rFonts w:cs="Arial"/>
          <w:sz w:val="16"/>
          <w:szCs w:val="16"/>
        </w:rPr>
        <w:footnoteRef/>
      </w:r>
      <w:r w:rsidRPr="00061D47">
        <w:rPr>
          <w:sz w:val="16"/>
          <w:szCs w:val="16"/>
        </w:rPr>
        <w:t xml:space="preserve"> Substituted by the Finance Act, 2002. The substituted section 213 read as follows:</w:t>
      </w:r>
    </w:p>
    <w:p w:rsidR="00BF2117" w:rsidRPr="00061D47" w:rsidRDefault="00BF2117">
      <w:pPr>
        <w:ind w:left="180"/>
        <w:jc w:val="both"/>
        <w:rPr>
          <w:rFonts w:cs="Arial"/>
          <w:sz w:val="16"/>
          <w:szCs w:val="16"/>
        </w:rPr>
      </w:pPr>
      <w:r w:rsidRPr="00061D47">
        <w:rPr>
          <w:rFonts w:cs="Arial"/>
          <w:sz w:val="16"/>
          <w:szCs w:val="16"/>
        </w:rPr>
        <w:t>“</w:t>
      </w:r>
      <w:r w:rsidRPr="00061D47">
        <w:rPr>
          <w:rFonts w:cs="Arial"/>
          <w:b/>
          <w:sz w:val="16"/>
          <w:szCs w:val="16"/>
        </w:rPr>
        <w:t>213.  Exercise of jurisdiction by successor.-</w:t>
      </w:r>
      <w:r w:rsidRPr="00061D47">
        <w:rPr>
          <w:rFonts w:cs="Arial"/>
          <w:sz w:val="16"/>
          <w:szCs w:val="16"/>
        </w:rPr>
        <w:t xml:space="preserve"> Where, in respect of any proceedings under this Ordinance, an income tax authority is succeeded by another, the succeeding authority may continue the proceedings from the stage at which it was left by that authority’s predecessor.”</w:t>
      </w:r>
    </w:p>
  </w:footnote>
  <w:footnote w:id="1376">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377">
    <w:p w:rsidR="00BF2117" w:rsidRPr="00061D47" w:rsidRDefault="00BF2117">
      <w:pPr>
        <w:keepNext/>
        <w:rPr>
          <w:sz w:val="16"/>
          <w:szCs w:val="16"/>
        </w:rPr>
      </w:pPr>
      <w:r w:rsidRPr="00061D47">
        <w:rPr>
          <w:rStyle w:val="FootnoteReference"/>
          <w:rFonts w:cs="Arial"/>
          <w:sz w:val="16"/>
          <w:szCs w:val="16"/>
        </w:rPr>
        <w:footnoteRef/>
      </w:r>
      <w:r w:rsidRPr="00061D47">
        <w:rPr>
          <w:sz w:val="16"/>
          <w:szCs w:val="16"/>
        </w:rPr>
        <w:t xml:space="preserve"> Section 214 substituted by the Finance Act, 2002. The substituted section 214 read as follows:</w:t>
      </w:r>
    </w:p>
    <w:p w:rsidR="00BF2117" w:rsidRPr="00061D47" w:rsidRDefault="00BF2117">
      <w:pPr>
        <w:ind w:left="180"/>
        <w:jc w:val="both"/>
        <w:rPr>
          <w:rFonts w:cs="Arial"/>
          <w:sz w:val="16"/>
          <w:szCs w:val="16"/>
        </w:rPr>
      </w:pPr>
      <w:r w:rsidRPr="00061D47">
        <w:rPr>
          <w:rFonts w:cs="Arial"/>
          <w:sz w:val="16"/>
          <w:szCs w:val="16"/>
        </w:rPr>
        <w:t>“</w:t>
      </w:r>
      <w:r w:rsidRPr="00061D47">
        <w:rPr>
          <w:rFonts w:cs="Arial"/>
          <w:b/>
          <w:sz w:val="16"/>
          <w:szCs w:val="16"/>
        </w:rPr>
        <w:t>214. Guidance to Commissioner or taxation officer.-</w:t>
      </w:r>
      <w:r w:rsidRPr="00061D47">
        <w:rPr>
          <w:rFonts w:cs="Arial"/>
          <w:sz w:val="16"/>
          <w:szCs w:val="16"/>
        </w:rPr>
        <w:t xml:space="preserve"> In the course of any proceedings under this Ordinance, the Commissioner or any taxation officer with delegated power under section 211 may be assisted, guided or instructed by any income tax authority to whom he is subordinate or any other person authorised in this behalf by the Central Board of Revenue.”</w:t>
      </w:r>
    </w:p>
  </w:footnote>
  <w:footnote w:id="1378">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379">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380">
    <w:p w:rsidR="00BF2117" w:rsidRPr="00061D47" w:rsidRDefault="00BF2117" w:rsidP="00EC7CE3">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381">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2009.</w:t>
      </w:r>
    </w:p>
  </w:footnote>
  <w:footnote w:id="1382">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Colon substituted by the Finance Act, 2012.</w:t>
      </w:r>
    </w:p>
  </w:footnote>
  <w:footnote w:id="1383">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2012.</w:t>
      </w:r>
    </w:p>
  </w:footnote>
  <w:footnote w:id="1384">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“Director General” substituted by the Finance Act, 2012.</w:t>
      </w:r>
    </w:p>
  </w:footnote>
  <w:footnote w:id="1385">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2009.</w:t>
      </w:r>
    </w:p>
  </w:footnote>
  <w:footnote w:id="1386">
    <w:p w:rsidR="00BF2117" w:rsidRPr="00061D47" w:rsidRDefault="00BF2117" w:rsidP="00376F11">
      <w:pPr>
        <w:pStyle w:val="FootnoteText"/>
        <w:ind w:left="180" w:hanging="180"/>
        <w:jc w:val="both"/>
        <w:rPr>
          <w:sz w:val="16"/>
          <w:szCs w:val="16"/>
          <w:lang w:val="en-US"/>
        </w:rPr>
      </w:pPr>
      <w:r w:rsidRPr="00061D47">
        <w:rPr>
          <w:rStyle w:val="FootnoteReference"/>
          <w:sz w:val="16"/>
          <w:szCs w:val="16"/>
        </w:rPr>
        <w:footnoteRef/>
      </w:r>
      <w:r w:rsidRPr="00061D47">
        <w:rPr>
          <w:sz w:val="16"/>
          <w:szCs w:val="16"/>
        </w:rPr>
        <w:t xml:space="preserve"> Added by the Finance Act, 2010. </w:t>
      </w:r>
    </w:p>
  </w:footnote>
  <w:footnote w:id="1387">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Added by the Finance Act, 2013.</w:t>
      </w:r>
    </w:p>
  </w:footnote>
  <w:footnote w:id="1388">
    <w:p w:rsidR="00BF2117" w:rsidRPr="00061D47" w:rsidRDefault="00BF2117" w:rsidP="006F5878">
      <w:pPr>
        <w:pStyle w:val="FootnoteText"/>
        <w:rPr>
          <w:sz w:val="16"/>
          <w:szCs w:val="16"/>
          <w:lang w:val="en-US"/>
        </w:rPr>
      </w:pPr>
      <w:r w:rsidRPr="00061D47">
        <w:rPr>
          <w:rStyle w:val="FootnoteReference"/>
          <w:sz w:val="16"/>
          <w:szCs w:val="16"/>
        </w:rPr>
        <w:footnoteRef/>
      </w:r>
      <w:r w:rsidRPr="00061D47">
        <w:rPr>
          <w:sz w:val="16"/>
          <w:szCs w:val="16"/>
        </w:rPr>
        <w:t xml:space="preserve"> Added by the Finance Act, 2013.</w:t>
      </w:r>
    </w:p>
  </w:footnote>
  <w:footnote w:id="1389">
    <w:p w:rsidR="00BF2117" w:rsidRPr="00644043" w:rsidRDefault="00BF2117">
      <w:pPr>
        <w:pStyle w:val="FootnoteText"/>
        <w:rPr>
          <w:sz w:val="16"/>
          <w:szCs w:val="16"/>
          <w:lang w:val="en-US"/>
        </w:rPr>
      </w:pPr>
      <w:r w:rsidRPr="00644043">
        <w:rPr>
          <w:rStyle w:val="FootnoteReference"/>
          <w:sz w:val="16"/>
          <w:szCs w:val="16"/>
        </w:rPr>
        <w:footnoteRef/>
      </w:r>
      <w:r>
        <w:rPr>
          <w:sz w:val="16"/>
          <w:szCs w:val="16"/>
        </w:rPr>
        <w:t>Inserted by the Finance Act, 2015.</w:t>
      </w:r>
    </w:p>
  </w:footnote>
  <w:footnote w:id="1390">
    <w:p w:rsidR="00BF2117" w:rsidRPr="00061D47" w:rsidRDefault="00BF2117">
      <w:pPr>
        <w:keepNext/>
        <w:rPr>
          <w:sz w:val="16"/>
          <w:szCs w:val="16"/>
        </w:rPr>
      </w:pPr>
      <w:r w:rsidRPr="00061D47">
        <w:rPr>
          <w:rStyle w:val="FootnoteReference"/>
          <w:rFonts w:cs="Arial"/>
          <w:sz w:val="16"/>
          <w:szCs w:val="16"/>
        </w:rPr>
        <w:footnoteRef/>
      </w:r>
      <w:r w:rsidRPr="00061D47">
        <w:rPr>
          <w:sz w:val="16"/>
          <w:szCs w:val="16"/>
        </w:rPr>
        <w:t xml:space="preserve"> Section 215 substituted by the Finance Act, 2002. The substituted section 215 read as follows:</w:t>
      </w:r>
    </w:p>
    <w:p w:rsidR="00BF2117" w:rsidRPr="00061D47" w:rsidRDefault="00BF2117">
      <w:pPr>
        <w:keepNext/>
        <w:ind w:left="180"/>
        <w:jc w:val="both"/>
        <w:rPr>
          <w:rFonts w:cs="Arial"/>
          <w:sz w:val="16"/>
          <w:szCs w:val="16"/>
        </w:rPr>
      </w:pPr>
      <w:r w:rsidRPr="00061D47">
        <w:rPr>
          <w:rFonts w:cs="Arial"/>
          <w:sz w:val="16"/>
          <w:szCs w:val="16"/>
        </w:rPr>
        <w:t>“</w:t>
      </w:r>
      <w:r w:rsidRPr="00061D47">
        <w:rPr>
          <w:rFonts w:cs="Arial"/>
          <w:b/>
          <w:sz w:val="16"/>
          <w:szCs w:val="16"/>
        </w:rPr>
        <w:t>215. Taxation officers to follow orders of Central Board of Revenue.-</w:t>
      </w:r>
      <w:r w:rsidRPr="00061D47">
        <w:rPr>
          <w:rFonts w:cs="Arial"/>
          <w:sz w:val="16"/>
          <w:szCs w:val="16"/>
        </w:rPr>
        <w:t xml:space="preserve"> (1)  Subject to sub-section (2), all taxation officers and other persons employed in the execution of this Ordinance shall observe and follow the orders, instructions and directions of the Central Board of Revenue.</w:t>
      </w:r>
    </w:p>
    <w:p w:rsidR="00BF2117" w:rsidRPr="00061D47" w:rsidRDefault="00BF2117">
      <w:pPr>
        <w:ind w:left="180"/>
        <w:jc w:val="both"/>
        <w:rPr>
          <w:rFonts w:cs="Arial"/>
          <w:sz w:val="16"/>
          <w:szCs w:val="16"/>
        </w:rPr>
      </w:pPr>
      <w:r w:rsidRPr="00061D47">
        <w:rPr>
          <w:rFonts w:cs="Arial"/>
          <w:sz w:val="16"/>
          <w:szCs w:val="16"/>
        </w:rPr>
        <w:tab/>
        <w:t>(2)</w:t>
      </w:r>
      <w:r w:rsidRPr="00061D47">
        <w:rPr>
          <w:rFonts w:cs="Arial"/>
          <w:sz w:val="16"/>
          <w:szCs w:val="16"/>
        </w:rPr>
        <w:tab/>
        <w:t>No orders, instructions or directions shall be given by the Central Board of Revenue that will interfere with the discretion of the Commissioner (Appeals) in the exercise the appellate function of the Commissioner (Appeals).”</w:t>
      </w:r>
    </w:p>
  </w:footnote>
  <w:footnote w:id="1391">
    <w:p w:rsidR="00BF2117" w:rsidRPr="00061D47" w:rsidRDefault="00BF2117" w:rsidP="00D43316">
      <w:pPr>
        <w:pStyle w:val="FootnoteText"/>
        <w:ind w:left="180" w:hanging="180"/>
        <w:jc w:val="both"/>
        <w:rPr>
          <w:sz w:val="16"/>
          <w:szCs w:val="16"/>
          <w:lang w:val="en-US"/>
        </w:rPr>
      </w:pPr>
      <w:r w:rsidRPr="00061D47">
        <w:rPr>
          <w:rStyle w:val="FootnoteReference"/>
          <w:sz w:val="16"/>
          <w:szCs w:val="16"/>
        </w:rPr>
        <w:footnoteRef/>
      </w:r>
      <w:r>
        <w:rPr>
          <w:sz w:val="16"/>
          <w:szCs w:val="16"/>
          <w:lang w:val="en-US"/>
        </w:rPr>
        <w:t xml:space="preserve"> </w:t>
      </w:r>
      <w:r w:rsidRPr="00061D47">
        <w:rPr>
          <w:sz w:val="16"/>
          <w:szCs w:val="16"/>
          <w:lang w:val="en-US"/>
        </w:rPr>
        <w:t>The words “taxation officer” substituted by the Finance Act, 2010.</w:t>
      </w:r>
      <w:r w:rsidRPr="00061D47">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92">
    <w:p w:rsidR="00BF2117" w:rsidRPr="00061D47" w:rsidRDefault="00BF2117" w:rsidP="00D43316">
      <w:pPr>
        <w:pStyle w:val="FootnoteText"/>
        <w:ind w:left="180" w:hanging="180"/>
        <w:jc w:val="both"/>
        <w:rPr>
          <w:sz w:val="16"/>
          <w:szCs w:val="16"/>
          <w:lang w:val="en-US"/>
        </w:rPr>
      </w:pPr>
      <w:r w:rsidRPr="00061D47">
        <w:rPr>
          <w:rStyle w:val="FootnoteReference"/>
          <w:sz w:val="16"/>
          <w:szCs w:val="16"/>
        </w:rPr>
        <w:footnoteRef/>
      </w:r>
      <w:r>
        <w:rPr>
          <w:sz w:val="16"/>
          <w:szCs w:val="16"/>
          <w:lang w:val="en-US"/>
        </w:rPr>
        <w:t xml:space="preserve"> </w:t>
      </w:r>
      <w:r w:rsidRPr="00061D47">
        <w:rPr>
          <w:sz w:val="16"/>
          <w:szCs w:val="16"/>
          <w:lang w:val="en-US"/>
        </w:rPr>
        <w:t xml:space="preserve">The words “taxation officer” substituted by the Finance Act, 2010. </w:t>
      </w:r>
      <w:r w:rsidRPr="00061D47">
        <w:rPr>
          <w:sz w:val="16"/>
          <w:szCs w:val="16"/>
        </w:rPr>
        <w:t>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93">
    <w:p w:rsidR="00BF2117" w:rsidRPr="00061D47" w:rsidRDefault="00BF2117" w:rsidP="00D43316">
      <w:pPr>
        <w:pStyle w:val="FootnoteText"/>
        <w:ind w:left="180" w:hanging="180"/>
        <w:jc w:val="both"/>
        <w:rPr>
          <w:sz w:val="16"/>
          <w:szCs w:val="16"/>
          <w:lang w:val="en-US"/>
        </w:rPr>
      </w:pPr>
      <w:r w:rsidRPr="00061D47">
        <w:rPr>
          <w:rStyle w:val="FootnoteReference"/>
          <w:sz w:val="16"/>
          <w:szCs w:val="16"/>
        </w:rPr>
        <w:footnoteRef/>
      </w:r>
      <w:r>
        <w:rPr>
          <w:sz w:val="16"/>
          <w:szCs w:val="16"/>
          <w:lang w:val="en-US"/>
        </w:rPr>
        <w:t xml:space="preserve"> </w:t>
      </w:r>
      <w:r w:rsidRPr="00061D47">
        <w:rPr>
          <w:sz w:val="16"/>
          <w:szCs w:val="16"/>
          <w:lang w:val="en-US"/>
        </w:rPr>
        <w:t>The words “taxation officer” substituted by the Finance Act, 2010.</w:t>
      </w:r>
      <w:r w:rsidRPr="00061D47">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39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“Shadat” substituted by the Finance Act, 2005.</w:t>
      </w:r>
    </w:p>
  </w:footnote>
  <w:footnote w:id="1395">
    <w:p w:rsidR="00BF2117" w:rsidRPr="00412620" w:rsidRDefault="00BF2117">
      <w:pPr>
        <w:pStyle w:val="FootnoteText"/>
        <w:ind w:left="180" w:hanging="180"/>
        <w:rPr>
          <w:sz w:val="16"/>
        </w:rPr>
      </w:pPr>
      <w:r w:rsidRPr="00412620">
        <w:rPr>
          <w:rStyle w:val="FootnoteReference"/>
          <w:rFonts w:cs="Arial"/>
          <w:sz w:val="16"/>
        </w:rPr>
        <w:footnoteRef/>
      </w:r>
      <w:r w:rsidRPr="00412620">
        <w:rPr>
          <w:sz w:val="16"/>
        </w:rPr>
        <w:t xml:space="preserve"> The words, commas, figures and brackets ” the Central Excises and Salt Act, 1944 (I of 1944), the Estate Duty Act, 1950 (X of 1950)” substituted by the Finance Act, 2002.</w:t>
      </w:r>
    </w:p>
  </w:footnote>
  <w:footnote w:id="1396">
    <w:p w:rsidR="00BF2117" w:rsidRPr="00412620" w:rsidRDefault="00BF2117">
      <w:pPr>
        <w:pStyle w:val="FootnoteText"/>
        <w:ind w:left="180" w:hanging="180"/>
        <w:rPr>
          <w:sz w:val="16"/>
        </w:rPr>
      </w:pPr>
      <w:r w:rsidRPr="00412620">
        <w:rPr>
          <w:rStyle w:val="FootnoteReference"/>
          <w:rFonts w:cs="Arial"/>
          <w:sz w:val="16"/>
        </w:rPr>
        <w:footnoteRef/>
      </w:r>
      <w:r w:rsidRPr="00412620">
        <w:rPr>
          <w:sz w:val="16"/>
        </w:rPr>
        <w:t xml:space="preserve"> The words, comma, figure and brackets “Central Excises Act, 1944 (I of 1944)” substituted by the Finance Act, 2005.</w:t>
      </w:r>
    </w:p>
  </w:footnote>
  <w:footnote w:id="1397">
    <w:p w:rsidR="00BF2117" w:rsidRPr="00412620" w:rsidRDefault="00BF2117">
      <w:pPr>
        <w:pStyle w:val="FootnoteText"/>
        <w:rPr>
          <w:lang w:val="en-US"/>
        </w:rPr>
      </w:pPr>
      <w:r w:rsidRPr="00412620">
        <w:rPr>
          <w:rStyle w:val="FootnoteReference"/>
        </w:rPr>
        <w:footnoteRef/>
      </w:r>
      <w:r w:rsidRPr="00412620">
        <w:rPr>
          <w:sz w:val="16"/>
          <w:szCs w:val="16"/>
        </w:rPr>
        <w:t>The word “Commissioner” substituted  by the Finance Act, 2011.</w:t>
      </w:r>
    </w:p>
  </w:footnote>
  <w:footnote w:id="1398">
    <w:p w:rsidR="00BF2117" w:rsidRPr="00061D47" w:rsidRDefault="00BF2117">
      <w:pPr>
        <w:pStyle w:val="FootnoteText"/>
        <w:ind w:left="180" w:hanging="180"/>
        <w:rPr>
          <w:sz w:val="16"/>
          <w:szCs w:val="16"/>
        </w:rPr>
      </w:pPr>
      <w:r w:rsidRPr="00061D47">
        <w:rPr>
          <w:rStyle w:val="FootnoteReference"/>
          <w:rFonts w:cs="Arial"/>
          <w:sz w:val="16"/>
          <w:szCs w:val="16"/>
        </w:rPr>
        <w:footnoteRef/>
      </w:r>
      <w:r w:rsidRPr="00061D47">
        <w:rPr>
          <w:sz w:val="16"/>
          <w:szCs w:val="16"/>
        </w:rPr>
        <w:t xml:space="preserve"> The words, figures brackets and comma “Ehtesab Act, 1997 (IX of 1997)” substituted by the Finance Act, 2002.</w:t>
      </w:r>
    </w:p>
  </w:footnote>
  <w:footnote w:id="1399">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400">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401">
    <w:p w:rsidR="00BF2117" w:rsidRPr="00061D47" w:rsidRDefault="00BF2117" w:rsidP="00BD0956">
      <w:pPr>
        <w:pStyle w:val="FootnoteText"/>
        <w:ind w:left="180" w:hanging="180"/>
        <w:rPr>
          <w:sz w:val="16"/>
          <w:szCs w:val="16"/>
          <w:lang w:val="en-US"/>
        </w:rPr>
      </w:pPr>
      <w:r w:rsidRPr="00061D47">
        <w:rPr>
          <w:rStyle w:val="FootnoteReference"/>
          <w:sz w:val="16"/>
          <w:szCs w:val="16"/>
        </w:rPr>
        <w:footnoteRef/>
      </w:r>
      <w:r w:rsidRPr="00061D47">
        <w:rPr>
          <w:sz w:val="16"/>
          <w:szCs w:val="16"/>
          <w:lang w:val="en-US"/>
        </w:rPr>
        <w:t xml:space="preserve">The words “taxation officer” substituted by the Finance Act, 2010. </w:t>
      </w:r>
      <w:r w:rsidRPr="00061D47">
        <w:rPr>
          <w:sz w:val="16"/>
          <w:szCs w:val="16"/>
        </w:rPr>
        <w:t>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402">
    <w:p w:rsidR="00BF2117" w:rsidRPr="00061D47" w:rsidRDefault="00BF2117" w:rsidP="00BD0956">
      <w:pPr>
        <w:pStyle w:val="FootnoteText"/>
        <w:ind w:left="180" w:hanging="180"/>
        <w:rPr>
          <w:sz w:val="16"/>
          <w:szCs w:val="16"/>
          <w:lang w:val="en-US"/>
        </w:rPr>
      </w:pPr>
      <w:r w:rsidRPr="00061D47">
        <w:rPr>
          <w:rStyle w:val="FootnoteReference"/>
          <w:sz w:val="16"/>
          <w:szCs w:val="16"/>
        </w:rPr>
        <w:footnoteRef/>
      </w:r>
      <w:r w:rsidRPr="00061D47">
        <w:rPr>
          <w:sz w:val="16"/>
          <w:szCs w:val="16"/>
          <w:lang w:val="en-US"/>
        </w:rPr>
        <w:t>Added by the Finance Act, 2010.</w:t>
      </w:r>
      <w:r w:rsidRPr="00061D47">
        <w:rPr>
          <w:sz w:val="16"/>
          <w:szCs w:val="16"/>
        </w:rPr>
        <w:t xml:space="preserve">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403">
    <w:p w:rsidR="00BF2117" w:rsidRPr="00061D47" w:rsidRDefault="00BF2117">
      <w:pPr>
        <w:pStyle w:val="FootnoteText"/>
        <w:rPr>
          <w:sz w:val="16"/>
          <w:szCs w:val="16"/>
        </w:rPr>
      </w:pPr>
      <w:r w:rsidRPr="00061D47">
        <w:rPr>
          <w:rStyle w:val="FootnoteReference"/>
          <w:rFonts w:cs="Arial"/>
          <w:sz w:val="16"/>
          <w:szCs w:val="16"/>
        </w:rPr>
        <w:footnoteRef/>
      </w:r>
      <w:r w:rsidRPr="00061D47">
        <w:rPr>
          <w:sz w:val="16"/>
          <w:szCs w:val="16"/>
        </w:rPr>
        <w:t xml:space="preserve"> Inserted by the Finance Act, 2003.</w:t>
      </w:r>
    </w:p>
  </w:footnote>
  <w:footnote w:id="1404">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2002.</w:t>
      </w:r>
    </w:p>
  </w:footnote>
  <w:footnote w:id="140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“them” substituted by the Finance Act, 2003.</w:t>
      </w:r>
    </w:p>
  </w:footnote>
  <w:footnote w:id="1406">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“their” substituted by the Finance Act, 2003.</w:t>
      </w:r>
    </w:p>
  </w:footnote>
  <w:footnote w:id="1407">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“their” substituted by the Finance Act, 2003.</w:t>
      </w:r>
    </w:p>
  </w:footnote>
  <w:footnote w:id="1408">
    <w:p w:rsidR="00BF2117" w:rsidRPr="00412620" w:rsidRDefault="00BF2117">
      <w:pPr>
        <w:pStyle w:val="FootnoteText"/>
        <w:keepNext/>
        <w:ind w:left="180" w:hanging="180"/>
        <w:jc w:val="both"/>
        <w:rPr>
          <w:sz w:val="16"/>
        </w:rPr>
      </w:pPr>
      <w:r w:rsidRPr="00412620">
        <w:rPr>
          <w:rStyle w:val="FootnoteReference"/>
          <w:rFonts w:cs="Arial"/>
          <w:sz w:val="16"/>
        </w:rPr>
        <w:footnoteRef/>
      </w:r>
      <w:r w:rsidRPr="00412620">
        <w:rPr>
          <w:sz w:val="16"/>
        </w:rPr>
        <w:t xml:space="preserve"> Inserted by the Finance Act, 2003. Earlier sub-section (1A) was inserted by S.R.O. 633(I)/2002, dated 14.09.2002 which stands rescinded by SRO 608(I)/2003, dated 24.06.2003 with effect from 01.07.2003. The said sub-section (1A) read as follows: </w:t>
      </w:r>
    </w:p>
    <w:p w:rsidR="00BF2117" w:rsidRPr="00412620" w:rsidRDefault="00BF2117">
      <w:pPr>
        <w:pStyle w:val="FootnoteText"/>
        <w:ind w:left="180" w:firstLine="367"/>
        <w:jc w:val="both"/>
        <w:rPr>
          <w:rFonts w:cs="Arial"/>
          <w:sz w:val="16"/>
        </w:rPr>
      </w:pPr>
      <w:r w:rsidRPr="00412620">
        <w:rPr>
          <w:rFonts w:cs="Arial"/>
          <w:sz w:val="16"/>
        </w:rPr>
        <w:t>“(1A)</w:t>
      </w:r>
      <w:r w:rsidRPr="00412620">
        <w:rPr>
          <w:rFonts w:cs="Arial"/>
          <w:sz w:val="16"/>
        </w:rPr>
        <w:tab/>
        <w:t>The Commissioner may, by an order in writing, amend any order passed under the repealed Ordinance by the Deputy Commissioner, or an Income Tax Panel, as defined in section 2 of the repealed Ordinance.”</w:t>
      </w:r>
    </w:p>
  </w:footnote>
  <w:footnote w:id="1409">
    <w:p w:rsidR="00BF2117" w:rsidRPr="00412620" w:rsidRDefault="00BF2117">
      <w:pPr>
        <w:pStyle w:val="FootnoteText"/>
        <w:rPr>
          <w:sz w:val="16"/>
        </w:rPr>
      </w:pPr>
      <w:r w:rsidRPr="00412620">
        <w:rPr>
          <w:rStyle w:val="FootnoteReference"/>
          <w:rFonts w:cs="Arial"/>
          <w:sz w:val="16"/>
        </w:rPr>
        <w:footnoteRef/>
      </w:r>
      <w:r w:rsidRPr="00412620">
        <w:rPr>
          <w:sz w:val="16"/>
        </w:rPr>
        <w:t xml:space="preserve"> Comma substituted by the Finance Act, 2003.</w:t>
      </w:r>
    </w:p>
  </w:footnote>
  <w:footnote w:id="1410">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words “or the Appellate Tribunal” omitted by the Finance Act, 2003.</w:t>
      </w:r>
    </w:p>
  </w:footnote>
  <w:footnote w:id="1411">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1412">
    <w:p w:rsidR="00BF2117" w:rsidRPr="00412620" w:rsidRDefault="00BF2117">
      <w:pPr>
        <w:pStyle w:val="FootnoteText"/>
        <w:rPr>
          <w:lang w:val="en-US"/>
        </w:rPr>
      </w:pPr>
      <w:r w:rsidRPr="00412620">
        <w:rPr>
          <w:rStyle w:val="FootnoteReference"/>
        </w:rPr>
        <w:footnoteRef/>
      </w:r>
      <w:r w:rsidRPr="00412620">
        <w:rPr>
          <w:sz w:val="16"/>
        </w:rPr>
        <w:t>The words “Central Board of Revenue” substituted by the Finance Act, 2007.</w:t>
      </w:r>
    </w:p>
  </w:footnote>
  <w:footnote w:id="1413">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414">
    <w:p w:rsidR="00BF2117" w:rsidRPr="00061D47" w:rsidRDefault="00BF2117">
      <w:pPr>
        <w:pStyle w:val="FootnoteText"/>
        <w:rPr>
          <w:sz w:val="16"/>
          <w:szCs w:val="16"/>
        </w:rPr>
      </w:pPr>
      <w:r w:rsidRPr="00061D47">
        <w:rPr>
          <w:rStyle w:val="FootnoteReference"/>
          <w:rFonts w:cs="Arial"/>
          <w:sz w:val="16"/>
          <w:szCs w:val="16"/>
        </w:rPr>
        <w:footnoteRef/>
      </w:r>
      <w:r w:rsidRPr="00061D47">
        <w:rPr>
          <w:sz w:val="16"/>
          <w:szCs w:val="16"/>
        </w:rPr>
        <w:t xml:space="preserve"> The figure “232” substituted by the Finance Act, 2002.</w:t>
      </w:r>
    </w:p>
  </w:footnote>
  <w:footnote w:id="1415">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416">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“Central Board of Revenue” substituted by the Finance Act, 2007.</w:t>
      </w:r>
    </w:p>
  </w:footnote>
  <w:footnote w:id="1417">
    <w:p w:rsidR="00BF2117" w:rsidRPr="00061D47" w:rsidRDefault="00BF2117" w:rsidP="005352F7">
      <w:pPr>
        <w:pStyle w:val="FootnoteText"/>
        <w:ind w:left="180" w:hanging="180"/>
        <w:jc w:val="both"/>
        <w:rPr>
          <w:sz w:val="16"/>
          <w:szCs w:val="16"/>
          <w:lang w:val="en-US"/>
        </w:rPr>
      </w:pPr>
      <w:r w:rsidRPr="00412620">
        <w:rPr>
          <w:rStyle w:val="FootnoteReference"/>
        </w:rPr>
        <w:footnoteRef/>
      </w:r>
      <w:r w:rsidRPr="00061D47">
        <w:rPr>
          <w:sz w:val="16"/>
          <w:szCs w:val="16"/>
          <w:lang w:val="en-US"/>
        </w:rPr>
        <w:t>Clause (b) substituted by the Finance Act, 2010. The substituted clause (b) read as follows:</w:t>
      </w:r>
    </w:p>
    <w:p w:rsidR="00BF2117" w:rsidRPr="00061D47" w:rsidRDefault="00BF2117" w:rsidP="00364A51">
      <w:pPr>
        <w:pStyle w:val="BodyTextIndent"/>
        <w:ind w:left="1620" w:hanging="540"/>
        <w:jc w:val="both"/>
        <w:rPr>
          <w:sz w:val="16"/>
          <w:szCs w:val="16"/>
          <w:lang w:val="en-US"/>
        </w:rPr>
      </w:pPr>
      <w:r w:rsidRPr="00061D47">
        <w:rPr>
          <w:sz w:val="16"/>
          <w:szCs w:val="16"/>
          <w:lang w:val="en-US"/>
        </w:rPr>
        <w:t>“</w:t>
      </w:r>
      <w:r w:rsidRPr="00061D47">
        <w:rPr>
          <w:sz w:val="16"/>
          <w:szCs w:val="16"/>
        </w:rPr>
        <w:t>(b)</w:t>
      </w:r>
      <w:r w:rsidRPr="00061D47">
        <w:rPr>
          <w:sz w:val="16"/>
          <w:szCs w:val="16"/>
        </w:rPr>
        <w:tab/>
        <w:t>in the case of an assessment or other proceeding under this Ordinance, the period, if any, for which such proceedings were stayed by any Court, Appellate Tribunal or any other authority.”</w:t>
      </w:r>
    </w:p>
  </w:footnote>
  <w:footnote w:id="1418">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Re-numbered as sub-section (1) by the Finance Act, 2010.</w:t>
      </w:r>
    </w:p>
  </w:footnote>
  <w:footnote w:id="1419">
    <w:p w:rsidR="00BF2117" w:rsidRPr="00061D47" w:rsidRDefault="00BF2117" w:rsidP="00D07A8F">
      <w:pPr>
        <w:pStyle w:val="FootnoteText"/>
        <w:rPr>
          <w:sz w:val="16"/>
          <w:szCs w:val="16"/>
          <w:lang w:val="en-US"/>
        </w:rPr>
      </w:pPr>
      <w:r w:rsidRPr="00061D47">
        <w:rPr>
          <w:rStyle w:val="FootnoteReference"/>
          <w:sz w:val="16"/>
          <w:szCs w:val="16"/>
        </w:rPr>
        <w:footnoteRef/>
      </w:r>
      <w:r w:rsidRPr="00061D47">
        <w:rPr>
          <w:sz w:val="16"/>
          <w:szCs w:val="16"/>
          <w:lang w:val="en-US"/>
        </w:rPr>
        <w:t>Added by the Finance Act, 2010.</w:t>
      </w:r>
    </w:p>
  </w:footnote>
  <w:footnote w:id="1420">
    <w:p w:rsidR="00BF2117" w:rsidRPr="00061D47" w:rsidRDefault="00BF2117" w:rsidP="004C342E">
      <w:pPr>
        <w:pStyle w:val="FootnoteText"/>
        <w:rPr>
          <w:sz w:val="16"/>
          <w:szCs w:val="16"/>
          <w:lang w:val="en-US"/>
        </w:rPr>
      </w:pPr>
      <w:r w:rsidRPr="00061D47">
        <w:rPr>
          <w:rStyle w:val="FootnoteReference"/>
          <w:sz w:val="16"/>
          <w:szCs w:val="16"/>
        </w:rPr>
        <w:footnoteRef/>
      </w:r>
      <w:r w:rsidRPr="00061D47">
        <w:rPr>
          <w:sz w:val="16"/>
          <w:szCs w:val="16"/>
        </w:rPr>
        <w:t xml:space="preserve"> Added by the Finance Act, 2013.</w:t>
      </w:r>
    </w:p>
  </w:footnote>
  <w:footnote w:id="1421">
    <w:p w:rsidR="00BF2117" w:rsidRPr="00000C8C" w:rsidRDefault="00BF2117">
      <w:pPr>
        <w:pStyle w:val="FootnoteText"/>
        <w:rPr>
          <w:sz w:val="16"/>
          <w:szCs w:val="16"/>
          <w:lang w:val="en-US"/>
        </w:rPr>
      </w:pPr>
      <w:r w:rsidRPr="00000C8C">
        <w:rPr>
          <w:rStyle w:val="FootnoteReference"/>
          <w:sz w:val="16"/>
          <w:szCs w:val="16"/>
        </w:rPr>
        <w:footnoteRef/>
      </w:r>
      <w:r>
        <w:rPr>
          <w:sz w:val="16"/>
          <w:szCs w:val="16"/>
        </w:rPr>
        <w:t>inserted by the Finance Act, 2015.</w:t>
      </w:r>
    </w:p>
  </w:footnote>
  <w:footnote w:id="1422">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heading “DIRECTORATE-GENERAL OF INTERNAL AUDIT” substituted by the Finance Act, 2013.</w:t>
      </w:r>
    </w:p>
  </w:footnote>
  <w:footnote w:id="1423">
    <w:p w:rsidR="00BF2117" w:rsidRPr="00061D47" w:rsidRDefault="00BF2117">
      <w:pPr>
        <w:pStyle w:val="FootnoteText"/>
        <w:keepNext/>
        <w:rPr>
          <w:sz w:val="16"/>
          <w:szCs w:val="16"/>
        </w:rPr>
      </w:pPr>
      <w:r w:rsidRPr="00061D47">
        <w:rPr>
          <w:rStyle w:val="FootnoteReference"/>
          <w:rFonts w:cs="Arial"/>
          <w:sz w:val="16"/>
          <w:szCs w:val="16"/>
        </w:rPr>
        <w:footnoteRef/>
      </w:r>
      <w:r w:rsidRPr="00061D47">
        <w:rPr>
          <w:sz w:val="16"/>
          <w:szCs w:val="16"/>
        </w:rPr>
        <w:t xml:space="preserve"> Section 228 substituted by the Finance Act, 2005. The substituted section 228 read as follows:</w:t>
      </w:r>
    </w:p>
    <w:p w:rsidR="00BF2117" w:rsidRPr="00061D47" w:rsidRDefault="00BF2117">
      <w:pPr>
        <w:keepNext/>
        <w:ind w:left="180"/>
        <w:jc w:val="both"/>
        <w:rPr>
          <w:sz w:val="16"/>
          <w:szCs w:val="16"/>
        </w:rPr>
      </w:pPr>
      <w:r w:rsidRPr="00061D47">
        <w:rPr>
          <w:rFonts w:cs="Arial"/>
          <w:b/>
          <w:sz w:val="16"/>
          <w:szCs w:val="16"/>
        </w:rPr>
        <w:t>“228. Appointment of Directorate-General of Inspection.-</w:t>
      </w:r>
      <w:r w:rsidRPr="00061D47">
        <w:rPr>
          <w:sz w:val="16"/>
          <w:szCs w:val="16"/>
        </w:rPr>
        <w:t xml:space="preserve"> (1) The Federal Government shall appoint a Directorate-General of Inspection to exercise the powers and discharge the functions conferred on it under this Part.</w:t>
      </w:r>
    </w:p>
    <w:p w:rsidR="00BF2117" w:rsidRPr="00061D47" w:rsidRDefault="00BF2117">
      <w:pPr>
        <w:pStyle w:val="FootnoteText"/>
        <w:ind w:left="180" w:hanging="180"/>
        <w:jc w:val="both"/>
        <w:rPr>
          <w:rFonts w:cs="Arial"/>
          <w:sz w:val="16"/>
          <w:szCs w:val="16"/>
        </w:rPr>
      </w:pPr>
      <w:r w:rsidRPr="00061D47">
        <w:rPr>
          <w:rFonts w:cs="Arial"/>
          <w:sz w:val="16"/>
          <w:szCs w:val="16"/>
        </w:rPr>
        <w:tab/>
      </w:r>
      <w:r w:rsidRPr="00061D47">
        <w:rPr>
          <w:rFonts w:cs="Arial"/>
          <w:sz w:val="16"/>
          <w:szCs w:val="16"/>
        </w:rPr>
        <w:tab/>
        <w:t>(2)  The Directorate-General shall consist of a Director-General and as many Directors, Additional Directors, Deputy Directors, Assistant Directors, Extra-Assistant Directors and Inspectors, as the Director-General may consider necessary to be appointed from among the officers of the Income Tax Group.”</w:t>
      </w:r>
    </w:p>
  </w:footnote>
  <w:footnote w:id="1424">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“Inspection and” omitted by the Finance Act, 2007.</w:t>
      </w:r>
    </w:p>
  </w:footnote>
  <w:footnote w:id="1425">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The words “Inspection and” omitted by the Finance Act, 2007.</w:t>
      </w:r>
    </w:p>
  </w:footnote>
  <w:footnote w:id="1426">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The words “Inspection and” omitted by the Finance Act, 2007.</w:t>
      </w:r>
    </w:p>
  </w:footnote>
  <w:footnote w:id="1427">
    <w:p w:rsidR="00BF2117" w:rsidRPr="00061D47" w:rsidRDefault="00BF2117" w:rsidP="00B95739">
      <w:pPr>
        <w:pStyle w:val="FootnoteText"/>
        <w:ind w:left="0" w:firstLine="0"/>
        <w:rPr>
          <w:sz w:val="16"/>
          <w:szCs w:val="16"/>
          <w:lang w:val="en-US"/>
        </w:rPr>
      </w:pPr>
      <w:r w:rsidRPr="00061D47">
        <w:rPr>
          <w:rStyle w:val="FootnoteReference"/>
          <w:sz w:val="16"/>
          <w:szCs w:val="16"/>
        </w:rPr>
        <w:footnoteRef/>
      </w:r>
      <w:r w:rsidRPr="00061D47">
        <w:rPr>
          <w:sz w:val="16"/>
          <w:szCs w:val="16"/>
        </w:rPr>
        <w:t xml:space="preserve"> Added by the Finance Act, 2010</w:t>
      </w:r>
      <w:r w:rsidRPr="00061D47">
        <w:rPr>
          <w:sz w:val="16"/>
          <w:szCs w:val="16"/>
          <w:lang w:val="en-US"/>
        </w:rPr>
        <w:t xml:space="preserve">.  Earlier  section 229 was omitted by the Finance Act, 2005. Which read as follows:- </w:t>
      </w:r>
    </w:p>
    <w:p w:rsidR="00BF2117" w:rsidRPr="00061D47" w:rsidRDefault="00BF2117" w:rsidP="00B95739">
      <w:pPr>
        <w:keepNext/>
        <w:ind w:left="180"/>
        <w:jc w:val="both"/>
        <w:rPr>
          <w:sz w:val="16"/>
          <w:szCs w:val="16"/>
        </w:rPr>
      </w:pPr>
      <w:r w:rsidRPr="00061D47">
        <w:rPr>
          <w:rFonts w:cs="Arial"/>
          <w:b/>
          <w:sz w:val="16"/>
          <w:szCs w:val="16"/>
        </w:rPr>
        <w:t>“229. Inspection authorities.-</w:t>
      </w:r>
      <w:r w:rsidRPr="00061D47">
        <w:rPr>
          <w:sz w:val="16"/>
          <w:szCs w:val="16"/>
        </w:rPr>
        <w:t xml:space="preserve"> (1) There shall be the following classes of inspection authorities for the purposes of this Ordinance, namely:-</w:t>
      </w:r>
    </w:p>
    <w:p w:rsidR="00BF2117" w:rsidRPr="00061D47" w:rsidRDefault="00BF2117" w:rsidP="00B95739">
      <w:pPr>
        <w:keepNext/>
        <w:jc w:val="both"/>
        <w:rPr>
          <w:rFonts w:cs="Arial"/>
          <w:sz w:val="16"/>
          <w:szCs w:val="16"/>
        </w:rPr>
      </w:pPr>
      <w:r w:rsidRPr="00061D47">
        <w:rPr>
          <w:rFonts w:cs="Arial"/>
          <w:sz w:val="16"/>
          <w:szCs w:val="16"/>
        </w:rPr>
        <w:tab/>
      </w:r>
      <w:r w:rsidRPr="00061D47">
        <w:rPr>
          <w:rFonts w:cs="Arial"/>
          <w:sz w:val="16"/>
          <w:szCs w:val="16"/>
        </w:rPr>
        <w:tab/>
        <w:t>(a) The Director-General of Inspection; and</w:t>
      </w:r>
    </w:p>
    <w:p w:rsidR="00BF2117" w:rsidRPr="00061D47" w:rsidRDefault="00BF2117" w:rsidP="00B95739">
      <w:pPr>
        <w:keepNext/>
        <w:ind w:left="547" w:firstLine="547"/>
        <w:jc w:val="both"/>
        <w:rPr>
          <w:rFonts w:cs="Arial"/>
          <w:sz w:val="16"/>
          <w:szCs w:val="16"/>
        </w:rPr>
      </w:pPr>
      <w:r w:rsidRPr="00061D47">
        <w:rPr>
          <w:rFonts w:cs="Arial"/>
          <w:sz w:val="16"/>
          <w:szCs w:val="16"/>
        </w:rPr>
        <w:t>(b) Directors of Inspection.</w:t>
      </w:r>
    </w:p>
    <w:p w:rsidR="00BF2117" w:rsidRPr="00061D47" w:rsidRDefault="00BF2117" w:rsidP="00B95739">
      <w:pPr>
        <w:pStyle w:val="FootnoteText"/>
        <w:ind w:hanging="173"/>
        <w:rPr>
          <w:sz w:val="16"/>
          <w:szCs w:val="16"/>
          <w:lang w:val="en-US"/>
        </w:rPr>
      </w:pPr>
      <w:r w:rsidRPr="00061D47">
        <w:rPr>
          <w:rFonts w:cs="Arial"/>
          <w:sz w:val="16"/>
          <w:szCs w:val="16"/>
        </w:rPr>
        <w:t>(2) The Directors of Inspection shall be subordinate to the Director-General of Inspection.”</w:t>
      </w:r>
    </w:p>
  </w:footnote>
  <w:footnote w:id="1428">
    <w:p w:rsidR="00BF2117" w:rsidRDefault="00BF2117" w:rsidP="00B95739">
      <w:pPr>
        <w:pStyle w:val="FootnoteText"/>
        <w:ind w:left="0" w:firstLine="0"/>
        <w:rPr>
          <w:sz w:val="16"/>
          <w:szCs w:val="16"/>
          <w:lang w:val="en-US"/>
        </w:rPr>
      </w:pPr>
      <w:r w:rsidRPr="00412620">
        <w:rPr>
          <w:rStyle w:val="FootnoteReference"/>
        </w:rPr>
        <w:footnoteRef/>
      </w:r>
      <w:r>
        <w:rPr>
          <w:sz w:val="16"/>
          <w:szCs w:val="16"/>
          <w:lang w:val="en-US"/>
        </w:rPr>
        <w:t xml:space="preserve">Inserted </w:t>
      </w:r>
      <w:r w:rsidRPr="00412620">
        <w:rPr>
          <w:sz w:val="16"/>
          <w:szCs w:val="16"/>
          <w:lang w:val="en-US"/>
        </w:rPr>
        <w:t>by the Finance Act, 2012.</w:t>
      </w:r>
      <w:r>
        <w:rPr>
          <w:sz w:val="16"/>
          <w:szCs w:val="16"/>
          <w:lang w:val="en-US"/>
        </w:rPr>
        <w:t xml:space="preserve"> Earlier it was omitted by the Finance Act, 2005, which read as follows:- </w:t>
      </w:r>
    </w:p>
    <w:p w:rsidR="00BF2117" w:rsidRPr="00061D47" w:rsidRDefault="00BF2117" w:rsidP="00B95739">
      <w:pPr>
        <w:keepNext/>
        <w:ind w:left="180"/>
        <w:jc w:val="both"/>
        <w:rPr>
          <w:sz w:val="16"/>
          <w:szCs w:val="16"/>
        </w:rPr>
      </w:pPr>
      <w:r w:rsidRPr="00061D47">
        <w:rPr>
          <w:rFonts w:cs="Arial"/>
          <w:b/>
          <w:sz w:val="16"/>
          <w:szCs w:val="16"/>
        </w:rPr>
        <w:t>“230. Jurisdiction of Inspection Authorities.-</w:t>
      </w:r>
      <w:r w:rsidRPr="00061D47">
        <w:rPr>
          <w:sz w:val="16"/>
          <w:szCs w:val="16"/>
        </w:rPr>
        <w:t xml:space="preserve"> (1)  Subject to the provisions of this Chapter,  the Directors of Inspection shall perform their functions in respect of such persons or classes of persons or such areas as may be assigned to them by the Director-General.</w:t>
      </w:r>
    </w:p>
    <w:p w:rsidR="00BF2117" w:rsidRPr="00061D47" w:rsidRDefault="00BF2117" w:rsidP="00B95739">
      <w:pPr>
        <w:pStyle w:val="FootnoteText"/>
        <w:keepNext/>
        <w:ind w:left="180" w:firstLine="270"/>
        <w:jc w:val="both"/>
        <w:rPr>
          <w:rFonts w:cs="Arial"/>
          <w:sz w:val="16"/>
          <w:szCs w:val="16"/>
        </w:rPr>
      </w:pPr>
      <w:r w:rsidRPr="00061D47">
        <w:rPr>
          <w:rFonts w:cs="Arial"/>
          <w:sz w:val="16"/>
          <w:szCs w:val="16"/>
        </w:rPr>
        <w:t>(2) The Director-General or a Director of Inspection may assign any function in respect of any area, or office or offices located within an area, case, class of cases, person or classes of persons to any inspection officer working under his control.</w:t>
      </w:r>
    </w:p>
    <w:p w:rsidR="00BF2117" w:rsidRPr="00061D47" w:rsidRDefault="00BF2117" w:rsidP="00B95739">
      <w:pPr>
        <w:pStyle w:val="FootnoteText"/>
        <w:ind w:left="180" w:firstLine="270"/>
        <w:jc w:val="both"/>
        <w:rPr>
          <w:rFonts w:cs="Arial"/>
          <w:sz w:val="16"/>
          <w:szCs w:val="16"/>
        </w:rPr>
      </w:pPr>
      <w:r w:rsidRPr="00061D47">
        <w:rPr>
          <w:rFonts w:cs="Arial"/>
          <w:sz w:val="16"/>
          <w:szCs w:val="16"/>
        </w:rPr>
        <w:t>(3)  In this section, “inspection officer” means an Additional Director of Inspection, a Deputy Director of Inspection, an Assistant Director and an Extra-Assistant Director.”</w:t>
      </w:r>
    </w:p>
    <w:p w:rsidR="00BF2117" w:rsidRPr="00061D47" w:rsidRDefault="00BF2117">
      <w:pPr>
        <w:pStyle w:val="FootnoteText"/>
        <w:rPr>
          <w:sz w:val="16"/>
          <w:szCs w:val="16"/>
          <w:lang w:val="en-US"/>
        </w:rPr>
      </w:pPr>
    </w:p>
  </w:footnote>
  <w:footnote w:id="1429">
    <w:p w:rsidR="00BF2117" w:rsidRPr="00061D47" w:rsidRDefault="00BF2117">
      <w:pPr>
        <w:pStyle w:val="FootnoteText"/>
        <w:keepNext/>
        <w:rPr>
          <w:sz w:val="16"/>
          <w:szCs w:val="16"/>
        </w:rPr>
      </w:pPr>
      <w:r w:rsidRPr="00061D47">
        <w:rPr>
          <w:rStyle w:val="FootnoteReference"/>
          <w:rFonts w:cs="Arial"/>
          <w:sz w:val="16"/>
          <w:szCs w:val="16"/>
        </w:rPr>
        <w:footnoteRef/>
      </w:r>
      <w:r w:rsidRPr="00061D47">
        <w:rPr>
          <w:sz w:val="16"/>
          <w:szCs w:val="16"/>
        </w:rPr>
        <w:t xml:space="preserve"> Section 231 omitted by the Finance Act, 2005. The omitted section 231 read as follows:</w:t>
      </w:r>
    </w:p>
    <w:p w:rsidR="00BF2117" w:rsidRPr="00061D47" w:rsidRDefault="00BF2117">
      <w:pPr>
        <w:keepNext/>
        <w:ind w:left="180"/>
        <w:jc w:val="both"/>
        <w:rPr>
          <w:sz w:val="16"/>
          <w:szCs w:val="16"/>
        </w:rPr>
      </w:pPr>
      <w:r w:rsidRPr="00061D47">
        <w:rPr>
          <w:rFonts w:cs="Arial"/>
          <w:b/>
          <w:sz w:val="16"/>
          <w:szCs w:val="16"/>
        </w:rPr>
        <w:t>“231. Functions and Powers of Directorate.-</w:t>
      </w:r>
      <w:r w:rsidRPr="00061D47">
        <w:rPr>
          <w:sz w:val="16"/>
          <w:szCs w:val="16"/>
        </w:rPr>
        <w:t xml:space="preserve"> (1)  The functions of the Directorate-General of Inspection shall be, namely:-</w:t>
      </w:r>
    </w:p>
    <w:p w:rsidR="00BF2117" w:rsidRPr="00061D47" w:rsidRDefault="00BF2117">
      <w:pPr>
        <w:keepNext/>
        <w:ind w:left="810" w:hanging="360"/>
        <w:jc w:val="both"/>
        <w:rPr>
          <w:rFonts w:cs="Arial"/>
          <w:sz w:val="16"/>
          <w:szCs w:val="16"/>
        </w:rPr>
      </w:pPr>
      <w:r w:rsidRPr="00061D47">
        <w:rPr>
          <w:rFonts w:cs="Arial"/>
          <w:sz w:val="16"/>
          <w:szCs w:val="16"/>
        </w:rPr>
        <w:t>(a)</w:t>
      </w:r>
      <w:r w:rsidRPr="00061D47">
        <w:rPr>
          <w:rFonts w:cs="Arial"/>
          <w:sz w:val="16"/>
          <w:szCs w:val="16"/>
        </w:rPr>
        <w:tab/>
        <w:t>To carry out inspections of income tax cases and offices;</w:t>
      </w:r>
    </w:p>
    <w:p w:rsidR="00BF2117" w:rsidRPr="00061D47" w:rsidRDefault="00BF2117">
      <w:pPr>
        <w:keepNext/>
        <w:ind w:left="810" w:hanging="360"/>
        <w:jc w:val="both"/>
        <w:rPr>
          <w:rFonts w:cs="Arial"/>
          <w:sz w:val="16"/>
          <w:szCs w:val="16"/>
        </w:rPr>
      </w:pPr>
      <w:r w:rsidRPr="00061D47">
        <w:rPr>
          <w:rFonts w:cs="Arial"/>
          <w:sz w:val="16"/>
          <w:szCs w:val="16"/>
        </w:rPr>
        <w:t>(b)</w:t>
      </w:r>
      <w:r w:rsidRPr="00061D47">
        <w:rPr>
          <w:rFonts w:cs="Arial"/>
          <w:sz w:val="16"/>
          <w:szCs w:val="16"/>
        </w:rPr>
        <w:tab/>
        <w:t>to investigate or cause investigation to be carried out in respect of –</w:t>
      </w:r>
    </w:p>
    <w:p w:rsidR="00BF2117" w:rsidRPr="00061D47" w:rsidRDefault="00BF2117">
      <w:pPr>
        <w:pStyle w:val="BodyTextIndent3"/>
        <w:keepNext/>
        <w:ind w:left="1080" w:hanging="270"/>
        <w:jc w:val="both"/>
        <w:rPr>
          <w:rFonts w:cs="Arial"/>
          <w:sz w:val="16"/>
          <w:szCs w:val="16"/>
        </w:rPr>
      </w:pPr>
      <w:r w:rsidRPr="00061D47">
        <w:rPr>
          <w:rFonts w:cs="Arial"/>
          <w:sz w:val="16"/>
          <w:szCs w:val="16"/>
        </w:rPr>
        <w:t>(i)</w:t>
      </w:r>
      <w:r w:rsidRPr="00061D47">
        <w:rPr>
          <w:rFonts w:cs="Arial"/>
          <w:sz w:val="16"/>
          <w:szCs w:val="16"/>
        </w:rPr>
        <w:tab/>
        <w:t>cases involving leakage of revenue or evasion of taxes; and</w:t>
      </w:r>
    </w:p>
    <w:p w:rsidR="00BF2117" w:rsidRPr="00061D47" w:rsidRDefault="00BF2117">
      <w:pPr>
        <w:pStyle w:val="BodyTextIndent3"/>
        <w:keepNext/>
        <w:ind w:left="1080" w:hanging="270"/>
        <w:jc w:val="both"/>
        <w:rPr>
          <w:rFonts w:cs="Arial"/>
          <w:sz w:val="16"/>
          <w:szCs w:val="16"/>
        </w:rPr>
      </w:pPr>
      <w:r w:rsidRPr="00061D47">
        <w:rPr>
          <w:rFonts w:cs="Arial"/>
          <w:sz w:val="16"/>
          <w:szCs w:val="16"/>
        </w:rPr>
        <w:t>(ii)</w:t>
      </w:r>
      <w:r w:rsidRPr="00061D47">
        <w:rPr>
          <w:rFonts w:cs="Arial"/>
          <w:sz w:val="16"/>
          <w:szCs w:val="16"/>
        </w:rPr>
        <w:tab/>
        <w:t>Regional Commissioners of Income Tax, Commissioners of Income Tax, taxation officers and any other staff of income tax offices allegedly involved in corruption and malpractice, and recommend to the competent authority appropriate disciplinary action;</w:t>
      </w:r>
    </w:p>
    <w:p w:rsidR="00BF2117" w:rsidRPr="00061D47" w:rsidRDefault="00BF2117">
      <w:pPr>
        <w:keepNext/>
        <w:ind w:left="810" w:hanging="360"/>
        <w:jc w:val="both"/>
        <w:rPr>
          <w:rFonts w:cs="Arial"/>
          <w:sz w:val="16"/>
          <w:szCs w:val="16"/>
        </w:rPr>
      </w:pPr>
      <w:r w:rsidRPr="00061D47">
        <w:rPr>
          <w:rFonts w:cs="Arial"/>
          <w:sz w:val="16"/>
          <w:szCs w:val="16"/>
        </w:rPr>
        <w:t>(c)</w:t>
      </w:r>
      <w:r w:rsidRPr="00061D47">
        <w:rPr>
          <w:rFonts w:cs="Arial"/>
          <w:sz w:val="16"/>
          <w:szCs w:val="16"/>
        </w:rPr>
        <w:tab/>
        <w:t>to carry out audit of cases or offices involving income tax revenues;</w:t>
      </w:r>
    </w:p>
    <w:p w:rsidR="00BF2117" w:rsidRPr="00061D47" w:rsidRDefault="00BF2117">
      <w:pPr>
        <w:keepNext/>
        <w:ind w:left="810" w:hanging="360"/>
        <w:jc w:val="both"/>
        <w:rPr>
          <w:rFonts w:cs="Arial"/>
          <w:sz w:val="16"/>
          <w:szCs w:val="16"/>
        </w:rPr>
      </w:pPr>
      <w:r w:rsidRPr="00061D47">
        <w:rPr>
          <w:rFonts w:cs="Arial"/>
          <w:sz w:val="16"/>
          <w:szCs w:val="16"/>
        </w:rPr>
        <w:t>(d)</w:t>
      </w:r>
      <w:r w:rsidRPr="00061D47">
        <w:rPr>
          <w:rFonts w:cs="Arial"/>
          <w:sz w:val="16"/>
          <w:szCs w:val="16"/>
        </w:rPr>
        <w:tab/>
        <w:t>to recommend to the Central Board of Revenue in matters of tax policy, tax administration and tax operations;</w:t>
      </w:r>
    </w:p>
    <w:p w:rsidR="00BF2117" w:rsidRPr="00061D47" w:rsidRDefault="00BF2117">
      <w:pPr>
        <w:keepNext/>
        <w:ind w:left="810" w:hanging="360"/>
        <w:jc w:val="both"/>
        <w:rPr>
          <w:rFonts w:cs="Arial"/>
          <w:sz w:val="16"/>
          <w:szCs w:val="16"/>
        </w:rPr>
      </w:pPr>
      <w:r w:rsidRPr="00061D47">
        <w:rPr>
          <w:rFonts w:cs="Arial"/>
          <w:sz w:val="16"/>
          <w:szCs w:val="16"/>
        </w:rPr>
        <w:t>(e)</w:t>
      </w:r>
      <w:r w:rsidRPr="00061D47">
        <w:rPr>
          <w:rFonts w:cs="Arial"/>
          <w:sz w:val="16"/>
          <w:szCs w:val="16"/>
        </w:rPr>
        <w:tab/>
        <w:t>to furnish an annual report about the workings of Income Tax Offices to the Central Board of Revenue by the thirty-first day of December, following the end of the financial year to which it relates; and</w:t>
      </w:r>
    </w:p>
    <w:p w:rsidR="00BF2117" w:rsidRPr="00061D47" w:rsidRDefault="00BF2117">
      <w:pPr>
        <w:keepNext/>
        <w:ind w:left="810" w:hanging="360"/>
        <w:jc w:val="both"/>
        <w:rPr>
          <w:rFonts w:cs="Arial"/>
          <w:sz w:val="16"/>
          <w:szCs w:val="16"/>
        </w:rPr>
      </w:pPr>
      <w:r w:rsidRPr="00061D47">
        <w:rPr>
          <w:rFonts w:cs="Arial"/>
          <w:sz w:val="16"/>
          <w:szCs w:val="16"/>
        </w:rPr>
        <w:t>(f)</w:t>
      </w:r>
      <w:r w:rsidRPr="00061D47">
        <w:rPr>
          <w:rFonts w:cs="Arial"/>
          <w:sz w:val="16"/>
          <w:szCs w:val="16"/>
        </w:rPr>
        <w:tab/>
        <w:t>to carry out any other work or function that may be assigned to it by the Federal Government.</w:t>
      </w:r>
    </w:p>
    <w:p w:rsidR="00BF2117" w:rsidRPr="00061D47" w:rsidRDefault="00BF2117">
      <w:pPr>
        <w:pStyle w:val="FootnoteText"/>
        <w:ind w:left="180" w:firstLine="270"/>
        <w:jc w:val="both"/>
        <w:rPr>
          <w:rFonts w:cs="Arial"/>
          <w:sz w:val="16"/>
          <w:szCs w:val="16"/>
        </w:rPr>
      </w:pPr>
      <w:r w:rsidRPr="00061D47">
        <w:rPr>
          <w:rFonts w:cs="Arial"/>
          <w:sz w:val="16"/>
          <w:szCs w:val="16"/>
        </w:rPr>
        <w:tab/>
        <w:t>(2)</w:t>
      </w:r>
      <w:r w:rsidRPr="00061D47">
        <w:rPr>
          <w:rFonts w:cs="Arial"/>
          <w:sz w:val="16"/>
          <w:szCs w:val="16"/>
        </w:rPr>
        <w:tab/>
        <w:t>In discharge of its functions under sub-section (1), the Directorate-General shall have the powers specified in section 176.”</w:t>
      </w:r>
    </w:p>
  </w:footnote>
  <w:footnote w:id="1430">
    <w:p w:rsidR="00BF2117" w:rsidRPr="00061D47" w:rsidRDefault="00BF2117">
      <w:pPr>
        <w:pStyle w:val="FootnoteText"/>
        <w:rPr>
          <w:sz w:val="16"/>
          <w:szCs w:val="16"/>
          <w:lang w:val="en-US"/>
        </w:rPr>
      </w:pPr>
      <w:r w:rsidRPr="00412620">
        <w:rPr>
          <w:rStyle w:val="FootnoteReference"/>
        </w:rPr>
        <w:footnoteRef/>
      </w:r>
      <w:r w:rsidRPr="00061D47">
        <w:rPr>
          <w:sz w:val="16"/>
          <w:szCs w:val="16"/>
          <w:lang w:val="en-US"/>
        </w:rPr>
        <w:t>Added by the Finance Act, 2008.</w:t>
      </w:r>
    </w:p>
  </w:footnote>
  <w:footnote w:id="1431">
    <w:p w:rsidR="00BF2117" w:rsidRPr="00061D47" w:rsidRDefault="00BF2117" w:rsidP="00B3704C">
      <w:pPr>
        <w:pStyle w:val="FootnoteText"/>
        <w:ind w:left="180" w:hanging="180"/>
        <w:rPr>
          <w:sz w:val="16"/>
          <w:szCs w:val="16"/>
          <w:lang w:val="en-US"/>
        </w:rPr>
      </w:pPr>
      <w:r w:rsidRPr="00061D47">
        <w:rPr>
          <w:rStyle w:val="FootnoteReference"/>
          <w:sz w:val="16"/>
          <w:szCs w:val="16"/>
        </w:rPr>
        <w:footnoteRef/>
      </w:r>
      <w:r w:rsidRPr="00061D47">
        <w:rPr>
          <w:sz w:val="16"/>
          <w:szCs w:val="16"/>
        </w:rPr>
        <w:t xml:space="preserve"> The heading “DIRECTORATE-GENERAL OF WITHHOLDING TAXES” substituted by the Finance Act, 2013.</w:t>
      </w:r>
    </w:p>
  </w:footnote>
  <w:footnote w:id="1432">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Added by the Finance Act, 2013.</w:t>
      </w:r>
    </w:p>
  </w:footnote>
  <w:footnote w:id="1433">
    <w:p w:rsidR="00BF2117" w:rsidRPr="00061D47" w:rsidRDefault="00BF2117" w:rsidP="00B3704C">
      <w:pPr>
        <w:pStyle w:val="FootnoteText"/>
        <w:rPr>
          <w:sz w:val="16"/>
          <w:szCs w:val="16"/>
          <w:lang w:val="en-US"/>
        </w:rPr>
      </w:pPr>
      <w:r w:rsidRPr="00061D47">
        <w:rPr>
          <w:rStyle w:val="FootnoteReference"/>
          <w:sz w:val="16"/>
          <w:szCs w:val="16"/>
        </w:rPr>
        <w:footnoteRef/>
      </w:r>
      <w:r w:rsidRPr="00061D47">
        <w:rPr>
          <w:sz w:val="16"/>
          <w:szCs w:val="16"/>
        </w:rPr>
        <w:t xml:space="preserve"> Added by the Finance Act, 2013.</w:t>
      </w:r>
    </w:p>
  </w:footnote>
  <w:footnote w:id="1434">
    <w:p w:rsidR="00BF2117" w:rsidRPr="00061D47" w:rsidRDefault="00BF2117">
      <w:pPr>
        <w:pStyle w:val="FootnoteText"/>
        <w:rPr>
          <w:sz w:val="16"/>
          <w:szCs w:val="16"/>
        </w:rPr>
      </w:pPr>
      <w:r w:rsidRPr="00061D47">
        <w:rPr>
          <w:rStyle w:val="FootnoteReference"/>
          <w:rFonts w:cs="Arial"/>
          <w:sz w:val="16"/>
          <w:szCs w:val="16"/>
        </w:rPr>
        <w:footnoteRef/>
      </w:r>
      <w:r w:rsidRPr="00061D47">
        <w:rPr>
          <w:sz w:val="16"/>
          <w:szCs w:val="16"/>
        </w:rPr>
        <w:t xml:space="preserve"> Inserted by the Finance Act, 2005.</w:t>
      </w:r>
    </w:p>
  </w:footnote>
  <w:footnote w:id="1435">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Sub-section (1) substituted by the Finance Act, 2006. The substituted sub-section (1) read as follows:</w:t>
      </w:r>
    </w:p>
    <w:p w:rsidR="00BF2117" w:rsidRPr="00061D47" w:rsidRDefault="00BF2117" w:rsidP="006E309F">
      <w:pPr>
        <w:pStyle w:val="FootnoteText"/>
        <w:ind w:left="180" w:firstLine="270"/>
        <w:jc w:val="both"/>
        <w:rPr>
          <w:sz w:val="16"/>
          <w:szCs w:val="16"/>
          <w:lang w:val="en-US"/>
        </w:rPr>
      </w:pPr>
      <w:r w:rsidRPr="00061D47">
        <w:rPr>
          <w:sz w:val="16"/>
          <w:szCs w:val="16"/>
          <w:lang w:val="en-US"/>
        </w:rPr>
        <w:t>“</w:t>
      </w:r>
      <w:r w:rsidRPr="00061D47">
        <w:rPr>
          <w:bCs/>
          <w:sz w:val="16"/>
          <w:szCs w:val="16"/>
        </w:rPr>
        <w:t>(1) Every banking company shall, at the time of making a payment for cash withdrawal  rupees, deduct tax from the payment at the rate specified in Division VI of Part IV of the First Schedule.”</w:t>
      </w:r>
    </w:p>
  </w:footnote>
  <w:footnote w:id="1436">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The words ‘twenty-five” substituted by the Finance Act, 2012.</w:t>
      </w:r>
    </w:p>
  </w:footnote>
  <w:footnote w:id="1437">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Added by the Finance Act, 2016.</w:t>
      </w:r>
    </w:p>
  </w:footnote>
  <w:footnote w:id="1438">
    <w:p w:rsidR="00BF2117" w:rsidRDefault="00BF2117" w:rsidP="00326A6F">
      <w:pPr>
        <w:jc w:val="both"/>
        <w:rPr>
          <w:sz w:val="16"/>
          <w:szCs w:val="16"/>
        </w:rPr>
      </w:pPr>
      <w:r w:rsidRPr="00326A6F">
        <w:rPr>
          <w:rStyle w:val="FootnoteReference"/>
          <w:sz w:val="16"/>
          <w:szCs w:val="16"/>
        </w:rPr>
        <w:footnoteRef/>
      </w:r>
      <w:r>
        <w:rPr>
          <w:sz w:val="16"/>
          <w:szCs w:val="16"/>
        </w:rPr>
        <w:t xml:space="preserve">Sub-section (2) omitted by Finance Act, 2015. The omitted sub-section (2) read as follows:- </w:t>
      </w:r>
    </w:p>
    <w:p w:rsidR="00BF2117" w:rsidRPr="00326A6F" w:rsidRDefault="00BF2117" w:rsidP="00326A6F">
      <w:pPr>
        <w:jc w:val="both"/>
        <w:rPr>
          <w:rFonts w:cs="Arial"/>
          <w:bCs/>
          <w:sz w:val="16"/>
          <w:szCs w:val="16"/>
        </w:rPr>
      </w:pPr>
      <w:r>
        <w:rPr>
          <w:sz w:val="16"/>
          <w:szCs w:val="16"/>
        </w:rPr>
        <w:t>“</w:t>
      </w:r>
      <w:r w:rsidRPr="00326A6F">
        <w:rPr>
          <w:rFonts w:cs="Arial"/>
          <w:bCs/>
          <w:sz w:val="16"/>
          <w:szCs w:val="16"/>
        </w:rPr>
        <w:t xml:space="preserve">(2) </w:t>
      </w:r>
      <w:r w:rsidRPr="00326A6F">
        <w:rPr>
          <w:rFonts w:cs="Arial"/>
          <w:bCs/>
          <w:sz w:val="16"/>
          <w:szCs w:val="16"/>
        </w:rPr>
        <w:tab/>
        <w:t xml:space="preserve">Advance tax under this section shall not be collected in the case of withdrawals made by,- </w:t>
      </w:r>
    </w:p>
    <w:p w:rsidR="00BF2117" w:rsidRPr="00326A6F" w:rsidRDefault="00BF2117" w:rsidP="00326A6F">
      <w:pPr>
        <w:jc w:val="both"/>
        <w:rPr>
          <w:rFonts w:cs="Arial"/>
          <w:bCs/>
          <w:sz w:val="16"/>
          <w:szCs w:val="16"/>
        </w:rPr>
      </w:pPr>
      <w:r w:rsidRPr="00326A6F">
        <w:rPr>
          <w:rFonts w:cs="Arial"/>
          <w:bCs/>
          <w:sz w:val="16"/>
          <w:szCs w:val="16"/>
        </w:rPr>
        <w:tab/>
      </w:r>
      <w:r w:rsidRPr="00326A6F">
        <w:rPr>
          <w:rFonts w:cs="Arial"/>
          <w:bCs/>
          <w:sz w:val="16"/>
          <w:szCs w:val="16"/>
        </w:rPr>
        <w:tab/>
        <w:t xml:space="preserve">(a) </w:t>
      </w:r>
      <w:r w:rsidRPr="00326A6F">
        <w:rPr>
          <w:rFonts w:cs="Arial"/>
          <w:bCs/>
          <w:sz w:val="16"/>
          <w:szCs w:val="16"/>
        </w:rPr>
        <w:tab/>
        <w:t>the Federal Government or a Provincial Government;</w:t>
      </w:r>
    </w:p>
    <w:p w:rsidR="00BF2117" w:rsidRPr="00326A6F" w:rsidRDefault="00BF2117" w:rsidP="00326A6F">
      <w:pPr>
        <w:jc w:val="both"/>
        <w:rPr>
          <w:rFonts w:cs="Arial"/>
          <w:bCs/>
          <w:sz w:val="16"/>
          <w:szCs w:val="16"/>
        </w:rPr>
      </w:pPr>
      <w:r w:rsidRPr="00326A6F">
        <w:rPr>
          <w:rFonts w:cs="Arial"/>
          <w:bCs/>
          <w:sz w:val="16"/>
          <w:szCs w:val="16"/>
        </w:rPr>
        <w:tab/>
      </w:r>
      <w:r w:rsidRPr="00326A6F">
        <w:rPr>
          <w:rFonts w:cs="Arial"/>
          <w:bCs/>
          <w:sz w:val="16"/>
          <w:szCs w:val="16"/>
        </w:rPr>
        <w:tab/>
        <w:t xml:space="preserve">(b) </w:t>
      </w:r>
      <w:r w:rsidRPr="00326A6F">
        <w:rPr>
          <w:rFonts w:cs="Arial"/>
          <w:bCs/>
          <w:sz w:val="16"/>
          <w:szCs w:val="16"/>
        </w:rPr>
        <w:tab/>
        <w:t>a foreign diplomat or a diplomatic mission in Pakistan; or</w:t>
      </w:r>
    </w:p>
    <w:p w:rsidR="00BF2117" w:rsidRPr="00326A6F" w:rsidRDefault="00BF2117" w:rsidP="00F70817">
      <w:pPr>
        <w:ind w:left="1634" w:hanging="540"/>
        <w:rPr>
          <w:sz w:val="16"/>
          <w:szCs w:val="16"/>
          <w:lang w:val="en-US"/>
        </w:rPr>
      </w:pPr>
      <w:r w:rsidRPr="00326A6F">
        <w:rPr>
          <w:rFonts w:cs="Arial"/>
          <w:bCs/>
          <w:sz w:val="16"/>
          <w:szCs w:val="16"/>
        </w:rPr>
        <w:t xml:space="preserve">(c) </w:t>
      </w:r>
      <w:r w:rsidRPr="00326A6F">
        <w:rPr>
          <w:rFonts w:cs="Arial"/>
          <w:bCs/>
          <w:sz w:val="16"/>
          <w:szCs w:val="16"/>
        </w:rPr>
        <w:tab/>
        <w:t>a person who produces a certificate from the Commissioner that his income</w:t>
      </w:r>
      <w:r>
        <w:rPr>
          <w:rFonts w:cs="Arial"/>
          <w:bCs/>
          <w:sz w:val="16"/>
          <w:szCs w:val="16"/>
        </w:rPr>
        <w:t xml:space="preserve"> during the tax year is exempt.”</w:t>
      </w:r>
    </w:p>
  </w:footnote>
  <w:footnote w:id="1439">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Added by the Finance Act, 2010.</w:t>
      </w:r>
    </w:p>
  </w:footnote>
  <w:footnote w:id="1440">
    <w:p w:rsidR="00BF2117" w:rsidRPr="000709DA" w:rsidRDefault="00BF2117">
      <w:pPr>
        <w:pStyle w:val="FootnoteText"/>
        <w:rPr>
          <w:sz w:val="16"/>
          <w:szCs w:val="16"/>
          <w:lang w:val="en-US"/>
        </w:rPr>
      </w:pPr>
      <w:r w:rsidRPr="000709DA">
        <w:rPr>
          <w:rStyle w:val="FootnoteReference"/>
          <w:sz w:val="16"/>
          <w:szCs w:val="16"/>
        </w:rPr>
        <w:footnoteRef/>
      </w:r>
      <w:r w:rsidRPr="000709DA">
        <w:rPr>
          <w:sz w:val="16"/>
          <w:szCs w:val="16"/>
        </w:rPr>
        <w:t xml:space="preserve"> Substituted “:” by Finance Act, 2015</w:t>
      </w:r>
      <w:r>
        <w:rPr>
          <w:sz w:val="16"/>
          <w:szCs w:val="16"/>
        </w:rPr>
        <w:t>.</w:t>
      </w:r>
    </w:p>
  </w:footnote>
  <w:footnote w:id="1441">
    <w:p w:rsidR="00BF2117" w:rsidRDefault="00BF2117" w:rsidP="000709DA">
      <w:pPr>
        <w:spacing w:before="120" w:after="120"/>
        <w:ind w:left="1094" w:hanging="1094"/>
        <w:jc w:val="both"/>
        <w:rPr>
          <w:sz w:val="16"/>
          <w:szCs w:val="16"/>
        </w:rPr>
      </w:pPr>
      <w:r w:rsidRPr="000709DA">
        <w:rPr>
          <w:rStyle w:val="FootnoteReference"/>
          <w:sz w:val="16"/>
          <w:szCs w:val="16"/>
        </w:rPr>
        <w:footnoteRef/>
      </w:r>
      <w:r>
        <w:rPr>
          <w:sz w:val="16"/>
          <w:szCs w:val="16"/>
        </w:rPr>
        <w:t xml:space="preserve">The proviso omitted by Finance Act, 2015. The omitted proviso read as follows:- </w:t>
      </w:r>
    </w:p>
    <w:p w:rsidR="00BF2117" w:rsidRPr="000709DA" w:rsidRDefault="00BF2117" w:rsidP="000709DA">
      <w:pPr>
        <w:spacing w:before="120" w:after="120"/>
        <w:ind w:left="810"/>
        <w:jc w:val="both"/>
        <w:rPr>
          <w:rFonts w:cs="Arial"/>
          <w:sz w:val="16"/>
          <w:szCs w:val="16"/>
        </w:rPr>
      </w:pPr>
      <w:r>
        <w:rPr>
          <w:sz w:val="16"/>
          <w:szCs w:val="16"/>
        </w:rPr>
        <w:t>“</w:t>
      </w:r>
      <w:r w:rsidRPr="000709DA">
        <w:rPr>
          <w:rFonts w:cs="Arial"/>
          <w:sz w:val="16"/>
          <w:szCs w:val="16"/>
        </w:rPr>
        <w:t>Provided that this sub-section shall not be applicable in case of inter-bank or intra-bank transfer and also where payment is made through a crossed cheque for purchase of a financial instrument as referred to in sub-section (1).</w:t>
      </w:r>
      <w:r>
        <w:rPr>
          <w:rFonts w:cs="Arial"/>
          <w:sz w:val="16"/>
          <w:szCs w:val="16"/>
        </w:rPr>
        <w:t>”</w:t>
      </w:r>
    </w:p>
    <w:p w:rsidR="00BF2117" w:rsidRPr="000709DA" w:rsidRDefault="00BF2117">
      <w:pPr>
        <w:pStyle w:val="FootnoteText"/>
        <w:rPr>
          <w:sz w:val="16"/>
          <w:szCs w:val="16"/>
          <w:lang w:val="en-US"/>
        </w:rPr>
      </w:pPr>
    </w:p>
  </w:footnote>
  <w:footnote w:id="1442">
    <w:p w:rsidR="00BF2117" w:rsidRDefault="00BF2117" w:rsidP="00212EFC">
      <w:pPr>
        <w:spacing w:before="120" w:after="120"/>
        <w:jc w:val="both"/>
        <w:rPr>
          <w:rFonts w:cs="Arial"/>
          <w:sz w:val="20"/>
        </w:rPr>
      </w:pPr>
      <w:r w:rsidRPr="00212EFC">
        <w:rPr>
          <w:rStyle w:val="FootnoteReference"/>
          <w:sz w:val="16"/>
          <w:szCs w:val="16"/>
        </w:rPr>
        <w:footnoteRef/>
      </w:r>
      <w:r w:rsidRPr="00212EFC">
        <w:rPr>
          <w:sz w:val="16"/>
          <w:szCs w:val="16"/>
        </w:rPr>
        <w:t xml:space="preserve"> Sub-section (4) o</w:t>
      </w:r>
      <w:r w:rsidRPr="00212EFC">
        <w:rPr>
          <w:sz w:val="16"/>
          <w:szCs w:val="16"/>
          <w:lang w:val="en-US"/>
        </w:rPr>
        <w:t xml:space="preserve">mitted by Finance Act, 2015. </w:t>
      </w:r>
      <w:r>
        <w:rPr>
          <w:sz w:val="16"/>
          <w:szCs w:val="16"/>
          <w:lang w:val="en-US"/>
        </w:rPr>
        <w:t xml:space="preserve"> Omitted sub-section (4) read as follows:-</w:t>
      </w:r>
    </w:p>
    <w:p w:rsidR="00BF2117" w:rsidRDefault="00BF2117" w:rsidP="00212EFC">
      <w:pPr>
        <w:spacing w:before="120"/>
        <w:jc w:val="both"/>
        <w:rPr>
          <w:rFonts w:cs="Arial"/>
          <w:sz w:val="16"/>
          <w:szCs w:val="16"/>
        </w:rPr>
      </w:pPr>
      <w:r>
        <w:rPr>
          <w:rFonts w:cs="Arial"/>
          <w:sz w:val="20"/>
        </w:rPr>
        <w:t>“</w:t>
      </w:r>
      <w:r w:rsidRPr="00212EFC">
        <w:rPr>
          <w:rFonts w:cs="Arial"/>
          <w:sz w:val="16"/>
          <w:szCs w:val="16"/>
        </w:rPr>
        <w:t>(4)</w:t>
      </w:r>
      <w:r w:rsidRPr="00212EFC">
        <w:rPr>
          <w:rFonts w:cs="Arial"/>
          <w:sz w:val="16"/>
          <w:szCs w:val="16"/>
        </w:rPr>
        <w:tab/>
        <w:t>Advance tax under this section shall not be collected in the case of transactions made by,—</w:t>
      </w:r>
      <w:r w:rsidRPr="00212EFC">
        <w:rPr>
          <w:rFonts w:cs="Arial"/>
          <w:sz w:val="16"/>
          <w:szCs w:val="16"/>
        </w:rPr>
        <w:tab/>
      </w:r>
      <w:r w:rsidRPr="00212EFC">
        <w:rPr>
          <w:rFonts w:cs="Arial"/>
          <w:sz w:val="16"/>
          <w:szCs w:val="16"/>
        </w:rPr>
        <w:tab/>
        <w:t>(a)</w:t>
      </w:r>
      <w:r w:rsidRPr="00212EFC">
        <w:rPr>
          <w:rFonts w:cs="Arial"/>
          <w:sz w:val="16"/>
          <w:szCs w:val="16"/>
        </w:rPr>
        <w:tab/>
        <w:t>the Federal Government or a Provincial Government;</w:t>
      </w:r>
    </w:p>
    <w:p w:rsidR="00BF2117" w:rsidRPr="00212EFC" w:rsidRDefault="00BF2117" w:rsidP="00212EFC">
      <w:pPr>
        <w:spacing w:before="120"/>
        <w:jc w:val="both"/>
        <w:rPr>
          <w:rFonts w:cs="Arial"/>
          <w:sz w:val="16"/>
          <w:szCs w:val="16"/>
        </w:rPr>
      </w:pPr>
      <w:r>
        <w:rPr>
          <w:rFonts w:cs="Arial"/>
          <w:sz w:val="16"/>
          <w:szCs w:val="16"/>
        </w:rPr>
        <w:tab/>
      </w:r>
      <w:r w:rsidRPr="00212EFC">
        <w:rPr>
          <w:rFonts w:cs="Arial"/>
          <w:sz w:val="16"/>
          <w:szCs w:val="16"/>
        </w:rPr>
        <w:t>(b)</w:t>
      </w:r>
      <w:r w:rsidRPr="00212EFC">
        <w:rPr>
          <w:rFonts w:cs="Arial"/>
          <w:sz w:val="16"/>
          <w:szCs w:val="16"/>
        </w:rPr>
        <w:tab/>
        <w:t xml:space="preserve">a foreign diplomat or a diplomatic mission in Pakistan; or </w:t>
      </w:r>
    </w:p>
    <w:p w:rsidR="00BF2117" w:rsidRPr="00212EFC" w:rsidRDefault="00BF2117" w:rsidP="00212EFC">
      <w:pPr>
        <w:spacing w:before="120"/>
        <w:ind w:left="540" w:hanging="540"/>
        <w:jc w:val="both"/>
        <w:rPr>
          <w:sz w:val="16"/>
          <w:szCs w:val="16"/>
          <w:lang w:val="en-US"/>
        </w:rPr>
      </w:pPr>
      <w:r w:rsidRPr="00212EFC">
        <w:rPr>
          <w:rFonts w:cs="Arial"/>
          <w:sz w:val="16"/>
          <w:szCs w:val="16"/>
        </w:rPr>
        <w:tab/>
        <w:t>(c)</w:t>
      </w:r>
      <w:r w:rsidRPr="00212EFC">
        <w:rPr>
          <w:rFonts w:cs="Arial"/>
          <w:sz w:val="16"/>
          <w:szCs w:val="16"/>
        </w:rPr>
        <w:tab/>
        <w:t>a person who produces a certificate from the Commissioner</w:t>
      </w:r>
      <w:r>
        <w:rPr>
          <w:rFonts w:cs="Arial"/>
          <w:sz w:val="16"/>
          <w:szCs w:val="16"/>
        </w:rPr>
        <w:t xml:space="preserve"> </w:t>
      </w:r>
      <w:r w:rsidRPr="00212EFC">
        <w:rPr>
          <w:rFonts w:cs="Arial"/>
          <w:sz w:val="16"/>
          <w:szCs w:val="16"/>
        </w:rPr>
        <w:t>that its income during the tax year is exempt.]</w:t>
      </w:r>
    </w:p>
  </w:footnote>
  <w:footnote w:id="1443">
    <w:p w:rsidR="00BF2117" w:rsidRPr="001B3020" w:rsidRDefault="00BF2117" w:rsidP="00061D47">
      <w:pPr>
        <w:pStyle w:val="FootnoteText"/>
        <w:rPr>
          <w:color w:val="000000" w:themeColor="text1"/>
          <w:sz w:val="16"/>
          <w:szCs w:val="16"/>
        </w:rPr>
      </w:pPr>
      <w:r w:rsidRPr="001B3020">
        <w:rPr>
          <w:rStyle w:val="FootnoteReference"/>
          <w:color w:val="000000" w:themeColor="text1"/>
        </w:rPr>
        <w:footnoteRef/>
      </w:r>
      <w:r w:rsidRPr="001B3020">
        <w:rPr>
          <w:color w:val="000000" w:themeColor="text1"/>
          <w:sz w:val="16"/>
          <w:szCs w:val="16"/>
        </w:rPr>
        <w:t>Section 231B substituted by the Finance Act, 2014. The substituted section 231B read as follows:</w:t>
      </w:r>
    </w:p>
    <w:p w:rsidR="00BF2117" w:rsidRPr="001B3020" w:rsidRDefault="00BF2117" w:rsidP="00061D47">
      <w:pPr>
        <w:spacing w:before="120" w:after="120"/>
        <w:jc w:val="both"/>
        <w:rPr>
          <w:rFonts w:cs="Arial"/>
          <w:color w:val="000000" w:themeColor="text1"/>
          <w:sz w:val="16"/>
          <w:szCs w:val="16"/>
        </w:rPr>
      </w:pPr>
      <w:r w:rsidRPr="001B3020">
        <w:rPr>
          <w:color w:val="000000" w:themeColor="text1"/>
          <w:sz w:val="16"/>
          <w:szCs w:val="16"/>
        </w:rPr>
        <w:tab/>
      </w:r>
      <w:r w:rsidRPr="001B3020">
        <w:rPr>
          <w:rStyle w:val="FootnoteReference"/>
          <w:rFonts w:cs="Arial"/>
          <w:color w:val="000000" w:themeColor="text1"/>
          <w:sz w:val="16"/>
          <w:szCs w:val="16"/>
        </w:rPr>
        <w:footnoteRef/>
      </w:r>
      <w:r w:rsidRPr="001B3020">
        <w:rPr>
          <w:rFonts w:cs="Arial"/>
          <w:color w:val="000000" w:themeColor="text1"/>
          <w:sz w:val="16"/>
          <w:szCs w:val="16"/>
        </w:rPr>
        <w:t>[</w:t>
      </w:r>
      <w:r w:rsidRPr="001B3020">
        <w:rPr>
          <w:rFonts w:cs="Arial"/>
          <w:b/>
          <w:color w:val="000000" w:themeColor="text1"/>
          <w:sz w:val="16"/>
          <w:szCs w:val="16"/>
        </w:rPr>
        <w:t>231B. Advance tax on private motor vehicles.</w:t>
      </w:r>
      <w:r w:rsidRPr="001B3020">
        <w:rPr>
          <w:rFonts w:cs="Arial"/>
          <w:color w:val="000000" w:themeColor="text1"/>
          <w:sz w:val="16"/>
          <w:szCs w:val="16"/>
        </w:rPr>
        <w:t>— Every motor vehicle registering authority of Excise and Taxation Department shall collect advance tax at the time of registration of a new locally manufactured motor vehicle, at the rates specified in Division VII of Part IV of the First Schedule:</w:t>
      </w:r>
    </w:p>
    <w:p w:rsidR="00BF2117" w:rsidRPr="001B3020" w:rsidRDefault="00BF2117" w:rsidP="00061D47">
      <w:pPr>
        <w:spacing w:before="120" w:after="120"/>
        <w:jc w:val="both"/>
        <w:rPr>
          <w:rFonts w:cs="Arial"/>
          <w:color w:val="000000" w:themeColor="text1"/>
          <w:sz w:val="16"/>
          <w:szCs w:val="16"/>
        </w:rPr>
      </w:pPr>
      <w:r w:rsidRPr="001B3020">
        <w:rPr>
          <w:rFonts w:cs="Arial"/>
          <w:color w:val="000000" w:themeColor="text1"/>
          <w:sz w:val="16"/>
          <w:szCs w:val="16"/>
        </w:rPr>
        <w:t xml:space="preserve">Provided that the provisions of this section shall not be applicable in the case of – </w:t>
      </w:r>
    </w:p>
    <w:p w:rsidR="00BF2117" w:rsidRPr="001B3020" w:rsidRDefault="00BF2117" w:rsidP="00061D47">
      <w:pPr>
        <w:spacing w:after="120"/>
        <w:jc w:val="both"/>
        <w:rPr>
          <w:rFonts w:cs="Arial"/>
          <w:color w:val="000000" w:themeColor="text1"/>
          <w:sz w:val="16"/>
          <w:szCs w:val="16"/>
        </w:rPr>
      </w:pPr>
      <w:r w:rsidRPr="001B3020">
        <w:rPr>
          <w:rFonts w:cs="Arial"/>
          <w:color w:val="000000" w:themeColor="text1"/>
          <w:sz w:val="16"/>
          <w:szCs w:val="16"/>
        </w:rPr>
        <w:tab/>
      </w:r>
      <w:r w:rsidRPr="001B3020">
        <w:rPr>
          <w:rFonts w:cs="Arial"/>
          <w:color w:val="000000" w:themeColor="text1"/>
          <w:sz w:val="16"/>
          <w:szCs w:val="16"/>
        </w:rPr>
        <w:tab/>
        <w:t xml:space="preserve">(a) </w:t>
      </w:r>
      <w:r w:rsidRPr="001B3020">
        <w:rPr>
          <w:rFonts w:cs="Arial"/>
          <w:color w:val="000000" w:themeColor="text1"/>
          <w:sz w:val="16"/>
          <w:szCs w:val="16"/>
        </w:rPr>
        <w:tab/>
        <w:t>the Federal Government;</w:t>
      </w:r>
    </w:p>
    <w:p w:rsidR="00BF2117" w:rsidRPr="001B3020" w:rsidRDefault="00BF2117" w:rsidP="00061D47">
      <w:pPr>
        <w:spacing w:after="120"/>
        <w:jc w:val="both"/>
        <w:rPr>
          <w:rFonts w:cs="Arial"/>
          <w:color w:val="000000" w:themeColor="text1"/>
          <w:sz w:val="16"/>
          <w:szCs w:val="16"/>
        </w:rPr>
      </w:pPr>
      <w:r w:rsidRPr="001B3020">
        <w:rPr>
          <w:rFonts w:cs="Arial"/>
          <w:color w:val="000000" w:themeColor="text1"/>
          <w:sz w:val="16"/>
          <w:szCs w:val="16"/>
        </w:rPr>
        <w:tab/>
      </w:r>
      <w:r w:rsidRPr="001B3020">
        <w:rPr>
          <w:rFonts w:cs="Arial"/>
          <w:color w:val="000000" w:themeColor="text1"/>
          <w:sz w:val="16"/>
          <w:szCs w:val="16"/>
        </w:rPr>
        <w:tab/>
        <w:t xml:space="preserve">(b) </w:t>
      </w:r>
      <w:r w:rsidRPr="001B3020">
        <w:rPr>
          <w:rFonts w:cs="Arial"/>
          <w:color w:val="000000" w:themeColor="text1"/>
          <w:sz w:val="16"/>
          <w:szCs w:val="16"/>
        </w:rPr>
        <w:tab/>
        <w:t>the Provincial Government;</w:t>
      </w:r>
    </w:p>
    <w:p w:rsidR="00BF2117" w:rsidRPr="001B3020" w:rsidRDefault="00BF2117" w:rsidP="00061D47">
      <w:pPr>
        <w:spacing w:after="120"/>
        <w:jc w:val="both"/>
        <w:rPr>
          <w:rFonts w:cs="Arial"/>
          <w:color w:val="000000" w:themeColor="text1"/>
          <w:sz w:val="16"/>
          <w:szCs w:val="16"/>
        </w:rPr>
      </w:pPr>
      <w:r w:rsidRPr="001B3020">
        <w:rPr>
          <w:rFonts w:cs="Arial"/>
          <w:color w:val="000000" w:themeColor="text1"/>
          <w:sz w:val="16"/>
          <w:szCs w:val="16"/>
        </w:rPr>
        <w:tab/>
      </w:r>
      <w:r w:rsidRPr="001B3020">
        <w:rPr>
          <w:rFonts w:cs="Arial"/>
          <w:color w:val="000000" w:themeColor="text1"/>
          <w:sz w:val="16"/>
          <w:szCs w:val="16"/>
        </w:rPr>
        <w:tab/>
        <w:t xml:space="preserve">(c) </w:t>
      </w:r>
      <w:r w:rsidRPr="001B3020">
        <w:rPr>
          <w:rFonts w:cs="Arial"/>
          <w:color w:val="000000" w:themeColor="text1"/>
          <w:sz w:val="16"/>
          <w:szCs w:val="16"/>
        </w:rPr>
        <w:tab/>
        <w:t>the Local Government;</w:t>
      </w:r>
    </w:p>
    <w:p w:rsidR="00BF2117" w:rsidRPr="001B3020" w:rsidRDefault="00BF2117" w:rsidP="00061D47">
      <w:pPr>
        <w:spacing w:after="120"/>
        <w:jc w:val="both"/>
        <w:rPr>
          <w:rFonts w:cs="Arial"/>
          <w:color w:val="000000" w:themeColor="text1"/>
          <w:sz w:val="16"/>
          <w:szCs w:val="16"/>
        </w:rPr>
      </w:pPr>
      <w:r w:rsidRPr="001B3020">
        <w:rPr>
          <w:rFonts w:cs="Arial"/>
          <w:color w:val="000000" w:themeColor="text1"/>
          <w:sz w:val="16"/>
          <w:szCs w:val="16"/>
        </w:rPr>
        <w:tab/>
      </w:r>
      <w:r w:rsidRPr="001B3020">
        <w:rPr>
          <w:rFonts w:cs="Arial"/>
          <w:color w:val="000000" w:themeColor="text1"/>
          <w:sz w:val="16"/>
          <w:szCs w:val="16"/>
        </w:rPr>
        <w:tab/>
        <w:t xml:space="preserve">(d) </w:t>
      </w:r>
      <w:r w:rsidRPr="001B3020">
        <w:rPr>
          <w:rFonts w:cs="Arial"/>
          <w:color w:val="000000" w:themeColor="text1"/>
          <w:sz w:val="16"/>
          <w:szCs w:val="16"/>
        </w:rPr>
        <w:tab/>
        <w:t>a foreign diplomat; or</w:t>
      </w:r>
    </w:p>
    <w:p w:rsidR="00BF2117" w:rsidRPr="001B3020" w:rsidRDefault="00BF2117" w:rsidP="001C6671">
      <w:pPr>
        <w:spacing w:after="120"/>
        <w:jc w:val="both"/>
        <w:rPr>
          <w:color w:val="000000" w:themeColor="text1"/>
          <w:sz w:val="16"/>
          <w:szCs w:val="16"/>
          <w:lang w:val="en-US"/>
        </w:rPr>
      </w:pPr>
      <w:r w:rsidRPr="001B3020">
        <w:rPr>
          <w:rFonts w:cs="Arial"/>
          <w:color w:val="000000" w:themeColor="text1"/>
          <w:sz w:val="16"/>
          <w:szCs w:val="16"/>
        </w:rPr>
        <w:tab/>
      </w:r>
      <w:r w:rsidRPr="001B3020">
        <w:rPr>
          <w:rFonts w:cs="Arial"/>
          <w:color w:val="000000" w:themeColor="text1"/>
          <w:sz w:val="16"/>
          <w:szCs w:val="16"/>
        </w:rPr>
        <w:tab/>
        <w:t xml:space="preserve">(e) </w:t>
      </w:r>
      <w:r w:rsidRPr="001B3020">
        <w:rPr>
          <w:rFonts w:cs="Arial"/>
          <w:color w:val="000000" w:themeColor="text1"/>
          <w:sz w:val="16"/>
          <w:szCs w:val="16"/>
        </w:rPr>
        <w:tab/>
        <w:t>a diplomatic mission in Pakistan.”</w:t>
      </w:r>
    </w:p>
  </w:footnote>
  <w:footnote w:id="1444">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Full-stop substituted by the Finance Act 2016.</w:t>
      </w:r>
    </w:p>
  </w:footnote>
  <w:footnote w:id="1445">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lang w:val="en-US"/>
        </w:rPr>
        <w:t xml:space="preserve"> Added by the Finance Act, 2016.</w:t>
      </w:r>
    </w:p>
  </w:footnote>
  <w:footnote w:id="1446">
    <w:p w:rsidR="00BF2117" w:rsidRPr="00594480" w:rsidRDefault="00BF2117">
      <w:pPr>
        <w:pStyle w:val="FootnoteText"/>
        <w:rPr>
          <w:color w:val="FF0066"/>
          <w:sz w:val="16"/>
          <w:szCs w:val="16"/>
          <w:lang w:val="en-US"/>
        </w:rPr>
      </w:pPr>
      <w:r w:rsidRPr="0009763F">
        <w:rPr>
          <w:rStyle w:val="FootnoteReference"/>
          <w:color w:val="0070C0"/>
          <w:sz w:val="16"/>
          <w:szCs w:val="16"/>
        </w:rPr>
        <w:footnoteRef/>
      </w:r>
      <w:r w:rsidRPr="0009763F">
        <w:rPr>
          <w:color w:val="0070C0"/>
          <w:sz w:val="16"/>
          <w:szCs w:val="16"/>
        </w:rPr>
        <w:t xml:space="preserve"> </w:t>
      </w:r>
      <w:r w:rsidRPr="0009763F">
        <w:rPr>
          <w:color w:val="0070C0"/>
          <w:sz w:val="16"/>
          <w:szCs w:val="16"/>
          <w:lang w:val="en-US"/>
        </w:rPr>
        <w:t>Added by the Finance Act, 2016.</w:t>
      </w:r>
    </w:p>
  </w:footnote>
  <w:footnote w:id="1447">
    <w:p w:rsidR="00BF2117" w:rsidRPr="001C6671" w:rsidRDefault="00BF2117">
      <w:pPr>
        <w:pStyle w:val="FootnoteText"/>
        <w:rPr>
          <w:sz w:val="16"/>
          <w:szCs w:val="16"/>
          <w:lang w:val="en-US"/>
        </w:rPr>
      </w:pPr>
      <w:r w:rsidRPr="001C6671">
        <w:rPr>
          <w:rStyle w:val="FootnoteReference"/>
          <w:sz w:val="16"/>
          <w:szCs w:val="16"/>
        </w:rPr>
        <w:footnoteRef/>
      </w:r>
      <w:r w:rsidRPr="001C6671">
        <w:rPr>
          <w:sz w:val="16"/>
          <w:szCs w:val="16"/>
        </w:rPr>
        <w:t xml:space="preserve"> The word “car or jeep” substituted by the Finance Act, 2015.</w:t>
      </w:r>
    </w:p>
  </w:footnote>
  <w:footnote w:id="1448">
    <w:p w:rsidR="00BF2117" w:rsidRPr="000D2707" w:rsidRDefault="00BF2117">
      <w:pPr>
        <w:pStyle w:val="FootnoteText"/>
        <w:rPr>
          <w:sz w:val="16"/>
          <w:szCs w:val="16"/>
          <w:lang w:val="en-US"/>
        </w:rPr>
      </w:pPr>
      <w:r w:rsidRPr="000D2707">
        <w:rPr>
          <w:rStyle w:val="FootnoteReference"/>
          <w:sz w:val="16"/>
          <w:szCs w:val="16"/>
        </w:rPr>
        <w:footnoteRef/>
      </w:r>
      <w:r>
        <w:rPr>
          <w:sz w:val="16"/>
          <w:szCs w:val="16"/>
        </w:rPr>
        <w:t xml:space="preserve">Added </w:t>
      </w:r>
      <w:r w:rsidRPr="000D2707">
        <w:rPr>
          <w:sz w:val="16"/>
          <w:szCs w:val="16"/>
          <w:lang w:val="en-US"/>
        </w:rPr>
        <w:t xml:space="preserve">by </w:t>
      </w:r>
      <w:r>
        <w:rPr>
          <w:sz w:val="16"/>
          <w:szCs w:val="16"/>
          <w:lang w:val="en-US"/>
        </w:rPr>
        <w:t xml:space="preserve">the </w:t>
      </w:r>
      <w:r w:rsidRPr="000D2707">
        <w:rPr>
          <w:sz w:val="16"/>
          <w:szCs w:val="16"/>
          <w:lang w:val="en-US"/>
        </w:rPr>
        <w:t>Finance Act, 2015.</w:t>
      </w:r>
    </w:p>
  </w:footnote>
  <w:footnote w:id="1449">
    <w:p w:rsidR="00BF2117" w:rsidRPr="00061D47" w:rsidRDefault="00BF2117">
      <w:pPr>
        <w:pStyle w:val="FootnoteText"/>
        <w:keepNext/>
        <w:rPr>
          <w:sz w:val="16"/>
          <w:szCs w:val="16"/>
        </w:rPr>
      </w:pPr>
      <w:r w:rsidRPr="00061D47">
        <w:rPr>
          <w:rStyle w:val="FootnoteReference"/>
          <w:rFonts w:cs="Arial"/>
          <w:sz w:val="16"/>
          <w:szCs w:val="16"/>
        </w:rPr>
        <w:footnoteRef/>
      </w:r>
      <w:r w:rsidRPr="00061D47">
        <w:rPr>
          <w:sz w:val="16"/>
          <w:szCs w:val="16"/>
        </w:rPr>
        <w:t xml:space="preserve"> Section 233 substituted by the Finance Act, 2005. The substituted section 233 read as follows: </w:t>
      </w:r>
    </w:p>
    <w:p w:rsidR="00BF2117" w:rsidRPr="00061D47" w:rsidRDefault="00BF2117">
      <w:pPr>
        <w:pStyle w:val="Heading2"/>
        <w:spacing w:line="240" w:lineRule="auto"/>
        <w:ind w:left="180"/>
        <w:jc w:val="both"/>
        <w:rPr>
          <w:b w:val="0"/>
          <w:sz w:val="16"/>
          <w:szCs w:val="16"/>
        </w:rPr>
      </w:pPr>
      <w:r w:rsidRPr="00061D47">
        <w:rPr>
          <w:rFonts w:cs="Arial"/>
          <w:sz w:val="16"/>
          <w:szCs w:val="16"/>
        </w:rPr>
        <w:t>“233. Brokerage and Commission.-</w:t>
      </w:r>
      <w:r w:rsidRPr="00061D47">
        <w:rPr>
          <w:b w:val="0"/>
          <w:sz w:val="16"/>
          <w:szCs w:val="16"/>
        </w:rPr>
        <w:t xml:space="preserve"> (1) Where any payment on account of brokerage or commission is made by the Federal Government, a Provincial Government, a local authority, a company or an association of persons constituted by, or under, any law (hereinafter called the “principal”) to any person </w:t>
      </w:r>
      <w:r w:rsidRPr="00061D47">
        <w:rPr>
          <w:b w:val="0"/>
          <w:sz w:val="16"/>
          <w:szCs w:val="16"/>
          <w:vertAlign w:val="superscript"/>
        </w:rPr>
        <w:t>B</w:t>
      </w:r>
      <w:r w:rsidRPr="00061D47">
        <w:rPr>
          <w:b w:val="0"/>
          <w:sz w:val="16"/>
          <w:szCs w:val="16"/>
        </w:rPr>
        <w:t>[other than travel agents and insurance agents] (hereinafter called the “agent”), the principal shall deduct advance tax at the rate specified in Part IV of the First Schedule from such payment.</w:t>
      </w:r>
    </w:p>
    <w:p w:rsidR="00BF2117" w:rsidRPr="00061D47" w:rsidRDefault="00BF2117">
      <w:pPr>
        <w:keepNext/>
        <w:ind w:left="180" w:firstLine="367"/>
        <w:jc w:val="both"/>
        <w:rPr>
          <w:rFonts w:cs="Arial"/>
          <w:sz w:val="16"/>
          <w:szCs w:val="16"/>
        </w:rPr>
      </w:pPr>
      <w:r w:rsidRPr="00061D47">
        <w:rPr>
          <w:rFonts w:cs="Arial"/>
          <w:sz w:val="16"/>
          <w:szCs w:val="16"/>
        </w:rPr>
        <w:t>(2)</w:t>
      </w:r>
      <w:r w:rsidRPr="00061D47">
        <w:rPr>
          <w:rFonts w:cs="Arial"/>
          <w:sz w:val="16"/>
          <w:szCs w:val="16"/>
        </w:rPr>
        <w:tab/>
        <w:t>If the agent retains commission or brokerage from any amount remitted by him to the principal, he shall be deemed to have been paid the commission or brokerage by the principal and the principal shall collect advance tax from the agent.</w:t>
      </w:r>
    </w:p>
    <w:p w:rsidR="00BF2117" w:rsidRPr="00061D47" w:rsidRDefault="00BF2117">
      <w:pPr>
        <w:keepNext/>
        <w:ind w:left="180" w:firstLine="367"/>
        <w:jc w:val="both"/>
        <w:rPr>
          <w:sz w:val="16"/>
          <w:szCs w:val="16"/>
        </w:rPr>
      </w:pPr>
      <w:r w:rsidRPr="00061D47">
        <w:rPr>
          <w:sz w:val="16"/>
          <w:szCs w:val="16"/>
        </w:rPr>
        <w:t xml:space="preserve"> (3) </w:t>
      </w:r>
      <w:r w:rsidRPr="00061D47">
        <w:rPr>
          <w:sz w:val="16"/>
          <w:szCs w:val="16"/>
        </w:rPr>
        <w:tab/>
        <w:t>Where any payment on account of brokerage or commission is made by the principal to a travel agent or an insurance agent, the principal shall deduct advance tax at the rate specified in Part IV of the First Schedule from such payment.</w:t>
      </w:r>
    </w:p>
    <w:p w:rsidR="00BF2117" w:rsidRPr="00061D47" w:rsidRDefault="00BF2117">
      <w:pPr>
        <w:ind w:left="180"/>
        <w:jc w:val="both"/>
        <w:rPr>
          <w:sz w:val="16"/>
          <w:szCs w:val="16"/>
        </w:rPr>
      </w:pPr>
      <w:r w:rsidRPr="00061D47">
        <w:rPr>
          <w:sz w:val="16"/>
          <w:szCs w:val="16"/>
        </w:rPr>
        <w:t xml:space="preserve"> (4) </w:t>
      </w:r>
      <w:r w:rsidRPr="00061D47">
        <w:rPr>
          <w:sz w:val="16"/>
          <w:szCs w:val="16"/>
        </w:rPr>
        <w:tab/>
        <w:t>Where any tax is collected from a person under sub-section (1) or sub-section (3), the tax so collected shall be the final tax on the income of such persons.”</w:t>
      </w:r>
    </w:p>
  </w:footnote>
  <w:footnote w:id="1450">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The words “local authority” substituted by the Finance Act, 2008.</w:t>
      </w:r>
    </w:p>
  </w:footnote>
  <w:footnote w:id="1451">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 “resident” omitted by the Finance Act, 2006.</w:t>
      </w:r>
    </w:p>
  </w:footnote>
  <w:footnote w:id="1452">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Inserted by the Finance Act, 2010.</w:t>
      </w:r>
    </w:p>
  </w:footnote>
  <w:footnote w:id="1453">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2012.</w:t>
      </w:r>
    </w:p>
  </w:footnote>
  <w:footnote w:id="1454">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words “the tax so collected” substituted by the Finance Act, 2012.</w:t>
      </w:r>
    </w:p>
  </w:footnote>
  <w:footnote w:id="1455">
    <w:p w:rsidR="00BF2117" w:rsidRPr="00412620" w:rsidRDefault="00BF2117">
      <w:pPr>
        <w:pStyle w:val="FootnoteText"/>
        <w:rPr>
          <w:sz w:val="16"/>
        </w:rPr>
      </w:pPr>
      <w:r w:rsidRPr="00412620">
        <w:rPr>
          <w:rStyle w:val="FootnoteReference"/>
          <w:rFonts w:cs="Arial"/>
          <w:sz w:val="16"/>
        </w:rPr>
        <w:footnoteRef/>
      </w:r>
      <w:r w:rsidRPr="00412620">
        <w:rPr>
          <w:sz w:val="16"/>
        </w:rPr>
        <w:t xml:space="preserve"> Inserted by the Finance Act, 2004.</w:t>
      </w:r>
    </w:p>
  </w:footnote>
  <w:footnote w:id="1456">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Inserted by the Finance Act, 2007.</w:t>
      </w:r>
    </w:p>
  </w:footnote>
  <w:footnote w:id="1457">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2012.</w:t>
      </w:r>
    </w:p>
  </w:footnote>
  <w:footnote w:id="1458">
    <w:p w:rsidR="00BF2117" w:rsidRPr="00061D47" w:rsidRDefault="00BF2117">
      <w:pPr>
        <w:pStyle w:val="FootnoteText"/>
        <w:rPr>
          <w:sz w:val="16"/>
          <w:szCs w:val="16"/>
        </w:rPr>
      </w:pPr>
      <w:r w:rsidRPr="00061D47">
        <w:rPr>
          <w:rStyle w:val="FootnoteReference"/>
          <w:rFonts w:cs="Arial"/>
          <w:sz w:val="16"/>
          <w:szCs w:val="16"/>
        </w:rPr>
        <w:footnoteRef/>
      </w:r>
      <w:r w:rsidRPr="00061D47">
        <w:rPr>
          <w:sz w:val="16"/>
          <w:szCs w:val="16"/>
        </w:rPr>
        <w:t xml:space="preserve"> The word “schedule” substituted by the Finance Act, 2005.</w:t>
      </w:r>
    </w:p>
  </w:footnote>
  <w:footnote w:id="1459">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2007.</w:t>
      </w:r>
    </w:p>
  </w:footnote>
  <w:footnote w:id="1460">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Semi-colon substituted by the Finance Act, 2012.</w:t>
      </w:r>
    </w:p>
  </w:footnote>
  <w:footnote w:id="1461">
    <w:p w:rsidR="00BF2117" w:rsidRPr="00061D47" w:rsidRDefault="00BF2117">
      <w:pPr>
        <w:pStyle w:val="FootnoteText"/>
        <w:rPr>
          <w:sz w:val="16"/>
          <w:szCs w:val="16"/>
        </w:rPr>
      </w:pPr>
      <w:r w:rsidRPr="00061D47">
        <w:rPr>
          <w:rStyle w:val="FootnoteReference"/>
          <w:sz w:val="16"/>
          <w:szCs w:val="16"/>
        </w:rPr>
        <w:footnoteRef/>
      </w:r>
      <w:r w:rsidRPr="00061D47">
        <w:rPr>
          <w:sz w:val="16"/>
          <w:szCs w:val="16"/>
        </w:rPr>
        <w:t xml:space="preserve"> Clause (c) omitted by the Finance Act, 2012. The omitted clause (c) read as follows:</w:t>
      </w:r>
    </w:p>
    <w:p w:rsidR="00BF2117" w:rsidRPr="00061D47" w:rsidRDefault="00BF2117" w:rsidP="0048202A">
      <w:pPr>
        <w:ind w:left="720" w:hanging="540"/>
        <w:jc w:val="both"/>
        <w:rPr>
          <w:sz w:val="16"/>
          <w:szCs w:val="16"/>
          <w:lang w:val="en-US"/>
        </w:rPr>
      </w:pPr>
      <w:r w:rsidRPr="00061D47">
        <w:rPr>
          <w:sz w:val="16"/>
          <w:szCs w:val="16"/>
        </w:rPr>
        <w:t xml:space="preserve">“(c) </w:t>
      </w:r>
      <w:r w:rsidRPr="00061D47">
        <w:rPr>
          <w:sz w:val="16"/>
          <w:szCs w:val="16"/>
        </w:rPr>
        <w:tab/>
        <w:t>from its Members in respect of trading of shares by the Members at the rates specified in Division IIA of Part IV of First Schedule; and”</w:t>
      </w:r>
    </w:p>
  </w:footnote>
  <w:footnote w:id="1462">
    <w:p w:rsidR="00BF2117" w:rsidRPr="00061D47" w:rsidRDefault="00BF2117">
      <w:pPr>
        <w:pStyle w:val="FootnoteText"/>
        <w:rPr>
          <w:sz w:val="16"/>
          <w:szCs w:val="16"/>
        </w:rPr>
      </w:pPr>
      <w:r w:rsidRPr="00061D47">
        <w:rPr>
          <w:rStyle w:val="FootnoteReference"/>
          <w:sz w:val="16"/>
          <w:szCs w:val="16"/>
        </w:rPr>
        <w:footnoteRef/>
      </w:r>
      <w:r w:rsidRPr="00061D47">
        <w:rPr>
          <w:sz w:val="16"/>
          <w:szCs w:val="16"/>
        </w:rPr>
        <w:t xml:space="preserve"> Clause (d) omitted by the Finance Act, 2012. The omitted clause (d) read as follows:</w:t>
      </w:r>
    </w:p>
    <w:p w:rsidR="00BF2117" w:rsidRPr="00061D47" w:rsidRDefault="00BF2117" w:rsidP="00831C23">
      <w:pPr>
        <w:ind w:left="810" w:hanging="810"/>
        <w:jc w:val="both"/>
        <w:rPr>
          <w:sz w:val="16"/>
          <w:szCs w:val="16"/>
        </w:rPr>
      </w:pPr>
      <w:r w:rsidRPr="00061D47">
        <w:rPr>
          <w:sz w:val="16"/>
          <w:szCs w:val="16"/>
        </w:rPr>
        <w:t xml:space="preserve">     “(d) </w:t>
      </w:r>
      <w:r w:rsidRPr="00061D47">
        <w:rPr>
          <w:sz w:val="16"/>
          <w:szCs w:val="16"/>
        </w:rPr>
        <w:tab/>
        <w:t>from its Members in respect of financing of carryover trades  in share business at the rate specified in Division IIA of Part IV of First schedule.”</w:t>
      </w:r>
    </w:p>
  </w:footnote>
  <w:footnote w:id="1463">
    <w:p w:rsidR="00BF2117" w:rsidRPr="00061D47" w:rsidRDefault="00BF2117" w:rsidP="00185A29">
      <w:pPr>
        <w:pStyle w:val="FootnoteText"/>
        <w:rPr>
          <w:sz w:val="16"/>
          <w:szCs w:val="16"/>
        </w:rPr>
      </w:pPr>
      <w:r w:rsidRPr="00061D47">
        <w:rPr>
          <w:rStyle w:val="FootnoteReference"/>
          <w:sz w:val="16"/>
          <w:szCs w:val="16"/>
        </w:rPr>
        <w:footnoteRef/>
      </w:r>
      <w:r w:rsidRPr="00061D47">
        <w:rPr>
          <w:sz w:val="16"/>
          <w:szCs w:val="16"/>
        </w:rPr>
        <w:t xml:space="preserve"> Sub-section (2) substituted by the Finance Act, 2008. The substituted sub-section (2) read as follows: </w:t>
      </w:r>
    </w:p>
    <w:p w:rsidR="00BF2117" w:rsidRPr="00061D47" w:rsidRDefault="00BF2117" w:rsidP="00185A29">
      <w:pPr>
        <w:pStyle w:val="FootnoteText"/>
        <w:ind w:left="90" w:firstLine="0"/>
        <w:jc w:val="both"/>
        <w:rPr>
          <w:sz w:val="16"/>
          <w:szCs w:val="16"/>
          <w:lang w:val="en-US"/>
        </w:rPr>
      </w:pPr>
      <w:r w:rsidRPr="00061D47">
        <w:rPr>
          <w:sz w:val="16"/>
          <w:szCs w:val="16"/>
          <w:lang w:val="en-US"/>
        </w:rPr>
        <w:t>“</w:t>
      </w:r>
      <w:r w:rsidRPr="00061D47">
        <w:rPr>
          <w:rFonts w:cs="Arial"/>
          <w:sz w:val="16"/>
          <w:szCs w:val="16"/>
        </w:rPr>
        <w:t xml:space="preserve">(2) </w:t>
      </w:r>
      <w:r w:rsidRPr="00061D47">
        <w:rPr>
          <w:rFonts w:cs="Arial"/>
          <w:sz w:val="16"/>
          <w:szCs w:val="16"/>
        </w:rPr>
        <w:tab/>
        <w:t>The tax collected under clause (a) and clause (b) of sub-section (1) shall be a final tax.”</w:t>
      </w:r>
    </w:p>
  </w:footnote>
  <w:footnote w:id="1464">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Brackets and letter (c) substituted by the Finance Act, 2012.</w:t>
      </w:r>
    </w:p>
  </w:footnote>
  <w:footnote w:id="1465">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The words “minimum tax” substituted by the Finance Act, 2010.</w:t>
      </w:r>
    </w:p>
  </w:footnote>
  <w:footnote w:id="1466">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2012.</w:t>
      </w:r>
    </w:p>
  </w:footnote>
  <w:footnote w:id="1467">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2013.</w:t>
      </w:r>
    </w:p>
  </w:footnote>
  <w:footnote w:id="1468">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2013.</w:t>
      </w:r>
    </w:p>
  </w:footnote>
  <w:footnote w:id="1469">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The letters “IIA” substituted by the Finance Act, 2013.</w:t>
      </w:r>
    </w:p>
  </w:footnote>
  <w:footnote w:id="1470">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Full stop substituted by the Finance Act, 2013.</w:t>
      </w:r>
    </w:p>
  </w:footnote>
  <w:footnote w:id="1471">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Added by the Finance Act, 2013.</w:t>
      </w:r>
    </w:p>
  </w:footnote>
  <w:footnote w:id="1472">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lang w:val="en-US"/>
        </w:rPr>
        <w:t>The words “Transport business” substituted by the Finance Act, 2008.</w:t>
      </w:r>
    </w:p>
  </w:footnote>
  <w:footnote w:id="1473">
    <w:p w:rsidR="00BF2117" w:rsidRPr="00061D47" w:rsidRDefault="00BF2117">
      <w:pPr>
        <w:pStyle w:val="FootnoteText"/>
        <w:rPr>
          <w:sz w:val="16"/>
          <w:szCs w:val="16"/>
        </w:rPr>
      </w:pPr>
      <w:r w:rsidRPr="00061D47">
        <w:rPr>
          <w:rStyle w:val="FootnoteReference"/>
          <w:rFonts w:cs="Arial"/>
          <w:sz w:val="16"/>
          <w:szCs w:val="16"/>
        </w:rPr>
        <w:footnoteRef/>
      </w:r>
      <w:r w:rsidRPr="00061D47">
        <w:rPr>
          <w:sz w:val="16"/>
          <w:szCs w:val="16"/>
        </w:rPr>
        <w:t xml:space="preserve"> Inserted by the Finance Act, 2002.</w:t>
      </w:r>
    </w:p>
  </w:footnote>
  <w:footnote w:id="1474">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2013.</w:t>
      </w:r>
    </w:p>
  </w:footnote>
  <w:footnote w:id="1475">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Comma substituted by the Finance Act, 2013.</w:t>
      </w:r>
    </w:p>
  </w:footnote>
  <w:footnote w:id="1476">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2013.</w:t>
      </w:r>
    </w:p>
  </w:footnote>
  <w:footnote w:id="1477">
    <w:p w:rsidR="00BF2117" w:rsidRPr="00061D47" w:rsidRDefault="00BF2117">
      <w:pPr>
        <w:pStyle w:val="FootnoteText"/>
        <w:rPr>
          <w:sz w:val="16"/>
          <w:szCs w:val="16"/>
        </w:rPr>
      </w:pPr>
      <w:r w:rsidRPr="00061D47">
        <w:rPr>
          <w:rStyle w:val="FootnoteReference"/>
          <w:rFonts w:cs="Arial"/>
          <w:sz w:val="16"/>
          <w:szCs w:val="16"/>
        </w:rPr>
        <w:footnoteRef/>
      </w:r>
      <w:r w:rsidRPr="00061D47">
        <w:rPr>
          <w:sz w:val="16"/>
          <w:szCs w:val="16"/>
        </w:rPr>
        <w:t xml:space="preserve"> Inserted by the Finance Act, 2002.</w:t>
      </w:r>
    </w:p>
  </w:footnote>
  <w:footnote w:id="1478">
    <w:p w:rsidR="00BF2117" w:rsidRPr="00061D47" w:rsidRDefault="00BF2117">
      <w:pPr>
        <w:pStyle w:val="FootnoteText"/>
        <w:rPr>
          <w:sz w:val="16"/>
          <w:szCs w:val="16"/>
        </w:rPr>
      </w:pPr>
      <w:r w:rsidRPr="00061D47">
        <w:rPr>
          <w:rStyle w:val="FootnoteReference"/>
          <w:rFonts w:cs="Arial"/>
          <w:sz w:val="16"/>
          <w:szCs w:val="16"/>
        </w:rPr>
        <w:footnoteRef/>
      </w:r>
      <w:r w:rsidRPr="00061D47">
        <w:rPr>
          <w:sz w:val="16"/>
          <w:szCs w:val="16"/>
        </w:rPr>
        <w:t xml:space="preserve"> The words “2030 kilogram or more but” omitted by the Finance Act, 2003.</w:t>
      </w:r>
    </w:p>
  </w:footnote>
  <w:footnote w:id="1479">
    <w:p w:rsidR="00BF2117" w:rsidRPr="00061D47" w:rsidRDefault="00BF2117" w:rsidP="005B1AD8">
      <w:pPr>
        <w:pStyle w:val="FootnoteText"/>
        <w:ind w:left="270" w:hanging="270"/>
        <w:rPr>
          <w:sz w:val="16"/>
          <w:szCs w:val="16"/>
        </w:rPr>
      </w:pPr>
      <w:r w:rsidRPr="00061D47">
        <w:rPr>
          <w:rStyle w:val="FootnoteReference"/>
          <w:sz w:val="16"/>
          <w:szCs w:val="16"/>
        </w:rPr>
        <w:footnoteRef/>
      </w:r>
      <w:r w:rsidRPr="00061D47">
        <w:rPr>
          <w:sz w:val="16"/>
          <w:szCs w:val="16"/>
        </w:rPr>
        <w:t xml:space="preserve"> Sub-section (5) substituted by the Finance Act, 2013. The substituted sub-section  (5) read as follows:</w:t>
      </w:r>
    </w:p>
    <w:p w:rsidR="00BF2117" w:rsidRPr="00061D47" w:rsidRDefault="00BF2117" w:rsidP="00502920">
      <w:pPr>
        <w:pStyle w:val="FootnoteText"/>
        <w:ind w:left="270" w:hanging="90"/>
        <w:jc w:val="both"/>
        <w:rPr>
          <w:sz w:val="16"/>
          <w:szCs w:val="16"/>
          <w:lang w:val="en-US"/>
        </w:rPr>
      </w:pPr>
      <w:r w:rsidRPr="00061D47">
        <w:rPr>
          <w:sz w:val="16"/>
          <w:szCs w:val="16"/>
        </w:rPr>
        <w:tab/>
      </w:r>
      <w:r w:rsidRPr="00061D47">
        <w:rPr>
          <w:sz w:val="16"/>
          <w:szCs w:val="16"/>
        </w:rPr>
        <w:tab/>
        <w:t>“</w:t>
      </w:r>
      <w:r w:rsidRPr="00061D47">
        <w:rPr>
          <w:rFonts w:cs="Arial"/>
          <w:sz w:val="16"/>
          <w:szCs w:val="16"/>
        </w:rPr>
        <w:t>(5)</w:t>
      </w:r>
      <w:r w:rsidRPr="00061D47">
        <w:rPr>
          <w:rFonts w:cs="Arial"/>
          <w:sz w:val="16"/>
          <w:szCs w:val="16"/>
        </w:rPr>
        <w:tab/>
        <w:t>Where tax is collected from any person being the owner of goods transport vehicle, the tax so collected shall be the final tax on the income of such person from plying, or hiring out, of such vehicle.”</w:t>
      </w:r>
    </w:p>
  </w:footnote>
  <w:footnote w:id="1480">
    <w:p w:rsidR="00BF2117" w:rsidRPr="000F4CC4" w:rsidRDefault="00BF2117">
      <w:pPr>
        <w:pStyle w:val="FootnoteText"/>
        <w:rPr>
          <w:sz w:val="16"/>
          <w:szCs w:val="16"/>
          <w:lang w:val="en-US"/>
        </w:rPr>
      </w:pPr>
      <w:r w:rsidRPr="000F4CC4">
        <w:rPr>
          <w:rStyle w:val="FootnoteReference"/>
          <w:sz w:val="16"/>
          <w:szCs w:val="16"/>
        </w:rPr>
        <w:footnoteRef/>
      </w:r>
      <w:r>
        <w:rPr>
          <w:sz w:val="16"/>
          <w:szCs w:val="16"/>
        </w:rPr>
        <w:t>Added by the Finance Act, 2015.</w:t>
      </w:r>
    </w:p>
  </w:footnote>
  <w:footnote w:id="1481">
    <w:p w:rsidR="00BF2117" w:rsidRPr="00061D47" w:rsidRDefault="00BF2117">
      <w:pPr>
        <w:pStyle w:val="FootnoteText"/>
        <w:rPr>
          <w:sz w:val="16"/>
          <w:szCs w:val="16"/>
          <w:lang w:val="en-US"/>
        </w:rPr>
      </w:pPr>
      <w:r w:rsidRPr="00061D47">
        <w:rPr>
          <w:rStyle w:val="FootnoteReference"/>
          <w:sz w:val="16"/>
          <w:szCs w:val="16"/>
        </w:rPr>
        <w:footnoteRef/>
      </w:r>
      <w:r w:rsidRPr="00061D47">
        <w:rPr>
          <w:sz w:val="16"/>
          <w:szCs w:val="16"/>
        </w:rPr>
        <w:t xml:space="preserve"> Inserted by the Finance Act, 2007.</w:t>
      </w:r>
    </w:p>
  </w:footnote>
  <w:footnote w:id="1482">
    <w:p w:rsidR="00BF2117" w:rsidRPr="00061D47" w:rsidRDefault="00BF2117" w:rsidP="00FA7A55">
      <w:pPr>
        <w:pStyle w:val="FootnoteText"/>
        <w:ind w:left="180" w:hanging="180"/>
        <w:rPr>
          <w:sz w:val="16"/>
          <w:szCs w:val="16"/>
        </w:rPr>
      </w:pPr>
      <w:r w:rsidRPr="00061D47">
        <w:rPr>
          <w:rStyle w:val="FootnoteReference"/>
          <w:sz w:val="16"/>
          <w:szCs w:val="16"/>
        </w:rPr>
        <w:footnoteRef/>
      </w:r>
      <w:r w:rsidRPr="00061D47">
        <w:rPr>
          <w:sz w:val="16"/>
          <w:szCs w:val="16"/>
        </w:rPr>
        <w:t xml:space="preserve"> Sub-section (4) substituted by the Finance Act, 2009. The substituted sub-section (4) read as follows:</w:t>
      </w:r>
    </w:p>
    <w:p w:rsidR="00BF2117" w:rsidRPr="00061D47" w:rsidRDefault="00BF2117" w:rsidP="00AE4100">
      <w:pPr>
        <w:ind w:left="180" w:firstLine="367"/>
        <w:jc w:val="both"/>
        <w:rPr>
          <w:sz w:val="16"/>
          <w:szCs w:val="16"/>
          <w:lang w:val="en-US"/>
        </w:rPr>
      </w:pPr>
      <w:r w:rsidRPr="00061D47">
        <w:rPr>
          <w:sz w:val="16"/>
          <w:szCs w:val="16"/>
        </w:rPr>
        <w:t>“(4) The tax collected under this section up to bill amount of twenty thousand rupees per month shall be minimum tax on the income of a person (other than a company). There shall be no refund of the tax collected under this section, unless the tax so collected is in excess of the amount for which the taxpayer is chargeable under this Ordinance in the case of a company.”</w:t>
      </w:r>
    </w:p>
  </w:footnote>
  <w:footnote w:id="1483">
    <w:p w:rsidR="00BF2117" w:rsidRPr="001B3020" w:rsidRDefault="00BF2117">
      <w:pPr>
        <w:pStyle w:val="FootnoteText"/>
        <w:rPr>
          <w:color w:val="000000" w:themeColor="text1"/>
          <w:sz w:val="16"/>
          <w:szCs w:val="16"/>
          <w:lang w:val="en-US"/>
        </w:rPr>
      </w:pPr>
      <w:r w:rsidRPr="001B3020">
        <w:rPr>
          <w:rStyle w:val="FootnoteReference"/>
          <w:color w:val="000000" w:themeColor="text1"/>
          <w:sz w:val="16"/>
          <w:szCs w:val="16"/>
        </w:rPr>
        <w:footnoteRef/>
      </w:r>
      <w:r w:rsidRPr="001B3020">
        <w:rPr>
          <w:color w:val="000000" w:themeColor="text1"/>
          <w:sz w:val="16"/>
          <w:szCs w:val="16"/>
        </w:rPr>
        <w:t>Sections 235A and 235B inserted by the Finance Act, 2014.</w:t>
      </w:r>
    </w:p>
  </w:footnote>
  <w:footnote w:id="1484">
    <w:p w:rsidR="00BF2117" w:rsidRPr="0090559B" w:rsidRDefault="00BF2117">
      <w:pPr>
        <w:pStyle w:val="FootnoteText"/>
        <w:rPr>
          <w:sz w:val="16"/>
          <w:szCs w:val="16"/>
          <w:lang w:val="en-US"/>
        </w:rPr>
      </w:pPr>
      <w:r w:rsidRPr="0090559B">
        <w:rPr>
          <w:rStyle w:val="FootnoteReference"/>
          <w:sz w:val="16"/>
          <w:szCs w:val="16"/>
        </w:rPr>
        <w:footnoteRef/>
      </w:r>
      <w:r>
        <w:rPr>
          <w:sz w:val="16"/>
          <w:szCs w:val="16"/>
        </w:rPr>
        <w:t>Inserted by the Finance Act, 2015.</w:t>
      </w:r>
    </w:p>
  </w:footnote>
  <w:footnote w:id="1485">
    <w:p w:rsidR="00BF2117" w:rsidRPr="00EA56E0" w:rsidRDefault="00BF2117">
      <w:pPr>
        <w:pStyle w:val="FootnoteText"/>
        <w:rPr>
          <w:sz w:val="16"/>
          <w:szCs w:val="16"/>
          <w:lang w:val="en-US"/>
        </w:rPr>
      </w:pPr>
      <w:r w:rsidRPr="00EA56E0">
        <w:rPr>
          <w:rStyle w:val="FootnoteReference"/>
          <w:sz w:val="16"/>
          <w:szCs w:val="16"/>
        </w:rPr>
        <w:footnoteRef/>
      </w:r>
      <w:r w:rsidRPr="00EA56E0">
        <w:rPr>
          <w:sz w:val="16"/>
          <w:szCs w:val="16"/>
          <w:lang w:val="en-US"/>
        </w:rPr>
        <w:t>The word “and” omitted by the Finance Act, 2010.</w:t>
      </w:r>
    </w:p>
  </w:footnote>
  <w:footnote w:id="1486">
    <w:p w:rsidR="00BF2117" w:rsidRPr="00EA56E0" w:rsidRDefault="00BF2117" w:rsidP="00A90B9E">
      <w:pPr>
        <w:pStyle w:val="FootnoteText"/>
        <w:rPr>
          <w:sz w:val="16"/>
          <w:szCs w:val="16"/>
        </w:rPr>
      </w:pPr>
      <w:r w:rsidRPr="00EA56E0">
        <w:rPr>
          <w:rStyle w:val="FootnoteReference"/>
          <w:rFonts w:cs="Arial"/>
          <w:sz w:val="16"/>
          <w:szCs w:val="16"/>
        </w:rPr>
        <w:footnoteRef/>
      </w:r>
      <w:r w:rsidRPr="00EA56E0">
        <w:rPr>
          <w:sz w:val="16"/>
          <w:szCs w:val="16"/>
        </w:rPr>
        <w:t xml:space="preserve"> The word “mobile“ omitted by the Finance Act, 2002.</w:t>
      </w:r>
    </w:p>
  </w:footnote>
  <w:footnote w:id="1487">
    <w:p w:rsidR="00BF2117" w:rsidRPr="00EA56E0" w:rsidRDefault="00BF2117" w:rsidP="002E19DF">
      <w:pPr>
        <w:pStyle w:val="FootnoteText"/>
        <w:rPr>
          <w:sz w:val="16"/>
          <w:szCs w:val="16"/>
          <w:lang w:val="en-US"/>
        </w:rPr>
      </w:pPr>
      <w:r w:rsidRPr="00EA56E0">
        <w:rPr>
          <w:rStyle w:val="FootnoteReference"/>
          <w:sz w:val="16"/>
          <w:szCs w:val="16"/>
        </w:rPr>
        <w:footnoteRef/>
      </w:r>
      <w:r w:rsidRPr="00EA56E0">
        <w:rPr>
          <w:sz w:val="16"/>
          <w:szCs w:val="16"/>
          <w:lang w:val="en-US"/>
        </w:rPr>
        <w:t>Full stop substituted by the Finance Act, 2010.</w:t>
      </w:r>
    </w:p>
  </w:footnote>
  <w:footnote w:id="1488">
    <w:p w:rsidR="00BF2117" w:rsidRPr="00BE5531" w:rsidRDefault="00BF2117">
      <w:pPr>
        <w:pStyle w:val="FootnoteText"/>
        <w:rPr>
          <w:sz w:val="16"/>
          <w:szCs w:val="16"/>
          <w:lang w:val="en-US"/>
        </w:rPr>
      </w:pPr>
      <w:r w:rsidRPr="00BE5531">
        <w:rPr>
          <w:rStyle w:val="FootnoteReference"/>
          <w:sz w:val="16"/>
          <w:szCs w:val="16"/>
        </w:rPr>
        <w:footnoteRef/>
      </w:r>
      <w:r>
        <w:rPr>
          <w:sz w:val="16"/>
          <w:szCs w:val="16"/>
        </w:rPr>
        <w:t>The word “and” omitted by Finance Act, 2015.</w:t>
      </w:r>
    </w:p>
  </w:footnote>
  <w:footnote w:id="1489">
    <w:p w:rsidR="00BF2117" w:rsidRPr="00E97220" w:rsidRDefault="00BF2117">
      <w:pPr>
        <w:pStyle w:val="FootnoteText"/>
        <w:rPr>
          <w:sz w:val="16"/>
          <w:szCs w:val="16"/>
          <w:lang w:val="en-US"/>
        </w:rPr>
      </w:pPr>
      <w:r w:rsidRPr="00E97220">
        <w:rPr>
          <w:rStyle w:val="FootnoteReference"/>
          <w:sz w:val="16"/>
          <w:szCs w:val="16"/>
        </w:rPr>
        <w:footnoteRef/>
      </w:r>
      <w:r>
        <w:rPr>
          <w:sz w:val="16"/>
          <w:szCs w:val="16"/>
        </w:rPr>
        <w:t>Substituted by the Finance Act, 2015</w:t>
      </w:r>
    </w:p>
  </w:footnote>
  <w:footnote w:id="1490">
    <w:p w:rsidR="00BF2117" w:rsidRPr="00824651" w:rsidRDefault="00BF2117">
      <w:pPr>
        <w:pStyle w:val="FootnoteText"/>
        <w:rPr>
          <w:sz w:val="16"/>
          <w:szCs w:val="16"/>
          <w:lang w:val="en-US"/>
        </w:rPr>
      </w:pPr>
      <w:r w:rsidRPr="00824651">
        <w:rPr>
          <w:rStyle w:val="FootnoteReference"/>
          <w:sz w:val="16"/>
          <w:szCs w:val="16"/>
        </w:rPr>
        <w:footnoteRef/>
      </w:r>
      <w:r>
        <w:rPr>
          <w:sz w:val="16"/>
          <w:szCs w:val="16"/>
        </w:rPr>
        <w:t>Added by the Finance Act, 2015.</w:t>
      </w:r>
    </w:p>
  </w:footnote>
  <w:footnote w:id="1491">
    <w:p w:rsidR="00BF2117" w:rsidRPr="004C4183" w:rsidRDefault="00BF2117">
      <w:pPr>
        <w:pStyle w:val="FootnoteText"/>
        <w:rPr>
          <w:sz w:val="16"/>
          <w:szCs w:val="16"/>
          <w:lang w:val="en-US"/>
        </w:rPr>
      </w:pPr>
      <w:r w:rsidRPr="004C4183">
        <w:rPr>
          <w:rStyle w:val="FootnoteReference"/>
          <w:sz w:val="16"/>
          <w:szCs w:val="16"/>
        </w:rPr>
        <w:footnoteRef/>
      </w:r>
      <w:r>
        <w:rPr>
          <w:sz w:val="16"/>
          <w:szCs w:val="16"/>
        </w:rPr>
        <w:t>Inserted by the Finance Act, 2015.</w:t>
      </w:r>
    </w:p>
  </w:footnote>
  <w:footnote w:id="1492">
    <w:p w:rsidR="00BF2117" w:rsidRPr="004C4183" w:rsidRDefault="00BF2117">
      <w:pPr>
        <w:pStyle w:val="FootnoteText"/>
        <w:rPr>
          <w:sz w:val="16"/>
          <w:szCs w:val="16"/>
          <w:lang w:val="en-US"/>
        </w:rPr>
      </w:pPr>
      <w:r w:rsidRPr="004C4183">
        <w:rPr>
          <w:rStyle w:val="FootnoteReference"/>
          <w:sz w:val="16"/>
          <w:szCs w:val="16"/>
        </w:rPr>
        <w:footnoteRef/>
      </w:r>
      <w:r>
        <w:rPr>
          <w:sz w:val="16"/>
          <w:szCs w:val="16"/>
        </w:rPr>
        <w:t>Inserted by the Finance Act, 2015.</w:t>
      </w:r>
    </w:p>
  </w:footnote>
  <w:footnote w:id="1493">
    <w:p w:rsidR="00BF2117" w:rsidRPr="00EA56E0" w:rsidRDefault="00BF2117">
      <w:pPr>
        <w:pStyle w:val="FootnoteText"/>
        <w:rPr>
          <w:sz w:val="16"/>
          <w:szCs w:val="16"/>
        </w:rPr>
      </w:pPr>
      <w:r w:rsidRPr="00EA56E0">
        <w:rPr>
          <w:rStyle w:val="FootnoteReference"/>
          <w:rFonts w:cs="Arial"/>
          <w:sz w:val="16"/>
          <w:szCs w:val="16"/>
        </w:rPr>
        <w:footnoteRef/>
      </w:r>
      <w:r w:rsidRPr="00EA56E0">
        <w:rPr>
          <w:sz w:val="16"/>
          <w:szCs w:val="16"/>
        </w:rPr>
        <w:t xml:space="preserve"> The word “mobile” omitted by the Finance Act, 2002.</w:t>
      </w:r>
    </w:p>
  </w:footnote>
  <w:footnote w:id="1494">
    <w:p w:rsidR="00BF2117" w:rsidRPr="000C627B" w:rsidRDefault="00BF2117">
      <w:pPr>
        <w:pStyle w:val="FootnoteText"/>
        <w:rPr>
          <w:sz w:val="16"/>
          <w:szCs w:val="16"/>
          <w:lang w:val="en-US"/>
        </w:rPr>
      </w:pPr>
      <w:r w:rsidRPr="000C627B">
        <w:rPr>
          <w:rStyle w:val="FootnoteReference"/>
          <w:sz w:val="16"/>
          <w:szCs w:val="16"/>
        </w:rPr>
        <w:footnoteRef/>
      </w:r>
      <w:r>
        <w:rPr>
          <w:sz w:val="16"/>
          <w:szCs w:val="16"/>
        </w:rPr>
        <w:t xml:space="preserve">Inserted </w:t>
      </w:r>
      <w:r w:rsidRPr="000C627B">
        <w:rPr>
          <w:sz w:val="16"/>
          <w:szCs w:val="16"/>
          <w:lang w:val="en-US"/>
        </w:rPr>
        <w:t>by the Finance Act, 2015.</w:t>
      </w:r>
    </w:p>
  </w:footnote>
  <w:footnote w:id="1495">
    <w:p w:rsidR="00BF2117" w:rsidRPr="00EA56E0" w:rsidRDefault="00BF2117">
      <w:pPr>
        <w:pStyle w:val="FootnoteText"/>
        <w:rPr>
          <w:sz w:val="16"/>
          <w:szCs w:val="16"/>
        </w:rPr>
      </w:pPr>
      <w:r w:rsidRPr="00EA56E0">
        <w:rPr>
          <w:rStyle w:val="FootnoteReference"/>
          <w:rFonts w:cs="Arial"/>
          <w:sz w:val="16"/>
          <w:szCs w:val="16"/>
        </w:rPr>
        <w:footnoteRef/>
      </w:r>
      <w:r w:rsidRPr="00EA56E0">
        <w:rPr>
          <w:sz w:val="16"/>
          <w:szCs w:val="16"/>
        </w:rPr>
        <w:t xml:space="preserve"> The word “called” substituted by the Finance Act, 2003.</w:t>
      </w:r>
    </w:p>
  </w:footnote>
  <w:footnote w:id="1496">
    <w:p w:rsidR="00BF2117" w:rsidRPr="00EA56E0" w:rsidRDefault="00BF2117">
      <w:pPr>
        <w:pStyle w:val="FootnoteText"/>
        <w:rPr>
          <w:sz w:val="16"/>
          <w:szCs w:val="16"/>
          <w:lang w:val="en-US"/>
        </w:rPr>
      </w:pPr>
      <w:r w:rsidRPr="00EA56E0">
        <w:rPr>
          <w:rStyle w:val="FootnoteReference"/>
          <w:sz w:val="16"/>
          <w:szCs w:val="16"/>
        </w:rPr>
        <w:footnoteRef/>
      </w:r>
      <w:r w:rsidRPr="00EA56E0">
        <w:rPr>
          <w:sz w:val="16"/>
          <w:szCs w:val="16"/>
          <w:lang w:val="en-US"/>
        </w:rPr>
        <w:t>Added by the Finance Act, 2010.</w:t>
      </w:r>
    </w:p>
  </w:footnote>
  <w:footnote w:id="1497">
    <w:p w:rsidR="00BF2117" w:rsidRPr="00EA56E0" w:rsidRDefault="00BF2117">
      <w:pPr>
        <w:pStyle w:val="FootnoteText"/>
        <w:rPr>
          <w:sz w:val="16"/>
          <w:szCs w:val="16"/>
          <w:lang w:val="en-US"/>
        </w:rPr>
      </w:pPr>
      <w:r w:rsidRPr="00EA56E0">
        <w:rPr>
          <w:rStyle w:val="FootnoteReference"/>
          <w:sz w:val="16"/>
          <w:szCs w:val="16"/>
        </w:rPr>
        <w:footnoteRef/>
      </w:r>
      <w:r w:rsidRPr="00EA56E0">
        <w:rPr>
          <w:sz w:val="16"/>
          <w:szCs w:val="16"/>
        </w:rPr>
        <w:t xml:space="preserve"> Added by the Finance Act, 2009.</w:t>
      </w:r>
    </w:p>
  </w:footnote>
  <w:footnote w:id="1498">
    <w:p w:rsidR="00BF2117" w:rsidRPr="00EA56E0" w:rsidRDefault="00BF2117">
      <w:pPr>
        <w:pStyle w:val="FootnoteText"/>
        <w:rPr>
          <w:sz w:val="16"/>
          <w:szCs w:val="16"/>
          <w:lang w:val="en-US"/>
        </w:rPr>
      </w:pPr>
      <w:r w:rsidRPr="00EA56E0">
        <w:rPr>
          <w:rStyle w:val="FootnoteReference"/>
          <w:sz w:val="16"/>
          <w:szCs w:val="16"/>
        </w:rPr>
        <w:footnoteRef/>
      </w:r>
      <w:r w:rsidRPr="00EA56E0">
        <w:rPr>
          <w:sz w:val="16"/>
          <w:szCs w:val="16"/>
        </w:rPr>
        <w:t xml:space="preserve"> Inserted by the Finance Act, 2011.</w:t>
      </w:r>
    </w:p>
  </w:footnote>
  <w:footnote w:id="1499">
    <w:p w:rsidR="00BF2117" w:rsidRPr="00EA56E0" w:rsidRDefault="00BF2117">
      <w:pPr>
        <w:pStyle w:val="FootnoteText"/>
        <w:rPr>
          <w:sz w:val="16"/>
          <w:szCs w:val="16"/>
          <w:lang w:val="en-US"/>
        </w:rPr>
      </w:pPr>
      <w:r w:rsidRPr="00EA56E0">
        <w:rPr>
          <w:rStyle w:val="FootnoteReference"/>
          <w:sz w:val="16"/>
          <w:szCs w:val="16"/>
        </w:rPr>
        <w:footnoteRef/>
      </w:r>
      <w:r w:rsidRPr="00EA56E0">
        <w:rPr>
          <w:sz w:val="16"/>
          <w:szCs w:val="16"/>
          <w:lang w:val="en-US"/>
        </w:rPr>
        <w:t>The words “confiscated or attached” substituted by the Finance Act, 2010.</w:t>
      </w:r>
    </w:p>
  </w:footnote>
  <w:footnote w:id="1500">
    <w:p w:rsidR="00BF2117" w:rsidRPr="00EA56E0" w:rsidRDefault="00BF2117">
      <w:pPr>
        <w:pStyle w:val="FootnoteText"/>
        <w:rPr>
          <w:sz w:val="16"/>
          <w:szCs w:val="16"/>
          <w:lang w:val="en-US"/>
        </w:rPr>
      </w:pPr>
      <w:r w:rsidRPr="00EA56E0">
        <w:rPr>
          <w:rStyle w:val="FootnoteReference"/>
          <w:sz w:val="16"/>
          <w:szCs w:val="16"/>
        </w:rPr>
        <w:footnoteRef/>
      </w:r>
      <w:r w:rsidRPr="00EA56E0">
        <w:rPr>
          <w:sz w:val="16"/>
          <w:szCs w:val="16"/>
        </w:rPr>
        <w:t xml:space="preserve"> The words “Income Tax” substituted by the Finance Act, 2011.</w:t>
      </w:r>
    </w:p>
  </w:footnote>
  <w:footnote w:id="1501">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Added by the Finance Act, 2016.</w:t>
      </w:r>
    </w:p>
  </w:footnote>
  <w:footnote w:id="1502">
    <w:p w:rsidR="00BF2117" w:rsidRPr="00EA56E0" w:rsidRDefault="00BF2117">
      <w:pPr>
        <w:pStyle w:val="FootnoteText"/>
        <w:rPr>
          <w:sz w:val="16"/>
          <w:szCs w:val="16"/>
          <w:lang w:val="en-US"/>
        </w:rPr>
      </w:pPr>
      <w:r w:rsidRPr="00EA56E0">
        <w:rPr>
          <w:rStyle w:val="FootnoteReference"/>
          <w:sz w:val="16"/>
          <w:szCs w:val="16"/>
        </w:rPr>
        <w:footnoteRef/>
      </w:r>
      <w:r w:rsidRPr="00EA56E0">
        <w:rPr>
          <w:sz w:val="16"/>
          <w:szCs w:val="16"/>
          <w:lang w:val="en-US"/>
        </w:rPr>
        <w:t>Added by the Finance Act, 2010.</w:t>
      </w:r>
    </w:p>
  </w:footnote>
  <w:footnote w:id="1503">
    <w:p w:rsidR="00BF2117" w:rsidRPr="00064613" w:rsidRDefault="00BF2117">
      <w:pPr>
        <w:pStyle w:val="FootnoteText"/>
        <w:rPr>
          <w:sz w:val="16"/>
          <w:szCs w:val="16"/>
          <w:lang w:val="en-US"/>
        </w:rPr>
      </w:pPr>
      <w:r w:rsidRPr="00064613">
        <w:rPr>
          <w:rStyle w:val="FootnoteReference"/>
          <w:sz w:val="16"/>
          <w:szCs w:val="16"/>
        </w:rPr>
        <w:footnoteRef/>
      </w:r>
      <w:r>
        <w:rPr>
          <w:sz w:val="16"/>
          <w:szCs w:val="16"/>
        </w:rPr>
        <w:t>Full stop substituted by Finance Act, 2015.</w:t>
      </w:r>
    </w:p>
  </w:footnote>
  <w:footnote w:id="1504">
    <w:p w:rsidR="00BF2117" w:rsidRPr="001B3020" w:rsidRDefault="00BF2117">
      <w:pPr>
        <w:pStyle w:val="FootnoteText"/>
        <w:rPr>
          <w:color w:val="000000" w:themeColor="text1"/>
          <w:sz w:val="16"/>
          <w:szCs w:val="16"/>
          <w:lang w:val="en-US"/>
        </w:rPr>
      </w:pPr>
      <w:r w:rsidRPr="001B3020">
        <w:rPr>
          <w:rStyle w:val="FootnoteReference"/>
          <w:color w:val="000000" w:themeColor="text1"/>
          <w:sz w:val="16"/>
          <w:szCs w:val="16"/>
        </w:rPr>
        <w:footnoteRef/>
      </w:r>
      <w:r w:rsidRPr="001B3020">
        <w:rPr>
          <w:color w:val="000000" w:themeColor="text1"/>
          <w:sz w:val="16"/>
          <w:szCs w:val="16"/>
        </w:rPr>
        <w:t>Added by the Finance Act, 2015.</w:t>
      </w:r>
    </w:p>
  </w:footnote>
  <w:footnote w:id="1505">
    <w:p w:rsidR="00BF2117" w:rsidRPr="001B3020" w:rsidRDefault="00BF2117">
      <w:pPr>
        <w:pStyle w:val="FootnoteText"/>
        <w:rPr>
          <w:color w:val="000000" w:themeColor="text1"/>
          <w:sz w:val="16"/>
          <w:szCs w:val="16"/>
          <w:lang w:val="en-US"/>
        </w:rPr>
      </w:pPr>
      <w:r w:rsidRPr="001B3020">
        <w:rPr>
          <w:rStyle w:val="FootnoteReference"/>
          <w:color w:val="000000" w:themeColor="text1"/>
          <w:sz w:val="16"/>
          <w:szCs w:val="16"/>
        </w:rPr>
        <w:footnoteRef/>
      </w:r>
      <w:r w:rsidRPr="001B3020">
        <w:rPr>
          <w:color w:val="000000" w:themeColor="text1"/>
          <w:sz w:val="16"/>
          <w:szCs w:val="16"/>
        </w:rPr>
        <w:t>The words “person preparing” substituted by the words “</w:t>
      </w:r>
      <w:r w:rsidRPr="001B3020">
        <w:rPr>
          <w:rFonts w:cs="Arial"/>
          <w:color w:val="000000" w:themeColor="text1"/>
          <w:sz w:val="16"/>
          <w:szCs w:val="16"/>
        </w:rPr>
        <w:t>airline issuing”</w:t>
      </w:r>
      <w:r w:rsidRPr="001B3020">
        <w:rPr>
          <w:color w:val="000000" w:themeColor="text1"/>
          <w:sz w:val="16"/>
          <w:szCs w:val="16"/>
        </w:rPr>
        <w:t xml:space="preserve"> Finance Act, 2014.</w:t>
      </w:r>
    </w:p>
  </w:footnote>
  <w:footnote w:id="1506">
    <w:p w:rsidR="00BF2117" w:rsidRPr="001B3020" w:rsidRDefault="00BF2117">
      <w:pPr>
        <w:pStyle w:val="FootnoteText"/>
        <w:rPr>
          <w:color w:val="000000" w:themeColor="text1"/>
          <w:sz w:val="16"/>
          <w:szCs w:val="16"/>
          <w:lang w:val="en-US"/>
        </w:rPr>
      </w:pPr>
      <w:r w:rsidRPr="001B3020">
        <w:rPr>
          <w:rStyle w:val="FootnoteReference"/>
          <w:color w:val="000000" w:themeColor="text1"/>
          <w:sz w:val="16"/>
          <w:szCs w:val="16"/>
        </w:rPr>
        <w:footnoteRef/>
      </w:r>
      <w:r w:rsidRPr="001B3020">
        <w:rPr>
          <w:color w:val="000000" w:themeColor="text1"/>
          <w:sz w:val="16"/>
          <w:szCs w:val="16"/>
        </w:rPr>
        <w:t xml:space="preserve"> Sub-section (2A) inserted by the  Finance Act,  2014.</w:t>
      </w:r>
    </w:p>
  </w:footnote>
  <w:footnote w:id="1507">
    <w:p w:rsidR="00BF2117" w:rsidRPr="001B3020" w:rsidRDefault="00BF2117">
      <w:pPr>
        <w:pStyle w:val="FootnoteText"/>
        <w:rPr>
          <w:color w:val="000000" w:themeColor="text1"/>
          <w:sz w:val="16"/>
          <w:szCs w:val="16"/>
          <w:lang w:val="en-US"/>
        </w:rPr>
      </w:pPr>
      <w:r w:rsidRPr="001B3020">
        <w:rPr>
          <w:rStyle w:val="FootnoteReference"/>
          <w:color w:val="000000" w:themeColor="text1"/>
          <w:sz w:val="16"/>
          <w:szCs w:val="16"/>
        </w:rPr>
        <w:footnoteRef/>
      </w:r>
      <w:r w:rsidRPr="001B3020">
        <w:rPr>
          <w:color w:val="000000" w:themeColor="text1"/>
          <w:sz w:val="16"/>
          <w:szCs w:val="16"/>
        </w:rPr>
        <w:t xml:space="preserve"> Inserted by the Finance Act, 2011.</w:t>
      </w:r>
    </w:p>
  </w:footnote>
  <w:footnote w:id="1508">
    <w:p w:rsidR="00BF2117" w:rsidRDefault="00BF2117" w:rsidP="00193748">
      <w:pPr>
        <w:ind w:left="1094" w:hanging="1094"/>
        <w:jc w:val="both"/>
        <w:rPr>
          <w:sz w:val="20"/>
        </w:rPr>
      </w:pPr>
      <w:r w:rsidRPr="00193748">
        <w:rPr>
          <w:rStyle w:val="FootnoteReference"/>
          <w:sz w:val="16"/>
          <w:szCs w:val="16"/>
        </w:rPr>
        <w:footnoteRef/>
      </w:r>
      <w:r w:rsidRPr="00193748">
        <w:rPr>
          <w:sz w:val="16"/>
          <w:szCs w:val="16"/>
          <w:lang w:val="en-US"/>
        </w:rPr>
        <w:t>Sub-section (4) omitted by the Finance Act, 2015.</w:t>
      </w:r>
      <w:r>
        <w:rPr>
          <w:sz w:val="16"/>
          <w:szCs w:val="16"/>
          <w:lang w:val="en-US"/>
        </w:rPr>
        <w:t xml:space="preserve"> The omitted sub-section (4) read as follows:-</w:t>
      </w:r>
    </w:p>
    <w:p w:rsidR="00BF2117" w:rsidRPr="00193748" w:rsidRDefault="00BF2117" w:rsidP="00193748">
      <w:pPr>
        <w:ind w:left="1094" w:hanging="1094"/>
        <w:jc w:val="both"/>
        <w:rPr>
          <w:rFonts w:cs="Arial"/>
          <w:sz w:val="16"/>
          <w:szCs w:val="16"/>
        </w:rPr>
      </w:pPr>
      <w:r>
        <w:rPr>
          <w:sz w:val="20"/>
        </w:rPr>
        <w:tab/>
      </w:r>
      <w:r w:rsidRPr="00193748">
        <w:rPr>
          <w:sz w:val="16"/>
          <w:szCs w:val="16"/>
        </w:rPr>
        <w:t>[(4) The advance tax under this section shall not be collected in the case of</w:t>
      </w:r>
      <w:r w:rsidRPr="00193748">
        <w:rPr>
          <w:rFonts w:cs="Arial"/>
          <w:sz w:val="16"/>
          <w:szCs w:val="16"/>
        </w:rPr>
        <w:t>—</w:t>
      </w:r>
    </w:p>
    <w:p w:rsidR="00BF2117" w:rsidRPr="00193748" w:rsidRDefault="00BF2117" w:rsidP="00193748">
      <w:pPr>
        <w:jc w:val="both"/>
        <w:rPr>
          <w:rFonts w:cs="Arial"/>
          <w:sz w:val="16"/>
          <w:szCs w:val="16"/>
        </w:rPr>
      </w:pPr>
      <w:r w:rsidRPr="00193748">
        <w:rPr>
          <w:rFonts w:cs="Arial"/>
          <w:sz w:val="16"/>
          <w:szCs w:val="16"/>
        </w:rPr>
        <w:tab/>
      </w:r>
      <w:r w:rsidRPr="00193748">
        <w:rPr>
          <w:rFonts w:cs="Arial"/>
          <w:sz w:val="16"/>
          <w:szCs w:val="16"/>
        </w:rPr>
        <w:tab/>
        <w:t>(a)</w:t>
      </w:r>
      <w:r w:rsidRPr="00193748">
        <w:rPr>
          <w:rFonts w:cs="Arial"/>
          <w:sz w:val="16"/>
          <w:szCs w:val="16"/>
        </w:rPr>
        <w:tab/>
        <w:t xml:space="preserve">the Federal Government or a Provincial Government; or </w:t>
      </w:r>
      <w:r w:rsidRPr="00193748">
        <w:rPr>
          <w:rFonts w:cs="Arial"/>
          <w:sz w:val="16"/>
          <w:szCs w:val="16"/>
        </w:rPr>
        <w:tab/>
      </w:r>
    </w:p>
    <w:p w:rsidR="00BF2117" w:rsidRPr="00193748" w:rsidRDefault="00BF2117" w:rsidP="007B06E8">
      <w:pPr>
        <w:ind w:left="1641" w:hanging="546"/>
        <w:jc w:val="both"/>
        <w:rPr>
          <w:lang w:val="en-US"/>
        </w:rPr>
      </w:pPr>
      <w:r w:rsidRPr="00193748">
        <w:rPr>
          <w:rFonts w:cs="Arial"/>
          <w:sz w:val="16"/>
          <w:szCs w:val="16"/>
        </w:rPr>
        <w:t xml:space="preserve">(b) </w:t>
      </w:r>
      <w:r w:rsidRPr="00193748">
        <w:rPr>
          <w:rFonts w:cs="Arial"/>
          <w:sz w:val="16"/>
          <w:szCs w:val="16"/>
        </w:rPr>
        <w:tab/>
        <w:t>a person who produces a certificate from the Commissioner Inland Revenue that income of such person during the tax year is exempt.]</w:t>
      </w:r>
    </w:p>
  </w:footnote>
  <w:footnote w:id="1509">
    <w:p w:rsidR="00BF2117" w:rsidRPr="00EA56E0" w:rsidRDefault="00BF2117">
      <w:pPr>
        <w:pStyle w:val="FootnoteText"/>
        <w:rPr>
          <w:sz w:val="16"/>
          <w:szCs w:val="16"/>
          <w:lang w:val="en-US"/>
        </w:rPr>
      </w:pPr>
      <w:r w:rsidRPr="00EA56E0">
        <w:rPr>
          <w:rStyle w:val="FootnoteReference"/>
          <w:sz w:val="16"/>
          <w:szCs w:val="16"/>
        </w:rPr>
        <w:footnoteRef/>
      </w:r>
      <w:r w:rsidRPr="00EA56E0">
        <w:rPr>
          <w:sz w:val="16"/>
          <w:szCs w:val="16"/>
        </w:rPr>
        <w:t xml:space="preserve"> Inserted by the Finance Act, 2012.</w:t>
      </w:r>
    </w:p>
  </w:footnote>
  <w:footnote w:id="1510">
    <w:p w:rsidR="00BF2117" w:rsidRPr="00D41075" w:rsidRDefault="00BF2117" w:rsidP="0025429F">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Full stop substituted by the </w:t>
      </w:r>
      <w:r w:rsidRPr="00D41075">
        <w:rPr>
          <w:color w:val="FF0000"/>
          <w:sz w:val="16"/>
          <w:szCs w:val="16"/>
        </w:rPr>
        <w:t>Presidential Order No.F.2(1)/2016-Pub dated 31.07.2016</w:t>
      </w:r>
      <w:r>
        <w:rPr>
          <w:color w:val="FF0000"/>
          <w:sz w:val="16"/>
          <w:szCs w:val="16"/>
        </w:rPr>
        <w:t>.</w:t>
      </w:r>
    </w:p>
  </w:footnote>
  <w:footnote w:id="1511">
    <w:p w:rsidR="00BF2117" w:rsidRPr="00D41075" w:rsidRDefault="00BF2117" w:rsidP="0025429F">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Added by the </w:t>
      </w:r>
      <w:r w:rsidRPr="00D41075">
        <w:rPr>
          <w:color w:val="FF0000"/>
          <w:sz w:val="16"/>
          <w:szCs w:val="16"/>
        </w:rPr>
        <w:t>Presidential Order No.F.2(1)/2016-Pub dated 31.07.2016</w:t>
      </w:r>
      <w:r>
        <w:rPr>
          <w:color w:val="FF0000"/>
          <w:sz w:val="16"/>
          <w:szCs w:val="16"/>
        </w:rPr>
        <w:t>.</w:t>
      </w:r>
    </w:p>
  </w:footnote>
  <w:footnote w:id="1512">
    <w:p w:rsidR="00BF2117" w:rsidRDefault="00BF2117">
      <w:pPr>
        <w:pStyle w:val="FootnoteText"/>
        <w:rPr>
          <w:sz w:val="16"/>
          <w:szCs w:val="16"/>
          <w:lang w:val="en-US"/>
        </w:rPr>
      </w:pPr>
      <w:r w:rsidRPr="00257644">
        <w:rPr>
          <w:rStyle w:val="FootnoteReference"/>
          <w:sz w:val="16"/>
          <w:szCs w:val="16"/>
        </w:rPr>
        <w:footnoteRef/>
      </w:r>
      <w:r w:rsidRPr="00257644">
        <w:rPr>
          <w:sz w:val="16"/>
          <w:szCs w:val="16"/>
          <w:lang w:val="en-US"/>
        </w:rPr>
        <w:t>Sub-section (3) omitted by the Finance Act 2015. The omitted sub-section read as follows:</w:t>
      </w:r>
    </w:p>
    <w:p w:rsidR="00BF2117" w:rsidRPr="00257644" w:rsidRDefault="00BF2117" w:rsidP="00D91FDC">
      <w:pPr>
        <w:jc w:val="both"/>
        <w:rPr>
          <w:sz w:val="16"/>
          <w:szCs w:val="16"/>
          <w:lang w:val="en-US"/>
        </w:rPr>
      </w:pPr>
      <w:r>
        <w:rPr>
          <w:sz w:val="16"/>
          <w:szCs w:val="16"/>
        </w:rPr>
        <w:tab/>
        <w:t>“</w:t>
      </w:r>
      <w:r w:rsidRPr="00257644">
        <w:rPr>
          <w:sz w:val="16"/>
          <w:szCs w:val="16"/>
        </w:rPr>
        <w:t xml:space="preserve">(3) </w:t>
      </w:r>
      <w:r w:rsidRPr="00257644">
        <w:rPr>
          <w:sz w:val="16"/>
          <w:szCs w:val="16"/>
        </w:rPr>
        <w:tab/>
        <w:t xml:space="preserve">The advance tax under this section shall not be collected in the case of Federal </w:t>
      </w:r>
      <w:r>
        <w:rPr>
          <w:sz w:val="16"/>
          <w:szCs w:val="16"/>
        </w:rPr>
        <w:tab/>
      </w:r>
      <w:r w:rsidRPr="00257644">
        <w:rPr>
          <w:sz w:val="16"/>
          <w:szCs w:val="16"/>
        </w:rPr>
        <w:t>Government, Provincial Go</w:t>
      </w:r>
      <w:r>
        <w:rPr>
          <w:sz w:val="16"/>
          <w:szCs w:val="16"/>
        </w:rPr>
        <w:t>vernment or a Local Government.”</w:t>
      </w:r>
    </w:p>
  </w:footnote>
  <w:footnote w:id="1513">
    <w:p w:rsidR="00BF2117" w:rsidRPr="00932217" w:rsidRDefault="00BF2117">
      <w:pPr>
        <w:pStyle w:val="FootnoteText"/>
        <w:rPr>
          <w:color w:val="FF0066"/>
          <w:sz w:val="16"/>
          <w:szCs w:val="16"/>
          <w:lang w:val="en-US"/>
        </w:rPr>
      </w:pPr>
      <w:r w:rsidRPr="0009763F">
        <w:rPr>
          <w:rStyle w:val="FootnoteReference"/>
          <w:color w:val="0070C0"/>
          <w:sz w:val="16"/>
          <w:szCs w:val="16"/>
        </w:rPr>
        <w:footnoteRef/>
      </w:r>
      <w:r w:rsidRPr="0009763F">
        <w:rPr>
          <w:color w:val="0070C0"/>
          <w:sz w:val="16"/>
          <w:szCs w:val="16"/>
        </w:rPr>
        <w:t xml:space="preserve"> Added by the Finance Act, 2016</w:t>
      </w:r>
      <w:r>
        <w:rPr>
          <w:color w:val="FF0066"/>
          <w:sz w:val="16"/>
          <w:szCs w:val="16"/>
        </w:rPr>
        <w:t>.</w:t>
      </w:r>
    </w:p>
  </w:footnote>
  <w:footnote w:id="1514">
    <w:p w:rsidR="00BF2117" w:rsidRPr="00D41075" w:rsidRDefault="00BF2117" w:rsidP="0007197E">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The words “five years” s</w:t>
      </w:r>
      <w:r w:rsidRPr="00D41075">
        <w:rPr>
          <w:color w:val="FF0000"/>
          <w:sz w:val="16"/>
          <w:szCs w:val="16"/>
        </w:rPr>
        <w:t>ubstituted by the Presidential Order No.F.2(1)/2016-Pub dated 31.0</w:t>
      </w:r>
      <w:r>
        <w:rPr>
          <w:color w:val="FF0000"/>
          <w:sz w:val="16"/>
          <w:szCs w:val="16"/>
        </w:rPr>
        <w:t>7</w:t>
      </w:r>
      <w:r w:rsidRPr="00D41075">
        <w:rPr>
          <w:color w:val="FF0000"/>
          <w:sz w:val="16"/>
          <w:szCs w:val="16"/>
        </w:rPr>
        <w:t>.2016</w:t>
      </w:r>
      <w:r>
        <w:rPr>
          <w:color w:val="FF0000"/>
          <w:sz w:val="16"/>
          <w:szCs w:val="16"/>
        </w:rPr>
        <w:t>.</w:t>
      </w:r>
    </w:p>
  </w:footnote>
  <w:footnote w:id="1515">
    <w:p w:rsidR="00BF2117" w:rsidRPr="00D41075" w:rsidRDefault="00BF2117" w:rsidP="00C76DB7">
      <w:pPr>
        <w:pStyle w:val="FootnoteText"/>
        <w:ind w:left="90" w:hanging="90"/>
        <w:jc w:val="both"/>
        <w:rPr>
          <w:color w:val="FF0000"/>
          <w:sz w:val="16"/>
          <w:szCs w:val="16"/>
          <w:lang w:val="en-US"/>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Added by the </w:t>
      </w:r>
      <w:r w:rsidRPr="00D41075">
        <w:rPr>
          <w:color w:val="FF0000"/>
          <w:sz w:val="16"/>
          <w:szCs w:val="16"/>
        </w:rPr>
        <w:t>Presidential Order No.F.2(1)/2016-Pub dated 31.0</w:t>
      </w:r>
      <w:r>
        <w:rPr>
          <w:color w:val="FF0000"/>
          <w:sz w:val="16"/>
          <w:szCs w:val="16"/>
        </w:rPr>
        <w:t>7</w:t>
      </w:r>
      <w:r w:rsidRPr="00D41075">
        <w:rPr>
          <w:color w:val="FF0000"/>
          <w:sz w:val="16"/>
          <w:szCs w:val="16"/>
        </w:rPr>
        <w:t>.2016</w:t>
      </w:r>
      <w:r>
        <w:rPr>
          <w:color w:val="FF0000"/>
          <w:sz w:val="16"/>
          <w:szCs w:val="16"/>
        </w:rPr>
        <w:t>.</w:t>
      </w:r>
    </w:p>
  </w:footnote>
  <w:footnote w:id="1516">
    <w:p w:rsidR="00BF2117" w:rsidRDefault="00BF2117" w:rsidP="00FA51C0">
      <w:pPr>
        <w:ind w:left="90" w:hanging="90"/>
        <w:jc w:val="both"/>
        <w:rPr>
          <w:color w:val="FF0000"/>
          <w:sz w:val="16"/>
          <w:szCs w:val="16"/>
        </w:rPr>
      </w:pPr>
      <w:r w:rsidRPr="008E2976">
        <w:rPr>
          <w:rStyle w:val="FootnoteReference"/>
          <w:color w:val="FF0000"/>
          <w:sz w:val="16"/>
          <w:szCs w:val="16"/>
        </w:rPr>
        <w:footnoteRef/>
      </w:r>
      <w:r w:rsidRPr="008E2976">
        <w:rPr>
          <w:color w:val="FF0000"/>
          <w:sz w:val="16"/>
          <w:szCs w:val="16"/>
        </w:rPr>
        <w:t xml:space="preserve"> </w:t>
      </w:r>
      <w:r>
        <w:rPr>
          <w:color w:val="FF0000"/>
          <w:sz w:val="16"/>
          <w:szCs w:val="16"/>
        </w:rPr>
        <w:t>Sub-section (4) omitted by the Presidential Order No.F.2(1)/2016-Pub dated 31.08.2016. The omitted sub-section read as follows:-</w:t>
      </w:r>
    </w:p>
    <w:p w:rsidR="00BF2117" w:rsidRPr="008E2976" w:rsidRDefault="00BF2117" w:rsidP="008E2976">
      <w:pPr>
        <w:jc w:val="both"/>
        <w:rPr>
          <w:rFonts w:cs="Arial"/>
          <w:color w:val="FF0000"/>
          <w:sz w:val="16"/>
          <w:szCs w:val="16"/>
        </w:rPr>
      </w:pPr>
      <w:r>
        <w:rPr>
          <w:color w:val="FF0000"/>
          <w:sz w:val="16"/>
          <w:szCs w:val="16"/>
        </w:rPr>
        <w:t xml:space="preserve"> “</w:t>
      </w:r>
      <w:r w:rsidRPr="008E2976">
        <w:rPr>
          <w:rFonts w:cs="Arial"/>
          <w:color w:val="FF0000"/>
          <w:sz w:val="16"/>
          <w:szCs w:val="16"/>
        </w:rPr>
        <w:t>(4) Sub-section (1) shall not apply to:—</w:t>
      </w:r>
    </w:p>
    <w:p w:rsidR="00BF2117" w:rsidRPr="008E2976" w:rsidRDefault="00BF2117" w:rsidP="008E2976">
      <w:pPr>
        <w:widowControl w:val="0"/>
        <w:numPr>
          <w:ilvl w:val="0"/>
          <w:numId w:val="100"/>
        </w:numPr>
        <w:autoSpaceDE w:val="0"/>
        <w:autoSpaceDN w:val="0"/>
        <w:ind w:left="720"/>
        <w:jc w:val="both"/>
        <w:rPr>
          <w:rFonts w:cs="Arial"/>
          <w:color w:val="FF0000"/>
          <w:sz w:val="16"/>
          <w:szCs w:val="16"/>
        </w:rPr>
      </w:pPr>
      <w:r w:rsidRPr="008E2976">
        <w:rPr>
          <w:rFonts w:cs="Arial"/>
          <w:color w:val="FF0000"/>
          <w:sz w:val="16"/>
          <w:szCs w:val="16"/>
        </w:rPr>
        <w:t>a seller, if the seller is dependent of:</w:t>
      </w:r>
    </w:p>
    <w:p w:rsidR="00BF2117" w:rsidRPr="008E2976" w:rsidRDefault="00BF2117" w:rsidP="008E2976">
      <w:pPr>
        <w:widowControl w:val="0"/>
        <w:numPr>
          <w:ilvl w:val="0"/>
          <w:numId w:val="101"/>
        </w:numPr>
        <w:autoSpaceDE w:val="0"/>
        <w:autoSpaceDN w:val="0"/>
        <w:ind w:left="1080" w:firstLine="0"/>
        <w:jc w:val="both"/>
        <w:rPr>
          <w:rFonts w:cs="Arial"/>
          <w:color w:val="FF0000"/>
          <w:sz w:val="16"/>
          <w:szCs w:val="16"/>
        </w:rPr>
      </w:pPr>
      <w:r w:rsidRPr="008E2976">
        <w:rPr>
          <w:rFonts w:cs="Arial"/>
          <w:color w:val="FF0000"/>
          <w:sz w:val="16"/>
          <w:szCs w:val="16"/>
        </w:rPr>
        <w:t xml:space="preserve">a </w:t>
      </w:r>
      <w:r w:rsidRPr="008E2976">
        <w:rPr>
          <w:rFonts w:cs="Arial"/>
          <w:i/>
          <w:iCs/>
          <w:color w:val="FF0000"/>
          <w:sz w:val="16"/>
          <w:szCs w:val="16"/>
        </w:rPr>
        <w:t xml:space="preserve">Shaheed </w:t>
      </w:r>
      <w:r w:rsidRPr="008E2976">
        <w:rPr>
          <w:rFonts w:cs="Arial"/>
          <w:color w:val="FF0000"/>
          <w:sz w:val="16"/>
          <w:szCs w:val="16"/>
        </w:rPr>
        <w:t>belonging to Pakistan Armed Forces; or</w:t>
      </w:r>
    </w:p>
    <w:p w:rsidR="00BF2117" w:rsidRPr="008E2976" w:rsidRDefault="00BF2117" w:rsidP="008E2976">
      <w:pPr>
        <w:widowControl w:val="0"/>
        <w:numPr>
          <w:ilvl w:val="0"/>
          <w:numId w:val="101"/>
        </w:numPr>
        <w:autoSpaceDE w:val="0"/>
        <w:autoSpaceDN w:val="0"/>
        <w:ind w:left="1440" w:hanging="360"/>
        <w:jc w:val="both"/>
        <w:rPr>
          <w:rFonts w:cs="Arial"/>
          <w:color w:val="FF0000"/>
          <w:sz w:val="16"/>
          <w:szCs w:val="16"/>
        </w:rPr>
      </w:pPr>
      <w:r w:rsidRPr="008E2976">
        <w:rPr>
          <w:rFonts w:cs="Arial"/>
          <w:color w:val="FF0000"/>
          <w:sz w:val="16"/>
          <w:szCs w:val="16"/>
        </w:rPr>
        <w:t>a person who dies while in the service of the Pakistan Armed Forces or the Federal and Provincial Governments; and</w:t>
      </w:r>
    </w:p>
    <w:p w:rsidR="00BF2117" w:rsidRPr="0000371F" w:rsidRDefault="00BF2117" w:rsidP="0000371F">
      <w:pPr>
        <w:pStyle w:val="ListParagraph"/>
        <w:numPr>
          <w:ilvl w:val="0"/>
          <w:numId w:val="100"/>
        </w:numPr>
        <w:ind w:left="720"/>
        <w:jc w:val="both"/>
        <w:rPr>
          <w:lang w:val="en-US"/>
        </w:rPr>
      </w:pPr>
      <w:r w:rsidRPr="0000371F">
        <w:rPr>
          <w:rFonts w:cs="Arial"/>
          <w:color w:val="FF0000"/>
          <w:sz w:val="16"/>
          <w:szCs w:val="16"/>
        </w:rPr>
        <w:t>to the first sale of immovable property which has been acquired or allotted as an original allottee, duly certified by the official allotment authority."]</w:t>
      </w:r>
    </w:p>
  </w:footnote>
  <w:footnote w:id="1517">
    <w:p w:rsidR="00BF2117" w:rsidRPr="00EA56E0" w:rsidRDefault="00BF2117">
      <w:pPr>
        <w:pStyle w:val="FootnoteText"/>
        <w:rPr>
          <w:sz w:val="16"/>
          <w:szCs w:val="16"/>
          <w:lang w:val="en-US"/>
        </w:rPr>
      </w:pPr>
      <w:r w:rsidRPr="00EA56E0">
        <w:rPr>
          <w:rStyle w:val="FootnoteReference"/>
          <w:sz w:val="16"/>
          <w:szCs w:val="16"/>
        </w:rPr>
        <w:footnoteRef/>
      </w:r>
      <w:r w:rsidRPr="00EA56E0">
        <w:rPr>
          <w:sz w:val="16"/>
          <w:szCs w:val="16"/>
        </w:rPr>
        <w:t xml:space="preserve"> Added by the Finance Act, 2013.</w:t>
      </w:r>
    </w:p>
  </w:footnote>
  <w:footnote w:id="1518">
    <w:p w:rsidR="00BF2117" w:rsidRPr="00EA56E0" w:rsidRDefault="00BF2117" w:rsidP="00CE7473">
      <w:pPr>
        <w:pStyle w:val="FootnoteText"/>
        <w:rPr>
          <w:sz w:val="16"/>
          <w:szCs w:val="16"/>
          <w:lang w:val="en-US"/>
        </w:rPr>
      </w:pPr>
      <w:r w:rsidRPr="00EA56E0">
        <w:rPr>
          <w:rStyle w:val="FootnoteReference"/>
          <w:sz w:val="16"/>
          <w:szCs w:val="16"/>
        </w:rPr>
        <w:footnoteRef/>
      </w:r>
      <w:r w:rsidRPr="00EA56E0">
        <w:rPr>
          <w:sz w:val="16"/>
          <w:szCs w:val="16"/>
        </w:rPr>
        <w:t xml:space="preserve"> Added by the Finance Act, 2013.</w:t>
      </w:r>
    </w:p>
  </w:footnote>
  <w:footnote w:id="1519">
    <w:p w:rsidR="00BF2117" w:rsidRPr="0009763F" w:rsidRDefault="00BF2117">
      <w:pPr>
        <w:pStyle w:val="FootnoteText"/>
        <w:rPr>
          <w:color w:val="0070C0"/>
          <w:sz w:val="16"/>
          <w:szCs w:val="16"/>
        </w:rPr>
      </w:pPr>
      <w:r w:rsidRPr="0009763F">
        <w:rPr>
          <w:rStyle w:val="FootnoteReference"/>
          <w:color w:val="0070C0"/>
          <w:sz w:val="16"/>
          <w:szCs w:val="16"/>
        </w:rPr>
        <w:footnoteRef/>
      </w:r>
      <w:r w:rsidRPr="0009763F">
        <w:rPr>
          <w:color w:val="0070C0"/>
          <w:sz w:val="16"/>
          <w:szCs w:val="16"/>
        </w:rPr>
        <w:t xml:space="preserve"> Section 236E omitted by the Finance Act, 2016. The omitted section read as follows:-</w:t>
      </w:r>
    </w:p>
    <w:p w:rsidR="00BF2117" w:rsidRPr="0009763F" w:rsidRDefault="00BF2117" w:rsidP="006278C1">
      <w:pPr>
        <w:jc w:val="both"/>
        <w:rPr>
          <w:rFonts w:cs="Arial"/>
          <w:color w:val="000000" w:themeColor="text1"/>
          <w:sz w:val="16"/>
          <w:szCs w:val="16"/>
        </w:rPr>
      </w:pPr>
      <w:r w:rsidRPr="0009763F">
        <w:rPr>
          <w:rFonts w:cs="Arial"/>
          <w:b/>
          <w:color w:val="000000" w:themeColor="text1"/>
          <w:sz w:val="16"/>
          <w:szCs w:val="16"/>
        </w:rPr>
        <w:t>“236E. Advance tax on foreign-produced TV plays and serials.</w:t>
      </w:r>
      <w:r w:rsidRPr="0009763F">
        <w:rPr>
          <w:rFonts w:cs="Arial"/>
          <w:color w:val="000000" w:themeColor="text1"/>
          <w:sz w:val="16"/>
          <w:szCs w:val="16"/>
        </w:rPr>
        <w:t>— (1) Any licensing authority certifying any foreign TV drama serial or a play dubbed in Urdu or any other regional language, for screening and viewing on any landing rights channel, shall collect advance tax at the rates specified in Division XII of Part IV of the First Schedule.</w:t>
      </w:r>
    </w:p>
    <w:p w:rsidR="00BF2117" w:rsidRPr="00676069" w:rsidRDefault="00BF2117" w:rsidP="009C12FD">
      <w:pPr>
        <w:jc w:val="both"/>
        <w:rPr>
          <w:color w:val="FF0066"/>
          <w:sz w:val="16"/>
          <w:szCs w:val="16"/>
          <w:lang w:val="en-US"/>
        </w:rPr>
      </w:pPr>
      <w:r w:rsidRPr="0009763F">
        <w:rPr>
          <w:rFonts w:cs="Arial"/>
          <w:color w:val="000000" w:themeColor="text1"/>
          <w:sz w:val="16"/>
          <w:szCs w:val="16"/>
        </w:rPr>
        <w:tab/>
        <w:t xml:space="preserve">(2) </w:t>
      </w:r>
      <w:r w:rsidRPr="0009763F">
        <w:rPr>
          <w:rFonts w:cs="Arial"/>
          <w:color w:val="000000" w:themeColor="text1"/>
          <w:sz w:val="16"/>
          <w:szCs w:val="16"/>
        </w:rPr>
        <w:tab/>
        <w:t>The advance tax collected under sub-section (1) shall be adjustable.”</w:t>
      </w:r>
    </w:p>
  </w:footnote>
  <w:footnote w:id="1520">
    <w:p w:rsidR="00BF2117" w:rsidRPr="00EA56E0" w:rsidRDefault="00BF2117" w:rsidP="00CE7473">
      <w:pPr>
        <w:pStyle w:val="FootnoteText"/>
        <w:rPr>
          <w:sz w:val="16"/>
          <w:szCs w:val="16"/>
          <w:lang w:val="en-US"/>
        </w:rPr>
      </w:pPr>
      <w:r w:rsidRPr="00EA56E0">
        <w:rPr>
          <w:rStyle w:val="FootnoteReference"/>
          <w:sz w:val="16"/>
          <w:szCs w:val="16"/>
        </w:rPr>
        <w:footnoteRef/>
      </w:r>
      <w:r w:rsidRPr="00EA56E0">
        <w:rPr>
          <w:sz w:val="16"/>
          <w:szCs w:val="16"/>
        </w:rPr>
        <w:t xml:space="preserve"> Added by the Finance Act, 2013.</w:t>
      </w:r>
    </w:p>
  </w:footnote>
  <w:footnote w:id="1521">
    <w:p w:rsidR="00BF2117" w:rsidRPr="00EA56E0" w:rsidRDefault="00BF2117" w:rsidP="00CE7473">
      <w:pPr>
        <w:pStyle w:val="FootnoteText"/>
        <w:rPr>
          <w:sz w:val="16"/>
          <w:szCs w:val="16"/>
          <w:lang w:val="en-US"/>
        </w:rPr>
      </w:pPr>
      <w:r w:rsidRPr="00EA56E0">
        <w:rPr>
          <w:rStyle w:val="FootnoteReference"/>
          <w:sz w:val="16"/>
          <w:szCs w:val="16"/>
        </w:rPr>
        <w:footnoteRef/>
      </w:r>
      <w:r w:rsidRPr="00EA56E0">
        <w:rPr>
          <w:sz w:val="16"/>
          <w:szCs w:val="16"/>
        </w:rPr>
        <w:t xml:space="preserve"> Added by the Finance Act, 2013.</w:t>
      </w:r>
    </w:p>
  </w:footnote>
  <w:footnote w:id="1522">
    <w:p w:rsidR="00BF2117" w:rsidRPr="00EA56E0" w:rsidRDefault="00BF2117" w:rsidP="00CE7473">
      <w:pPr>
        <w:pStyle w:val="FootnoteText"/>
        <w:rPr>
          <w:sz w:val="16"/>
          <w:szCs w:val="16"/>
          <w:lang w:val="en-US"/>
        </w:rPr>
      </w:pPr>
      <w:r w:rsidRPr="00EA56E0">
        <w:rPr>
          <w:rStyle w:val="FootnoteReference"/>
          <w:sz w:val="16"/>
          <w:szCs w:val="16"/>
        </w:rPr>
        <w:footnoteRef/>
      </w:r>
      <w:r w:rsidRPr="00EA56E0">
        <w:rPr>
          <w:sz w:val="16"/>
          <w:szCs w:val="16"/>
        </w:rPr>
        <w:t xml:space="preserve"> Added by the Finance Act, 2013.</w:t>
      </w:r>
    </w:p>
  </w:footnote>
  <w:footnote w:id="1523">
    <w:p w:rsidR="00BF2117" w:rsidRPr="008F34EC" w:rsidRDefault="00BF2117">
      <w:pPr>
        <w:pStyle w:val="FootnoteText"/>
        <w:rPr>
          <w:sz w:val="16"/>
          <w:szCs w:val="16"/>
          <w:lang w:val="en-US"/>
        </w:rPr>
      </w:pPr>
      <w:r w:rsidRPr="008F34EC">
        <w:rPr>
          <w:rStyle w:val="FootnoteReference"/>
          <w:sz w:val="16"/>
          <w:szCs w:val="16"/>
        </w:rPr>
        <w:footnoteRef/>
      </w:r>
      <w:r>
        <w:rPr>
          <w:sz w:val="16"/>
          <w:szCs w:val="16"/>
        </w:rPr>
        <w:t>The word and comma “fertilizer,” substituted by the Finance Act, 2015.</w:t>
      </w:r>
    </w:p>
  </w:footnote>
  <w:footnote w:id="1524">
    <w:p w:rsidR="00BF2117" w:rsidRPr="00475639" w:rsidRDefault="00BF2117">
      <w:pPr>
        <w:pStyle w:val="FootnoteText"/>
        <w:rPr>
          <w:sz w:val="16"/>
          <w:szCs w:val="16"/>
          <w:lang w:val="en-US"/>
        </w:rPr>
      </w:pPr>
      <w:r w:rsidRPr="00475639">
        <w:rPr>
          <w:rStyle w:val="FootnoteReference"/>
          <w:sz w:val="16"/>
          <w:szCs w:val="16"/>
        </w:rPr>
        <w:footnoteRef/>
      </w:r>
      <w:r>
        <w:rPr>
          <w:sz w:val="16"/>
          <w:szCs w:val="16"/>
        </w:rPr>
        <w:t>Inserted by the Finance Act, 2015.</w:t>
      </w:r>
    </w:p>
  </w:footnote>
  <w:footnote w:id="1525">
    <w:p w:rsidR="00BF2117" w:rsidRPr="00EA56E0" w:rsidRDefault="00BF2117" w:rsidP="00CE7473">
      <w:pPr>
        <w:pStyle w:val="FootnoteText"/>
        <w:rPr>
          <w:sz w:val="16"/>
          <w:szCs w:val="16"/>
          <w:lang w:val="en-US"/>
        </w:rPr>
      </w:pPr>
      <w:r w:rsidRPr="00EA56E0">
        <w:rPr>
          <w:rStyle w:val="FootnoteReference"/>
          <w:sz w:val="16"/>
          <w:szCs w:val="16"/>
        </w:rPr>
        <w:footnoteRef/>
      </w:r>
      <w:r w:rsidRPr="00EA56E0">
        <w:rPr>
          <w:sz w:val="16"/>
          <w:szCs w:val="16"/>
        </w:rPr>
        <w:t xml:space="preserve"> Added by the Finance Act, 2013.</w:t>
      </w:r>
    </w:p>
  </w:footnote>
  <w:footnote w:id="1526">
    <w:p w:rsidR="00BF2117" w:rsidRPr="00BF036C" w:rsidRDefault="00BF2117">
      <w:pPr>
        <w:pStyle w:val="FootnoteText"/>
        <w:rPr>
          <w:sz w:val="16"/>
          <w:szCs w:val="16"/>
          <w:lang w:val="en-US"/>
        </w:rPr>
      </w:pPr>
      <w:r w:rsidRPr="00BF036C">
        <w:rPr>
          <w:rStyle w:val="FootnoteReference"/>
          <w:sz w:val="16"/>
          <w:szCs w:val="16"/>
        </w:rPr>
        <w:footnoteRef/>
      </w:r>
      <w:r w:rsidRPr="00BF036C">
        <w:rPr>
          <w:sz w:val="16"/>
          <w:szCs w:val="16"/>
          <w:lang w:val="en-US"/>
        </w:rPr>
        <w:t>Added by the Finance Act, 2015.</w:t>
      </w:r>
    </w:p>
  </w:footnote>
  <w:footnote w:id="1527">
    <w:p w:rsidR="00BF2117" w:rsidRPr="00EA56E0" w:rsidRDefault="00BF2117" w:rsidP="00CE7473">
      <w:pPr>
        <w:pStyle w:val="FootnoteText"/>
        <w:rPr>
          <w:sz w:val="16"/>
          <w:szCs w:val="16"/>
          <w:lang w:val="en-US"/>
        </w:rPr>
      </w:pPr>
      <w:r w:rsidRPr="00EA56E0">
        <w:rPr>
          <w:rStyle w:val="FootnoteReference"/>
          <w:sz w:val="16"/>
          <w:szCs w:val="16"/>
        </w:rPr>
        <w:footnoteRef/>
      </w:r>
      <w:r w:rsidRPr="00EA56E0">
        <w:rPr>
          <w:sz w:val="16"/>
          <w:szCs w:val="16"/>
        </w:rPr>
        <w:t xml:space="preserve"> Added by the Finance Act, 2013.</w:t>
      </w:r>
    </w:p>
  </w:footnote>
  <w:footnote w:id="1528">
    <w:p w:rsidR="00BF2117" w:rsidRPr="001B3020" w:rsidRDefault="00BF2117">
      <w:pPr>
        <w:pStyle w:val="FootnoteText"/>
        <w:rPr>
          <w:color w:val="000000" w:themeColor="text1"/>
          <w:sz w:val="16"/>
          <w:szCs w:val="16"/>
          <w:lang w:val="en-US"/>
        </w:rPr>
      </w:pPr>
      <w:r w:rsidRPr="001B3020">
        <w:rPr>
          <w:rStyle w:val="FootnoteReference"/>
          <w:color w:val="000000" w:themeColor="text1"/>
          <w:sz w:val="16"/>
          <w:szCs w:val="16"/>
        </w:rPr>
        <w:footnoteRef/>
      </w:r>
      <w:r w:rsidRPr="001B3020">
        <w:rPr>
          <w:color w:val="000000" w:themeColor="text1"/>
          <w:sz w:val="16"/>
          <w:szCs w:val="16"/>
        </w:rPr>
        <w:t xml:space="preserve"> Sections 236K, 236L, 236M and 236N inserted by the Finance Act, 2014.</w:t>
      </w:r>
    </w:p>
  </w:footnote>
  <w:footnote w:id="1529">
    <w:p w:rsidR="00BF2117" w:rsidRDefault="00BF2117" w:rsidP="008C421E">
      <w:pPr>
        <w:jc w:val="both"/>
        <w:rPr>
          <w:rFonts w:cs="Arial"/>
          <w:color w:val="00B0F0"/>
          <w:sz w:val="22"/>
          <w:szCs w:val="22"/>
        </w:rPr>
      </w:pPr>
      <w:r w:rsidRPr="008C421E">
        <w:rPr>
          <w:rStyle w:val="FootnoteReference"/>
          <w:sz w:val="16"/>
          <w:szCs w:val="16"/>
        </w:rPr>
        <w:footnoteRef/>
      </w:r>
      <w:r>
        <w:rPr>
          <w:sz w:val="16"/>
          <w:szCs w:val="16"/>
        </w:rPr>
        <w:t>Sub-section (3) omitted by the Finance Act, 2015. The omitted sub-section (3) read as follows:-</w:t>
      </w:r>
    </w:p>
    <w:p w:rsidR="00BF2117" w:rsidRPr="008C421E" w:rsidRDefault="00BF2117" w:rsidP="001B5B2B">
      <w:pPr>
        <w:ind w:left="1094" w:hanging="547"/>
        <w:jc w:val="both"/>
        <w:rPr>
          <w:sz w:val="16"/>
          <w:szCs w:val="16"/>
          <w:lang w:val="en-US"/>
        </w:rPr>
      </w:pPr>
      <w:r w:rsidRPr="008C421E">
        <w:rPr>
          <w:rFonts w:cs="Arial"/>
          <w:color w:val="000000" w:themeColor="text1"/>
          <w:sz w:val="22"/>
          <w:szCs w:val="22"/>
        </w:rPr>
        <w:t>“</w:t>
      </w:r>
      <w:r w:rsidRPr="008C421E">
        <w:rPr>
          <w:rFonts w:cs="Arial"/>
          <w:color w:val="000000" w:themeColor="text1"/>
          <w:sz w:val="16"/>
          <w:szCs w:val="16"/>
        </w:rPr>
        <w:t>(3)</w:t>
      </w:r>
      <w:r w:rsidRPr="008C421E">
        <w:rPr>
          <w:rFonts w:cs="Arial"/>
          <w:color w:val="000000" w:themeColor="text1"/>
          <w:sz w:val="16"/>
          <w:szCs w:val="16"/>
        </w:rPr>
        <w:tab/>
        <w:t>The advance tax under this section shall not be collected in the case of the Federal Government, a Provincial Government, a Local Government or a foreign diplomatic mission in Pakistan.</w:t>
      </w:r>
      <w:r>
        <w:rPr>
          <w:rFonts w:cs="Arial"/>
          <w:color w:val="000000" w:themeColor="text1"/>
          <w:sz w:val="16"/>
          <w:szCs w:val="16"/>
        </w:rPr>
        <w:t>”</w:t>
      </w:r>
    </w:p>
  </w:footnote>
  <w:footnote w:id="1530">
    <w:p w:rsidR="00BF2117" w:rsidRPr="00C35649" w:rsidRDefault="00BF2117">
      <w:pPr>
        <w:pStyle w:val="FootnoteText"/>
        <w:rPr>
          <w:sz w:val="16"/>
          <w:szCs w:val="16"/>
          <w:lang w:val="en-US"/>
        </w:rPr>
      </w:pPr>
      <w:r w:rsidRPr="00C35649">
        <w:rPr>
          <w:rStyle w:val="FootnoteReference"/>
          <w:sz w:val="16"/>
          <w:szCs w:val="16"/>
        </w:rPr>
        <w:footnoteRef/>
      </w:r>
      <w:r>
        <w:rPr>
          <w:sz w:val="16"/>
          <w:szCs w:val="16"/>
        </w:rPr>
        <w:t>Full stop substituted by the finance Act, 2015.</w:t>
      </w:r>
    </w:p>
  </w:footnote>
  <w:footnote w:id="1531">
    <w:p w:rsidR="00BF2117" w:rsidRPr="00C35649" w:rsidRDefault="00BF2117">
      <w:pPr>
        <w:pStyle w:val="FootnoteText"/>
        <w:rPr>
          <w:sz w:val="16"/>
          <w:szCs w:val="16"/>
          <w:lang w:val="en-US"/>
        </w:rPr>
      </w:pPr>
      <w:r w:rsidRPr="00C35649">
        <w:rPr>
          <w:rStyle w:val="FootnoteReference"/>
          <w:sz w:val="16"/>
          <w:szCs w:val="16"/>
        </w:rPr>
        <w:footnoteRef/>
      </w:r>
      <w:r w:rsidRPr="00C35649">
        <w:rPr>
          <w:sz w:val="16"/>
          <w:szCs w:val="16"/>
          <w:lang w:val="en-US"/>
        </w:rPr>
        <w:t>Added by the Finance Act, 2015.</w:t>
      </w:r>
    </w:p>
  </w:footnote>
  <w:footnote w:id="1532">
    <w:p w:rsidR="00BF2117" w:rsidRPr="007203D0" w:rsidRDefault="00BF2117">
      <w:pPr>
        <w:pStyle w:val="FootnoteText"/>
        <w:rPr>
          <w:sz w:val="16"/>
          <w:szCs w:val="16"/>
          <w:lang w:val="en-US"/>
        </w:rPr>
      </w:pPr>
      <w:r w:rsidRPr="007203D0">
        <w:rPr>
          <w:rStyle w:val="FootnoteReference"/>
          <w:sz w:val="16"/>
          <w:szCs w:val="16"/>
        </w:rPr>
        <w:footnoteRef/>
      </w:r>
      <w:r>
        <w:rPr>
          <w:sz w:val="16"/>
          <w:szCs w:val="16"/>
        </w:rPr>
        <w:t xml:space="preserve">Section “236O” inserted </w:t>
      </w:r>
      <w:r w:rsidRPr="007203D0">
        <w:rPr>
          <w:sz w:val="16"/>
          <w:szCs w:val="16"/>
          <w:lang w:val="en-US"/>
        </w:rPr>
        <w:t>by the Finance Act, 2015</w:t>
      </w:r>
      <w:r>
        <w:rPr>
          <w:sz w:val="16"/>
          <w:szCs w:val="16"/>
          <w:lang w:val="en-US"/>
        </w:rPr>
        <w:t>.</w:t>
      </w:r>
    </w:p>
  </w:footnote>
  <w:footnote w:id="1533">
    <w:p w:rsidR="00BF2117" w:rsidRPr="00841C6F" w:rsidRDefault="00BF2117" w:rsidP="00841C6F">
      <w:pPr>
        <w:pStyle w:val="FootnoteText"/>
        <w:ind w:left="180" w:hanging="180"/>
        <w:rPr>
          <w:color w:val="FF0000"/>
          <w:sz w:val="16"/>
          <w:szCs w:val="16"/>
          <w:lang w:val="en-US"/>
        </w:rPr>
      </w:pPr>
      <w:r w:rsidRPr="0009763F">
        <w:rPr>
          <w:rStyle w:val="FootnoteReference"/>
          <w:color w:val="0070C0"/>
          <w:sz w:val="16"/>
          <w:szCs w:val="16"/>
        </w:rPr>
        <w:footnoteRef/>
      </w:r>
      <w:r w:rsidRPr="0009763F">
        <w:rPr>
          <w:color w:val="0070C0"/>
          <w:sz w:val="16"/>
          <w:szCs w:val="16"/>
        </w:rPr>
        <w:t xml:space="preserve"> The words “</w:t>
      </w:r>
      <w:r w:rsidRPr="0009763F">
        <w:rPr>
          <w:rFonts w:cs="Arial"/>
          <w:color w:val="0070C0"/>
          <w:sz w:val="16"/>
          <w:szCs w:val="16"/>
          <w:lang w:val="en-US"/>
        </w:rPr>
        <w:t>in the case of withdrawals made by” substituted by the Finance Act, 2016</w:t>
      </w:r>
      <w:r w:rsidRPr="00841C6F">
        <w:rPr>
          <w:rFonts w:cs="Arial"/>
          <w:color w:val="FF0000"/>
          <w:sz w:val="16"/>
          <w:szCs w:val="16"/>
          <w:lang w:val="en-US"/>
        </w:rPr>
        <w:t>.</w:t>
      </w:r>
    </w:p>
  </w:footnote>
  <w:footnote w:id="1534">
    <w:p w:rsidR="00BF2117" w:rsidRPr="008C37A3" w:rsidRDefault="00BF2117">
      <w:pPr>
        <w:pStyle w:val="FootnoteText"/>
        <w:rPr>
          <w:lang w:val="en-US"/>
        </w:rPr>
      </w:pPr>
      <w:r>
        <w:rPr>
          <w:rStyle w:val="FootnoteReference"/>
        </w:rPr>
        <w:footnoteRef/>
      </w:r>
      <w:r>
        <w:rPr>
          <w:sz w:val="16"/>
          <w:szCs w:val="16"/>
        </w:rPr>
        <w:t xml:space="preserve">Section “236P” inserted </w:t>
      </w:r>
      <w:r w:rsidRPr="007203D0">
        <w:rPr>
          <w:sz w:val="16"/>
          <w:szCs w:val="16"/>
          <w:lang w:val="en-US"/>
        </w:rPr>
        <w:t>by the Finance Act, 2015</w:t>
      </w:r>
      <w:r>
        <w:rPr>
          <w:sz w:val="16"/>
          <w:szCs w:val="16"/>
          <w:lang w:val="en-US"/>
        </w:rPr>
        <w:t>.</w:t>
      </w:r>
    </w:p>
  </w:footnote>
  <w:footnote w:id="1535">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Added by the Finance Act, 2016.</w:t>
      </w:r>
    </w:p>
  </w:footnote>
  <w:footnote w:id="1536">
    <w:p w:rsidR="00BF2117" w:rsidRPr="009A5977" w:rsidRDefault="00BF2117" w:rsidP="00B22F00">
      <w:pPr>
        <w:pStyle w:val="FootnoteText"/>
        <w:ind w:left="90" w:hanging="90"/>
        <w:rPr>
          <w:color w:val="000000" w:themeColor="text1"/>
          <w:sz w:val="16"/>
          <w:szCs w:val="16"/>
          <w:lang w:val="en-US"/>
        </w:rPr>
      </w:pPr>
      <w:r w:rsidRPr="009A5977">
        <w:rPr>
          <w:rStyle w:val="FootnoteReference"/>
          <w:color w:val="000000" w:themeColor="text1"/>
          <w:sz w:val="16"/>
          <w:szCs w:val="16"/>
        </w:rPr>
        <w:footnoteRef/>
      </w:r>
      <w:r w:rsidRPr="009A5977">
        <w:rPr>
          <w:color w:val="000000" w:themeColor="text1"/>
          <w:sz w:val="16"/>
          <w:szCs w:val="16"/>
        </w:rPr>
        <w:t xml:space="preserve"> The expression “</w:t>
      </w:r>
      <w:r w:rsidRPr="009A5977">
        <w:rPr>
          <w:rFonts w:cs="Arial"/>
          <w:color w:val="000000" w:themeColor="text1"/>
          <w:sz w:val="16"/>
          <w:szCs w:val="16"/>
          <w:lang w:val="en-US"/>
        </w:rPr>
        <w:t xml:space="preserve">Pakistan Realtime Interbank Settlement Mechanism (PRISM) transactions or” omitted by the </w:t>
      </w:r>
      <w:r w:rsidRPr="009A5977">
        <w:rPr>
          <w:color w:val="000000" w:themeColor="text1"/>
          <w:sz w:val="16"/>
          <w:szCs w:val="16"/>
          <w:lang w:val="en-US"/>
        </w:rPr>
        <w:t>National Assembly Secretariat’s O.M. No.F.22(41)/2015-Legis dated 29.01.2016</w:t>
      </w:r>
      <w:r w:rsidRPr="009A5977">
        <w:rPr>
          <w:rFonts w:cs="Arial"/>
          <w:color w:val="000000" w:themeColor="text1"/>
          <w:sz w:val="16"/>
          <w:szCs w:val="16"/>
          <w:lang w:val="en-US"/>
        </w:rPr>
        <w:t xml:space="preserve">.  </w:t>
      </w:r>
    </w:p>
  </w:footnote>
  <w:footnote w:id="1537">
    <w:p w:rsidR="00BF2117" w:rsidRPr="0049357E" w:rsidRDefault="00BF2117">
      <w:pPr>
        <w:pStyle w:val="FootnoteText"/>
        <w:rPr>
          <w:lang w:val="en-US"/>
        </w:rPr>
      </w:pPr>
      <w:r w:rsidRPr="00B22F00">
        <w:rPr>
          <w:rStyle w:val="FootnoteReference"/>
          <w:sz w:val="16"/>
          <w:szCs w:val="16"/>
        </w:rPr>
        <w:footnoteRef/>
      </w:r>
      <w:r>
        <w:rPr>
          <w:sz w:val="16"/>
          <w:szCs w:val="16"/>
        </w:rPr>
        <w:t xml:space="preserve"> </w:t>
      </w:r>
      <w:r w:rsidRPr="00B22F00">
        <w:rPr>
          <w:sz w:val="16"/>
          <w:szCs w:val="16"/>
        </w:rPr>
        <w:t xml:space="preserve">Section “236Q” inserted </w:t>
      </w:r>
      <w:r w:rsidRPr="00B22F00">
        <w:rPr>
          <w:sz w:val="16"/>
          <w:szCs w:val="16"/>
          <w:lang w:val="en-US"/>
        </w:rPr>
        <w:t>by the Finance Act, 2015.</w:t>
      </w:r>
    </w:p>
  </w:footnote>
  <w:footnote w:id="1538">
    <w:p w:rsidR="00BF2117" w:rsidRPr="0049357E" w:rsidRDefault="00BF2117">
      <w:pPr>
        <w:pStyle w:val="FootnoteText"/>
        <w:rPr>
          <w:lang w:val="en-US"/>
        </w:rPr>
      </w:pPr>
      <w:r>
        <w:rPr>
          <w:rStyle w:val="FootnoteReference"/>
        </w:rPr>
        <w:footnoteRef/>
      </w:r>
      <w:r>
        <w:rPr>
          <w:sz w:val="16"/>
          <w:szCs w:val="16"/>
        </w:rPr>
        <w:t xml:space="preserve">Section “236R” inserted </w:t>
      </w:r>
      <w:r w:rsidRPr="007203D0">
        <w:rPr>
          <w:sz w:val="16"/>
          <w:szCs w:val="16"/>
          <w:lang w:val="en-US"/>
        </w:rPr>
        <w:t>by the Finance Act, 2015</w:t>
      </w:r>
      <w:r>
        <w:rPr>
          <w:sz w:val="16"/>
          <w:szCs w:val="16"/>
          <w:lang w:val="en-US"/>
        </w:rPr>
        <w:t>.</w:t>
      </w:r>
    </w:p>
  </w:footnote>
  <w:footnote w:id="1539">
    <w:p w:rsidR="00BF2117" w:rsidRPr="0049357E" w:rsidRDefault="00BF2117">
      <w:pPr>
        <w:pStyle w:val="FootnoteText"/>
        <w:rPr>
          <w:lang w:val="en-US"/>
        </w:rPr>
      </w:pPr>
      <w:r>
        <w:rPr>
          <w:rStyle w:val="FootnoteReference"/>
        </w:rPr>
        <w:footnoteRef/>
      </w:r>
      <w:r>
        <w:rPr>
          <w:sz w:val="16"/>
          <w:szCs w:val="16"/>
        </w:rPr>
        <w:t xml:space="preserve">Section “236S” inserted </w:t>
      </w:r>
      <w:r w:rsidRPr="007203D0">
        <w:rPr>
          <w:sz w:val="16"/>
          <w:szCs w:val="16"/>
          <w:lang w:val="en-US"/>
        </w:rPr>
        <w:t>by the Finance Act, 2015</w:t>
      </w:r>
      <w:r>
        <w:rPr>
          <w:sz w:val="16"/>
          <w:szCs w:val="16"/>
          <w:lang w:val="en-US"/>
        </w:rPr>
        <w:t>.</w:t>
      </w:r>
    </w:p>
  </w:footnote>
  <w:footnote w:id="1540">
    <w:p w:rsidR="00BF2117" w:rsidRPr="0049357E" w:rsidRDefault="00BF2117">
      <w:pPr>
        <w:pStyle w:val="FootnoteText"/>
        <w:rPr>
          <w:lang w:val="en-US"/>
        </w:rPr>
      </w:pPr>
      <w:r>
        <w:rPr>
          <w:rStyle w:val="FootnoteReference"/>
        </w:rPr>
        <w:footnoteRef/>
      </w:r>
      <w:r>
        <w:rPr>
          <w:sz w:val="16"/>
          <w:szCs w:val="16"/>
        </w:rPr>
        <w:t xml:space="preserve">Section “236T” inserted </w:t>
      </w:r>
      <w:r w:rsidRPr="007203D0">
        <w:rPr>
          <w:sz w:val="16"/>
          <w:szCs w:val="16"/>
          <w:lang w:val="en-US"/>
        </w:rPr>
        <w:t>by the Finance Act, 2015</w:t>
      </w:r>
      <w:r>
        <w:rPr>
          <w:sz w:val="16"/>
          <w:szCs w:val="16"/>
          <w:lang w:val="en-US"/>
        </w:rPr>
        <w:t>.</w:t>
      </w:r>
    </w:p>
  </w:footnote>
  <w:footnote w:id="1541">
    <w:p w:rsidR="00BF2117" w:rsidRPr="0009763F" w:rsidRDefault="00BF2117">
      <w:pPr>
        <w:pStyle w:val="FootnoteText"/>
        <w:rPr>
          <w:color w:val="0070C0"/>
          <w:sz w:val="16"/>
          <w:szCs w:val="16"/>
        </w:rPr>
      </w:pPr>
      <w:r w:rsidRPr="0009763F">
        <w:rPr>
          <w:rStyle w:val="FootnoteReference"/>
          <w:color w:val="0070C0"/>
          <w:sz w:val="16"/>
          <w:szCs w:val="16"/>
        </w:rPr>
        <w:footnoteRef/>
      </w:r>
      <w:r w:rsidRPr="0009763F">
        <w:rPr>
          <w:color w:val="0070C0"/>
          <w:sz w:val="16"/>
          <w:szCs w:val="16"/>
        </w:rPr>
        <w:t xml:space="preserve"> Section “236T” omitted by the Finance Act, 2016. Omitted section read as follows:-</w:t>
      </w:r>
    </w:p>
    <w:p w:rsidR="00BF2117" w:rsidRPr="0009763F" w:rsidRDefault="00BF2117" w:rsidP="00241F24">
      <w:pPr>
        <w:autoSpaceDE w:val="0"/>
        <w:autoSpaceDN w:val="0"/>
        <w:adjustRightInd w:val="0"/>
        <w:jc w:val="both"/>
        <w:rPr>
          <w:rFonts w:cs="Arial"/>
          <w:color w:val="000000" w:themeColor="text1"/>
          <w:sz w:val="16"/>
          <w:szCs w:val="16"/>
          <w:lang w:val="en-US"/>
        </w:rPr>
      </w:pPr>
      <w:r w:rsidRPr="0009763F">
        <w:rPr>
          <w:rFonts w:cs="Arial"/>
          <w:b/>
          <w:bCs/>
          <w:color w:val="000000" w:themeColor="text1"/>
          <w:sz w:val="16"/>
          <w:szCs w:val="16"/>
          <w:lang w:val="en-US"/>
        </w:rPr>
        <w:t>“236T</w:t>
      </w:r>
      <w:r w:rsidRPr="0009763F">
        <w:rPr>
          <w:rFonts w:cs="Arial"/>
          <w:color w:val="000000" w:themeColor="text1"/>
          <w:sz w:val="16"/>
          <w:szCs w:val="16"/>
          <w:lang w:val="en-US"/>
        </w:rPr>
        <w:t xml:space="preserve">. </w:t>
      </w:r>
      <w:r w:rsidRPr="0009763F">
        <w:rPr>
          <w:rFonts w:cs="Arial"/>
          <w:b/>
          <w:bCs/>
          <w:color w:val="000000" w:themeColor="text1"/>
          <w:sz w:val="16"/>
          <w:szCs w:val="16"/>
          <w:lang w:val="en-US"/>
        </w:rPr>
        <w:t>Collection of tax by Pakistan Mercantile Exchange Limited (PMEX).</w:t>
      </w:r>
      <w:r w:rsidRPr="0009763F">
        <w:rPr>
          <w:rFonts w:ascii="Arial,Bold" w:hAnsi="Arial,Bold" w:cs="Arial,Bold"/>
          <w:b/>
          <w:bCs/>
          <w:color w:val="000000" w:themeColor="text1"/>
          <w:sz w:val="16"/>
          <w:szCs w:val="16"/>
          <w:lang w:val="en-US"/>
        </w:rPr>
        <w:t>—</w:t>
      </w:r>
      <w:r w:rsidRPr="0009763F">
        <w:rPr>
          <w:rFonts w:cs="Arial"/>
          <w:color w:val="000000" w:themeColor="text1"/>
          <w:sz w:val="16"/>
          <w:szCs w:val="16"/>
          <w:lang w:val="en-US"/>
        </w:rPr>
        <w:t>(1) Pakistan Mercantile Exchange Limited (PMEX) shall collect advance tax—</w:t>
      </w:r>
    </w:p>
    <w:p w:rsidR="00BF2117" w:rsidRPr="0009763F" w:rsidRDefault="00BF2117" w:rsidP="00241F24">
      <w:pPr>
        <w:pStyle w:val="ListParagraph"/>
        <w:numPr>
          <w:ilvl w:val="0"/>
          <w:numId w:val="63"/>
        </w:numPr>
        <w:autoSpaceDE w:val="0"/>
        <w:autoSpaceDN w:val="0"/>
        <w:adjustRightInd w:val="0"/>
        <w:jc w:val="both"/>
        <w:rPr>
          <w:rFonts w:cs="Arial"/>
          <w:color w:val="000000" w:themeColor="text1"/>
          <w:sz w:val="16"/>
          <w:szCs w:val="16"/>
          <w:lang w:val="en-US"/>
        </w:rPr>
      </w:pPr>
      <w:r w:rsidRPr="0009763F">
        <w:rPr>
          <w:rFonts w:cs="Arial"/>
          <w:color w:val="000000" w:themeColor="text1"/>
          <w:sz w:val="16"/>
          <w:szCs w:val="16"/>
          <w:lang w:val="en-US"/>
        </w:rPr>
        <w:t>at the rates specified in Division XXII of Part IV of First Schedule from its members on purchase of futures commodity contracts;</w:t>
      </w:r>
    </w:p>
    <w:p w:rsidR="00BF2117" w:rsidRPr="0009763F" w:rsidRDefault="00BF2117" w:rsidP="00241F24">
      <w:pPr>
        <w:autoSpaceDE w:val="0"/>
        <w:autoSpaceDN w:val="0"/>
        <w:adjustRightInd w:val="0"/>
        <w:ind w:left="907" w:hanging="367"/>
        <w:jc w:val="both"/>
        <w:rPr>
          <w:rFonts w:cs="Arial"/>
          <w:color w:val="000000" w:themeColor="text1"/>
          <w:sz w:val="16"/>
          <w:szCs w:val="16"/>
          <w:lang w:val="en-US"/>
        </w:rPr>
      </w:pPr>
      <w:r w:rsidRPr="0009763F">
        <w:rPr>
          <w:rFonts w:cs="Arial"/>
          <w:color w:val="000000" w:themeColor="text1"/>
          <w:sz w:val="16"/>
          <w:szCs w:val="16"/>
          <w:lang w:val="en-US"/>
        </w:rPr>
        <w:t>(b) at the rates specified in Division XXII of Part IV of First Schedule from its members on sale of futures commodity contracts; and</w:t>
      </w:r>
    </w:p>
    <w:p w:rsidR="00BF2117" w:rsidRPr="00241F24" w:rsidRDefault="00BF2117" w:rsidP="00241F24">
      <w:pPr>
        <w:pStyle w:val="FootnoteText"/>
        <w:ind w:firstLine="0"/>
        <w:rPr>
          <w:color w:val="FF0000"/>
          <w:sz w:val="16"/>
          <w:szCs w:val="16"/>
          <w:lang w:val="en-US"/>
        </w:rPr>
      </w:pPr>
      <w:r w:rsidRPr="0009763F">
        <w:rPr>
          <w:rFonts w:cs="Arial"/>
          <w:color w:val="000000" w:themeColor="text1"/>
          <w:sz w:val="16"/>
          <w:szCs w:val="16"/>
          <w:lang w:val="en-US"/>
        </w:rPr>
        <w:t>(2) The tax collected under clauses (a) and (b) of sub-section (1) shall be an adjustable tax.”]</w:t>
      </w:r>
    </w:p>
  </w:footnote>
  <w:footnote w:id="1542">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Inserted by the Finance Act, 2016.</w:t>
      </w:r>
    </w:p>
  </w:footnote>
  <w:footnote w:id="1543">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Inserted by the Finance Act, 2016.</w:t>
      </w:r>
    </w:p>
  </w:footnote>
  <w:footnote w:id="1544">
    <w:p w:rsidR="00BF2117" w:rsidRPr="006A4F4B" w:rsidRDefault="00BF2117">
      <w:pPr>
        <w:pStyle w:val="FootnoteText"/>
        <w:rPr>
          <w:sz w:val="16"/>
          <w:szCs w:val="16"/>
          <w:lang w:val="en-US"/>
        </w:rPr>
      </w:pPr>
      <w:r w:rsidRPr="00412620">
        <w:rPr>
          <w:rStyle w:val="FootnoteReference"/>
        </w:rPr>
        <w:footnoteRef/>
      </w:r>
      <w:r w:rsidRPr="006A4F4B">
        <w:rPr>
          <w:sz w:val="16"/>
          <w:szCs w:val="16"/>
        </w:rPr>
        <w:t>The words “Central Board of Revenue” substituted by the Finance Act, 2007.</w:t>
      </w:r>
    </w:p>
  </w:footnote>
  <w:footnote w:id="1545">
    <w:p w:rsidR="00BF2117" w:rsidRPr="006A4F4B" w:rsidRDefault="00BF2117">
      <w:pPr>
        <w:pStyle w:val="FootnoteText"/>
        <w:rPr>
          <w:sz w:val="16"/>
          <w:szCs w:val="16"/>
        </w:rPr>
      </w:pPr>
      <w:r w:rsidRPr="006A4F4B">
        <w:rPr>
          <w:rStyle w:val="FootnoteReference"/>
          <w:rFonts w:cs="Arial"/>
          <w:sz w:val="16"/>
          <w:szCs w:val="16"/>
        </w:rPr>
        <w:footnoteRef/>
      </w:r>
      <w:r w:rsidRPr="006A4F4B">
        <w:rPr>
          <w:sz w:val="16"/>
          <w:szCs w:val="16"/>
        </w:rPr>
        <w:t xml:space="preserve"> The word “of” omitted by the Finance Act, 2005.</w:t>
      </w:r>
    </w:p>
  </w:footnote>
  <w:footnote w:id="1546">
    <w:p w:rsidR="00BF2117" w:rsidRPr="006A4F4B" w:rsidRDefault="00BF2117">
      <w:pPr>
        <w:pStyle w:val="FootnoteText"/>
        <w:rPr>
          <w:sz w:val="16"/>
          <w:szCs w:val="16"/>
        </w:rPr>
      </w:pPr>
      <w:r w:rsidRPr="006A4F4B">
        <w:rPr>
          <w:rStyle w:val="FootnoteReference"/>
          <w:rFonts w:cs="Arial"/>
          <w:sz w:val="16"/>
          <w:szCs w:val="16"/>
        </w:rPr>
        <w:footnoteRef/>
      </w:r>
      <w:r w:rsidRPr="006A4F4B">
        <w:rPr>
          <w:sz w:val="16"/>
          <w:szCs w:val="16"/>
        </w:rPr>
        <w:t xml:space="preserve"> Inserted by the Finance Act, 2003.</w:t>
      </w:r>
    </w:p>
  </w:footnote>
  <w:footnote w:id="1547">
    <w:p w:rsidR="00BF2117" w:rsidRPr="006A4F4B" w:rsidRDefault="00BF2117">
      <w:pPr>
        <w:pStyle w:val="FootnoteText"/>
        <w:rPr>
          <w:sz w:val="16"/>
          <w:szCs w:val="16"/>
          <w:lang w:val="en-US"/>
        </w:rPr>
      </w:pPr>
      <w:r w:rsidRPr="006A4F4B">
        <w:rPr>
          <w:rStyle w:val="FootnoteReference"/>
          <w:sz w:val="16"/>
          <w:szCs w:val="16"/>
        </w:rPr>
        <w:footnoteRef/>
      </w:r>
      <w:r w:rsidRPr="006A4F4B">
        <w:rPr>
          <w:sz w:val="16"/>
          <w:szCs w:val="16"/>
          <w:lang w:val="en-US"/>
        </w:rPr>
        <w:t>The words “additional tax ” substituted by the Finance Act, 2010.</w:t>
      </w:r>
    </w:p>
  </w:footnote>
  <w:footnote w:id="1548">
    <w:p w:rsidR="00BF2117" w:rsidRPr="006A4F4B" w:rsidRDefault="00BF2117">
      <w:pPr>
        <w:pStyle w:val="FootnoteText"/>
        <w:rPr>
          <w:sz w:val="16"/>
          <w:szCs w:val="16"/>
        </w:rPr>
      </w:pPr>
      <w:r w:rsidRPr="006A4F4B">
        <w:rPr>
          <w:rStyle w:val="FootnoteReference"/>
          <w:rFonts w:cs="Arial"/>
          <w:sz w:val="16"/>
          <w:szCs w:val="16"/>
        </w:rPr>
        <w:footnoteRef/>
      </w:r>
      <w:r w:rsidRPr="006A4F4B">
        <w:rPr>
          <w:sz w:val="16"/>
          <w:szCs w:val="16"/>
        </w:rPr>
        <w:t xml:space="preserve"> Inserted by the Finance Act, 2003.</w:t>
      </w:r>
    </w:p>
  </w:footnote>
  <w:footnote w:id="1549">
    <w:p w:rsidR="00BF2117" w:rsidRPr="00412620" w:rsidRDefault="00BF2117">
      <w:pPr>
        <w:pStyle w:val="FootnoteText"/>
        <w:rPr>
          <w:sz w:val="16"/>
          <w:lang w:val="en-US"/>
        </w:rPr>
      </w:pPr>
      <w:r w:rsidRPr="00412620">
        <w:rPr>
          <w:rStyle w:val="FootnoteReference"/>
        </w:rPr>
        <w:footnoteRef/>
      </w:r>
      <w:r w:rsidRPr="00412620">
        <w:rPr>
          <w:sz w:val="16"/>
          <w:lang w:val="en-US"/>
        </w:rPr>
        <w:t>Added by the Finance Act, 2008.</w:t>
      </w:r>
    </w:p>
  </w:footnote>
  <w:footnote w:id="1550">
    <w:p w:rsidR="00BF2117" w:rsidRPr="00412620" w:rsidRDefault="00BF2117" w:rsidP="003D0897">
      <w:pPr>
        <w:pStyle w:val="FootnoteText"/>
        <w:keepNext/>
        <w:ind w:left="180" w:hanging="180"/>
        <w:jc w:val="both"/>
        <w:rPr>
          <w:sz w:val="16"/>
        </w:rPr>
      </w:pPr>
      <w:r w:rsidRPr="00412620">
        <w:rPr>
          <w:rStyle w:val="FootnoteReference"/>
          <w:rFonts w:cs="Arial"/>
          <w:sz w:val="16"/>
        </w:rPr>
        <w:footnoteRef/>
      </w:r>
      <w:r w:rsidRPr="00412620">
        <w:rPr>
          <w:sz w:val="16"/>
        </w:rPr>
        <w:t xml:space="preserve"> Sub-section (1) substituted by the Finance Act, 2002. The substituted sub-section (1) read as follows:</w:t>
      </w:r>
    </w:p>
    <w:p w:rsidR="00BF2117" w:rsidRPr="00412620" w:rsidRDefault="00BF2117">
      <w:pPr>
        <w:ind w:left="180" w:firstLine="367"/>
        <w:jc w:val="both"/>
        <w:rPr>
          <w:rFonts w:cs="Arial"/>
          <w:sz w:val="16"/>
        </w:rPr>
      </w:pPr>
      <w:r w:rsidRPr="00412620">
        <w:rPr>
          <w:rFonts w:cs="Arial"/>
          <w:sz w:val="16"/>
        </w:rPr>
        <w:t xml:space="preserve"> “(1) </w:t>
      </w:r>
      <w:r w:rsidRPr="00412620">
        <w:rPr>
          <w:rFonts w:cs="Arial"/>
          <w:sz w:val="16"/>
        </w:rPr>
        <w:tab/>
        <w:t>The repealed Ordinance shall continue to apply to the assessment year ending on the 30</w:t>
      </w:r>
      <w:r w:rsidRPr="00412620">
        <w:rPr>
          <w:rFonts w:cs="Arial"/>
          <w:sz w:val="16"/>
          <w:vertAlign w:val="superscript"/>
        </w:rPr>
        <w:t>th</w:t>
      </w:r>
      <w:r w:rsidRPr="00412620">
        <w:rPr>
          <w:rFonts w:cs="Arial"/>
          <w:sz w:val="16"/>
        </w:rPr>
        <w:t xml:space="preserve"> day of June 2003. “</w:t>
      </w:r>
    </w:p>
  </w:footnote>
  <w:footnote w:id="1551">
    <w:p w:rsidR="00BF2117" w:rsidRPr="006A4F4B" w:rsidRDefault="00BF2117" w:rsidP="00D83553">
      <w:pPr>
        <w:pStyle w:val="FootnoteText"/>
        <w:keepNext/>
        <w:ind w:left="180" w:hanging="180"/>
        <w:jc w:val="both"/>
        <w:rPr>
          <w:sz w:val="16"/>
          <w:szCs w:val="16"/>
        </w:rPr>
      </w:pPr>
      <w:r w:rsidRPr="00412620">
        <w:rPr>
          <w:rStyle w:val="FootnoteReference"/>
          <w:rFonts w:cs="Arial"/>
          <w:sz w:val="16"/>
        </w:rPr>
        <w:footnoteRef/>
      </w:r>
      <w:r w:rsidRPr="006A4F4B">
        <w:rPr>
          <w:sz w:val="16"/>
          <w:szCs w:val="16"/>
        </w:rPr>
        <w:t>Sub-section (2) substituted by the Finance Act, 2002. The substituted sub-section (2) read as follows:</w:t>
      </w:r>
    </w:p>
    <w:p w:rsidR="00BF2117" w:rsidRPr="006A4F4B" w:rsidRDefault="00BF2117">
      <w:pPr>
        <w:ind w:left="180" w:firstLine="367"/>
        <w:jc w:val="both"/>
        <w:rPr>
          <w:rFonts w:cs="Arial"/>
          <w:sz w:val="16"/>
          <w:szCs w:val="16"/>
        </w:rPr>
      </w:pPr>
      <w:r w:rsidRPr="006A4F4B">
        <w:rPr>
          <w:rFonts w:cs="Arial"/>
          <w:sz w:val="16"/>
          <w:szCs w:val="16"/>
        </w:rPr>
        <w:t xml:space="preserve"> “(2)</w:t>
      </w:r>
      <w:r w:rsidRPr="006A4F4B">
        <w:rPr>
          <w:rFonts w:cs="Arial"/>
          <w:sz w:val="16"/>
          <w:szCs w:val="16"/>
        </w:rPr>
        <w:tab/>
        <w:t>In making any assessment in respect of any income year ending on or before the 30</w:t>
      </w:r>
      <w:r w:rsidRPr="006A4F4B">
        <w:rPr>
          <w:rFonts w:cs="Arial"/>
          <w:sz w:val="16"/>
          <w:szCs w:val="16"/>
          <w:vertAlign w:val="superscript"/>
        </w:rPr>
        <w:t>th</w:t>
      </w:r>
      <w:r w:rsidRPr="006A4F4B">
        <w:rPr>
          <w:rFonts w:cs="Arial"/>
          <w:sz w:val="16"/>
          <w:szCs w:val="16"/>
        </w:rPr>
        <w:t xml:space="preserve"> day of June 2002, the provisions of the repealed Ordinance relating to the computation of total income and the tax payable thereon shall apply as if this Ordinance has not come into force.”</w:t>
      </w:r>
    </w:p>
  </w:footnote>
  <w:footnote w:id="1552">
    <w:p w:rsidR="00BF2117" w:rsidRPr="006A4F4B" w:rsidRDefault="00BF2117">
      <w:pPr>
        <w:pStyle w:val="FootnoteText"/>
        <w:ind w:left="180" w:hanging="180"/>
        <w:jc w:val="both"/>
        <w:rPr>
          <w:sz w:val="16"/>
          <w:szCs w:val="16"/>
        </w:rPr>
      </w:pPr>
      <w:r w:rsidRPr="006A4F4B">
        <w:rPr>
          <w:rStyle w:val="FootnoteReference"/>
          <w:rFonts w:cs="Arial"/>
          <w:sz w:val="16"/>
          <w:szCs w:val="16"/>
        </w:rPr>
        <w:footnoteRef/>
      </w:r>
      <w:r w:rsidRPr="006A4F4B">
        <w:rPr>
          <w:sz w:val="16"/>
          <w:szCs w:val="16"/>
        </w:rPr>
        <w:t xml:space="preserve"> Inserted by the Finance Act, 2003. Earlier this was inserted by S.R.O. 633(I)/2002, dated 14.09.2002 which stands rescinded by SRO 608(I)/2003, dated 24.06.2003 with effect from 01.07.2003.</w:t>
      </w:r>
    </w:p>
  </w:footnote>
  <w:footnote w:id="1553">
    <w:p w:rsidR="00BF2117" w:rsidRPr="006A4F4B" w:rsidRDefault="00BF2117" w:rsidP="00D83553">
      <w:pPr>
        <w:keepNext/>
        <w:ind w:left="180" w:hanging="180"/>
        <w:jc w:val="both"/>
        <w:rPr>
          <w:sz w:val="16"/>
          <w:szCs w:val="16"/>
        </w:rPr>
      </w:pPr>
      <w:r w:rsidRPr="006A4F4B">
        <w:rPr>
          <w:rStyle w:val="FootnoteReference"/>
          <w:rFonts w:cs="Arial"/>
          <w:sz w:val="16"/>
          <w:szCs w:val="16"/>
        </w:rPr>
        <w:footnoteRef/>
      </w:r>
      <w:r w:rsidRPr="006A4F4B">
        <w:rPr>
          <w:sz w:val="16"/>
          <w:szCs w:val="16"/>
        </w:rPr>
        <w:t xml:space="preserve"> Sub-section (3) substituted by the Finance Act, 2002. The substituted sub-section (3) read as follows: </w:t>
      </w:r>
    </w:p>
    <w:p w:rsidR="00BF2117" w:rsidRPr="006A4F4B" w:rsidRDefault="00BF2117">
      <w:pPr>
        <w:ind w:left="180" w:firstLine="367"/>
        <w:jc w:val="both"/>
        <w:rPr>
          <w:rFonts w:cs="Arial"/>
          <w:sz w:val="16"/>
          <w:szCs w:val="16"/>
        </w:rPr>
      </w:pPr>
      <w:r w:rsidRPr="006A4F4B">
        <w:rPr>
          <w:rFonts w:cs="Arial"/>
          <w:sz w:val="16"/>
          <w:szCs w:val="16"/>
        </w:rPr>
        <w:t>“(3)</w:t>
      </w:r>
      <w:r w:rsidRPr="006A4F4B">
        <w:rPr>
          <w:rFonts w:cs="Arial"/>
          <w:sz w:val="16"/>
          <w:szCs w:val="16"/>
        </w:rPr>
        <w:tab/>
        <w:t>Where any return of income has been furnished by a person for any assessment year ending on or before the 30</w:t>
      </w:r>
      <w:r w:rsidRPr="006A4F4B">
        <w:rPr>
          <w:rFonts w:cs="Arial"/>
          <w:sz w:val="16"/>
          <w:szCs w:val="16"/>
          <w:vertAlign w:val="superscript"/>
        </w:rPr>
        <w:t>th</w:t>
      </w:r>
      <w:r w:rsidRPr="006A4F4B">
        <w:rPr>
          <w:rFonts w:cs="Arial"/>
          <w:sz w:val="16"/>
          <w:szCs w:val="16"/>
        </w:rPr>
        <w:t xml:space="preserve"> day of June 2003, proceedings for the assessment of the person for that year shall be taken and continued as if this Ordinance has not come into force. “ </w:t>
      </w:r>
    </w:p>
  </w:footnote>
  <w:footnote w:id="1554">
    <w:p w:rsidR="00BF2117" w:rsidRPr="006A4F4B" w:rsidRDefault="00BF2117">
      <w:pPr>
        <w:pStyle w:val="FootnoteText"/>
        <w:rPr>
          <w:sz w:val="16"/>
          <w:szCs w:val="16"/>
        </w:rPr>
      </w:pPr>
      <w:r w:rsidRPr="006A4F4B">
        <w:rPr>
          <w:rStyle w:val="FootnoteReference"/>
          <w:rFonts w:cs="Arial"/>
          <w:sz w:val="16"/>
          <w:szCs w:val="16"/>
        </w:rPr>
        <w:footnoteRef/>
      </w:r>
      <w:r w:rsidRPr="006A4F4B">
        <w:rPr>
          <w:sz w:val="16"/>
          <w:szCs w:val="16"/>
        </w:rPr>
        <w:t xml:space="preserve"> The word “sub-section” substituted by the Finance Act, 2005.</w:t>
      </w:r>
    </w:p>
  </w:footnote>
  <w:footnote w:id="1555">
    <w:p w:rsidR="00BF2117" w:rsidRPr="006A4F4B" w:rsidRDefault="00BF2117" w:rsidP="001562D1">
      <w:pPr>
        <w:pStyle w:val="FootnoteText"/>
        <w:ind w:left="180" w:hanging="180"/>
        <w:jc w:val="both"/>
        <w:rPr>
          <w:sz w:val="16"/>
          <w:szCs w:val="16"/>
          <w:lang w:val="en-US"/>
        </w:rPr>
      </w:pPr>
      <w:r w:rsidRPr="006A4F4B">
        <w:rPr>
          <w:rStyle w:val="FootnoteReference"/>
          <w:sz w:val="16"/>
          <w:szCs w:val="16"/>
        </w:rPr>
        <w:footnoteRef/>
      </w:r>
      <w:r w:rsidRPr="006A4F4B">
        <w:rPr>
          <w:sz w:val="16"/>
          <w:szCs w:val="16"/>
          <w:lang w:val="en-US"/>
        </w:rPr>
        <w:t xml:space="preserve">The words “additional tax” substituted by the Finance Act, 2010. </w:t>
      </w:r>
      <w:r w:rsidRPr="006A4F4B">
        <w:rPr>
          <w:sz w:val="16"/>
          <w:szCs w:val="16"/>
        </w:rPr>
        <w:t>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556">
    <w:p w:rsidR="00BF2117" w:rsidRPr="006A4F4B" w:rsidRDefault="00BF2117">
      <w:pPr>
        <w:pStyle w:val="FootnoteText"/>
        <w:rPr>
          <w:sz w:val="16"/>
          <w:szCs w:val="16"/>
        </w:rPr>
      </w:pPr>
      <w:r w:rsidRPr="006A4F4B">
        <w:rPr>
          <w:rStyle w:val="FootnoteReference"/>
          <w:rFonts w:cs="Arial"/>
          <w:sz w:val="16"/>
          <w:szCs w:val="16"/>
        </w:rPr>
        <w:footnoteRef/>
      </w:r>
      <w:r w:rsidRPr="006A4F4B">
        <w:rPr>
          <w:sz w:val="16"/>
          <w:szCs w:val="16"/>
        </w:rPr>
        <w:t xml:space="preserve"> The words “the imposition of penalty or” omitted by the Finance Act, 2002.</w:t>
      </w:r>
    </w:p>
  </w:footnote>
  <w:footnote w:id="1557">
    <w:p w:rsidR="00BF2117" w:rsidRPr="00412620" w:rsidRDefault="00BF2117" w:rsidP="00A33CE6">
      <w:pPr>
        <w:pStyle w:val="FootnoteText"/>
        <w:ind w:left="180" w:hanging="180"/>
        <w:jc w:val="both"/>
        <w:rPr>
          <w:lang w:val="en-US"/>
        </w:rPr>
      </w:pPr>
      <w:r w:rsidRPr="00412620">
        <w:rPr>
          <w:rStyle w:val="FootnoteReference"/>
        </w:rPr>
        <w:footnoteRef/>
      </w:r>
      <w:r w:rsidRPr="00412620">
        <w:rPr>
          <w:sz w:val="16"/>
          <w:szCs w:val="16"/>
          <w:lang w:val="en-US"/>
        </w:rPr>
        <w:t xml:space="preserve">The words “additional tax” substituted by the Finance Act, 2010. </w:t>
      </w:r>
      <w:r w:rsidRPr="00412620">
        <w:rPr>
          <w:sz w:val="16"/>
          <w:szCs w:val="16"/>
        </w:rPr>
        <w:t>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p>
  </w:footnote>
  <w:footnote w:id="1558">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“provision” substituted by the Finance Act, 2005.</w:t>
      </w:r>
    </w:p>
  </w:footnote>
  <w:footnote w:id="1559">
    <w:p w:rsidR="00BF2117" w:rsidRPr="006A4F4B" w:rsidRDefault="00BF2117" w:rsidP="000B40D0">
      <w:pPr>
        <w:keepNext/>
        <w:ind w:left="180" w:hanging="180"/>
        <w:jc w:val="both"/>
        <w:rPr>
          <w:sz w:val="16"/>
          <w:szCs w:val="16"/>
        </w:rPr>
      </w:pPr>
      <w:r w:rsidRPr="00412620">
        <w:rPr>
          <w:rStyle w:val="FootnoteReference"/>
          <w:rFonts w:cs="Arial"/>
          <w:sz w:val="16"/>
        </w:rPr>
        <w:footnoteRef/>
      </w:r>
      <w:r w:rsidRPr="006A4F4B">
        <w:rPr>
          <w:sz w:val="16"/>
          <w:szCs w:val="16"/>
        </w:rPr>
        <w:t>Sub-section (12) substituted by the Finance Act, 2002. The substituted sub-section (12) read as follows:</w:t>
      </w:r>
    </w:p>
    <w:p w:rsidR="00BF2117" w:rsidRPr="006A4F4B" w:rsidRDefault="00BF2117">
      <w:pPr>
        <w:ind w:left="180" w:firstLine="180"/>
        <w:jc w:val="both"/>
        <w:rPr>
          <w:rFonts w:cs="Arial"/>
          <w:sz w:val="16"/>
          <w:szCs w:val="16"/>
        </w:rPr>
      </w:pPr>
      <w:r w:rsidRPr="006A4F4B">
        <w:rPr>
          <w:rFonts w:cs="Arial"/>
          <w:sz w:val="16"/>
          <w:szCs w:val="16"/>
        </w:rPr>
        <w:t>“(12)</w:t>
      </w:r>
      <w:r w:rsidRPr="006A4F4B">
        <w:rPr>
          <w:rFonts w:cs="Arial"/>
          <w:sz w:val="16"/>
          <w:szCs w:val="16"/>
        </w:rPr>
        <w:tab/>
        <w:t>Clause 77C of Part I of the First Schedule of the repealed Ordinance shall continue to apply to the yield on National Savings Deposit Certificates issued before 1</w:t>
      </w:r>
      <w:r w:rsidRPr="006A4F4B">
        <w:rPr>
          <w:rFonts w:cs="Arial"/>
          <w:sz w:val="16"/>
          <w:szCs w:val="16"/>
          <w:vertAlign w:val="superscript"/>
        </w:rPr>
        <w:t>st</w:t>
      </w:r>
      <w:r w:rsidRPr="006A4F4B">
        <w:rPr>
          <w:rFonts w:cs="Arial"/>
          <w:sz w:val="16"/>
          <w:szCs w:val="16"/>
        </w:rPr>
        <w:t xml:space="preserve"> July, 2001 and a person paying yield on such a Certificate shall not deduct tax under section 151 from the payment.” </w:t>
      </w:r>
    </w:p>
  </w:footnote>
  <w:footnote w:id="1560">
    <w:p w:rsidR="00BF2117" w:rsidRPr="006A4F4B" w:rsidRDefault="00BF2117">
      <w:pPr>
        <w:pStyle w:val="FootnoteText"/>
        <w:rPr>
          <w:sz w:val="16"/>
          <w:szCs w:val="16"/>
        </w:rPr>
      </w:pPr>
      <w:r w:rsidRPr="006A4F4B">
        <w:rPr>
          <w:rStyle w:val="FootnoteReference"/>
          <w:rFonts w:cs="Arial"/>
          <w:sz w:val="16"/>
          <w:szCs w:val="16"/>
        </w:rPr>
        <w:footnoteRef/>
      </w:r>
      <w:r w:rsidRPr="006A4F4B">
        <w:rPr>
          <w:sz w:val="16"/>
          <w:szCs w:val="16"/>
        </w:rPr>
        <w:t xml:space="preserve"> The word “revoked” substituted by the Finance Act, 2005.</w:t>
      </w:r>
    </w:p>
  </w:footnote>
  <w:footnote w:id="1561">
    <w:p w:rsidR="00BF2117" w:rsidRPr="006A4F4B" w:rsidRDefault="00BF2117" w:rsidP="00105829">
      <w:pPr>
        <w:keepNext/>
        <w:ind w:left="180" w:hanging="180"/>
        <w:jc w:val="both"/>
        <w:rPr>
          <w:sz w:val="16"/>
          <w:szCs w:val="16"/>
        </w:rPr>
      </w:pPr>
      <w:r w:rsidRPr="006A4F4B">
        <w:rPr>
          <w:rStyle w:val="FootnoteReference"/>
          <w:rFonts w:cs="Arial"/>
          <w:sz w:val="16"/>
          <w:szCs w:val="16"/>
        </w:rPr>
        <w:footnoteRef/>
      </w:r>
      <w:r w:rsidRPr="006A4F4B">
        <w:rPr>
          <w:sz w:val="16"/>
          <w:szCs w:val="16"/>
        </w:rPr>
        <w:t xml:space="preserve"> Sub-section (13) substituted by the Finance Ordinance, 2002. The substituted sub-section (13) read as follows:</w:t>
      </w:r>
    </w:p>
    <w:p w:rsidR="00BF2117" w:rsidRPr="006A4F4B" w:rsidRDefault="00BF2117" w:rsidP="00105829">
      <w:pPr>
        <w:ind w:left="180" w:firstLine="367"/>
        <w:jc w:val="both"/>
        <w:rPr>
          <w:rFonts w:cs="Arial"/>
          <w:sz w:val="16"/>
          <w:szCs w:val="16"/>
        </w:rPr>
      </w:pPr>
      <w:r w:rsidRPr="006A4F4B">
        <w:rPr>
          <w:rFonts w:cs="Arial"/>
          <w:sz w:val="16"/>
          <w:szCs w:val="16"/>
        </w:rPr>
        <w:t>“ (13)</w:t>
      </w:r>
      <w:r w:rsidRPr="006A4F4B">
        <w:rPr>
          <w:rFonts w:cs="Arial"/>
          <w:sz w:val="16"/>
          <w:szCs w:val="16"/>
        </w:rPr>
        <w:tab/>
        <w:t xml:space="preserve">There is no requirement for the holder of  Certificate to which sub-section (14) applies to acquire an exemption certificate under section 159 to give effect to the exemption.“ </w:t>
      </w:r>
    </w:p>
  </w:footnote>
  <w:footnote w:id="1562">
    <w:p w:rsidR="00BF2117" w:rsidRPr="006A4F4B" w:rsidRDefault="00BF2117">
      <w:pPr>
        <w:pStyle w:val="FootnoteText"/>
        <w:rPr>
          <w:sz w:val="16"/>
          <w:szCs w:val="16"/>
        </w:rPr>
      </w:pPr>
      <w:r w:rsidRPr="006A4F4B">
        <w:rPr>
          <w:rStyle w:val="FootnoteReference"/>
          <w:rFonts w:cs="Arial"/>
          <w:sz w:val="16"/>
          <w:szCs w:val="16"/>
        </w:rPr>
        <w:footnoteRef/>
      </w:r>
      <w:r w:rsidRPr="006A4F4B">
        <w:rPr>
          <w:sz w:val="16"/>
          <w:szCs w:val="16"/>
        </w:rPr>
        <w:t xml:space="preserve"> The word “revoke” substituted by the Finance Act, 2005.</w:t>
      </w:r>
    </w:p>
  </w:footnote>
  <w:footnote w:id="1563">
    <w:p w:rsidR="00BF2117" w:rsidRPr="00AA5E01" w:rsidRDefault="00BF2117" w:rsidP="008901CC">
      <w:pPr>
        <w:pStyle w:val="FootnoteText"/>
        <w:ind w:left="0" w:firstLine="0"/>
        <w:rPr>
          <w:color w:val="000000" w:themeColor="text1"/>
          <w:sz w:val="16"/>
          <w:szCs w:val="16"/>
          <w:lang w:val="en-US"/>
        </w:rPr>
      </w:pPr>
      <w:r w:rsidRPr="00AA5E01">
        <w:rPr>
          <w:rStyle w:val="FootnoteReference"/>
          <w:color w:val="000000" w:themeColor="text1"/>
          <w:sz w:val="16"/>
          <w:szCs w:val="16"/>
        </w:rPr>
        <w:footnoteRef/>
      </w:r>
      <w:r w:rsidRPr="00AA5E01">
        <w:rPr>
          <w:color w:val="000000" w:themeColor="text1"/>
          <w:sz w:val="16"/>
          <w:szCs w:val="16"/>
        </w:rPr>
        <w:t xml:space="preserve"> The words and comma “</w:t>
      </w:r>
      <w:r w:rsidRPr="00AA5E01">
        <w:rPr>
          <w:rFonts w:cs="Arial"/>
          <w:color w:val="000000" w:themeColor="text1"/>
          <w:sz w:val="16"/>
          <w:szCs w:val="16"/>
        </w:rPr>
        <w:t>amended, modified” substituted by the words and comma “amend, modify” by the Finance Act, 2014.</w:t>
      </w:r>
    </w:p>
  </w:footnote>
  <w:footnote w:id="1564">
    <w:p w:rsidR="00BF2117" w:rsidRPr="006A4F4B" w:rsidRDefault="00BF2117" w:rsidP="0044105A">
      <w:pPr>
        <w:pStyle w:val="FootnoteText"/>
        <w:keepNext/>
        <w:ind w:left="180" w:hanging="180"/>
        <w:rPr>
          <w:sz w:val="16"/>
          <w:szCs w:val="16"/>
        </w:rPr>
      </w:pPr>
      <w:r w:rsidRPr="006A4F4B">
        <w:rPr>
          <w:rStyle w:val="FootnoteReference"/>
          <w:rFonts w:cs="Arial"/>
          <w:sz w:val="16"/>
          <w:szCs w:val="16"/>
        </w:rPr>
        <w:footnoteRef/>
      </w:r>
      <w:r w:rsidRPr="006A4F4B">
        <w:rPr>
          <w:sz w:val="16"/>
          <w:szCs w:val="16"/>
        </w:rPr>
        <w:t xml:space="preserve"> Sub-section (14) substituted by the Finance Act, 2003. The substituted sub-section (14) read as follows: </w:t>
      </w:r>
    </w:p>
    <w:p w:rsidR="00BF2117" w:rsidRPr="006A4F4B" w:rsidRDefault="00BF2117" w:rsidP="00105829">
      <w:pPr>
        <w:pStyle w:val="FootnoteText"/>
        <w:ind w:left="180" w:firstLine="367"/>
        <w:jc w:val="both"/>
        <w:rPr>
          <w:sz w:val="16"/>
          <w:szCs w:val="16"/>
        </w:rPr>
      </w:pPr>
      <w:r w:rsidRPr="006A4F4B">
        <w:rPr>
          <w:sz w:val="16"/>
          <w:szCs w:val="16"/>
        </w:rPr>
        <w:t>“ (14)</w:t>
      </w:r>
      <w:r w:rsidRPr="006A4F4B">
        <w:rPr>
          <w:sz w:val="16"/>
          <w:szCs w:val="16"/>
        </w:rPr>
        <w:tab/>
        <w:t>Clause (77C) of Part I of the First Schedule of the repealed Ordinance shall continue to apply to the yield on National Savings Deposit Certificates issued before 1</w:t>
      </w:r>
      <w:r w:rsidRPr="006A4F4B">
        <w:rPr>
          <w:sz w:val="16"/>
          <w:szCs w:val="16"/>
          <w:vertAlign w:val="superscript"/>
        </w:rPr>
        <w:t>st</w:t>
      </w:r>
      <w:r w:rsidRPr="006A4F4B">
        <w:rPr>
          <w:sz w:val="16"/>
          <w:szCs w:val="16"/>
        </w:rPr>
        <w:t xml:space="preserve"> July, 2001, and a person paying yield on such a Certificate shall not deduct tax under section 151 from the payment, and the holder of such Certificate shall not be required to acquire an exemption certificate under section 159 to give effect to the said exemption.</w:t>
      </w:r>
    </w:p>
  </w:footnote>
  <w:footnote w:id="1565">
    <w:p w:rsidR="00BF2117" w:rsidRPr="006A4F4B" w:rsidRDefault="00BF2117">
      <w:pPr>
        <w:pStyle w:val="FootnoteText"/>
        <w:rPr>
          <w:sz w:val="16"/>
          <w:szCs w:val="16"/>
        </w:rPr>
      </w:pPr>
      <w:r w:rsidRPr="006A4F4B">
        <w:rPr>
          <w:rStyle w:val="FootnoteReference"/>
          <w:rFonts w:cs="Arial"/>
          <w:sz w:val="16"/>
          <w:szCs w:val="16"/>
        </w:rPr>
        <w:footnoteRef/>
      </w:r>
      <w:r w:rsidRPr="006A4F4B">
        <w:rPr>
          <w:sz w:val="16"/>
          <w:szCs w:val="16"/>
        </w:rPr>
        <w:t xml:space="preserve"> The word “exceeds” substituted by the Finance Act, 2005.</w:t>
      </w:r>
    </w:p>
  </w:footnote>
  <w:footnote w:id="1566">
    <w:p w:rsidR="00BF2117" w:rsidRPr="006A4F4B" w:rsidRDefault="00BF2117">
      <w:pPr>
        <w:pStyle w:val="FootnoteText"/>
        <w:rPr>
          <w:sz w:val="16"/>
          <w:szCs w:val="16"/>
        </w:rPr>
      </w:pPr>
      <w:r w:rsidRPr="006A4F4B">
        <w:rPr>
          <w:rStyle w:val="FootnoteReference"/>
          <w:rFonts w:cs="Arial"/>
          <w:sz w:val="16"/>
          <w:szCs w:val="16"/>
        </w:rPr>
        <w:footnoteRef/>
      </w:r>
      <w:r w:rsidRPr="006A4F4B">
        <w:rPr>
          <w:sz w:val="16"/>
          <w:szCs w:val="16"/>
        </w:rPr>
        <w:t xml:space="preserve"> The word “until” substituted by the Finance Act, 2002.</w:t>
      </w:r>
    </w:p>
  </w:footnote>
  <w:footnote w:id="1567">
    <w:p w:rsidR="00BF2117" w:rsidRPr="006A4F4B" w:rsidRDefault="00BF2117">
      <w:pPr>
        <w:pStyle w:val="FootnoteText"/>
        <w:keepNext/>
        <w:ind w:left="180" w:hanging="180"/>
        <w:jc w:val="both"/>
        <w:rPr>
          <w:sz w:val="16"/>
          <w:szCs w:val="16"/>
        </w:rPr>
      </w:pPr>
      <w:r w:rsidRPr="00412620">
        <w:rPr>
          <w:rStyle w:val="FootnoteReference"/>
          <w:rFonts w:cs="Arial"/>
          <w:sz w:val="16"/>
        </w:rPr>
        <w:footnoteRef/>
      </w:r>
      <w:r w:rsidRPr="006A4F4B">
        <w:rPr>
          <w:sz w:val="16"/>
          <w:szCs w:val="16"/>
        </w:rPr>
        <w:t xml:space="preserve">Omitted by the Finance Act, 2003. Earlier this was omitted by S.R.O. 633(I)/2002, dated 14.09.2002 which stands rescinded by SRO 608(I)/2003, dated 24.06.2003 with effect from 01.07.2003. The omitted sub-section (18) read as under:- </w:t>
      </w:r>
    </w:p>
    <w:p w:rsidR="00BF2117" w:rsidRPr="006A4F4B" w:rsidRDefault="00BF2117">
      <w:pPr>
        <w:pStyle w:val="FootnoteText"/>
        <w:keepNext/>
        <w:ind w:left="180" w:firstLine="367"/>
        <w:rPr>
          <w:rFonts w:cs="Arial"/>
          <w:sz w:val="16"/>
          <w:szCs w:val="16"/>
        </w:rPr>
      </w:pPr>
      <w:r w:rsidRPr="006A4F4B">
        <w:rPr>
          <w:rFonts w:cs="Arial"/>
          <w:sz w:val="16"/>
          <w:szCs w:val="16"/>
        </w:rPr>
        <w:t xml:space="preserve">“(18)  </w:t>
      </w:r>
      <w:r w:rsidRPr="006A4F4B">
        <w:rPr>
          <w:rFonts w:cs="Arial"/>
          <w:sz w:val="16"/>
          <w:szCs w:val="16"/>
        </w:rPr>
        <w:tab/>
        <w:t>In this section, ‘Income Tax authority’ means an Income Tax authority as specified in section 3 of the repealed Ordinance.”</w:t>
      </w:r>
    </w:p>
    <w:p w:rsidR="00BF2117" w:rsidRPr="006A4F4B" w:rsidRDefault="00BF2117">
      <w:pPr>
        <w:keepNext/>
        <w:ind w:left="180" w:firstLine="547"/>
        <w:jc w:val="both"/>
        <w:rPr>
          <w:rFonts w:cs="Arial"/>
          <w:sz w:val="16"/>
          <w:szCs w:val="16"/>
        </w:rPr>
      </w:pPr>
      <w:r w:rsidRPr="006A4F4B">
        <w:rPr>
          <w:rFonts w:cs="Arial"/>
          <w:sz w:val="16"/>
          <w:szCs w:val="16"/>
        </w:rPr>
        <w:t>Earlier this was substituted by Finance</w:t>
      </w:r>
      <w:r w:rsidRPr="006A4F4B">
        <w:rPr>
          <w:sz w:val="16"/>
          <w:szCs w:val="16"/>
        </w:rPr>
        <w:t xml:space="preserve"> Act</w:t>
      </w:r>
      <w:r w:rsidRPr="006A4F4B">
        <w:rPr>
          <w:rFonts w:cs="Arial"/>
          <w:sz w:val="16"/>
          <w:szCs w:val="16"/>
        </w:rPr>
        <w:t>, 2002. The substituted sub-section (18) read as follows:</w:t>
      </w:r>
    </w:p>
    <w:p w:rsidR="00BF2117" w:rsidRPr="006A4F4B" w:rsidRDefault="00BF2117">
      <w:pPr>
        <w:pStyle w:val="FootnoteText"/>
        <w:keepNext/>
        <w:ind w:left="180" w:firstLine="367"/>
        <w:rPr>
          <w:rFonts w:cs="Arial"/>
          <w:sz w:val="16"/>
          <w:szCs w:val="16"/>
        </w:rPr>
      </w:pPr>
      <w:r w:rsidRPr="006A4F4B">
        <w:rPr>
          <w:rFonts w:cs="Arial"/>
          <w:sz w:val="16"/>
          <w:szCs w:val="16"/>
        </w:rPr>
        <w:t>“(18)</w:t>
      </w:r>
      <w:r w:rsidRPr="006A4F4B">
        <w:rPr>
          <w:rFonts w:cs="Arial"/>
          <w:sz w:val="16"/>
          <w:szCs w:val="16"/>
        </w:rPr>
        <w:tab/>
        <w:t>In this section, -</w:t>
      </w:r>
    </w:p>
    <w:p w:rsidR="00BF2117" w:rsidRPr="006A4F4B" w:rsidRDefault="00BF2117">
      <w:pPr>
        <w:keepNext/>
        <w:ind w:left="547" w:firstLine="547"/>
        <w:jc w:val="both"/>
        <w:rPr>
          <w:rFonts w:cs="Arial"/>
          <w:sz w:val="16"/>
          <w:szCs w:val="16"/>
        </w:rPr>
      </w:pPr>
      <w:r w:rsidRPr="006A4F4B">
        <w:rPr>
          <w:rFonts w:cs="Arial"/>
          <w:sz w:val="16"/>
          <w:szCs w:val="16"/>
        </w:rPr>
        <w:t>“assessment year” means assessment year as defined in the repealed Ordinance;</w:t>
      </w:r>
    </w:p>
    <w:p w:rsidR="00BF2117" w:rsidRPr="006A4F4B" w:rsidRDefault="00BF2117">
      <w:pPr>
        <w:keepNext/>
        <w:ind w:left="1094"/>
        <w:jc w:val="both"/>
        <w:rPr>
          <w:rFonts w:cs="Arial"/>
          <w:sz w:val="16"/>
          <w:szCs w:val="16"/>
        </w:rPr>
      </w:pPr>
      <w:r w:rsidRPr="006A4F4B">
        <w:rPr>
          <w:rFonts w:cs="Arial"/>
          <w:sz w:val="16"/>
          <w:szCs w:val="16"/>
        </w:rPr>
        <w:t>“income tax authority” means income tax authority as defined in section 3 of the repealed Ordinance;</w:t>
      </w:r>
    </w:p>
    <w:p w:rsidR="00BF2117" w:rsidRPr="006A4F4B" w:rsidRDefault="00BF2117">
      <w:pPr>
        <w:keepNext/>
        <w:ind w:left="547" w:firstLine="547"/>
        <w:jc w:val="both"/>
        <w:rPr>
          <w:rFonts w:cs="Arial"/>
          <w:sz w:val="16"/>
          <w:szCs w:val="16"/>
        </w:rPr>
      </w:pPr>
      <w:r w:rsidRPr="006A4F4B">
        <w:rPr>
          <w:rFonts w:cs="Arial"/>
          <w:sz w:val="16"/>
          <w:szCs w:val="16"/>
        </w:rPr>
        <w:t xml:space="preserve">“income year” means income year as defined in the repealed Ordinance; and </w:t>
      </w:r>
    </w:p>
    <w:p w:rsidR="00BF2117" w:rsidRPr="006A4F4B" w:rsidRDefault="00BF2117">
      <w:pPr>
        <w:pStyle w:val="FootnoteText"/>
        <w:ind w:firstLine="374"/>
        <w:rPr>
          <w:rFonts w:cs="Arial"/>
          <w:sz w:val="16"/>
          <w:szCs w:val="16"/>
        </w:rPr>
      </w:pPr>
      <w:r w:rsidRPr="006A4F4B">
        <w:rPr>
          <w:rFonts w:cs="Arial"/>
          <w:sz w:val="16"/>
          <w:szCs w:val="16"/>
        </w:rPr>
        <w:t>“repealed Ordinance” means the Income Tax Ordinance, 1979 (XXXI of 1979).”</w:t>
      </w:r>
    </w:p>
  </w:footnote>
  <w:footnote w:id="1568">
    <w:p w:rsidR="00BF2117" w:rsidRPr="006A4F4B" w:rsidRDefault="00BF2117">
      <w:pPr>
        <w:pStyle w:val="FootnoteText"/>
        <w:rPr>
          <w:sz w:val="16"/>
          <w:szCs w:val="16"/>
          <w:lang w:val="en-US"/>
        </w:rPr>
      </w:pPr>
      <w:r w:rsidRPr="006A4F4B">
        <w:rPr>
          <w:rStyle w:val="FootnoteReference"/>
          <w:sz w:val="16"/>
          <w:szCs w:val="16"/>
        </w:rPr>
        <w:footnoteRef/>
      </w:r>
      <w:r w:rsidRPr="006A4F4B">
        <w:rPr>
          <w:sz w:val="16"/>
          <w:szCs w:val="16"/>
          <w:lang w:val="en-US"/>
        </w:rPr>
        <w:t>Inserted by the Finance Act, 2007.</w:t>
      </w:r>
    </w:p>
  </w:footnote>
  <w:footnote w:id="1569">
    <w:p w:rsidR="00BF2117" w:rsidRPr="006A4F4B" w:rsidRDefault="00BF2117" w:rsidP="009C0B16">
      <w:pPr>
        <w:pStyle w:val="FootnoteText"/>
        <w:ind w:left="180" w:hanging="180"/>
        <w:jc w:val="both"/>
        <w:rPr>
          <w:sz w:val="16"/>
          <w:szCs w:val="16"/>
          <w:lang w:val="en-US"/>
        </w:rPr>
      </w:pPr>
      <w:r w:rsidRPr="006A4F4B">
        <w:rPr>
          <w:rStyle w:val="FootnoteReference"/>
          <w:sz w:val="16"/>
          <w:szCs w:val="16"/>
        </w:rPr>
        <w:footnoteRef/>
      </w:r>
      <w:r w:rsidRPr="006A4F4B">
        <w:rPr>
          <w:sz w:val="16"/>
          <w:szCs w:val="16"/>
        </w:rPr>
        <w:t xml:space="preserve"> Substituted by the Finance Act, 2010. The substituted provision has been made effective from 05.06.2010 by sub-clause (77) of clause 8 of the Finance Act, 2010. Earlier the substitution was made through Finance (Amendment) Ordinance, 2009 which was re-promulgated as Finance (Amendment) Ordinance, 2010 and remained effective till 05.06.2010.</w:t>
      </w:r>
      <w:r w:rsidRPr="006A4F4B">
        <w:rPr>
          <w:sz w:val="16"/>
          <w:szCs w:val="16"/>
          <w:lang w:val="en-US"/>
        </w:rPr>
        <w:t>Added by the Finance Act, 2010. The substituted Section 239B read as follows:</w:t>
      </w:r>
    </w:p>
    <w:p w:rsidR="00BF2117" w:rsidRPr="006A4F4B" w:rsidRDefault="00BF2117" w:rsidP="009C0B16">
      <w:pPr>
        <w:pStyle w:val="FootnoteText"/>
        <w:ind w:left="180" w:firstLine="0"/>
        <w:jc w:val="both"/>
        <w:rPr>
          <w:sz w:val="16"/>
          <w:szCs w:val="16"/>
          <w:lang w:val="en-US"/>
        </w:rPr>
      </w:pPr>
      <w:r w:rsidRPr="006A4F4B">
        <w:rPr>
          <w:sz w:val="16"/>
          <w:szCs w:val="16"/>
          <w:lang w:val="en-US"/>
        </w:rPr>
        <w:t>“</w:t>
      </w:r>
      <w:r w:rsidRPr="006A4F4B">
        <w:rPr>
          <w:rFonts w:cs="Arial"/>
          <w:sz w:val="16"/>
          <w:szCs w:val="16"/>
        </w:rPr>
        <w:t>239B. Reference to authorities.— (1) Any reference to the Regional Commissioner of Income Tax, Commissioner of Income Tax, Commissioner of Income Tax (Appeals) and Taxation Officer, wherever occurring, in this Ordinance and the rules made thereunder and notifications, orders, circulars or clarifications or any instrument issued thereunder shall be construed as reference to the Chief Commissioner Inland Revenue, Commissioner Inland Revenue, Commissioner Inland Revenue (Appeals) and officer of Inland Revenue, respectively.”</w:t>
      </w:r>
    </w:p>
  </w:footnote>
  <w:footnote w:id="1570">
    <w:p w:rsidR="00BF2117" w:rsidRPr="006A4F4B" w:rsidRDefault="00BF2117" w:rsidP="00720505">
      <w:pPr>
        <w:pStyle w:val="FootnoteText"/>
        <w:rPr>
          <w:sz w:val="16"/>
          <w:szCs w:val="16"/>
          <w:lang w:val="en-US"/>
        </w:rPr>
      </w:pPr>
      <w:r w:rsidRPr="006A4F4B">
        <w:rPr>
          <w:rStyle w:val="FootnoteReference"/>
          <w:sz w:val="16"/>
          <w:szCs w:val="16"/>
        </w:rPr>
        <w:footnoteRef/>
      </w:r>
      <w:r w:rsidRPr="006A4F4B">
        <w:rPr>
          <w:sz w:val="16"/>
          <w:szCs w:val="16"/>
        </w:rPr>
        <w:t xml:space="preserve"> Inserted  by the Finance Act, 2013.</w:t>
      </w:r>
    </w:p>
  </w:footnote>
  <w:footnote w:id="1571">
    <w:p w:rsidR="00BF2117" w:rsidRPr="00412620" w:rsidRDefault="00BF2117">
      <w:pPr>
        <w:pStyle w:val="FootnoteText"/>
        <w:rPr>
          <w:sz w:val="16"/>
        </w:rPr>
      </w:pPr>
      <w:r w:rsidRPr="00412620">
        <w:rPr>
          <w:rStyle w:val="FootnoteReference"/>
          <w:rFonts w:cs="Arial"/>
          <w:sz w:val="16"/>
        </w:rPr>
        <w:footnoteRef/>
      </w:r>
      <w:r w:rsidRPr="00412620">
        <w:rPr>
          <w:sz w:val="16"/>
        </w:rPr>
        <w:t xml:space="preserve"> The word “no” substituted by the Finance Act, 2002.</w:t>
      </w:r>
    </w:p>
  </w:footnote>
  <w:footnote w:id="1572">
    <w:p w:rsidR="00BF2117" w:rsidRPr="00412620" w:rsidRDefault="00BF2117" w:rsidP="00EB7E56">
      <w:pPr>
        <w:pStyle w:val="FootnoteText"/>
        <w:jc w:val="both"/>
        <w:rPr>
          <w:sz w:val="16"/>
          <w:szCs w:val="16"/>
          <w:lang w:val="en-US"/>
        </w:rPr>
      </w:pPr>
      <w:r w:rsidRPr="00412620">
        <w:rPr>
          <w:rStyle w:val="FootnoteReference"/>
        </w:rPr>
        <w:footnoteRef/>
      </w:r>
      <w:r w:rsidRPr="00412620">
        <w:rPr>
          <w:sz w:val="16"/>
          <w:szCs w:val="16"/>
          <w:lang w:val="en-US"/>
        </w:rPr>
        <w:t>Sub-section (2) omitted by the Finance Act, 2010. The omitted sub-section (2) read as follows:</w:t>
      </w:r>
    </w:p>
    <w:p w:rsidR="00BF2117" w:rsidRPr="00412620" w:rsidRDefault="00BF2117" w:rsidP="00D755A4">
      <w:pPr>
        <w:ind w:left="180" w:firstLine="367"/>
        <w:jc w:val="both"/>
        <w:rPr>
          <w:rFonts w:cs="Arial"/>
          <w:sz w:val="16"/>
          <w:szCs w:val="16"/>
        </w:rPr>
      </w:pPr>
      <w:r w:rsidRPr="00412620">
        <w:rPr>
          <w:sz w:val="16"/>
          <w:szCs w:val="16"/>
          <w:lang w:val="en-US"/>
        </w:rPr>
        <w:t>“</w:t>
      </w:r>
      <w:r w:rsidRPr="00412620">
        <w:rPr>
          <w:rFonts w:cs="Arial"/>
          <w:sz w:val="16"/>
          <w:szCs w:val="16"/>
        </w:rPr>
        <w:t>(2)</w:t>
      </w:r>
      <w:r w:rsidRPr="00412620">
        <w:rPr>
          <w:rFonts w:cs="Arial"/>
          <w:sz w:val="16"/>
          <w:szCs w:val="16"/>
        </w:rPr>
        <w:tab/>
        <w:t>No such power shall be exercised under sub-section (1) after the 30</w:t>
      </w:r>
      <w:r w:rsidRPr="00412620">
        <w:rPr>
          <w:rFonts w:cs="Arial"/>
          <w:sz w:val="16"/>
          <w:szCs w:val="16"/>
          <w:vertAlign w:val="superscript"/>
        </w:rPr>
        <w:t>th</w:t>
      </w:r>
      <w:r w:rsidRPr="00412620">
        <w:rPr>
          <w:rFonts w:cs="Arial"/>
          <w:sz w:val="16"/>
          <w:szCs w:val="16"/>
        </w:rPr>
        <w:t xml:space="preserve"> day of June 2004.”</w:t>
      </w:r>
    </w:p>
    <w:p w:rsidR="00BF2117" w:rsidRPr="00412620" w:rsidRDefault="00BF2117" w:rsidP="00EB7E56">
      <w:pPr>
        <w:pStyle w:val="FootnoteText"/>
        <w:jc w:val="both"/>
        <w:rPr>
          <w:lang w:val="en-US"/>
        </w:rPr>
      </w:pPr>
    </w:p>
  </w:footnote>
  <w:footnote w:id="1573">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Inserted by the Finance Act, 2012.</w:t>
      </w:r>
    </w:p>
  </w:footnote>
  <w:footnote w:id="1574">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The word, brackets and figure “clause (2)” substituted by the Finance Act, 2005.</w:t>
      </w:r>
    </w:p>
  </w:footnote>
  <w:footnote w:id="1575">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The word “clauses” substituted by the Finance Act, 2006.</w:t>
      </w:r>
    </w:p>
  </w:footnote>
  <w:footnote w:id="1576">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The word, brackets and figure “and (2)” omitted by the Finance Act, 2006.</w:t>
      </w:r>
    </w:p>
  </w:footnote>
  <w:footnote w:id="1577">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Inserted by the Finance Act, 2012.</w:t>
      </w:r>
    </w:p>
  </w:footnote>
  <w:footnote w:id="1578">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Inserted by the Finance Act, 2005.</w:t>
      </w:r>
    </w:p>
  </w:footnote>
  <w:footnote w:id="1579">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lang w:val="en-US"/>
        </w:rPr>
        <w:t>The words “or  Association of Persons” omitted by the Finance Act, 2010.</w:t>
      </w:r>
    </w:p>
  </w:footnote>
  <w:footnote w:id="1580">
    <w:p w:rsidR="00BF2117" w:rsidRPr="006A4F4B" w:rsidRDefault="00BF2117" w:rsidP="00AA4BF8">
      <w:pPr>
        <w:pStyle w:val="FootnoteText"/>
        <w:ind w:left="180" w:hanging="180"/>
        <w:jc w:val="both"/>
        <w:rPr>
          <w:sz w:val="16"/>
          <w:szCs w:val="16"/>
        </w:rPr>
      </w:pPr>
      <w:r w:rsidRPr="006A4F4B">
        <w:rPr>
          <w:rStyle w:val="FootnoteReference"/>
          <w:rFonts w:cs="Arial"/>
          <w:sz w:val="16"/>
          <w:szCs w:val="16"/>
        </w:rPr>
        <w:footnoteRef/>
      </w:r>
      <w:r w:rsidRPr="006A4F4B">
        <w:rPr>
          <w:sz w:val="16"/>
          <w:szCs w:val="16"/>
        </w:rPr>
        <w:t xml:space="preserve"> The words, brackets and figures “to which sub-section (1) of section 92 applies” omitted by the Finance Act, 2011.</w:t>
      </w:r>
    </w:p>
  </w:footnote>
  <w:footnote w:id="1581">
    <w:p w:rsidR="00BF2117" w:rsidRDefault="00BF2117">
      <w:pPr>
        <w:pStyle w:val="FootnoteText"/>
        <w:rPr>
          <w:sz w:val="16"/>
          <w:szCs w:val="16"/>
        </w:rPr>
      </w:pPr>
      <w:r w:rsidRPr="0040043B">
        <w:rPr>
          <w:rStyle w:val="FootnoteReference"/>
          <w:sz w:val="16"/>
          <w:szCs w:val="16"/>
        </w:rPr>
        <w:footnoteRef/>
      </w:r>
      <w:r w:rsidRPr="006A4F4B">
        <w:rPr>
          <w:sz w:val="16"/>
          <w:szCs w:val="16"/>
        </w:rPr>
        <w:t>”TABLE” substituted by the Finance Act, 201</w:t>
      </w:r>
      <w:r>
        <w:rPr>
          <w:sz w:val="16"/>
          <w:szCs w:val="16"/>
        </w:rPr>
        <w:t>5</w:t>
      </w:r>
      <w:r w:rsidRPr="006A4F4B">
        <w:rPr>
          <w:sz w:val="16"/>
          <w:szCs w:val="16"/>
        </w:rPr>
        <w:t>. The substituted TABLE read as follows:</w:t>
      </w:r>
      <w:r>
        <w:rPr>
          <w:sz w:val="16"/>
          <w:szCs w:val="16"/>
        </w:rPr>
        <w:t>-</w:t>
      </w:r>
    </w:p>
    <w:p w:rsidR="00BF2117" w:rsidRPr="0040043B" w:rsidRDefault="00BF2117">
      <w:pPr>
        <w:pStyle w:val="FootnoteText"/>
        <w:rPr>
          <w:sz w:val="16"/>
          <w:szCs w:val="16"/>
          <w:lang w:val="en-US"/>
        </w:rPr>
      </w:pPr>
      <w:r>
        <w:rPr>
          <w:sz w:val="16"/>
          <w:szCs w:val="16"/>
        </w:rPr>
        <w:tab/>
      </w:r>
      <w:r>
        <w:rPr>
          <w:sz w:val="16"/>
          <w:szCs w:val="16"/>
        </w:rPr>
        <w:tab/>
      </w:r>
      <w:r>
        <w:rPr>
          <w:sz w:val="16"/>
          <w:szCs w:val="16"/>
        </w:rPr>
        <w:tab/>
      </w:r>
      <w:r>
        <w:rPr>
          <w:sz w:val="16"/>
          <w:szCs w:val="16"/>
        </w:rPr>
        <w:tab/>
      </w:r>
      <w:r>
        <w:rPr>
          <w:sz w:val="16"/>
          <w:szCs w:val="16"/>
        </w:rPr>
        <w:tab/>
        <w:t xml:space="preserve">      “TABLE</w:t>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9"/>
        <w:gridCol w:w="3979"/>
        <w:gridCol w:w="2700"/>
      </w:tblGrid>
      <w:tr w:rsidR="00BF2117" w:rsidRPr="005D6740" w:rsidTr="0040043B">
        <w:trPr>
          <w:trHeight w:val="298"/>
        </w:trPr>
        <w:tc>
          <w:tcPr>
            <w:tcW w:w="809" w:type="dxa"/>
          </w:tcPr>
          <w:p w:rsidR="00BF2117" w:rsidRPr="005D6740" w:rsidRDefault="00BF2117" w:rsidP="00C304C8">
            <w:pPr>
              <w:jc w:val="center"/>
              <w:rPr>
                <w:b/>
                <w:bCs/>
                <w:sz w:val="16"/>
                <w:szCs w:val="16"/>
              </w:rPr>
            </w:pPr>
            <w:r w:rsidRPr="005D6740">
              <w:rPr>
                <w:b/>
                <w:bCs/>
                <w:sz w:val="16"/>
                <w:szCs w:val="16"/>
              </w:rPr>
              <w:t>S.No.</w:t>
            </w:r>
          </w:p>
        </w:tc>
        <w:tc>
          <w:tcPr>
            <w:tcW w:w="3979" w:type="dxa"/>
          </w:tcPr>
          <w:p w:rsidR="00BF2117" w:rsidRPr="005D6740" w:rsidRDefault="00BF2117" w:rsidP="00C304C8">
            <w:pPr>
              <w:jc w:val="center"/>
              <w:rPr>
                <w:b/>
                <w:bCs/>
                <w:sz w:val="16"/>
                <w:szCs w:val="16"/>
              </w:rPr>
            </w:pPr>
            <w:r w:rsidRPr="005D6740">
              <w:rPr>
                <w:b/>
                <w:bCs/>
                <w:sz w:val="16"/>
                <w:szCs w:val="16"/>
              </w:rPr>
              <w:t>Taxable income</w:t>
            </w:r>
          </w:p>
        </w:tc>
        <w:tc>
          <w:tcPr>
            <w:tcW w:w="2700" w:type="dxa"/>
          </w:tcPr>
          <w:p w:rsidR="00BF2117" w:rsidRPr="005D6740" w:rsidRDefault="00BF2117" w:rsidP="00C304C8">
            <w:pPr>
              <w:jc w:val="center"/>
              <w:rPr>
                <w:b/>
                <w:bCs/>
                <w:sz w:val="16"/>
                <w:szCs w:val="16"/>
              </w:rPr>
            </w:pPr>
            <w:r w:rsidRPr="005D6740">
              <w:rPr>
                <w:b/>
                <w:bCs/>
                <w:sz w:val="16"/>
                <w:szCs w:val="16"/>
              </w:rPr>
              <w:t>Rate of tax</w:t>
            </w:r>
          </w:p>
        </w:tc>
      </w:tr>
      <w:tr w:rsidR="00BF2117" w:rsidRPr="005D6740" w:rsidTr="0040043B">
        <w:trPr>
          <w:trHeight w:val="182"/>
        </w:trPr>
        <w:tc>
          <w:tcPr>
            <w:tcW w:w="809" w:type="dxa"/>
          </w:tcPr>
          <w:p w:rsidR="00BF2117" w:rsidRPr="005D6740" w:rsidRDefault="00BF2117" w:rsidP="00C304C8">
            <w:pPr>
              <w:jc w:val="center"/>
              <w:rPr>
                <w:sz w:val="16"/>
                <w:szCs w:val="16"/>
              </w:rPr>
            </w:pPr>
            <w:r w:rsidRPr="005D6740">
              <w:rPr>
                <w:sz w:val="16"/>
                <w:szCs w:val="16"/>
              </w:rPr>
              <w:t>(1)</w:t>
            </w:r>
          </w:p>
        </w:tc>
        <w:tc>
          <w:tcPr>
            <w:tcW w:w="3979" w:type="dxa"/>
          </w:tcPr>
          <w:p w:rsidR="00BF2117" w:rsidRPr="005D6740" w:rsidRDefault="00BF2117" w:rsidP="00C304C8">
            <w:pPr>
              <w:jc w:val="center"/>
              <w:rPr>
                <w:sz w:val="16"/>
                <w:szCs w:val="16"/>
              </w:rPr>
            </w:pPr>
            <w:r w:rsidRPr="005D6740">
              <w:rPr>
                <w:sz w:val="16"/>
                <w:szCs w:val="16"/>
              </w:rPr>
              <w:t>(2)</w:t>
            </w:r>
          </w:p>
        </w:tc>
        <w:tc>
          <w:tcPr>
            <w:tcW w:w="2700" w:type="dxa"/>
          </w:tcPr>
          <w:p w:rsidR="00BF2117" w:rsidRPr="005D6740" w:rsidRDefault="00BF2117" w:rsidP="00C304C8">
            <w:pPr>
              <w:jc w:val="center"/>
              <w:rPr>
                <w:sz w:val="16"/>
                <w:szCs w:val="16"/>
              </w:rPr>
            </w:pPr>
            <w:r w:rsidRPr="005D6740">
              <w:rPr>
                <w:sz w:val="16"/>
                <w:szCs w:val="16"/>
              </w:rPr>
              <w:t>(3)</w:t>
            </w:r>
          </w:p>
        </w:tc>
      </w:tr>
      <w:tr w:rsidR="00BF2117" w:rsidRPr="005D6740" w:rsidTr="0040043B">
        <w:trPr>
          <w:trHeight w:val="182"/>
        </w:trPr>
        <w:tc>
          <w:tcPr>
            <w:tcW w:w="809" w:type="dxa"/>
          </w:tcPr>
          <w:p w:rsidR="00BF2117" w:rsidRPr="005D6740" w:rsidRDefault="00BF2117" w:rsidP="00C304C8">
            <w:pPr>
              <w:jc w:val="center"/>
              <w:rPr>
                <w:sz w:val="16"/>
                <w:szCs w:val="16"/>
              </w:rPr>
            </w:pPr>
            <w:r w:rsidRPr="005D6740">
              <w:rPr>
                <w:sz w:val="16"/>
                <w:szCs w:val="16"/>
              </w:rPr>
              <w:t>1.</w:t>
            </w:r>
          </w:p>
        </w:tc>
        <w:tc>
          <w:tcPr>
            <w:tcW w:w="3979" w:type="dxa"/>
          </w:tcPr>
          <w:p w:rsidR="00BF2117" w:rsidRPr="005D6740" w:rsidRDefault="00BF2117" w:rsidP="00C304C8">
            <w:pPr>
              <w:jc w:val="both"/>
              <w:rPr>
                <w:sz w:val="16"/>
                <w:szCs w:val="16"/>
              </w:rPr>
            </w:pPr>
            <w:r w:rsidRPr="005D6740">
              <w:rPr>
                <w:sz w:val="16"/>
                <w:szCs w:val="16"/>
              </w:rPr>
              <w:t>Where the taxable income does not exceed Rs. 400,000</w:t>
            </w:r>
          </w:p>
        </w:tc>
        <w:tc>
          <w:tcPr>
            <w:tcW w:w="2700" w:type="dxa"/>
          </w:tcPr>
          <w:p w:rsidR="00BF2117" w:rsidRPr="005D6740" w:rsidRDefault="00BF2117" w:rsidP="00C304C8">
            <w:pPr>
              <w:jc w:val="center"/>
              <w:rPr>
                <w:sz w:val="16"/>
                <w:szCs w:val="16"/>
              </w:rPr>
            </w:pPr>
            <w:r w:rsidRPr="005D6740">
              <w:rPr>
                <w:sz w:val="16"/>
                <w:szCs w:val="16"/>
              </w:rPr>
              <w:t>0%</w:t>
            </w:r>
          </w:p>
        </w:tc>
      </w:tr>
      <w:tr w:rsidR="00BF2117" w:rsidRPr="005D6740" w:rsidTr="0040043B">
        <w:trPr>
          <w:trHeight w:val="182"/>
        </w:trPr>
        <w:tc>
          <w:tcPr>
            <w:tcW w:w="809" w:type="dxa"/>
          </w:tcPr>
          <w:p w:rsidR="00BF2117" w:rsidRPr="005D6740" w:rsidRDefault="00BF2117" w:rsidP="00C304C8">
            <w:pPr>
              <w:jc w:val="center"/>
              <w:rPr>
                <w:sz w:val="16"/>
                <w:szCs w:val="16"/>
              </w:rPr>
            </w:pPr>
            <w:r w:rsidRPr="005D6740">
              <w:rPr>
                <w:sz w:val="16"/>
                <w:szCs w:val="16"/>
              </w:rPr>
              <w:t>2.</w:t>
            </w:r>
          </w:p>
        </w:tc>
        <w:tc>
          <w:tcPr>
            <w:tcW w:w="3979" w:type="dxa"/>
          </w:tcPr>
          <w:p w:rsidR="00BF2117" w:rsidRPr="005D6740" w:rsidRDefault="00BF2117" w:rsidP="00C304C8">
            <w:pPr>
              <w:jc w:val="both"/>
              <w:rPr>
                <w:sz w:val="16"/>
                <w:szCs w:val="16"/>
              </w:rPr>
            </w:pPr>
            <w:r w:rsidRPr="005D6740">
              <w:rPr>
                <w:sz w:val="16"/>
                <w:szCs w:val="16"/>
              </w:rPr>
              <w:t>Where the taxable income exceeds Rs.400,000 but does not exceed Rs.750,000</w:t>
            </w:r>
          </w:p>
        </w:tc>
        <w:tc>
          <w:tcPr>
            <w:tcW w:w="2700" w:type="dxa"/>
          </w:tcPr>
          <w:p w:rsidR="00BF2117" w:rsidRPr="005D6740" w:rsidRDefault="00BF2117" w:rsidP="00C304C8">
            <w:pPr>
              <w:jc w:val="center"/>
              <w:rPr>
                <w:sz w:val="16"/>
                <w:szCs w:val="16"/>
              </w:rPr>
            </w:pPr>
            <w:r w:rsidRPr="005D6740">
              <w:rPr>
                <w:sz w:val="16"/>
                <w:szCs w:val="16"/>
              </w:rPr>
              <w:t>10% of the amount exceeding Rs.400,000</w:t>
            </w:r>
          </w:p>
        </w:tc>
      </w:tr>
      <w:tr w:rsidR="00BF2117" w:rsidRPr="005D6740" w:rsidTr="0040043B">
        <w:trPr>
          <w:trHeight w:val="182"/>
        </w:trPr>
        <w:tc>
          <w:tcPr>
            <w:tcW w:w="809" w:type="dxa"/>
          </w:tcPr>
          <w:p w:rsidR="00BF2117" w:rsidRPr="005D6740" w:rsidRDefault="00BF2117" w:rsidP="00C304C8">
            <w:pPr>
              <w:jc w:val="center"/>
              <w:rPr>
                <w:sz w:val="16"/>
                <w:szCs w:val="16"/>
              </w:rPr>
            </w:pPr>
            <w:r w:rsidRPr="005D6740">
              <w:rPr>
                <w:sz w:val="16"/>
                <w:szCs w:val="16"/>
              </w:rPr>
              <w:t>3.</w:t>
            </w:r>
          </w:p>
        </w:tc>
        <w:tc>
          <w:tcPr>
            <w:tcW w:w="3979" w:type="dxa"/>
          </w:tcPr>
          <w:p w:rsidR="00BF2117" w:rsidRPr="005D6740" w:rsidRDefault="00BF2117" w:rsidP="00C304C8">
            <w:pPr>
              <w:jc w:val="both"/>
              <w:rPr>
                <w:sz w:val="16"/>
                <w:szCs w:val="16"/>
              </w:rPr>
            </w:pPr>
            <w:r w:rsidRPr="005D6740">
              <w:rPr>
                <w:sz w:val="16"/>
                <w:szCs w:val="16"/>
              </w:rPr>
              <w:t>Where the taxable income exceeds Rs.750,000 but does not exceed Rs.1,500,000</w:t>
            </w:r>
          </w:p>
        </w:tc>
        <w:tc>
          <w:tcPr>
            <w:tcW w:w="2700" w:type="dxa"/>
          </w:tcPr>
          <w:p w:rsidR="00BF2117" w:rsidRPr="005D6740" w:rsidRDefault="00BF2117" w:rsidP="00C304C8">
            <w:pPr>
              <w:jc w:val="center"/>
              <w:rPr>
                <w:sz w:val="16"/>
                <w:szCs w:val="16"/>
              </w:rPr>
            </w:pPr>
            <w:r w:rsidRPr="005D6740">
              <w:rPr>
                <w:sz w:val="16"/>
                <w:szCs w:val="16"/>
              </w:rPr>
              <w:t>Rs.35,000 + 15% of the amount exceeding Rs.750,000</w:t>
            </w:r>
          </w:p>
        </w:tc>
      </w:tr>
      <w:tr w:rsidR="00BF2117" w:rsidRPr="005D6740" w:rsidTr="0040043B">
        <w:trPr>
          <w:trHeight w:val="182"/>
        </w:trPr>
        <w:tc>
          <w:tcPr>
            <w:tcW w:w="809" w:type="dxa"/>
          </w:tcPr>
          <w:p w:rsidR="00BF2117" w:rsidRPr="005D6740" w:rsidRDefault="00BF2117" w:rsidP="00C304C8">
            <w:pPr>
              <w:jc w:val="center"/>
              <w:rPr>
                <w:sz w:val="16"/>
                <w:szCs w:val="16"/>
              </w:rPr>
            </w:pPr>
            <w:r w:rsidRPr="005D6740">
              <w:rPr>
                <w:sz w:val="16"/>
                <w:szCs w:val="16"/>
              </w:rPr>
              <w:t>4.</w:t>
            </w:r>
          </w:p>
        </w:tc>
        <w:tc>
          <w:tcPr>
            <w:tcW w:w="3979" w:type="dxa"/>
          </w:tcPr>
          <w:p w:rsidR="00BF2117" w:rsidRPr="005D6740" w:rsidRDefault="00BF2117" w:rsidP="00C304C8">
            <w:pPr>
              <w:jc w:val="both"/>
              <w:rPr>
                <w:sz w:val="16"/>
                <w:szCs w:val="16"/>
              </w:rPr>
            </w:pPr>
            <w:r w:rsidRPr="005D6740">
              <w:rPr>
                <w:sz w:val="16"/>
                <w:szCs w:val="16"/>
              </w:rPr>
              <w:t>Where the taxable income exceeds Rs.1,500,000 but does not exceed Rs.2,500,000</w:t>
            </w:r>
          </w:p>
          <w:p w:rsidR="00BF2117" w:rsidRPr="005D6740" w:rsidRDefault="00BF2117" w:rsidP="00C304C8">
            <w:pPr>
              <w:jc w:val="both"/>
              <w:rPr>
                <w:sz w:val="16"/>
                <w:szCs w:val="16"/>
              </w:rPr>
            </w:pPr>
          </w:p>
        </w:tc>
        <w:tc>
          <w:tcPr>
            <w:tcW w:w="2700" w:type="dxa"/>
          </w:tcPr>
          <w:p w:rsidR="00BF2117" w:rsidRPr="005D6740" w:rsidRDefault="00BF2117" w:rsidP="00C304C8">
            <w:pPr>
              <w:jc w:val="center"/>
              <w:rPr>
                <w:sz w:val="16"/>
                <w:szCs w:val="16"/>
              </w:rPr>
            </w:pPr>
            <w:r w:rsidRPr="005D6740">
              <w:rPr>
                <w:sz w:val="16"/>
                <w:szCs w:val="16"/>
              </w:rPr>
              <w:t>Rs.147,500 + 20% of the amount exceeding Rs.1,500,000</w:t>
            </w:r>
          </w:p>
        </w:tc>
      </w:tr>
      <w:tr w:rsidR="00BF2117" w:rsidRPr="005D6740" w:rsidTr="0040043B">
        <w:trPr>
          <w:trHeight w:val="182"/>
        </w:trPr>
        <w:tc>
          <w:tcPr>
            <w:tcW w:w="809" w:type="dxa"/>
          </w:tcPr>
          <w:p w:rsidR="00BF2117" w:rsidRPr="005D6740" w:rsidRDefault="00BF2117" w:rsidP="00C304C8">
            <w:pPr>
              <w:jc w:val="center"/>
              <w:rPr>
                <w:sz w:val="16"/>
                <w:szCs w:val="16"/>
              </w:rPr>
            </w:pPr>
            <w:r w:rsidRPr="005D6740">
              <w:rPr>
                <w:sz w:val="16"/>
                <w:szCs w:val="16"/>
              </w:rPr>
              <w:t>5.</w:t>
            </w:r>
          </w:p>
        </w:tc>
        <w:tc>
          <w:tcPr>
            <w:tcW w:w="3979" w:type="dxa"/>
          </w:tcPr>
          <w:p w:rsidR="00BF2117" w:rsidRPr="005D6740" w:rsidRDefault="00BF2117" w:rsidP="00C304C8">
            <w:pPr>
              <w:jc w:val="both"/>
              <w:rPr>
                <w:sz w:val="16"/>
                <w:szCs w:val="16"/>
              </w:rPr>
            </w:pPr>
            <w:r w:rsidRPr="005D6740">
              <w:rPr>
                <w:sz w:val="16"/>
                <w:szCs w:val="16"/>
              </w:rPr>
              <w:t>Where the taxable income exceeds Rs.2,500,000 but does not exceed Rs.4,000,000</w:t>
            </w:r>
          </w:p>
          <w:p w:rsidR="00BF2117" w:rsidRPr="005D6740" w:rsidRDefault="00BF2117" w:rsidP="00C304C8">
            <w:pPr>
              <w:jc w:val="both"/>
              <w:rPr>
                <w:sz w:val="16"/>
                <w:szCs w:val="16"/>
              </w:rPr>
            </w:pPr>
          </w:p>
        </w:tc>
        <w:tc>
          <w:tcPr>
            <w:tcW w:w="2700" w:type="dxa"/>
          </w:tcPr>
          <w:p w:rsidR="00BF2117" w:rsidRPr="005D6740" w:rsidRDefault="00BF2117" w:rsidP="00C304C8">
            <w:pPr>
              <w:jc w:val="center"/>
              <w:rPr>
                <w:sz w:val="16"/>
                <w:szCs w:val="16"/>
              </w:rPr>
            </w:pPr>
            <w:r w:rsidRPr="005D6740">
              <w:rPr>
                <w:sz w:val="16"/>
                <w:szCs w:val="16"/>
              </w:rPr>
              <w:t>Rs.347,500 + 25% of the amount exceeding Rs.2,500,000</w:t>
            </w:r>
          </w:p>
        </w:tc>
      </w:tr>
      <w:tr w:rsidR="00BF2117" w:rsidRPr="005D6740" w:rsidTr="0040043B">
        <w:trPr>
          <w:trHeight w:val="182"/>
        </w:trPr>
        <w:tc>
          <w:tcPr>
            <w:tcW w:w="809" w:type="dxa"/>
          </w:tcPr>
          <w:p w:rsidR="00BF2117" w:rsidRPr="005D6740" w:rsidRDefault="00BF2117" w:rsidP="00C304C8">
            <w:pPr>
              <w:jc w:val="center"/>
              <w:rPr>
                <w:sz w:val="16"/>
                <w:szCs w:val="16"/>
              </w:rPr>
            </w:pPr>
            <w:r w:rsidRPr="005D6740">
              <w:rPr>
                <w:sz w:val="16"/>
                <w:szCs w:val="16"/>
              </w:rPr>
              <w:t>6.</w:t>
            </w:r>
          </w:p>
        </w:tc>
        <w:tc>
          <w:tcPr>
            <w:tcW w:w="3979" w:type="dxa"/>
          </w:tcPr>
          <w:p w:rsidR="00BF2117" w:rsidRPr="005D6740" w:rsidRDefault="00BF2117" w:rsidP="00C304C8">
            <w:pPr>
              <w:jc w:val="both"/>
              <w:rPr>
                <w:sz w:val="16"/>
                <w:szCs w:val="16"/>
              </w:rPr>
            </w:pPr>
            <w:r w:rsidRPr="005D6740">
              <w:rPr>
                <w:sz w:val="16"/>
                <w:szCs w:val="16"/>
              </w:rPr>
              <w:t>Where the taxable income exceeds Rs.4,000,000 but does not exceed Rs.6,000,000</w:t>
            </w:r>
          </w:p>
          <w:p w:rsidR="00BF2117" w:rsidRPr="005D6740" w:rsidRDefault="00BF2117" w:rsidP="00C304C8">
            <w:pPr>
              <w:jc w:val="both"/>
              <w:rPr>
                <w:sz w:val="16"/>
                <w:szCs w:val="16"/>
              </w:rPr>
            </w:pPr>
          </w:p>
        </w:tc>
        <w:tc>
          <w:tcPr>
            <w:tcW w:w="2700" w:type="dxa"/>
          </w:tcPr>
          <w:p w:rsidR="00BF2117" w:rsidRPr="005D6740" w:rsidRDefault="00BF2117" w:rsidP="00C304C8">
            <w:pPr>
              <w:jc w:val="center"/>
              <w:rPr>
                <w:sz w:val="16"/>
                <w:szCs w:val="16"/>
              </w:rPr>
            </w:pPr>
            <w:r w:rsidRPr="005D6740">
              <w:rPr>
                <w:sz w:val="16"/>
                <w:szCs w:val="16"/>
              </w:rPr>
              <w:t>Rs.722,500 + 30% of the amount exceeding Rs.4,000,000</w:t>
            </w:r>
          </w:p>
        </w:tc>
      </w:tr>
      <w:tr w:rsidR="00BF2117" w:rsidRPr="005D6740" w:rsidTr="0040043B">
        <w:trPr>
          <w:trHeight w:val="182"/>
        </w:trPr>
        <w:tc>
          <w:tcPr>
            <w:tcW w:w="809" w:type="dxa"/>
          </w:tcPr>
          <w:p w:rsidR="00BF2117" w:rsidRPr="005D6740" w:rsidRDefault="00BF2117" w:rsidP="00C304C8">
            <w:pPr>
              <w:jc w:val="center"/>
              <w:rPr>
                <w:sz w:val="16"/>
                <w:szCs w:val="16"/>
              </w:rPr>
            </w:pPr>
            <w:r w:rsidRPr="005D6740">
              <w:rPr>
                <w:sz w:val="16"/>
                <w:szCs w:val="16"/>
              </w:rPr>
              <w:t>7.</w:t>
            </w:r>
          </w:p>
        </w:tc>
        <w:tc>
          <w:tcPr>
            <w:tcW w:w="3979" w:type="dxa"/>
          </w:tcPr>
          <w:p w:rsidR="00BF2117" w:rsidRPr="005D6740" w:rsidRDefault="00BF2117" w:rsidP="00C304C8">
            <w:pPr>
              <w:jc w:val="both"/>
              <w:rPr>
                <w:sz w:val="16"/>
                <w:szCs w:val="16"/>
              </w:rPr>
            </w:pPr>
            <w:r w:rsidRPr="005D6740">
              <w:rPr>
                <w:sz w:val="16"/>
                <w:szCs w:val="16"/>
              </w:rPr>
              <w:t>Where the taxable income exceeds Rs.6,000,000</w:t>
            </w:r>
          </w:p>
        </w:tc>
        <w:tc>
          <w:tcPr>
            <w:tcW w:w="2700" w:type="dxa"/>
          </w:tcPr>
          <w:p w:rsidR="00BF2117" w:rsidRPr="005D6740" w:rsidRDefault="00BF2117" w:rsidP="00C304C8">
            <w:pPr>
              <w:jc w:val="center"/>
              <w:rPr>
                <w:sz w:val="16"/>
                <w:szCs w:val="16"/>
              </w:rPr>
            </w:pPr>
            <w:r w:rsidRPr="005D6740">
              <w:rPr>
                <w:sz w:val="16"/>
                <w:szCs w:val="16"/>
              </w:rPr>
              <w:t>Rs.1,322,500 + 35% of the amount exceeding Rs.6,000,000]</w:t>
            </w:r>
          </w:p>
        </w:tc>
      </w:tr>
    </w:tbl>
    <w:p w:rsidR="00BF2117" w:rsidRPr="0040043B" w:rsidRDefault="00BF2117">
      <w:pPr>
        <w:pStyle w:val="FootnoteText"/>
        <w:rPr>
          <w:sz w:val="16"/>
          <w:szCs w:val="16"/>
          <w:lang w:val="en-US"/>
        </w:rPr>
      </w:pPr>
    </w:p>
  </w:footnote>
  <w:footnote w:id="1582">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Proviso omitted by the Finance Act, 2011. The omitted proviso read as follows:</w:t>
      </w:r>
    </w:p>
    <w:p w:rsidR="00BF2117" w:rsidRPr="006A4F4B" w:rsidRDefault="00BF2117" w:rsidP="00AA4BF8">
      <w:pPr>
        <w:pStyle w:val="FootnoteText"/>
        <w:ind w:left="180" w:firstLine="367"/>
        <w:jc w:val="both"/>
        <w:rPr>
          <w:sz w:val="16"/>
          <w:szCs w:val="16"/>
        </w:rPr>
      </w:pPr>
      <w:r w:rsidRPr="006A4F4B">
        <w:rPr>
          <w:sz w:val="16"/>
          <w:szCs w:val="16"/>
        </w:rPr>
        <w:t>“Provided that where income of a woman taxpayer is covered by this clause, no tax shall be charged if the taxable income does not exceed Rs.125,000/- :”</w:t>
      </w:r>
    </w:p>
  </w:footnote>
  <w:footnote w:id="1583">
    <w:p w:rsidR="00BF2117" w:rsidRDefault="00BF2117" w:rsidP="0040043B">
      <w:pPr>
        <w:autoSpaceDE w:val="0"/>
        <w:autoSpaceDN w:val="0"/>
        <w:adjustRightInd w:val="0"/>
        <w:rPr>
          <w:rFonts w:cs="Arial"/>
          <w:sz w:val="20"/>
        </w:rPr>
      </w:pPr>
      <w:r w:rsidRPr="0040043B">
        <w:rPr>
          <w:rStyle w:val="FootnoteReference"/>
          <w:sz w:val="16"/>
          <w:szCs w:val="16"/>
        </w:rPr>
        <w:footnoteRef/>
      </w:r>
      <w:r>
        <w:rPr>
          <w:sz w:val="16"/>
          <w:szCs w:val="16"/>
        </w:rPr>
        <w:t>Proviso substituted by the Finance Act, 2015. The omitted proviso read as follows:-</w:t>
      </w:r>
    </w:p>
    <w:p w:rsidR="00BF2117" w:rsidRPr="0040043B" w:rsidRDefault="00BF2117" w:rsidP="0040043B">
      <w:pPr>
        <w:autoSpaceDE w:val="0"/>
        <w:autoSpaceDN w:val="0"/>
        <w:adjustRightInd w:val="0"/>
        <w:ind w:left="547"/>
        <w:rPr>
          <w:sz w:val="16"/>
          <w:szCs w:val="16"/>
          <w:lang w:val="en-US"/>
        </w:rPr>
      </w:pPr>
      <w:r>
        <w:rPr>
          <w:rFonts w:cs="Arial"/>
          <w:sz w:val="20"/>
        </w:rPr>
        <w:t>“</w:t>
      </w:r>
      <w:r w:rsidRPr="0040043B">
        <w:rPr>
          <w:sz w:val="16"/>
          <w:szCs w:val="16"/>
        </w:rPr>
        <w:t xml:space="preserve">Provided further that Internally Displaced Persons Tax  (IDPT), treated as income tax, on the tax payable on the taxable income of one million rupees or more, shall be levied at the rate of 5% of such </w:t>
      </w:r>
      <w:r>
        <w:rPr>
          <w:sz w:val="16"/>
          <w:szCs w:val="16"/>
        </w:rPr>
        <w:t>tax, for tax year 2009.”</w:t>
      </w:r>
    </w:p>
  </w:footnote>
  <w:footnote w:id="1584">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Inserted by the Finance Act, 2005.</w:t>
      </w:r>
    </w:p>
  </w:footnote>
  <w:footnote w:id="1585">
    <w:p w:rsidR="00BF2117" w:rsidRDefault="00BF2117" w:rsidP="00684D97">
      <w:pPr>
        <w:jc w:val="center"/>
        <w:rPr>
          <w:sz w:val="16"/>
          <w:szCs w:val="16"/>
        </w:rPr>
      </w:pPr>
      <w:r w:rsidRPr="00684D97">
        <w:rPr>
          <w:rStyle w:val="FootnoteReference"/>
          <w:sz w:val="16"/>
          <w:szCs w:val="16"/>
        </w:rPr>
        <w:footnoteRef/>
      </w:r>
      <w:r w:rsidRPr="006A4F4B">
        <w:rPr>
          <w:sz w:val="16"/>
          <w:szCs w:val="16"/>
        </w:rPr>
        <w:t>”TABLE” substituted by the Finance Act, 201</w:t>
      </w:r>
      <w:r>
        <w:rPr>
          <w:sz w:val="16"/>
          <w:szCs w:val="16"/>
        </w:rPr>
        <w:t>5</w:t>
      </w:r>
      <w:r w:rsidRPr="006A4F4B">
        <w:rPr>
          <w:sz w:val="16"/>
          <w:szCs w:val="16"/>
        </w:rPr>
        <w:t>. The substituted TABLE read as follows:</w:t>
      </w:r>
      <w:r>
        <w:rPr>
          <w:sz w:val="16"/>
          <w:szCs w:val="16"/>
        </w:rPr>
        <w:t>-</w:t>
      </w:r>
    </w:p>
    <w:p w:rsidR="00BF2117" w:rsidRPr="00B42900" w:rsidRDefault="00BF2117" w:rsidP="00684D97">
      <w:pPr>
        <w:jc w:val="center"/>
        <w:rPr>
          <w:sz w:val="16"/>
          <w:szCs w:val="16"/>
        </w:rPr>
      </w:pPr>
      <w:r w:rsidRPr="00B42900">
        <w:rPr>
          <w:sz w:val="16"/>
          <w:szCs w:val="16"/>
        </w:rPr>
        <w:t>“</w:t>
      </w:r>
      <w:r w:rsidRPr="00B42900">
        <w:rPr>
          <w:b/>
          <w:bCs/>
          <w:sz w:val="16"/>
          <w:szCs w:val="16"/>
        </w:rPr>
        <w:t>TABLE</w:t>
      </w:r>
    </w:p>
    <w:tbl>
      <w:tblPr>
        <w:tblW w:w="73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3780"/>
        <w:gridCol w:w="2340"/>
      </w:tblGrid>
      <w:tr w:rsidR="00BF2117" w:rsidRPr="00B42900" w:rsidTr="007B4B4A">
        <w:trPr>
          <w:trHeight w:val="494"/>
        </w:trPr>
        <w:tc>
          <w:tcPr>
            <w:tcW w:w="1188" w:type="dxa"/>
          </w:tcPr>
          <w:p w:rsidR="00BF2117" w:rsidRPr="00B42900" w:rsidRDefault="00BF2117" w:rsidP="007B4B4A">
            <w:pPr>
              <w:jc w:val="center"/>
              <w:rPr>
                <w:b/>
                <w:bCs/>
                <w:sz w:val="16"/>
                <w:szCs w:val="16"/>
              </w:rPr>
            </w:pPr>
            <w:r w:rsidRPr="00B42900">
              <w:rPr>
                <w:b/>
                <w:bCs/>
                <w:sz w:val="16"/>
                <w:szCs w:val="16"/>
              </w:rPr>
              <w:t>S.No.</w:t>
            </w:r>
          </w:p>
        </w:tc>
        <w:tc>
          <w:tcPr>
            <w:tcW w:w="3780" w:type="dxa"/>
          </w:tcPr>
          <w:p w:rsidR="00BF2117" w:rsidRPr="00B42900" w:rsidRDefault="00BF2117" w:rsidP="007B4B4A">
            <w:pPr>
              <w:jc w:val="center"/>
              <w:rPr>
                <w:b/>
                <w:bCs/>
                <w:sz w:val="16"/>
                <w:szCs w:val="16"/>
              </w:rPr>
            </w:pPr>
            <w:r w:rsidRPr="00B42900">
              <w:rPr>
                <w:b/>
                <w:bCs/>
                <w:sz w:val="16"/>
                <w:szCs w:val="16"/>
              </w:rPr>
              <w:t>Taxable Income</w:t>
            </w:r>
          </w:p>
        </w:tc>
        <w:tc>
          <w:tcPr>
            <w:tcW w:w="2340" w:type="dxa"/>
          </w:tcPr>
          <w:p w:rsidR="00BF2117" w:rsidRPr="00B42900" w:rsidRDefault="00BF2117" w:rsidP="007B4B4A">
            <w:pPr>
              <w:jc w:val="center"/>
              <w:rPr>
                <w:b/>
                <w:bCs/>
                <w:sz w:val="16"/>
                <w:szCs w:val="16"/>
              </w:rPr>
            </w:pPr>
            <w:r w:rsidRPr="00B42900">
              <w:rPr>
                <w:b/>
                <w:bCs/>
                <w:sz w:val="16"/>
                <w:szCs w:val="16"/>
              </w:rPr>
              <w:t>Rate of tax</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(1)</w:t>
            </w:r>
          </w:p>
        </w:tc>
        <w:tc>
          <w:tcPr>
            <w:tcW w:w="3780" w:type="dxa"/>
          </w:tcPr>
          <w:p w:rsidR="00BF2117" w:rsidRPr="00B42900" w:rsidRDefault="00BF2117" w:rsidP="007B4B4A">
            <w:pPr>
              <w:jc w:val="center"/>
              <w:rPr>
                <w:sz w:val="16"/>
                <w:szCs w:val="16"/>
              </w:rPr>
            </w:pPr>
            <w:r w:rsidRPr="00B42900">
              <w:rPr>
                <w:sz w:val="16"/>
                <w:szCs w:val="16"/>
              </w:rPr>
              <w:t>(2)</w:t>
            </w:r>
          </w:p>
        </w:tc>
        <w:tc>
          <w:tcPr>
            <w:tcW w:w="2340" w:type="dxa"/>
          </w:tcPr>
          <w:p w:rsidR="00BF2117" w:rsidRPr="00B42900" w:rsidRDefault="00BF2117" w:rsidP="007B4B4A">
            <w:pPr>
              <w:jc w:val="center"/>
              <w:rPr>
                <w:sz w:val="16"/>
                <w:szCs w:val="16"/>
              </w:rPr>
            </w:pPr>
            <w:r w:rsidRPr="00B42900">
              <w:rPr>
                <w:sz w:val="16"/>
                <w:szCs w:val="16"/>
              </w:rPr>
              <w:t>(3)</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1.</w:t>
            </w:r>
          </w:p>
        </w:tc>
        <w:tc>
          <w:tcPr>
            <w:tcW w:w="3780" w:type="dxa"/>
          </w:tcPr>
          <w:p w:rsidR="00BF2117" w:rsidRPr="00B42900" w:rsidRDefault="00BF2117" w:rsidP="007B4B4A">
            <w:pPr>
              <w:jc w:val="both"/>
              <w:rPr>
                <w:sz w:val="16"/>
                <w:szCs w:val="16"/>
              </w:rPr>
            </w:pPr>
            <w:r w:rsidRPr="00B42900">
              <w:rPr>
                <w:sz w:val="16"/>
                <w:szCs w:val="16"/>
              </w:rPr>
              <w:t>Where the taxable income does not exceed Rs.400,000</w:t>
            </w:r>
          </w:p>
        </w:tc>
        <w:tc>
          <w:tcPr>
            <w:tcW w:w="2340" w:type="dxa"/>
          </w:tcPr>
          <w:p w:rsidR="00BF2117" w:rsidRPr="00B42900" w:rsidRDefault="00BF2117" w:rsidP="007B4B4A">
            <w:pPr>
              <w:jc w:val="center"/>
              <w:rPr>
                <w:sz w:val="16"/>
                <w:szCs w:val="16"/>
              </w:rPr>
            </w:pPr>
            <w:r w:rsidRPr="00B42900">
              <w:rPr>
                <w:sz w:val="16"/>
                <w:szCs w:val="16"/>
              </w:rPr>
              <w:t>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2.</w:t>
            </w:r>
          </w:p>
        </w:tc>
        <w:tc>
          <w:tcPr>
            <w:tcW w:w="3780" w:type="dxa"/>
          </w:tcPr>
          <w:p w:rsidR="00BF2117" w:rsidRPr="00B42900" w:rsidRDefault="00BF2117" w:rsidP="007B4B4A">
            <w:pPr>
              <w:jc w:val="both"/>
              <w:rPr>
                <w:sz w:val="16"/>
                <w:szCs w:val="16"/>
              </w:rPr>
            </w:pPr>
            <w:r w:rsidRPr="00B42900">
              <w:rPr>
                <w:sz w:val="16"/>
                <w:szCs w:val="16"/>
              </w:rPr>
              <w:t>Where the taxable income exceeds Rs.400,000 but does not exceed Rs.750,000</w:t>
            </w:r>
          </w:p>
        </w:tc>
        <w:tc>
          <w:tcPr>
            <w:tcW w:w="2340" w:type="dxa"/>
          </w:tcPr>
          <w:p w:rsidR="00BF2117" w:rsidRPr="00B42900" w:rsidRDefault="00BF2117" w:rsidP="007B4B4A">
            <w:pPr>
              <w:jc w:val="center"/>
              <w:rPr>
                <w:sz w:val="16"/>
                <w:szCs w:val="16"/>
              </w:rPr>
            </w:pPr>
            <w:r w:rsidRPr="00B42900">
              <w:rPr>
                <w:sz w:val="16"/>
                <w:szCs w:val="16"/>
              </w:rPr>
              <w:t>5% of the amount exceeding Rs.400,000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3.</w:t>
            </w:r>
          </w:p>
        </w:tc>
        <w:tc>
          <w:tcPr>
            <w:tcW w:w="3780" w:type="dxa"/>
          </w:tcPr>
          <w:p w:rsidR="00BF2117" w:rsidRPr="00B42900" w:rsidRDefault="00BF2117" w:rsidP="007B4B4A">
            <w:pPr>
              <w:jc w:val="both"/>
              <w:rPr>
                <w:sz w:val="16"/>
                <w:szCs w:val="16"/>
              </w:rPr>
            </w:pPr>
            <w:r w:rsidRPr="00B42900">
              <w:rPr>
                <w:sz w:val="16"/>
                <w:szCs w:val="16"/>
              </w:rPr>
              <w:t>Where the taxable income exceeds Rs.750,000 but does not exceed Rs.1,400,000</w:t>
            </w:r>
          </w:p>
        </w:tc>
        <w:tc>
          <w:tcPr>
            <w:tcW w:w="2340" w:type="dxa"/>
          </w:tcPr>
          <w:p w:rsidR="00BF2117" w:rsidRPr="00B42900" w:rsidRDefault="00BF2117" w:rsidP="007B4B4A">
            <w:pPr>
              <w:jc w:val="center"/>
              <w:rPr>
                <w:sz w:val="16"/>
                <w:szCs w:val="16"/>
              </w:rPr>
            </w:pPr>
            <w:r w:rsidRPr="00B42900">
              <w:rPr>
                <w:sz w:val="16"/>
                <w:szCs w:val="16"/>
              </w:rPr>
              <w:t>Rs.17,500 + 10% of the amount exceeding Rs.750,000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4.</w:t>
            </w:r>
          </w:p>
        </w:tc>
        <w:tc>
          <w:tcPr>
            <w:tcW w:w="3780" w:type="dxa"/>
          </w:tcPr>
          <w:p w:rsidR="00BF2117" w:rsidRPr="00B42900" w:rsidRDefault="00BF2117" w:rsidP="007B4B4A">
            <w:pPr>
              <w:jc w:val="both"/>
              <w:rPr>
                <w:sz w:val="16"/>
                <w:szCs w:val="16"/>
              </w:rPr>
            </w:pPr>
            <w:r w:rsidRPr="00B42900">
              <w:rPr>
                <w:sz w:val="16"/>
                <w:szCs w:val="16"/>
              </w:rPr>
              <w:t>Where the taxable income exceeds Rs.1,400,000 but does not exceed Rs.1,500,000</w:t>
            </w:r>
          </w:p>
        </w:tc>
        <w:tc>
          <w:tcPr>
            <w:tcW w:w="2340" w:type="dxa"/>
          </w:tcPr>
          <w:p w:rsidR="00BF2117" w:rsidRPr="00B42900" w:rsidRDefault="00BF2117" w:rsidP="007B4B4A">
            <w:pPr>
              <w:jc w:val="center"/>
              <w:rPr>
                <w:sz w:val="16"/>
                <w:szCs w:val="16"/>
              </w:rPr>
            </w:pPr>
            <w:r w:rsidRPr="00B42900">
              <w:rPr>
                <w:sz w:val="16"/>
                <w:szCs w:val="16"/>
              </w:rPr>
              <w:t>Rs.82,500 + 12.5% of the amount exceeding Rs.1,400,000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5.</w:t>
            </w:r>
          </w:p>
        </w:tc>
        <w:tc>
          <w:tcPr>
            <w:tcW w:w="3780" w:type="dxa"/>
          </w:tcPr>
          <w:p w:rsidR="00BF2117" w:rsidRPr="00B42900" w:rsidRDefault="00BF2117" w:rsidP="007B4B4A">
            <w:pPr>
              <w:jc w:val="both"/>
              <w:rPr>
                <w:sz w:val="16"/>
                <w:szCs w:val="16"/>
              </w:rPr>
            </w:pPr>
            <w:r w:rsidRPr="00B42900">
              <w:rPr>
                <w:sz w:val="16"/>
                <w:szCs w:val="16"/>
              </w:rPr>
              <w:t>Where the taxable income exceeds Rs.1,500,000 but does not exceed Rs.1,800,000</w:t>
            </w:r>
          </w:p>
        </w:tc>
        <w:tc>
          <w:tcPr>
            <w:tcW w:w="2340" w:type="dxa"/>
          </w:tcPr>
          <w:p w:rsidR="00BF2117" w:rsidRPr="00B42900" w:rsidRDefault="00BF2117" w:rsidP="007B4B4A">
            <w:pPr>
              <w:jc w:val="center"/>
              <w:rPr>
                <w:sz w:val="16"/>
                <w:szCs w:val="16"/>
              </w:rPr>
            </w:pPr>
            <w:r w:rsidRPr="00B42900">
              <w:rPr>
                <w:sz w:val="16"/>
                <w:szCs w:val="16"/>
              </w:rPr>
              <w:t>Rs.95,000 + 15% of the amount exceeding Rs.1,500,000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6.</w:t>
            </w:r>
          </w:p>
        </w:tc>
        <w:tc>
          <w:tcPr>
            <w:tcW w:w="3780" w:type="dxa"/>
          </w:tcPr>
          <w:p w:rsidR="00BF2117" w:rsidRPr="00B42900" w:rsidRDefault="00BF2117" w:rsidP="007B4B4A">
            <w:pPr>
              <w:jc w:val="both"/>
              <w:rPr>
                <w:sz w:val="16"/>
                <w:szCs w:val="16"/>
              </w:rPr>
            </w:pPr>
            <w:r w:rsidRPr="00B42900">
              <w:rPr>
                <w:sz w:val="16"/>
                <w:szCs w:val="16"/>
              </w:rPr>
              <w:t>Where the taxable income exceeds Rs.1,800,000 but does not exceed Rs.2,500,000</w:t>
            </w:r>
          </w:p>
        </w:tc>
        <w:tc>
          <w:tcPr>
            <w:tcW w:w="2340" w:type="dxa"/>
          </w:tcPr>
          <w:p w:rsidR="00BF2117" w:rsidRPr="00B42900" w:rsidRDefault="00BF2117" w:rsidP="007B4B4A">
            <w:pPr>
              <w:jc w:val="center"/>
              <w:rPr>
                <w:sz w:val="16"/>
                <w:szCs w:val="16"/>
              </w:rPr>
            </w:pPr>
            <w:r w:rsidRPr="00B42900">
              <w:rPr>
                <w:sz w:val="16"/>
                <w:szCs w:val="16"/>
              </w:rPr>
              <w:t>Rs.140,000 + 17.5% of the amount exceeding Rs.1,800,000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7.</w:t>
            </w:r>
          </w:p>
        </w:tc>
        <w:tc>
          <w:tcPr>
            <w:tcW w:w="3780" w:type="dxa"/>
          </w:tcPr>
          <w:p w:rsidR="00BF2117" w:rsidRPr="00B42900" w:rsidRDefault="00BF2117" w:rsidP="007B4B4A">
            <w:pPr>
              <w:jc w:val="both"/>
              <w:rPr>
                <w:sz w:val="16"/>
                <w:szCs w:val="16"/>
              </w:rPr>
            </w:pPr>
            <w:r w:rsidRPr="00B42900">
              <w:rPr>
                <w:sz w:val="16"/>
                <w:szCs w:val="16"/>
              </w:rPr>
              <w:t>Where the taxable income exceeds Rs.2,500,000 but does not exceed Rs.3,000,000</w:t>
            </w:r>
          </w:p>
        </w:tc>
        <w:tc>
          <w:tcPr>
            <w:tcW w:w="2340" w:type="dxa"/>
          </w:tcPr>
          <w:p w:rsidR="00BF2117" w:rsidRPr="00B42900" w:rsidRDefault="00BF2117" w:rsidP="007B4B4A">
            <w:pPr>
              <w:jc w:val="center"/>
              <w:rPr>
                <w:sz w:val="16"/>
                <w:szCs w:val="16"/>
              </w:rPr>
            </w:pPr>
            <w:r w:rsidRPr="00B42900">
              <w:rPr>
                <w:sz w:val="16"/>
                <w:szCs w:val="16"/>
              </w:rPr>
              <w:t>Rs.262,500 + 20% of the amount exceeding Rs.2,500,000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8.</w:t>
            </w:r>
          </w:p>
        </w:tc>
        <w:tc>
          <w:tcPr>
            <w:tcW w:w="3780" w:type="dxa"/>
          </w:tcPr>
          <w:p w:rsidR="00BF2117" w:rsidRPr="00B42900" w:rsidRDefault="00BF2117" w:rsidP="007B4B4A">
            <w:pPr>
              <w:jc w:val="both"/>
              <w:rPr>
                <w:sz w:val="16"/>
                <w:szCs w:val="16"/>
              </w:rPr>
            </w:pPr>
            <w:r w:rsidRPr="00B42900">
              <w:rPr>
                <w:sz w:val="16"/>
                <w:szCs w:val="16"/>
              </w:rPr>
              <w:t xml:space="preserve">Where the taxable income exceeds Rs.3,000,000 but does not exceed Rs.3,500,000 </w:t>
            </w:r>
          </w:p>
        </w:tc>
        <w:tc>
          <w:tcPr>
            <w:tcW w:w="2340" w:type="dxa"/>
          </w:tcPr>
          <w:p w:rsidR="00BF2117" w:rsidRPr="00B42900" w:rsidRDefault="00BF2117" w:rsidP="007B4B4A">
            <w:pPr>
              <w:jc w:val="center"/>
              <w:rPr>
                <w:sz w:val="16"/>
                <w:szCs w:val="16"/>
              </w:rPr>
            </w:pPr>
            <w:r w:rsidRPr="00B42900">
              <w:rPr>
                <w:sz w:val="16"/>
                <w:szCs w:val="16"/>
              </w:rPr>
              <w:t>Rs.362,500 + 22.5% of the amount exceeding Rs.3,000,000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9.</w:t>
            </w:r>
          </w:p>
        </w:tc>
        <w:tc>
          <w:tcPr>
            <w:tcW w:w="3780" w:type="dxa"/>
          </w:tcPr>
          <w:p w:rsidR="00BF2117" w:rsidRPr="00B42900" w:rsidRDefault="00BF2117" w:rsidP="007B4B4A">
            <w:pPr>
              <w:jc w:val="both"/>
              <w:rPr>
                <w:sz w:val="16"/>
                <w:szCs w:val="16"/>
              </w:rPr>
            </w:pPr>
            <w:r w:rsidRPr="00B42900">
              <w:rPr>
                <w:sz w:val="16"/>
                <w:szCs w:val="16"/>
              </w:rPr>
              <w:t>Where the taxable income exceeds Rs.3,500,000 but does not exceed Rs.4,000,000</w:t>
            </w:r>
          </w:p>
        </w:tc>
        <w:tc>
          <w:tcPr>
            <w:tcW w:w="2340" w:type="dxa"/>
          </w:tcPr>
          <w:p w:rsidR="00BF2117" w:rsidRPr="00B42900" w:rsidRDefault="00BF2117" w:rsidP="007B4B4A">
            <w:pPr>
              <w:jc w:val="center"/>
              <w:rPr>
                <w:sz w:val="16"/>
                <w:szCs w:val="16"/>
              </w:rPr>
            </w:pPr>
            <w:r w:rsidRPr="00B42900">
              <w:rPr>
                <w:sz w:val="16"/>
                <w:szCs w:val="16"/>
              </w:rPr>
              <w:t>Rs.475,000 + 25% of the amount exceeding Rs.3,500,000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10.</w:t>
            </w:r>
          </w:p>
        </w:tc>
        <w:tc>
          <w:tcPr>
            <w:tcW w:w="3780" w:type="dxa"/>
          </w:tcPr>
          <w:p w:rsidR="00BF2117" w:rsidRPr="00B42900" w:rsidRDefault="00BF2117" w:rsidP="007B4B4A">
            <w:pPr>
              <w:jc w:val="both"/>
              <w:rPr>
                <w:sz w:val="16"/>
                <w:szCs w:val="16"/>
              </w:rPr>
            </w:pPr>
            <w:r w:rsidRPr="00B42900">
              <w:rPr>
                <w:sz w:val="16"/>
                <w:szCs w:val="16"/>
              </w:rPr>
              <w:t>Where the taxable income exceeds Rs.4,000,000 but does not exceed Rs.7,000,000</w:t>
            </w:r>
          </w:p>
        </w:tc>
        <w:tc>
          <w:tcPr>
            <w:tcW w:w="2340" w:type="dxa"/>
          </w:tcPr>
          <w:p w:rsidR="00BF2117" w:rsidRPr="00B42900" w:rsidRDefault="00BF2117" w:rsidP="007B4B4A">
            <w:pPr>
              <w:jc w:val="center"/>
              <w:rPr>
                <w:sz w:val="16"/>
                <w:szCs w:val="16"/>
              </w:rPr>
            </w:pPr>
            <w:r w:rsidRPr="00B42900">
              <w:rPr>
                <w:sz w:val="16"/>
                <w:szCs w:val="16"/>
              </w:rPr>
              <w:t>Rs.600,000 + 27.5% of the amount exceeding Rs.4,000,000</w:t>
            </w:r>
          </w:p>
        </w:tc>
      </w:tr>
      <w:tr w:rsidR="00BF2117" w:rsidRPr="00B42900" w:rsidTr="007B4B4A">
        <w:trPr>
          <w:trHeight w:val="225"/>
        </w:trPr>
        <w:tc>
          <w:tcPr>
            <w:tcW w:w="1188" w:type="dxa"/>
          </w:tcPr>
          <w:p w:rsidR="00BF2117" w:rsidRPr="00B42900" w:rsidRDefault="00BF2117" w:rsidP="007B4B4A">
            <w:pPr>
              <w:jc w:val="center"/>
              <w:rPr>
                <w:sz w:val="16"/>
                <w:szCs w:val="16"/>
              </w:rPr>
            </w:pPr>
            <w:r w:rsidRPr="00B42900">
              <w:rPr>
                <w:sz w:val="16"/>
                <w:szCs w:val="16"/>
              </w:rPr>
              <w:t>11.</w:t>
            </w:r>
          </w:p>
        </w:tc>
        <w:tc>
          <w:tcPr>
            <w:tcW w:w="3780" w:type="dxa"/>
          </w:tcPr>
          <w:p w:rsidR="00BF2117" w:rsidRPr="00B42900" w:rsidRDefault="00BF2117" w:rsidP="007B4B4A">
            <w:pPr>
              <w:jc w:val="both"/>
              <w:rPr>
                <w:sz w:val="16"/>
                <w:szCs w:val="16"/>
              </w:rPr>
            </w:pPr>
            <w:r w:rsidRPr="00B42900">
              <w:rPr>
                <w:sz w:val="16"/>
                <w:szCs w:val="16"/>
              </w:rPr>
              <w:t>Where the taxable income exceeds Rs.7,000,000</w:t>
            </w:r>
          </w:p>
        </w:tc>
        <w:tc>
          <w:tcPr>
            <w:tcW w:w="2340" w:type="dxa"/>
          </w:tcPr>
          <w:p w:rsidR="00BF2117" w:rsidRPr="00B42900" w:rsidRDefault="00BF2117" w:rsidP="007B4B4A">
            <w:pPr>
              <w:jc w:val="center"/>
              <w:rPr>
                <w:sz w:val="16"/>
                <w:szCs w:val="16"/>
              </w:rPr>
            </w:pPr>
            <w:r w:rsidRPr="00B42900">
              <w:rPr>
                <w:sz w:val="16"/>
                <w:szCs w:val="16"/>
              </w:rPr>
              <w:t>Rs.1,425,000 + 30% of the amount exceeding Rs.7,000,000]</w:t>
            </w:r>
          </w:p>
        </w:tc>
      </w:tr>
    </w:tbl>
    <w:p w:rsidR="00BF2117" w:rsidRPr="00684D97" w:rsidRDefault="00BF2117">
      <w:pPr>
        <w:pStyle w:val="FootnoteText"/>
        <w:rPr>
          <w:sz w:val="16"/>
          <w:szCs w:val="16"/>
          <w:lang w:val="en-US"/>
        </w:rPr>
      </w:pPr>
    </w:p>
  </w:footnote>
  <w:footnote w:id="1586">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Proviso omitted by the Finance Act, 2010. The omitted proviso read as follows:</w:t>
      </w:r>
    </w:p>
    <w:p w:rsidR="00BF2117" w:rsidRPr="006A4F4B" w:rsidRDefault="00BF2117" w:rsidP="00AA4BF8">
      <w:pPr>
        <w:ind w:left="547" w:firstLine="548"/>
        <w:jc w:val="both"/>
        <w:rPr>
          <w:sz w:val="16"/>
          <w:szCs w:val="16"/>
        </w:rPr>
      </w:pPr>
      <w:r w:rsidRPr="006A4F4B">
        <w:rPr>
          <w:sz w:val="16"/>
          <w:szCs w:val="16"/>
          <w:lang w:val="en-US"/>
        </w:rPr>
        <w:t>“</w:t>
      </w:r>
      <w:r w:rsidRPr="006A4F4B">
        <w:rPr>
          <w:sz w:val="16"/>
          <w:szCs w:val="16"/>
        </w:rPr>
        <w:t>Provided that where income of a woman taxpayer is covered by this clause, no tax shall be charged if the taxable income does not exceed Rs.260,000:”</w:t>
      </w:r>
    </w:p>
  </w:footnote>
  <w:footnote w:id="1587">
    <w:p w:rsidR="00BF2117" w:rsidRPr="006A4F4B" w:rsidRDefault="00BF2117" w:rsidP="00AA4BF8">
      <w:pPr>
        <w:jc w:val="both"/>
        <w:rPr>
          <w:sz w:val="16"/>
          <w:szCs w:val="16"/>
        </w:rPr>
      </w:pPr>
      <w:r w:rsidRPr="006A4F4B">
        <w:rPr>
          <w:rStyle w:val="FootnoteReference"/>
          <w:rFonts w:cs="Arial"/>
          <w:sz w:val="16"/>
          <w:szCs w:val="16"/>
        </w:rPr>
        <w:footnoteRef/>
      </w:r>
      <w:r w:rsidRPr="006A4F4B">
        <w:rPr>
          <w:sz w:val="16"/>
          <w:szCs w:val="16"/>
        </w:rPr>
        <w:t>Proviso omitted by the Finance Act, 2013. The omitted proviso read as follows:</w:t>
      </w:r>
    </w:p>
    <w:p w:rsidR="00BF2117" w:rsidRPr="006A4F4B" w:rsidRDefault="00BF2117" w:rsidP="00AA4BF8">
      <w:pPr>
        <w:ind w:left="90"/>
        <w:jc w:val="both"/>
        <w:rPr>
          <w:sz w:val="16"/>
          <w:szCs w:val="16"/>
        </w:rPr>
      </w:pPr>
      <w:r w:rsidRPr="006A4F4B">
        <w:rPr>
          <w:sz w:val="16"/>
          <w:szCs w:val="16"/>
        </w:rPr>
        <w:t>“Provided further that where the total income of a taxpayer marginally exceeds the maximum limit of a slab in the Table, the income tax payable shall be the tax payable on the maximum of that slab plus an amount equal to —</w:t>
      </w:r>
    </w:p>
    <w:p w:rsidR="00BF2117" w:rsidRPr="006A4F4B" w:rsidRDefault="00BF2117" w:rsidP="00AA4BF8">
      <w:pPr>
        <w:ind w:left="1094" w:hanging="554"/>
        <w:jc w:val="both"/>
        <w:rPr>
          <w:sz w:val="16"/>
          <w:szCs w:val="16"/>
        </w:rPr>
      </w:pPr>
      <w:r w:rsidRPr="006A4F4B">
        <w:rPr>
          <w:sz w:val="16"/>
          <w:szCs w:val="16"/>
        </w:rPr>
        <w:t xml:space="preserve">(i) </w:t>
      </w:r>
      <w:r w:rsidRPr="006A4F4B">
        <w:rPr>
          <w:sz w:val="16"/>
          <w:szCs w:val="16"/>
        </w:rPr>
        <w:tab/>
        <w:t>20% of the amount by which  the total income exceeds the said limit where the total income does not exceed Rs. 550,000.</w:t>
      </w:r>
    </w:p>
    <w:p w:rsidR="00BF2117" w:rsidRPr="006A4F4B" w:rsidRDefault="00BF2117" w:rsidP="00AA4BF8">
      <w:pPr>
        <w:ind w:left="1094" w:hanging="554"/>
        <w:jc w:val="both"/>
        <w:rPr>
          <w:sz w:val="16"/>
          <w:szCs w:val="16"/>
        </w:rPr>
      </w:pPr>
      <w:r w:rsidRPr="006A4F4B">
        <w:rPr>
          <w:sz w:val="16"/>
          <w:szCs w:val="16"/>
        </w:rPr>
        <w:t xml:space="preserve">(ii) </w:t>
      </w:r>
      <w:r w:rsidRPr="006A4F4B">
        <w:rPr>
          <w:sz w:val="16"/>
          <w:szCs w:val="16"/>
        </w:rPr>
        <w:tab/>
        <w:t>30% of the amount by which the total income exceeds in each slab but total income does not exceed Rs. 1,050,000.</w:t>
      </w:r>
    </w:p>
    <w:p w:rsidR="00BF2117" w:rsidRPr="006A4F4B" w:rsidRDefault="00BF2117" w:rsidP="006A4F4B">
      <w:pPr>
        <w:ind w:left="1094" w:hanging="554"/>
        <w:jc w:val="both"/>
        <w:rPr>
          <w:sz w:val="16"/>
          <w:szCs w:val="16"/>
        </w:rPr>
      </w:pPr>
      <w:r w:rsidRPr="006A4F4B">
        <w:rPr>
          <w:sz w:val="16"/>
          <w:szCs w:val="16"/>
        </w:rPr>
        <w:t xml:space="preserve">(iii) </w:t>
      </w:r>
      <w:r w:rsidRPr="006A4F4B">
        <w:rPr>
          <w:sz w:val="16"/>
          <w:szCs w:val="16"/>
        </w:rPr>
        <w:tab/>
        <w:t>40% of the amount by which the total income exceeds in each slab but total income does not exceed Rs. 2,250,000.</w:t>
      </w:r>
    </w:p>
    <w:p w:rsidR="00BF2117" w:rsidRPr="006A4F4B" w:rsidRDefault="00BF2117" w:rsidP="00AA4BF8">
      <w:pPr>
        <w:ind w:left="1094" w:hanging="554"/>
        <w:jc w:val="both"/>
        <w:rPr>
          <w:sz w:val="16"/>
          <w:szCs w:val="16"/>
        </w:rPr>
      </w:pPr>
      <w:r w:rsidRPr="006A4F4B">
        <w:rPr>
          <w:sz w:val="16"/>
          <w:szCs w:val="16"/>
        </w:rPr>
        <w:t>(iv)</w:t>
      </w:r>
      <w:r w:rsidRPr="006A4F4B">
        <w:rPr>
          <w:sz w:val="16"/>
          <w:szCs w:val="16"/>
        </w:rPr>
        <w:tab/>
        <w:t>50% of the amount by which the total income exceeds in each slab but total income does not exceed Rs. 4,550,000.</w:t>
      </w:r>
    </w:p>
    <w:p w:rsidR="00BF2117" w:rsidRPr="006A4F4B" w:rsidRDefault="00BF2117" w:rsidP="006A4F4B">
      <w:pPr>
        <w:pStyle w:val="FootnoteText"/>
        <w:ind w:hanging="180"/>
        <w:rPr>
          <w:sz w:val="16"/>
          <w:szCs w:val="16"/>
        </w:rPr>
      </w:pPr>
      <w:r w:rsidRPr="006A4F4B">
        <w:rPr>
          <w:sz w:val="16"/>
          <w:szCs w:val="16"/>
        </w:rPr>
        <w:t xml:space="preserve">(v) </w:t>
      </w:r>
      <w:r w:rsidRPr="006A4F4B">
        <w:rPr>
          <w:sz w:val="16"/>
          <w:szCs w:val="16"/>
        </w:rPr>
        <w:tab/>
        <w:t xml:space="preserve">60% of the amount by which the total income exceeds in each slab but the total </w:t>
      </w:r>
      <w:r w:rsidRPr="006A4F4B">
        <w:rPr>
          <w:sz w:val="16"/>
          <w:szCs w:val="16"/>
        </w:rPr>
        <w:tab/>
        <w:t>income exceeds Rs. 4,550,000.</w:t>
      </w:r>
    </w:p>
  </w:footnote>
  <w:footnote w:id="1588">
    <w:p w:rsidR="00BF2117" w:rsidRPr="00D86433" w:rsidRDefault="00BF2117">
      <w:pPr>
        <w:pStyle w:val="FootnoteText"/>
        <w:rPr>
          <w:sz w:val="16"/>
          <w:szCs w:val="16"/>
          <w:lang w:val="en-US"/>
        </w:rPr>
      </w:pPr>
      <w:r w:rsidRPr="00D86433">
        <w:rPr>
          <w:rStyle w:val="FootnoteReference"/>
          <w:sz w:val="16"/>
          <w:szCs w:val="16"/>
        </w:rPr>
        <w:footnoteRef/>
      </w:r>
      <w:r>
        <w:rPr>
          <w:sz w:val="16"/>
          <w:szCs w:val="16"/>
        </w:rPr>
        <w:t xml:space="preserve">The “; and” omitted by the Finance Act, 2015. </w:t>
      </w:r>
    </w:p>
  </w:footnote>
  <w:footnote w:id="1589">
    <w:p w:rsidR="00BF2117" w:rsidRPr="00AA5E01" w:rsidRDefault="00BF2117" w:rsidP="00AA4BF8">
      <w:pPr>
        <w:pStyle w:val="FootnoteText"/>
        <w:rPr>
          <w:color w:val="000000" w:themeColor="text1"/>
          <w:sz w:val="16"/>
          <w:szCs w:val="16"/>
        </w:rPr>
      </w:pPr>
      <w:r w:rsidRPr="00AA5E01">
        <w:rPr>
          <w:rStyle w:val="FootnoteReference"/>
          <w:rFonts w:cs="Arial"/>
          <w:color w:val="000000" w:themeColor="text1"/>
          <w:sz w:val="16"/>
          <w:szCs w:val="16"/>
        </w:rPr>
        <w:footnoteRef/>
      </w:r>
      <w:r w:rsidRPr="00AA5E01">
        <w:rPr>
          <w:color w:val="000000" w:themeColor="text1"/>
          <w:sz w:val="16"/>
          <w:szCs w:val="16"/>
        </w:rPr>
        <w:t xml:space="preserve"> Section 1B inserted by the Finance Act, 2014.</w:t>
      </w:r>
    </w:p>
  </w:footnote>
  <w:footnote w:id="1590">
    <w:p w:rsidR="00BF2117" w:rsidRPr="00AA5E01" w:rsidRDefault="00BF2117" w:rsidP="003B6A16">
      <w:pPr>
        <w:jc w:val="both"/>
        <w:rPr>
          <w:color w:val="000000" w:themeColor="text1"/>
          <w:sz w:val="20"/>
        </w:rPr>
      </w:pPr>
      <w:r w:rsidRPr="00AA5E01">
        <w:rPr>
          <w:rStyle w:val="FootnoteReference"/>
          <w:color w:val="000000" w:themeColor="text1"/>
          <w:sz w:val="16"/>
          <w:szCs w:val="16"/>
        </w:rPr>
        <w:footnoteRef/>
      </w:r>
      <w:r w:rsidRPr="00AA5E01">
        <w:rPr>
          <w:color w:val="000000" w:themeColor="text1"/>
          <w:sz w:val="16"/>
          <w:szCs w:val="16"/>
        </w:rPr>
        <w:t xml:space="preserve"> Sub-paragraph (ii) of paragraph (1B) substituted by the Finance Act, 2015. The substituted sub-paragraph read as follows:-</w:t>
      </w:r>
    </w:p>
    <w:p w:rsidR="00BF2117" w:rsidRPr="00AA5E01" w:rsidRDefault="00BF2117" w:rsidP="003B6A16">
      <w:pPr>
        <w:jc w:val="both"/>
        <w:rPr>
          <w:color w:val="000000" w:themeColor="text1"/>
          <w:sz w:val="16"/>
          <w:szCs w:val="16"/>
          <w:lang w:val="en-US"/>
        </w:rPr>
      </w:pPr>
      <w:r w:rsidRPr="00AA5E01">
        <w:rPr>
          <w:color w:val="000000" w:themeColor="text1"/>
          <w:sz w:val="20"/>
        </w:rPr>
        <w:tab/>
      </w:r>
      <w:r w:rsidRPr="00AA5E01">
        <w:rPr>
          <w:color w:val="000000" w:themeColor="text1"/>
          <w:sz w:val="16"/>
          <w:szCs w:val="16"/>
        </w:rPr>
        <w:t xml:space="preserve">“a taxpayer of the age of not less than sixty years on the first day of that tax year; the tax </w:t>
      </w:r>
      <w:r w:rsidRPr="00AA5E01">
        <w:rPr>
          <w:color w:val="000000" w:themeColor="text1"/>
          <w:sz w:val="16"/>
          <w:szCs w:val="16"/>
        </w:rPr>
        <w:tab/>
        <w:t>liability on such income shall be reduced by 50%.”</w:t>
      </w:r>
    </w:p>
  </w:footnote>
  <w:footnote w:id="1591">
    <w:p w:rsidR="00BF2117" w:rsidRPr="00AA5E01" w:rsidRDefault="00BF2117" w:rsidP="00E17EF8">
      <w:pPr>
        <w:jc w:val="both"/>
        <w:rPr>
          <w:color w:val="000000" w:themeColor="text1"/>
          <w:sz w:val="16"/>
          <w:szCs w:val="16"/>
        </w:rPr>
      </w:pPr>
      <w:r w:rsidRPr="00AA5E01">
        <w:rPr>
          <w:rStyle w:val="FootnoteReference"/>
          <w:rFonts w:cs="Arial"/>
          <w:color w:val="000000" w:themeColor="text1"/>
          <w:sz w:val="16"/>
          <w:szCs w:val="16"/>
        </w:rPr>
        <w:footnoteRef/>
      </w:r>
      <w:r w:rsidRPr="00AA5E01">
        <w:rPr>
          <w:color w:val="000000" w:themeColor="text1"/>
          <w:sz w:val="16"/>
          <w:szCs w:val="16"/>
        </w:rPr>
        <w:t xml:space="preserve"> Para 2 omitted by the Finance Act, 2014.  The omitted para (2)  read as follows:</w:t>
      </w:r>
    </w:p>
    <w:p w:rsidR="00BF2117" w:rsidRPr="00AA5E01" w:rsidRDefault="00BF2117" w:rsidP="006A4F4B">
      <w:pPr>
        <w:jc w:val="both"/>
        <w:rPr>
          <w:color w:val="000000" w:themeColor="text1"/>
          <w:sz w:val="16"/>
          <w:szCs w:val="16"/>
        </w:rPr>
      </w:pPr>
      <w:r w:rsidRPr="00AA5E01">
        <w:rPr>
          <w:color w:val="000000" w:themeColor="text1"/>
          <w:sz w:val="16"/>
          <w:szCs w:val="16"/>
        </w:rPr>
        <w:tab/>
        <w:t>“(2) The rate of tax payable on bonus as IDPT as income tax shall be 30% for the tax year 2010.”</w:t>
      </w:r>
    </w:p>
  </w:footnote>
  <w:footnote w:id="1592">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Clause (2) omitted by the Finance Act, 2006. The omitted clause (2) read as follows: </w:t>
      </w:r>
    </w:p>
    <w:p w:rsidR="00BF2117" w:rsidRPr="006A4F4B" w:rsidRDefault="00BF2117" w:rsidP="00AA4BF8">
      <w:pPr>
        <w:pStyle w:val="BodyTextIndent"/>
        <w:keepNext/>
        <w:ind w:hanging="630"/>
        <w:jc w:val="both"/>
        <w:rPr>
          <w:sz w:val="16"/>
          <w:szCs w:val="16"/>
        </w:rPr>
      </w:pPr>
      <w:r w:rsidRPr="006A4F4B">
        <w:rPr>
          <w:sz w:val="16"/>
          <w:szCs w:val="16"/>
        </w:rPr>
        <w:t>“2.</w:t>
      </w:r>
      <w:r w:rsidRPr="006A4F4B">
        <w:rPr>
          <w:sz w:val="16"/>
          <w:szCs w:val="16"/>
        </w:rPr>
        <w:tab/>
        <w:t>Where, for a tax year, an individual or association of persons to which subsection (1) of section 92 applies derives income from agriculture to which section 41 applies and the gross amount of such income for the year exceeds Rs. 80,000, the rates of tax imposed on the taxable income of the individual or association of persons for the year shall be as set out in the following table, namely:–</w:t>
      </w:r>
    </w:p>
    <w:p w:rsidR="00BF2117" w:rsidRPr="006A4F4B" w:rsidRDefault="00BF2117" w:rsidP="00AA4BF8">
      <w:pPr>
        <w:pStyle w:val="Heading2"/>
        <w:rPr>
          <w:sz w:val="16"/>
          <w:szCs w:val="16"/>
        </w:rPr>
      </w:pPr>
      <w:r w:rsidRPr="006A4F4B">
        <w:rPr>
          <w:sz w:val="16"/>
          <w:szCs w:val="16"/>
        </w:rPr>
        <w:t>“TABLE</w:t>
      </w:r>
    </w:p>
    <w:tbl>
      <w:tblPr>
        <w:tblW w:w="0" w:type="auto"/>
        <w:tblInd w:w="2" w:type="dxa"/>
        <w:tblBorders>
          <w:top w:val="single" w:sz="12" w:space="0" w:color="008000"/>
          <w:bottom w:val="single" w:sz="12" w:space="0" w:color="008000"/>
        </w:tblBorders>
        <w:tblLook w:val="00A0"/>
      </w:tblPr>
      <w:tblGrid>
        <w:gridCol w:w="720"/>
        <w:gridCol w:w="3142"/>
        <w:gridCol w:w="3552"/>
      </w:tblGrid>
      <w:tr w:rsidR="00BF2117" w:rsidRPr="006A4F4B">
        <w:tc>
          <w:tcPr>
            <w:tcW w:w="720" w:type="dxa"/>
            <w:tcBorders>
              <w:top w:val="single" w:sz="12" w:space="0" w:color="008000"/>
              <w:left w:val="nil"/>
              <w:bottom w:val="single" w:sz="6" w:space="0" w:color="008000"/>
              <w:right w:val="nil"/>
            </w:tcBorders>
          </w:tcPr>
          <w:p w:rsidR="00BF2117" w:rsidRPr="006A4F4B" w:rsidRDefault="00BF2117" w:rsidP="006C4FE9">
            <w:pPr>
              <w:rPr>
                <w:sz w:val="16"/>
                <w:szCs w:val="16"/>
              </w:rPr>
            </w:pPr>
            <w:r w:rsidRPr="006A4F4B">
              <w:rPr>
                <w:sz w:val="16"/>
                <w:szCs w:val="16"/>
              </w:rPr>
              <w:t>S. No.</w:t>
            </w:r>
          </w:p>
          <w:p w:rsidR="00BF2117" w:rsidRPr="006A4F4B" w:rsidRDefault="00BF2117" w:rsidP="006C4FE9">
            <w:pPr>
              <w:jc w:val="center"/>
              <w:rPr>
                <w:sz w:val="16"/>
                <w:szCs w:val="16"/>
              </w:rPr>
            </w:pPr>
            <w:r w:rsidRPr="006A4F4B">
              <w:rPr>
                <w:sz w:val="16"/>
                <w:szCs w:val="16"/>
              </w:rPr>
              <w:t>(1)</w:t>
            </w:r>
          </w:p>
        </w:tc>
        <w:tc>
          <w:tcPr>
            <w:tcW w:w="3142" w:type="dxa"/>
            <w:tcBorders>
              <w:top w:val="single" w:sz="12" w:space="0" w:color="008000"/>
              <w:left w:val="nil"/>
              <w:bottom w:val="single" w:sz="6" w:space="0" w:color="008000"/>
              <w:right w:val="nil"/>
            </w:tcBorders>
          </w:tcPr>
          <w:p w:rsidR="00BF2117" w:rsidRPr="006A4F4B" w:rsidRDefault="00BF2117" w:rsidP="006C4FE9">
            <w:pPr>
              <w:jc w:val="center"/>
              <w:rPr>
                <w:sz w:val="16"/>
                <w:szCs w:val="16"/>
              </w:rPr>
            </w:pPr>
            <w:r w:rsidRPr="006A4F4B">
              <w:rPr>
                <w:sz w:val="16"/>
                <w:szCs w:val="16"/>
              </w:rPr>
              <w:t>Taxable income</w:t>
            </w:r>
          </w:p>
          <w:p w:rsidR="00BF2117" w:rsidRPr="006A4F4B" w:rsidRDefault="00BF2117" w:rsidP="006C4FE9">
            <w:pPr>
              <w:jc w:val="center"/>
              <w:rPr>
                <w:sz w:val="16"/>
                <w:szCs w:val="16"/>
              </w:rPr>
            </w:pPr>
            <w:r w:rsidRPr="006A4F4B">
              <w:rPr>
                <w:sz w:val="16"/>
                <w:szCs w:val="16"/>
              </w:rPr>
              <w:t>(2)</w:t>
            </w:r>
          </w:p>
        </w:tc>
        <w:tc>
          <w:tcPr>
            <w:tcW w:w="0" w:type="auto"/>
            <w:tcBorders>
              <w:top w:val="single" w:sz="12" w:space="0" w:color="008000"/>
              <w:left w:val="nil"/>
              <w:bottom w:val="single" w:sz="6" w:space="0" w:color="008000"/>
              <w:right w:val="nil"/>
            </w:tcBorders>
          </w:tcPr>
          <w:p w:rsidR="00BF2117" w:rsidRPr="006A4F4B" w:rsidRDefault="00BF2117" w:rsidP="006C4FE9">
            <w:pPr>
              <w:jc w:val="center"/>
              <w:rPr>
                <w:sz w:val="16"/>
                <w:szCs w:val="16"/>
              </w:rPr>
            </w:pPr>
            <w:r w:rsidRPr="006A4F4B">
              <w:rPr>
                <w:sz w:val="16"/>
                <w:szCs w:val="16"/>
              </w:rPr>
              <w:t>Rate of tax.</w:t>
            </w:r>
          </w:p>
          <w:p w:rsidR="00BF2117" w:rsidRPr="006A4F4B" w:rsidRDefault="00BF2117" w:rsidP="006C4FE9">
            <w:pPr>
              <w:jc w:val="center"/>
              <w:rPr>
                <w:sz w:val="16"/>
                <w:szCs w:val="16"/>
              </w:rPr>
            </w:pPr>
            <w:r w:rsidRPr="006A4F4B">
              <w:rPr>
                <w:sz w:val="16"/>
                <w:szCs w:val="16"/>
              </w:rPr>
              <w:t>(3)</w:t>
            </w:r>
          </w:p>
        </w:tc>
      </w:tr>
      <w:tr w:rsidR="00BF2117" w:rsidRPr="006A4F4B">
        <w:tc>
          <w:tcPr>
            <w:tcW w:w="720" w:type="dxa"/>
            <w:tcBorders>
              <w:top w:val="single" w:sz="6" w:space="0" w:color="008000"/>
              <w:left w:val="nil"/>
              <w:bottom w:val="nil"/>
              <w:right w:val="nil"/>
            </w:tcBorders>
          </w:tcPr>
          <w:p w:rsidR="00BF2117" w:rsidRPr="006A4F4B" w:rsidRDefault="00BF2117" w:rsidP="00AA4BF8">
            <w:pPr>
              <w:pStyle w:val="CommentText"/>
              <w:numPr>
                <w:ilvl w:val="0"/>
                <w:numId w:val="18"/>
              </w:numPr>
              <w:rPr>
                <w:sz w:val="16"/>
                <w:szCs w:val="16"/>
              </w:rPr>
            </w:pPr>
          </w:p>
          <w:p w:rsidR="00BF2117" w:rsidRPr="006A4F4B" w:rsidRDefault="00BF2117" w:rsidP="006C4FE9">
            <w:pPr>
              <w:ind w:left="720" w:hanging="720"/>
              <w:rPr>
                <w:sz w:val="16"/>
                <w:szCs w:val="16"/>
              </w:rPr>
            </w:pPr>
          </w:p>
        </w:tc>
        <w:tc>
          <w:tcPr>
            <w:tcW w:w="3142" w:type="dxa"/>
            <w:tcBorders>
              <w:top w:val="single" w:sz="6" w:space="0" w:color="008000"/>
              <w:left w:val="nil"/>
              <w:bottom w:val="nil"/>
              <w:right w:val="nil"/>
            </w:tcBorders>
          </w:tcPr>
          <w:p w:rsidR="00BF2117" w:rsidRPr="006A4F4B" w:rsidRDefault="00BF2117" w:rsidP="006C4FE9">
            <w:pPr>
              <w:rPr>
                <w:sz w:val="16"/>
                <w:szCs w:val="16"/>
              </w:rPr>
            </w:pPr>
            <w:r w:rsidRPr="006A4F4B">
              <w:rPr>
                <w:sz w:val="16"/>
                <w:szCs w:val="16"/>
              </w:rPr>
              <w:t>Where taxable income does not exceed Rs.150,000</w:t>
            </w:r>
          </w:p>
        </w:tc>
        <w:tc>
          <w:tcPr>
            <w:tcW w:w="0" w:type="auto"/>
            <w:tcBorders>
              <w:top w:val="single" w:sz="6" w:space="0" w:color="008000"/>
              <w:left w:val="nil"/>
              <w:bottom w:val="nil"/>
              <w:right w:val="nil"/>
            </w:tcBorders>
          </w:tcPr>
          <w:p w:rsidR="00BF2117" w:rsidRPr="006A4F4B" w:rsidRDefault="00BF2117" w:rsidP="006C4FE9">
            <w:pPr>
              <w:rPr>
                <w:sz w:val="16"/>
                <w:szCs w:val="16"/>
              </w:rPr>
            </w:pPr>
            <w:r w:rsidRPr="006A4F4B">
              <w:rPr>
                <w:sz w:val="16"/>
                <w:szCs w:val="16"/>
              </w:rPr>
              <w:t>7.5%</w:t>
            </w:r>
          </w:p>
        </w:tc>
      </w:tr>
      <w:tr w:rsidR="00BF2117" w:rsidRPr="006A4F4B">
        <w:tc>
          <w:tcPr>
            <w:tcW w:w="720" w:type="dxa"/>
            <w:tcBorders>
              <w:top w:val="nil"/>
              <w:left w:val="nil"/>
              <w:bottom w:val="nil"/>
              <w:right w:val="nil"/>
            </w:tcBorders>
          </w:tcPr>
          <w:p w:rsidR="00BF2117" w:rsidRPr="006A4F4B" w:rsidRDefault="00BF2117" w:rsidP="00AA4BF8">
            <w:pPr>
              <w:pStyle w:val="CommentText"/>
              <w:numPr>
                <w:ilvl w:val="0"/>
                <w:numId w:val="18"/>
              </w:numPr>
              <w:rPr>
                <w:sz w:val="16"/>
                <w:szCs w:val="16"/>
              </w:rPr>
            </w:pPr>
          </w:p>
        </w:tc>
        <w:tc>
          <w:tcPr>
            <w:tcW w:w="3142" w:type="dxa"/>
            <w:tcBorders>
              <w:top w:val="nil"/>
              <w:left w:val="nil"/>
              <w:bottom w:val="nil"/>
              <w:right w:val="nil"/>
            </w:tcBorders>
          </w:tcPr>
          <w:p w:rsidR="00BF2117" w:rsidRPr="006A4F4B" w:rsidRDefault="00BF2117" w:rsidP="006C4FE9">
            <w:pPr>
              <w:rPr>
                <w:sz w:val="16"/>
                <w:szCs w:val="16"/>
              </w:rPr>
            </w:pPr>
            <w:r w:rsidRPr="006A4F4B">
              <w:rPr>
                <w:sz w:val="16"/>
                <w:szCs w:val="16"/>
              </w:rPr>
              <w:t>Where taxable income exceeds Rs.150,000 but does not exceed Rs.300,000</w:t>
            </w:r>
          </w:p>
        </w:tc>
        <w:tc>
          <w:tcPr>
            <w:tcW w:w="0" w:type="auto"/>
            <w:tcBorders>
              <w:top w:val="nil"/>
              <w:left w:val="nil"/>
              <w:bottom w:val="nil"/>
              <w:right w:val="nil"/>
            </w:tcBorders>
          </w:tcPr>
          <w:p w:rsidR="00BF2117" w:rsidRPr="006A4F4B" w:rsidRDefault="00BF2117" w:rsidP="006C4FE9">
            <w:pPr>
              <w:rPr>
                <w:sz w:val="16"/>
                <w:szCs w:val="16"/>
              </w:rPr>
            </w:pPr>
            <w:r w:rsidRPr="006A4F4B">
              <w:rPr>
                <w:sz w:val="16"/>
                <w:szCs w:val="16"/>
              </w:rPr>
              <w:t>Rs.11,250 plus 12.5% of the amount exceeding Rs.150,000.</w:t>
            </w:r>
          </w:p>
        </w:tc>
      </w:tr>
      <w:tr w:rsidR="00BF2117" w:rsidRPr="006A4F4B">
        <w:tc>
          <w:tcPr>
            <w:tcW w:w="720" w:type="dxa"/>
            <w:tcBorders>
              <w:top w:val="nil"/>
              <w:left w:val="nil"/>
              <w:bottom w:val="nil"/>
              <w:right w:val="nil"/>
            </w:tcBorders>
          </w:tcPr>
          <w:p w:rsidR="00BF2117" w:rsidRPr="006A4F4B" w:rsidRDefault="00BF2117" w:rsidP="00AA4BF8">
            <w:pPr>
              <w:pStyle w:val="CommentText"/>
              <w:numPr>
                <w:ilvl w:val="0"/>
                <w:numId w:val="18"/>
              </w:numPr>
              <w:rPr>
                <w:sz w:val="16"/>
                <w:szCs w:val="16"/>
              </w:rPr>
            </w:pPr>
          </w:p>
        </w:tc>
        <w:tc>
          <w:tcPr>
            <w:tcW w:w="3142" w:type="dxa"/>
            <w:tcBorders>
              <w:top w:val="nil"/>
              <w:left w:val="nil"/>
              <w:bottom w:val="nil"/>
              <w:right w:val="nil"/>
            </w:tcBorders>
          </w:tcPr>
          <w:p w:rsidR="00BF2117" w:rsidRPr="006A4F4B" w:rsidRDefault="00BF2117" w:rsidP="006C4FE9">
            <w:pPr>
              <w:rPr>
                <w:sz w:val="16"/>
                <w:szCs w:val="16"/>
              </w:rPr>
            </w:pPr>
            <w:r w:rsidRPr="006A4F4B">
              <w:rPr>
                <w:sz w:val="16"/>
                <w:szCs w:val="16"/>
              </w:rPr>
              <w:t>Where taxable income exceeds Rs.300,000 but does not exceed Rs.400,000</w:t>
            </w:r>
          </w:p>
        </w:tc>
        <w:tc>
          <w:tcPr>
            <w:tcW w:w="0" w:type="auto"/>
            <w:tcBorders>
              <w:top w:val="nil"/>
              <w:left w:val="nil"/>
              <w:bottom w:val="nil"/>
              <w:right w:val="nil"/>
            </w:tcBorders>
          </w:tcPr>
          <w:p w:rsidR="00BF2117" w:rsidRPr="006A4F4B" w:rsidRDefault="00BF2117" w:rsidP="006C4FE9">
            <w:pPr>
              <w:rPr>
                <w:sz w:val="16"/>
                <w:szCs w:val="16"/>
              </w:rPr>
            </w:pPr>
            <w:r w:rsidRPr="006A4F4B">
              <w:rPr>
                <w:sz w:val="16"/>
                <w:szCs w:val="16"/>
              </w:rPr>
              <w:t>Rs.30,000 plus 20% of the amount exceeding Rs.150,000.</w:t>
            </w:r>
          </w:p>
        </w:tc>
      </w:tr>
      <w:tr w:rsidR="00BF2117" w:rsidRPr="006A4F4B">
        <w:tc>
          <w:tcPr>
            <w:tcW w:w="720" w:type="dxa"/>
            <w:tcBorders>
              <w:top w:val="nil"/>
              <w:left w:val="nil"/>
              <w:bottom w:val="nil"/>
              <w:right w:val="nil"/>
            </w:tcBorders>
          </w:tcPr>
          <w:p w:rsidR="00BF2117" w:rsidRPr="006A4F4B" w:rsidRDefault="00BF2117" w:rsidP="00AA4BF8">
            <w:pPr>
              <w:pStyle w:val="CommentText"/>
              <w:numPr>
                <w:ilvl w:val="0"/>
                <w:numId w:val="18"/>
              </w:numPr>
              <w:rPr>
                <w:sz w:val="16"/>
                <w:szCs w:val="16"/>
              </w:rPr>
            </w:pPr>
          </w:p>
        </w:tc>
        <w:tc>
          <w:tcPr>
            <w:tcW w:w="3142" w:type="dxa"/>
            <w:tcBorders>
              <w:top w:val="nil"/>
              <w:left w:val="nil"/>
              <w:bottom w:val="nil"/>
              <w:right w:val="nil"/>
            </w:tcBorders>
          </w:tcPr>
          <w:p w:rsidR="00BF2117" w:rsidRPr="006A4F4B" w:rsidRDefault="00BF2117" w:rsidP="006C4FE9">
            <w:pPr>
              <w:pStyle w:val="BodyText2"/>
              <w:jc w:val="left"/>
              <w:rPr>
                <w:sz w:val="16"/>
                <w:szCs w:val="16"/>
              </w:rPr>
            </w:pPr>
            <w:r w:rsidRPr="006A4F4B">
              <w:rPr>
                <w:sz w:val="16"/>
                <w:szCs w:val="16"/>
              </w:rPr>
              <w:t xml:space="preserve">Where taxable income exceeds Rs.400,000 but does not exceed Rs.700,000 </w:t>
            </w:r>
          </w:p>
        </w:tc>
        <w:tc>
          <w:tcPr>
            <w:tcW w:w="0" w:type="auto"/>
            <w:tcBorders>
              <w:top w:val="nil"/>
              <w:left w:val="nil"/>
              <w:bottom w:val="nil"/>
              <w:right w:val="nil"/>
            </w:tcBorders>
          </w:tcPr>
          <w:p w:rsidR="00BF2117" w:rsidRPr="006A4F4B" w:rsidRDefault="00BF2117" w:rsidP="006C4FE9">
            <w:pPr>
              <w:rPr>
                <w:sz w:val="16"/>
                <w:szCs w:val="16"/>
              </w:rPr>
            </w:pPr>
            <w:r w:rsidRPr="006A4F4B">
              <w:rPr>
                <w:sz w:val="16"/>
                <w:szCs w:val="16"/>
              </w:rPr>
              <w:t>Rs.50,000 plus 25% of the amount exceeding Rs.400,000</w:t>
            </w:r>
          </w:p>
        </w:tc>
      </w:tr>
      <w:tr w:rsidR="00BF2117" w:rsidRPr="006A4F4B">
        <w:trPr>
          <w:trHeight w:val="378"/>
        </w:trPr>
        <w:tc>
          <w:tcPr>
            <w:tcW w:w="720" w:type="dxa"/>
            <w:tcBorders>
              <w:top w:val="nil"/>
              <w:left w:val="nil"/>
              <w:bottom w:val="single" w:sz="12" w:space="0" w:color="008000"/>
              <w:right w:val="nil"/>
            </w:tcBorders>
          </w:tcPr>
          <w:p w:rsidR="00BF2117" w:rsidRPr="006A4F4B" w:rsidRDefault="00BF2117" w:rsidP="00AA4BF8">
            <w:pPr>
              <w:pStyle w:val="CommentText"/>
              <w:numPr>
                <w:ilvl w:val="0"/>
                <w:numId w:val="18"/>
              </w:numPr>
              <w:rPr>
                <w:sz w:val="16"/>
                <w:szCs w:val="16"/>
              </w:rPr>
            </w:pPr>
          </w:p>
        </w:tc>
        <w:tc>
          <w:tcPr>
            <w:tcW w:w="3142" w:type="dxa"/>
            <w:tcBorders>
              <w:top w:val="nil"/>
              <w:left w:val="nil"/>
              <w:bottom w:val="single" w:sz="12" w:space="0" w:color="008000"/>
              <w:right w:val="nil"/>
            </w:tcBorders>
          </w:tcPr>
          <w:p w:rsidR="00BF2117" w:rsidRPr="006A4F4B" w:rsidRDefault="00BF2117" w:rsidP="006C4FE9">
            <w:pPr>
              <w:rPr>
                <w:sz w:val="16"/>
                <w:szCs w:val="16"/>
              </w:rPr>
            </w:pPr>
            <w:r w:rsidRPr="006A4F4B">
              <w:rPr>
                <w:sz w:val="16"/>
                <w:szCs w:val="16"/>
              </w:rPr>
              <w:t>Where taxable income exceeds Rs.700,000</w:t>
            </w:r>
          </w:p>
        </w:tc>
        <w:tc>
          <w:tcPr>
            <w:tcW w:w="0" w:type="auto"/>
            <w:tcBorders>
              <w:top w:val="nil"/>
              <w:left w:val="nil"/>
              <w:bottom w:val="single" w:sz="12" w:space="0" w:color="008000"/>
              <w:right w:val="nil"/>
            </w:tcBorders>
          </w:tcPr>
          <w:p w:rsidR="00BF2117" w:rsidRPr="006A4F4B" w:rsidRDefault="00BF2117" w:rsidP="006C4FE9">
            <w:pPr>
              <w:pStyle w:val="Header"/>
              <w:tabs>
                <w:tab w:val="left" w:pos="547"/>
              </w:tabs>
              <w:rPr>
                <w:b/>
                <w:bCs/>
                <w:sz w:val="16"/>
                <w:szCs w:val="16"/>
              </w:rPr>
            </w:pPr>
            <w:r w:rsidRPr="006A4F4B">
              <w:rPr>
                <w:sz w:val="16"/>
                <w:szCs w:val="16"/>
              </w:rPr>
              <w:t>Rs.125,000 plus 35% of the amount exceeding Rs.700,000</w:t>
            </w:r>
            <w:r w:rsidRPr="006A4F4B">
              <w:rPr>
                <w:b/>
                <w:bCs/>
                <w:sz w:val="16"/>
                <w:szCs w:val="16"/>
              </w:rPr>
              <w:t>”</w:t>
            </w:r>
          </w:p>
        </w:tc>
      </w:tr>
    </w:tbl>
    <w:p w:rsidR="00BF2117" w:rsidRPr="006A4F4B" w:rsidRDefault="00BF2117" w:rsidP="00AA4BF8">
      <w:pPr>
        <w:rPr>
          <w:sz w:val="16"/>
          <w:szCs w:val="16"/>
        </w:rPr>
      </w:pPr>
    </w:p>
  </w:footnote>
  <w:footnote w:id="1593">
    <w:p w:rsidR="00BF2117" w:rsidRPr="006A4F4B" w:rsidRDefault="00BF2117" w:rsidP="00AE06FD">
      <w:pPr>
        <w:pStyle w:val="FootnoteText"/>
        <w:keepNext/>
        <w:jc w:val="both"/>
        <w:rPr>
          <w:sz w:val="16"/>
          <w:szCs w:val="16"/>
        </w:rPr>
      </w:pPr>
      <w:r w:rsidRPr="006A4F4B">
        <w:rPr>
          <w:rStyle w:val="FootnoteReference"/>
          <w:rFonts w:cs="Arial"/>
          <w:sz w:val="16"/>
          <w:szCs w:val="16"/>
        </w:rPr>
        <w:footnoteRef/>
      </w:r>
      <w:r w:rsidRPr="006A4F4B">
        <w:rPr>
          <w:sz w:val="16"/>
          <w:szCs w:val="16"/>
        </w:rPr>
        <w:t xml:space="preserve"> Clause 3 omitted by the Finance Act 2002. The omitted clause 3 read as follows:</w:t>
      </w:r>
    </w:p>
    <w:p w:rsidR="00BF2117" w:rsidRPr="006A4F4B" w:rsidRDefault="00BF2117" w:rsidP="00AE06FD">
      <w:pPr>
        <w:pStyle w:val="BodyTextIndent"/>
        <w:keepNext/>
        <w:jc w:val="both"/>
        <w:rPr>
          <w:sz w:val="16"/>
          <w:szCs w:val="16"/>
        </w:rPr>
      </w:pPr>
      <w:r w:rsidRPr="006A4F4B">
        <w:rPr>
          <w:sz w:val="16"/>
          <w:szCs w:val="16"/>
        </w:rPr>
        <w:t xml:space="preserve">   “3.</w:t>
      </w:r>
      <w:r w:rsidRPr="006A4F4B">
        <w:rPr>
          <w:sz w:val="16"/>
          <w:szCs w:val="16"/>
        </w:rPr>
        <w:tab/>
        <w:t>The rates of tax applicable to a legal representative of a deceased individual liable for tax under clause (b) of sub-section (1) of section 87 shall be –</w:t>
      </w:r>
    </w:p>
    <w:p w:rsidR="00BF2117" w:rsidRPr="006A4F4B" w:rsidRDefault="00BF2117" w:rsidP="00AE06FD">
      <w:pPr>
        <w:pStyle w:val="BodyTextIndent"/>
        <w:keepNext/>
        <w:ind w:left="2160"/>
        <w:jc w:val="both"/>
        <w:rPr>
          <w:sz w:val="16"/>
          <w:szCs w:val="16"/>
        </w:rPr>
      </w:pPr>
      <w:r w:rsidRPr="006A4F4B">
        <w:rPr>
          <w:sz w:val="16"/>
          <w:szCs w:val="16"/>
        </w:rPr>
        <w:t>(a)</w:t>
      </w:r>
      <w:r w:rsidRPr="006A4F4B">
        <w:rPr>
          <w:sz w:val="16"/>
          <w:szCs w:val="16"/>
        </w:rPr>
        <w:tab/>
        <w:t>in the tax year in which the deceased died and the following tax year, the rates applicable under clause 1; or</w:t>
      </w:r>
    </w:p>
    <w:p w:rsidR="00BF2117" w:rsidRPr="006A4F4B" w:rsidRDefault="00BF2117" w:rsidP="00AE06FD">
      <w:pPr>
        <w:pStyle w:val="FootnoteText"/>
        <w:ind w:left="2160"/>
        <w:rPr>
          <w:sz w:val="16"/>
          <w:szCs w:val="16"/>
        </w:rPr>
      </w:pPr>
      <w:r w:rsidRPr="006A4F4B">
        <w:rPr>
          <w:sz w:val="16"/>
          <w:szCs w:val="16"/>
        </w:rPr>
        <w:t>(b)</w:t>
      </w:r>
      <w:r w:rsidRPr="006A4F4B">
        <w:rPr>
          <w:sz w:val="16"/>
          <w:szCs w:val="16"/>
        </w:rPr>
        <w:tab/>
        <w:t>in any subsequent year, 35%.”</w:t>
      </w:r>
    </w:p>
    <w:p w:rsidR="00BF2117" w:rsidRPr="006A4F4B" w:rsidRDefault="00BF2117" w:rsidP="00AE06FD">
      <w:pPr>
        <w:pStyle w:val="FootnoteText"/>
        <w:ind w:left="0" w:firstLine="0"/>
        <w:rPr>
          <w:sz w:val="16"/>
          <w:szCs w:val="16"/>
        </w:rPr>
      </w:pPr>
    </w:p>
  </w:footnote>
  <w:footnote w:id="1594">
    <w:p w:rsidR="00BF2117" w:rsidRPr="006A4F4B" w:rsidRDefault="00BF2117" w:rsidP="00AE06FD">
      <w:pPr>
        <w:pStyle w:val="FootnoteText"/>
        <w:rPr>
          <w:sz w:val="16"/>
          <w:szCs w:val="16"/>
        </w:rPr>
      </w:pPr>
      <w:r w:rsidRPr="006A4F4B">
        <w:rPr>
          <w:rStyle w:val="FootnoteReference"/>
          <w:rFonts w:cs="Arial"/>
          <w:sz w:val="16"/>
          <w:szCs w:val="16"/>
        </w:rPr>
        <w:footnoteRef/>
      </w:r>
      <w:r w:rsidRPr="006A4F4B">
        <w:rPr>
          <w:sz w:val="16"/>
          <w:szCs w:val="16"/>
        </w:rPr>
        <w:t xml:space="preserve"> “Division IA” omitted by the Finance Act, 2013. The omitted “Division IA” read as follows:</w:t>
      </w:r>
    </w:p>
    <w:p w:rsidR="00BF2117" w:rsidRPr="006A4F4B" w:rsidRDefault="00BF2117" w:rsidP="00AE06FD">
      <w:pPr>
        <w:keepNext/>
        <w:ind w:left="720" w:hanging="720"/>
        <w:jc w:val="center"/>
        <w:rPr>
          <w:b/>
          <w:bCs/>
          <w:sz w:val="16"/>
          <w:szCs w:val="16"/>
        </w:rPr>
      </w:pPr>
      <w:r w:rsidRPr="006A4F4B">
        <w:rPr>
          <w:sz w:val="16"/>
          <w:szCs w:val="16"/>
        </w:rPr>
        <w:t>“</w:t>
      </w:r>
      <w:r w:rsidRPr="006A4F4B">
        <w:rPr>
          <w:b/>
          <w:bCs/>
          <w:sz w:val="16"/>
          <w:szCs w:val="16"/>
        </w:rPr>
        <w:t>Division IA</w:t>
      </w:r>
    </w:p>
    <w:p w:rsidR="00BF2117" w:rsidRPr="006A4F4B" w:rsidRDefault="00BF2117" w:rsidP="00AE06FD">
      <w:pPr>
        <w:keepNext/>
        <w:ind w:left="720" w:hanging="720"/>
        <w:jc w:val="center"/>
        <w:rPr>
          <w:sz w:val="16"/>
          <w:szCs w:val="16"/>
        </w:rPr>
      </w:pPr>
      <w:r w:rsidRPr="006A4F4B">
        <w:rPr>
          <w:b/>
          <w:bCs/>
          <w:sz w:val="16"/>
          <w:szCs w:val="16"/>
        </w:rPr>
        <w:t>Rate of Tax on certain persons</w:t>
      </w:r>
    </w:p>
    <w:p w:rsidR="00BF2117" w:rsidRPr="006A4F4B" w:rsidRDefault="00BF2117" w:rsidP="00F243CD">
      <w:pPr>
        <w:pStyle w:val="FootnoteText"/>
        <w:rPr>
          <w:sz w:val="16"/>
          <w:szCs w:val="16"/>
        </w:rPr>
      </w:pPr>
      <w:r w:rsidRPr="006A4F4B">
        <w:rPr>
          <w:sz w:val="16"/>
          <w:szCs w:val="16"/>
        </w:rPr>
        <w:tab/>
      </w:r>
      <w:r w:rsidRPr="006A4F4B">
        <w:rPr>
          <w:sz w:val="16"/>
          <w:szCs w:val="16"/>
        </w:rPr>
        <w:tab/>
        <w:t xml:space="preserve">The rate of tax to be paid under sub-section (1) of section 113A shall be </w:t>
      </w:r>
      <w:r w:rsidRPr="006A4F4B">
        <w:rPr>
          <w:i/>
          <w:iCs/>
          <w:sz w:val="16"/>
          <w:szCs w:val="16"/>
        </w:rPr>
        <w:t>one per cent</w:t>
      </w:r>
      <w:r w:rsidRPr="006A4F4B">
        <w:rPr>
          <w:sz w:val="16"/>
          <w:szCs w:val="16"/>
        </w:rPr>
        <w:t xml:space="preserve"> of the turnover.”</w:t>
      </w:r>
    </w:p>
    <w:p w:rsidR="00BF2117" w:rsidRPr="006A4F4B" w:rsidRDefault="00BF2117" w:rsidP="00F243CD">
      <w:pPr>
        <w:pStyle w:val="FootnoteText"/>
        <w:keepNext/>
        <w:ind w:left="0" w:firstLine="0"/>
        <w:jc w:val="both"/>
        <w:rPr>
          <w:sz w:val="16"/>
          <w:szCs w:val="16"/>
        </w:rPr>
      </w:pPr>
    </w:p>
  </w:footnote>
  <w:footnote w:id="1595">
    <w:p w:rsidR="00BF2117" w:rsidRPr="006A4F4B" w:rsidRDefault="00BF2117" w:rsidP="00AA4BF8">
      <w:pPr>
        <w:pStyle w:val="FootnoteText"/>
        <w:rPr>
          <w:sz w:val="16"/>
          <w:szCs w:val="16"/>
        </w:rPr>
      </w:pPr>
      <w:r w:rsidRPr="006A4F4B">
        <w:rPr>
          <w:rStyle w:val="FootnoteReference"/>
          <w:rFonts w:cs="Arial"/>
          <w:sz w:val="16"/>
          <w:szCs w:val="16"/>
        </w:rPr>
        <w:footnoteRef/>
      </w:r>
      <w:r w:rsidRPr="006A4F4B">
        <w:rPr>
          <w:sz w:val="16"/>
          <w:szCs w:val="16"/>
        </w:rPr>
        <w:t xml:space="preserve"> “Division IB” omitted by the Finance Act, 2012. The omitted “Division IB” read as follows:-</w:t>
      </w:r>
    </w:p>
    <w:p w:rsidR="00BF2117" w:rsidRPr="006A4F4B" w:rsidRDefault="00BF2117" w:rsidP="00AA4BF8">
      <w:pPr>
        <w:pStyle w:val="BodyTextIndent"/>
        <w:jc w:val="center"/>
        <w:rPr>
          <w:b/>
          <w:bCs/>
          <w:sz w:val="16"/>
          <w:szCs w:val="16"/>
        </w:rPr>
      </w:pPr>
      <w:r w:rsidRPr="006A4F4B">
        <w:rPr>
          <w:sz w:val="16"/>
          <w:szCs w:val="16"/>
        </w:rPr>
        <w:t>“</w:t>
      </w:r>
      <w:r w:rsidRPr="006A4F4B">
        <w:rPr>
          <w:b/>
          <w:bCs/>
          <w:sz w:val="16"/>
          <w:szCs w:val="16"/>
        </w:rPr>
        <w:t>Division IB</w:t>
      </w:r>
    </w:p>
    <w:p w:rsidR="00BF2117" w:rsidRPr="006A4F4B" w:rsidRDefault="00BF2117" w:rsidP="00AA4BF8">
      <w:pPr>
        <w:pStyle w:val="BodyTextIndent"/>
        <w:jc w:val="center"/>
        <w:rPr>
          <w:sz w:val="16"/>
          <w:szCs w:val="16"/>
        </w:rPr>
      </w:pPr>
      <w:r w:rsidRPr="006A4F4B">
        <w:rPr>
          <w:b/>
          <w:bCs/>
          <w:sz w:val="16"/>
          <w:szCs w:val="16"/>
        </w:rPr>
        <w:t>Rates of Tax for Association of Persons</w:t>
      </w:r>
    </w:p>
    <w:p w:rsidR="00BF2117" w:rsidRPr="006A4F4B" w:rsidRDefault="00BF2117" w:rsidP="00AA4BF8">
      <w:pPr>
        <w:pStyle w:val="BodyTextIndent"/>
        <w:ind w:left="0" w:firstLine="0"/>
        <w:jc w:val="both"/>
        <w:rPr>
          <w:sz w:val="16"/>
          <w:szCs w:val="16"/>
        </w:rPr>
      </w:pPr>
      <w:r w:rsidRPr="006A4F4B">
        <w:rPr>
          <w:sz w:val="16"/>
          <w:szCs w:val="16"/>
        </w:rPr>
        <w:tab/>
      </w:r>
      <w:r w:rsidRPr="006A4F4B">
        <w:rPr>
          <w:sz w:val="16"/>
          <w:szCs w:val="16"/>
        </w:rPr>
        <w:tab/>
        <w:t>The rate of tax imposed on the taxable income of Association of Persons for the tax year 2010 and onward shall be 25%.”</w:t>
      </w:r>
    </w:p>
  </w:footnote>
  <w:footnote w:id="1596">
    <w:p w:rsidR="00BF2117" w:rsidRPr="00FA0B02" w:rsidRDefault="00BF2117" w:rsidP="00AA4BF8">
      <w:pPr>
        <w:pStyle w:val="Heading2"/>
        <w:spacing w:line="240" w:lineRule="auto"/>
        <w:jc w:val="left"/>
        <w:rPr>
          <w:b w:val="0"/>
          <w:bCs/>
          <w:sz w:val="16"/>
          <w:szCs w:val="16"/>
        </w:rPr>
      </w:pPr>
      <w:r w:rsidRPr="00FA0B02">
        <w:rPr>
          <w:rStyle w:val="FootnoteReference"/>
          <w:rFonts w:cs="Arial"/>
          <w:b w:val="0"/>
          <w:sz w:val="16"/>
          <w:szCs w:val="16"/>
        </w:rPr>
        <w:footnoteRef/>
      </w:r>
      <w:r w:rsidRPr="00FA0B02">
        <w:rPr>
          <w:b w:val="0"/>
          <w:sz w:val="16"/>
          <w:szCs w:val="16"/>
        </w:rPr>
        <w:t xml:space="preserve"> Division II substituted by the Finance</w:t>
      </w:r>
      <w:r>
        <w:rPr>
          <w:b w:val="0"/>
          <w:sz w:val="16"/>
          <w:szCs w:val="16"/>
        </w:rPr>
        <w:t xml:space="preserve"> </w:t>
      </w:r>
      <w:r w:rsidRPr="00FA0B02">
        <w:rPr>
          <w:b w:val="0"/>
          <w:sz w:val="16"/>
          <w:szCs w:val="16"/>
        </w:rPr>
        <w:t>Act, 2002. The substituted Division II read as follows:</w:t>
      </w:r>
    </w:p>
    <w:p w:rsidR="00BF2117" w:rsidRPr="00FA0B02" w:rsidRDefault="00BF2117" w:rsidP="00AA4BF8">
      <w:pPr>
        <w:pStyle w:val="Heading2"/>
        <w:spacing w:line="240" w:lineRule="auto"/>
        <w:rPr>
          <w:sz w:val="16"/>
          <w:szCs w:val="16"/>
        </w:rPr>
      </w:pPr>
      <w:r w:rsidRPr="00FA0B02">
        <w:rPr>
          <w:sz w:val="16"/>
          <w:szCs w:val="16"/>
        </w:rPr>
        <w:t>“Division II</w:t>
      </w:r>
    </w:p>
    <w:p w:rsidR="00BF2117" w:rsidRPr="00FA0B02" w:rsidRDefault="00BF2117" w:rsidP="00AA4BF8">
      <w:pPr>
        <w:pStyle w:val="Heading2"/>
        <w:spacing w:line="240" w:lineRule="auto"/>
        <w:rPr>
          <w:sz w:val="16"/>
          <w:szCs w:val="16"/>
        </w:rPr>
      </w:pPr>
      <w:r w:rsidRPr="00FA0B02">
        <w:rPr>
          <w:sz w:val="16"/>
          <w:szCs w:val="16"/>
        </w:rPr>
        <w:t>Rates of Tax for Companies</w:t>
      </w:r>
    </w:p>
    <w:p w:rsidR="00BF2117" w:rsidRPr="00FA0B02" w:rsidRDefault="00BF2117" w:rsidP="00AA4BF8">
      <w:pPr>
        <w:pStyle w:val="BodyText3"/>
        <w:keepNext/>
        <w:widowControl/>
        <w:rPr>
          <w:sz w:val="16"/>
          <w:szCs w:val="16"/>
          <w:lang w:val="en-AU"/>
        </w:rPr>
      </w:pPr>
      <w:r w:rsidRPr="00FA0B02">
        <w:rPr>
          <w:sz w:val="16"/>
          <w:szCs w:val="16"/>
          <w:lang w:val="en-AU"/>
        </w:rPr>
        <w:tab/>
        <w:t>The rates of tax imposed on the taxable income of a company shall be as set out in the following table, namely:–</w:t>
      </w:r>
    </w:p>
    <w:p w:rsidR="00BF2117" w:rsidRPr="00FA0B02" w:rsidRDefault="00BF2117" w:rsidP="00AA4BF8">
      <w:pPr>
        <w:pStyle w:val="Heading2"/>
        <w:spacing w:line="240" w:lineRule="auto"/>
        <w:rPr>
          <w:sz w:val="16"/>
          <w:szCs w:val="16"/>
        </w:rPr>
      </w:pPr>
      <w:r w:rsidRPr="00FA0B02">
        <w:rPr>
          <w:sz w:val="16"/>
          <w:szCs w:val="16"/>
        </w:rPr>
        <w:t>TABLE</w:t>
      </w:r>
    </w:p>
    <w:tbl>
      <w:tblPr>
        <w:tblW w:w="0" w:type="auto"/>
        <w:tblInd w:w="2" w:type="dxa"/>
        <w:tblBorders>
          <w:top w:val="single" w:sz="12" w:space="0" w:color="008000"/>
          <w:bottom w:val="single" w:sz="12" w:space="0" w:color="008000"/>
        </w:tblBorders>
        <w:tblLayout w:type="fixed"/>
        <w:tblLook w:val="00A0"/>
      </w:tblPr>
      <w:tblGrid>
        <w:gridCol w:w="914"/>
        <w:gridCol w:w="2718"/>
        <w:gridCol w:w="3587"/>
      </w:tblGrid>
      <w:tr w:rsidR="00BF2117" w:rsidRPr="00FA0B02">
        <w:tc>
          <w:tcPr>
            <w:tcW w:w="914" w:type="dxa"/>
            <w:tcBorders>
              <w:top w:val="single" w:sz="12" w:space="0" w:color="008000"/>
              <w:left w:val="nil"/>
              <w:bottom w:val="single" w:sz="6" w:space="0" w:color="008000"/>
              <w:right w:val="nil"/>
            </w:tcBorders>
          </w:tcPr>
          <w:p w:rsidR="00BF2117" w:rsidRPr="00FA0B02" w:rsidRDefault="00BF2117">
            <w:pPr>
              <w:jc w:val="center"/>
              <w:rPr>
                <w:sz w:val="16"/>
                <w:szCs w:val="16"/>
              </w:rPr>
            </w:pPr>
            <w:r w:rsidRPr="00FA0B02">
              <w:rPr>
                <w:sz w:val="16"/>
                <w:szCs w:val="16"/>
              </w:rPr>
              <w:t>Banking company</w:t>
            </w:r>
          </w:p>
          <w:p w:rsidR="00BF2117" w:rsidRPr="00FA0B02" w:rsidRDefault="00BF2117">
            <w:pPr>
              <w:jc w:val="center"/>
              <w:rPr>
                <w:sz w:val="16"/>
                <w:szCs w:val="16"/>
              </w:rPr>
            </w:pPr>
            <w:r w:rsidRPr="00FA0B02">
              <w:rPr>
                <w:sz w:val="16"/>
                <w:szCs w:val="16"/>
              </w:rPr>
              <w:t>(1)</w:t>
            </w:r>
          </w:p>
        </w:tc>
        <w:tc>
          <w:tcPr>
            <w:tcW w:w="2718" w:type="dxa"/>
            <w:tcBorders>
              <w:top w:val="single" w:sz="12" w:space="0" w:color="008000"/>
              <w:left w:val="nil"/>
              <w:bottom w:val="single" w:sz="6" w:space="0" w:color="008000"/>
              <w:right w:val="nil"/>
            </w:tcBorders>
          </w:tcPr>
          <w:p w:rsidR="00BF2117" w:rsidRPr="00FA0B02" w:rsidRDefault="00BF2117">
            <w:pPr>
              <w:jc w:val="center"/>
              <w:rPr>
                <w:sz w:val="16"/>
                <w:szCs w:val="16"/>
              </w:rPr>
            </w:pPr>
            <w:r w:rsidRPr="00FA0B02">
              <w:rPr>
                <w:sz w:val="16"/>
                <w:szCs w:val="16"/>
              </w:rPr>
              <w:t>Public company, other than a banking company.</w:t>
            </w:r>
          </w:p>
          <w:p w:rsidR="00BF2117" w:rsidRPr="00FA0B02" w:rsidRDefault="00BF2117">
            <w:pPr>
              <w:jc w:val="center"/>
              <w:rPr>
                <w:sz w:val="16"/>
                <w:szCs w:val="16"/>
              </w:rPr>
            </w:pPr>
            <w:r w:rsidRPr="00FA0B02">
              <w:rPr>
                <w:sz w:val="16"/>
                <w:szCs w:val="16"/>
              </w:rPr>
              <w:t>(2)</w:t>
            </w:r>
          </w:p>
        </w:tc>
        <w:tc>
          <w:tcPr>
            <w:tcW w:w="3587" w:type="dxa"/>
            <w:tcBorders>
              <w:top w:val="single" w:sz="12" w:space="0" w:color="008000"/>
              <w:left w:val="nil"/>
              <w:bottom w:val="single" w:sz="6" w:space="0" w:color="008000"/>
              <w:right w:val="nil"/>
            </w:tcBorders>
          </w:tcPr>
          <w:p w:rsidR="00BF2117" w:rsidRPr="00FA0B02" w:rsidRDefault="00BF2117">
            <w:pPr>
              <w:jc w:val="center"/>
              <w:rPr>
                <w:sz w:val="16"/>
                <w:szCs w:val="16"/>
              </w:rPr>
            </w:pPr>
            <w:r w:rsidRPr="00FA0B02">
              <w:rPr>
                <w:sz w:val="16"/>
                <w:szCs w:val="16"/>
              </w:rPr>
              <w:t>Private company, other than a banking company.</w:t>
            </w:r>
          </w:p>
          <w:p w:rsidR="00BF2117" w:rsidRPr="00FA0B02" w:rsidRDefault="00BF2117">
            <w:pPr>
              <w:jc w:val="center"/>
              <w:rPr>
                <w:sz w:val="16"/>
                <w:szCs w:val="16"/>
              </w:rPr>
            </w:pPr>
          </w:p>
          <w:p w:rsidR="00BF2117" w:rsidRPr="00FA0B02" w:rsidRDefault="00BF2117">
            <w:pPr>
              <w:jc w:val="center"/>
              <w:rPr>
                <w:sz w:val="16"/>
                <w:szCs w:val="16"/>
              </w:rPr>
            </w:pPr>
            <w:r w:rsidRPr="00FA0B02">
              <w:rPr>
                <w:sz w:val="16"/>
                <w:szCs w:val="16"/>
              </w:rPr>
              <w:t>(3)</w:t>
            </w:r>
          </w:p>
        </w:tc>
      </w:tr>
      <w:tr w:rsidR="00BF2117" w:rsidRPr="00FA0B02">
        <w:trPr>
          <w:trHeight w:val="237"/>
        </w:trPr>
        <w:tc>
          <w:tcPr>
            <w:tcW w:w="914" w:type="dxa"/>
            <w:tcBorders>
              <w:top w:val="single" w:sz="6" w:space="0" w:color="008000"/>
              <w:left w:val="nil"/>
              <w:bottom w:val="single" w:sz="12" w:space="0" w:color="008000"/>
              <w:right w:val="nil"/>
            </w:tcBorders>
          </w:tcPr>
          <w:p w:rsidR="00BF2117" w:rsidRPr="00FA0B02" w:rsidRDefault="00BF2117">
            <w:pPr>
              <w:jc w:val="center"/>
              <w:rPr>
                <w:sz w:val="16"/>
                <w:szCs w:val="16"/>
              </w:rPr>
            </w:pPr>
            <w:r w:rsidRPr="00FA0B02">
              <w:rPr>
                <w:sz w:val="16"/>
                <w:szCs w:val="16"/>
              </w:rPr>
              <w:t>50%</w:t>
            </w:r>
          </w:p>
        </w:tc>
        <w:tc>
          <w:tcPr>
            <w:tcW w:w="2718" w:type="dxa"/>
            <w:tcBorders>
              <w:top w:val="single" w:sz="6" w:space="0" w:color="008000"/>
              <w:left w:val="nil"/>
              <w:bottom w:val="single" w:sz="12" w:space="0" w:color="008000"/>
              <w:right w:val="nil"/>
            </w:tcBorders>
          </w:tcPr>
          <w:p w:rsidR="00BF2117" w:rsidRPr="00FA0B02" w:rsidRDefault="00BF2117">
            <w:pPr>
              <w:jc w:val="center"/>
              <w:rPr>
                <w:sz w:val="16"/>
                <w:szCs w:val="16"/>
              </w:rPr>
            </w:pPr>
            <w:r w:rsidRPr="00FA0B02">
              <w:rPr>
                <w:sz w:val="16"/>
                <w:szCs w:val="16"/>
              </w:rPr>
              <w:t>35%</w:t>
            </w:r>
          </w:p>
        </w:tc>
        <w:tc>
          <w:tcPr>
            <w:tcW w:w="3587" w:type="dxa"/>
            <w:tcBorders>
              <w:top w:val="single" w:sz="6" w:space="0" w:color="008000"/>
              <w:left w:val="nil"/>
              <w:bottom w:val="single" w:sz="12" w:space="0" w:color="008000"/>
              <w:right w:val="nil"/>
            </w:tcBorders>
          </w:tcPr>
          <w:p w:rsidR="00BF2117" w:rsidRPr="00FA0B02" w:rsidRDefault="00BF2117">
            <w:pPr>
              <w:jc w:val="center"/>
              <w:rPr>
                <w:sz w:val="16"/>
                <w:szCs w:val="16"/>
              </w:rPr>
            </w:pPr>
            <w:r w:rsidRPr="00FA0B02">
              <w:rPr>
                <w:sz w:val="16"/>
                <w:szCs w:val="16"/>
              </w:rPr>
              <w:t>45%”</w:t>
            </w:r>
          </w:p>
        </w:tc>
      </w:tr>
    </w:tbl>
    <w:p w:rsidR="00BF2117" w:rsidRPr="00FA0B02" w:rsidRDefault="00BF2117" w:rsidP="00AA4BF8">
      <w:pPr>
        <w:rPr>
          <w:sz w:val="16"/>
          <w:szCs w:val="16"/>
        </w:rPr>
      </w:pPr>
    </w:p>
  </w:footnote>
  <w:footnote w:id="1597">
    <w:p w:rsidR="00BF2117" w:rsidRPr="00FA0B02" w:rsidRDefault="00BF2117" w:rsidP="00AA4BF8">
      <w:pPr>
        <w:pStyle w:val="FootnoteText"/>
        <w:rPr>
          <w:sz w:val="16"/>
          <w:szCs w:val="16"/>
        </w:rPr>
      </w:pPr>
      <w:r w:rsidRPr="00FA0B02">
        <w:rPr>
          <w:rStyle w:val="FootnoteReference"/>
          <w:rFonts w:cs="Arial"/>
          <w:sz w:val="16"/>
          <w:szCs w:val="16"/>
        </w:rPr>
        <w:footnoteRef/>
      </w:r>
      <w:r w:rsidRPr="00FA0B02">
        <w:rPr>
          <w:sz w:val="16"/>
          <w:szCs w:val="16"/>
        </w:rPr>
        <w:t xml:space="preserve"> Substituted by the Finance Act, 2007. The substituted clause (i) read as follows:</w:t>
      </w:r>
    </w:p>
    <w:p w:rsidR="00BF2117" w:rsidRPr="00FA0B02" w:rsidRDefault="00BF2117" w:rsidP="00AA4BF8">
      <w:pPr>
        <w:ind w:left="2188" w:hanging="547"/>
        <w:jc w:val="both"/>
        <w:rPr>
          <w:sz w:val="16"/>
          <w:szCs w:val="16"/>
        </w:rPr>
      </w:pPr>
      <w:r w:rsidRPr="00FA0B02">
        <w:rPr>
          <w:sz w:val="16"/>
          <w:szCs w:val="16"/>
        </w:rPr>
        <w:t xml:space="preserve">“(i) </w:t>
      </w:r>
      <w:r w:rsidRPr="00FA0B02">
        <w:rPr>
          <w:sz w:val="16"/>
          <w:szCs w:val="16"/>
        </w:rPr>
        <w:tab/>
        <w:t>The rates of tax imposed on the taxable income of a company shall be set out in the following table, namely:-</w:t>
      </w:r>
    </w:p>
    <w:p w:rsidR="00BF2117" w:rsidRPr="00FA0B02" w:rsidRDefault="00BF2117" w:rsidP="00AA4BF8">
      <w:pPr>
        <w:pStyle w:val="Heading1"/>
        <w:spacing w:line="240" w:lineRule="auto"/>
        <w:rPr>
          <w:caps w:val="0"/>
          <w:sz w:val="16"/>
          <w:szCs w:val="16"/>
        </w:rPr>
      </w:pPr>
      <w:r w:rsidRPr="00FA0B02">
        <w:rPr>
          <w:caps w:val="0"/>
          <w:sz w:val="16"/>
          <w:szCs w:val="16"/>
        </w:rPr>
        <w:t>TABLE</w:t>
      </w:r>
    </w:p>
    <w:tbl>
      <w:tblPr>
        <w:tblW w:w="0" w:type="auto"/>
        <w:tblInd w:w="2" w:type="dxa"/>
        <w:tblBorders>
          <w:top w:val="single" w:sz="12" w:space="0" w:color="008000"/>
          <w:bottom w:val="single" w:sz="12" w:space="0" w:color="008000"/>
        </w:tblBorders>
        <w:tblLayout w:type="fixed"/>
        <w:tblLook w:val="00A0"/>
      </w:tblPr>
      <w:tblGrid>
        <w:gridCol w:w="919"/>
        <w:gridCol w:w="1180"/>
        <w:gridCol w:w="1838"/>
        <w:gridCol w:w="1930"/>
      </w:tblGrid>
      <w:tr w:rsidR="00BF2117" w:rsidRPr="00FA0B02">
        <w:tc>
          <w:tcPr>
            <w:tcW w:w="919" w:type="dxa"/>
            <w:tcBorders>
              <w:top w:val="single" w:sz="12" w:space="0" w:color="008000"/>
              <w:left w:val="nil"/>
              <w:bottom w:val="single" w:sz="6" w:space="0" w:color="008000"/>
              <w:right w:val="nil"/>
            </w:tcBorders>
          </w:tcPr>
          <w:p w:rsidR="00BF2117" w:rsidRPr="00FA0B02" w:rsidRDefault="00BF2117" w:rsidP="000503AB">
            <w:pPr>
              <w:jc w:val="center"/>
              <w:rPr>
                <w:sz w:val="16"/>
                <w:szCs w:val="16"/>
              </w:rPr>
            </w:pPr>
            <w:r w:rsidRPr="00FA0B02">
              <w:rPr>
                <w:sz w:val="16"/>
                <w:szCs w:val="16"/>
              </w:rPr>
              <w:t>Tax  Year</w:t>
            </w:r>
          </w:p>
          <w:p w:rsidR="00BF2117" w:rsidRPr="00FA0B02" w:rsidRDefault="00BF2117" w:rsidP="000503AB">
            <w:pPr>
              <w:jc w:val="center"/>
              <w:rPr>
                <w:sz w:val="16"/>
                <w:szCs w:val="16"/>
              </w:rPr>
            </w:pPr>
          </w:p>
          <w:p w:rsidR="00BF2117" w:rsidRPr="00FA0B02" w:rsidRDefault="00BF2117" w:rsidP="000503AB">
            <w:pPr>
              <w:jc w:val="center"/>
              <w:rPr>
                <w:sz w:val="16"/>
                <w:szCs w:val="16"/>
              </w:rPr>
            </w:pPr>
          </w:p>
          <w:p w:rsidR="00BF2117" w:rsidRPr="00FA0B02" w:rsidRDefault="00BF2117" w:rsidP="000503AB">
            <w:pPr>
              <w:jc w:val="center"/>
              <w:rPr>
                <w:sz w:val="16"/>
                <w:szCs w:val="16"/>
              </w:rPr>
            </w:pPr>
            <w:r w:rsidRPr="00FA0B02">
              <w:rPr>
                <w:sz w:val="16"/>
                <w:szCs w:val="16"/>
              </w:rPr>
              <w:t>(1)</w:t>
            </w:r>
          </w:p>
        </w:tc>
        <w:tc>
          <w:tcPr>
            <w:tcW w:w="1180" w:type="dxa"/>
            <w:tcBorders>
              <w:top w:val="single" w:sz="12" w:space="0" w:color="008000"/>
              <w:left w:val="nil"/>
              <w:bottom w:val="single" w:sz="6" w:space="0" w:color="008000"/>
              <w:right w:val="nil"/>
            </w:tcBorders>
          </w:tcPr>
          <w:p w:rsidR="00BF2117" w:rsidRPr="00FA0B02" w:rsidRDefault="00BF2117" w:rsidP="000503AB">
            <w:pPr>
              <w:pStyle w:val="Heading3"/>
              <w:spacing w:line="240" w:lineRule="auto"/>
              <w:jc w:val="center"/>
              <w:rPr>
                <w:b w:val="0"/>
                <w:bCs/>
                <w:caps w:val="0"/>
                <w:sz w:val="16"/>
                <w:szCs w:val="16"/>
              </w:rPr>
            </w:pPr>
            <w:r w:rsidRPr="00FA0B02">
              <w:rPr>
                <w:b w:val="0"/>
                <w:caps w:val="0"/>
                <w:sz w:val="16"/>
                <w:szCs w:val="16"/>
              </w:rPr>
              <w:t>Banking</w:t>
            </w:r>
          </w:p>
          <w:p w:rsidR="00BF2117" w:rsidRPr="00FA0B02" w:rsidRDefault="00BF2117" w:rsidP="000503AB">
            <w:pPr>
              <w:jc w:val="center"/>
              <w:rPr>
                <w:sz w:val="16"/>
                <w:szCs w:val="16"/>
              </w:rPr>
            </w:pPr>
            <w:r w:rsidRPr="00FA0B02">
              <w:rPr>
                <w:sz w:val="16"/>
                <w:szCs w:val="16"/>
              </w:rPr>
              <w:t>Company</w:t>
            </w:r>
          </w:p>
          <w:p w:rsidR="00BF2117" w:rsidRPr="00FA0B02" w:rsidRDefault="00BF2117" w:rsidP="000503AB">
            <w:pPr>
              <w:jc w:val="center"/>
              <w:rPr>
                <w:sz w:val="16"/>
                <w:szCs w:val="16"/>
              </w:rPr>
            </w:pPr>
          </w:p>
          <w:p w:rsidR="00BF2117" w:rsidRPr="00FA0B02" w:rsidRDefault="00BF2117" w:rsidP="000503AB">
            <w:pPr>
              <w:jc w:val="center"/>
              <w:rPr>
                <w:sz w:val="16"/>
                <w:szCs w:val="16"/>
              </w:rPr>
            </w:pPr>
          </w:p>
          <w:p w:rsidR="00BF2117" w:rsidRPr="00FA0B02" w:rsidRDefault="00BF2117" w:rsidP="000503AB">
            <w:pPr>
              <w:jc w:val="center"/>
              <w:rPr>
                <w:sz w:val="16"/>
                <w:szCs w:val="16"/>
              </w:rPr>
            </w:pPr>
            <w:r w:rsidRPr="00FA0B02">
              <w:rPr>
                <w:sz w:val="16"/>
                <w:szCs w:val="16"/>
              </w:rPr>
              <w:t>(2)</w:t>
            </w:r>
          </w:p>
        </w:tc>
        <w:tc>
          <w:tcPr>
            <w:tcW w:w="1838" w:type="dxa"/>
            <w:tcBorders>
              <w:top w:val="single" w:sz="12" w:space="0" w:color="008000"/>
              <w:left w:val="nil"/>
              <w:bottom w:val="single" w:sz="6" w:space="0" w:color="008000"/>
              <w:right w:val="nil"/>
            </w:tcBorders>
          </w:tcPr>
          <w:p w:rsidR="00BF2117" w:rsidRPr="00FA0B02" w:rsidRDefault="00BF2117" w:rsidP="000503AB">
            <w:pPr>
              <w:jc w:val="center"/>
              <w:rPr>
                <w:sz w:val="16"/>
                <w:szCs w:val="16"/>
              </w:rPr>
            </w:pPr>
            <w:r w:rsidRPr="00FA0B02">
              <w:rPr>
                <w:sz w:val="16"/>
                <w:szCs w:val="16"/>
              </w:rPr>
              <w:t>Public company other than a banking company</w:t>
            </w:r>
          </w:p>
          <w:p w:rsidR="00BF2117" w:rsidRPr="00FA0B02" w:rsidRDefault="00BF2117" w:rsidP="000503AB">
            <w:pPr>
              <w:jc w:val="center"/>
              <w:rPr>
                <w:sz w:val="16"/>
                <w:szCs w:val="16"/>
              </w:rPr>
            </w:pPr>
            <w:r w:rsidRPr="00FA0B02">
              <w:rPr>
                <w:sz w:val="16"/>
                <w:szCs w:val="16"/>
              </w:rPr>
              <w:t>(3)</w:t>
            </w:r>
          </w:p>
        </w:tc>
        <w:tc>
          <w:tcPr>
            <w:tcW w:w="1930" w:type="dxa"/>
            <w:tcBorders>
              <w:top w:val="single" w:sz="12" w:space="0" w:color="008000"/>
              <w:left w:val="nil"/>
              <w:bottom w:val="single" w:sz="6" w:space="0" w:color="008000"/>
              <w:right w:val="nil"/>
            </w:tcBorders>
          </w:tcPr>
          <w:p w:rsidR="00BF2117" w:rsidRPr="00FA0B02" w:rsidRDefault="00BF2117" w:rsidP="000503AB">
            <w:pPr>
              <w:jc w:val="center"/>
              <w:rPr>
                <w:sz w:val="16"/>
                <w:szCs w:val="16"/>
              </w:rPr>
            </w:pPr>
            <w:r w:rsidRPr="00FA0B02">
              <w:rPr>
                <w:sz w:val="16"/>
                <w:szCs w:val="16"/>
              </w:rPr>
              <w:t>Private company other than a banking company</w:t>
            </w:r>
          </w:p>
          <w:p w:rsidR="00BF2117" w:rsidRPr="00FA0B02" w:rsidRDefault="00BF2117" w:rsidP="000503AB">
            <w:pPr>
              <w:jc w:val="center"/>
              <w:rPr>
                <w:sz w:val="16"/>
                <w:szCs w:val="16"/>
              </w:rPr>
            </w:pPr>
            <w:r w:rsidRPr="00FA0B02">
              <w:rPr>
                <w:sz w:val="16"/>
                <w:szCs w:val="16"/>
              </w:rPr>
              <w:t>(4)</w:t>
            </w:r>
          </w:p>
        </w:tc>
      </w:tr>
      <w:tr w:rsidR="00BF2117" w:rsidRPr="00FA0B02">
        <w:tc>
          <w:tcPr>
            <w:tcW w:w="919" w:type="dxa"/>
            <w:tcBorders>
              <w:top w:val="single" w:sz="6" w:space="0" w:color="008000"/>
              <w:left w:val="nil"/>
              <w:bottom w:val="single" w:sz="12" w:space="0" w:color="008000"/>
              <w:right w:val="nil"/>
            </w:tcBorders>
          </w:tcPr>
          <w:p w:rsidR="00BF2117" w:rsidRPr="00FA0B02" w:rsidRDefault="00BF2117" w:rsidP="000503AB">
            <w:pPr>
              <w:jc w:val="center"/>
              <w:rPr>
                <w:sz w:val="16"/>
                <w:szCs w:val="16"/>
              </w:rPr>
            </w:pPr>
            <w:r w:rsidRPr="00FA0B02">
              <w:rPr>
                <w:sz w:val="16"/>
                <w:szCs w:val="16"/>
              </w:rPr>
              <w:t>2003</w:t>
            </w:r>
          </w:p>
          <w:p w:rsidR="00BF2117" w:rsidRPr="00FA0B02" w:rsidRDefault="00BF2117" w:rsidP="000503AB">
            <w:pPr>
              <w:jc w:val="center"/>
              <w:rPr>
                <w:sz w:val="16"/>
                <w:szCs w:val="16"/>
              </w:rPr>
            </w:pPr>
            <w:r w:rsidRPr="00FA0B02">
              <w:rPr>
                <w:sz w:val="16"/>
                <w:szCs w:val="16"/>
              </w:rPr>
              <w:t>2004</w:t>
            </w:r>
          </w:p>
          <w:p w:rsidR="00BF2117" w:rsidRPr="00FA0B02" w:rsidRDefault="00BF2117" w:rsidP="000503AB">
            <w:pPr>
              <w:jc w:val="center"/>
              <w:rPr>
                <w:sz w:val="16"/>
                <w:szCs w:val="16"/>
              </w:rPr>
            </w:pPr>
            <w:r w:rsidRPr="00FA0B02">
              <w:rPr>
                <w:sz w:val="16"/>
                <w:szCs w:val="16"/>
              </w:rPr>
              <w:t>2005</w:t>
            </w:r>
          </w:p>
          <w:p w:rsidR="00BF2117" w:rsidRPr="00FA0B02" w:rsidRDefault="00BF2117" w:rsidP="000503AB">
            <w:pPr>
              <w:jc w:val="center"/>
              <w:rPr>
                <w:sz w:val="16"/>
                <w:szCs w:val="16"/>
              </w:rPr>
            </w:pPr>
            <w:r w:rsidRPr="00FA0B02">
              <w:rPr>
                <w:sz w:val="16"/>
                <w:szCs w:val="16"/>
              </w:rPr>
              <w:t>2006</w:t>
            </w:r>
          </w:p>
          <w:p w:rsidR="00BF2117" w:rsidRPr="00FA0B02" w:rsidRDefault="00BF2117" w:rsidP="000503AB">
            <w:pPr>
              <w:jc w:val="center"/>
              <w:rPr>
                <w:sz w:val="16"/>
                <w:szCs w:val="16"/>
              </w:rPr>
            </w:pPr>
            <w:r w:rsidRPr="00FA0B02">
              <w:rPr>
                <w:sz w:val="16"/>
                <w:szCs w:val="16"/>
              </w:rPr>
              <w:t>2007</w:t>
            </w:r>
          </w:p>
        </w:tc>
        <w:tc>
          <w:tcPr>
            <w:tcW w:w="1180" w:type="dxa"/>
            <w:tcBorders>
              <w:top w:val="single" w:sz="6" w:space="0" w:color="008000"/>
              <w:left w:val="nil"/>
              <w:bottom w:val="single" w:sz="12" w:space="0" w:color="008000"/>
              <w:right w:val="nil"/>
            </w:tcBorders>
          </w:tcPr>
          <w:p w:rsidR="00BF2117" w:rsidRPr="00FA0B02" w:rsidRDefault="00BF2117" w:rsidP="000503AB">
            <w:pPr>
              <w:jc w:val="center"/>
              <w:rPr>
                <w:sz w:val="16"/>
                <w:szCs w:val="16"/>
              </w:rPr>
            </w:pPr>
            <w:r w:rsidRPr="00FA0B02">
              <w:rPr>
                <w:sz w:val="16"/>
                <w:szCs w:val="16"/>
              </w:rPr>
              <w:t>47%</w:t>
            </w:r>
          </w:p>
          <w:p w:rsidR="00BF2117" w:rsidRPr="00FA0B02" w:rsidRDefault="00BF2117" w:rsidP="000503AB">
            <w:pPr>
              <w:jc w:val="center"/>
              <w:rPr>
                <w:sz w:val="16"/>
                <w:szCs w:val="16"/>
              </w:rPr>
            </w:pPr>
            <w:r w:rsidRPr="00FA0B02">
              <w:rPr>
                <w:sz w:val="16"/>
                <w:szCs w:val="16"/>
              </w:rPr>
              <w:t>44%</w:t>
            </w:r>
          </w:p>
          <w:p w:rsidR="00BF2117" w:rsidRPr="00FA0B02" w:rsidRDefault="00BF2117" w:rsidP="000503AB">
            <w:pPr>
              <w:jc w:val="center"/>
              <w:rPr>
                <w:sz w:val="16"/>
                <w:szCs w:val="16"/>
              </w:rPr>
            </w:pPr>
            <w:r w:rsidRPr="00FA0B02">
              <w:rPr>
                <w:sz w:val="16"/>
                <w:szCs w:val="16"/>
              </w:rPr>
              <w:t>41%</w:t>
            </w:r>
          </w:p>
          <w:p w:rsidR="00BF2117" w:rsidRPr="00FA0B02" w:rsidRDefault="00BF2117" w:rsidP="000503AB">
            <w:pPr>
              <w:jc w:val="center"/>
              <w:rPr>
                <w:sz w:val="16"/>
                <w:szCs w:val="16"/>
              </w:rPr>
            </w:pPr>
            <w:r w:rsidRPr="00FA0B02">
              <w:rPr>
                <w:sz w:val="16"/>
                <w:szCs w:val="16"/>
              </w:rPr>
              <w:t>38%</w:t>
            </w:r>
          </w:p>
          <w:p w:rsidR="00BF2117" w:rsidRPr="00FA0B02" w:rsidRDefault="00BF2117" w:rsidP="000503AB">
            <w:pPr>
              <w:jc w:val="center"/>
              <w:rPr>
                <w:sz w:val="16"/>
                <w:szCs w:val="16"/>
              </w:rPr>
            </w:pPr>
            <w:r w:rsidRPr="00FA0B02">
              <w:rPr>
                <w:sz w:val="16"/>
                <w:szCs w:val="16"/>
              </w:rPr>
              <w:t>35%</w:t>
            </w:r>
          </w:p>
        </w:tc>
        <w:tc>
          <w:tcPr>
            <w:tcW w:w="1838" w:type="dxa"/>
            <w:tcBorders>
              <w:top w:val="single" w:sz="6" w:space="0" w:color="008000"/>
              <w:left w:val="nil"/>
              <w:bottom w:val="single" w:sz="12" w:space="0" w:color="008000"/>
              <w:right w:val="nil"/>
            </w:tcBorders>
          </w:tcPr>
          <w:p w:rsidR="00BF2117" w:rsidRPr="00FA0B02" w:rsidRDefault="00BF2117" w:rsidP="000503AB">
            <w:pPr>
              <w:jc w:val="center"/>
              <w:rPr>
                <w:sz w:val="16"/>
                <w:szCs w:val="16"/>
              </w:rPr>
            </w:pPr>
            <w:r w:rsidRPr="00FA0B02">
              <w:rPr>
                <w:sz w:val="16"/>
                <w:szCs w:val="16"/>
              </w:rPr>
              <w:t>35%</w:t>
            </w:r>
          </w:p>
          <w:p w:rsidR="00BF2117" w:rsidRPr="00FA0B02" w:rsidRDefault="00BF2117" w:rsidP="000503AB">
            <w:pPr>
              <w:jc w:val="center"/>
              <w:rPr>
                <w:sz w:val="16"/>
                <w:szCs w:val="16"/>
              </w:rPr>
            </w:pPr>
            <w:r w:rsidRPr="00FA0B02">
              <w:rPr>
                <w:sz w:val="16"/>
                <w:szCs w:val="16"/>
              </w:rPr>
              <w:t>35%</w:t>
            </w:r>
          </w:p>
          <w:p w:rsidR="00BF2117" w:rsidRPr="00FA0B02" w:rsidRDefault="00BF2117" w:rsidP="000503AB">
            <w:pPr>
              <w:jc w:val="center"/>
              <w:rPr>
                <w:sz w:val="16"/>
                <w:szCs w:val="16"/>
              </w:rPr>
            </w:pPr>
            <w:r w:rsidRPr="00FA0B02">
              <w:rPr>
                <w:sz w:val="16"/>
                <w:szCs w:val="16"/>
              </w:rPr>
              <w:t>35%</w:t>
            </w:r>
          </w:p>
          <w:p w:rsidR="00BF2117" w:rsidRPr="00FA0B02" w:rsidRDefault="00BF2117" w:rsidP="000503AB">
            <w:pPr>
              <w:jc w:val="center"/>
              <w:rPr>
                <w:sz w:val="16"/>
                <w:szCs w:val="16"/>
              </w:rPr>
            </w:pPr>
            <w:r w:rsidRPr="00FA0B02">
              <w:rPr>
                <w:sz w:val="16"/>
                <w:szCs w:val="16"/>
              </w:rPr>
              <w:t>35%</w:t>
            </w:r>
          </w:p>
          <w:p w:rsidR="00BF2117" w:rsidRPr="00FA0B02" w:rsidRDefault="00BF2117" w:rsidP="000503AB">
            <w:pPr>
              <w:jc w:val="center"/>
              <w:rPr>
                <w:sz w:val="16"/>
                <w:szCs w:val="16"/>
              </w:rPr>
            </w:pPr>
            <w:r w:rsidRPr="00FA0B02">
              <w:rPr>
                <w:sz w:val="16"/>
                <w:szCs w:val="16"/>
              </w:rPr>
              <w:t>35%</w:t>
            </w:r>
          </w:p>
        </w:tc>
        <w:tc>
          <w:tcPr>
            <w:tcW w:w="1930" w:type="dxa"/>
            <w:tcBorders>
              <w:top w:val="single" w:sz="6" w:space="0" w:color="008000"/>
              <w:left w:val="nil"/>
              <w:bottom w:val="single" w:sz="12" w:space="0" w:color="008000"/>
              <w:right w:val="nil"/>
            </w:tcBorders>
          </w:tcPr>
          <w:p w:rsidR="00BF2117" w:rsidRPr="00FA0B02" w:rsidRDefault="00BF2117" w:rsidP="000503AB">
            <w:pPr>
              <w:jc w:val="center"/>
              <w:rPr>
                <w:sz w:val="16"/>
                <w:szCs w:val="16"/>
              </w:rPr>
            </w:pPr>
            <w:r w:rsidRPr="00FA0B02">
              <w:rPr>
                <w:sz w:val="16"/>
                <w:szCs w:val="16"/>
              </w:rPr>
              <w:t>43%</w:t>
            </w:r>
          </w:p>
          <w:p w:rsidR="00BF2117" w:rsidRPr="00FA0B02" w:rsidRDefault="00BF2117" w:rsidP="000503AB">
            <w:pPr>
              <w:jc w:val="center"/>
              <w:rPr>
                <w:sz w:val="16"/>
                <w:szCs w:val="16"/>
              </w:rPr>
            </w:pPr>
            <w:r w:rsidRPr="00FA0B02">
              <w:rPr>
                <w:sz w:val="16"/>
                <w:szCs w:val="16"/>
              </w:rPr>
              <w:t>41%</w:t>
            </w:r>
          </w:p>
          <w:p w:rsidR="00BF2117" w:rsidRPr="00FA0B02" w:rsidRDefault="00BF2117" w:rsidP="000503AB">
            <w:pPr>
              <w:jc w:val="center"/>
              <w:rPr>
                <w:sz w:val="16"/>
                <w:szCs w:val="16"/>
              </w:rPr>
            </w:pPr>
            <w:r w:rsidRPr="00FA0B02">
              <w:rPr>
                <w:sz w:val="16"/>
                <w:szCs w:val="16"/>
              </w:rPr>
              <w:t>39%</w:t>
            </w:r>
          </w:p>
          <w:p w:rsidR="00BF2117" w:rsidRPr="00FA0B02" w:rsidRDefault="00BF2117" w:rsidP="000503AB">
            <w:pPr>
              <w:jc w:val="center"/>
              <w:rPr>
                <w:sz w:val="16"/>
                <w:szCs w:val="16"/>
              </w:rPr>
            </w:pPr>
            <w:r w:rsidRPr="00FA0B02">
              <w:rPr>
                <w:sz w:val="16"/>
                <w:szCs w:val="16"/>
              </w:rPr>
              <w:t>37%</w:t>
            </w:r>
          </w:p>
          <w:p w:rsidR="00BF2117" w:rsidRPr="00FA0B02" w:rsidRDefault="00BF2117" w:rsidP="000503AB">
            <w:pPr>
              <w:jc w:val="center"/>
              <w:rPr>
                <w:sz w:val="16"/>
                <w:szCs w:val="16"/>
              </w:rPr>
            </w:pPr>
            <w:r w:rsidRPr="00FA0B02">
              <w:rPr>
                <w:sz w:val="16"/>
                <w:szCs w:val="16"/>
              </w:rPr>
              <w:t xml:space="preserve"> 35%”</w:t>
            </w:r>
          </w:p>
        </w:tc>
      </w:tr>
    </w:tbl>
    <w:p w:rsidR="00BF2117" w:rsidRPr="00FA0B02" w:rsidRDefault="00BF2117" w:rsidP="00AA4BF8">
      <w:pPr>
        <w:rPr>
          <w:sz w:val="16"/>
          <w:szCs w:val="16"/>
        </w:rPr>
      </w:pPr>
    </w:p>
  </w:footnote>
  <w:footnote w:id="1598">
    <w:p w:rsidR="00BF2117" w:rsidRPr="00FA0B02" w:rsidRDefault="00BF2117" w:rsidP="00AA4BF8">
      <w:pPr>
        <w:pStyle w:val="FootnoteText"/>
        <w:rPr>
          <w:sz w:val="16"/>
          <w:szCs w:val="16"/>
        </w:rPr>
      </w:pPr>
      <w:r w:rsidRPr="00FA0B02">
        <w:rPr>
          <w:rStyle w:val="FootnoteReference"/>
          <w:rFonts w:cs="Arial"/>
          <w:sz w:val="16"/>
          <w:szCs w:val="16"/>
        </w:rPr>
        <w:footnoteRef/>
      </w:r>
      <w:r w:rsidRPr="00FA0B02">
        <w:rPr>
          <w:sz w:val="16"/>
          <w:szCs w:val="16"/>
        </w:rPr>
        <w:t xml:space="preserve"> Full stop substituted by the Finance Act, 2013.</w:t>
      </w:r>
    </w:p>
  </w:footnote>
  <w:footnote w:id="1599">
    <w:p w:rsidR="00BF2117" w:rsidRPr="00FA0B02" w:rsidRDefault="00BF2117" w:rsidP="00AA4BF8">
      <w:pPr>
        <w:pStyle w:val="FootnoteText"/>
        <w:rPr>
          <w:sz w:val="16"/>
          <w:szCs w:val="16"/>
        </w:rPr>
      </w:pPr>
      <w:r w:rsidRPr="00FA0B02">
        <w:rPr>
          <w:rStyle w:val="FootnoteReference"/>
          <w:rFonts w:cs="Arial"/>
          <w:sz w:val="16"/>
          <w:szCs w:val="16"/>
        </w:rPr>
        <w:footnoteRef/>
      </w:r>
      <w:r w:rsidRPr="00FA0B02">
        <w:rPr>
          <w:sz w:val="16"/>
          <w:szCs w:val="16"/>
        </w:rPr>
        <w:t xml:space="preserve"> Added by the Finance Act, 2013.</w:t>
      </w:r>
    </w:p>
  </w:footnote>
  <w:footnote w:id="1600">
    <w:p w:rsidR="00BF2117" w:rsidRPr="00AA5E01" w:rsidRDefault="00BF2117">
      <w:pPr>
        <w:pStyle w:val="FootnoteText"/>
        <w:rPr>
          <w:color w:val="000000" w:themeColor="text1"/>
          <w:sz w:val="16"/>
          <w:szCs w:val="16"/>
          <w:lang w:val="en-US"/>
        </w:rPr>
      </w:pPr>
      <w:r w:rsidRPr="00AA5E01">
        <w:rPr>
          <w:rStyle w:val="FootnoteReference"/>
          <w:color w:val="000000" w:themeColor="text1"/>
          <w:sz w:val="16"/>
          <w:szCs w:val="16"/>
        </w:rPr>
        <w:footnoteRef/>
      </w:r>
      <w:r w:rsidRPr="00AA5E01">
        <w:rPr>
          <w:color w:val="000000" w:themeColor="text1"/>
          <w:sz w:val="16"/>
          <w:szCs w:val="16"/>
          <w:lang w:val="en-US"/>
        </w:rPr>
        <w:t>Full stop substituted by a colon and a new proviso added by the Finance Act, 2014.</w:t>
      </w:r>
    </w:p>
  </w:footnote>
  <w:footnote w:id="1601">
    <w:p w:rsidR="00BF2117" w:rsidRPr="003E2D18" w:rsidRDefault="00BF2117">
      <w:pPr>
        <w:pStyle w:val="FootnoteText"/>
        <w:rPr>
          <w:sz w:val="16"/>
          <w:szCs w:val="16"/>
          <w:lang w:val="en-US"/>
        </w:rPr>
      </w:pPr>
      <w:r w:rsidRPr="003E2D18">
        <w:rPr>
          <w:rStyle w:val="FootnoteReference"/>
          <w:sz w:val="16"/>
          <w:szCs w:val="16"/>
        </w:rPr>
        <w:footnoteRef/>
      </w:r>
      <w:r>
        <w:rPr>
          <w:sz w:val="16"/>
          <w:szCs w:val="16"/>
        </w:rPr>
        <w:t>Full stop substituted by the Finance Act, 2015.</w:t>
      </w:r>
    </w:p>
  </w:footnote>
  <w:footnote w:id="1602">
    <w:p w:rsidR="00BF2117" w:rsidRPr="003E2D18" w:rsidRDefault="00BF2117">
      <w:pPr>
        <w:pStyle w:val="FootnoteText"/>
        <w:rPr>
          <w:sz w:val="16"/>
          <w:szCs w:val="16"/>
          <w:lang w:val="en-US"/>
        </w:rPr>
      </w:pPr>
      <w:r w:rsidRPr="003E2D18">
        <w:rPr>
          <w:rStyle w:val="FootnoteReference"/>
          <w:sz w:val="16"/>
          <w:szCs w:val="16"/>
        </w:rPr>
        <w:footnoteRef/>
      </w:r>
      <w:r>
        <w:rPr>
          <w:sz w:val="16"/>
          <w:szCs w:val="16"/>
        </w:rPr>
        <w:t>Added by the Finance Act, 2015.</w:t>
      </w:r>
    </w:p>
  </w:footnote>
  <w:footnote w:id="1603">
    <w:p w:rsidR="00BF2117" w:rsidRPr="00FA0B02" w:rsidRDefault="00BF2117" w:rsidP="00AA4BF8">
      <w:pPr>
        <w:pStyle w:val="FootnoteText"/>
        <w:rPr>
          <w:sz w:val="16"/>
          <w:szCs w:val="16"/>
          <w:lang w:val="en-US"/>
        </w:rPr>
      </w:pPr>
      <w:r w:rsidRPr="00FA0B02">
        <w:rPr>
          <w:rStyle w:val="FootnoteReference"/>
          <w:rFonts w:cs="Arial"/>
          <w:sz w:val="16"/>
          <w:szCs w:val="16"/>
        </w:rPr>
        <w:footnoteRef/>
      </w:r>
      <w:r w:rsidRPr="00FA0B02">
        <w:rPr>
          <w:sz w:val="16"/>
          <w:szCs w:val="16"/>
        </w:rPr>
        <w:t xml:space="preserve"> Paragraph (ii) o</w:t>
      </w:r>
      <w:r w:rsidRPr="00FA0B02">
        <w:rPr>
          <w:sz w:val="16"/>
          <w:szCs w:val="16"/>
          <w:lang w:val="en-US"/>
        </w:rPr>
        <w:t>mitted by the Finance Ac t, 2008. The omitted paragraph (ii) read as follows:</w:t>
      </w:r>
    </w:p>
    <w:p w:rsidR="00BF2117" w:rsidRPr="00FA0B02" w:rsidRDefault="00BF2117" w:rsidP="00AA4BF8">
      <w:pPr>
        <w:pStyle w:val="FootnoteText"/>
        <w:ind w:hanging="540"/>
        <w:rPr>
          <w:sz w:val="16"/>
          <w:szCs w:val="16"/>
        </w:rPr>
      </w:pPr>
      <w:r w:rsidRPr="00FA0B02">
        <w:rPr>
          <w:sz w:val="16"/>
          <w:szCs w:val="16"/>
          <w:lang w:val="en-US"/>
        </w:rPr>
        <w:t>“</w:t>
      </w:r>
      <w:r w:rsidRPr="00FA0B02">
        <w:rPr>
          <w:sz w:val="16"/>
          <w:szCs w:val="16"/>
        </w:rPr>
        <w:t>(ii)</w:t>
      </w:r>
      <w:r w:rsidRPr="00FA0B02">
        <w:rPr>
          <w:sz w:val="16"/>
          <w:szCs w:val="16"/>
        </w:rPr>
        <w:tab/>
        <w:t>Where the taxpayer is a society or a cooperative society, the tax shall be payable at the rates applicable to a company or an individual, whichever is beneficial to the taxpayer.”</w:t>
      </w:r>
    </w:p>
  </w:footnote>
  <w:footnote w:id="1604">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Added by the Finance Act, 2005.</w:t>
      </w:r>
    </w:p>
  </w:footnote>
  <w:footnote w:id="1605">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The figure “20” substituted by the Finance Act, 2010.</w:t>
      </w:r>
    </w:p>
  </w:footnote>
  <w:footnote w:id="1606">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lang w:val="en-US"/>
        </w:rPr>
        <w:t>Full stop substituted by the Finance Act, 2008.</w:t>
      </w:r>
    </w:p>
  </w:footnote>
  <w:footnote w:id="1607">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Proviso omitted by the Finance Act, 2009. The omitted proviso read as follows:</w:t>
      </w:r>
    </w:p>
    <w:p w:rsidR="00BF2117" w:rsidRPr="00A86A37" w:rsidRDefault="00BF2117" w:rsidP="00AA4BF8">
      <w:pPr>
        <w:ind w:left="180"/>
        <w:jc w:val="both"/>
        <w:rPr>
          <w:sz w:val="16"/>
          <w:szCs w:val="16"/>
        </w:rPr>
      </w:pPr>
      <w:r w:rsidRPr="00A86A37">
        <w:rPr>
          <w:sz w:val="16"/>
          <w:szCs w:val="16"/>
        </w:rPr>
        <w:t>“Provided where the turnover exceeds the prescribed limit of Rs.250 million, tax shall be payable at the following rates, namely:-</w:t>
      </w:r>
    </w:p>
    <w:p w:rsidR="00BF2117" w:rsidRPr="00A86A37" w:rsidRDefault="00BF2117" w:rsidP="00AA4BF8">
      <w:pPr>
        <w:ind w:left="180"/>
        <w:jc w:val="both"/>
        <w:rPr>
          <w:sz w:val="16"/>
          <w:szCs w:val="16"/>
        </w:rPr>
      </w:pPr>
    </w:p>
    <w:tbl>
      <w:tblPr>
        <w:tblW w:w="4750" w:type="dxa"/>
        <w:tblInd w:w="2" w:type="dxa"/>
        <w:tblLook w:val="01E0"/>
      </w:tblPr>
      <w:tblGrid>
        <w:gridCol w:w="540"/>
        <w:gridCol w:w="3060"/>
        <w:gridCol w:w="1150"/>
      </w:tblGrid>
      <w:tr w:rsidR="00BF2117" w:rsidRPr="00A86A37">
        <w:tc>
          <w:tcPr>
            <w:tcW w:w="540" w:type="dxa"/>
          </w:tcPr>
          <w:p w:rsidR="00BF2117" w:rsidRPr="00A86A37" w:rsidRDefault="00BF2117" w:rsidP="00321D5C">
            <w:pPr>
              <w:spacing w:before="120" w:after="120"/>
              <w:jc w:val="both"/>
              <w:rPr>
                <w:sz w:val="16"/>
                <w:szCs w:val="16"/>
              </w:rPr>
            </w:pPr>
          </w:p>
        </w:tc>
        <w:tc>
          <w:tcPr>
            <w:tcW w:w="3060" w:type="dxa"/>
            <w:tcBorders>
              <w:top w:val="single" w:sz="4" w:space="0" w:color="auto"/>
              <w:bottom w:val="single" w:sz="4" w:space="0" w:color="auto"/>
            </w:tcBorders>
          </w:tcPr>
          <w:p w:rsidR="00BF2117" w:rsidRPr="00A86A37" w:rsidRDefault="00BF2117" w:rsidP="00321D5C">
            <w:pPr>
              <w:spacing w:before="120" w:after="120"/>
              <w:jc w:val="both"/>
              <w:rPr>
                <w:b/>
                <w:bCs/>
                <w:sz w:val="16"/>
                <w:szCs w:val="16"/>
              </w:rPr>
            </w:pPr>
            <w:r w:rsidRPr="00A86A37">
              <w:rPr>
                <w:b/>
                <w:bCs/>
                <w:sz w:val="16"/>
                <w:szCs w:val="16"/>
              </w:rPr>
              <w:t>Turnover</w:t>
            </w:r>
          </w:p>
        </w:tc>
        <w:tc>
          <w:tcPr>
            <w:tcW w:w="1150" w:type="dxa"/>
            <w:tcBorders>
              <w:top w:val="single" w:sz="4" w:space="0" w:color="auto"/>
              <w:bottom w:val="single" w:sz="4" w:space="0" w:color="auto"/>
            </w:tcBorders>
          </w:tcPr>
          <w:p w:rsidR="00BF2117" w:rsidRPr="00A86A37" w:rsidRDefault="00BF2117" w:rsidP="00321D5C">
            <w:pPr>
              <w:spacing w:before="120" w:after="120"/>
              <w:jc w:val="both"/>
              <w:rPr>
                <w:b/>
                <w:bCs/>
                <w:sz w:val="16"/>
                <w:szCs w:val="16"/>
              </w:rPr>
            </w:pPr>
            <w:r w:rsidRPr="00A86A37">
              <w:rPr>
                <w:b/>
                <w:bCs/>
                <w:sz w:val="16"/>
                <w:szCs w:val="16"/>
              </w:rPr>
              <w:t>Rate</w:t>
            </w:r>
          </w:p>
        </w:tc>
      </w:tr>
      <w:tr w:rsidR="00BF2117" w:rsidRPr="00A86A37">
        <w:tc>
          <w:tcPr>
            <w:tcW w:w="540" w:type="dxa"/>
          </w:tcPr>
          <w:p w:rsidR="00BF2117" w:rsidRPr="00A86A37" w:rsidRDefault="00BF2117" w:rsidP="00321D5C">
            <w:pPr>
              <w:spacing w:before="120" w:after="120"/>
              <w:jc w:val="center"/>
              <w:rPr>
                <w:sz w:val="16"/>
                <w:szCs w:val="16"/>
              </w:rPr>
            </w:pPr>
            <w:r w:rsidRPr="00A86A37">
              <w:rPr>
                <w:sz w:val="16"/>
                <w:szCs w:val="16"/>
              </w:rPr>
              <w:t>(i)</w:t>
            </w:r>
          </w:p>
        </w:tc>
        <w:tc>
          <w:tcPr>
            <w:tcW w:w="3060" w:type="dxa"/>
            <w:tcBorders>
              <w:top w:val="single" w:sz="4" w:space="0" w:color="auto"/>
            </w:tcBorders>
          </w:tcPr>
          <w:p w:rsidR="00BF2117" w:rsidRPr="00A86A37" w:rsidRDefault="00BF2117" w:rsidP="00321D5C">
            <w:pPr>
              <w:spacing w:before="120" w:after="120"/>
              <w:jc w:val="both"/>
              <w:rPr>
                <w:sz w:val="16"/>
                <w:szCs w:val="16"/>
              </w:rPr>
            </w:pPr>
            <w:r w:rsidRPr="00A86A37">
              <w:rPr>
                <w:sz w:val="16"/>
                <w:szCs w:val="16"/>
              </w:rPr>
              <w:t xml:space="preserve">Income attributable to turnover exceeding Rs.250 million but does not exceed Rs.350 million </w:t>
            </w:r>
          </w:p>
        </w:tc>
        <w:tc>
          <w:tcPr>
            <w:tcW w:w="1150" w:type="dxa"/>
            <w:tcBorders>
              <w:top w:val="single" w:sz="4" w:space="0" w:color="auto"/>
            </w:tcBorders>
          </w:tcPr>
          <w:p w:rsidR="00BF2117" w:rsidRPr="00A86A37" w:rsidRDefault="00BF2117" w:rsidP="00321D5C">
            <w:pPr>
              <w:spacing w:before="120" w:after="120"/>
              <w:jc w:val="both"/>
              <w:rPr>
                <w:sz w:val="16"/>
                <w:szCs w:val="16"/>
              </w:rPr>
            </w:pPr>
            <w:r w:rsidRPr="00A86A37">
              <w:rPr>
                <w:sz w:val="16"/>
                <w:szCs w:val="16"/>
              </w:rPr>
              <w:t>25% plus</w:t>
            </w:r>
          </w:p>
        </w:tc>
      </w:tr>
      <w:tr w:rsidR="00BF2117" w:rsidRPr="00A86A37">
        <w:tc>
          <w:tcPr>
            <w:tcW w:w="540" w:type="dxa"/>
          </w:tcPr>
          <w:p w:rsidR="00BF2117" w:rsidRPr="00A86A37" w:rsidRDefault="00BF2117" w:rsidP="00321D5C">
            <w:pPr>
              <w:spacing w:before="120" w:after="120"/>
              <w:jc w:val="center"/>
              <w:rPr>
                <w:sz w:val="16"/>
                <w:szCs w:val="16"/>
              </w:rPr>
            </w:pPr>
            <w:r w:rsidRPr="00A86A37">
              <w:rPr>
                <w:sz w:val="16"/>
                <w:szCs w:val="16"/>
              </w:rPr>
              <w:t>(ii)</w:t>
            </w:r>
          </w:p>
        </w:tc>
        <w:tc>
          <w:tcPr>
            <w:tcW w:w="3060" w:type="dxa"/>
          </w:tcPr>
          <w:p w:rsidR="00BF2117" w:rsidRPr="00A86A37" w:rsidRDefault="00BF2117" w:rsidP="00321D5C">
            <w:pPr>
              <w:spacing w:before="120" w:after="120"/>
              <w:jc w:val="both"/>
              <w:rPr>
                <w:sz w:val="16"/>
                <w:szCs w:val="16"/>
              </w:rPr>
            </w:pPr>
            <w:r w:rsidRPr="00A86A37">
              <w:rPr>
                <w:sz w:val="16"/>
                <w:szCs w:val="16"/>
              </w:rPr>
              <w:t xml:space="preserve">Income attributable to turnover exceeding Rs.350 million but does not exceed Rs.500 million </w:t>
            </w:r>
          </w:p>
        </w:tc>
        <w:tc>
          <w:tcPr>
            <w:tcW w:w="1150" w:type="dxa"/>
          </w:tcPr>
          <w:p w:rsidR="00BF2117" w:rsidRPr="00A86A37" w:rsidRDefault="00BF2117" w:rsidP="00321D5C">
            <w:pPr>
              <w:spacing w:before="120" w:after="120"/>
              <w:jc w:val="both"/>
              <w:rPr>
                <w:sz w:val="16"/>
                <w:szCs w:val="16"/>
              </w:rPr>
            </w:pPr>
            <w:r w:rsidRPr="00A86A37">
              <w:rPr>
                <w:sz w:val="16"/>
                <w:szCs w:val="16"/>
              </w:rPr>
              <w:t>30% plus</w:t>
            </w:r>
          </w:p>
        </w:tc>
      </w:tr>
      <w:tr w:rsidR="00BF2117" w:rsidRPr="00A86A37">
        <w:tc>
          <w:tcPr>
            <w:tcW w:w="540" w:type="dxa"/>
          </w:tcPr>
          <w:p w:rsidR="00BF2117" w:rsidRPr="00A86A37" w:rsidRDefault="00BF2117" w:rsidP="00321D5C">
            <w:pPr>
              <w:spacing w:before="120" w:after="120"/>
              <w:jc w:val="center"/>
              <w:rPr>
                <w:sz w:val="16"/>
                <w:szCs w:val="16"/>
              </w:rPr>
            </w:pPr>
            <w:r w:rsidRPr="00A86A37">
              <w:rPr>
                <w:sz w:val="16"/>
                <w:szCs w:val="16"/>
              </w:rPr>
              <w:t>(iii)</w:t>
            </w:r>
          </w:p>
        </w:tc>
        <w:tc>
          <w:tcPr>
            <w:tcW w:w="3060" w:type="dxa"/>
          </w:tcPr>
          <w:p w:rsidR="00BF2117" w:rsidRPr="00A86A37" w:rsidRDefault="00BF2117" w:rsidP="00321D5C">
            <w:pPr>
              <w:spacing w:before="120" w:after="120"/>
              <w:jc w:val="both"/>
              <w:rPr>
                <w:sz w:val="16"/>
                <w:szCs w:val="16"/>
              </w:rPr>
            </w:pPr>
            <w:r w:rsidRPr="00A86A37">
              <w:rPr>
                <w:sz w:val="16"/>
                <w:szCs w:val="16"/>
              </w:rPr>
              <w:t>On the income attributable to turnover exceeding Rs.500 million.</w:t>
            </w:r>
          </w:p>
        </w:tc>
        <w:tc>
          <w:tcPr>
            <w:tcW w:w="1150" w:type="dxa"/>
          </w:tcPr>
          <w:p w:rsidR="00BF2117" w:rsidRPr="00A86A37" w:rsidRDefault="00BF2117" w:rsidP="00321D5C">
            <w:pPr>
              <w:spacing w:before="120" w:after="120"/>
              <w:jc w:val="both"/>
              <w:rPr>
                <w:sz w:val="16"/>
                <w:szCs w:val="16"/>
              </w:rPr>
            </w:pPr>
            <w:r w:rsidRPr="00A86A37">
              <w:rPr>
                <w:sz w:val="16"/>
                <w:szCs w:val="16"/>
              </w:rPr>
              <w:t>35% plus”</w:t>
            </w:r>
          </w:p>
        </w:tc>
      </w:tr>
    </w:tbl>
    <w:p w:rsidR="00BF2117" w:rsidRPr="00A86A37" w:rsidRDefault="00BF2117" w:rsidP="00AA4BF8">
      <w:pPr>
        <w:rPr>
          <w:color w:val="00B0F0"/>
          <w:sz w:val="16"/>
          <w:szCs w:val="16"/>
        </w:rPr>
      </w:pPr>
    </w:p>
  </w:footnote>
  <w:footnote w:id="1608">
    <w:p w:rsidR="00BF2117" w:rsidRPr="00866BF0" w:rsidRDefault="00BF2117">
      <w:pPr>
        <w:pStyle w:val="FootnoteText"/>
        <w:rPr>
          <w:sz w:val="16"/>
          <w:szCs w:val="16"/>
          <w:lang w:val="en-US"/>
        </w:rPr>
      </w:pPr>
      <w:r w:rsidRPr="00866BF0">
        <w:rPr>
          <w:rStyle w:val="FootnoteReference"/>
          <w:sz w:val="16"/>
          <w:szCs w:val="16"/>
        </w:rPr>
        <w:footnoteRef/>
      </w:r>
      <w:r>
        <w:rPr>
          <w:sz w:val="16"/>
          <w:szCs w:val="16"/>
        </w:rPr>
        <w:t>Inserted by the Finance Act, 2015.</w:t>
      </w:r>
    </w:p>
  </w:footnote>
  <w:footnote w:id="1609">
    <w:p w:rsidR="00BF2117" w:rsidRPr="00AA5E01" w:rsidRDefault="00BF2117">
      <w:pPr>
        <w:pStyle w:val="FootnoteText"/>
        <w:rPr>
          <w:color w:val="000000" w:themeColor="text1"/>
          <w:sz w:val="16"/>
          <w:szCs w:val="16"/>
        </w:rPr>
      </w:pPr>
      <w:r w:rsidRPr="00AA5E01">
        <w:rPr>
          <w:rStyle w:val="FootnoteReference"/>
          <w:color w:val="000000" w:themeColor="text1"/>
          <w:sz w:val="16"/>
          <w:szCs w:val="16"/>
        </w:rPr>
        <w:footnoteRef/>
      </w:r>
      <w:r w:rsidRPr="00AA5E01">
        <w:rPr>
          <w:color w:val="000000" w:themeColor="text1"/>
          <w:sz w:val="16"/>
          <w:szCs w:val="16"/>
        </w:rPr>
        <w:t xml:space="preserve"> Division III substituted by the Finance Act, 2014. The substituted Division III read as follows:</w:t>
      </w:r>
    </w:p>
    <w:p w:rsidR="00BF2117" w:rsidRPr="00AA5E01" w:rsidRDefault="00BF2117" w:rsidP="007B5482">
      <w:pPr>
        <w:pStyle w:val="Heading2"/>
        <w:spacing w:line="240" w:lineRule="auto"/>
        <w:rPr>
          <w:color w:val="000000" w:themeColor="text1"/>
          <w:sz w:val="16"/>
          <w:szCs w:val="16"/>
        </w:rPr>
      </w:pPr>
      <w:r w:rsidRPr="00AA5E01">
        <w:rPr>
          <w:color w:val="000000" w:themeColor="text1"/>
          <w:sz w:val="16"/>
          <w:szCs w:val="16"/>
        </w:rPr>
        <w:t>Division III</w:t>
      </w:r>
    </w:p>
    <w:p w:rsidR="00BF2117" w:rsidRPr="00AA5E01" w:rsidRDefault="00BF2117" w:rsidP="007B5482">
      <w:pPr>
        <w:pStyle w:val="Heading8"/>
        <w:rPr>
          <w:i w:val="0"/>
          <w:iCs/>
          <w:color w:val="000000" w:themeColor="text1"/>
          <w:sz w:val="16"/>
          <w:szCs w:val="16"/>
        </w:rPr>
      </w:pPr>
      <w:r w:rsidRPr="00AA5E01">
        <w:rPr>
          <w:i w:val="0"/>
          <w:color w:val="000000" w:themeColor="text1"/>
          <w:sz w:val="16"/>
          <w:szCs w:val="16"/>
        </w:rPr>
        <w:t>Rate of Dividend Tax</w:t>
      </w:r>
    </w:p>
    <w:p w:rsidR="00BF2117" w:rsidRPr="00AA5E01" w:rsidRDefault="00BF2117" w:rsidP="002F3154">
      <w:pPr>
        <w:jc w:val="both"/>
        <w:rPr>
          <w:color w:val="000000" w:themeColor="text1"/>
          <w:lang w:val="en-US"/>
        </w:rPr>
      </w:pPr>
      <w:r w:rsidRPr="00AA5E01">
        <w:rPr>
          <w:color w:val="000000" w:themeColor="text1"/>
          <w:sz w:val="16"/>
          <w:szCs w:val="16"/>
        </w:rPr>
        <w:tab/>
        <w:t>The rate of tax imposed under section 5 on dividend received from a company shall be 10%.</w:t>
      </w:r>
    </w:p>
  </w:footnote>
  <w:footnote w:id="1610">
    <w:p w:rsidR="00BF2117" w:rsidRDefault="00BF2117">
      <w:pPr>
        <w:pStyle w:val="FootnoteText"/>
        <w:rPr>
          <w:color w:val="00B0F0"/>
          <w:sz w:val="20"/>
        </w:rPr>
      </w:pPr>
      <w:r w:rsidRPr="002F3154">
        <w:rPr>
          <w:rStyle w:val="FootnoteReference"/>
          <w:sz w:val="16"/>
          <w:szCs w:val="16"/>
        </w:rPr>
        <w:footnoteRef/>
      </w:r>
      <w:r>
        <w:rPr>
          <w:sz w:val="16"/>
          <w:szCs w:val="16"/>
        </w:rPr>
        <w:t>Clause (b) substituted by the Finance Act, 2015. Substituted clause read as follows:-</w:t>
      </w:r>
    </w:p>
    <w:p w:rsidR="00BF2117" w:rsidRPr="002F3154" w:rsidRDefault="00BF2117" w:rsidP="002F3154">
      <w:pPr>
        <w:pStyle w:val="FootnoteText"/>
        <w:ind w:hanging="173"/>
        <w:rPr>
          <w:color w:val="000000" w:themeColor="text1"/>
          <w:sz w:val="16"/>
          <w:szCs w:val="16"/>
          <w:lang w:val="en-US"/>
        </w:rPr>
      </w:pPr>
      <w:r w:rsidRPr="002F3154">
        <w:rPr>
          <w:color w:val="000000" w:themeColor="text1"/>
          <w:sz w:val="16"/>
          <w:szCs w:val="16"/>
        </w:rPr>
        <w:t>“10%, in all other cases</w:t>
      </w:r>
      <w:r>
        <w:rPr>
          <w:color w:val="000000" w:themeColor="text1"/>
          <w:sz w:val="16"/>
          <w:szCs w:val="16"/>
        </w:rPr>
        <w:t>”</w:t>
      </w:r>
    </w:p>
  </w:footnote>
  <w:footnote w:id="1611">
    <w:p w:rsidR="00BF2117" w:rsidRPr="0026484D" w:rsidRDefault="00BF2117">
      <w:pPr>
        <w:pStyle w:val="FootnoteText"/>
        <w:rPr>
          <w:sz w:val="16"/>
          <w:szCs w:val="16"/>
          <w:lang w:val="en-US"/>
        </w:rPr>
      </w:pPr>
      <w:r w:rsidRPr="0026484D">
        <w:rPr>
          <w:rStyle w:val="FootnoteReference"/>
          <w:sz w:val="16"/>
          <w:szCs w:val="16"/>
        </w:rPr>
        <w:footnoteRef/>
      </w:r>
      <w:r>
        <w:rPr>
          <w:sz w:val="16"/>
          <w:szCs w:val="16"/>
        </w:rPr>
        <w:t>Inserted by the Finance Act, 2015.</w:t>
      </w:r>
    </w:p>
  </w:footnote>
  <w:footnote w:id="1612">
    <w:p w:rsidR="00BF2117" w:rsidRPr="00AC1E52" w:rsidRDefault="00BF2117">
      <w:pPr>
        <w:pStyle w:val="FootnoteText"/>
        <w:rPr>
          <w:sz w:val="16"/>
          <w:szCs w:val="16"/>
          <w:lang w:val="en-US"/>
        </w:rPr>
      </w:pPr>
      <w:r w:rsidRPr="00AC1E52">
        <w:rPr>
          <w:rStyle w:val="FootnoteReference"/>
          <w:sz w:val="16"/>
          <w:szCs w:val="16"/>
        </w:rPr>
        <w:footnoteRef/>
      </w:r>
      <w:r>
        <w:rPr>
          <w:sz w:val="16"/>
          <w:szCs w:val="16"/>
        </w:rPr>
        <w:t>Full stop substituted by the Finance Act, 2015.</w:t>
      </w:r>
    </w:p>
  </w:footnote>
  <w:footnote w:id="1613">
    <w:p w:rsidR="00BF2117" w:rsidRPr="00AB7EAC" w:rsidRDefault="00BF2117">
      <w:pPr>
        <w:pStyle w:val="FootnoteText"/>
        <w:rPr>
          <w:sz w:val="16"/>
          <w:szCs w:val="16"/>
          <w:lang w:val="en-US"/>
        </w:rPr>
      </w:pPr>
      <w:r w:rsidRPr="00AB7EAC">
        <w:rPr>
          <w:rStyle w:val="FootnoteReference"/>
          <w:sz w:val="16"/>
          <w:szCs w:val="16"/>
        </w:rPr>
        <w:footnoteRef/>
      </w:r>
      <w:r>
        <w:rPr>
          <w:sz w:val="16"/>
          <w:szCs w:val="16"/>
        </w:rPr>
        <w:t>Added by the Finance Act, 2015.</w:t>
      </w:r>
    </w:p>
  </w:footnote>
  <w:footnote w:id="1614">
    <w:p w:rsidR="00BF2117" w:rsidRPr="00A323BA" w:rsidRDefault="00BF2117">
      <w:pPr>
        <w:pStyle w:val="FootnoteText"/>
        <w:rPr>
          <w:sz w:val="16"/>
          <w:szCs w:val="16"/>
          <w:lang w:val="en-US"/>
        </w:rPr>
      </w:pPr>
      <w:r w:rsidRPr="00A323BA">
        <w:rPr>
          <w:rStyle w:val="FootnoteReference"/>
          <w:sz w:val="16"/>
          <w:szCs w:val="16"/>
        </w:rPr>
        <w:footnoteRef/>
      </w:r>
      <w:r>
        <w:rPr>
          <w:sz w:val="16"/>
          <w:szCs w:val="16"/>
        </w:rPr>
        <w:t>Added by the Finance Act, 2015.</w:t>
      </w:r>
    </w:p>
  </w:footnote>
  <w:footnote w:id="1615">
    <w:p w:rsidR="00BF2117" w:rsidRPr="003B548D" w:rsidRDefault="00BF2117">
      <w:pPr>
        <w:pStyle w:val="FootnoteText"/>
        <w:rPr>
          <w:color w:val="FF0000"/>
          <w:sz w:val="16"/>
          <w:szCs w:val="16"/>
          <w:lang w:val="en-US"/>
        </w:rPr>
      </w:pPr>
      <w:r w:rsidRPr="003B548D">
        <w:rPr>
          <w:rStyle w:val="FootnoteReference"/>
          <w:color w:val="FF0000"/>
          <w:sz w:val="16"/>
          <w:szCs w:val="16"/>
        </w:rPr>
        <w:footnoteRef/>
      </w:r>
      <w:r w:rsidRPr="003B548D">
        <w:rPr>
          <w:color w:val="FF0000"/>
          <w:sz w:val="16"/>
          <w:szCs w:val="16"/>
        </w:rPr>
        <w:t xml:space="preserve"> Added by the Presidential Order No.F.2(1)2016-Pub dated 31.08.2016.</w:t>
      </w:r>
      <w:r w:rsidRPr="003B548D">
        <w:rPr>
          <w:color w:val="FF0000"/>
          <w:sz w:val="16"/>
          <w:szCs w:val="16"/>
        </w:rPr>
        <w:br/>
        <w:t xml:space="preserve"> </w:t>
      </w:r>
    </w:p>
  </w:footnote>
  <w:footnote w:id="1616">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Inserted by the Finance Act, 2016.</w:t>
      </w:r>
    </w:p>
  </w:footnote>
  <w:footnote w:id="1617">
    <w:p w:rsidR="00BF2117" w:rsidRPr="00412620" w:rsidRDefault="00BF2117" w:rsidP="00AA4BF8">
      <w:pPr>
        <w:pStyle w:val="FootnoteText"/>
        <w:rPr>
          <w:sz w:val="16"/>
          <w:szCs w:val="16"/>
        </w:rPr>
      </w:pPr>
      <w:r w:rsidRPr="00412620">
        <w:rPr>
          <w:rStyle w:val="FootnoteReference"/>
          <w:rFonts w:cs="Arial"/>
        </w:rPr>
        <w:footnoteRef/>
      </w:r>
      <w:r w:rsidRPr="00412620">
        <w:rPr>
          <w:sz w:val="16"/>
          <w:szCs w:val="16"/>
        </w:rPr>
        <w:t>“Division VI” omitted by the Finance Act, 2013. The omitted “Division VI” read as follows:</w:t>
      </w:r>
    </w:p>
    <w:p w:rsidR="00BF2117" w:rsidRPr="00412620" w:rsidRDefault="00BF2117" w:rsidP="00AA4BF8">
      <w:pPr>
        <w:pStyle w:val="Heading8"/>
        <w:rPr>
          <w:i w:val="0"/>
          <w:iCs/>
          <w:sz w:val="16"/>
          <w:szCs w:val="16"/>
        </w:rPr>
      </w:pPr>
      <w:r w:rsidRPr="00412620">
        <w:rPr>
          <w:sz w:val="16"/>
          <w:szCs w:val="16"/>
          <w:lang w:val="en-US"/>
        </w:rPr>
        <w:t>“</w:t>
      </w:r>
      <w:r w:rsidRPr="00412620">
        <w:rPr>
          <w:i w:val="0"/>
          <w:sz w:val="16"/>
          <w:szCs w:val="16"/>
        </w:rPr>
        <w:t>Division VI</w:t>
      </w:r>
    </w:p>
    <w:p w:rsidR="00BF2117" w:rsidRPr="00412620" w:rsidRDefault="00BF2117" w:rsidP="00AA4BF8">
      <w:pPr>
        <w:ind w:firstLine="8"/>
        <w:jc w:val="center"/>
        <w:rPr>
          <w:b/>
          <w:bCs/>
          <w:sz w:val="16"/>
          <w:szCs w:val="16"/>
        </w:rPr>
      </w:pPr>
      <w:r w:rsidRPr="00412620">
        <w:rPr>
          <w:b/>
          <w:bCs/>
          <w:sz w:val="16"/>
          <w:szCs w:val="16"/>
        </w:rPr>
        <w:t>Income from Property</w:t>
      </w:r>
    </w:p>
    <w:p w:rsidR="00BF2117" w:rsidRPr="00412620" w:rsidRDefault="00BF2117" w:rsidP="00AA4BF8">
      <w:pPr>
        <w:ind w:firstLine="8"/>
        <w:jc w:val="center"/>
        <w:rPr>
          <w:b/>
          <w:bCs/>
          <w:sz w:val="16"/>
          <w:szCs w:val="16"/>
        </w:rPr>
      </w:pPr>
    </w:p>
    <w:p w:rsidR="00BF2117" w:rsidRPr="00412620" w:rsidRDefault="00BF2117" w:rsidP="00AA4BF8">
      <w:pPr>
        <w:ind w:left="1641" w:hanging="553"/>
        <w:jc w:val="both"/>
        <w:rPr>
          <w:sz w:val="16"/>
          <w:szCs w:val="16"/>
        </w:rPr>
      </w:pPr>
      <w:r w:rsidRPr="00412620">
        <w:rPr>
          <w:sz w:val="16"/>
          <w:szCs w:val="16"/>
        </w:rPr>
        <w:t>(a)</w:t>
      </w:r>
      <w:r w:rsidRPr="00412620">
        <w:rPr>
          <w:sz w:val="16"/>
          <w:szCs w:val="16"/>
        </w:rPr>
        <w:tab/>
        <w:t>The rate of tax to be paid under section 15, in the case of individual and association of persons, shall be—</w:t>
      </w:r>
    </w:p>
    <w:tbl>
      <w:tblPr>
        <w:tblW w:w="5940" w:type="dxa"/>
        <w:tblInd w:w="2" w:type="dxa"/>
        <w:tblLayout w:type="fixed"/>
        <w:tblLook w:val="01E0"/>
      </w:tblPr>
      <w:tblGrid>
        <w:gridCol w:w="900"/>
        <w:gridCol w:w="2700"/>
        <w:gridCol w:w="2340"/>
      </w:tblGrid>
      <w:tr w:rsidR="00BF2117" w:rsidRPr="00412620">
        <w:tc>
          <w:tcPr>
            <w:tcW w:w="900" w:type="dxa"/>
            <w:tcBorders>
              <w:top w:val="single" w:sz="4" w:space="0" w:color="auto"/>
              <w:bottom w:val="single" w:sz="4" w:space="0" w:color="auto"/>
            </w:tcBorders>
          </w:tcPr>
          <w:p w:rsidR="00BF2117" w:rsidRPr="00412620" w:rsidRDefault="00BF2117" w:rsidP="0000382B">
            <w:pPr>
              <w:spacing w:before="120" w:after="120"/>
              <w:jc w:val="center"/>
              <w:rPr>
                <w:b/>
                <w:bCs/>
                <w:sz w:val="16"/>
                <w:szCs w:val="16"/>
              </w:rPr>
            </w:pPr>
            <w:r w:rsidRPr="00412620">
              <w:rPr>
                <w:b/>
                <w:bCs/>
                <w:sz w:val="16"/>
                <w:szCs w:val="16"/>
              </w:rPr>
              <w:t>S.No.</w:t>
            </w:r>
          </w:p>
        </w:tc>
        <w:tc>
          <w:tcPr>
            <w:tcW w:w="2700" w:type="dxa"/>
            <w:tcBorders>
              <w:top w:val="single" w:sz="4" w:space="0" w:color="auto"/>
              <w:bottom w:val="single" w:sz="4" w:space="0" w:color="auto"/>
            </w:tcBorders>
          </w:tcPr>
          <w:p w:rsidR="00BF2117" w:rsidRPr="00412620" w:rsidRDefault="00BF2117" w:rsidP="0000382B">
            <w:pPr>
              <w:spacing w:before="120" w:after="120"/>
              <w:ind w:right="252"/>
              <w:jc w:val="center"/>
              <w:rPr>
                <w:b/>
                <w:bCs/>
                <w:sz w:val="16"/>
                <w:szCs w:val="16"/>
              </w:rPr>
            </w:pPr>
            <w:r w:rsidRPr="00412620">
              <w:rPr>
                <w:b/>
                <w:bCs/>
                <w:sz w:val="16"/>
                <w:szCs w:val="16"/>
              </w:rPr>
              <w:t>Gross amount of rent</w:t>
            </w:r>
          </w:p>
        </w:tc>
        <w:tc>
          <w:tcPr>
            <w:tcW w:w="2340" w:type="dxa"/>
            <w:tcBorders>
              <w:top w:val="single" w:sz="4" w:space="0" w:color="auto"/>
              <w:bottom w:val="single" w:sz="4" w:space="0" w:color="auto"/>
            </w:tcBorders>
          </w:tcPr>
          <w:p w:rsidR="00BF2117" w:rsidRPr="00412620" w:rsidRDefault="00BF2117" w:rsidP="0000382B">
            <w:pPr>
              <w:spacing w:before="120" w:after="120"/>
              <w:jc w:val="center"/>
              <w:rPr>
                <w:b/>
                <w:bCs/>
                <w:sz w:val="16"/>
                <w:szCs w:val="16"/>
              </w:rPr>
            </w:pPr>
            <w:r w:rsidRPr="00412620">
              <w:rPr>
                <w:b/>
                <w:bCs/>
                <w:sz w:val="16"/>
                <w:szCs w:val="16"/>
              </w:rPr>
              <w:t>Rate of tax</w:t>
            </w:r>
          </w:p>
        </w:tc>
      </w:tr>
      <w:tr w:rsidR="00BF2117" w:rsidRPr="00412620">
        <w:tc>
          <w:tcPr>
            <w:tcW w:w="900" w:type="dxa"/>
            <w:tcBorders>
              <w:top w:val="single" w:sz="4" w:space="0" w:color="auto"/>
            </w:tcBorders>
          </w:tcPr>
          <w:p w:rsidR="00BF2117" w:rsidRPr="00412620" w:rsidRDefault="00BF2117" w:rsidP="0000382B">
            <w:pPr>
              <w:spacing w:before="120" w:after="120"/>
              <w:jc w:val="center"/>
              <w:rPr>
                <w:sz w:val="16"/>
                <w:szCs w:val="16"/>
              </w:rPr>
            </w:pPr>
            <w:r w:rsidRPr="00412620">
              <w:rPr>
                <w:sz w:val="16"/>
                <w:szCs w:val="16"/>
              </w:rPr>
              <w:t>(1)</w:t>
            </w:r>
          </w:p>
        </w:tc>
        <w:tc>
          <w:tcPr>
            <w:tcW w:w="2700" w:type="dxa"/>
            <w:tcBorders>
              <w:top w:val="single" w:sz="4" w:space="0" w:color="auto"/>
            </w:tcBorders>
          </w:tcPr>
          <w:p w:rsidR="00BF2117" w:rsidRPr="00412620" w:rsidRDefault="00BF2117" w:rsidP="0000382B">
            <w:pPr>
              <w:spacing w:before="120" w:after="120"/>
              <w:ind w:right="252"/>
              <w:jc w:val="both"/>
              <w:rPr>
                <w:sz w:val="16"/>
                <w:szCs w:val="16"/>
              </w:rPr>
            </w:pPr>
            <w:r w:rsidRPr="00412620">
              <w:rPr>
                <w:sz w:val="16"/>
                <w:szCs w:val="16"/>
              </w:rPr>
              <w:t>Where the gross amount of rent does not exceed Rs.150,000.</w:t>
            </w:r>
          </w:p>
        </w:tc>
        <w:tc>
          <w:tcPr>
            <w:tcW w:w="2340" w:type="dxa"/>
            <w:tcBorders>
              <w:top w:val="single" w:sz="4" w:space="0" w:color="auto"/>
            </w:tcBorders>
          </w:tcPr>
          <w:p w:rsidR="00BF2117" w:rsidRPr="00412620" w:rsidRDefault="00BF2117" w:rsidP="0000382B">
            <w:pPr>
              <w:spacing w:before="120" w:after="120"/>
              <w:jc w:val="center"/>
              <w:rPr>
                <w:sz w:val="16"/>
                <w:szCs w:val="16"/>
              </w:rPr>
            </w:pPr>
            <w:r w:rsidRPr="00412620">
              <w:rPr>
                <w:sz w:val="16"/>
                <w:szCs w:val="16"/>
              </w:rPr>
              <w:t>Nil</w:t>
            </w:r>
          </w:p>
        </w:tc>
      </w:tr>
      <w:tr w:rsidR="00BF2117" w:rsidRPr="00412620">
        <w:tc>
          <w:tcPr>
            <w:tcW w:w="900" w:type="dxa"/>
          </w:tcPr>
          <w:p w:rsidR="00BF2117" w:rsidRPr="00412620" w:rsidRDefault="00BF2117" w:rsidP="0000382B">
            <w:pPr>
              <w:spacing w:before="120" w:after="120"/>
              <w:jc w:val="center"/>
              <w:rPr>
                <w:sz w:val="16"/>
                <w:szCs w:val="16"/>
              </w:rPr>
            </w:pPr>
            <w:r w:rsidRPr="00412620">
              <w:rPr>
                <w:sz w:val="16"/>
                <w:szCs w:val="16"/>
              </w:rPr>
              <w:t>(2)</w:t>
            </w:r>
          </w:p>
        </w:tc>
        <w:tc>
          <w:tcPr>
            <w:tcW w:w="2700" w:type="dxa"/>
          </w:tcPr>
          <w:p w:rsidR="00BF2117" w:rsidRPr="00412620" w:rsidRDefault="00BF2117" w:rsidP="0000382B">
            <w:pPr>
              <w:spacing w:before="120" w:after="120"/>
              <w:ind w:right="252"/>
              <w:jc w:val="both"/>
              <w:rPr>
                <w:sz w:val="16"/>
                <w:szCs w:val="16"/>
              </w:rPr>
            </w:pPr>
            <w:r w:rsidRPr="00412620">
              <w:rPr>
                <w:sz w:val="16"/>
                <w:szCs w:val="16"/>
              </w:rPr>
              <w:t>Where the gross amount of rent exceeds Rs.150,000 but does not exceed Rs.400,000.</w:t>
            </w:r>
          </w:p>
        </w:tc>
        <w:tc>
          <w:tcPr>
            <w:tcW w:w="2340" w:type="dxa"/>
          </w:tcPr>
          <w:p w:rsidR="00BF2117" w:rsidRPr="00412620" w:rsidRDefault="00BF2117" w:rsidP="0000382B">
            <w:pPr>
              <w:spacing w:before="120" w:after="120"/>
              <w:jc w:val="both"/>
              <w:rPr>
                <w:sz w:val="16"/>
                <w:szCs w:val="16"/>
              </w:rPr>
            </w:pPr>
            <w:r w:rsidRPr="00412620">
              <w:rPr>
                <w:sz w:val="16"/>
                <w:szCs w:val="16"/>
              </w:rPr>
              <w:t xml:space="preserve">5 </w:t>
            </w:r>
            <w:r>
              <w:rPr>
                <w:sz w:val="16"/>
                <w:szCs w:val="16"/>
              </w:rPr>
              <w:t>per cent</w:t>
            </w:r>
            <w:r w:rsidRPr="00412620">
              <w:rPr>
                <w:sz w:val="16"/>
                <w:szCs w:val="16"/>
              </w:rPr>
              <w:t xml:space="preserve"> of the gross amount exceeding Rs.150,000.</w:t>
            </w:r>
          </w:p>
        </w:tc>
      </w:tr>
      <w:tr w:rsidR="00BF2117" w:rsidRPr="00412620">
        <w:tc>
          <w:tcPr>
            <w:tcW w:w="900" w:type="dxa"/>
          </w:tcPr>
          <w:p w:rsidR="00BF2117" w:rsidRPr="00412620" w:rsidRDefault="00BF2117" w:rsidP="0000382B">
            <w:pPr>
              <w:spacing w:before="120" w:after="120"/>
              <w:jc w:val="center"/>
              <w:rPr>
                <w:sz w:val="16"/>
                <w:szCs w:val="16"/>
              </w:rPr>
            </w:pPr>
            <w:r w:rsidRPr="00412620">
              <w:rPr>
                <w:sz w:val="16"/>
                <w:szCs w:val="16"/>
              </w:rPr>
              <w:t>(3)</w:t>
            </w:r>
          </w:p>
        </w:tc>
        <w:tc>
          <w:tcPr>
            <w:tcW w:w="2700" w:type="dxa"/>
          </w:tcPr>
          <w:p w:rsidR="00BF2117" w:rsidRPr="00412620" w:rsidRDefault="00BF2117" w:rsidP="0000382B">
            <w:pPr>
              <w:spacing w:before="120" w:after="120"/>
              <w:ind w:right="252"/>
              <w:jc w:val="both"/>
              <w:rPr>
                <w:sz w:val="16"/>
                <w:szCs w:val="16"/>
              </w:rPr>
            </w:pPr>
            <w:r w:rsidRPr="00412620">
              <w:rPr>
                <w:sz w:val="16"/>
                <w:szCs w:val="16"/>
              </w:rPr>
              <w:t>Where the gross amount of rent exceeds Rs.400,000 but does not exceed Rs.1,000,000.</w:t>
            </w:r>
          </w:p>
        </w:tc>
        <w:tc>
          <w:tcPr>
            <w:tcW w:w="2340" w:type="dxa"/>
          </w:tcPr>
          <w:p w:rsidR="00BF2117" w:rsidRPr="00412620" w:rsidRDefault="00BF2117" w:rsidP="0000382B">
            <w:pPr>
              <w:spacing w:before="120" w:after="120"/>
              <w:jc w:val="both"/>
              <w:rPr>
                <w:sz w:val="16"/>
                <w:szCs w:val="16"/>
              </w:rPr>
            </w:pPr>
            <w:r w:rsidRPr="00412620">
              <w:rPr>
                <w:sz w:val="16"/>
                <w:szCs w:val="16"/>
              </w:rPr>
              <w:t xml:space="preserve">Rs.12,500 plus 7.5 </w:t>
            </w:r>
            <w:r>
              <w:rPr>
                <w:sz w:val="16"/>
                <w:szCs w:val="16"/>
              </w:rPr>
              <w:t>per cent</w:t>
            </w:r>
            <w:r w:rsidRPr="00412620">
              <w:rPr>
                <w:sz w:val="16"/>
                <w:szCs w:val="16"/>
              </w:rPr>
              <w:t xml:space="preserve"> of the gross amount exceeding Rs.400,000.</w:t>
            </w:r>
          </w:p>
        </w:tc>
      </w:tr>
      <w:tr w:rsidR="00BF2117" w:rsidRPr="00412620">
        <w:tc>
          <w:tcPr>
            <w:tcW w:w="900" w:type="dxa"/>
          </w:tcPr>
          <w:p w:rsidR="00BF2117" w:rsidRPr="00412620" w:rsidRDefault="00BF2117" w:rsidP="0000382B">
            <w:pPr>
              <w:spacing w:before="120" w:after="120"/>
              <w:jc w:val="center"/>
              <w:rPr>
                <w:sz w:val="16"/>
                <w:szCs w:val="16"/>
              </w:rPr>
            </w:pPr>
            <w:r w:rsidRPr="00412620">
              <w:rPr>
                <w:sz w:val="16"/>
                <w:szCs w:val="16"/>
              </w:rPr>
              <w:t>(4)</w:t>
            </w:r>
          </w:p>
        </w:tc>
        <w:tc>
          <w:tcPr>
            <w:tcW w:w="2700" w:type="dxa"/>
          </w:tcPr>
          <w:p w:rsidR="00BF2117" w:rsidRPr="00412620" w:rsidRDefault="00BF2117" w:rsidP="0000382B">
            <w:pPr>
              <w:spacing w:before="120" w:after="120"/>
              <w:ind w:right="252"/>
              <w:jc w:val="both"/>
              <w:rPr>
                <w:sz w:val="16"/>
                <w:szCs w:val="16"/>
              </w:rPr>
            </w:pPr>
            <w:r w:rsidRPr="00412620">
              <w:rPr>
                <w:sz w:val="16"/>
                <w:szCs w:val="16"/>
              </w:rPr>
              <w:t>Where the gross amount of rent exceeds Rs.1,000,000.</w:t>
            </w:r>
          </w:p>
        </w:tc>
        <w:tc>
          <w:tcPr>
            <w:tcW w:w="2340" w:type="dxa"/>
          </w:tcPr>
          <w:p w:rsidR="00BF2117" w:rsidRPr="00412620" w:rsidRDefault="00BF2117" w:rsidP="0000382B">
            <w:pPr>
              <w:spacing w:before="120" w:after="120"/>
              <w:jc w:val="both"/>
              <w:rPr>
                <w:sz w:val="16"/>
                <w:szCs w:val="16"/>
              </w:rPr>
            </w:pPr>
            <w:r w:rsidRPr="00412620">
              <w:rPr>
                <w:sz w:val="16"/>
                <w:szCs w:val="16"/>
              </w:rPr>
              <w:t xml:space="preserve">Rs.57,500 plus 10 </w:t>
            </w:r>
            <w:r>
              <w:rPr>
                <w:sz w:val="16"/>
                <w:szCs w:val="16"/>
              </w:rPr>
              <w:t>per cent</w:t>
            </w:r>
            <w:r w:rsidRPr="00412620">
              <w:rPr>
                <w:sz w:val="16"/>
                <w:szCs w:val="16"/>
              </w:rPr>
              <w:t xml:space="preserve"> of the gross amount exceeding Rs.1,000,000.</w:t>
            </w:r>
          </w:p>
        </w:tc>
      </w:tr>
    </w:tbl>
    <w:p w:rsidR="00BF2117" w:rsidRPr="00412620" w:rsidRDefault="00BF2117" w:rsidP="00AA4BF8">
      <w:pPr>
        <w:spacing w:before="120" w:after="120"/>
        <w:ind w:left="1641" w:hanging="546"/>
        <w:jc w:val="both"/>
        <w:rPr>
          <w:sz w:val="16"/>
          <w:szCs w:val="16"/>
        </w:rPr>
      </w:pPr>
      <w:r w:rsidRPr="00412620">
        <w:rPr>
          <w:sz w:val="16"/>
          <w:szCs w:val="16"/>
        </w:rPr>
        <w:t xml:space="preserve"> (b)</w:t>
      </w:r>
      <w:r w:rsidRPr="00412620">
        <w:rPr>
          <w:sz w:val="16"/>
          <w:szCs w:val="16"/>
        </w:rPr>
        <w:tab/>
        <w:t>The rate of tax to be paid under section 15, in the case of company, shall be—</w:t>
      </w:r>
    </w:p>
    <w:tbl>
      <w:tblPr>
        <w:tblW w:w="5940" w:type="dxa"/>
        <w:tblInd w:w="2" w:type="dxa"/>
        <w:tblLook w:val="01E0"/>
      </w:tblPr>
      <w:tblGrid>
        <w:gridCol w:w="900"/>
        <w:gridCol w:w="2700"/>
        <w:gridCol w:w="2340"/>
      </w:tblGrid>
      <w:tr w:rsidR="00BF2117" w:rsidRPr="00412620">
        <w:tc>
          <w:tcPr>
            <w:tcW w:w="900" w:type="dxa"/>
            <w:tcBorders>
              <w:top w:val="single" w:sz="4" w:space="0" w:color="auto"/>
              <w:bottom w:val="single" w:sz="4" w:space="0" w:color="auto"/>
            </w:tcBorders>
          </w:tcPr>
          <w:p w:rsidR="00BF2117" w:rsidRPr="00412620" w:rsidRDefault="00BF2117" w:rsidP="0000382B">
            <w:pPr>
              <w:spacing w:before="120" w:after="120"/>
              <w:jc w:val="center"/>
              <w:rPr>
                <w:b/>
                <w:bCs/>
                <w:sz w:val="16"/>
                <w:szCs w:val="16"/>
              </w:rPr>
            </w:pPr>
            <w:r w:rsidRPr="00412620">
              <w:rPr>
                <w:b/>
                <w:bCs/>
                <w:sz w:val="16"/>
                <w:szCs w:val="16"/>
              </w:rPr>
              <w:t>S.No.</w:t>
            </w:r>
          </w:p>
        </w:tc>
        <w:tc>
          <w:tcPr>
            <w:tcW w:w="2700" w:type="dxa"/>
            <w:tcBorders>
              <w:top w:val="single" w:sz="4" w:space="0" w:color="auto"/>
              <w:bottom w:val="single" w:sz="4" w:space="0" w:color="auto"/>
            </w:tcBorders>
          </w:tcPr>
          <w:p w:rsidR="00BF2117" w:rsidRPr="00412620" w:rsidRDefault="00BF2117" w:rsidP="0000382B">
            <w:pPr>
              <w:spacing w:before="120" w:after="120"/>
              <w:ind w:right="252"/>
              <w:jc w:val="both"/>
              <w:rPr>
                <w:b/>
                <w:bCs/>
                <w:sz w:val="16"/>
                <w:szCs w:val="16"/>
              </w:rPr>
            </w:pPr>
            <w:r w:rsidRPr="00412620">
              <w:rPr>
                <w:b/>
                <w:bCs/>
                <w:sz w:val="16"/>
                <w:szCs w:val="16"/>
              </w:rPr>
              <w:t>Gross amount of rent</w:t>
            </w:r>
          </w:p>
        </w:tc>
        <w:tc>
          <w:tcPr>
            <w:tcW w:w="2340" w:type="dxa"/>
            <w:tcBorders>
              <w:top w:val="single" w:sz="4" w:space="0" w:color="auto"/>
              <w:bottom w:val="single" w:sz="4" w:space="0" w:color="auto"/>
            </w:tcBorders>
          </w:tcPr>
          <w:p w:rsidR="00BF2117" w:rsidRPr="00412620" w:rsidRDefault="00BF2117" w:rsidP="0000382B">
            <w:pPr>
              <w:spacing w:before="120" w:after="120"/>
              <w:ind w:left="252"/>
              <w:jc w:val="both"/>
              <w:rPr>
                <w:b/>
                <w:bCs/>
                <w:sz w:val="16"/>
                <w:szCs w:val="16"/>
              </w:rPr>
            </w:pPr>
            <w:r w:rsidRPr="00412620">
              <w:rPr>
                <w:b/>
                <w:bCs/>
                <w:sz w:val="16"/>
                <w:szCs w:val="16"/>
              </w:rPr>
              <w:t>Rate of tax</w:t>
            </w:r>
          </w:p>
        </w:tc>
      </w:tr>
      <w:tr w:rsidR="00BF2117" w:rsidRPr="00412620">
        <w:tc>
          <w:tcPr>
            <w:tcW w:w="900" w:type="dxa"/>
            <w:tcBorders>
              <w:top w:val="single" w:sz="4" w:space="0" w:color="auto"/>
            </w:tcBorders>
          </w:tcPr>
          <w:p w:rsidR="00BF2117" w:rsidRPr="00412620" w:rsidRDefault="00BF2117" w:rsidP="0000382B">
            <w:pPr>
              <w:spacing w:before="120" w:after="120"/>
              <w:jc w:val="center"/>
              <w:rPr>
                <w:sz w:val="16"/>
                <w:szCs w:val="16"/>
              </w:rPr>
            </w:pPr>
            <w:r w:rsidRPr="00412620">
              <w:rPr>
                <w:sz w:val="16"/>
                <w:szCs w:val="16"/>
              </w:rPr>
              <w:t>(1)</w:t>
            </w:r>
          </w:p>
        </w:tc>
        <w:tc>
          <w:tcPr>
            <w:tcW w:w="2700" w:type="dxa"/>
            <w:tcBorders>
              <w:top w:val="single" w:sz="4" w:space="0" w:color="auto"/>
            </w:tcBorders>
          </w:tcPr>
          <w:p w:rsidR="00BF2117" w:rsidRPr="00412620" w:rsidRDefault="00BF2117" w:rsidP="0000382B">
            <w:pPr>
              <w:spacing w:before="120" w:after="120"/>
              <w:ind w:right="252"/>
              <w:jc w:val="both"/>
              <w:rPr>
                <w:sz w:val="16"/>
                <w:szCs w:val="16"/>
              </w:rPr>
            </w:pPr>
            <w:r w:rsidRPr="00412620">
              <w:rPr>
                <w:sz w:val="16"/>
                <w:szCs w:val="16"/>
              </w:rPr>
              <w:t>Where the gross amount of rent does not exceed Rs.400,000.</w:t>
            </w:r>
          </w:p>
        </w:tc>
        <w:tc>
          <w:tcPr>
            <w:tcW w:w="2340" w:type="dxa"/>
            <w:tcBorders>
              <w:top w:val="single" w:sz="4" w:space="0" w:color="auto"/>
            </w:tcBorders>
          </w:tcPr>
          <w:p w:rsidR="00BF2117" w:rsidRPr="00412620" w:rsidRDefault="00BF2117" w:rsidP="0000382B">
            <w:pPr>
              <w:spacing w:before="120" w:after="120"/>
              <w:jc w:val="both"/>
              <w:rPr>
                <w:sz w:val="16"/>
                <w:szCs w:val="16"/>
              </w:rPr>
            </w:pPr>
            <w:r w:rsidRPr="00412620">
              <w:rPr>
                <w:sz w:val="16"/>
                <w:szCs w:val="16"/>
              </w:rPr>
              <w:t xml:space="preserve">5 </w:t>
            </w:r>
            <w:r>
              <w:rPr>
                <w:sz w:val="16"/>
                <w:szCs w:val="16"/>
              </w:rPr>
              <w:t>per cent</w:t>
            </w:r>
            <w:r w:rsidRPr="00412620">
              <w:rPr>
                <w:sz w:val="16"/>
                <w:szCs w:val="16"/>
              </w:rPr>
              <w:t xml:space="preserve"> of the gross amount of rent.</w:t>
            </w:r>
          </w:p>
        </w:tc>
      </w:tr>
      <w:tr w:rsidR="00BF2117" w:rsidRPr="00412620">
        <w:tc>
          <w:tcPr>
            <w:tcW w:w="900" w:type="dxa"/>
          </w:tcPr>
          <w:p w:rsidR="00BF2117" w:rsidRPr="00412620" w:rsidRDefault="00BF2117" w:rsidP="0000382B">
            <w:pPr>
              <w:spacing w:before="120" w:after="120"/>
              <w:jc w:val="center"/>
              <w:rPr>
                <w:sz w:val="16"/>
                <w:szCs w:val="16"/>
              </w:rPr>
            </w:pPr>
            <w:r w:rsidRPr="00412620">
              <w:rPr>
                <w:sz w:val="16"/>
                <w:szCs w:val="16"/>
              </w:rPr>
              <w:t>(2)</w:t>
            </w:r>
          </w:p>
        </w:tc>
        <w:tc>
          <w:tcPr>
            <w:tcW w:w="2700" w:type="dxa"/>
          </w:tcPr>
          <w:p w:rsidR="00BF2117" w:rsidRPr="00412620" w:rsidRDefault="00BF2117" w:rsidP="0000382B">
            <w:pPr>
              <w:spacing w:before="120" w:after="120"/>
              <w:ind w:right="252"/>
              <w:jc w:val="both"/>
              <w:rPr>
                <w:sz w:val="16"/>
                <w:szCs w:val="16"/>
              </w:rPr>
            </w:pPr>
            <w:r w:rsidRPr="00412620">
              <w:rPr>
                <w:sz w:val="16"/>
                <w:szCs w:val="16"/>
              </w:rPr>
              <w:t>Where the gross amount of rent exceeds Rs.400,000 but does not exceed Rs.1,000,000.</w:t>
            </w:r>
          </w:p>
        </w:tc>
        <w:tc>
          <w:tcPr>
            <w:tcW w:w="2340" w:type="dxa"/>
          </w:tcPr>
          <w:p w:rsidR="00BF2117" w:rsidRPr="00412620" w:rsidRDefault="00BF2117" w:rsidP="0000382B">
            <w:pPr>
              <w:spacing w:before="120" w:after="120"/>
              <w:jc w:val="both"/>
              <w:rPr>
                <w:sz w:val="16"/>
                <w:szCs w:val="16"/>
              </w:rPr>
            </w:pPr>
            <w:r w:rsidRPr="00412620">
              <w:rPr>
                <w:sz w:val="16"/>
                <w:szCs w:val="16"/>
              </w:rPr>
              <w:t xml:space="preserve">Rs.20,000 plus 7.5 </w:t>
            </w:r>
            <w:r>
              <w:rPr>
                <w:sz w:val="16"/>
                <w:szCs w:val="16"/>
              </w:rPr>
              <w:t>per cent</w:t>
            </w:r>
            <w:r w:rsidRPr="00412620">
              <w:rPr>
                <w:sz w:val="16"/>
                <w:szCs w:val="16"/>
              </w:rPr>
              <w:t xml:space="preserve"> of the gross amount of rent exceeding Rs.400,000.</w:t>
            </w:r>
          </w:p>
        </w:tc>
      </w:tr>
      <w:tr w:rsidR="00BF2117" w:rsidRPr="00412620">
        <w:tc>
          <w:tcPr>
            <w:tcW w:w="900" w:type="dxa"/>
          </w:tcPr>
          <w:p w:rsidR="00BF2117" w:rsidRPr="00412620" w:rsidRDefault="00BF2117" w:rsidP="0000382B">
            <w:pPr>
              <w:spacing w:before="120" w:after="120"/>
              <w:jc w:val="center"/>
              <w:rPr>
                <w:sz w:val="16"/>
                <w:szCs w:val="16"/>
              </w:rPr>
            </w:pPr>
            <w:r w:rsidRPr="00412620">
              <w:rPr>
                <w:sz w:val="16"/>
                <w:szCs w:val="16"/>
              </w:rPr>
              <w:t>(3)</w:t>
            </w:r>
          </w:p>
        </w:tc>
        <w:tc>
          <w:tcPr>
            <w:tcW w:w="2700" w:type="dxa"/>
          </w:tcPr>
          <w:p w:rsidR="00BF2117" w:rsidRPr="00412620" w:rsidRDefault="00BF2117" w:rsidP="0000382B">
            <w:pPr>
              <w:spacing w:before="120" w:after="120"/>
              <w:ind w:right="252"/>
              <w:jc w:val="both"/>
              <w:rPr>
                <w:sz w:val="16"/>
                <w:szCs w:val="16"/>
              </w:rPr>
            </w:pPr>
            <w:r w:rsidRPr="00412620">
              <w:rPr>
                <w:sz w:val="16"/>
                <w:szCs w:val="16"/>
              </w:rPr>
              <w:t>Where the gross amount of rent exceeds Rs.1,000,000.</w:t>
            </w:r>
          </w:p>
        </w:tc>
        <w:tc>
          <w:tcPr>
            <w:tcW w:w="2340" w:type="dxa"/>
          </w:tcPr>
          <w:p w:rsidR="00BF2117" w:rsidRPr="00412620" w:rsidRDefault="00BF2117" w:rsidP="0000382B">
            <w:pPr>
              <w:spacing w:before="120" w:after="120"/>
              <w:jc w:val="both"/>
              <w:rPr>
                <w:sz w:val="16"/>
                <w:szCs w:val="16"/>
              </w:rPr>
            </w:pPr>
            <w:r w:rsidRPr="00412620">
              <w:rPr>
                <w:sz w:val="16"/>
                <w:szCs w:val="16"/>
              </w:rPr>
              <w:t xml:space="preserve">Rs.65,000 plus 10 </w:t>
            </w:r>
            <w:r>
              <w:rPr>
                <w:sz w:val="16"/>
                <w:szCs w:val="16"/>
              </w:rPr>
              <w:t>per cent</w:t>
            </w:r>
            <w:r w:rsidRPr="00412620">
              <w:rPr>
                <w:sz w:val="16"/>
                <w:szCs w:val="16"/>
              </w:rPr>
              <w:t xml:space="preserve"> of the gross amount of rent exceeding Rs.1,000,000.”</w:t>
            </w:r>
          </w:p>
        </w:tc>
      </w:tr>
    </w:tbl>
    <w:p w:rsidR="00BF2117" w:rsidRDefault="00BF2117" w:rsidP="00AA4BF8"/>
  </w:footnote>
  <w:footnote w:id="1618">
    <w:p w:rsidR="00BF2117" w:rsidRDefault="00BF2117" w:rsidP="00D707B5">
      <w:pPr>
        <w:ind w:left="2160" w:hanging="2250"/>
        <w:rPr>
          <w:rFonts w:cs="Arial"/>
          <w:color w:val="000000" w:themeColor="text1"/>
          <w:sz w:val="16"/>
          <w:szCs w:val="16"/>
          <w:lang w:val="en-US"/>
        </w:rPr>
      </w:pPr>
      <w:r w:rsidRPr="00B84E2C">
        <w:rPr>
          <w:rStyle w:val="FootnoteReference"/>
          <w:sz w:val="16"/>
          <w:szCs w:val="16"/>
        </w:rPr>
        <w:footnoteRef/>
      </w:r>
      <w:r w:rsidRPr="00B84E2C">
        <w:rPr>
          <w:sz w:val="16"/>
          <w:szCs w:val="16"/>
          <w:lang w:val="en-US"/>
        </w:rPr>
        <w:t>Division VII substituted by the Finance Act, 2015</w:t>
      </w:r>
      <w:r>
        <w:rPr>
          <w:sz w:val="16"/>
          <w:szCs w:val="16"/>
          <w:lang w:val="en-US"/>
        </w:rPr>
        <w:t>. The substituted Division VII read as follows:-</w:t>
      </w:r>
    </w:p>
    <w:p w:rsidR="00BF2117" w:rsidRDefault="00BF2117" w:rsidP="00D707B5">
      <w:pPr>
        <w:ind w:left="2160" w:hanging="2250"/>
        <w:rPr>
          <w:rFonts w:cs="Arial"/>
          <w:color w:val="000000" w:themeColor="text1"/>
          <w:sz w:val="16"/>
          <w:szCs w:val="16"/>
          <w:lang w:val="en-US"/>
        </w:rPr>
      </w:pPr>
    </w:p>
    <w:p w:rsidR="00BF2117" w:rsidRPr="00496702" w:rsidRDefault="00BF2117" w:rsidP="006D1437">
      <w:pPr>
        <w:ind w:left="2707" w:firstLine="28"/>
        <w:rPr>
          <w:rFonts w:cs="Arial"/>
          <w:color w:val="000000" w:themeColor="text1"/>
          <w:sz w:val="16"/>
          <w:szCs w:val="16"/>
          <w:lang w:val="en-US"/>
        </w:rPr>
      </w:pPr>
      <w:r w:rsidRPr="00496702">
        <w:rPr>
          <w:rFonts w:cs="Arial"/>
          <w:color w:val="000000" w:themeColor="text1"/>
          <w:sz w:val="16"/>
          <w:szCs w:val="16"/>
          <w:lang w:val="en-US"/>
        </w:rPr>
        <w:t>[Division VII</w:t>
      </w:r>
    </w:p>
    <w:p w:rsidR="00BF2117" w:rsidRDefault="00BF2117" w:rsidP="00D707B5">
      <w:pPr>
        <w:ind w:left="720" w:firstLine="720"/>
        <w:rPr>
          <w:rFonts w:cs="Arial"/>
          <w:color w:val="000000" w:themeColor="text1"/>
          <w:sz w:val="16"/>
          <w:szCs w:val="16"/>
          <w:lang w:val="en-US"/>
        </w:rPr>
      </w:pPr>
      <w:r w:rsidRPr="00496702">
        <w:rPr>
          <w:rFonts w:cs="Arial"/>
          <w:color w:val="000000" w:themeColor="text1"/>
          <w:sz w:val="16"/>
          <w:szCs w:val="16"/>
          <w:lang w:val="en-US"/>
        </w:rPr>
        <w:t>Capital Gains on disposal of Securities</w:t>
      </w:r>
    </w:p>
    <w:p w:rsidR="00BF2117" w:rsidRPr="00496702" w:rsidRDefault="00BF2117" w:rsidP="00D707B5">
      <w:pPr>
        <w:ind w:left="720" w:firstLine="720"/>
        <w:rPr>
          <w:rFonts w:cs="Arial"/>
          <w:color w:val="000000" w:themeColor="text1"/>
          <w:sz w:val="16"/>
          <w:szCs w:val="16"/>
          <w:lang w:val="en-US"/>
        </w:rPr>
      </w:pPr>
    </w:p>
    <w:p w:rsidR="00BF2117" w:rsidRPr="00496702" w:rsidRDefault="00BF2117" w:rsidP="00D707B5">
      <w:pPr>
        <w:rPr>
          <w:rFonts w:cs="Arial"/>
          <w:color w:val="000000" w:themeColor="text1"/>
          <w:sz w:val="16"/>
          <w:szCs w:val="16"/>
          <w:lang w:val="en-US"/>
        </w:rPr>
      </w:pPr>
      <w:r w:rsidRPr="00496702">
        <w:rPr>
          <w:rFonts w:cs="Arial"/>
          <w:color w:val="000000" w:themeColor="text1"/>
          <w:sz w:val="16"/>
          <w:szCs w:val="16"/>
          <w:lang w:val="en-US"/>
        </w:rPr>
        <w:t>The rate of tax to be paid under section 37A shall be as follows</w:t>
      </w:r>
    </w:p>
    <w:p w:rsidR="00BF2117" w:rsidRPr="00E45529" w:rsidRDefault="00BF2117" w:rsidP="00D707B5">
      <w:pPr>
        <w:rPr>
          <w:rFonts w:cs="Arial"/>
          <w:color w:val="000000" w:themeColor="text1"/>
          <w:sz w:val="16"/>
          <w:szCs w:val="16"/>
          <w:lang w:val="en-US"/>
        </w:rPr>
      </w:pPr>
    </w:p>
    <w:tbl>
      <w:tblPr>
        <w:tblW w:w="6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3231"/>
        <w:gridCol w:w="1080"/>
        <w:gridCol w:w="1890"/>
      </w:tblGrid>
      <w:tr w:rsidR="00BF2117" w:rsidRPr="00E45529" w:rsidTr="00D707B5">
        <w:trPr>
          <w:trHeight w:val="153"/>
        </w:trPr>
        <w:tc>
          <w:tcPr>
            <w:tcW w:w="657" w:type="dxa"/>
            <w:tcBorders>
              <w:bottom w:val="single" w:sz="4" w:space="0" w:color="auto"/>
            </w:tcBorders>
          </w:tcPr>
          <w:p w:rsidR="00BF2117" w:rsidRPr="00E45529" w:rsidRDefault="00BF2117" w:rsidP="007B4B4A">
            <w:pPr>
              <w:jc w:val="center"/>
              <w:rPr>
                <w:b/>
                <w:bCs/>
                <w:color w:val="000000" w:themeColor="text1"/>
                <w:sz w:val="16"/>
                <w:szCs w:val="16"/>
              </w:rPr>
            </w:pPr>
            <w:r w:rsidRPr="00E45529">
              <w:rPr>
                <w:b/>
                <w:bCs/>
                <w:color w:val="000000" w:themeColor="text1"/>
                <w:sz w:val="16"/>
                <w:szCs w:val="16"/>
              </w:rPr>
              <w:t>S.No.</w:t>
            </w:r>
          </w:p>
        </w:tc>
        <w:tc>
          <w:tcPr>
            <w:tcW w:w="3231" w:type="dxa"/>
            <w:tcBorders>
              <w:bottom w:val="single" w:sz="4" w:space="0" w:color="auto"/>
            </w:tcBorders>
          </w:tcPr>
          <w:p w:rsidR="00BF2117" w:rsidRPr="00E45529" w:rsidRDefault="00BF2117" w:rsidP="007B4B4A">
            <w:pPr>
              <w:jc w:val="center"/>
              <w:rPr>
                <w:b/>
                <w:bCs/>
                <w:color w:val="000000" w:themeColor="text1"/>
                <w:sz w:val="16"/>
                <w:szCs w:val="16"/>
              </w:rPr>
            </w:pPr>
            <w:r w:rsidRPr="00E45529">
              <w:rPr>
                <w:b/>
                <w:bCs/>
                <w:color w:val="000000" w:themeColor="text1"/>
                <w:sz w:val="16"/>
                <w:szCs w:val="16"/>
              </w:rPr>
              <w:t>Period.</w:t>
            </w:r>
          </w:p>
        </w:tc>
        <w:tc>
          <w:tcPr>
            <w:tcW w:w="1080" w:type="dxa"/>
            <w:tcBorders>
              <w:bottom w:val="single" w:sz="4" w:space="0" w:color="auto"/>
            </w:tcBorders>
          </w:tcPr>
          <w:p w:rsidR="00BF2117" w:rsidRPr="00E45529" w:rsidRDefault="00BF2117" w:rsidP="007B4B4A">
            <w:pPr>
              <w:jc w:val="center"/>
              <w:rPr>
                <w:b/>
                <w:bCs/>
                <w:color w:val="000000" w:themeColor="text1"/>
                <w:sz w:val="16"/>
                <w:szCs w:val="16"/>
              </w:rPr>
            </w:pPr>
            <w:r w:rsidRPr="00E45529">
              <w:rPr>
                <w:b/>
                <w:bCs/>
                <w:color w:val="000000" w:themeColor="text1"/>
                <w:sz w:val="16"/>
                <w:szCs w:val="16"/>
              </w:rPr>
              <w:t>Tax Year.</w:t>
            </w:r>
          </w:p>
        </w:tc>
        <w:tc>
          <w:tcPr>
            <w:tcW w:w="1890" w:type="dxa"/>
            <w:tcBorders>
              <w:bottom w:val="single" w:sz="4" w:space="0" w:color="auto"/>
            </w:tcBorders>
          </w:tcPr>
          <w:p w:rsidR="00BF2117" w:rsidRPr="00E45529" w:rsidRDefault="00BF2117" w:rsidP="007B4B4A">
            <w:pPr>
              <w:jc w:val="center"/>
              <w:rPr>
                <w:b/>
                <w:bCs/>
                <w:color w:val="000000" w:themeColor="text1"/>
                <w:sz w:val="16"/>
                <w:szCs w:val="16"/>
              </w:rPr>
            </w:pPr>
            <w:r w:rsidRPr="00E45529">
              <w:rPr>
                <w:b/>
                <w:bCs/>
                <w:color w:val="000000" w:themeColor="text1"/>
                <w:sz w:val="16"/>
                <w:szCs w:val="16"/>
              </w:rPr>
              <w:t>Rate of tax.</w:t>
            </w:r>
          </w:p>
        </w:tc>
      </w:tr>
      <w:tr w:rsidR="00BF2117" w:rsidRPr="00E45529" w:rsidTr="00D707B5">
        <w:trPr>
          <w:trHeight w:val="153"/>
        </w:trPr>
        <w:tc>
          <w:tcPr>
            <w:tcW w:w="657" w:type="dxa"/>
            <w:tcBorders>
              <w:bottom w:val="single" w:sz="4" w:space="0" w:color="auto"/>
            </w:tcBorders>
          </w:tcPr>
          <w:p w:rsidR="00BF2117" w:rsidRPr="00E45529" w:rsidRDefault="00BF2117" w:rsidP="007B4B4A">
            <w:pPr>
              <w:jc w:val="center"/>
              <w:rPr>
                <w:color w:val="000000" w:themeColor="text1"/>
                <w:sz w:val="16"/>
                <w:szCs w:val="16"/>
              </w:rPr>
            </w:pPr>
            <w:r w:rsidRPr="00E45529">
              <w:rPr>
                <w:color w:val="000000" w:themeColor="text1"/>
                <w:sz w:val="16"/>
                <w:szCs w:val="16"/>
              </w:rPr>
              <w:t>1</w:t>
            </w:r>
          </w:p>
        </w:tc>
        <w:tc>
          <w:tcPr>
            <w:tcW w:w="3231" w:type="dxa"/>
            <w:tcBorders>
              <w:bottom w:val="single" w:sz="4" w:space="0" w:color="auto"/>
            </w:tcBorders>
          </w:tcPr>
          <w:p w:rsidR="00BF2117" w:rsidRPr="00E45529" w:rsidRDefault="00BF2117" w:rsidP="007B4B4A">
            <w:pPr>
              <w:jc w:val="center"/>
              <w:rPr>
                <w:color w:val="000000" w:themeColor="text1"/>
                <w:sz w:val="16"/>
                <w:szCs w:val="16"/>
              </w:rPr>
            </w:pPr>
            <w:r w:rsidRPr="00E45529">
              <w:rPr>
                <w:color w:val="000000" w:themeColor="text1"/>
                <w:sz w:val="16"/>
                <w:szCs w:val="16"/>
              </w:rPr>
              <w:t>2</w:t>
            </w:r>
          </w:p>
        </w:tc>
        <w:tc>
          <w:tcPr>
            <w:tcW w:w="1080" w:type="dxa"/>
            <w:tcBorders>
              <w:bottom w:val="single" w:sz="4" w:space="0" w:color="auto"/>
            </w:tcBorders>
          </w:tcPr>
          <w:p w:rsidR="00BF2117" w:rsidRPr="00E45529" w:rsidRDefault="00BF2117" w:rsidP="007B4B4A">
            <w:pPr>
              <w:jc w:val="center"/>
              <w:rPr>
                <w:color w:val="000000" w:themeColor="text1"/>
                <w:sz w:val="16"/>
                <w:szCs w:val="16"/>
              </w:rPr>
            </w:pPr>
            <w:r w:rsidRPr="00E45529">
              <w:rPr>
                <w:color w:val="000000" w:themeColor="text1"/>
                <w:sz w:val="16"/>
                <w:szCs w:val="16"/>
              </w:rPr>
              <w:t>3</w:t>
            </w:r>
          </w:p>
        </w:tc>
        <w:tc>
          <w:tcPr>
            <w:tcW w:w="1890" w:type="dxa"/>
            <w:tcBorders>
              <w:bottom w:val="single" w:sz="4" w:space="0" w:color="auto"/>
            </w:tcBorders>
          </w:tcPr>
          <w:p w:rsidR="00BF2117" w:rsidRPr="00E45529" w:rsidRDefault="00BF2117" w:rsidP="007B4B4A">
            <w:pPr>
              <w:jc w:val="center"/>
              <w:rPr>
                <w:color w:val="000000" w:themeColor="text1"/>
                <w:sz w:val="16"/>
                <w:szCs w:val="16"/>
              </w:rPr>
            </w:pPr>
            <w:r w:rsidRPr="00E45529">
              <w:rPr>
                <w:color w:val="000000" w:themeColor="text1"/>
                <w:sz w:val="16"/>
                <w:szCs w:val="16"/>
              </w:rPr>
              <w:t>4</w:t>
            </w:r>
          </w:p>
        </w:tc>
      </w:tr>
      <w:tr w:rsidR="00BF2117" w:rsidRPr="00E45529" w:rsidTr="00D707B5">
        <w:trPr>
          <w:trHeight w:val="772"/>
        </w:trPr>
        <w:tc>
          <w:tcPr>
            <w:tcW w:w="657" w:type="dxa"/>
            <w:tcBorders>
              <w:top w:val="single" w:sz="4" w:space="0" w:color="auto"/>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1.</w:t>
            </w:r>
          </w:p>
        </w:tc>
        <w:tc>
          <w:tcPr>
            <w:tcW w:w="3231" w:type="dxa"/>
            <w:tcBorders>
              <w:top w:val="single" w:sz="4" w:space="0" w:color="auto"/>
              <w:left w:val="nil"/>
              <w:bottom w:val="nil"/>
              <w:right w:val="nil"/>
            </w:tcBorders>
          </w:tcPr>
          <w:p w:rsidR="00BF2117" w:rsidRPr="00E45529" w:rsidRDefault="00BF2117" w:rsidP="007B4B4A">
            <w:pPr>
              <w:jc w:val="both"/>
              <w:rPr>
                <w:color w:val="000000" w:themeColor="text1"/>
                <w:sz w:val="16"/>
                <w:szCs w:val="16"/>
              </w:rPr>
            </w:pPr>
            <w:r w:rsidRPr="00E45529">
              <w:rPr>
                <w:color w:val="000000" w:themeColor="text1"/>
                <w:sz w:val="16"/>
                <w:szCs w:val="16"/>
              </w:rPr>
              <w:t>Where holding period of a security is less than six months.</w:t>
            </w:r>
          </w:p>
          <w:p w:rsidR="00BF2117" w:rsidRPr="00E45529" w:rsidRDefault="00BF2117" w:rsidP="007B4B4A">
            <w:pPr>
              <w:jc w:val="both"/>
              <w:rPr>
                <w:color w:val="000000" w:themeColor="text1"/>
                <w:sz w:val="16"/>
                <w:szCs w:val="16"/>
              </w:rPr>
            </w:pPr>
          </w:p>
        </w:tc>
        <w:tc>
          <w:tcPr>
            <w:tcW w:w="1080" w:type="dxa"/>
            <w:tcBorders>
              <w:top w:val="single" w:sz="4" w:space="0" w:color="auto"/>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2011</w:t>
            </w:r>
          </w:p>
          <w:p w:rsidR="00BF2117" w:rsidRPr="00E45529" w:rsidRDefault="00BF2117" w:rsidP="007B4B4A">
            <w:pPr>
              <w:jc w:val="center"/>
              <w:rPr>
                <w:color w:val="000000" w:themeColor="text1"/>
                <w:sz w:val="16"/>
                <w:szCs w:val="16"/>
              </w:rPr>
            </w:pPr>
            <w:r w:rsidRPr="00E45529">
              <w:rPr>
                <w:color w:val="000000" w:themeColor="text1"/>
                <w:sz w:val="16"/>
                <w:szCs w:val="16"/>
              </w:rPr>
              <w:t>2012</w:t>
            </w:r>
          </w:p>
          <w:p w:rsidR="00BF2117" w:rsidRPr="00E45529" w:rsidRDefault="00BF2117" w:rsidP="007B4B4A">
            <w:pPr>
              <w:jc w:val="center"/>
              <w:rPr>
                <w:color w:val="000000" w:themeColor="text1"/>
                <w:sz w:val="16"/>
                <w:szCs w:val="16"/>
              </w:rPr>
            </w:pPr>
            <w:r w:rsidRPr="00E45529">
              <w:rPr>
                <w:color w:val="000000" w:themeColor="text1"/>
                <w:sz w:val="16"/>
                <w:szCs w:val="16"/>
              </w:rPr>
              <w:t>2013</w:t>
            </w:r>
          </w:p>
          <w:p w:rsidR="00BF2117" w:rsidRPr="00E45529" w:rsidRDefault="00BF2117" w:rsidP="007B4B4A">
            <w:pPr>
              <w:jc w:val="center"/>
              <w:rPr>
                <w:color w:val="000000" w:themeColor="text1"/>
                <w:sz w:val="16"/>
                <w:szCs w:val="16"/>
              </w:rPr>
            </w:pPr>
            <w:r w:rsidRPr="00E45529">
              <w:rPr>
                <w:color w:val="000000" w:themeColor="text1"/>
                <w:sz w:val="16"/>
                <w:szCs w:val="16"/>
              </w:rPr>
              <w:t>2014</w:t>
            </w:r>
          </w:p>
        </w:tc>
        <w:tc>
          <w:tcPr>
            <w:tcW w:w="1890" w:type="dxa"/>
            <w:tcBorders>
              <w:top w:val="single" w:sz="4" w:space="0" w:color="auto"/>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10%</w:t>
            </w:r>
          </w:p>
          <w:p w:rsidR="00BF2117" w:rsidRPr="00E45529" w:rsidRDefault="00BF2117" w:rsidP="007B4B4A">
            <w:pPr>
              <w:jc w:val="center"/>
              <w:rPr>
                <w:color w:val="000000" w:themeColor="text1"/>
                <w:sz w:val="16"/>
                <w:szCs w:val="16"/>
              </w:rPr>
            </w:pPr>
            <w:r w:rsidRPr="00E45529">
              <w:rPr>
                <w:color w:val="000000" w:themeColor="text1"/>
                <w:sz w:val="16"/>
                <w:szCs w:val="16"/>
              </w:rPr>
              <w:t>10%</w:t>
            </w:r>
          </w:p>
          <w:p w:rsidR="00BF2117" w:rsidRPr="00E45529" w:rsidRDefault="00BF2117" w:rsidP="007B4B4A">
            <w:pPr>
              <w:jc w:val="center"/>
              <w:rPr>
                <w:color w:val="000000" w:themeColor="text1"/>
                <w:sz w:val="16"/>
                <w:szCs w:val="16"/>
              </w:rPr>
            </w:pPr>
            <w:r w:rsidRPr="00E45529">
              <w:rPr>
                <w:color w:val="000000" w:themeColor="text1"/>
                <w:sz w:val="16"/>
                <w:szCs w:val="16"/>
              </w:rPr>
              <w:t>10%</w:t>
            </w:r>
          </w:p>
          <w:p w:rsidR="00BF2117" w:rsidRPr="00E45529" w:rsidRDefault="00BF2117" w:rsidP="007B4B4A">
            <w:pPr>
              <w:jc w:val="center"/>
              <w:rPr>
                <w:color w:val="000000" w:themeColor="text1"/>
                <w:sz w:val="16"/>
                <w:szCs w:val="16"/>
              </w:rPr>
            </w:pPr>
            <w:r w:rsidRPr="00E45529">
              <w:rPr>
                <w:color w:val="000000" w:themeColor="text1"/>
                <w:sz w:val="16"/>
                <w:szCs w:val="16"/>
              </w:rPr>
              <w:t>10%</w:t>
            </w:r>
          </w:p>
        </w:tc>
      </w:tr>
      <w:tr w:rsidR="00BF2117" w:rsidRPr="00E45529" w:rsidTr="00D707B5">
        <w:trPr>
          <w:trHeight w:val="925"/>
        </w:trPr>
        <w:tc>
          <w:tcPr>
            <w:tcW w:w="657" w:type="dxa"/>
            <w:tcBorders>
              <w:top w:val="nil"/>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2.</w:t>
            </w:r>
          </w:p>
        </w:tc>
        <w:tc>
          <w:tcPr>
            <w:tcW w:w="3231" w:type="dxa"/>
            <w:tcBorders>
              <w:top w:val="nil"/>
              <w:left w:val="nil"/>
              <w:bottom w:val="nil"/>
              <w:right w:val="nil"/>
            </w:tcBorders>
          </w:tcPr>
          <w:p w:rsidR="00BF2117" w:rsidRPr="00E45529" w:rsidRDefault="00BF2117" w:rsidP="007B4B4A">
            <w:pPr>
              <w:jc w:val="both"/>
              <w:rPr>
                <w:color w:val="000000" w:themeColor="text1"/>
                <w:sz w:val="16"/>
                <w:szCs w:val="16"/>
              </w:rPr>
            </w:pPr>
            <w:r w:rsidRPr="00E45529">
              <w:rPr>
                <w:color w:val="000000" w:themeColor="text1"/>
                <w:sz w:val="16"/>
                <w:szCs w:val="16"/>
              </w:rPr>
              <w:t>Where holding period of a security is [more than six months] but less than twelve months.</w:t>
            </w:r>
          </w:p>
          <w:p w:rsidR="00BF2117" w:rsidRPr="00E45529" w:rsidRDefault="00BF2117" w:rsidP="007B4B4A">
            <w:pPr>
              <w:jc w:val="center"/>
              <w:rPr>
                <w:color w:val="000000" w:themeColor="text1"/>
                <w:sz w:val="16"/>
                <w:szCs w:val="16"/>
              </w:rPr>
            </w:pPr>
          </w:p>
          <w:p w:rsidR="00BF2117" w:rsidRDefault="00BF2117" w:rsidP="007B4B4A">
            <w:pPr>
              <w:jc w:val="center"/>
              <w:rPr>
                <w:color w:val="000000" w:themeColor="text1"/>
                <w:sz w:val="16"/>
                <w:szCs w:val="16"/>
              </w:rPr>
            </w:pPr>
            <w:r w:rsidRPr="00E45529">
              <w:rPr>
                <w:color w:val="000000" w:themeColor="text1"/>
                <w:sz w:val="16"/>
                <w:szCs w:val="16"/>
              </w:rPr>
              <w:t>Tax Year 2015</w:t>
            </w:r>
          </w:p>
          <w:p w:rsidR="00BF2117" w:rsidRPr="00E45529" w:rsidRDefault="00BF2117" w:rsidP="007B4B4A">
            <w:pPr>
              <w:jc w:val="center"/>
              <w:rPr>
                <w:color w:val="000000" w:themeColor="text1"/>
                <w:sz w:val="16"/>
                <w:szCs w:val="16"/>
              </w:rPr>
            </w:pPr>
          </w:p>
        </w:tc>
        <w:tc>
          <w:tcPr>
            <w:tcW w:w="1080" w:type="dxa"/>
            <w:tcBorders>
              <w:top w:val="nil"/>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2011</w:t>
            </w:r>
          </w:p>
          <w:p w:rsidR="00BF2117" w:rsidRPr="00E45529" w:rsidRDefault="00BF2117" w:rsidP="007B4B4A">
            <w:pPr>
              <w:jc w:val="center"/>
              <w:rPr>
                <w:color w:val="000000" w:themeColor="text1"/>
                <w:sz w:val="16"/>
                <w:szCs w:val="16"/>
              </w:rPr>
            </w:pPr>
            <w:r w:rsidRPr="00E45529">
              <w:rPr>
                <w:color w:val="000000" w:themeColor="text1"/>
                <w:sz w:val="16"/>
                <w:szCs w:val="16"/>
              </w:rPr>
              <w:t>2012</w:t>
            </w:r>
          </w:p>
          <w:p w:rsidR="00BF2117" w:rsidRPr="00E45529" w:rsidRDefault="00BF2117" w:rsidP="007B4B4A">
            <w:pPr>
              <w:jc w:val="center"/>
              <w:rPr>
                <w:color w:val="000000" w:themeColor="text1"/>
                <w:sz w:val="16"/>
                <w:szCs w:val="16"/>
              </w:rPr>
            </w:pPr>
            <w:r w:rsidRPr="00E45529">
              <w:rPr>
                <w:color w:val="000000" w:themeColor="text1"/>
                <w:sz w:val="16"/>
                <w:szCs w:val="16"/>
              </w:rPr>
              <w:t>2013</w:t>
            </w:r>
          </w:p>
          <w:p w:rsidR="00BF2117" w:rsidRPr="00E45529" w:rsidRDefault="00BF2117" w:rsidP="007B4B4A">
            <w:pPr>
              <w:jc w:val="center"/>
              <w:rPr>
                <w:color w:val="000000" w:themeColor="text1"/>
                <w:sz w:val="16"/>
                <w:szCs w:val="16"/>
              </w:rPr>
            </w:pPr>
            <w:r w:rsidRPr="00E45529">
              <w:rPr>
                <w:color w:val="000000" w:themeColor="text1"/>
                <w:sz w:val="16"/>
                <w:szCs w:val="16"/>
              </w:rPr>
              <w:t>2014</w:t>
            </w:r>
          </w:p>
          <w:p w:rsidR="00BF2117" w:rsidRPr="00E45529" w:rsidRDefault="00BF2117" w:rsidP="007B4B4A">
            <w:pPr>
              <w:jc w:val="center"/>
              <w:rPr>
                <w:color w:val="000000" w:themeColor="text1"/>
                <w:sz w:val="16"/>
                <w:szCs w:val="16"/>
              </w:rPr>
            </w:pPr>
          </w:p>
        </w:tc>
        <w:tc>
          <w:tcPr>
            <w:tcW w:w="1890" w:type="dxa"/>
            <w:tcBorders>
              <w:top w:val="nil"/>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7.5%</w:t>
            </w:r>
          </w:p>
          <w:p w:rsidR="00BF2117" w:rsidRPr="00E45529" w:rsidRDefault="00BF2117" w:rsidP="007B4B4A">
            <w:pPr>
              <w:jc w:val="center"/>
              <w:rPr>
                <w:color w:val="000000" w:themeColor="text1"/>
                <w:sz w:val="16"/>
                <w:szCs w:val="16"/>
              </w:rPr>
            </w:pPr>
            <w:r w:rsidRPr="00E45529">
              <w:rPr>
                <w:color w:val="000000" w:themeColor="text1"/>
                <w:sz w:val="16"/>
                <w:szCs w:val="16"/>
              </w:rPr>
              <w:t>8%</w:t>
            </w:r>
          </w:p>
          <w:p w:rsidR="00BF2117" w:rsidRPr="00E45529" w:rsidRDefault="00BF2117" w:rsidP="007B4B4A">
            <w:pPr>
              <w:jc w:val="center"/>
              <w:rPr>
                <w:color w:val="000000" w:themeColor="text1"/>
                <w:sz w:val="16"/>
                <w:szCs w:val="16"/>
              </w:rPr>
            </w:pPr>
            <w:r w:rsidRPr="00E45529">
              <w:rPr>
                <w:color w:val="000000" w:themeColor="text1"/>
                <w:sz w:val="16"/>
                <w:szCs w:val="16"/>
              </w:rPr>
              <w:t>8%</w:t>
            </w:r>
          </w:p>
          <w:p w:rsidR="00BF2117" w:rsidRPr="00E45529" w:rsidRDefault="00BF2117" w:rsidP="007B4B4A">
            <w:pPr>
              <w:jc w:val="center"/>
              <w:rPr>
                <w:color w:val="000000" w:themeColor="text1"/>
                <w:sz w:val="16"/>
                <w:szCs w:val="16"/>
              </w:rPr>
            </w:pPr>
            <w:r w:rsidRPr="00E45529">
              <w:rPr>
                <w:color w:val="000000" w:themeColor="text1"/>
                <w:sz w:val="16"/>
                <w:szCs w:val="16"/>
              </w:rPr>
              <w:t>8%</w:t>
            </w:r>
          </w:p>
          <w:p w:rsidR="00BF2117" w:rsidRPr="00E45529" w:rsidRDefault="00BF2117" w:rsidP="007B4B4A">
            <w:pPr>
              <w:jc w:val="center"/>
              <w:rPr>
                <w:color w:val="000000" w:themeColor="text1"/>
                <w:sz w:val="16"/>
                <w:szCs w:val="16"/>
              </w:rPr>
            </w:pPr>
          </w:p>
        </w:tc>
      </w:tr>
      <w:tr w:rsidR="00BF2117" w:rsidRPr="00E45529" w:rsidTr="00D707B5">
        <w:trPr>
          <w:trHeight w:val="583"/>
        </w:trPr>
        <w:tc>
          <w:tcPr>
            <w:tcW w:w="657" w:type="dxa"/>
            <w:tcBorders>
              <w:top w:val="nil"/>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3.</w:t>
            </w:r>
          </w:p>
          <w:p w:rsidR="00BF2117" w:rsidRPr="00E45529" w:rsidRDefault="00BF2117" w:rsidP="007B4B4A">
            <w:pPr>
              <w:jc w:val="center"/>
              <w:rPr>
                <w:color w:val="000000" w:themeColor="text1"/>
                <w:sz w:val="16"/>
                <w:szCs w:val="16"/>
              </w:rPr>
            </w:pPr>
          </w:p>
          <w:p w:rsidR="00BF2117" w:rsidRPr="00E45529" w:rsidRDefault="00BF2117" w:rsidP="007B4B4A">
            <w:pPr>
              <w:jc w:val="center"/>
              <w:rPr>
                <w:color w:val="000000" w:themeColor="text1"/>
                <w:sz w:val="16"/>
                <w:szCs w:val="16"/>
              </w:rPr>
            </w:pPr>
          </w:p>
          <w:p w:rsidR="00BF2117" w:rsidRPr="00E45529" w:rsidRDefault="00BF2117" w:rsidP="007B4B4A">
            <w:pPr>
              <w:jc w:val="center"/>
              <w:rPr>
                <w:color w:val="000000" w:themeColor="text1"/>
                <w:sz w:val="16"/>
                <w:szCs w:val="16"/>
              </w:rPr>
            </w:pPr>
          </w:p>
        </w:tc>
        <w:tc>
          <w:tcPr>
            <w:tcW w:w="3231" w:type="dxa"/>
            <w:tcBorders>
              <w:top w:val="nil"/>
              <w:left w:val="nil"/>
              <w:bottom w:val="nil"/>
              <w:right w:val="nil"/>
            </w:tcBorders>
          </w:tcPr>
          <w:p w:rsidR="00BF2117" w:rsidRPr="00E45529" w:rsidRDefault="00BF2117" w:rsidP="007B4B4A">
            <w:pPr>
              <w:jc w:val="both"/>
              <w:rPr>
                <w:color w:val="000000" w:themeColor="text1"/>
                <w:sz w:val="16"/>
                <w:szCs w:val="16"/>
              </w:rPr>
            </w:pPr>
            <w:r w:rsidRPr="00E45529">
              <w:rPr>
                <w:color w:val="000000" w:themeColor="text1"/>
                <w:sz w:val="16"/>
                <w:szCs w:val="16"/>
              </w:rPr>
              <w:t xml:space="preserve">Where holding period of a security is less than twelve </w:t>
            </w:r>
          </w:p>
          <w:p w:rsidR="00BF2117" w:rsidRPr="00E45529" w:rsidRDefault="00BF2117" w:rsidP="007B4B4A">
            <w:pPr>
              <w:jc w:val="both"/>
              <w:rPr>
                <w:color w:val="000000" w:themeColor="text1"/>
                <w:sz w:val="16"/>
                <w:szCs w:val="16"/>
              </w:rPr>
            </w:pPr>
            <w:r w:rsidRPr="00E45529">
              <w:rPr>
                <w:color w:val="000000" w:themeColor="text1"/>
                <w:sz w:val="16"/>
                <w:szCs w:val="16"/>
              </w:rPr>
              <w:t>months.</w:t>
            </w:r>
          </w:p>
        </w:tc>
        <w:tc>
          <w:tcPr>
            <w:tcW w:w="1080" w:type="dxa"/>
            <w:tcBorders>
              <w:top w:val="nil"/>
              <w:left w:val="nil"/>
              <w:bottom w:val="nil"/>
              <w:right w:val="nil"/>
            </w:tcBorders>
          </w:tcPr>
          <w:p w:rsidR="00BF2117" w:rsidRPr="00E45529" w:rsidRDefault="00BF2117" w:rsidP="007B4B4A">
            <w:pPr>
              <w:jc w:val="center"/>
              <w:rPr>
                <w:color w:val="000000" w:themeColor="text1"/>
                <w:sz w:val="16"/>
                <w:szCs w:val="16"/>
              </w:rPr>
            </w:pPr>
          </w:p>
        </w:tc>
        <w:tc>
          <w:tcPr>
            <w:tcW w:w="1890" w:type="dxa"/>
            <w:tcBorders>
              <w:top w:val="nil"/>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12.5%</w:t>
            </w:r>
          </w:p>
          <w:p w:rsidR="00BF2117" w:rsidRPr="00E45529" w:rsidRDefault="00BF2117" w:rsidP="007B4B4A">
            <w:pPr>
              <w:jc w:val="center"/>
              <w:rPr>
                <w:color w:val="000000" w:themeColor="text1"/>
                <w:sz w:val="16"/>
                <w:szCs w:val="16"/>
              </w:rPr>
            </w:pPr>
          </w:p>
          <w:p w:rsidR="00BF2117" w:rsidRPr="00E45529" w:rsidRDefault="00BF2117" w:rsidP="007B4B4A">
            <w:pPr>
              <w:jc w:val="center"/>
              <w:rPr>
                <w:color w:val="000000" w:themeColor="text1"/>
                <w:sz w:val="16"/>
                <w:szCs w:val="16"/>
              </w:rPr>
            </w:pPr>
          </w:p>
        </w:tc>
      </w:tr>
      <w:tr w:rsidR="00BF2117" w:rsidRPr="00E45529" w:rsidTr="00D707B5">
        <w:trPr>
          <w:trHeight w:val="870"/>
        </w:trPr>
        <w:tc>
          <w:tcPr>
            <w:tcW w:w="657" w:type="dxa"/>
            <w:tcBorders>
              <w:top w:val="nil"/>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4.</w:t>
            </w:r>
          </w:p>
        </w:tc>
        <w:tc>
          <w:tcPr>
            <w:tcW w:w="3231" w:type="dxa"/>
            <w:tcBorders>
              <w:top w:val="nil"/>
              <w:left w:val="nil"/>
              <w:bottom w:val="nil"/>
              <w:right w:val="nil"/>
            </w:tcBorders>
          </w:tcPr>
          <w:p w:rsidR="00BF2117" w:rsidRPr="00E45529" w:rsidRDefault="00BF2117" w:rsidP="007B4B4A">
            <w:pPr>
              <w:jc w:val="both"/>
              <w:rPr>
                <w:color w:val="000000" w:themeColor="text1"/>
                <w:sz w:val="16"/>
                <w:szCs w:val="16"/>
              </w:rPr>
            </w:pPr>
            <w:r w:rsidRPr="00E45529">
              <w:rPr>
                <w:color w:val="000000" w:themeColor="text1"/>
                <w:sz w:val="16"/>
                <w:szCs w:val="16"/>
              </w:rPr>
              <w:t xml:space="preserve"> Where holding period of a security is twelve months or more but less than twenty-four months.</w:t>
            </w:r>
          </w:p>
        </w:tc>
        <w:tc>
          <w:tcPr>
            <w:tcW w:w="1080" w:type="dxa"/>
            <w:tcBorders>
              <w:top w:val="nil"/>
              <w:left w:val="nil"/>
              <w:bottom w:val="nil"/>
              <w:right w:val="nil"/>
            </w:tcBorders>
          </w:tcPr>
          <w:p w:rsidR="00BF2117" w:rsidRPr="00E45529" w:rsidRDefault="00BF2117" w:rsidP="007B4B4A">
            <w:pPr>
              <w:jc w:val="center"/>
              <w:rPr>
                <w:color w:val="000000" w:themeColor="text1"/>
                <w:sz w:val="16"/>
                <w:szCs w:val="16"/>
              </w:rPr>
            </w:pPr>
          </w:p>
        </w:tc>
        <w:tc>
          <w:tcPr>
            <w:tcW w:w="1890" w:type="dxa"/>
            <w:tcBorders>
              <w:top w:val="nil"/>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10%</w:t>
            </w:r>
          </w:p>
          <w:p w:rsidR="00BF2117" w:rsidRPr="00E45529" w:rsidRDefault="00BF2117" w:rsidP="007B4B4A">
            <w:pPr>
              <w:jc w:val="center"/>
              <w:rPr>
                <w:color w:val="000000" w:themeColor="text1"/>
                <w:sz w:val="16"/>
                <w:szCs w:val="16"/>
              </w:rPr>
            </w:pPr>
          </w:p>
          <w:p w:rsidR="00BF2117" w:rsidRPr="00E45529" w:rsidRDefault="00BF2117" w:rsidP="007B4B4A">
            <w:pPr>
              <w:jc w:val="center"/>
              <w:rPr>
                <w:color w:val="000000" w:themeColor="text1"/>
                <w:sz w:val="16"/>
                <w:szCs w:val="16"/>
              </w:rPr>
            </w:pPr>
          </w:p>
        </w:tc>
      </w:tr>
      <w:tr w:rsidR="00BF2117" w:rsidRPr="00E45529" w:rsidTr="00D707B5">
        <w:trPr>
          <w:trHeight w:val="664"/>
        </w:trPr>
        <w:tc>
          <w:tcPr>
            <w:tcW w:w="657" w:type="dxa"/>
            <w:tcBorders>
              <w:top w:val="nil"/>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5.</w:t>
            </w:r>
          </w:p>
        </w:tc>
        <w:tc>
          <w:tcPr>
            <w:tcW w:w="3231" w:type="dxa"/>
            <w:tcBorders>
              <w:top w:val="nil"/>
              <w:left w:val="nil"/>
              <w:bottom w:val="nil"/>
              <w:right w:val="nil"/>
            </w:tcBorders>
          </w:tcPr>
          <w:p w:rsidR="00BF2117" w:rsidRPr="00E45529" w:rsidRDefault="00BF2117" w:rsidP="007B4B4A">
            <w:pPr>
              <w:jc w:val="both"/>
              <w:rPr>
                <w:color w:val="000000" w:themeColor="text1"/>
                <w:sz w:val="16"/>
                <w:szCs w:val="16"/>
              </w:rPr>
            </w:pPr>
            <w:r w:rsidRPr="00E45529">
              <w:rPr>
                <w:color w:val="000000" w:themeColor="text1"/>
                <w:sz w:val="16"/>
                <w:szCs w:val="16"/>
              </w:rPr>
              <w:t xml:space="preserve">Where holding period of </w:t>
            </w:r>
          </w:p>
          <w:p w:rsidR="00BF2117" w:rsidRPr="00E45529" w:rsidRDefault="00BF2117" w:rsidP="007B4B4A">
            <w:pPr>
              <w:jc w:val="both"/>
              <w:rPr>
                <w:color w:val="000000" w:themeColor="text1"/>
                <w:sz w:val="16"/>
                <w:szCs w:val="16"/>
              </w:rPr>
            </w:pPr>
            <w:r w:rsidRPr="00E45529">
              <w:rPr>
                <w:color w:val="000000" w:themeColor="text1"/>
                <w:sz w:val="16"/>
                <w:szCs w:val="16"/>
              </w:rPr>
              <w:t>a security is twenty-four months or more.”</w:t>
            </w:r>
          </w:p>
        </w:tc>
        <w:tc>
          <w:tcPr>
            <w:tcW w:w="1080" w:type="dxa"/>
            <w:tcBorders>
              <w:top w:val="nil"/>
              <w:left w:val="nil"/>
              <w:bottom w:val="nil"/>
              <w:right w:val="nil"/>
            </w:tcBorders>
          </w:tcPr>
          <w:p w:rsidR="00BF2117" w:rsidRPr="00E45529" w:rsidRDefault="00BF2117" w:rsidP="007B4B4A">
            <w:pPr>
              <w:jc w:val="center"/>
              <w:rPr>
                <w:color w:val="000000" w:themeColor="text1"/>
                <w:sz w:val="16"/>
                <w:szCs w:val="16"/>
              </w:rPr>
            </w:pPr>
          </w:p>
        </w:tc>
        <w:tc>
          <w:tcPr>
            <w:tcW w:w="1890" w:type="dxa"/>
            <w:tcBorders>
              <w:top w:val="nil"/>
              <w:left w:val="nil"/>
              <w:bottom w:val="nil"/>
              <w:right w:val="nil"/>
            </w:tcBorders>
          </w:tcPr>
          <w:p w:rsidR="00BF2117" w:rsidRPr="00E45529" w:rsidRDefault="00BF2117" w:rsidP="007B4B4A">
            <w:pPr>
              <w:jc w:val="center"/>
              <w:rPr>
                <w:color w:val="000000" w:themeColor="text1"/>
                <w:sz w:val="16"/>
                <w:szCs w:val="16"/>
              </w:rPr>
            </w:pPr>
            <w:r w:rsidRPr="00E45529">
              <w:rPr>
                <w:color w:val="000000" w:themeColor="text1"/>
                <w:sz w:val="16"/>
                <w:szCs w:val="16"/>
              </w:rPr>
              <w:t>0%</w:t>
            </w:r>
          </w:p>
          <w:p w:rsidR="00BF2117" w:rsidRPr="00E45529" w:rsidRDefault="00BF2117" w:rsidP="007B4B4A">
            <w:pPr>
              <w:jc w:val="center"/>
              <w:rPr>
                <w:color w:val="000000" w:themeColor="text1"/>
                <w:sz w:val="16"/>
                <w:szCs w:val="16"/>
              </w:rPr>
            </w:pPr>
          </w:p>
          <w:p w:rsidR="00BF2117" w:rsidRPr="00E45529" w:rsidRDefault="00BF2117" w:rsidP="007B4B4A">
            <w:pPr>
              <w:jc w:val="center"/>
              <w:rPr>
                <w:color w:val="000000" w:themeColor="text1"/>
                <w:sz w:val="16"/>
                <w:szCs w:val="16"/>
              </w:rPr>
            </w:pPr>
          </w:p>
        </w:tc>
      </w:tr>
    </w:tbl>
    <w:p w:rsidR="00BF2117" w:rsidRPr="00E45529" w:rsidRDefault="00BF2117" w:rsidP="00D707B5">
      <w:pPr>
        <w:rPr>
          <w:rFonts w:cs="Arial"/>
          <w:color w:val="000000" w:themeColor="text1"/>
          <w:sz w:val="16"/>
          <w:szCs w:val="16"/>
          <w:lang w:val="en-US"/>
        </w:rPr>
      </w:pPr>
    </w:p>
    <w:p w:rsidR="00BF2117" w:rsidRDefault="00BF2117" w:rsidP="00AF5355">
      <w:pPr>
        <w:ind w:left="360"/>
        <w:jc w:val="both"/>
        <w:rPr>
          <w:rFonts w:cs="Arial"/>
          <w:color w:val="000000" w:themeColor="text1"/>
          <w:sz w:val="16"/>
          <w:szCs w:val="16"/>
          <w:lang w:val="en-US"/>
        </w:rPr>
      </w:pPr>
      <w:r>
        <w:rPr>
          <w:rFonts w:cs="Arial"/>
          <w:color w:val="000000" w:themeColor="text1"/>
          <w:sz w:val="16"/>
          <w:szCs w:val="16"/>
          <w:lang w:val="en-US"/>
        </w:rPr>
        <w:tab/>
      </w:r>
      <w:r>
        <w:rPr>
          <w:rFonts w:cs="Arial"/>
          <w:color w:val="000000" w:themeColor="text1"/>
          <w:sz w:val="16"/>
          <w:szCs w:val="16"/>
          <w:lang w:val="en-US"/>
        </w:rPr>
        <w:tab/>
      </w:r>
      <w:r w:rsidRPr="00E45529">
        <w:rPr>
          <w:rFonts w:cs="Arial"/>
          <w:color w:val="000000" w:themeColor="text1"/>
          <w:sz w:val="16"/>
          <w:szCs w:val="16"/>
          <w:lang w:val="en-US"/>
        </w:rPr>
        <w:t>Provided that the rate for companies shall be as specified in</w:t>
      </w:r>
      <w:r>
        <w:rPr>
          <w:rFonts w:cs="Arial"/>
          <w:color w:val="000000" w:themeColor="text1"/>
          <w:sz w:val="16"/>
          <w:szCs w:val="16"/>
          <w:lang w:val="en-US"/>
        </w:rPr>
        <w:t xml:space="preserve"> </w:t>
      </w:r>
      <w:r w:rsidRPr="00E45529">
        <w:rPr>
          <w:rFonts w:cs="Arial"/>
          <w:color w:val="000000" w:themeColor="text1"/>
          <w:sz w:val="16"/>
          <w:szCs w:val="16"/>
          <w:lang w:val="en-US"/>
        </w:rPr>
        <w:t>Division II of Part I of First Schedule, in respective of debt securities;]</w:t>
      </w:r>
    </w:p>
    <w:p w:rsidR="00BF2117" w:rsidRPr="00E45529" w:rsidRDefault="00BF2117" w:rsidP="00AF5355">
      <w:pPr>
        <w:ind w:left="360" w:hanging="450"/>
        <w:rPr>
          <w:rFonts w:cs="Arial"/>
          <w:color w:val="000000" w:themeColor="text1"/>
          <w:sz w:val="16"/>
          <w:szCs w:val="16"/>
          <w:lang w:val="en-US"/>
        </w:rPr>
      </w:pPr>
    </w:p>
    <w:p w:rsidR="00BF2117" w:rsidRPr="00E45529" w:rsidRDefault="00BF2117" w:rsidP="00AF5355">
      <w:pPr>
        <w:ind w:left="360"/>
        <w:rPr>
          <w:rFonts w:cs="Arial"/>
          <w:color w:val="000000" w:themeColor="text1"/>
          <w:sz w:val="16"/>
          <w:szCs w:val="16"/>
          <w:lang w:val="en-US"/>
        </w:rPr>
      </w:pPr>
      <w:r>
        <w:rPr>
          <w:rFonts w:cs="Arial"/>
          <w:color w:val="000000" w:themeColor="text1"/>
          <w:sz w:val="16"/>
          <w:szCs w:val="16"/>
          <w:lang w:val="en-US"/>
        </w:rPr>
        <w:tab/>
      </w:r>
      <w:r>
        <w:rPr>
          <w:rFonts w:cs="Arial"/>
          <w:color w:val="000000" w:themeColor="text1"/>
          <w:sz w:val="16"/>
          <w:szCs w:val="16"/>
          <w:lang w:val="en-US"/>
        </w:rPr>
        <w:tab/>
      </w:r>
      <w:r w:rsidRPr="00E45529">
        <w:rPr>
          <w:rFonts w:cs="Arial"/>
          <w:color w:val="000000" w:themeColor="text1"/>
          <w:sz w:val="16"/>
          <w:szCs w:val="16"/>
          <w:lang w:val="en-US"/>
        </w:rPr>
        <w:t>Provided that a mutual fund or a collective investment scheme</w:t>
      </w:r>
      <w:r>
        <w:rPr>
          <w:rFonts w:cs="Arial"/>
          <w:color w:val="000000" w:themeColor="text1"/>
          <w:sz w:val="16"/>
          <w:szCs w:val="16"/>
          <w:lang w:val="en-US"/>
        </w:rPr>
        <w:t xml:space="preserve"> </w:t>
      </w:r>
      <w:r w:rsidRPr="00E45529">
        <w:rPr>
          <w:rFonts w:cs="Arial"/>
          <w:color w:val="000000" w:themeColor="text1"/>
          <w:sz w:val="16"/>
          <w:szCs w:val="16"/>
          <w:lang w:val="en-US"/>
        </w:rPr>
        <w:t>shall deduct Capital Gains Tax at the rates as</w:t>
      </w:r>
      <w:r>
        <w:rPr>
          <w:rFonts w:cs="Arial"/>
          <w:color w:val="000000" w:themeColor="text1"/>
          <w:sz w:val="16"/>
          <w:szCs w:val="16"/>
          <w:lang w:val="en-US"/>
        </w:rPr>
        <w:t xml:space="preserve"> </w:t>
      </w:r>
      <w:r w:rsidRPr="00E45529">
        <w:rPr>
          <w:rFonts w:cs="Arial"/>
          <w:color w:val="000000" w:themeColor="text1"/>
          <w:sz w:val="16"/>
          <w:szCs w:val="16"/>
          <w:lang w:val="en-US"/>
        </w:rPr>
        <w:t>specified above, on</w:t>
      </w:r>
      <w:r>
        <w:rPr>
          <w:rFonts w:cs="Arial"/>
          <w:color w:val="000000" w:themeColor="text1"/>
          <w:sz w:val="16"/>
          <w:szCs w:val="16"/>
          <w:lang w:val="en-US"/>
        </w:rPr>
        <w:t xml:space="preserve"> </w:t>
      </w:r>
      <w:r w:rsidRPr="00E45529">
        <w:rPr>
          <w:rFonts w:cs="Arial"/>
          <w:color w:val="000000" w:themeColor="text1"/>
          <w:sz w:val="16"/>
          <w:szCs w:val="16"/>
          <w:lang w:val="en-US"/>
        </w:rPr>
        <w:t>redemption of</w:t>
      </w:r>
      <w:r>
        <w:rPr>
          <w:rFonts w:cs="Arial"/>
          <w:color w:val="000000" w:themeColor="text1"/>
          <w:sz w:val="16"/>
          <w:szCs w:val="16"/>
          <w:lang w:val="en-US"/>
        </w:rPr>
        <w:t xml:space="preserve"> </w:t>
      </w:r>
      <w:r w:rsidRPr="00E45529">
        <w:rPr>
          <w:rFonts w:cs="Arial"/>
          <w:color w:val="000000" w:themeColor="text1"/>
          <w:sz w:val="16"/>
          <w:szCs w:val="16"/>
          <w:lang w:val="en-US"/>
        </w:rPr>
        <w:t>securities as Prescribed</w:t>
      </w:r>
      <w:r>
        <w:rPr>
          <w:rFonts w:cs="Arial"/>
          <w:color w:val="000000" w:themeColor="text1"/>
          <w:sz w:val="16"/>
          <w:szCs w:val="16"/>
          <w:lang w:val="en-US"/>
        </w:rPr>
        <w:t>.</w:t>
      </w: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E45529" w:rsidRDefault="00BF2117" w:rsidP="00D707B5">
      <w:pPr>
        <w:rPr>
          <w:rFonts w:cs="Arial"/>
          <w:color w:val="000000" w:themeColor="text1"/>
          <w:sz w:val="16"/>
          <w:szCs w:val="16"/>
          <w:lang w:val="en-US"/>
        </w:rPr>
      </w:pPr>
    </w:p>
    <w:p w:rsidR="00BF2117" w:rsidRPr="00B84E2C" w:rsidRDefault="00BF2117">
      <w:pPr>
        <w:pStyle w:val="FootnoteText"/>
        <w:rPr>
          <w:sz w:val="16"/>
          <w:szCs w:val="16"/>
          <w:lang w:val="en-US"/>
        </w:rPr>
      </w:pPr>
    </w:p>
  </w:footnote>
  <w:footnote w:id="1619">
    <w:p w:rsidR="00BF2117" w:rsidRDefault="00BF2117" w:rsidP="00326F07">
      <w:pPr>
        <w:pStyle w:val="FootnoteText"/>
        <w:rPr>
          <w:b/>
          <w:bCs/>
          <w:color w:val="FF0000"/>
          <w:sz w:val="16"/>
          <w:szCs w:val="16"/>
        </w:rPr>
      </w:pPr>
      <w:r w:rsidRPr="0009763F">
        <w:rPr>
          <w:rStyle w:val="FootnoteReference"/>
          <w:color w:val="0070C0"/>
          <w:sz w:val="16"/>
          <w:szCs w:val="16"/>
        </w:rPr>
        <w:footnoteRef/>
      </w:r>
      <w:r w:rsidRPr="0009763F">
        <w:rPr>
          <w:color w:val="0070C0"/>
          <w:sz w:val="16"/>
          <w:szCs w:val="16"/>
        </w:rPr>
        <w:t xml:space="preserve"> Division VII substituted by the Finance Act, 2016. Substituted  Division read as follows:-</w:t>
      </w:r>
    </w:p>
    <w:p w:rsidR="00BF2117" w:rsidRPr="00F7377B" w:rsidRDefault="00BF2117" w:rsidP="00F7377B">
      <w:pPr>
        <w:jc w:val="center"/>
        <w:rPr>
          <w:b/>
          <w:bCs/>
          <w:color w:val="000000" w:themeColor="text1"/>
          <w:sz w:val="16"/>
          <w:szCs w:val="16"/>
        </w:rPr>
      </w:pPr>
      <w:r w:rsidRPr="00F7377B">
        <w:rPr>
          <w:b/>
          <w:bCs/>
          <w:color w:val="000000" w:themeColor="text1"/>
          <w:sz w:val="16"/>
          <w:szCs w:val="16"/>
        </w:rPr>
        <w:t>[“Division VII</w:t>
      </w:r>
    </w:p>
    <w:p w:rsidR="00BF2117" w:rsidRPr="00F7377B" w:rsidRDefault="00BF2117" w:rsidP="00F7377B">
      <w:pPr>
        <w:jc w:val="center"/>
        <w:rPr>
          <w:color w:val="000000" w:themeColor="text1"/>
          <w:sz w:val="16"/>
          <w:szCs w:val="16"/>
        </w:rPr>
      </w:pPr>
      <w:r w:rsidRPr="00F7377B">
        <w:rPr>
          <w:b/>
          <w:bCs/>
          <w:color w:val="000000" w:themeColor="text1"/>
          <w:sz w:val="16"/>
          <w:szCs w:val="16"/>
        </w:rPr>
        <w:t>Capital Gains on disposal of Securities</w:t>
      </w:r>
    </w:p>
    <w:p w:rsidR="00BF2117" w:rsidRPr="00F7377B" w:rsidRDefault="00BF2117" w:rsidP="00F7377B">
      <w:pPr>
        <w:jc w:val="both"/>
        <w:rPr>
          <w:color w:val="000000" w:themeColor="text1"/>
          <w:sz w:val="16"/>
          <w:szCs w:val="16"/>
        </w:rPr>
      </w:pPr>
      <w:r w:rsidRPr="00F7377B">
        <w:rPr>
          <w:color w:val="000000" w:themeColor="text1"/>
          <w:sz w:val="16"/>
          <w:szCs w:val="16"/>
        </w:rPr>
        <w:tab/>
      </w:r>
      <w:r w:rsidRPr="00F7377B">
        <w:rPr>
          <w:color w:val="000000" w:themeColor="text1"/>
          <w:sz w:val="16"/>
          <w:szCs w:val="16"/>
        </w:rPr>
        <w:tab/>
        <w:t>The rate of tax to be paid under section 37A shall be as follows—</w:t>
      </w:r>
    </w:p>
    <w:tbl>
      <w:tblPr>
        <w:tblW w:w="711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3330"/>
        <w:gridCol w:w="1440"/>
        <w:gridCol w:w="1532"/>
      </w:tblGrid>
      <w:tr w:rsidR="00BF2117" w:rsidRPr="00F7377B" w:rsidTr="00B7389F">
        <w:tc>
          <w:tcPr>
            <w:tcW w:w="810" w:type="dxa"/>
          </w:tcPr>
          <w:p w:rsidR="00BF2117" w:rsidRPr="00F7377B" w:rsidRDefault="00BF2117" w:rsidP="00B7389F">
            <w:pPr>
              <w:jc w:val="center"/>
              <w:rPr>
                <w:b/>
                <w:bCs/>
                <w:color w:val="000000" w:themeColor="text1"/>
                <w:sz w:val="16"/>
                <w:szCs w:val="16"/>
              </w:rPr>
            </w:pPr>
            <w:r w:rsidRPr="00F7377B">
              <w:rPr>
                <w:b/>
                <w:bCs/>
                <w:color w:val="000000" w:themeColor="text1"/>
                <w:sz w:val="16"/>
                <w:szCs w:val="16"/>
              </w:rPr>
              <w:t>S.No.</w:t>
            </w:r>
          </w:p>
        </w:tc>
        <w:tc>
          <w:tcPr>
            <w:tcW w:w="3330" w:type="dxa"/>
          </w:tcPr>
          <w:p w:rsidR="00BF2117" w:rsidRPr="00F7377B" w:rsidRDefault="00BF2117" w:rsidP="00B7389F">
            <w:pPr>
              <w:jc w:val="center"/>
              <w:rPr>
                <w:b/>
                <w:bCs/>
                <w:color w:val="000000" w:themeColor="text1"/>
                <w:sz w:val="16"/>
                <w:szCs w:val="16"/>
              </w:rPr>
            </w:pPr>
            <w:r w:rsidRPr="00F7377B">
              <w:rPr>
                <w:b/>
                <w:bCs/>
                <w:color w:val="000000" w:themeColor="text1"/>
                <w:sz w:val="16"/>
                <w:szCs w:val="16"/>
              </w:rPr>
              <w:t>Period</w:t>
            </w:r>
          </w:p>
        </w:tc>
        <w:tc>
          <w:tcPr>
            <w:tcW w:w="1440" w:type="dxa"/>
          </w:tcPr>
          <w:p w:rsidR="00BF2117" w:rsidRPr="00F7377B" w:rsidRDefault="00BF2117" w:rsidP="00B7389F">
            <w:pPr>
              <w:jc w:val="center"/>
              <w:rPr>
                <w:b/>
                <w:bCs/>
                <w:color w:val="000000" w:themeColor="text1"/>
                <w:sz w:val="16"/>
                <w:szCs w:val="16"/>
              </w:rPr>
            </w:pPr>
            <w:r w:rsidRPr="00F7377B">
              <w:rPr>
                <w:b/>
                <w:bCs/>
                <w:color w:val="000000" w:themeColor="text1"/>
                <w:sz w:val="16"/>
                <w:szCs w:val="16"/>
              </w:rPr>
              <w:t>Tax Year 2015</w:t>
            </w:r>
          </w:p>
        </w:tc>
        <w:tc>
          <w:tcPr>
            <w:tcW w:w="1532" w:type="dxa"/>
          </w:tcPr>
          <w:p w:rsidR="00BF2117" w:rsidRPr="00F7377B" w:rsidRDefault="00BF2117" w:rsidP="00B7389F">
            <w:pPr>
              <w:jc w:val="center"/>
              <w:rPr>
                <w:b/>
                <w:bCs/>
                <w:color w:val="000000" w:themeColor="text1"/>
                <w:sz w:val="16"/>
                <w:szCs w:val="16"/>
              </w:rPr>
            </w:pPr>
            <w:r w:rsidRPr="00F7377B">
              <w:rPr>
                <w:b/>
                <w:bCs/>
                <w:color w:val="000000" w:themeColor="text1"/>
                <w:sz w:val="16"/>
                <w:szCs w:val="16"/>
              </w:rPr>
              <w:t>Tax Year 2016</w:t>
            </w:r>
          </w:p>
        </w:tc>
      </w:tr>
      <w:tr w:rsidR="00BF2117" w:rsidRPr="00F7377B" w:rsidTr="00B7389F">
        <w:tc>
          <w:tcPr>
            <w:tcW w:w="810" w:type="dxa"/>
          </w:tcPr>
          <w:p w:rsidR="00BF2117" w:rsidRPr="00F7377B" w:rsidRDefault="00BF2117" w:rsidP="00B7389F">
            <w:pPr>
              <w:jc w:val="center"/>
              <w:rPr>
                <w:color w:val="000000" w:themeColor="text1"/>
                <w:sz w:val="16"/>
                <w:szCs w:val="16"/>
              </w:rPr>
            </w:pPr>
            <w:r w:rsidRPr="00F7377B">
              <w:rPr>
                <w:color w:val="000000" w:themeColor="text1"/>
                <w:sz w:val="16"/>
                <w:szCs w:val="16"/>
              </w:rPr>
              <w:t>(1)</w:t>
            </w:r>
          </w:p>
        </w:tc>
        <w:tc>
          <w:tcPr>
            <w:tcW w:w="3330" w:type="dxa"/>
          </w:tcPr>
          <w:p w:rsidR="00BF2117" w:rsidRPr="00F7377B" w:rsidRDefault="00BF2117" w:rsidP="00B7389F">
            <w:pPr>
              <w:jc w:val="center"/>
              <w:rPr>
                <w:color w:val="000000" w:themeColor="text1"/>
                <w:sz w:val="16"/>
                <w:szCs w:val="16"/>
              </w:rPr>
            </w:pPr>
            <w:r w:rsidRPr="00F7377B">
              <w:rPr>
                <w:color w:val="000000" w:themeColor="text1"/>
                <w:sz w:val="16"/>
                <w:szCs w:val="16"/>
              </w:rPr>
              <w:t>(2)</w:t>
            </w:r>
          </w:p>
        </w:tc>
        <w:tc>
          <w:tcPr>
            <w:tcW w:w="1440" w:type="dxa"/>
          </w:tcPr>
          <w:p w:rsidR="00BF2117" w:rsidRPr="00F7377B" w:rsidRDefault="00BF2117" w:rsidP="00B7389F">
            <w:pPr>
              <w:jc w:val="center"/>
              <w:rPr>
                <w:color w:val="000000" w:themeColor="text1"/>
                <w:sz w:val="16"/>
                <w:szCs w:val="16"/>
              </w:rPr>
            </w:pPr>
            <w:r w:rsidRPr="00F7377B">
              <w:rPr>
                <w:color w:val="000000" w:themeColor="text1"/>
                <w:sz w:val="16"/>
                <w:szCs w:val="16"/>
              </w:rPr>
              <w:t>(3)</w:t>
            </w:r>
          </w:p>
        </w:tc>
        <w:tc>
          <w:tcPr>
            <w:tcW w:w="1532" w:type="dxa"/>
          </w:tcPr>
          <w:p w:rsidR="00BF2117" w:rsidRPr="00F7377B" w:rsidRDefault="00BF2117" w:rsidP="00B7389F">
            <w:pPr>
              <w:jc w:val="center"/>
              <w:rPr>
                <w:color w:val="000000" w:themeColor="text1"/>
                <w:sz w:val="16"/>
                <w:szCs w:val="16"/>
              </w:rPr>
            </w:pPr>
            <w:r w:rsidRPr="00F7377B">
              <w:rPr>
                <w:color w:val="000000" w:themeColor="text1"/>
                <w:sz w:val="16"/>
                <w:szCs w:val="16"/>
              </w:rPr>
              <w:t>(4)</w:t>
            </w:r>
          </w:p>
        </w:tc>
      </w:tr>
      <w:tr w:rsidR="00BF2117" w:rsidRPr="00F7377B" w:rsidTr="00F7377B">
        <w:trPr>
          <w:trHeight w:val="350"/>
        </w:trPr>
        <w:tc>
          <w:tcPr>
            <w:tcW w:w="810" w:type="dxa"/>
          </w:tcPr>
          <w:p w:rsidR="00BF2117" w:rsidRPr="00F7377B" w:rsidRDefault="00BF2117" w:rsidP="00B7389F">
            <w:pPr>
              <w:jc w:val="center"/>
              <w:rPr>
                <w:color w:val="000000" w:themeColor="text1"/>
                <w:sz w:val="16"/>
                <w:szCs w:val="16"/>
              </w:rPr>
            </w:pPr>
            <w:r w:rsidRPr="00F7377B">
              <w:rPr>
                <w:color w:val="000000" w:themeColor="text1"/>
                <w:sz w:val="16"/>
                <w:szCs w:val="16"/>
              </w:rPr>
              <w:t>1.</w:t>
            </w:r>
          </w:p>
        </w:tc>
        <w:tc>
          <w:tcPr>
            <w:tcW w:w="3330" w:type="dxa"/>
          </w:tcPr>
          <w:p w:rsidR="00BF2117" w:rsidRPr="00F7377B" w:rsidRDefault="00BF2117" w:rsidP="00B7389F">
            <w:pPr>
              <w:jc w:val="both"/>
              <w:rPr>
                <w:color w:val="000000" w:themeColor="text1"/>
                <w:sz w:val="16"/>
                <w:szCs w:val="16"/>
              </w:rPr>
            </w:pPr>
            <w:r w:rsidRPr="00F7377B">
              <w:rPr>
                <w:color w:val="000000" w:themeColor="text1"/>
                <w:sz w:val="16"/>
                <w:szCs w:val="16"/>
              </w:rPr>
              <w:t>Where holding period of a security is less than twelve months.</w:t>
            </w:r>
          </w:p>
        </w:tc>
        <w:tc>
          <w:tcPr>
            <w:tcW w:w="1440" w:type="dxa"/>
          </w:tcPr>
          <w:p w:rsidR="00BF2117" w:rsidRPr="00F7377B" w:rsidRDefault="00BF2117" w:rsidP="00B7389F">
            <w:pPr>
              <w:jc w:val="center"/>
              <w:rPr>
                <w:color w:val="000000" w:themeColor="text1"/>
                <w:sz w:val="16"/>
                <w:szCs w:val="16"/>
              </w:rPr>
            </w:pPr>
            <w:r w:rsidRPr="00F7377B">
              <w:rPr>
                <w:color w:val="000000" w:themeColor="text1"/>
                <w:sz w:val="16"/>
                <w:szCs w:val="16"/>
              </w:rPr>
              <w:t>12.5%</w:t>
            </w:r>
          </w:p>
          <w:p w:rsidR="00BF2117" w:rsidRPr="00F7377B" w:rsidRDefault="00BF2117" w:rsidP="00B7389F">
            <w:pPr>
              <w:jc w:val="center"/>
              <w:rPr>
                <w:color w:val="000000" w:themeColor="text1"/>
                <w:sz w:val="16"/>
                <w:szCs w:val="16"/>
              </w:rPr>
            </w:pPr>
          </w:p>
          <w:p w:rsidR="00BF2117" w:rsidRPr="00F7377B" w:rsidRDefault="00BF2117" w:rsidP="00B7389F">
            <w:pPr>
              <w:jc w:val="center"/>
              <w:rPr>
                <w:color w:val="000000" w:themeColor="text1"/>
                <w:sz w:val="16"/>
                <w:szCs w:val="16"/>
              </w:rPr>
            </w:pPr>
          </w:p>
        </w:tc>
        <w:tc>
          <w:tcPr>
            <w:tcW w:w="1532" w:type="dxa"/>
          </w:tcPr>
          <w:p w:rsidR="00BF2117" w:rsidRPr="00F7377B" w:rsidRDefault="00BF2117" w:rsidP="00F7377B">
            <w:pPr>
              <w:jc w:val="center"/>
              <w:rPr>
                <w:color w:val="000000" w:themeColor="text1"/>
                <w:sz w:val="16"/>
                <w:szCs w:val="16"/>
              </w:rPr>
            </w:pPr>
            <w:r w:rsidRPr="00F7377B">
              <w:rPr>
                <w:color w:val="000000" w:themeColor="text1"/>
                <w:sz w:val="16"/>
                <w:szCs w:val="16"/>
              </w:rPr>
              <w:t>15%</w:t>
            </w:r>
          </w:p>
        </w:tc>
      </w:tr>
      <w:tr w:rsidR="00BF2117" w:rsidRPr="00F7377B" w:rsidTr="00B7389F">
        <w:tc>
          <w:tcPr>
            <w:tcW w:w="810" w:type="dxa"/>
          </w:tcPr>
          <w:p w:rsidR="00BF2117" w:rsidRPr="00F7377B" w:rsidRDefault="00BF2117" w:rsidP="00B7389F">
            <w:pPr>
              <w:jc w:val="center"/>
              <w:rPr>
                <w:color w:val="000000" w:themeColor="text1"/>
                <w:sz w:val="16"/>
                <w:szCs w:val="16"/>
              </w:rPr>
            </w:pPr>
            <w:r w:rsidRPr="00F7377B">
              <w:rPr>
                <w:color w:val="000000" w:themeColor="text1"/>
                <w:sz w:val="16"/>
                <w:szCs w:val="16"/>
              </w:rPr>
              <w:t>2.</w:t>
            </w:r>
          </w:p>
        </w:tc>
        <w:tc>
          <w:tcPr>
            <w:tcW w:w="3330" w:type="dxa"/>
          </w:tcPr>
          <w:p w:rsidR="00BF2117" w:rsidRPr="00F7377B" w:rsidRDefault="00BF2117" w:rsidP="00B7389F">
            <w:pPr>
              <w:jc w:val="both"/>
              <w:rPr>
                <w:color w:val="000000" w:themeColor="text1"/>
                <w:sz w:val="16"/>
                <w:szCs w:val="16"/>
              </w:rPr>
            </w:pPr>
            <w:r w:rsidRPr="00F7377B">
              <w:rPr>
                <w:color w:val="000000" w:themeColor="text1"/>
                <w:sz w:val="16"/>
                <w:szCs w:val="16"/>
              </w:rPr>
              <w:t>Where holding period of a security is twelve months or more but less than twenty four months.</w:t>
            </w:r>
          </w:p>
        </w:tc>
        <w:tc>
          <w:tcPr>
            <w:tcW w:w="1440" w:type="dxa"/>
          </w:tcPr>
          <w:p w:rsidR="00BF2117" w:rsidRPr="00F7377B" w:rsidRDefault="00BF2117" w:rsidP="00B7389F">
            <w:pPr>
              <w:jc w:val="center"/>
              <w:rPr>
                <w:color w:val="000000" w:themeColor="text1"/>
                <w:sz w:val="16"/>
                <w:szCs w:val="16"/>
              </w:rPr>
            </w:pPr>
            <w:r w:rsidRPr="00F7377B">
              <w:rPr>
                <w:color w:val="000000" w:themeColor="text1"/>
                <w:sz w:val="16"/>
                <w:szCs w:val="16"/>
              </w:rPr>
              <w:t>10%</w:t>
            </w:r>
          </w:p>
        </w:tc>
        <w:tc>
          <w:tcPr>
            <w:tcW w:w="1532" w:type="dxa"/>
          </w:tcPr>
          <w:p w:rsidR="00BF2117" w:rsidRPr="00F7377B" w:rsidRDefault="00BF2117" w:rsidP="00B7389F">
            <w:pPr>
              <w:jc w:val="center"/>
              <w:rPr>
                <w:color w:val="000000" w:themeColor="text1"/>
                <w:sz w:val="16"/>
                <w:szCs w:val="16"/>
              </w:rPr>
            </w:pPr>
            <w:r w:rsidRPr="00F7377B">
              <w:rPr>
                <w:color w:val="000000" w:themeColor="text1"/>
                <w:sz w:val="16"/>
                <w:szCs w:val="16"/>
              </w:rPr>
              <w:t>12.5%</w:t>
            </w:r>
          </w:p>
          <w:p w:rsidR="00BF2117" w:rsidRPr="00F7377B" w:rsidRDefault="00BF2117" w:rsidP="00B7389F">
            <w:pPr>
              <w:jc w:val="center"/>
              <w:rPr>
                <w:color w:val="000000" w:themeColor="text1"/>
                <w:sz w:val="16"/>
                <w:szCs w:val="16"/>
              </w:rPr>
            </w:pPr>
          </w:p>
        </w:tc>
      </w:tr>
      <w:tr w:rsidR="00BF2117" w:rsidRPr="00F7377B" w:rsidTr="00F7377B">
        <w:trPr>
          <w:trHeight w:val="575"/>
        </w:trPr>
        <w:tc>
          <w:tcPr>
            <w:tcW w:w="810" w:type="dxa"/>
          </w:tcPr>
          <w:p w:rsidR="00BF2117" w:rsidRPr="00F7377B" w:rsidRDefault="00BF2117" w:rsidP="00B7389F">
            <w:pPr>
              <w:jc w:val="center"/>
              <w:rPr>
                <w:color w:val="000000" w:themeColor="text1"/>
                <w:sz w:val="16"/>
                <w:szCs w:val="16"/>
              </w:rPr>
            </w:pPr>
            <w:r w:rsidRPr="00F7377B">
              <w:rPr>
                <w:color w:val="000000" w:themeColor="text1"/>
                <w:sz w:val="16"/>
                <w:szCs w:val="16"/>
              </w:rPr>
              <w:t>3.</w:t>
            </w:r>
          </w:p>
          <w:p w:rsidR="00BF2117" w:rsidRPr="00F7377B" w:rsidRDefault="00BF2117" w:rsidP="00B7389F">
            <w:pPr>
              <w:jc w:val="center"/>
              <w:rPr>
                <w:color w:val="000000" w:themeColor="text1"/>
                <w:sz w:val="16"/>
                <w:szCs w:val="16"/>
              </w:rPr>
            </w:pPr>
          </w:p>
          <w:p w:rsidR="00BF2117" w:rsidRPr="00F7377B" w:rsidRDefault="00BF2117" w:rsidP="00B7389F">
            <w:pPr>
              <w:jc w:val="center"/>
              <w:rPr>
                <w:color w:val="000000" w:themeColor="text1"/>
                <w:sz w:val="16"/>
                <w:szCs w:val="16"/>
              </w:rPr>
            </w:pPr>
          </w:p>
          <w:p w:rsidR="00BF2117" w:rsidRPr="00F7377B" w:rsidRDefault="00BF2117" w:rsidP="00B7389F">
            <w:pPr>
              <w:jc w:val="center"/>
              <w:rPr>
                <w:color w:val="000000" w:themeColor="text1"/>
                <w:sz w:val="16"/>
                <w:szCs w:val="16"/>
              </w:rPr>
            </w:pPr>
          </w:p>
          <w:p w:rsidR="00BF2117" w:rsidRPr="00F7377B" w:rsidRDefault="00BF2117" w:rsidP="00B7389F">
            <w:pPr>
              <w:jc w:val="center"/>
              <w:rPr>
                <w:color w:val="000000" w:themeColor="text1"/>
                <w:sz w:val="16"/>
                <w:szCs w:val="16"/>
              </w:rPr>
            </w:pPr>
          </w:p>
        </w:tc>
        <w:tc>
          <w:tcPr>
            <w:tcW w:w="3330" w:type="dxa"/>
          </w:tcPr>
          <w:p w:rsidR="00BF2117" w:rsidRPr="00F7377B" w:rsidRDefault="00BF2117" w:rsidP="00B7389F">
            <w:pPr>
              <w:jc w:val="both"/>
              <w:rPr>
                <w:color w:val="000000" w:themeColor="text1"/>
                <w:sz w:val="16"/>
                <w:szCs w:val="16"/>
              </w:rPr>
            </w:pPr>
            <w:r w:rsidRPr="00F7377B">
              <w:rPr>
                <w:color w:val="000000" w:themeColor="text1"/>
                <w:sz w:val="16"/>
                <w:szCs w:val="16"/>
              </w:rPr>
              <w:t>Where holding period of a security is twenty four months or more but less than four years.</w:t>
            </w:r>
          </w:p>
        </w:tc>
        <w:tc>
          <w:tcPr>
            <w:tcW w:w="1440" w:type="dxa"/>
          </w:tcPr>
          <w:p w:rsidR="00BF2117" w:rsidRPr="00F7377B" w:rsidRDefault="00BF2117" w:rsidP="00B7389F">
            <w:pPr>
              <w:jc w:val="center"/>
              <w:rPr>
                <w:color w:val="000000" w:themeColor="text1"/>
                <w:sz w:val="16"/>
                <w:szCs w:val="16"/>
              </w:rPr>
            </w:pPr>
            <w:r w:rsidRPr="00F7377B">
              <w:rPr>
                <w:color w:val="000000" w:themeColor="text1"/>
                <w:sz w:val="16"/>
                <w:szCs w:val="16"/>
              </w:rPr>
              <w:t>0%</w:t>
            </w:r>
          </w:p>
        </w:tc>
        <w:tc>
          <w:tcPr>
            <w:tcW w:w="1532" w:type="dxa"/>
          </w:tcPr>
          <w:p w:rsidR="00BF2117" w:rsidRPr="00F7377B" w:rsidRDefault="00BF2117" w:rsidP="00B7389F">
            <w:pPr>
              <w:jc w:val="center"/>
              <w:rPr>
                <w:color w:val="000000" w:themeColor="text1"/>
                <w:sz w:val="16"/>
                <w:szCs w:val="16"/>
              </w:rPr>
            </w:pPr>
            <w:r w:rsidRPr="00F7377B">
              <w:rPr>
                <w:color w:val="000000" w:themeColor="text1"/>
                <w:sz w:val="16"/>
                <w:szCs w:val="16"/>
              </w:rPr>
              <w:t>7.5%</w:t>
            </w:r>
          </w:p>
          <w:p w:rsidR="00BF2117" w:rsidRPr="00F7377B" w:rsidRDefault="00BF2117" w:rsidP="00B7389F">
            <w:pPr>
              <w:jc w:val="center"/>
              <w:rPr>
                <w:color w:val="000000" w:themeColor="text1"/>
                <w:sz w:val="16"/>
                <w:szCs w:val="16"/>
              </w:rPr>
            </w:pPr>
          </w:p>
        </w:tc>
      </w:tr>
      <w:tr w:rsidR="00BF2117" w:rsidRPr="00F7377B" w:rsidTr="00B7389F">
        <w:tc>
          <w:tcPr>
            <w:tcW w:w="810" w:type="dxa"/>
          </w:tcPr>
          <w:p w:rsidR="00BF2117" w:rsidRPr="00F7377B" w:rsidRDefault="00BF2117" w:rsidP="00B7389F">
            <w:pPr>
              <w:jc w:val="center"/>
              <w:rPr>
                <w:color w:val="000000" w:themeColor="text1"/>
                <w:sz w:val="16"/>
                <w:szCs w:val="16"/>
              </w:rPr>
            </w:pPr>
            <w:r w:rsidRPr="00F7377B">
              <w:rPr>
                <w:color w:val="000000" w:themeColor="text1"/>
                <w:sz w:val="16"/>
                <w:szCs w:val="16"/>
              </w:rPr>
              <w:t>4.</w:t>
            </w:r>
          </w:p>
        </w:tc>
        <w:tc>
          <w:tcPr>
            <w:tcW w:w="3330" w:type="dxa"/>
          </w:tcPr>
          <w:p w:rsidR="00BF2117" w:rsidRPr="00F7377B" w:rsidRDefault="00BF2117" w:rsidP="00B7389F">
            <w:pPr>
              <w:jc w:val="both"/>
              <w:rPr>
                <w:color w:val="000000" w:themeColor="text1"/>
                <w:sz w:val="16"/>
                <w:szCs w:val="16"/>
              </w:rPr>
            </w:pPr>
            <w:r w:rsidRPr="00F7377B">
              <w:rPr>
                <w:color w:val="000000" w:themeColor="text1"/>
                <w:sz w:val="16"/>
                <w:szCs w:val="16"/>
              </w:rPr>
              <w:t>Where holding period of a security is more than four years</w:t>
            </w:r>
          </w:p>
        </w:tc>
        <w:tc>
          <w:tcPr>
            <w:tcW w:w="1440" w:type="dxa"/>
          </w:tcPr>
          <w:p w:rsidR="00BF2117" w:rsidRPr="00F7377B" w:rsidRDefault="00BF2117" w:rsidP="00B7389F">
            <w:pPr>
              <w:jc w:val="center"/>
              <w:rPr>
                <w:color w:val="000000" w:themeColor="text1"/>
                <w:sz w:val="16"/>
                <w:szCs w:val="16"/>
              </w:rPr>
            </w:pPr>
            <w:r w:rsidRPr="00F7377B">
              <w:rPr>
                <w:color w:val="000000" w:themeColor="text1"/>
                <w:sz w:val="16"/>
                <w:szCs w:val="16"/>
              </w:rPr>
              <w:t>0%</w:t>
            </w:r>
          </w:p>
        </w:tc>
        <w:tc>
          <w:tcPr>
            <w:tcW w:w="1532" w:type="dxa"/>
          </w:tcPr>
          <w:p w:rsidR="00BF2117" w:rsidRPr="00F7377B" w:rsidRDefault="00BF2117" w:rsidP="00B7389F">
            <w:pPr>
              <w:jc w:val="center"/>
              <w:rPr>
                <w:rStyle w:val="FootnoteReference"/>
                <w:rFonts w:cs="Arial"/>
                <w:color w:val="000000" w:themeColor="text1"/>
                <w:sz w:val="16"/>
                <w:szCs w:val="16"/>
              </w:rPr>
            </w:pPr>
            <w:r w:rsidRPr="00F7377B">
              <w:rPr>
                <w:color w:val="000000" w:themeColor="text1"/>
                <w:sz w:val="16"/>
                <w:szCs w:val="16"/>
              </w:rPr>
              <w:t>0%</w:t>
            </w:r>
          </w:p>
        </w:tc>
      </w:tr>
    </w:tbl>
    <w:p w:rsidR="00BF2117" w:rsidRPr="00F7377B" w:rsidRDefault="00BF2117" w:rsidP="00F7377B">
      <w:pPr>
        <w:autoSpaceDE w:val="0"/>
        <w:autoSpaceDN w:val="0"/>
        <w:adjustRightInd w:val="0"/>
        <w:ind w:left="90" w:firstLine="547"/>
        <w:jc w:val="both"/>
        <w:rPr>
          <w:rFonts w:cs="Arial"/>
          <w:color w:val="000000" w:themeColor="text1"/>
          <w:sz w:val="16"/>
          <w:szCs w:val="16"/>
          <w:lang w:val="en-US"/>
        </w:rPr>
      </w:pPr>
    </w:p>
    <w:p w:rsidR="00BF2117" w:rsidRPr="00F7377B" w:rsidRDefault="00BF2117" w:rsidP="00F7377B">
      <w:pPr>
        <w:pStyle w:val="FootnoteText"/>
        <w:ind w:left="90" w:firstLine="457"/>
        <w:jc w:val="both"/>
        <w:rPr>
          <w:color w:val="FF0000"/>
          <w:sz w:val="16"/>
          <w:szCs w:val="16"/>
          <w:lang w:val="en-US"/>
        </w:rPr>
      </w:pPr>
    </w:p>
  </w:footnote>
  <w:footnote w:id="1620">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Substituted by the Finance Act, 2016.</w:t>
      </w:r>
    </w:p>
  </w:footnote>
  <w:footnote w:id="1621">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Added by the Finance Act, 2012.</w:t>
      </w:r>
    </w:p>
  </w:footnote>
  <w:footnote w:id="1622">
    <w:p w:rsidR="00BF2117" w:rsidRDefault="00BF2117" w:rsidP="00072E4B">
      <w:pPr>
        <w:pStyle w:val="FootnoteText"/>
        <w:ind w:left="90" w:hanging="90"/>
        <w:jc w:val="both"/>
        <w:rPr>
          <w:color w:val="FF0000"/>
          <w:sz w:val="16"/>
          <w:szCs w:val="16"/>
        </w:rPr>
      </w:pPr>
      <w:r w:rsidRPr="00D41075">
        <w:rPr>
          <w:rStyle w:val="FootnoteReference"/>
          <w:color w:val="FF0000"/>
          <w:sz w:val="16"/>
          <w:szCs w:val="16"/>
        </w:rPr>
        <w:footnoteRef/>
      </w:r>
      <w:r w:rsidRPr="00D41075">
        <w:rPr>
          <w:color w:val="FF0000"/>
          <w:sz w:val="16"/>
          <w:szCs w:val="16"/>
        </w:rPr>
        <w:t xml:space="preserve"> </w:t>
      </w:r>
      <w:r>
        <w:rPr>
          <w:color w:val="FF0000"/>
          <w:sz w:val="16"/>
          <w:szCs w:val="16"/>
        </w:rPr>
        <w:t xml:space="preserve">Substituted by the </w:t>
      </w:r>
      <w:r w:rsidRPr="00D41075">
        <w:rPr>
          <w:color w:val="FF0000"/>
          <w:sz w:val="16"/>
          <w:szCs w:val="16"/>
        </w:rPr>
        <w:t>Presidential Order No.F.2(1)/2016-Pub dated 31.07.2016</w:t>
      </w:r>
      <w:r>
        <w:rPr>
          <w:color w:val="FF0000"/>
          <w:sz w:val="16"/>
          <w:szCs w:val="16"/>
        </w:rPr>
        <w:t>. Substituted Table read as follows:-</w:t>
      </w:r>
    </w:p>
    <w:p w:rsidR="00BF2117" w:rsidRPr="00D41075" w:rsidRDefault="00BF2117" w:rsidP="00072E4B">
      <w:pPr>
        <w:pStyle w:val="FootnoteText"/>
        <w:ind w:left="90" w:hanging="90"/>
        <w:jc w:val="both"/>
        <w:rPr>
          <w:color w:val="FF0000"/>
          <w:sz w:val="16"/>
          <w:szCs w:val="16"/>
          <w:lang w:val="en-US"/>
        </w:rPr>
      </w:pPr>
      <w:r>
        <w:rPr>
          <w:color w:val="FF0000"/>
          <w:sz w:val="16"/>
          <w:szCs w:val="16"/>
        </w:rPr>
        <w:t xml:space="preserve"> </w:t>
      </w:r>
    </w:p>
    <w:tbl>
      <w:tblPr>
        <w:tblW w:w="65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0"/>
        <w:gridCol w:w="4140"/>
        <w:gridCol w:w="1300"/>
      </w:tblGrid>
      <w:tr w:rsidR="00BF2117" w:rsidRPr="00C979DC" w:rsidTr="00C979DC">
        <w:tc>
          <w:tcPr>
            <w:tcW w:w="1080" w:type="dxa"/>
          </w:tcPr>
          <w:p w:rsidR="00BF2117" w:rsidRPr="00C979DC" w:rsidRDefault="00BF2117" w:rsidP="0065180D">
            <w:pPr>
              <w:jc w:val="center"/>
              <w:rPr>
                <w:rFonts w:cs="Arial"/>
                <w:color w:val="0070C0"/>
                <w:sz w:val="16"/>
                <w:szCs w:val="16"/>
              </w:rPr>
            </w:pPr>
            <w:r w:rsidRPr="00C979DC">
              <w:rPr>
                <w:rStyle w:val="FootnoteReference"/>
                <w:rFonts w:cs="Arial"/>
                <w:color w:val="0070C0"/>
                <w:sz w:val="16"/>
                <w:szCs w:val="16"/>
              </w:rPr>
              <w:footnoteRef/>
            </w:r>
            <w:r w:rsidRPr="00C979DC">
              <w:rPr>
                <w:rFonts w:cs="Arial"/>
                <w:color w:val="0070C0"/>
                <w:sz w:val="16"/>
                <w:szCs w:val="16"/>
              </w:rPr>
              <w:t>[“S.No</w:t>
            </w:r>
          </w:p>
          <w:p w:rsidR="00BF2117" w:rsidRPr="00C979DC" w:rsidRDefault="00BF2117" w:rsidP="0065180D">
            <w:pPr>
              <w:jc w:val="center"/>
              <w:rPr>
                <w:rFonts w:cs="Arial"/>
                <w:color w:val="0070C0"/>
                <w:sz w:val="16"/>
                <w:szCs w:val="16"/>
              </w:rPr>
            </w:pPr>
            <w:r w:rsidRPr="00C979DC">
              <w:rPr>
                <w:rFonts w:cs="Arial"/>
                <w:color w:val="0070C0"/>
                <w:sz w:val="16"/>
                <w:szCs w:val="16"/>
              </w:rPr>
              <w:t>(1)</w:t>
            </w:r>
          </w:p>
        </w:tc>
        <w:tc>
          <w:tcPr>
            <w:tcW w:w="4140" w:type="dxa"/>
          </w:tcPr>
          <w:p w:rsidR="00BF2117" w:rsidRPr="00C979DC" w:rsidRDefault="00BF2117" w:rsidP="0065180D">
            <w:pPr>
              <w:jc w:val="center"/>
              <w:rPr>
                <w:rFonts w:cs="Arial"/>
                <w:color w:val="0070C0"/>
                <w:sz w:val="16"/>
                <w:szCs w:val="16"/>
              </w:rPr>
            </w:pPr>
            <w:r w:rsidRPr="00C979DC">
              <w:rPr>
                <w:rFonts w:cs="Arial"/>
                <w:color w:val="0070C0"/>
                <w:sz w:val="16"/>
                <w:szCs w:val="16"/>
              </w:rPr>
              <w:t>Period</w:t>
            </w:r>
          </w:p>
          <w:p w:rsidR="00BF2117" w:rsidRPr="00C979DC" w:rsidRDefault="00BF2117" w:rsidP="0065180D">
            <w:pPr>
              <w:jc w:val="center"/>
              <w:rPr>
                <w:rFonts w:cs="Arial"/>
                <w:color w:val="0070C0"/>
                <w:sz w:val="16"/>
                <w:szCs w:val="16"/>
              </w:rPr>
            </w:pPr>
            <w:r w:rsidRPr="00C979DC">
              <w:rPr>
                <w:rFonts w:cs="Arial"/>
                <w:color w:val="0070C0"/>
                <w:sz w:val="16"/>
                <w:szCs w:val="16"/>
              </w:rPr>
              <w:t>(2)</w:t>
            </w:r>
          </w:p>
        </w:tc>
        <w:tc>
          <w:tcPr>
            <w:tcW w:w="1300" w:type="dxa"/>
          </w:tcPr>
          <w:p w:rsidR="00BF2117" w:rsidRPr="00C979DC" w:rsidRDefault="00BF2117" w:rsidP="0065180D">
            <w:pPr>
              <w:jc w:val="center"/>
              <w:rPr>
                <w:rFonts w:cs="Arial"/>
                <w:color w:val="0070C0"/>
                <w:sz w:val="16"/>
                <w:szCs w:val="16"/>
              </w:rPr>
            </w:pPr>
            <w:r w:rsidRPr="00C979DC">
              <w:rPr>
                <w:rFonts w:cs="Arial"/>
                <w:color w:val="0070C0"/>
                <w:sz w:val="16"/>
                <w:szCs w:val="16"/>
              </w:rPr>
              <w:t>Rate of tax</w:t>
            </w:r>
            <w:r w:rsidRPr="00C979DC">
              <w:rPr>
                <w:rFonts w:cs="Arial"/>
                <w:color w:val="0070C0"/>
                <w:sz w:val="16"/>
                <w:szCs w:val="16"/>
              </w:rPr>
              <w:br/>
              <w:t>(3)</w:t>
            </w:r>
          </w:p>
        </w:tc>
      </w:tr>
      <w:tr w:rsidR="00BF2117" w:rsidRPr="00C979DC" w:rsidTr="00C979DC">
        <w:tc>
          <w:tcPr>
            <w:tcW w:w="1080" w:type="dxa"/>
          </w:tcPr>
          <w:p w:rsidR="00BF2117" w:rsidRPr="00C979DC" w:rsidRDefault="00BF2117" w:rsidP="0065180D">
            <w:pPr>
              <w:jc w:val="center"/>
              <w:rPr>
                <w:rFonts w:cs="Arial"/>
                <w:color w:val="0070C0"/>
                <w:sz w:val="16"/>
                <w:szCs w:val="16"/>
              </w:rPr>
            </w:pPr>
            <w:r w:rsidRPr="00C979DC">
              <w:rPr>
                <w:rFonts w:cs="Arial"/>
                <w:color w:val="0070C0"/>
                <w:sz w:val="16"/>
                <w:szCs w:val="16"/>
              </w:rPr>
              <w:t>1.</w:t>
            </w:r>
          </w:p>
        </w:tc>
        <w:tc>
          <w:tcPr>
            <w:tcW w:w="4140" w:type="dxa"/>
          </w:tcPr>
          <w:p w:rsidR="00BF2117" w:rsidRPr="00C979DC" w:rsidRDefault="00BF2117" w:rsidP="0065180D">
            <w:pPr>
              <w:jc w:val="both"/>
              <w:rPr>
                <w:rFonts w:cs="Arial"/>
                <w:color w:val="0070C0"/>
                <w:sz w:val="16"/>
                <w:szCs w:val="16"/>
              </w:rPr>
            </w:pPr>
            <w:r w:rsidRPr="00C979DC">
              <w:rPr>
                <w:rFonts w:cs="Arial"/>
                <w:color w:val="0070C0"/>
                <w:sz w:val="16"/>
                <w:szCs w:val="16"/>
              </w:rPr>
              <w:t xml:space="preserve">Where holding period of Immovable property is up to five years. </w:t>
            </w:r>
          </w:p>
        </w:tc>
        <w:tc>
          <w:tcPr>
            <w:tcW w:w="1300" w:type="dxa"/>
          </w:tcPr>
          <w:p w:rsidR="00BF2117" w:rsidRPr="00C979DC" w:rsidRDefault="00BF2117" w:rsidP="0065180D">
            <w:pPr>
              <w:jc w:val="center"/>
              <w:rPr>
                <w:rFonts w:cs="Arial"/>
                <w:color w:val="0070C0"/>
                <w:sz w:val="16"/>
                <w:szCs w:val="16"/>
              </w:rPr>
            </w:pPr>
            <w:r w:rsidRPr="00C979DC">
              <w:rPr>
                <w:rFonts w:cs="Arial"/>
                <w:color w:val="0070C0"/>
                <w:sz w:val="16"/>
                <w:szCs w:val="16"/>
              </w:rPr>
              <w:t>10%</w:t>
            </w:r>
          </w:p>
          <w:p w:rsidR="00BF2117" w:rsidRPr="00C979DC" w:rsidRDefault="00BF2117" w:rsidP="0065180D">
            <w:pPr>
              <w:jc w:val="center"/>
              <w:rPr>
                <w:rFonts w:cs="Arial"/>
                <w:color w:val="0070C0"/>
                <w:sz w:val="16"/>
                <w:szCs w:val="16"/>
              </w:rPr>
            </w:pPr>
          </w:p>
        </w:tc>
      </w:tr>
      <w:tr w:rsidR="00BF2117" w:rsidRPr="00C979DC" w:rsidTr="00C979DC">
        <w:tc>
          <w:tcPr>
            <w:tcW w:w="1080" w:type="dxa"/>
          </w:tcPr>
          <w:p w:rsidR="00BF2117" w:rsidRPr="00C979DC" w:rsidRDefault="00BF2117" w:rsidP="0065180D">
            <w:pPr>
              <w:jc w:val="center"/>
              <w:rPr>
                <w:rFonts w:cs="Arial"/>
                <w:color w:val="0070C0"/>
                <w:sz w:val="16"/>
                <w:szCs w:val="16"/>
              </w:rPr>
            </w:pPr>
            <w:r w:rsidRPr="00C979DC">
              <w:rPr>
                <w:rFonts w:cs="Arial"/>
                <w:color w:val="0070C0"/>
                <w:sz w:val="16"/>
                <w:szCs w:val="16"/>
              </w:rPr>
              <w:t>2.</w:t>
            </w:r>
          </w:p>
        </w:tc>
        <w:tc>
          <w:tcPr>
            <w:tcW w:w="4140" w:type="dxa"/>
          </w:tcPr>
          <w:p w:rsidR="00BF2117" w:rsidRPr="00C979DC" w:rsidRDefault="00BF2117" w:rsidP="00DE4045">
            <w:pPr>
              <w:jc w:val="both"/>
              <w:rPr>
                <w:rFonts w:cs="Arial"/>
                <w:color w:val="0070C0"/>
                <w:sz w:val="16"/>
                <w:szCs w:val="16"/>
              </w:rPr>
            </w:pPr>
            <w:r w:rsidRPr="00C979DC">
              <w:rPr>
                <w:rFonts w:cs="Arial"/>
                <w:color w:val="0070C0"/>
                <w:sz w:val="16"/>
                <w:szCs w:val="16"/>
              </w:rPr>
              <w:t>Where holding period of</w:t>
            </w:r>
            <w:r>
              <w:rPr>
                <w:rFonts w:cs="Arial"/>
                <w:color w:val="0070C0"/>
                <w:sz w:val="16"/>
                <w:szCs w:val="16"/>
              </w:rPr>
              <w:t xml:space="preserve"> </w:t>
            </w:r>
            <w:r w:rsidRPr="00C979DC">
              <w:rPr>
                <w:rFonts w:cs="Arial"/>
                <w:color w:val="0070C0"/>
                <w:sz w:val="16"/>
                <w:szCs w:val="16"/>
              </w:rPr>
              <w:t>immovable property is more  than five years.</w:t>
            </w:r>
          </w:p>
        </w:tc>
        <w:tc>
          <w:tcPr>
            <w:tcW w:w="1300" w:type="dxa"/>
          </w:tcPr>
          <w:p w:rsidR="00BF2117" w:rsidRPr="00C979DC" w:rsidRDefault="00BF2117" w:rsidP="0065180D">
            <w:pPr>
              <w:jc w:val="center"/>
              <w:rPr>
                <w:rFonts w:cs="Arial"/>
                <w:color w:val="0070C0"/>
                <w:sz w:val="16"/>
                <w:szCs w:val="16"/>
              </w:rPr>
            </w:pPr>
            <w:r w:rsidRPr="00C979DC">
              <w:rPr>
                <w:rFonts w:cs="Arial"/>
                <w:color w:val="0070C0"/>
                <w:sz w:val="16"/>
                <w:szCs w:val="16"/>
              </w:rPr>
              <w:t>0%</w:t>
            </w:r>
          </w:p>
        </w:tc>
      </w:tr>
    </w:tbl>
    <w:p w:rsidR="00BF2117" w:rsidRPr="00D41075" w:rsidRDefault="00BF2117" w:rsidP="00072E4B">
      <w:pPr>
        <w:pStyle w:val="FootnoteText"/>
        <w:ind w:left="90" w:hanging="90"/>
        <w:jc w:val="both"/>
        <w:rPr>
          <w:color w:val="FF0000"/>
          <w:sz w:val="16"/>
          <w:szCs w:val="16"/>
          <w:lang w:val="en-US"/>
        </w:rPr>
      </w:pPr>
    </w:p>
  </w:footnote>
  <w:footnote w:id="1623">
    <w:p w:rsidR="00BF2117" w:rsidRPr="00DE4045" w:rsidRDefault="00BF2117">
      <w:pPr>
        <w:pStyle w:val="FootnoteText"/>
        <w:rPr>
          <w:color w:val="FF0000"/>
          <w:lang w:val="en-US"/>
        </w:rPr>
      </w:pPr>
      <w:r w:rsidRPr="00DE4045">
        <w:rPr>
          <w:rStyle w:val="FootnoteReference"/>
          <w:color w:val="FF0000"/>
        </w:rPr>
        <w:footnoteRef/>
      </w:r>
      <w:r w:rsidRPr="00DE4045">
        <w:rPr>
          <w:color w:val="FF0000"/>
        </w:rPr>
        <w:t xml:space="preserve"> </w:t>
      </w:r>
      <w:r>
        <w:rPr>
          <w:color w:val="FF0000"/>
          <w:sz w:val="16"/>
          <w:szCs w:val="16"/>
        </w:rPr>
        <w:t xml:space="preserve">Substituted by the </w:t>
      </w:r>
      <w:r w:rsidRPr="00D41075">
        <w:rPr>
          <w:color w:val="FF0000"/>
          <w:sz w:val="16"/>
          <w:szCs w:val="16"/>
        </w:rPr>
        <w:t>Presidential Order No.F.2(1)/2016-Pub dated 31.07.2016</w:t>
      </w:r>
      <w:r>
        <w:rPr>
          <w:color w:val="FF0000"/>
          <w:sz w:val="16"/>
          <w:szCs w:val="16"/>
        </w:rPr>
        <w:t>.</w:t>
      </w:r>
    </w:p>
  </w:footnote>
  <w:footnote w:id="1624">
    <w:p w:rsidR="00BF2117" w:rsidRDefault="00BF2117">
      <w:pPr>
        <w:pStyle w:val="FootnoteText"/>
        <w:rPr>
          <w:color w:val="0070C0"/>
          <w:sz w:val="16"/>
          <w:szCs w:val="16"/>
        </w:rPr>
      </w:pPr>
      <w:r w:rsidRPr="0009763F">
        <w:rPr>
          <w:rStyle w:val="FootnoteReference"/>
          <w:color w:val="0070C0"/>
          <w:sz w:val="16"/>
          <w:szCs w:val="16"/>
        </w:rPr>
        <w:footnoteRef/>
      </w:r>
      <w:r w:rsidRPr="0009763F">
        <w:rPr>
          <w:color w:val="0070C0"/>
          <w:sz w:val="16"/>
          <w:szCs w:val="16"/>
        </w:rPr>
        <w:t xml:space="preserve"> Inserted by the Finance Act, 2016.</w:t>
      </w:r>
    </w:p>
    <w:p w:rsidR="00BF2117" w:rsidRPr="0009763F" w:rsidRDefault="00BF2117">
      <w:pPr>
        <w:pStyle w:val="FootnoteText"/>
        <w:rPr>
          <w:color w:val="0070C0"/>
          <w:sz w:val="16"/>
          <w:szCs w:val="16"/>
          <w:lang w:val="en-US"/>
        </w:rPr>
      </w:pPr>
    </w:p>
  </w:footnote>
  <w:footnote w:id="1625">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Inserted by the Finance Act, 2016. </w:t>
      </w:r>
    </w:p>
  </w:footnote>
  <w:footnote w:id="1626">
    <w:p w:rsidR="00BF2117" w:rsidRPr="005D4C10" w:rsidRDefault="00BF2117" w:rsidP="00AA4BF8">
      <w:pPr>
        <w:pStyle w:val="FootnoteText"/>
        <w:rPr>
          <w:color w:val="000000" w:themeColor="text1"/>
        </w:rPr>
      </w:pPr>
      <w:r w:rsidRPr="005D4C10">
        <w:rPr>
          <w:rStyle w:val="FootnoteReference"/>
          <w:rFonts w:cs="Arial"/>
          <w:color w:val="000000" w:themeColor="text1"/>
          <w:sz w:val="16"/>
          <w:szCs w:val="16"/>
        </w:rPr>
        <w:footnoteRef/>
      </w:r>
      <w:r w:rsidRPr="005D4C10">
        <w:rPr>
          <w:color w:val="000000" w:themeColor="text1"/>
          <w:sz w:val="16"/>
          <w:szCs w:val="16"/>
        </w:rPr>
        <w:t xml:space="preserve"> Division IX added by the Finance Act, 2014..</w:t>
      </w:r>
    </w:p>
  </w:footnote>
  <w:footnote w:id="1627">
    <w:p w:rsidR="00BF2117" w:rsidRPr="006D1437" w:rsidRDefault="00BF2117">
      <w:pPr>
        <w:pStyle w:val="FootnoteText"/>
        <w:rPr>
          <w:sz w:val="16"/>
          <w:szCs w:val="16"/>
          <w:lang w:val="en-US"/>
        </w:rPr>
      </w:pPr>
      <w:r w:rsidRPr="006D1437">
        <w:rPr>
          <w:rStyle w:val="FootnoteReference"/>
          <w:sz w:val="16"/>
          <w:szCs w:val="16"/>
        </w:rPr>
        <w:footnoteRef/>
      </w:r>
      <w:r>
        <w:rPr>
          <w:sz w:val="16"/>
          <w:szCs w:val="16"/>
        </w:rPr>
        <w:t>Inserted by the Finance Act, 2015.</w:t>
      </w:r>
    </w:p>
  </w:footnote>
  <w:footnote w:id="1628">
    <w:p w:rsidR="00BF2117" w:rsidRPr="0022563B" w:rsidRDefault="00BF2117">
      <w:pPr>
        <w:pStyle w:val="FootnoteText"/>
        <w:rPr>
          <w:sz w:val="16"/>
          <w:szCs w:val="16"/>
          <w:lang w:val="en-US"/>
        </w:rPr>
      </w:pPr>
      <w:r w:rsidRPr="0022563B">
        <w:rPr>
          <w:rStyle w:val="FootnoteReference"/>
          <w:sz w:val="16"/>
          <w:szCs w:val="16"/>
        </w:rPr>
        <w:footnoteRef/>
      </w:r>
      <w:r w:rsidRPr="0022563B">
        <w:rPr>
          <w:sz w:val="16"/>
          <w:szCs w:val="16"/>
        </w:rPr>
        <w:t xml:space="preserve"> The word “</w:t>
      </w:r>
      <w:r w:rsidRPr="0022563B">
        <w:rPr>
          <w:color w:val="000000" w:themeColor="text1"/>
          <w:sz w:val="16"/>
          <w:szCs w:val="16"/>
        </w:rPr>
        <w:t>consumer goods including” omitted by the Finance Act, 2015.</w:t>
      </w:r>
    </w:p>
  </w:footnote>
  <w:footnote w:id="1629">
    <w:p w:rsidR="00BF2117" w:rsidRPr="0022563B" w:rsidRDefault="00BF2117">
      <w:pPr>
        <w:pStyle w:val="FootnoteText"/>
        <w:rPr>
          <w:lang w:val="en-US"/>
        </w:rPr>
      </w:pPr>
      <w:r>
        <w:rPr>
          <w:rStyle w:val="FootnoteReference"/>
        </w:rPr>
        <w:footnoteRef/>
      </w:r>
      <w:r w:rsidRPr="0022563B">
        <w:rPr>
          <w:sz w:val="16"/>
          <w:szCs w:val="16"/>
        </w:rPr>
        <w:t xml:space="preserve">The word </w:t>
      </w:r>
      <w:r w:rsidRPr="0022563B">
        <w:rPr>
          <w:color w:val="000000" w:themeColor="text1"/>
          <w:sz w:val="16"/>
          <w:szCs w:val="16"/>
        </w:rPr>
        <w:t>“fertilizers</w:t>
      </w:r>
      <w:r w:rsidRPr="0022563B">
        <w:rPr>
          <w:color w:val="984806" w:themeColor="accent6" w:themeShade="80"/>
          <w:sz w:val="16"/>
          <w:szCs w:val="16"/>
        </w:rPr>
        <w:t>”</w:t>
      </w:r>
      <w:r w:rsidRPr="0022563B">
        <w:rPr>
          <w:color w:val="000000" w:themeColor="text1"/>
          <w:sz w:val="16"/>
          <w:szCs w:val="16"/>
        </w:rPr>
        <w:t xml:space="preserve"> omitted by the Finance Act, 2015</w:t>
      </w:r>
    </w:p>
  </w:footnote>
  <w:footnote w:id="1630">
    <w:p w:rsidR="00BF2117" w:rsidRPr="0058455F" w:rsidRDefault="00BF2117" w:rsidP="006B1955">
      <w:pPr>
        <w:pStyle w:val="Heading2"/>
        <w:spacing w:line="240" w:lineRule="auto"/>
        <w:ind w:left="3600" w:hanging="3690"/>
        <w:jc w:val="left"/>
        <w:rPr>
          <w:b w:val="0"/>
          <w:color w:val="000000" w:themeColor="text1"/>
          <w:sz w:val="16"/>
          <w:szCs w:val="16"/>
        </w:rPr>
      </w:pPr>
      <w:r w:rsidRPr="0058455F">
        <w:rPr>
          <w:rStyle w:val="FootnoteReference"/>
          <w:b w:val="0"/>
          <w:sz w:val="16"/>
          <w:szCs w:val="16"/>
        </w:rPr>
        <w:footnoteRef/>
      </w:r>
      <w:r w:rsidRPr="0058455F">
        <w:rPr>
          <w:b w:val="0"/>
          <w:sz w:val="16"/>
          <w:szCs w:val="16"/>
          <w:lang w:val="en-US"/>
        </w:rPr>
        <w:t>Part II substituted by the Finance Act, 2015. Substituted Part II read as follows:-</w:t>
      </w:r>
    </w:p>
    <w:p w:rsidR="00BF2117" w:rsidRPr="00410309" w:rsidRDefault="00BF2117" w:rsidP="006B1955">
      <w:pPr>
        <w:pStyle w:val="Heading2"/>
        <w:spacing w:line="240" w:lineRule="auto"/>
        <w:ind w:left="3600"/>
        <w:jc w:val="left"/>
        <w:rPr>
          <w:color w:val="000000" w:themeColor="text1"/>
          <w:sz w:val="16"/>
          <w:szCs w:val="16"/>
        </w:rPr>
      </w:pPr>
      <w:r w:rsidRPr="00410309">
        <w:rPr>
          <w:color w:val="000000" w:themeColor="text1"/>
          <w:sz w:val="16"/>
          <w:szCs w:val="16"/>
        </w:rPr>
        <w:t>[PART II</w:t>
      </w:r>
    </w:p>
    <w:p w:rsidR="00BF2117" w:rsidRPr="00410309" w:rsidRDefault="00BF2117" w:rsidP="006B1955">
      <w:pPr>
        <w:pStyle w:val="Heading2"/>
        <w:spacing w:line="240" w:lineRule="auto"/>
        <w:ind w:left="2880"/>
        <w:jc w:val="left"/>
        <w:rPr>
          <w:color w:val="000000" w:themeColor="text1"/>
          <w:sz w:val="16"/>
          <w:szCs w:val="16"/>
        </w:rPr>
      </w:pPr>
      <w:r w:rsidRPr="00410309">
        <w:rPr>
          <w:color w:val="000000" w:themeColor="text1"/>
          <w:sz w:val="16"/>
          <w:szCs w:val="16"/>
        </w:rPr>
        <w:t>RATES OF ADVANCE TAX</w:t>
      </w:r>
    </w:p>
    <w:p w:rsidR="00BF2117" w:rsidRPr="00410309" w:rsidRDefault="00BF2117" w:rsidP="006B1955">
      <w:pPr>
        <w:pStyle w:val="Heading2"/>
        <w:spacing w:line="240" w:lineRule="auto"/>
        <w:ind w:left="2430"/>
        <w:jc w:val="left"/>
        <w:rPr>
          <w:b w:val="0"/>
          <w:bCs/>
          <w:color w:val="000000" w:themeColor="text1"/>
          <w:sz w:val="16"/>
          <w:szCs w:val="16"/>
        </w:rPr>
      </w:pPr>
      <w:r w:rsidRPr="00410309">
        <w:rPr>
          <w:b w:val="0"/>
          <w:color w:val="000000" w:themeColor="text1"/>
          <w:sz w:val="16"/>
          <w:szCs w:val="16"/>
        </w:rPr>
        <w:t>[See Division II of Part V of Chapter X]</w:t>
      </w:r>
    </w:p>
    <w:p w:rsidR="00BF2117" w:rsidRPr="00410309" w:rsidRDefault="00BF2117" w:rsidP="0058455F">
      <w:pPr>
        <w:jc w:val="both"/>
        <w:rPr>
          <w:color w:val="000000" w:themeColor="text1"/>
          <w:sz w:val="16"/>
          <w:szCs w:val="16"/>
        </w:rPr>
      </w:pPr>
      <w:r w:rsidRPr="00410309">
        <w:rPr>
          <w:color w:val="000000" w:themeColor="text1"/>
          <w:sz w:val="16"/>
          <w:szCs w:val="16"/>
        </w:rPr>
        <w:t xml:space="preserve">The rate of advance tax to be collected by the Collector of Customs under section 148 shall be- </w:t>
      </w:r>
    </w:p>
    <w:tbl>
      <w:tblPr>
        <w:tblW w:w="76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0"/>
        <w:gridCol w:w="4156"/>
        <w:gridCol w:w="2504"/>
      </w:tblGrid>
      <w:tr w:rsidR="00BF2117" w:rsidRPr="00410309" w:rsidTr="00472DD2">
        <w:tc>
          <w:tcPr>
            <w:tcW w:w="990" w:type="dxa"/>
          </w:tcPr>
          <w:p w:rsidR="00BF2117" w:rsidRPr="00410309" w:rsidRDefault="00BF2117" w:rsidP="00472DD2">
            <w:pPr>
              <w:jc w:val="center"/>
              <w:rPr>
                <w:color w:val="000000" w:themeColor="text1"/>
                <w:sz w:val="16"/>
                <w:szCs w:val="16"/>
              </w:rPr>
            </w:pPr>
            <w:r w:rsidRPr="00410309">
              <w:rPr>
                <w:color w:val="000000" w:themeColor="text1"/>
                <w:sz w:val="16"/>
                <w:szCs w:val="16"/>
              </w:rPr>
              <w:t>S.No</w:t>
            </w:r>
          </w:p>
        </w:tc>
        <w:tc>
          <w:tcPr>
            <w:tcW w:w="4156" w:type="dxa"/>
          </w:tcPr>
          <w:p w:rsidR="00BF2117" w:rsidRPr="00410309" w:rsidRDefault="00BF2117" w:rsidP="00472DD2">
            <w:pPr>
              <w:jc w:val="center"/>
              <w:rPr>
                <w:color w:val="000000" w:themeColor="text1"/>
                <w:sz w:val="16"/>
                <w:szCs w:val="16"/>
              </w:rPr>
            </w:pPr>
            <w:r w:rsidRPr="00410309">
              <w:rPr>
                <w:color w:val="000000" w:themeColor="text1"/>
                <w:sz w:val="16"/>
                <w:szCs w:val="16"/>
              </w:rPr>
              <w:t>Persons</w:t>
            </w:r>
          </w:p>
        </w:tc>
        <w:tc>
          <w:tcPr>
            <w:tcW w:w="2504" w:type="dxa"/>
          </w:tcPr>
          <w:p w:rsidR="00BF2117" w:rsidRPr="00410309" w:rsidRDefault="00BF2117" w:rsidP="00472DD2">
            <w:pPr>
              <w:jc w:val="center"/>
              <w:rPr>
                <w:color w:val="000000" w:themeColor="text1"/>
                <w:sz w:val="16"/>
                <w:szCs w:val="16"/>
              </w:rPr>
            </w:pPr>
            <w:r w:rsidRPr="00410309">
              <w:rPr>
                <w:color w:val="000000" w:themeColor="text1"/>
                <w:sz w:val="16"/>
                <w:szCs w:val="16"/>
              </w:rPr>
              <w:t>Rate</w:t>
            </w:r>
          </w:p>
        </w:tc>
      </w:tr>
      <w:tr w:rsidR="00BF2117" w:rsidRPr="00410309" w:rsidTr="00472DD2">
        <w:tc>
          <w:tcPr>
            <w:tcW w:w="990" w:type="dxa"/>
          </w:tcPr>
          <w:p w:rsidR="00BF2117" w:rsidRPr="00410309" w:rsidRDefault="00BF2117" w:rsidP="00472DD2">
            <w:pPr>
              <w:jc w:val="center"/>
              <w:rPr>
                <w:color w:val="000000" w:themeColor="text1"/>
                <w:sz w:val="16"/>
                <w:szCs w:val="16"/>
              </w:rPr>
            </w:pPr>
            <w:r w:rsidRPr="00410309">
              <w:rPr>
                <w:color w:val="000000" w:themeColor="text1"/>
                <w:sz w:val="16"/>
                <w:szCs w:val="16"/>
              </w:rPr>
              <w:t>(1)</w:t>
            </w:r>
          </w:p>
        </w:tc>
        <w:tc>
          <w:tcPr>
            <w:tcW w:w="4156" w:type="dxa"/>
          </w:tcPr>
          <w:p w:rsidR="00BF2117" w:rsidRPr="00410309" w:rsidRDefault="00BF2117" w:rsidP="00472DD2">
            <w:pPr>
              <w:jc w:val="center"/>
              <w:rPr>
                <w:color w:val="000000" w:themeColor="text1"/>
                <w:sz w:val="16"/>
                <w:szCs w:val="16"/>
              </w:rPr>
            </w:pPr>
            <w:r w:rsidRPr="00410309">
              <w:rPr>
                <w:color w:val="000000" w:themeColor="text1"/>
                <w:sz w:val="16"/>
                <w:szCs w:val="16"/>
              </w:rPr>
              <w:t>(2)</w:t>
            </w:r>
          </w:p>
        </w:tc>
        <w:tc>
          <w:tcPr>
            <w:tcW w:w="2504" w:type="dxa"/>
          </w:tcPr>
          <w:p w:rsidR="00BF2117" w:rsidRPr="00410309" w:rsidRDefault="00BF2117" w:rsidP="00472DD2">
            <w:pPr>
              <w:jc w:val="center"/>
              <w:rPr>
                <w:color w:val="000000" w:themeColor="text1"/>
                <w:sz w:val="16"/>
                <w:szCs w:val="16"/>
              </w:rPr>
            </w:pPr>
            <w:r w:rsidRPr="00410309">
              <w:rPr>
                <w:color w:val="000000" w:themeColor="text1"/>
                <w:sz w:val="16"/>
                <w:szCs w:val="16"/>
              </w:rPr>
              <w:t>(3)</w:t>
            </w:r>
          </w:p>
        </w:tc>
      </w:tr>
      <w:tr w:rsidR="00BF2117" w:rsidRPr="00410309" w:rsidTr="00472DD2">
        <w:tc>
          <w:tcPr>
            <w:tcW w:w="990" w:type="dxa"/>
          </w:tcPr>
          <w:p w:rsidR="00BF2117" w:rsidRPr="00410309" w:rsidRDefault="00BF2117" w:rsidP="00472DD2">
            <w:pPr>
              <w:jc w:val="center"/>
              <w:rPr>
                <w:color w:val="000000" w:themeColor="text1"/>
                <w:sz w:val="16"/>
                <w:szCs w:val="16"/>
              </w:rPr>
            </w:pPr>
            <w:r w:rsidRPr="00410309">
              <w:rPr>
                <w:color w:val="000000" w:themeColor="text1"/>
                <w:sz w:val="16"/>
                <w:szCs w:val="16"/>
              </w:rPr>
              <w:t>1.</w:t>
            </w:r>
          </w:p>
        </w:tc>
        <w:tc>
          <w:tcPr>
            <w:tcW w:w="4156" w:type="dxa"/>
          </w:tcPr>
          <w:p w:rsidR="00BF2117" w:rsidRPr="00410309" w:rsidRDefault="00BF2117" w:rsidP="006B1955">
            <w:pPr>
              <w:pStyle w:val="ListParagraph"/>
              <w:numPr>
                <w:ilvl w:val="0"/>
                <w:numId w:val="44"/>
              </w:numPr>
              <w:jc w:val="both"/>
              <w:rPr>
                <w:color w:val="000000" w:themeColor="text1"/>
                <w:sz w:val="16"/>
                <w:szCs w:val="16"/>
              </w:rPr>
            </w:pPr>
            <w:r w:rsidRPr="00410309">
              <w:rPr>
                <w:color w:val="000000" w:themeColor="text1"/>
                <w:sz w:val="16"/>
                <w:szCs w:val="16"/>
              </w:rPr>
              <w:t>Industrial undertaking importing</w:t>
            </w:r>
            <w:r>
              <w:rPr>
                <w:color w:val="000000" w:themeColor="text1"/>
                <w:sz w:val="16"/>
                <w:szCs w:val="16"/>
              </w:rPr>
              <w:t xml:space="preserve"> </w:t>
            </w:r>
            <w:r w:rsidRPr="00410309">
              <w:rPr>
                <w:color w:val="000000" w:themeColor="text1"/>
                <w:sz w:val="16"/>
                <w:szCs w:val="16"/>
              </w:rPr>
              <w:t>remeltable</w:t>
            </w:r>
            <w:r>
              <w:rPr>
                <w:color w:val="000000" w:themeColor="text1"/>
                <w:sz w:val="16"/>
                <w:szCs w:val="16"/>
              </w:rPr>
              <w:t xml:space="preserve"> </w:t>
            </w:r>
            <w:r w:rsidRPr="00410309">
              <w:rPr>
                <w:color w:val="000000" w:themeColor="text1"/>
                <w:sz w:val="16"/>
                <w:szCs w:val="16"/>
              </w:rPr>
              <w:t xml:space="preserve">steel (PCT Heading 72.04) and directly reduced iron for its own use; </w:t>
            </w:r>
          </w:p>
          <w:p w:rsidR="00BF2117" w:rsidRPr="00410309" w:rsidRDefault="00BF2117" w:rsidP="006B1955">
            <w:pPr>
              <w:pStyle w:val="ListParagraph"/>
              <w:numPr>
                <w:ilvl w:val="0"/>
                <w:numId w:val="44"/>
              </w:numPr>
              <w:jc w:val="both"/>
              <w:rPr>
                <w:color w:val="000000" w:themeColor="text1"/>
                <w:sz w:val="16"/>
                <w:szCs w:val="16"/>
              </w:rPr>
            </w:pPr>
            <w:r w:rsidRPr="00410309">
              <w:rPr>
                <w:color w:val="000000" w:themeColor="text1"/>
                <w:sz w:val="16"/>
                <w:szCs w:val="16"/>
              </w:rPr>
              <w:t>Persons importing potassic fertilizers in pursuance of Economic Coordination Committee of the cabinet’s decision No.ECC-155/12/2004 dated the 9</w:t>
            </w:r>
            <w:r w:rsidRPr="00410309">
              <w:rPr>
                <w:color w:val="000000" w:themeColor="text1"/>
                <w:sz w:val="16"/>
                <w:szCs w:val="16"/>
                <w:vertAlign w:val="superscript"/>
              </w:rPr>
              <w:t>th</w:t>
            </w:r>
            <w:r w:rsidRPr="00410309">
              <w:rPr>
                <w:color w:val="000000" w:themeColor="text1"/>
                <w:sz w:val="16"/>
                <w:szCs w:val="16"/>
              </w:rPr>
              <w:t xml:space="preserve">  December, 2004; </w:t>
            </w:r>
          </w:p>
          <w:p w:rsidR="00BF2117" w:rsidRPr="00410309" w:rsidRDefault="00BF2117" w:rsidP="006B1955">
            <w:pPr>
              <w:pStyle w:val="ListParagraph"/>
              <w:numPr>
                <w:ilvl w:val="0"/>
                <w:numId w:val="44"/>
              </w:numPr>
              <w:jc w:val="both"/>
              <w:rPr>
                <w:color w:val="000000" w:themeColor="text1"/>
                <w:sz w:val="16"/>
                <w:szCs w:val="16"/>
              </w:rPr>
            </w:pPr>
            <w:r w:rsidRPr="00410309">
              <w:rPr>
                <w:color w:val="000000" w:themeColor="text1"/>
                <w:sz w:val="16"/>
                <w:szCs w:val="16"/>
              </w:rPr>
              <w:t xml:space="preserve">Persons importing urea; and </w:t>
            </w:r>
          </w:p>
          <w:p w:rsidR="00BF2117" w:rsidRPr="00410309" w:rsidRDefault="00BF2117" w:rsidP="006B1955">
            <w:pPr>
              <w:pStyle w:val="ListParagraph"/>
              <w:numPr>
                <w:ilvl w:val="0"/>
                <w:numId w:val="44"/>
              </w:numPr>
              <w:jc w:val="both"/>
              <w:rPr>
                <w:color w:val="000000" w:themeColor="text1"/>
                <w:sz w:val="16"/>
                <w:szCs w:val="16"/>
              </w:rPr>
            </w:pPr>
            <w:r w:rsidRPr="00410309">
              <w:rPr>
                <w:color w:val="000000" w:themeColor="text1"/>
                <w:sz w:val="16"/>
                <w:szCs w:val="16"/>
              </w:rPr>
              <w:t xml:space="preserve">Manufacturers covered under Notification No. S.R.O. 1125(I)/2011 dated the 31st December, 2011 </w:t>
            </w:r>
          </w:p>
        </w:tc>
        <w:tc>
          <w:tcPr>
            <w:tcW w:w="2504" w:type="dxa"/>
          </w:tcPr>
          <w:p w:rsidR="00BF2117" w:rsidRPr="00410309" w:rsidRDefault="00BF2117" w:rsidP="00472DD2">
            <w:pPr>
              <w:jc w:val="center"/>
              <w:rPr>
                <w:color w:val="000000" w:themeColor="text1"/>
                <w:sz w:val="16"/>
                <w:szCs w:val="16"/>
              </w:rPr>
            </w:pPr>
            <w:r w:rsidRPr="00410309">
              <w:rPr>
                <w:color w:val="000000" w:themeColor="text1"/>
                <w:sz w:val="16"/>
                <w:szCs w:val="16"/>
              </w:rPr>
              <w:t>1% of the import value as increased by customs-duty, sales tax and federal excise duty</w:t>
            </w:r>
          </w:p>
        </w:tc>
      </w:tr>
      <w:tr w:rsidR="00BF2117" w:rsidRPr="00410309" w:rsidTr="00472DD2">
        <w:tc>
          <w:tcPr>
            <w:tcW w:w="990" w:type="dxa"/>
          </w:tcPr>
          <w:p w:rsidR="00BF2117" w:rsidRPr="00410309" w:rsidRDefault="00BF2117" w:rsidP="00472DD2">
            <w:pPr>
              <w:jc w:val="center"/>
              <w:rPr>
                <w:color w:val="000000" w:themeColor="text1"/>
                <w:sz w:val="16"/>
                <w:szCs w:val="16"/>
              </w:rPr>
            </w:pPr>
            <w:r w:rsidRPr="00410309">
              <w:rPr>
                <w:color w:val="000000" w:themeColor="text1"/>
                <w:sz w:val="16"/>
                <w:szCs w:val="16"/>
              </w:rPr>
              <w:t>2.</w:t>
            </w:r>
          </w:p>
        </w:tc>
        <w:tc>
          <w:tcPr>
            <w:tcW w:w="4156" w:type="dxa"/>
          </w:tcPr>
          <w:p w:rsidR="00BF2117" w:rsidRPr="00410309" w:rsidRDefault="00BF2117" w:rsidP="00472DD2">
            <w:pPr>
              <w:jc w:val="both"/>
              <w:rPr>
                <w:color w:val="000000" w:themeColor="text1"/>
                <w:sz w:val="16"/>
                <w:szCs w:val="16"/>
              </w:rPr>
            </w:pPr>
            <w:r w:rsidRPr="00410309">
              <w:rPr>
                <w:color w:val="000000" w:themeColor="text1"/>
                <w:sz w:val="16"/>
                <w:szCs w:val="16"/>
              </w:rPr>
              <w:t>Persons importing pulses</w:t>
            </w:r>
          </w:p>
        </w:tc>
        <w:tc>
          <w:tcPr>
            <w:tcW w:w="2504" w:type="dxa"/>
          </w:tcPr>
          <w:p w:rsidR="00BF2117" w:rsidRPr="00410309" w:rsidRDefault="00BF2117" w:rsidP="00472DD2">
            <w:pPr>
              <w:jc w:val="center"/>
              <w:rPr>
                <w:color w:val="000000" w:themeColor="text1"/>
                <w:sz w:val="16"/>
                <w:szCs w:val="16"/>
              </w:rPr>
            </w:pPr>
            <w:r w:rsidRPr="00410309">
              <w:rPr>
                <w:color w:val="000000" w:themeColor="text1"/>
                <w:sz w:val="16"/>
                <w:szCs w:val="16"/>
              </w:rPr>
              <w:t>2% of the import value as increased by customs-duty, sales tax and federal excise duty</w:t>
            </w:r>
          </w:p>
        </w:tc>
      </w:tr>
      <w:tr w:rsidR="00BF2117" w:rsidRPr="00410309" w:rsidTr="00472DD2">
        <w:tc>
          <w:tcPr>
            <w:tcW w:w="990" w:type="dxa"/>
          </w:tcPr>
          <w:p w:rsidR="00BF2117" w:rsidRPr="00410309" w:rsidRDefault="00BF2117" w:rsidP="00472DD2">
            <w:pPr>
              <w:jc w:val="center"/>
              <w:rPr>
                <w:color w:val="000000" w:themeColor="text1"/>
                <w:sz w:val="16"/>
                <w:szCs w:val="16"/>
              </w:rPr>
            </w:pPr>
            <w:r w:rsidRPr="00410309">
              <w:rPr>
                <w:color w:val="000000" w:themeColor="text1"/>
                <w:sz w:val="16"/>
                <w:szCs w:val="16"/>
              </w:rPr>
              <w:t>3.</w:t>
            </w:r>
          </w:p>
        </w:tc>
        <w:tc>
          <w:tcPr>
            <w:tcW w:w="4156" w:type="dxa"/>
          </w:tcPr>
          <w:p w:rsidR="00BF2117" w:rsidRPr="00410309" w:rsidRDefault="00BF2117" w:rsidP="00472DD2">
            <w:pPr>
              <w:jc w:val="both"/>
              <w:rPr>
                <w:color w:val="000000" w:themeColor="text1"/>
                <w:sz w:val="16"/>
                <w:szCs w:val="16"/>
              </w:rPr>
            </w:pPr>
            <w:r w:rsidRPr="00410309">
              <w:rPr>
                <w:color w:val="000000" w:themeColor="text1"/>
                <w:sz w:val="16"/>
                <w:szCs w:val="16"/>
              </w:rPr>
              <w:t xml:space="preserve">Commercial importers covered under Notification No. </w:t>
            </w:r>
          </w:p>
          <w:p w:rsidR="00BF2117" w:rsidRPr="00410309" w:rsidRDefault="00BF2117" w:rsidP="00472DD2">
            <w:pPr>
              <w:jc w:val="both"/>
              <w:rPr>
                <w:color w:val="000000" w:themeColor="text1"/>
                <w:sz w:val="16"/>
                <w:szCs w:val="16"/>
              </w:rPr>
            </w:pPr>
            <w:r w:rsidRPr="00410309">
              <w:rPr>
                <w:color w:val="000000" w:themeColor="text1"/>
                <w:sz w:val="16"/>
                <w:szCs w:val="16"/>
              </w:rPr>
              <w:t>S.R.O. 1125(I)/2011 dated the 31st</w:t>
            </w:r>
          </w:p>
          <w:p w:rsidR="00BF2117" w:rsidRPr="00410309" w:rsidRDefault="00BF2117" w:rsidP="00472DD2">
            <w:pPr>
              <w:jc w:val="both"/>
              <w:rPr>
                <w:color w:val="000000" w:themeColor="text1"/>
                <w:sz w:val="16"/>
                <w:szCs w:val="16"/>
              </w:rPr>
            </w:pPr>
            <w:r w:rsidRPr="00410309">
              <w:rPr>
                <w:color w:val="000000" w:themeColor="text1"/>
                <w:sz w:val="16"/>
                <w:szCs w:val="16"/>
              </w:rPr>
              <w:t xml:space="preserve"> December, 2011. </w:t>
            </w:r>
          </w:p>
        </w:tc>
        <w:tc>
          <w:tcPr>
            <w:tcW w:w="2504" w:type="dxa"/>
          </w:tcPr>
          <w:p w:rsidR="00BF2117" w:rsidRPr="00410309" w:rsidRDefault="00BF2117" w:rsidP="00472DD2">
            <w:pPr>
              <w:jc w:val="center"/>
              <w:rPr>
                <w:color w:val="000000" w:themeColor="text1"/>
                <w:sz w:val="16"/>
                <w:szCs w:val="16"/>
              </w:rPr>
            </w:pPr>
            <w:r w:rsidRPr="00410309">
              <w:rPr>
                <w:color w:val="000000" w:themeColor="text1"/>
                <w:sz w:val="16"/>
                <w:szCs w:val="16"/>
              </w:rPr>
              <w:t>3% of the import value as increased by customs-duty, sales tax and federal excise duty</w:t>
            </w:r>
          </w:p>
        </w:tc>
      </w:tr>
      <w:tr w:rsidR="00BF2117" w:rsidRPr="00410309" w:rsidTr="00472DD2">
        <w:tc>
          <w:tcPr>
            <w:tcW w:w="990" w:type="dxa"/>
          </w:tcPr>
          <w:p w:rsidR="00BF2117" w:rsidRPr="00410309" w:rsidRDefault="00BF2117" w:rsidP="00472DD2">
            <w:pPr>
              <w:jc w:val="center"/>
              <w:rPr>
                <w:color w:val="000000" w:themeColor="text1"/>
                <w:sz w:val="16"/>
                <w:szCs w:val="16"/>
              </w:rPr>
            </w:pPr>
            <w:r w:rsidRPr="00410309">
              <w:rPr>
                <w:color w:val="000000" w:themeColor="text1"/>
                <w:sz w:val="16"/>
                <w:szCs w:val="16"/>
              </w:rPr>
              <w:t>4.</w:t>
            </w:r>
          </w:p>
        </w:tc>
        <w:tc>
          <w:tcPr>
            <w:tcW w:w="4156" w:type="dxa"/>
          </w:tcPr>
          <w:p w:rsidR="00BF2117" w:rsidRPr="00410309" w:rsidRDefault="00BF2117" w:rsidP="00472DD2">
            <w:pPr>
              <w:jc w:val="both"/>
              <w:rPr>
                <w:color w:val="000000" w:themeColor="text1"/>
                <w:sz w:val="16"/>
                <w:szCs w:val="16"/>
              </w:rPr>
            </w:pPr>
            <w:r w:rsidRPr="00410309">
              <w:rPr>
                <w:color w:val="000000" w:themeColor="text1"/>
                <w:sz w:val="16"/>
                <w:szCs w:val="16"/>
              </w:rPr>
              <w:t>Ship breakers on import of ships</w:t>
            </w:r>
          </w:p>
        </w:tc>
        <w:tc>
          <w:tcPr>
            <w:tcW w:w="2504" w:type="dxa"/>
          </w:tcPr>
          <w:p w:rsidR="00BF2117" w:rsidRPr="00410309" w:rsidRDefault="00BF2117" w:rsidP="00472DD2">
            <w:pPr>
              <w:jc w:val="center"/>
              <w:rPr>
                <w:color w:val="000000" w:themeColor="text1"/>
                <w:sz w:val="16"/>
                <w:szCs w:val="16"/>
              </w:rPr>
            </w:pPr>
            <w:r w:rsidRPr="00410309">
              <w:rPr>
                <w:color w:val="000000" w:themeColor="text1"/>
                <w:sz w:val="16"/>
                <w:szCs w:val="16"/>
              </w:rPr>
              <w:t xml:space="preserve">4.5% </w:t>
            </w:r>
          </w:p>
        </w:tc>
      </w:tr>
      <w:tr w:rsidR="00BF2117" w:rsidRPr="00410309" w:rsidTr="00472DD2">
        <w:tc>
          <w:tcPr>
            <w:tcW w:w="990" w:type="dxa"/>
          </w:tcPr>
          <w:p w:rsidR="00BF2117" w:rsidRPr="00410309" w:rsidRDefault="00BF2117" w:rsidP="00472DD2">
            <w:pPr>
              <w:jc w:val="center"/>
              <w:rPr>
                <w:color w:val="000000" w:themeColor="text1"/>
                <w:sz w:val="16"/>
                <w:szCs w:val="16"/>
              </w:rPr>
            </w:pPr>
            <w:r w:rsidRPr="00410309">
              <w:rPr>
                <w:color w:val="000000" w:themeColor="text1"/>
                <w:sz w:val="16"/>
                <w:szCs w:val="16"/>
              </w:rPr>
              <w:t>5.</w:t>
            </w:r>
          </w:p>
        </w:tc>
        <w:tc>
          <w:tcPr>
            <w:tcW w:w="4156" w:type="dxa"/>
          </w:tcPr>
          <w:p w:rsidR="00BF2117" w:rsidRPr="00410309" w:rsidRDefault="00BF2117" w:rsidP="00472DD2">
            <w:pPr>
              <w:jc w:val="both"/>
              <w:rPr>
                <w:color w:val="000000" w:themeColor="text1"/>
                <w:sz w:val="16"/>
                <w:szCs w:val="16"/>
              </w:rPr>
            </w:pPr>
            <w:r w:rsidRPr="00410309">
              <w:rPr>
                <w:color w:val="000000" w:themeColor="text1"/>
                <w:sz w:val="16"/>
                <w:szCs w:val="16"/>
              </w:rPr>
              <w:t>Industrial undertakings not covered under S. Nos. 1 to 4</w:t>
            </w:r>
          </w:p>
        </w:tc>
        <w:tc>
          <w:tcPr>
            <w:tcW w:w="2504" w:type="dxa"/>
          </w:tcPr>
          <w:p w:rsidR="00BF2117" w:rsidRPr="00410309" w:rsidRDefault="00BF2117" w:rsidP="00472DD2">
            <w:pPr>
              <w:jc w:val="center"/>
              <w:rPr>
                <w:color w:val="000000" w:themeColor="text1"/>
                <w:sz w:val="16"/>
                <w:szCs w:val="16"/>
              </w:rPr>
            </w:pPr>
            <w:r w:rsidRPr="00410309">
              <w:rPr>
                <w:color w:val="000000" w:themeColor="text1"/>
                <w:sz w:val="16"/>
                <w:szCs w:val="16"/>
              </w:rPr>
              <w:t>5.5%</w:t>
            </w:r>
          </w:p>
        </w:tc>
      </w:tr>
      <w:tr w:rsidR="00BF2117" w:rsidRPr="00410309" w:rsidTr="00472DD2">
        <w:tc>
          <w:tcPr>
            <w:tcW w:w="990" w:type="dxa"/>
          </w:tcPr>
          <w:p w:rsidR="00BF2117" w:rsidRPr="00410309" w:rsidRDefault="00BF2117" w:rsidP="00472DD2">
            <w:pPr>
              <w:jc w:val="center"/>
              <w:rPr>
                <w:color w:val="000000" w:themeColor="text1"/>
                <w:sz w:val="16"/>
                <w:szCs w:val="16"/>
              </w:rPr>
            </w:pPr>
            <w:r w:rsidRPr="00410309">
              <w:rPr>
                <w:color w:val="000000" w:themeColor="text1"/>
                <w:sz w:val="16"/>
                <w:szCs w:val="16"/>
              </w:rPr>
              <w:t>6.</w:t>
            </w:r>
          </w:p>
        </w:tc>
        <w:tc>
          <w:tcPr>
            <w:tcW w:w="4156" w:type="dxa"/>
          </w:tcPr>
          <w:p w:rsidR="00BF2117" w:rsidRPr="00410309" w:rsidRDefault="00BF2117" w:rsidP="00472DD2">
            <w:pPr>
              <w:jc w:val="both"/>
              <w:rPr>
                <w:color w:val="000000" w:themeColor="text1"/>
                <w:sz w:val="16"/>
                <w:szCs w:val="16"/>
              </w:rPr>
            </w:pPr>
            <w:r w:rsidRPr="00410309">
              <w:rPr>
                <w:color w:val="000000" w:themeColor="text1"/>
                <w:sz w:val="16"/>
                <w:szCs w:val="16"/>
              </w:rPr>
              <w:t>Companies not covered under S. Nos. 1 to 5</w:t>
            </w:r>
          </w:p>
        </w:tc>
        <w:tc>
          <w:tcPr>
            <w:tcW w:w="2504" w:type="dxa"/>
          </w:tcPr>
          <w:p w:rsidR="00BF2117" w:rsidRPr="00410309" w:rsidRDefault="00BF2117" w:rsidP="00472DD2">
            <w:pPr>
              <w:jc w:val="center"/>
              <w:rPr>
                <w:color w:val="000000" w:themeColor="text1"/>
                <w:sz w:val="16"/>
                <w:szCs w:val="16"/>
              </w:rPr>
            </w:pPr>
            <w:r w:rsidRPr="00410309">
              <w:rPr>
                <w:color w:val="000000" w:themeColor="text1"/>
                <w:sz w:val="16"/>
                <w:szCs w:val="16"/>
              </w:rPr>
              <w:t>5.5%</w:t>
            </w:r>
          </w:p>
        </w:tc>
      </w:tr>
      <w:tr w:rsidR="00BF2117" w:rsidRPr="00410309" w:rsidTr="00472DD2">
        <w:tc>
          <w:tcPr>
            <w:tcW w:w="990" w:type="dxa"/>
          </w:tcPr>
          <w:p w:rsidR="00BF2117" w:rsidRPr="00410309" w:rsidRDefault="00BF2117" w:rsidP="00472DD2">
            <w:pPr>
              <w:jc w:val="center"/>
              <w:rPr>
                <w:color w:val="000000" w:themeColor="text1"/>
                <w:sz w:val="16"/>
                <w:szCs w:val="16"/>
              </w:rPr>
            </w:pPr>
            <w:r w:rsidRPr="00410309">
              <w:rPr>
                <w:color w:val="000000" w:themeColor="text1"/>
                <w:sz w:val="16"/>
                <w:szCs w:val="16"/>
              </w:rPr>
              <w:t>7.</w:t>
            </w:r>
          </w:p>
        </w:tc>
        <w:tc>
          <w:tcPr>
            <w:tcW w:w="4156" w:type="dxa"/>
          </w:tcPr>
          <w:p w:rsidR="00BF2117" w:rsidRPr="00410309" w:rsidRDefault="00BF2117" w:rsidP="00472DD2">
            <w:pPr>
              <w:jc w:val="both"/>
              <w:rPr>
                <w:color w:val="000000" w:themeColor="text1"/>
                <w:sz w:val="16"/>
                <w:szCs w:val="16"/>
              </w:rPr>
            </w:pPr>
            <w:r w:rsidRPr="00410309">
              <w:rPr>
                <w:color w:val="000000" w:themeColor="text1"/>
                <w:sz w:val="16"/>
                <w:szCs w:val="16"/>
              </w:rPr>
              <w:t>Persons not covered under S. Nos. 1 to 6</w:t>
            </w:r>
          </w:p>
        </w:tc>
        <w:tc>
          <w:tcPr>
            <w:tcW w:w="2504" w:type="dxa"/>
          </w:tcPr>
          <w:p w:rsidR="00BF2117" w:rsidRPr="00410309" w:rsidRDefault="00BF2117" w:rsidP="00472DD2">
            <w:pPr>
              <w:jc w:val="center"/>
              <w:rPr>
                <w:color w:val="000000" w:themeColor="text1"/>
                <w:sz w:val="16"/>
                <w:szCs w:val="16"/>
              </w:rPr>
            </w:pPr>
            <w:r w:rsidRPr="00410309">
              <w:rPr>
                <w:color w:val="000000" w:themeColor="text1"/>
                <w:sz w:val="16"/>
                <w:szCs w:val="16"/>
              </w:rPr>
              <w:t>6%]</w:t>
            </w:r>
          </w:p>
        </w:tc>
      </w:tr>
    </w:tbl>
    <w:p w:rsidR="00BF2117" w:rsidRPr="006B1955" w:rsidRDefault="00BF2117">
      <w:pPr>
        <w:pStyle w:val="FootnoteText"/>
        <w:rPr>
          <w:sz w:val="16"/>
          <w:szCs w:val="16"/>
          <w:lang w:val="en-US"/>
        </w:rPr>
      </w:pPr>
    </w:p>
  </w:footnote>
  <w:footnote w:id="1631">
    <w:p w:rsidR="00BF2117" w:rsidRPr="005D4C10" w:rsidRDefault="00BF2117" w:rsidP="00AA4BF8">
      <w:pPr>
        <w:pStyle w:val="FootnoteText"/>
        <w:rPr>
          <w:color w:val="000000" w:themeColor="text1"/>
          <w:sz w:val="16"/>
          <w:szCs w:val="16"/>
        </w:rPr>
      </w:pPr>
      <w:r w:rsidRPr="005D4C10">
        <w:rPr>
          <w:rStyle w:val="FootnoteReference"/>
          <w:rFonts w:cs="Arial"/>
          <w:color w:val="000000" w:themeColor="text1"/>
          <w:sz w:val="16"/>
          <w:szCs w:val="16"/>
        </w:rPr>
        <w:footnoteRef/>
      </w:r>
      <w:r w:rsidRPr="005D4C10">
        <w:rPr>
          <w:color w:val="000000" w:themeColor="text1"/>
          <w:sz w:val="16"/>
          <w:szCs w:val="16"/>
        </w:rPr>
        <w:t xml:space="preserve"> Part IIA omitted  by the Finance Act, 2014. The omitted part IIA read as follows:</w:t>
      </w:r>
    </w:p>
    <w:p w:rsidR="00BF2117" w:rsidRPr="005D4C10" w:rsidRDefault="00BF2117" w:rsidP="001D37EE">
      <w:pPr>
        <w:ind w:left="720"/>
        <w:jc w:val="center"/>
        <w:rPr>
          <w:b/>
          <w:bCs/>
          <w:color w:val="000000" w:themeColor="text1"/>
          <w:sz w:val="16"/>
          <w:szCs w:val="16"/>
        </w:rPr>
      </w:pPr>
      <w:r w:rsidRPr="005D4C10">
        <w:rPr>
          <w:rStyle w:val="FootnoteReference"/>
          <w:color w:val="000000" w:themeColor="text1"/>
          <w:sz w:val="16"/>
          <w:szCs w:val="16"/>
        </w:rPr>
        <w:t>“</w:t>
      </w:r>
      <w:r w:rsidRPr="005D4C10">
        <w:rPr>
          <w:b/>
          <w:bCs/>
          <w:color w:val="000000" w:themeColor="text1"/>
          <w:sz w:val="16"/>
          <w:szCs w:val="16"/>
        </w:rPr>
        <w:t>PART IIA</w:t>
      </w:r>
    </w:p>
    <w:p w:rsidR="00BF2117" w:rsidRPr="005D4C10" w:rsidRDefault="00BF2117" w:rsidP="001D37EE">
      <w:pPr>
        <w:jc w:val="center"/>
        <w:rPr>
          <w:b/>
          <w:bCs/>
          <w:color w:val="000000" w:themeColor="text1"/>
          <w:sz w:val="16"/>
          <w:szCs w:val="16"/>
        </w:rPr>
      </w:pPr>
      <w:r w:rsidRPr="005D4C10">
        <w:rPr>
          <w:b/>
          <w:bCs/>
          <w:color w:val="000000" w:themeColor="text1"/>
          <w:sz w:val="16"/>
          <w:szCs w:val="16"/>
        </w:rPr>
        <w:t>COLLECTION OF TAX FROM DISTRIBUTORS, DEALERS</w:t>
      </w:r>
    </w:p>
    <w:p w:rsidR="00BF2117" w:rsidRPr="005D4C10" w:rsidRDefault="00BF2117" w:rsidP="001D37EE">
      <w:pPr>
        <w:jc w:val="center"/>
        <w:rPr>
          <w:b/>
          <w:bCs/>
          <w:color w:val="000000" w:themeColor="text1"/>
          <w:sz w:val="16"/>
          <w:szCs w:val="16"/>
        </w:rPr>
      </w:pPr>
      <w:r w:rsidRPr="005D4C10">
        <w:rPr>
          <w:b/>
          <w:bCs/>
          <w:color w:val="000000" w:themeColor="text1"/>
          <w:sz w:val="16"/>
          <w:szCs w:val="16"/>
        </w:rPr>
        <w:t>AND WHOLESALERS</w:t>
      </w:r>
    </w:p>
    <w:p w:rsidR="00BF2117" w:rsidRPr="005D4C10" w:rsidRDefault="00BF2117" w:rsidP="001D37EE">
      <w:pPr>
        <w:jc w:val="center"/>
        <w:rPr>
          <w:color w:val="000000" w:themeColor="text1"/>
          <w:sz w:val="16"/>
          <w:szCs w:val="16"/>
        </w:rPr>
      </w:pPr>
      <w:r w:rsidRPr="005D4C10">
        <w:rPr>
          <w:color w:val="000000" w:themeColor="text1"/>
          <w:sz w:val="16"/>
          <w:szCs w:val="16"/>
        </w:rPr>
        <w:t>(See section 153A)</w:t>
      </w:r>
    </w:p>
    <w:p w:rsidR="00BF2117" w:rsidRPr="005D4C10" w:rsidRDefault="00BF2117" w:rsidP="00A86A37">
      <w:pPr>
        <w:ind w:left="1094" w:firstLine="1"/>
        <w:rPr>
          <w:color w:val="000000" w:themeColor="text1"/>
        </w:rPr>
      </w:pPr>
      <w:r w:rsidRPr="005D4C10">
        <w:rPr>
          <w:color w:val="000000" w:themeColor="text1"/>
          <w:sz w:val="16"/>
          <w:szCs w:val="16"/>
        </w:rPr>
        <w:t>The rate of tax to be collected under section 153A, shall be 0.5% of the gross amount of sales.”</w:t>
      </w:r>
    </w:p>
  </w:footnote>
  <w:footnote w:id="1632">
    <w:p w:rsidR="00BF2117" w:rsidRPr="005D4C10" w:rsidRDefault="00BF2117" w:rsidP="00230661">
      <w:pPr>
        <w:autoSpaceDE w:val="0"/>
        <w:autoSpaceDN w:val="0"/>
        <w:adjustRightInd w:val="0"/>
        <w:rPr>
          <w:color w:val="000000" w:themeColor="text1"/>
          <w:sz w:val="16"/>
          <w:szCs w:val="16"/>
        </w:rPr>
      </w:pPr>
      <w:r w:rsidRPr="005D4C10">
        <w:rPr>
          <w:rStyle w:val="FootnoteReference"/>
          <w:rFonts w:cs="Arial"/>
          <w:color w:val="000000" w:themeColor="text1"/>
          <w:sz w:val="16"/>
          <w:szCs w:val="16"/>
        </w:rPr>
        <w:footnoteRef/>
      </w:r>
      <w:r w:rsidRPr="005D4C10">
        <w:rPr>
          <w:color w:val="000000" w:themeColor="text1"/>
          <w:sz w:val="16"/>
          <w:szCs w:val="16"/>
        </w:rPr>
        <w:t xml:space="preserve"> Division-I substituted by the Finance Act, 2014. The substituted Division-I read as follows: </w:t>
      </w:r>
    </w:p>
    <w:p w:rsidR="00BF2117" w:rsidRPr="005D4C10" w:rsidRDefault="00BF2117" w:rsidP="001D37EE">
      <w:pPr>
        <w:autoSpaceDE w:val="0"/>
        <w:autoSpaceDN w:val="0"/>
        <w:adjustRightInd w:val="0"/>
        <w:jc w:val="center"/>
        <w:rPr>
          <w:rFonts w:cs="Arial"/>
          <w:b/>
          <w:color w:val="000000" w:themeColor="text1"/>
          <w:sz w:val="16"/>
          <w:szCs w:val="16"/>
        </w:rPr>
      </w:pPr>
      <w:r w:rsidRPr="005D4C10">
        <w:rPr>
          <w:rFonts w:cs="Arial"/>
          <w:b/>
          <w:color w:val="000000" w:themeColor="text1"/>
          <w:sz w:val="16"/>
          <w:szCs w:val="16"/>
        </w:rPr>
        <w:t>“ [Division I</w:t>
      </w:r>
    </w:p>
    <w:p w:rsidR="00BF2117" w:rsidRPr="005D4C10" w:rsidRDefault="00BF2117" w:rsidP="002B5030">
      <w:pPr>
        <w:autoSpaceDE w:val="0"/>
        <w:autoSpaceDN w:val="0"/>
        <w:adjustRightInd w:val="0"/>
        <w:jc w:val="center"/>
        <w:rPr>
          <w:rFonts w:cs="Arial"/>
          <w:b/>
          <w:color w:val="000000" w:themeColor="text1"/>
          <w:sz w:val="16"/>
          <w:szCs w:val="16"/>
        </w:rPr>
      </w:pPr>
      <w:r w:rsidRPr="005D4C10">
        <w:rPr>
          <w:rFonts w:cs="Arial"/>
          <w:b/>
          <w:color w:val="000000" w:themeColor="text1"/>
          <w:sz w:val="16"/>
          <w:szCs w:val="16"/>
        </w:rPr>
        <w:t>Profit on Debt</w:t>
      </w:r>
    </w:p>
    <w:p w:rsidR="00BF2117" w:rsidRPr="005D4C10" w:rsidRDefault="00BF2117" w:rsidP="002B5030">
      <w:pPr>
        <w:autoSpaceDE w:val="0"/>
        <w:autoSpaceDN w:val="0"/>
        <w:adjustRightInd w:val="0"/>
        <w:jc w:val="both"/>
        <w:rPr>
          <w:rFonts w:cs="Arial"/>
          <w:color w:val="000000" w:themeColor="text1"/>
          <w:sz w:val="16"/>
          <w:szCs w:val="16"/>
        </w:rPr>
      </w:pPr>
      <w:r w:rsidRPr="005D4C10">
        <w:rPr>
          <w:rFonts w:cs="Arial"/>
          <w:color w:val="000000" w:themeColor="text1"/>
          <w:sz w:val="16"/>
          <w:szCs w:val="16"/>
        </w:rPr>
        <w:tab/>
        <w:t>The rate of tax to be deducted under section 151 shall be 10% of the yield or profit paid.”</w:t>
      </w:r>
    </w:p>
    <w:p w:rsidR="00BF2117" w:rsidRPr="002B5030" w:rsidRDefault="00BF2117" w:rsidP="00AA4BF8">
      <w:pPr>
        <w:pStyle w:val="FootnoteText"/>
        <w:rPr>
          <w:color w:val="00B0F0"/>
          <w:sz w:val="16"/>
          <w:szCs w:val="16"/>
        </w:rPr>
      </w:pPr>
    </w:p>
  </w:footnote>
  <w:footnote w:id="1633">
    <w:p w:rsidR="00BF2117" w:rsidRPr="00397CDB" w:rsidRDefault="00BF2117">
      <w:pPr>
        <w:pStyle w:val="FootnoteText"/>
        <w:rPr>
          <w:sz w:val="16"/>
          <w:szCs w:val="16"/>
          <w:lang w:val="en-US"/>
        </w:rPr>
      </w:pPr>
      <w:r w:rsidRPr="00397CDB">
        <w:rPr>
          <w:rStyle w:val="FootnoteReference"/>
          <w:sz w:val="16"/>
          <w:szCs w:val="16"/>
        </w:rPr>
        <w:footnoteRef/>
      </w:r>
      <w:r>
        <w:rPr>
          <w:sz w:val="16"/>
          <w:szCs w:val="16"/>
        </w:rPr>
        <w:t>Inserted by the Finance Act, 2015.</w:t>
      </w:r>
    </w:p>
  </w:footnote>
  <w:footnote w:id="1634">
    <w:p w:rsidR="00BF2117" w:rsidRPr="005308A7" w:rsidRDefault="00BF2117">
      <w:pPr>
        <w:pStyle w:val="FootnoteText"/>
        <w:rPr>
          <w:sz w:val="16"/>
          <w:szCs w:val="16"/>
          <w:lang w:val="en-US"/>
        </w:rPr>
      </w:pPr>
      <w:r w:rsidRPr="005308A7">
        <w:rPr>
          <w:rStyle w:val="FootnoteReference"/>
          <w:sz w:val="16"/>
          <w:szCs w:val="16"/>
        </w:rPr>
        <w:footnoteRef/>
      </w:r>
      <w:r w:rsidRPr="005308A7">
        <w:rPr>
          <w:sz w:val="16"/>
          <w:szCs w:val="16"/>
        </w:rPr>
        <w:t xml:space="preserve"> The figure “10” substituted</w:t>
      </w:r>
      <w:r>
        <w:rPr>
          <w:sz w:val="16"/>
          <w:szCs w:val="16"/>
        </w:rPr>
        <w:t xml:space="preserve"> </w:t>
      </w:r>
      <w:r w:rsidRPr="005308A7">
        <w:rPr>
          <w:sz w:val="16"/>
          <w:szCs w:val="16"/>
        </w:rPr>
        <w:t>by the Finance Act, 2015.</w:t>
      </w:r>
    </w:p>
  </w:footnote>
  <w:footnote w:id="1635">
    <w:p w:rsidR="00BF2117" w:rsidRPr="005308A7" w:rsidRDefault="00BF2117" w:rsidP="005308A7">
      <w:pPr>
        <w:pStyle w:val="FootnoteText"/>
        <w:rPr>
          <w:sz w:val="16"/>
          <w:szCs w:val="16"/>
          <w:lang w:val="en-US"/>
        </w:rPr>
      </w:pPr>
      <w:r w:rsidRPr="005308A7">
        <w:rPr>
          <w:rStyle w:val="FootnoteReference"/>
          <w:sz w:val="16"/>
          <w:szCs w:val="16"/>
        </w:rPr>
        <w:footnoteRef/>
      </w:r>
      <w:r>
        <w:rPr>
          <w:sz w:val="16"/>
          <w:szCs w:val="16"/>
        </w:rPr>
        <w:t>The figure “15” substituted</w:t>
      </w:r>
      <w:r w:rsidRPr="005308A7">
        <w:rPr>
          <w:sz w:val="16"/>
          <w:szCs w:val="16"/>
        </w:rPr>
        <w:t xml:space="preserve"> by the Finance Act, 2015.</w:t>
      </w:r>
    </w:p>
  </w:footnote>
  <w:footnote w:id="1636">
    <w:p w:rsidR="00BF2117" w:rsidRPr="00882FDB" w:rsidRDefault="00BF2117">
      <w:pPr>
        <w:pStyle w:val="FootnoteText"/>
        <w:rPr>
          <w:color w:val="FF0000"/>
          <w:sz w:val="16"/>
          <w:szCs w:val="16"/>
          <w:lang w:val="en-US"/>
        </w:rPr>
      </w:pPr>
      <w:r w:rsidRPr="0009763F">
        <w:rPr>
          <w:rStyle w:val="FootnoteReference"/>
          <w:color w:val="0070C0"/>
          <w:sz w:val="16"/>
          <w:szCs w:val="16"/>
        </w:rPr>
        <w:footnoteRef/>
      </w:r>
      <w:r w:rsidRPr="0009763F">
        <w:rPr>
          <w:color w:val="0070C0"/>
          <w:sz w:val="16"/>
          <w:szCs w:val="16"/>
        </w:rPr>
        <w:t xml:space="preserve"> The figure “17.5” substituted by the Finance Act, 2016</w:t>
      </w:r>
      <w:r>
        <w:rPr>
          <w:color w:val="FF0000"/>
          <w:sz w:val="16"/>
          <w:szCs w:val="16"/>
        </w:rPr>
        <w:t>.</w:t>
      </w:r>
    </w:p>
  </w:footnote>
  <w:footnote w:id="1637">
    <w:p w:rsidR="00BF2117" w:rsidRPr="00EC5BA2" w:rsidRDefault="00BF2117">
      <w:pPr>
        <w:pStyle w:val="FootnoteText"/>
        <w:rPr>
          <w:lang w:val="en-US"/>
        </w:rPr>
      </w:pPr>
      <w:r w:rsidRPr="00EC5BA2">
        <w:rPr>
          <w:rStyle w:val="FootnoteReference"/>
          <w:sz w:val="16"/>
          <w:szCs w:val="16"/>
        </w:rPr>
        <w:footnoteRef/>
      </w:r>
      <w:r w:rsidRPr="00EC5BA2">
        <w:rPr>
          <w:sz w:val="16"/>
          <w:szCs w:val="16"/>
        </w:rPr>
        <w:t xml:space="preserve"> Inserted</w:t>
      </w:r>
      <w:r>
        <w:rPr>
          <w:sz w:val="16"/>
          <w:szCs w:val="16"/>
        </w:rPr>
        <w:t xml:space="preserve"> by the Finance Act, 2015</w:t>
      </w:r>
    </w:p>
  </w:footnote>
  <w:footnote w:id="1638">
    <w:p w:rsidR="00BF2117" w:rsidRPr="0009763F" w:rsidRDefault="00BF2117">
      <w:pPr>
        <w:pStyle w:val="FootnoteText"/>
        <w:rPr>
          <w:color w:val="0070C0"/>
          <w:sz w:val="16"/>
          <w:szCs w:val="16"/>
        </w:rPr>
      </w:pPr>
      <w:r w:rsidRPr="0009763F">
        <w:rPr>
          <w:rStyle w:val="FootnoteReference"/>
          <w:color w:val="0070C0"/>
          <w:sz w:val="16"/>
          <w:szCs w:val="16"/>
        </w:rPr>
        <w:footnoteRef/>
      </w:r>
      <w:r w:rsidRPr="0009763F">
        <w:rPr>
          <w:color w:val="0070C0"/>
          <w:sz w:val="16"/>
          <w:szCs w:val="16"/>
        </w:rPr>
        <w:t xml:space="preserve"> Table substituted by the Finance Act, 2016. Substituted Table read as follows:-</w:t>
      </w:r>
    </w:p>
    <w:tbl>
      <w:tblPr>
        <w:tblW w:w="6914"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0"/>
        <w:gridCol w:w="1530"/>
        <w:gridCol w:w="4394"/>
      </w:tblGrid>
      <w:tr w:rsidR="00BF2117" w:rsidRPr="00BC4179" w:rsidTr="00BC4179">
        <w:tc>
          <w:tcPr>
            <w:tcW w:w="990" w:type="dxa"/>
          </w:tcPr>
          <w:p w:rsidR="00BF2117" w:rsidRPr="00BC4179" w:rsidRDefault="00BF2117" w:rsidP="00B7389F">
            <w:pPr>
              <w:jc w:val="center"/>
              <w:rPr>
                <w:color w:val="00B0F0"/>
                <w:sz w:val="16"/>
                <w:szCs w:val="16"/>
              </w:rPr>
            </w:pPr>
          </w:p>
        </w:tc>
        <w:tc>
          <w:tcPr>
            <w:tcW w:w="1530" w:type="dxa"/>
          </w:tcPr>
          <w:p w:rsidR="00BF2117" w:rsidRPr="00BC4179" w:rsidRDefault="00BF2117" w:rsidP="00B7389F">
            <w:pPr>
              <w:jc w:val="center"/>
              <w:rPr>
                <w:color w:val="000000" w:themeColor="text1"/>
                <w:sz w:val="16"/>
                <w:szCs w:val="16"/>
              </w:rPr>
            </w:pPr>
            <w:r w:rsidRPr="00BC4179">
              <w:rPr>
                <w:color w:val="000000" w:themeColor="text1"/>
                <w:sz w:val="16"/>
                <w:szCs w:val="16"/>
              </w:rPr>
              <w:t>Stock Fund</w:t>
            </w:r>
          </w:p>
        </w:tc>
        <w:tc>
          <w:tcPr>
            <w:tcW w:w="4394" w:type="dxa"/>
          </w:tcPr>
          <w:p w:rsidR="00BF2117" w:rsidRPr="00BC4179" w:rsidRDefault="00BF2117" w:rsidP="00B7389F">
            <w:pPr>
              <w:jc w:val="center"/>
              <w:rPr>
                <w:color w:val="00B0F0"/>
                <w:sz w:val="16"/>
                <w:szCs w:val="16"/>
              </w:rPr>
            </w:pPr>
            <w:r w:rsidRPr="00BC4179">
              <w:rPr>
                <w:color w:val="000000" w:themeColor="text1"/>
                <w:sz w:val="16"/>
                <w:szCs w:val="16"/>
              </w:rPr>
              <w:t xml:space="preserve">Money market Fund, Income Fund or </w:t>
            </w:r>
            <w:r w:rsidRPr="00BC4179">
              <w:rPr>
                <w:rStyle w:val="FootnoteReference"/>
                <w:color w:val="000000" w:themeColor="text1"/>
                <w:sz w:val="16"/>
                <w:szCs w:val="16"/>
              </w:rPr>
              <w:footnoteRef/>
            </w:r>
            <w:r w:rsidRPr="00BC4179">
              <w:rPr>
                <w:color w:val="000000" w:themeColor="text1"/>
                <w:sz w:val="16"/>
                <w:szCs w:val="16"/>
              </w:rPr>
              <w:t>[“REIT Scheme or”]</w:t>
            </w:r>
            <w:r w:rsidRPr="00BC4179">
              <w:rPr>
                <w:color w:val="984806" w:themeColor="accent6" w:themeShade="80"/>
                <w:sz w:val="16"/>
                <w:szCs w:val="16"/>
              </w:rPr>
              <w:t xml:space="preserve"> </w:t>
            </w:r>
            <w:r w:rsidRPr="00BC4179">
              <w:rPr>
                <w:color w:val="000000" w:themeColor="text1"/>
                <w:sz w:val="16"/>
                <w:szCs w:val="16"/>
              </w:rPr>
              <w:t>any other fund</w:t>
            </w:r>
          </w:p>
        </w:tc>
      </w:tr>
      <w:tr w:rsidR="00BF2117" w:rsidRPr="00BC4179" w:rsidTr="00BC4179">
        <w:tc>
          <w:tcPr>
            <w:tcW w:w="990" w:type="dxa"/>
          </w:tcPr>
          <w:p w:rsidR="00BF2117" w:rsidRPr="00BC4179" w:rsidRDefault="00BF2117" w:rsidP="00B7389F">
            <w:pPr>
              <w:jc w:val="center"/>
              <w:rPr>
                <w:color w:val="000000" w:themeColor="text1"/>
                <w:sz w:val="16"/>
                <w:szCs w:val="16"/>
              </w:rPr>
            </w:pPr>
            <w:r w:rsidRPr="00BC4179">
              <w:rPr>
                <w:color w:val="000000" w:themeColor="text1"/>
                <w:sz w:val="16"/>
                <w:szCs w:val="16"/>
              </w:rPr>
              <w:t>Individual</w:t>
            </w:r>
          </w:p>
        </w:tc>
        <w:tc>
          <w:tcPr>
            <w:tcW w:w="1530" w:type="dxa"/>
          </w:tcPr>
          <w:p w:rsidR="00BF2117" w:rsidRPr="00BC4179" w:rsidRDefault="00BF2117" w:rsidP="00B7389F">
            <w:pPr>
              <w:jc w:val="center"/>
              <w:rPr>
                <w:color w:val="000000" w:themeColor="text1"/>
                <w:sz w:val="16"/>
                <w:szCs w:val="16"/>
              </w:rPr>
            </w:pPr>
            <w:r w:rsidRPr="00BC4179">
              <w:rPr>
                <w:color w:val="000000" w:themeColor="text1"/>
                <w:sz w:val="16"/>
                <w:szCs w:val="16"/>
              </w:rPr>
              <w:t>10%</w:t>
            </w:r>
          </w:p>
        </w:tc>
        <w:tc>
          <w:tcPr>
            <w:tcW w:w="4394" w:type="dxa"/>
          </w:tcPr>
          <w:p w:rsidR="00BF2117" w:rsidRPr="00BC4179" w:rsidRDefault="00BF2117" w:rsidP="00B7389F">
            <w:pPr>
              <w:jc w:val="center"/>
              <w:rPr>
                <w:color w:val="000000" w:themeColor="text1"/>
                <w:sz w:val="16"/>
                <w:szCs w:val="16"/>
              </w:rPr>
            </w:pPr>
            <w:r w:rsidRPr="00BC4179">
              <w:rPr>
                <w:color w:val="000000" w:themeColor="text1"/>
                <w:sz w:val="16"/>
                <w:szCs w:val="16"/>
              </w:rPr>
              <w:t>10%</w:t>
            </w:r>
          </w:p>
        </w:tc>
      </w:tr>
      <w:tr w:rsidR="00BF2117" w:rsidRPr="00BC4179" w:rsidTr="00BC4179">
        <w:tc>
          <w:tcPr>
            <w:tcW w:w="990" w:type="dxa"/>
          </w:tcPr>
          <w:p w:rsidR="00BF2117" w:rsidRPr="00BC4179" w:rsidRDefault="00BF2117" w:rsidP="00B7389F">
            <w:pPr>
              <w:jc w:val="center"/>
              <w:rPr>
                <w:color w:val="000000" w:themeColor="text1"/>
                <w:sz w:val="16"/>
                <w:szCs w:val="16"/>
              </w:rPr>
            </w:pPr>
            <w:r w:rsidRPr="00BC4179">
              <w:rPr>
                <w:color w:val="000000" w:themeColor="text1"/>
                <w:sz w:val="16"/>
                <w:szCs w:val="16"/>
              </w:rPr>
              <w:t>Company</w:t>
            </w:r>
          </w:p>
        </w:tc>
        <w:tc>
          <w:tcPr>
            <w:tcW w:w="1530" w:type="dxa"/>
          </w:tcPr>
          <w:p w:rsidR="00BF2117" w:rsidRPr="00BC4179" w:rsidRDefault="00BF2117" w:rsidP="00B7389F">
            <w:pPr>
              <w:jc w:val="center"/>
              <w:rPr>
                <w:color w:val="000000" w:themeColor="text1"/>
                <w:sz w:val="16"/>
                <w:szCs w:val="16"/>
              </w:rPr>
            </w:pPr>
            <w:r w:rsidRPr="00BC4179">
              <w:rPr>
                <w:color w:val="000000" w:themeColor="text1"/>
                <w:sz w:val="16"/>
                <w:szCs w:val="16"/>
              </w:rPr>
              <w:t>10%</w:t>
            </w:r>
          </w:p>
        </w:tc>
        <w:tc>
          <w:tcPr>
            <w:tcW w:w="4394" w:type="dxa"/>
          </w:tcPr>
          <w:p w:rsidR="00BF2117" w:rsidRPr="00BC4179" w:rsidRDefault="00BF2117" w:rsidP="00B7389F">
            <w:pPr>
              <w:jc w:val="center"/>
              <w:rPr>
                <w:color w:val="000000" w:themeColor="text1"/>
                <w:sz w:val="16"/>
                <w:szCs w:val="16"/>
              </w:rPr>
            </w:pPr>
            <w:r w:rsidRPr="00BC4179">
              <w:rPr>
                <w:color w:val="000000" w:themeColor="text1"/>
                <w:sz w:val="16"/>
                <w:szCs w:val="16"/>
              </w:rPr>
              <w:t>25%</w:t>
            </w:r>
          </w:p>
        </w:tc>
      </w:tr>
      <w:tr w:rsidR="00BF2117" w:rsidRPr="00BC4179" w:rsidTr="00BC4179">
        <w:tc>
          <w:tcPr>
            <w:tcW w:w="990" w:type="dxa"/>
          </w:tcPr>
          <w:p w:rsidR="00BF2117" w:rsidRPr="00BC4179" w:rsidRDefault="00BF2117" w:rsidP="00B7389F">
            <w:pPr>
              <w:jc w:val="center"/>
              <w:rPr>
                <w:color w:val="000000" w:themeColor="text1"/>
                <w:sz w:val="16"/>
                <w:szCs w:val="16"/>
              </w:rPr>
            </w:pPr>
            <w:r w:rsidRPr="00BC4179">
              <w:rPr>
                <w:color w:val="000000" w:themeColor="text1"/>
                <w:sz w:val="16"/>
                <w:szCs w:val="16"/>
              </w:rPr>
              <w:t>AOP</w:t>
            </w:r>
          </w:p>
        </w:tc>
        <w:tc>
          <w:tcPr>
            <w:tcW w:w="1530" w:type="dxa"/>
          </w:tcPr>
          <w:p w:rsidR="00BF2117" w:rsidRPr="00BC4179" w:rsidRDefault="00BF2117" w:rsidP="00B7389F">
            <w:pPr>
              <w:jc w:val="center"/>
              <w:rPr>
                <w:color w:val="000000" w:themeColor="text1"/>
                <w:sz w:val="16"/>
                <w:szCs w:val="16"/>
              </w:rPr>
            </w:pPr>
            <w:r w:rsidRPr="00BC4179">
              <w:rPr>
                <w:color w:val="000000" w:themeColor="text1"/>
                <w:sz w:val="16"/>
                <w:szCs w:val="16"/>
              </w:rPr>
              <w:t>10%</w:t>
            </w:r>
          </w:p>
        </w:tc>
        <w:tc>
          <w:tcPr>
            <w:tcW w:w="4394" w:type="dxa"/>
          </w:tcPr>
          <w:p w:rsidR="00BF2117" w:rsidRPr="00BC4179" w:rsidRDefault="00BF2117" w:rsidP="00B7389F">
            <w:pPr>
              <w:jc w:val="center"/>
              <w:rPr>
                <w:color w:val="000000" w:themeColor="text1"/>
                <w:sz w:val="16"/>
                <w:szCs w:val="16"/>
              </w:rPr>
            </w:pPr>
            <w:r w:rsidRPr="00BC4179">
              <w:rPr>
                <w:color w:val="000000" w:themeColor="text1"/>
                <w:sz w:val="16"/>
                <w:szCs w:val="16"/>
              </w:rPr>
              <w:t>10%</w:t>
            </w:r>
          </w:p>
        </w:tc>
      </w:tr>
    </w:tbl>
    <w:p w:rsidR="00BF2117" w:rsidRPr="00BC4179" w:rsidRDefault="00BF2117">
      <w:pPr>
        <w:pStyle w:val="FootnoteText"/>
        <w:rPr>
          <w:color w:val="FF0000"/>
          <w:sz w:val="16"/>
          <w:szCs w:val="16"/>
          <w:lang w:val="en-US"/>
        </w:rPr>
      </w:pPr>
    </w:p>
  </w:footnote>
  <w:footnote w:id="1639">
    <w:p w:rsidR="00BF2117" w:rsidRPr="00216C11" w:rsidRDefault="00BF2117">
      <w:pPr>
        <w:pStyle w:val="FootnoteText"/>
        <w:rPr>
          <w:lang w:val="en-US"/>
        </w:rPr>
      </w:pPr>
      <w:r w:rsidRPr="00216C11">
        <w:rPr>
          <w:rStyle w:val="FootnoteReference"/>
          <w:sz w:val="16"/>
          <w:szCs w:val="16"/>
        </w:rPr>
        <w:footnoteRef/>
      </w:r>
      <w:r w:rsidRPr="00216C11">
        <w:rPr>
          <w:sz w:val="16"/>
          <w:szCs w:val="16"/>
        </w:rPr>
        <w:t xml:space="preserve"> Substituted by the Finance Act 2015</w:t>
      </w:r>
      <w:r>
        <w:t xml:space="preserve">. </w:t>
      </w:r>
    </w:p>
  </w:footnote>
  <w:footnote w:id="1640">
    <w:p w:rsidR="00BF2117" w:rsidRPr="003B0B6B" w:rsidRDefault="00BF2117">
      <w:pPr>
        <w:pStyle w:val="FootnoteText"/>
        <w:rPr>
          <w:sz w:val="16"/>
          <w:szCs w:val="16"/>
          <w:lang w:val="en-US"/>
        </w:rPr>
      </w:pPr>
      <w:r w:rsidRPr="003B0B6B">
        <w:rPr>
          <w:rStyle w:val="FootnoteReference"/>
          <w:sz w:val="16"/>
          <w:szCs w:val="16"/>
        </w:rPr>
        <w:footnoteRef/>
      </w:r>
      <w:r>
        <w:rPr>
          <w:sz w:val="16"/>
          <w:szCs w:val="16"/>
        </w:rPr>
        <w:t>Added by the Finance Act, 2015.</w:t>
      </w:r>
    </w:p>
  </w:footnote>
  <w:footnote w:id="1641">
    <w:p w:rsidR="00BF2117" w:rsidRPr="001506D3" w:rsidRDefault="00BF2117">
      <w:pPr>
        <w:pStyle w:val="FootnoteText"/>
        <w:rPr>
          <w:lang w:val="en-US"/>
        </w:rPr>
      </w:pPr>
      <w:r>
        <w:rPr>
          <w:rStyle w:val="FootnoteReference"/>
        </w:rPr>
        <w:footnoteRef/>
      </w:r>
      <w:r>
        <w:rPr>
          <w:sz w:val="16"/>
          <w:szCs w:val="16"/>
        </w:rPr>
        <w:t>The figure “15” substituted</w:t>
      </w:r>
      <w:r w:rsidRPr="005308A7">
        <w:rPr>
          <w:sz w:val="16"/>
          <w:szCs w:val="16"/>
        </w:rPr>
        <w:t xml:space="preserve"> by the Finance Act, 2015.</w:t>
      </w:r>
    </w:p>
  </w:footnote>
  <w:footnote w:id="1642">
    <w:p w:rsidR="00BF2117" w:rsidRPr="00DE4045" w:rsidRDefault="00BF2117" w:rsidP="00127FE1">
      <w:pPr>
        <w:pStyle w:val="FootnoteText"/>
        <w:rPr>
          <w:color w:val="FF0000"/>
          <w:lang w:val="en-US"/>
        </w:rPr>
      </w:pPr>
      <w:r w:rsidRPr="00392FDB">
        <w:rPr>
          <w:rStyle w:val="FootnoteReference"/>
          <w:color w:val="FF0000"/>
          <w:sz w:val="16"/>
          <w:szCs w:val="16"/>
        </w:rPr>
        <w:footnoteRef/>
      </w:r>
      <w:r w:rsidRPr="00392FDB">
        <w:rPr>
          <w:color w:val="FF0000"/>
          <w:sz w:val="16"/>
          <w:szCs w:val="16"/>
        </w:rPr>
        <w:t xml:space="preserve"> Added</w:t>
      </w:r>
      <w:r>
        <w:rPr>
          <w:color w:val="FF0000"/>
        </w:rPr>
        <w:t xml:space="preserve"> </w:t>
      </w:r>
      <w:r>
        <w:rPr>
          <w:color w:val="FF0000"/>
          <w:sz w:val="16"/>
          <w:szCs w:val="16"/>
        </w:rPr>
        <w:t xml:space="preserve">by the </w:t>
      </w:r>
      <w:r w:rsidRPr="00D41075">
        <w:rPr>
          <w:color w:val="FF0000"/>
          <w:sz w:val="16"/>
          <w:szCs w:val="16"/>
        </w:rPr>
        <w:t>Presidential Order No.F.2(1)/2016-Pub dated 31.0</w:t>
      </w:r>
      <w:r>
        <w:rPr>
          <w:color w:val="FF0000"/>
          <w:sz w:val="16"/>
          <w:szCs w:val="16"/>
        </w:rPr>
        <w:t>8</w:t>
      </w:r>
      <w:r w:rsidRPr="00D41075">
        <w:rPr>
          <w:color w:val="FF0000"/>
          <w:sz w:val="16"/>
          <w:szCs w:val="16"/>
        </w:rPr>
        <w:t>.2016</w:t>
      </w:r>
      <w:r>
        <w:rPr>
          <w:color w:val="FF0000"/>
          <w:sz w:val="16"/>
          <w:szCs w:val="16"/>
        </w:rPr>
        <w:t>.</w:t>
      </w:r>
    </w:p>
  </w:footnote>
  <w:footnote w:id="1643">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Division-II substituted by the Finance Act, 2006. The substituted “Division-II” read as follows:</w:t>
      </w:r>
    </w:p>
    <w:p w:rsidR="00BF2117" w:rsidRPr="00A86A37" w:rsidRDefault="00BF2117" w:rsidP="00AA4BF8">
      <w:pPr>
        <w:pStyle w:val="Heading8"/>
        <w:rPr>
          <w:i w:val="0"/>
          <w:iCs/>
          <w:sz w:val="16"/>
          <w:szCs w:val="16"/>
        </w:rPr>
      </w:pPr>
      <w:r w:rsidRPr="00A86A37">
        <w:rPr>
          <w:i w:val="0"/>
          <w:sz w:val="16"/>
          <w:szCs w:val="16"/>
        </w:rPr>
        <w:t>“Division II</w:t>
      </w:r>
    </w:p>
    <w:p w:rsidR="00BF2117" w:rsidRPr="00A86A37" w:rsidRDefault="00BF2117" w:rsidP="00AA4BF8">
      <w:pPr>
        <w:keepNext/>
        <w:jc w:val="center"/>
        <w:rPr>
          <w:b/>
          <w:bCs/>
          <w:sz w:val="16"/>
          <w:szCs w:val="16"/>
        </w:rPr>
      </w:pPr>
      <w:r w:rsidRPr="00A86A37">
        <w:rPr>
          <w:b/>
          <w:bCs/>
          <w:sz w:val="16"/>
          <w:szCs w:val="16"/>
        </w:rPr>
        <w:t>Payments to non-residents</w:t>
      </w:r>
    </w:p>
    <w:p w:rsidR="00BF2117" w:rsidRPr="00A86A37" w:rsidRDefault="00BF2117" w:rsidP="00AA4BF8">
      <w:pPr>
        <w:pStyle w:val="FootnoteText"/>
        <w:ind w:left="180" w:hanging="180"/>
        <w:jc w:val="both"/>
        <w:rPr>
          <w:sz w:val="16"/>
          <w:szCs w:val="16"/>
        </w:rPr>
      </w:pPr>
      <w:r w:rsidRPr="00A86A37">
        <w:rPr>
          <w:sz w:val="16"/>
          <w:szCs w:val="16"/>
        </w:rPr>
        <w:t xml:space="preserve"> The rate of tax to be deducted under sub-section (2) of section 152 shall be 30% of the gross amount paid.”</w:t>
      </w:r>
    </w:p>
  </w:footnote>
  <w:footnote w:id="1644">
    <w:p w:rsidR="00BF2117" w:rsidRPr="00D24880" w:rsidRDefault="00BF2117">
      <w:pPr>
        <w:pStyle w:val="FootnoteText"/>
        <w:rPr>
          <w:color w:val="FF0000"/>
          <w:sz w:val="16"/>
          <w:szCs w:val="16"/>
          <w:lang w:val="en-US"/>
        </w:rPr>
      </w:pPr>
      <w:r w:rsidRPr="0009763F">
        <w:rPr>
          <w:rStyle w:val="FootnoteReference"/>
          <w:color w:val="0070C0"/>
          <w:sz w:val="16"/>
          <w:szCs w:val="16"/>
        </w:rPr>
        <w:footnoteRef/>
      </w:r>
      <w:r w:rsidRPr="0009763F">
        <w:rPr>
          <w:color w:val="0070C0"/>
          <w:sz w:val="16"/>
          <w:szCs w:val="16"/>
        </w:rPr>
        <w:t xml:space="preserve"> The expression “</w:t>
      </w:r>
      <w:r w:rsidRPr="0009763F">
        <w:rPr>
          <w:color w:val="0070C0"/>
          <w:sz w:val="16"/>
          <w:szCs w:val="16"/>
          <w:lang w:val="en-US"/>
        </w:rPr>
        <w:t>6% of the gross amount payable” substituted by the Finance Act, 2016</w:t>
      </w:r>
      <w:r>
        <w:rPr>
          <w:color w:val="FF0000"/>
          <w:sz w:val="16"/>
          <w:szCs w:val="16"/>
          <w:lang w:val="en-US"/>
        </w:rPr>
        <w:t>.</w:t>
      </w:r>
    </w:p>
  </w:footnote>
  <w:footnote w:id="1645">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lang w:val="en-US"/>
        </w:rPr>
        <w:t>Inserted by the Finance Act, 2008.</w:t>
      </w:r>
    </w:p>
  </w:footnote>
  <w:footnote w:id="1646">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The figure “30” substituted by the Finance Act, 2010.</w:t>
      </w:r>
    </w:p>
  </w:footnote>
  <w:footnote w:id="1647">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Added by the Finance Act, 2012.</w:t>
      </w:r>
    </w:p>
  </w:footnote>
  <w:footnote w:id="1648">
    <w:p w:rsidR="00BF2117" w:rsidRDefault="00BF2117">
      <w:pPr>
        <w:pStyle w:val="FootnoteText"/>
        <w:rPr>
          <w:sz w:val="16"/>
          <w:szCs w:val="16"/>
        </w:rPr>
      </w:pPr>
      <w:r w:rsidRPr="003D6563">
        <w:rPr>
          <w:rStyle w:val="FootnoteReference"/>
          <w:sz w:val="16"/>
          <w:szCs w:val="16"/>
        </w:rPr>
        <w:footnoteRef/>
      </w:r>
      <w:r>
        <w:rPr>
          <w:sz w:val="16"/>
          <w:szCs w:val="16"/>
        </w:rPr>
        <w:t xml:space="preserve">Paragraph (4) substituted by the Finance Act, 2015. The substituted paragraph read as follows:- </w:t>
      </w:r>
    </w:p>
    <w:p w:rsidR="00BF2117" w:rsidRPr="003D6563" w:rsidRDefault="00BF2117" w:rsidP="003D6563">
      <w:pPr>
        <w:pStyle w:val="FootnoteText"/>
        <w:ind w:left="450" w:firstLine="0"/>
        <w:rPr>
          <w:sz w:val="16"/>
          <w:szCs w:val="16"/>
          <w:lang w:val="en-US"/>
        </w:rPr>
      </w:pPr>
      <w:r>
        <w:rPr>
          <w:sz w:val="16"/>
          <w:szCs w:val="16"/>
        </w:rPr>
        <w:t>“</w:t>
      </w:r>
      <w:r w:rsidRPr="003D6563">
        <w:rPr>
          <w:sz w:val="16"/>
          <w:szCs w:val="16"/>
        </w:rPr>
        <w:t>(4)</w:t>
      </w:r>
      <w:r w:rsidRPr="003D6563">
        <w:rPr>
          <w:sz w:val="16"/>
          <w:szCs w:val="16"/>
        </w:rPr>
        <w:tab/>
        <w:t xml:space="preserve">The rate of tax to be deducted from a payment referred to in clause (a) of sub-section </w:t>
      </w:r>
      <w:r>
        <w:rPr>
          <w:sz w:val="16"/>
          <w:szCs w:val="16"/>
        </w:rPr>
        <w:tab/>
      </w:r>
      <w:r>
        <w:rPr>
          <w:sz w:val="16"/>
          <w:szCs w:val="16"/>
        </w:rPr>
        <w:tab/>
      </w:r>
      <w:r w:rsidRPr="003D6563">
        <w:rPr>
          <w:sz w:val="16"/>
          <w:szCs w:val="16"/>
        </w:rPr>
        <w:t>(2A) of section 152 shall be 3.</w:t>
      </w:r>
      <w:r>
        <w:rPr>
          <w:sz w:val="16"/>
          <w:szCs w:val="16"/>
        </w:rPr>
        <w:t>5% of the gross amount payable.”</w:t>
      </w:r>
    </w:p>
  </w:footnote>
  <w:footnote w:id="1649">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Added by the Finance Act, 2012.</w:t>
      </w:r>
    </w:p>
  </w:footnote>
  <w:footnote w:id="1650">
    <w:p w:rsidR="00BF2117" w:rsidRPr="00661754" w:rsidRDefault="00BF2117" w:rsidP="00227F14">
      <w:pPr>
        <w:ind w:left="90" w:hanging="90"/>
        <w:rPr>
          <w:sz w:val="16"/>
          <w:szCs w:val="16"/>
          <w:lang w:val="en-US"/>
        </w:rPr>
      </w:pPr>
      <w:r w:rsidRPr="00661754">
        <w:rPr>
          <w:rStyle w:val="FootnoteReference"/>
          <w:sz w:val="16"/>
          <w:szCs w:val="16"/>
        </w:rPr>
        <w:footnoteRef/>
      </w:r>
      <w:r w:rsidRPr="00661754">
        <w:rPr>
          <w:sz w:val="16"/>
          <w:szCs w:val="16"/>
          <w:lang w:val="en-US"/>
        </w:rPr>
        <w:t>Sub-paragraph (ii) substituted by the Finance Act, 2015.</w:t>
      </w:r>
      <w:r>
        <w:rPr>
          <w:sz w:val="16"/>
          <w:szCs w:val="16"/>
          <w:lang w:val="en-US"/>
        </w:rPr>
        <w:t xml:space="preserve"> Substituted sub-paragraph read as follows:-</w:t>
      </w:r>
      <w:r>
        <w:rPr>
          <w:sz w:val="20"/>
        </w:rPr>
        <w:t xml:space="preserve"> “</w:t>
      </w:r>
      <w:r w:rsidRPr="00172400">
        <w:rPr>
          <w:sz w:val="16"/>
          <w:szCs w:val="16"/>
        </w:rPr>
        <w:t xml:space="preserve">(ii) </w:t>
      </w:r>
      <w:r w:rsidRPr="00172400">
        <w:rPr>
          <w:sz w:val="16"/>
          <w:szCs w:val="16"/>
        </w:rPr>
        <w:tab/>
        <w:t>in any other case, six per cent of the gross amount  payable.</w:t>
      </w:r>
      <w:r>
        <w:rPr>
          <w:sz w:val="16"/>
          <w:szCs w:val="16"/>
        </w:rPr>
        <w:t>”</w:t>
      </w:r>
    </w:p>
  </w:footnote>
  <w:footnote w:id="1651">
    <w:p w:rsidR="00BF2117" w:rsidRDefault="00BF2117" w:rsidP="00216F3C">
      <w:pPr>
        <w:keepNext/>
        <w:jc w:val="both"/>
        <w:rPr>
          <w:sz w:val="16"/>
          <w:szCs w:val="16"/>
        </w:rPr>
      </w:pPr>
      <w:r w:rsidRPr="00216F3C">
        <w:rPr>
          <w:rStyle w:val="FootnoteReference"/>
          <w:sz w:val="16"/>
          <w:szCs w:val="16"/>
        </w:rPr>
        <w:footnoteRef/>
      </w:r>
      <w:r>
        <w:rPr>
          <w:sz w:val="16"/>
          <w:szCs w:val="16"/>
        </w:rPr>
        <w:t>P</w:t>
      </w:r>
      <w:r w:rsidRPr="00661754">
        <w:rPr>
          <w:sz w:val="16"/>
          <w:szCs w:val="16"/>
          <w:lang w:val="en-US"/>
        </w:rPr>
        <w:t>aragraph (</w:t>
      </w:r>
      <w:r>
        <w:rPr>
          <w:sz w:val="16"/>
          <w:szCs w:val="16"/>
          <w:lang w:val="en-US"/>
        </w:rPr>
        <w:t>6</w:t>
      </w:r>
      <w:r w:rsidRPr="00661754">
        <w:rPr>
          <w:sz w:val="16"/>
          <w:szCs w:val="16"/>
          <w:lang w:val="en-US"/>
        </w:rPr>
        <w:t>) substituted by the Finance Act, 2015.</w:t>
      </w:r>
      <w:r>
        <w:rPr>
          <w:sz w:val="16"/>
          <w:szCs w:val="16"/>
          <w:lang w:val="en-US"/>
        </w:rPr>
        <w:t xml:space="preserve"> Substituted paragraph read as follows:-</w:t>
      </w:r>
    </w:p>
    <w:p w:rsidR="00BF2117" w:rsidRPr="00216F3C" w:rsidRDefault="00BF2117" w:rsidP="00216F3C">
      <w:pPr>
        <w:keepNext/>
        <w:ind w:left="547"/>
        <w:jc w:val="both"/>
        <w:rPr>
          <w:sz w:val="16"/>
          <w:szCs w:val="16"/>
          <w:lang w:val="en-US"/>
        </w:rPr>
      </w:pPr>
      <w:r>
        <w:rPr>
          <w:sz w:val="16"/>
          <w:szCs w:val="16"/>
        </w:rPr>
        <w:t>“</w:t>
      </w:r>
      <w:r w:rsidRPr="00216F3C">
        <w:rPr>
          <w:sz w:val="16"/>
          <w:szCs w:val="16"/>
        </w:rPr>
        <w:t>(6)</w:t>
      </w:r>
      <w:r w:rsidRPr="00216F3C">
        <w:rPr>
          <w:sz w:val="16"/>
          <w:szCs w:val="16"/>
        </w:rPr>
        <w:tab/>
        <w:t xml:space="preserve">The rate of tax to be deducted from a payment referred to in clause (c) of sub-section </w:t>
      </w:r>
      <w:r>
        <w:rPr>
          <w:sz w:val="16"/>
          <w:szCs w:val="16"/>
        </w:rPr>
        <w:tab/>
      </w:r>
      <w:r w:rsidRPr="00216F3C">
        <w:rPr>
          <w:sz w:val="16"/>
          <w:szCs w:val="16"/>
        </w:rPr>
        <w:t>(2A) of section 152 shall be six per cent</w:t>
      </w:r>
      <w:r>
        <w:rPr>
          <w:sz w:val="16"/>
          <w:szCs w:val="16"/>
        </w:rPr>
        <w:t xml:space="preserve"> of the gross amount payable.”</w:t>
      </w:r>
    </w:p>
  </w:footnote>
  <w:footnote w:id="1652">
    <w:p w:rsidR="00BF2117" w:rsidRPr="0009763F" w:rsidRDefault="00BF2117" w:rsidP="00AB1A87">
      <w:pPr>
        <w:pStyle w:val="FootnoteText"/>
        <w:ind w:left="180" w:hanging="180"/>
        <w:jc w:val="both"/>
        <w:rPr>
          <w:color w:val="0070C0"/>
          <w:sz w:val="16"/>
          <w:szCs w:val="16"/>
        </w:rPr>
      </w:pPr>
      <w:r w:rsidRPr="0009763F">
        <w:rPr>
          <w:rStyle w:val="FootnoteReference"/>
          <w:color w:val="0070C0"/>
          <w:sz w:val="16"/>
          <w:szCs w:val="16"/>
        </w:rPr>
        <w:footnoteRef/>
      </w:r>
      <w:r w:rsidRPr="0009763F">
        <w:rPr>
          <w:color w:val="0070C0"/>
          <w:sz w:val="16"/>
          <w:szCs w:val="16"/>
        </w:rPr>
        <w:t xml:space="preserve"> Sub-paragraph (ii) substituted by the Finance Act, 2016. Substituted  sub-paragraph read as follows:-</w:t>
      </w:r>
    </w:p>
    <w:p w:rsidR="00BF2117" w:rsidRPr="00B6453A" w:rsidRDefault="00BF2117" w:rsidP="00AB1A87">
      <w:pPr>
        <w:pStyle w:val="FootnoteText"/>
        <w:ind w:left="577" w:firstLine="0"/>
        <w:jc w:val="both"/>
        <w:rPr>
          <w:color w:val="FF0000"/>
          <w:sz w:val="16"/>
          <w:szCs w:val="16"/>
          <w:lang w:val="en-US"/>
        </w:rPr>
      </w:pPr>
      <w:r>
        <w:rPr>
          <w:color w:val="FF0000"/>
          <w:sz w:val="16"/>
          <w:szCs w:val="16"/>
        </w:rPr>
        <w:t>“</w:t>
      </w:r>
      <w:r w:rsidRPr="008352FE">
        <w:rPr>
          <w:color w:val="000000" w:themeColor="text1"/>
          <w:sz w:val="16"/>
          <w:szCs w:val="16"/>
        </w:rPr>
        <w:t>(ii)</w:t>
      </w:r>
      <w:r w:rsidRPr="008352FE">
        <w:rPr>
          <w:rFonts w:cs="Arial"/>
          <w:color w:val="000000" w:themeColor="text1"/>
          <w:sz w:val="16"/>
          <w:szCs w:val="16"/>
          <w:lang w:val="en-US"/>
        </w:rPr>
        <w:t xml:space="preserve"> in case of a company, 7% of the gross amount payable, if the company is a filer and </w:t>
      </w:r>
      <w:r>
        <w:rPr>
          <w:rFonts w:cs="Arial"/>
          <w:color w:val="000000" w:themeColor="text1"/>
          <w:sz w:val="16"/>
          <w:szCs w:val="16"/>
          <w:lang w:val="en-US"/>
        </w:rPr>
        <w:t xml:space="preserve">   </w:t>
      </w:r>
      <w:r w:rsidRPr="008352FE">
        <w:rPr>
          <w:rFonts w:cs="Arial"/>
          <w:color w:val="000000" w:themeColor="text1"/>
          <w:sz w:val="16"/>
          <w:szCs w:val="16"/>
          <w:lang w:val="en-US"/>
        </w:rPr>
        <w:t>10% if th</w:t>
      </w:r>
      <w:r>
        <w:rPr>
          <w:rFonts w:cs="Arial"/>
          <w:color w:val="000000" w:themeColor="text1"/>
          <w:sz w:val="16"/>
          <w:szCs w:val="16"/>
          <w:lang w:val="en-US"/>
        </w:rPr>
        <w:t>e company is a non-filer;”</w:t>
      </w:r>
    </w:p>
  </w:footnote>
  <w:footnote w:id="1653">
    <w:p w:rsidR="00BF2117" w:rsidRPr="0009763F" w:rsidRDefault="00BF2117">
      <w:pPr>
        <w:pStyle w:val="FootnoteText"/>
        <w:rPr>
          <w:color w:val="0070C0"/>
          <w:sz w:val="16"/>
          <w:szCs w:val="16"/>
        </w:rPr>
      </w:pPr>
      <w:r w:rsidRPr="0009763F">
        <w:rPr>
          <w:rStyle w:val="FootnoteReference"/>
          <w:color w:val="0070C0"/>
          <w:sz w:val="16"/>
          <w:szCs w:val="16"/>
        </w:rPr>
        <w:footnoteRef/>
      </w:r>
      <w:r w:rsidRPr="0009763F">
        <w:rPr>
          <w:color w:val="0070C0"/>
          <w:sz w:val="16"/>
          <w:szCs w:val="16"/>
        </w:rPr>
        <w:t xml:space="preserve"> Sub-paragraph (iii) omitted by the Finance Act, 2016. Omitted sub-paragraph read as follows:-</w:t>
      </w:r>
    </w:p>
    <w:p w:rsidR="00BF2117" w:rsidRPr="00AB1A87" w:rsidRDefault="00BF2117" w:rsidP="00AB1A87">
      <w:pPr>
        <w:autoSpaceDE w:val="0"/>
        <w:autoSpaceDN w:val="0"/>
        <w:adjustRightInd w:val="0"/>
        <w:ind w:left="900" w:hanging="360"/>
        <w:jc w:val="both"/>
        <w:rPr>
          <w:rFonts w:cs="Arial"/>
          <w:color w:val="000000" w:themeColor="text1"/>
          <w:sz w:val="16"/>
          <w:szCs w:val="16"/>
          <w:lang w:val="en-US"/>
        </w:rPr>
      </w:pPr>
      <w:r w:rsidRPr="00AB1A87">
        <w:rPr>
          <w:rFonts w:cs="Arial"/>
          <w:color w:val="000000" w:themeColor="text1"/>
          <w:sz w:val="16"/>
          <w:szCs w:val="16"/>
          <w:lang w:val="en-US"/>
        </w:rPr>
        <w:t>(iii)</w:t>
      </w:r>
      <w:r w:rsidRPr="00AB1A87">
        <w:rPr>
          <w:rFonts w:cs="Arial"/>
          <w:color w:val="000000" w:themeColor="text1"/>
          <w:sz w:val="16"/>
          <w:szCs w:val="16"/>
          <w:lang w:val="en-US"/>
        </w:rPr>
        <w:tab/>
        <w:t>in any other case, 7.5% of the gross amount payable, if the person is a filer and 10% if the person is a non-filer.”]</w:t>
      </w:r>
    </w:p>
    <w:p w:rsidR="00BF2117" w:rsidRPr="00AB1A87" w:rsidRDefault="00BF2117">
      <w:pPr>
        <w:pStyle w:val="FootnoteText"/>
        <w:rPr>
          <w:color w:val="FF0000"/>
          <w:sz w:val="16"/>
          <w:szCs w:val="16"/>
          <w:lang w:val="en-US"/>
        </w:rPr>
      </w:pPr>
    </w:p>
  </w:footnote>
  <w:footnote w:id="1654">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The word “cotton” omitted by the Finance Act, 2005.</w:t>
      </w:r>
    </w:p>
  </w:footnote>
  <w:footnote w:id="1655">
    <w:p w:rsidR="00BF2117" w:rsidRPr="00A86A37" w:rsidRDefault="00BF2117" w:rsidP="00AA4BF8">
      <w:pPr>
        <w:pStyle w:val="FootnoteText"/>
        <w:ind w:left="180" w:hanging="180"/>
        <w:jc w:val="both"/>
        <w:rPr>
          <w:sz w:val="16"/>
          <w:szCs w:val="16"/>
        </w:rPr>
      </w:pPr>
      <w:r w:rsidRPr="00A86A37">
        <w:rPr>
          <w:rStyle w:val="FootnoteReference"/>
          <w:rFonts w:cs="Arial"/>
          <w:sz w:val="16"/>
          <w:szCs w:val="16"/>
        </w:rPr>
        <w:footnoteRef/>
      </w:r>
      <w:r w:rsidRPr="00A86A37">
        <w:rPr>
          <w:sz w:val="16"/>
          <w:szCs w:val="16"/>
        </w:rPr>
        <w:t xml:space="preserve"> Substituted for the figure “1” by the Finance Act, 2003. Earlier this was substituted by S.R.O. 586(I)/2002 dated 28.08.2002  which stands rescinded by SRO 608(I)/2003, dated 24.06.2003 with effect from 01.07.2003.</w:t>
      </w:r>
    </w:p>
  </w:footnote>
  <w:footnote w:id="1656">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Inserted by the Finance Act, 2016.</w:t>
      </w:r>
    </w:p>
  </w:footnote>
  <w:footnote w:id="1657">
    <w:p w:rsidR="00BF2117" w:rsidRDefault="00BF2117" w:rsidP="002D7671">
      <w:pPr>
        <w:ind w:left="90" w:hanging="90"/>
        <w:jc w:val="both"/>
        <w:rPr>
          <w:sz w:val="16"/>
          <w:szCs w:val="16"/>
        </w:rPr>
      </w:pPr>
      <w:r w:rsidRPr="002D7671">
        <w:rPr>
          <w:rStyle w:val="FootnoteReference"/>
          <w:sz w:val="16"/>
          <w:szCs w:val="16"/>
        </w:rPr>
        <w:footnoteRef/>
      </w:r>
      <w:r>
        <w:rPr>
          <w:sz w:val="16"/>
          <w:szCs w:val="16"/>
        </w:rPr>
        <w:t>Clauses (i) and (ii) of sub-paragraph (b) of paragraph (1) substituted by the Finance Act, 2015. The substituted clauses read as follows:-</w:t>
      </w:r>
    </w:p>
    <w:p w:rsidR="00BF2117" w:rsidRPr="000271E2" w:rsidRDefault="00BF2117" w:rsidP="002D7671">
      <w:pPr>
        <w:ind w:left="90" w:firstLine="180"/>
        <w:jc w:val="both"/>
        <w:rPr>
          <w:color w:val="000000" w:themeColor="text1"/>
          <w:sz w:val="16"/>
          <w:szCs w:val="16"/>
        </w:rPr>
      </w:pPr>
      <w:r>
        <w:rPr>
          <w:sz w:val="16"/>
          <w:szCs w:val="16"/>
        </w:rPr>
        <w:t>“</w:t>
      </w:r>
      <w:r w:rsidRPr="000271E2">
        <w:rPr>
          <w:sz w:val="16"/>
          <w:szCs w:val="16"/>
        </w:rPr>
        <w:t xml:space="preserve">(i) </w:t>
      </w:r>
      <w:r w:rsidRPr="000271E2">
        <w:rPr>
          <w:sz w:val="16"/>
          <w:szCs w:val="16"/>
        </w:rPr>
        <w:tab/>
      </w:r>
      <w:r w:rsidRPr="000271E2">
        <w:rPr>
          <w:color w:val="000000" w:themeColor="text1"/>
          <w:sz w:val="16"/>
          <w:szCs w:val="16"/>
        </w:rPr>
        <w:t xml:space="preserve"> 4% of the gross amount payable in the case of companies; and</w:t>
      </w:r>
    </w:p>
    <w:p w:rsidR="00BF2117" w:rsidRPr="002D7671" w:rsidRDefault="00BF2117" w:rsidP="00AF6832">
      <w:pPr>
        <w:ind w:left="540" w:hanging="270"/>
        <w:jc w:val="both"/>
        <w:rPr>
          <w:sz w:val="16"/>
          <w:szCs w:val="16"/>
          <w:lang w:val="en-US"/>
        </w:rPr>
      </w:pPr>
      <w:r w:rsidRPr="000271E2">
        <w:rPr>
          <w:color w:val="000000" w:themeColor="text1"/>
          <w:sz w:val="16"/>
          <w:szCs w:val="16"/>
        </w:rPr>
        <w:t xml:space="preserve">(ii) </w:t>
      </w:r>
      <w:r w:rsidRPr="000271E2">
        <w:rPr>
          <w:color w:val="000000" w:themeColor="text1"/>
          <w:sz w:val="16"/>
          <w:szCs w:val="16"/>
        </w:rPr>
        <w:tab/>
        <w:t xml:space="preserve"> 4.5%</w:t>
      </w:r>
      <w:r w:rsidRPr="000271E2">
        <w:rPr>
          <w:sz w:val="16"/>
          <w:szCs w:val="16"/>
        </w:rPr>
        <w:t>of the gross amount payable in the case of other taxpayers.</w:t>
      </w:r>
      <w:r>
        <w:rPr>
          <w:sz w:val="16"/>
          <w:szCs w:val="16"/>
        </w:rPr>
        <w:t>”</w:t>
      </w:r>
    </w:p>
  </w:footnote>
  <w:footnote w:id="1658">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Substituted by the Finance Act, 2007. The substituted clause (2) read as follows: </w:t>
      </w:r>
    </w:p>
    <w:p w:rsidR="00BF2117" w:rsidRPr="00A86A37" w:rsidRDefault="00BF2117" w:rsidP="00AA4BF8">
      <w:pPr>
        <w:pStyle w:val="FootnoteText"/>
        <w:ind w:left="180" w:firstLine="0"/>
        <w:jc w:val="both"/>
        <w:rPr>
          <w:sz w:val="16"/>
          <w:szCs w:val="16"/>
        </w:rPr>
      </w:pPr>
      <w:r w:rsidRPr="00A86A37">
        <w:rPr>
          <w:sz w:val="16"/>
          <w:szCs w:val="16"/>
        </w:rPr>
        <w:t>“</w:t>
      </w:r>
      <w:r w:rsidRPr="00A86A37">
        <w:rPr>
          <w:sz w:val="16"/>
          <w:szCs w:val="16"/>
          <w:lang w:val="en-US"/>
        </w:rPr>
        <w:t xml:space="preserve"> [(2) the rate of tax to be deducted from a payment referred to in clause (b) of sub-section (1) of section 153 shall be 6% of the gross amount payable.”</w:t>
      </w:r>
    </w:p>
  </w:footnote>
  <w:footnote w:id="1659">
    <w:p w:rsidR="00BF2117" w:rsidRDefault="00BF2117" w:rsidP="001074DE">
      <w:pPr>
        <w:pStyle w:val="BodyTextIndent"/>
        <w:ind w:left="90" w:hanging="90"/>
        <w:jc w:val="both"/>
        <w:rPr>
          <w:sz w:val="16"/>
          <w:szCs w:val="16"/>
        </w:rPr>
      </w:pPr>
      <w:r w:rsidRPr="00941917">
        <w:rPr>
          <w:rStyle w:val="FootnoteReference"/>
          <w:sz w:val="16"/>
          <w:szCs w:val="16"/>
        </w:rPr>
        <w:footnoteRef/>
      </w:r>
      <w:r>
        <w:rPr>
          <w:sz w:val="16"/>
          <w:szCs w:val="16"/>
        </w:rPr>
        <w:t>Clauses (a) and (b) of sub-paragraph (ii) of paragraph (2) substituted by the Finance Act, 2015. The substituted clauses read as follows:-</w:t>
      </w:r>
    </w:p>
    <w:p w:rsidR="00BF2117" w:rsidRPr="00941917" w:rsidRDefault="00BF2117" w:rsidP="001074DE">
      <w:pPr>
        <w:pStyle w:val="BodyTextIndent"/>
        <w:ind w:left="90" w:firstLine="457"/>
        <w:jc w:val="both"/>
        <w:rPr>
          <w:color w:val="000000" w:themeColor="text1"/>
          <w:sz w:val="16"/>
          <w:szCs w:val="16"/>
        </w:rPr>
      </w:pPr>
      <w:r>
        <w:rPr>
          <w:sz w:val="16"/>
          <w:szCs w:val="16"/>
        </w:rPr>
        <w:t>“</w:t>
      </w:r>
      <w:r w:rsidRPr="00941917">
        <w:rPr>
          <w:sz w:val="16"/>
          <w:szCs w:val="16"/>
        </w:rPr>
        <w:t xml:space="preserve">(a) </w:t>
      </w:r>
      <w:r w:rsidRPr="00941917">
        <w:rPr>
          <w:sz w:val="16"/>
          <w:szCs w:val="16"/>
        </w:rPr>
        <w:tab/>
      </w:r>
      <w:r w:rsidRPr="00941917">
        <w:rPr>
          <w:color w:val="000000" w:themeColor="text1"/>
          <w:sz w:val="16"/>
          <w:szCs w:val="16"/>
        </w:rPr>
        <w:t xml:space="preserve"> 8%of the gross amount payable in the case of companies; and </w:t>
      </w:r>
    </w:p>
    <w:p w:rsidR="00BF2117" w:rsidRPr="00941917" w:rsidRDefault="00BF2117" w:rsidP="00941917">
      <w:pPr>
        <w:pStyle w:val="FootnoteText"/>
        <w:ind w:left="90" w:hanging="90"/>
        <w:rPr>
          <w:sz w:val="16"/>
          <w:szCs w:val="16"/>
          <w:lang w:val="en-US"/>
        </w:rPr>
      </w:pPr>
      <w:r>
        <w:rPr>
          <w:color w:val="000000" w:themeColor="text1"/>
          <w:sz w:val="20"/>
        </w:rPr>
        <w:tab/>
      </w:r>
      <w:r>
        <w:rPr>
          <w:color w:val="000000" w:themeColor="text1"/>
          <w:sz w:val="20"/>
        </w:rPr>
        <w:tab/>
      </w:r>
      <w:r w:rsidRPr="00941917">
        <w:rPr>
          <w:color w:val="000000" w:themeColor="text1"/>
          <w:sz w:val="16"/>
          <w:szCs w:val="16"/>
        </w:rPr>
        <w:t xml:space="preserve">(b) </w:t>
      </w:r>
      <w:r w:rsidRPr="00941917">
        <w:rPr>
          <w:color w:val="000000" w:themeColor="text1"/>
          <w:sz w:val="16"/>
          <w:szCs w:val="16"/>
        </w:rPr>
        <w:tab/>
        <w:t xml:space="preserve"> 10%</w:t>
      </w:r>
      <w:r w:rsidRPr="00941917">
        <w:rPr>
          <w:sz w:val="16"/>
          <w:szCs w:val="16"/>
        </w:rPr>
        <w:t xml:space="preserve"> of the gross amount payable in the case of other taxpayers</w:t>
      </w:r>
      <w:r>
        <w:rPr>
          <w:sz w:val="16"/>
          <w:szCs w:val="16"/>
        </w:rPr>
        <w:t>.”</w:t>
      </w:r>
    </w:p>
  </w:footnote>
  <w:footnote w:id="1660">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The figure “1%” substituted by the Finance Act, 2016.</w:t>
      </w:r>
    </w:p>
  </w:footnote>
  <w:footnote w:id="1661">
    <w:p w:rsidR="00BF2117" w:rsidRPr="00A86A37" w:rsidRDefault="00BF2117" w:rsidP="00AA4BF8">
      <w:pPr>
        <w:pStyle w:val="FootnoteText"/>
        <w:ind w:left="180" w:hanging="180"/>
        <w:rPr>
          <w:sz w:val="16"/>
          <w:szCs w:val="16"/>
        </w:rPr>
      </w:pPr>
      <w:r w:rsidRPr="00A86A37">
        <w:rPr>
          <w:rStyle w:val="FootnoteReference"/>
          <w:rFonts w:cs="Arial"/>
          <w:sz w:val="16"/>
          <w:szCs w:val="16"/>
        </w:rPr>
        <w:footnoteRef/>
      </w:r>
      <w:r w:rsidRPr="00A86A37">
        <w:rPr>
          <w:sz w:val="16"/>
          <w:szCs w:val="16"/>
        </w:rPr>
        <w:t xml:space="preserve"> The figure, words and full stop “6% of the gross amount payable.” Substituted by the Finance Act, 2013.</w:t>
      </w:r>
    </w:p>
  </w:footnote>
  <w:footnote w:id="1662">
    <w:p w:rsidR="00BF2117" w:rsidRDefault="00BF2117" w:rsidP="0060588B">
      <w:pPr>
        <w:pStyle w:val="BodyTextIndent"/>
        <w:ind w:left="90" w:hanging="90"/>
        <w:jc w:val="both"/>
        <w:rPr>
          <w:sz w:val="16"/>
          <w:szCs w:val="16"/>
        </w:rPr>
      </w:pPr>
      <w:r w:rsidRPr="0060588B">
        <w:rPr>
          <w:rStyle w:val="FootnoteReference"/>
          <w:sz w:val="16"/>
          <w:szCs w:val="16"/>
        </w:rPr>
        <w:footnoteRef/>
      </w:r>
      <w:r>
        <w:rPr>
          <w:sz w:val="16"/>
          <w:szCs w:val="16"/>
        </w:rPr>
        <w:t xml:space="preserve">Sub-paragraphs (i), (ii) and (iii) of paragraph (3) substituted by the Finance Act, 2015. The substituted sub-paragraphs read as follows:- </w:t>
      </w:r>
    </w:p>
    <w:p w:rsidR="00BF2117" w:rsidRPr="0060588B" w:rsidRDefault="00BF2117" w:rsidP="0060588B">
      <w:pPr>
        <w:pStyle w:val="BodyTextIndent"/>
        <w:ind w:left="637" w:firstLine="457"/>
        <w:jc w:val="both"/>
        <w:rPr>
          <w:color w:val="000000" w:themeColor="text1"/>
          <w:sz w:val="16"/>
          <w:szCs w:val="16"/>
        </w:rPr>
      </w:pPr>
      <w:r>
        <w:rPr>
          <w:sz w:val="16"/>
          <w:szCs w:val="16"/>
        </w:rPr>
        <w:t>“</w:t>
      </w:r>
      <w:r w:rsidRPr="0060588B">
        <w:rPr>
          <w:color w:val="000000" w:themeColor="text1"/>
          <w:sz w:val="16"/>
          <w:szCs w:val="16"/>
        </w:rPr>
        <w:t xml:space="preserve">(i) </w:t>
      </w:r>
      <w:r w:rsidRPr="0060588B">
        <w:rPr>
          <w:color w:val="000000" w:themeColor="text1"/>
          <w:sz w:val="16"/>
          <w:szCs w:val="16"/>
        </w:rPr>
        <w:tab/>
        <w:t xml:space="preserve"> 7%of the gross amount payable in the case of companies; and</w:t>
      </w:r>
      <w:r w:rsidRPr="0060588B">
        <w:rPr>
          <w:color w:val="000000" w:themeColor="text1"/>
          <w:sz w:val="16"/>
          <w:szCs w:val="16"/>
        </w:rPr>
        <w:tab/>
      </w:r>
      <w:r w:rsidRPr="0060588B">
        <w:rPr>
          <w:color w:val="000000" w:themeColor="text1"/>
          <w:sz w:val="16"/>
          <w:szCs w:val="16"/>
        </w:rPr>
        <w:tab/>
      </w:r>
    </w:p>
    <w:p w:rsidR="00BF2117" w:rsidRPr="0060588B" w:rsidRDefault="00BF2117" w:rsidP="0060588B">
      <w:pPr>
        <w:pStyle w:val="BodyTextIndent"/>
        <w:ind w:left="0" w:firstLine="0"/>
        <w:jc w:val="both"/>
        <w:rPr>
          <w:color w:val="000000" w:themeColor="text1"/>
          <w:sz w:val="16"/>
          <w:szCs w:val="16"/>
        </w:rPr>
      </w:pPr>
      <w:r w:rsidRPr="0060588B">
        <w:rPr>
          <w:color w:val="000000" w:themeColor="text1"/>
          <w:sz w:val="16"/>
          <w:szCs w:val="16"/>
        </w:rPr>
        <w:tab/>
      </w:r>
      <w:r w:rsidRPr="0060588B">
        <w:rPr>
          <w:color w:val="000000" w:themeColor="text1"/>
          <w:sz w:val="16"/>
          <w:szCs w:val="16"/>
        </w:rPr>
        <w:tab/>
        <w:t xml:space="preserve">(ii) </w:t>
      </w:r>
      <w:r w:rsidRPr="0060588B">
        <w:rPr>
          <w:color w:val="000000" w:themeColor="text1"/>
          <w:sz w:val="16"/>
          <w:szCs w:val="16"/>
        </w:rPr>
        <w:tab/>
        <w:t xml:space="preserve"> 7.5% of the gross amount payable in the case of other</w:t>
      </w:r>
      <w:r>
        <w:rPr>
          <w:color w:val="000000" w:themeColor="text1"/>
          <w:sz w:val="16"/>
          <w:szCs w:val="16"/>
        </w:rPr>
        <w:t xml:space="preserve"> </w:t>
      </w:r>
      <w:r w:rsidRPr="0060588B">
        <w:rPr>
          <w:color w:val="000000" w:themeColor="text1"/>
          <w:sz w:val="16"/>
          <w:szCs w:val="16"/>
        </w:rPr>
        <w:t>taxpayers.</w:t>
      </w:r>
    </w:p>
    <w:p w:rsidR="00BF2117" w:rsidRPr="0060588B" w:rsidRDefault="00BF2117" w:rsidP="0060588B">
      <w:pPr>
        <w:pStyle w:val="BodyTextIndent"/>
        <w:ind w:left="547" w:firstLine="443"/>
        <w:jc w:val="both"/>
        <w:rPr>
          <w:sz w:val="16"/>
          <w:szCs w:val="16"/>
          <w:lang w:val="en-US"/>
        </w:rPr>
      </w:pPr>
      <w:r w:rsidRPr="0060588B">
        <w:rPr>
          <w:color w:val="000000" w:themeColor="text1"/>
          <w:sz w:val="16"/>
          <w:szCs w:val="16"/>
        </w:rPr>
        <w:t xml:space="preserve">  (iii)  </w:t>
      </w:r>
      <w:r>
        <w:rPr>
          <w:color w:val="000000" w:themeColor="text1"/>
          <w:sz w:val="16"/>
          <w:szCs w:val="16"/>
        </w:rPr>
        <w:tab/>
      </w:r>
      <w:r w:rsidRPr="0060588B">
        <w:rPr>
          <w:color w:val="000000" w:themeColor="text1"/>
          <w:sz w:val="16"/>
          <w:szCs w:val="16"/>
        </w:rPr>
        <w:t>10% of the gross amount payable in case of sportspersons.</w:t>
      </w:r>
      <w:r>
        <w:rPr>
          <w:color w:val="000000" w:themeColor="text1"/>
          <w:sz w:val="16"/>
          <w:szCs w:val="16"/>
        </w:rPr>
        <w:t>”</w:t>
      </w:r>
    </w:p>
  </w:footnote>
  <w:footnote w:id="1663">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Clause (4) omitted by the Finance Act, 2006. The omitted clause (4) read as follows:</w:t>
      </w:r>
    </w:p>
    <w:p w:rsidR="00BF2117" w:rsidRPr="00A86A37" w:rsidRDefault="00BF2117" w:rsidP="00AA4BF8">
      <w:pPr>
        <w:pStyle w:val="Header"/>
        <w:ind w:left="180" w:hanging="90"/>
        <w:jc w:val="both"/>
        <w:rPr>
          <w:sz w:val="16"/>
          <w:szCs w:val="16"/>
        </w:rPr>
      </w:pPr>
      <w:r w:rsidRPr="00A86A37">
        <w:rPr>
          <w:sz w:val="16"/>
          <w:szCs w:val="16"/>
        </w:rPr>
        <w:t xml:space="preserve">“ (4) </w:t>
      </w:r>
      <w:r w:rsidRPr="00A86A37">
        <w:rPr>
          <w:sz w:val="16"/>
          <w:szCs w:val="16"/>
        </w:rPr>
        <w:tab/>
        <w:t>The rate of tax to be deducted from a payment referred to in sub-section (3) of section 153 shall be 6% of the gross amount payable.”</w:t>
      </w:r>
    </w:p>
  </w:footnote>
  <w:footnote w:id="1664">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“Division IIIA” omitted by the Finance Act, 2012. The omitted “Division IIIA” read as follows:-</w:t>
      </w:r>
    </w:p>
    <w:p w:rsidR="00BF2117" w:rsidRPr="00A86A37" w:rsidRDefault="00BF2117" w:rsidP="00AA4BF8">
      <w:pPr>
        <w:pStyle w:val="Heading2"/>
        <w:spacing w:line="240" w:lineRule="auto"/>
        <w:rPr>
          <w:sz w:val="16"/>
          <w:szCs w:val="16"/>
        </w:rPr>
      </w:pPr>
      <w:r w:rsidRPr="00A86A37">
        <w:rPr>
          <w:sz w:val="16"/>
          <w:szCs w:val="16"/>
        </w:rPr>
        <w:t>“Division IIIA</w:t>
      </w:r>
    </w:p>
    <w:p w:rsidR="00BF2117" w:rsidRPr="00A86A37" w:rsidRDefault="00BF2117" w:rsidP="00AA4BF8">
      <w:pPr>
        <w:pStyle w:val="Heading2"/>
        <w:spacing w:line="240" w:lineRule="auto"/>
        <w:rPr>
          <w:sz w:val="16"/>
          <w:szCs w:val="16"/>
        </w:rPr>
      </w:pPr>
      <w:r w:rsidRPr="00A86A37">
        <w:rPr>
          <w:sz w:val="16"/>
          <w:szCs w:val="16"/>
        </w:rPr>
        <w:t>Payments to non-resident media persons</w:t>
      </w:r>
    </w:p>
    <w:p w:rsidR="00BF2117" w:rsidRPr="00A86A37" w:rsidRDefault="00BF2117" w:rsidP="00A86A37">
      <w:pPr>
        <w:pStyle w:val="Header"/>
        <w:tabs>
          <w:tab w:val="clear" w:pos="4320"/>
          <w:tab w:val="clear" w:pos="8640"/>
        </w:tabs>
        <w:jc w:val="both"/>
        <w:rPr>
          <w:sz w:val="16"/>
          <w:szCs w:val="16"/>
        </w:rPr>
      </w:pPr>
      <w:r w:rsidRPr="00A86A37">
        <w:rPr>
          <w:sz w:val="16"/>
          <w:szCs w:val="16"/>
        </w:rPr>
        <w:tab/>
      </w:r>
      <w:r w:rsidRPr="00A86A37">
        <w:rPr>
          <w:sz w:val="16"/>
          <w:szCs w:val="16"/>
        </w:rPr>
        <w:tab/>
        <w:t>The rate of tax to be deducted under section 153A, shall be 10% of the gross amount paid.”</w:t>
      </w:r>
    </w:p>
  </w:footnote>
  <w:footnote w:id="1665">
    <w:p w:rsidR="00BF2117" w:rsidRPr="00A86A37" w:rsidRDefault="00BF2117" w:rsidP="00AA4BF8">
      <w:pPr>
        <w:pStyle w:val="FootnoteText"/>
        <w:rPr>
          <w:sz w:val="16"/>
          <w:szCs w:val="16"/>
        </w:rPr>
      </w:pPr>
      <w:r w:rsidRPr="00A86A37">
        <w:rPr>
          <w:rStyle w:val="FootnoteReference"/>
          <w:rFonts w:cs="Arial"/>
          <w:sz w:val="16"/>
          <w:szCs w:val="16"/>
        </w:rPr>
        <w:footnoteRef/>
      </w:r>
      <w:r w:rsidRPr="00A86A37">
        <w:rPr>
          <w:sz w:val="16"/>
          <w:szCs w:val="16"/>
        </w:rPr>
        <w:t xml:space="preserve"> Clause (1) substituted by the Finance Act, 2009. The substituted clause (1) read as follows: -</w:t>
      </w:r>
    </w:p>
    <w:p w:rsidR="00BF2117" w:rsidRPr="00A86A37" w:rsidRDefault="00BF2117" w:rsidP="00AA4BF8">
      <w:pPr>
        <w:pStyle w:val="FootnoteText"/>
        <w:ind w:left="270" w:firstLine="277"/>
        <w:rPr>
          <w:sz w:val="16"/>
          <w:szCs w:val="16"/>
        </w:rPr>
      </w:pPr>
      <w:r w:rsidRPr="00A86A37">
        <w:rPr>
          <w:sz w:val="16"/>
          <w:szCs w:val="16"/>
        </w:rPr>
        <w:t>“(1)</w:t>
      </w:r>
      <w:r w:rsidRPr="00A86A37">
        <w:rPr>
          <w:sz w:val="16"/>
          <w:szCs w:val="16"/>
        </w:rPr>
        <w:tab/>
        <w:t>The rate of tax to be deducted under sub-sections (1), (3), (3A) or (3B) of section 154 shall be 1% of the proceeds of the export.”</w:t>
      </w:r>
      <w:r w:rsidRPr="00A86A37">
        <w:rPr>
          <w:sz w:val="16"/>
          <w:szCs w:val="16"/>
        </w:rPr>
        <w:tab/>
      </w:r>
    </w:p>
  </w:footnote>
  <w:footnote w:id="1666">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Figure “10” substituted for the figure “10” by the Finance Act, 2003.</w:t>
      </w:r>
    </w:p>
  </w:footnote>
  <w:footnote w:id="1667">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words “of the proceeds of the export” omitted by the Finance Act, 2003.</w:t>
      </w:r>
    </w:p>
  </w:footnote>
  <w:footnote w:id="1668">
    <w:p w:rsidR="00BF2117" w:rsidRDefault="00BF2117" w:rsidP="00AA4BF8">
      <w:pPr>
        <w:pStyle w:val="FootnoteText"/>
      </w:pPr>
      <w:r w:rsidRPr="00412620">
        <w:rPr>
          <w:rStyle w:val="FootnoteReference"/>
          <w:rFonts w:cs="Arial"/>
        </w:rPr>
        <w:footnoteRef/>
      </w:r>
      <w:r w:rsidRPr="00412620">
        <w:rPr>
          <w:sz w:val="16"/>
          <w:szCs w:val="16"/>
        </w:rPr>
        <w:t>The figure, brackets and letter “(1A)” substituted by the Finance Act, 2011.</w:t>
      </w:r>
    </w:p>
  </w:footnote>
  <w:footnote w:id="1669">
    <w:p w:rsidR="00BF2117" w:rsidRPr="00DD1A3B" w:rsidRDefault="00BF2117">
      <w:pPr>
        <w:pStyle w:val="FootnoteText"/>
        <w:rPr>
          <w:color w:val="000000" w:themeColor="text1"/>
          <w:lang w:val="en-US"/>
        </w:rPr>
      </w:pPr>
      <w:r w:rsidRPr="00DD1A3B">
        <w:rPr>
          <w:rStyle w:val="FootnoteReference"/>
          <w:color w:val="000000" w:themeColor="text1"/>
        </w:rPr>
        <w:footnoteRef/>
      </w:r>
      <w:r w:rsidRPr="00DD1A3B">
        <w:rPr>
          <w:color w:val="000000" w:themeColor="text1"/>
          <w:sz w:val="16"/>
          <w:lang w:val="en-US"/>
        </w:rPr>
        <w:t>Figure “0.5” substituted by the figure “1” by the Finance Act, 2014.</w:t>
      </w:r>
    </w:p>
  </w:footnote>
  <w:footnote w:id="1670">
    <w:p w:rsidR="00BF2117" w:rsidRPr="00412620" w:rsidRDefault="00BF2117" w:rsidP="00AA4BF8">
      <w:pPr>
        <w:pStyle w:val="FootnoteText"/>
        <w:rPr>
          <w:sz w:val="16"/>
          <w:szCs w:val="16"/>
        </w:rPr>
      </w:pPr>
      <w:r w:rsidRPr="00412620">
        <w:rPr>
          <w:rStyle w:val="FootnoteReference"/>
          <w:rFonts w:cs="Arial"/>
        </w:rPr>
        <w:footnoteRef/>
      </w:r>
      <w:r w:rsidRPr="00412620">
        <w:rPr>
          <w:sz w:val="16"/>
          <w:szCs w:val="16"/>
        </w:rPr>
        <w:t>“Division V” substituted by the Finance Act, 2013. The substituted “Division V” read as follows:</w:t>
      </w:r>
    </w:p>
    <w:p w:rsidR="00BF2117" w:rsidRPr="00412620" w:rsidRDefault="00BF2117" w:rsidP="00AA4BF8">
      <w:pPr>
        <w:pStyle w:val="Heading2"/>
        <w:spacing w:line="240" w:lineRule="auto"/>
        <w:rPr>
          <w:sz w:val="16"/>
          <w:szCs w:val="16"/>
        </w:rPr>
      </w:pPr>
      <w:r w:rsidRPr="00412620">
        <w:rPr>
          <w:sz w:val="16"/>
          <w:szCs w:val="16"/>
        </w:rPr>
        <w:t>“Division V</w:t>
      </w:r>
    </w:p>
    <w:p w:rsidR="00BF2117" w:rsidRPr="00412620" w:rsidRDefault="00BF2117" w:rsidP="00AA4BF8">
      <w:pPr>
        <w:pStyle w:val="Heading8"/>
        <w:rPr>
          <w:i w:val="0"/>
          <w:iCs/>
          <w:sz w:val="16"/>
          <w:szCs w:val="16"/>
        </w:rPr>
      </w:pPr>
      <w:r w:rsidRPr="00412620">
        <w:rPr>
          <w:i w:val="0"/>
          <w:sz w:val="16"/>
          <w:szCs w:val="16"/>
        </w:rPr>
        <w:t>Income from Property</w:t>
      </w:r>
    </w:p>
    <w:p w:rsidR="00BF2117" w:rsidRPr="00412620" w:rsidRDefault="00BF2117" w:rsidP="00AA4BF8">
      <w:pPr>
        <w:spacing w:before="120" w:after="120"/>
        <w:ind w:left="1530" w:hanging="435"/>
        <w:jc w:val="both"/>
        <w:rPr>
          <w:sz w:val="16"/>
          <w:szCs w:val="16"/>
        </w:rPr>
      </w:pPr>
      <w:r w:rsidRPr="00412620">
        <w:rPr>
          <w:sz w:val="16"/>
          <w:szCs w:val="16"/>
        </w:rPr>
        <w:t xml:space="preserve"> (a)  The rate of tax to be deducted under section 155, in the case of individual and association of persons, shall be—</w:t>
      </w:r>
    </w:p>
    <w:tbl>
      <w:tblPr>
        <w:tblW w:w="6946" w:type="dxa"/>
        <w:tblInd w:w="2" w:type="dxa"/>
        <w:tblLook w:val="01E0"/>
      </w:tblPr>
      <w:tblGrid>
        <w:gridCol w:w="728"/>
        <w:gridCol w:w="2602"/>
        <w:gridCol w:w="3616"/>
      </w:tblGrid>
      <w:tr w:rsidR="00BF2117" w:rsidRPr="00412620" w:rsidTr="00D9695E">
        <w:tc>
          <w:tcPr>
            <w:tcW w:w="728" w:type="dxa"/>
            <w:tcBorders>
              <w:top w:val="single" w:sz="4" w:space="0" w:color="auto"/>
              <w:bottom w:val="single" w:sz="4" w:space="0" w:color="auto"/>
            </w:tcBorders>
          </w:tcPr>
          <w:p w:rsidR="00BF2117" w:rsidRPr="00412620" w:rsidRDefault="00BF2117" w:rsidP="0000382B">
            <w:pPr>
              <w:spacing w:before="120" w:after="120"/>
              <w:jc w:val="both"/>
              <w:rPr>
                <w:b/>
                <w:bCs/>
                <w:sz w:val="16"/>
                <w:szCs w:val="16"/>
              </w:rPr>
            </w:pPr>
            <w:r w:rsidRPr="00412620">
              <w:rPr>
                <w:b/>
                <w:bCs/>
                <w:sz w:val="16"/>
                <w:szCs w:val="16"/>
              </w:rPr>
              <w:t>S.No.</w:t>
            </w:r>
          </w:p>
        </w:tc>
        <w:tc>
          <w:tcPr>
            <w:tcW w:w="2602" w:type="dxa"/>
            <w:tcBorders>
              <w:top w:val="single" w:sz="4" w:space="0" w:color="auto"/>
              <w:bottom w:val="single" w:sz="4" w:space="0" w:color="auto"/>
            </w:tcBorders>
          </w:tcPr>
          <w:p w:rsidR="00BF2117" w:rsidRPr="00412620" w:rsidRDefault="00BF2117" w:rsidP="0000382B">
            <w:pPr>
              <w:spacing w:before="120" w:after="120"/>
              <w:ind w:right="252"/>
              <w:jc w:val="center"/>
              <w:rPr>
                <w:b/>
                <w:bCs/>
                <w:sz w:val="16"/>
                <w:szCs w:val="16"/>
              </w:rPr>
            </w:pPr>
            <w:r w:rsidRPr="00412620">
              <w:rPr>
                <w:b/>
                <w:bCs/>
                <w:sz w:val="16"/>
                <w:szCs w:val="16"/>
              </w:rPr>
              <w:t>Gross amount of rent</w:t>
            </w:r>
          </w:p>
        </w:tc>
        <w:tc>
          <w:tcPr>
            <w:tcW w:w="3616" w:type="dxa"/>
            <w:tcBorders>
              <w:top w:val="single" w:sz="4" w:space="0" w:color="auto"/>
              <w:bottom w:val="single" w:sz="4" w:space="0" w:color="auto"/>
            </w:tcBorders>
          </w:tcPr>
          <w:p w:rsidR="00BF2117" w:rsidRPr="00412620" w:rsidRDefault="00BF2117" w:rsidP="0000382B">
            <w:pPr>
              <w:spacing w:before="120" w:after="120"/>
              <w:jc w:val="center"/>
              <w:rPr>
                <w:b/>
                <w:bCs/>
                <w:sz w:val="16"/>
                <w:szCs w:val="16"/>
              </w:rPr>
            </w:pPr>
            <w:r w:rsidRPr="00412620">
              <w:rPr>
                <w:b/>
                <w:bCs/>
                <w:sz w:val="16"/>
                <w:szCs w:val="16"/>
              </w:rPr>
              <w:t>Rate of tax</w:t>
            </w:r>
          </w:p>
        </w:tc>
      </w:tr>
      <w:tr w:rsidR="00BF2117" w:rsidRPr="00412620" w:rsidTr="00D9695E">
        <w:tc>
          <w:tcPr>
            <w:tcW w:w="728" w:type="dxa"/>
            <w:tcBorders>
              <w:top w:val="single" w:sz="4" w:space="0" w:color="auto"/>
            </w:tcBorders>
          </w:tcPr>
          <w:p w:rsidR="00BF2117" w:rsidRPr="00412620" w:rsidRDefault="00BF2117" w:rsidP="0000382B">
            <w:pPr>
              <w:spacing w:before="120" w:after="120"/>
              <w:jc w:val="center"/>
              <w:rPr>
                <w:sz w:val="16"/>
                <w:szCs w:val="16"/>
              </w:rPr>
            </w:pPr>
            <w:r w:rsidRPr="00412620">
              <w:rPr>
                <w:sz w:val="16"/>
                <w:szCs w:val="16"/>
              </w:rPr>
              <w:t>(1)</w:t>
            </w:r>
          </w:p>
        </w:tc>
        <w:tc>
          <w:tcPr>
            <w:tcW w:w="2602" w:type="dxa"/>
            <w:tcBorders>
              <w:top w:val="single" w:sz="4" w:space="0" w:color="auto"/>
            </w:tcBorders>
          </w:tcPr>
          <w:p w:rsidR="00BF2117" w:rsidRPr="00412620" w:rsidRDefault="00BF2117" w:rsidP="0000382B">
            <w:pPr>
              <w:spacing w:before="120" w:after="120"/>
              <w:ind w:right="80"/>
              <w:jc w:val="both"/>
              <w:rPr>
                <w:sz w:val="16"/>
                <w:szCs w:val="16"/>
              </w:rPr>
            </w:pPr>
            <w:r w:rsidRPr="00412620">
              <w:rPr>
                <w:sz w:val="16"/>
                <w:szCs w:val="16"/>
              </w:rPr>
              <w:t>Where the gross amount of rent does not exceed Rs.150,000.</w:t>
            </w:r>
          </w:p>
        </w:tc>
        <w:tc>
          <w:tcPr>
            <w:tcW w:w="3616" w:type="dxa"/>
            <w:tcBorders>
              <w:top w:val="single" w:sz="4" w:space="0" w:color="auto"/>
            </w:tcBorders>
          </w:tcPr>
          <w:p w:rsidR="00BF2117" w:rsidRPr="00412620" w:rsidRDefault="00BF2117" w:rsidP="0000382B">
            <w:pPr>
              <w:spacing w:before="120" w:after="120"/>
              <w:jc w:val="both"/>
              <w:rPr>
                <w:sz w:val="16"/>
                <w:szCs w:val="16"/>
              </w:rPr>
            </w:pPr>
            <w:r w:rsidRPr="00412620">
              <w:rPr>
                <w:sz w:val="16"/>
                <w:szCs w:val="16"/>
              </w:rPr>
              <w:t>Nil</w:t>
            </w:r>
          </w:p>
        </w:tc>
      </w:tr>
      <w:tr w:rsidR="00BF2117" w:rsidRPr="00412620" w:rsidTr="00D9695E">
        <w:tc>
          <w:tcPr>
            <w:tcW w:w="728" w:type="dxa"/>
          </w:tcPr>
          <w:p w:rsidR="00BF2117" w:rsidRPr="00412620" w:rsidRDefault="00BF2117" w:rsidP="0000382B">
            <w:pPr>
              <w:spacing w:before="120" w:after="120"/>
              <w:jc w:val="center"/>
              <w:rPr>
                <w:sz w:val="16"/>
                <w:szCs w:val="16"/>
              </w:rPr>
            </w:pPr>
            <w:r w:rsidRPr="00412620">
              <w:rPr>
                <w:sz w:val="16"/>
                <w:szCs w:val="16"/>
              </w:rPr>
              <w:t>(2)</w:t>
            </w:r>
          </w:p>
        </w:tc>
        <w:tc>
          <w:tcPr>
            <w:tcW w:w="2602" w:type="dxa"/>
          </w:tcPr>
          <w:p w:rsidR="00BF2117" w:rsidRPr="00412620" w:rsidRDefault="00BF2117" w:rsidP="0000382B">
            <w:pPr>
              <w:spacing w:before="120" w:after="120"/>
              <w:ind w:right="80"/>
              <w:jc w:val="both"/>
              <w:rPr>
                <w:sz w:val="16"/>
                <w:szCs w:val="16"/>
              </w:rPr>
            </w:pPr>
            <w:r w:rsidRPr="00412620">
              <w:rPr>
                <w:sz w:val="16"/>
                <w:szCs w:val="16"/>
              </w:rPr>
              <w:t>Where the gross amount of rent exceeds Rs.150,000 but does not exceed Rs.400,000.</w:t>
            </w:r>
          </w:p>
        </w:tc>
        <w:tc>
          <w:tcPr>
            <w:tcW w:w="3616" w:type="dxa"/>
          </w:tcPr>
          <w:p w:rsidR="00BF2117" w:rsidRPr="00412620" w:rsidRDefault="00BF2117" w:rsidP="0000382B">
            <w:pPr>
              <w:spacing w:before="120" w:after="120"/>
              <w:jc w:val="both"/>
              <w:rPr>
                <w:sz w:val="16"/>
                <w:szCs w:val="16"/>
              </w:rPr>
            </w:pPr>
            <w:r w:rsidRPr="00412620">
              <w:rPr>
                <w:sz w:val="16"/>
                <w:szCs w:val="16"/>
              </w:rPr>
              <w:t xml:space="preserve">5 </w:t>
            </w:r>
            <w:r>
              <w:rPr>
                <w:sz w:val="16"/>
                <w:szCs w:val="16"/>
              </w:rPr>
              <w:t>per cent</w:t>
            </w:r>
            <w:r w:rsidRPr="00412620">
              <w:rPr>
                <w:sz w:val="16"/>
                <w:szCs w:val="16"/>
              </w:rPr>
              <w:t xml:space="preserve"> of the gross amount exceeding Rs.150,000.</w:t>
            </w:r>
          </w:p>
        </w:tc>
      </w:tr>
      <w:tr w:rsidR="00BF2117" w:rsidRPr="00412620" w:rsidTr="00D9695E">
        <w:tc>
          <w:tcPr>
            <w:tcW w:w="728" w:type="dxa"/>
          </w:tcPr>
          <w:p w:rsidR="00BF2117" w:rsidRPr="00412620" w:rsidRDefault="00BF2117" w:rsidP="0000382B">
            <w:pPr>
              <w:spacing w:before="120" w:after="120"/>
              <w:jc w:val="center"/>
              <w:rPr>
                <w:sz w:val="16"/>
                <w:szCs w:val="16"/>
              </w:rPr>
            </w:pPr>
            <w:r w:rsidRPr="00412620">
              <w:rPr>
                <w:sz w:val="16"/>
                <w:szCs w:val="16"/>
              </w:rPr>
              <w:t>(3)</w:t>
            </w:r>
          </w:p>
        </w:tc>
        <w:tc>
          <w:tcPr>
            <w:tcW w:w="2602" w:type="dxa"/>
          </w:tcPr>
          <w:p w:rsidR="00BF2117" w:rsidRPr="00412620" w:rsidRDefault="00BF2117" w:rsidP="0000382B">
            <w:pPr>
              <w:spacing w:before="120" w:after="120"/>
              <w:ind w:right="80"/>
              <w:jc w:val="both"/>
              <w:rPr>
                <w:sz w:val="16"/>
                <w:szCs w:val="16"/>
              </w:rPr>
            </w:pPr>
            <w:r w:rsidRPr="00412620">
              <w:rPr>
                <w:sz w:val="16"/>
                <w:szCs w:val="16"/>
              </w:rPr>
              <w:t>Where the gross amount of rent exceeds Rs.400,000 but does not exceed Rs.1,000,000.</w:t>
            </w:r>
          </w:p>
        </w:tc>
        <w:tc>
          <w:tcPr>
            <w:tcW w:w="3616" w:type="dxa"/>
          </w:tcPr>
          <w:p w:rsidR="00BF2117" w:rsidRPr="00412620" w:rsidRDefault="00BF2117" w:rsidP="0000382B">
            <w:pPr>
              <w:spacing w:before="120" w:after="120"/>
              <w:jc w:val="both"/>
              <w:rPr>
                <w:sz w:val="16"/>
                <w:szCs w:val="16"/>
              </w:rPr>
            </w:pPr>
            <w:r w:rsidRPr="00412620">
              <w:rPr>
                <w:sz w:val="16"/>
                <w:szCs w:val="16"/>
              </w:rPr>
              <w:t xml:space="preserve">Rs.12,500 plus 7.5 </w:t>
            </w:r>
            <w:r>
              <w:rPr>
                <w:sz w:val="16"/>
                <w:szCs w:val="16"/>
              </w:rPr>
              <w:t>per cent</w:t>
            </w:r>
            <w:r w:rsidRPr="00412620">
              <w:rPr>
                <w:sz w:val="16"/>
                <w:szCs w:val="16"/>
              </w:rPr>
              <w:t xml:space="preserve"> of the gross amount exceeding Rs.400,000.</w:t>
            </w:r>
          </w:p>
        </w:tc>
      </w:tr>
      <w:tr w:rsidR="00BF2117" w:rsidRPr="00412620" w:rsidTr="00D9695E">
        <w:tc>
          <w:tcPr>
            <w:tcW w:w="728" w:type="dxa"/>
          </w:tcPr>
          <w:p w:rsidR="00BF2117" w:rsidRPr="00412620" w:rsidRDefault="00BF2117" w:rsidP="0000382B">
            <w:pPr>
              <w:spacing w:before="120" w:after="120"/>
              <w:jc w:val="center"/>
              <w:rPr>
                <w:sz w:val="16"/>
                <w:szCs w:val="16"/>
              </w:rPr>
            </w:pPr>
            <w:r w:rsidRPr="00412620">
              <w:rPr>
                <w:sz w:val="16"/>
                <w:szCs w:val="16"/>
              </w:rPr>
              <w:t>(4)</w:t>
            </w:r>
          </w:p>
        </w:tc>
        <w:tc>
          <w:tcPr>
            <w:tcW w:w="2602" w:type="dxa"/>
          </w:tcPr>
          <w:p w:rsidR="00BF2117" w:rsidRPr="00412620" w:rsidRDefault="00BF2117" w:rsidP="0000382B">
            <w:pPr>
              <w:spacing w:before="120" w:after="120"/>
              <w:ind w:right="80"/>
              <w:jc w:val="both"/>
              <w:rPr>
                <w:sz w:val="16"/>
                <w:szCs w:val="16"/>
              </w:rPr>
            </w:pPr>
            <w:r w:rsidRPr="00412620">
              <w:rPr>
                <w:sz w:val="16"/>
                <w:szCs w:val="16"/>
              </w:rPr>
              <w:t>Where the gross amount of rent exceeds Rs.1,000,000.</w:t>
            </w:r>
          </w:p>
        </w:tc>
        <w:tc>
          <w:tcPr>
            <w:tcW w:w="3616" w:type="dxa"/>
          </w:tcPr>
          <w:p w:rsidR="00BF2117" w:rsidRPr="00412620" w:rsidRDefault="00BF2117" w:rsidP="0000382B">
            <w:pPr>
              <w:spacing w:before="120" w:after="120"/>
              <w:jc w:val="both"/>
              <w:rPr>
                <w:sz w:val="16"/>
                <w:szCs w:val="16"/>
              </w:rPr>
            </w:pPr>
            <w:r w:rsidRPr="00412620">
              <w:rPr>
                <w:sz w:val="16"/>
                <w:szCs w:val="16"/>
              </w:rPr>
              <w:t xml:space="preserve">Rs.57,500 plus 10 </w:t>
            </w:r>
            <w:r>
              <w:rPr>
                <w:sz w:val="16"/>
                <w:szCs w:val="16"/>
              </w:rPr>
              <w:t>per cent</w:t>
            </w:r>
            <w:r w:rsidRPr="00412620">
              <w:rPr>
                <w:sz w:val="16"/>
                <w:szCs w:val="16"/>
              </w:rPr>
              <w:t xml:space="preserve"> of the gross amount exceeding Rs.1,000,000.</w:t>
            </w:r>
          </w:p>
        </w:tc>
      </w:tr>
    </w:tbl>
    <w:p w:rsidR="00BF2117" w:rsidRPr="00412620" w:rsidRDefault="00BF2117" w:rsidP="00AA4BF8">
      <w:pPr>
        <w:spacing w:before="120" w:after="120"/>
        <w:ind w:left="1530" w:hanging="435"/>
        <w:jc w:val="both"/>
        <w:rPr>
          <w:sz w:val="16"/>
          <w:szCs w:val="16"/>
        </w:rPr>
      </w:pPr>
      <w:r w:rsidRPr="00412620">
        <w:rPr>
          <w:sz w:val="16"/>
          <w:szCs w:val="16"/>
        </w:rPr>
        <w:t>(b)</w:t>
      </w:r>
      <w:r w:rsidRPr="00412620">
        <w:rPr>
          <w:sz w:val="16"/>
          <w:szCs w:val="16"/>
        </w:rPr>
        <w:tab/>
        <w:t>The rate of tax to be deducted under section 155, in the case of  company, shall be—</w:t>
      </w:r>
    </w:p>
    <w:tbl>
      <w:tblPr>
        <w:tblW w:w="6856" w:type="dxa"/>
        <w:tblInd w:w="2" w:type="dxa"/>
        <w:tblLook w:val="01E0"/>
      </w:tblPr>
      <w:tblGrid>
        <w:gridCol w:w="900"/>
        <w:gridCol w:w="2700"/>
        <w:gridCol w:w="3256"/>
      </w:tblGrid>
      <w:tr w:rsidR="00BF2117" w:rsidRPr="00412620" w:rsidTr="00D9695E">
        <w:tc>
          <w:tcPr>
            <w:tcW w:w="900" w:type="dxa"/>
            <w:tcBorders>
              <w:top w:val="single" w:sz="4" w:space="0" w:color="auto"/>
              <w:bottom w:val="single" w:sz="4" w:space="0" w:color="auto"/>
            </w:tcBorders>
          </w:tcPr>
          <w:p w:rsidR="00BF2117" w:rsidRPr="00412620" w:rsidRDefault="00BF2117" w:rsidP="0000382B">
            <w:pPr>
              <w:spacing w:before="120" w:after="120"/>
              <w:jc w:val="both"/>
              <w:rPr>
                <w:b/>
                <w:bCs/>
                <w:sz w:val="16"/>
                <w:szCs w:val="16"/>
              </w:rPr>
            </w:pPr>
            <w:r w:rsidRPr="00412620">
              <w:rPr>
                <w:b/>
                <w:bCs/>
                <w:sz w:val="16"/>
                <w:szCs w:val="16"/>
              </w:rPr>
              <w:t>S.No.</w:t>
            </w:r>
          </w:p>
        </w:tc>
        <w:tc>
          <w:tcPr>
            <w:tcW w:w="2700" w:type="dxa"/>
            <w:tcBorders>
              <w:top w:val="single" w:sz="4" w:space="0" w:color="auto"/>
              <w:bottom w:val="single" w:sz="4" w:space="0" w:color="auto"/>
            </w:tcBorders>
          </w:tcPr>
          <w:p w:rsidR="00BF2117" w:rsidRPr="00412620" w:rsidRDefault="00BF2117" w:rsidP="0000382B">
            <w:pPr>
              <w:spacing w:before="120" w:after="120"/>
              <w:ind w:right="252"/>
              <w:jc w:val="both"/>
              <w:rPr>
                <w:b/>
                <w:bCs/>
                <w:sz w:val="16"/>
                <w:szCs w:val="16"/>
              </w:rPr>
            </w:pPr>
            <w:r w:rsidRPr="00412620">
              <w:rPr>
                <w:b/>
                <w:bCs/>
                <w:sz w:val="16"/>
                <w:szCs w:val="16"/>
              </w:rPr>
              <w:t>Gross amount of rent</w:t>
            </w:r>
          </w:p>
        </w:tc>
        <w:tc>
          <w:tcPr>
            <w:tcW w:w="3256" w:type="dxa"/>
            <w:tcBorders>
              <w:top w:val="single" w:sz="4" w:space="0" w:color="auto"/>
              <w:bottom w:val="single" w:sz="4" w:space="0" w:color="auto"/>
            </w:tcBorders>
          </w:tcPr>
          <w:p w:rsidR="00BF2117" w:rsidRPr="00412620" w:rsidRDefault="00BF2117" w:rsidP="0000382B">
            <w:pPr>
              <w:spacing w:before="120" w:after="120"/>
              <w:ind w:left="252"/>
              <w:jc w:val="both"/>
              <w:rPr>
                <w:b/>
                <w:bCs/>
                <w:sz w:val="16"/>
                <w:szCs w:val="16"/>
              </w:rPr>
            </w:pPr>
            <w:r w:rsidRPr="00412620">
              <w:rPr>
                <w:b/>
                <w:bCs/>
                <w:sz w:val="16"/>
                <w:szCs w:val="16"/>
              </w:rPr>
              <w:t>Rate of tax</w:t>
            </w:r>
          </w:p>
        </w:tc>
      </w:tr>
      <w:tr w:rsidR="00BF2117" w:rsidRPr="00412620" w:rsidTr="00D9695E">
        <w:tc>
          <w:tcPr>
            <w:tcW w:w="900" w:type="dxa"/>
            <w:tcBorders>
              <w:top w:val="single" w:sz="4" w:space="0" w:color="auto"/>
            </w:tcBorders>
          </w:tcPr>
          <w:p w:rsidR="00BF2117" w:rsidRPr="00412620" w:rsidRDefault="00BF2117" w:rsidP="0000382B">
            <w:pPr>
              <w:spacing w:before="120" w:after="120"/>
              <w:jc w:val="center"/>
              <w:rPr>
                <w:sz w:val="16"/>
                <w:szCs w:val="16"/>
              </w:rPr>
            </w:pPr>
            <w:r w:rsidRPr="00412620">
              <w:rPr>
                <w:sz w:val="16"/>
                <w:szCs w:val="16"/>
              </w:rPr>
              <w:t>(1)</w:t>
            </w:r>
          </w:p>
        </w:tc>
        <w:tc>
          <w:tcPr>
            <w:tcW w:w="2700" w:type="dxa"/>
            <w:tcBorders>
              <w:top w:val="single" w:sz="4" w:space="0" w:color="auto"/>
            </w:tcBorders>
          </w:tcPr>
          <w:p w:rsidR="00BF2117" w:rsidRPr="00412620" w:rsidRDefault="00BF2117" w:rsidP="0000382B">
            <w:pPr>
              <w:spacing w:before="120" w:after="120"/>
              <w:ind w:right="252"/>
              <w:jc w:val="both"/>
              <w:rPr>
                <w:sz w:val="16"/>
                <w:szCs w:val="16"/>
              </w:rPr>
            </w:pPr>
            <w:r w:rsidRPr="00412620">
              <w:rPr>
                <w:sz w:val="16"/>
                <w:szCs w:val="16"/>
              </w:rPr>
              <w:t>Where the gross amount of rent does not exceed Rs.400,000.</w:t>
            </w:r>
          </w:p>
        </w:tc>
        <w:tc>
          <w:tcPr>
            <w:tcW w:w="3256" w:type="dxa"/>
            <w:tcBorders>
              <w:top w:val="single" w:sz="4" w:space="0" w:color="auto"/>
            </w:tcBorders>
          </w:tcPr>
          <w:p w:rsidR="00BF2117" w:rsidRPr="00412620" w:rsidRDefault="00BF2117" w:rsidP="0000382B">
            <w:pPr>
              <w:spacing w:before="120" w:after="120"/>
              <w:jc w:val="both"/>
              <w:rPr>
                <w:sz w:val="16"/>
                <w:szCs w:val="16"/>
              </w:rPr>
            </w:pPr>
            <w:r w:rsidRPr="00412620">
              <w:rPr>
                <w:sz w:val="16"/>
                <w:szCs w:val="16"/>
              </w:rPr>
              <w:t xml:space="preserve">5 </w:t>
            </w:r>
            <w:r>
              <w:rPr>
                <w:sz w:val="16"/>
                <w:szCs w:val="16"/>
              </w:rPr>
              <w:t>per cent</w:t>
            </w:r>
            <w:r w:rsidRPr="00412620">
              <w:rPr>
                <w:sz w:val="16"/>
                <w:szCs w:val="16"/>
              </w:rPr>
              <w:t xml:space="preserve"> of the gross amount of rent.</w:t>
            </w:r>
          </w:p>
        </w:tc>
      </w:tr>
      <w:tr w:rsidR="00BF2117" w:rsidRPr="00412620" w:rsidTr="00D9695E">
        <w:tc>
          <w:tcPr>
            <w:tcW w:w="900" w:type="dxa"/>
          </w:tcPr>
          <w:p w:rsidR="00BF2117" w:rsidRPr="00412620" w:rsidRDefault="00BF2117" w:rsidP="0000382B">
            <w:pPr>
              <w:spacing w:before="120" w:after="120"/>
              <w:jc w:val="center"/>
              <w:rPr>
                <w:sz w:val="16"/>
                <w:szCs w:val="16"/>
              </w:rPr>
            </w:pPr>
            <w:r w:rsidRPr="00412620">
              <w:rPr>
                <w:sz w:val="16"/>
                <w:szCs w:val="16"/>
              </w:rPr>
              <w:t>(2)</w:t>
            </w:r>
          </w:p>
        </w:tc>
        <w:tc>
          <w:tcPr>
            <w:tcW w:w="2700" w:type="dxa"/>
          </w:tcPr>
          <w:p w:rsidR="00BF2117" w:rsidRPr="00412620" w:rsidRDefault="00BF2117" w:rsidP="0000382B">
            <w:pPr>
              <w:spacing w:before="120" w:after="120"/>
              <w:ind w:right="252"/>
              <w:jc w:val="both"/>
              <w:rPr>
                <w:sz w:val="16"/>
                <w:szCs w:val="16"/>
              </w:rPr>
            </w:pPr>
            <w:r w:rsidRPr="00412620">
              <w:rPr>
                <w:sz w:val="16"/>
                <w:szCs w:val="16"/>
              </w:rPr>
              <w:t>Where the gross amount of rent exceeds Rs.400,000 but does not exceed Rs.1,000,000.</w:t>
            </w:r>
          </w:p>
        </w:tc>
        <w:tc>
          <w:tcPr>
            <w:tcW w:w="3256" w:type="dxa"/>
          </w:tcPr>
          <w:p w:rsidR="00BF2117" w:rsidRPr="00412620" w:rsidRDefault="00BF2117" w:rsidP="0000382B">
            <w:pPr>
              <w:spacing w:before="120" w:after="120"/>
              <w:jc w:val="both"/>
              <w:rPr>
                <w:sz w:val="16"/>
                <w:szCs w:val="16"/>
              </w:rPr>
            </w:pPr>
            <w:r w:rsidRPr="00412620">
              <w:rPr>
                <w:sz w:val="16"/>
                <w:szCs w:val="16"/>
              </w:rPr>
              <w:t xml:space="preserve">Rs.20,000 plus 7.5 </w:t>
            </w:r>
            <w:r>
              <w:rPr>
                <w:sz w:val="16"/>
                <w:szCs w:val="16"/>
              </w:rPr>
              <w:t>per cent</w:t>
            </w:r>
            <w:r w:rsidRPr="00412620">
              <w:rPr>
                <w:sz w:val="16"/>
                <w:szCs w:val="16"/>
              </w:rPr>
              <w:t xml:space="preserve"> of the gross amount of rent exceeding Rs.400,000.</w:t>
            </w:r>
          </w:p>
        </w:tc>
      </w:tr>
      <w:tr w:rsidR="00BF2117" w:rsidRPr="00412620" w:rsidTr="00D9695E">
        <w:tc>
          <w:tcPr>
            <w:tcW w:w="900" w:type="dxa"/>
          </w:tcPr>
          <w:p w:rsidR="00BF2117" w:rsidRPr="00412620" w:rsidRDefault="00BF2117" w:rsidP="0000382B">
            <w:pPr>
              <w:spacing w:before="120" w:after="120"/>
              <w:jc w:val="center"/>
              <w:rPr>
                <w:sz w:val="16"/>
                <w:szCs w:val="16"/>
              </w:rPr>
            </w:pPr>
            <w:r w:rsidRPr="00412620">
              <w:rPr>
                <w:sz w:val="16"/>
                <w:szCs w:val="16"/>
              </w:rPr>
              <w:t>(3)</w:t>
            </w:r>
          </w:p>
        </w:tc>
        <w:tc>
          <w:tcPr>
            <w:tcW w:w="2700" w:type="dxa"/>
          </w:tcPr>
          <w:p w:rsidR="00BF2117" w:rsidRPr="00412620" w:rsidRDefault="00BF2117" w:rsidP="0000382B">
            <w:pPr>
              <w:spacing w:before="120" w:after="120"/>
              <w:ind w:right="252"/>
              <w:jc w:val="both"/>
              <w:rPr>
                <w:sz w:val="16"/>
                <w:szCs w:val="16"/>
              </w:rPr>
            </w:pPr>
            <w:r w:rsidRPr="00412620">
              <w:rPr>
                <w:sz w:val="16"/>
                <w:szCs w:val="16"/>
              </w:rPr>
              <w:t>Where the gross amount of rent exceeds Rs.1,000,000.</w:t>
            </w:r>
          </w:p>
        </w:tc>
        <w:tc>
          <w:tcPr>
            <w:tcW w:w="3256" w:type="dxa"/>
          </w:tcPr>
          <w:p w:rsidR="00BF2117" w:rsidRPr="00412620" w:rsidRDefault="00BF2117" w:rsidP="0000382B">
            <w:pPr>
              <w:spacing w:before="120" w:after="120"/>
              <w:jc w:val="both"/>
              <w:rPr>
                <w:sz w:val="16"/>
                <w:szCs w:val="16"/>
              </w:rPr>
            </w:pPr>
            <w:r w:rsidRPr="00412620">
              <w:rPr>
                <w:sz w:val="16"/>
                <w:szCs w:val="16"/>
              </w:rPr>
              <w:t xml:space="preserve">Rs.65,000 plus 10 </w:t>
            </w:r>
            <w:r>
              <w:rPr>
                <w:sz w:val="16"/>
                <w:szCs w:val="16"/>
              </w:rPr>
              <w:t>per cent</w:t>
            </w:r>
            <w:r w:rsidRPr="00412620">
              <w:rPr>
                <w:sz w:val="16"/>
                <w:szCs w:val="16"/>
              </w:rPr>
              <w:t xml:space="preserve"> of the gross amount of rent exceeding Rs.1,000,000.”</w:t>
            </w:r>
          </w:p>
        </w:tc>
      </w:tr>
    </w:tbl>
    <w:p w:rsidR="00BF2117" w:rsidRDefault="00BF2117" w:rsidP="00AA4BF8"/>
  </w:footnote>
  <w:footnote w:id="1671">
    <w:p w:rsidR="00BF2117" w:rsidRPr="0009763F" w:rsidRDefault="00BF2117">
      <w:pPr>
        <w:pStyle w:val="FootnoteText"/>
        <w:rPr>
          <w:color w:val="0070C0"/>
          <w:sz w:val="16"/>
          <w:szCs w:val="16"/>
        </w:rPr>
      </w:pPr>
      <w:r w:rsidRPr="0009763F">
        <w:rPr>
          <w:rStyle w:val="FootnoteReference"/>
          <w:color w:val="0070C0"/>
          <w:sz w:val="16"/>
          <w:szCs w:val="16"/>
        </w:rPr>
        <w:footnoteRef/>
      </w:r>
      <w:r w:rsidRPr="0009763F">
        <w:rPr>
          <w:color w:val="0070C0"/>
          <w:sz w:val="16"/>
          <w:szCs w:val="16"/>
        </w:rPr>
        <w:t xml:space="preserve"> Table substituted by the Finance Act, 2016. Substituted Table read as follows:-</w:t>
      </w:r>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4118"/>
        <w:gridCol w:w="2542"/>
      </w:tblGrid>
      <w:tr w:rsidR="00BF2117" w:rsidRPr="00D9695E" w:rsidTr="005A2A47">
        <w:trPr>
          <w:trHeight w:val="260"/>
        </w:trPr>
        <w:tc>
          <w:tcPr>
            <w:tcW w:w="810" w:type="dxa"/>
          </w:tcPr>
          <w:p w:rsidR="00BF2117" w:rsidRPr="00D9695E" w:rsidRDefault="00BF2117" w:rsidP="00B7389F">
            <w:pPr>
              <w:spacing w:before="120" w:after="120"/>
              <w:jc w:val="both"/>
              <w:rPr>
                <w:b/>
                <w:bCs/>
                <w:sz w:val="16"/>
                <w:szCs w:val="16"/>
              </w:rPr>
            </w:pPr>
            <w:r w:rsidRPr="00D9695E">
              <w:rPr>
                <w:b/>
                <w:bCs/>
                <w:sz w:val="16"/>
                <w:szCs w:val="16"/>
              </w:rPr>
              <w:t>S.No.</w:t>
            </w:r>
          </w:p>
        </w:tc>
        <w:tc>
          <w:tcPr>
            <w:tcW w:w="4118" w:type="dxa"/>
          </w:tcPr>
          <w:p w:rsidR="00BF2117" w:rsidRPr="00D9695E" w:rsidRDefault="00BF2117" w:rsidP="00B7389F">
            <w:pPr>
              <w:spacing w:before="120" w:after="120"/>
              <w:ind w:right="252"/>
              <w:jc w:val="center"/>
              <w:rPr>
                <w:b/>
                <w:bCs/>
                <w:sz w:val="16"/>
                <w:szCs w:val="16"/>
              </w:rPr>
            </w:pPr>
            <w:r w:rsidRPr="00D9695E">
              <w:rPr>
                <w:b/>
                <w:bCs/>
                <w:sz w:val="16"/>
                <w:szCs w:val="16"/>
              </w:rPr>
              <w:t>Gross amount of rent</w:t>
            </w:r>
          </w:p>
        </w:tc>
        <w:tc>
          <w:tcPr>
            <w:tcW w:w="2542" w:type="dxa"/>
          </w:tcPr>
          <w:p w:rsidR="00BF2117" w:rsidRPr="00D9695E" w:rsidRDefault="00BF2117" w:rsidP="00B7389F">
            <w:pPr>
              <w:spacing w:before="120" w:after="120"/>
              <w:jc w:val="center"/>
              <w:rPr>
                <w:b/>
                <w:bCs/>
                <w:sz w:val="16"/>
                <w:szCs w:val="16"/>
              </w:rPr>
            </w:pPr>
            <w:r w:rsidRPr="00D9695E">
              <w:rPr>
                <w:b/>
                <w:bCs/>
                <w:sz w:val="16"/>
                <w:szCs w:val="16"/>
              </w:rPr>
              <w:t>Rate of tax</w:t>
            </w:r>
          </w:p>
        </w:tc>
      </w:tr>
      <w:tr w:rsidR="00BF2117" w:rsidRPr="00D9695E" w:rsidTr="005A2A47">
        <w:trPr>
          <w:trHeight w:val="314"/>
        </w:trPr>
        <w:tc>
          <w:tcPr>
            <w:tcW w:w="810" w:type="dxa"/>
            <w:vAlign w:val="center"/>
          </w:tcPr>
          <w:p w:rsidR="00BF2117" w:rsidRPr="00D9695E" w:rsidRDefault="00BF2117" w:rsidP="00B7389F">
            <w:pPr>
              <w:spacing w:before="120" w:after="120"/>
              <w:jc w:val="center"/>
              <w:rPr>
                <w:sz w:val="16"/>
                <w:szCs w:val="16"/>
              </w:rPr>
            </w:pPr>
            <w:r w:rsidRPr="00D9695E">
              <w:rPr>
                <w:sz w:val="16"/>
                <w:szCs w:val="16"/>
              </w:rPr>
              <w:t>(1)</w:t>
            </w:r>
          </w:p>
        </w:tc>
        <w:tc>
          <w:tcPr>
            <w:tcW w:w="4118" w:type="dxa"/>
          </w:tcPr>
          <w:p w:rsidR="00BF2117" w:rsidRPr="00D9695E" w:rsidRDefault="00BF2117" w:rsidP="00B7389F">
            <w:pPr>
              <w:spacing w:before="120" w:after="120"/>
              <w:ind w:right="252"/>
              <w:jc w:val="center"/>
              <w:rPr>
                <w:sz w:val="16"/>
                <w:szCs w:val="16"/>
              </w:rPr>
            </w:pPr>
            <w:r w:rsidRPr="00D9695E">
              <w:rPr>
                <w:sz w:val="16"/>
                <w:szCs w:val="16"/>
              </w:rPr>
              <w:t>(2)</w:t>
            </w:r>
          </w:p>
        </w:tc>
        <w:tc>
          <w:tcPr>
            <w:tcW w:w="2542" w:type="dxa"/>
          </w:tcPr>
          <w:p w:rsidR="00BF2117" w:rsidRPr="00D9695E" w:rsidRDefault="00BF2117" w:rsidP="00B7389F">
            <w:pPr>
              <w:spacing w:before="120" w:after="120"/>
              <w:jc w:val="center"/>
              <w:rPr>
                <w:sz w:val="16"/>
                <w:szCs w:val="16"/>
              </w:rPr>
            </w:pPr>
            <w:r w:rsidRPr="00D9695E">
              <w:rPr>
                <w:sz w:val="16"/>
                <w:szCs w:val="16"/>
              </w:rPr>
              <w:t>(3)</w:t>
            </w:r>
          </w:p>
        </w:tc>
      </w:tr>
      <w:tr w:rsidR="00BF2117" w:rsidRPr="00D9695E" w:rsidTr="005A2A47">
        <w:trPr>
          <w:trHeight w:val="422"/>
        </w:trPr>
        <w:tc>
          <w:tcPr>
            <w:tcW w:w="810" w:type="dxa"/>
          </w:tcPr>
          <w:p w:rsidR="00BF2117" w:rsidRPr="00D9695E" w:rsidRDefault="00BF2117" w:rsidP="00B7389F">
            <w:pPr>
              <w:spacing w:before="120" w:after="120"/>
              <w:jc w:val="center"/>
              <w:rPr>
                <w:sz w:val="16"/>
                <w:szCs w:val="16"/>
              </w:rPr>
            </w:pPr>
            <w:r w:rsidRPr="00D9695E">
              <w:rPr>
                <w:sz w:val="16"/>
                <w:szCs w:val="16"/>
              </w:rPr>
              <w:t>1.</w:t>
            </w:r>
          </w:p>
        </w:tc>
        <w:tc>
          <w:tcPr>
            <w:tcW w:w="4118" w:type="dxa"/>
          </w:tcPr>
          <w:p w:rsidR="00BF2117" w:rsidRPr="00D9695E" w:rsidRDefault="00BF2117" w:rsidP="00B7389F">
            <w:pPr>
              <w:spacing w:before="120" w:after="120"/>
              <w:ind w:right="80"/>
              <w:jc w:val="both"/>
              <w:rPr>
                <w:sz w:val="16"/>
                <w:szCs w:val="16"/>
              </w:rPr>
            </w:pPr>
            <w:r w:rsidRPr="00D9695E">
              <w:rPr>
                <w:sz w:val="16"/>
                <w:szCs w:val="16"/>
              </w:rPr>
              <w:t>Where the gross amount of rent does not exceed Rs.150,000</w:t>
            </w:r>
          </w:p>
        </w:tc>
        <w:tc>
          <w:tcPr>
            <w:tcW w:w="2542" w:type="dxa"/>
          </w:tcPr>
          <w:p w:rsidR="00BF2117" w:rsidRPr="00D9695E" w:rsidRDefault="00BF2117" w:rsidP="00B7389F">
            <w:pPr>
              <w:spacing w:before="120" w:after="120"/>
              <w:jc w:val="center"/>
              <w:rPr>
                <w:sz w:val="16"/>
                <w:szCs w:val="16"/>
              </w:rPr>
            </w:pPr>
            <w:r w:rsidRPr="00D9695E">
              <w:rPr>
                <w:sz w:val="16"/>
                <w:szCs w:val="16"/>
              </w:rPr>
              <w:t>Nil</w:t>
            </w:r>
          </w:p>
        </w:tc>
      </w:tr>
      <w:tr w:rsidR="00BF2117" w:rsidRPr="00D9695E" w:rsidTr="005A2A47">
        <w:trPr>
          <w:trHeight w:val="566"/>
        </w:trPr>
        <w:tc>
          <w:tcPr>
            <w:tcW w:w="810" w:type="dxa"/>
          </w:tcPr>
          <w:p w:rsidR="00BF2117" w:rsidRPr="00D9695E" w:rsidRDefault="00BF2117" w:rsidP="00B7389F">
            <w:pPr>
              <w:spacing w:before="120" w:after="120"/>
              <w:jc w:val="center"/>
              <w:rPr>
                <w:sz w:val="16"/>
                <w:szCs w:val="16"/>
              </w:rPr>
            </w:pPr>
            <w:r w:rsidRPr="00D9695E">
              <w:rPr>
                <w:sz w:val="16"/>
                <w:szCs w:val="16"/>
              </w:rPr>
              <w:t>2.</w:t>
            </w:r>
          </w:p>
        </w:tc>
        <w:tc>
          <w:tcPr>
            <w:tcW w:w="4118" w:type="dxa"/>
          </w:tcPr>
          <w:p w:rsidR="00BF2117" w:rsidRPr="00D9695E" w:rsidRDefault="00BF2117" w:rsidP="00B7389F">
            <w:pPr>
              <w:spacing w:before="120" w:after="120"/>
              <w:ind w:right="80"/>
              <w:jc w:val="both"/>
              <w:rPr>
                <w:sz w:val="16"/>
                <w:szCs w:val="16"/>
              </w:rPr>
            </w:pPr>
            <w:r w:rsidRPr="00D9695E">
              <w:rPr>
                <w:sz w:val="16"/>
                <w:szCs w:val="16"/>
              </w:rPr>
              <w:t>Where the gross amount of rent exceeds Rs.150,000 but does not exceed Rs.1,000,000</w:t>
            </w:r>
          </w:p>
        </w:tc>
        <w:tc>
          <w:tcPr>
            <w:tcW w:w="2542" w:type="dxa"/>
          </w:tcPr>
          <w:p w:rsidR="00BF2117" w:rsidRPr="00D9695E" w:rsidRDefault="00BF2117" w:rsidP="00B7389F">
            <w:pPr>
              <w:spacing w:before="120" w:after="120"/>
              <w:jc w:val="center"/>
              <w:rPr>
                <w:sz w:val="16"/>
                <w:szCs w:val="16"/>
              </w:rPr>
            </w:pPr>
            <w:r w:rsidRPr="00D9695E">
              <w:rPr>
                <w:sz w:val="16"/>
                <w:szCs w:val="16"/>
              </w:rPr>
              <w:t>10 % of the gross amount exceeding Rs.150,000.</w:t>
            </w:r>
          </w:p>
        </w:tc>
      </w:tr>
      <w:tr w:rsidR="00BF2117" w:rsidRPr="00D9695E" w:rsidTr="005A2A47">
        <w:tc>
          <w:tcPr>
            <w:tcW w:w="810" w:type="dxa"/>
          </w:tcPr>
          <w:p w:rsidR="00BF2117" w:rsidRPr="00D9695E" w:rsidRDefault="00BF2117" w:rsidP="00B7389F">
            <w:pPr>
              <w:spacing w:before="120" w:after="120"/>
              <w:jc w:val="center"/>
              <w:rPr>
                <w:sz w:val="16"/>
                <w:szCs w:val="16"/>
              </w:rPr>
            </w:pPr>
            <w:r w:rsidRPr="00D9695E">
              <w:rPr>
                <w:sz w:val="16"/>
                <w:szCs w:val="16"/>
              </w:rPr>
              <w:t>3.</w:t>
            </w:r>
          </w:p>
        </w:tc>
        <w:tc>
          <w:tcPr>
            <w:tcW w:w="4118" w:type="dxa"/>
          </w:tcPr>
          <w:p w:rsidR="00BF2117" w:rsidRPr="00D9695E" w:rsidRDefault="00BF2117" w:rsidP="00B7389F">
            <w:pPr>
              <w:spacing w:before="120" w:after="120"/>
              <w:ind w:right="80"/>
              <w:jc w:val="both"/>
              <w:rPr>
                <w:sz w:val="16"/>
                <w:szCs w:val="16"/>
              </w:rPr>
            </w:pPr>
            <w:r w:rsidRPr="00D9695E">
              <w:rPr>
                <w:sz w:val="16"/>
                <w:szCs w:val="16"/>
              </w:rPr>
              <w:t>Where the gross amount of rent exceeds Rs. 1,000,000</w:t>
            </w:r>
          </w:p>
        </w:tc>
        <w:tc>
          <w:tcPr>
            <w:tcW w:w="2542" w:type="dxa"/>
          </w:tcPr>
          <w:p w:rsidR="00BF2117" w:rsidRPr="00D9695E" w:rsidRDefault="00BF2117" w:rsidP="00B7389F">
            <w:pPr>
              <w:spacing w:before="120" w:after="120"/>
              <w:jc w:val="center"/>
              <w:rPr>
                <w:sz w:val="16"/>
                <w:szCs w:val="16"/>
              </w:rPr>
            </w:pPr>
            <w:r w:rsidRPr="00D9695E">
              <w:rPr>
                <w:sz w:val="16"/>
                <w:szCs w:val="16"/>
              </w:rPr>
              <w:t>Rs. 85,000 + 15% of the gross amount exceeding Rs. 1,000,000.</w:t>
            </w:r>
          </w:p>
        </w:tc>
      </w:tr>
    </w:tbl>
    <w:p w:rsidR="00BF2117" w:rsidRPr="00D9695E" w:rsidRDefault="00BF2117">
      <w:pPr>
        <w:pStyle w:val="FootnoteText"/>
        <w:rPr>
          <w:color w:val="FF0000"/>
          <w:sz w:val="16"/>
          <w:szCs w:val="16"/>
          <w:lang w:val="en-US"/>
        </w:rPr>
      </w:pPr>
    </w:p>
  </w:footnote>
  <w:footnote w:id="1672">
    <w:p w:rsidR="00BF2117" w:rsidRPr="008B7A1A" w:rsidRDefault="00BF2117" w:rsidP="00AA4BF8">
      <w:pPr>
        <w:pStyle w:val="FootnoteText"/>
        <w:rPr>
          <w:sz w:val="16"/>
          <w:szCs w:val="16"/>
        </w:rPr>
      </w:pPr>
      <w:r w:rsidRPr="008B7A1A">
        <w:rPr>
          <w:rStyle w:val="FootnoteReference"/>
          <w:rFonts w:cs="Arial"/>
          <w:sz w:val="16"/>
          <w:szCs w:val="16"/>
        </w:rPr>
        <w:footnoteRef/>
      </w:r>
      <w:r w:rsidRPr="008B7A1A">
        <w:rPr>
          <w:sz w:val="16"/>
          <w:szCs w:val="16"/>
        </w:rPr>
        <w:t xml:space="preserve"> The figure “10” substituted by the Finance Act, 2013.</w:t>
      </w:r>
    </w:p>
  </w:footnote>
  <w:footnote w:id="1673">
    <w:p w:rsidR="00BF2117" w:rsidRPr="006B5DDA" w:rsidRDefault="00BF2117">
      <w:pPr>
        <w:pStyle w:val="FootnoteText"/>
        <w:rPr>
          <w:color w:val="0070C0"/>
          <w:sz w:val="16"/>
          <w:szCs w:val="16"/>
          <w:lang w:val="en-GB"/>
        </w:rPr>
      </w:pPr>
      <w:r w:rsidRPr="006B5DDA">
        <w:rPr>
          <w:rStyle w:val="FootnoteReference"/>
          <w:color w:val="0070C0"/>
          <w:sz w:val="16"/>
          <w:szCs w:val="16"/>
        </w:rPr>
        <w:footnoteRef/>
      </w:r>
      <w:r w:rsidRPr="006B5DDA">
        <w:rPr>
          <w:color w:val="0070C0"/>
          <w:sz w:val="16"/>
          <w:szCs w:val="16"/>
        </w:rPr>
        <w:t xml:space="preserve"> Inserted by the Finance Act, 2016.</w:t>
      </w:r>
    </w:p>
  </w:footnote>
  <w:footnote w:id="1674">
    <w:p w:rsidR="00BF2117" w:rsidRPr="00DD1A3B" w:rsidRDefault="00BF2117">
      <w:pPr>
        <w:pStyle w:val="FootnoteText"/>
        <w:rPr>
          <w:color w:val="000000" w:themeColor="text1"/>
          <w:sz w:val="16"/>
          <w:szCs w:val="16"/>
          <w:lang w:val="en-US"/>
        </w:rPr>
      </w:pPr>
      <w:r w:rsidRPr="00DD1A3B">
        <w:rPr>
          <w:rStyle w:val="FootnoteReference"/>
          <w:color w:val="000000" w:themeColor="text1"/>
          <w:sz w:val="16"/>
          <w:szCs w:val="16"/>
        </w:rPr>
        <w:footnoteRef/>
      </w:r>
      <w:r w:rsidRPr="00DD1A3B">
        <w:rPr>
          <w:color w:val="000000" w:themeColor="text1"/>
          <w:sz w:val="16"/>
          <w:szCs w:val="16"/>
          <w:lang w:val="en-US"/>
        </w:rPr>
        <w:t>Figure “10” substituted by the figure “12” by the Finance Act, 2014.</w:t>
      </w:r>
    </w:p>
  </w:footnote>
  <w:footnote w:id="1675">
    <w:p w:rsidR="00BF2117" w:rsidRPr="00DD1A3B" w:rsidRDefault="00BF2117">
      <w:pPr>
        <w:pStyle w:val="FootnoteText"/>
        <w:rPr>
          <w:color w:val="000000" w:themeColor="text1"/>
          <w:sz w:val="16"/>
          <w:szCs w:val="16"/>
          <w:lang w:val="en-US"/>
        </w:rPr>
      </w:pPr>
      <w:r w:rsidRPr="00DD1A3B">
        <w:rPr>
          <w:rStyle w:val="FootnoteReference"/>
          <w:color w:val="000000" w:themeColor="text1"/>
          <w:sz w:val="16"/>
          <w:szCs w:val="16"/>
        </w:rPr>
        <w:footnoteRef/>
      </w:r>
      <w:r w:rsidRPr="00DD1A3B">
        <w:rPr>
          <w:color w:val="000000" w:themeColor="text1"/>
          <w:sz w:val="16"/>
          <w:szCs w:val="16"/>
        </w:rPr>
        <w:t>Inserted by the Finance Act, 2015.</w:t>
      </w:r>
    </w:p>
  </w:footnote>
  <w:footnote w:id="1676">
    <w:p w:rsidR="00BF2117" w:rsidRPr="008B7A1A" w:rsidRDefault="00BF2117" w:rsidP="00AA4BF8">
      <w:pPr>
        <w:pStyle w:val="FootnoteText"/>
        <w:rPr>
          <w:sz w:val="16"/>
          <w:szCs w:val="16"/>
        </w:rPr>
      </w:pPr>
      <w:r w:rsidRPr="008B7A1A">
        <w:rPr>
          <w:rStyle w:val="FootnoteReference"/>
          <w:rFonts w:cs="Arial"/>
          <w:sz w:val="16"/>
          <w:szCs w:val="16"/>
        </w:rPr>
        <w:footnoteRef/>
      </w:r>
      <w:r w:rsidRPr="008B7A1A">
        <w:rPr>
          <w:sz w:val="16"/>
          <w:szCs w:val="16"/>
        </w:rPr>
        <w:t xml:space="preserve"> Added by the Finance Act, 2007.</w:t>
      </w:r>
    </w:p>
  </w:footnote>
  <w:footnote w:id="1677">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Division VII omitted by the Finance Act, 2002. The omitted Division VII read as follows:</w:t>
      </w:r>
    </w:p>
    <w:p w:rsidR="00BF2117" w:rsidRPr="00412620" w:rsidRDefault="00BF2117" w:rsidP="00AA4BF8">
      <w:pPr>
        <w:pStyle w:val="Heading8"/>
        <w:rPr>
          <w:i w:val="0"/>
          <w:iCs/>
          <w:sz w:val="16"/>
          <w:szCs w:val="16"/>
        </w:rPr>
      </w:pPr>
      <w:r w:rsidRPr="00412620">
        <w:rPr>
          <w:sz w:val="16"/>
          <w:szCs w:val="16"/>
        </w:rPr>
        <w:t>“</w:t>
      </w:r>
      <w:r w:rsidRPr="00412620">
        <w:rPr>
          <w:i w:val="0"/>
          <w:sz w:val="16"/>
          <w:szCs w:val="16"/>
        </w:rPr>
        <w:t>Division VII</w:t>
      </w:r>
    </w:p>
    <w:p w:rsidR="00BF2117" w:rsidRPr="00412620" w:rsidRDefault="00BF2117" w:rsidP="00AA4BF8">
      <w:pPr>
        <w:keepNext/>
        <w:jc w:val="center"/>
        <w:rPr>
          <w:b/>
          <w:bCs/>
          <w:sz w:val="16"/>
          <w:szCs w:val="16"/>
        </w:rPr>
      </w:pPr>
      <w:r w:rsidRPr="00412620">
        <w:rPr>
          <w:b/>
          <w:bCs/>
          <w:sz w:val="16"/>
          <w:szCs w:val="16"/>
        </w:rPr>
        <w:t>Petroleum Products</w:t>
      </w:r>
    </w:p>
    <w:p w:rsidR="00BF2117" w:rsidRDefault="00BF2117" w:rsidP="00AA4BF8">
      <w:pPr>
        <w:ind w:left="180" w:firstLine="540"/>
        <w:jc w:val="both"/>
      </w:pPr>
      <w:r w:rsidRPr="00412620">
        <w:rPr>
          <w:sz w:val="16"/>
          <w:szCs w:val="16"/>
        </w:rPr>
        <w:t>The Rate of tax to be deducted under section 157 shall be 10% of the commission or discount.”</w:t>
      </w:r>
    </w:p>
  </w:footnote>
  <w:footnote w:id="1678">
    <w:p w:rsidR="00BF2117" w:rsidRPr="008B7A1A" w:rsidRDefault="00BF2117" w:rsidP="00AA4BF8">
      <w:pPr>
        <w:pStyle w:val="FootnoteText"/>
        <w:keepNext/>
        <w:rPr>
          <w:rFonts w:cs="Arial"/>
          <w:sz w:val="16"/>
          <w:szCs w:val="16"/>
        </w:rPr>
      </w:pPr>
      <w:r w:rsidRPr="008B7A1A">
        <w:rPr>
          <w:rStyle w:val="FootnoteReference"/>
          <w:rFonts w:cs="Arial"/>
          <w:sz w:val="16"/>
          <w:szCs w:val="16"/>
        </w:rPr>
        <w:footnoteRef/>
      </w:r>
      <w:r w:rsidRPr="008B7A1A">
        <w:rPr>
          <w:rFonts w:cs="Arial"/>
          <w:sz w:val="16"/>
          <w:szCs w:val="16"/>
        </w:rPr>
        <w:t xml:space="preserve"> Division I omitted by the Finance Act, 2002. The omitted Division I read as follows:</w:t>
      </w:r>
    </w:p>
    <w:p w:rsidR="00BF2117" w:rsidRPr="008B7A1A" w:rsidRDefault="00BF2117" w:rsidP="00AA4BF8">
      <w:pPr>
        <w:pStyle w:val="Heading8"/>
        <w:rPr>
          <w:rFonts w:cs="Arial"/>
          <w:i w:val="0"/>
          <w:iCs/>
          <w:sz w:val="16"/>
          <w:szCs w:val="16"/>
        </w:rPr>
      </w:pPr>
      <w:r w:rsidRPr="008B7A1A">
        <w:rPr>
          <w:rFonts w:cs="Arial"/>
          <w:sz w:val="16"/>
          <w:szCs w:val="16"/>
        </w:rPr>
        <w:t>“</w:t>
      </w:r>
      <w:r w:rsidRPr="008B7A1A">
        <w:rPr>
          <w:rFonts w:cs="Arial"/>
          <w:i w:val="0"/>
          <w:sz w:val="16"/>
          <w:szCs w:val="16"/>
        </w:rPr>
        <w:t>Division I</w:t>
      </w:r>
    </w:p>
    <w:p w:rsidR="00BF2117" w:rsidRPr="008B7A1A" w:rsidRDefault="00BF2117" w:rsidP="00AA4BF8">
      <w:pPr>
        <w:keepNext/>
        <w:jc w:val="center"/>
        <w:rPr>
          <w:rFonts w:cs="Arial"/>
          <w:b/>
          <w:bCs/>
          <w:sz w:val="16"/>
          <w:szCs w:val="16"/>
        </w:rPr>
      </w:pPr>
      <w:r w:rsidRPr="008B7A1A">
        <w:rPr>
          <w:rFonts w:cs="Arial"/>
          <w:b/>
          <w:bCs/>
          <w:sz w:val="16"/>
          <w:szCs w:val="16"/>
        </w:rPr>
        <w:t>Transfer of Funds</w:t>
      </w:r>
    </w:p>
    <w:p w:rsidR="00BF2117" w:rsidRPr="008B7A1A" w:rsidRDefault="00BF2117" w:rsidP="00F863A9">
      <w:pPr>
        <w:ind w:left="180"/>
        <w:jc w:val="both"/>
        <w:rPr>
          <w:rFonts w:cs="Arial"/>
          <w:sz w:val="16"/>
          <w:szCs w:val="16"/>
        </w:rPr>
      </w:pPr>
      <w:r w:rsidRPr="008B7A1A">
        <w:rPr>
          <w:rFonts w:cs="Arial"/>
          <w:sz w:val="16"/>
          <w:szCs w:val="16"/>
        </w:rPr>
        <w:t>Rate of tax for the purpose of collection of tax under section 232 is 0.30 per cent of the amount.”</w:t>
      </w:r>
    </w:p>
  </w:footnote>
  <w:footnote w:id="1679">
    <w:p w:rsidR="00BF2117" w:rsidRDefault="00BF2117" w:rsidP="00157E6F">
      <w:pPr>
        <w:autoSpaceDE w:val="0"/>
        <w:autoSpaceDN w:val="0"/>
        <w:adjustRightInd w:val="0"/>
        <w:rPr>
          <w:rFonts w:cs="Arial"/>
          <w:b/>
          <w:bCs/>
          <w:color w:val="000000" w:themeColor="text1"/>
          <w:sz w:val="16"/>
          <w:szCs w:val="16"/>
          <w:lang w:val="en-US"/>
        </w:rPr>
      </w:pPr>
      <w:r w:rsidRPr="00D13DD5">
        <w:rPr>
          <w:rStyle w:val="FootnoteReference"/>
          <w:sz w:val="16"/>
          <w:szCs w:val="16"/>
        </w:rPr>
        <w:footnoteRef/>
      </w:r>
      <w:r w:rsidRPr="00D13DD5">
        <w:rPr>
          <w:sz w:val="16"/>
          <w:szCs w:val="16"/>
        </w:rPr>
        <w:t xml:space="preserve"> Division II substituted by the Finance Act, 2015. The substituted Division read as follows:-</w:t>
      </w:r>
    </w:p>
    <w:p w:rsidR="00BF2117" w:rsidRPr="00D13DD5" w:rsidRDefault="00BF2117" w:rsidP="00D13DD5">
      <w:pPr>
        <w:autoSpaceDE w:val="0"/>
        <w:autoSpaceDN w:val="0"/>
        <w:adjustRightInd w:val="0"/>
        <w:jc w:val="center"/>
        <w:rPr>
          <w:rFonts w:cs="Arial"/>
          <w:b/>
          <w:bCs/>
          <w:color w:val="000000" w:themeColor="text1"/>
          <w:sz w:val="16"/>
          <w:szCs w:val="16"/>
          <w:lang w:val="en-US"/>
        </w:rPr>
      </w:pPr>
      <w:r>
        <w:rPr>
          <w:rFonts w:cs="Arial"/>
          <w:b/>
          <w:bCs/>
          <w:color w:val="000000" w:themeColor="text1"/>
          <w:sz w:val="16"/>
          <w:szCs w:val="16"/>
          <w:lang w:val="en-US"/>
        </w:rPr>
        <w:t>“</w:t>
      </w:r>
      <w:r w:rsidRPr="00D13DD5">
        <w:rPr>
          <w:rFonts w:cs="Arial"/>
          <w:b/>
          <w:bCs/>
          <w:color w:val="000000" w:themeColor="text1"/>
          <w:sz w:val="16"/>
          <w:szCs w:val="16"/>
          <w:lang w:val="en-US"/>
        </w:rPr>
        <w:t>Division II</w:t>
      </w:r>
    </w:p>
    <w:p w:rsidR="00BF2117" w:rsidRPr="00D13DD5" w:rsidRDefault="00BF2117" w:rsidP="00D13DD5">
      <w:pPr>
        <w:autoSpaceDE w:val="0"/>
        <w:autoSpaceDN w:val="0"/>
        <w:adjustRightInd w:val="0"/>
        <w:jc w:val="center"/>
        <w:rPr>
          <w:rFonts w:cs="Arial"/>
          <w:b/>
          <w:bCs/>
          <w:color w:val="000000" w:themeColor="text1"/>
          <w:sz w:val="16"/>
          <w:szCs w:val="16"/>
          <w:lang w:val="en-US"/>
        </w:rPr>
      </w:pPr>
      <w:r w:rsidRPr="00D13DD5">
        <w:rPr>
          <w:rFonts w:cs="Arial"/>
          <w:b/>
          <w:bCs/>
          <w:color w:val="000000" w:themeColor="text1"/>
          <w:sz w:val="16"/>
          <w:szCs w:val="16"/>
          <w:lang w:val="en-US"/>
        </w:rPr>
        <w:t>Brokerage and Commission</w:t>
      </w:r>
    </w:p>
    <w:p w:rsidR="00BF2117" w:rsidRPr="00D13DD5" w:rsidRDefault="00BF2117" w:rsidP="00D13DD5">
      <w:pPr>
        <w:autoSpaceDE w:val="0"/>
        <w:autoSpaceDN w:val="0"/>
        <w:adjustRightInd w:val="0"/>
        <w:jc w:val="both"/>
        <w:rPr>
          <w:color w:val="000000" w:themeColor="text1"/>
          <w:sz w:val="16"/>
          <w:szCs w:val="16"/>
          <w:lang w:val="en-US"/>
        </w:rPr>
      </w:pPr>
      <w:r w:rsidRPr="00D13DD5">
        <w:rPr>
          <w:color w:val="000000" w:themeColor="text1"/>
          <w:sz w:val="16"/>
          <w:szCs w:val="16"/>
          <w:lang w:val="en-US"/>
        </w:rPr>
        <w:tab/>
        <w:t>The rate of collection under sub-section (1) of section 233 shall be.---</w:t>
      </w:r>
    </w:p>
    <w:p w:rsidR="00BF2117" w:rsidRPr="00D13DD5" w:rsidRDefault="00BF2117" w:rsidP="002C73AE">
      <w:pPr>
        <w:pStyle w:val="ListParagraph"/>
        <w:numPr>
          <w:ilvl w:val="0"/>
          <w:numId w:val="74"/>
        </w:numPr>
        <w:tabs>
          <w:tab w:val="num" w:pos="2355"/>
        </w:tabs>
        <w:autoSpaceDE w:val="0"/>
        <w:autoSpaceDN w:val="0"/>
        <w:adjustRightInd w:val="0"/>
        <w:jc w:val="both"/>
        <w:rPr>
          <w:color w:val="000000" w:themeColor="text1"/>
          <w:sz w:val="16"/>
          <w:szCs w:val="16"/>
          <w:lang w:val="en-US"/>
        </w:rPr>
      </w:pPr>
      <w:r w:rsidRPr="00D13DD5">
        <w:rPr>
          <w:color w:val="000000" w:themeColor="text1"/>
          <w:sz w:val="16"/>
          <w:szCs w:val="16"/>
          <w:lang w:val="en-US"/>
        </w:rPr>
        <w:t>7.5% of the amount of the payment, in case of advertising agents;</w:t>
      </w:r>
    </w:p>
    <w:p w:rsidR="00BF2117" w:rsidRPr="00D13DD5" w:rsidRDefault="00BF2117" w:rsidP="002C73AE">
      <w:pPr>
        <w:pStyle w:val="ListParagraph"/>
        <w:numPr>
          <w:ilvl w:val="0"/>
          <w:numId w:val="74"/>
        </w:numPr>
        <w:tabs>
          <w:tab w:val="num" w:pos="2355"/>
        </w:tabs>
        <w:autoSpaceDE w:val="0"/>
        <w:autoSpaceDN w:val="0"/>
        <w:adjustRightInd w:val="0"/>
        <w:jc w:val="both"/>
        <w:rPr>
          <w:color w:val="000000" w:themeColor="text1"/>
          <w:sz w:val="16"/>
          <w:szCs w:val="16"/>
          <w:lang w:val="en-US"/>
        </w:rPr>
      </w:pPr>
      <w:r w:rsidRPr="00D13DD5">
        <w:rPr>
          <w:color w:val="000000" w:themeColor="text1"/>
          <w:sz w:val="16"/>
          <w:szCs w:val="16"/>
          <w:lang w:val="en-US"/>
        </w:rPr>
        <w:t>12% of the amount of payment in all</w:t>
      </w:r>
      <w:r>
        <w:rPr>
          <w:color w:val="000000" w:themeColor="text1"/>
          <w:sz w:val="16"/>
          <w:szCs w:val="16"/>
          <w:lang w:val="en-US"/>
        </w:rPr>
        <w:t xml:space="preserve"> other cases.”</w:t>
      </w:r>
    </w:p>
    <w:p w:rsidR="00BF2117" w:rsidRPr="00D13DD5" w:rsidRDefault="00BF2117">
      <w:pPr>
        <w:pStyle w:val="FootnoteText"/>
        <w:rPr>
          <w:sz w:val="16"/>
          <w:szCs w:val="16"/>
          <w:lang w:val="en-US"/>
        </w:rPr>
      </w:pPr>
    </w:p>
  </w:footnote>
  <w:footnote w:id="1680">
    <w:p w:rsidR="00BF2117" w:rsidRPr="0009763F" w:rsidRDefault="00BF2117">
      <w:pPr>
        <w:pStyle w:val="FootnoteText"/>
        <w:rPr>
          <w:color w:val="0070C0"/>
          <w:sz w:val="16"/>
          <w:szCs w:val="16"/>
        </w:rPr>
      </w:pPr>
      <w:r w:rsidRPr="0009763F">
        <w:rPr>
          <w:rStyle w:val="FootnoteReference"/>
          <w:color w:val="0070C0"/>
          <w:sz w:val="16"/>
          <w:szCs w:val="16"/>
        </w:rPr>
        <w:footnoteRef/>
      </w:r>
      <w:r w:rsidRPr="0009763F">
        <w:rPr>
          <w:color w:val="0070C0"/>
          <w:sz w:val="16"/>
          <w:szCs w:val="16"/>
        </w:rPr>
        <w:t xml:space="preserve"> Division II substituted by the Finance Act, 2016. Substituted Division read as follows:-</w:t>
      </w:r>
    </w:p>
    <w:p w:rsidR="00BF2117" w:rsidRPr="007D51B0" w:rsidRDefault="00BF2117" w:rsidP="007D51B0">
      <w:pPr>
        <w:autoSpaceDE w:val="0"/>
        <w:autoSpaceDN w:val="0"/>
        <w:adjustRightInd w:val="0"/>
        <w:jc w:val="center"/>
        <w:rPr>
          <w:rFonts w:cs="Arial"/>
          <w:b/>
          <w:bCs/>
          <w:color w:val="000000" w:themeColor="text1"/>
          <w:sz w:val="16"/>
          <w:szCs w:val="16"/>
          <w:lang w:val="en-US"/>
        </w:rPr>
      </w:pPr>
      <w:r w:rsidRPr="007D51B0">
        <w:rPr>
          <w:rFonts w:cs="Arial"/>
          <w:b/>
          <w:bCs/>
          <w:color w:val="000000" w:themeColor="text1"/>
          <w:sz w:val="16"/>
          <w:szCs w:val="16"/>
          <w:lang w:val="en-US"/>
        </w:rPr>
        <w:t>[“Division II</w:t>
      </w:r>
    </w:p>
    <w:p w:rsidR="00BF2117" w:rsidRPr="007D51B0" w:rsidRDefault="00BF2117" w:rsidP="007D51B0">
      <w:pPr>
        <w:autoSpaceDE w:val="0"/>
        <w:autoSpaceDN w:val="0"/>
        <w:adjustRightInd w:val="0"/>
        <w:jc w:val="center"/>
        <w:rPr>
          <w:color w:val="000000" w:themeColor="text1"/>
          <w:sz w:val="16"/>
          <w:szCs w:val="16"/>
          <w:lang w:val="en-US"/>
        </w:rPr>
      </w:pPr>
      <w:r w:rsidRPr="007D51B0">
        <w:rPr>
          <w:rFonts w:cs="Arial"/>
          <w:b/>
          <w:bCs/>
          <w:color w:val="000000" w:themeColor="text1"/>
          <w:sz w:val="16"/>
          <w:szCs w:val="16"/>
          <w:lang w:val="en-US"/>
        </w:rPr>
        <w:t>Brokerage and Commission</w:t>
      </w:r>
    </w:p>
    <w:p w:rsidR="00BF2117" w:rsidRPr="007D51B0" w:rsidRDefault="00BF2117" w:rsidP="007D51B0">
      <w:pPr>
        <w:autoSpaceDE w:val="0"/>
        <w:autoSpaceDN w:val="0"/>
        <w:adjustRightInd w:val="0"/>
        <w:jc w:val="both"/>
        <w:rPr>
          <w:color w:val="000000" w:themeColor="text1"/>
          <w:sz w:val="16"/>
          <w:szCs w:val="16"/>
          <w:lang w:val="en-US"/>
        </w:rPr>
      </w:pPr>
      <w:r w:rsidRPr="007D51B0">
        <w:rPr>
          <w:color w:val="000000" w:themeColor="text1"/>
          <w:sz w:val="16"/>
          <w:szCs w:val="16"/>
          <w:lang w:val="en-US"/>
        </w:rPr>
        <w:tab/>
        <w:t>The rate of collection under sub-section (1) of section 233 shall be,---</w:t>
      </w:r>
    </w:p>
    <w:p w:rsidR="00BF2117" w:rsidRPr="007D51B0" w:rsidRDefault="00BF2117" w:rsidP="007D51B0">
      <w:pPr>
        <w:pStyle w:val="ListParagraph"/>
        <w:numPr>
          <w:ilvl w:val="0"/>
          <w:numId w:val="75"/>
        </w:numPr>
        <w:autoSpaceDE w:val="0"/>
        <w:autoSpaceDN w:val="0"/>
        <w:adjustRightInd w:val="0"/>
        <w:ind w:left="1530" w:hanging="450"/>
        <w:jc w:val="both"/>
        <w:rPr>
          <w:color w:val="000000" w:themeColor="text1"/>
          <w:sz w:val="16"/>
          <w:szCs w:val="16"/>
          <w:lang w:val="en-US"/>
        </w:rPr>
      </w:pPr>
      <w:r w:rsidRPr="007D51B0">
        <w:rPr>
          <w:color w:val="000000" w:themeColor="text1"/>
          <w:sz w:val="16"/>
          <w:szCs w:val="16"/>
          <w:lang w:val="en-US"/>
        </w:rPr>
        <w:t>in case of filers,-</w:t>
      </w:r>
    </w:p>
    <w:p w:rsidR="00BF2117" w:rsidRPr="007D51B0" w:rsidRDefault="00BF2117" w:rsidP="007D51B0">
      <w:pPr>
        <w:pStyle w:val="ListParagraph"/>
        <w:numPr>
          <w:ilvl w:val="0"/>
          <w:numId w:val="74"/>
        </w:numPr>
        <w:tabs>
          <w:tab w:val="num" w:pos="2355"/>
        </w:tabs>
        <w:autoSpaceDE w:val="0"/>
        <w:autoSpaceDN w:val="0"/>
        <w:adjustRightInd w:val="0"/>
        <w:ind w:left="1980"/>
        <w:jc w:val="both"/>
        <w:rPr>
          <w:color w:val="000000" w:themeColor="text1"/>
          <w:sz w:val="16"/>
          <w:szCs w:val="16"/>
          <w:lang w:val="en-US"/>
        </w:rPr>
      </w:pPr>
      <w:r w:rsidRPr="007D51B0">
        <w:rPr>
          <w:color w:val="000000" w:themeColor="text1"/>
          <w:sz w:val="16"/>
          <w:szCs w:val="16"/>
          <w:lang w:val="en-US"/>
        </w:rPr>
        <w:t>10% of the amount of the payment, in case of advertising agents; and</w:t>
      </w:r>
    </w:p>
    <w:p w:rsidR="00BF2117" w:rsidRPr="007D51B0" w:rsidRDefault="00BF2117" w:rsidP="007D51B0">
      <w:pPr>
        <w:pStyle w:val="ListParagraph"/>
        <w:numPr>
          <w:ilvl w:val="0"/>
          <w:numId w:val="74"/>
        </w:numPr>
        <w:tabs>
          <w:tab w:val="num" w:pos="2355"/>
        </w:tabs>
        <w:autoSpaceDE w:val="0"/>
        <w:autoSpaceDN w:val="0"/>
        <w:adjustRightInd w:val="0"/>
        <w:jc w:val="both"/>
        <w:rPr>
          <w:color w:val="000000" w:themeColor="text1"/>
          <w:sz w:val="16"/>
          <w:szCs w:val="16"/>
          <w:lang w:val="en-US"/>
        </w:rPr>
      </w:pPr>
      <w:r w:rsidRPr="007D51B0">
        <w:rPr>
          <w:color w:val="000000" w:themeColor="text1"/>
          <w:sz w:val="16"/>
          <w:szCs w:val="16"/>
          <w:lang w:val="en-US"/>
        </w:rPr>
        <w:t>12% of the amount of payment in all other cases; and</w:t>
      </w:r>
    </w:p>
    <w:p w:rsidR="00BF2117" w:rsidRPr="00D00608" w:rsidRDefault="00BF2117" w:rsidP="00D00608">
      <w:pPr>
        <w:pStyle w:val="ListParagraph"/>
        <w:numPr>
          <w:ilvl w:val="0"/>
          <w:numId w:val="75"/>
        </w:numPr>
        <w:tabs>
          <w:tab w:val="num" w:pos="2355"/>
        </w:tabs>
        <w:autoSpaceDE w:val="0"/>
        <w:autoSpaceDN w:val="0"/>
        <w:adjustRightInd w:val="0"/>
        <w:ind w:left="1530" w:hanging="435"/>
        <w:jc w:val="both"/>
        <w:rPr>
          <w:color w:val="FF0000"/>
          <w:sz w:val="16"/>
          <w:szCs w:val="16"/>
          <w:lang w:val="en-US"/>
        </w:rPr>
      </w:pPr>
      <w:r w:rsidRPr="00D00608">
        <w:rPr>
          <w:color w:val="000000" w:themeColor="text1"/>
          <w:sz w:val="16"/>
          <w:szCs w:val="16"/>
          <w:lang w:val="en-US"/>
        </w:rPr>
        <w:t xml:space="preserve">In case of non-filers, 15% of the amount of payment.”] </w:t>
      </w:r>
    </w:p>
  </w:footnote>
  <w:footnote w:id="1681">
    <w:p w:rsidR="00BF2117" w:rsidRPr="008B7A1A" w:rsidRDefault="00BF2117" w:rsidP="00AA4BF8">
      <w:pPr>
        <w:pStyle w:val="FootnoteText"/>
        <w:rPr>
          <w:sz w:val="16"/>
          <w:szCs w:val="16"/>
        </w:rPr>
      </w:pPr>
      <w:r w:rsidRPr="008B7A1A">
        <w:rPr>
          <w:rStyle w:val="FootnoteReference"/>
          <w:rFonts w:cs="Arial"/>
          <w:sz w:val="16"/>
          <w:szCs w:val="16"/>
        </w:rPr>
        <w:footnoteRef/>
      </w:r>
      <w:r w:rsidRPr="008B7A1A">
        <w:rPr>
          <w:sz w:val="16"/>
          <w:szCs w:val="16"/>
        </w:rPr>
        <w:t xml:space="preserve"> Inserted by the Finance Act, 2004.</w:t>
      </w:r>
    </w:p>
  </w:footnote>
  <w:footnote w:id="1682">
    <w:p w:rsidR="00BF2117" w:rsidRPr="0009763F" w:rsidRDefault="00BF2117" w:rsidP="00D51DE8">
      <w:pPr>
        <w:pStyle w:val="FootnoteText"/>
        <w:ind w:left="180" w:hanging="180"/>
        <w:rPr>
          <w:color w:val="0070C0"/>
          <w:sz w:val="16"/>
          <w:szCs w:val="16"/>
        </w:rPr>
      </w:pPr>
      <w:r w:rsidRPr="0009763F">
        <w:rPr>
          <w:rStyle w:val="FootnoteReference"/>
          <w:color w:val="0070C0"/>
          <w:sz w:val="16"/>
          <w:szCs w:val="16"/>
        </w:rPr>
        <w:footnoteRef/>
      </w:r>
      <w:r w:rsidRPr="0009763F">
        <w:rPr>
          <w:color w:val="0070C0"/>
          <w:sz w:val="16"/>
          <w:szCs w:val="16"/>
        </w:rPr>
        <w:t xml:space="preserve"> Division IIA substituted by the Finance Act, 2016. Substituted Division read as follows:-</w:t>
      </w:r>
    </w:p>
    <w:p w:rsidR="00BF2117" w:rsidRPr="00D51DE8" w:rsidRDefault="00BF2117" w:rsidP="00D51DE8">
      <w:pPr>
        <w:autoSpaceDE w:val="0"/>
        <w:autoSpaceDN w:val="0"/>
        <w:adjustRightInd w:val="0"/>
        <w:jc w:val="center"/>
        <w:rPr>
          <w:sz w:val="16"/>
          <w:szCs w:val="16"/>
        </w:rPr>
      </w:pPr>
      <w:r w:rsidRPr="00D51DE8">
        <w:rPr>
          <w:b/>
          <w:bCs/>
          <w:sz w:val="16"/>
          <w:szCs w:val="16"/>
        </w:rPr>
        <w:t>“Division IIA</w:t>
      </w:r>
    </w:p>
    <w:p w:rsidR="00BF2117" w:rsidRPr="00D51DE8" w:rsidRDefault="00BF2117" w:rsidP="00D51DE8">
      <w:pPr>
        <w:keepNext/>
        <w:jc w:val="center"/>
        <w:rPr>
          <w:b/>
          <w:bCs/>
          <w:sz w:val="16"/>
          <w:szCs w:val="16"/>
        </w:rPr>
      </w:pPr>
      <w:r w:rsidRPr="00D51DE8">
        <w:rPr>
          <w:b/>
          <w:bCs/>
          <w:sz w:val="16"/>
          <w:szCs w:val="16"/>
        </w:rPr>
        <w:t xml:space="preserve">Rates for Collection of Tax by a Stock Exchange </w:t>
      </w:r>
    </w:p>
    <w:p w:rsidR="00BF2117" w:rsidRPr="00D51DE8" w:rsidRDefault="00BF2117" w:rsidP="00D51DE8">
      <w:pPr>
        <w:keepNext/>
        <w:jc w:val="center"/>
        <w:rPr>
          <w:sz w:val="16"/>
          <w:szCs w:val="16"/>
        </w:rPr>
      </w:pPr>
      <w:r w:rsidRPr="00D51DE8">
        <w:rPr>
          <w:b/>
          <w:bCs/>
          <w:sz w:val="16"/>
          <w:szCs w:val="16"/>
        </w:rPr>
        <w:t>Registered in Pakistan</w:t>
      </w:r>
    </w:p>
    <w:tbl>
      <w:tblPr>
        <w:tblW w:w="0" w:type="auto"/>
        <w:tblInd w:w="2" w:type="dxa"/>
        <w:tblLook w:val="0000"/>
      </w:tblPr>
      <w:tblGrid>
        <w:gridCol w:w="720"/>
        <w:gridCol w:w="3777"/>
        <w:gridCol w:w="1731"/>
      </w:tblGrid>
      <w:tr w:rsidR="00BF2117" w:rsidRPr="00D51DE8" w:rsidTr="00B7389F">
        <w:tc>
          <w:tcPr>
            <w:tcW w:w="720" w:type="dxa"/>
          </w:tcPr>
          <w:p w:rsidR="00BF2117" w:rsidRPr="00D51DE8" w:rsidRDefault="00BF2117" w:rsidP="00B7389F">
            <w:pPr>
              <w:jc w:val="center"/>
              <w:rPr>
                <w:sz w:val="16"/>
                <w:szCs w:val="16"/>
              </w:rPr>
            </w:pPr>
            <w:r w:rsidRPr="00D51DE8">
              <w:rPr>
                <w:sz w:val="16"/>
                <w:szCs w:val="16"/>
              </w:rPr>
              <w:t>(i)</w:t>
            </w:r>
          </w:p>
        </w:tc>
        <w:tc>
          <w:tcPr>
            <w:tcW w:w="3777" w:type="dxa"/>
          </w:tcPr>
          <w:p w:rsidR="00BF2117" w:rsidRPr="00D51DE8" w:rsidRDefault="00BF2117" w:rsidP="00B7389F">
            <w:pPr>
              <w:jc w:val="both"/>
              <w:rPr>
                <w:sz w:val="16"/>
                <w:szCs w:val="16"/>
              </w:rPr>
            </w:pPr>
            <w:r w:rsidRPr="00D51DE8">
              <w:rPr>
                <w:sz w:val="16"/>
                <w:szCs w:val="16"/>
              </w:rPr>
              <w:t>in case of purchase of shares as per clause (a) of sub-section (1) of section 233A.</w:t>
            </w:r>
          </w:p>
          <w:p w:rsidR="00BF2117" w:rsidRPr="00D51DE8" w:rsidRDefault="00BF2117" w:rsidP="00B7389F">
            <w:pPr>
              <w:jc w:val="both"/>
              <w:rPr>
                <w:sz w:val="16"/>
                <w:szCs w:val="16"/>
              </w:rPr>
            </w:pPr>
          </w:p>
        </w:tc>
        <w:tc>
          <w:tcPr>
            <w:tcW w:w="1731" w:type="dxa"/>
          </w:tcPr>
          <w:p w:rsidR="00BF2117" w:rsidRPr="00D51DE8" w:rsidRDefault="00BF2117" w:rsidP="00B7389F">
            <w:pPr>
              <w:rPr>
                <w:sz w:val="16"/>
                <w:szCs w:val="16"/>
              </w:rPr>
            </w:pPr>
            <w:r w:rsidRPr="00D51DE8">
              <w:rPr>
                <w:sz w:val="16"/>
                <w:szCs w:val="16"/>
              </w:rPr>
              <w:tab/>
            </w:r>
            <w:r w:rsidRPr="00D51DE8">
              <w:rPr>
                <w:rStyle w:val="FootnoteReference"/>
                <w:rFonts w:cs="Arial"/>
                <w:sz w:val="16"/>
                <w:szCs w:val="16"/>
              </w:rPr>
              <w:footnoteRef/>
            </w:r>
            <w:r w:rsidRPr="00D51DE8">
              <w:rPr>
                <w:sz w:val="16"/>
                <w:szCs w:val="16"/>
              </w:rPr>
              <w:t xml:space="preserve">[0.01%] of </w:t>
            </w:r>
            <w:r w:rsidRPr="00D51DE8">
              <w:rPr>
                <w:sz w:val="16"/>
                <w:szCs w:val="16"/>
              </w:rPr>
              <w:tab/>
              <w:t xml:space="preserve">purchase </w:t>
            </w:r>
            <w:r w:rsidRPr="00D51DE8">
              <w:rPr>
                <w:sz w:val="16"/>
                <w:szCs w:val="16"/>
              </w:rPr>
              <w:tab/>
              <w:t>value</w:t>
            </w:r>
          </w:p>
        </w:tc>
      </w:tr>
      <w:tr w:rsidR="00BF2117" w:rsidRPr="00D51DE8" w:rsidTr="00B7389F">
        <w:tc>
          <w:tcPr>
            <w:tcW w:w="720" w:type="dxa"/>
          </w:tcPr>
          <w:p w:rsidR="00BF2117" w:rsidRPr="00D51DE8" w:rsidRDefault="00BF2117" w:rsidP="00B7389F">
            <w:pPr>
              <w:jc w:val="center"/>
              <w:rPr>
                <w:sz w:val="16"/>
                <w:szCs w:val="16"/>
              </w:rPr>
            </w:pPr>
            <w:r w:rsidRPr="00D51DE8">
              <w:rPr>
                <w:sz w:val="16"/>
                <w:szCs w:val="16"/>
              </w:rPr>
              <w:t>(ii)</w:t>
            </w:r>
          </w:p>
        </w:tc>
        <w:tc>
          <w:tcPr>
            <w:tcW w:w="3777" w:type="dxa"/>
          </w:tcPr>
          <w:p w:rsidR="00BF2117" w:rsidRPr="00D51DE8" w:rsidRDefault="00BF2117" w:rsidP="00B7389F">
            <w:pPr>
              <w:jc w:val="both"/>
              <w:rPr>
                <w:sz w:val="16"/>
                <w:szCs w:val="16"/>
              </w:rPr>
            </w:pPr>
            <w:r w:rsidRPr="00D51DE8">
              <w:rPr>
                <w:sz w:val="16"/>
                <w:szCs w:val="16"/>
              </w:rPr>
              <w:t>in case of sale of shares as per clause (b) of sub-section (1) of section 233A.</w:t>
            </w:r>
          </w:p>
          <w:p w:rsidR="00BF2117" w:rsidRPr="00D51DE8" w:rsidRDefault="00BF2117" w:rsidP="00B7389F">
            <w:pPr>
              <w:rPr>
                <w:sz w:val="16"/>
                <w:szCs w:val="16"/>
              </w:rPr>
            </w:pPr>
          </w:p>
        </w:tc>
        <w:tc>
          <w:tcPr>
            <w:tcW w:w="1731" w:type="dxa"/>
          </w:tcPr>
          <w:p w:rsidR="00BF2117" w:rsidRPr="00D51DE8" w:rsidRDefault="00BF2117" w:rsidP="00B7389F">
            <w:pPr>
              <w:rPr>
                <w:sz w:val="16"/>
                <w:szCs w:val="16"/>
              </w:rPr>
            </w:pPr>
            <w:r w:rsidRPr="00D51DE8">
              <w:rPr>
                <w:sz w:val="16"/>
                <w:szCs w:val="16"/>
              </w:rPr>
              <w:tab/>
            </w:r>
            <w:r w:rsidRPr="00D51DE8">
              <w:rPr>
                <w:rStyle w:val="FootnoteReference"/>
                <w:rFonts w:cs="Arial"/>
                <w:sz w:val="16"/>
                <w:szCs w:val="16"/>
              </w:rPr>
              <w:footnoteRef/>
            </w:r>
            <w:r w:rsidRPr="00D51DE8">
              <w:rPr>
                <w:sz w:val="16"/>
                <w:szCs w:val="16"/>
              </w:rPr>
              <w:t xml:space="preserve">[0.01%] of </w:t>
            </w:r>
            <w:r w:rsidRPr="00D51DE8">
              <w:rPr>
                <w:sz w:val="16"/>
                <w:szCs w:val="16"/>
              </w:rPr>
              <w:tab/>
              <w:t>sale value</w:t>
            </w:r>
          </w:p>
        </w:tc>
      </w:tr>
      <w:tr w:rsidR="00BF2117" w:rsidRPr="00D51DE8" w:rsidTr="00B7389F">
        <w:tc>
          <w:tcPr>
            <w:tcW w:w="720" w:type="dxa"/>
          </w:tcPr>
          <w:p w:rsidR="00BF2117" w:rsidRPr="00D51DE8" w:rsidRDefault="00BF2117" w:rsidP="00B7389F">
            <w:pPr>
              <w:jc w:val="center"/>
              <w:rPr>
                <w:sz w:val="16"/>
                <w:szCs w:val="16"/>
              </w:rPr>
            </w:pPr>
            <w:r w:rsidRPr="00D51DE8">
              <w:rPr>
                <w:rStyle w:val="FootnoteReference"/>
                <w:sz w:val="16"/>
                <w:szCs w:val="16"/>
              </w:rPr>
              <w:footnoteRef/>
            </w:r>
            <w:r w:rsidRPr="00D51DE8">
              <w:rPr>
                <w:sz w:val="16"/>
                <w:szCs w:val="16"/>
              </w:rPr>
              <w:t>[  ]</w:t>
            </w:r>
          </w:p>
        </w:tc>
        <w:tc>
          <w:tcPr>
            <w:tcW w:w="3777" w:type="dxa"/>
          </w:tcPr>
          <w:p w:rsidR="00BF2117" w:rsidRPr="00D51DE8" w:rsidRDefault="00BF2117" w:rsidP="00B7389F">
            <w:pPr>
              <w:rPr>
                <w:sz w:val="16"/>
                <w:szCs w:val="16"/>
              </w:rPr>
            </w:pPr>
          </w:p>
        </w:tc>
        <w:tc>
          <w:tcPr>
            <w:tcW w:w="1731" w:type="dxa"/>
          </w:tcPr>
          <w:p w:rsidR="00BF2117" w:rsidRPr="00D51DE8" w:rsidRDefault="00BF2117" w:rsidP="00B7389F">
            <w:pPr>
              <w:rPr>
                <w:sz w:val="16"/>
                <w:szCs w:val="16"/>
              </w:rPr>
            </w:pPr>
            <w:r w:rsidRPr="00D51DE8">
              <w:rPr>
                <w:sz w:val="16"/>
                <w:szCs w:val="16"/>
              </w:rPr>
              <w:tab/>
            </w:r>
          </w:p>
        </w:tc>
      </w:tr>
      <w:tr w:rsidR="00BF2117" w:rsidRPr="00D51DE8" w:rsidTr="00B7389F">
        <w:tc>
          <w:tcPr>
            <w:tcW w:w="720" w:type="dxa"/>
          </w:tcPr>
          <w:p w:rsidR="00BF2117" w:rsidRPr="00D51DE8" w:rsidRDefault="00BF2117" w:rsidP="00B7389F">
            <w:pPr>
              <w:jc w:val="center"/>
              <w:rPr>
                <w:sz w:val="16"/>
                <w:szCs w:val="16"/>
              </w:rPr>
            </w:pPr>
            <w:r w:rsidRPr="00D51DE8">
              <w:rPr>
                <w:rStyle w:val="FootnoteReference"/>
                <w:rFonts w:cs="Arial"/>
                <w:sz w:val="16"/>
                <w:szCs w:val="16"/>
              </w:rPr>
              <w:footnoteRef/>
            </w:r>
            <w:r w:rsidRPr="00D51DE8">
              <w:rPr>
                <w:sz w:val="16"/>
                <w:szCs w:val="16"/>
              </w:rPr>
              <w:t>[  ]”</w:t>
            </w:r>
          </w:p>
        </w:tc>
        <w:tc>
          <w:tcPr>
            <w:tcW w:w="3777" w:type="dxa"/>
          </w:tcPr>
          <w:p w:rsidR="00BF2117" w:rsidRPr="00D51DE8" w:rsidRDefault="00BF2117" w:rsidP="00B7389F">
            <w:pPr>
              <w:jc w:val="both"/>
              <w:rPr>
                <w:sz w:val="16"/>
                <w:szCs w:val="16"/>
              </w:rPr>
            </w:pPr>
          </w:p>
        </w:tc>
        <w:tc>
          <w:tcPr>
            <w:tcW w:w="1731" w:type="dxa"/>
          </w:tcPr>
          <w:p w:rsidR="00BF2117" w:rsidRPr="00D51DE8" w:rsidRDefault="00BF2117" w:rsidP="00B7389F">
            <w:pPr>
              <w:rPr>
                <w:sz w:val="16"/>
                <w:szCs w:val="16"/>
              </w:rPr>
            </w:pPr>
          </w:p>
        </w:tc>
      </w:tr>
    </w:tbl>
    <w:p w:rsidR="00BF2117" w:rsidRPr="00D51DE8" w:rsidRDefault="00BF2117" w:rsidP="00D51DE8">
      <w:pPr>
        <w:pStyle w:val="FootnoteText"/>
        <w:ind w:left="180" w:hanging="180"/>
        <w:rPr>
          <w:color w:val="FF0000"/>
          <w:sz w:val="16"/>
          <w:szCs w:val="16"/>
          <w:lang w:val="en-US"/>
        </w:rPr>
      </w:pPr>
    </w:p>
  </w:footnote>
  <w:footnote w:id="1683">
    <w:p w:rsidR="00BF2117" w:rsidRPr="008B7A1A" w:rsidRDefault="00BF2117" w:rsidP="00AA4BF8">
      <w:pPr>
        <w:pStyle w:val="FootnoteText"/>
        <w:rPr>
          <w:sz w:val="16"/>
          <w:szCs w:val="16"/>
        </w:rPr>
      </w:pPr>
      <w:r w:rsidRPr="008B7A1A">
        <w:rPr>
          <w:rStyle w:val="FootnoteReference"/>
          <w:rFonts w:cs="Arial"/>
          <w:sz w:val="16"/>
          <w:szCs w:val="16"/>
        </w:rPr>
        <w:footnoteRef/>
      </w:r>
      <w:r w:rsidRPr="008B7A1A">
        <w:rPr>
          <w:sz w:val="16"/>
          <w:szCs w:val="16"/>
        </w:rPr>
        <w:t xml:space="preserve"> Inserted by the Finance Act, 2013. </w:t>
      </w:r>
    </w:p>
  </w:footnote>
  <w:footnote w:id="1684">
    <w:p w:rsidR="00BF2117" w:rsidRPr="008B7A1A" w:rsidRDefault="00BF2117" w:rsidP="00AA4BF8">
      <w:pPr>
        <w:pStyle w:val="FootnoteText"/>
        <w:rPr>
          <w:sz w:val="16"/>
          <w:szCs w:val="16"/>
        </w:rPr>
      </w:pPr>
      <w:r w:rsidRPr="008B7A1A">
        <w:rPr>
          <w:rStyle w:val="FootnoteReference"/>
          <w:rFonts w:cs="Arial"/>
          <w:sz w:val="16"/>
          <w:szCs w:val="16"/>
        </w:rPr>
        <w:footnoteRef/>
      </w:r>
      <w:r w:rsidRPr="008B7A1A">
        <w:rPr>
          <w:sz w:val="16"/>
          <w:szCs w:val="16"/>
        </w:rPr>
        <w:t xml:space="preserve"> The heading “Transport Business” substituted by the Finance Act, 2008.</w:t>
      </w:r>
    </w:p>
  </w:footnote>
  <w:footnote w:id="1685">
    <w:p w:rsidR="00BF2117" w:rsidRPr="006B5981" w:rsidRDefault="00BF2117" w:rsidP="00810422">
      <w:pPr>
        <w:ind w:left="630" w:hanging="630"/>
        <w:rPr>
          <w:sz w:val="16"/>
          <w:szCs w:val="16"/>
          <w:lang w:val="en-US"/>
        </w:rPr>
      </w:pPr>
      <w:r w:rsidRPr="006B5981">
        <w:rPr>
          <w:rStyle w:val="FootnoteReference"/>
          <w:sz w:val="16"/>
          <w:szCs w:val="16"/>
        </w:rPr>
        <w:footnoteRef/>
      </w:r>
      <w:r>
        <w:rPr>
          <w:sz w:val="16"/>
          <w:szCs w:val="16"/>
        </w:rPr>
        <w:t>Paragraph (i) substituted by the Finance Act, 2015. The substituted paragraph (i) read as follows:-“</w:t>
      </w:r>
      <w:r w:rsidRPr="006B5981">
        <w:rPr>
          <w:sz w:val="16"/>
          <w:szCs w:val="16"/>
        </w:rPr>
        <w:t xml:space="preserve">(i) </w:t>
      </w:r>
      <w:r w:rsidRPr="006B5981">
        <w:rPr>
          <w:sz w:val="16"/>
          <w:szCs w:val="16"/>
        </w:rPr>
        <w:tab/>
        <w:t xml:space="preserve">in case of goods transport vehicles, tax of </w:t>
      </w:r>
      <w:r>
        <w:rPr>
          <w:sz w:val="16"/>
          <w:szCs w:val="16"/>
        </w:rPr>
        <w:t>f</w:t>
      </w:r>
      <w:r w:rsidRPr="006B5981">
        <w:rPr>
          <w:sz w:val="16"/>
          <w:szCs w:val="16"/>
        </w:rPr>
        <w:t>ive rupees per kilogram of the laden weight shall be char</w:t>
      </w:r>
      <w:r>
        <w:rPr>
          <w:sz w:val="16"/>
          <w:szCs w:val="16"/>
        </w:rPr>
        <w:t>ged.”</w:t>
      </w:r>
    </w:p>
  </w:footnote>
  <w:footnote w:id="1686">
    <w:p w:rsidR="00BF2117" w:rsidRPr="008B7A1A" w:rsidRDefault="00BF2117" w:rsidP="00AA4BF8">
      <w:pPr>
        <w:pStyle w:val="FootnoteText"/>
        <w:rPr>
          <w:sz w:val="16"/>
          <w:szCs w:val="16"/>
        </w:rPr>
      </w:pPr>
      <w:r w:rsidRPr="008B7A1A">
        <w:rPr>
          <w:rStyle w:val="FootnoteReference"/>
          <w:rFonts w:cs="Arial"/>
          <w:sz w:val="16"/>
          <w:szCs w:val="16"/>
        </w:rPr>
        <w:footnoteRef/>
      </w:r>
      <w:r w:rsidRPr="008B7A1A">
        <w:rPr>
          <w:sz w:val="16"/>
          <w:szCs w:val="16"/>
        </w:rPr>
        <w:t xml:space="preserve"> Inserted by the Finance Act, 2003.</w:t>
      </w:r>
    </w:p>
  </w:footnote>
  <w:footnote w:id="1687">
    <w:p w:rsidR="00BF2117" w:rsidRDefault="00BF2117">
      <w:pPr>
        <w:pStyle w:val="FootnoteText"/>
        <w:rPr>
          <w:sz w:val="16"/>
          <w:szCs w:val="16"/>
        </w:rPr>
      </w:pPr>
      <w:r w:rsidRPr="00817A0B">
        <w:rPr>
          <w:rStyle w:val="FootnoteReference"/>
          <w:sz w:val="16"/>
          <w:szCs w:val="16"/>
        </w:rPr>
        <w:footnoteRef/>
      </w:r>
      <w:r>
        <w:rPr>
          <w:sz w:val="16"/>
          <w:szCs w:val="16"/>
        </w:rPr>
        <w:t>Table substituted by the Finance Act, 2015. The substituted Table read as follows:-</w:t>
      </w:r>
    </w:p>
    <w:p w:rsidR="00BF2117" w:rsidRPr="00817A0B" w:rsidRDefault="00BF2117">
      <w:pPr>
        <w:pStyle w:val="FootnoteText"/>
        <w:rPr>
          <w:sz w:val="16"/>
          <w:szCs w:val="16"/>
          <w:lang w:val="en-US"/>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2896"/>
        <w:gridCol w:w="1800"/>
      </w:tblGrid>
      <w:tr w:rsidR="00BF2117" w:rsidRPr="00817A0B" w:rsidTr="00817A0B">
        <w:tc>
          <w:tcPr>
            <w:tcW w:w="990" w:type="dxa"/>
          </w:tcPr>
          <w:p w:rsidR="00BF2117" w:rsidRPr="00817A0B" w:rsidRDefault="00BF2117" w:rsidP="00472DD2">
            <w:pPr>
              <w:jc w:val="center"/>
              <w:rPr>
                <w:color w:val="000000" w:themeColor="text1"/>
                <w:sz w:val="16"/>
                <w:szCs w:val="16"/>
              </w:rPr>
            </w:pPr>
            <w:r w:rsidRPr="00817A0B">
              <w:rPr>
                <w:color w:val="000000" w:themeColor="text1"/>
                <w:sz w:val="16"/>
                <w:szCs w:val="16"/>
              </w:rPr>
              <w:t>(a)</w:t>
            </w:r>
          </w:p>
        </w:tc>
        <w:tc>
          <w:tcPr>
            <w:tcW w:w="2896" w:type="dxa"/>
          </w:tcPr>
          <w:p w:rsidR="00BF2117" w:rsidRPr="00817A0B" w:rsidRDefault="00BF2117" w:rsidP="00472DD2">
            <w:pPr>
              <w:jc w:val="both"/>
              <w:rPr>
                <w:color w:val="000000" w:themeColor="text1"/>
                <w:sz w:val="16"/>
                <w:szCs w:val="16"/>
              </w:rPr>
            </w:pPr>
            <w:r w:rsidRPr="00817A0B">
              <w:rPr>
                <w:color w:val="000000" w:themeColor="text1"/>
                <w:sz w:val="16"/>
                <w:szCs w:val="16"/>
              </w:rPr>
              <w:t>Four or more persons but less than ten persons.</w:t>
            </w:r>
          </w:p>
        </w:tc>
        <w:tc>
          <w:tcPr>
            <w:tcW w:w="1800" w:type="dxa"/>
          </w:tcPr>
          <w:p w:rsidR="00BF2117" w:rsidRPr="00817A0B" w:rsidRDefault="00BF2117" w:rsidP="00472DD2">
            <w:pPr>
              <w:jc w:val="center"/>
              <w:rPr>
                <w:color w:val="000000" w:themeColor="text1"/>
                <w:sz w:val="16"/>
                <w:szCs w:val="16"/>
              </w:rPr>
            </w:pPr>
            <w:r w:rsidRPr="00817A0B">
              <w:rPr>
                <w:color w:val="000000" w:themeColor="text1"/>
                <w:sz w:val="16"/>
                <w:szCs w:val="16"/>
              </w:rPr>
              <w:t xml:space="preserve">Rs.  25 </w:t>
            </w:r>
            <w:r w:rsidRPr="00817A0B">
              <w:rPr>
                <w:rStyle w:val="FootnoteReference"/>
                <w:rFonts w:cs="Arial"/>
                <w:color w:val="000000" w:themeColor="text1"/>
                <w:sz w:val="16"/>
                <w:szCs w:val="16"/>
              </w:rPr>
              <w:footnoteRef/>
            </w:r>
            <w:r w:rsidRPr="00817A0B">
              <w:rPr>
                <w:color w:val="000000" w:themeColor="text1"/>
                <w:sz w:val="16"/>
                <w:szCs w:val="16"/>
              </w:rPr>
              <w:t>[per seat per annum].</w:t>
            </w:r>
          </w:p>
        </w:tc>
      </w:tr>
      <w:tr w:rsidR="00BF2117" w:rsidRPr="00817A0B" w:rsidTr="00817A0B">
        <w:tc>
          <w:tcPr>
            <w:tcW w:w="990" w:type="dxa"/>
          </w:tcPr>
          <w:p w:rsidR="00BF2117" w:rsidRPr="00817A0B" w:rsidRDefault="00BF2117" w:rsidP="00472DD2">
            <w:pPr>
              <w:jc w:val="center"/>
              <w:rPr>
                <w:color w:val="000000" w:themeColor="text1"/>
                <w:sz w:val="16"/>
                <w:szCs w:val="16"/>
              </w:rPr>
            </w:pPr>
            <w:r w:rsidRPr="00817A0B">
              <w:rPr>
                <w:color w:val="000000" w:themeColor="text1"/>
                <w:sz w:val="16"/>
                <w:szCs w:val="16"/>
              </w:rPr>
              <w:t>(b)</w:t>
            </w:r>
          </w:p>
        </w:tc>
        <w:tc>
          <w:tcPr>
            <w:tcW w:w="2896" w:type="dxa"/>
          </w:tcPr>
          <w:p w:rsidR="00BF2117" w:rsidRPr="00817A0B" w:rsidRDefault="00BF2117" w:rsidP="00472DD2">
            <w:pPr>
              <w:jc w:val="both"/>
              <w:rPr>
                <w:color w:val="000000" w:themeColor="text1"/>
                <w:sz w:val="16"/>
                <w:szCs w:val="16"/>
              </w:rPr>
            </w:pPr>
            <w:r w:rsidRPr="00817A0B">
              <w:rPr>
                <w:color w:val="000000" w:themeColor="text1"/>
                <w:sz w:val="16"/>
                <w:szCs w:val="16"/>
              </w:rPr>
              <w:t>Ten or more persons but less than twenty persons.</w:t>
            </w:r>
          </w:p>
        </w:tc>
        <w:tc>
          <w:tcPr>
            <w:tcW w:w="1800" w:type="dxa"/>
          </w:tcPr>
          <w:p w:rsidR="00BF2117" w:rsidRPr="00817A0B" w:rsidRDefault="00BF2117" w:rsidP="00472DD2">
            <w:pPr>
              <w:jc w:val="center"/>
              <w:rPr>
                <w:color w:val="000000" w:themeColor="text1"/>
                <w:sz w:val="16"/>
                <w:szCs w:val="16"/>
              </w:rPr>
            </w:pPr>
            <w:r w:rsidRPr="00817A0B">
              <w:rPr>
                <w:color w:val="000000" w:themeColor="text1"/>
                <w:sz w:val="16"/>
                <w:szCs w:val="16"/>
              </w:rPr>
              <w:t xml:space="preserve">Rs. 60 </w:t>
            </w:r>
            <w:r w:rsidRPr="00817A0B">
              <w:rPr>
                <w:rStyle w:val="FootnoteReference"/>
                <w:rFonts w:cs="Arial"/>
                <w:color w:val="000000" w:themeColor="text1"/>
                <w:sz w:val="16"/>
                <w:szCs w:val="16"/>
              </w:rPr>
              <w:footnoteRef/>
            </w:r>
            <w:r w:rsidRPr="00817A0B">
              <w:rPr>
                <w:color w:val="000000" w:themeColor="text1"/>
                <w:sz w:val="16"/>
                <w:szCs w:val="16"/>
              </w:rPr>
              <w:t>[per seat per annum].</w:t>
            </w:r>
          </w:p>
        </w:tc>
      </w:tr>
      <w:tr w:rsidR="00BF2117" w:rsidRPr="00817A0B" w:rsidTr="00817A0B">
        <w:tc>
          <w:tcPr>
            <w:tcW w:w="990" w:type="dxa"/>
          </w:tcPr>
          <w:p w:rsidR="00BF2117" w:rsidRPr="00817A0B" w:rsidRDefault="00BF2117" w:rsidP="00472DD2">
            <w:pPr>
              <w:jc w:val="center"/>
              <w:rPr>
                <w:color w:val="000000" w:themeColor="text1"/>
                <w:sz w:val="16"/>
                <w:szCs w:val="16"/>
              </w:rPr>
            </w:pPr>
            <w:r w:rsidRPr="00817A0B">
              <w:rPr>
                <w:color w:val="000000" w:themeColor="text1"/>
                <w:sz w:val="16"/>
                <w:szCs w:val="16"/>
              </w:rPr>
              <w:t>(c)</w:t>
            </w:r>
          </w:p>
        </w:tc>
        <w:tc>
          <w:tcPr>
            <w:tcW w:w="2896" w:type="dxa"/>
          </w:tcPr>
          <w:p w:rsidR="00BF2117" w:rsidRPr="00817A0B" w:rsidRDefault="00BF2117" w:rsidP="00472DD2">
            <w:pPr>
              <w:jc w:val="both"/>
              <w:rPr>
                <w:color w:val="000000" w:themeColor="text1"/>
                <w:sz w:val="16"/>
                <w:szCs w:val="16"/>
              </w:rPr>
            </w:pPr>
            <w:r w:rsidRPr="00817A0B">
              <w:rPr>
                <w:color w:val="000000" w:themeColor="text1"/>
                <w:sz w:val="16"/>
                <w:szCs w:val="16"/>
              </w:rPr>
              <w:t>Twenty persons ore more.</w:t>
            </w:r>
          </w:p>
        </w:tc>
        <w:tc>
          <w:tcPr>
            <w:tcW w:w="1800" w:type="dxa"/>
          </w:tcPr>
          <w:p w:rsidR="00BF2117" w:rsidRPr="00817A0B" w:rsidRDefault="00BF2117" w:rsidP="00472DD2">
            <w:pPr>
              <w:jc w:val="center"/>
              <w:rPr>
                <w:color w:val="000000" w:themeColor="text1"/>
                <w:sz w:val="16"/>
                <w:szCs w:val="16"/>
              </w:rPr>
            </w:pPr>
            <w:r w:rsidRPr="00817A0B">
              <w:rPr>
                <w:color w:val="000000" w:themeColor="text1"/>
                <w:sz w:val="16"/>
                <w:szCs w:val="16"/>
              </w:rPr>
              <w:t>Rs.</w:t>
            </w:r>
            <w:r w:rsidRPr="00817A0B">
              <w:rPr>
                <w:rStyle w:val="FootnoteReference"/>
                <w:rFonts w:cs="Arial"/>
                <w:color w:val="000000" w:themeColor="text1"/>
                <w:sz w:val="16"/>
                <w:szCs w:val="16"/>
              </w:rPr>
              <w:footnoteRef/>
            </w:r>
            <w:r w:rsidRPr="00817A0B">
              <w:rPr>
                <w:color w:val="000000" w:themeColor="text1"/>
                <w:sz w:val="16"/>
                <w:szCs w:val="16"/>
              </w:rPr>
              <w:t xml:space="preserve">[500] </w:t>
            </w:r>
            <w:r w:rsidRPr="00817A0B">
              <w:rPr>
                <w:rStyle w:val="FootnoteReference"/>
                <w:rFonts w:cs="Arial"/>
                <w:color w:val="000000" w:themeColor="text1"/>
                <w:sz w:val="16"/>
                <w:szCs w:val="16"/>
              </w:rPr>
              <w:footnoteRef/>
            </w:r>
            <w:r>
              <w:rPr>
                <w:color w:val="000000" w:themeColor="text1"/>
                <w:sz w:val="16"/>
                <w:szCs w:val="16"/>
              </w:rPr>
              <w:t>[per seat per annum</w:t>
            </w:r>
            <w:r w:rsidRPr="00817A0B">
              <w:rPr>
                <w:color w:val="000000" w:themeColor="text1"/>
                <w:sz w:val="16"/>
                <w:szCs w:val="16"/>
              </w:rPr>
              <w:t>.</w:t>
            </w:r>
            <w:r>
              <w:rPr>
                <w:color w:val="000000" w:themeColor="text1"/>
                <w:sz w:val="16"/>
                <w:szCs w:val="16"/>
              </w:rPr>
              <w:t>”</w:t>
            </w:r>
          </w:p>
        </w:tc>
      </w:tr>
    </w:tbl>
    <w:p w:rsidR="00BF2117" w:rsidRPr="00817A0B" w:rsidRDefault="00BF2117">
      <w:pPr>
        <w:pStyle w:val="FootnoteText"/>
        <w:rPr>
          <w:sz w:val="16"/>
          <w:szCs w:val="16"/>
          <w:lang w:val="en-US"/>
        </w:rPr>
      </w:pPr>
    </w:p>
  </w:footnote>
  <w:footnote w:id="1688">
    <w:p w:rsidR="00BF2117" w:rsidRPr="00DD1A3B" w:rsidRDefault="00BF2117" w:rsidP="00AA4BF8">
      <w:pPr>
        <w:pStyle w:val="FootnoteText"/>
        <w:rPr>
          <w:color w:val="000000" w:themeColor="text1"/>
          <w:sz w:val="16"/>
          <w:szCs w:val="16"/>
          <w:lang w:val="en-US"/>
        </w:rPr>
      </w:pPr>
      <w:r w:rsidRPr="00DD1A3B">
        <w:rPr>
          <w:rStyle w:val="FootnoteReference"/>
          <w:color w:val="000000" w:themeColor="text1"/>
          <w:sz w:val="16"/>
          <w:szCs w:val="16"/>
        </w:rPr>
        <w:footnoteRef/>
      </w:r>
      <w:r w:rsidRPr="00DD1A3B">
        <w:rPr>
          <w:color w:val="000000" w:themeColor="text1"/>
          <w:sz w:val="16"/>
          <w:szCs w:val="16"/>
          <w:lang w:val="en-US"/>
        </w:rPr>
        <w:t>Clause (3) substituted by Finance Act, 2014. The substituted clause (3) read as follows:</w:t>
      </w:r>
    </w:p>
    <w:p w:rsidR="00BF2117" w:rsidRPr="00DD1A3B" w:rsidRDefault="00BF2117" w:rsidP="00DE72C1">
      <w:pPr>
        <w:ind w:firstLine="547"/>
        <w:rPr>
          <w:rFonts w:cs="Arial"/>
          <w:color w:val="000000" w:themeColor="text1"/>
          <w:sz w:val="16"/>
          <w:szCs w:val="16"/>
        </w:rPr>
      </w:pPr>
      <w:r w:rsidRPr="00DD1A3B">
        <w:rPr>
          <w:rFonts w:cs="Arial"/>
          <w:color w:val="000000" w:themeColor="text1"/>
          <w:sz w:val="16"/>
          <w:szCs w:val="16"/>
        </w:rPr>
        <w:t>“(3)  Other private motor cars with engine capacity of—</w:t>
      </w:r>
    </w:p>
    <w:p w:rsidR="00BF2117" w:rsidRPr="00DD1A3B" w:rsidRDefault="00BF2117" w:rsidP="008A00A9">
      <w:pPr>
        <w:ind w:firstLine="547"/>
        <w:rPr>
          <w:rFonts w:cs="Arial"/>
          <w:color w:val="000000" w:themeColor="text1"/>
          <w:sz w:val="16"/>
          <w:szCs w:val="16"/>
        </w:rPr>
      </w:pPr>
      <w:r w:rsidRPr="00DD1A3B">
        <w:rPr>
          <w:rFonts w:cs="Arial"/>
          <w:color w:val="000000" w:themeColor="text1"/>
          <w:sz w:val="16"/>
          <w:szCs w:val="16"/>
        </w:rPr>
        <w:t>(a)</w:t>
      </w:r>
      <w:r w:rsidRPr="00DD1A3B">
        <w:rPr>
          <w:rFonts w:cs="Arial"/>
          <w:color w:val="000000" w:themeColor="text1"/>
          <w:sz w:val="16"/>
          <w:szCs w:val="16"/>
        </w:rPr>
        <w:tab/>
        <w:t>upto 1000cc</w:t>
      </w:r>
      <w:r w:rsidRPr="00DD1A3B">
        <w:rPr>
          <w:rFonts w:cs="Arial"/>
          <w:color w:val="000000" w:themeColor="text1"/>
          <w:sz w:val="16"/>
          <w:szCs w:val="16"/>
        </w:rPr>
        <w:tab/>
      </w:r>
      <w:r w:rsidRPr="00DD1A3B">
        <w:rPr>
          <w:rFonts w:cs="Arial"/>
          <w:color w:val="000000" w:themeColor="text1"/>
          <w:sz w:val="16"/>
          <w:szCs w:val="16"/>
        </w:rPr>
        <w:tab/>
        <w:t>Rs. 750</w:t>
      </w:r>
    </w:p>
    <w:p w:rsidR="00BF2117" w:rsidRPr="00DD1A3B" w:rsidRDefault="00BF2117" w:rsidP="008A00A9">
      <w:pPr>
        <w:ind w:firstLine="547"/>
        <w:rPr>
          <w:rFonts w:cs="Arial"/>
          <w:color w:val="000000" w:themeColor="text1"/>
          <w:sz w:val="16"/>
          <w:szCs w:val="16"/>
        </w:rPr>
      </w:pPr>
      <w:r w:rsidRPr="00DD1A3B">
        <w:rPr>
          <w:rFonts w:cs="Arial"/>
          <w:color w:val="000000" w:themeColor="text1"/>
          <w:sz w:val="16"/>
          <w:szCs w:val="16"/>
        </w:rPr>
        <w:t>(b)</w:t>
      </w:r>
      <w:r w:rsidRPr="00DD1A3B">
        <w:rPr>
          <w:rFonts w:cs="Arial"/>
          <w:color w:val="000000" w:themeColor="text1"/>
          <w:sz w:val="16"/>
          <w:szCs w:val="16"/>
        </w:rPr>
        <w:tab/>
        <w:t>1001cc to 1199cc</w:t>
      </w:r>
      <w:r w:rsidRPr="00DD1A3B">
        <w:rPr>
          <w:rFonts w:cs="Arial"/>
          <w:color w:val="000000" w:themeColor="text1"/>
          <w:sz w:val="16"/>
          <w:szCs w:val="16"/>
        </w:rPr>
        <w:tab/>
        <w:t>Rs. 1250</w:t>
      </w:r>
    </w:p>
    <w:p w:rsidR="00BF2117" w:rsidRPr="00DD1A3B" w:rsidRDefault="00BF2117" w:rsidP="008A00A9">
      <w:pPr>
        <w:ind w:firstLine="547"/>
        <w:rPr>
          <w:rFonts w:cs="Arial"/>
          <w:color w:val="000000" w:themeColor="text1"/>
          <w:sz w:val="16"/>
          <w:szCs w:val="16"/>
        </w:rPr>
      </w:pPr>
      <w:r w:rsidRPr="00DD1A3B">
        <w:rPr>
          <w:rFonts w:cs="Arial"/>
          <w:color w:val="000000" w:themeColor="text1"/>
          <w:sz w:val="16"/>
          <w:szCs w:val="16"/>
        </w:rPr>
        <w:t>(c)</w:t>
      </w:r>
      <w:r w:rsidRPr="00DD1A3B">
        <w:rPr>
          <w:rFonts w:cs="Arial"/>
          <w:color w:val="000000" w:themeColor="text1"/>
          <w:sz w:val="16"/>
          <w:szCs w:val="16"/>
        </w:rPr>
        <w:tab/>
        <w:t>1200cc to 1299 cc</w:t>
      </w:r>
      <w:r w:rsidRPr="00DD1A3B">
        <w:rPr>
          <w:rFonts w:cs="Arial"/>
          <w:color w:val="000000" w:themeColor="text1"/>
          <w:sz w:val="16"/>
          <w:szCs w:val="16"/>
        </w:rPr>
        <w:tab/>
        <w:t>Rs.1750</w:t>
      </w:r>
    </w:p>
    <w:p w:rsidR="00BF2117" w:rsidRPr="00DD1A3B" w:rsidRDefault="00BF2117" w:rsidP="008A00A9">
      <w:pPr>
        <w:ind w:firstLine="547"/>
        <w:rPr>
          <w:rFonts w:cs="Arial"/>
          <w:color w:val="000000" w:themeColor="text1"/>
          <w:sz w:val="16"/>
          <w:szCs w:val="16"/>
        </w:rPr>
      </w:pPr>
      <w:r w:rsidRPr="00DD1A3B">
        <w:rPr>
          <w:rFonts w:cs="Arial"/>
          <w:color w:val="000000" w:themeColor="text1"/>
          <w:sz w:val="16"/>
          <w:szCs w:val="16"/>
        </w:rPr>
        <w:t>(d)</w:t>
      </w:r>
      <w:r w:rsidRPr="00DD1A3B">
        <w:rPr>
          <w:rFonts w:cs="Arial"/>
          <w:color w:val="000000" w:themeColor="text1"/>
          <w:sz w:val="16"/>
          <w:szCs w:val="16"/>
        </w:rPr>
        <w:tab/>
        <w:t>1300cc to 1599cc</w:t>
      </w:r>
      <w:r w:rsidRPr="00DD1A3B">
        <w:rPr>
          <w:rFonts w:cs="Arial"/>
          <w:color w:val="000000" w:themeColor="text1"/>
          <w:sz w:val="16"/>
          <w:szCs w:val="16"/>
        </w:rPr>
        <w:tab/>
        <w:t>Rs. 3000</w:t>
      </w:r>
    </w:p>
    <w:p w:rsidR="00BF2117" w:rsidRPr="00DD1A3B" w:rsidRDefault="00BF2117" w:rsidP="008A00A9">
      <w:pPr>
        <w:ind w:firstLine="547"/>
        <w:rPr>
          <w:rFonts w:cs="Arial"/>
          <w:color w:val="000000" w:themeColor="text1"/>
          <w:sz w:val="16"/>
          <w:szCs w:val="16"/>
        </w:rPr>
      </w:pPr>
      <w:r w:rsidRPr="00DD1A3B">
        <w:rPr>
          <w:rFonts w:cs="Arial"/>
          <w:color w:val="000000" w:themeColor="text1"/>
          <w:sz w:val="16"/>
          <w:szCs w:val="16"/>
        </w:rPr>
        <w:t>(e)</w:t>
      </w:r>
      <w:r w:rsidRPr="00DD1A3B">
        <w:rPr>
          <w:rFonts w:cs="Arial"/>
          <w:color w:val="000000" w:themeColor="text1"/>
          <w:sz w:val="16"/>
          <w:szCs w:val="16"/>
        </w:rPr>
        <w:tab/>
        <w:t>1600cc to 1999 cc</w:t>
      </w:r>
      <w:r w:rsidRPr="00DD1A3B">
        <w:rPr>
          <w:rFonts w:cs="Arial"/>
          <w:color w:val="000000" w:themeColor="text1"/>
          <w:sz w:val="16"/>
          <w:szCs w:val="16"/>
        </w:rPr>
        <w:tab/>
        <w:t>Rs. 4000</w:t>
      </w:r>
    </w:p>
    <w:p w:rsidR="00BF2117" w:rsidRPr="00DD1A3B" w:rsidRDefault="00BF2117" w:rsidP="009B14BA">
      <w:pPr>
        <w:ind w:firstLine="547"/>
        <w:rPr>
          <w:color w:val="000000" w:themeColor="text1"/>
          <w:sz w:val="16"/>
          <w:szCs w:val="16"/>
          <w:lang w:val="en-US"/>
        </w:rPr>
      </w:pPr>
      <w:r w:rsidRPr="00DD1A3B">
        <w:rPr>
          <w:rFonts w:cs="Arial"/>
          <w:color w:val="000000" w:themeColor="text1"/>
          <w:sz w:val="16"/>
          <w:szCs w:val="16"/>
        </w:rPr>
        <w:t>(f)</w:t>
      </w:r>
      <w:r w:rsidRPr="00DD1A3B">
        <w:rPr>
          <w:rFonts w:cs="Arial"/>
          <w:color w:val="000000" w:themeColor="text1"/>
          <w:sz w:val="16"/>
          <w:szCs w:val="16"/>
        </w:rPr>
        <w:tab/>
        <w:t xml:space="preserve">2000cc and above </w:t>
      </w:r>
      <w:r w:rsidRPr="00DD1A3B">
        <w:rPr>
          <w:rFonts w:cs="Arial"/>
          <w:color w:val="000000" w:themeColor="text1"/>
          <w:sz w:val="16"/>
          <w:szCs w:val="16"/>
        </w:rPr>
        <w:tab/>
        <w:t>Rs. 8000”</w:t>
      </w:r>
      <w:r w:rsidRPr="00DD1A3B">
        <w:rPr>
          <w:color w:val="000000" w:themeColor="text1"/>
          <w:lang w:val="en-US"/>
        </w:rPr>
        <w:tab/>
      </w:r>
    </w:p>
  </w:footnote>
  <w:footnote w:id="1689">
    <w:p w:rsidR="00BF2117" w:rsidRPr="009B14BA" w:rsidRDefault="00BF2117">
      <w:pPr>
        <w:pStyle w:val="FootnoteText"/>
        <w:rPr>
          <w:sz w:val="16"/>
          <w:szCs w:val="16"/>
          <w:lang w:val="en-US"/>
        </w:rPr>
      </w:pPr>
      <w:r w:rsidRPr="00DD1A3B">
        <w:rPr>
          <w:rStyle w:val="FootnoteReference"/>
          <w:color w:val="000000" w:themeColor="text1"/>
          <w:sz w:val="16"/>
          <w:szCs w:val="16"/>
        </w:rPr>
        <w:footnoteRef/>
      </w:r>
      <w:r w:rsidRPr="00DD1A3B">
        <w:rPr>
          <w:color w:val="000000" w:themeColor="text1"/>
          <w:sz w:val="16"/>
          <w:szCs w:val="16"/>
        </w:rPr>
        <w:t>The word “cars” substituted by the Finance Act</w:t>
      </w:r>
      <w:r>
        <w:rPr>
          <w:sz w:val="16"/>
          <w:szCs w:val="16"/>
        </w:rPr>
        <w:t>, 2015.</w:t>
      </w:r>
    </w:p>
  </w:footnote>
  <w:footnote w:id="1690">
    <w:p w:rsidR="00BF2117" w:rsidRPr="006F4A36" w:rsidRDefault="00BF2117">
      <w:pPr>
        <w:pStyle w:val="FootnoteText"/>
        <w:rPr>
          <w:sz w:val="16"/>
          <w:szCs w:val="16"/>
          <w:lang w:val="en-US"/>
        </w:rPr>
      </w:pPr>
      <w:r w:rsidRPr="006F4A36">
        <w:rPr>
          <w:rStyle w:val="FootnoteReference"/>
          <w:sz w:val="16"/>
          <w:szCs w:val="16"/>
        </w:rPr>
        <w:footnoteRef/>
      </w:r>
      <w:r>
        <w:rPr>
          <w:sz w:val="16"/>
          <w:szCs w:val="16"/>
        </w:rPr>
        <w:t xml:space="preserve">Table substituted by the Finance, 2015. The substituted Table read as follows:-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2340"/>
        <w:gridCol w:w="1710"/>
        <w:gridCol w:w="1800"/>
      </w:tblGrid>
      <w:tr w:rsidR="00BF2117" w:rsidRPr="006F4A36" w:rsidTr="00472DD2">
        <w:trPr>
          <w:trHeight w:val="203"/>
        </w:trPr>
        <w:tc>
          <w:tcPr>
            <w:tcW w:w="720" w:type="dxa"/>
            <w:vAlign w:val="center"/>
          </w:tcPr>
          <w:p w:rsidR="00BF2117" w:rsidRPr="006F4A36" w:rsidRDefault="00BF2117" w:rsidP="00472DD2">
            <w:pPr>
              <w:ind w:left="54"/>
              <w:jc w:val="center"/>
              <w:rPr>
                <w:color w:val="000000" w:themeColor="text1"/>
                <w:sz w:val="16"/>
                <w:szCs w:val="16"/>
              </w:rPr>
            </w:pPr>
            <w:r>
              <w:rPr>
                <w:color w:val="000000" w:themeColor="text1"/>
                <w:sz w:val="16"/>
                <w:szCs w:val="16"/>
              </w:rPr>
              <w:t>“</w:t>
            </w:r>
            <w:r w:rsidRPr="006F4A36">
              <w:rPr>
                <w:color w:val="000000" w:themeColor="text1"/>
                <w:sz w:val="16"/>
                <w:szCs w:val="16"/>
              </w:rPr>
              <w:t>S. No.</w:t>
            </w:r>
          </w:p>
        </w:tc>
        <w:tc>
          <w:tcPr>
            <w:tcW w:w="234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Engine capacity</w:t>
            </w:r>
          </w:p>
        </w:tc>
        <w:tc>
          <w:tcPr>
            <w:tcW w:w="171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for filers</w:t>
            </w:r>
          </w:p>
        </w:tc>
        <w:tc>
          <w:tcPr>
            <w:tcW w:w="180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for non-filer</w:t>
            </w:r>
          </w:p>
        </w:tc>
      </w:tr>
      <w:tr w:rsidR="00BF2117" w:rsidRPr="006F4A36" w:rsidTr="00472DD2">
        <w:trPr>
          <w:trHeight w:val="122"/>
        </w:trPr>
        <w:tc>
          <w:tcPr>
            <w:tcW w:w="72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(1)</w:t>
            </w:r>
          </w:p>
        </w:tc>
        <w:tc>
          <w:tcPr>
            <w:tcW w:w="2340" w:type="dxa"/>
            <w:vAlign w:val="center"/>
          </w:tcPr>
          <w:p w:rsidR="00BF2117" w:rsidRPr="006F4A36" w:rsidRDefault="00BF2117" w:rsidP="00472DD2">
            <w:pPr>
              <w:ind w:left="58"/>
              <w:rPr>
                <w:color w:val="000000" w:themeColor="text1"/>
                <w:sz w:val="16"/>
                <w:szCs w:val="16"/>
              </w:rPr>
            </w:pPr>
            <w:r w:rsidRPr="006F4A36">
              <w:rPr>
                <w:color w:val="000000" w:themeColor="text1"/>
                <w:sz w:val="16"/>
                <w:szCs w:val="16"/>
              </w:rPr>
              <w:t>(2)</w:t>
            </w:r>
          </w:p>
        </w:tc>
        <w:tc>
          <w:tcPr>
            <w:tcW w:w="171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(3)</w:t>
            </w:r>
          </w:p>
        </w:tc>
        <w:tc>
          <w:tcPr>
            <w:tcW w:w="180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(4)</w:t>
            </w:r>
          </w:p>
        </w:tc>
      </w:tr>
      <w:tr w:rsidR="00BF2117" w:rsidRPr="006F4A36" w:rsidTr="00472DD2">
        <w:trPr>
          <w:trHeight w:val="109"/>
        </w:trPr>
        <w:tc>
          <w:tcPr>
            <w:tcW w:w="72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1.</w:t>
            </w:r>
          </w:p>
        </w:tc>
        <w:tc>
          <w:tcPr>
            <w:tcW w:w="2340" w:type="dxa"/>
            <w:vAlign w:val="center"/>
          </w:tcPr>
          <w:p w:rsidR="00BF2117" w:rsidRPr="006F4A36" w:rsidRDefault="00BF2117" w:rsidP="00472DD2">
            <w:pPr>
              <w:ind w:left="54"/>
              <w:rPr>
                <w:color w:val="000000" w:themeColor="text1"/>
                <w:sz w:val="16"/>
                <w:szCs w:val="16"/>
              </w:rPr>
            </w:pPr>
            <w:r w:rsidRPr="006F4A36">
              <w:rPr>
                <w:color w:val="000000" w:themeColor="text1"/>
                <w:sz w:val="16"/>
                <w:szCs w:val="16"/>
              </w:rPr>
              <w:t>upto 1000cc</w:t>
            </w:r>
          </w:p>
        </w:tc>
        <w:tc>
          <w:tcPr>
            <w:tcW w:w="171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1,000</w:t>
            </w:r>
          </w:p>
        </w:tc>
        <w:tc>
          <w:tcPr>
            <w:tcW w:w="180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1,000</w:t>
            </w:r>
          </w:p>
        </w:tc>
      </w:tr>
      <w:tr w:rsidR="00BF2117" w:rsidRPr="006F4A36" w:rsidTr="00472DD2">
        <w:trPr>
          <w:trHeight w:val="135"/>
        </w:trPr>
        <w:tc>
          <w:tcPr>
            <w:tcW w:w="72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2.</w:t>
            </w:r>
          </w:p>
        </w:tc>
        <w:tc>
          <w:tcPr>
            <w:tcW w:w="2340" w:type="dxa"/>
            <w:vAlign w:val="center"/>
          </w:tcPr>
          <w:p w:rsidR="00BF2117" w:rsidRPr="006F4A36" w:rsidRDefault="00BF2117" w:rsidP="00472DD2">
            <w:pPr>
              <w:ind w:left="54"/>
              <w:rPr>
                <w:color w:val="000000" w:themeColor="text1"/>
                <w:sz w:val="16"/>
                <w:szCs w:val="16"/>
              </w:rPr>
            </w:pPr>
            <w:r w:rsidRPr="006F4A36">
              <w:rPr>
                <w:color w:val="000000" w:themeColor="text1"/>
                <w:sz w:val="16"/>
                <w:szCs w:val="16"/>
              </w:rPr>
              <w:t>1001cc to 1199cc</w:t>
            </w:r>
          </w:p>
        </w:tc>
        <w:tc>
          <w:tcPr>
            <w:tcW w:w="171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1,800</w:t>
            </w:r>
          </w:p>
        </w:tc>
        <w:tc>
          <w:tcPr>
            <w:tcW w:w="180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3,600</w:t>
            </w:r>
          </w:p>
        </w:tc>
      </w:tr>
      <w:tr w:rsidR="00BF2117" w:rsidRPr="006F4A36" w:rsidTr="00472DD2">
        <w:trPr>
          <w:trHeight w:val="82"/>
        </w:trPr>
        <w:tc>
          <w:tcPr>
            <w:tcW w:w="72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3.</w:t>
            </w:r>
          </w:p>
        </w:tc>
        <w:tc>
          <w:tcPr>
            <w:tcW w:w="2340" w:type="dxa"/>
            <w:vAlign w:val="center"/>
          </w:tcPr>
          <w:p w:rsidR="00BF2117" w:rsidRPr="006F4A36" w:rsidRDefault="00BF2117" w:rsidP="00472DD2">
            <w:pPr>
              <w:ind w:left="54"/>
              <w:rPr>
                <w:color w:val="000000" w:themeColor="text1"/>
                <w:sz w:val="16"/>
                <w:szCs w:val="16"/>
              </w:rPr>
            </w:pPr>
            <w:r w:rsidRPr="006F4A36">
              <w:rPr>
                <w:color w:val="000000" w:themeColor="text1"/>
                <w:sz w:val="16"/>
                <w:szCs w:val="16"/>
              </w:rPr>
              <w:t>1200cc to 1299cc</w:t>
            </w:r>
          </w:p>
        </w:tc>
        <w:tc>
          <w:tcPr>
            <w:tcW w:w="171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2,000</w:t>
            </w:r>
          </w:p>
        </w:tc>
        <w:tc>
          <w:tcPr>
            <w:tcW w:w="180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4,000</w:t>
            </w:r>
          </w:p>
        </w:tc>
      </w:tr>
      <w:tr w:rsidR="00BF2117" w:rsidRPr="006F4A36" w:rsidTr="00472DD2">
        <w:trPr>
          <w:trHeight w:val="122"/>
        </w:trPr>
        <w:tc>
          <w:tcPr>
            <w:tcW w:w="72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4.</w:t>
            </w:r>
          </w:p>
        </w:tc>
        <w:tc>
          <w:tcPr>
            <w:tcW w:w="2340" w:type="dxa"/>
            <w:vAlign w:val="center"/>
          </w:tcPr>
          <w:p w:rsidR="00BF2117" w:rsidRPr="006F4A36" w:rsidRDefault="00BF2117" w:rsidP="00472DD2">
            <w:pPr>
              <w:ind w:left="54"/>
              <w:rPr>
                <w:color w:val="000000" w:themeColor="text1"/>
                <w:sz w:val="16"/>
                <w:szCs w:val="16"/>
              </w:rPr>
            </w:pPr>
            <w:r w:rsidRPr="006F4A36">
              <w:rPr>
                <w:color w:val="000000" w:themeColor="text1"/>
                <w:sz w:val="16"/>
                <w:szCs w:val="16"/>
              </w:rPr>
              <w:t>1300cc to 1499cc</w:t>
            </w:r>
          </w:p>
        </w:tc>
        <w:tc>
          <w:tcPr>
            <w:tcW w:w="171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3,000</w:t>
            </w:r>
          </w:p>
        </w:tc>
        <w:tc>
          <w:tcPr>
            <w:tcW w:w="180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6,000</w:t>
            </w:r>
          </w:p>
        </w:tc>
      </w:tr>
      <w:tr w:rsidR="00BF2117" w:rsidRPr="006F4A36" w:rsidTr="00472DD2">
        <w:trPr>
          <w:trHeight w:val="95"/>
        </w:trPr>
        <w:tc>
          <w:tcPr>
            <w:tcW w:w="72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5.</w:t>
            </w:r>
          </w:p>
        </w:tc>
        <w:tc>
          <w:tcPr>
            <w:tcW w:w="2340" w:type="dxa"/>
            <w:vAlign w:val="center"/>
          </w:tcPr>
          <w:p w:rsidR="00BF2117" w:rsidRPr="006F4A36" w:rsidRDefault="00BF2117" w:rsidP="00472DD2">
            <w:pPr>
              <w:ind w:left="54"/>
              <w:rPr>
                <w:color w:val="000000" w:themeColor="text1"/>
                <w:sz w:val="16"/>
                <w:szCs w:val="16"/>
              </w:rPr>
            </w:pPr>
            <w:r w:rsidRPr="006F4A36">
              <w:rPr>
                <w:color w:val="000000" w:themeColor="text1"/>
                <w:sz w:val="16"/>
                <w:szCs w:val="16"/>
              </w:rPr>
              <w:t>1500cc to 1599cc</w:t>
            </w:r>
          </w:p>
        </w:tc>
        <w:tc>
          <w:tcPr>
            <w:tcW w:w="171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4,500</w:t>
            </w:r>
          </w:p>
        </w:tc>
        <w:tc>
          <w:tcPr>
            <w:tcW w:w="180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9,000</w:t>
            </w:r>
          </w:p>
        </w:tc>
      </w:tr>
      <w:tr w:rsidR="00BF2117" w:rsidRPr="006F4A36" w:rsidTr="00472DD2">
        <w:trPr>
          <w:trHeight w:val="80"/>
        </w:trPr>
        <w:tc>
          <w:tcPr>
            <w:tcW w:w="72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6.</w:t>
            </w:r>
          </w:p>
        </w:tc>
        <w:tc>
          <w:tcPr>
            <w:tcW w:w="2340" w:type="dxa"/>
            <w:vAlign w:val="center"/>
          </w:tcPr>
          <w:p w:rsidR="00BF2117" w:rsidRPr="006F4A36" w:rsidRDefault="00BF2117" w:rsidP="00472DD2">
            <w:pPr>
              <w:ind w:left="54"/>
              <w:rPr>
                <w:color w:val="000000" w:themeColor="text1"/>
                <w:sz w:val="16"/>
                <w:szCs w:val="16"/>
              </w:rPr>
            </w:pPr>
            <w:r w:rsidRPr="006F4A36">
              <w:rPr>
                <w:color w:val="000000" w:themeColor="text1"/>
                <w:sz w:val="16"/>
                <w:szCs w:val="16"/>
              </w:rPr>
              <w:t>1600cc to 1999cc</w:t>
            </w:r>
          </w:p>
        </w:tc>
        <w:tc>
          <w:tcPr>
            <w:tcW w:w="171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6,000</w:t>
            </w:r>
          </w:p>
        </w:tc>
        <w:tc>
          <w:tcPr>
            <w:tcW w:w="180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12,000</w:t>
            </w:r>
          </w:p>
        </w:tc>
      </w:tr>
      <w:tr w:rsidR="00BF2117" w:rsidRPr="006F4A36" w:rsidTr="00472DD2">
        <w:trPr>
          <w:trHeight w:val="80"/>
        </w:trPr>
        <w:tc>
          <w:tcPr>
            <w:tcW w:w="72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7.</w:t>
            </w:r>
          </w:p>
        </w:tc>
        <w:tc>
          <w:tcPr>
            <w:tcW w:w="2340" w:type="dxa"/>
            <w:vAlign w:val="center"/>
          </w:tcPr>
          <w:p w:rsidR="00BF2117" w:rsidRPr="006F4A36" w:rsidRDefault="00BF2117" w:rsidP="00472DD2">
            <w:pPr>
              <w:ind w:left="54"/>
              <w:rPr>
                <w:color w:val="000000" w:themeColor="text1"/>
                <w:sz w:val="16"/>
                <w:szCs w:val="16"/>
              </w:rPr>
            </w:pPr>
            <w:r w:rsidRPr="006F4A36">
              <w:rPr>
                <w:color w:val="000000" w:themeColor="text1"/>
                <w:sz w:val="16"/>
                <w:szCs w:val="16"/>
              </w:rPr>
              <w:t>2000cc &amp; above</w:t>
            </w:r>
          </w:p>
        </w:tc>
        <w:tc>
          <w:tcPr>
            <w:tcW w:w="171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12,000</w:t>
            </w:r>
          </w:p>
        </w:tc>
        <w:tc>
          <w:tcPr>
            <w:tcW w:w="1800" w:type="dxa"/>
            <w:vAlign w:val="center"/>
          </w:tcPr>
          <w:p w:rsidR="00BF2117" w:rsidRPr="006F4A36" w:rsidRDefault="00BF2117" w:rsidP="00472DD2">
            <w:pPr>
              <w:ind w:left="54"/>
              <w:jc w:val="center"/>
              <w:rPr>
                <w:color w:val="000000" w:themeColor="text1"/>
                <w:sz w:val="16"/>
                <w:szCs w:val="16"/>
              </w:rPr>
            </w:pPr>
            <w:r w:rsidRPr="006F4A36">
              <w:rPr>
                <w:color w:val="000000" w:themeColor="text1"/>
                <w:sz w:val="16"/>
                <w:szCs w:val="16"/>
              </w:rPr>
              <w:t>Rs. 24,000</w:t>
            </w:r>
            <w:r>
              <w:rPr>
                <w:color w:val="000000" w:themeColor="text1"/>
                <w:sz w:val="16"/>
                <w:szCs w:val="16"/>
              </w:rPr>
              <w:t>”</w:t>
            </w:r>
          </w:p>
        </w:tc>
      </w:tr>
    </w:tbl>
    <w:p w:rsidR="00BF2117" w:rsidRPr="006F4A36" w:rsidRDefault="00BF2117">
      <w:pPr>
        <w:pStyle w:val="FootnoteText"/>
        <w:rPr>
          <w:sz w:val="16"/>
          <w:szCs w:val="16"/>
          <w:lang w:val="en-US"/>
        </w:rPr>
      </w:pPr>
    </w:p>
  </w:footnote>
  <w:footnote w:id="1691">
    <w:p w:rsidR="00BF2117" w:rsidRPr="00DD1A3B" w:rsidRDefault="00BF2117" w:rsidP="00AA4BF8">
      <w:pPr>
        <w:pStyle w:val="FootnoteText"/>
        <w:rPr>
          <w:color w:val="000000" w:themeColor="text1"/>
          <w:sz w:val="16"/>
          <w:szCs w:val="16"/>
          <w:lang w:val="en-US"/>
        </w:rPr>
      </w:pPr>
      <w:r w:rsidRPr="00DD1A3B">
        <w:rPr>
          <w:rStyle w:val="FootnoteReference"/>
          <w:color w:val="000000" w:themeColor="text1"/>
          <w:sz w:val="16"/>
          <w:szCs w:val="16"/>
        </w:rPr>
        <w:footnoteRef/>
      </w:r>
      <w:r w:rsidRPr="00DD1A3B">
        <w:rPr>
          <w:color w:val="000000" w:themeColor="text1"/>
          <w:sz w:val="16"/>
          <w:szCs w:val="16"/>
          <w:lang w:val="en-US"/>
        </w:rPr>
        <w:t>Clause (4) substituted by Finance Act, 2014. The substituted clause (4) read as follows:</w:t>
      </w:r>
    </w:p>
    <w:p w:rsidR="00BF2117" w:rsidRPr="00DD1A3B" w:rsidRDefault="00BF2117" w:rsidP="00092395">
      <w:pPr>
        <w:ind w:firstLine="547"/>
        <w:rPr>
          <w:color w:val="000000" w:themeColor="text1"/>
          <w:sz w:val="16"/>
          <w:szCs w:val="16"/>
        </w:rPr>
      </w:pPr>
      <w:r w:rsidRPr="00DD1A3B">
        <w:rPr>
          <w:color w:val="000000" w:themeColor="text1"/>
          <w:sz w:val="16"/>
          <w:szCs w:val="16"/>
        </w:rPr>
        <w:t xml:space="preserve">“(4) </w:t>
      </w:r>
      <w:r w:rsidRPr="00DD1A3B">
        <w:rPr>
          <w:color w:val="000000" w:themeColor="text1"/>
          <w:sz w:val="16"/>
          <w:szCs w:val="16"/>
        </w:rPr>
        <w:tab/>
        <w:t>where the motor vehicle tax is collected in lump sum,</w:t>
      </w:r>
      <w:r w:rsidRPr="00DD1A3B">
        <w:rPr>
          <w:rFonts w:cs="Arial"/>
          <w:color w:val="000000" w:themeColor="text1"/>
          <w:sz w:val="16"/>
          <w:szCs w:val="16"/>
        </w:rPr>
        <w:t>—</w:t>
      </w:r>
    </w:p>
    <w:p w:rsidR="00BF2117" w:rsidRPr="00DD1A3B" w:rsidRDefault="00BF2117" w:rsidP="00092395">
      <w:pPr>
        <w:rPr>
          <w:color w:val="000000" w:themeColor="text1"/>
          <w:sz w:val="16"/>
          <w:szCs w:val="16"/>
        </w:rPr>
      </w:pPr>
      <w:r w:rsidRPr="00DD1A3B">
        <w:rPr>
          <w:color w:val="000000" w:themeColor="text1"/>
          <w:sz w:val="16"/>
          <w:szCs w:val="16"/>
        </w:rPr>
        <w:tab/>
      </w:r>
      <w:r w:rsidRPr="00DD1A3B">
        <w:rPr>
          <w:color w:val="000000" w:themeColor="text1"/>
          <w:sz w:val="16"/>
          <w:szCs w:val="16"/>
        </w:rPr>
        <w:tab/>
        <w:t xml:space="preserve">(a) </w:t>
      </w:r>
      <w:r w:rsidRPr="00DD1A3B">
        <w:rPr>
          <w:color w:val="000000" w:themeColor="text1"/>
          <w:sz w:val="16"/>
          <w:szCs w:val="16"/>
        </w:rPr>
        <w:tab/>
        <w:t>Upto 1000cc</w:t>
      </w:r>
      <w:r w:rsidRPr="00DD1A3B">
        <w:rPr>
          <w:color w:val="000000" w:themeColor="text1"/>
          <w:sz w:val="16"/>
          <w:szCs w:val="16"/>
        </w:rPr>
        <w:tab/>
      </w:r>
      <w:r w:rsidRPr="00DD1A3B">
        <w:rPr>
          <w:color w:val="000000" w:themeColor="text1"/>
          <w:sz w:val="16"/>
          <w:szCs w:val="16"/>
        </w:rPr>
        <w:tab/>
      </w:r>
      <w:r w:rsidRPr="00DD1A3B">
        <w:rPr>
          <w:color w:val="000000" w:themeColor="text1"/>
          <w:sz w:val="16"/>
          <w:szCs w:val="16"/>
        </w:rPr>
        <w:tab/>
      </w:r>
      <w:r w:rsidRPr="00DD1A3B">
        <w:rPr>
          <w:color w:val="000000" w:themeColor="text1"/>
          <w:sz w:val="16"/>
          <w:szCs w:val="16"/>
        </w:rPr>
        <w:tab/>
        <w:t>Rs.   7,500</w:t>
      </w:r>
    </w:p>
    <w:p w:rsidR="00BF2117" w:rsidRPr="00DD1A3B" w:rsidRDefault="00BF2117" w:rsidP="00092395">
      <w:pPr>
        <w:rPr>
          <w:color w:val="000000" w:themeColor="text1"/>
          <w:sz w:val="16"/>
          <w:szCs w:val="16"/>
        </w:rPr>
      </w:pPr>
      <w:r w:rsidRPr="00DD1A3B">
        <w:rPr>
          <w:color w:val="000000" w:themeColor="text1"/>
          <w:sz w:val="16"/>
          <w:szCs w:val="16"/>
        </w:rPr>
        <w:tab/>
      </w:r>
      <w:r w:rsidRPr="00DD1A3B">
        <w:rPr>
          <w:color w:val="000000" w:themeColor="text1"/>
          <w:sz w:val="16"/>
          <w:szCs w:val="16"/>
        </w:rPr>
        <w:tab/>
        <w:t xml:space="preserve">(b) </w:t>
      </w:r>
      <w:r w:rsidRPr="00DD1A3B">
        <w:rPr>
          <w:color w:val="000000" w:themeColor="text1"/>
          <w:sz w:val="16"/>
          <w:szCs w:val="16"/>
        </w:rPr>
        <w:tab/>
        <w:t>1001cc to 1199cc</w:t>
      </w:r>
      <w:r w:rsidRPr="00DD1A3B">
        <w:rPr>
          <w:color w:val="000000" w:themeColor="text1"/>
          <w:sz w:val="16"/>
          <w:szCs w:val="16"/>
        </w:rPr>
        <w:tab/>
      </w:r>
      <w:r w:rsidRPr="00DD1A3B">
        <w:rPr>
          <w:color w:val="000000" w:themeColor="text1"/>
          <w:sz w:val="16"/>
          <w:szCs w:val="16"/>
        </w:rPr>
        <w:tab/>
      </w:r>
      <w:r w:rsidRPr="00DD1A3B">
        <w:rPr>
          <w:color w:val="000000" w:themeColor="text1"/>
          <w:sz w:val="16"/>
          <w:szCs w:val="16"/>
        </w:rPr>
        <w:tab/>
        <w:t>Rs. 12,500</w:t>
      </w:r>
    </w:p>
    <w:p w:rsidR="00BF2117" w:rsidRPr="00DD1A3B" w:rsidRDefault="00BF2117" w:rsidP="00092395">
      <w:pPr>
        <w:rPr>
          <w:color w:val="000000" w:themeColor="text1"/>
          <w:sz w:val="16"/>
          <w:szCs w:val="16"/>
        </w:rPr>
      </w:pPr>
      <w:r w:rsidRPr="00DD1A3B">
        <w:rPr>
          <w:color w:val="000000" w:themeColor="text1"/>
          <w:sz w:val="16"/>
          <w:szCs w:val="16"/>
        </w:rPr>
        <w:tab/>
      </w:r>
      <w:r w:rsidRPr="00DD1A3B">
        <w:rPr>
          <w:color w:val="000000" w:themeColor="text1"/>
          <w:sz w:val="16"/>
          <w:szCs w:val="16"/>
        </w:rPr>
        <w:tab/>
        <w:t xml:space="preserve">(c) </w:t>
      </w:r>
      <w:r w:rsidRPr="00DD1A3B">
        <w:rPr>
          <w:color w:val="000000" w:themeColor="text1"/>
          <w:sz w:val="16"/>
          <w:szCs w:val="16"/>
        </w:rPr>
        <w:tab/>
        <w:t>1200cc to 1299cc</w:t>
      </w:r>
      <w:r w:rsidRPr="00DD1A3B">
        <w:rPr>
          <w:color w:val="000000" w:themeColor="text1"/>
          <w:sz w:val="16"/>
          <w:szCs w:val="16"/>
        </w:rPr>
        <w:tab/>
      </w:r>
      <w:r w:rsidRPr="00DD1A3B">
        <w:rPr>
          <w:color w:val="000000" w:themeColor="text1"/>
          <w:sz w:val="16"/>
          <w:szCs w:val="16"/>
        </w:rPr>
        <w:tab/>
      </w:r>
      <w:r w:rsidRPr="00DD1A3B">
        <w:rPr>
          <w:color w:val="000000" w:themeColor="text1"/>
          <w:sz w:val="16"/>
          <w:szCs w:val="16"/>
        </w:rPr>
        <w:tab/>
        <w:t>Rs. 17,500</w:t>
      </w:r>
    </w:p>
    <w:p w:rsidR="00BF2117" w:rsidRPr="00DD1A3B" w:rsidRDefault="00BF2117" w:rsidP="00092395">
      <w:pPr>
        <w:rPr>
          <w:color w:val="000000" w:themeColor="text1"/>
          <w:sz w:val="16"/>
          <w:szCs w:val="16"/>
        </w:rPr>
      </w:pPr>
      <w:r w:rsidRPr="00DD1A3B">
        <w:rPr>
          <w:color w:val="000000" w:themeColor="text1"/>
          <w:sz w:val="16"/>
          <w:szCs w:val="16"/>
        </w:rPr>
        <w:tab/>
      </w:r>
      <w:r w:rsidRPr="00DD1A3B">
        <w:rPr>
          <w:color w:val="000000" w:themeColor="text1"/>
          <w:sz w:val="16"/>
          <w:szCs w:val="16"/>
        </w:rPr>
        <w:tab/>
        <w:t>(d)</w:t>
      </w:r>
      <w:r w:rsidRPr="00DD1A3B">
        <w:rPr>
          <w:color w:val="000000" w:themeColor="text1"/>
          <w:sz w:val="16"/>
          <w:szCs w:val="16"/>
        </w:rPr>
        <w:tab/>
        <w:t>1300cc to 1599cc</w:t>
      </w:r>
      <w:r w:rsidRPr="00DD1A3B">
        <w:rPr>
          <w:color w:val="000000" w:themeColor="text1"/>
          <w:sz w:val="16"/>
          <w:szCs w:val="16"/>
        </w:rPr>
        <w:tab/>
      </w:r>
      <w:r w:rsidRPr="00DD1A3B">
        <w:rPr>
          <w:color w:val="000000" w:themeColor="text1"/>
          <w:sz w:val="16"/>
          <w:szCs w:val="16"/>
        </w:rPr>
        <w:tab/>
      </w:r>
      <w:r w:rsidRPr="00DD1A3B">
        <w:rPr>
          <w:color w:val="000000" w:themeColor="text1"/>
          <w:sz w:val="16"/>
          <w:szCs w:val="16"/>
        </w:rPr>
        <w:tab/>
        <w:t>Rs. 30,000</w:t>
      </w:r>
    </w:p>
    <w:p w:rsidR="00BF2117" w:rsidRPr="00DD1A3B" w:rsidRDefault="00BF2117" w:rsidP="00092395">
      <w:pPr>
        <w:rPr>
          <w:color w:val="000000" w:themeColor="text1"/>
          <w:sz w:val="16"/>
          <w:szCs w:val="16"/>
        </w:rPr>
      </w:pPr>
      <w:r w:rsidRPr="00DD1A3B">
        <w:rPr>
          <w:color w:val="000000" w:themeColor="text1"/>
          <w:sz w:val="16"/>
          <w:szCs w:val="16"/>
        </w:rPr>
        <w:tab/>
      </w:r>
      <w:r w:rsidRPr="00DD1A3B">
        <w:rPr>
          <w:color w:val="000000" w:themeColor="text1"/>
          <w:sz w:val="16"/>
          <w:szCs w:val="16"/>
        </w:rPr>
        <w:tab/>
        <w:t xml:space="preserve">(e) </w:t>
      </w:r>
      <w:r w:rsidRPr="00DD1A3B">
        <w:rPr>
          <w:color w:val="000000" w:themeColor="text1"/>
          <w:sz w:val="16"/>
          <w:szCs w:val="16"/>
        </w:rPr>
        <w:tab/>
        <w:t>1600cc to 1999cc</w:t>
      </w:r>
      <w:r w:rsidRPr="00DD1A3B">
        <w:rPr>
          <w:color w:val="000000" w:themeColor="text1"/>
          <w:sz w:val="16"/>
          <w:szCs w:val="16"/>
        </w:rPr>
        <w:tab/>
      </w:r>
      <w:r w:rsidRPr="00DD1A3B">
        <w:rPr>
          <w:color w:val="000000" w:themeColor="text1"/>
          <w:sz w:val="16"/>
          <w:szCs w:val="16"/>
        </w:rPr>
        <w:tab/>
      </w:r>
      <w:r w:rsidRPr="00DD1A3B">
        <w:rPr>
          <w:color w:val="000000" w:themeColor="text1"/>
          <w:sz w:val="16"/>
          <w:szCs w:val="16"/>
        </w:rPr>
        <w:tab/>
        <w:t>Rs. 40,000</w:t>
      </w:r>
    </w:p>
    <w:p w:rsidR="00BF2117" w:rsidRPr="00DD1A3B" w:rsidRDefault="00BF2117" w:rsidP="00092395">
      <w:pPr>
        <w:rPr>
          <w:color w:val="000000" w:themeColor="text1"/>
          <w:sz w:val="16"/>
          <w:szCs w:val="16"/>
        </w:rPr>
      </w:pPr>
      <w:r w:rsidRPr="00DD1A3B">
        <w:rPr>
          <w:color w:val="000000" w:themeColor="text1"/>
          <w:sz w:val="16"/>
          <w:szCs w:val="16"/>
        </w:rPr>
        <w:tab/>
      </w:r>
      <w:r w:rsidRPr="00DD1A3B">
        <w:rPr>
          <w:color w:val="000000" w:themeColor="text1"/>
          <w:sz w:val="16"/>
          <w:szCs w:val="16"/>
        </w:rPr>
        <w:tab/>
        <w:t xml:space="preserve">(f) </w:t>
      </w:r>
      <w:r w:rsidRPr="00DD1A3B">
        <w:rPr>
          <w:color w:val="000000" w:themeColor="text1"/>
          <w:sz w:val="16"/>
          <w:szCs w:val="16"/>
        </w:rPr>
        <w:tab/>
        <w:t>2000cc and above</w:t>
      </w:r>
      <w:r w:rsidRPr="00DD1A3B">
        <w:rPr>
          <w:color w:val="000000" w:themeColor="text1"/>
          <w:sz w:val="16"/>
          <w:szCs w:val="16"/>
        </w:rPr>
        <w:tab/>
      </w:r>
      <w:r w:rsidRPr="00DD1A3B">
        <w:rPr>
          <w:color w:val="000000" w:themeColor="text1"/>
          <w:sz w:val="16"/>
          <w:szCs w:val="16"/>
        </w:rPr>
        <w:tab/>
      </w:r>
      <w:r w:rsidRPr="00DD1A3B">
        <w:rPr>
          <w:color w:val="000000" w:themeColor="text1"/>
          <w:sz w:val="16"/>
          <w:szCs w:val="16"/>
        </w:rPr>
        <w:tab/>
        <w:t>Rs. 80,000”</w:t>
      </w:r>
    </w:p>
    <w:p w:rsidR="00BF2117" w:rsidRPr="008B7A1A" w:rsidRDefault="00BF2117" w:rsidP="00AA4BF8">
      <w:pPr>
        <w:pStyle w:val="FootnoteText"/>
        <w:rPr>
          <w:sz w:val="16"/>
          <w:szCs w:val="16"/>
          <w:lang w:val="en-US"/>
        </w:rPr>
      </w:pPr>
    </w:p>
  </w:footnote>
  <w:footnote w:id="1692">
    <w:p w:rsidR="00BF2117" w:rsidRPr="008B7A1A" w:rsidRDefault="00BF2117" w:rsidP="00AA4BF8">
      <w:pPr>
        <w:pStyle w:val="FootnoteText"/>
        <w:rPr>
          <w:sz w:val="16"/>
          <w:szCs w:val="16"/>
        </w:rPr>
      </w:pPr>
      <w:r w:rsidRPr="008B7A1A">
        <w:rPr>
          <w:rStyle w:val="FootnoteReference"/>
          <w:rFonts w:cs="Arial"/>
          <w:sz w:val="16"/>
          <w:szCs w:val="16"/>
        </w:rPr>
        <w:footnoteRef/>
      </w:r>
      <w:r w:rsidRPr="008B7A1A">
        <w:rPr>
          <w:sz w:val="16"/>
          <w:szCs w:val="16"/>
        </w:rPr>
        <w:t xml:space="preserve"> Inserted by the Finance Act, 2002.</w:t>
      </w:r>
    </w:p>
  </w:footnote>
  <w:footnote w:id="1693">
    <w:p w:rsidR="00BF2117" w:rsidRPr="008B7A1A" w:rsidRDefault="00BF2117" w:rsidP="00AA4BF8">
      <w:pPr>
        <w:pStyle w:val="FootnoteText"/>
        <w:keepNext/>
        <w:ind w:left="90" w:hanging="90"/>
        <w:rPr>
          <w:sz w:val="16"/>
          <w:szCs w:val="16"/>
        </w:rPr>
      </w:pPr>
      <w:r w:rsidRPr="008B7A1A">
        <w:rPr>
          <w:rStyle w:val="FootnoteReference"/>
          <w:rFonts w:cs="Arial"/>
          <w:sz w:val="16"/>
          <w:szCs w:val="16"/>
        </w:rPr>
        <w:footnoteRef/>
      </w:r>
      <w:r w:rsidRPr="008B7A1A">
        <w:rPr>
          <w:sz w:val="16"/>
          <w:szCs w:val="16"/>
        </w:rPr>
        <w:t xml:space="preserve"> Clause (a), (b), (c), (d), (e), (f), (g), (h) and (i) substituted by the Finance Act, 2003. The substituted clauses read as follows: </w:t>
      </w:r>
    </w:p>
    <w:tbl>
      <w:tblPr>
        <w:tblW w:w="0" w:type="auto"/>
        <w:tblInd w:w="2" w:type="dxa"/>
        <w:tblLayout w:type="fixed"/>
        <w:tblLook w:val="0000"/>
      </w:tblPr>
      <w:tblGrid>
        <w:gridCol w:w="720"/>
        <w:gridCol w:w="4860"/>
        <w:gridCol w:w="1350"/>
      </w:tblGrid>
      <w:tr w:rsidR="00BF2117" w:rsidRPr="008B7A1A">
        <w:tc>
          <w:tcPr>
            <w:tcW w:w="720" w:type="dxa"/>
          </w:tcPr>
          <w:p w:rsidR="00BF2117" w:rsidRPr="008B7A1A" w:rsidRDefault="00BF2117">
            <w:pPr>
              <w:jc w:val="center"/>
              <w:rPr>
                <w:sz w:val="16"/>
                <w:szCs w:val="16"/>
              </w:rPr>
            </w:pPr>
            <w:r w:rsidRPr="008B7A1A">
              <w:rPr>
                <w:sz w:val="16"/>
                <w:szCs w:val="16"/>
              </w:rPr>
              <w:t>(a)</w:t>
            </w:r>
          </w:p>
        </w:tc>
        <w:tc>
          <w:tcPr>
            <w:tcW w:w="4860" w:type="dxa"/>
          </w:tcPr>
          <w:p w:rsidR="00BF2117" w:rsidRPr="008B7A1A" w:rsidRDefault="00BF2117">
            <w:pPr>
              <w:jc w:val="both"/>
              <w:rPr>
                <w:sz w:val="16"/>
                <w:szCs w:val="16"/>
              </w:rPr>
            </w:pPr>
            <w:r w:rsidRPr="008B7A1A">
              <w:rPr>
                <w:sz w:val="16"/>
                <w:szCs w:val="16"/>
              </w:rPr>
              <w:t>does not exceed Rs. 400.</w:t>
            </w:r>
          </w:p>
        </w:tc>
        <w:tc>
          <w:tcPr>
            <w:tcW w:w="1350" w:type="dxa"/>
          </w:tcPr>
          <w:p w:rsidR="00BF2117" w:rsidRPr="008B7A1A" w:rsidRDefault="00BF2117">
            <w:pPr>
              <w:pStyle w:val="H"/>
              <w:widowControl/>
              <w:spacing w:before="0" w:after="0"/>
              <w:jc w:val="right"/>
              <w:rPr>
                <w:rFonts w:ascii="Arial" w:hAnsi="Arial" w:cs="Arial"/>
                <w:sz w:val="16"/>
                <w:szCs w:val="16"/>
                <w:lang w:val="en-AU"/>
              </w:rPr>
            </w:pPr>
            <w:r w:rsidRPr="008B7A1A">
              <w:rPr>
                <w:rFonts w:ascii="Arial" w:hAnsi="Arial" w:cs="Arial"/>
                <w:sz w:val="16"/>
                <w:szCs w:val="16"/>
                <w:lang w:val="en-AU"/>
              </w:rPr>
              <w:t>Rs.     60</w:t>
            </w:r>
          </w:p>
        </w:tc>
      </w:tr>
      <w:tr w:rsidR="00BF2117" w:rsidRPr="008B7A1A">
        <w:tc>
          <w:tcPr>
            <w:tcW w:w="720" w:type="dxa"/>
          </w:tcPr>
          <w:p w:rsidR="00BF2117" w:rsidRPr="008B7A1A" w:rsidRDefault="00BF2117">
            <w:pPr>
              <w:jc w:val="center"/>
              <w:rPr>
                <w:sz w:val="16"/>
                <w:szCs w:val="16"/>
              </w:rPr>
            </w:pPr>
            <w:r w:rsidRPr="008B7A1A">
              <w:rPr>
                <w:sz w:val="16"/>
                <w:szCs w:val="16"/>
              </w:rPr>
              <w:t>(b)</w:t>
            </w:r>
          </w:p>
        </w:tc>
        <w:tc>
          <w:tcPr>
            <w:tcW w:w="4860" w:type="dxa"/>
          </w:tcPr>
          <w:p w:rsidR="00BF2117" w:rsidRPr="008B7A1A" w:rsidRDefault="00BF2117">
            <w:pPr>
              <w:pStyle w:val="Header"/>
              <w:tabs>
                <w:tab w:val="left" w:pos="547"/>
              </w:tabs>
              <w:rPr>
                <w:sz w:val="16"/>
                <w:szCs w:val="16"/>
              </w:rPr>
            </w:pPr>
            <w:r w:rsidRPr="008B7A1A">
              <w:rPr>
                <w:sz w:val="16"/>
                <w:szCs w:val="16"/>
              </w:rPr>
              <w:t>exceeds Rs. 400 but does not exceed   Rs.   600</w:t>
            </w:r>
          </w:p>
        </w:tc>
        <w:tc>
          <w:tcPr>
            <w:tcW w:w="1350" w:type="dxa"/>
          </w:tcPr>
          <w:p w:rsidR="00BF2117" w:rsidRPr="008B7A1A" w:rsidRDefault="00BF2117">
            <w:pPr>
              <w:jc w:val="right"/>
              <w:rPr>
                <w:sz w:val="16"/>
                <w:szCs w:val="16"/>
              </w:rPr>
            </w:pPr>
            <w:r w:rsidRPr="008B7A1A">
              <w:rPr>
                <w:sz w:val="16"/>
                <w:szCs w:val="16"/>
              </w:rPr>
              <w:t>Rs.     80</w:t>
            </w:r>
          </w:p>
        </w:tc>
      </w:tr>
      <w:tr w:rsidR="00BF2117" w:rsidRPr="008B7A1A">
        <w:tc>
          <w:tcPr>
            <w:tcW w:w="720" w:type="dxa"/>
          </w:tcPr>
          <w:p w:rsidR="00BF2117" w:rsidRPr="008B7A1A" w:rsidRDefault="00BF2117">
            <w:pPr>
              <w:jc w:val="center"/>
              <w:rPr>
                <w:sz w:val="16"/>
                <w:szCs w:val="16"/>
              </w:rPr>
            </w:pPr>
            <w:r w:rsidRPr="008B7A1A">
              <w:rPr>
                <w:sz w:val="16"/>
                <w:szCs w:val="16"/>
              </w:rPr>
              <w:t>(c)</w:t>
            </w:r>
          </w:p>
        </w:tc>
        <w:tc>
          <w:tcPr>
            <w:tcW w:w="4860" w:type="dxa"/>
          </w:tcPr>
          <w:p w:rsidR="00BF2117" w:rsidRPr="008B7A1A" w:rsidRDefault="00BF2117">
            <w:pPr>
              <w:rPr>
                <w:sz w:val="16"/>
                <w:szCs w:val="16"/>
              </w:rPr>
            </w:pPr>
            <w:r w:rsidRPr="008B7A1A">
              <w:rPr>
                <w:sz w:val="16"/>
                <w:szCs w:val="16"/>
              </w:rPr>
              <w:t>exceeds Rs. 600 but does not exceed   Rs.   800</w:t>
            </w:r>
          </w:p>
        </w:tc>
        <w:tc>
          <w:tcPr>
            <w:tcW w:w="1350" w:type="dxa"/>
          </w:tcPr>
          <w:p w:rsidR="00BF2117" w:rsidRPr="008B7A1A" w:rsidRDefault="00BF2117">
            <w:pPr>
              <w:jc w:val="right"/>
              <w:rPr>
                <w:sz w:val="16"/>
                <w:szCs w:val="16"/>
              </w:rPr>
            </w:pPr>
            <w:r w:rsidRPr="008B7A1A">
              <w:rPr>
                <w:sz w:val="16"/>
                <w:szCs w:val="16"/>
              </w:rPr>
              <w:t>Rs.   100</w:t>
            </w:r>
          </w:p>
        </w:tc>
      </w:tr>
      <w:tr w:rsidR="00BF2117" w:rsidRPr="008B7A1A">
        <w:tc>
          <w:tcPr>
            <w:tcW w:w="720" w:type="dxa"/>
          </w:tcPr>
          <w:p w:rsidR="00BF2117" w:rsidRPr="008B7A1A" w:rsidRDefault="00BF2117">
            <w:pPr>
              <w:jc w:val="center"/>
              <w:rPr>
                <w:sz w:val="16"/>
                <w:szCs w:val="16"/>
              </w:rPr>
            </w:pPr>
            <w:r w:rsidRPr="008B7A1A">
              <w:rPr>
                <w:sz w:val="16"/>
                <w:szCs w:val="16"/>
              </w:rPr>
              <w:t>(d)</w:t>
            </w:r>
          </w:p>
        </w:tc>
        <w:tc>
          <w:tcPr>
            <w:tcW w:w="4860" w:type="dxa"/>
          </w:tcPr>
          <w:p w:rsidR="00BF2117" w:rsidRPr="008B7A1A" w:rsidRDefault="00BF2117">
            <w:pPr>
              <w:rPr>
                <w:sz w:val="16"/>
                <w:szCs w:val="16"/>
              </w:rPr>
            </w:pPr>
            <w:r w:rsidRPr="008B7A1A">
              <w:rPr>
                <w:sz w:val="16"/>
                <w:szCs w:val="16"/>
              </w:rPr>
              <w:t>exceeds Rs. 800 but does not exceed   Rs. 1000</w:t>
            </w:r>
          </w:p>
        </w:tc>
        <w:tc>
          <w:tcPr>
            <w:tcW w:w="1350" w:type="dxa"/>
          </w:tcPr>
          <w:p w:rsidR="00BF2117" w:rsidRPr="008B7A1A" w:rsidRDefault="00BF2117">
            <w:pPr>
              <w:jc w:val="right"/>
              <w:rPr>
                <w:sz w:val="16"/>
                <w:szCs w:val="16"/>
              </w:rPr>
            </w:pPr>
            <w:r w:rsidRPr="008B7A1A">
              <w:rPr>
                <w:sz w:val="16"/>
                <w:szCs w:val="16"/>
              </w:rPr>
              <w:t>Rs.   160</w:t>
            </w:r>
          </w:p>
        </w:tc>
      </w:tr>
      <w:tr w:rsidR="00BF2117" w:rsidRPr="008B7A1A">
        <w:tc>
          <w:tcPr>
            <w:tcW w:w="720" w:type="dxa"/>
          </w:tcPr>
          <w:p w:rsidR="00BF2117" w:rsidRPr="008B7A1A" w:rsidRDefault="00BF2117">
            <w:pPr>
              <w:jc w:val="center"/>
              <w:rPr>
                <w:sz w:val="16"/>
                <w:szCs w:val="16"/>
              </w:rPr>
            </w:pPr>
            <w:r w:rsidRPr="008B7A1A">
              <w:rPr>
                <w:sz w:val="16"/>
                <w:szCs w:val="16"/>
              </w:rPr>
              <w:t>(e)</w:t>
            </w:r>
          </w:p>
        </w:tc>
        <w:tc>
          <w:tcPr>
            <w:tcW w:w="4860" w:type="dxa"/>
          </w:tcPr>
          <w:p w:rsidR="00BF2117" w:rsidRPr="008B7A1A" w:rsidRDefault="00BF2117">
            <w:pPr>
              <w:rPr>
                <w:sz w:val="16"/>
                <w:szCs w:val="16"/>
              </w:rPr>
            </w:pPr>
            <w:r w:rsidRPr="008B7A1A">
              <w:rPr>
                <w:sz w:val="16"/>
                <w:szCs w:val="16"/>
              </w:rPr>
              <w:t>exceeds Rs. 1000 but does not exceed Rs. 1500</w:t>
            </w:r>
          </w:p>
        </w:tc>
        <w:tc>
          <w:tcPr>
            <w:tcW w:w="1350" w:type="dxa"/>
          </w:tcPr>
          <w:p w:rsidR="00BF2117" w:rsidRPr="008B7A1A" w:rsidRDefault="00BF2117">
            <w:pPr>
              <w:jc w:val="right"/>
              <w:rPr>
                <w:sz w:val="16"/>
                <w:szCs w:val="16"/>
              </w:rPr>
            </w:pPr>
            <w:r w:rsidRPr="008B7A1A">
              <w:rPr>
                <w:sz w:val="16"/>
                <w:szCs w:val="16"/>
              </w:rPr>
              <w:t>Rs.   300</w:t>
            </w:r>
          </w:p>
        </w:tc>
      </w:tr>
      <w:tr w:rsidR="00BF2117" w:rsidRPr="008B7A1A">
        <w:tc>
          <w:tcPr>
            <w:tcW w:w="720" w:type="dxa"/>
          </w:tcPr>
          <w:p w:rsidR="00BF2117" w:rsidRPr="008B7A1A" w:rsidRDefault="00BF2117">
            <w:pPr>
              <w:jc w:val="center"/>
              <w:rPr>
                <w:sz w:val="16"/>
                <w:szCs w:val="16"/>
              </w:rPr>
            </w:pPr>
            <w:r w:rsidRPr="008B7A1A">
              <w:rPr>
                <w:sz w:val="16"/>
                <w:szCs w:val="16"/>
              </w:rPr>
              <w:t>(f)</w:t>
            </w:r>
          </w:p>
        </w:tc>
        <w:tc>
          <w:tcPr>
            <w:tcW w:w="4860" w:type="dxa"/>
          </w:tcPr>
          <w:p w:rsidR="00BF2117" w:rsidRPr="008B7A1A" w:rsidRDefault="00BF2117">
            <w:pPr>
              <w:rPr>
                <w:sz w:val="16"/>
                <w:szCs w:val="16"/>
              </w:rPr>
            </w:pPr>
            <w:r w:rsidRPr="008B7A1A">
              <w:rPr>
                <w:sz w:val="16"/>
                <w:szCs w:val="16"/>
              </w:rPr>
              <w:t>exceeds Rs. 1500 but does not exceed Rs. 3000</w:t>
            </w:r>
          </w:p>
        </w:tc>
        <w:tc>
          <w:tcPr>
            <w:tcW w:w="1350" w:type="dxa"/>
          </w:tcPr>
          <w:p w:rsidR="00BF2117" w:rsidRPr="008B7A1A" w:rsidRDefault="00BF2117">
            <w:pPr>
              <w:jc w:val="right"/>
              <w:rPr>
                <w:sz w:val="16"/>
                <w:szCs w:val="16"/>
              </w:rPr>
            </w:pPr>
            <w:r w:rsidRPr="008B7A1A">
              <w:rPr>
                <w:sz w:val="16"/>
                <w:szCs w:val="16"/>
              </w:rPr>
              <w:t>Rs.   450</w:t>
            </w:r>
          </w:p>
        </w:tc>
      </w:tr>
      <w:tr w:rsidR="00BF2117" w:rsidRPr="008B7A1A">
        <w:tc>
          <w:tcPr>
            <w:tcW w:w="720" w:type="dxa"/>
          </w:tcPr>
          <w:p w:rsidR="00BF2117" w:rsidRPr="008B7A1A" w:rsidRDefault="00BF2117">
            <w:pPr>
              <w:jc w:val="center"/>
              <w:rPr>
                <w:sz w:val="16"/>
                <w:szCs w:val="16"/>
              </w:rPr>
            </w:pPr>
            <w:r w:rsidRPr="008B7A1A">
              <w:rPr>
                <w:sz w:val="16"/>
                <w:szCs w:val="16"/>
              </w:rPr>
              <w:t>(g)</w:t>
            </w:r>
          </w:p>
        </w:tc>
        <w:tc>
          <w:tcPr>
            <w:tcW w:w="4860" w:type="dxa"/>
          </w:tcPr>
          <w:p w:rsidR="00BF2117" w:rsidRPr="008B7A1A" w:rsidRDefault="00BF2117">
            <w:pPr>
              <w:rPr>
                <w:sz w:val="16"/>
                <w:szCs w:val="16"/>
              </w:rPr>
            </w:pPr>
            <w:r w:rsidRPr="008B7A1A">
              <w:rPr>
                <w:sz w:val="16"/>
                <w:szCs w:val="16"/>
              </w:rPr>
              <w:t>exceeds Rs. 3000 but does not exceed Rs. 4,500</w:t>
            </w:r>
          </w:p>
        </w:tc>
        <w:tc>
          <w:tcPr>
            <w:tcW w:w="1350" w:type="dxa"/>
          </w:tcPr>
          <w:p w:rsidR="00BF2117" w:rsidRPr="008B7A1A" w:rsidRDefault="00BF2117">
            <w:pPr>
              <w:pStyle w:val="Header"/>
              <w:tabs>
                <w:tab w:val="left" w:pos="547"/>
              </w:tabs>
              <w:jc w:val="right"/>
              <w:rPr>
                <w:sz w:val="16"/>
                <w:szCs w:val="16"/>
              </w:rPr>
            </w:pPr>
            <w:r w:rsidRPr="008B7A1A">
              <w:rPr>
                <w:sz w:val="16"/>
                <w:szCs w:val="16"/>
              </w:rPr>
              <w:t>Rs,   600</w:t>
            </w:r>
          </w:p>
        </w:tc>
      </w:tr>
      <w:tr w:rsidR="00BF2117" w:rsidRPr="008B7A1A">
        <w:tc>
          <w:tcPr>
            <w:tcW w:w="720" w:type="dxa"/>
          </w:tcPr>
          <w:p w:rsidR="00BF2117" w:rsidRPr="008B7A1A" w:rsidRDefault="00BF2117">
            <w:pPr>
              <w:jc w:val="center"/>
              <w:rPr>
                <w:sz w:val="16"/>
                <w:szCs w:val="16"/>
              </w:rPr>
            </w:pPr>
            <w:r w:rsidRPr="008B7A1A">
              <w:rPr>
                <w:sz w:val="16"/>
                <w:szCs w:val="16"/>
              </w:rPr>
              <w:t>(h)</w:t>
            </w:r>
          </w:p>
        </w:tc>
        <w:tc>
          <w:tcPr>
            <w:tcW w:w="4860" w:type="dxa"/>
          </w:tcPr>
          <w:p w:rsidR="00BF2117" w:rsidRPr="008B7A1A" w:rsidRDefault="00BF2117">
            <w:pPr>
              <w:rPr>
                <w:sz w:val="16"/>
                <w:szCs w:val="16"/>
              </w:rPr>
            </w:pPr>
            <w:r w:rsidRPr="008B7A1A">
              <w:rPr>
                <w:sz w:val="16"/>
                <w:szCs w:val="16"/>
              </w:rPr>
              <w:t>exceeds Rs. 4500 but does not exceed Rs. 6000</w:t>
            </w:r>
          </w:p>
        </w:tc>
        <w:tc>
          <w:tcPr>
            <w:tcW w:w="1350" w:type="dxa"/>
          </w:tcPr>
          <w:p w:rsidR="00BF2117" w:rsidRPr="008B7A1A" w:rsidRDefault="00BF2117">
            <w:pPr>
              <w:jc w:val="right"/>
              <w:rPr>
                <w:sz w:val="16"/>
                <w:szCs w:val="16"/>
              </w:rPr>
            </w:pPr>
            <w:r w:rsidRPr="008B7A1A">
              <w:rPr>
                <w:sz w:val="16"/>
                <w:szCs w:val="16"/>
              </w:rPr>
              <w:t>Rs.   750</w:t>
            </w:r>
          </w:p>
        </w:tc>
      </w:tr>
      <w:tr w:rsidR="00BF2117" w:rsidRPr="008B7A1A">
        <w:tc>
          <w:tcPr>
            <w:tcW w:w="720" w:type="dxa"/>
          </w:tcPr>
          <w:p w:rsidR="00BF2117" w:rsidRPr="008B7A1A" w:rsidRDefault="00BF2117">
            <w:pPr>
              <w:jc w:val="center"/>
              <w:rPr>
                <w:sz w:val="16"/>
                <w:szCs w:val="16"/>
              </w:rPr>
            </w:pPr>
            <w:r w:rsidRPr="008B7A1A">
              <w:rPr>
                <w:sz w:val="16"/>
                <w:szCs w:val="16"/>
              </w:rPr>
              <w:t>(i)</w:t>
            </w:r>
          </w:p>
        </w:tc>
        <w:tc>
          <w:tcPr>
            <w:tcW w:w="4860" w:type="dxa"/>
          </w:tcPr>
          <w:p w:rsidR="00BF2117" w:rsidRPr="008B7A1A" w:rsidRDefault="00BF2117">
            <w:pPr>
              <w:rPr>
                <w:sz w:val="16"/>
                <w:szCs w:val="16"/>
              </w:rPr>
            </w:pPr>
            <w:r w:rsidRPr="008B7A1A">
              <w:rPr>
                <w:sz w:val="16"/>
                <w:szCs w:val="16"/>
              </w:rPr>
              <w:t>exceeds Rs. 6000</w:t>
            </w:r>
          </w:p>
        </w:tc>
        <w:tc>
          <w:tcPr>
            <w:tcW w:w="1350" w:type="dxa"/>
          </w:tcPr>
          <w:p w:rsidR="00BF2117" w:rsidRPr="008B7A1A" w:rsidRDefault="00BF2117">
            <w:pPr>
              <w:jc w:val="right"/>
              <w:rPr>
                <w:sz w:val="16"/>
                <w:szCs w:val="16"/>
              </w:rPr>
            </w:pPr>
            <w:r w:rsidRPr="008B7A1A">
              <w:rPr>
                <w:sz w:val="16"/>
                <w:szCs w:val="16"/>
              </w:rPr>
              <w:t>Rs. 1000</w:t>
            </w:r>
          </w:p>
        </w:tc>
      </w:tr>
    </w:tbl>
    <w:p w:rsidR="00BF2117" w:rsidRPr="008B7A1A" w:rsidRDefault="00BF2117" w:rsidP="00AA4BF8">
      <w:pPr>
        <w:rPr>
          <w:sz w:val="16"/>
          <w:szCs w:val="16"/>
        </w:rPr>
      </w:pPr>
    </w:p>
  </w:footnote>
  <w:footnote w:id="1694">
    <w:p w:rsidR="00BF2117" w:rsidRPr="008B7A1A" w:rsidRDefault="00BF2117" w:rsidP="00AA4BF8">
      <w:pPr>
        <w:pStyle w:val="FootnoteText"/>
        <w:rPr>
          <w:sz w:val="16"/>
          <w:szCs w:val="16"/>
        </w:rPr>
      </w:pPr>
      <w:r w:rsidRPr="008B7A1A">
        <w:rPr>
          <w:rStyle w:val="FootnoteReference"/>
          <w:rFonts w:cs="Arial"/>
          <w:sz w:val="16"/>
          <w:szCs w:val="16"/>
        </w:rPr>
        <w:footnoteRef/>
      </w:r>
      <w:r w:rsidRPr="008B7A1A">
        <w:rPr>
          <w:sz w:val="16"/>
          <w:szCs w:val="16"/>
        </w:rPr>
        <w:t xml:space="preserve"> The figure “60” substituted by the Finance Act, 2010.</w:t>
      </w:r>
    </w:p>
  </w:footnote>
  <w:footnote w:id="1695">
    <w:p w:rsidR="00BF2117" w:rsidRDefault="00BF2117" w:rsidP="00AA4BF8">
      <w:pPr>
        <w:pStyle w:val="FootnoteText"/>
      </w:pPr>
      <w:r w:rsidRPr="00412620">
        <w:rPr>
          <w:rStyle w:val="FootnoteReference"/>
          <w:rFonts w:cs="Arial"/>
          <w:sz w:val="20"/>
        </w:rPr>
        <w:footnoteRef/>
      </w:r>
      <w:r w:rsidRPr="00412620">
        <w:rPr>
          <w:sz w:val="16"/>
          <w:szCs w:val="16"/>
        </w:rPr>
        <w:t xml:space="preserve"> The words and figure “at the rate of 10 </w:t>
      </w:r>
      <w:r>
        <w:rPr>
          <w:i/>
          <w:iCs/>
          <w:sz w:val="16"/>
          <w:szCs w:val="16"/>
        </w:rPr>
        <w:t>per cent</w:t>
      </w:r>
      <w:r w:rsidRPr="00412620">
        <w:rPr>
          <w:sz w:val="16"/>
          <w:szCs w:val="16"/>
        </w:rPr>
        <w:t>” substituted by the Finance Act, 2010.</w:t>
      </w:r>
    </w:p>
  </w:footnote>
  <w:footnote w:id="1696">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The figure “10” substituted by the Finance Act, 2016.</w:t>
      </w:r>
    </w:p>
  </w:footnote>
  <w:footnote w:id="1697">
    <w:p w:rsidR="00BF2117" w:rsidRPr="002B24BE" w:rsidRDefault="00BF2117" w:rsidP="00AA4BF8">
      <w:pPr>
        <w:pStyle w:val="FootnoteText"/>
        <w:rPr>
          <w:rFonts w:cs="Arial"/>
          <w:sz w:val="16"/>
          <w:szCs w:val="16"/>
        </w:rPr>
      </w:pPr>
      <w:r w:rsidRPr="002B24BE">
        <w:rPr>
          <w:rStyle w:val="FootnoteReference"/>
          <w:rFonts w:cs="Arial"/>
          <w:sz w:val="16"/>
          <w:szCs w:val="16"/>
        </w:rPr>
        <w:footnoteRef/>
      </w:r>
      <w:r w:rsidRPr="002B24BE">
        <w:rPr>
          <w:rFonts w:cs="Arial"/>
          <w:sz w:val="16"/>
          <w:szCs w:val="16"/>
        </w:rPr>
        <w:t xml:space="preserve"> Paragraph (a) substituted by the Finance Act, 2008. The substituted paragraph (a) read as follows:</w:t>
      </w:r>
    </w:p>
    <w:p w:rsidR="00BF2117" w:rsidRPr="002B24BE" w:rsidRDefault="00BF2117" w:rsidP="00AA4BF8">
      <w:pPr>
        <w:ind w:left="1094" w:hanging="14"/>
        <w:jc w:val="both"/>
        <w:rPr>
          <w:rFonts w:cs="Arial"/>
          <w:sz w:val="16"/>
          <w:szCs w:val="16"/>
        </w:rPr>
      </w:pPr>
      <w:r w:rsidRPr="002B24BE">
        <w:rPr>
          <w:rFonts w:cs="Arial"/>
          <w:sz w:val="16"/>
          <w:szCs w:val="16"/>
        </w:rPr>
        <w:t>“(a)</w:t>
      </w:r>
      <w:r w:rsidRPr="002B24BE">
        <w:rPr>
          <w:rFonts w:cs="Arial"/>
          <w:sz w:val="16"/>
          <w:szCs w:val="16"/>
        </w:rPr>
        <w:tab/>
        <w:t>In the case of telephone subscriber (other than mobile phone subscriber) where the monthly bill—</w:t>
      </w:r>
    </w:p>
    <w:p w:rsidR="00BF2117" w:rsidRPr="002B24BE" w:rsidRDefault="00BF2117" w:rsidP="00AA4BF8">
      <w:pPr>
        <w:rPr>
          <w:rFonts w:cs="Arial"/>
          <w:sz w:val="16"/>
          <w:szCs w:val="16"/>
        </w:rPr>
      </w:pPr>
    </w:p>
    <w:tbl>
      <w:tblPr>
        <w:tblW w:w="0" w:type="auto"/>
        <w:tblInd w:w="2" w:type="dxa"/>
        <w:tblLayout w:type="fixed"/>
        <w:tblLook w:val="0000"/>
      </w:tblPr>
      <w:tblGrid>
        <w:gridCol w:w="720"/>
        <w:gridCol w:w="3240"/>
        <w:gridCol w:w="1530"/>
      </w:tblGrid>
      <w:tr w:rsidR="00BF2117" w:rsidRPr="002B24BE">
        <w:tc>
          <w:tcPr>
            <w:tcW w:w="720" w:type="dxa"/>
          </w:tcPr>
          <w:p w:rsidR="00BF2117" w:rsidRPr="002B24BE" w:rsidRDefault="00BF2117" w:rsidP="001E1F44">
            <w:pPr>
              <w:jc w:val="center"/>
              <w:rPr>
                <w:rFonts w:cs="Arial"/>
                <w:sz w:val="16"/>
                <w:szCs w:val="16"/>
              </w:rPr>
            </w:pPr>
            <w:r w:rsidRPr="002B24BE">
              <w:rPr>
                <w:rFonts w:cs="Arial"/>
                <w:sz w:val="16"/>
                <w:szCs w:val="16"/>
              </w:rPr>
              <w:t>(a)</w:t>
            </w:r>
          </w:p>
        </w:tc>
        <w:tc>
          <w:tcPr>
            <w:tcW w:w="3240" w:type="dxa"/>
          </w:tcPr>
          <w:p w:rsidR="00BF2117" w:rsidRPr="002B24BE" w:rsidRDefault="00BF2117" w:rsidP="001E1F44">
            <w:pPr>
              <w:pStyle w:val="CommentText"/>
              <w:keepLines/>
              <w:jc w:val="both"/>
              <w:rPr>
                <w:rFonts w:cs="Arial"/>
                <w:sz w:val="16"/>
                <w:szCs w:val="16"/>
              </w:rPr>
            </w:pPr>
            <w:r w:rsidRPr="002B24BE">
              <w:rPr>
                <w:rFonts w:cs="Arial"/>
                <w:sz w:val="16"/>
                <w:szCs w:val="16"/>
              </w:rPr>
              <w:t>exceeds Rs. 1000 but does not exceed Rs. 2000</w:t>
            </w:r>
          </w:p>
        </w:tc>
        <w:tc>
          <w:tcPr>
            <w:tcW w:w="1530" w:type="dxa"/>
          </w:tcPr>
          <w:p w:rsidR="00BF2117" w:rsidRPr="002B24BE" w:rsidRDefault="00BF2117" w:rsidP="001E1F44">
            <w:pPr>
              <w:jc w:val="right"/>
              <w:rPr>
                <w:rFonts w:cs="Arial"/>
                <w:sz w:val="16"/>
                <w:szCs w:val="16"/>
              </w:rPr>
            </w:pPr>
            <w:r w:rsidRPr="002B24BE">
              <w:rPr>
                <w:rFonts w:cs="Arial"/>
                <w:sz w:val="16"/>
                <w:szCs w:val="16"/>
              </w:rPr>
              <w:t>Rs.   50</w:t>
            </w:r>
          </w:p>
        </w:tc>
      </w:tr>
      <w:tr w:rsidR="00BF2117" w:rsidRPr="002B24BE">
        <w:tc>
          <w:tcPr>
            <w:tcW w:w="720" w:type="dxa"/>
          </w:tcPr>
          <w:p w:rsidR="00BF2117" w:rsidRPr="002B24BE" w:rsidRDefault="00BF2117" w:rsidP="001E1F44">
            <w:pPr>
              <w:jc w:val="center"/>
              <w:rPr>
                <w:rFonts w:cs="Arial"/>
                <w:sz w:val="16"/>
                <w:szCs w:val="16"/>
              </w:rPr>
            </w:pPr>
          </w:p>
          <w:p w:rsidR="00BF2117" w:rsidRPr="002B24BE" w:rsidRDefault="00BF2117" w:rsidP="001E1F44">
            <w:pPr>
              <w:jc w:val="center"/>
              <w:rPr>
                <w:rFonts w:cs="Arial"/>
                <w:sz w:val="16"/>
                <w:szCs w:val="16"/>
              </w:rPr>
            </w:pPr>
            <w:r w:rsidRPr="002B24BE">
              <w:rPr>
                <w:rFonts w:cs="Arial"/>
                <w:sz w:val="16"/>
                <w:szCs w:val="16"/>
              </w:rPr>
              <w:t>(b)</w:t>
            </w:r>
          </w:p>
        </w:tc>
        <w:tc>
          <w:tcPr>
            <w:tcW w:w="3240" w:type="dxa"/>
          </w:tcPr>
          <w:p w:rsidR="00BF2117" w:rsidRPr="002B24BE" w:rsidRDefault="00BF2117" w:rsidP="001E1F44">
            <w:pPr>
              <w:pStyle w:val="CommentText"/>
              <w:keepLines/>
              <w:rPr>
                <w:rFonts w:cs="Arial"/>
                <w:sz w:val="16"/>
                <w:szCs w:val="16"/>
              </w:rPr>
            </w:pPr>
          </w:p>
          <w:p w:rsidR="00BF2117" w:rsidRPr="002B24BE" w:rsidRDefault="00BF2117" w:rsidP="001E1F44">
            <w:pPr>
              <w:pStyle w:val="CommentText"/>
              <w:keepLines/>
              <w:rPr>
                <w:rFonts w:cs="Arial"/>
                <w:sz w:val="16"/>
                <w:szCs w:val="16"/>
              </w:rPr>
            </w:pPr>
            <w:r w:rsidRPr="002B24BE">
              <w:rPr>
                <w:rFonts w:cs="Arial"/>
                <w:sz w:val="16"/>
                <w:szCs w:val="16"/>
              </w:rPr>
              <w:t>exceeds Rs. 2000 but does not exceed Rs. 3000.</w:t>
            </w:r>
          </w:p>
        </w:tc>
        <w:tc>
          <w:tcPr>
            <w:tcW w:w="1530" w:type="dxa"/>
          </w:tcPr>
          <w:p w:rsidR="00BF2117" w:rsidRPr="002B24BE" w:rsidRDefault="00BF2117" w:rsidP="001E1F44">
            <w:pPr>
              <w:jc w:val="right"/>
              <w:rPr>
                <w:rFonts w:cs="Arial"/>
                <w:sz w:val="16"/>
                <w:szCs w:val="16"/>
              </w:rPr>
            </w:pPr>
          </w:p>
          <w:p w:rsidR="00BF2117" w:rsidRPr="002B24BE" w:rsidRDefault="00BF2117" w:rsidP="001E1F44">
            <w:pPr>
              <w:jc w:val="right"/>
              <w:rPr>
                <w:rFonts w:cs="Arial"/>
                <w:sz w:val="16"/>
                <w:szCs w:val="16"/>
              </w:rPr>
            </w:pPr>
            <w:r w:rsidRPr="002B24BE">
              <w:rPr>
                <w:rFonts w:cs="Arial"/>
                <w:sz w:val="16"/>
                <w:szCs w:val="16"/>
              </w:rPr>
              <w:t>Rs. 100</w:t>
            </w:r>
          </w:p>
        </w:tc>
      </w:tr>
      <w:tr w:rsidR="00BF2117" w:rsidRPr="002B24BE">
        <w:tc>
          <w:tcPr>
            <w:tcW w:w="720" w:type="dxa"/>
          </w:tcPr>
          <w:p w:rsidR="00BF2117" w:rsidRPr="002B24BE" w:rsidRDefault="00BF2117" w:rsidP="001E1F44">
            <w:pPr>
              <w:jc w:val="center"/>
              <w:rPr>
                <w:rFonts w:cs="Arial"/>
                <w:sz w:val="16"/>
                <w:szCs w:val="16"/>
              </w:rPr>
            </w:pPr>
          </w:p>
          <w:p w:rsidR="00BF2117" w:rsidRPr="002B24BE" w:rsidRDefault="00BF2117" w:rsidP="001E1F44">
            <w:pPr>
              <w:jc w:val="center"/>
              <w:rPr>
                <w:rFonts w:cs="Arial"/>
                <w:sz w:val="16"/>
                <w:szCs w:val="16"/>
              </w:rPr>
            </w:pPr>
            <w:r w:rsidRPr="002B24BE">
              <w:rPr>
                <w:rFonts w:cs="Arial"/>
                <w:sz w:val="16"/>
                <w:szCs w:val="16"/>
              </w:rPr>
              <w:t>(c)</w:t>
            </w:r>
          </w:p>
        </w:tc>
        <w:tc>
          <w:tcPr>
            <w:tcW w:w="3240" w:type="dxa"/>
          </w:tcPr>
          <w:p w:rsidR="00BF2117" w:rsidRPr="002B24BE" w:rsidRDefault="00BF2117" w:rsidP="001E1F44">
            <w:pPr>
              <w:pStyle w:val="CommentText"/>
              <w:keepLines/>
              <w:rPr>
                <w:rFonts w:cs="Arial"/>
                <w:sz w:val="16"/>
                <w:szCs w:val="16"/>
              </w:rPr>
            </w:pPr>
          </w:p>
          <w:p w:rsidR="00BF2117" w:rsidRPr="002B24BE" w:rsidRDefault="00BF2117" w:rsidP="001E1F44">
            <w:pPr>
              <w:pStyle w:val="CommentText"/>
              <w:keepLines/>
              <w:rPr>
                <w:rFonts w:cs="Arial"/>
                <w:sz w:val="16"/>
                <w:szCs w:val="16"/>
              </w:rPr>
            </w:pPr>
            <w:r w:rsidRPr="002B24BE">
              <w:rPr>
                <w:rFonts w:cs="Arial"/>
                <w:sz w:val="16"/>
                <w:szCs w:val="16"/>
              </w:rPr>
              <w:t>exceeds Rs. 3000 but does not exceed Rs. 5000.</w:t>
            </w:r>
          </w:p>
        </w:tc>
        <w:tc>
          <w:tcPr>
            <w:tcW w:w="1530" w:type="dxa"/>
          </w:tcPr>
          <w:p w:rsidR="00BF2117" w:rsidRPr="002B24BE" w:rsidRDefault="00BF2117" w:rsidP="001E1F44">
            <w:pPr>
              <w:jc w:val="right"/>
              <w:rPr>
                <w:rFonts w:cs="Arial"/>
                <w:sz w:val="16"/>
                <w:szCs w:val="16"/>
              </w:rPr>
            </w:pPr>
          </w:p>
          <w:p w:rsidR="00BF2117" w:rsidRPr="002B24BE" w:rsidRDefault="00BF2117" w:rsidP="001E1F44">
            <w:pPr>
              <w:jc w:val="right"/>
              <w:rPr>
                <w:rFonts w:cs="Arial"/>
                <w:sz w:val="16"/>
                <w:szCs w:val="16"/>
              </w:rPr>
            </w:pPr>
            <w:r w:rsidRPr="002B24BE">
              <w:rPr>
                <w:rFonts w:cs="Arial"/>
                <w:sz w:val="16"/>
                <w:szCs w:val="16"/>
              </w:rPr>
              <w:t>Rs. 200</w:t>
            </w:r>
          </w:p>
        </w:tc>
      </w:tr>
      <w:tr w:rsidR="00BF2117" w:rsidRPr="002B24BE">
        <w:tc>
          <w:tcPr>
            <w:tcW w:w="720" w:type="dxa"/>
          </w:tcPr>
          <w:p w:rsidR="00BF2117" w:rsidRPr="002B24BE" w:rsidRDefault="00BF2117" w:rsidP="001E1F44">
            <w:pPr>
              <w:jc w:val="center"/>
              <w:rPr>
                <w:rFonts w:cs="Arial"/>
                <w:sz w:val="16"/>
                <w:szCs w:val="16"/>
              </w:rPr>
            </w:pPr>
          </w:p>
          <w:p w:rsidR="00BF2117" w:rsidRPr="002B24BE" w:rsidRDefault="00BF2117" w:rsidP="001E1F44">
            <w:pPr>
              <w:jc w:val="center"/>
              <w:rPr>
                <w:rFonts w:cs="Arial"/>
                <w:sz w:val="16"/>
                <w:szCs w:val="16"/>
              </w:rPr>
            </w:pPr>
            <w:r w:rsidRPr="002B24BE">
              <w:rPr>
                <w:rFonts w:cs="Arial"/>
                <w:sz w:val="16"/>
                <w:szCs w:val="16"/>
              </w:rPr>
              <w:t>(d)</w:t>
            </w:r>
          </w:p>
        </w:tc>
        <w:tc>
          <w:tcPr>
            <w:tcW w:w="3240" w:type="dxa"/>
          </w:tcPr>
          <w:p w:rsidR="00BF2117" w:rsidRPr="002B24BE" w:rsidRDefault="00BF2117" w:rsidP="001E1F44">
            <w:pPr>
              <w:pStyle w:val="CommentText"/>
              <w:keepLines/>
              <w:rPr>
                <w:rFonts w:cs="Arial"/>
                <w:sz w:val="16"/>
                <w:szCs w:val="16"/>
              </w:rPr>
            </w:pPr>
          </w:p>
          <w:p w:rsidR="00BF2117" w:rsidRPr="002B24BE" w:rsidRDefault="00BF2117" w:rsidP="001E1F44">
            <w:pPr>
              <w:pStyle w:val="CommentText"/>
              <w:keepLines/>
              <w:rPr>
                <w:rFonts w:cs="Arial"/>
                <w:sz w:val="16"/>
                <w:szCs w:val="16"/>
              </w:rPr>
            </w:pPr>
            <w:r w:rsidRPr="002B24BE">
              <w:rPr>
                <w:rFonts w:cs="Arial"/>
                <w:sz w:val="16"/>
                <w:szCs w:val="16"/>
              </w:rPr>
              <w:t>exceeds Rs. 5000.</w:t>
            </w:r>
          </w:p>
        </w:tc>
        <w:tc>
          <w:tcPr>
            <w:tcW w:w="1530" w:type="dxa"/>
          </w:tcPr>
          <w:p w:rsidR="00BF2117" w:rsidRPr="002B24BE" w:rsidRDefault="00BF2117" w:rsidP="001E1F44">
            <w:pPr>
              <w:jc w:val="right"/>
              <w:rPr>
                <w:rFonts w:cs="Arial"/>
                <w:sz w:val="16"/>
                <w:szCs w:val="16"/>
              </w:rPr>
            </w:pPr>
          </w:p>
          <w:p w:rsidR="00BF2117" w:rsidRPr="002B24BE" w:rsidRDefault="00BF2117" w:rsidP="001E1F44">
            <w:pPr>
              <w:jc w:val="right"/>
              <w:rPr>
                <w:rFonts w:cs="Arial"/>
                <w:sz w:val="16"/>
                <w:szCs w:val="16"/>
              </w:rPr>
            </w:pPr>
            <w:r w:rsidRPr="002B24BE">
              <w:rPr>
                <w:rFonts w:cs="Arial"/>
                <w:sz w:val="16"/>
                <w:szCs w:val="16"/>
              </w:rPr>
              <w:t>Rs. 300”</w:t>
            </w:r>
          </w:p>
        </w:tc>
      </w:tr>
    </w:tbl>
    <w:p w:rsidR="00BF2117" w:rsidRPr="002B24BE" w:rsidRDefault="00BF2117" w:rsidP="00AA4BF8">
      <w:pPr>
        <w:pStyle w:val="FootnoteText"/>
        <w:rPr>
          <w:rFonts w:cs="Arial"/>
          <w:sz w:val="16"/>
          <w:szCs w:val="16"/>
          <w:lang w:val="en-US"/>
        </w:rPr>
      </w:pPr>
    </w:p>
    <w:p w:rsidR="00BF2117" w:rsidRPr="002B24BE" w:rsidRDefault="00BF2117" w:rsidP="00AA4BF8">
      <w:pPr>
        <w:pStyle w:val="FootnoteText"/>
        <w:rPr>
          <w:rFonts w:cs="Arial"/>
          <w:sz w:val="16"/>
          <w:szCs w:val="16"/>
        </w:rPr>
      </w:pPr>
    </w:p>
  </w:footnote>
  <w:footnote w:id="1698">
    <w:p w:rsidR="00BF2117" w:rsidRPr="00F24619" w:rsidRDefault="00BF2117">
      <w:pPr>
        <w:pStyle w:val="FootnoteText"/>
        <w:rPr>
          <w:sz w:val="16"/>
          <w:szCs w:val="16"/>
          <w:lang w:val="en-US"/>
        </w:rPr>
      </w:pPr>
      <w:r w:rsidRPr="00F24619">
        <w:rPr>
          <w:rStyle w:val="FootnoteReference"/>
          <w:sz w:val="16"/>
          <w:szCs w:val="16"/>
        </w:rPr>
        <w:footnoteRef/>
      </w:r>
      <w:r>
        <w:rPr>
          <w:sz w:val="16"/>
          <w:szCs w:val="16"/>
        </w:rPr>
        <w:t>Clause (b) of Division V substituted by the Finance Act, 2015. The substituted clause (b) read as follows:-</w:t>
      </w:r>
    </w:p>
    <w:tbl>
      <w:tblPr>
        <w:tblW w:w="6390" w:type="dxa"/>
        <w:tblInd w:w="2" w:type="dxa"/>
        <w:tblLook w:val="01E0"/>
      </w:tblPr>
      <w:tblGrid>
        <w:gridCol w:w="806"/>
        <w:gridCol w:w="3784"/>
        <w:gridCol w:w="1800"/>
      </w:tblGrid>
      <w:tr w:rsidR="00BF2117" w:rsidRPr="00F24619" w:rsidTr="00472DD2">
        <w:tc>
          <w:tcPr>
            <w:tcW w:w="806" w:type="dxa"/>
          </w:tcPr>
          <w:p w:rsidR="00BF2117" w:rsidRPr="00F24619" w:rsidRDefault="00BF2117" w:rsidP="00F24619">
            <w:pPr>
              <w:ind w:right="-5"/>
              <w:jc w:val="both"/>
              <w:rPr>
                <w:rStyle w:val="FootnoteReference"/>
                <w:rFonts w:cs="Arial"/>
                <w:color w:val="000000" w:themeColor="text1"/>
                <w:sz w:val="16"/>
                <w:szCs w:val="16"/>
              </w:rPr>
            </w:pPr>
            <w:r>
              <w:rPr>
                <w:color w:val="000000" w:themeColor="text1"/>
                <w:sz w:val="16"/>
                <w:szCs w:val="16"/>
              </w:rPr>
              <w:t>“</w:t>
            </w:r>
            <w:r w:rsidRPr="00F24619">
              <w:rPr>
                <w:color w:val="000000" w:themeColor="text1"/>
                <w:sz w:val="16"/>
                <w:szCs w:val="16"/>
              </w:rPr>
              <w:t xml:space="preserve">(b)  </w:t>
            </w:r>
          </w:p>
        </w:tc>
        <w:tc>
          <w:tcPr>
            <w:tcW w:w="3784" w:type="dxa"/>
          </w:tcPr>
          <w:p w:rsidR="00BF2117" w:rsidRPr="00F24619" w:rsidRDefault="00BF2117" w:rsidP="00472DD2">
            <w:pPr>
              <w:pStyle w:val="Header"/>
              <w:keepLines/>
              <w:tabs>
                <w:tab w:val="clear" w:pos="4320"/>
              </w:tabs>
              <w:jc w:val="both"/>
              <w:rPr>
                <w:color w:val="000000" w:themeColor="text1"/>
                <w:sz w:val="16"/>
                <w:szCs w:val="16"/>
              </w:rPr>
            </w:pPr>
            <w:r w:rsidRPr="00F24619">
              <w:rPr>
                <w:color w:val="000000" w:themeColor="text1"/>
                <w:sz w:val="16"/>
                <w:szCs w:val="16"/>
              </w:rPr>
              <w:t xml:space="preserve">in the case of subscriber of mobile  </w:t>
            </w:r>
          </w:p>
          <w:p w:rsidR="00BF2117" w:rsidRPr="00F24619" w:rsidRDefault="00BF2117" w:rsidP="00472DD2">
            <w:pPr>
              <w:pStyle w:val="CommentText"/>
              <w:keepLines/>
              <w:jc w:val="both"/>
              <w:rPr>
                <w:color w:val="000000" w:themeColor="text1"/>
                <w:sz w:val="16"/>
                <w:szCs w:val="16"/>
              </w:rPr>
            </w:pPr>
            <w:r w:rsidRPr="00F24619">
              <w:rPr>
                <w:color w:val="000000" w:themeColor="text1"/>
                <w:sz w:val="16"/>
                <w:szCs w:val="16"/>
              </w:rPr>
              <w:t xml:space="preserve"> telephone and pre-paid telephone card</w:t>
            </w:r>
          </w:p>
        </w:tc>
        <w:tc>
          <w:tcPr>
            <w:tcW w:w="1800" w:type="dxa"/>
          </w:tcPr>
          <w:p w:rsidR="00BF2117" w:rsidRPr="00F24619" w:rsidRDefault="00BF2117" w:rsidP="00472DD2">
            <w:pPr>
              <w:jc w:val="both"/>
              <w:rPr>
                <w:color w:val="000000" w:themeColor="text1"/>
                <w:sz w:val="16"/>
                <w:szCs w:val="16"/>
              </w:rPr>
            </w:pPr>
            <w:r w:rsidRPr="00F24619">
              <w:rPr>
                <w:color w:val="000000" w:themeColor="text1"/>
                <w:sz w:val="16"/>
                <w:szCs w:val="16"/>
              </w:rPr>
              <w:t xml:space="preserve">14% of the amount of bill or sales price of pre-paid telephone card </w:t>
            </w:r>
            <w:r w:rsidRPr="00F24619">
              <w:rPr>
                <w:rStyle w:val="FootnoteReference"/>
                <w:rFonts w:cs="Arial"/>
                <w:color w:val="000000" w:themeColor="text1"/>
                <w:sz w:val="16"/>
                <w:szCs w:val="16"/>
              </w:rPr>
              <w:footnoteRef/>
            </w:r>
            <w:r w:rsidRPr="00F24619">
              <w:rPr>
                <w:color w:val="000000" w:themeColor="text1"/>
                <w:sz w:val="16"/>
                <w:szCs w:val="16"/>
              </w:rPr>
              <w:t xml:space="preserve">[or sale of units through </w:t>
            </w:r>
            <w:r w:rsidRPr="00F24619">
              <w:rPr>
                <w:rStyle w:val="FootnoteReference"/>
                <w:rFonts w:cs="Arial"/>
                <w:color w:val="000000" w:themeColor="text1"/>
                <w:sz w:val="16"/>
                <w:szCs w:val="16"/>
              </w:rPr>
              <w:footnoteRef/>
            </w:r>
            <w:r w:rsidRPr="00F24619">
              <w:rPr>
                <w:color w:val="000000" w:themeColor="text1"/>
                <w:sz w:val="16"/>
                <w:szCs w:val="16"/>
              </w:rPr>
              <w:t>[any electronic medium] or whatever form ]</w:t>
            </w:r>
          </w:p>
        </w:tc>
      </w:tr>
    </w:tbl>
    <w:p w:rsidR="00BF2117" w:rsidRPr="00F24619" w:rsidRDefault="00BF2117">
      <w:pPr>
        <w:pStyle w:val="FootnoteText"/>
        <w:rPr>
          <w:sz w:val="16"/>
          <w:szCs w:val="16"/>
          <w:lang w:val="en-US"/>
        </w:rPr>
      </w:pPr>
    </w:p>
  </w:footnote>
  <w:footnote w:id="1699">
    <w:p w:rsidR="00BF2117" w:rsidRPr="002B24BE" w:rsidRDefault="00BF2117" w:rsidP="00AA4BF8">
      <w:pPr>
        <w:pStyle w:val="FootnoteText"/>
        <w:rPr>
          <w:sz w:val="16"/>
          <w:szCs w:val="16"/>
        </w:rPr>
      </w:pPr>
      <w:r w:rsidRPr="002B24BE">
        <w:rPr>
          <w:rStyle w:val="FootnoteReference"/>
          <w:rFonts w:cs="Arial"/>
          <w:sz w:val="16"/>
          <w:szCs w:val="16"/>
        </w:rPr>
        <w:footnoteRef/>
      </w:r>
      <w:r w:rsidRPr="002B24BE">
        <w:rPr>
          <w:sz w:val="16"/>
          <w:szCs w:val="16"/>
          <w:lang w:val="en-US"/>
        </w:rPr>
        <w:t>The figure “0.2” substituted by the Finance Act, 2013.</w:t>
      </w:r>
    </w:p>
  </w:footnote>
  <w:footnote w:id="1700">
    <w:p w:rsidR="00BF2117" w:rsidRPr="00DD1A3B" w:rsidRDefault="00BF2117">
      <w:pPr>
        <w:pStyle w:val="FootnoteText"/>
        <w:rPr>
          <w:color w:val="000000" w:themeColor="text1"/>
          <w:sz w:val="16"/>
          <w:szCs w:val="16"/>
          <w:lang w:val="en-US"/>
        </w:rPr>
      </w:pPr>
      <w:r w:rsidRPr="00DD1A3B">
        <w:rPr>
          <w:rStyle w:val="FootnoteReference"/>
          <w:color w:val="000000" w:themeColor="text1"/>
          <w:sz w:val="16"/>
          <w:szCs w:val="16"/>
        </w:rPr>
        <w:footnoteRef/>
      </w:r>
      <w:r w:rsidRPr="00DD1A3B">
        <w:rPr>
          <w:color w:val="000000" w:themeColor="text1"/>
          <w:sz w:val="16"/>
          <w:szCs w:val="16"/>
        </w:rPr>
        <w:t xml:space="preserve"> Inserted by the Finance Act, 2014.</w:t>
      </w:r>
    </w:p>
  </w:footnote>
  <w:footnote w:id="1701">
    <w:p w:rsidR="00BF2117" w:rsidRPr="00400F4E" w:rsidRDefault="00BF2117">
      <w:pPr>
        <w:pStyle w:val="FootnoteText"/>
        <w:rPr>
          <w:sz w:val="16"/>
          <w:szCs w:val="16"/>
          <w:lang w:val="en-US"/>
        </w:rPr>
      </w:pPr>
      <w:r w:rsidRPr="00400F4E">
        <w:rPr>
          <w:rStyle w:val="FootnoteReference"/>
          <w:sz w:val="16"/>
          <w:szCs w:val="16"/>
        </w:rPr>
        <w:footnoteRef/>
      </w:r>
      <w:r>
        <w:rPr>
          <w:sz w:val="16"/>
          <w:szCs w:val="16"/>
        </w:rPr>
        <w:t>The figure “0.5” substituted by the Finance Act, 2015.</w:t>
      </w:r>
    </w:p>
  </w:footnote>
  <w:footnote w:id="1702">
    <w:p w:rsidR="00BF2117" w:rsidRPr="002B24BE" w:rsidRDefault="00BF2117" w:rsidP="00AA4BF8">
      <w:pPr>
        <w:pStyle w:val="FootnoteText"/>
        <w:rPr>
          <w:sz w:val="16"/>
          <w:szCs w:val="16"/>
        </w:rPr>
      </w:pPr>
      <w:r w:rsidRPr="002B24BE">
        <w:rPr>
          <w:rStyle w:val="FootnoteReference"/>
          <w:rFonts w:cs="Arial"/>
          <w:sz w:val="16"/>
          <w:szCs w:val="16"/>
        </w:rPr>
        <w:footnoteRef/>
      </w:r>
      <w:r w:rsidRPr="002B24BE">
        <w:rPr>
          <w:sz w:val="16"/>
          <w:szCs w:val="16"/>
        </w:rPr>
        <w:t xml:space="preserve"> Added by the Finance Act, 2010.</w:t>
      </w:r>
    </w:p>
  </w:footnote>
  <w:footnote w:id="1703">
    <w:p w:rsidR="00BF2117" w:rsidRPr="008937DF" w:rsidRDefault="00BF2117">
      <w:pPr>
        <w:pStyle w:val="FootnoteText"/>
        <w:rPr>
          <w:sz w:val="16"/>
          <w:szCs w:val="16"/>
          <w:lang w:val="en-US"/>
        </w:rPr>
      </w:pPr>
      <w:r w:rsidRPr="008937DF">
        <w:rPr>
          <w:rStyle w:val="FootnoteReference"/>
          <w:sz w:val="16"/>
          <w:szCs w:val="16"/>
        </w:rPr>
        <w:footnoteRef/>
      </w:r>
      <w:r>
        <w:rPr>
          <w:sz w:val="16"/>
          <w:szCs w:val="16"/>
        </w:rPr>
        <w:t>Inserted by the Finance Act, 2015.</w:t>
      </w:r>
    </w:p>
  </w:footnote>
  <w:footnote w:id="1704">
    <w:p w:rsidR="00BF2117" w:rsidRPr="00F905BA" w:rsidRDefault="00BF2117" w:rsidP="005C02E4">
      <w:pPr>
        <w:pStyle w:val="Heading2"/>
        <w:jc w:val="left"/>
        <w:rPr>
          <w:color w:val="000000" w:themeColor="text1"/>
          <w:sz w:val="16"/>
          <w:szCs w:val="16"/>
        </w:rPr>
      </w:pPr>
      <w:r w:rsidRPr="00F905BA">
        <w:rPr>
          <w:rStyle w:val="FootnoteReference"/>
          <w:b w:val="0"/>
          <w:sz w:val="16"/>
          <w:szCs w:val="16"/>
        </w:rPr>
        <w:footnoteRef/>
      </w:r>
      <w:r w:rsidRPr="00F905BA">
        <w:rPr>
          <w:b w:val="0"/>
          <w:sz w:val="16"/>
          <w:szCs w:val="16"/>
        </w:rPr>
        <w:t xml:space="preserve"> Division VII of Part IV substituted by the Finance Act, 2015. The substituted Division VII readas follows:</w:t>
      </w:r>
      <w:r>
        <w:rPr>
          <w:sz w:val="16"/>
          <w:szCs w:val="16"/>
        </w:rPr>
        <w:t>-</w:t>
      </w:r>
      <w:r>
        <w:rPr>
          <w:sz w:val="16"/>
          <w:szCs w:val="16"/>
        </w:rPr>
        <w:tab/>
      </w:r>
      <w:r>
        <w:rPr>
          <w:sz w:val="16"/>
          <w:szCs w:val="16"/>
        </w:rPr>
        <w:tab/>
      </w:r>
      <w:r>
        <w:rPr>
          <w:sz w:val="16"/>
          <w:szCs w:val="16"/>
        </w:rPr>
        <w:tab/>
      </w:r>
      <w:r>
        <w:rPr>
          <w:sz w:val="16"/>
          <w:szCs w:val="16"/>
        </w:rPr>
        <w:tab/>
      </w:r>
      <w:r>
        <w:rPr>
          <w:sz w:val="16"/>
          <w:szCs w:val="16"/>
        </w:rPr>
        <w:tab/>
      </w:r>
      <w:r>
        <w:rPr>
          <w:color w:val="000000" w:themeColor="text1"/>
          <w:sz w:val="16"/>
          <w:szCs w:val="16"/>
        </w:rPr>
        <w:t>“</w:t>
      </w:r>
      <w:r w:rsidRPr="00F905BA">
        <w:rPr>
          <w:color w:val="000000" w:themeColor="text1"/>
          <w:sz w:val="16"/>
          <w:szCs w:val="16"/>
        </w:rPr>
        <w:t>DIVISION VII</w:t>
      </w:r>
    </w:p>
    <w:p w:rsidR="00BF2117" w:rsidRPr="00F905BA" w:rsidRDefault="00BF2117" w:rsidP="005C02E4">
      <w:pPr>
        <w:pStyle w:val="Heading2"/>
        <w:rPr>
          <w:rFonts w:cs="Arial"/>
          <w:color w:val="000000" w:themeColor="text1"/>
          <w:sz w:val="16"/>
          <w:szCs w:val="16"/>
        </w:rPr>
      </w:pPr>
      <w:r w:rsidRPr="00F905BA">
        <w:rPr>
          <w:color w:val="000000" w:themeColor="text1"/>
          <w:sz w:val="16"/>
          <w:szCs w:val="16"/>
        </w:rPr>
        <w:t>Advance Tax on purchase of Motor Car and Jeep</w:t>
      </w:r>
    </w:p>
    <w:p w:rsidR="00BF2117" w:rsidRPr="00F905BA" w:rsidRDefault="00BF2117" w:rsidP="005C02E4">
      <w:pPr>
        <w:ind w:firstLine="547"/>
        <w:jc w:val="both"/>
        <w:rPr>
          <w:color w:val="000000" w:themeColor="text1"/>
          <w:sz w:val="16"/>
          <w:szCs w:val="16"/>
        </w:rPr>
      </w:pPr>
      <w:r w:rsidRPr="00F905BA">
        <w:rPr>
          <w:color w:val="000000" w:themeColor="text1"/>
          <w:sz w:val="16"/>
          <w:szCs w:val="16"/>
        </w:rPr>
        <w:t>The rate of tax under sub-sections (1), (2) and (3) of section 231B shall be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2340"/>
        <w:gridCol w:w="1710"/>
        <w:gridCol w:w="1800"/>
      </w:tblGrid>
      <w:tr w:rsidR="00BF2117" w:rsidRPr="00F905BA" w:rsidTr="00303B88">
        <w:trPr>
          <w:trHeight w:val="203"/>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S. No.</w:t>
            </w:r>
          </w:p>
        </w:tc>
        <w:tc>
          <w:tcPr>
            <w:tcW w:w="234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Engine capacity</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For filers</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Tax for non-filer</w:t>
            </w:r>
          </w:p>
        </w:tc>
      </w:tr>
      <w:tr w:rsidR="00BF2117" w:rsidRPr="00F905BA" w:rsidTr="00303B88">
        <w:trPr>
          <w:trHeight w:val="122"/>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(1)</w:t>
            </w:r>
          </w:p>
        </w:tc>
        <w:tc>
          <w:tcPr>
            <w:tcW w:w="2340" w:type="dxa"/>
            <w:vAlign w:val="center"/>
          </w:tcPr>
          <w:p w:rsidR="00BF2117" w:rsidRPr="00F905BA" w:rsidRDefault="00BF2117" w:rsidP="00303B88">
            <w:pPr>
              <w:ind w:left="58"/>
              <w:rPr>
                <w:color w:val="000000" w:themeColor="text1"/>
                <w:sz w:val="16"/>
                <w:szCs w:val="16"/>
              </w:rPr>
            </w:pPr>
            <w:r w:rsidRPr="00F905BA">
              <w:rPr>
                <w:color w:val="000000" w:themeColor="text1"/>
                <w:sz w:val="16"/>
                <w:szCs w:val="16"/>
              </w:rPr>
              <w:t>(2)</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(3)</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(4)</w:t>
            </w:r>
          </w:p>
        </w:tc>
      </w:tr>
      <w:tr w:rsidR="00BF2117" w:rsidRPr="00F905BA" w:rsidTr="00303B88">
        <w:trPr>
          <w:trHeight w:val="109"/>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1.</w:t>
            </w:r>
          </w:p>
        </w:tc>
        <w:tc>
          <w:tcPr>
            <w:tcW w:w="2340" w:type="dxa"/>
            <w:vAlign w:val="center"/>
          </w:tcPr>
          <w:p w:rsidR="00BF2117" w:rsidRPr="00F905BA" w:rsidRDefault="00BF2117" w:rsidP="00303B88">
            <w:pPr>
              <w:ind w:left="54"/>
              <w:rPr>
                <w:color w:val="000000" w:themeColor="text1"/>
                <w:sz w:val="16"/>
                <w:szCs w:val="16"/>
              </w:rPr>
            </w:pPr>
            <w:r w:rsidRPr="00F905BA">
              <w:rPr>
                <w:color w:val="000000" w:themeColor="text1"/>
                <w:sz w:val="16"/>
                <w:szCs w:val="16"/>
              </w:rPr>
              <w:t>upto 850cc</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10,000</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10,000</w:t>
            </w:r>
          </w:p>
        </w:tc>
      </w:tr>
      <w:tr w:rsidR="00BF2117" w:rsidRPr="00F905BA" w:rsidTr="00303B88">
        <w:trPr>
          <w:trHeight w:val="135"/>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2.</w:t>
            </w:r>
          </w:p>
        </w:tc>
        <w:tc>
          <w:tcPr>
            <w:tcW w:w="2340" w:type="dxa"/>
            <w:vAlign w:val="center"/>
          </w:tcPr>
          <w:p w:rsidR="00BF2117" w:rsidRPr="00F905BA" w:rsidRDefault="00BF2117" w:rsidP="00303B88">
            <w:pPr>
              <w:ind w:left="54"/>
              <w:rPr>
                <w:color w:val="000000" w:themeColor="text1"/>
                <w:sz w:val="16"/>
                <w:szCs w:val="16"/>
              </w:rPr>
            </w:pPr>
            <w:r w:rsidRPr="00F905BA">
              <w:rPr>
                <w:color w:val="000000" w:themeColor="text1"/>
                <w:sz w:val="16"/>
                <w:szCs w:val="16"/>
              </w:rPr>
              <w:t>851cc to 1000cc</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20,000</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25,000</w:t>
            </w:r>
          </w:p>
        </w:tc>
      </w:tr>
      <w:tr w:rsidR="00BF2117" w:rsidRPr="00F905BA" w:rsidTr="00303B88">
        <w:trPr>
          <w:trHeight w:val="82"/>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3.</w:t>
            </w:r>
          </w:p>
        </w:tc>
        <w:tc>
          <w:tcPr>
            <w:tcW w:w="2340" w:type="dxa"/>
            <w:vAlign w:val="center"/>
          </w:tcPr>
          <w:p w:rsidR="00BF2117" w:rsidRPr="00F905BA" w:rsidRDefault="00BF2117" w:rsidP="00303B88">
            <w:pPr>
              <w:ind w:left="54"/>
              <w:rPr>
                <w:color w:val="000000" w:themeColor="text1"/>
                <w:sz w:val="16"/>
                <w:szCs w:val="16"/>
              </w:rPr>
            </w:pPr>
            <w:r w:rsidRPr="00F905BA">
              <w:rPr>
                <w:color w:val="000000" w:themeColor="text1"/>
                <w:sz w:val="16"/>
                <w:szCs w:val="16"/>
              </w:rPr>
              <w:t>1001cc to 1300cc</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30,000</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40,000</w:t>
            </w:r>
          </w:p>
        </w:tc>
      </w:tr>
      <w:tr w:rsidR="00BF2117" w:rsidRPr="00F905BA" w:rsidTr="00303B88">
        <w:trPr>
          <w:trHeight w:val="122"/>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4.</w:t>
            </w:r>
          </w:p>
        </w:tc>
        <w:tc>
          <w:tcPr>
            <w:tcW w:w="2340" w:type="dxa"/>
            <w:vAlign w:val="center"/>
          </w:tcPr>
          <w:p w:rsidR="00BF2117" w:rsidRPr="00F905BA" w:rsidRDefault="00BF2117" w:rsidP="00303B88">
            <w:pPr>
              <w:ind w:left="54"/>
              <w:rPr>
                <w:color w:val="000000" w:themeColor="text1"/>
                <w:sz w:val="16"/>
                <w:szCs w:val="16"/>
              </w:rPr>
            </w:pPr>
            <w:r w:rsidRPr="00F905BA">
              <w:rPr>
                <w:color w:val="000000" w:themeColor="text1"/>
                <w:sz w:val="16"/>
                <w:szCs w:val="16"/>
              </w:rPr>
              <w:t>1301cc to 1600cc</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50,000</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100,000</w:t>
            </w:r>
          </w:p>
        </w:tc>
      </w:tr>
      <w:tr w:rsidR="00BF2117" w:rsidRPr="00F905BA" w:rsidTr="00303B88">
        <w:trPr>
          <w:trHeight w:val="95"/>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5.</w:t>
            </w:r>
          </w:p>
        </w:tc>
        <w:tc>
          <w:tcPr>
            <w:tcW w:w="2340" w:type="dxa"/>
            <w:vAlign w:val="center"/>
          </w:tcPr>
          <w:p w:rsidR="00BF2117" w:rsidRPr="00F905BA" w:rsidRDefault="00BF2117" w:rsidP="00303B88">
            <w:pPr>
              <w:ind w:left="54"/>
              <w:rPr>
                <w:color w:val="000000" w:themeColor="text1"/>
                <w:sz w:val="16"/>
                <w:szCs w:val="16"/>
              </w:rPr>
            </w:pPr>
            <w:r w:rsidRPr="00F905BA">
              <w:rPr>
                <w:color w:val="000000" w:themeColor="text1"/>
                <w:sz w:val="16"/>
                <w:szCs w:val="16"/>
              </w:rPr>
              <w:t>1601cc to 1800cc</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75,000</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150,000</w:t>
            </w:r>
          </w:p>
        </w:tc>
      </w:tr>
      <w:tr w:rsidR="00BF2117" w:rsidRPr="00F905BA" w:rsidTr="00303B88">
        <w:trPr>
          <w:trHeight w:val="80"/>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6.</w:t>
            </w:r>
          </w:p>
        </w:tc>
        <w:tc>
          <w:tcPr>
            <w:tcW w:w="2340" w:type="dxa"/>
            <w:vAlign w:val="center"/>
          </w:tcPr>
          <w:p w:rsidR="00BF2117" w:rsidRPr="00F905BA" w:rsidRDefault="00BF2117" w:rsidP="00303B88">
            <w:pPr>
              <w:ind w:left="54"/>
              <w:rPr>
                <w:color w:val="000000" w:themeColor="text1"/>
                <w:sz w:val="16"/>
                <w:szCs w:val="16"/>
              </w:rPr>
            </w:pPr>
            <w:r w:rsidRPr="00F905BA">
              <w:rPr>
                <w:color w:val="000000" w:themeColor="text1"/>
                <w:sz w:val="16"/>
                <w:szCs w:val="16"/>
              </w:rPr>
              <w:t>1801cc to 2000cc</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100,000</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200,000</w:t>
            </w:r>
          </w:p>
        </w:tc>
      </w:tr>
      <w:tr w:rsidR="00BF2117" w:rsidRPr="00F905BA" w:rsidTr="00303B88">
        <w:trPr>
          <w:trHeight w:val="80"/>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7.</w:t>
            </w:r>
          </w:p>
        </w:tc>
        <w:tc>
          <w:tcPr>
            <w:tcW w:w="2340" w:type="dxa"/>
            <w:vAlign w:val="center"/>
          </w:tcPr>
          <w:p w:rsidR="00BF2117" w:rsidRPr="00F905BA" w:rsidRDefault="00BF2117" w:rsidP="00303B88">
            <w:pPr>
              <w:ind w:left="54"/>
              <w:rPr>
                <w:color w:val="000000" w:themeColor="text1"/>
                <w:sz w:val="16"/>
                <w:szCs w:val="16"/>
              </w:rPr>
            </w:pPr>
            <w:r w:rsidRPr="00F905BA">
              <w:rPr>
                <w:color w:val="000000" w:themeColor="text1"/>
                <w:sz w:val="16"/>
                <w:szCs w:val="16"/>
              </w:rPr>
              <w:t>2001cc to 2500cc</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150,000</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300,000</w:t>
            </w:r>
          </w:p>
        </w:tc>
      </w:tr>
      <w:tr w:rsidR="00BF2117" w:rsidRPr="00F905BA" w:rsidTr="00303B88">
        <w:trPr>
          <w:trHeight w:val="80"/>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8.</w:t>
            </w:r>
          </w:p>
        </w:tc>
        <w:tc>
          <w:tcPr>
            <w:tcW w:w="2340" w:type="dxa"/>
            <w:vAlign w:val="center"/>
          </w:tcPr>
          <w:p w:rsidR="00BF2117" w:rsidRPr="00F905BA" w:rsidRDefault="00BF2117" w:rsidP="00303B88">
            <w:pPr>
              <w:ind w:left="54"/>
              <w:rPr>
                <w:color w:val="000000" w:themeColor="text1"/>
                <w:sz w:val="16"/>
                <w:szCs w:val="16"/>
              </w:rPr>
            </w:pPr>
            <w:r w:rsidRPr="00F905BA">
              <w:rPr>
                <w:color w:val="000000" w:themeColor="text1"/>
                <w:sz w:val="16"/>
                <w:szCs w:val="16"/>
              </w:rPr>
              <w:t>2501cc to 3000cc</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200,000</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400,000</w:t>
            </w:r>
          </w:p>
        </w:tc>
      </w:tr>
      <w:tr w:rsidR="00BF2117" w:rsidRPr="00F905BA" w:rsidTr="00303B88">
        <w:trPr>
          <w:trHeight w:val="80"/>
        </w:trPr>
        <w:tc>
          <w:tcPr>
            <w:tcW w:w="72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9.</w:t>
            </w:r>
          </w:p>
        </w:tc>
        <w:tc>
          <w:tcPr>
            <w:tcW w:w="2340" w:type="dxa"/>
            <w:vAlign w:val="center"/>
          </w:tcPr>
          <w:p w:rsidR="00BF2117" w:rsidRPr="00F905BA" w:rsidRDefault="00BF2117" w:rsidP="00303B88">
            <w:pPr>
              <w:ind w:left="54"/>
              <w:rPr>
                <w:color w:val="000000" w:themeColor="text1"/>
                <w:sz w:val="16"/>
                <w:szCs w:val="16"/>
              </w:rPr>
            </w:pPr>
            <w:r w:rsidRPr="00F905BA">
              <w:rPr>
                <w:color w:val="000000" w:themeColor="text1"/>
                <w:sz w:val="16"/>
                <w:szCs w:val="16"/>
              </w:rPr>
              <w:t>Above 3000cc</w:t>
            </w:r>
          </w:p>
        </w:tc>
        <w:tc>
          <w:tcPr>
            <w:tcW w:w="171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250,000</w:t>
            </w:r>
          </w:p>
        </w:tc>
        <w:tc>
          <w:tcPr>
            <w:tcW w:w="1800" w:type="dxa"/>
            <w:vAlign w:val="center"/>
          </w:tcPr>
          <w:p w:rsidR="00BF2117" w:rsidRPr="00F905BA" w:rsidRDefault="00BF2117" w:rsidP="00303B88">
            <w:pPr>
              <w:ind w:left="54"/>
              <w:jc w:val="center"/>
              <w:rPr>
                <w:color w:val="000000" w:themeColor="text1"/>
                <w:sz w:val="16"/>
                <w:szCs w:val="16"/>
              </w:rPr>
            </w:pPr>
            <w:r w:rsidRPr="00F905BA">
              <w:rPr>
                <w:color w:val="000000" w:themeColor="text1"/>
                <w:sz w:val="16"/>
                <w:szCs w:val="16"/>
              </w:rPr>
              <w:t>Rs. 450,000”</w:t>
            </w:r>
          </w:p>
        </w:tc>
      </w:tr>
    </w:tbl>
    <w:p w:rsidR="00BF2117" w:rsidRDefault="00BF2117" w:rsidP="00F905BA">
      <w:pPr>
        <w:pStyle w:val="FootnoteText"/>
        <w:ind w:left="90" w:hanging="90"/>
        <w:rPr>
          <w:bCs/>
          <w:color w:val="000000" w:themeColor="text1"/>
          <w:sz w:val="16"/>
          <w:szCs w:val="16"/>
        </w:rPr>
      </w:pPr>
      <w:r w:rsidRPr="00F905BA">
        <w:rPr>
          <w:bCs/>
          <w:color w:val="000000" w:themeColor="text1"/>
          <w:sz w:val="16"/>
          <w:szCs w:val="16"/>
        </w:rPr>
        <w:tab/>
        <w:t xml:space="preserve">Provided that the rate of tax to be collected under sub-section (2) of section 231B, </w:t>
      </w:r>
    </w:p>
    <w:p w:rsidR="00BF2117" w:rsidRPr="00F905BA" w:rsidRDefault="00BF2117" w:rsidP="00F905BA">
      <w:pPr>
        <w:pStyle w:val="FootnoteText"/>
        <w:ind w:left="90" w:hanging="90"/>
        <w:rPr>
          <w:sz w:val="16"/>
          <w:szCs w:val="16"/>
          <w:lang w:val="en-US"/>
        </w:rPr>
      </w:pPr>
      <w:r w:rsidRPr="00F905BA">
        <w:rPr>
          <w:bCs/>
          <w:color w:val="000000" w:themeColor="text1"/>
          <w:sz w:val="16"/>
          <w:szCs w:val="16"/>
        </w:rPr>
        <w:t xml:space="preserve">shall be reduced by 10% each year from the date of </w:t>
      </w:r>
      <w:r>
        <w:rPr>
          <w:bCs/>
          <w:color w:val="000000" w:themeColor="text1"/>
          <w:sz w:val="16"/>
          <w:szCs w:val="16"/>
        </w:rPr>
        <w:t>first registration in Pakistan.”</w:t>
      </w:r>
    </w:p>
  </w:footnote>
  <w:footnote w:id="1705">
    <w:p w:rsidR="00BF2117" w:rsidRPr="002B24BE" w:rsidRDefault="00BF2117" w:rsidP="00AA4BF8">
      <w:pPr>
        <w:pStyle w:val="FootnoteText"/>
        <w:rPr>
          <w:sz w:val="16"/>
          <w:szCs w:val="16"/>
        </w:rPr>
      </w:pPr>
      <w:r w:rsidRPr="002B24BE">
        <w:rPr>
          <w:rStyle w:val="FootnoteReference"/>
          <w:rFonts w:cs="Arial"/>
          <w:sz w:val="16"/>
          <w:szCs w:val="16"/>
        </w:rPr>
        <w:footnoteRef/>
      </w:r>
      <w:r w:rsidRPr="002B24BE">
        <w:rPr>
          <w:sz w:val="16"/>
          <w:szCs w:val="16"/>
        </w:rPr>
        <w:t xml:space="preserve"> Added by the Finance Act,  2009.</w:t>
      </w:r>
    </w:p>
  </w:footnote>
  <w:footnote w:id="1706">
    <w:p w:rsidR="00BF2117" w:rsidRPr="002B24BE" w:rsidRDefault="00BF2117" w:rsidP="00AA4BF8">
      <w:pPr>
        <w:pStyle w:val="FootnoteText"/>
        <w:rPr>
          <w:sz w:val="16"/>
          <w:szCs w:val="16"/>
        </w:rPr>
      </w:pPr>
      <w:r w:rsidRPr="002B24BE">
        <w:rPr>
          <w:rStyle w:val="FootnoteReference"/>
          <w:rFonts w:cs="Arial"/>
          <w:sz w:val="16"/>
          <w:szCs w:val="16"/>
        </w:rPr>
        <w:footnoteRef/>
      </w:r>
      <w:r w:rsidRPr="002B24BE">
        <w:rPr>
          <w:sz w:val="16"/>
          <w:szCs w:val="16"/>
        </w:rPr>
        <w:t xml:space="preserve"> The figure “5” substituted by the Finance Act, 2013.</w:t>
      </w:r>
    </w:p>
  </w:footnote>
  <w:footnote w:id="1707">
    <w:p w:rsidR="00BF2117" w:rsidRPr="002B24BE" w:rsidRDefault="00BF2117" w:rsidP="00AA4BF8">
      <w:pPr>
        <w:pStyle w:val="FootnoteText"/>
        <w:rPr>
          <w:sz w:val="16"/>
          <w:szCs w:val="16"/>
        </w:rPr>
      </w:pPr>
      <w:r w:rsidRPr="002B24BE">
        <w:rPr>
          <w:rStyle w:val="FootnoteReference"/>
          <w:rFonts w:cs="Arial"/>
          <w:sz w:val="16"/>
          <w:szCs w:val="16"/>
        </w:rPr>
        <w:footnoteRef/>
      </w:r>
      <w:r w:rsidRPr="002B24BE">
        <w:rPr>
          <w:sz w:val="16"/>
          <w:szCs w:val="16"/>
        </w:rPr>
        <w:t xml:space="preserve"> Added by the Finance Act, 2010.</w:t>
      </w:r>
    </w:p>
  </w:footnote>
  <w:footnote w:id="1708">
    <w:p w:rsidR="00BF2117" w:rsidRPr="002B24BE" w:rsidRDefault="00BF2117">
      <w:pPr>
        <w:pStyle w:val="FootnoteText"/>
        <w:rPr>
          <w:sz w:val="16"/>
          <w:szCs w:val="16"/>
          <w:lang w:val="en-US"/>
        </w:rPr>
      </w:pPr>
      <w:r w:rsidRPr="002B24BE">
        <w:rPr>
          <w:rStyle w:val="FootnoteReference"/>
          <w:sz w:val="16"/>
          <w:szCs w:val="16"/>
        </w:rPr>
        <w:footnoteRef/>
      </w:r>
      <w:r w:rsidRPr="002B24BE">
        <w:rPr>
          <w:sz w:val="16"/>
          <w:szCs w:val="16"/>
        </w:rPr>
        <w:t xml:space="preserve"> Division X added by the Finance Act, 2012.</w:t>
      </w:r>
    </w:p>
  </w:footnote>
  <w:footnote w:id="1709">
    <w:p w:rsidR="00BF2117" w:rsidRPr="004F4505" w:rsidRDefault="00BF2117">
      <w:pPr>
        <w:pStyle w:val="FootnoteText"/>
        <w:rPr>
          <w:color w:val="FF0000"/>
          <w:sz w:val="16"/>
          <w:szCs w:val="16"/>
          <w:lang w:val="en-US"/>
        </w:rPr>
      </w:pPr>
      <w:r w:rsidRPr="0009763F">
        <w:rPr>
          <w:rStyle w:val="FootnoteReference"/>
          <w:color w:val="0070C0"/>
          <w:sz w:val="16"/>
          <w:szCs w:val="16"/>
        </w:rPr>
        <w:footnoteRef/>
      </w:r>
      <w:r w:rsidRPr="0009763F">
        <w:rPr>
          <w:color w:val="0070C0"/>
          <w:sz w:val="16"/>
          <w:szCs w:val="16"/>
        </w:rPr>
        <w:t xml:space="preserve"> Figure “0.5” substituted by the Finance Act, 2016</w:t>
      </w:r>
      <w:r>
        <w:rPr>
          <w:color w:val="FF0000"/>
          <w:sz w:val="16"/>
          <w:szCs w:val="16"/>
        </w:rPr>
        <w:t>.</w:t>
      </w:r>
    </w:p>
  </w:footnote>
  <w:footnote w:id="1710">
    <w:p w:rsidR="00BF2117" w:rsidRPr="00DD1A3B" w:rsidRDefault="00BF2117">
      <w:pPr>
        <w:pStyle w:val="FootnoteText"/>
        <w:rPr>
          <w:color w:val="000000" w:themeColor="text1"/>
          <w:sz w:val="16"/>
          <w:szCs w:val="16"/>
          <w:lang w:val="en-US"/>
        </w:rPr>
      </w:pPr>
      <w:r w:rsidRPr="00DD1A3B">
        <w:rPr>
          <w:rStyle w:val="FootnoteReference"/>
          <w:color w:val="000000" w:themeColor="text1"/>
          <w:sz w:val="16"/>
          <w:szCs w:val="16"/>
        </w:rPr>
        <w:footnoteRef/>
      </w:r>
      <w:r w:rsidRPr="00DD1A3B">
        <w:rPr>
          <w:color w:val="000000" w:themeColor="text1"/>
          <w:sz w:val="16"/>
          <w:szCs w:val="16"/>
        </w:rPr>
        <w:t xml:space="preserve"> Added by the Finance Act, 2014.</w:t>
      </w:r>
    </w:p>
  </w:footnote>
  <w:footnote w:id="1711">
    <w:p w:rsidR="00BF2117" w:rsidRPr="0009763F" w:rsidRDefault="00BF2117" w:rsidP="004F4505">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Figure “1” substituted by the Finance Act, 2016.</w:t>
      </w:r>
    </w:p>
  </w:footnote>
  <w:footnote w:id="1712">
    <w:p w:rsidR="00BF2117" w:rsidRPr="00DD1A3B" w:rsidRDefault="00BF2117">
      <w:pPr>
        <w:pStyle w:val="FootnoteText"/>
        <w:rPr>
          <w:color w:val="000000" w:themeColor="text1"/>
          <w:sz w:val="16"/>
          <w:szCs w:val="16"/>
          <w:lang w:val="en-US"/>
        </w:rPr>
      </w:pPr>
      <w:r w:rsidRPr="00DD1A3B">
        <w:rPr>
          <w:rStyle w:val="FootnoteReference"/>
          <w:color w:val="000000" w:themeColor="text1"/>
          <w:sz w:val="16"/>
          <w:szCs w:val="16"/>
        </w:rPr>
        <w:footnoteRef/>
      </w:r>
      <w:r w:rsidRPr="00DD1A3B">
        <w:rPr>
          <w:color w:val="000000" w:themeColor="text1"/>
          <w:sz w:val="16"/>
          <w:szCs w:val="16"/>
        </w:rPr>
        <w:t xml:space="preserve"> Division XI  added by the Finance Act, 2013</w:t>
      </w:r>
    </w:p>
  </w:footnote>
  <w:footnote w:id="1713">
    <w:p w:rsidR="00BF2117" w:rsidRPr="00DD1A3B" w:rsidRDefault="00BF2117">
      <w:pPr>
        <w:pStyle w:val="FootnoteText"/>
        <w:rPr>
          <w:color w:val="000000" w:themeColor="text1"/>
          <w:sz w:val="16"/>
          <w:szCs w:val="16"/>
          <w:lang w:val="en-US"/>
        </w:rPr>
      </w:pPr>
      <w:r w:rsidRPr="00DD1A3B">
        <w:rPr>
          <w:rStyle w:val="FootnoteReference"/>
          <w:color w:val="000000" w:themeColor="text1"/>
          <w:sz w:val="16"/>
          <w:szCs w:val="16"/>
        </w:rPr>
        <w:footnoteRef/>
      </w:r>
      <w:r w:rsidRPr="00DD1A3B">
        <w:rPr>
          <w:color w:val="000000" w:themeColor="text1"/>
          <w:sz w:val="16"/>
          <w:szCs w:val="16"/>
        </w:rPr>
        <w:t>The figure “10” substituted by the figure “5” by the Finance Act, 2014.</w:t>
      </w:r>
    </w:p>
  </w:footnote>
  <w:footnote w:id="1714">
    <w:p w:rsidR="00BF2117" w:rsidRPr="0009763F" w:rsidRDefault="00BF2117">
      <w:pPr>
        <w:pStyle w:val="FootnoteText"/>
        <w:rPr>
          <w:color w:val="0070C0"/>
          <w:sz w:val="16"/>
          <w:szCs w:val="16"/>
        </w:rPr>
      </w:pPr>
      <w:r w:rsidRPr="0009763F">
        <w:rPr>
          <w:rStyle w:val="FootnoteReference"/>
          <w:color w:val="0070C0"/>
          <w:sz w:val="16"/>
          <w:szCs w:val="16"/>
        </w:rPr>
        <w:footnoteRef/>
      </w:r>
      <w:r w:rsidRPr="0009763F">
        <w:rPr>
          <w:color w:val="0070C0"/>
          <w:sz w:val="16"/>
          <w:szCs w:val="16"/>
        </w:rPr>
        <w:t xml:space="preserve"> Division XII omitted by the Finance Act, 2016. Omitted Division read as follows:-</w:t>
      </w:r>
    </w:p>
    <w:p w:rsidR="00BF2117" w:rsidRPr="00AF5C22" w:rsidRDefault="00BF2117" w:rsidP="00AF5C22">
      <w:pPr>
        <w:pStyle w:val="C"/>
        <w:widowControl/>
        <w:spacing w:before="0" w:after="0"/>
        <w:rPr>
          <w:rFonts w:ascii="Arial" w:hAnsi="Arial" w:cs="Arial"/>
          <w:sz w:val="16"/>
          <w:szCs w:val="16"/>
        </w:rPr>
      </w:pPr>
      <w:r w:rsidRPr="00AF5C22">
        <w:rPr>
          <w:rStyle w:val="FootnoteReference"/>
          <w:rFonts w:ascii="Arial" w:hAnsi="Arial" w:cs="Arial"/>
          <w:sz w:val="16"/>
          <w:szCs w:val="16"/>
        </w:rPr>
        <w:footnoteRef/>
      </w:r>
      <w:r w:rsidRPr="00AF5C22">
        <w:rPr>
          <w:rFonts w:ascii="Arial" w:hAnsi="Arial" w:cs="Arial"/>
          <w:sz w:val="16"/>
          <w:szCs w:val="16"/>
        </w:rPr>
        <w:t>[Division XII</w:t>
      </w:r>
    </w:p>
    <w:p w:rsidR="00BF2117" w:rsidRPr="00AF5C22" w:rsidRDefault="00BF2117" w:rsidP="00AF5C22">
      <w:pPr>
        <w:pStyle w:val="C"/>
        <w:widowControl/>
        <w:spacing w:before="0" w:after="0"/>
        <w:rPr>
          <w:rFonts w:ascii="Arial" w:hAnsi="Arial" w:cs="Arial"/>
          <w:b w:val="0"/>
          <w:bCs/>
          <w:sz w:val="16"/>
          <w:szCs w:val="16"/>
        </w:rPr>
      </w:pPr>
      <w:r w:rsidRPr="00AF5C22">
        <w:rPr>
          <w:rFonts w:ascii="Arial" w:hAnsi="Arial" w:cs="Arial"/>
          <w:sz w:val="16"/>
          <w:szCs w:val="16"/>
        </w:rPr>
        <w:t>Advance tax on foreign-produced films and TV plays</w:t>
      </w:r>
    </w:p>
    <w:p w:rsidR="00BF2117" w:rsidRPr="00AF5C22" w:rsidRDefault="00BF2117" w:rsidP="00AF5C22">
      <w:pPr>
        <w:pStyle w:val="C"/>
        <w:widowControl/>
        <w:spacing w:before="0" w:after="0"/>
        <w:jc w:val="both"/>
        <w:rPr>
          <w:rFonts w:ascii="Arial" w:hAnsi="Arial" w:cs="Arial"/>
          <w:b w:val="0"/>
          <w:bCs/>
          <w:sz w:val="16"/>
          <w:szCs w:val="16"/>
        </w:rPr>
      </w:pPr>
      <w:r w:rsidRPr="00AF5C22">
        <w:rPr>
          <w:rFonts w:ascii="Arial" w:hAnsi="Arial" w:cs="Arial"/>
          <w:b w:val="0"/>
          <w:sz w:val="16"/>
          <w:szCs w:val="16"/>
        </w:rPr>
        <w:tab/>
        <w:t>Rate of collection of tax under section 236E shall be as follows: —</w:t>
      </w:r>
    </w:p>
    <w:p w:rsidR="00BF2117" w:rsidRPr="00AF5C22" w:rsidRDefault="00BF2117" w:rsidP="00AF5C22">
      <w:pPr>
        <w:pStyle w:val="C"/>
        <w:widowControl/>
        <w:spacing w:before="0" w:after="0"/>
        <w:jc w:val="both"/>
        <w:rPr>
          <w:rFonts w:ascii="Arial" w:hAnsi="Arial" w:cs="Arial"/>
          <w:b w:val="0"/>
          <w:bCs/>
          <w:sz w:val="16"/>
          <w:szCs w:val="16"/>
        </w:rPr>
      </w:pPr>
      <w:r w:rsidRPr="00AF5C22">
        <w:rPr>
          <w:rFonts w:ascii="Arial" w:hAnsi="Arial" w:cs="Arial"/>
          <w:b w:val="0"/>
          <w:sz w:val="16"/>
          <w:szCs w:val="16"/>
        </w:rPr>
        <w:tab/>
      </w:r>
      <w:r w:rsidRPr="00AF5C22">
        <w:rPr>
          <w:rFonts w:ascii="Arial" w:hAnsi="Arial" w:cs="Arial"/>
          <w:b w:val="0"/>
          <w:sz w:val="16"/>
          <w:szCs w:val="16"/>
        </w:rPr>
        <w:tab/>
        <w:t xml:space="preserve">(a) </w:t>
      </w:r>
      <w:r w:rsidRPr="00AF5C22">
        <w:rPr>
          <w:rFonts w:ascii="Arial" w:hAnsi="Arial" w:cs="Arial"/>
          <w:b w:val="0"/>
          <w:sz w:val="16"/>
          <w:szCs w:val="16"/>
        </w:rPr>
        <w:tab/>
        <w:t>Foreign-produced TV drama</w:t>
      </w:r>
      <w:r w:rsidRPr="00AF5C22">
        <w:rPr>
          <w:rFonts w:ascii="Arial" w:hAnsi="Arial" w:cs="Arial"/>
          <w:b w:val="0"/>
          <w:sz w:val="16"/>
          <w:szCs w:val="16"/>
        </w:rPr>
        <w:tab/>
      </w:r>
      <w:r w:rsidRPr="00AF5C22">
        <w:rPr>
          <w:rFonts w:ascii="Arial" w:hAnsi="Arial" w:cs="Arial"/>
          <w:b w:val="0"/>
          <w:sz w:val="16"/>
          <w:szCs w:val="16"/>
        </w:rPr>
        <w:tab/>
        <w:t>Rs.100,000 per episode</w:t>
      </w:r>
    </w:p>
    <w:p w:rsidR="00BF2117" w:rsidRPr="00AF5C22" w:rsidRDefault="00BF2117" w:rsidP="00AF5C22">
      <w:pPr>
        <w:pStyle w:val="C"/>
        <w:widowControl/>
        <w:spacing w:before="0" w:after="0"/>
        <w:jc w:val="both"/>
        <w:rPr>
          <w:rFonts w:ascii="Arial" w:hAnsi="Arial" w:cs="Arial"/>
          <w:b w:val="0"/>
          <w:bCs/>
          <w:sz w:val="16"/>
          <w:szCs w:val="16"/>
        </w:rPr>
      </w:pPr>
      <w:r w:rsidRPr="00AF5C22">
        <w:rPr>
          <w:b w:val="0"/>
          <w:sz w:val="16"/>
          <w:szCs w:val="16"/>
        </w:rPr>
        <w:tab/>
      </w:r>
      <w:r w:rsidRPr="00AF5C22">
        <w:rPr>
          <w:b w:val="0"/>
          <w:sz w:val="16"/>
          <w:szCs w:val="16"/>
        </w:rPr>
        <w:tab/>
      </w:r>
      <w:r w:rsidRPr="00AF5C22">
        <w:rPr>
          <w:b w:val="0"/>
          <w:sz w:val="16"/>
          <w:szCs w:val="16"/>
        </w:rPr>
        <w:tab/>
      </w:r>
      <w:r w:rsidRPr="00AF5C22">
        <w:rPr>
          <w:rFonts w:ascii="Arial" w:hAnsi="Arial" w:cs="Arial"/>
          <w:b w:val="0"/>
          <w:sz w:val="16"/>
          <w:szCs w:val="16"/>
        </w:rPr>
        <w:t>Serial</w:t>
      </w:r>
    </w:p>
    <w:p w:rsidR="00BF2117" w:rsidRPr="00AF5C22" w:rsidRDefault="00BF2117" w:rsidP="00AF5C22">
      <w:pPr>
        <w:pStyle w:val="C"/>
        <w:widowControl/>
        <w:spacing w:before="0" w:after="0"/>
        <w:jc w:val="both"/>
        <w:rPr>
          <w:rFonts w:ascii="Arial" w:hAnsi="Arial" w:cs="Arial"/>
          <w:b w:val="0"/>
          <w:bCs/>
          <w:sz w:val="16"/>
          <w:szCs w:val="16"/>
        </w:rPr>
      </w:pPr>
      <w:r w:rsidRPr="00AF5C22">
        <w:rPr>
          <w:rFonts w:ascii="Arial" w:hAnsi="Arial" w:cs="Arial"/>
          <w:b w:val="0"/>
          <w:sz w:val="16"/>
          <w:szCs w:val="16"/>
        </w:rPr>
        <w:tab/>
      </w:r>
      <w:r w:rsidRPr="00AF5C22">
        <w:rPr>
          <w:rFonts w:ascii="Arial" w:hAnsi="Arial" w:cs="Arial"/>
          <w:b w:val="0"/>
          <w:sz w:val="16"/>
          <w:szCs w:val="16"/>
        </w:rPr>
        <w:tab/>
        <w:t xml:space="preserve">(b) </w:t>
      </w:r>
      <w:r w:rsidRPr="00AF5C22">
        <w:rPr>
          <w:rFonts w:ascii="Arial" w:hAnsi="Arial" w:cs="Arial"/>
          <w:b w:val="0"/>
          <w:sz w:val="16"/>
          <w:szCs w:val="16"/>
        </w:rPr>
        <w:tab/>
        <w:t>Foreign-produced TV play</w:t>
      </w:r>
      <w:r w:rsidRPr="00AF5C22">
        <w:rPr>
          <w:rFonts w:ascii="Arial" w:hAnsi="Arial" w:cs="Arial"/>
          <w:b w:val="0"/>
          <w:sz w:val="16"/>
          <w:szCs w:val="16"/>
        </w:rPr>
        <w:tab/>
      </w:r>
      <w:r w:rsidRPr="00AF5C22">
        <w:rPr>
          <w:rFonts w:ascii="Arial" w:hAnsi="Arial" w:cs="Arial"/>
          <w:b w:val="0"/>
          <w:sz w:val="16"/>
          <w:szCs w:val="16"/>
        </w:rPr>
        <w:tab/>
        <w:t>Rs. 100,000]</w:t>
      </w:r>
    </w:p>
    <w:p w:rsidR="00BF2117" w:rsidRPr="00AF5C22" w:rsidRDefault="00BF2117" w:rsidP="00AF5C22">
      <w:pPr>
        <w:pStyle w:val="C"/>
        <w:widowControl/>
        <w:spacing w:before="0" w:after="0"/>
        <w:jc w:val="both"/>
        <w:rPr>
          <w:rFonts w:ascii="Arial" w:hAnsi="Arial" w:cs="Arial"/>
          <w:b w:val="0"/>
          <w:bCs/>
          <w:sz w:val="16"/>
          <w:szCs w:val="16"/>
        </w:rPr>
      </w:pPr>
      <w:r w:rsidRPr="00AF5C22">
        <w:rPr>
          <w:rFonts w:ascii="Arial" w:hAnsi="Arial" w:cs="Arial"/>
          <w:b w:val="0"/>
          <w:sz w:val="16"/>
          <w:szCs w:val="16"/>
        </w:rPr>
        <w:tab/>
      </w:r>
      <w:r w:rsidRPr="00AF5C22">
        <w:rPr>
          <w:rFonts w:ascii="Arial" w:hAnsi="Arial" w:cs="Arial"/>
          <w:b w:val="0"/>
          <w:sz w:val="16"/>
          <w:szCs w:val="16"/>
        </w:rPr>
        <w:tab/>
      </w:r>
      <w:r w:rsidRPr="00AF5C22">
        <w:rPr>
          <w:rFonts w:ascii="Arial" w:hAnsi="Arial" w:cs="Arial"/>
          <w:b w:val="0"/>
          <w:sz w:val="16"/>
          <w:szCs w:val="16"/>
        </w:rPr>
        <w:tab/>
        <w:t>(single episode)</w:t>
      </w:r>
    </w:p>
    <w:p w:rsidR="00BF2117" w:rsidRPr="00AF5C22" w:rsidRDefault="00BF2117">
      <w:pPr>
        <w:pStyle w:val="FootnoteText"/>
        <w:rPr>
          <w:color w:val="FF0000"/>
          <w:sz w:val="16"/>
          <w:szCs w:val="16"/>
          <w:lang w:val="en-US"/>
        </w:rPr>
      </w:pPr>
    </w:p>
  </w:footnote>
  <w:footnote w:id="1715">
    <w:p w:rsidR="00BF2117" w:rsidRPr="002B24BE" w:rsidRDefault="00BF2117" w:rsidP="00AA4BF8">
      <w:pPr>
        <w:pStyle w:val="FootnoteText"/>
        <w:rPr>
          <w:sz w:val="16"/>
          <w:szCs w:val="16"/>
        </w:rPr>
      </w:pPr>
      <w:r w:rsidRPr="002B24BE">
        <w:rPr>
          <w:rStyle w:val="FootnoteReference"/>
          <w:rFonts w:cs="Arial"/>
          <w:sz w:val="16"/>
          <w:szCs w:val="16"/>
        </w:rPr>
        <w:footnoteRef/>
      </w:r>
      <w:r w:rsidRPr="002B24BE">
        <w:rPr>
          <w:sz w:val="16"/>
          <w:szCs w:val="16"/>
        </w:rPr>
        <w:t xml:space="preserve"> Added by the Finance Act, 2013.</w:t>
      </w:r>
    </w:p>
  </w:footnote>
  <w:footnote w:id="1716">
    <w:p w:rsidR="00BF2117" w:rsidRPr="0009763F" w:rsidRDefault="00BF2117">
      <w:pPr>
        <w:pStyle w:val="FootnoteText"/>
        <w:rPr>
          <w:color w:val="0070C0"/>
          <w:sz w:val="16"/>
          <w:szCs w:val="16"/>
          <w:lang w:val="en-US"/>
        </w:rPr>
      </w:pPr>
      <w:r w:rsidRPr="0009763F">
        <w:rPr>
          <w:rStyle w:val="FootnoteReference"/>
          <w:color w:val="0070C0"/>
          <w:sz w:val="16"/>
          <w:szCs w:val="16"/>
        </w:rPr>
        <w:footnoteRef/>
      </w:r>
      <w:r w:rsidRPr="0009763F">
        <w:rPr>
          <w:color w:val="0070C0"/>
          <w:sz w:val="16"/>
          <w:szCs w:val="16"/>
        </w:rPr>
        <w:t xml:space="preserve"> Figure “30,000” substituted by the Finance Act, 2016.</w:t>
      </w:r>
    </w:p>
  </w:footnote>
  <w:footnote w:id="1717">
    <w:p w:rsidR="00BF2117" w:rsidRPr="00EE5AC5" w:rsidRDefault="00BF2117" w:rsidP="00EE5AC5">
      <w:pPr>
        <w:pStyle w:val="FootnoteText"/>
        <w:rPr>
          <w:color w:val="FF0000"/>
          <w:sz w:val="16"/>
          <w:szCs w:val="16"/>
          <w:lang w:val="en-US"/>
        </w:rPr>
      </w:pPr>
      <w:r w:rsidRPr="0009763F">
        <w:rPr>
          <w:rStyle w:val="FootnoteReference"/>
          <w:color w:val="0070C0"/>
          <w:sz w:val="16"/>
          <w:szCs w:val="16"/>
        </w:rPr>
        <w:footnoteRef/>
      </w:r>
      <w:r w:rsidRPr="0009763F">
        <w:rPr>
          <w:color w:val="0070C0"/>
          <w:sz w:val="16"/>
          <w:szCs w:val="16"/>
        </w:rPr>
        <w:t xml:space="preserve"> Figure “50,000” substituted by the Finance Act, 2016.</w:t>
      </w:r>
    </w:p>
  </w:footnote>
  <w:footnote w:id="1718">
    <w:p w:rsidR="00BF2117" w:rsidRPr="00D47C20" w:rsidRDefault="00BF2117" w:rsidP="00EE5AC5">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Figure “60,000” substituted by the Finance Act, 2016.</w:t>
      </w:r>
    </w:p>
  </w:footnote>
  <w:footnote w:id="1719">
    <w:p w:rsidR="00BF2117" w:rsidRPr="00556302" w:rsidRDefault="00BF2117">
      <w:pPr>
        <w:pStyle w:val="FootnoteText"/>
        <w:rPr>
          <w:color w:val="FF0000"/>
          <w:sz w:val="16"/>
          <w:szCs w:val="16"/>
          <w:lang w:val="en-US"/>
        </w:rPr>
      </w:pPr>
      <w:r w:rsidRPr="00D47C20">
        <w:rPr>
          <w:rStyle w:val="FootnoteReference"/>
          <w:color w:val="0070C0"/>
          <w:sz w:val="16"/>
          <w:szCs w:val="16"/>
        </w:rPr>
        <w:footnoteRef/>
      </w:r>
      <w:r w:rsidRPr="00D47C20">
        <w:rPr>
          <w:color w:val="0070C0"/>
          <w:sz w:val="16"/>
          <w:szCs w:val="16"/>
        </w:rPr>
        <w:t xml:space="preserve"> Inserted by the Finance Act, 2016.</w:t>
      </w:r>
    </w:p>
  </w:footnote>
  <w:footnote w:id="1720">
    <w:p w:rsidR="00BF2117" w:rsidRPr="00DD1A3B" w:rsidRDefault="00BF2117" w:rsidP="00AA4BF8">
      <w:pPr>
        <w:pStyle w:val="FootnoteText"/>
        <w:rPr>
          <w:color w:val="000000" w:themeColor="text1"/>
          <w:sz w:val="16"/>
          <w:szCs w:val="16"/>
        </w:rPr>
      </w:pPr>
      <w:r w:rsidRPr="00DD1A3B">
        <w:rPr>
          <w:rStyle w:val="FootnoteReference"/>
          <w:color w:val="000000" w:themeColor="text1"/>
          <w:sz w:val="16"/>
          <w:szCs w:val="16"/>
        </w:rPr>
        <w:footnoteRef/>
      </w:r>
      <w:r w:rsidRPr="00DD1A3B">
        <w:rPr>
          <w:color w:val="000000" w:themeColor="text1"/>
          <w:sz w:val="16"/>
          <w:szCs w:val="16"/>
        </w:rPr>
        <w:t>Division XIV substituted by the Finance act 2014. The substituted Division XIV read as follows:</w:t>
      </w:r>
    </w:p>
    <w:p w:rsidR="00BF2117" w:rsidRPr="00DD1A3B" w:rsidRDefault="00BF2117" w:rsidP="00A52491">
      <w:pPr>
        <w:pStyle w:val="C"/>
        <w:widowControl/>
        <w:spacing w:before="0" w:after="0"/>
        <w:rPr>
          <w:rFonts w:ascii="Arial" w:hAnsi="Arial" w:cs="Arial"/>
          <w:color w:val="000000" w:themeColor="text1"/>
          <w:sz w:val="16"/>
          <w:szCs w:val="16"/>
        </w:rPr>
      </w:pPr>
      <w:r w:rsidRPr="00DD1A3B">
        <w:rPr>
          <w:rFonts w:ascii="Arial" w:hAnsi="Arial" w:cs="Arial"/>
          <w:color w:val="000000" w:themeColor="text1"/>
          <w:sz w:val="16"/>
          <w:szCs w:val="16"/>
        </w:rPr>
        <w:t>“Division XIV</w:t>
      </w:r>
    </w:p>
    <w:p w:rsidR="00BF2117" w:rsidRPr="00DD1A3B" w:rsidRDefault="00BF2117" w:rsidP="00A52491">
      <w:pPr>
        <w:pStyle w:val="C"/>
        <w:widowControl/>
        <w:spacing w:before="0" w:after="0"/>
        <w:rPr>
          <w:rFonts w:ascii="Arial" w:hAnsi="Arial" w:cs="Arial"/>
          <w:color w:val="000000" w:themeColor="text1"/>
          <w:sz w:val="16"/>
          <w:szCs w:val="16"/>
        </w:rPr>
      </w:pPr>
      <w:r w:rsidRPr="00DD1A3B">
        <w:rPr>
          <w:rFonts w:ascii="Arial" w:hAnsi="Arial" w:cs="Arial"/>
          <w:color w:val="000000" w:themeColor="text1"/>
          <w:sz w:val="16"/>
          <w:szCs w:val="16"/>
        </w:rPr>
        <w:t xml:space="preserve">Advance tax on sale to distributors, dealers or wholesalers </w:t>
      </w:r>
    </w:p>
    <w:p w:rsidR="00BF2117" w:rsidRPr="00DD1A3B" w:rsidRDefault="00BF2117" w:rsidP="00A52491">
      <w:pPr>
        <w:pStyle w:val="C"/>
        <w:widowControl/>
        <w:spacing w:before="0" w:after="0"/>
        <w:rPr>
          <w:rFonts w:ascii="Arial" w:hAnsi="Arial" w:cs="Arial"/>
          <w:color w:val="000000" w:themeColor="text1"/>
          <w:sz w:val="16"/>
          <w:szCs w:val="16"/>
        </w:rPr>
      </w:pPr>
    </w:p>
    <w:p w:rsidR="00BF2117" w:rsidRPr="00DD1A3B" w:rsidRDefault="00BF2117" w:rsidP="00A52491">
      <w:pPr>
        <w:pStyle w:val="C"/>
        <w:widowControl/>
        <w:spacing w:before="0" w:after="0"/>
        <w:jc w:val="both"/>
        <w:rPr>
          <w:rFonts w:ascii="Arial" w:hAnsi="Arial" w:cs="Arial"/>
          <w:b w:val="0"/>
          <w:color w:val="000000" w:themeColor="text1"/>
          <w:sz w:val="16"/>
          <w:szCs w:val="16"/>
        </w:rPr>
      </w:pPr>
      <w:r w:rsidRPr="00DD1A3B">
        <w:rPr>
          <w:rFonts w:ascii="Arial" w:hAnsi="Arial" w:cs="Arial"/>
          <w:color w:val="000000" w:themeColor="text1"/>
          <w:sz w:val="16"/>
          <w:szCs w:val="16"/>
        </w:rPr>
        <w:tab/>
      </w:r>
      <w:r w:rsidRPr="00DD1A3B">
        <w:rPr>
          <w:rFonts w:ascii="Arial" w:hAnsi="Arial" w:cs="Arial"/>
          <w:b w:val="0"/>
          <w:color w:val="000000" w:themeColor="text1"/>
          <w:sz w:val="16"/>
          <w:szCs w:val="16"/>
        </w:rPr>
        <w:t>The rate of collection of tax under section 236G shall be 0.1% of the gross amount of sales.”</w:t>
      </w:r>
    </w:p>
    <w:p w:rsidR="00BF2117" w:rsidRPr="00ED18F6" w:rsidRDefault="00BF2117" w:rsidP="00AA4BF8">
      <w:pPr>
        <w:pStyle w:val="FootnoteText"/>
        <w:rPr>
          <w:color w:val="00B0F0"/>
          <w:sz w:val="16"/>
          <w:szCs w:val="16"/>
          <w:lang w:val="en-US"/>
        </w:rPr>
      </w:pPr>
    </w:p>
  </w:footnote>
  <w:footnote w:id="1721">
    <w:p w:rsidR="00BF2117" w:rsidRPr="005C02E4" w:rsidRDefault="00BF2117">
      <w:pPr>
        <w:pStyle w:val="FootnoteText"/>
        <w:rPr>
          <w:sz w:val="16"/>
          <w:szCs w:val="16"/>
          <w:lang w:val="en-US"/>
        </w:rPr>
      </w:pPr>
      <w:r w:rsidRPr="005C02E4">
        <w:rPr>
          <w:rStyle w:val="FootnoteReference"/>
          <w:sz w:val="16"/>
          <w:szCs w:val="16"/>
        </w:rPr>
        <w:footnoteRef/>
      </w:r>
      <w:r>
        <w:rPr>
          <w:sz w:val="16"/>
          <w:szCs w:val="16"/>
        </w:rPr>
        <w:t>The figure “0.2” substituted by the Finance Act, 2015.</w:t>
      </w:r>
    </w:p>
  </w:footnote>
  <w:footnote w:id="1722">
    <w:p w:rsidR="00BF2117" w:rsidRPr="005C02E4" w:rsidRDefault="00BF2117">
      <w:pPr>
        <w:pStyle w:val="FootnoteText"/>
        <w:rPr>
          <w:sz w:val="16"/>
          <w:szCs w:val="16"/>
          <w:lang w:val="en-US"/>
        </w:rPr>
      </w:pPr>
      <w:r w:rsidRPr="005C02E4">
        <w:rPr>
          <w:rStyle w:val="FootnoteReference"/>
          <w:sz w:val="16"/>
          <w:szCs w:val="16"/>
        </w:rPr>
        <w:footnoteRef/>
      </w:r>
      <w:r>
        <w:rPr>
          <w:sz w:val="16"/>
          <w:szCs w:val="16"/>
        </w:rPr>
        <w:t>The figure “0.4” substituted by the Finance Act, 2015</w:t>
      </w:r>
    </w:p>
  </w:footnote>
  <w:footnote w:id="1723">
    <w:p w:rsidR="00BF2117" w:rsidRPr="00ED18F6" w:rsidRDefault="00BF2117" w:rsidP="00AA4BF8">
      <w:pPr>
        <w:pStyle w:val="FootnoteText"/>
        <w:rPr>
          <w:sz w:val="16"/>
          <w:szCs w:val="16"/>
        </w:rPr>
      </w:pPr>
      <w:r w:rsidRPr="005C02E4">
        <w:rPr>
          <w:rStyle w:val="FootnoteReference"/>
          <w:rFonts w:cs="Arial"/>
          <w:sz w:val="16"/>
          <w:szCs w:val="16"/>
        </w:rPr>
        <w:footnoteRef/>
      </w:r>
      <w:r w:rsidRPr="005C02E4">
        <w:rPr>
          <w:sz w:val="16"/>
          <w:szCs w:val="16"/>
        </w:rPr>
        <w:t xml:space="preserve"> Added</w:t>
      </w:r>
      <w:r w:rsidRPr="00ED18F6">
        <w:rPr>
          <w:sz w:val="16"/>
          <w:szCs w:val="16"/>
        </w:rPr>
        <w:t xml:space="preserve"> by the Finance Act, 2013.</w:t>
      </w:r>
    </w:p>
  </w:footnote>
  <w:footnote w:id="1724">
    <w:p w:rsidR="00BF2117" w:rsidRPr="00ED18F6" w:rsidRDefault="00BF2117" w:rsidP="00AA4BF8">
      <w:pPr>
        <w:pStyle w:val="FootnoteText"/>
        <w:rPr>
          <w:sz w:val="16"/>
          <w:szCs w:val="16"/>
        </w:rPr>
      </w:pPr>
      <w:r w:rsidRPr="00ED18F6">
        <w:rPr>
          <w:rStyle w:val="FootnoteReference"/>
          <w:rFonts w:cs="Arial"/>
          <w:sz w:val="16"/>
          <w:szCs w:val="16"/>
        </w:rPr>
        <w:footnoteRef/>
      </w:r>
      <w:r w:rsidRPr="00ED18F6">
        <w:rPr>
          <w:sz w:val="16"/>
          <w:szCs w:val="16"/>
        </w:rPr>
        <w:t xml:space="preserve"> Added by the Finance Act, 2013.</w:t>
      </w:r>
    </w:p>
  </w:footnote>
  <w:footnote w:id="1725">
    <w:p w:rsidR="00BF2117" w:rsidRPr="00ED18F6" w:rsidRDefault="00BF2117" w:rsidP="00AA4BF8">
      <w:pPr>
        <w:pStyle w:val="FootnoteText"/>
        <w:rPr>
          <w:sz w:val="16"/>
          <w:szCs w:val="16"/>
          <w:lang w:val="en-US"/>
        </w:rPr>
      </w:pPr>
      <w:r w:rsidRPr="00ED18F6">
        <w:rPr>
          <w:rStyle w:val="FootnoteReference"/>
          <w:sz w:val="16"/>
          <w:szCs w:val="16"/>
        </w:rPr>
        <w:footnoteRef/>
      </w:r>
      <w:r w:rsidRPr="00ED18F6">
        <w:rPr>
          <w:sz w:val="16"/>
          <w:szCs w:val="16"/>
        </w:rPr>
        <w:t xml:space="preserve"> Added by the Finance Act, 2013.</w:t>
      </w:r>
    </w:p>
  </w:footnote>
  <w:footnote w:id="1726">
    <w:p w:rsidR="00BF2117" w:rsidRPr="00DD1A3B" w:rsidRDefault="00BF2117" w:rsidP="00AA4BF8">
      <w:pPr>
        <w:pStyle w:val="FootnoteText"/>
        <w:rPr>
          <w:color w:val="000000" w:themeColor="text1"/>
          <w:lang w:val="en-US"/>
        </w:rPr>
      </w:pPr>
      <w:r w:rsidRPr="00DD1A3B">
        <w:rPr>
          <w:rStyle w:val="FootnoteReference"/>
          <w:color w:val="000000" w:themeColor="text1"/>
          <w:sz w:val="16"/>
          <w:szCs w:val="16"/>
        </w:rPr>
        <w:footnoteRef/>
      </w:r>
      <w:r w:rsidRPr="00DD1A3B">
        <w:rPr>
          <w:color w:val="000000" w:themeColor="text1"/>
          <w:sz w:val="16"/>
          <w:szCs w:val="16"/>
        </w:rPr>
        <w:t xml:space="preserve"> Division XVIII, XIX and XX added by the Finance Act, 2014.</w:t>
      </w:r>
    </w:p>
  </w:footnote>
  <w:footnote w:id="1727">
    <w:p w:rsidR="00BF2117" w:rsidRPr="0011745B" w:rsidRDefault="00BF2117" w:rsidP="0011745B">
      <w:pPr>
        <w:pStyle w:val="FootnoteText"/>
        <w:ind w:left="180" w:hanging="180"/>
        <w:rPr>
          <w:color w:val="FF0000"/>
          <w:lang w:val="en-US"/>
        </w:rPr>
      </w:pPr>
      <w:r w:rsidRPr="0011745B">
        <w:rPr>
          <w:rStyle w:val="FootnoteReference"/>
          <w:color w:val="FF0000"/>
        </w:rPr>
        <w:footnoteRef/>
      </w:r>
      <w:r w:rsidRPr="0011745B">
        <w:rPr>
          <w:color w:val="FF0000"/>
        </w:rPr>
        <w:t xml:space="preserve"> </w:t>
      </w:r>
      <w:r w:rsidRPr="0011745B">
        <w:rPr>
          <w:color w:val="FF0000"/>
          <w:sz w:val="16"/>
          <w:szCs w:val="16"/>
        </w:rPr>
        <w:t>The figure and word</w:t>
      </w:r>
      <w:r>
        <w:rPr>
          <w:color w:val="FF0000"/>
        </w:rPr>
        <w:t xml:space="preserve"> </w:t>
      </w:r>
      <w:r w:rsidRPr="0011745B">
        <w:rPr>
          <w:color w:val="FF0000"/>
          <w:sz w:val="16"/>
          <w:szCs w:val="16"/>
        </w:rPr>
        <w:t>“3 million”</w:t>
      </w:r>
      <w:r>
        <w:rPr>
          <w:color w:val="FF0000"/>
        </w:rPr>
        <w:t xml:space="preserve"> </w:t>
      </w:r>
      <w:r>
        <w:rPr>
          <w:color w:val="FF0000"/>
          <w:sz w:val="16"/>
          <w:szCs w:val="16"/>
        </w:rPr>
        <w:t xml:space="preserve">substituted by the </w:t>
      </w:r>
      <w:r w:rsidRPr="00D41075">
        <w:rPr>
          <w:color w:val="FF0000"/>
          <w:sz w:val="16"/>
          <w:szCs w:val="16"/>
        </w:rPr>
        <w:t>Presidential Order No.F.2(1)/2016-Pub dated 31.07.2016</w:t>
      </w:r>
      <w:r>
        <w:rPr>
          <w:color w:val="FF0000"/>
          <w:sz w:val="16"/>
          <w:szCs w:val="16"/>
        </w:rPr>
        <w:t>.</w:t>
      </w:r>
    </w:p>
  </w:footnote>
  <w:footnote w:id="1728">
    <w:p w:rsidR="00BF2117" w:rsidRPr="0011745B" w:rsidRDefault="00BF2117" w:rsidP="0011745B">
      <w:pPr>
        <w:pStyle w:val="FootnoteText"/>
        <w:ind w:left="180" w:hanging="180"/>
        <w:rPr>
          <w:color w:val="FF0000"/>
          <w:lang w:val="en-US"/>
        </w:rPr>
      </w:pPr>
      <w:r w:rsidRPr="0011745B">
        <w:rPr>
          <w:rStyle w:val="FootnoteReference"/>
          <w:color w:val="FF0000"/>
        </w:rPr>
        <w:footnoteRef/>
      </w:r>
      <w:r w:rsidRPr="0011745B">
        <w:rPr>
          <w:color w:val="FF0000"/>
        </w:rPr>
        <w:t xml:space="preserve"> </w:t>
      </w:r>
      <w:r w:rsidRPr="0011745B">
        <w:rPr>
          <w:color w:val="FF0000"/>
          <w:sz w:val="16"/>
          <w:szCs w:val="16"/>
        </w:rPr>
        <w:t>The figure and word</w:t>
      </w:r>
      <w:r>
        <w:rPr>
          <w:color w:val="FF0000"/>
        </w:rPr>
        <w:t xml:space="preserve"> </w:t>
      </w:r>
      <w:r w:rsidRPr="0011745B">
        <w:rPr>
          <w:color w:val="FF0000"/>
          <w:sz w:val="16"/>
          <w:szCs w:val="16"/>
        </w:rPr>
        <w:t>“3 million”</w:t>
      </w:r>
      <w:r>
        <w:rPr>
          <w:color w:val="FF0000"/>
        </w:rPr>
        <w:t xml:space="preserve"> </w:t>
      </w:r>
      <w:r>
        <w:rPr>
          <w:color w:val="FF0000"/>
          <w:sz w:val="16"/>
          <w:szCs w:val="16"/>
        </w:rPr>
        <w:t xml:space="preserve">substituted by the </w:t>
      </w:r>
      <w:r w:rsidRPr="00D41075">
        <w:rPr>
          <w:color w:val="FF0000"/>
          <w:sz w:val="16"/>
          <w:szCs w:val="16"/>
        </w:rPr>
        <w:t>Presidential Order No.F.2(1)/2016-Pub dated 31.07.2016</w:t>
      </w:r>
      <w:r>
        <w:rPr>
          <w:color w:val="FF0000"/>
          <w:sz w:val="16"/>
          <w:szCs w:val="16"/>
        </w:rPr>
        <w:t>.</w:t>
      </w:r>
    </w:p>
  </w:footnote>
  <w:footnote w:id="1729">
    <w:p w:rsidR="00BF2117" w:rsidRPr="00D47C20" w:rsidRDefault="00BF2117" w:rsidP="003E0514">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Figure “1” substituted by the Finance Act, 2016.</w:t>
      </w:r>
    </w:p>
  </w:footnote>
  <w:footnote w:id="1730">
    <w:p w:rsidR="00BF2117" w:rsidRPr="00D47C20" w:rsidRDefault="00BF2117" w:rsidP="003E0514">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Figure “2” substituted by the Finance Act, 2016.</w:t>
      </w:r>
    </w:p>
  </w:footnote>
  <w:footnote w:id="1731">
    <w:p w:rsidR="00BF2117" w:rsidRPr="00D550A0" w:rsidRDefault="00BF2117" w:rsidP="00033E7E">
      <w:pPr>
        <w:autoSpaceDE w:val="0"/>
        <w:autoSpaceDN w:val="0"/>
        <w:adjustRightInd w:val="0"/>
        <w:ind w:left="547" w:hanging="547"/>
        <w:jc w:val="both"/>
        <w:rPr>
          <w:color w:val="000000" w:themeColor="text1"/>
          <w:sz w:val="16"/>
          <w:szCs w:val="16"/>
        </w:rPr>
      </w:pPr>
      <w:r w:rsidRPr="00D550A0">
        <w:rPr>
          <w:rStyle w:val="FootnoteReference"/>
          <w:color w:val="000000" w:themeColor="text1"/>
          <w:sz w:val="18"/>
          <w:szCs w:val="18"/>
        </w:rPr>
        <w:footnoteRef/>
      </w:r>
      <w:r w:rsidRPr="00D550A0">
        <w:rPr>
          <w:color w:val="000000" w:themeColor="text1"/>
          <w:sz w:val="18"/>
          <w:szCs w:val="18"/>
        </w:rPr>
        <w:t xml:space="preserve"> </w:t>
      </w:r>
      <w:r w:rsidRPr="00D550A0">
        <w:rPr>
          <w:color w:val="000000" w:themeColor="text1"/>
          <w:sz w:val="16"/>
          <w:szCs w:val="16"/>
        </w:rPr>
        <w:t>Inserted by the S.R.O.30 (I)/2015 dated 14.01.2015.</w:t>
      </w:r>
    </w:p>
    <w:p w:rsidR="00BF2117" w:rsidRPr="00D550A0" w:rsidRDefault="00BF2117" w:rsidP="00033E7E">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*Notification</w:t>
      </w:r>
    </w:p>
    <w:p w:rsidR="00BF2117" w:rsidRPr="00D550A0" w:rsidRDefault="00BF2117" w:rsidP="00033E7E">
      <w:pPr>
        <w:pStyle w:val="FootnoteText"/>
        <w:ind w:left="270" w:firstLine="270"/>
        <w:jc w:val="both"/>
        <w:rPr>
          <w:color w:val="000000" w:themeColor="text1"/>
          <w:lang w:val="en-US"/>
        </w:rPr>
      </w:pPr>
      <w:r w:rsidRPr="00D550A0">
        <w:rPr>
          <w:color w:val="000000" w:themeColor="text1"/>
          <w:sz w:val="16"/>
          <w:szCs w:val="16"/>
        </w:rPr>
        <w:t>In exercise of the powers conferred under proviso to Division XVIII of Part IV of the First Schedule to the Income Tax Ordinance, 2001, Federal Board of Revenue is pleased to appoint 19</w:t>
      </w:r>
      <w:r w:rsidRPr="00D550A0">
        <w:rPr>
          <w:color w:val="000000" w:themeColor="text1"/>
          <w:sz w:val="16"/>
          <w:szCs w:val="16"/>
          <w:vertAlign w:val="superscript"/>
        </w:rPr>
        <w:t>th</w:t>
      </w:r>
      <w:r w:rsidRPr="00D550A0">
        <w:rPr>
          <w:color w:val="000000" w:themeColor="text1"/>
          <w:sz w:val="16"/>
          <w:szCs w:val="16"/>
        </w:rPr>
        <w:t xml:space="preserve"> day of January, 2015 as the date, for 2 per cent rate of tax to be collected from Non-filers at the time of registering or attesting transfer of immovable property, u/s 236K of the Income Tax Ordinance, 2001, subject to the condition that the value of the immovable property is more than three million rupees.”]</w:t>
      </w:r>
    </w:p>
  </w:footnote>
  <w:footnote w:id="1732">
    <w:p w:rsidR="00BF2117" w:rsidRPr="0004493F" w:rsidRDefault="00BF2117">
      <w:pPr>
        <w:pStyle w:val="FootnoteText"/>
        <w:rPr>
          <w:lang w:val="en-US"/>
        </w:rPr>
      </w:pPr>
      <w:r w:rsidRPr="0004493F">
        <w:rPr>
          <w:rStyle w:val="FootnoteReference"/>
          <w:sz w:val="16"/>
          <w:szCs w:val="16"/>
        </w:rPr>
        <w:footnoteRef/>
      </w:r>
      <w:r w:rsidRPr="0004493F">
        <w:rPr>
          <w:sz w:val="16"/>
          <w:szCs w:val="16"/>
          <w:lang w:val="en-US"/>
        </w:rPr>
        <w:t>The figure “100,000” substituted by the Finance Act, 2015</w:t>
      </w:r>
      <w:r>
        <w:rPr>
          <w:lang w:val="en-US"/>
        </w:rPr>
        <w:t>.</w:t>
      </w:r>
    </w:p>
  </w:footnote>
  <w:footnote w:id="1733">
    <w:p w:rsidR="00BF2117" w:rsidRPr="00D47C20" w:rsidRDefault="00BF2117" w:rsidP="007B075D">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Figure “100,000” substituted by the Finance Act, 2016.</w:t>
      </w:r>
    </w:p>
  </w:footnote>
  <w:footnote w:id="1734">
    <w:p w:rsidR="00BF2117" w:rsidRPr="0004493F" w:rsidRDefault="00BF2117">
      <w:pPr>
        <w:pStyle w:val="FootnoteText"/>
        <w:rPr>
          <w:sz w:val="16"/>
          <w:szCs w:val="16"/>
          <w:lang w:val="en-US"/>
        </w:rPr>
      </w:pPr>
      <w:r w:rsidRPr="0004493F">
        <w:rPr>
          <w:rStyle w:val="FootnoteReference"/>
          <w:sz w:val="16"/>
          <w:szCs w:val="16"/>
        </w:rPr>
        <w:footnoteRef/>
      </w:r>
      <w:r>
        <w:rPr>
          <w:sz w:val="16"/>
          <w:szCs w:val="16"/>
        </w:rPr>
        <w:t>Table substituted by the Finance Act, 2015. The substituted Table read as follows:-</w:t>
      </w:r>
    </w:p>
    <w:tbl>
      <w:tblPr>
        <w:tblStyle w:val="TableGrid"/>
        <w:tblW w:w="0" w:type="auto"/>
        <w:tblInd w:w="468" w:type="dxa"/>
        <w:tblLook w:val="04A0"/>
      </w:tblPr>
      <w:tblGrid>
        <w:gridCol w:w="900"/>
        <w:gridCol w:w="2970"/>
        <w:gridCol w:w="1710"/>
      </w:tblGrid>
      <w:tr w:rsidR="00BF2117" w:rsidRPr="0004493F" w:rsidTr="0004493F">
        <w:tc>
          <w:tcPr>
            <w:tcW w:w="900" w:type="dxa"/>
            <w:vAlign w:val="center"/>
          </w:tcPr>
          <w:p w:rsidR="00BF2117" w:rsidRPr="0004493F" w:rsidRDefault="00BF2117" w:rsidP="00303B88">
            <w:pPr>
              <w:pStyle w:val="C"/>
              <w:widowControl/>
              <w:spacing w:before="0" w:after="0"/>
              <w:rPr>
                <w:rFonts w:ascii="Arial" w:hAnsi="Arial" w:cs="Arial"/>
                <w:b w:val="0"/>
                <w:bCs/>
                <w:sz w:val="16"/>
                <w:szCs w:val="16"/>
              </w:rPr>
            </w:pPr>
            <w:r>
              <w:rPr>
                <w:rFonts w:ascii="Arial" w:hAnsi="Arial" w:cs="Arial"/>
                <w:b w:val="0"/>
                <w:sz w:val="16"/>
                <w:szCs w:val="16"/>
              </w:rPr>
              <w:t>“</w:t>
            </w:r>
            <w:r w:rsidRPr="0004493F">
              <w:rPr>
                <w:rFonts w:ascii="Arial" w:hAnsi="Arial" w:cs="Arial"/>
                <w:b w:val="0"/>
                <w:sz w:val="16"/>
                <w:szCs w:val="16"/>
              </w:rPr>
              <w:t>S. No.</w:t>
            </w:r>
          </w:p>
        </w:tc>
        <w:tc>
          <w:tcPr>
            <w:tcW w:w="2970" w:type="dxa"/>
            <w:vAlign w:val="center"/>
          </w:tcPr>
          <w:p w:rsidR="00BF2117" w:rsidRPr="0004493F" w:rsidRDefault="00BF2117" w:rsidP="00303B88">
            <w:pPr>
              <w:pStyle w:val="C"/>
              <w:widowControl/>
              <w:spacing w:before="0" w:after="0"/>
              <w:rPr>
                <w:rFonts w:ascii="Arial" w:hAnsi="Arial" w:cs="Arial"/>
                <w:b w:val="0"/>
                <w:bCs/>
                <w:sz w:val="16"/>
                <w:szCs w:val="16"/>
              </w:rPr>
            </w:pPr>
            <w:r w:rsidRPr="0004493F">
              <w:rPr>
                <w:rFonts w:ascii="Arial" w:hAnsi="Arial" w:cs="Arial"/>
                <w:b w:val="0"/>
                <w:sz w:val="16"/>
                <w:szCs w:val="16"/>
              </w:rPr>
              <w:t>Type of Ticket</w:t>
            </w:r>
          </w:p>
        </w:tc>
        <w:tc>
          <w:tcPr>
            <w:tcW w:w="1710" w:type="dxa"/>
            <w:vAlign w:val="center"/>
          </w:tcPr>
          <w:p w:rsidR="00BF2117" w:rsidRPr="0004493F" w:rsidRDefault="00BF2117" w:rsidP="00303B88">
            <w:pPr>
              <w:pStyle w:val="C"/>
              <w:widowControl/>
              <w:spacing w:before="0" w:after="0"/>
              <w:rPr>
                <w:rFonts w:ascii="Arial" w:hAnsi="Arial" w:cs="Arial"/>
                <w:b w:val="0"/>
                <w:bCs/>
                <w:sz w:val="16"/>
                <w:szCs w:val="16"/>
              </w:rPr>
            </w:pPr>
            <w:r w:rsidRPr="0004493F">
              <w:rPr>
                <w:rFonts w:ascii="Arial" w:hAnsi="Arial" w:cs="Arial"/>
                <w:b w:val="0"/>
                <w:sz w:val="16"/>
                <w:szCs w:val="16"/>
              </w:rPr>
              <w:t>Rate</w:t>
            </w:r>
          </w:p>
        </w:tc>
      </w:tr>
      <w:tr w:rsidR="00BF2117" w:rsidRPr="0004493F" w:rsidTr="0004493F">
        <w:tc>
          <w:tcPr>
            <w:tcW w:w="900" w:type="dxa"/>
            <w:vAlign w:val="center"/>
          </w:tcPr>
          <w:p w:rsidR="00BF2117" w:rsidRPr="0004493F" w:rsidRDefault="00BF2117" w:rsidP="00303B88">
            <w:pPr>
              <w:pStyle w:val="C"/>
              <w:widowControl/>
              <w:spacing w:before="0" w:after="0"/>
              <w:rPr>
                <w:rFonts w:ascii="Arial" w:hAnsi="Arial" w:cs="Arial"/>
                <w:b w:val="0"/>
                <w:bCs/>
                <w:sz w:val="16"/>
                <w:szCs w:val="16"/>
              </w:rPr>
            </w:pPr>
            <w:r w:rsidRPr="0004493F">
              <w:rPr>
                <w:rFonts w:ascii="Arial" w:hAnsi="Arial" w:cs="Arial"/>
                <w:b w:val="0"/>
                <w:sz w:val="16"/>
                <w:szCs w:val="16"/>
              </w:rPr>
              <w:t>(1)</w:t>
            </w:r>
          </w:p>
        </w:tc>
        <w:tc>
          <w:tcPr>
            <w:tcW w:w="2970" w:type="dxa"/>
            <w:vAlign w:val="center"/>
          </w:tcPr>
          <w:p w:rsidR="00BF2117" w:rsidRPr="0004493F" w:rsidRDefault="00BF2117" w:rsidP="00303B88">
            <w:pPr>
              <w:pStyle w:val="C"/>
              <w:widowControl/>
              <w:spacing w:before="0" w:after="0"/>
              <w:rPr>
                <w:rFonts w:ascii="Arial" w:hAnsi="Arial" w:cs="Arial"/>
                <w:b w:val="0"/>
                <w:bCs/>
                <w:sz w:val="16"/>
                <w:szCs w:val="16"/>
              </w:rPr>
            </w:pPr>
            <w:r w:rsidRPr="0004493F">
              <w:rPr>
                <w:rFonts w:ascii="Arial" w:hAnsi="Arial" w:cs="Arial"/>
                <w:b w:val="0"/>
                <w:sz w:val="16"/>
                <w:szCs w:val="16"/>
              </w:rPr>
              <w:t>(2)</w:t>
            </w:r>
          </w:p>
        </w:tc>
        <w:tc>
          <w:tcPr>
            <w:tcW w:w="1710" w:type="dxa"/>
            <w:vAlign w:val="center"/>
          </w:tcPr>
          <w:p w:rsidR="00BF2117" w:rsidRPr="0004493F" w:rsidRDefault="00BF2117" w:rsidP="00303B88">
            <w:pPr>
              <w:pStyle w:val="C"/>
              <w:widowControl/>
              <w:spacing w:before="0" w:after="0"/>
              <w:rPr>
                <w:rFonts w:ascii="Arial" w:hAnsi="Arial" w:cs="Arial"/>
                <w:b w:val="0"/>
                <w:bCs/>
                <w:sz w:val="16"/>
                <w:szCs w:val="16"/>
              </w:rPr>
            </w:pPr>
            <w:r w:rsidRPr="0004493F">
              <w:rPr>
                <w:rFonts w:ascii="Arial" w:hAnsi="Arial" w:cs="Arial"/>
                <w:b w:val="0"/>
                <w:sz w:val="16"/>
                <w:szCs w:val="16"/>
              </w:rPr>
              <w:t>(3)</w:t>
            </w:r>
          </w:p>
        </w:tc>
      </w:tr>
      <w:tr w:rsidR="00BF2117" w:rsidRPr="0004493F" w:rsidTr="0004493F">
        <w:trPr>
          <w:trHeight w:val="314"/>
        </w:trPr>
        <w:tc>
          <w:tcPr>
            <w:tcW w:w="900" w:type="dxa"/>
            <w:vAlign w:val="center"/>
          </w:tcPr>
          <w:p w:rsidR="00BF2117" w:rsidRPr="0004493F" w:rsidRDefault="00BF2117" w:rsidP="00303B88">
            <w:pPr>
              <w:pStyle w:val="C"/>
              <w:widowControl/>
              <w:spacing w:before="0" w:after="0"/>
              <w:rPr>
                <w:rFonts w:ascii="Arial" w:hAnsi="Arial" w:cs="Arial"/>
                <w:b w:val="0"/>
                <w:bCs/>
                <w:sz w:val="16"/>
                <w:szCs w:val="16"/>
              </w:rPr>
            </w:pPr>
            <w:r w:rsidRPr="0004493F">
              <w:rPr>
                <w:rFonts w:ascii="Arial" w:hAnsi="Arial" w:cs="Arial"/>
                <w:b w:val="0"/>
                <w:sz w:val="16"/>
                <w:szCs w:val="16"/>
              </w:rPr>
              <w:t>1.</w:t>
            </w:r>
          </w:p>
        </w:tc>
        <w:tc>
          <w:tcPr>
            <w:tcW w:w="2970" w:type="dxa"/>
            <w:vAlign w:val="center"/>
          </w:tcPr>
          <w:p w:rsidR="00BF2117" w:rsidRPr="0004493F" w:rsidRDefault="00BF2117" w:rsidP="00303B88">
            <w:pPr>
              <w:pStyle w:val="C"/>
              <w:widowControl/>
              <w:spacing w:before="0" w:after="0"/>
              <w:jc w:val="left"/>
              <w:rPr>
                <w:rFonts w:ascii="Arial" w:hAnsi="Arial" w:cs="Arial"/>
                <w:b w:val="0"/>
                <w:bCs/>
                <w:sz w:val="16"/>
                <w:szCs w:val="16"/>
              </w:rPr>
            </w:pPr>
            <w:r w:rsidRPr="0004493F">
              <w:rPr>
                <w:rFonts w:ascii="Arial" w:hAnsi="Arial" w:cs="Arial"/>
                <w:b w:val="0"/>
                <w:sz w:val="16"/>
                <w:szCs w:val="16"/>
              </w:rPr>
              <w:t>Economy</w:t>
            </w:r>
          </w:p>
        </w:tc>
        <w:tc>
          <w:tcPr>
            <w:tcW w:w="1710" w:type="dxa"/>
            <w:vAlign w:val="center"/>
          </w:tcPr>
          <w:p w:rsidR="00BF2117" w:rsidRPr="0004493F" w:rsidRDefault="00BF2117" w:rsidP="00303B88">
            <w:pPr>
              <w:pStyle w:val="C"/>
              <w:widowControl/>
              <w:spacing w:before="0" w:after="0"/>
              <w:rPr>
                <w:rFonts w:ascii="Arial" w:hAnsi="Arial" w:cs="Arial"/>
                <w:b w:val="0"/>
                <w:bCs/>
                <w:sz w:val="16"/>
                <w:szCs w:val="16"/>
              </w:rPr>
            </w:pPr>
            <w:r w:rsidRPr="0004493F">
              <w:rPr>
                <w:rFonts w:ascii="Arial" w:hAnsi="Arial" w:cs="Arial"/>
                <w:b w:val="0"/>
                <w:sz w:val="16"/>
                <w:szCs w:val="16"/>
              </w:rPr>
              <w:t>0%</w:t>
            </w:r>
          </w:p>
        </w:tc>
      </w:tr>
      <w:tr w:rsidR="00BF2117" w:rsidRPr="0004493F" w:rsidTr="0004493F">
        <w:trPr>
          <w:trHeight w:val="260"/>
        </w:trPr>
        <w:tc>
          <w:tcPr>
            <w:tcW w:w="900" w:type="dxa"/>
            <w:vAlign w:val="center"/>
          </w:tcPr>
          <w:p w:rsidR="00BF2117" w:rsidRPr="0004493F" w:rsidRDefault="00BF2117" w:rsidP="00303B88">
            <w:pPr>
              <w:pStyle w:val="C"/>
              <w:widowControl/>
              <w:spacing w:before="0" w:after="0"/>
              <w:rPr>
                <w:rFonts w:ascii="Arial" w:hAnsi="Arial" w:cs="Arial"/>
                <w:b w:val="0"/>
                <w:bCs/>
                <w:sz w:val="16"/>
                <w:szCs w:val="16"/>
              </w:rPr>
            </w:pPr>
            <w:r w:rsidRPr="0004493F">
              <w:rPr>
                <w:rFonts w:ascii="Arial" w:hAnsi="Arial" w:cs="Arial"/>
                <w:b w:val="0"/>
                <w:sz w:val="16"/>
                <w:szCs w:val="16"/>
              </w:rPr>
              <w:t>2.</w:t>
            </w:r>
          </w:p>
        </w:tc>
        <w:tc>
          <w:tcPr>
            <w:tcW w:w="2970" w:type="dxa"/>
            <w:vAlign w:val="center"/>
          </w:tcPr>
          <w:p w:rsidR="00BF2117" w:rsidRPr="0004493F" w:rsidRDefault="00BF2117" w:rsidP="00303B88">
            <w:pPr>
              <w:pStyle w:val="C"/>
              <w:widowControl/>
              <w:spacing w:before="0" w:after="0"/>
              <w:jc w:val="left"/>
              <w:rPr>
                <w:rFonts w:ascii="Arial" w:hAnsi="Arial" w:cs="Arial"/>
                <w:b w:val="0"/>
                <w:bCs/>
                <w:sz w:val="16"/>
                <w:szCs w:val="16"/>
              </w:rPr>
            </w:pPr>
            <w:r w:rsidRPr="0004493F">
              <w:rPr>
                <w:rFonts w:ascii="Arial" w:hAnsi="Arial" w:cs="Arial"/>
                <w:b w:val="0"/>
                <w:sz w:val="16"/>
                <w:szCs w:val="16"/>
              </w:rPr>
              <w:t>Other than economy</w:t>
            </w:r>
          </w:p>
        </w:tc>
        <w:tc>
          <w:tcPr>
            <w:tcW w:w="1710" w:type="dxa"/>
            <w:vAlign w:val="center"/>
          </w:tcPr>
          <w:p w:rsidR="00BF2117" w:rsidRPr="0004493F" w:rsidRDefault="00BF2117" w:rsidP="00303B88">
            <w:pPr>
              <w:pStyle w:val="C"/>
              <w:widowControl/>
              <w:spacing w:before="0" w:after="0"/>
              <w:rPr>
                <w:rFonts w:ascii="Arial" w:hAnsi="Arial" w:cs="Arial"/>
                <w:b w:val="0"/>
                <w:bCs/>
                <w:sz w:val="16"/>
                <w:szCs w:val="16"/>
              </w:rPr>
            </w:pPr>
            <w:r w:rsidRPr="0004493F">
              <w:rPr>
                <w:rFonts w:ascii="Arial" w:hAnsi="Arial" w:cs="Arial"/>
                <w:b w:val="0"/>
                <w:sz w:val="16"/>
                <w:szCs w:val="16"/>
              </w:rPr>
              <w:t>4%</w:t>
            </w:r>
            <w:r>
              <w:rPr>
                <w:rFonts w:ascii="Arial" w:hAnsi="Arial" w:cs="Arial"/>
                <w:b w:val="0"/>
                <w:sz w:val="16"/>
                <w:szCs w:val="16"/>
              </w:rPr>
              <w:t>”</w:t>
            </w:r>
          </w:p>
        </w:tc>
      </w:tr>
    </w:tbl>
    <w:p w:rsidR="00BF2117" w:rsidRPr="0004493F" w:rsidRDefault="00BF2117">
      <w:pPr>
        <w:pStyle w:val="FootnoteText"/>
        <w:rPr>
          <w:sz w:val="16"/>
          <w:szCs w:val="16"/>
          <w:lang w:val="en-US"/>
        </w:rPr>
      </w:pPr>
    </w:p>
  </w:footnote>
  <w:footnote w:id="1735">
    <w:p w:rsidR="00BF2117" w:rsidRPr="00594948" w:rsidRDefault="00BF2117">
      <w:pPr>
        <w:pStyle w:val="FootnoteText"/>
        <w:rPr>
          <w:sz w:val="16"/>
          <w:szCs w:val="16"/>
          <w:lang w:val="en-US"/>
        </w:rPr>
      </w:pPr>
      <w:r w:rsidRPr="00594948">
        <w:rPr>
          <w:rStyle w:val="FootnoteReference"/>
          <w:sz w:val="16"/>
          <w:szCs w:val="16"/>
        </w:rPr>
        <w:footnoteRef/>
      </w:r>
      <w:r>
        <w:rPr>
          <w:sz w:val="16"/>
          <w:szCs w:val="16"/>
        </w:rPr>
        <w:t>Added by the Finance Act, 2015.</w:t>
      </w:r>
    </w:p>
  </w:footnote>
  <w:footnote w:id="1736">
    <w:p w:rsidR="00BF2117" w:rsidRPr="005F360F" w:rsidRDefault="00BF2117" w:rsidP="00FA1586">
      <w:pPr>
        <w:pStyle w:val="FootnoteText"/>
        <w:rPr>
          <w:sz w:val="16"/>
          <w:szCs w:val="16"/>
          <w:lang w:val="en-US"/>
        </w:rPr>
      </w:pPr>
      <w:r w:rsidRPr="005F360F">
        <w:rPr>
          <w:rStyle w:val="FootnoteReference"/>
          <w:sz w:val="16"/>
          <w:szCs w:val="16"/>
        </w:rPr>
        <w:footnoteRef/>
      </w:r>
      <w:r w:rsidRPr="005F360F">
        <w:rPr>
          <w:sz w:val="16"/>
          <w:szCs w:val="16"/>
          <w:lang w:val="en-US"/>
        </w:rPr>
        <w:t>Inserted by the Presidential Order No</w:t>
      </w:r>
      <w:r>
        <w:rPr>
          <w:sz w:val="16"/>
          <w:szCs w:val="16"/>
          <w:lang w:val="en-US"/>
        </w:rPr>
        <w:t xml:space="preserve"> </w:t>
      </w:r>
      <w:r w:rsidRPr="005F360F">
        <w:rPr>
          <w:sz w:val="16"/>
          <w:szCs w:val="16"/>
          <w:lang w:val="en-US"/>
        </w:rPr>
        <w:t>F.2(1)/2015-Pub dated 11.07.2015.</w:t>
      </w:r>
    </w:p>
  </w:footnote>
  <w:footnote w:id="1737">
    <w:p w:rsidR="00BF2117" w:rsidRPr="00D47C20" w:rsidRDefault="00BF2117" w:rsidP="004624C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Inserted by the Finance Act, 2016.</w:t>
      </w:r>
    </w:p>
  </w:footnote>
  <w:footnote w:id="1738">
    <w:p w:rsidR="00BF2117" w:rsidRPr="00D550A0" w:rsidRDefault="00BF2117">
      <w:pPr>
        <w:pStyle w:val="FootnoteText"/>
        <w:rPr>
          <w:color w:val="000000" w:themeColor="text1"/>
          <w:sz w:val="16"/>
          <w:szCs w:val="16"/>
          <w:lang w:val="en-US"/>
        </w:rPr>
      </w:pPr>
      <w:r w:rsidRPr="00D550A0">
        <w:rPr>
          <w:rStyle w:val="FootnoteReference"/>
          <w:color w:val="000000" w:themeColor="text1"/>
          <w:sz w:val="16"/>
          <w:szCs w:val="16"/>
        </w:rPr>
        <w:footnoteRef/>
      </w:r>
      <w:r w:rsidRPr="00D550A0">
        <w:rPr>
          <w:color w:val="000000" w:themeColor="text1"/>
          <w:sz w:val="16"/>
          <w:szCs w:val="16"/>
        </w:rPr>
        <w:t xml:space="preserve"> Substituted </w:t>
      </w:r>
      <w:r w:rsidRPr="00D550A0">
        <w:rPr>
          <w:color w:val="000000" w:themeColor="text1"/>
          <w:sz w:val="16"/>
          <w:szCs w:val="16"/>
          <w:lang w:val="en-US"/>
        </w:rPr>
        <w:t>by the National Assembly Secretariat’s O.M. No F.22(30)/2015-Legis dated 29.01.2016.</w:t>
      </w:r>
    </w:p>
  </w:footnote>
  <w:footnote w:id="1739">
    <w:p w:rsidR="00BF2117" w:rsidRPr="004221EB" w:rsidRDefault="00BF2117">
      <w:pPr>
        <w:pStyle w:val="FootnoteText"/>
        <w:rPr>
          <w:sz w:val="16"/>
          <w:szCs w:val="16"/>
          <w:lang w:val="en-US"/>
        </w:rPr>
      </w:pPr>
      <w:r w:rsidRPr="00D550A0">
        <w:rPr>
          <w:rStyle w:val="FootnoteReference"/>
          <w:color w:val="000000" w:themeColor="text1"/>
          <w:sz w:val="16"/>
          <w:szCs w:val="16"/>
        </w:rPr>
        <w:footnoteRef/>
      </w:r>
      <w:r w:rsidRPr="00D550A0">
        <w:rPr>
          <w:color w:val="000000" w:themeColor="text1"/>
          <w:sz w:val="16"/>
          <w:szCs w:val="16"/>
        </w:rPr>
        <w:t xml:space="preserve"> </w:t>
      </w:r>
      <w:r w:rsidRPr="00D550A0">
        <w:rPr>
          <w:color w:val="000000" w:themeColor="text1"/>
          <w:sz w:val="16"/>
          <w:szCs w:val="16"/>
          <w:lang w:val="en-US"/>
        </w:rPr>
        <w:t>Inserted by the National Assembly Secretariat O.M. No F.22(30)/2015-Legis dated 29.01.2016.</w:t>
      </w:r>
    </w:p>
  </w:footnote>
  <w:footnote w:id="1740">
    <w:p w:rsidR="00BF2117" w:rsidRDefault="00BF2117" w:rsidP="00FA1586">
      <w:pPr>
        <w:autoSpaceDE w:val="0"/>
        <w:autoSpaceDN w:val="0"/>
        <w:adjustRightInd w:val="0"/>
        <w:ind w:left="547" w:hanging="547"/>
        <w:jc w:val="both"/>
        <w:rPr>
          <w:sz w:val="16"/>
          <w:szCs w:val="16"/>
        </w:rPr>
      </w:pPr>
      <w:r w:rsidRPr="00464A56">
        <w:rPr>
          <w:rStyle w:val="FootnoteReference"/>
          <w:sz w:val="16"/>
          <w:szCs w:val="16"/>
        </w:rPr>
        <w:footnoteRef/>
      </w:r>
      <w:r w:rsidRPr="00464A56">
        <w:rPr>
          <w:sz w:val="16"/>
          <w:szCs w:val="16"/>
        </w:rPr>
        <w:t xml:space="preserve"> Inserted by the S.R.O. 964(I)/2015 dated 30.09.2015.</w:t>
      </w:r>
    </w:p>
    <w:p w:rsidR="00BF2117" w:rsidRPr="00883494" w:rsidRDefault="00BF2117" w:rsidP="00FA1586">
      <w:pPr>
        <w:autoSpaceDE w:val="0"/>
        <w:autoSpaceDN w:val="0"/>
        <w:adjustRightInd w:val="0"/>
        <w:ind w:left="90"/>
        <w:jc w:val="both"/>
        <w:rPr>
          <w:rFonts w:cs="Arial"/>
          <w:color w:val="000000" w:themeColor="text1"/>
          <w:sz w:val="16"/>
          <w:szCs w:val="16"/>
          <w:lang w:val="en-US"/>
        </w:rPr>
      </w:pPr>
      <w:r w:rsidRPr="00883494">
        <w:rPr>
          <w:rFonts w:cs="Arial"/>
          <w:color w:val="000000" w:themeColor="text1"/>
          <w:sz w:val="16"/>
          <w:szCs w:val="16"/>
          <w:lang w:val="en-US"/>
        </w:rPr>
        <w:t xml:space="preserve"> “ *Notification</w:t>
      </w:r>
    </w:p>
    <w:p w:rsidR="00BF2117" w:rsidRPr="00464A56" w:rsidRDefault="00BF2117" w:rsidP="005E5411">
      <w:pPr>
        <w:ind w:left="180" w:hanging="7"/>
        <w:jc w:val="both"/>
        <w:rPr>
          <w:sz w:val="16"/>
          <w:szCs w:val="16"/>
          <w:lang w:val="en-US"/>
        </w:rPr>
      </w:pPr>
      <w:r w:rsidRPr="00883494">
        <w:rPr>
          <w:color w:val="000000" w:themeColor="text1"/>
          <w:sz w:val="16"/>
          <w:szCs w:val="16"/>
        </w:rPr>
        <w:t>In exercise of the powers conferred by proviso under Division XXI of Part IV of the First Schedule to the Income Tax Ordinance, 2001 (XLIX of 2001), the Federal Government, on the recommendation of the Economic Coordination Committee of the Cabinet, is pleased to extend the time period for applicability of 0.3 per cent reduced rate under Division XXI of Part IV of the First Schedule read with section 236P of the said Ordinance, to thirty first day of October, 2015.”]</w:t>
      </w:r>
    </w:p>
  </w:footnote>
  <w:footnote w:id="1741">
    <w:p w:rsidR="00BF2117" w:rsidRPr="00D550A0" w:rsidRDefault="00BF2117" w:rsidP="00FC0303">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S.R.O.1056(I)/2015 dated 30.10.2015.</w:t>
      </w:r>
    </w:p>
    <w:p w:rsidR="00BF2117" w:rsidRPr="00D550A0" w:rsidRDefault="00BF2117" w:rsidP="00FC0303">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**Notification</w:t>
      </w:r>
    </w:p>
    <w:p w:rsidR="00BF2117" w:rsidRPr="00D550A0" w:rsidRDefault="00BF2117" w:rsidP="005C3202">
      <w:pPr>
        <w:ind w:left="180" w:hanging="7"/>
        <w:jc w:val="both"/>
        <w:rPr>
          <w:color w:val="000000" w:themeColor="text1"/>
          <w:sz w:val="16"/>
          <w:szCs w:val="16"/>
          <w:lang w:val="en-US"/>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extend the time period for applicability of 0.3 percent reduced rate under Division XXI of Part IV of the First Schedule read with section 236P of the said Ordinance, to seventh day of November, 2015.”]</w:t>
      </w:r>
    </w:p>
  </w:footnote>
  <w:footnote w:id="1742">
    <w:p w:rsidR="00BF2117" w:rsidRPr="00D550A0" w:rsidRDefault="00BF2117" w:rsidP="0085629F">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S.R.O.1092(I)/2015 dated 09.11.2015.</w:t>
      </w:r>
    </w:p>
    <w:p w:rsidR="00BF2117" w:rsidRPr="00D550A0" w:rsidRDefault="00BF2117" w:rsidP="0085629F">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***Notification</w:t>
      </w:r>
    </w:p>
    <w:p w:rsidR="00BF2117" w:rsidRPr="00D550A0" w:rsidRDefault="00BF2117" w:rsidP="00B64CDC">
      <w:pPr>
        <w:ind w:left="180" w:hanging="7"/>
        <w:jc w:val="both"/>
        <w:rPr>
          <w:color w:val="000000" w:themeColor="text1"/>
          <w:sz w:val="16"/>
          <w:szCs w:val="16"/>
          <w:lang w:val="en-US"/>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extend</w:t>
      </w:r>
      <w:r w:rsidRPr="005E7420">
        <w:rPr>
          <w:color w:val="7030A0"/>
          <w:sz w:val="16"/>
          <w:szCs w:val="16"/>
        </w:rPr>
        <w:t xml:space="preserve"> </w:t>
      </w:r>
      <w:r w:rsidRPr="00D550A0">
        <w:rPr>
          <w:color w:val="000000" w:themeColor="text1"/>
          <w:sz w:val="16"/>
          <w:szCs w:val="16"/>
        </w:rPr>
        <w:t>the time period for applicability of 0.3 percent reduced rate under Division XXI of Part IV of the First Schedule read with section 236P of the said Ordinance, from 8</w:t>
      </w:r>
      <w:r w:rsidRPr="00D550A0">
        <w:rPr>
          <w:color w:val="000000" w:themeColor="text1"/>
          <w:sz w:val="16"/>
          <w:szCs w:val="16"/>
          <w:vertAlign w:val="superscript"/>
        </w:rPr>
        <w:t>th</w:t>
      </w:r>
      <w:r w:rsidRPr="00D550A0">
        <w:rPr>
          <w:color w:val="000000" w:themeColor="text1"/>
          <w:sz w:val="16"/>
          <w:szCs w:val="16"/>
        </w:rPr>
        <w:t xml:space="preserve"> day of November, 2015 to 15</w:t>
      </w:r>
      <w:r w:rsidRPr="00D550A0">
        <w:rPr>
          <w:color w:val="000000" w:themeColor="text1"/>
          <w:sz w:val="16"/>
          <w:szCs w:val="16"/>
          <w:vertAlign w:val="superscript"/>
        </w:rPr>
        <w:t>th</w:t>
      </w:r>
      <w:r w:rsidRPr="00D550A0">
        <w:rPr>
          <w:color w:val="000000" w:themeColor="text1"/>
          <w:sz w:val="16"/>
          <w:szCs w:val="16"/>
        </w:rPr>
        <w:t xml:space="preserve"> day of November, 2015.”]</w:t>
      </w:r>
    </w:p>
  </w:footnote>
  <w:footnote w:id="1743">
    <w:p w:rsidR="00BF2117" w:rsidRPr="00D550A0" w:rsidRDefault="00BF2117" w:rsidP="00B64CDC">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S.R.O.1135(I)/2015 dated 14.11.2015.</w:t>
      </w:r>
    </w:p>
    <w:p w:rsidR="00BF2117" w:rsidRPr="00D550A0" w:rsidRDefault="00BF2117" w:rsidP="00B64CDC">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*****Notification</w:t>
      </w:r>
    </w:p>
    <w:p w:rsidR="00BF2117" w:rsidRPr="00D550A0" w:rsidRDefault="00BF2117" w:rsidP="00B64CDC">
      <w:pPr>
        <w:ind w:left="180" w:hanging="7"/>
        <w:jc w:val="both"/>
        <w:rPr>
          <w:color w:val="000000" w:themeColor="text1"/>
          <w:sz w:val="16"/>
          <w:szCs w:val="16"/>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direct that in its Notification No.S.R.O.1092(I)/2015, dated the 9</w:t>
      </w:r>
      <w:r w:rsidRPr="00D550A0">
        <w:rPr>
          <w:color w:val="000000" w:themeColor="text1"/>
          <w:sz w:val="16"/>
          <w:szCs w:val="16"/>
          <w:vertAlign w:val="superscript"/>
        </w:rPr>
        <w:t>th</w:t>
      </w:r>
      <w:r w:rsidRPr="00D550A0">
        <w:rPr>
          <w:color w:val="000000" w:themeColor="text1"/>
          <w:sz w:val="16"/>
          <w:szCs w:val="16"/>
        </w:rPr>
        <w:t xml:space="preserve"> November, 2015 the following amendment shall be made, namely:-</w:t>
      </w:r>
    </w:p>
    <w:p w:rsidR="00BF2117" w:rsidRPr="00D550A0" w:rsidRDefault="00BF2117" w:rsidP="00BB5285">
      <w:pPr>
        <w:ind w:left="180" w:firstLine="367"/>
        <w:jc w:val="both"/>
        <w:rPr>
          <w:color w:val="000000" w:themeColor="text1"/>
          <w:sz w:val="16"/>
          <w:szCs w:val="16"/>
          <w:lang w:val="en-US"/>
        </w:rPr>
      </w:pPr>
      <w:r w:rsidRPr="00D550A0">
        <w:rPr>
          <w:color w:val="000000" w:themeColor="text1"/>
          <w:sz w:val="16"/>
          <w:szCs w:val="16"/>
        </w:rPr>
        <w:t>In the aforesaid Notification, for the figure “15</w:t>
      </w:r>
      <w:r w:rsidRPr="00D550A0">
        <w:rPr>
          <w:color w:val="000000" w:themeColor="text1"/>
          <w:sz w:val="16"/>
          <w:szCs w:val="16"/>
          <w:vertAlign w:val="superscript"/>
        </w:rPr>
        <w:t xml:space="preserve">th” </w:t>
      </w:r>
      <w:r w:rsidRPr="00D550A0">
        <w:rPr>
          <w:color w:val="000000" w:themeColor="text1"/>
          <w:sz w:val="16"/>
          <w:szCs w:val="16"/>
        </w:rPr>
        <w:t>the figure “30</w:t>
      </w:r>
      <w:r w:rsidRPr="00D550A0">
        <w:rPr>
          <w:color w:val="000000" w:themeColor="text1"/>
          <w:sz w:val="16"/>
          <w:szCs w:val="16"/>
          <w:vertAlign w:val="superscript"/>
        </w:rPr>
        <w:t>th</w:t>
      </w:r>
      <w:r w:rsidRPr="00D550A0">
        <w:rPr>
          <w:color w:val="000000" w:themeColor="text1"/>
          <w:sz w:val="16"/>
          <w:szCs w:val="16"/>
        </w:rPr>
        <w:t>” shall be substituted.”]</w:t>
      </w:r>
    </w:p>
  </w:footnote>
  <w:footnote w:id="1744">
    <w:p w:rsidR="00BF2117" w:rsidRPr="00D550A0" w:rsidRDefault="00BF2117" w:rsidP="00F077EC">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S.R.O.1182(I)/2015 dated 01.12.2015.</w:t>
      </w:r>
    </w:p>
    <w:p w:rsidR="00BF2117" w:rsidRPr="00D550A0" w:rsidRDefault="00BF2117" w:rsidP="00F077EC">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******Notification</w:t>
      </w:r>
    </w:p>
    <w:p w:rsidR="00BF2117" w:rsidRPr="00D550A0" w:rsidRDefault="00BF2117" w:rsidP="00F077EC">
      <w:pPr>
        <w:ind w:left="180" w:hanging="7"/>
        <w:jc w:val="both"/>
        <w:rPr>
          <w:color w:val="000000" w:themeColor="text1"/>
          <w:sz w:val="16"/>
          <w:szCs w:val="16"/>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direct that in its Notification No.S.R.O.1092(I)/2015, dated the 9</w:t>
      </w:r>
      <w:r w:rsidRPr="00D550A0">
        <w:rPr>
          <w:color w:val="000000" w:themeColor="text1"/>
          <w:sz w:val="16"/>
          <w:szCs w:val="16"/>
          <w:vertAlign w:val="superscript"/>
        </w:rPr>
        <w:t>th</w:t>
      </w:r>
      <w:r w:rsidRPr="00D550A0">
        <w:rPr>
          <w:color w:val="000000" w:themeColor="text1"/>
          <w:sz w:val="16"/>
          <w:szCs w:val="16"/>
        </w:rPr>
        <w:t xml:space="preserve"> November, 2015 the following amendment shall be made, namely:-</w:t>
      </w:r>
    </w:p>
    <w:p w:rsidR="00BF2117" w:rsidRPr="00D550A0" w:rsidRDefault="00BF2117" w:rsidP="00F077EC">
      <w:pPr>
        <w:ind w:left="180" w:firstLine="367"/>
        <w:jc w:val="both"/>
        <w:rPr>
          <w:color w:val="000000" w:themeColor="text1"/>
          <w:sz w:val="16"/>
          <w:szCs w:val="16"/>
        </w:rPr>
      </w:pPr>
      <w:r w:rsidRPr="00D550A0">
        <w:rPr>
          <w:color w:val="000000" w:themeColor="text1"/>
          <w:sz w:val="16"/>
          <w:szCs w:val="16"/>
        </w:rPr>
        <w:t>In the aforesaid Notification, for the expression “from 8</w:t>
      </w:r>
      <w:r w:rsidRPr="00D550A0">
        <w:rPr>
          <w:color w:val="000000" w:themeColor="text1"/>
          <w:sz w:val="16"/>
          <w:szCs w:val="16"/>
          <w:vertAlign w:val="superscript"/>
        </w:rPr>
        <w:t>th</w:t>
      </w:r>
      <w:r w:rsidRPr="00D550A0">
        <w:rPr>
          <w:color w:val="000000" w:themeColor="text1"/>
          <w:sz w:val="16"/>
          <w:szCs w:val="16"/>
        </w:rPr>
        <w:t xml:space="preserve"> day of November, 2015 to 15</w:t>
      </w:r>
      <w:r w:rsidRPr="00D550A0">
        <w:rPr>
          <w:color w:val="000000" w:themeColor="text1"/>
          <w:sz w:val="16"/>
          <w:szCs w:val="16"/>
          <w:vertAlign w:val="superscript"/>
        </w:rPr>
        <w:t>th</w:t>
      </w:r>
      <w:r w:rsidRPr="00D550A0">
        <w:rPr>
          <w:color w:val="000000" w:themeColor="text1"/>
          <w:sz w:val="16"/>
          <w:szCs w:val="16"/>
        </w:rPr>
        <w:t xml:space="preserve"> day of November, 2015” the expression “from </w:t>
      </w:r>
      <w:r w:rsidRPr="00D550A0">
        <w:rPr>
          <w:color w:val="000000" w:themeColor="text1"/>
          <w:sz w:val="16"/>
          <w:szCs w:val="16"/>
          <w:vertAlign w:val="superscript"/>
        </w:rPr>
        <w:t xml:space="preserve"> </w:t>
      </w:r>
      <w:r w:rsidRPr="00D550A0">
        <w:rPr>
          <w:color w:val="000000" w:themeColor="text1"/>
          <w:sz w:val="16"/>
          <w:szCs w:val="16"/>
        </w:rPr>
        <w:t>the 1</w:t>
      </w:r>
      <w:r w:rsidRPr="00D550A0">
        <w:rPr>
          <w:color w:val="000000" w:themeColor="text1"/>
          <w:sz w:val="16"/>
          <w:szCs w:val="16"/>
          <w:vertAlign w:val="superscript"/>
        </w:rPr>
        <w:t>st</w:t>
      </w:r>
      <w:r w:rsidRPr="00D550A0">
        <w:rPr>
          <w:color w:val="000000" w:themeColor="text1"/>
          <w:sz w:val="16"/>
          <w:szCs w:val="16"/>
        </w:rPr>
        <w:t xml:space="preserve"> day of December, 2015 to the 31</w:t>
      </w:r>
      <w:r w:rsidRPr="00D550A0">
        <w:rPr>
          <w:color w:val="000000" w:themeColor="text1"/>
          <w:sz w:val="16"/>
          <w:szCs w:val="16"/>
          <w:vertAlign w:val="superscript"/>
        </w:rPr>
        <w:t>st</w:t>
      </w:r>
      <w:r w:rsidRPr="00D550A0">
        <w:rPr>
          <w:color w:val="000000" w:themeColor="text1"/>
          <w:sz w:val="16"/>
          <w:szCs w:val="16"/>
        </w:rPr>
        <w:t xml:space="preserve"> day of December, 2015” shall be substituted.”]</w:t>
      </w:r>
    </w:p>
    <w:p w:rsidR="00BF2117" w:rsidRPr="00D550A0" w:rsidRDefault="00BF2117" w:rsidP="00F077EC">
      <w:pPr>
        <w:pStyle w:val="FootnoteText"/>
        <w:rPr>
          <w:color w:val="000000" w:themeColor="text1"/>
          <w:sz w:val="16"/>
          <w:szCs w:val="16"/>
          <w:lang w:val="en-US"/>
        </w:rPr>
      </w:pPr>
    </w:p>
  </w:footnote>
  <w:footnote w:id="1745">
    <w:p w:rsidR="00BF2117" w:rsidRPr="00D550A0" w:rsidRDefault="00BF2117" w:rsidP="00586D2F">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S.R.O.1329(I)/2015 dated 31.12.2015.</w:t>
      </w:r>
    </w:p>
    <w:p w:rsidR="00BF2117" w:rsidRPr="00D550A0" w:rsidRDefault="00BF2117" w:rsidP="00586D2F">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******Notification</w:t>
      </w:r>
    </w:p>
    <w:p w:rsidR="00BF2117" w:rsidRPr="00D550A0" w:rsidRDefault="00BF2117" w:rsidP="00586D2F">
      <w:pPr>
        <w:ind w:left="180" w:hanging="7"/>
        <w:jc w:val="both"/>
        <w:rPr>
          <w:color w:val="000000" w:themeColor="text1"/>
          <w:sz w:val="16"/>
          <w:szCs w:val="16"/>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direct that in its Notification No.S.R.O.1092(I)/2015, dated the 9</w:t>
      </w:r>
      <w:r w:rsidRPr="00D550A0">
        <w:rPr>
          <w:color w:val="000000" w:themeColor="text1"/>
          <w:sz w:val="16"/>
          <w:szCs w:val="16"/>
          <w:vertAlign w:val="superscript"/>
        </w:rPr>
        <w:t>th</w:t>
      </w:r>
      <w:r w:rsidRPr="00D550A0">
        <w:rPr>
          <w:color w:val="000000" w:themeColor="text1"/>
          <w:sz w:val="16"/>
          <w:szCs w:val="16"/>
        </w:rPr>
        <w:t xml:space="preserve"> November, 2015 the following amendment shall be made, namely:-</w:t>
      </w:r>
    </w:p>
    <w:p w:rsidR="00BF2117" w:rsidRPr="00D550A0" w:rsidRDefault="00BF2117" w:rsidP="00586D2F">
      <w:pPr>
        <w:ind w:left="180" w:firstLine="367"/>
        <w:jc w:val="both"/>
        <w:rPr>
          <w:color w:val="000000" w:themeColor="text1"/>
          <w:sz w:val="16"/>
          <w:szCs w:val="16"/>
        </w:rPr>
      </w:pPr>
      <w:r w:rsidRPr="00D550A0">
        <w:rPr>
          <w:color w:val="000000" w:themeColor="text1"/>
          <w:sz w:val="16"/>
          <w:szCs w:val="16"/>
        </w:rPr>
        <w:t>In the aforesaid Notification, for the expression “from 8</w:t>
      </w:r>
      <w:r w:rsidRPr="00D550A0">
        <w:rPr>
          <w:color w:val="000000" w:themeColor="text1"/>
          <w:sz w:val="16"/>
          <w:szCs w:val="16"/>
          <w:vertAlign w:val="superscript"/>
        </w:rPr>
        <w:t>th</w:t>
      </w:r>
      <w:r w:rsidRPr="00D550A0">
        <w:rPr>
          <w:color w:val="000000" w:themeColor="text1"/>
          <w:sz w:val="16"/>
          <w:szCs w:val="16"/>
        </w:rPr>
        <w:t xml:space="preserve"> day of November, 2015 to 15</w:t>
      </w:r>
      <w:r w:rsidRPr="00D550A0">
        <w:rPr>
          <w:color w:val="000000" w:themeColor="text1"/>
          <w:sz w:val="16"/>
          <w:szCs w:val="16"/>
          <w:vertAlign w:val="superscript"/>
        </w:rPr>
        <w:t>th</w:t>
      </w:r>
      <w:r w:rsidRPr="00D550A0">
        <w:rPr>
          <w:color w:val="000000" w:themeColor="text1"/>
          <w:sz w:val="16"/>
          <w:szCs w:val="16"/>
        </w:rPr>
        <w:t xml:space="preserve"> day of November, 2015” the expression “from </w:t>
      </w:r>
      <w:r w:rsidRPr="00D550A0">
        <w:rPr>
          <w:color w:val="000000" w:themeColor="text1"/>
          <w:sz w:val="16"/>
          <w:szCs w:val="16"/>
          <w:vertAlign w:val="superscript"/>
        </w:rPr>
        <w:t xml:space="preserve"> </w:t>
      </w:r>
      <w:r w:rsidRPr="00D550A0">
        <w:rPr>
          <w:color w:val="000000" w:themeColor="text1"/>
          <w:sz w:val="16"/>
          <w:szCs w:val="16"/>
        </w:rPr>
        <w:t>the 1</w:t>
      </w:r>
      <w:r w:rsidRPr="00D550A0">
        <w:rPr>
          <w:color w:val="000000" w:themeColor="text1"/>
          <w:sz w:val="16"/>
          <w:szCs w:val="16"/>
          <w:vertAlign w:val="superscript"/>
        </w:rPr>
        <w:t>st</w:t>
      </w:r>
      <w:r w:rsidRPr="00D550A0">
        <w:rPr>
          <w:color w:val="000000" w:themeColor="text1"/>
          <w:sz w:val="16"/>
          <w:szCs w:val="16"/>
        </w:rPr>
        <w:t xml:space="preserve"> day of January, 2016 to 31</w:t>
      </w:r>
      <w:r w:rsidRPr="00D550A0">
        <w:rPr>
          <w:color w:val="000000" w:themeColor="text1"/>
          <w:sz w:val="16"/>
          <w:szCs w:val="16"/>
          <w:vertAlign w:val="superscript"/>
        </w:rPr>
        <w:t>st</w:t>
      </w:r>
      <w:r w:rsidRPr="00D550A0">
        <w:rPr>
          <w:color w:val="000000" w:themeColor="text1"/>
          <w:sz w:val="16"/>
          <w:szCs w:val="16"/>
        </w:rPr>
        <w:t xml:space="preserve"> day of January, 2016” shall be substituted.”]</w:t>
      </w:r>
    </w:p>
    <w:p w:rsidR="00BF2117" w:rsidRPr="00D550A0" w:rsidRDefault="00BF2117" w:rsidP="00586D2F">
      <w:pPr>
        <w:pStyle w:val="FootnoteText"/>
        <w:rPr>
          <w:color w:val="000000" w:themeColor="text1"/>
          <w:sz w:val="16"/>
          <w:szCs w:val="16"/>
          <w:lang w:val="en-US"/>
        </w:rPr>
      </w:pPr>
    </w:p>
  </w:footnote>
  <w:footnote w:id="1746">
    <w:p w:rsidR="00BF2117" w:rsidRPr="00D550A0" w:rsidRDefault="00BF2117" w:rsidP="00E26279">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S.R.O.72(I)/2016 dated 01.02.2016.</w:t>
      </w:r>
    </w:p>
    <w:p w:rsidR="00BF2117" w:rsidRPr="00D550A0" w:rsidRDefault="00BF2117" w:rsidP="00E26279">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*******Notification</w:t>
      </w:r>
    </w:p>
    <w:p w:rsidR="00BF2117" w:rsidRPr="00D550A0" w:rsidRDefault="00BF2117" w:rsidP="00E26279">
      <w:pPr>
        <w:ind w:left="180" w:hanging="7"/>
        <w:jc w:val="both"/>
        <w:rPr>
          <w:color w:val="000000" w:themeColor="text1"/>
          <w:sz w:val="16"/>
          <w:szCs w:val="16"/>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amend the rate specified under Division XXI of Part IV of the First Schedule to 0.3% w.e.f. first day of February, 2016 to twenty ninth day of February, 2016.”]</w:t>
      </w:r>
    </w:p>
    <w:p w:rsidR="00BF2117" w:rsidRPr="00D550A0" w:rsidRDefault="00BF2117" w:rsidP="00E26279">
      <w:pPr>
        <w:pStyle w:val="FootnoteText"/>
        <w:rPr>
          <w:color w:val="000000" w:themeColor="text1"/>
          <w:sz w:val="16"/>
          <w:szCs w:val="16"/>
          <w:lang w:val="en-US"/>
        </w:rPr>
      </w:pPr>
    </w:p>
  </w:footnote>
  <w:footnote w:id="1747">
    <w:p w:rsidR="00BF2117" w:rsidRPr="00D550A0" w:rsidRDefault="00BF2117" w:rsidP="00EA3CC4">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S.R.O.169(I)/2016 dated 29.02.2016.</w:t>
      </w:r>
    </w:p>
    <w:p w:rsidR="00BF2117" w:rsidRPr="00D550A0" w:rsidRDefault="00BF2117" w:rsidP="00EA3CC4">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********Notification</w:t>
      </w:r>
    </w:p>
    <w:p w:rsidR="00BF2117" w:rsidRPr="00D550A0" w:rsidRDefault="00BF2117" w:rsidP="00841E0F">
      <w:pPr>
        <w:ind w:left="180" w:hanging="7"/>
        <w:jc w:val="both"/>
        <w:rPr>
          <w:color w:val="000000" w:themeColor="text1"/>
          <w:sz w:val="16"/>
          <w:szCs w:val="16"/>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amend the rate specified under Division XXI of Part IV of the First Schedule to 0.4% w.e.f. first day of March, 2016 to fifteenth day of March, 2016.”]</w:t>
      </w:r>
    </w:p>
    <w:p w:rsidR="00BF2117" w:rsidRPr="00D550A0" w:rsidRDefault="00BF2117" w:rsidP="00EA3CC4">
      <w:pPr>
        <w:pStyle w:val="FootnoteText"/>
        <w:rPr>
          <w:color w:val="000000" w:themeColor="text1"/>
          <w:sz w:val="16"/>
          <w:szCs w:val="16"/>
          <w:lang w:val="en-US"/>
        </w:rPr>
      </w:pPr>
    </w:p>
  </w:footnote>
  <w:footnote w:id="1748">
    <w:p w:rsidR="00BF2117" w:rsidRPr="00D550A0" w:rsidRDefault="00BF2117" w:rsidP="00841E0F">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S.R.O.216(I)/2016 dated 15.03.2016.</w:t>
      </w:r>
    </w:p>
    <w:p w:rsidR="00BF2117" w:rsidRPr="00D550A0" w:rsidRDefault="00BF2117" w:rsidP="00841E0F">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********Notification</w:t>
      </w:r>
    </w:p>
    <w:p w:rsidR="00BF2117" w:rsidRPr="00D550A0" w:rsidRDefault="00BF2117" w:rsidP="00841E0F">
      <w:pPr>
        <w:ind w:left="180" w:hanging="7"/>
        <w:jc w:val="both"/>
        <w:rPr>
          <w:color w:val="000000" w:themeColor="text1"/>
          <w:sz w:val="16"/>
          <w:szCs w:val="16"/>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direct that in its Notification No.S.R.O.169(I)/2016 dated the 29</w:t>
      </w:r>
      <w:r w:rsidRPr="00D550A0">
        <w:rPr>
          <w:color w:val="000000" w:themeColor="text1"/>
          <w:sz w:val="16"/>
          <w:szCs w:val="16"/>
          <w:vertAlign w:val="superscript"/>
        </w:rPr>
        <w:t>th</w:t>
      </w:r>
      <w:r w:rsidRPr="00D550A0">
        <w:rPr>
          <w:color w:val="000000" w:themeColor="text1"/>
          <w:sz w:val="16"/>
          <w:szCs w:val="16"/>
        </w:rPr>
        <w:t xml:space="preserve"> February, 2016 the following amendments shall be made, namely:-</w:t>
      </w:r>
    </w:p>
    <w:p w:rsidR="00BF2117" w:rsidRPr="00D550A0" w:rsidRDefault="00BF2117" w:rsidP="00841E0F">
      <w:pPr>
        <w:ind w:left="180" w:firstLine="367"/>
        <w:jc w:val="both"/>
        <w:rPr>
          <w:color w:val="000000" w:themeColor="text1"/>
          <w:sz w:val="16"/>
          <w:szCs w:val="16"/>
        </w:rPr>
      </w:pPr>
      <w:r w:rsidRPr="00D550A0">
        <w:rPr>
          <w:color w:val="000000" w:themeColor="text1"/>
          <w:sz w:val="16"/>
          <w:szCs w:val="16"/>
        </w:rPr>
        <w:t>In the aforesaid Notification, for the words “first day of March, of 2016 to fifteenth day of March, 2016” the words “sixteenth day of March, 2016 to thirty first day of March 2016” shall be substituted.”]</w:t>
      </w:r>
    </w:p>
    <w:p w:rsidR="00BF2117" w:rsidRPr="00D550A0" w:rsidRDefault="00BF2117" w:rsidP="00841E0F">
      <w:pPr>
        <w:pStyle w:val="FootnoteText"/>
        <w:rPr>
          <w:color w:val="000000" w:themeColor="text1"/>
          <w:sz w:val="16"/>
          <w:szCs w:val="16"/>
          <w:lang w:val="en-US"/>
        </w:rPr>
      </w:pPr>
    </w:p>
  </w:footnote>
  <w:footnote w:id="1749">
    <w:p w:rsidR="00BF2117" w:rsidRPr="00D550A0" w:rsidRDefault="00BF2117" w:rsidP="00C76471">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S.R.O.286(I)/2016 dated 01.04.2016.</w:t>
      </w:r>
    </w:p>
    <w:p w:rsidR="00BF2117" w:rsidRPr="00D550A0" w:rsidRDefault="00BF2117" w:rsidP="00C76471">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 Notification</w:t>
      </w:r>
    </w:p>
    <w:p w:rsidR="00BF2117" w:rsidRPr="00D550A0" w:rsidRDefault="00BF2117" w:rsidP="00C76471">
      <w:pPr>
        <w:ind w:left="180" w:hanging="7"/>
        <w:jc w:val="both"/>
        <w:rPr>
          <w:color w:val="000000" w:themeColor="text1"/>
          <w:sz w:val="16"/>
          <w:szCs w:val="16"/>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direct that in its Notification No.S.R.O.216(I)/2016 dated 15</w:t>
      </w:r>
      <w:r w:rsidRPr="00D550A0">
        <w:rPr>
          <w:color w:val="000000" w:themeColor="text1"/>
          <w:sz w:val="16"/>
          <w:szCs w:val="16"/>
          <w:vertAlign w:val="superscript"/>
        </w:rPr>
        <w:t>th</w:t>
      </w:r>
      <w:r w:rsidRPr="00D550A0">
        <w:rPr>
          <w:color w:val="000000" w:themeColor="text1"/>
          <w:sz w:val="16"/>
          <w:szCs w:val="16"/>
        </w:rPr>
        <w:t xml:space="preserve"> March, 2016, the following amendments shall be made, namely:-</w:t>
      </w:r>
    </w:p>
    <w:p w:rsidR="00BF2117" w:rsidRPr="00D550A0" w:rsidRDefault="00BF2117" w:rsidP="00C76471">
      <w:pPr>
        <w:ind w:left="180" w:firstLine="367"/>
        <w:jc w:val="both"/>
        <w:rPr>
          <w:color w:val="000000" w:themeColor="text1"/>
          <w:sz w:val="16"/>
          <w:szCs w:val="16"/>
        </w:rPr>
      </w:pPr>
      <w:r w:rsidRPr="00D550A0">
        <w:rPr>
          <w:color w:val="000000" w:themeColor="text1"/>
          <w:sz w:val="16"/>
          <w:szCs w:val="16"/>
        </w:rPr>
        <w:t>In the aforesaid Notification, for the words “sixteenth day of March, 2016 to thirty first day of March 2016” the words “first day of April, 2016 to thirtieth day of April, 2016” shall be substituted.”]</w:t>
      </w:r>
    </w:p>
    <w:p w:rsidR="00BF2117" w:rsidRPr="00D550A0" w:rsidRDefault="00BF2117" w:rsidP="00C76471">
      <w:pPr>
        <w:pStyle w:val="FootnoteText"/>
        <w:rPr>
          <w:color w:val="000000" w:themeColor="text1"/>
          <w:sz w:val="16"/>
          <w:szCs w:val="16"/>
          <w:lang w:val="en-US"/>
        </w:rPr>
      </w:pPr>
    </w:p>
  </w:footnote>
  <w:footnote w:id="1750">
    <w:p w:rsidR="00BF2117" w:rsidRPr="00D550A0" w:rsidRDefault="00BF2117" w:rsidP="008408AF">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S.R.O.370(I)/2016 dated 30.04.2016.</w:t>
      </w:r>
    </w:p>
    <w:p w:rsidR="00BF2117" w:rsidRPr="00D550A0" w:rsidRDefault="00BF2117" w:rsidP="008408AF">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 Notification</w:t>
      </w:r>
    </w:p>
    <w:p w:rsidR="00BF2117" w:rsidRPr="00D550A0" w:rsidRDefault="00BF2117" w:rsidP="008408AF">
      <w:pPr>
        <w:ind w:left="180" w:hanging="7"/>
        <w:jc w:val="both"/>
        <w:rPr>
          <w:color w:val="000000" w:themeColor="text1"/>
          <w:sz w:val="16"/>
          <w:szCs w:val="16"/>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direct that in its Notification No.S.R.O.286(I)/2016 dated 1</w:t>
      </w:r>
      <w:r w:rsidRPr="00D550A0">
        <w:rPr>
          <w:color w:val="000000" w:themeColor="text1"/>
          <w:sz w:val="16"/>
          <w:szCs w:val="16"/>
          <w:vertAlign w:val="superscript"/>
        </w:rPr>
        <w:t>st</w:t>
      </w:r>
      <w:r w:rsidRPr="00D550A0">
        <w:rPr>
          <w:color w:val="000000" w:themeColor="text1"/>
          <w:sz w:val="16"/>
          <w:szCs w:val="16"/>
        </w:rPr>
        <w:t xml:space="preserve"> April, 2016, the following amendments shall be made, namely:-</w:t>
      </w:r>
    </w:p>
    <w:p w:rsidR="00BF2117" w:rsidRPr="00D550A0" w:rsidRDefault="00BF2117" w:rsidP="008408AF">
      <w:pPr>
        <w:ind w:left="180" w:firstLine="367"/>
        <w:jc w:val="both"/>
        <w:rPr>
          <w:color w:val="000000" w:themeColor="text1"/>
          <w:sz w:val="16"/>
          <w:szCs w:val="16"/>
        </w:rPr>
      </w:pPr>
      <w:r w:rsidRPr="00D550A0">
        <w:rPr>
          <w:color w:val="000000" w:themeColor="text1"/>
          <w:sz w:val="16"/>
          <w:szCs w:val="16"/>
        </w:rPr>
        <w:t>In the aforesaid Notification, for the words “first day of April, 2016 to thirtieth day of April, 2016”, the words “first day of May, 2016 to thirty first day of May, 2016” shall be substituted.”]</w:t>
      </w:r>
    </w:p>
    <w:p w:rsidR="00BF2117" w:rsidRPr="00D550A0" w:rsidRDefault="00BF2117" w:rsidP="008408AF">
      <w:pPr>
        <w:pStyle w:val="FootnoteText"/>
        <w:rPr>
          <w:color w:val="000000" w:themeColor="text1"/>
          <w:sz w:val="16"/>
          <w:szCs w:val="16"/>
          <w:lang w:val="en-US"/>
        </w:rPr>
      </w:pPr>
    </w:p>
  </w:footnote>
  <w:footnote w:id="1751">
    <w:p w:rsidR="00BF2117" w:rsidRPr="00D550A0" w:rsidRDefault="00BF2117" w:rsidP="005547AA">
      <w:pPr>
        <w:autoSpaceDE w:val="0"/>
        <w:autoSpaceDN w:val="0"/>
        <w:adjustRightInd w:val="0"/>
        <w:ind w:left="547" w:hanging="547"/>
        <w:jc w:val="both"/>
        <w:rPr>
          <w:color w:val="000000" w:themeColor="text1"/>
          <w:sz w:val="16"/>
          <w:szCs w:val="16"/>
        </w:rPr>
      </w:pPr>
      <w:r w:rsidRPr="00D550A0">
        <w:rPr>
          <w:rStyle w:val="FootnoteReference"/>
          <w:color w:val="000000" w:themeColor="text1"/>
          <w:sz w:val="16"/>
          <w:szCs w:val="16"/>
        </w:rPr>
        <w:footnoteRef/>
      </w:r>
      <w:r w:rsidRPr="00D550A0">
        <w:rPr>
          <w:color w:val="000000" w:themeColor="text1"/>
          <w:sz w:val="16"/>
          <w:szCs w:val="16"/>
        </w:rPr>
        <w:t xml:space="preserve"> Inserted by the S.R.O.472(I)/2016 dated 31.05.2016.</w:t>
      </w:r>
    </w:p>
    <w:p w:rsidR="00BF2117" w:rsidRPr="00D550A0" w:rsidRDefault="00BF2117" w:rsidP="005547AA">
      <w:pPr>
        <w:autoSpaceDE w:val="0"/>
        <w:autoSpaceDN w:val="0"/>
        <w:adjustRightInd w:val="0"/>
        <w:ind w:left="90"/>
        <w:jc w:val="both"/>
        <w:rPr>
          <w:rFonts w:cs="Arial"/>
          <w:color w:val="000000" w:themeColor="text1"/>
          <w:sz w:val="16"/>
          <w:szCs w:val="16"/>
          <w:lang w:val="en-US"/>
        </w:rPr>
      </w:pPr>
      <w:r w:rsidRPr="00D550A0">
        <w:rPr>
          <w:rFonts w:cs="Arial"/>
          <w:color w:val="000000" w:themeColor="text1"/>
          <w:sz w:val="16"/>
          <w:szCs w:val="16"/>
          <w:lang w:val="en-US"/>
        </w:rPr>
        <w:t xml:space="preserve"> [“ ### Notification</w:t>
      </w:r>
    </w:p>
    <w:p w:rsidR="00BF2117" w:rsidRPr="00D550A0" w:rsidRDefault="00BF2117" w:rsidP="005547AA">
      <w:pPr>
        <w:ind w:left="180" w:hanging="7"/>
        <w:jc w:val="both"/>
        <w:rPr>
          <w:color w:val="000000" w:themeColor="text1"/>
          <w:sz w:val="16"/>
          <w:szCs w:val="16"/>
        </w:rPr>
      </w:pPr>
      <w:r w:rsidRPr="00D550A0">
        <w:rPr>
          <w:color w:val="000000" w:themeColor="text1"/>
          <w:sz w:val="16"/>
          <w:szCs w:val="16"/>
        </w:rPr>
        <w:t>In exercise of the powers conferred by proviso under Division XXI of Part IV of the First Schedule to the Income Tax Ordinance, 2001 (XLIX of 2001), the Federal Government, is pleased to direct that in its Notification No.S.R.O.370(I)/2016 dated 30</w:t>
      </w:r>
      <w:r w:rsidRPr="00D550A0">
        <w:rPr>
          <w:color w:val="000000" w:themeColor="text1"/>
          <w:sz w:val="16"/>
          <w:szCs w:val="16"/>
          <w:vertAlign w:val="superscript"/>
        </w:rPr>
        <w:t>th</w:t>
      </w:r>
      <w:r w:rsidRPr="00D550A0">
        <w:rPr>
          <w:color w:val="000000" w:themeColor="text1"/>
          <w:sz w:val="16"/>
          <w:szCs w:val="16"/>
        </w:rPr>
        <w:t xml:space="preserve"> April, 2016, the following amendments shall be made, namely:-</w:t>
      </w:r>
    </w:p>
    <w:p w:rsidR="00BF2117" w:rsidRPr="005E7420" w:rsidRDefault="00BF2117" w:rsidP="00AC6C01">
      <w:pPr>
        <w:ind w:left="180" w:firstLine="367"/>
        <w:jc w:val="both"/>
        <w:rPr>
          <w:color w:val="4F6228" w:themeColor="accent3" w:themeShade="80"/>
          <w:sz w:val="16"/>
          <w:szCs w:val="16"/>
          <w:lang w:val="en-US"/>
        </w:rPr>
      </w:pPr>
      <w:r w:rsidRPr="00D550A0">
        <w:rPr>
          <w:color w:val="000000" w:themeColor="text1"/>
          <w:sz w:val="16"/>
          <w:szCs w:val="16"/>
        </w:rPr>
        <w:t>In the aforesaid Notification, for the words “first day of May, 2016 to thirty first day of May, 2016”, the words “first day of June, 2016 to thirtieth day of June, 2016” shall be substituted.”]</w:t>
      </w:r>
    </w:p>
  </w:footnote>
  <w:footnote w:id="1752">
    <w:p w:rsidR="00BF2117" w:rsidRPr="0061086B" w:rsidRDefault="00BF2117" w:rsidP="0061086B">
      <w:pPr>
        <w:autoSpaceDE w:val="0"/>
        <w:autoSpaceDN w:val="0"/>
        <w:adjustRightInd w:val="0"/>
        <w:ind w:left="547" w:hanging="547"/>
        <w:jc w:val="both"/>
        <w:rPr>
          <w:color w:val="FF0000"/>
          <w:sz w:val="16"/>
          <w:szCs w:val="16"/>
        </w:rPr>
      </w:pPr>
      <w:r w:rsidRPr="0061086B">
        <w:rPr>
          <w:rStyle w:val="FootnoteReference"/>
          <w:color w:val="FF0000"/>
          <w:sz w:val="16"/>
          <w:szCs w:val="16"/>
        </w:rPr>
        <w:footnoteRef/>
      </w:r>
      <w:r w:rsidRPr="0061086B">
        <w:rPr>
          <w:color w:val="FF0000"/>
          <w:sz w:val="16"/>
          <w:szCs w:val="16"/>
        </w:rPr>
        <w:t xml:space="preserve"> Inserted by the S.R.O.494(I)/2016 dated 30.06.2016.</w:t>
      </w:r>
    </w:p>
    <w:p w:rsidR="00BF2117" w:rsidRPr="0061086B" w:rsidRDefault="00BF2117" w:rsidP="0061086B">
      <w:pPr>
        <w:autoSpaceDE w:val="0"/>
        <w:autoSpaceDN w:val="0"/>
        <w:adjustRightInd w:val="0"/>
        <w:ind w:left="90"/>
        <w:jc w:val="both"/>
        <w:rPr>
          <w:rFonts w:cs="Arial"/>
          <w:color w:val="FF0000"/>
          <w:sz w:val="16"/>
          <w:szCs w:val="16"/>
          <w:lang w:val="en-US"/>
        </w:rPr>
      </w:pPr>
      <w:r w:rsidRPr="0061086B">
        <w:rPr>
          <w:rFonts w:cs="Arial"/>
          <w:color w:val="FF0000"/>
          <w:sz w:val="16"/>
          <w:szCs w:val="16"/>
          <w:lang w:val="en-US"/>
        </w:rPr>
        <w:t xml:space="preserve"> [“ #### Notification</w:t>
      </w:r>
    </w:p>
    <w:p w:rsidR="00BF2117" w:rsidRPr="0061086B" w:rsidRDefault="00BF2117" w:rsidP="0061086B">
      <w:pPr>
        <w:ind w:left="180" w:hanging="7"/>
        <w:jc w:val="both"/>
        <w:rPr>
          <w:color w:val="FF0000"/>
          <w:sz w:val="16"/>
          <w:szCs w:val="16"/>
        </w:rPr>
      </w:pPr>
      <w:r w:rsidRPr="0061086B">
        <w:rPr>
          <w:color w:val="FF0000"/>
          <w:sz w:val="16"/>
          <w:szCs w:val="16"/>
        </w:rPr>
        <w:t>In exercise of the powers conferred by proviso under Division XXI of Part IV of the First Schedule to the Income Tax Ordinance, 2001 (XLIX of 2001), the Federal Government, is pleased to direct that in its Notification No.S.R.O.</w:t>
      </w:r>
      <w:r>
        <w:rPr>
          <w:color w:val="FF0000"/>
          <w:sz w:val="16"/>
          <w:szCs w:val="16"/>
        </w:rPr>
        <w:t>4</w:t>
      </w:r>
      <w:r w:rsidRPr="0061086B">
        <w:rPr>
          <w:color w:val="FF0000"/>
          <w:sz w:val="16"/>
          <w:szCs w:val="16"/>
        </w:rPr>
        <w:t>7</w:t>
      </w:r>
      <w:r>
        <w:rPr>
          <w:color w:val="FF0000"/>
          <w:sz w:val="16"/>
          <w:szCs w:val="16"/>
        </w:rPr>
        <w:t>2</w:t>
      </w:r>
      <w:r w:rsidRPr="0061086B">
        <w:rPr>
          <w:color w:val="FF0000"/>
          <w:sz w:val="16"/>
          <w:szCs w:val="16"/>
        </w:rPr>
        <w:t>(I)/2016 dated 3</w:t>
      </w:r>
      <w:r>
        <w:rPr>
          <w:color w:val="FF0000"/>
          <w:sz w:val="16"/>
          <w:szCs w:val="16"/>
        </w:rPr>
        <w:t>1</w:t>
      </w:r>
      <w:r w:rsidRPr="0061086B">
        <w:rPr>
          <w:color w:val="FF0000"/>
          <w:sz w:val="16"/>
          <w:szCs w:val="16"/>
          <w:vertAlign w:val="superscript"/>
        </w:rPr>
        <w:t>st</w:t>
      </w:r>
      <w:r>
        <w:rPr>
          <w:color w:val="FF0000"/>
          <w:sz w:val="16"/>
          <w:szCs w:val="16"/>
        </w:rPr>
        <w:t xml:space="preserve"> May</w:t>
      </w:r>
      <w:r w:rsidRPr="0061086B">
        <w:rPr>
          <w:color w:val="FF0000"/>
          <w:sz w:val="16"/>
          <w:szCs w:val="16"/>
        </w:rPr>
        <w:t>, 2016, the following amendments shall be made, namely:-</w:t>
      </w:r>
    </w:p>
    <w:p w:rsidR="00BF2117" w:rsidRPr="0061086B" w:rsidRDefault="00BF2117" w:rsidP="0061086B">
      <w:pPr>
        <w:ind w:left="180" w:firstLine="367"/>
        <w:jc w:val="both"/>
        <w:rPr>
          <w:color w:val="FF0000"/>
          <w:sz w:val="16"/>
          <w:szCs w:val="16"/>
          <w:lang w:val="en-US"/>
        </w:rPr>
      </w:pPr>
      <w:r w:rsidRPr="0061086B">
        <w:rPr>
          <w:color w:val="FF0000"/>
          <w:sz w:val="16"/>
          <w:szCs w:val="16"/>
        </w:rPr>
        <w:t xml:space="preserve">In the aforesaid Notification, for the words “first day of </w:t>
      </w:r>
      <w:r>
        <w:rPr>
          <w:color w:val="FF0000"/>
          <w:sz w:val="16"/>
          <w:szCs w:val="16"/>
        </w:rPr>
        <w:t>June</w:t>
      </w:r>
      <w:r w:rsidRPr="0061086B">
        <w:rPr>
          <w:color w:val="FF0000"/>
          <w:sz w:val="16"/>
          <w:szCs w:val="16"/>
        </w:rPr>
        <w:t xml:space="preserve">, 2016 to </w:t>
      </w:r>
      <w:r>
        <w:rPr>
          <w:color w:val="FF0000"/>
          <w:sz w:val="16"/>
          <w:szCs w:val="16"/>
        </w:rPr>
        <w:t xml:space="preserve">thirtieth </w:t>
      </w:r>
      <w:r w:rsidRPr="0061086B">
        <w:rPr>
          <w:color w:val="FF0000"/>
          <w:sz w:val="16"/>
          <w:szCs w:val="16"/>
        </w:rPr>
        <w:t xml:space="preserve">day of </w:t>
      </w:r>
      <w:r>
        <w:rPr>
          <w:color w:val="FF0000"/>
          <w:sz w:val="16"/>
          <w:szCs w:val="16"/>
        </w:rPr>
        <w:t>June</w:t>
      </w:r>
      <w:r w:rsidRPr="0061086B">
        <w:rPr>
          <w:color w:val="FF0000"/>
          <w:sz w:val="16"/>
          <w:szCs w:val="16"/>
        </w:rPr>
        <w:t xml:space="preserve">, 2016”, the words “first day of </w:t>
      </w:r>
      <w:r>
        <w:rPr>
          <w:color w:val="FF0000"/>
          <w:sz w:val="16"/>
          <w:szCs w:val="16"/>
        </w:rPr>
        <w:t>July</w:t>
      </w:r>
      <w:r w:rsidRPr="0061086B">
        <w:rPr>
          <w:color w:val="FF0000"/>
          <w:sz w:val="16"/>
          <w:szCs w:val="16"/>
        </w:rPr>
        <w:t>, 2016 to thirt</w:t>
      </w:r>
      <w:r>
        <w:rPr>
          <w:color w:val="FF0000"/>
          <w:sz w:val="16"/>
          <w:szCs w:val="16"/>
        </w:rPr>
        <w:t>y</w:t>
      </w:r>
      <w:r w:rsidRPr="0061086B">
        <w:rPr>
          <w:color w:val="FF0000"/>
          <w:sz w:val="16"/>
          <w:szCs w:val="16"/>
        </w:rPr>
        <w:t xml:space="preserve"> </w:t>
      </w:r>
      <w:r>
        <w:rPr>
          <w:color w:val="FF0000"/>
          <w:sz w:val="16"/>
          <w:szCs w:val="16"/>
        </w:rPr>
        <w:t xml:space="preserve">first </w:t>
      </w:r>
      <w:r w:rsidRPr="0061086B">
        <w:rPr>
          <w:color w:val="FF0000"/>
          <w:sz w:val="16"/>
          <w:szCs w:val="16"/>
        </w:rPr>
        <w:t>day of Ju</w:t>
      </w:r>
      <w:r>
        <w:rPr>
          <w:color w:val="FF0000"/>
          <w:sz w:val="16"/>
          <w:szCs w:val="16"/>
        </w:rPr>
        <w:t>ly</w:t>
      </w:r>
      <w:r w:rsidRPr="0061086B">
        <w:rPr>
          <w:color w:val="FF0000"/>
          <w:sz w:val="16"/>
          <w:szCs w:val="16"/>
        </w:rPr>
        <w:t>, 2016” shall be substituted.”]</w:t>
      </w:r>
    </w:p>
  </w:footnote>
  <w:footnote w:id="1753">
    <w:p w:rsidR="00BF2117" w:rsidRPr="0061086B" w:rsidRDefault="00BF2117" w:rsidP="0061086B">
      <w:pPr>
        <w:autoSpaceDE w:val="0"/>
        <w:autoSpaceDN w:val="0"/>
        <w:adjustRightInd w:val="0"/>
        <w:ind w:left="547" w:hanging="547"/>
        <w:jc w:val="both"/>
        <w:rPr>
          <w:color w:val="FF0000"/>
          <w:sz w:val="16"/>
          <w:szCs w:val="16"/>
        </w:rPr>
      </w:pPr>
      <w:r w:rsidRPr="0061086B">
        <w:rPr>
          <w:rStyle w:val="FootnoteReference"/>
          <w:color w:val="FF0000"/>
          <w:sz w:val="16"/>
          <w:szCs w:val="16"/>
        </w:rPr>
        <w:footnoteRef/>
      </w:r>
      <w:r w:rsidRPr="0061086B">
        <w:rPr>
          <w:color w:val="FF0000"/>
          <w:sz w:val="16"/>
          <w:szCs w:val="16"/>
        </w:rPr>
        <w:t xml:space="preserve"> Inserted by the S.R.O.72</w:t>
      </w:r>
      <w:r>
        <w:rPr>
          <w:color w:val="FF0000"/>
          <w:sz w:val="16"/>
          <w:szCs w:val="16"/>
        </w:rPr>
        <w:t>0</w:t>
      </w:r>
      <w:r w:rsidRPr="0061086B">
        <w:rPr>
          <w:color w:val="FF0000"/>
          <w:sz w:val="16"/>
          <w:szCs w:val="16"/>
        </w:rPr>
        <w:t xml:space="preserve">(I)/2016 dated </w:t>
      </w:r>
      <w:r>
        <w:rPr>
          <w:color w:val="FF0000"/>
          <w:sz w:val="16"/>
          <w:szCs w:val="16"/>
        </w:rPr>
        <w:t>01</w:t>
      </w:r>
      <w:r w:rsidRPr="0061086B">
        <w:rPr>
          <w:color w:val="FF0000"/>
          <w:sz w:val="16"/>
          <w:szCs w:val="16"/>
        </w:rPr>
        <w:t>.0</w:t>
      </w:r>
      <w:r>
        <w:rPr>
          <w:color w:val="FF0000"/>
          <w:sz w:val="16"/>
          <w:szCs w:val="16"/>
        </w:rPr>
        <w:t>8</w:t>
      </w:r>
      <w:r w:rsidRPr="0061086B">
        <w:rPr>
          <w:color w:val="FF0000"/>
          <w:sz w:val="16"/>
          <w:szCs w:val="16"/>
        </w:rPr>
        <w:t>.2016.</w:t>
      </w:r>
    </w:p>
    <w:p w:rsidR="00BF2117" w:rsidRPr="0061086B" w:rsidRDefault="00BF2117" w:rsidP="0061086B">
      <w:pPr>
        <w:autoSpaceDE w:val="0"/>
        <w:autoSpaceDN w:val="0"/>
        <w:adjustRightInd w:val="0"/>
        <w:ind w:left="90"/>
        <w:jc w:val="both"/>
        <w:rPr>
          <w:rFonts w:cs="Arial"/>
          <w:color w:val="FF0000"/>
          <w:sz w:val="16"/>
          <w:szCs w:val="16"/>
          <w:lang w:val="en-US"/>
        </w:rPr>
      </w:pPr>
      <w:r w:rsidRPr="0061086B">
        <w:rPr>
          <w:rFonts w:cs="Arial"/>
          <w:color w:val="FF0000"/>
          <w:sz w:val="16"/>
          <w:szCs w:val="16"/>
          <w:lang w:val="en-US"/>
        </w:rPr>
        <w:t xml:space="preserve"> [“ ###</w:t>
      </w:r>
      <w:r>
        <w:rPr>
          <w:rFonts w:cs="Arial"/>
          <w:color w:val="FF0000"/>
          <w:sz w:val="16"/>
          <w:szCs w:val="16"/>
          <w:lang w:val="en-US"/>
        </w:rPr>
        <w:t>##</w:t>
      </w:r>
      <w:r w:rsidRPr="0061086B">
        <w:rPr>
          <w:rFonts w:cs="Arial"/>
          <w:color w:val="FF0000"/>
          <w:sz w:val="16"/>
          <w:szCs w:val="16"/>
          <w:lang w:val="en-US"/>
        </w:rPr>
        <w:t xml:space="preserve"> Notification</w:t>
      </w:r>
    </w:p>
    <w:p w:rsidR="00BF2117" w:rsidRPr="0061086B" w:rsidRDefault="00BF2117" w:rsidP="0061086B">
      <w:pPr>
        <w:ind w:left="180" w:hanging="7"/>
        <w:jc w:val="both"/>
        <w:rPr>
          <w:color w:val="FF0000"/>
          <w:sz w:val="16"/>
          <w:szCs w:val="16"/>
        </w:rPr>
      </w:pPr>
      <w:r w:rsidRPr="0061086B">
        <w:rPr>
          <w:color w:val="FF0000"/>
          <w:sz w:val="16"/>
          <w:szCs w:val="16"/>
        </w:rPr>
        <w:t>In exercise of the powers conferred by proviso under Division XXI of Part IV of the First Schedule to the Income Tax Ordinance, 2001 (XLIX of 2001), the Federal Government, is pleased to direct that in its Notification No.S.R.O.</w:t>
      </w:r>
      <w:r>
        <w:rPr>
          <w:color w:val="FF0000"/>
          <w:sz w:val="16"/>
          <w:szCs w:val="16"/>
        </w:rPr>
        <w:t>494</w:t>
      </w:r>
      <w:r w:rsidRPr="0061086B">
        <w:rPr>
          <w:color w:val="FF0000"/>
          <w:sz w:val="16"/>
          <w:szCs w:val="16"/>
        </w:rPr>
        <w:t>(I)/2016 dated 30</w:t>
      </w:r>
      <w:r w:rsidRPr="0061086B">
        <w:rPr>
          <w:color w:val="FF0000"/>
          <w:sz w:val="16"/>
          <w:szCs w:val="16"/>
          <w:vertAlign w:val="superscript"/>
        </w:rPr>
        <w:t>th</w:t>
      </w:r>
      <w:r w:rsidRPr="0061086B">
        <w:rPr>
          <w:color w:val="FF0000"/>
          <w:sz w:val="16"/>
          <w:szCs w:val="16"/>
        </w:rPr>
        <w:t xml:space="preserve"> </w:t>
      </w:r>
      <w:r>
        <w:rPr>
          <w:color w:val="FF0000"/>
          <w:sz w:val="16"/>
          <w:szCs w:val="16"/>
        </w:rPr>
        <w:t>June</w:t>
      </w:r>
      <w:r w:rsidRPr="0061086B">
        <w:rPr>
          <w:color w:val="FF0000"/>
          <w:sz w:val="16"/>
          <w:szCs w:val="16"/>
        </w:rPr>
        <w:t>, 2016, the following amendments shall be made, namely:-</w:t>
      </w:r>
    </w:p>
    <w:p w:rsidR="00BF2117" w:rsidRPr="005E7420" w:rsidRDefault="00BF2117" w:rsidP="0061086B">
      <w:pPr>
        <w:ind w:left="180" w:firstLine="367"/>
        <w:jc w:val="both"/>
        <w:rPr>
          <w:color w:val="4F6228" w:themeColor="accent3" w:themeShade="80"/>
          <w:sz w:val="16"/>
          <w:szCs w:val="16"/>
          <w:lang w:val="en-US"/>
        </w:rPr>
      </w:pPr>
      <w:r w:rsidRPr="0061086B">
        <w:rPr>
          <w:color w:val="FF0000"/>
          <w:sz w:val="16"/>
          <w:szCs w:val="16"/>
        </w:rPr>
        <w:t xml:space="preserve">In the aforesaid Notification, for the words “first day of </w:t>
      </w:r>
      <w:r>
        <w:rPr>
          <w:color w:val="FF0000"/>
          <w:sz w:val="16"/>
          <w:szCs w:val="16"/>
        </w:rPr>
        <w:t>July</w:t>
      </w:r>
      <w:r w:rsidRPr="0061086B">
        <w:rPr>
          <w:color w:val="FF0000"/>
          <w:sz w:val="16"/>
          <w:szCs w:val="16"/>
        </w:rPr>
        <w:t xml:space="preserve">, 2016 to thirty first day of </w:t>
      </w:r>
      <w:r>
        <w:rPr>
          <w:color w:val="FF0000"/>
          <w:sz w:val="16"/>
          <w:szCs w:val="16"/>
        </w:rPr>
        <w:t>July</w:t>
      </w:r>
      <w:r w:rsidRPr="0061086B">
        <w:rPr>
          <w:color w:val="FF0000"/>
          <w:sz w:val="16"/>
          <w:szCs w:val="16"/>
        </w:rPr>
        <w:t xml:space="preserve">, 2016”, the words “first day of </w:t>
      </w:r>
      <w:r>
        <w:rPr>
          <w:color w:val="FF0000"/>
          <w:sz w:val="16"/>
          <w:szCs w:val="16"/>
        </w:rPr>
        <w:t>August</w:t>
      </w:r>
      <w:r w:rsidRPr="0061086B">
        <w:rPr>
          <w:color w:val="FF0000"/>
          <w:sz w:val="16"/>
          <w:szCs w:val="16"/>
        </w:rPr>
        <w:t>, 2016 to thirt</w:t>
      </w:r>
      <w:r>
        <w:rPr>
          <w:color w:val="FF0000"/>
          <w:sz w:val="16"/>
          <w:szCs w:val="16"/>
        </w:rPr>
        <w:t>y first</w:t>
      </w:r>
      <w:r w:rsidRPr="0061086B">
        <w:rPr>
          <w:color w:val="FF0000"/>
          <w:sz w:val="16"/>
          <w:szCs w:val="16"/>
        </w:rPr>
        <w:t xml:space="preserve"> day of </w:t>
      </w:r>
      <w:r>
        <w:rPr>
          <w:color w:val="FF0000"/>
          <w:sz w:val="16"/>
          <w:szCs w:val="16"/>
        </w:rPr>
        <w:t>August</w:t>
      </w:r>
      <w:r w:rsidRPr="0061086B">
        <w:rPr>
          <w:color w:val="FF0000"/>
          <w:sz w:val="16"/>
          <w:szCs w:val="16"/>
        </w:rPr>
        <w:t>, 2016” shall be substituted.”]</w:t>
      </w:r>
    </w:p>
  </w:footnote>
  <w:footnote w:id="1754">
    <w:p w:rsidR="00BF2117" w:rsidRPr="00D47C20" w:rsidRDefault="00BF2117">
      <w:pPr>
        <w:pStyle w:val="FootnoteText"/>
        <w:rPr>
          <w:color w:val="0070C0"/>
          <w:sz w:val="16"/>
          <w:szCs w:val="16"/>
        </w:rPr>
      </w:pPr>
      <w:r w:rsidRPr="00D47C20">
        <w:rPr>
          <w:rStyle w:val="FootnoteReference"/>
          <w:color w:val="0070C0"/>
          <w:sz w:val="16"/>
          <w:szCs w:val="16"/>
        </w:rPr>
        <w:footnoteRef/>
      </w:r>
      <w:r w:rsidRPr="00D47C20">
        <w:rPr>
          <w:color w:val="0070C0"/>
          <w:sz w:val="16"/>
          <w:szCs w:val="16"/>
        </w:rPr>
        <w:t xml:space="preserve"> Division XXII omitted by the Finance Act, 2016. Omitted Division read as follows:-</w:t>
      </w:r>
    </w:p>
    <w:p w:rsidR="00BF2117" w:rsidRPr="00AC6C01" w:rsidRDefault="00BF2117" w:rsidP="00AC6C01">
      <w:pPr>
        <w:autoSpaceDE w:val="0"/>
        <w:autoSpaceDN w:val="0"/>
        <w:adjustRightInd w:val="0"/>
        <w:ind w:left="2188" w:firstLine="547"/>
        <w:rPr>
          <w:rFonts w:cs="Arial"/>
          <w:b/>
          <w:bCs/>
          <w:color w:val="000000" w:themeColor="text1"/>
          <w:sz w:val="16"/>
          <w:szCs w:val="16"/>
          <w:lang w:val="en-US"/>
        </w:rPr>
      </w:pPr>
      <w:r>
        <w:rPr>
          <w:rFonts w:cs="Arial"/>
          <w:b/>
          <w:bCs/>
          <w:color w:val="000000" w:themeColor="text1"/>
          <w:sz w:val="16"/>
          <w:szCs w:val="16"/>
          <w:lang w:val="en-US"/>
        </w:rPr>
        <w:t>“</w:t>
      </w:r>
      <w:r w:rsidRPr="00AC6C01">
        <w:rPr>
          <w:rFonts w:cs="Arial"/>
          <w:b/>
          <w:bCs/>
          <w:color w:val="000000" w:themeColor="text1"/>
          <w:sz w:val="16"/>
          <w:szCs w:val="16"/>
          <w:lang w:val="en-US"/>
        </w:rPr>
        <w:t>Division XXII</w:t>
      </w:r>
    </w:p>
    <w:p w:rsidR="00BF2117" w:rsidRPr="00AC6C01" w:rsidRDefault="00BF2117" w:rsidP="00AC6C01">
      <w:pPr>
        <w:autoSpaceDE w:val="0"/>
        <w:autoSpaceDN w:val="0"/>
        <w:adjustRightInd w:val="0"/>
        <w:ind w:firstLine="547"/>
        <w:rPr>
          <w:rFonts w:cs="Arial"/>
          <w:b/>
          <w:bCs/>
          <w:color w:val="000000" w:themeColor="text1"/>
          <w:sz w:val="16"/>
          <w:szCs w:val="16"/>
          <w:lang w:val="en-US"/>
        </w:rPr>
      </w:pPr>
      <w:r w:rsidRPr="00AC6C01">
        <w:rPr>
          <w:rFonts w:cs="Arial"/>
          <w:b/>
          <w:bCs/>
          <w:color w:val="000000" w:themeColor="text1"/>
          <w:sz w:val="16"/>
          <w:szCs w:val="16"/>
          <w:lang w:val="en-US"/>
        </w:rPr>
        <w:t>Rate of Collection of Tax by Pakistan Mercantile Exchange Limited</w:t>
      </w:r>
    </w:p>
    <w:p w:rsidR="00BF2117" w:rsidRPr="00AC6C01" w:rsidRDefault="00BF2117" w:rsidP="00AC6C01">
      <w:pPr>
        <w:autoSpaceDE w:val="0"/>
        <w:autoSpaceDN w:val="0"/>
        <w:adjustRightInd w:val="0"/>
        <w:ind w:firstLine="547"/>
        <w:jc w:val="both"/>
        <w:rPr>
          <w:rFonts w:cs="Arial"/>
          <w:color w:val="000000" w:themeColor="text1"/>
          <w:sz w:val="16"/>
          <w:szCs w:val="16"/>
          <w:lang w:val="en-US"/>
        </w:rPr>
      </w:pPr>
      <w:r w:rsidRPr="00AC6C01">
        <w:rPr>
          <w:rFonts w:cs="Arial"/>
          <w:color w:val="000000" w:themeColor="text1"/>
          <w:sz w:val="16"/>
          <w:szCs w:val="16"/>
          <w:lang w:val="en-US"/>
        </w:rPr>
        <w:t>The rate of tax to be collected under section 236T shall be as follows:–</w:t>
      </w:r>
    </w:p>
    <w:p w:rsidR="00BF2117" w:rsidRPr="00AC6C01" w:rsidRDefault="00BF2117" w:rsidP="00AC6C01">
      <w:pPr>
        <w:autoSpaceDE w:val="0"/>
        <w:autoSpaceDN w:val="0"/>
        <w:adjustRightInd w:val="0"/>
        <w:ind w:left="547" w:firstLine="547"/>
        <w:jc w:val="both"/>
        <w:rPr>
          <w:rFonts w:cs="Arial"/>
          <w:color w:val="000000" w:themeColor="text1"/>
          <w:sz w:val="16"/>
          <w:szCs w:val="16"/>
          <w:lang w:val="en-US"/>
        </w:rPr>
      </w:pPr>
      <w:r w:rsidRPr="00AC6C01">
        <w:rPr>
          <w:rFonts w:cs="Arial"/>
          <w:color w:val="000000" w:themeColor="text1"/>
          <w:sz w:val="16"/>
          <w:szCs w:val="16"/>
          <w:lang w:val="en-US"/>
        </w:rPr>
        <w:t>in case of sale or purchase of future commodity contract as per clause (a) and (b) of sub-section (1) of section 236T shall be 0.05%.</w:t>
      </w:r>
      <w:r>
        <w:rPr>
          <w:rFonts w:cs="Arial"/>
          <w:color w:val="000000" w:themeColor="text1"/>
          <w:sz w:val="16"/>
          <w:szCs w:val="16"/>
          <w:lang w:val="en-US"/>
        </w:rPr>
        <w:t>”</w:t>
      </w:r>
    </w:p>
    <w:p w:rsidR="00BF2117" w:rsidRPr="00AC6C01" w:rsidRDefault="00BF2117">
      <w:pPr>
        <w:pStyle w:val="FootnoteText"/>
        <w:rPr>
          <w:color w:val="FF0000"/>
          <w:sz w:val="16"/>
          <w:szCs w:val="16"/>
          <w:lang w:val="en-US"/>
        </w:rPr>
      </w:pPr>
    </w:p>
  </w:footnote>
  <w:footnote w:id="1755">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Inserted by the Finance Act, 2016. </w:t>
      </w:r>
    </w:p>
  </w:footnote>
  <w:footnote w:id="1756">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Inserted by the Finance Act, 2016.</w:t>
      </w:r>
    </w:p>
  </w:footnote>
  <w:footnote w:id="1757">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(1) omitted by the Finance Act, 2003. The omitted clause (1) read as follows: </w:t>
      </w:r>
    </w:p>
    <w:p w:rsidR="00BF2117" w:rsidRDefault="00BF2117" w:rsidP="00AA4BF8">
      <w:pPr>
        <w:widowControl w:val="0"/>
        <w:ind w:left="180"/>
        <w:jc w:val="both"/>
      </w:pPr>
      <w:r w:rsidRPr="00412620">
        <w:rPr>
          <w:snapToGrid w:val="0"/>
          <w:sz w:val="16"/>
          <w:szCs w:val="16"/>
        </w:rPr>
        <w:t>“</w:t>
      </w:r>
      <w:r w:rsidRPr="00412620">
        <w:rPr>
          <w:b/>
          <w:bCs/>
          <w:snapToGrid w:val="0"/>
          <w:sz w:val="16"/>
          <w:szCs w:val="16"/>
        </w:rPr>
        <w:t>(1)</w:t>
      </w:r>
      <w:r w:rsidRPr="00412620">
        <w:rPr>
          <w:snapToGrid w:val="0"/>
          <w:sz w:val="16"/>
          <w:szCs w:val="16"/>
        </w:rPr>
        <w:tab/>
        <w:t>Any income chargeable under the head "Salary" received by any person being an employee of the International Irrigation Management Institute (IIMI) in Pakistan, who is neither a citizen of Pakistan nor a resident individual in any of the four years immediately preceding the year in which he arrived in Pakistan.”</w:t>
      </w:r>
    </w:p>
  </w:footnote>
  <w:footnote w:id="1758">
    <w:p w:rsidR="00BF2117" w:rsidRPr="00412620" w:rsidRDefault="00BF2117" w:rsidP="00AA4BF8">
      <w:pPr>
        <w:pStyle w:val="FootnoteText"/>
        <w:rPr>
          <w:sz w:val="16"/>
          <w:szCs w:val="16"/>
        </w:rPr>
      </w:pPr>
      <w:r w:rsidRPr="00412620">
        <w:rPr>
          <w:rStyle w:val="FootnoteReference"/>
          <w:rFonts w:cs="Arial"/>
        </w:rPr>
        <w:footnoteRef/>
      </w:r>
      <w:r w:rsidRPr="00412620">
        <w:rPr>
          <w:sz w:val="16"/>
          <w:szCs w:val="16"/>
        </w:rPr>
        <w:t>Clause (2) omitted by the Finance Act, 2008. The omitted clause (2) read as follows:</w:t>
      </w:r>
    </w:p>
    <w:p w:rsidR="00BF2117" w:rsidRDefault="00BF2117" w:rsidP="00AA4BF8">
      <w:pPr>
        <w:widowControl w:val="0"/>
        <w:ind w:left="180"/>
        <w:jc w:val="both"/>
      </w:pPr>
      <w:r w:rsidRPr="00412620">
        <w:rPr>
          <w:sz w:val="16"/>
          <w:szCs w:val="16"/>
        </w:rPr>
        <w:t>“</w:t>
      </w:r>
      <w:r w:rsidRPr="00412620">
        <w:rPr>
          <w:b/>
          <w:bCs/>
          <w:snapToGrid w:val="0"/>
          <w:sz w:val="16"/>
          <w:szCs w:val="16"/>
        </w:rPr>
        <w:t>(2)</w:t>
      </w:r>
      <w:r w:rsidRPr="00412620">
        <w:rPr>
          <w:snapToGrid w:val="0"/>
          <w:sz w:val="16"/>
          <w:szCs w:val="16"/>
        </w:rPr>
        <w:tab/>
        <w:t>Any income chargeable under the head "Salary" received by, or due to, any person, not being a citizen of Pakistan or a resident individual, as remuneration for services rendered by him as a health professional under the contract of service concluded with Shaukat</w:t>
      </w:r>
      <w:r>
        <w:rPr>
          <w:snapToGrid w:val="0"/>
          <w:sz w:val="16"/>
          <w:szCs w:val="16"/>
        </w:rPr>
        <w:t xml:space="preserve"> </w:t>
      </w:r>
      <w:r w:rsidRPr="00412620">
        <w:rPr>
          <w:snapToGrid w:val="0"/>
          <w:sz w:val="16"/>
          <w:szCs w:val="16"/>
        </w:rPr>
        <w:t>Khanum Memorial Hospital and Research Center, Lahore, and approved by the Federal Government for the purposes of this clause.”</w:t>
      </w:r>
    </w:p>
  </w:footnote>
  <w:footnote w:id="1759">
    <w:p w:rsidR="00BF2117" w:rsidRPr="00DD1A3B" w:rsidRDefault="00BF2117">
      <w:pPr>
        <w:pStyle w:val="FootnoteText"/>
        <w:rPr>
          <w:color w:val="000000" w:themeColor="text1"/>
          <w:sz w:val="16"/>
          <w:szCs w:val="16"/>
          <w:lang w:val="en-US"/>
        </w:rPr>
      </w:pPr>
      <w:r w:rsidRPr="00DD1A3B">
        <w:rPr>
          <w:rStyle w:val="FootnoteReference"/>
          <w:color w:val="000000" w:themeColor="text1"/>
          <w:sz w:val="16"/>
          <w:szCs w:val="16"/>
        </w:rPr>
        <w:footnoteRef/>
      </w:r>
      <w:r w:rsidRPr="00DD1A3B">
        <w:rPr>
          <w:color w:val="000000" w:themeColor="text1"/>
          <w:sz w:val="16"/>
          <w:szCs w:val="16"/>
        </w:rPr>
        <w:t>The w</w:t>
      </w:r>
      <w:r w:rsidRPr="00DD1A3B">
        <w:rPr>
          <w:color w:val="000000" w:themeColor="text1"/>
          <w:sz w:val="16"/>
          <w:szCs w:val="16"/>
          <w:lang w:val="en-US"/>
        </w:rPr>
        <w:t>ords</w:t>
      </w:r>
      <w:r>
        <w:rPr>
          <w:color w:val="000000" w:themeColor="text1"/>
          <w:sz w:val="16"/>
          <w:szCs w:val="16"/>
          <w:lang w:val="en-US"/>
        </w:rPr>
        <w:t xml:space="preserve"> </w:t>
      </w:r>
      <w:r w:rsidRPr="00DD1A3B">
        <w:rPr>
          <w:color w:val="000000" w:themeColor="text1"/>
          <w:sz w:val="16"/>
          <w:szCs w:val="16"/>
          <w:lang w:val="en-US"/>
        </w:rPr>
        <w:t>“income year” substituted with words “tax year” by the Finance Act, 2014.</w:t>
      </w:r>
    </w:p>
  </w:footnote>
  <w:footnote w:id="1760">
    <w:p w:rsidR="00BF2117" w:rsidRPr="00ED18F6" w:rsidRDefault="00BF2117" w:rsidP="00AA4BF8">
      <w:pPr>
        <w:pStyle w:val="FootnoteText"/>
        <w:rPr>
          <w:sz w:val="16"/>
          <w:szCs w:val="16"/>
          <w:lang w:val="en-US"/>
        </w:rPr>
      </w:pPr>
      <w:r w:rsidRPr="00ED18F6">
        <w:rPr>
          <w:rStyle w:val="FootnoteReference"/>
          <w:rFonts w:cs="Arial"/>
          <w:sz w:val="16"/>
          <w:szCs w:val="16"/>
        </w:rPr>
        <w:footnoteRef/>
      </w:r>
      <w:r w:rsidRPr="00ED18F6">
        <w:rPr>
          <w:sz w:val="16"/>
          <w:szCs w:val="16"/>
        </w:rPr>
        <w:t xml:space="preserve"> Clause (6) o</w:t>
      </w:r>
      <w:r w:rsidRPr="00ED18F6">
        <w:rPr>
          <w:sz w:val="16"/>
          <w:szCs w:val="16"/>
          <w:lang w:val="en-US"/>
        </w:rPr>
        <w:t>mitted by the Finance Act, 2008. The omitted clause (6) read as follows:</w:t>
      </w:r>
    </w:p>
    <w:p w:rsidR="00BF2117" w:rsidRPr="00ED18F6" w:rsidRDefault="00BF2117" w:rsidP="00AA4BF8">
      <w:pPr>
        <w:pStyle w:val="FootnoteText"/>
        <w:ind w:left="270" w:hanging="90"/>
        <w:rPr>
          <w:sz w:val="16"/>
          <w:szCs w:val="16"/>
        </w:rPr>
      </w:pPr>
      <w:r w:rsidRPr="00ED18F6">
        <w:rPr>
          <w:sz w:val="16"/>
          <w:szCs w:val="16"/>
          <w:lang w:val="en-US"/>
        </w:rPr>
        <w:t>“</w:t>
      </w:r>
      <w:r w:rsidRPr="00ED18F6">
        <w:rPr>
          <w:b/>
          <w:bCs/>
          <w:snapToGrid w:val="0"/>
          <w:sz w:val="16"/>
          <w:szCs w:val="16"/>
        </w:rPr>
        <w:t>(6)</w:t>
      </w:r>
      <w:r w:rsidRPr="00ED18F6">
        <w:rPr>
          <w:snapToGrid w:val="0"/>
          <w:sz w:val="16"/>
          <w:szCs w:val="16"/>
        </w:rPr>
        <w:tab/>
        <w:t>Any income chargeable under the head “Salary” received by a person, not being a citizen of Pakistan, by virtue of his employment with the British Council.”</w:t>
      </w:r>
    </w:p>
  </w:footnote>
  <w:footnote w:id="1761">
    <w:p w:rsidR="00BF2117" w:rsidRPr="00ED18F6" w:rsidRDefault="00BF2117" w:rsidP="00AA4BF8">
      <w:pPr>
        <w:pStyle w:val="FootnoteText"/>
        <w:keepNext/>
        <w:rPr>
          <w:sz w:val="16"/>
          <w:szCs w:val="16"/>
        </w:rPr>
      </w:pPr>
      <w:r w:rsidRPr="00ED18F6">
        <w:rPr>
          <w:rStyle w:val="FootnoteReference"/>
          <w:rFonts w:cs="Arial"/>
          <w:sz w:val="16"/>
          <w:szCs w:val="16"/>
        </w:rPr>
        <w:footnoteRef/>
      </w:r>
      <w:r w:rsidRPr="00ED18F6">
        <w:rPr>
          <w:sz w:val="16"/>
          <w:szCs w:val="16"/>
        </w:rPr>
        <w:t xml:space="preserve"> Clause (7) omitted by the Finance Act, 2002. The omitted clause (7) read as follows:</w:t>
      </w:r>
    </w:p>
    <w:p w:rsidR="00BF2117" w:rsidRPr="00ED18F6" w:rsidRDefault="00BF2117" w:rsidP="00AA4BF8">
      <w:pPr>
        <w:widowControl w:val="0"/>
        <w:ind w:left="180"/>
        <w:jc w:val="both"/>
        <w:rPr>
          <w:sz w:val="16"/>
          <w:szCs w:val="16"/>
        </w:rPr>
      </w:pPr>
      <w:r w:rsidRPr="00ED18F6">
        <w:rPr>
          <w:snapToGrid w:val="0"/>
          <w:sz w:val="16"/>
          <w:szCs w:val="16"/>
        </w:rPr>
        <w:t>“</w:t>
      </w:r>
      <w:r w:rsidRPr="00ED18F6">
        <w:rPr>
          <w:b/>
          <w:bCs/>
          <w:snapToGrid w:val="0"/>
          <w:sz w:val="16"/>
          <w:szCs w:val="16"/>
        </w:rPr>
        <w:t>(7)</w:t>
      </w:r>
      <w:r w:rsidRPr="00ED18F6">
        <w:rPr>
          <w:snapToGrid w:val="0"/>
          <w:sz w:val="16"/>
          <w:szCs w:val="16"/>
        </w:rPr>
        <w:tab/>
        <w:t>Any income chargeable under the head "Salary" paid by Government to Khasadars,</w:t>
      </w:r>
      <w:r w:rsidRPr="00ED18F6">
        <w:rPr>
          <w:sz w:val="16"/>
          <w:szCs w:val="16"/>
        </w:rPr>
        <w:t xml:space="preserve"> levies and Badraggas employed in the tribal territory on the North West Frontier and of all persons employed in the tribal levy services in Baluchistan.”</w:t>
      </w:r>
    </w:p>
  </w:footnote>
  <w:footnote w:id="1762">
    <w:p w:rsidR="00BF2117" w:rsidRPr="00ED18F6" w:rsidRDefault="00BF2117" w:rsidP="00AA4BF8">
      <w:pPr>
        <w:pStyle w:val="FootnoteText"/>
        <w:rPr>
          <w:sz w:val="16"/>
          <w:szCs w:val="16"/>
        </w:rPr>
      </w:pPr>
      <w:r w:rsidRPr="00ED18F6">
        <w:rPr>
          <w:rStyle w:val="FootnoteReference"/>
          <w:rFonts w:cs="Arial"/>
          <w:sz w:val="16"/>
          <w:szCs w:val="16"/>
        </w:rPr>
        <w:footnoteRef/>
      </w:r>
      <w:r w:rsidRPr="00ED18F6">
        <w:rPr>
          <w:sz w:val="16"/>
          <w:szCs w:val="16"/>
        </w:rPr>
        <w:t xml:space="preserve"> Clause (9) substituted by the Finance Act, 2006. The substituted clause (9) read as follows:</w:t>
      </w:r>
    </w:p>
    <w:p w:rsidR="00BF2117" w:rsidRPr="00ED18F6" w:rsidRDefault="00BF2117" w:rsidP="00AA4BF8">
      <w:pPr>
        <w:widowControl w:val="0"/>
        <w:ind w:left="180"/>
        <w:jc w:val="both"/>
        <w:rPr>
          <w:sz w:val="16"/>
          <w:szCs w:val="16"/>
        </w:rPr>
      </w:pPr>
      <w:r w:rsidRPr="00ED18F6">
        <w:rPr>
          <w:sz w:val="16"/>
          <w:szCs w:val="16"/>
        </w:rPr>
        <w:t>“</w:t>
      </w:r>
      <w:r w:rsidRPr="00ED18F6">
        <w:rPr>
          <w:b/>
          <w:bCs/>
          <w:snapToGrid w:val="0"/>
          <w:sz w:val="16"/>
          <w:szCs w:val="16"/>
        </w:rPr>
        <w:t>(9)</w:t>
      </w:r>
      <w:r w:rsidRPr="00ED18F6">
        <w:rPr>
          <w:snapToGrid w:val="0"/>
          <w:sz w:val="16"/>
          <w:szCs w:val="16"/>
        </w:rPr>
        <w:tab/>
        <w:t>Any pension received in respect of any service rendered by a member of the Armed Forces of Pakistan or as an employee of the Federal Government or a Provincial Government.</w:t>
      </w:r>
      <w:r w:rsidRPr="00ED18F6">
        <w:rPr>
          <w:sz w:val="16"/>
          <w:szCs w:val="16"/>
          <w:lang w:val="en-US"/>
        </w:rPr>
        <w:t>“</w:t>
      </w:r>
    </w:p>
  </w:footnote>
  <w:footnote w:id="1763">
    <w:p w:rsidR="00BF2117" w:rsidRPr="00ED18F6" w:rsidRDefault="00BF2117" w:rsidP="00AA4BF8">
      <w:pPr>
        <w:pStyle w:val="FootnoteText"/>
        <w:rPr>
          <w:sz w:val="16"/>
          <w:szCs w:val="16"/>
        </w:rPr>
      </w:pPr>
      <w:r w:rsidRPr="00ED18F6">
        <w:rPr>
          <w:rStyle w:val="FootnoteReference"/>
          <w:rFonts w:cs="Arial"/>
          <w:sz w:val="16"/>
          <w:szCs w:val="16"/>
        </w:rPr>
        <w:footnoteRef/>
      </w:r>
      <w:r w:rsidRPr="00ED18F6">
        <w:rPr>
          <w:sz w:val="16"/>
          <w:szCs w:val="16"/>
        </w:rPr>
        <w:t xml:space="preserve"> Clause (10) omitted by the Finance Act, 2006. The omitted clause (10) read as follows:</w:t>
      </w:r>
    </w:p>
    <w:p w:rsidR="00BF2117" w:rsidRPr="00ED18F6" w:rsidRDefault="00BF2117" w:rsidP="00AA4BF8">
      <w:pPr>
        <w:widowControl w:val="0"/>
        <w:ind w:left="180"/>
        <w:jc w:val="both"/>
        <w:rPr>
          <w:sz w:val="16"/>
          <w:szCs w:val="16"/>
        </w:rPr>
      </w:pPr>
      <w:r w:rsidRPr="00ED18F6">
        <w:rPr>
          <w:sz w:val="16"/>
          <w:szCs w:val="16"/>
        </w:rPr>
        <w:t>“</w:t>
      </w:r>
      <w:r w:rsidRPr="00ED18F6">
        <w:rPr>
          <w:b/>
          <w:bCs/>
          <w:snapToGrid w:val="0"/>
          <w:sz w:val="16"/>
          <w:szCs w:val="16"/>
        </w:rPr>
        <w:t>(10)</w:t>
      </w:r>
      <w:r w:rsidRPr="00ED18F6">
        <w:rPr>
          <w:snapToGrid w:val="0"/>
          <w:sz w:val="16"/>
          <w:szCs w:val="16"/>
        </w:rPr>
        <w:tab/>
        <w:t>Any pension granted to any public servant to whom clause (14) does not apply in respect of injuries received in the performance of his duties.”</w:t>
      </w:r>
    </w:p>
  </w:footnote>
  <w:footnote w:id="1764">
    <w:p w:rsidR="00BF2117" w:rsidRPr="00ED18F6" w:rsidRDefault="00BF2117" w:rsidP="00AA4BF8">
      <w:pPr>
        <w:pStyle w:val="FootnoteText"/>
        <w:jc w:val="both"/>
        <w:rPr>
          <w:sz w:val="16"/>
          <w:szCs w:val="16"/>
        </w:rPr>
      </w:pPr>
      <w:r w:rsidRPr="00ED18F6">
        <w:rPr>
          <w:rStyle w:val="FootnoteReference"/>
          <w:rFonts w:cs="Arial"/>
          <w:sz w:val="16"/>
          <w:szCs w:val="16"/>
        </w:rPr>
        <w:footnoteRef/>
      </w:r>
      <w:r w:rsidRPr="00ED18F6">
        <w:rPr>
          <w:sz w:val="16"/>
          <w:szCs w:val="16"/>
        </w:rPr>
        <w:t xml:space="preserve"> Clause (11) omitted by the Finance Act, 2006. The omitted clause (11) read as follows:</w:t>
      </w:r>
    </w:p>
    <w:p w:rsidR="00BF2117" w:rsidRPr="00ED18F6" w:rsidRDefault="00BF2117" w:rsidP="00AA4BF8">
      <w:pPr>
        <w:widowControl w:val="0"/>
        <w:ind w:left="180"/>
        <w:jc w:val="both"/>
        <w:rPr>
          <w:sz w:val="16"/>
          <w:szCs w:val="16"/>
        </w:rPr>
      </w:pPr>
      <w:r w:rsidRPr="00ED18F6">
        <w:rPr>
          <w:sz w:val="16"/>
          <w:szCs w:val="16"/>
        </w:rPr>
        <w:t>“</w:t>
      </w:r>
      <w:r w:rsidRPr="00ED18F6">
        <w:rPr>
          <w:b/>
          <w:bCs/>
          <w:snapToGrid w:val="0"/>
          <w:sz w:val="16"/>
          <w:szCs w:val="16"/>
        </w:rPr>
        <w:t>(11)</w:t>
      </w:r>
      <w:r w:rsidRPr="00ED18F6">
        <w:rPr>
          <w:snapToGrid w:val="0"/>
          <w:sz w:val="16"/>
          <w:szCs w:val="16"/>
        </w:rPr>
        <w:tab/>
        <w:t>Any pension granted to any public servant to whom clause (15) does not apply who has been invalidated from service on account of any bodily disability.”</w:t>
      </w:r>
    </w:p>
  </w:footnote>
  <w:footnote w:id="1765">
    <w:p w:rsidR="00BF2117" w:rsidRPr="00ED18F6" w:rsidRDefault="00BF2117">
      <w:pPr>
        <w:pStyle w:val="FootnoteText"/>
        <w:rPr>
          <w:sz w:val="16"/>
          <w:szCs w:val="16"/>
          <w:lang w:val="en-US"/>
        </w:rPr>
      </w:pPr>
      <w:r w:rsidRPr="00ED18F6">
        <w:rPr>
          <w:rStyle w:val="FootnoteReference"/>
          <w:sz w:val="16"/>
          <w:szCs w:val="16"/>
        </w:rPr>
        <w:footnoteRef/>
      </w:r>
      <w:r w:rsidRPr="00ED18F6">
        <w:rPr>
          <w:sz w:val="16"/>
          <w:szCs w:val="16"/>
          <w:lang w:val="en-US"/>
        </w:rPr>
        <w:t>The word</w:t>
      </w:r>
      <w:r>
        <w:rPr>
          <w:sz w:val="16"/>
          <w:szCs w:val="16"/>
          <w:lang w:val="en-US"/>
        </w:rPr>
        <w:t>s</w:t>
      </w:r>
      <w:r w:rsidRPr="00ED18F6">
        <w:rPr>
          <w:sz w:val="16"/>
          <w:szCs w:val="16"/>
          <w:lang w:val="en-US"/>
        </w:rPr>
        <w:t xml:space="preserve"> “Central Board of Revenue” substituted by the Finance Act, 2007.</w:t>
      </w:r>
    </w:p>
  </w:footnote>
  <w:footnote w:id="1766">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lang w:val="en-US"/>
        </w:rPr>
        <w:t>The words “local authority” substituted by the Finance Act, 2008.</w:t>
      </w:r>
    </w:p>
  </w:footnote>
  <w:footnote w:id="1767">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The word “two” substituted by the Finance Act, 2016.</w:t>
      </w:r>
    </w:p>
  </w:footnote>
  <w:footnote w:id="1768">
    <w:p w:rsidR="00BF2117" w:rsidRPr="00B66075" w:rsidRDefault="00BF2117">
      <w:pPr>
        <w:pStyle w:val="FootnoteText"/>
        <w:rPr>
          <w:sz w:val="16"/>
          <w:szCs w:val="16"/>
          <w:lang w:val="en-US"/>
        </w:rPr>
      </w:pPr>
      <w:r w:rsidRPr="00B66075">
        <w:rPr>
          <w:rStyle w:val="FootnoteReference"/>
          <w:sz w:val="16"/>
          <w:szCs w:val="16"/>
        </w:rPr>
        <w:footnoteRef/>
      </w:r>
      <w:r w:rsidRPr="00B66075">
        <w:rPr>
          <w:sz w:val="16"/>
          <w:szCs w:val="16"/>
          <w:lang w:val="en-US"/>
        </w:rPr>
        <w:t>The words  “Central Board of Revenue” substituted by the Finance Act, 2007.</w:t>
      </w:r>
    </w:p>
  </w:footnote>
  <w:footnote w:id="1769">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Clause (14) omitted by the Finance Act, 2006. The omitted clause (14) read as follows:</w:t>
      </w:r>
    </w:p>
    <w:p w:rsidR="00BF2117" w:rsidRPr="00B66075" w:rsidRDefault="00BF2117" w:rsidP="00AA4BF8">
      <w:pPr>
        <w:widowControl w:val="0"/>
        <w:ind w:left="180"/>
        <w:jc w:val="both"/>
        <w:rPr>
          <w:sz w:val="16"/>
          <w:szCs w:val="16"/>
        </w:rPr>
      </w:pPr>
      <w:r w:rsidRPr="00B66075">
        <w:rPr>
          <w:sz w:val="16"/>
          <w:szCs w:val="16"/>
        </w:rPr>
        <w:t>“</w:t>
      </w:r>
      <w:r w:rsidRPr="00B66075">
        <w:rPr>
          <w:b/>
          <w:bCs/>
          <w:snapToGrid w:val="0"/>
          <w:sz w:val="16"/>
          <w:szCs w:val="16"/>
        </w:rPr>
        <w:t xml:space="preserve">(14) </w:t>
      </w:r>
      <w:r w:rsidRPr="00B66075">
        <w:rPr>
          <w:snapToGrid w:val="0"/>
          <w:sz w:val="16"/>
          <w:szCs w:val="16"/>
        </w:rPr>
        <w:t>Any pension granted to the personnel of Armed Forces of Pakistan (including personnel of the Territorial Force and the National Service of Pakistan) in respect of injuries received in the performance of their duties as such.”</w:t>
      </w:r>
    </w:p>
  </w:footnote>
  <w:footnote w:id="1770">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Clause (15) omitted by the Finance Act, 2006. The omitted clause (15) read as follows: </w:t>
      </w:r>
    </w:p>
    <w:p w:rsidR="00BF2117" w:rsidRPr="00B66075" w:rsidRDefault="00BF2117" w:rsidP="00AA4BF8">
      <w:pPr>
        <w:widowControl w:val="0"/>
        <w:ind w:left="180"/>
        <w:jc w:val="both"/>
        <w:rPr>
          <w:sz w:val="16"/>
          <w:szCs w:val="16"/>
        </w:rPr>
      </w:pPr>
      <w:r w:rsidRPr="00412620">
        <w:rPr>
          <w:sz w:val="16"/>
          <w:szCs w:val="16"/>
        </w:rPr>
        <w:t>“</w:t>
      </w:r>
      <w:r w:rsidRPr="00412620">
        <w:rPr>
          <w:b/>
          <w:bCs/>
          <w:snapToGrid w:val="0"/>
          <w:sz w:val="16"/>
          <w:szCs w:val="16"/>
        </w:rPr>
        <w:t xml:space="preserve">(15) </w:t>
      </w:r>
      <w:r w:rsidRPr="00412620">
        <w:rPr>
          <w:snapToGrid w:val="0"/>
          <w:sz w:val="16"/>
          <w:szCs w:val="16"/>
        </w:rPr>
        <w:t xml:space="preserve">Any pension granted to the personnel of the Armed Forces of Pakistan (including personnel </w:t>
      </w:r>
      <w:r w:rsidRPr="00B66075">
        <w:rPr>
          <w:snapToGrid w:val="0"/>
          <w:sz w:val="16"/>
          <w:szCs w:val="16"/>
        </w:rPr>
        <w:t>of the Territorial Force and the National Service of Pakistan) invalidated from service with such Forces on account of bodily disability attributable to, or aggravated by, such service.”</w:t>
      </w:r>
    </w:p>
  </w:footnote>
  <w:footnote w:id="1771">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Clause (18) omitted by the Finance Act, 2006. The omitted clause (18) read as follows: </w:t>
      </w:r>
    </w:p>
    <w:p w:rsidR="00BF2117" w:rsidRPr="00B66075" w:rsidRDefault="00BF2117" w:rsidP="00AA4BF8">
      <w:pPr>
        <w:widowControl w:val="0"/>
        <w:ind w:left="180" w:hanging="90"/>
        <w:jc w:val="both"/>
        <w:rPr>
          <w:sz w:val="16"/>
          <w:szCs w:val="16"/>
        </w:rPr>
      </w:pPr>
      <w:r w:rsidRPr="00B66075">
        <w:rPr>
          <w:sz w:val="16"/>
          <w:szCs w:val="16"/>
        </w:rPr>
        <w:t>“</w:t>
      </w:r>
      <w:r w:rsidRPr="00B66075">
        <w:rPr>
          <w:b/>
          <w:bCs/>
          <w:snapToGrid w:val="0"/>
          <w:sz w:val="16"/>
          <w:szCs w:val="16"/>
        </w:rPr>
        <w:t>(18)</w:t>
      </w:r>
      <w:r w:rsidRPr="00B66075">
        <w:rPr>
          <w:snapToGrid w:val="0"/>
          <w:sz w:val="16"/>
          <w:szCs w:val="16"/>
        </w:rPr>
        <w:tab/>
        <w:t>Any pensions granted under the relevant rules to the families and dependents of public servants or members of the Armed Forces of Pakistan who die during service.</w:t>
      </w:r>
      <w:r w:rsidRPr="00B66075">
        <w:rPr>
          <w:sz w:val="16"/>
          <w:szCs w:val="16"/>
          <w:lang w:val="en-US"/>
        </w:rPr>
        <w:t>“</w:t>
      </w:r>
    </w:p>
  </w:footnote>
  <w:footnote w:id="1772">
    <w:p w:rsidR="00BF2117" w:rsidRDefault="00BF2117" w:rsidP="005F3BC1">
      <w:pPr>
        <w:widowControl w:val="0"/>
        <w:jc w:val="both"/>
        <w:rPr>
          <w:b/>
          <w:bCs/>
          <w:snapToGrid w:val="0"/>
          <w:sz w:val="20"/>
        </w:rPr>
      </w:pPr>
      <w:r w:rsidRPr="005F3BC1">
        <w:rPr>
          <w:rStyle w:val="FootnoteReference"/>
          <w:sz w:val="16"/>
          <w:szCs w:val="16"/>
        </w:rPr>
        <w:footnoteRef/>
      </w:r>
      <w:r w:rsidRPr="005F3BC1">
        <w:rPr>
          <w:sz w:val="16"/>
          <w:szCs w:val="16"/>
        </w:rPr>
        <w:t xml:space="preserve"> Clause </w:t>
      </w:r>
      <w:r>
        <w:rPr>
          <w:sz w:val="16"/>
          <w:szCs w:val="16"/>
        </w:rPr>
        <w:t>(</w:t>
      </w:r>
      <w:r w:rsidRPr="005F3BC1">
        <w:rPr>
          <w:sz w:val="16"/>
          <w:szCs w:val="16"/>
        </w:rPr>
        <w:t>20</w:t>
      </w:r>
      <w:r>
        <w:rPr>
          <w:sz w:val="16"/>
          <w:szCs w:val="16"/>
        </w:rPr>
        <w:t>) omitted by the Finance Act, 2015. The omitted clause (20) read as follows:-</w:t>
      </w:r>
    </w:p>
    <w:p w:rsidR="00BF2117" w:rsidRPr="005F3BC1" w:rsidRDefault="00BF2117" w:rsidP="00C53DC8">
      <w:pPr>
        <w:widowControl w:val="0"/>
        <w:ind w:left="90"/>
        <w:jc w:val="both"/>
        <w:rPr>
          <w:sz w:val="16"/>
          <w:szCs w:val="16"/>
          <w:lang w:val="en-US"/>
        </w:rPr>
      </w:pPr>
      <w:r>
        <w:rPr>
          <w:b/>
          <w:bCs/>
          <w:snapToGrid w:val="0"/>
          <w:sz w:val="20"/>
        </w:rPr>
        <w:t>“</w:t>
      </w:r>
      <w:r w:rsidRPr="005F3BC1">
        <w:rPr>
          <w:b/>
          <w:bCs/>
          <w:snapToGrid w:val="0"/>
          <w:sz w:val="16"/>
          <w:szCs w:val="16"/>
        </w:rPr>
        <w:t>(20)</w:t>
      </w:r>
      <w:r w:rsidRPr="005F3BC1">
        <w:rPr>
          <w:snapToGrid w:val="0"/>
          <w:sz w:val="16"/>
          <w:szCs w:val="16"/>
        </w:rPr>
        <w:tab/>
        <w:t>Any income received by a person from an annuity issued under the Pakistan Postal Annuity Certificate Scheme on or after the 27th July, 1977, not exceeding ten thousand rupees per annum.</w:t>
      </w:r>
      <w:r>
        <w:rPr>
          <w:snapToGrid w:val="0"/>
          <w:sz w:val="16"/>
          <w:szCs w:val="16"/>
        </w:rPr>
        <w:t>”</w:t>
      </w:r>
    </w:p>
  </w:footnote>
  <w:footnote w:id="1773">
    <w:p w:rsidR="00BF2117" w:rsidRPr="00B66075" w:rsidRDefault="00BF2117" w:rsidP="00AA4BF8">
      <w:pPr>
        <w:pStyle w:val="FootnoteText"/>
        <w:rPr>
          <w:sz w:val="16"/>
          <w:szCs w:val="16"/>
          <w:lang w:val="en-US"/>
        </w:rPr>
      </w:pPr>
      <w:r w:rsidRPr="00B66075">
        <w:rPr>
          <w:rStyle w:val="FootnoteReference"/>
          <w:rFonts w:cs="Arial"/>
          <w:sz w:val="16"/>
          <w:szCs w:val="16"/>
        </w:rPr>
        <w:footnoteRef/>
      </w:r>
      <w:r w:rsidRPr="00B66075">
        <w:rPr>
          <w:sz w:val="16"/>
          <w:szCs w:val="16"/>
        </w:rPr>
        <w:t xml:space="preserve"> Clause (21) o</w:t>
      </w:r>
      <w:r w:rsidRPr="00B66075">
        <w:rPr>
          <w:sz w:val="16"/>
          <w:szCs w:val="16"/>
          <w:lang w:val="en-US"/>
        </w:rPr>
        <w:t>mitted by the Finance Act, 2008. The omitted clause (21) read as follows:</w:t>
      </w:r>
    </w:p>
    <w:p w:rsidR="00BF2117" w:rsidRPr="00B66075" w:rsidRDefault="00BF2117" w:rsidP="00AA4BF8">
      <w:pPr>
        <w:widowControl w:val="0"/>
        <w:ind w:left="180" w:hanging="90"/>
        <w:jc w:val="both"/>
        <w:rPr>
          <w:snapToGrid w:val="0"/>
          <w:sz w:val="16"/>
          <w:szCs w:val="16"/>
        </w:rPr>
      </w:pPr>
      <w:r w:rsidRPr="00B66075">
        <w:rPr>
          <w:sz w:val="16"/>
          <w:szCs w:val="16"/>
          <w:lang w:val="en-US"/>
        </w:rPr>
        <w:t>“</w:t>
      </w:r>
      <w:r w:rsidRPr="00B66075">
        <w:rPr>
          <w:b/>
          <w:bCs/>
          <w:snapToGrid w:val="0"/>
          <w:sz w:val="16"/>
          <w:szCs w:val="16"/>
        </w:rPr>
        <w:t>(21)</w:t>
      </w:r>
      <w:r w:rsidRPr="00B66075">
        <w:rPr>
          <w:snapToGrid w:val="0"/>
          <w:sz w:val="16"/>
          <w:szCs w:val="16"/>
        </w:rPr>
        <w:tab/>
        <w:t>Any income received by a person from an annuity or annuities issued upto 30</w:t>
      </w:r>
      <w:r w:rsidRPr="00B66075">
        <w:rPr>
          <w:snapToGrid w:val="0"/>
          <w:sz w:val="16"/>
          <w:szCs w:val="16"/>
          <w:vertAlign w:val="superscript"/>
        </w:rPr>
        <w:t>th</w:t>
      </w:r>
      <w:r w:rsidRPr="00B66075">
        <w:rPr>
          <w:snapToGrid w:val="0"/>
          <w:sz w:val="16"/>
          <w:szCs w:val="16"/>
        </w:rPr>
        <w:t xml:space="preserve"> June, 2005 by the State Life Insurance Corporation of Pakistan or a life insurance company registered under section 3 of the Insurance Ordinance, 2000 (XXXIX of 2000):</w:t>
      </w:r>
    </w:p>
    <w:p w:rsidR="00BF2117" w:rsidRPr="00B66075" w:rsidRDefault="00BF2117" w:rsidP="00AA4BF8">
      <w:pPr>
        <w:pStyle w:val="FootnoteText"/>
        <w:ind w:left="180" w:firstLine="0"/>
        <w:rPr>
          <w:sz w:val="16"/>
          <w:szCs w:val="16"/>
        </w:rPr>
      </w:pPr>
      <w:r w:rsidRPr="00B66075">
        <w:rPr>
          <w:snapToGrid w:val="0"/>
          <w:sz w:val="16"/>
          <w:szCs w:val="16"/>
        </w:rPr>
        <w:tab/>
        <w:t>Provided that this clause shall not apply to so much of the income received by a person from an annuity or annuities which, together with the income from any annuity or annuities referred to in clause (20), exceeds ten thousand rupees per annum.”</w:t>
      </w:r>
    </w:p>
  </w:footnote>
  <w:footnote w:id="1774">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Inserted by the Finance Act, 2006.</w:t>
      </w:r>
    </w:p>
  </w:footnote>
  <w:footnote w:id="1775">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The figure “25” substituted by the Finance Act, 2009.</w:t>
      </w:r>
    </w:p>
  </w:footnote>
  <w:footnote w:id="1776">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Inserted by the Finance Act, 2012.</w:t>
      </w:r>
    </w:p>
  </w:footnote>
  <w:footnote w:id="1777">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Inserted by the Finance Act, 2012.</w:t>
      </w:r>
    </w:p>
  </w:footnote>
  <w:footnote w:id="1778">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lang w:val="en-US"/>
        </w:rPr>
        <w:t>Added by the Finance Act, 2008.</w:t>
      </w:r>
    </w:p>
  </w:footnote>
  <w:footnote w:id="1779">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Sub-clause (i) omitted by the Finance Act, 2008. The omitted sub-clause (i) read as follows: </w:t>
      </w:r>
    </w:p>
    <w:p w:rsidR="00BF2117" w:rsidRPr="00B66075" w:rsidRDefault="00BF2117" w:rsidP="00AA4BF8">
      <w:pPr>
        <w:widowControl w:val="0"/>
        <w:ind w:left="630" w:hanging="450"/>
        <w:jc w:val="both"/>
        <w:rPr>
          <w:sz w:val="16"/>
          <w:szCs w:val="16"/>
        </w:rPr>
      </w:pPr>
      <w:r w:rsidRPr="00B66075">
        <w:rPr>
          <w:sz w:val="16"/>
          <w:szCs w:val="16"/>
        </w:rPr>
        <w:t>“</w:t>
      </w:r>
      <w:r w:rsidRPr="00B66075">
        <w:rPr>
          <w:snapToGrid w:val="0"/>
          <w:sz w:val="16"/>
          <w:szCs w:val="16"/>
        </w:rPr>
        <w:t xml:space="preserve"> (i) </w:t>
      </w:r>
      <w:r w:rsidRPr="00B66075">
        <w:rPr>
          <w:snapToGrid w:val="0"/>
          <w:sz w:val="16"/>
          <w:szCs w:val="16"/>
        </w:rPr>
        <w:tab/>
        <w:t>in the case of an employee of the Government or a local authority or  a statutory body or corporation established by any law for the time being in force, the amount receivable in accordance with the  rules and conditions of his service;”</w:t>
      </w:r>
    </w:p>
  </w:footnote>
  <w:footnote w:id="1780">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Sub-clause (ii) omitted by the Finance Act, 2008. The omitted sub-clause (ii) read as follows:</w:t>
      </w:r>
    </w:p>
    <w:p w:rsidR="00BF2117" w:rsidRPr="00B66075" w:rsidRDefault="00BF2117" w:rsidP="00AA4BF8">
      <w:pPr>
        <w:pStyle w:val="FootnoteText"/>
        <w:ind w:left="630" w:hanging="450"/>
        <w:rPr>
          <w:sz w:val="16"/>
          <w:szCs w:val="16"/>
        </w:rPr>
      </w:pPr>
      <w:r w:rsidRPr="00B66075">
        <w:rPr>
          <w:sz w:val="16"/>
          <w:szCs w:val="16"/>
        </w:rPr>
        <w:t xml:space="preserve">“(ii) </w:t>
      </w:r>
      <w:r w:rsidRPr="00B66075">
        <w:rPr>
          <w:sz w:val="16"/>
          <w:szCs w:val="16"/>
        </w:rPr>
        <w:tab/>
        <w:t>any</w:t>
      </w:r>
      <w:r w:rsidRPr="00B66075">
        <w:rPr>
          <w:snapToGrid w:val="0"/>
          <w:sz w:val="16"/>
          <w:szCs w:val="16"/>
        </w:rPr>
        <w:t xml:space="preserve"> amount receivable from any gratuity fund approved by the Commissioner in accordance with the rules contained in Part III of the Sixth Schedule;</w:t>
      </w:r>
    </w:p>
  </w:footnote>
  <w:footnote w:id="1781">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Sub-clause (iii) omitted by the Finance Act, 2008. The omitted sub-clause (iii) read as follows:</w:t>
      </w:r>
    </w:p>
    <w:p w:rsidR="00BF2117" w:rsidRPr="00B66075" w:rsidRDefault="00BF2117" w:rsidP="00AA4BF8">
      <w:pPr>
        <w:widowControl w:val="0"/>
        <w:ind w:left="630" w:hanging="450"/>
        <w:jc w:val="both"/>
        <w:rPr>
          <w:sz w:val="16"/>
          <w:szCs w:val="16"/>
        </w:rPr>
      </w:pPr>
      <w:r w:rsidRPr="00B66075">
        <w:rPr>
          <w:sz w:val="16"/>
          <w:szCs w:val="16"/>
        </w:rPr>
        <w:t>“</w:t>
      </w:r>
      <w:r w:rsidRPr="00B66075">
        <w:rPr>
          <w:snapToGrid w:val="0"/>
          <w:sz w:val="16"/>
          <w:szCs w:val="16"/>
        </w:rPr>
        <w:t xml:space="preserve">(iii) </w:t>
      </w:r>
      <w:r w:rsidRPr="00B66075">
        <w:rPr>
          <w:snapToGrid w:val="0"/>
          <w:sz w:val="16"/>
          <w:szCs w:val="16"/>
        </w:rPr>
        <w:tab/>
        <w:t>in the case of any other employee, the amount not exceeding two hundred thousand rupees receivable under any scheme applicable to all employees of the employer and approved by the Central Board of Revenue for the purposes of this sub-clause; and</w:t>
      </w:r>
    </w:p>
  </w:footnote>
  <w:footnote w:id="1782">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Sub-clause (iv) omitted by the Finance Act, 2008. The omitted sub-clause (iii) read as follows:</w:t>
      </w:r>
    </w:p>
    <w:p w:rsidR="00BF2117" w:rsidRPr="00B66075" w:rsidRDefault="00BF2117" w:rsidP="00AA4BF8">
      <w:pPr>
        <w:widowControl w:val="0"/>
        <w:ind w:left="630" w:hanging="450"/>
        <w:jc w:val="both"/>
        <w:rPr>
          <w:snapToGrid w:val="0"/>
          <w:sz w:val="16"/>
          <w:szCs w:val="16"/>
        </w:rPr>
      </w:pPr>
      <w:r w:rsidRPr="00B66075">
        <w:rPr>
          <w:sz w:val="16"/>
          <w:szCs w:val="16"/>
        </w:rPr>
        <w:t>“</w:t>
      </w:r>
      <w:r w:rsidRPr="00B66075">
        <w:rPr>
          <w:snapToGrid w:val="0"/>
          <w:sz w:val="16"/>
          <w:szCs w:val="16"/>
        </w:rPr>
        <w:t xml:space="preserve">(iv) </w:t>
      </w:r>
      <w:r w:rsidRPr="00B66075">
        <w:rPr>
          <w:snapToGrid w:val="0"/>
          <w:sz w:val="16"/>
          <w:szCs w:val="16"/>
        </w:rPr>
        <w:tab/>
        <w:t>in the case of any employee to whom sub-clauses (i), (ii) and (iii) do  not apply, fifty per cent of the amount receivable or seventy-five thousand rupees, whichever is the less:</w:t>
      </w:r>
    </w:p>
    <w:p w:rsidR="00BF2117" w:rsidRPr="00B66075" w:rsidRDefault="00BF2117" w:rsidP="00AA4BF8">
      <w:pPr>
        <w:widowControl w:val="0"/>
        <w:ind w:left="1080" w:hanging="1080"/>
        <w:jc w:val="both"/>
        <w:rPr>
          <w:snapToGrid w:val="0"/>
          <w:sz w:val="16"/>
          <w:szCs w:val="16"/>
        </w:rPr>
      </w:pPr>
      <w:r w:rsidRPr="00B66075">
        <w:rPr>
          <w:snapToGrid w:val="0"/>
          <w:sz w:val="16"/>
          <w:szCs w:val="16"/>
        </w:rPr>
        <w:tab/>
        <w:t>Provided that nothing in this sub-clause shall apply-</w:t>
      </w:r>
    </w:p>
    <w:p w:rsidR="00BF2117" w:rsidRPr="00B66075" w:rsidRDefault="00BF2117" w:rsidP="00AA4BF8">
      <w:pPr>
        <w:widowControl w:val="0"/>
        <w:ind w:left="1620" w:hanging="540"/>
        <w:jc w:val="both"/>
        <w:rPr>
          <w:snapToGrid w:val="0"/>
          <w:sz w:val="16"/>
          <w:szCs w:val="16"/>
        </w:rPr>
      </w:pPr>
      <w:r w:rsidRPr="00B66075">
        <w:rPr>
          <w:snapToGrid w:val="0"/>
          <w:sz w:val="16"/>
          <w:szCs w:val="16"/>
        </w:rPr>
        <w:t>(a)</w:t>
      </w:r>
      <w:r w:rsidRPr="00B66075">
        <w:rPr>
          <w:snapToGrid w:val="0"/>
          <w:sz w:val="16"/>
          <w:szCs w:val="16"/>
        </w:rPr>
        <w:tab/>
        <w:t>to any payment which is not received in Pakistan ;</w:t>
      </w:r>
    </w:p>
    <w:p w:rsidR="00BF2117" w:rsidRPr="00B66075" w:rsidRDefault="00BF2117" w:rsidP="00AA4BF8">
      <w:pPr>
        <w:widowControl w:val="0"/>
        <w:ind w:left="1620" w:hanging="540"/>
        <w:jc w:val="both"/>
        <w:rPr>
          <w:snapToGrid w:val="0"/>
          <w:sz w:val="16"/>
          <w:szCs w:val="16"/>
        </w:rPr>
      </w:pPr>
      <w:r w:rsidRPr="00B66075">
        <w:rPr>
          <w:snapToGrid w:val="0"/>
          <w:sz w:val="16"/>
          <w:szCs w:val="16"/>
        </w:rPr>
        <w:t>(b)</w:t>
      </w:r>
      <w:r w:rsidRPr="00B66075">
        <w:rPr>
          <w:snapToGrid w:val="0"/>
          <w:sz w:val="16"/>
          <w:szCs w:val="16"/>
        </w:rPr>
        <w:tab/>
        <w:t>to any payment received from a company by a director of such company who is not regular employee of such company;</w:t>
      </w:r>
    </w:p>
    <w:p w:rsidR="00BF2117" w:rsidRPr="00B66075" w:rsidRDefault="00BF2117" w:rsidP="00AA4BF8">
      <w:pPr>
        <w:widowControl w:val="0"/>
        <w:ind w:left="1620" w:hanging="540"/>
        <w:jc w:val="both"/>
        <w:rPr>
          <w:snapToGrid w:val="0"/>
          <w:sz w:val="16"/>
          <w:szCs w:val="16"/>
        </w:rPr>
      </w:pPr>
      <w:r w:rsidRPr="00B66075">
        <w:rPr>
          <w:snapToGrid w:val="0"/>
          <w:sz w:val="16"/>
          <w:szCs w:val="16"/>
        </w:rPr>
        <w:t xml:space="preserve">(c) </w:t>
      </w:r>
      <w:r w:rsidRPr="00B66075">
        <w:rPr>
          <w:snapToGrid w:val="0"/>
          <w:sz w:val="16"/>
          <w:szCs w:val="16"/>
        </w:rPr>
        <w:tab/>
        <w:t>to any payment received by an employee who is not a resident of Pakistan; and</w:t>
      </w:r>
    </w:p>
    <w:p w:rsidR="00BF2117" w:rsidRPr="00B66075" w:rsidRDefault="00BF2117" w:rsidP="00AA4BF8">
      <w:pPr>
        <w:widowControl w:val="0"/>
        <w:ind w:left="1620" w:hanging="540"/>
        <w:jc w:val="both"/>
        <w:rPr>
          <w:sz w:val="16"/>
          <w:szCs w:val="16"/>
        </w:rPr>
      </w:pPr>
      <w:r w:rsidRPr="00B66075">
        <w:rPr>
          <w:snapToGrid w:val="0"/>
          <w:sz w:val="16"/>
          <w:szCs w:val="16"/>
        </w:rPr>
        <w:t>(d)</w:t>
      </w:r>
      <w:r w:rsidRPr="00B66075">
        <w:rPr>
          <w:snapToGrid w:val="0"/>
          <w:sz w:val="16"/>
          <w:szCs w:val="16"/>
        </w:rPr>
        <w:tab/>
        <w:t>to any gratuity received by an employee who has already received any gratuity from the same or any other employer.”</w:t>
      </w:r>
    </w:p>
  </w:footnote>
  <w:footnote w:id="1783">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(28) omitted by the Finance Act, 2002. The omitted clause (28) read as follows:</w:t>
      </w:r>
    </w:p>
    <w:p w:rsidR="00BF2117" w:rsidRPr="00B66075" w:rsidRDefault="00BF2117" w:rsidP="00AA4BF8">
      <w:pPr>
        <w:widowControl w:val="0"/>
        <w:ind w:left="180"/>
        <w:jc w:val="both"/>
        <w:rPr>
          <w:sz w:val="16"/>
          <w:szCs w:val="16"/>
        </w:rPr>
      </w:pPr>
      <w:r w:rsidRPr="00B66075">
        <w:rPr>
          <w:sz w:val="16"/>
          <w:szCs w:val="16"/>
        </w:rPr>
        <w:t>“</w:t>
      </w:r>
      <w:r w:rsidRPr="00B66075">
        <w:rPr>
          <w:b/>
          <w:bCs/>
          <w:snapToGrid w:val="0"/>
          <w:sz w:val="16"/>
          <w:szCs w:val="16"/>
        </w:rPr>
        <w:t>(28)</w:t>
      </w:r>
      <w:r w:rsidRPr="00B66075">
        <w:rPr>
          <w:snapToGrid w:val="0"/>
          <w:sz w:val="16"/>
          <w:szCs w:val="16"/>
        </w:rPr>
        <w:tab/>
        <w:t xml:space="preserve"> Any income of an officer representing the sum received by him as Entertainment Allowance admissible to him under the Ministry of Finance (Finance Division) Office Memorandum No. F.1 (1)-Imp/83, dated the 18th August, 1983.”</w:t>
      </w:r>
    </w:p>
  </w:footnote>
  <w:footnote w:id="1784">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(29) omitted by the Finance Act, 2002. The omitted clause (29) read as follows:</w:t>
      </w:r>
    </w:p>
    <w:p w:rsidR="00BF2117" w:rsidRPr="00B66075" w:rsidRDefault="00BF2117" w:rsidP="00AA4BF8">
      <w:pPr>
        <w:widowControl w:val="0"/>
        <w:ind w:left="180"/>
        <w:jc w:val="both"/>
        <w:rPr>
          <w:sz w:val="16"/>
          <w:szCs w:val="16"/>
        </w:rPr>
      </w:pPr>
      <w:r w:rsidRPr="00B66075">
        <w:rPr>
          <w:sz w:val="16"/>
          <w:szCs w:val="16"/>
        </w:rPr>
        <w:t>“</w:t>
      </w:r>
      <w:r w:rsidRPr="00B66075">
        <w:rPr>
          <w:b/>
          <w:bCs/>
          <w:snapToGrid w:val="0"/>
          <w:sz w:val="16"/>
          <w:szCs w:val="16"/>
        </w:rPr>
        <w:t>(29)</w:t>
      </w:r>
      <w:r w:rsidRPr="00B66075">
        <w:rPr>
          <w:snapToGrid w:val="0"/>
          <w:sz w:val="16"/>
          <w:szCs w:val="16"/>
        </w:rPr>
        <w:tab/>
        <w:t xml:space="preserve"> Any income of an officer of the Pakistan Armed Forces representing the sum received as Entertainment Allowance admissible to him under the Ministry of Defence Office Memorandum No. 716(D)/(B)/77, dated the 29th April, 1977.”</w:t>
      </w:r>
    </w:p>
  </w:footnote>
  <w:footnote w:id="1785">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(30) omitted by the Finance Act, 2002. The omitted clause (30) read as follows:</w:t>
      </w:r>
    </w:p>
    <w:p w:rsidR="00BF2117" w:rsidRPr="00B66075" w:rsidRDefault="00BF2117" w:rsidP="00AA4BF8">
      <w:pPr>
        <w:widowControl w:val="0"/>
        <w:ind w:left="180"/>
        <w:jc w:val="both"/>
        <w:rPr>
          <w:sz w:val="16"/>
          <w:szCs w:val="16"/>
        </w:rPr>
      </w:pPr>
      <w:r w:rsidRPr="00B66075">
        <w:rPr>
          <w:sz w:val="16"/>
          <w:szCs w:val="16"/>
        </w:rPr>
        <w:t>“</w:t>
      </w:r>
      <w:r w:rsidRPr="00B66075">
        <w:rPr>
          <w:b/>
          <w:bCs/>
          <w:snapToGrid w:val="0"/>
          <w:sz w:val="16"/>
          <w:szCs w:val="16"/>
        </w:rPr>
        <w:t>(30)</w:t>
      </w:r>
      <w:r w:rsidRPr="00B66075">
        <w:rPr>
          <w:snapToGrid w:val="0"/>
          <w:sz w:val="16"/>
          <w:szCs w:val="16"/>
        </w:rPr>
        <w:tab/>
        <w:t xml:space="preserve"> Any income of an officer representing the sum received by him as Entertainment Allowance admissible to him under the Cabinet Secretariat (Establishment Division) Office Memorandum No. 18/2/78-CV, dated the 13th July, 1978.”</w:t>
      </w:r>
    </w:p>
  </w:footnote>
  <w:footnote w:id="1786">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(31) omitted by the Finance Act, 2002. The omitted clause (31) read as follows:</w:t>
      </w:r>
    </w:p>
    <w:p w:rsidR="00BF2117" w:rsidRPr="00B66075" w:rsidRDefault="00BF2117" w:rsidP="00AA4BF8">
      <w:pPr>
        <w:widowControl w:val="0"/>
        <w:ind w:left="180"/>
        <w:jc w:val="both"/>
        <w:rPr>
          <w:sz w:val="16"/>
          <w:szCs w:val="16"/>
        </w:rPr>
      </w:pPr>
      <w:r w:rsidRPr="00B66075">
        <w:rPr>
          <w:sz w:val="16"/>
          <w:szCs w:val="16"/>
        </w:rPr>
        <w:t>“</w:t>
      </w:r>
      <w:r w:rsidRPr="00B66075">
        <w:rPr>
          <w:b/>
          <w:bCs/>
          <w:snapToGrid w:val="0"/>
          <w:sz w:val="16"/>
          <w:szCs w:val="16"/>
        </w:rPr>
        <w:t>(31)</w:t>
      </w:r>
      <w:r w:rsidRPr="00B66075">
        <w:rPr>
          <w:snapToGrid w:val="0"/>
          <w:sz w:val="16"/>
          <w:szCs w:val="16"/>
        </w:rPr>
        <w:tab/>
        <w:t xml:space="preserve"> Any income of an officer representing the sum received by him as Senior Post Allowance admissible to him under the Ministry of Finance, Planning and Development (Finance Division) Office Memorandum No. F.1(36) Gaz-IMP-I/73, dated the 18th August, 1973.”</w:t>
      </w:r>
    </w:p>
  </w:footnote>
  <w:footnote w:id="1787">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(32) omitted by the Finance Act, 2002. The omitted clause (32) read as follows:</w:t>
      </w:r>
    </w:p>
    <w:p w:rsidR="00BF2117" w:rsidRPr="00B66075" w:rsidRDefault="00BF2117" w:rsidP="00AA4BF8">
      <w:pPr>
        <w:widowControl w:val="0"/>
        <w:ind w:left="180"/>
        <w:jc w:val="both"/>
        <w:rPr>
          <w:sz w:val="16"/>
          <w:szCs w:val="16"/>
        </w:rPr>
      </w:pPr>
      <w:r w:rsidRPr="00B66075">
        <w:rPr>
          <w:sz w:val="16"/>
          <w:szCs w:val="16"/>
        </w:rPr>
        <w:t>“</w:t>
      </w:r>
      <w:r w:rsidRPr="00B66075">
        <w:rPr>
          <w:b/>
          <w:bCs/>
          <w:snapToGrid w:val="0"/>
          <w:sz w:val="16"/>
          <w:szCs w:val="16"/>
        </w:rPr>
        <w:t>(32)</w:t>
      </w:r>
      <w:r w:rsidRPr="00B66075">
        <w:rPr>
          <w:snapToGrid w:val="0"/>
          <w:sz w:val="16"/>
          <w:szCs w:val="16"/>
        </w:rPr>
        <w:tab/>
        <w:t xml:space="preserve"> Any income of an officer representing the sum received by him as Senior Post Allowance admissible to him under the Ministry of Finance and Provincial Coordination (Finance Division) Office Memorandum No. F.1(1) Imp-I/77, dated the 28th April, 1977.”</w:t>
      </w:r>
    </w:p>
  </w:footnote>
  <w:footnote w:id="1788">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(33) omitted by the Finance At, 2003. The omitted clause (33) read as follows: </w:t>
      </w:r>
    </w:p>
    <w:p w:rsidR="00BF2117" w:rsidRPr="00B66075" w:rsidRDefault="00BF2117" w:rsidP="00AA4BF8">
      <w:pPr>
        <w:widowControl w:val="0"/>
        <w:ind w:left="180"/>
        <w:jc w:val="both"/>
        <w:rPr>
          <w:sz w:val="16"/>
          <w:szCs w:val="16"/>
        </w:rPr>
      </w:pPr>
      <w:r w:rsidRPr="00B66075">
        <w:rPr>
          <w:snapToGrid w:val="0"/>
          <w:sz w:val="16"/>
          <w:szCs w:val="16"/>
        </w:rPr>
        <w:t>“</w:t>
      </w:r>
      <w:r w:rsidRPr="00B66075">
        <w:rPr>
          <w:b/>
          <w:bCs/>
          <w:snapToGrid w:val="0"/>
          <w:sz w:val="16"/>
          <w:szCs w:val="16"/>
        </w:rPr>
        <w:t>(33)</w:t>
      </w:r>
      <w:r w:rsidRPr="00B66075">
        <w:rPr>
          <w:snapToGrid w:val="0"/>
          <w:sz w:val="16"/>
          <w:szCs w:val="16"/>
        </w:rPr>
        <w:tab/>
        <w:t xml:space="preserve"> Any income of any officer representing the sum received by him as Orderly Allowance admissible to him under the Finance Division O.M. No. F.1(3)-IMP-II/85, dated the 24th October, 1985.”</w:t>
      </w:r>
    </w:p>
  </w:footnote>
  <w:footnote w:id="1789">
    <w:p w:rsidR="00BF2117" w:rsidRPr="00B66075" w:rsidRDefault="00BF2117" w:rsidP="00AA4BF8">
      <w:pPr>
        <w:pStyle w:val="FootnoteText"/>
        <w:keepNext/>
        <w:jc w:val="both"/>
        <w:rPr>
          <w:sz w:val="16"/>
          <w:szCs w:val="16"/>
        </w:rPr>
      </w:pPr>
      <w:r w:rsidRPr="00B66075">
        <w:rPr>
          <w:rStyle w:val="FootnoteReference"/>
          <w:rFonts w:cs="Arial"/>
          <w:sz w:val="16"/>
          <w:szCs w:val="16"/>
        </w:rPr>
        <w:footnoteRef/>
      </w:r>
      <w:r w:rsidRPr="00B66075">
        <w:rPr>
          <w:sz w:val="16"/>
          <w:szCs w:val="16"/>
        </w:rPr>
        <w:t xml:space="preserve"> Clause (34) omitted by the Finance At, 2003. The omitted clause (34) read as follows:</w:t>
      </w:r>
    </w:p>
    <w:p w:rsidR="00BF2117" w:rsidRPr="00B66075" w:rsidRDefault="00BF2117" w:rsidP="00AA4BF8">
      <w:pPr>
        <w:keepNext/>
        <w:widowControl w:val="0"/>
        <w:ind w:left="180"/>
        <w:jc w:val="both"/>
        <w:rPr>
          <w:snapToGrid w:val="0"/>
          <w:sz w:val="16"/>
          <w:szCs w:val="16"/>
        </w:rPr>
      </w:pPr>
      <w:r w:rsidRPr="00B66075">
        <w:rPr>
          <w:snapToGrid w:val="0"/>
          <w:sz w:val="16"/>
          <w:szCs w:val="16"/>
        </w:rPr>
        <w:t>“</w:t>
      </w:r>
      <w:r w:rsidRPr="00B66075">
        <w:rPr>
          <w:b/>
          <w:bCs/>
          <w:snapToGrid w:val="0"/>
          <w:sz w:val="16"/>
          <w:szCs w:val="16"/>
        </w:rPr>
        <w:t>(34)</w:t>
      </w:r>
      <w:r w:rsidRPr="00B66075">
        <w:rPr>
          <w:snapToGrid w:val="0"/>
          <w:sz w:val="16"/>
          <w:szCs w:val="16"/>
        </w:rPr>
        <w:tab/>
        <w:t xml:space="preserve"> Any income of an employee of a recognized University in Pakistan representing the sums received by him as Orderly Allowance admissible under the terms and conditions of his service.”</w:t>
      </w:r>
    </w:p>
  </w:footnote>
  <w:footnote w:id="1790">
    <w:p w:rsidR="00BF2117" w:rsidRPr="00185004" w:rsidRDefault="00BF2117" w:rsidP="00AA4BF8">
      <w:pPr>
        <w:pStyle w:val="FootnoteText"/>
        <w:rPr>
          <w:color w:val="000000" w:themeColor="text1"/>
          <w:sz w:val="16"/>
          <w:szCs w:val="16"/>
          <w:lang w:val="en-US"/>
        </w:rPr>
      </w:pPr>
      <w:r w:rsidRPr="00185004">
        <w:rPr>
          <w:rStyle w:val="FootnoteReference"/>
          <w:color w:val="000000" w:themeColor="text1"/>
          <w:sz w:val="16"/>
          <w:szCs w:val="16"/>
        </w:rPr>
        <w:footnoteRef/>
      </w:r>
      <w:r w:rsidRPr="00185004">
        <w:rPr>
          <w:color w:val="000000" w:themeColor="text1"/>
          <w:sz w:val="16"/>
          <w:szCs w:val="16"/>
          <w:lang w:val="en-US"/>
        </w:rPr>
        <w:t>Clause (35) omitted by the Finance Act, 2014. The omitted clause read as follows:</w:t>
      </w:r>
    </w:p>
    <w:p w:rsidR="00BF2117" w:rsidRPr="00185004" w:rsidRDefault="00BF2117" w:rsidP="00290642">
      <w:pPr>
        <w:pStyle w:val="BodyText3"/>
        <w:rPr>
          <w:rFonts w:ascii="Arial" w:hAnsi="Arial"/>
          <w:color w:val="000000" w:themeColor="text1"/>
          <w:sz w:val="16"/>
          <w:szCs w:val="16"/>
        </w:rPr>
      </w:pPr>
      <w:r w:rsidRPr="00185004">
        <w:rPr>
          <w:color w:val="000000" w:themeColor="text1"/>
          <w:sz w:val="16"/>
          <w:szCs w:val="16"/>
        </w:rPr>
        <w:tab/>
        <w:t>“</w:t>
      </w:r>
      <w:r w:rsidRPr="00185004">
        <w:rPr>
          <w:rFonts w:ascii="Arial" w:hAnsi="Arial"/>
          <w:b/>
          <w:color w:val="000000" w:themeColor="text1"/>
          <w:sz w:val="16"/>
          <w:szCs w:val="16"/>
        </w:rPr>
        <w:t>(35)</w:t>
      </w:r>
      <w:r w:rsidRPr="00185004">
        <w:rPr>
          <w:rFonts w:ascii="Arial" w:hAnsi="Arial"/>
          <w:color w:val="000000" w:themeColor="text1"/>
          <w:sz w:val="16"/>
          <w:szCs w:val="16"/>
        </w:rPr>
        <w:tab/>
        <w:t>Any income representing compensatory allowance payable to a citizen of Pakistan locally recruited in Pakistan Mission abroad as does not exceed 75 per cent of his gross salary.”</w:t>
      </w:r>
    </w:p>
    <w:p w:rsidR="00BF2117" w:rsidRPr="00B66075" w:rsidRDefault="00BF2117" w:rsidP="00AA4BF8">
      <w:pPr>
        <w:pStyle w:val="FootnoteText"/>
        <w:rPr>
          <w:sz w:val="16"/>
          <w:szCs w:val="16"/>
          <w:lang w:val="en-US"/>
        </w:rPr>
      </w:pPr>
    </w:p>
  </w:footnote>
  <w:footnote w:id="1791">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(36) omitted by the Finance At, 2003. The omitted clause (36) read as follows:</w:t>
      </w:r>
    </w:p>
    <w:p w:rsidR="00BF2117" w:rsidRPr="00B66075" w:rsidRDefault="00BF2117" w:rsidP="00AA4BF8">
      <w:pPr>
        <w:widowControl w:val="0"/>
        <w:ind w:left="180"/>
        <w:jc w:val="both"/>
        <w:rPr>
          <w:sz w:val="16"/>
          <w:szCs w:val="16"/>
        </w:rPr>
      </w:pPr>
      <w:r w:rsidRPr="00B66075">
        <w:rPr>
          <w:snapToGrid w:val="0"/>
          <w:sz w:val="16"/>
          <w:szCs w:val="16"/>
        </w:rPr>
        <w:t>“</w:t>
      </w:r>
      <w:r w:rsidRPr="00B66075">
        <w:rPr>
          <w:b/>
          <w:bCs/>
          <w:snapToGrid w:val="0"/>
          <w:sz w:val="16"/>
          <w:szCs w:val="16"/>
        </w:rPr>
        <w:t>(36)</w:t>
      </w:r>
      <w:r w:rsidRPr="00B66075">
        <w:rPr>
          <w:snapToGrid w:val="0"/>
          <w:sz w:val="16"/>
          <w:szCs w:val="16"/>
        </w:rPr>
        <w:tab/>
        <w:t xml:space="preserve"> Any income of an officer representing the sum received by him as Personal Staff Subsidy admissible to him under the Cabinet Secretariat (Establishment Division) Office Memorandum No. 18/2/78-CV, dated the 13th July, 1978.”</w:t>
      </w:r>
    </w:p>
  </w:footnote>
  <w:footnote w:id="1792">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(37) omitted by the Finance Act, 2002. The omitted clause (37) read as follows:</w:t>
      </w:r>
    </w:p>
    <w:p w:rsidR="00BF2117" w:rsidRPr="00B66075" w:rsidRDefault="00BF2117" w:rsidP="00AA4BF8">
      <w:pPr>
        <w:widowControl w:val="0"/>
        <w:ind w:left="180"/>
        <w:jc w:val="both"/>
        <w:rPr>
          <w:sz w:val="16"/>
          <w:szCs w:val="16"/>
        </w:rPr>
      </w:pPr>
      <w:r w:rsidRPr="00B66075">
        <w:rPr>
          <w:sz w:val="16"/>
          <w:szCs w:val="16"/>
        </w:rPr>
        <w:t>“</w:t>
      </w:r>
      <w:r w:rsidRPr="00B66075">
        <w:rPr>
          <w:b/>
          <w:bCs/>
          <w:snapToGrid w:val="0"/>
          <w:sz w:val="16"/>
          <w:szCs w:val="16"/>
        </w:rPr>
        <w:t>(37)</w:t>
      </w:r>
      <w:r w:rsidRPr="00B66075">
        <w:rPr>
          <w:snapToGrid w:val="0"/>
          <w:sz w:val="16"/>
          <w:szCs w:val="16"/>
        </w:rPr>
        <w:tab/>
        <w:t>Any income representing cost of living allowance admissible to the Government employees at the rate of 7%.”</w:t>
      </w:r>
    </w:p>
  </w:footnote>
  <w:footnote w:id="1793">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Clause (38) omitted by the Finance Act, 2006. The omitted clause (38) read as follows:</w:t>
      </w:r>
    </w:p>
    <w:p w:rsidR="00BF2117" w:rsidRPr="00B66075" w:rsidRDefault="00BF2117" w:rsidP="00AA4BF8">
      <w:pPr>
        <w:pStyle w:val="FootnoteText"/>
        <w:ind w:left="180" w:hanging="90"/>
        <w:jc w:val="both"/>
        <w:rPr>
          <w:sz w:val="16"/>
          <w:szCs w:val="16"/>
        </w:rPr>
      </w:pPr>
      <w:r w:rsidRPr="00B66075">
        <w:rPr>
          <w:sz w:val="16"/>
          <w:szCs w:val="16"/>
        </w:rPr>
        <w:t>“</w:t>
      </w:r>
      <w:r w:rsidRPr="00B66075">
        <w:rPr>
          <w:b/>
          <w:bCs/>
          <w:snapToGrid w:val="0"/>
          <w:sz w:val="16"/>
          <w:szCs w:val="16"/>
        </w:rPr>
        <w:t>(38)</w:t>
      </w:r>
      <w:r w:rsidRPr="00B66075">
        <w:rPr>
          <w:snapToGrid w:val="0"/>
          <w:sz w:val="16"/>
          <w:szCs w:val="16"/>
        </w:rPr>
        <w:tab/>
        <w:t>Any sum paid, for purpose of meeting the charges for gas, water and electricity, or the value of gas, water and electricity provided free of charge to an employee up to ten per cent of the minimum of time scale, and where there is no time scale, up to ten per cent of the basic salary.”</w:t>
      </w:r>
    </w:p>
  </w:footnote>
  <w:footnote w:id="1794">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(41) omitted by the Finance Act, 2003. The omitted clause (41) read as follows:</w:t>
      </w:r>
    </w:p>
    <w:p w:rsidR="00BF2117" w:rsidRPr="00B66075" w:rsidRDefault="00BF2117" w:rsidP="00AA4BF8">
      <w:pPr>
        <w:widowControl w:val="0"/>
        <w:ind w:left="180"/>
        <w:jc w:val="both"/>
        <w:rPr>
          <w:sz w:val="16"/>
          <w:szCs w:val="16"/>
        </w:rPr>
      </w:pPr>
      <w:r w:rsidRPr="00B66075">
        <w:rPr>
          <w:snapToGrid w:val="0"/>
          <w:sz w:val="16"/>
          <w:szCs w:val="16"/>
        </w:rPr>
        <w:t>“</w:t>
      </w:r>
      <w:r w:rsidRPr="00B66075">
        <w:rPr>
          <w:b/>
          <w:bCs/>
          <w:snapToGrid w:val="0"/>
          <w:sz w:val="16"/>
          <w:szCs w:val="16"/>
        </w:rPr>
        <w:t>(41)</w:t>
      </w:r>
      <w:r w:rsidRPr="00B66075">
        <w:rPr>
          <w:snapToGrid w:val="0"/>
          <w:sz w:val="16"/>
          <w:szCs w:val="16"/>
        </w:rPr>
        <w:tab/>
        <w:t xml:space="preserve"> Such portion of the income of a member of Pakistan Armed Forces as is compulsorily payable by him under any orders issued by Government to mess, entertainment or band fund.”</w:t>
      </w:r>
    </w:p>
  </w:footnote>
  <w:footnote w:id="1795">
    <w:p w:rsidR="00BF2117" w:rsidRPr="00412620" w:rsidRDefault="00BF2117" w:rsidP="00AA4BF8">
      <w:pPr>
        <w:pStyle w:val="FootnoteText"/>
        <w:rPr>
          <w:sz w:val="16"/>
          <w:szCs w:val="16"/>
        </w:rPr>
      </w:pPr>
      <w:r w:rsidRPr="00412620">
        <w:rPr>
          <w:rStyle w:val="FootnoteReference"/>
          <w:rFonts w:cs="Arial"/>
          <w:sz w:val="16"/>
          <w:szCs w:val="16"/>
        </w:rPr>
        <w:footnoteRef/>
      </w:r>
      <w:r w:rsidRPr="00412620">
        <w:rPr>
          <w:sz w:val="16"/>
          <w:szCs w:val="16"/>
        </w:rPr>
        <w:t xml:space="preserve"> Clause (42) omitted by the Finance Act, 2006. The omitted clause (42) read as follows:</w:t>
      </w:r>
    </w:p>
    <w:p w:rsidR="00BF2117" w:rsidRDefault="00BF2117" w:rsidP="00AA4BF8">
      <w:pPr>
        <w:widowControl w:val="0"/>
        <w:ind w:left="270" w:hanging="90"/>
        <w:jc w:val="both"/>
      </w:pPr>
      <w:r w:rsidRPr="00412620">
        <w:rPr>
          <w:sz w:val="16"/>
          <w:szCs w:val="16"/>
        </w:rPr>
        <w:t>“</w:t>
      </w:r>
      <w:r w:rsidRPr="00412620">
        <w:rPr>
          <w:b/>
          <w:bCs/>
          <w:snapToGrid w:val="0"/>
          <w:sz w:val="16"/>
          <w:szCs w:val="16"/>
        </w:rPr>
        <w:t>(42)</w:t>
      </w:r>
      <w:r w:rsidRPr="00412620">
        <w:rPr>
          <w:snapToGrid w:val="0"/>
          <w:sz w:val="16"/>
          <w:szCs w:val="16"/>
        </w:rPr>
        <w:tab/>
        <w:t xml:space="preserve"> Any amount received as flying allowance by pilots, flight engineers and navigators employed by any Pakistani airline or by Civil Aviation Authority.”</w:t>
      </w:r>
    </w:p>
  </w:footnote>
  <w:footnote w:id="1796">
    <w:p w:rsidR="00BF2117" w:rsidRPr="00412620" w:rsidRDefault="00BF2117" w:rsidP="00AA4BF8">
      <w:pPr>
        <w:pStyle w:val="FootnoteText"/>
        <w:rPr>
          <w:sz w:val="16"/>
          <w:szCs w:val="16"/>
        </w:rPr>
      </w:pPr>
      <w:r w:rsidRPr="00412620">
        <w:rPr>
          <w:rStyle w:val="FootnoteReference"/>
          <w:rFonts w:cs="Arial"/>
          <w:sz w:val="16"/>
          <w:szCs w:val="16"/>
        </w:rPr>
        <w:footnoteRef/>
      </w:r>
      <w:r w:rsidRPr="00412620">
        <w:rPr>
          <w:sz w:val="16"/>
          <w:szCs w:val="16"/>
        </w:rPr>
        <w:t xml:space="preserve"> Clause (43) omitted by the Finance Act, 2006. The omitted clause (43) read as follows:</w:t>
      </w:r>
    </w:p>
    <w:p w:rsidR="00BF2117" w:rsidRDefault="00BF2117" w:rsidP="00AA4BF8">
      <w:pPr>
        <w:widowControl w:val="0"/>
        <w:ind w:left="270" w:hanging="90"/>
        <w:jc w:val="both"/>
      </w:pPr>
      <w:r w:rsidRPr="00412620">
        <w:rPr>
          <w:sz w:val="16"/>
          <w:szCs w:val="16"/>
        </w:rPr>
        <w:t>“</w:t>
      </w:r>
      <w:r w:rsidRPr="00412620">
        <w:rPr>
          <w:b/>
          <w:bCs/>
          <w:snapToGrid w:val="0"/>
          <w:sz w:val="16"/>
          <w:szCs w:val="16"/>
        </w:rPr>
        <w:t>(43)</w:t>
      </w:r>
      <w:r w:rsidRPr="00412620">
        <w:rPr>
          <w:snapToGrid w:val="0"/>
          <w:sz w:val="16"/>
          <w:szCs w:val="16"/>
        </w:rPr>
        <w:tab/>
        <w:t xml:space="preserve"> Any amount notified as flying allowance payable to pilots, flight engineers and navigators of the Pakistan Air Force.”</w:t>
      </w:r>
    </w:p>
  </w:footnote>
  <w:footnote w:id="1797">
    <w:p w:rsidR="00BF2117" w:rsidRPr="00412620" w:rsidRDefault="00BF2117" w:rsidP="00AA4BF8">
      <w:pPr>
        <w:pStyle w:val="FootnoteText"/>
        <w:rPr>
          <w:sz w:val="16"/>
          <w:szCs w:val="16"/>
          <w:lang w:val="en-US"/>
        </w:rPr>
      </w:pPr>
      <w:r w:rsidRPr="00412620">
        <w:rPr>
          <w:rStyle w:val="FootnoteReference"/>
          <w:rFonts w:cs="Arial"/>
          <w:sz w:val="16"/>
          <w:szCs w:val="16"/>
        </w:rPr>
        <w:footnoteRef/>
      </w:r>
      <w:r w:rsidRPr="00412620">
        <w:rPr>
          <w:sz w:val="16"/>
          <w:szCs w:val="16"/>
        </w:rPr>
        <w:t xml:space="preserve"> Clause (44) omitted </w:t>
      </w:r>
      <w:r w:rsidRPr="00412620">
        <w:rPr>
          <w:sz w:val="16"/>
          <w:szCs w:val="16"/>
          <w:lang w:val="en-US"/>
        </w:rPr>
        <w:t>by the Finance Act, 2006. The omitted clause (44) read as follows:</w:t>
      </w:r>
    </w:p>
    <w:p w:rsidR="00BF2117" w:rsidRDefault="00BF2117" w:rsidP="00AA4BF8">
      <w:pPr>
        <w:widowControl w:val="0"/>
        <w:ind w:left="270" w:hanging="90"/>
        <w:jc w:val="both"/>
      </w:pPr>
      <w:r w:rsidRPr="00412620">
        <w:rPr>
          <w:sz w:val="16"/>
          <w:szCs w:val="16"/>
          <w:lang w:val="en-US"/>
        </w:rPr>
        <w:t>“</w:t>
      </w:r>
      <w:r w:rsidRPr="00412620">
        <w:rPr>
          <w:b/>
          <w:bCs/>
          <w:snapToGrid w:val="0"/>
          <w:sz w:val="16"/>
          <w:szCs w:val="16"/>
        </w:rPr>
        <w:t>(44)</w:t>
      </w:r>
      <w:r w:rsidRPr="00412620">
        <w:rPr>
          <w:snapToGrid w:val="0"/>
          <w:sz w:val="16"/>
          <w:szCs w:val="16"/>
        </w:rPr>
        <w:tab/>
        <w:t xml:space="preserve"> Any amount notified as flying allowance payable to pilots, flight engineers and navigators of the Pakistan Army and the Pakistan Navy.</w:t>
      </w:r>
      <w:r w:rsidRPr="00412620">
        <w:rPr>
          <w:sz w:val="16"/>
          <w:szCs w:val="16"/>
          <w:lang w:val="en-US"/>
        </w:rPr>
        <w:t>“</w:t>
      </w:r>
    </w:p>
  </w:footnote>
  <w:footnote w:id="1798">
    <w:p w:rsidR="00BF2117" w:rsidRPr="00412620" w:rsidRDefault="00BF2117" w:rsidP="00AA4BF8">
      <w:pPr>
        <w:pStyle w:val="FootnoteText"/>
        <w:jc w:val="both"/>
        <w:rPr>
          <w:sz w:val="16"/>
          <w:szCs w:val="16"/>
        </w:rPr>
      </w:pPr>
      <w:r w:rsidRPr="00412620">
        <w:rPr>
          <w:rStyle w:val="FootnoteReference"/>
          <w:rFonts w:cs="Arial"/>
          <w:sz w:val="16"/>
          <w:szCs w:val="16"/>
        </w:rPr>
        <w:footnoteRef/>
      </w:r>
      <w:r w:rsidRPr="00412620">
        <w:rPr>
          <w:sz w:val="16"/>
          <w:szCs w:val="16"/>
        </w:rPr>
        <w:t xml:space="preserve"> Clause (45) omitted by the Finance Act, 2006. The omitted clause (45) read as follows: </w:t>
      </w:r>
    </w:p>
    <w:p w:rsidR="00BF2117" w:rsidRDefault="00BF2117" w:rsidP="00AA4BF8">
      <w:pPr>
        <w:widowControl w:val="0"/>
        <w:ind w:left="270" w:hanging="90"/>
        <w:jc w:val="both"/>
      </w:pPr>
      <w:r w:rsidRPr="00412620">
        <w:rPr>
          <w:sz w:val="16"/>
          <w:szCs w:val="16"/>
        </w:rPr>
        <w:t>“</w:t>
      </w:r>
      <w:r w:rsidRPr="00412620">
        <w:rPr>
          <w:b/>
          <w:bCs/>
          <w:snapToGrid w:val="0"/>
          <w:sz w:val="16"/>
          <w:szCs w:val="16"/>
        </w:rPr>
        <w:t>(45)</w:t>
      </w:r>
      <w:r w:rsidRPr="00412620">
        <w:rPr>
          <w:snapToGrid w:val="0"/>
          <w:sz w:val="16"/>
          <w:szCs w:val="16"/>
        </w:rPr>
        <w:tab/>
        <w:t xml:space="preserve"> Any amount received as flying allowance by junior commissioned officers or other ranks of Pakistan Armed Forces.</w:t>
      </w:r>
      <w:r w:rsidRPr="00412620">
        <w:rPr>
          <w:sz w:val="16"/>
          <w:szCs w:val="16"/>
          <w:lang w:val="en-US"/>
        </w:rPr>
        <w:t>“</w:t>
      </w:r>
    </w:p>
  </w:footnote>
  <w:footnote w:id="1799">
    <w:p w:rsidR="00BF2117" w:rsidRPr="00412620" w:rsidRDefault="00BF2117" w:rsidP="00AA4BF8">
      <w:pPr>
        <w:pStyle w:val="FootnoteText"/>
        <w:jc w:val="both"/>
        <w:rPr>
          <w:sz w:val="16"/>
          <w:szCs w:val="16"/>
        </w:rPr>
      </w:pPr>
      <w:r w:rsidRPr="00412620">
        <w:rPr>
          <w:rStyle w:val="FootnoteReference"/>
          <w:rFonts w:cs="Arial"/>
          <w:sz w:val="16"/>
          <w:szCs w:val="16"/>
        </w:rPr>
        <w:footnoteRef/>
      </w:r>
      <w:r w:rsidRPr="00412620">
        <w:rPr>
          <w:sz w:val="16"/>
          <w:szCs w:val="16"/>
        </w:rPr>
        <w:t xml:space="preserve"> Clause (46) omitted by the Finance Act, 2006. The omitted clause (46) read as follows:</w:t>
      </w:r>
    </w:p>
    <w:p w:rsidR="00BF2117" w:rsidRDefault="00BF2117" w:rsidP="00AA4BF8">
      <w:pPr>
        <w:pStyle w:val="FootnoteText"/>
        <w:ind w:hanging="540"/>
        <w:jc w:val="both"/>
      </w:pPr>
      <w:r w:rsidRPr="00412620">
        <w:rPr>
          <w:sz w:val="16"/>
          <w:szCs w:val="16"/>
        </w:rPr>
        <w:t>“</w:t>
      </w:r>
      <w:r w:rsidRPr="00412620">
        <w:rPr>
          <w:b/>
          <w:bCs/>
          <w:snapToGrid w:val="0"/>
          <w:sz w:val="16"/>
          <w:szCs w:val="16"/>
        </w:rPr>
        <w:t xml:space="preserve">(46) </w:t>
      </w:r>
      <w:r w:rsidRPr="00412620">
        <w:rPr>
          <w:snapToGrid w:val="0"/>
          <w:sz w:val="16"/>
          <w:szCs w:val="16"/>
        </w:rPr>
        <w:t>Any amount notified as submarine allowance payable to officers of the Pakistan Navy.”</w:t>
      </w:r>
    </w:p>
  </w:footnote>
  <w:footnote w:id="1800">
    <w:p w:rsidR="00BF2117" w:rsidRPr="00412620" w:rsidRDefault="00BF2117" w:rsidP="00AA4BF8">
      <w:pPr>
        <w:pStyle w:val="FootnoteText"/>
        <w:jc w:val="both"/>
        <w:rPr>
          <w:sz w:val="16"/>
          <w:szCs w:val="16"/>
        </w:rPr>
      </w:pPr>
      <w:r w:rsidRPr="00412620">
        <w:rPr>
          <w:rStyle w:val="FootnoteReference"/>
          <w:rFonts w:cs="Arial"/>
          <w:sz w:val="16"/>
          <w:szCs w:val="16"/>
        </w:rPr>
        <w:footnoteRef/>
      </w:r>
      <w:r w:rsidRPr="00412620">
        <w:rPr>
          <w:sz w:val="16"/>
          <w:szCs w:val="16"/>
        </w:rPr>
        <w:t xml:space="preserve"> Clause (47) omitted by the Finance Act, 2006. The omitted clause (47) read as follows:</w:t>
      </w:r>
    </w:p>
    <w:p w:rsidR="00BF2117" w:rsidRDefault="00BF2117" w:rsidP="00AA4BF8">
      <w:pPr>
        <w:widowControl w:val="0"/>
        <w:ind w:left="270" w:hanging="90"/>
        <w:jc w:val="both"/>
      </w:pPr>
      <w:r w:rsidRPr="00412620">
        <w:rPr>
          <w:sz w:val="16"/>
          <w:szCs w:val="16"/>
        </w:rPr>
        <w:t>“</w:t>
      </w:r>
      <w:r w:rsidRPr="00412620">
        <w:rPr>
          <w:b/>
          <w:bCs/>
          <w:snapToGrid w:val="0"/>
          <w:sz w:val="16"/>
          <w:szCs w:val="16"/>
        </w:rPr>
        <w:t>(47)</w:t>
      </w:r>
      <w:r w:rsidRPr="00412620">
        <w:rPr>
          <w:snapToGrid w:val="0"/>
          <w:sz w:val="16"/>
          <w:szCs w:val="16"/>
        </w:rPr>
        <w:tab/>
        <w:t xml:space="preserve"> The value of rations issued in kind, or cash allowance paid in lieu thereof, to members of Pakistan Armed Forces or of Territorial Forces.”</w:t>
      </w:r>
    </w:p>
  </w:footnote>
  <w:footnote w:id="1801">
    <w:p w:rsidR="00BF2117" w:rsidRPr="00412620" w:rsidRDefault="00BF2117" w:rsidP="00AA4BF8">
      <w:pPr>
        <w:pStyle w:val="FootnoteText"/>
        <w:jc w:val="both"/>
        <w:rPr>
          <w:sz w:val="16"/>
          <w:szCs w:val="16"/>
        </w:rPr>
      </w:pPr>
      <w:r w:rsidRPr="00412620">
        <w:rPr>
          <w:rStyle w:val="FootnoteReference"/>
          <w:rFonts w:cs="Arial"/>
          <w:sz w:val="16"/>
          <w:szCs w:val="16"/>
        </w:rPr>
        <w:footnoteRef/>
      </w:r>
      <w:r w:rsidRPr="00412620">
        <w:rPr>
          <w:sz w:val="16"/>
          <w:szCs w:val="16"/>
        </w:rPr>
        <w:t xml:space="preserve"> Clause (48) omitted by the Finance Act, 2006. The omitted clause (48) read as follows: </w:t>
      </w:r>
    </w:p>
    <w:p w:rsidR="00BF2117" w:rsidRDefault="00BF2117" w:rsidP="00AA4BF8">
      <w:pPr>
        <w:widowControl w:val="0"/>
        <w:ind w:left="180" w:hanging="90"/>
        <w:jc w:val="both"/>
      </w:pPr>
      <w:r w:rsidRPr="00412620">
        <w:rPr>
          <w:sz w:val="16"/>
          <w:szCs w:val="16"/>
        </w:rPr>
        <w:t>“</w:t>
      </w:r>
      <w:r w:rsidRPr="00412620">
        <w:rPr>
          <w:b/>
          <w:bCs/>
          <w:snapToGrid w:val="0"/>
          <w:sz w:val="16"/>
          <w:szCs w:val="16"/>
        </w:rPr>
        <w:t>(48)</w:t>
      </w:r>
      <w:r w:rsidRPr="00412620">
        <w:rPr>
          <w:snapToGrid w:val="0"/>
          <w:sz w:val="16"/>
          <w:szCs w:val="16"/>
        </w:rPr>
        <w:tab/>
        <w:t>The value of rent-free quarters occupied by, or cash allowance paid in lieu thereof, to members of the Pakistan Armed Forces, including Territorial Force.”</w:t>
      </w:r>
    </w:p>
  </w:footnote>
  <w:footnote w:id="1802">
    <w:p w:rsidR="00BF2117" w:rsidRPr="00412620" w:rsidRDefault="00BF2117" w:rsidP="00AA4BF8">
      <w:pPr>
        <w:pStyle w:val="FootnoteText"/>
        <w:jc w:val="both"/>
        <w:rPr>
          <w:sz w:val="16"/>
          <w:szCs w:val="16"/>
        </w:rPr>
      </w:pPr>
      <w:r w:rsidRPr="00412620">
        <w:rPr>
          <w:rStyle w:val="FootnoteReference"/>
          <w:rFonts w:cs="Arial"/>
          <w:sz w:val="16"/>
          <w:szCs w:val="16"/>
        </w:rPr>
        <w:footnoteRef/>
      </w:r>
      <w:r w:rsidRPr="00412620">
        <w:rPr>
          <w:sz w:val="16"/>
          <w:szCs w:val="16"/>
        </w:rPr>
        <w:t xml:space="preserve"> Clause (49) omitted by the Finance Act, 2006. The omitted clause (49) read as follows: </w:t>
      </w:r>
    </w:p>
    <w:p w:rsidR="00BF2117" w:rsidRDefault="00BF2117" w:rsidP="00AA4BF8">
      <w:pPr>
        <w:pStyle w:val="FootnoteText"/>
        <w:ind w:left="180" w:hanging="90"/>
        <w:jc w:val="both"/>
      </w:pPr>
      <w:r w:rsidRPr="00412620">
        <w:rPr>
          <w:sz w:val="16"/>
          <w:szCs w:val="16"/>
        </w:rPr>
        <w:t>“</w:t>
      </w:r>
      <w:r w:rsidRPr="00412620">
        <w:rPr>
          <w:b/>
          <w:bCs/>
          <w:snapToGrid w:val="0"/>
          <w:sz w:val="16"/>
          <w:szCs w:val="16"/>
        </w:rPr>
        <w:t xml:space="preserve">(49) </w:t>
      </w:r>
      <w:r w:rsidRPr="00412620">
        <w:rPr>
          <w:snapToGrid w:val="0"/>
          <w:sz w:val="16"/>
          <w:szCs w:val="16"/>
        </w:rPr>
        <w:t>The conservancy allowance granted in lieu of free conservancy to personnel below commissioned rank of Pakistan Armed Forces and Territorial Force.”</w:t>
      </w:r>
    </w:p>
  </w:footnote>
  <w:footnote w:id="1803">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(50) omitted by the Finance Act, 2003. The omitted clause (50) read as follows:</w:t>
      </w:r>
    </w:p>
    <w:p w:rsidR="00BF2117" w:rsidRDefault="00BF2117" w:rsidP="00AA4BF8">
      <w:pPr>
        <w:widowControl w:val="0"/>
        <w:ind w:left="180"/>
        <w:jc w:val="both"/>
      </w:pPr>
      <w:r w:rsidRPr="00412620">
        <w:rPr>
          <w:snapToGrid w:val="0"/>
          <w:sz w:val="16"/>
          <w:szCs w:val="16"/>
        </w:rPr>
        <w:t>“</w:t>
      </w:r>
      <w:r w:rsidRPr="00412620">
        <w:rPr>
          <w:b/>
          <w:bCs/>
          <w:snapToGrid w:val="0"/>
          <w:sz w:val="16"/>
          <w:szCs w:val="16"/>
        </w:rPr>
        <w:t>(50)</w:t>
      </w:r>
      <w:r w:rsidRPr="00412620">
        <w:rPr>
          <w:snapToGrid w:val="0"/>
          <w:sz w:val="16"/>
          <w:szCs w:val="16"/>
        </w:rPr>
        <w:tab/>
        <w:t xml:space="preserve"> Deferred pay admissible to Armed Forces personnel under the new Pay Code.”</w:t>
      </w:r>
    </w:p>
  </w:footnote>
  <w:footnote w:id="1804">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Inserted by the Finance Act, 2005.</w:t>
      </w:r>
    </w:p>
  </w:footnote>
  <w:footnote w:id="1805">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Sub-clause (i) omitted by the Finance Act, 2013. The omitted sub-clause (i) read as follows:</w:t>
      </w:r>
    </w:p>
    <w:p w:rsidR="00BF2117" w:rsidRPr="00B66075" w:rsidRDefault="00BF2117" w:rsidP="00B46543">
      <w:pPr>
        <w:widowControl w:val="0"/>
        <w:ind w:left="720" w:hanging="360"/>
        <w:jc w:val="both"/>
        <w:rPr>
          <w:sz w:val="16"/>
          <w:szCs w:val="16"/>
        </w:rPr>
      </w:pPr>
      <w:r w:rsidRPr="00B66075">
        <w:rPr>
          <w:sz w:val="16"/>
          <w:szCs w:val="16"/>
        </w:rPr>
        <w:t>“</w:t>
      </w:r>
      <w:r w:rsidRPr="00B66075">
        <w:rPr>
          <w:snapToGrid w:val="0"/>
          <w:sz w:val="16"/>
          <w:szCs w:val="16"/>
        </w:rPr>
        <w:t xml:space="preserve">(i) </w:t>
      </w:r>
      <w:r w:rsidRPr="00B66075">
        <w:rPr>
          <w:snapToGrid w:val="0"/>
          <w:sz w:val="16"/>
          <w:szCs w:val="16"/>
        </w:rPr>
        <w:tab/>
        <w:t>free or concessional passage provided by transporters including airlines to its employees (including the members of their household and dependents);”</w:t>
      </w:r>
    </w:p>
  </w:footnote>
  <w:footnote w:id="1806">
    <w:p w:rsidR="00BF2117" w:rsidRPr="00B66075" w:rsidRDefault="00BF2117">
      <w:pPr>
        <w:pStyle w:val="FootnoteText"/>
        <w:rPr>
          <w:sz w:val="16"/>
          <w:szCs w:val="16"/>
          <w:lang w:val="en-US"/>
        </w:rPr>
      </w:pPr>
      <w:r w:rsidRPr="00B66075">
        <w:rPr>
          <w:rStyle w:val="FootnoteReference"/>
          <w:sz w:val="16"/>
          <w:szCs w:val="16"/>
        </w:rPr>
        <w:footnoteRef/>
      </w:r>
      <w:r w:rsidRPr="00B66075">
        <w:rPr>
          <w:sz w:val="16"/>
          <w:szCs w:val="16"/>
          <w:lang w:val="en-US"/>
        </w:rPr>
        <w:t>The words “Central Board of Revenue” substituted by the Finance Act, 2007.</w:t>
      </w:r>
    </w:p>
  </w:footnote>
  <w:footnote w:id="1807">
    <w:p w:rsidR="00BF2117" w:rsidRPr="00B66075" w:rsidRDefault="00BF2117" w:rsidP="00AA4BF8">
      <w:pPr>
        <w:pStyle w:val="FootnoteText"/>
        <w:keepNext/>
        <w:rPr>
          <w:sz w:val="16"/>
          <w:szCs w:val="16"/>
        </w:rPr>
      </w:pPr>
      <w:r w:rsidRPr="00B66075">
        <w:rPr>
          <w:rStyle w:val="FootnoteReference"/>
          <w:rFonts w:cs="Arial"/>
          <w:sz w:val="16"/>
          <w:szCs w:val="16"/>
        </w:rPr>
        <w:footnoteRef/>
      </w:r>
      <w:r w:rsidRPr="00B66075">
        <w:rPr>
          <w:sz w:val="16"/>
          <w:szCs w:val="16"/>
        </w:rPr>
        <w:t xml:space="preserve"> Clause (54) omitted by the Finance Act, 2002. The omitted clause (54) read as follows:</w:t>
      </w:r>
    </w:p>
    <w:p w:rsidR="00BF2117" w:rsidRPr="00B66075" w:rsidRDefault="00BF2117" w:rsidP="00AA4BF8">
      <w:pPr>
        <w:widowControl w:val="0"/>
        <w:ind w:left="180"/>
        <w:jc w:val="both"/>
        <w:rPr>
          <w:sz w:val="16"/>
          <w:szCs w:val="16"/>
        </w:rPr>
      </w:pPr>
      <w:r w:rsidRPr="00B66075">
        <w:rPr>
          <w:sz w:val="16"/>
          <w:szCs w:val="16"/>
        </w:rPr>
        <w:t>“</w:t>
      </w:r>
      <w:r w:rsidRPr="00B66075">
        <w:rPr>
          <w:b/>
          <w:bCs/>
          <w:snapToGrid w:val="0"/>
          <w:sz w:val="16"/>
          <w:szCs w:val="16"/>
        </w:rPr>
        <w:t>(54)</w:t>
      </w:r>
      <w:r w:rsidRPr="00B66075">
        <w:rPr>
          <w:snapToGrid w:val="0"/>
          <w:sz w:val="16"/>
          <w:szCs w:val="16"/>
        </w:rPr>
        <w:tab/>
        <w:t>Any sum paid, for purpose of meeting the charges for gas, water and electricity, or the value of gas, water and electricity provided free of charge to the Federal and Provincial Ministers.”</w:t>
      </w:r>
    </w:p>
  </w:footnote>
  <w:footnote w:id="1808">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The word “form” substituted by the Finance Act, 2005.</w:t>
      </w:r>
    </w:p>
  </w:footnote>
  <w:footnote w:id="1809">
    <w:p w:rsidR="00BF2117" w:rsidRPr="00B66075" w:rsidRDefault="00BF2117">
      <w:pPr>
        <w:pStyle w:val="FootnoteText"/>
        <w:rPr>
          <w:sz w:val="16"/>
          <w:szCs w:val="16"/>
          <w:lang w:val="en-US"/>
        </w:rPr>
      </w:pPr>
      <w:r w:rsidRPr="00B66075">
        <w:rPr>
          <w:rStyle w:val="FootnoteReference"/>
          <w:sz w:val="16"/>
          <w:szCs w:val="16"/>
        </w:rPr>
        <w:footnoteRef/>
      </w:r>
      <w:r w:rsidRPr="00B66075">
        <w:rPr>
          <w:sz w:val="16"/>
          <w:szCs w:val="16"/>
          <w:lang w:val="en-US"/>
        </w:rPr>
        <w:t>The words “Controller of Capital Issues” substituted by the Finance Ordinance, 2002</w:t>
      </w:r>
    </w:p>
  </w:footnote>
  <w:footnote w:id="1810">
    <w:p w:rsidR="00BF2117" w:rsidRPr="00B66075" w:rsidRDefault="00BF2117">
      <w:pPr>
        <w:pStyle w:val="FootnoteText"/>
        <w:rPr>
          <w:sz w:val="16"/>
          <w:szCs w:val="16"/>
          <w:lang w:val="en-US"/>
        </w:rPr>
      </w:pPr>
      <w:r w:rsidRPr="00B66075">
        <w:rPr>
          <w:rStyle w:val="FootnoteReference"/>
          <w:sz w:val="16"/>
          <w:szCs w:val="16"/>
        </w:rPr>
        <w:footnoteRef/>
      </w:r>
      <w:r w:rsidRPr="00B66075">
        <w:rPr>
          <w:sz w:val="16"/>
          <w:szCs w:val="16"/>
          <w:lang w:val="en-US"/>
        </w:rPr>
        <w:t>Inserted by the Finance Act, 2010.</w:t>
      </w:r>
    </w:p>
  </w:footnote>
  <w:footnote w:id="1811">
    <w:p w:rsidR="00BF2117" w:rsidRPr="00B66075" w:rsidRDefault="00BF2117">
      <w:pPr>
        <w:pStyle w:val="FootnoteText"/>
        <w:rPr>
          <w:sz w:val="16"/>
          <w:szCs w:val="16"/>
          <w:lang w:val="en-US"/>
        </w:rPr>
      </w:pPr>
      <w:r w:rsidRPr="00B66075">
        <w:rPr>
          <w:rStyle w:val="FootnoteReference"/>
          <w:sz w:val="16"/>
          <w:szCs w:val="16"/>
        </w:rPr>
        <w:footnoteRef/>
      </w:r>
      <w:r w:rsidRPr="00B66075">
        <w:rPr>
          <w:sz w:val="16"/>
          <w:szCs w:val="16"/>
          <w:lang w:val="en-US"/>
        </w:rPr>
        <w:t>Words inserted by the Finance Act, 2006.</w:t>
      </w:r>
    </w:p>
  </w:footnote>
  <w:footnote w:id="1812">
    <w:p w:rsidR="00BF2117" w:rsidRPr="00B66075" w:rsidRDefault="00BF2117">
      <w:pPr>
        <w:pStyle w:val="FootnoteText"/>
        <w:rPr>
          <w:sz w:val="16"/>
          <w:szCs w:val="16"/>
          <w:lang w:val="en-US"/>
        </w:rPr>
      </w:pPr>
      <w:r w:rsidRPr="00B66075">
        <w:rPr>
          <w:rStyle w:val="FootnoteReference"/>
          <w:sz w:val="16"/>
          <w:szCs w:val="16"/>
        </w:rPr>
        <w:footnoteRef/>
      </w:r>
      <w:r w:rsidRPr="00B66075">
        <w:rPr>
          <w:sz w:val="16"/>
          <w:szCs w:val="16"/>
          <w:lang w:val="en-US"/>
        </w:rPr>
        <w:t>The words “real estate investment trust” substituted by the Finance Act, 2008.</w:t>
      </w:r>
    </w:p>
  </w:footnote>
  <w:footnote w:id="1813">
    <w:p w:rsidR="00BF2117" w:rsidRPr="00B66075" w:rsidRDefault="00BF2117">
      <w:pPr>
        <w:pStyle w:val="FootnoteText"/>
        <w:rPr>
          <w:sz w:val="16"/>
          <w:szCs w:val="16"/>
          <w:lang w:val="en-US"/>
        </w:rPr>
      </w:pPr>
      <w:r w:rsidRPr="00B66075">
        <w:rPr>
          <w:rStyle w:val="FootnoteReference"/>
          <w:sz w:val="16"/>
          <w:szCs w:val="16"/>
        </w:rPr>
        <w:footnoteRef/>
      </w:r>
      <w:r w:rsidRPr="00B66075">
        <w:rPr>
          <w:sz w:val="16"/>
          <w:szCs w:val="16"/>
        </w:rPr>
        <w:t xml:space="preserve"> Inserted by the Finance Act, 2007.</w:t>
      </w:r>
    </w:p>
  </w:footnote>
  <w:footnote w:id="1814">
    <w:p w:rsidR="00BF2117" w:rsidRPr="00B66075" w:rsidRDefault="00BF2117" w:rsidP="00431990">
      <w:pPr>
        <w:pStyle w:val="FootnoteText"/>
        <w:ind w:left="0" w:firstLine="0"/>
        <w:rPr>
          <w:sz w:val="16"/>
          <w:szCs w:val="16"/>
          <w:lang w:val="en-US"/>
        </w:rPr>
      </w:pPr>
      <w:r w:rsidRPr="00B66075">
        <w:rPr>
          <w:rStyle w:val="FootnoteReference"/>
          <w:sz w:val="16"/>
          <w:szCs w:val="16"/>
        </w:rPr>
        <w:footnoteRef/>
      </w:r>
      <w:r w:rsidRPr="00B66075">
        <w:rPr>
          <w:sz w:val="16"/>
          <w:szCs w:val="16"/>
        </w:rPr>
        <w:t xml:space="preserve"> The words “approved by the Securities and Exchange Commission of Pakistan” Omitted by the Finance Act, 2008.</w:t>
      </w:r>
    </w:p>
  </w:footnote>
  <w:footnote w:id="1815">
    <w:p w:rsidR="00BF2117" w:rsidRPr="00B66075" w:rsidRDefault="00BF2117">
      <w:pPr>
        <w:pStyle w:val="FootnoteText"/>
        <w:rPr>
          <w:sz w:val="16"/>
          <w:szCs w:val="16"/>
          <w:lang w:val="en-US"/>
        </w:rPr>
      </w:pPr>
      <w:r w:rsidRPr="00B66075">
        <w:rPr>
          <w:rStyle w:val="FootnoteReference"/>
          <w:sz w:val="16"/>
          <w:szCs w:val="16"/>
        </w:rPr>
        <w:footnoteRef/>
      </w:r>
      <w:r w:rsidRPr="00B66075">
        <w:rPr>
          <w:sz w:val="16"/>
          <w:szCs w:val="16"/>
          <w:lang w:val="en-US"/>
        </w:rPr>
        <w:t>The words “Central Board of Revenue” substituted by the Finance Act, 2007.</w:t>
      </w:r>
    </w:p>
  </w:footnote>
  <w:footnote w:id="1816">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Added by the Finance Act, 2005.</w:t>
      </w:r>
    </w:p>
  </w:footnote>
  <w:footnote w:id="1817">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Added by the Finance Act, 2005.</w:t>
      </w:r>
    </w:p>
  </w:footnote>
  <w:footnote w:id="1818">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Full stop substituted by the Finance Act, 2006.</w:t>
      </w:r>
    </w:p>
  </w:footnote>
  <w:footnote w:id="1819">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Paragraph (x) omitted by the Finance Act, 2008. The omitted paragraph (x) read a follows:</w:t>
      </w:r>
    </w:p>
    <w:p w:rsidR="00BF2117" w:rsidRPr="00B66075" w:rsidRDefault="00BF2117" w:rsidP="00AA4BF8">
      <w:pPr>
        <w:autoSpaceDE w:val="0"/>
        <w:autoSpaceDN w:val="0"/>
        <w:adjustRightInd w:val="0"/>
        <w:ind w:left="540" w:hanging="360"/>
        <w:jc w:val="both"/>
        <w:rPr>
          <w:sz w:val="16"/>
          <w:szCs w:val="16"/>
          <w:lang w:val="en-US"/>
        </w:rPr>
      </w:pPr>
      <w:r w:rsidRPr="00B66075">
        <w:rPr>
          <w:sz w:val="16"/>
          <w:szCs w:val="16"/>
        </w:rPr>
        <w:t>“</w:t>
      </w:r>
      <w:r w:rsidRPr="00B66075">
        <w:rPr>
          <w:sz w:val="16"/>
          <w:szCs w:val="16"/>
          <w:lang w:val="en-US"/>
        </w:rPr>
        <w:t xml:space="preserve">(x) </w:t>
      </w:r>
      <w:r w:rsidRPr="00B66075">
        <w:rPr>
          <w:sz w:val="16"/>
          <w:szCs w:val="16"/>
          <w:lang w:val="en-US"/>
        </w:rPr>
        <w:tab/>
        <w:t>the accumulated balance upto 25% received from the  voluntary pension system offered by a pension fund manager under the Voluntary Pension System Rules, 2005 at the time of eligible person’s:</w:t>
      </w:r>
    </w:p>
    <w:p w:rsidR="00BF2117" w:rsidRPr="00B66075" w:rsidRDefault="00BF2117" w:rsidP="00AA4BF8">
      <w:pPr>
        <w:autoSpaceDE w:val="0"/>
        <w:autoSpaceDN w:val="0"/>
        <w:adjustRightInd w:val="0"/>
        <w:ind w:firstLine="180"/>
        <w:rPr>
          <w:sz w:val="16"/>
          <w:szCs w:val="16"/>
          <w:lang w:val="en-US"/>
        </w:rPr>
      </w:pPr>
      <w:r w:rsidRPr="00B66075">
        <w:rPr>
          <w:sz w:val="16"/>
          <w:szCs w:val="16"/>
          <w:lang w:val="en-US"/>
        </w:rPr>
        <w:tab/>
      </w:r>
      <w:r w:rsidRPr="00B66075">
        <w:rPr>
          <w:sz w:val="16"/>
          <w:szCs w:val="16"/>
          <w:lang w:val="en-US"/>
        </w:rPr>
        <w:tab/>
        <w:t xml:space="preserve">(a) </w:t>
      </w:r>
      <w:r w:rsidRPr="00B66075">
        <w:rPr>
          <w:sz w:val="16"/>
          <w:szCs w:val="16"/>
          <w:lang w:val="en-US"/>
        </w:rPr>
        <w:tab/>
        <w:t>retirement; or</w:t>
      </w:r>
    </w:p>
    <w:p w:rsidR="00BF2117" w:rsidRPr="00B66075" w:rsidRDefault="00BF2117" w:rsidP="00AA4BF8">
      <w:pPr>
        <w:autoSpaceDE w:val="0"/>
        <w:autoSpaceDN w:val="0"/>
        <w:adjustRightInd w:val="0"/>
        <w:rPr>
          <w:sz w:val="16"/>
          <w:szCs w:val="16"/>
          <w:lang w:val="en-US"/>
        </w:rPr>
      </w:pPr>
      <w:r w:rsidRPr="00B66075">
        <w:rPr>
          <w:sz w:val="16"/>
          <w:szCs w:val="16"/>
          <w:lang w:val="en-US"/>
        </w:rPr>
        <w:tab/>
      </w:r>
      <w:r w:rsidRPr="00B66075">
        <w:rPr>
          <w:sz w:val="16"/>
          <w:szCs w:val="16"/>
          <w:lang w:val="en-US"/>
        </w:rPr>
        <w:tab/>
        <w:t xml:space="preserve">(b) </w:t>
      </w:r>
      <w:r w:rsidRPr="00B66075">
        <w:rPr>
          <w:sz w:val="16"/>
          <w:szCs w:val="16"/>
          <w:lang w:val="en-US"/>
        </w:rPr>
        <w:tab/>
        <w:t>disability rendering him unable to work; or</w:t>
      </w:r>
    </w:p>
    <w:p w:rsidR="00BF2117" w:rsidRPr="00B66075" w:rsidRDefault="00BF2117" w:rsidP="00AA4BF8">
      <w:pPr>
        <w:pStyle w:val="FootnoteText"/>
        <w:rPr>
          <w:sz w:val="16"/>
          <w:szCs w:val="16"/>
        </w:rPr>
      </w:pPr>
      <w:r w:rsidRPr="00B66075">
        <w:rPr>
          <w:sz w:val="16"/>
          <w:szCs w:val="16"/>
          <w:lang w:val="en-US"/>
        </w:rPr>
        <w:tab/>
      </w:r>
      <w:r w:rsidRPr="00B66075">
        <w:rPr>
          <w:sz w:val="16"/>
          <w:szCs w:val="16"/>
          <w:lang w:val="en-US"/>
        </w:rPr>
        <w:tab/>
        <w:t xml:space="preserve">(c) </w:t>
      </w:r>
      <w:r w:rsidRPr="00B66075">
        <w:rPr>
          <w:sz w:val="16"/>
          <w:szCs w:val="16"/>
          <w:lang w:val="en-US"/>
        </w:rPr>
        <w:tab/>
        <w:t>death by his nominated survivors.”</w:t>
      </w:r>
    </w:p>
  </w:footnote>
  <w:footnote w:id="1820">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Inserted by S.R.O. 1038(I)/2006, dated 09.10.2006.</w:t>
      </w:r>
    </w:p>
  </w:footnote>
  <w:footnote w:id="1821">
    <w:p w:rsidR="00BF2117" w:rsidRPr="00B66075" w:rsidRDefault="00BF2117" w:rsidP="00AA4BF8">
      <w:pPr>
        <w:pStyle w:val="FootnoteText"/>
        <w:rPr>
          <w:sz w:val="16"/>
          <w:szCs w:val="16"/>
        </w:rPr>
      </w:pPr>
      <w:r w:rsidRPr="00B66075">
        <w:rPr>
          <w:rStyle w:val="FootnoteReference"/>
          <w:rFonts w:cs="Arial"/>
          <w:sz w:val="16"/>
          <w:szCs w:val="16"/>
        </w:rPr>
        <w:footnoteRef/>
      </w:r>
      <w:r w:rsidRPr="00B66075">
        <w:rPr>
          <w:sz w:val="16"/>
          <w:szCs w:val="16"/>
        </w:rPr>
        <w:t xml:space="preserve"> Added by the Finance Act, 2010.</w:t>
      </w:r>
    </w:p>
  </w:footnote>
  <w:footnote w:id="1822">
    <w:p w:rsidR="00BF2117" w:rsidRPr="00B46543" w:rsidRDefault="00BF2117" w:rsidP="00AA4BF8">
      <w:pPr>
        <w:pStyle w:val="FootnoteText"/>
        <w:rPr>
          <w:color w:val="000000" w:themeColor="text1"/>
          <w:sz w:val="16"/>
          <w:szCs w:val="16"/>
          <w:lang w:val="en-US"/>
        </w:rPr>
      </w:pPr>
      <w:r w:rsidRPr="00B46543">
        <w:rPr>
          <w:rStyle w:val="FootnoteReference"/>
          <w:color w:val="000000" w:themeColor="text1"/>
          <w:sz w:val="16"/>
          <w:szCs w:val="16"/>
        </w:rPr>
        <w:footnoteRef/>
      </w:r>
      <w:r w:rsidRPr="00B46543">
        <w:rPr>
          <w:color w:val="000000" w:themeColor="text1"/>
          <w:sz w:val="16"/>
          <w:szCs w:val="16"/>
        </w:rPr>
        <w:t>Clause (xiii) a</w:t>
      </w:r>
      <w:r w:rsidRPr="00B46543">
        <w:rPr>
          <w:color w:val="000000" w:themeColor="text1"/>
          <w:sz w:val="16"/>
          <w:szCs w:val="16"/>
          <w:lang w:val="en-US"/>
        </w:rPr>
        <w:t>dded by the Finance Act, 2014.</w:t>
      </w:r>
    </w:p>
  </w:footnote>
  <w:footnote w:id="1823">
    <w:p w:rsidR="00BF2117" w:rsidRPr="00517CD8" w:rsidRDefault="00BF2117">
      <w:pPr>
        <w:pStyle w:val="FootnoteText"/>
        <w:rPr>
          <w:sz w:val="16"/>
          <w:szCs w:val="16"/>
          <w:lang w:val="en-US"/>
        </w:rPr>
      </w:pPr>
      <w:r w:rsidRPr="00517CD8">
        <w:rPr>
          <w:rStyle w:val="FootnoteReference"/>
          <w:sz w:val="16"/>
          <w:szCs w:val="16"/>
        </w:rPr>
        <w:footnoteRef/>
      </w:r>
      <w:r>
        <w:rPr>
          <w:sz w:val="16"/>
          <w:szCs w:val="16"/>
        </w:rPr>
        <w:t>Inserted by the Finance Act, 2015.</w:t>
      </w:r>
    </w:p>
  </w:footnote>
  <w:footnote w:id="1824">
    <w:p w:rsidR="00BF2117" w:rsidRPr="00B46543" w:rsidRDefault="00BF2117" w:rsidP="00AA4BF8">
      <w:pPr>
        <w:pStyle w:val="FootnoteText"/>
        <w:rPr>
          <w:color w:val="000000" w:themeColor="text1"/>
          <w:sz w:val="16"/>
          <w:szCs w:val="16"/>
          <w:lang w:val="en-US"/>
        </w:rPr>
      </w:pPr>
      <w:r w:rsidRPr="00B46543">
        <w:rPr>
          <w:rStyle w:val="FootnoteReference"/>
          <w:color w:val="000000" w:themeColor="text1"/>
          <w:sz w:val="16"/>
          <w:szCs w:val="16"/>
        </w:rPr>
        <w:footnoteRef/>
      </w:r>
      <w:r w:rsidRPr="00B46543">
        <w:rPr>
          <w:color w:val="000000" w:themeColor="text1"/>
          <w:sz w:val="16"/>
          <w:szCs w:val="16"/>
          <w:lang w:val="en-US"/>
        </w:rPr>
        <w:t>Clauses (58), (58A), (59) and (60) omitted by the Finance Act, 2014. The omitted clauses read as follows:</w:t>
      </w:r>
    </w:p>
    <w:p w:rsidR="00BF2117" w:rsidRPr="00B46543" w:rsidRDefault="00BF2117" w:rsidP="00243FFB">
      <w:pPr>
        <w:widowControl w:val="0"/>
        <w:jc w:val="both"/>
        <w:rPr>
          <w:snapToGrid w:val="0"/>
          <w:color w:val="000000" w:themeColor="text1"/>
          <w:sz w:val="16"/>
          <w:szCs w:val="16"/>
        </w:rPr>
      </w:pPr>
      <w:r w:rsidRPr="00B46543">
        <w:rPr>
          <w:color w:val="000000" w:themeColor="text1"/>
          <w:sz w:val="16"/>
          <w:szCs w:val="16"/>
          <w:lang w:val="en-US"/>
        </w:rPr>
        <w:t>“</w:t>
      </w:r>
      <w:r w:rsidRPr="00B46543">
        <w:rPr>
          <w:rFonts w:cs="Arial"/>
          <w:b/>
          <w:snapToGrid w:val="0"/>
          <w:color w:val="000000" w:themeColor="text1"/>
          <w:sz w:val="16"/>
          <w:szCs w:val="16"/>
        </w:rPr>
        <w:t>(58)</w:t>
      </w:r>
      <w:r w:rsidRPr="00B46543">
        <w:rPr>
          <w:snapToGrid w:val="0"/>
          <w:color w:val="000000" w:themeColor="text1"/>
          <w:sz w:val="16"/>
          <w:szCs w:val="16"/>
        </w:rPr>
        <w:t xml:space="preserve"> (1) </w:t>
      </w:r>
      <w:r w:rsidRPr="00B46543">
        <w:rPr>
          <w:snapToGrid w:val="0"/>
          <w:color w:val="000000" w:themeColor="text1"/>
          <w:sz w:val="16"/>
          <w:szCs w:val="16"/>
        </w:rPr>
        <w:tab/>
        <w:t>Any income of a trust or welfare institution or non-profit organization specified in sub-clauses (2) and (3) from donations, voluntary contributions, subscriptions, house property, investments in the securities of the Federal Government and so much of the income chargeable under the head "Income from business" as is expended in Pakistan for the purposes of carrying out welfare activities:</w:t>
      </w:r>
    </w:p>
    <w:p w:rsidR="00BF2117" w:rsidRPr="00B46543" w:rsidRDefault="00BF2117" w:rsidP="00243FFB">
      <w:pPr>
        <w:widowControl w:val="0"/>
        <w:ind w:firstLine="547"/>
        <w:jc w:val="both"/>
        <w:rPr>
          <w:rFonts w:cs="Arial"/>
          <w:snapToGrid w:val="0"/>
          <w:color w:val="000000" w:themeColor="text1"/>
          <w:sz w:val="16"/>
          <w:szCs w:val="16"/>
        </w:rPr>
      </w:pPr>
      <w:r w:rsidRPr="00B46543">
        <w:rPr>
          <w:rFonts w:cs="Arial"/>
          <w:snapToGrid w:val="0"/>
          <w:color w:val="000000" w:themeColor="text1"/>
          <w:sz w:val="16"/>
          <w:szCs w:val="16"/>
        </w:rPr>
        <w:t>Provided that in the case of income under the head "Income from business", the exemption in respect of income under the said head shall not exceed an amount which bears to the income under the said head the same proportion as the said amount bears to the aggregate of the incomes from the aforesaid sources of income.</w:t>
      </w:r>
    </w:p>
    <w:p w:rsidR="00BF2117" w:rsidRPr="00B46543" w:rsidRDefault="00BF2117" w:rsidP="00243FFB">
      <w:pPr>
        <w:widowControl w:val="0"/>
        <w:ind w:firstLine="240"/>
        <w:jc w:val="both"/>
        <w:rPr>
          <w:rFonts w:cs="Arial"/>
          <w:snapToGrid w:val="0"/>
          <w:color w:val="000000" w:themeColor="text1"/>
          <w:sz w:val="16"/>
          <w:szCs w:val="16"/>
        </w:rPr>
      </w:pPr>
      <w:r w:rsidRPr="00B46543">
        <w:rPr>
          <w:rFonts w:cs="Arial"/>
          <w:snapToGrid w:val="0"/>
          <w:color w:val="000000" w:themeColor="text1"/>
          <w:sz w:val="16"/>
          <w:szCs w:val="16"/>
        </w:rPr>
        <w:t>(2)</w:t>
      </w:r>
      <w:r w:rsidRPr="00B46543">
        <w:rPr>
          <w:rFonts w:cs="Arial"/>
          <w:snapToGrid w:val="0"/>
          <w:color w:val="000000" w:themeColor="text1"/>
          <w:sz w:val="16"/>
          <w:szCs w:val="16"/>
        </w:rPr>
        <w:tab/>
        <w:t>A trust administered under a scheme approved by the Federal Government in this behalf and established in Pakistan exclusively for the purposes of carrying out such activities as are for the benefit and welfare of</w:t>
      </w:r>
      <w:r w:rsidRPr="00B46543">
        <w:rPr>
          <w:rFonts w:cs="Arial"/>
          <w:color w:val="000000" w:themeColor="text1"/>
          <w:sz w:val="16"/>
          <w:szCs w:val="16"/>
        </w:rPr>
        <w:t>—</w:t>
      </w:r>
    </w:p>
    <w:p w:rsidR="00BF2117" w:rsidRPr="00B46543" w:rsidRDefault="00BF2117" w:rsidP="00B46543">
      <w:pPr>
        <w:widowControl w:val="0"/>
        <w:ind w:left="900" w:hanging="360"/>
        <w:jc w:val="both"/>
        <w:rPr>
          <w:rFonts w:cs="Arial"/>
          <w:snapToGrid w:val="0"/>
          <w:color w:val="000000" w:themeColor="text1"/>
          <w:sz w:val="16"/>
          <w:szCs w:val="16"/>
        </w:rPr>
      </w:pPr>
      <w:r w:rsidRPr="00B46543">
        <w:rPr>
          <w:rFonts w:cs="Arial"/>
          <w:snapToGrid w:val="0"/>
          <w:color w:val="000000" w:themeColor="text1"/>
          <w:sz w:val="16"/>
          <w:szCs w:val="16"/>
        </w:rPr>
        <w:t>(i)</w:t>
      </w:r>
      <w:r w:rsidRPr="00B46543">
        <w:rPr>
          <w:rFonts w:cs="Arial"/>
          <w:snapToGrid w:val="0"/>
          <w:color w:val="000000" w:themeColor="text1"/>
          <w:sz w:val="16"/>
          <w:szCs w:val="16"/>
        </w:rPr>
        <w:tab/>
        <w:t>ex-servicemen and serving personnel, including civilian employees of the Armed Forces, and their dependents; or</w:t>
      </w:r>
    </w:p>
    <w:p w:rsidR="00BF2117" w:rsidRPr="00B46543" w:rsidRDefault="00BF2117" w:rsidP="00B46543">
      <w:pPr>
        <w:widowControl w:val="0"/>
        <w:ind w:left="900" w:hanging="360"/>
        <w:jc w:val="both"/>
        <w:rPr>
          <w:rFonts w:cs="Arial"/>
          <w:snapToGrid w:val="0"/>
          <w:color w:val="000000" w:themeColor="text1"/>
          <w:sz w:val="16"/>
          <w:szCs w:val="16"/>
        </w:rPr>
      </w:pPr>
      <w:r w:rsidRPr="00B46543">
        <w:rPr>
          <w:rFonts w:cs="Arial"/>
          <w:snapToGrid w:val="0"/>
          <w:color w:val="000000" w:themeColor="text1"/>
          <w:sz w:val="16"/>
          <w:szCs w:val="16"/>
        </w:rPr>
        <w:t xml:space="preserve">(ii) </w:t>
      </w:r>
      <w:r w:rsidRPr="00B46543">
        <w:rPr>
          <w:rFonts w:cs="Arial"/>
          <w:snapToGrid w:val="0"/>
          <w:color w:val="000000" w:themeColor="text1"/>
          <w:sz w:val="16"/>
          <w:szCs w:val="16"/>
        </w:rPr>
        <w:tab/>
        <w:t>ex-employees and serving personnel of the Federal Government or a Provincial Government and their dependents, where the said trust is administered by a committee nominated by the Federal Government or, as the case may be, a Provincial Government.</w:t>
      </w:r>
    </w:p>
    <w:p w:rsidR="00BF2117" w:rsidRPr="00B46543" w:rsidRDefault="00BF2117" w:rsidP="00243FFB">
      <w:pPr>
        <w:widowControl w:val="0"/>
        <w:ind w:firstLine="240"/>
        <w:jc w:val="both"/>
        <w:rPr>
          <w:rFonts w:cs="Arial"/>
          <w:color w:val="000000" w:themeColor="text1"/>
          <w:sz w:val="16"/>
          <w:szCs w:val="16"/>
        </w:rPr>
      </w:pPr>
      <w:r w:rsidRPr="00B46543">
        <w:rPr>
          <w:rFonts w:cs="Arial"/>
          <w:color w:val="000000" w:themeColor="text1"/>
          <w:sz w:val="16"/>
          <w:szCs w:val="16"/>
        </w:rPr>
        <w:t>(3)</w:t>
      </w:r>
      <w:r w:rsidRPr="00B46543">
        <w:rPr>
          <w:rFonts w:cs="Arial"/>
          <w:color w:val="000000" w:themeColor="text1"/>
          <w:sz w:val="16"/>
          <w:szCs w:val="16"/>
        </w:rPr>
        <w:tab/>
        <w:t>A trust or welfare institution or non-profit organization approved by Regional Commissioner of Income Tax for the purposes of this sub-clause.</w:t>
      </w:r>
    </w:p>
    <w:p w:rsidR="00BF2117" w:rsidRPr="00B46543" w:rsidRDefault="00BF2117" w:rsidP="00243FFB">
      <w:pPr>
        <w:widowControl w:val="0"/>
        <w:jc w:val="both"/>
        <w:rPr>
          <w:rFonts w:cs="Arial"/>
          <w:snapToGrid w:val="0"/>
          <w:color w:val="000000" w:themeColor="text1"/>
          <w:sz w:val="16"/>
          <w:szCs w:val="16"/>
        </w:rPr>
      </w:pPr>
      <w:r w:rsidRPr="00B46543">
        <w:rPr>
          <w:rFonts w:cs="Arial"/>
          <w:b/>
          <w:snapToGrid w:val="0"/>
          <w:color w:val="000000" w:themeColor="text1"/>
          <w:sz w:val="16"/>
          <w:szCs w:val="16"/>
        </w:rPr>
        <w:t xml:space="preserve"> (58A)</w:t>
      </w:r>
      <w:r w:rsidRPr="00B46543">
        <w:rPr>
          <w:rFonts w:cs="Arial"/>
          <w:snapToGrid w:val="0"/>
          <w:color w:val="000000" w:themeColor="text1"/>
          <w:sz w:val="16"/>
          <w:szCs w:val="16"/>
        </w:rPr>
        <w:t xml:space="preserve"> Income of a university or other educational institution being run by a non-profit organization existing solely for educational purposes and not for purposes of profit.</w:t>
      </w:r>
      <w:r w:rsidRPr="00B46543">
        <w:rPr>
          <w:rFonts w:cs="Arial"/>
          <w:snapToGrid w:val="0"/>
          <w:color w:val="000000" w:themeColor="text1"/>
          <w:sz w:val="16"/>
          <w:szCs w:val="16"/>
        </w:rPr>
        <w:tab/>
      </w:r>
    </w:p>
    <w:p w:rsidR="00BF2117" w:rsidRPr="00B46543" w:rsidRDefault="00BF2117" w:rsidP="00243FFB">
      <w:pPr>
        <w:widowControl w:val="0"/>
        <w:jc w:val="both"/>
        <w:rPr>
          <w:snapToGrid w:val="0"/>
          <w:color w:val="000000" w:themeColor="text1"/>
          <w:sz w:val="16"/>
          <w:szCs w:val="16"/>
        </w:rPr>
      </w:pPr>
      <w:r w:rsidRPr="00B46543">
        <w:rPr>
          <w:rFonts w:cs="Arial"/>
          <w:b/>
          <w:snapToGrid w:val="0"/>
          <w:color w:val="000000" w:themeColor="text1"/>
          <w:sz w:val="16"/>
          <w:szCs w:val="16"/>
        </w:rPr>
        <w:t>(59)</w:t>
      </w:r>
      <w:r w:rsidRPr="00B46543">
        <w:rPr>
          <w:snapToGrid w:val="0"/>
          <w:color w:val="000000" w:themeColor="text1"/>
          <w:sz w:val="16"/>
          <w:szCs w:val="16"/>
        </w:rPr>
        <w:tab/>
        <w:t>Any income which is derived from investments in securities of the Federal Government</w:t>
      </w:r>
      <w:r w:rsidRPr="00B46543">
        <w:rPr>
          <w:b/>
          <w:snapToGrid w:val="0"/>
          <w:color w:val="000000" w:themeColor="text1"/>
          <w:sz w:val="16"/>
          <w:szCs w:val="16"/>
        </w:rPr>
        <w:t>,</w:t>
      </w:r>
      <w:r w:rsidRPr="00B46543">
        <w:rPr>
          <w:snapToGrid w:val="0"/>
          <w:color w:val="000000" w:themeColor="text1"/>
          <w:sz w:val="16"/>
          <w:szCs w:val="16"/>
        </w:rPr>
        <w:t xml:space="preserve"> profit on debt from scheduled banks, grant received from Federal Government or Provincial Government or District Government, foreign grants and house property held under trust or other legal obligations wholly, or in part only, for religious or charitable purposes and is actually applied or finally set apart for application thereto:</w:t>
      </w:r>
    </w:p>
    <w:p w:rsidR="00BF2117" w:rsidRPr="00B46543" w:rsidRDefault="00BF2117" w:rsidP="00243FFB">
      <w:pPr>
        <w:widowControl w:val="0"/>
        <w:jc w:val="both"/>
        <w:rPr>
          <w:rFonts w:cs="Arial"/>
          <w:snapToGrid w:val="0"/>
          <w:color w:val="000000" w:themeColor="text1"/>
          <w:sz w:val="16"/>
          <w:szCs w:val="16"/>
        </w:rPr>
      </w:pPr>
    </w:p>
    <w:p w:rsidR="00BF2117" w:rsidRPr="00B46543" w:rsidRDefault="00BF2117" w:rsidP="00B46543">
      <w:pPr>
        <w:widowControl w:val="0"/>
        <w:ind w:left="1080"/>
        <w:jc w:val="both"/>
        <w:rPr>
          <w:rFonts w:cs="Arial"/>
          <w:snapToGrid w:val="0"/>
          <w:color w:val="000000" w:themeColor="text1"/>
          <w:sz w:val="16"/>
          <w:szCs w:val="16"/>
        </w:rPr>
      </w:pPr>
      <w:r w:rsidRPr="00B46543">
        <w:rPr>
          <w:rFonts w:cs="Arial"/>
          <w:snapToGrid w:val="0"/>
          <w:color w:val="000000" w:themeColor="text1"/>
          <w:sz w:val="16"/>
          <w:szCs w:val="16"/>
        </w:rPr>
        <w:t>Provided that nothing in this clause shall apply to so much of the income as is not expended within Pakistan:</w:t>
      </w:r>
    </w:p>
    <w:p w:rsidR="00BF2117" w:rsidRPr="00B46543" w:rsidRDefault="00BF2117" w:rsidP="00243FFB">
      <w:pPr>
        <w:widowControl w:val="0"/>
        <w:ind w:left="1094" w:firstLine="540"/>
        <w:jc w:val="both"/>
        <w:rPr>
          <w:rFonts w:cs="Arial"/>
          <w:snapToGrid w:val="0"/>
          <w:color w:val="000000" w:themeColor="text1"/>
          <w:sz w:val="16"/>
          <w:szCs w:val="16"/>
        </w:rPr>
      </w:pPr>
      <w:r w:rsidRPr="00B46543">
        <w:rPr>
          <w:rFonts w:cs="Arial"/>
          <w:snapToGrid w:val="0"/>
          <w:color w:val="000000" w:themeColor="text1"/>
          <w:sz w:val="16"/>
          <w:szCs w:val="16"/>
        </w:rPr>
        <w:t>Provided further that if any sum out of the amount so set apart is expended outside Pakistan, it shall be included in the total income of the tax year in which it is so expended or of the year in which it was set apart, whichever is the greater, and the provisions of section 122 shall not apply to any assessment made or to be made in pursuance of this proviso.</w:t>
      </w:r>
    </w:p>
    <w:p w:rsidR="00BF2117" w:rsidRPr="00B46543" w:rsidRDefault="00BF2117" w:rsidP="00243FFB">
      <w:pPr>
        <w:widowControl w:val="0"/>
        <w:ind w:left="1094" w:firstLine="1"/>
        <w:jc w:val="both"/>
        <w:rPr>
          <w:rFonts w:cs="Arial"/>
          <w:snapToGrid w:val="0"/>
          <w:color w:val="000000" w:themeColor="text1"/>
          <w:sz w:val="16"/>
          <w:szCs w:val="16"/>
        </w:rPr>
      </w:pPr>
      <w:r w:rsidRPr="00B46543">
        <w:rPr>
          <w:rFonts w:cs="Arial"/>
          <w:i/>
          <w:snapToGrid w:val="0"/>
          <w:color w:val="000000" w:themeColor="text1"/>
          <w:sz w:val="16"/>
          <w:szCs w:val="16"/>
        </w:rPr>
        <w:t>Explanation</w:t>
      </w:r>
      <w:r w:rsidRPr="00B46543">
        <w:rPr>
          <w:rFonts w:cs="Arial"/>
          <w:snapToGrid w:val="0"/>
          <w:color w:val="000000" w:themeColor="text1"/>
          <w:sz w:val="16"/>
          <w:szCs w:val="16"/>
        </w:rPr>
        <w:t>.</w:t>
      </w:r>
      <w:r w:rsidRPr="00B46543">
        <w:rPr>
          <w:rFonts w:cs="Arial"/>
          <w:color w:val="000000" w:themeColor="text1"/>
          <w:sz w:val="16"/>
          <w:szCs w:val="16"/>
        </w:rPr>
        <w:t>—</w:t>
      </w:r>
      <w:r w:rsidRPr="00B46543">
        <w:rPr>
          <w:rFonts w:cs="Arial"/>
          <w:snapToGrid w:val="0"/>
          <w:color w:val="000000" w:themeColor="text1"/>
          <w:sz w:val="16"/>
          <w:szCs w:val="16"/>
        </w:rPr>
        <w:t xml:space="preserve"> Notwithstanding anything contained in the Mussalman Wakf Validating Act, 1913 (VI of 1913), or any other law for the time being in force or in the instrument relating to the trust or the institution, if any amount is set apart, expended or disbursed for the maintenance and support wholly or partially of the family, children or descendents of the author of the trust or the donor or, the maker of the institution or for his own maintenance and support during his life time or payment to himself or his family, children, relations or descendents or for the payment of his or their debts out of the income from house property dedicated, or if any expenditure is made other than for charitable purposes, in each case such expenditure, provision, setting apart, payment or disbursement shall not be deemed, for the purposes of this clause, to be for religious or charitable purposes.</w:t>
      </w:r>
    </w:p>
    <w:p w:rsidR="00BF2117" w:rsidRPr="00B46543" w:rsidRDefault="00BF2117" w:rsidP="00243FFB">
      <w:pPr>
        <w:widowControl w:val="0"/>
        <w:jc w:val="both"/>
        <w:rPr>
          <w:color w:val="000000" w:themeColor="text1"/>
          <w:sz w:val="16"/>
          <w:szCs w:val="16"/>
        </w:rPr>
      </w:pPr>
      <w:r w:rsidRPr="00B46543">
        <w:rPr>
          <w:rFonts w:cs="Arial"/>
          <w:b/>
          <w:snapToGrid w:val="0"/>
          <w:color w:val="000000" w:themeColor="text1"/>
          <w:sz w:val="16"/>
          <w:szCs w:val="16"/>
        </w:rPr>
        <w:t>(60)</w:t>
      </w:r>
      <w:r w:rsidRPr="00B46543">
        <w:rPr>
          <w:snapToGrid w:val="0"/>
          <w:color w:val="000000" w:themeColor="text1"/>
          <w:sz w:val="16"/>
          <w:szCs w:val="16"/>
        </w:rPr>
        <w:tab/>
        <w:t xml:space="preserve">Any income of a religious or charitable institution derived from voluntary </w:t>
      </w:r>
      <w:r w:rsidRPr="00B46543">
        <w:rPr>
          <w:color w:val="000000" w:themeColor="text1"/>
          <w:sz w:val="16"/>
          <w:szCs w:val="16"/>
        </w:rPr>
        <w:t>contributions applicable solely to religious or charitable purposes of the institution:</w:t>
      </w:r>
    </w:p>
    <w:p w:rsidR="00BF2117" w:rsidRPr="00B46543" w:rsidRDefault="00BF2117" w:rsidP="00243FFB">
      <w:pPr>
        <w:pStyle w:val="BodyText3"/>
        <w:ind w:left="1094" w:firstLine="541"/>
        <w:rPr>
          <w:color w:val="000000" w:themeColor="text1"/>
        </w:rPr>
      </w:pPr>
      <w:r w:rsidRPr="00B46543">
        <w:rPr>
          <w:rFonts w:ascii="Arial" w:hAnsi="Arial"/>
          <w:color w:val="000000" w:themeColor="text1"/>
          <w:sz w:val="16"/>
          <w:szCs w:val="16"/>
          <w:lang w:val="en-AU"/>
        </w:rPr>
        <w:t>Provided that nothing contained in clause (61) or this clause shall apply to the income of a private religious trust which does not ensure for the benefit of the public.”</w:t>
      </w:r>
    </w:p>
  </w:footnote>
  <w:footnote w:id="1825">
    <w:p w:rsidR="00BF2117" w:rsidRDefault="00BF2117" w:rsidP="00AA4BF8">
      <w:pPr>
        <w:pStyle w:val="FootnoteText"/>
        <w:ind w:left="180" w:hanging="180"/>
      </w:pPr>
      <w:r w:rsidRPr="00412620">
        <w:rPr>
          <w:rStyle w:val="FootnoteReference"/>
          <w:rFonts w:cs="Arial"/>
          <w:sz w:val="16"/>
          <w:szCs w:val="16"/>
        </w:rPr>
        <w:footnoteRef/>
      </w:r>
      <w:r w:rsidRPr="00412620">
        <w:rPr>
          <w:sz w:val="16"/>
          <w:szCs w:val="16"/>
        </w:rPr>
        <w:t xml:space="preserve"> The words, figure and comma “Subject to the provisions of section 61, any” substituted by the Finance Act, 2005.</w:t>
      </w:r>
    </w:p>
  </w:footnote>
  <w:footnote w:id="1826">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Inserted by the Finance Act, 2012.</w:t>
      </w:r>
    </w:p>
  </w:footnote>
  <w:footnote w:id="1827">
    <w:p w:rsidR="00BF2117" w:rsidRPr="006A17BC" w:rsidRDefault="00BF2117" w:rsidP="00AA4BF8">
      <w:pPr>
        <w:pStyle w:val="FootnoteText"/>
        <w:keepNext/>
        <w:rPr>
          <w:sz w:val="16"/>
          <w:szCs w:val="16"/>
        </w:rPr>
      </w:pPr>
      <w:r w:rsidRPr="006A17BC">
        <w:rPr>
          <w:rStyle w:val="FootnoteReference"/>
          <w:rFonts w:cs="Arial"/>
          <w:sz w:val="16"/>
          <w:szCs w:val="16"/>
        </w:rPr>
        <w:footnoteRef/>
      </w:r>
      <w:r w:rsidRPr="006A17BC">
        <w:rPr>
          <w:sz w:val="16"/>
          <w:szCs w:val="16"/>
        </w:rPr>
        <w:t xml:space="preserve"> Sub-clause (ii) omitted by the Finance Act, 2005. The omitted sub-clause (ii) read as follows: </w:t>
      </w:r>
    </w:p>
    <w:p w:rsidR="00BF2117" w:rsidRPr="006A17BC" w:rsidRDefault="00BF2117" w:rsidP="00AA4BF8">
      <w:pPr>
        <w:pStyle w:val="FootnoteText"/>
        <w:ind w:hanging="540"/>
        <w:rPr>
          <w:sz w:val="16"/>
          <w:szCs w:val="16"/>
        </w:rPr>
      </w:pPr>
      <w:r w:rsidRPr="006A17BC">
        <w:rPr>
          <w:snapToGrid w:val="0"/>
          <w:sz w:val="16"/>
          <w:szCs w:val="16"/>
        </w:rPr>
        <w:t>“(ii)</w:t>
      </w:r>
      <w:r w:rsidRPr="006A17BC">
        <w:rPr>
          <w:snapToGrid w:val="0"/>
          <w:sz w:val="16"/>
          <w:szCs w:val="16"/>
        </w:rPr>
        <w:tab/>
        <w:t>President's Fund for Afghan Refugees;”</w:t>
      </w:r>
    </w:p>
  </w:footnote>
  <w:footnote w:id="1828">
    <w:p w:rsidR="00BF2117" w:rsidRPr="006A17BC" w:rsidRDefault="00BF2117" w:rsidP="00AA4BF8">
      <w:pPr>
        <w:pStyle w:val="FootnoteText"/>
        <w:keepNext/>
        <w:rPr>
          <w:sz w:val="16"/>
          <w:szCs w:val="16"/>
        </w:rPr>
      </w:pPr>
      <w:r w:rsidRPr="006A17BC">
        <w:rPr>
          <w:rStyle w:val="FootnoteReference"/>
          <w:rFonts w:cs="Arial"/>
          <w:sz w:val="16"/>
          <w:szCs w:val="16"/>
        </w:rPr>
        <w:footnoteRef/>
      </w:r>
      <w:r w:rsidRPr="006A17BC">
        <w:rPr>
          <w:sz w:val="16"/>
          <w:szCs w:val="16"/>
        </w:rPr>
        <w:t xml:space="preserve"> Sub-clause (vi) omitted by the Finance Act, 2005. The omitted sub-clause (vi) read as follows:</w:t>
      </w:r>
    </w:p>
    <w:p w:rsidR="00BF2117" w:rsidRPr="006A17BC" w:rsidRDefault="00BF2117" w:rsidP="00AA4BF8">
      <w:pPr>
        <w:pStyle w:val="FootnoteText"/>
        <w:ind w:hanging="540"/>
        <w:rPr>
          <w:sz w:val="16"/>
          <w:szCs w:val="16"/>
        </w:rPr>
      </w:pPr>
      <w:r w:rsidRPr="006A17BC">
        <w:rPr>
          <w:snapToGrid w:val="0"/>
          <w:sz w:val="16"/>
          <w:szCs w:val="16"/>
        </w:rPr>
        <w:t>“(vi)</w:t>
      </w:r>
      <w:r w:rsidRPr="006A17BC">
        <w:rPr>
          <w:snapToGrid w:val="0"/>
          <w:sz w:val="16"/>
          <w:szCs w:val="16"/>
        </w:rPr>
        <w:tab/>
        <w:t>Bangladesh Flood Relief Fund, 1988;”</w:t>
      </w:r>
    </w:p>
  </w:footnote>
  <w:footnote w:id="1829">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Sub-clause (xi) omitted by the Finance Act, 2011. The omitted sub-clause (xi) read as follows:</w:t>
      </w:r>
    </w:p>
    <w:p w:rsidR="00BF2117" w:rsidRPr="006A17BC" w:rsidRDefault="00BF2117" w:rsidP="00AA4BF8">
      <w:pPr>
        <w:widowControl w:val="0"/>
        <w:ind w:left="720" w:hanging="720"/>
        <w:jc w:val="both"/>
        <w:rPr>
          <w:sz w:val="16"/>
          <w:szCs w:val="16"/>
        </w:rPr>
      </w:pPr>
      <w:r w:rsidRPr="006A17BC">
        <w:rPr>
          <w:sz w:val="16"/>
          <w:szCs w:val="16"/>
        </w:rPr>
        <w:t xml:space="preserve">       “</w:t>
      </w:r>
      <w:r w:rsidRPr="006A17BC">
        <w:rPr>
          <w:snapToGrid w:val="0"/>
          <w:sz w:val="16"/>
          <w:szCs w:val="16"/>
        </w:rPr>
        <w:t>(xi)</w:t>
      </w:r>
      <w:r w:rsidRPr="006A17BC">
        <w:rPr>
          <w:snapToGrid w:val="0"/>
          <w:sz w:val="16"/>
          <w:szCs w:val="16"/>
        </w:rPr>
        <w:tab/>
        <w:t>Bank of Commerce and Credit International Foundation for Advancement of Science and Technology;</w:t>
      </w:r>
    </w:p>
  </w:footnote>
  <w:footnote w:id="1830">
    <w:p w:rsidR="00BF2117" w:rsidRPr="006A17BC" w:rsidRDefault="00BF2117" w:rsidP="00AA4BF8">
      <w:pPr>
        <w:pStyle w:val="FootnoteText"/>
        <w:keepNext/>
        <w:rPr>
          <w:sz w:val="16"/>
          <w:szCs w:val="16"/>
        </w:rPr>
      </w:pPr>
      <w:r w:rsidRPr="006A17BC">
        <w:rPr>
          <w:rStyle w:val="FootnoteReference"/>
          <w:rFonts w:cs="Arial"/>
          <w:sz w:val="16"/>
          <w:szCs w:val="16"/>
        </w:rPr>
        <w:footnoteRef/>
      </w:r>
      <w:r w:rsidRPr="006A17BC">
        <w:rPr>
          <w:sz w:val="16"/>
          <w:szCs w:val="16"/>
        </w:rPr>
        <w:t xml:space="preserve"> Sub-clause (xiii) omitted by the Finance Act, 2005. The omitted sub-clause (xiii) read as follows: </w:t>
      </w:r>
    </w:p>
    <w:p w:rsidR="00BF2117" w:rsidRPr="006A17BC" w:rsidRDefault="00BF2117" w:rsidP="00AA4BF8">
      <w:pPr>
        <w:pStyle w:val="FootnoteText"/>
        <w:ind w:hanging="540"/>
        <w:rPr>
          <w:sz w:val="16"/>
          <w:szCs w:val="16"/>
        </w:rPr>
      </w:pPr>
      <w:r w:rsidRPr="006A17BC">
        <w:rPr>
          <w:sz w:val="16"/>
          <w:szCs w:val="16"/>
        </w:rPr>
        <w:t>“(xiii)</w:t>
      </w:r>
      <w:r w:rsidRPr="006A17BC">
        <w:rPr>
          <w:sz w:val="16"/>
          <w:szCs w:val="16"/>
        </w:rPr>
        <w:tab/>
        <w:t>President's</w:t>
      </w:r>
      <w:r w:rsidRPr="006A17BC">
        <w:rPr>
          <w:snapToGrid w:val="0"/>
          <w:sz w:val="16"/>
          <w:szCs w:val="16"/>
        </w:rPr>
        <w:t xml:space="preserve"> Fund for Assistance to Palestine;”</w:t>
      </w:r>
    </w:p>
  </w:footnote>
  <w:footnote w:id="1831">
    <w:p w:rsidR="00BF2117" w:rsidRPr="006A17BC" w:rsidRDefault="00BF2117" w:rsidP="00AA4BF8">
      <w:pPr>
        <w:pStyle w:val="FootnoteText"/>
        <w:keepNext/>
        <w:rPr>
          <w:sz w:val="16"/>
          <w:szCs w:val="16"/>
        </w:rPr>
      </w:pPr>
      <w:r w:rsidRPr="006A17BC">
        <w:rPr>
          <w:rStyle w:val="FootnoteReference"/>
          <w:rFonts w:cs="Arial"/>
          <w:sz w:val="16"/>
          <w:szCs w:val="16"/>
        </w:rPr>
        <w:footnoteRef/>
      </w:r>
      <w:r w:rsidRPr="006A17BC">
        <w:rPr>
          <w:sz w:val="16"/>
          <w:szCs w:val="16"/>
        </w:rPr>
        <w:t xml:space="preserve"> Sub-clause (xiv) omitted by the Finance Act, 2005. The omitted sub-clause (xiv) read as follows:</w:t>
      </w:r>
    </w:p>
    <w:p w:rsidR="00BF2117" w:rsidRPr="006A17BC" w:rsidRDefault="00BF2117" w:rsidP="00AA4BF8">
      <w:pPr>
        <w:pStyle w:val="FootnoteText"/>
        <w:ind w:hanging="540"/>
        <w:rPr>
          <w:sz w:val="16"/>
          <w:szCs w:val="16"/>
        </w:rPr>
      </w:pPr>
      <w:r w:rsidRPr="006A17BC">
        <w:rPr>
          <w:snapToGrid w:val="0"/>
          <w:sz w:val="16"/>
          <w:szCs w:val="16"/>
        </w:rPr>
        <w:t>“(xiv)</w:t>
      </w:r>
      <w:r w:rsidRPr="006A17BC">
        <w:rPr>
          <w:snapToGrid w:val="0"/>
          <w:sz w:val="16"/>
          <w:szCs w:val="16"/>
        </w:rPr>
        <w:tab/>
        <w:t>President's Famine Relief Fund for Africa;”</w:t>
      </w:r>
    </w:p>
  </w:footnote>
  <w:footnote w:id="1832">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Sub-clause (xv) omitted by the Finance Act, 2005. The omitted sub-clause (xv) read as follows: </w:t>
      </w:r>
    </w:p>
    <w:p w:rsidR="00BF2117" w:rsidRDefault="00BF2117" w:rsidP="00AA4BF8">
      <w:pPr>
        <w:pStyle w:val="FootnoteText"/>
        <w:ind w:hanging="540"/>
      </w:pPr>
      <w:r w:rsidRPr="00412620">
        <w:rPr>
          <w:snapToGrid w:val="0"/>
          <w:sz w:val="16"/>
          <w:szCs w:val="16"/>
        </w:rPr>
        <w:t>“(xv)</w:t>
      </w:r>
      <w:r w:rsidRPr="00412620">
        <w:rPr>
          <w:snapToGrid w:val="0"/>
          <w:sz w:val="16"/>
          <w:szCs w:val="16"/>
        </w:rPr>
        <w:tab/>
        <w:t>Bangladesh Cyclone Relief Fund, 1985;”</w:t>
      </w:r>
    </w:p>
  </w:footnote>
  <w:footnote w:id="1833">
    <w:p w:rsidR="00BF2117" w:rsidRPr="006A17BC" w:rsidRDefault="00BF2117" w:rsidP="00AA4BF8">
      <w:pPr>
        <w:pStyle w:val="FootnoteText"/>
        <w:keepNext/>
        <w:rPr>
          <w:sz w:val="16"/>
          <w:szCs w:val="16"/>
        </w:rPr>
      </w:pPr>
      <w:r w:rsidRPr="006A17BC">
        <w:rPr>
          <w:rStyle w:val="FootnoteReference"/>
          <w:rFonts w:cs="Arial"/>
          <w:sz w:val="16"/>
          <w:szCs w:val="16"/>
        </w:rPr>
        <w:footnoteRef/>
      </w:r>
      <w:r w:rsidRPr="006A17BC">
        <w:rPr>
          <w:sz w:val="16"/>
          <w:szCs w:val="16"/>
        </w:rPr>
        <w:t xml:space="preserve"> Sub-clause (xvi) omitted by the Finance Act, 2005. The omitted sub-clause (xvi) read as follows:</w:t>
      </w:r>
    </w:p>
    <w:p w:rsidR="00BF2117" w:rsidRPr="006A17BC" w:rsidRDefault="00BF2117" w:rsidP="00AA4BF8">
      <w:pPr>
        <w:pStyle w:val="FootnoteText"/>
        <w:ind w:hanging="540"/>
        <w:rPr>
          <w:sz w:val="16"/>
          <w:szCs w:val="16"/>
        </w:rPr>
      </w:pPr>
      <w:r w:rsidRPr="006A17BC">
        <w:rPr>
          <w:snapToGrid w:val="0"/>
          <w:sz w:val="16"/>
          <w:szCs w:val="16"/>
        </w:rPr>
        <w:t>“(xvi)</w:t>
      </w:r>
      <w:r w:rsidRPr="006A17BC">
        <w:rPr>
          <w:snapToGrid w:val="0"/>
          <w:sz w:val="16"/>
          <w:szCs w:val="16"/>
        </w:rPr>
        <w:tab/>
        <w:t>Prime Minister's Fund for the Welfare of Widows and Orphans;”</w:t>
      </w:r>
    </w:p>
  </w:footnote>
  <w:footnote w:id="1834">
    <w:p w:rsidR="00BF2117" w:rsidRPr="006A17BC" w:rsidRDefault="00BF2117" w:rsidP="00AA4BF8">
      <w:pPr>
        <w:pStyle w:val="FootnoteText"/>
        <w:keepNext/>
        <w:rPr>
          <w:sz w:val="16"/>
          <w:szCs w:val="16"/>
        </w:rPr>
      </w:pPr>
      <w:r w:rsidRPr="006A17BC">
        <w:rPr>
          <w:rStyle w:val="FootnoteReference"/>
          <w:rFonts w:cs="Arial"/>
          <w:sz w:val="16"/>
          <w:szCs w:val="16"/>
        </w:rPr>
        <w:footnoteRef/>
      </w:r>
      <w:r w:rsidRPr="006A17BC">
        <w:rPr>
          <w:sz w:val="16"/>
          <w:szCs w:val="16"/>
        </w:rPr>
        <w:t xml:space="preserve"> Sub-clause (xvii) omitted by the Finance Act, 2005. The omitted sub-clause (xvii) read as follows:</w:t>
      </w:r>
    </w:p>
    <w:p w:rsidR="00BF2117" w:rsidRPr="006A17BC" w:rsidRDefault="00BF2117" w:rsidP="00AA4BF8">
      <w:pPr>
        <w:pStyle w:val="FootnoteText"/>
        <w:ind w:hanging="540"/>
        <w:rPr>
          <w:sz w:val="16"/>
          <w:szCs w:val="16"/>
        </w:rPr>
      </w:pPr>
      <w:r w:rsidRPr="006A17BC">
        <w:rPr>
          <w:snapToGrid w:val="0"/>
          <w:sz w:val="16"/>
          <w:szCs w:val="16"/>
        </w:rPr>
        <w:t>“(xvii)</w:t>
      </w:r>
      <w:r w:rsidRPr="006A17BC">
        <w:rPr>
          <w:snapToGrid w:val="0"/>
          <w:sz w:val="16"/>
          <w:szCs w:val="16"/>
        </w:rPr>
        <w:tab/>
        <w:t>Prime Minister's Disaster Relief Fund, 1987;”</w:t>
      </w:r>
    </w:p>
  </w:footnote>
  <w:footnote w:id="1835">
    <w:p w:rsidR="00BF2117" w:rsidRPr="006A17BC" w:rsidRDefault="00BF2117" w:rsidP="00AA4BF8">
      <w:pPr>
        <w:pStyle w:val="FootnoteText"/>
        <w:keepNext/>
        <w:rPr>
          <w:sz w:val="16"/>
          <w:szCs w:val="16"/>
        </w:rPr>
      </w:pPr>
      <w:r w:rsidRPr="006A17BC">
        <w:rPr>
          <w:rStyle w:val="FootnoteReference"/>
          <w:rFonts w:cs="Arial"/>
          <w:sz w:val="16"/>
          <w:szCs w:val="16"/>
        </w:rPr>
        <w:footnoteRef/>
      </w:r>
      <w:r w:rsidRPr="006A17BC">
        <w:rPr>
          <w:sz w:val="16"/>
          <w:szCs w:val="16"/>
        </w:rPr>
        <w:t xml:space="preserve"> Sub-clause (xviii) omitted by the Finance Act, 2005. The omitted sub-clause (xviii) read as follows:</w:t>
      </w:r>
    </w:p>
    <w:p w:rsidR="00BF2117" w:rsidRPr="006A17BC" w:rsidRDefault="00BF2117" w:rsidP="00AA4BF8">
      <w:pPr>
        <w:pStyle w:val="FootnoteText"/>
        <w:ind w:hanging="540"/>
        <w:rPr>
          <w:sz w:val="16"/>
          <w:szCs w:val="16"/>
        </w:rPr>
      </w:pPr>
      <w:r w:rsidRPr="006A17BC">
        <w:rPr>
          <w:snapToGrid w:val="0"/>
          <w:sz w:val="16"/>
          <w:szCs w:val="16"/>
        </w:rPr>
        <w:t>“(xviii)</w:t>
      </w:r>
      <w:r w:rsidRPr="006A17BC">
        <w:rPr>
          <w:snapToGrid w:val="0"/>
          <w:sz w:val="16"/>
          <w:szCs w:val="16"/>
        </w:rPr>
        <w:tab/>
        <w:t>Chief Minister Punjab's Flood Relief Fund, 1988;”</w:t>
      </w:r>
    </w:p>
  </w:footnote>
  <w:footnote w:id="1836">
    <w:p w:rsidR="00BF2117" w:rsidRPr="006A17BC" w:rsidRDefault="00BF2117" w:rsidP="00AA4BF8">
      <w:pPr>
        <w:pStyle w:val="FootnoteText"/>
        <w:keepNext/>
        <w:rPr>
          <w:sz w:val="16"/>
          <w:szCs w:val="16"/>
        </w:rPr>
      </w:pPr>
      <w:r w:rsidRPr="006A17BC">
        <w:rPr>
          <w:rStyle w:val="FootnoteReference"/>
          <w:rFonts w:cs="Arial"/>
          <w:sz w:val="16"/>
          <w:szCs w:val="16"/>
        </w:rPr>
        <w:footnoteRef/>
      </w:r>
      <w:r w:rsidRPr="006A17BC">
        <w:rPr>
          <w:sz w:val="16"/>
          <w:szCs w:val="16"/>
        </w:rPr>
        <w:t xml:space="preserve"> Sub-clause (xix) omitted by the Finance Act, 2005. The omitted sub-clause (xix) read as follows:</w:t>
      </w:r>
    </w:p>
    <w:p w:rsidR="00BF2117" w:rsidRPr="006A17BC" w:rsidRDefault="00BF2117" w:rsidP="00AA4BF8">
      <w:pPr>
        <w:pStyle w:val="FootnoteText"/>
        <w:ind w:hanging="540"/>
        <w:rPr>
          <w:sz w:val="16"/>
          <w:szCs w:val="16"/>
        </w:rPr>
      </w:pPr>
      <w:r w:rsidRPr="006A17BC">
        <w:rPr>
          <w:snapToGrid w:val="0"/>
          <w:sz w:val="16"/>
          <w:szCs w:val="16"/>
        </w:rPr>
        <w:t>“(xix)</w:t>
      </w:r>
      <w:r w:rsidRPr="006A17BC">
        <w:rPr>
          <w:snapToGrid w:val="0"/>
          <w:sz w:val="16"/>
          <w:szCs w:val="16"/>
        </w:rPr>
        <w:tab/>
        <w:t>Prime Minister's Fund for Welfare and Relief for Kashmiris;”</w:t>
      </w:r>
    </w:p>
  </w:footnote>
  <w:footnote w:id="1837">
    <w:p w:rsidR="00BF2117" w:rsidRPr="006A17BC" w:rsidRDefault="00BF2117" w:rsidP="00AA4BF8">
      <w:pPr>
        <w:pStyle w:val="FootnoteText"/>
        <w:keepNext/>
        <w:rPr>
          <w:sz w:val="16"/>
          <w:szCs w:val="16"/>
        </w:rPr>
      </w:pPr>
      <w:r w:rsidRPr="006A17BC">
        <w:rPr>
          <w:rStyle w:val="FootnoteReference"/>
          <w:rFonts w:cs="Arial"/>
          <w:sz w:val="16"/>
          <w:szCs w:val="16"/>
        </w:rPr>
        <w:footnoteRef/>
      </w:r>
      <w:r w:rsidRPr="006A17BC">
        <w:rPr>
          <w:sz w:val="16"/>
          <w:szCs w:val="16"/>
        </w:rPr>
        <w:t xml:space="preserve"> Sub-clause (xx) omitted by the Finance Act, 2005. The omitted sub-clause (xx) read as follows:</w:t>
      </w:r>
    </w:p>
    <w:p w:rsidR="00BF2117" w:rsidRPr="006A17BC" w:rsidRDefault="00BF2117" w:rsidP="00AA4BF8">
      <w:pPr>
        <w:pStyle w:val="FootnoteText"/>
        <w:ind w:hanging="540"/>
        <w:rPr>
          <w:sz w:val="16"/>
          <w:szCs w:val="16"/>
        </w:rPr>
      </w:pPr>
      <w:r w:rsidRPr="006A17BC">
        <w:rPr>
          <w:snapToGrid w:val="0"/>
          <w:sz w:val="16"/>
          <w:szCs w:val="16"/>
        </w:rPr>
        <w:t>“(xx)</w:t>
      </w:r>
      <w:r w:rsidRPr="006A17BC">
        <w:rPr>
          <w:snapToGrid w:val="0"/>
          <w:sz w:val="16"/>
          <w:szCs w:val="16"/>
        </w:rPr>
        <w:tab/>
        <w:t>Prime Minister's Bangladesh Cyclone Relief Fund, 1991;”</w:t>
      </w:r>
    </w:p>
  </w:footnote>
  <w:footnote w:id="1838">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Sub-clause (xxi) omitted by the Finance Act, 2006. The omitted sub-clause (xxi) read as follows:</w:t>
      </w:r>
    </w:p>
    <w:p w:rsidR="00BF2117" w:rsidRPr="006A17BC" w:rsidRDefault="00BF2117" w:rsidP="00AA4BF8">
      <w:pPr>
        <w:pStyle w:val="FootnoteText"/>
        <w:ind w:hanging="540"/>
        <w:rPr>
          <w:sz w:val="16"/>
          <w:szCs w:val="16"/>
        </w:rPr>
      </w:pPr>
      <w:r w:rsidRPr="006A17BC">
        <w:rPr>
          <w:sz w:val="16"/>
          <w:szCs w:val="16"/>
        </w:rPr>
        <w:t>“</w:t>
      </w:r>
      <w:r w:rsidRPr="006A17BC">
        <w:rPr>
          <w:snapToGrid w:val="0"/>
          <w:sz w:val="16"/>
          <w:szCs w:val="16"/>
        </w:rPr>
        <w:t xml:space="preserve">(xxi) </w:t>
      </w:r>
      <w:r w:rsidRPr="006A17BC">
        <w:rPr>
          <w:snapToGrid w:val="0"/>
          <w:sz w:val="16"/>
          <w:szCs w:val="16"/>
        </w:rPr>
        <w:tab/>
        <w:t>Sindh Governor's Relief Fund, 1990, for the Relief and Rehabilitation of Victims of Violence in Sindh;”</w:t>
      </w:r>
    </w:p>
  </w:footnote>
  <w:footnote w:id="1839">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Sub-clause (xxii) omitted by the Finance Act, 2006. The omitted sub-clause (xxii) read as follows:</w:t>
      </w:r>
    </w:p>
    <w:p w:rsidR="00BF2117" w:rsidRPr="006A17BC" w:rsidRDefault="00BF2117" w:rsidP="00AA4BF8">
      <w:pPr>
        <w:pStyle w:val="FootnoteText"/>
        <w:ind w:hanging="540"/>
        <w:rPr>
          <w:sz w:val="16"/>
          <w:szCs w:val="16"/>
        </w:rPr>
      </w:pPr>
      <w:r w:rsidRPr="006A17BC">
        <w:rPr>
          <w:sz w:val="16"/>
          <w:szCs w:val="16"/>
        </w:rPr>
        <w:t>“</w:t>
      </w:r>
      <w:r w:rsidRPr="006A17BC">
        <w:rPr>
          <w:snapToGrid w:val="0"/>
          <w:sz w:val="16"/>
          <w:szCs w:val="16"/>
        </w:rPr>
        <w:t>(xxii)</w:t>
      </w:r>
      <w:r w:rsidRPr="006A17BC">
        <w:rPr>
          <w:snapToGrid w:val="0"/>
          <w:sz w:val="16"/>
          <w:szCs w:val="16"/>
        </w:rPr>
        <w:tab/>
        <w:t>Balochistan Governor’s Relief Fund for the relief and rehabilitation of drought affected people of Balochistan;.”</w:t>
      </w:r>
    </w:p>
  </w:footnote>
  <w:footnote w:id="1840">
    <w:p w:rsidR="00BF2117" w:rsidRPr="006A17BC" w:rsidRDefault="00BF2117" w:rsidP="00AA4BF8">
      <w:pPr>
        <w:pStyle w:val="FootnoteText"/>
        <w:jc w:val="both"/>
        <w:rPr>
          <w:sz w:val="16"/>
          <w:szCs w:val="16"/>
        </w:rPr>
      </w:pPr>
      <w:r w:rsidRPr="006A17BC">
        <w:rPr>
          <w:rStyle w:val="FootnoteReference"/>
          <w:rFonts w:cs="Arial"/>
          <w:sz w:val="16"/>
          <w:szCs w:val="16"/>
        </w:rPr>
        <w:footnoteRef/>
      </w:r>
      <w:r w:rsidRPr="006A17BC">
        <w:rPr>
          <w:sz w:val="16"/>
          <w:szCs w:val="16"/>
        </w:rPr>
        <w:t xml:space="preserve"> Sub-clause (xxv) omitted by the Finance Act, 2011. the omitted sub-clause (xxv) read as follows:</w:t>
      </w:r>
    </w:p>
    <w:p w:rsidR="00BF2117" w:rsidRPr="006A17BC" w:rsidRDefault="00BF2117" w:rsidP="00AA4BF8">
      <w:pPr>
        <w:pStyle w:val="FootnoteText"/>
        <w:ind w:hanging="540"/>
        <w:jc w:val="both"/>
        <w:rPr>
          <w:sz w:val="16"/>
          <w:szCs w:val="16"/>
        </w:rPr>
      </w:pPr>
      <w:r w:rsidRPr="006A17BC">
        <w:rPr>
          <w:sz w:val="16"/>
          <w:szCs w:val="16"/>
        </w:rPr>
        <w:t>“(xxv)</w:t>
      </w:r>
      <w:r w:rsidRPr="006A17BC">
        <w:rPr>
          <w:sz w:val="16"/>
          <w:szCs w:val="16"/>
        </w:rPr>
        <w:tab/>
        <w:t>BCCI Foundation;”</w:t>
      </w:r>
    </w:p>
  </w:footnote>
  <w:footnote w:id="1841">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The word “are” substituted by the Finance Act, 2005.</w:t>
      </w:r>
    </w:p>
  </w:footnote>
  <w:footnote w:id="1842">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The word “and” omitted by S.R.O. 701(I)/2004, dated 16.08.2004. </w:t>
      </w:r>
    </w:p>
  </w:footnote>
  <w:footnote w:id="1843">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The Roman letters “(xxxxx)” substituted by S.R.O. 701(I)/2004, dated 16.08.2004.</w:t>
      </w:r>
    </w:p>
  </w:footnote>
  <w:footnote w:id="1844">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The full stop substituted by S.R.O. 701(I)/2004, dated 16.08.2004.</w:t>
      </w:r>
    </w:p>
  </w:footnote>
  <w:footnote w:id="1845">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lang w:val="en-US"/>
        </w:rPr>
        <w:t>The word “and” omitted by S.R.O. 990(I)/2011, dated 18.10.2011.</w:t>
      </w:r>
    </w:p>
  </w:footnote>
  <w:footnote w:id="1846">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Added by S.R.O. 701(I)/2004, dated 16.08.2004.</w:t>
      </w:r>
    </w:p>
  </w:footnote>
  <w:footnote w:id="1847">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The full stop substituted by the Finance Act, 2005.</w:t>
      </w:r>
    </w:p>
  </w:footnote>
  <w:footnote w:id="1848">
    <w:p w:rsidR="00BF2117" w:rsidRPr="006A17BC" w:rsidRDefault="00BF2117">
      <w:pPr>
        <w:pStyle w:val="FootnoteText"/>
        <w:rPr>
          <w:sz w:val="16"/>
          <w:szCs w:val="16"/>
          <w:lang w:val="en-US"/>
        </w:rPr>
      </w:pPr>
      <w:r w:rsidRPr="006A17BC">
        <w:rPr>
          <w:rStyle w:val="FootnoteReference"/>
          <w:sz w:val="16"/>
          <w:szCs w:val="16"/>
        </w:rPr>
        <w:footnoteRef/>
      </w:r>
      <w:r w:rsidRPr="006A17BC">
        <w:rPr>
          <w:sz w:val="16"/>
          <w:szCs w:val="16"/>
          <w:lang w:val="en-US"/>
        </w:rPr>
        <w:t>Inserted by S.R.O 1125(I)/2005, dated 10.11.2005.</w:t>
      </w:r>
    </w:p>
  </w:footnote>
  <w:footnote w:id="1849">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lang w:val="en-US"/>
        </w:rPr>
        <w:t>Added by S.R.O. 990(I)/2012, dated 18.10.2011.</w:t>
      </w:r>
    </w:p>
  </w:footnote>
  <w:footnote w:id="1850">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lang w:val="en-US"/>
        </w:rPr>
        <w:t>Added by S.R.O. 383(I)/2012, dated 18.04.2012.</w:t>
      </w:r>
    </w:p>
  </w:footnote>
  <w:footnote w:id="1851">
    <w:p w:rsidR="00BF2117" w:rsidRPr="00B508A3" w:rsidRDefault="00BF2117">
      <w:pPr>
        <w:pStyle w:val="FootnoteText"/>
        <w:rPr>
          <w:sz w:val="16"/>
          <w:szCs w:val="16"/>
          <w:lang w:val="en-US"/>
        </w:rPr>
      </w:pPr>
      <w:r w:rsidRPr="00B508A3">
        <w:rPr>
          <w:rStyle w:val="FootnoteReference"/>
          <w:sz w:val="16"/>
          <w:szCs w:val="16"/>
        </w:rPr>
        <w:footnoteRef/>
      </w:r>
      <w:r>
        <w:rPr>
          <w:sz w:val="16"/>
          <w:szCs w:val="16"/>
        </w:rPr>
        <w:t>Added by the Finance Act, 2015.</w:t>
      </w:r>
    </w:p>
  </w:footnote>
  <w:footnote w:id="1852">
    <w:p w:rsidR="00BF2117" w:rsidRPr="006A17BC" w:rsidRDefault="00BF2117" w:rsidP="0050208B">
      <w:pPr>
        <w:pStyle w:val="FootnoteText"/>
        <w:rPr>
          <w:sz w:val="16"/>
          <w:szCs w:val="16"/>
        </w:rPr>
      </w:pPr>
      <w:r w:rsidRPr="006A17BC">
        <w:rPr>
          <w:rStyle w:val="FootnoteReference"/>
          <w:rFonts w:cs="Arial"/>
          <w:sz w:val="16"/>
          <w:szCs w:val="16"/>
        </w:rPr>
        <w:footnoteRef/>
      </w:r>
      <w:r w:rsidRPr="006A17BC">
        <w:rPr>
          <w:sz w:val="16"/>
          <w:szCs w:val="16"/>
        </w:rPr>
        <w:t xml:space="preserve"> Added by the Finance Act, 2005.</w:t>
      </w:r>
    </w:p>
  </w:footnote>
  <w:footnote w:id="1853">
    <w:p w:rsidR="00BF2117" w:rsidRPr="006A17BC" w:rsidRDefault="00BF2117">
      <w:pPr>
        <w:pStyle w:val="FootnoteText"/>
        <w:rPr>
          <w:sz w:val="16"/>
          <w:szCs w:val="16"/>
          <w:lang w:val="en-US"/>
        </w:rPr>
      </w:pPr>
      <w:r w:rsidRPr="006A17BC">
        <w:rPr>
          <w:rStyle w:val="FootnoteReference"/>
          <w:sz w:val="16"/>
          <w:szCs w:val="16"/>
        </w:rPr>
        <w:footnoteRef/>
      </w:r>
      <w:r w:rsidRPr="006A17BC">
        <w:rPr>
          <w:sz w:val="16"/>
          <w:szCs w:val="16"/>
        </w:rPr>
        <w:t xml:space="preserve"> The word “fifteen” substituted by the Finance Act, 2009.</w:t>
      </w:r>
    </w:p>
  </w:footnote>
  <w:footnote w:id="1854">
    <w:p w:rsidR="00BF2117" w:rsidRPr="006A17BC" w:rsidRDefault="00BF2117" w:rsidP="0050208B">
      <w:pPr>
        <w:pStyle w:val="FootnoteText"/>
        <w:rPr>
          <w:sz w:val="16"/>
          <w:szCs w:val="16"/>
        </w:rPr>
      </w:pPr>
      <w:r w:rsidRPr="006A17BC">
        <w:rPr>
          <w:rStyle w:val="FootnoteReference"/>
          <w:rFonts w:cs="Arial"/>
          <w:sz w:val="16"/>
          <w:szCs w:val="16"/>
        </w:rPr>
        <w:footnoteRef/>
      </w:r>
      <w:r w:rsidRPr="006A17BC">
        <w:rPr>
          <w:sz w:val="16"/>
          <w:szCs w:val="16"/>
          <w:lang w:val="en-US"/>
        </w:rPr>
        <w:t>Full stop substituted by S.R.O. 990(I)/2011, dated 18.10.2011.</w:t>
      </w:r>
    </w:p>
  </w:footnote>
  <w:footnote w:id="1855">
    <w:p w:rsidR="00BF2117" w:rsidRPr="006A17BC" w:rsidRDefault="00BF2117" w:rsidP="00AA4BF8">
      <w:pPr>
        <w:pStyle w:val="FootnoteText"/>
        <w:rPr>
          <w:sz w:val="16"/>
          <w:szCs w:val="16"/>
          <w:lang w:val="en-US"/>
        </w:rPr>
      </w:pPr>
      <w:r w:rsidRPr="006A17BC">
        <w:rPr>
          <w:rStyle w:val="FootnoteReference"/>
          <w:rFonts w:cs="Arial"/>
          <w:sz w:val="16"/>
          <w:szCs w:val="16"/>
        </w:rPr>
        <w:footnoteRef/>
      </w:r>
      <w:r w:rsidRPr="006A17BC">
        <w:rPr>
          <w:sz w:val="16"/>
          <w:szCs w:val="16"/>
        </w:rPr>
        <w:t xml:space="preserve"> Clause (62) omitted </w:t>
      </w:r>
      <w:r w:rsidRPr="006A17BC">
        <w:rPr>
          <w:sz w:val="16"/>
          <w:szCs w:val="16"/>
          <w:lang w:val="en-US"/>
        </w:rPr>
        <w:t>by the Finance Act, 2008. The omitted clause (62) read as follows:</w:t>
      </w:r>
    </w:p>
    <w:p w:rsidR="00BF2117" w:rsidRPr="006A17BC" w:rsidRDefault="00BF2117" w:rsidP="00AA4BF8">
      <w:pPr>
        <w:widowControl w:val="0"/>
        <w:ind w:left="180" w:hanging="90"/>
        <w:jc w:val="both"/>
        <w:rPr>
          <w:snapToGrid w:val="0"/>
          <w:sz w:val="16"/>
          <w:szCs w:val="16"/>
        </w:rPr>
      </w:pPr>
      <w:r w:rsidRPr="006A17BC">
        <w:rPr>
          <w:sz w:val="16"/>
          <w:szCs w:val="16"/>
          <w:lang w:val="en-US"/>
        </w:rPr>
        <w:t>“</w:t>
      </w:r>
      <w:r w:rsidRPr="006A17BC">
        <w:rPr>
          <w:b/>
          <w:bCs/>
          <w:snapToGrid w:val="0"/>
          <w:sz w:val="16"/>
          <w:szCs w:val="16"/>
        </w:rPr>
        <w:t>(62)</w:t>
      </w:r>
      <w:r w:rsidRPr="006A17BC">
        <w:rPr>
          <w:b/>
          <w:bCs/>
          <w:snapToGrid w:val="0"/>
          <w:sz w:val="16"/>
          <w:szCs w:val="16"/>
        </w:rPr>
        <w:tab/>
      </w:r>
      <w:r w:rsidRPr="006A17BC">
        <w:rPr>
          <w:snapToGrid w:val="0"/>
          <w:sz w:val="16"/>
          <w:szCs w:val="16"/>
        </w:rPr>
        <w:t>Such portion of the total income of a taxpayer as is paid by him during the income year as donation to the Liaquat National Hospital Association, Karachi:</w:t>
      </w:r>
    </w:p>
    <w:p w:rsidR="00BF2117" w:rsidRPr="006A17BC" w:rsidRDefault="00BF2117" w:rsidP="00AA4BF8">
      <w:pPr>
        <w:widowControl w:val="0"/>
        <w:ind w:left="180" w:hanging="180"/>
        <w:jc w:val="both"/>
        <w:rPr>
          <w:snapToGrid w:val="0"/>
          <w:sz w:val="16"/>
          <w:szCs w:val="16"/>
        </w:rPr>
      </w:pPr>
      <w:r w:rsidRPr="006A17BC">
        <w:rPr>
          <w:snapToGrid w:val="0"/>
          <w:sz w:val="16"/>
          <w:szCs w:val="16"/>
        </w:rPr>
        <w:tab/>
      </w:r>
      <w:r w:rsidRPr="006A17BC">
        <w:rPr>
          <w:snapToGrid w:val="0"/>
          <w:sz w:val="16"/>
          <w:szCs w:val="16"/>
        </w:rPr>
        <w:tab/>
        <w:t xml:space="preserve">Provided that the amount so donated shall be included in computing the total income of the taxpayer: </w:t>
      </w:r>
    </w:p>
    <w:p w:rsidR="00BF2117" w:rsidRPr="006A17BC" w:rsidRDefault="00BF2117" w:rsidP="00AA4BF8">
      <w:pPr>
        <w:widowControl w:val="0"/>
        <w:ind w:left="180" w:firstLine="367"/>
        <w:jc w:val="both"/>
        <w:rPr>
          <w:sz w:val="16"/>
          <w:szCs w:val="16"/>
        </w:rPr>
      </w:pPr>
      <w:r w:rsidRPr="006A17BC">
        <w:rPr>
          <w:snapToGrid w:val="0"/>
          <w:sz w:val="16"/>
          <w:szCs w:val="16"/>
        </w:rPr>
        <w:t>Provided further that the amount by which the taxable by a taxpayer is reduced on account of the exemption under this clause shall be equal to the sum which bears the same proportion to the sum exempted from tax under this clause as the tax payable on the total income of the taxpayer bears to the said total income.”</w:t>
      </w:r>
    </w:p>
  </w:footnote>
  <w:footnote w:id="1856">
    <w:p w:rsidR="00BF2117" w:rsidRPr="006A17BC" w:rsidRDefault="00BF2117" w:rsidP="00AA4BF8">
      <w:pPr>
        <w:pStyle w:val="FootnoteText"/>
        <w:rPr>
          <w:sz w:val="16"/>
          <w:szCs w:val="16"/>
          <w:lang w:val="en-US"/>
        </w:rPr>
      </w:pPr>
      <w:r w:rsidRPr="006A17BC">
        <w:rPr>
          <w:rStyle w:val="FootnoteReference"/>
          <w:rFonts w:cs="Arial"/>
          <w:sz w:val="16"/>
          <w:szCs w:val="16"/>
        </w:rPr>
        <w:footnoteRef/>
      </w:r>
      <w:r w:rsidRPr="006A17BC">
        <w:rPr>
          <w:sz w:val="16"/>
          <w:szCs w:val="16"/>
        </w:rPr>
        <w:t xml:space="preserve"> Clause (63) o</w:t>
      </w:r>
      <w:r w:rsidRPr="006A17BC">
        <w:rPr>
          <w:sz w:val="16"/>
          <w:szCs w:val="16"/>
          <w:lang w:val="en-US"/>
        </w:rPr>
        <w:t>mitted by the Finance Act, 2006. The omitted clause (63) read as follows:</w:t>
      </w:r>
    </w:p>
    <w:p w:rsidR="00BF2117" w:rsidRPr="006A17BC" w:rsidRDefault="00BF2117" w:rsidP="00AA4BF8">
      <w:pPr>
        <w:widowControl w:val="0"/>
        <w:ind w:left="90"/>
        <w:jc w:val="both"/>
        <w:rPr>
          <w:snapToGrid w:val="0"/>
          <w:sz w:val="16"/>
          <w:szCs w:val="16"/>
        </w:rPr>
      </w:pPr>
      <w:r w:rsidRPr="006A17BC">
        <w:rPr>
          <w:sz w:val="16"/>
          <w:szCs w:val="16"/>
          <w:lang w:val="en-US"/>
        </w:rPr>
        <w:t>“</w:t>
      </w:r>
      <w:r w:rsidRPr="006A17BC">
        <w:rPr>
          <w:b/>
          <w:bCs/>
          <w:snapToGrid w:val="0"/>
          <w:sz w:val="16"/>
          <w:szCs w:val="16"/>
        </w:rPr>
        <w:t xml:space="preserve"> (63) </w:t>
      </w:r>
      <w:r w:rsidRPr="006A17BC">
        <w:rPr>
          <w:snapToGrid w:val="0"/>
          <w:sz w:val="16"/>
          <w:szCs w:val="16"/>
        </w:rPr>
        <w:t>Any amount paid as donation to the President’s Relief Fund for Tsunami Victims.”</w:t>
      </w:r>
    </w:p>
    <w:p w:rsidR="00BF2117" w:rsidRPr="006A17BC" w:rsidRDefault="00BF2117" w:rsidP="003F6FC2">
      <w:pPr>
        <w:pStyle w:val="FootnoteText"/>
        <w:keepNext/>
        <w:rPr>
          <w:sz w:val="16"/>
          <w:szCs w:val="16"/>
        </w:rPr>
      </w:pPr>
      <w:r w:rsidRPr="006A17BC">
        <w:rPr>
          <w:sz w:val="16"/>
          <w:szCs w:val="16"/>
        </w:rPr>
        <w:t xml:space="preserve"> Earlier Clause (63) was omitted by the Finance Act, 2002. which read as follows:</w:t>
      </w:r>
    </w:p>
    <w:p w:rsidR="00BF2117" w:rsidRPr="006A17BC" w:rsidRDefault="00BF2117" w:rsidP="003F6FC2">
      <w:pPr>
        <w:widowControl w:val="0"/>
        <w:jc w:val="both"/>
        <w:rPr>
          <w:snapToGrid w:val="0"/>
          <w:sz w:val="16"/>
          <w:szCs w:val="16"/>
        </w:rPr>
      </w:pPr>
      <w:r w:rsidRPr="006A17BC">
        <w:rPr>
          <w:sz w:val="16"/>
          <w:szCs w:val="16"/>
        </w:rPr>
        <w:t xml:space="preserve">   “</w:t>
      </w:r>
      <w:r w:rsidRPr="006A17BC">
        <w:rPr>
          <w:b/>
          <w:bCs/>
          <w:snapToGrid w:val="0"/>
          <w:sz w:val="16"/>
          <w:szCs w:val="16"/>
        </w:rPr>
        <w:t>(63</w:t>
      </w:r>
      <w:r w:rsidRPr="006A17BC">
        <w:rPr>
          <w:snapToGrid w:val="0"/>
          <w:sz w:val="16"/>
          <w:szCs w:val="16"/>
        </w:rPr>
        <w:t>)</w:t>
      </w:r>
      <w:r w:rsidRPr="006A17BC">
        <w:rPr>
          <w:snapToGrid w:val="0"/>
          <w:sz w:val="16"/>
          <w:szCs w:val="16"/>
        </w:rPr>
        <w:tab/>
        <w:t>Any amount paid as donation to the Prime Minister's Fund for National Debt Retirement:</w:t>
      </w:r>
    </w:p>
    <w:p w:rsidR="00BF2117" w:rsidRPr="006A17BC" w:rsidRDefault="00BF2117" w:rsidP="003F6FC2">
      <w:pPr>
        <w:widowControl w:val="0"/>
        <w:ind w:left="180"/>
        <w:jc w:val="both"/>
        <w:rPr>
          <w:sz w:val="16"/>
          <w:szCs w:val="16"/>
        </w:rPr>
      </w:pPr>
      <w:r w:rsidRPr="006A17BC">
        <w:rPr>
          <w:snapToGrid w:val="0"/>
          <w:sz w:val="16"/>
          <w:szCs w:val="16"/>
        </w:rPr>
        <w:t>Provided that the exemption under this clause shall not apply in respect of any assessment year commencing on, or after, the first day of July,2002. “</w:t>
      </w:r>
    </w:p>
  </w:footnote>
  <w:footnote w:id="1857">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Clause (63A) omitted by the Finance Act, 2008. The omitted clause (63A) read as follows:</w:t>
      </w:r>
    </w:p>
    <w:p w:rsidR="00BF2117" w:rsidRPr="006A17BC" w:rsidRDefault="00BF2117" w:rsidP="00AA4BF8">
      <w:pPr>
        <w:tabs>
          <w:tab w:val="left" w:pos="630"/>
        </w:tabs>
        <w:ind w:left="180"/>
        <w:rPr>
          <w:sz w:val="16"/>
          <w:szCs w:val="16"/>
        </w:rPr>
      </w:pPr>
      <w:r w:rsidRPr="006A17BC">
        <w:rPr>
          <w:sz w:val="16"/>
          <w:szCs w:val="16"/>
        </w:rPr>
        <w:t>“</w:t>
      </w:r>
      <w:r w:rsidRPr="006A17BC">
        <w:rPr>
          <w:b/>
          <w:bCs/>
          <w:snapToGrid w:val="0"/>
          <w:sz w:val="16"/>
          <w:szCs w:val="16"/>
        </w:rPr>
        <w:t xml:space="preserve">(63A) </w:t>
      </w:r>
      <w:r w:rsidRPr="006A17BC">
        <w:rPr>
          <w:snapToGrid w:val="0"/>
          <w:sz w:val="16"/>
          <w:szCs w:val="16"/>
        </w:rPr>
        <w:t>Any amount paid as donation to the President’s Relief Fund for Earthquake Victims 2005.”</w:t>
      </w:r>
    </w:p>
  </w:footnote>
  <w:footnote w:id="1858">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Clause (63B) omitted by the Finance Act, 2008. The omitted clause (63B) read as follows:</w:t>
      </w:r>
    </w:p>
    <w:p w:rsidR="00BF2117" w:rsidRPr="006A17BC" w:rsidRDefault="00BF2117" w:rsidP="00AA4BF8">
      <w:pPr>
        <w:ind w:left="270" w:hanging="90"/>
        <w:rPr>
          <w:sz w:val="16"/>
          <w:szCs w:val="16"/>
        </w:rPr>
      </w:pPr>
      <w:r w:rsidRPr="006A17BC">
        <w:rPr>
          <w:sz w:val="16"/>
          <w:szCs w:val="16"/>
        </w:rPr>
        <w:t>“</w:t>
      </w:r>
      <w:r w:rsidRPr="006A17BC">
        <w:rPr>
          <w:b/>
          <w:bCs/>
          <w:snapToGrid w:val="0"/>
          <w:sz w:val="16"/>
          <w:szCs w:val="16"/>
        </w:rPr>
        <w:t>(63B)</w:t>
      </w:r>
      <w:r w:rsidRPr="006A17BC">
        <w:rPr>
          <w:snapToGrid w:val="0"/>
          <w:sz w:val="16"/>
          <w:szCs w:val="16"/>
        </w:rPr>
        <w:t xml:space="preserve">  Any amount donated or paid, as sponsorship in connection with the holding of 2</w:t>
      </w:r>
      <w:r w:rsidRPr="006A17BC">
        <w:rPr>
          <w:snapToGrid w:val="0"/>
          <w:sz w:val="16"/>
          <w:szCs w:val="16"/>
          <w:vertAlign w:val="superscript"/>
        </w:rPr>
        <w:t>nd</w:t>
      </w:r>
      <w:r w:rsidRPr="006A17BC">
        <w:rPr>
          <w:snapToGrid w:val="0"/>
          <w:sz w:val="16"/>
          <w:szCs w:val="16"/>
        </w:rPr>
        <w:t xml:space="preserve"> session of he World Islamic Economic Forum, 2006.”</w:t>
      </w:r>
    </w:p>
  </w:footnote>
  <w:footnote w:id="1859">
    <w:p w:rsidR="00BF2117" w:rsidRPr="006A17BC" w:rsidRDefault="00BF2117" w:rsidP="00AA4BF8">
      <w:pPr>
        <w:pStyle w:val="FootnoteText"/>
        <w:keepNext/>
        <w:jc w:val="both"/>
        <w:rPr>
          <w:sz w:val="16"/>
          <w:szCs w:val="16"/>
        </w:rPr>
      </w:pPr>
      <w:r w:rsidRPr="006A17BC">
        <w:rPr>
          <w:rStyle w:val="FootnoteReference"/>
          <w:rFonts w:cs="Arial"/>
          <w:sz w:val="16"/>
          <w:szCs w:val="16"/>
        </w:rPr>
        <w:footnoteRef/>
      </w:r>
      <w:r w:rsidRPr="006A17BC">
        <w:rPr>
          <w:sz w:val="16"/>
          <w:szCs w:val="16"/>
        </w:rPr>
        <w:t xml:space="preserve"> Clause (64) omitted by the Finance Act, 2002. The omitted clause (64) read as follows:</w:t>
      </w:r>
    </w:p>
    <w:p w:rsidR="00BF2117" w:rsidRPr="006A17BC" w:rsidRDefault="00BF2117" w:rsidP="00AA4BF8">
      <w:pPr>
        <w:widowControl w:val="0"/>
        <w:jc w:val="both"/>
        <w:rPr>
          <w:snapToGrid w:val="0"/>
          <w:sz w:val="16"/>
          <w:szCs w:val="16"/>
        </w:rPr>
      </w:pPr>
      <w:r w:rsidRPr="006A17BC">
        <w:rPr>
          <w:sz w:val="16"/>
          <w:szCs w:val="16"/>
        </w:rPr>
        <w:t xml:space="preserve">   “</w:t>
      </w:r>
      <w:r w:rsidRPr="006A17BC">
        <w:rPr>
          <w:b/>
          <w:bCs/>
          <w:snapToGrid w:val="0"/>
          <w:sz w:val="16"/>
          <w:szCs w:val="16"/>
        </w:rPr>
        <w:t>(64)</w:t>
      </w:r>
      <w:r w:rsidRPr="006A17BC">
        <w:rPr>
          <w:snapToGrid w:val="0"/>
          <w:sz w:val="16"/>
          <w:szCs w:val="16"/>
        </w:rPr>
        <w:tab/>
        <w:t>Any amount paid as donation to the National Self Reliance Fund:</w:t>
      </w:r>
    </w:p>
    <w:p w:rsidR="00BF2117" w:rsidRPr="0094507F" w:rsidRDefault="00BF2117" w:rsidP="00AA4BF8">
      <w:pPr>
        <w:widowControl w:val="0"/>
        <w:ind w:left="180"/>
        <w:jc w:val="both"/>
        <w:rPr>
          <w:sz w:val="16"/>
          <w:szCs w:val="16"/>
        </w:rPr>
      </w:pPr>
      <w:r w:rsidRPr="0094507F">
        <w:rPr>
          <w:snapToGrid w:val="0"/>
          <w:sz w:val="16"/>
          <w:szCs w:val="16"/>
        </w:rPr>
        <w:t>Provided that the exemption under this clause shall not apply in respect of any assessment year commencing on, or after, the first day of July,2002.”</w:t>
      </w:r>
    </w:p>
  </w:footnote>
  <w:footnote w:id="1860">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lang w:val="en-US"/>
        </w:rPr>
        <w:t>Inserted by S.R.O. 389(I)/2009, dated 19.05.2009.</w:t>
      </w:r>
    </w:p>
  </w:footnote>
  <w:footnote w:id="1861">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lang w:val="en-US"/>
        </w:rPr>
        <w:t>Inserted by S.R.O. 576(I)/2009, dated 18.06.2009.</w:t>
      </w:r>
    </w:p>
  </w:footnote>
  <w:footnote w:id="1862">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Inserted by S.R.O. 755(I)/2010, dated 09.08.2011.</w:t>
      </w:r>
    </w:p>
  </w:footnote>
  <w:footnote w:id="1863">
    <w:p w:rsidR="00BF2117" w:rsidRPr="006A17BC" w:rsidRDefault="00BF2117">
      <w:pPr>
        <w:pStyle w:val="FootnoteText"/>
        <w:rPr>
          <w:sz w:val="16"/>
          <w:szCs w:val="16"/>
          <w:lang w:val="en-US"/>
        </w:rPr>
      </w:pPr>
      <w:r w:rsidRPr="006A17BC">
        <w:rPr>
          <w:rStyle w:val="FootnoteReference"/>
          <w:sz w:val="16"/>
          <w:szCs w:val="16"/>
        </w:rPr>
        <w:footnoteRef/>
      </w:r>
      <w:r w:rsidRPr="006A17BC">
        <w:rPr>
          <w:sz w:val="16"/>
          <w:szCs w:val="16"/>
          <w:lang w:val="en-US"/>
        </w:rPr>
        <w:t>Serial No. (65A) inserted by S.R.O 819(I)/202, dated 04.07.2012.</w:t>
      </w:r>
    </w:p>
  </w:footnote>
  <w:footnote w:id="1864">
    <w:p w:rsidR="00BF2117" w:rsidRPr="006A17BC" w:rsidRDefault="00BF2117" w:rsidP="00AA4BF8">
      <w:pPr>
        <w:pStyle w:val="FootnoteText"/>
        <w:rPr>
          <w:sz w:val="16"/>
          <w:szCs w:val="16"/>
        </w:rPr>
      </w:pPr>
      <w:r w:rsidRPr="006A17BC">
        <w:rPr>
          <w:rStyle w:val="FootnoteReference"/>
          <w:rFonts w:cs="Arial"/>
          <w:sz w:val="16"/>
          <w:szCs w:val="16"/>
        </w:rPr>
        <w:footnoteRef/>
      </w:r>
      <w:r w:rsidRPr="006A17BC">
        <w:rPr>
          <w:sz w:val="16"/>
          <w:szCs w:val="16"/>
        </w:rPr>
        <w:t xml:space="preserve"> Clause (66) substituted by the Finance Act, 2006. The substituted clause (66) read as follows:</w:t>
      </w:r>
    </w:p>
    <w:p w:rsidR="00BF2117" w:rsidRPr="006A17BC" w:rsidRDefault="00BF2117" w:rsidP="00AA4BF8">
      <w:pPr>
        <w:pStyle w:val="FootnoteText"/>
        <w:ind w:left="180" w:hanging="90"/>
        <w:jc w:val="both"/>
        <w:rPr>
          <w:color w:val="0070C0"/>
          <w:sz w:val="16"/>
          <w:szCs w:val="16"/>
        </w:rPr>
      </w:pPr>
      <w:r w:rsidRPr="006A17BC">
        <w:rPr>
          <w:sz w:val="16"/>
          <w:szCs w:val="16"/>
        </w:rPr>
        <w:t>“</w:t>
      </w:r>
      <w:r w:rsidRPr="006A17BC">
        <w:rPr>
          <w:b/>
          <w:bCs/>
          <w:snapToGrid w:val="0"/>
          <w:sz w:val="16"/>
          <w:szCs w:val="16"/>
        </w:rPr>
        <w:t>(66)</w:t>
      </w:r>
      <w:r w:rsidRPr="006A17BC">
        <w:rPr>
          <w:snapToGrid w:val="0"/>
          <w:sz w:val="16"/>
          <w:szCs w:val="16"/>
        </w:rPr>
        <w:tab/>
        <w:t>Any income of the Institutions of the Agha Khan Development Network (Pakistan) as contained in Schedule 1 of the Accord and Protocol, dated November 13, 1994, executed between the Government of the Islamic Republic of Pakistan and the Agha Khan Development Network.”</w:t>
      </w:r>
    </w:p>
  </w:footnote>
  <w:footnote w:id="1865">
    <w:p w:rsidR="00BF2117" w:rsidRPr="00B46543" w:rsidRDefault="00BF2117">
      <w:pPr>
        <w:pStyle w:val="FootnoteText"/>
        <w:rPr>
          <w:snapToGrid w:val="0"/>
          <w:color w:val="000000" w:themeColor="text1"/>
          <w:sz w:val="16"/>
          <w:szCs w:val="16"/>
        </w:rPr>
      </w:pPr>
      <w:r w:rsidRPr="00B46543">
        <w:rPr>
          <w:rStyle w:val="FootnoteReference"/>
          <w:color w:val="000000" w:themeColor="text1"/>
          <w:sz w:val="16"/>
          <w:szCs w:val="16"/>
        </w:rPr>
        <w:footnoteRef/>
      </w:r>
      <w:r w:rsidRPr="00B46543">
        <w:rPr>
          <w:snapToGrid w:val="0"/>
          <w:color w:val="000000" w:themeColor="text1"/>
          <w:sz w:val="16"/>
          <w:szCs w:val="16"/>
        </w:rPr>
        <w:t>Clause (v) omitted by the Finance Act, 2014. The Omitted clause (v) read as follows:</w:t>
      </w:r>
    </w:p>
    <w:p w:rsidR="00BF2117" w:rsidRPr="00235933" w:rsidRDefault="00BF2117">
      <w:pPr>
        <w:pStyle w:val="FootnoteText"/>
        <w:rPr>
          <w:color w:val="00B0F0"/>
          <w:lang w:val="en-US"/>
        </w:rPr>
      </w:pPr>
      <w:r w:rsidRPr="00B46543">
        <w:rPr>
          <w:snapToGrid w:val="0"/>
          <w:color w:val="000000" w:themeColor="text1"/>
          <w:sz w:val="16"/>
          <w:szCs w:val="16"/>
        </w:rPr>
        <w:tab/>
        <w:t>“</w:t>
      </w:r>
      <w:r w:rsidRPr="00B46543">
        <w:rPr>
          <w:rFonts w:cs="Arial"/>
          <w:color w:val="000000" w:themeColor="text1"/>
          <w:sz w:val="16"/>
          <w:szCs w:val="16"/>
          <w:lang w:val="en-US"/>
        </w:rPr>
        <w:t xml:space="preserve">v. </w:t>
      </w:r>
      <w:r w:rsidRPr="00B46543">
        <w:rPr>
          <w:rFonts w:cs="Arial"/>
          <w:color w:val="000000" w:themeColor="text1"/>
          <w:sz w:val="16"/>
          <w:szCs w:val="16"/>
          <w:lang w:val="en-US"/>
        </w:rPr>
        <w:tab/>
        <w:t>Hamdard Laboratories (Waqf) Pakistan”</w:t>
      </w:r>
    </w:p>
  </w:footnote>
  <w:footnote w:id="1866">
    <w:p w:rsidR="00BF2117" w:rsidRPr="001F607E" w:rsidRDefault="00BF2117" w:rsidP="00AA4BF8">
      <w:pPr>
        <w:pStyle w:val="FootnoteText"/>
        <w:rPr>
          <w:sz w:val="16"/>
          <w:szCs w:val="16"/>
        </w:rPr>
      </w:pPr>
      <w:r w:rsidRPr="001F607E">
        <w:rPr>
          <w:rStyle w:val="FootnoteReference"/>
          <w:rFonts w:cs="Arial"/>
          <w:sz w:val="16"/>
          <w:szCs w:val="16"/>
        </w:rPr>
        <w:footnoteRef/>
      </w:r>
      <w:r w:rsidRPr="001F607E">
        <w:rPr>
          <w:sz w:val="16"/>
          <w:szCs w:val="16"/>
          <w:lang w:val="en-US"/>
        </w:rPr>
        <w:t>Inserted by S.R.O. 390(I)/2009, dated 19.05.2009.</w:t>
      </w:r>
    </w:p>
  </w:footnote>
  <w:footnote w:id="1867">
    <w:p w:rsidR="00BF2117" w:rsidRPr="001F607E" w:rsidRDefault="00BF2117" w:rsidP="00AA4BF8">
      <w:pPr>
        <w:pStyle w:val="FootnoteText"/>
        <w:rPr>
          <w:sz w:val="16"/>
          <w:szCs w:val="16"/>
        </w:rPr>
      </w:pPr>
      <w:r w:rsidRPr="001F607E">
        <w:rPr>
          <w:rStyle w:val="FootnoteReference"/>
          <w:rFonts w:cs="Arial"/>
          <w:sz w:val="16"/>
          <w:szCs w:val="16"/>
        </w:rPr>
        <w:footnoteRef/>
      </w:r>
      <w:r w:rsidRPr="001F607E">
        <w:rPr>
          <w:sz w:val="16"/>
          <w:szCs w:val="16"/>
          <w:lang w:val="en-US"/>
        </w:rPr>
        <w:t>Inserted by S.R.O. 576(I)/2009, dated 18.06.2009.</w:t>
      </w:r>
    </w:p>
  </w:footnote>
  <w:footnote w:id="1868">
    <w:p w:rsidR="00BF2117" w:rsidRPr="001F607E" w:rsidRDefault="00BF2117" w:rsidP="00AA4BF8">
      <w:pPr>
        <w:pStyle w:val="FootnoteText"/>
        <w:rPr>
          <w:sz w:val="16"/>
          <w:szCs w:val="16"/>
        </w:rPr>
      </w:pPr>
      <w:r w:rsidRPr="001F607E">
        <w:rPr>
          <w:rStyle w:val="FootnoteReference"/>
          <w:rFonts w:cs="Arial"/>
          <w:sz w:val="16"/>
          <w:szCs w:val="16"/>
        </w:rPr>
        <w:footnoteRef/>
      </w:r>
      <w:r w:rsidRPr="001F607E">
        <w:rPr>
          <w:sz w:val="16"/>
          <w:szCs w:val="16"/>
        </w:rPr>
        <w:t xml:space="preserve"> Inserted by S.R.O. 864(I)/2006, dated 22.08.2006.</w:t>
      </w:r>
    </w:p>
  </w:footnote>
  <w:footnote w:id="1869">
    <w:p w:rsidR="00BF2117" w:rsidRPr="001F607E" w:rsidRDefault="00BF2117" w:rsidP="00AA4BF8">
      <w:pPr>
        <w:pStyle w:val="FootnoteText"/>
        <w:rPr>
          <w:sz w:val="16"/>
          <w:szCs w:val="16"/>
        </w:rPr>
      </w:pPr>
      <w:r w:rsidRPr="001F607E">
        <w:rPr>
          <w:rStyle w:val="FootnoteReference"/>
          <w:rFonts w:cs="Arial"/>
          <w:sz w:val="16"/>
          <w:szCs w:val="16"/>
        </w:rPr>
        <w:footnoteRef/>
      </w:r>
      <w:r w:rsidRPr="001F607E">
        <w:rPr>
          <w:sz w:val="16"/>
          <w:szCs w:val="16"/>
        </w:rPr>
        <w:t xml:space="preserve"> Added by the Finance Act, 2007.</w:t>
      </w:r>
    </w:p>
  </w:footnote>
  <w:footnote w:id="1870">
    <w:p w:rsidR="00BF2117" w:rsidRDefault="00BF2117">
      <w:pPr>
        <w:pStyle w:val="FootnoteText"/>
        <w:rPr>
          <w:color w:val="FF0000"/>
          <w:sz w:val="16"/>
          <w:szCs w:val="16"/>
        </w:rPr>
      </w:pPr>
      <w:r w:rsidRPr="00A55656">
        <w:rPr>
          <w:rStyle w:val="FootnoteReference"/>
          <w:color w:val="FF0000"/>
          <w:sz w:val="16"/>
          <w:szCs w:val="16"/>
        </w:rPr>
        <w:footnoteRef/>
      </w:r>
      <w:r w:rsidRPr="00A55656">
        <w:rPr>
          <w:color w:val="FF0000"/>
          <w:sz w:val="16"/>
          <w:szCs w:val="16"/>
        </w:rPr>
        <w:t xml:space="preserve"> </w:t>
      </w:r>
      <w:r w:rsidRPr="00D47C20">
        <w:rPr>
          <w:color w:val="0070C0"/>
          <w:sz w:val="16"/>
          <w:szCs w:val="16"/>
        </w:rPr>
        <w:t>Sub-clause (xviii) omitted by the Finance Act, 2016. Omitted sub-clause read as follows:-</w:t>
      </w:r>
    </w:p>
    <w:p w:rsidR="00BF2117" w:rsidRPr="00A55656" w:rsidRDefault="00BF2117" w:rsidP="00A55656">
      <w:pPr>
        <w:widowControl w:val="0"/>
        <w:ind w:left="810" w:hanging="525"/>
        <w:jc w:val="both"/>
        <w:rPr>
          <w:sz w:val="16"/>
          <w:szCs w:val="16"/>
        </w:rPr>
      </w:pPr>
      <w:r w:rsidRPr="00A55656">
        <w:rPr>
          <w:snapToGrid w:val="0"/>
          <w:sz w:val="16"/>
          <w:szCs w:val="16"/>
        </w:rPr>
        <w:t>“</w:t>
      </w:r>
      <w:r>
        <w:rPr>
          <w:snapToGrid w:val="0"/>
          <w:sz w:val="16"/>
          <w:szCs w:val="16"/>
        </w:rPr>
        <w:t>(</w:t>
      </w:r>
      <w:r w:rsidRPr="00A55656">
        <w:rPr>
          <w:snapToGrid w:val="0"/>
          <w:sz w:val="16"/>
          <w:szCs w:val="16"/>
        </w:rPr>
        <w:t>xviii</w:t>
      </w:r>
      <w:r>
        <w:rPr>
          <w:snapToGrid w:val="0"/>
          <w:sz w:val="16"/>
          <w:szCs w:val="16"/>
        </w:rPr>
        <w:t>)</w:t>
      </w:r>
      <w:r w:rsidRPr="00A55656">
        <w:rPr>
          <w:snapToGrid w:val="0"/>
          <w:sz w:val="16"/>
          <w:szCs w:val="16"/>
        </w:rPr>
        <w:t>.</w:t>
      </w:r>
      <w:r w:rsidRPr="00A55656">
        <w:rPr>
          <w:snapToGrid w:val="0"/>
          <w:sz w:val="16"/>
          <w:szCs w:val="16"/>
        </w:rPr>
        <w:tab/>
      </w:r>
      <w:r w:rsidRPr="00A55656">
        <w:rPr>
          <w:sz w:val="16"/>
          <w:szCs w:val="16"/>
        </w:rPr>
        <w:t>Micro Finance Banks for a period of five years starting from first day of July 2007:</w:t>
      </w:r>
    </w:p>
    <w:p w:rsidR="00BF2117" w:rsidRPr="00A55656" w:rsidRDefault="00BF2117" w:rsidP="00A55656">
      <w:pPr>
        <w:widowControl w:val="0"/>
        <w:ind w:left="810" w:firstLine="450"/>
        <w:jc w:val="both"/>
        <w:rPr>
          <w:color w:val="FF0000"/>
          <w:sz w:val="16"/>
          <w:szCs w:val="16"/>
          <w:lang w:val="en-US"/>
        </w:rPr>
      </w:pPr>
      <w:r w:rsidRPr="00A55656">
        <w:rPr>
          <w:sz w:val="16"/>
          <w:szCs w:val="16"/>
        </w:rPr>
        <w:t>Provided such banks shall not issue dividends to their share holders and their profit and gain (if any) shall be utilized for</w:t>
      </w:r>
      <w:r>
        <w:rPr>
          <w:sz w:val="16"/>
          <w:szCs w:val="16"/>
        </w:rPr>
        <w:t xml:space="preserve"> Micro Finance Operations only.”</w:t>
      </w:r>
    </w:p>
  </w:footnote>
  <w:footnote w:id="1871">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Added by the Finance Act, 2008.</w:t>
      </w:r>
    </w:p>
  </w:footnote>
  <w:footnote w:id="1872">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Added by the Finance Act, 2008.</w:t>
      </w:r>
    </w:p>
  </w:footnote>
  <w:footnote w:id="1873">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Added by S.R.O. 767(I)/2008, dated 21.07.2008.</w:t>
      </w:r>
    </w:p>
  </w:footnote>
  <w:footnote w:id="1874">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Added by S.R.O. 772(I)/2008, dated 22.07.2008.</w:t>
      </w:r>
    </w:p>
  </w:footnote>
  <w:footnote w:id="1875">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Added by S.R.O. 1012(I)/2008, dated 23.09.2008.</w:t>
      </w:r>
    </w:p>
  </w:footnote>
  <w:footnote w:id="1876">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Added by S.R.O. 810(I)/2009, dated 19.09.2009,’</w:t>
      </w:r>
    </w:p>
  </w:footnote>
  <w:footnote w:id="1877">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Added by S.R.O. 833(I)/2009, dated 29.09.2009</w:t>
      </w:r>
    </w:p>
  </w:footnote>
  <w:footnote w:id="1878">
    <w:p w:rsidR="00BF2117" w:rsidRPr="00B46543" w:rsidRDefault="00BF2117" w:rsidP="00BB1BC6">
      <w:pPr>
        <w:pStyle w:val="FootnoteText"/>
        <w:ind w:left="90" w:hanging="90"/>
        <w:jc w:val="both"/>
        <w:rPr>
          <w:color w:val="000000" w:themeColor="text1"/>
          <w:lang w:val="en-US"/>
        </w:rPr>
      </w:pPr>
      <w:r w:rsidRPr="00B46543">
        <w:rPr>
          <w:rStyle w:val="FootnoteReference"/>
          <w:color w:val="000000" w:themeColor="text1"/>
          <w:sz w:val="16"/>
          <w:szCs w:val="16"/>
        </w:rPr>
        <w:footnoteRef/>
      </w:r>
      <w:r w:rsidRPr="00B46543">
        <w:rPr>
          <w:color w:val="000000" w:themeColor="text1"/>
          <w:sz w:val="16"/>
          <w:szCs w:val="16"/>
        </w:rPr>
        <w:t>Clause (xxiv), occurring for the second time, clause (xxv), clause (xxix), clause (xxviii), occurring thrice and clause (xxix)  re-numbered as clauses (xxv), (xxvi), (xxvii), (xxviii), (xxix), (xxx) and (xxxi) by the Finance Act, 2014.</w:t>
      </w:r>
    </w:p>
  </w:footnote>
  <w:footnote w:id="1879">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Added by S.R.O. 833(I)/2009, dated 29.09.2009</w:t>
      </w:r>
    </w:p>
  </w:footnote>
  <w:footnote w:id="1880">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Inserted by S.R.O. 119(I)/2011, dated 14.02.2011.</w:t>
      </w:r>
    </w:p>
  </w:footnote>
  <w:footnote w:id="1881">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Added by S.R.O. 383(I)/2012, dated 18.04.2012.</w:t>
      </w:r>
    </w:p>
  </w:footnote>
  <w:footnote w:id="1882">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Added by S.R.O. 463(I)/2012, dated 28.04. 2012.</w:t>
      </w:r>
    </w:p>
  </w:footnote>
  <w:footnote w:id="1883">
    <w:p w:rsidR="00BF2117" w:rsidRPr="00866443" w:rsidRDefault="00BF2117">
      <w:pPr>
        <w:pStyle w:val="FootnoteText"/>
        <w:rPr>
          <w:sz w:val="16"/>
          <w:szCs w:val="16"/>
          <w:lang w:val="en-US"/>
        </w:rPr>
      </w:pPr>
      <w:r w:rsidRPr="00866443">
        <w:rPr>
          <w:rStyle w:val="FootnoteReference"/>
          <w:sz w:val="16"/>
          <w:szCs w:val="16"/>
        </w:rPr>
        <w:footnoteRef/>
      </w:r>
      <w:r w:rsidRPr="00866443">
        <w:rPr>
          <w:sz w:val="16"/>
          <w:szCs w:val="16"/>
        </w:rPr>
        <w:t xml:space="preserve"> Added by the Finance Act, 2012.</w:t>
      </w:r>
    </w:p>
  </w:footnote>
  <w:footnote w:id="1884">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Added by S.R.O. 1225(I)/2012, dated 01.10.2012.</w:t>
      </w:r>
    </w:p>
  </w:footnote>
  <w:footnote w:id="1885">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lang w:val="en-US"/>
        </w:rPr>
        <w:t>Added by the Finance Act, 2014.</w:t>
      </w:r>
    </w:p>
  </w:footnote>
  <w:footnote w:id="1886">
    <w:p w:rsidR="00BF2117" w:rsidRPr="008F382A" w:rsidRDefault="00BF2117">
      <w:pPr>
        <w:pStyle w:val="FootnoteText"/>
        <w:rPr>
          <w:sz w:val="16"/>
          <w:szCs w:val="16"/>
          <w:lang w:val="en-US"/>
        </w:rPr>
      </w:pPr>
      <w:r w:rsidRPr="008F382A">
        <w:rPr>
          <w:rStyle w:val="FootnoteReference"/>
          <w:sz w:val="16"/>
          <w:szCs w:val="16"/>
        </w:rPr>
        <w:footnoteRef/>
      </w:r>
      <w:r>
        <w:rPr>
          <w:sz w:val="16"/>
          <w:szCs w:val="16"/>
        </w:rPr>
        <w:t xml:space="preserve">Sub-clause “(xxx)” renumbered by the Finance Act, 2015. </w:t>
      </w:r>
    </w:p>
  </w:footnote>
  <w:footnote w:id="1887">
    <w:p w:rsidR="00BF2117" w:rsidRPr="00CE402D" w:rsidRDefault="00BF2117">
      <w:pPr>
        <w:pStyle w:val="FootnoteText"/>
        <w:rPr>
          <w:sz w:val="16"/>
          <w:szCs w:val="16"/>
          <w:lang w:val="en-US"/>
        </w:rPr>
      </w:pPr>
      <w:r w:rsidRPr="00CE402D">
        <w:rPr>
          <w:rStyle w:val="FootnoteReference"/>
          <w:sz w:val="16"/>
          <w:szCs w:val="16"/>
        </w:rPr>
        <w:footnoteRef/>
      </w:r>
      <w:r w:rsidRPr="00CE402D">
        <w:rPr>
          <w:sz w:val="16"/>
          <w:szCs w:val="16"/>
        </w:rPr>
        <w:t xml:space="preserve"> Inserted by S.R.O. 1029(I)/2014 dated 19.11.2014. </w:t>
      </w:r>
    </w:p>
  </w:footnote>
  <w:footnote w:id="1888">
    <w:p w:rsidR="00BF2117" w:rsidRPr="006A568C" w:rsidRDefault="00BF2117">
      <w:pPr>
        <w:pStyle w:val="FootnoteText"/>
        <w:rPr>
          <w:sz w:val="16"/>
          <w:szCs w:val="16"/>
          <w:lang w:val="en-US"/>
        </w:rPr>
      </w:pPr>
      <w:r w:rsidRPr="006A568C">
        <w:rPr>
          <w:rStyle w:val="FootnoteReference"/>
          <w:sz w:val="16"/>
          <w:szCs w:val="16"/>
        </w:rPr>
        <w:footnoteRef/>
      </w:r>
      <w:r w:rsidRPr="006A568C">
        <w:rPr>
          <w:sz w:val="16"/>
          <w:szCs w:val="16"/>
        </w:rPr>
        <w:t xml:space="preserve"> Added by the Finance Act, 2015.</w:t>
      </w:r>
    </w:p>
  </w:footnote>
  <w:footnote w:id="1889">
    <w:p w:rsidR="00BF2117" w:rsidRPr="00CE402D" w:rsidRDefault="00BF2117">
      <w:pPr>
        <w:pStyle w:val="FootnoteText"/>
        <w:rPr>
          <w:lang w:val="en-US"/>
        </w:rPr>
      </w:pPr>
      <w:r>
        <w:rPr>
          <w:rStyle w:val="FootnoteReference"/>
        </w:rPr>
        <w:footnoteRef/>
      </w:r>
      <w:r w:rsidRPr="00CE402D">
        <w:rPr>
          <w:sz w:val="16"/>
          <w:szCs w:val="16"/>
        </w:rPr>
        <w:t>Inserted by S.R.O. 1029(I)/2014 dated 19.11.2014.</w:t>
      </w:r>
    </w:p>
  </w:footnote>
  <w:footnote w:id="1890">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(67) omitted by the Finance Act, 2006. The omitted clause (67) read as follows:</w:t>
      </w:r>
    </w:p>
    <w:p w:rsidR="00BF2117" w:rsidRPr="00866443" w:rsidRDefault="00BF2117" w:rsidP="00AA4BF8">
      <w:pPr>
        <w:widowControl w:val="0"/>
        <w:ind w:left="90"/>
        <w:jc w:val="both"/>
        <w:rPr>
          <w:sz w:val="16"/>
          <w:szCs w:val="16"/>
        </w:rPr>
      </w:pPr>
      <w:r w:rsidRPr="00866443">
        <w:rPr>
          <w:sz w:val="16"/>
          <w:szCs w:val="16"/>
        </w:rPr>
        <w:t>“</w:t>
      </w:r>
      <w:r w:rsidRPr="00866443">
        <w:rPr>
          <w:b/>
          <w:bCs/>
          <w:snapToGrid w:val="0"/>
          <w:sz w:val="16"/>
          <w:szCs w:val="16"/>
        </w:rPr>
        <w:t>(67)</w:t>
      </w:r>
      <w:r w:rsidRPr="00866443">
        <w:rPr>
          <w:snapToGrid w:val="0"/>
          <w:sz w:val="16"/>
          <w:szCs w:val="16"/>
        </w:rPr>
        <w:tab/>
        <w:t>Any income of the Liaquat National Hospital Association, Karachi.”</w:t>
      </w:r>
    </w:p>
  </w:footnote>
  <w:footnote w:id="1891">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(68) omitted by the Finance Act, 2006. The omitted clause (68) read as follows:</w:t>
      </w:r>
    </w:p>
    <w:p w:rsidR="00BF2117" w:rsidRPr="00866443" w:rsidRDefault="00BF2117" w:rsidP="00AA4BF8">
      <w:pPr>
        <w:widowControl w:val="0"/>
        <w:ind w:left="90"/>
        <w:jc w:val="both"/>
        <w:rPr>
          <w:snapToGrid w:val="0"/>
          <w:sz w:val="16"/>
          <w:szCs w:val="16"/>
        </w:rPr>
      </w:pPr>
      <w:r w:rsidRPr="00866443">
        <w:rPr>
          <w:sz w:val="16"/>
          <w:szCs w:val="16"/>
        </w:rPr>
        <w:t>“</w:t>
      </w:r>
      <w:r w:rsidRPr="00866443">
        <w:rPr>
          <w:b/>
          <w:bCs/>
          <w:snapToGrid w:val="0"/>
          <w:sz w:val="16"/>
          <w:szCs w:val="16"/>
        </w:rPr>
        <w:t>(68)</w:t>
      </w:r>
      <w:r w:rsidRPr="00866443">
        <w:rPr>
          <w:snapToGrid w:val="0"/>
          <w:sz w:val="16"/>
          <w:szCs w:val="16"/>
        </w:rPr>
        <w:tab/>
        <w:t>Any income derived by-</w:t>
      </w:r>
    </w:p>
    <w:p w:rsidR="00BF2117" w:rsidRPr="00866443" w:rsidRDefault="00BF2117" w:rsidP="00AA4BF8">
      <w:pPr>
        <w:widowControl w:val="0"/>
        <w:jc w:val="both"/>
        <w:rPr>
          <w:snapToGrid w:val="0"/>
          <w:sz w:val="16"/>
          <w:szCs w:val="16"/>
        </w:rPr>
      </w:pPr>
      <w:r w:rsidRPr="00866443">
        <w:rPr>
          <w:snapToGrid w:val="0"/>
          <w:sz w:val="16"/>
          <w:szCs w:val="16"/>
        </w:rPr>
        <w:tab/>
        <w:t>(i)</w:t>
      </w:r>
      <w:r w:rsidRPr="00866443">
        <w:rPr>
          <w:snapToGrid w:val="0"/>
          <w:sz w:val="16"/>
          <w:szCs w:val="16"/>
        </w:rPr>
        <w:tab/>
        <w:t>Abdul Sattar</w:t>
      </w:r>
      <w:r>
        <w:rPr>
          <w:snapToGrid w:val="0"/>
          <w:sz w:val="16"/>
          <w:szCs w:val="16"/>
        </w:rPr>
        <w:t xml:space="preserve"> </w:t>
      </w:r>
      <w:r w:rsidRPr="00866443">
        <w:rPr>
          <w:snapToGrid w:val="0"/>
          <w:sz w:val="16"/>
          <w:szCs w:val="16"/>
        </w:rPr>
        <w:t>Edhi Foundation, Karachi; and</w:t>
      </w:r>
    </w:p>
    <w:p w:rsidR="00BF2117" w:rsidRPr="00866443" w:rsidRDefault="00BF2117" w:rsidP="00AA4BF8">
      <w:pPr>
        <w:widowControl w:val="0"/>
        <w:ind w:firstLine="547"/>
        <w:jc w:val="both"/>
        <w:rPr>
          <w:sz w:val="16"/>
          <w:szCs w:val="16"/>
        </w:rPr>
      </w:pPr>
      <w:r w:rsidRPr="00866443">
        <w:rPr>
          <w:snapToGrid w:val="0"/>
          <w:sz w:val="16"/>
          <w:szCs w:val="16"/>
          <w:lang w:val="fr-FR"/>
        </w:rPr>
        <w:t>(ii)</w:t>
      </w:r>
      <w:r w:rsidRPr="00866443">
        <w:rPr>
          <w:snapToGrid w:val="0"/>
          <w:sz w:val="16"/>
          <w:szCs w:val="16"/>
          <w:lang w:val="fr-FR"/>
        </w:rPr>
        <w:tab/>
        <w:t>Bilquis</w:t>
      </w:r>
      <w:r>
        <w:rPr>
          <w:snapToGrid w:val="0"/>
          <w:sz w:val="16"/>
          <w:szCs w:val="16"/>
          <w:lang w:val="fr-FR"/>
        </w:rPr>
        <w:t xml:space="preserve"> </w:t>
      </w:r>
      <w:r w:rsidRPr="00866443">
        <w:rPr>
          <w:snapToGrid w:val="0"/>
          <w:sz w:val="16"/>
          <w:szCs w:val="16"/>
          <w:lang w:val="fr-FR"/>
        </w:rPr>
        <w:t>Edhi</w:t>
      </w:r>
      <w:r>
        <w:rPr>
          <w:snapToGrid w:val="0"/>
          <w:sz w:val="16"/>
          <w:szCs w:val="16"/>
          <w:lang w:val="fr-FR"/>
        </w:rPr>
        <w:t xml:space="preserve"> </w:t>
      </w:r>
      <w:r w:rsidRPr="00866443">
        <w:rPr>
          <w:snapToGrid w:val="0"/>
          <w:sz w:val="16"/>
          <w:szCs w:val="16"/>
          <w:lang w:val="fr-FR"/>
        </w:rPr>
        <w:t>Foundation, Karachi.”</w:t>
      </w:r>
    </w:p>
  </w:footnote>
  <w:footnote w:id="1892">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(69) omitted by the Finance Act, 2006. The omitted clause (69) read as follows:</w:t>
      </w:r>
    </w:p>
    <w:p w:rsidR="00BF2117" w:rsidRPr="00866443" w:rsidRDefault="00BF2117" w:rsidP="00AA4BF8">
      <w:pPr>
        <w:widowControl w:val="0"/>
        <w:ind w:left="90"/>
        <w:jc w:val="both"/>
        <w:rPr>
          <w:sz w:val="16"/>
          <w:szCs w:val="16"/>
        </w:rPr>
      </w:pPr>
      <w:r w:rsidRPr="00866443">
        <w:rPr>
          <w:sz w:val="16"/>
          <w:szCs w:val="16"/>
        </w:rPr>
        <w:t>“</w:t>
      </w:r>
      <w:r w:rsidRPr="00866443">
        <w:rPr>
          <w:b/>
          <w:bCs/>
          <w:snapToGrid w:val="0"/>
          <w:sz w:val="16"/>
          <w:szCs w:val="16"/>
        </w:rPr>
        <w:t>(69)</w:t>
      </w:r>
      <w:r w:rsidRPr="00866443">
        <w:rPr>
          <w:snapToGrid w:val="0"/>
          <w:sz w:val="16"/>
          <w:szCs w:val="16"/>
        </w:rPr>
        <w:tab/>
        <w:t>Any income derived by Al-Shifa Trust, Rawalpindi.”</w:t>
      </w:r>
    </w:p>
  </w:footnote>
  <w:footnote w:id="1893">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(70) omitted by the Finance Act, 2006. The omitted clause (70) read as follows:</w:t>
      </w:r>
    </w:p>
    <w:p w:rsidR="00BF2117" w:rsidRPr="00866443" w:rsidRDefault="00BF2117" w:rsidP="00AA4BF8">
      <w:pPr>
        <w:widowControl w:val="0"/>
        <w:ind w:left="90"/>
        <w:jc w:val="both"/>
        <w:rPr>
          <w:sz w:val="16"/>
          <w:szCs w:val="16"/>
        </w:rPr>
      </w:pPr>
      <w:r w:rsidRPr="00866443">
        <w:rPr>
          <w:sz w:val="16"/>
          <w:szCs w:val="16"/>
        </w:rPr>
        <w:t>“</w:t>
      </w:r>
      <w:r w:rsidRPr="00866443">
        <w:rPr>
          <w:b/>
          <w:bCs/>
          <w:snapToGrid w:val="0"/>
          <w:sz w:val="16"/>
          <w:szCs w:val="16"/>
        </w:rPr>
        <w:t>(70)</w:t>
      </w:r>
      <w:r w:rsidRPr="00866443">
        <w:rPr>
          <w:snapToGrid w:val="0"/>
          <w:sz w:val="16"/>
          <w:szCs w:val="16"/>
        </w:rPr>
        <w:tab/>
        <w:t>Any income derived by Fatimid Foundation, Karachi.”</w:t>
      </w:r>
    </w:p>
  </w:footnote>
  <w:footnote w:id="1894">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(71) omitted by the Finance Act, 2006. The omitted clause (71) read as follows:</w:t>
      </w:r>
    </w:p>
    <w:p w:rsidR="00BF2117" w:rsidRPr="00866443" w:rsidRDefault="00BF2117" w:rsidP="00AA4BF8">
      <w:pPr>
        <w:widowControl w:val="0"/>
        <w:ind w:left="90"/>
        <w:jc w:val="both"/>
        <w:rPr>
          <w:sz w:val="16"/>
          <w:szCs w:val="16"/>
        </w:rPr>
      </w:pPr>
      <w:r w:rsidRPr="00866443">
        <w:rPr>
          <w:sz w:val="16"/>
          <w:szCs w:val="16"/>
        </w:rPr>
        <w:t>“</w:t>
      </w:r>
      <w:r w:rsidRPr="00866443">
        <w:rPr>
          <w:b/>
          <w:bCs/>
          <w:snapToGrid w:val="0"/>
          <w:sz w:val="16"/>
          <w:szCs w:val="16"/>
        </w:rPr>
        <w:t>(71)</w:t>
      </w:r>
      <w:r w:rsidRPr="00866443">
        <w:rPr>
          <w:snapToGrid w:val="0"/>
          <w:sz w:val="16"/>
          <w:szCs w:val="16"/>
        </w:rPr>
        <w:tab/>
        <w:t>Any income of Hamadard Laboratories (Waqf) Pakistan.”</w:t>
      </w:r>
    </w:p>
  </w:footnote>
  <w:footnote w:id="1895">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(71A) omitted by the Finance Act, 2006. The omitted clause (71A) read as follows:</w:t>
      </w:r>
    </w:p>
    <w:p w:rsidR="00BF2117" w:rsidRPr="00866443" w:rsidRDefault="00BF2117" w:rsidP="00AA4BF8">
      <w:pPr>
        <w:pStyle w:val="FootnoteText"/>
        <w:ind w:left="180" w:hanging="90"/>
        <w:jc w:val="both"/>
        <w:rPr>
          <w:sz w:val="16"/>
          <w:szCs w:val="16"/>
        </w:rPr>
      </w:pPr>
      <w:r w:rsidRPr="00866443">
        <w:rPr>
          <w:sz w:val="16"/>
          <w:szCs w:val="16"/>
        </w:rPr>
        <w:t>“</w:t>
      </w:r>
      <w:r w:rsidRPr="00866443">
        <w:rPr>
          <w:b/>
          <w:bCs/>
          <w:snapToGrid w:val="0"/>
          <w:sz w:val="16"/>
          <w:szCs w:val="16"/>
        </w:rPr>
        <w:t>(</w:t>
      </w:r>
      <w:r w:rsidRPr="00866443">
        <w:rPr>
          <w:sz w:val="16"/>
          <w:szCs w:val="16"/>
        </w:rPr>
        <w:t>71A</w:t>
      </w:r>
      <w:r w:rsidRPr="00866443">
        <w:rPr>
          <w:b/>
          <w:bCs/>
          <w:snapToGrid w:val="0"/>
          <w:sz w:val="16"/>
          <w:szCs w:val="16"/>
        </w:rPr>
        <w:t>)</w:t>
      </w:r>
      <w:r w:rsidRPr="00866443">
        <w:rPr>
          <w:snapToGrid w:val="0"/>
          <w:sz w:val="16"/>
          <w:szCs w:val="16"/>
        </w:rPr>
        <w:t xml:space="preserve"> Any income of National Memorial Bab-e-Pakistan Trust for the assessment year commencing on or after the 1</w:t>
      </w:r>
      <w:r w:rsidRPr="00866443">
        <w:rPr>
          <w:snapToGrid w:val="0"/>
          <w:sz w:val="16"/>
          <w:szCs w:val="16"/>
          <w:vertAlign w:val="superscript"/>
        </w:rPr>
        <w:t>st</w:t>
      </w:r>
      <w:r w:rsidRPr="00866443">
        <w:rPr>
          <w:snapToGrid w:val="0"/>
          <w:sz w:val="16"/>
          <w:szCs w:val="16"/>
        </w:rPr>
        <w:t xml:space="preserve"> day of July, 1994.”</w:t>
      </w:r>
    </w:p>
  </w:footnote>
  <w:footnote w:id="1896">
    <w:p w:rsidR="00BF2117" w:rsidRPr="00866443" w:rsidRDefault="00BF2117" w:rsidP="00AA4BF8">
      <w:pPr>
        <w:pStyle w:val="FootnoteText"/>
        <w:jc w:val="both"/>
        <w:rPr>
          <w:sz w:val="16"/>
          <w:szCs w:val="16"/>
          <w:lang w:val="en-US"/>
        </w:rPr>
      </w:pPr>
      <w:r w:rsidRPr="00866443">
        <w:rPr>
          <w:rStyle w:val="FootnoteReference"/>
          <w:rFonts w:cs="Arial"/>
          <w:sz w:val="16"/>
          <w:szCs w:val="16"/>
        </w:rPr>
        <w:footnoteRef/>
      </w:r>
      <w:r>
        <w:rPr>
          <w:sz w:val="16"/>
          <w:szCs w:val="16"/>
        </w:rPr>
        <w:t xml:space="preserve"> Clause (72) </w:t>
      </w:r>
      <w:r w:rsidRPr="00866443">
        <w:rPr>
          <w:sz w:val="16"/>
          <w:szCs w:val="16"/>
          <w:lang w:val="en-US"/>
        </w:rPr>
        <w:t xml:space="preserve">substituted by the Finance Act, 2006. The substituted clause (72) read as follows: </w:t>
      </w:r>
    </w:p>
    <w:p w:rsidR="00BF2117" w:rsidRPr="00866443" w:rsidRDefault="00BF2117" w:rsidP="00AA4BF8">
      <w:pPr>
        <w:pStyle w:val="FootnoteText"/>
        <w:ind w:left="180" w:hanging="90"/>
        <w:jc w:val="both"/>
        <w:rPr>
          <w:sz w:val="16"/>
          <w:szCs w:val="16"/>
        </w:rPr>
      </w:pPr>
      <w:r w:rsidRPr="00866443">
        <w:rPr>
          <w:sz w:val="16"/>
          <w:szCs w:val="16"/>
          <w:lang w:val="en-US"/>
        </w:rPr>
        <w:t>“</w:t>
      </w:r>
      <w:r w:rsidRPr="00866443">
        <w:rPr>
          <w:b/>
          <w:bCs/>
          <w:snapToGrid w:val="0"/>
          <w:sz w:val="16"/>
          <w:szCs w:val="16"/>
        </w:rPr>
        <w:t>(72)</w:t>
      </w:r>
      <w:r w:rsidRPr="00866443">
        <w:rPr>
          <w:snapToGrid w:val="0"/>
          <w:sz w:val="16"/>
          <w:szCs w:val="16"/>
        </w:rPr>
        <w:tab/>
        <w:t>Any profit on debt payable to a non-resident person in respect of such private loan to be utilised on such project in Pakistan as may be approved by the Federal Government for the purposes of this clause, having regard to the rate of profit and the terms of re-payment of the loan and the nature of project on which it is to be utilised.”</w:t>
      </w:r>
    </w:p>
  </w:footnote>
  <w:footnote w:id="1897">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Semicolon substituted by the Finance Act, 2008.</w:t>
      </w:r>
    </w:p>
  </w:footnote>
  <w:footnote w:id="1898">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Added by the Finance Act, 2010.</w:t>
      </w:r>
    </w:p>
  </w:footnote>
  <w:footnote w:id="1899">
    <w:p w:rsidR="00BF2117" w:rsidRPr="00ED0895" w:rsidRDefault="00BF2117">
      <w:pPr>
        <w:pStyle w:val="FootnoteText"/>
        <w:rPr>
          <w:lang w:val="en-US"/>
        </w:rPr>
      </w:pPr>
      <w:r>
        <w:rPr>
          <w:rStyle w:val="FootnoteReference"/>
        </w:rPr>
        <w:footnoteRef/>
      </w:r>
      <w:r w:rsidRPr="00CE402D">
        <w:rPr>
          <w:sz w:val="16"/>
          <w:szCs w:val="16"/>
        </w:rPr>
        <w:t>Inserted by S.R.O. 1029(I)/2014 dated 19.11.2014.</w:t>
      </w:r>
    </w:p>
  </w:footnote>
  <w:footnote w:id="1900">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(73) omitted by the Finance Act, 2006. The omitted clause (73) read as follows:</w:t>
      </w:r>
    </w:p>
    <w:p w:rsidR="00BF2117" w:rsidRPr="00866443" w:rsidRDefault="00BF2117" w:rsidP="00AA4BF8">
      <w:pPr>
        <w:pStyle w:val="FootnoteText"/>
        <w:ind w:left="180" w:hanging="90"/>
        <w:jc w:val="both"/>
        <w:rPr>
          <w:sz w:val="16"/>
          <w:szCs w:val="16"/>
        </w:rPr>
      </w:pPr>
      <w:r w:rsidRPr="00866443">
        <w:rPr>
          <w:sz w:val="16"/>
          <w:szCs w:val="16"/>
        </w:rPr>
        <w:t>“</w:t>
      </w:r>
      <w:r w:rsidRPr="00866443">
        <w:rPr>
          <w:b/>
          <w:bCs/>
          <w:snapToGrid w:val="0"/>
          <w:sz w:val="16"/>
          <w:szCs w:val="16"/>
        </w:rPr>
        <w:t>(73)</w:t>
      </w:r>
      <w:r w:rsidRPr="00866443">
        <w:rPr>
          <w:snapToGrid w:val="0"/>
          <w:sz w:val="16"/>
          <w:szCs w:val="16"/>
        </w:rPr>
        <w:tab/>
        <w:t>Any profit on debt payable to a non-resident person on a loan in foreign exchange against export letter of credit which is used exclusively for export of goods manufactured or processed for exports in Pakistan.”</w:t>
      </w:r>
    </w:p>
  </w:footnote>
  <w:footnote w:id="1901">
    <w:p w:rsidR="00BF2117" w:rsidRPr="00866443" w:rsidRDefault="00BF2117" w:rsidP="00AA4BF8">
      <w:pPr>
        <w:pStyle w:val="FootnoteText"/>
        <w:ind w:left="180" w:hanging="180"/>
        <w:jc w:val="both"/>
        <w:rPr>
          <w:sz w:val="16"/>
          <w:szCs w:val="16"/>
        </w:rPr>
      </w:pPr>
      <w:r w:rsidRPr="00866443">
        <w:rPr>
          <w:rStyle w:val="FootnoteReference"/>
          <w:rFonts w:cs="Arial"/>
          <w:sz w:val="16"/>
          <w:szCs w:val="16"/>
        </w:rPr>
        <w:footnoteRef/>
      </w:r>
      <w:r w:rsidRPr="00866443">
        <w:rPr>
          <w:sz w:val="16"/>
          <w:szCs w:val="16"/>
        </w:rPr>
        <w:t xml:space="preserve"> The words “scheduled banks” substituted by the Finance Act, 2005. This substitution shall be deemed to have been made w.e.f. July 01, 2003. Earlier the words “financial institutions” were substituted by the Finance Act, 2003.</w:t>
      </w:r>
    </w:p>
  </w:footnote>
  <w:footnote w:id="1902">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(74A) omitted by the Finance Act, 2011. The omitted clause (74A) read as follows:</w:t>
      </w:r>
    </w:p>
    <w:p w:rsidR="00BF2117" w:rsidRPr="00866443" w:rsidRDefault="00BF2117" w:rsidP="00AA4BF8">
      <w:pPr>
        <w:pStyle w:val="FootnoteText"/>
        <w:ind w:left="270" w:hanging="90"/>
        <w:jc w:val="both"/>
        <w:rPr>
          <w:sz w:val="16"/>
          <w:szCs w:val="16"/>
        </w:rPr>
      </w:pPr>
      <w:r w:rsidRPr="00866443">
        <w:rPr>
          <w:sz w:val="16"/>
          <w:szCs w:val="16"/>
        </w:rPr>
        <w:t>“</w:t>
      </w:r>
      <w:r w:rsidRPr="00866443">
        <w:rPr>
          <w:b/>
          <w:bCs/>
          <w:snapToGrid w:val="0"/>
          <w:sz w:val="16"/>
          <w:szCs w:val="16"/>
        </w:rPr>
        <w:t>(74A)</w:t>
      </w:r>
      <w:r w:rsidRPr="00866443">
        <w:rPr>
          <w:snapToGrid w:val="0"/>
          <w:sz w:val="16"/>
          <w:szCs w:val="16"/>
        </w:rPr>
        <w:t xml:space="preserve"> Any profit on debt, payable to National Bank of Pakistan, on foreign currency loan of US $ 100 million, given to Pakistan State Oil Company Limited (PSO) under agreement executed at Bahrain on the 29</w:t>
      </w:r>
      <w:r w:rsidRPr="00866443">
        <w:rPr>
          <w:snapToGrid w:val="0"/>
          <w:sz w:val="16"/>
          <w:szCs w:val="16"/>
          <w:vertAlign w:val="superscript"/>
        </w:rPr>
        <w:t>th</w:t>
      </w:r>
      <w:r w:rsidRPr="00866443">
        <w:rPr>
          <w:snapToGrid w:val="0"/>
          <w:sz w:val="16"/>
          <w:szCs w:val="16"/>
        </w:rPr>
        <w:t xml:space="preserve"> May, 2001, approved by the Federal Government vide Finance Division’s letter No.F.3(3)EF(B-III)/2001, dated the May 29, 2001.</w:t>
      </w:r>
    </w:p>
  </w:footnote>
  <w:footnote w:id="1903">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(76) omitted by the Finance Act, 2006. The omitted clause (76) read as follows:</w:t>
      </w:r>
    </w:p>
    <w:p w:rsidR="00BF2117" w:rsidRPr="00866443" w:rsidRDefault="00BF2117" w:rsidP="00AA4BF8">
      <w:pPr>
        <w:pStyle w:val="FootnoteText"/>
        <w:ind w:left="270" w:hanging="90"/>
        <w:jc w:val="both"/>
        <w:rPr>
          <w:sz w:val="16"/>
          <w:szCs w:val="16"/>
        </w:rPr>
      </w:pPr>
      <w:r w:rsidRPr="00866443">
        <w:rPr>
          <w:sz w:val="16"/>
          <w:szCs w:val="16"/>
        </w:rPr>
        <w:t>“</w:t>
      </w:r>
      <w:r w:rsidRPr="00866443">
        <w:rPr>
          <w:b/>
          <w:bCs/>
          <w:snapToGrid w:val="0"/>
          <w:sz w:val="16"/>
          <w:szCs w:val="16"/>
        </w:rPr>
        <w:t>(76)</w:t>
      </w:r>
      <w:r w:rsidRPr="00866443">
        <w:rPr>
          <w:snapToGrid w:val="0"/>
          <w:sz w:val="16"/>
          <w:szCs w:val="16"/>
        </w:rPr>
        <w:tab/>
        <w:t>Any profit on debt payable to a non-resident person being a foreign individual, company, firm or association of persons in respect of a foreign loan as is utilised for industrial investment in Pakistan provided that the agreement for such loan is concluded on or after the First day of February 1991, and is duly registered with the State Bank of Pakistan.”</w:t>
      </w:r>
    </w:p>
  </w:footnote>
  <w:footnote w:id="1904">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(77) omitted by the Finance Act, 2008. The omitted clause (77) read as follows:</w:t>
      </w:r>
    </w:p>
    <w:p w:rsidR="00BF2117" w:rsidRDefault="00BF2117" w:rsidP="00AA4BF8">
      <w:pPr>
        <w:pStyle w:val="FootnoteText"/>
        <w:ind w:left="270" w:hanging="90"/>
      </w:pPr>
      <w:r w:rsidRPr="00866443">
        <w:rPr>
          <w:sz w:val="16"/>
          <w:szCs w:val="16"/>
        </w:rPr>
        <w:t>“</w:t>
      </w:r>
      <w:r w:rsidRPr="00866443">
        <w:rPr>
          <w:b/>
          <w:bCs/>
          <w:snapToGrid w:val="0"/>
          <w:sz w:val="16"/>
          <w:szCs w:val="16"/>
        </w:rPr>
        <w:t xml:space="preserve">(77) </w:t>
      </w:r>
      <w:r w:rsidRPr="00866443">
        <w:rPr>
          <w:snapToGrid w:val="0"/>
          <w:sz w:val="16"/>
          <w:szCs w:val="16"/>
        </w:rPr>
        <w:t>Any profit derived by a non-resident person (whether a citizen of Pakistan or otherwise) in respect of the Islamic mode of financing, including istisna, morabaha, musharika</w:t>
      </w:r>
      <w:r w:rsidRPr="00412620">
        <w:rPr>
          <w:snapToGrid w:val="0"/>
          <w:sz w:val="16"/>
          <w:szCs w:val="16"/>
        </w:rPr>
        <w:t>.”</w:t>
      </w:r>
    </w:p>
  </w:footnote>
  <w:footnote w:id="1905">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Inserted by the Finance Act, 2004.</w:t>
      </w:r>
    </w:p>
  </w:footnote>
  <w:footnote w:id="1906">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Inserted by the Finance Act, 2004.</w:t>
      </w:r>
    </w:p>
  </w:footnote>
  <w:footnote w:id="1907">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(81) omitted by the Finance Act, 2004. The omitted clause (81) read as follows: </w:t>
      </w:r>
    </w:p>
    <w:p w:rsidR="00BF2117" w:rsidRPr="00C75159" w:rsidRDefault="00BF2117" w:rsidP="00AA4BF8">
      <w:pPr>
        <w:pStyle w:val="FootnoteText"/>
        <w:ind w:left="180" w:firstLine="0"/>
        <w:jc w:val="both"/>
        <w:rPr>
          <w:color w:val="000000" w:themeColor="text1"/>
          <w:sz w:val="16"/>
          <w:szCs w:val="16"/>
        </w:rPr>
      </w:pPr>
      <w:r w:rsidRPr="00866443">
        <w:rPr>
          <w:b/>
          <w:bCs/>
          <w:snapToGrid w:val="0"/>
          <w:sz w:val="16"/>
          <w:szCs w:val="16"/>
        </w:rPr>
        <w:t>“(81)</w:t>
      </w:r>
      <w:r w:rsidRPr="00866443">
        <w:rPr>
          <w:snapToGrid w:val="0"/>
          <w:sz w:val="16"/>
          <w:szCs w:val="16"/>
        </w:rPr>
        <w:tab/>
        <w:t xml:space="preserve"> The income of a person, other than a bank or a financial institution, by way of interest on Foreign Currency Bearer Certificates issued under the Three-Years Foreign Currency Bearer </w:t>
      </w:r>
      <w:r w:rsidRPr="00C75159">
        <w:rPr>
          <w:snapToGrid w:val="0"/>
          <w:color w:val="000000" w:themeColor="text1"/>
          <w:sz w:val="16"/>
          <w:szCs w:val="16"/>
        </w:rPr>
        <w:t>Certificate Rules, 1997.”</w:t>
      </w:r>
    </w:p>
  </w:footnote>
  <w:footnote w:id="1908">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rPr>
        <w:t xml:space="preserve">Clause (81A) </w:t>
      </w:r>
      <w:r w:rsidRPr="00C75159">
        <w:rPr>
          <w:color w:val="000000" w:themeColor="text1"/>
          <w:sz w:val="16"/>
          <w:szCs w:val="16"/>
          <w:lang w:val="en-US"/>
        </w:rPr>
        <w:t>omitted by Finance Act, 2014. The omitted clause (81A) read as follows:</w:t>
      </w:r>
    </w:p>
    <w:p w:rsidR="00BF2117" w:rsidRPr="00C75159" w:rsidRDefault="00BF2117" w:rsidP="00C00056">
      <w:pPr>
        <w:widowControl w:val="0"/>
        <w:ind w:firstLine="547"/>
        <w:jc w:val="both"/>
        <w:rPr>
          <w:snapToGrid w:val="0"/>
          <w:color w:val="000000" w:themeColor="text1"/>
          <w:sz w:val="16"/>
          <w:szCs w:val="16"/>
        </w:rPr>
      </w:pPr>
      <w:r w:rsidRPr="00C75159">
        <w:rPr>
          <w:snapToGrid w:val="0"/>
          <w:color w:val="000000" w:themeColor="text1"/>
          <w:sz w:val="16"/>
          <w:szCs w:val="16"/>
        </w:rPr>
        <w:t>“(</w:t>
      </w:r>
      <w:r w:rsidRPr="00C75159">
        <w:rPr>
          <w:b/>
          <w:bCs/>
          <w:snapToGrid w:val="0"/>
          <w:color w:val="000000" w:themeColor="text1"/>
          <w:sz w:val="16"/>
          <w:szCs w:val="16"/>
        </w:rPr>
        <w:t>81A</w:t>
      </w:r>
      <w:r w:rsidRPr="00C75159">
        <w:rPr>
          <w:snapToGrid w:val="0"/>
          <w:color w:val="000000" w:themeColor="text1"/>
          <w:sz w:val="16"/>
          <w:szCs w:val="16"/>
        </w:rPr>
        <w:t>) Notwithstanding omission of clause (81), the existing holders of Foreign Currency Bearer Certificate shall continue to have the benefit of exemption till such certificates are encashed.”</w:t>
      </w:r>
    </w:p>
    <w:p w:rsidR="00BF2117" w:rsidRPr="00C75159" w:rsidRDefault="00BF2117" w:rsidP="00AA4BF8">
      <w:pPr>
        <w:pStyle w:val="FootnoteText"/>
        <w:rPr>
          <w:color w:val="000000" w:themeColor="text1"/>
          <w:sz w:val="16"/>
          <w:szCs w:val="16"/>
          <w:lang w:val="en-US"/>
        </w:rPr>
      </w:pPr>
    </w:p>
  </w:footnote>
  <w:footnote w:id="1909">
    <w:p w:rsidR="00BF2117" w:rsidRPr="00866443" w:rsidRDefault="00BF2117" w:rsidP="00AA4BF8">
      <w:pPr>
        <w:pStyle w:val="FootnoteText"/>
        <w:rPr>
          <w:sz w:val="16"/>
          <w:szCs w:val="16"/>
          <w:lang w:val="en-US"/>
        </w:rPr>
      </w:pPr>
      <w:r w:rsidRPr="00866443">
        <w:rPr>
          <w:rStyle w:val="FootnoteReference"/>
          <w:rFonts w:cs="Arial"/>
          <w:sz w:val="16"/>
          <w:szCs w:val="16"/>
        </w:rPr>
        <w:footnoteRef/>
      </w:r>
      <w:r w:rsidRPr="00866443">
        <w:rPr>
          <w:sz w:val="16"/>
          <w:szCs w:val="16"/>
        </w:rPr>
        <w:t xml:space="preserve"> Clause (82) omitted </w:t>
      </w:r>
      <w:r w:rsidRPr="00866443">
        <w:rPr>
          <w:sz w:val="16"/>
          <w:szCs w:val="16"/>
          <w:lang w:val="en-US"/>
        </w:rPr>
        <w:t>by the Finance Act, 2008. The omitted clause (82) read as follows:</w:t>
      </w:r>
    </w:p>
    <w:p w:rsidR="00BF2117" w:rsidRPr="00866443" w:rsidRDefault="00BF2117" w:rsidP="00AA4BF8">
      <w:pPr>
        <w:widowControl w:val="0"/>
        <w:ind w:left="270" w:hanging="90"/>
        <w:jc w:val="both"/>
        <w:rPr>
          <w:snapToGrid w:val="0"/>
          <w:sz w:val="16"/>
          <w:szCs w:val="16"/>
        </w:rPr>
      </w:pPr>
      <w:r w:rsidRPr="00866443">
        <w:rPr>
          <w:sz w:val="16"/>
          <w:szCs w:val="16"/>
          <w:lang w:val="en-US"/>
        </w:rPr>
        <w:t>“</w:t>
      </w:r>
      <w:r w:rsidRPr="00866443">
        <w:rPr>
          <w:b/>
          <w:bCs/>
          <w:snapToGrid w:val="0"/>
          <w:sz w:val="16"/>
          <w:szCs w:val="16"/>
        </w:rPr>
        <w:t>(82)</w:t>
      </w:r>
      <w:r w:rsidRPr="00866443">
        <w:rPr>
          <w:snapToGrid w:val="0"/>
          <w:sz w:val="16"/>
          <w:szCs w:val="16"/>
        </w:rPr>
        <w:tab/>
        <w:t xml:space="preserve"> Any profit on Special US Dollar Bonds issued under the Special US Dollar Bonds Rules, 1998:</w:t>
      </w:r>
    </w:p>
    <w:p w:rsidR="00BF2117" w:rsidRPr="00866443" w:rsidRDefault="00BF2117" w:rsidP="00AA4BF8">
      <w:pPr>
        <w:widowControl w:val="0"/>
        <w:ind w:left="270" w:firstLine="450"/>
        <w:jc w:val="both"/>
        <w:rPr>
          <w:sz w:val="16"/>
          <w:szCs w:val="16"/>
        </w:rPr>
      </w:pPr>
      <w:r w:rsidRPr="00866443">
        <w:rPr>
          <w:snapToGrid w:val="0"/>
          <w:sz w:val="16"/>
          <w:szCs w:val="16"/>
        </w:rPr>
        <w:t>Provided that the exemption under this clause shall not apply to profits on the said bonds purchased by a resident person out of any incremental deposits made in the foreign currency accounts on or after the 16th day of December, 1999, or out of new accounts opened on or after the said date.”</w:t>
      </w:r>
    </w:p>
  </w:footnote>
  <w:footnote w:id="1910">
    <w:p w:rsidR="00BF2117" w:rsidRPr="00866443" w:rsidRDefault="00BF2117" w:rsidP="00AA4BF8">
      <w:pPr>
        <w:pStyle w:val="FootnoteText"/>
        <w:rPr>
          <w:sz w:val="16"/>
          <w:szCs w:val="16"/>
          <w:lang w:val="en-US"/>
        </w:rPr>
      </w:pPr>
      <w:r w:rsidRPr="00866443">
        <w:rPr>
          <w:rStyle w:val="FootnoteReference"/>
          <w:rFonts w:cs="Arial"/>
          <w:sz w:val="16"/>
          <w:szCs w:val="16"/>
        </w:rPr>
        <w:footnoteRef/>
      </w:r>
      <w:r w:rsidRPr="00866443">
        <w:rPr>
          <w:sz w:val="16"/>
          <w:szCs w:val="16"/>
        </w:rPr>
        <w:t xml:space="preserve"> Clause (83) </w:t>
      </w:r>
      <w:r w:rsidRPr="00866443">
        <w:rPr>
          <w:sz w:val="16"/>
          <w:szCs w:val="16"/>
          <w:lang w:val="en-US"/>
        </w:rPr>
        <w:t>omitted by the Finance Act, 2008. The omitted clause (83) read as follows:</w:t>
      </w:r>
    </w:p>
    <w:p w:rsidR="00BF2117" w:rsidRPr="00866443" w:rsidRDefault="00BF2117" w:rsidP="00AA4BF8">
      <w:pPr>
        <w:widowControl w:val="0"/>
        <w:ind w:left="270"/>
        <w:jc w:val="both"/>
        <w:rPr>
          <w:snapToGrid w:val="0"/>
          <w:sz w:val="16"/>
          <w:szCs w:val="16"/>
        </w:rPr>
      </w:pPr>
      <w:r w:rsidRPr="00866443">
        <w:rPr>
          <w:sz w:val="16"/>
          <w:szCs w:val="16"/>
          <w:lang w:val="en-US"/>
        </w:rPr>
        <w:t>“</w:t>
      </w:r>
      <w:r w:rsidRPr="00866443">
        <w:rPr>
          <w:b/>
          <w:bCs/>
          <w:snapToGrid w:val="0"/>
          <w:sz w:val="16"/>
          <w:szCs w:val="16"/>
        </w:rPr>
        <w:t>(83)</w:t>
      </w:r>
      <w:r w:rsidRPr="00866443">
        <w:rPr>
          <w:snapToGrid w:val="0"/>
          <w:sz w:val="16"/>
          <w:szCs w:val="16"/>
        </w:rPr>
        <w:t xml:space="preserve"> Any profit on debt derived from Pak rupees account or certificates of deposit which have been created by conversion of a foreign currency account or deposit held on the 28th day of May,</w:t>
      </w:r>
      <w:r w:rsidRPr="00412620">
        <w:rPr>
          <w:snapToGrid w:val="0"/>
          <w:sz w:val="16"/>
          <w:szCs w:val="16"/>
        </w:rPr>
        <w:t xml:space="preserve"> 1998, with a bank authorised under the Foreign Currency Accounts Scheme of State Bank of </w:t>
      </w:r>
      <w:r w:rsidRPr="00866443">
        <w:rPr>
          <w:snapToGrid w:val="0"/>
          <w:sz w:val="16"/>
          <w:szCs w:val="16"/>
        </w:rPr>
        <w:t>Pakistan:</w:t>
      </w:r>
    </w:p>
    <w:p w:rsidR="00BF2117" w:rsidRPr="00866443" w:rsidRDefault="00BF2117" w:rsidP="00AA4BF8">
      <w:pPr>
        <w:pStyle w:val="FootnoteText"/>
        <w:ind w:left="270" w:firstLine="450"/>
        <w:jc w:val="both"/>
        <w:rPr>
          <w:sz w:val="16"/>
          <w:szCs w:val="16"/>
        </w:rPr>
      </w:pPr>
      <w:r w:rsidRPr="00866443">
        <w:rPr>
          <w:snapToGrid w:val="0"/>
          <w:sz w:val="16"/>
          <w:szCs w:val="16"/>
        </w:rPr>
        <w:t>Provided that nothing contained in this clause shall apply to such Pak rupee account or certificates which are created out of foreign currency deposits which are not exempt under clause (78) and (80).”</w:t>
      </w:r>
    </w:p>
  </w:footnote>
  <w:footnote w:id="1911">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(84) omitted by the Finance Act, 2004. The omitted clause (84) read as follows: </w:t>
      </w:r>
    </w:p>
    <w:p w:rsidR="00BF2117" w:rsidRPr="00866443" w:rsidRDefault="00BF2117" w:rsidP="00AA4BF8">
      <w:pPr>
        <w:keepNext/>
        <w:widowControl w:val="0"/>
        <w:ind w:left="270" w:hanging="90"/>
        <w:jc w:val="both"/>
        <w:rPr>
          <w:snapToGrid w:val="0"/>
          <w:sz w:val="16"/>
          <w:szCs w:val="16"/>
        </w:rPr>
      </w:pPr>
      <w:r w:rsidRPr="00866443">
        <w:rPr>
          <w:b/>
          <w:bCs/>
          <w:snapToGrid w:val="0"/>
          <w:sz w:val="16"/>
          <w:szCs w:val="16"/>
        </w:rPr>
        <w:t>“(84)</w:t>
      </w:r>
      <w:r w:rsidRPr="00866443">
        <w:rPr>
          <w:snapToGrid w:val="0"/>
          <w:sz w:val="16"/>
          <w:szCs w:val="16"/>
        </w:rPr>
        <w:tab/>
        <w:t xml:space="preserve"> Any profit on debt received from a Pakistani bank by a foreign bank, approved by the Federal Government for the purposes of this clause, for such period as may be determined by the Federal Government:</w:t>
      </w:r>
    </w:p>
    <w:p w:rsidR="00BF2117" w:rsidRPr="00866443" w:rsidRDefault="00BF2117" w:rsidP="00AA4BF8">
      <w:pPr>
        <w:keepNext/>
        <w:widowControl w:val="0"/>
        <w:ind w:left="180" w:firstLine="367"/>
        <w:jc w:val="both"/>
        <w:rPr>
          <w:snapToGrid w:val="0"/>
          <w:sz w:val="16"/>
          <w:szCs w:val="16"/>
        </w:rPr>
      </w:pPr>
      <w:r w:rsidRPr="00866443">
        <w:rPr>
          <w:snapToGrid w:val="0"/>
          <w:sz w:val="16"/>
          <w:szCs w:val="16"/>
        </w:rPr>
        <w:t>Provided that-</w:t>
      </w:r>
    </w:p>
    <w:p w:rsidR="00BF2117" w:rsidRPr="00866443" w:rsidRDefault="00BF2117" w:rsidP="00AA4BF8">
      <w:pPr>
        <w:pStyle w:val="BodyText3"/>
        <w:keepNext/>
        <w:ind w:left="1094" w:hanging="547"/>
        <w:rPr>
          <w:sz w:val="16"/>
          <w:szCs w:val="16"/>
        </w:rPr>
      </w:pPr>
      <w:r w:rsidRPr="00866443">
        <w:rPr>
          <w:sz w:val="16"/>
          <w:szCs w:val="16"/>
        </w:rPr>
        <w:t>(i)</w:t>
      </w:r>
      <w:r w:rsidRPr="00866443">
        <w:rPr>
          <w:sz w:val="16"/>
          <w:szCs w:val="16"/>
        </w:rPr>
        <w:tab/>
        <w:t>the profit is earned on deposits comprising of remittances from abroad held in a rupee account opened with a Pakistani bank with the prior approval of the State Bank of Pakistan;</w:t>
      </w:r>
    </w:p>
    <w:p w:rsidR="00BF2117" w:rsidRPr="00866443" w:rsidRDefault="00BF2117" w:rsidP="00AA4BF8">
      <w:pPr>
        <w:pStyle w:val="BodyText3"/>
        <w:keepNext/>
        <w:ind w:left="1094" w:hanging="547"/>
        <w:rPr>
          <w:sz w:val="16"/>
          <w:szCs w:val="16"/>
        </w:rPr>
      </w:pPr>
      <w:r w:rsidRPr="00866443">
        <w:rPr>
          <w:sz w:val="16"/>
          <w:szCs w:val="16"/>
        </w:rPr>
        <w:t>(ii)</w:t>
      </w:r>
      <w:r w:rsidRPr="00866443">
        <w:rPr>
          <w:sz w:val="16"/>
          <w:szCs w:val="16"/>
        </w:rPr>
        <w:tab/>
        <w:t>the Pakistani bank maintaining the said rupee account holds 20 per cent or more of the equity capital of the said foreign bank and the management of the latter vests in the Pakistani bank; and</w:t>
      </w:r>
    </w:p>
    <w:p w:rsidR="00BF2117" w:rsidRPr="00866443" w:rsidRDefault="00BF2117" w:rsidP="00AA4BF8">
      <w:pPr>
        <w:pStyle w:val="FootnoteText"/>
        <w:ind w:left="1094" w:hanging="547"/>
        <w:rPr>
          <w:sz w:val="16"/>
          <w:szCs w:val="16"/>
        </w:rPr>
      </w:pPr>
      <w:r w:rsidRPr="00866443">
        <w:rPr>
          <w:sz w:val="16"/>
          <w:szCs w:val="16"/>
        </w:rPr>
        <w:t>(iii)</w:t>
      </w:r>
      <w:r w:rsidRPr="00866443">
        <w:rPr>
          <w:sz w:val="16"/>
          <w:szCs w:val="16"/>
        </w:rPr>
        <w:tab/>
        <w:t>the rate of profit chargeable on the said deposits does not exceed the rate of interest chargeable on the deposits in the foreign currency accounts allowed to be opened with banks in Pakistan by the State Bank of Pakistan.”</w:t>
      </w:r>
    </w:p>
  </w:footnote>
  <w:footnote w:id="1912">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(85) omitted by the Finance Act, 2002. The omitted clause (85) read as follows:</w:t>
      </w:r>
    </w:p>
    <w:p w:rsidR="00BF2117" w:rsidRPr="00866443" w:rsidRDefault="00BF2117" w:rsidP="00AA4BF8">
      <w:pPr>
        <w:keepNext/>
        <w:widowControl w:val="0"/>
        <w:ind w:left="270" w:hanging="90"/>
        <w:jc w:val="both"/>
        <w:rPr>
          <w:snapToGrid w:val="0"/>
          <w:sz w:val="16"/>
          <w:szCs w:val="16"/>
        </w:rPr>
      </w:pPr>
      <w:r w:rsidRPr="00866443">
        <w:rPr>
          <w:sz w:val="16"/>
          <w:szCs w:val="16"/>
        </w:rPr>
        <w:t>“</w:t>
      </w:r>
      <w:r w:rsidRPr="00866443">
        <w:rPr>
          <w:b/>
          <w:bCs/>
          <w:snapToGrid w:val="0"/>
          <w:sz w:val="16"/>
          <w:szCs w:val="16"/>
        </w:rPr>
        <w:t xml:space="preserve">(85) </w:t>
      </w:r>
      <w:r w:rsidRPr="00866443">
        <w:rPr>
          <w:snapToGrid w:val="0"/>
          <w:sz w:val="16"/>
          <w:szCs w:val="16"/>
        </w:rPr>
        <w:t>Any income derived by any person, not being a bank, a banking company, financial institution, a development financing institution or a company engaged in the business of insurance, by way of return on bearer bonds issued by the Pakistan Water and Power Development Authority, established under the Pakistan Water and Power Development Authority Act, 1958 (West Pakistan Act. No.( XXXI of 1958): </w:t>
      </w:r>
    </w:p>
    <w:p w:rsidR="00BF2117" w:rsidRPr="00866443" w:rsidRDefault="00BF2117" w:rsidP="00AA4BF8">
      <w:pPr>
        <w:widowControl w:val="0"/>
        <w:ind w:left="180" w:firstLine="367"/>
        <w:jc w:val="both"/>
        <w:rPr>
          <w:sz w:val="16"/>
          <w:szCs w:val="16"/>
        </w:rPr>
      </w:pPr>
      <w:r w:rsidRPr="00866443">
        <w:rPr>
          <w:snapToGrid w:val="0"/>
          <w:sz w:val="16"/>
          <w:szCs w:val="16"/>
        </w:rPr>
        <w:t>Provided that nothing contained in this clause shall apply in respect of return on bonds issued on or after the first day of July, 1991.”</w:t>
      </w:r>
    </w:p>
  </w:footnote>
  <w:footnote w:id="1913">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(86) omitted by the Finance Act, 2002. The omitted clause (86) read as follows:</w:t>
      </w:r>
    </w:p>
    <w:p w:rsidR="00BF2117" w:rsidRPr="00866443" w:rsidRDefault="00BF2117" w:rsidP="00AA4BF8">
      <w:pPr>
        <w:keepNext/>
        <w:widowControl w:val="0"/>
        <w:ind w:left="270" w:hanging="90"/>
        <w:jc w:val="both"/>
        <w:rPr>
          <w:snapToGrid w:val="0"/>
          <w:sz w:val="16"/>
          <w:szCs w:val="16"/>
        </w:rPr>
      </w:pPr>
      <w:r w:rsidRPr="00866443">
        <w:rPr>
          <w:sz w:val="16"/>
          <w:szCs w:val="16"/>
        </w:rPr>
        <w:t>“</w:t>
      </w:r>
      <w:r w:rsidRPr="00866443">
        <w:rPr>
          <w:b/>
          <w:bCs/>
          <w:snapToGrid w:val="0"/>
          <w:sz w:val="16"/>
          <w:szCs w:val="16"/>
        </w:rPr>
        <w:t xml:space="preserve">(86) </w:t>
      </w:r>
      <w:r w:rsidRPr="00866443">
        <w:rPr>
          <w:snapToGrid w:val="0"/>
          <w:sz w:val="16"/>
          <w:szCs w:val="16"/>
        </w:rPr>
        <w:t>Any income derived by any person, being an individual, by way of return on bearer or registered bonds (Second issue, 1989), issued by the Pakistan Water and Power Development Authority, established under the Pakistan Water and Power Authority Act, 1958 (West Pakistan Act, No. XXXI of 1958): </w:t>
      </w:r>
    </w:p>
    <w:p w:rsidR="00BF2117" w:rsidRPr="00866443" w:rsidRDefault="00BF2117" w:rsidP="00AA4BF8">
      <w:pPr>
        <w:widowControl w:val="0"/>
        <w:ind w:left="180" w:firstLine="367"/>
        <w:jc w:val="both"/>
        <w:rPr>
          <w:sz w:val="16"/>
          <w:szCs w:val="16"/>
        </w:rPr>
      </w:pPr>
      <w:r w:rsidRPr="00866443">
        <w:rPr>
          <w:snapToGrid w:val="0"/>
          <w:sz w:val="16"/>
          <w:szCs w:val="16"/>
        </w:rPr>
        <w:t>Provided that nothing contained in this clause shall apply in respect of return on bonds issued on or after the first day of July, 1991.”</w:t>
      </w:r>
    </w:p>
  </w:footnote>
  <w:footnote w:id="1914">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(87) omitted by the Finance Act, 2003. The omitted clause (87) read as follows: </w:t>
      </w:r>
    </w:p>
    <w:p w:rsidR="00BF2117" w:rsidRPr="00866443" w:rsidRDefault="00BF2117" w:rsidP="00AA4BF8">
      <w:pPr>
        <w:keepLines/>
        <w:widowControl w:val="0"/>
        <w:ind w:left="270" w:hanging="90"/>
        <w:jc w:val="both"/>
        <w:rPr>
          <w:sz w:val="16"/>
          <w:szCs w:val="16"/>
        </w:rPr>
      </w:pPr>
      <w:r w:rsidRPr="00866443">
        <w:rPr>
          <w:snapToGrid w:val="0"/>
          <w:sz w:val="16"/>
          <w:szCs w:val="16"/>
        </w:rPr>
        <w:t>“</w:t>
      </w:r>
      <w:r w:rsidRPr="00866443">
        <w:rPr>
          <w:b/>
          <w:bCs/>
          <w:snapToGrid w:val="0"/>
          <w:sz w:val="16"/>
          <w:szCs w:val="16"/>
        </w:rPr>
        <w:t>(87)</w:t>
      </w:r>
      <w:r w:rsidRPr="00866443">
        <w:rPr>
          <w:snapToGrid w:val="0"/>
          <w:sz w:val="16"/>
          <w:szCs w:val="16"/>
        </w:rPr>
        <w:tab/>
        <w:t xml:space="preserve"> Any income derived by a non-resident person from foreign investment in 7th issue of Pak rupee denominated WAPDA Energy Bonds issued under the WAPDA Energy Bonds (7th Issue) Regulations, 1997.”</w:t>
      </w:r>
    </w:p>
  </w:footnote>
  <w:footnote w:id="1915">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(88) omitted by the Finance Act, 2004. The omitted clause (88) read as follows: </w:t>
      </w:r>
    </w:p>
    <w:p w:rsidR="00BF2117" w:rsidRPr="00866443" w:rsidRDefault="00BF2117" w:rsidP="00AA4BF8">
      <w:pPr>
        <w:widowControl w:val="0"/>
        <w:ind w:left="270" w:hanging="90"/>
        <w:jc w:val="both"/>
        <w:rPr>
          <w:sz w:val="16"/>
          <w:szCs w:val="16"/>
        </w:rPr>
      </w:pPr>
      <w:r w:rsidRPr="00866443">
        <w:rPr>
          <w:b/>
          <w:bCs/>
          <w:snapToGrid w:val="0"/>
          <w:sz w:val="16"/>
          <w:szCs w:val="16"/>
        </w:rPr>
        <w:t>“(88)</w:t>
      </w:r>
      <w:r w:rsidRPr="00866443">
        <w:rPr>
          <w:snapToGrid w:val="0"/>
          <w:sz w:val="16"/>
          <w:szCs w:val="16"/>
        </w:rPr>
        <w:tab/>
        <w:t xml:space="preserve"> Any income derived by a non-resident person(excluding local branches, subsidiaries </w:t>
      </w:r>
      <w:r w:rsidRPr="00866443">
        <w:rPr>
          <w:sz w:val="16"/>
          <w:szCs w:val="16"/>
        </w:rPr>
        <w:t xml:space="preserve">or </w:t>
      </w:r>
      <w:r w:rsidRPr="00866443">
        <w:rPr>
          <w:snapToGrid w:val="0"/>
          <w:sz w:val="16"/>
          <w:szCs w:val="16"/>
        </w:rPr>
        <w:t>offices</w:t>
      </w:r>
      <w:r w:rsidRPr="00866443">
        <w:rPr>
          <w:sz w:val="16"/>
          <w:szCs w:val="16"/>
        </w:rPr>
        <w:t xml:space="preserve"> of  foreign banks, companies, associations of persons or any other person operating in Pakistan) from Federal Government securities and redeemable capital, as defined in the Companies Ordinance, 1984, (XLVII of 1984) listed on a registered stock exchange, where the investments are made exclusively from foreign exchange remitted into Pakistan through a Special Convertible Rupee Account maintained with a bank in Pakistan.”</w:t>
      </w:r>
    </w:p>
  </w:footnote>
  <w:footnote w:id="1916">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rPr>
        <w:t xml:space="preserve">Clause (88A) </w:t>
      </w:r>
      <w:r w:rsidRPr="00C75159">
        <w:rPr>
          <w:color w:val="000000" w:themeColor="text1"/>
          <w:sz w:val="16"/>
          <w:szCs w:val="16"/>
          <w:lang w:val="en-US"/>
        </w:rPr>
        <w:t>omitted by Finance Act, 2014. The omitted clause (88A) read as follows:</w:t>
      </w:r>
    </w:p>
    <w:p w:rsidR="00BF2117" w:rsidRPr="00C75159" w:rsidRDefault="00BF2117" w:rsidP="000D64D2">
      <w:pPr>
        <w:widowControl w:val="0"/>
        <w:jc w:val="both"/>
        <w:rPr>
          <w:snapToGrid w:val="0"/>
          <w:color w:val="000000" w:themeColor="text1"/>
          <w:sz w:val="16"/>
          <w:szCs w:val="16"/>
        </w:rPr>
      </w:pPr>
      <w:r w:rsidRPr="00C75159">
        <w:rPr>
          <w:color w:val="000000" w:themeColor="text1"/>
          <w:sz w:val="16"/>
          <w:szCs w:val="16"/>
          <w:lang w:val="en-US"/>
        </w:rPr>
        <w:tab/>
        <w:t xml:space="preserve">“ (88A) </w:t>
      </w:r>
      <w:r w:rsidRPr="00C75159">
        <w:rPr>
          <w:snapToGrid w:val="0"/>
          <w:color w:val="000000" w:themeColor="text1"/>
          <w:sz w:val="16"/>
          <w:szCs w:val="16"/>
        </w:rPr>
        <w:t>Notwithstanding omission of clause (88), the existing holders of Federal Government Securities and redeemable capital shall continue to have benefit of exemption till the maturity of the securities and redeemable capital.”</w:t>
      </w:r>
    </w:p>
    <w:p w:rsidR="00BF2117" w:rsidRPr="00866443" w:rsidRDefault="00BF2117" w:rsidP="00AA4BF8">
      <w:pPr>
        <w:pStyle w:val="FootnoteText"/>
        <w:rPr>
          <w:sz w:val="16"/>
          <w:szCs w:val="16"/>
          <w:lang w:val="en-US"/>
        </w:rPr>
      </w:pPr>
    </w:p>
  </w:footnote>
  <w:footnote w:id="1917">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(89) omitted by the Finance Act, 2002. The omitted clause (89) read as follows:</w:t>
      </w:r>
    </w:p>
    <w:p w:rsidR="00BF2117" w:rsidRPr="00866443" w:rsidRDefault="00BF2117" w:rsidP="00AA4BF8">
      <w:pPr>
        <w:keepNext/>
        <w:widowControl w:val="0"/>
        <w:ind w:left="270" w:hanging="90"/>
        <w:jc w:val="both"/>
        <w:rPr>
          <w:snapToGrid w:val="0"/>
          <w:sz w:val="16"/>
          <w:szCs w:val="16"/>
        </w:rPr>
      </w:pPr>
      <w:r w:rsidRPr="00866443">
        <w:rPr>
          <w:snapToGrid w:val="0"/>
          <w:sz w:val="16"/>
          <w:szCs w:val="16"/>
        </w:rPr>
        <w:t>”</w:t>
      </w:r>
      <w:r w:rsidRPr="00866443">
        <w:rPr>
          <w:b/>
          <w:bCs/>
          <w:snapToGrid w:val="0"/>
          <w:sz w:val="16"/>
          <w:szCs w:val="16"/>
        </w:rPr>
        <w:t>(89)</w:t>
      </w:r>
      <w:r w:rsidRPr="00866443">
        <w:rPr>
          <w:snapToGrid w:val="0"/>
          <w:sz w:val="16"/>
          <w:szCs w:val="16"/>
        </w:rPr>
        <w:tab/>
        <w:t>Any income derived by an individual or association of persons from rated and listed Term Finance Certificates being the instruments of redeemable capital under the Companies Ordinance 1984, issued on or after the 14th day of September 1997:</w:t>
      </w:r>
    </w:p>
    <w:p w:rsidR="00BF2117" w:rsidRPr="00866443" w:rsidRDefault="00BF2117" w:rsidP="00AA4BF8">
      <w:pPr>
        <w:pStyle w:val="FootnoteText"/>
        <w:ind w:firstLine="0"/>
        <w:rPr>
          <w:sz w:val="16"/>
          <w:szCs w:val="16"/>
        </w:rPr>
      </w:pPr>
      <w:r w:rsidRPr="00866443">
        <w:rPr>
          <w:snapToGrid w:val="0"/>
          <w:sz w:val="16"/>
          <w:szCs w:val="16"/>
        </w:rPr>
        <w:t>Provided that the exemption under this clause shall not apply in respect of any assessment year commencing on, or after, the first day of July, 2002.”</w:t>
      </w:r>
    </w:p>
  </w:footnote>
  <w:footnote w:id="1918">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(92) omitted by the Finance Act, 2013. The omitted clause (92) read as follows:</w:t>
      </w:r>
    </w:p>
    <w:p w:rsidR="00BF2117" w:rsidRDefault="00BF2117" w:rsidP="00AA4BF8">
      <w:pPr>
        <w:widowControl w:val="0"/>
        <w:ind w:left="90"/>
        <w:jc w:val="both"/>
      </w:pPr>
      <w:r w:rsidRPr="00866443">
        <w:rPr>
          <w:sz w:val="16"/>
          <w:szCs w:val="16"/>
        </w:rPr>
        <w:t>“</w:t>
      </w:r>
      <w:r w:rsidRPr="00866443">
        <w:rPr>
          <w:b/>
          <w:bCs/>
          <w:snapToGrid w:val="0"/>
          <w:sz w:val="16"/>
          <w:szCs w:val="16"/>
        </w:rPr>
        <w:t>(92)</w:t>
      </w:r>
      <w:r w:rsidRPr="00866443">
        <w:rPr>
          <w:snapToGrid w:val="0"/>
          <w:sz w:val="16"/>
          <w:szCs w:val="16"/>
        </w:rPr>
        <w:tab/>
        <w:t xml:space="preserve"> Any income of any university or other educational institution established solely for</w:t>
      </w:r>
      <w:r w:rsidRPr="00412620">
        <w:rPr>
          <w:snapToGrid w:val="0"/>
          <w:sz w:val="16"/>
          <w:szCs w:val="16"/>
        </w:rPr>
        <w:t xml:space="preserve"> educational purposes and not for purposes of profit.”</w:t>
      </w:r>
    </w:p>
  </w:footnote>
  <w:footnote w:id="1919">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lang w:val="en-US"/>
        </w:rPr>
        <w:t>Clause (92 A) omitted by Finance Act, 2014. The omitted clause (92A) read as follows:</w:t>
      </w:r>
    </w:p>
    <w:p w:rsidR="00BF2117" w:rsidRPr="00C75159" w:rsidRDefault="00BF2117" w:rsidP="00866443">
      <w:pPr>
        <w:widowControl w:val="0"/>
        <w:jc w:val="both"/>
        <w:rPr>
          <w:color w:val="000000" w:themeColor="text1"/>
          <w:sz w:val="16"/>
          <w:szCs w:val="16"/>
          <w:lang w:val="en-US"/>
        </w:rPr>
      </w:pPr>
      <w:r w:rsidRPr="00C75159">
        <w:rPr>
          <w:color w:val="000000" w:themeColor="text1"/>
          <w:sz w:val="16"/>
          <w:szCs w:val="16"/>
          <w:lang w:val="en-US"/>
        </w:rPr>
        <w:tab/>
        <w:t>“</w:t>
      </w:r>
      <w:r w:rsidRPr="00C75159">
        <w:rPr>
          <w:rFonts w:cs="Arial"/>
          <w:b/>
          <w:snapToGrid w:val="0"/>
          <w:color w:val="000000" w:themeColor="text1"/>
          <w:sz w:val="16"/>
          <w:szCs w:val="16"/>
        </w:rPr>
        <w:t xml:space="preserve">(92A) </w:t>
      </w:r>
      <w:r w:rsidRPr="00C75159">
        <w:rPr>
          <w:rFonts w:cs="Arial"/>
          <w:snapToGrid w:val="0"/>
          <w:color w:val="000000" w:themeColor="text1"/>
          <w:sz w:val="16"/>
          <w:szCs w:val="16"/>
        </w:rPr>
        <w:t>Any income of any university or any other educational institution established in the most affected and moderately affected areas of Khyber Pakhtunkhwa, FATA and PATA, for a period of two years ending on the 30</w:t>
      </w:r>
      <w:r w:rsidRPr="00C75159">
        <w:rPr>
          <w:rFonts w:cs="Arial"/>
          <w:snapToGrid w:val="0"/>
          <w:color w:val="000000" w:themeColor="text1"/>
          <w:sz w:val="16"/>
          <w:szCs w:val="16"/>
          <w:vertAlign w:val="superscript"/>
        </w:rPr>
        <w:t>th</w:t>
      </w:r>
      <w:r w:rsidRPr="00C75159">
        <w:rPr>
          <w:rFonts w:cs="Arial"/>
          <w:snapToGrid w:val="0"/>
          <w:color w:val="000000" w:themeColor="text1"/>
          <w:sz w:val="16"/>
          <w:szCs w:val="16"/>
        </w:rPr>
        <w:t xml:space="preserve"> day of June, 2011.”</w:t>
      </w:r>
    </w:p>
  </w:footnote>
  <w:footnote w:id="1920">
    <w:p w:rsidR="00BF2117" w:rsidRPr="00C75159" w:rsidRDefault="00BF2117" w:rsidP="00AA4BF8">
      <w:pPr>
        <w:pStyle w:val="FootnoteText"/>
        <w:rPr>
          <w:color w:val="000000" w:themeColor="text1"/>
          <w:sz w:val="16"/>
          <w:szCs w:val="16"/>
        </w:rPr>
      </w:pPr>
      <w:r w:rsidRPr="00C75159">
        <w:rPr>
          <w:rStyle w:val="FootnoteReference"/>
          <w:rFonts w:cs="Arial"/>
          <w:color w:val="000000" w:themeColor="text1"/>
          <w:sz w:val="16"/>
          <w:szCs w:val="16"/>
        </w:rPr>
        <w:footnoteRef/>
      </w:r>
      <w:r w:rsidRPr="00C75159">
        <w:rPr>
          <w:color w:val="000000" w:themeColor="text1"/>
          <w:sz w:val="16"/>
          <w:szCs w:val="16"/>
        </w:rPr>
        <w:t xml:space="preserve"> Clause (93) omitted by the Finance Act, 2011. The omitted clause (93) read as follows:</w:t>
      </w:r>
    </w:p>
    <w:p w:rsidR="00BF2117" w:rsidRPr="00C75159" w:rsidRDefault="00BF2117" w:rsidP="00AA4BF8">
      <w:pPr>
        <w:widowControl w:val="0"/>
        <w:ind w:left="180"/>
        <w:jc w:val="both"/>
        <w:rPr>
          <w:snapToGrid w:val="0"/>
          <w:color w:val="000000" w:themeColor="text1"/>
          <w:sz w:val="16"/>
          <w:szCs w:val="16"/>
        </w:rPr>
      </w:pPr>
      <w:r w:rsidRPr="00C75159">
        <w:rPr>
          <w:color w:val="000000" w:themeColor="text1"/>
          <w:sz w:val="16"/>
          <w:szCs w:val="16"/>
        </w:rPr>
        <w:t>“</w:t>
      </w:r>
      <w:r w:rsidRPr="00C75159">
        <w:rPr>
          <w:b/>
          <w:bCs/>
          <w:snapToGrid w:val="0"/>
          <w:color w:val="000000" w:themeColor="text1"/>
          <w:sz w:val="16"/>
          <w:szCs w:val="16"/>
        </w:rPr>
        <w:t>(93)</w:t>
      </w:r>
      <w:r w:rsidRPr="00C75159">
        <w:rPr>
          <w:snapToGrid w:val="0"/>
          <w:color w:val="000000" w:themeColor="text1"/>
          <w:sz w:val="16"/>
          <w:szCs w:val="16"/>
        </w:rPr>
        <w:tab/>
        <w:t xml:space="preserve"> Profits and gains derived by a taxpayer from the running of any computer training institution or computer training scheme, recognized by a Board of Education or a University or the University Grant Commission, as the case may be, set up between the first day of July, 1997, and the thirtieth day of June, 2005, both days inclusive, for a period of five years beginning with the month in which such institution is set up:</w:t>
      </w:r>
    </w:p>
    <w:p w:rsidR="00BF2117" w:rsidRPr="00C75159" w:rsidRDefault="00BF2117" w:rsidP="00AA4BF8">
      <w:pPr>
        <w:widowControl w:val="0"/>
        <w:ind w:left="1094" w:firstLine="541"/>
        <w:jc w:val="both"/>
        <w:rPr>
          <w:color w:val="000000" w:themeColor="text1"/>
          <w:sz w:val="16"/>
          <w:szCs w:val="16"/>
        </w:rPr>
      </w:pPr>
      <w:r w:rsidRPr="00C75159">
        <w:rPr>
          <w:snapToGrid w:val="0"/>
          <w:color w:val="000000" w:themeColor="text1"/>
          <w:sz w:val="16"/>
          <w:szCs w:val="16"/>
        </w:rPr>
        <w:t xml:space="preserve">Provided that a computer training institution or computer training scheme approved by the Central Board of  Revenue before the first day of July, 2000 shall continue to avail exemption under this clause till the expiry of the specified period.” </w:t>
      </w:r>
    </w:p>
  </w:footnote>
  <w:footnote w:id="1921">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lang w:val="en-US"/>
        </w:rPr>
        <w:t>Clause (93 A) omitted by Finance Act, 2014. The Omitted clause (93A) read as follows:</w:t>
      </w:r>
    </w:p>
    <w:p w:rsidR="00BF2117" w:rsidRPr="00C75159" w:rsidRDefault="00BF2117" w:rsidP="00866443">
      <w:pPr>
        <w:widowControl w:val="0"/>
        <w:jc w:val="both"/>
        <w:rPr>
          <w:color w:val="000000" w:themeColor="text1"/>
          <w:sz w:val="16"/>
          <w:szCs w:val="16"/>
          <w:lang w:val="en-US"/>
        </w:rPr>
      </w:pPr>
      <w:r w:rsidRPr="00866443">
        <w:rPr>
          <w:sz w:val="16"/>
          <w:szCs w:val="16"/>
          <w:lang w:val="en-US"/>
        </w:rPr>
        <w:tab/>
      </w:r>
      <w:r w:rsidRPr="00C75159">
        <w:rPr>
          <w:color w:val="000000" w:themeColor="text1"/>
          <w:sz w:val="16"/>
          <w:szCs w:val="16"/>
          <w:lang w:val="en-US"/>
        </w:rPr>
        <w:t>“</w:t>
      </w:r>
      <w:r w:rsidRPr="00C75159">
        <w:rPr>
          <w:snapToGrid w:val="0"/>
          <w:color w:val="000000" w:themeColor="text1"/>
          <w:sz w:val="16"/>
          <w:szCs w:val="16"/>
        </w:rPr>
        <w:t>(</w:t>
      </w:r>
      <w:r w:rsidRPr="00C75159">
        <w:rPr>
          <w:b/>
          <w:bCs/>
          <w:snapToGrid w:val="0"/>
          <w:color w:val="000000" w:themeColor="text1"/>
          <w:sz w:val="16"/>
          <w:szCs w:val="16"/>
        </w:rPr>
        <w:t>93A</w:t>
      </w:r>
      <w:r w:rsidRPr="00C75159">
        <w:rPr>
          <w:snapToGrid w:val="0"/>
          <w:color w:val="000000" w:themeColor="text1"/>
          <w:sz w:val="16"/>
          <w:szCs w:val="16"/>
        </w:rPr>
        <w:t>) Profits and gains derived by a taxpayer from the running of any vocational institute or technical institute or poly-technical institute, recognized by a Board of Technical Education or a university or any other authority appointed in this behalf by the Federal Government or a Provincial Government, as the case may be, set up between the first day of July, 2004, and the thirtieth day of June, 2008, both days inclusive, for a period of five years beginning from the tax year in which such institution is recognized.”</w:t>
      </w:r>
    </w:p>
  </w:footnote>
  <w:footnote w:id="1922">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(94) omitted by the Finance Act, 2002. The omitted clause (94) read as follows:</w:t>
      </w:r>
    </w:p>
    <w:p w:rsidR="00BF2117" w:rsidRPr="00866443" w:rsidRDefault="00BF2117" w:rsidP="00AA4BF8">
      <w:pPr>
        <w:widowControl w:val="0"/>
        <w:ind w:left="180"/>
        <w:jc w:val="both"/>
        <w:rPr>
          <w:sz w:val="16"/>
          <w:szCs w:val="16"/>
        </w:rPr>
      </w:pPr>
      <w:r w:rsidRPr="00866443">
        <w:rPr>
          <w:sz w:val="16"/>
          <w:szCs w:val="16"/>
        </w:rPr>
        <w:t>“</w:t>
      </w:r>
      <w:r w:rsidRPr="00866443">
        <w:rPr>
          <w:b/>
          <w:bCs/>
          <w:snapToGrid w:val="0"/>
          <w:sz w:val="16"/>
          <w:szCs w:val="16"/>
        </w:rPr>
        <w:t>(94)</w:t>
      </w:r>
      <w:r w:rsidRPr="00866443">
        <w:rPr>
          <w:snapToGrid w:val="0"/>
          <w:sz w:val="16"/>
          <w:szCs w:val="16"/>
        </w:rPr>
        <w:tab/>
        <w:t>Any amount paid by way of Federal Educational Fee or expended on setting up and managing or running of a middle, high or technical school in accordance with the conditions laid down in the Federal Education Fee Scheme.”</w:t>
      </w:r>
    </w:p>
  </w:footnote>
  <w:footnote w:id="1923">
    <w:p w:rsidR="00BF2117" w:rsidRPr="00866443" w:rsidRDefault="00BF2117" w:rsidP="00AA4BF8">
      <w:pPr>
        <w:pStyle w:val="FootnoteText"/>
        <w:jc w:val="both"/>
        <w:rPr>
          <w:sz w:val="16"/>
          <w:szCs w:val="16"/>
        </w:rPr>
      </w:pPr>
      <w:r w:rsidRPr="00866443">
        <w:rPr>
          <w:rStyle w:val="FootnoteReference"/>
          <w:rFonts w:cs="Arial"/>
          <w:sz w:val="16"/>
          <w:szCs w:val="16"/>
        </w:rPr>
        <w:footnoteRef/>
      </w:r>
      <w:r w:rsidRPr="00866443">
        <w:rPr>
          <w:sz w:val="16"/>
          <w:szCs w:val="16"/>
        </w:rPr>
        <w:t xml:space="preserve"> Clause (95) omitted by the Finance Act, 2006. The omitted clause (95) read as follows:</w:t>
      </w:r>
    </w:p>
    <w:p w:rsidR="00BF2117" w:rsidRPr="00866443" w:rsidRDefault="00BF2117" w:rsidP="00AA4BF8">
      <w:pPr>
        <w:pStyle w:val="FootnoteText"/>
        <w:ind w:hanging="630"/>
        <w:jc w:val="both"/>
        <w:rPr>
          <w:sz w:val="16"/>
          <w:szCs w:val="16"/>
        </w:rPr>
      </w:pPr>
      <w:r w:rsidRPr="00866443">
        <w:rPr>
          <w:sz w:val="16"/>
          <w:szCs w:val="16"/>
        </w:rPr>
        <w:t>“</w:t>
      </w:r>
      <w:r w:rsidRPr="00866443">
        <w:rPr>
          <w:b/>
          <w:bCs/>
          <w:snapToGrid w:val="0"/>
          <w:sz w:val="16"/>
          <w:szCs w:val="16"/>
        </w:rPr>
        <w:t>(95)</w:t>
      </w:r>
      <w:r w:rsidRPr="00866443">
        <w:rPr>
          <w:snapToGrid w:val="0"/>
          <w:sz w:val="16"/>
          <w:szCs w:val="16"/>
        </w:rPr>
        <w:t xml:space="preserve"> Any income derived by the Pakistan Council of Scientific and Industrial Research.”</w:t>
      </w:r>
    </w:p>
  </w:footnote>
  <w:footnote w:id="1924">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Omitted by the Finance Act, 2006. The omitted clause (96) read as follows:</w:t>
      </w:r>
    </w:p>
    <w:p w:rsidR="00BF2117" w:rsidRPr="00866443" w:rsidRDefault="00BF2117" w:rsidP="00AA4BF8">
      <w:pPr>
        <w:pStyle w:val="FootnoteText"/>
        <w:ind w:hanging="630"/>
        <w:jc w:val="both"/>
        <w:rPr>
          <w:sz w:val="16"/>
          <w:szCs w:val="16"/>
        </w:rPr>
      </w:pPr>
      <w:r w:rsidRPr="00866443">
        <w:rPr>
          <w:sz w:val="16"/>
          <w:szCs w:val="16"/>
        </w:rPr>
        <w:t>“</w:t>
      </w:r>
      <w:r w:rsidRPr="00866443">
        <w:rPr>
          <w:b/>
          <w:bCs/>
          <w:snapToGrid w:val="0"/>
          <w:sz w:val="16"/>
          <w:szCs w:val="16"/>
        </w:rPr>
        <w:t>(96)</w:t>
      </w:r>
      <w:r w:rsidRPr="00866443">
        <w:rPr>
          <w:snapToGrid w:val="0"/>
          <w:sz w:val="16"/>
          <w:szCs w:val="16"/>
        </w:rPr>
        <w:t xml:space="preserve"> Any income derived by the Institution of Engineers, Pakistan, Lahore.”</w:t>
      </w:r>
    </w:p>
  </w:footnote>
  <w:footnote w:id="1925">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(97) omitted by the Finance Act, 2006. The omitted clause (97) read as follows:</w:t>
      </w:r>
    </w:p>
    <w:p w:rsidR="00BF2117" w:rsidRPr="00866443" w:rsidRDefault="00BF2117" w:rsidP="00AA4BF8">
      <w:pPr>
        <w:pStyle w:val="FootnoteText"/>
        <w:ind w:hanging="630"/>
        <w:jc w:val="both"/>
        <w:rPr>
          <w:sz w:val="16"/>
          <w:szCs w:val="16"/>
        </w:rPr>
      </w:pPr>
      <w:r w:rsidRPr="00866443">
        <w:rPr>
          <w:sz w:val="16"/>
          <w:szCs w:val="16"/>
        </w:rPr>
        <w:t>“</w:t>
      </w:r>
      <w:r w:rsidRPr="00866443">
        <w:rPr>
          <w:b/>
          <w:bCs/>
          <w:snapToGrid w:val="0"/>
          <w:sz w:val="16"/>
          <w:szCs w:val="16"/>
        </w:rPr>
        <w:t>(97)</w:t>
      </w:r>
      <w:r w:rsidRPr="00866443">
        <w:rPr>
          <w:snapToGrid w:val="0"/>
          <w:sz w:val="16"/>
          <w:szCs w:val="16"/>
        </w:rPr>
        <w:t xml:space="preserve"> Income of Pakistan Agricultural Research Council, Islamabad.”</w:t>
      </w:r>
    </w:p>
  </w:footnote>
  <w:footnote w:id="1926">
    <w:p w:rsidR="00BF2117" w:rsidRPr="00C00E0C" w:rsidRDefault="00BF2117">
      <w:pPr>
        <w:pStyle w:val="FootnoteText"/>
        <w:rPr>
          <w:color w:val="FF0000"/>
          <w:sz w:val="16"/>
          <w:szCs w:val="16"/>
          <w:lang w:val="en-US"/>
        </w:rPr>
      </w:pPr>
      <w:r w:rsidRPr="00D47C20">
        <w:rPr>
          <w:rStyle w:val="FootnoteReference"/>
          <w:color w:val="0070C0"/>
          <w:sz w:val="16"/>
          <w:szCs w:val="16"/>
        </w:rPr>
        <w:footnoteRef/>
      </w:r>
      <w:r w:rsidRPr="00D47C20">
        <w:rPr>
          <w:color w:val="0070C0"/>
          <w:sz w:val="16"/>
          <w:szCs w:val="16"/>
        </w:rPr>
        <w:t xml:space="preserve"> Inserted by the Finance Act, 2016</w:t>
      </w:r>
      <w:r>
        <w:rPr>
          <w:color w:val="FF0000"/>
          <w:sz w:val="16"/>
          <w:szCs w:val="16"/>
        </w:rPr>
        <w:t>.</w:t>
      </w:r>
    </w:p>
  </w:footnote>
  <w:footnote w:id="1927">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The words “by Government” omitted by the Finance Act, 2003.</w:t>
      </w:r>
    </w:p>
  </w:footnote>
  <w:footnote w:id="1928">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Full stop substituted by the Finance Act, 2008.</w:t>
      </w:r>
    </w:p>
  </w:footnote>
  <w:footnote w:id="1929">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Inserted by the Finance Act, 2008.</w:t>
      </w:r>
    </w:p>
  </w:footnote>
  <w:footnote w:id="1930">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(98A) omitted by the Finance Act, 2013. The omitted clause (98A) read as follows:</w:t>
      </w:r>
    </w:p>
    <w:p w:rsidR="00BF2117" w:rsidRPr="00866443" w:rsidRDefault="00BF2117" w:rsidP="00AA4BF8">
      <w:pPr>
        <w:pStyle w:val="FootnoteText"/>
        <w:ind w:left="270" w:hanging="90"/>
        <w:jc w:val="both"/>
        <w:rPr>
          <w:sz w:val="16"/>
          <w:szCs w:val="16"/>
        </w:rPr>
      </w:pPr>
      <w:r w:rsidRPr="00866443">
        <w:rPr>
          <w:sz w:val="16"/>
          <w:szCs w:val="16"/>
        </w:rPr>
        <w:t>“(98A)</w:t>
      </w:r>
      <w:r w:rsidRPr="00866443">
        <w:rPr>
          <w:sz w:val="16"/>
          <w:szCs w:val="16"/>
        </w:rPr>
        <w:tab/>
        <w:t>Any income derived by International Cricket Council Development (International) Limited (IDI), International Cricket Council (ICC), employees, officials, agents and representatives of IDI and ICC officials from ICC members, players, coaches, medical doctors and officials of member countries, IDI partners and media representatives, other than persons who are resident of Pakistan, from ICC champions Trophy, 2001 hosted in Pakistan”</w:t>
      </w:r>
    </w:p>
  </w:footnote>
  <w:footnote w:id="1931">
    <w:p w:rsidR="00BF2117" w:rsidRPr="00866443" w:rsidRDefault="00BF2117" w:rsidP="0077798F">
      <w:pPr>
        <w:pStyle w:val="FootnoteText"/>
        <w:ind w:left="180" w:hanging="180"/>
        <w:rPr>
          <w:sz w:val="16"/>
          <w:szCs w:val="16"/>
          <w:lang w:val="en-US"/>
        </w:rPr>
      </w:pPr>
      <w:r w:rsidRPr="00866443">
        <w:rPr>
          <w:rStyle w:val="FootnoteReference"/>
          <w:sz w:val="16"/>
          <w:szCs w:val="16"/>
        </w:rPr>
        <w:footnoteRef/>
      </w:r>
      <w:r w:rsidRPr="00866443">
        <w:rPr>
          <w:sz w:val="16"/>
          <w:szCs w:val="16"/>
          <w:lang w:val="en-US"/>
        </w:rPr>
        <w:t>Clause (99) substituted by the Finance Act, 2008. Earlier it was substituted by SRO 728(I)/2002 dated 23.10.2002. The substituted clause (99) read as follows:</w:t>
      </w:r>
    </w:p>
    <w:p w:rsidR="00BF2117" w:rsidRPr="00866443" w:rsidRDefault="00BF2117" w:rsidP="004B7EDB">
      <w:pPr>
        <w:autoSpaceDE w:val="0"/>
        <w:autoSpaceDN w:val="0"/>
        <w:adjustRightInd w:val="0"/>
        <w:rPr>
          <w:sz w:val="16"/>
          <w:szCs w:val="16"/>
          <w:lang w:val="en-US"/>
        </w:rPr>
      </w:pPr>
      <w:r w:rsidRPr="00866443">
        <w:rPr>
          <w:sz w:val="16"/>
          <w:szCs w:val="16"/>
          <w:lang w:val="en-US"/>
        </w:rPr>
        <w:tab/>
        <w:t>“(99)</w:t>
      </w:r>
      <w:r w:rsidRPr="00866443">
        <w:rPr>
          <w:sz w:val="16"/>
          <w:szCs w:val="16"/>
          <w:lang w:val="en-US"/>
        </w:rPr>
        <w:tab/>
        <w:t xml:space="preserve">Any income derived by a mutual fund or an investment company registered under the Non Banking finance companies (Establishment and Regulation) Rules, 2003, or a unit trust scheme constituted by an assets management company registered under the Assets Management companies Rules, 1995, or a Real Estate Investment Trust approved an authorized under Real Estate Investment Trust Rules, 2006, established and managed by a REIT Management Company licensed under the Real Estate Investment Trust Rules, 2006, if not less than ninety percent of its accounting income of that year, as reduced by capital gains whether realized or unrealized, is distributed amongst the unit or certificate holders or shareholders as the case may be:” </w:t>
      </w:r>
    </w:p>
    <w:p w:rsidR="00BF2117" w:rsidRPr="00866443" w:rsidRDefault="00BF2117" w:rsidP="004B7EDB">
      <w:pPr>
        <w:autoSpaceDE w:val="0"/>
        <w:autoSpaceDN w:val="0"/>
        <w:adjustRightInd w:val="0"/>
        <w:rPr>
          <w:sz w:val="16"/>
          <w:szCs w:val="16"/>
          <w:lang w:val="en-US"/>
        </w:rPr>
      </w:pPr>
      <w:r w:rsidRPr="00866443">
        <w:rPr>
          <w:sz w:val="16"/>
          <w:szCs w:val="16"/>
          <w:lang w:val="en-US"/>
        </w:rPr>
        <w:t>The original Clause (99) read as under:</w:t>
      </w:r>
    </w:p>
    <w:p w:rsidR="00BF2117" w:rsidRPr="00866443" w:rsidRDefault="00BF2117" w:rsidP="004B7EDB">
      <w:pPr>
        <w:autoSpaceDE w:val="0"/>
        <w:autoSpaceDN w:val="0"/>
        <w:adjustRightInd w:val="0"/>
        <w:rPr>
          <w:rFonts w:cs="Arial"/>
          <w:color w:val="231F20"/>
          <w:sz w:val="16"/>
          <w:szCs w:val="16"/>
          <w:lang w:val="en-US"/>
        </w:rPr>
      </w:pPr>
      <w:r w:rsidRPr="00866443">
        <w:rPr>
          <w:sz w:val="16"/>
          <w:szCs w:val="16"/>
          <w:lang w:val="en-US"/>
        </w:rPr>
        <w:t>“(99)</w:t>
      </w:r>
      <w:r w:rsidRPr="00866443">
        <w:rPr>
          <w:sz w:val="16"/>
          <w:szCs w:val="16"/>
          <w:lang w:val="en-US"/>
        </w:rPr>
        <w:tab/>
        <w:t>Any income derived by a Mutual Fund or an investment company registered under the Investment companies and Investment Advisors Rules, 1971 or a unit trust scheme constituted by an asset management company registered under the Assets Management companies rules, 1995, if not less than ninety percent of its income of that year is distributed amongst the unit or certificate holders or shareholders, as the case may be.”</w:t>
      </w:r>
    </w:p>
  </w:footnote>
  <w:footnote w:id="1932">
    <w:p w:rsidR="00BF2117" w:rsidRPr="00C75159" w:rsidRDefault="00BF2117" w:rsidP="00955CEE">
      <w:pPr>
        <w:widowControl w:val="0"/>
        <w:jc w:val="both"/>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rPr>
        <w:t>F</w:t>
      </w:r>
      <w:r w:rsidRPr="00C75159">
        <w:rPr>
          <w:iCs/>
          <w:snapToGrid w:val="0"/>
          <w:color w:val="000000" w:themeColor="text1"/>
          <w:sz w:val="16"/>
          <w:szCs w:val="16"/>
        </w:rPr>
        <w:t>ull stop at the end substituted by a colon and a proviso added by the Finance Act, 2014.</w:t>
      </w:r>
    </w:p>
  </w:footnote>
  <w:footnote w:id="1933">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Inserted by the Finance Act, 2007.</w:t>
      </w:r>
    </w:p>
  </w:footnote>
  <w:footnote w:id="1934">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The words “read estate investment trust” substituted by the Finance Act, 2008.</w:t>
      </w:r>
    </w:p>
  </w:footnote>
  <w:footnote w:id="1935">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The figure “2010” substituted by the Finance Act, 2010.</w:t>
      </w:r>
    </w:p>
  </w:footnote>
  <w:footnote w:id="1936">
    <w:p w:rsidR="00BF2117" w:rsidRPr="00967790" w:rsidRDefault="00BF2117">
      <w:pPr>
        <w:pStyle w:val="FootnoteText"/>
        <w:rPr>
          <w:lang w:val="en-US"/>
        </w:rPr>
      </w:pPr>
      <w:r>
        <w:rPr>
          <w:rStyle w:val="FootnoteReference"/>
        </w:rPr>
        <w:footnoteRef/>
      </w:r>
      <w:r w:rsidRPr="00967790">
        <w:rPr>
          <w:sz w:val="16"/>
          <w:szCs w:val="16"/>
        </w:rPr>
        <w:t>Full stop substituted</w:t>
      </w:r>
      <w:r>
        <w:rPr>
          <w:sz w:val="16"/>
          <w:szCs w:val="16"/>
        </w:rPr>
        <w:t xml:space="preserve"> by the Finance Act, 2015</w:t>
      </w:r>
    </w:p>
  </w:footnote>
  <w:footnote w:id="1937">
    <w:p w:rsidR="00BF2117" w:rsidRPr="004C6178" w:rsidRDefault="00BF2117">
      <w:pPr>
        <w:pStyle w:val="FootnoteText"/>
        <w:rPr>
          <w:sz w:val="16"/>
          <w:szCs w:val="16"/>
          <w:lang w:val="en-US"/>
        </w:rPr>
      </w:pPr>
      <w:r w:rsidRPr="004C6178">
        <w:rPr>
          <w:rStyle w:val="FootnoteReference"/>
          <w:sz w:val="16"/>
          <w:szCs w:val="16"/>
        </w:rPr>
        <w:footnoteRef/>
      </w:r>
      <w:r>
        <w:rPr>
          <w:sz w:val="16"/>
          <w:szCs w:val="16"/>
        </w:rPr>
        <w:t>Added by the Finance Act, 2015.</w:t>
      </w:r>
    </w:p>
  </w:footnote>
  <w:footnote w:id="1938">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Semi-colon substituted by the Finance Act, 2003.</w:t>
      </w:r>
    </w:p>
  </w:footnote>
  <w:footnote w:id="1939">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The word “thereafter” substituted by the Finance Act, 2003.</w:t>
      </w:r>
    </w:p>
  </w:footnote>
  <w:footnote w:id="1940">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The figure “2014” substituted by the Finance Act, 2012.</w:t>
      </w:r>
    </w:p>
  </w:footnote>
  <w:footnote w:id="1941">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Inserted by the Finance Act, 2007.</w:t>
      </w:r>
    </w:p>
  </w:footnote>
  <w:footnote w:id="1942">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(102) omitted by  the Finance Act, 2010. The omitted clause (102) read as follows:</w:t>
      </w:r>
    </w:p>
    <w:p w:rsidR="00BF2117" w:rsidRPr="00866443" w:rsidRDefault="00BF2117" w:rsidP="00AA4BF8">
      <w:pPr>
        <w:widowControl w:val="0"/>
        <w:ind w:left="180"/>
        <w:jc w:val="both"/>
        <w:rPr>
          <w:sz w:val="16"/>
          <w:szCs w:val="16"/>
        </w:rPr>
      </w:pPr>
      <w:r w:rsidRPr="00866443">
        <w:rPr>
          <w:sz w:val="16"/>
          <w:szCs w:val="16"/>
        </w:rPr>
        <w:t>“</w:t>
      </w:r>
      <w:r w:rsidRPr="00866443">
        <w:rPr>
          <w:b/>
          <w:bCs/>
          <w:snapToGrid w:val="0"/>
          <w:sz w:val="16"/>
          <w:szCs w:val="16"/>
        </w:rPr>
        <w:t xml:space="preserve">(102)  </w:t>
      </w:r>
      <w:r w:rsidRPr="00866443">
        <w:rPr>
          <w:snapToGrid w:val="0"/>
          <w:sz w:val="16"/>
          <w:szCs w:val="16"/>
        </w:rPr>
        <w:t>Any dividend received by the Investment Corporation of Pakistan from any other company which has paid or will pay tax in respect of the profits out of which such dividends are paid.”</w:t>
      </w:r>
    </w:p>
  </w:footnote>
  <w:footnote w:id="1943">
    <w:p w:rsidR="00BF2117" w:rsidRPr="00866443" w:rsidRDefault="00BF2117" w:rsidP="0071144E">
      <w:pPr>
        <w:pStyle w:val="FootnoteText"/>
        <w:ind w:left="180" w:hanging="180"/>
        <w:rPr>
          <w:sz w:val="16"/>
          <w:szCs w:val="16"/>
        </w:rPr>
      </w:pPr>
      <w:r w:rsidRPr="00866443">
        <w:rPr>
          <w:rStyle w:val="FootnoteReference"/>
          <w:sz w:val="16"/>
          <w:szCs w:val="16"/>
        </w:rPr>
        <w:footnoteRef/>
      </w:r>
      <w:r w:rsidRPr="00866443">
        <w:rPr>
          <w:sz w:val="16"/>
          <w:szCs w:val="16"/>
        </w:rPr>
        <w:t xml:space="preserve"> Clause (102A) inserted by the Finance Act, 2006. </w:t>
      </w:r>
    </w:p>
  </w:footnote>
  <w:footnote w:id="1944">
    <w:p w:rsidR="00BF2117" w:rsidRPr="00866443" w:rsidRDefault="00BF2117" w:rsidP="00AA4BF8">
      <w:pPr>
        <w:pStyle w:val="FootnoteText"/>
        <w:rPr>
          <w:sz w:val="16"/>
          <w:szCs w:val="16"/>
          <w:lang w:val="en-US"/>
        </w:rPr>
      </w:pPr>
      <w:r w:rsidRPr="00866443">
        <w:rPr>
          <w:rStyle w:val="FootnoteReference"/>
          <w:rFonts w:cs="Arial"/>
          <w:sz w:val="16"/>
          <w:szCs w:val="16"/>
        </w:rPr>
        <w:footnoteRef/>
      </w:r>
      <w:r w:rsidRPr="00866443">
        <w:rPr>
          <w:sz w:val="16"/>
          <w:szCs w:val="16"/>
          <w:lang w:val="en-US"/>
        </w:rPr>
        <w:t>Clause (103) substituted by the Finance Act, 2008. The substituted clause (103) read as follows:</w:t>
      </w:r>
    </w:p>
    <w:p w:rsidR="00BF2117" w:rsidRPr="00866443" w:rsidRDefault="00BF2117" w:rsidP="007A51A6">
      <w:pPr>
        <w:widowControl w:val="0"/>
        <w:ind w:left="180" w:hanging="90"/>
        <w:jc w:val="both"/>
        <w:rPr>
          <w:sz w:val="16"/>
          <w:szCs w:val="16"/>
        </w:rPr>
      </w:pPr>
      <w:r w:rsidRPr="00866443">
        <w:rPr>
          <w:sz w:val="16"/>
          <w:szCs w:val="16"/>
          <w:lang w:val="en-US"/>
        </w:rPr>
        <w:t>“</w:t>
      </w:r>
      <w:r w:rsidRPr="00866443">
        <w:rPr>
          <w:b/>
          <w:bCs/>
          <w:snapToGrid w:val="0"/>
          <w:sz w:val="16"/>
          <w:szCs w:val="16"/>
        </w:rPr>
        <w:t xml:space="preserve">(103)  </w:t>
      </w:r>
      <w:r w:rsidRPr="00866443">
        <w:rPr>
          <w:snapToGrid w:val="0"/>
          <w:sz w:val="16"/>
          <w:szCs w:val="16"/>
        </w:rPr>
        <w:t xml:space="preserve">Any distribution received by a taxpayer from the National Investment (Unit) Trust or </w:t>
      </w:r>
      <w:r w:rsidRPr="00866443">
        <w:rPr>
          <w:rStyle w:val="FootnoteReference"/>
          <w:rFonts w:cs="Arial"/>
          <w:snapToGrid w:val="0"/>
          <w:sz w:val="16"/>
          <w:szCs w:val="16"/>
        </w:rPr>
        <w:footnoteRef/>
      </w:r>
      <w:r w:rsidRPr="00866443">
        <w:rPr>
          <w:snapToGrid w:val="0"/>
          <w:sz w:val="16"/>
          <w:szCs w:val="16"/>
        </w:rPr>
        <w:t xml:space="preserve">[a collective Investment Scheme authorized or registered under the Non-Banking Finance Companies (Establishment and Regulation) Rules, 2003] </w:t>
      </w:r>
      <w:r w:rsidRPr="00866443">
        <w:rPr>
          <w:rStyle w:val="FootnoteReference"/>
          <w:rFonts w:cs="Arial"/>
          <w:snapToGrid w:val="0"/>
          <w:sz w:val="16"/>
          <w:szCs w:val="16"/>
        </w:rPr>
        <w:footnoteRef/>
      </w:r>
      <w:r w:rsidRPr="00866443">
        <w:rPr>
          <w:snapToGrid w:val="0"/>
          <w:sz w:val="16"/>
          <w:szCs w:val="16"/>
        </w:rPr>
        <w:t>[or a Private Equity and Venture Capital Fund] out of the capital gains of the said Trust or Fund on which tax has already been paid.”</w:t>
      </w:r>
    </w:p>
  </w:footnote>
  <w:footnote w:id="1945">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Full stop substituted by the Finance Act, 2010.</w:t>
      </w:r>
    </w:p>
  </w:footnote>
  <w:footnote w:id="1946">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Added by the Finance Act, 2010.</w:t>
      </w:r>
    </w:p>
  </w:footnote>
  <w:footnote w:id="1947">
    <w:p w:rsidR="00BF2117" w:rsidRDefault="00BF2117" w:rsidP="00AA4BF8">
      <w:pPr>
        <w:pStyle w:val="FootnoteText"/>
      </w:pPr>
      <w:r w:rsidRPr="00866443">
        <w:rPr>
          <w:rStyle w:val="FootnoteReference"/>
          <w:rFonts w:cs="Arial"/>
          <w:sz w:val="16"/>
          <w:szCs w:val="16"/>
        </w:rPr>
        <w:footnoteRef/>
      </w:r>
      <w:r w:rsidRPr="00866443">
        <w:rPr>
          <w:sz w:val="16"/>
          <w:szCs w:val="16"/>
          <w:lang w:val="en-US"/>
        </w:rPr>
        <w:t>Inserted by the Finance Act, 2007.</w:t>
      </w:r>
    </w:p>
  </w:footnote>
  <w:footnote w:id="1948">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Inserted by the Finance Act, 2008.</w:t>
      </w:r>
    </w:p>
  </w:footnote>
  <w:footnote w:id="1949">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Expression “or section 59B” omitted by the Finance Act, 2016.</w:t>
      </w:r>
    </w:p>
  </w:footnote>
  <w:footnote w:id="1950">
    <w:p w:rsidR="00BF2117" w:rsidRPr="00580434" w:rsidRDefault="00BF2117">
      <w:pPr>
        <w:pStyle w:val="FootnoteText"/>
        <w:rPr>
          <w:sz w:val="16"/>
          <w:szCs w:val="16"/>
          <w:lang w:val="en-US"/>
        </w:rPr>
      </w:pPr>
      <w:r w:rsidRPr="00580434">
        <w:rPr>
          <w:rStyle w:val="FootnoteReference"/>
          <w:sz w:val="16"/>
          <w:szCs w:val="16"/>
        </w:rPr>
        <w:footnoteRef/>
      </w:r>
      <w:r>
        <w:rPr>
          <w:sz w:val="16"/>
          <w:szCs w:val="16"/>
        </w:rPr>
        <w:t xml:space="preserve">Inserted </w:t>
      </w:r>
      <w:r w:rsidRPr="00580434">
        <w:rPr>
          <w:sz w:val="16"/>
          <w:szCs w:val="16"/>
        </w:rPr>
        <w:t>by the</w:t>
      </w:r>
      <w:r>
        <w:rPr>
          <w:sz w:val="16"/>
          <w:szCs w:val="16"/>
        </w:rPr>
        <w:t xml:space="preserve"> Finance Act, 2015.</w:t>
      </w:r>
    </w:p>
  </w:footnote>
  <w:footnote w:id="1951">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(103B) omitted by the Finance Act, 2013. The omitted clause (103B) read as follows:</w:t>
      </w:r>
    </w:p>
    <w:p w:rsidR="00BF2117" w:rsidRPr="00866443" w:rsidRDefault="00BF2117" w:rsidP="00AA4BF8">
      <w:pPr>
        <w:widowControl w:val="0"/>
        <w:ind w:left="180" w:hanging="90"/>
        <w:jc w:val="both"/>
        <w:rPr>
          <w:snapToGrid w:val="0"/>
          <w:sz w:val="16"/>
          <w:szCs w:val="16"/>
        </w:rPr>
      </w:pPr>
      <w:r w:rsidRPr="00866443">
        <w:rPr>
          <w:sz w:val="16"/>
          <w:szCs w:val="16"/>
        </w:rPr>
        <w:t>“</w:t>
      </w:r>
      <w:r w:rsidRPr="00866443">
        <w:rPr>
          <w:b/>
          <w:bCs/>
          <w:snapToGrid w:val="0"/>
          <w:sz w:val="16"/>
          <w:szCs w:val="16"/>
        </w:rPr>
        <w:t>(103B)</w:t>
      </w:r>
      <w:r w:rsidRPr="00866443">
        <w:rPr>
          <w:snapToGrid w:val="0"/>
          <w:sz w:val="16"/>
          <w:szCs w:val="16"/>
        </w:rPr>
        <w:t xml:space="preserve"> Any dividend in specie derived in the form of shares in a company, as defined in the Companies Ordinance, 1984 (XLVII of 1984):</w:t>
      </w:r>
    </w:p>
    <w:p w:rsidR="00BF2117" w:rsidRPr="00866443" w:rsidRDefault="00BF2117" w:rsidP="00AA4BF8">
      <w:pPr>
        <w:widowControl w:val="0"/>
        <w:ind w:left="1094" w:firstLine="541"/>
        <w:jc w:val="both"/>
        <w:rPr>
          <w:sz w:val="16"/>
          <w:szCs w:val="16"/>
        </w:rPr>
      </w:pPr>
      <w:r w:rsidRPr="00866443">
        <w:rPr>
          <w:snapToGrid w:val="0"/>
          <w:sz w:val="16"/>
          <w:szCs w:val="16"/>
        </w:rPr>
        <w:t>Provided that when such shares are disposed off by the recipient, the amount representing the dividend in specie shall be taxed in accordance with provisions of section 5 of this Ordinance and the amount, representing the difference between the consideration received and the amount hereinabove, shall be treated in accordance with provisions of section 37 or section 37A, as the case may be.”</w:t>
      </w:r>
    </w:p>
  </w:footnote>
  <w:footnote w:id="1952">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Inserted by S.R.O. 749(I)/2004, dated 30.08.2004.</w:t>
      </w:r>
    </w:p>
  </w:footnote>
  <w:footnote w:id="1953">
    <w:p w:rsidR="00BF2117" w:rsidRPr="00866443" w:rsidRDefault="00BF2117">
      <w:pPr>
        <w:pStyle w:val="FootnoteText"/>
        <w:rPr>
          <w:sz w:val="16"/>
          <w:szCs w:val="16"/>
          <w:lang w:val="en-US"/>
        </w:rPr>
      </w:pPr>
      <w:r w:rsidRPr="00866443">
        <w:rPr>
          <w:rStyle w:val="FootnoteReference"/>
          <w:sz w:val="16"/>
          <w:szCs w:val="16"/>
        </w:rPr>
        <w:footnoteRef/>
      </w:r>
      <w:r w:rsidRPr="00866443">
        <w:rPr>
          <w:sz w:val="16"/>
          <w:szCs w:val="16"/>
        </w:rPr>
        <w:t xml:space="preserve"> Clause (105B) inserted by the SRO 106(I)/2008, dated 01.02. 2008.</w:t>
      </w:r>
    </w:p>
  </w:footnote>
  <w:footnote w:id="1954">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(106) omitted by the Finance Act, 2006. The omitted clause (106) read as follows:-</w:t>
      </w:r>
    </w:p>
    <w:p w:rsidR="00BF2117" w:rsidRPr="00866443" w:rsidRDefault="00BF2117" w:rsidP="00AA4BF8">
      <w:pPr>
        <w:widowControl w:val="0"/>
        <w:ind w:left="180"/>
        <w:jc w:val="both"/>
        <w:rPr>
          <w:sz w:val="16"/>
          <w:szCs w:val="16"/>
        </w:rPr>
      </w:pPr>
      <w:r w:rsidRPr="00866443">
        <w:rPr>
          <w:sz w:val="16"/>
          <w:szCs w:val="16"/>
        </w:rPr>
        <w:t>“</w:t>
      </w:r>
      <w:r w:rsidRPr="00866443">
        <w:rPr>
          <w:b/>
          <w:bCs/>
          <w:snapToGrid w:val="0"/>
          <w:sz w:val="16"/>
          <w:szCs w:val="16"/>
        </w:rPr>
        <w:t xml:space="preserve">(106)  </w:t>
      </w:r>
      <w:r w:rsidRPr="00866443">
        <w:rPr>
          <w:snapToGrid w:val="0"/>
          <w:sz w:val="16"/>
          <w:szCs w:val="16"/>
        </w:rPr>
        <w:t>Any income derived by the Pakistan Water and Power Development Authority, established under the Pakistan Water and Power Development Authority Act, 1958 (West Pakistan Act. No. XXXI of 1958).”</w:t>
      </w:r>
    </w:p>
  </w:footnote>
  <w:footnote w:id="1955">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(106A) omitted by the Finance Act, 2006. The omitted clause (106A) read as follows:</w:t>
      </w:r>
    </w:p>
    <w:p w:rsidR="00BF2117" w:rsidRPr="00866443" w:rsidRDefault="00BF2117" w:rsidP="00AA4BF8">
      <w:pPr>
        <w:widowControl w:val="0"/>
        <w:ind w:left="270" w:hanging="90"/>
        <w:jc w:val="both"/>
        <w:rPr>
          <w:sz w:val="16"/>
          <w:szCs w:val="16"/>
        </w:rPr>
      </w:pPr>
      <w:r w:rsidRPr="00866443">
        <w:rPr>
          <w:sz w:val="16"/>
          <w:szCs w:val="16"/>
        </w:rPr>
        <w:t>“</w:t>
      </w:r>
      <w:r w:rsidRPr="00866443">
        <w:rPr>
          <w:b/>
          <w:bCs/>
          <w:sz w:val="16"/>
          <w:szCs w:val="16"/>
        </w:rPr>
        <w:t>(106A)</w:t>
      </w:r>
      <w:r w:rsidRPr="00866443">
        <w:rPr>
          <w:sz w:val="16"/>
          <w:szCs w:val="16"/>
        </w:rPr>
        <w:t xml:space="preserve"> Any income derived by the corporatized entities of Pakistan Water and Power Development Authority from the date of their creation upto the date of completion of the process of corporatization i.e. till the tariff is notified.”</w:t>
      </w:r>
    </w:p>
  </w:footnote>
  <w:footnote w:id="1956">
    <w:p w:rsidR="00BF2117" w:rsidRDefault="00BF2117" w:rsidP="00AA4BF8">
      <w:pPr>
        <w:pStyle w:val="FootnoteText"/>
      </w:pPr>
      <w:r w:rsidRPr="00866443">
        <w:rPr>
          <w:rStyle w:val="FootnoteReference"/>
          <w:rFonts w:cs="Arial"/>
          <w:sz w:val="16"/>
          <w:szCs w:val="16"/>
        </w:rPr>
        <w:footnoteRef/>
      </w:r>
      <w:r w:rsidRPr="00866443">
        <w:rPr>
          <w:sz w:val="16"/>
          <w:szCs w:val="16"/>
        </w:rPr>
        <w:t xml:space="preserve"> Inserted by the Finance Act, 2011</w:t>
      </w:r>
      <w:r w:rsidRPr="00412620">
        <w:rPr>
          <w:sz w:val="16"/>
          <w:szCs w:val="16"/>
        </w:rPr>
        <w:t>.</w:t>
      </w:r>
    </w:p>
  </w:footnote>
  <w:footnote w:id="1957">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(108) omitted by the Finance Act, 2003. The omitted clause (108) read as follows: </w:t>
      </w:r>
    </w:p>
    <w:p w:rsidR="00BF2117" w:rsidRPr="00866443" w:rsidRDefault="00BF2117" w:rsidP="00AA4BF8">
      <w:pPr>
        <w:widowControl w:val="0"/>
        <w:ind w:left="180"/>
        <w:jc w:val="both"/>
        <w:rPr>
          <w:sz w:val="16"/>
          <w:szCs w:val="16"/>
        </w:rPr>
      </w:pPr>
      <w:r w:rsidRPr="00866443">
        <w:rPr>
          <w:snapToGrid w:val="0"/>
          <w:sz w:val="16"/>
          <w:szCs w:val="16"/>
        </w:rPr>
        <w:t>“</w:t>
      </w:r>
      <w:r w:rsidRPr="00866443">
        <w:rPr>
          <w:b/>
          <w:bCs/>
          <w:snapToGrid w:val="0"/>
          <w:sz w:val="16"/>
          <w:szCs w:val="16"/>
        </w:rPr>
        <w:t xml:space="preserve">(108)  </w:t>
      </w:r>
      <w:r w:rsidRPr="00866443">
        <w:rPr>
          <w:snapToGrid w:val="0"/>
          <w:sz w:val="16"/>
          <w:szCs w:val="16"/>
        </w:rPr>
        <w:t>Any income derived by the International  Irrigating Management Institute (IIMI), Pakistan.”</w:t>
      </w:r>
    </w:p>
  </w:footnote>
  <w:footnote w:id="1958">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(109) omitted by the Finance Act, 2003. The omitted clause (109) read as follows:</w:t>
      </w:r>
    </w:p>
    <w:p w:rsidR="00BF2117" w:rsidRPr="00866443" w:rsidRDefault="00BF2117" w:rsidP="00AA4BF8">
      <w:pPr>
        <w:widowControl w:val="0"/>
        <w:ind w:left="180"/>
        <w:jc w:val="both"/>
        <w:rPr>
          <w:sz w:val="16"/>
          <w:szCs w:val="16"/>
        </w:rPr>
      </w:pPr>
      <w:r w:rsidRPr="00866443">
        <w:rPr>
          <w:snapToGrid w:val="0"/>
          <w:sz w:val="16"/>
          <w:szCs w:val="16"/>
        </w:rPr>
        <w:t>“</w:t>
      </w:r>
      <w:r w:rsidRPr="00866443">
        <w:rPr>
          <w:b/>
          <w:bCs/>
          <w:snapToGrid w:val="0"/>
          <w:sz w:val="16"/>
          <w:szCs w:val="16"/>
        </w:rPr>
        <w:t xml:space="preserve">(109)  </w:t>
      </w:r>
      <w:r w:rsidRPr="00866443">
        <w:rPr>
          <w:snapToGrid w:val="0"/>
          <w:sz w:val="16"/>
          <w:szCs w:val="16"/>
        </w:rPr>
        <w:t>Any amount collected by the Civil Aviation Authority up to the thirty-first December, 1998, on account of security charges.”</w:t>
      </w:r>
    </w:p>
  </w:footnote>
  <w:footnote w:id="1959">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(110) omitted by the Finance Act, 2010. The omitted clause (110) read as follows:</w:t>
      </w:r>
    </w:p>
    <w:p w:rsidR="00BF2117" w:rsidRPr="00866443" w:rsidRDefault="00BF2117" w:rsidP="00AA4BF8">
      <w:pPr>
        <w:pStyle w:val="FootnoteText"/>
        <w:ind w:left="270" w:hanging="90"/>
        <w:jc w:val="both"/>
        <w:rPr>
          <w:sz w:val="16"/>
          <w:szCs w:val="16"/>
        </w:rPr>
      </w:pPr>
      <w:r w:rsidRPr="00866443">
        <w:rPr>
          <w:sz w:val="16"/>
          <w:szCs w:val="16"/>
        </w:rPr>
        <w:t>“</w:t>
      </w:r>
      <w:r w:rsidRPr="00866443">
        <w:rPr>
          <w:b/>
          <w:bCs/>
          <w:snapToGrid w:val="0"/>
          <w:sz w:val="16"/>
          <w:szCs w:val="16"/>
        </w:rPr>
        <w:t xml:space="preserve">(110)  </w:t>
      </w:r>
      <w:r w:rsidRPr="00866443">
        <w:rPr>
          <w:snapToGrid w:val="0"/>
          <w:sz w:val="16"/>
          <w:szCs w:val="16"/>
        </w:rPr>
        <w:t>Any income chargeable under the head "capital gains", being income from the sale of modaraba certificates or any instrument of redeemable capital as defined in the Companies Ordinance, 1984 (XLVII of 1984), listed on any stock exchange in Pakistan or shares of a public company (as defined in sub-section (47) of section 2 ) and the Pakistan Telecommunications Corporation vouchers issued by the Government of Pakistan, derived by a taxpayer upto tax year ending on the thirtieth day of June, 2010.”</w:t>
      </w:r>
    </w:p>
  </w:footnote>
  <w:footnote w:id="1960">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(110A) omitted by the Finance Act, 2010. The omitted clause (110A) read as follows:</w:t>
      </w:r>
    </w:p>
    <w:p w:rsidR="00BF2117" w:rsidRPr="00866443" w:rsidRDefault="00BF2117" w:rsidP="00AA4BF8">
      <w:pPr>
        <w:pStyle w:val="FootnoteText"/>
        <w:ind w:left="270" w:hanging="90"/>
        <w:jc w:val="both"/>
        <w:rPr>
          <w:sz w:val="16"/>
          <w:szCs w:val="16"/>
        </w:rPr>
      </w:pPr>
      <w:r w:rsidRPr="00866443">
        <w:rPr>
          <w:sz w:val="16"/>
          <w:szCs w:val="16"/>
        </w:rPr>
        <w:t>“</w:t>
      </w:r>
      <w:r w:rsidRPr="00866443">
        <w:rPr>
          <w:b/>
          <w:bCs/>
          <w:sz w:val="16"/>
          <w:szCs w:val="16"/>
        </w:rPr>
        <w:t>(110A)</w:t>
      </w:r>
      <w:r w:rsidRPr="00866443">
        <w:rPr>
          <w:sz w:val="16"/>
          <w:szCs w:val="16"/>
        </w:rPr>
        <w:t xml:space="preserve"> Any gain on transfer of a capital asset of the existing stock exchanges to new corporatized stock exchange, in the course of corporatization of an existing stock exchange.</w:t>
      </w:r>
      <w:r w:rsidRPr="00866443">
        <w:rPr>
          <w:snapToGrid w:val="0"/>
          <w:sz w:val="16"/>
          <w:szCs w:val="16"/>
        </w:rPr>
        <w:t>”</w:t>
      </w:r>
    </w:p>
  </w:footnote>
  <w:footnote w:id="1961">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Inserted by the Finance Act, 2007.</w:t>
      </w:r>
    </w:p>
  </w:footnote>
  <w:footnote w:id="1962">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(111) omitted by the Finance Act, 2010. The omitted clause (111) read as follows:</w:t>
      </w:r>
    </w:p>
    <w:p w:rsidR="00BF2117" w:rsidRPr="00866443" w:rsidRDefault="00BF2117" w:rsidP="00AA4BF8">
      <w:pPr>
        <w:pStyle w:val="FootnoteText"/>
        <w:ind w:left="270" w:hanging="90"/>
        <w:jc w:val="both"/>
        <w:rPr>
          <w:sz w:val="16"/>
          <w:szCs w:val="16"/>
        </w:rPr>
      </w:pPr>
      <w:r w:rsidRPr="00866443">
        <w:rPr>
          <w:sz w:val="16"/>
          <w:szCs w:val="16"/>
        </w:rPr>
        <w:t>“</w:t>
      </w:r>
      <w:r w:rsidRPr="00866443">
        <w:rPr>
          <w:b/>
          <w:bCs/>
          <w:snapToGrid w:val="0"/>
          <w:sz w:val="16"/>
          <w:szCs w:val="16"/>
        </w:rPr>
        <w:t xml:space="preserve">(111)  </w:t>
      </w:r>
      <w:r w:rsidRPr="00866443">
        <w:rPr>
          <w:snapToGrid w:val="0"/>
          <w:sz w:val="16"/>
          <w:szCs w:val="16"/>
        </w:rPr>
        <w:t>Any income chargeable under the head “capital gains”, being income from the sale of shares of a  public company derived by any foreign institutional investor as is approved by the Federal Government for the purpose of this clause.”</w:t>
      </w:r>
    </w:p>
  </w:footnote>
  <w:footnote w:id="1963">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(112) omitted by the Finance Act, 2002. The omitted clause (112) read as follows:</w:t>
      </w:r>
    </w:p>
    <w:p w:rsidR="00BF2117" w:rsidRPr="00866443" w:rsidRDefault="00BF2117" w:rsidP="00AA4BF8">
      <w:pPr>
        <w:widowControl w:val="0"/>
        <w:ind w:left="180"/>
        <w:jc w:val="both"/>
        <w:rPr>
          <w:sz w:val="16"/>
          <w:szCs w:val="16"/>
        </w:rPr>
      </w:pPr>
      <w:r w:rsidRPr="00866443">
        <w:rPr>
          <w:sz w:val="16"/>
          <w:szCs w:val="16"/>
        </w:rPr>
        <w:t>“</w:t>
      </w:r>
      <w:r w:rsidRPr="00866443">
        <w:rPr>
          <w:b/>
          <w:bCs/>
          <w:snapToGrid w:val="0"/>
          <w:sz w:val="16"/>
          <w:szCs w:val="16"/>
        </w:rPr>
        <w:t>(112)</w:t>
      </w:r>
      <w:r w:rsidRPr="00866443">
        <w:rPr>
          <w:snapToGrid w:val="0"/>
          <w:sz w:val="16"/>
          <w:szCs w:val="16"/>
        </w:rPr>
        <w:t xml:space="preserve">     Any income chargeable under the head "capital gains" derived by a person from the sale of shares of  industrial units of public sector corporations by the Privatisation Commission.”</w:t>
      </w:r>
    </w:p>
  </w:footnote>
  <w:footnote w:id="1964">
    <w:p w:rsidR="00BF2117" w:rsidRDefault="00BF2117" w:rsidP="00B22C29">
      <w:pPr>
        <w:widowControl w:val="0"/>
        <w:jc w:val="both"/>
        <w:rPr>
          <w:sz w:val="16"/>
          <w:szCs w:val="16"/>
        </w:rPr>
      </w:pPr>
      <w:r w:rsidRPr="00B22C29">
        <w:rPr>
          <w:rStyle w:val="FootnoteReference"/>
          <w:sz w:val="16"/>
          <w:szCs w:val="16"/>
        </w:rPr>
        <w:footnoteRef/>
      </w:r>
      <w:r>
        <w:rPr>
          <w:sz w:val="16"/>
          <w:szCs w:val="16"/>
        </w:rPr>
        <w:t>Clause (113) omitted by the Finance Act, 2015. The omitted clause (113) read as follows:-</w:t>
      </w:r>
    </w:p>
    <w:p w:rsidR="00BF2117" w:rsidRPr="00B22C29" w:rsidRDefault="00BF2117" w:rsidP="00B22C29">
      <w:pPr>
        <w:widowControl w:val="0"/>
        <w:ind w:left="180"/>
        <w:jc w:val="both"/>
        <w:rPr>
          <w:snapToGrid w:val="0"/>
          <w:sz w:val="16"/>
          <w:szCs w:val="16"/>
        </w:rPr>
      </w:pPr>
      <w:r w:rsidRPr="00B22C29">
        <w:rPr>
          <w:bCs/>
          <w:snapToGrid w:val="0"/>
          <w:sz w:val="20"/>
        </w:rPr>
        <w:t>“</w:t>
      </w:r>
      <w:r w:rsidRPr="00B22C29">
        <w:rPr>
          <w:bCs/>
          <w:snapToGrid w:val="0"/>
          <w:sz w:val="16"/>
          <w:szCs w:val="16"/>
        </w:rPr>
        <w:t>(113)</w:t>
      </w:r>
      <w:r w:rsidRPr="00B22C29">
        <w:rPr>
          <w:snapToGrid w:val="0"/>
          <w:sz w:val="16"/>
          <w:szCs w:val="16"/>
        </w:rPr>
        <w:t xml:space="preserve">Any income chargeable under the head "capital gains", being income from the sale of shares of a public company  set up in any Special Industrial Zone referred to in clause </w:t>
      </w:r>
      <w:r>
        <w:rPr>
          <w:snapToGrid w:val="0"/>
          <w:sz w:val="16"/>
          <w:szCs w:val="16"/>
        </w:rPr>
        <w:t xml:space="preserve">(126) </w:t>
      </w:r>
      <w:r w:rsidRPr="00B22C29">
        <w:rPr>
          <w:snapToGrid w:val="0"/>
          <w:sz w:val="16"/>
          <w:szCs w:val="16"/>
        </w:rPr>
        <w:t>of this Schedule, derived by a person for a period of five years from the date of commencement of its commercial production:</w:t>
      </w:r>
    </w:p>
    <w:p w:rsidR="00BF2117" w:rsidRPr="00B22C29" w:rsidRDefault="00BF2117" w:rsidP="00B22C29">
      <w:pPr>
        <w:pStyle w:val="FootnoteText"/>
        <w:ind w:left="540" w:firstLine="360"/>
        <w:jc w:val="both"/>
        <w:rPr>
          <w:sz w:val="16"/>
          <w:szCs w:val="16"/>
          <w:lang w:val="en-US"/>
        </w:rPr>
      </w:pPr>
      <w:r w:rsidRPr="00B22C29">
        <w:rPr>
          <w:snapToGrid w:val="0"/>
          <w:sz w:val="16"/>
          <w:szCs w:val="16"/>
        </w:rPr>
        <w:t>Provided that the exemption under this clause shall not be available to a person  from the sale of shares of such companies which are not eligible for exemption from tax under clause (126).</w:t>
      </w:r>
      <w:r>
        <w:rPr>
          <w:snapToGrid w:val="0"/>
          <w:sz w:val="16"/>
          <w:szCs w:val="16"/>
        </w:rPr>
        <w:t>”</w:t>
      </w:r>
    </w:p>
  </w:footnote>
  <w:footnote w:id="1965">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(114A) omitted by the Finance Act, 2011. The omitted clause (114A) read as follows:</w:t>
      </w:r>
    </w:p>
    <w:p w:rsidR="00BF2117" w:rsidRPr="00866443" w:rsidRDefault="00BF2117" w:rsidP="00AA4BF8">
      <w:pPr>
        <w:pStyle w:val="FootnoteText"/>
        <w:ind w:left="180" w:hanging="90"/>
        <w:jc w:val="both"/>
        <w:rPr>
          <w:sz w:val="16"/>
          <w:szCs w:val="16"/>
        </w:rPr>
      </w:pPr>
      <w:r w:rsidRPr="00866443">
        <w:rPr>
          <w:sz w:val="16"/>
          <w:szCs w:val="16"/>
        </w:rPr>
        <w:t>“</w:t>
      </w:r>
      <w:r w:rsidRPr="00866443">
        <w:rPr>
          <w:b/>
          <w:bCs/>
          <w:snapToGrid w:val="0"/>
          <w:sz w:val="16"/>
          <w:szCs w:val="16"/>
        </w:rPr>
        <w:t>(114A)</w:t>
      </w:r>
      <w:r w:rsidRPr="00866443">
        <w:rPr>
          <w:snapToGrid w:val="0"/>
          <w:sz w:val="16"/>
          <w:szCs w:val="16"/>
        </w:rPr>
        <w:t xml:space="preserve"> Any income chargeable under the head “capital gains”, derived by a person from sale of ships and all floating crafts including tugs, dredgers, survey vessels and other specialized craft upto tax year ending on the thirtieth day of June, 2011.</w:t>
      </w:r>
    </w:p>
  </w:footnote>
  <w:footnote w:id="1966">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(115) omitted by the Finance Act, 2003. The omitted clause (115) read as follows: </w:t>
      </w:r>
    </w:p>
    <w:p w:rsidR="00BF2117" w:rsidRPr="00866443" w:rsidRDefault="00BF2117" w:rsidP="00AA4BF8">
      <w:pPr>
        <w:keepNext/>
        <w:widowControl w:val="0"/>
        <w:ind w:left="180"/>
        <w:jc w:val="both"/>
        <w:rPr>
          <w:snapToGrid w:val="0"/>
          <w:sz w:val="16"/>
          <w:szCs w:val="16"/>
        </w:rPr>
      </w:pPr>
      <w:r w:rsidRPr="00866443">
        <w:rPr>
          <w:snapToGrid w:val="0"/>
          <w:sz w:val="16"/>
          <w:szCs w:val="16"/>
        </w:rPr>
        <w:t>“</w:t>
      </w:r>
      <w:r w:rsidRPr="00866443">
        <w:rPr>
          <w:b/>
          <w:bCs/>
          <w:snapToGrid w:val="0"/>
          <w:sz w:val="16"/>
          <w:szCs w:val="16"/>
        </w:rPr>
        <w:t>(115</w:t>
      </w:r>
      <w:r w:rsidRPr="00866443">
        <w:rPr>
          <w:snapToGrid w:val="0"/>
          <w:sz w:val="16"/>
          <w:szCs w:val="16"/>
        </w:rPr>
        <w:t>)  Any share of income received by a taxpayer out of capital gains on which tax has been paid by the firm of which he is a partner</w:t>
      </w:r>
      <w:r w:rsidRPr="00866443">
        <w:rPr>
          <w:b/>
          <w:bCs/>
          <w:snapToGrid w:val="0"/>
          <w:sz w:val="16"/>
          <w:szCs w:val="16"/>
        </w:rPr>
        <w:t>:</w:t>
      </w:r>
    </w:p>
    <w:p w:rsidR="00BF2117" w:rsidRPr="00866443" w:rsidRDefault="00BF2117" w:rsidP="00AA4BF8">
      <w:pPr>
        <w:pStyle w:val="FootnoteText"/>
        <w:rPr>
          <w:sz w:val="16"/>
          <w:szCs w:val="16"/>
        </w:rPr>
      </w:pPr>
      <w:r w:rsidRPr="00866443">
        <w:rPr>
          <w:snapToGrid w:val="0"/>
          <w:sz w:val="16"/>
          <w:szCs w:val="16"/>
        </w:rPr>
        <w:tab/>
      </w:r>
      <w:r w:rsidRPr="00866443">
        <w:rPr>
          <w:snapToGrid w:val="0"/>
          <w:sz w:val="16"/>
          <w:szCs w:val="16"/>
        </w:rPr>
        <w:tab/>
        <w:t>Provided that exemption under this clause shall not apply in respect of any tax year commencing on or after the 1</w:t>
      </w:r>
      <w:r w:rsidRPr="00866443">
        <w:rPr>
          <w:snapToGrid w:val="0"/>
          <w:sz w:val="16"/>
          <w:szCs w:val="16"/>
          <w:vertAlign w:val="superscript"/>
        </w:rPr>
        <w:t>st</w:t>
      </w:r>
      <w:r w:rsidRPr="00866443">
        <w:rPr>
          <w:snapToGrid w:val="0"/>
          <w:sz w:val="16"/>
          <w:szCs w:val="16"/>
        </w:rPr>
        <w:t xml:space="preserve"> day of July, 2002.”</w:t>
      </w:r>
    </w:p>
  </w:footnote>
  <w:footnote w:id="1967">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(116) omitted by the Finance Act, 2002, The omitted clause (116) read as follows:</w:t>
      </w:r>
    </w:p>
    <w:p w:rsidR="00BF2117" w:rsidRPr="00866443" w:rsidRDefault="00BF2117" w:rsidP="00AA4BF8">
      <w:pPr>
        <w:widowControl w:val="0"/>
        <w:ind w:left="180"/>
        <w:jc w:val="both"/>
        <w:rPr>
          <w:sz w:val="16"/>
          <w:szCs w:val="16"/>
        </w:rPr>
      </w:pPr>
      <w:r w:rsidRPr="00866443">
        <w:rPr>
          <w:sz w:val="16"/>
          <w:szCs w:val="16"/>
        </w:rPr>
        <w:t>“</w:t>
      </w:r>
      <w:r w:rsidRPr="00866443">
        <w:rPr>
          <w:b/>
          <w:bCs/>
          <w:snapToGrid w:val="0"/>
          <w:sz w:val="16"/>
          <w:szCs w:val="16"/>
        </w:rPr>
        <w:t xml:space="preserve">(116) </w:t>
      </w:r>
      <w:r w:rsidRPr="00866443">
        <w:rPr>
          <w:snapToGrid w:val="0"/>
          <w:sz w:val="16"/>
          <w:szCs w:val="16"/>
        </w:rPr>
        <w:t xml:space="preserve">Any income derived by a taxpayer from the business of fish catching or fish processing, </w:t>
      </w:r>
      <w:r w:rsidRPr="00866443">
        <w:rPr>
          <w:sz w:val="16"/>
          <w:szCs w:val="16"/>
        </w:rPr>
        <w:t>where</w:t>
      </w:r>
      <w:r w:rsidRPr="00866443">
        <w:rPr>
          <w:snapToGrid w:val="0"/>
          <w:sz w:val="16"/>
          <w:szCs w:val="16"/>
        </w:rPr>
        <w:t xml:space="preserve"> the fish catching business or fish processing unit is established by the taxpayer for the first time between first day of July, 1993, and 30th day of June, 1997, for a period of five years from the date of such establishment, subject to the condition that the said date shall be determined by the Commissioner on an application made by the taxpayer.” </w:t>
      </w:r>
    </w:p>
  </w:footnote>
  <w:footnote w:id="1968">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(118) omitted by the Finance Act, 2002. The omitted clause (118) read as follows:</w:t>
      </w:r>
    </w:p>
    <w:p w:rsidR="00BF2117" w:rsidRPr="00866443" w:rsidRDefault="00BF2117" w:rsidP="00AA4BF8">
      <w:pPr>
        <w:keepNext/>
        <w:widowControl w:val="0"/>
        <w:ind w:left="180"/>
        <w:jc w:val="both"/>
        <w:rPr>
          <w:snapToGrid w:val="0"/>
          <w:sz w:val="16"/>
          <w:szCs w:val="16"/>
        </w:rPr>
      </w:pPr>
      <w:r w:rsidRPr="00866443">
        <w:rPr>
          <w:sz w:val="16"/>
          <w:szCs w:val="16"/>
        </w:rPr>
        <w:t xml:space="preserve"> “(</w:t>
      </w:r>
      <w:r w:rsidRPr="00866443">
        <w:rPr>
          <w:b/>
          <w:bCs/>
          <w:snapToGrid w:val="0"/>
          <w:sz w:val="16"/>
          <w:szCs w:val="16"/>
        </w:rPr>
        <w:t>118)</w:t>
      </w:r>
      <w:r w:rsidRPr="00866443">
        <w:rPr>
          <w:snapToGrid w:val="0"/>
          <w:sz w:val="16"/>
          <w:szCs w:val="16"/>
        </w:rPr>
        <w:t>. Profits and gains derived by a taxpayer from a pioneer industrial undertaking which is set up by 30th day of June, 1997 for a period of five years from the date of commencement of commercial production. The exemption under this clause shall apply to a pioneer industrial undertaking which-</w:t>
      </w:r>
    </w:p>
    <w:p w:rsidR="00BF2117" w:rsidRPr="00866443" w:rsidRDefault="00BF2117" w:rsidP="00AA4BF8">
      <w:pPr>
        <w:keepNext/>
        <w:widowControl w:val="0"/>
        <w:ind w:left="1634" w:hanging="540"/>
        <w:jc w:val="both"/>
        <w:rPr>
          <w:snapToGrid w:val="0"/>
          <w:sz w:val="16"/>
          <w:szCs w:val="16"/>
        </w:rPr>
      </w:pPr>
      <w:r w:rsidRPr="00866443">
        <w:rPr>
          <w:snapToGrid w:val="0"/>
          <w:sz w:val="16"/>
          <w:szCs w:val="16"/>
        </w:rPr>
        <w:t>(a)</w:t>
      </w:r>
      <w:r w:rsidRPr="00866443">
        <w:rPr>
          <w:snapToGrid w:val="0"/>
          <w:sz w:val="16"/>
          <w:szCs w:val="16"/>
        </w:rPr>
        <w:tab/>
      </w:r>
      <w:r w:rsidRPr="00866443">
        <w:rPr>
          <w:snapToGrid w:val="0"/>
          <w:sz w:val="16"/>
          <w:szCs w:val="16"/>
        </w:rPr>
        <w:tab/>
        <w:t>is owned and managed by a company formed and registered under the Companies Act, 1913, (VII of 1913), having its registered office in Pakistan;</w:t>
      </w:r>
    </w:p>
    <w:p w:rsidR="00BF2117" w:rsidRPr="00866443" w:rsidRDefault="00BF2117" w:rsidP="00AA4BF8">
      <w:pPr>
        <w:keepNext/>
        <w:widowControl w:val="0"/>
        <w:ind w:left="1634" w:hanging="540"/>
        <w:jc w:val="both"/>
        <w:rPr>
          <w:snapToGrid w:val="0"/>
          <w:sz w:val="16"/>
          <w:szCs w:val="16"/>
        </w:rPr>
      </w:pPr>
      <w:r w:rsidRPr="00866443">
        <w:rPr>
          <w:snapToGrid w:val="0"/>
          <w:sz w:val="16"/>
          <w:szCs w:val="16"/>
        </w:rPr>
        <w:t>(b)</w:t>
      </w:r>
      <w:r w:rsidRPr="00866443">
        <w:rPr>
          <w:snapToGrid w:val="0"/>
          <w:sz w:val="16"/>
          <w:szCs w:val="16"/>
        </w:rPr>
        <w:tab/>
        <w:t>is an undertaking the income, profits and gains of which are not liable to be computed in accordance with the rules contained in the Fifth Schedule;</w:t>
      </w:r>
    </w:p>
    <w:p w:rsidR="00BF2117" w:rsidRPr="00866443" w:rsidRDefault="00BF2117" w:rsidP="00AA4BF8">
      <w:pPr>
        <w:keepNext/>
        <w:widowControl w:val="0"/>
        <w:jc w:val="both"/>
        <w:rPr>
          <w:snapToGrid w:val="0"/>
          <w:sz w:val="16"/>
          <w:szCs w:val="16"/>
        </w:rPr>
      </w:pPr>
      <w:r w:rsidRPr="00866443">
        <w:rPr>
          <w:snapToGrid w:val="0"/>
          <w:sz w:val="16"/>
          <w:szCs w:val="16"/>
        </w:rPr>
        <w:tab/>
      </w:r>
      <w:r w:rsidRPr="00866443">
        <w:rPr>
          <w:snapToGrid w:val="0"/>
          <w:sz w:val="16"/>
          <w:szCs w:val="16"/>
        </w:rPr>
        <w:tab/>
        <w:t>(c)</w:t>
      </w:r>
      <w:r w:rsidRPr="00866443">
        <w:rPr>
          <w:snapToGrid w:val="0"/>
          <w:sz w:val="16"/>
          <w:szCs w:val="16"/>
        </w:rPr>
        <w:tab/>
        <w:t>fulfils the following conditions, namely :-</w:t>
      </w:r>
    </w:p>
    <w:p w:rsidR="00BF2117" w:rsidRPr="00866443" w:rsidRDefault="00BF2117" w:rsidP="00AA4BF8">
      <w:pPr>
        <w:pStyle w:val="BodyText3"/>
        <w:keepNext/>
        <w:ind w:left="1094" w:firstLine="547"/>
        <w:rPr>
          <w:sz w:val="16"/>
          <w:szCs w:val="16"/>
          <w:lang w:val="en-AU"/>
        </w:rPr>
      </w:pPr>
      <w:r w:rsidRPr="00866443">
        <w:rPr>
          <w:sz w:val="16"/>
          <w:szCs w:val="16"/>
          <w:lang w:val="en-AU"/>
        </w:rPr>
        <w:t>(i)</w:t>
      </w:r>
      <w:r w:rsidRPr="00866443">
        <w:rPr>
          <w:sz w:val="16"/>
          <w:szCs w:val="16"/>
          <w:lang w:val="en-AU"/>
        </w:rPr>
        <w:tab/>
        <w:t>that the undertaking is based on highly sophisticated technology;</w:t>
      </w:r>
    </w:p>
    <w:p w:rsidR="00BF2117" w:rsidRPr="00866443" w:rsidRDefault="00BF2117" w:rsidP="00AA4BF8">
      <w:pPr>
        <w:keepNext/>
        <w:widowControl w:val="0"/>
        <w:jc w:val="both"/>
        <w:rPr>
          <w:snapToGrid w:val="0"/>
          <w:sz w:val="16"/>
          <w:szCs w:val="16"/>
        </w:rPr>
      </w:pPr>
      <w:r w:rsidRPr="00866443">
        <w:rPr>
          <w:snapToGrid w:val="0"/>
          <w:sz w:val="16"/>
          <w:szCs w:val="16"/>
        </w:rPr>
        <w:tab/>
      </w:r>
      <w:r w:rsidRPr="00866443">
        <w:rPr>
          <w:snapToGrid w:val="0"/>
          <w:sz w:val="16"/>
          <w:szCs w:val="16"/>
        </w:rPr>
        <w:tab/>
      </w:r>
      <w:r w:rsidRPr="00866443">
        <w:rPr>
          <w:snapToGrid w:val="0"/>
          <w:sz w:val="16"/>
          <w:szCs w:val="16"/>
        </w:rPr>
        <w:tab/>
        <w:t>(ii)</w:t>
      </w:r>
      <w:r w:rsidRPr="00866443">
        <w:rPr>
          <w:snapToGrid w:val="0"/>
          <w:sz w:val="16"/>
          <w:szCs w:val="16"/>
        </w:rPr>
        <w:tab/>
        <w:t>that the technology employed has fast obsolescence;</w:t>
      </w:r>
    </w:p>
    <w:p w:rsidR="00BF2117" w:rsidRPr="00866443" w:rsidRDefault="00BF2117" w:rsidP="00AA4BF8">
      <w:pPr>
        <w:keepNext/>
        <w:widowControl w:val="0"/>
        <w:jc w:val="both"/>
        <w:rPr>
          <w:snapToGrid w:val="0"/>
          <w:sz w:val="16"/>
          <w:szCs w:val="16"/>
        </w:rPr>
      </w:pPr>
      <w:r w:rsidRPr="00866443">
        <w:rPr>
          <w:snapToGrid w:val="0"/>
          <w:sz w:val="16"/>
          <w:szCs w:val="16"/>
        </w:rPr>
        <w:tab/>
      </w:r>
      <w:r w:rsidRPr="00866443">
        <w:rPr>
          <w:snapToGrid w:val="0"/>
          <w:sz w:val="16"/>
          <w:szCs w:val="16"/>
        </w:rPr>
        <w:tab/>
      </w:r>
      <w:r w:rsidRPr="00866443">
        <w:rPr>
          <w:snapToGrid w:val="0"/>
          <w:sz w:val="16"/>
          <w:szCs w:val="16"/>
        </w:rPr>
        <w:tab/>
        <w:t>(iii)</w:t>
      </w:r>
      <w:r w:rsidRPr="00866443">
        <w:rPr>
          <w:snapToGrid w:val="0"/>
          <w:sz w:val="16"/>
          <w:szCs w:val="16"/>
        </w:rPr>
        <w:tab/>
        <w:t>that investment in the undertaking involves high risk; and</w:t>
      </w:r>
    </w:p>
    <w:p w:rsidR="00BF2117" w:rsidRPr="00866443" w:rsidRDefault="00BF2117" w:rsidP="00AA4BF8">
      <w:pPr>
        <w:keepNext/>
        <w:widowControl w:val="0"/>
        <w:ind w:left="2188" w:hanging="554"/>
        <w:jc w:val="both"/>
        <w:rPr>
          <w:snapToGrid w:val="0"/>
          <w:sz w:val="16"/>
          <w:szCs w:val="16"/>
        </w:rPr>
      </w:pPr>
      <w:r w:rsidRPr="00866443">
        <w:rPr>
          <w:snapToGrid w:val="0"/>
          <w:sz w:val="16"/>
          <w:szCs w:val="16"/>
        </w:rPr>
        <w:t>(iv)</w:t>
      </w:r>
      <w:r w:rsidRPr="00866443">
        <w:rPr>
          <w:snapToGrid w:val="0"/>
          <w:sz w:val="16"/>
          <w:szCs w:val="16"/>
        </w:rPr>
        <w:tab/>
        <w:t>that the goods produced, or to be produced, are such that neither these goods, nor identical or close substitutes thereof, are being produced in Pakistan; and</w:t>
      </w:r>
      <w:r w:rsidRPr="00866443">
        <w:rPr>
          <w:snapToGrid w:val="0"/>
          <w:sz w:val="16"/>
          <w:szCs w:val="16"/>
        </w:rPr>
        <w:tab/>
      </w:r>
    </w:p>
    <w:p w:rsidR="00BF2117" w:rsidRPr="00866443" w:rsidRDefault="00BF2117" w:rsidP="00AA4BF8">
      <w:pPr>
        <w:widowControl w:val="0"/>
        <w:ind w:left="1634" w:hanging="540"/>
        <w:jc w:val="both"/>
        <w:rPr>
          <w:rFonts w:cs="Arial"/>
          <w:sz w:val="16"/>
          <w:szCs w:val="16"/>
        </w:rPr>
      </w:pPr>
      <w:r w:rsidRPr="00866443">
        <w:rPr>
          <w:snapToGrid w:val="0"/>
          <w:sz w:val="16"/>
          <w:szCs w:val="16"/>
        </w:rPr>
        <w:t>(d)</w:t>
      </w:r>
      <w:r w:rsidRPr="00866443">
        <w:rPr>
          <w:snapToGrid w:val="0"/>
          <w:sz w:val="16"/>
          <w:szCs w:val="16"/>
        </w:rPr>
        <w:tab/>
        <w:t>is approved, on an application made by the taxpayer in such form and manner and accompanied by such statements, certificates, documents and</w:t>
      </w:r>
      <w:r w:rsidRPr="00412620">
        <w:rPr>
          <w:snapToGrid w:val="0"/>
          <w:sz w:val="16"/>
          <w:szCs w:val="16"/>
        </w:rPr>
        <w:t xml:space="preserve"> undertakings, and in accordance with such procedure, as may be prescribed, </w:t>
      </w:r>
      <w:r w:rsidRPr="00866443">
        <w:rPr>
          <w:rFonts w:cs="Arial"/>
          <w:snapToGrid w:val="0"/>
          <w:sz w:val="16"/>
          <w:szCs w:val="16"/>
        </w:rPr>
        <w:t>by the Central Board of Revenue.”</w:t>
      </w:r>
    </w:p>
  </w:footnote>
  <w:footnote w:id="1969">
    <w:p w:rsidR="00BF2117" w:rsidRPr="00866443" w:rsidRDefault="00BF2117" w:rsidP="00AA4BF8">
      <w:pPr>
        <w:pStyle w:val="FootnoteText"/>
        <w:keepNext/>
        <w:rPr>
          <w:rFonts w:cs="Arial"/>
          <w:sz w:val="16"/>
          <w:szCs w:val="16"/>
        </w:rPr>
      </w:pPr>
      <w:r w:rsidRPr="00866443">
        <w:rPr>
          <w:rStyle w:val="FootnoteReference"/>
          <w:rFonts w:cs="Arial"/>
          <w:sz w:val="16"/>
          <w:szCs w:val="16"/>
        </w:rPr>
        <w:footnoteRef/>
      </w:r>
      <w:r w:rsidRPr="00866443">
        <w:rPr>
          <w:rFonts w:cs="Arial"/>
          <w:sz w:val="16"/>
          <w:szCs w:val="16"/>
        </w:rPr>
        <w:t xml:space="preserve"> Clause (119) omitted by the Finance Act, 2002. The omitted clause (119) read as follows:</w:t>
      </w:r>
    </w:p>
    <w:p w:rsidR="00BF2117" w:rsidRPr="00866443" w:rsidRDefault="00BF2117" w:rsidP="00AA4BF8">
      <w:pPr>
        <w:widowControl w:val="0"/>
        <w:ind w:left="180"/>
        <w:jc w:val="both"/>
        <w:rPr>
          <w:rFonts w:cs="Arial"/>
          <w:sz w:val="16"/>
          <w:szCs w:val="16"/>
        </w:rPr>
      </w:pPr>
      <w:r w:rsidRPr="00866443">
        <w:rPr>
          <w:rFonts w:cs="Arial"/>
          <w:sz w:val="16"/>
          <w:szCs w:val="16"/>
        </w:rPr>
        <w:t xml:space="preserve"> “</w:t>
      </w:r>
      <w:r w:rsidRPr="00866443">
        <w:rPr>
          <w:rFonts w:cs="Arial"/>
          <w:b/>
          <w:bCs/>
          <w:snapToGrid w:val="0"/>
          <w:sz w:val="16"/>
          <w:szCs w:val="16"/>
        </w:rPr>
        <w:t xml:space="preserve">(119). </w:t>
      </w:r>
      <w:r w:rsidRPr="00866443">
        <w:rPr>
          <w:rFonts w:cs="Arial"/>
          <w:snapToGrid w:val="0"/>
          <w:sz w:val="16"/>
          <w:szCs w:val="16"/>
        </w:rPr>
        <w:t xml:space="preserve">Profits and gains derived by a taxpayer, being a resident company, from an industrial undertaking engaged </w:t>
      </w:r>
      <w:r w:rsidRPr="00866443">
        <w:rPr>
          <w:rFonts w:cs="Arial"/>
          <w:sz w:val="16"/>
          <w:szCs w:val="16"/>
        </w:rPr>
        <w:t>in</w:t>
      </w:r>
      <w:r w:rsidRPr="00866443">
        <w:rPr>
          <w:rFonts w:cs="Arial"/>
          <w:snapToGrid w:val="0"/>
          <w:sz w:val="16"/>
          <w:szCs w:val="16"/>
        </w:rPr>
        <w:t xml:space="preserve"> the manufacture of electronic equipment or components thereof which is set up in the North West Frontier Province or in the Islamabad Capital Territory by 30th day of June, 1997, and is approved by the Central Board of Revenue for purposes of this clause, for a period of five years from the date of commencement of commercial production.”</w:t>
      </w:r>
    </w:p>
  </w:footnote>
  <w:footnote w:id="1970">
    <w:p w:rsidR="00BF2117" w:rsidRPr="00866443" w:rsidRDefault="00BF2117" w:rsidP="00AA4BF8">
      <w:pPr>
        <w:pStyle w:val="FootnoteText"/>
        <w:rPr>
          <w:rFonts w:cs="Arial"/>
          <w:sz w:val="16"/>
          <w:szCs w:val="16"/>
        </w:rPr>
      </w:pPr>
      <w:r w:rsidRPr="00866443">
        <w:rPr>
          <w:rStyle w:val="FootnoteReference"/>
          <w:rFonts w:cs="Arial"/>
          <w:sz w:val="16"/>
          <w:szCs w:val="16"/>
        </w:rPr>
        <w:footnoteRef/>
      </w:r>
      <w:r w:rsidRPr="00866443">
        <w:rPr>
          <w:rFonts w:cs="Arial"/>
          <w:sz w:val="16"/>
          <w:szCs w:val="16"/>
        </w:rPr>
        <w:t xml:space="preserve"> Clause (120) omitted by the Finance Act, 2006. The omitted clause (120) read as follows:</w:t>
      </w:r>
    </w:p>
    <w:p w:rsidR="00BF2117" w:rsidRPr="00866443" w:rsidRDefault="00BF2117" w:rsidP="00AA4BF8">
      <w:pPr>
        <w:pStyle w:val="FootnoteText"/>
        <w:ind w:left="180" w:firstLine="0"/>
        <w:rPr>
          <w:rFonts w:cs="Arial"/>
          <w:snapToGrid w:val="0"/>
          <w:sz w:val="16"/>
          <w:szCs w:val="16"/>
        </w:rPr>
      </w:pPr>
      <w:r w:rsidRPr="00866443">
        <w:rPr>
          <w:rFonts w:cs="Arial"/>
          <w:sz w:val="16"/>
          <w:szCs w:val="16"/>
        </w:rPr>
        <w:t>“</w:t>
      </w:r>
      <w:r w:rsidRPr="00866443">
        <w:rPr>
          <w:rFonts w:cs="Arial"/>
          <w:b/>
          <w:bCs/>
          <w:snapToGrid w:val="0"/>
          <w:sz w:val="16"/>
          <w:szCs w:val="16"/>
        </w:rPr>
        <w:t xml:space="preserve">(120)   </w:t>
      </w:r>
      <w:r w:rsidRPr="00866443">
        <w:rPr>
          <w:rFonts w:cs="Arial"/>
          <w:snapToGrid w:val="0"/>
          <w:sz w:val="16"/>
          <w:szCs w:val="16"/>
        </w:rPr>
        <w:t>(1) Profits and gains derived by a taxpayer from an industrial undertaking for a period of five years from the date of commencement of commercial production.</w:t>
      </w:r>
    </w:p>
    <w:p w:rsidR="00BF2117" w:rsidRPr="00866443" w:rsidRDefault="00BF2117" w:rsidP="00AA4BF8">
      <w:pPr>
        <w:widowControl w:val="0"/>
        <w:numPr>
          <w:ilvl w:val="0"/>
          <w:numId w:val="19"/>
        </w:numPr>
        <w:ind w:hanging="540"/>
        <w:jc w:val="both"/>
        <w:rPr>
          <w:rFonts w:cs="Arial"/>
          <w:snapToGrid w:val="0"/>
          <w:sz w:val="16"/>
          <w:szCs w:val="16"/>
        </w:rPr>
      </w:pPr>
      <w:r w:rsidRPr="00866443">
        <w:rPr>
          <w:rFonts w:cs="Arial"/>
          <w:snapToGrid w:val="0"/>
          <w:sz w:val="16"/>
          <w:szCs w:val="16"/>
        </w:rPr>
        <w:t>The exemption under this clause shall apply to an undertaking which is-</w:t>
      </w:r>
    </w:p>
    <w:p w:rsidR="00BF2117" w:rsidRPr="00866443" w:rsidRDefault="00BF2117" w:rsidP="00AA4BF8">
      <w:pPr>
        <w:widowControl w:val="0"/>
        <w:ind w:left="1620" w:hanging="540"/>
        <w:jc w:val="both"/>
        <w:rPr>
          <w:rFonts w:cs="Arial"/>
          <w:snapToGrid w:val="0"/>
          <w:sz w:val="16"/>
          <w:szCs w:val="16"/>
        </w:rPr>
      </w:pPr>
      <w:r w:rsidRPr="00866443">
        <w:rPr>
          <w:rFonts w:cs="Arial"/>
          <w:snapToGrid w:val="0"/>
          <w:sz w:val="16"/>
          <w:szCs w:val="16"/>
        </w:rPr>
        <w:t>(a)</w:t>
      </w:r>
      <w:r w:rsidRPr="00866443">
        <w:rPr>
          <w:rFonts w:cs="Arial"/>
          <w:snapToGrid w:val="0"/>
          <w:sz w:val="16"/>
          <w:szCs w:val="16"/>
        </w:rPr>
        <w:tab/>
        <w:t>set up between the first day of July, 1994, and the thirtieth day of June,2000, both days inclusive;</w:t>
      </w:r>
    </w:p>
    <w:p w:rsidR="00BF2117" w:rsidRPr="00866443" w:rsidRDefault="00BF2117" w:rsidP="00AA4BF8">
      <w:pPr>
        <w:widowControl w:val="0"/>
        <w:ind w:left="1620" w:hanging="540"/>
        <w:jc w:val="both"/>
        <w:rPr>
          <w:rFonts w:cs="Arial"/>
          <w:snapToGrid w:val="0"/>
          <w:sz w:val="16"/>
          <w:szCs w:val="16"/>
        </w:rPr>
      </w:pPr>
      <w:r w:rsidRPr="00866443">
        <w:rPr>
          <w:rFonts w:cs="Arial"/>
          <w:snapToGrid w:val="0"/>
          <w:sz w:val="16"/>
          <w:szCs w:val="16"/>
        </w:rPr>
        <w:t>(b)</w:t>
      </w:r>
      <w:r w:rsidRPr="00866443">
        <w:rPr>
          <w:rFonts w:cs="Arial"/>
          <w:snapToGrid w:val="0"/>
          <w:sz w:val="16"/>
          <w:szCs w:val="16"/>
        </w:rPr>
        <w:tab/>
        <w:t>owned and managed by a company formed exclusively for operating the said industrial undertaking engaged in fruit processing and registered under the Companies Ordinance, 1984 (XLVII of 1984), and having its registered office in Pakistan; and</w:t>
      </w:r>
    </w:p>
    <w:p w:rsidR="00BF2117" w:rsidRPr="00866443" w:rsidRDefault="00BF2117" w:rsidP="00AA4BF8">
      <w:pPr>
        <w:widowControl w:val="0"/>
        <w:ind w:left="1620" w:hanging="540"/>
        <w:jc w:val="both"/>
        <w:rPr>
          <w:rFonts w:cs="Arial"/>
          <w:sz w:val="16"/>
          <w:szCs w:val="16"/>
        </w:rPr>
      </w:pPr>
      <w:r w:rsidRPr="00866443">
        <w:rPr>
          <w:rFonts w:cs="Arial"/>
          <w:snapToGrid w:val="0"/>
          <w:sz w:val="16"/>
          <w:szCs w:val="16"/>
        </w:rPr>
        <w:t>(c)</w:t>
      </w:r>
      <w:r w:rsidRPr="00866443">
        <w:rPr>
          <w:rFonts w:cs="Arial"/>
          <w:snapToGrid w:val="0"/>
          <w:sz w:val="16"/>
          <w:szCs w:val="16"/>
        </w:rPr>
        <w:tab/>
        <w:t>is not formed by splitting up or the reconstruction or reconstitution of business already in existence or by transfer to a new business of any machinery or plant in Pakistan at any time before the commencement of the new business.”</w:t>
      </w:r>
    </w:p>
  </w:footnote>
  <w:footnote w:id="1971">
    <w:p w:rsidR="00BF2117" w:rsidRPr="00866443" w:rsidRDefault="00BF2117" w:rsidP="00AA4BF8">
      <w:pPr>
        <w:pStyle w:val="FootnoteText"/>
        <w:keepNext/>
        <w:rPr>
          <w:rFonts w:cs="Arial"/>
          <w:sz w:val="16"/>
          <w:szCs w:val="16"/>
        </w:rPr>
      </w:pPr>
      <w:r w:rsidRPr="00866443">
        <w:rPr>
          <w:rStyle w:val="FootnoteReference"/>
          <w:rFonts w:cs="Arial"/>
          <w:sz w:val="16"/>
          <w:szCs w:val="16"/>
        </w:rPr>
        <w:footnoteRef/>
      </w:r>
      <w:r w:rsidRPr="00866443">
        <w:rPr>
          <w:rFonts w:cs="Arial"/>
          <w:sz w:val="16"/>
          <w:szCs w:val="16"/>
        </w:rPr>
        <w:t xml:space="preserve"> Clause (121) omitted by the Finance Act, 2003. The omitted clause (121) read as follows: </w:t>
      </w:r>
    </w:p>
    <w:p w:rsidR="00BF2117" w:rsidRPr="00866443" w:rsidRDefault="00BF2117" w:rsidP="00AA4BF8">
      <w:pPr>
        <w:keepNext/>
        <w:widowControl w:val="0"/>
        <w:ind w:left="180"/>
        <w:jc w:val="both"/>
        <w:rPr>
          <w:rFonts w:cs="Arial"/>
          <w:sz w:val="16"/>
          <w:szCs w:val="16"/>
        </w:rPr>
      </w:pPr>
      <w:r w:rsidRPr="00866443">
        <w:rPr>
          <w:rFonts w:cs="Arial"/>
          <w:b/>
          <w:bCs/>
          <w:snapToGrid w:val="0"/>
          <w:sz w:val="16"/>
          <w:szCs w:val="16"/>
        </w:rPr>
        <w:t>“(121)</w:t>
      </w:r>
      <w:r w:rsidRPr="00866443">
        <w:rPr>
          <w:rFonts w:cs="Arial"/>
          <w:snapToGrid w:val="0"/>
          <w:sz w:val="16"/>
          <w:szCs w:val="16"/>
        </w:rPr>
        <w:t xml:space="preserve"> Profits and gains derived by an assessee from an Industrial undertaking set up in an area declared by the Federal Government to be a “Zone” within the meaning of the Export Processing Zones Authority Ordinance, 1980 (IV of 1980) for the assessment years 1998-99, 1999-2000 and 2000-2001. However, exemption under this clause shall be restricted to the remaining period of exemption to which a company was entitled before the relevant amendments made by the Finance Act, 1996 (IX of 1996).</w:t>
      </w:r>
    </w:p>
  </w:footnote>
  <w:footnote w:id="1972">
    <w:p w:rsidR="00BF2117" w:rsidRPr="00866443" w:rsidRDefault="00BF2117" w:rsidP="00AA4BF8">
      <w:pPr>
        <w:pStyle w:val="FootnoteText"/>
        <w:keepNext/>
        <w:rPr>
          <w:rFonts w:cs="Arial"/>
          <w:sz w:val="16"/>
          <w:szCs w:val="16"/>
        </w:rPr>
      </w:pPr>
      <w:r w:rsidRPr="00866443">
        <w:rPr>
          <w:rStyle w:val="FootnoteReference"/>
          <w:rFonts w:cs="Arial"/>
          <w:sz w:val="16"/>
          <w:szCs w:val="16"/>
        </w:rPr>
        <w:footnoteRef/>
      </w:r>
      <w:r w:rsidRPr="00866443">
        <w:rPr>
          <w:rFonts w:cs="Arial"/>
          <w:sz w:val="16"/>
          <w:szCs w:val="16"/>
        </w:rPr>
        <w:t xml:space="preserve"> Clause (122) omitted by the Finance Act, 2002. The omitted clause (122) read as follows:</w:t>
      </w:r>
    </w:p>
    <w:p w:rsidR="00BF2117" w:rsidRPr="00866443" w:rsidRDefault="00BF2117" w:rsidP="00AA4BF8">
      <w:pPr>
        <w:keepNext/>
        <w:widowControl w:val="0"/>
        <w:ind w:left="180"/>
        <w:jc w:val="both"/>
        <w:rPr>
          <w:rFonts w:cs="Arial"/>
          <w:snapToGrid w:val="0"/>
          <w:sz w:val="16"/>
          <w:szCs w:val="16"/>
        </w:rPr>
      </w:pPr>
      <w:r w:rsidRPr="00866443">
        <w:rPr>
          <w:rFonts w:cs="Arial"/>
          <w:sz w:val="16"/>
          <w:szCs w:val="16"/>
        </w:rPr>
        <w:t>“</w:t>
      </w:r>
      <w:r w:rsidRPr="00866443">
        <w:rPr>
          <w:rFonts w:cs="Arial"/>
          <w:b/>
          <w:bCs/>
          <w:snapToGrid w:val="0"/>
          <w:sz w:val="16"/>
          <w:szCs w:val="16"/>
        </w:rPr>
        <w:t xml:space="preserve"> (122)</w:t>
      </w:r>
      <w:r w:rsidRPr="00866443">
        <w:rPr>
          <w:rFonts w:cs="Arial"/>
          <w:snapToGrid w:val="0"/>
          <w:sz w:val="16"/>
          <w:szCs w:val="16"/>
        </w:rPr>
        <w:tab/>
        <w:t>(1)   Profits and gains derived by a taxpayer from an industrial undertaking for a period of five years from the date of commencement of commercial production.</w:t>
      </w:r>
    </w:p>
    <w:p w:rsidR="00BF2117" w:rsidRPr="00866443" w:rsidRDefault="00BF2117" w:rsidP="00AA4BF8">
      <w:pPr>
        <w:keepNext/>
        <w:widowControl w:val="0"/>
        <w:ind w:firstLine="547"/>
        <w:jc w:val="both"/>
        <w:rPr>
          <w:rFonts w:cs="Arial"/>
          <w:snapToGrid w:val="0"/>
          <w:sz w:val="16"/>
          <w:szCs w:val="16"/>
        </w:rPr>
      </w:pPr>
      <w:r w:rsidRPr="00866443">
        <w:rPr>
          <w:rFonts w:cs="Arial"/>
          <w:snapToGrid w:val="0"/>
          <w:sz w:val="16"/>
          <w:szCs w:val="16"/>
        </w:rPr>
        <w:t xml:space="preserve">(2) </w:t>
      </w:r>
      <w:r w:rsidRPr="00866443">
        <w:rPr>
          <w:rFonts w:cs="Arial"/>
          <w:snapToGrid w:val="0"/>
          <w:sz w:val="16"/>
          <w:szCs w:val="16"/>
        </w:rPr>
        <w:tab/>
        <w:t>The exemption under this clause shall apply to an industrial undertaking which is -</w:t>
      </w:r>
    </w:p>
    <w:p w:rsidR="00BF2117" w:rsidRPr="00866443" w:rsidRDefault="00BF2117" w:rsidP="00AA4BF8">
      <w:pPr>
        <w:keepNext/>
        <w:widowControl w:val="0"/>
        <w:ind w:left="1634" w:hanging="540"/>
        <w:jc w:val="both"/>
        <w:rPr>
          <w:rFonts w:cs="Arial"/>
          <w:snapToGrid w:val="0"/>
          <w:sz w:val="16"/>
          <w:szCs w:val="16"/>
        </w:rPr>
      </w:pPr>
      <w:r w:rsidRPr="00866443">
        <w:rPr>
          <w:rFonts w:cs="Arial"/>
          <w:snapToGrid w:val="0"/>
          <w:sz w:val="16"/>
          <w:szCs w:val="16"/>
        </w:rPr>
        <w:t>(a)</w:t>
      </w:r>
      <w:r w:rsidRPr="00866443">
        <w:rPr>
          <w:rFonts w:cs="Arial"/>
          <w:snapToGrid w:val="0"/>
          <w:sz w:val="16"/>
          <w:szCs w:val="16"/>
        </w:rPr>
        <w:tab/>
        <w:t>engaged in the manufacture of solar thermal, photovoltaic equipment for production of solar energy and solar appliances;</w:t>
      </w:r>
    </w:p>
    <w:p w:rsidR="00BF2117" w:rsidRPr="00866443" w:rsidRDefault="00BF2117" w:rsidP="00AA4BF8">
      <w:pPr>
        <w:keepNext/>
        <w:widowControl w:val="0"/>
        <w:ind w:left="1634" w:hanging="540"/>
        <w:jc w:val="both"/>
        <w:rPr>
          <w:rFonts w:cs="Arial"/>
          <w:snapToGrid w:val="0"/>
          <w:sz w:val="16"/>
          <w:szCs w:val="16"/>
        </w:rPr>
      </w:pPr>
      <w:r w:rsidRPr="00866443">
        <w:rPr>
          <w:rFonts w:cs="Arial"/>
          <w:snapToGrid w:val="0"/>
          <w:sz w:val="16"/>
          <w:szCs w:val="16"/>
        </w:rPr>
        <w:t>(b)</w:t>
      </w:r>
      <w:r w:rsidRPr="00866443">
        <w:rPr>
          <w:rFonts w:cs="Arial"/>
          <w:snapToGrid w:val="0"/>
          <w:sz w:val="16"/>
          <w:szCs w:val="16"/>
        </w:rPr>
        <w:tab/>
        <w:t>set up between the first day of July, 1997 and the thirtieth day of June, 2000; and</w:t>
      </w:r>
    </w:p>
    <w:p w:rsidR="00BF2117" w:rsidRPr="00866443" w:rsidRDefault="00BF2117" w:rsidP="00AA4BF8">
      <w:pPr>
        <w:widowControl w:val="0"/>
        <w:ind w:left="1634" w:hanging="540"/>
        <w:jc w:val="both"/>
        <w:rPr>
          <w:rFonts w:cs="Arial"/>
          <w:sz w:val="16"/>
          <w:szCs w:val="16"/>
        </w:rPr>
      </w:pPr>
      <w:r w:rsidRPr="00866443">
        <w:rPr>
          <w:rFonts w:cs="Arial"/>
          <w:snapToGrid w:val="0"/>
          <w:sz w:val="16"/>
          <w:szCs w:val="16"/>
        </w:rPr>
        <w:t>(c)</w:t>
      </w:r>
      <w:r w:rsidRPr="00866443">
        <w:rPr>
          <w:rFonts w:cs="Arial"/>
          <w:snapToGrid w:val="0"/>
          <w:sz w:val="16"/>
          <w:szCs w:val="16"/>
        </w:rPr>
        <w:tab/>
      </w:r>
      <w:r w:rsidRPr="00866443">
        <w:rPr>
          <w:rFonts w:cs="Arial"/>
          <w:snapToGrid w:val="0"/>
          <w:sz w:val="16"/>
          <w:szCs w:val="16"/>
        </w:rPr>
        <w:tab/>
        <w:t>is not formed by splitting up or the reconstruction or reconstitution of business already in existence or by transfer to a new business of any machinery or plant in Pakistan at any time before the commencement of the new business.”</w:t>
      </w:r>
    </w:p>
  </w:footnote>
  <w:footnote w:id="1973">
    <w:p w:rsidR="00BF2117" w:rsidRPr="00866443" w:rsidRDefault="00BF2117" w:rsidP="00AA4BF8">
      <w:pPr>
        <w:pStyle w:val="FootnoteText"/>
        <w:keepNext/>
        <w:rPr>
          <w:rFonts w:cs="Arial"/>
          <w:sz w:val="16"/>
          <w:szCs w:val="16"/>
        </w:rPr>
      </w:pPr>
      <w:r w:rsidRPr="00866443">
        <w:rPr>
          <w:rStyle w:val="FootnoteReference"/>
          <w:rFonts w:cs="Arial"/>
          <w:sz w:val="16"/>
          <w:szCs w:val="16"/>
        </w:rPr>
        <w:footnoteRef/>
      </w:r>
      <w:r w:rsidRPr="00866443">
        <w:rPr>
          <w:rFonts w:cs="Arial"/>
          <w:sz w:val="16"/>
          <w:szCs w:val="16"/>
        </w:rPr>
        <w:t xml:space="preserve"> Clause (123) omitted by the Finance Act, 2002. The omitted clause (123) read as follows:</w:t>
      </w:r>
    </w:p>
    <w:p w:rsidR="00BF2117" w:rsidRPr="00866443" w:rsidRDefault="00BF2117" w:rsidP="00AA4BF8">
      <w:pPr>
        <w:pStyle w:val="BodyText3"/>
        <w:keepNext/>
        <w:ind w:left="180"/>
        <w:rPr>
          <w:rFonts w:ascii="Arial" w:hAnsi="Arial" w:cs="Arial"/>
          <w:sz w:val="16"/>
          <w:szCs w:val="16"/>
        </w:rPr>
      </w:pPr>
      <w:r w:rsidRPr="00866443">
        <w:rPr>
          <w:rFonts w:ascii="Arial" w:hAnsi="Arial" w:cs="Arial"/>
          <w:b/>
          <w:bCs/>
          <w:sz w:val="16"/>
          <w:szCs w:val="16"/>
        </w:rPr>
        <w:t>“ (123)</w:t>
      </w:r>
      <w:r w:rsidRPr="00866443">
        <w:rPr>
          <w:rFonts w:ascii="Arial" w:hAnsi="Arial" w:cs="Arial"/>
          <w:sz w:val="16"/>
          <w:szCs w:val="16"/>
        </w:rPr>
        <w:tab/>
        <w:t xml:space="preserve">Profits and gains derived by a taxpayer from an industrial undertaking set up in an area declared by the Federal Government to be a "Zone" within the meaning of the Export Processing Zones Authority Ordinance, 1980 (IV of 1980), for a period of five years from the date of commencement of production, and for such further period as may be allowed by the Federal Government: </w:t>
      </w:r>
    </w:p>
    <w:p w:rsidR="00BF2117" w:rsidRPr="00866443" w:rsidRDefault="00BF2117" w:rsidP="00AA4BF8">
      <w:pPr>
        <w:widowControl w:val="0"/>
        <w:ind w:left="547" w:firstLine="367"/>
        <w:jc w:val="both"/>
        <w:rPr>
          <w:sz w:val="16"/>
          <w:szCs w:val="16"/>
        </w:rPr>
      </w:pPr>
      <w:r w:rsidRPr="00866443">
        <w:rPr>
          <w:rFonts w:cs="Arial"/>
          <w:snapToGrid w:val="0"/>
          <w:sz w:val="16"/>
          <w:szCs w:val="16"/>
        </w:rPr>
        <w:t>Provided that nothing contained in this clause shall apply to an industrial undertaking set</w:t>
      </w:r>
      <w:r w:rsidRPr="00866443">
        <w:rPr>
          <w:snapToGrid w:val="0"/>
          <w:sz w:val="16"/>
          <w:szCs w:val="16"/>
        </w:rPr>
        <w:t xml:space="preserve"> up after the 30th June, 1997.”</w:t>
      </w:r>
    </w:p>
  </w:footnote>
  <w:footnote w:id="1974">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(124) omitted by the Finance Act, 2002. The omitted clause (124) read as follows::</w:t>
      </w:r>
    </w:p>
    <w:p w:rsidR="00BF2117" w:rsidRPr="00866443" w:rsidRDefault="00BF2117" w:rsidP="00AA4BF8">
      <w:pPr>
        <w:pStyle w:val="FootnoteText"/>
        <w:keepNext/>
        <w:ind w:left="270" w:hanging="90"/>
        <w:jc w:val="both"/>
        <w:rPr>
          <w:sz w:val="16"/>
          <w:szCs w:val="16"/>
        </w:rPr>
      </w:pPr>
      <w:r w:rsidRPr="00866443">
        <w:rPr>
          <w:sz w:val="16"/>
          <w:szCs w:val="16"/>
        </w:rPr>
        <w:t xml:space="preserve"> “</w:t>
      </w:r>
      <w:r w:rsidRPr="00866443">
        <w:rPr>
          <w:b/>
          <w:bCs/>
          <w:sz w:val="16"/>
          <w:szCs w:val="16"/>
        </w:rPr>
        <w:t xml:space="preserve">(124)  </w:t>
      </w:r>
      <w:r w:rsidRPr="00866443">
        <w:rPr>
          <w:sz w:val="16"/>
          <w:szCs w:val="16"/>
        </w:rPr>
        <w:t xml:space="preserve"> Profits and gains derived by a taxpayer up to the thirtieth day of June, 1997,from an industrial undertaking set up in the Karachi Export Processing Zone, declared by the Federal Government as a ‘Zone’ within the meaning of the Export Processing Zone, Authority Ordinance, 1980 (IV of 1980).”</w:t>
      </w:r>
    </w:p>
  </w:footnote>
  <w:footnote w:id="1975">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(125) omitted by the Finance Act, 2002. The omitted clause (125) read as follows::</w:t>
      </w:r>
    </w:p>
    <w:p w:rsidR="00BF2117" w:rsidRPr="00866443" w:rsidRDefault="00BF2117" w:rsidP="00AA4BF8">
      <w:pPr>
        <w:keepNext/>
        <w:widowControl w:val="0"/>
        <w:ind w:left="180"/>
        <w:jc w:val="both"/>
        <w:rPr>
          <w:snapToGrid w:val="0"/>
          <w:sz w:val="16"/>
          <w:szCs w:val="16"/>
        </w:rPr>
      </w:pPr>
      <w:r w:rsidRPr="00866443">
        <w:rPr>
          <w:sz w:val="16"/>
          <w:szCs w:val="16"/>
        </w:rPr>
        <w:t>“</w:t>
      </w:r>
      <w:r w:rsidRPr="00866443">
        <w:rPr>
          <w:b/>
          <w:bCs/>
          <w:snapToGrid w:val="0"/>
          <w:sz w:val="16"/>
          <w:szCs w:val="16"/>
        </w:rPr>
        <w:t xml:space="preserve">(125) </w:t>
      </w:r>
      <w:r w:rsidRPr="00866443">
        <w:rPr>
          <w:snapToGrid w:val="0"/>
          <w:sz w:val="16"/>
          <w:szCs w:val="16"/>
        </w:rPr>
        <w:t>(1)  Profits and gains derived by a company for a period of five years from an industrial undertaking set up in such area and within such period and on such conditions as the Federal Government may, by notification in the Official Gazette, specify: </w:t>
      </w:r>
    </w:p>
    <w:p w:rsidR="00BF2117" w:rsidRPr="00866443" w:rsidRDefault="00BF2117" w:rsidP="00AA4BF8">
      <w:pPr>
        <w:keepNext/>
        <w:widowControl w:val="0"/>
        <w:ind w:left="547" w:firstLine="367"/>
        <w:jc w:val="both"/>
        <w:rPr>
          <w:snapToGrid w:val="0"/>
          <w:sz w:val="16"/>
          <w:szCs w:val="16"/>
        </w:rPr>
      </w:pPr>
      <w:r w:rsidRPr="00866443">
        <w:rPr>
          <w:snapToGrid w:val="0"/>
          <w:sz w:val="16"/>
          <w:szCs w:val="16"/>
        </w:rPr>
        <w:t>Provided that the exemption under this sub-clause shall not be available after the 31st January, 1996, except to such companies otherwise qualifying under this clause, which have established letters of credit for the import of plant and machinery for such industrial undertaking by the 31st January, 1996.</w:t>
      </w:r>
    </w:p>
    <w:p w:rsidR="00BF2117" w:rsidRPr="00866443" w:rsidRDefault="00BF2117" w:rsidP="00AA4BF8">
      <w:pPr>
        <w:keepNext/>
        <w:widowControl w:val="0"/>
        <w:ind w:left="180" w:firstLine="367"/>
        <w:jc w:val="both"/>
        <w:rPr>
          <w:snapToGrid w:val="0"/>
          <w:sz w:val="16"/>
          <w:szCs w:val="16"/>
        </w:rPr>
      </w:pPr>
      <w:r w:rsidRPr="00866443">
        <w:rPr>
          <w:snapToGrid w:val="0"/>
          <w:sz w:val="16"/>
          <w:szCs w:val="16"/>
        </w:rPr>
        <w:t>(2)</w:t>
      </w:r>
      <w:r w:rsidRPr="00866443">
        <w:rPr>
          <w:snapToGrid w:val="0"/>
          <w:sz w:val="16"/>
          <w:szCs w:val="16"/>
        </w:rPr>
        <w:tab/>
        <w:t>Income chargeable under the head "Capital gains" derived by a taxpayer from the sale of shares representing foreign equity in such company and on such conditions as the Federal Government may, by notification in the official Gazette, specify: </w:t>
      </w:r>
    </w:p>
    <w:p w:rsidR="00BF2117" w:rsidRPr="00866443" w:rsidRDefault="00BF2117" w:rsidP="00AA4BF8">
      <w:pPr>
        <w:pStyle w:val="FootnoteText"/>
        <w:ind w:left="180" w:firstLine="367"/>
        <w:rPr>
          <w:sz w:val="16"/>
          <w:szCs w:val="16"/>
        </w:rPr>
      </w:pPr>
      <w:r w:rsidRPr="00866443">
        <w:rPr>
          <w:snapToGrid w:val="0"/>
          <w:sz w:val="16"/>
          <w:szCs w:val="16"/>
        </w:rPr>
        <w:t>Provided that the exemption under this sub-clause shall not be  available to a taxpayer from the sale of shares representing foreign equity in such companies which do not qualify for exemption under sub-clause (1).”</w:t>
      </w:r>
    </w:p>
  </w:footnote>
  <w:footnote w:id="1976">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lang w:val="en-US"/>
        </w:rPr>
        <w:t>Clause (126) substituted by the Finance Act, 2014. The substituted Clause (126) read as follows:</w:t>
      </w:r>
    </w:p>
    <w:p w:rsidR="00BF2117" w:rsidRPr="00C75159" w:rsidRDefault="00BF2117" w:rsidP="001A3AB5">
      <w:pPr>
        <w:widowControl w:val="0"/>
        <w:jc w:val="both"/>
        <w:rPr>
          <w:snapToGrid w:val="0"/>
          <w:color w:val="000000" w:themeColor="text1"/>
          <w:sz w:val="16"/>
          <w:szCs w:val="16"/>
        </w:rPr>
      </w:pPr>
      <w:r w:rsidRPr="00C75159">
        <w:rPr>
          <w:color w:val="000000" w:themeColor="text1"/>
          <w:sz w:val="16"/>
          <w:szCs w:val="16"/>
          <w:lang w:val="en-US"/>
        </w:rPr>
        <w:tab/>
        <w:t>“</w:t>
      </w:r>
      <w:r w:rsidRPr="00C75159">
        <w:rPr>
          <w:rFonts w:cs="Arial"/>
          <w:b/>
          <w:snapToGrid w:val="0"/>
          <w:color w:val="000000" w:themeColor="text1"/>
          <w:sz w:val="16"/>
          <w:szCs w:val="16"/>
        </w:rPr>
        <w:t>(126)</w:t>
      </w:r>
      <w:r w:rsidRPr="00C75159">
        <w:rPr>
          <w:snapToGrid w:val="0"/>
          <w:color w:val="000000" w:themeColor="text1"/>
          <w:sz w:val="16"/>
          <w:szCs w:val="16"/>
        </w:rPr>
        <w:tab/>
        <w:t>(1) Profits and gains derived by a taxpayer from an industrial undertaking  set up between the first day of July, 1995, and the 31</w:t>
      </w:r>
      <w:r w:rsidRPr="00C75159">
        <w:rPr>
          <w:snapToGrid w:val="0"/>
          <w:color w:val="000000" w:themeColor="text1"/>
          <w:sz w:val="16"/>
          <w:szCs w:val="16"/>
          <w:vertAlign w:val="superscript"/>
        </w:rPr>
        <w:t>st</w:t>
      </w:r>
      <w:r w:rsidRPr="00C75159">
        <w:rPr>
          <w:snapToGrid w:val="0"/>
          <w:color w:val="000000" w:themeColor="text1"/>
          <w:sz w:val="16"/>
          <w:szCs w:val="16"/>
        </w:rPr>
        <w:t xml:space="preserve"> day of December, 2002, both days inclusive, for a period of ten years beginning with the month in which the undertaking is set up or commercial production is commenced, whichever is the later: </w:t>
      </w:r>
    </w:p>
    <w:p w:rsidR="00BF2117" w:rsidRPr="00C75159" w:rsidRDefault="00BF2117" w:rsidP="001A3AB5">
      <w:pPr>
        <w:widowControl w:val="0"/>
        <w:ind w:left="1094" w:firstLine="541"/>
        <w:jc w:val="both"/>
        <w:rPr>
          <w:rFonts w:cs="Arial"/>
          <w:snapToGrid w:val="0"/>
          <w:color w:val="000000" w:themeColor="text1"/>
          <w:sz w:val="16"/>
          <w:szCs w:val="16"/>
        </w:rPr>
      </w:pPr>
    </w:p>
    <w:p w:rsidR="00BF2117" w:rsidRPr="00C75159" w:rsidRDefault="00BF2117" w:rsidP="001A3AB5">
      <w:pPr>
        <w:widowControl w:val="0"/>
        <w:ind w:left="1094" w:firstLine="541"/>
        <w:jc w:val="both"/>
        <w:rPr>
          <w:rFonts w:cs="Arial"/>
          <w:b/>
          <w:snapToGrid w:val="0"/>
          <w:color w:val="000000" w:themeColor="text1"/>
          <w:sz w:val="16"/>
          <w:szCs w:val="16"/>
        </w:rPr>
      </w:pPr>
      <w:r w:rsidRPr="00C75159">
        <w:rPr>
          <w:rFonts w:cs="Arial"/>
          <w:snapToGrid w:val="0"/>
          <w:color w:val="000000" w:themeColor="text1"/>
          <w:sz w:val="16"/>
          <w:szCs w:val="16"/>
        </w:rPr>
        <w:t>Provided that the exemption under this clause shall not be available after the 31st January, 1996, except to such taxpayers, otherwise qualifying under this clause, who have established letters of credit for the import of plant and machinery for such industrial undertaking by the 31st January, 1996</w:t>
      </w:r>
      <w:r w:rsidRPr="00C75159">
        <w:rPr>
          <w:rFonts w:cs="Arial"/>
          <w:b/>
          <w:snapToGrid w:val="0"/>
          <w:color w:val="000000" w:themeColor="text1"/>
          <w:sz w:val="16"/>
          <w:szCs w:val="16"/>
        </w:rPr>
        <w:t>:</w:t>
      </w:r>
    </w:p>
    <w:p w:rsidR="00BF2117" w:rsidRPr="00C75159" w:rsidRDefault="00BF2117" w:rsidP="001A3AB5">
      <w:pPr>
        <w:widowControl w:val="0"/>
        <w:jc w:val="both"/>
        <w:rPr>
          <w:rFonts w:cs="Arial"/>
          <w:snapToGrid w:val="0"/>
          <w:color w:val="000000" w:themeColor="text1"/>
          <w:sz w:val="16"/>
          <w:szCs w:val="16"/>
        </w:rPr>
      </w:pPr>
    </w:p>
    <w:p w:rsidR="00BF2117" w:rsidRPr="00C75159" w:rsidRDefault="00BF2117" w:rsidP="001A3AB5">
      <w:pPr>
        <w:widowControl w:val="0"/>
        <w:ind w:left="1094" w:firstLine="840"/>
        <w:jc w:val="both"/>
        <w:rPr>
          <w:snapToGrid w:val="0"/>
          <w:color w:val="000000" w:themeColor="text1"/>
          <w:sz w:val="16"/>
          <w:szCs w:val="16"/>
        </w:rPr>
      </w:pPr>
      <w:r w:rsidRPr="00C75159">
        <w:rPr>
          <w:snapToGrid w:val="0"/>
          <w:color w:val="000000" w:themeColor="text1"/>
          <w:sz w:val="16"/>
          <w:szCs w:val="16"/>
        </w:rPr>
        <w:t>Provided further that the extension in deadline from the 30</w:t>
      </w:r>
      <w:r w:rsidRPr="00C75159">
        <w:rPr>
          <w:snapToGrid w:val="0"/>
          <w:color w:val="000000" w:themeColor="text1"/>
          <w:sz w:val="16"/>
          <w:szCs w:val="16"/>
          <w:vertAlign w:val="superscript"/>
        </w:rPr>
        <w:t>th</w:t>
      </w:r>
      <w:r w:rsidRPr="00C75159">
        <w:rPr>
          <w:snapToGrid w:val="0"/>
          <w:color w:val="000000" w:themeColor="text1"/>
          <w:sz w:val="16"/>
          <w:szCs w:val="16"/>
        </w:rPr>
        <w:t xml:space="preserve"> June, 1999, to the 31</w:t>
      </w:r>
      <w:r w:rsidRPr="00C75159">
        <w:rPr>
          <w:snapToGrid w:val="0"/>
          <w:color w:val="000000" w:themeColor="text1"/>
          <w:sz w:val="16"/>
          <w:szCs w:val="16"/>
          <w:vertAlign w:val="superscript"/>
        </w:rPr>
        <w:t>st</w:t>
      </w:r>
      <w:r w:rsidRPr="00C75159">
        <w:rPr>
          <w:snapToGrid w:val="0"/>
          <w:color w:val="000000" w:themeColor="text1"/>
          <w:sz w:val="16"/>
          <w:szCs w:val="16"/>
        </w:rPr>
        <w:t xml:space="preserve"> December, 2002, shall not apply to those projects whose cases are </w:t>
      </w:r>
      <w:r w:rsidRPr="00C75159">
        <w:rPr>
          <w:i/>
          <w:snapToGrid w:val="0"/>
          <w:color w:val="000000" w:themeColor="text1"/>
          <w:sz w:val="16"/>
          <w:szCs w:val="16"/>
        </w:rPr>
        <w:t>sub judice</w:t>
      </w:r>
      <w:r w:rsidRPr="00C75159">
        <w:rPr>
          <w:snapToGrid w:val="0"/>
          <w:color w:val="000000" w:themeColor="text1"/>
          <w:sz w:val="16"/>
          <w:szCs w:val="16"/>
        </w:rPr>
        <w:t xml:space="preserve"> and that the Federal Government shall decide such cases in accordance with the verdict of the apex Court.</w:t>
      </w:r>
    </w:p>
    <w:p w:rsidR="00BF2117" w:rsidRPr="00C75159" w:rsidRDefault="00BF2117" w:rsidP="001A3AB5">
      <w:pPr>
        <w:widowControl w:val="0"/>
        <w:jc w:val="both"/>
        <w:rPr>
          <w:rFonts w:cs="Arial"/>
          <w:snapToGrid w:val="0"/>
          <w:color w:val="000000" w:themeColor="text1"/>
          <w:sz w:val="16"/>
          <w:szCs w:val="16"/>
        </w:rPr>
      </w:pPr>
    </w:p>
    <w:p w:rsidR="00BF2117" w:rsidRPr="00C75159" w:rsidRDefault="00BF2117" w:rsidP="001A3AB5">
      <w:pPr>
        <w:widowControl w:val="0"/>
        <w:jc w:val="both"/>
        <w:rPr>
          <w:rFonts w:cs="Arial"/>
          <w:snapToGrid w:val="0"/>
          <w:color w:val="000000" w:themeColor="text1"/>
          <w:sz w:val="16"/>
          <w:szCs w:val="16"/>
        </w:rPr>
      </w:pPr>
      <w:r w:rsidRPr="00C75159">
        <w:rPr>
          <w:rFonts w:cs="Arial"/>
          <w:snapToGrid w:val="0"/>
          <w:color w:val="000000" w:themeColor="text1"/>
          <w:sz w:val="16"/>
          <w:szCs w:val="16"/>
        </w:rPr>
        <w:t>(2)</w:t>
      </w:r>
      <w:r w:rsidRPr="00C75159">
        <w:rPr>
          <w:rFonts w:cs="Arial"/>
          <w:snapToGrid w:val="0"/>
          <w:color w:val="000000" w:themeColor="text1"/>
          <w:sz w:val="16"/>
          <w:szCs w:val="16"/>
        </w:rPr>
        <w:tab/>
        <w:t>The exemption under this clause shall apply to an industrial undertaking which fulfils the following conditions, namely :-</w:t>
      </w:r>
    </w:p>
    <w:p w:rsidR="00BF2117" w:rsidRPr="00C75159" w:rsidRDefault="00BF2117" w:rsidP="001A3AB5">
      <w:pPr>
        <w:widowControl w:val="0"/>
        <w:ind w:left="1634" w:hanging="540"/>
        <w:jc w:val="both"/>
        <w:rPr>
          <w:rFonts w:cs="Arial"/>
          <w:snapToGrid w:val="0"/>
          <w:color w:val="000000" w:themeColor="text1"/>
          <w:sz w:val="16"/>
          <w:szCs w:val="16"/>
        </w:rPr>
      </w:pPr>
      <w:r w:rsidRPr="00C75159">
        <w:rPr>
          <w:rFonts w:cs="Arial"/>
          <w:snapToGrid w:val="0"/>
          <w:color w:val="000000" w:themeColor="text1"/>
          <w:sz w:val="16"/>
          <w:szCs w:val="16"/>
        </w:rPr>
        <w:t>(a)</w:t>
      </w:r>
      <w:r w:rsidRPr="00C75159">
        <w:rPr>
          <w:rFonts w:cs="Arial"/>
          <w:snapToGrid w:val="0"/>
          <w:color w:val="000000" w:themeColor="text1"/>
          <w:sz w:val="16"/>
          <w:szCs w:val="16"/>
        </w:rPr>
        <w:tab/>
        <w:t>that it is set up in such area as may be notified by the Federal Government to be a Special Industrial Zone ;</w:t>
      </w:r>
    </w:p>
    <w:p w:rsidR="00BF2117" w:rsidRPr="00C75159" w:rsidRDefault="00BF2117" w:rsidP="001A3AB5">
      <w:pPr>
        <w:widowControl w:val="0"/>
        <w:ind w:left="1634" w:hanging="540"/>
        <w:jc w:val="both"/>
        <w:rPr>
          <w:rFonts w:cs="Arial"/>
          <w:snapToGrid w:val="0"/>
          <w:color w:val="000000" w:themeColor="text1"/>
          <w:sz w:val="16"/>
          <w:szCs w:val="16"/>
        </w:rPr>
      </w:pPr>
      <w:r w:rsidRPr="00C75159">
        <w:rPr>
          <w:rFonts w:cs="Arial"/>
          <w:snapToGrid w:val="0"/>
          <w:color w:val="000000" w:themeColor="text1"/>
          <w:sz w:val="16"/>
          <w:szCs w:val="16"/>
        </w:rPr>
        <w:t>(b)</w:t>
      </w:r>
      <w:r w:rsidRPr="00C75159">
        <w:rPr>
          <w:rFonts w:cs="Arial"/>
          <w:snapToGrid w:val="0"/>
          <w:color w:val="000000" w:themeColor="text1"/>
          <w:sz w:val="16"/>
          <w:szCs w:val="16"/>
        </w:rPr>
        <w:tab/>
        <w:t>that it is not formed by the splitting up, or the reconstruction or reconstitution of a business already in existence or by transfer to a new business of any machinery or plant used in a business which was being carried on in Pakistan at any time before the commencement of the new business;</w:t>
      </w:r>
    </w:p>
    <w:p w:rsidR="00BF2117" w:rsidRPr="00C75159" w:rsidRDefault="00BF2117" w:rsidP="001A3AB5">
      <w:pPr>
        <w:widowControl w:val="0"/>
        <w:ind w:left="1634" w:hanging="540"/>
        <w:jc w:val="both"/>
        <w:rPr>
          <w:rFonts w:cs="Arial"/>
          <w:snapToGrid w:val="0"/>
          <w:color w:val="000000" w:themeColor="text1"/>
          <w:sz w:val="16"/>
          <w:szCs w:val="16"/>
        </w:rPr>
      </w:pPr>
      <w:r w:rsidRPr="00C75159">
        <w:rPr>
          <w:rFonts w:cs="Arial"/>
          <w:snapToGrid w:val="0"/>
          <w:color w:val="000000" w:themeColor="text1"/>
          <w:sz w:val="16"/>
          <w:szCs w:val="16"/>
        </w:rPr>
        <w:t>(c)</w:t>
      </w:r>
      <w:r w:rsidRPr="00C75159">
        <w:rPr>
          <w:rFonts w:cs="Arial"/>
          <w:snapToGrid w:val="0"/>
          <w:color w:val="000000" w:themeColor="text1"/>
          <w:sz w:val="16"/>
          <w:szCs w:val="16"/>
        </w:rPr>
        <w:tab/>
        <w:t>that it is owned and managed by a company formed exclusively for operating such industrial undertaking and registered under the Companies Ordinance, 1984 (XLVII of 1984), having its registered office in Pakistan ; and</w:t>
      </w:r>
    </w:p>
    <w:p w:rsidR="00BF2117" w:rsidRPr="00C75159" w:rsidRDefault="00BF2117" w:rsidP="00866443">
      <w:pPr>
        <w:widowControl w:val="0"/>
        <w:ind w:left="1634" w:hanging="540"/>
        <w:jc w:val="both"/>
        <w:rPr>
          <w:color w:val="000000" w:themeColor="text1"/>
          <w:sz w:val="16"/>
          <w:szCs w:val="16"/>
          <w:lang w:val="en-US"/>
        </w:rPr>
      </w:pPr>
      <w:r w:rsidRPr="00C75159">
        <w:rPr>
          <w:rFonts w:cs="Arial"/>
          <w:snapToGrid w:val="0"/>
          <w:color w:val="000000" w:themeColor="text1"/>
          <w:sz w:val="16"/>
          <w:szCs w:val="16"/>
        </w:rPr>
        <w:t>(d)</w:t>
      </w:r>
      <w:r w:rsidRPr="00C75159">
        <w:rPr>
          <w:rFonts w:cs="Arial"/>
          <w:snapToGrid w:val="0"/>
          <w:color w:val="000000" w:themeColor="text1"/>
          <w:sz w:val="16"/>
          <w:szCs w:val="16"/>
        </w:rPr>
        <w:tab/>
        <w:t>that it is not engaged in the manufacture of arms and ammunition, security printing, currency and mint, high explosives, radioactive substances, alcohol (except industrial alcohol), cotton ginning, spinning (except as part of integrated textile unit), sugar manufacturing (white), flour milling, steel re-rolling and furnace, Tobacco industry, ghee or vegetable oil industry, plastic bags (including Polyropylene, and Polyethylene), beverages (excluding fruit juices), polyester industry, automobile assembly and cement industry.</w:t>
      </w:r>
    </w:p>
  </w:footnote>
  <w:footnote w:id="1977">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lang w:val="en-US"/>
        </w:rPr>
        <w:t xml:space="preserve">Clause (126 A) substituted by the Finance Act, 2014. The substituted clause (126A) read as follows: </w:t>
      </w:r>
    </w:p>
    <w:p w:rsidR="00BF2117" w:rsidRPr="00C75159" w:rsidRDefault="00BF2117" w:rsidP="000D04C0">
      <w:pPr>
        <w:widowControl w:val="0"/>
        <w:ind w:left="720" w:hanging="173"/>
        <w:jc w:val="both"/>
        <w:rPr>
          <w:rFonts w:cs="Arial"/>
          <w:snapToGrid w:val="0"/>
          <w:color w:val="000000" w:themeColor="text1"/>
          <w:sz w:val="16"/>
          <w:szCs w:val="16"/>
        </w:rPr>
      </w:pPr>
      <w:r w:rsidRPr="00C75159">
        <w:rPr>
          <w:rFonts w:cs="Arial"/>
          <w:b/>
          <w:snapToGrid w:val="0"/>
          <w:color w:val="000000" w:themeColor="text1"/>
          <w:sz w:val="16"/>
          <w:szCs w:val="16"/>
        </w:rPr>
        <w:t>“(126A)</w:t>
      </w:r>
      <w:r w:rsidRPr="00C75159">
        <w:rPr>
          <w:rFonts w:cs="Arial"/>
          <w:snapToGrid w:val="0"/>
          <w:color w:val="000000" w:themeColor="text1"/>
          <w:sz w:val="16"/>
          <w:szCs w:val="16"/>
        </w:rPr>
        <w:tab/>
        <w:t xml:space="preserve">income derived by – </w:t>
      </w:r>
    </w:p>
    <w:p w:rsidR="00BF2117" w:rsidRPr="00C75159" w:rsidRDefault="00BF2117" w:rsidP="001A3AB5">
      <w:pPr>
        <w:widowControl w:val="0"/>
        <w:ind w:left="720" w:hanging="720"/>
        <w:jc w:val="both"/>
        <w:rPr>
          <w:rFonts w:cs="Arial"/>
          <w:snapToGrid w:val="0"/>
          <w:color w:val="000000" w:themeColor="text1"/>
          <w:sz w:val="16"/>
          <w:szCs w:val="16"/>
        </w:rPr>
      </w:pPr>
      <w:r w:rsidRPr="00C75159">
        <w:rPr>
          <w:rFonts w:cs="Arial"/>
          <w:snapToGrid w:val="0"/>
          <w:color w:val="000000" w:themeColor="text1"/>
          <w:sz w:val="16"/>
          <w:szCs w:val="16"/>
        </w:rPr>
        <w:tab/>
      </w:r>
      <w:r w:rsidRPr="00C75159">
        <w:rPr>
          <w:rFonts w:cs="Arial"/>
          <w:snapToGrid w:val="0"/>
          <w:color w:val="000000" w:themeColor="text1"/>
          <w:sz w:val="16"/>
          <w:szCs w:val="16"/>
        </w:rPr>
        <w:tab/>
        <w:t xml:space="preserve">(a) </w:t>
      </w:r>
      <w:r w:rsidRPr="00C75159">
        <w:rPr>
          <w:rFonts w:cs="Arial"/>
          <w:snapToGrid w:val="0"/>
          <w:color w:val="000000" w:themeColor="text1"/>
          <w:sz w:val="16"/>
          <w:szCs w:val="16"/>
        </w:rPr>
        <w:tab/>
        <w:t>Gawadar Free Zone Company Limited;</w:t>
      </w:r>
    </w:p>
    <w:p w:rsidR="00BF2117" w:rsidRPr="00C75159" w:rsidRDefault="00BF2117" w:rsidP="001A3AB5">
      <w:pPr>
        <w:widowControl w:val="0"/>
        <w:ind w:left="720" w:hanging="720"/>
        <w:jc w:val="both"/>
        <w:rPr>
          <w:rFonts w:cs="Arial"/>
          <w:snapToGrid w:val="0"/>
          <w:color w:val="000000" w:themeColor="text1"/>
          <w:sz w:val="16"/>
          <w:szCs w:val="16"/>
        </w:rPr>
      </w:pPr>
      <w:r w:rsidRPr="00C75159">
        <w:rPr>
          <w:rFonts w:cs="Arial"/>
          <w:snapToGrid w:val="0"/>
          <w:color w:val="000000" w:themeColor="text1"/>
          <w:sz w:val="16"/>
          <w:szCs w:val="16"/>
        </w:rPr>
        <w:tab/>
      </w:r>
      <w:r w:rsidRPr="00C75159">
        <w:rPr>
          <w:rFonts w:cs="Arial"/>
          <w:snapToGrid w:val="0"/>
          <w:color w:val="000000" w:themeColor="text1"/>
          <w:sz w:val="16"/>
          <w:szCs w:val="16"/>
        </w:rPr>
        <w:tab/>
        <w:t xml:space="preserve">(b) </w:t>
      </w:r>
      <w:r w:rsidRPr="00C75159">
        <w:rPr>
          <w:rFonts w:cs="Arial"/>
          <w:snapToGrid w:val="0"/>
          <w:color w:val="000000" w:themeColor="text1"/>
          <w:sz w:val="16"/>
          <w:szCs w:val="16"/>
        </w:rPr>
        <w:tab/>
        <w:t>PSA Gawadar International Terminal Limited;</w:t>
      </w:r>
    </w:p>
    <w:p w:rsidR="00BF2117" w:rsidRPr="00C75159" w:rsidRDefault="00BF2117" w:rsidP="001A3AB5">
      <w:pPr>
        <w:widowControl w:val="0"/>
        <w:ind w:left="720" w:hanging="720"/>
        <w:jc w:val="both"/>
        <w:rPr>
          <w:rFonts w:cs="Arial"/>
          <w:snapToGrid w:val="0"/>
          <w:color w:val="000000" w:themeColor="text1"/>
          <w:sz w:val="16"/>
          <w:szCs w:val="16"/>
        </w:rPr>
      </w:pPr>
      <w:r w:rsidRPr="00C75159">
        <w:rPr>
          <w:rFonts w:cs="Arial"/>
          <w:snapToGrid w:val="0"/>
          <w:color w:val="000000" w:themeColor="text1"/>
          <w:sz w:val="16"/>
          <w:szCs w:val="16"/>
        </w:rPr>
        <w:tab/>
      </w:r>
      <w:r w:rsidRPr="00C75159">
        <w:rPr>
          <w:rFonts w:cs="Arial"/>
          <w:snapToGrid w:val="0"/>
          <w:color w:val="000000" w:themeColor="text1"/>
          <w:sz w:val="16"/>
          <w:szCs w:val="16"/>
        </w:rPr>
        <w:tab/>
        <w:t>(c)</w:t>
      </w:r>
      <w:r w:rsidRPr="00C75159">
        <w:rPr>
          <w:rFonts w:cs="Arial"/>
          <w:snapToGrid w:val="0"/>
          <w:color w:val="000000" w:themeColor="text1"/>
          <w:sz w:val="16"/>
          <w:szCs w:val="16"/>
        </w:rPr>
        <w:tab/>
        <w:t>Gawadar Marine Services Limited; and</w:t>
      </w:r>
    </w:p>
    <w:p w:rsidR="00BF2117" w:rsidRPr="00C75159" w:rsidRDefault="00BF2117" w:rsidP="001A3AB5">
      <w:pPr>
        <w:widowControl w:val="0"/>
        <w:ind w:left="720" w:hanging="720"/>
        <w:jc w:val="both"/>
        <w:rPr>
          <w:rFonts w:cs="Arial"/>
          <w:snapToGrid w:val="0"/>
          <w:color w:val="000000" w:themeColor="text1"/>
          <w:sz w:val="16"/>
          <w:szCs w:val="16"/>
        </w:rPr>
      </w:pPr>
      <w:r w:rsidRPr="00C75159">
        <w:rPr>
          <w:rFonts w:cs="Arial"/>
          <w:snapToGrid w:val="0"/>
          <w:color w:val="000000" w:themeColor="text1"/>
          <w:sz w:val="16"/>
          <w:szCs w:val="16"/>
        </w:rPr>
        <w:tab/>
      </w:r>
      <w:r w:rsidRPr="00C75159">
        <w:rPr>
          <w:rFonts w:cs="Arial"/>
          <w:snapToGrid w:val="0"/>
          <w:color w:val="000000" w:themeColor="text1"/>
          <w:sz w:val="16"/>
          <w:szCs w:val="16"/>
        </w:rPr>
        <w:tab/>
        <w:t xml:space="preserve">(d) </w:t>
      </w:r>
      <w:r w:rsidRPr="00C75159">
        <w:rPr>
          <w:rFonts w:cs="Arial"/>
          <w:snapToGrid w:val="0"/>
          <w:color w:val="000000" w:themeColor="text1"/>
          <w:sz w:val="16"/>
          <w:szCs w:val="16"/>
        </w:rPr>
        <w:tab/>
        <w:t>P.S.A. Gawadar (PTE) Ltd.</w:t>
      </w:r>
    </w:p>
    <w:p w:rsidR="00BF2117" w:rsidRPr="00866443" w:rsidRDefault="00BF2117" w:rsidP="002F6B14">
      <w:pPr>
        <w:widowControl w:val="0"/>
        <w:jc w:val="both"/>
        <w:rPr>
          <w:sz w:val="16"/>
          <w:szCs w:val="16"/>
          <w:lang w:val="en-US"/>
        </w:rPr>
      </w:pPr>
      <w:r w:rsidRPr="00C75159">
        <w:rPr>
          <w:rFonts w:cs="Arial"/>
          <w:snapToGrid w:val="0"/>
          <w:color w:val="000000" w:themeColor="text1"/>
          <w:sz w:val="16"/>
          <w:szCs w:val="16"/>
        </w:rPr>
        <w:t>from Gwadar Port operations for a period of twenty years beginning from the year in which the</w:t>
      </w:r>
      <w:r w:rsidRPr="00866443">
        <w:rPr>
          <w:rFonts w:cs="Arial"/>
          <w:snapToGrid w:val="0"/>
          <w:color w:val="00B0F0"/>
          <w:sz w:val="16"/>
          <w:szCs w:val="16"/>
        </w:rPr>
        <w:t xml:space="preserve"> </w:t>
      </w:r>
      <w:r w:rsidRPr="00C75159">
        <w:rPr>
          <w:rFonts w:cs="Arial"/>
          <w:snapToGrid w:val="0"/>
          <w:color w:val="000000" w:themeColor="text1"/>
          <w:sz w:val="16"/>
          <w:szCs w:val="16"/>
        </w:rPr>
        <w:t>company is set up or commercial operation is commenced, whichever is the later.”</w:t>
      </w:r>
    </w:p>
  </w:footnote>
  <w:footnote w:id="1978">
    <w:p w:rsidR="00BF2117" w:rsidRPr="00D47C20" w:rsidRDefault="00BF2117">
      <w:pPr>
        <w:pStyle w:val="FootnoteText"/>
        <w:rPr>
          <w:color w:val="0070C0"/>
          <w:sz w:val="16"/>
          <w:szCs w:val="16"/>
        </w:rPr>
      </w:pPr>
      <w:r w:rsidRPr="00D47C20">
        <w:rPr>
          <w:rStyle w:val="FootnoteReference"/>
          <w:color w:val="0070C0"/>
          <w:sz w:val="16"/>
          <w:szCs w:val="16"/>
        </w:rPr>
        <w:footnoteRef/>
      </w:r>
      <w:r w:rsidRPr="00D47C20">
        <w:rPr>
          <w:color w:val="0070C0"/>
          <w:sz w:val="16"/>
          <w:szCs w:val="16"/>
        </w:rPr>
        <w:t xml:space="preserve"> Clause (126A) substituted by the Finance Act, 2016. Substituted clause read as follows:-</w:t>
      </w:r>
    </w:p>
    <w:p w:rsidR="00BF2117" w:rsidRPr="002F6B14" w:rsidRDefault="00BF2117" w:rsidP="002F6B14">
      <w:pPr>
        <w:widowControl w:val="0"/>
        <w:jc w:val="both"/>
        <w:rPr>
          <w:color w:val="FF0000"/>
          <w:sz w:val="16"/>
          <w:szCs w:val="16"/>
          <w:lang w:val="en-US"/>
        </w:rPr>
      </w:pPr>
      <w:r w:rsidRPr="002F6B14">
        <w:rPr>
          <w:color w:val="FF0000"/>
          <w:sz w:val="16"/>
          <w:szCs w:val="16"/>
        </w:rPr>
        <w:t xml:space="preserve"> </w:t>
      </w:r>
      <w:r>
        <w:rPr>
          <w:color w:val="FF0000"/>
          <w:sz w:val="16"/>
          <w:szCs w:val="16"/>
        </w:rPr>
        <w:t>“</w:t>
      </w:r>
      <w:r w:rsidRPr="002F6B14">
        <w:rPr>
          <w:b/>
          <w:bCs/>
          <w:snapToGrid w:val="0"/>
          <w:color w:val="000000" w:themeColor="text1"/>
          <w:sz w:val="16"/>
          <w:szCs w:val="16"/>
        </w:rPr>
        <w:t>(126A)</w:t>
      </w:r>
      <w:r w:rsidRPr="002F6B14">
        <w:rPr>
          <w:snapToGrid w:val="0"/>
          <w:color w:val="000000" w:themeColor="text1"/>
          <w:sz w:val="16"/>
          <w:szCs w:val="16"/>
        </w:rPr>
        <w:t xml:space="preserve"> income derived by China Overseas Ports Holding Company Limited</w:t>
      </w:r>
      <w:r w:rsidRPr="002F6B14">
        <w:rPr>
          <w:snapToGrid w:val="0"/>
          <w:color w:val="00B0F0"/>
          <w:sz w:val="16"/>
          <w:szCs w:val="16"/>
        </w:rPr>
        <w:t xml:space="preserve"> </w:t>
      </w:r>
      <w:r w:rsidRPr="002F6B14">
        <w:rPr>
          <w:snapToGrid w:val="0"/>
          <w:color w:val="000000" w:themeColor="text1"/>
          <w:sz w:val="16"/>
          <w:szCs w:val="16"/>
        </w:rPr>
        <w:t xml:space="preserve">from Gwadar Port operations for a period of </w:t>
      </w:r>
      <w:r w:rsidRPr="002F6B14">
        <w:rPr>
          <w:rStyle w:val="FootnoteReference"/>
          <w:snapToGrid w:val="0"/>
          <w:color w:val="000000" w:themeColor="text1"/>
          <w:sz w:val="16"/>
          <w:szCs w:val="16"/>
        </w:rPr>
        <w:footnoteRef/>
      </w:r>
      <w:r w:rsidRPr="002F6B14">
        <w:rPr>
          <w:snapToGrid w:val="0"/>
          <w:color w:val="000000" w:themeColor="text1"/>
          <w:sz w:val="16"/>
          <w:szCs w:val="16"/>
        </w:rPr>
        <w:t>[“twenty three”]</w:t>
      </w:r>
      <w:r w:rsidRPr="002F6B14">
        <w:rPr>
          <w:snapToGrid w:val="0"/>
          <w:color w:val="00B0F0"/>
          <w:sz w:val="16"/>
          <w:szCs w:val="16"/>
        </w:rPr>
        <w:t xml:space="preserve"> </w:t>
      </w:r>
      <w:r w:rsidRPr="002F6B14">
        <w:rPr>
          <w:snapToGrid w:val="0"/>
          <w:color w:val="000000" w:themeColor="text1"/>
          <w:sz w:val="16"/>
          <w:szCs w:val="16"/>
        </w:rPr>
        <w:t>years, with effect from the sixth day of February, 2007.</w:t>
      </w:r>
      <w:r>
        <w:rPr>
          <w:snapToGrid w:val="0"/>
          <w:color w:val="000000" w:themeColor="text1"/>
          <w:sz w:val="16"/>
          <w:szCs w:val="16"/>
        </w:rPr>
        <w:t>”</w:t>
      </w:r>
    </w:p>
  </w:footnote>
  <w:footnote w:id="1979">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Inserted by the Finance Act, 2016. </w:t>
      </w:r>
    </w:p>
  </w:footnote>
  <w:footnote w:id="1980">
    <w:p w:rsidR="00BF2117" w:rsidRPr="00D47C20" w:rsidRDefault="00BF2117" w:rsidP="001433BC">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Inserted by the Finance Act, 2016. </w:t>
      </w:r>
    </w:p>
  </w:footnote>
  <w:footnote w:id="1981">
    <w:p w:rsidR="00BF2117" w:rsidRPr="00D47C20" w:rsidRDefault="00BF2117" w:rsidP="001433BC">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Inserted by the Finance Act, 2016. </w:t>
      </w:r>
    </w:p>
  </w:footnote>
  <w:footnote w:id="1982">
    <w:p w:rsidR="00BF2117" w:rsidRPr="001433BC" w:rsidRDefault="00BF2117" w:rsidP="001433BC">
      <w:pPr>
        <w:pStyle w:val="FootnoteText"/>
        <w:rPr>
          <w:color w:val="FF0000"/>
          <w:sz w:val="16"/>
          <w:szCs w:val="16"/>
          <w:lang w:val="en-US"/>
        </w:rPr>
      </w:pPr>
      <w:r w:rsidRPr="00D47C20">
        <w:rPr>
          <w:rStyle w:val="FootnoteReference"/>
          <w:color w:val="0070C0"/>
          <w:sz w:val="16"/>
          <w:szCs w:val="16"/>
        </w:rPr>
        <w:footnoteRef/>
      </w:r>
      <w:r w:rsidRPr="00D47C20">
        <w:rPr>
          <w:color w:val="0070C0"/>
          <w:sz w:val="16"/>
          <w:szCs w:val="16"/>
        </w:rPr>
        <w:t xml:space="preserve"> Inserted by the Finance Act, 2016.</w:t>
      </w:r>
      <w:r>
        <w:rPr>
          <w:color w:val="FF0000"/>
          <w:sz w:val="16"/>
          <w:szCs w:val="16"/>
        </w:rPr>
        <w:t xml:space="preserve"> </w:t>
      </w:r>
    </w:p>
  </w:footnote>
  <w:footnote w:id="1983">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Inserted by S.R.O. 1100(I)/2007, dated 10.11.2007.</w:t>
      </w:r>
    </w:p>
  </w:footnote>
  <w:footnote w:id="1984">
    <w:p w:rsidR="00BF2117" w:rsidRPr="00866443" w:rsidRDefault="00BF2117" w:rsidP="00AA4BF8">
      <w:pPr>
        <w:pStyle w:val="FootnoteText"/>
        <w:ind w:left="180" w:hanging="180"/>
        <w:rPr>
          <w:sz w:val="16"/>
          <w:szCs w:val="16"/>
        </w:rPr>
      </w:pPr>
      <w:r w:rsidRPr="00866443">
        <w:rPr>
          <w:rStyle w:val="FootnoteReference"/>
          <w:rFonts w:cs="Arial"/>
          <w:sz w:val="16"/>
          <w:szCs w:val="16"/>
        </w:rPr>
        <w:footnoteRef/>
      </w:r>
      <w:r w:rsidRPr="00866443">
        <w:rPr>
          <w:sz w:val="16"/>
          <w:szCs w:val="16"/>
          <w:lang w:val="en-US"/>
        </w:rPr>
        <w:t>The words “Coastal Oil Refinery at Khalifa Point by IPIC of Abu Dhabi] substituted by  S.R.O. 1145(I)/2007, dated 23.11.2007.</w:t>
      </w:r>
    </w:p>
  </w:footnote>
  <w:footnote w:id="1985">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Inserted by S.R.O. 741(I)/2008, dated 10.07.2008.</w:t>
      </w:r>
    </w:p>
  </w:footnote>
  <w:footnote w:id="1986">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Inserted by S.R.O. 606(I)/2009, dated 29</w:t>
      </w:r>
      <w:r w:rsidRPr="00866443">
        <w:rPr>
          <w:sz w:val="16"/>
          <w:szCs w:val="16"/>
          <w:vertAlign w:val="superscript"/>
          <w:lang w:val="en-US"/>
        </w:rPr>
        <w:t>th</w:t>
      </w:r>
      <w:r w:rsidRPr="00866443">
        <w:rPr>
          <w:sz w:val="16"/>
          <w:szCs w:val="16"/>
          <w:lang w:val="en-US"/>
        </w:rPr>
        <w:t xml:space="preserve"> June, 2009.</w:t>
      </w:r>
    </w:p>
  </w:footnote>
  <w:footnote w:id="1987">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Clause (126E) substituted by the Finance Act, 2013. The substituted clause (126E) read as follows:</w:t>
      </w:r>
    </w:p>
    <w:p w:rsidR="00BF2117" w:rsidRPr="00866443" w:rsidRDefault="00BF2117" w:rsidP="00AA4BF8">
      <w:pPr>
        <w:widowControl w:val="0"/>
        <w:ind w:left="90"/>
        <w:jc w:val="both"/>
        <w:rPr>
          <w:sz w:val="16"/>
          <w:szCs w:val="16"/>
        </w:rPr>
      </w:pPr>
      <w:r w:rsidRPr="00866443">
        <w:rPr>
          <w:sz w:val="16"/>
          <w:szCs w:val="16"/>
        </w:rPr>
        <w:t>“</w:t>
      </w:r>
      <w:r w:rsidRPr="00866443">
        <w:rPr>
          <w:b/>
          <w:bCs/>
          <w:snapToGrid w:val="0"/>
          <w:sz w:val="16"/>
          <w:szCs w:val="16"/>
        </w:rPr>
        <w:t xml:space="preserve">(126E) </w:t>
      </w:r>
      <w:r w:rsidRPr="00866443">
        <w:rPr>
          <w:snapToGrid w:val="0"/>
          <w:sz w:val="16"/>
          <w:szCs w:val="16"/>
        </w:rPr>
        <w:t>Corporate income tax holiday for a period of five years for projects from the date of start of commercial operations, and for developers of the Zone for a period of ten years from the date of start of developmental activity in the Special Economic Zones as announced by the Federal Government.”</w:t>
      </w:r>
    </w:p>
  </w:footnote>
  <w:footnote w:id="1988">
    <w:p w:rsidR="00BF2117" w:rsidRPr="002D3D3F" w:rsidRDefault="00BF2117" w:rsidP="002D3D3F">
      <w:pPr>
        <w:widowControl w:val="0"/>
        <w:jc w:val="both"/>
        <w:rPr>
          <w:snapToGrid w:val="0"/>
          <w:sz w:val="16"/>
          <w:szCs w:val="16"/>
        </w:rPr>
      </w:pPr>
      <w:r w:rsidRPr="002D3D3F">
        <w:rPr>
          <w:rStyle w:val="FootnoteReference"/>
          <w:sz w:val="16"/>
          <w:szCs w:val="16"/>
        </w:rPr>
        <w:footnoteRef/>
      </w:r>
      <w:r>
        <w:rPr>
          <w:sz w:val="16"/>
          <w:szCs w:val="16"/>
        </w:rPr>
        <w:t>Clause “(126F)” omitted by the Finance Act, 2015. The omitted clause (126) read as follows:-</w:t>
      </w:r>
      <w:r>
        <w:rPr>
          <w:rFonts w:cs="Arial"/>
          <w:snapToGrid w:val="0"/>
          <w:sz w:val="20"/>
        </w:rPr>
        <w:tab/>
      </w:r>
      <w:r w:rsidRPr="000256A6">
        <w:rPr>
          <w:rFonts w:cs="Arial"/>
          <w:snapToGrid w:val="0"/>
          <w:sz w:val="20"/>
        </w:rPr>
        <w:t>“</w:t>
      </w:r>
      <w:r w:rsidRPr="000256A6">
        <w:rPr>
          <w:bCs/>
          <w:snapToGrid w:val="0"/>
          <w:sz w:val="16"/>
          <w:szCs w:val="16"/>
        </w:rPr>
        <w:t>(126F)</w:t>
      </w:r>
      <w:r w:rsidRPr="002D3D3F">
        <w:rPr>
          <w:snapToGrid w:val="0"/>
          <w:sz w:val="16"/>
          <w:szCs w:val="16"/>
        </w:rPr>
        <w:t xml:space="preserve"> Profits and gains derived by a taxpayer located in the most affected and moderately </w:t>
      </w:r>
      <w:r>
        <w:rPr>
          <w:snapToGrid w:val="0"/>
          <w:sz w:val="16"/>
          <w:szCs w:val="16"/>
        </w:rPr>
        <w:tab/>
      </w:r>
      <w:r w:rsidRPr="002D3D3F">
        <w:rPr>
          <w:snapToGrid w:val="0"/>
          <w:sz w:val="16"/>
          <w:szCs w:val="16"/>
        </w:rPr>
        <w:t xml:space="preserve">affected areas of Khyber Pakhtunkhwa, FATA and PATA for a period of three years starting </w:t>
      </w:r>
      <w:r>
        <w:rPr>
          <w:snapToGrid w:val="0"/>
          <w:sz w:val="16"/>
          <w:szCs w:val="16"/>
        </w:rPr>
        <w:tab/>
      </w:r>
      <w:r w:rsidRPr="002D3D3F">
        <w:rPr>
          <w:snapToGrid w:val="0"/>
          <w:sz w:val="16"/>
          <w:szCs w:val="16"/>
        </w:rPr>
        <w:t>from the tax year 2010:</w:t>
      </w:r>
    </w:p>
    <w:p w:rsidR="00BF2117" w:rsidRPr="002D3D3F" w:rsidRDefault="00BF2117" w:rsidP="002D3D3F">
      <w:pPr>
        <w:widowControl w:val="0"/>
        <w:ind w:left="720" w:hanging="720"/>
        <w:jc w:val="both"/>
        <w:rPr>
          <w:snapToGrid w:val="0"/>
          <w:sz w:val="16"/>
          <w:szCs w:val="16"/>
        </w:rPr>
      </w:pPr>
    </w:p>
    <w:p w:rsidR="00BF2117" w:rsidRPr="002D3D3F" w:rsidRDefault="00BF2117" w:rsidP="002D3D3F">
      <w:pPr>
        <w:widowControl w:val="0"/>
        <w:ind w:left="540" w:firstLine="720"/>
        <w:jc w:val="both"/>
        <w:rPr>
          <w:snapToGrid w:val="0"/>
          <w:sz w:val="16"/>
          <w:szCs w:val="16"/>
        </w:rPr>
      </w:pPr>
      <w:r w:rsidRPr="002D3D3F">
        <w:rPr>
          <w:snapToGrid w:val="0"/>
          <w:sz w:val="16"/>
          <w:szCs w:val="16"/>
        </w:rPr>
        <w:t>Provided that this concession shall not be available to the manufacturers and suppliers of cement, s</w:t>
      </w:r>
      <w:r>
        <w:rPr>
          <w:snapToGrid w:val="0"/>
          <w:sz w:val="16"/>
          <w:szCs w:val="16"/>
        </w:rPr>
        <w:t>ugar, beverages and cigarettes.”</w:t>
      </w:r>
    </w:p>
    <w:p w:rsidR="00BF2117" w:rsidRPr="002D3D3F" w:rsidRDefault="00BF2117">
      <w:pPr>
        <w:pStyle w:val="FootnoteText"/>
        <w:rPr>
          <w:sz w:val="16"/>
          <w:szCs w:val="16"/>
          <w:lang w:val="en-US"/>
        </w:rPr>
      </w:pPr>
    </w:p>
  </w:footnote>
  <w:footnote w:id="1989">
    <w:p w:rsidR="00BF2117" w:rsidRPr="00866443" w:rsidRDefault="00BF2117">
      <w:pPr>
        <w:pStyle w:val="FootnoteText"/>
        <w:rPr>
          <w:sz w:val="16"/>
          <w:szCs w:val="16"/>
          <w:lang w:val="en-US"/>
        </w:rPr>
      </w:pPr>
      <w:r w:rsidRPr="00866443">
        <w:rPr>
          <w:rStyle w:val="FootnoteReference"/>
          <w:sz w:val="16"/>
          <w:szCs w:val="16"/>
        </w:rPr>
        <w:footnoteRef/>
      </w:r>
      <w:r w:rsidRPr="00866443">
        <w:rPr>
          <w:sz w:val="16"/>
          <w:szCs w:val="16"/>
          <w:lang w:val="en-US"/>
        </w:rPr>
        <w:t>Added by S.R.O 281(I)/2014, dated 10.04.2014.</w:t>
      </w:r>
    </w:p>
  </w:footnote>
  <w:footnote w:id="1990">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rPr>
        <w:t xml:space="preserve"> Clause (126H) inserted</w:t>
      </w:r>
      <w:r w:rsidRPr="00C75159">
        <w:rPr>
          <w:color w:val="000000" w:themeColor="text1"/>
          <w:sz w:val="16"/>
          <w:szCs w:val="16"/>
          <w:lang w:val="en-US"/>
        </w:rPr>
        <w:t xml:space="preserve"> by the Finance Act, 2014.</w:t>
      </w:r>
    </w:p>
  </w:footnote>
  <w:footnote w:id="1991">
    <w:p w:rsidR="00BF2117" w:rsidRPr="00487677" w:rsidRDefault="00BF2117">
      <w:pPr>
        <w:pStyle w:val="FootnoteText"/>
        <w:rPr>
          <w:sz w:val="16"/>
          <w:szCs w:val="16"/>
          <w:lang w:val="en-US"/>
        </w:rPr>
      </w:pPr>
      <w:r w:rsidRPr="00487677">
        <w:rPr>
          <w:rStyle w:val="FootnoteReference"/>
          <w:sz w:val="16"/>
          <w:szCs w:val="16"/>
        </w:rPr>
        <w:footnoteRef/>
      </w:r>
      <w:r>
        <w:rPr>
          <w:sz w:val="16"/>
          <w:szCs w:val="16"/>
        </w:rPr>
        <w:t>Clause “(126I)”added by the Finance Act, 2015.</w:t>
      </w:r>
    </w:p>
  </w:footnote>
  <w:footnote w:id="1992">
    <w:p w:rsidR="00BF2117" w:rsidRPr="0016592C" w:rsidRDefault="00BF2117">
      <w:pPr>
        <w:pStyle w:val="FootnoteText"/>
        <w:rPr>
          <w:lang w:val="en-US"/>
        </w:rPr>
      </w:pPr>
      <w:r>
        <w:rPr>
          <w:rStyle w:val="FootnoteReference"/>
        </w:rPr>
        <w:footnoteRef/>
      </w:r>
      <w:r>
        <w:rPr>
          <w:sz w:val="16"/>
          <w:szCs w:val="16"/>
        </w:rPr>
        <w:t>Clause “(126J)” added by the Finance Act, 2015.</w:t>
      </w:r>
    </w:p>
  </w:footnote>
  <w:footnote w:id="1993">
    <w:p w:rsidR="00BF2117" w:rsidRPr="00561981" w:rsidRDefault="00BF2117">
      <w:pPr>
        <w:pStyle w:val="FootnoteText"/>
        <w:rPr>
          <w:lang w:val="en-US"/>
        </w:rPr>
      </w:pPr>
      <w:r>
        <w:rPr>
          <w:rStyle w:val="FootnoteReference"/>
        </w:rPr>
        <w:footnoteRef/>
      </w:r>
      <w:r>
        <w:rPr>
          <w:sz w:val="16"/>
          <w:szCs w:val="16"/>
        </w:rPr>
        <w:t>Clause “(126K)” added by the Finance Act, 2015.</w:t>
      </w:r>
    </w:p>
  </w:footnote>
  <w:footnote w:id="1994">
    <w:p w:rsidR="00BF2117" w:rsidRPr="00B37C9C" w:rsidRDefault="00BF2117">
      <w:pPr>
        <w:pStyle w:val="FootnoteText"/>
        <w:rPr>
          <w:lang w:val="en-US"/>
        </w:rPr>
      </w:pPr>
      <w:r>
        <w:rPr>
          <w:rStyle w:val="FootnoteReference"/>
        </w:rPr>
        <w:footnoteRef/>
      </w:r>
      <w:r>
        <w:rPr>
          <w:sz w:val="16"/>
          <w:szCs w:val="16"/>
        </w:rPr>
        <w:t>Clause “(126L)” added by the Finance Act, 2015.</w:t>
      </w:r>
    </w:p>
  </w:footnote>
  <w:footnote w:id="1995">
    <w:p w:rsidR="00BF2117" w:rsidRPr="00B37C9C" w:rsidRDefault="00BF2117">
      <w:pPr>
        <w:pStyle w:val="FootnoteText"/>
        <w:rPr>
          <w:lang w:val="en-US"/>
        </w:rPr>
      </w:pPr>
      <w:r>
        <w:rPr>
          <w:rStyle w:val="FootnoteReference"/>
        </w:rPr>
        <w:footnoteRef/>
      </w:r>
      <w:r>
        <w:rPr>
          <w:sz w:val="16"/>
          <w:szCs w:val="16"/>
        </w:rPr>
        <w:t>Clause “(126M)” added by the Finance Act, 2015.</w:t>
      </w:r>
    </w:p>
  </w:footnote>
  <w:footnote w:id="1996">
    <w:p w:rsidR="00BF2117" w:rsidRPr="00B37C9C" w:rsidRDefault="00BF2117">
      <w:pPr>
        <w:pStyle w:val="FootnoteText"/>
        <w:rPr>
          <w:lang w:val="en-US"/>
        </w:rPr>
      </w:pPr>
      <w:r>
        <w:rPr>
          <w:rStyle w:val="FootnoteReference"/>
        </w:rPr>
        <w:footnoteRef/>
      </w:r>
      <w:r>
        <w:rPr>
          <w:sz w:val="16"/>
          <w:szCs w:val="16"/>
        </w:rPr>
        <w:t>Clause “(126N)” added by the Finance Act, 2015.</w:t>
      </w:r>
    </w:p>
  </w:footnote>
  <w:footnote w:id="1997">
    <w:p w:rsidR="00BF2117" w:rsidRPr="00866443" w:rsidRDefault="00BF2117" w:rsidP="00E06C58">
      <w:pPr>
        <w:pStyle w:val="FootnoteText"/>
        <w:keepNext/>
        <w:rPr>
          <w:sz w:val="16"/>
          <w:szCs w:val="16"/>
        </w:rPr>
      </w:pPr>
      <w:r w:rsidRPr="00866443">
        <w:rPr>
          <w:rStyle w:val="FootnoteReference"/>
          <w:sz w:val="16"/>
          <w:szCs w:val="16"/>
        </w:rPr>
        <w:footnoteRef/>
      </w:r>
      <w:r w:rsidRPr="00866443">
        <w:rPr>
          <w:sz w:val="16"/>
          <w:szCs w:val="16"/>
        </w:rPr>
        <w:t xml:space="preserve"> Clause (127) omitted by the Finance Act, 2002. The omitted clause (127) read as follows:</w:t>
      </w:r>
    </w:p>
    <w:p w:rsidR="00BF2117" w:rsidRPr="00866443" w:rsidRDefault="00BF2117" w:rsidP="00E06C58">
      <w:pPr>
        <w:keepNext/>
        <w:widowControl w:val="0"/>
        <w:ind w:left="180"/>
        <w:jc w:val="both"/>
        <w:rPr>
          <w:snapToGrid w:val="0"/>
          <w:sz w:val="16"/>
          <w:szCs w:val="16"/>
        </w:rPr>
      </w:pPr>
      <w:r w:rsidRPr="00866443">
        <w:rPr>
          <w:snapToGrid w:val="0"/>
          <w:sz w:val="16"/>
          <w:szCs w:val="16"/>
        </w:rPr>
        <w:t>“</w:t>
      </w:r>
      <w:r w:rsidRPr="00866443">
        <w:rPr>
          <w:b/>
          <w:bCs/>
          <w:snapToGrid w:val="0"/>
          <w:sz w:val="16"/>
          <w:szCs w:val="16"/>
        </w:rPr>
        <w:t xml:space="preserve"> (127)</w:t>
      </w:r>
      <w:r w:rsidRPr="00866443">
        <w:rPr>
          <w:snapToGrid w:val="0"/>
          <w:sz w:val="16"/>
          <w:szCs w:val="16"/>
        </w:rPr>
        <w:t xml:space="preserve"> (1)  Profit and gains derived by a taxpayer from an industrial undertaking set up between the first day of July, 1995, and the thirtieth day of June,1997, both days inclusive, for a period of eight years beginning with the month in which commercial production is commenced.</w:t>
      </w:r>
    </w:p>
    <w:p w:rsidR="00BF2117" w:rsidRPr="00866443" w:rsidRDefault="00BF2117" w:rsidP="00E06C58">
      <w:pPr>
        <w:keepNext/>
        <w:widowControl w:val="0"/>
        <w:ind w:left="180" w:firstLine="180"/>
        <w:jc w:val="both"/>
        <w:rPr>
          <w:snapToGrid w:val="0"/>
          <w:sz w:val="16"/>
          <w:szCs w:val="16"/>
        </w:rPr>
      </w:pPr>
      <w:r w:rsidRPr="00866443">
        <w:rPr>
          <w:snapToGrid w:val="0"/>
          <w:sz w:val="16"/>
          <w:szCs w:val="16"/>
        </w:rPr>
        <w:t>(2)</w:t>
      </w:r>
      <w:r w:rsidRPr="00866443">
        <w:rPr>
          <w:snapToGrid w:val="0"/>
          <w:sz w:val="16"/>
          <w:szCs w:val="16"/>
        </w:rPr>
        <w:tab/>
        <w:t>The exemption under this clause shall apply to an industrial undertaking which fulfils the following conditions, namely :-</w:t>
      </w:r>
    </w:p>
    <w:p w:rsidR="00BF2117" w:rsidRPr="00866443" w:rsidRDefault="00BF2117" w:rsidP="00E06C58">
      <w:pPr>
        <w:keepNext/>
        <w:widowControl w:val="0"/>
        <w:ind w:left="1440" w:hanging="360"/>
        <w:jc w:val="both"/>
        <w:rPr>
          <w:snapToGrid w:val="0"/>
          <w:sz w:val="16"/>
          <w:szCs w:val="16"/>
        </w:rPr>
      </w:pPr>
      <w:r w:rsidRPr="00866443">
        <w:rPr>
          <w:snapToGrid w:val="0"/>
          <w:sz w:val="16"/>
          <w:szCs w:val="16"/>
        </w:rPr>
        <w:t>(i)</w:t>
      </w:r>
      <w:r w:rsidRPr="00866443">
        <w:rPr>
          <w:snapToGrid w:val="0"/>
          <w:sz w:val="16"/>
          <w:szCs w:val="16"/>
        </w:rPr>
        <w:tab/>
        <w:t>It is set up in a rural area i.e., outside the limits of any municipal corporation, municipal committee, cantonment board or Islamabad Capital Territory and in no case within the following areas namely :-</w:t>
      </w:r>
    </w:p>
    <w:p w:rsidR="00BF2117" w:rsidRPr="00866443" w:rsidRDefault="00BF2117" w:rsidP="00E06C58">
      <w:pPr>
        <w:keepNext/>
        <w:widowControl w:val="0"/>
        <w:tabs>
          <w:tab w:val="left" w:pos="1440"/>
        </w:tabs>
        <w:ind w:left="2188" w:hanging="1108"/>
        <w:jc w:val="both"/>
        <w:rPr>
          <w:snapToGrid w:val="0"/>
          <w:sz w:val="16"/>
          <w:szCs w:val="16"/>
        </w:rPr>
      </w:pPr>
      <w:r w:rsidRPr="00866443">
        <w:rPr>
          <w:snapToGrid w:val="0"/>
          <w:sz w:val="16"/>
          <w:szCs w:val="16"/>
        </w:rPr>
        <w:tab/>
        <w:t>(a)</w:t>
      </w:r>
      <w:r w:rsidRPr="00866443">
        <w:rPr>
          <w:snapToGrid w:val="0"/>
          <w:sz w:val="16"/>
          <w:szCs w:val="16"/>
        </w:rPr>
        <w:tab/>
      </w:r>
      <w:r w:rsidRPr="00866443">
        <w:rPr>
          <w:snapToGrid w:val="0"/>
          <w:sz w:val="16"/>
          <w:szCs w:val="16"/>
        </w:rPr>
        <w:tab/>
        <w:t xml:space="preserve">up to ten kilometres from the municipal or cantonment limits of Karachi or Lahore; and </w:t>
      </w:r>
    </w:p>
    <w:p w:rsidR="00BF2117" w:rsidRPr="00866443" w:rsidRDefault="00BF2117" w:rsidP="00E06C58">
      <w:pPr>
        <w:keepNext/>
        <w:widowControl w:val="0"/>
        <w:tabs>
          <w:tab w:val="left" w:pos="1440"/>
        </w:tabs>
        <w:ind w:left="2188" w:hanging="1108"/>
        <w:jc w:val="both"/>
        <w:rPr>
          <w:snapToGrid w:val="0"/>
          <w:sz w:val="16"/>
          <w:szCs w:val="16"/>
        </w:rPr>
      </w:pPr>
      <w:r w:rsidRPr="00866443">
        <w:rPr>
          <w:snapToGrid w:val="0"/>
          <w:sz w:val="16"/>
          <w:szCs w:val="16"/>
        </w:rPr>
        <w:tab/>
        <w:t>(b)</w:t>
      </w:r>
      <w:r w:rsidRPr="00866443">
        <w:rPr>
          <w:snapToGrid w:val="0"/>
          <w:sz w:val="16"/>
          <w:szCs w:val="16"/>
        </w:rPr>
        <w:tab/>
      </w:r>
      <w:r w:rsidRPr="00866443">
        <w:rPr>
          <w:snapToGrid w:val="0"/>
          <w:sz w:val="16"/>
          <w:szCs w:val="16"/>
        </w:rPr>
        <w:tab/>
        <w:t>up to ten kilometres from the existing limits of municipal corporations or cantonments boards;</w:t>
      </w:r>
    </w:p>
    <w:p w:rsidR="00BF2117" w:rsidRPr="00866443" w:rsidRDefault="00BF2117" w:rsidP="00E06C58">
      <w:pPr>
        <w:keepNext/>
        <w:widowControl w:val="0"/>
        <w:ind w:left="1440"/>
        <w:jc w:val="both"/>
        <w:rPr>
          <w:snapToGrid w:val="0"/>
          <w:sz w:val="16"/>
          <w:szCs w:val="16"/>
        </w:rPr>
      </w:pPr>
      <w:r w:rsidRPr="00866443">
        <w:rPr>
          <w:snapToGrid w:val="0"/>
          <w:sz w:val="16"/>
          <w:szCs w:val="16"/>
        </w:rPr>
        <w:t>Explanation: The distance between an industrial undertaking and the outer boundary of a municipal or cantonment limit shall be measured in a straight line on horizontal plane as provided in section 11 of the General Clauses Act, (X of 1897), and the said distance, wherever required, will be defined and determined by the concerned officer of the District Administration.</w:t>
      </w:r>
    </w:p>
    <w:p w:rsidR="00BF2117" w:rsidRPr="00866443" w:rsidRDefault="00BF2117" w:rsidP="00E06C58">
      <w:pPr>
        <w:keepNext/>
        <w:widowControl w:val="0"/>
        <w:ind w:left="1440" w:hanging="360"/>
        <w:jc w:val="both"/>
        <w:rPr>
          <w:snapToGrid w:val="0"/>
          <w:sz w:val="16"/>
          <w:szCs w:val="16"/>
        </w:rPr>
      </w:pPr>
      <w:r w:rsidRPr="00866443">
        <w:rPr>
          <w:snapToGrid w:val="0"/>
          <w:sz w:val="16"/>
          <w:szCs w:val="16"/>
        </w:rPr>
        <w:t>(ii)</w:t>
      </w:r>
      <w:r w:rsidRPr="00866443">
        <w:rPr>
          <w:snapToGrid w:val="0"/>
          <w:sz w:val="16"/>
          <w:szCs w:val="16"/>
        </w:rPr>
        <w:tab/>
        <w:t>It is not formed by the splitting up, or the reconstruction or reconstitution of a business already in existence or by transfer to a new business of any machinery or plant used in a business which was being carried on in Pakistan at any time before the commencement of the new business.</w:t>
      </w:r>
    </w:p>
    <w:p w:rsidR="00BF2117" w:rsidRPr="00866443" w:rsidRDefault="00BF2117" w:rsidP="00E06C58">
      <w:pPr>
        <w:keepNext/>
        <w:widowControl w:val="0"/>
        <w:ind w:left="1440" w:hanging="360"/>
        <w:jc w:val="both"/>
        <w:rPr>
          <w:snapToGrid w:val="0"/>
          <w:sz w:val="16"/>
          <w:szCs w:val="16"/>
        </w:rPr>
      </w:pPr>
      <w:r w:rsidRPr="00866443">
        <w:rPr>
          <w:snapToGrid w:val="0"/>
          <w:sz w:val="16"/>
          <w:szCs w:val="16"/>
        </w:rPr>
        <w:t>(iii)</w:t>
      </w:r>
      <w:r w:rsidRPr="00866443">
        <w:rPr>
          <w:snapToGrid w:val="0"/>
          <w:sz w:val="16"/>
          <w:szCs w:val="16"/>
        </w:rPr>
        <w:tab/>
        <w:t>It is owned and managed by a company formed for operating such industrial undertaking and registered under the Companies Ordinance, 1984 (XLVII of 1984), having its registered office in Pakistan.</w:t>
      </w:r>
    </w:p>
    <w:p w:rsidR="00BF2117" w:rsidRPr="00866443" w:rsidRDefault="00BF2117" w:rsidP="00E06C58">
      <w:pPr>
        <w:keepNext/>
        <w:widowControl w:val="0"/>
        <w:ind w:left="1440" w:hanging="360"/>
        <w:jc w:val="both"/>
        <w:rPr>
          <w:snapToGrid w:val="0"/>
          <w:sz w:val="16"/>
          <w:szCs w:val="16"/>
        </w:rPr>
      </w:pPr>
      <w:r w:rsidRPr="00866443">
        <w:rPr>
          <w:snapToGrid w:val="0"/>
          <w:sz w:val="16"/>
          <w:szCs w:val="16"/>
        </w:rPr>
        <w:t>(iv)</w:t>
      </w:r>
      <w:r w:rsidRPr="00866443">
        <w:rPr>
          <w:snapToGrid w:val="0"/>
          <w:sz w:val="16"/>
          <w:szCs w:val="16"/>
        </w:rPr>
        <w:tab/>
        <w:t>It is an undertaking engaged in any of the following agro-based industries:-</w:t>
      </w:r>
    </w:p>
    <w:p w:rsidR="00BF2117" w:rsidRPr="00866443" w:rsidRDefault="00BF2117" w:rsidP="00E06C58">
      <w:pPr>
        <w:keepNext/>
        <w:widowControl w:val="0"/>
        <w:tabs>
          <w:tab w:val="left" w:pos="1440"/>
        </w:tabs>
        <w:ind w:left="2188" w:hanging="1108"/>
        <w:jc w:val="both"/>
        <w:rPr>
          <w:snapToGrid w:val="0"/>
          <w:sz w:val="16"/>
          <w:szCs w:val="16"/>
        </w:rPr>
      </w:pPr>
      <w:r w:rsidRPr="00866443">
        <w:rPr>
          <w:snapToGrid w:val="0"/>
          <w:sz w:val="16"/>
          <w:szCs w:val="16"/>
        </w:rPr>
        <w:tab/>
        <w:t>(a)</w:t>
      </w:r>
      <w:r w:rsidRPr="00866443">
        <w:rPr>
          <w:snapToGrid w:val="0"/>
          <w:sz w:val="16"/>
          <w:szCs w:val="16"/>
        </w:rPr>
        <w:tab/>
      </w:r>
      <w:r w:rsidRPr="00866443">
        <w:rPr>
          <w:snapToGrid w:val="0"/>
          <w:sz w:val="16"/>
          <w:szCs w:val="16"/>
        </w:rPr>
        <w:tab/>
        <w:t>cultivation, production, processing and preservation of flowers and ornamental plants;</w:t>
      </w:r>
    </w:p>
    <w:p w:rsidR="00BF2117" w:rsidRPr="00866443" w:rsidRDefault="00BF2117" w:rsidP="00E06C58">
      <w:pPr>
        <w:keepNext/>
        <w:widowControl w:val="0"/>
        <w:tabs>
          <w:tab w:val="left" w:pos="1440"/>
        </w:tabs>
        <w:ind w:left="2190" w:hanging="1110"/>
        <w:jc w:val="both"/>
        <w:rPr>
          <w:snapToGrid w:val="0"/>
          <w:sz w:val="16"/>
          <w:szCs w:val="16"/>
        </w:rPr>
      </w:pPr>
      <w:r w:rsidRPr="00866443">
        <w:rPr>
          <w:snapToGrid w:val="0"/>
          <w:sz w:val="16"/>
          <w:szCs w:val="16"/>
        </w:rPr>
        <w:tab/>
        <w:t>(b)</w:t>
      </w:r>
      <w:r w:rsidRPr="00866443">
        <w:rPr>
          <w:snapToGrid w:val="0"/>
          <w:sz w:val="16"/>
          <w:szCs w:val="16"/>
        </w:rPr>
        <w:tab/>
        <w:t>cattle, sheep and goat forming for the production and processing of meat. It will cover rearing, sale and slaughtering of animals and processing and packing of meat and meat products;</w:t>
      </w:r>
    </w:p>
    <w:p w:rsidR="00BF2117" w:rsidRPr="00866443" w:rsidRDefault="00BF2117" w:rsidP="00E06C58">
      <w:pPr>
        <w:keepNext/>
        <w:widowControl w:val="0"/>
        <w:tabs>
          <w:tab w:val="left" w:pos="1440"/>
        </w:tabs>
        <w:ind w:left="1440" w:hanging="360"/>
        <w:jc w:val="both"/>
        <w:rPr>
          <w:snapToGrid w:val="0"/>
          <w:sz w:val="16"/>
          <w:szCs w:val="16"/>
        </w:rPr>
      </w:pPr>
      <w:r w:rsidRPr="00866443">
        <w:rPr>
          <w:snapToGrid w:val="0"/>
          <w:sz w:val="16"/>
          <w:szCs w:val="16"/>
        </w:rPr>
        <w:tab/>
        <w:t>(c)</w:t>
      </w:r>
      <w:r w:rsidRPr="00866443">
        <w:rPr>
          <w:snapToGrid w:val="0"/>
          <w:sz w:val="16"/>
          <w:szCs w:val="16"/>
        </w:rPr>
        <w:tab/>
      </w:r>
      <w:r w:rsidRPr="00866443">
        <w:rPr>
          <w:snapToGrid w:val="0"/>
          <w:sz w:val="16"/>
          <w:szCs w:val="16"/>
        </w:rPr>
        <w:tab/>
        <w:t>dairy farming for the production of milk;</w:t>
      </w:r>
    </w:p>
    <w:p w:rsidR="00BF2117" w:rsidRPr="00866443" w:rsidRDefault="00BF2117" w:rsidP="00E06C58">
      <w:pPr>
        <w:keepNext/>
        <w:widowControl w:val="0"/>
        <w:tabs>
          <w:tab w:val="left" w:pos="1440"/>
        </w:tabs>
        <w:ind w:left="2188" w:hanging="1108"/>
        <w:jc w:val="both"/>
        <w:rPr>
          <w:snapToGrid w:val="0"/>
          <w:sz w:val="16"/>
          <w:szCs w:val="16"/>
        </w:rPr>
      </w:pPr>
      <w:r w:rsidRPr="00866443">
        <w:rPr>
          <w:snapToGrid w:val="0"/>
          <w:sz w:val="16"/>
          <w:szCs w:val="16"/>
        </w:rPr>
        <w:tab/>
        <w:t>(d)</w:t>
      </w:r>
      <w:r w:rsidRPr="00866443">
        <w:rPr>
          <w:snapToGrid w:val="0"/>
          <w:sz w:val="16"/>
          <w:szCs w:val="16"/>
        </w:rPr>
        <w:tab/>
      </w:r>
      <w:r w:rsidRPr="00866443">
        <w:rPr>
          <w:snapToGrid w:val="0"/>
          <w:sz w:val="16"/>
          <w:szCs w:val="16"/>
        </w:rPr>
        <w:tab/>
        <w:t>processing, packing, preservation and canning of milk and milk products with or without addition of other things;</w:t>
      </w:r>
    </w:p>
    <w:p w:rsidR="00BF2117" w:rsidRPr="00866443" w:rsidRDefault="00BF2117" w:rsidP="00E06C58">
      <w:pPr>
        <w:keepNext/>
        <w:widowControl w:val="0"/>
        <w:tabs>
          <w:tab w:val="left" w:pos="1440"/>
        </w:tabs>
        <w:ind w:left="2188" w:hanging="1108"/>
        <w:jc w:val="both"/>
        <w:rPr>
          <w:snapToGrid w:val="0"/>
          <w:sz w:val="16"/>
          <w:szCs w:val="16"/>
        </w:rPr>
      </w:pPr>
      <w:r w:rsidRPr="00866443">
        <w:rPr>
          <w:snapToGrid w:val="0"/>
          <w:sz w:val="16"/>
          <w:szCs w:val="16"/>
        </w:rPr>
        <w:tab/>
        <w:t>(e)</w:t>
      </w:r>
      <w:r w:rsidRPr="00866443">
        <w:rPr>
          <w:snapToGrid w:val="0"/>
          <w:sz w:val="16"/>
          <w:szCs w:val="16"/>
        </w:rPr>
        <w:tab/>
      </w:r>
      <w:r w:rsidRPr="00866443">
        <w:rPr>
          <w:snapToGrid w:val="0"/>
          <w:sz w:val="16"/>
          <w:szCs w:val="16"/>
        </w:rPr>
        <w:tab/>
        <w:t>processing, packing, preservation and canning of meat and meat products;</w:t>
      </w:r>
    </w:p>
    <w:p w:rsidR="00BF2117" w:rsidRPr="00866443" w:rsidRDefault="00BF2117" w:rsidP="00E06C58">
      <w:pPr>
        <w:keepNext/>
        <w:widowControl w:val="0"/>
        <w:tabs>
          <w:tab w:val="left" w:pos="1440"/>
        </w:tabs>
        <w:ind w:left="1440" w:hanging="360"/>
        <w:jc w:val="both"/>
        <w:rPr>
          <w:snapToGrid w:val="0"/>
          <w:sz w:val="16"/>
          <w:szCs w:val="16"/>
        </w:rPr>
      </w:pPr>
      <w:r w:rsidRPr="00866443">
        <w:rPr>
          <w:snapToGrid w:val="0"/>
          <w:sz w:val="16"/>
          <w:szCs w:val="16"/>
        </w:rPr>
        <w:tab/>
        <w:t>(f)</w:t>
      </w:r>
      <w:r w:rsidRPr="00866443">
        <w:rPr>
          <w:snapToGrid w:val="0"/>
          <w:sz w:val="16"/>
          <w:szCs w:val="16"/>
        </w:rPr>
        <w:tab/>
      </w:r>
      <w:r w:rsidRPr="00866443">
        <w:rPr>
          <w:snapToGrid w:val="0"/>
          <w:sz w:val="16"/>
          <w:szCs w:val="16"/>
        </w:rPr>
        <w:tab/>
        <w:t>processing, packing, preservation and canning of fruits and vegetable;</w:t>
      </w:r>
    </w:p>
    <w:p w:rsidR="00BF2117" w:rsidRPr="00866443" w:rsidRDefault="00BF2117" w:rsidP="00E06C58">
      <w:pPr>
        <w:keepNext/>
        <w:widowControl w:val="0"/>
        <w:tabs>
          <w:tab w:val="left" w:pos="1440"/>
        </w:tabs>
        <w:ind w:left="2188" w:hanging="1108"/>
        <w:jc w:val="both"/>
        <w:rPr>
          <w:snapToGrid w:val="0"/>
          <w:sz w:val="16"/>
          <w:szCs w:val="16"/>
        </w:rPr>
      </w:pPr>
      <w:r w:rsidRPr="00866443">
        <w:rPr>
          <w:snapToGrid w:val="0"/>
          <w:sz w:val="16"/>
          <w:szCs w:val="16"/>
        </w:rPr>
        <w:tab/>
        <w:t>(g)</w:t>
      </w:r>
      <w:r w:rsidRPr="00866443">
        <w:rPr>
          <w:snapToGrid w:val="0"/>
          <w:sz w:val="16"/>
          <w:szCs w:val="16"/>
        </w:rPr>
        <w:tab/>
      </w:r>
      <w:r w:rsidRPr="00866443">
        <w:rPr>
          <w:snapToGrid w:val="0"/>
          <w:sz w:val="16"/>
          <w:szCs w:val="16"/>
        </w:rPr>
        <w:tab/>
        <w:t>inland farming and preservation, packing and canning of fish and seafood with or without addition of other things;</w:t>
      </w:r>
    </w:p>
    <w:p w:rsidR="00BF2117" w:rsidRPr="00866443" w:rsidRDefault="00BF2117" w:rsidP="00E06C58">
      <w:pPr>
        <w:keepNext/>
        <w:widowControl w:val="0"/>
        <w:tabs>
          <w:tab w:val="left" w:pos="1440"/>
        </w:tabs>
        <w:ind w:left="2188" w:hanging="1108"/>
        <w:jc w:val="both"/>
        <w:rPr>
          <w:snapToGrid w:val="0"/>
          <w:sz w:val="16"/>
          <w:szCs w:val="16"/>
        </w:rPr>
      </w:pPr>
      <w:r w:rsidRPr="00866443">
        <w:rPr>
          <w:snapToGrid w:val="0"/>
          <w:sz w:val="16"/>
          <w:szCs w:val="16"/>
        </w:rPr>
        <w:tab/>
        <w:t>(h)</w:t>
      </w:r>
      <w:r w:rsidRPr="00866443">
        <w:rPr>
          <w:snapToGrid w:val="0"/>
          <w:sz w:val="16"/>
          <w:szCs w:val="16"/>
        </w:rPr>
        <w:tab/>
      </w:r>
      <w:r w:rsidRPr="00866443">
        <w:rPr>
          <w:snapToGrid w:val="0"/>
          <w:sz w:val="16"/>
          <w:szCs w:val="16"/>
        </w:rPr>
        <w:tab/>
        <w:t>cultivation, production and multiplication of high yielding seeds of cereals, pulses, vegetables, fruits, oilseeds, and cash crops like sugarcane, cotton coca, coffee, tea, herbs and spices;</w:t>
      </w:r>
    </w:p>
    <w:p w:rsidR="00BF2117" w:rsidRPr="00866443" w:rsidRDefault="00BF2117" w:rsidP="00E06C58">
      <w:pPr>
        <w:keepNext/>
        <w:widowControl w:val="0"/>
        <w:tabs>
          <w:tab w:val="left" w:pos="1440"/>
        </w:tabs>
        <w:ind w:left="1440" w:hanging="360"/>
        <w:jc w:val="both"/>
        <w:rPr>
          <w:snapToGrid w:val="0"/>
          <w:sz w:val="16"/>
          <w:szCs w:val="16"/>
        </w:rPr>
      </w:pPr>
      <w:r w:rsidRPr="00866443">
        <w:rPr>
          <w:snapToGrid w:val="0"/>
          <w:sz w:val="16"/>
          <w:szCs w:val="16"/>
        </w:rPr>
        <w:tab/>
        <w:t>(i)</w:t>
      </w:r>
      <w:r w:rsidRPr="00866443">
        <w:rPr>
          <w:snapToGrid w:val="0"/>
          <w:sz w:val="16"/>
          <w:szCs w:val="16"/>
        </w:rPr>
        <w:tab/>
      </w:r>
      <w:r w:rsidRPr="00866443">
        <w:rPr>
          <w:snapToGrid w:val="0"/>
          <w:sz w:val="16"/>
          <w:szCs w:val="16"/>
        </w:rPr>
        <w:tab/>
        <w:t xml:space="preserve">cultivation, production and extraction of edible oils; </w:t>
      </w:r>
    </w:p>
    <w:p w:rsidR="00BF2117" w:rsidRPr="00866443" w:rsidRDefault="00BF2117" w:rsidP="00E06C58">
      <w:pPr>
        <w:keepNext/>
        <w:widowControl w:val="0"/>
        <w:tabs>
          <w:tab w:val="left" w:pos="1440"/>
        </w:tabs>
        <w:ind w:left="2188" w:hanging="1108"/>
        <w:jc w:val="both"/>
        <w:rPr>
          <w:snapToGrid w:val="0"/>
          <w:sz w:val="16"/>
          <w:szCs w:val="16"/>
        </w:rPr>
      </w:pPr>
      <w:r w:rsidRPr="00866443">
        <w:rPr>
          <w:snapToGrid w:val="0"/>
          <w:sz w:val="16"/>
          <w:szCs w:val="16"/>
        </w:rPr>
        <w:tab/>
        <w:t>(j)</w:t>
      </w:r>
      <w:r w:rsidRPr="00866443">
        <w:rPr>
          <w:snapToGrid w:val="0"/>
          <w:sz w:val="16"/>
          <w:szCs w:val="16"/>
        </w:rPr>
        <w:tab/>
      </w:r>
      <w:r w:rsidRPr="00866443">
        <w:rPr>
          <w:snapToGrid w:val="0"/>
          <w:sz w:val="16"/>
          <w:szCs w:val="16"/>
        </w:rPr>
        <w:tab/>
        <w:t>poultry farming and processing, packing, preservation and canning of poultry meat with or without addition of other things; and</w:t>
      </w:r>
    </w:p>
    <w:p w:rsidR="00BF2117" w:rsidRPr="00866443" w:rsidRDefault="00BF2117" w:rsidP="00E06C58">
      <w:pPr>
        <w:pStyle w:val="FootnoteText"/>
        <w:rPr>
          <w:sz w:val="16"/>
          <w:szCs w:val="16"/>
          <w:lang w:val="en-US"/>
        </w:rPr>
      </w:pPr>
      <w:r w:rsidRPr="00866443">
        <w:rPr>
          <w:snapToGrid w:val="0"/>
          <w:sz w:val="16"/>
          <w:szCs w:val="16"/>
        </w:rPr>
        <w:tab/>
        <w:t>(k)</w:t>
      </w:r>
      <w:r w:rsidRPr="00866443">
        <w:rPr>
          <w:snapToGrid w:val="0"/>
          <w:sz w:val="16"/>
          <w:szCs w:val="16"/>
        </w:rPr>
        <w:tab/>
        <w:t>manufacture of cattle and poultry feeds.”</w:t>
      </w:r>
    </w:p>
  </w:footnote>
  <w:footnote w:id="1998">
    <w:p w:rsidR="00BF2117" w:rsidRPr="00866443" w:rsidRDefault="00BF2117" w:rsidP="00AA4BF8">
      <w:pPr>
        <w:pStyle w:val="FootnoteText"/>
        <w:keepNext/>
        <w:rPr>
          <w:sz w:val="16"/>
          <w:szCs w:val="16"/>
        </w:rPr>
      </w:pPr>
      <w:r w:rsidRPr="00866443">
        <w:rPr>
          <w:rStyle w:val="FootnoteReference"/>
          <w:rFonts w:cs="Arial"/>
          <w:sz w:val="16"/>
          <w:szCs w:val="16"/>
        </w:rPr>
        <w:footnoteRef/>
      </w:r>
      <w:r w:rsidRPr="00866443">
        <w:rPr>
          <w:sz w:val="16"/>
          <w:szCs w:val="16"/>
        </w:rPr>
        <w:t xml:space="preserve"> Clause (128) omitted by the Finance Act, 2002. The omitted clause (128) read as follows:</w:t>
      </w:r>
    </w:p>
    <w:p w:rsidR="00BF2117" w:rsidRPr="00866443" w:rsidRDefault="00BF2117" w:rsidP="00AA4BF8">
      <w:pPr>
        <w:keepNext/>
        <w:widowControl w:val="0"/>
        <w:ind w:left="180"/>
        <w:jc w:val="both"/>
        <w:rPr>
          <w:snapToGrid w:val="0"/>
          <w:sz w:val="16"/>
          <w:szCs w:val="16"/>
        </w:rPr>
      </w:pPr>
      <w:r w:rsidRPr="00866443">
        <w:rPr>
          <w:sz w:val="16"/>
          <w:szCs w:val="16"/>
        </w:rPr>
        <w:t>“</w:t>
      </w:r>
      <w:r w:rsidRPr="00866443">
        <w:rPr>
          <w:b/>
          <w:bCs/>
          <w:snapToGrid w:val="0"/>
          <w:sz w:val="16"/>
          <w:szCs w:val="16"/>
        </w:rPr>
        <w:t xml:space="preserve"> (128)</w:t>
      </w:r>
      <w:r w:rsidRPr="00866443">
        <w:rPr>
          <w:snapToGrid w:val="0"/>
          <w:sz w:val="16"/>
          <w:szCs w:val="16"/>
        </w:rPr>
        <w:tab/>
        <w:t xml:space="preserve">Any income accruing or arising outside Pakistan to an industrial undertaking set up in an area declared by the Federal Government to be a `Zone' within the meaning of the Export Processing Zones Authority Ordinance, 1980 (IV of 1980), provided the said income accrues or arises from such activities of the said undertaking as are approved by the Federal Government: </w:t>
      </w:r>
    </w:p>
    <w:p w:rsidR="00BF2117" w:rsidRPr="00866443" w:rsidRDefault="00BF2117" w:rsidP="00AA4BF8">
      <w:pPr>
        <w:widowControl w:val="0"/>
        <w:ind w:left="180" w:firstLine="900"/>
        <w:jc w:val="both"/>
        <w:rPr>
          <w:sz w:val="16"/>
          <w:szCs w:val="16"/>
        </w:rPr>
      </w:pPr>
      <w:r w:rsidRPr="00866443">
        <w:rPr>
          <w:snapToGrid w:val="0"/>
          <w:sz w:val="16"/>
          <w:szCs w:val="16"/>
        </w:rPr>
        <w:t>Provided that nothing contained in this clause shall apply to an industrial undertaking set up after the 30th June, 1997.”</w:t>
      </w:r>
    </w:p>
  </w:footnote>
  <w:footnote w:id="1999">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(129) omitted by the Finance Act, 2003. The omitted clause (129) read as follows: </w:t>
      </w:r>
    </w:p>
    <w:p w:rsidR="00BF2117" w:rsidRDefault="00BF2117" w:rsidP="00AA4BF8">
      <w:pPr>
        <w:widowControl w:val="0"/>
        <w:ind w:left="180"/>
        <w:jc w:val="both"/>
      </w:pPr>
      <w:r w:rsidRPr="00412620">
        <w:rPr>
          <w:snapToGrid w:val="0"/>
          <w:sz w:val="16"/>
          <w:szCs w:val="16"/>
        </w:rPr>
        <w:t>“</w:t>
      </w:r>
      <w:r w:rsidRPr="00412620">
        <w:rPr>
          <w:b/>
          <w:bCs/>
          <w:snapToGrid w:val="0"/>
          <w:sz w:val="16"/>
          <w:szCs w:val="16"/>
        </w:rPr>
        <w:t xml:space="preserve">(129)  </w:t>
      </w:r>
      <w:r w:rsidRPr="00412620">
        <w:rPr>
          <w:snapToGrid w:val="0"/>
          <w:sz w:val="16"/>
          <w:szCs w:val="16"/>
        </w:rPr>
        <w:t>Any income of Saudi-Pak Industrial and Agricultural Investment Company Limited in Pakistan for a period of twenty years commencing with the thirty-first day of December, 1982.”</w:t>
      </w:r>
    </w:p>
  </w:footnote>
  <w:footnote w:id="2000">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(130) omitted by the Finance Act, 2002. The omitted clause (130) read as follows:</w:t>
      </w:r>
    </w:p>
    <w:p w:rsidR="00BF2117" w:rsidRDefault="00BF2117" w:rsidP="00AA4BF8">
      <w:pPr>
        <w:widowControl w:val="0"/>
        <w:ind w:left="180"/>
        <w:jc w:val="both"/>
      </w:pPr>
      <w:r w:rsidRPr="00412620">
        <w:rPr>
          <w:sz w:val="16"/>
          <w:szCs w:val="16"/>
        </w:rPr>
        <w:t>“</w:t>
      </w:r>
      <w:r w:rsidRPr="00412620">
        <w:rPr>
          <w:b/>
          <w:bCs/>
          <w:snapToGrid w:val="0"/>
          <w:sz w:val="16"/>
          <w:szCs w:val="16"/>
        </w:rPr>
        <w:t>(130)</w:t>
      </w:r>
      <w:r w:rsidRPr="00412620">
        <w:rPr>
          <w:snapToGrid w:val="0"/>
          <w:sz w:val="16"/>
          <w:szCs w:val="16"/>
        </w:rPr>
        <w:t xml:space="preserve"> Any income of Pakistan-Kuwait Investment Company in Pakistan for a period of twenty years from the date of its incorporation.”</w:t>
      </w:r>
    </w:p>
  </w:footnote>
  <w:footnote w:id="2001">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The words “local authority” substituted by the Finance Act, 2008.</w:t>
      </w:r>
    </w:p>
  </w:footnote>
  <w:footnote w:id="2002">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lang w:val="en-US"/>
        </w:rPr>
        <w:t>The words “local authority” substituted by the Finance Act, 2008.</w:t>
      </w:r>
    </w:p>
  </w:footnote>
  <w:footnote w:id="2003">
    <w:p w:rsidR="00BF2117" w:rsidRPr="00866443" w:rsidRDefault="00BF2117" w:rsidP="00AA4BF8">
      <w:pPr>
        <w:pStyle w:val="FootnoteText"/>
        <w:rPr>
          <w:sz w:val="16"/>
          <w:szCs w:val="16"/>
        </w:rPr>
      </w:pPr>
      <w:r w:rsidRPr="00866443">
        <w:rPr>
          <w:rStyle w:val="FootnoteReference"/>
          <w:rFonts w:cs="Arial"/>
          <w:sz w:val="16"/>
          <w:szCs w:val="16"/>
        </w:rPr>
        <w:footnoteRef/>
      </w:r>
      <w:r w:rsidRPr="00866443">
        <w:rPr>
          <w:sz w:val="16"/>
          <w:szCs w:val="16"/>
        </w:rPr>
        <w:t xml:space="preserve"> Full stop substituted by S.R.O. 940(I)/2002, dated 19.12.2002.</w:t>
      </w:r>
    </w:p>
  </w:footnote>
  <w:footnote w:id="2004">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lang w:val="en-US"/>
        </w:rPr>
        <w:t>Inserted by the Finance Act, 2007.</w:t>
      </w:r>
    </w:p>
  </w:footnote>
  <w:footnote w:id="2005">
    <w:p w:rsidR="00BF2117" w:rsidRPr="008E319C" w:rsidRDefault="00BF2117" w:rsidP="00AA4BF8">
      <w:pPr>
        <w:pStyle w:val="FootnoteText"/>
        <w:ind w:left="180" w:hanging="180"/>
        <w:rPr>
          <w:sz w:val="16"/>
          <w:szCs w:val="16"/>
        </w:rPr>
      </w:pPr>
      <w:r w:rsidRPr="008E319C">
        <w:rPr>
          <w:rStyle w:val="FootnoteReference"/>
          <w:rFonts w:cs="Arial"/>
          <w:sz w:val="16"/>
          <w:szCs w:val="16"/>
        </w:rPr>
        <w:footnoteRef/>
      </w:r>
      <w:r w:rsidRPr="008E319C">
        <w:rPr>
          <w:sz w:val="16"/>
          <w:szCs w:val="16"/>
        </w:rPr>
        <w:t xml:space="preserve"> The words, figures and comma “on or after 22</w:t>
      </w:r>
      <w:r w:rsidRPr="008E319C">
        <w:rPr>
          <w:sz w:val="16"/>
          <w:szCs w:val="16"/>
          <w:vertAlign w:val="superscript"/>
        </w:rPr>
        <w:t>nd</w:t>
      </w:r>
      <w:r w:rsidRPr="008E319C">
        <w:rPr>
          <w:sz w:val="16"/>
          <w:szCs w:val="16"/>
        </w:rPr>
        <w:t xml:space="preserve"> October, 2002” substituted by the Finance Act, 2006.</w:t>
      </w:r>
    </w:p>
  </w:footnote>
  <w:footnote w:id="2006">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Inserted by S.R.O. 1009(I)/2005 dated 26.09.2005.</w:t>
      </w:r>
    </w:p>
  </w:footnote>
  <w:footnote w:id="2007">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lang w:val="en-US"/>
        </w:rPr>
        <w:t>Full stop substituted by the Finance Act, 2007.</w:t>
      </w:r>
    </w:p>
  </w:footnote>
  <w:footnote w:id="2008">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lang w:val="en-US"/>
        </w:rPr>
        <w:t>Inserted by the Finance Act, 2007.</w:t>
      </w:r>
    </w:p>
  </w:footnote>
  <w:footnote w:id="2009">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lang w:val="en-US"/>
        </w:rPr>
        <w:t>Full stop substituted by S.R.O. 405(I)/2008, dated 26.04.2008.</w:t>
      </w:r>
    </w:p>
  </w:footnote>
  <w:footnote w:id="2010">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Added by S.R.O. 405(I)/208, dated 26.04.2008.</w:t>
      </w:r>
    </w:p>
  </w:footnote>
  <w:footnote w:id="2011">
    <w:p w:rsidR="00BF2117" w:rsidRPr="00E62F18" w:rsidRDefault="00BF2117">
      <w:pPr>
        <w:pStyle w:val="FootnoteText"/>
        <w:rPr>
          <w:sz w:val="16"/>
          <w:szCs w:val="16"/>
          <w:lang w:val="en-US"/>
        </w:rPr>
      </w:pPr>
      <w:r w:rsidRPr="00E62F18">
        <w:rPr>
          <w:rStyle w:val="FootnoteReference"/>
          <w:sz w:val="16"/>
          <w:szCs w:val="16"/>
        </w:rPr>
        <w:footnoteRef/>
      </w:r>
      <w:r w:rsidRPr="00E62F18">
        <w:rPr>
          <w:sz w:val="16"/>
          <w:szCs w:val="16"/>
        </w:rPr>
        <w:t xml:space="preserve"> Full stop substituted by S.R.O. 248(I)/2015 dated 27.03.2015.</w:t>
      </w:r>
    </w:p>
  </w:footnote>
  <w:footnote w:id="2012">
    <w:p w:rsidR="00BF2117" w:rsidRPr="00E62F18" w:rsidRDefault="00BF2117">
      <w:pPr>
        <w:pStyle w:val="FootnoteText"/>
        <w:rPr>
          <w:sz w:val="16"/>
          <w:szCs w:val="16"/>
          <w:lang w:val="en-US"/>
        </w:rPr>
      </w:pPr>
      <w:r w:rsidRPr="00E62F18">
        <w:rPr>
          <w:rStyle w:val="FootnoteReference"/>
          <w:sz w:val="16"/>
          <w:szCs w:val="16"/>
        </w:rPr>
        <w:footnoteRef/>
      </w:r>
      <w:r>
        <w:rPr>
          <w:sz w:val="16"/>
          <w:szCs w:val="16"/>
        </w:rPr>
        <w:t>Proviso added b</w:t>
      </w:r>
      <w:r w:rsidRPr="00E62F18">
        <w:rPr>
          <w:sz w:val="16"/>
          <w:szCs w:val="16"/>
        </w:rPr>
        <w:t>y S.R.O. 248(I)/2015 dated 27.03.2015</w:t>
      </w:r>
    </w:p>
  </w:footnote>
  <w:footnote w:id="2013">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lang w:val="en-US"/>
        </w:rPr>
        <w:t>Inserted by S.R.O. 650(I)/2009, dated 09.07.2009.</w:t>
      </w:r>
    </w:p>
  </w:footnote>
  <w:footnote w:id="2014">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rPr>
        <w:t>Clause (132B) inserted by the Finance Act, 2014.</w:t>
      </w:r>
    </w:p>
  </w:footnote>
  <w:footnote w:id="2015">
    <w:p w:rsidR="00BF2117" w:rsidRPr="008E319C" w:rsidRDefault="00BF2117" w:rsidP="00AA4BF8">
      <w:pPr>
        <w:pStyle w:val="FootnoteText"/>
        <w:keepNext/>
        <w:rPr>
          <w:sz w:val="16"/>
          <w:szCs w:val="16"/>
        </w:rPr>
      </w:pPr>
      <w:r w:rsidRPr="008E319C">
        <w:rPr>
          <w:rStyle w:val="FootnoteReference"/>
          <w:rFonts w:cs="Arial"/>
          <w:sz w:val="16"/>
          <w:szCs w:val="16"/>
        </w:rPr>
        <w:footnoteRef/>
      </w:r>
      <w:r w:rsidRPr="008E319C">
        <w:rPr>
          <w:sz w:val="16"/>
          <w:szCs w:val="16"/>
        </w:rPr>
        <w:t xml:space="preserve"> Clause (133) substituted by the Finance Act, 2003. The substituted clause (133) read as follows:</w:t>
      </w:r>
    </w:p>
    <w:p w:rsidR="00BF2117" w:rsidRPr="008E319C" w:rsidRDefault="00BF2117" w:rsidP="00AA4BF8">
      <w:pPr>
        <w:keepNext/>
        <w:widowControl w:val="0"/>
        <w:jc w:val="both"/>
        <w:rPr>
          <w:snapToGrid w:val="0"/>
          <w:sz w:val="16"/>
          <w:szCs w:val="16"/>
        </w:rPr>
      </w:pPr>
      <w:r w:rsidRPr="008E319C">
        <w:rPr>
          <w:snapToGrid w:val="0"/>
          <w:sz w:val="16"/>
          <w:szCs w:val="16"/>
        </w:rPr>
        <w:t xml:space="preserve">   “</w:t>
      </w:r>
      <w:r w:rsidRPr="008E319C">
        <w:rPr>
          <w:b/>
          <w:bCs/>
          <w:snapToGrid w:val="0"/>
          <w:sz w:val="16"/>
          <w:szCs w:val="16"/>
        </w:rPr>
        <w:t xml:space="preserve">(133)  </w:t>
      </w:r>
      <w:r w:rsidRPr="008E319C">
        <w:rPr>
          <w:snapToGrid w:val="0"/>
          <w:sz w:val="16"/>
          <w:szCs w:val="16"/>
        </w:rPr>
        <w:t>Income from export of computer software and its related services developed in Pakistan:</w:t>
      </w:r>
    </w:p>
    <w:p w:rsidR="00BF2117" w:rsidRPr="008E319C" w:rsidRDefault="00BF2117" w:rsidP="00B11034">
      <w:pPr>
        <w:widowControl w:val="0"/>
        <w:ind w:left="540"/>
        <w:jc w:val="both"/>
        <w:rPr>
          <w:sz w:val="16"/>
          <w:szCs w:val="16"/>
        </w:rPr>
      </w:pPr>
      <w:r w:rsidRPr="008E319C">
        <w:rPr>
          <w:snapToGrid w:val="0"/>
          <w:sz w:val="16"/>
          <w:szCs w:val="16"/>
        </w:rPr>
        <w:t>Provided that the exemption under this clause shall not be available after the 30</w:t>
      </w:r>
      <w:r w:rsidRPr="008E319C">
        <w:rPr>
          <w:snapToGrid w:val="0"/>
          <w:sz w:val="16"/>
          <w:szCs w:val="16"/>
          <w:vertAlign w:val="superscript"/>
        </w:rPr>
        <w:t>th</w:t>
      </w:r>
      <w:r w:rsidRPr="008E319C">
        <w:rPr>
          <w:snapToGrid w:val="0"/>
          <w:sz w:val="16"/>
          <w:szCs w:val="16"/>
        </w:rPr>
        <w:t xml:space="preserve"> day of June, 2016.”</w:t>
      </w:r>
    </w:p>
  </w:footnote>
  <w:footnote w:id="2016">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Figure “2016” substituted by the Finance Act, 2016.</w:t>
      </w:r>
    </w:p>
  </w:footnote>
  <w:footnote w:id="2017">
    <w:p w:rsidR="00BF2117" w:rsidRPr="002C74B5" w:rsidRDefault="00BF2117">
      <w:pPr>
        <w:pStyle w:val="FootnoteText"/>
        <w:rPr>
          <w:color w:val="FF0000"/>
          <w:sz w:val="16"/>
          <w:szCs w:val="16"/>
          <w:lang w:val="en-US"/>
        </w:rPr>
      </w:pPr>
      <w:r w:rsidRPr="00D47C20">
        <w:rPr>
          <w:rStyle w:val="FootnoteReference"/>
          <w:color w:val="0070C0"/>
          <w:sz w:val="16"/>
          <w:szCs w:val="16"/>
        </w:rPr>
        <w:footnoteRef/>
      </w:r>
      <w:r w:rsidRPr="00D47C20">
        <w:rPr>
          <w:color w:val="0070C0"/>
          <w:sz w:val="16"/>
          <w:szCs w:val="16"/>
        </w:rPr>
        <w:t xml:space="preserve"> Added by the Finance Act, 2016.</w:t>
      </w:r>
      <w:r w:rsidRPr="002C74B5">
        <w:rPr>
          <w:color w:val="FF0000"/>
          <w:sz w:val="16"/>
          <w:szCs w:val="16"/>
        </w:rPr>
        <w:t xml:space="preserve"> </w:t>
      </w:r>
    </w:p>
  </w:footnote>
  <w:footnote w:id="2018">
    <w:p w:rsidR="00BF2117" w:rsidRDefault="00BF2117" w:rsidP="00AA4BF8">
      <w:pPr>
        <w:pStyle w:val="FootnoteText"/>
      </w:pPr>
      <w:r w:rsidRPr="008E319C">
        <w:rPr>
          <w:rStyle w:val="FootnoteReference"/>
          <w:rFonts w:cs="Arial"/>
          <w:sz w:val="16"/>
          <w:szCs w:val="16"/>
        </w:rPr>
        <w:footnoteRef/>
      </w:r>
      <w:r w:rsidRPr="008E319C">
        <w:rPr>
          <w:sz w:val="16"/>
          <w:szCs w:val="16"/>
        </w:rPr>
        <w:t xml:space="preserve"> Inserted by the Finance Act, 2006</w:t>
      </w:r>
      <w:r w:rsidRPr="00412620">
        <w:rPr>
          <w:sz w:val="16"/>
          <w:szCs w:val="16"/>
        </w:rPr>
        <w:t>.</w:t>
      </w:r>
    </w:p>
  </w:footnote>
  <w:footnote w:id="2019">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Clause (133A) omitted by the Finance Act, 2008. The omitted clause (133A) read as follows:</w:t>
      </w:r>
    </w:p>
    <w:p w:rsidR="00BF2117" w:rsidRPr="008E319C" w:rsidRDefault="00BF2117" w:rsidP="00AA4BF8">
      <w:pPr>
        <w:widowControl w:val="0"/>
        <w:ind w:left="270" w:hanging="90"/>
        <w:jc w:val="both"/>
        <w:rPr>
          <w:sz w:val="16"/>
          <w:szCs w:val="16"/>
        </w:rPr>
      </w:pPr>
      <w:r w:rsidRPr="008E319C">
        <w:rPr>
          <w:sz w:val="16"/>
          <w:szCs w:val="16"/>
        </w:rPr>
        <w:t>“</w:t>
      </w:r>
      <w:r w:rsidRPr="008E319C">
        <w:rPr>
          <w:b/>
          <w:bCs/>
          <w:snapToGrid w:val="0"/>
          <w:sz w:val="16"/>
          <w:szCs w:val="16"/>
        </w:rPr>
        <w:t>(133A)</w:t>
      </w:r>
      <w:r w:rsidRPr="008E319C">
        <w:rPr>
          <w:snapToGrid w:val="0"/>
          <w:sz w:val="16"/>
          <w:szCs w:val="16"/>
        </w:rPr>
        <w:t xml:space="preserve"> Any income derived by an individual from transfer of his membership rights or shares of a stock exchange in Pakistan along with a room in the Stock Exchange to a company at any time between the first day of July, 2005, and the thirtieth day of June, 2008.”</w:t>
      </w:r>
    </w:p>
  </w:footnote>
  <w:footnote w:id="2020">
    <w:p w:rsidR="00BF2117" w:rsidRPr="008E319C" w:rsidRDefault="00BF2117" w:rsidP="00AA4BF8">
      <w:pPr>
        <w:pStyle w:val="FootnoteText"/>
        <w:keepNext/>
        <w:rPr>
          <w:sz w:val="16"/>
          <w:szCs w:val="16"/>
        </w:rPr>
      </w:pPr>
      <w:r w:rsidRPr="008E319C">
        <w:rPr>
          <w:rStyle w:val="FootnoteReference"/>
          <w:rFonts w:cs="Arial"/>
          <w:sz w:val="16"/>
          <w:szCs w:val="16"/>
        </w:rPr>
        <w:footnoteRef/>
      </w:r>
      <w:r w:rsidRPr="008E319C">
        <w:rPr>
          <w:sz w:val="16"/>
          <w:szCs w:val="16"/>
        </w:rPr>
        <w:t xml:space="preserve"> Clause (134) omitted by the Finance Act, 2003. The omitted clause (134) read as follows:</w:t>
      </w:r>
    </w:p>
    <w:p w:rsidR="00BF2117" w:rsidRPr="008E319C" w:rsidRDefault="00BF2117" w:rsidP="00AA4BF8">
      <w:pPr>
        <w:keepNext/>
        <w:widowControl w:val="0"/>
        <w:ind w:left="180"/>
        <w:jc w:val="both"/>
        <w:rPr>
          <w:snapToGrid w:val="0"/>
          <w:sz w:val="16"/>
          <w:szCs w:val="16"/>
        </w:rPr>
      </w:pPr>
      <w:r w:rsidRPr="008E319C">
        <w:rPr>
          <w:snapToGrid w:val="0"/>
          <w:sz w:val="16"/>
          <w:szCs w:val="16"/>
        </w:rPr>
        <w:t>“</w:t>
      </w:r>
      <w:r w:rsidRPr="008E319C">
        <w:rPr>
          <w:b/>
          <w:bCs/>
          <w:snapToGrid w:val="0"/>
          <w:sz w:val="16"/>
          <w:szCs w:val="16"/>
        </w:rPr>
        <w:t xml:space="preserve">(134)  </w:t>
      </w:r>
      <w:r w:rsidRPr="008E319C">
        <w:rPr>
          <w:snapToGrid w:val="0"/>
          <w:sz w:val="16"/>
          <w:szCs w:val="16"/>
        </w:rPr>
        <w:t>Any amount received on encashment of any certificate issued in pursuance of the US Dollar Bearer Certificate Rules, 1991: </w:t>
      </w:r>
    </w:p>
    <w:p w:rsidR="00BF2117" w:rsidRPr="00C75159" w:rsidRDefault="00BF2117" w:rsidP="00AA4BF8">
      <w:pPr>
        <w:widowControl w:val="0"/>
        <w:ind w:left="180" w:firstLine="367"/>
        <w:jc w:val="both"/>
        <w:rPr>
          <w:color w:val="000000" w:themeColor="text1"/>
          <w:sz w:val="16"/>
          <w:szCs w:val="16"/>
        </w:rPr>
      </w:pPr>
      <w:r w:rsidRPr="008E319C">
        <w:rPr>
          <w:snapToGrid w:val="0"/>
          <w:sz w:val="16"/>
          <w:szCs w:val="16"/>
        </w:rPr>
        <w:t xml:space="preserve">Provided that exemption under this clause shall not be available in respect of certificates </w:t>
      </w:r>
      <w:r w:rsidRPr="00C75159">
        <w:rPr>
          <w:snapToGrid w:val="0"/>
          <w:color w:val="000000" w:themeColor="text1"/>
          <w:sz w:val="16"/>
          <w:szCs w:val="16"/>
        </w:rPr>
        <w:t>purchased on or after the 15 June, 1995.”</w:t>
      </w:r>
    </w:p>
  </w:footnote>
  <w:footnote w:id="2021">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lang w:val="en-US"/>
        </w:rPr>
        <w:t>Clause (135) omitted by the Finance Act, 2014. The Omitted clause (135) read as follows:</w:t>
      </w:r>
    </w:p>
    <w:p w:rsidR="00BF2117" w:rsidRPr="00C75159" w:rsidRDefault="00BF2117" w:rsidP="00672230">
      <w:pPr>
        <w:widowControl w:val="0"/>
        <w:jc w:val="both"/>
        <w:rPr>
          <w:color w:val="000000" w:themeColor="text1"/>
          <w:sz w:val="16"/>
          <w:szCs w:val="16"/>
          <w:lang w:val="en-US"/>
        </w:rPr>
      </w:pPr>
      <w:r w:rsidRPr="00C75159">
        <w:rPr>
          <w:color w:val="000000" w:themeColor="text1"/>
          <w:sz w:val="16"/>
          <w:szCs w:val="16"/>
          <w:lang w:val="en-US"/>
        </w:rPr>
        <w:tab/>
        <w:t>“</w:t>
      </w:r>
      <w:r w:rsidRPr="00C75159">
        <w:rPr>
          <w:rFonts w:cs="Arial"/>
          <w:b/>
          <w:snapToGrid w:val="0"/>
          <w:color w:val="000000" w:themeColor="text1"/>
          <w:sz w:val="16"/>
          <w:szCs w:val="16"/>
        </w:rPr>
        <w:t>(135)</w:t>
      </w:r>
      <w:r w:rsidRPr="00C75159">
        <w:rPr>
          <w:snapToGrid w:val="0"/>
          <w:color w:val="000000" w:themeColor="text1"/>
          <w:sz w:val="16"/>
          <w:szCs w:val="16"/>
        </w:rPr>
        <w:t xml:space="preserve"> Any amount received on encashment of Special US Dollar Bond issued under the Special US Dollar Bonds Rules, 1998.”</w:t>
      </w:r>
    </w:p>
  </w:footnote>
  <w:footnote w:id="2022">
    <w:p w:rsidR="00BF2117" w:rsidRPr="008E319C" w:rsidRDefault="00BF2117" w:rsidP="00AA4BF8">
      <w:pPr>
        <w:pStyle w:val="FootnoteText"/>
        <w:rPr>
          <w:sz w:val="16"/>
          <w:szCs w:val="16"/>
        </w:rPr>
      </w:pPr>
      <w:r w:rsidRPr="00C75159">
        <w:rPr>
          <w:rStyle w:val="FootnoteReference"/>
          <w:rFonts w:cs="Arial"/>
          <w:color w:val="000000" w:themeColor="text1"/>
          <w:sz w:val="16"/>
          <w:szCs w:val="16"/>
        </w:rPr>
        <w:footnoteRef/>
      </w:r>
      <w:r w:rsidRPr="00C75159">
        <w:rPr>
          <w:color w:val="000000" w:themeColor="text1"/>
          <w:sz w:val="16"/>
          <w:szCs w:val="16"/>
        </w:rPr>
        <w:t xml:space="preserve"> Inserted by S.R.O. 64(I)/2012, dated 27.01</w:t>
      </w:r>
      <w:r w:rsidRPr="008E319C">
        <w:rPr>
          <w:sz w:val="16"/>
          <w:szCs w:val="16"/>
        </w:rPr>
        <w:t>.2012.</w:t>
      </w:r>
    </w:p>
  </w:footnote>
  <w:footnote w:id="2023">
    <w:p w:rsidR="00BF2117" w:rsidRPr="002C74B5" w:rsidRDefault="00BF2117" w:rsidP="00487F91">
      <w:pPr>
        <w:pStyle w:val="FootnoteText"/>
        <w:rPr>
          <w:color w:val="FF0000"/>
          <w:sz w:val="16"/>
          <w:szCs w:val="16"/>
          <w:lang w:val="en-US"/>
        </w:rPr>
      </w:pPr>
      <w:r w:rsidRPr="00487F91">
        <w:rPr>
          <w:rStyle w:val="FootnoteReference"/>
          <w:color w:val="FF0000"/>
          <w:sz w:val="16"/>
          <w:szCs w:val="16"/>
        </w:rPr>
        <w:footnoteRef/>
      </w:r>
      <w:r w:rsidRPr="00487F91">
        <w:rPr>
          <w:color w:val="FF0000"/>
          <w:sz w:val="16"/>
          <w:szCs w:val="16"/>
        </w:rPr>
        <w:t xml:space="preserve"> </w:t>
      </w:r>
      <w:r>
        <w:rPr>
          <w:color w:val="FF0000"/>
          <w:sz w:val="16"/>
          <w:szCs w:val="16"/>
        </w:rPr>
        <w:t xml:space="preserve">Inserted </w:t>
      </w:r>
      <w:r w:rsidRPr="00487F91">
        <w:rPr>
          <w:color w:val="FF0000"/>
          <w:sz w:val="16"/>
          <w:szCs w:val="16"/>
        </w:rPr>
        <w:t xml:space="preserve">by the </w:t>
      </w:r>
      <w:r>
        <w:rPr>
          <w:color w:val="FF0000"/>
          <w:sz w:val="16"/>
          <w:szCs w:val="16"/>
        </w:rPr>
        <w:t>Presidential Order No.F.2(1)2016-Pub dated 31.08.2016</w:t>
      </w:r>
      <w:r w:rsidRPr="00D47C20">
        <w:rPr>
          <w:color w:val="0070C0"/>
          <w:sz w:val="16"/>
          <w:szCs w:val="16"/>
        </w:rPr>
        <w:t>.</w:t>
      </w:r>
      <w:r w:rsidRPr="002C74B5">
        <w:rPr>
          <w:color w:val="FF0000"/>
          <w:sz w:val="16"/>
          <w:szCs w:val="16"/>
        </w:rPr>
        <w:t xml:space="preserve"> </w:t>
      </w:r>
    </w:p>
  </w:footnote>
  <w:footnote w:id="2024">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Clause (137) omitted by the Finance Act, 2006. The omitted clause (137) read as follows:</w:t>
      </w:r>
    </w:p>
    <w:p w:rsidR="00BF2117" w:rsidRPr="008E319C" w:rsidRDefault="00BF2117" w:rsidP="00AA4BF8">
      <w:pPr>
        <w:widowControl w:val="0"/>
        <w:ind w:left="180"/>
        <w:jc w:val="both"/>
        <w:rPr>
          <w:sz w:val="16"/>
          <w:szCs w:val="16"/>
        </w:rPr>
      </w:pPr>
      <w:r w:rsidRPr="008E319C">
        <w:rPr>
          <w:sz w:val="16"/>
          <w:szCs w:val="16"/>
        </w:rPr>
        <w:t>“</w:t>
      </w:r>
      <w:r w:rsidRPr="008E319C">
        <w:rPr>
          <w:b/>
          <w:bCs/>
          <w:snapToGrid w:val="0"/>
          <w:sz w:val="16"/>
          <w:szCs w:val="16"/>
        </w:rPr>
        <w:t xml:space="preserve"> (137)</w:t>
      </w:r>
      <w:r w:rsidRPr="008E319C">
        <w:rPr>
          <w:snapToGrid w:val="0"/>
          <w:sz w:val="16"/>
          <w:szCs w:val="16"/>
        </w:rPr>
        <w:t xml:space="preserve"> Income of Fugro Geodetic Limited from execution of contract with the Government of Pakistan for survey for the establishment of the Continental Shelf of Pakistan.”</w:t>
      </w:r>
    </w:p>
  </w:footnote>
  <w:footnote w:id="2025">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Clause (138) omitted by the Finance Act, 2008. The omitted clause (138) read as follows:</w:t>
      </w:r>
    </w:p>
    <w:p w:rsidR="00BF2117" w:rsidRPr="008E319C" w:rsidRDefault="00BF2117" w:rsidP="00AA4BF8">
      <w:pPr>
        <w:widowControl w:val="0"/>
        <w:ind w:left="270" w:hanging="90"/>
        <w:jc w:val="both"/>
        <w:rPr>
          <w:sz w:val="16"/>
          <w:szCs w:val="16"/>
        </w:rPr>
      </w:pPr>
      <w:r w:rsidRPr="008E319C">
        <w:rPr>
          <w:sz w:val="16"/>
          <w:szCs w:val="16"/>
        </w:rPr>
        <w:t>“</w:t>
      </w:r>
      <w:r w:rsidRPr="008E319C">
        <w:rPr>
          <w:b/>
          <w:bCs/>
          <w:snapToGrid w:val="0"/>
          <w:sz w:val="16"/>
          <w:szCs w:val="16"/>
        </w:rPr>
        <w:t xml:space="preserve">(138)  </w:t>
      </w:r>
      <w:r w:rsidRPr="008E319C">
        <w:rPr>
          <w:snapToGrid w:val="0"/>
          <w:sz w:val="16"/>
          <w:szCs w:val="16"/>
        </w:rPr>
        <w:t>Any income referred to in Section 3.4 (a) of the Facilitation Agreement between the President of the Islamic Republic of Pakistan and the taxpayer purchasing the Kot</w:t>
      </w:r>
      <w:r>
        <w:rPr>
          <w:snapToGrid w:val="0"/>
          <w:sz w:val="16"/>
          <w:szCs w:val="16"/>
        </w:rPr>
        <w:t xml:space="preserve"> </w:t>
      </w:r>
      <w:r w:rsidRPr="008E319C">
        <w:rPr>
          <w:snapToGrid w:val="0"/>
          <w:sz w:val="16"/>
          <w:szCs w:val="16"/>
        </w:rPr>
        <w:t>Addu Power Station from Pakistan Water and Power Development Authority for a period of ten years from 28th June, 1996; provided, however, that the exemption under this clause shall only be available subject to the business of the said taxpayer being restricted to owing and operating the Kot</w:t>
      </w:r>
      <w:r>
        <w:rPr>
          <w:snapToGrid w:val="0"/>
          <w:sz w:val="16"/>
          <w:szCs w:val="16"/>
        </w:rPr>
        <w:t xml:space="preserve"> </w:t>
      </w:r>
      <w:r w:rsidRPr="008E319C">
        <w:rPr>
          <w:snapToGrid w:val="0"/>
          <w:sz w:val="16"/>
          <w:szCs w:val="16"/>
        </w:rPr>
        <w:t>Addu power station.”</w:t>
      </w:r>
    </w:p>
  </w:footnote>
  <w:footnote w:id="2026">
    <w:p w:rsidR="00BF2117" w:rsidRPr="008E319C" w:rsidRDefault="00BF2117" w:rsidP="00AA4BF8">
      <w:pPr>
        <w:pStyle w:val="FootnoteText"/>
        <w:keepNext/>
        <w:rPr>
          <w:sz w:val="16"/>
          <w:szCs w:val="16"/>
        </w:rPr>
      </w:pPr>
      <w:r w:rsidRPr="008E319C">
        <w:rPr>
          <w:rStyle w:val="FootnoteReference"/>
          <w:rFonts w:cs="Arial"/>
          <w:sz w:val="16"/>
          <w:szCs w:val="16"/>
        </w:rPr>
        <w:footnoteRef/>
      </w:r>
      <w:r w:rsidRPr="008E319C">
        <w:rPr>
          <w:sz w:val="16"/>
          <w:szCs w:val="16"/>
        </w:rPr>
        <w:t xml:space="preserve"> Clause (139) substituted by the Finance Act, 2003. The substituted clause (139) read as follows: </w:t>
      </w:r>
    </w:p>
    <w:p w:rsidR="00BF2117" w:rsidRPr="008E319C" w:rsidRDefault="00BF2117" w:rsidP="00AA4BF8">
      <w:pPr>
        <w:keepNext/>
        <w:widowControl w:val="0"/>
        <w:ind w:left="1634" w:hanging="1454"/>
        <w:jc w:val="both"/>
        <w:rPr>
          <w:snapToGrid w:val="0"/>
          <w:sz w:val="16"/>
          <w:szCs w:val="16"/>
        </w:rPr>
      </w:pPr>
      <w:r w:rsidRPr="008E319C">
        <w:rPr>
          <w:snapToGrid w:val="0"/>
          <w:sz w:val="16"/>
          <w:szCs w:val="16"/>
        </w:rPr>
        <w:t xml:space="preserve"> “</w:t>
      </w:r>
      <w:r w:rsidRPr="008E319C">
        <w:rPr>
          <w:b/>
          <w:bCs/>
          <w:snapToGrid w:val="0"/>
          <w:sz w:val="16"/>
          <w:szCs w:val="16"/>
        </w:rPr>
        <w:t xml:space="preserve">(139)        </w:t>
      </w:r>
      <w:r w:rsidRPr="008E319C">
        <w:rPr>
          <w:snapToGrid w:val="0"/>
          <w:sz w:val="16"/>
          <w:szCs w:val="16"/>
        </w:rPr>
        <w:t xml:space="preserve">(a) </w:t>
      </w:r>
      <w:r w:rsidRPr="008E319C">
        <w:rPr>
          <w:snapToGrid w:val="0"/>
          <w:sz w:val="16"/>
          <w:szCs w:val="16"/>
        </w:rPr>
        <w:tab/>
        <w:t>Any benefit, reimbursement received by an employee on account of medical  charges or hospital charges, or both, incurred by an employee</w:t>
      </w:r>
      <w:r w:rsidRPr="00412620">
        <w:rPr>
          <w:snapToGrid w:val="0"/>
          <w:sz w:val="16"/>
          <w:szCs w:val="16"/>
        </w:rPr>
        <w:t xml:space="preserve">, as provided for under the terms of the employee’s employment agreement; or where such benefit for reimbursement, medical charges or hospital charges, or both are </w:t>
      </w:r>
      <w:r w:rsidRPr="008E319C">
        <w:rPr>
          <w:snapToGrid w:val="0"/>
          <w:sz w:val="16"/>
          <w:szCs w:val="16"/>
        </w:rPr>
        <w:t>not provided for under the terms of employment’s agreement, medical allowance upto maximum of 10% of the basic pay for the year:</w:t>
      </w:r>
    </w:p>
    <w:p w:rsidR="00BF2117" w:rsidRPr="008E319C" w:rsidRDefault="00BF2117" w:rsidP="00AA4BF8">
      <w:pPr>
        <w:keepNext/>
        <w:widowControl w:val="0"/>
        <w:ind w:left="1634"/>
        <w:jc w:val="both"/>
        <w:rPr>
          <w:b/>
          <w:bCs/>
          <w:snapToGrid w:val="0"/>
          <w:sz w:val="16"/>
          <w:szCs w:val="16"/>
        </w:rPr>
      </w:pPr>
      <w:r w:rsidRPr="008E319C">
        <w:rPr>
          <w:snapToGrid w:val="0"/>
          <w:sz w:val="16"/>
          <w:szCs w:val="16"/>
        </w:rPr>
        <w:t>Provided that National Tax Number of the hospital or clinic, as the case may be, is given and the employer also certifies and attests the medical or hospital bills to which this clause applies; or</w:t>
      </w:r>
    </w:p>
    <w:p w:rsidR="00BF2117" w:rsidRPr="008E319C" w:rsidRDefault="00BF2117" w:rsidP="00AA4BF8">
      <w:pPr>
        <w:keepNext/>
        <w:widowControl w:val="0"/>
        <w:ind w:left="1634" w:hanging="540"/>
        <w:jc w:val="both"/>
        <w:rPr>
          <w:snapToGrid w:val="0"/>
          <w:sz w:val="16"/>
          <w:szCs w:val="16"/>
        </w:rPr>
      </w:pPr>
      <w:r w:rsidRPr="008E319C">
        <w:rPr>
          <w:snapToGrid w:val="0"/>
          <w:sz w:val="16"/>
          <w:szCs w:val="16"/>
        </w:rPr>
        <w:t xml:space="preserve">(b) </w:t>
      </w:r>
      <w:r w:rsidRPr="008E319C">
        <w:rPr>
          <w:snapToGrid w:val="0"/>
          <w:sz w:val="16"/>
          <w:szCs w:val="16"/>
        </w:rPr>
        <w:tab/>
        <w:t>Any amount paid by a taxpayer, being an individual and resident in Pakistan,  by  way  of personal expenditure on medical service, to the extent of 10% of taxable income returned in return of income or Rs 30,000 whichever is lower.</w:t>
      </w:r>
    </w:p>
    <w:p w:rsidR="00BF2117" w:rsidRPr="008E319C" w:rsidRDefault="00BF2117" w:rsidP="00AA4BF8">
      <w:pPr>
        <w:keepNext/>
        <w:widowControl w:val="0"/>
        <w:ind w:left="1634"/>
        <w:jc w:val="both"/>
        <w:rPr>
          <w:sz w:val="16"/>
          <w:szCs w:val="16"/>
        </w:rPr>
      </w:pPr>
      <w:r w:rsidRPr="008E319C">
        <w:rPr>
          <w:snapToGrid w:val="0"/>
          <w:sz w:val="16"/>
          <w:szCs w:val="16"/>
        </w:rPr>
        <w:t>Provided that the receipts in respect of such expenditure being name, National Tax Number and complete address of the medical practitioners are furnished along with his return of income.”</w:t>
      </w:r>
    </w:p>
  </w:footnote>
  <w:footnote w:id="2027">
    <w:p w:rsidR="00BF2117" w:rsidRPr="008E319C" w:rsidRDefault="00BF2117" w:rsidP="00AA4BF8">
      <w:pPr>
        <w:pStyle w:val="FootnoteText"/>
        <w:rPr>
          <w:sz w:val="16"/>
          <w:szCs w:val="16"/>
          <w:lang w:val="en-US"/>
        </w:rPr>
      </w:pPr>
      <w:r w:rsidRPr="008E319C">
        <w:rPr>
          <w:rStyle w:val="FootnoteReference"/>
          <w:rFonts w:cs="Arial"/>
          <w:sz w:val="16"/>
          <w:szCs w:val="16"/>
        </w:rPr>
        <w:footnoteRef/>
      </w:r>
      <w:r w:rsidRPr="008E319C">
        <w:rPr>
          <w:sz w:val="16"/>
          <w:szCs w:val="16"/>
        </w:rPr>
        <w:t xml:space="preserve"> Sub-clause (c) omitted </w:t>
      </w:r>
      <w:r w:rsidRPr="008E319C">
        <w:rPr>
          <w:sz w:val="16"/>
          <w:szCs w:val="16"/>
          <w:lang w:val="en-US"/>
        </w:rPr>
        <w:t xml:space="preserve">by the Finance Act, 2006. The omitted sub-clause (c) read as follows: </w:t>
      </w:r>
    </w:p>
    <w:p w:rsidR="00BF2117" w:rsidRPr="008E319C" w:rsidRDefault="00BF2117" w:rsidP="00AA4BF8">
      <w:pPr>
        <w:widowControl w:val="0"/>
        <w:ind w:left="1634" w:hanging="630"/>
        <w:jc w:val="both"/>
        <w:rPr>
          <w:snapToGrid w:val="0"/>
          <w:sz w:val="16"/>
          <w:szCs w:val="16"/>
        </w:rPr>
      </w:pPr>
      <w:r w:rsidRPr="008E319C">
        <w:rPr>
          <w:snapToGrid w:val="0"/>
          <w:sz w:val="16"/>
          <w:szCs w:val="16"/>
        </w:rPr>
        <w:t xml:space="preserve">  “(c)</w:t>
      </w:r>
      <w:r w:rsidRPr="008E319C">
        <w:rPr>
          <w:snapToGrid w:val="0"/>
          <w:sz w:val="16"/>
          <w:szCs w:val="16"/>
        </w:rPr>
        <w:tab/>
        <w:t>any amount paid during a year by a taxpayer, being a resident individual, by way of personal expenditure on medical service to the extent of ten per cent of taxable income declared in his return of income for the said tax year or thirty thousand rupees – whichever is the less:</w:t>
      </w:r>
      <w:r w:rsidRPr="008E319C">
        <w:rPr>
          <w:snapToGrid w:val="0"/>
          <w:sz w:val="16"/>
          <w:szCs w:val="16"/>
        </w:rPr>
        <w:tab/>
      </w:r>
    </w:p>
    <w:p w:rsidR="00BF2117" w:rsidRPr="008E319C" w:rsidRDefault="00BF2117" w:rsidP="00AA4BF8">
      <w:pPr>
        <w:widowControl w:val="0"/>
        <w:ind w:left="547" w:firstLine="547"/>
        <w:jc w:val="both"/>
        <w:rPr>
          <w:sz w:val="16"/>
          <w:szCs w:val="16"/>
        </w:rPr>
      </w:pPr>
      <w:r w:rsidRPr="008E319C">
        <w:rPr>
          <w:snapToGrid w:val="0"/>
          <w:sz w:val="16"/>
          <w:szCs w:val="16"/>
        </w:rPr>
        <w:t>Provided that the receipts of such expenditure bearing name, National Tax Number and complete address of the medical practitioners are furnished along with his return of income.”</w:t>
      </w:r>
    </w:p>
  </w:footnote>
  <w:footnote w:id="2028">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Added by S.R.O. 1353(I)/2012, dated 31.10.2012.</w:t>
      </w:r>
    </w:p>
  </w:footnote>
  <w:footnote w:id="2029">
    <w:p w:rsidR="00BF2117" w:rsidRPr="0098484F" w:rsidRDefault="00BF2117">
      <w:pPr>
        <w:pStyle w:val="FootnoteText"/>
        <w:rPr>
          <w:sz w:val="16"/>
          <w:szCs w:val="16"/>
          <w:lang w:val="en-US"/>
        </w:rPr>
      </w:pPr>
      <w:r w:rsidRPr="0098484F">
        <w:rPr>
          <w:rStyle w:val="FootnoteReference"/>
          <w:sz w:val="16"/>
          <w:szCs w:val="16"/>
        </w:rPr>
        <w:footnoteRef/>
      </w:r>
      <w:r>
        <w:rPr>
          <w:sz w:val="16"/>
          <w:szCs w:val="16"/>
        </w:rPr>
        <w:t>Clause “(141)” added by the Finance Act, 2015.</w:t>
      </w:r>
    </w:p>
  </w:footnote>
  <w:footnote w:id="2030">
    <w:p w:rsidR="00BF2117" w:rsidRPr="00B37C9C" w:rsidRDefault="00BF2117">
      <w:pPr>
        <w:pStyle w:val="FootnoteText"/>
        <w:rPr>
          <w:lang w:val="en-US"/>
        </w:rPr>
      </w:pPr>
      <w:r>
        <w:rPr>
          <w:rStyle w:val="FootnoteReference"/>
        </w:rPr>
        <w:footnoteRef/>
      </w:r>
      <w:r>
        <w:rPr>
          <w:sz w:val="16"/>
          <w:szCs w:val="16"/>
        </w:rPr>
        <w:t>Clause “(142)” added by the Finance Act, 2015.</w:t>
      </w:r>
    </w:p>
  </w:footnote>
  <w:footnote w:id="2031">
    <w:p w:rsidR="00BF2117" w:rsidRPr="008E319C" w:rsidRDefault="00BF2117" w:rsidP="00AA4BF8">
      <w:pPr>
        <w:pStyle w:val="FootnoteText"/>
        <w:keepNext/>
        <w:rPr>
          <w:rFonts w:cs="Arial"/>
          <w:sz w:val="16"/>
          <w:szCs w:val="16"/>
        </w:rPr>
      </w:pPr>
      <w:r w:rsidRPr="008E319C">
        <w:rPr>
          <w:rStyle w:val="FootnoteReference"/>
          <w:rFonts w:cs="Arial"/>
          <w:sz w:val="16"/>
          <w:szCs w:val="16"/>
        </w:rPr>
        <w:footnoteRef/>
      </w:r>
      <w:r w:rsidRPr="008E319C">
        <w:rPr>
          <w:rFonts w:cs="Arial"/>
          <w:sz w:val="16"/>
          <w:szCs w:val="16"/>
        </w:rPr>
        <w:t xml:space="preserve"> Clause (1) omitted by the Finance Act, 2005. The omitted clause (1) read as follows: </w:t>
      </w:r>
    </w:p>
    <w:p w:rsidR="00BF2117" w:rsidRPr="008E319C" w:rsidRDefault="00BF2117" w:rsidP="00AA4BF8">
      <w:pPr>
        <w:pStyle w:val="FootnoteText"/>
        <w:ind w:left="180" w:firstLine="0"/>
        <w:jc w:val="both"/>
        <w:rPr>
          <w:rFonts w:cs="Arial"/>
          <w:sz w:val="16"/>
          <w:szCs w:val="16"/>
        </w:rPr>
      </w:pPr>
      <w:r w:rsidRPr="008E319C">
        <w:rPr>
          <w:rFonts w:cs="Arial"/>
          <w:snapToGrid w:val="0"/>
          <w:sz w:val="16"/>
          <w:szCs w:val="16"/>
        </w:rPr>
        <w:t>“(1)</w:t>
      </w:r>
      <w:r w:rsidRPr="008E319C">
        <w:rPr>
          <w:rFonts w:cs="Arial"/>
          <w:snapToGrid w:val="0"/>
          <w:sz w:val="16"/>
          <w:szCs w:val="16"/>
        </w:rPr>
        <w:tab/>
        <w:t xml:space="preserve">The rates of income tax, as specified in the First Schedule and as applicable to the profits and gains derived by a resident company from an undertaking setup between the First day of July, 1981 and the Thirtieth day of June, 1998, both days inclusive, and engaged in the exploration and extraction of such mineral deposits, other than petroleum, as is specified by the Federal Government by a notification in the Official Gazette, shall be reduced by 50% for a period of five years immediately next following the period of five years from the date of commercial production.” </w:t>
      </w:r>
    </w:p>
  </w:footnote>
  <w:footnote w:id="2032">
    <w:p w:rsidR="00BF2117" w:rsidRPr="00D47C20" w:rsidRDefault="00BF2117">
      <w:pPr>
        <w:pStyle w:val="FootnoteText"/>
        <w:rPr>
          <w:color w:val="0070C0"/>
          <w:sz w:val="16"/>
          <w:szCs w:val="16"/>
        </w:rPr>
      </w:pPr>
      <w:r w:rsidRPr="00D47C20">
        <w:rPr>
          <w:rStyle w:val="FootnoteReference"/>
          <w:color w:val="0070C0"/>
          <w:sz w:val="16"/>
          <w:szCs w:val="16"/>
        </w:rPr>
        <w:footnoteRef/>
      </w:r>
      <w:r w:rsidRPr="00D47C20">
        <w:rPr>
          <w:color w:val="0070C0"/>
          <w:sz w:val="16"/>
          <w:szCs w:val="16"/>
        </w:rPr>
        <w:t xml:space="preserve"> Clause (3) substituted by the Finance Act, 2016. Substituted clause read as follows:-</w:t>
      </w:r>
    </w:p>
    <w:p w:rsidR="00BF2117" w:rsidRPr="00B362C0" w:rsidRDefault="00BF2117" w:rsidP="00B362C0">
      <w:pPr>
        <w:pStyle w:val="FootnoteText"/>
        <w:ind w:left="0" w:firstLine="0"/>
        <w:jc w:val="both"/>
        <w:rPr>
          <w:color w:val="FF0000"/>
          <w:sz w:val="16"/>
          <w:szCs w:val="16"/>
          <w:lang w:val="en-US"/>
        </w:rPr>
      </w:pPr>
      <w:r w:rsidRPr="00B362C0">
        <w:rPr>
          <w:rFonts w:cs="Arial"/>
          <w:b/>
          <w:bCs/>
          <w:sz w:val="16"/>
          <w:szCs w:val="16"/>
        </w:rPr>
        <w:t>(3)</w:t>
      </w:r>
      <w:r w:rsidRPr="00B362C0">
        <w:rPr>
          <w:rFonts w:cs="Arial"/>
          <w:sz w:val="16"/>
          <w:szCs w:val="16"/>
        </w:rPr>
        <w:tab/>
      </w:r>
      <w:r w:rsidRPr="00B362C0">
        <w:rPr>
          <w:rFonts w:cs="Arial"/>
          <w:color w:val="000000" w:themeColor="text1"/>
          <w:sz w:val="16"/>
          <w:szCs w:val="16"/>
        </w:rPr>
        <w:t xml:space="preserve">The tax in respect of income from services rendered </w:t>
      </w:r>
      <w:r w:rsidRPr="00B362C0">
        <w:rPr>
          <w:rStyle w:val="FootnoteReference"/>
          <w:rFonts w:cs="Arial"/>
          <w:color w:val="000000" w:themeColor="text1"/>
          <w:sz w:val="16"/>
          <w:szCs w:val="16"/>
        </w:rPr>
        <w:footnoteRef/>
      </w:r>
      <w:r w:rsidRPr="00B362C0">
        <w:rPr>
          <w:rFonts w:cs="Arial"/>
          <w:color w:val="000000" w:themeColor="text1"/>
          <w:sz w:val="16"/>
          <w:szCs w:val="16"/>
        </w:rPr>
        <w:t xml:space="preserve">[and construction contracts] outside Pakistan shall be charged at the rate of one per cent of the gross receipts, provided that </w:t>
      </w:r>
      <w:r w:rsidRPr="00B362C0">
        <w:rPr>
          <w:rStyle w:val="FootnoteReference"/>
          <w:rFonts w:cs="Arial"/>
          <w:color w:val="000000" w:themeColor="text1"/>
          <w:sz w:val="16"/>
          <w:szCs w:val="16"/>
        </w:rPr>
        <w:footnoteRef/>
      </w:r>
      <w:r w:rsidRPr="00B362C0">
        <w:rPr>
          <w:rFonts w:cs="Arial"/>
          <w:color w:val="000000" w:themeColor="text1"/>
          <w:sz w:val="16"/>
          <w:szCs w:val="16"/>
        </w:rPr>
        <w:t>[receipts from services and income from contracts] are brought into Pakistan in foreign exchange through normal banking channel.</w:t>
      </w:r>
    </w:p>
  </w:footnote>
  <w:footnote w:id="2033">
    <w:p w:rsidR="00BF2117" w:rsidRPr="00C75159" w:rsidRDefault="00BF2117" w:rsidP="00AA4BF8">
      <w:pPr>
        <w:pStyle w:val="FootnoteText"/>
        <w:rPr>
          <w:rFonts w:cs="Arial"/>
          <w:color w:val="000000" w:themeColor="text1"/>
          <w:sz w:val="16"/>
          <w:szCs w:val="16"/>
          <w:lang w:val="en-US"/>
        </w:rPr>
      </w:pPr>
      <w:r w:rsidRPr="00C75159">
        <w:rPr>
          <w:rStyle w:val="FootnoteReference"/>
          <w:rFonts w:cs="Arial"/>
          <w:color w:val="000000" w:themeColor="text1"/>
          <w:sz w:val="16"/>
          <w:szCs w:val="16"/>
        </w:rPr>
        <w:footnoteRef/>
      </w:r>
      <w:r w:rsidRPr="00C75159">
        <w:rPr>
          <w:rFonts w:cs="Arial"/>
          <w:color w:val="000000" w:themeColor="text1"/>
          <w:sz w:val="16"/>
          <w:szCs w:val="16"/>
          <w:lang w:val="en-US"/>
        </w:rPr>
        <w:t xml:space="preserve">Clause (3A) omitted by the Finance Act, 2014. The omitted clause (3A) read as follows: </w:t>
      </w:r>
    </w:p>
    <w:p w:rsidR="00BF2117" w:rsidRPr="00C75159" w:rsidRDefault="00BF2117" w:rsidP="00592AFC">
      <w:pPr>
        <w:pStyle w:val="BodyText3"/>
        <w:rPr>
          <w:rFonts w:ascii="Arial" w:hAnsi="Arial" w:cs="Arial"/>
          <w:color w:val="000000" w:themeColor="text1"/>
          <w:sz w:val="16"/>
          <w:szCs w:val="16"/>
        </w:rPr>
      </w:pPr>
      <w:r w:rsidRPr="00C75159">
        <w:rPr>
          <w:rFonts w:ascii="Arial" w:hAnsi="Arial" w:cs="Arial"/>
          <w:color w:val="000000" w:themeColor="text1"/>
          <w:sz w:val="16"/>
          <w:szCs w:val="16"/>
        </w:rPr>
        <w:tab/>
        <w:t>“</w:t>
      </w:r>
      <w:r w:rsidRPr="00C75159">
        <w:rPr>
          <w:rFonts w:ascii="Arial" w:hAnsi="Arial" w:cs="Arial"/>
          <w:b/>
          <w:color w:val="000000" w:themeColor="text1"/>
          <w:sz w:val="16"/>
          <w:szCs w:val="16"/>
        </w:rPr>
        <w:t>(3A)</w:t>
      </w:r>
      <w:r w:rsidRPr="00C75159">
        <w:rPr>
          <w:rFonts w:ascii="Arial" w:hAnsi="Arial" w:cs="Arial"/>
          <w:color w:val="000000" w:themeColor="text1"/>
          <w:sz w:val="16"/>
          <w:szCs w:val="16"/>
        </w:rPr>
        <w:tab/>
        <w:t>The tax in respect of income from construction contracts out side Pakistan shall be charged at the rate of one per cent of the gross receipts provided that such income is brought into Pakistan in foreign exchange through normal banking channel.”</w:t>
      </w:r>
    </w:p>
  </w:footnote>
  <w:footnote w:id="2034">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w:t>
      </w:r>
      <w:r w:rsidRPr="00D47C20">
        <w:rPr>
          <w:color w:val="0070C0"/>
          <w:sz w:val="16"/>
          <w:szCs w:val="16"/>
          <w:lang w:val="en-US"/>
        </w:rPr>
        <w:t>Inserted by the Finance Act, 2016.</w:t>
      </w:r>
    </w:p>
  </w:footnote>
  <w:footnote w:id="2035">
    <w:p w:rsidR="00BF2117" w:rsidRPr="008E319C" w:rsidRDefault="00BF2117" w:rsidP="00AA4BF8">
      <w:pPr>
        <w:pStyle w:val="FootnoteText"/>
        <w:keepNext/>
        <w:rPr>
          <w:rFonts w:cs="Arial"/>
          <w:sz w:val="16"/>
          <w:szCs w:val="16"/>
        </w:rPr>
      </w:pPr>
      <w:r w:rsidRPr="008E319C">
        <w:rPr>
          <w:rStyle w:val="FootnoteReference"/>
          <w:rFonts w:cs="Arial"/>
          <w:sz w:val="16"/>
          <w:szCs w:val="16"/>
        </w:rPr>
        <w:footnoteRef/>
      </w:r>
      <w:r w:rsidRPr="008E319C">
        <w:rPr>
          <w:rFonts w:cs="Arial"/>
          <w:sz w:val="16"/>
          <w:szCs w:val="16"/>
        </w:rPr>
        <w:t xml:space="preserve"> Clause (4) omitted by the Finance Act, 2003. The omitted clause (4) read as follows:</w:t>
      </w:r>
    </w:p>
    <w:p w:rsidR="00BF2117" w:rsidRPr="008E319C" w:rsidRDefault="00BF2117" w:rsidP="00AA4BF8">
      <w:pPr>
        <w:pStyle w:val="BodyText3"/>
        <w:keepNext/>
        <w:ind w:left="180"/>
        <w:rPr>
          <w:rFonts w:ascii="Arial" w:hAnsi="Arial" w:cs="Arial"/>
          <w:sz w:val="16"/>
          <w:szCs w:val="16"/>
        </w:rPr>
      </w:pPr>
      <w:r w:rsidRPr="008E319C">
        <w:rPr>
          <w:rFonts w:ascii="Arial" w:hAnsi="Arial" w:cs="Arial"/>
          <w:sz w:val="16"/>
          <w:szCs w:val="16"/>
        </w:rPr>
        <w:t>“</w:t>
      </w:r>
      <w:r w:rsidRPr="008E319C">
        <w:rPr>
          <w:rFonts w:ascii="Arial" w:hAnsi="Arial" w:cs="Arial"/>
          <w:b/>
          <w:bCs/>
          <w:sz w:val="16"/>
          <w:szCs w:val="16"/>
        </w:rPr>
        <w:t>(4)</w:t>
      </w:r>
      <w:r w:rsidRPr="008E319C">
        <w:rPr>
          <w:rFonts w:ascii="Arial" w:hAnsi="Arial" w:cs="Arial"/>
          <w:sz w:val="16"/>
          <w:szCs w:val="16"/>
        </w:rPr>
        <w:tab/>
        <w:t xml:space="preserve">In the case of an industrial undertaking set up in an area declared by the Federal Government to be a "Zone" within the meaning of the Export Processing Zones Authority Ordinance, 1980 (IV of 1980), the income, profits and gains of such undertaking accruing or arising after the expiry of the period of exemption under clause (132) of Part I shall be charged to tax for a period of five years thereafter at the rate equal to twenty-five per cent of the rates specified in the First Schedule: </w:t>
      </w:r>
    </w:p>
    <w:p w:rsidR="00BF2117" w:rsidRPr="008E319C" w:rsidRDefault="00BF2117" w:rsidP="00AA4BF8">
      <w:pPr>
        <w:pStyle w:val="BodyText3"/>
        <w:ind w:left="180" w:firstLine="367"/>
        <w:rPr>
          <w:rFonts w:ascii="Arial" w:hAnsi="Arial" w:cs="Arial"/>
          <w:sz w:val="16"/>
          <w:szCs w:val="16"/>
        </w:rPr>
      </w:pPr>
      <w:r w:rsidRPr="008E319C">
        <w:rPr>
          <w:rFonts w:ascii="Arial" w:hAnsi="Arial" w:cs="Arial"/>
          <w:sz w:val="16"/>
          <w:szCs w:val="16"/>
        </w:rPr>
        <w:t>Provided that nothing contained in this clause shall apply in respect of undertakings whose period of exemption under clause (124) of Part I will expire after the 30th June, 1997.”</w:t>
      </w:r>
    </w:p>
  </w:footnote>
  <w:footnote w:id="2036">
    <w:p w:rsidR="00BF2117" w:rsidRPr="008E319C" w:rsidRDefault="00BF2117" w:rsidP="00AA4BF8">
      <w:pPr>
        <w:pStyle w:val="FootnoteText"/>
        <w:rPr>
          <w:rFonts w:cs="Arial"/>
          <w:sz w:val="16"/>
          <w:szCs w:val="16"/>
        </w:rPr>
      </w:pPr>
      <w:r w:rsidRPr="008E319C">
        <w:rPr>
          <w:rStyle w:val="FootnoteReference"/>
          <w:rFonts w:cs="Arial"/>
          <w:sz w:val="16"/>
          <w:szCs w:val="16"/>
        </w:rPr>
        <w:footnoteRef/>
      </w:r>
      <w:r w:rsidRPr="008E319C">
        <w:rPr>
          <w:rFonts w:cs="Arial"/>
          <w:sz w:val="16"/>
          <w:szCs w:val="16"/>
        </w:rPr>
        <w:t xml:space="preserve"> Clause (5) omitted by the Finance Act, 2009. The omitted clause (5) read as follows: -</w:t>
      </w:r>
    </w:p>
    <w:p w:rsidR="00BF2117" w:rsidRPr="008E319C" w:rsidRDefault="00BF2117" w:rsidP="00AA4BF8">
      <w:pPr>
        <w:pStyle w:val="BodyText3"/>
        <w:ind w:left="180"/>
        <w:rPr>
          <w:rFonts w:ascii="Arial" w:hAnsi="Arial" w:cs="Arial"/>
          <w:sz w:val="16"/>
          <w:szCs w:val="16"/>
        </w:rPr>
      </w:pPr>
      <w:r w:rsidRPr="008E319C">
        <w:rPr>
          <w:rFonts w:ascii="Arial" w:hAnsi="Arial" w:cs="Arial"/>
          <w:sz w:val="16"/>
          <w:szCs w:val="16"/>
        </w:rPr>
        <w:t>“</w:t>
      </w:r>
      <w:r w:rsidRPr="008E319C">
        <w:rPr>
          <w:rFonts w:ascii="Arial" w:hAnsi="Arial" w:cs="Arial"/>
          <w:b/>
          <w:bCs/>
          <w:sz w:val="16"/>
          <w:szCs w:val="16"/>
        </w:rPr>
        <w:t>(5)</w:t>
      </w:r>
      <w:r w:rsidRPr="008E319C">
        <w:rPr>
          <w:rFonts w:ascii="Arial" w:hAnsi="Arial" w:cs="Arial"/>
          <w:sz w:val="16"/>
          <w:szCs w:val="16"/>
        </w:rPr>
        <w:tab/>
        <w:t>The tax chargeable in respect of commission received by an export indenting agent or an export buying house shall be at the rate equal to the rate of tax applicable to the exporter on export of goods to which such commission relates.”</w:t>
      </w:r>
    </w:p>
  </w:footnote>
  <w:footnote w:id="2037">
    <w:p w:rsidR="00BF2117" w:rsidRPr="008E319C" w:rsidRDefault="00BF2117" w:rsidP="00AA4BF8">
      <w:pPr>
        <w:pStyle w:val="FootnoteText"/>
        <w:ind w:left="180" w:hanging="180"/>
        <w:rPr>
          <w:rFonts w:cs="Arial"/>
          <w:sz w:val="16"/>
          <w:szCs w:val="16"/>
        </w:rPr>
      </w:pPr>
      <w:r w:rsidRPr="008E319C">
        <w:rPr>
          <w:rStyle w:val="FootnoteReference"/>
          <w:rFonts w:cs="Arial"/>
          <w:sz w:val="16"/>
          <w:szCs w:val="16"/>
        </w:rPr>
        <w:footnoteRef/>
      </w:r>
      <w:r w:rsidRPr="008E319C">
        <w:rPr>
          <w:rFonts w:cs="Arial"/>
          <w:sz w:val="16"/>
          <w:szCs w:val="16"/>
        </w:rPr>
        <w:t xml:space="preserve"> Clause (5A) substituted by SRO 218(I)/2008, dated 06.03.2008. The substituted clause (5A) read as follows:</w:t>
      </w:r>
    </w:p>
    <w:p w:rsidR="00BF2117" w:rsidRPr="008E319C" w:rsidRDefault="00BF2117" w:rsidP="00AA4BF8">
      <w:pPr>
        <w:pStyle w:val="FootnoteText"/>
        <w:ind w:left="270" w:hanging="90"/>
        <w:jc w:val="both"/>
        <w:rPr>
          <w:rFonts w:cs="Arial"/>
          <w:sz w:val="16"/>
          <w:szCs w:val="16"/>
        </w:rPr>
      </w:pPr>
      <w:r w:rsidRPr="008E319C">
        <w:rPr>
          <w:rFonts w:cs="Arial"/>
          <w:sz w:val="16"/>
          <w:szCs w:val="16"/>
        </w:rPr>
        <w:t>“</w:t>
      </w:r>
      <w:r w:rsidRPr="008E319C">
        <w:rPr>
          <w:rFonts w:cs="Arial"/>
          <w:b/>
          <w:bCs/>
          <w:sz w:val="16"/>
          <w:szCs w:val="16"/>
        </w:rPr>
        <w:t>(5A)</w:t>
      </w:r>
      <w:r w:rsidRPr="008E319C">
        <w:rPr>
          <w:rFonts w:cs="Arial"/>
          <w:sz w:val="16"/>
          <w:szCs w:val="16"/>
        </w:rPr>
        <w:t>The rate of withholding tax in respect of payments for profit on debt payable to a non-resident person, having no permanent establishment in Pakistan, shall be the rate as provided in Avoidance of Double Taxation Treaty of the respective country of the non-resident.”</w:t>
      </w:r>
    </w:p>
  </w:footnote>
  <w:footnote w:id="2038">
    <w:p w:rsidR="00BF2117" w:rsidRPr="008E319C" w:rsidRDefault="00BF2117" w:rsidP="00AA4BF8">
      <w:pPr>
        <w:pStyle w:val="FootnoteText"/>
        <w:rPr>
          <w:rFonts w:cs="Arial"/>
          <w:sz w:val="16"/>
          <w:szCs w:val="16"/>
        </w:rPr>
      </w:pPr>
      <w:r w:rsidRPr="008E319C">
        <w:rPr>
          <w:rStyle w:val="FootnoteReference"/>
          <w:rFonts w:cs="Arial"/>
          <w:sz w:val="16"/>
          <w:szCs w:val="16"/>
        </w:rPr>
        <w:footnoteRef/>
      </w:r>
      <w:r w:rsidRPr="008E319C">
        <w:rPr>
          <w:rFonts w:cs="Arial"/>
          <w:sz w:val="16"/>
          <w:szCs w:val="16"/>
        </w:rPr>
        <w:t xml:space="preserve"> The word “for” substituted by the Finance Act, 2009.</w:t>
      </w:r>
    </w:p>
  </w:footnote>
  <w:footnote w:id="2039">
    <w:p w:rsidR="00BF2117" w:rsidRPr="008E319C" w:rsidRDefault="00BF2117" w:rsidP="00AA4BF8">
      <w:pPr>
        <w:pStyle w:val="FootnoteText"/>
        <w:rPr>
          <w:rFonts w:cs="Arial"/>
          <w:sz w:val="16"/>
          <w:szCs w:val="16"/>
        </w:rPr>
      </w:pPr>
      <w:r w:rsidRPr="008E319C">
        <w:rPr>
          <w:rStyle w:val="FootnoteReference"/>
          <w:rFonts w:cs="Arial"/>
          <w:sz w:val="16"/>
          <w:szCs w:val="16"/>
        </w:rPr>
        <w:footnoteRef/>
      </w:r>
      <w:r w:rsidRPr="008E319C">
        <w:rPr>
          <w:rFonts w:cs="Arial"/>
          <w:sz w:val="16"/>
          <w:szCs w:val="16"/>
        </w:rPr>
        <w:t xml:space="preserve"> Full stop substituted by the Finance Act, 2011.</w:t>
      </w:r>
    </w:p>
  </w:footnote>
  <w:footnote w:id="2040">
    <w:p w:rsidR="00BF2117" w:rsidRPr="008E319C" w:rsidRDefault="00BF2117" w:rsidP="00AA4BF8">
      <w:pPr>
        <w:pStyle w:val="FootnoteText"/>
        <w:rPr>
          <w:rFonts w:cs="Arial"/>
          <w:sz w:val="16"/>
          <w:szCs w:val="16"/>
        </w:rPr>
      </w:pPr>
      <w:r w:rsidRPr="008E319C">
        <w:rPr>
          <w:rStyle w:val="FootnoteReference"/>
          <w:rFonts w:cs="Arial"/>
          <w:sz w:val="16"/>
          <w:szCs w:val="16"/>
        </w:rPr>
        <w:footnoteRef/>
      </w:r>
      <w:r w:rsidRPr="008E319C">
        <w:rPr>
          <w:rFonts w:cs="Arial"/>
          <w:sz w:val="16"/>
          <w:szCs w:val="16"/>
        </w:rPr>
        <w:t xml:space="preserve"> Inserted by  the Finance Act, 2011.</w:t>
      </w:r>
    </w:p>
  </w:footnote>
  <w:footnote w:id="2041">
    <w:p w:rsidR="00BF2117" w:rsidRPr="008E319C" w:rsidRDefault="00BF2117" w:rsidP="00AA4BF8">
      <w:pPr>
        <w:pStyle w:val="FootnoteText"/>
        <w:rPr>
          <w:rFonts w:cs="Arial"/>
          <w:sz w:val="16"/>
          <w:szCs w:val="16"/>
        </w:rPr>
      </w:pPr>
      <w:r w:rsidRPr="008E319C">
        <w:rPr>
          <w:rStyle w:val="FootnoteReference"/>
          <w:rFonts w:cs="Arial"/>
          <w:sz w:val="16"/>
          <w:szCs w:val="16"/>
        </w:rPr>
        <w:footnoteRef/>
      </w:r>
      <w:r w:rsidRPr="008E319C">
        <w:rPr>
          <w:rFonts w:cs="Arial"/>
          <w:sz w:val="16"/>
          <w:szCs w:val="16"/>
        </w:rPr>
        <w:t xml:space="preserve"> Inserted by the Finance Act, 2007.</w:t>
      </w:r>
    </w:p>
  </w:footnote>
  <w:footnote w:id="2042">
    <w:p w:rsidR="00BF2117" w:rsidRPr="008E319C" w:rsidRDefault="00BF2117" w:rsidP="00AA4BF8">
      <w:pPr>
        <w:pStyle w:val="FootnoteText"/>
        <w:rPr>
          <w:rFonts w:cs="Arial"/>
          <w:sz w:val="16"/>
          <w:szCs w:val="16"/>
        </w:rPr>
      </w:pPr>
      <w:r w:rsidRPr="008E319C">
        <w:rPr>
          <w:rStyle w:val="FootnoteReference"/>
          <w:rFonts w:cs="Arial"/>
          <w:sz w:val="16"/>
          <w:szCs w:val="16"/>
        </w:rPr>
        <w:footnoteRef/>
      </w:r>
      <w:r w:rsidRPr="008E319C">
        <w:rPr>
          <w:rFonts w:cs="Arial"/>
          <w:sz w:val="16"/>
          <w:szCs w:val="16"/>
        </w:rPr>
        <w:t xml:space="preserve"> Clause (6) omitted by the Finance Act, 2008. The omitted clause (6) read as follows:</w:t>
      </w:r>
    </w:p>
    <w:p w:rsidR="00BF2117" w:rsidRPr="008E319C" w:rsidRDefault="00BF2117" w:rsidP="00AA4BF8">
      <w:pPr>
        <w:widowControl w:val="0"/>
        <w:ind w:left="270" w:hanging="90"/>
        <w:jc w:val="both"/>
        <w:rPr>
          <w:rFonts w:cs="Arial"/>
          <w:sz w:val="16"/>
          <w:szCs w:val="16"/>
        </w:rPr>
      </w:pPr>
      <w:r w:rsidRPr="008E319C">
        <w:rPr>
          <w:rFonts w:cs="Arial"/>
          <w:sz w:val="16"/>
          <w:szCs w:val="16"/>
        </w:rPr>
        <w:t>“</w:t>
      </w:r>
      <w:r w:rsidRPr="008E319C">
        <w:rPr>
          <w:rFonts w:cs="Arial"/>
          <w:b/>
          <w:bCs/>
          <w:snapToGrid w:val="0"/>
          <w:sz w:val="16"/>
          <w:szCs w:val="16"/>
        </w:rPr>
        <w:t>(6)</w:t>
      </w:r>
      <w:r w:rsidRPr="008E319C">
        <w:rPr>
          <w:rFonts w:cs="Arial"/>
          <w:snapToGrid w:val="0"/>
          <w:sz w:val="16"/>
          <w:szCs w:val="16"/>
        </w:rPr>
        <w:tab/>
        <w:t>In the case of resident person the profit on Special US Dollar Bonds purchased out of any incremental deposits made in the existing foreign currency accounts on or after the 16th day of December, 1999, or out of new accounts opened on or after the said date, shall be liable to deduction of income tax under clause (c) of sub-section (1) of section 151 at the rate of 10 per cent of the amount of the said profit.”</w:t>
      </w:r>
    </w:p>
  </w:footnote>
  <w:footnote w:id="2043">
    <w:p w:rsidR="00BF2117" w:rsidRPr="008E319C" w:rsidRDefault="00BF2117" w:rsidP="00AA4BF8">
      <w:pPr>
        <w:pStyle w:val="FootnoteText"/>
        <w:keepNext/>
        <w:rPr>
          <w:rFonts w:cs="Arial"/>
          <w:sz w:val="16"/>
          <w:szCs w:val="16"/>
        </w:rPr>
      </w:pPr>
      <w:r w:rsidRPr="008E319C">
        <w:rPr>
          <w:rStyle w:val="FootnoteReference"/>
          <w:rFonts w:cs="Arial"/>
          <w:sz w:val="16"/>
          <w:szCs w:val="16"/>
        </w:rPr>
        <w:footnoteRef/>
      </w:r>
      <w:r w:rsidRPr="008E319C">
        <w:rPr>
          <w:rFonts w:cs="Arial"/>
          <w:sz w:val="16"/>
          <w:szCs w:val="16"/>
        </w:rPr>
        <w:t xml:space="preserve"> Clause (7) omitted by the Finance Act, 2005. The omitted clause (7) read as follows:</w:t>
      </w:r>
    </w:p>
    <w:p w:rsidR="00BF2117" w:rsidRPr="008E319C" w:rsidRDefault="00BF2117" w:rsidP="00AA4BF8">
      <w:pPr>
        <w:pStyle w:val="BodyText3"/>
        <w:keepNext/>
        <w:ind w:left="360" w:hanging="180"/>
        <w:rPr>
          <w:rFonts w:ascii="Arial" w:hAnsi="Arial" w:cs="Arial"/>
          <w:sz w:val="16"/>
          <w:szCs w:val="16"/>
        </w:rPr>
      </w:pPr>
      <w:r w:rsidRPr="008E319C">
        <w:rPr>
          <w:rFonts w:ascii="Arial" w:hAnsi="Arial" w:cs="Arial"/>
          <w:b/>
          <w:bCs/>
          <w:sz w:val="16"/>
          <w:szCs w:val="16"/>
        </w:rPr>
        <w:t>“(7)</w:t>
      </w:r>
      <w:r w:rsidRPr="008E319C">
        <w:rPr>
          <w:rFonts w:ascii="Arial" w:hAnsi="Arial" w:cs="Arial"/>
          <w:sz w:val="16"/>
          <w:szCs w:val="16"/>
        </w:rPr>
        <w:tab/>
        <w:t>In case of any resident individual, the tax from profit or interest of any National Savings Schemes of Directorate of National Savings or Post Office Savings Account in which investment is made on, or after, the first day of July, 2001, shall be deducted at the rate of ten per cent of such profit or interest:</w:t>
      </w:r>
    </w:p>
    <w:p w:rsidR="00BF2117" w:rsidRPr="008E319C" w:rsidRDefault="00BF2117" w:rsidP="00AA4BF8">
      <w:pPr>
        <w:keepNext/>
        <w:widowControl w:val="0"/>
        <w:ind w:left="720" w:hanging="173"/>
        <w:jc w:val="both"/>
        <w:rPr>
          <w:rFonts w:cs="Arial"/>
          <w:snapToGrid w:val="0"/>
          <w:sz w:val="16"/>
          <w:szCs w:val="16"/>
        </w:rPr>
      </w:pPr>
      <w:r w:rsidRPr="008E319C">
        <w:rPr>
          <w:rFonts w:cs="Arial"/>
          <w:snapToGrid w:val="0"/>
          <w:sz w:val="16"/>
          <w:szCs w:val="16"/>
        </w:rPr>
        <w:t>Provided that no tax shall be deducted from income or profits paid on-</w:t>
      </w:r>
    </w:p>
    <w:p w:rsidR="00BF2117" w:rsidRPr="008E319C" w:rsidRDefault="00BF2117" w:rsidP="00AA4BF8">
      <w:pPr>
        <w:keepNext/>
        <w:widowControl w:val="0"/>
        <w:ind w:left="1094" w:hanging="547"/>
        <w:jc w:val="both"/>
        <w:rPr>
          <w:rFonts w:cs="Arial"/>
          <w:sz w:val="16"/>
          <w:szCs w:val="16"/>
        </w:rPr>
      </w:pPr>
      <w:r w:rsidRPr="008E319C">
        <w:rPr>
          <w:rFonts w:cs="Arial"/>
          <w:sz w:val="16"/>
          <w:szCs w:val="16"/>
        </w:rPr>
        <w:t>(a)</w:t>
      </w:r>
      <w:r w:rsidRPr="008E319C">
        <w:rPr>
          <w:rFonts w:cs="Arial"/>
          <w:sz w:val="16"/>
          <w:szCs w:val="16"/>
        </w:rPr>
        <w:tab/>
        <w:t xml:space="preserve">Defence Savings Certificates, Special Savings Certificates Savings Accounts or Post Office Savings Account, made on, or after, the first day of July, 2001, where such deposit does not exceed one hundred and fifty thousand rupees; and </w:t>
      </w:r>
    </w:p>
    <w:p w:rsidR="00BF2117" w:rsidRPr="008E319C" w:rsidRDefault="00BF2117" w:rsidP="00AA4BF8">
      <w:pPr>
        <w:pStyle w:val="FootnoteText"/>
        <w:keepNext/>
        <w:ind w:left="1094" w:hanging="547"/>
        <w:jc w:val="both"/>
        <w:rPr>
          <w:rFonts w:cs="Arial"/>
          <w:snapToGrid w:val="0"/>
          <w:sz w:val="16"/>
          <w:szCs w:val="16"/>
        </w:rPr>
      </w:pPr>
      <w:r w:rsidRPr="008E319C">
        <w:rPr>
          <w:rFonts w:cs="Arial"/>
          <w:snapToGrid w:val="0"/>
          <w:sz w:val="16"/>
          <w:szCs w:val="16"/>
        </w:rPr>
        <w:t>(b)</w:t>
      </w:r>
      <w:r w:rsidRPr="008E319C">
        <w:rPr>
          <w:rFonts w:cs="Arial"/>
          <w:snapToGrid w:val="0"/>
          <w:sz w:val="16"/>
          <w:szCs w:val="16"/>
        </w:rPr>
        <w:tab/>
      </w:r>
      <w:r w:rsidRPr="008E319C">
        <w:rPr>
          <w:rFonts w:cs="Arial"/>
          <w:sz w:val="16"/>
          <w:szCs w:val="16"/>
        </w:rPr>
        <w:t>Investment</w:t>
      </w:r>
      <w:r w:rsidRPr="008E319C">
        <w:rPr>
          <w:rFonts w:cs="Arial"/>
          <w:snapToGrid w:val="0"/>
          <w:sz w:val="16"/>
          <w:szCs w:val="16"/>
        </w:rPr>
        <w:t xml:space="preserve"> in Monthly income </w:t>
      </w:r>
      <w:r w:rsidRPr="008E319C">
        <w:rPr>
          <w:rFonts w:cs="Arial"/>
          <w:sz w:val="16"/>
          <w:szCs w:val="16"/>
        </w:rPr>
        <w:t xml:space="preserve">Saving </w:t>
      </w:r>
      <w:r w:rsidRPr="008E319C">
        <w:rPr>
          <w:rFonts w:cs="Arial"/>
          <w:snapToGrid w:val="0"/>
          <w:sz w:val="16"/>
          <w:szCs w:val="16"/>
        </w:rPr>
        <w:t>Accounts Scheme of Directorate of National Savings on, or after, the first day of July, 2001, where monthly installment in an account does not exceed one thousand rupees.”</w:t>
      </w:r>
    </w:p>
    <w:p w:rsidR="00BF2117" w:rsidRPr="008E319C" w:rsidRDefault="00BF2117" w:rsidP="00AA4BF8">
      <w:pPr>
        <w:pStyle w:val="FootnoteText"/>
        <w:keepNext/>
        <w:ind w:left="1094" w:hanging="547"/>
        <w:jc w:val="both"/>
        <w:rPr>
          <w:rFonts w:cs="Arial"/>
          <w:sz w:val="16"/>
          <w:szCs w:val="16"/>
        </w:rPr>
      </w:pPr>
    </w:p>
  </w:footnote>
  <w:footnote w:id="2044">
    <w:p w:rsidR="00BF2117" w:rsidRPr="008E319C" w:rsidRDefault="00BF2117" w:rsidP="00AA4BF8">
      <w:pPr>
        <w:pStyle w:val="FootnoteText"/>
        <w:keepNext/>
        <w:rPr>
          <w:rFonts w:cs="Arial"/>
          <w:sz w:val="16"/>
          <w:szCs w:val="16"/>
        </w:rPr>
      </w:pPr>
      <w:r w:rsidRPr="008E319C">
        <w:rPr>
          <w:rStyle w:val="FootnoteReference"/>
          <w:rFonts w:cs="Arial"/>
          <w:sz w:val="16"/>
          <w:szCs w:val="16"/>
        </w:rPr>
        <w:footnoteRef/>
      </w:r>
      <w:r w:rsidRPr="008E319C">
        <w:rPr>
          <w:rFonts w:cs="Arial"/>
          <w:sz w:val="16"/>
          <w:szCs w:val="16"/>
        </w:rPr>
        <w:t xml:space="preserve"> Clause (8) omitted by the Finance Act, 2005. The omitted clause (8) read as follows:</w:t>
      </w:r>
    </w:p>
    <w:p w:rsidR="00BF2117" w:rsidRPr="008E319C" w:rsidRDefault="00BF2117" w:rsidP="00AA4BF8">
      <w:pPr>
        <w:pStyle w:val="BodyText3"/>
        <w:ind w:left="180"/>
        <w:rPr>
          <w:rFonts w:ascii="Arial" w:hAnsi="Arial" w:cs="Arial"/>
          <w:sz w:val="16"/>
          <w:szCs w:val="16"/>
        </w:rPr>
      </w:pPr>
      <w:r w:rsidRPr="008E319C">
        <w:rPr>
          <w:rFonts w:ascii="Arial" w:hAnsi="Arial" w:cs="Arial"/>
          <w:b/>
          <w:bCs/>
          <w:sz w:val="16"/>
          <w:szCs w:val="16"/>
        </w:rPr>
        <w:t>“(8)</w:t>
      </w:r>
      <w:r w:rsidRPr="008E319C">
        <w:rPr>
          <w:rFonts w:ascii="Arial" w:hAnsi="Arial" w:cs="Arial"/>
          <w:sz w:val="16"/>
          <w:szCs w:val="16"/>
        </w:rPr>
        <w:tab/>
        <w:t>In the case of Daewoo Corporation, Seoul, Korea (hereinafter referred to as the Contractor), payments received in full or in part (including a payment by way of an advance) in pursuance of the contract agreements made with the National Highway Authority on the thirtieth day of December, 1991, for design and construction of Lahore-Islamabad Motorway shall be deemed to be the income of the Contractor and charged to tax at the rate of three per cent of such payments which shall constitute final discharge of his tax liability under this Ordinance and the Contractor shall not be required to file the return of income under section 114.”</w:t>
      </w:r>
    </w:p>
  </w:footnote>
  <w:footnote w:id="2045">
    <w:p w:rsidR="00BF2117" w:rsidRPr="008E319C" w:rsidRDefault="00BF2117" w:rsidP="00AA4BF8">
      <w:pPr>
        <w:pStyle w:val="FootnoteText"/>
        <w:ind w:left="180" w:hanging="180"/>
        <w:rPr>
          <w:rFonts w:cs="Arial"/>
          <w:sz w:val="16"/>
          <w:szCs w:val="16"/>
        </w:rPr>
      </w:pPr>
      <w:r w:rsidRPr="008E319C">
        <w:rPr>
          <w:rStyle w:val="FootnoteReference"/>
          <w:rFonts w:cs="Arial"/>
          <w:sz w:val="16"/>
          <w:szCs w:val="16"/>
        </w:rPr>
        <w:footnoteRef/>
      </w:r>
      <w:r w:rsidRPr="008E319C">
        <w:rPr>
          <w:rFonts w:cs="Arial"/>
          <w:sz w:val="16"/>
          <w:szCs w:val="16"/>
        </w:rPr>
        <w:t xml:space="preserve"> Clause (9) omitted by S.R.O. 140(I)?2013, dated 26.02.2013. The omitted clause (9) read as follows:</w:t>
      </w:r>
    </w:p>
    <w:p w:rsidR="00BF2117" w:rsidRPr="008E319C" w:rsidRDefault="00BF2117" w:rsidP="00AA4BF8">
      <w:pPr>
        <w:widowControl w:val="0"/>
        <w:ind w:left="180"/>
        <w:jc w:val="both"/>
        <w:rPr>
          <w:rFonts w:cs="Arial"/>
          <w:sz w:val="16"/>
          <w:szCs w:val="16"/>
        </w:rPr>
      </w:pPr>
      <w:r w:rsidRPr="008E319C">
        <w:rPr>
          <w:rFonts w:cs="Arial"/>
          <w:sz w:val="16"/>
          <w:szCs w:val="16"/>
        </w:rPr>
        <w:t>“</w:t>
      </w:r>
      <w:r w:rsidRPr="008E319C">
        <w:rPr>
          <w:rFonts w:cs="Arial"/>
          <w:b/>
          <w:bCs/>
          <w:snapToGrid w:val="0"/>
          <w:sz w:val="16"/>
          <w:szCs w:val="16"/>
        </w:rPr>
        <w:t>(9)</w:t>
      </w:r>
      <w:r w:rsidRPr="008E319C">
        <w:rPr>
          <w:rFonts w:cs="Arial"/>
          <w:snapToGrid w:val="0"/>
          <w:sz w:val="16"/>
          <w:szCs w:val="16"/>
        </w:rPr>
        <w:tab/>
        <w:t>Tax under section 148 shall be collected at rate of the 1% on import of all fibres, yarns and fabrics and goods covered by the Zero Rating Regime of the Sales Tax notified by Central Board of Revenue.”</w:t>
      </w:r>
    </w:p>
  </w:footnote>
  <w:footnote w:id="2046">
    <w:p w:rsidR="00BF2117" w:rsidRPr="008E319C" w:rsidRDefault="00BF2117" w:rsidP="00AA4BF8">
      <w:pPr>
        <w:pStyle w:val="FootnoteText"/>
        <w:ind w:left="180" w:hanging="180"/>
        <w:rPr>
          <w:rFonts w:cs="Arial"/>
          <w:sz w:val="16"/>
          <w:szCs w:val="16"/>
        </w:rPr>
      </w:pPr>
      <w:r w:rsidRPr="008E319C">
        <w:rPr>
          <w:rStyle w:val="FootnoteReference"/>
          <w:rFonts w:cs="Arial"/>
          <w:sz w:val="16"/>
          <w:szCs w:val="16"/>
        </w:rPr>
        <w:footnoteRef/>
      </w:r>
      <w:r w:rsidRPr="008E319C">
        <w:rPr>
          <w:rFonts w:cs="Arial"/>
          <w:sz w:val="16"/>
          <w:szCs w:val="16"/>
        </w:rPr>
        <w:t xml:space="preserve"> Clause (9A) omitted  by S.R.O. 140(I)?2013, dated 26.02.2013. The omitted clause (9A) read as follows:</w:t>
      </w:r>
    </w:p>
    <w:p w:rsidR="00BF2117" w:rsidRPr="008E319C" w:rsidRDefault="00BF2117" w:rsidP="00AA4BF8">
      <w:pPr>
        <w:pStyle w:val="FootnoteText"/>
        <w:widowControl w:val="0"/>
        <w:ind w:left="180" w:firstLine="0"/>
        <w:jc w:val="both"/>
        <w:rPr>
          <w:rFonts w:cs="Arial"/>
          <w:snapToGrid w:val="0"/>
          <w:sz w:val="16"/>
          <w:szCs w:val="16"/>
        </w:rPr>
      </w:pPr>
      <w:r w:rsidRPr="008E319C">
        <w:rPr>
          <w:rFonts w:cs="Arial"/>
          <w:sz w:val="16"/>
          <w:szCs w:val="16"/>
        </w:rPr>
        <w:t>“</w:t>
      </w:r>
      <w:r w:rsidRPr="008E319C">
        <w:rPr>
          <w:rFonts w:cs="Arial"/>
          <w:b/>
          <w:bCs/>
          <w:snapToGrid w:val="0"/>
          <w:sz w:val="16"/>
          <w:szCs w:val="16"/>
        </w:rPr>
        <w:t xml:space="preserve">(9A)  </w:t>
      </w:r>
      <w:r w:rsidRPr="008E319C">
        <w:rPr>
          <w:rFonts w:cs="Arial"/>
          <w:snapToGrid w:val="0"/>
          <w:sz w:val="16"/>
          <w:szCs w:val="16"/>
        </w:rPr>
        <w:t>Tax under section 148 shall be collected at the rate of 3% on the import value of raw material imported by an industrial undertaking for its own use:</w:t>
      </w:r>
    </w:p>
    <w:p w:rsidR="00BF2117" w:rsidRPr="008E319C" w:rsidRDefault="00BF2117" w:rsidP="00AA4BF8">
      <w:pPr>
        <w:pStyle w:val="FootnoteText"/>
        <w:widowControl w:val="0"/>
        <w:ind w:left="180" w:firstLine="541"/>
        <w:jc w:val="both"/>
        <w:rPr>
          <w:rFonts w:cs="Arial"/>
          <w:sz w:val="16"/>
          <w:szCs w:val="16"/>
        </w:rPr>
      </w:pPr>
      <w:r w:rsidRPr="008E319C">
        <w:rPr>
          <w:rFonts w:cs="Arial"/>
          <w:sz w:val="16"/>
          <w:szCs w:val="16"/>
        </w:rPr>
        <w:tab/>
      </w:r>
      <w:r w:rsidRPr="008E319C">
        <w:rPr>
          <w:rFonts w:cs="Arial"/>
          <w:sz w:val="16"/>
          <w:szCs w:val="16"/>
        </w:rPr>
        <w:tab/>
        <w:t xml:space="preserve">Provided that the rate of 3% shall be applicable on production of an exemption </w:t>
      </w:r>
      <w:r w:rsidRPr="008E319C">
        <w:rPr>
          <w:rFonts w:cs="Arial"/>
          <w:sz w:val="16"/>
          <w:szCs w:val="16"/>
        </w:rPr>
        <w:tab/>
      </w:r>
      <w:r w:rsidRPr="008E319C">
        <w:rPr>
          <w:rFonts w:cs="Arial"/>
          <w:sz w:val="16"/>
          <w:szCs w:val="16"/>
        </w:rPr>
        <w:tab/>
        <w:t>certificate issued by the Commissioner.”</w:t>
      </w:r>
    </w:p>
  </w:footnote>
  <w:footnote w:id="2047">
    <w:p w:rsidR="00BF2117" w:rsidRPr="00C75159" w:rsidRDefault="00BF2117" w:rsidP="00AA4BF8">
      <w:pPr>
        <w:pStyle w:val="FootnoteText"/>
        <w:rPr>
          <w:rFonts w:cs="Arial"/>
          <w:color w:val="000000" w:themeColor="text1"/>
          <w:sz w:val="16"/>
          <w:szCs w:val="16"/>
          <w:lang w:val="en-US"/>
        </w:rPr>
      </w:pPr>
      <w:r w:rsidRPr="00C75159">
        <w:rPr>
          <w:rStyle w:val="FootnoteReference"/>
          <w:rFonts w:cs="Arial"/>
          <w:color w:val="000000" w:themeColor="text1"/>
          <w:sz w:val="16"/>
          <w:szCs w:val="16"/>
        </w:rPr>
        <w:footnoteRef/>
      </w:r>
      <w:r w:rsidRPr="00C75159">
        <w:rPr>
          <w:rFonts w:cs="Arial"/>
          <w:color w:val="000000" w:themeColor="text1"/>
          <w:sz w:val="16"/>
          <w:szCs w:val="16"/>
          <w:lang w:val="en-US"/>
        </w:rPr>
        <w:t xml:space="preserve">Clause (9B) omitted by Finance Act, 2014. The omitted clause (9B) read as follows: </w:t>
      </w:r>
    </w:p>
    <w:p w:rsidR="00BF2117" w:rsidRPr="00C75159" w:rsidRDefault="00BF2117" w:rsidP="00587394">
      <w:pPr>
        <w:pStyle w:val="FootnoteText"/>
        <w:widowControl w:val="0"/>
        <w:ind w:left="0" w:firstLine="0"/>
        <w:jc w:val="both"/>
        <w:rPr>
          <w:rFonts w:cs="Arial"/>
          <w:snapToGrid w:val="0"/>
          <w:color w:val="000000" w:themeColor="text1"/>
          <w:sz w:val="16"/>
          <w:szCs w:val="16"/>
        </w:rPr>
      </w:pPr>
      <w:r w:rsidRPr="00C75159">
        <w:rPr>
          <w:rFonts w:cs="Arial"/>
          <w:color w:val="000000" w:themeColor="text1"/>
          <w:sz w:val="16"/>
          <w:szCs w:val="16"/>
          <w:lang w:val="en-US"/>
        </w:rPr>
        <w:t>“</w:t>
      </w:r>
      <w:r w:rsidRPr="00C75159">
        <w:rPr>
          <w:rFonts w:cs="Arial"/>
          <w:b/>
          <w:snapToGrid w:val="0"/>
          <w:color w:val="000000" w:themeColor="text1"/>
          <w:sz w:val="16"/>
          <w:szCs w:val="16"/>
        </w:rPr>
        <w:t>(9B)</w:t>
      </w:r>
      <w:r w:rsidRPr="00C75159">
        <w:rPr>
          <w:rFonts w:cs="Arial"/>
          <w:snapToGrid w:val="0"/>
          <w:color w:val="000000" w:themeColor="text1"/>
          <w:sz w:val="16"/>
          <w:szCs w:val="16"/>
        </w:rPr>
        <w:tab/>
        <w:t>Tax under section 148 shall be collected at the rate of 1% on import value of remeltable steel (PCT Heading 72.04) and directly reduced Iron imported by an industrial undertaking for its own use.”</w:t>
      </w:r>
    </w:p>
    <w:p w:rsidR="00BF2117" w:rsidRPr="00C75159" w:rsidRDefault="00BF2117" w:rsidP="00587394">
      <w:pPr>
        <w:pStyle w:val="FootnoteText"/>
        <w:ind w:left="0" w:firstLine="0"/>
        <w:rPr>
          <w:rFonts w:cs="Arial"/>
          <w:color w:val="000000" w:themeColor="text1"/>
          <w:sz w:val="16"/>
          <w:szCs w:val="16"/>
          <w:lang w:val="en-US"/>
        </w:rPr>
      </w:pPr>
    </w:p>
  </w:footnote>
  <w:footnote w:id="2048">
    <w:p w:rsidR="00BF2117" w:rsidRPr="00C75159" w:rsidRDefault="00BF2117" w:rsidP="00587394">
      <w:pPr>
        <w:pStyle w:val="FootnoteText"/>
        <w:rPr>
          <w:rFonts w:cs="Arial"/>
          <w:color w:val="000000" w:themeColor="text1"/>
          <w:sz w:val="16"/>
          <w:szCs w:val="16"/>
          <w:lang w:val="en-US"/>
        </w:rPr>
      </w:pPr>
      <w:r w:rsidRPr="00C75159">
        <w:rPr>
          <w:rStyle w:val="FootnoteReference"/>
          <w:rFonts w:cs="Arial"/>
          <w:color w:val="000000" w:themeColor="text1"/>
          <w:sz w:val="16"/>
          <w:szCs w:val="16"/>
        </w:rPr>
        <w:footnoteRef/>
      </w:r>
      <w:r w:rsidRPr="00C75159">
        <w:rPr>
          <w:rFonts w:cs="Arial"/>
          <w:color w:val="000000" w:themeColor="text1"/>
          <w:sz w:val="16"/>
          <w:szCs w:val="16"/>
          <w:lang w:val="en-US"/>
        </w:rPr>
        <w:t>Clause (9C) omitted by Finance Act, 2014. The omitted clause (9C) read as follows:</w:t>
      </w:r>
    </w:p>
    <w:p w:rsidR="00BF2117" w:rsidRPr="00C75159" w:rsidRDefault="00BF2117" w:rsidP="00587394">
      <w:pPr>
        <w:pStyle w:val="FootnoteText"/>
        <w:ind w:left="0" w:firstLine="0"/>
        <w:jc w:val="both"/>
        <w:rPr>
          <w:rFonts w:cs="Arial"/>
          <w:color w:val="000000" w:themeColor="text1"/>
          <w:sz w:val="16"/>
          <w:szCs w:val="16"/>
          <w:lang w:val="en-US"/>
        </w:rPr>
      </w:pPr>
      <w:r w:rsidRPr="00C75159">
        <w:rPr>
          <w:rFonts w:cs="Arial"/>
          <w:color w:val="000000" w:themeColor="text1"/>
          <w:sz w:val="16"/>
          <w:szCs w:val="16"/>
          <w:lang w:val="en-US"/>
        </w:rPr>
        <w:t>“</w:t>
      </w:r>
      <w:r w:rsidRPr="00C75159">
        <w:rPr>
          <w:rFonts w:cs="Arial"/>
          <w:b/>
          <w:snapToGrid w:val="0"/>
          <w:color w:val="000000" w:themeColor="text1"/>
          <w:sz w:val="16"/>
          <w:szCs w:val="16"/>
        </w:rPr>
        <w:t>(9C)</w:t>
      </w:r>
      <w:r w:rsidRPr="00C75159">
        <w:rPr>
          <w:rFonts w:cs="Arial"/>
          <w:snapToGrid w:val="0"/>
          <w:color w:val="000000" w:themeColor="text1"/>
          <w:sz w:val="16"/>
          <w:szCs w:val="16"/>
        </w:rPr>
        <w:t xml:space="preserve"> Tax under section 148 shall be collected at the rate of 1% in case of manufacturers and 3% in case of commercial importers covered under Notification No. S.R.O. 1125(I)/2011 dated the 31</w:t>
      </w:r>
      <w:r w:rsidRPr="00C75159">
        <w:rPr>
          <w:rFonts w:cs="Arial"/>
          <w:snapToGrid w:val="0"/>
          <w:color w:val="000000" w:themeColor="text1"/>
          <w:sz w:val="16"/>
          <w:szCs w:val="16"/>
          <w:vertAlign w:val="superscript"/>
        </w:rPr>
        <w:t>st</w:t>
      </w:r>
      <w:r w:rsidRPr="00C75159">
        <w:rPr>
          <w:rFonts w:cs="Arial"/>
          <w:snapToGrid w:val="0"/>
          <w:color w:val="000000" w:themeColor="text1"/>
          <w:sz w:val="16"/>
          <w:szCs w:val="16"/>
        </w:rPr>
        <w:t xml:space="preserve"> December, 2011.”</w:t>
      </w:r>
    </w:p>
  </w:footnote>
  <w:footnote w:id="2049">
    <w:p w:rsidR="00BF2117" w:rsidRPr="008E319C" w:rsidRDefault="00BF2117" w:rsidP="00AA4BF8">
      <w:pPr>
        <w:pStyle w:val="FootnoteText"/>
        <w:rPr>
          <w:rFonts w:cs="Arial"/>
          <w:sz w:val="16"/>
          <w:szCs w:val="16"/>
        </w:rPr>
      </w:pPr>
      <w:r w:rsidRPr="008E319C">
        <w:rPr>
          <w:rStyle w:val="FootnoteReference"/>
          <w:rFonts w:cs="Arial"/>
          <w:sz w:val="16"/>
          <w:szCs w:val="16"/>
        </w:rPr>
        <w:footnoteRef/>
      </w:r>
      <w:r w:rsidRPr="008E319C">
        <w:rPr>
          <w:rFonts w:cs="Arial"/>
          <w:sz w:val="16"/>
          <w:szCs w:val="16"/>
        </w:rPr>
        <w:t xml:space="preserve"> Clause (10) omitted by the Finance Act, 2008. The omitted clause (10) read as follows:</w:t>
      </w:r>
    </w:p>
    <w:p w:rsidR="00BF2117" w:rsidRPr="008E319C" w:rsidRDefault="00BF2117" w:rsidP="00AA4BF8">
      <w:pPr>
        <w:pStyle w:val="BodyText3"/>
        <w:ind w:left="270" w:hanging="90"/>
        <w:rPr>
          <w:rFonts w:ascii="Arial" w:hAnsi="Arial" w:cs="Arial"/>
          <w:sz w:val="16"/>
          <w:szCs w:val="16"/>
        </w:rPr>
      </w:pPr>
      <w:r w:rsidRPr="008E319C">
        <w:rPr>
          <w:rFonts w:ascii="Arial" w:hAnsi="Arial" w:cs="Arial"/>
          <w:sz w:val="16"/>
          <w:szCs w:val="16"/>
        </w:rPr>
        <w:t>“</w:t>
      </w:r>
      <w:r w:rsidRPr="008E319C">
        <w:rPr>
          <w:rFonts w:ascii="Arial" w:hAnsi="Arial" w:cs="Arial"/>
          <w:b/>
          <w:bCs/>
          <w:sz w:val="16"/>
          <w:szCs w:val="16"/>
        </w:rPr>
        <w:t>(10)</w:t>
      </w:r>
      <w:r w:rsidRPr="008E319C">
        <w:rPr>
          <w:rFonts w:ascii="Arial" w:hAnsi="Arial" w:cs="Arial"/>
          <w:sz w:val="16"/>
          <w:szCs w:val="16"/>
        </w:rPr>
        <w:tab/>
        <w:t xml:space="preserve"> In the case of M/s Fauji Foundation and Army Welfare Trust, so much of the income chargeable under the head "Income from business " as is not exempt under clause (58) of Part I, shall be charged to tax at the rate of 20% of such income.”</w:t>
      </w:r>
    </w:p>
  </w:footnote>
  <w:footnote w:id="2050">
    <w:p w:rsidR="00BF2117" w:rsidRPr="008E319C" w:rsidRDefault="00BF2117" w:rsidP="00AA4BF8">
      <w:pPr>
        <w:pStyle w:val="FootnoteText"/>
        <w:jc w:val="both"/>
        <w:rPr>
          <w:rFonts w:cs="Arial"/>
          <w:sz w:val="16"/>
          <w:szCs w:val="16"/>
        </w:rPr>
      </w:pPr>
      <w:r w:rsidRPr="008E319C">
        <w:rPr>
          <w:rStyle w:val="FootnoteReference"/>
          <w:rFonts w:cs="Arial"/>
          <w:sz w:val="16"/>
          <w:szCs w:val="16"/>
        </w:rPr>
        <w:footnoteRef/>
      </w:r>
      <w:r w:rsidRPr="008E319C">
        <w:rPr>
          <w:rFonts w:cs="Arial"/>
          <w:sz w:val="16"/>
          <w:szCs w:val="16"/>
        </w:rPr>
        <w:t xml:space="preserve"> Clause (11) omitted by the Finance Act, 2006. The omitted clause (11) read as follows:</w:t>
      </w:r>
    </w:p>
    <w:p w:rsidR="00BF2117" w:rsidRPr="008E319C" w:rsidRDefault="00BF2117" w:rsidP="00AA4BF8">
      <w:pPr>
        <w:pStyle w:val="BodyText3"/>
        <w:ind w:left="180"/>
        <w:rPr>
          <w:rFonts w:ascii="Arial" w:hAnsi="Arial" w:cs="Arial"/>
          <w:sz w:val="16"/>
          <w:szCs w:val="16"/>
        </w:rPr>
      </w:pPr>
      <w:r w:rsidRPr="008E319C">
        <w:rPr>
          <w:rFonts w:ascii="Arial" w:hAnsi="Arial" w:cs="Arial"/>
          <w:sz w:val="16"/>
          <w:szCs w:val="16"/>
        </w:rPr>
        <w:t>“</w:t>
      </w:r>
      <w:r w:rsidRPr="008E319C">
        <w:rPr>
          <w:rFonts w:ascii="Arial" w:hAnsi="Arial" w:cs="Arial"/>
          <w:b/>
          <w:bCs/>
          <w:sz w:val="16"/>
          <w:szCs w:val="16"/>
        </w:rPr>
        <w:t>(11)</w:t>
      </w:r>
      <w:r w:rsidRPr="008E319C">
        <w:rPr>
          <w:rFonts w:ascii="Arial" w:hAnsi="Arial" w:cs="Arial"/>
          <w:sz w:val="16"/>
          <w:szCs w:val="16"/>
        </w:rPr>
        <w:tab/>
        <w:t xml:space="preserve"> In the case of a non-resident O&amp;M Contractor payments, received in full or in part including a payment by way of an advance, for the operation and maintenance of a private sector power project and transmission line projects approved by the Federal Government shall be deemed to be the income of the said O&amp;M Contractor and charged to tax at the rate of five per cent of such payments for a period of three years beginning with the date of commencement of company's operations which shall constitute the final discharge of tax liability by the O&amp;M Contractor under this Ordinance in respect of the said project.”</w:t>
      </w:r>
    </w:p>
  </w:footnote>
  <w:footnote w:id="2051">
    <w:p w:rsidR="00BF2117" w:rsidRPr="008E319C" w:rsidRDefault="00BF2117" w:rsidP="00AA4BF8">
      <w:pPr>
        <w:pStyle w:val="FootnoteText"/>
        <w:rPr>
          <w:rFonts w:cs="Arial"/>
          <w:sz w:val="16"/>
          <w:szCs w:val="16"/>
        </w:rPr>
      </w:pPr>
      <w:r w:rsidRPr="008E319C">
        <w:rPr>
          <w:rStyle w:val="FootnoteReference"/>
          <w:rFonts w:cs="Arial"/>
          <w:sz w:val="16"/>
          <w:szCs w:val="16"/>
        </w:rPr>
        <w:footnoteRef/>
      </w:r>
      <w:r w:rsidRPr="008E319C">
        <w:rPr>
          <w:rFonts w:cs="Arial"/>
          <w:sz w:val="16"/>
          <w:szCs w:val="16"/>
        </w:rPr>
        <w:t xml:space="preserve"> Clause (12) omitted by the Finance Act, 2006. The omitted clause (12) read as follows:</w:t>
      </w:r>
    </w:p>
    <w:p w:rsidR="00BF2117" w:rsidRPr="008E319C" w:rsidRDefault="00BF2117" w:rsidP="00AA4BF8">
      <w:pPr>
        <w:pStyle w:val="FootnoteText"/>
        <w:keepNext/>
        <w:ind w:left="360" w:hanging="180"/>
        <w:jc w:val="both"/>
        <w:rPr>
          <w:rFonts w:cs="Arial"/>
          <w:sz w:val="16"/>
          <w:szCs w:val="16"/>
        </w:rPr>
      </w:pPr>
      <w:r w:rsidRPr="00412620">
        <w:rPr>
          <w:sz w:val="16"/>
          <w:szCs w:val="16"/>
        </w:rPr>
        <w:t>“</w:t>
      </w:r>
      <w:r w:rsidRPr="00412620">
        <w:rPr>
          <w:b/>
          <w:bCs/>
          <w:snapToGrid w:val="0"/>
          <w:sz w:val="16"/>
          <w:szCs w:val="16"/>
        </w:rPr>
        <w:t>(12)</w:t>
      </w:r>
      <w:r w:rsidRPr="00412620">
        <w:rPr>
          <w:snapToGrid w:val="0"/>
          <w:sz w:val="16"/>
          <w:szCs w:val="16"/>
        </w:rPr>
        <w:tab/>
        <w:t xml:space="preserve"> In the case of consortium of M/s. STFA Construction Company of Turkey and M/s. JDN of Belgium (hereinafter referred to as the contractor) all payments received in pursuance of the </w:t>
      </w:r>
      <w:r w:rsidRPr="008E319C">
        <w:rPr>
          <w:rFonts w:cs="Arial"/>
          <w:snapToGrid w:val="0"/>
          <w:sz w:val="16"/>
          <w:szCs w:val="16"/>
        </w:rPr>
        <w:t>contract agreement No. CEN-126/93, made with the Ormara Naval Harbour Project Board, on the fourteenth day of June, 1993, for the construction of a Naval Harbour at Ormara (including off-shore and land development works), chargeable to tax in any assessment year, shall be deemed to be the income of the contractor and charged to tax at the rate of three per cent which shall constitute final discharge of contractor's tax liability under this Ordinance.”</w:t>
      </w:r>
    </w:p>
  </w:footnote>
  <w:footnote w:id="2052">
    <w:p w:rsidR="00BF2117" w:rsidRPr="008E319C" w:rsidRDefault="00BF2117" w:rsidP="00AA4BF8">
      <w:pPr>
        <w:pStyle w:val="FootnoteText"/>
        <w:rPr>
          <w:rFonts w:cs="Arial"/>
          <w:sz w:val="16"/>
          <w:szCs w:val="16"/>
          <w:lang w:val="en-US"/>
        </w:rPr>
      </w:pPr>
      <w:r w:rsidRPr="008E319C">
        <w:rPr>
          <w:rStyle w:val="FootnoteReference"/>
          <w:rFonts w:cs="Arial"/>
          <w:sz w:val="16"/>
          <w:szCs w:val="16"/>
        </w:rPr>
        <w:footnoteRef/>
      </w:r>
      <w:r w:rsidRPr="008E319C">
        <w:rPr>
          <w:rFonts w:cs="Arial"/>
          <w:sz w:val="16"/>
          <w:szCs w:val="16"/>
        </w:rPr>
        <w:t xml:space="preserve"> Clause (13) o</w:t>
      </w:r>
      <w:r w:rsidRPr="008E319C">
        <w:rPr>
          <w:rFonts w:cs="Arial"/>
          <w:sz w:val="16"/>
          <w:szCs w:val="16"/>
          <w:lang w:val="en-US"/>
        </w:rPr>
        <w:t>mitted by the Finance Act, 2008. The omitted clause (13) read as follows:</w:t>
      </w:r>
    </w:p>
    <w:p w:rsidR="00BF2117" w:rsidRPr="008E319C" w:rsidRDefault="00BF2117" w:rsidP="00AA4BF8">
      <w:pPr>
        <w:pStyle w:val="BodyText3"/>
        <w:ind w:left="270" w:hanging="90"/>
        <w:rPr>
          <w:rFonts w:ascii="Arial" w:hAnsi="Arial" w:cs="Arial"/>
          <w:sz w:val="16"/>
          <w:szCs w:val="16"/>
        </w:rPr>
      </w:pPr>
      <w:r w:rsidRPr="008E319C">
        <w:rPr>
          <w:rFonts w:ascii="Arial" w:hAnsi="Arial" w:cs="Arial"/>
          <w:sz w:val="16"/>
          <w:szCs w:val="16"/>
        </w:rPr>
        <w:t>“</w:t>
      </w:r>
      <w:r w:rsidRPr="008E319C">
        <w:rPr>
          <w:rFonts w:ascii="Arial" w:hAnsi="Arial" w:cs="Arial"/>
          <w:b/>
          <w:bCs/>
          <w:sz w:val="16"/>
          <w:szCs w:val="16"/>
        </w:rPr>
        <w:t>(13)</w:t>
      </w:r>
      <w:r w:rsidRPr="008E319C">
        <w:rPr>
          <w:rFonts w:ascii="Arial" w:hAnsi="Arial" w:cs="Arial"/>
          <w:sz w:val="16"/>
          <w:szCs w:val="16"/>
        </w:rPr>
        <w:t xml:space="preserve"> Tax under section 148 shall be collected at the rate of 1% on imports of capital goods and raw material imported exclusively for its own use by a manufacturer registered with Sales Tax Department.”</w:t>
      </w:r>
    </w:p>
  </w:footnote>
  <w:footnote w:id="2053">
    <w:p w:rsidR="00BF2117" w:rsidRPr="008E319C" w:rsidRDefault="00BF2117" w:rsidP="00AA4BF8">
      <w:pPr>
        <w:pStyle w:val="FootnoteText"/>
        <w:rPr>
          <w:rFonts w:cs="Arial"/>
          <w:sz w:val="16"/>
          <w:szCs w:val="16"/>
          <w:lang w:val="en-US"/>
        </w:rPr>
      </w:pPr>
      <w:r w:rsidRPr="008E319C">
        <w:rPr>
          <w:rStyle w:val="FootnoteReference"/>
          <w:rFonts w:cs="Arial"/>
          <w:sz w:val="16"/>
          <w:szCs w:val="16"/>
        </w:rPr>
        <w:footnoteRef/>
      </w:r>
      <w:r w:rsidRPr="008E319C">
        <w:rPr>
          <w:rFonts w:cs="Arial"/>
          <w:sz w:val="16"/>
          <w:szCs w:val="16"/>
        </w:rPr>
        <w:t xml:space="preserve"> Clause (13A) o</w:t>
      </w:r>
      <w:r w:rsidRPr="008E319C">
        <w:rPr>
          <w:rFonts w:cs="Arial"/>
          <w:sz w:val="16"/>
          <w:szCs w:val="16"/>
          <w:lang w:val="en-US"/>
        </w:rPr>
        <w:t>mitted by the Finance Act, 2008. The omitted clause (13A) read as follows:</w:t>
      </w:r>
    </w:p>
    <w:p w:rsidR="00BF2117" w:rsidRPr="008E319C" w:rsidRDefault="00BF2117" w:rsidP="00AA4BF8">
      <w:pPr>
        <w:pStyle w:val="FootnoteText"/>
        <w:ind w:left="270" w:hanging="90"/>
        <w:jc w:val="both"/>
        <w:rPr>
          <w:rFonts w:cs="Arial"/>
          <w:sz w:val="16"/>
          <w:szCs w:val="16"/>
        </w:rPr>
      </w:pPr>
      <w:r w:rsidRPr="008E319C">
        <w:rPr>
          <w:rFonts w:cs="Arial"/>
          <w:sz w:val="16"/>
          <w:szCs w:val="16"/>
          <w:lang w:val="en-US"/>
        </w:rPr>
        <w:t>“</w:t>
      </w:r>
      <w:r w:rsidRPr="008E319C">
        <w:rPr>
          <w:rFonts w:cs="Arial"/>
          <w:b/>
          <w:bCs/>
          <w:sz w:val="16"/>
          <w:szCs w:val="16"/>
        </w:rPr>
        <w:t>(13A)</w:t>
      </w:r>
      <w:r w:rsidRPr="008E319C">
        <w:rPr>
          <w:rFonts w:cs="Arial"/>
          <w:sz w:val="16"/>
          <w:szCs w:val="16"/>
        </w:rPr>
        <w:t xml:space="preserve">    In respect of phosphatic fertilizers imported and specified in Notification No. S.R.O. 609(I)/2004, dated 16</w:t>
      </w:r>
      <w:r w:rsidRPr="008E319C">
        <w:rPr>
          <w:rFonts w:cs="Arial"/>
          <w:sz w:val="16"/>
          <w:szCs w:val="16"/>
          <w:vertAlign w:val="superscript"/>
        </w:rPr>
        <w:t>th</w:t>
      </w:r>
      <w:r w:rsidRPr="008E319C">
        <w:rPr>
          <w:rFonts w:cs="Arial"/>
          <w:sz w:val="16"/>
          <w:szCs w:val="16"/>
        </w:rPr>
        <w:t xml:space="preserve"> July, 2004 the tax under section 148 of the Income Tax Ordinance, 2001 shall be collected at the rate of 1% of its import value as increased by customs-duty, sales tax and federal excise duty, if any, levied thereon.”</w:t>
      </w:r>
    </w:p>
  </w:footnote>
  <w:footnote w:id="2054">
    <w:p w:rsidR="00BF2117" w:rsidRPr="008E319C" w:rsidRDefault="00BF2117" w:rsidP="00AA4BF8">
      <w:pPr>
        <w:pStyle w:val="FootnoteText"/>
        <w:ind w:left="0" w:firstLine="0"/>
        <w:rPr>
          <w:rFonts w:cs="Arial"/>
          <w:sz w:val="16"/>
          <w:szCs w:val="16"/>
          <w:lang w:val="en-US"/>
        </w:rPr>
      </w:pPr>
      <w:r w:rsidRPr="008E319C">
        <w:rPr>
          <w:rStyle w:val="FootnoteReference"/>
          <w:rFonts w:cs="Arial"/>
          <w:sz w:val="16"/>
          <w:szCs w:val="16"/>
        </w:rPr>
        <w:footnoteRef/>
      </w:r>
      <w:r w:rsidRPr="008E319C">
        <w:rPr>
          <w:rFonts w:cs="Arial"/>
          <w:sz w:val="16"/>
          <w:szCs w:val="16"/>
          <w:lang w:val="en-US"/>
        </w:rPr>
        <w:t xml:space="preserve"> Clause (13B) omitted by the Finance Act, 2008. The omitted clause (13B) read as follows:</w:t>
      </w:r>
    </w:p>
    <w:p w:rsidR="00BF2117" w:rsidRPr="008E319C" w:rsidRDefault="00BF2117" w:rsidP="00AA4BF8">
      <w:pPr>
        <w:widowControl w:val="0"/>
        <w:ind w:left="270" w:hanging="90"/>
        <w:jc w:val="both"/>
        <w:rPr>
          <w:rFonts w:cs="Arial"/>
          <w:sz w:val="16"/>
          <w:szCs w:val="16"/>
        </w:rPr>
      </w:pPr>
      <w:r w:rsidRPr="008E319C">
        <w:rPr>
          <w:rFonts w:cs="Arial"/>
          <w:sz w:val="16"/>
          <w:szCs w:val="16"/>
          <w:lang w:val="en-US"/>
        </w:rPr>
        <w:t>“</w:t>
      </w:r>
      <w:r w:rsidRPr="008E319C">
        <w:rPr>
          <w:rFonts w:cs="Arial"/>
          <w:b/>
          <w:bCs/>
          <w:snapToGrid w:val="0"/>
          <w:sz w:val="16"/>
          <w:szCs w:val="16"/>
        </w:rPr>
        <w:t>(13B)</w:t>
      </w:r>
      <w:r w:rsidRPr="008E319C">
        <w:rPr>
          <w:rFonts w:cs="Arial"/>
          <w:snapToGrid w:val="0"/>
          <w:sz w:val="16"/>
          <w:szCs w:val="16"/>
        </w:rPr>
        <w:t xml:space="preserve">  In respect of goods falling under HS Code 801.1100, 801.3200, 802.1200, 802.9010, 902.4010, 902.4090, 2101.1110, 2101.1120, 0902.2000, 904.1110,  907.0000, 908.1000, 3702.3100, 3705.2000, 3707.9000,  4011.2090, 6301.1000, 8204.0000, 8301.1000, 8511.1000, 8525.4000, 8529.9010, 9004.1000 0904.1120 (White Pepper), 0904.1190 (Long Pepper), 0906.1000 (Cassia), 0813.4010 (Tamarind), 0908.3020 (Small Cardamom), 0908.3010 (Big Cardamom), 0909.1000 (Star Aniseeds), 0802.5000 (Pistachio), 1211.9000 (Medical Herbs), 1301.1010 (Seed Lac), 1903.0010 (Sago Seeds), 1301.9090 (Gum Gopal), 3706.9000 Other (cinematographic film), 9613.1000 (Pocket lighters, gas fuelled, non-refillable) and 9613.2000 (Pocket lighters, gas fuelled, refillable) and such other goods as notified by Central Board of Revenue of the First Schedule to the Customs Act, 1969 (IV of 1969), imported, the tax under section 148 shall be collected at the rate of 2% of its import value as increased by customs-duty, sales tax and federal excise duty, if any, levied thereon.”</w:t>
      </w:r>
    </w:p>
  </w:footnote>
  <w:footnote w:id="2055">
    <w:p w:rsidR="00BF2117" w:rsidRDefault="00BF2117">
      <w:pPr>
        <w:pStyle w:val="FootnoteText"/>
        <w:rPr>
          <w:rStyle w:val="FootnoteReference"/>
          <w:rFonts w:cs="Arial"/>
          <w:snapToGrid w:val="0"/>
          <w:sz w:val="20"/>
        </w:rPr>
      </w:pPr>
      <w:r w:rsidRPr="000346ED">
        <w:rPr>
          <w:rStyle w:val="FootnoteReference"/>
          <w:sz w:val="16"/>
          <w:szCs w:val="16"/>
        </w:rPr>
        <w:footnoteRef/>
      </w:r>
      <w:r>
        <w:rPr>
          <w:sz w:val="16"/>
          <w:szCs w:val="16"/>
        </w:rPr>
        <w:t>Clause (13C) omitted by the Finance Act, 2015. The omitted clause (13C) read as follows:-</w:t>
      </w:r>
    </w:p>
    <w:p w:rsidR="00BF2117" w:rsidRPr="000346ED" w:rsidRDefault="00BF2117" w:rsidP="000346ED">
      <w:pPr>
        <w:pStyle w:val="FootnoteText"/>
        <w:ind w:hanging="540"/>
        <w:rPr>
          <w:sz w:val="16"/>
          <w:szCs w:val="16"/>
          <w:lang w:val="en-US"/>
        </w:rPr>
      </w:pPr>
      <w:r w:rsidRPr="00BD7BA6">
        <w:rPr>
          <w:rFonts w:cs="Arial"/>
          <w:b/>
          <w:snapToGrid w:val="0"/>
          <w:sz w:val="20"/>
        </w:rPr>
        <w:t>“</w:t>
      </w:r>
      <w:r w:rsidRPr="00BD7BA6">
        <w:rPr>
          <w:rFonts w:cs="Arial"/>
          <w:b/>
          <w:bCs/>
          <w:snapToGrid w:val="0"/>
          <w:sz w:val="16"/>
          <w:szCs w:val="16"/>
        </w:rPr>
        <w:t>(13C)</w:t>
      </w:r>
      <w:r w:rsidRPr="000346ED">
        <w:rPr>
          <w:rFonts w:cs="Arial"/>
          <w:snapToGrid w:val="0"/>
          <w:sz w:val="16"/>
          <w:szCs w:val="16"/>
        </w:rPr>
        <w:t xml:space="preserve">  In respect of manufacturers of cooking oil or vegetable ghee or both, the rate of income tax on purchase of locally produced edible oil shall be 2% of the </w:t>
      </w:r>
      <w:r>
        <w:rPr>
          <w:rFonts w:cs="Arial"/>
          <w:snapToGrid w:val="0"/>
          <w:sz w:val="16"/>
          <w:szCs w:val="16"/>
        </w:rPr>
        <w:t>purchase price.”</w:t>
      </w:r>
    </w:p>
  </w:footnote>
  <w:footnote w:id="2056">
    <w:p w:rsidR="00BF2117" w:rsidRPr="008E319C" w:rsidRDefault="00BF2117" w:rsidP="00AA4BF8">
      <w:pPr>
        <w:pStyle w:val="FootnoteText"/>
        <w:keepNext/>
        <w:ind w:left="180" w:hanging="180"/>
        <w:rPr>
          <w:rFonts w:cs="Arial"/>
          <w:sz w:val="16"/>
          <w:szCs w:val="16"/>
        </w:rPr>
      </w:pPr>
      <w:r w:rsidRPr="008E319C">
        <w:rPr>
          <w:rStyle w:val="FootnoteReference"/>
          <w:rFonts w:cs="Arial"/>
          <w:sz w:val="16"/>
          <w:szCs w:val="16"/>
        </w:rPr>
        <w:footnoteRef/>
      </w:r>
      <w:r w:rsidRPr="008E319C">
        <w:rPr>
          <w:rFonts w:cs="Arial"/>
          <w:sz w:val="16"/>
          <w:szCs w:val="16"/>
        </w:rPr>
        <w:t xml:space="preserve"> Clause (13D) omitted by the Finance Act, 2005. Earlier clause (13D) was inserted by S.R.O. 769(I)/2004, dated 06.09.2004. The omitted clause (13D) read as follows: </w:t>
      </w:r>
    </w:p>
    <w:p w:rsidR="00BF2117" w:rsidRPr="008E319C" w:rsidRDefault="00BF2117" w:rsidP="00AA4BF8">
      <w:pPr>
        <w:pStyle w:val="FootnoteText"/>
        <w:ind w:left="180" w:firstLine="0"/>
        <w:jc w:val="both"/>
        <w:rPr>
          <w:rFonts w:cs="Arial"/>
          <w:sz w:val="16"/>
          <w:szCs w:val="16"/>
        </w:rPr>
      </w:pPr>
      <w:r w:rsidRPr="008E319C">
        <w:rPr>
          <w:rFonts w:cs="Arial"/>
          <w:snapToGrid w:val="0"/>
          <w:sz w:val="16"/>
          <w:szCs w:val="16"/>
        </w:rPr>
        <w:t>“</w:t>
      </w:r>
      <w:r w:rsidRPr="008E319C">
        <w:rPr>
          <w:rFonts w:cs="Arial"/>
          <w:b/>
          <w:bCs/>
          <w:snapToGrid w:val="0"/>
          <w:sz w:val="16"/>
          <w:szCs w:val="16"/>
        </w:rPr>
        <w:t>(13D)</w:t>
      </w:r>
      <w:r w:rsidRPr="008E319C">
        <w:rPr>
          <w:rFonts w:cs="Arial"/>
          <w:snapToGrid w:val="0"/>
          <w:sz w:val="16"/>
          <w:szCs w:val="16"/>
        </w:rPr>
        <w:t xml:space="preserve">  In respect of import of polyester yarn/fibre all types, the tax under section 148 shall be collected at the rate of two per cent of the value of such items as increased by customs-duty and sales tax, if any, levied thereon.”</w:t>
      </w:r>
    </w:p>
  </w:footnote>
  <w:footnote w:id="2057">
    <w:p w:rsidR="00BF2117" w:rsidRPr="00C75159" w:rsidRDefault="00BF2117" w:rsidP="00AA4BF8">
      <w:pPr>
        <w:pStyle w:val="FootnoteText"/>
        <w:rPr>
          <w:rFonts w:cs="Arial"/>
          <w:color w:val="000000" w:themeColor="text1"/>
          <w:sz w:val="16"/>
          <w:szCs w:val="16"/>
          <w:lang w:val="en-US"/>
        </w:rPr>
      </w:pPr>
      <w:r w:rsidRPr="00C75159">
        <w:rPr>
          <w:rStyle w:val="FootnoteReference"/>
          <w:rFonts w:cs="Arial"/>
          <w:color w:val="000000" w:themeColor="text1"/>
          <w:sz w:val="16"/>
          <w:szCs w:val="16"/>
        </w:rPr>
        <w:footnoteRef/>
      </w:r>
      <w:r w:rsidRPr="00C75159">
        <w:rPr>
          <w:rFonts w:cs="Arial"/>
          <w:color w:val="000000" w:themeColor="text1"/>
          <w:sz w:val="16"/>
          <w:szCs w:val="16"/>
          <w:lang w:val="en-US"/>
        </w:rPr>
        <w:t>Clause (13E) omitted by Finance Act, 2014. The omitted clause (13E) read as follows:</w:t>
      </w:r>
    </w:p>
    <w:p w:rsidR="00BF2117" w:rsidRPr="00C75159" w:rsidRDefault="00BF2117" w:rsidP="008E319C">
      <w:pPr>
        <w:widowControl w:val="0"/>
        <w:jc w:val="both"/>
        <w:rPr>
          <w:color w:val="000000" w:themeColor="text1"/>
          <w:sz w:val="16"/>
          <w:szCs w:val="16"/>
          <w:lang w:val="en-US"/>
        </w:rPr>
      </w:pPr>
      <w:r w:rsidRPr="00C75159">
        <w:rPr>
          <w:color w:val="000000" w:themeColor="text1"/>
          <w:sz w:val="16"/>
          <w:lang w:val="en-US"/>
        </w:rPr>
        <w:tab/>
      </w:r>
      <w:r w:rsidRPr="00C75159">
        <w:rPr>
          <w:color w:val="000000" w:themeColor="text1"/>
          <w:sz w:val="16"/>
          <w:szCs w:val="16"/>
          <w:lang w:val="en-US"/>
        </w:rPr>
        <w:t>“</w:t>
      </w:r>
      <w:r w:rsidRPr="00C75159">
        <w:rPr>
          <w:b/>
          <w:snapToGrid w:val="0"/>
          <w:color w:val="000000" w:themeColor="text1"/>
          <w:sz w:val="16"/>
          <w:szCs w:val="16"/>
        </w:rPr>
        <w:t xml:space="preserve">(13E) </w:t>
      </w:r>
      <w:r w:rsidRPr="00C75159">
        <w:rPr>
          <w:bCs/>
          <w:snapToGrid w:val="0"/>
          <w:color w:val="000000" w:themeColor="text1"/>
          <w:sz w:val="16"/>
          <w:szCs w:val="16"/>
        </w:rPr>
        <w:t>In respect of potassic fertilizers imported in pursuance of Economic Coordination Committee of the cabinet’s decision No. ECC-155/12/2004 dated the 9</w:t>
      </w:r>
      <w:r w:rsidRPr="00C75159">
        <w:rPr>
          <w:bCs/>
          <w:snapToGrid w:val="0"/>
          <w:color w:val="000000" w:themeColor="text1"/>
          <w:sz w:val="16"/>
          <w:szCs w:val="16"/>
          <w:vertAlign w:val="superscript"/>
        </w:rPr>
        <w:t>th</w:t>
      </w:r>
      <w:r w:rsidRPr="00C75159">
        <w:rPr>
          <w:bCs/>
          <w:snapToGrid w:val="0"/>
          <w:color w:val="000000" w:themeColor="text1"/>
          <w:sz w:val="16"/>
          <w:szCs w:val="16"/>
        </w:rPr>
        <w:t xml:space="preserve"> December, 2004, the tax under section 148 of the Income Tax Ordinance, 2001 shall be collected at the rate of one per cent of its import value as increased by customs-duty and sales tax, if any, levied thereon.”</w:t>
      </w:r>
    </w:p>
  </w:footnote>
  <w:footnote w:id="2058">
    <w:p w:rsidR="00BF2117" w:rsidRPr="008E319C" w:rsidRDefault="00BF2117" w:rsidP="00AA4BF8">
      <w:pPr>
        <w:pStyle w:val="FootnoteText"/>
        <w:ind w:left="180" w:hanging="180"/>
        <w:rPr>
          <w:sz w:val="16"/>
          <w:szCs w:val="16"/>
        </w:rPr>
      </w:pPr>
      <w:r w:rsidRPr="008E319C">
        <w:rPr>
          <w:rStyle w:val="FootnoteReference"/>
          <w:rFonts w:cs="Arial"/>
          <w:sz w:val="16"/>
          <w:szCs w:val="16"/>
        </w:rPr>
        <w:footnoteRef/>
      </w:r>
      <w:r w:rsidRPr="008E319C">
        <w:rPr>
          <w:sz w:val="16"/>
          <w:szCs w:val="16"/>
        </w:rPr>
        <w:t xml:space="preserve"> Clause (13F) omitted by S.R.O. 1037(I)/2005, dated 14.10.2005. The omitted clause (13F) read as follows: </w:t>
      </w:r>
    </w:p>
    <w:p w:rsidR="00BF2117" w:rsidRPr="008E319C" w:rsidRDefault="00BF2117" w:rsidP="00AA4BF8">
      <w:pPr>
        <w:pStyle w:val="FootnoteText"/>
        <w:ind w:left="180" w:firstLine="0"/>
        <w:rPr>
          <w:sz w:val="16"/>
          <w:szCs w:val="16"/>
        </w:rPr>
      </w:pPr>
      <w:r w:rsidRPr="008E319C">
        <w:rPr>
          <w:snapToGrid w:val="0"/>
          <w:sz w:val="16"/>
          <w:szCs w:val="16"/>
        </w:rPr>
        <w:t>“</w:t>
      </w:r>
      <w:r w:rsidRPr="008E319C">
        <w:rPr>
          <w:b/>
          <w:bCs/>
          <w:snapToGrid w:val="0"/>
          <w:sz w:val="16"/>
          <w:szCs w:val="16"/>
        </w:rPr>
        <w:t xml:space="preserve">(13F) </w:t>
      </w:r>
      <w:r w:rsidRPr="008E319C">
        <w:rPr>
          <w:snapToGrid w:val="0"/>
          <w:sz w:val="16"/>
          <w:szCs w:val="16"/>
        </w:rPr>
        <w:t>In respect of import of blankets (acrylic), the tax under section 148 of the Income Tax Ordinance, 2001 shall be collected at the rate of two per cent of the value of such items as increased by customs-duty and sales tax, if any, levied thereon.”</w:t>
      </w:r>
    </w:p>
  </w:footnote>
  <w:footnote w:id="2059">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Clause (13G) omitted by S.R.O.140(I)/2013, dated 26.02.2013. The omitted clause (13G) read as follows:</w:t>
      </w:r>
    </w:p>
    <w:p w:rsidR="00BF2117" w:rsidRPr="008E319C" w:rsidRDefault="00BF2117" w:rsidP="00AA4BF8">
      <w:pPr>
        <w:autoSpaceDE w:val="0"/>
        <w:autoSpaceDN w:val="0"/>
        <w:adjustRightInd w:val="0"/>
        <w:ind w:left="180"/>
        <w:jc w:val="both"/>
        <w:rPr>
          <w:sz w:val="16"/>
          <w:szCs w:val="16"/>
          <w:lang w:val="en-US"/>
        </w:rPr>
      </w:pPr>
      <w:r w:rsidRPr="008E319C">
        <w:rPr>
          <w:sz w:val="16"/>
          <w:szCs w:val="16"/>
        </w:rPr>
        <w:t>“</w:t>
      </w:r>
      <w:r w:rsidRPr="008E319C">
        <w:rPr>
          <w:b/>
          <w:bCs/>
          <w:sz w:val="16"/>
          <w:szCs w:val="16"/>
          <w:lang w:val="en-US"/>
        </w:rPr>
        <w:t>(13G)</w:t>
      </w:r>
      <w:r w:rsidRPr="008E319C">
        <w:rPr>
          <w:sz w:val="16"/>
          <w:szCs w:val="16"/>
          <w:lang w:val="en-US"/>
        </w:rPr>
        <w:t xml:space="preserve"> Tax under section 148 on the following item shall be collected @ 1% of  their import value as increased by customs-duty, sales tax and federal excise duty, if any levied thereon:</w:t>
      </w:r>
    </w:p>
    <w:p w:rsidR="00BF2117" w:rsidRPr="008E319C" w:rsidRDefault="00BF2117" w:rsidP="00AA4BF8">
      <w:pPr>
        <w:autoSpaceDE w:val="0"/>
        <w:autoSpaceDN w:val="0"/>
        <w:adjustRightInd w:val="0"/>
        <w:ind w:left="180"/>
        <w:jc w:val="both"/>
        <w:rPr>
          <w:sz w:val="16"/>
          <w:szCs w:val="16"/>
          <w:lang w:val="en-US"/>
        </w:rPr>
      </w:pPr>
      <w:r w:rsidRPr="008E319C">
        <w:rPr>
          <w:sz w:val="16"/>
          <w:szCs w:val="16"/>
          <w:lang w:val="en-US"/>
        </w:rPr>
        <w:tab/>
      </w:r>
      <w:r w:rsidRPr="008E319C">
        <w:rPr>
          <w:sz w:val="16"/>
          <w:szCs w:val="16"/>
          <w:lang w:val="en-US"/>
        </w:rPr>
        <w:tab/>
        <w:t xml:space="preserve">iv. </w:t>
      </w:r>
      <w:r w:rsidRPr="008E319C">
        <w:rPr>
          <w:sz w:val="16"/>
          <w:szCs w:val="16"/>
          <w:lang w:val="en-US"/>
        </w:rPr>
        <w:tab/>
        <w:t>Gold;</w:t>
      </w:r>
    </w:p>
    <w:p w:rsidR="00BF2117" w:rsidRPr="008E319C" w:rsidRDefault="00BF2117" w:rsidP="00AA4BF8">
      <w:pPr>
        <w:autoSpaceDE w:val="0"/>
        <w:autoSpaceDN w:val="0"/>
        <w:adjustRightInd w:val="0"/>
        <w:ind w:left="180" w:firstLine="547"/>
        <w:jc w:val="both"/>
        <w:rPr>
          <w:sz w:val="16"/>
          <w:szCs w:val="16"/>
          <w:lang w:val="en-US"/>
        </w:rPr>
      </w:pPr>
      <w:r w:rsidRPr="008E319C">
        <w:rPr>
          <w:sz w:val="16"/>
          <w:szCs w:val="16"/>
          <w:lang w:val="en-US"/>
        </w:rPr>
        <w:tab/>
        <w:t xml:space="preserve">v. </w:t>
      </w:r>
      <w:r w:rsidRPr="008E319C">
        <w:rPr>
          <w:sz w:val="16"/>
          <w:szCs w:val="16"/>
          <w:lang w:val="en-US"/>
        </w:rPr>
        <w:tab/>
        <w:t>Mobile telephone sets;</w:t>
      </w:r>
    </w:p>
    <w:p w:rsidR="00BF2117" w:rsidRPr="008E319C" w:rsidRDefault="00BF2117" w:rsidP="00AA4BF8">
      <w:pPr>
        <w:autoSpaceDE w:val="0"/>
        <w:autoSpaceDN w:val="0"/>
        <w:adjustRightInd w:val="0"/>
        <w:ind w:left="180" w:firstLine="547"/>
        <w:jc w:val="both"/>
        <w:rPr>
          <w:sz w:val="16"/>
          <w:szCs w:val="16"/>
        </w:rPr>
      </w:pPr>
      <w:r w:rsidRPr="008E319C">
        <w:rPr>
          <w:sz w:val="16"/>
          <w:szCs w:val="16"/>
          <w:lang w:val="en-US"/>
        </w:rPr>
        <w:tab/>
        <w:t xml:space="preserve">vi. </w:t>
      </w:r>
      <w:r w:rsidRPr="008E319C">
        <w:rPr>
          <w:sz w:val="16"/>
          <w:szCs w:val="16"/>
          <w:lang w:val="en-US"/>
        </w:rPr>
        <w:tab/>
        <w:t>Silver;”</w:t>
      </w:r>
    </w:p>
  </w:footnote>
  <w:footnote w:id="2060">
    <w:p w:rsidR="00BF2117" w:rsidRPr="008E319C" w:rsidRDefault="00BF2117" w:rsidP="00D268D9">
      <w:pPr>
        <w:pStyle w:val="FootnoteText"/>
        <w:rPr>
          <w:sz w:val="16"/>
          <w:szCs w:val="16"/>
          <w:lang w:val="en-US"/>
        </w:rPr>
      </w:pPr>
      <w:r w:rsidRPr="008E319C">
        <w:rPr>
          <w:rStyle w:val="FootnoteReference"/>
          <w:sz w:val="16"/>
          <w:szCs w:val="16"/>
        </w:rPr>
        <w:footnoteRef/>
      </w:r>
      <w:r w:rsidRPr="008E319C">
        <w:rPr>
          <w:sz w:val="16"/>
          <w:szCs w:val="16"/>
          <w:lang w:val="en-US"/>
        </w:rPr>
        <w:t>Clause (13H) omitted by Finance Act, 2008. The omitted clause (13H) read as follows:</w:t>
      </w:r>
    </w:p>
    <w:p w:rsidR="00BF2117" w:rsidRPr="008E319C" w:rsidRDefault="00BF2117" w:rsidP="00D268D9">
      <w:pPr>
        <w:pStyle w:val="FootnoteText"/>
        <w:rPr>
          <w:sz w:val="16"/>
          <w:szCs w:val="16"/>
          <w:lang w:val="en-US"/>
        </w:rPr>
      </w:pPr>
      <w:r w:rsidRPr="008E319C">
        <w:rPr>
          <w:sz w:val="16"/>
          <w:szCs w:val="16"/>
          <w:lang w:val="en-US"/>
        </w:rPr>
        <w:tab/>
        <w:t xml:space="preserve">“(13H) Tax under section 148 on the following items shall be collected @ 2% of their import value as increased by Customs duty, Federal Excise Duty and sales tax, if any levied thereon; </w:t>
      </w:r>
    </w:p>
    <w:p w:rsidR="00BF2117" w:rsidRPr="008E319C" w:rsidRDefault="00BF2117" w:rsidP="004B20DC">
      <w:pPr>
        <w:pStyle w:val="FootnoteText"/>
        <w:numPr>
          <w:ilvl w:val="0"/>
          <w:numId w:val="48"/>
        </w:numPr>
        <w:rPr>
          <w:sz w:val="16"/>
          <w:szCs w:val="16"/>
          <w:lang w:val="en-US"/>
        </w:rPr>
      </w:pPr>
      <w:r w:rsidRPr="008E319C">
        <w:rPr>
          <w:sz w:val="16"/>
          <w:szCs w:val="16"/>
          <w:lang w:val="en-US"/>
        </w:rPr>
        <w:t>raw material for steel industry including remeltable; and re-rollable scrap;</w:t>
      </w:r>
    </w:p>
    <w:p w:rsidR="00BF2117" w:rsidRPr="008E319C" w:rsidRDefault="00BF2117" w:rsidP="004B20DC">
      <w:pPr>
        <w:pStyle w:val="FootnoteText"/>
        <w:numPr>
          <w:ilvl w:val="0"/>
          <w:numId w:val="48"/>
        </w:numPr>
        <w:rPr>
          <w:sz w:val="16"/>
          <w:szCs w:val="16"/>
          <w:lang w:val="en-US"/>
        </w:rPr>
      </w:pPr>
      <w:r w:rsidRPr="008E319C">
        <w:rPr>
          <w:sz w:val="16"/>
          <w:szCs w:val="16"/>
          <w:lang w:val="en-US"/>
        </w:rPr>
        <w:t>raw material for manufacturer of poultry feed;</w:t>
      </w:r>
    </w:p>
    <w:p w:rsidR="00BF2117" w:rsidRPr="008E319C" w:rsidRDefault="00BF2117" w:rsidP="004B20DC">
      <w:pPr>
        <w:pStyle w:val="FootnoteText"/>
        <w:numPr>
          <w:ilvl w:val="0"/>
          <w:numId w:val="48"/>
        </w:numPr>
        <w:rPr>
          <w:sz w:val="16"/>
          <w:szCs w:val="16"/>
          <w:lang w:val="en-US"/>
        </w:rPr>
      </w:pPr>
      <w:r w:rsidRPr="008E319C">
        <w:rPr>
          <w:sz w:val="16"/>
          <w:szCs w:val="16"/>
          <w:lang w:val="en-US"/>
        </w:rPr>
        <w:t xml:space="preserve">stationery; </w:t>
      </w:r>
    </w:p>
    <w:p w:rsidR="00BF2117" w:rsidRPr="008E319C" w:rsidRDefault="00BF2117" w:rsidP="004B20DC">
      <w:pPr>
        <w:pStyle w:val="FootnoteText"/>
        <w:numPr>
          <w:ilvl w:val="0"/>
          <w:numId w:val="48"/>
        </w:numPr>
        <w:rPr>
          <w:sz w:val="16"/>
          <w:szCs w:val="16"/>
          <w:lang w:val="en-US"/>
        </w:rPr>
      </w:pPr>
      <w:r w:rsidRPr="008E319C">
        <w:rPr>
          <w:sz w:val="16"/>
          <w:szCs w:val="16"/>
          <w:lang w:val="en-US"/>
        </w:rPr>
        <w:t>edibale oil including crude oil imported as raw material   for manufacturer of ghee or cooking oil;</w:t>
      </w:r>
    </w:p>
    <w:p w:rsidR="00BF2117" w:rsidRPr="008E319C" w:rsidRDefault="00BF2117" w:rsidP="004B20DC">
      <w:pPr>
        <w:pStyle w:val="FootnoteText"/>
        <w:numPr>
          <w:ilvl w:val="0"/>
          <w:numId w:val="48"/>
        </w:numPr>
        <w:rPr>
          <w:sz w:val="16"/>
          <w:szCs w:val="16"/>
          <w:lang w:val="en-US"/>
        </w:rPr>
      </w:pPr>
      <w:r w:rsidRPr="008E319C">
        <w:rPr>
          <w:sz w:val="16"/>
          <w:szCs w:val="16"/>
          <w:lang w:val="en-US"/>
        </w:rPr>
        <w:t>Energy saver lamps [PCT heading 8539.10];</w:t>
      </w:r>
    </w:p>
    <w:p w:rsidR="00BF2117" w:rsidRPr="008E319C" w:rsidRDefault="00BF2117" w:rsidP="004B20DC">
      <w:pPr>
        <w:pStyle w:val="FootnoteText"/>
        <w:numPr>
          <w:ilvl w:val="0"/>
          <w:numId w:val="48"/>
        </w:numPr>
        <w:rPr>
          <w:sz w:val="16"/>
          <w:szCs w:val="16"/>
          <w:lang w:val="en-US"/>
        </w:rPr>
      </w:pPr>
      <w:r w:rsidRPr="008E319C">
        <w:rPr>
          <w:sz w:val="16"/>
          <w:szCs w:val="16"/>
          <w:lang w:val="en-US"/>
        </w:rPr>
        <w:t>Bitumem [PCT heading 2714];</w:t>
      </w:r>
    </w:p>
    <w:p w:rsidR="00BF2117" w:rsidRPr="008E319C" w:rsidRDefault="00BF2117" w:rsidP="004B20DC">
      <w:pPr>
        <w:pStyle w:val="FootnoteText"/>
        <w:numPr>
          <w:ilvl w:val="0"/>
          <w:numId w:val="48"/>
        </w:numPr>
        <w:rPr>
          <w:sz w:val="16"/>
          <w:szCs w:val="16"/>
          <w:lang w:val="en-US"/>
        </w:rPr>
      </w:pPr>
      <w:r w:rsidRPr="008E319C">
        <w:rPr>
          <w:sz w:val="16"/>
          <w:szCs w:val="16"/>
          <w:lang w:val="en-US"/>
        </w:rPr>
        <w:t>Fixed wireless terminal [PCT heading 8525.2040]</w:t>
      </w:r>
    </w:p>
    <w:p w:rsidR="00BF2117" w:rsidRPr="008E319C" w:rsidRDefault="00BF2117" w:rsidP="008E319C">
      <w:pPr>
        <w:pStyle w:val="FootnoteText"/>
        <w:numPr>
          <w:ilvl w:val="0"/>
          <w:numId w:val="48"/>
        </w:numPr>
        <w:rPr>
          <w:sz w:val="16"/>
          <w:szCs w:val="16"/>
          <w:lang w:val="en-US"/>
        </w:rPr>
      </w:pPr>
      <w:r w:rsidRPr="008E319C">
        <w:rPr>
          <w:sz w:val="16"/>
          <w:szCs w:val="16"/>
          <w:lang w:val="en-US"/>
        </w:rPr>
        <w:t>Pesticides and wedicides.”</w:t>
      </w:r>
    </w:p>
  </w:footnote>
  <w:footnote w:id="2061">
    <w:p w:rsidR="00BF2117" w:rsidRPr="00C75159" w:rsidRDefault="00BF2117" w:rsidP="008C5DFC">
      <w:pPr>
        <w:pStyle w:val="FootnoteText"/>
        <w:jc w:val="both"/>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lang w:val="en-US"/>
        </w:rPr>
        <w:t>Clause (13HH) omitted by Finance Act, 2014. The omitted clause (13HH) read as follows:</w:t>
      </w:r>
    </w:p>
    <w:p w:rsidR="00BF2117" w:rsidRPr="00C75159" w:rsidRDefault="00BF2117" w:rsidP="008C5DFC">
      <w:pPr>
        <w:autoSpaceDE w:val="0"/>
        <w:autoSpaceDN w:val="0"/>
        <w:adjustRightInd w:val="0"/>
        <w:jc w:val="both"/>
        <w:rPr>
          <w:color w:val="000000" w:themeColor="text1"/>
          <w:sz w:val="16"/>
          <w:szCs w:val="16"/>
          <w:lang w:val="en-US"/>
        </w:rPr>
      </w:pPr>
      <w:r w:rsidRPr="00C75159">
        <w:rPr>
          <w:color w:val="000000" w:themeColor="text1"/>
          <w:sz w:val="16"/>
          <w:szCs w:val="16"/>
          <w:lang w:val="en-US"/>
        </w:rPr>
        <w:tab/>
        <w:t>“(</w:t>
      </w:r>
      <w:r w:rsidRPr="00C75159">
        <w:rPr>
          <w:rFonts w:cs="Arial"/>
          <w:b/>
          <w:color w:val="000000" w:themeColor="text1"/>
          <w:sz w:val="16"/>
          <w:szCs w:val="16"/>
          <w:lang w:val="en-US"/>
        </w:rPr>
        <w:t xml:space="preserve">13HH) </w:t>
      </w:r>
      <w:r w:rsidRPr="00C75159">
        <w:rPr>
          <w:rFonts w:cs="Arial"/>
          <w:color w:val="000000" w:themeColor="text1"/>
          <w:sz w:val="16"/>
          <w:szCs w:val="16"/>
        </w:rPr>
        <w:t>Tax shall be deducted under section 153 at the rate of 1% on the sale value of rice to be sold by Rice Exporters Association of Pakistan (REAP) to Utility Store Corporation, in accordance with the provisions of the agreement, signed with Ministry of Food, Agriculture and Livestock (MINFAL) on May 5, 2008.”</w:t>
      </w:r>
    </w:p>
  </w:footnote>
  <w:footnote w:id="2062">
    <w:p w:rsidR="00BF2117" w:rsidRPr="00C75159" w:rsidRDefault="00BF2117" w:rsidP="008C5DFC">
      <w:pPr>
        <w:pStyle w:val="FootnoteText"/>
        <w:ind w:left="0" w:firstLine="0"/>
        <w:jc w:val="both"/>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lang w:val="en-US"/>
        </w:rPr>
        <w:t>Clause (13HHH) omitted by the Finance Act, 2014. Earlier it was inserted by SRO 645(I)/2008, dated 20.06.2008. The omitted clause (13HHH) read as follows:</w:t>
      </w:r>
    </w:p>
    <w:p w:rsidR="00BF2117" w:rsidRPr="00C75159" w:rsidRDefault="00BF2117" w:rsidP="008C5DFC">
      <w:pPr>
        <w:pStyle w:val="FootnoteText"/>
        <w:ind w:left="90" w:hanging="90"/>
        <w:jc w:val="both"/>
        <w:rPr>
          <w:rFonts w:cs="Arial"/>
          <w:color w:val="000000" w:themeColor="text1"/>
          <w:sz w:val="16"/>
          <w:szCs w:val="16"/>
          <w:lang w:val="en-US"/>
        </w:rPr>
      </w:pPr>
      <w:r w:rsidRPr="00C75159">
        <w:rPr>
          <w:color w:val="000000" w:themeColor="text1"/>
          <w:sz w:val="16"/>
          <w:szCs w:val="16"/>
          <w:lang w:val="en-US"/>
        </w:rPr>
        <w:tab/>
        <w:t>“(</w:t>
      </w:r>
      <w:r w:rsidRPr="00C75159">
        <w:rPr>
          <w:rFonts w:cs="Arial"/>
          <w:b/>
          <w:color w:val="000000" w:themeColor="text1"/>
          <w:sz w:val="16"/>
          <w:szCs w:val="16"/>
          <w:lang w:val="en-US"/>
        </w:rPr>
        <w:t xml:space="preserve">13HHH)  </w:t>
      </w:r>
      <w:r w:rsidRPr="00C75159">
        <w:rPr>
          <w:rFonts w:cs="Arial"/>
          <w:color w:val="000000" w:themeColor="text1"/>
          <w:sz w:val="16"/>
          <w:szCs w:val="16"/>
          <w:lang w:val="en-US"/>
        </w:rPr>
        <w:t xml:space="preserve">Tax shall be deducted under section 153 at the rate 0.75% on the sale value of rice to be sold by Rice Exporters Association of Pakistan (REAP) to Utility Store Corporation, in accordance with the provisions of the agreement, signed by REAP with Ministry of Food, Agriculture and Livestock (MINFAL) on May 5, 2008: </w:t>
      </w:r>
    </w:p>
    <w:p w:rsidR="00BF2117" w:rsidRPr="00C75159" w:rsidRDefault="00BF2117" w:rsidP="008C5DFC">
      <w:pPr>
        <w:pStyle w:val="FootnoteText"/>
        <w:ind w:left="540" w:hanging="540"/>
        <w:jc w:val="both"/>
        <w:rPr>
          <w:color w:val="000000" w:themeColor="text1"/>
          <w:lang w:val="en-US"/>
        </w:rPr>
      </w:pPr>
      <w:r w:rsidRPr="00C75159">
        <w:rPr>
          <w:color w:val="000000" w:themeColor="text1"/>
          <w:sz w:val="16"/>
          <w:szCs w:val="16"/>
          <w:lang w:val="en-US"/>
        </w:rPr>
        <w:tab/>
        <w:t>Provided that this clause shall be applicable up to June 30, 2008.”</w:t>
      </w:r>
      <w:r w:rsidRPr="00C75159">
        <w:rPr>
          <w:rFonts w:cs="Arial"/>
          <w:b/>
          <w:color w:val="000000" w:themeColor="text1"/>
          <w:sz w:val="16"/>
          <w:szCs w:val="16"/>
          <w:lang w:val="en-US"/>
        </w:rPr>
        <w:tab/>
      </w:r>
    </w:p>
  </w:footnote>
  <w:footnote w:id="2063">
    <w:p w:rsidR="00BF2117" w:rsidRDefault="00BF2117" w:rsidP="007F0E98">
      <w:pPr>
        <w:autoSpaceDE w:val="0"/>
        <w:autoSpaceDN w:val="0"/>
        <w:adjustRightInd w:val="0"/>
        <w:jc w:val="both"/>
        <w:rPr>
          <w:sz w:val="16"/>
          <w:szCs w:val="16"/>
        </w:rPr>
      </w:pPr>
      <w:r w:rsidRPr="007F0E98">
        <w:rPr>
          <w:rStyle w:val="FootnoteReference"/>
          <w:sz w:val="16"/>
          <w:szCs w:val="16"/>
        </w:rPr>
        <w:footnoteRef/>
      </w:r>
      <w:r>
        <w:rPr>
          <w:sz w:val="16"/>
          <w:szCs w:val="16"/>
        </w:rPr>
        <w:t>Clause “(14)” omitted by the Finance Act, 2015. The omitted clause (14) read as follows:-</w:t>
      </w:r>
    </w:p>
    <w:p w:rsidR="00BF2117" w:rsidRDefault="00BF2117" w:rsidP="007F0E98">
      <w:pPr>
        <w:autoSpaceDE w:val="0"/>
        <w:autoSpaceDN w:val="0"/>
        <w:adjustRightInd w:val="0"/>
        <w:ind w:left="547"/>
        <w:jc w:val="both"/>
        <w:rPr>
          <w:sz w:val="20"/>
        </w:rPr>
      </w:pPr>
      <w:r>
        <w:rPr>
          <w:b/>
          <w:bCs/>
          <w:sz w:val="16"/>
          <w:szCs w:val="16"/>
        </w:rPr>
        <w:t>“</w:t>
      </w:r>
      <w:r w:rsidRPr="007F0E98">
        <w:rPr>
          <w:b/>
          <w:bCs/>
          <w:sz w:val="16"/>
          <w:szCs w:val="16"/>
        </w:rPr>
        <w:t>(14)</w:t>
      </w:r>
      <w:r w:rsidRPr="007F0E98">
        <w:rPr>
          <w:sz w:val="16"/>
          <w:szCs w:val="16"/>
        </w:rPr>
        <w:tab/>
        <w:t xml:space="preserve">In case of owners of </w:t>
      </w:r>
      <w:r w:rsidRPr="007F0E98">
        <w:rPr>
          <w:rStyle w:val="FootnoteReference"/>
          <w:sz w:val="16"/>
          <w:szCs w:val="16"/>
        </w:rPr>
        <w:footnoteRef/>
      </w:r>
      <w:r w:rsidRPr="007F0E98">
        <w:rPr>
          <w:sz w:val="16"/>
          <w:szCs w:val="16"/>
        </w:rPr>
        <w:t xml:space="preserve">[goods transport vehicles], the rate of tax as specified in clause (i) of Division III of Part IV of First Schedule shall be reduced to Rs.2 per kilogram of </w:t>
      </w:r>
      <w:r>
        <w:rPr>
          <w:sz w:val="16"/>
          <w:szCs w:val="16"/>
        </w:rPr>
        <w:t>the laden weight.”</w:t>
      </w:r>
    </w:p>
    <w:p w:rsidR="00BF2117" w:rsidRPr="007F0E98" w:rsidRDefault="00BF2117">
      <w:pPr>
        <w:pStyle w:val="FootnoteText"/>
        <w:rPr>
          <w:sz w:val="16"/>
          <w:szCs w:val="16"/>
          <w:lang w:val="en-US"/>
        </w:rPr>
      </w:pPr>
    </w:p>
  </w:footnote>
  <w:footnote w:id="2064">
    <w:p w:rsidR="00BF2117" w:rsidRDefault="00BF2117" w:rsidP="00D4182A">
      <w:pPr>
        <w:autoSpaceDE w:val="0"/>
        <w:autoSpaceDN w:val="0"/>
        <w:adjustRightInd w:val="0"/>
        <w:jc w:val="both"/>
        <w:rPr>
          <w:sz w:val="16"/>
          <w:szCs w:val="16"/>
        </w:rPr>
      </w:pPr>
      <w:r w:rsidRPr="00D4182A">
        <w:rPr>
          <w:rStyle w:val="FootnoteReference"/>
          <w:sz w:val="16"/>
          <w:szCs w:val="16"/>
        </w:rPr>
        <w:footnoteRef/>
      </w:r>
      <w:r w:rsidRPr="008E319C">
        <w:rPr>
          <w:sz w:val="16"/>
          <w:szCs w:val="16"/>
        </w:rPr>
        <w:t>Clause (14</w:t>
      </w:r>
      <w:r>
        <w:rPr>
          <w:sz w:val="16"/>
          <w:szCs w:val="16"/>
        </w:rPr>
        <w:t>A</w:t>
      </w:r>
      <w:r w:rsidRPr="008E319C">
        <w:rPr>
          <w:sz w:val="16"/>
          <w:szCs w:val="16"/>
        </w:rPr>
        <w:t>) omitted by the Finance Act, 20</w:t>
      </w:r>
      <w:r>
        <w:rPr>
          <w:sz w:val="16"/>
          <w:szCs w:val="16"/>
        </w:rPr>
        <w:t>15</w:t>
      </w:r>
      <w:r w:rsidRPr="008E319C">
        <w:rPr>
          <w:sz w:val="16"/>
          <w:szCs w:val="16"/>
        </w:rPr>
        <w:t>. The omitted clause (14</w:t>
      </w:r>
      <w:r>
        <w:rPr>
          <w:sz w:val="16"/>
          <w:szCs w:val="16"/>
        </w:rPr>
        <w:t>A</w:t>
      </w:r>
      <w:r w:rsidRPr="008E319C">
        <w:rPr>
          <w:sz w:val="16"/>
          <w:szCs w:val="16"/>
        </w:rPr>
        <w:t>) read as follows</w:t>
      </w:r>
      <w:r>
        <w:rPr>
          <w:sz w:val="16"/>
          <w:szCs w:val="16"/>
        </w:rPr>
        <w:t>:-</w:t>
      </w:r>
    </w:p>
    <w:p w:rsidR="00BF2117" w:rsidRPr="00D4182A" w:rsidRDefault="00BF2117" w:rsidP="00D4182A">
      <w:pPr>
        <w:autoSpaceDE w:val="0"/>
        <w:autoSpaceDN w:val="0"/>
        <w:adjustRightInd w:val="0"/>
        <w:ind w:left="547"/>
        <w:jc w:val="both"/>
        <w:rPr>
          <w:sz w:val="16"/>
          <w:szCs w:val="16"/>
          <w:lang w:val="en-US"/>
        </w:rPr>
      </w:pPr>
      <w:r>
        <w:rPr>
          <w:b/>
          <w:sz w:val="16"/>
          <w:szCs w:val="16"/>
        </w:rPr>
        <w:t>“(</w:t>
      </w:r>
      <w:r w:rsidRPr="00D4182A">
        <w:rPr>
          <w:b/>
          <w:sz w:val="16"/>
          <w:szCs w:val="16"/>
        </w:rPr>
        <w:t>14A</w:t>
      </w:r>
      <w:r w:rsidRPr="00D4182A">
        <w:rPr>
          <w:sz w:val="16"/>
          <w:szCs w:val="16"/>
        </w:rPr>
        <w:t>) In case of passenger transport vehicles, the rate of tax as specified in sub-clause (c) of clause (2) in Division III of Part IV of the First Schedule shall be reduced to 250 rupees per seat per annum.</w:t>
      </w:r>
      <w:r>
        <w:rPr>
          <w:sz w:val="16"/>
          <w:szCs w:val="16"/>
        </w:rPr>
        <w:t>”</w:t>
      </w:r>
    </w:p>
  </w:footnote>
  <w:footnote w:id="2065">
    <w:p w:rsidR="00BF2117" w:rsidRDefault="00BF2117" w:rsidP="007D0AB1">
      <w:pPr>
        <w:autoSpaceDE w:val="0"/>
        <w:autoSpaceDN w:val="0"/>
        <w:adjustRightInd w:val="0"/>
        <w:jc w:val="both"/>
        <w:rPr>
          <w:sz w:val="16"/>
          <w:szCs w:val="16"/>
        </w:rPr>
      </w:pPr>
      <w:r>
        <w:rPr>
          <w:rStyle w:val="FootnoteReference"/>
        </w:rPr>
        <w:footnoteRef/>
      </w:r>
      <w:r w:rsidRPr="008E319C">
        <w:rPr>
          <w:sz w:val="16"/>
          <w:szCs w:val="16"/>
        </w:rPr>
        <w:t>Clause (14</w:t>
      </w:r>
      <w:r>
        <w:rPr>
          <w:sz w:val="16"/>
          <w:szCs w:val="16"/>
        </w:rPr>
        <w:t>B</w:t>
      </w:r>
      <w:r w:rsidRPr="008E319C">
        <w:rPr>
          <w:sz w:val="16"/>
          <w:szCs w:val="16"/>
        </w:rPr>
        <w:t>) omitted by the Finance Act, 20</w:t>
      </w:r>
      <w:r>
        <w:rPr>
          <w:sz w:val="16"/>
          <w:szCs w:val="16"/>
        </w:rPr>
        <w:t>15</w:t>
      </w:r>
      <w:r w:rsidRPr="008E319C">
        <w:rPr>
          <w:sz w:val="16"/>
          <w:szCs w:val="16"/>
        </w:rPr>
        <w:t>. The omitted clause (14</w:t>
      </w:r>
      <w:r>
        <w:rPr>
          <w:sz w:val="16"/>
          <w:szCs w:val="16"/>
        </w:rPr>
        <w:t>B</w:t>
      </w:r>
      <w:r w:rsidRPr="008E319C">
        <w:rPr>
          <w:sz w:val="16"/>
          <w:szCs w:val="16"/>
        </w:rPr>
        <w:t>) read as follows</w:t>
      </w:r>
      <w:r>
        <w:rPr>
          <w:sz w:val="16"/>
          <w:szCs w:val="16"/>
        </w:rPr>
        <w:t xml:space="preserve">:- </w:t>
      </w:r>
    </w:p>
    <w:p w:rsidR="00BF2117" w:rsidRPr="007D0AB1" w:rsidRDefault="00BF2117" w:rsidP="00DC5105">
      <w:pPr>
        <w:autoSpaceDE w:val="0"/>
        <w:autoSpaceDN w:val="0"/>
        <w:adjustRightInd w:val="0"/>
        <w:ind w:firstLine="547"/>
        <w:jc w:val="both"/>
        <w:rPr>
          <w:color w:val="00B0F0"/>
          <w:sz w:val="16"/>
          <w:szCs w:val="16"/>
        </w:rPr>
      </w:pPr>
      <w:r w:rsidRPr="007D0AB1">
        <w:rPr>
          <w:sz w:val="16"/>
          <w:szCs w:val="16"/>
        </w:rPr>
        <w:t>“(</w:t>
      </w:r>
      <w:r w:rsidRPr="007D0AB1">
        <w:rPr>
          <w:b/>
          <w:sz w:val="16"/>
          <w:szCs w:val="16"/>
        </w:rPr>
        <w:t>14B)</w:t>
      </w:r>
      <w:r w:rsidRPr="007D0AB1">
        <w:rPr>
          <w:sz w:val="16"/>
          <w:szCs w:val="16"/>
        </w:rPr>
        <w:t xml:space="preserve"> In case of owners of goods transport vehicles, the rate of tax as specified in clause (i) of Division III of Pat IV of First Schedule shall be reduced to two Rupees per kilogram of the laden weight for the period commencing on the 1</w:t>
      </w:r>
      <w:r w:rsidRPr="007D0AB1">
        <w:rPr>
          <w:sz w:val="16"/>
          <w:szCs w:val="16"/>
          <w:vertAlign w:val="superscript"/>
        </w:rPr>
        <w:t>st</w:t>
      </w:r>
      <w:r w:rsidRPr="007D0AB1">
        <w:rPr>
          <w:sz w:val="16"/>
          <w:szCs w:val="16"/>
        </w:rPr>
        <w:t xml:space="preserve"> July, 2012 and ending on the 17</w:t>
      </w:r>
      <w:r w:rsidRPr="007D0AB1">
        <w:rPr>
          <w:sz w:val="16"/>
          <w:szCs w:val="16"/>
          <w:vertAlign w:val="superscript"/>
        </w:rPr>
        <w:t>th</w:t>
      </w:r>
      <w:r w:rsidRPr="007D0AB1">
        <w:rPr>
          <w:sz w:val="16"/>
          <w:szCs w:val="16"/>
        </w:rPr>
        <w:t xml:space="preserve"> November, 2012 (both days inclusive)</w:t>
      </w:r>
      <w:r w:rsidRPr="007D0AB1">
        <w:rPr>
          <w:color w:val="00B0F0"/>
          <w:sz w:val="16"/>
          <w:szCs w:val="16"/>
        </w:rPr>
        <w:t>:</w:t>
      </w:r>
    </w:p>
    <w:p w:rsidR="00BF2117" w:rsidRPr="007D0AB1" w:rsidRDefault="00BF2117" w:rsidP="007D0AB1">
      <w:pPr>
        <w:autoSpaceDE w:val="0"/>
        <w:autoSpaceDN w:val="0"/>
        <w:adjustRightInd w:val="0"/>
        <w:ind w:firstLine="547"/>
        <w:jc w:val="both"/>
        <w:rPr>
          <w:color w:val="000000" w:themeColor="text1"/>
          <w:sz w:val="16"/>
          <w:szCs w:val="16"/>
        </w:rPr>
      </w:pPr>
      <w:r w:rsidRPr="007D0AB1">
        <w:rPr>
          <w:color w:val="000000" w:themeColor="text1"/>
          <w:sz w:val="16"/>
          <w:szCs w:val="16"/>
        </w:rPr>
        <w:t>Provided that owners of the passenger transport vehicles may pay tax for the period 1</w:t>
      </w:r>
      <w:r w:rsidRPr="007D0AB1">
        <w:rPr>
          <w:color w:val="000000" w:themeColor="text1"/>
          <w:sz w:val="16"/>
          <w:szCs w:val="16"/>
          <w:vertAlign w:val="superscript"/>
        </w:rPr>
        <w:t>st</w:t>
      </w:r>
      <w:r w:rsidRPr="007D0AB1">
        <w:rPr>
          <w:color w:val="000000" w:themeColor="text1"/>
          <w:sz w:val="16"/>
          <w:szCs w:val="16"/>
        </w:rPr>
        <w:t xml:space="preserve"> day of July, 2012 to 30</w:t>
      </w:r>
      <w:r w:rsidRPr="007D0AB1">
        <w:rPr>
          <w:color w:val="000000" w:themeColor="text1"/>
          <w:sz w:val="16"/>
          <w:szCs w:val="16"/>
          <w:vertAlign w:val="superscript"/>
        </w:rPr>
        <w:t>th</w:t>
      </w:r>
      <w:r w:rsidRPr="007D0AB1">
        <w:rPr>
          <w:color w:val="000000" w:themeColor="text1"/>
          <w:sz w:val="16"/>
          <w:szCs w:val="16"/>
        </w:rPr>
        <w:t xml:space="preserve"> day of June, 2013 at the rates under this clause, if the tax is paid by the 30</w:t>
      </w:r>
      <w:r w:rsidRPr="007D0AB1">
        <w:rPr>
          <w:color w:val="000000" w:themeColor="text1"/>
          <w:sz w:val="16"/>
          <w:szCs w:val="16"/>
          <w:vertAlign w:val="superscript"/>
        </w:rPr>
        <w:t>th</w:t>
      </w:r>
      <w:r w:rsidRPr="007D0AB1">
        <w:rPr>
          <w:color w:val="000000" w:themeColor="text1"/>
          <w:sz w:val="16"/>
          <w:szCs w:val="16"/>
        </w:rPr>
        <w:t xml:space="preserve"> day of June, 2014:</w:t>
      </w:r>
    </w:p>
    <w:p w:rsidR="00BF2117" w:rsidRPr="007D0AB1" w:rsidRDefault="00BF2117" w:rsidP="007D0AB1">
      <w:pPr>
        <w:pStyle w:val="FootnoteText"/>
        <w:ind w:hanging="173"/>
        <w:rPr>
          <w:color w:val="000000" w:themeColor="text1"/>
          <w:sz w:val="16"/>
          <w:szCs w:val="16"/>
          <w:lang w:val="en-US"/>
        </w:rPr>
      </w:pPr>
      <w:r w:rsidRPr="007D0AB1">
        <w:rPr>
          <w:color w:val="000000" w:themeColor="text1"/>
          <w:sz w:val="16"/>
          <w:szCs w:val="16"/>
        </w:rPr>
        <w:t>Provided further that the tax already paid from 1</w:t>
      </w:r>
      <w:r w:rsidRPr="007D0AB1">
        <w:rPr>
          <w:color w:val="000000" w:themeColor="text1"/>
          <w:sz w:val="16"/>
          <w:szCs w:val="16"/>
          <w:vertAlign w:val="superscript"/>
        </w:rPr>
        <w:t>st</w:t>
      </w:r>
      <w:r w:rsidRPr="007D0AB1">
        <w:rPr>
          <w:color w:val="000000" w:themeColor="text1"/>
          <w:sz w:val="16"/>
          <w:szCs w:val="16"/>
        </w:rPr>
        <w:t xml:space="preserve"> day of July, 2012, as per rates specified in Division III of part IV of the First Sc</w:t>
      </w:r>
      <w:r>
        <w:rPr>
          <w:color w:val="000000" w:themeColor="text1"/>
          <w:sz w:val="16"/>
          <w:szCs w:val="16"/>
        </w:rPr>
        <w:t>hedule, shall not be refunded.”</w:t>
      </w:r>
    </w:p>
  </w:footnote>
  <w:footnote w:id="2066">
    <w:p w:rsidR="00BF2117" w:rsidRPr="008E319C" w:rsidRDefault="00BF2117" w:rsidP="008C5DFC">
      <w:pPr>
        <w:pStyle w:val="FootnoteText"/>
        <w:jc w:val="both"/>
        <w:rPr>
          <w:sz w:val="16"/>
          <w:szCs w:val="16"/>
        </w:rPr>
      </w:pPr>
      <w:r w:rsidRPr="008E319C">
        <w:rPr>
          <w:rStyle w:val="FootnoteReference"/>
          <w:rFonts w:cs="Arial"/>
          <w:sz w:val="16"/>
          <w:szCs w:val="16"/>
        </w:rPr>
        <w:footnoteRef/>
      </w:r>
      <w:r w:rsidRPr="008E319C">
        <w:rPr>
          <w:sz w:val="16"/>
          <w:szCs w:val="16"/>
        </w:rPr>
        <w:t xml:space="preserve"> Clause (14) omitted by the Finance Act, 2008. The omitted clause (14) read as follows:</w:t>
      </w:r>
    </w:p>
    <w:p w:rsidR="00BF2117" w:rsidRPr="008E319C" w:rsidRDefault="00BF2117" w:rsidP="008C5DFC">
      <w:pPr>
        <w:widowControl w:val="0"/>
        <w:ind w:left="270" w:hanging="90"/>
        <w:jc w:val="both"/>
        <w:rPr>
          <w:snapToGrid w:val="0"/>
          <w:sz w:val="16"/>
          <w:szCs w:val="16"/>
        </w:rPr>
      </w:pPr>
      <w:r w:rsidRPr="008E319C">
        <w:rPr>
          <w:sz w:val="16"/>
          <w:szCs w:val="16"/>
        </w:rPr>
        <w:t>“</w:t>
      </w:r>
      <w:r w:rsidRPr="008E319C">
        <w:rPr>
          <w:b/>
          <w:bCs/>
          <w:snapToGrid w:val="0"/>
          <w:sz w:val="16"/>
          <w:szCs w:val="16"/>
        </w:rPr>
        <w:t>(14)</w:t>
      </w:r>
      <w:r w:rsidRPr="008E319C">
        <w:rPr>
          <w:snapToGrid w:val="0"/>
          <w:sz w:val="16"/>
          <w:szCs w:val="16"/>
        </w:rPr>
        <w:tab/>
        <w:t xml:space="preserve"> Tax shall be deducted under section 154 at the rate of 0.75% from foreign exchange proceeds on account of exports of –</w:t>
      </w:r>
    </w:p>
    <w:p w:rsidR="00BF2117" w:rsidRPr="008E319C" w:rsidRDefault="00BF2117" w:rsidP="008C5DFC">
      <w:pPr>
        <w:widowControl w:val="0"/>
        <w:jc w:val="both"/>
        <w:rPr>
          <w:snapToGrid w:val="0"/>
          <w:sz w:val="16"/>
          <w:szCs w:val="16"/>
        </w:rPr>
      </w:pPr>
      <w:r w:rsidRPr="008E319C">
        <w:rPr>
          <w:snapToGrid w:val="0"/>
          <w:sz w:val="16"/>
          <w:szCs w:val="16"/>
        </w:rPr>
        <w:tab/>
        <w:t xml:space="preserve">(i) </w:t>
      </w:r>
      <w:r w:rsidRPr="008E319C">
        <w:rPr>
          <w:snapToGrid w:val="0"/>
          <w:sz w:val="16"/>
          <w:szCs w:val="16"/>
        </w:rPr>
        <w:tab/>
        <w:t>rice marketed under a brand name up to fifty kilograms packs;</w:t>
      </w:r>
    </w:p>
    <w:p w:rsidR="00BF2117" w:rsidRPr="008E319C" w:rsidRDefault="00BF2117" w:rsidP="008C5DFC">
      <w:pPr>
        <w:widowControl w:val="0"/>
        <w:jc w:val="both"/>
        <w:rPr>
          <w:snapToGrid w:val="0"/>
          <w:sz w:val="16"/>
          <w:szCs w:val="16"/>
        </w:rPr>
      </w:pPr>
      <w:r w:rsidRPr="008E319C">
        <w:rPr>
          <w:snapToGrid w:val="0"/>
          <w:sz w:val="16"/>
          <w:szCs w:val="16"/>
        </w:rPr>
        <w:tab/>
        <w:t>(ii)</w:t>
      </w:r>
      <w:r w:rsidRPr="008E319C">
        <w:rPr>
          <w:snapToGrid w:val="0"/>
          <w:sz w:val="16"/>
          <w:szCs w:val="16"/>
        </w:rPr>
        <w:tab/>
        <w:t>canned and bottled fish including sea-food and other food items; and</w:t>
      </w:r>
    </w:p>
    <w:p w:rsidR="00BF2117" w:rsidRPr="008E319C" w:rsidRDefault="00BF2117" w:rsidP="008C5DFC">
      <w:pPr>
        <w:pStyle w:val="PlainText"/>
        <w:widowControl w:val="0"/>
        <w:jc w:val="both"/>
        <w:rPr>
          <w:sz w:val="16"/>
          <w:szCs w:val="16"/>
        </w:rPr>
      </w:pPr>
      <w:r w:rsidRPr="008E319C">
        <w:rPr>
          <w:rFonts w:ascii="Arial" w:hAnsi="Arial" w:cs="Arial"/>
          <w:snapToGrid w:val="0"/>
          <w:sz w:val="16"/>
          <w:szCs w:val="16"/>
        </w:rPr>
        <w:tab/>
        <w:t>(iii)</w:t>
      </w:r>
      <w:r w:rsidRPr="008E319C">
        <w:rPr>
          <w:rFonts w:ascii="Arial" w:hAnsi="Arial" w:cs="Arial"/>
          <w:snapToGrid w:val="0"/>
          <w:sz w:val="16"/>
          <w:szCs w:val="16"/>
        </w:rPr>
        <w:tab/>
        <w:t>precious and semi-precious stones whether uncut, cut, or polished.”</w:t>
      </w:r>
    </w:p>
  </w:footnote>
  <w:footnote w:id="2067">
    <w:p w:rsidR="00BF2117" w:rsidRPr="008E319C" w:rsidRDefault="00BF2117" w:rsidP="008C5DFC">
      <w:pPr>
        <w:pStyle w:val="FootnoteText"/>
        <w:jc w:val="both"/>
        <w:rPr>
          <w:sz w:val="16"/>
          <w:szCs w:val="16"/>
        </w:rPr>
      </w:pPr>
      <w:r w:rsidRPr="008E319C">
        <w:rPr>
          <w:rStyle w:val="FootnoteReference"/>
          <w:rFonts w:cs="Arial"/>
          <w:sz w:val="16"/>
          <w:szCs w:val="16"/>
        </w:rPr>
        <w:footnoteRef/>
      </w:r>
      <w:r w:rsidRPr="008E319C">
        <w:rPr>
          <w:sz w:val="16"/>
          <w:szCs w:val="16"/>
        </w:rPr>
        <w:t xml:space="preserve"> Clause (15) omitted by the Finance Act, 2008. The omitted clause (15) read as follows:</w:t>
      </w:r>
    </w:p>
    <w:p w:rsidR="00BF2117" w:rsidRPr="008E319C" w:rsidRDefault="00BF2117" w:rsidP="00AA4BF8">
      <w:pPr>
        <w:pStyle w:val="BodyTextIndent"/>
        <w:ind w:left="270" w:hanging="90"/>
        <w:jc w:val="both"/>
        <w:rPr>
          <w:sz w:val="16"/>
          <w:szCs w:val="16"/>
        </w:rPr>
      </w:pPr>
      <w:r w:rsidRPr="008E319C">
        <w:rPr>
          <w:sz w:val="16"/>
          <w:szCs w:val="16"/>
        </w:rPr>
        <w:t>“</w:t>
      </w:r>
      <w:r w:rsidRPr="008E319C">
        <w:rPr>
          <w:b/>
          <w:bCs/>
          <w:sz w:val="16"/>
          <w:szCs w:val="16"/>
        </w:rPr>
        <w:t>(15)</w:t>
      </w:r>
      <w:r w:rsidRPr="008E319C">
        <w:rPr>
          <w:b/>
          <w:bCs/>
          <w:sz w:val="16"/>
          <w:szCs w:val="16"/>
        </w:rPr>
        <w:tab/>
      </w:r>
      <w:r w:rsidRPr="008E319C">
        <w:rPr>
          <w:sz w:val="16"/>
          <w:szCs w:val="16"/>
        </w:rPr>
        <w:t>Tax shall be deducted under section 154 at the rate of 0.75% from foreign exchange proceeds on account of exports of fish and fisheries products packed in retail packs of five hundred grams to two kilograms.”</w:t>
      </w:r>
    </w:p>
  </w:footnote>
  <w:footnote w:id="2068">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Clause (16) omitted by the Finance Act, 2008. The omitted clause (16) read as follows:</w:t>
      </w:r>
    </w:p>
    <w:p w:rsidR="00BF2117" w:rsidRDefault="00BF2117" w:rsidP="00AA4BF8">
      <w:pPr>
        <w:widowControl w:val="0"/>
        <w:ind w:left="270" w:hanging="90"/>
        <w:jc w:val="both"/>
      </w:pPr>
      <w:r w:rsidRPr="008E319C">
        <w:rPr>
          <w:sz w:val="16"/>
          <w:szCs w:val="16"/>
        </w:rPr>
        <w:t>“</w:t>
      </w:r>
      <w:r w:rsidRPr="008E319C">
        <w:rPr>
          <w:b/>
          <w:bCs/>
          <w:sz w:val="16"/>
          <w:szCs w:val="16"/>
        </w:rPr>
        <w:t>(16)</w:t>
      </w:r>
      <w:r w:rsidRPr="008E319C">
        <w:rPr>
          <w:b/>
          <w:bCs/>
          <w:sz w:val="16"/>
          <w:szCs w:val="16"/>
        </w:rPr>
        <w:tab/>
      </w:r>
      <w:r w:rsidRPr="008E319C">
        <w:rPr>
          <w:sz w:val="16"/>
          <w:szCs w:val="16"/>
        </w:rPr>
        <w:t xml:space="preserve"> In the case of a non-resident company, rate of deduction of tax</w:t>
      </w:r>
      <w:r w:rsidRPr="00412620">
        <w:rPr>
          <w:sz w:val="16"/>
          <w:szCs w:val="16"/>
        </w:rPr>
        <w:t xml:space="preserve"> under section 150 on dividends received from a company engaged exclusively in mining operations, other than petroleum, shall be 7.5 </w:t>
      </w:r>
      <w:r>
        <w:rPr>
          <w:sz w:val="16"/>
          <w:szCs w:val="16"/>
        </w:rPr>
        <w:t>per cent</w:t>
      </w:r>
      <w:r w:rsidRPr="00412620">
        <w:rPr>
          <w:sz w:val="16"/>
          <w:szCs w:val="16"/>
        </w:rPr>
        <w:t xml:space="preserve"> of the gross amount of dividend.”</w:t>
      </w:r>
    </w:p>
  </w:footnote>
  <w:footnote w:id="2069">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lang w:val="en-US"/>
        </w:rPr>
        <w:t>Clause (17) omitted by Finance Act, 2014. The omitted clause (17) read as follows:</w:t>
      </w:r>
    </w:p>
    <w:p w:rsidR="00BF2117" w:rsidRPr="00C75159" w:rsidRDefault="00BF2117" w:rsidP="001C387B">
      <w:pPr>
        <w:widowControl w:val="0"/>
        <w:jc w:val="both"/>
        <w:rPr>
          <w:color w:val="000000" w:themeColor="text1"/>
          <w:sz w:val="16"/>
          <w:szCs w:val="16"/>
          <w:lang w:val="en-US"/>
        </w:rPr>
      </w:pPr>
      <w:r w:rsidRPr="00C75159">
        <w:rPr>
          <w:color w:val="000000" w:themeColor="text1"/>
          <w:sz w:val="16"/>
          <w:szCs w:val="16"/>
          <w:lang w:val="en-US"/>
        </w:rPr>
        <w:tab/>
        <w:t>“</w:t>
      </w:r>
      <w:r w:rsidRPr="00C75159">
        <w:rPr>
          <w:rFonts w:cs="Arial"/>
          <w:b/>
          <w:snapToGrid w:val="0"/>
          <w:color w:val="000000" w:themeColor="text1"/>
          <w:sz w:val="16"/>
          <w:szCs w:val="16"/>
        </w:rPr>
        <w:t>(17)</w:t>
      </w:r>
      <w:r w:rsidRPr="00C75159">
        <w:rPr>
          <w:snapToGrid w:val="0"/>
          <w:color w:val="000000" w:themeColor="text1"/>
          <w:sz w:val="16"/>
          <w:szCs w:val="16"/>
        </w:rPr>
        <w:tab/>
        <w:t xml:space="preserve"> The rates of tax as specified in Division III of Part-I of First Schedule shall be reduced to 7.5% in case of dividends declared or distributed by purchaser of a power project privatised by WAPDA.”</w:t>
      </w:r>
    </w:p>
  </w:footnote>
  <w:footnote w:id="2070">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Added by the Finance Act, 2002.</w:t>
      </w:r>
    </w:p>
  </w:footnote>
  <w:footnote w:id="2071">
    <w:p w:rsidR="00BF2117" w:rsidRPr="00C75159" w:rsidRDefault="00BF2117" w:rsidP="00AA4BF8">
      <w:pPr>
        <w:pStyle w:val="FootnoteText"/>
        <w:rPr>
          <w:color w:val="000000" w:themeColor="text1"/>
          <w:sz w:val="16"/>
          <w:szCs w:val="16"/>
          <w:lang w:val="en-US"/>
        </w:rPr>
      </w:pPr>
      <w:r w:rsidRPr="00C75159">
        <w:rPr>
          <w:rStyle w:val="FootnoteReference"/>
          <w:color w:val="000000" w:themeColor="text1"/>
          <w:sz w:val="16"/>
          <w:szCs w:val="16"/>
        </w:rPr>
        <w:footnoteRef/>
      </w:r>
      <w:r w:rsidRPr="00C75159">
        <w:rPr>
          <w:color w:val="000000" w:themeColor="text1"/>
          <w:sz w:val="16"/>
          <w:szCs w:val="16"/>
        </w:rPr>
        <w:t>Inserted</w:t>
      </w:r>
      <w:r w:rsidRPr="00C75159">
        <w:rPr>
          <w:color w:val="000000" w:themeColor="text1"/>
          <w:sz w:val="16"/>
          <w:szCs w:val="16"/>
          <w:lang w:val="en-US"/>
        </w:rPr>
        <w:t xml:space="preserve"> by the Finance Act, 2014.</w:t>
      </w:r>
    </w:p>
  </w:footnote>
  <w:footnote w:id="2072">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Inserted</w:t>
      </w:r>
      <w:r w:rsidRPr="00D47C20">
        <w:rPr>
          <w:color w:val="0070C0"/>
          <w:sz w:val="16"/>
          <w:szCs w:val="16"/>
          <w:lang w:val="en-US"/>
        </w:rPr>
        <w:t xml:space="preserve"> by the Finance Act, 2016.</w:t>
      </w:r>
    </w:p>
  </w:footnote>
  <w:footnote w:id="2073">
    <w:p w:rsidR="00BF2117" w:rsidRPr="00C75159" w:rsidRDefault="00BF2117" w:rsidP="001C387B">
      <w:pPr>
        <w:widowControl w:val="0"/>
        <w:jc w:val="both"/>
        <w:rPr>
          <w:color w:val="000000" w:themeColor="text1"/>
          <w:sz w:val="16"/>
          <w:szCs w:val="16"/>
        </w:rPr>
      </w:pPr>
      <w:r w:rsidRPr="00C75159">
        <w:rPr>
          <w:rStyle w:val="FootnoteReference"/>
          <w:color w:val="000000" w:themeColor="text1"/>
          <w:sz w:val="16"/>
          <w:szCs w:val="16"/>
        </w:rPr>
        <w:footnoteRef/>
      </w:r>
      <w:r w:rsidRPr="00C75159">
        <w:rPr>
          <w:color w:val="000000" w:themeColor="text1"/>
          <w:sz w:val="16"/>
          <w:szCs w:val="16"/>
        </w:rPr>
        <w:t xml:space="preserve"> Clause (19) omitted by the Finance Act, 2014. The omitted clause (19) read as follows:</w:t>
      </w:r>
    </w:p>
    <w:p w:rsidR="00BF2117" w:rsidRPr="00C75159" w:rsidRDefault="00BF2117" w:rsidP="00120436">
      <w:pPr>
        <w:widowControl w:val="0"/>
        <w:ind w:firstLine="547"/>
        <w:jc w:val="both"/>
        <w:rPr>
          <w:b/>
          <w:bCs/>
          <w:snapToGrid w:val="0"/>
          <w:color w:val="000000" w:themeColor="text1"/>
          <w:sz w:val="16"/>
          <w:szCs w:val="16"/>
        </w:rPr>
      </w:pPr>
      <w:r w:rsidRPr="00C75159">
        <w:rPr>
          <w:color w:val="000000" w:themeColor="text1"/>
          <w:sz w:val="16"/>
          <w:szCs w:val="16"/>
        </w:rPr>
        <w:t xml:space="preserve"> “</w:t>
      </w:r>
      <w:r w:rsidRPr="00C75159">
        <w:rPr>
          <w:b/>
          <w:bCs/>
          <w:snapToGrid w:val="0"/>
          <w:color w:val="000000" w:themeColor="text1"/>
          <w:sz w:val="16"/>
          <w:szCs w:val="16"/>
        </w:rPr>
        <w:t xml:space="preserve">(19)  </w:t>
      </w:r>
      <w:r w:rsidRPr="00C75159">
        <w:rPr>
          <w:snapToGrid w:val="0"/>
          <w:color w:val="000000" w:themeColor="text1"/>
          <w:sz w:val="16"/>
          <w:szCs w:val="16"/>
        </w:rPr>
        <w:t>In respect of tax year commencing on or after the first day of July, 2002,the rate of income tax in respect of income of amalgamated company for its different businesses shall be the same as applicable to such businesses in the relevant tax year for the tax year in which amalgamation takes place and two tax years next following.”</w:t>
      </w:r>
    </w:p>
    <w:p w:rsidR="00BF2117" w:rsidRPr="00C75159" w:rsidRDefault="00BF2117">
      <w:pPr>
        <w:pStyle w:val="FootnoteText"/>
        <w:rPr>
          <w:color w:val="000000" w:themeColor="text1"/>
          <w:sz w:val="16"/>
          <w:szCs w:val="16"/>
          <w:lang w:val="en-US"/>
        </w:rPr>
      </w:pPr>
    </w:p>
  </w:footnote>
  <w:footnote w:id="2074">
    <w:p w:rsidR="00BF2117" w:rsidRPr="00C75159" w:rsidRDefault="00BF2117" w:rsidP="00BD18B2">
      <w:pPr>
        <w:widowControl w:val="0"/>
        <w:jc w:val="both"/>
        <w:rPr>
          <w:color w:val="000000" w:themeColor="text1"/>
          <w:sz w:val="16"/>
          <w:szCs w:val="16"/>
        </w:rPr>
      </w:pPr>
      <w:r w:rsidRPr="00C75159">
        <w:rPr>
          <w:rStyle w:val="FootnoteReference"/>
          <w:color w:val="000000" w:themeColor="text1"/>
          <w:sz w:val="16"/>
          <w:szCs w:val="16"/>
        </w:rPr>
        <w:footnoteRef/>
      </w:r>
      <w:r w:rsidRPr="00C75159">
        <w:rPr>
          <w:color w:val="000000" w:themeColor="text1"/>
          <w:sz w:val="16"/>
          <w:szCs w:val="16"/>
        </w:rPr>
        <w:t xml:space="preserve"> Clause (20) omitted by the Finance Act, 2014. The omitted clause (20) read as follows:</w:t>
      </w:r>
    </w:p>
    <w:p w:rsidR="00BF2117" w:rsidRPr="00C75159" w:rsidRDefault="00BF2117" w:rsidP="00BD18B2">
      <w:pPr>
        <w:pStyle w:val="FootnoteText"/>
        <w:ind w:left="0" w:firstLine="547"/>
        <w:rPr>
          <w:color w:val="000000" w:themeColor="text1"/>
          <w:sz w:val="16"/>
          <w:szCs w:val="16"/>
          <w:lang w:val="en-US"/>
        </w:rPr>
      </w:pPr>
      <w:r w:rsidRPr="00C75159">
        <w:rPr>
          <w:b/>
          <w:bCs/>
          <w:color w:val="000000" w:themeColor="text1"/>
          <w:sz w:val="16"/>
          <w:szCs w:val="16"/>
        </w:rPr>
        <w:t>“(20)</w:t>
      </w:r>
      <w:r w:rsidRPr="00C75159">
        <w:rPr>
          <w:color w:val="000000" w:themeColor="text1"/>
          <w:sz w:val="16"/>
          <w:szCs w:val="16"/>
        </w:rPr>
        <w:t xml:space="preserve">  The rates of tax as specified in clause (b) of Division-III of Part-I of First Schedule shall be reduced to 7.5% in case of dividend declared or distributed on shares of a company set up for power generation.”</w:t>
      </w:r>
    </w:p>
  </w:footnote>
  <w:footnote w:id="2075">
    <w:p w:rsidR="00BF2117" w:rsidRPr="00275ECD" w:rsidRDefault="00BF2117">
      <w:pPr>
        <w:pStyle w:val="FootnoteText"/>
        <w:rPr>
          <w:color w:val="000000" w:themeColor="text1"/>
          <w:sz w:val="16"/>
          <w:szCs w:val="16"/>
        </w:rPr>
      </w:pPr>
      <w:r w:rsidRPr="00275ECD">
        <w:rPr>
          <w:rStyle w:val="FootnoteReference"/>
          <w:sz w:val="16"/>
          <w:szCs w:val="16"/>
        </w:rPr>
        <w:footnoteRef/>
      </w:r>
      <w:r w:rsidRPr="00275ECD">
        <w:rPr>
          <w:color w:val="000000" w:themeColor="text1"/>
          <w:sz w:val="16"/>
          <w:szCs w:val="16"/>
        </w:rPr>
        <w:t>Clause (2</w:t>
      </w:r>
      <w:r>
        <w:rPr>
          <w:color w:val="000000" w:themeColor="text1"/>
          <w:sz w:val="16"/>
          <w:szCs w:val="16"/>
        </w:rPr>
        <w:t>1</w:t>
      </w:r>
      <w:r w:rsidRPr="00275ECD">
        <w:rPr>
          <w:color w:val="000000" w:themeColor="text1"/>
          <w:sz w:val="16"/>
          <w:szCs w:val="16"/>
        </w:rPr>
        <w:t>) omitted by the Finance Act, 201</w:t>
      </w:r>
      <w:r>
        <w:rPr>
          <w:color w:val="000000" w:themeColor="text1"/>
          <w:sz w:val="16"/>
          <w:szCs w:val="16"/>
        </w:rPr>
        <w:t>5</w:t>
      </w:r>
      <w:r w:rsidRPr="00275ECD">
        <w:rPr>
          <w:color w:val="000000" w:themeColor="text1"/>
          <w:sz w:val="16"/>
          <w:szCs w:val="16"/>
        </w:rPr>
        <w:t>. The omitted clause (2</w:t>
      </w:r>
      <w:r>
        <w:rPr>
          <w:color w:val="000000" w:themeColor="text1"/>
          <w:sz w:val="16"/>
          <w:szCs w:val="16"/>
        </w:rPr>
        <w:t>1</w:t>
      </w:r>
      <w:r w:rsidRPr="00275ECD">
        <w:rPr>
          <w:color w:val="000000" w:themeColor="text1"/>
          <w:sz w:val="16"/>
          <w:szCs w:val="16"/>
        </w:rPr>
        <w:t>) read as follows:</w:t>
      </w:r>
    </w:p>
    <w:p w:rsidR="00BF2117" w:rsidRPr="00275ECD" w:rsidRDefault="00BF2117" w:rsidP="00275ECD">
      <w:pPr>
        <w:jc w:val="both"/>
        <w:rPr>
          <w:sz w:val="16"/>
          <w:szCs w:val="16"/>
        </w:rPr>
      </w:pPr>
      <w:r>
        <w:rPr>
          <w:b/>
          <w:bCs/>
          <w:sz w:val="16"/>
          <w:szCs w:val="16"/>
        </w:rPr>
        <w:t>“</w:t>
      </w:r>
      <w:r w:rsidRPr="00275ECD">
        <w:rPr>
          <w:b/>
          <w:bCs/>
          <w:sz w:val="16"/>
          <w:szCs w:val="16"/>
        </w:rPr>
        <w:t xml:space="preserve">(21)  </w:t>
      </w:r>
      <w:r w:rsidRPr="00275ECD">
        <w:rPr>
          <w:sz w:val="16"/>
          <w:szCs w:val="16"/>
        </w:rPr>
        <w:t>In the case of any resident person engaged in the business of shipping, a presumptive income tax shall be charged in the following manner, namely:-</w:t>
      </w:r>
    </w:p>
    <w:p w:rsidR="00BF2117" w:rsidRPr="00275ECD" w:rsidRDefault="00BF2117" w:rsidP="00275ECD">
      <w:pPr>
        <w:ind w:left="450" w:hanging="270"/>
        <w:jc w:val="both"/>
        <w:rPr>
          <w:sz w:val="16"/>
          <w:szCs w:val="16"/>
        </w:rPr>
      </w:pPr>
      <w:r w:rsidRPr="00275ECD">
        <w:rPr>
          <w:sz w:val="16"/>
          <w:szCs w:val="16"/>
        </w:rPr>
        <w:t xml:space="preserve">(a) </w:t>
      </w:r>
      <w:r w:rsidRPr="00275ECD">
        <w:rPr>
          <w:sz w:val="16"/>
          <w:szCs w:val="16"/>
        </w:rPr>
        <w:tab/>
        <w:t>ships and all floating crafts including tugs, dredgers, survey vessels and other specialized craft purchased or bare-boat chartered and flying Pakistan flag shall pay tonnage tax of an amount equivalent to one US $ per gross registered tonnage per annum; and</w:t>
      </w:r>
    </w:p>
    <w:p w:rsidR="00BF2117" w:rsidRPr="00275ECD" w:rsidRDefault="00BF2117" w:rsidP="00275ECD">
      <w:pPr>
        <w:ind w:left="450" w:hanging="270"/>
        <w:jc w:val="both"/>
        <w:rPr>
          <w:sz w:val="16"/>
          <w:szCs w:val="16"/>
        </w:rPr>
      </w:pPr>
      <w:r w:rsidRPr="00275ECD">
        <w:rPr>
          <w:sz w:val="16"/>
          <w:szCs w:val="16"/>
        </w:rPr>
        <w:t xml:space="preserve">(b) </w:t>
      </w:r>
      <w:r w:rsidRPr="00275ECD">
        <w:rPr>
          <w:sz w:val="16"/>
          <w:szCs w:val="16"/>
        </w:rPr>
        <w:tab/>
        <w:t>ships, vessels and all floating crafts including tugs, dredgers, survey vessels and other specialized craft not registered in Pakistan and hired under any charter other than bare-boat charter shall pay tonnage tax of an amount equivalent to fifteen US cents per tonne of gross registered tonnage per chartered voyage provided that such tax shall not exceed one US $ per tonne of gross registered tonnage per annum:</w:t>
      </w:r>
    </w:p>
    <w:p w:rsidR="00BF2117" w:rsidRPr="00275ECD" w:rsidRDefault="00BF2117" w:rsidP="00275ECD">
      <w:pPr>
        <w:ind w:left="900" w:hanging="270"/>
        <w:jc w:val="both"/>
        <w:rPr>
          <w:sz w:val="16"/>
          <w:szCs w:val="16"/>
        </w:rPr>
      </w:pPr>
      <w:r w:rsidRPr="00275ECD">
        <w:rPr>
          <w:sz w:val="16"/>
          <w:szCs w:val="16"/>
        </w:rPr>
        <w:t>Provided that the reduction under this clause shall not be available after the 30</w:t>
      </w:r>
      <w:r w:rsidRPr="00275ECD">
        <w:rPr>
          <w:sz w:val="16"/>
          <w:szCs w:val="16"/>
          <w:vertAlign w:val="superscript"/>
        </w:rPr>
        <w:t>th</w:t>
      </w:r>
      <w:r w:rsidRPr="00275ECD">
        <w:rPr>
          <w:sz w:val="16"/>
          <w:szCs w:val="16"/>
        </w:rPr>
        <w:t xml:space="preserve"> June, 2020.</w:t>
      </w:r>
    </w:p>
    <w:p w:rsidR="00BF2117" w:rsidRPr="00275ECD" w:rsidRDefault="00BF2117" w:rsidP="00275ECD">
      <w:pPr>
        <w:pStyle w:val="FootnoteText"/>
        <w:ind w:left="450" w:firstLine="540"/>
        <w:jc w:val="both"/>
        <w:rPr>
          <w:sz w:val="16"/>
          <w:szCs w:val="16"/>
          <w:lang w:val="en-US"/>
        </w:rPr>
      </w:pPr>
      <w:r w:rsidRPr="00275ECD">
        <w:rPr>
          <w:i/>
          <w:iCs/>
          <w:sz w:val="16"/>
          <w:szCs w:val="16"/>
        </w:rPr>
        <w:t>Explanation</w:t>
      </w:r>
      <w:r w:rsidRPr="00275ECD">
        <w:rPr>
          <w:b/>
          <w:bCs/>
          <w:sz w:val="16"/>
          <w:szCs w:val="16"/>
        </w:rPr>
        <w:t>.-</w:t>
      </w:r>
      <w:r w:rsidRPr="00275ECD">
        <w:rPr>
          <w:sz w:val="16"/>
          <w:szCs w:val="16"/>
        </w:rPr>
        <w:t xml:space="preserve"> For the purpose of this clause the expression “equivalent amount” means the rupee equivalent of a US dollar according to the exchange rate prevalent on the first day of December in the case of a company and the first day of September in other cases in</w:t>
      </w:r>
      <w:r>
        <w:rPr>
          <w:sz w:val="16"/>
          <w:szCs w:val="16"/>
        </w:rPr>
        <w:t xml:space="preserve"> the relevant assessment year.”</w:t>
      </w:r>
    </w:p>
  </w:footnote>
  <w:footnote w:id="2076">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Clause (22) omitted by the Finance Act, 2007. The omitted clause (22) read as follows;</w:t>
      </w:r>
    </w:p>
    <w:p w:rsidR="00BF2117" w:rsidRPr="008E319C" w:rsidRDefault="00BF2117" w:rsidP="00AA4BF8">
      <w:pPr>
        <w:pStyle w:val="FootnoteText"/>
        <w:ind w:left="180" w:firstLine="0"/>
        <w:jc w:val="both"/>
        <w:rPr>
          <w:sz w:val="16"/>
          <w:szCs w:val="16"/>
        </w:rPr>
      </w:pPr>
      <w:r w:rsidRPr="008E319C">
        <w:rPr>
          <w:sz w:val="16"/>
          <w:szCs w:val="16"/>
        </w:rPr>
        <w:t>“</w:t>
      </w:r>
      <w:r w:rsidRPr="008E319C">
        <w:rPr>
          <w:snapToGrid w:val="0"/>
          <w:sz w:val="16"/>
          <w:szCs w:val="16"/>
        </w:rPr>
        <w:t>[</w:t>
      </w:r>
      <w:r w:rsidRPr="008E319C">
        <w:rPr>
          <w:b/>
          <w:bCs/>
          <w:snapToGrid w:val="0"/>
          <w:sz w:val="16"/>
          <w:szCs w:val="16"/>
        </w:rPr>
        <w:t xml:space="preserve">(22) </w:t>
      </w:r>
      <w:r w:rsidRPr="008E319C">
        <w:rPr>
          <w:b/>
          <w:bCs/>
          <w:snapToGrid w:val="0"/>
          <w:sz w:val="16"/>
          <w:szCs w:val="16"/>
        </w:rPr>
        <w:tab/>
      </w:r>
      <w:r w:rsidRPr="008E319C">
        <w:rPr>
          <w:snapToGrid w:val="0"/>
          <w:sz w:val="16"/>
          <w:szCs w:val="16"/>
        </w:rPr>
        <w:t>In respect of companies getting enlisted on any stock exchange in Pakistan during the period first July, 2005 to thirtieth June, 2006, the rate of income tax shall be reduced by 1%.]”</w:t>
      </w:r>
    </w:p>
  </w:footnote>
  <w:footnote w:id="2077">
    <w:p w:rsidR="00BF2117" w:rsidRPr="00C75159" w:rsidRDefault="00BF2117" w:rsidP="000A7DDF">
      <w:pPr>
        <w:widowControl w:val="0"/>
        <w:jc w:val="both"/>
        <w:rPr>
          <w:color w:val="000000" w:themeColor="text1"/>
          <w:sz w:val="16"/>
          <w:szCs w:val="16"/>
        </w:rPr>
      </w:pPr>
      <w:r w:rsidRPr="00C75159">
        <w:rPr>
          <w:rStyle w:val="FootnoteReference"/>
          <w:color w:val="000000" w:themeColor="text1"/>
          <w:sz w:val="16"/>
          <w:szCs w:val="16"/>
        </w:rPr>
        <w:footnoteRef/>
      </w:r>
      <w:r w:rsidRPr="00C75159">
        <w:rPr>
          <w:color w:val="000000" w:themeColor="text1"/>
          <w:sz w:val="16"/>
          <w:szCs w:val="16"/>
        </w:rPr>
        <w:t xml:space="preserve"> Clause (23) omitted by the Finance Act, 2014. The omitted clause (23) read as follows:</w:t>
      </w:r>
    </w:p>
    <w:p w:rsidR="00BF2117" w:rsidRPr="00C75159" w:rsidRDefault="00BF2117" w:rsidP="00393377">
      <w:pPr>
        <w:ind w:firstLine="547"/>
        <w:jc w:val="both"/>
        <w:rPr>
          <w:color w:val="000000" w:themeColor="text1"/>
          <w:sz w:val="16"/>
          <w:szCs w:val="16"/>
          <w:lang w:val="en-US"/>
        </w:rPr>
      </w:pPr>
      <w:r w:rsidRPr="00C75159">
        <w:rPr>
          <w:b/>
          <w:bCs/>
          <w:snapToGrid w:val="0"/>
          <w:color w:val="000000" w:themeColor="text1"/>
          <w:sz w:val="16"/>
          <w:szCs w:val="16"/>
        </w:rPr>
        <w:t>“(23)</w:t>
      </w:r>
      <w:r w:rsidRPr="00C75159">
        <w:rPr>
          <w:snapToGrid w:val="0"/>
          <w:color w:val="000000" w:themeColor="text1"/>
          <w:sz w:val="16"/>
          <w:szCs w:val="16"/>
        </w:rPr>
        <w:t xml:space="preserve">  In respect of Urea fertilizer imported, the tax under section 148 shall be collected at the rate of 1% of its import value as increased by customs-duty, sales tax and federal excise duty], if any levied thereon.”</w:t>
      </w:r>
    </w:p>
  </w:footnote>
  <w:footnote w:id="2078">
    <w:p w:rsidR="00BF2117" w:rsidRPr="00C75159" w:rsidRDefault="00BF2117" w:rsidP="003A3D87">
      <w:pPr>
        <w:widowControl w:val="0"/>
        <w:jc w:val="both"/>
        <w:rPr>
          <w:color w:val="000000" w:themeColor="text1"/>
          <w:sz w:val="16"/>
          <w:szCs w:val="16"/>
        </w:rPr>
      </w:pPr>
      <w:r w:rsidRPr="00C75159">
        <w:rPr>
          <w:rStyle w:val="FootnoteReference"/>
          <w:color w:val="000000" w:themeColor="text1"/>
          <w:sz w:val="16"/>
          <w:szCs w:val="16"/>
        </w:rPr>
        <w:footnoteRef/>
      </w:r>
      <w:r w:rsidRPr="00C75159">
        <w:rPr>
          <w:color w:val="000000" w:themeColor="text1"/>
          <w:sz w:val="16"/>
          <w:szCs w:val="16"/>
        </w:rPr>
        <w:t xml:space="preserve"> Clause (24) omitted by the Finance Act, 2014. The omitted clause (24) read as follows:</w:t>
      </w:r>
    </w:p>
    <w:p w:rsidR="00BF2117" w:rsidRPr="00C75159" w:rsidRDefault="00BF2117" w:rsidP="00B4070C">
      <w:pPr>
        <w:ind w:firstLine="547"/>
        <w:jc w:val="both"/>
        <w:rPr>
          <w:color w:val="000000" w:themeColor="text1"/>
          <w:sz w:val="16"/>
          <w:szCs w:val="16"/>
          <w:lang w:val="en-US"/>
        </w:rPr>
      </w:pPr>
      <w:r w:rsidRPr="00C75159">
        <w:rPr>
          <w:b/>
          <w:bCs/>
          <w:snapToGrid w:val="0"/>
          <w:color w:val="000000" w:themeColor="text1"/>
          <w:sz w:val="16"/>
          <w:szCs w:val="16"/>
        </w:rPr>
        <w:t xml:space="preserve">“(24) </w:t>
      </w:r>
      <w:r w:rsidRPr="00C75159">
        <w:rPr>
          <w:snapToGrid w:val="0"/>
          <w:color w:val="000000" w:themeColor="text1"/>
          <w:sz w:val="16"/>
          <w:szCs w:val="16"/>
        </w:rPr>
        <w:tab/>
        <w:t>In respect of pulses imported, the tax under section 148 shall be collected at the rate of two per cent of the value of such pulses as increased by customs-duty, sales tax and federal excise duty], if any, levied thereon.”</w:t>
      </w:r>
    </w:p>
  </w:footnote>
  <w:footnote w:id="2079">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Inserted by the Finance Act, 2009.</w:t>
      </w:r>
    </w:p>
  </w:footnote>
  <w:footnote w:id="2080">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Inserted by the Finance Act, 2010.</w:t>
      </w:r>
    </w:p>
  </w:footnote>
  <w:footnote w:id="2081">
    <w:p w:rsidR="00BF2117" w:rsidRPr="00C75159" w:rsidRDefault="00BF2117" w:rsidP="00CB2CD1">
      <w:pPr>
        <w:jc w:val="both"/>
        <w:rPr>
          <w:snapToGrid w:val="0"/>
          <w:color w:val="000000" w:themeColor="text1"/>
          <w:sz w:val="16"/>
          <w:szCs w:val="16"/>
        </w:rPr>
      </w:pPr>
      <w:r w:rsidRPr="00C75159">
        <w:rPr>
          <w:rStyle w:val="FootnoteReference"/>
          <w:color w:val="000000" w:themeColor="text1"/>
          <w:sz w:val="16"/>
          <w:szCs w:val="16"/>
        </w:rPr>
        <w:footnoteRef/>
      </w:r>
      <w:r w:rsidRPr="00C75159">
        <w:rPr>
          <w:color w:val="000000" w:themeColor="text1"/>
          <w:sz w:val="16"/>
          <w:szCs w:val="16"/>
        </w:rPr>
        <w:t xml:space="preserve">Clause (24B) omitted by the Finance Act, 2014. The omitted clause (24B) read as follows:  </w:t>
      </w:r>
      <w:r w:rsidRPr="00C75159">
        <w:rPr>
          <w:color w:val="000000" w:themeColor="text1"/>
          <w:sz w:val="16"/>
          <w:szCs w:val="16"/>
        </w:rPr>
        <w:tab/>
        <w:t>“</w:t>
      </w:r>
      <w:r w:rsidRPr="00C75159">
        <w:rPr>
          <w:b/>
          <w:bCs/>
          <w:snapToGrid w:val="0"/>
          <w:color w:val="000000" w:themeColor="text1"/>
          <w:sz w:val="16"/>
          <w:szCs w:val="16"/>
        </w:rPr>
        <w:t>(24B)</w:t>
      </w:r>
      <w:r w:rsidRPr="00C75159">
        <w:rPr>
          <w:snapToGrid w:val="0"/>
          <w:color w:val="000000" w:themeColor="text1"/>
          <w:sz w:val="16"/>
          <w:szCs w:val="16"/>
        </w:rPr>
        <w:tab/>
        <w:t xml:space="preserve">(a) </w:t>
      </w:r>
      <w:r w:rsidRPr="00C75159">
        <w:rPr>
          <w:snapToGrid w:val="0"/>
          <w:color w:val="000000" w:themeColor="text1"/>
          <w:sz w:val="16"/>
          <w:szCs w:val="16"/>
        </w:rPr>
        <w:tab/>
        <w:t>In case of Steel Melters, who have opted under the Sales Tax Special Procedure Rules 2007.—</w:t>
      </w:r>
    </w:p>
    <w:p w:rsidR="00BF2117" w:rsidRPr="00C75159" w:rsidRDefault="00BF2117" w:rsidP="0032377C">
      <w:pPr>
        <w:ind w:left="1641" w:hanging="546"/>
        <w:jc w:val="both"/>
        <w:rPr>
          <w:snapToGrid w:val="0"/>
          <w:color w:val="000000" w:themeColor="text1"/>
          <w:sz w:val="16"/>
          <w:szCs w:val="16"/>
        </w:rPr>
      </w:pPr>
      <w:r w:rsidRPr="00C75159">
        <w:rPr>
          <w:snapToGrid w:val="0"/>
          <w:color w:val="000000" w:themeColor="text1"/>
          <w:sz w:val="16"/>
          <w:szCs w:val="16"/>
        </w:rPr>
        <w:t xml:space="preserve">(i) </w:t>
      </w:r>
      <w:r w:rsidRPr="00C75159">
        <w:rPr>
          <w:snapToGrid w:val="0"/>
          <w:color w:val="000000" w:themeColor="text1"/>
          <w:sz w:val="16"/>
          <w:szCs w:val="16"/>
        </w:rPr>
        <w:tab/>
        <w:t>for the Tax Year 2011, the rate of minimum tax under sub-section (1) of section 113 shall be 0.5% of turnover of Rs. 280 per metric ton, whichever is higher, provided that the consequent tax liability is deposited by 31</w:t>
      </w:r>
      <w:r w:rsidRPr="00C75159">
        <w:rPr>
          <w:snapToGrid w:val="0"/>
          <w:color w:val="000000" w:themeColor="text1"/>
          <w:sz w:val="16"/>
          <w:szCs w:val="16"/>
          <w:vertAlign w:val="superscript"/>
        </w:rPr>
        <w:t>st</w:t>
      </w:r>
      <w:r w:rsidRPr="00C75159">
        <w:rPr>
          <w:snapToGrid w:val="0"/>
          <w:color w:val="000000" w:themeColor="text1"/>
          <w:sz w:val="16"/>
          <w:szCs w:val="16"/>
        </w:rPr>
        <w:t xml:space="preserve"> May, 2012.</w:t>
      </w:r>
    </w:p>
    <w:p w:rsidR="00BF2117" w:rsidRPr="00C75159" w:rsidRDefault="00BF2117" w:rsidP="0032377C">
      <w:pPr>
        <w:ind w:left="1641" w:hanging="546"/>
        <w:jc w:val="both"/>
        <w:rPr>
          <w:snapToGrid w:val="0"/>
          <w:color w:val="000000" w:themeColor="text1"/>
          <w:sz w:val="16"/>
          <w:szCs w:val="16"/>
        </w:rPr>
      </w:pPr>
      <w:r w:rsidRPr="00C75159">
        <w:rPr>
          <w:snapToGrid w:val="0"/>
          <w:color w:val="000000" w:themeColor="text1"/>
          <w:sz w:val="16"/>
          <w:szCs w:val="16"/>
        </w:rPr>
        <w:t xml:space="preserve">(ii) </w:t>
      </w:r>
      <w:r w:rsidRPr="00C75159">
        <w:rPr>
          <w:snapToGrid w:val="0"/>
          <w:color w:val="000000" w:themeColor="text1"/>
          <w:sz w:val="16"/>
          <w:szCs w:val="16"/>
        </w:rPr>
        <w:tab/>
        <w:t>for the Tax Years 2008 to 2010, the rate of Withholding Tax under section 153(1)(a) on purchase of steel scrap shall be 1% of value of purchases or Rs. 300 per metric ton whichever is higher, provided that the consequent tax liability is deposited by 30</w:t>
      </w:r>
      <w:r w:rsidRPr="00C75159">
        <w:rPr>
          <w:snapToGrid w:val="0"/>
          <w:color w:val="000000" w:themeColor="text1"/>
          <w:sz w:val="16"/>
          <w:szCs w:val="16"/>
          <w:vertAlign w:val="superscript"/>
        </w:rPr>
        <w:t>th</w:t>
      </w:r>
      <w:r w:rsidRPr="00C75159">
        <w:rPr>
          <w:snapToGrid w:val="0"/>
          <w:color w:val="000000" w:themeColor="text1"/>
          <w:sz w:val="16"/>
          <w:szCs w:val="16"/>
        </w:rPr>
        <w:t xml:space="preserve"> June, 2012; and </w:t>
      </w:r>
    </w:p>
    <w:p w:rsidR="00BF2117" w:rsidRPr="00C75159" w:rsidRDefault="00BF2117" w:rsidP="0032377C">
      <w:pPr>
        <w:ind w:left="1641" w:hanging="546"/>
        <w:jc w:val="both"/>
        <w:rPr>
          <w:snapToGrid w:val="0"/>
          <w:color w:val="000000" w:themeColor="text1"/>
          <w:sz w:val="16"/>
          <w:szCs w:val="16"/>
        </w:rPr>
      </w:pPr>
      <w:r w:rsidRPr="00C75159">
        <w:rPr>
          <w:snapToGrid w:val="0"/>
          <w:color w:val="000000" w:themeColor="text1"/>
          <w:sz w:val="16"/>
          <w:szCs w:val="16"/>
        </w:rPr>
        <w:t>(iii)</w:t>
      </w:r>
      <w:r w:rsidRPr="00C75159">
        <w:rPr>
          <w:snapToGrid w:val="0"/>
          <w:color w:val="000000" w:themeColor="text1"/>
          <w:sz w:val="16"/>
          <w:szCs w:val="16"/>
        </w:rPr>
        <w:tab/>
        <w:t>for the Tax Years 2011 and 2012 the rate of Withholding Tax under section 153(1)(a) on purchase of steel scrap shall be 1% of value of purchases of Rs. 400 per metric ton whichever is higher provided that the consequent tax liability for the Tax Year 2011 is deposited by 30</w:t>
      </w:r>
      <w:r w:rsidRPr="00C75159">
        <w:rPr>
          <w:snapToGrid w:val="0"/>
          <w:color w:val="000000" w:themeColor="text1"/>
          <w:sz w:val="16"/>
          <w:szCs w:val="16"/>
          <w:vertAlign w:val="superscript"/>
        </w:rPr>
        <w:t>th</w:t>
      </w:r>
      <w:r w:rsidRPr="00C75159">
        <w:rPr>
          <w:snapToGrid w:val="0"/>
          <w:color w:val="000000" w:themeColor="text1"/>
          <w:sz w:val="16"/>
          <w:szCs w:val="16"/>
        </w:rPr>
        <w:t xml:space="preserve"> June, 2012. </w:t>
      </w:r>
    </w:p>
    <w:p w:rsidR="00BF2117" w:rsidRPr="00C75159" w:rsidRDefault="00BF2117" w:rsidP="0032377C">
      <w:pPr>
        <w:ind w:left="1094" w:hanging="554"/>
        <w:jc w:val="both"/>
        <w:rPr>
          <w:snapToGrid w:val="0"/>
          <w:color w:val="000000" w:themeColor="text1"/>
          <w:sz w:val="16"/>
          <w:szCs w:val="16"/>
        </w:rPr>
      </w:pPr>
      <w:r w:rsidRPr="00C75159">
        <w:rPr>
          <w:snapToGrid w:val="0"/>
          <w:color w:val="000000" w:themeColor="text1"/>
          <w:sz w:val="16"/>
          <w:szCs w:val="16"/>
        </w:rPr>
        <w:t xml:space="preserve">(b) </w:t>
      </w:r>
      <w:r w:rsidRPr="00C75159">
        <w:rPr>
          <w:snapToGrid w:val="0"/>
          <w:color w:val="000000" w:themeColor="text1"/>
          <w:sz w:val="16"/>
          <w:szCs w:val="16"/>
        </w:rPr>
        <w:tab/>
        <w:t>In case of Steel Re-rolling Mills, who have opted under the Sales Tax Special Procedure Rules, 2007.—</w:t>
      </w:r>
    </w:p>
    <w:p w:rsidR="00BF2117" w:rsidRPr="00C75159" w:rsidRDefault="00BF2117" w:rsidP="0032377C">
      <w:pPr>
        <w:ind w:left="1641" w:hanging="546"/>
        <w:jc w:val="both"/>
        <w:rPr>
          <w:snapToGrid w:val="0"/>
          <w:color w:val="000000" w:themeColor="text1"/>
          <w:sz w:val="16"/>
          <w:szCs w:val="16"/>
        </w:rPr>
      </w:pPr>
      <w:r w:rsidRPr="00C75159">
        <w:rPr>
          <w:snapToGrid w:val="0"/>
          <w:color w:val="000000" w:themeColor="text1"/>
          <w:sz w:val="16"/>
          <w:szCs w:val="16"/>
        </w:rPr>
        <w:t xml:space="preserve">(i) </w:t>
      </w:r>
      <w:r w:rsidRPr="00C75159">
        <w:rPr>
          <w:snapToGrid w:val="0"/>
          <w:color w:val="000000" w:themeColor="text1"/>
          <w:sz w:val="16"/>
          <w:szCs w:val="16"/>
        </w:rPr>
        <w:tab/>
        <w:t>for the Tax Year 2011, the rate of minimum tax under sub-section (1) of section 113 shall be 0.5% of turnover of Rs.315 per metric ton, whichever is higher, provided that the consequent tax liability is deposited by 31</w:t>
      </w:r>
      <w:r w:rsidRPr="00C75159">
        <w:rPr>
          <w:snapToGrid w:val="0"/>
          <w:color w:val="000000" w:themeColor="text1"/>
          <w:sz w:val="16"/>
          <w:szCs w:val="16"/>
          <w:vertAlign w:val="superscript"/>
        </w:rPr>
        <w:t>st</w:t>
      </w:r>
      <w:r w:rsidRPr="00C75159">
        <w:rPr>
          <w:snapToGrid w:val="0"/>
          <w:color w:val="000000" w:themeColor="text1"/>
          <w:sz w:val="16"/>
          <w:szCs w:val="16"/>
        </w:rPr>
        <w:t xml:space="preserve"> May, 2012.</w:t>
      </w:r>
    </w:p>
    <w:p w:rsidR="00BF2117" w:rsidRPr="00C75159" w:rsidRDefault="00BF2117" w:rsidP="0032377C">
      <w:pPr>
        <w:ind w:left="1641" w:hanging="546"/>
        <w:jc w:val="both"/>
        <w:rPr>
          <w:snapToGrid w:val="0"/>
          <w:color w:val="000000" w:themeColor="text1"/>
          <w:sz w:val="16"/>
          <w:szCs w:val="16"/>
        </w:rPr>
      </w:pPr>
      <w:r w:rsidRPr="00C75159">
        <w:rPr>
          <w:snapToGrid w:val="0"/>
          <w:color w:val="000000" w:themeColor="text1"/>
          <w:sz w:val="16"/>
          <w:szCs w:val="16"/>
        </w:rPr>
        <w:t xml:space="preserve">(ii) </w:t>
      </w:r>
      <w:r w:rsidRPr="00C75159">
        <w:rPr>
          <w:snapToGrid w:val="0"/>
          <w:color w:val="000000" w:themeColor="text1"/>
          <w:sz w:val="16"/>
          <w:szCs w:val="16"/>
        </w:rPr>
        <w:tab/>
        <w:t>for the Tax Years 2008 to 2010, the rate of Withholding Tax under section 153(1)(a) on purchase of ingots and billets shall be 1% of value of purchases of Rs.400 per metric ton, whichever is higher provided that the consequent tax liability is deposited by 30</w:t>
      </w:r>
      <w:r w:rsidRPr="00C75159">
        <w:rPr>
          <w:snapToGrid w:val="0"/>
          <w:color w:val="000000" w:themeColor="text1"/>
          <w:sz w:val="16"/>
          <w:szCs w:val="16"/>
          <w:vertAlign w:val="superscript"/>
        </w:rPr>
        <w:t>th</w:t>
      </w:r>
      <w:r w:rsidRPr="00C75159">
        <w:rPr>
          <w:snapToGrid w:val="0"/>
          <w:color w:val="000000" w:themeColor="text1"/>
          <w:sz w:val="16"/>
          <w:szCs w:val="16"/>
        </w:rPr>
        <w:t xml:space="preserve"> June, 2012; and </w:t>
      </w:r>
    </w:p>
    <w:p w:rsidR="00BF2117" w:rsidRPr="00C75159" w:rsidRDefault="00BF2117" w:rsidP="0032377C">
      <w:pPr>
        <w:ind w:left="1641" w:hanging="546"/>
        <w:jc w:val="both"/>
        <w:rPr>
          <w:snapToGrid w:val="0"/>
          <w:color w:val="000000" w:themeColor="text1"/>
          <w:sz w:val="16"/>
          <w:szCs w:val="16"/>
        </w:rPr>
      </w:pPr>
      <w:r w:rsidRPr="00C75159">
        <w:rPr>
          <w:snapToGrid w:val="0"/>
          <w:color w:val="000000" w:themeColor="text1"/>
          <w:sz w:val="16"/>
          <w:szCs w:val="16"/>
        </w:rPr>
        <w:t xml:space="preserve">(iii) </w:t>
      </w:r>
      <w:r w:rsidRPr="00C75159">
        <w:rPr>
          <w:snapToGrid w:val="0"/>
          <w:color w:val="000000" w:themeColor="text1"/>
          <w:sz w:val="16"/>
          <w:szCs w:val="16"/>
        </w:rPr>
        <w:tab/>
        <w:t>for the Tax Years 2011 and 2012, the rate of Withholding Tax under section 153(1)(a) on purchase of ingots and billets shall be 1% of the value of purchases of Rs.450 per metric ton, whichever is higher, provided that the consequent tax liability for the tax year 2011 is deposited by 30</w:t>
      </w:r>
      <w:r w:rsidRPr="00C75159">
        <w:rPr>
          <w:snapToGrid w:val="0"/>
          <w:color w:val="000000" w:themeColor="text1"/>
          <w:sz w:val="16"/>
          <w:szCs w:val="16"/>
          <w:vertAlign w:val="superscript"/>
        </w:rPr>
        <w:t>th</w:t>
      </w:r>
      <w:r w:rsidRPr="00C75159">
        <w:rPr>
          <w:snapToGrid w:val="0"/>
          <w:color w:val="000000" w:themeColor="text1"/>
          <w:sz w:val="16"/>
          <w:szCs w:val="16"/>
        </w:rPr>
        <w:t xml:space="preserve"> June, 2012.”</w:t>
      </w:r>
    </w:p>
    <w:p w:rsidR="00BF2117" w:rsidRPr="008E319C" w:rsidRDefault="00BF2117">
      <w:pPr>
        <w:pStyle w:val="FootnoteText"/>
        <w:rPr>
          <w:color w:val="00B0F0"/>
          <w:sz w:val="16"/>
          <w:szCs w:val="16"/>
          <w:lang w:val="en-US"/>
        </w:rPr>
      </w:pPr>
    </w:p>
  </w:footnote>
  <w:footnote w:id="2082">
    <w:p w:rsidR="00BF2117" w:rsidRPr="008E319C" w:rsidRDefault="00BF2117" w:rsidP="00AA4BF8">
      <w:pPr>
        <w:pStyle w:val="FootnoteText"/>
        <w:jc w:val="both"/>
        <w:rPr>
          <w:sz w:val="16"/>
          <w:szCs w:val="16"/>
        </w:rPr>
      </w:pPr>
      <w:r w:rsidRPr="008E319C">
        <w:rPr>
          <w:rStyle w:val="FootnoteReference"/>
          <w:rFonts w:cs="Arial"/>
          <w:sz w:val="16"/>
          <w:szCs w:val="16"/>
        </w:rPr>
        <w:footnoteRef/>
      </w:r>
      <w:r w:rsidRPr="008E319C">
        <w:rPr>
          <w:sz w:val="16"/>
          <w:szCs w:val="16"/>
        </w:rPr>
        <w:t xml:space="preserve"> Clause (25) omitted by the Finance Act, 2007. The omitted clause (25) read as follows:</w:t>
      </w:r>
    </w:p>
    <w:p w:rsidR="00BF2117" w:rsidRPr="008E319C" w:rsidRDefault="00BF2117" w:rsidP="00AA4BF8">
      <w:pPr>
        <w:pStyle w:val="FootnoteText"/>
        <w:ind w:left="270" w:hanging="90"/>
        <w:jc w:val="both"/>
        <w:rPr>
          <w:sz w:val="16"/>
          <w:szCs w:val="16"/>
        </w:rPr>
      </w:pPr>
      <w:r w:rsidRPr="008E319C">
        <w:rPr>
          <w:sz w:val="16"/>
          <w:szCs w:val="16"/>
        </w:rPr>
        <w:t>“</w:t>
      </w:r>
      <w:r w:rsidRPr="008E319C">
        <w:rPr>
          <w:b/>
          <w:bCs/>
          <w:snapToGrid w:val="0"/>
          <w:sz w:val="16"/>
          <w:szCs w:val="16"/>
        </w:rPr>
        <w:t>(25)</w:t>
      </w:r>
      <w:r w:rsidRPr="008E319C">
        <w:rPr>
          <w:snapToGrid w:val="0"/>
          <w:sz w:val="16"/>
          <w:szCs w:val="16"/>
        </w:rPr>
        <w:tab/>
        <w:t>Services of sizing, weaving stitching, dying, printing, embroidery and washing rendered or provided to an exporter or an export house shall be treated as export and chargeable to tax at the rate equal to the rate of tax applicable to the exporter on export of goods to which such services relate as specified in Division IV of Part III of the First Schedule.”.</w:t>
      </w:r>
    </w:p>
  </w:footnote>
  <w:footnote w:id="2083">
    <w:p w:rsidR="00BF2117" w:rsidRPr="001E66EB" w:rsidRDefault="00BF2117" w:rsidP="00BC7456">
      <w:pPr>
        <w:pStyle w:val="FootnoteText"/>
        <w:jc w:val="both"/>
        <w:rPr>
          <w:color w:val="000000" w:themeColor="text1"/>
          <w:sz w:val="16"/>
          <w:szCs w:val="16"/>
        </w:rPr>
      </w:pPr>
      <w:r w:rsidRPr="001E66EB">
        <w:rPr>
          <w:rStyle w:val="FootnoteReference"/>
          <w:color w:val="000000" w:themeColor="text1"/>
          <w:sz w:val="16"/>
          <w:szCs w:val="16"/>
        </w:rPr>
        <w:footnoteRef/>
      </w:r>
      <w:r w:rsidRPr="001E66EB">
        <w:rPr>
          <w:color w:val="000000" w:themeColor="text1"/>
          <w:sz w:val="16"/>
          <w:szCs w:val="16"/>
        </w:rPr>
        <w:t>Clause (26) omitted by the Finance Act, 2014. The omitted clause (26) read as follows:</w:t>
      </w:r>
    </w:p>
    <w:p w:rsidR="00BF2117" w:rsidRPr="001E66EB" w:rsidRDefault="00BF2117" w:rsidP="009C6516">
      <w:pPr>
        <w:ind w:firstLine="547"/>
        <w:jc w:val="both"/>
        <w:rPr>
          <w:color w:val="000000" w:themeColor="text1"/>
          <w:sz w:val="16"/>
          <w:szCs w:val="16"/>
          <w:lang w:val="en-US"/>
        </w:rPr>
      </w:pPr>
      <w:r w:rsidRPr="001E66EB">
        <w:rPr>
          <w:b/>
          <w:bCs/>
          <w:snapToGrid w:val="0"/>
          <w:color w:val="000000" w:themeColor="text1"/>
          <w:sz w:val="16"/>
          <w:szCs w:val="16"/>
        </w:rPr>
        <w:t xml:space="preserve">“(26) </w:t>
      </w:r>
      <w:r w:rsidRPr="001E66EB">
        <w:rPr>
          <w:snapToGrid w:val="0"/>
          <w:color w:val="000000" w:themeColor="text1"/>
          <w:sz w:val="16"/>
          <w:szCs w:val="16"/>
        </w:rPr>
        <w:t>The rate of tax as specified in Division II of Part IV, of the First Schedule, in the case of advertising agents, shall be 5% of the amount of the payment.”</w:t>
      </w:r>
    </w:p>
  </w:footnote>
  <w:footnote w:id="2084">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Added by S.R.O. 569(I)/2012, dated 26.05.2012.</w:t>
      </w:r>
    </w:p>
  </w:footnote>
  <w:footnote w:id="2085">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Clause (28) omitted by the Finance Act, 2009. The omitted clause (28) read as follows:</w:t>
      </w:r>
    </w:p>
    <w:p w:rsidR="00BF2117" w:rsidRPr="008E319C" w:rsidRDefault="00BF2117" w:rsidP="00AA4BF8">
      <w:pPr>
        <w:widowControl w:val="0"/>
        <w:ind w:left="180"/>
        <w:jc w:val="both"/>
        <w:rPr>
          <w:snapToGrid w:val="0"/>
          <w:sz w:val="16"/>
          <w:szCs w:val="16"/>
        </w:rPr>
      </w:pPr>
      <w:r w:rsidRPr="008E319C">
        <w:rPr>
          <w:sz w:val="16"/>
          <w:szCs w:val="16"/>
        </w:rPr>
        <w:t>“</w:t>
      </w:r>
      <w:r w:rsidRPr="008E319C">
        <w:rPr>
          <w:b/>
          <w:bCs/>
          <w:snapToGrid w:val="0"/>
          <w:sz w:val="16"/>
          <w:szCs w:val="16"/>
        </w:rPr>
        <w:t>(28)</w:t>
      </w:r>
      <w:r w:rsidRPr="008E319C">
        <w:rPr>
          <w:snapToGrid w:val="0"/>
          <w:sz w:val="16"/>
          <w:szCs w:val="16"/>
        </w:rPr>
        <w:tab/>
        <w:t>The rate of tax to be deducted under section 155, as specified in Division V, Part III of First Schedule, shall be as under:-</w:t>
      </w:r>
    </w:p>
    <w:p w:rsidR="00BF2117" w:rsidRPr="008E319C" w:rsidRDefault="00BF2117" w:rsidP="00AA4BF8">
      <w:pPr>
        <w:widowControl w:val="0"/>
        <w:ind w:left="1641" w:hanging="546"/>
        <w:jc w:val="both"/>
        <w:rPr>
          <w:snapToGrid w:val="0"/>
          <w:sz w:val="16"/>
          <w:szCs w:val="16"/>
        </w:rPr>
      </w:pPr>
      <w:r w:rsidRPr="008E319C">
        <w:rPr>
          <w:snapToGrid w:val="0"/>
          <w:sz w:val="16"/>
          <w:szCs w:val="16"/>
        </w:rPr>
        <w:t xml:space="preserve">(a) </w:t>
      </w:r>
      <w:r w:rsidRPr="008E319C">
        <w:rPr>
          <w:snapToGrid w:val="0"/>
          <w:sz w:val="16"/>
          <w:szCs w:val="16"/>
        </w:rPr>
        <w:tab/>
        <w:t>in the case of individual and association of persons at S.Nos.3 and 4 of the Table─</w:t>
      </w:r>
    </w:p>
    <w:tbl>
      <w:tblPr>
        <w:tblW w:w="5754" w:type="dxa"/>
        <w:tblInd w:w="-106" w:type="dxa"/>
        <w:tblLook w:val="01E0"/>
      </w:tblPr>
      <w:tblGrid>
        <w:gridCol w:w="810"/>
        <w:gridCol w:w="2472"/>
        <w:gridCol w:w="2472"/>
      </w:tblGrid>
      <w:tr w:rsidR="00BF2117" w:rsidRPr="008E319C">
        <w:tc>
          <w:tcPr>
            <w:tcW w:w="810" w:type="dxa"/>
          </w:tcPr>
          <w:p w:rsidR="00BF2117" w:rsidRPr="008E319C" w:rsidRDefault="00BF2117" w:rsidP="00321D5C">
            <w:pPr>
              <w:widowControl w:val="0"/>
              <w:jc w:val="both"/>
              <w:rPr>
                <w:b/>
                <w:bCs/>
                <w:snapToGrid w:val="0"/>
                <w:sz w:val="16"/>
                <w:szCs w:val="16"/>
              </w:rPr>
            </w:pPr>
            <w:r w:rsidRPr="008E319C">
              <w:rPr>
                <w:b/>
                <w:bCs/>
                <w:snapToGrid w:val="0"/>
                <w:sz w:val="16"/>
                <w:szCs w:val="16"/>
              </w:rPr>
              <w:t>S.No.</w:t>
            </w:r>
          </w:p>
        </w:tc>
        <w:tc>
          <w:tcPr>
            <w:tcW w:w="2472" w:type="dxa"/>
          </w:tcPr>
          <w:p w:rsidR="00BF2117" w:rsidRPr="008E319C" w:rsidRDefault="00BF2117" w:rsidP="00321D5C">
            <w:pPr>
              <w:widowControl w:val="0"/>
              <w:jc w:val="both"/>
              <w:rPr>
                <w:b/>
                <w:bCs/>
                <w:snapToGrid w:val="0"/>
                <w:sz w:val="16"/>
                <w:szCs w:val="16"/>
              </w:rPr>
            </w:pPr>
            <w:r w:rsidRPr="008E319C">
              <w:rPr>
                <w:b/>
                <w:bCs/>
                <w:snapToGrid w:val="0"/>
                <w:sz w:val="16"/>
                <w:szCs w:val="16"/>
              </w:rPr>
              <w:t>Gross amount of rent</w:t>
            </w:r>
          </w:p>
        </w:tc>
        <w:tc>
          <w:tcPr>
            <w:tcW w:w="2472" w:type="dxa"/>
          </w:tcPr>
          <w:p w:rsidR="00BF2117" w:rsidRPr="008E319C" w:rsidRDefault="00BF2117" w:rsidP="00321D5C">
            <w:pPr>
              <w:widowControl w:val="0"/>
              <w:jc w:val="center"/>
              <w:rPr>
                <w:b/>
                <w:bCs/>
                <w:snapToGrid w:val="0"/>
                <w:sz w:val="16"/>
                <w:szCs w:val="16"/>
              </w:rPr>
            </w:pPr>
            <w:r w:rsidRPr="008E319C">
              <w:rPr>
                <w:b/>
                <w:bCs/>
                <w:snapToGrid w:val="0"/>
                <w:sz w:val="16"/>
                <w:szCs w:val="16"/>
              </w:rPr>
              <w:t>Rate of tax</w:t>
            </w:r>
          </w:p>
        </w:tc>
      </w:tr>
      <w:tr w:rsidR="00BF2117" w:rsidRPr="008E319C">
        <w:tc>
          <w:tcPr>
            <w:tcW w:w="810" w:type="dxa"/>
          </w:tcPr>
          <w:p w:rsidR="00BF2117" w:rsidRPr="008E319C" w:rsidRDefault="00BF2117" w:rsidP="00321D5C">
            <w:pPr>
              <w:widowControl w:val="0"/>
              <w:jc w:val="center"/>
              <w:rPr>
                <w:snapToGrid w:val="0"/>
                <w:sz w:val="16"/>
                <w:szCs w:val="16"/>
              </w:rPr>
            </w:pPr>
            <w:r w:rsidRPr="008E319C">
              <w:rPr>
                <w:snapToGrid w:val="0"/>
                <w:sz w:val="16"/>
                <w:szCs w:val="16"/>
              </w:rPr>
              <w:t>(1)</w:t>
            </w:r>
          </w:p>
        </w:tc>
        <w:tc>
          <w:tcPr>
            <w:tcW w:w="2472" w:type="dxa"/>
          </w:tcPr>
          <w:p w:rsidR="00BF2117" w:rsidRPr="008E319C" w:rsidRDefault="00BF2117" w:rsidP="00321D5C">
            <w:pPr>
              <w:widowControl w:val="0"/>
              <w:jc w:val="center"/>
              <w:rPr>
                <w:snapToGrid w:val="0"/>
                <w:sz w:val="16"/>
                <w:szCs w:val="16"/>
              </w:rPr>
            </w:pPr>
            <w:r w:rsidRPr="008E319C">
              <w:rPr>
                <w:snapToGrid w:val="0"/>
                <w:sz w:val="16"/>
                <w:szCs w:val="16"/>
              </w:rPr>
              <w:t>(2)</w:t>
            </w:r>
          </w:p>
        </w:tc>
        <w:tc>
          <w:tcPr>
            <w:tcW w:w="2472" w:type="dxa"/>
          </w:tcPr>
          <w:p w:rsidR="00BF2117" w:rsidRPr="008E319C" w:rsidRDefault="00BF2117" w:rsidP="00321D5C">
            <w:pPr>
              <w:widowControl w:val="0"/>
              <w:jc w:val="center"/>
              <w:rPr>
                <w:snapToGrid w:val="0"/>
                <w:sz w:val="16"/>
                <w:szCs w:val="16"/>
              </w:rPr>
            </w:pPr>
            <w:r w:rsidRPr="008E319C">
              <w:rPr>
                <w:snapToGrid w:val="0"/>
                <w:sz w:val="16"/>
                <w:szCs w:val="16"/>
              </w:rPr>
              <w:t>(3)</w:t>
            </w:r>
          </w:p>
        </w:tc>
      </w:tr>
      <w:tr w:rsidR="00BF2117" w:rsidRPr="008E319C">
        <w:tc>
          <w:tcPr>
            <w:tcW w:w="810" w:type="dxa"/>
          </w:tcPr>
          <w:p w:rsidR="00BF2117" w:rsidRPr="008E319C" w:rsidRDefault="00BF2117" w:rsidP="00321D5C">
            <w:pPr>
              <w:widowControl w:val="0"/>
              <w:jc w:val="center"/>
              <w:rPr>
                <w:snapToGrid w:val="0"/>
                <w:sz w:val="16"/>
                <w:szCs w:val="16"/>
              </w:rPr>
            </w:pPr>
            <w:r w:rsidRPr="008E319C">
              <w:rPr>
                <w:snapToGrid w:val="0"/>
                <w:sz w:val="16"/>
                <w:szCs w:val="16"/>
              </w:rPr>
              <w:t>(3)</w:t>
            </w:r>
          </w:p>
        </w:tc>
        <w:tc>
          <w:tcPr>
            <w:tcW w:w="2472" w:type="dxa"/>
          </w:tcPr>
          <w:p w:rsidR="00BF2117" w:rsidRPr="008E319C" w:rsidRDefault="00BF2117" w:rsidP="00321D5C">
            <w:pPr>
              <w:widowControl w:val="0"/>
              <w:jc w:val="both"/>
              <w:rPr>
                <w:snapToGrid w:val="0"/>
                <w:sz w:val="16"/>
                <w:szCs w:val="16"/>
              </w:rPr>
            </w:pPr>
            <w:r w:rsidRPr="008E319C">
              <w:rPr>
                <w:snapToGrid w:val="0"/>
                <w:sz w:val="16"/>
                <w:szCs w:val="16"/>
              </w:rPr>
              <w:t xml:space="preserve">Where the gross amount of rent exceeds Rs.400,000 but does not exceed Rs.1,000,000 </w:t>
            </w:r>
          </w:p>
          <w:p w:rsidR="00BF2117" w:rsidRPr="008E319C" w:rsidRDefault="00BF2117" w:rsidP="00321D5C">
            <w:pPr>
              <w:widowControl w:val="0"/>
              <w:jc w:val="both"/>
              <w:rPr>
                <w:snapToGrid w:val="0"/>
                <w:sz w:val="16"/>
                <w:szCs w:val="16"/>
              </w:rPr>
            </w:pPr>
          </w:p>
        </w:tc>
        <w:tc>
          <w:tcPr>
            <w:tcW w:w="2472" w:type="dxa"/>
          </w:tcPr>
          <w:p w:rsidR="00BF2117" w:rsidRPr="008E319C" w:rsidRDefault="00BF2117" w:rsidP="00321D5C">
            <w:pPr>
              <w:widowControl w:val="0"/>
              <w:jc w:val="both"/>
              <w:rPr>
                <w:snapToGrid w:val="0"/>
                <w:sz w:val="16"/>
                <w:szCs w:val="16"/>
              </w:rPr>
            </w:pPr>
            <w:r w:rsidRPr="008E319C">
              <w:rPr>
                <w:snapToGrid w:val="0"/>
                <w:sz w:val="16"/>
                <w:szCs w:val="16"/>
              </w:rPr>
              <w:t>Rs.12,500 plus 7.5 per cent of the gross amount exceeding Rs.400,000</w:t>
            </w:r>
          </w:p>
        </w:tc>
      </w:tr>
      <w:tr w:rsidR="00BF2117" w:rsidRPr="008E319C">
        <w:tc>
          <w:tcPr>
            <w:tcW w:w="810" w:type="dxa"/>
          </w:tcPr>
          <w:p w:rsidR="00BF2117" w:rsidRPr="008E319C" w:rsidRDefault="00BF2117" w:rsidP="00321D5C">
            <w:pPr>
              <w:widowControl w:val="0"/>
              <w:jc w:val="center"/>
              <w:rPr>
                <w:snapToGrid w:val="0"/>
                <w:sz w:val="16"/>
                <w:szCs w:val="16"/>
              </w:rPr>
            </w:pPr>
            <w:r w:rsidRPr="008E319C">
              <w:rPr>
                <w:snapToGrid w:val="0"/>
                <w:sz w:val="16"/>
                <w:szCs w:val="16"/>
              </w:rPr>
              <w:t xml:space="preserve">(4) </w:t>
            </w:r>
          </w:p>
        </w:tc>
        <w:tc>
          <w:tcPr>
            <w:tcW w:w="2472" w:type="dxa"/>
          </w:tcPr>
          <w:p w:rsidR="00BF2117" w:rsidRPr="008E319C" w:rsidRDefault="00BF2117" w:rsidP="00321D5C">
            <w:pPr>
              <w:widowControl w:val="0"/>
              <w:jc w:val="both"/>
              <w:rPr>
                <w:snapToGrid w:val="0"/>
                <w:sz w:val="16"/>
                <w:szCs w:val="16"/>
              </w:rPr>
            </w:pPr>
            <w:r w:rsidRPr="008E319C">
              <w:rPr>
                <w:snapToGrid w:val="0"/>
                <w:sz w:val="16"/>
                <w:szCs w:val="16"/>
              </w:rPr>
              <w:t>Where the gross amount of rent exceeds Rs.1,000,000</w:t>
            </w:r>
          </w:p>
        </w:tc>
        <w:tc>
          <w:tcPr>
            <w:tcW w:w="2472" w:type="dxa"/>
          </w:tcPr>
          <w:p w:rsidR="00BF2117" w:rsidRPr="008E319C" w:rsidRDefault="00BF2117" w:rsidP="00321D5C">
            <w:pPr>
              <w:widowControl w:val="0"/>
              <w:jc w:val="both"/>
              <w:rPr>
                <w:snapToGrid w:val="0"/>
                <w:sz w:val="16"/>
                <w:szCs w:val="16"/>
              </w:rPr>
            </w:pPr>
            <w:r w:rsidRPr="008E319C">
              <w:rPr>
                <w:snapToGrid w:val="0"/>
                <w:sz w:val="16"/>
                <w:szCs w:val="16"/>
              </w:rPr>
              <w:t>Rs.57,500 plus 10 per cent of the gross amount exceeding Rs.1,000,000; and</w:t>
            </w:r>
          </w:p>
        </w:tc>
      </w:tr>
    </w:tbl>
    <w:p w:rsidR="00BF2117" w:rsidRPr="008E319C" w:rsidRDefault="00BF2117" w:rsidP="00AA4BF8">
      <w:pPr>
        <w:widowControl w:val="0"/>
        <w:ind w:left="1641" w:hanging="546"/>
        <w:jc w:val="both"/>
        <w:rPr>
          <w:snapToGrid w:val="0"/>
          <w:sz w:val="16"/>
          <w:szCs w:val="16"/>
        </w:rPr>
      </w:pPr>
    </w:p>
    <w:p w:rsidR="00BF2117" w:rsidRPr="008E319C" w:rsidRDefault="00BF2117" w:rsidP="00AA4BF8">
      <w:pPr>
        <w:widowControl w:val="0"/>
        <w:ind w:left="1641" w:hanging="546"/>
        <w:jc w:val="both"/>
        <w:rPr>
          <w:snapToGrid w:val="0"/>
          <w:sz w:val="16"/>
          <w:szCs w:val="16"/>
        </w:rPr>
      </w:pPr>
      <w:r w:rsidRPr="008E319C">
        <w:rPr>
          <w:snapToGrid w:val="0"/>
          <w:sz w:val="16"/>
          <w:szCs w:val="16"/>
        </w:rPr>
        <w:t xml:space="preserve">(b) </w:t>
      </w:r>
      <w:r w:rsidRPr="008E319C">
        <w:rPr>
          <w:snapToGrid w:val="0"/>
          <w:sz w:val="16"/>
          <w:szCs w:val="16"/>
        </w:rPr>
        <w:tab/>
        <w:t>in the case of company at S.Nos.2 and 3 of the Table─</w:t>
      </w:r>
    </w:p>
    <w:tbl>
      <w:tblPr>
        <w:tblW w:w="5754" w:type="dxa"/>
        <w:tblInd w:w="-106" w:type="dxa"/>
        <w:tblLook w:val="01E0"/>
      </w:tblPr>
      <w:tblGrid>
        <w:gridCol w:w="810"/>
        <w:gridCol w:w="2472"/>
        <w:gridCol w:w="2472"/>
      </w:tblGrid>
      <w:tr w:rsidR="00BF2117" w:rsidRPr="008E319C">
        <w:tc>
          <w:tcPr>
            <w:tcW w:w="810" w:type="dxa"/>
          </w:tcPr>
          <w:p w:rsidR="00BF2117" w:rsidRPr="008E319C" w:rsidRDefault="00BF2117" w:rsidP="00321D5C">
            <w:pPr>
              <w:widowControl w:val="0"/>
              <w:jc w:val="both"/>
              <w:rPr>
                <w:b/>
                <w:bCs/>
                <w:snapToGrid w:val="0"/>
                <w:sz w:val="16"/>
                <w:szCs w:val="16"/>
              </w:rPr>
            </w:pPr>
            <w:r w:rsidRPr="008E319C">
              <w:rPr>
                <w:b/>
                <w:bCs/>
                <w:snapToGrid w:val="0"/>
                <w:sz w:val="16"/>
                <w:szCs w:val="16"/>
              </w:rPr>
              <w:t>S.No.</w:t>
            </w:r>
          </w:p>
        </w:tc>
        <w:tc>
          <w:tcPr>
            <w:tcW w:w="2472" w:type="dxa"/>
          </w:tcPr>
          <w:p w:rsidR="00BF2117" w:rsidRPr="008E319C" w:rsidRDefault="00BF2117" w:rsidP="00321D5C">
            <w:pPr>
              <w:widowControl w:val="0"/>
              <w:jc w:val="both"/>
              <w:rPr>
                <w:b/>
                <w:bCs/>
                <w:snapToGrid w:val="0"/>
                <w:sz w:val="16"/>
                <w:szCs w:val="16"/>
              </w:rPr>
            </w:pPr>
            <w:r w:rsidRPr="008E319C">
              <w:rPr>
                <w:b/>
                <w:bCs/>
                <w:snapToGrid w:val="0"/>
                <w:sz w:val="16"/>
                <w:szCs w:val="16"/>
              </w:rPr>
              <w:t>Gross amount of rent</w:t>
            </w:r>
          </w:p>
        </w:tc>
        <w:tc>
          <w:tcPr>
            <w:tcW w:w="2472" w:type="dxa"/>
          </w:tcPr>
          <w:p w:rsidR="00BF2117" w:rsidRPr="008E319C" w:rsidRDefault="00BF2117" w:rsidP="00321D5C">
            <w:pPr>
              <w:widowControl w:val="0"/>
              <w:jc w:val="center"/>
              <w:rPr>
                <w:b/>
                <w:bCs/>
                <w:snapToGrid w:val="0"/>
                <w:sz w:val="16"/>
                <w:szCs w:val="16"/>
              </w:rPr>
            </w:pPr>
            <w:r w:rsidRPr="008E319C">
              <w:rPr>
                <w:b/>
                <w:bCs/>
                <w:snapToGrid w:val="0"/>
                <w:sz w:val="16"/>
                <w:szCs w:val="16"/>
              </w:rPr>
              <w:t>Rate of tax</w:t>
            </w:r>
          </w:p>
        </w:tc>
      </w:tr>
      <w:tr w:rsidR="00BF2117" w:rsidRPr="008E319C">
        <w:tc>
          <w:tcPr>
            <w:tcW w:w="810" w:type="dxa"/>
          </w:tcPr>
          <w:p w:rsidR="00BF2117" w:rsidRPr="008E319C" w:rsidRDefault="00BF2117" w:rsidP="00321D5C">
            <w:pPr>
              <w:widowControl w:val="0"/>
              <w:jc w:val="center"/>
              <w:rPr>
                <w:snapToGrid w:val="0"/>
                <w:sz w:val="16"/>
                <w:szCs w:val="16"/>
              </w:rPr>
            </w:pPr>
            <w:r w:rsidRPr="008E319C">
              <w:rPr>
                <w:snapToGrid w:val="0"/>
                <w:sz w:val="16"/>
                <w:szCs w:val="16"/>
              </w:rPr>
              <w:t>(1)</w:t>
            </w:r>
          </w:p>
        </w:tc>
        <w:tc>
          <w:tcPr>
            <w:tcW w:w="2472" w:type="dxa"/>
          </w:tcPr>
          <w:p w:rsidR="00BF2117" w:rsidRPr="008E319C" w:rsidRDefault="00BF2117" w:rsidP="00321D5C">
            <w:pPr>
              <w:widowControl w:val="0"/>
              <w:jc w:val="center"/>
              <w:rPr>
                <w:snapToGrid w:val="0"/>
                <w:sz w:val="16"/>
                <w:szCs w:val="16"/>
              </w:rPr>
            </w:pPr>
            <w:r w:rsidRPr="008E319C">
              <w:rPr>
                <w:snapToGrid w:val="0"/>
                <w:sz w:val="16"/>
                <w:szCs w:val="16"/>
              </w:rPr>
              <w:t>(2)</w:t>
            </w:r>
          </w:p>
        </w:tc>
        <w:tc>
          <w:tcPr>
            <w:tcW w:w="2472" w:type="dxa"/>
          </w:tcPr>
          <w:p w:rsidR="00BF2117" w:rsidRPr="008E319C" w:rsidRDefault="00BF2117" w:rsidP="00321D5C">
            <w:pPr>
              <w:widowControl w:val="0"/>
              <w:jc w:val="center"/>
              <w:rPr>
                <w:snapToGrid w:val="0"/>
                <w:sz w:val="16"/>
                <w:szCs w:val="16"/>
              </w:rPr>
            </w:pPr>
            <w:r w:rsidRPr="008E319C">
              <w:rPr>
                <w:snapToGrid w:val="0"/>
                <w:sz w:val="16"/>
                <w:szCs w:val="16"/>
              </w:rPr>
              <w:t>(3)</w:t>
            </w:r>
          </w:p>
        </w:tc>
      </w:tr>
      <w:tr w:rsidR="00BF2117" w:rsidRPr="008E319C">
        <w:tc>
          <w:tcPr>
            <w:tcW w:w="810" w:type="dxa"/>
          </w:tcPr>
          <w:p w:rsidR="00BF2117" w:rsidRPr="008E319C" w:rsidRDefault="00BF2117" w:rsidP="00321D5C">
            <w:pPr>
              <w:widowControl w:val="0"/>
              <w:jc w:val="center"/>
              <w:rPr>
                <w:snapToGrid w:val="0"/>
                <w:sz w:val="16"/>
                <w:szCs w:val="16"/>
              </w:rPr>
            </w:pPr>
            <w:r w:rsidRPr="008E319C">
              <w:rPr>
                <w:snapToGrid w:val="0"/>
                <w:sz w:val="16"/>
                <w:szCs w:val="16"/>
              </w:rPr>
              <w:t>(2)</w:t>
            </w:r>
          </w:p>
        </w:tc>
        <w:tc>
          <w:tcPr>
            <w:tcW w:w="2472" w:type="dxa"/>
          </w:tcPr>
          <w:p w:rsidR="00BF2117" w:rsidRPr="008E319C" w:rsidRDefault="00BF2117" w:rsidP="00321D5C">
            <w:pPr>
              <w:widowControl w:val="0"/>
              <w:jc w:val="both"/>
              <w:rPr>
                <w:snapToGrid w:val="0"/>
                <w:sz w:val="16"/>
                <w:szCs w:val="16"/>
              </w:rPr>
            </w:pPr>
            <w:r w:rsidRPr="008E319C">
              <w:rPr>
                <w:snapToGrid w:val="0"/>
                <w:sz w:val="16"/>
                <w:szCs w:val="16"/>
              </w:rPr>
              <w:t xml:space="preserve">Where the gross amount of rent exceeds Rs.400,000 but does not exceed Rs.1,000,000 </w:t>
            </w:r>
          </w:p>
          <w:p w:rsidR="00BF2117" w:rsidRPr="008E319C" w:rsidRDefault="00BF2117" w:rsidP="00321D5C">
            <w:pPr>
              <w:widowControl w:val="0"/>
              <w:jc w:val="both"/>
              <w:rPr>
                <w:snapToGrid w:val="0"/>
                <w:sz w:val="16"/>
                <w:szCs w:val="16"/>
              </w:rPr>
            </w:pPr>
          </w:p>
        </w:tc>
        <w:tc>
          <w:tcPr>
            <w:tcW w:w="2472" w:type="dxa"/>
          </w:tcPr>
          <w:p w:rsidR="00BF2117" w:rsidRPr="008E319C" w:rsidRDefault="00BF2117" w:rsidP="00321D5C">
            <w:pPr>
              <w:widowControl w:val="0"/>
              <w:jc w:val="both"/>
              <w:rPr>
                <w:snapToGrid w:val="0"/>
                <w:sz w:val="16"/>
                <w:szCs w:val="16"/>
              </w:rPr>
            </w:pPr>
            <w:r w:rsidRPr="008E319C">
              <w:rPr>
                <w:snapToGrid w:val="0"/>
                <w:sz w:val="16"/>
                <w:szCs w:val="16"/>
              </w:rPr>
              <w:t>Rs.20,000 plus 7.5 per cent of the gross amount exceeding Rs.400,000</w:t>
            </w:r>
          </w:p>
        </w:tc>
      </w:tr>
      <w:tr w:rsidR="00BF2117" w:rsidRPr="008E319C">
        <w:tc>
          <w:tcPr>
            <w:tcW w:w="810" w:type="dxa"/>
          </w:tcPr>
          <w:p w:rsidR="00BF2117" w:rsidRPr="008E319C" w:rsidRDefault="00BF2117" w:rsidP="00321D5C">
            <w:pPr>
              <w:widowControl w:val="0"/>
              <w:jc w:val="center"/>
              <w:rPr>
                <w:snapToGrid w:val="0"/>
                <w:sz w:val="16"/>
                <w:szCs w:val="16"/>
              </w:rPr>
            </w:pPr>
            <w:r w:rsidRPr="008E319C">
              <w:rPr>
                <w:snapToGrid w:val="0"/>
                <w:sz w:val="16"/>
                <w:szCs w:val="16"/>
              </w:rPr>
              <w:t xml:space="preserve">(3) </w:t>
            </w:r>
          </w:p>
        </w:tc>
        <w:tc>
          <w:tcPr>
            <w:tcW w:w="2472" w:type="dxa"/>
          </w:tcPr>
          <w:p w:rsidR="00BF2117" w:rsidRPr="008E319C" w:rsidRDefault="00BF2117" w:rsidP="00321D5C">
            <w:pPr>
              <w:widowControl w:val="0"/>
              <w:jc w:val="both"/>
              <w:rPr>
                <w:snapToGrid w:val="0"/>
                <w:sz w:val="16"/>
                <w:szCs w:val="16"/>
              </w:rPr>
            </w:pPr>
            <w:r w:rsidRPr="008E319C">
              <w:rPr>
                <w:snapToGrid w:val="0"/>
                <w:sz w:val="16"/>
                <w:szCs w:val="16"/>
              </w:rPr>
              <w:t>Where the gross amount of rent exceeds Rs.1,000,000</w:t>
            </w:r>
          </w:p>
        </w:tc>
        <w:tc>
          <w:tcPr>
            <w:tcW w:w="2472" w:type="dxa"/>
          </w:tcPr>
          <w:p w:rsidR="00BF2117" w:rsidRPr="008E319C" w:rsidRDefault="00BF2117" w:rsidP="00321D5C">
            <w:pPr>
              <w:widowControl w:val="0"/>
              <w:jc w:val="both"/>
              <w:rPr>
                <w:snapToGrid w:val="0"/>
                <w:sz w:val="16"/>
                <w:szCs w:val="16"/>
              </w:rPr>
            </w:pPr>
            <w:r w:rsidRPr="008E319C">
              <w:rPr>
                <w:snapToGrid w:val="0"/>
                <w:sz w:val="16"/>
                <w:szCs w:val="16"/>
              </w:rPr>
              <w:t>Rs.65,000 plus 10 per cent of the gross amount exceeding Rs.1,000,000.”</w:t>
            </w:r>
          </w:p>
        </w:tc>
      </w:tr>
    </w:tbl>
    <w:p w:rsidR="00BF2117" w:rsidRPr="008E319C" w:rsidRDefault="00BF2117" w:rsidP="00AA4BF8">
      <w:pPr>
        <w:rPr>
          <w:sz w:val="16"/>
          <w:szCs w:val="16"/>
        </w:rPr>
      </w:pPr>
    </w:p>
  </w:footnote>
  <w:footnote w:id="2086">
    <w:p w:rsidR="00BF2117" w:rsidRPr="008E319C" w:rsidRDefault="00BF2117">
      <w:pPr>
        <w:pStyle w:val="FootnoteText"/>
        <w:rPr>
          <w:sz w:val="16"/>
          <w:szCs w:val="16"/>
          <w:lang w:val="en-US"/>
        </w:rPr>
      </w:pPr>
      <w:r w:rsidRPr="008E319C">
        <w:rPr>
          <w:rStyle w:val="FootnoteReference"/>
          <w:sz w:val="16"/>
          <w:szCs w:val="16"/>
        </w:rPr>
        <w:footnoteRef/>
      </w:r>
      <w:r w:rsidRPr="008E319C">
        <w:rPr>
          <w:sz w:val="16"/>
          <w:szCs w:val="16"/>
        </w:rPr>
        <w:t xml:space="preserve"> Clause (28A) inserted by the Finance Act, 2013.</w:t>
      </w:r>
    </w:p>
  </w:footnote>
  <w:footnote w:id="2087">
    <w:p w:rsidR="00BF2117" w:rsidRPr="001E66EB" w:rsidRDefault="00BF2117" w:rsidP="009C6516">
      <w:pPr>
        <w:pStyle w:val="FootnoteText"/>
        <w:jc w:val="both"/>
        <w:rPr>
          <w:color w:val="000000" w:themeColor="text1"/>
          <w:sz w:val="16"/>
          <w:szCs w:val="16"/>
        </w:rPr>
      </w:pPr>
      <w:r w:rsidRPr="001E66EB">
        <w:rPr>
          <w:rStyle w:val="FootnoteReference"/>
          <w:color w:val="000000" w:themeColor="text1"/>
          <w:sz w:val="16"/>
          <w:szCs w:val="16"/>
        </w:rPr>
        <w:footnoteRef/>
      </w:r>
      <w:r w:rsidRPr="001E66EB">
        <w:rPr>
          <w:color w:val="000000" w:themeColor="text1"/>
          <w:sz w:val="16"/>
          <w:szCs w:val="16"/>
        </w:rPr>
        <w:t>Clause (29) omitted by the Finance Act, 2014. The omitted clause (29) read as follows:</w:t>
      </w:r>
    </w:p>
    <w:p w:rsidR="00BF2117" w:rsidRPr="001E66EB" w:rsidRDefault="00BF2117" w:rsidP="00BD6E7F">
      <w:pPr>
        <w:widowControl w:val="0"/>
        <w:ind w:firstLine="547"/>
        <w:jc w:val="both"/>
        <w:rPr>
          <w:color w:val="000000" w:themeColor="text1"/>
          <w:sz w:val="16"/>
          <w:szCs w:val="16"/>
          <w:lang w:val="en-US"/>
        </w:rPr>
      </w:pPr>
      <w:r w:rsidRPr="001E66EB">
        <w:rPr>
          <w:b/>
          <w:bCs/>
          <w:snapToGrid w:val="0"/>
          <w:color w:val="000000" w:themeColor="text1"/>
          <w:sz w:val="16"/>
          <w:szCs w:val="16"/>
        </w:rPr>
        <w:t>“(29)</w:t>
      </w:r>
      <w:r w:rsidRPr="001E66EB">
        <w:rPr>
          <w:snapToGrid w:val="0"/>
          <w:color w:val="000000" w:themeColor="text1"/>
          <w:sz w:val="16"/>
          <w:szCs w:val="16"/>
        </w:rPr>
        <w:tab/>
        <w:t>The rate of tax under section 153A as specified in Part IIA of the First Schedule shall be reduced to 0.1% in case of cigarette manufacturers who are registered under the Sales Tax Act, 1990.”</w:t>
      </w:r>
    </w:p>
  </w:footnote>
  <w:footnote w:id="2088">
    <w:p w:rsidR="00BF2117" w:rsidRPr="001E66EB" w:rsidRDefault="00BF2117" w:rsidP="001F693E">
      <w:pPr>
        <w:pStyle w:val="FootnoteText"/>
        <w:jc w:val="both"/>
        <w:rPr>
          <w:color w:val="000000" w:themeColor="text1"/>
          <w:sz w:val="16"/>
          <w:szCs w:val="16"/>
        </w:rPr>
      </w:pPr>
      <w:r w:rsidRPr="001E66EB">
        <w:rPr>
          <w:rStyle w:val="FootnoteReference"/>
          <w:color w:val="000000" w:themeColor="text1"/>
          <w:sz w:val="16"/>
          <w:szCs w:val="16"/>
        </w:rPr>
        <w:footnoteRef/>
      </w:r>
      <w:r w:rsidRPr="001E66EB">
        <w:rPr>
          <w:color w:val="000000" w:themeColor="text1"/>
          <w:sz w:val="16"/>
          <w:szCs w:val="16"/>
        </w:rPr>
        <w:t>Clause (30) omitted by the Finance Act, 2014. The omitted clause (30) read as follows:</w:t>
      </w:r>
    </w:p>
    <w:p w:rsidR="00BF2117" w:rsidRPr="001E66EB" w:rsidRDefault="00BF2117" w:rsidP="001F693E">
      <w:pPr>
        <w:pStyle w:val="FootnoteText"/>
        <w:ind w:hanging="173"/>
        <w:jc w:val="both"/>
        <w:rPr>
          <w:color w:val="000000" w:themeColor="text1"/>
          <w:sz w:val="16"/>
          <w:szCs w:val="16"/>
          <w:lang w:val="en-US"/>
        </w:rPr>
      </w:pPr>
      <w:r w:rsidRPr="001E66EB">
        <w:rPr>
          <w:snapToGrid w:val="0"/>
          <w:color w:val="000000" w:themeColor="text1"/>
          <w:sz w:val="16"/>
          <w:szCs w:val="16"/>
        </w:rPr>
        <w:t>“(30)</w:t>
      </w:r>
      <w:r w:rsidRPr="001E66EB">
        <w:rPr>
          <w:snapToGrid w:val="0"/>
          <w:color w:val="000000" w:themeColor="text1"/>
          <w:sz w:val="16"/>
          <w:szCs w:val="16"/>
        </w:rPr>
        <w:tab/>
        <w:t>The rate of tax as specified in column (3), against serial no. 2 in clause (1), in Division I of the Part I of First Schedule to the ordinance shall be reduced to 5%, for taxable income declared in a return for tax year 2012, filed under clause (87) or (88) of the Part IV of this Schedule.”</w:t>
      </w:r>
    </w:p>
  </w:footnote>
  <w:footnote w:id="2089">
    <w:p w:rsidR="00BF2117" w:rsidRPr="00A073F1" w:rsidRDefault="00BF2117">
      <w:pPr>
        <w:pStyle w:val="FootnoteText"/>
        <w:rPr>
          <w:sz w:val="16"/>
          <w:szCs w:val="16"/>
          <w:lang w:val="en-US"/>
        </w:rPr>
      </w:pPr>
      <w:r w:rsidRPr="00A073F1">
        <w:rPr>
          <w:rStyle w:val="FootnoteReference"/>
          <w:sz w:val="16"/>
          <w:szCs w:val="16"/>
        </w:rPr>
        <w:footnoteRef/>
      </w:r>
      <w:r>
        <w:rPr>
          <w:sz w:val="16"/>
          <w:szCs w:val="16"/>
        </w:rPr>
        <w:t>Added by the Finance Act, 2015.</w:t>
      </w:r>
    </w:p>
  </w:footnote>
  <w:footnote w:id="2090">
    <w:p w:rsidR="00BF2117" w:rsidRPr="008E319C" w:rsidRDefault="00BF2117" w:rsidP="00706E05">
      <w:pPr>
        <w:pStyle w:val="FootnoteText"/>
        <w:ind w:left="180" w:hanging="180"/>
        <w:rPr>
          <w:sz w:val="16"/>
          <w:szCs w:val="16"/>
          <w:lang w:val="en-US"/>
        </w:rPr>
      </w:pPr>
      <w:r w:rsidRPr="008E319C">
        <w:rPr>
          <w:rStyle w:val="FootnoteReference"/>
          <w:sz w:val="16"/>
          <w:szCs w:val="16"/>
        </w:rPr>
        <w:footnoteRef/>
      </w:r>
      <w:r w:rsidRPr="008E319C">
        <w:rPr>
          <w:sz w:val="16"/>
          <w:szCs w:val="16"/>
        </w:rPr>
        <w:t xml:space="preserve"> Sub-</w:t>
      </w:r>
      <w:r w:rsidRPr="008E319C">
        <w:rPr>
          <w:sz w:val="16"/>
          <w:szCs w:val="16"/>
          <w:lang w:val="en-US"/>
        </w:rPr>
        <w:t>Clause (1) substituted by the Finance Act, 2008 dated 27.07.2008. The substituted sub-clause (1) read as follows:</w:t>
      </w:r>
    </w:p>
    <w:p w:rsidR="00BF2117" w:rsidRPr="008E319C" w:rsidRDefault="00BF2117" w:rsidP="00706E05">
      <w:pPr>
        <w:pStyle w:val="FootnoteText"/>
        <w:ind w:left="180" w:hanging="180"/>
        <w:rPr>
          <w:sz w:val="16"/>
          <w:szCs w:val="16"/>
          <w:lang w:val="en-US"/>
        </w:rPr>
      </w:pPr>
      <w:r w:rsidRPr="008E319C">
        <w:rPr>
          <w:sz w:val="16"/>
          <w:szCs w:val="16"/>
          <w:lang w:val="en-US"/>
        </w:rPr>
        <w:tab/>
        <w:t>“ (1) Any amount received as flying allowance by –</w:t>
      </w:r>
    </w:p>
    <w:p w:rsidR="00BF2117" w:rsidRPr="008E319C" w:rsidRDefault="00BF2117" w:rsidP="004B20DC">
      <w:pPr>
        <w:pStyle w:val="FootnoteText"/>
        <w:numPr>
          <w:ilvl w:val="0"/>
          <w:numId w:val="49"/>
        </w:numPr>
        <w:rPr>
          <w:sz w:val="16"/>
          <w:szCs w:val="16"/>
          <w:lang w:val="en-US"/>
        </w:rPr>
      </w:pPr>
      <w:r w:rsidRPr="008E319C">
        <w:rPr>
          <w:sz w:val="16"/>
          <w:szCs w:val="16"/>
          <w:lang w:val="en-US"/>
        </w:rPr>
        <w:t>Pilots, flying engineers and navigators of Pakistan Armed Forces, Pakistanis Airlines or Civil Aviation Authority; and</w:t>
      </w:r>
    </w:p>
    <w:p w:rsidR="00BF2117" w:rsidRPr="008E319C" w:rsidRDefault="00BF2117" w:rsidP="004B20DC">
      <w:pPr>
        <w:pStyle w:val="FootnoteText"/>
        <w:numPr>
          <w:ilvl w:val="0"/>
          <w:numId w:val="49"/>
        </w:numPr>
        <w:rPr>
          <w:sz w:val="16"/>
          <w:szCs w:val="16"/>
          <w:lang w:val="en-US"/>
        </w:rPr>
      </w:pPr>
      <w:r w:rsidRPr="008E319C">
        <w:rPr>
          <w:sz w:val="16"/>
          <w:szCs w:val="16"/>
          <w:lang w:val="en-US"/>
        </w:rPr>
        <w:t>Junior Commissioned Officers and other ranks of Pakistan Armed Forces, shall be taxed @ 2.5% as a separate block of income.”</w:t>
      </w:r>
    </w:p>
  </w:footnote>
  <w:footnote w:id="2091">
    <w:p w:rsidR="00BF2117" w:rsidRPr="001E66EB" w:rsidRDefault="00BF2117">
      <w:pPr>
        <w:pStyle w:val="FootnoteText"/>
        <w:rPr>
          <w:color w:val="000000" w:themeColor="text1"/>
          <w:sz w:val="16"/>
          <w:szCs w:val="16"/>
          <w:lang w:val="en-US"/>
        </w:rPr>
      </w:pPr>
      <w:r w:rsidRPr="001E66EB">
        <w:rPr>
          <w:rStyle w:val="FootnoteReference"/>
          <w:color w:val="000000" w:themeColor="text1"/>
          <w:sz w:val="16"/>
          <w:szCs w:val="16"/>
        </w:rPr>
        <w:footnoteRef/>
      </w:r>
      <w:r w:rsidRPr="001E66EB">
        <w:rPr>
          <w:color w:val="000000" w:themeColor="text1"/>
          <w:sz w:val="16"/>
          <w:szCs w:val="16"/>
        </w:rPr>
        <w:t>T</w:t>
      </w:r>
      <w:r w:rsidRPr="001E66EB">
        <w:rPr>
          <w:color w:val="000000" w:themeColor="text1"/>
          <w:sz w:val="16"/>
          <w:szCs w:val="16"/>
          <w:lang w:val="en-US"/>
        </w:rPr>
        <w:t>he word and comma “pilots,” omitted by the Finance Act, 2014.</w:t>
      </w:r>
    </w:p>
  </w:footnote>
  <w:footnote w:id="2092">
    <w:p w:rsidR="00BF2117" w:rsidRPr="001E66EB" w:rsidRDefault="00BF2117" w:rsidP="00AA4BF8">
      <w:pPr>
        <w:pStyle w:val="FootnoteText"/>
        <w:rPr>
          <w:color w:val="000000" w:themeColor="text1"/>
          <w:sz w:val="16"/>
          <w:szCs w:val="16"/>
        </w:rPr>
      </w:pPr>
      <w:r w:rsidRPr="001E66EB">
        <w:rPr>
          <w:rStyle w:val="FootnoteReference"/>
          <w:rFonts w:cs="Arial"/>
          <w:color w:val="000000" w:themeColor="text1"/>
          <w:sz w:val="16"/>
          <w:szCs w:val="16"/>
        </w:rPr>
        <w:footnoteRef/>
      </w:r>
      <w:r w:rsidRPr="001E66EB">
        <w:rPr>
          <w:color w:val="000000" w:themeColor="text1"/>
          <w:sz w:val="16"/>
          <w:szCs w:val="16"/>
        </w:rPr>
        <w:t xml:space="preserve"> Full stop substituted by the Finance Act, 2013.</w:t>
      </w:r>
    </w:p>
  </w:footnote>
  <w:footnote w:id="2093">
    <w:p w:rsidR="00BF2117" w:rsidRPr="001E66EB" w:rsidRDefault="00BF2117" w:rsidP="00AA4BF8">
      <w:pPr>
        <w:pStyle w:val="FootnoteText"/>
        <w:rPr>
          <w:color w:val="000000" w:themeColor="text1"/>
          <w:sz w:val="16"/>
          <w:szCs w:val="16"/>
        </w:rPr>
      </w:pPr>
      <w:r w:rsidRPr="001E66EB">
        <w:rPr>
          <w:rStyle w:val="FootnoteReference"/>
          <w:rFonts w:cs="Arial"/>
          <w:color w:val="000000" w:themeColor="text1"/>
          <w:sz w:val="16"/>
          <w:szCs w:val="16"/>
        </w:rPr>
        <w:footnoteRef/>
      </w:r>
      <w:r w:rsidRPr="001E66EB">
        <w:rPr>
          <w:color w:val="000000" w:themeColor="text1"/>
          <w:sz w:val="16"/>
          <w:szCs w:val="16"/>
        </w:rPr>
        <w:t xml:space="preserve"> Added by the Finance Act, 2013.</w:t>
      </w:r>
    </w:p>
  </w:footnote>
  <w:footnote w:id="2094">
    <w:p w:rsidR="00BF2117" w:rsidRPr="001E66EB" w:rsidRDefault="00BF2117" w:rsidP="00AA4BF8">
      <w:pPr>
        <w:pStyle w:val="FootnoteText"/>
        <w:rPr>
          <w:color w:val="000000" w:themeColor="text1"/>
          <w:sz w:val="16"/>
          <w:szCs w:val="16"/>
          <w:lang w:val="en-US"/>
        </w:rPr>
      </w:pPr>
      <w:r w:rsidRPr="001E66EB">
        <w:rPr>
          <w:rStyle w:val="FootnoteReference"/>
          <w:color w:val="000000" w:themeColor="text1"/>
          <w:sz w:val="16"/>
          <w:szCs w:val="16"/>
        </w:rPr>
        <w:footnoteRef/>
      </w:r>
      <w:r w:rsidRPr="001E66EB">
        <w:rPr>
          <w:color w:val="000000" w:themeColor="text1"/>
          <w:sz w:val="16"/>
          <w:szCs w:val="16"/>
        </w:rPr>
        <w:t>Sub-</w:t>
      </w:r>
      <w:r w:rsidRPr="001E66EB">
        <w:rPr>
          <w:color w:val="000000" w:themeColor="text1"/>
          <w:sz w:val="16"/>
          <w:szCs w:val="16"/>
          <w:lang w:val="en-US"/>
        </w:rPr>
        <w:t>Clause (1A) omitted by Finance Act, 2014. The omitted sub-clause (1A) read as follows:</w:t>
      </w:r>
    </w:p>
    <w:p w:rsidR="00BF2117" w:rsidRPr="001E66EB" w:rsidRDefault="00BF2117" w:rsidP="00A101D7">
      <w:pPr>
        <w:jc w:val="both"/>
        <w:rPr>
          <w:color w:val="000000" w:themeColor="text1"/>
          <w:sz w:val="16"/>
          <w:szCs w:val="16"/>
          <w:lang w:val="en-US"/>
        </w:rPr>
      </w:pPr>
      <w:r w:rsidRPr="001E66EB">
        <w:rPr>
          <w:color w:val="000000" w:themeColor="text1"/>
          <w:sz w:val="16"/>
          <w:szCs w:val="16"/>
          <w:lang w:val="en-US"/>
        </w:rPr>
        <w:t>“</w:t>
      </w:r>
      <w:r w:rsidRPr="001E66EB">
        <w:rPr>
          <w:rFonts w:cs="Arial"/>
          <w:color w:val="000000" w:themeColor="text1"/>
          <w:sz w:val="16"/>
          <w:szCs w:val="16"/>
        </w:rPr>
        <w:t>(1A)</w:t>
      </w:r>
      <w:r w:rsidRPr="001E66EB">
        <w:rPr>
          <w:rFonts w:cs="Arial"/>
          <w:color w:val="000000" w:themeColor="text1"/>
          <w:sz w:val="16"/>
          <w:szCs w:val="16"/>
        </w:rPr>
        <w:tab/>
        <w:t xml:space="preserve">Where the taxable income </w:t>
      </w:r>
      <w:r w:rsidRPr="001E66EB">
        <w:rPr>
          <w:rStyle w:val="FootnoteReference"/>
          <w:rFonts w:cs="Arial"/>
          <w:color w:val="000000" w:themeColor="text1"/>
          <w:sz w:val="16"/>
          <w:szCs w:val="16"/>
        </w:rPr>
        <w:footnoteRef/>
      </w:r>
      <w:r w:rsidRPr="001E66EB">
        <w:rPr>
          <w:rFonts w:cs="Arial"/>
          <w:color w:val="000000" w:themeColor="text1"/>
          <w:sz w:val="16"/>
          <w:szCs w:val="16"/>
        </w:rPr>
        <w:t xml:space="preserve">[other than income on which the deduction of tax is final], in a tax year, of a taxpayer aged </w:t>
      </w:r>
      <w:r w:rsidRPr="001E66EB">
        <w:rPr>
          <w:rStyle w:val="FootnoteReference"/>
          <w:rFonts w:cs="Arial"/>
          <w:color w:val="000000" w:themeColor="text1"/>
          <w:sz w:val="16"/>
          <w:szCs w:val="16"/>
        </w:rPr>
        <w:footnoteRef/>
      </w:r>
      <w:r w:rsidRPr="001E66EB">
        <w:rPr>
          <w:rFonts w:cs="Arial"/>
          <w:color w:val="000000" w:themeColor="text1"/>
          <w:sz w:val="16"/>
          <w:szCs w:val="16"/>
        </w:rPr>
        <w:t xml:space="preserve">[60] years or more on the first day of that tax year does not exceed </w:t>
      </w:r>
      <w:r w:rsidRPr="001E66EB">
        <w:rPr>
          <w:rStyle w:val="FootnoteReference"/>
          <w:rFonts w:cs="Arial"/>
          <w:color w:val="000000" w:themeColor="text1"/>
          <w:sz w:val="16"/>
          <w:szCs w:val="16"/>
        </w:rPr>
        <w:footnoteRef/>
      </w:r>
      <w:r w:rsidRPr="001E66EB">
        <w:rPr>
          <w:rFonts w:cs="Arial"/>
          <w:color w:val="000000" w:themeColor="text1"/>
          <w:sz w:val="16"/>
          <w:szCs w:val="16"/>
        </w:rPr>
        <w:t>[one million] rupees, his tax liability on such income shall be reduced by 50%.”</w:t>
      </w:r>
    </w:p>
  </w:footnote>
  <w:footnote w:id="2095">
    <w:p w:rsidR="00BF2117" w:rsidRPr="001E66EB" w:rsidRDefault="00BF2117" w:rsidP="00AA4BF8">
      <w:pPr>
        <w:pStyle w:val="FootnoteText"/>
        <w:rPr>
          <w:color w:val="000000" w:themeColor="text1"/>
          <w:sz w:val="16"/>
          <w:szCs w:val="16"/>
          <w:lang w:val="en-US"/>
        </w:rPr>
      </w:pPr>
      <w:r w:rsidRPr="001E66EB">
        <w:rPr>
          <w:rStyle w:val="FootnoteReference"/>
          <w:color w:val="000000" w:themeColor="text1"/>
          <w:sz w:val="16"/>
          <w:szCs w:val="16"/>
        </w:rPr>
        <w:footnoteRef/>
      </w:r>
      <w:r w:rsidRPr="001E66EB">
        <w:rPr>
          <w:color w:val="000000" w:themeColor="text1"/>
          <w:sz w:val="16"/>
          <w:szCs w:val="16"/>
          <w:lang w:val="en-US"/>
        </w:rPr>
        <w:t>Clause (1AA) inserted by the Finance Act, 2014.</w:t>
      </w:r>
    </w:p>
  </w:footnote>
  <w:footnote w:id="2096">
    <w:p w:rsidR="00BF2117" w:rsidRPr="008E319C" w:rsidRDefault="00BF2117" w:rsidP="00DA781A">
      <w:pPr>
        <w:pStyle w:val="FootnoteText"/>
        <w:ind w:left="180" w:hanging="180"/>
        <w:rPr>
          <w:sz w:val="16"/>
          <w:szCs w:val="16"/>
        </w:rPr>
      </w:pPr>
      <w:r w:rsidRPr="008E319C">
        <w:rPr>
          <w:rStyle w:val="FootnoteReference"/>
          <w:rFonts w:cs="Arial"/>
          <w:sz w:val="16"/>
          <w:szCs w:val="16"/>
        </w:rPr>
        <w:footnoteRef/>
      </w:r>
      <w:r w:rsidRPr="008E319C">
        <w:rPr>
          <w:sz w:val="16"/>
          <w:szCs w:val="16"/>
        </w:rPr>
        <w:t xml:space="preserve"> Sub-Clause (2) substituted by the Finance Act, 2006. The substituted sub-clause (2) read as follows:</w:t>
      </w:r>
    </w:p>
    <w:p w:rsidR="00BF2117" w:rsidRPr="008E319C" w:rsidRDefault="00BF2117" w:rsidP="00AA4BF8">
      <w:pPr>
        <w:ind w:left="180" w:hanging="90"/>
        <w:jc w:val="both"/>
        <w:rPr>
          <w:sz w:val="16"/>
          <w:szCs w:val="16"/>
        </w:rPr>
      </w:pPr>
      <w:r w:rsidRPr="008E319C">
        <w:rPr>
          <w:sz w:val="16"/>
          <w:szCs w:val="16"/>
        </w:rPr>
        <w:t>“(2)</w:t>
      </w:r>
      <w:r w:rsidRPr="008E319C">
        <w:rPr>
          <w:sz w:val="16"/>
          <w:szCs w:val="16"/>
        </w:rPr>
        <w:tab/>
        <w:t>In addition to the reduction specified in sub-clause (1), the tax payable by a full time teacher or a researcher, employed in a non profit education or research institution including government training and research institution duly recognized by a Board of Education or a University or the Higher Education Commission, shall be further reduced by an amount equal to 75% of the tax payable after the aforesaid reduction.”</w:t>
      </w:r>
    </w:p>
  </w:footnote>
  <w:footnote w:id="2097">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The figure “75” substituted by the Finance Act, 2013.</w:t>
      </w:r>
    </w:p>
  </w:footnote>
  <w:footnote w:id="2098">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Omitted by the Finance Act, 2008. The omitted clause (3) read as follows:</w:t>
      </w:r>
    </w:p>
    <w:p w:rsidR="00BF2117" w:rsidRPr="008E319C" w:rsidRDefault="00BF2117" w:rsidP="00AA4BF8">
      <w:pPr>
        <w:widowControl w:val="0"/>
        <w:ind w:left="270" w:hanging="90"/>
        <w:jc w:val="both"/>
        <w:rPr>
          <w:sz w:val="16"/>
          <w:szCs w:val="16"/>
        </w:rPr>
      </w:pPr>
      <w:r w:rsidRPr="008E319C">
        <w:rPr>
          <w:sz w:val="16"/>
          <w:szCs w:val="16"/>
        </w:rPr>
        <w:t>“</w:t>
      </w:r>
      <w:r w:rsidRPr="008E319C">
        <w:rPr>
          <w:b/>
          <w:bCs/>
          <w:snapToGrid w:val="0"/>
          <w:sz w:val="16"/>
          <w:szCs w:val="16"/>
        </w:rPr>
        <w:t xml:space="preserve">(3)  </w:t>
      </w:r>
      <w:r w:rsidRPr="008E319C">
        <w:rPr>
          <w:snapToGrid w:val="0"/>
          <w:sz w:val="16"/>
          <w:szCs w:val="16"/>
        </w:rPr>
        <w:t>Where any company engaged in the business of distribution of cigarette manufactured in Pakistan is required to pay minimum tax on the amount representing its turnover under section 113, the amount of tax payable under the said section shall be reduced by eighty per cent.”</w:t>
      </w:r>
    </w:p>
  </w:footnote>
  <w:footnote w:id="2099">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Clause (4) substituted by the Finance Act, 2011. The substituted clause (4) read as follows:</w:t>
      </w:r>
    </w:p>
    <w:p w:rsidR="00BF2117" w:rsidRPr="008E319C" w:rsidRDefault="00BF2117" w:rsidP="00AA4BF8">
      <w:pPr>
        <w:widowControl w:val="0"/>
        <w:ind w:left="180" w:hanging="90"/>
        <w:jc w:val="both"/>
        <w:rPr>
          <w:snapToGrid w:val="0"/>
          <w:sz w:val="16"/>
          <w:szCs w:val="16"/>
        </w:rPr>
      </w:pPr>
      <w:r w:rsidRPr="008E319C">
        <w:rPr>
          <w:sz w:val="16"/>
          <w:szCs w:val="16"/>
        </w:rPr>
        <w:t>“</w:t>
      </w:r>
      <w:r w:rsidRPr="008E319C">
        <w:rPr>
          <w:b/>
          <w:bCs/>
          <w:snapToGrid w:val="0"/>
          <w:sz w:val="16"/>
          <w:szCs w:val="16"/>
        </w:rPr>
        <w:t>(4)</w:t>
      </w:r>
      <w:r w:rsidRPr="008E319C">
        <w:rPr>
          <w:snapToGrid w:val="0"/>
          <w:sz w:val="16"/>
          <w:szCs w:val="16"/>
        </w:rPr>
        <w:tab/>
        <w:t>In respect of old and used automotive vehicles specified in Notification No. S.R.O. 932(I)/2004, dated the 20</w:t>
      </w:r>
      <w:r w:rsidRPr="008E319C">
        <w:rPr>
          <w:snapToGrid w:val="0"/>
          <w:sz w:val="16"/>
          <w:szCs w:val="16"/>
          <w:vertAlign w:val="superscript"/>
        </w:rPr>
        <w:t>th</w:t>
      </w:r>
      <w:r w:rsidRPr="008E319C">
        <w:rPr>
          <w:snapToGrid w:val="0"/>
          <w:sz w:val="16"/>
          <w:szCs w:val="16"/>
        </w:rPr>
        <w:t xml:space="preserve"> November, 2004, the tax under section 148 of the Income Tax Ordinance, 2001, shall not exceed the amount specified in column (3) of the Table below, namely:</w:t>
      </w:r>
      <w:r w:rsidRPr="008E319C">
        <w:rPr>
          <w:sz w:val="16"/>
          <w:szCs w:val="16"/>
        </w:rPr>
        <w:t>—</w:t>
      </w:r>
    </w:p>
    <w:p w:rsidR="00BF2117" w:rsidRPr="008E319C" w:rsidRDefault="00BF2117" w:rsidP="00AA4BF8">
      <w:pPr>
        <w:pStyle w:val="Heading2"/>
        <w:widowControl w:val="0"/>
        <w:pBdr>
          <w:bottom w:val="single" w:sz="4" w:space="1" w:color="auto"/>
        </w:pBdr>
        <w:spacing w:line="240" w:lineRule="auto"/>
        <w:rPr>
          <w:snapToGrid w:val="0"/>
          <w:sz w:val="16"/>
          <w:szCs w:val="16"/>
        </w:rPr>
      </w:pPr>
      <w:r w:rsidRPr="008E319C">
        <w:rPr>
          <w:snapToGrid w:val="0"/>
          <w:sz w:val="16"/>
          <w:szCs w:val="16"/>
        </w:rPr>
        <w:t>TABLE</w:t>
      </w:r>
    </w:p>
    <w:tbl>
      <w:tblPr>
        <w:tblW w:w="0" w:type="auto"/>
        <w:tblInd w:w="2" w:type="dxa"/>
        <w:tblLook w:val="0000"/>
      </w:tblPr>
      <w:tblGrid>
        <w:gridCol w:w="900"/>
        <w:gridCol w:w="3756"/>
        <w:gridCol w:w="2454"/>
      </w:tblGrid>
      <w:tr w:rsidR="00BF2117" w:rsidRPr="008E319C">
        <w:tc>
          <w:tcPr>
            <w:tcW w:w="900" w:type="dxa"/>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S.No.</w:t>
            </w:r>
          </w:p>
        </w:tc>
        <w:tc>
          <w:tcPr>
            <w:tcW w:w="3756" w:type="dxa"/>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Vehicles meant for transport of persons</w:t>
            </w:r>
          </w:p>
        </w:tc>
        <w:tc>
          <w:tcPr>
            <w:tcW w:w="2454" w:type="dxa"/>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Income tax in Pak Rupees</w:t>
            </w:r>
          </w:p>
        </w:tc>
      </w:tr>
      <w:tr w:rsidR="00BF2117" w:rsidRPr="008E319C">
        <w:tc>
          <w:tcPr>
            <w:tcW w:w="900" w:type="dxa"/>
            <w:tcBorders>
              <w:bottom w:val="single" w:sz="4" w:space="0" w:color="auto"/>
            </w:tcBorders>
          </w:tcPr>
          <w:p w:rsidR="00BF2117" w:rsidRPr="008E319C" w:rsidRDefault="00BF2117" w:rsidP="00BF40CE">
            <w:pPr>
              <w:pStyle w:val="Heading2"/>
              <w:widowControl w:val="0"/>
              <w:spacing w:line="240" w:lineRule="auto"/>
              <w:ind w:left="-288"/>
              <w:rPr>
                <w:b w:val="0"/>
                <w:bCs/>
                <w:snapToGrid w:val="0"/>
                <w:sz w:val="16"/>
                <w:szCs w:val="16"/>
              </w:rPr>
            </w:pPr>
            <w:r w:rsidRPr="008E319C">
              <w:rPr>
                <w:b w:val="0"/>
                <w:snapToGrid w:val="0"/>
                <w:sz w:val="16"/>
                <w:szCs w:val="16"/>
              </w:rPr>
              <w:t>(1)</w:t>
            </w:r>
          </w:p>
        </w:tc>
        <w:tc>
          <w:tcPr>
            <w:tcW w:w="3756" w:type="dxa"/>
            <w:tcBorders>
              <w:bottom w:val="single" w:sz="4" w:space="0" w:color="auto"/>
            </w:tcBorders>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(2)</w:t>
            </w:r>
          </w:p>
        </w:tc>
        <w:tc>
          <w:tcPr>
            <w:tcW w:w="2454" w:type="dxa"/>
            <w:tcBorders>
              <w:bottom w:val="single" w:sz="4" w:space="0" w:color="auto"/>
            </w:tcBorders>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(3)</w:t>
            </w:r>
          </w:p>
        </w:tc>
      </w:tr>
      <w:tr w:rsidR="00BF2117" w:rsidRPr="008E319C">
        <w:tc>
          <w:tcPr>
            <w:tcW w:w="900" w:type="dxa"/>
            <w:tcBorders>
              <w:top w:val="single" w:sz="4" w:space="0" w:color="auto"/>
            </w:tcBorders>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1.</w:t>
            </w:r>
          </w:p>
        </w:tc>
        <w:tc>
          <w:tcPr>
            <w:tcW w:w="3756" w:type="dxa"/>
            <w:tcBorders>
              <w:top w:val="single" w:sz="4" w:space="0" w:color="auto"/>
            </w:tcBorders>
          </w:tcPr>
          <w:p w:rsidR="00BF2117" w:rsidRPr="008E319C" w:rsidRDefault="00BF2117" w:rsidP="00BF40CE">
            <w:pPr>
              <w:pStyle w:val="Heading2"/>
              <w:widowControl w:val="0"/>
              <w:spacing w:line="240" w:lineRule="auto"/>
              <w:jc w:val="left"/>
              <w:rPr>
                <w:b w:val="0"/>
                <w:bCs/>
                <w:snapToGrid w:val="0"/>
                <w:sz w:val="16"/>
                <w:szCs w:val="16"/>
              </w:rPr>
            </w:pPr>
            <w:r w:rsidRPr="008E319C">
              <w:rPr>
                <w:b w:val="0"/>
                <w:snapToGrid w:val="0"/>
                <w:sz w:val="16"/>
                <w:szCs w:val="16"/>
              </w:rPr>
              <w:t>Upto 800CC</w:t>
            </w:r>
          </w:p>
        </w:tc>
        <w:tc>
          <w:tcPr>
            <w:tcW w:w="2454" w:type="dxa"/>
            <w:tcBorders>
              <w:top w:val="single" w:sz="4" w:space="0" w:color="auto"/>
            </w:tcBorders>
          </w:tcPr>
          <w:p w:rsidR="00BF2117" w:rsidRPr="008E319C" w:rsidRDefault="00BF2117" w:rsidP="00BF40CE">
            <w:pPr>
              <w:pStyle w:val="Heading2"/>
              <w:widowControl w:val="0"/>
              <w:spacing w:line="240" w:lineRule="auto"/>
              <w:jc w:val="right"/>
              <w:rPr>
                <w:b w:val="0"/>
                <w:bCs/>
                <w:snapToGrid w:val="0"/>
                <w:sz w:val="16"/>
                <w:szCs w:val="16"/>
              </w:rPr>
            </w:pPr>
            <w:r w:rsidRPr="008E319C">
              <w:rPr>
                <w:b w:val="0"/>
                <w:snapToGrid w:val="0"/>
                <w:sz w:val="16"/>
                <w:szCs w:val="16"/>
              </w:rPr>
              <w:t>Rs.29,852</w:t>
            </w:r>
          </w:p>
        </w:tc>
      </w:tr>
      <w:tr w:rsidR="00BF2117" w:rsidRPr="008E319C">
        <w:tc>
          <w:tcPr>
            <w:tcW w:w="900" w:type="dxa"/>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2.</w:t>
            </w:r>
          </w:p>
        </w:tc>
        <w:tc>
          <w:tcPr>
            <w:tcW w:w="3756" w:type="dxa"/>
          </w:tcPr>
          <w:p w:rsidR="00BF2117" w:rsidRPr="008E319C" w:rsidRDefault="00BF2117" w:rsidP="00BF40CE">
            <w:pPr>
              <w:pStyle w:val="Heading2"/>
              <w:widowControl w:val="0"/>
              <w:spacing w:line="240" w:lineRule="auto"/>
              <w:jc w:val="left"/>
              <w:rPr>
                <w:b w:val="0"/>
                <w:bCs/>
                <w:snapToGrid w:val="0"/>
                <w:sz w:val="16"/>
                <w:szCs w:val="16"/>
              </w:rPr>
            </w:pPr>
            <w:r w:rsidRPr="008E319C">
              <w:rPr>
                <w:b w:val="0"/>
                <w:snapToGrid w:val="0"/>
                <w:sz w:val="16"/>
                <w:szCs w:val="16"/>
              </w:rPr>
              <w:t>From 801CC to 1000CC</w:t>
            </w:r>
          </w:p>
        </w:tc>
        <w:tc>
          <w:tcPr>
            <w:tcW w:w="2454" w:type="dxa"/>
          </w:tcPr>
          <w:p w:rsidR="00BF2117" w:rsidRPr="008E319C" w:rsidRDefault="00BF2117" w:rsidP="00BF40CE">
            <w:pPr>
              <w:pStyle w:val="Heading2"/>
              <w:widowControl w:val="0"/>
              <w:spacing w:line="240" w:lineRule="auto"/>
              <w:jc w:val="right"/>
              <w:rPr>
                <w:b w:val="0"/>
                <w:bCs/>
                <w:snapToGrid w:val="0"/>
                <w:sz w:val="16"/>
                <w:szCs w:val="16"/>
              </w:rPr>
            </w:pPr>
            <w:r w:rsidRPr="008E319C">
              <w:rPr>
                <w:b w:val="0"/>
                <w:snapToGrid w:val="0"/>
                <w:sz w:val="16"/>
                <w:szCs w:val="16"/>
              </w:rPr>
              <w:t>Rs.34,497</w:t>
            </w:r>
          </w:p>
        </w:tc>
      </w:tr>
      <w:tr w:rsidR="00BF2117" w:rsidRPr="008E319C">
        <w:tc>
          <w:tcPr>
            <w:tcW w:w="900" w:type="dxa"/>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3.</w:t>
            </w:r>
          </w:p>
        </w:tc>
        <w:tc>
          <w:tcPr>
            <w:tcW w:w="3756" w:type="dxa"/>
          </w:tcPr>
          <w:p w:rsidR="00BF2117" w:rsidRPr="008E319C" w:rsidRDefault="00BF2117" w:rsidP="00BF40CE">
            <w:pPr>
              <w:pStyle w:val="Heading2"/>
              <w:widowControl w:val="0"/>
              <w:spacing w:line="240" w:lineRule="auto"/>
              <w:jc w:val="left"/>
              <w:rPr>
                <w:b w:val="0"/>
                <w:bCs/>
                <w:snapToGrid w:val="0"/>
                <w:sz w:val="16"/>
                <w:szCs w:val="16"/>
              </w:rPr>
            </w:pPr>
            <w:r w:rsidRPr="008E319C">
              <w:rPr>
                <w:b w:val="0"/>
                <w:snapToGrid w:val="0"/>
                <w:sz w:val="16"/>
                <w:szCs w:val="16"/>
              </w:rPr>
              <w:t>From 1001CC to 1300CC</w:t>
            </w:r>
          </w:p>
        </w:tc>
        <w:tc>
          <w:tcPr>
            <w:tcW w:w="2454" w:type="dxa"/>
          </w:tcPr>
          <w:p w:rsidR="00BF2117" w:rsidRPr="008E319C" w:rsidRDefault="00BF2117" w:rsidP="00BF40CE">
            <w:pPr>
              <w:pStyle w:val="Heading2"/>
              <w:widowControl w:val="0"/>
              <w:spacing w:line="240" w:lineRule="auto"/>
              <w:jc w:val="right"/>
              <w:rPr>
                <w:b w:val="0"/>
                <w:bCs/>
                <w:snapToGrid w:val="0"/>
                <w:sz w:val="16"/>
                <w:szCs w:val="16"/>
              </w:rPr>
            </w:pPr>
            <w:r w:rsidRPr="008E319C">
              <w:rPr>
                <w:b w:val="0"/>
                <w:snapToGrid w:val="0"/>
                <w:sz w:val="16"/>
                <w:szCs w:val="16"/>
              </w:rPr>
              <w:t>Rs.67,282</w:t>
            </w:r>
          </w:p>
        </w:tc>
      </w:tr>
      <w:tr w:rsidR="00BF2117" w:rsidRPr="008E319C">
        <w:tc>
          <w:tcPr>
            <w:tcW w:w="900" w:type="dxa"/>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4.</w:t>
            </w:r>
          </w:p>
        </w:tc>
        <w:tc>
          <w:tcPr>
            <w:tcW w:w="3756" w:type="dxa"/>
          </w:tcPr>
          <w:p w:rsidR="00BF2117" w:rsidRPr="008E319C" w:rsidRDefault="00BF2117" w:rsidP="00BF40CE">
            <w:pPr>
              <w:pStyle w:val="Heading2"/>
              <w:widowControl w:val="0"/>
              <w:spacing w:line="240" w:lineRule="auto"/>
              <w:jc w:val="left"/>
              <w:rPr>
                <w:b w:val="0"/>
                <w:bCs/>
                <w:snapToGrid w:val="0"/>
                <w:sz w:val="16"/>
                <w:szCs w:val="16"/>
              </w:rPr>
            </w:pPr>
            <w:r w:rsidRPr="008E319C">
              <w:rPr>
                <w:b w:val="0"/>
                <w:snapToGrid w:val="0"/>
                <w:sz w:val="16"/>
                <w:szCs w:val="16"/>
              </w:rPr>
              <w:t>From 1301CC to 1600CC</w:t>
            </w:r>
          </w:p>
        </w:tc>
        <w:tc>
          <w:tcPr>
            <w:tcW w:w="2454" w:type="dxa"/>
          </w:tcPr>
          <w:p w:rsidR="00BF2117" w:rsidRPr="008E319C" w:rsidRDefault="00BF2117" w:rsidP="00BF40CE">
            <w:pPr>
              <w:pStyle w:val="Heading2"/>
              <w:widowControl w:val="0"/>
              <w:spacing w:line="240" w:lineRule="auto"/>
              <w:jc w:val="right"/>
              <w:rPr>
                <w:b w:val="0"/>
                <w:bCs/>
                <w:snapToGrid w:val="0"/>
                <w:sz w:val="16"/>
                <w:szCs w:val="16"/>
              </w:rPr>
            </w:pPr>
            <w:r w:rsidRPr="008E319C">
              <w:rPr>
                <w:b w:val="0"/>
                <w:snapToGrid w:val="0"/>
                <w:sz w:val="16"/>
                <w:szCs w:val="16"/>
              </w:rPr>
              <w:t>Rs.105,061</w:t>
            </w:r>
          </w:p>
        </w:tc>
      </w:tr>
      <w:tr w:rsidR="00BF2117" w:rsidRPr="008E319C">
        <w:tc>
          <w:tcPr>
            <w:tcW w:w="900" w:type="dxa"/>
          </w:tcPr>
          <w:p w:rsidR="00BF2117" w:rsidRPr="008E319C" w:rsidRDefault="00BF2117" w:rsidP="00BF40CE">
            <w:pPr>
              <w:pStyle w:val="Heading2"/>
              <w:widowControl w:val="0"/>
              <w:spacing w:line="240" w:lineRule="auto"/>
              <w:rPr>
                <w:b w:val="0"/>
                <w:bCs/>
                <w:snapToGrid w:val="0"/>
                <w:sz w:val="16"/>
                <w:szCs w:val="16"/>
              </w:rPr>
            </w:pPr>
            <w:r w:rsidRPr="008E319C">
              <w:rPr>
                <w:b w:val="0"/>
                <w:snapToGrid w:val="0"/>
                <w:sz w:val="16"/>
                <w:szCs w:val="16"/>
              </w:rPr>
              <w:t>5.</w:t>
            </w:r>
          </w:p>
        </w:tc>
        <w:tc>
          <w:tcPr>
            <w:tcW w:w="3756" w:type="dxa"/>
          </w:tcPr>
          <w:p w:rsidR="00BF2117" w:rsidRPr="008E319C" w:rsidRDefault="00BF2117" w:rsidP="00BF40CE">
            <w:pPr>
              <w:pStyle w:val="Heading2"/>
              <w:widowControl w:val="0"/>
              <w:spacing w:line="240" w:lineRule="auto"/>
              <w:jc w:val="left"/>
              <w:rPr>
                <w:b w:val="0"/>
                <w:bCs/>
                <w:snapToGrid w:val="0"/>
                <w:sz w:val="16"/>
                <w:szCs w:val="16"/>
              </w:rPr>
            </w:pPr>
            <w:r w:rsidRPr="008E319C">
              <w:rPr>
                <w:b w:val="0"/>
                <w:snapToGrid w:val="0"/>
                <w:sz w:val="16"/>
                <w:szCs w:val="16"/>
              </w:rPr>
              <w:t>From 1601CC to 1800CC</w:t>
            </w:r>
          </w:p>
        </w:tc>
        <w:tc>
          <w:tcPr>
            <w:tcW w:w="2454" w:type="dxa"/>
          </w:tcPr>
          <w:p w:rsidR="00BF2117" w:rsidRPr="008E319C" w:rsidRDefault="00BF2117" w:rsidP="00BF40CE">
            <w:pPr>
              <w:pStyle w:val="Heading2"/>
              <w:widowControl w:val="0"/>
              <w:spacing w:line="240" w:lineRule="auto"/>
              <w:jc w:val="right"/>
              <w:rPr>
                <w:b w:val="0"/>
                <w:bCs/>
                <w:snapToGrid w:val="0"/>
                <w:sz w:val="16"/>
                <w:szCs w:val="16"/>
              </w:rPr>
            </w:pPr>
            <w:r w:rsidRPr="008E319C">
              <w:rPr>
                <w:b w:val="0"/>
                <w:snapToGrid w:val="0"/>
                <w:sz w:val="16"/>
                <w:szCs w:val="16"/>
              </w:rPr>
              <w:t>Rs.120,256”</w:t>
            </w:r>
          </w:p>
        </w:tc>
      </w:tr>
    </w:tbl>
    <w:p w:rsidR="00BF2117" w:rsidRPr="008E319C" w:rsidRDefault="00BF2117" w:rsidP="00AA4BF8">
      <w:pPr>
        <w:rPr>
          <w:sz w:val="16"/>
          <w:szCs w:val="16"/>
        </w:rPr>
      </w:pPr>
    </w:p>
  </w:footnote>
  <w:footnote w:id="2100">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(5) omitted by the Finance Act, 2014. The Omitted clause (5) read as follows:</w:t>
      </w:r>
    </w:p>
    <w:p w:rsidR="00BF2117" w:rsidRPr="00F852EB" w:rsidRDefault="00BF2117" w:rsidP="005D5C47">
      <w:pPr>
        <w:jc w:val="both"/>
        <w:rPr>
          <w:color w:val="000000" w:themeColor="text1"/>
          <w:lang w:val="en-US"/>
        </w:rPr>
      </w:pPr>
      <w:r w:rsidRPr="00F852EB">
        <w:rPr>
          <w:color w:val="000000" w:themeColor="text1"/>
          <w:sz w:val="16"/>
          <w:szCs w:val="16"/>
          <w:lang w:val="en-US"/>
        </w:rPr>
        <w:t>“</w:t>
      </w:r>
      <w:r w:rsidRPr="00F852EB">
        <w:rPr>
          <w:b/>
          <w:color w:val="000000" w:themeColor="text1"/>
          <w:sz w:val="16"/>
          <w:szCs w:val="16"/>
        </w:rPr>
        <w:t xml:space="preserve">(5) </w:t>
      </w:r>
      <w:r w:rsidRPr="00F852EB">
        <w:rPr>
          <w:color w:val="000000" w:themeColor="text1"/>
          <w:sz w:val="16"/>
          <w:szCs w:val="16"/>
        </w:rPr>
        <w:tab/>
        <w:t>Where the corporatized entities of Pakistan Water and Power Development Authority (DISCOs) and National Transmission and Dispatch Company (NTDC), are required to pay minimum tax under section 113, the purchase price of electricity shall be excluded from the turnover liable to minimum tax up to the tax year 2013.”</w:t>
      </w:r>
    </w:p>
  </w:footnote>
  <w:footnote w:id="2101">
    <w:p w:rsidR="00BF2117" w:rsidRPr="008E319C" w:rsidRDefault="00BF2117" w:rsidP="00AA4BF8">
      <w:pPr>
        <w:pStyle w:val="FootnoteText"/>
        <w:rPr>
          <w:sz w:val="16"/>
          <w:szCs w:val="16"/>
        </w:rPr>
      </w:pPr>
      <w:r w:rsidRPr="008E319C">
        <w:rPr>
          <w:rStyle w:val="FootnoteReference"/>
          <w:rFonts w:cs="Arial"/>
          <w:sz w:val="16"/>
          <w:szCs w:val="16"/>
        </w:rPr>
        <w:footnoteRef/>
      </w:r>
      <w:r w:rsidRPr="008E319C">
        <w:rPr>
          <w:sz w:val="16"/>
          <w:szCs w:val="16"/>
        </w:rPr>
        <w:t xml:space="preserve"> Added by the Finance Act, 2008.</w:t>
      </w:r>
    </w:p>
  </w:footnote>
  <w:footnote w:id="2102">
    <w:p w:rsidR="00BF2117" w:rsidRPr="00F852EB" w:rsidRDefault="00BF2117" w:rsidP="00AA4BF8">
      <w:pPr>
        <w:pStyle w:val="FootnoteText"/>
        <w:rPr>
          <w:color w:val="000000" w:themeColor="text1"/>
          <w:sz w:val="16"/>
          <w:szCs w:val="16"/>
        </w:rPr>
      </w:pPr>
      <w:r w:rsidRPr="00F852EB">
        <w:rPr>
          <w:rStyle w:val="FootnoteReference"/>
          <w:rFonts w:cs="Arial"/>
          <w:color w:val="000000" w:themeColor="text1"/>
          <w:sz w:val="16"/>
          <w:szCs w:val="16"/>
        </w:rPr>
        <w:footnoteRef/>
      </w:r>
      <w:r w:rsidRPr="00F852EB">
        <w:rPr>
          <w:color w:val="000000" w:themeColor="text1"/>
          <w:sz w:val="16"/>
          <w:szCs w:val="16"/>
        </w:rPr>
        <w:t xml:space="preserve"> Clause (5) renumbered by the Finance Act, 2009.</w:t>
      </w:r>
    </w:p>
  </w:footnote>
  <w:footnote w:id="2103">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(7) omitted by Finance Act, 2014.the omitted clause (7) read as follows:</w:t>
      </w:r>
    </w:p>
    <w:p w:rsidR="00BF2117" w:rsidRPr="00F852EB" w:rsidRDefault="00BF2117" w:rsidP="007918AC">
      <w:pPr>
        <w:widowControl w:val="0"/>
        <w:jc w:val="both"/>
        <w:rPr>
          <w:color w:val="000000" w:themeColor="text1"/>
          <w:sz w:val="16"/>
          <w:szCs w:val="16"/>
          <w:lang w:val="en-US"/>
        </w:rPr>
      </w:pPr>
      <w:r w:rsidRPr="00F852EB">
        <w:rPr>
          <w:color w:val="000000" w:themeColor="text1"/>
          <w:sz w:val="16"/>
          <w:szCs w:val="16"/>
          <w:lang w:val="en-US"/>
        </w:rPr>
        <w:t>“</w:t>
      </w:r>
      <w:r w:rsidRPr="00F852EB">
        <w:rPr>
          <w:rFonts w:cs="Arial"/>
          <w:b/>
          <w:snapToGrid w:val="0"/>
          <w:color w:val="000000" w:themeColor="text1"/>
          <w:sz w:val="16"/>
          <w:szCs w:val="16"/>
        </w:rPr>
        <w:t xml:space="preserve">(7) </w:t>
      </w:r>
      <w:r w:rsidRPr="00F852EB">
        <w:rPr>
          <w:rFonts w:cs="Arial"/>
          <w:b/>
          <w:snapToGrid w:val="0"/>
          <w:color w:val="000000" w:themeColor="text1"/>
          <w:sz w:val="16"/>
          <w:szCs w:val="16"/>
        </w:rPr>
        <w:tab/>
      </w:r>
      <w:r w:rsidRPr="00F852EB">
        <w:rPr>
          <w:rFonts w:cs="Arial"/>
          <w:snapToGrid w:val="0"/>
          <w:color w:val="000000" w:themeColor="text1"/>
          <w:sz w:val="16"/>
          <w:szCs w:val="16"/>
        </w:rPr>
        <w:t xml:space="preserve">Where any </w:t>
      </w:r>
      <w:r w:rsidRPr="00F852EB">
        <w:rPr>
          <w:rStyle w:val="FootnoteReference"/>
          <w:rFonts w:cs="Arial"/>
          <w:snapToGrid w:val="0"/>
          <w:color w:val="000000" w:themeColor="text1"/>
          <w:sz w:val="16"/>
          <w:szCs w:val="16"/>
        </w:rPr>
        <w:footnoteRef/>
      </w:r>
      <w:r w:rsidRPr="00F852EB">
        <w:rPr>
          <w:rFonts w:cs="Arial"/>
          <w:snapToGrid w:val="0"/>
          <w:color w:val="000000" w:themeColor="text1"/>
          <w:sz w:val="16"/>
          <w:szCs w:val="16"/>
        </w:rPr>
        <w:t>[taxpayer] engaged in the business of distribution of cigarettes manufactured in Pakistan is required to pay minimum tax on the amount representing its turnover under section 113, the amount of tax payable under the said section shall be reduced by eighty per cent.”</w:t>
      </w:r>
    </w:p>
  </w:footnote>
  <w:footnote w:id="2104">
    <w:p w:rsidR="00BF2117" w:rsidRPr="00F852EB" w:rsidRDefault="00BF2117" w:rsidP="005D5C47">
      <w:pPr>
        <w:pStyle w:val="FootnoteText"/>
        <w:ind w:left="0" w:firstLine="0"/>
        <w:rPr>
          <w:rFonts w:cs="Arial"/>
          <w:snapToGrid w:val="0"/>
          <w:color w:val="000000" w:themeColor="text1"/>
          <w:sz w:val="16"/>
          <w:szCs w:val="16"/>
        </w:rPr>
      </w:pPr>
      <w:r w:rsidRPr="00F852EB">
        <w:rPr>
          <w:rStyle w:val="FootnoteReference"/>
          <w:color w:val="000000" w:themeColor="text1"/>
          <w:sz w:val="16"/>
          <w:szCs w:val="16"/>
        </w:rPr>
        <w:footnoteRef/>
      </w:r>
      <w:r w:rsidRPr="00F852EB">
        <w:rPr>
          <w:color w:val="000000" w:themeColor="text1"/>
          <w:sz w:val="16"/>
          <w:szCs w:val="16"/>
          <w:lang w:val="en-US"/>
        </w:rPr>
        <w:t>Clause (8) omitted by Finance Act, 2014. The omitted clause (8) read as follows:</w:t>
      </w:r>
    </w:p>
    <w:p w:rsidR="00BF2117" w:rsidRPr="00F852EB" w:rsidRDefault="00BF2117" w:rsidP="006F177D">
      <w:pPr>
        <w:widowControl w:val="0"/>
        <w:jc w:val="both"/>
        <w:rPr>
          <w:color w:val="000000" w:themeColor="text1"/>
          <w:sz w:val="16"/>
          <w:szCs w:val="16"/>
          <w:lang w:val="en-US"/>
        </w:rPr>
      </w:pPr>
      <w:r w:rsidRPr="00F852EB">
        <w:rPr>
          <w:rFonts w:cs="Arial"/>
          <w:b/>
          <w:snapToGrid w:val="0"/>
          <w:color w:val="000000" w:themeColor="text1"/>
          <w:sz w:val="16"/>
          <w:szCs w:val="16"/>
        </w:rPr>
        <w:t>“(8)</w:t>
      </w:r>
      <w:r w:rsidRPr="00F852EB">
        <w:rPr>
          <w:rFonts w:cs="Arial"/>
          <w:snapToGrid w:val="0"/>
          <w:color w:val="000000" w:themeColor="text1"/>
          <w:sz w:val="16"/>
          <w:szCs w:val="16"/>
        </w:rPr>
        <w:t xml:space="preserve"> For the distributors of pharmaceutical products, fertilizers, consumers goods including fast moving consumers goods, the rate of minimum tax on the amount representing their annual turnover under section 113 shall be reduced by eight per cent.”</w:t>
      </w:r>
    </w:p>
  </w:footnote>
  <w:footnote w:id="2105">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(9) omitted by Finance Act, 2014. The Omitted clause (9) read as follows:</w:t>
      </w:r>
    </w:p>
    <w:p w:rsidR="00BF2117" w:rsidRPr="00F852EB" w:rsidRDefault="00BF2117" w:rsidP="006F177D">
      <w:pPr>
        <w:widowControl w:val="0"/>
        <w:jc w:val="both"/>
        <w:rPr>
          <w:color w:val="000000" w:themeColor="text1"/>
          <w:sz w:val="16"/>
          <w:szCs w:val="16"/>
          <w:lang w:val="en-US"/>
        </w:rPr>
      </w:pPr>
      <w:r w:rsidRPr="00F852EB">
        <w:rPr>
          <w:rFonts w:cs="Arial"/>
          <w:b/>
          <w:snapToGrid w:val="0"/>
          <w:color w:val="000000" w:themeColor="text1"/>
          <w:sz w:val="16"/>
          <w:szCs w:val="16"/>
        </w:rPr>
        <w:t>“(9)</w:t>
      </w:r>
      <w:r w:rsidRPr="00F852EB">
        <w:rPr>
          <w:rFonts w:cs="Arial"/>
          <w:snapToGrid w:val="0"/>
          <w:color w:val="000000" w:themeColor="text1"/>
          <w:sz w:val="16"/>
          <w:szCs w:val="16"/>
        </w:rPr>
        <w:t xml:space="preserve">In cases of oil marketing companies, oil refineries and Sui Southern Gas Company Limited </w:t>
      </w:r>
      <w:r w:rsidRPr="00F852EB">
        <w:rPr>
          <w:rStyle w:val="FootnoteReference"/>
          <w:rFonts w:cs="Arial"/>
          <w:snapToGrid w:val="0"/>
          <w:color w:val="000000" w:themeColor="text1"/>
          <w:sz w:val="16"/>
          <w:szCs w:val="16"/>
        </w:rPr>
        <w:footnoteRef/>
      </w:r>
      <w:r w:rsidRPr="00F852EB">
        <w:rPr>
          <w:rFonts w:cs="Arial"/>
          <w:snapToGrid w:val="0"/>
          <w:color w:val="000000" w:themeColor="text1"/>
          <w:sz w:val="16"/>
          <w:szCs w:val="16"/>
        </w:rPr>
        <w:t>[and Sui Northern Gas Pipelines Limited] the rate of minimum tax shall be reduced to 0.5% only for the cases where annual turnover exceeds rupees one billion.”</w:t>
      </w:r>
    </w:p>
  </w:footnote>
  <w:footnote w:id="2106">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(10) omitted by Finance Act, 2014. The Omitted clause (10) read as follows:</w:t>
      </w:r>
    </w:p>
    <w:p w:rsidR="00BF2117" w:rsidRPr="00F852EB" w:rsidRDefault="00BF2117" w:rsidP="006F177D">
      <w:pPr>
        <w:widowControl w:val="0"/>
        <w:jc w:val="both"/>
        <w:rPr>
          <w:color w:val="000000" w:themeColor="text1"/>
          <w:sz w:val="16"/>
          <w:szCs w:val="16"/>
          <w:lang w:val="en-US"/>
        </w:rPr>
      </w:pPr>
      <w:r w:rsidRPr="00F852EB">
        <w:rPr>
          <w:rFonts w:cs="Arial"/>
          <w:b/>
          <w:snapToGrid w:val="0"/>
          <w:color w:val="000000" w:themeColor="text1"/>
          <w:sz w:val="16"/>
          <w:szCs w:val="16"/>
        </w:rPr>
        <w:t>“(10)</w:t>
      </w:r>
      <w:r w:rsidRPr="00F852EB">
        <w:rPr>
          <w:rFonts w:cs="Arial"/>
          <w:snapToGrid w:val="0"/>
          <w:color w:val="000000" w:themeColor="text1"/>
          <w:sz w:val="16"/>
          <w:szCs w:val="16"/>
        </w:rPr>
        <w:tab/>
        <w:t>For cases of flour mills the rate of minimum tax on the amount representing their annual turnover under section 113 shall be reduced by eighty per cent.”</w:t>
      </w:r>
    </w:p>
  </w:footnote>
  <w:footnote w:id="2107">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(11) omitted by Finance Act, 2014. The Omitted clause (11) read as follows:</w:t>
      </w:r>
    </w:p>
    <w:p w:rsidR="00BF2117" w:rsidRPr="00F852EB" w:rsidRDefault="00BF2117" w:rsidP="006F177D">
      <w:pPr>
        <w:widowControl w:val="0"/>
        <w:jc w:val="both"/>
        <w:rPr>
          <w:color w:val="000000" w:themeColor="text1"/>
          <w:sz w:val="16"/>
          <w:szCs w:val="16"/>
          <w:lang w:val="en-US"/>
        </w:rPr>
      </w:pPr>
      <w:r w:rsidRPr="00F852EB">
        <w:rPr>
          <w:rFonts w:cs="Arial"/>
          <w:b/>
          <w:snapToGrid w:val="0"/>
          <w:color w:val="000000" w:themeColor="text1"/>
          <w:sz w:val="16"/>
          <w:szCs w:val="16"/>
        </w:rPr>
        <w:t>“(11)</w:t>
      </w:r>
      <w:r w:rsidRPr="00F852EB">
        <w:rPr>
          <w:rFonts w:cs="Arial"/>
          <w:snapToGrid w:val="0"/>
          <w:color w:val="000000" w:themeColor="text1"/>
          <w:sz w:val="16"/>
          <w:szCs w:val="16"/>
        </w:rPr>
        <w:tab/>
        <w:t>The amount of surcharge payable on the Income Tax liability for the Tax Year 2011 under section 4A shall be computed on the proportionate amount of Income Tax liability for three and a half months.”</w:t>
      </w:r>
    </w:p>
  </w:footnote>
  <w:footnote w:id="2108">
    <w:p w:rsidR="00BF2117" w:rsidRPr="00F852EB" w:rsidRDefault="00BF2117" w:rsidP="00AF6BD2">
      <w:pPr>
        <w:pStyle w:val="FootnoteText"/>
        <w:rPr>
          <w:rFonts w:cs="Arial"/>
          <w:snapToGrid w:val="0"/>
          <w:color w:val="000000" w:themeColor="text1"/>
          <w:sz w:val="16"/>
          <w:szCs w:val="16"/>
        </w:rPr>
      </w:pPr>
      <w:r w:rsidRPr="00F852EB">
        <w:rPr>
          <w:rStyle w:val="FootnoteReference"/>
          <w:color w:val="000000" w:themeColor="text1"/>
          <w:sz w:val="16"/>
          <w:szCs w:val="16"/>
        </w:rPr>
        <w:footnoteRef/>
      </w:r>
      <w:r w:rsidRPr="00F852EB">
        <w:rPr>
          <w:color w:val="000000" w:themeColor="text1"/>
          <w:sz w:val="16"/>
          <w:szCs w:val="16"/>
          <w:lang w:val="en-US"/>
        </w:rPr>
        <w:t>Clause (12) omitted by Finance Act, 2014. The Omitted clause (12) read as follows:</w:t>
      </w:r>
    </w:p>
    <w:p w:rsidR="00BF2117" w:rsidRPr="00F852EB" w:rsidRDefault="00BF2117" w:rsidP="00AF6BD2">
      <w:pPr>
        <w:widowControl w:val="0"/>
        <w:jc w:val="both"/>
        <w:rPr>
          <w:color w:val="000000" w:themeColor="text1"/>
          <w:sz w:val="16"/>
          <w:szCs w:val="16"/>
          <w:lang w:val="en-US"/>
        </w:rPr>
      </w:pPr>
      <w:r w:rsidRPr="00F852EB">
        <w:rPr>
          <w:rFonts w:cs="Arial"/>
          <w:b/>
          <w:snapToGrid w:val="0"/>
          <w:color w:val="000000" w:themeColor="text1"/>
          <w:sz w:val="16"/>
          <w:szCs w:val="16"/>
        </w:rPr>
        <w:t>“(12)</w:t>
      </w:r>
      <w:r w:rsidRPr="00F852EB">
        <w:rPr>
          <w:color w:val="000000" w:themeColor="text1"/>
          <w:sz w:val="16"/>
          <w:szCs w:val="16"/>
        </w:rPr>
        <w:tab/>
        <w:t>For the ease of M/s Pakistan International Airlines Corporation the rate of minimum tax on the amount representing their annual turnover under section 113 shall be reduced by fifty per cent.”</w:t>
      </w:r>
    </w:p>
  </w:footnote>
  <w:footnote w:id="2109">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(13) omitted by Finance Act, 2014. The Omitted clause (13) read as follows:</w:t>
      </w:r>
    </w:p>
    <w:p w:rsidR="00BF2117" w:rsidRPr="00F852EB" w:rsidRDefault="00BF2117" w:rsidP="006F177D">
      <w:pPr>
        <w:widowControl w:val="0"/>
        <w:jc w:val="both"/>
        <w:rPr>
          <w:color w:val="000000" w:themeColor="text1"/>
          <w:sz w:val="16"/>
          <w:szCs w:val="16"/>
          <w:lang w:val="en-US"/>
        </w:rPr>
      </w:pPr>
      <w:r w:rsidRPr="00F852EB">
        <w:rPr>
          <w:b/>
          <w:color w:val="000000" w:themeColor="text1"/>
          <w:sz w:val="16"/>
          <w:szCs w:val="16"/>
        </w:rPr>
        <w:t>“(13)</w:t>
      </w:r>
      <w:r w:rsidRPr="00F852EB">
        <w:rPr>
          <w:color w:val="000000" w:themeColor="text1"/>
          <w:sz w:val="16"/>
          <w:szCs w:val="16"/>
        </w:rPr>
        <w:tab/>
        <w:t>For the petroleum agents and distributors who are registered under the Sales Tax Act, 1990 and rice mills and dealers, the rate of minimum tax under section 113 on the amount representing their annual turnover under section 113 shall be reduced by eighty per cent.”</w:t>
      </w:r>
    </w:p>
  </w:footnote>
  <w:footnote w:id="2110">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(14) omitted by Finance Act, 2014. The Omitted clause (14) read as follows:</w:t>
      </w:r>
    </w:p>
    <w:p w:rsidR="00BF2117" w:rsidRPr="00F852EB" w:rsidRDefault="00BF2117" w:rsidP="006F177D">
      <w:pPr>
        <w:widowControl w:val="0"/>
        <w:jc w:val="both"/>
        <w:rPr>
          <w:color w:val="000000" w:themeColor="text1"/>
          <w:sz w:val="16"/>
          <w:szCs w:val="16"/>
          <w:lang w:val="en-US"/>
        </w:rPr>
      </w:pPr>
      <w:r w:rsidRPr="00F852EB">
        <w:rPr>
          <w:rFonts w:cs="Arial"/>
          <w:b/>
          <w:snapToGrid w:val="0"/>
          <w:color w:val="000000" w:themeColor="text1"/>
          <w:sz w:val="16"/>
          <w:szCs w:val="16"/>
        </w:rPr>
        <w:t>“(14)</w:t>
      </w:r>
      <w:r w:rsidRPr="00F852EB">
        <w:rPr>
          <w:rFonts w:cs="Arial"/>
          <w:snapToGrid w:val="0"/>
          <w:color w:val="000000" w:themeColor="text1"/>
          <w:sz w:val="16"/>
          <w:szCs w:val="16"/>
        </w:rPr>
        <w:tab/>
        <w:t>For the poultry industry including poultry breeding, broiler production, egg production and poultry feed production, the rate of minimum tax under section 113 on the amount representing their annual turnover under section 113 shall be reduced by fifty per cent.”</w:t>
      </w:r>
    </w:p>
  </w:footnote>
  <w:footnote w:id="2111">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(15) omitted by Finance Act, 2014. The Omitted clause (15) read as follows:</w:t>
      </w:r>
    </w:p>
    <w:p w:rsidR="00BF2117" w:rsidRPr="00F852EB" w:rsidRDefault="00BF2117" w:rsidP="006F177D">
      <w:pPr>
        <w:widowControl w:val="0"/>
        <w:jc w:val="both"/>
        <w:rPr>
          <w:rFonts w:cs="Arial"/>
          <w:snapToGrid w:val="0"/>
          <w:color w:val="000000" w:themeColor="text1"/>
          <w:sz w:val="16"/>
          <w:szCs w:val="16"/>
        </w:rPr>
      </w:pPr>
      <w:r w:rsidRPr="00F852EB">
        <w:rPr>
          <w:rFonts w:cs="Arial"/>
          <w:snapToGrid w:val="0"/>
          <w:color w:val="000000" w:themeColor="text1"/>
          <w:sz w:val="16"/>
          <w:szCs w:val="16"/>
        </w:rPr>
        <w:t>“[</w:t>
      </w:r>
      <w:r w:rsidRPr="00F852EB">
        <w:rPr>
          <w:rFonts w:cs="Arial"/>
          <w:b/>
          <w:snapToGrid w:val="0"/>
          <w:color w:val="000000" w:themeColor="text1"/>
          <w:sz w:val="16"/>
          <w:szCs w:val="16"/>
        </w:rPr>
        <w:t>(15)</w:t>
      </w:r>
      <w:r w:rsidRPr="00F852EB">
        <w:rPr>
          <w:rFonts w:cs="Arial"/>
          <w:snapToGrid w:val="0"/>
          <w:color w:val="000000" w:themeColor="text1"/>
          <w:sz w:val="16"/>
          <w:szCs w:val="16"/>
        </w:rPr>
        <w:tab/>
        <w:t>For the motorcycle dealers registered under the Sales Tax Act, 1990, the rate of minimum tax under section 113.—</w:t>
      </w:r>
    </w:p>
    <w:p w:rsidR="00BF2117" w:rsidRPr="00F852EB" w:rsidRDefault="00BF2117" w:rsidP="007918AC">
      <w:pPr>
        <w:widowControl w:val="0"/>
        <w:ind w:left="1641" w:hanging="546"/>
        <w:jc w:val="both"/>
        <w:rPr>
          <w:rFonts w:cs="Arial"/>
          <w:snapToGrid w:val="0"/>
          <w:color w:val="000000" w:themeColor="text1"/>
          <w:sz w:val="16"/>
          <w:szCs w:val="16"/>
        </w:rPr>
      </w:pPr>
      <w:r w:rsidRPr="00F852EB">
        <w:rPr>
          <w:rFonts w:cs="Arial"/>
          <w:snapToGrid w:val="0"/>
          <w:color w:val="000000" w:themeColor="text1"/>
          <w:sz w:val="16"/>
          <w:szCs w:val="16"/>
        </w:rPr>
        <w:t xml:space="preserve">(i) </w:t>
      </w:r>
      <w:r w:rsidRPr="00F852EB">
        <w:rPr>
          <w:rFonts w:cs="Arial"/>
          <w:snapToGrid w:val="0"/>
          <w:color w:val="000000" w:themeColor="text1"/>
          <w:sz w:val="16"/>
          <w:szCs w:val="16"/>
        </w:rPr>
        <w:tab/>
        <w:t>for the Tax Year 2011 shall be reduced by fifty per cent provided that they deposit their minimum tax on turnover by the 30</w:t>
      </w:r>
      <w:r w:rsidRPr="00F852EB">
        <w:rPr>
          <w:rFonts w:cs="Arial"/>
          <w:snapToGrid w:val="0"/>
          <w:color w:val="000000" w:themeColor="text1"/>
          <w:sz w:val="16"/>
          <w:szCs w:val="16"/>
          <w:vertAlign w:val="superscript"/>
        </w:rPr>
        <w:t>th</w:t>
      </w:r>
      <w:r w:rsidRPr="00F852EB">
        <w:rPr>
          <w:rFonts w:cs="Arial"/>
          <w:snapToGrid w:val="0"/>
          <w:color w:val="000000" w:themeColor="text1"/>
          <w:sz w:val="16"/>
          <w:szCs w:val="16"/>
        </w:rPr>
        <w:t xml:space="preserve"> June, 2012; and</w:t>
      </w:r>
    </w:p>
    <w:p w:rsidR="00BF2117" w:rsidRPr="00F852EB" w:rsidRDefault="00BF2117" w:rsidP="00002143">
      <w:pPr>
        <w:widowControl w:val="0"/>
        <w:ind w:left="1641" w:hanging="546"/>
        <w:jc w:val="both"/>
        <w:rPr>
          <w:color w:val="000000" w:themeColor="text1"/>
          <w:lang w:val="en-US"/>
        </w:rPr>
      </w:pPr>
      <w:r w:rsidRPr="00F852EB">
        <w:rPr>
          <w:rFonts w:cs="Arial"/>
          <w:snapToGrid w:val="0"/>
          <w:color w:val="000000" w:themeColor="text1"/>
          <w:sz w:val="16"/>
          <w:szCs w:val="16"/>
        </w:rPr>
        <w:t xml:space="preserve">(ii) </w:t>
      </w:r>
      <w:r w:rsidRPr="00F852EB">
        <w:rPr>
          <w:rFonts w:cs="Arial"/>
          <w:snapToGrid w:val="0"/>
          <w:color w:val="000000" w:themeColor="text1"/>
          <w:sz w:val="16"/>
          <w:szCs w:val="16"/>
        </w:rPr>
        <w:tab/>
        <w:t>for the Tax Year 2012 onwards shall be reduced by seventy-five per cent.”</w:t>
      </w:r>
    </w:p>
  </w:footnote>
  <w:footnote w:id="2112">
    <w:p w:rsidR="00BF2117" w:rsidRDefault="00BF2117" w:rsidP="007E1022">
      <w:pPr>
        <w:widowControl w:val="0"/>
        <w:jc w:val="both"/>
        <w:rPr>
          <w:color w:val="000000" w:themeColor="text1"/>
        </w:rPr>
      </w:pPr>
      <w:r w:rsidRPr="002036A2">
        <w:rPr>
          <w:rStyle w:val="FootnoteReference"/>
          <w:sz w:val="16"/>
          <w:szCs w:val="16"/>
        </w:rPr>
        <w:footnoteRef/>
      </w:r>
      <w:r w:rsidRPr="002036A2">
        <w:rPr>
          <w:color w:val="000000" w:themeColor="text1"/>
          <w:sz w:val="16"/>
          <w:szCs w:val="16"/>
          <w:lang w:val="en-US"/>
        </w:rPr>
        <w:t>Clause</w:t>
      </w:r>
      <w:r w:rsidRPr="007E1022">
        <w:rPr>
          <w:color w:val="000000" w:themeColor="text1"/>
          <w:sz w:val="16"/>
          <w:szCs w:val="16"/>
          <w:lang w:val="en-US"/>
        </w:rPr>
        <w:t xml:space="preserve"> (1</w:t>
      </w:r>
      <w:r>
        <w:rPr>
          <w:color w:val="000000" w:themeColor="text1"/>
          <w:sz w:val="16"/>
          <w:szCs w:val="16"/>
          <w:lang w:val="en-US"/>
        </w:rPr>
        <w:t>6</w:t>
      </w:r>
      <w:r w:rsidRPr="007E1022">
        <w:rPr>
          <w:color w:val="000000" w:themeColor="text1"/>
          <w:sz w:val="16"/>
          <w:szCs w:val="16"/>
          <w:lang w:val="en-US"/>
        </w:rPr>
        <w:t>) omitted by Finance Act, 201</w:t>
      </w:r>
      <w:r>
        <w:rPr>
          <w:color w:val="000000" w:themeColor="text1"/>
          <w:sz w:val="16"/>
          <w:szCs w:val="16"/>
          <w:lang w:val="en-US"/>
        </w:rPr>
        <w:t>5</w:t>
      </w:r>
      <w:r w:rsidRPr="007E1022">
        <w:rPr>
          <w:color w:val="000000" w:themeColor="text1"/>
          <w:sz w:val="16"/>
          <w:szCs w:val="16"/>
          <w:lang w:val="en-US"/>
        </w:rPr>
        <w:t>. The Omitted clause (1</w:t>
      </w:r>
      <w:r>
        <w:rPr>
          <w:color w:val="000000" w:themeColor="text1"/>
          <w:sz w:val="16"/>
          <w:szCs w:val="16"/>
          <w:lang w:val="en-US"/>
        </w:rPr>
        <w:t>6</w:t>
      </w:r>
      <w:r w:rsidRPr="007E1022">
        <w:rPr>
          <w:color w:val="000000" w:themeColor="text1"/>
          <w:sz w:val="16"/>
          <w:szCs w:val="16"/>
          <w:lang w:val="en-US"/>
        </w:rPr>
        <w:t>) read as follows</w:t>
      </w:r>
      <w:r>
        <w:rPr>
          <w:color w:val="000000" w:themeColor="text1"/>
          <w:sz w:val="16"/>
          <w:szCs w:val="16"/>
          <w:lang w:val="en-US"/>
        </w:rPr>
        <w:t>:-</w:t>
      </w:r>
    </w:p>
    <w:p w:rsidR="00BF2117" w:rsidRPr="007E1022" w:rsidRDefault="00BF2117" w:rsidP="007E1022">
      <w:pPr>
        <w:widowControl w:val="0"/>
        <w:jc w:val="both"/>
        <w:rPr>
          <w:snapToGrid w:val="0"/>
          <w:sz w:val="16"/>
          <w:szCs w:val="16"/>
        </w:rPr>
      </w:pPr>
      <w:r w:rsidRPr="002036A2">
        <w:rPr>
          <w:b/>
          <w:color w:val="000000" w:themeColor="text1"/>
        </w:rPr>
        <w:t>“</w:t>
      </w:r>
      <w:r w:rsidRPr="002036A2">
        <w:rPr>
          <w:b/>
          <w:snapToGrid w:val="0"/>
          <w:color w:val="000000" w:themeColor="text1"/>
          <w:sz w:val="16"/>
          <w:szCs w:val="16"/>
        </w:rPr>
        <w:t>(16)</w:t>
      </w:r>
      <w:r w:rsidRPr="007E1022">
        <w:rPr>
          <w:snapToGrid w:val="0"/>
          <w:sz w:val="16"/>
          <w:szCs w:val="16"/>
        </w:rPr>
        <w:tab/>
        <w:t>The minimum penalty for failure to furnish statement under section 115, 165 or 165A as mentioned in column (3) against serial No. (1A) in the Table given in sub-section (1) of section 182 shall be reduced to ten</w:t>
      </w:r>
      <w:r>
        <w:rPr>
          <w:snapToGrid w:val="0"/>
          <w:sz w:val="16"/>
          <w:szCs w:val="16"/>
        </w:rPr>
        <w:t xml:space="preserve"> thousand rupees.”</w:t>
      </w:r>
    </w:p>
    <w:p w:rsidR="00BF2117" w:rsidRPr="007E1022" w:rsidRDefault="00BF2117">
      <w:pPr>
        <w:pStyle w:val="FootnoteText"/>
        <w:rPr>
          <w:lang w:val="en-US"/>
        </w:rPr>
      </w:pPr>
    </w:p>
  </w:footnote>
  <w:footnote w:id="2113">
    <w:p w:rsidR="00BF2117" w:rsidRPr="00076571" w:rsidRDefault="00BF2117" w:rsidP="00AA4BF8">
      <w:pPr>
        <w:pStyle w:val="FootnoteText"/>
        <w:keepNext/>
        <w:rPr>
          <w:sz w:val="16"/>
          <w:szCs w:val="16"/>
        </w:rPr>
      </w:pPr>
      <w:r w:rsidRPr="00076571">
        <w:rPr>
          <w:rStyle w:val="FootnoteReference"/>
          <w:rFonts w:cs="Arial"/>
          <w:sz w:val="16"/>
          <w:szCs w:val="16"/>
        </w:rPr>
        <w:footnoteRef/>
      </w:r>
      <w:r w:rsidRPr="00076571">
        <w:rPr>
          <w:sz w:val="16"/>
          <w:szCs w:val="16"/>
        </w:rPr>
        <w:t xml:space="preserve"> Clause (1) omitted by the Finance Act, 2003. The omitted clause (1) read as follows:</w:t>
      </w:r>
    </w:p>
    <w:p w:rsidR="00BF2117" w:rsidRPr="00076571" w:rsidRDefault="00BF2117" w:rsidP="00AA4BF8">
      <w:pPr>
        <w:widowControl w:val="0"/>
        <w:ind w:left="180"/>
        <w:jc w:val="both"/>
        <w:rPr>
          <w:sz w:val="16"/>
          <w:szCs w:val="16"/>
        </w:rPr>
      </w:pPr>
      <w:r w:rsidRPr="00076571">
        <w:rPr>
          <w:snapToGrid w:val="0"/>
          <w:sz w:val="16"/>
          <w:szCs w:val="16"/>
        </w:rPr>
        <w:t>“</w:t>
      </w:r>
      <w:r w:rsidRPr="00076571">
        <w:rPr>
          <w:b/>
          <w:bCs/>
          <w:snapToGrid w:val="0"/>
          <w:sz w:val="16"/>
          <w:szCs w:val="16"/>
        </w:rPr>
        <w:t>(1)</w:t>
      </w:r>
      <w:r w:rsidRPr="00076571">
        <w:rPr>
          <w:snapToGrid w:val="0"/>
          <w:sz w:val="16"/>
          <w:szCs w:val="16"/>
        </w:rPr>
        <w:tab/>
        <w:t>The provisions of</w:t>
      </w:r>
      <w:r>
        <w:rPr>
          <w:snapToGrid w:val="0"/>
          <w:sz w:val="16"/>
          <w:szCs w:val="16"/>
        </w:rPr>
        <w:t xml:space="preserve"> </w:t>
      </w:r>
      <w:r w:rsidRPr="00076571">
        <w:rPr>
          <w:snapToGrid w:val="0"/>
          <w:sz w:val="16"/>
          <w:szCs w:val="16"/>
        </w:rPr>
        <w:t>clause (k) of section 21 shall not apply to any expenditure incurred by a banking company or a financial institution owned and controlled by the Federal Government on the provisions of perquisites, allowances or other benefits to any employee in pursuance of any law.”</w:t>
      </w:r>
    </w:p>
  </w:footnote>
  <w:footnote w:id="2114">
    <w:p w:rsidR="00BF2117" w:rsidRPr="00BF360E" w:rsidRDefault="00BF2117">
      <w:pPr>
        <w:pStyle w:val="FootnoteText"/>
        <w:rPr>
          <w:sz w:val="16"/>
          <w:szCs w:val="16"/>
          <w:lang w:val="en-US"/>
        </w:rPr>
      </w:pPr>
      <w:r w:rsidRPr="00BF360E">
        <w:rPr>
          <w:rStyle w:val="FootnoteReference"/>
          <w:sz w:val="16"/>
          <w:szCs w:val="16"/>
        </w:rPr>
        <w:footnoteRef/>
      </w:r>
      <w:r w:rsidRPr="00BF360E">
        <w:rPr>
          <w:sz w:val="16"/>
          <w:szCs w:val="16"/>
        </w:rPr>
        <w:t xml:space="preserve"> Clause (1A) inserted by S.R.O. 1029(I)/2014 dated 29.11.2014.</w:t>
      </w:r>
    </w:p>
  </w:footnote>
  <w:footnote w:id="2115">
    <w:p w:rsidR="00BF2117" w:rsidRPr="00076571" w:rsidRDefault="00BF2117" w:rsidP="00AA4BF8">
      <w:pPr>
        <w:pStyle w:val="FootnoteText"/>
        <w:rPr>
          <w:sz w:val="16"/>
          <w:szCs w:val="16"/>
        </w:rPr>
      </w:pPr>
      <w:r w:rsidRPr="00076571">
        <w:rPr>
          <w:rStyle w:val="FootnoteReference"/>
          <w:rFonts w:cs="Arial"/>
          <w:sz w:val="16"/>
          <w:szCs w:val="16"/>
        </w:rPr>
        <w:footnoteRef/>
      </w:r>
      <w:r w:rsidRPr="00076571">
        <w:rPr>
          <w:sz w:val="16"/>
          <w:szCs w:val="16"/>
        </w:rPr>
        <w:t xml:space="preserve"> The words “assessment years” substituted by the Finance Act, 2003. </w:t>
      </w:r>
    </w:p>
  </w:footnote>
  <w:footnote w:id="2116">
    <w:p w:rsidR="00BF2117" w:rsidRPr="00076571" w:rsidRDefault="00BF2117" w:rsidP="00AA4BF8">
      <w:pPr>
        <w:pStyle w:val="FootnoteText"/>
        <w:rPr>
          <w:sz w:val="16"/>
          <w:szCs w:val="16"/>
        </w:rPr>
      </w:pPr>
      <w:r w:rsidRPr="00076571">
        <w:rPr>
          <w:rStyle w:val="FootnoteReference"/>
          <w:rFonts w:cs="Arial"/>
          <w:sz w:val="16"/>
          <w:szCs w:val="16"/>
        </w:rPr>
        <w:footnoteRef/>
      </w:r>
      <w:r w:rsidRPr="00076571">
        <w:rPr>
          <w:sz w:val="16"/>
          <w:szCs w:val="16"/>
        </w:rPr>
        <w:t xml:space="preserve"> The words “component C of” substituted by the Finance Act, 2003.</w:t>
      </w:r>
    </w:p>
  </w:footnote>
  <w:footnote w:id="2117">
    <w:p w:rsidR="00BF2117" w:rsidRPr="00076571" w:rsidRDefault="00BF2117" w:rsidP="00AA4BF8">
      <w:pPr>
        <w:pStyle w:val="FootnoteText"/>
        <w:rPr>
          <w:sz w:val="16"/>
          <w:szCs w:val="16"/>
          <w:lang w:val="en-US"/>
        </w:rPr>
      </w:pPr>
      <w:r w:rsidRPr="00076571">
        <w:rPr>
          <w:rStyle w:val="FootnoteReference"/>
          <w:rFonts w:cs="Arial"/>
          <w:sz w:val="16"/>
          <w:szCs w:val="16"/>
        </w:rPr>
        <w:footnoteRef/>
      </w:r>
      <w:r w:rsidRPr="00076571">
        <w:rPr>
          <w:sz w:val="16"/>
          <w:szCs w:val="16"/>
        </w:rPr>
        <w:t xml:space="preserve"> Clause (3A) o</w:t>
      </w:r>
      <w:r w:rsidRPr="00076571">
        <w:rPr>
          <w:sz w:val="16"/>
          <w:szCs w:val="16"/>
          <w:lang w:val="en-US"/>
        </w:rPr>
        <w:t>mitted by the Finance Act, 2008. The omitted clause (3A) read as follows:</w:t>
      </w:r>
    </w:p>
    <w:p w:rsidR="00BF2117" w:rsidRPr="00076571" w:rsidRDefault="00BF2117" w:rsidP="00AA4BF8">
      <w:pPr>
        <w:widowControl w:val="0"/>
        <w:ind w:left="180" w:hanging="90"/>
        <w:jc w:val="both"/>
        <w:rPr>
          <w:sz w:val="16"/>
          <w:szCs w:val="16"/>
        </w:rPr>
      </w:pPr>
      <w:r w:rsidRPr="00076571">
        <w:rPr>
          <w:sz w:val="16"/>
          <w:szCs w:val="16"/>
          <w:lang w:val="en-US"/>
        </w:rPr>
        <w:t>“</w:t>
      </w:r>
      <w:r w:rsidRPr="00076571">
        <w:rPr>
          <w:b/>
          <w:bCs/>
          <w:snapToGrid w:val="0"/>
          <w:sz w:val="16"/>
          <w:szCs w:val="16"/>
        </w:rPr>
        <w:t>(3A)</w:t>
      </w:r>
      <w:r w:rsidRPr="00076571">
        <w:rPr>
          <w:snapToGrid w:val="0"/>
          <w:sz w:val="16"/>
          <w:szCs w:val="16"/>
        </w:rPr>
        <w:tab/>
        <w:t>The provisions of sub-sections (5) and (5A) of section 34 and section 70 shall not apply to any benefit derived by way of waiver of profit on debt or the debt itself under the State Bank of Pakistan, Banking Policy Department’s Circular No.29 of 2002, dated the 15th October, 2002, to the extent not set off against the losses under Part VIII of Chapter III.”</w:t>
      </w:r>
    </w:p>
  </w:footnote>
  <w:footnote w:id="2118">
    <w:p w:rsidR="00BF2117" w:rsidRPr="00076571" w:rsidRDefault="00BF2117" w:rsidP="00AA4BF8">
      <w:pPr>
        <w:pStyle w:val="FootnoteText"/>
        <w:keepNext/>
        <w:rPr>
          <w:sz w:val="16"/>
          <w:szCs w:val="16"/>
        </w:rPr>
      </w:pPr>
      <w:r w:rsidRPr="00076571">
        <w:rPr>
          <w:rStyle w:val="FootnoteReference"/>
          <w:rFonts w:cs="Arial"/>
          <w:sz w:val="16"/>
          <w:szCs w:val="16"/>
        </w:rPr>
        <w:footnoteRef/>
      </w:r>
      <w:r w:rsidRPr="00076571">
        <w:rPr>
          <w:sz w:val="16"/>
          <w:szCs w:val="16"/>
        </w:rPr>
        <w:t xml:space="preserve"> Clause (4) omitted by the Finance Act, 2003. The omitted clause (4) read as follows:</w:t>
      </w:r>
    </w:p>
    <w:p w:rsidR="00BF2117" w:rsidRPr="00076571" w:rsidRDefault="00BF2117" w:rsidP="00AA4BF8">
      <w:pPr>
        <w:widowControl w:val="0"/>
        <w:ind w:left="180"/>
        <w:jc w:val="both"/>
        <w:rPr>
          <w:sz w:val="16"/>
          <w:szCs w:val="16"/>
        </w:rPr>
      </w:pPr>
      <w:r w:rsidRPr="00076571">
        <w:rPr>
          <w:snapToGrid w:val="0"/>
          <w:sz w:val="16"/>
          <w:szCs w:val="16"/>
        </w:rPr>
        <w:t>“</w:t>
      </w:r>
      <w:r w:rsidRPr="00076571">
        <w:rPr>
          <w:b/>
          <w:bCs/>
          <w:snapToGrid w:val="0"/>
          <w:sz w:val="16"/>
          <w:szCs w:val="16"/>
        </w:rPr>
        <w:t>(4)</w:t>
      </w:r>
      <w:r w:rsidRPr="00076571">
        <w:rPr>
          <w:snapToGrid w:val="0"/>
          <w:sz w:val="16"/>
          <w:szCs w:val="16"/>
        </w:rPr>
        <w:tab/>
        <w:t>The provisions of section 111 shall not apply in respect of any amount invested in the</w:t>
      </w:r>
      <w:r w:rsidRPr="00076571">
        <w:rPr>
          <w:sz w:val="16"/>
          <w:szCs w:val="16"/>
        </w:rPr>
        <w:t xml:space="preserve"> acquisition of Foreign Exchange Bearer Certificates issued under the Foreign Exchan</w:t>
      </w:r>
      <w:r w:rsidRPr="00076571">
        <w:rPr>
          <w:snapToGrid w:val="0"/>
          <w:sz w:val="16"/>
          <w:szCs w:val="16"/>
        </w:rPr>
        <w:t>ge Bearer Certificates Rule, 1985.”</w:t>
      </w:r>
    </w:p>
  </w:footnote>
  <w:footnote w:id="2119">
    <w:p w:rsidR="00BF2117" w:rsidRPr="00076571" w:rsidRDefault="00BF2117" w:rsidP="00AA4BF8">
      <w:pPr>
        <w:pStyle w:val="FootnoteText"/>
        <w:keepNext/>
        <w:rPr>
          <w:sz w:val="16"/>
          <w:szCs w:val="16"/>
        </w:rPr>
      </w:pPr>
      <w:r w:rsidRPr="00076571">
        <w:rPr>
          <w:rStyle w:val="FootnoteReference"/>
          <w:rFonts w:cs="Arial"/>
          <w:sz w:val="16"/>
          <w:szCs w:val="16"/>
        </w:rPr>
        <w:footnoteRef/>
      </w:r>
      <w:r w:rsidRPr="00076571">
        <w:rPr>
          <w:sz w:val="16"/>
          <w:szCs w:val="16"/>
        </w:rPr>
        <w:t xml:space="preserve"> Clause (5) substituted by the Finance Act, 2005. The substituted clause (5) read as follows: </w:t>
      </w:r>
    </w:p>
    <w:p w:rsidR="00BF2117" w:rsidRPr="00076571" w:rsidRDefault="00BF2117" w:rsidP="00AA4BF8">
      <w:pPr>
        <w:keepNext/>
        <w:widowControl w:val="0"/>
        <w:ind w:left="180"/>
        <w:jc w:val="both"/>
        <w:rPr>
          <w:sz w:val="16"/>
          <w:szCs w:val="16"/>
        </w:rPr>
      </w:pPr>
      <w:r w:rsidRPr="00076571">
        <w:rPr>
          <w:b/>
          <w:bCs/>
          <w:sz w:val="16"/>
          <w:szCs w:val="16"/>
        </w:rPr>
        <w:t>“(5)</w:t>
      </w:r>
      <w:r w:rsidRPr="00076571">
        <w:rPr>
          <w:sz w:val="16"/>
          <w:szCs w:val="16"/>
        </w:rPr>
        <w:tab/>
        <w:t>The provisions of section 111 shall not apply in respect of any amount of foreign exchange deposited in a private Foreign Currency account held with an authorized bank in Pakistan in accordance with the Foreign Currency Accounts Scheme introduced by the State Bank of Pakistan:</w:t>
      </w:r>
    </w:p>
    <w:p w:rsidR="00BF2117" w:rsidRPr="00076571" w:rsidRDefault="00BF2117" w:rsidP="00AA4BF8">
      <w:pPr>
        <w:keepNext/>
        <w:widowControl w:val="0"/>
        <w:jc w:val="both"/>
        <w:rPr>
          <w:snapToGrid w:val="0"/>
          <w:sz w:val="16"/>
          <w:szCs w:val="16"/>
        </w:rPr>
      </w:pPr>
    </w:p>
    <w:p w:rsidR="00BF2117" w:rsidRPr="00076571" w:rsidRDefault="00BF2117" w:rsidP="00AA4BF8">
      <w:pPr>
        <w:widowControl w:val="0"/>
        <w:ind w:left="180"/>
        <w:jc w:val="both"/>
        <w:rPr>
          <w:sz w:val="16"/>
          <w:szCs w:val="16"/>
        </w:rPr>
      </w:pPr>
      <w:r w:rsidRPr="00076571">
        <w:rPr>
          <w:snapToGrid w:val="0"/>
          <w:sz w:val="16"/>
          <w:szCs w:val="16"/>
        </w:rPr>
        <w:t xml:space="preserve">Provided that the exemption under this clause shall not be available in respect of any incremental deposits made on or after the 16th day of December, 1999 in such accounts held by a resident person or in respect of </w:t>
      </w:r>
      <w:r w:rsidRPr="00076571">
        <w:rPr>
          <w:rStyle w:val="FootnoteReference"/>
          <w:rFonts w:cs="Arial"/>
          <w:snapToGrid w:val="0"/>
          <w:sz w:val="16"/>
          <w:szCs w:val="16"/>
        </w:rPr>
        <w:footnoteRef/>
      </w:r>
      <w:r w:rsidRPr="00076571">
        <w:rPr>
          <w:snapToGrid w:val="0"/>
          <w:sz w:val="16"/>
          <w:szCs w:val="16"/>
        </w:rPr>
        <w:t>[any amount] deposited in accounts opened on or after the said date by such person.”</w:t>
      </w:r>
    </w:p>
  </w:footnote>
  <w:footnote w:id="2120">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Inserted by the Finance Act, 2014.</w:t>
      </w:r>
    </w:p>
  </w:footnote>
  <w:footnote w:id="2121">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Inserted by the Finance Act, 2014.</w:t>
      </w:r>
    </w:p>
  </w:footnote>
  <w:footnote w:id="2122">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(6) omitted by the Finance Act, 2003. The omitted clause (6)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(6)</w:t>
      </w:r>
      <w:r w:rsidRPr="0046671C">
        <w:rPr>
          <w:snapToGrid w:val="0"/>
          <w:sz w:val="16"/>
          <w:szCs w:val="16"/>
        </w:rPr>
        <w:tab/>
      </w:r>
      <w:r w:rsidRPr="0046671C">
        <w:rPr>
          <w:sz w:val="16"/>
          <w:szCs w:val="16"/>
        </w:rPr>
        <w:t xml:space="preserve">The provisions of section 111 shall not apply in respect of any amount invested in the acquisition of US Dollar Bearer Certificate issued under the US Dollar </w:t>
      </w:r>
      <w:r w:rsidRPr="0046671C">
        <w:rPr>
          <w:snapToGrid w:val="0"/>
          <w:sz w:val="16"/>
          <w:szCs w:val="16"/>
        </w:rPr>
        <w:t>Bearer Certificates Rules, 1991.”</w:t>
      </w:r>
    </w:p>
  </w:footnote>
  <w:footnote w:id="2123">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(7) omitted by the Finance Act, 2005. The omitted clause (7)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(7)</w:t>
      </w:r>
      <w:r w:rsidRPr="0046671C">
        <w:rPr>
          <w:snapToGrid w:val="0"/>
          <w:sz w:val="16"/>
          <w:szCs w:val="16"/>
        </w:rPr>
        <w:tab/>
        <w:t xml:space="preserve">The provisions of </w:t>
      </w:r>
      <w:r w:rsidRPr="0046671C">
        <w:rPr>
          <w:sz w:val="16"/>
          <w:szCs w:val="16"/>
        </w:rPr>
        <w:t>section 111 shall not apply in respect of any amount invested in the acquisition of Three-Years Foreign Currency Bearer Certificates issued under the Foreign Currency Bearer certificates Rules, 1997.”</w:t>
      </w:r>
    </w:p>
  </w:footnote>
  <w:footnote w:id="2124">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(8) omitted by the Finance Act, 2005. The omitted clause (7) read as follows:</w:t>
      </w:r>
    </w:p>
    <w:p w:rsidR="00BF2117" w:rsidRPr="0046671C" w:rsidRDefault="00BF2117" w:rsidP="00AA4BF8">
      <w:pPr>
        <w:keepNext/>
        <w:widowControl w:val="0"/>
        <w:ind w:left="180"/>
        <w:jc w:val="both"/>
        <w:rPr>
          <w:sz w:val="16"/>
          <w:szCs w:val="16"/>
        </w:rPr>
      </w:pPr>
      <w:r w:rsidRPr="0046671C">
        <w:rPr>
          <w:snapToGrid w:val="0"/>
          <w:sz w:val="16"/>
          <w:szCs w:val="16"/>
        </w:rPr>
        <w:t>“</w:t>
      </w:r>
      <w:r w:rsidRPr="0046671C">
        <w:rPr>
          <w:b/>
          <w:bCs/>
          <w:snapToGrid w:val="0"/>
          <w:sz w:val="16"/>
          <w:szCs w:val="16"/>
        </w:rPr>
        <w:t>(8)</w:t>
      </w:r>
      <w:r w:rsidRPr="0046671C">
        <w:rPr>
          <w:snapToGrid w:val="0"/>
          <w:sz w:val="16"/>
          <w:szCs w:val="16"/>
        </w:rPr>
        <w:tab/>
        <w:t xml:space="preserve">The provisions of </w:t>
      </w:r>
      <w:r w:rsidRPr="0046671C">
        <w:rPr>
          <w:sz w:val="16"/>
          <w:szCs w:val="16"/>
        </w:rPr>
        <w:t>section 111 shall not apply in respect of rupees withdrawn or assets created out of such withdrawal in rupees from private foreign currency accounts, or encashment of Foreign Exchange Bearer Certificates, US Dollar Bearer Certificates</w:t>
      </w:r>
      <w:r w:rsidRPr="0046671C">
        <w:rPr>
          <w:snapToGrid w:val="0"/>
          <w:sz w:val="16"/>
          <w:szCs w:val="16"/>
        </w:rPr>
        <w:t xml:space="preserve"> and Foreign Currency Bearer Certificates.”</w:t>
      </w:r>
    </w:p>
  </w:footnote>
  <w:footnote w:id="2125">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(9) omitted by the Finance Act, 2003. The omitted clause (9) read as follows:</w:t>
      </w:r>
    </w:p>
    <w:p w:rsidR="00BF2117" w:rsidRPr="0046671C" w:rsidRDefault="00BF2117" w:rsidP="00AA4BF8">
      <w:pPr>
        <w:widowControl w:val="0"/>
        <w:ind w:left="180"/>
        <w:jc w:val="both"/>
        <w:rPr>
          <w:sz w:val="16"/>
          <w:szCs w:val="16"/>
        </w:rPr>
      </w:pPr>
      <w:r w:rsidRPr="0046671C">
        <w:rPr>
          <w:sz w:val="16"/>
          <w:szCs w:val="16"/>
        </w:rPr>
        <w:t>“</w:t>
      </w:r>
      <w:r w:rsidRPr="0046671C">
        <w:rPr>
          <w:b/>
          <w:bCs/>
          <w:snapToGrid w:val="0"/>
          <w:sz w:val="16"/>
          <w:szCs w:val="16"/>
        </w:rPr>
        <w:t>(9)</w:t>
      </w:r>
      <w:r w:rsidRPr="0046671C">
        <w:rPr>
          <w:snapToGrid w:val="0"/>
          <w:sz w:val="16"/>
          <w:szCs w:val="16"/>
        </w:rPr>
        <w:tab/>
      </w:r>
      <w:r w:rsidRPr="0046671C">
        <w:rPr>
          <w:sz w:val="16"/>
          <w:szCs w:val="16"/>
        </w:rPr>
        <w:t>The provisions of section 111 shall not apply in respect of any amount investe</w:t>
      </w:r>
      <w:r w:rsidRPr="0046671C">
        <w:rPr>
          <w:snapToGrid w:val="0"/>
          <w:sz w:val="16"/>
          <w:szCs w:val="16"/>
        </w:rPr>
        <w:t>d by a sponsor or an original allottee in the purchase of shares of a company owning and managing an industrial undertaking specified in rule 5A of the Third Schedule of the Income Tax Ordinance, 1979.”</w:t>
      </w:r>
    </w:p>
  </w:footnote>
  <w:footnote w:id="2126">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(10) omitted by Finance Act, 2014. The omitted clause (10) read as follows:</w:t>
      </w:r>
    </w:p>
    <w:p w:rsidR="00BF2117" w:rsidRPr="00F852EB" w:rsidRDefault="00BF2117" w:rsidP="00DA64FF">
      <w:pPr>
        <w:widowControl w:val="0"/>
        <w:jc w:val="both"/>
        <w:rPr>
          <w:snapToGrid w:val="0"/>
          <w:color w:val="000000" w:themeColor="text1"/>
          <w:sz w:val="16"/>
          <w:szCs w:val="16"/>
        </w:rPr>
      </w:pPr>
      <w:r w:rsidRPr="00F852EB">
        <w:rPr>
          <w:color w:val="000000" w:themeColor="text1"/>
          <w:sz w:val="16"/>
          <w:szCs w:val="16"/>
          <w:lang w:val="en-US"/>
        </w:rPr>
        <w:tab/>
        <w:t>“</w:t>
      </w:r>
      <w:r w:rsidRPr="00F852EB">
        <w:rPr>
          <w:b/>
          <w:snapToGrid w:val="0"/>
          <w:color w:val="000000" w:themeColor="text1"/>
          <w:sz w:val="16"/>
          <w:szCs w:val="16"/>
        </w:rPr>
        <w:t xml:space="preserve">(10)  </w:t>
      </w:r>
      <w:r w:rsidRPr="00F852EB">
        <w:rPr>
          <w:snapToGrid w:val="0"/>
          <w:color w:val="000000" w:themeColor="text1"/>
          <w:sz w:val="16"/>
          <w:szCs w:val="16"/>
        </w:rPr>
        <w:t>The provisions of section 111, Part-X and Part-XI of Chapter X shall not apply in respect of any amount invested in the purchase of Special US Dollar Bonds issued under the Special U.S. Dollar Bond Rules, 1998:</w:t>
      </w:r>
    </w:p>
    <w:p w:rsidR="00BF2117" w:rsidRPr="00F852EB" w:rsidRDefault="00BF2117" w:rsidP="00DA64FF">
      <w:pPr>
        <w:widowControl w:val="0"/>
        <w:jc w:val="both"/>
        <w:rPr>
          <w:rFonts w:cs="Arial"/>
          <w:snapToGrid w:val="0"/>
          <w:color w:val="000000" w:themeColor="text1"/>
          <w:sz w:val="16"/>
          <w:szCs w:val="16"/>
        </w:rPr>
      </w:pPr>
    </w:p>
    <w:p w:rsidR="00BF2117" w:rsidRPr="00F852EB" w:rsidRDefault="00BF2117" w:rsidP="009C328F">
      <w:pPr>
        <w:widowControl w:val="0"/>
        <w:ind w:left="547" w:firstLine="547"/>
        <w:jc w:val="both"/>
        <w:rPr>
          <w:color w:val="000000" w:themeColor="text1"/>
          <w:sz w:val="16"/>
          <w:szCs w:val="16"/>
          <w:lang w:val="en-US"/>
        </w:rPr>
      </w:pPr>
      <w:r w:rsidRPr="00F852EB">
        <w:rPr>
          <w:rFonts w:cs="Arial"/>
          <w:snapToGrid w:val="0"/>
          <w:color w:val="000000" w:themeColor="text1"/>
          <w:sz w:val="16"/>
          <w:szCs w:val="16"/>
        </w:rPr>
        <w:t>Provided that the exemption under this clause shall not be available in respect of the amount invested in the said Bonds purchased out of incremental deposits made in the existing foreign currency accounts on or after 16</w:t>
      </w:r>
      <w:r w:rsidRPr="00F852EB">
        <w:rPr>
          <w:rFonts w:cs="Arial"/>
          <w:snapToGrid w:val="0"/>
          <w:color w:val="000000" w:themeColor="text1"/>
          <w:sz w:val="16"/>
          <w:szCs w:val="16"/>
          <w:vertAlign w:val="superscript"/>
        </w:rPr>
        <w:t>th</w:t>
      </w:r>
      <w:r w:rsidRPr="00F852EB">
        <w:rPr>
          <w:rFonts w:cs="Arial"/>
          <w:snapToGrid w:val="0"/>
          <w:color w:val="000000" w:themeColor="text1"/>
          <w:sz w:val="16"/>
          <w:szCs w:val="16"/>
        </w:rPr>
        <w:t xml:space="preserve"> day of December, 1999, or out of foreign currency accounts opened on or after the said date, or on payment of the amount referred to in sub-rule (3) of rule 5 of Special U.S. Dollar Bond Rules, 1998 after the said date.”</w:t>
      </w:r>
    </w:p>
  </w:footnote>
  <w:footnote w:id="2127">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(10A) omitted by Finance Act, 2014. The omitted clause (10A) read as follows:</w:t>
      </w:r>
    </w:p>
    <w:p w:rsidR="00BF2117" w:rsidRPr="00F852EB" w:rsidRDefault="00BF2117" w:rsidP="00DA64FF">
      <w:pPr>
        <w:widowControl w:val="0"/>
        <w:ind w:firstLine="540"/>
        <w:jc w:val="both"/>
        <w:rPr>
          <w:rFonts w:cs="Arial"/>
          <w:snapToGrid w:val="0"/>
          <w:color w:val="000000" w:themeColor="text1"/>
          <w:sz w:val="16"/>
          <w:szCs w:val="16"/>
        </w:rPr>
      </w:pPr>
      <w:r w:rsidRPr="00F852EB">
        <w:rPr>
          <w:rFonts w:cs="Arial"/>
          <w:b/>
          <w:snapToGrid w:val="0"/>
          <w:color w:val="000000" w:themeColor="text1"/>
          <w:sz w:val="16"/>
          <w:szCs w:val="16"/>
        </w:rPr>
        <w:t xml:space="preserve">“(10A) </w:t>
      </w:r>
      <w:r w:rsidRPr="00F852EB">
        <w:rPr>
          <w:rFonts w:cs="Arial"/>
          <w:snapToGrid w:val="0"/>
          <w:color w:val="000000" w:themeColor="text1"/>
          <w:sz w:val="16"/>
          <w:szCs w:val="16"/>
        </w:rPr>
        <w:t xml:space="preserve">(i) </w:t>
      </w:r>
      <w:r w:rsidRPr="00F852EB">
        <w:rPr>
          <w:rFonts w:cs="Arial"/>
          <w:snapToGrid w:val="0"/>
          <w:color w:val="000000" w:themeColor="text1"/>
          <w:sz w:val="16"/>
          <w:szCs w:val="16"/>
        </w:rPr>
        <w:tab/>
        <w:t xml:space="preserve">The provisions of serial No.5 of the Table given in sub-section (1) of </w:t>
      </w:r>
      <w:r w:rsidRPr="00F852EB">
        <w:rPr>
          <w:rFonts w:cs="Arial"/>
          <w:snapToGrid w:val="0"/>
          <w:color w:val="000000" w:themeColor="text1"/>
          <w:sz w:val="16"/>
          <w:szCs w:val="16"/>
        </w:rPr>
        <w:tab/>
        <w:t xml:space="preserve">section 182 and clause (a) of sub-section (1) of section 205 shall not </w:t>
      </w:r>
      <w:r w:rsidRPr="00F852EB">
        <w:rPr>
          <w:rFonts w:cs="Arial"/>
          <w:snapToGrid w:val="0"/>
          <w:color w:val="000000" w:themeColor="text1"/>
          <w:sz w:val="16"/>
          <w:szCs w:val="16"/>
        </w:rPr>
        <w:tab/>
        <w:t xml:space="preserve">apply to business located in the most affected and moderately affected areas of Khyber Pakhtunkhwa, FATA and PATA, provided </w:t>
      </w:r>
      <w:r w:rsidRPr="00F852EB">
        <w:rPr>
          <w:rFonts w:cs="Arial"/>
          <w:snapToGrid w:val="0"/>
          <w:color w:val="000000" w:themeColor="text1"/>
          <w:sz w:val="16"/>
          <w:szCs w:val="16"/>
        </w:rPr>
        <w:tab/>
        <w:t>that the principal amount of tax due is paid by the 30</w:t>
      </w:r>
      <w:r w:rsidRPr="00F852EB">
        <w:rPr>
          <w:rFonts w:cs="Arial"/>
          <w:snapToGrid w:val="0"/>
          <w:color w:val="000000" w:themeColor="text1"/>
          <w:sz w:val="16"/>
          <w:szCs w:val="16"/>
          <w:vertAlign w:val="superscript"/>
        </w:rPr>
        <w:t>th</w:t>
      </w:r>
      <w:r w:rsidRPr="00F852EB">
        <w:rPr>
          <w:rFonts w:cs="Arial"/>
          <w:snapToGrid w:val="0"/>
          <w:color w:val="000000" w:themeColor="text1"/>
          <w:sz w:val="16"/>
          <w:szCs w:val="16"/>
        </w:rPr>
        <w:t xml:space="preserve"> day of June, </w:t>
      </w:r>
      <w:r w:rsidRPr="00F852EB">
        <w:rPr>
          <w:rFonts w:cs="Arial"/>
          <w:snapToGrid w:val="0"/>
          <w:color w:val="000000" w:themeColor="text1"/>
          <w:sz w:val="16"/>
          <w:szCs w:val="16"/>
        </w:rPr>
        <w:tab/>
        <w:t>2010;</w:t>
      </w:r>
    </w:p>
    <w:p w:rsidR="00BF2117" w:rsidRPr="00F852EB" w:rsidRDefault="00BF2117" w:rsidP="00395639">
      <w:pPr>
        <w:widowControl w:val="0"/>
        <w:ind w:left="1094" w:hanging="554"/>
        <w:jc w:val="both"/>
        <w:rPr>
          <w:rFonts w:cs="Arial"/>
          <w:snapToGrid w:val="0"/>
          <w:color w:val="000000" w:themeColor="text1"/>
          <w:sz w:val="16"/>
          <w:szCs w:val="16"/>
        </w:rPr>
      </w:pPr>
      <w:r w:rsidRPr="00F852EB">
        <w:rPr>
          <w:rFonts w:cs="Arial"/>
          <w:snapToGrid w:val="0"/>
          <w:color w:val="000000" w:themeColor="text1"/>
          <w:sz w:val="16"/>
          <w:szCs w:val="16"/>
        </w:rPr>
        <w:t xml:space="preserve">(ii) </w:t>
      </w:r>
      <w:r w:rsidRPr="00F852EB">
        <w:rPr>
          <w:rFonts w:cs="Arial"/>
          <w:snapToGrid w:val="0"/>
          <w:color w:val="000000" w:themeColor="text1"/>
          <w:sz w:val="16"/>
          <w:szCs w:val="16"/>
        </w:rPr>
        <w:tab/>
        <w:t>the provisions of section 235, regarding advance tax on electricity, shall not apply to commercial and industrial consumers of electricity located in the most affected and moderately affected areas of Khyber Pakhtunkhwa, FATA and PATA till the 30</w:t>
      </w:r>
      <w:r w:rsidRPr="00F852EB">
        <w:rPr>
          <w:rFonts w:cs="Arial"/>
          <w:snapToGrid w:val="0"/>
          <w:color w:val="000000" w:themeColor="text1"/>
          <w:sz w:val="16"/>
          <w:szCs w:val="16"/>
          <w:vertAlign w:val="superscript"/>
        </w:rPr>
        <w:t>th</w:t>
      </w:r>
      <w:r w:rsidRPr="00F852EB">
        <w:rPr>
          <w:rFonts w:cs="Arial"/>
          <w:snapToGrid w:val="0"/>
          <w:color w:val="000000" w:themeColor="text1"/>
          <w:sz w:val="16"/>
          <w:szCs w:val="16"/>
        </w:rPr>
        <w:t xml:space="preserve"> day of June, 2011;</w:t>
      </w:r>
    </w:p>
    <w:p w:rsidR="00BF2117" w:rsidRPr="00F852EB" w:rsidRDefault="00BF2117" w:rsidP="00DA64FF">
      <w:pPr>
        <w:widowControl w:val="0"/>
        <w:ind w:left="1094" w:hanging="554"/>
        <w:jc w:val="both"/>
        <w:rPr>
          <w:rFonts w:cs="Arial"/>
          <w:snapToGrid w:val="0"/>
          <w:color w:val="000000" w:themeColor="text1"/>
          <w:sz w:val="16"/>
          <w:szCs w:val="16"/>
        </w:rPr>
      </w:pPr>
      <w:r w:rsidRPr="00F852EB">
        <w:rPr>
          <w:rFonts w:cs="Arial"/>
          <w:snapToGrid w:val="0"/>
          <w:color w:val="000000" w:themeColor="text1"/>
          <w:sz w:val="16"/>
          <w:szCs w:val="16"/>
        </w:rPr>
        <w:t xml:space="preserve">(iii) </w:t>
      </w:r>
      <w:r w:rsidRPr="00F852EB">
        <w:rPr>
          <w:rFonts w:cs="Arial"/>
          <w:snapToGrid w:val="0"/>
          <w:color w:val="000000" w:themeColor="text1"/>
          <w:sz w:val="16"/>
          <w:szCs w:val="16"/>
        </w:rPr>
        <w:tab/>
        <w:t>the provisions of section 154, regarding withholding tax on exports, shall not be applicable to the export of goods originating from the most affected and moderately affected areas of Khyber Pakhtunkhwa, FATA and PATA, till the 30</w:t>
      </w:r>
      <w:r w:rsidRPr="00F852EB">
        <w:rPr>
          <w:rFonts w:cs="Arial"/>
          <w:snapToGrid w:val="0"/>
          <w:color w:val="000000" w:themeColor="text1"/>
          <w:sz w:val="16"/>
          <w:szCs w:val="16"/>
          <w:vertAlign w:val="superscript"/>
        </w:rPr>
        <w:t>th</w:t>
      </w:r>
      <w:r w:rsidRPr="00F852EB">
        <w:rPr>
          <w:rFonts w:cs="Arial"/>
          <w:snapToGrid w:val="0"/>
          <w:color w:val="000000" w:themeColor="text1"/>
          <w:sz w:val="16"/>
          <w:szCs w:val="16"/>
        </w:rPr>
        <w:t xml:space="preserve"> day of June,</w:t>
      </w:r>
      <w:r w:rsidRPr="0046671C">
        <w:rPr>
          <w:rFonts w:cs="Arial"/>
          <w:snapToGrid w:val="0"/>
          <w:color w:val="00B0F0"/>
          <w:sz w:val="16"/>
          <w:szCs w:val="16"/>
        </w:rPr>
        <w:t xml:space="preserve"> </w:t>
      </w:r>
      <w:r w:rsidRPr="00F852EB">
        <w:rPr>
          <w:rFonts w:cs="Arial"/>
          <w:snapToGrid w:val="0"/>
          <w:color w:val="000000" w:themeColor="text1"/>
          <w:sz w:val="16"/>
          <w:szCs w:val="16"/>
        </w:rPr>
        <w:t>2011:</w:t>
      </w:r>
    </w:p>
    <w:p w:rsidR="00BF2117" w:rsidRPr="00F852EB" w:rsidRDefault="00BF2117" w:rsidP="00395639">
      <w:pPr>
        <w:widowControl w:val="0"/>
        <w:ind w:firstLine="540"/>
        <w:jc w:val="both"/>
        <w:rPr>
          <w:rFonts w:cs="Arial"/>
          <w:snapToGrid w:val="0"/>
          <w:color w:val="000000" w:themeColor="text1"/>
          <w:sz w:val="16"/>
          <w:szCs w:val="16"/>
        </w:rPr>
      </w:pPr>
      <w:r w:rsidRPr="00F852EB">
        <w:rPr>
          <w:rFonts w:cs="Arial"/>
          <w:snapToGrid w:val="0"/>
          <w:color w:val="000000" w:themeColor="text1"/>
          <w:sz w:val="16"/>
          <w:szCs w:val="16"/>
        </w:rPr>
        <w:t>Provided that this clause shall only be restricted to the exporters based in the above areas;</w:t>
      </w:r>
    </w:p>
    <w:p w:rsidR="00BF2117" w:rsidRPr="00F852EB" w:rsidRDefault="00BF2117" w:rsidP="00DA64FF">
      <w:pPr>
        <w:widowControl w:val="0"/>
        <w:ind w:left="1094" w:hanging="554"/>
        <w:jc w:val="both"/>
        <w:rPr>
          <w:rFonts w:cs="Arial"/>
          <w:snapToGrid w:val="0"/>
          <w:color w:val="000000" w:themeColor="text1"/>
          <w:sz w:val="16"/>
          <w:szCs w:val="16"/>
        </w:rPr>
      </w:pPr>
      <w:r w:rsidRPr="00F852EB">
        <w:rPr>
          <w:rFonts w:cs="Arial"/>
          <w:snapToGrid w:val="0"/>
          <w:color w:val="000000" w:themeColor="text1"/>
          <w:sz w:val="16"/>
          <w:szCs w:val="16"/>
        </w:rPr>
        <w:t xml:space="preserve">(iv) </w:t>
      </w:r>
      <w:r w:rsidRPr="00F852EB">
        <w:rPr>
          <w:rFonts w:cs="Arial"/>
          <w:snapToGrid w:val="0"/>
          <w:color w:val="000000" w:themeColor="text1"/>
          <w:sz w:val="16"/>
          <w:szCs w:val="16"/>
        </w:rPr>
        <w:tab/>
        <w:t>the provisions of section 148 shall not be applicable on the import of plant and machinery for establishment of businesses in the most affected and moderately affected areas of Khyber Pakhtunkhwa, FATA and PATA till the 30</w:t>
      </w:r>
      <w:r w:rsidRPr="00F852EB">
        <w:rPr>
          <w:rFonts w:cs="Arial"/>
          <w:snapToGrid w:val="0"/>
          <w:color w:val="000000" w:themeColor="text1"/>
          <w:sz w:val="16"/>
          <w:szCs w:val="16"/>
          <w:vertAlign w:val="superscript"/>
        </w:rPr>
        <w:t>th</w:t>
      </w:r>
      <w:r w:rsidRPr="00F852EB">
        <w:rPr>
          <w:rFonts w:cs="Arial"/>
          <w:snapToGrid w:val="0"/>
          <w:color w:val="000000" w:themeColor="text1"/>
          <w:sz w:val="16"/>
          <w:szCs w:val="16"/>
        </w:rPr>
        <w:t xml:space="preserve"> day of June, 2011:</w:t>
      </w:r>
    </w:p>
    <w:p w:rsidR="00BF2117" w:rsidRPr="00F852EB" w:rsidRDefault="00BF2117" w:rsidP="00395639">
      <w:pPr>
        <w:widowControl w:val="0"/>
        <w:ind w:firstLine="540"/>
        <w:jc w:val="both"/>
        <w:rPr>
          <w:rFonts w:cs="Arial"/>
          <w:snapToGrid w:val="0"/>
          <w:color w:val="000000" w:themeColor="text1"/>
          <w:sz w:val="16"/>
          <w:szCs w:val="16"/>
        </w:rPr>
      </w:pPr>
      <w:r w:rsidRPr="00F852EB">
        <w:rPr>
          <w:rFonts w:cs="Arial"/>
          <w:snapToGrid w:val="0"/>
          <w:color w:val="000000" w:themeColor="text1"/>
          <w:sz w:val="16"/>
          <w:szCs w:val="16"/>
        </w:rPr>
        <w:t>Provided that this concession shall not be available to the manufacturers and suppliers of cement, sugar, beverages and cigarettes;</w:t>
      </w:r>
    </w:p>
    <w:p w:rsidR="00BF2117" w:rsidRPr="00F852EB" w:rsidRDefault="00BF2117" w:rsidP="00DA64FF">
      <w:pPr>
        <w:widowControl w:val="0"/>
        <w:jc w:val="both"/>
        <w:rPr>
          <w:rFonts w:cs="Arial"/>
          <w:snapToGrid w:val="0"/>
          <w:color w:val="000000" w:themeColor="text1"/>
          <w:sz w:val="16"/>
          <w:szCs w:val="16"/>
        </w:rPr>
      </w:pPr>
      <w:r w:rsidRPr="00F852EB">
        <w:rPr>
          <w:rFonts w:cs="Arial"/>
          <w:snapToGrid w:val="0"/>
          <w:color w:val="000000" w:themeColor="text1"/>
          <w:sz w:val="16"/>
          <w:szCs w:val="16"/>
        </w:rPr>
        <w:tab/>
      </w:r>
      <w:r w:rsidRPr="00F852EB">
        <w:rPr>
          <w:rFonts w:cs="Arial"/>
          <w:snapToGrid w:val="0"/>
          <w:color w:val="000000" w:themeColor="text1"/>
          <w:sz w:val="16"/>
          <w:szCs w:val="16"/>
        </w:rPr>
        <w:tab/>
      </w:r>
      <w:r w:rsidRPr="00F852EB">
        <w:rPr>
          <w:rFonts w:cs="Arial"/>
          <w:i/>
          <w:snapToGrid w:val="0"/>
          <w:color w:val="000000" w:themeColor="text1"/>
          <w:sz w:val="16"/>
          <w:szCs w:val="16"/>
        </w:rPr>
        <w:t>Explanation.</w:t>
      </w:r>
      <w:r w:rsidRPr="00F852EB">
        <w:rPr>
          <w:rFonts w:cs="Arial"/>
          <w:snapToGrid w:val="0"/>
          <w:color w:val="000000" w:themeColor="text1"/>
          <w:sz w:val="16"/>
          <w:szCs w:val="16"/>
        </w:rPr>
        <w:t>— For the purpose of this Schedule,—</w:t>
      </w:r>
    </w:p>
    <w:p w:rsidR="00BF2117" w:rsidRPr="00F852EB" w:rsidRDefault="00BF2117" w:rsidP="00DA64FF">
      <w:pPr>
        <w:widowControl w:val="0"/>
        <w:ind w:left="1641" w:hanging="546"/>
        <w:jc w:val="both"/>
        <w:rPr>
          <w:rFonts w:cs="Arial"/>
          <w:snapToGrid w:val="0"/>
          <w:color w:val="000000" w:themeColor="text1"/>
          <w:sz w:val="16"/>
          <w:szCs w:val="16"/>
        </w:rPr>
      </w:pPr>
      <w:r w:rsidRPr="00F852EB">
        <w:rPr>
          <w:rFonts w:cs="Arial"/>
          <w:snapToGrid w:val="0"/>
          <w:color w:val="000000" w:themeColor="text1"/>
          <w:sz w:val="16"/>
          <w:szCs w:val="16"/>
        </w:rPr>
        <w:t xml:space="preserve">(a) </w:t>
      </w:r>
      <w:r w:rsidRPr="00F852EB">
        <w:rPr>
          <w:rFonts w:cs="Arial"/>
          <w:snapToGrid w:val="0"/>
          <w:color w:val="000000" w:themeColor="text1"/>
          <w:sz w:val="16"/>
          <w:szCs w:val="16"/>
        </w:rPr>
        <w:tab/>
        <w:t xml:space="preserve">most affected areas means district Peshawar, Malakand Agency, and districts of Swat, Buner, Shangla, Upper Dir, Lower Dir, Hangu, Bannu, Tank, Kohat and Chitral; and </w:t>
      </w:r>
    </w:p>
    <w:p w:rsidR="00BF2117" w:rsidRPr="00F852EB" w:rsidRDefault="00BF2117" w:rsidP="00DA64FF">
      <w:pPr>
        <w:widowControl w:val="0"/>
        <w:ind w:left="1641" w:hanging="546"/>
        <w:jc w:val="both"/>
        <w:rPr>
          <w:color w:val="000000" w:themeColor="text1"/>
          <w:sz w:val="16"/>
          <w:szCs w:val="16"/>
          <w:lang w:val="en-US"/>
        </w:rPr>
      </w:pPr>
      <w:r w:rsidRPr="00F852EB">
        <w:rPr>
          <w:rFonts w:cs="Arial"/>
          <w:snapToGrid w:val="0"/>
          <w:color w:val="000000" w:themeColor="text1"/>
          <w:sz w:val="16"/>
          <w:szCs w:val="16"/>
        </w:rPr>
        <w:t xml:space="preserve">(b) </w:t>
      </w:r>
      <w:r w:rsidRPr="00F852EB">
        <w:rPr>
          <w:rFonts w:cs="Arial"/>
          <w:snapToGrid w:val="0"/>
          <w:color w:val="000000" w:themeColor="text1"/>
          <w:sz w:val="16"/>
          <w:szCs w:val="16"/>
        </w:rPr>
        <w:tab/>
        <w:t>moderately affected areas means districts of Charsadda, Nowshera, D.I. Khan, Batagram, LakkiMarwat, Swabi and Mardan.”</w:t>
      </w:r>
    </w:p>
  </w:footnote>
  <w:footnote w:id="2128">
    <w:p w:rsidR="00BF2117" w:rsidRPr="0046671C" w:rsidRDefault="00BF2117" w:rsidP="00AA4BF8">
      <w:pPr>
        <w:pStyle w:val="FootnoteText"/>
        <w:rPr>
          <w:sz w:val="16"/>
          <w:szCs w:val="16"/>
          <w:lang w:val="en-US"/>
        </w:rPr>
      </w:pPr>
      <w:r w:rsidRPr="0046671C">
        <w:rPr>
          <w:rStyle w:val="FootnoteReference"/>
          <w:rFonts w:cs="Arial"/>
          <w:sz w:val="16"/>
          <w:szCs w:val="16"/>
        </w:rPr>
        <w:footnoteRef/>
      </w:r>
      <w:r w:rsidRPr="0046671C">
        <w:rPr>
          <w:sz w:val="16"/>
          <w:szCs w:val="16"/>
        </w:rPr>
        <w:t xml:space="preserve"> Clause (11) o</w:t>
      </w:r>
      <w:r w:rsidRPr="0046671C">
        <w:rPr>
          <w:sz w:val="16"/>
          <w:szCs w:val="16"/>
          <w:lang w:val="en-US"/>
        </w:rPr>
        <w:t>mitted by the Finance Act, 2008. The omitted clause (11) read as follows:</w:t>
      </w:r>
    </w:p>
    <w:p w:rsidR="00BF2117" w:rsidRPr="0046671C" w:rsidRDefault="00BF2117" w:rsidP="00AA4BF8">
      <w:pPr>
        <w:widowControl w:val="0"/>
        <w:ind w:left="180" w:hanging="90"/>
        <w:jc w:val="both"/>
        <w:rPr>
          <w:snapToGrid w:val="0"/>
          <w:sz w:val="16"/>
          <w:szCs w:val="16"/>
        </w:rPr>
      </w:pPr>
      <w:r w:rsidRPr="0046671C">
        <w:rPr>
          <w:sz w:val="16"/>
          <w:szCs w:val="16"/>
          <w:lang w:val="en-US"/>
        </w:rPr>
        <w:t>“</w:t>
      </w:r>
      <w:r w:rsidRPr="0046671C">
        <w:rPr>
          <w:b/>
          <w:bCs/>
          <w:snapToGrid w:val="0"/>
          <w:sz w:val="16"/>
          <w:szCs w:val="16"/>
        </w:rPr>
        <w:t xml:space="preserve">(11) </w:t>
      </w:r>
      <w:r w:rsidRPr="0046671C">
        <w:rPr>
          <w:b/>
          <w:bCs/>
          <w:snapToGrid w:val="0"/>
          <w:sz w:val="16"/>
          <w:szCs w:val="16"/>
        </w:rPr>
        <w:tab/>
      </w:r>
      <w:r w:rsidRPr="0046671C">
        <w:rPr>
          <w:snapToGrid w:val="0"/>
          <w:sz w:val="16"/>
          <w:szCs w:val="16"/>
        </w:rPr>
        <w:t>The provisions of section 113, regarding minimum tax, shall not apply to,-</w:t>
      </w:r>
    </w:p>
    <w:p w:rsidR="00BF2117" w:rsidRPr="0046671C" w:rsidRDefault="00BF2117" w:rsidP="00AA4BF8">
      <w:pPr>
        <w:widowControl w:val="0"/>
        <w:ind w:left="1641" w:hanging="539"/>
        <w:jc w:val="both"/>
        <w:rPr>
          <w:snapToGrid w:val="0"/>
          <w:sz w:val="16"/>
          <w:szCs w:val="16"/>
        </w:rPr>
      </w:pPr>
      <w:r w:rsidRPr="0046671C">
        <w:rPr>
          <w:snapToGrid w:val="0"/>
          <w:sz w:val="16"/>
          <w:szCs w:val="16"/>
        </w:rPr>
        <w:t xml:space="preserve">(i) </w:t>
      </w:r>
      <w:r w:rsidRPr="0046671C">
        <w:rPr>
          <w:snapToGrid w:val="0"/>
          <w:sz w:val="16"/>
          <w:szCs w:val="16"/>
        </w:rPr>
        <w:tab/>
        <w:t xml:space="preserve">National Investment (Unit) Trust or a collective investment scheme authorized or registered under the Non-banking Finance Companies (Establishment and Regulation) Rule, 2003 </w:t>
      </w:r>
      <w:r w:rsidRPr="0046671C">
        <w:rPr>
          <w:rStyle w:val="FootnoteReference"/>
          <w:rFonts w:cs="Arial"/>
          <w:snapToGrid w:val="0"/>
          <w:sz w:val="16"/>
          <w:szCs w:val="16"/>
        </w:rPr>
        <w:footnoteRef/>
      </w:r>
      <w:r w:rsidRPr="0046671C">
        <w:rPr>
          <w:snapToGrid w:val="0"/>
          <w:sz w:val="16"/>
          <w:szCs w:val="16"/>
        </w:rPr>
        <w:t>[or a real estate investment trust approved and authorized under the Real Estate Investment Trust Rules, 2006], or any other company in respect of turnover representing transactions in shares, or securities listed on a registered stock exchange;</w:t>
      </w:r>
    </w:p>
    <w:p w:rsidR="00BF2117" w:rsidRPr="0046671C" w:rsidRDefault="00BF2117" w:rsidP="00AA4BF8">
      <w:pPr>
        <w:widowControl w:val="0"/>
        <w:ind w:left="1641" w:hanging="547"/>
        <w:jc w:val="both"/>
        <w:rPr>
          <w:snapToGrid w:val="0"/>
          <w:sz w:val="16"/>
          <w:szCs w:val="16"/>
        </w:rPr>
      </w:pPr>
      <w:r w:rsidRPr="0046671C">
        <w:rPr>
          <w:snapToGrid w:val="0"/>
          <w:sz w:val="16"/>
          <w:szCs w:val="16"/>
        </w:rPr>
        <w:t>(ii)</w:t>
      </w:r>
      <w:r w:rsidRPr="0046671C">
        <w:rPr>
          <w:snapToGrid w:val="0"/>
          <w:sz w:val="16"/>
          <w:szCs w:val="16"/>
        </w:rPr>
        <w:tab/>
        <w:t>petroleum dealers, in so far as they relate to turnover on account of sale of petroleum and petroleum products, notwithstanding their status as a company, a registered firm or an individual, engaged in retail sale of petroleum and petroleum products through petrol pumps for the purposes of assessment of their income and determination of tax thereon:</w:t>
      </w:r>
    </w:p>
    <w:p w:rsidR="00BF2117" w:rsidRPr="0046671C" w:rsidRDefault="00BF2117" w:rsidP="00AA4BF8">
      <w:pPr>
        <w:widowControl w:val="0"/>
        <w:ind w:left="90"/>
        <w:jc w:val="both"/>
        <w:rPr>
          <w:snapToGrid w:val="0"/>
          <w:sz w:val="16"/>
          <w:szCs w:val="16"/>
        </w:rPr>
      </w:pPr>
      <w:r w:rsidRPr="0046671C">
        <w:rPr>
          <w:snapToGrid w:val="0"/>
          <w:sz w:val="16"/>
          <w:szCs w:val="16"/>
        </w:rPr>
        <w:tab/>
        <w:t>Provided that this exemption shall not apply to the sale of petroleum and petroleum products through petrol pumps which are directly operated or managed by companies engaged in distribution of petroleum and petroleum products.</w:t>
      </w:r>
    </w:p>
    <w:p w:rsidR="00BF2117" w:rsidRPr="0046671C" w:rsidRDefault="00BF2117" w:rsidP="00AA4BF8">
      <w:pPr>
        <w:widowControl w:val="0"/>
        <w:ind w:left="1094"/>
        <w:jc w:val="both"/>
        <w:rPr>
          <w:snapToGrid w:val="0"/>
          <w:sz w:val="16"/>
          <w:szCs w:val="16"/>
        </w:rPr>
      </w:pPr>
      <w:r w:rsidRPr="0046671C">
        <w:rPr>
          <w:i/>
          <w:iCs/>
          <w:snapToGrid w:val="0"/>
          <w:sz w:val="16"/>
          <w:szCs w:val="16"/>
        </w:rPr>
        <w:t>Explanation.-</w:t>
      </w:r>
      <w:r w:rsidRPr="0046671C">
        <w:rPr>
          <w:snapToGrid w:val="0"/>
          <w:sz w:val="16"/>
          <w:szCs w:val="16"/>
        </w:rPr>
        <w:t xml:space="preserve"> For the removal of doubt it is declared that the companies engaged in distribution of petroleum and petroleum products other than through petrol pumps shall not be entitled to the benefits of this exemption;</w:t>
      </w:r>
    </w:p>
    <w:p w:rsidR="00BF2117" w:rsidRPr="0046671C" w:rsidRDefault="00BF2117" w:rsidP="00AA4BF8">
      <w:pPr>
        <w:widowControl w:val="0"/>
        <w:ind w:left="1641" w:hanging="547"/>
        <w:jc w:val="both"/>
        <w:rPr>
          <w:snapToGrid w:val="0"/>
          <w:sz w:val="16"/>
          <w:szCs w:val="16"/>
        </w:rPr>
      </w:pPr>
      <w:r w:rsidRPr="0046671C">
        <w:rPr>
          <w:snapToGrid w:val="0"/>
          <w:sz w:val="16"/>
          <w:szCs w:val="16"/>
        </w:rPr>
        <w:t xml:space="preserve">(iii) </w:t>
      </w:r>
      <w:r w:rsidRPr="0046671C">
        <w:rPr>
          <w:snapToGrid w:val="0"/>
          <w:sz w:val="16"/>
          <w:szCs w:val="16"/>
        </w:rPr>
        <w:tab/>
        <w:t>Hub Power Company Limited so far as they relate to its receipts on account of sale of electricity;</w:t>
      </w:r>
    </w:p>
    <w:p w:rsidR="00BF2117" w:rsidRPr="0046671C" w:rsidRDefault="00BF2117" w:rsidP="00AA4BF8">
      <w:pPr>
        <w:widowControl w:val="0"/>
        <w:ind w:left="1641" w:hanging="547"/>
        <w:jc w:val="both"/>
        <w:rPr>
          <w:snapToGrid w:val="0"/>
          <w:sz w:val="16"/>
          <w:szCs w:val="16"/>
        </w:rPr>
      </w:pPr>
      <w:r w:rsidRPr="0046671C">
        <w:rPr>
          <w:snapToGrid w:val="0"/>
          <w:sz w:val="16"/>
          <w:szCs w:val="16"/>
        </w:rPr>
        <w:t xml:space="preserve">(iv) </w:t>
      </w:r>
      <w:r w:rsidRPr="0046671C">
        <w:rPr>
          <w:snapToGrid w:val="0"/>
          <w:sz w:val="16"/>
          <w:szCs w:val="16"/>
        </w:rPr>
        <w:tab/>
        <w:t>KotAddu Power Company Limited (KAPCO) for the period it continues to be entitled to exemption under clause (138) of Part-I of this Schedule;</w:t>
      </w:r>
    </w:p>
    <w:p w:rsidR="00BF2117" w:rsidRPr="0046671C" w:rsidRDefault="00BF2117" w:rsidP="00AA4BF8">
      <w:pPr>
        <w:widowControl w:val="0"/>
        <w:ind w:left="1641" w:hanging="547"/>
        <w:jc w:val="both"/>
        <w:rPr>
          <w:snapToGrid w:val="0"/>
          <w:sz w:val="16"/>
          <w:szCs w:val="16"/>
        </w:rPr>
      </w:pPr>
      <w:r w:rsidRPr="0046671C">
        <w:rPr>
          <w:snapToGrid w:val="0"/>
          <w:sz w:val="16"/>
          <w:szCs w:val="16"/>
        </w:rPr>
        <w:t>(v)</w:t>
      </w:r>
      <w:r w:rsidRPr="0046671C">
        <w:rPr>
          <w:snapToGrid w:val="0"/>
          <w:sz w:val="16"/>
          <w:szCs w:val="16"/>
        </w:rPr>
        <w:tab/>
        <w:t>companies, qualifying for exemption under clause (132) of Part-I of this Schedule, in respect of receipts from sale of electricity;</w:t>
      </w:r>
    </w:p>
    <w:p w:rsidR="00BF2117" w:rsidRPr="0046671C" w:rsidRDefault="00BF2117" w:rsidP="00AA4BF8">
      <w:pPr>
        <w:widowControl w:val="0"/>
        <w:ind w:left="1641" w:hanging="547"/>
        <w:jc w:val="both"/>
        <w:rPr>
          <w:snapToGrid w:val="0"/>
          <w:sz w:val="16"/>
          <w:szCs w:val="16"/>
        </w:rPr>
      </w:pPr>
      <w:r w:rsidRPr="0046671C">
        <w:rPr>
          <w:snapToGrid w:val="0"/>
          <w:sz w:val="16"/>
          <w:szCs w:val="16"/>
        </w:rPr>
        <w:t>(vi)</w:t>
      </w:r>
      <w:r w:rsidRPr="0046671C">
        <w:rPr>
          <w:snapToGrid w:val="0"/>
          <w:sz w:val="16"/>
          <w:szCs w:val="16"/>
        </w:rPr>
        <w:tab/>
        <w:t>Provincial Governments and local authorities, qualifying for exemption under section 49 and other Government or semi-Government bodies which are otherwise exempt from income tax:</w:t>
      </w:r>
    </w:p>
    <w:p w:rsidR="00BF2117" w:rsidRPr="0046671C" w:rsidRDefault="00BF2117" w:rsidP="00AA4BF8">
      <w:pPr>
        <w:widowControl w:val="0"/>
        <w:ind w:left="90"/>
        <w:jc w:val="both"/>
        <w:rPr>
          <w:snapToGrid w:val="0"/>
          <w:sz w:val="16"/>
          <w:szCs w:val="16"/>
        </w:rPr>
      </w:pPr>
      <w:r w:rsidRPr="0046671C">
        <w:rPr>
          <w:snapToGrid w:val="0"/>
          <w:sz w:val="16"/>
          <w:szCs w:val="16"/>
        </w:rPr>
        <w:tab/>
        <w:t>Provided that nothing shall be construed to authorize any refund of tax already paid or the collection of any outstanding demand created under the said section;</w:t>
      </w:r>
    </w:p>
    <w:p w:rsidR="00BF2117" w:rsidRPr="0046671C" w:rsidRDefault="00BF2117" w:rsidP="00AA4BF8">
      <w:pPr>
        <w:widowControl w:val="0"/>
        <w:ind w:left="547" w:firstLine="547"/>
        <w:jc w:val="both"/>
        <w:rPr>
          <w:snapToGrid w:val="0"/>
          <w:sz w:val="16"/>
          <w:szCs w:val="16"/>
        </w:rPr>
      </w:pPr>
      <w:r w:rsidRPr="0046671C">
        <w:rPr>
          <w:snapToGrid w:val="0"/>
          <w:sz w:val="16"/>
          <w:szCs w:val="16"/>
        </w:rPr>
        <w:t xml:space="preserve">(vii) </w:t>
      </w:r>
      <w:r w:rsidRPr="0046671C">
        <w:rPr>
          <w:snapToGrid w:val="0"/>
          <w:sz w:val="16"/>
          <w:szCs w:val="16"/>
        </w:rPr>
        <w:tab/>
        <w:t>Pakistan Red Crescent Society;</w:t>
      </w:r>
    </w:p>
    <w:p w:rsidR="00BF2117" w:rsidRPr="0046671C" w:rsidRDefault="00BF2117" w:rsidP="00AA4BF8">
      <w:pPr>
        <w:widowControl w:val="0"/>
        <w:ind w:left="1641" w:hanging="547"/>
        <w:jc w:val="both"/>
        <w:rPr>
          <w:snapToGrid w:val="0"/>
          <w:sz w:val="16"/>
          <w:szCs w:val="16"/>
        </w:rPr>
      </w:pPr>
      <w:r w:rsidRPr="0046671C">
        <w:rPr>
          <w:snapToGrid w:val="0"/>
          <w:sz w:val="16"/>
          <w:szCs w:val="16"/>
        </w:rPr>
        <w:t xml:space="preserve">(viii) </w:t>
      </w:r>
      <w:r w:rsidRPr="0046671C">
        <w:rPr>
          <w:snapToGrid w:val="0"/>
          <w:sz w:val="16"/>
          <w:szCs w:val="16"/>
        </w:rPr>
        <w:tab/>
        <w:t>special purpose, non-profit companies engaged in scrutinizing the receivables of Provincial Governments or the companies;</w:t>
      </w:r>
    </w:p>
    <w:p w:rsidR="00BF2117" w:rsidRPr="0046671C" w:rsidRDefault="00BF2117" w:rsidP="00AA4BF8">
      <w:pPr>
        <w:widowControl w:val="0"/>
        <w:ind w:left="1641" w:hanging="547"/>
        <w:jc w:val="both"/>
        <w:rPr>
          <w:snapToGrid w:val="0"/>
          <w:sz w:val="16"/>
          <w:szCs w:val="16"/>
        </w:rPr>
      </w:pPr>
      <w:r w:rsidRPr="0046671C">
        <w:rPr>
          <w:snapToGrid w:val="0"/>
          <w:sz w:val="16"/>
          <w:szCs w:val="16"/>
        </w:rPr>
        <w:t>(ix)</w:t>
      </w:r>
      <w:r w:rsidRPr="0046671C">
        <w:rPr>
          <w:snapToGrid w:val="0"/>
          <w:sz w:val="16"/>
          <w:szCs w:val="16"/>
        </w:rPr>
        <w:tab/>
        <w:t>non-profit organizations approved under clause (36) of section 2 or clause (58) or included in clause (61) of Part-I of this Schedule;</w:t>
      </w:r>
    </w:p>
    <w:p w:rsidR="00BF2117" w:rsidRPr="0046671C" w:rsidRDefault="00BF2117" w:rsidP="00AA4BF8">
      <w:pPr>
        <w:widowControl w:val="0"/>
        <w:ind w:left="1641" w:hanging="547"/>
        <w:jc w:val="both"/>
        <w:rPr>
          <w:snapToGrid w:val="0"/>
          <w:sz w:val="16"/>
          <w:szCs w:val="16"/>
        </w:rPr>
      </w:pPr>
      <w:r w:rsidRPr="0046671C">
        <w:rPr>
          <w:snapToGrid w:val="0"/>
          <w:sz w:val="16"/>
          <w:szCs w:val="16"/>
        </w:rPr>
        <w:t xml:space="preserve">(x) </w:t>
      </w:r>
      <w:r w:rsidRPr="0046671C">
        <w:rPr>
          <w:snapToGrid w:val="0"/>
          <w:sz w:val="16"/>
          <w:szCs w:val="16"/>
        </w:rPr>
        <w:tab/>
        <w:t>a taxpayer who qualifies for exemption under clause (133) of Part-I of this Schedule, in respect of income from export of computer software or IT services or IT enabled services;</w:t>
      </w:r>
    </w:p>
    <w:p w:rsidR="00BF2117" w:rsidRPr="0046671C" w:rsidRDefault="00BF2117" w:rsidP="00AA4BF8">
      <w:pPr>
        <w:widowControl w:val="0"/>
        <w:ind w:left="1641" w:hanging="547"/>
        <w:jc w:val="both"/>
        <w:rPr>
          <w:snapToGrid w:val="0"/>
          <w:sz w:val="16"/>
          <w:szCs w:val="16"/>
        </w:rPr>
      </w:pPr>
      <w:r w:rsidRPr="0046671C">
        <w:rPr>
          <w:snapToGrid w:val="0"/>
          <w:sz w:val="16"/>
          <w:szCs w:val="16"/>
        </w:rPr>
        <w:t xml:space="preserve">(xi) </w:t>
      </w:r>
      <w:r w:rsidRPr="0046671C">
        <w:rPr>
          <w:snapToGrid w:val="0"/>
          <w:sz w:val="16"/>
          <w:szCs w:val="16"/>
        </w:rPr>
        <w:tab/>
        <w:t>a resident person engaged in the business of shipping who qualifies for application of reduced rate of tax on tonnage basis as final tax under clause (21) of Part II of the Second Schedule;</w:t>
      </w:r>
    </w:p>
    <w:p w:rsidR="00BF2117" w:rsidRPr="0046671C" w:rsidRDefault="00BF2117" w:rsidP="00AA4BF8">
      <w:pPr>
        <w:widowControl w:val="0"/>
        <w:jc w:val="both"/>
        <w:rPr>
          <w:snapToGrid w:val="0"/>
          <w:sz w:val="16"/>
          <w:szCs w:val="16"/>
        </w:rPr>
      </w:pPr>
    </w:p>
    <w:p w:rsidR="00BF2117" w:rsidRPr="0046671C" w:rsidRDefault="00BF2117" w:rsidP="00AA4BF8">
      <w:pPr>
        <w:widowControl w:val="0"/>
        <w:ind w:left="1641" w:hanging="547"/>
        <w:jc w:val="both"/>
        <w:rPr>
          <w:snapToGrid w:val="0"/>
          <w:sz w:val="16"/>
          <w:szCs w:val="16"/>
        </w:rPr>
      </w:pPr>
      <w:r w:rsidRPr="0046671C">
        <w:rPr>
          <w:snapToGrid w:val="0"/>
          <w:sz w:val="16"/>
          <w:szCs w:val="16"/>
        </w:rPr>
        <w:t xml:space="preserve">(xii) </w:t>
      </w:r>
      <w:r w:rsidRPr="0046671C">
        <w:rPr>
          <w:snapToGrid w:val="0"/>
          <w:sz w:val="16"/>
          <w:szCs w:val="16"/>
        </w:rPr>
        <w:tab/>
        <w:t>a venture capital company, venture capital fund and Private Equity and Venture Capital Fund] which is exempt under clause (101) of Part-I of this Schedule;</w:t>
      </w:r>
    </w:p>
    <w:p w:rsidR="00BF2117" w:rsidRPr="0046671C" w:rsidRDefault="00BF2117" w:rsidP="00AA4BF8">
      <w:pPr>
        <w:widowControl w:val="0"/>
        <w:ind w:left="1641" w:hanging="547"/>
        <w:jc w:val="both"/>
        <w:rPr>
          <w:snapToGrid w:val="0"/>
          <w:sz w:val="16"/>
          <w:szCs w:val="16"/>
        </w:rPr>
      </w:pPr>
      <w:r w:rsidRPr="0046671C">
        <w:rPr>
          <w:snapToGrid w:val="0"/>
          <w:sz w:val="16"/>
          <w:szCs w:val="16"/>
        </w:rPr>
        <w:t xml:space="preserve">(xiii) </w:t>
      </w:r>
      <w:r w:rsidRPr="0046671C">
        <w:rPr>
          <w:snapToGrid w:val="0"/>
          <w:sz w:val="16"/>
          <w:szCs w:val="16"/>
        </w:rPr>
        <w:tab/>
        <w:t>a Modaraba registered under the Modaraba Companies and Modaraba (Floatation and Control) Ordinance, 1980 (XXXI of 1980);</w:t>
      </w:r>
    </w:p>
    <w:p w:rsidR="00BF2117" w:rsidRPr="0046671C" w:rsidRDefault="00BF2117" w:rsidP="00AA4BF8">
      <w:pPr>
        <w:widowControl w:val="0"/>
        <w:ind w:left="1641" w:hanging="554"/>
        <w:jc w:val="both"/>
        <w:rPr>
          <w:snapToGrid w:val="0"/>
          <w:sz w:val="16"/>
          <w:szCs w:val="16"/>
        </w:rPr>
      </w:pPr>
      <w:r w:rsidRPr="0046671C">
        <w:rPr>
          <w:snapToGrid w:val="0"/>
          <w:sz w:val="16"/>
          <w:szCs w:val="16"/>
        </w:rPr>
        <w:t xml:space="preserve">(xiv) </w:t>
      </w:r>
      <w:r w:rsidRPr="0046671C">
        <w:rPr>
          <w:snapToGrid w:val="0"/>
          <w:sz w:val="16"/>
          <w:szCs w:val="16"/>
        </w:rPr>
        <w:tab/>
        <w:t>Corporate and Industrial Restructuring Corporation (CIRC);</w:t>
      </w:r>
    </w:p>
    <w:p w:rsidR="00BF2117" w:rsidRPr="0046671C" w:rsidRDefault="00BF2117" w:rsidP="00AA4BF8">
      <w:pPr>
        <w:widowControl w:val="0"/>
        <w:ind w:left="547" w:firstLine="547"/>
        <w:jc w:val="both"/>
        <w:rPr>
          <w:snapToGrid w:val="0"/>
          <w:sz w:val="16"/>
          <w:szCs w:val="16"/>
        </w:rPr>
      </w:pPr>
      <w:r w:rsidRPr="0046671C">
        <w:rPr>
          <w:snapToGrid w:val="0"/>
          <w:sz w:val="16"/>
          <w:szCs w:val="16"/>
        </w:rPr>
        <w:t xml:space="preserve">(xv) </w:t>
      </w:r>
      <w:r w:rsidRPr="0046671C">
        <w:rPr>
          <w:snapToGrid w:val="0"/>
          <w:sz w:val="16"/>
          <w:szCs w:val="16"/>
        </w:rPr>
        <w:tab/>
        <w:t xml:space="preserve">a Small Company as defined in section 2; </w:t>
      </w:r>
    </w:p>
    <w:p w:rsidR="00BF2117" w:rsidRPr="0046671C" w:rsidRDefault="00BF2117" w:rsidP="00AA4BF8">
      <w:pPr>
        <w:widowControl w:val="0"/>
        <w:ind w:left="1641" w:hanging="554"/>
        <w:jc w:val="both"/>
        <w:rPr>
          <w:snapToGrid w:val="0"/>
          <w:sz w:val="16"/>
          <w:szCs w:val="16"/>
        </w:rPr>
      </w:pPr>
      <w:r w:rsidRPr="0046671C">
        <w:rPr>
          <w:snapToGrid w:val="0"/>
          <w:sz w:val="16"/>
          <w:szCs w:val="16"/>
        </w:rPr>
        <w:t xml:space="preserve">(xvi) </w:t>
      </w:r>
      <w:r w:rsidRPr="0046671C">
        <w:rPr>
          <w:snapToGrid w:val="0"/>
          <w:sz w:val="16"/>
          <w:szCs w:val="16"/>
        </w:rPr>
        <w:tab/>
        <w:t xml:space="preserve">The corporatized entities of Pakistan Water and Power Development Authority, so far as they relate to their receipts on account of sales of electricity, from the date of their creation upto the date of completion of the process of corporatization </w:t>
      </w:r>
      <w:r w:rsidRPr="0046671C">
        <w:rPr>
          <w:i/>
          <w:iCs/>
          <w:snapToGrid w:val="0"/>
          <w:sz w:val="16"/>
          <w:szCs w:val="16"/>
        </w:rPr>
        <w:t>i.e.</w:t>
      </w:r>
      <w:r w:rsidRPr="0046671C">
        <w:rPr>
          <w:snapToGrid w:val="0"/>
          <w:sz w:val="16"/>
          <w:szCs w:val="16"/>
        </w:rPr>
        <w:t xml:space="preserve"> till the tariff is notified; and </w:t>
      </w:r>
    </w:p>
    <w:p w:rsidR="00BF2117" w:rsidRPr="0046671C" w:rsidRDefault="00BF2117" w:rsidP="00AA4BF8">
      <w:pPr>
        <w:widowControl w:val="0"/>
        <w:ind w:left="1641" w:hanging="764"/>
        <w:jc w:val="both"/>
        <w:rPr>
          <w:snapToGrid w:val="0"/>
          <w:sz w:val="16"/>
          <w:szCs w:val="16"/>
        </w:rPr>
      </w:pPr>
      <w:r w:rsidRPr="0046671C">
        <w:rPr>
          <w:snapToGrid w:val="0"/>
          <w:sz w:val="16"/>
          <w:szCs w:val="16"/>
        </w:rPr>
        <w:t xml:space="preserve">   (xvii) </w:t>
      </w:r>
      <w:r w:rsidRPr="0046671C">
        <w:rPr>
          <w:snapToGrid w:val="0"/>
          <w:sz w:val="16"/>
          <w:szCs w:val="16"/>
        </w:rPr>
        <w:tab/>
        <w:t xml:space="preserve">a </w:t>
      </w:r>
      <w:r w:rsidRPr="0046671C">
        <w:rPr>
          <w:i/>
          <w:iCs/>
          <w:snapToGrid w:val="0"/>
          <w:sz w:val="16"/>
          <w:szCs w:val="16"/>
        </w:rPr>
        <w:t>morabaha</w:t>
      </w:r>
      <w:r w:rsidRPr="0046671C">
        <w:rPr>
          <w:snapToGrid w:val="0"/>
          <w:sz w:val="16"/>
          <w:szCs w:val="16"/>
        </w:rPr>
        <w:t xml:space="preserve"> bank or a financial institution approved by  the State Bank of Pakistan or the Securities and Exchange Commission of Pakistan (SECP), as the case may be, for the purpose of Islamic Banking and Finance in respect of turnover under a morabaha arrangement; and </w:t>
      </w:r>
    </w:p>
    <w:p w:rsidR="00BF2117" w:rsidRPr="0046671C" w:rsidRDefault="00BF2117" w:rsidP="00AA4BF8">
      <w:pPr>
        <w:pStyle w:val="FootnoteText"/>
        <w:rPr>
          <w:sz w:val="16"/>
          <w:szCs w:val="16"/>
        </w:rPr>
      </w:pPr>
      <w:r w:rsidRPr="0046671C">
        <w:rPr>
          <w:snapToGrid w:val="0"/>
          <w:sz w:val="16"/>
          <w:szCs w:val="16"/>
        </w:rPr>
        <w:tab/>
        <w:t xml:space="preserve">      (xviii)</w:t>
      </w:r>
      <w:r w:rsidRPr="0046671C">
        <w:rPr>
          <w:snapToGrid w:val="0"/>
          <w:sz w:val="16"/>
          <w:szCs w:val="16"/>
        </w:rPr>
        <w:tab/>
        <w:t>WAPDA First Sukuk Company Limited.”</w:t>
      </w:r>
    </w:p>
  </w:footnote>
  <w:footnote w:id="2129">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Inserted by the Finance Act, 2009.</w:t>
      </w:r>
    </w:p>
  </w:footnote>
  <w:footnote w:id="2130">
    <w:p w:rsidR="00BF2117" w:rsidRPr="008D68FD" w:rsidRDefault="00BF2117">
      <w:pPr>
        <w:pStyle w:val="FootnoteText"/>
        <w:rPr>
          <w:sz w:val="16"/>
          <w:szCs w:val="16"/>
          <w:lang w:val="en-US"/>
        </w:rPr>
      </w:pPr>
      <w:r w:rsidRPr="008D68FD">
        <w:rPr>
          <w:rStyle w:val="FootnoteReference"/>
          <w:sz w:val="16"/>
          <w:szCs w:val="16"/>
        </w:rPr>
        <w:footnoteRef/>
      </w:r>
      <w:r>
        <w:rPr>
          <w:sz w:val="16"/>
          <w:szCs w:val="16"/>
        </w:rPr>
        <w:t xml:space="preserve">The word and figure </w:t>
      </w:r>
      <w:r w:rsidRPr="008D68FD">
        <w:rPr>
          <w:sz w:val="16"/>
          <w:szCs w:val="16"/>
        </w:rPr>
        <w:t>“</w:t>
      </w:r>
      <w:r w:rsidRPr="008D68FD">
        <w:rPr>
          <w:snapToGrid w:val="0"/>
          <w:sz w:val="16"/>
          <w:szCs w:val="16"/>
        </w:rPr>
        <w:t>Rules, 2006</w:t>
      </w:r>
      <w:r>
        <w:rPr>
          <w:snapToGrid w:val="0"/>
          <w:sz w:val="16"/>
          <w:szCs w:val="16"/>
        </w:rPr>
        <w:t>” substituted by the Finance Act, 2015.</w:t>
      </w:r>
    </w:p>
  </w:footnote>
  <w:footnote w:id="2131">
    <w:p w:rsidR="00BF2117" w:rsidRDefault="00BF2117" w:rsidP="00AA4BF8">
      <w:pPr>
        <w:pStyle w:val="FootnoteText"/>
      </w:pPr>
      <w:r w:rsidRPr="0046671C">
        <w:rPr>
          <w:rStyle w:val="FootnoteReference"/>
          <w:rFonts w:cs="Arial"/>
          <w:sz w:val="16"/>
          <w:szCs w:val="16"/>
        </w:rPr>
        <w:footnoteRef/>
      </w:r>
      <w:r w:rsidRPr="0046671C">
        <w:rPr>
          <w:sz w:val="16"/>
          <w:szCs w:val="16"/>
        </w:rPr>
        <w:t xml:space="preserve"> Inserted by the Finance Act, 2011</w:t>
      </w:r>
      <w:r w:rsidRPr="00412620">
        <w:rPr>
          <w:sz w:val="16"/>
          <w:szCs w:val="16"/>
        </w:rPr>
        <w:t>.</w:t>
      </w:r>
    </w:p>
  </w:footnote>
  <w:footnote w:id="2132">
    <w:p w:rsidR="00BF2117" w:rsidRDefault="00BF2117" w:rsidP="007E7BF7">
      <w:pPr>
        <w:widowControl w:val="0"/>
        <w:ind w:left="1094" w:hanging="1094"/>
        <w:jc w:val="both"/>
        <w:rPr>
          <w:sz w:val="16"/>
          <w:szCs w:val="16"/>
        </w:rPr>
      </w:pPr>
      <w:r w:rsidRPr="007E7BF7">
        <w:rPr>
          <w:rStyle w:val="FootnoteReference"/>
          <w:sz w:val="16"/>
          <w:szCs w:val="16"/>
        </w:rPr>
        <w:footnoteRef/>
      </w:r>
      <w:r>
        <w:rPr>
          <w:sz w:val="16"/>
          <w:szCs w:val="16"/>
        </w:rPr>
        <w:t>Sub-clause (iv) omitted by the Finance Act, 2015. The omitted sub-clause (iv) read as follows:-</w:t>
      </w:r>
    </w:p>
    <w:p w:rsidR="00BF2117" w:rsidRPr="007E7BF7" w:rsidRDefault="00BF2117" w:rsidP="007E7BF7">
      <w:pPr>
        <w:widowControl w:val="0"/>
        <w:ind w:left="547" w:hanging="7"/>
        <w:jc w:val="both"/>
        <w:rPr>
          <w:sz w:val="16"/>
          <w:szCs w:val="16"/>
          <w:lang w:val="en-US"/>
        </w:rPr>
      </w:pPr>
      <w:r>
        <w:rPr>
          <w:sz w:val="16"/>
          <w:szCs w:val="16"/>
        </w:rPr>
        <w:t>“</w:t>
      </w:r>
      <w:r w:rsidRPr="007E7BF7">
        <w:rPr>
          <w:snapToGrid w:val="0"/>
          <w:sz w:val="16"/>
          <w:szCs w:val="16"/>
        </w:rPr>
        <w:t>(iv)</w:t>
      </w:r>
      <w:r w:rsidRPr="007E7BF7">
        <w:rPr>
          <w:snapToGrid w:val="0"/>
          <w:sz w:val="16"/>
          <w:szCs w:val="16"/>
        </w:rPr>
        <w:tab/>
        <w:t>KotAddu Power Company Limited (KAPCO) for the period it continues to be entitled to exemption under clause (138) of Part-I of this Schedule;</w:t>
      </w:r>
      <w:r>
        <w:rPr>
          <w:snapToGrid w:val="0"/>
          <w:sz w:val="16"/>
          <w:szCs w:val="16"/>
        </w:rPr>
        <w:t>”</w:t>
      </w:r>
    </w:p>
  </w:footnote>
  <w:footnote w:id="2133">
    <w:p w:rsidR="00BF2117" w:rsidRPr="00F852EB" w:rsidRDefault="00BF2117">
      <w:pPr>
        <w:pStyle w:val="FootnoteText"/>
        <w:rPr>
          <w:color w:val="000000" w:themeColor="text1"/>
          <w:lang w:val="en-US"/>
        </w:rPr>
      </w:pPr>
      <w:r w:rsidRPr="00F852EB">
        <w:rPr>
          <w:rStyle w:val="FootnoteReference"/>
          <w:color w:val="000000" w:themeColor="text1"/>
        </w:rPr>
        <w:footnoteRef/>
      </w:r>
      <w:r w:rsidRPr="00F852EB">
        <w:rPr>
          <w:color w:val="000000" w:themeColor="text1"/>
          <w:sz w:val="16"/>
          <w:szCs w:val="16"/>
        </w:rPr>
        <w:t>The words  and brackets “and clause (132B)” inserted by the Finance Act, 2014.</w:t>
      </w:r>
    </w:p>
  </w:footnote>
  <w:footnote w:id="2134">
    <w:p w:rsidR="00BF2117" w:rsidRPr="00C677C4" w:rsidRDefault="00BF2117">
      <w:pPr>
        <w:pStyle w:val="FootnoteText"/>
        <w:rPr>
          <w:sz w:val="16"/>
          <w:szCs w:val="16"/>
          <w:lang w:val="en-US"/>
        </w:rPr>
      </w:pPr>
      <w:r w:rsidRPr="00C677C4">
        <w:rPr>
          <w:rStyle w:val="FootnoteReference"/>
          <w:sz w:val="16"/>
          <w:szCs w:val="16"/>
        </w:rPr>
        <w:footnoteRef/>
      </w:r>
      <w:r w:rsidRPr="00C677C4">
        <w:rPr>
          <w:sz w:val="16"/>
          <w:szCs w:val="16"/>
          <w:lang w:val="en-US"/>
        </w:rPr>
        <w:t xml:space="preserve">The </w:t>
      </w:r>
      <w:r>
        <w:rPr>
          <w:sz w:val="16"/>
          <w:szCs w:val="16"/>
          <w:lang w:val="en-US"/>
        </w:rPr>
        <w:t>word “and (132B)” omitted by the Finance Act, 2015.</w:t>
      </w:r>
    </w:p>
  </w:footnote>
  <w:footnote w:id="2135">
    <w:p w:rsidR="00BF2117" w:rsidRPr="00EA0FED" w:rsidRDefault="00BF2117">
      <w:pPr>
        <w:pStyle w:val="FootnoteText"/>
        <w:rPr>
          <w:sz w:val="16"/>
          <w:szCs w:val="16"/>
          <w:lang w:val="en-US"/>
        </w:rPr>
      </w:pPr>
      <w:r w:rsidRPr="00EA0FED">
        <w:rPr>
          <w:rStyle w:val="FootnoteReference"/>
          <w:sz w:val="16"/>
          <w:szCs w:val="16"/>
        </w:rPr>
        <w:footnoteRef/>
      </w:r>
      <w:r>
        <w:rPr>
          <w:sz w:val="16"/>
          <w:szCs w:val="16"/>
        </w:rPr>
        <w:t>The word “and” omitted by the Finance Act, 2015.</w:t>
      </w:r>
    </w:p>
  </w:footnote>
  <w:footnote w:id="2136">
    <w:p w:rsidR="00BF2117" w:rsidRPr="00EA0FED" w:rsidRDefault="00BF2117">
      <w:pPr>
        <w:pStyle w:val="FootnoteText"/>
        <w:rPr>
          <w:sz w:val="16"/>
          <w:szCs w:val="16"/>
          <w:lang w:val="en-US"/>
        </w:rPr>
      </w:pPr>
      <w:r w:rsidRPr="00EA0FED">
        <w:rPr>
          <w:rStyle w:val="FootnoteReference"/>
          <w:sz w:val="16"/>
          <w:szCs w:val="16"/>
        </w:rPr>
        <w:footnoteRef/>
      </w:r>
      <w:r>
        <w:rPr>
          <w:sz w:val="16"/>
          <w:szCs w:val="16"/>
        </w:rPr>
        <w:t>Full stop substituted by Finance Act, 2015.</w:t>
      </w:r>
    </w:p>
  </w:footnote>
  <w:footnote w:id="2137">
    <w:p w:rsidR="00BF2117" w:rsidRPr="00EA0FED" w:rsidRDefault="00BF2117" w:rsidP="00285FD5">
      <w:pPr>
        <w:pStyle w:val="FootnoteText"/>
        <w:ind w:left="90" w:hanging="90"/>
        <w:rPr>
          <w:sz w:val="16"/>
          <w:szCs w:val="16"/>
          <w:lang w:val="en-US"/>
        </w:rPr>
      </w:pPr>
      <w:r w:rsidRPr="00EA0FED">
        <w:rPr>
          <w:rStyle w:val="FootnoteReference"/>
          <w:sz w:val="16"/>
          <w:szCs w:val="16"/>
        </w:rPr>
        <w:footnoteRef/>
      </w:r>
      <w:r>
        <w:rPr>
          <w:sz w:val="16"/>
          <w:szCs w:val="16"/>
        </w:rPr>
        <w:t>Clauses (xviii), (xix), (xx), (xxi), (xxii), (xxiii), (xxiv) and (xxv) added by the Finance Act, 2015.</w:t>
      </w:r>
    </w:p>
  </w:footnote>
  <w:footnote w:id="2138">
    <w:p w:rsidR="00BF2117" w:rsidRPr="00966D71" w:rsidRDefault="00BF2117">
      <w:pPr>
        <w:pStyle w:val="FootnoteText"/>
        <w:rPr>
          <w:sz w:val="16"/>
          <w:szCs w:val="16"/>
          <w:lang w:val="en-US"/>
        </w:rPr>
      </w:pPr>
      <w:r w:rsidRPr="00966D71">
        <w:rPr>
          <w:rStyle w:val="FootnoteReference"/>
          <w:sz w:val="16"/>
          <w:szCs w:val="16"/>
        </w:rPr>
        <w:footnoteRef/>
      </w:r>
      <w:r w:rsidRPr="00966D71">
        <w:rPr>
          <w:sz w:val="16"/>
          <w:szCs w:val="16"/>
        </w:rPr>
        <w:t xml:space="preserve"> Inserted by S.R.O. 1029(I)/2014 date 19.11.2014.</w:t>
      </w:r>
    </w:p>
  </w:footnote>
  <w:footnote w:id="2139">
    <w:p w:rsidR="00BF2117" w:rsidRPr="000C40FF" w:rsidRDefault="00BF2117">
      <w:pPr>
        <w:pStyle w:val="FootnoteText"/>
        <w:rPr>
          <w:lang w:val="en-US"/>
        </w:rPr>
      </w:pPr>
      <w:r>
        <w:rPr>
          <w:rStyle w:val="FootnoteReference"/>
        </w:rPr>
        <w:footnoteRef/>
      </w:r>
      <w:r w:rsidRPr="00966D71">
        <w:rPr>
          <w:sz w:val="16"/>
          <w:szCs w:val="16"/>
        </w:rPr>
        <w:t>Inserted by S.R.O. 1029(I)/2014 date 19.11.2014.</w:t>
      </w:r>
    </w:p>
  </w:footnote>
  <w:footnote w:id="2140">
    <w:p w:rsidR="00BF2117" w:rsidRPr="00D47C20" w:rsidRDefault="00BF2117">
      <w:pPr>
        <w:pStyle w:val="FootnoteText"/>
        <w:rPr>
          <w:color w:val="0070C0"/>
          <w:lang w:val="en-US"/>
        </w:rPr>
      </w:pPr>
      <w:r w:rsidRPr="00D47C20">
        <w:rPr>
          <w:rStyle w:val="FootnoteReference"/>
          <w:color w:val="0070C0"/>
        </w:rPr>
        <w:footnoteRef/>
      </w:r>
      <w:r w:rsidRPr="00D47C20">
        <w:rPr>
          <w:color w:val="0070C0"/>
        </w:rPr>
        <w:t xml:space="preserve"> </w:t>
      </w:r>
      <w:r w:rsidRPr="00D47C20">
        <w:rPr>
          <w:color w:val="0070C0"/>
          <w:sz w:val="16"/>
          <w:szCs w:val="16"/>
        </w:rPr>
        <w:t>Inserted by the Finance Act, 2016</w:t>
      </w:r>
    </w:p>
  </w:footnote>
  <w:footnote w:id="2141">
    <w:p w:rsidR="00BF2117" w:rsidRPr="00D47C20" w:rsidRDefault="00BF2117">
      <w:pPr>
        <w:pStyle w:val="FootnoteText"/>
        <w:rPr>
          <w:color w:val="0070C0"/>
          <w:lang w:val="en-US"/>
        </w:rPr>
      </w:pPr>
      <w:r w:rsidRPr="00D47C20">
        <w:rPr>
          <w:rStyle w:val="FootnoteReference"/>
          <w:color w:val="0070C0"/>
        </w:rPr>
        <w:footnoteRef/>
      </w:r>
      <w:r w:rsidRPr="00D47C20">
        <w:rPr>
          <w:color w:val="0070C0"/>
        </w:rPr>
        <w:t xml:space="preserve"> </w:t>
      </w:r>
      <w:r w:rsidRPr="00D47C20">
        <w:rPr>
          <w:color w:val="0070C0"/>
          <w:sz w:val="16"/>
          <w:szCs w:val="16"/>
        </w:rPr>
        <w:t>Inserted by the Finance Act, 2016</w:t>
      </w:r>
    </w:p>
  </w:footnote>
  <w:footnote w:id="2142">
    <w:p w:rsidR="00BF2117" w:rsidRPr="00D47C20" w:rsidRDefault="00BF2117">
      <w:pPr>
        <w:pStyle w:val="FootnoteText"/>
        <w:rPr>
          <w:color w:val="0070C0"/>
          <w:lang w:val="en-US"/>
        </w:rPr>
      </w:pPr>
      <w:r w:rsidRPr="00D47C20">
        <w:rPr>
          <w:rStyle w:val="FootnoteReference"/>
          <w:color w:val="0070C0"/>
        </w:rPr>
        <w:footnoteRef/>
      </w:r>
      <w:r w:rsidRPr="00D47C20">
        <w:rPr>
          <w:color w:val="0070C0"/>
        </w:rPr>
        <w:t xml:space="preserve"> </w:t>
      </w:r>
      <w:r w:rsidRPr="00D47C20">
        <w:rPr>
          <w:color w:val="0070C0"/>
          <w:sz w:val="16"/>
          <w:szCs w:val="16"/>
        </w:rPr>
        <w:t>Inserted by the Finance Act, 2016</w:t>
      </w:r>
    </w:p>
  </w:footnote>
  <w:footnote w:id="2143">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Added by the Finance Act, 2012.</w:t>
      </w:r>
    </w:p>
  </w:footnote>
  <w:footnote w:id="2144">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The words “or section 59B” omitted by the Finance Act, 2016.</w:t>
      </w:r>
    </w:p>
  </w:footnote>
  <w:footnote w:id="2145">
    <w:p w:rsidR="00BF2117" w:rsidRPr="005B1030" w:rsidRDefault="00BF2117">
      <w:pPr>
        <w:pStyle w:val="FootnoteText"/>
        <w:rPr>
          <w:sz w:val="16"/>
          <w:szCs w:val="16"/>
          <w:lang w:val="en-US"/>
        </w:rPr>
      </w:pPr>
      <w:r w:rsidRPr="005B1030">
        <w:rPr>
          <w:rStyle w:val="FootnoteReference"/>
          <w:sz w:val="16"/>
          <w:szCs w:val="16"/>
        </w:rPr>
        <w:footnoteRef/>
      </w:r>
      <w:r>
        <w:rPr>
          <w:sz w:val="16"/>
          <w:szCs w:val="16"/>
        </w:rPr>
        <w:t>Substituted by the Finance Act, 2015.</w:t>
      </w:r>
    </w:p>
  </w:footnote>
  <w:footnote w:id="2146">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Added by the Finance Act, 2012.</w:t>
      </w:r>
    </w:p>
  </w:footnote>
  <w:footnote w:id="2147">
    <w:p w:rsidR="00BF2117" w:rsidRPr="00D47C20" w:rsidRDefault="00BF2117" w:rsidP="00916843">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The words “or section 59B” omitted by the Finance Act, 2016.</w:t>
      </w:r>
    </w:p>
  </w:footnote>
  <w:footnote w:id="2148">
    <w:p w:rsidR="00BF2117" w:rsidRPr="00CC5B4C" w:rsidRDefault="00BF2117">
      <w:pPr>
        <w:pStyle w:val="FootnoteText"/>
        <w:rPr>
          <w:sz w:val="16"/>
          <w:szCs w:val="16"/>
          <w:lang w:val="en-US"/>
        </w:rPr>
      </w:pPr>
      <w:r w:rsidRPr="00CC5B4C">
        <w:rPr>
          <w:rStyle w:val="FootnoteReference"/>
          <w:sz w:val="16"/>
          <w:szCs w:val="16"/>
        </w:rPr>
        <w:footnoteRef/>
      </w:r>
      <w:r>
        <w:rPr>
          <w:sz w:val="16"/>
          <w:szCs w:val="16"/>
        </w:rPr>
        <w:t>Substituted by the Finance Act, 2015.</w:t>
      </w:r>
    </w:p>
  </w:footnote>
  <w:footnote w:id="2149">
    <w:p w:rsidR="00BF2117" w:rsidRPr="006B21EE" w:rsidRDefault="00BF2117">
      <w:pPr>
        <w:pStyle w:val="FootnoteText"/>
        <w:rPr>
          <w:sz w:val="16"/>
          <w:szCs w:val="16"/>
          <w:lang w:val="en-US"/>
        </w:rPr>
      </w:pPr>
      <w:r w:rsidRPr="006B21EE">
        <w:rPr>
          <w:rStyle w:val="FootnoteReference"/>
          <w:sz w:val="16"/>
          <w:szCs w:val="16"/>
        </w:rPr>
        <w:footnoteRef/>
      </w:r>
      <w:r>
        <w:rPr>
          <w:sz w:val="16"/>
          <w:szCs w:val="16"/>
        </w:rPr>
        <w:t>Inserted by the Finance Act, 2015.</w:t>
      </w:r>
    </w:p>
  </w:footnote>
  <w:footnote w:id="2150">
    <w:p w:rsidR="00BF2117" w:rsidRPr="0046671C" w:rsidRDefault="00BF2117" w:rsidP="00AA4BF8">
      <w:pPr>
        <w:pStyle w:val="FootnoteText"/>
        <w:rPr>
          <w:sz w:val="16"/>
          <w:szCs w:val="16"/>
        </w:rPr>
      </w:pPr>
      <w:r w:rsidRPr="0046671C">
        <w:rPr>
          <w:rStyle w:val="FootnoteReference"/>
          <w:rFonts w:cs="Arial"/>
          <w:sz w:val="16"/>
          <w:szCs w:val="16"/>
        </w:rPr>
        <w:footnoteRef/>
      </w:r>
      <w:r>
        <w:rPr>
          <w:sz w:val="16"/>
          <w:szCs w:val="16"/>
        </w:rPr>
        <w:t xml:space="preserve">Added by </w:t>
      </w:r>
      <w:r w:rsidRPr="0046671C">
        <w:rPr>
          <w:sz w:val="16"/>
          <w:szCs w:val="16"/>
        </w:rPr>
        <w:t>S.R.O. 787(I)/2011, dated 22.08.2011.</w:t>
      </w:r>
    </w:p>
  </w:footnote>
  <w:footnote w:id="2151">
    <w:p w:rsidR="00BF2117" w:rsidRPr="0046671C" w:rsidRDefault="00BF2117" w:rsidP="00DD1689">
      <w:pPr>
        <w:pStyle w:val="FootnoteText"/>
        <w:ind w:left="180" w:hanging="180"/>
        <w:rPr>
          <w:sz w:val="16"/>
          <w:szCs w:val="16"/>
          <w:lang w:val="en-US"/>
        </w:rPr>
      </w:pPr>
      <w:r w:rsidRPr="0046671C">
        <w:rPr>
          <w:rStyle w:val="FootnoteReference"/>
          <w:sz w:val="16"/>
          <w:szCs w:val="16"/>
        </w:rPr>
        <w:footnoteRef/>
      </w:r>
      <w:r w:rsidRPr="0046671C">
        <w:rPr>
          <w:sz w:val="16"/>
          <w:szCs w:val="16"/>
          <w:lang w:val="en-US"/>
        </w:rPr>
        <w:t>Clause (12)(c) omitted by SRO 550(I)/2012 dated 23-5-20012. The Omitted clause (12)(c) read as: follows:-</w:t>
      </w:r>
    </w:p>
    <w:p w:rsidR="00BF2117" w:rsidRPr="0046671C" w:rsidRDefault="00BF2117" w:rsidP="00DD1689">
      <w:pPr>
        <w:pStyle w:val="FootnoteText"/>
        <w:ind w:left="180" w:hanging="180"/>
        <w:rPr>
          <w:sz w:val="16"/>
          <w:szCs w:val="16"/>
          <w:lang w:val="en-US"/>
        </w:rPr>
      </w:pPr>
      <w:r w:rsidRPr="0046671C">
        <w:rPr>
          <w:sz w:val="16"/>
          <w:szCs w:val="16"/>
          <w:lang w:val="en-US"/>
        </w:rPr>
        <w:tab/>
        <w:t>“(12)</w:t>
      </w:r>
      <w:r w:rsidRPr="0046671C">
        <w:rPr>
          <w:snapToGrid w:val="0"/>
          <w:sz w:val="16"/>
          <w:szCs w:val="16"/>
        </w:rPr>
        <w:t xml:space="preserve">(c) </w:t>
      </w:r>
      <w:r w:rsidRPr="0046671C">
        <w:rPr>
          <w:snapToGrid w:val="0"/>
          <w:sz w:val="16"/>
          <w:szCs w:val="16"/>
        </w:rPr>
        <w:tab/>
        <w:t>Withholding Tax under clause (a) of sub-section (1) of section 153 shall be deductible at one per cent on local purchase of steel scrap by those steel melters who have opted under Sales Tax Special Procedures and are compliantly filing returns under the said scheme.”</w:t>
      </w:r>
    </w:p>
  </w:footnote>
  <w:footnote w:id="2152">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(13) omitted by the Finance Act, 2005. The omitted clause (13)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(13)</w:t>
      </w:r>
      <w:r w:rsidRPr="0046671C">
        <w:rPr>
          <w:snapToGrid w:val="0"/>
          <w:sz w:val="16"/>
          <w:szCs w:val="16"/>
        </w:rPr>
        <w:tab/>
      </w:r>
      <w:r w:rsidRPr="0046671C">
        <w:rPr>
          <w:sz w:val="16"/>
          <w:szCs w:val="16"/>
        </w:rPr>
        <w:t>The provisions of section 113 shall not apply to Hub Power Company Limited</w:t>
      </w:r>
      <w:r w:rsidRPr="0046671C">
        <w:rPr>
          <w:snapToGrid w:val="0"/>
          <w:sz w:val="16"/>
          <w:szCs w:val="16"/>
        </w:rPr>
        <w:t xml:space="preserve"> so far as they relate to its receipts on account of sale of electricity.”</w:t>
      </w:r>
    </w:p>
  </w:footnote>
  <w:footnote w:id="2153">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(13A) omitted by the Finance Act, 2005. The omitted clause (13A)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 xml:space="preserve">(13A)  </w:t>
      </w:r>
      <w:r w:rsidRPr="0046671C">
        <w:rPr>
          <w:snapToGrid w:val="0"/>
          <w:sz w:val="16"/>
          <w:szCs w:val="16"/>
        </w:rPr>
        <w:t>The provisions of section 113 shall not apply to Kot</w:t>
      </w:r>
      <w:r>
        <w:rPr>
          <w:snapToGrid w:val="0"/>
          <w:sz w:val="16"/>
          <w:szCs w:val="16"/>
        </w:rPr>
        <w:t xml:space="preserve"> </w:t>
      </w:r>
      <w:r w:rsidRPr="0046671C">
        <w:rPr>
          <w:snapToGrid w:val="0"/>
          <w:sz w:val="16"/>
          <w:szCs w:val="16"/>
        </w:rPr>
        <w:t>Addu Power Company Limited (KAPCO) for the period it continues to be entitled to exemption under clause (138) of Part-I of this Schedule.”</w:t>
      </w:r>
    </w:p>
  </w:footnote>
  <w:footnote w:id="2154">
    <w:p w:rsidR="00BF2117" w:rsidRPr="0046671C" w:rsidRDefault="00BF2117" w:rsidP="00AA4BF8">
      <w:pPr>
        <w:pStyle w:val="FootnoteText"/>
        <w:rPr>
          <w:sz w:val="16"/>
          <w:szCs w:val="16"/>
          <w:lang w:val="en-US"/>
        </w:rPr>
      </w:pPr>
      <w:r w:rsidRPr="0046671C">
        <w:rPr>
          <w:rStyle w:val="FootnoteReference"/>
          <w:rFonts w:cs="Arial"/>
          <w:sz w:val="16"/>
          <w:szCs w:val="16"/>
        </w:rPr>
        <w:footnoteRef/>
      </w:r>
      <w:r w:rsidRPr="0046671C">
        <w:rPr>
          <w:sz w:val="16"/>
          <w:szCs w:val="16"/>
        </w:rPr>
        <w:t xml:space="preserve"> Clause (14) omitted </w:t>
      </w:r>
      <w:r w:rsidRPr="0046671C">
        <w:rPr>
          <w:sz w:val="16"/>
          <w:szCs w:val="16"/>
          <w:lang w:val="en-US"/>
        </w:rPr>
        <w:t xml:space="preserve">by the Finance Act, 2006. The omitted clause (14) read as follows: </w:t>
      </w:r>
    </w:p>
    <w:p w:rsidR="00BF2117" w:rsidRPr="0046671C" w:rsidRDefault="00BF2117" w:rsidP="00AA4BF8">
      <w:pPr>
        <w:widowControl w:val="0"/>
        <w:ind w:left="180"/>
        <w:jc w:val="both"/>
        <w:rPr>
          <w:sz w:val="16"/>
          <w:szCs w:val="16"/>
        </w:rPr>
      </w:pPr>
      <w:r w:rsidRPr="0046671C">
        <w:rPr>
          <w:sz w:val="16"/>
          <w:szCs w:val="16"/>
          <w:lang w:val="en-US"/>
        </w:rPr>
        <w:t>“</w:t>
      </w:r>
      <w:r w:rsidRPr="0046671C">
        <w:rPr>
          <w:b/>
          <w:bCs/>
          <w:snapToGrid w:val="0"/>
          <w:sz w:val="16"/>
          <w:szCs w:val="16"/>
        </w:rPr>
        <w:t>(14)</w:t>
      </w:r>
      <w:r w:rsidRPr="0046671C">
        <w:rPr>
          <w:snapToGrid w:val="0"/>
          <w:sz w:val="16"/>
          <w:szCs w:val="16"/>
        </w:rPr>
        <w:tab/>
        <w:t xml:space="preserve"> A company registered and authorized by the Federal Government to import gold and silver shall be liable to pay tax on import of gold at the rate of two rupees per eleven grams six hundred and sixty-four milligrams and five rupees per kilogram in the case of silver in accordance with the provisions of </w:t>
      </w:r>
      <w:r w:rsidRPr="0046671C">
        <w:rPr>
          <w:sz w:val="16"/>
          <w:szCs w:val="16"/>
        </w:rPr>
        <w:t>section 148 and such payment of tax shall be deemed to be full and final liability of tax in respect of income accruing from such import including liability of tax under section 113.”</w:t>
      </w:r>
    </w:p>
  </w:footnote>
  <w:footnote w:id="2155">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(15) omitted by the Finance Act, 2005. The omitted clause (15) read as follows: </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(15)</w:t>
      </w:r>
      <w:r w:rsidRPr="0046671C">
        <w:rPr>
          <w:sz w:val="16"/>
          <w:szCs w:val="16"/>
        </w:rPr>
        <w:tab/>
        <w:t xml:space="preserve"> The provisions of section 113 shall not apply to companies, qualifying for exemption under clause (132) of Part-I of this Schedule, in respect of receipts from</w:t>
      </w:r>
      <w:r w:rsidRPr="0046671C">
        <w:rPr>
          <w:snapToGrid w:val="0"/>
          <w:sz w:val="16"/>
          <w:szCs w:val="16"/>
        </w:rPr>
        <w:t xml:space="preserve"> sale of electricity.”</w:t>
      </w:r>
    </w:p>
  </w:footnote>
  <w:footnote w:id="2156">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Inserted by the Finance Act, 2009.</w:t>
      </w:r>
    </w:p>
  </w:footnote>
  <w:footnote w:id="2157">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The comma, figures and words ” ,156 and 157” substituted by the Finance Act, 2003.</w:t>
      </w:r>
    </w:p>
  </w:footnote>
  <w:footnote w:id="2158">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The figure “113” substituted by the Finance Act, 2003.</w:t>
      </w:r>
    </w:p>
  </w:footnote>
  <w:footnote w:id="2159">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Colon substituted by the Finance Act, 2008.</w:t>
      </w:r>
    </w:p>
  </w:footnote>
  <w:footnote w:id="2160">
    <w:p w:rsidR="00BF2117" w:rsidRDefault="00BF2117" w:rsidP="00FC1AA8">
      <w:pPr>
        <w:widowControl w:val="0"/>
        <w:jc w:val="both"/>
        <w:rPr>
          <w:rStyle w:val="FootnoteReference"/>
          <w:rFonts w:cs="Arial"/>
          <w:snapToGrid w:val="0"/>
          <w:sz w:val="20"/>
        </w:rPr>
      </w:pPr>
      <w:r w:rsidRPr="00FC1AA8">
        <w:rPr>
          <w:rStyle w:val="FootnoteReference"/>
          <w:sz w:val="16"/>
          <w:szCs w:val="16"/>
        </w:rPr>
        <w:footnoteRef/>
      </w:r>
      <w:r>
        <w:rPr>
          <w:sz w:val="16"/>
          <w:szCs w:val="16"/>
        </w:rPr>
        <w:t>Clause (16A) omitted by the Finance Act, 2015. The omitted clause (16A) read as follows:-</w:t>
      </w:r>
    </w:p>
    <w:p w:rsidR="00BF2117" w:rsidRPr="00FC1AA8" w:rsidRDefault="00BF2117" w:rsidP="00F511DA">
      <w:pPr>
        <w:widowControl w:val="0"/>
        <w:ind w:left="180"/>
        <w:jc w:val="both"/>
        <w:rPr>
          <w:sz w:val="16"/>
          <w:szCs w:val="16"/>
          <w:lang w:val="en-US"/>
        </w:rPr>
      </w:pPr>
      <w:r>
        <w:rPr>
          <w:rFonts w:cs="Arial"/>
          <w:snapToGrid w:val="0"/>
          <w:sz w:val="20"/>
        </w:rPr>
        <w:t>“</w:t>
      </w:r>
      <w:r w:rsidRPr="00FC1AA8">
        <w:rPr>
          <w:b/>
          <w:bCs/>
          <w:snapToGrid w:val="0"/>
          <w:sz w:val="16"/>
          <w:szCs w:val="16"/>
        </w:rPr>
        <w:t>(16A)</w:t>
      </w:r>
      <w:r w:rsidRPr="00FC1AA8">
        <w:rPr>
          <w:snapToGrid w:val="0"/>
          <w:sz w:val="16"/>
          <w:szCs w:val="16"/>
        </w:rPr>
        <w:t xml:space="preserve"> The provisions of section 153(1)(b) shall not be applicable to the persons making payments to electronic and print media in respect of the advertising services.</w:t>
      </w:r>
    </w:p>
  </w:footnote>
  <w:footnote w:id="2161">
    <w:p w:rsidR="00BF2117" w:rsidRPr="0046671C" w:rsidRDefault="00BF2117" w:rsidP="00AA4BF8">
      <w:pPr>
        <w:pStyle w:val="FootnoteText"/>
        <w:rPr>
          <w:sz w:val="16"/>
          <w:szCs w:val="16"/>
          <w:lang w:val="en-US"/>
        </w:rPr>
      </w:pPr>
      <w:r w:rsidRPr="0046671C">
        <w:rPr>
          <w:rStyle w:val="FootnoteReference"/>
          <w:rFonts w:cs="Arial"/>
          <w:sz w:val="16"/>
          <w:szCs w:val="16"/>
        </w:rPr>
        <w:footnoteRef/>
      </w:r>
      <w:r w:rsidRPr="0046671C">
        <w:rPr>
          <w:sz w:val="16"/>
          <w:szCs w:val="16"/>
        </w:rPr>
        <w:t xml:space="preserve"> Proviso omitted</w:t>
      </w:r>
      <w:r w:rsidRPr="0046671C">
        <w:rPr>
          <w:sz w:val="16"/>
          <w:szCs w:val="16"/>
          <w:lang w:val="en-US"/>
        </w:rPr>
        <w:t xml:space="preserve"> by the Finance Act, 2008. The omitted proviso read as follows:</w:t>
      </w:r>
    </w:p>
    <w:p w:rsidR="00BF2117" w:rsidRPr="0046671C" w:rsidRDefault="00BF2117" w:rsidP="00AA4BF8">
      <w:pPr>
        <w:pStyle w:val="FootnoteText"/>
        <w:ind w:left="180" w:firstLine="0"/>
        <w:rPr>
          <w:sz w:val="16"/>
          <w:szCs w:val="16"/>
        </w:rPr>
      </w:pPr>
      <w:r w:rsidRPr="0046671C">
        <w:rPr>
          <w:sz w:val="16"/>
          <w:szCs w:val="16"/>
          <w:lang w:val="en-US"/>
        </w:rPr>
        <w:tab/>
        <w:t>“</w:t>
      </w:r>
      <w:r w:rsidRPr="0046671C">
        <w:rPr>
          <w:sz w:val="16"/>
          <w:szCs w:val="16"/>
        </w:rPr>
        <w:t>Provided further</w:t>
      </w:r>
      <w:r w:rsidRPr="0046671C">
        <w:rPr>
          <w:snapToGrid w:val="0"/>
          <w:sz w:val="16"/>
          <w:szCs w:val="16"/>
        </w:rPr>
        <w:t xml:space="preserve"> that in respect of application </w:t>
      </w:r>
      <w:r w:rsidRPr="0046671C">
        <w:rPr>
          <w:sz w:val="16"/>
          <w:szCs w:val="16"/>
        </w:rPr>
        <w:t>of section 113</w:t>
      </w:r>
      <w:r w:rsidRPr="0046671C">
        <w:rPr>
          <w:snapToGrid w:val="0"/>
          <w:sz w:val="16"/>
          <w:szCs w:val="16"/>
        </w:rPr>
        <w:t>, this clause shall take effect from the first day of July, 1991.”</w:t>
      </w:r>
    </w:p>
  </w:footnote>
  <w:footnote w:id="2162">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(17) omitted by the Finance Act, 2005. The omitted clause (17) read as follows:</w:t>
      </w:r>
    </w:p>
    <w:p w:rsidR="00BF2117" w:rsidRPr="0046671C" w:rsidRDefault="00BF2117" w:rsidP="00AA4BF8">
      <w:pPr>
        <w:widowControl w:val="0"/>
        <w:ind w:left="180"/>
        <w:jc w:val="both"/>
        <w:rPr>
          <w:snapToGrid w:val="0"/>
          <w:sz w:val="16"/>
          <w:szCs w:val="16"/>
        </w:rPr>
      </w:pPr>
      <w:r w:rsidRPr="0046671C">
        <w:rPr>
          <w:snapToGrid w:val="0"/>
          <w:sz w:val="16"/>
          <w:szCs w:val="16"/>
        </w:rPr>
        <w:t>“</w:t>
      </w:r>
      <w:r w:rsidRPr="0046671C">
        <w:rPr>
          <w:b/>
          <w:bCs/>
          <w:snapToGrid w:val="0"/>
          <w:sz w:val="16"/>
          <w:szCs w:val="16"/>
        </w:rPr>
        <w:t>(17)</w:t>
      </w:r>
      <w:r w:rsidRPr="0046671C">
        <w:rPr>
          <w:snapToGrid w:val="0"/>
          <w:sz w:val="16"/>
          <w:szCs w:val="16"/>
        </w:rPr>
        <w:tab/>
        <w:t xml:space="preserve"> The provisions of </w:t>
      </w:r>
      <w:r w:rsidRPr="0046671C">
        <w:rPr>
          <w:sz w:val="16"/>
          <w:szCs w:val="16"/>
        </w:rPr>
        <w:t>section 113,</w:t>
      </w:r>
      <w:r w:rsidRPr="0046671C">
        <w:rPr>
          <w:snapToGrid w:val="0"/>
          <w:sz w:val="16"/>
          <w:szCs w:val="16"/>
        </w:rPr>
        <w:t xml:space="preserve"> shall not apply to Provincial Governments and local authorities, qualifying for exemption under section 49 and other Government or semi-Government bodies which are otherwise exempt from income tax:</w:t>
      </w:r>
    </w:p>
    <w:p w:rsidR="00BF2117" w:rsidRPr="0046671C" w:rsidRDefault="00BF2117" w:rsidP="00AA4BF8">
      <w:pPr>
        <w:keepNext/>
        <w:widowControl w:val="0"/>
        <w:ind w:left="180"/>
        <w:jc w:val="both"/>
        <w:rPr>
          <w:sz w:val="16"/>
          <w:szCs w:val="16"/>
        </w:rPr>
      </w:pPr>
      <w:r w:rsidRPr="0046671C">
        <w:rPr>
          <w:snapToGrid w:val="0"/>
          <w:sz w:val="16"/>
          <w:szCs w:val="16"/>
        </w:rPr>
        <w:t>Provided that nothing contained in this clause shall be construe to authorize any refund of tax already paid or the collection of any outstanding demand created under the said section.”</w:t>
      </w:r>
    </w:p>
  </w:footnote>
  <w:footnote w:id="2163">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(18) omitted by the Finance Act, 2005. The omitted clause (18)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(18)</w:t>
      </w:r>
      <w:r w:rsidRPr="0046671C">
        <w:rPr>
          <w:snapToGrid w:val="0"/>
          <w:sz w:val="16"/>
          <w:szCs w:val="16"/>
        </w:rPr>
        <w:tab/>
        <w:t xml:space="preserve"> The provisions of section 113 shall not apply to Pakistan Red Crescent Society.”</w:t>
      </w:r>
    </w:p>
  </w:footnote>
  <w:footnote w:id="2164">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The word “section” substituted by the Finance Act, 2009.</w:t>
      </w:r>
    </w:p>
  </w:footnote>
  <w:footnote w:id="2165">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(20) omitted by the Finance Act, 2005. The omitted clause (20)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(20)</w:t>
      </w:r>
      <w:r w:rsidRPr="0046671C">
        <w:rPr>
          <w:snapToGrid w:val="0"/>
          <w:sz w:val="16"/>
          <w:szCs w:val="16"/>
        </w:rPr>
        <w:tab/>
        <w:t xml:space="preserve"> The provisions of </w:t>
      </w:r>
      <w:r w:rsidRPr="0046671C">
        <w:rPr>
          <w:sz w:val="16"/>
          <w:szCs w:val="16"/>
        </w:rPr>
        <w:t>section 113</w:t>
      </w:r>
      <w:r w:rsidRPr="0046671C">
        <w:rPr>
          <w:snapToGrid w:val="0"/>
          <w:sz w:val="16"/>
          <w:szCs w:val="16"/>
        </w:rPr>
        <w:t xml:space="preserve"> shall not apply to special purpose, non-profit companies engaged in securitizing the receivables of Provincial Governments or the companies.”</w:t>
      </w:r>
    </w:p>
  </w:footnote>
  <w:footnote w:id="2166">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(21) omitted by the Finance Act, 2005. The omitted clause (21) read as follows:</w:t>
      </w:r>
    </w:p>
    <w:p w:rsidR="00BF2117" w:rsidRDefault="00BF2117" w:rsidP="00AA4BF8">
      <w:pPr>
        <w:keepNext/>
        <w:widowControl w:val="0"/>
        <w:ind w:left="180"/>
        <w:jc w:val="both"/>
      </w:pPr>
      <w:r w:rsidRPr="0046671C">
        <w:rPr>
          <w:snapToGrid w:val="0"/>
          <w:sz w:val="16"/>
          <w:szCs w:val="16"/>
        </w:rPr>
        <w:t>“</w:t>
      </w:r>
      <w:r w:rsidRPr="0046671C">
        <w:rPr>
          <w:b/>
          <w:bCs/>
          <w:snapToGrid w:val="0"/>
          <w:sz w:val="16"/>
          <w:szCs w:val="16"/>
        </w:rPr>
        <w:t>(21)</w:t>
      </w:r>
      <w:r w:rsidRPr="0046671C">
        <w:rPr>
          <w:snapToGrid w:val="0"/>
          <w:sz w:val="16"/>
          <w:szCs w:val="16"/>
        </w:rPr>
        <w:tab/>
        <w:t xml:space="preserve"> The provisions of section 113 shall not apply to non-profit organisations approved under</w:t>
      </w:r>
      <w:r w:rsidRPr="00412620">
        <w:rPr>
          <w:snapToGrid w:val="0"/>
          <w:sz w:val="16"/>
          <w:szCs w:val="16"/>
        </w:rPr>
        <w:t xml:space="preserve"> clause (36) of section 2 or clause (58) or included in clause (61) of Part-I of this Schedule.”</w:t>
      </w:r>
    </w:p>
  </w:footnote>
  <w:footnote w:id="2167">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(22) omitted by the Finance Act, 2005. The omitted clause (22) read as follows:</w:t>
      </w:r>
    </w:p>
    <w:p w:rsidR="00BF2117" w:rsidRDefault="00BF2117" w:rsidP="00AA4BF8">
      <w:pPr>
        <w:widowControl w:val="0"/>
        <w:ind w:left="180"/>
        <w:jc w:val="both"/>
      </w:pPr>
      <w:r w:rsidRPr="00412620">
        <w:rPr>
          <w:snapToGrid w:val="0"/>
          <w:sz w:val="16"/>
          <w:szCs w:val="16"/>
        </w:rPr>
        <w:t>“</w:t>
      </w:r>
      <w:r w:rsidRPr="00412620">
        <w:rPr>
          <w:b/>
          <w:bCs/>
          <w:snapToGrid w:val="0"/>
          <w:sz w:val="16"/>
          <w:szCs w:val="16"/>
        </w:rPr>
        <w:t>(22)</w:t>
      </w:r>
      <w:r w:rsidRPr="00412620">
        <w:rPr>
          <w:snapToGrid w:val="0"/>
          <w:sz w:val="16"/>
          <w:szCs w:val="16"/>
        </w:rPr>
        <w:tab/>
        <w:t xml:space="preserve"> The provisions of section 113 shall not apply to a taxpayer who qualifies for exemption under clause (133) of Part-I of this Schedule.”</w:t>
      </w:r>
    </w:p>
  </w:footnote>
  <w:footnote w:id="2168">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(22A) omitted by the Finance Act, 2005. The omitted clause (22A) read as follows: </w:t>
      </w:r>
    </w:p>
    <w:p w:rsidR="00BF2117" w:rsidRDefault="00BF2117" w:rsidP="00AA4BF8">
      <w:pPr>
        <w:keepNext/>
        <w:widowControl w:val="0"/>
        <w:ind w:left="180"/>
        <w:jc w:val="both"/>
      </w:pPr>
      <w:r w:rsidRPr="00412620">
        <w:rPr>
          <w:snapToGrid w:val="0"/>
          <w:sz w:val="16"/>
          <w:szCs w:val="16"/>
        </w:rPr>
        <w:t>“</w:t>
      </w:r>
      <w:r w:rsidRPr="00412620">
        <w:rPr>
          <w:b/>
          <w:bCs/>
          <w:snapToGrid w:val="0"/>
          <w:sz w:val="16"/>
          <w:szCs w:val="16"/>
        </w:rPr>
        <w:t xml:space="preserve"> (22A)</w:t>
      </w:r>
      <w:r w:rsidRPr="00412620">
        <w:rPr>
          <w:snapToGrid w:val="0"/>
          <w:sz w:val="16"/>
          <w:szCs w:val="16"/>
        </w:rPr>
        <w:t xml:space="preserve"> The provisions of section 113 shall not apply to a resident person engaged in the business of shipping who qualifies for application of reduced rate of tax on tonnage basis as final tax under clause (21) of Part II of the Schedule.”</w:t>
      </w:r>
    </w:p>
  </w:footnote>
  <w:footnote w:id="2169">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(23) omitted by the Finance Act, 2005. The omitted clause (23) read as follows:</w:t>
      </w:r>
    </w:p>
    <w:p w:rsidR="00BF2117" w:rsidRDefault="00BF2117" w:rsidP="00AA4BF8">
      <w:pPr>
        <w:widowControl w:val="0"/>
        <w:ind w:left="180"/>
        <w:jc w:val="both"/>
      </w:pPr>
      <w:r w:rsidRPr="00412620">
        <w:rPr>
          <w:snapToGrid w:val="0"/>
          <w:sz w:val="16"/>
          <w:szCs w:val="16"/>
        </w:rPr>
        <w:t>“</w:t>
      </w:r>
      <w:r w:rsidRPr="00412620">
        <w:rPr>
          <w:b/>
          <w:bCs/>
          <w:snapToGrid w:val="0"/>
          <w:sz w:val="16"/>
          <w:szCs w:val="16"/>
        </w:rPr>
        <w:t>(23)</w:t>
      </w:r>
      <w:r w:rsidRPr="00412620">
        <w:rPr>
          <w:snapToGrid w:val="0"/>
          <w:sz w:val="16"/>
          <w:szCs w:val="16"/>
        </w:rPr>
        <w:tab/>
        <w:t xml:space="preserve"> The provisions of section 113 shall not apply to a venture capital company and venture capital fund which is exempt under clause (101) of Part-I of this Schedule.”</w:t>
      </w:r>
    </w:p>
  </w:footnote>
  <w:footnote w:id="2170">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(24) omitted by the Finance Act, 2005. The omitted clause (24) read as follows:</w:t>
      </w:r>
    </w:p>
    <w:p w:rsidR="00BF2117" w:rsidRDefault="00BF2117" w:rsidP="00AA4BF8">
      <w:pPr>
        <w:widowControl w:val="0"/>
        <w:ind w:left="180"/>
        <w:jc w:val="both"/>
      </w:pPr>
      <w:r w:rsidRPr="00412620">
        <w:rPr>
          <w:snapToGrid w:val="0"/>
          <w:sz w:val="16"/>
          <w:szCs w:val="16"/>
        </w:rPr>
        <w:t>“</w:t>
      </w:r>
      <w:r w:rsidRPr="00412620">
        <w:rPr>
          <w:b/>
          <w:bCs/>
          <w:snapToGrid w:val="0"/>
          <w:sz w:val="16"/>
          <w:szCs w:val="16"/>
        </w:rPr>
        <w:t>(24)</w:t>
      </w:r>
      <w:r w:rsidRPr="00412620">
        <w:rPr>
          <w:snapToGrid w:val="0"/>
          <w:sz w:val="16"/>
          <w:szCs w:val="16"/>
        </w:rPr>
        <w:tab/>
        <w:t xml:space="preserve"> The provisions of </w:t>
      </w:r>
      <w:r w:rsidRPr="00412620">
        <w:rPr>
          <w:sz w:val="16"/>
          <w:szCs w:val="16"/>
        </w:rPr>
        <w:t>section 113 shall not apply to a modaraba registered under the Modaraba Companies and Modaraba (Floatation and Control) Ordinance, 1980 (XXXI o</w:t>
      </w:r>
      <w:r w:rsidRPr="00412620">
        <w:rPr>
          <w:snapToGrid w:val="0"/>
          <w:sz w:val="16"/>
          <w:szCs w:val="16"/>
        </w:rPr>
        <w:t>f 1980).”</w:t>
      </w:r>
    </w:p>
  </w:footnote>
  <w:footnote w:id="2171">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(25) omitted by the Finance Act, 2005. The omitted clause (25) read as follows:</w:t>
      </w:r>
    </w:p>
    <w:p w:rsidR="00BF2117" w:rsidRDefault="00BF2117" w:rsidP="00AA4BF8">
      <w:pPr>
        <w:widowControl w:val="0"/>
        <w:ind w:left="180"/>
        <w:jc w:val="both"/>
      </w:pPr>
      <w:r w:rsidRPr="00412620">
        <w:rPr>
          <w:snapToGrid w:val="0"/>
          <w:sz w:val="16"/>
          <w:szCs w:val="16"/>
        </w:rPr>
        <w:t>“</w:t>
      </w:r>
      <w:r w:rsidRPr="00412620">
        <w:rPr>
          <w:b/>
          <w:bCs/>
          <w:snapToGrid w:val="0"/>
          <w:sz w:val="16"/>
          <w:szCs w:val="16"/>
        </w:rPr>
        <w:t>(25)</w:t>
      </w:r>
      <w:r w:rsidRPr="00412620">
        <w:rPr>
          <w:snapToGrid w:val="0"/>
          <w:sz w:val="16"/>
          <w:szCs w:val="16"/>
        </w:rPr>
        <w:tab/>
        <w:t xml:space="preserve"> Nothing in section 113 shall apply to Corporate and Industrial Restructuring Corporation (CIRC).”</w:t>
      </w:r>
    </w:p>
  </w:footnote>
  <w:footnote w:id="2172">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(26) omitted by the Finance Act, 2005. The omitted clause (26) read as follows:</w:t>
      </w:r>
    </w:p>
    <w:p w:rsidR="00BF2117" w:rsidRDefault="00BF2117" w:rsidP="00AA4BF8">
      <w:pPr>
        <w:widowControl w:val="0"/>
        <w:ind w:left="180"/>
        <w:jc w:val="both"/>
      </w:pPr>
      <w:r w:rsidRPr="00412620">
        <w:rPr>
          <w:snapToGrid w:val="0"/>
          <w:sz w:val="16"/>
          <w:szCs w:val="16"/>
        </w:rPr>
        <w:t>“</w:t>
      </w:r>
      <w:r w:rsidRPr="00412620">
        <w:rPr>
          <w:b/>
          <w:bCs/>
          <w:snapToGrid w:val="0"/>
          <w:sz w:val="16"/>
          <w:szCs w:val="16"/>
        </w:rPr>
        <w:t>(26)</w:t>
      </w:r>
      <w:r w:rsidRPr="00412620">
        <w:rPr>
          <w:snapToGrid w:val="0"/>
          <w:sz w:val="16"/>
          <w:szCs w:val="16"/>
        </w:rPr>
        <w:tab/>
        <w:t xml:space="preserve"> The provisions of section 148 shall not apply to goods or classes of goods imported by contractors and sub-contractors engaged in the execution of power project under the agreement between the Islamic Republic of Pakistan and Hub Power Company Limited.”</w:t>
      </w:r>
    </w:p>
  </w:footnote>
  <w:footnote w:id="2173">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(27) omitted by the Finance Act, 2005. The omitted clause (27) read as follows:</w:t>
      </w:r>
    </w:p>
    <w:p w:rsidR="00BF2117" w:rsidRDefault="00BF2117" w:rsidP="00AA4BF8">
      <w:pPr>
        <w:widowControl w:val="0"/>
        <w:ind w:left="180"/>
        <w:jc w:val="both"/>
      </w:pPr>
      <w:r w:rsidRPr="00412620">
        <w:rPr>
          <w:snapToGrid w:val="0"/>
          <w:sz w:val="16"/>
          <w:szCs w:val="16"/>
        </w:rPr>
        <w:t>“</w:t>
      </w:r>
      <w:r w:rsidRPr="00412620">
        <w:rPr>
          <w:b/>
          <w:bCs/>
          <w:snapToGrid w:val="0"/>
          <w:sz w:val="16"/>
          <w:szCs w:val="16"/>
        </w:rPr>
        <w:t>(27)</w:t>
      </w:r>
      <w:r w:rsidRPr="00412620">
        <w:rPr>
          <w:snapToGrid w:val="0"/>
          <w:sz w:val="16"/>
          <w:szCs w:val="16"/>
        </w:rPr>
        <w:tab/>
      </w:r>
      <w:r w:rsidRPr="00412620">
        <w:rPr>
          <w:sz w:val="16"/>
          <w:szCs w:val="16"/>
        </w:rPr>
        <w:t xml:space="preserve">The </w:t>
      </w:r>
      <w:r w:rsidRPr="00412620">
        <w:rPr>
          <w:snapToGrid w:val="0"/>
          <w:sz w:val="16"/>
          <w:szCs w:val="16"/>
        </w:rPr>
        <w:t>provisions</w:t>
      </w:r>
      <w:r w:rsidRPr="00412620">
        <w:rPr>
          <w:sz w:val="16"/>
          <w:szCs w:val="16"/>
        </w:rPr>
        <w:t xml:space="preserve"> of section 148 shall not apply to such specially equipped </w:t>
      </w:r>
      <w:r w:rsidRPr="00412620">
        <w:rPr>
          <w:snapToGrid w:val="0"/>
          <w:sz w:val="16"/>
          <w:szCs w:val="16"/>
        </w:rPr>
        <w:t>motor vehicle or support equipment imported by a disabled person, as is allowed by the Federal Government.”</w:t>
      </w:r>
    </w:p>
  </w:footnote>
  <w:footnote w:id="2174">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(28) omitted by the Finance Act, 2005. The omitted clause (28) read as follows:</w:t>
      </w:r>
    </w:p>
    <w:p w:rsidR="00BF2117" w:rsidRDefault="00BF2117" w:rsidP="00AA4BF8">
      <w:pPr>
        <w:keepNext/>
        <w:widowControl w:val="0"/>
        <w:ind w:left="180"/>
        <w:jc w:val="both"/>
      </w:pPr>
      <w:r w:rsidRPr="00412620">
        <w:rPr>
          <w:snapToGrid w:val="0"/>
          <w:sz w:val="16"/>
          <w:szCs w:val="16"/>
        </w:rPr>
        <w:t>“</w:t>
      </w:r>
      <w:r w:rsidRPr="00412620">
        <w:rPr>
          <w:b/>
          <w:bCs/>
          <w:snapToGrid w:val="0"/>
          <w:sz w:val="16"/>
          <w:szCs w:val="16"/>
        </w:rPr>
        <w:t>(28)</w:t>
      </w:r>
      <w:r w:rsidRPr="00412620">
        <w:rPr>
          <w:snapToGrid w:val="0"/>
          <w:sz w:val="16"/>
          <w:szCs w:val="16"/>
        </w:rPr>
        <w:tab/>
        <w:t xml:space="preserve"> The </w:t>
      </w:r>
      <w:r w:rsidRPr="00412620">
        <w:rPr>
          <w:b/>
          <w:bCs/>
          <w:snapToGrid w:val="0"/>
          <w:sz w:val="16"/>
          <w:szCs w:val="16"/>
        </w:rPr>
        <w:t>provision</w:t>
      </w:r>
      <w:r w:rsidRPr="00412620">
        <w:rPr>
          <w:snapToGrid w:val="0"/>
          <w:sz w:val="16"/>
          <w:szCs w:val="16"/>
        </w:rPr>
        <w:t xml:space="preserve"> of</w:t>
      </w:r>
      <w:r w:rsidRPr="00412620">
        <w:rPr>
          <w:sz w:val="16"/>
          <w:szCs w:val="16"/>
        </w:rPr>
        <w:t xml:space="preserve"> section 148</w:t>
      </w:r>
      <w:r w:rsidRPr="00412620">
        <w:rPr>
          <w:snapToGrid w:val="0"/>
          <w:sz w:val="16"/>
          <w:szCs w:val="16"/>
        </w:rPr>
        <w:t xml:space="preserve"> shall not apply to in case of such goods imported into Pakistan as are exempt from customs duties and sales tax under Headings 9913, 9914 and 9915 of Sub-Chapter III of Chapter 99 of First Schedule the Customs Act, 1969 (IV of 1969).”</w:t>
      </w:r>
    </w:p>
  </w:footnote>
  <w:footnote w:id="2175">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Clause (29) omitted by the Finance Act, 2005. The omitted clause (29) read as follows: </w:t>
      </w:r>
    </w:p>
    <w:p w:rsidR="00BF2117" w:rsidRPr="00412620" w:rsidRDefault="00BF2117" w:rsidP="00AA4BF8">
      <w:pPr>
        <w:keepNext/>
        <w:widowControl w:val="0"/>
        <w:ind w:left="180" w:hanging="90"/>
        <w:jc w:val="both"/>
        <w:rPr>
          <w:snapToGrid w:val="0"/>
          <w:sz w:val="16"/>
          <w:szCs w:val="16"/>
        </w:rPr>
      </w:pPr>
      <w:r w:rsidRPr="00412620">
        <w:rPr>
          <w:snapToGrid w:val="0"/>
          <w:sz w:val="16"/>
          <w:szCs w:val="16"/>
        </w:rPr>
        <w:t>“</w:t>
      </w:r>
      <w:r w:rsidRPr="00412620">
        <w:rPr>
          <w:b/>
          <w:bCs/>
          <w:snapToGrid w:val="0"/>
          <w:sz w:val="16"/>
          <w:szCs w:val="16"/>
        </w:rPr>
        <w:t xml:space="preserve">(29) </w:t>
      </w:r>
      <w:r w:rsidRPr="00412620">
        <w:rPr>
          <w:snapToGrid w:val="0"/>
          <w:sz w:val="16"/>
          <w:szCs w:val="16"/>
        </w:rPr>
        <w:t xml:space="preserve">The provisions of section 148 shall not apply to goods imported by direct and indirect exporters covered under </w:t>
      </w:r>
      <w:r w:rsidRPr="00412620">
        <w:rPr>
          <w:sz w:val="16"/>
          <w:szCs w:val="16"/>
        </w:rPr>
        <w:t>—</w:t>
      </w:r>
    </w:p>
    <w:p w:rsidR="00BF2117" w:rsidRPr="00412620" w:rsidRDefault="00BF2117" w:rsidP="00AA4BF8">
      <w:pPr>
        <w:widowControl w:val="0"/>
        <w:ind w:firstLine="180"/>
        <w:jc w:val="both"/>
        <w:rPr>
          <w:snapToGrid w:val="0"/>
          <w:sz w:val="16"/>
          <w:szCs w:val="16"/>
        </w:rPr>
      </w:pPr>
      <w:r w:rsidRPr="00412620">
        <w:rPr>
          <w:snapToGrid w:val="0"/>
          <w:sz w:val="16"/>
          <w:szCs w:val="16"/>
        </w:rPr>
        <w:t xml:space="preserve">(a) </w:t>
      </w:r>
      <w:r w:rsidRPr="00412620">
        <w:rPr>
          <w:snapToGrid w:val="0"/>
          <w:sz w:val="16"/>
          <w:szCs w:val="16"/>
        </w:rPr>
        <w:tab/>
        <w:t>Sub-Chapter 4 of Chapter XII of S.R.O. 450(I)/2001 dated 18.06.2001;</w:t>
      </w:r>
    </w:p>
    <w:p w:rsidR="00BF2117" w:rsidRPr="00412620" w:rsidRDefault="00BF2117" w:rsidP="00AA4BF8">
      <w:pPr>
        <w:widowControl w:val="0"/>
        <w:ind w:firstLine="180"/>
        <w:jc w:val="both"/>
        <w:rPr>
          <w:snapToGrid w:val="0"/>
          <w:sz w:val="16"/>
          <w:szCs w:val="16"/>
        </w:rPr>
      </w:pPr>
      <w:r w:rsidRPr="00412620">
        <w:rPr>
          <w:snapToGrid w:val="0"/>
          <w:sz w:val="16"/>
          <w:szCs w:val="16"/>
        </w:rPr>
        <w:t xml:space="preserve">(b) </w:t>
      </w:r>
      <w:r w:rsidRPr="00412620">
        <w:rPr>
          <w:snapToGrid w:val="0"/>
          <w:sz w:val="16"/>
          <w:szCs w:val="16"/>
        </w:rPr>
        <w:tab/>
        <w:t>Sub-Chapter 6 of Chapter XII of S.R.O. 450(I)/2001 dated 18.06.2001; and</w:t>
      </w:r>
    </w:p>
    <w:p w:rsidR="00BF2117" w:rsidRDefault="00BF2117" w:rsidP="00AA4BF8">
      <w:pPr>
        <w:widowControl w:val="0"/>
        <w:ind w:firstLine="180"/>
        <w:jc w:val="both"/>
      </w:pPr>
      <w:r w:rsidRPr="00412620">
        <w:rPr>
          <w:snapToGrid w:val="0"/>
          <w:sz w:val="16"/>
          <w:szCs w:val="16"/>
        </w:rPr>
        <w:t xml:space="preserve">(c) </w:t>
      </w:r>
      <w:r w:rsidRPr="00412620">
        <w:rPr>
          <w:snapToGrid w:val="0"/>
          <w:sz w:val="16"/>
          <w:szCs w:val="16"/>
        </w:rPr>
        <w:tab/>
        <w:t>Sub-Chapter 7 of Chapter XII of S.R.O. 450(I)/2001 dated 18.06.2001;”</w:t>
      </w:r>
    </w:p>
  </w:footnote>
  <w:footnote w:id="2176">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(30) omitted by the Finance Act, 2005. The omitted clause (30) read as follows:</w:t>
      </w:r>
    </w:p>
    <w:p w:rsidR="00BF2117" w:rsidRPr="0046671C" w:rsidRDefault="00BF2117" w:rsidP="00AA4BF8">
      <w:pPr>
        <w:keepNext/>
        <w:widowControl w:val="0"/>
        <w:ind w:left="180"/>
        <w:jc w:val="both"/>
        <w:rPr>
          <w:sz w:val="16"/>
          <w:szCs w:val="16"/>
        </w:rPr>
      </w:pPr>
      <w:r w:rsidRPr="0046671C">
        <w:rPr>
          <w:snapToGrid w:val="0"/>
          <w:sz w:val="16"/>
          <w:szCs w:val="16"/>
        </w:rPr>
        <w:t>“</w:t>
      </w:r>
      <w:r w:rsidRPr="0046671C">
        <w:rPr>
          <w:b/>
          <w:bCs/>
          <w:snapToGrid w:val="0"/>
          <w:sz w:val="16"/>
          <w:szCs w:val="16"/>
        </w:rPr>
        <w:t>(30)</w:t>
      </w:r>
      <w:r w:rsidRPr="0046671C">
        <w:rPr>
          <w:snapToGrid w:val="0"/>
          <w:sz w:val="16"/>
          <w:szCs w:val="16"/>
        </w:rPr>
        <w:t xml:space="preserve"> The </w:t>
      </w:r>
      <w:r w:rsidRPr="0046671C">
        <w:rPr>
          <w:b/>
          <w:bCs/>
          <w:snapToGrid w:val="0"/>
          <w:sz w:val="16"/>
          <w:szCs w:val="16"/>
        </w:rPr>
        <w:t>provisions</w:t>
      </w:r>
      <w:r w:rsidRPr="0046671C">
        <w:rPr>
          <w:snapToGrid w:val="0"/>
          <w:sz w:val="16"/>
          <w:szCs w:val="16"/>
        </w:rPr>
        <w:t xml:space="preserve"> of section 148 shall not apply in respect of goods specified under Heading 9929, Sub-Chapter VIII of Chapter 99 of the First Schedule to the Customs Act, 1969 (IV of 1969);”</w:t>
      </w:r>
    </w:p>
  </w:footnote>
  <w:footnote w:id="2177">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(31) omitted by the Finance Act, 2005. The omitted clause (31)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(31)</w:t>
      </w:r>
      <w:r w:rsidRPr="0046671C">
        <w:rPr>
          <w:snapToGrid w:val="0"/>
          <w:sz w:val="16"/>
          <w:szCs w:val="16"/>
        </w:rPr>
        <w:tab/>
        <w:t xml:space="preserve">The provisions of </w:t>
      </w:r>
      <w:r w:rsidRPr="0046671C">
        <w:rPr>
          <w:sz w:val="16"/>
          <w:szCs w:val="16"/>
        </w:rPr>
        <w:t>section 148</w:t>
      </w:r>
      <w:r w:rsidRPr="0046671C">
        <w:rPr>
          <w:snapToGrid w:val="0"/>
          <w:sz w:val="16"/>
          <w:szCs w:val="16"/>
        </w:rPr>
        <w:t>shall not apply in respect of such mobile telephone sets as are exempt from custom duty and are charged to sales tax in the manner prescribe in the Notification No. S.R.O 390(I)/2001 dated 18</w:t>
      </w:r>
      <w:r w:rsidRPr="0046671C">
        <w:rPr>
          <w:snapToGrid w:val="0"/>
          <w:sz w:val="16"/>
          <w:szCs w:val="16"/>
          <w:vertAlign w:val="superscript"/>
        </w:rPr>
        <w:t>th</w:t>
      </w:r>
      <w:r w:rsidRPr="0046671C">
        <w:rPr>
          <w:snapToGrid w:val="0"/>
          <w:sz w:val="16"/>
          <w:szCs w:val="16"/>
        </w:rPr>
        <w:t xml:space="preserve"> June, 2001.”</w:t>
      </w:r>
    </w:p>
  </w:footnote>
  <w:footnote w:id="2178">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(31A) omitted by the Finance Act, 2005. The omitted clause (31A) read as follows:</w:t>
      </w:r>
    </w:p>
    <w:p w:rsidR="00BF2117" w:rsidRPr="0046671C" w:rsidRDefault="00BF2117" w:rsidP="00AA4BF8">
      <w:pPr>
        <w:keepNext/>
        <w:widowControl w:val="0"/>
        <w:ind w:left="180"/>
        <w:jc w:val="both"/>
        <w:rPr>
          <w:sz w:val="16"/>
          <w:szCs w:val="16"/>
        </w:rPr>
      </w:pPr>
      <w:r w:rsidRPr="0046671C">
        <w:rPr>
          <w:snapToGrid w:val="0"/>
          <w:sz w:val="16"/>
          <w:szCs w:val="16"/>
        </w:rPr>
        <w:t>“</w:t>
      </w:r>
      <w:r w:rsidRPr="0046671C">
        <w:rPr>
          <w:b/>
          <w:bCs/>
          <w:snapToGrid w:val="0"/>
          <w:sz w:val="16"/>
          <w:szCs w:val="16"/>
        </w:rPr>
        <w:t>(31A)</w:t>
      </w:r>
      <w:r w:rsidRPr="0046671C">
        <w:rPr>
          <w:snapToGrid w:val="0"/>
          <w:sz w:val="16"/>
          <w:szCs w:val="16"/>
        </w:rPr>
        <w:t xml:space="preserve">  The provisions of section 148 shall not apply to plant, machinery and equipment imported as are subject to 5% rate of customs-duty under Chapter 84 of the First Schedule to the Customs Act, 1969 (IV of 1969), or are exempt from customs-duty or subject to a lower rate of customs-duty under relevant Customs notifications.”</w:t>
      </w:r>
    </w:p>
  </w:footnote>
  <w:footnote w:id="2179">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(31B) omitted by the Finance Act, 2005. The omitted clause (31B) read as follows:</w:t>
      </w:r>
    </w:p>
    <w:p w:rsidR="00BF2117" w:rsidRPr="0046671C" w:rsidRDefault="00BF2117" w:rsidP="00AA4BF8">
      <w:pPr>
        <w:keepNext/>
        <w:widowControl w:val="0"/>
        <w:ind w:left="180"/>
        <w:jc w:val="both"/>
        <w:rPr>
          <w:sz w:val="16"/>
          <w:szCs w:val="16"/>
        </w:rPr>
      </w:pPr>
      <w:r w:rsidRPr="0046671C">
        <w:rPr>
          <w:snapToGrid w:val="0"/>
          <w:sz w:val="16"/>
          <w:szCs w:val="16"/>
        </w:rPr>
        <w:t>“</w:t>
      </w:r>
      <w:r w:rsidRPr="0046671C">
        <w:rPr>
          <w:b/>
          <w:bCs/>
          <w:snapToGrid w:val="0"/>
          <w:sz w:val="16"/>
          <w:szCs w:val="16"/>
        </w:rPr>
        <w:t xml:space="preserve">(31B)   </w:t>
      </w:r>
      <w:r w:rsidRPr="0046671C">
        <w:rPr>
          <w:snapToGrid w:val="0"/>
          <w:sz w:val="16"/>
          <w:szCs w:val="16"/>
        </w:rPr>
        <w:t>The provisions of section 148 shall not apply in respect of agricultural tractors imported in CBU condition.”</w:t>
      </w:r>
    </w:p>
  </w:footnote>
  <w:footnote w:id="2180">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(32) omitted by the Finance Act, 2003. The omitted clause (32) read as follows:</w:t>
      </w:r>
    </w:p>
    <w:p w:rsidR="00BF2117" w:rsidRPr="0046671C" w:rsidRDefault="00BF2117" w:rsidP="00AA4BF8">
      <w:pPr>
        <w:pStyle w:val="FootnoteText"/>
        <w:ind w:left="180" w:hanging="180"/>
        <w:jc w:val="both"/>
        <w:rPr>
          <w:sz w:val="16"/>
          <w:szCs w:val="16"/>
        </w:rPr>
      </w:pPr>
      <w:r w:rsidRPr="0046671C">
        <w:rPr>
          <w:sz w:val="16"/>
          <w:szCs w:val="16"/>
        </w:rPr>
        <w:t xml:space="preserve">   “</w:t>
      </w:r>
      <w:r w:rsidRPr="0046671C">
        <w:rPr>
          <w:b/>
          <w:bCs/>
          <w:snapToGrid w:val="0"/>
          <w:sz w:val="16"/>
          <w:szCs w:val="16"/>
        </w:rPr>
        <w:t>(32)</w:t>
      </w:r>
      <w:r w:rsidRPr="0046671C">
        <w:rPr>
          <w:snapToGrid w:val="0"/>
          <w:sz w:val="16"/>
          <w:szCs w:val="16"/>
        </w:rPr>
        <w:tab/>
        <w:t xml:space="preserve">The provisions of </w:t>
      </w:r>
      <w:r w:rsidRPr="0046671C">
        <w:rPr>
          <w:sz w:val="16"/>
          <w:szCs w:val="16"/>
        </w:rPr>
        <w:t xml:space="preserve">sections 149 and 152 relating to fee for technical services </w:t>
      </w:r>
      <w:r w:rsidRPr="0046671C">
        <w:rPr>
          <w:snapToGrid w:val="0"/>
          <w:sz w:val="16"/>
          <w:szCs w:val="16"/>
        </w:rPr>
        <w:t>shall not apply to M/s Siddiq Sons Tin Plate Limited in respect of salaries of expatriate employees, royalty or technological and know-how fee for technical assistance for projects located in Special Industrial Zone, Windher, Balochistan, who have established L/Cs prior to the 31st January, 1996.”</w:t>
      </w:r>
    </w:p>
  </w:footnote>
  <w:footnote w:id="2181">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Clause (33) omitted by the Finance Act, 2008. The omitted clause (33) read as follows:</w:t>
      </w:r>
    </w:p>
    <w:p w:rsidR="00BF2117" w:rsidRPr="0046671C" w:rsidRDefault="00BF2117" w:rsidP="00AA4BF8">
      <w:pPr>
        <w:pStyle w:val="FootnoteText"/>
        <w:ind w:left="270" w:hanging="90"/>
        <w:jc w:val="both"/>
        <w:rPr>
          <w:sz w:val="16"/>
          <w:szCs w:val="16"/>
        </w:rPr>
      </w:pPr>
      <w:r w:rsidRPr="0046671C">
        <w:rPr>
          <w:sz w:val="16"/>
          <w:szCs w:val="16"/>
        </w:rPr>
        <w:t>“</w:t>
      </w:r>
      <w:r w:rsidRPr="0046671C">
        <w:rPr>
          <w:b/>
          <w:bCs/>
          <w:snapToGrid w:val="0"/>
          <w:sz w:val="16"/>
          <w:szCs w:val="16"/>
        </w:rPr>
        <w:t>(33)</w:t>
      </w:r>
      <w:r w:rsidRPr="0046671C">
        <w:rPr>
          <w:snapToGrid w:val="0"/>
          <w:sz w:val="16"/>
          <w:szCs w:val="16"/>
        </w:rPr>
        <w:tab/>
        <w:t>The provisions of sections 151 and 233 shall not apply to any person making payment to National Investment (Unit) Trust or a mutual fund established by the Investment Corporation of Pakistan or an investment company registered under the Investment Companies and Investment Advisers Rules 1971 or a unit trust scheme constituted by an Asset Management Company registered under the Asset Management Companies Rules, 1995 or a real investment trust, approved and authorized under the Real Estate Investment Trust Rules, 2006, established and managed by a REIT management company licensed under the Real Estate Investment Trust Rules, 2006 or a Private Equity and Venture Capital Fund.”</w:t>
      </w:r>
    </w:p>
  </w:footnote>
  <w:footnote w:id="2182">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(34) omitted by the Finance Act, 2005. The omitted clause (34)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(34)</w:t>
      </w:r>
      <w:r w:rsidRPr="0046671C">
        <w:rPr>
          <w:snapToGrid w:val="0"/>
          <w:sz w:val="16"/>
          <w:szCs w:val="16"/>
        </w:rPr>
        <w:tab/>
        <w:t xml:space="preserve">The provision of </w:t>
      </w:r>
      <w:r w:rsidRPr="0046671C">
        <w:rPr>
          <w:sz w:val="16"/>
          <w:szCs w:val="16"/>
        </w:rPr>
        <w:t xml:space="preserve">section 151 </w:t>
      </w:r>
      <w:r w:rsidRPr="0046671C">
        <w:rPr>
          <w:snapToGrid w:val="0"/>
          <w:sz w:val="16"/>
          <w:szCs w:val="16"/>
        </w:rPr>
        <w:t>shall not apply in respect of profit or interest paid on a Term Finance Certificate held by a company which has been issued on, or after, the first day of July, 1999.”</w:t>
      </w:r>
    </w:p>
  </w:footnote>
  <w:footnote w:id="2183">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(35) omitted by the Finance Act, 2005. The omitted clause (35)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(35)</w:t>
      </w:r>
      <w:r w:rsidRPr="0046671C">
        <w:rPr>
          <w:snapToGrid w:val="0"/>
          <w:sz w:val="16"/>
          <w:szCs w:val="16"/>
        </w:rPr>
        <w:tab/>
        <w:t>The provisions of section 151 shall not apply to any payment made by way profit or interest to any person on Term Finance Certificates being the instruments of redeemable capital under the Companies Ordinance, 1984 (XLVII of 1984), issued by Prime Minister’s Housing Development Company (Pvt) Limited (PHDCL).”</w:t>
      </w:r>
    </w:p>
  </w:footnote>
  <w:footnote w:id="2184">
    <w:p w:rsidR="00BF2117" w:rsidRPr="0046671C" w:rsidRDefault="00BF2117" w:rsidP="00AA4BF8">
      <w:pPr>
        <w:pStyle w:val="FootnoteText"/>
        <w:rPr>
          <w:sz w:val="16"/>
          <w:szCs w:val="16"/>
          <w:lang w:val="en-US"/>
        </w:rPr>
      </w:pPr>
      <w:r w:rsidRPr="0046671C">
        <w:rPr>
          <w:rStyle w:val="FootnoteReference"/>
          <w:rFonts w:cs="Arial"/>
          <w:sz w:val="16"/>
          <w:szCs w:val="16"/>
        </w:rPr>
        <w:footnoteRef/>
      </w:r>
      <w:r w:rsidRPr="0046671C">
        <w:rPr>
          <w:sz w:val="16"/>
          <w:szCs w:val="16"/>
        </w:rPr>
        <w:t xml:space="preserve"> Clause (36) o</w:t>
      </w:r>
      <w:r w:rsidRPr="0046671C">
        <w:rPr>
          <w:sz w:val="16"/>
          <w:szCs w:val="16"/>
          <w:lang w:val="en-US"/>
        </w:rPr>
        <w:t>mitted by the Finance Act, 2008. The omitted clause (36) read as follows:</w:t>
      </w:r>
    </w:p>
    <w:p w:rsidR="00BF2117" w:rsidRPr="0046671C" w:rsidRDefault="00BF2117" w:rsidP="00AA4BF8">
      <w:pPr>
        <w:widowControl w:val="0"/>
        <w:ind w:left="270" w:hanging="90"/>
        <w:jc w:val="both"/>
        <w:rPr>
          <w:sz w:val="16"/>
          <w:szCs w:val="16"/>
        </w:rPr>
      </w:pPr>
      <w:r w:rsidRPr="0046671C">
        <w:rPr>
          <w:sz w:val="16"/>
          <w:szCs w:val="16"/>
          <w:lang w:val="en-US"/>
        </w:rPr>
        <w:t>“</w:t>
      </w:r>
      <w:r w:rsidRPr="0046671C">
        <w:rPr>
          <w:b/>
          <w:bCs/>
          <w:snapToGrid w:val="0"/>
          <w:sz w:val="16"/>
          <w:szCs w:val="16"/>
        </w:rPr>
        <w:t>(36)</w:t>
      </w:r>
      <w:r w:rsidRPr="0046671C">
        <w:rPr>
          <w:snapToGrid w:val="0"/>
          <w:sz w:val="16"/>
          <w:szCs w:val="16"/>
        </w:rPr>
        <w:tab/>
        <w:t xml:space="preserve"> The provisions of clause (c) of sub-section (1) of section 151 shall not apply in respect of any amount paid as interest or profit on Special US Dollar Bonds issued under the Special US Dollar Bonds Rules, 1998.”</w:t>
      </w:r>
    </w:p>
  </w:footnote>
  <w:footnote w:id="2185">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Inserted by the Finance Act, 2004.</w:t>
      </w:r>
    </w:p>
  </w:footnote>
  <w:footnote w:id="2186">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(37) omitted by the Finance Act, 2005. The omitted clause (37) read as follows:</w:t>
      </w:r>
    </w:p>
    <w:p w:rsidR="00BF2117" w:rsidRPr="0046671C" w:rsidRDefault="00BF2117" w:rsidP="00AA4BF8">
      <w:pPr>
        <w:widowControl w:val="0"/>
        <w:ind w:left="180"/>
        <w:jc w:val="both"/>
        <w:rPr>
          <w:sz w:val="16"/>
          <w:szCs w:val="16"/>
        </w:rPr>
      </w:pPr>
      <w:r w:rsidRPr="0046671C">
        <w:rPr>
          <w:snapToGrid w:val="0"/>
          <w:sz w:val="16"/>
          <w:szCs w:val="16"/>
        </w:rPr>
        <w:t>“</w:t>
      </w:r>
      <w:r w:rsidRPr="0046671C">
        <w:rPr>
          <w:b/>
          <w:bCs/>
          <w:snapToGrid w:val="0"/>
          <w:sz w:val="16"/>
          <w:szCs w:val="16"/>
        </w:rPr>
        <w:t>(37)</w:t>
      </w:r>
      <w:r w:rsidRPr="0046671C">
        <w:rPr>
          <w:snapToGrid w:val="0"/>
          <w:sz w:val="16"/>
          <w:szCs w:val="16"/>
        </w:rPr>
        <w:tab/>
        <w:t xml:space="preserve"> The provisions of </w:t>
      </w:r>
      <w:r w:rsidRPr="0046671C">
        <w:rPr>
          <w:sz w:val="16"/>
          <w:szCs w:val="16"/>
        </w:rPr>
        <w:t>section 151</w:t>
      </w:r>
      <w:r w:rsidRPr="0046671C">
        <w:rPr>
          <w:snapToGrid w:val="0"/>
          <w:sz w:val="16"/>
          <w:szCs w:val="16"/>
        </w:rPr>
        <w:t xml:space="preserve"> shall not apply to Pak rupee accounts or certificates referred to in clause (83) of Part I of this Schedule.”</w:t>
      </w:r>
    </w:p>
  </w:footnote>
  <w:footnote w:id="2187">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Inserted by the Finance Act, 2002.</w:t>
      </w:r>
    </w:p>
  </w:footnote>
  <w:footnote w:id="2188">
    <w:p w:rsidR="00BF2117" w:rsidRPr="002C74B5" w:rsidRDefault="00BF2117" w:rsidP="00B96602">
      <w:pPr>
        <w:pStyle w:val="FootnoteText"/>
        <w:ind w:left="180" w:hanging="180"/>
        <w:rPr>
          <w:color w:val="FF0000"/>
          <w:sz w:val="16"/>
          <w:szCs w:val="16"/>
          <w:lang w:val="en-US"/>
        </w:rPr>
      </w:pPr>
      <w:r w:rsidRPr="00487F91">
        <w:rPr>
          <w:rStyle w:val="FootnoteReference"/>
          <w:color w:val="FF0000"/>
          <w:sz w:val="16"/>
          <w:szCs w:val="16"/>
        </w:rPr>
        <w:footnoteRef/>
      </w:r>
      <w:r w:rsidRPr="00487F91">
        <w:rPr>
          <w:color w:val="FF0000"/>
          <w:sz w:val="16"/>
          <w:szCs w:val="16"/>
        </w:rPr>
        <w:t xml:space="preserve"> </w:t>
      </w:r>
      <w:r>
        <w:rPr>
          <w:color w:val="FF0000"/>
          <w:sz w:val="16"/>
          <w:szCs w:val="16"/>
        </w:rPr>
        <w:t xml:space="preserve">The figure and word “and 233” substituted </w:t>
      </w:r>
      <w:r w:rsidRPr="00487F91">
        <w:rPr>
          <w:color w:val="FF0000"/>
          <w:sz w:val="16"/>
          <w:szCs w:val="16"/>
        </w:rPr>
        <w:t xml:space="preserve">by the </w:t>
      </w:r>
      <w:r>
        <w:rPr>
          <w:color w:val="FF0000"/>
          <w:sz w:val="16"/>
          <w:szCs w:val="16"/>
        </w:rPr>
        <w:t>Presidential Order No.F.2(1)2016-Pub dated 31.08.2016</w:t>
      </w:r>
      <w:r w:rsidRPr="00D47C20">
        <w:rPr>
          <w:color w:val="0070C0"/>
          <w:sz w:val="16"/>
          <w:szCs w:val="16"/>
        </w:rPr>
        <w:t>.</w:t>
      </w:r>
      <w:r w:rsidRPr="002C74B5">
        <w:rPr>
          <w:color w:val="FF0000"/>
          <w:sz w:val="16"/>
          <w:szCs w:val="16"/>
        </w:rPr>
        <w:t xml:space="preserve"> </w:t>
      </w:r>
    </w:p>
  </w:footnote>
  <w:footnote w:id="2189">
    <w:p w:rsidR="00BF2117" w:rsidRPr="002C74B5" w:rsidRDefault="00BF2117" w:rsidP="002D5F0A">
      <w:pPr>
        <w:pStyle w:val="FootnoteText"/>
        <w:rPr>
          <w:color w:val="FF0000"/>
          <w:sz w:val="16"/>
          <w:szCs w:val="16"/>
          <w:lang w:val="en-US"/>
        </w:rPr>
      </w:pPr>
      <w:r w:rsidRPr="00487F91">
        <w:rPr>
          <w:rStyle w:val="FootnoteReference"/>
          <w:color w:val="FF0000"/>
          <w:sz w:val="16"/>
          <w:szCs w:val="16"/>
        </w:rPr>
        <w:footnoteRef/>
      </w:r>
      <w:r w:rsidRPr="00487F91">
        <w:rPr>
          <w:color w:val="FF0000"/>
          <w:sz w:val="16"/>
          <w:szCs w:val="16"/>
        </w:rPr>
        <w:t xml:space="preserve"> </w:t>
      </w:r>
      <w:r>
        <w:rPr>
          <w:color w:val="FF0000"/>
          <w:sz w:val="16"/>
          <w:szCs w:val="16"/>
        </w:rPr>
        <w:t xml:space="preserve">Added </w:t>
      </w:r>
      <w:r w:rsidRPr="00487F91">
        <w:rPr>
          <w:color w:val="FF0000"/>
          <w:sz w:val="16"/>
          <w:szCs w:val="16"/>
        </w:rPr>
        <w:t xml:space="preserve">by the </w:t>
      </w:r>
      <w:r>
        <w:rPr>
          <w:color w:val="FF0000"/>
          <w:sz w:val="16"/>
          <w:szCs w:val="16"/>
        </w:rPr>
        <w:t>Presidential Order No.F.2(1)2016-Pub dated 31.08.2016</w:t>
      </w:r>
      <w:r w:rsidRPr="00D47C20">
        <w:rPr>
          <w:color w:val="0070C0"/>
          <w:sz w:val="16"/>
          <w:szCs w:val="16"/>
        </w:rPr>
        <w:t>.</w:t>
      </w:r>
      <w:r w:rsidRPr="002C74B5">
        <w:rPr>
          <w:color w:val="FF0000"/>
          <w:sz w:val="16"/>
          <w:szCs w:val="16"/>
        </w:rPr>
        <w:t xml:space="preserve"> </w:t>
      </w:r>
    </w:p>
  </w:footnote>
  <w:footnote w:id="2190">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Inserted by the Finance Act, 2004.</w:t>
      </w:r>
    </w:p>
  </w:footnote>
  <w:footnote w:id="2191">
    <w:p w:rsidR="00BF2117" w:rsidRPr="00D47C20" w:rsidRDefault="00BF2117">
      <w:pPr>
        <w:pStyle w:val="FootnoteText"/>
        <w:rPr>
          <w:color w:val="0070C0"/>
          <w:lang w:val="en-US"/>
        </w:rPr>
      </w:pPr>
      <w:r w:rsidRPr="00D47C20">
        <w:rPr>
          <w:rStyle w:val="FootnoteReference"/>
          <w:color w:val="0070C0"/>
        </w:rPr>
        <w:footnoteRef/>
      </w:r>
      <w:r w:rsidRPr="00D47C20">
        <w:rPr>
          <w:color w:val="0070C0"/>
        </w:rPr>
        <w:t xml:space="preserve"> </w:t>
      </w:r>
      <w:r w:rsidRPr="00D47C20">
        <w:rPr>
          <w:color w:val="0070C0"/>
          <w:sz w:val="16"/>
          <w:szCs w:val="16"/>
          <w:lang w:val="en-US"/>
        </w:rPr>
        <w:t>inserted by the Finance Act, 2016.</w:t>
      </w:r>
    </w:p>
  </w:footnote>
  <w:footnote w:id="2192">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(38B) omitted by Finance Act, 2014. The omitted clause (38B) read as follows:</w:t>
      </w:r>
    </w:p>
    <w:p w:rsidR="00BF2117" w:rsidRPr="00F852EB" w:rsidRDefault="00BF2117" w:rsidP="0061452D">
      <w:pPr>
        <w:widowControl w:val="0"/>
        <w:jc w:val="both"/>
        <w:rPr>
          <w:color w:val="000000" w:themeColor="text1"/>
          <w:sz w:val="16"/>
          <w:szCs w:val="16"/>
          <w:lang w:val="en-US"/>
        </w:rPr>
      </w:pPr>
      <w:r w:rsidRPr="00F852EB">
        <w:rPr>
          <w:color w:val="000000" w:themeColor="text1"/>
          <w:sz w:val="16"/>
          <w:szCs w:val="16"/>
          <w:lang w:val="en-US"/>
        </w:rPr>
        <w:t>“</w:t>
      </w:r>
      <w:r w:rsidRPr="00F852EB">
        <w:rPr>
          <w:b/>
          <w:snapToGrid w:val="0"/>
          <w:color w:val="000000" w:themeColor="text1"/>
          <w:sz w:val="16"/>
          <w:szCs w:val="16"/>
        </w:rPr>
        <w:t>(38B)</w:t>
      </w:r>
      <w:r w:rsidRPr="00F852EB">
        <w:rPr>
          <w:bCs/>
          <w:snapToGrid w:val="0"/>
          <w:color w:val="000000" w:themeColor="text1"/>
          <w:sz w:val="16"/>
          <w:szCs w:val="16"/>
        </w:rPr>
        <w:t xml:space="preserve"> The provisions of section 150 shall not apply to the Islamic Development Bank.”</w:t>
      </w:r>
    </w:p>
  </w:footnote>
  <w:footnote w:id="2193">
    <w:p w:rsidR="00BF2117" w:rsidRPr="00F852EB" w:rsidRDefault="00BF2117">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(38C) inserted by the Finance Act, 2011..</w:t>
      </w:r>
    </w:p>
  </w:footnote>
  <w:footnote w:id="2194">
    <w:p w:rsidR="00BF2117" w:rsidRPr="00F852EB" w:rsidRDefault="00BF2117">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rPr>
        <w:t xml:space="preserve">The figure and comma </w:t>
      </w:r>
      <w:r w:rsidRPr="00F852EB">
        <w:rPr>
          <w:color w:val="000000" w:themeColor="text1"/>
          <w:sz w:val="16"/>
          <w:szCs w:val="16"/>
          <w:lang w:val="en-US"/>
        </w:rPr>
        <w:t>“150,” inserted by Finance Act, 2014</w:t>
      </w:r>
    </w:p>
  </w:footnote>
  <w:footnote w:id="2195">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(39) omitted by the Finance Act, 2003. The omitted clause (39) read as follows:</w:t>
      </w:r>
    </w:p>
    <w:p w:rsidR="00BF2117" w:rsidRPr="0046671C" w:rsidRDefault="00BF2117" w:rsidP="00AA4BF8">
      <w:pPr>
        <w:widowControl w:val="0"/>
        <w:ind w:left="180"/>
        <w:jc w:val="both"/>
        <w:rPr>
          <w:sz w:val="16"/>
          <w:szCs w:val="16"/>
        </w:rPr>
      </w:pPr>
      <w:r w:rsidRPr="0046671C">
        <w:rPr>
          <w:sz w:val="16"/>
          <w:szCs w:val="16"/>
        </w:rPr>
        <w:t>“</w:t>
      </w:r>
      <w:r w:rsidRPr="0046671C">
        <w:rPr>
          <w:b/>
          <w:bCs/>
          <w:snapToGrid w:val="0"/>
          <w:sz w:val="16"/>
          <w:szCs w:val="16"/>
        </w:rPr>
        <w:t>(39)</w:t>
      </w:r>
      <w:r w:rsidRPr="0046671C">
        <w:rPr>
          <w:snapToGrid w:val="0"/>
          <w:sz w:val="16"/>
          <w:szCs w:val="16"/>
        </w:rPr>
        <w:t xml:space="preserve"> The provisions of section 151 shall not apply to a person who produces a certificate from the Commissioner of Income Tax concerned to the effect that his income during the income year is exempt from tax.”</w:t>
      </w:r>
    </w:p>
  </w:footnote>
  <w:footnote w:id="2196">
    <w:p w:rsidR="00BF2117" w:rsidRPr="0046671C" w:rsidRDefault="00BF2117" w:rsidP="00AA4BF8">
      <w:pPr>
        <w:pStyle w:val="FootnoteText"/>
        <w:keepNext/>
        <w:ind w:left="180" w:hanging="180"/>
        <w:jc w:val="both"/>
        <w:rPr>
          <w:sz w:val="16"/>
          <w:szCs w:val="16"/>
        </w:rPr>
      </w:pPr>
      <w:r w:rsidRPr="0046671C">
        <w:rPr>
          <w:rStyle w:val="FootnoteReference"/>
          <w:rFonts w:cs="Arial"/>
          <w:sz w:val="16"/>
          <w:szCs w:val="16"/>
        </w:rPr>
        <w:footnoteRef/>
      </w:r>
      <w:r w:rsidRPr="0046671C">
        <w:rPr>
          <w:sz w:val="16"/>
          <w:szCs w:val="16"/>
        </w:rPr>
        <w:t xml:space="preserve"> Clause (40 omitted by the Finance Act, 2005. The omitted clause (40) read as follows:</w:t>
      </w:r>
    </w:p>
    <w:p w:rsidR="00BF2117" w:rsidRPr="0046671C" w:rsidRDefault="00BF2117" w:rsidP="00AA4BF8">
      <w:pPr>
        <w:keepNext/>
        <w:widowControl w:val="0"/>
        <w:ind w:left="180"/>
        <w:jc w:val="both"/>
        <w:rPr>
          <w:snapToGrid w:val="0"/>
          <w:sz w:val="16"/>
          <w:szCs w:val="16"/>
        </w:rPr>
      </w:pPr>
      <w:r w:rsidRPr="0046671C">
        <w:rPr>
          <w:snapToGrid w:val="0"/>
          <w:sz w:val="16"/>
          <w:szCs w:val="16"/>
        </w:rPr>
        <w:t>“</w:t>
      </w:r>
      <w:r w:rsidRPr="0046671C">
        <w:rPr>
          <w:b/>
          <w:bCs/>
          <w:snapToGrid w:val="0"/>
          <w:sz w:val="16"/>
          <w:szCs w:val="16"/>
        </w:rPr>
        <w:t>(40)</w:t>
      </w:r>
      <w:r w:rsidRPr="0046671C">
        <w:rPr>
          <w:snapToGrid w:val="0"/>
          <w:sz w:val="16"/>
          <w:szCs w:val="16"/>
        </w:rPr>
        <w:tab/>
        <w:t xml:space="preserve"> The provisions of sub-section (6) of section 153in so far as they relate to payments on account of supply of goods from which tax is deductible under the said section shall not apply in respect of any person being a manufacturer of such goods, unless he opts for the presumptive tax regime:</w:t>
      </w:r>
    </w:p>
    <w:p w:rsidR="00BF2117" w:rsidRPr="0046671C" w:rsidRDefault="00BF2117" w:rsidP="00AA4BF8">
      <w:pPr>
        <w:keepNext/>
        <w:widowControl w:val="0"/>
        <w:ind w:left="180" w:firstLine="360"/>
        <w:jc w:val="both"/>
        <w:rPr>
          <w:snapToGrid w:val="0"/>
          <w:sz w:val="16"/>
          <w:szCs w:val="16"/>
        </w:rPr>
      </w:pPr>
      <w:r w:rsidRPr="0046671C">
        <w:rPr>
          <w:snapToGrid w:val="0"/>
          <w:sz w:val="16"/>
          <w:szCs w:val="16"/>
        </w:rPr>
        <w:t>Provided that a declaration of option is furnished in writing within three months of the commencement of the tax year and such declaration shall be irrevocable and shall remain in force for three years:</w:t>
      </w:r>
    </w:p>
    <w:p w:rsidR="00BF2117" w:rsidRDefault="00BF2117" w:rsidP="00AA4BF8">
      <w:pPr>
        <w:keepNext/>
        <w:widowControl w:val="0"/>
        <w:ind w:left="180" w:firstLine="360"/>
        <w:jc w:val="both"/>
      </w:pPr>
      <w:r w:rsidRPr="0046671C">
        <w:rPr>
          <w:snapToGrid w:val="0"/>
          <w:sz w:val="16"/>
          <w:szCs w:val="16"/>
        </w:rPr>
        <w:t>Provided further nothing contained in this clause shall apply to any manufacturer</w:t>
      </w:r>
      <w:r w:rsidRPr="00412620">
        <w:rPr>
          <w:snapToGrid w:val="0"/>
          <w:sz w:val="16"/>
          <w:szCs w:val="16"/>
        </w:rPr>
        <w:t xml:space="preserve"> of goods for which special rates of deduction of tax are specified under the repealed Ordinance.”</w:t>
      </w:r>
    </w:p>
  </w:footnote>
  <w:footnote w:id="2197">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The word and figure “section 153” substituted by the Finance Act, 2002.</w:t>
      </w:r>
    </w:p>
  </w:footnote>
  <w:footnote w:id="2198">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lang w:val="en-US"/>
        </w:rPr>
        <w:t>The brackets, words and figures “(7) of section 153” substituted by the Finance Act, 2006.</w:t>
      </w:r>
    </w:p>
  </w:footnote>
  <w:footnote w:id="2199">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The word “income” substituted by the Finance Act, 2003.</w:t>
      </w:r>
    </w:p>
  </w:footnote>
  <w:footnote w:id="2200">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(41A) omitted by Finance Act 2014. The omitted clause (41A) read as follows:</w:t>
      </w:r>
    </w:p>
    <w:p w:rsidR="00BF2117" w:rsidRPr="00F852EB" w:rsidRDefault="00BF2117" w:rsidP="00350470">
      <w:pPr>
        <w:jc w:val="both"/>
        <w:rPr>
          <w:color w:val="000000" w:themeColor="text1"/>
          <w:sz w:val="16"/>
          <w:szCs w:val="16"/>
        </w:rPr>
      </w:pPr>
      <w:r w:rsidRPr="00F852EB">
        <w:rPr>
          <w:color w:val="000000" w:themeColor="text1"/>
          <w:sz w:val="16"/>
          <w:szCs w:val="16"/>
          <w:lang w:val="en-US"/>
        </w:rPr>
        <w:t>“</w:t>
      </w:r>
      <w:r w:rsidRPr="00F852EB">
        <w:rPr>
          <w:b/>
          <w:color w:val="000000" w:themeColor="text1"/>
          <w:sz w:val="16"/>
          <w:szCs w:val="16"/>
        </w:rPr>
        <w:t>(41A)</w:t>
      </w:r>
      <w:r w:rsidRPr="00F852EB">
        <w:rPr>
          <w:color w:val="000000" w:themeColor="text1"/>
          <w:sz w:val="16"/>
          <w:szCs w:val="16"/>
        </w:rPr>
        <w:tab/>
        <w:t>The provisions of sub-section (7) of section 148 and clause (a) of sub-section (1) of section 169 shall not apply in respect of a person if he opts out of presumptive tax regime subject to the condition that minimum tax liability under normal tax regime shall not be less than 60% of tax already collected under sub-section (7) of section148.”</w:t>
      </w:r>
    </w:p>
    <w:p w:rsidR="00BF2117" w:rsidRPr="00F852EB" w:rsidRDefault="00BF2117" w:rsidP="00350470">
      <w:pPr>
        <w:jc w:val="both"/>
        <w:rPr>
          <w:color w:val="000000" w:themeColor="text1"/>
          <w:sz w:val="16"/>
          <w:szCs w:val="16"/>
        </w:rPr>
      </w:pPr>
      <w:r w:rsidRPr="00F852EB">
        <w:rPr>
          <w:color w:val="000000" w:themeColor="text1"/>
          <w:sz w:val="16"/>
          <w:szCs w:val="16"/>
        </w:rPr>
        <w:tab/>
        <w:t>Earlier Clause (41A) was omitted by the Finance Act, 2008. Which was inserted by S.R.O. 1130(I)/2005, dated 14.11.2005 and read as follows:</w:t>
      </w:r>
    </w:p>
    <w:p w:rsidR="00BF2117" w:rsidRPr="0046671C" w:rsidRDefault="00BF2117" w:rsidP="00CD6989">
      <w:pPr>
        <w:widowControl w:val="0"/>
        <w:ind w:left="270" w:hanging="90"/>
        <w:jc w:val="both"/>
        <w:rPr>
          <w:snapToGrid w:val="0"/>
          <w:sz w:val="16"/>
          <w:szCs w:val="16"/>
        </w:rPr>
      </w:pPr>
      <w:r w:rsidRPr="0046671C">
        <w:rPr>
          <w:sz w:val="16"/>
          <w:szCs w:val="16"/>
          <w:lang w:val="en-US"/>
        </w:rPr>
        <w:t>“</w:t>
      </w:r>
      <w:r w:rsidRPr="0046671C">
        <w:rPr>
          <w:b/>
          <w:bCs/>
          <w:snapToGrid w:val="0"/>
          <w:sz w:val="16"/>
          <w:szCs w:val="16"/>
        </w:rPr>
        <w:t xml:space="preserve">(41A) </w:t>
      </w:r>
      <w:r w:rsidRPr="0046671C">
        <w:rPr>
          <w:snapToGrid w:val="0"/>
          <w:sz w:val="16"/>
          <w:szCs w:val="16"/>
        </w:rPr>
        <w:t>Notwithstanding anything contained in the Finance Act, 2005 (VII of 2005), with respect to the omission of clause (40) of Part IV of the Second Schedule to this Ordinance, nothing in sub-section (6A) of Section 153 of this Ordinance shall apply to any person being a manufacturer, where declaration of option for the presumptive tax regime has been furnished and transactions pertaining to such option have been undertaken and completed on or before the 30th June, 2005:</w:t>
      </w:r>
    </w:p>
    <w:p w:rsidR="00BF2117" w:rsidRPr="0046671C" w:rsidRDefault="00BF2117" w:rsidP="00CD6989">
      <w:pPr>
        <w:jc w:val="both"/>
        <w:rPr>
          <w:color w:val="00B0F0"/>
          <w:sz w:val="16"/>
          <w:szCs w:val="16"/>
          <w:lang w:val="en-US"/>
        </w:rPr>
      </w:pPr>
      <w:r w:rsidRPr="0046671C">
        <w:rPr>
          <w:snapToGrid w:val="0"/>
          <w:sz w:val="16"/>
          <w:szCs w:val="16"/>
        </w:rPr>
        <w:tab/>
        <w:t>Provided that all declaration of options already furnished shall cease to have effect after the 30th June, 2005.”</w:t>
      </w:r>
    </w:p>
  </w:footnote>
  <w:footnote w:id="2201">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(41AA) omitted by Finance Act 2014. The omitted clause (41AA) read as follows:</w:t>
      </w:r>
    </w:p>
    <w:p w:rsidR="00BF2117" w:rsidRPr="00F852EB" w:rsidRDefault="00BF2117" w:rsidP="00350470">
      <w:pPr>
        <w:jc w:val="both"/>
        <w:rPr>
          <w:color w:val="000000" w:themeColor="text1"/>
          <w:sz w:val="16"/>
          <w:szCs w:val="16"/>
          <w:lang w:val="en-US"/>
        </w:rPr>
      </w:pPr>
      <w:r w:rsidRPr="00F852EB">
        <w:rPr>
          <w:color w:val="000000" w:themeColor="text1"/>
          <w:sz w:val="16"/>
          <w:szCs w:val="16"/>
          <w:lang w:val="en-US"/>
        </w:rPr>
        <w:t>“</w:t>
      </w:r>
      <w:r w:rsidRPr="00F852EB">
        <w:rPr>
          <w:b/>
          <w:color w:val="000000" w:themeColor="text1"/>
          <w:sz w:val="16"/>
          <w:szCs w:val="16"/>
        </w:rPr>
        <w:t>(41AA)</w:t>
      </w:r>
      <w:r w:rsidRPr="00F852EB">
        <w:rPr>
          <w:color w:val="000000" w:themeColor="text1"/>
          <w:sz w:val="16"/>
          <w:szCs w:val="16"/>
        </w:rPr>
        <w:t xml:space="preserve"> The provisions of sub-section (4) of section 154 and clause (b) of sub-section (1) of section 169 shall not apply in respect of a person if he opts out of presumptive tax regime subject to the condition that minimum tax liability under normal tax regime shall not be less than 50% of tax already deducted under sub-section (4) of section 154.”</w:t>
      </w:r>
    </w:p>
  </w:footnote>
  <w:footnote w:id="2202">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(41AAA) omitted by Finance Act 2014. The omitted clause (41AAA) read as follows:</w:t>
      </w:r>
    </w:p>
    <w:p w:rsidR="00BF2117" w:rsidRPr="00F852EB" w:rsidRDefault="00BF2117" w:rsidP="00350470">
      <w:pPr>
        <w:widowControl w:val="0"/>
        <w:jc w:val="both"/>
        <w:rPr>
          <w:color w:val="000000" w:themeColor="text1"/>
          <w:sz w:val="16"/>
          <w:szCs w:val="16"/>
          <w:lang w:val="en-US"/>
        </w:rPr>
      </w:pPr>
      <w:r w:rsidRPr="00F852EB">
        <w:rPr>
          <w:color w:val="000000" w:themeColor="text1"/>
          <w:sz w:val="16"/>
          <w:szCs w:val="16"/>
          <w:lang w:val="en-US"/>
        </w:rPr>
        <w:t>“</w:t>
      </w:r>
      <w:r w:rsidRPr="00F852EB">
        <w:rPr>
          <w:b/>
          <w:color w:val="000000" w:themeColor="text1"/>
          <w:sz w:val="16"/>
          <w:szCs w:val="16"/>
        </w:rPr>
        <w:t>(41AAA)</w:t>
      </w:r>
      <w:r w:rsidRPr="00F852EB">
        <w:rPr>
          <w:color w:val="000000" w:themeColor="text1"/>
          <w:sz w:val="16"/>
          <w:szCs w:val="16"/>
        </w:rPr>
        <w:t xml:space="preserve"> The provisions of clause (a) of sub-section (1) of section 153 and clause (b) of sub-section (1) of section 169 shall not apply in respect of a person if he opts out of presumptive tax regime subject to the condition that minimum tax liability under normal tax regime shall not be less than 70% of tax already deducted under clause (a) of sub-section (1) of section 153.”</w:t>
      </w:r>
    </w:p>
  </w:footnote>
  <w:footnote w:id="2203">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(41B) omitted by Finance Act 2014. The omitted clause (41B) read as follows:</w:t>
      </w:r>
    </w:p>
    <w:p w:rsidR="00BF2117" w:rsidRPr="00F852EB" w:rsidRDefault="00BF2117" w:rsidP="00AA4BF8">
      <w:pPr>
        <w:pStyle w:val="FootnoteText"/>
        <w:rPr>
          <w:color w:val="000000" w:themeColor="text1"/>
          <w:sz w:val="16"/>
          <w:szCs w:val="16"/>
          <w:lang w:val="en-US"/>
        </w:rPr>
      </w:pPr>
      <w:r w:rsidRPr="00F852EB">
        <w:rPr>
          <w:color w:val="000000" w:themeColor="text1"/>
          <w:sz w:val="16"/>
          <w:szCs w:val="16"/>
          <w:lang w:val="en-US"/>
        </w:rPr>
        <w:tab/>
        <w:t>“</w:t>
      </w:r>
      <w:r w:rsidRPr="00F852EB">
        <w:rPr>
          <w:b/>
          <w:bCs/>
          <w:snapToGrid w:val="0"/>
          <w:color w:val="000000" w:themeColor="text1"/>
          <w:sz w:val="16"/>
          <w:szCs w:val="16"/>
        </w:rPr>
        <w:t>(41B)</w:t>
      </w:r>
      <w:r w:rsidRPr="00F852EB">
        <w:rPr>
          <w:color w:val="000000" w:themeColor="text1"/>
          <w:sz w:val="16"/>
          <w:szCs w:val="16"/>
        </w:rPr>
        <w:t>The provisions of sub-section (2) of section 152 shall not apply in respect of payments to foreign news agencies, syndicate services and non-resident contributors, who have no permanent establishment in Pakistan”</w:t>
      </w:r>
    </w:p>
  </w:footnote>
  <w:footnote w:id="2204">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Substituted for the word and figure “section 153” by the Finance Act, 2002</w:t>
      </w:r>
    </w:p>
  </w:footnote>
  <w:footnote w:id="2205">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The brackets and figure (6) substituted by the Finance Act, 2011.</w:t>
      </w:r>
    </w:p>
  </w:footnote>
  <w:footnote w:id="2206">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Omitted by the Finance Act, 2008. The omitted clause (42A) read as follows:</w:t>
      </w:r>
    </w:p>
    <w:p w:rsidR="00BF2117" w:rsidRPr="0046671C" w:rsidRDefault="00BF2117" w:rsidP="00AA4BF8">
      <w:pPr>
        <w:widowControl w:val="0"/>
        <w:ind w:left="180"/>
        <w:jc w:val="both"/>
        <w:rPr>
          <w:sz w:val="16"/>
          <w:szCs w:val="16"/>
        </w:rPr>
      </w:pPr>
      <w:r w:rsidRPr="0046671C">
        <w:rPr>
          <w:sz w:val="16"/>
          <w:szCs w:val="16"/>
        </w:rPr>
        <w:t>“</w:t>
      </w:r>
      <w:r w:rsidRPr="0046671C">
        <w:rPr>
          <w:b/>
          <w:bCs/>
          <w:snapToGrid w:val="0"/>
          <w:sz w:val="16"/>
          <w:szCs w:val="16"/>
        </w:rPr>
        <w:t>(42A)</w:t>
      </w:r>
      <w:r w:rsidRPr="0046671C">
        <w:rPr>
          <w:snapToGrid w:val="0"/>
          <w:sz w:val="16"/>
          <w:szCs w:val="16"/>
        </w:rPr>
        <w:t xml:space="preserve"> The provisions of sub-section (6) of section 153 shall not apply in respect of payments received by a person for supply of relief goods for earthquake victims against funds from the President Relief Fund for Earthquake Victims, 2005, or any other such source of the Government or the purchases made by approved voluntary Non-Profit Organizations or welfare bodies for the aforesaid purpose.”</w:t>
      </w:r>
    </w:p>
  </w:footnote>
  <w:footnote w:id="2207">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(43) omitted by the Finance Act, 2004. The omitted clause (43) read as follows:</w:t>
      </w:r>
    </w:p>
    <w:p w:rsidR="00BF2117" w:rsidRPr="0046671C" w:rsidRDefault="00BF2117" w:rsidP="000B31FA">
      <w:pPr>
        <w:keepNext/>
        <w:widowControl w:val="0"/>
        <w:ind w:left="180"/>
        <w:jc w:val="both"/>
        <w:rPr>
          <w:sz w:val="16"/>
          <w:szCs w:val="16"/>
        </w:rPr>
      </w:pPr>
      <w:r w:rsidRPr="0046671C">
        <w:rPr>
          <w:b/>
          <w:bCs/>
          <w:snapToGrid w:val="0"/>
          <w:sz w:val="16"/>
          <w:szCs w:val="16"/>
        </w:rPr>
        <w:t>“(43)</w:t>
      </w:r>
      <w:r w:rsidRPr="0046671C">
        <w:rPr>
          <w:snapToGrid w:val="0"/>
          <w:sz w:val="16"/>
          <w:szCs w:val="16"/>
        </w:rPr>
        <w:tab/>
        <w:t xml:space="preserve">The provisions </w:t>
      </w:r>
      <w:r w:rsidRPr="0046671C">
        <w:rPr>
          <w:sz w:val="16"/>
          <w:szCs w:val="16"/>
        </w:rPr>
        <w:t xml:space="preserve">of </w:t>
      </w:r>
      <w:r w:rsidRPr="0046671C">
        <w:rPr>
          <w:snapToGrid w:val="0"/>
          <w:sz w:val="16"/>
          <w:szCs w:val="16"/>
        </w:rPr>
        <w:t>sub-section (1) of section 153shall not apply to payments received by Pak-Arab Refinery Limited on account of supply of its products.”</w:t>
      </w:r>
    </w:p>
  </w:footnote>
  <w:footnote w:id="2208">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(43A) substituted by the Finance Act, 2003. The substituted clause (43A) read as follows:</w:t>
      </w:r>
    </w:p>
    <w:p w:rsidR="00BF2117" w:rsidRPr="0046671C" w:rsidRDefault="00BF2117" w:rsidP="00AA4BF8">
      <w:pPr>
        <w:pStyle w:val="FootnoteText"/>
        <w:ind w:left="180" w:firstLine="0"/>
        <w:rPr>
          <w:sz w:val="16"/>
          <w:szCs w:val="16"/>
        </w:rPr>
      </w:pPr>
      <w:r w:rsidRPr="0046671C">
        <w:rPr>
          <w:snapToGrid w:val="0"/>
          <w:sz w:val="16"/>
          <w:szCs w:val="16"/>
        </w:rPr>
        <w:t>“</w:t>
      </w:r>
      <w:r w:rsidRPr="0046671C">
        <w:rPr>
          <w:b/>
          <w:bCs/>
          <w:snapToGrid w:val="0"/>
          <w:sz w:val="16"/>
          <w:szCs w:val="16"/>
        </w:rPr>
        <w:t xml:space="preserve">(43A) </w:t>
      </w:r>
      <w:r w:rsidRPr="0046671C">
        <w:rPr>
          <w:snapToGrid w:val="0"/>
          <w:sz w:val="16"/>
          <w:szCs w:val="16"/>
        </w:rPr>
        <w:t>The provisions of section 153, shall not apply to payments received by M/s Total PARCO Pakistan Limited for the supply of petroleum products.”</w:t>
      </w:r>
    </w:p>
  </w:footnote>
  <w:footnote w:id="2209">
    <w:p w:rsidR="00BF2117" w:rsidRPr="0046671C" w:rsidRDefault="00BF2117" w:rsidP="00AA4BF8">
      <w:pPr>
        <w:pStyle w:val="FootnoteText"/>
        <w:ind w:left="180" w:hanging="180"/>
        <w:jc w:val="both"/>
        <w:rPr>
          <w:sz w:val="16"/>
          <w:szCs w:val="16"/>
        </w:rPr>
      </w:pPr>
      <w:r w:rsidRPr="0046671C">
        <w:rPr>
          <w:rStyle w:val="FootnoteReference"/>
          <w:rFonts w:cs="Arial"/>
          <w:sz w:val="16"/>
          <w:szCs w:val="16"/>
        </w:rPr>
        <w:footnoteRef/>
      </w:r>
      <w:r w:rsidRPr="0046671C">
        <w:rPr>
          <w:sz w:val="16"/>
          <w:szCs w:val="16"/>
        </w:rPr>
        <w:t xml:space="preserve"> The words and brackets “including Permanent Establishment of Non-resident Petroleum Exploration and Production (E&amp;P) Companies” omitted by the Finance Act, 2008.</w:t>
      </w:r>
    </w:p>
  </w:footnote>
  <w:footnote w:id="2210">
    <w:p w:rsidR="00BF2117" w:rsidRPr="0046671C" w:rsidRDefault="00BF2117" w:rsidP="00F01817">
      <w:pPr>
        <w:pStyle w:val="FootnoteText"/>
        <w:ind w:left="180" w:hanging="180"/>
        <w:rPr>
          <w:sz w:val="16"/>
          <w:szCs w:val="16"/>
        </w:rPr>
      </w:pPr>
      <w:r w:rsidRPr="0046671C">
        <w:rPr>
          <w:rStyle w:val="FootnoteReference"/>
          <w:rFonts w:cs="Arial"/>
          <w:sz w:val="16"/>
          <w:szCs w:val="16"/>
        </w:rPr>
        <w:footnoteRef/>
      </w:r>
      <w:r w:rsidRPr="0046671C">
        <w:rPr>
          <w:sz w:val="16"/>
          <w:szCs w:val="16"/>
        </w:rPr>
        <w:t xml:space="preserve"> Inserted by the Finance Act, 2007. Earlier it was omitted vide Finance Act, 2003 which read as follows: </w:t>
      </w:r>
    </w:p>
    <w:p w:rsidR="00BF2117" w:rsidRPr="0046671C" w:rsidRDefault="00BF2117" w:rsidP="00F01817">
      <w:pPr>
        <w:pStyle w:val="FootnoteText"/>
        <w:ind w:left="180" w:hanging="180"/>
        <w:rPr>
          <w:sz w:val="16"/>
          <w:szCs w:val="16"/>
        </w:rPr>
      </w:pPr>
      <w:r w:rsidRPr="0046671C">
        <w:rPr>
          <w:sz w:val="16"/>
          <w:szCs w:val="16"/>
        </w:rPr>
        <w:tab/>
        <w:t>“</w:t>
      </w:r>
      <w:r w:rsidRPr="0046671C">
        <w:rPr>
          <w:b/>
          <w:bCs/>
          <w:snapToGrid w:val="0"/>
          <w:sz w:val="16"/>
          <w:szCs w:val="16"/>
        </w:rPr>
        <w:t>(43B)</w:t>
      </w:r>
      <w:r w:rsidRPr="0046671C">
        <w:rPr>
          <w:snapToGrid w:val="0"/>
          <w:sz w:val="16"/>
          <w:szCs w:val="16"/>
        </w:rPr>
        <w:t xml:space="preserve"> The provisions of section 153 shall not apply to the payments received by Al Rahim Trading Co. (Pvt) Limited, Karachi for the supply of petroleum products.”</w:t>
      </w:r>
    </w:p>
  </w:footnote>
  <w:footnote w:id="2211">
    <w:p w:rsidR="00BF2117" w:rsidRPr="0046671C" w:rsidRDefault="00BF2117" w:rsidP="000B31FA">
      <w:pPr>
        <w:pStyle w:val="FootnoteText"/>
        <w:keepNext/>
        <w:ind w:left="180" w:hanging="180"/>
        <w:jc w:val="both"/>
        <w:rPr>
          <w:sz w:val="16"/>
          <w:szCs w:val="16"/>
        </w:rPr>
      </w:pPr>
      <w:r w:rsidRPr="0046671C">
        <w:rPr>
          <w:rStyle w:val="FootnoteReference"/>
          <w:rFonts w:cs="Arial"/>
          <w:sz w:val="16"/>
          <w:szCs w:val="16"/>
        </w:rPr>
        <w:footnoteRef/>
      </w:r>
      <w:r w:rsidRPr="0046671C">
        <w:rPr>
          <w:sz w:val="16"/>
          <w:szCs w:val="16"/>
        </w:rPr>
        <w:t xml:space="preserve"> Added by S.R.O. 57(I)/2012, dated 24.01.2012. Earlier it was inserted by S.R.O. 961(I)/2002, dated 23.12.2002 and then omitted by the Finance Act, 2003. The omitted clause (43C) read as follows:</w:t>
      </w:r>
    </w:p>
    <w:p w:rsidR="00BF2117" w:rsidRPr="0046671C" w:rsidRDefault="00BF2117" w:rsidP="000B31FA">
      <w:pPr>
        <w:widowControl w:val="0"/>
        <w:ind w:left="180"/>
        <w:jc w:val="both"/>
        <w:rPr>
          <w:sz w:val="16"/>
          <w:szCs w:val="16"/>
        </w:rPr>
      </w:pPr>
      <w:r w:rsidRPr="0046671C">
        <w:rPr>
          <w:sz w:val="16"/>
          <w:szCs w:val="16"/>
        </w:rPr>
        <w:t>“</w:t>
      </w:r>
      <w:r w:rsidRPr="0046671C">
        <w:rPr>
          <w:b/>
          <w:bCs/>
          <w:snapToGrid w:val="0"/>
          <w:sz w:val="16"/>
          <w:szCs w:val="16"/>
        </w:rPr>
        <w:t>(43C)</w:t>
      </w:r>
      <w:r w:rsidRPr="0046671C">
        <w:rPr>
          <w:snapToGrid w:val="0"/>
          <w:sz w:val="16"/>
          <w:szCs w:val="16"/>
        </w:rPr>
        <w:t xml:space="preserve"> The provisions of section 153 shall not apply to the payments received by Hascombe Storage (PVT) Limited, Karachi, for the supply of petroleum products.”</w:t>
      </w:r>
    </w:p>
  </w:footnote>
  <w:footnote w:id="2212">
    <w:p w:rsidR="00BF2117" w:rsidRPr="0046671C" w:rsidRDefault="00BF2117" w:rsidP="000B31FA">
      <w:pPr>
        <w:pStyle w:val="FootnoteText"/>
        <w:keepNext/>
        <w:ind w:left="180" w:hanging="180"/>
        <w:jc w:val="both"/>
        <w:rPr>
          <w:sz w:val="16"/>
          <w:szCs w:val="16"/>
        </w:rPr>
      </w:pPr>
      <w:r w:rsidRPr="0046671C">
        <w:rPr>
          <w:rStyle w:val="FootnoteReference"/>
          <w:rFonts w:cs="Arial"/>
          <w:sz w:val="16"/>
          <w:szCs w:val="16"/>
        </w:rPr>
        <w:footnoteRef/>
      </w:r>
      <w:r w:rsidRPr="0046671C">
        <w:rPr>
          <w:sz w:val="16"/>
          <w:szCs w:val="16"/>
        </w:rPr>
        <w:t xml:space="preserve"> Inserted by S.R.O. 126(I)/2013, dated 13.02.2013. Earlier it was inserted by S.R.O. 253(I)/2003, dated 07.03.2003 and then omitted by the Finance Act, 2003. The omitted clause (43D) read as follows:</w:t>
      </w:r>
    </w:p>
    <w:p w:rsidR="00BF2117" w:rsidRPr="0046671C" w:rsidRDefault="00BF2117" w:rsidP="000B31FA">
      <w:pPr>
        <w:widowControl w:val="0"/>
        <w:ind w:left="180"/>
        <w:jc w:val="both"/>
        <w:rPr>
          <w:sz w:val="16"/>
          <w:szCs w:val="16"/>
        </w:rPr>
      </w:pPr>
      <w:r w:rsidRPr="0046671C">
        <w:rPr>
          <w:sz w:val="16"/>
          <w:szCs w:val="16"/>
        </w:rPr>
        <w:t>“</w:t>
      </w:r>
      <w:r w:rsidRPr="0046671C">
        <w:rPr>
          <w:b/>
          <w:bCs/>
          <w:snapToGrid w:val="0"/>
          <w:sz w:val="16"/>
          <w:szCs w:val="16"/>
        </w:rPr>
        <w:t>(43D)</w:t>
      </w:r>
      <w:r w:rsidRPr="0046671C">
        <w:rPr>
          <w:snapToGrid w:val="0"/>
          <w:sz w:val="16"/>
          <w:szCs w:val="16"/>
        </w:rPr>
        <w:t xml:space="preserve"> The provisions of section 153 shall not apply to the payments received by M/s. Overseas Trading Corporation, Karachi, for the supply of petroleum products.”</w:t>
      </w:r>
    </w:p>
    <w:p w:rsidR="00BF2117" w:rsidRPr="0046671C" w:rsidRDefault="00BF2117" w:rsidP="00AA4BF8">
      <w:pPr>
        <w:pStyle w:val="FootnoteText"/>
        <w:rPr>
          <w:sz w:val="16"/>
          <w:szCs w:val="16"/>
        </w:rPr>
      </w:pPr>
    </w:p>
  </w:footnote>
  <w:footnote w:id="2213">
    <w:p w:rsidR="00BF2117" w:rsidRPr="0046671C" w:rsidRDefault="00BF2117" w:rsidP="000B31FA">
      <w:pPr>
        <w:pStyle w:val="FootnoteText"/>
        <w:keepNext/>
        <w:ind w:left="180" w:hanging="180"/>
        <w:rPr>
          <w:sz w:val="16"/>
          <w:szCs w:val="16"/>
        </w:rPr>
      </w:pPr>
      <w:r w:rsidRPr="0046671C">
        <w:rPr>
          <w:rStyle w:val="FootnoteReference"/>
          <w:sz w:val="16"/>
          <w:szCs w:val="16"/>
        </w:rPr>
        <w:footnoteRef/>
      </w:r>
      <w:r w:rsidRPr="0046671C">
        <w:rPr>
          <w:sz w:val="16"/>
          <w:szCs w:val="16"/>
          <w:lang w:val="en-US"/>
        </w:rPr>
        <w:t xml:space="preserve">Inserted by S.R.O 980(I)/2013, dated 18.11.2013. Earlier it was inserted by </w:t>
      </w:r>
      <w:r w:rsidRPr="0046671C">
        <w:rPr>
          <w:sz w:val="16"/>
          <w:szCs w:val="16"/>
        </w:rPr>
        <w:t>S.R.O. 408(I)/2003, dated 08.05.2003 and then omitted by the Finance Act, 2003. The omitted clause (43E) read as follows:</w:t>
      </w:r>
    </w:p>
    <w:p w:rsidR="00BF2117" w:rsidRPr="0046671C" w:rsidRDefault="00BF2117" w:rsidP="009B1544">
      <w:pPr>
        <w:widowControl w:val="0"/>
        <w:ind w:left="180"/>
        <w:jc w:val="both"/>
        <w:rPr>
          <w:sz w:val="16"/>
          <w:szCs w:val="16"/>
          <w:lang w:val="en-US"/>
        </w:rPr>
      </w:pPr>
      <w:r w:rsidRPr="0046671C">
        <w:rPr>
          <w:sz w:val="16"/>
          <w:szCs w:val="16"/>
        </w:rPr>
        <w:t>“</w:t>
      </w:r>
      <w:r w:rsidRPr="0046671C">
        <w:rPr>
          <w:b/>
          <w:bCs/>
          <w:snapToGrid w:val="0"/>
          <w:sz w:val="16"/>
          <w:szCs w:val="16"/>
        </w:rPr>
        <w:t>(43E)</w:t>
      </w:r>
      <w:r w:rsidRPr="0046671C">
        <w:rPr>
          <w:snapToGrid w:val="0"/>
          <w:sz w:val="16"/>
          <w:szCs w:val="16"/>
        </w:rPr>
        <w:t xml:space="preserve"> The provisions of section 153 shall not apply to the payments received by M/s. ICI Pakistan Limited, for the supply of petroleum products.”</w:t>
      </w:r>
    </w:p>
  </w:footnote>
  <w:footnote w:id="2214">
    <w:p w:rsidR="00BF2117" w:rsidRPr="0046671C" w:rsidRDefault="00BF2117" w:rsidP="00AA4BF8">
      <w:pPr>
        <w:pStyle w:val="FootnoteText"/>
        <w:keepNext/>
        <w:rPr>
          <w:sz w:val="16"/>
          <w:szCs w:val="16"/>
        </w:rPr>
      </w:pPr>
      <w:r w:rsidRPr="0046671C">
        <w:rPr>
          <w:rStyle w:val="FootnoteReference"/>
          <w:rFonts w:cs="Arial"/>
          <w:sz w:val="16"/>
          <w:szCs w:val="16"/>
        </w:rPr>
        <w:footnoteRef/>
      </w:r>
      <w:r w:rsidRPr="0046671C">
        <w:rPr>
          <w:sz w:val="16"/>
          <w:szCs w:val="16"/>
        </w:rPr>
        <w:t xml:space="preserve"> Clause (44) omitted by the Finance Act, 2005. The omitted clause (44) read as follows:</w:t>
      </w:r>
    </w:p>
    <w:p w:rsidR="00BF2117" w:rsidRPr="0046671C" w:rsidRDefault="00BF2117" w:rsidP="00AA4BF8">
      <w:pPr>
        <w:keepNext/>
        <w:widowControl w:val="0"/>
        <w:ind w:left="180"/>
        <w:jc w:val="both"/>
        <w:rPr>
          <w:sz w:val="16"/>
          <w:szCs w:val="16"/>
        </w:rPr>
      </w:pPr>
      <w:r w:rsidRPr="0046671C">
        <w:rPr>
          <w:snapToGrid w:val="0"/>
          <w:sz w:val="16"/>
          <w:szCs w:val="16"/>
        </w:rPr>
        <w:t>“</w:t>
      </w:r>
      <w:r w:rsidRPr="0046671C">
        <w:rPr>
          <w:b/>
          <w:bCs/>
          <w:snapToGrid w:val="0"/>
          <w:sz w:val="16"/>
          <w:szCs w:val="16"/>
        </w:rPr>
        <w:t>(44)</w:t>
      </w:r>
      <w:r w:rsidRPr="0046671C">
        <w:rPr>
          <w:snapToGrid w:val="0"/>
          <w:sz w:val="16"/>
          <w:szCs w:val="16"/>
        </w:rPr>
        <w:tab/>
        <w:t xml:space="preserve">The provisions of </w:t>
      </w:r>
      <w:r w:rsidRPr="0046671C">
        <w:rPr>
          <w:sz w:val="16"/>
          <w:szCs w:val="16"/>
        </w:rPr>
        <w:t xml:space="preserve">section </w:t>
      </w:r>
      <w:r w:rsidRPr="0046671C">
        <w:rPr>
          <w:snapToGrid w:val="0"/>
          <w:sz w:val="16"/>
          <w:szCs w:val="16"/>
        </w:rPr>
        <w:t>148shall not apply to an indirect exporter as defined in the Duty and Tax Remission for Export Rules, 2001 issued under Notification No. S.R.O. 185(I)/2001, dated the 21</w:t>
      </w:r>
      <w:r w:rsidRPr="0046671C">
        <w:rPr>
          <w:snapToGrid w:val="0"/>
          <w:sz w:val="16"/>
          <w:szCs w:val="16"/>
          <w:vertAlign w:val="superscript"/>
        </w:rPr>
        <w:t>st</w:t>
      </w:r>
      <w:r w:rsidRPr="0046671C">
        <w:rPr>
          <w:snapToGrid w:val="0"/>
          <w:sz w:val="16"/>
          <w:szCs w:val="16"/>
        </w:rPr>
        <w:t xml:space="preserve"> March 2001.”</w:t>
      </w:r>
    </w:p>
  </w:footnote>
  <w:footnote w:id="2215">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The word and figure “section 153” substituted by the Finance Act, 2002.</w:t>
      </w:r>
    </w:p>
  </w:footnote>
  <w:footnote w:id="2216">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The brackets and figure “(6)” substituted by the Finance Act, 2003.</w:t>
      </w:r>
    </w:p>
  </w:footnote>
  <w:footnote w:id="2217">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The words “a payer” substituted by the Finance Act, 2003.</w:t>
      </w:r>
    </w:p>
  </w:footnote>
  <w:footnote w:id="2218">
    <w:p w:rsidR="00BF2117" w:rsidRPr="0046671C" w:rsidRDefault="00BF2117" w:rsidP="00AA4BF8">
      <w:pPr>
        <w:pStyle w:val="FootnoteText"/>
        <w:rPr>
          <w:sz w:val="16"/>
          <w:szCs w:val="16"/>
        </w:rPr>
      </w:pPr>
      <w:r w:rsidRPr="0046671C">
        <w:rPr>
          <w:rStyle w:val="FootnoteReference"/>
          <w:rFonts w:cs="Arial"/>
          <w:sz w:val="16"/>
          <w:szCs w:val="16"/>
        </w:rPr>
        <w:footnoteRef/>
      </w:r>
      <w:r w:rsidRPr="0046671C">
        <w:rPr>
          <w:sz w:val="16"/>
          <w:szCs w:val="16"/>
        </w:rPr>
        <w:t xml:space="preserve"> Substituted for the words “in exercise” by the Finance Act, 2003.</w:t>
      </w:r>
    </w:p>
  </w:footnote>
  <w:footnote w:id="2219">
    <w:p w:rsidR="00BF2117" w:rsidRPr="00F9084A" w:rsidRDefault="00BF2117" w:rsidP="00AA4BF8">
      <w:pPr>
        <w:pStyle w:val="FootnoteText"/>
        <w:ind w:left="180" w:hanging="180"/>
        <w:jc w:val="both"/>
        <w:rPr>
          <w:sz w:val="16"/>
          <w:szCs w:val="16"/>
          <w:lang w:val="en-US"/>
        </w:rPr>
      </w:pPr>
      <w:r w:rsidRPr="00F9084A">
        <w:rPr>
          <w:rStyle w:val="FootnoteReference"/>
          <w:rFonts w:cs="Arial"/>
          <w:sz w:val="16"/>
          <w:szCs w:val="16"/>
        </w:rPr>
        <w:footnoteRef/>
      </w:r>
      <w:r w:rsidRPr="00F9084A">
        <w:rPr>
          <w:sz w:val="16"/>
          <w:szCs w:val="16"/>
          <w:lang w:val="en-US"/>
        </w:rPr>
        <w:t>Clause (45A) substituted by S.R.O. 333(I)/2011, dated 02.05.2011. The substituted clause (45A) read as follows:</w:t>
      </w:r>
    </w:p>
    <w:p w:rsidR="00BF2117" w:rsidRPr="00F9084A" w:rsidRDefault="00BF2117" w:rsidP="00AA4BF8">
      <w:pPr>
        <w:widowControl w:val="0"/>
        <w:ind w:left="180"/>
        <w:jc w:val="both"/>
        <w:rPr>
          <w:b/>
          <w:bCs/>
          <w:snapToGrid w:val="0"/>
          <w:sz w:val="16"/>
          <w:szCs w:val="16"/>
        </w:rPr>
      </w:pPr>
      <w:r w:rsidRPr="00F9084A">
        <w:rPr>
          <w:sz w:val="16"/>
          <w:szCs w:val="16"/>
          <w:lang w:val="en-US"/>
        </w:rPr>
        <w:t>“</w:t>
      </w:r>
      <w:r w:rsidRPr="00F9084A">
        <w:rPr>
          <w:b/>
          <w:bCs/>
          <w:snapToGrid w:val="0"/>
          <w:sz w:val="16"/>
          <w:szCs w:val="16"/>
        </w:rPr>
        <w:t>(45A)</w:t>
      </w:r>
    </w:p>
    <w:p w:rsidR="00BF2117" w:rsidRPr="00F9084A" w:rsidRDefault="00BF2117" w:rsidP="00AA4BF8">
      <w:pPr>
        <w:widowControl w:val="0"/>
        <w:ind w:left="1634" w:hanging="540"/>
        <w:jc w:val="both"/>
        <w:rPr>
          <w:snapToGrid w:val="0"/>
          <w:sz w:val="16"/>
          <w:szCs w:val="16"/>
        </w:rPr>
      </w:pPr>
      <w:r w:rsidRPr="00F9084A">
        <w:rPr>
          <w:snapToGrid w:val="0"/>
          <w:sz w:val="16"/>
          <w:szCs w:val="16"/>
        </w:rPr>
        <w:t xml:space="preserve">(a) </w:t>
      </w:r>
      <w:r w:rsidRPr="00F9084A">
        <w:rPr>
          <w:snapToGrid w:val="0"/>
          <w:sz w:val="16"/>
          <w:szCs w:val="16"/>
        </w:rPr>
        <w:tab/>
        <w:t xml:space="preserve">The rate of deduction of withholding tax under clauses </w:t>
      </w:r>
      <w:r w:rsidRPr="00F9084A">
        <w:rPr>
          <w:snapToGrid w:val="0"/>
          <w:sz w:val="16"/>
          <w:szCs w:val="16"/>
        </w:rPr>
        <w:tab/>
        <w:t xml:space="preserve">(a) and (b) of sub-section (1) of section 153 shall be one </w:t>
      </w:r>
      <w:r w:rsidRPr="00F9084A">
        <w:rPr>
          <w:snapToGrid w:val="0"/>
          <w:sz w:val="16"/>
          <w:szCs w:val="16"/>
        </w:rPr>
        <w:tab/>
        <w:t xml:space="preserve">per cent on local sales, supplies or services made or </w:t>
      </w:r>
      <w:r w:rsidRPr="00F9084A">
        <w:rPr>
          <w:snapToGrid w:val="0"/>
          <w:sz w:val="16"/>
          <w:szCs w:val="16"/>
        </w:rPr>
        <w:tab/>
        <w:t>rendered to the following categories of sales tax zero-</w:t>
      </w:r>
      <w:r w:rsidRPr="00F9084A">
        <w:rPr>
          <w:snapToGrid w:val="0"/>
          <w:sz w:val="16"/>
          <w:szCs w:val="16"/>
        </w:rPr>
        <w:tab/>
        <w:t>rated taxpayers, namely:—</w:t>
      </w:r>
    </w:p>
    <w:p w:rsidR="00BF2117" w:rsidRPr="00F9084A" w:rsidRDefault="00BF2117" w:rsidP="00AA4BF8">
      <w:pPr>
        <w:widowControl w:val="0"/>
        <w:jc w:val="both"/>
        <w:rPr>
          <w:snapToGrid w:val="0"/>
          <w:sz w:val="16"/>
          <w:szCs w:val="16"/>
        </w:rPr>
      </w:pPr>
      <w:r w:rsidRPr="00F9084A">
        <w:rPr>
          <w:snapToGrid w:val="0"/>
          <w:sz w:val="16"/>
          <w:szCs w:val="16"/>
        </w:rPr>
        <w:tab/>
      </w:r>
      <w:r w:rsidRPr="00F9084A">
        <w:rPr>
          <w:snapToGrid w:val="0"/>
          <w:sz w:val="16"/>
          <w:szCs w:val="16"/>
        </w:rPr>
        <w:tab/>
      </w:r>
      <w:r w:rsidRPr="00F9084A">
        <w:rPr>
          <w:snapToGrid w:val="0"/>
          <w:sz w:val="16"/>
          <w:szCs w:val="16"/>
        </w:rPr>
        <w:tab/>
        <w:t xml:space="preserve">(i) </w:t>
      </w:r>
      <w:r w:rsidRPr="00F9084A">
        <w:rPr>
          <w:snapToGrid w:val="0"/>
          <w:sz w:val="16"/>
          <w:szCs w:val="16"/>
        </w:rPr>
        <w:tab/>
        <w:t>textile and articles thereof;</w:t>
      </w:r>
    </w:p>
    <w:p w:rsidR="00BF2117" w:rsidRPr="00F9084A" w:rsidRDefault="00BF2117" w:rsidP="00AA4BF8">
      <w:pPr>
        <w:widowControl w:val="0"/>
        <w:jc w:val="both"/>
        <w:rPr>
          <w:snapToGrid w:val="0"/>
          <w:sz w:val="16"/>
          <w:szCs w:val="16"/>
        </w:rPr>
      </w:pPr>
      <w:r w:rsidRPr="00F9084A">
        <w:rPr>
          <w:snapToGrid w:val="0"/>
          <w:sz w:val="16"/>
          <w:szCs w:val="16"/>
        </w:rPr>
        <w:tab/>
      </w:r>
      <w:r w:rsidRPr="00F9084A">
        <w:rPr>
          <w:snapToGrid w:val="0"/>
          <w:sz w:val="16"/>
          <w:szCs w:val="16"/>
        </w:rPr>
        <w:tab/>
      </w:r>
      <w:r w:rsidRPr="00F9084A">
        <w:rPr>
          <w:snapToGrid w:val="0"/>
          <w:sz w:val="16"/>
          <w:szCs w:val="16"/>
        </w:rPr>
        <w:tab/>
        <w:t xml:space="preserve">(ii) </w:t>
      </w:r>
      <w:r w:rsidRPr="00F9084A">
        <w:rPr>
          <w:snapToGrid w:val="0"/>
          <w:sz w:val="16"/>
          <w:szCs w:val="16"/>
        </w:rPr>
        <w:tab/>
        <w:t>carpets;</w:t>
      </w:r>
    </w:p>
    <w:p w:rsidR="00BF2117" w:rsidRPr="00F9084A" w:rsidRDefault="00BF2117" w:rsidP="00AA4BF8">
      <w:pPr>
        <w:widowControl w:val="0"/>
        <w:ind w:left="2188" w:hanging="553"/>
        <w:jc w:val="both"/>
        <w:rPr>
          <w:snapToGrid w:val="0"/>
          <w:sz w:val="16"/>
          <w:szCs w:val="16"/>
        </w:rPr>
      </w:pPr>
      <w:r w:rsidRPr="00F9084A">
        <w:rPr>
          <w:snapToGrid w:val="0"/>
          <w:sz w:val="16"/>
          <w:szCs w:val="16"/>
        </w:rPr>
        <w:t xml:space="preserve">(iii) </w:t>
      </w:r>
      <w:r w:rsidRPr="00F9084A">
        <w:rPr>
          <w:snapToGrid w:val="0"/>
          <w:sz w:val="16"/>
          <w:szCs w:val="16"/>
        </w:rPr>
        <w:tab/>
        <w:t>leather and articles thereof including artificial leather footwear;</w:t>
      </w:r>
    </w:p>
    <w:p w:rsidR="00BF2117" w:rsidRPr="00F9084A" w:rsidRDefault="00BF2117" w:rsidP="00AA4BF8">
      <w:pPr>
        <w:widowControl w:val="0"/>
        <w:jc w:val="both"/>
        <w:rPr>
          <w:snapToGrid w:val="0"/>
          <w:sz w:val="16"/>
          <w:szCs w:val="16"/>
        </w:rPr>
      </w:pPr>
      <w:r w:rsidRPr="00F9084A">
        <w:rPr>
          <w:snapToGrid w:val="0"/>
          <w:sz w:val="16"/>
          <w:szCs w:val="16"/>
        </w:rPr>
        <w:tab/>
      </w:r>
      <w:r w:rsidRPr="00F9084A">
        <w:rPr>
          <w:snapToGrid w:val="0"/>
          <w:sz w:val="16"/>
          <w:szCs w:val="16"/>
        </w:rPr>
        <w:tab/>
      </w:r>
      <w:r w:rsidRPr="00F9084A">
        <w:rPr>
          <w:snapToGrid w:val="0"/>
          <w:sz w:val="16"/>
          <w:szCs w:val="16"/>
        </w:rPr>
        <w:tab/>
        <w:t xml:space="preserve">(iv) </w:t>
      </w:r>
      <w:r w:rsidRPr="00F9084A">
        <w:rPr>
          <w:snapToGrid w:val="0"/>
          <w:sz w:val="16"/>
          <w:szCs w:val="16"/>
        </w:rPr>
        <w:tab/>
        <w:t>surgical goods; and</w:t>
      </w:r>
    </w:p>
    <w:p w:rsidR="00BF2117" w:rsidRPr="00F9084A" w:rsidRDefault="00BF2117" w:rsidP="00AA4BF8">
      <w:pPr>
        <w:widowControl w:val="0"/>
        <w:jc w:val="both"/>
        <w:rPr>
          <w:b/>
          <w:bCs/>
          <w:snapToGrid w:val="0"/>
          <w:sz w:val="16"/>
          <w:szCs w:val="16"/>
        </w:rPr>
      </w:pPr>
      <w:r w:rsidRPr="00F9084A">
        <w:rPr>
          <w:snapToGrid w:val="0"/>
          <w:sz w:val="16"/>
          <w:szCs w:val="16"/>
        </w:rPr>
        <w:tab/>
      </w:r>
      <w:r w:rsidRPr="00F9084A">
        <w:rPr>
          <w:snapToGrid w:val="0"/>
          <w:sz w:val="16"/>
          <w:szCs w:val="16"/>
        </w:rPr>
        <w:tab/>
      </w:r>
      <w:r w:rsidRPr="00F9084A">
        <w:rPr>
          <w:snapToGrid w:val="0"/>
          <w:sz w:val="16"/>
          <w:szCs w:val="16"/>
        </w:rPr>
        <w:tab/>
        <w:t xml:space="preserve">(v) </w:t>
      </w:r>
      <w:r w:rsidRPr="00F9084A">
        <w:rPr>
          <w:snapToGrid w:val="0"/>
          <w:sz w:val="16"/>
          <w:szCs w:val="16"/>
        </w:rPr>
        <w:tab/>
        <w:t>sports goods;</w:t>
      </w:r>
    </w:p>
    <w:p w:rsidR="00BF2117" w:rsidRPr="00412620" w:rsidRDefault="00BF2117" w:rsidP="00AA4BF8">
      <w:pPr>
        <w:widowControl w:val="0"/>
        <w:ind w:left="1641" w:hanging="546"/>
        <w:jc w:val="both"/>
        <w:rPr>
          <w:snapToGrid w:val="0"/>
          <w:sz w:val="16"/>
          <w:szCs w:val="16"/>
        </w:rPr>
      </w:pPr>
      <w:r w:rsidRPr="00F9084A">
        <w:rPr>
          <w:snapToGrid w:val="0"/>
          <w:sz w:val="16"/>
          <w:szCs w:val="16"/>
        </w:rPr>
        <w:t xml:space="preserve">(b) </w:t>
      </w:r>
      <w:r w:rsidRPr="00F9084A">
        <w:rPr>
          <w:snapToGrid w:val="0"/>
          <w:sz w:val="16"/>
          <w:szCs w:val="16"/>
        </w:rPr>
        <w:tab/>
        <w:t>provisions of clause (a) of sub-section (1) of section 111 of the Income Tax</w:t>
      </w:r>
      <w:r w:rsidRPr="00412620">
        <w:rPr>
          <w:snapToGrid w:val="0"/>
          <w:sz w:val="16"/>
          <w:szCs w:val="16"/>
        </w:rPr>
        <w:t xml:space="preserve"> Ordinance, 2001 (XLIX of 2001) shall not apply to the amounts credited in the books of accounts maintained for the period ending the 30</w:t>
      </w:r>
      <w:r w:rsidRPr="00412620">
        <w:rPr>
          <w:snapToGrid w:val="0"/>
          <w:sz w:val="16"/>
          <w:szCs w:val="16"/>
          <w:vertAlign w:val="superscript"/>
        </w:rPr>
        <w:t>th</w:t>
      </w:r>
      <w:r w:rsidRPr="00412620">
        <w:rPr>
          <w:snapToGrid w:val="0"/>
          <w:sz w:val="16"/>
          <w:szCs w:val="16"/>
        </w:rPr>
        <w:t xml:space="preserve"> June, 2011 by the sellers suppliers, service providers to the categories of sales tax zero-rated tax payers as mentioned at sub-clause (i) above; and</w:t>
      </w:r>
    </w:p>
    <w:p w:rsidR="00BF2117" w:rsidRDefault="00BF2117" w:rsidP="00AA4BF8">
      <w:pPr>
        <w:widowControl w:val="0"/>
        <w:ind w:left="1641" w:hanging="546"/>
        <w:jc w:val="both"/>
      </w:pPr>
      <w:r w:rsidRPr="00412620">
        <w:rPr>
          <w:snapToGrid w:val="0"/>
          <w:sz w:val="16"/>
          <w:szCs w:val="16"/>
        </w:rPr>
        <w:t xml:space="preserve">(c) </w:t>
      </w:r>
      <w:r w:rsidRPr="00412620">
        <w:rPr>
          <w:snapToGrid w:val="0"/>
          <w:sz w:val="16"/>
          <w:szCs w:val="16"/>
        </w:rPr>
        <w:tab/>
        <w:t>provisions of sub-clauses (a) and (b) above shall be applicable only to new cases of sellers, suppliers, service providers of the above mentioned categories of sales tax zero-rated taxpayers, who get themselves registered by the 30</w:t>
      </w:r>
      <w:r w:rsidRPr="00412620">
        <w:rPr>
          <w:snapToGrid w:val="0"/>
          <w:sz w:val="16"/>
          <w:szCs w:val="16"/>
          <w:vertAlign w:val="superscript"/>
        </w:rPr>
        <w:t>th</w:t>
      </w:r>
      <w:r w:rsidRPr="00412620">
        <w:rPr>
          <w:snapToGrid w:val="0"/>
          <w:sz w:val="16"/>
          <w:szCs w:val="16"/>
        </w:rPr>
        <w:t xml:space="preserve"> June, 2011.”</w:t>
      </w:r>
    </w:p>
  </w:footnote>
  <w:footnote w:id="2220">
    <w:p w:rsidR="00BF2117" w:rsidRPr="00F9084A" w:rsidRDefault="00BF2117">
      <w:pPr>
        <w:pStyle w:val="FootnoteText"/>
        <w:rPr>
          <w:sz w:val="16"/>
          <w:szCs w:val="16"/>
          <w:lang w:val="en-US"/>
        </w:rPr>
      </w:pPr>
      <w:r w:rsidRPr="00F9084A">
        <w:rPr>
          <w:rStyle w:val="FootnoteReference"/>
          <w:sz w:val="16"/>
          <w:szCs w:val="16"/>
        </w:rPr>
        <w:footnoteRef/>
      </w:r>
      <w:r w:rsidRPr="00F9084A">
        <w:rPr>
          <w:sz w:val="16"/>
          <w:szCs w:val="16"/>
          <w:lang w:val="en-US"/>
        </w:rPr>
        <w:t>Words inserted by S.R.O 669(I)/2013, dated 17.07.2013.</w:t>
      </w:r>
    </w:p>
  </w:footnote>
  <w:footnote w:id="2221">
    <w:p w:rsidR="00BF2117" w:rsidRPr="00F9084A" w:rsidRDefault="00BF2117">
      <w:pPr>
        <w:pStyle w:val="FootnoteText"/>
        <w:rPr>
          <w:sz w:val="16"/>
          <w:szCs w:val="16"/>
          <w:lang w:val="en-US"/>
        </w:rPr>
      </w:pPr>
      <w:r w:rsidRPr="00F9084A">
        <w:rPr>
          <w:rStyle w:val="FootnoteReference"/>
          <w:sz w:val="16"/>
          <w:szCs w:val="16"/>
        </w:rPr>
        <w:footnoteRef/>
      </w:r>
      <w:r w:rsidRPr="00F9084A">
        <w:rPr>
          <w:sz w:val="16"/>
          <w:szCs w:val="16"/>
          <w:lang w:val="en-US"/>
        </w:rPr>
        <w:t>The words “</w:t>
      </w:r>
      <w:r w:rsidRPr="00F9084A">
        <w:rPr>
          <w:snapToGrid w:val="0"/>
          <w:sz w:val="16"/>
          <w:szCs w:val="16"/>
        </w:rPr>
        <w:t xml:space="preserve">of sales tax zero-rated taxpayers,” omitted by </w:t>
      </w:r>
      <w:r w:rsidRPr="00F9084A">
        <w:rPr>
          <w:sz w:val="16"/>
          <w:szCs w:val="16"/>
          <w:lang w:val="en-US"/>
        </w:rPr>
        <w:t>S.R.O 669(I)/2013, dated 17.07.2013.</w:t>
      </w:r>
    </w:p>
  </w:footnote>
  <w:footnote w:id="2222">
    <w:p w:rsidR="00BF2117" w:rsidRPr="00F9084A" w:rsidRDefault="00BF2117" w:rsidP="00AA4BF8">
      <w:pPr>
        <w:pStyle w:val="FootnoteText"/>
        <w:keepNext/>
        <w:rPr>
          <w:sz w:val="16"/>
          <w:szCs w:val="16"/>
        </w:rPr>
      </w:pPr>
      <w:r w:rsidRPr="00F9084A">
        <w:rPr>
          <w:rStyle w:val="FootnoteReference"/>
          <w:rFonts w:cs="Arial"/>
          <w:sz w:val="16"/>
          <w:szCs w:val="16"/>
        </w:rPr>
        <w:footnoteRef/>
      </w:r>
      <w:r w:rsidRPr="00F9084A">
        <w:rPr>
          <w:sz w:val="16"/>
          <w:szCs w:val="16"/>
        </w:rPr>
        <w:t xml:space="preserve"> Clause (46) substituted by the Finance Act, 2004. The substituted clause (46) read as follows: </w:t>
      </w:r>
    </w:p>
    <w:p w:rsidR="00BF2117" w:rsidRPr="00F9084A" w:rsidRDefault="00BF2117" w:rsidP="00AA4BF8">
      <w:pPr>
        <w:pStyle w:val="FootnoteText"/>
        <w:keepNext/>
        <w:ind w:left="180" w:firstLine="0"/>
        <w:jc w:val="both"/>
        <w:rPr>
          <w:sz w:val="16"/>
          <w:szCs w:val="16"/>
        </w:rPr>
      </w:pPr>
      <w:r w:rsidRPr="00F9084A">
        <w:rPr>
          <w:b/>
          <w:bCs/>
          <w:snapToGrid w:val="0"/>
          <w:sz w:val="16"/>
          <w:szCs w:val="16"/>
        </w:rPr>
        <w:t>“(46)</w:t>
      </w:r>
      <w:r w:rsidRPr="00F9084A">
        <w:rPr>
          <w:snapToGrid w:val="0"/>
          <w:sz w:val="16"/>
          <w:szCs w:val="16"/>
        </w:rPr>
        <w:tab/>
        <w:t>The provisions of sub-section (1) of section 153, shall not apply in respect of payments received on account of supply of petroleum products by Attock Petroleum Limited.”</w:t>
      </w:r>
    </w:p>
  </w:footnote>
  <w:footnote w:id="2223">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Inserted by the Finance Act, 2008.</w:t>
      </w:r>
    </w:p>
  </w:footnote>
  <w:footnote w:id="2224">
    <w:p w:rsidR="00BF2117" w:rsidRPr="00FC1814" w:rsidRDefault="00BF2117">
      <w:pPr>
        <w:pStyle w:val="FootnoteText"/>
        <w:rPr>
          <w:sz w:val="16"/>
          <w:szCs w:val="16"/>
          <w:lang w:val="en-US"/>
        </w:rPr>
      </w:pPr>
      <w:r w:rsidRPr="00FC1814">
        <w:rPr>
          <w:rStyle w:val="FootnoteReference"/>
          <w:sz w:val="16"/>
          <w:szCs w:val="16"/>
        </w:rPr>
        <w:footnoteRef/>
      </w:r>
      <w:r>
        <w:rPr>
          <w:sz w:val="16"/>
          <w:szCs w:val="16"/>
        </w:rPr>
        <w:t xml:space="preserve">Substituted by the Finance Act, 2015. </w:t>
      </w:r>
    </w:p>
  </w:footnote>
  <w:footnote w:id="2225">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Inserted by S.R.O. 847(I)/2007, dated 22</w:t>
      </w:r>
      <w:r w:rsidRPr="00F9084A">
        <w:rPr>
          <w:sz w:val="16"/>
          <w:szCs w:val="16"/>
          <w:vertAlign w:val="superscript"/>
        </w:rPr>
        <w:t>nd</w:t>
      </w:r>
      <w:r w:rsidRPr="00F9084A">
        <w:rPr>
          <w:sz w:val="16"/>
          <w:szCs w:val="16"/>
        </w:rPr>
        <w:t xml:space="preserve"> August, 2007.</w:t>
      </w:r>
    </w:p>
  </w:footnote>
  <w:footnote w:id="2226">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The brackets and figure “(6)” substituted by the Finance Act, 2011.</w:t>
      </w:r>
    </w:p>
  </w:footnote>
  <w:footnote w:id="2227">
    <w:p w:rsidR="00BF2117" w:rsidRPr="00F9084A" w:rsidRDefault="00BF2117" w:rsidP="00AA4BF8">
      <w:pPr>
        <w:pStyle w:val="FootnoteText"/>
        <w:keepNext/>
        <w:ind w:left="180" w:hanging="180"/>
        <w:rPr>
          <w:sz w:val="16"/>
          <w:szCs w:val="16"/>
        </w:rPr>
      </w:pPr>
      <w:r w:rsidRPr="00F9084A">
        <w:rPr>
          <w:rStyle w:val="FootnoteReference"/>
          <w:rFonts w:cs="Arial"/>
          <w:sz w:val="16"/>
          <w:szCs w:val="16"/>
        </w:rPr>
        <w:footnoteRef/>
      </w:r>
      <w:r w:rsidRPr="00F9084A">
        <w:rPr>
          <w:sz w:val="16"/>
          <w:szCs w:val="16"/>
        </w:rPr>
        <w:t xml:space="preserve">.Clause (46A) omitted by the Finance Act, 2004. Earlier clause (46A) was inserted by S.R.O. 855(I)/2003 dated 29.08.2003. The omitted clause (46A) read as follows: </w:t>
      </w:r>
    </w:p>
    <w:p w:rsidR="00BF2117" w:rsidRPr="00F9084A" w:rsidRDefault="00BF2117" w:rsidP="00AA4BF8">
      <w:pPr>
        <w:pStyle w:val="FootnoteText"/>
        <w:ind w:left="180" w:firstLine="0"/>
        <w:jc w:val="both"/>
        <w:rPr>
          <w:sz w:val="16"/>
          <w:szCs w:val="16"/>
        </w:rPr>
      </w:pPr>
      <w:r w:rsidRPr="00F9084A">
        <w:rPr>
          <w:b/>
          <w:bCs/>
          <w:snapToGrid w:val="0"/>
          <w:sz w:val="16"/>
          <w:szCs w:val="16"/>
        </w:rPr>
        <w:t xml:space="preserve">“(46A) </w:t>
      </w:r>
      <w:r w:rsidRPr="00F9084A">
        <w:rPr>
          <w:snapToGrid w:val="0"/>
          <w:sz w:val="16"/>
          <w:szCs w:val="16"/>
        </w:rPr>
        <w:t>The provisions of sub-section (1) of section 153, shall not apply to the payments received by M/s. TOTAL PARCO Pakistan Limited (TPPL) for the supply of petroleum products.”</w:t>
      </w:r>
    </w:p>
  </w:footnote>
  <w:footnote w:id="2228">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Clause (46B) omitted by the Finance Act, 2009. The omitted clause (46B) read as follows:</w:t>
      </w:r>
    </w:p>
    <w:p w:rsidR="00BF2117" w:rsidRPr="00F9084A" w:rsidRDefault="00BF2117" w:rsidP="00AA4BF8">
      <w:pPr>
        <w:autoSpaceDE w:val="0"/>
        <w:autoSpaceDN w:val="0"/>
        <w:adjustRightInd w:val="0"/>
        <w:ind w:left="180"/>
        <w:jc w:val="both"/>
        <w:rPr>
          <w:sz w:val="16"/>
          <w:szCs w:val="16"/>
        </w:rPr>
      </w:pPr>
      <w:r w:rsidRPr="00F9084A">
        <w:rPr>
          <w:sz w:val="16"/>
          <w:szCs w:val="16"/>
        </w:rPr>
        <w:t>“</w:t>
      </w:r>
      <w:r w:rsidRPr="00F9084A">
        <w:rPr>
          <w:b/>
          <w:bCs/>
          <w:sz w:val="16"/>
          <w:szCs w:val="16"/>
          <w:lang w:val="en-US"/>
        </w:rPr>
        <w:t>(46B)</w:t>
      </w:r>
      <w:r w:rsidRPr="00F9084A">
        <w:rPr>
          <w:sz w:val="16"/>
          <w:szCs w:val="16"/>
          <w:lang w:val="en-US"/>
        </w:rPr>
        <w:t xml:space="preserve"> the provisions of sub-section (6B) of section 153, in so far as they relate to payments on account of sale of goods from which tax is deductible under section 153, shall not apply in respect of an individual or association of persons being a manufacturer of such goods, for the tax year 2007.”</w:t>
      </w:r>
    </w:p>
  </w:footnote>
  <w:footnote w:id="2229">
    <w:p w:rsidR="00BF2117" w:rsidRPr="00F9084A" w:rsidRDefault="00BF2117" w:rsidP="00AA4BF8">
      <w:pPr>
        <w:pStyle w:val="FootnoteText"/>
        <w:keepNext/>
        <w:ind w:left="180" w:hanging="180"/>
        <w:rPr>
          <w:sz w:val="16"/>
          <w:szCs w:val="16"/>
        </w:rPr>
      </w:pPr>
      <w:r w:rsidRPr="00F9084A">
        <w:rPr>
          <w:rStyle w:val="FootnoteReference"/>
          <w:rFonts w:cs="Arial"/>
          <w:sz w:val="16"/>
          <w:szCs w:val="16"/>
        </w:rPr>
        <w:footnoteRef/>
      </w:r>
      <w:r w:rsidRPr="00F9084A">
        <w:rPr>
          <w:sz w:val="16"/>
          <w:szCs w:val="16"/>
        </w:rPr>
        <w:t xml:space="preserve"> Clause (46C) omitted by the Finance Act, 2004. Earlier clause (46C) was inserted by S.R.O. 857(I)/2003 dated 27.08.2003. The omitted clause (46C) read as follows: </w:t>
      </w:r>
    </w:p>
    <w:p w:rsidR="00BF2117" w:rsidRPr="00F9084A" w:rsidRDefault="00BF2117" w:rsidP="00AA4BF8">
      <w:pPr>
        <w:pStyle w:val="FootnoteText"/>
        <w:ind w:left="180" w:firstLine="0"/>
        <w:jc w:val="both"/>
        <w:rPr>
          <w:sz w:val="16"/>
          <w:szCs w:val="16"/>
        </w:rPr>
      </w:pPr>
      <w:r w:rsidRPr="00F9084A">
        <w:rPr>
          <w:b/>
          <w:bCs/>
          <w:snapToGrid w:val="0"/>
          <w:sz w:val="16"/>
          <w:szCs w:val="16"/>
        </w:rPr>
        <w:t xml:space="preserve">“(46C) </w:t>
      </w:r>
      <w:r w:rsidRPr="00F9084A">
        <w:rPr>
          <w:snapToGrid w:val="0"/>
          <w:sz w:val="16"/>
          <w:szCs w:val="16"/>
        </w:rPr>
        <w:t>The provisions of sub-section (1) of section 153, shall not apply to the payments received by M/s. Bosicor Pakistan Limited for the supply of its products.”</w:t>
      </w:r>
    </w:p>
  </w:footnote>
  <w:footnote w:id="2230">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Clause (47) omitted by the Finance Act, 2009. The omitted clause (47) read as follows:</w:t>
      </w:r>
    </w:p>
    <w:p w:rsidR="00BF2117" w:rsidRPr="00F9084A" w:rsidRDefault="00BF2117" w:rsidP="00AA4BF8">
      <w:pPr>
        <w:widowControl w:val="0"/>
        <w:ind w:left="270" w:hanging="90"/>
        <w:jc w:val="both"/>
        <w:rPr>
          <w:sz w:val="16"/>
          <w:szCs w:val="16"/>
        </w:rPr>
      </w:pPr>
      <w:r w:rsidRPr="00F9084A">
        <w:rPr>
          <w:sz w:val="16"/>
          <w:szCs w:val="16"/>
        </w:rPr>
        <w:t>“</w:t>
      </w:r>
      <w:r w:rsidRPr="00F9084A">
        <w:rPr>
          <w:b/>
          <w:bCs/>
          <w:snapToGrid w:val="0"/>
          <w:sz w:val="16"/>
          <w:szCs w:val="16"/>
        </w:rPr>
        <w:t xml:space="preserve">(47)  </w:t>
      </w:r>
      <w:r w:rsidRPr="00F9084A">
        <w:rPr>
          <w:snapToGrid w:val="0"/>
          <w:sz w:val="16"/>
          <w:szCs w:val="16"/>
        </w:rPr>
        <w:t>The provisions of sections 151 and 155 shall not apply to a person who produces a certificate from the Commissioner of Income Tax concerned to the effect that his income during the income year is exempt from tax.”</w:t>
      </w:r>
    </w:p>
  </w:footnote>
  <w:footnote w:id="2231">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the Finance Act, 2002.</w:t>
      </w:r>
    </w:p>
  </w:footnote>
  <w:footnote w:id="2232">
    <w:p w:rsidR="00BF2117" w:rsidRPr="00F9084A" w:rsidRDefault="00BF2117" w:rsidP="00AA4BF8">
      <w:pPr>
        <w:pStyle w:val="FootnoteText"/>
        <w:rPr>
          <w:sz w:val="16"/>
          <w:szCs w:val="16"/>
          <w:lang w:val="en-US"/>
        </w:rPr>
      </w:pPr>
      <w:r w:rsidRPr="00F9084A">
        <w:rPr>
          <w:rStyle w:val="FootnoteReference"/>
          <w:rFonts w:cs="Arial"/>
          <w:sz w:val="16"/>
          <w:szCs w:val="16"/>
        </w:rPr>
        <w:footnoteRef/>
      </w:r>
      <w:r>
        <w:rPr>
          <w:sz w:val="16"/>
          <w:szCs w:val="16"/>
        </w:rPr>
        <w:t xml:space="preserve">Clause (47B) </w:t>
      </w:r>
      <w:r w:rsidRPr="00F9084A">
        <w:rPr>
          <w:sz w:val="16"/>
          <w:szCs w:val="16"/>
          <w:lang w:val="en-US"/>
        </w:rPr>
        <w:t>substituted by the Finance Act, 2008. The substituted clause (47B) read as follows:</w:t>
      </w:r>
    </w:p>
    <w:p w:rsidR="00BF2117" w:rsidRPr="00F9084A" w:rsidRDefault="00BF2117" w:rsidP="00F9084A">
      <w:pPr>
        <w:widowControl w:val="0"/>
        <w:ind w:left="90" w:hanging="90"/>
        <w:jc w:val="both"/>
        <w:rPr>
          <w:sz w:val="16"/>
          <w:szCs w:val="16"/>
        </w:rPr>
      </w:pPr>
      <w:r w:rsidRPr="00F9084A">
        <w:rPr>
          <w:sz w:val="16"/>
          <w:szCs w:val="16"/>
          <w:lang w:val="en-US"/>
        </w:rPr>
        <w:t>“</w:t>
      </w:r>
      <w:r w:rsidRPr="00F9084A">
        <w:rPr>
          <w:b/>
          <w:bCs/>
          <w:snapToGrid w:val="0"/>
          <w:sz w:val="16"/>
          <w:szCs w:val="16"/>
        </w:rPr>
        <w:t>(47B)</w:t>
      </w:r>
      <w:r w:rsidRPr="00F9084A">
        <w:rPr>
          <w:snapToGrid w:val="0"/>
          <w:sz w:val="16"/>
          <w:szCs w:val="16"/>
        </w:rPr>
        <w:t xml:space="preserve">  The provisions of sections 150, 151 and 233 shall not apply to any person making payment to National Investment (Unit) Trust or a mutual fund established by the Investment Corporation of Pakistan or a collective investment scheme authorized or registered under the Non-Banking Finance Companies (Establishment and Regulation) Rules, 2003 or a modaraba or Approved Pension Fund or an Approved Income Payment Plan constituted by a Pension Fund Manager registered under Voluntary Pension Systems Rules, 2005 or a Real Estate Investment Trust approved and authorized under the Real Estate Investment Trust Rules, 2006, established and managed by a REIT Management Company licensed under the Real Estate Investment Trust Rules, 2006 or a Private Equity and Venture Capital Fund.”</w:t>
      </w:r>
    </w:p>
  </w:footnote>
  <w:footnote w:id="2233">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The words “and” substituted by the Finance Act, 2012.</w:t>
      </w:r>
    </w:p>
  </w:footnote>
  <w:footnote w:id="2234">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Inserted by the Finance Act, 2012.</w:t>
      </w:r>
    </w:p>
  </w:footnote>
  <w:footnote w:id="2235">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Inserted by the Finance Act, 2004.</w:t>
      </w:r>
    </w:p>
  </w:footnote>
  <w:footnote w:id="2236">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Clause (47D) substituted by the Finance Act, 2011. The substituted clause (47D) read as follows:</w:t>
      </w:r>
    </w:p>
    <w:p w:rsidR="00BF2117" w:rsidRPr="00F9084A" w:rsidRDefault="00BF2117" w:rsidP="00AA4BF8">
      <w:pPr>
        <w:pStyle w:val="FootnoteText"/>
        <w:ind w:hanging="630"/>
        <w:rPr>
          <w:sz w:val="16"/>
          <w:szCs w:val="16"/>
        </w:rPr>
      </w:pPr>
      <w:r w:rsidRPr="00F9084A">
        <w:rPr>
          <w:sz w:val="16"/>
          <w:szCs w:val="16"/>
        </w:rPr>
        <w:t>“</w:t>
      </w:r>
      <w:r w:rsidRPr="00F9084A">
        <w:rPr>
          <w:b/>
          <w:bCs/>
          <w:snapToGrid w:val="0"/>
          <w:sz w:val="16"/>
          <w:szCs w:val="16"/>
        </w:rPr>
        <w:t>(47D)</w:t>
      </w:r>
      <w:r w:rsidRPr="00F9084A">
        <w:rPr>
          <w:snapToGrid w:val="0"/>
          <w:sz w:val="16"/>
          <w:szCs w:val="16"/>
        </w:rPr>
        <w:tab/>
        <w:t>The provisions of sub-section (6A) of section 153 shall not apply to cotton ginners.”</w:t>
      </w:r>
    </w:p>
  </w:footnote>
  <w:footnote w:id="2237">
    <w:p w:rsidR="00BF2117" w:rsidRPr="00F9084A" w:rsidRDefault="00BF2117" w:rsidP="00AA4BF8">
      <w:pPr>
        <w:pStyle w:val="FootnoteText"/>
        <w:keepNext/>
        <w:rPr>
          <w:sz w:val="16"/>
          <w:szCs w:val="16"/>
        </w:rPr>
      </w:pPr>
      <w:r w:rsidRPr="00F9084A">
        <w:rPr>
          <w:rStyle w:val="FootnoteReference"/>
          <w:rFonts w:cs="Arial"/>
          <w:sz w:val="16"/>
          <w:szCs w:val="16"/>
        </w:rPr>
        <w:footnoteRef/>
      </w:r>
      <w:r w:rsidRPr="00F9084A">
        <w:rPr>
          <w:sz w:val="16"/>
          <w:szCs w:val="16"/>
        </w:rPr>
        <w:t xml:space="preserve"> Clause (48) omitted by the Finance Act, 2003. The omitted clause (48) read as follows:</w:t>
      </w:r>
    </w:p>
    <w:p w:rsidR="00BF2117" w:rsidRPr="00F9084A" w:rsidRDefault="00BF2117" w:rsidP="00F9084A">
      <w:pPr>
        <w:pStyle w:val="FootnoteText"/>
        <w:ind w:left="90" w:firstLine="0"/>
        <w:jc w:val="both"/>
        <w:rPr>
          <w:sz w:val="16"/>
          <w:szCs w:val="16"/>
        </w:rPr>
      </w:pPr>
      <w:r w:rsidRPr="00F9084A">
        <w:rPr>
          <w:sz w:val="16"/>
          <w:szCs w:val="16"/>
        </w:rPr>
        <w:t>“</w:t>
      </w:r>
      <w:r w:rsidRPr="00F9084A">
        <w:rPr>
          <w:b/>
          <w:bCs/>
          <w:snapToGrid w:val="0"/>
          <w:sz w:val="16"/>
          <w:szCs w:val="16"/>
        </w:rPr>
        <w:t>(48)</w:t>
      </w:r>
      <w:r w:rsidRPr="00F9084A">
        <w:rPr>
          <w:snapToGrid w:val="0"/>
          <w:sz w:val="16"/>
          <w:szCs w:val="16"/>
        </w:rPr>
        <w:t xml:space="preserve">  The provisions of </w:t>
      </w:r>
      <w:r w:rsidRPr="00F9084A">
        <w:rPr>
          <w:sz w:val="16"/>
          <w:szCs w:val="16"/>
        </w:rPr>
        <w:t xml:space="preserve">section 236 </w:t>
      </w:r>
      <w:r w:rsidRPr="00F9084A">
        <w:rPr>
          <w:snapToGrid w:val="0"/>
          <w:sz w:val="16"/>
          <w:szCs w:val="16"/>
        </w:rPr>
        <w:t>shall not apply to a person who produces a certificate from the Commissioner of Income Tax concerned to the effect that his income during the income year is exempt from tax.”</w:t>
      </w:r>
    </w:p>
  </w:footnote>
  <w:footnote w:id="2238">
    <w:p w:rsidR="00BF2117" w:rsidRPr="00F9084A" w:rsidRDefault="00BF2117" w:rsidP="00AA4BF8">
      <w:pPr>
        <w:pStyle w:val="FootnoteText"/>
        <w:keepNext/>
        <w:rPr>
          <w:sz w:val="16"/>
          <w:szCs w:val="16"/>
        </w:rPr>
      </w:pPr>
      <w:r w:rsidRPr="00F9084A">
        <w:rPr>
          <w:rStyle w:val="FootnoteReference"/>
          <w:rFonts w:cs="Arial"/>
          <w:sz w:val="16"/>
          <w:szCs w:val="16"/>
        </w:rPr>
        <w:footnoteRef/>
      </w:r>
      <w:r w:rsidRPr="00F9084A">
        <w:rPr>
          <w:sz w:val="16"/>
          <w:szCs w:val="16"/>
        </w:rPr>
        <w:t xml:space="preserve"> Clause (49) omitted by the Finance Act, 2003. The omitted clause (49) read as follows:</w:t>
      </w:r>
    </w:p>
    <w:p w:rsidR="00BF2117" w:rsidRPr="00F9084A" w:rsidRDefault="00BF2117" w:rsidP="00F9084A">
      <w:pPr>
        <w:pStyle w:val="FootnoteText"/>
        <w:ind w:left="90" w:firstLine="0"/>
        <w:rPr>
          <w:sz w:val="16"/>
          <w:szCs w:val="16"/>
        </w:rPr>
      </w:pPr>
      <w:r w:rsidRPr="00F9084A">
        <w:rPr>
          <w:sz w:val="16"/>
          <w:szCs w:val="16"/>
        </w:rPr>
        <w:t>“</w:t>
      </w:r>
      <w:r w:rsidRPr="00F9084A">
        <w:rPr>
          <w:b/>
          <w:bCs/>
          <w:snapToGrid w:val="0"/>
          <w:sz w:val="16"/>
          <w:szCs w:val="16"/>
        </w:rPr>
        <w:t>(49)</w:t>
      </w:r>
      <w:r w:rsidRPr="00F9084A">
        <w:rPr>
          <w:snapToGrid w:val="0"/>
          <w:sz w:val="16"/>
          <w:szCs w:val="16"/>
        </w:rPr>
        <w:t xml:space="preserve">  The provisions of section 236 shall not apply where the subscriber is a non-taxable non-profit organization.”</w:t>
      </w:r>
    </w:p>
  </w:footnote>
  <w:footnote w:id="2239">
    <w:p w:rsidR="00BF2117" w:rsidRPr="00F9084A" w:rsidRDefault="00BF2117" w:rsidP="00AA4BF8">
      <w:pPr>
        <w:pStyle w:val="FootnoteText"/>
        <w:keepNext/>
        <w:rPr>
          <w:sz w:val="16"/>
          <w:szCs w:val="16"/>
        </w:rPr>
      </w:pPr>
      <w:r w:rsidRPr="00F9084A">
        <w:rPr>
          <w:rStyle w:val="FootnoteReference"/>
          <w:rFonts w:cs="Arial"/>
          <w:sz w:val="16"/>
          <w:szCs w:val="16"/>
        </w:rPr>
        <w:footnoteRef/>
      </w:r>
      <w:r w:rsidRPr="00F9084A">
        <w:rPr>
          <w:sz w:val="16"/>
          <w:szCs w:val="16"/>
        </w:rPr>
        <w:t xml:space="preserve"> Clause (50) omitted by the Finance Act, 2003. The omitted clause (50) read as follows:</w:t>
      </w:r>
    </w:p>
    <w:p w:rsidR="00BF2117" w:rsidRPr="00F9084A" w:rsidRDefault="00BF2117" w:rsidP="00F9084A">
      <w:pPr>
        <w:pStyle w:val="FootnoteText"/>
        <w:ind w:left="90" w:firstLine="0"/>
        <w:jc w:val="both"/>
        <w:rPr>
          <w:sz w:val="16"/>
          <w:szCs w:val="16"/>
        </w:rPr>
      </w:pPr>
      <w:r w:rsidRPr="00F9084A">
        <w:rPr>
          <w:sz w:val="16"/>
          <w:szCs w:val="16"/>
        </w:rPr>
        <w:t>“</w:t>
      </w:r>
      <w:r w:rsidRPr="00F9084A">
        <w:rPr>
          <w:b/>
          <w:bCs/>
          <w:snapToGrid w:val="0"/>
          <w:sz w:val="16"/>
          <w:szCs w:val="16"/>
        </w:rPr>
        <w:t>(50)</w:t>
      </w:r>
      <w:r w:rsidRPr="00F9084A">
        <w:rPr>
          <w:snapToGrid w:val="0"/>
          <w:sz w:val="16"/>
          <w:szCs w:val="16"/>
        </w:rPr>
        <w:t xml:space="preserve">  The provisions of </w:t>
      </w:r>
      <w:r w:rsidRPr="00F9084A">
        <w:rPr>
          <w:sz w:val="16"/>
          <w:szCs w:val="16"/>
        </w:rPr>
        <w:t xml:space="preserve">section 234 </w:t>
      </w:r>
      <w:r w:rsidRPr="00F9084A">
        <w:rPr>
          <w:snapToGrid w:val="0"/>
          <w:sz w:val="16"/>
          <w:szCs w:val="16"/>
        </w:rPr>
        <w:t>shall not apply to a person who produces a certificate from Commissioner of Income Tax concerned to the effect that his income during the income year is exempt from tax.”</w:t>
      </w:r>
    </w:p>
  </w:footnote>
  <w:footnote w:id="2240">
    <w:p w:rsidR="00BF2117" w:rsidRPr="00F9084A" w:rsidRDefault="00BF2117" w:rsidP="00AA4BF8">
      <w:pPr>
        <w:pStyle w:val="FootnoteText"/>
        <w:keepNext/>
        <w:rPr>
          <w:sz w:val="16"/>
          <w:szCs w:val="16"/>
        </w:rPr>
      </w:pPr>
      <w:r w:rsidRPr="00F9084A">
        <w:rPr>
          <w:rStyle w:val="FootnoteReference"/>
          <w:rFonts w:cs="Arial"/>
          <w:sz w:val="16"/>
          <w:szCs w:val="16"/>
        </w:rPr>
        <w:footnoteRef/>
      </w:r>
      <w:r w:rsidRPr="00F9084A">
        <w:rPr>
          <w:sz w:val="16"/>
          <w:szCs w:val="16"/>
        </w:rPr>
        <w:t xml:space="preserve"> Clause (51) omitted by the Finance Act, 2003. The omitted clause (51) read as follows:</w:t>
      </w:r>
    </w:p>
    <w:p w:rsidR="00BF2117" w:rsidRPr="00F9084A" w:rsidRDefault="00BF2117" w:rsidP="00F9084A">
      <w:pPr>
        <w:pStyle w:val="FootnoteText"/>
        <w:ind w:left="90" w:firstLine="0"/>
        <w:jc w:val="both"/>
        <w:rPr>
          <w:sz w:val="16"/>
          <w:szCs w:val="16"/>
        </w:rPr>
      </w:pPr>
      <w:r w:rsidRPr="00F9084A">
        <w:rPr>
          <w:sz w:val="16"/>
          <w:szCs w:val="16"/>
        </w:rPr>
        <w:t>“</w:t>
      </w:r>
      <w:r w:rsidRPr="00F9084A">
        <w:rPr>
          <w:b/>
          <w:bCs/>
          <w:snapToGrid w:val="0"/>
          <w:sz w:val="16"/>
          <w:szCs w:val="16"/>
        </w:rPr>
        <w:t>(51)</w:t>
      </w:r>
      <w:r w:rsidRPr="00F9084A">
        <w:rPr>
          <w:snapToGrid w:val="0"/>
          <w:sz w:val="16"/>
          <w:szCs w:val="16"/>
        </w:rPr>
        <w:t xml:space="preserve">  The provisions of </w:t>
      </w:r>
      <w:r w:rsidRPr="00F9084A">
        <w:rPr>
          <w:sz w:val="16"/>
          <w:szCs w:val="16"/>
        </w:rPr>
        <w:t>section 235</w:t>
      </w:r>
      <w:r w:rsidRPr="00F9084A">
        <w:rPr>
          <w:snapToGrid w:val="0"/>
          <w:sz w:val="16"/>
          <w:szCs w:val="16"/>
        </w:rPr>
        <w:t xml:space="preserve"> shall not apply to a person who produces a certificate from the Commissioner of Income Tax concerned to the effect that his income during the income year is exempt from tax.”</w:t>
      </w:r>
    </w:p>
  </w:footnote>
  <w:footnote w:id="2241">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Clause (52) omitted by the Finance Act, 2010. The omitted (clause (52) read as follows:</w:t>
      </w:r>
    </w:p>
    <w:p w:rsidR="00BF2117" w:rsidRPr="00F9084A" w:rsidRDefault="00BF2117" w:rsidP="00AA4BF8">
      <w:pPr>
        <w:ind w:left="180"/>
        <w:jc w:val="both"/>
        <w:rPr>
          <w:sz w:val="16"/>
          <w:szCs w:val="16"/>
        </w:rPr>
      </w:pPr>
      <w:r w:rsidRPr="00F9084A">
        <w:rPr>
          <w:sz w:val="16"/>
          <w:szCs w:val="16"/>
        </w:rPr>
        <w:t>“</w:t>
      </w:r>
      <w:r w:rsidRPr="00F9084A">
        <w:rPr>
          <w:b/>
          <w:bCs/>
          <w:snapToGrid w:val="0"/>
          <w:sz w:val="16"/>
          <w:szCs w:val="16"/>
        </w:rPr>
        <w:t>(52)</w:t>
      </w:r>
      <w:r w:rsidRPr="00F9084A">
        <w:rPr>
          <w:snapToGrid w:val="0"/>
          <w:sz w:val="16"/>
          <w:szCs w:val="16"/>
        </w:rPr>
        <w:t xml:space="preserve">  The provisions of clause (vi) of Notification No. SRO 593(I)/91, dated the 30th June, 1991, shall not apply to any importer being an industrial undertaking engaged in the manufacture of vanaspati ghee or oil.”</w:t>
      </w:r>
    </w:p>
  </w:footnote>
  <w:footnote w:id="2242">
    <w:p w:rsidR="00BF2117" w:rsidRPr="00F9084A" w:rsidRDefault="00BF2117" w:rsidP="00AA4BF8">
      <w:pPr>
        <w:pStyle w:val="FootnoteText"/>
        <w:keepNext/>
        <w:rPr>
          <w:sz w:val="16"/>
          <w:szCs w:val="16"/>
        </w:rPr>
      </w:pPr>
      <w:r w:rsidRPr="00F9084A">
        <w:rPr>
          <w:rStyle w:val="FootnoteReference"/>
          <w:rFonts w:cs="Arial"/>
          <w:sz w:val="16"/>
          <w:szCs w:val="16"/>
        </w:rPr>
        <w:footnoteRef/>
      </w:r>
      <w:r w:rsidRPr="00F9084A">
        <w:rPr>
          <w:sz w:val="16"/>
          <w:szCs w:val="16"/>
        </w:rPr>
        <w:t xml:space="preserve"> Clause (53) omitted by the Finance Act, 2005. The omitted clause (53) read as follows:</w:t>
      </w:r>
    </w:p>
    <w:p w:rsidR="00BF2117" w:rsidRPr="00F9084A" w:rsidRDefault="00BF2117" w:rsidP="00AA4BF8">
      <w:pPr>
        <w:pStyle w:val="FootnoteText"/>
        <w:ind w:left="180" w:firstLine="0"/>
        <w:jc w:val="both"/>
        <w:rPr>
          <w:sz w:val="16"/>
          <w:szCs w:val="16"/>
        </w:rPr>
      </w:pPr>
      <w:r w:rsidRPr="00F9084A">
        <w:rPr>
          <w:snapToGrid w:val="0"/>
          <w:sz w:val="16"/>
          <w:szCs w:val="16"/>
        </w:rPr>
        <w:t>“ (53) The provision of sections 148 and 153 shall not apply to the wheat imported by Trading Corporation of Pakistan in pursuance of Economic Coordination Committee of the Cabinet decision No.ECC-67/5/2005 dated the 2</w:t>
      </w:r>
      <w:r w:rsidRPr="00F9084A">
        <w:rPr>
          <w:snapToGrid w:val="0"/>
          <w:sz w:val="16"/>
          <w:szCs w:val="16"/>
          <w:vertAlign w:val="superscript"/>
        </w:rPr>
        <w:t>nd</w:t>
      </w:r>
      <w:r w:rsidRPr="00F9084A">
        <w:rPr>
          <w:snapToGrid w:val="0"/>
          <w:sz w:val="16"/>
          <w:szCs w:val="16"/>
        </w:rPr>
        <w:t xml:space="preserve"> July, 2004.”</w:t>
      </w:r>
    </w:p>
  </w:footnote>
  <w:footnote w:id="2243">
    <w:p w:rsidR="00BF2117" w:rsidRPr="00F9084A" w:rsidRDefault="00BF2117" w:rsidP="00AA4BF8">
      <w:pPr>
        <w:pStyle w:val="FootnoteText"/>
        <w:keepNext/>
        <w:rPr>
          <w:sz w:val="16"/>
          <w:szCs w:val="16"/>
        </w:rPr>
      </w:pPr>
      <w:r w:rsidRPr="00F9084A">
        <w:rPr>
          <w:rStyle w:val="FootnoteReference"/>
          <w:rFonts w:cs="Arial"/>
          <w:sz w:val="16"/>
          <w:szCs w:val="16"/>
        </w:rPr>
        <w:footnoteRef/>
      </w:r>
      <w:r w:rsidRPr="00F9084A">
        <w:rPr>
          <w:sz w:val="16"/>
          <w:szCs w:val="16"/>
        </w:rPr>
        <w:t xml:space="preserve"> Clause (54) omitted by the Finance Act, 2005. The omitted clause (54) read as follows:</w:t>
      </w:r>
    </w:p>
    <w:p w:rsidR="00BF2117" w:rsidRPr="00F9084A" w:rsidRDefault="00BF2117" w:rsidP="00AA4BF8">
      <w:pPr>
        <w:pStyle w:val="FootnoteText"/>
        <w:ind w:left="180" w:firstLine="0"/>
        <w:jc w:val="both"/>
        <w:rPr>
          <w:sz w:val="16"/>
          <w:szCs w:val="16"/>
        </w:rPr>
      </w:pPr>
      <w:r w:rsidRPr="00F9084A">
        <w:rPr>
          <w:snapToGrid w:val="0"/>
          <w:sz w:val="16"/>
          <w:szCs w:val="16"/>
        </w:rPr>
        <w:t>“(54) The provisions of section 148 shall not apply to sugar imported in pursuance of Economic Coordination Committee of the Cabinet’s decision No.ECC16/2/2005 dated 08.02.2005.”</w:t>
      </w:r>
    </w:p>
  </w:footnote>
  <w:footnote w:id="2244">
    <w:p w:rsidR="00BF2117" w:rsidRPr="00F9084A" w:rsidRDefault="00BF2117" w:rsidP="00AA4BF8">
      <w:pPr>
        <w:pStyle w:val="FootnoteText"/>
        <w:keepNext/>
        <w:ind w:left="270" w:hanging="270"/>
        <w:jc w:val="both"/>
        <w:rPr>
          <w:sz w:val="16"/>
          <w:szCs w:val="16"/>
        </w:rPr>
      </w:pPr>
      <w:r w:rsidRPr="00F9084A">
        <w:rPr>
          <w:rStyle w:val="FootnoteReference"/>
          <w:rFonts w:cs="Arial"/>
          <w:sz w:val="16"/>
          <w:szCs w:val="16"/>
        </w:rPr>
        <w:footnoteRef/>
      </w:r>
      <w:r w:rsidRPr="00F9084A">
        <w:rPr>
          <w:sz w:val="16"/>
          <w:szCs w:val="16"/>
        </w:rPr>
        <w:t xml:space="preserve"> Clause (55) omitted by the Finance Act, 2005. Earlier this was inserted by S.R.O. 423(I)/2005, dated 13.05.2005. The omitted clause (55) read as follows: </w:t>
      </w:r>
    </w:p>
    <w:p w:rsidR="00BF2117" w:rsidRPr="00F9084A" w:rsidRDefault="00BF2117" w:rsidP="00AA4BF8">
      <w:pPr>
        <w:keepNext/>
        <w:ind w:left="270" w:hanging="90"/>
        <w:jc w:val="both"/>
        <w:rPr>
          <w:snapToGrid w:val="0"/>
          <w:sz w:val="16"/>
          <w:szCs w:val="16"/>
        </w:rPr>
      </w:pPr>
      <w:r w:rsidRPr="00F9084A">
        <w:rPr>
          <w:snapToGrid w:val="0"/>
          <w:sz w:val="16"/>
          <w:szCs w:val="16"/>
        </w:rPr>
        <w:t>“</w:t>
      </w:r>
      <w:r w:rsidRPr="00F9084A">
        <w:rPr>
          <w:b/>
          <w:bCs/>
          <w:snapToGrid w:val="0"/>
          <w:sz w:val="16"/>
          <w:szCs w:val="16"/>
        </w:rPr>
        <w:t xml:space="preserve">(55) </w:t>
      </w:r>
      <w:r w:rsidRPr="00F9084A">
        <w:rPr>
          <w:snapToGrid w:val="0"/>
          <w:sz w:val="16"/>
          <w:szCs w:val="16"/>
        </w:rPr>
        <w:tab/>
        <w:t>The provision of section 148 shall not apply to the import of the following items, namely:-</w:t>
      </w:r>
    </w:p>
    <w:p w:rsidR="00BF2117" w:rsidRPr="00F9084A" w:rsidRDefault="00BF2117" w:rsidP="00AA4BF8">
      <w:pPr>
        <w:keepNext/>
        <w:jc w:val="both"/>
        <w:rPr>
          <w:snapToGrid w:val="0"/>
          <w:sz w:val="16"/>
          <w:szCs w:val="16"/>
        </w:rPr>
      </w:pPr>
      <w:r w:rsidRPr="00F9084A">
        <w:rPr>
          <w:snapToGrid w:val="0"/>
          <w:sz w:val="16"/>
          <w:szCs w:val="16"/>
        </w:rPr>
        <w:tab/>
        <w:t xml:space="preserve">(a) </w:t>
      </w:r>
      <w:r w:rsidRPr="00F9084A">
        <w:rPr>
          <w:snapToGrid w:val="0"/>
          <w:sz w:val="16"/>
          <w:szCs w:val="16"/>
        </w:rPr>
        <w:tab/>
        <w:t>onions;</w:t>
      </w:r>
    </w:p>
    <w:p w:rsidR="00BF2117" w:rsidRPr="00F9084A" w:rsidRDefault="00BF2117" w:rsidP="00AA4BF8">
      <w:pPr>
        <w:keepNext/>
        <w:jc w:val="both"/>
        <w:rPr>
          <w:snapToGrid w:val="0"/>
          <w:sz w:val="16"/>
          <w:szCs w:val="16"/>
        </w:rPr>
      </w:pPr>
      <w:r w:rsidRPr="00F9084A">
        <w:rPr>
          <w:snapToGrid w:val="0"/>
          <w:sz w:val="16"/>
          <w:szCs w:val="16"/>
        </w:rPr>
        <w:tab/>
        <w:t>(b)</w:t>
      </w:r>
      <w:r w:rsidRPr="00F9084A">
        <w:rPr>
          <w:snapToGrid w:val="0"/>
          <w:sz w:val="16"/>
          <w:szCs w:val="16"/>
        </w:rPr>
        <w:tab/>
        <w:t>potatoes;</w:t>
      </w:r>
    </w:p>
    <w:p w:rsidR="00BF2117" w:rsidRPr="00F9084A" w:rsidRDefault="00BF2117" w:rsidP="00AA4BF8">
      <w:pPr>
        <w:keepNext/>
        <w:jc w:val="both"/>
        <w:rPr>
          <w:snapToGrid w:val="0"/>
          <w:sz w:val="16"/>
          <w:szCs w:val="16"/>
        </w:rPr>
      </w:pPr>
      <w:r w:rsidRPr="00F9084A">
        <w:rPr>
          <w:snapToGrid w:val="0"/>
          <w:sz w:val="16"/>
          <w:szCs w:val="16"/>
        </w:rPr>
        <w:tab/>
        <w:t xml:space="preserve">(c) </w:t>
      </w:r>
      <w:r w:rsidRPr="00F9084A">
        <w:rPr>
          <w:snapToGrid w:val="0"/>
          <w:sz w:val="16"/>
          <w:szCs w:val="16"/>
        </w:rPr>
        <w:tab/>
        <w:t>tomatoes;</w:t>
      </w:r>
    </w:p>
    <w:p w:rsidR="00BF2117" w:rsidRPr="00F9084A" w:rsidRDefault="00BF2117" w:rsidP="00AA4BF8">
      <w:pPr>
        <w:keepNext/>
        <w:jc w:val="both"/>
        <w:rPr>
          <w:snapToGrid w:val="0"/>
          <w:sz w:val="16"/>
          <w:szCs w:val="16"/>
        </w:rPr>
      </w:pPr>
      <w:r w:rsidRPr="00F9084A">
        <w:rPr>
          <w:snapToGrid w:val="0"/>
          <w:sz w:val="16"/>
          <w:szCs w:val="16"/>
        </w:rPr>
        <w:tab/>
        <w:t>(d)</w:t>
      </w:r>
      <w:r w:rsidRPr="00F9084A">
        <w:rPr>
          <w:snapToGrid w:val="0"/>
          <w:sz w:val="16"/>
          <w:szCs w:val="16"/>
        </w:rPr>
        <w:tab/>
        <w:t>garlic;</w:t>
      </w:r>
    </w:p>
    <w:p w:rsidR="00BF2117" w:rsidRPr="00F9084A" w:rsidRDefault="00BF2117" w:rsidP="00AA4BF8">
      <w:pPr>
        <w:keepNext/>
        <w:jc w:val="both"/>
        <w:rPr>
          <w:snapToGrid w:val="0"/>
          <w:sz w:val="16"/>
          <w:szCs w:val="16"/>
        </w:rPr>
      </w:pPr>
      <w:r w:rsidRPr="00F9084A">
        <w:rPr>
          <w:snapToGrid w:val="0"/>
          <w:sz w:val="16"/>
          <w:szCs w:val="16"/>
        </w:rPr>
        <w:tab/>
        <w:t>(e)</w:t>
      </w:r>
      <w:r w:rsidRPr="00F9084A">
        <w:rPr>
          <w:snapToGrid w:val="0"/>
          <w:sz w:val="16"/>
          <w:szCs w:val="16"/>
        </w:rPr>
        <w:tab/>
        <w:t>halal meat of -</w:t>
      </w:r>
    </w:p>
    <w:p w:rsidR="00BF2117" w:rsidRPr="00F9084A" w:rsidRDefault="00BF2117" w:rsidP="00AA4BF8">
      <w:pPr>
        <w:keepNext/>
        <w:jc w:val="both"/>
        <w:rPr>
          <w:snapToGrid w:val="0"/>
          <w:sz w:val="16"/>
          <w:szCs w:val="16"/>
        </w:rPr>
      </w:pPr>
      <w:r w:rsidRPr="00F9084A">
        <w:rPr>
          <w:snapToGrid w:val="0"/>
          <w:sz w:val="16"/>
          <w:szCs w:val="16"/>
        </w:rPr>
        <w:tab/>
      </w:r>
      <w:r w:rsidRPr="00F9084A">
        <w:rPr>
          <w:snapToGrid w:val="0"/>
          <w:sz w:val="16"/>
          <w:szCs w:val="16"/>
        </w:rPr>
        <w:tab/>
        <w:t xml:space="preserve">(1) </w:t>
      </w:r>
      <w:r w:rsidRPr="00F9084A">
        <w:rPr>
          <w:snapToGrid w:val="0"/>
          <w:sz w:val="16"/>
          <w:szCs w:val="16"/>
        </w:rPr>
        <w:tab/>
        <w:t xml:space="preserve">(i) </w:t>
      </w:r>
      <w:r w:rsidRPr="00F9084A">
        <w:rPr>
          <w:snapToGrid w:val="0"/>
          <w:sz w:val="16"/>
          <w:szCs w:val="16"/>
        </w:rPr>
        <w:tab/>
        <w:t>goat; and</w:t>
      </w:r>
    </w:p>
    <w:p w:rsidR="00BF2117" w:rsidRPr="00F9084A" w:rsidRDefault="00BF2117" w:rsidP="00AA4BF8">
      <w:pPr>
        <w:keepNext/>
        <w:jc w:val="both"/>
        <w:rPr>
          <w:snapToGrid w:val="0"/>
          <w:sz w:val="16"/>
          <w:szCs w:val="16"/>
        </w:rPr>
      </w:pPr>
      <w:r w:rsidRPr="00F9084A">
        <w:rPr>
          <w:snapToGrid w:val="0"/>
          <w:sz w:val="16"/>
          <w:szCs w:val="16"/>
        </w:rPr>
        <w:tab/>
      </w:r>
      <w:r w:rsidRPr="00F9084A">
        <w:rPr>
          <w:snapToGrid w:val="0"/>
          <w:sz w:val="16"/>
          <w:szCs w:val="16"/>
        </w:rPr>
        <w:tab/>
      </w:r>
      <w:r w:rsidRPr="00F9084A">
        <w:rPr>
          <w:snapToGrid w:val="0"/>
          <w:sz w:val="16"/>
          <w:szCs w:val="16"/>
        </w:rPr>
        <w:tab/>
        <w:t>(ii)</w:t>
      </w:r>
      <w:r w:rsidRPr="00F9084A">
        <w:rPr>
          <w:snapToGrid w:val="0"/>
          <w:sz w:val="16"/>
          <w:szCs w:val="16"/>
        </w:rPr>
        <w:tab/>
        <w:t>sheep; and</w:t>
      </w:r>
    </w:p>
    <w:p w:rsidR="00BF2117" w:rsidRPr="00F9084A" w:rsidRDefault="00BF2117" w:rsidP="00AA4BF8">
      <w:pPr>
        <w:keepNext/>
        <w:jc w:val="both"/>
        <w:rPr>
          <w:snapToGrid w:val="0"/>
          <w:sz w:val="16"/>
          <w:szCs w:val="16"/>
        </w:rPr>
      </w:pPr>
      <w:r w:rsidRPr="00F9084A">
        <w:rPr>
          <w:snapToGrid w:val="0"/>
          <w:sz w:val="16"/>
          <w:szCs w:val="16"/>
        </w:rPr>
        <w:tab/>
      </w:r>
      <w:r w:rsidRPr="00F9084A">
        <w:rPr>
          <w:snapToGrid w:val="0"/>
          <w:sz w:val="16"/>
          <w:szCs w:val="16"/>
        </w:rPr>
        <w:tab/>
        <w:t xml:space="preserve">(2) </w:t>
      </w:r>
      <w:r w:rsidRPr="00F9084A">
        <w:rPr>
          <w:snapToGrid w:val="0"/>
          <w:sz w:val="16"/>
          <w:szCs w:val="16"/>
        </w:rPr>
        <w:tab/>
        <w:t>beef; and</w:t>
      </w:r>
    </w:p>
    <w:p w:rsidR="00BF2117" w:rsidRPr="00F9084A" w:rsidRDefault="00BF2117" w:rsidP="00AA4BF8">
      <w:pPr>
        <w:pStyle w:val="FootnoteText"/>
        <w:ind w:hanging="173"/>
        <w:rPr>
          <w:sz w:val="16"/>
          <w:szCs w:val="16"/>
        </w:rPr>
      </w:pPr>
      <w:r w:rsidRPr="00F9084A">
        <w:rPr>
          <w:snapToGrid w:val="0"/>
          <w:sz w:val="16"/>
          <w:szCs w:val="16"/>
        </w:rPr>
        <w:t xml:space="preserve">(f) </w:t>
      </w:r>
      <w:r w:rsidRPr="00F9084A">
        <w:rPr>
          <w:snapToGrid w:val="0"/>
          <w:sz w:val="16"/>
          <w:szCs w:val="16"/>
        </w:rPr>
        <w:tab/>
        <w:t>live animals (bovine animals i.e. buffalos, cows, sheep, goats and camels only).”</w:t>
      </w:r>
    </w:p>
  </w:footnote>
  <w:footnote w:id="2245">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Clause (56) substituted by the Finance Act, 2008. The substituted clause (56) read as follows:</w:t>
      </w:r>
    </w:p>
    <w:p w:rsidR="00BF2117" w:rsidRPr="00F9084A" w:rsidRDefault="00BF2117" w:rsidP="00AA4BF8">
      <w:pPr>
        <w:ind w:left="270" w:hanging="90"/>
        <w:jc w:val="both"/>
        <w:rPr>
          <w:snapToGrid w:val="0"/>
          <w:sz w:val="16"/>
          <w:szCs w:val="16"/>
        </w:rPr>
      </w:pPr>
      <w:r w:rsidRPr="00F9084A">
        <w:rPr>
          <w:sz w:val="16"/>
          <w:szCs w:val="16"/>
        </w:rPr>
        <w:t>“</w:t>
      </w:r>
      <w:r w:rsidRPr="00F9084A">
        <w:rPr>
          <w:b/>
          <w:bCs/>
          <w:snapToGrid w:val="0"/>
          <w:sz w:val="16"/>
          <w:szCs w:val="16"/>
        </w:rPr>
        <w:t>(56)</w:t>
      </w:r>
      <w:r w:rsidRPr="00F9084A">
        <w:rPr>
          <w:snapToGrid w:val="0"/>
          <w:sz w:val="16"/>
          <w:szCs w:val="16"/>
        </w:rPr>
        <w:tab/>
        <w:t>The provisions of section 148, regarding withholding tax on imports, shall not apply in respect of;-</w:t>
      </w:r>
    </w:p>
    <w:p w:rsidR="00BF2117" w:rsidRPr="00F9084A" w:rsidRDefault="00BF2117" w:rsidP="00AA4BF8">
      <w:pPr>
        <w:jc w:val="both"/>
        <w:rPr>
          <w:snapToGrid w:val="0"/>
          <w:sz w:val="16"/>
          <w:szCs w:val="16"/>
        </w:rPr>
      </w:pPr>
    </w:p>
    <w:p w:rsidR="00BF2117" w:rsidRPr="00F9084A" w:rsidRDefault="00BF2117" w:rsidP="00AA4BF8">
      <w:pPr>
        <w:ind w:left="2160" w:hanging="720"/>
        <w:jc w:val="both"/>
        <w:rPr>
          <w:snapToGrid w:val="0"/>
          <w:sz w:val="16"/>
          <w:szCs w:val="16"/>
        </w:rPr>
      </w:pPr>
      <w:r w:rsidRPr="00F9084A">
        <w:rPr>
          <w:snapToGrid w:val="0"/>
          <w:sz w:val="16"/>
          <w:szCs w:val="16"/>
        </w:rPr>
        <w:t xml:space="preserve">(i) </w:t>
      </w:r>
      <w:r w:rsidRPr="00F9084A">
        <w:rPr>
          <w:snapToGrid w:val="0"/>
          <w:sz w:val="16"/>
          <w:szCs w:val="16"/>
        </w:rPr>
        <w:tab/>
        <w:t>goods or classes of goods imported by contractors and sub-contractors engaged in the execution of power project under the agreement between the Islamic Republic of Pakistan and Hub Power Company Limited;</w:t>
      </w:r>
    </w:p>
    <w:p w:rsidR="00BF2117" w:rsidRPr="00F9084A" w:rsidRDefault="00BF2117" w:rsidP="00AA4BF8">
      <w:pPr>
        <w:ind w:left="2160" w:hanging="720"/>
        <w:jc w:val="both"/>
        <w:rPr>
          <w:snapToGrid w:val="0"/>
          <w:sz w:val="16"/>
          <w:szCs w:val="16"/>
        </w:rPr>
      </w:pPr>
      <w:r w:rsidRPr="00F9084A">
        <w:rPr>
          <w:snapToGrid w:val="0"/>
          <w:sz w:val="16"/>
          <w:szCs w:val="16"/>
        </w:rPr>
        <w:t xml:space="preserve">(ii) </w:t>
      </w:r>
      <w:r w:rsidRPr="00F9084A">
        <w:rPr>
          <w:snapToGrid w:val="0"/>
          <w:sz w:val="16"/>
          <w:szCs w:val="16"/>
        </w:rPr>
        <w:tab/>
        <w:t>such specially equipped motor vehicle or support equipment  imported by a disabled person, as is allowed by the Federal Government;</w:t>
      </w:r>
    </w:p>
    <w:p w:rsidR="00BF2117" w:rsidRPr="00F9084A" w:rsidRDefault="00BF2117" w:rsidP="00AA4BF8">
      <w:pPr>
        <w:ind w:left="2160" w:hanging="720"/>
        <w:jc w:val="both"/>
        <w:rPr>
          <w:snapToGrid w:val="0"/>
          <w:sz w:val="16"/>
          <w:szCs w:val="16"/>
        </w:rPr>
      </w:pPr>
      <w:r w:rsidRPr="00F9084A">
        <w:rPr>
          <w:snapToGrid w:val="0"/>
          <w:sz w:val="16"/>
          <w:szCs w:val="16"/>
        </w:rPr>
        <w:t xml:space="preserve">(iii) </w:t>
      </w:r>
      <w:r w:rsidRPr="00F9084A">
        <w:rPr>
          <w:snapToGrid w:val="0"/>
          <w:sz w:val="16"/>
          <w:szCs w:val="16"/>
        </w:rPr>
        <w:tab/>
        <w:t xml:space="preserve">such goods imported into Pakistan as are exempt from customs duties and sales tax under Headings 9913, 9914 and 9915 of Sub-Chapter III of Chapter 99 of First Schedule the Customs Act, 1969 (IV of 1969); </w:t>
      </w:r>
    </w:p>
    <w:p w:rsidR="00BF2117" w:rsidRPr="00F9084A" w:rsidRDefault="00BF2117" w:rsidP="00AA4BF8">
      <w:pPr>
        <w:ind w:left="2160" w:hanging="720"/>
        <w:jc w:val="both"/>
        <w:rPr>
          <w:snapToGrid w:val="0"/>
          <w:sz w:val="16"/>
          <w:szCs w:val="16"/>
        </w:rPr>
      </w:pPr>
      <w:r w:rsidRPr="00F9084A">
        <w:rPr>
          <w:snapToGrid w:val="0"/>
          <w:sz w:val="16"/>
          <w:szCs w:val="16"/>
        </w:rPr>
        <w:t xml:space="preserve">(iv) </w:t>
      </w:r>
      <w:r w:rsidRPr="00F9084A">
        <w:rPr>
          <w:snapToGrid w:val="0"/>
          <w:sz w:val="16"/>
          <w:szCs w:val="16"/>
        </w:rPr>
        <w:tab/>
        <w:t>goods imported by direct and indirect exporters covered under -</w:t>
      </w:r>
    </w:p>
    <w:p w:rsidR="00BF2117" w:rsidRPr="00F9084A" w:rsidRDefault="00BF2117" w:rsidP="00AA4BF8">
      <w:pPr>
        <w:ind w:left="2880" w:hanging="720"/>
        <w:jc w:val="both"/>
        <w:rPr>
          <w:snapToGrid w:val="0"/>
          <w:sz w:val="16"/>
          <w:szCs w:val="16"/>
        </w:rPr>
      </w:pPr>
      <w:r w:rsidRPr="00F9084A">
        <w:rPr>
          <w:snapToGrid w:val="0"/>
          <w:sz w:val="16"/>
          <w:szCs w:val="16"/>
        </w:rPr>
        <w:t xml:space="preserve">(a) </w:t>
      </w:r>
      <w:r w:rsidRPr="00F9084A">
        <w:rPr>
          <w:snapToGrid w:val="0"/>
          <w:sz w:val="16"/>
          <w:szCs w:val="16"/>
        </w:rPr>
        <w:tab/>
        <w:t>Sub-Chapter 4 of Chapter XII of S.R.O. 450(I)/2001 dated  18.06.2001;</w:t>
      </w:r>
    </w:p>
    <w:p w:rsidR="00BF2117" w:rsidRPr="00F9084A" w:rsidRDefault="00BF2117" w:rsidP="00AA4BF8">
      <w:pPr>
        <w:ind w:left="2880" w:hanging="720"/>
        <w:jc w:val="both"/>
        <w:rPr>
          <w:snapToGrid w:val="0"/>
          <w:sz w:val="16"/>
          <w:szCs w:val="16"/>
        </w:rPr>
      </w:pPr>
      <w:r w:rsidRPr="00F9084A">
        <w:rPr>
          <w:snapToGrid w:val="0"/>
          <w:sz w:val="16"/>
          <w:szCs w:val="16"/>
        </w:rPr>
        <w:t xml:space="preserve">(b) </w:t>
      </w:r>
      <w:r w:rsidRPr="00F9084A">
        <w:rPr>
          <w:snapToGrid w:val="0"/>
          <w:sz w:val="16"/>
          <w:szCs w:val="16"/>
        </w:rPr>
        <w:tab/>
        <w:t xml:space="preserve">Sub-Chapter 6 of Chapter XII of S.R.O. 450(I)/2001 dated 18.06.2001; and </w:t>
      </w:r>
    </w:p>
    <w:p w:rsidR="00BF2117" w:rsidRPr="00F9084A" w:rsidRDefault="00BF2117" w:rsidP="00AA4BF8">
      <w:pPr>
        <w:ind w:left="2880" w:hanging="720"/>
        <w:jc w:val="both"/>
        <w:rPr>
          <w:snapToGrid w:val="0"/>
          <w:sz w:val="16"/>
          <w:szCs w:val="16"/>
        </w:rPr>
      </w:pPr>
      <w:r w:rsidRPr="00F9084A">
        <w:rPr>
          <w:snapToGrid w:val="0"/>
          <w:sz w:val="16"/>
          <w:szCs w:val="16"/>
        </w:rPr>
        <w:t xml:space="preserve">(c) </w:t>
      </w:r>
      <w:r w:rsidRPr="00F9084A">
        <w:rPr>
          <w:snapToGrid w:val="0"/>
          <w:sz w:val="16"/>
          <w:szCs w:val="16"/>
        </w:rPr>
        <w:tab/>
        <w:t>Sub-Chapter 7 of Chapter XII of S.R.O. 450(I)/2001 dated 18.06.2001;</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(v) </w:t>
      </w:r>
      <w:r w:rsidRPr="00F9084A">
        <w:rPr>
          <w:rFonts w:cs="Arial"/>
          <w:snapToGrid w:val="0"/>
          <w:sz w:val="16"/>
          <w:szCs w:val="16"/>
        </w:rPr>
        <w:tab/>
        <w:t>goods specified under Heading 9929, Sub-Chapter VIII of  Chapter 99 of the First Schedule to the Customs Act, 1969 (IV of 1969);</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(vi) </w:t>
      </w:r>
      <w:r w:rsidRPr="00F9084A">
        <w:rPr>
          <w:rFonts w:cs="Arial"/>
          <w:snapToGrid w:val="0"/>
          <w:sz w:val="16"/>
          <w:szCs w:val="16"/>
        </w:rPr>
        <w:tab/>
        <w:t>Liquefied Petroleum Gas (LPG)</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(vii)</w:t>
      </w:r>
      <w:r w:rsidRPr="00F9084A">
        <w:rPr>
          <w:rFonts w:cs="Arial"/>
          <w:snapToGrid w:val="0"/>
          <w:sz w:val="16"/>
          <w:szCs w:val="16"/>
        </w:rPr>
        <w:tab/>
        <w:t>Liquefied Natural Gas (LNG)</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(viii) </w:t>
      </w:r>
      <w:r w:rsidRPr="00F9084A">
        <w:rPr>
          <w:rFonts w:cs="Arial"/>
          <w:snapToGrid w:val="0"/>
          <w:sz w:val="16"/>
          <w:szCs w:val="16"/>
        </w:rPr>
        <w:tab/>
        <w:t>agricultural tractors imported in CBU condition;</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(ix) </w:t>
      </w:r>
      <w:r w:rsidRPr="00F9084A">
        <w:rPr>
          <w:rFonts w:cs="Arial"/>
          <w:snapToGrid w:val="0"/>
          <w:sz w:val="16"/>
          <w:szCs w:val="16"/>
        </w:rPr>
        <w:tab/>
        <w:t>an indirect exporter as defined in the Duty and Tax Remission for Export Rules, 2001 issued under Notification No. S.R.O. 85(I)/2001, dated the 21</w:t>
      </w:r>
      <w:r w:rsidRPr="00F9084A">
        <w:rPr>
          <w:rFonts w:cs="Arial"/>
          <w:snapToGrid w:val="0"/>
          <w:sz w:val="16"/>
          <w:szCs w:val="16"/>
          <w:vertAlign w:val="superscript"/>
        </w:rPr>
        <w:t>st</w:t>
      </w:r>
      <w:r w:rsidRPr="00F9084A">
        <w:rPr>
          <w:rFonts w:cs="Arial"/>
          <w:snapToGrid w:val="0"/>
          <w:sz w:val="16"/>
          <w:szCs w:val="16"/>
        </w:rPr>
        <w:t xml:space="preserve"> March 2001;</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(x) </w:t>
      </w:r>
      <w:r w:rsidRPr="00F9084A">
        <w:rPr>
          <w:rFonts w:cs="Arial"/>
          <w:snapToGrid w:val="0"/>
          <w:sz w:val="16"/>
          <w:szCs w:val="16"/>
        </w:rPr>
        <w:tab/>
        <w:t>Radio Navigational Aid Apparatus imported for an  airport or on after First January, 2006.</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(xii) </w:t>
      </w:r>
      <w:r w:rsidRPr="00F9084A">
        <w:rPr>
          <w:rFonts w:cs="Arial"/>
          <w:snapToGrid w:val="0"/>
          <w:sz w:val="16"/>
          <w:szCs w:val="16"/>
        </w:rPr>
        <w:tab/>
        <w:t>import of the following items, namely:-</w:t>
      </w:r>
    </w:p>
    <w:p w:rsidR="00BF2117" w:rsidRPr="00F9084A" w:rsidRDefault="00BF2117" w:rsidP="00AA4BF8">
      <w:pPr>
        <w:ind w:left="2160"/>
        <w:jc w:val="both"/>
        <w:rPr>
          <w:rFonts w:cs="Arial"/>
          <w:snapToGrid w:val="0"/>
          <w:sz w:val="16"/>
          <w:szCs w:val="16"/>
        </w:rPr>
      </w:pPr>
      <w:r w:rsidRPr="00F9084A">
        <w:rPr>
          <w:rFonts w:cs="Arial"/>
          <w:snapToGrid w:val="0"/>
          <w:sz w:val="16"/>
          <w:szCs w:val="16"/>
        </w:rPr>
        <w:t xml:space="preserve">(a) </w:t>
      </w:r>
      <w:r w:rsidRPr="00F9084A">
        <w:rPr>
          <w:rFonts w:cs="Arial"/>
          <w:snapToGrid w:val="0"/>
          <w:sz w:val="16"/>
          <w:szCs w:val="16"/>
        </w:rPr>
        <w:tab/>
        <w:t>onions;</w:t>
      </w:r>
    </w:p>
    <w:p w:rsidR="00BF2117" w:rsidRPr="00F9084A" w:rsidRDefault="00BF2117" w:rsidP="00AA4BF8">
      <w:pPr>
        <w:ind w:left="2160"/>
        <w:jc w:val="both"/>
        <w:rPr>
          <w:rFonts w:cs="Arial"/>
          <w:snapToGrid w:val="0"/>
          <w:sz w:val="16"/>
          <w:szCs w:val="16"/>
        </w:rPr>
      </w:pPr>
      <w:r w:rsidRPr="00F9084A">
        <w:rPr>
          <w:rFonts w:cs="Arial"/>
          <w:snapToGrid w:val="0"/>
          <w:sz w:val="16"/>
          <w:szCs w:val="16"/>
        </w:rPr>
        <w:t xml:space="preserve">(b) </w:t>
      </w:r>
      <w:r w:rsidRPr="00F9084A">
        <w:rPr>
          <w:rFonts w:cs="Arial"/>
          <w:snapToGrid w:val="0"/>
          <w:sz w:val="16"/>
          <w:szCs w:val="16"/>
        </w:rPr>
        <w:tab/>
        <w:t>potatoes;</w:t>
      </w:r>
    </w:p>
    <w:p w:rsidR="00BF2117" w:rsidRPr="00F9084A" w:rsidRDefault="00BF2117" w:rsidP="00AA4BF8">
      <w:pPr>
        <w:ind w:left="2160"/>
        <w:jc w:val="both"/>
        <w:rPr>
          <w:rFonts w:cs="Arial"/>
          <w:snapToGrid w:val="0"/>
          <w:sz w:val="16"/>
          <w:szCs w:val="16"/>
        </w:rPr>
      </w:pPr>
      <w:r w:rsidRPr="00F9084A">
        <w:rPr>
          <w:rFonts w:cs="Arial"/>
          <w:snapToGrid w:val="0"/>
          <w:sz w:val="16"/>
          <w:szCs w:val="16"/>
        </w:rPr>
        <w:t xml:space="preserve">(c) </w:t>
      </w:r>
      <w:r w:rsidRPr="00F9084A">
        <w:rPr>
          <w:rFonts w:cs="Arial"/>
          <w:snapToGrid w:val="0"/>
          <w:sz w:val="16"/>
          <w:szCs w:val="16"/>
        </w:rPr>
        <w:tab/>
        <w:t>tomatoes;</w:t>
      </w:r>
    </w:p>
    <w:p w:rsidR="00BF2117" w:rsidRPr="00F9084A" w:rsidRDefault="00BF2117" w:rsidP="00AA4BF8">
      <w:pPr>
        <w:ind w:left="2160"/>
        <w:jc w:val="both"/>
        <w:rPr>
          <w:rFonts w:cs="Arial"/>
          <w:snapToGrid w:val="0"/>
          <w:sz w:val="16"/>
          <w:szCs w:val="16"/>
        </w:rPr>
      </w:pPr>
      <w:r w:rsidRPr="00F9084A">
        <w:rPr>
          <w:rFonts w:cs="Arial"/>
          <w:snapToGrid w:val="0"/>
          <w:sz w:val="16"/>
          <w:szCs w:val="16"/>
        </w:rPr>
        <w:t xml:space="preserve">(d) </w:t>
      </w:r>
      <w:r w:rsidRPr="00F9084A">
        <w:rPr>
          <w:rFonts w:cs="Arial"/>
          <w:snapToGrid w:val="0"/>
          <w:sz w:val="16"/>
          <w:szCs w:val="16"/>
        </w:rPr>
        <w:tab/>
        <w:t>garlic;</w:t>
      </w:r>
    </w:p>
    <w:p w:rsidR="00BF2117" w:rsidRPr="00F9084A" w:rsidRDefault="00BF2117" w:rsidP="00AA4BF8">
      <w:pPr>
        <w:ind w:left="2160"/>
        <w:jc w:val="both"/>
        <w:rPr>
          <w:rFonts w:cs="Arial"/>
          <w:snapToGrid w:val="0"/>
          <w:sz w:val="16"/>
          <w:szCs w:val="16"/>
        </w:rPr>
      </w:pPr>
      <w:r w:rsidRPr="00F9084A">
        <w:rPr>
          <w:rFonts w:cs="Arial"/>
          <w:snapToGrid w:val="0"/>
          <w:sz w:val="16"/>
          <w:szCs w:val="16"/>
        </w:rPr>
        <w:t xml:space="preserve">(e) </w:t>
      </w:r>
      <w:r w:rsidRPr="00F9084A">
        <w:rPr>
          <w:rFonts w:cs="Arial"/>
          <w:snapToGrid w:val="0"/>
          <w:sz w:val="16"/>
          <w:szCs w:val="16"/>
        </w:rPr>
        <w:tab/>
        <w:t>halal meat of-</w:t>
      </w:r>
    </w:p>
    <w:p w:rsidR="00BF2117" w:rsidRPr="00F9084A" w:rsidRDefault="00BF2117" w:rsidP="00AA4BF8">
      <w:pPr>
        <w:jc w:val="both"/>
        <w:rPr>
          <w:rFonts w:cs="Arial"/>
          <w:snapToGrid w:val="0"/>
          <w:sz w:val="16"/>
          <w:szCs w:val="16"/>
        </w:rPr>
      </w:pP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t>(1)</w:t>
      </w:r>
      <w:r w:rsidRPr="00F9084A">
        <w:rPr>
          <w:rFonts w:cs="Arial"/>
          <w:snapToGrid w:val="0"/>
          <w:sz w:val="16"/>
          <w:szCs w:val="16"/>
        </w:rPr>
        <w:tab/>
        <w:t xml:space="preserve">(i) </w:t>
      </w:r>
      <w:r w:rsidRPr="00F9084A">
        <w:rPr>
          <w:rFonts w:cs="Arial"/>
          <w:snapToGrid w:val="0"/>
          <w:sz w:val="16"/>
          <w:szCs w:val="16"/>
        </w:rPr>
        <w:tab/>
        <w:t>goat; and</w:t>
      </w:r>
    </w:p>
    <w:p w:rsidR="00BF2117" w:rsidRPr="00F9084A" w:rsidRDefault="00BF2117" w:rsidP="00AA4BF8">
      <w:pPr>
        <w:jc w:val="both"/>
        <w:rPr>
          <w:rFonts w:cs="Arial"/>
          <w:snapToGrid w:val="0"/>
          <w:sz w:val="16"/>
          <w:szCs w:val="16"/>
        </w:rPr>
      </w:pP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t xml:space="preserve">(ii) </w:t>
      </w:r>
      <w:r w:rsidRPr="00F9084A">
        <w:rPr>
          <w:rFonts w:cs="Arial"/>
          <w:snapToGrid w:val="0"/>
          <w:sz w:val="16"/>
          <w:szCs w:val="16"/>
        </w:rPr>
        <w:tab/>
        <w:t>sheep; and</w:t>
      </w:r>
    </w:p>
    <w:p w:rsidR="00BF2117" w:rsidRPr="00F9084A" w:rsidRDefault="00BF2117" w:rsidP="00AA4BF8">
      <w:pPr>
        <w:jc w:val="both"/>
        <w:rPr>
          <w:rFonts w:cs="Arial"/>
          <w:snapToGrid w:val="0"/>
          <w:sz w:val="16"/>
          <w:szCs w:val="16"/>
        </w:rPr>
      </w:pP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t xml:space="preserve">(2) </w:t>
      </w:r>
      <w:r w:rsidRPr="00F9084A">
        <w:rPr>
          <w:rFonts w:cs="Arial"/>
          <w:snapToGrid w:val="0"/>
          <w:sz w:val="16"/>
          <w:szCs w:val="16"/>
        </w:rPr>
        <w:tab/>
        <w:t>beef; and</w:t>
      </w:r>
    </w:p>
    <w:p w:rsidR="00BF2117" w:rsidRPr="00F9084A" w:rsidRDefault="00BF2117" w:rsidP="00AA4BF8">
      <w:pPr>
        <w:ind w:left="2735" w:hanging="545"/>
        <w:jc w:val="both"/>
        <w:rPr>
          <w:rFonts w:cs="Arial"/>
          <w:snapToGrid w:val="0"/>
          <w:sz w:val="16"/>
          <w:szCs w:val="16"/>
        </w:rPr>
      </w:pPr>
      <w:r w:rsidRPr="00F9084A">
        <w:rPr>
          <w:rFonts w:cs="Arial"/>
          <w:snapToGrid w:val="0"/>
          <w:sz w:val="16"/>
          <w:szCs w:val="16"/>
        </w:rPr>
        <w:t xml:space="preserve">(f) </w:t>
      </w:r>
      <w:r w:rsidRPr="00F9084A">
        <w:rPr>
          <w:rFonts w:cs="Arial"/>
          <w:snapToGrid w:val="0"/>
          <w:sz w:val="16"/>
          <w:szCs w:val="16"/>
        </w:rPr>
        <w:tab/>
        <w:t>live animals (bovine animals i.e. buffalos, cows, sheep, goats and camels only);</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(xiv) </w:t>
      </w:r>
      <w:r w:rsidRPr="00F9084A">
        <w:rPr>
          <w:rFonts w:cs="Arial"/>
          <w:snapToGrid w:val="0"/>
          <w:sz w:val="16"/>
          <w:szCs w:val="16"/>
        </w:rPr>
        <w:tab/>
        <w:t>goods donated for the relief of earthquake victims as are exempt from customs duties and sales tax; and</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(xv) </w:t>
      </w:r>
      <w:r w:rsidRPr="00F9084A">
        <w:rPr>
          <w:rFonts w:cs="Arial"/>
          <w:snapToGrid w:val="0"/>
          <w:sz w:val="16"/>
          <w:szCs w:val="16"/>
        </w:rPr>
        <w:tab/>
        <w:t>tents, tarpaulin and blankets.</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(xvii) </w:t>
      </w:r>
      <w:r w:rsidRPr="00F9084A">
        <w:rPr>
          <w:rFonts w:cs="Arial"/>
          <w:snapToGrid w:val="0"/>
          <w:sz w:val="16"/>
          <w:szCs w:val="16"/>
        </w:rPr>
        <w:tab/>
        <w:t>import of ships and floating crafts including tugs, dredgers, survey vessels and other specialized crafts, registered in Pakistan.</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(xviii) </w:t>
      </w:r>
      <w:r w:rsidRPr="00F9084A">
        <w:rPr>
          <w:rFonts w:cs="Arial"/>
          <w:snapToGrid w:val="0"/>
          <w:sz w:val="16"/>
          <w:szCs w:val="16"/>
        </w:rPr>
        <w:tab/>
        <w:t>goods specified in column (2) of the Table below, falling under the PCT heading number mentioned in column (3) of the said Table, namely: -</w:t>
      </w:r>
    </w:p>
    <w:p w:rsidR="00BF2117" w:rsidRPr="00F9084A" w:rsidRDefault="00BF2117" w:rsidP="00AA4BF8">
      <w:pPr>
        <w:ind w:left="2160" w:hanging="720"/>
        <w:jc w:val="both"/>
        <w:rPr>
          <w:rFonts w:cs="Arial"/>
          <w:snapToGrid w:val="0"/>
          <w:sz w:val="16"/>
          <w:szCs w:val="16"/>
        </w:rPr>
      </w:pP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rPr>
        <w:tab/>
      </w:r>
      <w:r w:rsidRPr="00F9084A">
        <w:rPr>
          <w:rFonts w:cs="Arial"/>
          <w:snapToGrid w:val="0"/>
          <w:sz w:val="16"/>
          <w:szCs w:val="16"/>
          <w:u w:val="single"/>
        </w:rPr>
        <w:t>TABLE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218"/>
        <w:gridCol w:w="2345"/>
      </w:tblGrid>
      <w:tr w:rsidR="00BF2117" w:rsidRPr="00F9084A">
        <w:tc>
          <w:tcPr>
            <w:tcW w:w="617" w:type="dxa"/>
          </w:tcPr>
          <w:p w:rsidR="00BF2117" w:rsidRPr="00F9084A" w:rsidRDefault="00BF2117" w:rsidP="00321D5C">
            <w:pPr>
              <w:jc w:val="both"/>
              <w:rPr>
                <w:rFonts w:cs="Arial"/>
                <w:snapToGrid w:val="0"/>
                <w:sz w:val="16"/>
                <w:szCs w:val="16"/>
              </w:rPr>
            </w:pPr>
            <w:r w:rsidRPr="00F9084A">
              <w:rPr>
                <w:rFonts w:cs="Arial"/>
                <w:snapToGrid w:val="0"/>
                <w:sz w:val="16"/>
                <w:szCs w:val="16"/>
              </w:rPr>
              <w:t>S.No.</w:t>
            </w:r>
          </w:p>
        </w:tc>
        <w:tc>
          <w:tcPr>
            <w:tcW w:w="2218" w:type="dxa"/>
          </w:tcPr>
          <w:p w:rsidR="00BF2117" w:rsidRPr="00F9084A" w:rsidRDefault="00BF2117" w:rsidP="00321D5C">
            <w:pPr>
              <w:jc w:val="both"/>
              <w:rPr>
                <w:rFonts w:cs="Arial"/>
                <w:snapToGrid w:val="0"/>
                <w:sz w:val="16"/>
                <w:szCs w:val="16"/>
              </w:rPr>
            </w:pPr>
            <w:r w:rsidRPr="00F9084A">
              <w:rPr>
                <w:rFonts w:cs="Arial"/>
                <w:snapToGrid w:val="0"/>
                <w:sz w:val="16"/>
                <w:szCs w:val="16"/>
              </w:rPr>
              <w:t>Description of goods.</w:t>
            </w:r>
          </w:p>
        </w:tc>
        <w:tc>
          <w:tcPr>
            <w:tcW w:w="2345" w:type="dxa"/>
          </w:tcPr>
          <w:p w:rsidR="00BF2117" w:rsidRPr="00F9084A" w:rsidRDefault="00BF2117" w:rsidP="00321D5C">
            <w:pPr>
              <w:jc w:val="both"/>
              <w:rPr>
                <w:rFonts w:cs="Arial"/>
                <w:snapToGrid w:val="0"/>
                <w:sz w:val="16"/>
                <w:szCs w:val="16"/>
              </w:rPr>
            </w:pPr>
            <w:r w:rsidRPr="00F9084A">
              <w:rPr>
                <w:rFonts w:cs="Arial"/>
                <w:snapToGrid w:val="0"/>
                <w:sz w:val="16"/>
                <w:szCs w:val="16"/>
              </w:rPr>
              <w:t>PCT heading number.</w:t>
            </w:r>
          </w:p>
        </w:tc>
      </w:tr>
      <w:tr w:rsidR="00BF2117" w:rsidRPr="00F9084A">
        <w:tc>
          <w:tcPr>
            <w:tcW w:w="617" w:type="dxa"/>
          </w:tcPr>
          <w:p w:rsidR="00BF2117" w:rsidRPr="00F9084A" w:rsidRDefault="00BF2117" w:rsidP="00321D5C">
            <w:pPr>
              <w:jc w:val="center"/>
              <w:rPr>
                <w:rFonts w:cs="Arial"/>
                <w:snapToGrid w:val="0"/>
                <w:sz w:val="16"/>
                <w:szCs w:val="16"/>
              </w:rPr>
            </w:pPr>
            <w:r w:rsidRPr="00F9084A">
              <w:rPr>
                <w:rFonts w:cs="Arial"/>
                <w:snapToGrid w:val="0"/>
                <w:sz w:val="16"/>
                <w:szCs w:val="16"/>
              </w:rPr>
              <w:t xml:space="preserve">(1) </w:t>
            </w:r>
          </w:p>
        </w:tc>
        <w:tc>
          <w:tcPr>
            <w:tcW w:w="2218" w:type="dxa"/>
          </w:tcPr>
          <w:p w:rsidR="00BF2117" w:rsidRPr="00F9084A" w:rsidRDefault="00BF2117" w:rsidP="00321D5C">
            <w:pPr>
              <w:jc w:val="center"/>
              <w:rPr>
                <w:rFonts w:cs="Arial"/>
                <w:snapToGrid w:val="0"/>
                <w:sz w:val="16"/>
                <w:szCs w:val="16"/>
              </w:rPr>
            </w:pPr>
            <w:r w:rsidRPr="00F9084A">
              <w:rPr>
                <w:rFonts w:cs="Arial"/>
                <w:snapToGrid w:val="0"/>
                <w:sz w:val="16"/>
                <w:szCs w:val="16"/>
              </w:rPr>
              <w:t xml:space="preserve">(2) </w:t>
            </w:r>
          </w:p>
        </w:tc>
        <w:tc>
          <w:tcPr>
            <w:tcW w:w="2345" w:type="dxa"/>
          </w:tcPr>
          <w:p w:rsidR="00BF2117" w:rsidRPr="00F9084A" w:rsidRDefault="00BF2117" w:rsidP="00321D5C">
            <w:pPr>
              <w:jc w:val="center"/>
              <w:rPr>
                <w:rFonts w:cs="Arial"/>
                <w:snapToGrid w:val="0"/>
                <w:sz w:val="16"/>
                <w:szCs w:val="16"/>
              </w:rPr>
            </w:pPr>
            <w:r w:rsidRPr="00F9084A">
              <w:rPr>
                <w:rFonts w:cs="Arial"/>
                <w:snapToGrid w:val="0"/>
                <w:sz w:val="16"/>
                <w:szCs w:val="16"/>
              </w:rPr>
              <w:t>(3)</w:t>
            </w:r>
          </w:p>
        </w:tc>
      </w:tr>
    </w:tbl>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1.</w:t>
      </w:r>
      <w:r w:rsidRPr="00F9084A">
        <w:rPr>
          <w:rFonts w:cs="Arial"/>
          <w:snapToGrid w:val="0"/>
          <w:sz w:val="16"/>
          <w:szCs w:val="16"/>
        </w:rPr>
        <w:tab/>
        <w:t>Camera.</w:t>
      </w:r>
      <w:r w:rsidRPr="00F9084A">
        <w:rPr>
          <w:rFonts w:cs="Arial"/>
          <w:snapToGrid w:val="0"/>
          <w:sz w:val="16"/>
          <w:szCs w:val="16"/>
        </w:rPr>
        <w:tab/>
        <w:t>9007.1100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2.</w:t>
      </w:r>
      <w:r w:rsidRPr="00F9084A">
        <w:rPr>
          <w:rFonts w:cs="Arial"/>
          <w:snapToGrid w:val="0"/>
          <w:sz w:val="16"/>
          <w:szCs w:val="16"/>
        </w:rPr>
        <w:tab/>
        <w:t>Studio lights.</w:t>
      </w:r>
      <w:r w:rsidRPr="00F9084A">
        <w:rPr>
          <w:rFonts w:cs="Arial"/>
          <w:snapToGrid w:val="0"/>
          <w:sz w:val="16"/>
          <w:szCs w:val="16"/>
        </w:rPr>
        <w:tab/>
        <w:t>9405.4010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3.</w:t>
      </w:r>
      <w:r w:rsidRPr="00F9084A">
        <w:rPr>
          <w:rFonts w:cs="Arial"/>
          <w:snapToGrid w:val="0"/>
          <w:sz w:val="16"/>
          <w:szCs w:val="16"/>
        </w:rPr>
        <w:tab/>
        <w:t>Screen.</w:t>
      </w:r>
      <w:r w:rsidRPr="00F9084A">
        <w:rPr>
          <w:rFonts w:cs="Arial"/>
          <w:snapToGrid w:val="0"/>
          <w:sz w:val="16"/>
          <w:szCs w:val="16"/>
        </w:rPr>
        <w:tab/>
        <w:t>9010.6000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4. </w:t>
      </w:r>
      <w:r w:rsidRPr="00F9084A">
        <w:rPr>
          <w:rFonts w:cs="Arial"/>
          <w:snapToGrid w:val="0"/>
          <w:sz w:val="16"/>
          <w:szCs w:val="16"/>
        </w:rPr>
        <w:tab/>
        <w:t>Camera all kind lenses.</w:t>
      </w:r>
      <w:r w:rsidRPr="00F9084A">
        <w:rPr>
          <w:rFonts w:cs="Arial"/>
          <w:snapToGrid w:val="0"/>
          <w:sz w:val="16"/>
          <w:szCs w:val="16"/>
        </w:rPr>
        <w:tab/>
        <w:t>9002.1100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5.</w:t>
      </w:r>
      <w:r w:rsidRPr="00F9084A">
        <w:rPr>
          <w:rFonts w:cs="Arial"/>
          <w:snapToGrid w:val="0"/>
          <w:sz w:val="16"/>
          <w:szCs w:val="16"/>
        </w:rPr>
        <w:tab/>
        <w:t>Stand filers.</w:t>
      </w:r>
      <w:r w:rsidRPr="00F9084A">
        <w:rPr>
          <w:rFonts w:cs="Arial"/>
          <w:snapToGrid w:val="0"/>
          <w:sz w:val="16"/>
          <w:szCs w:val="16"/>
        </w:rPr>
        <w:tab/>
        <w:t>9002.2000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6.</w:t>
      </w:r>
      <w:r w:rsidRPr="00F9084A">
        <w:rPr>
          <w:rFonts w:cs="Arial"/>
          <w:snapToGrid w:val="0"/>
          <w:sz w:val="16"/>
          <w:szCs w:val="16"/>
        </w:rPr>
        <w:tab/>
        <w:t>Lenses video assist.</w:t>
      </w:r>
      <w:r w:rsidRPr="00F9084A">
        <w:rPr>
          <w:rFonts w:cs="Arial"/>
          <w:snapToGrid w:val="0"/>
          <w:sz w:val="16"/>
          <w:szCs w:val="16"/>
        </w:rPr>
        <w:tab/>
        <w:t>9002.1900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7.</w:t>
      </w:r>
      <w:r w:rsidRPr="00F9084A">
        <w:rPr>
          <w:rFonts w:cs="Arial"/>
          <w:snapToGrid w:val="0"/>
          <w:sz w:val="16"/>
          <w:szCs w:val="16"/>
        </w:rPr>
        <w:tab/>
        <w:t>Lights/studio lights.</w:t>
      </w:r>
      <w:r w:rsidRPr="00F9084A">
        <w:rPr>
          <w:rFonts w:cs="Arial"/>
          <w:snapToGrid w:val="0"/>
          <w:sz w:val="16"/>
          <w:szCs w:val="16"/>
        </w:rPr>
        <w:tab/>
        <w:t>9405.4010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8.</w:t>
      </w:r>
      <w:r w:rsidRPr="00F9084A">
        <w:rPr>
          <w:rFonts w:cs="Arial"/>
          <w:snapToGrid w:val="0"/>
          <w:sz w:val="16"/>
          <w:szCs w:val="16"/>
        </w:rPr>
        <w:tab/>
        <w:t>Laboratory for processing.</w:t>
      </w:r>
      <w:r w:rsidRPr="00F9084A">
        <w:rPr>
          <w:rFonts w:cs="Arial"/>
          <w:snapToGrid w:val="0"/>
          <w:sz w:val="16"/>
          <w:szCs w:val="16"/>
        </w:rPr>
        <w:tab/>
        <w:t>9010.5000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9.</w:t>
      </w:r>
      <w:r w:rsidRPr="00F9084A">
        <w:rPr>
          <w:rFonts w:cs="Arial"/>
          <w:snapToGrid w:val="0"/>
          <w:sz w:val="16"/>
          <w:szCs w:val="16"/>
        </w:rPr>
        <w:tab/>
        <w:t>Steam back.</w:t>
      </w:r>
      <w:r w:rsidRPr="00F9084A">
        <w:rPr>
          <w:rFonts w:cs="Arial"/>
          <w:snapToGrid w:val="0"/>
          <w:sz w:val="16"/>
          <w:szCs w:val="16"/>
        </w:rPr>
        <w:tab/>
        <w:t>9405.4010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10.</w:t>
      </w:r>
      <w:r w:rsidRPr="00F9084A">
        <w:rPr>
          <w:rFonts w:cs="Arial"/>
          <w:snapToGrid w:val="0"/>
          <w:sz w:val="16"/>
          <w:szCs w:val="16"/>
        </w:rPr>
        <w:tab/>
        <w:t>Mixing studio facility.</w:t>
      </w:r>
      <w:r w:rsidRPr="00F9084A">
        <w:rPr>
          <w:rFonts w:cs="Arial"/>
          <w:snapToGrid w:val="0"/>
          <w:sz w:val="16"/>
          <w:szCs w:val="16"/>
        </w:rPr>
        <w:tab/>
        <w:t>9010.5000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11.</w:t>
      </w:r>
      <w:r w:rsidRPr="00F9084A">
        <w:rPr>
          <w:rFonts w:cs="Arial"/>
          <w:snapToGrid w:val="0"/>
          <w:sz w:val="16"/>
          <w:szCs w:val="16"/>
        </w:rPr>
        <w:tab/>
        <w:t>Re-mixing and accessories.</w:t>
      </w:r>
      <w:r w:rsidRPr="00F9084A">
        <w:rPr>
          <w:rFonts w:cs="Arial"/>
          <w:snapToGrid w:val="0"/>
          <w:sz w:val="16"/>
          <w:szCs w:val="16"/>
        </w:rPr>
        <w:tab/>
        <w:t>9010.5000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12.</w:t>
      </w:r>
      <w:r w:rsidRPr="00F9084A">
        <w:rPr>
          <w:rFonts w:cs="Arial"/>
          <w:snapToGrid w:val="0"/>
          <w:sz w:val="16"/>
          <w:szCs w:val="16"/>
        </w:rPr>
        <w:tab/>
        <w:t>Jummygib.</w:t>
      </w:r>
      <w:r w:rsidRPr="00F9084A">
        <w:rPr>
          <w:rFonts w:cs="Arial"/>
          <w:snapToGrid w:val="0"/>
          <w:sz w:val="16"/>
          <w:szCs w:val="16"/>
        </w:rPr>
        <w:tab/>
        <w:t>9010.5000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13.</w:t>
      </w:r>
      <w:r w:rsidRPr="00F9084A">
        <w:rPr>
          <w:rFonts w:cs="Arial"/>
          <w:snapToGrid w:val="0"/>
          <w:sz w:val="16"/>
          <w:szCs w:val="16"/>
        </w:rPr>
        <w:tab/>
        <w:t>Negative.</w:t>
      </w:r>
      <w:r w:rsidRPr="00F9084A">
        <w:rPr>
          <w:rFonts w:cs="Arial"/>
          <w:snapToGrid w:val="0"/>
          <w:sz w:val="16"/>
          <w:szCs w:val="16"/>
        </w:rPr>
        <w:tab/>
        <w:t>9010.5000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14.</w:t>
      </w:r>
      <w:r w:rsidRPr="00F9084A">
        <w:rPr>
          <w:rFonts w:cs="Arial"/>
          <w:snapToGrid w:val="0"/>
          <w:sz w:val="16"/>
          <w:szCs w:val="16"/>
        </w:rPr>
        <w:tab/>
        <w:t>Postive.</w:t>
      </w:r>
      <w:r w:rsidRPr="00F9084A">
        <w:rPr>
          <w:rFonts w:cs="Arial"/>
          <w:snapToGrid w:val="0"/>
          <w:sz w:val="16"/>
          <w:szCs w:val="16"/>
        </w:rPr>
        <w:tab/>
        <w:t>9010.5000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15.</w:t>
      </w:r>
      <w:r w:rsidRPr="00F9084A">
        <w:rPr>
          <w:rFonts w:cs="Arial"/>
          <w:snapToGrid w:val="0"/>
          <w:sz w:val="16"/>
          <w:szCs w:val="16"/>
        </w:rPr>
        <w:tab/>
        <w:t>Sound.</w:t>
      </w:r>
      <w:r w:rsidRPr="00F9084A">
        <w:rPr>
          <w:rFonts w:cs="Arial"/>
          <w:snapToGrid w:val="0"/>
          <w:sz w:val="16"/>
          <w:szCs w:val="16"/>
        </w:rPr>
        <w:tab/>
        <w:t>9010.5000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16.</w:t>
      </w:r>
      <w:r w:rsidRPr="00F9084A">
        <w:rPr>
          <w:rFonts w:cs="Arial"/>
          <w:snapToGrid w:val="0"/>
          <w:sz w:val="16"/>
          <w:szCs w:val="16"/>
        </w:rPr>
        <w:tab/>
        <w:t>Magnetic sound/negative.</w:t>
      </w:r>
      <w:r w:rsidRPr="00F9084A">
        <w:rPr>
          <w:rFonts w:cs="Arial"/>
          <w:snapToGrid w:val="0"/>
          <w:sz w:val="16"/>
          <w:szCs w:val="16"/>
        </w:rPr>
        <w:tab/>
        <w:t>9010.5000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t xml:space="preserve">   17.</w:t>
      </w:r>
      <w:r w:rsidRPr="00F9084A">
        <w:rPr>
          <w:rFonts w:cs="Arial"/>
          <w:snapToGrid w:val="0"/>
          <w:sz w:val="16"/>
          <w:szCs w:val="16"/>
        </w:rPr>
        <w:tab/>
        <w:t>Lighting equipment imported</w:t>
      </w:r>
      <w:r w:rsidRPr="00F9084A">
        <w:rPr>
          <w:rFonts w:cs="Arial"/>
          <w:snapToGrid w:val="0"/>
          <w:sz w:val="16"/>
          <w:szCs w:val="16"/>
        </w:rPr>
        <w:tab/>
        <w:t>9405.4010</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r>
      <w:r w:rsidRPr="00F9084A">
        <w:rPr>
          <w:rFonts w:cs="Arial"/>
          <w:snapToGrid w:val="0"/>
          <w:sz w:val="16"/>
          <w:szCs w:val="16"/>
        </w:rPr>
        <w:tab/>
        <w:t>By M/s Rafi Peer Theatre</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ab/>
      </w:r>
      <w:r w:rsidRPr="00F9084A">
        <w:rPr>
          <w:rFonts w:cs="Arial"/>
          <w:snapToGrid w:val="0"/>
          <w:sz w:val="16"/>
          <w:szCs w:val="16"/>
        </w:rPr>
        <w:tab/>
        <w:t>Workshop.</w:t>
      </w:r>
    </w:p>
    <w:p w:rsidR="00BF2117" w:rsidRPr="00F9084A" w:rsidRDefault="00BF2117" w:rsidP="00AA4BF8">
      <w:pPr>
        <w:tabs>
          <w:tab w:val="left" w:pos="2970"/>
          <w:tab w:val="left" w:pos="5580"/>
        </w:tabs>
        <w:ind w:left="2160" w:hanging="720"/>
        <w:jc w:val="both"/>
        <w:rPr>
          <w:rFonts w:cs="Arial"/>
          <w:snapToGrid w:val="0"/>
          <w:sz w:val="16"/>
          <w:szCs w:val="16"/>
        </w:rPr>
      </w:pPr>
      <w:r w:rsidRPr="00F9084A">
        <w:rPr>
          <w:rFonts w:cs="Arial"/>
          <w:snapToGrid w:val="0"/>
          <w:sz w:val="16"/>
          <w:szCs w:val="16"/>
        </w:rPr>
        <w:t xml:space="preserve">            _____________________________________________</w:t>
      </w:r>
    </w:p>
    <w:p w:rsidR="00BF2117" w:rsidRPr="00F9084A" w:rsidRDefault="00BF2117" w:rsidP="00AA4BF8">
      <w:pPr>
        <w:pStyle w:val="Header"/>
        <w:tabs>
          <w:tab w:val="clear" w:pos="4320"/>
        </w:tabs>
        <w:jc w:val="both"/>
        <w:rPr>
          <w:rFonts w:cs="Arial"/>
          <w:snapToGrid w:val="0"/>
          <w:sz w:val="16"/>
          <w:szCs w:val="16"/>
        </w:rPr>
      </w:pP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(xix) </w:t>
      </w:r>
      <w:r w:rsidRPr="00F9084A">
        <w:rPr>
          <w:rFonts w:cs="Arial"/>
          <w:snapToGrid w:val="0"/>
          <w:sz w:val="16"/>
          <w:szCs w:val="16"/>
        </w:rPr>
        <w:tab/>
        <w:t>one time import of 32 buses by Daewoo Express Bus Service Ltd.</w:t>
      </w:r>
    </w:p>
    <w:p w:rsidR="00BF2117" w:rsidRPr="00F9084A" w:rsidRDefault="00BF2117" w:rsidP="00AA4BF8">
      <w:pPr>
        <w:ind w:left="2160" w:hanging="720"/>
        <w:jc w:val="both"/>
        <w:rPr>
          <w:rFonts w:cs="Arial"/>
          <w:snapToGrid w:val="0"/>
          <w:sz w:val="16"/>
          <w:szCs w:val="16"/>
        </w:rPr>
      </w:pPr>
      <w:r w:rsidRPr="00F9084A">
        <w:rPr>
          <w:rFonts w:cs="Arial"/>
          <w:snapToGrid w:val="0"/>
          <w:sz w:val="16"/>
          <w:szCs w:val="16"/>
        </w:rPr>
        <w:t xml:space="preserve"> (xx)</w:t>
      </w:r>
      <w:r w:rsidRPr="00F9084A">
        <w:rPr>
          <w:rFonts w:cs="Arial"/>
          <w:snapToGrid w:val="0"/>
          <w:sz w:val="16"/>
          <w:szCs w:val="16"/>
        </w:rPr>
        <w:tab/>
        <w:t>goods temporarily imported into Pakistan for subsequent exportation and which are exempt from customs duty and sales tax under Notification No. S.R.O. 1065(I)/2005, dated the 20</w:t>
      </w:r>
      <w:r w:rsidRPr="00F9084A">
        <w:rPr>
          <w:rFonts w:cs="Arial"/>
          <w:snapToGrid w:val="0"/>
          <w:sz w:val="16"/>
          <w:szCs w:val="16"/>
          <w:vertAlign w:val="superscript"/>
        </w:rPr>
        <w:t>th</w:t>
      </w:r>
      <w:r w:rsidRPr="00F9084A">
        <w:rPr>
          <w:rFonts w:cs="Arial"/>
          <w:snapToGrid w:val="0"/>
          <w:sz w:val="16"/>
          <w:szCs w:val="16"/>
        </w:rPr>
        <w:t xml:space="preserve"> October, 2005.</w:t>
      </w:r>
    </w:p>
    <w:p w:rsidR="00BF2117" w:rsidRPr="00F9084A" w:rsidRDefault="00BF2117" w:rsidP="00AA4BF8">
      <w:pPr>
        <w:ind w:left="2160" w:hanging="720"/>
        <w:jc w:val="both"/>
        <w:rPr>
          <w:snapToGrid w:val="0"/>
          <w:sz w:val="16"/>
          <w:szCs w:val="16"/>
        </w:rPr>
      </w:pPr>
      <w:r w:rsidRPr="00F9084A">
        <w:rPr>
          <w:snapToGrid w:val="0"/>
          <w:sz w:val="16"/>
          <w:szCs w:val="16"/>
        </w:rPr>
        <w:t xml:space="preserve"> xxi</w:t>
      </w:r>
      <w:r w:rsidRPr="00F9084A">
        <w:rPr>
          <w:snapToGrid w:val="0"/>
          <w:sz w:val="16"/>
          <w:szCs w:val="16"/>
        </w:rPr>
        <w:tab/>
        <w:t>capital goods imported by a manufacturer whose sales are 100% exports and produces a certificate from the Commissioner of Income Tax to the effect that the imported capital goods shall be</w:t>
      </w:r>
    </w:p>
    <w:p w:rsidR="00BF2117" w:rsidRPr="00F9084A" w:rsidRDefault="00BF2117" w:rsidP="00AA4BF8">
      <w:pPr>
        <w:ind w:left="2160" w:hanging="720"/>
        <w:jc w:val="both"/>
        <w:rPr>
          <w:snapToGrid w:val="0"/>
          <w:sz w:val="16"/>
          <w:szCs w:val="16"/>
        </w:rPr>
      </w:pPr>
      <w:r w:rsidRPr="00F9084A">
        <w:rPr>
          <w:snapToGrid w:val="0"/>
          <w:sz w:val="16"/>
          <w:szCs w:val="16"/>
        </w:rPr>
        <w:tab/>
        <w:t xml:space="preserve">(a) </w:t>
      </w:r>
      <w:r w:rsidRPr="00F9084A">
        <w:rPr>
          <w:snapToGrid w:val="0"/>
          <w:sz w:val="16"/>
          <w:szCs w:val="16"/>
        </w:rPr>
        <w:tab/>
        <w:t>installed in his own industrial undertaking; and</w:t>
      </w:r>
    </w:p>
    <w:p w:rsidR="00BF2117" w:rsidRPr="00F9084A" w:rsidRDefault="00BF2117" w:rsidP="00AA4BF8">
      <w:pPr>
        <w:ind w:left="2735" w:hanging="575"/>
        <w:jc w:val="both"/>
        <w:rPr>
          <w:snapToGrid w:val="0"/>
          <w:sz w:val="16"/>
          <w:szCs w:val="16"/>
        </w:rPr>
      </w:pPr>
      <w:r w:rsidRPr="00F9084A">
        <w:rPr>
          <w:snapToGrid w:val="0"/>
          <w:sz w:val="16"/>
          <w:szCs w:val="16"/>
        </w:rPr>
        <w:t xml:space="preserve">(b) </w:t>
      </w:r>
      <w:r w:rsidRPr="00F9084A">
        <w:rPr>
          <w:snapToGrid w:val="0"/>
          <w:sz w:val="16"/>
          <w:szCs w:val="16"/>
        </w:rPr>
        <w:tab/>
        <w:t>exclusively used for production of goods to be exported.</w:t>
      </w:r>
    </w:p>
    <w:p w:rsidR="00BF2117" w:rsidRPr="00F9084A" w:rsidRDefault="00BF2117" w:rsidP="00AA4BF8">
      <w:pPr>
        <w:ind w:left="2160" w:hanging="720"/>
        <w:jc w:val="both"/>
        <w:rPr>
          <w:snapToGrid w:val="0"/>
          <w:sz w:val="16"/>
          <w:szCs w:val="16"/>
        </w:rPr>
      </w:pPr>
      <w:r w:rsidRPr="00F9084A">
        <w:rPr>
          <w:snapToGrid w:val="0"/>
          <w:sz w:val="16"/>
          <w:szCs w:val="16"/>
        </w:rPr>
        <w:t xml:space="preserve">(xxii) </w:t>
      </w:r>
      <w:r w:rsidRPr="00F9084A">
        <w:rPr>
          <w:snapToGrid w:val="0"/>
          <w:sz w:val="16"/>
          <w:szCs w:val="16"/>
        </w:rPr>
        <w:tab/>
        <w:t>Capital goods and raw material imported by manufacturer exporter registered with Sales Tax Department as a manufacturer.</w:t>
      </w:r>
    </w:p>
    <w:p w:rsidR="00BF2117" w:rsidRPr="00F9084A" w:rsidRDefault="00BF2117" w:rsidP="00AA4BF8">
      <w:pPr>
        <w:ind w:left="2160" w:hanging="720"/>
        <w:jc w:val="both"/>
        <w:rPr>
          <w:snapToGrid w:val="0"/>
          <w:sz w:val="16"/>
          <w:szCs w:val="16"/>
        </w:rPr>
      </w:pPr>
      <w:r w:rsidRPr="00F9084A">
        <w:rPr>
          <w:snapToGrid w:val="0"/>
          <w:sz w:val="16"/>
          <w:szCs w:val="16"/>
        </w:rPr>
        <w:t>(xxiii)</w:t>
      </w:r>
      <w:r w:rsidRPr="00F9084A">
        <w:rPr>
          <w:snapToGrid w:val="0"/>
          <w:sz w:val="16"/>
          <w:szCs w:val="16"/>
        </w:rPr>
        <w:tab/>
        <w:t>Petroleum (E&amp;P) companies covered under SRO. 678(I)2004 dated 07.08.2004 except motor vehicles imported by such companies.</w:t>
      </w:r>
    </w:p>
    <w:p w:rsidR="00BF2117" w:rsidRPr="00F9084A" w:rsidRDefault="00BF2117" w:rsidP="00AA4BF8">
      <w:pPr>
        <w:ind w:left="2160" w:hanging="720"/>
        <w:jc w:val="both"/>
        <w:rPr>
          <w:snapToGrid w:val="0"/>
          <w:sz w:val="16"/>
          <w:szCs w:val="16"/>
        </w:rPr>
      </w:pPr>
      <w:r w:rsidRPr="00F9084A">
        <w:rPr>
          <w:snapToGrid w:val="0"/>
          <w:sz w:val="16"/>
          <w:szCs w:val="16"/>
        </w:rPr>
        <w:t>(xxiv)</w:t>
      </w:r>
      <w:r w:rsidRPr="00F9084A">
        <w:rPr>
          <w:snapToGrid w:val="0"/>
          <w:sz w:val="16"/>
          <w:szCs w:val="16"/>
        </w:rPr>
        <w:tab/>
        <w:t>Companies importing high speed diesel oil, light diesel oil, high octane blending component or motor spirit, furnace oil, JP-1, MTBE, kerosene oil, crude oil for refining and chemical use in refining thereof in respect of such goods;</w:t>
      </w:r>
    </w:p>
    <w:p w:rsidR="00BF2117" w:rsidRPr="00F9084A" w:rsidRDefault="00BF2117" w:rsidP="00AA4BF8">
      <w:pPr>
        <w:ind w:left="2160" w:hanging="720"/>
        <w:jc w:val="both"/>
        <w:rPr>
          <w:snapToGrid w:val="0"/>
          <w:sz w:val="16"/>
          <w:szCs w:val="16"/>
        </w:rPr>
      </w:pPr>
      <w:r w:rsidRPr="00F9084A">
        <w:rPr>
          <w:snapToGrid w:val="0"/>
          <w:sz w:val="16"/>
          <w:szCs w:val="16"/>
        </w:rPr>
        <w:t>(xxv)</w:t>
      </w:r>
      <w:r w:rsidRPr="00F9084A">
        <w:rPr>
          <w:snapToGrid w:val="0"/>
          <w:sz w:val="16"/>
          <w:szCs w:val="16"/>
        </w:rPr>
        <w:tab/>
        <w:t>The re-importation of re-usable containers for re-export qualifying for customs-duty and sales tax exemption on temporary import under the Customs</w:t>
      </w:r>
      <w:r w:rsidRPr="00F9084A">
        <w:rPr>
          <w:sz w:val="16"/>
          <w:szCs w:val="16"/>
        </w:rPr>
        <w:t xml:space="preserve"> Notification No. S.R.O.344(I)/95 dated the 25th day of April, 1995; and</w:t>
      </w:r>
    </w:p>
    <w:p w:rsidR="00BF2117" w:rsidRPr="00F9084A" w:rsidRDefault="00BF2117" w:rsidP="004B20DC">
      <w:pPr>
        <w:numPr>
          <w:ilvl w:val="0"/>
          <w:numId w:val="28"/>
        </w:numPr>
        <w:jc w:val="both"/>
        <w:rPr>
          <w:snapToGrid w:val="0"/>
          <w:sz w:val="16"/>
          <w:szCs w:val="16"/>
        </w:rPr>
      </w:pPr>
      <w:r w:rsidRPr="00F9084A">
        <w:rPr>
          <w:snapToGrid w:val="0"/>
          <w:sz w:val="16"/>
          <w:szCs w:val="16"/>
        </w:rPr>
        <w:t>goods donated for relief of flood victims of year 2007 as exempt from customs-duty and sales tax.</w:t>
      </w:r>
    </w:p>
    <w:p w:rsidR="00BF2117" w:rsidRPr="00F9084A" w:rsidRDefault="00BF2117" w:rsidP="00AA4BF8">
      <w:pPr>
        <w:ind w:left="2160" w:hanging="720"/>
        <w:jc w:val="both"/>
        <w:rPr>
          <w:sz w:val="16"/>
          <w:szCs w:val="16"/>
        </w:rPr>
      </w:pPr>
      <w:r w:rsidRPr="00F9084A">
        <w:rPr>
          <w:snapToGrid w:val="0"/>
          <w:sz w:val="16"/>
          <w:szCs w:val="16"/>
        </w:rPr>
        <w:t xml:space="preserve">(xxvii) </w:t>
      </w:r>
      <w:r w:rsidRPr="00F9084A">
        <w:rPr>
          <w:snapToGrid w:val="0"/>
          <w:sz w:val="16"/>
          <w:szCs w:val="16"/>
        </w:rPr>
        <w:tab/>
        <w:t>Plant, machinery, equipment and specific items used in production of bio-diesel as are exempt from customs-duty and sales tax.”</w:t>
      </w:r>
    </w:p>
  </w:footnote>
  <w:footnote w:id="2246">
    <w:p w:rsidR="00BF2117" w:rsidRPr="00ED516E" w:rsidRDefault="00BF2117">
      <w:pPr>
        <w:pStyle w:val="FootnoteText"/>
        <w:rPr>
          <w:sz w:val="16"/>
          <w:szCs w:val="16"/>
          <w:lang w:val="en-US"/>
        </w:rPr>
      </w:pPr>
      <w:r w:rsidRPr="00ED516E">
        <w:rPr>
          <w:rStyle w:val="FootnoteReference"/>
          <w:sz w:val="16"/>
          <w:szCs w:val="16"/>
        </w:rPr>
        <w:footnoteRef/>
      </w:r>
      <w:r>
        <w:rPr>
          <w:sz w:val="16"/>
          <w:szCs w:val="16"/>
        </w:rPr>
        <w:t>The word and figures “</w:t>
      </w:r>
      <w:r w:rsidRPr="00ED516E">
        <w:rPr>
          <w:snapToGrid w:val="0"/>
          <w:sz w:val="16"/>
          <w:szCs w:val="16"/>
        </w:rPr>
        <w:t>Chapters 27, 86 and 99</w:t>
      </w:r>
      <w:r>
        <w:rPr>
          <w:snapToGrid w:val="0"/>
          <w:sz w:val="16"/>
          <w:szCs w:val="16"/>
        </w:rPr>
        <w:t>” substituted by the Finance Act, 2015.</w:t>
      </w:r>
    </w:p>
  </w:footnote>
  <w:footnote w:id="2247">
    <w:p w:rsidR="00BF2117" w:rsidRPr="00C351BE" w:rsidRDefault="00BF2117">
      <w:pPr>
        <w:pStyle w:val="FootnoteText"/>
        <w:rPr>
          <w:sz w:val="16"/>
          <w:szCs w:val="16"/>
          <w:lang w:val="en-US"/>
        </w:rPr>
      </w:pPr>
      <w:r w:rsidRPr="00C351BE">
        <w:rPr>
          <w:rStyle w:val="FootnoteReference"/>
          <w:sz w:val="16"/>
          <w:szCs w:val="16"/>
        </w:rPr>
        <w:footnoteRef/>
      </w:r>
      <w:r>
        <w:rPr>
          <w:sz w:val="16"/>
          <w:szCs w:val="16"/>
        </w:rPr>
        <w:t>Inserted by the Finance Act, 2015.</w:t>
      </w:r>
    </w:p>
  </w:footnote>
  <w:footnote w:id="2248">
    <w:p w:rsidR="00BF2117" w:rsidRPr="00F9084A" w:rsidRDefault="00BF2117" w:rsidP="00AA4BF8">
      <w:pPr>
        <w:pStyle w:val="FootnoteText"/>
        <w:ind w:left="180" w:hanging="180"/>
        <w:jc w:val="both"/>
        <w:rPr>
          <w:sz w:val="16"/>
          <w:szCs w:val="16"/>
        </w:rPr>
      </w:pPr>
      <w:r w:rsidRPr="00F9084A">
        <w:rPr>
          <w:rStyle w:val="FootnoteReference"/>
          <w:rFonts w:cs="Arial"/>
          <w:sz w:val="16"/>
          <w:szCs w:val="16"/>
        </w:rPr>
        <w:footnoteRef/>
      </w:r>
      <w:r w:rsidRPr="00F9084A">
        <w:rPr>
          <w:sz w:val="16"/>
          <w:szCs w:val="16"/>
        </w:rPr>
        <w:t xml:space="preserve"> The words, figures, brackets, commas and symbol “</w:t>
      </w:r>
      <w:r w:rsidRPr="00F9084A">
        <w:rPr>
          <w:snapToGrid w:val="0"/>
          <w:sz w:val="16"/>
          <w:szCs w:val="16"/>
        </w:rPr>
        <w:t>No. S.R.O.1065(I)/2005, dated the 20</w:t>
      </w:r>
      <w:r w:rsidRPr="00F9084A">
        <w:rPr>
          <w:snapToGrid w:val="0"/>
          <w:sz w:val="16"/>
          <w:szCs w:val="16"/>
          <w:vertAlign w:val="superscript"/>
        </w:rPr>
        <w:t>th</w:t>
      </w:r>
      <w:r w:rsidRPr="00F9084A">
        <w:rPr>
          <w:snapToGrid w:val="0"/>
          <w:sz w:val="16"/>
          <w:szCs w:val="16"/>
        </w:rPr>
        <w:t xml:space="preserve"> October, 2005” substituted by the Finance Act, 2012.</w:t>
      </w:r>
    </w:p>
  </w:footnote>
  <w:footnote w:id="2249">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The word “and” omitted by S.R.O. 860(I)/2008, dated 19.08.2008.</w:t>
      </w:r>
    </w:p>
  </w:footnote>
  <w:footnote w:id="2250">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Full stop substituted by S.R.O. 860(I)/2008, dated 19.08.2008.</w:t>
      </w:r>
    </w:p>
  </w:footnote>
  <w:footnote w:id="2251">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Inserted by S.R.O. 860(I)/2008, dated 19.08.2008.</w:t>
      </w:r>
    </w:p>
  </w:footnote>
  <w:footnote w:id="2252">
    <w:p w:rsidR="00BF2117" w:rsidRDefault="00BF2117" w:rsidP="00AA4BF8">
      <w:pPr>
        <w:pStyle w:val="FootnoteText"/>
      </w:pPr>
      <w:r w:rsidRPr="00412620">
        <w:rPr>
          <w:rStyle w:val="FootnoteReference"/>
          <w:rFonts w:cs="Arial"/>
        </w:rPr>
        <w:footnoteRef/>
      </w:r>
      <w:r w:rsidRPr="00412620">
        <w:rPr>
          <w:sz w:val="16"/>
          <w:szCs w:val="16"/>
        </w:rPr>
        <w:t>Inserted by the Finance Act, 2013.</w:t>
      </w:r>
    </w:p>
  </w:footnote>
  <w:footnote w:id="2253">
    <w:p w:rsidR="00BF2117" w:rsidRPr="00F9084A" w:rsidRDefault="00BF2117">
      <w:pPr>
        <w:pStyle w:val="FootnoteText"/>
        <w:rPr>
          <w:sz w:val="16"/>
          <w:szCs w:val="16"/>
          <w:lang w:val="en-US"/>
        </w:rPr>
      </w:pPr>
      <w:r w:rsidRPr="00F9084A">
        <w:rPr>
          <w:rStyle w:val="FootnoteReference"/>
          <w:sz w:val="16"/>
          <w:szCs w:val="16"/>
        </w:rPr>
        <w:footnoteRef/>
      </w:r>
      <w:r w:rsidRPr="00F9084A">
        <w:rPr>
          <w:sz w:val="16"/>
          <w:szCs w:val="16"/>
          <w:lang w:val="en-US"/>
        </w:rPr>
        <w:t>Added by S.R.O 341(I)/2014, dated 02.05.2014.</w:t>
      </w:r>
    </w:p>
  </w:footnote>
  <w:footnote w:id="2254">
    <w:p w:rsidR="00BF2117" w:rsidRDefault="00BF2117" w:rsidP="002202AC">
      <w:pPr>
        <w:jc w:val="both"/>
        <w:rPr>
          <w:b/>
          <w:snapToGrid w:val="0"/>
          <w:sz w:val="20"/>
        </w:rPr>
      </w:pPr>
      <w:r w:rsidRPr="002202AC">
        <w:rPr>
          <w:rStyle w:val="FootnoteReference"/>
          <w:sz w:val="16"/>
          <w:szCs w:val="16"/>
        </w:rPr>
        <w:footnoteRef/>
      </w:r>
      <w:r>
        <w:rPr>
          <w:sz w:val="16"/>
          <w:szCs w:val="16"/>
        </w:rPr>
        <w:t>Expression in clause (56B) omitted by the Finance Act, 2015. The omitted expression read as follows:-</w:t>
      </w:r>
    </w:p>
    <w:p w:rsidR="00BF2117" w:rsidRPr="002202AC" w:rsidRDefault="00BF2117" w:rsidP="002202AC">
      <w:pPr>
        <w:ind w:left="270"/>
        <w:jc w:val="both"/>
        <w:rPr>
          <w:sz w:val="16"/>
          <w:szCs w:val="16"/>
          <w:lang w:val="en-US"/>
        </w:rPr>
      </w:pPr>
      <w:r>
        <w:rPr>
          <w:b/>
          <w:snapToGrid w:val="0"/>
          <w:sz w:val="20"/>
        </w:rPr>
        <w:t>“</w:t>
      </w:r>
      <w:r w:rsidRPr="002202AC">
        <w:rPr>
          <w:b/>
          <w:snapToGrid w:val="0"/>
          <w:sz w:val="16"/>
          <w:szCs w:val="16"/>
        </w:rPr>
        <w:t>(56B)</w:t>
      </w:r>
      <w:r w:rsidRPr="002202AC">
        <w:rPr>
          <w:snapToGrid w:val="0"/>
          <w:sz w:val="16"/>
          <w:szCs w:val="16"/>
        </w:rPr>
        <w:t>Provisions of section 148 shall not apply in respect of import of potatoes between 5</w:t>
      </w:r>
      <w:r w:rsidRPr="002202AC">
        <w:rPr>
          <w:snapToGrid w:val="0"/>
          <w:sz w:val="16"/>
          <w:szCs w:val="16"/>
          <w:vertAlign w:val="superscript"/>
        </w:rPr>
        <w:t>th</w:t>
      </w:r>
      <w:r w:rsidRPr="002202AC">
        <w:rPr>
          <w:snapToGrid w:val="0"/>
          <w:sz w:val="16"/>
          <w:szCs w:val="16"/>
        </w:rPr>
        <w:t xml:space="preserve"> of May, 2014 and 31</w:t>
      </w:r>
      <w:r w:rsidRPr="002202AC">
        <w:rPr>
          <w:snapToGrid w:val="0"/>
          <w:sz w:val="16"/>
          <w:szCs w:val="16"/>
          <w:vertAlign w:val="superscript"/>
        </w:rPr>
        <w:t>st</w:t>
      </w:r>
      <w:r w:rsidRPr="002202AC">
        <w:rPr>
          <w:snapToGrid w:val="0"/>
          <w:sz w:val="16"/>
          <w:szCs w:val="16"/>
        </w:rPr>
        <w:t xml:space="preserve"> of July, 2014, provided that such imports shall not exceeds 200,000 metric tons in aggregate during the said period.</w:t>
      </w:r>
      <w:r>
        <w:rPr>
          <w:snapToGrid w:val="0"/>
          <w:sz w:val="16"/>
          <w:szCs w:val="16"/>
        </w:rPr>
        <w:t>”</w:t>
      </w:r>
    </w:p>
  </w:footnote>
  <w:footnote w:id="2255">
    <w:p w:rsidR="00BF2117" w:rsidRPr="00F852EB" w:rsidRDefault="00BF2117" w:rsidP="00F9084A">
      <w:pPr>
        <w:pStyle w:val="FootnoteText"/>
        <w:ind w:left="90" w:hanging="90"/>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 xml:space="preserve">Inserted by the Finance Act, 2014 and erroneously numbered (56B) as clause (56B) already existed. </w:t>
      </w:r>
    </w:p>
  </w:footnote>
  <w:footnote w:id="2256">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Inserted by the Finance Act, 2014.</w:t>
      </w:r>
    </w:p>
  </w:footnote>
  <w:footnote w:id="2257">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Inserted by the Finance Act, 2014.</w:t>
      </w:r>
    </w:p>
  </w:footnote>
  <w:footnote w:id="2258">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Inserted by the Finance Act, 2014.</w:t>
      </w:r>
    </w:p>
  </w:footnote>
  <w:footnote w:id="2259">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Inserted by the Finance Act, 2014.</w:t>
      </w:r>
    </w:p>
  </w:footnote>
  <w:footnote w:id="2260">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Inserted by the Finance Act, 2014.</w:t>
      </w:r>
    </w:p>
  </w:footnote>
  <w:footnote w:id="2261">
    <w:p w:rsidR="00BF2117" w:rsidRDefault="00BF2117" w:rsidP="00B428CE">
      <w:pPr>
        <w:pStyle w:val="FootnoteText"/>
        <w:jc w:val="both"/>
        <w:rPr>
          <w:sz w:val="16"/>
          <w:szCs w:val="16"/>
        </w:rPr>
      </w:pPr>
      <w:r w:rsidRPr="004834AA">
        <w:rPr>
          <w:rStyle w:val="FootnoteReference"/>
          <w:sz w:val="16"/>
          <w:szCs w:val="16"/>
        </w:rPr>
        <w:footnoteRef/>
      </w:r>
      <w:r>
        <w:rPr>
          <w:sz w:val="16"/>
          <w:szCs w:val="16"/>
        </w:rPr>
        <w:t xml:space="preserve">Clause (56H) omitted by the Finance Act, 2015. The omitted clause (56H) read as follows:- </w:t>
      </w:r>
    </w:p>
    <w:p w:rsidR="00BF2117" w:rsidRPr="004834AA" w:rsidRDefault="00BF2117" w:rsidP="00B428CE">
      <w:pPr>
        <w:pStyle w:val="FootnoteText"/>
        <w:ind w:left="270" w:firstLine="0"/>
        <w:jc w:val="both"/>
        <w:rPr>
          <w:sz w:val="16"/>
          <w:szCs w:val="16"/>
          <w:lang w:val="en-US"/>
        </w:rPr>
      </w:pPr>
      <w:r>
        <w:rPr>
          <w:sz w:val="16"/>
          <w:szCs w:val="16"/>
        </w:rPr>
        <w:t>“(56H) Provisions of section 148 shall not apply in respect of import of potatoes between 5</w:t>
      </w:r>
      <w:r w:rsidRPr="004834AA">
        <w:rPr>
          <w:sz w:val="16"/>
          <w:szCs w:val="16"/>
          <w:vertAlign w:val="superscript"/>
        </w:rPr>
        <w:t>th</w:t>
      </w:r>
      <w:r>
        <w:rPr>
          <w:sz w:val="16"/>
          <w:szCs w:val="16"/>
        </w:rPr>
        <w:t xml:space="preserve"> of May, 2014 and 15</w:t>
      </w:r>
      <w:r w:rsidRPr="004834AA">
        <w:rPr>
          <w:sz w:val="16"/>
          <w:szCs w:val="16"/>
          <w:vertAlign w:val="superscript"/>
        </w:rPr>
        <w:t>th</w:t>
      </w:r>
      <w:r>
        <w:rPr>
          <w:sz w:val="16"/>
          <w:szCs w:val="16"/>
        </w:rPr>
        <w:t xml:space="preserve"> of November, 2014, provided that such import shall not exceed 300,000 metric tons in aggregate during the said period.”</w:t>
      </w:r>
    </w:p>
  </w:footnote>
  <w:footnote w:id="2262">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the Finance Act, 2005.</w:t>
      </w:r>
    </w:p>
  </w:footnote>
  <w:footnote w:id="2263">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The word “section” substituted by S.R.O. 439(I)/2013, dated 20.05.2013.</w:t>
      </w:r>
    </w:p>
  </w:footnote>
  <w:footnote w:id="2264">
    <w:p w:rsidR="00BF2117" w:rsidRPr="00D47C20" w:rsidRDefault="00BF2117">
      <w:pPr>
        <w:pStyle w:val="FootnoteText"/>
        <w:rPr>
          <w:color w:val="0070C0"/>
          <w:sz w:val="16"/>
          <w:szCs w:val="16"/>
          <w:lang w:val="en-US"/>
        </w:rPr>
      </w:pPr>
      <w:r w:rsidRPr="00D47C20">
        <w:rPr>
          <w:rStyle w:val="FootnoteReference"/>
          <w:color w:val="0070C0"/>
          <w:sz w:val="16"/>
          <w:szCs w:val="16"/>
        </w:rPr>
        <w:footnoteRef/>
      </w:r>
      <w:r w:rsidRPr="00D47C20">
        <w:rPr>
          <w:color w:val="0070C0"/>
          <w:sz w:val="16"/>
          <w:szCs w:val="16"/>
        </w:rPr>
        <w:t xml:space="preserve"> The expression “sections 113 and” substituted by the Finance Act, 2016.</w:t>
      </w:r>
    </w:p>
  </w:footnote>
  <w:footnote w:id="2265">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Inserted by S.R.O. 439(I)/2013, dated 20.05.2013.</w:t>
      </w:r>
    </w:p>
  </w:footnote>
  <w:footnote w:id="2266">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The figure “113” omitted by S.R.O. 140(I)/2013 dated 26.02.2013.</w:t>
      </w:r>
    </w:p>
  </w:footnote>
  <w:footnote w:id="2267">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The figure “148” omitted by S.R.O. 140(I)/2013 dated 26.02.2013.</w:t>
      </w:r>
    </w:p>
  </w:footnote>
  <w:footnote w:id="2268">
    <w:p w:rsidR="00BF2117" w:rsidRPr="00F852EB" w:rsidRDefault="00BF2117">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The words “with sales tax department” substituted by the Finance Act, 2014</w:t>
      </w:r>
    </w:p>
  </w:footnote>
  <w:footnote w:id="2269">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The colon substituted by the Finance Act, 2008.</w:t>
      </w:r>
    </w:p>
  </w:footnote>
  <w:footnote w:id="2270">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Full stop substituted by Finance Act, 2009.</w:t>
      </w:r>
    </w:p>
  </w:footnote>
  <w:footnote w:id="2271">
    <w:p w:rsidR="00BF2117" w:rsidRPr="00F9084A" w:rsidRDefault="00BF2117" w:rsidP="00124EA2">
      <w:pPr>
        <w:pStyle w:val="FootnoteText"/>
        <w:ind w:left="90" w:hanging="90"/>
        <w:rPr>
          <w:sz w:val="16"/>
          <w:szCs w:val="16"/>
        </w:rPr>
      </w:pPr>
      <w:r w:rsidRPr="00F9084A">
        <w:rPr>
          <w:rStyle w:val="FootnoteReference"/>
          <w:rFonts w:cs="Arial"/>
          <w:sz w:val="16"/>
          <w:szCs w:val="16"/>
        </w:rPr>
        <w:footnoteRef/>
      </w:r>
      <w:r w:rsidRPr="00F9084A">
        <w:rPr>
          <w:sz w:val="16"/>
          <w:szCs w:val="16"/>
        </w:rPr>
        <w:t xml:space="preserve"> Added by S.R.O. 439(I)2013, dated 20.05.2013. Earlier second proviso was omitted vide S.R.O. 140(I)/2013 dated 26.02.2013. The omitted proviso read as follows:</w:t>
      </w:r>
    </w:p>
    <w:p w:rsidR="00BF2117" w:rsidRPr="00F9084A" w:rsidRDefault="00BF2117" w:rsidP="00124EA2">
      <w:pPr>
        <w:ind w:firstLine="547"/>
        <w:jc w:val="both"/>
        <w:rPr>
          <w:sz w:val="16"/>
          <w:szCs w:val="16"/>
        </w:rPr>
      </w:pPr>
      <w:r w:rsidRPr="00F9084A">
        <w:rPr>
          <w:sz w:val="16"/>
          <w:szCs w:val="16"/>
        </w:rPr>
        <w:t>“</w:t>
      </w:r>
      <w:r w:rsidRPr="00F9084A">
        <w:rPr>
          <w:snapToGrid w:val="0"/>
          <w:sz w:val="16"/>
          <w:szCs w:val="16"/>
        </w:rPr>
        <w:t>Provided further that the exemption from application of section 113 shall be available for the first ten years, starting from the tax year in which the business operations commenced.</w:t>
      </w:r>
      <w:r w:rsidRPr="00F9084A">
        <w:rPr>
          <w:sz w:val="16"/>
          <w:szCs w:val="16"/>
        </w:rPr>
        <w:t xml:space="preserve">” </w:t>
      </w:r>
    </w:p>
  </w:footnote>
  <w:footnote w:id="2272">
    <w:p w:rsidR="00BF2117" w:rsidRPr="00D47C20" w:rsidRDefault="00BF2117">
      <w:pPr>
        <w:pStyle w:val="FootnoteText"/>
        <w:rPr>
          <w:color w:val="0070C0"/>
          <w:sz w:val="16"/>
          <w:szCs w:val="16"/>
        </w:rPr>
      </w:pPr>
      <w:r w:rsidRPr="00D47C20">
        <w:rPr>
          <w:rStyle w:val="FootnoteReference"/>
          <w:color w:val="0070C0"/>
          <w:sz w:val="16"/>
          <w:szCs w:val="16"/>
        </w:rPr>
        <w:footnoteRef/>
      </w:r>
      <w:r w:rsidRPr="00D47C20">
        <w:rPr>
          <w:color w:val="0070C0"/>
          <w:sz w:val="16"/>
          <w:szCs w:val="16"/>
        </w:rPr>
        <w:t xml:space="preserve"> Second proviso substituted by the Finance Act, 2016. Substituted second proviso read as follows:-</w:t>
      </w:r>
    </w:p>
    <w:p w:rsidR="00BF2117" w:rsidRPr="00B7389F" w:rsidRDefault="00BF2117" w:rsidP="00B7389F">
      <w:pPr>
        <w:pStyle w:val="FootnoteText"/>
        <w:ind w:hanging="173"/>
        <w:rPr>
          <w:color w:val="FF0000"/>
          <w:sz w:val="16"/>
          <w:szCs w:val="16"/>
          <w:lang w:val="en-US"/>
        </w:rPr>
      </w:pPr>
      <w:r>
        <w:rPr>
          <w:snapToGrid w:val="0"/>
          <w:sz w:val="16"/>
          <w:szCs w:val="16"/>
        </w:rPr>
        <w:t>“</w:t>
      </w:r>
      <w:r w:rsidRPr="00B7389F">
        <w:rPr>
          <w:snapToGrid w:val="0"/>
          <w:sz w:val="16"/>
          <w:szCs w:val="16"/>
        </w:rPr>
        <w:t>Provided further that the exemption from application of section 113 shall be available for the first ten years, starting from the tax year in which the business operations commenced.</w:t>
      </w:r>
      <w:r>
        <w:rPr>
          <w:snapToGrid w:val="0"/>
          <w:sz w:val="16"/>
          <w:szCs w:val="16"/>
        </w:rPr>
        <w:t>”</w:t>
      </w:r>
    </w:p>
  </w:footnote>
  <w:footnote w:id="2273">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Added by the Finance Act, 2014.</w:t>
      </w:r>
    </w:p>
  </w:footnote>
  <w:footnote w:id="2274">
    <w:p w:rsidR="00BF2117" w:rsidRPr="00B015A0" w:rsidRDefault="00BF2117">
      <w:pPr>
        <w:pStyle w:val="FootnoteText"/>
        <w:rPr>
          <w:sz w:val="16"/>
          <w:szCs w:val="16"/>
          <w:lang w:val="en-US"/>
        </w:rPr>
      </w:pPr>
      <w:r w:rsidRPr="00B015A0">
        <w:rPr>
          <w:rStyle w:val="FootnoteReference"/>
          <w:sz w:val="16"/>
          <w:szCs w:val="16"/>
        </w:rPr>
        <w:footnoteRef/>
      </w:r>
      <w:r>
        <w:rPr>
          <w:sz w:val="16"/>
          <w:szCs w:val="16"/>
        </w:rPr>
        <w:t>Numbered by the Finance Act, 2015.</w:t>
      </w:r>
    </w:p>
  </w:footnote>
  <w:footnote w:id="2275">
    <w:p w:rsidR="00BF2117" w:rsidRPr="002F0A71" w:rsidRDefault="00BF2117">
      <w:pPr>
        <w:pStyle w:val="FootnoteText"/>
        <w:rPr>
          <w:sz w:val="16"/>
          <w:szCs w:val="16"/>
          <w:lang w:val="en-US"/>
        </w:rPr>
      </w:pPr>
      <w:r w:rsidRPr="002F0A71">
        <w:rPr>
          <w:rStyle w:val="FootnoteReference"/>
          <w:sz w:val="16"/>
          <w:szCs w:val="16"/>
        </w:rPr>
        <w:footnoteRef/>
      </w:r>
      <w:r>
        <w:rPr>
          <w:sz w:val="16"/>
          <w:szCs w:val="16"/>
        </w:rPr>
        <w:t xml:space="preserve">Added by the Finance Act, 2015. </w:t>
      </w:r>
    </w:p>
  </w:footnote>
  <w:footnote w:id="2276">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Proviso omitted by the Finance Act, 2008. The omitted proviso read as follows”</w:t>
      </w:r>
    </w:p>
    <w:p w:rsidR="00BF2117" w:rsidRPr="00F9084A" w:rsidRDefault="00BF2117" w:rsidP="00AA4BF8">
      <w:pPr>
        <w:pStyle w:val="FootnoteText"/>
        <w:ind w:left="180" w:hanging="180"/>
        <w:rPr>
          <w:color w:val="0070C0"/>
          <w:sz w:val="16"/>
          <w:szCs w:val="16"/>
        </w:rPr>
      </w:pPr>
      <w:r w:rsidRPr="00F9084A">
        <w:rPr>
          <w:sz w:val="16"/>
          <w:szCs w:val="16"/>
        </w:rPr>
        <w:tab/>
      </w:r>
      <w:r w:rsidRPr="00F9084A">
        <w:rPr>
          <w:sz w:val="16"/>
          <w:szCs w:val="16"/>
        </w:rPr>
        <w:tab/>
        <w:t>“</w:t>
      </w:r>
      <w:r w:rsidRPr="00F9084A">
        <w:rPr>
          <w:snapToGrid w:val="0"/>
          <w:sz w:val="16"/>
          <w:szCs w:val="16"/>
        </w:rPr>
        <w:t xml:space="preserve">Provided further that the exemption from application of section 113 shall be available for the first ten years, starting from the tax year in which the business operations concerned.”    </w:t>
      </w:r>
    </w:p>
  </w:footnote>
  <w:footnote w:id="2277">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Inserted by the Finance Act, 2007.</w:t>
      </w:r>
    </w:p>
  </w:footnote>
  <w:footnote w:id="2278">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Clause (58) omitted by the Finance Act, 2008. The omitted clause (58) read as follows:</w:t>
      </w:r>
    </w:p>
    <w:p w:rsidR="00BF2117" w:rsidRPr="00F9084A" w:rsidRDefault="00BF2117" w:rsidP="00AA4BF8">
      <w:pPr>
        <w:pStyle w:val="Header"/>
        <w:tabs>
          <w:tab w:val="left" w:pos="547"/>
        </w:tabs>
        <w:ind w:left="180" w:hanging="90"/>
        <w:jc w:val="both"/>
        <w:rPr>
          <w:snapToGrid w:val="0"/>
          <w:sz w:val="16"/>
          <w:szCs w:val="16"/>
        </w:rPr>
      </w:pPr>
      <w:r w:rsidRPr="00F9084A">
        <w:rPr>
          <w:sz w:val="16"/>
          <w:szCs w:val="16"/>
        </w:rPr>
        <w:t>“</w:t>
      </w:r>
      <w:r w:rsidRPr="00F9084A">
        <w:rPr>
          <w:b/>
          <w:bCs/>
          <w:snapToGrid w:val="0"/>
          <w:sz w:val="16"/>
          <w:szCs w:val="16"/>
        </w:rPr>
        <w:t>(58)</w:t>
      </w:r>
      <w:r w:rsidRPr="00F9084A">
        <w:rPr>
          <w:snapToGrid w:val="0"/>
          <w:sz w:val="16"/>
          <w:szCs w:val="16"/>
        </w:rPr>
        <w:tab/>
        <w:t xml:space="preserve">The provisions of section 205 shall not apply to telecom companies for default of not collecting withholding tax under section 236 (1)(b) on sale of prepaid cards during tax year 2004, if the amount not collected is deposited within three months: </w:t>
      </w:r>
      <w:r w:rsidRPr="00F9084A">
        <w:rPr>
          <w:snapToGrid w:val="0"/>
          <w:sz w:val="16"/>
          <w:szCs w:val="16"/>
        </w:rPr>
        <w:tab/>
      </w:r>
      <w:r w:rsidRPr="00F9084A">
        <w:rPr>
          <w:snapToGrid w:val="0"/>
          <w:sz w:val="16"/>
          <w:szCs w:val="16"/>
        </w:rPr>
        <w:tab/>
      </w:r>
    </w:p>
    <w:p w:rsidR="00BF2117" w:rsidRPr="00F9084A" w:rsidRDefault="00BF2117" w:rsidP="00AA4BF8">
      <w:pPr>
        <w:ind w:left="180"/>
        <w:jc w:val="both"/>
        <w:rPr>
          <w:sz w:val="16"/>
          <w:szCs w:val="16"/>
        </w:rPr>
      </w:pPr>
      <w:r w:rsidRPr="00F9084A">
        <w:rPr>
          <w:snapToGrid w:val="0"/>
          <w:sz w:val="16"/>
          <w:szCs w:val="16"/>
        </w:rPr>
        <w:tab/>
        <w:t>Provided that nothing contained in this clause shall apply to the amounts collected under section 236(1)(b), but not deposited in the Treasury.”</w:t>
      </w:r>
    </w:p>
  </w:footnote>
  <w:footnote w:id="2279">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the Finance Act, 2005.</w:t>
      </w:r>
    </w:p>
  </w:footnote>
  <w:footnote w:id="2280">
    <w:p w:rsidR="00BF2117" w:rsidRPr="00D47C20" w:rsidRDefault="00BF2117">
      <w:pPr>
        <w:pStyle w:val="FootnoteText"/>
        <w:rPr>
          <w:color w:val="0070C0"/>
          <w:sz w:val="16"/>
          <w:szCs w:val="16"/>
        </w:rPr>
      </w:pPr>
      <w:r w:rsidRPr="00D47C20">
        <w:rPr>
          <w:rStyle w:val="FootnoteReference"/>
          <w:color w:val="0070C0"/>
          <w:sz w:val="16"/>
          <w:szCs w:val="16"/>
        </w:rPr>
        <w:footnoteRef/>
      </w:r>
      <w:r w:rsidRPr="00D47C20">
        <w:rPr>
          <w:color w:val="0070C0"/>
          <w:sz w:val="16"/>
          <w:szCs w:val="16"/>
        </w:rPr>
        <w:t xml:space="preserve"> Sub-clause (i) omitted by the Finance Act, 2016. Omitted sub-clause read as follows:- </w:t>
      </w:r>
    </w:p>
    <w:p w:rsidR="00BF2117" w:rsidRPr="0065340F" w:rsidRDefault="00BF2117" w:rsidP="0065340F">
      <w:pPr>
        <w:ind w:left="900" w:hanging="450"/>
        <w:jc w:val="both"/>
        <w:rPr>
          <w:snapToGrid w:val="0"/>
          <w:sz w:val="16"/>
          <w:szCs w:val="16"/>
        </w:rPr>
      </w:pPr>
      <w:r>
        <w:rPr>
          <w:snapToGrid w:val="0"/>
          <w:sz w:val="16"/>
          <w:szCs w:val="16"/>
        </w:rPr>
        <w:t>“</w:t>
      </w:r>
      <w:r w:rsidRPr="0065340F">
        <w:rPr>
          <w:snapToGrid w:val="0"/>
          <w:sz w:val="16"/>
          <w:szCs w:val="16"/>
        </w:rPr>
        <w:t xml:space="preserve">(i) </w:t>
      </w:r>
      <w:r w:rsidRPr="0065340F">
        <w:rPr>
          <w:snapToGrid w:val="0"/>
          <w:sz w:val="16"/>
          <w:szCs w:val="16"/>
        </w:rPr>
        <w:tab/>
        <w:t>in respect of profit or interest paid on a Term Finance Certificate held by a company which has been issued on, or aft</w:t>
      </w:r>
      <w:r>
        <w:rPr>
          <w:snapToGrid w:val="0"/>
          <w:sz w:val="16"/>
          <w:szCs w:val="16"/>
        </w:rPr>
        <w:t>er, the first day of July, 1999”</w:t>
      </w:r>
    </w:p>
    <w:p w:rsidR="00BF2117" w:rsidRPr="0065340F" w:rsidRDefault="00BF2117">
      <w:pPr>
        <w:pStyle w:val="FootnoteText"/>
        <w:rPr>
          <w:color w:val="FF0000"/>
          <w:sz w:val="16"/>
          <w:szCs w:val="16"/>
          <w:lang w:val="en-US"/>
        </w:rPr>
      </w:pPr>
    </w:p>
  </w:footnote>
  <w:footnote w:id="2281">
    <w:p w:rsidR="00BF2117" w:rsidRDefault="00BF2117">
      <w:pPr>
        <w:pStyle w:val="FootnoteText"/>
        <w:rPr>
          <w:snapToGrid w:val="0"/>
          <w:sz w:val="20"/>
        </w:rPr>
      </w:pPr>
      <w:r w:rsidRPr="005609C5">
        <w:rPr>
          <w:rStyle w:val="FootnoteReference"/>
          <w:sz w:val="16"/>
          <w:szCs w:val="16"/>
        </w:rPr>
        <w:footnoteRef/>
      </w:r>
      <w:r>
        <w:rPr>
          <w:sz w:val="16"/>
          <w:szCs w:val="16"/>
        </w:rPr>
        <w:t>Sub-clause (iii) omitted by the Finance Act, 2015. The omitted sub-clause (iii) reads as follows:-</w:t>
      </w:r>
    </w:p>
    <w:p w:rsidR="00BF2117" w:rsidRPr="005609C5" w:rsidRDefault="00BF2117" w:rsidP="005609C5">
      <w:pPr>
        <w:pStyle w:val="FootnoteText"/>
        <w:ind w:left="540" w:hanging="360"/>
        <w:rPr>
          <w:sz w:val="16"/>
          <w:szCs w:val="16"/>
          <w:lang w:val="en-US"/>
        </w:rPr>
      </w:pPr>
      <w:r>
        <w:rPr>
          <w:snapToGrid w:val="0"/>
          <w:sz w:val="20"/>
        </w:rPr>
        <w:t>“</w:t>
      </w:r>
      <w:r w:rsidRPr="005609C5">
        <w:rPr>
          <w:snapToGrid w:val="0"/>
          <w:sz w:val="16"/>
          <w:szCs w:val="16"/>
        </w:rPr>
        <w:t xml:space="preserve">(iii) </w:t>
      </w:r>
      <w:r w:rsidRPr="005609C5">
        <w:rPr>
          <w:snapToGrid w:val="0"/>
          <w:sz w:val="16"/>
          <w:szCs w:val="16"/>
        </w:rPr>
        <w:tab/>
        <w:t>to Pak rupee accounts or certificates referred to in clause (83) of Part-I of this Schedule; and</w:t>
      </w:r>
      <w:r>
        <w:rPr>
          <w:snapToGrid w:val="0"/>
          <w:sz w:val="16"/>
          <w:szCs w:val="16"/>
        </w:rPr>
        <w:t>”</w:t>
      </w:r>
    </w:p>
  </w:footnote>
  <w:footnote w:id="2282">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Paragraph (a) omitted by the Finance Act, 2013. The omitted paragraph (a) read as follows:</w:t>
      </w:r>
    </w:p>
    <w:p w:rsidR="00BF2117" w:rsidRDefault="00BF2117" w:rsidP="005609C5">
      <w:pPr>
        <w:pStyle w:val="Header"/>
        <w:tabs>
          <w:tab w:val="left" w:pos="547"/>
        </w:tabs>
        <w:ind w:left="900" w:hanging="360"/>
        <w:jc w:val="both"/>
      </w:pPr>
      <w:r w:rsidRPr="00F9084A">
        <w:rPr>
          <w:sz w:val="16"/>
          <w:szCs w:val="16"/>
        </w:rPr>
        <w:t>“</w:t>
      </w:r>
      <w:r w:rsidRPr="00F9084A">
        <w:rPr>
          <w:snapToGrid w:val="0"/>
          <w:sz w:val="16"/>
          <w:szCs w:val="16"/>
        </w:rPr>
        <w:t xml:space="preserve">(a) </w:t>
      </w:r>
      <w:r w:rsidRPr="00F9084A">
        <w:rPr>
          <w:snapToGrid w:val="0"/>
          <w:sz w:val="16"/>
          <w:szCs w:val="16"/>
        </w:rPr>
        <w:tab/>
        <w:t>Defence Savings Certificates, Special Savings Certificates, Savings Accounts or Post Office Savings Accounts, or Term Finance Certificates (TFCs), where such deposit does not exceed one hundred and fifty</w:t>
      </w:r>
      <w:r w:rsidRPr="00412620">
        <w:rPr>
          <w:snapToGrid w:val="0"/>
          <w:sz w:val="16"/>
          <w:szCs w:val="16"/>
        </w:rPr>
        <w:t xml:space="preserve"> thousand rupees; and”</w:t>
      </w:r>
    </w:p>
  </w:footnote>
  <w:footnote w:id="2283">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Inserted by S.R.O. 85(I)/2006, dated 03.02.2006.</w:t>
      </w:r>
    </w:p>
  </w:footnote>
  <w:footnote w:id="2284">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The letters “NTISB” substituted by the Finance Act, 2006.</w:t>
      </w:r>
    </w:p>
  </w:footnote>
  <w:footnote w:id="2285">
    <w:p w:rsidR="00547C4B" w:rsidRPr="00547C4B" w:rsidRDefault="00547C4B">
      <w:pPr>
        <w:pStyle w:val="FootnoteText"/>
        <w:rPr>
          <w:color w:val="FF0000"/>
          <w:sz w:val="20"/>
          <w:lang w:val="en-US"/>
        </w:rPr>
      </w:pPr>
      <w:r w:rsidRPr="00547C4B">
        <w:rPr>
          <w:rStyle w:val="FootnoteReference"/>
          <w:color w:val="FF0000"/>
          <w:sz w:val="16"/>
          <w:szCs w:val="16"/>
        </w:rPr>
        <w:footnoteRef/>
      </w:r>
      <w:r w:rsidRPr="00547C4B">
        <w:rPr>
          <w:color w:val="FF0000"/>
          <w:sz w:val="16"/>
          <w:szCs w:val="16"/>
        </w:rPr>
        <w:t xml:space="preserve"> Inserted by the S.R.O. 735(I)/2016 dated 09.08.2016.</w:t>
      </w:r>
      <w:r>
        <w:rPr>
          <w:color w:val="FF0000"/>
          <w:sz w:val="20"/>
        </w:rPr>
        <w:t xml:space="preserve"> </w:t>
      </w:r>
    </w:p>
  </w:footnote>
  <w:footnote w:id="2286">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S.R.O. 273(I)/2006, dated 21.03.2006.</w:t>
      </w:r>
    </w:p>
  </w:footnote>
  <w:footnote w:id="2287">
    <w:p w:rsidR="00BF2117" w:rsidRDefault="00BF2117" w:rsidP="006B31A9">
      <w:pPr>
        <w:pStyle w:val="Header"/>
        <w:tabs>
          <w:tab w:val="clear" w:pos="4320"/>
          <w:tab w:val="clear" w:pos="8640"/>
        </w:tabs>
        <w:jc w:val="both"/>
        <w:rPr>
          <w:sz w:val="16"/>
          <w:szCs w:val="16"/>
        </w:rPr>
      </w:pPr>
      <w:r w:rsidRPr="006B31A9">
        <w:rPr>
          <w:rStyle w:val="FootnoteReference"/>
          <w:sz w:val="16"/>
          <w:szCs w:val="16"/>
        </w:rPr>
        <w:footnoteRef/>
      </w:r>
      <w:r>
        <w:rPr>
          <w:sz w:val="16"/>
          <w:szCs w:val="16"/>
        </w:rPr>
        <w:t>Clause (61A) omitted by the Finance Act, 2015. The omitted clause (61A) read as follows:-</w:t>
      </w:r>
    </w:p>
    <w:p w:rsidR="00BF2117" w:rsidRPr="006B31A9" w:rsidRDefault="00BF2117" w:rsidP="006B31A9">
      <w:pPr>
        <w:pStyle w:val="Header"/>
        <w:tabs>
          <w:tab w:val="clear" w:pos="4320"/>
          <w:tab w:val="clear" w:pos="8640"/>
        </w:tabs>
        <w:jc w:val="both"/>
        <w:rPr>
          <w:snapToGrid w:val="0"/>
          <w:sz w:val="16"/>
          <w:szCs w:val="16"/>
        </w:rPr>
      </w:pPr>
      <w:r w:rsidRPr="006B31A9">
        <w:rPr>
          <w:b/>
          <w:bCs/>
          <w:snapToGrid w:val="0"/>
          <w:sz w:val="16"/>
          <w:szCs w:val="16"/>
        </w:rPr>
        <w:t>“(61A)</w:t>
      </w:r>
      <w:r w:rsidRPr="006B31A9">
        <w:rPr>
          <w:snapToGrid w:val="0"/>
          <w:sz w:val="16"/>
          <w:szCs w:val="16"/>
        </w:rPr>
        <w:t xml:space="preserve">  The provisions of section 231A shall not apply in respect of any cash withdrawal by exchange companies duly licensed and authorized by the State Bank of Pakistan on their bank account exclusively dedicated for their authorized business related transaction:</w:t>
      </w:r>
    </w:p>
    <w:p w:rsidR="00BF2117" w:rsidRPr="006B31A9" w:rsidRDefault="00BF2117" w:rsidP="00574684">
      <w:pPr>
        <w:pStyle w:val="Header"/>
        <w:tabs>
          <w:tab w:val="clear" w:pos="4320"/>
          <w:tab w:val="clear" w:pos="8640"/>
        </w:tabs>
        <w:ind w:firstLine="270"/>
        <w:jc w:val="both"/>
        <w:rPr>
          <w:snapToGrid w:val="0"/>
          <w:sz w:val="16"/>
          <w:szCs w:val="16"/>
        </w:rPr>
      </w:pPr>
      <w:r w:rsidRPr="006B31A9">
        <w:rPr>
          <w:snapToGrid w:val="0"/>
          <w:sz w:val="16"/>
          <w:szCs w:val="16"/>
        </w:rPr>
        <w:t>Provided that.—</w:t>
      </w:r>
    </w:p>
    <w:p w:rsidR="00BF2117" w:rsidRPr="006B31A9" w:rsidRDefault="00BF2117" w:rsidP="00574684">
      <w:pPr>
        <w:pStyle w:val="Header"/>
        <w:tabs>
          <w:tab w:val="clear" w:pos="4320"/>
          <w:tab w:val="clear" w:pos="8640"/>
        </w:tabs>
        <w:ind w:left="720" w:hanging="270"/>
        <w:jc w:val="both"/>
        <w:rPr>
          <w:snapToGrid w:val="0"/>
          <w:sz w:val="16"/>
          <w:szCs w:val="16"/>
        </w:rPr>
      </w:pPr>
      <w:r w:rsidRPr="006B31A9">
        <w:rPr>
          <w:snapToGrid w:val="0"/>
          <w:sz w:val="16"/>
          <w:szCs w:val="16"/>
        </w:rPr>
        <w:t xml:space="preserve">(a) </w:t>
      </w:r>
      <w:r w:rsidRPr="006B31A9">
        <w:rPr>
          <w:snapToGrid w:val="0"/>
          <w:sz w:val="16"/>
          <w:szCs w:val="16"/>
        </w:rPr>
        <w:tab/>
        <w:t>exemption under this clause shall be available to exchange companies who are issued exemption certificate by the concerned Commissioner Inland Revenue for a financial year; and</w:t>
      </w:r>
      <w:r w:rsidRPr="006B31A9">
        <w:rPr>
          <w:snapToGrid w:val="0"/>
          <w:sz w:val="16"/>
          <w:szCs w:val="16"/>
        </w:rPr>
        <w:tab/>
      </w:r>
      <w:r w:rsidRPr="006B31A9">
        <w:rPr>
          <w:snapToGrid w:val="0"/>
          <w:sz w:val="16"/>
          <w:szCs w:val="16"/>
        </w:rPr>
        <w:tab/>
      </w:r>
    </w:p>
    <w:p w:rsidR="00BF2117" w:rsidRPr="006B31A9" w:rsidRDefault="00BF2117" w:rsidP="00574684">
      <w:pPr>
        <w:pStyle w:val="Header"/>
        <w:tabs>
          <w:tab w:val="clear" w:pos="4320"/>
          <w:tab w:val="clear" w:pos="8640"/>
        </w:tabs>
        <w:ind w:left="720" w:hanging="270"/>
        <w:jc w:val="both"/>
        <w:rPr>
          <w:sz w:val="16"/>
          <w:szCs w:val="16"/>
          <w:lang w:val="en-US"/>
        </w:rPr>
      </w:pPr>
      <w:r w:rsidRPr="006B31A9">
        <w:rPr>
          <w:snapToGrid w:val="0"/>
          <w:sz w:val="16"/>
          <w:szCs w:val="16"/>
        </w:rPr>
        <w:t xml:space="preserve">(b) </w:t>
      </w:r>
      <w:r w:rsidRPr="006B31A9">
        <w:rPr>
          <w:snapToGrid w:val="0"/>
          <w:sz w:val="16"/>
          <w:szCs w:val="16"/>
        </w:rPr>
        <w:tab/>
        <w:t>the Commissioner shall issue the exemption certificate after obtaining relevant details and pa</w:t>
      </w:r>
      <w:r>
        <w:rPr>
          <w:snapToGrid w:val="0"/>
          <w:sz w:val="16"/>
          <w:szCs w:val="16"/>
        </w:rPr>
        <w:t>rticulars of the Bank Accounts.”</w:t>
      </w:r>
    </w:p>
  </w:footnote>
  <w:footnote w:id="2288">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Inserted by S.R.O. 885(I)/2006, dated 29.08.2006.</w:t>
      </w:r>
    </w:p>
  </w:footnote>
  <w:footnote w:id="2289">
    <w:p w:rsidR="00BF2117" w:rsidRPr="00F9084A" w:rsidRDefault="00BF2117" w:rsidP="006A6A45">
      <w:pPr>
        <w:pStyle w:val="FootnoteText"/>
        <w:ind w:left="180" w:hanging="180"/>
        <w:rPr>
          <w:sz w:val="16"/>
          <w:szCs w:val="16"/>
          <w:lang w:val="en-US"/>
        </w:rPr>
      </w:pPr>
      <w:r w:rsidRPr="00F9084A">
        <w:rPr>
          <w:rStyle w:val="FootnoteReference"/>
          <w:sz w:val="16"/>
          <w:szCs w:val="16"/>
        </w:rPr>
        <w:footnoteRef/>
      </w:r>
      <w:r w:rsidRPr="00F9084A">
        <w:rPr>
          <w:sz w:val="16"/>
          <w:szCs w:val="16"/>
        </w:rPr>
        <w:t xml:space="preserve"> Clause (63) </w:t>
      </w:r>
      <w:r w:rsidRPr="00F9084A">
        <w:rPr>
          <w:sz w:val="16"/>
          <w:szCs w:val="16"/>
          <w:lang w:val="en-US"/>
        </w:rPr>
        <w:t xml:space="preserve">substituted by S.R.O 65(I)/2008, dated 21.01.2008. Earlier it was inserted by </w:t>
      </w:r>
      <w:r w:rsidRPr="00F9084A">
        <w:rPr>
          <w:sz w:val="16"/>
          <w:szCs w:val="16"/>
        </w:rPr>
        <w:t xml:space="preserve">S.R.O. 02(I)/2008, dated 01.01.2008. </w:t>
      </w:r>
      <w:r w:rsidRPr="00F9084A">
        <w:rPr>
          <w:sz w:val="16"/>
          <w:szCs w:val="16"/>
          <w:lang w:val="en-US"/>
        </w:rPr>
        <w:t>The substituted clause (63) read as follows:</w:t>
      </w:r>
    </w:p>
    <w:p w:rsidR="00BF2117" w:rsidRPr="00F9084A" w:rsidRDefault="00BF2117" w:rsidP="006A6A45">
      <w:pPr>
        <w:pStyle w:val="FootnoteText"/>
        <w:ind w:left="180" w:hanging="180"/>
        <w:rPr>
          <w:sz w:val="16"/>
          <w:szCs w:val="16"/>
          <w:lang w:val="en-US"/>
        </w:rPr>
      </w:pPr>
      <w:r w:rsidRPr="00F9084A">
        <w:rPr>
          <w:sz w:val="16"/>
          <w:szCs w:val="16"/>
          <w:lang w:val="en-US"/>
        </w:rPr>
        <w:tab/>
      </w:r>
      <w:r w:rsidRPr="00F9084A">
        <w:rPr>
          <w:b/>
          <w:bCs/>
          <w:snapToGrid w:val="0"/>
          <w:sz w:val="16"/>
          <w:szCs w:val="16"/>
        </w:rPr>
        <w:t xml:space="preserve">(63) </w:t>
      </w:r>
      <w:r w:rsidRPr="00F9084A">
        <w:rPr>
          <w:snapToGrid w:val="0"/>
          <w:sz w:val="16"/>
          <w:szCs w:val="16"/>
        </w:rPr>
        <w:tab/>
        <w:t>The provisions of clause (c) of sub-section (36) of section 2 shall not apply in the case of M/s Dawat-ul-Hadiya, Karachi.”</w:t>
      </w:r>
    </w:p>
  </w:footnote>
  <w:footnote w:id="2290">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Clause (64) omitted by the Finance Act, 2009. The omitted clause (64) read as follows:</w:t>
      </w:r>
    </w:p>
    <w:p w:rsidR="00BF2117" w:rsidRPr="00F9084A" w:rsidRDefault="00BF2117" w:rsidP="00AA4BF8">
      <w:pPr>
        <w:autoSpaceDE w:val="0"/>
        <w:autoSpaceDN w:val="0"/>
        <w:adjustRightInd w:val="0"/>
        <w:ind w:left="270"/>
        <w:jc w:val="both"/>
        <w:rPr>
          <w:sz w:val="16"/>
          <w:szCs w:val="16"/>
        </w:rPr>
      </w:pPr>
      <w:r w:rsidRPr="00F9084A">
        <w:rPr>
          <w:sz w:val="16"/>
          <w:szCs w:val="16"/>
        </w:rPr>
        <w:t>“</w:t>
      </w:r>
      <w:r w:rsidRPr="00F9084A">
        <w:rPr>
          <w:b/>
          <w:bCs/>
          <w:snapToGrid w:val="0"/>
          <w:sz w:val="16"/>
          <w:szCs w:val="16"/>
        </w:rPr>
        <w:t>(64)</w:t>
      </w:r>
      <w:r w:rsidRPr="00F9084A">
        <w:rPr>
          <w:sz w:val="16"/>
          <w:szCs w:val="16"/>
          <w:lang w:val="en-US"/>
        </w:rPr>
        <w:t>No tax shall be collected under section 231B during the period commencing from the 21st February, 2008 and ending on the 20th April, 2008 and shall apply to booking of a motor car and delivered during the said period.</w:t>
      </w:r>
    </w:p>
  </w:footnote>
  <w:footnote w:id="2291">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the Finance Act, 2008.</w:t>
      </w:r>
    </w:p>
  </w:footnote>
  <w:footnote w:id="2292">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the Finance Act, 2008.</w:t>
      </w:r>
    </w:p>
  </w:footnote>
  <w:footnote w:id="2293">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S.R.O. 767(I)/2008, dated 21.07.2008. </w:t>
      </w:r>
    </w:p>
  </w:footnote>
  <w:footnote w:id="2294">
    <w:p w:rsidR="00BF2117" w:rsidRPr="00D9635B" w:rsidRDefault="00BF2117">
      <w:pPr>
        <w:pStyle w:val="FootnoteText"/>
        <w:rPr>
          <w:sz w:val="16"/>
          <w:szCs w:val="16"/>
          <w:lang w:val="en-US"/>
        </w:rPr>
      </w:pPr>
      <w:r w:rsidRPr="00D9635B">
        <w:rPr>
          <w:rStyle w:val="FootnoteReference"/>
          <w:sz w:val="16"/>
          <w:szCs w:val="16"/>
        </w:rPr>
        <w:footnoteRef/>
      </w:r>
      <w:r w:rsidRPr="00D9635B">
        <w:rPr>
          <w:sz w:val="16"/>
          <w:szCs w:val="16"/>
        </w:rPr>
        <w:t xml:space="preserve"> Added by the Finance Act, 2015.</w:t>
      </w:r>
    </w:p>
  </w:footnote>
  <w:footnote w:id="2295">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Added by S.R.O. 772(I)/2008, dated 22.07.2008.</w:t>
      </w:r>
    </w:p>
  </w:footnote>
  <w:footnote w:id="2296">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Added by S.R.O. 1012(I)/2008, dated 23.09.2008.</w:t>
      </w:r>
    </w:p>
  </w:footnote>
  <w:footnote w:id="2297">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Added by S.R.O. 129(I)/2009, dated 07.02.2009.</w:t>
      </w:r>
    </w:p>
  </w:footnote>
  <w:footnote w:id="2298">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Inserted vide S.R.O. 712(I)/2009, dated 05.08.2009.</w:t>
      </w:r>
    </w:p>
  </w:footnote>
  <w:footnote w:id="2299">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Added by S.R.O. 810(I)/2009, dated 19.09.2009.</w:t>
      </w:r>
    </w:p>
  </w:footnote>
  <w:footnote w:id="2300">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Inserted by the Finance Act, 2013.</w:t>
      </w:r>
    </w:p>
  </w:footnote>
  <w:footnote w:id="2301">
    <w:p w:rsidR="00BF2117" w:rsidRPr="00CD4B03" w:rsidRDefault="00BF2117">
      <w:pPr>
        <w:pStyle w:val="FootnoteText"/>
        <w:rPr>
          <w:sz w:val="16"/>
          <w:szCs w:val="16"/>
          <w:lang w:val="en-US"/>
        </w:rPr>
      </w:pPr>
      <w:r w:rsidRPr="00CD4B03">
        <w:rPr>
          <w:rStyle w:val="FootnoteReference"/>
          <w:sz w:val="16"/>
          <w:szCs w:val="16"/>
        </w:rPr>
        <w:footnoteRef/>
      </w:r>
      <w:r>
        <w:rPr>
          <w:sz w:val="16"/>
          <w:szCs w:val="16"/>
        </w:rPr>
        <w:t>Inserted by the Finance Act, 2015.</w:t>
      </w:r>
    </w:p>
  </w:footnote>
  <w:footnote w:id="2302">
    <w:p w:rsidR="00BF2117" w:rsidRPr="000E5E48" w:rsidRDefault="00BF2117">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The words and figure “and 2015” substituted by the Finance Act, 2016.</w:t>
      </w:r>
    </w:p>
  </w:footnote>
  <w:footnote w:id="2303">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Inserted by the Finance Act, 2013.</w:t>
      </w:r>
    </w:p>
  </w:footnote>
  <w:footnote w:id="2304">
    <w:p w:rsidR="00BF2117" w:rsidRPr="000E5E48" w:rsidRDefault="00BF2117">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Full-stop substituted by the Finance Act, 2016.</w:t>
      </w:r>
    </w:p>
  </w:footnote>
  <w:footnote w:id="2305">
    <w:p w:rsidR="00BF2117" w:rsidRPr="00852912" w:rsidRDefault="00BF2117">
      <w:pPr>
        <w:pStyle w:val="FootnoteText"/>
        <w:rPr>
          <w:color w:val="FF0000"/>
          <w:sz w:val="16"/>
          <w:szCs w:val="16"/>
          <w:lang w:val="en-US"/>
        </w:rPr>
      </w:pPr>
      <w:r w:rsidRPr="000E5E48">
        <w:rPr>
          <w:rStyle w:val="FootnoteReference"/>
          <w:color w:val="0070C0"/>
          <w:sz w:val="16"/>
          <w:szCs w:val="16"/>
        </w:rPr>
        <w:footnoteRef/>
      </w:r>
      <w:r w:rsidRPr="000E5E48">
        <w:rPr>
          <w:color w:val="0070C0"/>
          <w:sz w:val="16"/>
          <w:szCs w:val="16"/>
        </w:rPr>
        <w:t xml:space="preserve"> Added by the Finance Act, 2016.</w:t>
      </w:r>
    </w:p>
  </w:footnote>
  <w:footnote w:id="2306">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the Finance Act, 2010.</w:t>
      </w:r>
    </w:p>
  </w:footnote>
  <w:footnote w:id="2307">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the Finance Act, 2010.</w:t>
      </w:r>
    </w:p>
  </w:footnote>
  <w:footnote w:id="2308">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the Finance Act, 2010.</w:t>
      </w:r>
    </w:p>
  </w:footnote>
  <w:footnote w:id="2309">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Clause (76) omitted by the Finance Act, 2012. The omitted clause (76) read as follows:</w:t>
      </w:r>
    </w:p>
    <w:p w:rsidR="00BF2117" w:rsidRPr="00F9084A" w:rsidRDefault="00BF2117" w:rsidP="00AA4BF8">
      <w:pPr>
        <w:pStyle w:val="FootnoteText"/>
        <w:ind w:left="180" w:firstLine="0"/>
        <w:jc w:val="both"/>
        <w:rPr>
          <w:sz w:val="16"/>
          <w:szCs w:val="16"/>
        </w:rPr>
      </w:pPr>
      <w:r w:rsidRPr="00F9084A">
        <w:rPr>
          <w:sz w:val="16"/>
          <w:szCs w:val="16"/>
        </w:rPr>
        <w:t>“</w:t>
      </w:r>
      <w:r w:rsidRPr="00F9084A">
        <w:rPr>
          <w:b/>
          <w:bCs/>
          <w:snapToGrid w:val="0"/>
          <w:sz w:val="16"/>
          <w:szCs w:val="16"/>
        </w:rPr>
        <w:t>(76)</w:t>
      </w:r>
      <w:r w:rsidRPr="00F9084A">
        <w:rPr>
          <w:snapToGrid w:val="0"/>
          <w:sz w:val="16"/>
          <w:szCs w:val="16"/>
        </w:rPr>
        <w:tab/>
        <w:t>The provisions of section 148 shall not apply on import of solar PV panels / modules, along with related components including investors, charge controllers and batteries, LVD induction lamps, SMD LEDs with or without ballast with fittings and fixtures, fully assembled wind turbines including alternator and mast, solar torches, lanterns and related instruments.”</w:t>
      </w:r>
    </w:p>
  </w:footnote>
  <w:footnote w:id="2310">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S.R.O. 263(I)/2011, dated 19.03.2011.</w:t>
      </w:r>
    </w:p>
  </w:footnote>
  <w:footnote w:id="2311">
    <w:p w:rsidR="00BF2117" w:rsidRPr="00CD4B03" w:rsidRDefault="00BF2117">
      <w:pPr>
        <w:pStyle w:val="FootnoteText"/>
        <w:rPr>
          <w:sz w:val="16"/>
          <w:szCs w:val="16"/>
          <w:lang w:val="en-US"/>
        </w:rPr>
      </w:pPr>
      <w:r w:rsidRPr="00CD4B03">
        <w:rPr>
          <w:rStyle w:val="FootnoteReference"/>
          <w:sz w:val="16"/>
          <w:szCs w:val="16"/>
        </w:rPr>
        <w:footnoteRef/>
      </w:r>
      <w:r>
        <w:rPr>
          <w:sz w:val="16"/>
          <w:szCs w:val="16"/>
        </w:rPr>
        <w:t>Added by the Finance Act, 2015.</w:t>
      </w:r>
    </w:p>
  </w:footnote>
  <w:footnote w:id="2312">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lang w:val="en-US"/>
        </w:rPr>
        <w:t>The word “along with” substituted by the Finance Act, 2012.</w:t>
      </w:r>
    </w:p>
  </w:footnote>
  <w:footnote w:id="2313">
    <w:p w:rsidR="00BF2117" w:rsidRPr="00F9084A" w:rsidRDefault="00BF2117" w:rsidP="00AA4BF8">
      <w:pPr>
        <w:pStyle w:val="FootnoteText"/>
        <w:rPr>
          <w:sz w:val="16"/>
          <w:szCs w:val="16"/>
        </w:rPr>
      </w:pPr>
      <w:r w:rsidRPr="00F9084A">
        <w:rPr>
          <w:rStyle w:val="FootnoteReference"/>
          <w:rFonts w:cs="Arial"/>
          <w:sz w:val="16"/>
          <w:szCs w:val="16"/>
        </w:rPr>
        <w:footnoteRef/>
      </w:r>
      <w:r w:rsidRPr="00F9084A">
        <w:rPr>
          <w:sz w:val="16"/>
          <w:szCs w:val="16"/>
        </w:rPr>
        <w:t xml:space="preserve"> Added by S.R.O. 317(I)/2011, dated 19.04.2011.</w:t>
      </w:r>
    </w:p>
  </w:footnote>
  <w:footnote w:id="2314">
    <w:p w:rsidR="00BF2117" w:rsidRPr="00F9084A" w:rsidRDefault="00BF2117" w:rsidP="00AA4BF8">
      <w:pPr>
        <w:pStyle w:val="FootnoteText"/>
        <w:ind w:left="180" w:hanging="180"/>
        <w:jc w:val="both"/>
        <w:rPr>
          <w:sz w:val="16"/>
          <w:szCs w:val="16"/>
        </w:rPr>
      </w:pPr>
      <w:r w:rsidRPr="00F9084A">
        <w:rPr>
          <w:rStyle w:val="FootnoteReference"/>
          <w:rFonts w:cs="Arial"/>
          <w:sz w:val="16"/>
          <w:szCs w:val="16"/>
        </w:rPr>
        <w:footnoteRef/>
      </w:r>
      <w:r w:rsidRPr="00F9084A">
        <w:rPr>
          <w:sz w:val="16"/>
          <w:szCs w:val="16"/>
        </w:rPr>
        <w:t xml:space="preserve"> The words “With respect to a project situated in the Special Economic Zone at Thar coalfield” substituted by S.R.O. 609(I)/2011, dated 13.06.2011.</w:t>
      </w:r>
    </w:p>
  </w:footnote>
  <w:footnote w:id="2315">
    <w:p w:rsidR="00BF2117" w:rsidRPr="00F917CF" w:rsidRDefault="00BF2117" w:rsidP="00FF024E">
      <w:pPr>
        <w:pStyle w:val="FootnoteText"/>
        <w:ind w:left="180" w:hanging="180"/>
        <w:jc w:val="both"/>
        <w:rPr>
          <w:lang w:val="en-US"/>
        </w:rPr>
      </w:pPr>
      <w:r>
        <w:rPr>
          <w:rStyle w:val="FootnoteReference"/>
        </w:rPr>
        <w:footnoteRef/>
      </w:r>
      <w:r w:rsidRPr="00F9084A">
        <w:rPr>
          <w:sz w:val="16"/>
          <w:szCs w:val="16"/>
        </w:rPr>
        <w:t>The words “</w:t>
      </w:r>
      <w:r w:rsidRPr="0050218F">
        <w:rPr>
          <w:snapToGrid w:val="0"/>
          <w:sz w:val="16"/>
          <w:szCs w:val="16"/>
        </w:rPr>
        <w:t>152(2A) and section</w:t>
      </w:r>
      <w:r>
        <w:rPr>
          <w:snapToGrid w:val="0"/>
          <w:color w:val="984806" w:themeColor="accent6" w:themeShade="80"/>
          <w:sz w:val="16"/>
          <w:szCs w:val="16"/>
        </w:rPr>
        <w:t xml:space="preserve">” </w:t>
      </w:r>
      <w:r>
        <w:rPr>
          <w:sz w:val="16"/>
          <w:szCs w:val="16"/>
        </w:rPr>
        <w:t xml:space="preserve">inserted </w:t>
      </w:r>
      <w:r w:rsidRPr="00F9084A">
        <w:rPr>
          <w:sz w:val="16"/>
          <w:szCs w:val="16"/>
        </w:rPr>
        <w:t xml:space="preserve">by S.R.O. </w:t>
      </w:r>
      <w:r>
        <w:rPr>
          <w:sz w:val="16"/>
          <w:szCs w:val="16"/>
        </w:rPr>
        <w:t>235</w:t>
      </w:r>
      <w:r w:rsidRPr="00F9084A">
        <w:rPr>
          <w:sz w:val="16"/>
          <w:szCs w:val="16"/>
        </w:rPr>
        <w:t>(I)/201</w:t>
      </w:r>
      <w:r>
        <w:rPr>
          <w:sz w:val="16"/>
          <w:szCs w:val="16"/>
        </w:rPr>
        <w:t>5</w:t>
      </w:r>
      <w:r w:rsidRPr="00F9084A">
        <w:rPr>
          <w:sz w:val="16"/>
          <w:szCs w:val="16"/>
        </w:rPr>
        <w:t>, dated 1</w:t>
      </w:r>
      <w:r>
        <w:rPr>
          <w:sz w:val="16"/>
          <w:szCs w:val="16"/>
        </w:rPr>
        <w:t>8</w:t>
      </w:r>
      <w:r w:rsidRPr="00F9084A">
        <w:rPr>
          <w:sz w:val="16"/>
          <w:szCs w:val="16"/>
        </w:rPr>
        <w:t>.0</w:t>
      </w:r>
      <w:r>
        <w:rPr>
          <w:sz w:val="16"/>
          <w:szCs w:val="16"/>
        </w:rPr>
        <w:t>3</w:t>
      </w:r>
      <w:r w:rsidRPr="00F9084A">
        <w:rPr>
          <w:sz w:val="16"/>
          <w:szCs w:val="16"/>
        </w:rPr>
        <w:t>.201</w:t>
      </w:r>
      <w:r>
        <w:rPr>
          <w:sz w:val="16"/>
          <w:szCs w:val="16"/>
        </w:rPr>
        <w:t>5</w:t>
      </w:r>
      <w:r w:rsidRPr="00F9084A">
        <w:rPr>
          <w:sz w:val="16"/>
          <w:szCs w:val="16"/>
        </w:rPr>
        <w:t>.</w:t>
      </w:r>
    </w:p>
  </w:footnote>
  <w:footnote w:id="2316">
    <w:p w:rsidR="00BF2117" w:rsidRDefault="00BF2117">
      <w:pPr>
        <w:pStyle w:val="FootnoteText"/>
        <w:rPr>
          <w:rFonts w:cs="Arial"/>
          <w:snapToGrid w:val="0"/>
          <w:sz w:val="20"/>
        </w:rPr>
      </w:pPr>
      <w:r w:rsidRPr="00BC48F2">
        <w:rPr>
          <w:rStyle w:val="FootnoteReference"/>
          <w:sz w:val="16"/>
          <w:szCs w:val="16"/>
        </w:rPr>
        <w:footnoteRef/>
      </w:r>
      <w:r w:rsidRPr="00BC48F2">
        <w:rPr>
          <w:sz w:val="16"/>
          <w:szCs w:val="16"/>
          <w:lang w:val="en-US"/>
        </w:rPr>
        <w:t>Clause (79) omitted by the Finance Act, 2015. The omitted clause (79) read as follows:-</w:t>
      </w:r>
    </w:p>
    <w:p w:rsidR="00BF2117" w:rsidRPr="00BC48F2" w:rsidRDefault="00BF2117" w:rsidP="00BC48F2">
      <w:pPr>
        <w:pStyle w:val="FootnoteText"/>
        <w:ind w:left="270" w:firstLine="0"/>
        <w:jc w:val="both"/>
        <w:rPr>
          <w:sz w:val="16"/>
          <w:szCs w:val="16"/>
          <w:lang w:val="en-US"/>
        </w:rPr>
      </w:pPr>
      <w:r>
        <w:rPr>
          <w:rFonts w:cs="Arial"/>
          <w:snapToGrid w:val="0"/>
          <w:sz w:val="20"/>
        </w:rPr>
        <w:t>“</w:t>
      </w:r>
      <w:r w:rsidRPr="00BC48F2">
        <w:rPr>
          <w:snapToGrid w:val="0"/>
          <w:sz w:val="16"/>
          <w:szCs w:val="16"/>
        </w:rPr>
        <w:t>[</w:t>
      </w:r>
      <w:r w:rsidRPr="00BC48F2">
        <w:rPr>
          <w:b/>
          <w:bCs/>
          <w:snapToGrid w:val="0"/>
          <w:sz w:val="16"/>
          <w:szCs w:val="16"/>
        </w:rPr>
        <w:t>(79)</w:t>
      </w:r>
      <w:r>
        <w:rPr>
          <w:snapToGrid w:val="0"/>
          <w:sz w:val="16"/>
          <w:szCs w:val="16"/>
        </w:rPr>
        <w:tab/>
      </w:r>
      <w:r w:rsidRPr="00BC48F2">
        <w:rPr>
          <w:snapToGrid w:val="0"/>
          <w:sz w:val="16"/>
          <w:szCs w:val="16"/>
        </w:rPr>
        <w:t>The provisions of clause (b) of proviso to sub-section (3) of section 153 shall not be applicable to the tax withheld on payments received by a company for providing or rendering of services.]</w:t>
      </w:r>
    </w:p>
  </w:footnote>
  <w:footnote w:id="2317">
    <w:p w:rsidR="00BF2117" w:rsidRPr="00F852EB" w:rsidRDefault="00BF2117" w:rsidP="00AA4BF8">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(80) omitted by the Finance Act, 2014. The omitted clause read as follows:</w:t>
      </w:r>
    </w:p>
    <w:p w:rsidR="00BF2117" w:rsidRPr="00F852EB" w:rsidRDefault="00BF2117" w:rsidP="001318A4">
      <w:pPr>
        <w:jc w:val="both"/>
        <w:rPr>
          <w:color w:val="000000" w:themeColor="text1"/>
          <w:sz w:val="16"/>
          <w:szCs w:val="16"/>
          <w:lang w:val="en-US"/>
        </w:rPr>
      </w:pPr>
      <w:r w:rsidRPr="00F852EB">
        <w:rPr>
          <w:color w:val="000000" w:themeColor="text1"/>
          <w:sz w:val="16"/>
          <w:szCs w:val="16"/>
          <w:lang w:val="en-US"/>
        </w:rPr>
        <w:t>“</w:t>
      </w:r>
      <w:r w:rsidRPr="00F852EB">
        <w:rPr>
          <w:rFonts w:cs="Arial"/>
          <w:snapToGrid w:val="0"/>
          <w:color w:val="000000" w:themeColor="text1"/>
          <w:sz w:val="16"/>
          <w:szCs w:val="16"/>
        </w:rPr>
        <w:t>(80)</w:t>
      </w:r>
      <w:r w:rsidRPr="00F852EB">
        <w:rPr>
          <w:rFonts w:cs="Arial"/>
          <w:snapToGrid w:val="0"/>
          <w:color w:val="000000" w:themeColor="text1"/>
          <w:sz w:val="16"/>
          <w:szCs w:val="16"/>
        </w:rPr>
        <w:tab/>
        <w:t>The provisions of section 153A, shall not apply to any manufacturer till 30</w:t>
      </w:r>
      <w:r w:rsidRPr="00F852EB">
        <w:rPr>
          <w:rFonts w:cs="Arial"/>
          <w:snapToGrid w:val="0"/>
          <w:color w:val="000000" w:themeColor="text1"/>
          <w:sz w:val="16"/>
          <w:szCs w:val="16"/>
          <w:vertAlign w:val="superscript"/>
        </w:rPr>
        <w:t>th</w:t>
      </w:r>
      <w:r w:rsidRPr="00F852EB">
        <w:rPr>
          <w:rFonts w:cs="Arial"/>
          <w:snapToGrid w:val="0"/>
          <w:color w:val="000000" w:themeColor="text1"/>
          <w:sz w:val="16"/>
          <w:szCs w:val="16"/>
        </w:rPr>
        <w:t xml:space="preserve"> June, 2013.”</w:t>
      </w:r>
    </w:p>
  </w:footnote>
  <w:footnote w:id="2318">
    <w:p w:rsidR="00BF2117" w:rsidRPr="00F852EB" w:rsidRDefault="00BF2117">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(81) added by S.R.O. 900(I)/2013, dated 04.10.2013.</w:t>
      </w:r>
    </w:p>
  </w:footnote>
  <w:footnote w:id="2319">
    <w:p w:rsidR="00BF2117" w:rsidRPr="00F852EB" w:rsidRDefault="00BF2117">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(82) added by S.R.O. 978(I)/2013, dated 13.11.2013.</w:t>
      </w:r>
    </w:p>
  </w:footnote>
  <w:footnote w:id="2320">
    <w:p w:rsidR="00BF2117" w:rsidRPr="000E5E48" w:rsidRDefault="00BF2117">
      <w:pPr>
        <w:pStyle w:val="FootnoteText"/>
        <w:rPr>
          <w:color w:val="0070C0"/>
          <w:sz w:val="16"/>
          <w:szCs w:val="16"/>
        </w:rPr>
      </w:pPr>
      <w:r w:rsidRPr="000E5E48">
        <w:rPr>
          <w:rStyle w:val="FootnoteReference"/>
          <w:color w:val="0070C0"/>
          <w:sz w:val="16"/>
          <w:szCs w:val="16"/>
        </w:rPr>
        <w:footnoteRef/>
      </w:r>
      <w:r w:rsidRPr="000E5E48">
        <w:rPr>
          <w:color w:val="0070C0"/>
          <w:sz w:val="16"/>
          <w:szCs w:val="16"/>
        </w:rPr>
        <w:t xml:space="preserve"> Clause (82) omitted by the Finance Act, 2016. Omitted clause read as follows:-</w:t>
      </w:r>
    </w:p>
    <w:p w:rsidR="00BF2117" w:rsidRPr="00020AD2" w:rsidRDefault="00BF2117" w:rsidP="00020AD2">
      <w:pPr>
        <w:pStyle w:val="FootnoteText"/>
        <w:ind w:left="630" w:hanging="83"/>
        <w:rPr>
          <w:color w:val="FF0000"/>
          <w:sz w:val="16"/>
          <w:szCs w:val="16"/>
          <w:lang w:val="en-US"/>
        </w:rPr>
      </w:pPr>
      <w:r>
        <w:rPr>
          <w:rFonts w:cs="Arial"/>
          <w:snapToGrid w:val="0"/>
          <w:sz w:val="16"/>
          <w:szCs w:val="16"/>
        </w:rPr>
        <w:t>“</w:t>
      </w:r>
      <w:r w:rsidRPr="00020AD2">
        <w:rPr>
          <w:rFonts w:cs="Arial"/>
          <w:snapToGrid w:val="0"/>
          <w:sz w:val="16"/>
          <w:szCs w:val="16"/>
        </w:rPr>
        <w:t>(82)</w:t>
      </w:r>
      <w:r w:rsidRPr="00020AD2">
        <w:rPr>
          <w:rFonts w:cs="Arial"/>
          <w:snapToGrid w:val="0"/>
          <w:sz w:val="16"/>
          <w:szCs w:val="16"/>
        </w:rPr>
        <w:tab/>
        <w:t xml:space="preserve">The provisions of sub-section (2) of section 116 shall not apply for the tax year </w:t>
      </w:r>
      <w:r w:rsidRPr="00020AD2">
        <w:rPr>
          <w:rStyle w:val="FootnoteReference"/>
          <w:rFonts w:cs="Arial"/>
          <w:snapToGrid w:val="0"/>
          <w:color w:val="000000" w:themeColor="text1"/>
          <w:sz w:val="16"/>
          <w:szCs w:val="16"/>
        </w:rPr>
        <w:footnoteRef/>
      </w:r>
      <w:r w:rsidRPr="00020AD2">
        <w:rPr>
          <w:rFonts w:cs="Arial"/>
          <w:snapToGrid w:val="0"/>
          <w:color w:val="000000" w:themeColor="text1"/>
          <w:sz w:val="16"/>
          <w:szCs w:val="16"/>
        </w:rPr>
        <w:t>[2014]</w:t>
      </w:r>
      <w:r w:rsidRPr="00020AD2">
        <w:rPr>
          <w:rFonts w:cs="Arial"/>
          <w:snapToGrid w:val="0"/>
          <w:sz w:val="16"/>
          <w:szCs w:val="16"/>
        </w:rPr>
        <w:t xml:space="preserve"> to an individual or a member of an association of persons whose last declared or assessed income, or  the declared income for the year is less than one million rupees.</w:t>
      </w:r>
    </w:p>
  </w:footnote>
  <w:footnote w:id="2321">
    <w:p w:rsidR="00BF2117" w:rsidRDefault="00BF2117">
      <w:pPr>
        <w:pStyle w:val="FootnoteText"/>
      </w:pPr>
      <w:r>
        <w:rPr>
          <w:rStyle w:val="FootnoteReference"/>
        </w:rPr>
        <w:footnoteRef/>
      </w:r>
      <w:r w:rsidRPr="0047228A">
        <w:rPr>
          <w:sz w:val="16"/>
          <w:szCs w:val="16"/>
          <w:lang w:val="en-US"/>
        </w:rPr>
        <w:t>Clause (83) omitted by the Finance Act, 2015. The omitted clause (83) read as follows:-</w:t>
      </w:r>
    </w:p>
    <w:p w:rsidR="00BF2117" w:rsidRPr="00E04594" w:rsidRDefault="00BF2117" w:rsidP="00E04594">
      <w:pPr>
        <w:pStyle w:val="FootnoteText"/>
        <w:ind w:left="270" w:firstLine="0"/>
        <w:jc w:val="both"/>
        <w:rPr>
          <w:sz w:val="16"/>
          <w:szCs w:val="16"/>
          <w:lang w:val="en-US"/>
        </w:rPr>
      </w:pPr>
      <w:r w:rsidRPr="00E04594">
        <w:rPr>
          <w:rFonts w:cs="Arial"/>
          <w:snapToGrid w:val="0"/>
          <w:sz w:val="16"/>
          <w:szCs w:val="16"/>
        </w:rPr>
        <w:t>“</w:t>
      </w:r>
      <w:r>
        <w:rPr>
          <w:rFonts w:cs="Arial"/>
          <w:snapToGrid w:val="0"/>
          <w:sz w:val="16"/>
          <w:szCs w:val="16"/>
        </w:rPr>
        <w:t xml:space="preserve">(83) </w:t>
      </w:r>
      <w:r w:rsidRPr="00E04594">
        <w:rPr>
          <w:rFonts w:cs="Arial"/>
          <w:snapToGrid w:val="0"/>
          <w:sz w:val="16"/>
          <w:szCs w:val="16"/>
        </w:rPr>
        <w:t>The provision of sub-section (4) of section 116 shall not apply for the tax year 2013 to a person other than a company or a member of an association of person falling under final tax regime (FTR) and has paid tax less than thirty five thousand rupees.</w:t>
      </w:r>
      <w:r>
        <w:rPr>
          <w:rFonts w:cs="Arial"/>
          <w:snapToGrid w:val="0"/>
          <w:sz w:val="16"/>
          <w:szCs w:val="16"/>
        </w:rPr>
        <w:t>”</w:t>
      </w:r>
    </w:p>
  </w:footnote>
  <w:footnote w:id="2322">
    <w:p w:rsidR="00BF2117" w:rsidRPr="00F852EB" w:rsidRDefault="00BF2117" w:rsidP="00D508AF">
      <w:pPr>
        <w:jc w:val="both"/>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 xml:space="preserve">Clause (84) omitted by the Finance Act, 2014. The omitted clause (84) was added by S.R.O. 1040(I)/2013, dated 05.12.2013 and read as follows: </w:t>
      </w:r>
    </w:p>
    <w:p w:rsidR="00BF2117" w:rsidRPr="00F852EB" w:rsidRDefault="00BF2117" w:rsidP="00524BD7">
      <w:pPr>
        <w:jc w:val="both"/>
        <w:rPr>
          <w:rFonts w:cs="Arial"/>
          <w:snapToGrid w:val="0"/>
          <w:color w:val="000000" w:themeColor="text1"/>
          <w:sz w:val="16"/>
          <w:szCs w:val="16"/>
        </w:rPr>
      </w:pPr>
      <w:r w:rsidRPr="00F852EB">
        <w:rPr>
          <w:color w:val="000000" w:themeColor="text1"/>
          <w:sz w:val="16"/>
          <w:szCs w:val="16"/>
          <w:lang w:val="en-US"/>
        </w:rPr>
        <w:t>“(</w:t>
      </w:r>
      <w:r w:rsidRPr="00F852EB">
        <w:rPr>
          <w:rFonts w:cs="Arial"/>
          <w:snapToGrid w:val="0"/>
          <w:color w:val="000000" w:themeColor="text1"/>
          <w:sz w:val="16"/>
          <w:szCs w:val="16"/>
        </w:rPr>
        <w:t>84)</w:t>
      </w:r>
      <w:r w:rsidRPr="00F852EB">
        <w:rPr>
          <w:rFonts w:cs="Arial"/>
          <w:snapToGrid w:val="0"/>
          <w:color w:val="000000" w:themeColor="text1"/>
          <w:sz w:val="16"/>
          <w:szCs w:val="16"/>
        </w:rPr>
        <w:tab/>
        <w:t>For tax year 2013, the provisions of section 177 and section 214C shall not apply to a taxpayer, if the tax paid on the basis of taxable income declared by the taxpayer for the tax year 2013 is at least twenty five percent more than the tax assessed or paid, whichever is higher, for the tax year 2012.:</w:t>
      </w:r>
    </w:p>
    <w:p w:rsidR="00BF2117" w:rsidRPr="00F852EB" w:rsidRDefault="00BF2117" w:rsidP="00524BD7">
      <w:pPr>
        <w:jc w:val="both"/>
        <w:rPr>
          <w:color w:val="000000" w:themeColor="text1"/>
          <w:sz w:val="16"/>
          <w:szCs w:val="16"/>
          <w:lang w:val="en-US"/>
        </w:rPr>
      </w:pPr>
      <w:r w:rsidRPr="00F852EB">
        <w:rPr>
          <w:rFonts w:cs="Arial"/>
          <w:snapToGrid w:val="0"/>
          <w:color w:val="000000" w:themeColor="text1"/>
          <w:sz w:val="16"/>
          <w:szCs w:val="16"/>
        </w:rPr>
        <w:tab/>
        <w:t>Provided that the taxpayer files separate proforma for the said exemption with return, in the manner specified in the circular issued by the Board.]</w:t>
      </w:r>
    </w:p>
  </w:footnote>
  <w:footnote w:id="2323">
    <w:p w:rsidR="00BF2117" w:rsidRPr="00F852EB" w:rsidRDefault="00BF2117">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lang w:val="en-US"/>
        </w:rPr>
        <w:t>Clause (85) omitted by the Finance Act, 2014. The omitted clause read as follows:</w:t>
      </w:r>
    </w:p>
    <w:p w:rsidR="00BF2117" w:rsidRPr="00F852EB" w:rsidRDefault="00BF2117" w:rsidP="00F9084A">
      <w:pPr>
        <w:jc w:val="both"/>
        <w:rPr>
          <w:color w:val="000000" w:themeColor="text1"/>
          <w:lang w:val="en-US"/>
        </w:rPr>
      </w:pPr>
      <w:r w:rsidRPr="00F852EB">
        <w:rPr>
          <w:color w:val="000000" w:themeColor="text1"/>
          <w:sz w:val="16"/>
          <w:szCs w:val="16"/>
          <w:lang w:val="en-US"/>
        </w:rPr>
        <w:t>“</w:t>
      </w:r>
      <w:r w:rsidRPr="00F852EB">
        <w:rPr>
          <w:rFonts w:cs="Arial"/>
          <w:snapToGrid w:val="0"/>
          <w:color w:val="000000" w:themeColor="text1"/>
          <w:sz w:val="16"/>
          <w:szCs w:val="16"/>
        </w:rPr>
        <w:t>(85)</w:t>
      </w:r>
      <w:r w:rsidRPr="00F852EB">
        <w:rPr>
          <w:rFonts w:cs="Arial"/>
          <w:snapToGrid w:val="0"/>
          <w:color w:val="000000" w:themeColor="text1"/>
          <w:sz w:val="16"/>
          <w:szCs w:val="16"/>
        </w:rPr>
        <w:tab/>
        <w:t>The provisions of section 114(6)(ba) shall not apply to persons availing the benefit as provided in clause (84) who revise their returns before the due date of filing of return, for tax year 2013.”</w:t>
      </w:r>
    </w:p>
  </w:footnote>
  <w:footnote w:id="2324">
    <w:p w:rsidR="00BF2117" w:rsidRPr="00F202FC" w:rsidRDefault="00BF2117">
      <w:pPr>
        <w:pStyle w:val="FootnoteText"/>
        <w:rPr>
          <w:sz w:val="16"/>
          <w:szCs w:val="16"/>
          <w:lang w:val="en-US"/>
        </w:rPr>
      </w:pPr>
      <w:r w:rsidRPr="00F202FC">
        <w:rPr>
          <w:rStyle w:val="FootnoteReference"/>
          <w:sz w:val="16"/>
          <w:szCs w:val="16"/>
        </w:rPr>
        <w:footnoteRef/>
      </w:r>
      <w:r w:rsidRPr="00F202FC">
        <w:rPr>
          <w:sz w:val="16"/>
          <w:szCs w:val="16"/>
          <w:lang w:val="en-US"/>
        </w:rPr>
        <w:t>Inserted by SRO 1065(I)/2013, dated 20.12.2013</w:t>
      </w:r>
    </w:p>
  </w:footnote>
  <w:footnote w:id="2325">
    <w:p w:rsidR="00BF2117" w:rsidRPr="00BB1E84" w:rsidRDefault="00BF2117">
      <w:pPr>
        <w:pStyle w:val="FootnoteText"/>
        <w:rPr>
          <w:sz w:val="16"/>
          <w:szCs w:val="16"/>
          <w:lang w:val="en-US"/>
        </w:rPr>
      </w:pPr>
      <w:r w:rsidRPr="00BB1E84">
        <w:rPr>
          <w:rStyle w:val="FootnoteReference"/>
          <w:sz w:val="16"/>
          <w:szCs w:val="16"/>
        </w:rPr>
        <w:footnoteRef/>
      </w:r>
      <w:r w:rsidRPr="00BB1E84">
        <w:rPr>
          <w:sz w:val="16"/>
          <w:szCs w:val="16"/>
        </w:rPr>
        <w:t xml:space="preserve"> The figure “201</w:t>
      </w:r>
      <w:r>
        <w:rPr>
          <w:sz w:val="16"/>
          <w:szCs w:val="16"/>
        </w:rPr>
        <w:t>6</w:t>
      </w:r>
      <w:r w:rsidRPr="00BB1E84">
        <w:rPr>
          <w:sz w:val="16"/>
          <w:szCs w:val="16"/>
        </w:rPr>
        <w:t>” substituted by the Finance Act, 2015</w:t>
      </w:r>
      <w:r>
        <w:rPr>
          <w:sz w:val="16"/>
          <w:szCs w:val="16"/>
        </w:rPr>
        <w:t>.</w:t>
      </w:r>
    </w:p>
  </w:footnote>
  <w:footnote w:id="2326">
    <w:p w:rsidR="00BF2117" w:rsidRPr="003E2868" w:rsidRDefault="00BF2117">
      <w:pPr>
        <w:pStyle w:val="FootnoteText"/>
        <w:rPr>
          <w:color w:val="FF0000"/>
          <w:sz w:val="16"/>
          <w:szCs w:val="16"/>
          <w:lang w:val="en-US"/>
        </w:rPr>
      </w:pPr>
      <w:r w:rsidRPr="000E5E48">
        <w:rPr>
          <w:rStyle w:val="FootnoteReference"/>
          <w:color w:val="0070C0"/>
          <w:sz w:val="16"/>
          <w:szCs w:val="16"/>
        </w:rPr>
        <w:footnoteRef/>
      </w:r>
      <w:r w:rsidRPr="000E5E48">
        <w:rPr>
          <w:color w:val="0070C0"/>
          <w:sz w:val="16"/>
          <w:szCs w:val="16"/>
        </w:rPr>
        <w:t xml:space="preserve"> The figure “2017” substituted by the Finance Act, 2016</w:t>
      </w:r>
      <w:r>
        <w:rPr>
          <w:color w:val="FF0000"/>
          <w:sz w:val="16"/>
          <w:szCs w:val="16"/>
        </w:rPr>
        <w:t>.</w:t>
      </w:r>
    </w:p>
  </w:footnote>
  <w:footnote w:id="2327">
    <w:p w:rsidR="00BF2117" w:rsidRPr="001318A4" w:rsidRDefault="00BF2117" w:rsidP="00D95651">
      <w:pPr>
        <w:pStyle w:val="FootnoteText"/>
        <w:rPr>
          <w:color w:val="00B0F0"/>
          <w:sz w:val="16"/>
          <w:lang w:val="en-US"/>
        </w:rPr>
      </w:pPr>
      <w:r w:rsidRPr="00F852EB">
        <w:rPr>
          <w:rStyle w:val="FootnoteReference"/>
          <w:color w:val="000000" w:themeColor="text1"/>
          <w:sz w:val="16"/>
          <w:szCs w:val="16"/>
        </w:rPr>
        <w:footnoteRef/>
      </w:r>
      <w:r w:rsidRPr="00F852EB">
        <w:rPr>
          <w:color w:val="000000" w:themeColor="text1"/>
          <w:sz w:val="16"/>
          <w:lang w:val="en-US"/>
        </w:rPr>
        <w:t>Clause (87) omitted by the Finance Act, 2014. The omitted clause read as follows</w:t>
      </w:r>
      <w:r w:rsidRPr="001318A4">
        <w:rPr>
          <w:color w:val="00B0F0"/>
          <w:sz w:val="16"/>
          <w:lang w:val="en-US"/>
        </w:rPr>
        <w:t>:</w:t>
      </w:r>
    </w:p>
    <w:p w:rsidR="00BF2117" w:rsidRPr="00F852EB" w:rsidRDefault="00BF2117" w:rsidP="00D95651">
      <w:pPr>
        <w:jc w:val="both"/>
        <w:rPr>
          <w:rFonts w:cs="Arial"/>
          <w:snapToGrid w:val="0"/>
          <w:color w:val="000000" w:themeColor="text1"/>
          <w:sz w:val="16"/>
          <w:szCs w:val="16"/>
        </w:rPr>
      </w:pPr>
      <w:r w:rsidRPr="00F852EB">
        <w:rPr>
          <w:rFonts w:cs="Arial"/>
          <w:snapToGrid w:val="0"/>
          <w:color w:val="000000" w:themeColor="text1"/>
          <w:sz w:val="16"/>
          <w:szCs w:val="16"/>
        </w:rPr>
        <w:t>“(87)</w:t>
      </w:r>
      <w:r w:rsidRPr="00F852EB">
        <w:rPr>
          <w:rFonts w:cs="Arial"/>
          <w:snapToGrid w:val="0"/>
          <w:color w:val="000000" w:themeColor="text1"/>
          <w:sz w:val="16"/>
          <w:szCs w:val="16"/>
        </w:rPr>
        <w:tab/>
        <w:t>The  provisions of sections 182, 205, 177 and 214C shall not apply to an individual, holding an NTN who files a return, as specified in Form “A” below, by twenty eight day of February, 2014, of the tax years from 2008 to 2012, for which returns have not been field:</w:t>
      </w:r>
    </w:p>
    <w:p w:rsidR="00BF2117" w:rsidRPr="00F852EB" w:rsidRDefault="00BF2117" w:rsidP="00D95651">
      <w:pPr>
        <w:ind w:left="360" w:hanging="360"/>
        <w:jc w:val="both"/>
        <w:rPr>
          <w:rFonts w:cs="Arial"/>
          <w:snapToGrid w:val="0"/>
          <w:color w:val="000000" w:themeColor="text1"/>
          <w:sz w:val="16"/>
          <w:szCs w:val="16"/>
        </w:rPr>
      </w:pPr>
    </w:p>
    <w:p w:rsidR="00BF2117" w:rsidRPr="00F852EB" w:rsidRDefault="00BF2117" w:rsidP="00D95651">
      <w:pPr>
        <w:jc w:val="both"/>
        <w:rPr>
          <w:rFonts w:cs="Arial"/>
          <w:snapToGrid w:val="0"/>
          <w:color w:val="000000" w:themeColor="text1"/>
          <w:sz w:val="16"/>
          <w:szCs w:val="16"/>
        </w:rPr>
      </w:pPr>
      <w:r w:rsidRPr="00F852EB">
        <w:rPr>
          <w:rFonts w:cs="Arial"/>
          <w:snapToGrid w:val="0"/>
          <w:color w:val="000000" w:themeColor="text1"/>
          <w:sz w:val="16"/>
          <w:szCs w:val="16"/>
        </w:rPr>
        <w:tab/>
      </w:r>
      <w:r w:rsidRPr="00F852EB">
        <w:rPr>
          <w:rFonts w:cs="Arial"/>
          <w:snapToGrid w:val="0"/>
          <w:color w:val="000000" w:themeColor="text1"/>
          <w:sz w:val="16"/>
          <w:szCs w:val="16"/>
        </w:rPr>
        <w:tab/>
        <w:t>Provided that for each of the tax year, a minimum tax of twenty thousand rupees on the basis of taxable income is paid by the taxpayer:</w:t>
      </w:r>
    </w:p>
    <w:p w:rsidR="00BF2117" w:rsidRPr="00F852EB" w:rsidRDefault="00BF2117" w:rsidP="00D95651">
      <w:pPr>
        <w:ind w:left="360" w:hanging="360"/>
        <w:jc w:val="both"/>
        <w:rPr>
          <w:rFonts w:cs="Arial"/>
          <w:snapToGrid w:val="0"/>
          <w:color w:val="000000" w:themeColor="text1"/>
          <w:sz w:val="16"/>
          <w:szCs w:val="16"/>
        </w:rPr>
      </w:pPr>
    </w:p>
    <w:p w:rsidR="00BF2117" w:rsidRPr="00F852EB" w:rsidRDefault="00BF2117" w:rsidP="00D95651">
      <w:pPr>
        <w:jc w:val="both"/>
        <w:rPr>
          <w:rFonts w:cs="Arial"/>
          <w:snapToGrid w:val="0"/>
          <w:color w:val="000000" w:themeColor="text1"/>
          <w:sz w:val="16"/>
          <w:szCs w:val="16"/>
        </w:rPr>
      </w:pPr>
      <w:r w:rsidRPr="00F852EB">
        <w:rPr>
          <w:rFonts w:cs="Arial"/>
          <w:snapToGrid w:val="0"/>
          <w:color w:val="000000" w:themeColor="text1"/>
          <w:sz w:val="16"/>
          <w:szCs w:val="16"/>
        </w:rPr>
        <w:tab/>
      </w:r>
      <w:r w:rsidRPr="00F852EB">
        <w:rPr>
          <w:rFonts w:cs="Arial"/>
          <w:snapToGrid w:val="0"/>
          <w:color w:val="000000" w:themeColor="text1"/>
          <w:sz w:val="16"/>
          <w:szCs w:val="16"/>
        </w:rPr>
        <w:tab/>
        <w:t>Provided further that the taxpayer shall not be entitled to claim any adjustment of withholding tax collected or deducted under the Ordinance:</w:t>
      </w:r>
    </w:p>
    <w:p w:rsidR="00BF2117" w:rsidRPr="00F852EB" w:rsidRDefault="00BF2117" w:rsidP="00D95651">
      <w:pPr>
        <w:ind w:left="360" w:hanging="360"/>
        <w:jc w:val="both"/>
        <w:rPr>
          <w:rFonts w:cs="Arial"/>
          <w:snapToGrid w:val="0"/>
          <w:color w:val="000000" w:themeColor="text1"/>
          <w:sz w:val="16"/>
          <w:szCs w:val="16"/>
        </w:rPr>
      </w:pPr>
    </w:p>
    <w:p w:rsidR="00BF2117" w:rsidRPr="00F852EB" w:rsidRDefault="00BF2117" w:rsidP="009C5207">
      <w:pPr>
        <w:jc w:val="both"/>
        <w:rPr>
          <w:rFonts w:cs="Arial"/>
          <w:snapToGrid w:val="0"/>
          <w:color w:val="000000" w:themeColor="text1"/>
          <w:sz w:val="16"/>
          <w:szCs w:val="16"/>
        </w:rPr>
      </w:pPr>
      <w:r w:rsidRPr="00F852EB">
        <w:rPr>
          <w:rFonts w:cs="Arial"/>
          <w:snapToGrid w:val="0"/>
          <w:color w:val="000000" w:themeColor="text1"/>
          <w:sz w:val="16"/>
          <w:szCs w:val="16"/>
        </w:rPr>
        <w:tab/>
      </w:r>
      <w:r w:rsidRPr="00F852EB">
        <w:rPr>
          <w:rFonts w:cs="Arial"/>
          <w:snapToGrid w:val="0"/>
          <w:color w:val="000000" w:themeColor="text1"/>
          <w:sz w:val="16"/>
          <w:szCs w:val="16"/>
        </w:rPr>
        <w:tab/>
        <w:t>Provided also that the due date of filing of return for tax year 2013, in respect of individuals availing concessions under this clause shall be twenty eighth day of February, 2014.</w:t>
      </w:r>
    </w:p>
    <w:p w:rsidR="00BF2117" w:rsidRPr="00146D44" w:rsidRDefault="00BF2117" w:rsidP="009C5207">
      <w:pPr>
        <w:jc w:val="both"/>
        <w:rPr>
          <w:lang w:val="en-US"/>
        </w:rPr>
      </w:pPr>
      <w:r>
        <w:rPr>
          <w:noProof/>
          <w:lang w:val="en-US"/>
        </w:rPr>
        <w:drawing>
          <wp:inline distT="0" distB="0" distL="0" distR="0">
            <wp:extent cx="4572000" cy="5740290"/>
            <wp:effectExtent l="19050" t="0" r="0" b="0"/>
            <wp:docPr id="2" name="Picture 2" descr="C:\Users\fbr\Pictures\img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br\Pictures\img118.jpg"/>
                    <pic:cNvPicPr>
                      <a:picLocks noChangeAspect="1" noChangeArrowheads="1"/>
                    </pic:cNvPicPr>
                  </pic:nvPicPr>
                  <pic:blipFill>
                    <a:blip r:embed="rId1"/>
                    <a:srcRect/>
                    <a:stretch>
                      <a:fillRect/>
                    </a:stretch>
                  </pic:blipFill>
                  <pic:spPr bwMode="auto">
                    <a:xfrm>
                      <a:off x="0" y="0"/>
                      <a:ext cx="4572000" cy="5740290"/>
                    </a:xfrm>
                    <a:prstGeom prst="rect">
                      <a:avLst/>
                    </a:prstGeom>
                    <a:noFill/>
                    <a:ln w="9525">
                      <a:noFill/>
                      <a:miter lim="800000"/>
                      <a:headEnd/>
                      <a:tailEnd/>
                    </a:ln>
                  </pic:spPr>
                </pic:pic>
              </a:graphicData>
            </a:graphic>
          </wp:inline>
        </w:drawing>
      </w:r>
    </w:p>
  </w:footnote>
  <w:footnote w:id="2328">
    <w:p w:rsidR="00BF2117" w:rsidRPr="00F852EB" w:rsidRDefault="00BF2117" w:rsidP="00D93AC1">
      <w:pPr>
        <w:pStyle w:val="FootnoteText"/>
        <w:rPr>
          <w:color w:val="000000" w:themeColor="text1"/>
          <w:sz w:val="16"/>
          <w:lang w:val="en-US"/>
        </w:rPr>
      </w:pPr>
      <w:r w:rsidRPr="00F852EB">
        <w:rPr>
          <w:rStyle w:val="FootnoteReference"/>
          <w:color w:val="000000" w:themeColor="text1"/>
        </w:rPr>
        <w:footnoteRef/>
      </w:r>
      <w:r w:rsidRPr="00F852EB">
        <w:rPr>
          <w:color w:val="000000" w:themeColor="text1"/>
          <w:sz w:val="16"/>
          <w:lang w:val="en-US"/>
        </w:rPr>
        <w:t>Clause (88) omitted by the Finance Act, 2014. The omitted clause read as follows:</w:t>
      </w:r>
    </w:p>
    <w:p w:rsidR="00BF2117" w:rsidRPr="00F852EB" w:rsidRDefault="00BF2117" w:rsidP="00D93AC1">
      <w:pPr>
        <w:jc w:val="both"/>
        <w:rPr>
          <w:rFonts w:cs="Arial"/>
          <w:snapToGrid w:val="0"/>
          <w:color w:val="000000" w:themeColor="text1"/>
          <w:sz w:val="16"/>
          <w:szCs w:val="16"/>
        </w:rPr>
      </w:pPr>
      <w:r w:rsidRPr="00F852EB">
        <w:rPr>
          <w:color w:val="000000" w:themeColor="text1"/>
          <w:sz w:val="16"/>
          <w:lang w:val="en-US"/>
        </w:rPr>
        <w:t>“(</w:t>
      </w:r>
      <w:r w:rsidRPr="00F852EB">
        <w:rPr>
          <w:rFonts w:cs="Arial"/>
          <w:snapToGrid w:val="0"/>
          <w:color w:val="000000" w:themeColor="text1"/>
          <w:sz w:val="16"/>
          <w:szCs w:val="16"/>
        </w:rPr>
        <w:t>88)</w:t>
      </w:r>
      <w:r w:rsidRPr="00F852EB">
        <w:rPr>
          <w:rFonts w:cs="Arial"/>
          <w:snapToGrid w:val="0"/>
          <w:color w:val="000000" w:themeColor="text1"/>
          <w:sz w:val="16"/>
          <w:szCs w:val="16"/>
        </w:rPr>
        <w:tab/>
        <w:t>The provisions of sections 182, 205, 177 and 214C shall not apply to an individual, if the individual files a return or returns, as prescribed for this clause, by twenty eighth day of February, 2014 for any or all of the tax years from 2008 to 2012; and</w:t>
      </w:r>
    </w:p>
    <w:p w:rsidR="00BF2117" w:rsidRPr="00F852EB" w:rsidRDefault="00BF2117" w:rsidP="00D93AC1">
      <w:pPr>
        <w:ind w:firstLine="547"/>
        <w:jc w:val="both"/>
        <w:rPr>
          <w:rFonts w:cs="Arial"/>
          <w:snapToGrid w:val="0"/>
          <w:color w:val="000000" w:themeColor="text1"/>
          <w:sz w:val="16"/>
          <w:szCs w:val="16"/>
        </w:rPr>
      </w:pPr>
      <w:r w:rsidRPr="00F852EB">
        <w:rPr>
          <w:rFonts w:cs="Arial"/>
          <w:snapToGrid w:val="0"/>
          <w:color w:val="000000" w:themeColor="text1"/>
          <w:sz w:val="16"/>
          <w:szCs w:val="16"/>
        </w:rPr>
        <w:t>(i)</w:t>
      </w:r>
      <w:r w:rsidRPr="00F852EB">
        <w:rPr>
          <w:rFonts w:cs="Arial"/>
          <w:snapToGrid w:val="0"/>
          <w:color w:val="000000" w:themeColor="text1"/>
          <w:sz w:val="16"/>
          <w:szCs w:val="16"/>
        </w:rPr>
        <w:tab/>
        <w:t>has not filed any return for the last five years;</w:t>
      </w:r>
    </w:p>
    <w:p w:rsidR="00BF2117" w:rsidRPr="00F852EB" w:rsidRDefault="00BF2117" w:rsidP="00D93AC1">
      <w:pPr>
        <w:jc w:val="both"/>
        <w:rPr>
          <w:rFonts w:cs="Arial"/>
          <w:snapToGrid w:val="0"/>
          <w:color w:val="000000" w:themeColor="text1"/>
          <w:sz w:val="16"/>
          <w:szCs w:val="16"/>
        </w:rPr>
      </w:pPr>
      <w:r w:rsidRPr="00D93AC1">
        <w:rPr>
          <w:rFonts w:cs="Arial"/>
          <w:snapToGrid w:val="0"/>
          <w:color w:val="00B0F0"/>
          <w:sz w:val="16"/>
          <w:szCs w:val="16"/>
        </w:rPr>
        <w:tab/>
      </w:r>
      <w:r w:rsidRPr="00F852EB">
        <w:rPr>
          <w:rFonts w:cs="Arial"/>
          <w:snapToGrid w:val="0"/>
          <w:color w:val="000000" w:themeColor="text1"/>
          <w:sz w:val="16"/>
          <w:szCs w:val="16"/>
        </w:rPr>
        <w:t>(ii)</w:t>
      </w:r>
      <w:r w:rsidRPr="00F852EB">
        <w:rPr>
          <w:rFonts w:cs="Arial"/>
          <w:snapToGrid w:val="0"/>
          <w:color w:val="000000" w:themeColor="text1"/>
          <w:sz w:val="16"/>
          <w:szCs w:val="16"/>
        </w:rPr>
        <w:tab/>
        <w:t>is not an NTN holder as on 28</w:t>
      </w:r>
      <w:r w:rsidRPr="00F852EB">
        <w:rPr>
          <w:rFonts w:cs="Arial"/>
          <w:snapToGrid w:val="0"/>
          <w:color w:val="000000" w:themeColor="text1"/>
          <w:sz w:val="16"/>
          <w:szCs w:val="16"/>
          <w:vertAlign w:val="superscript"/>
        </w:rPr>
        <w:t>th</w:t>
      </w:r>
      <w:r w:rsidRPr="00F852EB">
        <w:rPr>
          <w:rFonts w:cs="Arial"/>
          <w:snapToGrid w:val="0"/>
          <w:color w:val="000000" w:themeColor="text1"/>
          <w:sz w:val="16"/>
          <w:szCs w:val="16"/>
        </w:rPr>
        <w:t xml:space="preserve"> day of November, 2013;</w:t>
      </w:r>
    </w:p>
    <w:p w:rsidR="00BF2117" w:rsidRPr="00F852EB" w:rsidRDefault="00BF2117" w:rsidP="000473E5">
      <w:pPr>
        <w:ind w:left="1094" w:hanging="547"/>
        <w:jc w:val="both"/>
        <w:rPr>
          <w:rFonts w:cs="Arial"/>
          <w:snapToGrid w:val="0"/>
          <w:color w:val="000000" w:themeColor="text1"/>
          <w:sz w:val="16"/>
          <w:szCs w:val="16"/>
        </w:rPr>
      </w:pPr>
      <w:r w:rsidRPr="00F852EB">
        <w:rPr>
          <w:rFonts w:cs="Arial"/>
          <w:snapToGrid w:val="0"/>
          <w:color w:val="000000" w:themeColor="text1"/>
          <w:sz w:val="16"/>
          <w:szCs w:val="16"/>
        </w:rPr>
        <w:t>(iii)</w:t>
      </w:r>
      <w:r w:rsidRPr="00F852EB">
        <w:rPr>
          <w:rFonts w:cs="Arial"/>
          <w:snapToGrid w:val="0"/>
          <w:color w:val="000000" w:themeColor="text1"/>
          <w:sz w:val="16"/>
          <w:szCs w:val="16"/>
        </w:rPr>
        <w:tab/>
        <w:t xml:space="preserve">declares taxable income for the year which exceeds the amount on the basis of which, tax payable is twenty five thousand rupees or more; and </w:t>
      </w:r>
    </w:p>
    <w:p w:rsidR="00BF2117" w:rsidRPr="00F852EB" w:rsidRDefault="00BF2117" w:rsidP="000473E5">
      <w:pPr>
        <w:ind w:left="1094" w:hanging="547"/>
        <w:jc w:val="both"/>
        <w:rPr>
          <w:rFonts w:cs="Arial"/>
          <w:snapToGrid w:val="0"/>
          <w:color w:val="000000" w:themeColor="text1"/>
          <w:sz w:val="16"/>
          <w:szCs w:val="16"/>
        </w:rPr>
      </w:pPr>
      <w:r w:rsidRPr="00F852EB">
        <w:rPr>
          <w:rFonts w:cs="Arial"/>
          <w:snapToGrid w:val="0"/>
          <w:color w:val="000000" w:themeColor="text1"/>
          <w:sz w:val="16"/>
          <w:szCs w:val="16"/>
        </w:rPr>
        <w:t>(iv)</w:t>
      </w:r>
      <w:r w:rsidRPr="00F852EB">
        <w:rPr>
          <w:rFonts w:cs="Arial"/>
          <w:snapToGrid w:val="0"/>
          <w:color w:val="000000" w:themeColor="text1"/>
          <w:sz w:val="16"/>
          <w:szCs w:val="16"/>
        </w:rPr>
        <w:tab/>
        <w:t>has paid the tax on the basis of taxable income declared in the return or returns:</w:t>
      </w:r>
    </w:p>
    <w:p w:rsidR="00BF2117" w:rsidRPr="00F852EB" w:rsidRDefault="00BF2117" w:rsidP="00D93AC1">
      <w:pPr>
        <w:jc w:val="both"/>
        <w:rPr>
          <w:rFonts w:cs="Arial"/>
          <w:snapToGrid w:val="0"/>
          <w:color w:val="000000" w:themeColor="text1"/>
          <w:sz w:val="16"/>
          <w:szCs w:val="16"/>
        </w:rPr>
      </w:pPr>
      <w:r w:rsidRPr="00F852EB">
        <w:rPr>
          <w:rFonts w:cs="Arial"/>
          <w:snapToGrid w:val="0"/>
          <w:color w:val="000000" w:themeColor="text1"/>
          <w:sz w:val="16"/>
          <w:szCs w:val="16"/>
        </w:rPr>
        <w:tab/>
      </w:r>
      <w:r w:rsidRPr="00F852EB">
        <w:rPr>
          <w:rFonts w:cs="Arial"/>
          <w:snapToGrid w:val="0"/>
          <w:color w:val="000000" w:themeColor="text1"/>
          <w:sz w:val="16"/>
          <w:szCs w:val="16"/>
        </w:rPr>
        <w:tab/>
        <w:t>Provided that concession under this clause shall only apply for the tax year or years, for which the returns have been filed and for equal number of succeeding consecutive tax year, if tax paid for the succeeding tax year is at least equal to tax paid for tax year 2012:</w:t>
      </w:r>
    </w:p>
    <w:p w:rsidR="00BF2117" w:rsidRPr="00F852EB" w:rsidRDefault="00BF2117" w:rsidP="00D93AC1">
      <w:pPr>
        <w:jc w:val="both"/>
        <w:rPr>
          <w:rFonts w:cs="Arial"/>
          <w:snapToGrid w:val="0"/>
          <w:color w:val="000000" w:themeColor="text1"/>
          <w:sz w:val="16"/>
          <w:szCs w:val="16"/>
        </w:rPr>
      </w:pPr>
      <w:r w:rsidRPr="00F852EB">
        <w:rPr>
          <w:rFonts w:cs="Arial"/>
          <w:snapToGrid w:val="0"/>
          <w:color w:val="000000" w:themeColor="text1"/>
          <w:sz w:val="16"/>
          <w:szCs w:val="16"/>
        </w:rPr>
        <w:tab/>
      </w:r>
      <w:r w:rsidRPr="00F852EB">
        <w:rPr>
          <w:rFonts w:cs="Arial"/>
          <w:snapToGrid w:val="0"/>
          <w:color w:val="000000" w:themeColor="text1"/>
          <w:sz w:val="16"/>
          <w:szCs w:val="16"/>
        </w:rPr>
        <w:tab/>
        <w:t>Provided further that the taxpayers shall not be entitled to claim any adjustment of withholding tax under the Ordinance, collected or deducted during a tax year, for which a return is filed:</w:t>
      </w:r>
    </w:p>
    <w:p w:rsidR="00BF2117" w:rsidRPr="00F11FB7" w:rsidRDefault="00BF2117" w:rsidP="0044489B">
      <w:pPr>
        <w:jc w:val="both"/>
        <w:rPr>
          <w:sz w:val="16"/>
          <w:szCs w:val="16"/>
          <w:lang w:val="en-US"/>
        </w:rPr>
      </w:pPr>
      <w:r w:rsidRPr="00F852EB">
        <w:rPr>
          <w:rFonts w:cs="Arial"/>
          <w:snapToGrid w:val="0"/>
          <w:color w:val="000000" w:themeColor="text1"/>
          <w:sz w:val="16"/>
          <w:szCs w:val="16"/>
        </w:rPr>
        <w:tab/>
      </w:r>
      <w:r w:rsidRPr="00F852EB">
        <w:rPr>
          <w:rFonts w:cs="Arial"/>
          <w:snapToGrid w:val="0"/>
          <w:color w:val="000000" w:themeColor="text1"/>
          <w:sz w:val="16"/>
          <w:szCs w:val="16"/>
        </w:rPr>
        <w:tab/>
        <w:t>Provided also that the due date of filing of return for tax year 2013, in respect of individuals availing concessions under this clause shall be twenty eighth day of February, 2014.]</w:t>
      </w:r>
    </w:p>
  </w:footnote>
  <w:footnote w:id="2329">
    <w:p w:rsidR="00BF2117" w:rsidRPr="00195084" w:rsidRDefault="00BF2117" w:rsidP="00195084">
      <w:pPr>
        <w:jc w:val="both"/>
        <w:rPr>
          <w:sz w:val="16"/>
          <w:szCs w:val="16"/>
        </w:rPr>
      </w:pPr>
      <w:r w:rsidRPr="00195084">
        <w:rPr>
          <w:rStyle w:val="FootnoteReference"/>
          <w:sz w:val="16"/>
          <w:szCs w:val="16"/>
        </w:rPr>
        <w:footnoteRef/>
      </w:r>
      <w:r w:rsidRPr="00195084">
        <w:rPr>
          <w:sz w:val="16"/>
          <w:lang w:val="en-US"/>
        </w:rPr>
        <w:t>Clause (8</w:t>
      </w:r>
      <w:r>
        <w:rPr>
          <w:sz w:val="16"/>
          <w:lang w:val="en-US"/>
        </w:rPr>
        <w:t>9</w:t>
      </w:r>
      <w:r w:rsidRPr="00195084">
        <w:rPr>
          <w:sz w:val="16"/>
          <w:lang w:val="en-US"/>
        </w:rPr>
        <w:t>) omitted by the Finance Act, 201</w:t>
      </w:r>
      <w:r>
        <w:rPr>
          <w:sz w:val="16"/>
          <w:lang w:val="en-US"/>
        </w:rPr>
        <w:t>5</w:t>
      </w:r>
      <w:r w:rsidRPr="00195084">
        <w:rPr>
          <w:sz w:val="16"/>
          <w:lang w:val="en-US"/>
        </w:rPr>
        <w:t xml:space="preserve">. The omitted clause </w:t>
      </w:r>
      <w:r>
        <w:rPr>
          <w:sz w:val="16"/>
          <w:lang w:val="en-US"/>
        </w:rPr>
        <w:t xml:space="preserve">(89) </w:t>
      </w:r>
      <w:r w:rsidRPr="00195084">
        <w:rPr>
          <w:sz w:val="16"/>
          <w:lang w:val="en-US"/>
        </w:rPr>
        <w:t>read as follows</w:t>
      </w:r>
      <w:r>
        <w:rPr>
          <w:sz w:val="16"/>
          <w:lang w:val="en-US"/>
        </w:rPr>
        <w:t>:-</w:t>
      </w:r>
    </w:p>
    <w:p w:rsidR="00BF2117" w:rsidRPr="00195084" w:rsidRDefault="00BF2117" w:rsidP="00195084">
      <w:pPr>
        <w:jc w:val="both"/>
        <w:rPr>
          <w:rFonts w:cs="Arial"/>
          <w:snapToGrid w:val="0"/>
          <w:sz w:val="16"/>
          <w:szCs w:val="16"/>
        </w:rPr>
      </w:pPr>
      <w:r>
        <w:rPr>
          <w:rFonts w:cs="Arial"/>
          <w:snapToGrid w:val="0"/>
          <w:sz w:val="16"/>
          <w:szCs w:val="16"/>
        </w:rPr>
        <w:t>“</w:t>
      </w:r>
      <w:r w:rsidRPr="00195084">
        <w:rPr>
          <w:rFonts w:cs="Arial"/>
          <w:snapToGrid w:val="0"/>
          <w:sz w:val="16"/>
          <w:szCs w:val="16"/>
        </w:rPr>
        <w:t>(89)</w:t>
      </w:r>
      <w:r w:rsidRPr="00195084">
        <w:rPr>
          <w:rFonts w:cs="Arial"/>
          <w:snapToGrid w:val="0"/>
          <w:sz w:val="16"/>
          <w:szCs w:val="16"/>
        </w:rPr>
        <w:tab/>
        <w:t xml:space="preserve">The Provisions of section 236I shall not apply to- </w:t>
      </w:r>
      <w:r w:rsidRPr="00195084">
        <w:rPr>
          <w:rFonts w:cs="Arial"/>
          <w:snapToGrid w:val="0"/>
          <w:sz w:val="16"/>
          <w:szCs w:val="16"/>
        </w:rPr>
        <w:tab/>
      </w:r>
    </w:p>
    <w:p w:rsidR="00BF2117" w:rsidRPr="00195084" w:rsidRDefault="00BF2117" w:rsidP="00195084">
      <w:pPr>
        <w:jc w:val="both"/>
        <w:rPr>
          <w:rFonts w:cs="Arial"/>
          <w:snapToGrid w:val="0"/>
          <w:sz w:val="16"/>
          <w:szCs w:val="16"/>
        </w:rPr>
      </w:pPr>
      <w:r>
        <w:rPr>
          <w:rFonts w:cs="Arial"/>
          <w:snapToGrid w:val="0"/>
          <w:sz w:val="16"/>
          <w:szCs w:val="16"/>
        </w:rPr>
        <w:tab/>
        <w:t xml:space="preserve">(a)    </w:t>
      </w:r>
      <w:r w:rsidRPr="00195084">
        <w:rPr>
          <w:rFonts w:cs="Arial"/>
          <w:snapToGrid w:val="0"/>
          <w:sz w:val="16"/>
          <w:szCs w:val="16"/>
        </w:rPr>
        <w:t>the Federal Government or a Provincial Government;</w:t>
      </w:r>
    </w:p>
    <w:p w:rsidR="00BF2117" w:rsidRPr="00195084" w:rsidRDefault="00BF2117" w:rsidP="00195084">
      <w:pPr>
        <w:ind w:left="900" w:hanging="353"/>
        <w:jc w:val="both"/>
        <w:rPr>
          <w:rFonts w:cs="Arial"/>
          <w:snapToGrid w:val="0"/>
          <w:sz w:val="16"/>
          <w:szCs w:val="16"/>
        </w:rPr>
      </w:pPr>
      <w:r w:rsidRPr="00195084">
        <w:rPr>
          <w:rFonts w:cs="Arial"/>
          <w:snapToGrid w:val="0"/>
          <w:sz w:val="16"/>
          <w:szCs w:val="16"/>
        </w:rPr>
        <w:t>(b)</w:t>
      </w:r>
      <w:r w:rsidRPr="00195084">
        <w:rPr>
          <w:rFonts w:cs="Arial"/>
          <w:snapToGrid w:val="0"/>
          <w:sz w:val="16"/>
          <w:szCs w:val="16"/>
        </w:rPr>
        <w:tab/>
        <w:t xml:space="preserve">an individual entitled to privileges under the United Nations (Privileges and Immunities) Act, 1948 (XX of 1948); </w:t>
      </w:r>
    </w:p>
    <w:p w:rsidR="00BF2117" w:rsidRPr="00195084" w:rsidRDefault="00BF2117" w:rsidP="00195084">
      <w:pPr>
        <w:ind w:left="900" w:hanging="353"/>
        <w:jc w:val="both"/>
        <w:rPr>
          <w:rFonts w:cs="Arial"/>
          <w:snapToGrid w:val="0"/>
          <w:sz w:val="16"/>
          <w:szCs w:val="16"/>
        </w:rPr>
      </w:pPr>
      <w:r w:rsidRPr="00195084">
        <w:rPr>
          <w:rFonts w:cs="Arial"/>
          <w:snapToGrid w:val="0"/>
          <w:sz w:val="16"/>
          <w:szCs w:val="16"/>
        </w:rPr>
        <w:t>(c)</w:t>
      </w:r>
      <w:r w:rsidRPr="00195084">
        <w:rPr>
          <w:rFonts w:cs="Arial"/>
          <w:snapToGrid w:val="0"/>
          <w:sz w:val="16"/>
          <w:szCs w:val="16"/>
        </w:rPr>
        <w:tab/>
        <w:t>a foreign diplomat or a diplomatic mission in Pakistan; or</w:t>
      </w:r>
    </w:p>
    <w:p w:rsidR="00BF2117" w:rsidRPr="00195084" w:rsidRDefault="00BF2117" w:rsidP="00195084">
      <w:pPr>
        <w:ind w:left="900" w:hanging="353"/>
        <w:jc w:val="both"/>
        <w:rPr>
          <w:rFonts w:cs="Arial"/>
          <w:snapToGrid w:val="0"/>
          <w:sz w:val="16"/>
          <w:szCs w:val="16"/>
        </w:rPr>
      </w:pPr>
      <w:r w:rsidRPr="00195084">
        <w:rPr>
          <w:rFonts w:cs="Arial"/>
          <w:snapToGrid w:val="0"/>
          <w:sz w:val="16"/>
          <w:szCs w:val="16"/>
        </w:rPr>
        <w:t>(d)</w:t>
      </w:r>
      <w:r w:rsidRPr="00195084">
        <w:rPr>
          <w:rFonts w:cs="Arial"/>
          <w:snapToGrid w:val="0"/>
          <w:sz w:val="16"/>
          <w:szCs w:val="16"/>
        </w:rPr>
        <w:tab/>
        <w:t>a person who is a non-resident and-</w:t>
      </w:r>
    </w:p>
    <w:p w:rsidR="00BF2117" w:rsidRPr="00195084" w:rsidRDefault="00BF2117" w:rsidP="00195084">
      <w:pPr>
        <w:pStyle w:val="ListParagraph"/>
        <w:numPr>
          <w:ilvl w:val="0"/>
          <w:numId w:val="46"/>
        </w:numPr>
        <w:ind w:left="1440" w:hanging="338"/>
        <w:jc w:val="both"/>
        <w:rPr>
          <w:rFonts w:cs="Arial"/>
          <w:snapToGrid w:val="0"/>
          <w:sz w:val="16"/>
          <w:szCs w:val="16"/>
        </w:rPr>
      </w:pPr>
      <w:r w:rsidRPr="00195084">
        <w:rPr>
          <w:rFonts w:cs="Arial"/>
          <w:snapToGrid w:val="0"/>
          <w:sz w:val="16"/>
          <w:szCs w:val="16"/>
        </w:rPr>
        <w:t>furnishes copy of passport as an evidence to the educational institution that during previous tax year, his stay in Pakistan was less than one hundred eighty-three days;</w:t>
      </w:r>
    </w:p>
    <w:p w:rsidR="00BF2117" w:rsidRPr="00195084" w:rsidRDefault="00BF2117" w:rsidP="00195084">
      <w:pPr>
        <w:pStyle w:val="ListParagraph"/>
        <w:numPr>
          <w:ilvl w:val="0"/>
          <w:numId w:val="46"/>
        </w:numPr>
        <w:ind w:left="1440" w:hanging="338"/>
        <w:jc w:val="both"/>
        <w:rPr>
          <w:rFonts w:cs="Arial"/>
          <w:snapToGrid w:val="0"/>
          <w:sz w:val="16"/>
          <w:szCs w:val="16"/>
        </w:rPr>
      </w:pPr>
      <w:r w:rsidRPr="00195084">
        <w:rPr>
          <w:rFonts w:cs="Arial"/>
          <w:snapToGrid w:val="0"/>
          <w:sz w:val="16"/>
          <w:szCs w:val="16"/>
        </w:rPr>
        <w:t xml:space="preserve">furnishes a certificate that he has no Pakistan-source income; and </w:t>
      </w:r>
    </w:p>
    <w:p w:rsidR="00BF2117" w:rsidRPr="00AA3E8E" w:rsidRDefault="00BF2117" w:rsidP="00AA3E8E">
      <w:pPr>
        <w:pStyle w:val="ListParagraph"/>
        <w:numPr>
          <w:ilvl w:val="0"/>
          <w:numId w:val="46"/>
        </w:numPr>
        <w:ind w:left="1440" w:hanging="338"/>
        <w:jc w:val="both"/>
        <w:rPr>
          <w:sz w:val="16"/>
          <w:szCs w:val="16"/>
          <w:lang w:val="en-US"/>
        </w:rPr>
      </w:pPr>
      <w:r w:rsidRPr="00AA3E8E">
        <w:rPr>
          <w:rFonts w:cs="Arial"/>
          <w:snapToGrid w:val="0"/>
          <w:sz w:val="16"/>
          <w:szCs w:val="16"/>
        </w:rPr>
        <w:t>fee is remitted directly from abroad through normal banking channels to the bank account of the educational institution.</w:t>
      </w:r>
      <w:r>
        <w:rPr>
          <w:rFonts w:cs="Arial"/>
          <w:snapToGrid w:val="0"/>
          <w:sz w:val="16"/>
          <w:szCs w:val="16"/>
        </w:rPr>
        <w:t>”</w:t>
      </w:r>
    </w:p>
  </w:footnote>
  <w:footnote w:id="2330">
    <w:p w:rsidR="00BF2117" w:rsidRDefault="00BF2117">
      <w:pPr>
        <w:pStyle w:val="FootnoteText"/>
        <w:rPr>
          <w:lang w:val="en-US"/>
        </w:rPr>
      </w:pPr>
      <w:r>
        <w:rPr>
          <w:rStyle w:val="FootnoteReference"/>
        </w:rPr>
        <w:footnoteRef/>
      </w:r>
      <w:r w:rsidRPr="00195084">
        <w:rPr>
          <w:sz w:val="16"/>
          <w:lang w:val="en-US"/>
        </w:rPr>
        <w:t>Clause (</w:t>
      </w:r>
      <w:r>
        <w:rPr>
          <w:sz w:val="16"/>
          <w:lang w:val="en-US"/>
        </w:rPr>
        <w:t>90</w:t>
      </w:r>
      <w:r w:rsidRPr="00195084">
        <w:rPr>
          <w:sz w:val="16"/>
          <w:lang w:val="en-US"/>
        </w:rPr>
        <w:t>) omitted by the Finance Act, 201</w:t>
      </w:r>
      <w:r>
        <w:rPr>
          <w:sz w:val="16"/>
          <w:lang w:val="en-US"/>
        </w:rPr>
        <w:t>5</w:t>
      </w:r>
      <w:r w:rsidRPr="00195084">
        <w:rPr>
          <w:sz w:val="16"/>
          <w:lang w:val="en-US"/>
        </w:rPr>
        <w:t xml:space="preserve">. The omitted clause </w:t>
      </w:r>
      <w:r>
        <w:rPr>
          <w:sz w:val="16"/>
          <w:lang w:val="en-US"/>
        </w:rPr>
        <w:t xml:space="preserve">(90) </w:t>
      </w:r>
      <w:r w:rsidRPr="00195084">
        <w:rPr>
          <w:sz w:val="16"/>
          <w:lang w:val="en-US"/>
        </w:rPr>
        <w:t>read as follows</w:t>
      </w:r>
      <w:r>
        <w:rPr>
          <w:sz w:val="16"/>
          <w:lang w:val="en-US"/>
        </w:rPr>
        <w:t>:-</w:t>
      </w:r>
    </w:p>
    <w:p w:rsidR="00BF2117" w:rsidRPr="004339E0" w:rsidRDefault="00BF2117" w:rsidP="005A40A7">
      <w:pPr>
        <w:ind w:firstLine="547"/>
        <w:jc w:val="both"/>
        <w:rPr>
          <w:rFonts w:cs="Arial"/>
          <w:snapToGrid w:val="0"/>
          <w:sz w:val="16"/>
          <w:szCs w:val="16"/>
        </w:rPr>
      </w:pPr>
      <w:r w:rsidRPr="004339E0">
        <w:rPr>
          <w:rFonts w:cs="Arial"/>
          <w:snapToGrid w:val="0"/>
          <w:sz w:val="16"/>
          <w:szCs w:val="16"/>
        </w:rPr>
        <w:t>“(90)</w:t>
      </w:r>
      <w:r w:rsidRPr="004339E0">
        <w:rPr>
          <w:rFonts w:cs="Arial"/>
          <w:snapToGrid w:val="0"/>
          <w:sz w:val="16"/>
          <w:szCs w:val="16"/>
        </w:rPr>
        <w:tab/>
        <w:t>The provisions of section 236D shall not apply to-</w:t>
      </w:r>
    </w:p>
    <w:p w:rsidR="00BF2117" w:rsidRPr="004339E0" w:rsidRDefault="00BF2117" w:rsidP="004339E0">
      <w:pPr>
        <w:jc w:val="both"/>
        <w:rPr>
          <w:rFonts w:cs="Arial"/>
          <w:snapToGrid w:val="0"/>
          <w:sz w:val="16"/>
          <w:szCs w:val="16"/>
        </w:rPr>
      </w:pPr>
      <w:r w:rsidRPr="004339E0">
        <w:rPr>
          <w:rFonts w:cs="Arial"/>
          <w:snapToGrid w:val="0"/>
          <w:sz w:val="16"/>
          <w:szCs w:val="16"/>
        </w:rPr>
        <w:tab/>
      </w:r>
      <w:r>
        <w:rPr>
          <w:rFonts w:cs="Arial"/>
          <w:snapToGrid w:val="0"/>
          <w:sz w:val="16"/>
          <w:szCs w:val="16"/>
        </w:rPr>
        <w:tab/>
      </w:r>
      <w:r w:rsidRPr="004339E0">
        <w:rPr>
          <w:rFonts w:cs="Arial"/>
          <w:snapToGrid w:val="0"/>
          <w:sz w:val="16"/>
          <w:szCs w:val="16"/>
        </w:rPr>
        <w:t>(a)</w:t>
      </w:r>
      <w:r w:rsidRPr="004339E0">
        <w:rPr>
          <w:rFonts w:cs="Arial"/>
          <w:snapToGrid w:val="0"/>
          <w:sz w:val="16"/>
          <w:szCs w:val="16"/>
        </w:rPr>
        <w:tab/>
        <w:t>the Federal Government or a Provincial Government;</w:t>
      </w:r>
    </w:p>
    <w:p w:rsidR="00BF2117" w:rsidRPr="004339E0" w:rsidRDefault="00BF2117" w:rsidP="005A40A7">
      <w:pPr>
        <w:ind w:left="1634" w:hanging="540"/>
        <w:jc w:val="both"/>
        <w:rPr>
          <w:rFonts w:cs="Arial"/>
          <w:snapToGrid w:val="0"/>
          <w:sz w:val="16"/>
          <w:szCs w:val="16"/>
        </w:rPr>
      </w:pPr>
      <w:r w:rsidRPr="004339E0">
        <w:rPr>
          <w:rFonts w:cs="Arial"/>
          <w:snapToGrid w:val="0"/>
          <w:sz w:val="16"/>
          <w:szCs w:val="16"/>
        </w:rPr>
        <w:t>(b)</w:t>
      </w:r>
      <w:r w:rsidRPr="004339E0">
        <w:rPr>
          <w:rFonts w:cs="Arial"/>
          <w:snapToGrid w:val="0"/>
          <w:sz w:val="16"/>
          <w:szCs w:val="16"/>
        </w:rPr>
        <w:tab/>
        <w:t>an individual entitled to privileges under the United Nations (Privileges and Immunities) Act, 1948(XX of 1948); or</w:t>
      </w:r>
    </w:p>
    <w:p w:rsidR="00BF2117" w:rsidRPr="004339E0" w:rsidRDefault="00BF2117" w:rsidP="00381BB9">
      <w:pPr>
        <w:jc w:val="both"/>
        <w:rPr>
          <w:lang w:val="en-US"/>
        </w:rPr>
      </w:pPr>
      <w:r w:rsidRPr="004339E0">
        <w:rPr>
          <w:rFonts w:cs="Arial"/>
          <w:snapToGrid w:val="0"/>
          <w:sz w:val="16"/>
          <w:szCs w:val="16"/>
        </w:rPr>
        <w:tab/>
      </w:r>
      <w:r>
        <w:rPr>
          <w:rFonts w:cs="Arial"/>
          <w:snapToGrid w:val="0"/>
          <w:sz w:val="16"/>
          <w:szCs w:val="16"/>
        </w:rPr>
        <w:tab/>
      </w:r>
      <w:r w:rsidRPr="004339E0">
        <w:rPr>
          <w:rFonts w:cs="Arial"/>
          <w:snapToGrid w:val="0"/>
          <w:sz w:val="16"/>
          <w:szCs w:val="16"/>
        </w:rPr>
        <w:t>(c)</w:t>
      </w:r>
      <w:r w:rsidRPr="004339E0">
        <w:rPr>
          <w:rFonts w:cs="Arial"/>
          <w:snapToGrid w:val="0"/>
          <w:sz w:val="16"/>
          <w:szCs w:val="16"/>
        </w:rPr>
        <w:tab/>
        <w:t xml:space="preserve">a foreign diplomat or </w:t>
      </w:r>
      <w:r>
        <w:rPr>
          <w:rFonts w:cs="Arial"/>
          <w:snapToGrid w:val="0"/>
          <w:sz w:val="16"/>
          <w:szCs w:val="16"/>
        </w:rPr>
        <w:t>diplomatic mission in Pakistan.”</w:t>
      </w:r>
    </w:p>
  </w:footnote>
  <w:footnote w:id="2331">
    <w:p w:rsidR="00BF2117" w:rsidRPr="002C2E9E" w:rsidRDefault="00BF2117">
      <w:pPr>
        <w:pStyle w:val="FootnoteText"/>
        <w:rPr>
          <w:sz w:val="16"/>
          <w:szCs w:val="16"/>
          <w:lang w:val="en-US"/>
        </w:rPr>
      </w:pPr>
      <w:r w:rsidRPr="002C2E9E">
        <w:rPr>
          <w:rStyle w:val="FootnoteReference"/>
          <w:sz w:val="16"/>
          <w:szCs w:val="16"/>
        </w:rPr>
        <w:footnoteRef/>
      </w:r>
      <w:r w:rsidRPr="00966D71">
        <w:rPr>
          <w:sz w:val="16"/>
          <w:szCs w:val="16"/>
        </w:rPr>
        <w:t>Inserted by S.R.O. 1029(I)/2014 date 19.11.2014.</w:t>
      </w:r>
    </w:p>
  </w:footnote>
  <w:footnote w:id="2332">
    <w:p w:rsidR="00BF2117" w:rsidRDefault="00BF2117">
      <w:pPr>
        <w:pStyle w:val="FootnoteText"/>
        <w:rPr>
          <w:color w:val="FF0000"/>
          <w:sz w:val="16"/>
          <w:szCs w:val="16"/>
        </w:rPr>
      </w:pPr>
      <w:r w:rsidRPr="000E5E48">
        <w:rPr>
          <w:rStyle w:val="FootnoteReference"/>
          <w:color w:val="0070C0"/>
          <w:sz w:val="16"/>
          <w:szCs w:val="16"/>
        </w:rPr>
        <w:footnoteRef/>
      </w:r>
      <w:r w:rsidRPr="000E5E48">
        <w:rPr>
          <w:color w:val="0070C0"/>
          <w:sz w:val="16"/>
          <w:szCs w:val="16"/>
        </w:rPr>
        <w:t xml:space="preserve"> Clause (91) substituted by the Finance Act, 2016. Substituted clause read as follows:-</w:t>
      </w:r>
    </w:p>
    <w:p w:rsidR="00BF2117" w:rsidRPr="00204087" w:rsidRDefault="00BF2117" w:rsidP="00B53FFD">
      <w:pPr>
        <w:ind w:left="540" w:hanging="540"/>
        <w:jc w:val="both"/>
        <w:rPr>
          <w:color w:val="FF0000"/>
          <w:sz w:val="16"/>
          <w:szCs w:val="16"/>
          <w:lang w:val="en-US"/>
        </w:rPr>
      </w:pPr>
      <w:r w:rsidRPr="00B53FFD">
        <w:rPr>
          <w:color w:val="000000" w:themeColor="text1"/>
          <w:sz w:val="16"/>
          <w:szCs w:val="16"/>
        </w:rPr>
        <w:t xml:space="preserve">. </w:t>
      </w:r>
      <w:r>
        <w:rPr>
          <w:color w:val="000000" w:themeColor="text1"/>
          <w:sz w:val="16"/>
          <w:szCs w:val="16"/>
        </w:rPr>
        <w:t>“</w:t>
      </w:r>
      <w:r w:rsidRPr="00B53FFD">
        <w:rPr>
          <w:rFonts w:cs="Arial"/>
          <w:snapToGrid w:val="0"/>
          <w:color w:val="000000" w:themeColor="text1"/>
          <w:sz w:val="16"/>
          <w:szCs w:val="16"/>
        </w:rPr>
        <w:t>(91)</w:t>
      </w:r>
      <w:r w:rsidRPr="00B53FFD">
        <w:rPr>
          <w:rFonts w:cs="Arial"/>
          <w:snapToGrid w:val="0"/>
          <w:color w:val="000000" w:themeColor="text1"/>
          <w:sz w:val="16"/>
          <w:szCs w:val="16"/>
        </w:rPr>
        <w:tab/>
      </w:r>
      <w:r w:rsidRPr="00E566BA">
        <w:rPr>
          <w:rFonts w:cs="Arial"/>
          <w:snapToGrid w:val="0"/>
          <w:color w:val="000000" w:themeColor="text1"/>
          <w:sz w:val="16"/>
          <w:szCs w:val="16"/>
        </w:rPr>
        <w:t xml:space="preserve">the provisions of sections 147, 151, 152, 231A, 231AA, 236A and 236K shall not apply to “The </w:t>
      </w:r>
      <w:r w:rsidRPr="00E566BA">
        <w:rPr>
          <w:rFonts w:cs="Arial"/>
          <w:color w:val="000000" w:themeColor="text1"/>
          <w:sz w:val="16"/>
          <w:szCs w:val="16"/>
        </w:rPr>
        <w:t>Second Pakistan International Sukuk Company Limited”, as a payer.”</w:t>
      </w:r>
    </w:p>
  </w:footnote>
  <w:footnote w:id="2333">
    <w:p w:rsidR="00BF2117" w:rsidRPr="00381BB9" w:rsidRDefault="00BF2117">
      <w:pPr>
        <w:pStyle w:val="FootnoteText"/>
        <w:rPr>
          <w:lang w:val="en-US"/>
        </w:rPr>
      </w:pPr>
      <w:r w:rsidRPr="00381BB9">
        <w:rPr>
          <w:rStyle w:val="FootnoteReference"/>
          <w:sz w:val="16"/>
          <w:szCs w:val="16"/>
        </w:rPr>
        <w:footnoteRef/>
      </w:r>
      <w:r>
        <w:rPr>
          <w:sz w:val="16"/>
          <w:szCs w:val="16"/>
        </w:rPr>
        <w:t xml:space="preserve">Clause (91) </w:t>
      </w:r>
      <w:r w:rsidRPr="00381BB9">
        <w:rPr>
          <w:sz w:val="16"/>
          <w:szCs w:val="16"/>
          <w:lang w:val="en-US"/>
        </w:rPr>
        <w:t>added by the Finance Act, 2015</w:t>
      </w:r>
      <w:r>
        <w:rPr>
          <w:lang w:val="en-US"/>
        </w:rPr>
        <w:t>.</w:t>
      </w:r>
    </w:p>
  </w:footnote>
  <w:footnote w:id="2334">
    <w:p w:rsidR="00BF2117" w:rsidRPr="00200D46" w:rsidRDefault="00BF2117">
      <w:pPr>
        <w:pStyle w:val="FootnoteText"/>
        <w:rPr>
          <w:lang w:val="en-US"/>
        </w:rPr>
      </w:pPr>
      <w:r>
        <w:rPr>
          <w:rStyle w:val="FootnoteReference"/>
        </w:rPr>
        <w:footnoteRef/>
      </w:r>
      <w:r w:rsidRPr="00966D71">
        <w:rPr>
          <w:sz w:val="16"/>
          <w:szCs w:val="16"/>
        </w:rPr>
        <w:t>Inserted by S.R.O. 1029(I)/2014 date 19.11.2014</w:t>
      </w:r>
    </w:p>
  </w:footnote>
  <w:footnote w:id="2335">
    <w:p w:rsidR="00BF2117" w:rsidRPr="000E5E48" w:rsidRDefault="00BF2117" w:rsidP="00B53FFD">
      <w:pPr>
        <w:pStyle w:val="FootnoteText"/>
        <w:rPr>
          <w:color w:val="0070C0"/>
          <w:sz w:val="16"/>
          <w:szCs w:val="16"/>
        </w:rPr>
      </w:pPr>
      <w:r w:rsidRPr="000E5E48">
        <w:rPr>
          <w:rStyle w:val="FootnoteReference"/>
          <w:color w:val="0070C0"/>
          <w:sz w:val="16"/>
          <w:szCs w:val="16"/>
        </w:rPr>
        <w:footnoteRef/>
      </w:r>
      <w:r w:rsidRPr="000E5E48">
        <w:rPr>
          <w:color w:val="0070C0"/>
          <w:sz w:val="16"/>
          <w:szCs w:val="16"/>
        </w:rPr>
        <w:t xml:space="preserve"> Clause (92) substituted by the Finance Act, 2016 substituted clause read as follows:-</w:t>
      </w:r>
    </w:p>
    <w:p w:rsidR="00BF2117" w:rsidRPr="00AB382E" w:rsidRDefault="00BF2117" w:rsidP="00B53FFD">
      <w:pPr>
        <w:ind w:left="540" w:hanging="540"/>
        <w:jc w:val="both"/>
        <w:rPr>
          <w:rFonts w:cs="Arial"/>
          <w:color w:val="FF0000"/>
          <w:sz w:val="16"/>
          <w:szCs w:val="16"/>
          <w:lang w:val="en-US"/>
        </w:rPr>
      </w:pPr>
      <w:r w:rsidRPr="00B53FFD">
        <w:rPr>
          <w:color w:val="000000" w:themeColor="text1"/>
          <w:sz w:val="16"/>
          <w:szCs w:val="16"/>
        </w:rPr>
        <w:t xml:space="preserve">. </w:t>
      </w:r>
      <w:r w:rsidRPr="00AB382E">
        <w:rPr>
          <w:rFonts w:cs="Arial"/>
          <w:color w:val="000000" w:themeColor="text1"/>
          <w:sz w:val="16"/>
          <w:szCs w:val="16"/>
          <w:lang w:val="en-US"/>
        </w:rPr>
        <w:t>“(92)</w:t>
      </w:r>
      <w:r w:rsidRPr="00AB382E">
        <w:rPr>
          <w:rFonts w:cs="Arial"/>
          <w:color w:val="000000" w:themeColor="text1"/>
          <w:sz w:val="16"/>
          <w:szCs w:val="16"/>
          <w:lang w:val="en-US"/>
        </w:rPr>
        <w:tab/>
      </w:r>
      <w:r w:rsidRPr="00AB382E">
        <w:rPr>
          <w:rFonts w:cs="Arial"/>
          <w:snapToGrid w:val="0"/>
          <w:color w:val="000000" w:themeColor="text1"/>
          <w:sz w:val="16"/>
          <w:szCs w:val="16"/>
        </w:rPr>
        <w:t xml:space="preserve">the provisions of sections 147, 151 and 155 shall not apply to “The </w:t>
      </w:r>
      <w:r w:rsidRPr="00AB382E">
        <w:rPr>
          <w:rFonts w:cs="Arial"/>
          <w:color w:val="000000" w:themeColor="text1"/>
          <w:sz w:val="16"/>
          <w:szCs w:val="16"/>
        </w:rPr>
        <w:t>Second Pakistan International Sukuk Company Limited”, as a recipient.</w:t>
      </w:r>
    </w:p>
  </w:footnote>
  <w:footnote w:id="2336">
    <w:p w:rsidR="00BF2117" w:rsidRPr="00A24C3A" w:rsidRDefault="00BF2117">
      <w:pPr>
        <w:pStyle w:val="FootnoteText"/>
        <w:rPr>
          <w:lang w:val="en-US"/>
        </w:rPr>
      </w:pPr>
      <w:r>
        <w:rPr>
          <w:rStyle w:val="FootnoteReference"/>
        </w:rPr>
        <w:footnoteRef/>
      </w:r>
      <w:r>
        <w:rPr>
          <w:sz w:val="16"/>
          <w:szCs w:val="16"/>
        </w:rPr>
        <w:t xml:space="preserve">Clause (92) </w:t>
      </w:r>
      <w:r w:rsidRPr="00381BB9">
        <w:rPr>
          <w:sz w:val="16"/>
          <w:szCs w:val="16"/>
          <w:lang w:val="en-US"/>
        </w:rPr>
        <w:t>added by the Finance Act, 2015</w:t>
      </w:r>
      <w:r>
        <w:rPr>
          <w:lang w:val="en-US"/>
        </w:rPr>
        <w:t>.</w:t>
      </w:r>
    </w:p>
  </w:footnote>
  <w:footnote w:id="2337">
    <w:p w:rsidR="00BF2117" w:rsidRPr="00414447" w:rsidRDefault="00BF2117">
      <w:pPr>
        <w:pStyle w:val="FootnoteText"/>
        <w:rPr>
          <w:lang w:val="en-US"/>
        </w:rPr>
      </w:pPr>
      <w:r>
        <w:rPr>
          <w:rStyle w:val="FootnoteReference"/>
        </w:rPr>
        <w:footnoteRef/>
      </w:r>
      <w:r w:rsidRPr="00966D71">
        <w:rPr>
          <w:sz w:val="16"/>
          <w:szCs w:val="16"/>
        </w:rPr>
        <w:t>Inserted by S.R.O. 1029(I)/2014 date 19.11.2014</w:t>
      </w:r>
    </w:p>
  </w:footnote>
  <w:footnote w:id="2338">
    <w:p w:rsidR="00BF2117" w:rsidRPr="000E5E48" w:rsidRDefault="00BF2117" w:rsidP="001E1028">
      <w:pPr>
        <w:pStyle w:val="FootnoteText"/>
        <w:rPr>
          <w:color w:val="0070C0"/>
          <w:sz w:val="16"/>
          <w:szCs w:val="16"/>
        </w:rPr>
      </w:pPr>
      <w:r w:rsidRPr="000E5E48">
        <w:rPr>
          <w:rStyle w:val="FootnoteReference"/>
          <w:color w:val="0070C0"/>
          <w:sz w:val="16"/>
          <w:szCs w:val="16"/>
        </w:rPr>
        <w:footnoteRef/>
      </w:r>
      <w:r w:rsidRPr="000E5E48">
        <w:rPr>
          <w:color w:val="0070C0"/>
          <w:sz w:val="16"/>
          <w:szCs w:val="16"/>
        </w:rPr>
        <w:t xml:space="preserve"> Clause (93) substituted by the Finance Act, 2016 substituted clause read as follows:-</w:t>
      </w:r>
    </w:p>
    <w:p w:rsidR="00BF2117" w:rsidRPr="00AB382E" w:rsidRDefault="00BF2117" w:rsidP="00AB382E">
      <w:pPr>
        <w:ind w:left="360" w:hanging="360"/>
        <w:jc w:val="both"/>
        <w:rPr>
          <w:rFonts w:cs="Arial"/>
          <w:color w:val="000000" w:themeColor="text1"/>
          <w:sz w:val="16"/>
          <w:szCs w:val="16"/>
          <w:lang w:val="en-US"/>
        </w:rPr>
      </w:pPr>
      <w:r w:rsidRPr="00AB382E">
        <w:rPr>
          <w:rFonts w:cs="Arial"/>
          <w:color w:val="000000" w:themeColor="text1"/>
          <w:sz w:val="16"/>
          <w:szCs w:val="16"/>
          <w:lang w:val="en-US"/>
        </w:rPr>
        <w:t xml:space="preserve">“(93) </w:t>
      </w:r>
      <w:r w:rsidRPr="00AB382E">
        <w:rPr>
          <w:rFonts w:cs="Arial"/>
          <w:snapToGrid w:val="0"/>
          <w:color w:val="000000" w:themeColor="text1"/>
          <w:sz w:val="16"/>
          <w:szCs w:val="16"/>
        </w:rPr>
        <w:t>the provision of section 236C shall not apply to “</w:t>
      </w:r>
      <w:r w:rsidRPr="00AB382E">
        <w:rPr>
          <w:rFonts w:cs="Arial"/>
          <w:color w:val="000000" w:themeColor="text1"/>
          <w:sz w:val="16"/>
          <w:szCs w:val="16"/>
        </w:rPr>
        <w:t>Pakistan International Sukuk Company Limited”.]</w:t>
      </w:r>
    </w:p>
  </w:footnote>
  <w:footnote w:id="2339">
    <w:p w:rsidR="00BF2117" w:rsidRPr="00EA5869" w:rsidRDefault="00BF2117">
      <w:pPr>
        <w:pStyle w:val="FootnoteText"/>
        <w:rPr>
          <w:lang w:val="en-US"/>
        </w:rPr>
      </w:pPr>
      <w:r>
        <w:rPr>
          <w:rStyle w:val="FootnoteReference"/>
        </w:rPr>
        <w:footnoteRef/>
      </w:r>
      <w:r>
        <w:rPr>
          <w:sz w:val="16"/>
          <w:szCs w:val="16"/>
        </w:rPr>
        <w:t xml:space="preserve">Clause (93) </w:t>
      </w:r>
      <w:r w:rsidRPr="00381BB9">
        <w:rPr>
          <w:sz w:val="16"/>
          <w:szCs w:val="16"/>
          <w:lang w:val="en-US"/>
        </w:rPr>
        <w:t>added by the Finance Act, 2015</w:t>
      </w:r>
      <w:r>
        <w:rPr>
          <w:lang w:val="en-US"/>
        </w:rPr>
        <w:t>.</w:t>
      </w:r>
    </w:p>
  </w:footnote>
  <w:footnote w:id="2340">
    <w:p w:rsidR="00BF2117" w:rsidRPr="003409C0" w:rsidRDefault="00BF2117" w:rsidP="00D33815">
      <w:pPr>
        <w:pStyle w:val="FootnoteText"/>
        <w:ind w:left="90" w:hanging="90"/>
        <w:rPr>
          <w:color w:val="000000" w:themeColor="text1"/>
          <w:sz w:val="16"/>
          <w:szCs w:val="16"/>
          <w:lang w:val="en-US"/>
        </w:rPr>
      </w:pPr>
      <w:r w:rsidRPr="003409C0">
        <w:rPr>
          <w:rStyle w:val="FootnoteReference"/>
          <w:color w:val="000000" w:themeColor="text1"/>
          <w:sz w:val="16"/>
          <w:szCs w:val="16"/>
        </w:rPr>
        <w:footnoteRef/>
      </w:r>
      <w:r w:rsidRPr="003409C0">
        <w:rPr>
          <w:color w:val="000000" w:themeColor="text1"/>
          <w:sz w:val="16"/>
          <w:szCs w:val="16"/>
        </w:rPr>
        <w:t xml:space="preserve"> Inserted </w:t>
      </w:r>
      <w:r w:rsidRPr="003409C0">
        <w:rPr>
          <w:rFonts w:cs="Arial"/>
          <w:color w:val="000000" w:themeColor="text1"/>
          <w:sz w:val="16"/>
          <w:szCs w:val="16"/>
          <w:lang w:val="en-US"/>
        </w:rPr>
        <w:t xml:space="preserve">by the </w:t>
      </w:r>
      <w:r w:rsidRPr="003409C0">
        <w:rPr>
          <w:color w:val="000000" w:themeColor="text1"/>
          <w:sz w:val="16"/>
          <w:szCs w:val="16"/>
          <w:lang w:val="en-US"/>
        </w:rPr>
        <w:t>National Assembly Secretariat’s O.M. No.F.22(41)/2015-Legis dated 29.01.2016.</w:t>
      </w:r>
    </w:p>
  </w:footnote>
  <w:footnote w:id="2341">
    <w:p w:rsidR="00BF2117" w:rsidRPr="007C570A" w:rsidRDefault="00BF2117" w:rsidP="007C570A">
      <w:pPr>
        <w:pStyle w:val="FootnoteText"/>
        <w:ind w:left="180" w:hanging="180"/>
        <w:jc w:val="both"/>
        <w:rPr>
          <w:sz w:val="16"/>
          <w:szCs w:val="16"/>
          <w:lang w:val="en-US"/>
        </w:rPr>
      </w:pPr>
      <w:r w:rsidRPr="003409C0">
        <w:rPr>
          <w:rStyle w:val="FootnoteReference"/>
          <w:color w:val="000000" w:themeColor="text1"/>
          <w:sz w:val="16"/>
          <w:szCs w:val="16"/>
        </w:rPr>
        <w:footnoteRef/>
      </w:r>
      <w:r w:rsidRPr="003409C0">
        <w:rPr>
          <w:color w:val="000000" w:themeColor="text1"/>
          <w:sz w:val="16"/>
          <w:szCs w:val="16"/>
        </w:rPr>
        <w:t xml:space="preserve"> The expression “tax year 2016” substituted </w:t>
      </w:r>
      <w:r w:rsidRPr="003409C0">
        <w:rPr>
          <w:rFonts w:cs="Arial"/>
          <w:color w:val="000000" w:themeColor="text1"/>
          <w:sz w:val="16"/>
          <w:szCs w:val="16"/>
          <w:lang w:val="en-US"/>
        </w:rPr>
        <w:t xml:space="preserve">by the </w:t>
      </w:r>
      <w:r w:rsidRPr="003409C0">
        <w:rPr>
          <w:color w:val="000000" w:themeColor="text1"/>
          <w:sz w:val="16"/>
          <w:szCs w:val="16"/>
          <w:lang w:val="en-US"/>
        </w:rPr>
        <w:t>National Assembly Secretariat’s O.M. No.F.22(2)/2016-Legis dated 29.01.2016.</w:t>
      </w:r>
    </w:p>
  </w:footnote>
  <w:footnote w:id="2342">
    <w:p w:rsidR="00BF2117" w:rsidRPr="000E5E48" w:rsidRDefault="00BF2117">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The figure “2016” substituted by the Finance Act, 2016.</w:t>
      </w:r>
    </w:p>
  </w:footnote>
  <w:footnote w:id="2343">
    <w:p w:rsidR="00BF2117" w:rsidRPr="000E5E48" w:rsidRDefault="00BF2117">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Inserted by the Finance Act, 2016.</w:t>
      </w:r>
    </w:p>
  </w:footnote>
  <w:footnote w:id="2344">
    <w:p w:rsidR="00BF2117" w:rsidRPr="0087301F" w:rsidRDefault="00BF2117" w:rsidP="00FA2508">
      <w:pPr>
        <w:pStyle w:val="FootnoteText"/>
        <w:ind w:left="90" w:hanging="90"/>
        <w:jc w:val="both"/>
        <w:rPr>
          <w:color w:val="0070C0"/>
          <w:lang w:val="en-US"/>
        </w:rPr>
      </w:pPr>
      <w:r w:rsidRPr="0087301F">
        <w:rPr>
          <w:rStyle w:val="FootnoteReference"/>
          <w:color w:val="0070C0"/>
          <w:sz w:val="16"/>
          <w:szCs w:val="16"/>
        </w:rPr>
        <w:footnoteRef/>
      </w:r>
      <w:r w:rsidRPr="0087301F">
        <w:rPr>
          <w:color w:val="0070C0"/>
          <w:sz w:val="16"/>
          <w:szCs w:val="16"/>
        </w:rPr>
        <w:t xml:space="preserve"> Inserted </w:t>
      </w:r>
      <w:r w:rsidRPr="0087301F">
        <w:rPr>
          <w:rFonts w:cs="Arial"/>
          <w:color w:val="0070C0"/>
          <w:sz w:val="16"/>
          <w:szCs w:val="16"/>
          <w:lang w:val="en-US"/>
        </w:rPr>
        <w:t xml:space="preserve">by the </w:t>
      </w:r>
      <w:r w:rsidRPr="0087301F">
        <w:rPr>
          <w:color w:val="0070C0"/>
          <w:sz w:val="16"/>
          <w:szCs w:val="16"/>
          <w:lang w:val="en-US"/>
        </w:rPr>
        <w:t>National Assembly Secretariat’s O.M. No.F.22(2)/2016-Legis dated 29.01.2016.</w:t>
      </w:r>
    </w:p>
  </w:footnote>
  <w:footnote w:id="2345">
    <w:p w:rsidR="00BF2117" w:rsidRPr="000E5E48" w:rsidRDefault="00BF2117" w:rsidP="00B335B7">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Full-stop substituted by the Finance Act, 2016.</w:t>
      </w:r>
    </w:p>
  </w:footnote>
  <w:footnote w:id="2346">
    <w:p w:rsidR="00BF2117" w:rsidRPr="000E5E48" w:rsidRDefault="00BF2117">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Added by the Finance Act, 2016.</w:t>
      </w:r>
    </w:p>
  </w:footnote>
  <w:footnote w:id="2347">
    <w:p w:rsidR="00BF2117" w:rsidRPr="00B53FFD" w:rsidRDefault="00BF2117" w:rsidP="00287F26">
      <w:pPr>
        <w:pStyle w:val="FootnoteText"/>
        <w:rPr>
          <w:color w:val="FF0000"/>
          <w:sz w:val="16"/>
          <w:szCs w:val="16"/>
          <w:lang w:val="en-US"/>
        </w:rPr>
      </w:pPr>
      <w:r w:rsidRPr="000E5E48">
        <w:rPr>
          <w:rStyle w:val="FootnoteReference"/>
          <w:color w:val="0070C0"/>
          <w:sz w:val="16"/>
          <w:szCs w:val="16"/>
        </w:rPr>
        <w:footnoteRef/>
      </w:r>
      <w:r w:rsidRPr="000E5E48">
        <w:rPr>
          <w:color w:val="0070C0"/>
          <w:sz w:val="16"/>
          <w:szCs w:val="16"/>
        </w:rPr>
        <w:t xml:space="preserve"> Substituted by the Finance Act, 2016.</w:t>
      </w:r>
    </w:p>
  </w:footnote>
  <w:footnote w:id="2348">
    <w:p w:rsidR="00BF2117" w:rsidRPr="000E5E48" w:rsidRDefault="00BF2117" w:rsidP="00862CE9">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Substituted by the Finance Act, 2016.</w:t>
      </w:r>
    </w:p>
  </w:footnote>
  <w:footnote w:id="2349">
    <w:p w:rsidR="00BF2117" w:rsidRPr="000E5E48" w:rsidRDefault="00BF2117" w:rsidP="00CD018A">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Substituted by the Finance Act, 2016.</w:t>
      </w:r>
    </w:p>
  </w:footnote>
  <w:footnote w:id="2350">
    <w:p w:rsidR="00BF2117" w:rsidRPr="000E5E48" w:rsidRDefault="00BF2117" w:rsidP="00803237">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Added by the Finance Act, 2016.</w:t>
      </w:r>
    </w:p>
  </w:footnote>
  <w:footnote w:id="2351">
    <w:p w:rsidR="00BF2117" w:rsidRPr="00B335B7" w:rsidRDefault="00BF2117" w:rsidP="00803237">
      <w:pPr>
        <w:pStyle w:val="FootnoteText"/>
        <w:rPr>
          <w:color w:val="FF0000"/>
          <w:sz w:val="16"/>
          <w:szCs w:val="16"/>
          <w:lang w:val="en-US"/>
        </w:rPr>
      </w:pPr>
      <w:r w:rsidRPr="000E5E48">
        <w:rPr>
          <w:rStyle w:val="FootnoteReference"/>
          <w:color w:val="0070C0"/>
          <w:sz w:val="16"/>
          <w:szCs w:val="16"/>
        </w:rPr>
        <w:footnoteRef/>
      </w:r>
      <w:r w:rsidRPr="000E5E48">
        <w:rPr>
          <w:color w:val="0070C0"/>
          <w:sz w:val="16"/>
          <w:szCs w:val="16"/>
        </w:rPr>
        <w:t xml:space="preserve"> Added by the Finance Act, 2016.</w:t>
      </w:r>
    </w:p>
  </w:footnote>
  <w:footnote w:id="2352">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Substituted by the Finance Act, 2005. The substituted Part I read as follows:</w:t>
      </w:r>
    </w:p>
    <w:p w:rsidR="00BF2117" w:rsidRPr="00412620" w:rsidRDefault="00BF2117" w:rsidP="00AA4BF8">
      <w:pPr>
        <w:pStyle w:val="Heading2"/>
        <w:spacing w:line="240" w:lineRule="auto"/>
        <w:rPr>
          <w:sz w:val="16"/>
          <w:szCs w:val="16"/>
        </w:rPr>
      </w:pPr>
      <w:r w:rsidRPr="00412620">
        <w:rPr>
          <w:sz w:val="16"/>
          <w:szCs w:val="16"/>
        </w:rPr>
        <w:t>PART I</w:t>
      </w:r>
    </w:p>
    <w:p w:rsidR="00BF2117" w:rsidRPr="00412620" w:rsidRDefault="00BF2117" w:rsidP="00AA4BF8">
      <w:pPr>
        <w:pStyle w:val="Heading2"/>
        <w:spacing w:line="240" w:lineRule="auto"/>
        <w:rPr>
          <w:sz w:val="16"/>
          <w:szCs w:val="16"/>
        </w:rPr>
      </w:pPr>
      <w:r w:rsidRPr="00412620">
        <w:rPr>
          <w:sz w:val="16"/>
          <w:szCs w:val="16"/>
        </w:rPr>
        <w:t>DEPRECIATION</w:t>
      </w:r>
    </w:p>
    <w:p w:rsidR="00BF2117" w:rsidRPr="00412620" w:rsidRDefault="00BF2117" w:rsidP="00AA4BF8">
      <w:pPr>
        <w:pStyle w:val="BodyText2"/>
        <w:keepNext/>
        <w:rPr>
          <w:sz w:val="16"/>
          <w:szCs w:val="16"/>
        </w:rPr>
      </w:pPr>
      <w:r w:rsidRPr="00412620">
        <w:rPr>
          <w:sz w:val="16"/>
          <w:szCs w:val="16"/>
        </w:rPr>
        <w:t>(See Section 22)</w:t>
      </w:r>
    </w:p>
    <w:p w:rsidR="00BF2117" w:rsidRPr="00412620" w:rsidRDefault="00BF2117" w:rsidP="00AA4BF8">
      <w:pPr>
        <w:keepNext/>
        <w:rPr>
          <w:sz w:val="16"/>
          <w:szCs w:val="16"/>
        </w:rPr>
      </w:pPr>
    </w:p>
    <w:p w:rsidR="00BF2117" w:rsidRPr="00412620" w:rsidRDefault="00BF2117" w:rsidP="00AA4BF8">
      <w:pPr>
        <w:keepNext/>
        <w:rPr>
          <w:sz w:val="16"/>
          <w:szCs w:val="16"/>
        </w:rPr>
      </w:pPr>
      <w:r w:rsidRPr="00412620">
        <w:rPr>
          <w:sz w:val="16"/>
          <w:szCs w:val="16"/>
        </w:rPr>
        <w:tab/>
        <w:t>Depreciation rates specified for the purposes of section 22 shall be –</w:t>
      </w:r>
    </w:p>
    <w:p w:rsidR="00BF2117" w:rsidRPr="00412620" w:rsidRDefault="00BF2117" w:rsidP="00AA4BF8">
      <w:pPr>
        <w:keepNext/>
        <w:rPr>
          <w:sz w:val="16"/>
          <w:szCs w:val="16"/>
        </w:rPr>
      </w:pPr>
    </w:p>
    <w:tbl>
      <w:tblPr>
        <w:tblW w:w="0" w:type="auto"/>
        <w:tblInd w:w="2" w:type="dxa"/>
        <w:tblBorders>
          <w:top w:val="single" w:sz="12" w:space="0" w:color="008000"/>
          <w:bottom w:val="single" w:sz="12" w:space="0" w:color="008000"/>
        </w:tblBorders>
        <w:tblLayout w:type="fixed"/>
        <w:tblLook w:val="00A0"/>
      </w:tblPr>
      <w:tblGrid>
        <w:gridCol w:w="720"/>
        <w:gridCol w:w="4050"/>
        <w:gridCol w:w="1260"/>
      </w:tblGrid>
      <w:tr w:rsidR="00BF2117" w:rsidRPr="00412620">
        <w:tc>
          <w:tcPr>
            <w:tcW w:w="720" w:type="dxa"/>
            <w:tcBorders>
              <w:top w:val="single" w:sz="12" w:space="0" w:color="008000"/>
              <w:left w:val="nil"/>
              <w:bottom w:val="single" w:sz="6" w:space="0" w:color="008000"/>
              <w:right w:val="nil"/>
            </w:tcBorders>
          </w:tcPr>
          <w:p w:rsidR="00BF2117" w:rsidRPr="00412620" w:rsidRDefault="00BF2117">
            <w:pPr>
              <w:jc w:val="center"/>
              <w:rPr>
                <w:sz w:val="16"/>
                <w:szCs w:val="16"/>
              </w:rPr>
            </w:pPr>
            <w:r w:rsidRPr="00412620">
              <w:rPr>
                <w:sz w:val="16"/>
                <w:szCs w:val="16"/>
              </w:rPr>
              <w:t>Class of asset.</w:t>
            </w:r>
          </w:p>
        </w:tc>
        <w:tc>
          <w:tcPr>
            <w:tcW w:w="4050" w:type="dxa"/>
            <w:tcBorders>
              <w:top w:val="single" w:sz="12" w:space="0" w:color="008000"/>
              <w:left w:val="nil"/>
              <w:bottom w:val="single" w:sz="6" w:space="0" w:color="008000"/>
              <w:right w:val="nil"/>
            </w:tcBorders>
          </w:tcPr>
          <w:p w:rsidR="00BF2117" w:rsidRPr="00412620" w:rsidRDefault="00BF2117">
            <w:pPr>
              <w:jc w:val="center"/>
              <w:rPr>
                <w:sz w:val="16"/>
                <w:szCs w:val="16"/>
              </w:rPr>
            </w:pPr>
            <w:r w:rsidRPr="00412620">
              <w:rPr>
                <w:sz w:val="16"/>
                <w:szCs w:val="16"/>
              </w:rPr>
              <w:t>Description.</w:t>
            </w:r>
          </w:p>
        </w:tc>
        <w:tc>
          <w:tcPr>
            <w:tcW w:w="1260" w:type="dxa"/>
            <w:tcBorders>
              <w:top w:val="single" w:sz="12" w:space="0" w:color="008000"/>
              <w:left w:val="nil"/>
              <w:bottom w:val="single" w:sz="6" w:space="0" w:color="008000"/>
              <w:right w:val="nil"/>
            </w:tcBorders>
          </w:tcPr>
          <w:p w:rsidR="00BF2117" w:rsidRPr="00412620" w:rsidRDefault="00BF2117">
            <w:pPr>
              <w:jc w:val="center"/>
              <w:rPr>
                <w:sz w:val="16"/>
                <w:szCs w:val="16"/>
              </w:rPr>
            </w:pPr>
            <w:r w:rsidRPr="00412620">
              <w:rPr>
                <w:sz w:val="16"/>
                <w:szCs w:val="16"/>
              </w:rPr>
              <w:t xml:space="preserve">Rate </w:t>
            </w:r>
            <w:r>
              <w:rPr>
                <w:sz w:val="16"/>
                <w:szCs w:val="16"/>
              </w:rPr>
              <w:t>per cent</w:t>
            </w:r>
            <w:r w:rsidRPr="00412620">
              <w:rPr>
                <w:sz w:val="16"/>
                <w:szCs w:val="16"/>
              </w:rPr>
              <w:t xml:space="preserve"> of the written down value.</w:t>
            </w:r>
          </w:p>
        </w:tc>
      </w:tr>
      <w:tr w:rsidR="00BF2117" w:rsidRPr="00412620">
        <w:tc>
          <w:tcPr>
            <w:tcW w:w="720" w:type="dxa"/>
            <w:tcBorders>
              <w:top w:val="single" w:sz="6" w:space="0" w:color="008000"/>
              <w:left w:val="nil"/>
              <w:bottom w:val="nil"/>
              <w:right w:val="nil"/>
            </w:tcBorders>
          </w:tcPr>
          <w:p w:rsidR="00BF2117" w:rsidRPr="00412620" w:rsidRDefault="00BF2117">
            <w:pPr>
              <w:jc w:val="center"/>
              <w:rPr>
                <w:sz w:val="16"/>
                <w:szCs w:val="16"/>
              </w:rPr>
            </w:pPr>
          </w:p>
        </w:tc>
        <w:tc>
          <w:tcPr>
            <w:tcW w:w="4050" w:type="dxa"/>
            <w:tcBorders>
              <w:top w:val="single" w:sz="6" w:space="0" w:color="008000"/>
              <w:left w:val="nil"/>
              <w:bottom w:val="nil"/>
              <w:right w:val="nil"/>
            </w:tcBorders>
          </w:tcPr>
          <w:p w:rsidR="00BF2117" w:rsidRPr="00412620" w:rsidRDefault="00BF2117">
            <w:pPr>
              <w:pStyle w:val="Heading2"/>
              <w:spacing w:line="240" w:lineRule="auto"/>
              <w:rPr>
                <w:b w:val="0"/>
                <w:bCs/>
                <w:sz w:val="16"/>
                <w:szCs w:val="16"/>
              </w:rPr>
            </w:pPr>
            <w:r w:rsidRPr="00412620">
              <w:rPr>
                <w:b w:val="0"/>
                <w:sz w:val="16"/>
                <w:szCs w:val="16"/>
              </w:rPr>
              <w:t>BUILDINGS</w:t>
            </w:r>
          </w:p>
        </w:tc>
        <w:tc>
          <w:tcPr>
            <w:tcW w:w="1260" w:type="dxa"/>
            <w:tcBorders>
              <w:top w:val="single" w:sz="6" w:space="0" w:color="008000"/>
              <w:left w:val="nil"/>
              <w:bottom w:val="nil"/>
              <w:right w:val="nil"/>
            </w:tcBorders>
          </w:tcPr>
          <w:p w:rsidR="00BF2117" w:rsidRPr="00412620" w:rsidRDefault="00BF2117">
            <w:pPr>
              <w:jc w:val="center"/>
              <w:rPr>
                <w:sz w:val="16"/>
                <w:szCs w:val="16"/>
              </w:rPr>
            </w:pP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I</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Building (not otherwise specified).</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 xml:space="preserve">5 </w:t>
            </w:r>
          </w:p>
          <w:p w:rsidR="00BF2117" w:rsidRPr="00412620" w:rsidRDefault="00BF2117">
            <w:pPr>
              <w:jc w:val="center"/>
              <w:rPr>
                <w:sz w:val="16"/>
                <w:szCs w:val="16"/>
              </w:rPr>
            </w:pPr>
            <w:r w:rsidRPr="00412620">
              <w:rPr>
                <w:sz w:val="16"/>
                <w:szCs w:val="16"/>
              </w:rPr>
              <w:t>(General rate)</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II</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Factory, workshop, cinema, hotel, hospital.</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10</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III</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Residential quarters for labour.</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10</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p>
        </w:tc>
        <w:tc>
          <w:tcPr>
            <w:tcW w:w="4050" w:type="dxa"/>
            <w:tcBorders>
              <w:top w:val="nil"/>
              <w:left w:val="nil"/>
              <w:bottom w:val="nil"/>
              <w:right w:val="nil"/>
            </w:tcBorders>
          </w:tcPr>
          <w:p w:rsidR="00BF2117" w:rsidRPr="00412620" w:rsidRDefault="00BF2117">
            <w:pPr>
              <w:pStyle w:val="Heading2"/>
              <w:spacing w:line="240" w:lineRule="auto"/>
              <w:rPr>
                <w:b w:val="0"/>
                <w:bCs/>
                <w:sz w:val="16"/>
                <w:szCs w:val="16"/>
              </w:rPr>
            </w:pPr>
            <w:r w:rsidRPr="00412620">
              <w:rPr>
                <w:b w:val="0"/>
                <w:sz w:val="16"/>
                <w:szCs w:val="16"/>
              </w:rPr>
              <w:t>FURNITURE</w:t>
            </w:r>
          </w:p>
        </w:tc>
        <w:tc>
          <w:tcPr>
            <w:tcW w:w="1260" w:type="dxa"/>
            <w:tcBorders>
              <w:top w:val="nil"/>
              <w:left w:val="nil"/>
              <w:bottom w:val="nil"/>
              <w:right w:val="nil"/>
            </w:tcBorders>
          </w:tcPr>
          <w:p w:rsidR="00BF2117" w:rsidRPr="00412620" w:rsidRDefault="00BF2117">
            <w:pPr>
              <w:jc w:val="center"/>
              <w:rPr>
                <w:sz w:val="16"/>
                <w:szCs w:val="16"/>
              </w:rPr>
            </w:pP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IV</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Furniture (including fittings).</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10</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p>
        </w:tc>
        <w:tc>
          <w:tcPr>
            <w:tcW w:w="4050" w:type="dxa"/>
            <w:tcBorders>
              <w:top w:val="nil"/>
              <w:left w:val="nil"/>
              <w:bottom w:val="nil"/>
              <w:right w:val="nil"/>
            </w:tcBorders>
          </w:tcPr>
          <w:p w:rsidR="00BF2117" w:rsidRPr="00412620" w:rsidRDefault="00BF2117">
            <w:pPr>
              <w:jc w:val="center"/>
              <w:rPr>
                <w:sz w:val="16"/>
                <w:szCs w:val="16"/>
              </w:rPr>
            </w:pPr>
            <w:r w:rsidRPr="00412620">
              <w:rPr>
                <w:sz w:val="16"/>
                <w:szCs w:val="16"/>
              </w:rPr>
              <w:t>MACHINERY AND PLANT</w:t>
            </w:r>
          </w:p>
        </w:tc>
        <w:tc>
          <w:tcPr>
            <w:tcW w:w="1260" w:type="dxa"/>
            <w:tcBorders>
              <w:top w:val="nil"/>
              <w:left w:val="nil"/>
              <w:bottom w:val="nil"/>
              <w:right w:val="nil"/>
            </w:tcBorders>
          </w:tcPr>
          <w:p w:rsidR="00BF2117" w:rsidRPr="00412620" w:rsidRDefault="00BF2117">
            <w:pPr>
              <w:jc w:val="center"/>
              <w:rPr>
                <w:sz w:val="16"/>
                <w:szCs w:val="16"/>
              </w:rPr>
            </w:pP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V</w:t>
            </w:r>
          </w:p>
        </w:tc>
        <w:tc>
          <w:tcPr>
            <w:tcW w:w="4050" w:type="dxa"/>
            <w:tcBorders>
              <w:top w:val="nil"/>
              <w:left w:val="nil"/>
              <w:bottom w:val="nil"/>
              <w:right w:val="nil"/>
            </w:tcBorders>
          </w:tcPr>
          <w:p w:rsidR="00BF2117" w:rsidRPr="00412620" w:rsidRDefault="00BF2117">
            <w:pPr>
              <w:pStyle w:val="Header"/>
              <w:tabs>
                <w:tab w:val="left" w:pos="547"/>
              </w:tabs>
              <w:rPr>
                <w:sz w:val="16"/>
                <w:szCs w:val="16"/>
              </w:rPr>
            </w:pPr>
            <w:r w:rsidRPr="00412620">
              <w:rPr>
                <w:sz w:val="16"/>
                <w:szCs w:val="16"/>
              </w:rPr>
              <w:t>Machinery and plant (not otherwise specified).</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10</w:t>
            </w:r>
          </w:p>
          <w:p w:rsidR="00BF2117" w:rsidRPr="00412620" w:rsidRDefault="00BF2117">
            <w:pPr>
              <w:jc w:val="center"/>
              <w:rPr>
                <w:sz w:val="16"/>
                <w:szCs w:val="16"/>
              </w:rPr>
            </w:pPr>
            <w:r w:rsidRPr="00412620">
              <w:rPr>
                <w:sz w:val="16"/>
                <w:szCs w:val="16"/>
              </w:rPr>
              <w:t>(General rate)</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VI</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Computer hardware, including printer, monitor and allied items.</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30</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VII</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Technical or professional books.</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20</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VIII</w:t>
            </w:r>
          </w:p>
          <w:p w:rsidR="00BF2117" w:rsidRPr="00412620" w:rsidRDefault="00BF2117">
            <w:pPr>
              <w:jc w:val="center"/>
              <w:rPr>
                <w:sz w:val="16"/>
                <w:szCs w:val="16"/>
              </w:rPr>
            </w:pPr>
            <w:r w:rsidRPr="00412620">
              <w:rPr>
                <w:sz w:val="16"/>
                <w:szCs w:val="16"/>
              </w:rPr>
              <w:t>(i)</w:t>
            </w:r>
          </w:p>
          <w:p w:rsidR="00BF2117" w:rsidRPr="00412620" w:rsidRDefault="00BF2117">
            <w:pPr>
              <w:jc w:val="center"/>
              <w:rPr>
                <w:sz w:val="16"/>
                <w:szCs w:val="16"/>
              </w:rPr>
            </w:pPr>
            <w:r w:rsidRPr="00412620">
              <w:rPr>
                <w:sz w:val="16"/>
                <w:szCs w:val="16"/>
              </w:rPr>
              <w:t>(ii)</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Ships.</w:t>
            </w:r>
          </w:p>
          <w:p w:rsidR="00BF2117" w:rsidRPr="00412620" w:rsidRDefault="00BF2117">
            <w:pPr>
              <w:rPr>
                <w:sz w:val="16"/>
                <w:szCs w:val="16"/>
              </w:rPr>
            </w:pPr>
            <w:r w:rsidRPr="00412620">
              <w:rPr>
                <w:sz w:val="16"/>
                <w:szCs w:val="16"/>
              </w:rPr>
              <w:t>New.</w:t>
            </w:r>
          </w:p>
          <w:p w:rsidR="00BF2117" w:rsidRPr="00412620" w:rsidRDefault="00BF2117">
            <w:pPr>
              <w:rPr>
                <w:sz w:val="16"/>
                <w:szCs w:val="16"/>
              </w:rPr>
            </w:pPr>
            <w:r w:rsidRPr="00412620">
              <w:rPr>
                <w:sz w:val="16"/>
                <w:szCs w:val="16"/>
              </w:rPr>
              <w:t>Second hand.</w:t>
            </w:r>
          </w:p>
          <w:p w:rsidR="00BF2117" w:rsidRPr="00412620" w:rsidRDefault="00BF2117">
            <w:pPr>
              <w:rPr>
                <w:sz w:val="16"/>
                <w:szCs w:val="16"/>
              </w:rPr>
            </w:pPr>
            <w:r w:rsidRPr="00412620">
              <w:rPr>
                <w:sz w:val="16"/>
                <w:szCs w:val="16"/>
              </w:rPr>
              <w:t>Age at time of purchase:</w:t>
            </w:r>
          </w:p>
          <w:p w:rsidR="00BF2117" w:rsidRPr="00412620" w:rsidRDefault="00BF2117">
            <w:pPr>
              <w:ind w:left="720" w:hanging="720"/>
              <w:rPr>
                <w:sz w:val="16"/>
                <w:szCs w:val="16"/>
              </w:rPr>
            </w:pPr>
            <w:r w:rsidRPr="00412620">
              <w:rPr>
                <w:sz w:val="16"/>
                <w:szCs w:val="16"/>
              </w:rPr>
              <w:t>(a)       Not more than ten years</w:t>
            </w:r>
          </w:p>
          <w:p w:rsidR="00BF2117" w:rsidRPr="00412620" w:rsidRDefault="00BF2117">
            <w:pPr>
              <w:ind w:left="720" w:hanging="720"/>
              <w:rPr>
                <w:sz w:val="16"/>
                <w:szCs w:val="16"/>
              </w:rPr>
            </w:pPr>
            <w:r w:rsidRPr="00412620">
              <w:rPr>
                <w:sz w:val="16"/>
                <w:szCs w:val="16"/>
              </w:rPr>
              <w:t>(b)      Ten or more years.</w:t>
            </w:r>
          </w:p>
        </w:tc>
        <w:tc>
          <w:tcPr>
            <w:tcW w:w="1260" w:type="dxa"/>
            <w:tcBorders>
              <w:top w:val="nil"/>
              <w:left w:val="nil"/>
              <w:bottom w:val="nil"/>
              <w:right w:val="nil"/>
            </w:tcBorders>
          </w:tcPr>
          <w:p w:rsidR="00BF2117" w:rsidRPr="00412620" w:rsidRDefault="00BF2117">
            <w:pPr>
              <w:jc w:val="center"/>
              <w:rPr>
                <w:sz w:val="16"/>
                <w:szCs w:val="16"/>
              </w:rPr>
            </w:pPr>
          </w:p>
          <w:p w:rsidR="00BF2117" w:rsidRPr="00412620" w:rsidRDefault="00BF2117">
            <w:pPr>
              <w:jc w:val="center"/>
              <w:rPr>
                <w:sz w:val="16"/>
                <w:szCs w:val="16"/>
              </w:rPr>
            </w:pPr>
            <w:r w:rsidRPr="00412620">
              <w:rPr>
                <w:sz w:val="16"/>
                <w:szCs w:val="16"/>
              </w:rPr>
              <w:t>5</w:t>
            </w:r>
          </w:p>
          <w:p w:rsidR="00BF2117" w:rsidRPr="00412620" w:rsidRDefault="00BF2117">
            <w:pPr>
              <w:jc w:val="center"/>
              <w:rPr>
                <w:sz w:val="16"/>
                <w:szCs w:val="16"/>
              </w:rPr>
            </w:pPr>
          </w:p>
          <w:p w:rsidR="00BF2117" w:rsidRPr="00412620" w:rsidRDefault="00BF2117">
            <w:pPr>
              <w:jc w:val="center"/>
              <w:rPr>
                <w:sz w:val="16"/>
                <w:szCs w:val="16"/>
              </w:rPr>
            </w:pPr>
          </w:p>
          <w:p w:rsidR="00BF2117" w:rsidRPr="00412620" w:rsidRDefault="00BF2117">
            <w:pPr>
              <w:jc w:val="center"/>
              <w:rPr>
                <w:sz w:val="16"/>
                <w:szCs w:val="16"/>
              </w:rPr>
            </w:pPr>
            <w:r w:rsidRPr="00412620">
              <w:rPr>
                <w:sz w:val="16"/>
                <w:szCs w:val="16"/>
              </w:rPr>
              <w:t>10</w:t>
            </w:r>
          </w:p>
          <w:p w:rsidR="00BF2117" w:rsidRPr="00412620" w:rsidRDefault="00BF2117">
            <w:pPr>
              <w:jc w:val="center"/>
              <w:rPr>
                <w:sz w:val="16"/>
                <w:szCs w:val="16"/>
              </w:rPr>
            </w:pPr>
            <w:r w:rsidRPr="00412620">
              <w:rPr>
                <w:sz w:val="16"/>
                <w:szCs w:val="16"/>
              </w:rPr>
              <w:t>20</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IX</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Motor vehicles (all types)</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20</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X</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Aircraft, aero-engines and aerial photographic apparatus.</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30</w:t>
            </w: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XI</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Below ground installations in mineral oil concerns the income of which is liable to be computed in accordance with the rules in Part I of the Fifth Schedule.</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100%</w:t>
            </w:r>
          </w:p>
          <w:p w:rsidR="00BF2117" w:rsidRPr="00412620" w:rsidRDefault="00BF2117">
            <w:pPr>
              <w:jc w:val="center"/>
              <w:rPr>
                <w:sz w:val="16"/>
                <w:szCs w:val="16"/>
              </w:rPr>
            </w:pPr>
          </w:p>
        </w:tc>
      </w:tr>
      <w:tr w:rsidR="00BF2117" w:rsidRPr="00412620">
        <w:tc>
          <w:tcPr>
            <w:tcW w:w="720" w:type="dxa"/>
            <w:tcBorders>
              <w:top w:val="nil"/>
              <w:left w:val="nil"/>
              <w:bottom w:val="nil"/>
              <w:right w:val="nil"/>
            </w:tcBorders>
          </w:tcPr>
          <w:p w:rsidR="00BF2117" w:rsidRPr="00412620" w:rsidRDefault="00BF2117">
            <w:pPr>
              <w:jc w:val="center"/>
              <w:rPr>
                <w:sz w:val="16"/>
                <w:szCs w:val="16"/>
              </w:rPr>
            </w:pPr>
            <w:r w:rsidRPr="00412620">
              <w:rPr>
                <w:sz w:val="16"/>
                <w:szCs w:val="16"/>
              </w:rPr>
              <w:t>XII</w:t>
            </w:r>
          </w:p>
        </w:tc>
        <w:tc>
          <w:tcPr>
            <w:tcW w:w="4050" w:type="dxa"/>
            <w:tcBorders>
              <w:top w:val="nil"/>
              <w:left w:val="nil"/>
              <w:bottom w:val="nil"/>
              <w:right w:val="nil"/>
            </w:tcBorders>
          </w:tcPr>
          <w:p w:rsidR="00BF2117" w:rsidRPr="00412620" w:rsidRDefault="00BF2117">
            <w:pPr>
              <w:rPr>
                <w:sz w:val="16"/>
                <w:szCs w:val="16"/>
              </w:rPr>
            </w:pPr>
            <w:r w:rsidRPr="00412620">
              <w:rPr>
                <w:sz w:val="16"/>
                <w:szCs w:val="16"/>
              </w:rPr>
              <w:t>Below ground installations, including but not limited to the cost of drilling, casing, cementing, logging and testing of wells, in offshore mineral oil concerns the income of which is liable to be computed in accordance with the rules in Part I of the Fifth Schedule.</w:t>
            </w:r>
          </w:p>
        </w:tc>
        <w:tc>
          <w:tcPr>
            <w:tcW w:w="1260" w:type="dxa"/>
            <w:tcBorders>
              <w:top w:val="nil"/>
              <w:left w:val="nil"/>
              <w:bottom w:val="nil"/>
              <w:right w:val="nil"/>
            </w:tcBorders>
          </w:tcPr>
          <w:p w:rsidR="00BF2117" w:rsidRPr="00412620" w:rsidRDefault="00BF2117">
            <w:pPr>
              <w:jc w:val="center"/>
              <w:rPr>
                <w:sz w:val="16"/>
                <w:szCs w:val="16"/>
              </w:rPr>
            </w:pPr>
            <w:r w:rsidRPr="00412620">
              <w:rPr>
                <w:sz w:val="16"/>
                <w:szCs w:val="16"/>
              </w:rPr>
              <w:t>100</w:t>
            </w:r>
          </w:p>
        </w:tc>
      </w:tr>
      <w:tr w:rsidR="00BF2117" w:rsidRPr="00412620">
        <w:tc>
          <w:tcPr>
            <w:tcW w:w="720" w:type="dxa"/>
            <w:tcBorders>
              <w:top w:val="nil"/>
              <w:left w:val="nil"/>
              <w:bottom w:val="single" w:sz="12" w:space="0" w:color="008000"/>
              <w:right w:val="nil"/>
            </w:tcBorders>
          </w:tcPr>
          <w:p w:rsidR="00BF2117" w:rsidRPr="00412620" w:rsidRDefault="00BF2117">
            <w:pPr>
              <w:jc w:val="center"/>
              <w:rPr>
                <w:sz w:val="16"/>
                <w:szCs w:val="16"/>
              </w:rPr>
            </w:pPr>
            <w:r w:rsidRPr="00412620">
              <w:rPr>
                <w:sz w:val="16"/>
                <w:szCs w:val="16"/>
              </w:rPr>
              <w:t>XIII</w:t>
            </w:r>
          </w:p>
        </w:tc>
        <w:tc>
          <w:tcPr>
            <w:tcW w:w="4050" w:type="dxa"/>
            <w:tcBorders>
              <w:top w:val="nil"/>
              <w:left w:val="nil"/>
              <w:bottom w:val="single" w:sz="12" w:space="0" w:color="008000"/>
              <w:right w:val="nil"/>
            </w:tcBorders>
          </w:tcPr>
          <w:p w:rsidR="00BF2117" w:rsidRPr="00412620" w:rsidRDefault="00BF2117">
            <w:pPr>
              <w:rPr>
                <w:sz w:val="16"/>
                <w:szCs w:val="16"/>
              </w:rPr>
            </w:pPr>
            <w:r w:rsidRPr="00412620">
              <w:rPr>
                <w:sz w:val="16"/>
                <w:szCs w:val="16"/>
              </w:rPr>
              <w:t>Offshore platforms and production installation in mineral oil concerns the income of which is liable to be computed in accordance with the rules in Part I of the Fifth Schedule.</w:t>
            </w:r>
          </w:p>
        </w:tc>
        <w:tc>
          <w:tcPr>
            <w:tcW w:w="1260" w:type="dxa"/>
            <w:tcBorders>
              <w:top w:val="nil"/>
              <w:left w:val="nil"/>
              <w:bottom w:val="single" w:sz="12" w:space="0" w:color="008000"/>
              <w:right w:val="nil"/>
            </w:tcBorders>
          </w:tcPr>
          <w:p w:rsidR="00BF2117" w:rsidRPr="00412620" w:rsidRDefault="00BF2117">
            <w:pPr>
              <w:jc w:val="center"/>
              <w:rPr>
                <w:sz w:val="16"/>
                <w:szCs w:val="16"/>
              </w:rPr>
            </w:pPr>
            <w:r w:rsidRPr="00412620">
              <w:rPr>
                <w:sz w:val="16"/>
                <w:szCs w:val="16"/>
              </w:rPr>
              <w:t>20</w:t>
            </w:r>
          </w:p>
        </w:tc>
      </w:tr>
    </w:tbl>
    <w:p w:rsidR="00BF2117" w:rsidRDefault="00BF2117" w:rsidP="00AA4BF8"/>
  </w:footnote>
  <w:footnote w:id="2353">
    <w:p w:rsidR="00BF2117" w:rsidRPr="00F11FB7" w:rsidRDefault="00BF2117" w:rsidP="00AA4BF8">
      <w:pPr>
        <w:pStyle w:val="FootnoteText"/>
        <w:rPr>
          <w:sz w:val="16"/>
          <w:szCs w:val="16"/>
        </w:rPr>
      </w:pPr>
      <w:r w:rsidRPr="00F11FB7">
        <w:rPr>
          <w:rStyle w:val="FootnoteReference"/>
          <w:rFonts w:cs="Arial"/>
          <w:sz w:val="16"/>
          <w:szCs w:val="16"/>
        </w:rPr>
        <w:footnoteRef/>
      </w:r>
      <w:r w:rsidRPr="00F11FB7">
        <w:rPr>
          <w:sz w:val="16"/>
          <w:szCs w:val="16"/>
        </w:rPr>
        <w:t xml:space="preserve"> Inserted by the Finance Act, 2006.</w:t>
      </w:r>
    </w:p>
  </w:footnote>
  <w:footnote w:id="2354">
    <w:p w:rsidR="00BF2117" w:rsidRDefault="00BF2117" w:rsidP="00AA4BF8">
      <w:pPr>
        <w:pStyle w:val="FootnoteText"/>
      </w:pPr>
      <w:r w:rsidRPr="00F11FB7">
        <w:rPr>
          <w:rStyle w:val="FootnoteReference"/>
          <w:rFonts w:cs="Arial"/>
          <w:sz w:val="16"/>
          <w:szCs w:val="16"/>
        </w:rPr>
        <w:footnoteRef/>
      </w:r>
      <w:r w:rsidRPr="00F11FB7">
        <w:rPr>
          <w:sz w:val="16"/>
          <w:szCs w:val="16"/>
        </w:rPr>
        <w:t xml:space="preserve"> Added by the Finance Act, 2010.</w:t>
      </w:r>
    </w:p>
  </w:footnote>
  <w:footnote w:id="2355">
    <w:p w:rsidR="00BF2117" w:rsidRPr="00FC71CC" w:rsidRDefault="00BF2117" w:rsidP="00AA4BF8">
      <w:pPr>
        <w:pStyle w:val="FootnoteText"/>
        <w:rPr>
          <w:sz w:val="16"/>
          <w:szCs w:val="16"/>
        </w:rPr>
      </w:pPr>
      <w:r w:rsidRPr="00FC71CC">
        <w:rPr>
          <w:rStyle w:val="FootnoteReference"/>
          <w:rFonts w:cs="Arial"/>
          <w:sz w:val="16"/>
          <w:szCs w:val="16"/>
        </w:rPr>
        <w:footnoteRef/>
      </w:r>
      <w:r w:rsidRPr="00FC71CC">
        <w:rPr>
          <w:sz w:val="16"/>
          <w:szCs w:val="16"/>
        </w:rPr>
        <w:t xml:space="preserve"> Added by the Finance Act, 2008.</w:t>
      </w:r>
    </w:p>
  </w:footnote>
  <w:footnote w:id="2356">
    <w:p w:rsidR="00BF2117" w:rsidRPr="00FC71CC" w:rsidRDefault="00BF2117" w:rsidP="00AA4BF8">
      <w:pPr>
        <w:pStyle w:val="FootnoteText"/>
        <w:rPr>
          <w:sz w:val="16"/>
          <w:szCs w:val="16"/>
        </w:rPr>
      </w:pPr>
      <w:r w:rsidRPr="00FC71CC">
        <w:rPr>
          <w:rStyle w:val="FootnoteReference"/>
          <w:rFonts w:cs="Arial"/>
          <w:sz w:val="16"/>
          <w:szCs w:val="16"/>
        </w:rPr>
        <w:footnoteRef/>
      </w:r>
      <w:r w:rsidRPr="00FC71CC">
        <w:rPr>
          <w:sz w:val="16"/>
          <w:szCs w:val="16"/>
        </w:rPr>
        <w:t xml:space="preserve"> The word and figure “section 23” substituted by the Finance Act, 2008.</w:t>
      </w:r>
    </w:p>
  </w:footnote>
  <w:footnote w:id="2357">
    <w:p w:rsidR="00BF2117" w:rsidRPr="00FC71CC" w:rsidRDefault="00BF2117" w:rsidP="00AA4BF8">
      <w:pPr>
        <w:pStyle w:val="FootnoteText"/>
        <w:rPr>
          <w:sz w:val="16"/>
          <w:szCs w:val="16"/>
        </w:rPr>
      </w:pPr>
      <w:r w:rsidRPr="00FC71CC">
        <w:rPr>
          <w:rStyle w:val="FootnoteReference"/>
          <w:rFonts w:cs="Arial"/>
          <w:sz w:val="16"/>
          <w:szCs w:val="16"/>
        </w:rPr>
        <w:footnoteRef/>
      </w:r>
      <w:r w:rsidRPr="00FC71CC">
        <w:rPr>
          <w:sz w:val="16"/>
          <w:szCs w:val="16"/>
        </w:rPr>
        <w:t xml:space="preserve"> The words, figures and letter “See Sections 23 and 23A” substituted by the Finance Act, 2009.</w:t>
      </w:r>
    </w:p>
  </w:footnote>
  <w:footnote w:id="2358">
    <w:p w:rsidR="00BF2117" w:rsidRPr="00FC71CC" w:rsidRDefault="00BF2117" w:rsidP="00176F09">
      <w:pPr>
        <w:pStyle w:val="FootnoteText"/>
        <w:ind w:left="180" w:hanging="180"/>
        <w:rPr>
          <w:sz w:val="16"/>
          <w:szCs w:val="16"/>
        </w:rPr>
      </w:pPr>
      <w:r w:rsidRPr="00FC71CC">
        <w:rPr>
          <w:rStyle w:val="FootnoteReference"/>
          <w:rFonts w:cs="Arial"/>
          <w:sz w:val="16"/>
          <w:szCs w:val="16"/>
        </w:rPr>
        <w:footnoteRef/>
      </w:r>
      <w:r w:rsidRPr="00FC71CC">
        <w:rPr>
          <w:sz w:val="16"/>
          <w:szCs w:val="16"/>
        </w:rPr>
        <w:t xml:space="preserve"> Substituted for 50% by the Finance Act, 2013. Earlier it was substituted for 40% by the Finance Act, 2002.</w:t>
      </w:r>
    </w:p>
  </w:footnote>
  <w:footnote w:id="2359">
    <w:p w:rsidR="00BF2117" w:rsidRPr="00FC71CC" w:rsidRDefault="00BF2117" w:rsidP="00AA4BF8">
      <w:pPr>
        <w:pStyle w:val="FootnoteText"/>
        <w:rPr>
          <w:sz w:val="16"/>
          <w:szCs w:val="16"/>
        </w:rPr>
      </w:pPr>
      <w:r w:rsidRPr="00FC71CC">
        <w:rPr>
          <w:rStyle w:val="FootnoteReference"/>
          <w:rFonts w:cs="Arial"/>
          <w:sz w:val="16"/>
          <w:szCs w:val="16"/>
        </w:rPr>
        <w:footnoteRef/>
      </w:r>
      <w:r w:rsidRPr="00FC71CC">
        <w:rPr>
          <w:sz w:val="16"/>
          <w:szCs w:val="16"/>
        </w:rPr>
        <w:t xml:space="preserve"> Inserted by the Finance Act, 2012.</w:t>
      </w:r>
    </w:p>
  </w:footnote>
  <w:footnote w:id="2360">
    <w:p w:rsidR="00BF2117" w:rsidRPr="00F852EB" w:rsidRDefault="00BF2117">
      <w:pPr>
        <w:pStyle w:val="FootnoteText"/>
        <w:rPr>
          <w:color w:val="000000" w:themeColor="text1"/>
          <w:sz w:val="16"/>
          <w:szCs w:val="16"/>
          <w:lang w:val="en-US"/>
        </w:rPr>
      </w:pPr>
      <w:r w:rsidRPr="00F852EB">
        <w:rPr>
          <w:rStyle w:val="FootnoteReference"/>
          <w:color w:val="000000" w:themeColor="text1"/>
          <w:sz w:val="16"/>
          <w:szCs w:val="16"/>
        </w:rPr>
        <w:footnoteRef/>
      </w:r>
      <w:r w:rsidRPr="00F852EB">
        <w:rPr>
          <w:color w:val="000000" w:themeColor="text1"/>
          <w:sz w:val="16"/>
          <w:szCs w:val="16"/>
        </w:rPr>
        <w:t xml:space="preserve"> The figure “25” substituted by the Finance Act, 2014.</w:t>
      </w:r>
    </w:p>
  </w:footnote>
  <w:footnote w:id="2361">
    <w:p w:rsidR="00BF2117" w:rsidRPr="00FC71CC" w:rsidRDefault="00BF2117" w:rsidP="00AA4BF8">
      <w:pPr>
        <w:pStyle w:val="FootnoteText"/>
        <w:rPr>
          <w:sz w:val="16"/>
          <w:szCs w:val="16"/>
        </w:rPr>
      </w:pPr>
      <w:r w:rsidRPr="00FC71CC">
        <w:rPr>
          <w:rStyle w:val="FootnoteReference"/>
          <w:rFonts w:cs="Arial"/>
          <w:sz w:val="16"/>
          <w:szCs w:val="16"/>
        </w:rPr>
        <w:footnoteRef/>
      </w:r>
      <w:r w:rsidRPr="00FC71CC">
        <w:rPr>
          <w:sz w:val="16"/>
          <w:szCs w:val="16"/>
        </w:rPr>
        <w:t xml:space="preserve"> Added by the Finance Act, 2008.</w:t>
      </w:r>
    </w:p>
  </w:footnote>
  <w:footnote w:id="2362">
    <w:p w:rsidR="00BF2117" w:rsidRPr="00FC71CC" w:rsidRDefault="00BF2117" w:rsidP="00AA4BF8">
      <w:pPr>
        <w:pStyle w:val="FootnoteText"/>
        <w:rPr>
          <w:sz w:val="16"/>
          <w:szCs w:val="16"/>
        </w:rPr>
      </w:pPr>
      <w:r w:rsidRPr="00FC71CC">
        <w:rPr>
          <w:rStyle w:val="FootnoteReference"/>
          <w:rFonts w:cs="Arial"/>
          <w:sz w:val="16"/>
          <w:szCs w:val="16"/>
        </w:rPr>
        <w:footnoteRef/>
      </w:r>
      <w:r w:rsidRPr="00FC71CC">
        <w:rPr>
          <w:sz w:val="16"/>
          <w:szCs w:val="16"/>
        </w:rPr>
        <w:t xml:space="preserve"> Inserted by the Finance Act, 2009.</w:t>
      </w:r>
    </w:p>
  </w:footnote>
  <w:footnote w:id="2363">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Added by the Finance Act, 2004.</w:t>
      </w:r>
    </w:p>
  </w:footnote>
  <w:footnote w:id="2364">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Rule (2) substituted by the Finance Act, 2004. The substituted rule (2) read as follows: </w:t>
      </w:r>
    </w:p>
    <w:p w:rsidR="00BF2117" w:rsidRDefault="00BF2117" w:rsidP="00AA4BF8">
      <w:pPr>
        <w:pStyle w:val="FootnoteText"/>
        <w:ind w:left="180" w:firstLine="0"/>
        <w:jc w:val="both"/>
      </w:pPr>
      <w:r w:rsidRPr="00412620">
        <w:rPr>
          <w:sz w:val="16"/>
          <w:szCs w:val="16"/>
        </w:rPr>
        <w:t>“2.</w:t>
      </w:r>
      <w:r w:rsidRPr="00412620">
        <w:rPr>
          <w:sz w:val="16"/>
          <w:szCs w:val="16"/>
        </w:rPr>
        <w:tab/>
        <w:t>The profits and gains of a life insurance business shall be the annual average of the surplus arrived at by adjusting the surplus or deficit disclosed by actuarial valuation made for the last inter-valuation period ending before the tax year for which the assessment is to be made so as to exclude from it any surplus or deficit included therein which was made in any earlier inter-valuation period and any expenditure other than expenditure which is, under the provisions of Part IV of Chapter III, allowed as a deduction in computing the profits and gains of a business.”</w:t>
      </w:r>
    </w:p>
  </w:footnote>
  <w:footnote w:id="2365">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 “rules” substituted by the Finance Act, 2003.</w:t>
      </w:r>
    </w:p>
  </w:footnote>
  <w:footnote w:id="2366">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Inserted by the Finance Act, 2003.</w:t>
      </w:r>
    </w:p>
  </w:footnote>
  <w:footnote w:id="2367">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 “received” substituted by the Finance Act, 2004.</w:t>
      </w:r>
    </w:p>
  </w:footnote>
  <w:footnote w:id="2368">
    <w:p w:rsidR="00BF2117" w:rsidRDefault="00BF2117" w:rsidP="00AA4BF8">
      <w:pPr>
        <w:pStyle w:val="FootnoteText"/>
      </w:pPr>
      <w:r w:rsidRPr="00412620">
        <w:rPr>
          <w:rStyle w:val="FootnoteReference"/>
          <w:rFonts w:cs="Arial"/>
          <w:sz w:val="16"/>
          <w:szCs w:val="16"/>
        </w:rPr>
        <w:footnoteRef/>
      </w:r>
      <w:r w:rsidRPr="00412620">
        <w:rPr>
          <w:sz w:val="16"/>
          <w:szCs w:val="16"/>
        </w:rPr>
        <w:t>The words and figures “in accordance with Part VII of Chapter III” omitted by the Finance Act, 2003.</w:t>
      </w:r>
    </w:p>
  </w:footnote>
  <w:footnote w:id="2369">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 ”sub-clause” by the Finance Act, 2003.</w:t>
      </w:r>
    </w:p>
  </w:footnote>
  <w:footnote w:id="2370">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Inserted by the Finance Act, 2003.</w:t>
      </w:r>
    </w:p>
  </w:footnote>
  <w:footnote w:id="2371">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 “surplus” by the Finance Act, 2004.</w:t>
      </w:r>
    </w:p>
  </w:footnote>
  <w:footnote w:id="2372">
    <w:p w:rsidR="00BF2117" w:rsidRPr="00412620" w:rsidRDefault="00BF2117" w:rsidP="00AA4BF8">
      <w:pPr>
        <w:pStyle w:val="FootnoteText"/>
        <w:keepNext/>
        <w:rPr>
          <w:sz w:val="16"/>
          <w:szCs w:val="16"/>
        </w:rPr>
      </w:pPr>
      <w:r w:rsidRPr="00412620">
        <w:rPr>
          <w:rStyle w:val="FootnoteReference"/>
          <w:rFonts w:cs="Arial"/>
          <w:sz w:val="16"/>
          <w:szCs w:val="16"/>
        </w:rPr>
        <w:footnoteRef/>
      </w:r>
      <w:r w:rsidRPr="00412620">
        <w:rPr>
          <w:sz w:val="16"/>
          <w:szCs w:val="16"/>
        </w:rPr>
        <w:t xml:space="preserve"> Rule (4) omitted by the Finance Act, 2004. The omitted rule (4) read as follows: </w:t>
      </w:r>
    </w:p>
    <w:p w:rsidR="00BF2117" w:rsidRPr="00412620" w:rsidRDefault="00BF2117" w:rsidP="00AA4BF8">
      <w:pPr>
        <w:pStyle w:val="Heading3"/>
        <w:spacing w:line="240" w:lineRule="auto"/>
        <w:ind w:left="180"/>
        <w:jc w:val="both"/>
        <w:rPr>
          <w:caps w:val="0"/>
          <w:sz w:val="16"/>
          <w:szCs w:val="16"/>
        </w:rPr>
      </w:pPr>
      <w:r w:rsidRPr="00412620">
        <w:rPr>
          <w:caps w:val="0"/>
          <w:sz w:val="16"/>
          <w:szCs w:val="16"/>
        </w:rPr>
        <w:t>“Adjustment of Tax Paid by Deduction at Source</w:t>
      </w:r>
    </w:p>
    <w:p w:rsidR="00BF2117" w:rsidRDefault="00BF2117" w:rsidP="00AA4BF8">
      <w:pPr>
        <w:pStyle w:val="FootnoteText"/>
        <w:keepNext/>
        <w:ind w:left="180" w:firstLine="0"/>
        <w:jc w:val="both"/>
      </w:pPr>
      <w:r w:rsidRPr="00412620">
        <w:rPr>
          <w:sz w:val="16"/>
          <w:szCs w:val="16"/>
        </w:rPr>
        <w:t>4.</w:t>
      </w:r>
      <w:r w:rsidRPr="00412620">
        <w:rPr>
          <w:sz w:val="16"/>
          <w:szCs w:val="16"/>
        </w:rPr>
        <w:tab/>
        <w:t xml:space="preserve">Where, for any tax year, an assessment of the profits and gains of life insurance business is made in accordance with the annual average of a surplus disclosed by a valuation for an inter-valuation period exceeding twelve months, then, in computing the tax due for that year, no credit shall be allowed for the tax paid in the tax year, but credit shall be given for the annual average of the tax paid by deduction </w:t>
      </w:r>
      <w:r w:rsidRPr="00412620">
        <w:rPr>
          <w:rStyle w:val="FootnoteReference"/>
          <w:rFonts w:cs="Arial"/>
          <w:sz w:val="16"/>
          <w:szCs w:val="16"/>
        </w:rPr>
        <w:footnoteRef/>
      </w:r>
      <w:r w:rsidRPr="00412620">
        <w:rPr>
          <w:sz w:val="16"/>
          <w:szCs w:val="16"/>
        </w:rPr>
        <w:t>[or otherwise on profit on debt received on any security of the Federal Government, a Provincial Government, a local authority or a company] during the period.”</w:t>
      </w:r>
    </w:p>
  </w:footnote>
  <w:footnote w:id="2373">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 “Commissioner” substituted by the Finance Act, 2002.</w:t>
      </w:r>
    </w:p>
  </w:footnote>
  <w:footnote w:id="2374">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Sub-rule (b) substituted by the Finance Act, 2008. The substituted sub-rule (b) read as follows:</w:t>
      </w:r>
    </w:p>
    <w:p w:rsidR="00BF2117" w:rsidRPr="00FB227F" w:rsidRDefault="00BF2117" w:rsidP="00AA4BF8">
      <w:pPr>
        <w:pStyle w:val="BodyTextIndent"/>
        <w:ind w:left="1620" w:hanging="540"/>
        <w:jc w:val="both"/>
        <w:rPr>
          <w:sz w:val="16"/>
          <w:szCs w:val="16"/>
        </w:rPr>
      </w:pPr>
      <w:r w:rsidRPr="00FB227F">
        <w:rPr>
          <w:sz w:val="16"/>
          <w:szCs w:val="16"/>
        </w:rPr>
        <w:t>“(b)</w:t>
      </w:r>
      <w:r w:rsidRPr="00FB227F">
        <w:rPr>
          <w:sz w:val="16"/>
          <w:szCs w:val="16"/>
        </w:rPr>
        <w:tab/>
        <w:t xml:space="preserve">any amount either written off or taken to reserve to meet depreciation or loss on the realization of investments shall be allowed as a deduction, and any sums taken credit for in the accounts on account of appreciation, or gains on the realization of </w:t>
      </w:r>
      <w:r w:rsidRPr="00FB227F">
        <w:rPr>
          <w:rStyle w:val="FootnoteReference"/>
          <w:rFonts w:cs="Arial"/>
          <w:sz w:val="16"/>
          <w:szCs w:val="16"/>
        </w:rPr>
        <w:footnoteRef/>
      </w:r>
      <w:r w:rsidRPr="00FB227F">
        <w:rPr>
          <w:sz w:val="16"/>
          <w:szCs w:val="16"/>
        </w:rPr>
        <w:t>[investments] shall be treated as part of the profits and gains, provided the Commissioner considers the amount to be reasonable; and”</w:t>
      </w:r>
    </w:p>
  </w:footnote>
  <w:footnote w:id="2375">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 “Security” substituted by the Finance Act, 2003.</w:t>
      </w:r>
    </w:p>
  </w:footnote>
  <w:footnote w:id="2376">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lang w:val="en-US"/>
        </w:rPr>
        <w:t>Full stop substituted by the Finance Act, 2008.</w:t>
      </w:r>
    </w:p>
  </w:footnote>
  <w:footnote w:id="2377">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Added by the Finance Act, 2008.</w:t>
      </w:r>
    </w:p>
  </w:footnote>
  <w:footnote w:id="2378">
    <w:p w:rsidR="00BF2117" w:rsidRDefault="00BF2117">
      <w:pPr>
        <w:pStyle w:val="FootnoteText"/>
        <w:rPr>
          <w:sz w:val="16"/>
          <w:szCs w:val="16"/>
        </w:rPr>
      </w:pPr>
      <w:r w:rsidRPr="001A1BE7">
        <w:rPr>
          <w:rStyle w:val="FootnoteReference"/>
          <w:sz w:val="16"/>
          <w:szCs w:val="16"/>
        </w:rPr>
        <w:footnoteRef/>
      </w:r>
      <w:r>
        <w:rPr>
          <w:sz w:val="16"/>
          <w:szCs w:val="16"/>
        </w:rPr>
        <w:t>Rule (6A) omitted by the Finance Act, 2015. The omitted rule (6) read as follows:-</w:t>
      </w:r>
    </w:p>
    <w:p w:rsidR="00BF2117" w:rsidRPr="001A1BE7" w:rsidRDefault="00BF2117" w:rsidP="001A1BE7">
      <w:pPr>
        <w:pStyle w:val="FootnoteText"/>
        <w:ind w:left="270" w:firstLine="0"/>
        <w:jc w:val="both"/>
        <w:rPr>
          <w:sz w:val="16"/>
          <w:szCs w:val="16"/>
          <w:lang w:val="en-US"/>
        </w:rPr>
      </w:pPr>
      <w:r w:rsidRPr="001A1BE7">
        <w:rPr>
          <w:sz w:val="16"/>
          <w:szCs w:val="16"/>
        </w:rPr>
        <w:t>“</w:t>
      </w:r>
      <w:r>
        <w:rPr>
          <w:sz w:val="16"/>
          <w:szCs w:val="16"/>
        </w:rPr>
        <w:t>(6A)</w:t>
      </w:r>
      <w:r w:rsidRPr="001A1BE7">
        <w:rPr>
          <w:b/>
          <w:bCs/>
          <w:sz w:val="16"/>
          <w:szCs w:val="16"/>
        </w:rPr>
        <w:t>Exemption of Capital Gains from the sale of shares</w:t>
      </w:r>
      <w:r w:rsidRPr="001A1BE7">
        <w:rPr>
          <w:sz w:val="16"/>
          <w:szCs w:val="16"/>
        </w:rPr>
        <w:t>.- In computing income under this Schedule, there shall not be included “capital gains”, being income from the sale of modaraba certificates or any instrument of redeemable capital as defined in the Companies Ordinance, 1984 (XLVII of 1984), listed on any stock exchange in Pakistan or shares of a public company (as defined in sub-section (47) of section 2) and the Pakistan Telecommunications Corporation vouchers issued by the Government of Pakistan, derived up to tax year ending on the thirtieth day of June, 2010.</w:t>
      </w:r>
      <w:r>
        <w:rPr>
          <w:sz w:val="16"/>
          <w:szCs w:val="16"/>
        </w:rPr>
        <w:t>”</w:t>
      </w:r>
    </w:p>
  </w:footnote>
  <w:footnote w:id="2379">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Added by the Finance Act, 2010.</w:t>
      </w:r>
    </w:p>
  </w:footnote>
  <w:footnote w:id="2380">
    <w:p w:rsidR="00BF2117" w:rsidRPr="000E5E48" w:rsidRDefault="00BF2117">
      <w:pPr>
        <w:pStyle w:val="FootnoteText"/>
        <w:rPr>
          <w:color w:val="0070C0"/>
          <w:sz w:val="16"/>
          <w:szCs w:val="16"/>
        </w:rPr>
      </w:pPr>
      <w:r w:rsidRPr="000E5E48">
        <w:rPr>
          <w:rStyle w:val="FootnoteReference"/>
          <w:color w:val="0070C0"/>
          <w:sz w:val="16"/>
          <w:szCs w:val="16"/>
        </w:rPr>
        <w:footnoteRef/>
      </w:r>
      <w:r w:rsidRPr="000E5E48">
        <w:rPr>
          <w:color w:val="0070C0"/>
          <w:sz w:val="16"/>
          <w:szCs w:val="16"/>
        </w:rPr>
        <w:t xml:space="preserve"> Rule 6B substituted by the Finance Act, 2016. Substituted rule read as follows:-</w:t>
      </w:r>
    </w:p>
    <w:p w:rsidR="00BF2117" w:rsidRPr="00810A7F" w:rsidRDefault="00BF2117" w:rsidP="00810A7F">
      <w:pPr>
        <w:pStyle w:val="Header"/>
        <w:tabs>
          <w:tab w:val="left" w:pos="547"/>
        </w:tabs>
        <w:jc w:val="both"/>
        <w:rPr>
          <w:color w:val="000000" w:themeColor="text1"/>
          <w:sz w:val="16"/>
          <w:szCs w:val="16"/>
        </w:rPr>
      </w:pPr>
      <w:r>
        <w:rPr>
          <w:color w:val="FF0000"/>
          <w:sz w:val="16"/>
          <w:szCs w:val="16"/>
        </w:rPr>
        <w:t xml:space="preserve"> “</w:t>
      </w:r>
      <w:r w:rsidRPr="00810A7F">
        <w:rPr>
          <w:sz w:val="16"/>
          <w:szCs w:val="16"/>
        </w:rPr>
        <w:t xml:space="preserve">(6B) Capital gains on disposal of shares of listed companies, vouchers of Pakistan Telecommunication corporation, modaraba certificate or instruments of redeemable capital and </w:t>
      </w:r>
      <w:r w:rsidRPr="00810A7F">
        <w:rPr>
          <w:color w:val="000000" w:themeColor="text1"/>
          <w:sz w:val="16"/>
          <w:szCs w:val="16"/>
        </w:rPr>
        <w:t>derivative products shall be taxed at the following rates:</w:t>
      </w:r>
    </w:p>
    <w:p w:rsidR="00BF2117" w:rsidRPr="00810A7F" w:rsidRDefault="00BF2117" w:rsidP="00810A7F">
      <w:pPr>
        <w:pStyle w:val="Header"/>
        <w:tabs>
          <w:tab w:val="left" w:pos="547"/>
        </w:tabs>
        <w:jc w:val="both"/>
        <w:rPr>
          <w:color w:val="000000" w:themeColor="text1"/>
          <w:sz w:val="16"/>
          <w:szCs w:val="16"/>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700"/>
        <w:gridCol w:w="1170"/>
        <w:gridCol w:w="1530"/>
      </w:tblGrid>
      <w:tr w:rsidR="00BF2117" w:rsidRPr="00810A7F" w:rsidTr="00810A7F">
        <w:tc>
          <w:tcPr>
            <w:tcW w:w="720" w:type="dxa"/>
          </w:tcPr>
          <w:p w:rsidR="00BF2117" w:rsidRPr="00810A7F" w:rsidRDefault="00BF2117" w:rsidP="00B455DC">
            <w:pPr>
              <w:ind w:hanging="108"/>
              <w:rPr>
                <w:color w:val="000000" w:themeColor="text1"/>
                <w:sz w:val="16"/>
                <w:szCs w:val="16"/>
              </w:rPr>
            </w:pPr>
            <w:r w:rsidRPr="00810A7F">
              <w:rPr>
                <w:rStyle w:val="FootnoteReference"/>
                <w:color w:val="000000" w:themeColor="text1"/>
                <w:sz w:val="16"/>
                <w:szCs w:val="16"/>
              </w:rPr>
              <w:footnoteRef/>
            </w:r>
            <w:r w:rsidRPr="00810A7F">
              <w:rPr>
                <w:color w:val="000000" w:themeColor="text1"/>
                <w:sz w:val="16"/>
                <w:szCs w:val="16"/>
              </w:rPr>
              <w:t>[“S.No.</w:t>
            </w:r>
          </w:p>
        </w:tc>
        <w:tc>
          <w:tcPr>
            <w:tcW w:w="2700" w:type="dxa"/>
          </w:tcPr>
          <w:p w:rsidR="00BF2117" w:rsidRPr="00810A7F" w:rsidRDefault="00BF2117" w:rsidP="00B455DC">
            <w:pPr>
              <w:jc w:val="center"/>
              <w:rPr>
                <w:color w:val="000000" w:themeColor="text1"/>
                <w:sz w:val="16"/>
                <w:szCs w:val="16"/>
              </w:rPr>
            </w:pPr>
            <w:r w:rsidRPr="00810A7F">
              <w:rPr>
                <w:color w:val="000000" w:themeColor="text1"/>
                <w:sz w:val="16"/>
                <w:szCs w:val="16"/>
              </w:rPr>
              <w:t>Period</w:t>
            </w:r>
          </w:p>
        </w:tc>
        <w:tc>
          <w:tcPr>
            <w:tcW w:w="1170" w:type="dxa"/>
          </w:tcPr>
          <w:p w:rsidR="00BF2117" w:rsidRPr="00810A7F" w:rsidRDefault="00BF2117" w:rsidP="00B455DC">
            <w:pPr>
              <w:jc w:val="center"/>
              <w:rPr>
                <w:color w:val="000000" w:themeColor="text1"/>
                <w:sz w:val="16"/>
                <w:szCs w:val="16"/>
              </w:rPr>
            </w:pPr>
            <w:r w:rsidRPr="00810A7F">
              <w:rPr>
                <w:color w:val="000000" w:themeColor="text1"/>
                <w:sz w:val="16"/>
                <w:szCs w:val="16"/>
              </w:rPr>
              <w:t>Tax Year 2015</w:t>
            </w:r>
          </w:p>
        </w:tc>
        <w:tc>
          <w:tcPr>
            <w:tcW w:w="1530" w:type="dxa"/>
          </w:tcPr>
          <w:p w:rsidR="00BF2117" w:rsidRPr="00810A7F" w:rsidRDefault="00BF2117" w:rsidP="00B455DC">
            <w:pPr>
              <w:jc w:val="center"/>
              <w:rPr>
                <w:color w:val="000000" w:themeColor="text1"/>
                <w:sz w:val="16"/>
                <w:szCs w:val="16"/>
              </w:rPr>
            </w:pPr>
            <w:r w:rsidRPr="00810A7F">
              <w:rPr>
                <w:color w:val="000000" w:themeColor="text1"/>
                <w:sz w:val="16"/>
                <w:szCs w:val="16"/>
              </w:rPr>
              <w:t>Tax Year 2016</w:t>
            </w:r>
          </w:p>
        </w:tc>
      </w:tr>
      <w:tr w:rsidR="00BF2117" w:rsidRPr="00810A7F" w:rsidTr="00810A7F">
        <w:tc>
          <w:tcPr>
            <w:tcW w:w="720" w:type="dxa"/>
          </w:tcPr>
          <w:p w:rsidR="00BF2117" w:rsidRPr="00810A7F" w:rsidRDefault="00BF2117" w:rsidP="00B455DC">
            <w:pPr>
              <w:jc w:val="center"/>
              <w:rPr>
                <w:color w:val="000000" w:themeColor="text1"/>
                <w:sz w:val="16"/>
                <w:szCs w:val="16"/>
              </w:rPr>
            </w:pPr>
            <w:r w:rsidRPr="00810A7F">
              <w:rPr>
                <w:color w:val="000000" w:themeColor="text1"/>
                <w:sz w:val="16"/>
                <w:szCs w:val="16"/>
              </w:rPr>
              <w:t>(1)</w:t>
            </w:r>
          </w:p>
        </w:tc>
        <w:tc>
          <w:tcPr>
            <w:tcW w:w="2700" w:type="dxa"/>
          </w:tcPr>
          <w:p w:rsidR="00BF2117" w:rsidRPr="00810A7F" w:rsidRDefault="00BF2117" w:rsidP="00B455DC">
            <w:pPr>
              <w:jc w:val="center"/>
              <w:rPr>
                <w:color w:val="000000" w:themeColor="text1"/>
                <w:sz w:val="16"/>
                <w:szCs w:val="16"/>
              </w:rPr>
            </w:pPr>
            <w:r w:rsidRPr="00810A7F">
              <w:rPr>
                <w:color w:val="000000" w:themeColor="text1"/>
                <w:sz w:val="16"/>
                <w:szCs w:val="16"/>
              </w:rPr>
              <w:t>(2)</w:t>
            </w:r>
          </w:p>
        </w:tc>
        <w:tc>
          <w:tcPr>
            <w:tcW w:w="1170" w:type="dxa"/>
          </w:tcPr>
          <w:p w:rsidR="00BF2117" w:rsidRPr="00810A7F" w:rsidRDefault="00BF2117" w:rsidP="00B455DC">
            <w:pPr>
              <w:jc w:val="center"/>
              <w:rPr>
                <w:color w:val="000000" w:themeColor="text1"/>
                <w:sz w:val="16"/>
                <w:szCs w:val="16"/>
              </w:rPr>
            </w:pPr>
            <w:r w:rsidRPr="00810A7F">
              <w:rPr>
                <w:color w:val="000000" w:themeColor="text1"/>
                <w:sz w:val="16"/>
                <w:szCs w:val="16"/>
              </w:rPr>
              <w:t>(3)</w:t>
            </w:r>
          </w:p>
        </w:tc>
        <w:tc>
          <w:tcPr>
            <w:tcW w:w="1530" w:type="dxa"/>
          </w:tcPr>
          <w:p w:rsidR="00BF2117" w:rsidRPr="00810A7F" w:rsidRDefault="00BF2117" w:rsidP="00B455DC">
            <w:pPr>
              <w:jc w:val="center"/>
              <w:rPr>
                <w:color w:val="000000" w:themeColor="text1"/>
                <w:sz w:val="16"/>
                <w:szCs w:val="16"/>
              </w:rPr>
            </w:pPr>
            <w:r w:rsidRPr="00810A7F">
              <w:rPr>
                <w:color w:val="000000" w:themeColor="text1"/>
                <w:sz w:val="16"/>
                <w:szCs w:val="16"/>
              </w:rPr>
              <w:t>(4)</w:t>
            </w:r>
          </w:p>
        </w:tc>
      </w:tr>
      <w:tr w:rsidR="00BF2117" w:rsidRPr="00810A7F" w:rsidTr="00810A7F">
        <w:tc>
          <w:tcPr>
            <w:tcW w:w="720" w:type="dxa"/>
          </w:tcPr>
          <w:p w:rsidR="00BF2117" w:rsidRPr="00810A7F" w:rsidRDefault="00BF2117" w:rsidP="00B455DC">
            <w:pPr>
              <w:jc w:val="center"/>
              <w:rPr>
                <w:color w:val="000000" w:themeColor="text1"/>
                <w:sz w:val="16"/>
                <w:szCs w:val="16"/>
              </w:rPr>
            </w:pPr>
            <w:r w:rsidRPr="00810A7F">
              <w:rPr>
                <w:color w:val="000000" w:themeColor="text1"/>
                <w:sz w:val="16"/>
                <w:szCs w:val="16"/>
              </w:rPr>
              <w:t>1</w:t>
            </w:r>
          </w:p>
        </w:tc>
        <w:tc>
          <w:tcPr>
            <w:tcW w:w="2700" w:type="dxa"/>
          </w:tcPr>
          <w:p w:rsidR="00BF2117" w:rsidRPr="00810A7F" w:rsidRDefault="00BF2117" w:rsidP="00B455DC">
            <w:pPr>
              <w:autoSpaceDE w:val="0"/>
              <w:autoSpaceDN w:val="0"/>
              <w:adjustRightInd w:val="0"/>
              <w:jc w:val="both"/>
              <w:rPr>
                <w:color w:val="000000" w:themeColor="text1"/>
                <w:sz w:val="16"/>
                <w:szCs w:val="16"/>
              </w:rPr>
            </w:pPr>
            <w:r w:rsidRPr="00810A7F">
              <w:rPr>
                <w:rFonts w:cs="Arial"/>
                <w:color w:val="000000" w:themeColor="text1"/>
                <w:sz w:val="16"/>
                <w:szCs w:val="16"/>
                <w:lang w:val="en-US"/>
              </w:rPr>
              <w:t>Where holding period of a security is less than twelve months</w:t>
            </w:r>
          </w:p>
        </w:tc>
        <w:tc>
          <w:tcPr>
            <w:tcW w:w="1170" w:type="dxa"/>
          </w:tcPr>
          <w:p w:rsidR="00BF2117" w:rsidRPr="00810A7F" w:rsidRDefault="00BF2117" w:rsidP="00B455DC">
            <w:pPr>
              <w:jc w:val="center"/>
              <w:rPr>
                <w:color w:val="000000" w:themeColor="text1"/>
                <w:sz w:val="16"/>
                <w:szCs w:val="16"/>
              </w:rPr>
            </w:pPr>
            <w:r w:rsidRPr="00810A7F">
              <w:rPr>
                <w:color w:val="000000" w:themeColor="text1"/>
                <w:sz w:val="16"/>
                <w:szCs w:val="16"/>
              </w:rPr>
              <w:t>12.5%</w:t>
            </w:r>
          </w:p>
        </w:tc>
        <w:tc>
          <w:tcPr>
            <w:tcW w:w="1530" w:type="dxa"/>
          </w:tcPr>
          <w:p w:rsidR="00BF2117" w:rsidRPr="00810A7F" w:rsidRDefault="00BF2117" w:rsidP="00B455DC">
            <w:pPr>
              <w:jc w:val="center"/>
              <w:rPr>
                <w:color w:val="000000" w:themeColor="text1"/>
                <w:sz w:val="16"/>
                <w:szCs w:val="16"/>
              </w:rPr>
            </w:pPr>
            <w:r w:rsidRPr="00810A7F">
              <w:rPr>
                <w:color w:val="000000" w:themeColor="text1"/>
                <w:sz w:val="16"/>
                <w:szCs w:val="16"/>
              </w:rPr>
              <w:t>15%</w:t>
            </w:r>
          </w:p>
        </w:tc>
      </w:tr>
      <w:tr w:rsidR="00BF2117" w:rsidRPr="00810A7F" w:rsidTr="00810A7F">
        <w:tc>
          <w:tcPr>
            <w:tcW w:w="720" w:type="dxa"/>
          </w:tcPr>
          <w:p w:rsidR="00BF2117" w:rsidRPr="00810A7F" w:rsidRDefault="00BF2117" w:rsidP="00B455DC">
            <w:pPr>
              <w:jc w:val="center"/>
              <w:rPr>
                <w:color w:val="000000" w:themeColor="text1"/>
                <w:sz w:val="16"/>
                <w:szCs w:val="16"/>
              </w:rPr>
            </w:pPr>
            <w:r w:rsidRPr="00810A7F">
              <w:rPr>
                <w:color w:val="000000" w:themeColor="text1"/>
                <w:sz w:val="16"/>
                <w:szCs w:val="16"/>
              </w:rPr>
              <w:t>2</w:t>
            </w:r>
          </w:p>
        </w:tc>
        <w:tc>
          <w:tcPr>
            <w:tcW w:w="2700" w:type="dxa"/>
          </w:tcPr>
          <w:p w:rsidR="00BF2117" w:rsidRPr="00810A7F" w:rsidRDefault="00BF2117" w:rsidP="00B455DC">
            <w:pPr>
              <w:autoSpaceDE w:val="0"/>
              <w:autoSpaceDN w:val="0"/>
              <w:adjustRightInd w:val="0"/>
              <w:jc w:val="both"/>
              <w:rPr>
                <w:color w:val="000000" w:themeColor="text1"/>
                <w:sz w:val="16"/>
                <w:szCs w:val="16"/>
              </w:rPr>
            </w:pPr>
            <w:r w:rsidRPr="00810A7F">
              <w:rPr>
                <w:rFonts w:cs="Arial"/>
                <w:color w:val="000000" w:themeColor="text1"/>
                <w:sz w:val="16"/>
                <w:szCs w:val="16"/>
                <w:lang w:val="en-US"/>
              </w:rPr>
              <w:t>Where holding period of a security is twelve months or more but less than twenty four months</w:t>
            </w:r>
          </w:p>
        </w:tc>
        <w:tc>
          <w:tcPr>
            <w:tcW w:w="1170" w:type="dxa"/>
          </w:tcPr>
          <w:p w:rsidR="00BF2117" w:rsidRPr="00810A7F" w:rsidRDefault="00BF2117" w:rsidP="00B455DC">
            <w:pPr>
              <w:jc w:val="center"/>
              <w:rPr>
                <w:color w:val="000000" w:themeColor="text1"/>
                <w:sz w:val="16"/>
                <w:szCs w:val="16"/>
              </w:rPr>
            </w:pPr>
            <w:r w:rsidRPr="00810A7F">
              <w:rPr>
                <w:color w:val="000000" w:themeColor="text1"/>
                <w:sz w:val="16"/>
                <w:szCs w:val="16"/>
              </w:rPr>
              <w:t>10%</w:t>
            </w:r>
          </w:p>
        </w:tc>
        <w:tc>
          <w:tcPr>
            <w:tcW w:w="1530" w:type="dxa"/>
          </w:tcPr>
          <w:p w:rsidR="00BF2117" w:rsidRPr="00810A7F" w:rsidRDefault="00BF2117" w:rsidP="00B455DC">
            <w:pPr>
              <w:jc w:val="center"/>
              <w:rPr>
                <w:color w:val="000000" w:themeColor="text1"/>
                <w:sz w:val="16"/>
                <w:szCs w:val="16"/>
              </w:rPr>
            </w:pPr>
            <w:r w:rsidRPr="00810A7F">
              <w:rPr>
                <w:color w:val="000000" w:themeColor="text1"/>
                <w:sz w:val="16"/>
                <w:szCs w:val="16"/>
              </w:rPr>
              <w:t>12.5%</w:t>
            </w:r>
          </w:p>
        </w:tc>
      </w:tr>
      <w:tr w:rsidR="00BF2117" w:rsidRPr="00810A7F" w:rsidTr="00810A7F">
        <w:tc>
          <w:tcPr>
            <w:tcW w:w="720" w:type="dxa"/>
          </w:tcPr>
          <w:p w:rsidR="00BF2117" w:rsidRPr="00810A7F" w:rsidRDefault="00BF2117" w:rsidP="00B455DC">
            <w:pPr>
              <w:jc w:val="center"/>
              <w:rPr>
                <w:color w:val="000000" w:themeColor="text1"/>
                <w:sz w:val="16"/>
                <w:szCs w:val="16"/>
              </w:rPr>
            </w:pPr>
            <w:r w:rsidRPr="00810A7F">
              <w:rPr>
                <w:color w:val="000000" w:themeColor="text1"/>
                <w:sz w:val="16"/>
                <w:szCs w:val="16"/>
              </w:rPr>
              <w:t>3</w:t>
            </w:r>
          </w:p>
        </w:tc>
        <w:tc>
          <w:tcPr>
            <w:tcW w:w="2700" w:type="dxa"/>
          </w:tcPr>
          <w:p w:rsidR="00BF2117" w:rsidRPr="00810A7F" w:rsidRDefault="00BF2117" w:rsidP="00B455DC">
            <w:pPr>
              <w:jc w:val="both"/>
              <w:rPr>
                <w:color w:val="000000" w:themeColor="text1"/>
                <w:sz w:val="16"/>
                <w:szCs w:val="16"/>
              </w:rPr>
            </w:pPr>
            <w:r w:rsidRPr="00810A7F">
              <w:rPr>
                <w:rFonts w:cs="Arial"/>
                <w:color w:val="000000" w:themeColor="text1"/>
                <w:sz w:val="16"/>
                <w:szCs w:val="16"/>
                <w:lang w:val="en-US"/>
              </w:rPr>
              <w:t>Where holding period of a security is twenty four months or more but less than four years; and”]</w:t>
            </w:r>
          </w:p>
        </w:tc>
        <w:tc>
          <w:tcPr>
            <w:tcW w:w="1170" w:type="dxa"/>
          </w:tcPr>
          <w:p w:rsidR="00BF2117" w:rsidRPr="00810A7F" w:rsidRDefault="00BF2117" w:rsidP="00B455DC">
            <w:pPr>
              <w:jc w:val="center"/>
              <w:rPr>
                <w:color w:val="000000" w:themeColor="text1"/>
                <w:sz w:val="16"/>
                <w:szCs w:val="16"/>
              </w:rPr>
            </w:pPr>
            <w:r w:rsidRPr="00810A7F">
              <w:rPr>
                <w:color w:val="000000" w:themeColor="text1"/>
                <w:sz w:val="16"/>
                <w:szCs w:val="16"/>
              </w:rPr>
              <w:t>0%</w:t>
            </w:r>
          </w:p>
        </w:tc>
        <w:tc>
          <w:tcPr>
            <w:tcW w:w="1530" w:type="dxa"/>
          </w:tcPr>
          <w:p w:rsidR="00BF2117" w:rsidRPr="00810A7F" w:rsidRDefault="00BF2117" w:rsidP="00B455DC">
            <w:pPr>
              <w:jc w:val="center"/>
              <w:rPr>
                <w:color w:val="000000" w:themeColor="text1"/>
                <w:sz w:val="16"/>
                <w:szCs w:val="16"/>
              </w:rPr>
            </w:pPr>
            <w:r w:rsidRPr="00810A7F">
              <w:rPr>
                <w:color w:val="000000" w:themeColor="text1"/>
                <w:sz w:val="16"/>
                <w:szCs w:val="16"/>
              </w:rPr>
              <w:t>7.5%</w:t>
            </w:r>
          </w:p>
        </w:tc>
      </w:tr>
    </w:tbl>
    <w:p w:rsidR="00BF2117" w:rsidRPr="00810A7F" w:rsidRDefault="00BF2117">
      <w:pPr>
        <w:pStyle w:val="FootnoteText"/>
        <w:rPr>
          <w:color w:val="FF0000"/>
          <w:sz w:val="16"/>
          <w:szCs w:val="16"/>
          <w:lang w:val="en-US"/>
        </w:rPr>
      </w:pPr>
    </w:p>
  </w:footnote>
  <w:footnote w:id="2381">
    <w:p w:rsidR="00BF2117" w:rsidRDefault="00BF2117">
      <w:pPr>
        <w:pStyle w:val="FootnoteText"/>
        <w:rPr>
          <w:sz w:val="20"/>
        </w:rPr>
      </w:pPr>
      <w:r w:rsidRPr="00013CEF">
        <w:rPr>
          <w:rStyle w:val="FootnoteReference"/>
          <w:sz w:val="16"/>
          <w:szCs w:val="16"/>
        </w:rPr>
        <w:footnoteRef/>
      </w:r>
      <w:r w:rsidRPr="00013CEF">
        <w:rPr>
          <w:sz w:val="16"/>
          <w:szCs w:val="16"/>
        </w:rPr>
        <w:t xml:space="preserve">Proviso omitted by the Finance Act, 2015. </w:t>
      </w:r>
      <w:r>
        <w:rPr>
          <w:sz w:val="16"/>
          <w:szCs w:val="16"/>
        </w:rPr>
        <w:t>The omitted proviso read as follows:-</w:t>
      </w:r>
    </w:p>
    <w:p w:rsidR="00BF2117" w:rsidRPr="00013CEF" w:rsidRDefault="00BF2117" w:rsidP="004609FD">
      <w:pPr>
        <w:pStyle w:val="FootnoteText"/>
        <w:ind w:hanging="173"/>
        <w:rPr>
          <w:sz w:val="16"/>
          <w:szCs w:val="16"/>
          <w:lang w:val="en-US"/>
        </w:rPr>
      </w:pPr>
      <w:r>
        <w:rPr>
          <w:sz w:val="20"/>
        </w:rPr>
        <w:t>“</w:t>
      </w:r>
      <w:r w:rsidRPr="00013CEF">
        <w:rPr>
          <w:sz w:val="16"/>
          <w:szCs w:val="16"/>
        </w:rPr>
        <w:t>Provided that</w:t>
      </w:r>
      <w:r>
        <w:rPr>
          <w:sz w:val="16"/>
          <w:szCs w:val="16"/>
        </w:rPr>
        <w:t xml:space="preserve"> </w:t>
      </w:r>
      <w:r w:rsidRPr="00013CEF">
        <w:rPr>
          <w:sz w:val="16"/>
          <w:szCs w:val="16"/>
        </w:rPr>
        <w:t>this rule shall not apply to the securities held for a per</w:t>
      </w:r>
      <w:r>
        <w:rPr>
          <w:sz w:val="16"/>
          <w:szCs w:val="16"/>
        </w:rPr>
        <w:t>iod of more than twelve months.”</w:t>
      </w:r>
    </w:p>
  </w:footnote>
  <w:footnote w:id="2382">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Added by the Finance Act, 2010.</w:t>
      </w:r>
    </w:p>
  </w:footnote>
  <w:footnote w:id="2383">
    <w:p w:rsidR="00BF2117" w:rsidRPr="00EF5FC6" w:rsidRDefault="00BF2117">
      <w:pPr>
        <w:pStyle w:val="FootnoteText"/>
        <w:rPr>
          <w:lang w:val="en-US"/>
        </w:rPr>
      </w:pPr>
      <w:r w:rsidRPr="00EF5FC6">
        <w:rPr>
          <w:rStyle w:val="FootnoteReference"/>
          <w:sz w:val="16"/>
          <w:szCs w:val="16"/>
        </w:rPr>
        <w:footnoteRef/>
      </w:r>
      <w:r w:rsidRPr="00EF5FC6">
        <w:rPr>
          <w:sz w:val="16"/>
          <w:szCs w:val="16"/>
        </w:rPr>
        <w:t xml:space="preserve"> Inserted by the Finance Act, 2015</w:t>
      </w:r>
      <w:r>
        <w:t>.</w:t>
      </w:r>
    </w:p>
  </w:footnote>
  <w:footnote w:id="2384">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Inserted by the Finance Act, 2002</w:t>
      </w:r>
    </w:p>
  </w:footnote>
  <w:footnote w:id="2385">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Full stop substituted by the Finance Act, 2010.</w:t>
      </w:r>
    </w:p>
  </w:footnote>
  <w:footnote w:id="2386">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Added by the Finance Act, 2010.</w:t>
      </w:r>
    </w:p>
  </w:footnote>
  <w:footnote w:id="2387">
    <w:p w:rsidR="00BF2117" w:rsidRPr="00FB227F" w:rsidRDefault="00BF2117" w:rsidP="00AA4BF8">
      <w:pPr>
        <w:pStyle w:val="FootnoteText"/>
        <w:keepNext/>
        <w:ind w:left="180" w:hanging="180"/>
        <w:rPr>
          <w:sz w:val="16"/>
          <w:szCs w:val="16"/>
        </w:rPr>
      </w:pPr>
      <w:r w:rsidRPr="00FB227F">
        <w:rPr>
          <w:rStyle w:val="FootnoteReference"/>
          <w:rFonts w:cs="Arial"/>
          <w:sz w:val="16"/>
          <w:szCs w:val="16"/>
        </w:rPr>
        <w:footnoteRef/>
      </w:r>
      <w:r w:rsidRPr="00FB227F">
        <w:rPr>
          <w:sz w:val="16"/>
          <w:szCs w:val="16"/>
        </w:rPr>
        <w:t xml:space="preserve"> Paragraph four omitted by the Finance Act, 2002. The omitted fourth paragraph of the Fourth Schedule read as under:</w:t>
      </w:r>
    </w:p>
    <w:p w:rsidR="00BF2117" w:rsidRPr="00FB227F" w:rsidRDefault="00BF2117" w:rsidP="00AA4BF8">
      <w:pPr>
        <w:pStyle w:val="BodyTextIndent2"/>
        <w:ind w:left="180"/>
        <w:jc w:val="both"/>
        <w:rPr>
          <w:sz w:val="16"/>
          <w:szCs w:val="16"/>
        </w:rPr>
      </w:pPr>
      <w:r w:rsidRPr="00FB227F">
        <w:rPr>
          <w:sz w:val="16"/>
          <w:szCs w:val="16"/>
        </w:rPr>
        <w:t>“Securities and Exchange Commissioner of Pakistan” means the Securities and Exchange Commissioner of Pakistan established under the Securities and Exchange Commission of Pakistan Act, 1997 (XLII of 1997).”</w:t>
      </w:r>
    </w:p>
    <w:p w:rsidR="00BF2117" w:rsidRDefault="00BF2117" w:rsidP="00AA4BF8">
      <w:pPr>
        <w:pStyle w:val="BodyTextIndent2"/>
        <w:ind w:left="180"/>
        <w:jc w:val="both"/>
      </w:pPr>
    </w:p>
  </w:footnote>
  <w:footnote w:id="2388">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 “are” substituted by the Finance Act, 2003.</w:t>
      </w:r>
    </w:p>
  </w:footnote>
  <w:footnote w:id="2389">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words “deemed to be” substituted by the Finance Act, 2003.</w:t>
      </w:r>
    </w:p>
  </w:footnote>
  <w:footnote w:id="2390">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words “inshore” substituted by the Finance Act, 2003.</w:t>
      </w:r>
    </w:p>
  </w:footnote>
  <w:footnote w:id="2391">
    <w:p w:rsidR="00BF2117" w:rsidRDefault="00BF2117" w:rsidP="00AA4BF8">
      <w:pPr>
        <w:pStyle w:val="FootnoteText"/>
        <w:ind w:left="180" w:hanging="180"/>
      </w:pPr>
      <w:r w:rsidRPr="00412620">
        <w:rPr>
          <w:rStyle w:val="FootnoteReference"/>
          <w:rFonts w:cs="Arial"/>
          <w:sz w:val="16"/>
          <w:szCs w:val="16"/>
        </w:rPr>
        <w:footnoteRef/>
      </w:r>
      <w:r w:rsidRPr="00412620">
        <w:rPr>
          <w:sz w:val="16"/>
          <w:szCs w:val="16"/>
        </w:rPr>
        <w:t xml:space="preserve"> The words, comma and figures “sections 22, 23 and 24 apply” substituted by the Finance Act, 2003.</w:t>
      </w:r>
    </w:p>
  </w:footnote>
  <w:footnote w:id="2392">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 “sub-section” substituted by the Finance Act, 2003.</w:t>
      </w:r>
    </w:p>
  </w:footnote>
  <w:footnote w:id="2393">
    <w:p w:rsidR="00BF2117" w:rsidRPr="001D16CC" w:rsidRDefault="00BF2117">
      <w:pPr>
        <w:pStyle w:val="FootnoteText"/>
        <w:rPr>
          <w:lang w:val="en-US"/>
        </w:rPr>
      </w:pPr>
      <w:r>
        <w:rPr>
          <w:rStyle w:val="FootnoteReference"/>
        </w:rPr>
        <w:footnoteRef/>
      </w:r>
      <w:r w:rsidRPr="00412620">
        <w:rPr>
          <w:sz w:val="16"/>
          <w:szCs w:val="16"/>
        </w:rPr>
        <w:t>Inserted by the Finance Act, 2003</w:t>
      </w:r>
    </w:p>
  </w:footnote>
  <w:footnote w:id="2394">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words “aggregate is not” substituted by the Finance Act, 2003.</w:t>
      </w:r>
    </w:p>
  </w:footnote>
  <w:footnote w:id="2395">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 “company” substituted by the Finance Act, 2003.</w:t>
      </w:r>
    </w:p>
  </w:footnote>
  <w:footnote w:id="2396">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words “additional tax” substituted by the Finance Act, 2003.</w:t>
      </w:r>
    </w:p>
  </w:footnote>
  <w:footnote w:id="2397">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Added by the Finance Act, 2012. </w:t>
      </w:r>
    </w:p>
  </w:footnote>
  <w:footnote w:id="2398">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Inserted by the Finance Act, 2010.</w:t>
      </w:r>
    </w:p>
  </w:footnote>
  <w:footnote w:id="2399">
    <w:p w:rsidR="00BF2117" w:rsidRPr="00BC5217" w:rsidRDefault="00BF2117">
      <w:pPr>
        <w:pStyle w:val="FootnoteText"/>
        <w:rPr>
          <w:lang w:val="en-US"/>
        </w:rPr>
      </w:pPr>
      <w:r>
        <w:rPr>
          <w:rStyle w:val="FootnoteReference"/>
        </w:rPr>
        <w:footnoteRef/>
      </w:r>
      <w:r w:rsidRPr="00FB227F">
        <w:rPr>
          <w:sz w:val="16"/>
          <w:szCs w:val="16"/>
        </w:rPr>
        <w:t>Inserted by the Finance Act, 201</w:t>
      </w:r>
      <w:r>
        <w:rPr>
          <w:sz w:val="16"/>
          <w:szCs w:val="16"/>
        </w:rPr>
        <w:t>5</w:t>
      </w:r>
      <w:r w:rsidRPr="00FB227F">
        <w:rPr>
          <w:sz w:val="16"/>
          <w:szCs w:val="16"/>
        </w:rPr>
        <w:t>.</w:t>
      </w:r>
    </w:p>
  </w:footnote>
  <w:footnote w:id="2400">
    <w:p w:rsidR="00BF2117" w:rsidRPr="006A674E" w:rsidRDefault="00BF2117">
      <w:pPr>
        <w:pStyle w:val="FootnoteText"/>
        <w:rPr>
          <w:lang w:val="en-US"/>
        </w:rPr>
      </w:pPr>
      <w:r w:rsidRPr="00FB227F">
        <w:rPr>
          <w:rStyle w:val="FootnoteReference"/>
          <w:sz w:val="16"/>
          <w:szCs w:val="16"/>
        </w:rPr>
        <w:footnoteRef/>
      </w:r>
      <w:r w:rsidRPr="00FB227F">
        <w:rPr>
          <w:sz w:val="16"/>
          <w:szCs w:val="16"/>
          <w:lang w:val="en-US"/>
        </w:rPr>
        <w:t>The words “Central Board of Revenue” substituted by the Finance Act, 2007.</w:t>
      </w:r>
    </w:p>
  </w:footnote>
  <w:footnote w:id="2401">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Inserted by the Finance Act, 2003.</w:t>
      </w:r>
    </w:p>
  </w:footnote>
  <w:footnote w:id="2402">
    <w:p w:rsidR="00BF2117" w:rsidRPr="006C3E41" w:rsidRDefault="00BF2117">
      <w:pPr>
        <w:pStyle w:val="FootnoteText"/>
        <w:rPr>
          <w:lang w:val="en-US"/>
        </w:rPr>
      </w:pPr>
      <w:r>
        <w:rPr>
          <w:rStyle w:val="FootnoteReference"/>
        </w:rPr>
        <w:footnoteRef/>
      </w:r>
      <w:r w:rsidRPr="00412620">
        <w:rPr>
          <w:sz w:val="16"/>
          <w:szCs w:val="16"/>
        </w:rPr>
        <w:t xml:space="preserve"> Inserted by the Finance Act, 20</w:t>
      </w:r>
      <w:r>
        <w:rPr>
          <w:sz w:val="16"/>
          <w:szCs w:val="16"/>
        </w:rPr>
        <w:t>15.</w:t>
      </w:r>
    </w:p>
  </w:footnote>
  <w:footnote w:id="2403">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words “relevant to the tax year” omitted by the Finance Act, 2003.</w:t>
      </w:r>
    </w:p>
  </w:footnote>
  <w:footnote w:id="2404">
    <w:p w:rsidR="00BF2117" w:rsidRDefault="00BF2117" w:rsidP="00633DB5">
      <w:pPr>
        <w:pStyle w:val="FootnoteText"/>
        <w:ind w:left="90" w:hanging="90"/>
      </w:pPr>
      <w:r w:rsidRPr="00412620">
        <w:rPr>
          <w:rStyle w:val="FootnoteReference"/>
          <w:rFonts w:cs="Arial"/>
          <w:sz w:val="16"/>
          <w:szCs w:val="16"/>
        </w:rPr>
        <w:footnoteRef/>
      </w:r>
      <w:r>
        <w:rPr>
          <w:sz w:val="16"/>
          <w:szCs w:val="16"/>
        </w:rPr>
        <w:t xml:space="preserve">Substituted for “Central Board of Revenue” by the Finance Act, 2007. Earlier </w:t>
      </w:r>
      <w:r w:rsidRPr="00412620">
        <w:rPr>
          <w:sz w:val="16"/>
          <w:szCs w:val="16"/>
        </w:rPr>
        <w:t>The word</w:t>
      </w:r>
      <w:r>
        <w:rPr>
          <w:sz w:val="16"/>
          <w:szCs w:val="16"/>
        </w:rPr>
        <w:t>s “Central Board of Revenue” were substituted for the word</w:t>
      </w:r>
      <w:r w:rsidRPr="00412620">
        <w:rPr>
          <w:sz w:val="16"/>
          <w:szCs w:val="16"/>
        </w:rPr>
        <w:t xml:space="preserve"> “Commissioner” by the Finance Act, 2003.</w:t>
      </w:r>
    </w:p>
  </w:footnote>
  <w:footnote w:id="2405">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words “next following the tax year” omitted by the Finance Act, 2003.</w:t>
      </w:r>
    </w:p>
  </w:footnote>
  <w:footnote w:id="2406">
    <w:p w:rsidR="00BF2117" w:rsidRDefault="00BF2117" w:rsidP="00AA4BF8">
      <w:pPr>
        <w:pStyle w:val="FootnoteText"/>
      </w:pPr>
      <w:r w:rsidRPr="00412620">
        <w:rPr>
          <w:rStyle w:val="FootnoteReference"/>
          <w:rFonts w:cs="Arial"/>
          <w:sz w:val="16"/>
          <w:szCs w:val="16"/>
        </w:rPr>
        <w:footnoteRef/>
      </w:r>
      <w:r>
        <w:rPr>
          <w:sz w:val="16"/>
          <w:szCs w:val="16"/>
        </w:rPr>
        <w:t>S</w:t>
      </w:r>
      <w:r w:rsidRPr="00412620">
        <w:rPr>
          <w:sz w:val="16"/>
          <w:szCs w:val="16"/>
        </w:rPr>
        <w:t>ubstituted by the Finance Act, 200</w:t>
      </w:r>
      <w:r>
        <w:rPr>
          <w:sz w:val="16"/>
          <w:szCs w:val="16"/>
        </w:rPr>
        <w:t>7.</w:t>
      </w:r>
      <w:r w:rsidRPr="00412620">
        <w:rPr>
          <w:sz w:val="16"/>
          <w:szCs w:val="16"/>
        </w:rPr>
        <w:t>.</w:t>
      </w:r>
    </w:p>
  </w:footnote>
  <w:footnote w:id="2407">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figure “49” substituted by the Finance Act, 2005.</w:t>
      </w:r>
    </w:p>
  </w:footnote>
  <w:footnote w:id="2408">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09">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 xml:space="preserve">substituted by the Finance Act, 2007. </w:t>
      </w:r>
    </w:p>
  </w:footnote>
  <w:footnote w:id="2410">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 “employers” substituted by the Finance Act, 2003.</w:t>
      </w:r>
    </w:p>
  </w:footnote>
  <w:footnote w:id="2411">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s</w:t>
      </w:r>
      <w:r w:rsidRPr="00FB227F">
        <w:rPr>
          <w:sz w:val="16"/>
          <w:szCs w:val="16"/>
          <w:lang w:val="en-US"/>
        </w:rPr>
        <w:t>ubstituted by the Finance Act, 2007.</w:t>
      </w:r>
    </w:p>
  </w:footnote>
  <w:footnote w:id="2412">
    <w:p w:rsidR="00BF2117" w:rsidRPr="00FB227F" w:rsidRDefault="00BF2117" w:rsidP="00FB227F">
      <w:pPr>
        <w:pStyle w:val="FootnoteText"/>
        <w:ind w:left="90" w:hanging="90"/>
        <w:rPr>
          <w:sz w:val="16"/>
          <w:szCs w:val="16"/>
        </w:rPr>
      </w:pPr>
      <w:r w:rsidRPr="00FB227F">
        <w:rPr>
          <w:rStyle w:val="FootnoteReference"/>
          <w:rFonts w:cs="Arial"/>
          <w:sz w:val="16"/>
          <w:szCs w:val="16"/>
        </w:rPr>
        <w:footnoteRef/>
      </w:r>
      <w:r w:rsidRPr="00FB227F">
        <w:rPr>
          <w:sz w:val="16"/>
          <w:szCs w:val="16"/>
        </w:rPr>
        <w:t xml:space="preserve"> The words “is provided for on definite principles by the regulations” omitted by the Finance Act, 2003.</w:t>
      </w:r>
    </w:p>
  </w:footnote>
  <w:footnote w:id="2413">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 “funds” substituted by the Finance Act, 2003.</w:t>
      </w:r>
    </w:p>
  </w:footnote>
  <w:footnote w:id="2414">
    <w:p w:rsidR="00BF2117" w:rsidRPr="00FB227F" w:rsidRDefault="00BF2117" w:rsidP="00AA4BF8">
      <w:pPr>
        <w:pStyle w:val="FootnoteText"/>
        <w:rPr>
          <w:sz w:val="16"/>
          <w:szCs w:val="16"/>
        </w:rPr>
      </w:pPr>
      <w:r w:rsidRPr="00412620">
        <w:rPr>
          <w:rStyle w:val="FootnoteReference"/>
          <w:rFonts w:cs="Arial"/>
          <w:sz w:val="16"/>
          <w:szCs w:val="16"/>
        </w:rPr>
        <w:footnoteRef/>
      </w:r>
      <w:r w:rsidRPr="00FB227F">
        <w:rPr>
          <w:sz w:val="16"/>
          <w:szCs w:val="16"/>
        </w:rPr>
        <w:t>The words “one-twelfth of” substituted by the Finance Act, 2002.</w:t>
      </w:r>
    </w:p>
  </w:footnote>
  <w:footnote w:id="2415">
    <w:p w:rsidR="00BF2117" w:rsidRPr="00FB227F" w:rsidRDefault="00BF2117" w:rsidP="00AA4BF8">
      <w:pPr>
        <w:pStyle w:val="FootnoteText"/>
        <w:rPr>
          <w:sz w:val="16"/>
          <w:szCs w:val="16"/>
        </w:rPr>
      </w:pPr>
      <w:r w:rsidRPr="00FB227F">
        <w:rPr>
          <w:rStyle w:val="FootnoteReference"/>
          <w:rFonts w:cs="Arial"/>
          <w:sz w:val="16"/>
          <w:szCs w:val="16"/>
        </w:rPr>
        <w:footnoteRef/>
      </w:r>
      <w:r>
        <w:rPr>
          <w:sz w:val="16"/>
          <w:szCs w:val="16"/>
          <w:lang w:val="en-US"/>
        </w:rPr>
        <w:t xml:space="preserve"> </w:t>
      </w:r>
      <w:r w:rsidRPr="00FB227F">
        <w:rPr>
          <w:sz w:val="16"/>
          <w:szCs w:val="16"/>
          <w:lang w:val="en-US"/>
        </w:rPr>
        <w:t>Inserted by the Finance Act, 2008.</w:t>
      </w:r>
    </w:p>
  </w:footnote>
  <w:footnote w:id="2416">
    <w:p w:rsidR="00BF2117" w:rsidRPr="000E5E48" w:rsidRDefault="00BF2117">
      <w:pPr>
        <w:pStyle w:val="FootnoteText"/>
        <w:rPr>
          <w:rStyle w:val="FootnoteReference"/>
          <w:rFonts w:cs="Arial"/>
          <w:color w:val="0070C0"/>
          <w:sz w:val="16"/>
          <w:szCs w:val="16"/>
        </w:rPr>
      </w:pPr>
      <w:r w:rsidRPr="000E5E48">
        <w:rPr>
          <w:rStyle w:val="FootnoteReference"/>
          <w:color w:val="0070C0"/>
          <w:sz w:val="16"/>
          <w:szCs w:val="16"/>
        </w:rPr>
        <w:footnoteRef/>
      </w:r>
      <w:r w:rsidRPr="000E5E48">
        <w:rPr>
          <w:rStyle w:val="FootnoteReference"/>
          <w:rFonts w:cs="Arial"/>
          <w:color w:val="0070C0"/>
          <w:sz w:val="16"/>
          <w:szCs w:val="16"/>
        </w:rPr>
        <w:t xml:space="preserve"> </w:t>
      </w:r>
      <w:r w:rsidRPr="000E5E48">
        <w:rPr>
          <w:rFonts w:cs="Arial"/>
          <w:color w:val="0070C0"/>
          <w:sz w:val="16"/>
          <w:szCs w:val="16"/>
        </w:rPr>
        <w:t>The figure “100,000” substituted by the Finance Act, 2016.</w:t>
      </w:r>
    </w:p>
  </w:footnote>
  <w:footnote w:id="2417">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 “deemed” substituted by the Finance Act, 2002.</w:t>
      </w:r>
    </w:p>
  </w:footnote>
  <w:footnote w:id="2418">
    <w:p w:rsidR="00BF2117" w:rsidRPr="008D3A3C" w:rsidRDefault="00BF2117">
      <w:pPr>
        <w:pStyle w:val="FootnoteText"/>
        <w:rPr>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19">
    <w:p w:rsidR="00BF2117" w:rsidRPr="002C4916" w:rsidRDefault="00BF2117">
      <w:pPr>
        <w:pStyle w:val="FootnoteText"/>
        <w:rPr>
          <w:lang w:val="en-US"/>
        </w:rPr>
      </w:pPr>
      <w:r>
        <w:rPr>
          <w:rStyle w:val="FootnoteReference"/>
        </w:rPr>
        <w:footnoteRef/>
      </w:r>
      <w:r w:rsidRPr="00AA04A3">
        <w:rPr>
          <w:sz w:val="16"/>
          <w:szCs w:val="16"/>
        </w:rPr>
        <w:t xml:space="preserve">The words “Central Board of Revenue” </w:t>
      </w:r>
      <w:r w:rsidRPr="00AA04A3">
        <w:rPr>
          <w:sz w:val="16"/>
          <w:szCs w:val="16"/>
          <w:lang w:val="en-US"/>
        </w:rPr>
        <w:t>substituted by the Finance Act, 2007.</w:t>
      </w:r>
    </w:p>
  </w:footnote>
  <w:footnote w:id="2420">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figure “23” substituted by the Finance Act, 2003.</w:t>
      </w:r>
    </w:p>
  </w:footnote>
  <w:footnote w:id="2421">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 “income” substituted by the Finance Act, 2003.</w:t>
      </w:r>
    </w:p>
  </w:footnote>
  <w:footnote w:id="2422">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Inserted by the Finance Act, 2003.</w:t>
      </w:r>
    </w:p>
  </w:footnote>
  <w:footnote w:id="2423">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 “making” substituted by the Finance Act, 2003.</w:t>
      </w:r>
    </w:p>
  </w:footnote>
  <w:footnote w:id="2424">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25">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26">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27">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 “fund</w:t>
      </w:r>
      <w:r w:rsidRPr="00FB227F">
        <w:rPr>
          <w:b/>
          <w:sz w:val="16"/>
          <w:szCs w:val="16"/>
        </w:rPr>
        <w:t>s</w:t>
      </w:r>
      <w:r w:rsidRPr="00412620">
        <w:rPr>
          <w:sz w:val="16"/>
          <w:szCs w:val="16"/>
        </w:rPr>
        <w:t>” substituted by the Finance Act, 2003.</w:t>
      </w:r>
    </w:p>
  </w:footnote>
  <w:footnote w:id="2428">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figure “2” substituted by the Finance Act, 2009.</w:t>
      </w:r>
    </w:p>
  </w:footnote>
  <w:footnote w:id="2429">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30">
    <w:p w:rsidR="00BF2117" w:rsidRDefault="00BF2117" w:rsidP="00AA4BF8">
      <w:pPr>
        <w:pStyle w:val="FootnoteText"/>
        <w:ind w:left="180" w:hanging="180"/>
        <w:jc w:val="both"/>
      </w:pPr>
      <w:r w:rsidRPr="00412620">
        <w:rPr>
          <w:rStyle w:val="FootnoteReference"/>
          <w:rFonts w:cs="Arial"/>
          <w:sz w:val="16"/>
          <w:szCs w:val="16"/>
        </w:rPr>
        <w:footnoteRef/>
      </w:r>
      <w:r w:rsidRPr="00412620">
        <w:rPr>
          <w:sz w:val="16"/>
          <w:szCs w:val="16"/>
        </w:rPr>
        <w:t xml:space="preserve"> The words and commas “at the average rate of tax at which the employee was liable to tax during the preceding three years or during such period, if less than three years, as he was a member of the fund,” substituted by the Finance Act, 2008.</w:t>
      </w:r>
    </w:p>
  </w:footnote>
  <w:footnote w:id="2431">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Inserted by the Finance Act, 2003..</w:t>
      </w:r>
    </w:p>
  </w:footnote>
  <w:footnote w:id="2432">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 “making” substituted by the Finance Act, 2003.</w:t>
      </w:r>
    </w:p>
  </w:footnote>
  <w:footnote w:id="2433">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34">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35">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36">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37">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words “employment after” substituted by the Finance Act, 2003.</w:t>
      </w:r>
    </w:p>
  </w:footnote>
  <w:footnote w:id="2438">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The word “alterations” substituted by the Finance Act, 2003.</w:t>
      </w:r>
    </w:p>
  </w:footnote>
  <w:footnote w:id="2439">
    <w:p w:rsidR="00BF2117" w:rsidRDefault="00BF2117" w:rsidP="00AA4BF8">
      <w:pPr>
        <w:pStyle w:val="FootnoteText"/>
      </w:pPr>
      <w:r w:rsidRPr="00412620">
        <w:rPr>
          <w:rStyle w:val="FootnoteReference"/>
          <w:rFonts w:cs="Arial"/>
          <w:sz w:val="16"/>
          <w:szCs w:val="16"/>
        </w:rPr>
        <w:footnoteRef/>
      </w:r>
      <w:r w:rsidRPr="00412620">
        <w:rPr>
          <w:sz w:val="16"/>
          <w:szCs w:val="16"/>
        </w:rPr>
        <w:t xml:space="preserve"> Inserted by the Finance Act, 2003.</w:t>
      </w:r>
    </w:p>
  </w:footnote>
  <w:footnote w:id="2440">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The word “making” substituted by the Finance Act, 2003.</w:t>
      </w:r>
    </w:p>
  </w:footnote>
  <w:footnote w:id="2441">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42">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43">
    <w:p w:rsidR="00BF2117" w:rsidRPr="00FB227F" w:rsidRDefault="00BF2117">
      <w:pPr>
        <w:pStyle w:val="FootnoteText"/>
        <w:rPr>
          <w:sz w:val="16"/>
          <w:szCs w:val="16"/>
          <w:lang w:val="en-US"/>
        </w:rPr>
      </w:pPr>
      <w:r w:rsidRPr="00FB227F">
        <w:rPr>
          <w:rStyle w:val="FootnoteReference"/>
          <w:sz w:val="16"/>
          <w:szCs w:val="16"/>
        </w:rPr>
        <w:footnoteRef/>
      </w:r>
      <w:r w:rsidRPr="00FB227F">
        <w:rPr>
          <w:sz w:val="16"/>
          <w:szCs w:val="16"/>
        </w:rPr>
        <w:t xml:space="preserve"> The words “Central Board of Revenue” </w:t>
      </w:r>
      <w:r w:rsidRPr="00FB227F">
        <w:rPr>
          <w:sz w:val="16"/>
          <w:szCs w:val="16"/>
          <w:lang w:val="en-US"/>
        </w:rPr>
        <w:t>substituted by the Finance Act, 2007.</w:t>
      </w:r>
    </w:p>
  </w:footnote>
  <w:footnote w:id="2444">
    <w:p w:rsidR="00BF2117" w:rsidRPr="00412620" w:rsidRDefault="00BF2117" w:rsidP="00AA4BF8">
      <w:pPr>
        <w:pStyle w:val="FootnoteText"/>
        <w:rPr>
          <w:sz w:val="6"/>
          <w:szCs w:val="6"/>
        </w:rPr>
      </w:pPr>
    </w:p>
    <w:p w:rsidR="00BF2117" w:rsidRPr="00FB227F" w:rsidRDefault="00BF2117" w:rsidP="00AA4BF8">
      <w:pPr>
        <w:pStyle w:val="FootnoteText"/>
        <w:ind w:left="180" w:hanging="180"/>
        <w:rPr>
          <w:rFonts w:cs="Arial"/>
          <w:sz w:val="16"/>
          <w:szCs w:val="16"/>
        </w:rPr>
      </w:pPr>
      <w:r w:rsidRPr="00FB227F">
        <w:rPr>
          <w:rStyle w:val="FootnoteReference"/>
          <w:rFonts w:cs="Arial"/>
          <w:sz w:val="16"/>
          <w:szCs w:val="16"/>
        </w:rPr>
        <w:footnoteRef/>
      </w:r>
      <w:r w:rsidRPr="00FB227F">
        <w:rPr>
          <w:rFonts w:cs="Arial"/>
          <w:sz w:val="16"/>
          <w:szCs w:val="16"/>
        </w:rPr>
        <w:t xml:space="preserve"> The Seventh Schedule substituted by the Finance Act, 2007. The substituted “The Seventh Schedule” read as follows:</w:t>
      </w:r>
    </w:p>
    <w:p w:rsidR="00BF2117" w:rsidRPr="00FB227F" w:rsidRDefault="00BF2117" w:rsidP="00AA4BF8">
      <w:pPr>
        <w:keepNext/>
        <w:jc w:val="center"/>
        <w:rPr>
          <w:rFonts w:cs="Arial"/>
          <w:sz w:val="16"/>
          <w:szCs w:val="16"/>
        </w:rPr>
      </w:pPr>
    </w:p>
    <w:p w:rsidR="00BF2117" w:rsidRPr="00FB227F" w:rsidRDefault="00BF2117" w:rsidP="00AA4BF8">
      <w:pPr>
        <w:keepNext/>
        <w:jc w:val="center"/>
        <w:rPr>
          <w:rFonts w:cs="Arial"/>
          <w:b/>
          <w:bCs/>
          <w:sz w:val="16"/>
          <w:szCs w:val="16"/>
        </w:rPr>
      </w:pPr>
      <w:r w:rsidRPr="00FB227F">
        <w:rPr>
          <w:rFonts w:cs="Arial"/>
          <w:sz w:val="16"/>
          <w:szCs w:val="16"/>
        </w:rPr>
        <w:t>“</w:t>
      </w:r>
      <w:r w:rsidRPr="00FB227F">
        <w:rPr>
          <w:rFonts w:cs="Arial"/>
          <w:b/>
          <w:bCs/>
          <w:sz w:val="16"/>
          <w:szCs w:val="16"/>
        </w:rPr>
        <w:t>THE SEVENTH SCHEDULE</w:t>
      </w:r>
    </w:p>
    <w:p w:rsidR="00BF2117" w:rsidRPr="00FB227F" w:rsidRDefault="00BF2117" w:rsidP="00AA4BF8">
      <w:pPr>
        <w:keepNext/>
        <w:jc w:val="center"/>
        <w:rPr>
          <w:rFonts w:cs="Arial"/>
          <w:b/>
          <w:bCs/>
          <w:sz w:val="16"/>
          <w:szCs w:val="16"/>
        </w:rPr>
      </w:pPr>
      <w:r w:rsidRPr="00FB227F">
        <w:rPr>
          <w:rFonts w:cs="Arial"/>
          <w:b/>
          <w:bCs/>
          <w:sz w:val="16"/>
          <w:szCs w:val="16"/>
        </w:rPr>
        <w:t>EXPORTED GOODS</w:t>
      </w:r>
    </w:p>
    <w:p w:rsidR="00BF2117" w:rsidRPr="00FB227F" w:rsidRDefault="00BF2117" w:rsidP="00AA4BF8">
      <w:pPr>
        <w:keepNext/>
        <w:jc w:val="center"/>
        <w:rPr>
          <w:rFonts w:cs="Arial"/>
          <w:i/>
          <w:iCs/>
          <w:sz w:val="16"/>
          <w:szCs w:val="16"/>
        </w:rPr>
      </w:pPr>
      <w:r w:rsidRPr="00FB227F">
        <w:rPr>
          <w:rFonts w:cs="Arial"/>
          <w:i/>
          <w:iCs/>
          <w:sz w:val="16"/>
          <w:szCs w:val="16"/>
        </w:rPr>
        <w:t>[See Division IV of Part III of First Schedule]</w:t>
      </w:r>
    </w:p>
    <w:p w:rsidR="00BF2117" w:rsidRPr="00FB227F" w:rsidRDefault="00BF2117" w:rsidP="00AA4BF8">
      <w:pPr>
        <w:keepNext/>
        <w:rPr>
          <w:rFonts w:cs="Arial"/>
          <w:i/>
          <w:iCs/>
          <w:sz w:val="16"/>
          <w:szCs w:val="16"/>
        </w:rPr>
      </w:pPr>
    </w:p>
    <w:p w:rsidR="00BF2117" w:rsidRPr="00FB227F" w:rsidRDefault="00BF2117" w:rsidP="00AA4BF8">
      <w:pPr>
        <w:pStyle w:val="Heading2"/>
        <w:spacing w:line="240" w:lineRule="auto"/>
        <w:rPr>
          <w:rFonts w:cs="Arial"/>
          <w:sz w:val="16"/>
          <w:szCs w:val="16"/>
        </w:rPr>
      </w:pPr>
      <w:r w:rsidRPr="00FB227F">
        <w:rPr>
          <w:rFonts w:cs="Arial"/>
          <w:sz w:val="16"/>
          <w:szCs w:val="16"/>
        </w:rPr>
        <w:t>PART I</w:t>
      </w:r>
    </w:p>
    <w:p w:rsidR="00BF2117" w:rsidRPr="00FB227F" w:rsidRDefault="00BF2117" w:rsidP="00AA4BF8">
      <w:pPr>
        <w:keepNext/>
        <w:jc w:val="center"/>
        <w:rPr>
          <w:rFonts w:cs="Arial"/>
          <w:i/>
          <w:iCs/>
          <w:sz w:val="16"/>
          <w:szCs w:val="16"/>
        </w:rPr>
      </w:pPr>
      <w:r w:rsidRPr="00FB227F">
        <w:rPr>
          <w:rFonts w:cs="Arial"/>
          <w:i/>
          <w:iCs/>
          <w:sz w:val="16"/>
          <w:szCs w:val="16"/>
        </w:rPr>
        <w:t>[Specified goods manufactured in Pakistan]</w:t>
      </w:r>
    </w:p>
    <w:tbl>
      <w:tblPr>
        <w:tblW w:w="7527" w:type="dxa"/>
        <w:tblInd w:w="2" w:type="dxa"/>
        <w:tblBorders>
          <w:top w:val="single" w:sz="12" w:space="0" w:color="008000"/>
          <w:bottom w:val="single" w:sz="12" w:space="0" w:color="008000"/>
        </w:tblBorders>
        <w:tblLook w:val="00A0"/>
      </w:tblPr>
      <w:tblGrid>
        <w:gridCol w:w="810"/>
        <w:gridCol w:w="5700"/>
        <w:gridCol w:w="1017"/>
      </w:tblGrid>
      <w:tr w:rsidR="00BF2117" w:rsidRPr="00FB227F">
        <w:tc>
          <w:tcPr>
            <w:tcW w:w="810" w:type="dxa"/>
            <w:tcBorders>
              <w:top w:val="single" w:sz="12" w:space="0" w:color="008000"/>
              <w:left w:val="nil"/>
              <w:bottom w:val="single" w:sz="6" w:space="0" w:color="008000"/>
              <w:right w:val="nil"/>
            </w:tcBorders>
          </w:tcPr>
          <w:p w:rsidR="00BF2117" w:rsidRPr="00FB227F" w:rsidRDefault="00BF2117" w:rsidP="000503AB">
            <w:pPr>
              <w:pStyle w:val="Header"/>
              <w:tabs>
                <w:tab w:val="left" w:pos="547"/>
              </w:tabs>
              <w:jc w:val="center"/>
              <w:rPr>
                <w:rFonts w:cs="Arial"/>
                <w:sz w:val="16"/>
                <w:szCs w:val="16"/>
              </w:rPr>
            </w:pPr>
            <w:r w:rsidRPr="00FB227F">
              <w:rPr>
                <w:rFonts w:cs="Arial"/>
                <w:sz w:val="16"/>
                <w:szCs w:val="16"/>
              </w:rPr>
              <w:t>S. No.</w:t>
            </w:r>
          </w:p>
          <w:p w:rsidR="00BF2117" w:rsidRPr="00FB227F" w:rsidRDefault="00BF2117" w:rsidP="000503AB">
            <w:pPr>
              <w:pStyle w:val="Header"/>
              <w:tabs>
                <w:tab w:val="left" w:pos="547"/>
              </w:tabs>
              <w:jc w:val="center"/>
              <w:rPr>
                <w:rFonts w:cs="Arial"/>
                <w:sz w:val="16"/>
                <w:szCs w:val="16"/>
              </w:rPr>
            </w:pPr>
            <w:r w:rsidRPr="00FB227F">
              <w:rPr>
                <w:rFonts w:cs="Arial"/>
                <w:sz w:val="16"/>
                <w:szCs w:val="16"/>
              </w:rPr>
              <w:t>(1)</w:t>
            </w:r>
          </w:p>
        </w:tc>
        <w:tc>
          <w:tcPr>
            <w:tcW w:w="0" w:type="auto"/>
            <w:tcBorders>
              <w:top w:val="single" w:sz="12" w:space="0" w:color="008000"/>
              <w:left w:val="nil"/>
              <w:bottom w:val="single" w:sz="6" w:space="0" w:color="008000"/>
              <w:right w:val="nil"/>
            </w:tcBorders>
          </w:tcPr>
          <w:p w:rsidR="00BF2117" w:rsidRPr="00FB227F" w:rsidRDefault="00BF2117" w:rsidP="000503AB">
            <w:pPr>
              <w:pStyle w:val="H"/>
              <w:widowControl/>
              <w:spacing w:before="0" w:after="0"/>
              <w:rPr>
                <w:rFonts w:ascii="Arial" w:hAnsi="Arial" w:cs="Arial"/>
                <w:sz w:val="16"/>
                <w:szCs w:val="16"/>
                <w:lang w:val="en-AU"/>
              </w:rPr>
            </w:pPr>
            <w:r w:rsidRPr="00FB227F">
              <w:rPr>
                <w:rFonts w:ascii="Arial" w:hAnsi="Arial" w:cs="Arial"/>
                <w:sz w:val="16"/>
                <w:szCs w:val="16"/>
                <w:lang w:val="en-AU"/>
              </w:rPr>
              <w:t>Description</w:t>
            </w:r>
          </w:p>
          <w:p w:rsidR="00BF2117" w:rsidRPr="00FB227F" w:rsidRDefault="00BF2117" w:rsidP="000503AB">
            <w:pPr>
              <w:pStyle w:val="H"/>
              <w:widowControl/>
              <w:spacing w:before="0" w:after="0"/>
              <w:rPr>
                <w:rFonts w:ascii="Arial" w:hAnsi="Arial" w:cs="Arial"/>
                <w:sz w:val="16"/>
                <w:szCs w:val="16"/>
                <w:lang w:val="en-AU"/>
              </w:rPr>
            </w:pPr>
            <w:r w:rsidRPr="00FB227F">
              <w:rPr>
                <w:rFonts w:ascii="Arial" w:hAnsi="Arial" w:cs="Arial"/>
                <w:sz w:val="16"/>
                <w:szCs w:val="16"/>
                <w:lang w:val="en-AU"/>
              </w:rPr>
              <w:t>(2)</w:t>
            </w:r>
          </w:p>
        </w:tc>
        <w:tc>
          <w:tcPr>
            <w:tcW w:w="0" w:type="auto"/>
            <w:tcBorders>
              <w:top w:val="single" w:sz="12" w:space="0" w:color="008000"/>
              <w:left w:val="nil"/>
              <w:bottom w:val="single" w:sz="6" w:space="0" w:color="008000"/>
              <w:right w:val="nil"/>
            </w:tcBorders>
          </w:tcPr>
          <w:p w:rsidR="00BF2117" w:rsidRPr="00FB227F" w:rsidRDefault="00BF2117" w:rsidP="000503AB">
            <w:pPr>
              <w:pStyle w:val="H"/>
              <w:widowControl/>
              <w:spacing w:before="0" w:after="0"/>
              <w:rPr>
                <w:rFonts w:ascii="Arial" w:hAnsi="Arial" w:cs="Arial"/>
                <w:sz w:val="16"/>
                <w:szCs w:val="16"/>
                <w:lang w:val="en-AU"/>
              </w:rPr>
            </w:pPr>
            <w:r w:rsidRPr="00FB227F">
              <w:rPr>
                <w:rFonts w:ascii="Arial" w:hAnsi="Arial" w:cs="Arial"/>
                <w:sz w:val="16"/>
                <w:szCs w:val="16"/>
                <w:lang w:val="en-AU"/>
              </w:rPr>
              <w:t>Description</w:t>
            </w:r>
          </w:p>
          <w:p w:rsidR="00BF2117" w:rsidRPr="00FB227F" w:rsidRDefault="00BF2117" w:rsidP="000503AB">
            <w:pPr>
              <w:pStyle w:val="H"/>
              <w:widowControl/>
              <w:spacing w:before="0" w:after="0"/>
              <w:rPr>
                <w:rFonts w:ascii="Arial" w:hAnsi="Arial" w:cs="Arial"/>
                <w:sz w:val="16"/>
                <w:szCs w:val="16"/>
                <w:lang w:val="en-AU"/>
              </w:rPr>
            </w:pPr>
            <w:r w:rsidRPr="00FB227F">
              <w:rPr>
                <w:rFonts w:ascii="Arial" w:hAnsi="Arial" w:cs="Arial"/>
                <w:sz w:val="16"/>
                <w:szCs w:val="16"/>
                <w:lang w:val="en-AU"/>
              </w:rPr>
              <w:t>(3)</w:t>
            </w: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Fonts w:cs="Arial"/>
                <w:sz w:val="16"/>
                <w:szCs w:val="16"/>
              </w:rPr>
              <w:t>1.</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Style w:val="FootnoteReference"/>
                <w:rFonts w:cs="Arial"/>
                <w:sz w:val="16"/>
                <w:szCs w:val="16"/>
              </w:rPr>
              <w:t>A</w:t>
            </w:r>
            <w:r w:rsidRPr="00FB227F">
              <w:rPr>
                <w:rFonts w:cs="Arial"/>
                <w:sz w:val="16"/>
                <w:szCs w:val="16"/>
              </w:rPr>
              <w:t xml:space="preserve">[  ] </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Fonts w:cs="Arial"/>
                <w:sz w:val="16"/>
                <w:szCs w:val="16"/>
              </w:rPr>
              <w:t>2.</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Fonts w:cs="Arial"/>
                <w:sz w:val="16"/>
                <w:szCs w:val="16"/>
              </w:rPr>
              <w:t>Engineering goods, including electrical goods</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Fonts w:cs="Arial"/>
                <w:sz w:val="16"/>
                <w:szCs w:val="16"/>
              </w:rPr>
              <w:t>3.</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Style w:val="FootnoteReference"/>
                <w:rFonts w:cs="Arial"/>
                <w:sz w:val="16"/>
                <w:szCs w:val="16"/>
              </w:rPr>
              <w:t>B</w:t>
            </w:r>
            <w:r w:rsidRPr="00FB227F">
              <w:rPr>
                <w:rFonts w:cs="Arial"/>
                <w:sz w:val="16"/>
                <w:szCs w:val="16"/>
              </w:rPr>
              <w:t>[  ]</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Fonts w:cs="Arial"/>
                <w:sz w:val="16"/>
                <w:szCs w:val="16"/>
              </w:rPr>
              <w:t>4.</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Fonts w:cs="Arial"/>
                <w:sz w:val="16"/>
                <w:szCs w:val="16"/>
              </w:rPr>
              <w:t xml:space="preserve">Jewellery, pharmaceuticals, </w:t>
            </w:r>
            <w:r w:rsidRPr="00FB227F">
              <w:rPr>
                <w:rStyle w:val="FootnoteReference"/>
                <w:rFonts w:cs="Arial"/>
                <w:sz w:val="16"/>
                <w:szCs w:val="16"/>
              </w:rPr>
              <w:t>C</w:t>
            </w:r>
            <w:r w:rsidRPr="00FB227F">
              <w:rPr>
                <w:rFonts w:cs="Arial"/>
                <w:sz w:val="16"/>
                <w:szCs w:val="16"/>
              </w:rPr>
              <w:t>[  ], durries, horticultural products</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Fonts w:cs="Arial"/>
                <w:sz w:val="16"/>
                <w:szCs w:val="16"/>
              </w:rPr>
              <w:t>5.</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Fonts w:cs="Arial"/>
                <w:sz w:val="16"/>
                <w:szCs w:val="16"/>
              </w:rPr>
              <w:t xml:space="preserve">Ceramic </w:t>
            </w:r>
            <w:r w:rsidRPr="00FB227F">
              <w:rPr>
                <w:rStyle w:val="FootnoteReference"/>
                <w:rFonts w:cs="Arial"/>
                <w:sz w:val="16"/>
                <w:szCs w:val="16"/>
              </w:rPr>
              <w:t>D</w:t>
            </w:r>
            <w:r w:rsidRPr="00FB227F">
              <w:rPr>
                <w:rFonts w:cs="Arial"/>
                <w:sz w:val="16"/>
                <w:szCs w:val="16"/>
              </w:rPr>
              <w:t>[tiles] and wares</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Fonts w:cs="Arial"/>
                <w:sz w:val="16"/>
                <w:szCs w:val="16"/>
              </w:rPr>
              <w:t>6.</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Fonts w:cs="Arial"/>
                <w:sz w:val="16"/>
                <w:szCs w:val="16"/>
              </w:rPr>
              <w:t>Cutlery</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Fonts w:cs="Arial"/>
                <w:sz w:val="16"/>
                <w:szCs w:val="16"/>
              </w:rPr>
              <w:t>7.</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Fonts w:cs="Arial"/>
                <w:sz w:val="16"/>
                <w:szCs w:val="16"/>
              </w:rPr>
              <w:t>Engineering goods manufactured in Pakistan as specified in the Engineering Goods (Control) Order, 1983</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Fonts w:cs="Arial"/>
                <w:sz w:val="16"/>
                <w:szCs w:val="16"/>
              </w:rPr>
              <w:t>8.</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Fonts w:cs="Arial"/>
                <w:sz w:val="16"/>
                <w:szCs w:val="16"/>
              </w:rPr>
              <w:t>Wooden furniture and wooden doors and windows</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Fonts w:cs="Arial"/>
                <w:sz w:val="16"/>
                <w:szCs w:val="16"/>
              </w:rPr>
              <w:t>9.</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Fonts w:cs="Arial"/>
                <w:sz w:val="16"/>
                <w:szCs w:val="16"/>
              </w:rPr>
              <w:t xml:space="preserve">Goods specified under Chapters, Heading and Sub-Heading Nos. of the Pakistan Custom Tariff </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nil"/>
              <w:right w:val="nil"/>
            </w:tcBorders>
          </w:tcPr>
          <w:p w:rsidR="00BF2117" w:rsidRPr="00FB227F" w:rsidRDefault="00BF2117" w:rsidP="000503AB">
            <w:pPr>
              <w:jc w:val="center"/>
              <w:rPr>
                <w:rFonts w:cs="Arial"/>
                <w:sz w:val="16"/>
                <w:szCs w:val="16"/>
              </w:rPr>
            </w:pPr>
            <w:r w:rsidRPr="00FB227F">
              <w:rPr>
                <w:rStyle w:val="FootnoteReference"/>
                <w:rFonts w:cs="Arial"/>
                <w:sz w:val="16"/>
                <w:szCs w:val="16"/>
              </w:rPr>
              <w:t>E</w:t>
            </w:r>
            <w:r w:rsidRPr="00FB227F">
              <w:rPr>
                <w:rFonts w:cs="Arial"/>
                <w:sz w:val="16"/>
                <w:szCs w:val="16"/>
              </w:rPr>
              <w:t>[  ]</w:t>
            </w:r>
          </w:p>
        </w:tc>
        <w:tc>
          <w:tcPr>
            <w:tcW w:w="0" w:type="auto"/>
            <w:tcBorders>
              <w:top w:val="nil"/>
              <w:left w:val="nil"/>
              <w:bottom w:val="nil"/>
              <w:right w:val="nil"/>
            </w:tcBorders>
          </w:tcPr>
          <w:p w:rsidR="00BF2117" w:rsidRPr="00FB227F" w:rsidRDefault="00BF2117" w:rsidP="000503AB">
            <w:pPr>
              <w:pStyle w:val="H"/>
              <w:widowControl/>
              <w:spacing w:before="0" w:after="0"/>
              <w:jc w:val="left"/>
              <w:rPr>
                <w:rFonts w:ascii="Arial" w:hAnsi="Arial" w:cs="Arial"/>
                <w:sz w:val="16"/>
                <w:szCs w:val="16"/>
                <w:lang w:val="en-AU"/>
              </w:rPr>
            </w:pPr>
          </w:p>
        </w:tc>
        <w:tc>
          <w:tcPr>
            <w:tcW w:w="0" w:type="auto"/>
            <w:tcBorders>
              <w:top w:val="nil"/>
              <w:left w:val="nil"/>
              <w:bottom w:val="nil"/>
              <w:right w:val="nil"/>
            </w:tcBorders>
          </w:tcPr>
          <w:p w:rsidR="00BF2117" w:rsidRPr="00FB227F" w:rsidRDefault="00BF2117" w:rsidP="000503AB">
            <w:pPr>
              <w:jc w:val="both"/>
              <w:rPr>
                <w:rFonts w:cs="Arial"/>
                <w:b/>
                <w:bCs/>
                <w:sz w:val="16"/>
                <w:szCs w:val="16"/>
              </w:rPr>
            </w:pPr>
          </w:p>
        </w:tc>
      </w:tr>
      <w:tr w:rsidR="00BF2117" w:rsidRPr="00FB227F">
        <w:tc>
          <w:tcPr>
            <w:tcW w:w="810" w:type="dxa"/>
            <w:tcBorders>
              <w:top w:val="nil"/>
              <w:left w:val="nil"/>
              <w:bottom w:val="nil"/>
              <w:right w:val="nil"/>
            </w:tcBorders>
          </w:tcPr>
          <w:p w:rsidR="00BF2117" w:rsidRPr="00FB227F" w:rsidRDefault="00BF2117" w:rsidP="00A03276">
            <w:pPr>
              <w:jc w:val="center"/>
              <w:rPr>
                <w:rFonts w:cs="Arial"/>
                <w:sz w:val="16"/>
                <w:szCs w:val="16"/>
              </w:rPr>
            </w:pPr>
            <w:r w:rsidRPr="00FB227F">
              <w:rPr>
                <w:rFonts w:cs="Arial"/>
                <w:sz w:val="16"/>
                <w:szCs w:val="16"/>
              </w:rPr>
              <w:t>10.</w:t>
            </w:r>
          </w:p>
        </w:tc>
        <w:tc>
          <w:tcPr>
            <w:tcW w:w="0" w:type="auto"/>
            <w:tcBorders>
              <w:top w:val="nil"/>
              <w:left w:val="nil"/>
              <w:bottom w:val="nil"/>
              <w:right w:val="nil"/>
            </w:tcBorders>
          </w:tcPr>
          <w:p w:rsidR="00BF2117" w:rsidRPr="00FB227F" w:rsidRDefault="00BF2117" w:rsidP="000503AB">
            <w:pPr>
              <w:jc w:val="both"/>
              <w:rPr>
                <w:rFonts w:cs="Arial"/>
                <w:sz w:val="16"/>
                <w:szCs w:val="16"/>
              </w:rPr>
            </w:pPr>
            <w:r w:rsidRPr="00FB227F">
              <w:rPr>
                <w:rFonts w:cs="Arial"/>
                <w:sz w:val="16"/>
                <w:szCs w:val="16"/>
              </w:rPr>
              <w:t xml:space="preserve">Vegetables, fresh fruit and cut flowers  </w:t>
            </w:r>
          </w:p>
        </w:tc>
        <w:tc>
          <w:tcPr>
            <w:tcW w:w="0" w:type="auto"/>
            <w:tcBorders>
              <w:top w:val="nil"/>
              <w:left w:val="nil"/>
              <w:bottom w:val="nil"/>
              <w:right w:val="nil"/>
            </w:tcBorders>
          </w:tcPr>
          <w:p w:rsidR="00BF2117" w:rsidRPr="00FB227F" w:rsidRDefault="00BF2117" w:rsidP="000503AB">
            <w:pPr>
              <w:rPr>
                <w:rFonts w:cs="Arial"/>
                <w:sz w:val="16"/>
                <w:szCs w:val="16"/>
              </w:rPr>
            </w:pPr>
          </w:p>
        </w:tc>
      </w:tr>
      <w:tr w:rsidR="00BF2117" w:rsidRPr="00FB227F">
        <w:tc>
          <w:tcPr>
            <w:tcW w:w="810" w:type="dxa"/>
            <w:tcBorders>
              <w:top w:val="nil"/>
              <w:left w:val="nil"/>
              <w:bottom w:val="single" w:sz="12" w:space="0" w:color="008000"/>
              <w:right w:val="nil"/>
            </w:tcBorders>
          </w:tcPr>
          <w:p w:rsidR="00BF2117" w:rsidRPr="00FB227F" w:rsidRDefault="00BF2117" w:rsidP="00A03276">
            <w:pPr>
              <w:jc w:val="center"/>
              <w:rPr>
                <w:rFonts w:cs="Arial"/>
                <w:sz w:val="16"/>
                <w:szCs w:val="16"/>
              </w:rPr>
            </w:pPr>
            <w:r w:rsidRPr="00FB227F">
              <w:rPr>
                <w:rStyle w:val="FootnoteReference"/>
                <w:rFonts w:cs="Arial"/>
                <w:sz w:val="16"/>
                <w:szCs w:val="16"/>
              </w:rPr>
              <w:t>F</w:t>
            </w:r>
            <w:r w:rsidRPr="00FB227F">
              <w:rPr>
                <w:rFonts w:cs="Arial"/>
                <w:sz w:val="16"/>
                <w:szCs w:val="16"/>
              </w:rPr>
              <w:t>[11.</w:t>
            </w:r>
          </w:p>
        </w:tc>
        <w:tc>
          <w:tcPr>
            <w:tcW w:w="0" w:type="auto"/>
            <w:tcBorders>
              <w:top w:val="nil"/>
              <w:left w:val="nil"/>
              <w:bottom w:val="single" w:sz="12" w:space="0" w:color="008000"/>
              <w:right w:val="nil"/>
            </w:tcBorders>
          </w:tcPr>
          <w:p w:rsidR="00BF2117" w:rsidRPr="00FB227F" w:rsidRDefault="00BF2117" w:rsidP="000503AB">
            <w:pPr>
              <w:jc w:val="both"/>
              <w:rPr>
                <w:rFonts w:cs="Arial"/>
                <w:sz w:val="16"/>
                <w:szCs w:val="16"/>
              </w:rPr>
            </w:pPr>
            <w:r w:rsidRPr="00FB227F">
              <w:rPr>
                <w:rFonts w:cs="Arial"/>
                <w:sz w:val="16"/>
                <w:szCs w:val="16"/>
              </w:rPr>
              <w:t>Processed poultry meat]</w:t>
            </w:r>
          </w:p>
        </w:tc>
        <w:tc>
          <w:tcPr>
            <w:tcW w:w="0" w:type="auto"/>
            <w:tcBorders>
              <w:top w:val="nil"/>
              <w:left w:val="nil"/>
              <w:bottom w:val="single" w:sz="12" w:space="0" w:color="008000"/>
              <w:right w:val="nil"/>
            </w:tcBorders>
          </w:tcPr>
          <w:p w:rsidR="00BF2117" w:rsidRPr="00FB227F" w:rsidRDefault="00BF2117" w:rsidP="000503AB">
            <w:pPr>
              <w:rPr>
                <w:rFonts w:cs="Arial"/>
                <w:sz w:val="16"/>
                <w:szCs w:val="16"/>
              </w:rPr>
            </w:pPr>
          </w:p>
        </w:tc>
      </w:tr>
    </w:tbl>
    <w:p w:rsidR="00BF2117" w:rsidRPr="00FB227F" w:rsidRDefault="00BF2117" w:rsidP="00AA4BF8">
      <w:pPr>
        <w:jc w:val="both"/>
        <w:rPr>
          <w:rFonts w:cs="Arial"/>
          <w:sz w:val="16"/>
          <w:szCs w:val="16"/>
        </w:rPr>
      </w:pPr>
      <w:r w:rsidRPr="00FB227F">
        <w:rPr>
          <w:rFonts w:cs="Arial"/>
          <w:b/>
          <w:bCs/>
          <w:sz w:val="16"/>
          <w:szCs w:val="16"/>
          <w:vertAlign w:val="superscript"/>
        </w:rPr>
        <w:t>A</w:t>
      </w:r>
      <w:r w:rsidRPr="00FB227F">
        <w:rPr>
          <w:rFonts w:cs="Arial"/>
          <w:sz w:val="16"/>
          <w:szCs w:val="16"/>
        </w:rPr>
        <w:t>Earlier the words “Leather and textile made ups” omitted by the Finance Act, 2005.</w:t>
      </w:r>
    </w:p>
    <w:p w:rsidR="00BF2117" w:rsidRPr="00FB227F" w:rsidRDefault="00BF2117" w:rsidP="00AA4BF8">
      <w:pPr>
        <w:jc w:val="both"/>
        <w:rPr>
          <w:rFonts w:cs="Arial"/>
          <w:sz w:val="16"/>
          <w:szCs w:val="16"/>
        </w:rPr>
      </w:pPr>
      <w:r w:rsidRPr="00FB227F">
        <w:rPr>
          <w:rFonts w:cs="Arial"/>
          <w:sz w:val="16"/>
          <w:szCs w:val="16"/>
          <w:vertAlign w:val="superscript"/>
        </w:rPr>
        <w:t>B</w:t>
      </w:r>
      <w:r w:rsidRPr="00FB227F">
        <w:rPr>
          <w:rFonts w:cs="Arial"/>
          <w:sz w:val="16"/>
          <w:szCs w:val="16"/>
        </w:rPr>
        <w:t xml:space="preserve"> Earlier the words , figures, brackets and comma “Goods specified under heading </w:t>
      </w:r>
    </w:p>
    <w:p w:rsidR="00BF2117" w:rsidRPr="00FB227F" w:rsidRDefault="00BF2117" w:rsidP="00AA4BF8">
      <w:pPr>
        <w:jc w:val="both"/>
        <w:rPr>
          <w:rFonts w:cs="Arial"/>
          <w:sz w:val="16"/>
          <w:szCs w:val="16"/>
        </w:rPr>
      </w:pPr>
      <w:r w:rsidRPr="00FB227F">
        <w:rPr>
          <w:rFonts w:cs="Arial"/>
          <w:sz w:val="16"/>
          <w:szCs w:val="16"/>
        </w:rPr>
        <w:t xml:space="preserve">   No.90.18of the Fifth Schedule to the Customs Act, 1969 (IV of 1969) omitted by the </w:t>
      </w:r>
    </w:p>
    <w:p w:rsidR="00BF2117" w:rsidRPr="00FB227F" w:rsidRDefault="00BF2117" w:rsidP="00AA4BF8">
      <w:pPr>
        <w:jc w:val="both"/>
        <w:rPr>
          <w:rFonts w:cs="Arial"/>
          <w:sz w:val="16"/>
          <w:szCs w:val="16"/>
        </w:rPr>
      </w:pPr>
      <w:r w:rsidRPr="00FB227F">
        <w:rPr>
          <w:rFonts w:cs="Arial"/>
          <w:sz w:val="16"/>
          <w:szCs w:val="16"/>
        </w:rPr>
        <w:t xml:space="preserve">   Finance Act, 2005.</w:t>
      </w:r>
    </w:p>
    <w:p w:rsidR="00BF2117" w:rsidRPr="00FB227F" w:rsidRDefault="00BF2117" w:rsidP="00AA4BF8">
      <w:pPr>
        <w:jc w:val="both"/>
        <w:rPr>
          <w:rFonts w:cs="Arial"/>
          <w:sz w:val="16"/>
          <w:szCs w:val="16"/>
        </w:rPr>
      </w:pPr>
      <w:r w:rsidRPr="00FB227F">
        <w:rPr>
          <w:rFonts w:cs="Arial"/>
          <w:sz w:val="16"/>
          <w:szCs w:val="16"/>
          <w:vertAlign w:val="superscript"/>
        </w:rPr>
        <w:t xml:space="preserve">C </w:t>
      </w:r>
      <w:r w:rsidRPr="00FB227F">
        <w:rPr>
          <w:rFonts w:cs="Arial"/>
          <w:sz w:val="16"/>
          <w:szCs w:val="16"/>
        </w:rPr>
        <w:t xml:space="preserve">Earlier the words “Sports goods, toilet linen including terry towels” omitted by the </w:t>
      </w:r>
    </w:p>
    <w:p w:rsidR="00BF2117" w:rsidRPr="00FB227F" w:rsidRDefault="00BF2117" w:rsidP="00AA4BF8">
      <w:pPr>
        <w:jc w:val="both"/>
        <w:rPr>
          <w:rFonts w:cs="Arial"/>
          <w:sz w:val="16"/>
          <w:szCs w:val="16"/>
        </w:rPr>
      </w:pPr>
      <w:r w:rsidRPr="00FB227F">
        <w:rPr>
          <w:rFonts w:cs="Arial"/>
          <w:sz w:val="16"/>
          <w:szCs w:val="16"/>
        </w:rPr>
        <w:t xml:space="preserve">   Finance Act, 2005.</w:t>
      </w:r>
    </w:p>
    <w:p w:rsidR="00BF2117" w:rsidRPr="00FB227F" w:rsidRDefault="00BF2117" w:rsidP="00AA4BF8">
      <w:pPr>
        <w:jc w:val="both"/>
        <w:rPr>
          <w:rFonts w:cs="Arial"/>
          <w:sz w:val="16"/>
          <w:szCs w:val="16"/>
        </w:rPr>
      </w:pPr>
      <w:r w:rsidRPr="00FB227F">
        <w:rPr>
          <w:rFonts w:cs="Arial"/>
          <w:sz w:val="16"/>
          <w:szCs w:val="16"/>
          <w:vertAlign w:val="superscript"/>
        </w:rPr>
        <w:t xml:space="preserve">D </w:t>
      </w:r>
      <w:r w:rsidRPr="00FB227F">
        <w:rPr>
          <w:rFonts w:cs="Arial"/>
          <w:sz w:val="16"/>
          <w:szCs w:val="16"/>
        </w:rPr>
        <w:t>Earlier substituted the word “tiples” by the Finance Act, 2003.</w:t>
      </w:r>
    </w:p>
    <w:p w:rsidR="00BF2117" w:rsidRPr="00FB227F" w:rsidRDefault="00BF2117" w:rsidP="00AA4BF8">
      <w:pPr>
        <w:jc w:val="both"/>
        <w:rPr>
          <w:rFonts w:cs="Arial"/>
          <w:sz w:val="16"/>
          <w:szCs w:val="16"/>
        </w:rPr>
      </w:pPr>
      <w:r w:rsidRPr="00FB227F">
        <w:rPr>
          <w:rFonts w:cs="Arial"/>
          <w:sz w:val="16"/>
          <w:szCs w:val="16"/>
          <w:vertAlign w:val="superscript"/>
        </w:rPr>
        <w:t>E</w:t>
      </w:r>
      <w:r w:rsidRPr="00FB227F">
        <w:rPr>
          <w:rFonts w:cs="Arial"/>
          <w:sz w:val="16"/>
          <w:szCs w:val="16"/>
        </w:rPr>
        <w:t xml:space="preserve"> Earlier omitted by the Finance Act, 2005.</w:t>
      </w:r>
    </w:p>
    <w:p w:rsidR="00BF2117" w:rsidRPr="00FB227F" w:rsidRDefault="00BF2117" w:rsidP="00AA4BF8">
      <w:pPr>
        <w:jc w:val="both"/>
        <w:rPr>
          <w:rFonts w:cs="Arial"/>
          <w:sz w:val="16"/>
          <w:szCs w:val="16"/>
        </w:rPr>
      </w:pPr>
      <w:r w:rsidRPr="00FB227F">
        <w:rPr>
          <w:rFonts w:cs="Arial"/>
          <w:sz w:val="16"/>
          <w:szCs w:val="16"/>
          <w:vertAlign w:val="superscript"/>
        </w:rPr>
        <w:t xml:space="preserve">F </w:t>
      </w:r>
      <w:r w:rsidRPr="00FB227F">
        <w:rPr>
          <w:rFonts w:cs="Arial"/>
          <w:sz w:val="16"/>
          <w:szCs w:val="16"/>
        </w:rPr>
        <w:t>Earlier added by the Finance Act, 2002.</w:t>
      </w:r>
    </w:p>
    <w:p w:rsidR="00BF2117" w:rsidRPr="00FB227F" w:rsidRDefault="00BF2117" w:rsidP="00AA4BF8">
      <w:pPr>
        <w:keepNext/>
        <w:jc w:val="center"/>
        <w:rPr>
          <w:rFonts w:cs="Arial"/>
          <w:b/>
          <w:bCs/>
          <w:sz w:val="16"/>
          <w:szCs w:val="16"/>
        </w:rPr>
      </w:pPr>
      <w:r w:rsidRPr="00FB227F">
        <w:rPr>
          <w:rFonts w:cs="Arial"/>
          <w:sz w:val="16"/>
          <w:szCs w:val="16"/>
        </w:rPr>
        <w:softHyphen/>
      </w:r>
      <w:r w:rsidRPr="00FB227F">
        <w:rPr>
          <w:rFonts w:cs="Arial"/>
          <w:sz w:val="16"/>
          <w:szCs w:val="16"/>
        </w:rPr>
        <w:softHyphen/>
      </w:r>
      <w:r w:rsidRPr="00FB227F">
        <w:rPr>
          <w:rFonts w:cs="Arial"/>
          <w:b/>
          <w:bCs/>
          <w:sz w:val="16"/>
          <w:szCs w:val="16"/>
        </w:rPr>
        <w:t xml:space="preserve"> PART II</w:t>
      </w:r>
    </w:p>
    <w:p w:rsidR="00BF2117" w:rsidRPr="00FB227F" w:rsidRDefault="00BF2117" w:rsidP="00AA4BF8">
      <w:pPr>
        <w:keepNext/>
        <w:jc w:val="center"/>
        <w:rPr>
          <w:rFonts w:cs="Arial"/>
          <w:i/>
          <w:iCs/>
          <w:sz w:val="16"/>
          <w:szCs w:val="16"/>
        </w:rPr>
      </w:pPr>
      <w:r w:rsidRPr="00FB227F">
        <w:rPr>
          <w:rFonts w:cs="Arial"/>
          <w:i/>
          <w:iCs/>
          <w:sz w:val="16"/>
          <w:szCs w:val="16"/>
        </w:rPr>
        <w:t>[Goods manufactured in Pakistan]</w:t>
      </w:r>
    </w:p>
    <w:tbl>
      <w:tblPr>
        <w:tblW w:w="7413" w:type="dxa"/>
        <w:tblInd w:w="2" w:type="dxa"/>
        <w:tblBorders>
          <w:top w:val="single" w:sz="12" w:space="0" w:color="008000"/>
          <w:bottom w:val="single" w:sz="12" w:space="0" w:color="008000"/>
        </w:tblBorders>
        <w:tblLook w:val="00A0"/>
      </w:tblPr>
      <w:tblGrid>
        <w:gridCol w:w="630"/>
        <w:gridCol w:w="4500"/>
        <w:gridCol w:w="2283"/>
      </w:tblGrid>
      <w:tr w:rsidR="00BF2117" w:rsidRPr="00FB227F">
        <w:tc>
          <w:tcPr>
            <w:tcW w:w="630" w:type="dxa"/>
            <w:tcBorders>
              <w:top w:val="single" w:sz="12" w:space="0" w:color="008000"/>
              <w:left w:val="nil"/>
              <w:bottom w:val="single" w:sz="6" w:space="0" w:color="008000"/>
              <w:right w:val="nil"/>
            </w:tcBorders>
          </w:tcPr>
          <w:p w:rsidR="00BF2117" w:rsidRPr="00FB227F" w:rsidRDefault="00BF2117" w:rsidP="000B5D11">
            <w:pPr>
              <w:pStyle w:val="H"/>
              <w:widowControl/>
              <w:spacing w:before="0" w:after="0"/>
              <w:rPr>
                <w:rFonts w:ascii="Arial" w:hAnsi="Arial" w:cs="Arial"/>
                <w:sz w:val="16"/>
                <w:szCs w:val="16"/>
                <w:lang w:val="en-AU"/>
              </w:rPr>
            </w:pPr>
            <w:r w:rsidRPr="00FB227F">
              <w:rPr>
                <w:rFonts w:ascii="Arial" w:hAnsi="Arial" w:cs="Arial"/>
                <w:sz w:val="16"/>
                <w:szCs w:val="16"/>
                <w:lang w:val="en-AU"/>
              </w:rPr>
              <w:t>S. No.</w:t>
            </w:r>
          </w:p>
        </w:tc>
        <w:tc>
          <w:tcPr>
            <w:tcW w:w="4500" w:type="dxa"/>
            <w:tcBorders>
              <w:top w:val="single" w:sz="12" w:space="0" w:color="008000"/>
              <w:left w:val="nil"/>
              <w:bottom w:val="single" w:sz="6" w:space="0" w:color="008000"/>
              <w:right w:val="nil"/>
            </w:tcBorders>
          </w:tcPr>
          <w:p w:rsidR="00BF2117" w:rsidRPr="00FB227F" w:rsidRDefault="00BF2117" w:rsidP="000B5D11">
            <w:pPr>
              <w:pStyle w:val="H"/>
              <w:widowControl/>
              <w:spacing w:before="0" w:after="0"/>
              <w:jc w:val="left"/>
              <w:rPr>
                <w:rFonts w:ascii="Arial" w:hAnsi="Arial" w:cs="Arial"/>
                <w:sz w:val="16"/>
                <w:szCs w:val="16"/>
                <w:lang w:val="en-AU"/>
              </w:rPr>
            </w:pPr>
            <w:r w:rsidRPr="00FB227F">
              <w:rPr>
                <w:rFonts w:ascii="Arial" w:hAnsi="Arial" w:cs="Arial"/>
                <w:sz w:val="16"/>
                <w:szCs w:val="16"/>
                <w:lang w:val="en-AU"/>
              </w:rPr>
              <w:t>Description</w:t>
            </w:r>
            <w:r w:rsidRPr="00FB227F">
              <w:rPr>
                <w:rFonts w:ascii="Arial" w:hAnsi="Arial" w:cs="Arial"/>
                <w:sz w:val="16"/>
                <w:szCs w:val="16"/>
                <w:lang w:val="en-AU"/>
              </w:rPr>
              <w:tab/>
            </w:r>
            <w:r w:rsidRPr="00FB227F">
              <w:rPr>
                <w:rFonts w:ascii="Arial" w:hAnsi="Arial" w:cs="Arial"/>
                <w:sz w:val="16"/>
                <w:szCs w:val="16"/>
                <w:lang w:val="en-AU"/>
              </w:rPr>
              <w:tab/>
            </w:r>
            <w:r w:rsidRPr="00FB227F">
              <w:rPr>
                <w:rFonts w:ascii="Arial" w:hAnsi="Arial" w:cs="Arial"/>
                <w:sz w:val="16"/>
                <w:szCs w:val="16"/>
                <w:lang w:val="en-AU"/>
              </w:rPr>
              <w:tab/>
            </w:r>
            <w:r w:rsidRPr="00FB227F">
              <w:rPr>
                <w:rFonts w:ascii="Arial" w:hAnsi="Arial" w:cs="Arial"/>
                <w:sz w:val="16"/>
                <w:szCs w:val="16"/>
                <w:lang w:val="en-AU"/>
              </w:rPr>
              <w:tab/>
            </w:r>
            <w:r w:rsidRPr="00FB227F">
              <w:rPr>
                <w:rFonts w:ascii="Arial" w:hAnsi="Arial" w:cs="Arial"/>
                <w:sz w:val="16"/>
                <w:szCs w:val="16"/>
                <w:lang w:val="en-AU"/>
              </w:rPr>
              <w:tab/>
            </w:r>
            <w:r w:rsidRPr="00FB227F">
              <w:rPr>
                <w:rFonts w:ascii="Arial" w:hAnsi="Arial" w:cs="Arial"/>
                <w:sz w:val="16"/>
                <w:szCs w:val="16"/>
                <w:lang w:val="en-AU"/>
              </w:rPr>
              <w:tab/>
            </w:r>
          </w:p>
        </w:tc>
        <w:tc>
          <w:tcPr>
            <w:tcW w:w="0" w:type="auto"/>
            <w:tcBorders>
              <w:top w:val="single" w:sz="12" w:space="0" w:color="008000"/>
              <w:left w:val="nil"/>
              <w:bottom w:val="single" w:sz="6" w:space="0" w:color="008000"/>
              <w:right w:val="nil"/>
            </w:tcBorders>
          </w:tcPr>
          <w:p w:rsidR="00BF2117" w:rsidRPr="00FB227F" w:rsidRDefault="00BF2117" w:rsidP="000B5D11">
            <w:pPr>
              <w:pStyle w:val="H"/>
              <w:widowControl/>
              <w:spacing w:before="0" w:after="0"/>
              <w:rPr>
                <w:rFonts w:ascii="Arial" w:hAnsi="Arial" w:cs="Arial"/>
                <w:sz w:val="16"/>
                <w:szCs w:val="16"/>
                <w:lang w:val="en-AU"/>
              </w:rPr>
            </w:pPr>
            <w:r w:rsidRPr="00FB227F">
              <w:rPr>
                <w:rFonts w:ascii="Arial" w:hAnsi="Arial" w:cs="Arial"/>
                <w:sz w:val="16"/>
                <w:szCs w:val="16"/>
                <w:lang w:val="en-AU"/>
              </w:rPr>
              <w:t>Description</w:t>
            </w:r>
          </w:p>
        </w:tc>
      </w:tr>
      <w:tr w:rsidR="00BF2117" w:rsidRPr="00FB227F">
        <w:tc>
          <w:tcPr>
            <w:tcW w:w="630" w:type="dxa"/>
            <w:tcBorders>
              <w:top w:val="nil"/>
              <w:left w:val="nil"/>
              <w:bottom w:val="single" w:sz="6" w:space="0" w:color="008000"/>
              <w:right w:val="nil"/>
            </w:tcBorders>
          </w:tcPr>
          <w:p w:rsidR="00BF2117" w:rsidRPr="00FB227F" w:rsidRDefault="00BF2117" w:rsidP="000B5D11">
            <w:pPr>
              <w:pStyle w:val="H"/>
              <w:widowControl/>
              <w:spacing w:before="0" w:after="0"/>
              <w:rPr>
                <w:rFonts w:ascii="Arial" w:hAnsi="Arial" w:cs="Arial"/>
                <w:sz w:val="16"/>
                <w:szCs w:val="16"/>
                <w:lang w:val="en-AU"/>
              </w:rPr>
            </w:pPr>
            <w:r w:rsidRPr="00FB227F">
              <w:rPr>
                <w:rFonts w:ascii="Arial" w:hAnsi="Arial" w:cs="Arial"/>
                <w:sz w:val="16"/>
                <w:szCs w:val="16"/>
                <w:lang w:val="en-AU"/>
              </w:rPr>
              <w:t>(1)</w:t>
            </w:r>
          </w:p>
        </w:tc>
        <w:tc>
          <w:tcPr>
            <w:tcW w:w="4500" w:type="dxa"/>
            <w:tcBorders>
              <w:top w:val="nil"/>
              <w:left w:val="nil"/>
              <w:bottom w:val="single" w:sz="6" w:space="0" w:color="008000"/>
              <w:right w:val="nil"/>
            </w:tcBorders>
          </w:tcPr>
          <w:p w:rsidR="00BF2117" w:rsidRPr="00FB227F" w:rsidRDefault="00BF2117" w:rsidP="000B5D11">
            <w:pPr>
              <w:pStyle w:val="H"/>
              <w:widowControl/>
              <w:spacing w:before="0" w:after="0"/>
              <w:rPr>
                <w:rFonts w:ascii="Arial" w:hAnsi="Arial" w:cs="Arial"/>
                <w:sz w:val="16"/>
                <w:szCs w:val="16"/>
                <w:lang w:val="en-AU"/>
              </w:rPr>
            </w:pPr>
            <w:r w:rsidRPr="00FB227F">
              <w:rPr>
                <w:rFonts w:ascii="Arial" w:hAnsi="Arial" w:cs="Arial"/>
                <w:sz w:val="16"/>
                <w:szCs w:val="16"/>
                <w:lang w:val="en-AU"/>
              </w:rPr>
              <w:t>(2)</w:t>
            </w:r>
          </w:p>
        </w:tc>
        <w:tc>
          <w:tcPr>
            <w:tcW w:w="0" w:type="auto"/>
            <w:tcBorders>
              <w:top w:val="nil"/>
              <w:left w:val="nil"/>
              <w:bottom w:val="single" w:sz="6" w:space="0" w:color="008000"/>
              <w:right w:val="nil"/>
            </w:tcBorders>
          </w:tcPr>
          <w:p w:rsidR="00BF2117" w:rsidRPr="00FB227F" w:rsidRDefault="00BF2117" w:rsidP="000B5D11">
            <w:pPr>
              <w:pStyle w:val="H"/>
              <w:widowControl/>
              <w:spacing w:before="0" w:after="0"/>
              <w:rPr>
                <w:rFonts w:ascii="Arial" w:hAnsi="Arial" w:cs="Arial"/>
                <w:sz w:val="16"/>
                <w:szCs w:val="16"/>
                <w:lang w:val="en-AU"/>
              </w:rPr>
            </w:pPr>
            <w:r w:rsidRPr="00FB227F">
              <w:rPr>
                <w:rFonts w:ascii="Arial" w:hAnsi="Arial" w:cs="Arial"/>
                <w:sz w:val="16"/>
                <w:szCs w:val="16"/>
                <w:lang w:val="en-AU"/>
              </w:rPr>
              <w:t>(3)</w:t>
            </w:r>
          </w:p>
        </w:tc>
      </w:tr>
      <w:tr w:rsidR="00BF2117" w:rsidRPr="00FB227F">
        <w:tc>
          <w:tcPr>
            <w:tcW w:w="630" w:type="dxa"/>
            <w:tcBorders>
              <w:top w:val="nil"/>
              <w:left w:val="nil"/>
              <w:bottom w:val="nil"/>
              <w:right w:val="nil"/>
            </w:tcBorders>
          </w:tcPr>
          <w:p w:rsidR="00BF2117" w:rsidRPr="00FB227F" w:rsidRDefault="00BF2117" w:rsidP="000B5D11">
            <w:pPr>
              <w:jc w:val="center"/>
              <w:rPr>
                <w:rFonts w:cs="Arial"/>
                <w:sz w:val="16"/>
                <w:szCs w:val="16"/>
              </w:rPr>
            </w:pPr>
            <w:r w:rsidRPr="00FB227F">
              <w:rPr>
                <w:rFonts w:cs="Arial"/>
                <w:sz w:val="16"/>
                <w:szCs w:val="16"/>
              </w:rPr>
              <w:t>1.</w:t>
            </w:r>
          </w:p>
        </w:tc>
        <w:tc>
          <w:tcPr>
            <w:tcW w:w="450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 xml:space="preserve">Export of goods manufactured in Pakistan subject to other provisions of </w:t>
            </w:r>
            <w:r w:rsidRPr="00FB227F">
              <w:rPr>
                <w:rStyle w:val="FootnoteReference"/>
                <w:rFonts w:cs="Arial"/>
                <w:sz w:val="16"/>
                <w:szCs w:val="16"/>
              </w:rPr>
              <w:t>A</w:t>
            </w:r>
            <w:r w:rsidRPr="00FB227F">
              <w:rPr>
                <w:rFonts w:cs="Arial"/>
                <w:sz w:val="16"/>
                <w:szCs w:val="16"/>
              </w:rPr>
              <w:t>[this] Schedule</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jc w:val="center"/>
              <w:rPr>
                <w:rFonts w:cs="Arial"/>
                <w:sz w:val="16"/>
                <w:szCs w:val="16"/>
              </w:rPr>
            </w:pPr>
            <w:r w:rsidRPr="00FB227F">
              <w:rPr>
                <w:rStyle w:val="FootnoteReference"/>
                <w:rFonts w:cs="Arial"/>
                <w:sz w:val="16"/>
                <w:szCs w:val="16"/>
              </w:rPr>
              <w:t>B</w:t>
            </w:r>
            <w:r w:rsidRPr="00FB227F">
              <w:rPr>
                <w:rFonts w:cs="Arial"/>
                <w:sz w:val="16"/>
                <w:szCs w:val="16"/>
              </w:rPr>
              <w:t>[1A</w:t>
            </w:r>
          </w:p>
        </w:tc>
        <w:tc>
          <w:tcPr>
            <w:tcW w:w="4500" w:type="dxa"/>
            <w:tcBorders>
              <w:top w:val="nil"/>
              <w:left w:val="nil"/>
              <w:bottom w:val="nil"/>
              <w:right w:val="nil"/>
            </w:tcBorders>
          </w:tcPr>
          <w:p w:rsidR="00BF2117" w:rsidRPr="00FB227F" w:rsidRDefault="00BF2117" w:rsidP="000B5D11">
            <w:pPr>
              <w:tabs>
                <w:tab w:val="left" w:pos="405"/>
              </w:tabs>
              <w:jc w:val="both"/>
              <w:rPr>
                <w:rFonts w:cs="Arial"/>
                <w:sz w:val="16"/>
                <w:szCs w:val="16"/>
              </w:rPr>
            </w:pPr>
            <w:r w:rsidRPr="00FB227F">
              <w:rPr>
                <w:rFonts w:cs="Arial"/>
                <w:sz w:val="16"/>
                <w:szCs w:val="16"/>
              </w:rPr>
              <w:t>(1)</w:t>
            </w:r>
            <w:r w:rsidRPr="00FB227F">
              <w:rPr>
                <w:rFonts w:cs="Arial"/>
                <w:sz w:val="16"/>
                <w:szCs w:val="16"/>
              </w:rPr>
              <w:tab/>
              <w:t>Leather and textile made ups</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0B5D11">
            <w:pPr>
              <w:tabs>
                <w:tab w:val="left" w:pos="405"/>
              </w:tabs>
              <w:jc w:val="both"/>
              <w:rPr>
                <w:rFonts w:cs="Arial"/>
                <w:sz w:val="16"/>
                <w:szCs w:val="16"/>
              </w:rPr>
            </w:pPr>
            <w:r w:rsidRPr="00FB227F">
              <w:rPr>
                <w:rFonts w:cs="Arial"/>
                <w:sz w:val="16"/>
                <w:szCs w:val="16"/>
              </w:rPr>
              <w:t>(2)</w:t>
            </w:r>
            <w:r w:rsidRPr="00FB227F">
              <w:rPr>
                <w:rFonts w:cs="Arial"/>
                <w:sz w:val="16"/>
                <w:szCs w:val="16"/>
              </w:rPr>
              <w:tab/>
              <w:t xml:space="preserve">Goods specified under heading No.90.18 of the First </w:t>
            </w:r>
            <w:r w:rsidRPr="00FB227F">
              <w:rPr>
                <w:rFonts w:cs="Arial"/>
                <w:sz w:val="16"/>
                <w:szCs w:val="16"/>
              </w:rPr>
              <w:tab/>
            </w:r>
          </w:p>
          <w:p w:rsidR="00BF2117" w:rsidRPr="00FB227F" w:rsidRDefault="00BF2117" w:rsidP="000B5D11">
            <w:pPr>
              <w:tabs>
                <w:tab w:val="left" w:pos="405"/>
              </w:tabs>
              <w:jc w:val="both"/>
              <w:rPr>
                <w:rFonts w:cs="Arial"/>
                <w:sz w:val="16"/>
                <w:szCs w:val="16"/>
              </w:rPr>
            </w:pPr>
            <w:r w:rsidRPr="00FB227F">
              <w:rPr>
                <w:rFonts w:cs="Arial"/>
                <w:sz w:val="16"/>
                <w:szCs w:val="16"/>
              </w:rPr>
              <w:tab/>
              <w:t>Schedule to the Customs Act, 1969 (IV  of 1969).</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0B5D11">
            <w:pPr>
              <w:tabs>
                <w:tab w:val="left" w:pos="405"/>
              </w:tabs>
              <w:jc w:val="both"/>
              <w:rPr>
                <w:rFonts w:cs="Arial"/>
                <w:sz w:val="16"/>
                <w:szCs w:val="16"/>
              </w:rPr>
            </w:pPr>
            <w:r w:rsidRPr="00FB227F">
              <w:rPr>
                <w:rFonts w:cs="Arial"/>
                <w:sz w:val="16"/>
                <w:szCs w:val="16"/>
              </w:rPr>
              <w:t>(3)</w:t>
            </w:r>
            <w:r w:rsidRPr="00FB227F">
              <w:rPr>
                <w:rFonts w:cs="Arial"/>
                <w:sz w:val="16"/>
                <w:szCs w:val="16"/>
              </w:rPr>
              <w:tab/>
              <w:t>Sports goods, toilet linen including terry towels.</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0B5D11">
            <w:pPr>
              <w:tabs>
                <w:tab w:val="left" w:pos="405"/>
              </w:tabs>
              <w:jc w:val="both"/>
              <w:rPr>
                <w:rFonts w:cs="Arial"/>
                <w:sz w:val="16"/>
                <w:szCs w:val="16"/>
              </w:rPr>
            </w:pPr>
            <w:r w:rsidRPr="00FB227F">
              <w:rPr>
                <w:rFonts w:cs="Arial"/>
                <w:sz w:val="16"/>
                <w:szCs w:val="16"/>
              </w:rPr>
              <w:t>(4)</w:t>
            </w:r>
            <w:r w:rsidRPr="00FB227F">
              <w:rPr>
                <w:rFonts w:cs="Arial"/>
                <w:sz w:val="16"/>
                <w:szCs w:val="16"/>
              </w:rPr>
              <w:tab/>
              <w:t>Goods specified under Chapters, Heading and Sub-</w:t>
            </w:r>
          </w:p>
          <w:p w:rsidR="00BF2117" w:rsidRPr="00FB227F" w:rsidRDefault="00BF2117" w:rsidP="000B5D11">
            <w:pPr>
              <w:tabs>
                <w:tab w:val="left" w:pos="405"/>
              </w:tabs>
              <w:jc w:val="both"/>
              <w:rPr>
                <w:rFonts w:cs="Arial"/>
                <w:sz w:val="16"/>
                <w:szCs w:val="16"/>
              </w:rPr>
            </w:pPr>
            <w:r w:rsidRPr="00FB227F">
              <w:rPr>
                <w:rFonts w:cs="Arial"/>
                <w:sz w:val="16"/>
                <w:szCs w:val="16"/>
              </w:rPr>
              <w:tab/>
              <w:t>Heading Nos. of The Pakistan Customs Tariff.</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42.05</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Other articles of leather</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57.01</w:t>
            </w:r>
          </w:p>
        </w:tc>
        <w:tc>
          <w:tcPr>
            <w:tcW w:w="0" w:type="auto"/>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Hand-knitted carpets and rugs</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61.01</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Men and boys overcoats, jackets knitted or crocheted</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61.02</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Women and girls overcoats, jackets knitted or crocheted</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61.03</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Men and boys suits, jackets, trousers, shirts knitted or crocheted</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61.05</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Men and boys shirts knitted or crocheted</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61.06</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Women and girls blouses, shirts knitted or crocheted</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61.09</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T-shirts knitted or crocheted</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61.12</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Tracksuits, swimwear knitted or crocheted</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63.01, 2000, 3000, 4000</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Blankets, wool, cotton and MMF.</w:t>
            </w:r>
          </w:p>
        </w:tc>
      </w:tr>
      <w:tr w:rsidR="00BF2117" w:rsidRPr="00FB227F">
        <w:trPr>
          <w:cantSplit/>
        </w:trPr>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AA4BF8">
            <w:pPr>
              <w:numPr>
                <w:ilvl w:val="0"/>
                <w:numId w:val="20"/>
              </w:numPr>
              <w:tabs>
                <w:tab w:val="left" w:pos="405"/>
              </w:tabs>
              <w:jc w:val="both"/>
              <w:rPr>
                <w:rFonts w:cs="Arial"/>
                <w:sz w:val="16"/>
                <w:szCs w:val="16"/>
              </w:rPr>
            </w:pPr>
            <w:r w:rsidRPr="00FB227F">
              <w:rPr>
                <w:rFonts w:cs="Arial"/>
                <w:sz w:val="16"/>
                <w:szCs w:val="16"/>
              </w:rPr>
              <w:t>63.02</w:t>
            </w:r>
          </w:p>
        </w:tc>
        <w:tc>
          <w:tcPr>
            <w:tcW w:w="0" w:type="auto"/>
            <w:tcBorders>
              <w:top w:val="nil"/>
              <w:left w:val="nil"/>
              <w:bottom w:val="nil"/>
              <w:right w:val="nil"/>
            </w:tcBorders>
          </w:tcPr>
          <w:p w:rsidR="00BF2117" w:rsidRPr="00FB227F" w:rsidRDefault="00BF2117" w:rsidP="000B5D11">
            <w:pPr>
              <w:rPr>
                <w:rFonts w:cs="Arial"/>
                <w:sz w:val="16"/>
                <w:szCs w:val="16"/>
              </w:rPr>
            </w:pPr>
            <w:r w:rsidRPr="00FB227F">
              <w:rPr>
                <w:rFonts w:cs="Arial"/>
                <w:sz w:val="16"/>
                <w:szCs w:val="16"/>
              </w:rPr>
              <w:t>Bed linen, table linen and kitchen linen]</w:t>
            </w:r>
          </w:p>
        </w:tc>
      </w:tr>
      <w:tr w:rsidR="00BF2117" w:rsidRPr="00FB227F">
        <w:tc>
          <w:tcPr>
            <w:tcW w:w="630" w:type="dxa"/>
            <w:tcBorders>
              <w:top w:val="nil"/>
              <w:left w:val="nil"/>
              <w:bottom w:val="nil"/>
              <w:right w:val="nil"/>
            </w:tcBorders>
          </w:tcPr>
          <w:p w:rsidR="00BF2117" w:rsidRPr="00FB227F" w:rsidRDefault="00BF2117" w:rsidP="000B5D11">
            <w:pPr>
              <w:jc w:val="center"/>
              <w:rPr>
                <w:rFonts w:cs="Arial"/>
                <w:sz w:val="16"/>
                <w:szCs w:val="16"/>
              </w:rPr>
            </w:pPr>
            <w:r w:rsidRPr="00FB227F">
              <w:rPr>
                <w:rFonts w:cs="Arial"/>
                <w:sz w:val="16"/>
                <w:szCs w:val="16"/>
              </w:rPr>
              <w:t>2.</w:t>
            </w:r>
          </w:p>
        </w:tc>
        <w:tc>
          <w:tcPr>
            <w:tcW w:w="450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(i)    Refined/treated salt</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rPr>
                <w:rFonts w:cs="Arial"/>
                <w:sz w:val="16"/>
                <w:szCs w:val="16"/>
              </w:rPr>
            </w:pPr>
          </w:p>
        </w:tc>
        <w:tc>
          <w:tcPr>
            <w:tcW w:w="450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(ii)   Ground barytes</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rPr>
                <w:rFonts w:cs="Arial"/>
                <w:sz w:val="16"/>
                <w:szCs w:val="16"/>
              </w:rPr>
            </w:pPr>
          </w:p>
        </w:tc>
        <w:tc>
          <w:tcPr>
            <w:tcW w:w="450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(iii)  Granite blocks and slabs</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rPr>
                <w:rFonts w:cs="Arial"/>
                <w:sz w:val="16"/>
                <w:szCs w:val="16"/>
              </w:rPr>
            </w:pPr>
          </w:p>
        </w:tc>
        <w:tc>
          <w:tcPr>
            <w:tcW w:w="450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 xml:space="preserve">(iv)  Heat insulating bricks </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rPr>
                <w:rFonts w:cs="Arial"/>
                <w:sz w:val="16"/>
                <w:szCs w:val="16"/>
              </w:rPr>
            </w:pPr>
          </w:p>
        </w:tc>
        <w:tc>
          <w:tcPr>
            <w:tcW w:w="450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(v)   Magnesite refractory</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jc w:val="center"/>
              <w:rPr>
                <w:rFonts w:cs="Arial"/>
                <w:sz w:val="16"/>
                <w:szCs w:val="16"/>
              </w:rPr>
            </w:pPr>
            <w:r w:rsidRPr="00FB227F">
              <w:rPr>
                <w:rFonts w:cs="Arial"/>
                <w:sz w:val="16"/>
                <w:szCs w:val="16"/>
              </w:rPr>
              <w:t>3.</w:t>
            </w:r>
          </w:p>
        </w:tc>
        <w:tc>
          <w:tcPr>
            <w:tcW w:w="450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Sale in Pakistan of goods manufactured in Pakistan against an international tender, where the contract under which such sale is made is approved by the Commissioner</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r w:rsidR="00BF2117" w:rsidRPr="00FB227F">
        <w:tc>
          <w:tcPr>
            <w:tcW w:w="630" w:type="dxa"/>
            <w:tcBorders>
              <w:top w:val="nil"/>
              <w:left w:val="nil"/>
              <w:bottom w:val="nil"/>
              <w:right w:val="nil"/>
            </w:tcBorders>
          </w:tcPr>
          <w:p w:rsidR="00BF2117" w:rsidRPr="00FB227F" w:rsidRDefault="00BF2117" w:rsidP="000B5D11">
            <w:pPr>
              <w:jc w:val="center"/>
              <w:rPr>
                <w:rFonts w:cs="Arial"/>
                <w:sz w:val="16"/>
                <w:szCs w:val="16"/>
              </w:rPr>
            </w:pPr>
          </w:p>
        </w:tc>
        <w:tc>
          <w:tcPr>
            <w:tcW w:w="450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b/>
                <w:bCs/>
                <w:sz w:val="16"/>
                <w:szCs w:val="16"/>
                <w:vertAlign w:val="superscript"/>
              </w:rPr>
              <w:t xml:space="preserve">A </w:t>
            </w:r>
            <w:r w:rsidRPr="00FB227F">
              <w:rPr>
                <w:rFonts w:cs="Arial"/>
                <w:sz w:val="16"/>
                <w:szCs w:val="16"/>
              </w:rPr>
              <w:t>Earlier inserted by the Finance Act, 2003.</w:t>
            </w:r>
          </w:p>
          <w:p w:rsidR="00BF2117" w:rsidRPr="00FB227F" w:rsidRDefault="00BF2117" w:rsidP="000B5D11">
            <w:pPr>
              <w:jc w:val="both"/>
              <w:rPr>
                <w:rFonts w:cs="Arial"/>
                <w:sz w:val="16"/>
                <w:szCs w:val="16"/>
              </w:rPr>
            </w:pPr>
            <w:r w:rsidRPr="00FB227F">
              <w:rPr>
                <w:rFonts w:cs="Arial"/>
                <w:sz w:val="16"/>
                <w:szCs w:val="16"/>
                <w:vertAlign w:val="superscript"/>
              </w:rPr>
              <w:t xml:space="preserve">B </w:t>
            </w:r>
            <w:r w:rsidRPr="00FB227F">
              <w:rPr>
                <w:rFonts w:cs="Arial"/>
                <w:sz w:val="16"/>
                <w:szCs w:val="16"/>
              </w:rPr>
              <w:t xml:space="preserve"> Earlier inserted by the Finance Act, 2005.</w:t>
            </w:r>
          </w:p>
        </w:tc>
        <w:tc>
          <w:tcPr>
            <w:tcW w:w="0" w:type="auto"/>
            <w:tcBorders>
              <w:top w:val="nil"/>
              <w:left w:val="nil"/>
              <w:bottom w:val="nil"/>
              <w:right w:val="nil"/>
            </w:tcBorders>
          </w:tcPr>
          <w:p w:rsidR="00BF2117" w:rsidRPr="00FB227F" w:rsidRDefault="00BF2117" w:rsidP="000B5D11">
            <w:pPr>
              <w:jc w:val="both"/>
              <w:rPr>
                <w:rFonts w:cs="Arial"/>
                <w:sz w:val="16"/>
                <w:szCs w:val="16"/>
              </w:rPr>
            </w:pPr>
          </w:p>
        </w:tc>
      </w:tr>
    </w:tbl>
    <w:p w:rsidR="00BF2117" w:rsidRPr="00FB227F" w:rsidRDefault="00BF2117" w:rsidP="00AA4BF8">
      <w:pPr>
        <w:keepNext/>
        <w:jc w:val="center"/>
        <w:rPr>
          <w:rFonts w:cs="Arial"/>
          <w:b/>
          <w:bCs/>
          <w:sz w:val="16"/>
          <w:szCs w:val="16"/>
        </w:rPr>
      </w:pPr>
      <w:r w:rsidRPr="00FB227F">
        <w:rPr>
          <w:rFonts w:cs="Arial"/>
          <w:b/>
          <w:bCs/>
          <w:sz w:val="16"/>
          <w:szCs w:val="16"/>
        </w:rPr>
        <w:t>PART III</w:t>
      </w:r>
    </w:p>
    <w:p w:rsidR="00BF2117" w:rsidRPr="00FB227F" w:rsidRDefault="00BF2117" w:rsidP="00AA4BF8">
      <w:pPr>
        <w:keepNext/>
        <w:jc w:val="center"/>
        <w:rPr>
          <w:rFonts w:cs="Arial"/>
          <w:i/>
          <w:iCs/>
          <w:sz w:val="16"/>
          <w:szCs w:val="16"/>
        </w:rPr>
      </w:pPr>
      <w:r w:rsidRPr="00FB227F">
        <w:rPr>
          <w:rFonts w:cs="Arial"/>
          <w:i/>
          <w:iCs/>
          <w:sz w:val="16"/>
          <w:szCs w:val="16"/>
        </w:rPr>
        <w:t xml:space="preserve">[Goods not covered by Part I </w:t>
      </w:r>
      <w:r w:rsidRPr="00FB227F">
        <w:rPr>
          <w:rStyle w:val="FootnoteReference"/>
          <w:rFonts w:cs="Arial"/>
          <w:i/>
          <w:iCs/>
          <w:sz w:val="16"/>
          <w:szCs w:val="16"/>
        </w:rPr>
        <w:t>A</w:t>
      </w:r>
      <w:r w:rsidRPr="00FB227F">
        <w:rPr>
          <w:rFonts w:cs="Arial"/>
          <w:i/>
          <w:iCs/>
          <w:sz w:val="16"/>
          <w:szCs w:val="16"/>
        </w:rPr>
        <w:t>[, II or IV] II]</w:t>
      </w:r>
    </w:p>
    <w:tbl>
      <w:tblPr>
        <w:tblW w:w="0" w:type="auto"/>
        <w:tblInd w:w="2" w:type="dxa"/>
        <w:tblBorders>
          <w:top w:val="single" w:sz="12" w:space="0" w:color="008000"/>
          <w:bottom w:val="single" w:sz="12" w:space="0" w:color="008000"/>
        </w:tblBorders>
        <w:tblLayout w:type="fixed"/>
        <w:tblLook w:val="00A0"/>
      </w:tblPr>
      <w:tblGrid>
        <w:gridCol w:w="810"/>
        <w:gridCol w:w="6480"/>
      </w:tblGrid>
      <w:tr w:rsidR="00BF2117" w:rsidRPr="00FB227F">
        <w:tc>
          <w:tcPr>
            <w:tcW w:w="810" w:type="dxa"/>
            <w:tcBorders>
              <w:top w:val="single" w:sz="12" w:space="0" w:color="008000"/>
              <w:left w:val="nil"/>
              <w:bottom w:val="single" w:sz="6" w:space="0" w:color="008000"/>
              <w:right w:val="nil"/>
            </w:tcBorders>
          </w:tcPr>
          <w:p w:rsidR="00BF2117" w:rsidRPr="00FB227F" w:rsidRDefault="00BF2117" w:rsidP="000B5D11">
            <w:pPr>
              <w:jc w:val="center"/>
              <w:rPr>
                <w:rFonts w:cs="Arial"/>
                <w:sz w:val="16"/>
                <w:szCs w:val="16"/>
              </w:rPr>
            </w:pPr>
          </w:p>
          <w:p w:rsidR="00BF2117" w:rsidRPr="00FB227F" w:rsidRDefault="00BF2117" w:rsidP="000B5D11">
            <w:pPr>
              <w:pStyle w:val="BodyText2"/>
              <w:rPr>
                <w:rFonts w:cs="Arial"/>
                <w:sz w:val="16"/>
                <w:szCs w:val="16"/>
              </w:rPr>
            </w:pPr>
            <w:r w:rsidRPr="00FB227F">
              <w:rPr>
                <w:rFonts w:cs="Arial"/>
                <w:sz w:val="16"/>
                <w:szCs w:val="16"/>
              </w:rPr>
              <w:t>S. No.</w:t>
            </w:r>
          </w:p>
          <w:p w:rsidR="00BF2117" w:rsidRPr="00FB227F" w:rsidRDefault="00BF2117" w:rsidP="000B5D11">
            <w:pPr>
              <w:jc w:val="center"/>
              <w:rPr>
                <w:rFonts w:cs="Arial"/>
                <w:sz w:val="16"/>
                <w:szCs w:val="16"/>
              </w:rPr>
            </w:pPr>
          </w:p>
        </w:tc>
        <w:tc>
          <w:tcPr>
            <w:tcW w:w="6480" w:type="dxa"/>
            <w:tcBorders>
              <w:top w:val="single" w:sz="12" w:space="0" w:color="008000"/>
              <w:left w:val="nil"/>
              <w:bottom w:val="single" w:sz="6" w:space="0" w:color="008000"/>
              <w:right w:val="nil"/>
            </w:tcBorders>
          </w:tcPr>
          <w:p w:rsidR="00BF2117" w:rsidRPr="00FB227F" w:rsidRDefault="00BF2117" w:rsidP="000B5D11">
            <w:pPr>
              <w:jc w:val="center"/>
              <w:rPr>
                <w:rFonts w:cs="Arial"/>
                <w:sz w:val="16"/>
                <w:szCs w:val="16"/>
              </w:rPr>
            </w:pPr>
          </w:p>
          <w:p w:rsidR="00BF2117" w:rsidRPr="00FB227F" w:rsidRDefault="00BF2117" w:rsidP="000B5D11">
            <w:pPr>
              <w:jc w:val="center"/>
              <w:rPr>
                <w:rFonts w:cs="Arial"/>
                <w:sz w:val="16"/>
                <w:szCs w:val="16"/>
              </w:rPr>
            </w:pPr>
            <w:r w:rsidRPr="00FB227F">
              <w:rPr>
                <w:rFonts w:cs="Arial"/>
                <w:sz w:val="16"/>
                <w:szCs w:val="16"/>
              </w:rPr>
              <w:t>Description</w:t>
            </w:r>
          </w:p>
        </w:tc>
      </w:tr>
      <w:tr w:rsidR="00BF2117" w:rsidRPr="00FB227F">
        <w:tc>
          <w:tcPr>
            <w:tcW w:w="810" w:type="dxa"/>
            <w:tcBorders>
              <w:top w:val="nil"/>
              <w:left w:val="nil"/>
              <w:bottom w:val="nil"/>
              <w:right w:val="nil"/>
            </w:tcBorders>
          </w:tcPr>
          <w:p w:rsidR="00BF2117" w:rsidRPr="00FB227F" w:rsidRDefault="00BF2117" w:rsidP="000B5D11">
            <w:pPr>
              <w:jc w:val="center"/>
              <w:rPr>
                <w:rFonts w:cs="Arial"/>
                <w:sz w:val="16"/>
                <w:szCs w:val="16"/>
              </w:rPr>
            </w:pPr>
            <w:r w:rsidRPr="00FB227F">
              <w:rPr>
                <w:rFonts w:cs="Arial"/>
                <w:sz w:val="16"/>
                <w:szCs w:val="16"/>
              </w:rPr>
              <w:t>1.</w:t>
            </w:r>
          </w:p>
        </w:tc>
        <w:tc>
          <w:tcPr>
            <w:tcW w:w="6480" w:type="dxa"/>
            <w:tcBorders>
              <w:top w:val="nil"/>
              <w:left w:val="nil"/>
              <w:bottom w:val="nil"/>
              <w:right w:val="nil"/>
            </w:tcBorders>
          </w:tcPr>
          <w:p w:rsidR="00BF2117" w:rsidRPr="00FB227F" w:rsidRDefault="00BF2117" w:rsidP="000B5D11">
            <w:pPr>
              <w:pStyle w:val="Header"/>
              <w:tabs>
                <w:tab w:val="left" w:pos="547"/>
              </w:tabs>
              <w:jc w:val="both"/>
              <w:rPr>
                <w:rFonts w:cs="Arial"/>
                <w:sz w:val="16"/>
                <w:szCs w:val="16"/>
              </w:rPr>
            </w:pPr>
            <w:r w:rsidRPr="00FB227F">
              <w:rPr>
                <w:rFonts w:cs="Arial"/>
                <w:sz w:val="16"/>
                <w:szCs w:val="16"/>
              </w:rPr>
              <w:t xml:space="preserve">All other goods not covered under Part I </w:t>
            </w:r>
            <w:r w:rsidRPr="00FB227F">
              <w:rPr>
                <w:rStyle w:val="FootnoteReference"/>
                <w:rFonts w:cs="Arial"/>
                <w:sz w:val="16"/>
                <w:szCs w:val="16"/>
              </w:rPr>
              <w:t>B</w:t>
            </w:r>
            <w:r w:rsidRPr="00FB227F">
              <w:rPr>
                <w:rFonts w:cs="Arial"/>
                <w:sz w:val="16"/>
                <w:szCs w:val="16"/>
              </w:rPr>
              <w:t xml:space="preserve">[, ] Part II </w:t>
            </w:r>
            <w:r w:rsidRPr="00FB227F">
              <w:rPr>
                <w:rStyle w:val="FootnoteReference"/>
                <w:rFonts w:cs="Arial"/>
                <w:sz w:val="16"/>
                <w:szCs w:val="16"/>
              </w:rPr>
              <w:t>C</w:t>
            </w:r>
            <w:r w:rsidRPr="00FB227F">
              <w:rPr>
                <w:rFonts w:cs="Arial"/>
                <w:sz w:val="16"/>
                <w:szCs w:val="16"/>
              </w:rPr>
              <w:t>[and Part IV] of this Schedule</w:t>
            </w:r>
          </w:p>
        </w:tc>
      </w:tr>
      <w:tr w:rsidR="00BF2117" w:rsidRPr="00FB227F">
        <w:tc>
          <w:tcPr>
            <w:tcW w:w="810" w:type="dxa"/>
            <w:tcBorders>
              <w:top w:val="nil"/>
              <w:left w:val="nil"/>
              <w:bottom w:val="nil"/>
              <w:right w:val="nil"/>
            </w:tcBorders>
          </w:tcPr>
          <w:p w:rsidR="00BF2117" w:rsidRPr="00FB227F" w:rsidRDefault="00BF2117" w:rsidP="000B5D11">
            <w:pPr>
              <w:jc w:val="center"/>
              <w:rPr>
                <w:rFonts w:cs="Arial"/>
                <w:sz w:val="16"/>
                <w:szCs w:val="16"/>
              </w:rPr>
            </w:pPr>
            <w:r w:rsidRPr="00FB227F">
              <w:rPr>
                <w:rFonts w:cs="Arial"/>
                <w:sz w:val="16"/>
                <w:szCs w:val="16"/>
              </w:rPr>
              <w:t>2.</w:t>
            </w: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The following goods or class of goods produced or manufactured in Pakistan, namely: -</w:t>
            </w:r>
          </w:p>
        </w:tc>
      </w:tr>
      <w:tr w:rsidR="00BF2117" w:rsidRPr="00FB227F">
        <w:tc>
          <w:tcPr>
            <w:tcW w:w="810" w:type="dxa"/>
            <w:tcBorders>
              <w:top w:val="nil"/>
              <w:left w:val="nil"/>
              <w:bottom w:val="nil"/>
              <w:right w:val="nil"/>
            </w:tcBorders>
          </w:tcPr>
          <w:p w:rsidR="00BF2117" w:rsidRPr="00FB227F" w:rsidRDefault="00BF2117" w:rsidP="000B5D11">
            <w:pP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Style w:val="FootnoteReference"/>
                <w:rFonts w:cs="Arial"/>
                <w:sz w:val="16"/>
                <w:szCs w:val="16"/>
              </w:rPr>
              <w:t>D</w:t>
            </w:r>
            <w:r w:rsidRPr="00FB227F">
              <w:rPr>
                <w:rFonts w:cs="Arial"/>
                <w:sz w:val="16"/>
                <w:szCs w:val="16"/>
              </w:rPr>
              <w:t>[  ]</w:t>
            </w:r>
          </w:p>
        </w:tc>
      </w:tr>
      <w:tr w:rsidR="00BF2117" w:rsidRPr="00FB227F">
        <w:tc>
          <w:tcPr>
            <w:tcW w:w="810" w:type="dxa"/>
            <w:tcBorders>
              <w:top w:val="nil"/>
              <w:left w:val="nil"/>
              <w:bottom w:val="nil"/>
              <w:right w:val="nil"/>
            </w:tcBorders>
          </w:tcPr>
          <w:p w:rsidR="00BF2117" w:rsidRPr="00FB227F" w:rsidRDefault="00BF2117" w:rsidP="000B5D11">
            <w:pP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(ii)</w:t>
            </w:r>
            <w:r w:rsidRPr="00FB227F">
              <w:rPr>
                <w:rFonts w:cs="Arial"/>
                <w:sz w:val="16"/>
                <w:szCs w:val="16"/>
              </w:rPr>
              <w:tab/>
              <w:t>rice</w:t>
            </w:r>
          </w:p>
        </w:tc>
      </w:tr>
      <w:tr w:rsidR="00BF2117" w:rsidRPr="00FB227F">
        <w:tc>
          <w:tcPr>
            <w:tcW w:w="810" w:type="dxa"/>
            <w:tcBorders>
              <w:top w:val="nil"/>
              <w:left w:val="nil"/>
              <w:bottom w:val="nil"/>
              <w:right w:val="nil"/>
            </w:tcBorders>
          </w:tcPr>
          <w:p w:rsidR="00BF2117" w:rsidRPr="00FB227F" w:rsidRDefault="00BF2117" w:rsidP="000B5D11">
            <w:pP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 xml:space="preserve">(iii)  </w:t>
            </w:r>
            <w:r w:rsidRPr="00FB227F">
              <w:rPr>
                <w:rFonts w:cs="Arial"/>
                <w:sz w:val="16"/>
                <w:szCs w:val="16"/>
              </w:rPr>
              <w:tab/>
              <w:t>rice bran</w:t>
            </w:r>
          </w:p>
        </w:tc>
      </w:tr>
      <w:tr w:rsidR="00BF2117" w:rsidRPr="00FB227F">
        <w:tc>
          <w:tcPr>
            <w:tcW w:w="810" w:type="dxa"/>
            <w:tcBorders>
              <w:top w:val="nil"/>
              <w:left w:val="nil"/>
              <w:bottom w:val="nil"/>
              <w:right w:val="nil"/>
            </w:tcBorders>
          </w:tcPr>
          <w:p w:rsidR="00BF2117" w:rsidRPr="00FB227F" w:rsidRDefault="00BF2117" w:rsidP="000B5D11">
            <w:pP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 xml:space="preserve">(iv)  </w:t>
            </w:r>
            <w:r w:rsidRPr="00FB227F">
              <w:rPr>
                <w:rFonts w:cs="Arial"/>
                <w:sz w:val="16"/>
                <w:szCs w:val="16"/>
              </w:rPr>
              <w:tab/>
              <w:t>wheat bran</w:t>
            </w:r>
          </w:p>
        </w:tc>
      </w:tr>
      <w:tr w:rsidR="00BF2117" w:rsidRPr="00FB227F">
        <w:tc>
          <w:tcPr>
            <w:tcW w:w="810" w:type="dxa"/>
            <w:tcBorders>
              <w:top w:val="nil"/>
              <w:left w:val="nil"/>
              <w:bottom w:val="nil"/>
              <w:right w:val="nil"/>
            </w:tcBorders>
          </w:tcPr>
          <w:p w:rsidR="00BF2117" w:rsidRPr="00FB227F" w:rsidRDefault="00BF2117" w:rsidP="000B5D11">
            <w:pP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 xml:space="preserve">(v)   </w:t>
            </w:r>
            <w:r w:rsidRPr="00FB227F">
              <w:rPr>
                <w:rFonts w:cs="Arial"/>
                <w:sz w:val="16"/>
                <w:szCs w:val="16"/>
              </w:rPr>
              <w:tab/>
              <w:t>lamb skin</w:t>
            </w:r>
          </w:p>
        </w:tc>
      </w:tr>
      <w:tr w:rsidR="00BF2117" w:rsidRPr="00FB227F">
        <w:tc>
          <w:tcPr>
            <w:tcW w:w="810" w:type="dxa"/>
            <w:tcBorders>
              <w:top w:val="nil"/>
              <w:left w:val="nil"/>
              <w:bottom w:val="nil"/>
              <w:right w:val="nil"/>
            </w:tcBorders>
          </w:tcPr>
          <w:p w:rsidR="00BF2117" w:rsidRPr="00FB227F" w:rsidRDefault="00BF2117" w:rsidP="000B5D11">
            <w:pP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Style w:val="FootnoteReference"/>
                <w:rFonts w:cs="Arial"/>
                <w:sz w:val="16"/>
                <w:szCs w:val="16"/>
              </w:rPr>
              <w:t>E</w:t>
            </w:r>
            <w:r w:rsidRPr="00FB227F">
              <w:rPr>
                <w:rFonts w:cs="Arial"/>
                <w:sz w:val="16"/>
                <w:szCs w:val="16"/>
              </w:rPr>
              <w:t xml:space="preserve">[  ] </w:t>
            </w:r>
          </w:p>
        </w:tc>
      </w:tr>
      <w:tr w:rsidR="00BF2117" w:rsidRPr="00FB227F">
        <w:tc>
          <w:tcPr>
            <w:tcW w:w="810" w:type="dxa"/>
            <w:tcBorders>
              <w:top w:val="nil"/>
              <w:left w:val="nil"/>
              <w:bottom w:val="nil"/>
              <w:right w:val="nil"/>
            </w:tcBorders>
          </w:tcPr>
          <w:p w:rsidR="00BF2117" w:rsidRPr="00FB227F" w:rsidRDefault="00BF2117" w:rsidP="000B5D11">
            <w:pPr>
              <w:jc w:val="center"/>
              <w:rPr>
                <w:rFonts w:cs="Arial"/>
                <w:sz w:val="16"/>
                <w:szCs w:val="16"/>
              </w:rPr>
            </w:pPr>
            <w:r w:rsidRPr="00FB227F">
              <w:rPr>
                <w:rStyle w:val="FootnoteReference"/>
                <w:rFonts w:cs="Arial"/>
                <w:sz w:val="16"/>
                <w:szCs w:val="16"/>
              </w:rPr>
              <w:t>F</w:t>
            </w:r>
            <w:r w:rsidRPr="00FB227F">
              <w:rPr>
                <w:rFonts w:cs="Arial"/>
                <w:sz w:val="16"/>
                <w:szCs w:val="16"/>
              </w:rPr>
              <w:t>[2A.</w:t>
            </w:r>
          </w:p>
        </w:tc>
        <w:tc>
          <w:tcPr>
            <w:tcW w:w="6480" w:type="dxa"/>
            <w:tcBorders>
              <w:top w:val="nil"/>
              <w:left w:val="nil"/>
              <w:bottom w:val="nil"/>
              <w:right w:val="nil"/>
            </w:tcBorders>
          </w:tcPr>
          <w:p w:rsidR="00BF2117" w:rsidRPr="00FB227F" w:rsidRDefault="00BF2117" w:rsidP="000B5D11">
            <w:pPr>
              <w:jc w:val="both"/>
              <w:rPr>
                <w:rStyle w:val="FootnoteReference"/>
                <w:rFonts w:cs="Arial"/>
                <w:sz w:val="16"/>
                <w:szCs w:val="16"/>
              </w:rPr>
            </w:pPr>
            <w:r w:rsidRPr="00FB227F">
              <w:rPr>
                <w:rFonts w:cs="Arial"/>
                <w:sz w:val="16"/>
                <w:szCs w:val="16"/>
              </w:rPr>
              <w:t>Following types of goods not covered by other provisions of this Schedule, namely:-</w:t>
            </w:r>
          </w:p>
        </w:tc>
      </w:tr>
      <w:tr w:rsidR="00BF2117" w:rsidRPr="00FB227F">
        <w:tc>
          <w:tcPr>
            <w:tcW w:w="810" w:type="dxa"/>
            <w:tcBorders>
              <w:top w:val="nil"/>
              <w:left w:val="nil"/>
              <w:bottom w:val="nil"/>
              <w:right w:val="nil"/>
            </w:tcBorders>
          </w:tcPr>
          <w:p w:rsidR="00BF2117" w:rsidRPr="00FB227F" w:rsidRDefault="00BF2117" w:rsidP="000B5D11">
            <w:pPr>
              <w:jc w:val="cente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 xml:space="preserve">(i) </w:t>
            </w:r>
            <w:r w:rsidRPr="00FB227F">
              <w:rPr>
                <w:rFonts w:cs="Arial"/>
                <w:sz w:val="16"/>
                <w:szCs w:val="16"/>
              </w:rPr>
              <w:tab/>
              <w:t>leather and articles thereof</w:t>
            </w:r>
          </w:p>
        </w:tc>
      </w:tr>
      <w:tr w:rsidR="00BF2117" w:rsidRPr="00FB227F">
        <w:tc>
          <w:tcPr>
            <w:tcW w:w="810" w:type="dxa"/>
            <w:tcBorders>
              <w:top w:val="nil"/>
              <w:left w:val="nil"/>
              <w:bottom w:val="nil"/>
              <w:right w:val="nil"/>
            </w:tcBorders>
          </w:tcPr>
          <w:p w:rsidR="00BF2117" w:rsidRPr="00FB227F" w:rsidRDefault="00BF2117" w:rsidP="000B5D11">
            <w:pP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(ii)</w:t>
            </w:r>
            <w:r w:rsidRPr="00FB227F">
              <w:rPr>
                <w:rFonts w:cs="Arial"/>
                <w:sz w:val="16"/>
                <w:szCs w:val="16"/>
              </w:rPr>
              <w:tab/>
              <w:t>textile and textile articles</w:t>
            </w:r>
          </w:p>
        </w:tc>
      </w:tr>
      <w:tr w:rsidR="00BF2117" w:rsidRPr="00FB227F">
        <w:tc>
          <w:tcPr>
            <w:tcW w:w="810" w:type="dxa"/>
            <w:tcBorders>
              <w:top w:val="nil"/>
              <w:left w:val="nil"/>
              <w:bottom w:val="nil"/>
              <w:right w:val="nil"/>
            </w:tcBorders>
          </w:tcPr>
          <w:p w:rsidR="00BF2117" w:rsidRPr="00FB227F" w:rsidRDefault="00BF2117" w:rsidP="000B5D11">
            <w:pPr>
              <w:jc w:val="cente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(iii)</w:t>
            </w:r>
            <w:r w:rsidRPr="00FB227F">
              <w:rPr>
                <w:rFonts w:cs="Arial"/>
                <w:sz w:val="16"/>
                <w:szCs w:val="16"/>
              </w:rPr>
              <w:tab/>
              <w:t>carpets</w:t>
            </w:r>
          </w:p>
        </w:tc>
      </w:tr>
      <w:tr w:rsidR="00BF2117" w:rsidRPr="00FB227F">
        <w:tc>
          <w:tcPr>
            <w:tcW w:w="810" w:type="dxa"/>
            <w:tcBorders>
              <w:top w:val="nil"/>
              <w:left w:val="nil"/>
              <w:bottom w:val="nil"/>
              <w:right w:val="nil"/>
            </w:tcBorders>
          </w:tcPr>
          <w:p w:rsidR="00BF2117" w:rsidRPr="00FB227F" w:rsidRDefault="00BF2117" w:rsidP="000B5D11">
            <w:pPr>
              <w:jc w:val="center"/>
              <w:rPr>
                <w:rFonts w:cs="Arial"/>
                <w:sz w:val="16"/>
                <w:szCs w:val="16"/>
              </w:rPr>
            </w:pPr>
          </w:p>
        </w:tc>
        <w:tc>
          <w:tcPr>
            <w:tcW w:w="6480" w:type="dxa"/>
            <w:tcBorders>
              <w:top w:val="nil"/>
              <w:left w:val="nil"/>
              <w:bottom w:val="nil"/>
              <w:right w:val="nil"/>
            </w:tcBorders>
          </w:tcPr>
          <w:p w:rsidR="00BF2117" w:rsidRPr="00FB227F" w:rsidRDefault="00BF2117" w:rsidP="000B5D11">
            <w:pPr>
              <w:jc w:val="both"/>
              <w:rPr>
                <w:rFonts w:cs="Arial"/>
                <w:sz w:val="16"/>
                <w:szCs w:val="16"/>
              </w:rPr>
            </w:pPr>
            <w:r w:rsidRPr="00FB227F">
              <w:rPr>
                <w:rFonts w:cs="Arial"/>
                <w:sz w:val="16"/>
                <w:szCs w:val="16"/>
              </w:rPr>
              <w:t>(iv)</w:t>
            </w:r>
            <w:r w:rsidRPr="00FB227F">
              <w:rPr>
                <w:rFonts w:cs="Arial"/>
                <w:sz w:val="16"/>
                <w:szCs w:val="16"/>
              </w:rPr>
              <w:tab/>
              <w:t>surgical goods</w:t>
            </w:r>
          </w:p>
        </w:tc>
      </w:tr>
      <w:tr w:rsidR="00BF2117" w:rsidRPr="00FB227F">
        <w:tc>
          <w:tcPr>
            <w:tcW w:w="810" w:type="dxa"/>
            <w:tcBorders>
              <w:top w:val="nil"/>
              <w:left w:val="nil"/>
              <w:bottom w:val="single" w:sz="12" w:space="0" w:color="008000"/>
              <w:right w:val="nil"/>
            </w:tcBorders>
          </w:tcPr>
          <w:p w:rsidR="00BF2117" w:rsidRPr="00FB227F" w:rsidRDefault="00BF2117" w:rsidP="000B5D11">
            <w:pPr>
              <w:jc w:val="center"/>
              <w:rPr>
                <w:rFonts w:cs="Arial"/>
                <w:sz w:val="16"/>
                <w:szCs w:val="16"/>
              </w:rPr>
            </w:pPr>
            <w:r w:rsidRPr="00FB227F">
              <w:rPr>
                <w:rFonts w:cs="Arial"/>
                <w:sz w:val="16"/>
                <w:szCs w:val="16"/>
              </w:rPr>
              <w:t>3.</w:t>
            </w:r>
          </w:p>
          <w:p w:rsidR="00BF2117" w:rsidRPr="00FB227F" w:rsidRDefault="00BF2117" w:rsidP="000B5D11">
            <w:pPr>
              <w:jc w:val="center"/>
              <w:rPr>
                <w:rFonts w:cs="Arial"/>
                <w:sz w:val="16"/>
                <w:szCs w:val="16"/>
              </w:rPr>
            </w:pPr>
          </w:p>
        </w:tc>
        <w:tc>
          <w:tcPr>
            <w:tcW w:w="6480" w:type="dxa"/>
            <w:tcBorders>
              <w:top w:val="nil"/>
              <w:left w:val="nil"/>
              <w:bottom w:val="single" w:sz="12" w:space="0" w:color="008000"/>
              <w:right w:val="nil"/>
            </w:tcBorders>
          </w:tcPr>
          <w:p w:rsidR="00BF2117" w:rsidRPr="00FB227F" w:rsidRDefault="00BF2117" w:rsidP="000B5D11">
            <w:pPr>
              <w:jc w:val="both"/>
              <w:rPr>
                <w:rFonts w:cs="Arial"/>
                <w:sz w:val="16"/>
                <w:szCs w:val="16"/>
              </w:rPr>
            </w:pPr>
            <w:r w:rsidRPr="00FB227F">
              <w:rPr>
                <w:rFonts w:cs="Arial"/>
                <w:sz w:val="16"/>
                <w:szCs w:val="16"/>
              </w:rPr>
              <w:t>Such other goods as may be notified by the Central Board of Revenue</w:t>
            </w:r>
          </w:p>
        </w:tc>
      </w:tr>
    </w:tbl>
    <w:p w:rsidR="00BF2117" w:rsidRPr="00FB227F" w:rsidRDefault="00BF2117" w:rsidP="00AA4BF8">
      <w:pPr>
        <w:pStyle w:val="CommentText"/>
        <w:rPr>
          <w:rFonts w:cs="Arial"/>
          <w:sz w:val="16"/>
          <w:szCs w:val="16"/>
        </w:rPr>
      </w:pPr>
      <w:r w:rsidRPr="00FB227F">
        <w:rPr>
          <w:rFonts w:cs="Arial"/>
          <w:sz w:val="16"/>
          <w:szCs w:val="16"/>
          <w:vertAlign w:val="superscript"/>
        </w:rPr>
        <w:t xml:space="preserve">A </w:t>
      </w:r>
      <w:r w:rsidRPr="00FB227F">
        <w:rPr>
          <w:rFonts w:cs="Arial"/>
          <w:sz w:val="16"/>
          <w:szCs w:val="16"/>
        </w:rPr>
        <w:t>Earlier the word “or” substituted by the Finance Act, 2005.</w:t>
      </w:r>
    </w:p>
    <w:p w:rsidR="00BF2117" w:rsidRPr="00FB227F" w:rsidRDefault="00BF2117" w:rsidP="00AA4BF8">
      <w:pPr>
        <w:pStyle w:val="CommentText"/>
        <w:rPr>
          <w:rFonts w:cs="Arial"/>
          <w:sz w:val="16"/>
          <w:szCs w:val="16"/>
        </w:rPr>
      </w:pPr>
      <w:r w:rsidRPr="00FB227F">
        <w:rPr>
          <w:rFonts w:cs="Arial"/>
          <w:sz w:val="16"/>
          <w:szCs w:val="16"/>
          <w:vertAlign w:val="superscript"/>
        </w:rPr>
        <w:t xml:space="preserve">B </w:t>
      </w:r>
      <w:r w:rsidRPr="00FB227F">
        <w:rPr>
          <w:rFonts w:cs="Arial"/>
          <w:sz w:val="16"/>
          <w:szCs w:val="16"/>
        </w:rPr>
        <w:t>Earlier the word “and” substituted by the Finance Act, 2005.</w:t>
      </w:r>
    </w:p>
    <w:p w:rsidR="00BF2117" w:rsidRPr="00FB227F" w:rsidRDefault="00BF2117" w:rsidP="00AA4BF8">
      <w:pPr>
        <w:pStyle w:val="CommentText"/>
        <w:rPr>
          <w:rFonts w:cs="Arial"/>
          <w:sz w:val="16"/>
          <w:szCs w:val="16"/>
        </w:rPr>
      </w:pPr>
      <w:r w:rsidRPr="00FB227F">
        <w:rPr>
          <w:rFonts w:cs="Arial"/>
          <w:sz w:val="16"/>
          <w:szCs w:val="16"/>
          <w:vertAlign w:val="superscript"/>
        </w:rPr>
        <w:t xml:space="preserve">C </w:t>
      </w:r>
      <w:r w:rsidRPr="00FB227F">
        <w:rPr>
          <w:rFonts w:cs="Arial"/>
          <w:sz w:val="16"/>
          <w:szCs w:val="16"/>
        </w:rPr>
        <w:t>Earlier inserted by the Finance Act, 2005.</w:t>
      </w:r>
    </w:p>
    <w:p w:rsidR="00BF2117" w:rsidRPr="00FB227F" w:rsidRDefault="00BF2117" w:rsidP="00AA4BF8">
      <w:pPr>
        <w:pStyle w:val="CommentText"/>
        <w:rPr>
          <w:rFonts w:cs="Arial"/>
          <w:sz w:val="16"/>
          <w:szCs w:val="16"/>
        </w:rPr>
      </w:pPr>
      <w:r w:rsidRPr="00FB227F">
        <w:rPr>
          <w:rFonts w:cs="Arial"/>
          <w:sz w:val="16"/>
          <w:szCs w:val="16"/>
          <w:vertAlign w:val="superscript"/>
        </w:rPr>
        <w:t xml:space="preserve">D </w:t>
      </w:r>
      <w:r w:rsidRPr="00FB227F">
        <w:rPr>
          <w:rFonts w:cs="Arial"/>
          <w:sz w:val="16"/>
          <w:szCs w:val="16"/>
        </w:rPr>
        <w:t>Earlier the figure and word “(i) raw cotton” omitted by the Finance Act, 2005.</w:t>
      </w:r>
    </w:p>
    <w:p w:rsidR="00BF2117" w:rsidRPr="00FB227F" w:rsidRDefault="00BF2117" w:rsidP="00AA4BF8">
      <w:pPr>
        <w:pStyle w:val="CommentText"/>
        <w:rPr>
          <w:rFonts w:cs="Arial"/>
          <w:sz w:val="16"/>
          <w:szCs w:val="16"/>
        </w:rPr>
      </w:pPr>
      <w:r w:rsidRPr="00FB227F">
        <w:rPr>
          <w:rFonts w:cs="Arial"/>
          <w:sz w:val="16"/>
          <w:szCs w:val="16"/>
          <w:vertAlign w:val="superscript"/>
        </w:rPr>
        <w:t xml:space="preserve">E </w:t>
      </w:r>
      <w:r w:rsidRPr="00FB227F">
        <w:rPr>
          <w:rFonts w:cs="Arial"/>
          <w:sz w:val="16"/>
          <w:szCs w:val="16"/>
        </w:rPr>
        <w:t>Earlier the bracket, figures and words “(vi) cotton yarn” omitted by the Finance Act, 2005.</w:t>
      </w:r>
    </w:p>
    <w:p w:rsidR="00BF2117" w:rsidRPr="00FB227F" w:rsidRDefault="00BF2117" w:rsidP="00AA4BF8">
      <w:pPr>
        <w:pStyle w:val="CommentText"/>
        <w:rPr>
          <w:rFonts w:cs="Arial"/>
          <w:sz w:val="16"/>
          <w:szCs w:val="16"/>
        </w:rPr>
      </w:pPr>
      <w:r w:rsidRPr="00FB227F">
        <w:rPr>
          <w:rFonts w:cs="Arial"/>
          <w:sz w:val="16"/>
          <w:szCs w:val="16"/>
          <w:vertAlign w:val="superscript"/>
        </w:rPr>
        <w:t xml:space="preserve">F </w:t>
      </w:r>
      <w:r w:rsidRPr="00FB227F">
        <w:rPr>
          <w:rFonts w:cs="Arial"/>
          <w:sz w:val="16"/>
          <w:szCs w:val="16"/>
        </w:rPr>
        <w:t>Inserted by the Finance Act, 2005.</w:t>
      </w:r>
    </w:p>
    <w:p w:rsidR="00BF2117" w:rsidRPr="00FB227F" w:rsidRDefault="00BF2117" w:rsidP="00AA4BF8">
      <w:pPr>
        <w:keepNext/>
        <w:jc w:val="center"/>
        <w:rPr>
          <w:rFonts w:cs="Arial"/>
          <w:b/>
          <w:bCs/>
          <w:sz w:val="16"/>
          <w:szCs w:val="16"/>
        </w:rPr>
      </w:pPr>
      <w:r w:rsidRPr="00FB227F">
        <w:rPr>
          <w:rStyle w:val="FootnoteReference"/>
          <w:rFonts w:cs="Arial"/>
          <w:sz w:val="16"/>
          <w:szCs w:val="16"/>
        </w:rPr>
        <w:t>A</w:t>
      </w:r>
      <w:r w:rsidRPr="00FB227F">
        <w:rPr>
          <w:rFonts w:cs="Arial"/>
          <w:sz w:val="16"/>
          <w:szCs w:val="16"/>
        </w:rPr>
        <w:t>[PART IV</w:t>
      </w:r>
    </w:p>
    <w:p w:rsidR="00BF2117" w:rsidRPr="00FB227F" w:rsidRDefault="00BF2117" w:rsidP="00AA4BF8">
      <w:pPr>
        <w:pStyle w:val="CommentText"/>
        <w:keepNext/>
        <w:jc w:val="center"/>
        <w:rPr>
          <w:rFonts w:cs="Arial"/>
          <w:i/>
          <w:iCs/>
          <w:sz w:val="16"/>
          <w:szCs w:val="16"/>
        </w:rPr>
      </w:pPr>
      <w:r w:rsidRPr="00FB227F">
        <w:rPr>
          <w:rFonts w:cs="Arial"/>
          <w:i/>
          <w:iCs/>
          <w:sz w:val="16"/>
          <w:szCs w:val="16"/>
        </w:rPr>
        <w:t>[goods not covered by Part I, II and III]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4410"/>
      </w:tblGrid>
      <w:tr w:rsidR="00BF2117" w:rsidRPr="00FB227F">
        <w:tc>
          <w:tcPr>
            <w:tcW w:w="720" w:type="dxa"/>
            <w:tcBorders>
              <w:top w:val="nil"/>
              <w:left w:val="nil"/>
              <w:bottom w:val="nil"/>
              <w:right w:val="nil"/>
            </w:tcBorders>
          </w:tcPr>
          <w:p w:rsidR="00BF2117" w:rsidRPr="00FB227F" w:rsidRDefault="00BF2117" w:rsidP="000B5D11">
            <w:pPr>
              <w:pStyle w:val="CommentText"/>
              <w:jc w:val="center"/>
              <w:rPr>
                <w:rFonts w:cs="Arial"/>
                <w:sz w:val="16"/>
                <w:szCs w:val="16"/>
              </w:rPr>
            </w:pPr>
            <w:r w:rsidRPr="00FB227F">
              <w:rPr>
                <w:rFonts w:cs="Arial"/>
                <w:sz w:val="16"/>
                <w:szCs w:val="16"/>
              </w:rPr>
              <w:t>S.No.</w:t>
            </w:r>
          </w:p>
        </w:tc>
        <w:tc>
          <w:tcPr>
            <w:tcW w:w="4410" w:type="dxa"/>
            <w:tcBorders>
              <w:top w:val="nil"/>
              <w:left w:val="nil"/>
              <w:bottom w:val="nil"/>
              <w:right w:val="nil"/>
            </w:tcBorders>
          </w:tcPr>
          <w:p w:rsidR="00BF2117" w:rsidRPr="00FB227F" w:rsidRDefault="00BF2117" w:rsidP="000B5D11">
            <w:pPr>
              <w:pStyle w:val="CommentText"/>
              <w:jc w:val="both"/>
              <w:rPr>
                <w:rFonts w:cs="Arial"/>
                <w:sz w:val="16"/>
                <w:szCs w:val="16"/>
              </w:rPr>
            </w:pPr>
            <w:r w:rsidRPr="00FB227F">
              <w:rPr>
                <w:rFonts w:cs="Arial"/>
                <w:sz w:val="16"/>
                <w:szCs w:val="16"/>
              </w:rPr>
              <w:t>Description</w:t>
            </w:r>
          </w:p>
        </w:tc>
      </w:tr>
      <w:tr w:rsidR="00BF2117" w:rsidRPr="00FB227F">
        <w:tc>
          <w:tcPr>
            <w:tcW w:w="720" w:type="dxa"/>
            <w:tcBorders>
              <w:top w:val="nil"/>
              <w:left w:val="nil"/>
              <w:bottom w:val="nil"/>
              <w:right w:val="nil"/>
            </w:tcBorders>
          </w:tcPr>
          <w:p w:rsidR="00BF2117" w:rsidRPr="00FB227F" w:rsidRDefault="00BF2117" w:rsidP="000B5D11">
            <w:pPr>
              <w:pStyle w:val="CommentText"/>
              <w:jc w:val="center"/>
              <w:rPr>
                <w:rFonts w:cs="Arial"/>
                <w:sz w:val="16"/>
                <w:szCs w:val="16"/>
              </w:rPr>
            </w:pPr>
            <w:r w:rsidRPr="00FB227F">
              <w:rPr>
                <w:rFonts w:cs="Arial"/>
                <w:sz w:val="16"/>
                <w:szCs w:val="16"/>
              </w:rPr>
              <w:t>(i)</w:t>
            </w:r>
          </w:p>
        </w:tc>
        <w:tc>
          <w:tcPr>
            <w:tcW w:w="4410" w:type="dxa"/>
            <w:tcBorders>
              <w:top w:val="nil"/>
              <w:left w:val="nil"/>
              <w:bottom w:val="nil"/>
              <w:right w:val="nil"/>
            </w:tcBorders>
          </w:tcPr>
          <w:p w:rsidR="00BF2117" w:rsidRPr="00FB227F" w:rsidRDefault="00BF2117" w:rsidP="000B5D11">
            <w:pPr>
              <w:pStyle w:val="CommentText"/>
              <w:jc w:val="both"/>
              <w:rPr>
                <w:rFonts w:cs="Arial"/>
                <w:sz w:val="16"/>
                <w:szCs w:val="16"/>
              </w:rPr>
            </w:pPr>
            <w:r w:rsidRPr="00FB227F">
              <w:rPr>
                <w:rFonts w:cs="Arial"/>
                <w:sz w:val="16"/>
                <w:szCs w:val="16"/>
              </w:rPr>
              <w:t>raw cotton</w:t>
            </w:r>
          </w:p>
        </w:tc>
      </w:tr>
      <w:tr w:rsidR="00BF2117" w:rsidRPr="00FB227F">
        <w:tc>
          <w:tcPr>
            <w:tcW w:w="720" w:type="dxa"/>
            <w:tcBorders>
              <w:top w:val="nil"/>
              <w:left w:val="nil"/>
              <w:bottom w:val="nil"/>
              <w:right w:val="nil"/>
            </w:tcBorders>
          </w:tcPr>
          <w:p w:rsidR="00BF2117" w:rsidRPr="00FB227F" w:rsidRDefault="00BF2117" w:rsidP="000B5D11">
            <w:pPr>
              <w:pStyle w:val="CommentText"/>
              <w:jc w:val="center"/>
              <w:rPr>
                <w:rFonts w:cs="Arial"/>
                <w:sz w:val="16"/>
                <w:szCs w:val="16"/>
              </w:rPr>
            </w:pPr>
            <w:r w:rsidRPr="00FB227F">
              <w:rPr>
                <w:rFonts w:cs="Arial"/>
                <w:sz w:val="16"/>
                <w:szCs w:val="16"/>
              </w:rPr>
              <w:t>(ii)</w:t>
            </w:r>
          </w:p>
        </w:tc>
        <w:tc>
          <w:tcPr>
            <w:tcW w:w="4410" w:type="dxa"/>
            <w:tcBorders>
              <w:top w:val="nil"/>
              <w:left w:val="nil"/>
              <w:bottom w:val="nil"/>
              <w:right w:val="nil"/>
            </w:tcBorders>
          </w:tcPr>
          <w:p w:rsidR="00BF2117" w:rsidRPr="00FB227F" w:rsidRDefault="00BF2117" w:rsidP="000B5D11">
            <w:pPr>
              <w:pStyle w:val="CommentText"/>
              <w:jc w:val="both"/>
              <w:rPr>
                <w:rFonts w:cs="Arial"/>
                <w:sz w:val="16"/>
                <w:szCs w:val="16"/>
              </w:rPr>
            </w:pPr>
            <w:r w:rsidRPr="00FB227F">
              <w:rPr>
                <w:rFonts w:cs="Arial"/>
                <w:sz w:val="16"/>
                <w:szCs w:val="16"/>
              </w:rPr>
              <w:t>Cotton yarn</w:t>
            </w:r>
          </w:p>
        </w:tc>
      </w:tr>
      <w:tr w:rsidR="00BF2117" w:rsidRPr="00FB227F">
        <w:tc>
          <w:tcPr>
            <w:tcW w:w="720" w:type="dxa"/>
            <w:tcBorders>
              <w:top w:val="nil"/>
              <w:left w:val="nil"/>
              <w:bottom w:val="nil"/>
              <w:right w:val="nil"/>
            </w:tcBorders>
          </w:tcPr>
          <w:p w:rsidR="00BF2117" w:rsidRPr="00FB227F" w:rsidRDefault="00BF2117" w:rsidP="000B5D11">
            <w:pPr>
              <w:pStyle w:val="CommentText"/>
              <w:jc w:val="center"/>
              <w:rPr>
                <w:rFonts w:cs="Arial"/>
                <w:sz w:val="16"/>
                <w:szCs w:val="16"/>
              </w:rPr>
            </w:pPr>
            <w:r w:rsidRPr="00FB227F">
              <w:rPr>
                <w:rFonts w:cs="Arial"/>
                <w:sz w:val="16"/>
                <w:szCs w:val="16"/>
              </w:rPr>
              <w:t>(iii)</w:t>
            </w:r>
          </w:p>
        </w:tc>
        <w:tc>
          <w:tcPr>
            <w:tcW w:w="4410" w:type="dxa"/>
            <w:tcBorders>
              <w:top w:val="nil"/>
              <w:left w:val="nil"/>
              <w:bottom w:val="nil"/>
              <w:right w:val="nil"/>
            </w:tcBorders>
          </w:tcPr>
          <w:p w:rsidR="00BF2117" w:rsidRPr="00FB227F" w:rsidRDefault="00BF2117" w:rsidP="000B5D11">
            <w:pPr>
              <w:pStyle w:val="CommentText"/>
              <w:jc w:val="both"/>
              <w:rPr>
                <w:rFonts w:cs="Arial"/>
                <w:sz w:val="16"/>
                <w:szCs w:val="16"/>
              </w:rPr>
            </w:pPr>
            <w:r w:rsidRPr="00FB227F">
              <w:rPr>
                <w:rFonts w:cs="Arial"/>
                <w:sz w:val="16"/>
                <w:szCs w:val="16"/>
              </w:rPr>
              <w:t>such other goods as may be notified by the Central Board of Revenue]”</w:t>
            </w:r>
          </w:p>
          <w:p w:rsidR="00BF2117" w:rsidRPr="00FB227F" w:rsidRDefault="00BF2117" w:rsidP="000B5D11">
            <w:pPr>
              <w:pStyle w:val="CommentText"/>
              <w:jc w:val="both"/>
              <w:rPr>
                <w:rFonts w:cs="Arial"/>
                <w:sz w:val="16"/>
                <w:szCs w:val="16"/>
              </w:rPr>
            </w:pPr>
            <w:r w:rsidRPr="00FB227F">
              <w:rPr>
                <w:rStyle w:val="FootnoteReference"/>
                <w:rFonts w:cs="Arial"/>
                <w:sz w:val="16"/>
                <w:szCs w:val="16"/>
              </w:rPr>
              <w:t>A</w:t>
            </w:r>
            <w:r w:rsidRPr="00FB227F">
              <w:rPr>
                <w:rFonts w:cs="Arial"/>
                <w:sz w:val="16"/>
                <w:szCs w:val="16"/>
              </w:rPr>
              <w:t xml:space="preserve"> Earlier added by the Finance Act, 2005.</w:t>
            </w:r>
          </w:p>
        </w:tc>
      </w:tr>
    </w:tbl>
    <w:p w:rsidR="00BF2117" w:rsidRPr="00FB227F" w:rsidRDefault="00BF2117" w:rsidP="00AA4BF8">
      <w:pPr>
        <w:keepNext/>
        <w:jc w:val="both"/>
        <w:rPr>
          <w:rFonts w:cs="Arial"/>
          <w:sz w:val="16"/>
          <w:szCs w:val="16"/>
        </w:rPr>
      </w:pPr>
    </w:p>
    <w:p w:rsidR="00BF2117" w:rsidRPr="00FB227F" w:rsidRDefault="00BF2117" w:rsidP="00AA4BF8">
      <w:pPr>
        <w:keepNext/>
        <w:jc w:val="both"/>
        <w:rPr>
          <w:rFonts w:cs="Arial"/>
          <w:sz w:val="16"/>
          <w:szCs w:val="16"/>
        </w:rPr>
      </w:pPr>
    </w:p>
  </w:footnote>
  <w:footnote w:id="2445">
    <w:p w:rsidR="00BF2117" w:rsidRPr="00FB227F" w:rsidRDefault="00BF2117" w:rsidP="00AA4BF8">
      <w:pPr>
        <w:pStyle w:val="FootnoteText"/>
        <w:rPr>
          <w:rFonts w:cs="Arial"/>
          <w:sz w:val="16"/>
          <w:szCs w:val="16"/>
        </w:rPr>
      </w:pPr>
      <w:r w:rsidRPr="00FB227F">
        <w:rPr>
          <w:rStyle w:val="FootnoteReference"/>
          <w:rFonts w:cs="Arial"/>
          <w:sz w:val="16"/>
          <w:szCs w:val="16"/>
        </w:rPr>
        <w:footnoteRef/>
      </w:r>
      <w:r w:rsidRPr="00FB227F">
        <w:rPr>
          <w:rFonts w:cs="Arial"/>
          <w:sz w:val="16"/>
          <w:szCs w:val="16"/>
        </w:rPr>
        <w:t xml:space="preserve"> Substituted by the Finance Act, 2009. The substituted sub-rule (c) read as follows:</w:t>
      </w:r>
    </w:p>
    <w:p w:rsidR="00BF2117" w:rsidRPr="00FB227F" w:rsidRDefault="00BF2117" w:rsidP="00AA4BF8">
      <w:pPr>
        <w:pStyle w:val="2"/>
        <w:tabs>
          <w:tab w:val="clear" w:pos="960"/>
          <w:tab w:val="clear" w:pos="1200"/>
        </w:tabs>
        <w:ind w:left="1080" w:hanging="540"/>
        <w:rPr>
          <w:rFonts w:ascii="Arial" w:hAnsi="Arial" w:cs="Arial"/>
          <w:sz w:val="16"/>
          <w:szCs w:val="16"/>
        </w:rPr>
      </w:pPr>
      <w:r w:rsidRPr="00FB227F">
        <w:rPr>
          <w:rFonts w:ascii="Arial" w:hAnsi="Arial" w:cs="Arial"/>
          <w:color w:val="auto"/>
          <w:sz w:val="16"/>
          <w:szCs w:val="16"/>
        </w:rPr>
        <w:t xml:space="preserve">  “(c) </w:t>
      </w:r>
      <w:r w:rsidRPr="00FB227F">
        <w:rPr>
          <w:rFonts w:ascii="Arial" w:hAnsi="Arial" w:cs="Arial"/>
          <w:color w:val="auto"/>
          <w:sz w:val="16"/>
          <w:szCs w:val="16"/>
        </w:rPr>
        <w:tab/>
      </w:r>
      <w:r w:rsidRPr="00FB227F">
        <w:rPr>
          <w:rFonts w:ascii="Arial" w:hAnsi="Arial" w:cs="Arial"/>
          <w:color w:val="auto"/>
          <w:sz w:val="16"/>
          <w:szCs w:val="16"/>
          <w:lang w:val="en-AU"/>
        </w:rPr>
        <w:t>Provisions for classified advances and off balance sheet items shall be allowed in accordance with the provisions of sections 29 and 29A</w:t>
      </w:r>
      <w:r w:rsidRPr="00FB227F">
        <w:rPr>
          <w:rFonts w:ascii="Arial" w:hAnsi="Arial" w:cs="Arial"/>
          <w:color w:val="auto"/>
          <w:sz w:val="16"/>
          <w:szCs w:val="16"/>
        </w:rPr>
        <w:t>.”</w:t>
      </w:r>
    </w:p>
  </w:footnote>
  <w:footnote w:id="2446">
    <w:p w:rsidR="00BF2117" w:rsidRPr="00FB227F" w:rsidRDefault="00BF2117" w:rsidP="00AA4BF8">
      <w:pPr>
        <w:pStyle w:val="FootnoteText"/>
        <w:rPr>
          <w:rFonts w:cs="Arial"/>
          <w:sz w:val="16"/>
          <w:szCs w:val="16"/>
        </w:rPr>
      </w:pPr>
      <w:r w:rsidRPr="00FB227F">
        <w:rPr>
          <w:rStyle w:val="FootnoteReference"/>
          <w:rFonts w:cs="Arial"/>
          <w:sz w:val="16"/>
          <w:szCs w:val="16"/>
        </w:rPr>
        <w:footnoteRef/>
      </w:r>
      <w:r w:rsidRPr="00FB227F">
        <w:rPr>
          <w:rFonts w:cs="Arial"/>
          <w:sz w:val="16"/>
          <w:szCs w:val="16"/>
        </w:rPr>
        <w:t xml:space="preserve"> Inserted by the Finance Act, 2010.</w:t>
      </w:r>
    </w:p>
  </w:footnote>
  <w:footnote w:id="2447">
    <w:p w:rsidR="00BF2117" w:rsidRPr="00FB227F" w:rsidRDefault="00BF2117" w:rsidP="00AA4BF8">
      <w:pPr>
        <w:pStyle w:val="FootnoteText"/>
        <w:rPr>
          <w:rFonts w:cs="Arial"/>
          <w:sz w:val="16"/>
          <w:szCs w:val="16"/>
        </w:rPr>
      </w:pPr>
      <w:r w:rsidRPr="00FB227F">
        <w:rPr>
          <w:rStyle w:val="FootnoteReference"/>
          <w:rFonts w:cs="Arial"/>
          <w:sz w:val="16"/>
          <w:szCs w:val="16"/>
        </w:rPr>
        <w:footnoteRef/>
      </w:r>
      <w:r w:rsidRPr="00FB227F">
        <w:rPr>
          <w:rFonts w:cs="Arial"/>
          <w:sz w:val="16"/>
          <w:szCs w:val="16"/>
        </w:rPr>
        <w:t xml:space="preserve"> Proviso substituted by the Finance Act, 2011. The substituted proviso read as follows:</w:t>
      </w:r>
    </w:p>
    <w:p w:rsidR="00BF2117" w:rsidRDefault="00BF2117" w:rsidP="00AA4BF8">
      <w:pPr>
        <w:pStyle w:val="FootnoteText"/>
        <w:ind w:firstLine="374"/>
      </w:pPr>
      <w:r w:rsidRPr="00412620">
        <w:rPr>
          <w:sz w:val="16"/>
          <w:szCs w:val="16"/>
        </w:rPr>
        <w:t>“Provided that if provisioning is less than 1% of the advances, then actual provisioning for the year shall be allowed.”</w:t>
      </w:r>
    </w:p>
  </w:footnote>
  <w:footnote w:id="2448">
    <w:p w:rsidR="00BF2117" w:rsidRPr="008D2B70" w:rsidRDefault="00BF2117" w:rsidP="00AA4BF8">
      <w:pPr>
        <w:pStyle w:val="FootnoteText"/>
        <w:rPr>
          <w:sz w:val="16"/>
          <w:szCs w:val="16"/>
        </w:rPr>
      </w:pPr>
      <w:r w:rsidRPr="008D2B70">
        <w:rPr>
          <w:rStyle w:val="FootnoteReference"/>
          <w:rFonts w:cs="Arial"/>
          <w:sz w:val="16"/>
          <w:szCs w:val="16"/>
        </w:rPr>
        <w:footnoteRef/>
      </w:r>
      <w:r w:rsidRPr="008D2B70">
        <w:rPr>
          <w:sz w:val="16"/>
          <w:szCs w:val="16"/>
        </w:rPr>
        <w:t xml:space="preserve"> Inserted by the Finance Act, 2011.</w:t>
      </w:r>
    </w:p>
  </w:footnote>
  <w:footnote w:id="2449">
    <w:p w:rsidR="00BF2117" w:rsidRPr="008D2B70" w:rsidRDefault="00BF2117" w:rsidP="00AA4BF8">
      <w:pPr>
        <w:pStyle w:val="FootnoteText"/>
        <w:rPr>
          <w:sz w:val="16"/>
          <w:szCs w:val="16"/>
        </w:rPr>
      </w:pPr>
      <w:r w:rsidRPr="008D2B70">
        <w:rPr>
          <w:rStyle w:val="FootnoteReference"/>
          <w:rFonts w:cs="Arial"/>
          <w:sz w:val="16"/>
          <w:szCs w:val="16"/>
        </w:rPr>
        <w:footnoteRef/>
      </w:r>
      <w:r w:rsidRPr="008D2B70">
        <w:rPr>
          <w:sz w:val="16"/>
          <w:szCs w:val="16"/>
        </w:rPr>
        <w:t xml:space="preserve"> Inserted by the Finance Act, 2011.</w:t>
      </w:r>
    </w:p>
  </w:footnote>
  <w:footnote w:id="2450">
    <w:p w:rsidR="00BF2117" w:rsidRPr="008D2B70" w:rsidRDefault="00BF2117" w:rsidP="005A518D">
      <w:pPr>
        <w:pStyle w:val="FootnoteText"/>
        <w:ind w:left="90" w:hanging="90"/>
        <w:rPr>
          <w:sz w:val="16"/>
          <w:szCs w:val="16"/>
        </w:rPr>
      </w:pPr>
      <w:r w:rsidRPr="008D2B70">
        <w:rPr>
          <w:rStyle w:val="FootnoteReference"/>
          <w:rFonts w:cs="Arial"/>
          <w:sz w:val="16"/>
          <w:szCs w:val="16"/>
        </w:rPr>
        <w:footnoteRef/>
      </w:r>
      <w:r w:rsidRPr="008D2B70">
        <w:rPr>
          <w:sz w:val="16"/>
          <w:szCs w:val="16"/>
        </w:rPr>
        <w:t xml:space="preserve"> Inserted by the Finance Act, 2009. Earlier sub-rule (d) was omitted by the Finance Act, 2008 which read as follows:</w:t>
      </w:r>
    </w:p>
    <w:p w:rsidR="00BF2117" w:rsidRPr="008D2B70" w:rsidRDefault="00BF2117" w:rsidP="001B774D">
      <w:pPr>
        <w:pStyle w:val="2"/>
        <w:tabs>
          <w:tab w:val="clear" w:pos="960"/>
          <w:tab w:val="clear" w:pos="1200"/>
        </w:tabs>
        <w:ind w:left="270" w:firstLine="277"/>
        <w:rPr>
          <w:rFonts w:ascii="Arial" w:hAnsi="Arial" w:cs="Arial"/>
          <w:sz w:val="16"/>
          <w:szCs w:val="16"/>
        </w:rPr>
      </w:pPr>
      <w:r w:rsidRPr="008D2B70">
        <w:rPr>
          <w:rFonts w:ascii="Arial" w:hAnsi="Arial" w:cs="Arial"/>
          <w:sz w:val="16"/>
          <w:szCs w:val="16"/>
        </w:rPr>
        <w:t xml:space="preserve">“(d) </w:t>
      </w:r>
      <w:r w:rsidRPr="008D2B70">
        <w:rPr>
          <w:rFonts w:ascii="Arial" w:hAnsi="Arial" w:cs="Arial"/>
          <w:color w:val="auto"/>
          <w:sz w:val="16"/>
          <w:szCs w:val="16"/>
        </w:rPr>
        <w:t>The amount claimed as expense, on account of “irrecoverable debt” classified under the Prudential Regulations issued by the State Bank of Pakistan as “substandard”, shall not be allowed.”</w:t>
      </w:r>
    </w:p>
  </w:footnote>
  <w:footnote w:id="2451">
    <w:p w:rsidR="00BF2117" w:rsidRPr="008D2B70" w:rsidRDefault="00BF2117" w:rsidP="005A518D">
      <w:pPr>
        <w:pStyle w:val="FootnoteText"/>
        <w:ind w:left="90" w:hanging="90"/>
        <w:rPr>
          <w:sz w:val="16"/>
          <w:szCs w:val="16"/>
        </w:rPr>
      </w:pPr>
      <w:r w:rsidRPr="008D2B70">
        <w:rPr>
          <w:rStyle w:val="FootnoteReference"/>
          <w:rFonts w:cs="Arial"/>
          <w:sz w:val="16"/>
          <w:szCs w:val="16"/>
        </w:rPr>
        <w:footnoteRef/>
      </w:r>
      <w:r w:rsidRPr="008D2B70">
        <w:rPr>
          <w:sz w:val="16"/>
          <w:szCs w:val="16"/>
        </w:rPr>
        <w:t xml:space="preserve"> Inserted by the Finance Act, 2009. Earlier sub-rule (e) was omitted by the Finance Act, 2008 which read as follows:</w:t>
      </w:r>
    </w:p>
    <w:p w:rsidR="00BF2117" w:rsidRPr="008D2B70" w:rsidRDefault="00BF2117" w:rsidP="001B774D">
      <w:pPr>
        <w:pStyle w:val="2"/>
        <w:tabs>
          <w:tab w:val="clear" w:pos="960"/>
          <w:tab w:val="clear" w:pos="1200"/>
        </w:tabs>
        <w:ind w:left="180" w:firstLine="360"/>
        <w:rPr>
          <w:sz w:val="16"/>
          <w:szCs w:val="16"/>
        </w:rPr>
      </w:pPr>
      <w:r w:rsidRPr="008D2B70">
        <w:rPr>
          <w:rFonts w:ascii="Arial" w:hAnsi="Arial" w:cs="Arial"/>
          <w:color w:val="auto"/>
          <w:sz w:val="16"/>
          <w:szCs w:val="16"/>
        </w:rPr>
        <w:t>“(e)</w:t>
      </w:r>
      <w:r w:rsidRPr="008D2B70">
        <w:rPr>
          <w:rFonts w:ascii="Arial" w:hAnsi="Arial" w:cs="Arial"/>
          <w:color w:val="auto"/>
          <w:sz w:val="16"/>
          <w:szCs w:val="16"/>
        </w:rPr>
        <w:tab/>
        <w:t>Where any addition made under paragraph (d) is reclassified by the taxpayer as ‘doubtful’ or ‘loss’, under the Prudential Regulations issued by the State Bank of Pakistan, a deduction shall be allowed in computing the income for that tax year.”</w:t>
      </w:r>
    </w:p>
  </w:footnote>
  <w:footnote w:id="2452">
    <w:p w:rsidR="00BF2117" w:rsidRPr="008D2B70" w:rsidRDefault="00BF2117" w:rsidP="005A518D">
      <w:pPr>
        <w:pStyle w:val="FootnoteText"/>
        <w:ind w:left="90" w:hanging="90"/>
        <w:rPr>
          <w:sz w:val="16"/>
          <w:szCs w:val="16"/>
        </w:rPr>
      </w:pPr>
      <w:r w:rsidRPr="008D2B70">
        <w:rPr>
          <w:rStyle w:val="FootnoteReference"/>
          <w:rFonts w:cs="Arial"/>
          <w:sz w:val="16"/>
          <w:szCs w:val="16"/>
        </w:rPr>
        <w:footnoteRef/>
      </w:r>
      <w:r w:rsidRPr="008D2B70">
        <w:rPr>
          <w:sz w:val="16"/>
          <w:szCs w:val="16"/>
        </w:rPr>
        <w:t xml:space="preserve"> Inserted by the Finance Act, 2009. Earlier sub-rule (f) was omitted by the Finance Act, 2008 which read as follows:</w:t>
      </w:r>
    </w:p>
    <w:p w:rsidR="00BF2117" w:rsidRPr="008D2B70" w:rsidRDefault="00BF2117" w:rsidP="001B774D">
      <w:pPr>
        <w:keepNext/>
        <w:ind w:left="270" w:firstLine="270"/>
        <w:jc w:val="both"/>
        <w:rPr>
          <w:rFonts w:cs="Arial"/>
          <w:sz w:val="16"/>
          <w:szCs w:val="16"/>
        </w:rPr>
      </w:pPr>
      <w:r w:rsidRPr="008D2B70">
        <w:rPr>
          <w:sz w:val="16"/>
          <w:szCs w:val="16"/>
        </w:rPr>
        <w:t>“(f)</w:t>
      </w:r>
      <w:r w:rsidRPr="008D2B70">
        <w:rPr>
          <w:sz w:val="16"/>
          <w:szCs w:val="16"/>
        </w:rPr>
        <w:tab/>
        <w:t>Where any addition made under paragraph (d) is reclassified by the taxpayer in a subsequent year as ‘recoverable’, a deduction shall be allowed in computing the income for that tax year.”</w:t>
      </w:r>
    </w:p>
  </w:footnote>
  <w:footnote w:id="2453">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Inserted by S.R.O. 561(I)/2012, dated 29.05.2012.</w:t>
      </w:r>
    </w:p>
  </w:footnote>
  <w:footnote w:id="2454">
    <w:p w:rsidR="00BF2117" w:rsidRPr="00FB227F" w:rsidRDefault="00BF2117" w:rsidP="00AA4BF8">
      <w:pPr>
        <w:pStyle w:val="FootnoteText"/>
        <w:rPr>
          <w:rFonts w:cs="Arial"/>
          <w:sz w:val="16"/>
          <w:szCs w:val="16"/>
        </w:rPr>
      </w:pPr>
      <w:r w:rsidRPr="00FB227F">
        <w:rPr>
          <w:rStyle w:val="FootnoteReference"/>
          <w:rFonts w:cs="Arial"/>
          <w:sz w:val="16"/>
          <w:szCs w:val="16"/>
        </w:rPr>
        <w:footnoteRef/>
      </w:r>
      <w:r w:rsidRPr="00FB227F">
        <w:rPr>
          <w:rFonts w:cs="Arial"/>
          <w:sz w:val="16"/>
          <w:szCs w:val="16"/>
        </w:rPr>
        <w:t xml:space="preserve"> Inserted by S.R.O. 561(I)/2012, dated 29.05.2012.</w:t>
      </w:r>
    </w:p>
  </w:footnote>
  <w:footnote w:id="2455">
    <w:p w:rsidR="00BF2117" w:rsidRDefault="00BF2117" w:rsidP="003622CC">
      <w:pPr>
        <w:pStyle w:val="1"/>
        <w:rPr>
          <w:rFonts w:ascii="Arial" w:hAnsi="Arial" w:cs="Arial"/>
          <w:sz w:val="16"/>
          <w:szCs w:val="16"/>
        </w:rPr>
      </w:pPr>
      <w:r w:rsidRPr="003622CC">
        <w:rPr>
          <w:rStyle w:val="FootnoteReference"/>
          <w:rFonts w:ascii="Arial" w:hAnsi="Arial" w:cs="Arial"/>
          <w:sz w:val="16"/>
          <w:szCs w:val="16"/>
        </w:rPr>
        <w:footnoteRef/>
      </w:r>
      <w:r w:rsidRPr="003622CC">
        <w:rPr>
          <w:rFonts w:ascii="Arial" w:hAnsi="Arial" w:cs="Arial"/>
          <w:sz w:val="16"/>
          <w:szCs w:val="16"/>
        </w:rPr>
        <w:t xml:space="preserve"> The expression omitted by the Finance Act, 2015. The omitted expression read as follows:- </w:t>
      </w:r>
    </w:p>
    <w:p w:rsidR="00BF2117" w:rsidRPr="003622CC" w:rsidRDefault="00BF2117" w:rsidP="003622CC">
      <w:pPr>
        <w:pStyle w:val="1"/>
        <w:ind w:left="547"/>
        <w:rPr>
          <w:sz w:val="16"/>
          <w:szCs w:val="16"/>
        </w:rPr>
      </w:pPr>
      <w:r>
        <w:rPr>
          <w:rFonts w:ascii="Arial" w:hAnsi="Arial" w:cs="Arial"/>
          <w:sz w:val="16"/>
          <w:szCs w:val="16"/>
        </w:rPr>
        <w:t>“</w:t>
      </w:r>
      <w:r w:rsidRPr="003622CC">
        <w:rPr>
          <w:rFonts w:ascii="Arial" w:hAnsi="Arial" w:cs="Arial"/>
          <w:color w:val="auto"/>
          <w:sz w:val="16"/>
          <w:szCs w:val="16"/>
        </w:rPr>
        <w:t>T</w:t>
      </w:r>
      <w:r w:rsidRPr="00FB54C6">
        <w:rPr>
          <w:rFonts w:ascii="Arial" w:hAnsi="Arial" w:cs="Arial"/>
          <w:color w:val="auto"/>
          <w:sz w:val="16"/>
          <w:szCs w:val="16"/>
        </w:rPr>
        <w:t xml:space="preserve">he net income from “Dividend” and net income from “Capital Gains on sale of shares of listed companies” shall be taxed at the rate of ten </w:t>
      </w:r>
      <w:r w:rsidRPr="00FB54C6">
        <w:rPr>
          <w:rStyle w:val="FootnoteReference"/>
          <w:rFonts w:ascii="Arial" w:hAnsi="Arial" w:cs="Arial"/>
          <w:color w:val="auto"/>
          <w:sz w:val="16"/>
          <w:szCs w:val="16"/>
        </w:rPr>
        <w:footnoteRef/>
      </w:r>
      <w:r w:rsidRPr="00FB54C6">
        <w:rPr>
          <w:rFonts w:ascii="Arial" w:hAnsi="Arial" w:cs="Arial"/>
          <w:color w:val="auto"/>
          <w:sz w:val="16"/>
          <w:szCs w:val="16"/>
        </w:rPr>
        <w:t>[and twelve and a half, respectively:</w:t>
      </w:r>
      <w:r>
        <w:rPr>
          <w:rFonts w:ascii="Arial" w:hAnsi="Arial" w:cs="Arial"/>
          <w:color w:val="auto"/>
          <w:sz w:val="16"/>
          <w:szCs w:val="16"/>
        </w:rPr>
        <w:t>”</w:t>
      </w:r>
    </w:p>
  </w:footnote>
  <w:footnote w:id="2456">
    <w:p w:rsidR="00BF2117" w:rsidRDefault="00BF2117" w:rsidP="003622CC">
      <w:pPr>
        <w:pStyle w:val="1"/>
        <w:ind w:left="1641" w:hanging="1641"/>
        <w:rPr>
          <w:rFonts w:ascii="Arial" w:hAnsi="Arial" w:cs="Arial"/>
          <w:sz w:val="16"/>
          <w:szCs w:val="16"/>
        </w:rPr>
      </w:pPr>
      <w:r w:rsidRPr="003622CC">
        <w:rPr>
          <w:rStyle w:val="FootnoteReference"/>
          <w:rFonts w:ascii="Arial" w:hAnsi="Arial" w:cs="Arial"/>
          <w:sz w:val="16"/>
          <w:szCs w:val="16"/>
        </w:rPr>
        <w:footnoteRef/>
      </w:r>
      <w:r w:rsidRPr="003622CC">
        <w:rPr>
          <w:rFonts w:ascii="Arial" w:hAnsi="Arial" w:cs="Arial"/>
          <w:sz w:val="16"/>
          <w:szCs w:val="16"/>
        </w:rPr>
        <w:t xml:space="preserve"> First proviso omitted by the Finance Act, 2015. The omitted proviso read as follows:-</w:t>
      </w:r>
    </w:p>
    <w:p w:rsidR="00BF2117" w:rsidRPr="003622CC" w:rsidRDefault="00BF2117" w:rsidP="00DA5FC6">
      <w:pPr>
        <w:pStyle w:val="1"/>
        <w:ind w:left="270" w:hanging="270"/>
        <w:rPr>
          <w:sz w:val="16"/>
          <w:szCs w:val="16"/>
        </w:rPr>
      </w:pPr>
      <w:r>
        <w:rPr>
          <w:rFonts w:ascii="Arial" w:hAnsi="Arial" w:cs="Arial"/>
          <w:sz w:val="16"/>
          <w:szCs w:val="16"/>
        </w:rPr>
        <w:tab/>
      </w:r>
      <w:r w:rsidRPr="003622CC">
        <w:rPr>
          <w:rFonts w:ascii="Arial" w:hAnsi="Arial" w:cs="Arial"/>
          <w:sz w:val="16"/>
          <w:szCs w:val="16"/>
        </w:rPr>
        <w:t>“</w:t>
      </w:r>
      <w:r w:rsidRPr="003622CC">
        <w:rPr>
          <w:rFonts w:ascii="Arial" w:hAnsi="Arial" w:cs="Arial"/>
          <w:color w:val="auto"/>
          <w:sz w:val="16"/>
          <w:szCs w:val="16"/>
        </w:rPr>
        <w:t>Provided that where the shares of listed companies are disposed of within one</w:t>
      </w:r>
      <w:r w:rsidRPr="00FB54C6">
        <w:rPr>
          <w:rFonts w:ascii="Arial" w:hAnsi="Arial" w:cs="Arial"/>
          <w:color w:val="auto"/>
          <w:sz w:val="16"/>
          <w:szCs w:val="16"/>
        </w:rPr>
        <w:t xml:space="preserve"> year of the date of acquisition, the gain shall be taxed at the rate provided in Division II of Part I of the First Schedule:</w:t>
      </w:r>
      <w:r>
        <w:rPr>
          <w:rFonts w:ascii="Arial" w:hAnsi="Arial" w:cs="Arial"/>
          <w:color w:val="auto"/>
          <w:sz w:val="16"/>
          <w:szCs w:val="16"/>
        </w:rPr>
        <w:t>”</w:t>
      </w:r>
    </w:p>
  </w:footnote>
  <w:footnote w:id="2457">
    <w:p w:rsidR="00BF2117" w:rsidRDefault="00BF2117" w:rsidP="00835619">
      <w:pPr>
        <w:pStyle w:val="1"/>
        <w:ind w:left="1641" w:hanging="1641"/>
        <w:rPr>
          <w:rFonts w:ascii="Arial" w:hAnsi="Arial" w:cs="Arial"/>
          <w:sz w:val="16"/>
          <w:szCs w:val="16"/>
        </w:rPr>
      </w:pPr>
      <w:r w:rsidRPr="00835619">
        <w:rPr>
          <w:rStyle w:val="FootnoteReference"/>
          <w:rFonts w:ascii="Arial" w:hAnsi="Arial" w:cs="Arial"/>
          <w:sz w:val="16"/>
          <w:szCs w:val="16"/>
        </w:rPr>
        <w:footnoteRef/>
      </w:r>
      <w:r w:rsidRPr="00835619">
        <w:rPr>
          <w:rFonts w:ascii="Arial" w:hAnsi="Arial" w:cs="Arial"/>
          <w:sz w:val="16"/>
          <w:szCs w:val="16"/>
        </w:rPr>
        <w:t xml:space="preserve"> Second proviso omitted by the Finance Act, 2015. The omitted proviso read as follows:- </w:t>
      </w:r>
    </w:p>
    <w:p w:rsidR="00BF2117" w:rsidRPr="003622CC" w:rsidRDefault="00BF2117" w:rsidP="00DA5FC6">
      <w:pPr>
        <w:pStyle w:val="1"/>
        <w:ind w:left="270" w:hanging="270"/>
        <w:rPr>
          <w:sz w:val="16"/>
          <w:szCs w:val="16"/>
        </w:rPr>
      </w:pPr>
      <w:r>
        <w:rPr>
          <w:rFonts w:ascii="Arial" w:hAnsi="Arial" w:cs="Arial"/>
          <w:sz w:val="16"/>
          <w:szCs w:val="16"/>
        </w:rPr>
        <w:tab/>
        <w:t>“</w:t>
      </w:r>
      <w:r w:rsidRPr="00835619">
        <w:rPr>
          <w:rFonts w:ascii="Arial" w:hAnsi="Arial" w:cs="Arial"/>
          <w:color w:val="auto"/>
          <w:sz w:val="16"/>
          <w:szCs w:val="16"/>
        </w:rPr>
        <w:t>Provided further that the “Dividend” received by a banking</w:t>
      </w:r>
      <w:r w:rsidRPr="003B5E36">
        <w:rPr>
          <w:rFonts w:ascii="Arial" w:hAnsi="Arial" w:cs="Arial"/>
          <w:color w:val="auto"/>
          <w:sz w:val="16"/>
          <w:szCs w:val="16"/>
        </w:rPr>
        <w:t xml:space="preserve"> company from its asset management company shall be taxed at the rate of 20%:</w:t>
      </w:r>
      <w:r>
        <w:rPr>
          <w:rFonts w:ascii="Arial" w:hAnsi="Arial" w:cs="Arial"/>
          <w:color w:val="auto"/>
          <w:sz w:val="16"/>
          <w:szCs w:val="16"/>
        </w:rPr>
        <w:t>”</w:t>
      </w:r>
    </w:p>
  </w:footnote>
  <w:footnote w:id="2458">
    <w:p w:rsidR="00BF2117" w:rsidRDefault="00BF2117" w:rsidP="00DA5FC6">
      <w:pPr>
        <w:rPr>
          <w:rFonts w:cs="Arial"/>
          <w:sz w:val="16"/>
          <w:szCs w:val="16"/>
        </w:rPr>
      </w:pPr>
      <w:r w:rsidRPr="003622CC">
        <w:rPr>
          <w:rStyle w:val="FootnoteReference"/>
          <w:sz w:val="16"/>
          <w:szCs w:val="16"/>
        </w:rPr>
        <w:footnoteRef/>
      </w:r>
      <w:r>
        <w:rPr>
          <w:sz w:val="16"/>
          <w:szCs w:val="16"/>
        </w:rPr>
        <w:t xml:space="preserve">Third </w:t>
      </w:r>
      <w:r w:rsidRPr="00835619">
        <w:rPr>
          <w:rFonts w:cs="Arial"/>
          <w:sz w:val="16"/>
          <w:szCs w:val="16"/>
        </w:rPr>
        <w:t>proviso omitted by the Finance Act, 2015. The omitted proviso read as follows:-</w:t>
      </w:r>
    </w:p>
    <w:p w:rsidR="00BF2117" w:rsidRPr="00FB54C6" w:rsidRDefault="00BF2117" w:rsidP="00DA5FC6">
      <w:pPr>
        <w:ind w:left="270"/>
        <w:jc w:val="both"/>
        <w:rPr>
          <w:sz w:val="16"/>
          <w:szCs w:val="16"/>
        </w:rPr>
      </w:pPr>
      <w:r>
        <w:rPr>
          <w:rFonts w:cs="Arial"/>
          <w:sz w:val="16"/>
          <w:szCs w:val="16"/>
        </w:rPr>
        <w:t>“</w:t>
      </w:r>
      <w:r w:rsidRPr="00FB54C6">
        <w:rPr>
          <w:rFonts w:cs="Arial"/>
          <w:sz w:val="16"/>
          <w:szCs w:val="16"/>
        </w:rPr>
        <w:t>Provided also that the dividend received from Money Market Funds and Income Funds shall be taxed at the rate of 25% for tax year 2013onwards.</w:t>
      </w:r>
      <w:r>
        <w:rPr>
          <w:rFonts w:cs="Arial"/>
          <w:sz w:val="16"/>
          <w:szCs w:val="16"/>
        </w:rPr>
        <w:t>”</w:t>
      </w:r>
    </w:p>
    <w:p w:rsidR="00BF2117" w:rsidRPr="003622CC" w:rsidRDefault="00BF2117" w:rsidP="003622CC">
      <w:pPr>
        <w:pStyle w:val="FootnoteText"/>
        <w:rPr>
          <w:sz w:val="16"/>
          <w:szCs w:val="16"/>
          <w:lang w:val="en-US"/>
        </w:rPr>
      </w:pPr>
    </w:p>
  </w:footnote>
  <w:footnote w:id="2459">
    <w:p w:rsidR="00BF2117" w:rsidRDefault="00BF2117" w:rsidP="0051584C">
      <w:pPr>
        <w:pStyle w:val="1"/>
        <w:rPr>
          <w:rStyle w:val="FootnoteReference"/>
          <w:rFonts w:ascii="Arial" w:hAnsi="Arial" w:cs="Arial"/>
          <w:color w:val="auto"/>
          <w:sz w:val="16"/>
          <w:szCs w:val="16"/>
        </w:rPr>
      </w:pPr>
      <w:r w:rsidRPr="0051584C">
        <w:rPr>
          <w:rStyle w:val="FootnoteReference"/>
          <w:rFonts w:ascii="Arial" w:hAnsi="Arial" w:cs="Arial"/>
          <w:color w:val="auto"/>
          <w:sz w:val="16"/>
          <w:szCs w:val="16"/>
        </w:rPr>
        <w:footnoteRef/>
      </w:r>
      <w:r w:rsidRPr="0051584C">
        <w:rPr>
          <w:rFonts w:ascii="Arial" w:hAnsi="Arial" w:cs="Arial"/>
          <w:color w:val="auto"/>
          <w:sz w:val="16"/>
          <w:szCs w:val="16"/>
        </w:rPr>
        <w:t>Rule (6A) omitted by the Finance Act, 2015. The omitted rule (6A) read as follows:-</w:t>
      </w:r>
    </w:p>
    <w:p w:rsidR="00BF2117" w:rsidRPr="0051584C" w:rsidRDefault="00BF2117" w:rsidP="00176A39">
      <w:pPr>
        <w:pStyle w:val="1"/>
        <w:ind w:left="360"/>
        <w:rPr>
          <w:rFonts w:ascii="Arial" w:hAnsi="Arial" w:cs="Arial"/>
          <w:color w:val="auto"/>
          <w:sz w:val="16"/>
          <w:szCs w:val="16"/>
        </w:rPr>
      </w:pPr>
      <w:r>
        <w:rPr>
          <w:rFonts w:ascii="Arial" w:hAnsi="Arial" w:cs="Arial"/>
          <w:color w:val="auto"/>
          <w:sz w:val="16"/>
          <w:szCs w:val="16"/>
        </w:rPr>
        <w:t>“</w:t>
      </w:r>
      <w:r w:rsidRPr="0051584C">
        <w:rPr>
          <w:rFonts w:ascii="Arial" w:hAnsi="Arial" w:cs="Arial"/>
          <w:color w:val="auto"/>
          <w:sz w:val="16"/>
          <w:szCs w:val="16"/>
        </w:rPr>
        <w:t>6A. For the purpose of rule 6, net income from dividend shall be computed according to the following formula, namely:-</w:t>
      </w:r>
    </w:p>
    <w:p w:rsidR="00BF2117" w:rsidRPr="0051584C" w:rsidRDefault="00BF2117" w:rsidP="0051584C">
      <w:pPr>
        <w:pStyle w:val="1"/>
        <w:jc w:val="center"/>
        <w:rPr>
          <w:rFonts w:ascii="Arial" w:hAnsi="Arial" w:cs="Arial"/>
          <w:color w:val="auto"/>
          <w:sz w:val="16"/>
          <w:szCs w:val="16"/>
        </w:rPr>
      </w:pPr>
      <w:r w:rsidRPr="0051584C">
        <w:rPr>
          <w:rFonts w:ascii="Arial" w:hAnsi="Arial" w:cs="Arial"/>
          <w:color w:val="auto"/>
          <w:sz w:val="16"/>
          <w:szCs w:val="16"/>
        </w:rPr>
        <w:t>(A/C) × B</w:t>
      </w:r>
    </w:p>
    <w:p w:rsidR="00BF2117" w:rsidRPr="0051584C" w:rsidRDefault="00BF2117" w:rsidP="0051584C">
      <w:pPr>
        <w:pStyle w:val="1"/>
        <w:rPr>
          <w:rFonts w:ascii="Arial" w:hAnsi="Arial" w:cs="Arial"/>
          <w:color w:val="auto"/>
          <w:sz w:val="16"/>
          <w:szCs w:val="16"/>
        </w:rPr>
      </w:pPr>
      <w:r>
        <w:rPr>
          <w:rFonts w:ascii="Arial" w:hAnsi="Arial" w:cs="Arial"/>
          <w:color w:val="auto"/>
          <w:sz w:val="16"/>
          <w:szCs w:val="16"/>
        </w:rPr>
        <w:tab/>
      </w:r>
      <w:r w:rsidRPr="0051584C">
        <w:rPr>
          <w:rFonts w:ascii="Arial" w:hAnsi="Arial" w:cs="Arial"/>
          <w:color w:val="auto"/>
          <w:sz w:val="16"/>
          <w:szCs w:val="16"/>
        </w:rPr>
        <w:t>Where-</w:t>
      </w:r>
    </w:p>
    <w:p w:rsidR="00BF2117" w:rsidRPr="0051584C" w:rsidRDefault="00BF2117" w:rsidP="0051584C">
      <w:pPr>
        <w:pStyle w:val="1"/>
        <w:tabs>
          <w:tab w:val="clear" w:pos="720"/>
          <w:tab w:val="left" w:pos="630"/>
        </w:tabs>
        <w:rPr>
          <w:rFonts w:ascii="Arial" w:hAnsi="Arial" w:cs="Arial"/>
          <w:color w:val="auto"/>
          <w:sz w:val="16"/>
          <w:szCs w:val="16"/>
        </w:rPr>
      </w:pPr>
      <w:r>
        <w:rPr>
          <w:rFonts w:ascii="Arial" w:hAnsi="Arial" w:cs="Arial"/>
          <w:color w:val="auto"/>
          <w:sz w:val="16"/>
          <w:szCs w:val="16"/>
        </w:rPr>
        <w:tab/>
      </w:r>
      <w:r>
        <w:rPr>
          <w:rFonts w:ascii="Arial" w:hAnsi="Arial" w:cs="Arial"/>
          <w:color w:val="auto"/>
          <w:sz w:val="16"/>
          <w:szCs w:val="16"/>
        </w:rPr>
        <w:tab/>
      </w:r>
      <w:r w:rsidRPr="0051584C">
        <w:rPr>
          <w:rFonts w:ascii="Arial" w:hAnsi="Arial" w:cs="Arial"/>
          <w:color w:val="auto"/>
          <w:sz w:val="16"/>
          <w:szCs w:val="16"/>
        </w:rPr>
        <w:t xml:space="preserve">A </w:t>
      </w:r>
      <w:r w:rsidRPr="0051584C">
        <w:rPr>
          <w:rFonts w:ascii="Arial" w:hAnsi="Arial" w:cs="Arial"/>
          <w:color w:val="auto"/>
          <w:sz w:val="16"/>
          <w:szCs w:val="16"/>
        </w:rPr>
        <w:tab/>
        <w:t>is the total amount of expenditure as per this Schedule;</w:t>
      </w:r>
    </w:p>
    <w:p w:rsidR="00BF2117" w:rsidRPr="0051584C" w:rsidRDefault="00BF2117" w:rsidP="0051584C">
      <w:pPr>
        <w:pStyle w:val="1"/>
        <w:tabs>
          <w:tab w:val="clear" w:pos="720"/>
          <w:tab w:val="left" w:pos="630"/>
        </w:tabs>
        <w:rPr>
          <w:rFonts w:ascii="Arial" w:hAnsi="Arial" w:cs="Arial"/>
          <w:color w:val="auto"/>
          <w:sz w:val="16"/>
          <w:szCs w:val="16"/>
        </w:rPr>
      </w:pPr>
      <w:r>
        <w:rPr>
          <w:rFonts w:ascii="Arial" w:hAnsi="Arial" w:cs="Arial"/>
          <w:color w:val="auto"/>
          <w:sz w:val="16"/>
          <w:szCs w:val="16"/>
        </w:rPr>
        <w:tab/>
      </w:r>
      <w:r>
        <w:rPr>
          <w:rFonts w:ascii="Arial" w:hAnsi="Arial" w:cs="Arial"/>
          <w:color w:val="auto"/>
          <w:sz w:val="16"/>
          <w:szCs w:val="16"/>
        </w:rPr>
        <w:tab/>
      </w:r>
      <w:r w:rsidRPr="0051584C">
        <w:rPr>
          <w:rFonts w:ascii="Arial" w:hAnsi="Arial" w:cs="Arial"/>
          <w:color w:val="auto"/>
          <w:sz w:val="16"/>
          <w:szCs w:val="16"/>
        </w:rPr>
        <w:t xml:space="preserve">B </w:t>
      </w:r>
      <w:r w:rsidRPr="0051584C">
        <w:rPr>
          <w:rFonts w:ascii="Arial" w:hAnsi="Arial" w:cs="Arial"/>
          <w:color w:val="auto"/>
          <w:sz w:val="16"/>
          <w:szCs w:val="16"/>
        </w:rPr>
        <w:tab/>
        <w:t>is the gross amount of dividend received; and</w:t>
      </w:r>
    </w:p>
    <w:p w:rsidR="00BF2117" w:rsidRPr="0051584C" w:rsidRDefault="00BF2117" w:rsidP="0051584C">
      <w:pPr>
        <w:pStyle w:val="1"/>
        <w:tabs>
          <w:tab w:val="clear" w:pos="720"/>
          <w:tab w:val="left" w:pos="630"/>
        </w:tabs>
        <w:rPr>
          <w:sz w:val="16"/>
          <w:szCs w:val="16"/>
        </w:rPr>
      </w:pPr>
      <w:r>
        <w:rPr>
          <w:rFonts w:ascii="Arial" w:hAnsi="Arial" w:cs="Arial"/>
          <w:color w:val="auto"/>
          <w:sz w:val="16"/>
          <w:szCs w:val="16"/>
        </w:rPr>
        <w:tab/>
      </w:r>
      <w:r>
        <w:rPr>
          <w:rFonts w:ascii="Arial" w:hAnsi="Arial" w:cs="Arial"/>
          <w:color w:val="auto"/>
          <w:sz w:val="16"/>
          <w:szCs w:val="16"/>
        </w:rPr>
        <w:tab/>
      </w:r>
      <w:r w:rsidRPr="0051584C">
        <w:rPr>
          <w:rFonts w:ascii="Arial" w:hAnsi="Arial" w:cs="Arial"/>
          <w:color w:val="auto"/>
          <w:sz w:val="16"/>
          <w:szCs w:val="16"/>
        </w:rPr>
        <w:t xml:space="preserve">C </w:t>
      </w:r>
      <w:r w:rsidRPr="0051584C">
        <w:rPr>
          <w:rFonts w:ascii="Arial" w:hAnsi="Arial" w:cs="Arial"/>
          <w:color w:val="auto"/>
          <w:sz w:val="16"/>
          <w:szCs w:val="16"/>
        </w:rPr>
        <w:tab/>
        <w:t>is the gross amount of receipts including dividend.</w:t>
      </w:r>
      <w:r>
        <w:rPr>
          <w:rFonts w:ascii="Arial" w:hAnsi="Arial" w:cs="Arial"/>
          <w:color w:val="auto"/>
          <w:sz w:val="16"/>
          <w:szCs w:val="16"/>
        </w:rPr>
        <w:t>”</w:t>
      </w:r>
    </w:p>
  </w:footnote>
  <w:footnote w:id="2460">
    <w:p w:rsidR="00BF2117" w:rsidRDefault="00BF2117" w:rsidP="008F7A4A">
      <w:pPr>
        <w:pStyle w:val="1"/>
        <w:rPr>
          <w:sz w:val="16"/>
          <w:szCs w:val="16"/>
        </w:rPr>
      </w:pPr>
      <w:r w:rsidRPr="008F7A4A">
        <w:rPr>
          <w:rStyle w:val="FootnoteReference"/>
          <w:sz w:val="16"/>
          <w:szCs w:val="16"/>
        </w:rPr>
        <w:footnoteRef/>
      </w:r>
      <w:r w:rsidRPr="0051584C">
        <w:rPr>
          <w:rFonts w:ascii="Arial" w:hAnsi="Arial" w:cs="Arial"/>
          <w:color w:val="auto"/>
          <w:sz w:val="16"/>
          <w:szCs w:val="16"/>
        </w:rPr>
        <w:t>Rule (6</w:t>
      </w:r>
      <w:r>
        <w:rPr>
          <w:rFonts w:ascii="Arial" w:hAnsi="Arial" w:cs="Arial"/>
          <w:color w:val="auto"/>
          <w:sz w:val="16"/>
          <w:szCs w:val="16"/>
        </w:rPr>
        <w:t>B</w:t>
      </w:r>
      <w:r w:rsidRPr="0051584C">
        <w:rPr>
          <w:rFonts w:ascii="Arial" w:hAnsi="Arial" w:cs="Arial"/>
          <w:color w:val="auto"/>
          <w:sz w:val="16"/>
          <w:szCs w:val="16"/>
        </w:rPr>
        <w:t>) omitted by the Finance Act, 2015. The omitted rule (6</w:t>
      </w:r>
      <w:r>
        <w:rPr>
          <w:rFonts w:ascii="Arial" w:hAnsi="Arial" w:cs="Arial"/>
          <w:color w:val="auto"/>
          <w:sz w:val="16"/>
          <w:szCs w:val="16"/>
        </w:rPr>
        <w:t>B</w:t>
      </w:r>
      <w:r w:rsidRPr="0051584C">
        <w:rPr>
          <w:rFonts w:ascii="Arial" w:hAnsi="Arial" w:cs="Arial"/>
          <w:color w:val="auto"/>
          <w:sz w:val="16"/>
          <w:szCs w:val="16"/>
        </w:rPr>
        <w:t>) read as follows:-</w:t>
      </w:r>
    </w:p>
    <w:p w:rsidR="00BF2117" w:rsidRPr="008F7A4A" w:rsidRDefault="00BF2117" w:rsidP="008F7A4A">
      <w:pPr>
        <w:pStyle w:val="1"/>
        <w:ind w:left="360"/>
        <w:rPr>
          <w:rFonts w:ascii="Arial" w:hAnsi="Arial" w:cs="Arial"/>
          <w:color w:val="auto"/>
          <w:sz w:val="16"/>
          <w:szCs w:val="16"/>
        </w:rPr>
      </w:pPr>
      <w:r w:rsidRPr="008F7A4A">
        <w:rPr>
          <w:rFonts w:ascii="Arial" w:hAnsi="Arial" w:cs="Arial"/>
          <w:color w:val="auto"/>
          <w:sz w:val="16"/>
          <w:szCs w:val="16"/>
        </w:rPr>
        <w:t>“6B. For the purpose of rule 6, net income from capital gains shall be computed according to the following formula, namely:</w:t>
      </w:r>
    </w:p>
    <w:p w:rsidR="00BF2117" w:rsidRPr="008F7A4A" w:rsidRDefault="00BF2117" w:rsidP="008F7A4A">
      <w:pPr>
        <w:pStyle w:val="1"/>
        <w:jc w:val="center"/>
        <w:rPr>
          <w:rFonts w:ascii="Arial" w:hAnsi="Arial" w:cs="Arial"/>
          <w:color w:val="auto"/>
          <w:sz w:val="16"/>
          <w:szCs w:val="16"/>
        </w:rPr>
      </w:pPr>
      <w:r w:rsidRPr="008F7A4A">
        <w:rPr>
          <w:rFonts w:ascii="Arial" w:hAnsi="Arial" w:cs="Arial"/>
          <w:color w:val="auto"/>
          <w:sz w:val="16"/>
          <w:szCs w:val="16"/>
        </w:rPr>
        <w:t>(A/C) × B</w:t>
      </w:r>
    </w:p>
    <w:p w:rsidR="00BF2117" w:rsidRPr="008F7A4A" w:rsidRDefault="00BF2117" w:rsidP="008F7A4A">
      <w:pPr>
        <w:pStyle w:val="1"/>
        <w:rPr>
          <w:rFonts w:ascii="Arial" w:hAnsi="Arial" w:cs="Arial"/>
          <w:color w:val="auto"/>
          <w:sz w:val="16"/>
          <w:szCs w:val="16"/>
        </w:rPr>
      </w:pPr>
      <w:r>
        <w:rPr>
          <w:rFonts w:ascii="Arial" w:hAnsi="Arial" w:cs="Arial"/>
          <w:color w:val="auto"/>
          <w:sz w:val="16"/>
          <w:szCs w:val="16"/>
        </w:rPr>
        <w:tab/>
      </w:r>
      <w:r w:rsidRPr="008F7A4A">
        <w:rPr>
          <w:rFonts w:ascii="Arial" w:hAnsi="Arial" w:cs="Arial"/>
          <w:color w:val="auto"/>
          <w:sz w:val="16"/>
          <w:szCs w:val="16"/>
        </w:rPr>
        <w:t>Where-</w:t>
      </w:r>
    </w:p>
    <w:p w:rsidR="00BF2117" w:rsidRPr="008F7A4A" w:rsidRDefault="00BF2117" w:rsidP="008F7A4A">
      <w:pPr>
        <w:pStyle w:val="1"/>
        <w:tabs>
          <w:tab w:val="left" w:pos="630"/>
        </w:tabs>
        <w:rPr>
          <w:rFonts w:ascii="Arial" w:hAnsi="Arial" w:cs="Arial"/>
          <w:color w:val="auto"/>
          <w:sz w:val="16"/>
          <w:szCs w:val="16"/>
        </w:rPr>
      </w:pPr>
      <w:r>
        <w:rPr>
          <w:rFonts w:ascii="Arial" w:hAnsi="Arial" w:cs="Arial"/>
          <w:color w:val="auto"/>
          <w:sz w:val="16"/>
          <w:szCs w:val="16"/>
        </w:rPr>
        <w:tab/>
      </w:r>
      <w:r>
        <w:rPr>
          <w:rFonts w:ascii="Arial" w:hAnsi="Arial" w:cs="Arial"/>
          <w:color w:val="auto"/>
          <w:sz w:val="16"/>
          <w:szCs w:val="16"/>
        </w:rPr>
        <w:tab/>
      </w:r>
      <w:r>
        <w:rPr>
          <w:rFonts w:ascii="Arial" w:hAnsi="Arial" w:cs="Arial"/>
          <w:color w:val="auto"/>
          <w:sz w:val="16"/>
          <w:szCs w:val="16"/>
        </w:rPr>
        <w:tab/>
      </w:r>
      <w:r w:rsidRPr="008F7A4A">
        <w:rPr>
          <w:rFonts w:ascii="Arial" w:hAnsi="Arial" w:cs="Arial"/>
          <w:color w:val="auto"/>
          <w:sz w:val="16"/>
          <w:szCs w:val="16"/>
        </w:rPr>
        <w:t>A</w:t>
      </w:r>
      <w:r w:rsidRPr="008F7A4A">
        <w:rPr>
          <w:rFonts w:ascii="Arial" w:hAnsi="Arial" w:cs="Arial"/>
          <w:color w:val="auto"/>
          <w:sz w:val="16"/>
          <w:szCs w:val="16"/>
        </w:rPr>
        <w:tab/>
        <w:t xml:space="preserve"> is the total amount of expenditure as per this Schedule;</w:t>
      </w:r>
    </w:p>
    <w:p w:rsidR="00BF2117" w:rsidRPr="008F7A4A" w:rsidRDefault="00BF2117" w:rsidP="008F7A4A">
      <w:pPr>
        <w:pStyle w:val="1"/>
        <w:tabs>
          <w:tab w:val="left" w:pos="630"/>
        </w:tabs>
        <w:rPr>
          <w:rFonts w:ascii="Arial" w:hAnsi="Arial" w:cs="Arial"/>
          <w:color w:val="auto"/>
          <w:sz w:val="16"/>
          <w:szCs w:val="16"/>
        </w:rPr>
      </w:pPr>
      <w:r>
        <w:rPr>
          <w:rFonts w:ascii="Arial" w:hAnsi="Arial" w:cs="Arial"/>
          <w:color w:val="auto"/>
          <w:sz w:val="16"/>
          <w:szCs w:val="16"/>
        </w:rPr>
        <w:tab/>
      </w:r>
      <w:r>
        <w:rPr>
          <w:rFonts w:ascii="Arial" w:hAnsi="Arial" w:cs="Arial"/>
          <w:color w:val="auto"/>
          <w:sz w:val="16"/>
          <w:szCs w:val="16"/>
        </w:rPr>
        <w:tab/>
      </w:r>
      <w:r>
        <w:rPr>
          <w:rFonts w:ascii="Arial" w:hAnsi="Arial" w:cs="Arial"/>
          <w:color w:val="auto"/>
          <w:sz w:val="16"/>
          <w:szCs w:val="16"/>
        </w:rPr>
        <w:tab/>
      </w:r>
      <w:r w:rsidRPr="008F7A4A">
        <w:rPr>
          <w:rFonts w:ascii="Arial" w:hAnsi="Arial" w:cs="Arial"/>
          <w:color w:val="auto"/>
          <w:sz w:val="16"/>
          <w:szCs w:val="16"/>
        </w:rPr>
        <w:t>B</w:t>
      </w:r>
      <w:r w:rsidRPr="008F7A4A">
        <w:rPr>
          <w:rFonts w:ascii="Arial" w:hAnsi="Arial" w:cs="Arial"/>
          <w:color w:val="auto"/>
          <w:sz w:val="16"/>
          <w:szCs w:val="16"/>
        </w:rPr>
        <w:tab/>
        <w:t xml:space="preserve"> is the gross amount of capital gains; and</w:t>
      </w:r>
    </w:p>
    <w:p w:rsidR="00BF2117" w:rsidRPr="008F7A4A" w:rsidRDefault="00BF2117" w:rsidP="008F7A4A">
      <w:pPr>
        <w:pStyle w:val="1"/>
        <w:tabs>
          <w:tab w:val="left" w:pos="630"/>
        </w:tabs>
        <w:rPr>
          <w:sz w:val="16"/>
          <w:szCs w:val="16"/>
        </w:rPr>
      </w:pPr>
      <w:r>
        <w:rPr>
          <w:rFonts w:ascii="Arial" w:hAnsi="Arial" w:cs="Arial"/>
          <w:color w:val="auto"/>
          <w:sz w:val="16"/>
          <w:szCs w:val="16"/>
        </w:rPr>
        <w:tab/>
      </w:r>
      <w:r>
        <w:rPr>
          <w:rFonts w:ascii="Arial" w:hAnsi="Arial" w:cs="Arial"/>
          <w:color w:val="auto"/>
          <w:sz w:val="16"/>
          <w:szCs w:val="16"/>
        </w:rPr>
        <w:tab/>
      </w:r>
      <w:r>
        <w:rPr>
          <w:rFonts w:ascii="Arial" w:hAnsi="Arial" w:cs="Arial"/>
          <w:color w:val="auto"/>
          <w:sz w:val="16"/>
          <w:szCs w:val="16"/>
        </w:rPr>
        <w:tab/>
      </w:r>
      <w:r w:rsidRPr="008F7A4A">
        <w:rPr>
          <w:rFonts w:ascii="Arial" w:hAnsi="Arial" w:cs="Arial"/>
          <w:color w:val="auto"/>
          <w:sz w:val="16"/>
          <w:szCs w:val="16"/>
        </w:rPr>
        <w:t>C</w:t>
      </w:r>
      <w:r w:rsidRPr="008F7A4A">
        <w:rPr>
          <w:rFonts w:ascii="Arial" w:hAnsi="Arial" w:cs="Arial"/>
          <w:color w:val="auto"/>
          <w:sz w:val="16"/>
          <w:szCs w:val="16"/>
        </w:rPr>
        <w:tab/>
        <w:t xml:space="preserve"> is the gross amount of receipts including capital gains.</w:t>
      </w:r>
      <w:r>
        <w:rPr>
          <w:rFonts w:ascii="Arial" w:hAnsi="Arial" w:cs="Arial"/>
          <w:color w:val="auto"/>
          <w:sz w:val="16"/>
          <w:szCs w:val="16"/>
        </w:rPr>
        <w:t>”</w:t>
      </w:r>
    </w:p>
  </w:footnote>
  <w:footnote w:id="2461">
    <w:p w:rsidR="00BF2117" w:rsidRPr="00FB227F" w:rsidRDefault="00BF2117" w:rsidP="00AA4BF8">
      <w:pPr>
        <w:pStyle w:val="FootnoteText"/>
        <w:rPr>
          <w:sz w:val="16"/>
          <w:szCs w:val="16"/>
          <w:lang w:val="en-US"/>
        </w:rPr>
      </w:pPr>
      <w:r w:rsidRPr="00FB227F">
        <w:rPr>
          <w:rStyle w:val="FootnoteReference"/>
          <w:rFonts w:cs="Arial"/>
          <w:sz w:val="16"/>
          <w:szCs w:val="16"/>
        </w:rPr>
        <w:footnoteRef/>
      </w:r>
      <w:r w:rsidRPr="00FB227F">
        <w:rPr>
          <w:sz w:val="16"/>
          <w:szCs w:val="16"/>
        </w:rPr>
        <w:t xml:space="preserve"> Rule 7 o</w:t>
      </w:r>
      <w:r w:rsidRPr="00FB227F">
        <w:rPr>
          <w:sz w:val="16"/>
          <w:szCs w:val="16"/>
          <w:lang w:val="en-US"/>
        </w:rPr>
        <w:t>mitted by the Finance Act, 2008. The omitted rule 7 read as follows:</w:t>
      </w:r>
    </w:p>
    <w:p w:rsidR="00BF2117" w:rsidRPr="00FB227F" w:rsidRDefault="00BF2117" w:rsidP="00AA4BF8">
      <w:pPr>
        <w:pStyle w:val="FootnoteText"/>
        <w:ind w:left="270" w:hanging="90"/>
        <w:rPr>
          <w:sz w:val="16"/>
          <w:szCs w:val="16"/>
        </w:rPr>
      </w:pPr>
      <w:r w:rsidRPr="00FB227F">
        <w:rPr>
          <w:sz w:val="16"/>
          <w:szCs w:val="16"/>
          <w:lang w:val="en-US"/>
        </w:rPr>
        <w:t>“</w:t>
      </w:r>
      <w:r w:rsidRPr="00FB227F">
        <w:rPr>
          <w:sz w:val="16"/>
          <w:szCs w:val="16"/>
        </w:rPr>
        <w:t>7.</w:t>
      </w:r>
      <w:r w:rsidRPr="00FB227F">
        <w:rPr>
          <w:sz w:val="16"/>
          <w:szCs w:val="16"/>
        </w:rPr>
        <w:tab/>
        <w:t>The provisions of section 113 shall apply to banking companies as they apply to any other resident company.”</w:t>
      </w:r>
    </w:p>
  </w:footnote>
  <w:footnote w:id="2462">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Inserted by the Finance Act, 2009.</w:t>
      </w:r>
    </w:p>
  </w:footnote>
  <w:footnote w:id="2463">
    <w:p w:rsidR="00BF2117" w:rsidRPr="00345EB1" w:rsidRDefault="00BF2117">
      <w:pPr>
        <w:pStyle w:val="FootnoteText"/>
        <w:rPr>
          <w:sz w:val="16"/>
          <w:szCs w:val="16"/>
          <w:lang w:val="en-US"/>
        </w:rPr>
      </w:pPr>
      <w:r w:rsidRPr="00345EB1">
        <w:rPr>
          <w:rStyle w:val="FootnoteReference"/>
          <w:sz w:val="16"/>
          <w:szCs w:val="16"/>
        </w:rPr>
        <w:footnoteRef/>
      </w:r>
      <w:r>
        <w:rPr>
          <w:sz w:val="16"/>
          <w:szCs w:val="16"/>
          <w:lang w:val="en-US"/>
        </w:rPr>
        <w:t xml:space="preserve">Sub-rules (7B) and (7C) inserted </w:t>
      </w:r>
      <w:r>
        <w:rPr>
          <w:sz w:val="16"/>
          <w:szCs w:val="16"/>
        </w:rPr>
        <w:t>by the Finance Act, 2015.</w:t>
      </w:r>
    </w:p>
  </w:footnote>
  <w:footnote w:id="2464">
    <w:p w:rsidR="00BF2117" w:rsidRPr="000E5E48" w:rsidRDefault="00BF2117">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Inserted by the Finance Act, 2016.</w:t>
      </w:r>
    </w:p>
  </w:footnote>
  <w:footnote w:id="2465">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lang w:val="en-US"/>
        </w:rPr>
        <w:t>Inserted by the Finance Act, 2008.</w:t>
      </w:r>
    </w:p>
  </w:footnote>
  <w:footnote w:id="2466">
    <w:p w:rsidR="00BF2117" w:rsidRPr="00FB227F" w:rsidRDefault="00BF2117" w:rsidP="00AA4BF8">
      <w:pPr>
        <w:pStyle w:val="FootnoteText"/>
        <w:rPr>
          <w:sz w:val="16"/>
          <w:szCs w:val="16"/>
        </w:rPr>
      </w:pPr>
      <w:r w:rsidRPr="00FB227F">
        <w:rPr>
          <w:rStyle w:val="FootnoteReference"/>
          <w:rFonts w:cs="Arial"/>
          <w:sz w:val="16"/>
          <w:szCs w:val="16"/>
        </w:rPr>
        <w:footnoteRef/>
      </w:r>
      <w:r w:rsidRPr="00FB227F">
        <w:rPr>
          <w:sz w:val="16"/>
          <w:szCs w:val="16"/>
        </w:rPr>
        <w:t xml:space="preserve"> Added by the Finance Act, 2010.</w:t>
      </w:r>
    </w:p>
  </w:footnote>
  <w:footnote w:id="2467">
    <w:p w:rsidR="00BF2117" w:rsidRPr="000E5E48" w:rsidRDefault="00BF2117" w:rsidP="0053732C">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Inserted by the Finance Act, 2016.</w:t>
      </w:r>
    </w:p>
  </w:footnote>
  <w:footnote w:id="2468">
    <w:p w:rsidR="00BF2117" w:rsidRPr="000E5E48" w:rsidRDefault="00BF2117" w:rsidP="0053732C">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Inserted by the Finance Act, 2016.</w:t>
      </w:r>
    </w:p>
  </w:footnote>
  <w:footnote w:id="2469">
    <w:p w:rsidR="00BF2117" w:rsidRPr="000E5E48" w:rsidRDefault="00BF2117" w:rsidP="00F80A8D">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Inserted by the Finance Act, 2016.</w:t>
      </w:r>
    </w:p>
  </w:footnote>
  <w:footnote w:id="2470">
    <w:p w:rsidR="00BF2117" w:rsidRPr="000E5E48" w:rsidRDefault="00BF2117" w:rsidP="003271A5">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Full-stop substituted by the Finance Act, 2016.</w:t>
      </w:r>
    </w:p>
  </w:footnote>
  <w:footnote w:id="2471">
    <w:p w:rsidR="00BF2117" w:rsidRPr="004207A6" w:rsidRDefault="00BF2117" w:rsidP="004A08B1">
      <w:pPr>
        <w:pStyle w:val="FootnoteText"/>
        <w:rPr>
          <w:color w:val="FF0000"/>
          <w:sz w:val="16"/>
          <w:szCs w:val="16"/>
          <w:lang w:val="en-US"/>
        </w:rPr>
      </w:pPr>
      <w:r w:rsidRPr="000E5E48">
        <w:rPr>
          <w:rStyle w:val="FootnoteReference"/>
          <w:color w:val="0070C0"/>
          <w:sz w:val="16"/>
          <w:szCs w:val="16"/>
        </w:rPr>
        <w:footnoteRef/>
      </w:r>
      <w:r w:rsidRPr="000E5E48">
        <w:rPr>
          <w:color w:val="0070C0"/>
          <w:sz w:val="16"/>
          <w:szCs w:val="16"/>
        </w:rPr>
        <w:t xml:space="preserve"> Added by the Finance Act, 2016.</w:t>
      </w:r>
    </w:p>
  </w:footnote>
  <w:footnote w:id="2472">
    <w:p w:rsidR="00BF2117" w:rsidRPr="000E5E48" w:rsidRDefault="00BF2117" w:rsidP="009C71CB">
      <w:pPr>
        <w:pStyle w:val="FootnoteText"/>
        <w:rPr>
          <w:color w:val="0070C0"/>
          <w:sz w:val="16"/>
          <w:szCs w:val="16"/>
          <w:lang w:val="en-US"/>
        </w:rPr>
      </w:pPr>
      <w:r w:rsidRPr="000E5E48">
        <w:rPr>
          <w:rStyle w:val="FootnoteReference"/>
          <w:color w:val="0070C0"/>
          <w:sz w:val="16"/>
          <w:szCs w:val="16"/>
        </w:rPr>
        <w:footnoteRef/>
      </w:r>
      <w:r w:rsidRPr="000E5E48">
        <w:rPr>
          <w:color w:val="0070C0"/>
          <w:sz w:val="16"/>
          <w:szCs w:val="16"/>
        </w:rPr>
        <w:t xml:space="preserve"> Inserted by the Finance Act, 2016.</w:t>
      </w:r>
    </w:p>
  </w:footnote>
  <w:footnote w:id="2473">
    <w:p w:rsidR="00BF2117" w:rsidRPr="00345EB1" w:rsidRDefault="00BF2117">
      <w:pPr>
        <w:pStyle w:val="FootnoteText"/>
        <w:rPr>
          <w:lang w:val="en-US"/>
        </w:rPr>
      </w:pPr>
      <w:r w:rsidRPr="00345EB1">
        <w:rPr>
          <w:rStyle w:val="FootnoteReference"/>
          <w:sz w:val="16"/>
          <w:szCs w:val="16"/>
        </w:rPr>
        <w:footnoteRef/>
      </w:r>
      <w:r w:rsidRPr="00345EB1">
        <w:rPr>
          <w:sz w:val="16"/>
          <w:szCs w:val="16"/>
          <w:lang w:val="en-US"/>
        </w:rPr>
        <w:t>Added by the Finance Act, 2015</w:t>
      </w:r>
      <w:r>
        <w:rPr>
          <w:lang w:val="en-US"/>
        </w:rPr>
        <w:t>.</w:t>
      </w:r>
    </w:p>
  </w:footnote>
  <w:footnote w:id="2474">
    <w:p w:rsidR="00BF2117" w:rsidRPr="007642C5" w:rsidRDefault="00BF2117" w:rsidP="00AA7E26">
      <w:pPr>
        <w:pStyle w:val="FootnoteText"/>
        <w:ind w:left="90" w:hanging="90"/>
        <w:jc w:val="both"/>
        <w:rPr>
          <w:color w:val="000000" w:themeColor="text1"/>
          <w:sz w:val="16"/>
          <w:szCs w:val="16"/>
          <w:lang w:val="en-US"/>
        </w:rPr>
      </w:pPr>
      <w:r w:rsidRPr="007642C5">
        <w:rPr>
          <w:rStyle w:val="FootnoteReference"/>
          <w:color w:val="000000" w:themeColor="text1"/>
          <w:sz w:val="16"/>
          <w:szCs w:val="16"/>
        </w:rPr>
        <w:footnoteRef/>
      </w:r>
      <w:r w:rsidRPr="007642C5">
        <w:rPr>
          <w:color w:val="000000" w:themeColor="text1"/>
          <w:sz w:val="16"/>
          <w:szCs w:val="16"/>
        </w:rPr>
        <w:t xml:space="preserve"> Inserted by the National Assembly Secretariat’s O.M. No.F.22(2)/2016-Legis dated 29.01.2016.</w:t>
      </w:r>
    </w:p>
  </w:footnote>
  <w:footnote w:id="2475">
    <w:p w:rsidR="00BF2117" w:rsidRPr="007642C5" w:rsidRDefault="00BF2117" w:rsidP="00B4160E">
      <w:pPr>
        <w:autoSpaceDE w:val="0"/>
        <w:autoSpaceDN w:val="0"/>
        <w:adjustRightInd w:val="0"/>
        <w:ind w:left="547" w:hanging="547"/>
        <w:jc w:val="both"/>
        <w:rPr>
          <w:color w:val="000000" w:themeColor="text1"/>
          <w:sz w:val="16"/>
          <w:szCs w:val="16"/>
        </w:rPr>
      </w:pPr>
      <w:r w:rsidRPr="007642C5">
        <w:rPr>
          <w:rStyle w:val="FootnoteReference"/>
          <w:color w:val="000000" w:themeColor="text1"/>
          <w:sz w:val="16"/>
          <w:szCs w:val="16"/>
        </w:rPr>
        <w:footnoteRef/>
      </w:r>
      <w:r w:rsidRPr="007642C5">
        <w:rPr>
          <w:color w:val="000000" w:themeColor="text1"/>
          <w:sz w:val="16"/>
          <w:szCs w:val="16"/>
        </w:rPr>
        <w:t xml:space="preserve"> Inserted by the notification dated 30.01.2016.</w:t>
      </w:r>
    </w:p>
    <w:p w:rsidR="00BF2117" w:rsidRPr="007642C5" w:rsidRDefault="00BF2117" w:rsidP="00B4160E">
      <w:pPr>
        <w:autoSpaceDE w:val="0"/>
        <w:autoSpaceDN w:val="0"/>
        <w:adjustRightInd w:val="0"/>
        <w:ind w:left="90"/>
        <w:jc w:val="both"/>
        <w:rPr>
          <w:rFonts w:cs="Arial"/>
          <w:color w:val="000000" w:themeColor="text1"/>
          <w:sz w:val="16"/>
          <w:szCs w:val="16"/>
          <w:lang w:val="en-US"/>
        </w:rPr>
      </w:pPr>
      <w:r w:rsidRPr="007642C5">
        <w:rPr>
          <w:rFonts w:cs="Arial"/>
          <w:color w:val="000000" w:themeColor="text1"/>
          <w:sz w:val="16"/>
          <w:szCs w:val="16"/>
          <w:lang w:val="en-US"/>
        </w:rPr>
        <w:t>[“ *Notification</w:t>
      </w:r>
    </w:p>
    <w:p w:rsidR="00BF2117" w:rsidRPr="00B4160E" w:rsidRDefault="00BF2117" w:rsidP="00B4160E">
      <w:pPr>
        <w:pStyle w:val="FootnoteText"/>
        <w:ind w:left="450" w:firstLine="0"/>
        <w:jc w:val="both"/>
        <w:rPr>
          <w:color w:val="7030A0"/>
          <w:lang w:val="en-US"/>
        </w:rPr>
      </w:pPr>
      <w:r w:rsidRPr="007642C5">
        <w:rPr>
          <w:color w:val="000000" w:themeColor="text1"/>
          <w:sz w:val="16"/>
          <w:szCs w:val="16"/>
        </w:rPr>
        <w:t>In exercise of the powers conferred by sub-rule (a) of Rule 15 of Part III of the Ninth Schedule to the Income Tax Ordinance, the Federal Government, is pleased to specify the due date as twenty ninth February, 2016 for filing of income tax returns for the tax year 2015 under rule 3 read with rule 17 of Part III of the Ninth Schedule to the Income Tax Ordinance, 2001.”]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117" w:rsidRDefault="00263E4C">
    <w:pPr>
      <w:pStyle w:val="Header"/>
      <w:framePr w:wrap="around" w:vAnchor="text" w:hAnchor="margin" w:xAlign="center" w:y="1"/>
      <w:rPr>
        <w:rStyle w:val="PageNumber"/>
        <w:rFonts w:cs="Times New Roman"/>
      </w:rPr>
    </w:pPr>
    <w:r>
      <w:rPr>
        <w:rStyle w:val="PageNumber"/>
        <w:rFonts w:cs="Times New Roman"/>
      </w:rPr>
      <w:fldChar w:fldCharType="begin"/>
    </w:r>
    <w:r w:rsidR="00BF2117">
      <w:rPr>
        <w:rStyle w:val="PageNumber"/>
        <w:rFonts w:cs="Times New Roman"/>
      </w:rPr>
      <w:instrText xml:space="preserve">PAGE  </w:instrText>
    </w:r>
    <w:r>
      <w:rPr>
        <w:rStyle w:val="PageNumber"/>
        <w:rFonts w:cs="Times New Roman"/>
      </w:rPr>
      <w:fldChar w:fldCharType="separate"/>
    </w:r>
    <w:r w:rsidR="00BF2117">
      <w:rPr>
        <w:rStyle w:val="PageNumber"/>
        <w:rFonts w:cs="Times New Roman"/>
        <w:noProof/>
      </w:rPr>
      <w:t>1</w:t>
    </w:r>
    <w:r>
      <w:rPr>
        <w:rStyle w:val="PageNumber"/>
        <w:rFonts w:cs="Times New Roman"/>
      </w:rPr>
      <w:fldChar w:fldCharType="end"/>
    </w:r>
  </w:p>
  <w:p w:rsidR="00BF2117" w:rsidRDefault="00BF2117">
    <w:pPr>
      <w:pStyle w:val="Header"/>
      <w:rPr>
        <w:rFonts w:cs="Arial"/>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117" w:rsidRDefault="00263E4C">
    <w:pPr>
      <w:pStyle w:val="Header"/>
      <w:framePr w:wrap="around" w:vAnchor="text" w:hAnchor="margin" w:xAlign="center" w:y="1"/>
      <w:rPr>
        <w:rStyle w:val="PageNumber"/>
        <w:rFonts w:cs="Times New Roman"/>
      </w:rPr>
    </w:pPr>
    <w:r>
      <w:rPr>
        <w:rStyle w:val="PageNumber"/>
        <w:rFonts w:cs="Times New Roman"/>
      </w:rPr>
      <w:fldChar w:fldCharType="begin"/>
    </w:r>
    <w:r w:rsidR="00BF2117">
      <w:rPr>
        <w:rStyle w:val="PageNumber"/>
        <w:rFonts w:cs="Times New Roman"/>
      </w:rPr>
      <w:instrText xml:space="preserve">PAGE  </w:instrText>
    </w:r>
    <w:r>
      <w:rPr>
        <w:rStyle w:val="PageNumber"/>
        <w:rFonts w:cs="Times New Roman"/>
      </w:rPr>
      <w:fldChar w:fldCharType="separate"/>
    </w:r>
    <w:r w:rsidR="002E0E23">
      <w:rPr>
        <w:rStyle w:val="PageNumber"/>
        <w:rFonts w:cs="Times New Roman"/>
        <w:noProof/>
      </w:rPr>
      <w:t>465</w:t>
    </w:r>
    <w:r>
      <w:rPr>
        <w:rStyle w:val="PageNumber"/>
        <w:rFonts w:cs="Times New Roman"/>
      </w:rPr>
      <w:fldChar w:fldCharType="end"/>
    </w:r>
  </w:p>
  <w:p w:rsidR="00BF2117" w:rsidRDefault="00BF2117">
    <w:pPr>
      <w:pStyle w:val="Header"/>
      <w:rPr>
        <w:rFonts w:cs="Arial"/>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FA69A0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6329D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E80DDB0"/>
    <w:lvl w:ilvl="0">
      <w:start w:val="1"/>
      <w:numFmt w:val="decimal"/>
      <w:pStyle w:val="ListNumber3"/>
      <w:lvlText w:val="%1."/>
      <w:lvlJc w:val="left"/>
      <w:pPr>
        <w:tabs>
          <w:tab w:val="num" w:pos="926"/>
        </w:tabs>
        <w:ind w:left="926" w:hanging="360"/>
      </w:pPr>
    </w:lvl>
  </w:abstractNum>
  <w:abstractNum w:abstractNumId="3">
    <w:nsid w:val="FFFFFF7F"/>
    <w:multiLevelType w:val="singleLevel"/>
    <w:tmpl w:val="EF06559C"/>
    <w:lvl w:ilvl="0">
      <w:start w:val="1"/>
      <w:numFmt w:val="decimal"/>
      <w:pStyle w:val="ListNumber2"/>
      <w:lvlText w:val="%1."/>
      <w:lvlJc w:val="left"/>
      <w:pPr>
        <w:tabs>
          <w:tab w:val="num" w:pos="643"/>
        </w:tabs>
        <w:ind w:left="643" w:hanging="360"/>
      </w:pPr>
    </w:lvl>
  </w:abstractNum>
  <w:abstractNum w:abstractNumId="4">
    <w:nsid w:val="FFFFFF80"/>
    <w:multiLevelType w:val="singleLevel"/>
    <w:tmpl w:val="B3A2C0A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344F8F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CAC952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982839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700ABD8"/>
    <w:lvl w:ilvl="0">
      <w:start w:val="1"/>
      <w:numFmt w:val="decimal"/>
      <w:pStyle w:val="ListNumber"/>
      <w:lvlText w:val="%1."/>
      <w:lvlJc w:val="left"/>
      <w:pPr>
        <w:tabs>
          <w:tab w:val="num" w:pos="360"/>
        </w:tabs>
        <w:ind w:left="360" w:hanging="360"/>
      </w:pPr>
    </w:lvl>
  </w:abstractNum>
  <w:abstractNum w:abstractNumId="9">
    <w:nsid w:val="FFFFFF89"/>
    <w:multiLevelType w:val="singleLevel"/>
    <w:tmpl w:val="3EA830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D7F3A"/>
    <w:multiLevelType w:val="hybridMultilevel"/>
    <w:tmpl w:val="1DAE16CE"/>
    <w:lvl w:ilvl="0" w:tplc="48F0805E">
      <w:start w:val="9"/>
      <w:numFmt w:val="lowerLetter"/>
      <w:lvlText w:val="(%1)"/>
      <w:lvlJc w:val="left"/>
      <w:pPr>
        <w:ind w:left="1454" w:hanging="360"/>
      </w:pPr>
      <w:rPr>
        <w:rFonts w:hint="default"/>
      </w:rPr>
    </w:lvl>
    <w:lvl w:ilvl="1" w:tplc="04090019">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1">
    <w:nsid w:val="017A6131"/>
    <w:multiLevelType w:val="hybridMultilevel"/>
    <w:tmpl w:val="8E525DF4"/>
    <w:lvl w:ilvl="0" w:tplc="B1E40EE2">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2F63BDD"/>
    <w:multiLevelType w:val="hybridMultilevel"/>
    <w:tmpl w:val="2BFCBD84"/>
    <w:lvl w:ilvl="0" w:tplc="EDB4DC4A">
      <w:start w:val="1"/>
      <w:numFmt w:val="lowerLetter"/>
      <w:lvlText w:val="(%1)"/>
      <w:lvlJc w:val="left"/>
      <w:pPr>
        <w:ind w:left="1267" w:hanging="360"/>
      </w:pPr>
      <w:rPr>
        <w:rFonts w:hint="default"/>
        <w:color w:val="000000" w:themeColor="text1"/>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3">
    <w:nsid w:val="043E6218"/>
    <w:multiLevelType w:val="singleLevel"/>
    <w:tmpl w:val="F06C033C"/>
    <w:lvl w:ilvl="0">
      <w:start w:val="2"/>
      <w:numFmt w:val="lowerLetter"/>
      <w:lvlText w:val="(%1)"/>
      <w:lvlJc w:val="left"/>
      <w:pPr>
        <w:tabs>
          <w:tab w:val="num" w:pos="1620"/>
        </w:tabs>
        <w:ind w:left="1620" w:hanging="540"/>
      </w:pPr>
    </w:lvl>
  </w:abstractNum>
  <w:abstractNum w:abstractNumId="14">
    <w:nsid w:val="0A8C3B67"/>
    <w:multiLevelType w:val="hybridMultilevel"/>
    <w:tmpl w:val="2A4277AE"/>
    <w:lvl w:ilvl="0" w:tplc="55505B62">
      <w:start w:val="1"/>
      <w:numFmt w:val="lowerLetter"/>
      <w:lvlText w:val="(%1)"/>
      <w:lvlJc w:val="left"/>
      <w:pPr>
        <w:ind w:left="1634" w:hanging="54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5">
    <w:nsid w:val="0AAD4022"/>
    <w:multiLevelType w:val="hybridMultilevel"/>
    <w:tmpl w:val="12467A24"/>
    <w:lvl w:ilvl="0" w:tplc="C00405E8">
      <w:start w:val="4"/>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0AB61280"/>
    <w:multiLevelType w:val="hybridMultilevel"/>
    <w:tmpl w:val="0E8ED908"/>
    <w:lvl w:ilvl="0" w:tplc="E33AEDC4">
      <w:start w:val="1"/>
      <w:numFmt w:val="lowerRoman"/>
      <w:lvlText w:val="(%1)"/>
      <w:lvlJc w:val="left"/>
      <w:pPr>
        <w:ind w:left="1814" w:hanging="72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7">
    <w:nsid w:val="0C9029B3"/>
    <w:multiLevelType w:val="singleLevel"/>
    <w:tmpl w:val="F7728946"/>
    <w:lvl w:ilvl="0">
      <w:start w:val="2"/>
      <w:numFmt w:val="decimal"/>
      <w:lvlText w:val="(%1)"/>
      <w:lvlJc w:val="left"/>
      <w:pPr>
        <w:tabs>
          <w:tab w:val="num" w:pos="1080"/>
        </w:tabs>
        <w:ind w:left="1080" w:hanging="360"/>
      </w:pPr>
    </w:lvl>
  </w:abstractNum>
  <w:abstractNum w:abstractNumId="18">
    <w:nsid w:val="0CE13FEE"/>
    <w:multiLevelType w:val="hybridMultilevel"/>
    <w:tmpl w:val="E88284E0"/>
    <w:lvl w:ilvl="0" w:tplc="21DA26AC">
      <w:start w:val="30"/>
      <w:numFmt w:val="decimal"/>
      <w:lvlText w:val="(%1)"/>
      <w:lvlJc w:val="left"/>
      <w:pPr>
        <w:tabs>
          <w:tab w:val="num" w:pos="1080"/>
        </w:tabs>
        <w:ind w:left="1080" w:hanging="54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132E7317"/>
    <w:multiLevelType w:val="hybridMultilevel"/>
    <w:tmpl w:val="8B6C3A56"/>
    <w:lvl w:ilvl="0" w:tplc="C1D243DA">
      <w:start w:val="1"/>
      <w:numFmt w:val="lowerLetter"/>
      <w:lvlText w:val="(%1)"/>
      <w:lvlJc w:val="left"/>
      <w:pPr>
        <w:ind w:left="1964" w:hanging="87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20">
    <w:nsid w:val="13C526A0"/>
    <w:multiLevelType w:val="hybridMultilevel"/>
    <w:tmpl w:val="7CE4A3EC"/>
    <w:lvl w:ilvl="0" w:tplc="148C8164">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1">
    <w:nsid w:val="145C3AA8"/>
    <w:multiLevelType w:val="hybridMultilevel"/>
    <w:tmpl w:val="DDFC9042"/>
    <w:lvl w:ilvl="0" w:tplc="F1A266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14983C1B"/>
    <w:multiLevelType w:val="hybridMultilevel"/>
    <w:tmpl w:val="847E79E6"/>
    <w:lvl w:ilvl="0" w:tplc="5342643C">
      <w:start w:val="1"/>
      <w:numFmt w:val="lowerLetter"/>
      <w:lvlText w:val="(%1)"/>
      <w:lvlJc w:val="left"/>
      <w:pPr>
        <w:ind w:left="778" w:hanging="360"/>
      </w:pPr>
      <w:rPr>
        <w:rFonts w:ascii="Arial" w:eastAsia="Times New Roman" w:hAnsi="Arial" w:cs="Arial"/>
      </w:rPr>
    </w:lvl>
    <w:lvl w:ilvl="1" w:tplc="04090019">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3">
    <w:nsid w:val="16AE3C71"/>
    <w:multiLevelType w:val="hybridMultilevel"/>
    <w:tmpl w:val="0EDA0F1C"/>
    <w:lvl w:ilvl="0" w:tplc="C17A1FAA">
      <w:start w:val="1"/>
      <w:numFmt w:val="lowerRoman"/>
      <w:lvlText w:val="(%1)"/>
      <w:lvlJc w:val="left"/>
      <w:pPr>
        <w:ind w:left="1170" w:hanging="72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17F37180"/>
    <w:multiLevelType w:val="hybridMultilevel"/>
    <w:tmpl w:val="72966F36"/>
    <w:lvl w:ilvl="0" w:tplc="08C4A2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903941"/>
    <w:multiLevelType w:val="hybridMultilevel"/>
    <w:tmpl w:val="A734EB7A"/>
    <w:lvl w:ilvl="0" w:tplc="DEAE6538">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26">
    <w:nsid w:val="1AB40EB6"/>
    <w:multiLevelType w:val="hybridMultilevel"/>
    <w:tmpl w:val="1EFE3C94"/>
    <w:lvl w:ilvl="0" w:tplc="2C8690F2">
      <w:start w:val="1"/>
      <w:numFmt w:val="decimal"/>
      <w:lvlText w:val="%1."/>
      <w:lvlJc w:val="left"/>
      <w:pPr>
        <w:tabs>
          <w:tab w:val="num" w:pos="360"/>
        </w:tabs>
        <w:ind w:left="0" w:firstLine="0"/>
      </w:pPr>
    </w:lvl>
    <w:lvl w:ilvl="1" w:tplc="0772F1EE">
      <w:start w:val="1"/>
      <w:numFmt w:val="decimal"/>
      <w:lvlText w:val="%2."/>
      <w:lvlJc w:val="left"/>
      <w:pPr>
        <w:tabs>
          <w:tab w:val="num" w:pos="1440"/>
        </w:tabs>
        <w:ind w:left="1440" w:hanging="360"/>
      </w:pPr>
    </w:lvl>
    <w:lvl w:ilvl="2" w:tplc="C37A9B6E">
      <w:start w:val="1"/>
      <w:numFmt w:val="decimal"/>
      <w:lvlText w:val="%3."/>
      <w:lvlJc w:val="left"/>
      <w:pPr>
        <w:tabs>
          <w:tab w:val="num" w:pos="2160"/>
        </w:tabs>
        <w:ind w:left="2160" w:hanging="360"/>
      </w:pPr>
    </w:lvl>
    <w:lvl w:ilvl="3" w:tplc="325AF868">
      <w:start w:val="1"/>
      <w:numFmt w:val="decimal"/>
      <w:lvlText w:val="%4."/>
      <w:lvlJc w:val="left"/>
      <w:pPr>
        <w:tabs>
          <w:tab w:val="num" w:pos="2880"/>
        </w:tabs>
        <w:ind w:left="2880" w:hanging="360"/>
      </w:pPr>
    </w:lvl>
    <w:lvl w:ilvl="4" w:tplc="6EE84250">
      <w:start w:val="1"/>
      <w:numFmt w:val="decimal"/>
      <w:lvlText w:val="%5."/>
      <w:lvlJc w:val="left"/>
      <w:pPr>
        <w:tabs>
          <w:tab w:val="num" w:pos="3600"/>
        </w:tabs>
        <w:ind w:left="3600" w:hanging="360"/>
      </w:pPr>
    </w:lvl>
    <w:lvl w:ilvl="5" w:tplc="57FA9F22">
      <w:start w:val="1"/>
      <w:numFmt w:val="decimal"/>
      <w:lvlText w:val="%6."/>
      <w:lvlJc w:val="left"/>
      <w:pPr>
        <w:tabs>
          <w:tab w:val="num" w:pos="4320"/>
        </w:tabs>
        <w:ind w:left="4320" w:hanging="360"/>
      </w:pPr>
    </w:lvl>
    <w:lvl w:ilvl="6" w:tplc="507C0DB8">
      <w:start w:val="1"/>
      <w:numFmt w:val="decimal"/>
      <w:lvlText w:val="%7."/>
      <w:lvlJc w:val="left"/>
      <w:pPr>
        <w:tabs>
          <w:tab w:val="num" w:pos="5040"/>
        </w:tabs>
        <w:ind w:left="5040" w:hanging="360"/>
      </w:pPr>
    </w:lvl>
    <w:lvl w:ilvl="7" w:tplc="A9D6EDE0">
      <w:start w:val="1"/>
      <w:numFmt w:val="decimal"/>
      <w:lvlText w:val="%8."/>
      <w:lvlJc w:val="left"/>
      <w:pPr>
        <w:tabs>
          <w:tab w:val="num" w:pos="5760"/>
        </w:tabs>
        <w:ind w:left="5760" w:hanging="360"/>
      </w:pPr>
    </w:lvl>
    <w:lvl w:ilvl="8" w:tplc="477EFE84">
      <w:start w:val="1"/>
      <w:numFmt w:val="decimal"/>
      <w:lvlText w:val="%9."/>
      <w:lvlJc w:val="left"/>
      <w:pPr>
        <w:tabs>
          <w:tab w:val="num" w:pos="6480"/>
        </w:tabs>
        <w:ind w:left="6480" w:hanging="360"/>
      </w:pPr>
    </w:lvl>
  </w:abstractNum>
  <w:abstractNum w:abstractNumId="27">
    <w:nsid w:val="1B1E03A0"/>
    <w:multiLevelType w:val="hybridMultilevel"/>
    <w:tmpl w:val="18CC981C"/>
    <w:lvl w:ilvl="0" w:tplc="130E40DE">
      <w:start w:val="1"/>
      <w:numFmt w:val="lowerRoman"/>
      <w:lvlText w:val="(%1)"/>
      <w:lvlJc w:val="left"/>
      <w:pPr>
        <w:ind w:left="1815" w:hanging="72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8">
    <w:nsid w:val="1DEE68B0"/>
    <w:multiLevelType w:val="hybridMultilevel"/>
    <w:tmpl w:val="8C88D856"/>
    <w:lvl w:ilvl="0" w:tplc="347E4056">
      <w:start w:val="1"/>
      <w:numFmt w:val="lowerLetter"/>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9">
    <w:nsid w:val="1FB35543"/>
    <w:multiLevelType w:val="hybridMultilevel"/>
    <w:tmpl w:val="422292FE"/>
    <w:lvl w:ilvl="0" w:tplc="3FB67FE6">
      <w:start w:val="1"/>
      <w:numFmt w:val="lowerLetter"/>
      <w:lvlText w:val="(%1)"/>
      <w:lvlJc w:val="left"/>
      <w:pPr>
        <w:ind w:left="1979" w:hanging="885"/>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30">
    <w:nsid w:val="20580C31"/>
    <w:multiLevelType w:val="hybridMultilevel"/>
    <w:tmpl w:val="F2B826BC"/>
    <w:lvl w:ilvl="0" w:tplc="97868B48">
      <w:start w:val="1"/>
      <w:numFmt w:val="lowerRoman"/>
      <w:lvlText w:val="(%1)"/>
      <w:lvlJc w:val="left"/>
      <w:pPr>
        <w:tabs>
          <w:tab w:val="num" w:pos="1125"/>
        </w:tabs>
        <w:ind w:left="112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0BC16D8"/>
    <w:multiLevelType w:val="hybridMultilevel"/>
    <w:tmpl w:val="6AD4CC7E"/>
    <w:lvl w:ilvl="0" w:tplc="A1BAFE64">
      <w:start w:val="2"/>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C95497"/>
    <w:multiLevelType w:val="hybridMultilevel"/>
    <w:tmpl w:val="EA1A81A0"/>
    <w:lvl w:ilvl="0" w:tplc="539AD33C">
      <w:start w:val="1"/>
      <w:numFmt w:val="lowerLetter"/>
      <w:lvlText w:val="(%1)"/>
      <w:lvlJc w:val="left"/>
      <w:pPr>
        <w:ind w:left="1440" w:hanging="360"/>
      </w:pPr>
      <w:rPr>
        <w:rFonts w:hint="default"/>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2640721"/>
    <w:multiLevelType w:val="hybridMultilevel"/>
    <w:tmpl w:val="32DA5EFA"/>
    <w:lvl w:ilvl="0" w:tplc="BD3E7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3D02640"/>
    <w:multiLevelType w:val="hybridMultilevel"/>
    <w:tmpl w:val="8B7EEF4C"/>
    <w:lvl w:ilvl="0" w:tplc="EC7256FC">
      <w:start w:val="2"/>
      <w:numFmt w:val="lowerRoman"/>
      <w:lvlText w:val="(%1)"/>
      <w:lvlJc w:val="left"/>
      <w:pPr>
        <w:ind w:left="1814" w:hanging="72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35">
    <w:nsid w:val="242D7CF7"/>
    <w:multiLevelType w:val="multilevel"/>
    <w:tmpl w:val="3B9425D6"/>
    <w:styleLink w:val="StyleOutlinenumbered"/>
    <w:lvl w:ilvl="0">
      <w:start w:val="1"/>
      <w:numFmt w:val="decimal"/>
      <w:pStyle w:val="H1"/>
      <w:lvlText w:val="%1."/>
      <w:lvlJc w:val="left"/>
      <w:pPr>
        <w:tabs>
          <w:tab w:val="num" w:pos="1080"/>
        </w:tabs>
        <w:ind w:left="360" w:firstLine="0"/>
      </w:pPr>
      <w:rPr>
        <w:rFonts w:hint="default"/>
      </w:rPr>
    </w:lvl>
    <w:lvl w:ilvl="1">
      <w:start w:val="1"/>
      <w:numFmt w:val="decimal"/>
      <w:pStyle w:val="H2"/>
      <w:lvlText w:val="(%2)"/>
      <w:lvlJc w:val="left"/>
      <w:pPr>
        <w:tabs>
          <w:tab w:val="num" w:pos="1440"/>
        </w:tabs>
        <w:ind w:left="1440" w:hanging="720"/>
      </w:pPr>
      <w:rPr>
        <w:rFonts w:hint="default"/>
      </w:rPr>
    </w:lvl>
    <w:lvl w:ilvl="2">
      <w:start w:val="1"/>
      <w:numFmt w:val="lowerLetter"/>
      <w:pStyle w:val="H3"/>
      <w:lvlText w:val="(%3)"/>
      <w:lvlJc w:val="left"/>
      <w:pPr>
        <w:tabs>
          <w:tab w:val="num" w:pos="2160"/>
        </w:tabs>
        <w:ind w:left="2160" w:hanging="720"/>
      </w:pPr>
      <w:rPr>
        <w:rFonts w:hint="default"/>
        <w:sz w:val="24"/>
      </w:rPr>
    </w:lvl>
    <w:lvl w:ilvl="3">
      <w:start w:val="1"/>
      <w:numFmt w:val="lowerRoman"/>
      <w:pStyle w:val="H4"/>
      <w:lvlText w:val="(%4)"/>
      <w:lvlJc w:val="left"/>
      <w:pPr>
        <w:tabs>
          <w:tab w:val="num" w:pos="2880"/>
        </w:tabs>
        <w:ind w:left="2880" w:hanging="72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6">
    <w:nsid w:val="245467DB"/>
    <w:multiLevelType w:val="multilevel"/>
    <w:tmpl w:val="3B9425D6"/>
    <w:numStyleLink w:val="StyleOutlinenumbered"/>
  </w:abstractNum>
  <w:abstractNum w:abstractNumId="37">
    <w:nsid w:val="277446BA"/>
    <w:multiLevelType w:val="hybridMultilevel"/>
    <w:tmpl w:val="357EB3FA"/>
    <w:lvl w:ilvl="0" w:tplc="EB6C22BE">
      <w:start w:val="1"/>
      <w:numFmt w:val="lowerRoman"/>
      <w:lvlText w:val="(%1)"/>
      <w:lvlJc w:val="left"/>
      <w:pPr>
        <w:ind w:left="2084" w:hanging="99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38">
    <w:nsid w:val="27EE0F30"/>
    <w:multiLevelType w:val="hybridMultilevel"/>
    <w:tmpl w:val="911ECA00"/>
    <w:lvl w:ilvl="0" w:tplc="A88A615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290852E3"/>
    <w:multiLevelType w:val="hybridMultilevel"/>
    <w:tmpl w:val="0DD2B418"/>
    <w:lvl w:ilvl="0" w:tplc="30D60D12">
      <w:start w:val="1"/>
      <w:numFmt w:val="decimal"/>
      <w:lvlText w:val="(%1)"/>
      <w:lvlJc w:val="left"/>
      <w:pPr>
        <w:ind w:left="1440" w:hanging="360"/>
      </w:pPr>
      <w:rPr>
        <w:rFonts w:hint="default"/>
        <w:color w:val="FF0000"/>
      </w:rPr>
    </w:lvl>
    <w:lvl w:ilvl="1" w:tplc="A23C4762">
      <w:start w:val="1"/>
      <w:numFmt w:val="lowerLetter"/>
      <w:lvlText w:val="(%2)"/>
      <w:lvlJc w:val="left"/>
      <w:pPr>
        <w:ind w:left="2160" w:hanging="360"/>
      </w:pPr>
      <w:rPr>
        <w:rFonts w:ascii="Arial" w:eastAsia="Times New Roman" w:hAnsi="Arial" w:cs="Arial" w:hint="default"/>
        <w:color w:val="000000" w:themeColor="text1"/>
      </w:rPr>
    </w:lvl>
    <w:lvl w:ilvl="2" w:tplc="0409001B">
      <w:start w:val="1"/>
      <w:numFmt w:val="lowerRoman"/>
      <w:lvlText w:val="%3."/>
      <w:lvlJc w:val="right"/>
      <w:pPr>
        <w:ind w:left="2880" w:hanging="180"/>
      </w:pPr>
    </w:lvl>
    <w:lvl w:ilvl="3" w:tplc="2FE01C34">
      <w:start w:val="4"/>
      <w:numFmt w:val="low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94C78F8"/>
    <w:multiLevelType w:val="hybridMultilevel"/>
    <w:tmpl w:val="539056F2"/>
    <w:lvl w:ilvl="0" w:tplc="76808CC4">
      <w:start w:val="3"/>
      <w:numFmt w:val="decimal"/>
      <w:lvlText w:val="(%1)"/>
      <w:lvlJc w:val="left"/>
      <w:pPr>
        <w:tabs>
          <w:tab w:val="num" w:pos="1095"/>
        </w:tabs>
        <w:ind w:left="1095" w:hanging="555"/>
      </w:pPr>
    </w:lvl>
    <w:lvl w:ilvl="1" w:tplc="ACFA80E8">
      <w:start w:val="1"/>
      <w:numFmt w:val="decimal"/>
      <w:lvlText w:val="%2."/>
      <w:lvlJc w:val="left"/>
      <w:pPr>
        <w:tabs>
          <w:tab w:val="num" w:pos="1440"/>
        </w:tabs>
        <w:ind w:left="1440" w:hanging="360"/>
      </w:pPr>
    </w:lvl>
    <w:lvl w:ilvl="2" w:tplc="BC12A5DC">
      <w:start w:val="1"/>
      <w:numFmt w:val="decimal"/>
      <w:lvlText w:val="%3."/>
      <w:lvlJc w:val="left"/>
      <w:pPr>
        <w:tabs>
          <w:tab w:val="num" w:pos="2160"/>
        </w:tabs>
        <w:ind w:left="2160" w:hanging="360"/>
      </w:pPr>
    </w:lvl>
    <w:lvl w:ilvl="3" w:tplc="6D722F48">
      <w:start w:val="1"/>
      <w:numFmt w:val="decimal"/>
      <w:lvlText w:val="%4."/>
      <w:lvlJc w:val="left"/>
      <w:pPr>
        <w:tabs>
          <w:tab w:val="num" w:pos="2880"/>
        </w:tabs>
        <w:ind w:left="2880" w:hanging="360"/>
      </w:pPr>
    </w:lvl>
    <w:lvl w:ilvl="4" w:tplc="2796F8C4">
      <w:start w:val="1"/>
      <w:numFmt w:val="decimal"/>
      <w:lvlText w:val="%5."/>
      <w:lvlJc w:val="left"/>
      <w:pPr>
        <w:tabs>
          <w:tab w:val="num" w:pos="3600"/>
        </w:tabs>
        <w:ind w:left="3600" w:hanging="360"/>
      </w:pPr>
    </w:lvl>
    <w:lvl w:ilvl="5" w:tplc="23945AFA">
      <w:start w:val="1"/>
      <w:numFmt w:val="decimal"/>
      <w:lvlText w:val="%6."/>
      <w:lvlJc w:val="left"/>
      <w:pPr>
        <w:tabs>
          <w:tab w:val="num" w:pos="4320"/>
        </w:tabs>
        <w:ind w:left="4320" w:hanging="360"/>
      </w:pPr>
    </w:lvl>
    <w:lvl w:ilvl="6" w:tplc="94D08FC0">
      <w:start w:val="1"/>
      <w:numFmt w:val="decimal"/>
      <w:lvlText w:val="%7."/>
      <w:lvlJc w:val="left"/>
      <w:pPr>
        <w:tabs>
          <w:tab w:val="num" w:pos="5040"/>
        </w:tabs>
        <w:ind w:left="5040" w:hanging="360"/>
      </w:pPr>
    </w:lvl>
    <w:lvl w:ilvl="7" w:tplc="5CFCB9A4">
      <w:start w:val="1"/>
      <w:numFmt w:val="decimal"/>
      <w:lvlText w:val="%8."/>
      <w:lvlJc w:val="left"/>
      <w:pPr>
        <w:tabs>
          <w:tab w:val="num" w:pos="5760"/>
        </w:tabs>
        <w:ind w:left="5760" w:hanging="360"/>
      </w:pPr>
    </w:lvl>
    <w:lvl w:ilvl="8" w:tplc="5DFC25DC">
      <w:start w:val="1"/>
      <w:numFmt w:val="decimal"/>
      <w:lvlText w:val="%9."/>
      <w:lvlJc w:val="left"/>
      <w:pPr>
        <w:tabs>
          <w:tab w:val="num" w:pos="6480"/>
        </w:tabs>
        <w:ind w:left="6480" w:hanging="360"/>
      </w:pPr>
    </w:lvl>
  </w:abstractNum>
  <w:abstractNum w:abstractNumId="41">
    <w:nsid w:val="29845EFF"/>
    <w:multiLevelType w:val="multilevel"/>
    <w:tmpl w:val="A5B20B16"/>
    <w:styleLink w:val="Style2"/>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42">
    <w:nsid w:val="2D2B7D71"/>
    <w:multiLevelType w:val="hybridMultilevel"/>
    <w:tmpl w:val="481228B4"/>
    <w:lvl w:ilvl="0" w:tplc="02B65176">
      <w:start w:val="1"/>
      <w:numFmt w:val="lowerLetter"/>
      <w:lvlText w:val="(%1)"/>
      <w:lvlJc w:val="left"/>
      <w:pPr>
        <w:ind w:left="2880" w:hanging="360"/>
      </w:pPr>
      <w:rPr>
        <w:rFonts w:ascii="Times New Roman" w:eastAsia="Times New Roman" w:hAnsi="Times New Roman" w:cs="Times New Roman"/>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nsid w:val="32A819D7"/>
    <w:multiLevelType w:val="hybridMultilevel"/>
    <w:tmpl w:val="FB84AB2A"/>
    <w:lvl w:ilvl="0" w:tplc="030C6654">
      <w:start w:val="1"/>
      <w:numFmt w:val="lowerLetter"/>
      <w:lvlText w:val="(%1)"/>
      <w:lvlJc w:val="left"/>
      <w:pPr>
        <w:ind w:left="3780" w:hanging="360"/>
      </w:pPr>
      <w:rPr>
        <w:rFonts w:ascii="Times New Roman" w:eastAsia="Times New Roman" w:hAnsi="Times New Roman" w:cs="Times New Roman"/>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4">
    <w:nsid w:val="335B6E8F"/>
    <w:multiLevelType w:val="hybridMultilevel"/>
    <w:tmpl w:val="EDC8D778"/>
    <w:lvl w:ilvl="0" w:tplc="9E082CF8">
      <w:start w:val="1"/>
      <w:numFmt w:val="lowerLetter"/>
      <w:lvlText w:val="(%1)"/>
      <w:lvlJc w:val="left"/>
      <w:pPr>
        <w:ind w:left="1170" w:hanging="360"/>
      </w:pPr>
      <w:rPr>
        <w:rFonts w:hint="default"/>
        <w:color w:val="000000" w:themeColor="text1"/>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5">
    <w:nsid w:val="33E0541B"/>
    <w:multiLevelType w:val="hybridMultilevel"/>
    <w:tmpl w:val="BD365760"/>
    <w:lvl w:ilvl="0" w:tplc="A0D23BCE">
      <w:start w:val="1"/>
      <w:numFmt w:val="lowerLetter"/>
      <w:lvlText w:val="(%1)"/>
      <w:lvlJc w:val="left"/>
      <w:pPr>
        <w:tabs>
          <w:tab w:val="num" w:pos="2070"/>
        </w:tabs>
        <w:ind w:left="2070" w:hanging="540"/>
      </w:pPr>
    </w:lvl>
    <w:lvl w:ilvl="1" w:tplc="04090019">
      <w:start w:val="1"/>
      <w:numFmt w:val="decimal"/>
      <w:lvlText w:val="%2."/>
      <w:lvlJc w:val="left"/>
      <w:pPr>
        <w:tabs>
          <w:tab w:val="num" w:pos="1875"/>
        </w:tabs>
        <w:ind w:left="1875" w:hanging="360"/>
      </w:pPr>
    </w:lvl>
    <w:lvl w:ilvl="2" w:tplc="0409001B">
      <w:start w:val="1"/>
      <w:numFmt w:val="decimal"/>
      <w:lvlText w:val="%3."/>
      <w:lvlJc w:val="left"/>
      <w:pPr>
        <w:tabs>
          <w:tab w:val="num" w:pos="2595"/>
        </w:tabs>
        <w:ind w:left="2595" w:hanging="360"/>
      </w:pPr>
    </w:lvl>
    <w:lvl w:ilvl="3" w:tplc="0409000F">
      <w:start w:val="1"/>
      <w:numFmt w:val="decimal"/>
      <w:lvlText w:val="%4."/>
      <w:lvlJc w:val="left"/>
      <w:pPr>
        <w:tabs>
          <w:tab w:val="num" w:pos="3315"/>
        </w:tabs>
        <w:ind w:left="3315" w:hanging="360"/>
      </w:pPr>
    </w:lvl>
    <w:lvl w:ilvl="4" w:tplc="04090019">
      <w:start w:val="1"/>
      <w:numFmt w:val="decimal"/>
      <w:lvlText w:val="%5."/>
      <w:lvlJc w:val="left"/>
      <w:pPr>
        <w:tabs>
          <w:tab w:val="num" w:pos="4035"/>
        </w:tabs>
        <w:ind w:left="4035" w:hanging="360"/>
      </w:pPr>
    </w:lvl>
    <w:lvl w:ilvl="5" w:tplc="0409001B">
      <w:start w:val="1"/>
      <w:numFmt w:val="decimal"/>
      <w:lvlText w:val="%6."/>
      <w:lvlJc w:val="left"/>
      <w:pPr>
        <w:tabs>
          <w:tab w:val="num" w:pos="4755"/>
        </w:tabs>
        <w:ind w:left="4755" w:hanging="360"/>
      </w:pPr>
    </w:lvl>
    <w:lvl w:ilvl="6" w:tplc="0409000F">
      <w:start w:val="1"/>
      <w:numFmt w:val="decimal"/>
      <w:lvlText w:val="%7."/>
      <w:lvlJc w:val="left"/>
      <w:pPr>
        <w:tabs>
          <w:tab w:val="num" w:pos="5475"/>
        </w:tabs>
        <w:ind w:left="5475" w:hanging="360"/>
      </w:pPr>
    </w:lvl>
    <w:lvl w:ilvl="7" w:tplc="04090019">
      <w:start w:val="1"/>
      <w:numFmt w:val="decimal"/>
      <w:lvlText w:val="%8."/>
      <w:lvlJc w:val="left"/>
      <w:pPr>
        <w:tabs>
          <w:tab w:val="num" w:pos="6195"/>
        </w:tabs>
        <w:ind w:left="6195" w:hanging="360"/>
      </w:pPr>
    </w:lvl>
    <w:lvl w:ilvl="8" w:tplc="0409001B">
      <w:start w:val="1"/>
      <w:numFmt w:val="decimal"/>
      <w:lvlText w:val="%9."/>
      <w:lvlJc w:val="left"/>
      <w:pPr>
        <w:tabs>
          <w:tab w:val="num" w:pos="6915"/>
        </w:tabs>
        <w:ind w:left="6915" w:hanging="360"/>
      </w:pPr>
    </w:lvl>
  </w:abstractNum>
  <w:abstractNum w:abstractNumId="46">
    <w:nsid w:val="342D6944"/>
    <w:multiLevelType w:val="hybridMultilevel"/>
    <w:tmpl w:val="4D02C1DA"/>
    <w:lvl w:ilvl="0" w:tplc="2A14AEF6">
      <w:start w:val="1"/>
      <w:numFmt w:val="lowerRoman"/>
      <w:lvlText w:val="(%1)"/>
      <w:lvlJc w:val="left"/>
      <w:pPr>
        <w:tabs>
          <w:tab w:val="num" w:pos="2355"/>
        </w:tabs>
        <w:ind w:left="2355" w:hanging="720"/>
      </w:pPr>
      <w:rPr>
        <w:rFonts w:hint="default"/>
      </w:rPr>
    </w:lvl>
    <w:lvl w:ilvl="1" w:tplc="6A268DA0">
      <w:start w:val="1"/>
      <w:numFmt w:val="lowerLetter"/>
      <w:lvlText w:val="(%2)"/>
      <w:lvlJc w:val="left"/>
      <w:pPr>
        <w:tabs>
          <w:tab w:val="num" w:pos="1710"/>
        </w:tabs>
        <w:ind w:left="1710" w:hanging="360"/>
      </w:pPr>
      <w:rPr>
        <w:rFonts w:ascii="Arial" w:eastAsia="Times New Roman" w:hAnsi="Arial" w:cs="Arial"/>
        <w:color w:val="000000" w:themeColor="text1"/>
      </w:rPr>
    </w:lvl>
    <w:lvl w:ilvl="2" w:tplc="0409001B">
      <w:start w:val="1"/>
      <w:numFmt w:val="lowerRoman"/>
      <w:lvlText w:val="%3."/>
      <w:lvlJc w:val="right"/>
      <w:pPr>
        <w:tabs>
          <w:tab w:val="num" w:pos="3435"/>
        </w:tabs>
        <w:ind w:left="3435" w:hanging="180"/>
      </w:pPr>
    </w:lvl>
    <w:lvl w:ilvl="3" w:tplc="0409000F" w:tentative="1">
      <w:start w:val="1"/>
      <w:numFmt w:val="decimal"/>
      <w:lvlText w:val="%4."/>
      <w:lvlJc w:val="left"/>
      <w:pPr>
        <w:tabs>
          <w:tab w:val="num" w:pos="4155"/>
        </w:tabs>
        <w:ind w:left="4155" w:hanging="360"/>
      </w:pPr>
    </w:lvl>
    <w:lvl w:ilvl="4" w:tplc="04090019" w:tentative="1">
      <w:start w:val="1"/>
      <w:numFmt w:val="lowerLetter"/>
      <w:lvlText w:val="%5."/>
      <w:lvlJc w:val="left"/>
      <w:pPr>
        <w:tabs>
          <w:tab w:val="num" w:pos="4875"/>
        </w:tabs>
        <w:ind w:left="4875" w:hanging="360"/>
      </w:pPr>
    </w:lvl>
    <w:lvl w:ilvl="5" w:tplc="0409001B" w:tentative="1">
      <w:start w:val="1"/>
      <w:numFmt w:val="lowerRoman"/>
      <w:lvlText w:val="%6."/>
      <w:lvlJc w:val="right"/>
      <w:pPr>
        <w:tabs>
          <w:tab w:val="num" w:pos="5595"/>
        </w:tabs>
        <w:ind w:left="5595" w:hanging="180"/>
      </w:pPr>
    </w:lvl>
    <w:lvl w:ilvl="6" w:tplc="0409000F" w:tentative="1">
      <w:start w:val="1"/>
      <w:numFmt w:val="decimal"/>
      <w:lvlText w:val="%7."/>
      <w:lvlJc w:val="left"/>
      <w:pPr>
        <w:tabs>
          <w:tab w:val="num" w:pos="6315"/>
        </w:tabs>
        <w:ind w:left="6315" w:hanging="360"/>
      </w:pPr>
    </w:lvl>
    <w:lvl w:ilvl="7" w:tplc="04090019" w:tentative="1">
      <w:start w:val="1"/>
      <w:numFmt w:val="lowerLetter"/>
      <w:lvlText w:val="%8."/>
      <w:lvlJc w:val="left"/>
      <w:pPr>
        <w:tabs>
          <w:tab w:val="num" w:pos="7035"/>
        </w:tabs>
        <w:ind w:left="7035" w:hanging="360"/>
      </w:pPr>
    </w:lvl>
    <w:lvl w:ilvl="8" w:tplc="0409001B" w:tentative="1">
      <w:start w:val="1"/>
      <w:numFmt w:val="lowerRoman"/>
      <w:lvlText w:val="%9."/>
      <w:lvlJc w:val="right"/>
      <w:pPr>
        <w:tabs>
          <w:tab w:val="num" w:pos="7755"/>
        </w:tabs>
        <w:ind w:left="7755" w:hanging="180"/>
      </w:pPr>
    </w:lvl>
  </w:abstractNum>
  <w:abstractNum w:abstractNumId="47">
    <w:nsid w:val="359B2D4C"/>
    <w:multiLevelType w:val="hybridMultilevel"/>
    <w:tmpl w:val="4BA42A42"/>
    <w:lvl w:ilvl="0" w:tplc="6346096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C6212B"/>
    <w:multiLevelType w:val="hybridMultilevel"/>
    <w:tmpl w:val="B540DA3A"/>
    <w:lvl w:ilvl="0" w:tplc="F8FEC1F6">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nsid w:val="35DD269A"/>
    <w:multiLevelType w:val="hybridMultilevel"/>
    <w:tmpl w:val="4BA6AF50"/>
    <w:lvl w:ilvl="0" w:tplc="5342643C">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F539A8"/>
    <w:multiLevelType w:val="hybridMultilevel"/>
    <w:tmpl w:val="1B420A2C"/>
    <w:lvl w:ilvl="0" w:tplc="5F5268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66D37D2"/>
    <w:multiLevelType w:val="hybridMultilevel"/>
    <w:tmpl w:val="4DE23380"/>
    <w:lvl w:ilvl="0" w:tplc="6228F14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69A783C"/>
    <w:multiLevelType w:val="hybridMultilevel"/>
    <w:tmpl w:val="AF42F950"/>
    <w:lvl w:ilvl="0" w:tplc="4FEEE5A6">
      <w:start w:val="1"/>
      <w:numFmt w:val="lowerRoman"/>
      <w:lvlText w:val="(%1)"/>
      <w:lvlJc w:val="left"/>
      <w:pPr>
        <w:ind w:left="1267" w:hanging="72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3">
    <w:nsid w:val="36C443B2"/>
    <w:multiLevelType w:val="singleLevel"/>
    <w:tmpl w:val="A2C618C6"/>
    <w:lvl w:ilvl="0">
      <w:start w:val="44"/>
      <w:numFmt w:val="decimal"/>
      <w:lvlText w:val="(%1)"/>
      <w:lvlJc w:val="left"/>
      <w:pPr>
        <w:tabs>
          <w:tab w:val="num" w:pos="1080"/>
        </w:tabs>
        <w:ind w:left="1080" w:hanging="540"/>
      </w:pPr>
    </w:lvl>
  </w:abstractNum>
  <w:abstractNum w:abstractNumId="54">
    <w:nsid w:val="37574626"/>
    <w:multiLevelType w:val="hybridMultilevel"/>
    <w:tmpl w:val="CBEC9D74"/>
    <w:lvl w:ilvl="0" w:tplc="DB42F210">
      <w:start w:val="1"/>
      <w:numFmt w:val="lowerLetter"/>
      <w:lvlText w:val="(%1)"/>
      <w:lvlJc w:val="left"/>
      <w:pPr>
        <w:ind w:left="2361" w:hanging="720"/>
      </w:pPr>
      <w:rPr>
        <w:rFonts w:ascii="Arial" w:eastAsia="Times New Roman" w:hAnsi="Arial" w:cs="Arial" w:hint="default"/>
        <w:color w:val="0070C0"/>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55">
    <w:nsid w:val="39D85302"/>
    <w:multiLevelType w:val="multilevel"/>
    <w:tmpl w:val="26388A24"/>
    <w:styleLink w:val="Style6"/>
    <w:lvl w:ilvl="0">
      <w:start w:val="1"/>
      <w:numFmt w:val="lowerRoman"/>
      <w:lvlText w:val="%1)"/>
      <w:lvlJc w:val="left"/>
      <w:pPr>
        <w:tabs>
          <w:tab w:val="num" w:pos="2880"/>
        </w:tabs>
        <w:ind w:left="3600" w:hanging="720"/>
      </w:pPr>
      <w:rPr>
        <w:rFonts w:hint="default"/>
      </w:rPr>
    </w:lvl>
    <w:lvl w:ilvl="1">
      <w:start w:val="1"/>
      <w:numFmt w:val="lowerRoman"/>
      <w:lvlText w:val="%2)"/>
      <w:lvlJc w:val="left"/>
      <w:pPr>
        <w:tabs>
          <w:tab w:val="num" w:pos="2880"/>
        </w:tabs>
        <w:ind w:left="3600" w:hanging="720"/>
      </w:pPr>
      <w:rPr>
        <w:rFonts w:hint="default"/>
      </w:rPr>
    </w:lvl>
    <w:lvl w:ilvl="2">
      <w:start w:val="1"/>
      <w:numFmt w:val="lowerRoman"/>
      <w:lvlText w:val="%3)"/>
      <w:lvlJc w:val="left"/>
      <w:pPr>
        <w:tabs>
          <w:tab w:val="num" w:pos="2880"/>
        </w:tabs>
        <w:ind w:left="3600" w:hanging="720"/>
      </w:pPr>
      <w:rPr>
        <w:rFonts w:hint="default"/>
      </w:rPr>
    </w:lvl>
    <w:lvl w:ilvl="3">
      <w:start w:val="1"/>
      <w:numFmt w:val="lowerRoman"/>
      <w:lvlText w:val="%4)"/>
      <w:lvlJc w:val="left"/>
      <w:pPr>
        <w:tabs>
          <w:tab w:val="num" w:pos="2880"/>
        </w:tabs>
        <w:ind w:left="3600" w:hanging="720"/>
      </w:pPr>
      <w:rPr>
        <w:rFonts w:hint="default"/>
      </w:rPr>
    </w:lvl>
    <w:lvl w:ilvl="4">
      <w:start w:val="1"/>
      <w:numFmt w:val="lowerRoman"/>
      <w:lvlText w:val="%5)"/>
      <w:lvlJc w:val="left"/>
      <w:pPr>
        <w:tabs>
          <w:tab w:val="num" w:pos="2880"/>
        </w:tabs>
        <w:ind w:left="3600" w:hanging="720"/>
      </w:pPr>
      <w:rPr>
        <w:rFonts w:hint="default"/>
      </w:rPr>
    </w:lvl>
    <w:lvl w:ilvl="5">
      <w:start w:val="1"/>
      <w:numFmt w:val="lowerRoman"/>
      <w:lvlText w:val="%6)"/>
      <w:lvlJc w:val="left"/>
      <w:pPr>
        <w:tabs>
          <w:tab w:val="num" w:pos="2880"/>
        </w:tabs>
        <w:ind w:left="3600" w:hanging="720"/>
      </w:pPr>
      <w:rPr>
        <w:rFonts w:hint="default"/>
      </w:rPr>
    </w:lvl>
    <w:lvl w:ilvl="6">
      <w:start w:val="1"/>
      <w:numFmt w:val="lowerRoman"/>
      <w:lvlText w:val="%7)"/>
      <w:lvlJc w:val="left"/>
      <w:pPr>
        <w:tabs>
          <w:tab w:val="num" w:pos="2880"/>
        </w:tabs>
        <w:ind w:left="3600" w:hanging="720"/>
      </w:pPr>
      <w:rPr>
        <w:rFonts w:hint="default"/>
      </w:rPr>
    </w:lvl>
    <w:lvl w:ilvl="7">
      <w:start w:val="1"/>
      <w:numFmt w:val="lowerRoman"/>
      <w:lvlText w:val="%8)"/>
      <w:lvlJc w:val="left"/>
      <w:pPr>
        <w:tabs>
          <w:tab w:val="num" w:pos="2880"/>
        </w:tabs>
        <w:ind w:left="3600" w:hanging="720"/>
      </w:pPr>
      <w:rPr>
        <w:rFonts w:hint="default"/>
      </w:rPr>
    </w:lvl>
    <w:lvl w:ilvl="8">
      <w:start w:val="1"/>
      <w:numFmt w:val="lowerRoman"/>
      <w:lvlText w:val="%9)"/>
      <w:lvlJc w:val="left"/>
      <w:pPr>
        <w:tabs>
          <w:tab w:val="num" w:pos="2880"/>
        </w:tabs>
        <w:ind w:left="3600" w:hanging="720"/>
      </w:pPr>
      <w:rPr>
        <w:rFonts w:hint="default"/>
      </w:rPr>
    </w:lvl>
  </w:abstractNum>
  <w:abstractNum w:abstractNumId="56">
    <w:nsid w:val="3AC550DC"/>
    <w:multiLevelType w:val="hybridMultilevel"/>
    <w:tmpl w:val="1E3C5D2E"/>
    <w:lvl w:ilvl="0" w:tplc="1B946976">
      <w:start w:val="1"/>
      <w:numFmt w:val="lowerRoman"/>
      <w:lvlText w:val="(%1)"/>
      <w:lvlJc w:val="left"/>
      <w:pPr>
        <w:ind w:left="1620" w:hanging="1080"/>
      </w:pPr>
      <w:rPr>
        <w:rFonts w:ascii="Arial" w:hAnsi="Arial" w:cs="Arial" w:hint="default"/>
        <w:color w:val="000000" w:themeColor="text1"/>
        <w:sz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nsid w:val="3B2B0E35"/>
    <w:multiLevelType w:val="hybridMultilevel"/>
    <w:tmpl w:val="6EF069C8"/>
    <w:lvl w:ilvl="0" w:tplc="DDD244A8">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3BA62181"/>
    <w:multiLevelType w:val="hybridMultilevel"/>
    <w:tmpl w:val="CE5C46C6"/>
    <w:lvl w:ilvl="0" w:tplc="6C8A4EB4">
      <w:start w:val="1"/>
      <w:numFmt w:val="lowerRoman"/>
      <w:lvlText w:val="(%1)"/>
      <w:lvlJc w:val="left"/>
      <w:pPr>
        <w:ind w:left="1814" w:hanging="72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59">
    <w:nsid w:val="3C776692"/>
    <w:multiLevelType w:val="hybridMultilevel"/>
    <w:tmpl w:val="517C6676"/>
    <w:lvl w:ilvl="0" w:tplc="3C66639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0">
    <w:nsid w:val="414F2601"/>
    <w:multiLevelType w:val="hybridMultilevel"/>
    <w:tmpl w:val="9EA806B8"/>
    <w:lvl w:ilvl="0" w:tplc="75D6308A">
      <w:start w:val="1"/>
      <w:numFmt w:val="lowerLetter"/>
      <w:lvlText w:val="(%1)"/>
      <w:lvlJc w:val="left"/>
      <w:pPr>
        <w:ind w:left="1994" w:hanging="90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61">
    <w:nsid w:val="43F6046E"/>
    <w:multiLevelType w:val="hybridMultilevel"/>
    <w:tmpl w:val="B3788834"/>
    <w:lvl w:ilvl="0" w:tplc="0F9A05DC">
      <w:start w:val="5"/>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423E9A8E"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2">
    <w:nsid w:val="46A01E38"/>
    <w:multiLevelType w:val="hybridMultilevel"/>
    <w:tmpl w:val="204436B4"/>
    <w:lvl w:ilvl="0" w:tplc="1F6E3450">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3">
    <w:nsid w:val="46DB7A33"/>
    <w:multiLevelType w:val="hybridMultilevel"/>
    <w:tmpl w:val="453C9620"/>
    <w:lvl w:ilvl="0" w:tplc="152CA8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6E15A3F"/>
    <w:multiLevelType w:val="hybridMultilevel"/>
    <w:tmpl w:val="AD042836"/>
    <w:lvl w:ilvl="0" w:tplc="7FF4256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73156A9"/>
    <w:multiLevelType w:val="hybridMultilevel"/>
    <w:tmpl w:val="FEA84068"/>
    <w:lvl w:ilvl="0" w:tplc="39409B6C">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6">
    <w:nsid w:val="47B9356F"/>
    <w:multiLevelType w:val="multilevel"/>
    <w:tmpl w:val="1CF2D498"/>
    <w:numStyleLink w:val="Style4"/>
  </w:abstractNum>
  <w:abstractNum w:abstractNumId="67">
    <w:nsid w:val="48855559"/>
    <w:multiLevelType w:val="hybridMultilevel"/>
    <w:tmpl w:val="EB965CDA"/>
    <w:lvl w:ilvl="0" w:tplc="54FE2FC4">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8">
    <w:nsid w:val="48E11A6E"/>
    <w:multiLevelType w:val="hybridMultilevel"/>
    <w:tmpl w:val="057A8382"/>
    <w:lvl w:ilvl="0" w:tplc="8DA0BD16">
      <w:start w:val="1"/>
      <w:numFmt w:val="lowerRoman"/>
      <w:lvlText w:val="(%1)"/>
      <w:lvlJc w:val="left"/>
      <w:pPr>
        <w:ind w:left="1815" w:hanging="720"/>
      </w:pPr>
      <w:rPr>
        <w:rFonts w:hint="default"/>
        <w:color w:val="000000" w:themeColor="text1"/>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69">
    <w:nsid w:val="4A8518A0"/>
    <w:multiLevelType w:val="hybridMultilevel"/>
    <w:tmpl w:val="F156380C"/>
    <w:lvl w:ilvl="0" w:tplc="355C5336">
      <w:start w:val="1"/>
      <w:numFmt w:val="lowerLetter"/>
      <w:lvlText w:val="(%1)"/>
      <w:lvlJc w:val="left"/>
      <w:pPr>
        <w:ind w:left="778"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B95088"/>
    <w:multiLevelType w:val="hybridMultilevel"/>
    <w:tmpl w:val="CA56F904"/>
    <w:lvl w:ilvl="0" w:tplc="D550FD50">
      <w:start w:val="1"/>
      <w:numFmt w:val="lowerLetter"/>
      <w:lvlText w:val="(%1)"/>
      <w:lvlJc w:val="left"/>
      <w:pPr>
        <w:ind w:left="3150" w:hanging="720"/>
      </w:pPr>
      <w:rPr>
        <w:rFonts w:ascii="Times New Roman" w:eastAsia="Times New Roman" w:hAnsi="Times New Roman" w:cs="Times New Roman"/>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71">
    <w:nsid w:val="4ABF4F9C"/>
    <w:multiLevelType w:val="hybridMultilevel"/>
    <w:tmpl w:val="12467A24"/>
    <w:lvl w:ilvl="0" w:tplc="C00405E8">
      <w:start w:val="4"/>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nsid w:val="4B8A1FF1"/>
    <w:multiLevelType w:val="hybridMultilevel"/>
    <w:tmpl w:val="158CDF42"/>
    <w:lvl w:ilvl="0" w:tplc="EAE03138">
      <w:start w:val="2"/>
      <w:numFmt w:val="decimal"/>
      <w:lvlText w:val="(%1)"/>
      <w:lvlJc w:val="left"/>
      <w:pPr>
        <w:tabs>
          <w:tab w:val="num" w:pos="1095"/>
        </w:tabs>
        <w:ind w:left="1095" w:hanging="555"/>
      </w:pPr>
    </w:lvl>
    <w:lvl w:ilvl="1" w:tplc="04090019">
      <w:start w:val="1"/>
      <w:numFmt w:val="lowerLetter"/>
      <w:lvlText w:val="(%2)"/>
      <w:lvlJc w:val="left"/>
      <w:pPr>
        <w:tabs>
          <w:tab w:val="num" w:pos="1800"/>
        </w:tabs>
        <w:ind w:left="1800" w:hanging="54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nsid w:val="4C326185"/>
    <w:multiLevelType w:val="hybridMultilevel"/>
    <w:tmpl w:val="B0AE86F4"/>
    <w:lvl w:ilvl="0" w:tplc="DD301F88">
      <w:start w:val="1"/>
      <w:numFmt w:val="lowerLetter"/>
      <w:lvlText w:val="(%1)"/>
      <w:lvlJc w:val="left"/>
      <w:pPr>
        <w:ind w:left="778" w:hanging="360"/>
      </w:pPr>
      <w:rPr>
        <w:rFonts w:ascii="Arial" w:eastAsia="Times New Roman"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F0369F3"/>
    <w:multiLevelType w:val="hybridMultilevel"/>
    <w:tmpl w:val="452659C2"/>
    <w:lvl w:ilvl="0" w:tplc="C8A4F666">
      <w:start w:val="1"/>
      <w:numFmt w:val="lowerLetter"/>
      <w:lvlText w:val="(%1)"/>
      <w:lvlJc w:val="left"/>
      <w:pPr>
        <w:ind w:left="3960" w:hanging="360"/>
      </w:pPr>
      <w:rPr>
        <w:rFonts w:ascii="Times New Roman" w:eastAsia="Times New Roman" w:hAnsi="Times New Roman" w:cs="Times New Roman"/>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5">
    <w:nsid w:val="4F5421C9"/>
    <w:multiLevelType w:val="hybridMultilevel"/>
    <w:tmpl w:val="B4BADE7C"/>
    <w:lvl w:ilvl="0" w:tplc="82B862A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nsid w:val="596A016E"/>
    <w:multiLevelType w:val="hybridMultilevel"/>
    <w:tmpl w:val="2A4277AE"/>
    <w:lvl w:ilvl="0" w:tplc="55505B62">
      <w:start w:val="1"/>
      <w:numFmt w:val="lowerLetter"/>
      <w:lvlText w:val="(%1)"/>
      <w:lvlJc w:val="left"/>
      <w:pPr>
        <w:ind w:left="1634" w:hanging="54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77">
    <w:nsid w:val="5AA2318E"/>
    <w:multiLevelType w:val="hybridMultilevel"/>
    <w:tmpl w:val="5DF61134"/>
    <w:lvl w:ilvl="0" w:tplc="C10681AE">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8">
    <w:nsid w:val="5C1152FD"/>
    <w:multiLevelType w:val="hybridMultilevel"/>
    <w:tmpl w:val="1E3E9EDC"/>
    <w:lvl w:ilvl="0" w:tplc="F3C6B874">
      <w:start w:val="1"/>
      <w:numFmt w:val="lowerRoman"/>
      <w:lvlText w:val="(%1)"/>
      <w:lvlJc w:val="left"/>
      <w:pPr>
        <w:ind w:left="1627" w:hanging="720"/>
      </w:pPr>
      <w:rPr>
        <w:rFonts w:hint="default"/>
        <w:color w:val="000000" w:themeColor="text1"/>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9">
    <w:nsid w:val="5C550097"/>
    <w:multiLevelType w:val="hybridMultilevel"/>
    <w:tmpl w:val="96D2A614"/>
    <w:lvl w:ilvl="0" w:tplc="BED0E7F6">
      <w:start w:val="2"/>
      <w:numFmt w:val="decimal"/>
      <w:pStyle w:val="H2A"/>
      <w:lvlText w:val="(%1)"/>
      <w:lvlJc w:val="left"/>
      <w:pPr>
        <w:tabs>
          <w:tab w:val="num" w:pos="1440"/>
        </w:tabs>
        <w:ind w:left="1440" w:hanging="720"/>
      </w:pPr>
      <w:rPr>
        <w:rFonts w:cs="Times New Roman" w:hint="default"/>
      </w:rPr>
    </w:lvl>
    <w:lvl w:ilvl="1" w:tplc="15E41C70">
      <w:start w:val="3"/>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0">
    <w:nsid w:val="5D6B0F8C"/>
    <w:multiLevelType w:val="hybridMultilevel"/>
    <w:tmpl w:val="98F0C1AA"/>
    <w:lvl w:ilvl="0" w:tplc="020CD5B0">
      <w:start w:val="26"/>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1">
    <w:nsid w:val="5DC62C98"/>
    <w:multiLevelType w:val="hybridMultilevel"/>
    <w:tmpl w:val="F90030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D400C1C4">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F7A20F0"/>
    <w:multiLevelType w:val="hybridMultilevel"/>
    <w:tmpl w:val="187A78A4"/>
    <w:lvl w:ilvl="0" w:tplc="D6DE9784">
      <w:start w:val="1"/>
      <w:numFmt w:val="lowerRoman"/>
      <w:lvlText w:val="(%1)"/>
      <w:lvlJc w:val="left"/>
      <w:pPr>
        <w:ind w:left="1822" w:hanging="720"/>
      </w:pPr>
      <w:rPr>
        <w:rFonts w:hint="default"/>
      </w:r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83">
    <w:nsid w:val="5FB2058C"/>
    <w:multiLevelType w:val="singleLevel"/>
    <w:tmpl w:val="D3E47BD4"/>
    <w:lvl w:ilvl="0">
      <w:start w:val="1"/>
      <w:numFmt w:val="lowerLetter"/>
      <w:lvlText w:val="(%1)"/>
      <w:lvlJc w:val="left"/>
      <w:pPr>
        <w:tabs>
          <w:tab w:val="num" w:pos="1620"/>
        </w:tabs>
        <w:ind w:left="1620" w:hanging="540"/>
      </w:pPr>
    </w:lvl>
  </w:abstractNum>
  <w:abstractNum w:abstractNumId="84">
    <w:nsid w:val="613330F4"/>
    <w:multiLevelType w:val="hybridMultilevel"/>
    <w:tmpl w:val="DEC821D8"/>
    <w:lvl w:ilvl="0" w:tplc="CCDE140E">
      <w:start w:val="1"/>
      <w:numFmt w:val="lowerLetter"/>
      <w:lvlText w:val="(%1)"/>
      <w:lvlJc w:val="left"/>
      <w:pPr>
        <w:ind w:left="2361" w:hanging="720"/>
      </w:pPr>
      <w:rPr>
        <w:rFonts w:ascii="Arial" w:eastAsia="Times New Roman" w:hAnsi="Arial" w:cs="Arial" w:hint="default"/>
        <w:color w:val="0070C0"/>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85">
    <w:nsid w:val="61BD5670"/>
    <w:multiLevelType w:val="singleLevel"/>
    <w:tmpl w:val="4006B98C"/>
    <w:lvl w:ilvl="0">
      <w:start w:val="1"/>
      <w:numFmt w:val="lowerLetter"/>
      <w:lvlText w:val="(%1)"/>
      <w:lvlJc w:val="left"/>
      <w:pPr>
        <w:tabs>
          <w:tab w:val="num" w:pos="360"/>
        </w:tabs>
        <w:ind w:left="360" w:hanging="360"/>
      </w:pPr>
    </w:lvl>
  </w:abstractNum>
  <w:abstractNum w:abstractNumId="86">
    <w:nsid w:val="623F4A2F"/>
    <w:multiLevelType w:val="hybridMultilevel"/>
    <w:tmpl w:val="5C9AD38E"/>
    <w:lvl w:ilvl="0" w:tplc="5342643C">
      <w:start w:val="1"/>
      <w:numFmt w:val="lowerLetter"/>
      <w:lvlText w:val="(%1)"/>
      <w:lvlJc w:val="left"/>
      <w:pPr>
        <w:tabs>
          <w:tab w:val="num" w:pos="2175"/>
        </w:tabs>
        <w:ind w:left="2175" w:hanging="360"/>
      </w:pPr>
      <w:rPr>
        <w:rFonts w:ascii="Arial" w:eastAsia="Times New Roman" w:hAnsi="Arial" w:cs="Arial"/>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87">
    <w:nsid w:val="63BD26AF"/>
    <w:multiLevelType w:val="multilevel"/>
    <w:tmpl w:val="1CF2D498"/>
    <w:numStyleLink w:val="Style4"/>
  </w:abstractNum>
  <w:abstractNum w:abstractNumId="88">
    <w:nsid w:val="6AFA43FA"/>
    <w:multiLevelType w:val="hybridMultilevel"/>
    <w:tmpl w:val="0BD44144"/>
    <w:lvl w:ilvl="0" w:tplc="BB92784C">
      <w:start w:val="1"/>
      <w:numFmt w:val="lowerLetter"/>
      <w:lvlText w:val="(%1)"/>
      <w:lvlJc w:val="left"/>
      <w:pPr>
        <w:tabs>
          <w:tab w:val="num" w:pos="1635"/>
        </w:tabs>
        <w:ind w:left="1635" w:hanging="540"/>
      </w:pPr>
    </w:lvl>
    <w:lvl w:ilvl="1" w:tplc="59267510">
      <w:start w:val="1"/>
      <w:numFmt w:val="decimal"/>
      <w:lvlText w:val="%2."/>
      <w:lvlJc w:val="left"/>
      <w:pPr>
        <w:tabs>
          <w:tab w:val="num" w:pos="1440"/>
        </w:tabs>
        <w:ind w:left="1440" w:hanging="360"/>
      </w:pPr>
    </w:lvl>
    <w:lvl w:ilvl="2" w:tplc="88546D8C">
      <w:start w:val="1"/>
      <w:numFmt w:val="decimal"/>
      <w:lvlText w:val="%3."/>
      <w:lvlJc w:val="left"/>
      <w:pPr>
        <w:tabs>
          <w:tab w:val="num" w:pos="2160"/>
        </w:tabs>
        <w:ind w:left="2160" w:hanging="360"/>
      </w:pPr>
    </w:lvl>
    <w:lvl w:ilvl="3" w:tplc="29AAD886">
      <w:start w:val="1"/>
      <w:numFmt w:val="decimal"/>
      <w:lvlText w:val="%4."/>
      <w:lvlJc w:val="left"/>
      <w:pPr>
        <w:tabs>
          <w:tab w:val="num" w:pos="2880"/>
        </w:tabs>
        <w:ind w:left="2880" w:hanging="360"/>
      </w:pPr>
    </w:lvl>
    <w:lvl w:ilvl="4" w:tplc="1144BA4C">
      <w:start w:val="1"/>
      <w:numFmt w:val="decimal"/>
      <w:lvlText w:val="%5."/>
      <w:lvlJc w:val="left"/>
      <w:pPr>
        <w:tabs>
          <w:tab w:val="num" w:pos="3600"/>
        </w:tabs>
        <w:ind w:left="3600" w:hanging="360"/>
      </w:pPr>
    </w:lvl>
    <w:lvl w:ilvl="5" w:tplc="A0961DAC">
      <w:start w:val="1"/>
      <w:numFmt w:val="decimal"/>
      <w:lvlText w:val="%6."/>
      <w:lvlJc w:val="left"/>
      <w:pPr>
        <w:tabs>
          <w:tab w:val="num" w:pos="4320"/>
        </w:tabs>
        <w:ind w:left="4320" w:hanging="360"/>
      </w:pPr>
    </w:lvl>
    <w:lvl w:ilvl="6" w:tplc="B4AE2AA2">
      <w:start w:val="1"/>
      <w:numFmt w:val="decimal"/>
      <w:lvlText w:val="%7."/>
      <w:lvlJc w:val="left"/>
      <w:pPr>
        <w:tabs>
          <w:tab w:val="num" w:pos="5040"/>
        </w:tabs>
        <w:ind w:left="5040" w:hanging="360"/>
      </w:pPr>
    </w:lvl>
    <w:lvl w:ilvl="7" w:tplc="019C3A8A">
      <w:start w:val="1"/>
      <w:numFmt w:val="decimal"/>
      <w:lvlText w:val="%8."/>
      <w:lvlJc w:val="left"/>
      <w:pPr>
        <w:tabs>
          <w:tab w:val="num" w:pos="5760"/>
        </w:tabs>
        <w:ind w:left="5760" w:hanging="360"/>
      </w:pPr>
    </w:lvl>
    <w:lvl w:ilvl="8" w:tplc="3F680732">
      <w:start w:val="1"/>
      <w:numFmt w:val="decimal"/>
      <w:lvlText w:val="%9."/>
      <w:lvlJc w:val="left"/>
      <w:pPr>
        <w:tabs>
          <w:tab w:val="num" w:pos="6480"/>
        </w:tabs>
        <w:ind w:left="6480" w:hanging="360"/>
      </w:pPr>
    </w:lvl>
  </w:abstractNum>
  <w:abstractNum w:abstractNumId="89">
    <w:nsid w:val="6B5D0B63"/>
    <w:multiLevelType w:val="hybridMultilevel"/>
    <w:tmpl w:val="06DEBCCC"/>
    <w:lvl w:ilvl="0" w:tplc="BAC81F52">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0">
    <w:nsid w:val="6B601EA2"/>
    <w:multiLevelType w:val="hybridMultilevel"/>
    <w:tmpl w:val="24F658E6"/>
    <w:lvl w:ilvl="0" w:tplc="6E82F93C">
      <w:start w:val="2"/>
      <w:numFmt w:val="decimal"/>
      <w:lvlText w:val="(%1)"/>
      <w:lvlJc w:val="left"/>
      <w:pPr>
        <w:tabs>
          <w:tab w:val="num" w:pos="1095"/>
        </w:tabs>
        <w:ind w:left="1095" w:hanging="555"/>
      </w:pPr>
      <w:rPr>
        <w:rFonts w:hint="default"/>
      </w:rPr>
    </w:lvl>
    <w:lvl w:ilvl="1" w:tplc="E71CE47E">
      <w:start w:val="1"/>
      <w:numFmt w:val="lowerLetter"/>
      <w:lvlText w:val="(%2)"/>
      <w:lvlJc w:val="left"/>
      <w:pPr>
        <w:tabs>
          <w:tab w:val="num" w:pos="1620"/>
        </w:tabs>
        <w:ind w:left="1620" w:hanging="360"/>
      </w:pPr>
      <w:rPr>
        <w:rFonts w:hint="default"/>
        <w:color w:val="000000" w:themeColor="text1"/>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1">
    <w:nsid w:val="6CCE622C"/>
    <w:multiLevelType w:val="hybridMultilevel"/>
    <w:tmpl w:val="4A0633BC"/>
    <w:lvl w:ilvl="0" w:tplc="3028DF04">
      <w:start w:val="1"/>
      <w:numFmt w:val="lowerLetter"/>
      <w:lvlText w:val="(%1)"/>
      <w:lvlJc w:val="left"/>
      <w:pPr>
        <w:ind w:left="1440" w:hanging="360"/>
      </w:pPr>
      <w:rPr>
        <w:rFonts w:hint="default"/>
        <w:color w:val="FF0000"/>
        <w:sz w:val="16"/>
        <w:szCs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6F013D69"/>
    <w:multiLevelType w:val="hybridMultilevel"/>
    <w:tmpl w:val="4D1ECE0E"/>
    <w:lvl w:ilvl="0" w:tplc="CCF6A6BE">
      <w:start w:val="1"/>
      <w:numFmt w:val="lowerRoman"/>
      <w:lvlText w:val="(%1)"/>
      <w:lvlJc w:val="left"/>
      <w:pPr>
        <w:ind w:left="1814" w:hanging="72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93">
    <w:nsid w:val="714A62B5"/>
    <w:multiLevelType w:val="hybridMultilevel"/>
    <w:tmpl w:val="05D4FBF2"/>
    <w:lvl w:ilvl="0" w:tplc="97868B48">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186674B"/>
    <w:multiLevelType w:val="hybridMultilevel"/>
    <w:tmpl w:val="A5821A60"/>
    <w:lvl w:ilvl="0" w:tplc="9C9A38C4">
      <w:start w:val="2"/>
      <w:numFmt w:val="lowerLetter"/>
      <w:lvlText w:val="(%1)"/>
      <w:lvlJc w:val="left"/>
      <w:pPr>
        <w:tabs>
          <w:tab w:val="num" w:pos="1627"/>
        </w:tabs>
        <w:ind w:left="1627" w:hanging="360"/>
      </w:pPr>
    </w:lvl>
    <w:lvl w:ilvl="1" w:tplc="72744220">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nsid w:val="72630861"/>
    <w:multiLevelType w:val="hybridMultilevel"/>
    <w:tmpl w:val="0EDC6D46"/>
    <w:lvl w:ilvl="0" w:tplc="78724ED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6">
    <w:nsid w:val="737359AB"/>
    <w:multiLevelType w:val="multilevel"/>
    <w:tmpl w:val="1CF2D498"/>
    <w:styleLink w:val="Style4"/>
    <w:lvl w:ilvl="0">
      <w:start w:val="1"/>
      <w:numFmt w:val="lowerLetter"/>
      <w:lvlText w:val="(%1)"/>
      <w:lvlJc w:val="left"/>
      <w:pPr>
        <w:tabs>
          <w:tab w:val="num" w:pos="1440"/>
        </w:tabs>
        <w:ind w:left="2160" w:hanging="720"/>
      </w:pPr>
      <w:rPr>
        <w:rFonts w:hint="default"/>
      </w:rPr>
    </w:lvl>
    <w:lvl w:ilvl="1">
      <w:start w:val="1"/>
      <w:numFmt w:val="lowerLetter"/>
      <w:lvlText w:val="(%2)"/>
      <w:lvlJc w:val="left"/>
      <w:pPr>
        <w:tabs>
          <w:tab w:val="num" w:pos="1440"/>
        </w:tabs>
        <w:ind w:left="216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Letter"/>
      <w:lvlText w:val="(%4)"/>
      <w:lvlJc w:val="left"/>
      <w:pPr>
        <w:tabs>
          <w:tab w:val="num" w:pos="1440"/>
        </w:tabs>
        <w:ind w:left="2160" w:hanging="720"/>
      </w:pPr>
      <w:rPr>
        <w:rFonts w:hint="default"/>
      </w:rPr>
    </w:lvl>
    <w:lvl w:ilvl="4">
      <w:start w:val="1"/>
      <w:numFmt w:val="lowerLetter"/>
      <w:lvlText w:val="(%5)"/>
      <w:lvlJc w:val="left"/>
      <w:pPr>
        <w:tabs>
          <w:tab w:val="num" w:pos="1440"/>
        </w:tabs>
        <w:ind w:left="2160" w:hanging="720"/>
      </w:pPr>
      <w:rPr>
        <w:rFonts w:hint="default"/>
      </w:rPr>
    </w:lvl>
    <w:lvl w:ilvl="5">
      <w:start w:val="1"/>
      <w:numFmt w:val="lowerLetter"/>
      <w:lvlText w:val="(%6)"/>
      <w:lvlJc w:val="left"/>
      <w:pPr>
        <w:tabs>
          <w:tab w:val="num" w:pos="1440"/>
        </w:tabs>
        <w:ind w:left="2160" w:hanging="720"/>
      </w:pPr>
      <w:rPr>
        <w:rFonts w:hint="default"/>
      </w:rPr>
    </w:lvl>
    <w:lvl w:ilvl="6">
      <w:start w:val="1"/>
      <w:numFmt w:val="lowerLetter"/>
      <w:lvlText w:val="(%7)"/>
      <w:lvlJc w:val="left"/>
      <w:pPr>
        <w:tabs>
          <w:tab w:val="num" w:pos="1440"/>
        </w:tabs>
        <w:ind w:left="2160" w:hanging="720"/>
      </w:pPr>
      <w:rPr>
        <w:rFonts w:hint="default"/>
      </w:rPr>
    </w:lvl>
    <w:lvl w:ilvl="7">
      <w:start w:val="1"/>
      <w:numFmt w:val="lowerLetter"/>
      <w:lvlText w:val="(%8)"/>
      <w:lvlJc w:val="left"/>
      <w:pPr>
        <w:tabs>
          <w:tab w:val="num" w:pos="1440"/>
        </w:tabs>
        <w:ind w:left="2160" w:hanging="720"/>
      </w:pPr>
      <w:rPr>
        <w:rFonts w:hint="default"/>
      </w:rPr>
    </w:lvl>
    <w:lvl w:ilvl="8">
      <w:start w:val="1"/>
      <w:numFmt w:val="lowerLetter"/>
      <w:lvlText w:val="(%9)"/>
      <w:lvlJc w:val="left"/>
      <w:pPr>
        <w:tabs>
          <w:tab w:val="num" w:pos="1440"/>
        </w:tabs>
        <w:ind w:left="2160" w:hanging="720"/>
      </w:pPr>
      <w:rPr>
        <w:rFonts w:hint="default"/>
      </w:rPr>
    </w:lvl>
  </w:abstractNum>
  <w:abstractNum w:abstractNumId="97">
    <w:nsid w:val="73FB43A8"/>
    <w:multiLevelType w:val="hybridMultilevel"/>
    <w:tmpl w:val="69266364"/>
    <w:lvl w:ilvl="0" w:tplc="4A9E0A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5464CA9"/>
    <w:multiLevelType w:val="hybridMultilevel"/>
    <w:tmpl w:val="7D9ADAB4"/>
    <w:lvl w:ilvl="0" w:tplc="4A921578">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9">
    <w:nsid w:val="76FB47F1"/>
    <w:multiLevelType w:val="hybridMultilevel"/>
    <w:tmpl w:val="2812A0D4"/>
    <w:lvl w:ilvl="0" w:tplc="56404C88">
      <w:start w:val="1"/>
      <w:numFmt w:val="lowerRoman"/>
      <w:lvlText w:val="(%1)"/>
      <w:lvlJc w:val="left"/>
      <w:pPr>
        <w:tabs>
          <w:tab w:val="num" w:pos="2355"/>
        </w:tabs>
        <w:ind w:left="2355" w:hanging="720"/>
      </w:pPr>
      <w:rPr>
        <w:rFonts w:hint="default"/>
      </w:rPr>
    </w:lvl>
    <w:lvl w:ilvl="1" w:tplc="7D629944" w:tentative="1">
      <w:start w:val="1"/>
      <w:numFmt w:val="lowerLetter"/>
      <w:lvlText w:val="%2."/>
      <w:lvlJc w:val="left"/>
      <w:pPr>
        <w:tabs>
          <w:tab w:val="num" w:pos="2715"/>
        </w:tabs>
        <w:ind w:left="2715" w:hanging="360"/>
      </w:pPr>
    </w:lvl>
    <w:lvl w:ilvl="2" w:tplc="729E8A2A" w:tentative="1">
      <w:start w:val="1"/>
      <w:numFmt w:val="lowerRoman"/>
      <w:lvlText w:val="%3."/>
      <w:lvlJc w:val="right"/>
      <w:pPr>
        <w:tabs>
          <w:tab w:val="num" w:pos="3435"/>
        </w:tabs>
        <w:ind w:left="3435" w:hanging="180"/>
      </w:pPr>
    </w:lvl>
    <w:lvl w:ilvl="3" w:tplc="D80273A4" w:tentative="1">
      <w:start w:val="1"/>
      <w:numFmt w:val="decimal"/>
      <w:lvlText w:val="%4."/>
      <w:lvlJc w:val="left"/>
      <w:pPr>
        <w:tabs>
          <w:tab w:val="num" w:pos="4155"/>
        </w:tabs>
        <w:ind w:left="4155" w:hanging="360"/>
      </w:pPr>
    </w:lvl>
    <w:lvl w:ilvl="4" w:tplc="B9EC2094" w:tentative="1">
      <w:start w:val="1"/>
      <w:numFmt w:val="lowerLetter"/>
      <w:lvlText w:val="%5."/>
      <w:lvlJc w:val="left"/>
      <w:pPr>
        <w:tabs>
          <w:tab w:val="num" w:pos="4875"/>
        </w:tabs>
        <w:ind w:left="4875" w:hanging="360"/>
      </w:pPr>
    </w:lvl>
    <w:lvl w:ilvl="5" w:tplc="45D200A8" w:tentative="1">
      <w:start w:val="1"/>
      <w:numFmt w:val="lowerRoman"/>
      <w:lvlText w:val="%6."/>
      <w:lvlJc w:val="right"/>
      <w:pPr>
        <w:tabs>
          <w:tab w:val="num" w:pos="5595"/>
        </w:tabs>
        <w:ind w:left="5595" w:hanging="180"/>
      </w:pPr>
    </w:lvl>
    <w:lvl w:ilvl="6" w:tplc="9FE6DC82" w:tentative="1">
      <w:start w:val="1"/>
      <w:numFmt w:val="decimal"/>
      <w:lvlText w:val="%7."/>
      <w:lvlJc w:val="left"/>
      <w:pPr>
        <w:tabs>
          <w:tab w:val="num" w:pos="6315"/>
        </w:tabs>
        <w:ind w:left="6315" w:hanging="360"/>
      </w:pPr>
    </w:lvl>
    <w:lvl w:ilvl="7" w:tplc="1B888090" w:tentative="1">
      <w:start w:val="1"/>
      <w:numFmt w:val="lowerLetter"/>
      <w:lvlText w:val="%8."/>
      <w:lvlJc w:val="left"/>
      <w:pPr>
        <w:tabs>
          <w:tab w:val="num" w:pos="7035"/>
        </w:tabs>
        <w:ind w:left="7035" w:hanging="360"/>
      </w:pPr>
    </w:lvl>
    <w:lvl w:ilvl="8" w:tplc="AE081FB2" w:tentative="1">
      <w:start w:val="1"/>
      <w:numFmt w:val="lowerRoman"/>
      <w:lvlText w:val="%9."/>
      <w:lvlJc w:val="right"/>
      <w:pPr>
        <w:tabs>
          <w:tab w:val="num" w:pos="7755"/>
        </w:tabs>
        <w:ind w:left="7755" w:hanging="180"/>
      </w:pPr>
    </w:lvl>
  </w:abstractNum>
  <w:abstractNum w:abstractNumId="100">
    <w:nsid w:val="78D14B72"/>
    <w:multiLevelType w:val="hybridMultilevel"/>
    <w:tmpl w:val="80B4FF66"/>
    <w:lvl w:ilvl="0" w:tplc="77DC9C08">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01">
    <w:nsid w:val="7C494E82"/>
    <w:multiLevelType w:val="hybridMultilevel"/>
    <w:tmpl w:val="35F45D32"/>
    <w:lvl w:ilvl="0" w:tplc="229AC536">
      <w:start w:val="1"/>
      <w:numFmt w:val="lowerRoman"/>
      <w:lvlText w:val="(%1)"/>
      <w:lvlJc w:val="righ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2">
    <w:nsid w:val="7D160A96"/>
    <w:multiLevelType w:val="hybridMultilevel"/>
    <w:tmpl w:val="7B7E02A0"/>
    <w:lvl w:ilvl="0" w:tplc="C6D8E352">
      <w:start w:val="1"/>
      <w:numFmt w:val="lowerRoman"/>
      <w:lvlText w:val="(%1)"/>
      <w:lvlJc w:val="left"/>
      <w:pPr>
        <w:ind w:left="2908" w:hanging="720"/>
      </w:pPr>
      <w:rPr>
        <w:rFonts w:hint="default"/>
      </w:rPr>
    </w:lvl>
    <w:lvl w:ilvl="1" w:tplc="04090019">
      <w:start w:val="1"/>
      <w:numFmt w:val="lowerLetter"/>
      <w:lvlText w:val="%2."/>
      <w:lvlJc w:val="left"/>
      <w:pPr>
        <w:ind w:left="3268" w:hanging="360"/>
      </w:pPr>
    </w:lvl>
    <w:lvl w:ilvl="2" w:tplc="0409001B" w:tentative="1">
      <w:start w:val="1"/>
      <w:numFmt w:val="lowerRoman"/>
      <w:lvlText w:val="%3."/>
      <w:lvlJc w:val="right"/>
      <w:pPr>
        <w:ind w:left="3988" w:hanging="180"/>
      </w:pPr>
    </w:lvl>
    <w:lvl w:ilvl="3" w:tplc="0409000F" w:tentative="1">
      <w:start w:val="1"/>
      <w:numFmt w:val="decimal"/>
      <w:lvlText w:val="%4."/>
      <w:lvlJc w:val="left"/>
      <w:pPr>
        <w:ind w:left="4708" w:hanging="360"/>
      </w:pPr>
    </w:lvl>
    <w:lvl w:ilvl="4" w:tplc="04090019" w:tentative="1">
      <w:start w:val="1"/>
      <w:numFmt w:val="lowerLetter"/>
      <w:lvlText w:val="%5."/>
      <w:lvlJc w:val="left"/>
      <w:pPr>
        <w:ind w:left="5428" w:hanging="360"/>
      </w:pPr>
    </w:lvl>
    <w:lvl w:ilvl="5" w:tplc="0409001B" w:tentative="1">
      <w:start w:val="1"/>
      <w:numFmt w:val="lowerRoman"/>
      <w:lvlText w:val="%6."/>
      <w:lvlJc w:val="right"/>
      <w:pPr>
        <w:ind w:left="6148" w:hanging="180"/>
      </w:pPr>
    </w:lvl>
    <w:lvl w:ilvl="6" w:tplc="0409000F" w:tentative="1">
      <w:start w:val="1"/>
      <w:numFmt w:val="decimal"/>
      <w:lvlText w:val="%7."/>
      <w:lvlJc w:val="left"/>
      <w:pPr>
        <w:ind w:left="6868" w:hanging="360"/>
      </w:pPr>
    </w:lvl>
    <w:lvl w:ilvl="7" w:tplc="04090019" w:tentative="1">
      <w:start w:val="1"/>
      <w:numFmt w:val="lowerLetter"/>
      <w:lvlText w:val="%8."/>
      <w:lvlJc w:val="left"/>
      <w:pPr>
        <w:ind w:left="7588" w:hanging="360"/>
      </w:pPr>
    </w:lvl>
    <w:lvl w:ilvl="8" w:tplc="0409001B" w:tentative="1">
      <w:start w:val="1"/>
      <w:numFmt w:val="lowerRoman"/>
      <w:lvlText w:val="%9."/>
      <w:lvlJc w:val="right"/>
      <w:pPr>
        <w:ind w:left="8308" w:hanging="180"/>
      </w:pPr>
    </w:lvl>
  </w:abstractNum>
  <w:abstractNum w:abstractNumId="103">
    <w:nsid w:val="7D4F24E5"/>
    <w:multiLevelType w:val="hybridMultilevel"/>
    <w:tmpl w:val="C34A6E66"/>
    <w:lvl w:ilvl="0" w:tplc="CD9C8DC8">
      <w:start w:val="1"/>
      <w:numFmt w:val="lowerLetter"/>
      <w:lvlText w:val="(%1)"/>
      <w:lvlJc w:val="left"/>
      <w:pPr>
        <w:ind w:left="2160" w:hanging="720"/>
      </w:pPr>
      <w:rPr>
        <w:rFonts w:ascii="Arial" w:eastAsiaTheme="minorHAnsi" w:hAnsi="Arial" w:cs="Arial"/>
        <w:color w:val="FF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3"/>
    <w:lvlOverride w:ilvl="0">
      <w:startOverride w:val="2"/>
    </w:lvlOverride>
  </w:num>
  <w:num w:numId="12">
    <w:abstractNumId w:val="53"/>
    <w:lvlOverride w:ilvl="0">
      <w:startOverride w:val="44"/>
    </w:lvlOverride>
  </w:num>
  <w:num w:numId="13">
    <w:abstractNumId w:val="85"/>
    <w:lvlOverride w:ilvl="0">
      <w:startOverride w:val="1"/>
    </w:lvlOverride>
  </w:num>
  <w:num w:numId="14">
    <w:abstractNumId w:val="83"/>
    <w:lvlOverride w:ilvl="0">
      <w:startOverride w:val="1"/>
    </w:lvlOverride>
  </w:num>
  <w:num w:numId="1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2"/>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num>
  <w:num w:numId="24">
    <w:abstractNumId w:val="18"/>
  </w:num>
  <w:num w:numId="25">
    <w:abstractNumId w:val="35"/>
  </w:num>
  <w:num w:numId="26">
    <w:abstractNumId w:val="36"/>
  </w:num>
  <w:num w:numId="27">
    <w:abstractNumId w:val="90"/>
  </w:num>
  <w:num w:numId="28">
    <w:abstractNumId w:val="80"/>
  </w:num>
  <w:num w:numId="29">
    <w:abstractNumId w:val="99"/>
  </w:num>
  <w:num w:numId="30">
    <w:abstractNumId w:val="46"/>
  </w:num>
  <w:num w:numId="31">
    <w:abstractNumId w:val="79"/>
  </w:num>
  <w:num w:numId="32">
    <w:abstractNumId w:val="77"/>
  </w:num>
  <w:num w:numId="33">
    <w:abstractNumId w:val="38"/>
  </w:num>
  <w:num w:numId="34">
    <w:abstractNumId w:val="62"/>
  </w:num>
  <w:num w:numId="35">
    <w:abstractNumId w:val="101"/>
  </w:num>
  <w:num w:numId="36">
    <w:abstractNumId w:val="49"/>
  </w:num>
  <w:num w:numId="37">
    <w:abstractNumId w:val="31"/>
  </w:num>
  <w:num w:numId="38">
    <w:abstractNumId w:val="22"/>
  </w:num>
  <w:num w:numId="39">
    <w:abstractNumId w:val="78"/>
  </w:num>
  <w:num w:numId="40">
    <w:abstractNumId w:val="56"/>
  </w:num>
  <w:num w:numId="41">
    <w:abstractNumId w:val="37"/>
  </w:num>
  <w:num w:numId="42">
    <w:abstractNumId w:val="69"/>
  </w:num>
  <w:num w:numId="43">
    <w:abstractNumId w:val="73"/>
  </w:num>
  <w:num w:numId="44">
    <w:abstractNumId w:val="93"/>
  </w:num>
  <w:num w:numId="45">
    <w:abstractNumId w:val="64"/>
  </w:num>
  <w:num w:numId="46">
    <w:abstractNumId w:val="82"/>
  </w:num>
  <w:num w:numId="47">
    <w:abstractNumId w:val="52"/>
  </w:num>
  <w:num w:numId="48">
    <w:abstractNumId w:val="63"/>
  </w:num>
  <w:num w:numId="49">
    <w:abstractNumId w:val="67"/>
  </w:num>
  <w:num w:numId="50">
    <w:abstractNumId w:val="24"/>
  </w:num>
  <w:num w:numId="51">
    <w:abstractNumId w:val="10"/>
  </w:num>
  <w:num w:numId="52">
    <w:abstractNumId w:val="34"/>
  </w:num>
  <w:num w:numId="53">
    <w:abstractNumId w:val="97"/>
  </w:num>
  <w:num w:numId="54">
    <w:abstractNumId w:val="50"/>
  </w:num>
  <w:num w:numId="55">
    <w:abstractNumId w:val="60"/>
  </w:num>
  <w:num w:numId="56">
    <w:abstractNumId w:val="44"/>
  </w:num>
  <w:num w:numId="57">
    <w:abstractNumId w:val="59"/>
  </w:num>
  <w:num w:numId="58">
    <w:abstractNumId w:val="71"/>
  </w:num>
  <w:num w:numId="59">
    <w:abstractNumId w:val="29"/>
  </w:num>
  <w:num w:numId="60">
    <w:abstractNumId w:val="15"/>
  </w:num>
  <w:num w:numId="61">
    <w:abstractNumId w:val="57"/>
  </w:num>
  <w:num w:numId="62">
    <w:abstractNumId w:val="100"/>
  </w:num>
  <w:num w:numId="63">
    <w:abstractNumId w:val="65"/>
  </w:num>
  <w:num w:numId="64">
    <w:abstractNumId w:val="95"/>
  </w:num>
  <w:num w:numId="65">
    <w:abstractNumId w:val="12"/>
  </w:num>
  <w:num w:numId="66">
    <w:abstractNumId w:val="19"/>
  </w:num>
  <w:num w:numId="67">
    <w:abstractNumId w:val="11"/>
  </w:num>
  <w:num w:numId="68">
    <w:abstractNumId w:val="48"/>
  </w:num>
  <w:num w:numId="69">
    <w:abstractNumId w:val="27"/>
  </w:num>
  <w:num w:numId="70">
    <w:abstractNumId w:val="58"/>
  </w:num>
  <w:num w:numId="71">
    <w:abstractNumId w:val="16"/>
  </w:num>
  <w:num w:numId="72">
    <w:abstractNumId w:val="89"/>
  </w:num>
  <w:num w:numId="73">
    <w:abstractNumId w:val="92"/>
  </w:num>
  <w:num w:numId="74">
    <w:abstractNumId w:val="86"/>
  </w:num>
  <w:num w:numId="75">
    <w:abstractNumId w:val="68"/>
  </w:num>
  <w:num w:numId="76">
    <w:abstractNumId w:val="20"/>
  </w:num>
  <w:num w:numId="77">
    <w:abstractNumId w:val="70"/>
  </w:num>
  <w:num w:numId="78">
    <w:abstractNumId w:val="42"/>
  </w:num>
  <w:num w:numId="79">
    <w:abstractNumId w:val="74"/>
  </w:num>
  <w:num w:numId="80">
    <w:abstractNumId w:val="43"/>
  </w:num>
  <w:num w:numId="81">
    <w:abstractNumId w:val="75"/>
  </w:num>
  <w:num w:numId="82">
    <w:abstractNumId w:val="25"/>
  </w:num>
  <w:num w:numId="83">
    <w:abstractNumId w:val="51"/>
  </w:num>
  <w:num w:numId="84">
    <w:abstractNumId w:val="84"/>
  </w:num>
  <w:num w:numId="85">
    <w:abstractNumId w:val="54"/>
  </w:num>
  <w:num w:numId="86">
    <w:abstractNumId w:val="47"/>
  </w:num>
  <w:num w:numId="87">
    <w:abstractNumId w:val="41"/>
  </w:num>
  <w:num w:numId="88">
    <w:abstractNumId w:val="21"/>
  </w:num>
  <w:num w:numId="89">
    <w:abstractNumId w:val="32"/>
  </w:num>
  <w:num w:numId="90">
    <w:abstractNumId w:val="39"/>
  </w:num>
  <w:num w:numId="91">
    <w:abstractNumId w:val="98"/>
  </w:num>
  <w:num w:numId="92">
    <w:abstractNumId w:val="96"/>
  </w:num>
  <w:num w:numId="93">
    <w:abstractNumId w:val="28"/>
  </w:num>
  <w:num w:numId="94">
    <w:abstractNumId w:val="81"/>
  </w:num>
  <w:num w:numId="95">
    <w:abstractNumId w:val="55"/>
  </w:num>
  <w:num w:numId="96">
    <w:abstractNumId w:val="66"/>
  </w:num>
  <w:num w:numId="97">
    <w:abstractNumId w:val="87"/>
  </w:num>
  <w:num w:numId="98">
    <w:abstractNumId w:val="33"/>
  </w:num>
  <w:num w:numId="99">
    <w:abstractNumId w:val="23"/>
  </w:num>
  <w:num w:numId="100">
    <w:abstractNumId w:val="91"/>
  </w:num>
  <w:num w:numId="101">
    <w:abstractNumId w:val="102"/>
  </w:num>
  <w:num w:numId="102">
    <w:abstractNumId w:val="76"/>
  </w:num>
  <w:num w:numId="103">
    <w:abstractNumId w:val="14"/>
  </w:num>
  <w:num w:numId="104">
    <w:abstractNumId w:val="103"/>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547"/>
  <w:displayHorizontalDrawingGridEvery w:val="0"/>
  <w:displayVerticalDrawingGridEvery w:val="0"/>
  <w:doNotUseMarginsForDrawingGridOrigin/>
  <w:noPunctuationKerning/>
  <w:characterSpacingControl w:val="doNotCompress"/>
  <w:footnotePr>
    <w:numRestart w:val="eachPage"/>
    <w:footnote w:id="0"/>
    <w:footnote w:id="1"/>
  </w:footnotePr>
  <w:endnotePr>
    <w:endnote w:id="0"/>
    <w:endnote w:id="1"/>
  </w:endnotePr>
  <w:compat/>
  <w:rsids>
    <w:rsidRoot w:val="006A3F93"/>
    <w:rsid w:val="0000017A"/>
    <w:rsid w:val="000003F4"/>
    <w:rsid w:val="00000480"/>
    <w:rsid w:val="00000C8C"/>
    <w:rsid w:val="0000102B"/>
    <w:rsid w:val="00001171"/>
    <w:rsid w:val="0000130A"/>
    <w:rsid w:val="000017D7"/>
    <w:rsid w:val="0000182A"/>
    <w:rsid w:val="0000204D"/>
    <w:rsid w:val="00002143"/>
    <w:rsid w:val="00002803"/>
    <w:rsid w:val="00002879"/>
    <w:rsid w:val="00003276"/>
    <w:rsid w:val="0000371F"/>
    <w:rsid w:val="0000382B"/>
    <w:rsid w:val="00003F01"/>
    <w:rsid w:val="000045FC"/>
    <w:rsid w:val="000049F0"/>
    <w:rsid w:val="00004C29"/>
    <w:rsid w:val="0000524A"/>
    <w:rsid w:val="0000551B"/>
    <w:rsid w:val="000056DF"/>
    <w:rsid w:val="0000628F"/>
    <w:rsid w:val="00006537"/>
    <w:rsid w:val="000067F6"/>
    <w:rsid w:val="00006D60"/>
    <w:rsid w:val="00006FCC"/>
    <w:rsid w:val="000075C8"/>
    <w:rsid w:val="00007CF1"/>
    <w:rsid w:val="00007F86"/>
    <w:rsid w:val="000100D6"/>
    <w:rsid w:val="000104DE"/>
    <w:rsid w:val="000109EA"/>
    <w:rsid w:val="00010EE2"/>
    <w:rsid w:val="00011A78"/>
    <w:rsid w:val="00011CF4"/>
    <w:rsid w:val="00012238"/>
    <w:rsid w:val="000132FF"/>
    <w:rsid w:val="00013366"/>
    <w:rsid w:val="0001337D"/>
    <w:rsid w:val="00013422"/>
    <w:rsid w:val="0001357C"/>
    <w:rsid w:val="000138E9"/>
    <w:rsid w:val="00013CEF"/>
    <w:rsid w:val="000149AF"/>
    <w:rsid w:val="000153E6"/>
    <w:rsid w:val="00015D11"/>
    <w:rsid w:val="00015D27"/>
    <w:rsid w:val="000160CD"/>
    <w:rsid w:val="000161F5"/>
    <w:rsid w:val="00016509"/>
    <w:rsid w:val="000166B1"/>
    <w:rsid w:val="000166BD"/>
    <w:rsid w:val="0001674F"/>
    <w:rsid w:val="00016F39"/>
    <w:rsid w:val="0001712A"/>
    <w:rsid w:val="000172E0"/>
    <w:rsid w:val="00017A5B"/>
    <w:rsid w:val="000205F4"/>
    <w:rsid w:val="00020AD2"/>
    <w:rsid w:val="00020D2A"/>
    <w:rsid w:val="00020EF1"/>
    <w:rsid w:val="00021AF9"/>
    <w:rsid w:val="000220C3"/>
    <w:rsid w:val="0002282C"/>
    <w:rsid w:val="000228BC"/>
    <w:rsid w:val="00022C0A"/>
    <w:rsid w:val="00023131"/>
    <w:rsid w:val="000237DE"/>
    <w:rsid w:val="00023BF6"/>
    <w:rsid w:val="00023E88"/>
    <w:rsid w:val="00023EDD"/>
    <w:rsid w:val="00024176"/>
    <w:rsid w:val="0002457F"/>
    <w:rsid w:val="000246E0"/>
    <w:rsid w:val="00024CC5"/>
    <w:rsid w:val="00024D1A"/>
    <w:rsid w:val="00024F0E"/>
    <w:rsid w:val="000256A6"/>
    <w:rsid w:val="000256B1"/>
    <w:rsid w:val="0002608C"/>
    <w:rsid w:val="000263AE"/>
    <w:rsid w:val="000266DD"/>
    <w:rsid w:val="00026D33"/>
    <w:rsid w:val="000271E2"/>
    <w:rsid w:val="00027995"/>
    <w:rsid w:val="00027DC0"/>
    <w:rsid w:val="000300B3"/>
    <w:rsid w:val="000305CB"/>
    <w:rsid w:val="00030982"/>
    <w:rsid w:val="00030BDC"/>
    <w:rsid w:val="00030EE5"/>
    <w:rsid w:val="00030F4A"/>
    <w:rsid w:val="00030F7F"/>
    <w:rsid w:val="000312BC"/>
    <w:rsid w:val="000313CE"/>
    <w:rsid w:val="00031790"/>
    <w:rsid w:val="0003246C"/>
    <w:rsid w:val="0003289C"/>
    <w:rsid w:val="00032E6C"/>
    <w:rsid w:val="000338B1"/>
    <w:rsid w:val="000338F0"/>
    <w:rsid w:val="00033CDC"/>
    <w:rsid w:val="00033E7E"/>
    <w:rsid w:val="000340D1"/>
    <w:rsid w:val="000340D8"/>
    <w:rsid w:val="000343CD"/>
    <w:rsid w:val="000346ED"/>
    <w:rsid w:val="00034779"/>
    <w:rsid w:val="00034DEC"/>
    <w:rsid w:val="000352F5"/>
    <w:rsid w:val="00035E0E"/>
    <w:rsid w:val="0003664D"/>
    <w:rsid w:val="00036A37"/>
    <w:rsid w:val="00036BF0"/>
    <w:rsid w:val="00036F2C"/>
    <w:rsid w:val="00037978"/>
    <w:rsid w:val="00037BC7"/>
    <w:rsid w:val="00040C41"/>
    <w:rsid w:val="00040ECC"/>
    <w:rsid w:val="00040EF6"/>
    <w:rsid w:val="00040FD0"/>
    <w:rsid w:val="000410B9"/>
    <w:rsid w:val="00041468"/>
    <w:rsid w:val="00041609"/>
    <w:rsid w:val="000417B8"/>
    <w:rsid w:val="00041BA7"/>
    <w:rsid w:val="00041C3F"/>
    <w:rsid w:val="0004241D"/>
    <w:rsid w:val="00042704"/>
    <w:rsid w:val="00042DF6"/>
    <w:rsid w:val="000439D0"/>
    <w:rsid w:val="00043B01"/>
    <w:rsid w:val="00043B71"/>
    <w:rsid w:val="0004493F"/>
    <w:rsid w:val="00044983"/>
    <w:rsid w:val="00044C84"/>
    <w:rsid w:val="0004560A"/>
    <w:rsid w:val="00045861"/>
    <w:rsid w:val="000458F3"/>
    <w:rsid w:val="00045C26"/>
    <w:rsid w:val="00045C4B"/>
    <w:rsid w:val="000468ED"/>
    <w:rsid w:val="0004692D"/>
    <w:rsid w:val="00046ABA"/>
    <w:rsid w:val="000470F3"/>
    <w:rsid w:val="000473E5"/>
    <w:rsid w:val="0004763D"/>
    <w:rsid w:val="00047AF4"/>
    <w:rsid w:val="00047E81"/>
    <w:rsid w:val="000503AB"/>
    <w:rsid w:val="000505A0"/>
    <w:rsid w:val="00050E0F"/>
    <w:rsid w:val="00050F97"/>
    <w:rsid w:val="000510E3"/>
    <w:rsid w:val="00051556"/>
    <w:rsid w:val="000519DE"/>
    <w:rsid w:val="00051B33"/>
    <w:rsid w:val="00051B99"/>
    <w:rsid w:val="00051BFE"/>
    <w:rsid w:val="00051E71"/>
    <w:rsid w:val="00052238"/>
    <w:rsid w:val="00053428"/>
    <w:rsid w:val="00053952"/>
    <w:rsid w:val="00054052"/>
    <w:rsid w:val="00054435"/>
    <w:rsid w:val="00054640"/>
    <w:rsid w:val="000547E5"/>
    <w:rsid w:val="000552E3"/>
    <w:rsid w:val="00055D38"/>
    <w:rsid w:val="00055D3C"/>
    <w:rsid w:val="00055F30"/>
    <w:rsid w:val="000561B5"/>
    <w:rsid w:val="000561C2"/>
    <w:rsid w:val="00056218"/>
    <w:rsid w:val="000563B4"/>
    <w:rsid w:val="00056452"/>
    <w:rsid w:val="00056BBC"/>
    <w:rsid w:val="00056E5F"/>
    <w:rsid w:val="00057395"/>
    <w:rsid w:val="00057BA0"/>
    <w:rsid w:val="00057BF2"/>
    <w:rsid w:val="0006061D"/>
    <w:rsid w:val="00060DDA"/>
    <w:rsid w:val="00061850"/>
    <w:rsid w:val="00061A10"/>
    <w:rsid w:val="00061D47"/>
    <w:rsid w:val="00062173"/>
    <w:rsid w:val="00062277"/>
    <w:rsid w:val="00062945"/>
    <w:rsid w:val="00062B6D"/>
    <w:rsid w:val="00063411"/>
    <w:rsid w:val="00063694"/>
    <w:rsid w:val="0006446B"/>
    <w:rsid w:val="00064613"/>
    <w:rsid w:val="00064DB7"/>
    <w:rsid w:val="00064E9E"/>
    <w:rsid w:val="000652F7"/>
    <w:rsid w:val="00065388"/>
    <w:rsid w:val="000657AE"/>
    <w:rsid w:val="00065C4E"/>
    <w:rsid w:val="00065F62"/>
    <w:rsid w:val="000663C9"/>
    <w:rsid w:val="00066668"/>
    <w:rsid w:val="000667EC"/>
    <w:rsid w:val="000668A6"/>
    <w:rsid w:val="000671A6"/>
    <w:rsid w:val="000672DA"/>
    <w:rsid w:val="0006790F"/>
    <w:rsid w:val="00067B1C"/>
    <w:rsid w:val="00067B8A"/>
    <w:rsid w:val="00067E82"/>
    <w:rsid w:val="000700D9"/>
    <w:rsid w:val="000701BA"/>
    <w:rsid w:val="00070763"/>
    <w:rsid w:val="000707C2"/>
    <w:rsid w:val="000707EC"/>
    <w:rsid w:val="000709DA"/>
    <w:rsid w:val="00070B77"/>
    <w:rsid w:val="00071889"/>
    <w:rsid w:val="0007197E"/>
    <w:rsid w:val="00071F79"/>
    <w:rsid w:val="00071FCF"/>
    <w:rsid w:val="00072AB7"/>
    <w:rsid w:val="00072D46"/>
    <w:rsid w:val="00072E4B"/>
    <w:rsid w:val="0007395D"/>
    <w:rsid w:val="00073A51"/>
    <w:rsid w:val="00073F92"/>
    <w:rsid w:val="00074B9D"/>
    <w:rsid w:val="00074CCA"/>
    <w:rsid w:val="00074D51"/>
    <w:rsid w:val="00074E9B"/>
    <w:rsid w:val="00074EDD"/>
    <w:rsid w:val="000750AF"/>
    <w:rsid w:val="0007555C"/>
    <w:rsid w:val="000756CA"/>
    <w:rsid w:val="00075712"/>
    <w:rsid w:val="000757F9"/>
    <w:rsid w:val="00075B3E"/>
    <w:rsid w:val="00075B56"/>
    <w:rsid w:val="00076571"/>
    <w:rsid w:val="0007672B"/>
    <w:rsid w:val="00076A10"/>
    <w:rsid w:val="00076B30"/>
    <w:rsid w:val="00076DEC"/>
    <w:rsid w:val="0007771E"/>
    <w:rsid w:val="00077812"/>
    <w:rsid w:val="0007798F"/>
    <w:rsid w:val="00077B9D"/>
    <w:rsid w:val="00080130"/>
    <w:rsid w:val="00080682"/>
    <w:rsid w:val="00080970"/>
    <w:rsid w:val="00080A38"/>
    <w:rsid w:val="00080F6B"/>
    <w:rsid w:val="00081AF5"/>
    <w:rsid w:val="00081BF6"/>
    <w:rsid w:val="00082573"/>
    <w:rsid w:val="000826D0"/>
    <w:rsid w:val="00082810"/>
    <w:rsid w:val="000829D0"/>
    <w:rsid w:val="00082DBE"/>
    <w:rsid w:val="00082F75"/>
    <w:rsid w:val="00083F17"/>
    <w:rsid w:val="00084B9C"/>
    <w:rsid w:val="00084C30"/>
    <w:rsid w:val="00084CD3"/>
    <w:rsid w:val="00085388"/>
    <w:rsid w:val="00085569"/>
    <w:rsid w:val="0008561D"/>
    <w:rsid w:val="00085A4C"/>
    <w:rsid w:val="00085CCC"/>
    <w:rsid w:val="00085F7A"/>
    <w:rsid w:val="00086034"/>
    <w:rsid w:val="0008606B"/>
    <w:rsid w:val="00086916"/>
    <w:rsid w:val="00086B5D"/>
    <w:rsid w:val="00086F7E"/>
    <w:rsid w:val="00087D67"/>
    <w:rsid w:val="00087E58"/>
    <w:rsid w:val="00087E7A"/>
    <w:rsid w:val="00090020"/>
    <w:rsid w:val="000900C8"/>
    <w:rsid w:val="00090226"/>
    <w:rsid w:val="0009074C"/>
    <w:rsid w:val="00090D30"/>
    <w:rsid w:val="000912F0"/>
    <w:rsid w:val="00092065"/>
    <w:rsid w:val="0009226F"/>
    <w:rsid w:val="00092395"/>
    <w:rsid w:val="00092442"/>
    <w:rsid w:val="000928AA"/>
    <w:rsid w:val="000929C1"/>
    <w:rsid w:val="00092CA1"/>
    <w:rsid w:val="00092EE7"/>
    <w:rsid w:val="00093315"/>
    <w:rsid w:val="0009369A"/>
    <w:rsid w:val="000943E2"/>
    <w:rsid w:val="0009470D"/>
    <w:rsid w:val="00094ACF"/>
    <w:rsid w:val="000951D4"/>
    <w:rsid w:val="000951D6"/>
    <w:rsid w:val="00095557"/>
    <w:rsid w:val="0009558F"/>
    <w:rsid w:val="00095EC0"/>
    <w:rsid w:val="000960A5"/>
    <w:rsid w:val="00096119"/>
    <w:rsid w:val="00096524"/>
    <w:rsid w:val="00096560"/>
    <w:rsid w:val="0009681E"/>
    <w:rsid w:val="00096F16"/>
    <w:rsid w:val="0009763F"/>
    <w:rsid w:val="00097994"/>
    <w:rsid w:val="000A0BE6"/>
    <w:rsid w:val="000A0C18"/>
    <w:rsid w:val="000A0ED0"/>
    <w:rsid w:val="000A1057"/>
    <w:rsid w:val="000A160E"/>
    <w:rsid w:val="000A1763"/>
    <w:rsid w:val="000A177A"/>
    <w:rsid w:val="000A1CB5"/>
    <w:rsid w:val="000A2009"/>
    <w:rsid w:val="000A2024"/>
    <w:rsid w:val="000A2151"/>
    <w:rsid w:val="000A21B6"/>
    <w:rsid w:val="000A2492"/>
    <w:rsid w:val="000A24D3"/>
    <w:rsid w:val="000A2B5C"/>
    <w:rsid w:val="000A2BDF"/>
    <w:rsid w:val="000A2C6E"/>
    <w:rsid w:val="000A2D8B"/>
    <w:rsid w:val="000A36AB"/>
    <w:rsid w:val="000A373F"/>
    <w:rsid w:val="000A3979"/>
    <w:rsid w:val="000A48C5"/>
    <w:rsid w:val="000A4B03"/>
    <w:rsid w:val="000A4E16"/>
    <w:rsid w:val="000A5648"/>
    <w:rsid w:val="000A5DB6"/>
    <w:rsid w:val="000A5E1D"/>
    <w:rsid w:val="000A64F4"/>
    <w:rsid w:val="000A6A61"/>
    <w:rsid w:val="000A717F"/>
    <w:rsid w:val="000A77A0"/>
    <w:rsid w:val="000A7843"/>
    <w:rsid w:val="000A7B6A"/>
    <w:rsid w:val="000A7C52"/>
    <w:rsid w:val="000A7D05"/>
    <w:rsid w:val="000A7DDF"/>
    <w:rsid w:val="000A7E07"/>
    <w:rsid w:val="000B02AA"/>
    <w:rsid w:val="000B0330"/>
    <w:rsid w:val="000B0E29"/>
    <w:rsid w:val="000B11C4"/>
    <w:rsid w:val="000B12CA"/>
    <w:rsid w:val="000B153D"/>
    <w:rsid w:val="000B170D"/>
    <w:rsid w:val="000B1B3A"/>
    <w:rsid w:val="000B22BF"/>
    <w:rsid w:val="000B27F0"/>
    <w:rsid w:val="000B2FB1"/>
    <w:rsid w:val="000B31FA"/>
    <w:rsid w:val="000B346B"/>
    <w:rsid w:val="000B34C7"/>
    <w:rsid w:val="000B3718"/>
    <w:rsid w:val="000B38EA"/>
    <w:rsid w:val="000B3923"/>
    <w:rsid w:val="000B40D0"/>
    <w:rsid w:val="000B41AE"/>
    <w:rsid w:val="000B443C"/>
    <w:rsid w:val="000B4823"/>
    <w:rsid w:val="000B4874"/>
    <w:rsid w:val="000B4C0F"/>
    <w:rsid w:val="000B4C4A"/>
    <w:rsid w:val="000B4D0D"/>
    <w:rsid w:val="000B4D91"/>
    <w:rsid w:val="000B4EF9"/>
    <w:rsid w:val="000B4F8E"/>
    <w:rsid w:val="000B4FE8"/>
    <w:rsid w:val="000B5249"/>
    <w:rsid w:val="000B52B6"/>
    <w:rsid w:val="000B577C"/>
    <w:rsid w:val="000B591F"/>
    <w:rsid w:val="000B5A8F"/>
    <w:rsid w:val="000B5C85"/>
    <w:rsid w:val="000B5D11"/>
    <w:rsid w:val="000B5EA1"/>
    <w:rsid w:val="000B64B6"/>
    <w:rsid w:val="000B709B"/>
    <w:rsid w:val="000B746C"/>
    <w:rsid w:val="000B7740"/>
    <w:rsid w:val="000B7DC8"/>
    <w:rsid w:val="000C0B93"/>
    <w:rsid w:val="000C0FD1"/>
    <w:rsid w:val="000C106C"/>
    <w:rsid w:val="000C10A3"/>
    <w:rsid w:val="000C1C22"/>
    <w:rsid w:val="000C1C4C"/>
    <w:rsid w:val="000C1DCC"/>
    <w:rsid w:val="000C2374"/>
    <w:rsid w:val="000C25A4"/>
    <w:rsid w:val="000C2F43"/>
    <w:rsid w:val="000C3320"/>
    <w:rsid w:val="000C40FF"/>
    <w:rsid w:val="000C47B6"/>
    <w:rsid w:val="000C55CD"/>
    <w:rsid w:val="000C55E7"/>
    <w:rsid w:val="000C5A01"/>
    <w:rsid w:val="000C5B6C"/>
    <w:rsid w:val="000C5EF5"/>
    <w:rsid w:val="000C5F7D"/>
    <w:rsid w:val="000C627B"/>
    <w:rsid w:val="000C677F"/>
    <w:rsid w:val="000C6B74"/>
    <w:rsid w:val="000C730B"/>
    <w:rsid w:val="000C76D6"/>
    <w:rsid w:val="000C7D85"/>
    <w:rsid w:val="000D04C0"/>
    <w:rsid w:val="000D0568"/>
    <w:rsid w:val="000D1396"/>
    <w:rsid w:val="000D14ED"/>
    <w:rsid w:val="000D1AC7"/>
    <w:rsid w:val="000D1DE9"/>
    <w:rsid w:val="000D2707"/>
    <w:rsid w:val="000D2EB2"/>
    <w:rsid w:val="000D2F90"/>
    <w:rsid w:val="000D33E4"/>
    <w:rsid w:val="000D3A63"/>
    <w:rsid w:val="000D3BED"/>
    <w:rsid w:val="000D3D2B"/>
    <w:rsid w:val="000D3DA5"/>
    <w:rsid w:val="000D3F3D"/>
    <w:rsid w:val="000D4211"/>
    <w:rsid w:val="000D430B"/>
    <w:rsid w:val="000D4DE5"/>
    <w:rsid w:val="000D5870"/>
    <w:rsid w:val="000D5A68"/>
    <w:rsid w:val="000D6194"/>
    <w:rsid w:val="000D6340"/>
    <w:rsid w:val="000D64D2"/>
    <w:rsid w:val="000D6865"/>
    <w:rsid w:val="000D6B12"/>
    <w:rsid w:val="000D6CDF"/>
    <w:rsid w:val="000D6E15"/>
    <w:rsid w:val="000D6E2D"/>
    <w:rsid w:val="000D73C7"/>
    <w:rsid w:val="000D77BF"/>
    <w:rsid w:val="000D7859"/>
    <w:rsid w:val="000D7B32"/>
    <w:rsid w:val="000D7E10"/>
    <w:rsid w:val="000E0316"/>
    <w:rsid w:val="000E06C2"/>
    <w:rsid w:val="000E08AA"/>
    <w:rsid w:val="000E0922"/>
    <w:rsid w:val="000E1176"/>
    <w:rsid w:val="000E1495"/>
    <w:rsid w:val="000E14F9"/>
    <w:rsid w:val="000E177E"/>
    <w:rsid w:val="000E1966"/>
    <w:rsid w:val="000E1C20"/>
    <w:rsid w:val="000E21C5"/>
    <w:rsid w:val="000E2636"/>
    <w:rsid w:val="000E2748"/>
    <w:rsid w:val="000E279E"/>
    <w:rsid w:val="000E2D02"/>
    <w:rsid w:val="000E2DDE"/>
    <w:rsid w:val="000E33A1"/>
    <w:rsid w:val="000E3423"/>
    <w:rsid w:val="000E3E98"/>
    <w:rsid w:val="000E3ED1"/>
    <w:rsid w:val="000E4106"/>
    <w:rsid w:val="000E4358"/>
    <w:rsid w:val="000E4521"/>
    <w:rsid w:val="000E474B"/>
    <w:rsid w:val="000E4B10"/>
    <w:rsid w:val="000E4CFE"/>
    <w:rsid w:val="000E510B"/>
    <w:rsid w:val="000E578A"/>
    <w:rsid w:val="000E5B70"/>
    <w:rsid w:val="000E5E21"/>
    <w:rsid w:val="000E5E48"/>
    <w:rsid w:val="000E5E96"/>
    <w:rsid w:val="000E61CF"/>
    <w:rsid w:val="000E62B7"/>
    <w:rsid w:val="000E635A"/>
    <w:rsid w:val="000E6B44"/>
    <w:rsid w:val="000E7538"/>
    <w:rsid w:val="000E7C91"/>
    <w:rsid w:val="000E7F98"/>
    <w:rsid w:val="000F0705"/>
    <w:rsid w:val="000F07C8"/>
    <w:rsid w:val="000F09E8"/>
    <w:rsid w:val="000F0D14"/>
    <w:rsid w:val="000F0E4E"/>
    <w:rsid w:val="000F0EF5"/>
    <w:rsid w:val="000F11AE"/>
    <w:rsid w:val="000F156D"/>
    <w:rsid w:val="000F1756"/>
    <w:rsid w:val="000F277E"/>
    <w:rsid w:val="000F2A7F"/>
    <w:rsid w:val="000F2CE8"/>
    <w:rsid w:val="000F2DEC"/>
    <w:rsid w:val="000F32D8"/>
    <w:rsid w:val="000F32F6"/>
    <w:rsid w:val="000F3598"/>
    <w:rsid w:val="000F3902"/>
    <w:rsid w:val="000F4012"/>
    <w:rsid w:val="000F4622"/>
    <w:rsid w:val="000F4756"/>
    <w:rsid w:val="000F4A95"/>
    <w:rsid w:val="000F4CC4"/>
    <w:rsid w:val="000F4DAE"/>
    <w:rsid w:val="000F4DEA"/>
    <w:rsid w:val="000F4FCA"/>
    <w:rsid w:val="000F514E"/>
    <w:rsid w:val="000F5600"/>
    <w:rsid w:val="000F5841"/>
    <w:rsid w:val="000F5DFC"/>
    <w:rsid w:val="000F64BB"/>
    <w:rsid w:val="000F6728"/>
    <w:rsid w:val="000F6978"/>
    <w:rsid w:val="000F6BC7"/>
    <w:rsid w:val="000F6E61"/>
    <w:rsid w:val="000F77A0"/>
    <w:rsid w:val="000F7BA2"/>
    <w:rsid w:val="001008A5"/>
    <w:rsid w:val="001008EA"/>
    <w:rsid w:val="001014CB"/>
    <w:rsid w:val="001014E1"/>
    <w:rsid w:val="0010156C"/>
    <w:rsid w:val="001016C0"/>
    <w:rsid w:val="00102085"/>
    <w:rsid w:val="00102E25"/>
    <w:rsid w:val="00103495"/>
    <w:rsid w:val="001035B7"/>
    <w:rsid w:val="001038BA"/>
    <w:rsid w:val="00104A33"/>
    <w:rsid w:val="00104CF7"/>
    <w:rsid w:val="00104D9C"/>
    <w:rsid w:val="00104EF1"/>
    <w:rsid w:val="00105061"/>
    <w:rsid w:val="00105687"/>
    <w:rsid w:val="00105829"/>
    <w:rsid w:val="00105B7C"/>
    <w:rsid w:val="00105D0A"/>
    <w:rsid w:val="00105FAB"/>
    <w:rsid w:val="001061A6"/>
    <w:rsid w:val="00106201"/>
    <w:rsid w:val="00106B9F"/>
    <w:rsid w:val="00106CD3"/>
    <w:rsid w:val="00106F51"/>
    <w:rsid w:val="001074DE"/>
    <w:rsid w:val="00107A57"/>
    <w:rsid w:val="00107D58"/>
    <w:rsid w:val="0011045A"/>
    <w:rsid w:val="001105E2"/>
    <w:rsid w:val="00110E2F"/>
    <w:rsid w:val="0011101F"/>
    <w:rsid w:val="001112C8"/>
    <w:rsid w:val="0011145F"/>
    <w:rsid w:val="0011155E"/>
    <w:rsid w:val="0011246E"/>
    <w:rsid w:val="001129F8"/>
    <w:rsid w:val="001139E0"/>
    <w:rsid w:val="0011436F"/>
    <w:rsid w:val="00114E06"/>
    <w:rsid w:val="001155FF"/>
    <w:rsid w:val="001156A6"/>
    <w:rsid w:val="00115C78"/>
    <w:rsid w:val="00116194"/>
    <w:rsid w:val="00116371"/>
    <w:rsid w:val="00116BBF"/>
    <w:rsid w:val="00116C07"/>
    <w:rsid w:val="001171D0"/>
    <w:rsid w:val="0011745B"/>
    <w:rsid w:val="0011746A"/>
    <w:rsid w:val="00117582"/>
    <w:rsid w:val="00117861"/>
    <w:rsid w:val="00117A9F"/>
    <w:rsid w:val="00117DD2"/>
    <w:rsid w:val="00117F46"/>
    <w:rsid w:val="00117F86"/>
    <w:rsid w:val="00117F8C"/>
    <w:rsid w:val="0012019B"/>
    <w:rsid w:val="00120436"/>
    <w:rsid w:val="00120439"/>
    <w:rsid w:val="001207D5"/>
    <w:rsid w:val="00120A50"/>
    <w:rsid w:val="00121744"/>
    <w:rsid w:val="001217D0"/>
    <w:rsid w:val="00121AA8"/>
    <w:rsid w:val="0012269D"/>
    <w:rsid w:val="00123225"/>
    <w:rsid w:val="001235F1"/>
    <w:rsid w:val="0012407D"/>
    <w:rsid w:val="001241D7"/>
    <w:rsid w:val="00124369"/>
    <w:rsid w:val="00124A07"/>
    <w:rsid w:val="00124B64"/>
    <w:rsid w:val="00124E12"/>
    <w:rsid w:val="00124EA2"/>
    <w:rsid w:val="001258CC"/>
    <w:rsid w:val="0012598B"/>
    <w:rsid w:val="00125A7A"/>
    <w:rsid w:val="00125AE3"/>
    <w:rsid w:val="00126D40"/>
    <w:rsid w:val="00126EDD"/>
    <w:rsid w:val="00126F81"/>
    <w:rsid w:val="00127C34"/>
    <w:rsid w:val="00127FE1"/>
    <w:rsid w:val="001300DC"/>
    <w:rsid w:val="00130A38"/>
    <w:rsid w:val="001313CB"/>
    <w:rsid w:val="0013143D"/>
    <w:rsid w:val="001318A4"/>
    <w:rsid w:val="001319AF"/>
    <w:rsid w:val="00131F18"/>
    <w:rsid w:val="001322AA"/>
    <w:rsid w:val="0013279C"/>
    <w:rsid w:val="00132BC4"/>
    <w:rsid w:val="00133049"/>
    <w:rsid w:val="0013324B"/>
    <w:rsid w:val="001336B0"/>
    <w:rsid w:val="00133FF7"/>
    <w:rsid w:val="001340E8"/>
    <w:rsid w:val="001347D7"/>
    <w:rsid w:val="00135250"/>
    <w:rsid w:val="001359BA"/>
    <w:rsid w:val="00135F9E"/>
    <w:rsid w:val="00135FFB"/>
    <w:rsid w:val="00136081"/>
    <w:rsid w:val="001366FF"/>
    <w:rsid w:val="00136729"/>
    <w:rsid w:val="00137783"/>
    <w:rsid w:val="001377C3"/>
    <w:rsid w:val="00137892"/>
    <w:rsid w:val="001379D6"/>
    <w:rsid w:val="001379F3"/>
    <w:rsid w:val="00137A87"/>
    <w:rsid w:val="00137E17"/>
    <w:rsid w:val="0014029D"/>
    <w:rsid w:val="00140DF3"/>
    <w:rsid w:val="00141389"/>
    <w:rsid w:val="001415A6"/>
    <w:rsid w:val="001417A6"/>
    <w:rsid w:val="001417CA"/>
    <w:rsid w:val="00141DDE"/>
    <w:rsid w:val="00142802"/>
    <w:rsid w:val="00142A32"/>
    <w:rsid w:val="00142EFF"/>
    <w:rsid w:val="0014315B"/>
    <w:rsid w:val="001432D6"/>
    <w:rsid w:val="001433BC"/>
    <w:rsid w:val="001433DF"/>
    <w:rsid w:val="00144000"/>
    <w:rsid w:val="00144E38"/>
    <w:rsid w:val="00144E57"/>
    <w:rsid w:val="001454B3"/>
    <w:rsid w:val="00145A67"/>
    <w:rsid w:val="00145F00"/>
    <w:rsid w:val="00146135"/>
    <w:rsid w:val="00146D44"/>
    <w:rsid w:val="001472B4"/>
    <w:rsid w:val="00147602"/>
    <w:rsid w:val="00147892"/>
    <w:rsid w:val="00147D0E"/>
    <w:rsid w:val="00147DE7"/>
    <w:rsid w:val="0015014F"/>
    <w:rsid w:val="0015016D"/>
    <w:rsid w:val="0015066C"/>
    <w:rsid w:val="001506D3"/>
    <w:rsid w:val="0015072B"/>
    <w:rsid w:val="00151134"/>
    <w:rsid w:val="00151811"/>
    <w:rsid w:val="001518BD"/>
    <w:rsid w:val="0015199C"/>
    <w:rsid w:val="001524CA"/>
    <w:rsid w:val="0015255D"/>
    <w:rsid w:val="001525CC"/>
    <w:rsid w:val="00152686"/>
    <w:rsid w:val="00152F4C"/>
    <w:rsid w:val="00152FD8"/>
    <w:rsid w:val="00153387"/>
    <w:rsid w:val="00153440"/>
    <w:rsid w:val="00153765"/>
    <w:rsid w:val="00153964"/>
    <w:rsid w:val="001546A5"/>
    <w:rsid w:val="001548B1"/>
    <w:rsid w:val="00154A45"/>
    <w:rsid w:val="0015523E"/>
    <w:rsid w:val="001552FF"/>
    <w:rsid w:val="001554F1"/>
    <w:rsid w:val="00155606"/>
    <w:rsid w:val="001561DE"/>
    <w:rsid w:val="001561E1"/>
    <w:rsid w:val="001562D1"/>
    <w:rsid w:val="0015652E"/>
    <w:rsid w:val="001566D6"/>
    <w:rsid w:val="00156B75"/>
    <w:rsid w:val="00156C63"/>
    <w:rsid w:val="00156F76"/>
    <w:rsid w:val="0015700A"/>
    <w:rsid w:val="0015791D"/>
    <w:rsid w:val="00157E6F"/>
    <w:rsid w:val="00157E97"/>
    <w:rsid w:val="00160A01"/>
    <w:rsid w:val="00160E63"/>
    <w:rsid w:val="00160F49"/>
    <w:rsid w:val="0016152B"/>
    <w:rsid w:val="001619FB"/>
    <w:rsid w:val="00161EB8"/>
    <w:rsid w:val="001621C8"/>
    <w:rsid w:val="001621CD"/>
    <w:rsid w:val="001624DF"/>
    <w:rsid w:val="00163B74"/>
    <w:rsid w:val="00163C44"/>
    <w:rsid w:val="00163F8E"/>
    <w:rsid w:val="00164512"/>
    <w:rsid w:val="00165758"/>
    <w:rsid w:val="0016592C"/>
    <w:rsid w:val="001665CE"/>
    <w:rsid w:val="00166DDC"/>
    <w:rsid w:val="00166E24"/>
    <w:rsid w:val="001677CD"/>
    <w:rsid w:val="001678FB"/>
    <w:rsid w:val="00170423"/>
    <w:rsid w:val="0017076D"/>
    <w:rsid w:val="00170913"/>
    <w:rsid w:val="00170E8E"/>
    <w:rsid w:val="00171860"/>
    <w:rsid w:val="001719EB"/>
    <w:rsid w:val="00171B44"/>
    <w:rsid w:val="001721AE"/>
    <w:rsid w:val="00172400"/>
    <w:rsid w:val="00172D6C"/>
    <w:rsid w:val="00172F16"/>
    <w:rsid w:val="00172F78"/>
    <w:rsid w:val="00172FE3"/>
    <w:rsid w:val="00173144"/>
    <w:rsid w:val="001733A8"/>
    <w:rsid w:val="001734D3"/>
    <w:rsid w:val="00173C82"/>
    <w:rsid w:val="0017423F"/>
    <w:rsid w:val="001758AD"/>
    <w:rsid w:val="00176456"/>
    <w:rsid w:val="001767A0"/>
    <w:rsid w:val="001768FA"/>
    <w:rsid w:val="001769E7"/>
    <w:rsid w:val="00176A39"/>
    <w:rsid w:val="00176B70"/>
    <w:rsid w:val="00176F09"/>
    <w:rsid w:val="001771C5"/>
    <w:rsid w:val="00177473"/>
    <w:rsid w:val="00177ACC"/>
    <w:rsid w:val="00177AF9"/>
    <w:rsid w:val="00177BB1"/>
    <w:rsid w:val="00180078"/>
    <w:rsid w:val="001800EF"/>
    <w:rsid w:val="00180397"/>
    <w:rsid w:val="00180F22"/>
    <w:rsid w:val="0018165D"/>
    <w:rsid w:val="00181B3D"/>
    <w:rsid w:val="00181D4A"/>
    <w:rsid w:val="001820BB"/>
    <w:rsid w:val="00182441"/>
    <w:rsid w:val="00182465"/>
    <w:rsid w:val="001830C6"/>
    <w:rsid w:val="00183778"/>
    <w:rsid w:val="00183C54"/>
    <w:rsid w:val="00183D81"/>
    <w:rsid w:val="00183F26"/>
    <w:rsid w:val="0018456C"/>
    <w:rsid w:val="00184A31"/>
    <w:rsid w:val="00184ACD"/>
    <w:rsid w:val="00184EEA"/>
    <w:rsid w:val="00185004"/>
    <w:rsid w:val="00185611"/>
    <w:rsid w:val="00185A29"/>
    <w:rsid w:val="00185A2D"/>
    <w:rsid w:val="00185E18"/>
    <w:rsid w:val="00185EA4"/>
    <w:rsid w:val="00185F35"/>
    <w:rsid w:val="00186804"/>
    <w:rsid w:val="00186817"/>
    <w:rsid w:val="00186BF2"/>
    <w:rsid w:val="0018720F"/>
    <w:rsid w:val="001878AE"/>
    <w:rsid w:val="00187B09"/>
    <w:rsid w:val="00190133"/>
    <w:rsid w:val="0019169A"/>
    <w:rsid w:val="001919D0"/>
    <w:rsid w:val="00191E37"/>
    <w:rsid w:val="00191F6C"/>
    <w:rsid w:val="0019287F"/>
    <w:rsid w:val="00192D7D"/>
    <w:rsid w:val="00193748"/>
    <w:rsid w:val="00193F8E"/>
    <w:rsid w:val="0019419F"/>
    <w:rsid w:val="00194A47"/>
    <w:rsid w:val="00194B84"/>
    <w:rsid w:val="00195084"/>
    <w:rsid w:val="00195161"/>
    <w:rsid w:val="001955C9"/>
    <w:rsid w:val="00195681"/>
    <w:rsid w:val="001959F0"/>
    <w:rsid w:val="00195CB0"/>
    <w:rsid w:val="001967F7"/>
    <w:rsid w:val="001968B1"/>
    <w:rsid w:val="00196A35"/>
    <w:rsid w:val="00196C2C"/>
    <w:rsid w:val="00196D53"/>
    <w:rsid w:val="00196D98"/>
    <w:rsid w:val="001974E1"/>
    <w:rsid w:val="001976E7"/>
    <w:rsid w:val="00197A9B"/>
    <w:rsid w:val="00197C44"/>
    <w:rsid w:val="00197F93"/>
    <w:rsid w:val="001A0483"/>
    <w:rsid w:val="001A0B18"/>
    <w:rsid w:val="001A0D78"/>
    <w:rsid w:val="001A0E5C"/>
    <w:rsid w:val="001A1BE7"/>
    <w:rsid w:val="001A1EB0"/>
    <w:rsid w:val="001A29C5"/>
    <w:rsid w:val="001A2A0D"/>
    <w:rsid w:val="001A2DE1"/>
    <w:rsid w:val="001A32CA"/>
    <w:rsid w:val="001A3839"/>
    <w:rsid w:val="001A3AB5"/>
    <w:rsid w:val="001A3EBC"/>
    <w:rsid w:val="001A448B"/>
    <w:rsid w:val="001A476B"/>
    <w:rsid w:val="001A4899"/>
    <w:rsid w:val="001A4B1B"/>
    <w:rsid w:val="001A4D82"/>
    <w:rsid w:val="001A5BB7"/>
    <w:rsid w:val="001A6125"/>
    <w:rsid w:val="001A639E"/>
    <w:rsid w:val="001A6C13"/>
    <w:rsid w:val="001A6F7A"/>
    <w:rsid w:val="001A7379"/>
    <w:rsid w:val="001A73D6"/>
    <w:rsid w:val="001A79E8"/>
    <w:rsid w:val="001B06AA"/>
    <w:rsid w:val="001B11AF"/>
    <w:rsid w:val="001B1F6A"/>
    <w:rsid w:val="001B2D30"/>
    <w:rsid w:val="001B3020"/>
    <w:rsid w:val="001B32D5"/>
    <w:rsid w:val="001B3D8C"/>
    <w:rsid w:val="001B4670"/>
    <w:rsid w:val="001B4AD9"/>
    <w:rsid w:val="001B4B4E"/>
    <w:rsid w:val="001B4B85"/>
    <w:rsid w:val="001B4CCF"/>
    <w:rsid w:val="001B4D17"/>
    <w:rsid w:val="001B4D9C"/>
    <w:rsid w:val="001B5023"/>
    <w:rsid w:val="001B57A0"/>
    <w:rsid w:val="001B5831"/>
    <w:rsid w:val="001B5B2B"/>
    <w:rsid w:val="001B5E1F"/>
    <w:rsid w:val="001B5EAA"/>
    <w:rsid w:val="001B632C"/>
    <w:rsid w:val="001B70B1"/>
    <w:rsid w:val="001B731C"/>
    <w:rsid w:val="001B735A"/>
    <w:rsid w:val="001B774D"/>
    <w:rsid w:val="001B7CC9"/>
    <w:rsid w:val="001B7CFC"/>
    <w:rsid w:val="001B7D2E"/>
    <w:rsid w:val="001C0233"/>
    <w:rsid w:val="001C0236"/>
    <w:rsid w:val="001C0BE8"/>
    <w:rsid w:val="001C11D0"/>
    <w:rsid w:val="001C20BA"/>
    <w:rsid w:val="001C28EA"/>
    <w:rsid w:val="001C2C7E"/>
    <w:rsid w:val="001C2FBE"/>
    <w:rsid w:val="001C35B9"/>
    <w:rsid w:val="001C387B"/>
    <w:rsid w:val="001C3CFF"/>
    <w:rsid w:val="001C3DC0"/>
    <w:rsid w:val="001C3F3E"/>
    <w:rsid w:val="001C40A3"/>
    <w:rsid w:val="001C413E"/>
    <w:rsid w:val="001C42B7"/>
    <w:rsid w:val="001C4313"/>
    <w:rsid w:val="001C4627"/>
    <w:rsid w:val="001C54E5"/>
    <w:rsid w:val="001C583E"/>
    <w:rsid w:val="001C5D09"/>
    <w:rsid w:val="001C5D5B"/>
    <w:rsid w:val="001C5DE2"/>
    <w:rsid w:val="001C609C"/>
    <w:rsid w:val="001C659B"/>
    <w:rsid w:val="001C6671"/>
    <w:rsid w:val="001C6AA3"/>
    <w:rsid w:val="001C6E79"/>
    <w:rsid w:val="001C6EBE"/>
    <w:rsid w:val="001C7224"/>
    <w:rsid w:val="001C7970"/>
    <w:rsid w:val="001D017D"/>
    <w:rsid w:val="001D0352"/>
    <w:rsid w:val="001D0885"/>
    <w:rsid w:val="001D0C21"/>
    <w:rsid w:val="001D0C5C"/>
    <w:rsid w:val="001D0DF7"/>
    <w:rsid w:val="001D1012"/>
    <w:rsid w:val="001D11CD"/>
    <w:rsid w:val="001D1300"/>
    <w:rsid w:val="001D16CC"/>
    <w:rsid w:val="001D21D2"/>
    <w:rsid w:val="001D347E"/>
    <w:rsid w:val="001D37EE"/>
    <w:rsid w:val="001D40D4"/>
    <w:rsid w:val="001D429B"/>
    <w:rsid w:val="001D438F"/>
    <w:rsid w:val="001D5045"/>
    <w:rsid w:val="001D5BD9"/>
    <w:rsid w:val="001D5DE8"/>
    <w:rsid w:val="001D5F8A"/>
    <w:rsid w:val="001D6198"/>
    <w:rsid w:val="001D645F"/>
    <w:rsid w:val="001D6476"/>
    <w:rsid w:val="001D6619"/>
    <w:rsid w:val="001D67BF"/>
    <w:rsid w:val="001D68B5"/>
    <w:rsid w:val="001D70B6"/>
    <w:rsid w:val="001D7889"/>
    <w:rsid w:val="001D78FA"/>
    <w:rsid w:val="001D7A77"/>
    <w:rsid w:val="001D7B69"/>
    <w:rsid w:val="001D7F30"/>
    <w:rsid w:val="001E013C"/>
    <w:rsid w:val="001E0201"/>
    <w:rsid w:val="001E0350"/>
    <w:rsid w:val="001E0AB0"/>
    <w:rsid w:val="001E1028"/>
    <w:rsid w:val="001E104C"/>
    <w:rsid w:val="001E1939"/>
    <w:rsid w:val="001E1BC1"/>
    <w:rsid w:val="001E1F44"/>
    <w:rsid w:val="001E2140"/>
    <w:rsid w:val="001E264B"/>
    <w:rsid w:val="001E28A5"/>
    <w:rsid w:val="001E2A96"/>
    <w:rsid w:val="001E2EA0"/>
    <w:rsid w:val="001E3897"/>
    <w:rsid w:val="001E3ADF"/>
    <w:rsid w:val="001E3E50"/>
    <w:rsid w:val="001E3E6E"/>
    <w:rsid w:val="001E405F"/>
    <w:rsid w:val="001E41EE"/>
    <w:rsid w:val="001E43C7"/>
    <w:rsid w:val="001E48E5"/>
    <w:rsid w:val="001E4ED0"/>
    <w:rsid w:val="001E600B"/>
    <w:rsid w:val="001E6311"/>
    <w:rsid w:val="001E66EB"/>
    <w:rsid w:val="001E698D"/>
    <w:rsid w:val="001E69C8"/>
    <w:rsid w:val="001E6F5E"/>
    <w:rsid w:val="001E7515"/>
    <w:rsid w:val="001E77AF"/>
    <w:rsid w:val="001E78B9"/>
    <w:rsid w:val="001F05EB"/>
    <w:rsid w:val="001F068A"/>
    <w:rsid w:val="001F0F03"/>
    <w:rsid w:val="001F1425"/>
    <w:rsid w:val="001F19EC"/>
    <w:rsid w:val="001F29D5"/>
    <w:rsid w:val="001F3566"/>
    <w:rsid w:val="001F3587"/>
    <w:rsid w:val="001F4D37"/>
    <w:rsid w:val="001F5736"/>
    <w:rsid w:val="001F57BE"/>
    <w:rsid w:val="001F5EA4"/>
    <w:rsid w:val="001F607E"/>
    <w:rsid w:val="001F6543"/>
    <w:rsid w:val="001F693E"/>
    <w:rsid w:val="001F6A65"/>
    <w:rsid w:val="001F6AE7"/>
    <w:rsid w:val="001F6BDE"/>
    <w:rsid w:val="001F6E96"/>
    <w:rsid w:val="001F6EFD"/>
    <w:rsid w:val="001F70A3"/>
    <w:rsid w:val="001F7860"/>
    <w:rsid w:val="001F7F24"/>
    <w:rsid w:val="00200BDA"/>
    <w:rsid w:val="00200D46"/>
    <w:rsid w:val="00201903"/>
    <w:rsid w:val="00201AC1"/>
    <w:rsid w:val="00201F89"/>
    <w:rsid w:val="00202001"/>
    <w:rsid w:val="0020265A"/>
    <w:rsid w:val="002026D1"/>
    <w:rsid w:val="00202CE9"/>
    <w:rsid w:val="00202D3B"/>
    <w:rsid w:val="002036A2"/>
    <w:rsid w:val="00203C2B"/>
    <w:rsid w:val="00203E57"/>
    <w:rsid w:val="00204087"/>
    <w:rsid w:val="00205669"/>
    <w:rsid w:val="00205A65"/>
    <w:rsid w:val="0020615E"/>
    <w:rsid w:val="00206307"/>
    <w:rsid w:val="002065A5"/>
    <w:rsid w:val="002065C2"/>
    <w:rsid w:val="00206A9A"/>
    <w:rsid w:val="00206B22"/>
    <w:rsid w:val="00206D00"/>
    <w:rsid w:val="00206E0C"/>
    <w:rsid w:val="00206E24"/>
    <w:rsid w:val="00206E3E"/>
    <w:rsid w:val="00207576"/>
    <w:rsid w:val="00207607"/>
    <w:rsid w:val="00210003"/>
    <w:rsid w:val="00210299"/>
    <w:rsid w:val="0021062A"/>
    <w:rsid w:val="00210B45"/>
    <w:rsid w:val="00210F31"/>
    <w:rsid w:val="00211BA6"/>
    <w:rsid w:val="00212DC9"/>
    <w:rsid w:val="00212EFC"/>
    <w:rsid w:val="0021371A"/>
    <w:rsid w:val="00213EFA"/>
    <w:rsid w:val="00214261"/>
    <w:rsid w:val="00215532"/>
    <w:rsid w:val="002155D7"/>
    <w:rsid w:val="00215914"/>
    <w:rsid w:val="00215B4F"/>
    <w:rsid w:val="0021601D"/>
    <w:rsid w:val="002160B5"/>
    <w:rsid w:val="0021614D"/>
    <w:rsid w:val="00216A8F"/>
    <w:rsid w:val="00216C11"/>
    <w:rsid w:val="00216C87"/>
    <w:rsid w:val="00216CD0"/>
    <w:rsid w:val="00216F3C"/>
    <w:rsid w:val="0021732B"/>
    <w:rsid w:val="002173DB"/>
    <w:rsid w:val="002176D5"/>
    <w:rsid w:val="00217C9D"/>
    <w:rsid w:val="00217CD7"/>
    <w:rsid w:val="00217CDB"/>
    <w:rsid w:val="00217D4D"/>
    <w:rsid w:val="0022017C"/>
    <w:rsid w:val="002202AC"/>
    <w:rsid w:val="00220330"/>
    <w:rsid w:val="00220AE1"/>
    <w:rsid w:val="00220BF3"/>
    <w:rsid w:val="0022153B"/>
    <w:rsid w:val="00221D4D"/>
    <w:rsid w:val="00222039"/>
    <w:rsid w:val="00222225"/>
    <w:rsid w:val="002226C9"/>
    <w:rsid w:val="00223027"/>
    <w:rsid w:val="00223203"/>
    <w:rsid w:val="00224249"/>
    <w:rsid w:val="00224407"/>
    <w:rsid w:val="0022451F"/>
    <w:rsid w:val="002247DD"/>
    <w:rsid w:val="0022510C"/>
    <w:rsid w:val="0022563B"/>
    <w:rsid w:val="002262E3"/>
    <w:rsid w:val="002264D8"/>
    <w:rsid w:val="00226535"/>
    <w:rsid w:val="00227819"/>
    <w:rsid w:val="0022795B"/>
    <w:rsid w:val="00227D52"/>
    <w:rsid w:val="00227F14"/>
    <w:rsid w:val="00230661"/>
    <w:rsid w:val="00230751"/>
    <w:rsid w:val="00231A6F"/>
    <w:rsid w:val="00231D74"/>
    <w:rsid w:val="002320F4"/>
    <w:rsid w:val="0023211B"/>
    <w:rsid w:val="002323C0"/>
    <w:rsid w:val="002323F8"/>
    <w:rsid w:val="00232989"/>
    <w:rsid w:val="00232F3A"/>
    <w:rsid w:val="00233690"/>
    <w:rsid w:val="00233970"/>
    <w:rsid w:val="00233B10"/>
    <w:rsid w:val="002340BD"/>
    <w:rsid w:val="00234117"/>
    <w:rsid w:val="00234554"/>
    <w:rsid w:val="00234A07"/>
    <w:rsid w:val="00234D17"/>
    <w:rsid w:val="00235398"/>
    <w:rsid w:val="00235574"/>
    <w:rsid w:val="002355E9"/>
    <w:rsid w:val="002357FB"/>
    <w:rsid w:val="00235933"/>
    <w:rsid w:val="00235E33"/>
    <w:rsid w:val="0023609F"/>
    <w:rsid w:val="002371C2"/>
    <w:rsid w:val="00237795"/>
    <w:rsid w:val="00237905"/>
    <w:rsid w:val="00237D04"/>
    <w:rsid w:val="00237E11"/>
    <w:rsid w:val="00240144"/>
    <w:rsid w:val="0024076E"/>
    <w:rsid w:val="00240ABE"/>
    <w:rsid w:val="00240C10"/>
    <w:rsid w:val="002410A0"/>
    <w:rsid w:val="00241E43"/>
    <w:rsid w:val="00241F24"/>
    <w:rsid w:val="00242237"/>
    <w:rsid w:val="00242679"/>
    <w:rsid w:val="00242938"/>
    <w:rsid w:val="00242F9D"/>
    <w:rsid w:val="00243557"/>
    <w:rsid w:val="0024384B"/>
    <w:rsid w:val="00243CC4"/>
    <w:rsid w:val="00243E51"/>
    <w:rsid w:val="00243ED2"/>
    <w:rsid w:val="00243FFB"/>
    <w:rsid w:val="00244225"/>
    <w:rsid w:val="00244C7F"/>
    <w:rsid w:val="00245083"/>
    <w:rsid w:val="00245086"/>
    <w:rsid w:val="00245B73"/>
    <w:rsid w:val="00245EF2"/>
    <w:rsid w:val="00246187"/>
    <w:rsid w:val="002467C8"/>
    <w:rsid w:val="00246BF0"/>
    <w:rsid w:val="00247882"/>
    <w:rsid w:val="002478E7"/>
    <w:rsid w:val="00247C70"/>
    <w:rsid w:val="00247DFD"/>
    <w:rsid w:val="00247E37"/>
    <w:rsid w:val="002505AB"/>
    <w:rsid w:val="00250CC2"/>
    <w:rsid w:val="00251473"/>
    <w:rsid w:val="00251631"/>
    <w:rsid w:val="00251C6A"/>
    <w:rsid w:val="00251DBA"/>
    <w:rsid w:val="00251F4F"/>
    <w:rsid w:val="002522BF"/>
    <w:rsid w:val="0025258A"/>
    <w:rsid w:val="002526C4"/>
    <w:rsid w:val="00252F50"/>
    <w:rsid w:val="00253420"/>
    <w:rsid w:val="002535E0"/>
    <w:rsid w:val="0025385B"/>
    <w:rsid w:val="0025429F"/>
    <w:rsid w:val="002542B5"/>
    <w:rsid w:val="00255259"/>
    <w:rsid w:val="002552D3"/>
    <w:rsid w:val="00255E23"/>
    <w:rsid w:val="0025600B"/>
    <w:rsid w:val="00256060"/>
    <w:rsid w:val="00256140"/>
    <w:rsid w:val="00257644"/>
    <w:rsid w:val="0025771A"/>
    <w:rsid w:val="00257ADF"/>
    <w:rsid w:val="00260594"/>
    <w:rsid w:val="00260733"/>
    <w:rsid w:val="00260860"/>
    <w:rsid w:val="00260B88"/>
    <w:rsid w:val="00260B9A"/>
    <w:rsid w:val="00260CAF"/>
    <w:rsid w:val="00260F73"/>
    <w:rsid w:val="0026128B"/>
    <w:rsid w:val="00261382"/>
    <w:rsid w:val="002615CB"/>
    <w:rsid w:val="00261A39"/>
    <w:rsid w:val="00261D57"/>
    <w:rsid w:val="00261E7B"/>
    <w:rsid w:val="0026227F"/>
    <w:rsid w:val="00262312"/>
    <w:rsid w:val="00262348"/>
    <w:rsid w:val="0026284C"/>
    <w:rsid w:val="002628BD"/>
    <w:rsid w:val="00262BE1"/>
    <w:rsid w:val="0026340E"/>
    <w:rsid w:val="002637F5"/>
    <w:rsid w:val="00263AFF"/>
    <w:rsid w:val="00263E4C"/>
    <w:rsid w:val="00263F76"/>
    <w:rsid w:val="00264638"/>
    <w:rsid w:val="0026474B"/>
    <w:rsid w:val="0026484D"/>
    <w:rsid w:val="00265158"/>
    <w:rsid w:val="002651A8"/>
    <w:rsid w:val="002654D3"/>
    <w:rsid w:val="00265D80"/>
    <w:rsid w:val="00266120"/>
    <w:rsid w:val="00266126"/>
    <w:rsid w:val="00266145"/>
    <w:rsid w:val="00266D26"/>
    <w:rsid w:val="00266E1E"/>
    <w:rsid w:val="00267B02"/>
    <w:rsid w:val="00267FC8"/>
    <w:rsid w:val="002702DE"/>
    <w:rsid w:val="00270520"/>
    <w:rsid w:val="00270603"/>
    <w:rsid w:val="0027157C"/>
    <w:rsid w:val="00272007"/>
    <w:rsid w:val="0027264E"/>
    <w:rsid w:val="0027284A"/>
    <w:rsid w:val="00272A12"/>
    <w:rsid w:val="00272A77"/>
    <w:rsid w:val="00272C4C"/>
    <w:rsid w:val="00273025"/>
    <w:rsid w:val="0027329D"/>
    <w:rsid w:val="00273B1C"/>
    <w:rsid w:val="002742FC"/>
    <w:rsid w:val="00274662"/>
    <w:rsid w:val="002746D2"/>
    <w:rsid w:val="00275126"/>
    <w:rsid w:val="002752CD"/>
    <w:rsid w:val="002756DB"/>
    <w:rsid w:val="00275ECD"/>
    <w:rsid w:val="00275F44"/>
    <w:rsid w:val="002766AF"/>
    <w:rsid w:val="002766B1"/>
    <w:rsid w:val="00276E59"/>
    <w:rsid w:val="00277024"/>
    <w:rsid w:val="002770BF"/>
    <w:rsid w:val="0027748F"/>
    <w:rsid w:val="0027758C"/>
    <w:rsid w:val="0027764F"/>
    <w:rsid w:val="00280387"/>
    <w:rsid w:val="00280A15"/>
    <w:rsid w:val="00280ADF"/>
    <w:rsid w:val="00281010"/>
    <w:rsid w:val="002816DD"/>
    <w:rsid w:val="00282217"/>
    <w:rsid w:val="00282446"/>
    <w:rsid w:val="00283549"/>
    <w:rsid w:val="002835D3"/>
    <w:rsid w:val="00284332"/>
    <w:rsid w:val="002846E9"/>
    <w:rsid w:val="00284847"/>
    <w:rsid w:val="00284AE6"/>
    <w:rsid w:val="00284B64"/>
    <w:rsid w:val="00284C1E"/>
    <w:rsid w:val="002856C3"/>
    <w:rsid w:val="00285AAC"/>
    <w:rsid w:val="00285CDA"/>
    <w:rsid w:val="00285DD4"/>
    <w:rsid w:val="00285FD5"/>
    <w:rsid w:val="0028603A"/>
    <w:rsid w:val="0028632A"/>
    <w:rsid w:val="0028646A"/>
    <w:rsid w:val="002868C6"/>
    <w:rsid w:val="00286ED1"/>
    <w:rsid w:val="002872F6"/>
    <w:rsid w:val="002876BE"/>
    <w:rsid w:val="002878E2"/>
    <w:rsid w:val="00287B1B"/>
    <w:rsid w:val="00287D70"/>
    <w:rsid w:val="00287F26"/>
    <w:rsid w:val="00290072"/>
    <w:rsid w:val="0029036B"/>
    <w:rsid w:val="002903E3"/>
    <w:rsid w:val="00290642"/>
    <w:rsid w:val="00290762"/>
    <w:rsid w:val="002907BF"/>
    <w:rsid w:val="002909E0"/>
    <w:rsid w:val="00290AFB"/>
    <w:rsid w:val="00290B65"/>
    <w:rsid w:val="00291114"/>
    <w:rsid w:val="0029120D"/>
    <w:rsid w:val="00291318"/>
    <w:rsid w:val="0029142F"/>
    <w:rsid w:val="002914DC"/>
    <w:rsid w:val="002917AE"/>
    <w:rsid w:val="00291923"/>
    <w:rsid w:val="00291ADA"/>
    <w:rsid w:val="002920FB"/>
    <w:rsid w:val="0029287B"/>
    <w:rsid w:val="00292DED"/>
    <w:rsid w:val="00292EF8"/>
    <w:rsid w:val="00292F6D"/>
    <w:rsid w:val="0029315D"/>
    <w:rsid w:val="002944C6"/>
    <w:rsid w:val="00294683"/>
    <w:rsid w:val="00294973"/>
    <w:rsid w:val="0029497C"/>
    <w:rsid w:val="002949D8"/>
    <w:rsid w:val="00294FF4"/>
    <w:rsid w:val="002951F3"/>
    <w:rsid w:val="00295906"/>
    <w:rsid w:val="00295CC8"/>
    <w:rsid w:val="00296312"/>
    <w:rsid w:val="002963C7"/>
    <w:rsid w:val="00296443"/>
    <w:rsid w:val="00297030"/>
    <w:rsid w:val="002970F6"/>
    <w:rsid w:val="0029767E"/>
    <w:rsid w:val="00297A29"/>
    <w:rsid w:val="00297A34"/>
    <w:rsid w:val="00297C01"/>
    <w:rsid w:val="00297E9F"/>
    <w:rsid w:val="002A0A92"/>
    <w:rsid w:val="002A12E5"/>
    <w:rsid w:val="002A12FF"/>
    <w:rsid w:val="002A1ECD"/>
    <w:rsid w:val="002A1F88"/>
    <w:rsid w:val="002A1FEE"/>
    <w:rsid w:val="002A2145"/>
    <w:rsid w:val="002A225C"/>
    <w:rsid w:val="002A24E3"/>
    <w:rsid w:val="002A2507"/>
    <w:rsid w:val="002A2680"/>
    <w:rsid w:val="002A2E26"/>
    <w:rsid w:val="002A314E"/>
    <w:rsid w:val="002A32A4"/>
    <w:rsid w:val="002A3377"/>
    <w:rsid w:val="002A339A"/>
    <w:rsid w:val="002A374F"/>
    <w:rsid w:val="002A4275"/>
    <w:rsid w:val="002A453F"/>
    <w:rsid w:val="002A4674"/>
    <w:rsid w:val="002A48C4"/>
    <w:rsid w:val="002A5776"/>
    <w:rsid w:val="002A59EE"/>
    <w:rsid w:val="002A5D64"/>
    <w:rsid w:val="002A625E"/>
    <w:rsid w:val="002A685F"/>
    <w:rsid w:val="002A6A29"/>
    <w:rsid w:val="002A6AA0"/>
    <w:rsid w:val="002A6F7A"/>
    <w:rsid w:val="002A7719"/>
    <w:rsid w:val="002B076D"/>
    <w:rsid w:val="002B1206"/>
    <w:rsid w:val="002B231B"/>
    <w:rsid w:val="002B2409"/>
    <w:rsid w:val="002B24BE"/>
    <w:rsid w:val="002B2CE1"/>
    <w:rsid w:val="002B3696"/>
    <w:rsid w:val="002B36E0"/>
    <w:rsid w:val="002B3751"/>
    <w:rsid w:val="002B39B5"/>
    <w:rsid w:val="002B4411"/>
    <w:rsid w:val="002B4EBE"/>
    <w:rsid w:val="002B5030"/>
    <w:rsid w:val="002B5B0F"/>
    <w:rsid w:val="002B6832"/>
    <w:rsid w:val="002B69D0"/>
    <w:rsid w:val="002B6D6C"/>
    <w:rsid w:val="002B6DBA"/>
    <w:rsid w:val="002B7044"/>
    <w:rsid w:val="002B7A31"/>
    <w:rsid w:val="002B7AB8"/>
    <w:rsid w:val="002B7B43"/>
    <w:rsid w:val="002B7CAB"/>
    <w:rsid w:val="002B7E51"/>
    <w:rsid w:val="002C00CC"/>
    <w:rsid w:val="002C0615"/>
    <w:rsid w:val="002C0855"/>
    <w:rsid w:val="002C0861"/>
    <w:rsid w:val="002C0C95"/>
    <w:rsid w:val="002C0CC3"/>
    <w:rsid w:val="002C10EE"/>
    <w:rsid w:val="002C11BD"/>
    <w:rsid w:val="002C1361"/>
    <w:rsid w:val="002C1F74"/>
    <w:rsid w:val="002C212A"/>
    <w:rsid w:val="002C2907"/>
    <w:rsid w:val="002C29DC"/>
    <w:rsid w:val="002C2E38"/>
    <w:rsid w:val="002C2E9E"/>
    <w:rsid w:val="002C33B4"/>
    <w:rsid w:val="002C3652"/>
    <w:rsid w:val="002C3A29"/>
    <w:rsid w:val="002C3CF4"/>
    <w:rsid w:val="002C4916"/>
    <w:rsid w:val="002C4ECB"/>
    <w:rsid w:val="002C4F24"/>
    <w:rsid w:val="002C5241"/>
    <w:rsid w:val="002C54B2"/>
    <w:rsid w:val="002C63E9"/>
    <w:rsid w:val="002C6B2E"/>
    <w:rsid w:val="002C73AE"/>
    <w:rsid w:val="002C74B5"/>
    <w:rsid w:val="002D0350"/>
    <w:rsid w:val="002D03BF"/>
    <w:rsid w:val="002D07BA"/>
    <w:rsid w:val="002D0CE5"/>
    <w:rsid w:val="002D0EF0"/>
    <w:rsid w:val="002D1C19"/>
    <w:rsid w:val="002D1E09"/>
    <w:rsid w:val="002D217D"/>
    <w:rsid w:val="002D2432"/>
    <w:rsid w:val="002D2644"/>
    <w:rsid w:val="002D2B3B"/>
    <w:rsid w:val="002D37AD"/>
    <w:rsid w:val="002D39AE"/>
    <w:rsid w:val="002D3B69"/>
    <w:rsid w:val="002D3BE1"/>
    <w:rsid w:val="002D3D3F"/>
    <w:rsid w:val="002D3FC3"/>
    <w:rsid w:val="002D414E"/>
    <w:rsid w:val="002D42E9"/>
    <w:rsid w:val="002D437A"/>
    <w:rsid w:val="002D43FF"/>
    <w:rsid w:val="002D4433"/>
    <w:rsid w:val="002D444D"/>
    <w:rsid w:val="002D484D"/>
    <w:rsid w:val="002D4CDB"/>
    <w:rsid w:val="002D4E0C"/>
    <w:rsid w:val="002D4E87"/>
    <w:rsid w:val="002D5137"/>
    <w:rsid w:val="002D516A"/>
    <w:rsid w:val="002D5F0A"/>
    <w:rsid w:val="002D607E"/>
    <w:rsid w:val="002D6207"/>
    <w:rsid w:val="002D66D0"/>
    <w:rsid w:val="002D71E6"/>
    <w:rsid w:val="002D7671"/>
    <w:rsid w:val="002D7957"/>
    <w:rsid w:val="002E0271"/>
    <w:rsid w:val="002E03D0"/>
    <w:rsid w:val="002E0696"/>
    <w:rsid w:val="002E0783"/>
    <w:rsid w:val="002E09F5"/>
    <w:rsid w:val="002E0CD3"/>
    <w:rsid w:val="002E0E23"/>
    <w:rsid w:val="002E0FD8"/>
    <w:rsid w:val="002E12C8"/>
    <w:rsid w:val="002E12ED"/>
    <w:rsid w:val="002E19DF"/>
    <w:rsid w:val="002E1AD9"/>
    <w:rsid w:val="002E247F"/>
    <w:rsid w:val="002E2712"/>
    <w:rsid w:val="002E2E5B"/>
    <w:rsid w:val="002E2F3E"/>
    <w:rsid w:val="002E32E8"/>
    <w:rsid w:val="002E3382"/>
    <w:rsid w:val="002E383C"/>
    <w:rsid w:val="002E3B05"/>
    <w:rsid w:val="002E3B4E"/>
    <w:rsid w:val="002E3E30"/>
    <w:rsid w:val="002E3EC0"/>
    <w:rsid w:val="002E4C66"/>
    <w:rsid w:val="002E4E5E"/>
    <w:rsid w:val="002E4EE5"/>
    <w:rsid w:val="002E5169"/>
    <w:rsid w:val="002E5533"/>
    <w:rsid w:val="002E55C3"/>
    <w:rsid w:val="002E5857"/>
    <w:rsid w:val="002E5E5B"/>
    <w:rsid w:val="002E6190"/>
    <w:rsid w:val="002E62A6"/>
    <w:rsid w:val="002E679C"/>
    <w:rsid w:val="002E6A2F"/>
    <w:rsid w:val="002E6B7C"/>
    <w:rsid w:val="002E7430"/>
    <w:rsid w:val="002E7730"/>
    <w:rsid w:val="002E784E"/>
    <w:rsid w:val="002F099E"/>
    <w:rsid w:val="002F0A71"/>
    <w:rsid w:val="002F0AC2"/>
    <w:rsid w:val="002F0DFE"/>
    <w:rsid w:val="002F0E51"/>
    <w:rsid w:val="002F125F"/>
    <w:rsid w:val="002F14DE"/>
    <w:rsid w:val="002F16A9"/>
    <w:rsid w:val="002F16F8"/>
    <w:rsid w:val="002F175F"/>
    <w:rsid w:val="002F17D0"/>
    <w:rsid w:val="002F1BC0"/>
    <w:rsid w:val="002F1DDC"/>
    <w:rsid w:val="002F1E05"/>
    <w:rsid w:val="002F1EF5"/>
    <w:rsid w:val="002F2738"/>
    <w:rsid w:val="002F2D2E"/>
    <w:rsid w:val="002F303D"/>
    <w:rsid w:val="002F3154"/>
    <w:rsid w:val="002F31FF"/>
    <w:rsid w:val="002F3DDC"/>
    <w:rsid w:val="002F486D"/>
    <w:rsid w:val="002F4C69"/>
    <w:rsid w:val="002F5044"/>
    <w:rsid w:val="002F58C4"/>
    <w:rsid w:val="002F5E79"/>
    <w:rsid w:val="002F5F0F"/>
    <w:rsid w:val="002F60B6"/>
    <w:rsid w:val="002F6B14"/>
    <w:rsid w:val="002F706B"/>
    <w:rsid w:val="002F75D3"/>
    <w:rsid w:val="00300041"/>
    <w:rsid w:val="00300145"/>
    <w:rsid w:val="00300333"/>
    <w:rsid w:val="0030036E"/>
    <w:rsid w:val="00301359"/>
    <w:rsid w:val="003013D9"/>
    <w:rsid w:val="003014B3"/>
    <w:rsid w:val="00301834"/>
    <w:rsid w:val="0030226A"/>
    <w:rsid w:val="00302A00"/>
    <w:rsid w:val="00302AF9"/>
    <w:rsid w:val="00302EC6"/>
    <w:rsid w:val="00303956"/>
    <w:rsid w:val="00303B88"/>
    <w:rsid w:val="00303D9E"/>
    <w:rsid w:val="00303DE2"/>
    <w:rsid w:val="00303F9C"/>
    <w:rsid w:val="0030426C"/>
    <w:rsid w:val="00304307"/>
    <w:rsid w:val="003048FA"/>
    <w:rsid w:val="00305A45"/>
    <w:rsid w:val="003061AA"/>
    <w:rsid w:val="00307518"/>
    <w:rsid w:val="00307AAB"/>
    <w:rsid w:val="00307B57"/>
    <w:rsid w:val="00307D5E"/>
    <w:rsid w:val="00310169"/>
    <w:rsid w:val="0031079F"/>
    <w:rsid w:val="00310C8A"/>
    <w:rsid w:val="00310CE4"/>
    <w:rsid w:val="00310F38"/>
    <w:rsid w:val="00311BB4"/>
    <w:rsid w:val="003127E1"/>
    <w:rsid w:val="00313340"/>
    <w:rsid w:val="0031397A"/>
    <w:rsid w:val="0031428C"/>
    <w:rsid w:val="00314FEB"/>
    <w:rsid w:val="003151E2"/>
    <w:rsid w:val="00315851"/>
    <w:rsid w:val="00315BA0"/>
    <w:rsid w:val="00315DD0"/>
    <w:rsid w:val="00315DF9"/>
    <w:rsid w:val="0031643E"/>
    <w:rsid w:val="00316964"/>
    <w:rsid w:val="003169A6"/>
    <w:rsid w:val="00316A29"/>
    <w:rsid w:val="00316C61"/>
    <w:rsid w:val="003173AA"/>
    <w:rsid w:val="00317610"/>
    <w:rsid w:val="00317713"/>
    <w:rsid w:val="00320573"/>
    <w:rsid w:val="003205C2"/>
    <w:rsid w:val="003206E6"/>
    <w:rsid w:val="00320854"/>
    <w:rsid w:val="003219A9"/>
    <w:rsid w:val="00321D28"/>
    <w:rsid w:val="00321D41"/>
    <w:rsid w:val="00321D5C"/>
    <w:rsid w:val="00322136"/>
    <w:rsid w:val="0032243C"/>
    <w:rsid w:val="00322502"/>
    <w:rsid w:val="003225FC"/>
    <w:rsid w:val="00322877"/>
    <w:rsid w:val="003228EB"/>
    <w:rsid w:val="00322E3A"/>
    <w:rsid w:val="00322E48"/>
    <w:rsid w:val="00322F65"/>
    <w:rsid w:val="0032335B"/>
    <w:rsid w:val="003233F2"/>
    <w:rsid w:val="00323414"/>
    <w:rsid w:val="0032377C"/>
    <w:rsid w:val="00323802"/>
    <w:rsid w:val="00323C13"/>
    <w:rsid w:val="00323C9E"/>
    <w:rsid w:val="00326066"/>
    <w:rsid w:val="0032608F"/>
    <w:rsid w:val="00326195"/>
    <w:rsid w:val="0032657A"/>
    <w:rsid w:val="003267BC"/>
    <w:rsid w:val="0032686C"/>
    <w:rsid w:val="00326A6F"/>
    <w:rsid w:val="00326AC9"/>
    <w:rsid w:val="00326BBD"/>
    <w:rsid w:val="00326F07"/>
    <w:rsid w:val="00327125"/>
    <w:rsid w:val="003271A5"/>
    <w:rsid w:val="00327A8B"/>
    <w:rsid w:val="00330479"/>
    <w:rsid w:val="00330634"/>
    <w:rsid w:val="003310FB"/>
    <w:rsid w:val="003313A7"/>
    <w:rsid w:val="00331487"/>
    <w:rsid w:val="003316B7"/>
    <w:rsid w:val="003316D1"/>
    <w:rsid w:val="003319AD"/>
    <w:rsid w:val="00331F57"/>
    <w:rsid w:val="00331F9E"/>
    <w:rsid w:val="00332AA6"/>
    <w:rsid w:val="00332F58"/>
    <w:rsid w:val="00333D57"/>
    <w:rsid w:val="00334587"/>
    <w:rsid w:val="003345DA"/>
    <w:rsid w:val="00335F5A"/>
    <w:rsid w:val="0033616E"/>
    <w:rsid w:val="003363CF"/>
    <w:rsid w:val="00337678"/>
    <w:rsid w:val="00337819"/>
    <w:rsid w:val="00337C11"/>
    <w:rsid w:val="00337C4E"/>
    <w:rsid w:val="00340471"/>
    <w:rsid w:val="0034079A"/>
    <w:rsid w:val="003409C0"/>
    <w:rsid w:val="00340F37"/>
    <w:rsid w:val="00341E2F"/>
    <w:rsid w:val="0034208D"/>
    <w:rsid w:val="003424D8"/>
    <w:rsid w:val="00342679"/>
    <w:rsid w:val="00342BFD"/>
    <w:rsid w:val="00342F7D"/>
    <w:rsid w:val="00343078"/>
    <w:rsid w:val="003432D0"/>
    <w:rsid w:val="00343375"/>
    <w:rsid w:val="00343756"/>
    <w:rsid w:val="00343CAE"/>
    <w:rsid w:val="003443AC"/>
    <w:rsid w:val="00344556"/>
    <w:rsid w:val="003450AB"/>
    <w:rsid w:val="00345EB1"/>
    <w:rsid w:val="00346B36"/>
    <w:rsid w:val="00346E21"/>
    <w:rsid w:val="00347315"/>
    <w:rsid w:val="0034784D"/>
    <w:rsid w:val="003501F7"/>
    <w:rsid w:val="00350470"/>
    <w:rsid w:val="003504B5"/>
    <w:rsid w:val="0035090D"/>
    <w:rsid w:val="00351A99"/>
    <w:rsid w:val="00352836"/>
    <w:rsid w:val="00352B2F"/>
    <w:rsid w:val="00353418"/>
    <w:rsid w:val="003534A5"/>
    <w:rsid w:val="003537EB"/>
    <w:rsid w:val="00354953"/>
    <w:rsid w:val="003550BC"/>
    <w:rsid w:val="00355599"/>
    <w:rsid w:val="00355A20"/>
    <w:rsid w:val="00355A78"/>
    <w:rsid w:val="00356B74"/>
    <w:rsid w:val="00356E57"/>
    <w:rsid w:val="00357417"/>
    <w:rsid w:val="003577F7"/>
    <w:rsid w:val="0036035D"/>
    <w:rsid w:val="00360A59"/>
    <w:rsid w:val="00361178"/>
    <w:rsid w:val="00361358"/>
    <w:rsid w:val="0036179A"/>
    <w:rsid w:val="003622CC"/>
    <w:rsid w:val="00362394"/>
    <w:rsid w:val="003624D6"/>
    <w:rsid w:val="003624EE"/>
    <w:rsid w:val="003626B7"/>
    <w:rsid w:val="00362D05"/>
    <w:rsid w:val="003638BE"/>
    <w:rsid w:val="00363B82"/>
    <w:rsid w:val="00363CF0"/>
    <w:rsid w:val="00363EF1"/>
    <w:rsid w:val="003641C6"/>
    <w:rsid w:val="003641D3"/>
    <w:rsid w:val="003642F4"/>
    <w:rsid w:val="003647B7"/>
    <w:rsid w:val="00364A51"/>
    <w:rsid w:val="003650EB"/>
    <w:rsid w:val="00365362"/>
    <w:rsid w:val="00365900"/>
    <w:rsid w:val="00366037"/>
    <w:rsid w:val="003660C1"/>
    <w:rsid w:val="003662B3"/>
    <w:rsid w:val="003669C9"/>
    <w:rsid w:val="00366B38"/>
    <w:rsid w:val="00366CD8"/>
    <w:rsid w:val="0036708F"/>
    <w:rsid w:val="00367243"/>
    <w:rsid w:val="003676B6"/>
    <w:rsid w:val="00367872"/>
    <w:rsid w:val="00367985"/>
    <w:rsid w:val="00367E6A"/>
    <w:rsid w:val="00367FA1"/>
    <w:rsid w:val="00370086"/>
    <w:rsid w:val="0037026E"/>
    <w:rsid w:val="00370501"/>
    <w:rsid w:val="0037067E"/>
    <w:rsid w:val="0037107A"/>
    <w:rsid w:val="00371297"/>
    <w:rsid w:val="00371A97"/>
    <w:rsid w:val="00371AA2"/>
    <w:rsid w:val="00371D75"/>
    <w:rsid w:val="00371E67"/>
    <w:rsid w:val="00372012"/>
    <w:rsid w:val="00372397"/>
    <w:rsid w:val="003724A8"/>
    <w:rsid w:val="0037253E"/>
    <w:rsid w:val="003727AB"/>
    <w:rsid w:val="00372DDD"/>
    <w:rsid w:val="0037318E"/>
    <w:rsid w:val="003731EA"/>
    <w:rsid w:val="00373348"/>
    <w:rsid w:val="00373F1D"/>
    <w:rsid w:val="003740F4"/>
    <w:rsid w:val="00374B7F"/>
    <w:rsid w:val="00375124"/>
    <w:rsid w:val="003759CC"/>
    <w:rsid w:val="00375E5A"/>
    <w:rsid w:val="00375FD0"/>
    <w:rsid w:val="00376155"/>
    <w:rsid w:val="00376629"/>
    <w:rsid w:val="003768BC"/>
    <w:rsid w:val="00376F11"/>
    <w:rsid w:val="00377192"/>
    <w:rsid w:val="003771A6"/>
    <w:rsid w:val="00380055"/>
    <w:rsid w:val="00380817"/>
    <w:rsid w:val="003809E6"/>
    <w:rsid w:val="00380A83"/>
    <w:rsid w:val="00381423"/>
    <w:rsid w:val="00381880"/>
    <w:rsid w:val="00381BB9"/>
    <w:rsid w:val="00381BF3"/>
    <w:rsid w:val="00381DC8"/>
    <w:rsid w:val="0038246A"/>
    <w:rsid w:val="0038263E"/>
    <w:rsid w:val="00382E2F"/>
    <w:rsid w:val="00384C6B"/>
    <w:rsid w:val="00384C82"/>
    <w:rsid w:val="00384DEB"/>
    <w:rsid w:val="00384F3E"/>
    <w:rsid w:val="003854A6"/>
    <w:rsid w:val="003855FC"/>
    <w:rsid w:val="00385616"/>
    <w:rsid w:val="003858BD"/>
    <w:rsid w:val="00385CC0"/>
    <w:rsid w:val="00385F56"/>
    <w:rsid w:val="0038619F"/>
    <w:rsid w:val="00386D52"/>
    <w:rsid w:val="00386E16"/>
    <w:rsid w:val="003873CC"/>
    <w:rsid w:val="003875BA"/>
    <w:rsid w:val="00387E45"/>
    <w:rsid w:val="003901E5"/>
    <w:rsid w:val="003902D9"/>
    <w:rsid w:val="00390D5C"/>
    <w:rsid w:val="0039154C"/>
    <w:rsid w:val="00391B77"/>
    <w:rsid w:val="0039211C"/>
    <w:rsid w:val="00392873"/>
    <w:rsid w:val="0039287A"/>
    <w:rsid w:val="00392955"/>
    <w:rsid w:val="003929D4"/>
    <w:rsid w:val="00392FDB"/>
    <w:rsid w:val="00393268"/>
    <w:rsid w:val="00393377"/>
    <w:rsid w:val="003936F7"/>
    <w:rsid w:val="00393B76"/>
    <w:rsid w:val="00394D12"/>
    <w:rsid w:val="00394E4E"/>
    <w:rsid w:val="0039507E"/>
    <w:rsid w:val="003950B8"/>
    <w:rsid w:val="00395137"/>
    <w:rsid w:val="00395639"/>
    <w:rsid w:val="00395B9E"/>
    <w:rsid w:val="00395CD9"/>
    <w:rsid w:val="003963A3"/>
    <w:rsid w:val="0039688E"/>
    <w:rsid w:val="00397262"/>
    <w:rsid w:val="0039729A"/>
    <w:rsid w:val="0039762F"/>
    <w:rsid w:val="003976FE"/>
    <w:rsid w:val="0039782C"/>
    <w:rsid w:val="003979ED"/>
    <w:rsid w:val="00397AAC"/>
    <w:rsid w:val="00397CDB"/>
    <w:rsid w:val="003A002B"/>
    <w:rsid w:val="003A018A"/>
    <w:rsid w:val="003A01CC"/>
    <w:rsid w:val="003A024B"/>
    <w:rsid w:val="003A0544"/>
    <w:rsid w:val="003A0554"/>
    <w:rsid w:val="003A0C14"/>
    <w:rsid w:val="003A0D8B"/>
    <w:rsid w:val="003A1C82"/>
    <w:rsid w:val="003A22A2"/>
    <w:rsid w:val="003A240E"/>
    <w:rsid w:val="003A3089"/>
    <w:rsid w:val="003A31A9"/>
    <w:rsid w:val="003A3729"/>
    <w:rsid w:val="003A3D87"/>
    <w:rsid w:val="003A4505"/>
    <w:rsid w:val="003A4623"/>
    <w:rsid w:val="003A4A95"/>
    <w:rsid w:val="003A4F30"/>
    <w:rsid w:val="003A516B"/>
    <w:rsid w:val="003A56B6"/>
    <w:rsid w:val="003A5831"/>
    <w:rsid w:val="003A5FCB"/>
    <w:rsid w:val="003A68A5"/>
    <w:rsid w:val="003A6B21"/>
    <w:rsid w:val="003A7154"/>
    <w:rsid w:val="003A7B5A"/>
    <w:rsid w:val="003A7ECD"/>
    <w:rsid w:val="003B032C"/>
    <w:rsid w:val="003B0643"/>
    <w:rsid w:val="003B0917"/>
    <w:rsid w:val="003B0B6B"/>
    <w:rsid w:val="003B0BB4"/>
    <w:rsid w:val="003B0D97"/>
    <w:rsid w:val="003B12E9"/>
    <w:rsid w:val="003B1860"/>
    <w:rsid w:val="003B1957"/>
    <w:rsid w:val="003B19C8"/>
    <w:rsid w:val="003B1EC1"/>
    <w:rsid w:val="003B24C1"/>
    <w:rsid w:val="003B297F"/>
    <w:rsid w:val="003B2B06"/>
    <w:rsid w:val="003B2E74"/>
    <w:rsid w:val="003B3A8B"/>
    <w:rsid w:val="003B3CCC"/>
    <w:rsid w:val="003B422D"/>
    <w:rsid w:val="003B43B7"/>
    <w:rsid w:val="003B49A7"/>
    <w:rsid w:val="003B4C82"/>
    <w:rsid w:val="003B4F73"/>
    <w:rsid w:val="003B50EA"/>
    <w:rsid w:val="003B548D"/>
    <w:rsid w:val="003B5F1D"/>
    <w:rsid w:val="003B5FFF"/>
    <w:rsid w:val="003B602C"/>
    <w:rsid w:val="003B657C"/>
    <w:rsid w:val="003B67D1"/>
    <w:rsid w:val="003B6A16"/>
    <w:rsid w:val="003B6BC3"/>
    <w:rsid w:val="003B6DB5"/>
    <w:rsid w:val="003B6EF3"/>
    <w:rsid w:val="003B6F0B"/>
    <w:rsid w:val="003B728C"/>
    <w:rsid w:val="003B7EE1"/>
    <w:rsid w:val="003C03E8"/>
    <w:rsid w:val="003C0681"/>
    <w:rsid w:val="003C08D7"/>
    <w:rsid w:val="003C0B5D"/>
    <w:rsid w:val="003C1113"/>
    <w:rsid w:val="003C165C"/>
    <w:rsid w:val="003C1745"/>
    <w:rsid w:val="003C1898"/>
    <w:rsid w:val="003C1C8F"/>
    <w:rsid w:val="003C1D75"/>
    <w:rsid w:val="003C1E5D"/>
    <w:rsid w:val="003C2239"/>
    <w:rsid w:val="003C28B3"/>
    <w:rsid w:val="003C3B6B"/>
    <w:rsid w:val="003C42E4"/>
    <w:rsid w:val="003C44EF"/>
    <w:rsid w:val="003C4CAE"/>
    <w:rsid w:val="003C4E5A"/>
    <w:rsid w:val="003C4E93"/>
    <w:rsid w:val="003C4EDC"/>
    <w:rsid w:val="003C4F49"/>
    <w:rsid w:val="003C5100"/>
    <w:rsid w:val="003C526F"/>
    <w:rsid w:val="003C56FC"/>
    <w:rsid w:val="003C6DC9"/>
    <w:rsid w:val="003C6EC2"/>
    <w:rsid w:val="003C6F32"/>
    <w:rsid w:val="003C71F2"/>
    <w:rsid w:val="003C73C8"/>
    <w:rsid w:val="003D0897"/>
    <w:rsid w:val="003D0A79"/>
    <w:rsid w:val="003D108A"/>
    <w:rsid w:val="003D10FB"/>
    <w:rsid w:val="003D12D6"/>
    <w:rsid w:val="003D14A0"/>
    <w:rsid w:val="003D1723"/>
    <w:rsid w:val="003D18A6"/>
    <w:rsid w:val="003D1AA6"/>
    <w:rsid w:val="003D1B7F"/>
    <w:rsid w:val="003D21E9"/>
    <w:rsid w:val="003D25C6"/>
    <w:rsid w:val="003D296C"/>
    <w:rsid w:val="003D2F99"/>
    <w:rsid w:val="003D3097"/>
    <w:rsid w:val="003D3515"/>
    <w:rsid w:val="003D3D79"/>
    <w:rsid w:val="003D40CE"/>
    <w:rsid w:val="003D4454"/>
    <w:rsid w:val="003D4B0E"/>
    <w:rsid w:val="003D524B"/>
    <w:rsid w:val="003D55A2"/>
    <w:rsid w:val="003D5918"/>
    <w:rsid w:val="003D5D96"/>
    <w:rsid w:val="003D5DC6"/>
    <w:rsid w:val="003D6563"/>
    <w:rsid w:val="003D65F3"/>
    <w:rsid w:val="003D68D7"/>
    <w:rsid w:val="003D747C"/>
    <w:rsid w:val="003D7D64"/>
    <w:rsid w:val="003E0514"/>
    <w:rsid w:val="003E0846"/>
    <w:rsid w:val="003E1017"/>
    <w:rsid w:val="003E106A"/>
    <w:rsid w:val="003E177E"/>
    <w:rsid w:val="003E2661"/>
    <w:rsid w:val="003E2868"/>
    <w:rsid w:val="003E2D18"/>
    <w:rsid w:val="003E2DCD"/>
    <w:rsid w:val="003E2FAB"/>
    <w:rsid w:val="003E345D"/>
    <w:rsid w:val="003E3777"/>
    <w:rsid w:val="003E392F"/>
    <w:rsid w:val="003E4378"/>
    <w:rsid w:val="003E47DA"/>
    <w:rsid w:val="003E4A70"/>
    <w:rsid w:val="003E4DFC"/>
    <w:rsid w:val="003E4F5F"/>
    <w:rsid w:val="003E5487"/>
    <w:rsid w:val="003E563B"/>
    <w:rsid w:val="003E57BA"/>
    <w:rsid w:val="003E59DA"/>
    <w:rsid w:val="003E5A29"/>
    <w:rsid w:val="003E5D64"/>
    <w:rsid w:val="003E66F4"/>
    <w:rsid w:val="003E679E"/>
    <w:rsid w:val="003E6818"/>
    <w:rsid w:val="003E6C57"/>
    <w:rsid w:val="003E721D"/>
    <w:rsid w:val="003E74E4"/>
    <w:rsid w:val="003E7CC4"/>
    <w:rsid w:val="003F0352"/>
    <w:rsid w:val="003F040F"/>
    <w:rsid w:val="003F0650"/>
    <w:rsid w:val="003F0858"/>
    <w:rsid w:val="003F13FD"/>
    <w:rsid w:val="003F1A3F"/>
    <w:rsid w:val="003F22AA"/>
    <w:rsid w:val="003F25D5"/>
    <w:rsid w:val="003F263A"/>
    <w:rsid w:val="003F27CC"/>
    <w:rsid w:val="003F2B20"/>
    <w:rsid w:val="003F2B2D"/>
    <w:rsid w:val="003F2DC9"/>
    <w:rsid w:val="003F30CA"/>
    <w:rsid w:val="003F31A9"/>
    <w:rsid w:val="003F358D"/>
    <w:rsid w:val="003F35ED"/>
    <w:rsid w:val="003F39DD"/>
    <w:rsid w:val="003F3C60"/>
    <w:rsid w:val="003F3CFF"/>
    <w:rsid w:val="003F4539"/>
    <w:rsid w:val="003F47AD"/>
    <w:rsid w:val="003F4A47"/>
    <w:rsid w:val="003F4B60"/>
    <w:rsid w:val="003F4CAE"/>
    <w:rsid w:val="003F517A"/>
    <w:rsid w:val="003F51FD"/>
    <w:rsid w:val="003F566C"/>
    <w:rsid w:val="003F5E12"/>
    <w:rsid w:val="003F5F87"/>
    <w:rsid w:val="003F5FEA"/>
    <w:rsid w:val="003F6057"/>
    <w:rsid w:val="003F63F2"/>
    <w:rsid w:val="003F69CB"/>
    <w:rsid w:val="003F6A56"/>
    <w:rsid w:val="003F6FC2"/>
    <w:rsid w:val="003F78C1"/>
    <w:rsid w:val="003F7EFE"/>
    <w:rsid w:val="003F7FE6"/>
    <w:rsid w:val="00400012"/>
    <w:rsid w:val="0040043B"/>
    <w:rsid w:val="0040061C"/>
    <w:rsid w:val="00400754"/>
    <w:rsid w:val="00400F4E"/>
    <w:rsid w:val="00401352"/>
    <w:rsid w:val="004014D6"/>
    <w:rsid w:val="00401593"/>
    <w:rsid w:val="004021FE"/>
    <w:rsid w:val="0040298E"/>
    <w:rsid w:val="00403627"/>
    <w:rsid w:val="00403A0A"/>
    <w:rsid w:val="00403A99"/>
    <w:rsid w:val="00403B0C"/>
    <w:rsid w:val="00403D62"/>
    <w:rsid w:val="00403FF4"/>
    <w:rsid w:val="004045DA"/>
    <w:rsid w:val="00404969"/>
    <w:rsid w:val="00404BD2"/>
    <w:rsid w:val="00404FDC"/>
    <w:rsid w:val="00405782"/>
    <w:rsid w:val="00405BE9"/>
    <w:rsid w:val="00405FDF"/>
    <w:rsid w:val="00406375"/>
    <w:rsid w:val="00406912"/>
    <w:rsid w:val="00407080"/>
    <w:rsid w:val="00407368"/>
    <w:rsid w:val="00407513"/>
    <w:rsid w:val="004076DA"/>
    <w:rsid w:val="00407978"/>
    <w:rsid w:val="00410B27"/>
    <w:rsid w:val="00410B52"/>
    <w:rsid w:val="00410C20"/>
    <w:rsid w:val="004114C4"/>
    <w:rsid w:val="004117AF"/>
    <w:rsid w:val="00411A86"/>
    <w:rsid w:val="00411C59"/>
    <w:rsid w:val="0041203F"/>
    <w:rsid w:val="0041211A"/>
    <w:rsid w:val="00412620"/>
    <w:rsid w:val="00412802"/>
    <w:rsid w:val="00413408"/>
    <w:rsid w:val="0041370F"/>
    <w:rsid w:val="00413AD0"/>
    <w:rsid w:val="00414447"/>
    <w:rsid w:val="004145D2"/>
    <w:rsid w:val="004151FF"/>
    <w:rsid w:val="00415578"/>
    <w:rsid w:val="0041567A"/>
    <w:rsid w:val="00415A06"/>
    <w:rsid w:val="00415CA4"/>
    <w:rsid w:val="00415DCB"/>
    <w:rsid w:val="00416232"/>
    <w:rsid w:val="004163A6"/>
    <w:rsid w:val="00416A04"/>
    <w:rsid w:val="004178F8"/>
    <w:rsid w:val="00417C20"/>
    <w:rsid w:val="00417C6D"/>
    <w:rsid w:val="00417E80"/>
    <w:rsid w:val="004202C7"/>
    <w:rsid w:val="004205B0"/>
    <w:rsid w:val="004207A6"/>
    <w:rsid w:val="004208FF"/>
    <w:rsid w:val="00420B5F"/>
    <w:rsid w:val="00421EDB"/>
    <w:rsid w:val="00421F22"/>
    <w:rsid w:val="004220DB"/>
    <w:rsid w:val="0042212C"/>
    <w:rsid w:val="004221EB"/>
    <w:rsid w:val="004223A7"/>
    <w:rsid w:val="004227C6"/>
    <w:rsid w:val="004228EF"/>
    <w:rsid w:val="00422CC7"/>
    <w:rsid w:val="00422CEA"/>
    <w:rsid w:val="00423D1E"/>
    <w:rsid w:val="00424148"/>
    <w:rsid w:val="004243DC"/>
    <w:rsid w:val="0042462C"/>
    <w:rsid w:val="00424711"/>
    <w:rsid w:val="0042471B"/>
    <w:rsid w:val="00424751"/>
    <w:rsid w:val="00424EBA"/>
    <w:rsid w:val="00425BE2"/>
    <w:rsid w:val="0042756E"/>
    <w:rsid w:val="00427E0D"/>
    <w:rsid w:val="00430409"/>
    <w:rsid w:val="0043099D"/>
    <w:rsid w:val="00430F54"/>
    <w:rsid w:val="0043114B"/>
    <w:rsid w:val="004312CC"/>
    <w:rsid w:val="00431719"/>
    <w:rsid w:val="00431990"/>
    <w:rsid w:val="00431D49"/>
    <w:rsid w:val="00432133"/>
    <w:rsid w:val="00432148"/>
    <w:rsid w:val="0043259B"/>
    <w:rsid w:val="004327BC"/>
    <w:rsid w:val="004328CA"/>
    <w:rsid w:val="00432A62"/>
    <w:rsid w:val="00432B1E"/>
    <w:rsid w:val="00432D10"/>
    <w:rsid w:val="00432DF9"/>
    <w:rsid w:val="00432EA6"/>
    <w:rsid w:val="00432F57"/>
    <w:rsid w:val="004332C9"/>
    <w:rsid w:val="004339E0"/>
    <w:rsid w:val="00433A8F"/>
    <w:rsid w:val="00434B74"/>
    <w:rsid w:val="00434D08"/>
    <w:rsid w:val="004351B5"/>
    <w:rsid w:val="00435240"/>
    <w:rsid w:val="00435CD3"/>
    <w:rsid w:val="00435E62"/>
    <w:rsid w:val="00435E95"/>
    <w:rsid w:val="00436A5D"/>
    <w:rsid w:val="00436B68"/>
    <w:rsid w:val="004371F2"/>
    <w:rsid w:val="00437220"/>
    <w:rsid w:val="004374C5"/>
    <w:rsid w:val="00437BB9"/>
    <w:rsid w:val="00437EF0"/>
    <w:rsid w:val="004403DE"/>
    <w:rsid w:val="00440427"/>
    <w:rsid w:val="004409AF"/>
    <w:rsid w:val="0044105A"/>
    <w:rsid w:val="004412E2"/>
    <w:rsid w:val="00441FB2"/>
    <w:rsid w:val="004422C1"/>
    <w:rsid w:val="00442DD8"/>
    <w:rsid w:val="00442F7D"/>
    <w:rsid w:val="0044348D"/>
    <w:rsid w:val="00443A1D"/>
    <w:rsid w:val="00443ABA"/>
    <w:rsid w:val="00443B1B"/>
    <w:rsid w:val="00443FC5"/>
    <w:rsid w:val="004440DF"/>
    <w:rsid w:val="004446ED"/>
    <w:rsid w:val="0044489B"/>
    <w:rsid w:val="00444A63"/>
    <w:rsid w:val="0044500B"/>
    <w:rsid w:val="00445533"/>
    <w:rsid w:val="004456C3"/>
    <w:rsid w:val="0044572E"/>
    <w:rsid w:val="004457AD"/>
    <w:rsid w:val="00445C65"/>
    <w:rsid w:val="00446EFE"/>
    <w:rsid w:val="00447137"/>
    <w:rsid w:val="004474EB"/>
    <w:rsid w:val="0044781F"/>
    <w:rsid w:val="00447CEE"/>
    <w:rsid w:val="0045012C"/>
    <w:rsid w:val="004503D7"/>
    <w:rsid w:val="00450414"/>
    <w:rsid w:val="00450426"/>
    <w:rsid w:val="00450DCA"/>
    <w:rsid w:val="004518D3"/>
    <w:rsid w:val="00451972"/>
    <w:rsid w:val="00451B80"/>
    <w:rsid w:val="00451DE5"/>
    <w:rsid w:val="00451E93"/>
    <w:rsid w:val="00452100"/>
    <w:rsid w:val="004523C8"/>
    <w:rsid w:val="00452548"/>
    <w:rsid w:val="00453280"/>
    <w:rsid w:val="00453816"/>
    <w:rsid w:val="00453AC6"/>
    <w:rsid w:val="00454050"/>
    <w:rsid w:val="004542BF"/>
    <w:rsid w:val="004542C3"/>
    <w:rsid w:val="00454C60"/>
    <w:rsid w:val="00454D01"/>
    <w:rsid w:val="004565D8"/>
    <w:rsid w:val="00456C64"/>
    <w:rsid w:val="00456E00"/>
    <w:rsid w:val="00456FBF"/>
    <w:rsid w:val="0045729A"/>
    <w:rsid w:val="00457742"/>
    <w:rsid w:val="004578E1"/>
    <w:rsid w:val="00457F67"/>
    <w:rsid w:val="00457F90"/>
    <w:rsid w:val="0046095B"/>
    <w:rsid w:val="004609FD"/>
    <w:rsid w:val="00460A57"/>
    <w:rsid w:val="00460F45"/>
    <w:rsid w:val="004611EE"/>
    <w:rsid w:val="0046153A"/>
    <w:rsid w:val="00461549"/>
    <w:rsid w:val="00461B45"/>
    <w:rsid w:val="00461B97"/>
    <w:rsid w:val="004624C7"/>
    <w:rsid w:val="004627D6"/>
    <w:rsid w:val="00462C3E"/>
    <w:rsid w:val="00462D67"/>
    <w:rsid w:val="00463085"/>
    <w:rsid w:val="00464BD4"/>
    <w:rsid w:val="00464E1E"/>
    <w:rsid w:val="004657D9"/>
    <w:rsid w:val="00465880"/>
    <w:rsid w:val="00466207"/>
    <w:rsid w:val="00466500"/>
    <w:rsid w:val="0046671C"/>
    <w:rsid w:val="0046753A"/>
    <w:rsid w:val="00467C9E"/>
    <w:rsid w:val="00470E6C"/>
    <w:rsid w:val="00471D24"/>
    <w:rsid w:val="00471D46"/>
    <w:rsid w:val="00471F70"/>
    <w:rsid w:val="00472284"/>
    <w:rsid w:val="0047228A"/>
    <w:rsid w:val="00472623"/>
    <w:rsid w:val="00472AB0"/>
    <w:rsid w:val="00472C7D"/>
    <w:rsid w:val="00472DD2"/>
    <w:rsid w:val="004730F1"/>
    <w:rsid w:val="00473611"/>
    <w:rsid w:val="004737DD"/>
    <w:rsid w:val="00474167"/>
    <w:rsid w:val="004745F6"/>
    <w:rsid w:val="00474973"/>
    <w:rsid w:val="00474A32"/>
    <w:rsid w:val="00474DF8"/>
    <w:rsid w:val="00474ECE"/>
    <w:rsid w:val="00475639"/>
    <w:rsid w:val="004757EA"/>
    <w:rsid w:val="004759CC"/>
    <w:rsid w:val="004761E4"/>
    <w:rsid w:val="00476893"/>
    <w:rsid w:val="00476903"/>
    <w:rsid w:val="00477BCC"/>
    <w:rsid w:val="00477EA1"/>
    <w:rsid w:val="004801A6"/>
    <w:rsid w:val="00480381"/>
    <w:rsid w:val="004804AA"/>
    <w:rsid w:val="0048065D"/>
    <w:rsid w:val="00480B01"/>
    <w:rsid w:val="00480C2B"/>
    <w:rsid w:val="00480CF8"/>
    <w:rsid w:val="00480E8D"/>
    <w:rsid w:val="00481291"/>
    <w:rsid w:val="004814F8"/>
    <w:rsid w:val="00481566"/>
    <w:rsid w:val="00481734"/>
    <w:rsid w:val="00481976"/>
    <w:rsid w:val="0048202A"/>
    <w:rsid w:val="004825B7"/>
    <w:rsid w:val="00482851"/>
    <w:rsid w:val="00482D4D"/>
    <w:rsid w:val="00482F8D"/>
    <w:rsid w:val="00483012"/>
    <w:rsid w:val="004831F2"/>
    <w:rsid w:val="004832E0"/>
    <w:rsid w:val="004832ED"/>
    <w:rsid w:val="00483495"/>
    <w:rsid w:val="004834AA"/>
    <w:rsid w:val="00483578"/>
    <w:rsid w:val="00483672"/>
    <w:rsid w:val="00483DE4"/>
    <w:rsid w:val="0048499F"/>
    <w:rsid w:val="004851F8"/>
    <w:rsid w:val="0048592F"/>
    <w:rsid w:val="00485B42"/>
    <w:rsid w:val="00485DED"/>
    <w:rsid w:val="00486121"/>
    <w:rsid w:val="00487034"/>
    <w:rsid w:val="00487677"/>
    <w:rsid w:val="0048776E"/>
    <w:rsid w:val="00487890"/>
    <w:rsid w:val="0048790B"/>
    <w:rsid w:val="00487926"/>
    <w:rsid w:val="00487A34"/>
    <w:rsid w:val="00487F91"/>
    <w:rsid w:val="00490361"/>
    <w:rsid w:val="0049044C"/>
    <w:rsid w:val="0049057B"/>
    <w:rsid w:val="00490F6F"/>
    <w:rsid w:val="00491627"/>
    <w:rsid w:val="00491AD4"/>
    <w:rsid w:val="00491DA8"/>
    <w:rsid w:val="00491E9F"/>
    <w:rsid w:val="0049228E"/>
    <w:rsid w:val="0049246D"/>
    <w:rsid w:val="004925B6"/>
    <w:rsid w:val="004932A0"/>
    <w:rsid w:val="0049357E"/>
    <w:rsid w:val="00493868"/>
    <w:rsid w:val="004938F4"/>
    <w:rsid w:val="00493A85"/>
    <w:rsid w:val="00493DBA"/>
    <w:rsid w:val="0049539D"/>
    <w:rsid w:val="004953C1"/>
    <w:rsid w:val="00495605"/>
    <w:rsid w:val="004956A1"/>
    <w:rsid w:val="0049574C"/>
    <w:rsid w:val="00495B1B"/>
    <w:rsid w:val="00495B37"/>
    <w:rsid w:val="00495D98"/>
    <w:rsid w:val="004962F1"/>
    <w:rsid w:val="0049666A"/>
    <w:rsid w:val="0049680D"/>
    <w:rsid w:val="0049699B"/>
    <w:rsid w:val="00496DDA"/>
    <w:rsid w:val="004976B6"/>
    <w:rsid w:val="0049780B"/>
    <w:rsid w:val="004A0112"/>
    <w:rsid w:val="004A08B1"/>
    <w:rsid w:val="004A131A"/>
    <w:rsid w:val="004A13E0"/>
    <w:rsid w:val="004A1BFA"/>
    <w:rsid w:val="004A1CF5"/>
    <w:rsid w:val="004A2328"/>
    <w:rsid w:val="004A241A"/>
    <w:rsid w:val="004A28D4"/>
    <w:rsid w:val="004A2B42"/>
    <w:rsid w:val="004A2BCA"/>
    <w:rsid w:val="004A2EEA"/>
    <w:rsid w:val="004A2F10"/>
    <w:rsid w:val="004A385C"/>
    <w:rsid w:val="004A393B"/>
    <w:rsid w:val="004A3D9C"/>
    <w:rsid w:val="004A4509"/>
    <w:rsid w:val="004A45D4"/>
    <w:rsid w:val="004A4D83"/>
    <w:rsid w:val="004A5345"/>
    <w:rsid w:val="004A53FA"/>
    <w:rsid w:val="004A5786"/>
    <w:rsid w:val="004A58BA"/>
    <w:rsid w:val="004A5FDF"/>
    <w:rsid w:val="004A5FF2"/>
    <w:rsid w:val="004A64F6"/>
    <w:rsid w:val="004A6838"/>
    <w:rsid w:val="004A69E9"/>
    <w:rsid w:val="004A6CA6"/>
    <w:rsid w:val="004A6CEF"/>
    <w:rsid w:val="004A7AB5"/>
    <w:rsid w:val="004B044F"/>
    <w:rsid w:val="004B1A11"/>
    <w:rsid w:val="004B1B4C"/>
    <w:rsid w:val="004B1ECE"/>
    <w:rsid w:val="004B20DC"/>
    <w:rsid w:val="004B2ACC"/>
    <w:rsid w:val="004B2E76"/>
    <w:rsid w:val="004B38CB"/>
    <w:rsid w:val="004B39B9"/>
    <w:rsid w:val="004B4095"/>
    <w:rsid w:val="004B434C"/>
    <w:rsid w:val="004B4AEE"/>
    <w:rsid w:val="004B5142"/>
    <w:rsid w:val="004B53FC"/>
    <w:rsid w:val="004B5899"/>
    <w:rsid w:val="004B5AF2"/>
    <w:rsid w:val="004B5EAB"/>
    <w:rsid w:val="004B6235"/>
    <w:rsid w:val="004B63B1"/>
    <w:rsid w:val="004B680E"/>
    <w:rsid w:val="004B6BC8"/>
    <w:rsid w:val="004B770A"/>
    <w:rsid w:val="004B776C"/>
    <w:rsid w:val="004B7B4F"/>
    <w:rsid w:val="004B7B9E"/>
    <w:rsid w:val="004B7D0E"/>
    <w:rsid w:val="004B7EDB"/>
    <w:rsid w:val="004C0BB8"/>
    <w:rsid w:val="004C0DD9"/>
    <w:rsid w:val="004C0DE0"/>
    <w:rsid w:val="004C0DEF"/>
    <w:rsid w:val="004C0F86"/>
    <w:rsid w:val="004C0FA0"/>
    <w:rsid w:val="004C1800"/>
    <w:rsid w:val="004C183F"/>
    <w:rsid w:val="004C2312"/>
    <w:rsid w:val="004C2349"/>
    <w:rsid w:val="004C26E2"/>
    <w:rsid w:val="004C30F0"/>
    <w:rsid w:val="004C32CF"/>
    <w:rsid w:val="004C342E"/>
    <w:rsid w:val="004C34DC"/>
    <w:rsid w:val="004C4183"/>
    <w:rsid w:val="004C4334"/>
    <w:rsid w:val="004C4546"/>
    <w:rsid w:val="004C4B8F"/>
    <w:rsid w:val="004C5092"/>
    <w:rsid w:val="004C51BD"/>
    <w:rsid w:val="004C52AC"/>
    <w:rsid w:val="004C597E"/>
    <w:rsid w:val="004C5F09"/>
    <w:rsid w:val="004C6178"/>
    <w:rsid w:val="004C66B6"/>
    <w:rsid w:val="004C676E"/>
    <w:rsid w:val="004C6954"/>
    <w:rsid w:val="004C70E7"/>
    <w:rsid w:val="004C7BFD"/>
    <w:rsid w:val="004D0D9E"/>
    <w:rsid w:val="004D1283"/>
    <w:rsid w:val="004D16B9"/>
    <w:rsid w:val="004D1AB2"/>
    <w:rsid w:val="004D224C"/>
    <w:rsid w:val="004D22FB"/>
    <w:rsid w:val="004D2574"/>
    <w:rsid w:val="004D26FC"/>
    <w:rsid w:val="004D2727"/>
    <w:rsid w:val="004D295C"/>
    <w:rsid w:val="004D2B75"/>
    <w:rsid w:val="004D308E"/>
    <w:rsid w:val="004D3221"/>
    <w:rsid w:val="004D32BD"/>
    <w:rsid w:val="004D32C3"/>
    <w:rsid w:val="004D371E"/>
    <w:rsid w:val="004D3D78"/>
    <w:rsid w:val="004D3E79"/>
    <w:rsid w:val="004D42F8"/>
    <w:rsid w:val="004D4C08"/>
    <w:rsid w:val="004D4D2E"/>
    <w:rsid w:val="004D51F3"/>
    <w:rsid w:val="004D53E1"/>
    <w:rsid w:val="004D59CC"/>
    <w:rsid w:val="004D5DAC"/>
    <w:rsid w:val="004D5EA3"/>
    <w:rsid w:val="004D61DC"/>
    <w:rsid w:val="004D67BB"/>
    <w:rsid w:val="004D7049"/>
    <w:rsid w:val="004D728D"/>
    <w:rsid w:val="004D746A"/>
    <w:rsid w:val="004D7613"/>
    <w:rsid w:val="004D76FF"/>
    <w:rsid w:val="004D776C"/>
    <w:rsid w:val="004E026F"/>
    <w:rsid w:val="004E02E0"/>
    <w:rsid w:val="004E05FF"/>
    <w:rsid w:val="004E1586"/>
    <w:rsid w:val="004E175F"/>
    <w:rsid w:val="004E1813"/>
    <w:rsid w:val="004E1AA3"/>
    <w:rsid w:val="004E285F"/>
    <w:rsid w:val="004E2BA1"/>
    <w:rsid w:val="004E2D55"/>
    <w:rsid w:val="004E2D9B"/>
    <w:rsid w:val="004E2DBB"/>
    <w:rsid w:val="004E304B"/>
    <w:rsid w:val="004E3ABA"/>
    <w:rsid w:val="004E3FB1"/>
    <w:rsid w:val="004E46B2"/>
    <w:rsid w:val="004E540A"/>
    <w:rsid w:val="004E5696"/>
    <w:rsid w:val="004E6092"/>
    <w:rsid w:val="004E693C"/>
    <w:rsid w:val="004E6CA6"/>
    <w:rsid w:val="004E6CB5"/>
    <w:rsid w:val="004E754E"/>
    <w:rsid w:val="004E7C0C"/>
    <w:rsid w:val="004F0882"/>
    <w:rsid w:val="004F0B42"/>
    <w:rsid w:val="004F1368"/>
    <w:rsid w:val="004F13A8"/>
    <w:rsid w:val="004F1FF3"/>
    <w:rsid w:val="004F22B9"/>
    <w:rsid w:val="004F2337"/>
    <w:rsid w:val="004F2492"/>
    <w:rsid w:val="004F2CA3"/>
    <w:rsid w:val="004F2F0E"/>
    <w:rsid w:val="004F329B"/>
    <w:rsid w:val="004F3818"/>
    <w:rsid w:val="004F4505"/>
    <w:rsid w:val="004F4A6E"/>
    <w:rsid w:val="004F4F95"/>
    <w:rsid w:val="004F5CE6"/>
    <w:rsid w:val="004F5F21"/>
    <w:rsid w:val="004F5F6B"/>
    <w:rsid w:val="004F5FFF"/>
    <w:rsid w:val="004F6928"/>
    <w:rsid w:val="004F71A2"/>
    <w:rsid w:val="004F7307"/>
    <w:rsid w:val="004F79DA"/>
    <w:rsid w:val="00500006"/>
    <w:rsid w:val="0050009A"/>
    <w:rsid w:val="00500814"/>
    <w:rsid w:val="00500A50"/>
    <w:rsid w:val="00500DAA"/>
    <w:rsid w:val="00501317"/>
    <w:rsid w:val="005017D6"/>
    <w:rsid w:val="0050190E"/>
    <w:rsid w:val="00501A5C"/>
    <w:rsid w:val="00501F53"/>
    <w:rsid w:val="00501FB1"/>
    <w:rsid w:val="0050208B"/>
    <w:rsid w:val="0050218F"/>
    <w:rsid w:val="0050263D"/>
    <w:rsid w:val="00502774"/>
    <w:rsid w:val="00502920"/>
    <w:rsid w:val="00502938"/>
    <w:rsid w:val="00502E31"/>
    <w:rsid w:val="0050327F"/>
    <w:rsid w:val="0050332B"/>
    <w:rsid w:val="0050333D"/>
    <w:rsid w:val="00503947"/>
    <w:rsid w:val="00503AF2"/>
    <w:rsid w:val="00504353"/>
    <w:rsid w:val="00504686"/>
    <w:rsid w:val="00504998"/>
    <w:rsid w:val="00505658"/>
    <w:rsid w:val="0050596C"/>
    <w:rsid w:val="00505E3E"/>
    <w:rsid w:val="005064EF"/>
    <w:rsid w:val="005066F2"/>
    <w:rsid w:val="00506B09"/>
    <w:rsid w:val="00507AEE"/>
    <w:rsid w:val="00510DD6"/>
    <w:rsid w:val="005115D3"/>
    <w:rsid w:val="00511710"/>
    <w:rsid w:val="00511F49"/>
    <w:rsid w:val="0051249F"/>
    <w:rsid w:val="0051269C"/>
    <w:rsid w:val="00512888"/>
    <w:rsid w:val="00512D0A"/>
    <w:rsid w:val="00512E6B"/>
    <w:rsid w:val="00513340"/>
    <w:rsid w:val="005138F6"/>
    <w:rsid w:val="00513DE6"/>
    <w:rsid w:val="005145DA"/>
    <w:rsid w:val="00514CAF"/>
    <w:rsid w:val="00514F03"/>
    <w:rsid w:val="00515356"/>
    <w:rsid w:val="00515757"/>
    <w:rsid w:val="0051584C"/>
    <w:rsid w:val="00515861"/>
    <w:rsid w:val="00515EA7"/>
    <w:rsid w:val="00516B67"/>
    <w:rsid w:val="00516EBC"/>
    <w:rsid w:val="00517B60"/>
    <w:rsid w:val="00517BFE"/>
    <w:rsid w:val="00517CD8"/>
    <w:rsid w:val="00517EED"/>
    <w:rsid w:val="005203D6"/>
    <w:rsid w:val="00520455"/>
    <w:rsid w:val="005204B1"/>
    <w:rsid w:val="00520586"/>
    <w:rsid w:val="00520596"/>
    <w:rsid w:val="005208A7"/>
    <w:rsid w:val="00520F7F"/>
    <w:rsid w:val="005215C8"/>
    <w:rsid w:val="00521673"/>
    <w:rsid w:val="005216DE"/>
    <w:rsid w:val="00521934"/>
    <w:rsid w:val="00522703"/>
    <w:rsid w:val="00522E3C"/>
    <w:rsid w:val="00522FD3"/>
    <w:rsid w:val="00523073"/>
    <w:rsid w:val="00524B8D"/>
    <w:rsid w:val="00524BD7"/>
    <w:rsid w:val="005252AA"/>
    <w:rsid w:val="00525678"/>
    <w:rsid w:val="005258C2"/>
    <w:rsid w:val="00525F68"/>
    <w:rsid w:val="00526528"/>
    <w:rsid w:val="00527968"/>
    <w:rsid w:val="005279C8"/>
    <w:rsid w:val="00527BE0"/>
    <w:rsid w:val="005307FC"/>
    <w:rsid w:val="005308A7"/>
    <w:rsid w:val="00530B2D"/>
    <w:rsid w:val="00530D67"/>
    <w:rsid w:val="00530E80"/>
    <w:rsid w:val="005315D5"/>
    <w:rsid w:val="005317A4"/>
    <w:rsid w:val="005318B4"/>
    <w:rsid w:val="00532129"/>
    <w:rsid w:val="005324EB"/>
    <w:rsid w:val="00532AAE"/>
    <w:rsid w:val="00532B6A"/>
    <w:rsid w:val="00532C47"/>
    <w:rsid w:val="00532E4E"/>
    <w:rsid w:val="0053325C"/>
    <w:rsid w:val="00533385"/>
    <w:rsid w:val="005333AD"/>
    <w:rsid w:val="00533C73"/>
    <w:rsid w:val="005342EF"/>
    <w:rsid w:val="005346A8"/>
    <w:rsid w:val="005349A1"/>
    <w:rsid w:val="005352F7"/>
    <w:rsid w:val="005357BA"/>
    <w:rsid w:val="0053584C"/>
    <w:rsid w:val="0053612D"/>
    <w:rsid w:val="00536486"/>
    <w:rsid w:val="005368A9"/>
    <w:rsid w:val="00537285"/>
    <w:rsid w:val="0053732C"/>
    <w:rsid w:val="0053782E"/>
    <w:rsid w:val="00537889"/>
    <w:rsid w:val="005378E7"/>
    <w:rsid w:val="00537F11"/>
    <w:rsid w:val="00540147"/>
    <w:rsid w:val="00540B27"/>
    <w:rsid w:val="00540B42"/>
    <w:rsid w:val="00540D3C"/>
    <w:rsid w:val="005411AE"/>
    <w:rsid w:val="005415C5"/>
    <w:rsid w:val="00541C59"/>
    <w:rsid w:val="00542034"/>
    <w:rsid w:val="00542375"/>
    <w:rsid w:val="005426F4"/>
    <w:rsid w:val="00542FB2"/>
    <w:rsid w:val="00543473"/>
    <w:rsid w:val="00543B66"/>
    <w:rsid w:val="00543B67"/>
    <w:rsid w:val="00543C7C"/>
    <w:rsid w:val="00543CBA"/>
    <w:rsid w:val="00543FAB"/>
    <w:rsid w:val="005445F6"/>
    <w:rsid w:val="00544635"/>
    <w:rsid w:val="00545601"/>
    <w:rsid w:val="00546E29"/>
    <w:rsid w:val="00546F68"/>
    <w:rsid w:val="005475B0"/>
    <w:rsid w:val="005477FE"/>
    <w:rsid w:val="00547B89"/>
    <w:rsid w:val="00547C4B"/>
    <w:rsid w:val="0055003F"/>
    <w:rsid w:val="005502B6"/>
    <w:rsid w:val="0055044B"/>
    <w:rsid w:val="005504F8"/>
    <w:rsid w:val="0055094C"/>
    <w:rsid w:val="005509BD"/>
    <w:rsid w:val="00550C80"/>
    <w:rsid w:val="00550EF5"/>
    <w:rsid w:val="0055153E"/>
    <w:rsid w:val="0055174E"/>
    <w:rsid w:val="00551CDC"/>
    <w:rsid w:val="00553359"/>
    <w:rsid w:val="0055337E"/>
    <w:rsid w:val="00553606"/>
    <w:rsid w:val="00553CB9"/>
    <w:rsid w:val="00554135"/>
    <w:rsid w:val="005547AA"/>
    <w:rsid w:val="005547DD"/>
    <w:rsid w:val="00554C17"/>
    <w:rsid w:val="00554C84"/>
    <w:rsid w:val="00554CB8"/>
    <w:rsid w:val="0055557B"/>
    <w:rsid w:val="005556BC"/>
    <w:rsid w:val="005561D9"/>
    <w:rsid w:val="00556302"/>
    <w:rsid w:val="0055634C"/>
    <w:rsid w:val="0055650C"/>
    <w:rsid w:val="00556804"/>
    <w:rsid w:val="005568D3"/>
    <w:rsid w:val="0055691C"/>
    <w:rsid w:val="00556A8F"/>
    <w:rsid w:val="00557978"/>
    <w:rsid w:val="0056043E"/>
    <w:rsid w:val="005605C0"/>
    <w:rsid w:val="0056069A"/>
    <w:rsid w:val="005609C5"/>
    <w:rsid w:val="00560D9D"/>
    <w:rsid w:val="00561847"/>
    <w:rsid w:val="00561981"/>
    <w:rsid w:val="005624C9"/>
    <w:rsid w:val="00562AC0"/>
    <w:rsid w:val="00563038"/>
    <w:rsid w:val="00563587"/>
    <w:rsid w:val="00563E05"/>
    <w:rsid w:val="00563F3A"/>
    <w:rsid w:val="00565E68"/>
    <w:rsid w:val="00566170"/>
    <w:rsid w:val="00566D62"/>
    <w:rsid w:val="0056767D"/>
    <w:rsid w:val="005703BE"/>
    <w:rsid w:val="00570452"/>
    <w:rsid w:val="005706DD"/>
    <w:rsid w:val="00571128"/>
    <w:rsid w:val="005713A4"/>
    <w:rsid w:val="005719AC"/>
    <w:rsid w:val="00572908"/>
    <w:rsid w:val="00572947"/>
    <w:rsid w:val="0057321B"/>
    <w:rsid w:val="005736F2"/>
    <w:rsid w:val="00573C17"/>
    <w:rsid w:val="00573F7E"/>
    <w:rsid w:val="005740ED"/>
    <w:rsid w:val="005742A3"/>
    <w:rsid w:val="00574342"/>
    <w:rsid w:val="005743B6"/>
    <w:rsid w:val="00574684"/>
    <w:rsid w:val="00574721"/>
    <w:rsid w:val="005748EE"/>
    <w:rsid w:val="00575613"/>
    <w:rsid w:val="005756E9"/>
    <w:rsid w:val="005757B1"/>
    <w:rsid w:val="00575BAE"/>
    <w:rsid w:val="00575CCD"/>
    <w:rsid w:val="005760CA"/>
    <w:rsid w:val="005767A3"/>
    <w:rsid w:val="00576986"/>
    <w:rsid w:val="00577398"/>
    <w:rsid w:val="00577540"/>
    <w:rsid w:val="00577C33"/>
    <w:rsid w:val="00580356"/>
    <w:rsid w:val="00580434"/>
    <w:rsid w:val="0058097F"/>
    <w:rsid w:val="00580CB9"/>
    <w:rsid w:val="00581848"/>
    <w:rsid w:val="00582100"/>
    <w:rsid w:val="00582B5D"/>
    <w:rsid w:val="00583194"/>
    <w:rsid w:val="00583363"/>
    <w:rsid w:val="005834E3"/>
    <w:rsid w:val="00583740"/>
    <w:rsid w:val="00583EFA"/>
    <w:rsid w:val="00584000"/>
    <w:rsid w:val="0058414E"/>
    <w:rsid w:val="00584168"/>
    <w:rsid w:val="0058455F"/>
    <w:rsid w:val="00584849"/>
    <w:rsid w:val="00584A43"/>
    <w:rsid w:val="00584BA9"/>
    <w:rsid w:val="00584C5A"/>
    <w:rsid w:val="005853DA"/>
    <w:rsid w:val="0058574A"/>
    <w:rsid w:val="0058577A"/>
    <w:rsid w:val="00585FCD"/>
    <w:rsid w:val="005863D5"/>
    <w:rsid w:val="00586D2F"/>
    <w:rsid w:val="00586E55"/>
    <w:rsid w:val="00586F38"/>
    <w:rsid w:val="005870BB"/>
    <w:rsid w:val="00587394"/>
    <w:rsid w:val="00587AA2"/>
    <w:rsid w:val="00587F92"/>
    <w:rsid w:val="00590AC0"/>
    <w:rsid w:val="00590C24"/>
    <w:rsid w:val="00591073"/>
    <w:rsid w:val="00591478"/>
    <w:rsid w:val="005917BE"/>
    <w:rsid w:val="00591847"/>
    <w:rsid w:val="005918D8"/>
    <w:rsid w:val="00592604"/>
    <w:rsid w:val="005928E6"/>
    <w:rsid w:val="00592AFC"/>
    <w:rsid w:val="00592E1A"/>
    <w:rsid w:val="00592FCE"/>
    <w:rsid w:val="00593197"/>
    <w:rsid w:val="0059370B"/>
    <w:rsid w:val="00594480"/>
    <w:rsid w:val="005947E8"/>
    <w:rsid w:val="00594948"/>
    <w:rsid w:val="00594C00"/>
    <w:rsid w:val="005953FC"/>
    <w:rsid w:val="00596647"/>
    <w:rsid w:val="0059676A"/>
    <w:rsid w:val="00596C03"/>
    <w:rsid w:val="00596ECD"/>
    <w:rsid w:val="005972D6"/>
    <w:rsid w:val="005975F5"/>
    <w:rsid w:val="005A0105"/>
    <w:rsid w:val="005A1213"/>
    <w:rsid w:val="005A1B4A"/>
    <w:rsid w:val="005A256E"/>
    <w:rsid w:val="005A2A47"/>
    <w:rsid w:val="005A2CBB"/>
    <w:rsid w:val="005A2F20"/>
    <w:rsid w:val="005A3370"/>
    <w:rsid w:val="005A33D5"/>
    <w:rsid w:val="005A3C44"/>
    <w:rsid w:val="005A40A7"/>
    <w:rsid w:val="005A4295"/>
    <w:rsid w:val="005A471D"/>
    <w:rsid w:val="005A518D"/>
    <w:rsid w:val="005A60E3"/>
    <w:rsid w:val="005A617A"/>
    <w:rsid w:val="005A6A48"/>
    <w:rsid w:val="005A7375"/>
    <w:rsid w:val="005A75F0"/>
    <w:rsid w:val="005A783C"/>
    <w:rsid w:val="005A7AD6"/>
    <w:rsid w:val="005B05A9"/>
    <w:rsid w:val="005B0A90"/>
    <w:rsid w:val="005B1030"/>
    <w:rsid w:val="005B10CF"/>
    <w:rsid w:val="005B1192"/>
    <w:rsid w:val="005B1AD8"/>
    <w:rsid w:val="005B1F55"/>
    <w:rsid w:val="005B22D7"/>
    <w:rsid w:val="005B2337"/>
    <w:rsid w:val="005B298C"/>
    <w:rsid w:val="005B30A4"/>
    <w:rsid w:val="005B348D"/>
    <w:rsid w:val="005B3C89"/>
    <w:rsid w:val="005B3D53"/>
    <w:rsid w:val="005B4162"/>
    <w:rsid w:val="005B419C"/>
    <w:rsid w:val="005B441F"/>
    <w:rsid w:val="005B44D0"/>
    <w:rsid w:val="005B4FC7"/>
    <w:rsid w:val="005B4FF2"/>
    <w:rsid w:val="005B4FFB"/>
    <w:rsid w:val="005B584C"/>
    <w:rsid w:val="005B5FFD"/>
    <w:rsid w:val="005B62E0"/>
    <w:rsid w:val="005B653B"/>
    <w:rsid w:val="005B7050"/>
    <w:rsid w:val="005B7113"/>
    <w:rsid w:val="005B713E"/>
    <w:rsid w:val="005B7B6B"/>
    <w:rsid w:val="005B7ED7"/>
    <w:rsid w:val="005C0226"/>
    <w:rsid w:val="005C02E4"/>
    <w:rsid w:val="005C0A04"/>
    <w:rsid w:val="005C0D69"/>
    <w:rsid w:val="005C1874"/>
    <w:rsid w:val="005C1A1D"/>
    <w:rsid w:val="005C1BA7"/>
    <w:rsid w:val="005C1C3C"/>
    <w:rsid w:val="005C1D19"/>
    <w:rsid w:val="005C24B2"/>
    <w:rsid w:val="005C2781"/>
    <w:rsid w:val="005C2836"/>
    <w:rsid w:val="005C297E"/>
    <w:rsid w:val="005C2A05"/>
    <w:rsid w:val="005C3202"/>
    <w:rsid w:val="005C3A9F"/>
    <w:rsid w:val="005C3F3F"/>
    <w:rsid w:val="005C4081"/>
    <w:rsid w:val="005C40CD"/>
    <w:rsid w:val="005C4311"/>
    <w:rsid w:val="005C44AA"/>
    <w:rsid w:val="005C481E"/>
    <w:rsid w:val="005C4994"/>
    <w:rsid w:val="005C4F51"/>
    <w:rsid w:val="005C542D"/>
    <w:rsid w:val="005C5D12"/>
    <w:rsid w:val="005C6665"/>
    <w:rsid w:val="005C6A43"/>
    <w:rsid w:val="005C6CFD"/>
    <w:rsid w:val="005C6E19"/>
    <w:rsid w:val="005C70A3"/>
    <w:rsid w:val="005C758D"/>
    <w:rsid w:val="005C7BED"/>
    <w:rsid w:val="005C7D83"/>
    <w:rsid w:val="005C7F07"/>
    <w:rsid w:val="005D0229"/>
    <w:rsid w:val="005D060E"/>
    <w:rsid w:val="005D0D23"/>
    <w:rsid w:val="005D0E74"/>
    <w:rsid w:val="005D0E75"/>
    <w:rsid w:val="005D112E"/>
    <w:rsid w:val="005D13BC"/>
    <w:rsid w:val="005D1724"/>
    <w:rsid w:val="005D1AB1"/>
    <w:rsid w:val="005D1F4F"/>
    <w:rsid w:val="005D1FBA"/>
    <w:rsid w:val="005D2646"/>
    <w:rsid w:val="005D2843"/>
    <w:rsid w:val="005D2BE5"/>
    <w:rsid w:val="005D325E"/>
    <w:rsid w:val="005D33DA"/>
    <w:rsid w:val="005D4814"/>
    <w:rsid w:val="005D4B19"/>
    <w:rsid w:val="005D4C10"/>
    <w:rsid w:val="005D59A8"/>
    <w:rsid w:val="005D5AC7"/>
    <w:rsid w:val="005D5C47"/>
    <w:rsid w:val="005D5E5A"/>
    <w:rsid w:val="005D73D3"/>
    <w:rsid w:val="005D7995"/>
    <w:rsid w:val="005E0C84"/>
    <w:rsid w:val="005E1437"/>
    <w:rsid w:val="005E1F76"/>
    <w:rsid w:val="005E2102"/>
    <w:rsid w:val="005E2A41"/>
    <w:rsid w:val="005E2A55"/>
    <w:rsid w:val="005E2ABC"/>
    <w:rsid w:val="005E3236"/>
    <w:rsid w:val="005E32FD"/>
    <w:rsid w:val="005E34BC"/>
    <w:rsid w:val="005E4CF0"/>
    <w:rsid w:val="005E4CF8"/>
    <w:rsid w:val="005E53A5"/>
    <w:rsid w:val="005E5411"/>
    <w:rsid w:val="005E54BE"/>
    <w:rsid w:val="005E57B5"/>
    <w:rsid w:val="005E5826"/>
    <w:rsid w:val="005E5C7C"/>
    <w:rsid w:val="005E5DEB"/>
    <w:rsid w:val="005E6141"/>
    <w:rsid w:val="005E68F1"/>
    <w:rsid w:val="005E690F"/>
    <w:rsid w:val="005E69D7"/>
    <w:rsid w:val="005E70CD"/>
    <w:rsid w:val="005E7420"/>
    <w:rsid w:val="005F15F1"/>
    <w:rsid w:val="005F18DD"/>
    <w:rsid w:val="005F2A7E"/>
    <w:rsid w:val="005F2C6D"/>
    <w:rsid w:val="005F2E24"/>
    <w:rsid w:val="005F2FC7"/>
    <w:rsid w:val="005F3365"/>
    <w:rsid w:val="005F34D0"/>
    <w:rsid w:val="005F39C1"/>
    <w:rsid w:val="005F3BC1"/>
    <w:rsid w:val="005F3D3B"/>
    <w:rsid w:val="005F3FFE"/>
    <w:rsid w:val="005F425C"/>
    <w:rsid w:val="005F4368"/>
    <w:rsid w:val="005F44AB"/>
    <w:rsid w:val="005F44C9"/>
    <w:rsid w:val="005F466D"/>
    <w:rsid w:val="005F498C"/>
    <w:rsid w:val="005F4A0F"/>
    <w:rsid w:val="005F4D5C"/>
    <w:rsid w:val="005F4DBA"/>
    <w:rsid w:val="005F5673"/>
    <w:rsid w:val="005F59D9"/>
    <w:rsid w:val="005F5C36"/>
    <w:rsid w:val="005F5F12"/>
    <w:rsid w:val="005F621D"/>
    <w:rsid w:val="005F63F1"/>
    <w:rsid w:val="005F6CF0"/>
    <w:rsid w:val="005F73A1"/>
    <w:rsid w:val="005F743F"/>
    <w:rsid w:val="005F7A8B"/>
    <w:rsid w:val="005F7F44"/>
    <w:rsid w:val="00600B70"/>
    <w:rsid w:val="00600EE9"/>
    <w:rsid w:val="00601083"/>
    <w:rsid w:val="006011FB"/>
    <w:rsid w:val="0060120B"/>
    <w:rsid w:val="00601394"/>
    <w:rsid w:val="006013F4"/>
    <w:rsid w:val="0060159D"/>
    <w:rsid w:val="00601826"/>
    <w:rsid w:val="00601B1B"/>
    <w:rsid w:val="00601C94"/>
    <w:rsid w:val="00601EB0"/>
    <w:rsid w:val="00602012"/>
    <w:rsid w:val="0060228B"/>
    <w:rsid w:val="006025DF"/>
    <w:rsid w:val="006025FA"/>
    <w:rsid w:val="006028B4"/>
    <w:rsid w:val="00602C6E"/>
    <w:rsid w:val="00603226"/>
    <w:rsid w:val="006032EB"/>
    <w:rsid w:val="006037C3"/>
    <w:rsid w:val="00603861"/>
    <w:rsid w:val="00603EA4"/>
    <w:rsid w:val="00604597"/>
    <w:rsid w:val="006047D1"/>
    <w:rsid w:val="00604896"/>
    <w:rsid w:val="00604B86"/>
    <w:rsid w:val="00605142"/>
    <w:rsid w:val="00605394"/>
    <w:rsid w:val="006055BD"/>
    <w:rsid w:val="0060573D"/>
    <w:rsid w:val="00605794"/>
    <w:rsid w:val="0060588B"/>
    <w:rsid w:val="00605AD1"/>
    <w:rsid w:val="00605DCA"/>
    <w:rsid w:val="00606218"/>
    <w:rsid w:val="00606573"/>
    <w:rsid w:val="00606B9D"/>
    <w:rsid w:val="00606F37"/>
    <w:rsid w:val="006078D5"/>
    <w:rsid w:val="00607B45"/>
    <w:rsid w:val="00607B97"/>
    <w:rsid w:val="00607DAA"/>
    <w:rsid w:val="0061086B"/>
    <w:rsid w:val="00610DBD"/>
    <w:rsid w:val="00610F8F"/>
    <w:rsid w:val="0061159E"/>
    <w:rsid w:val="00611B11"/>
    <w:rsid w:val="0061259F"/>
    <w:rsid w:val="00612BAA"/>
    <w:rsid w:val="00613527"/>
    <w:rsid w:val="0061354A"/>
    <w:rsid w:val="00613731"/>
    <w:rsid w:val="006137C1"/>
    <w:rsid w:val="00614281"/>
    <w:rsid w:val="006143A3"/>
    <w:rsid w:val="006143AC"/>
    <w:rsid w:val="0061452D"/>
    <w:rsid w:val="006157A9"/>
    <w:rsid w:val="006158DB"/>
    <w:rsid w:val="00615D54"/>
    <w:rsid w:val="00616031"/>
    <w:rsid w:val="0061624E"/>
    <w:rsid w:val="00616393"/>
    <w:rsid w:val="00616D26"/>
    <w:rsid w:val="0061712E"/>
    <w:rsid w:val="0061785B"/>
    <w:rsid w:val="006179A5"/>
    <w:rsid w:val="00617A4A"/>
    <w:rsid w:val="00617B71"/>
    <w:rsid w:val="00617EBE"/>
    <w:rsid w:val="00620110"/>
    <w:rsid w:val="00620281"/>
    <w:rsid w:val="006205F7"/>
    <w:rsid w:val="0062158D"/>
    <w:rsid w:val="00622039"/>
    <w:rsid w:val="006220C6"/>
    <w:rsid w:val="0062218C"/>
    <w:rsid w:val="00622397"/>
    <w:rsid w:val="00622866"/>
    <w:rsid w:val="006228B1"/>
    <w:rsid w:val="00622A99"/>
    <w:rsid w:val="00622C0A"/>
    <w:rsid w:val="006232A9"/>
    <w:rsid w:val="006236A3"/>
    <w:rsid w:val="00623954"/>
    <w:rsid w:val="00623DC7"/>
    <w:rsid w:val="006240B6"/>
    <w:rsid w:val="006247C0"/>
    <w:rsid w:val="006247F0"/>
    <w:rsid w:val="0062484A"/>
    <w:rsid w:val="00624A78"/>
    <w:rsid w:val="006278C1"/>
    <w:rsid w:val="00627DBC"/>
    <w:rsid w:val="00630098"/>
    <w:rsid w:val="006300AD"/>
    <w:rsid w:val="006302F6"/>
    <w:rsid w:val="006307A3"/>
    <w:rsid w:val="006308BD"/>
    <w:rsid w:val="00630B1A"/>
    <w:rsid w:val="00630B8C"/>
    <w:rsid w:val="00631314"/>
    <w:rsid w:val="00631436"/>
    <w:rsid w:val="0063154E"/>
    <w:rsid w:val="006316FB"/>
    <w:rsid w:val="006318B3"/>
    <w:rsid w:val="0063197B"/>
    <w:rsid w:val="00632002"/>
    <w:rsid w:val="00632022"/>
    <w:rsid w:val="006320D4"/>
    <w:rsid w:val="00632C2A"/>
    <w:rsid w:val="00633897"/>
    <w:rsid w:val="00633DB5"/>
    <w:rsid w:val="00633DCF"/>
    <w:rsid w:val="00633F63"/>
    <w:rsid w:val="00634055"/>
    <w:rsid w:val="006346BD"/>
    <w:rsid w:val="006347D1"/>
    <w:rsid w:val="006349EC"/>
    <w:rsid w:val="00634DFF"/>
    <w:rsid w:val="0063525C"/>
    <w:rsid w:val="0063576B"/>
    <w:rsid w:val="00636096"/>
    <w:rsid w:val="006362BD"/>
    <w:rsid w:val="00636BAE"/>
    <w:rsid w:val="00637153"/>
    <w:rsid w:val="0063770B"/>
    <w:rsid w:val="0063781F"/>
    <w:rsid w:val="00637E21"/>
    <w:rsid w:val="00640021"/>
    <w:rsid w:val="006402B1"/>
    <w:rsid w:val="00640607"/>
    <w:rsid w:val="00640D9C"/>
    <w:rsid w:val="006412C5"/>
    <w:rsid w:val="00641707"/>
    <w:rsid w:val="00641832"/>
    <w:rsid w:val="00641BDA"/>
    <w:rsid w:val="00641FD8"/>
    <w:rsid w:val="006420B7"/>
    <w:rsid w:val="006425FF"/>
    <w:rsid w:val="006433F6"/>
    <w:rsid w:val="00643E0C"/>
    <w:rsid w:val="00644043"/>
    <w:rsid w:val="00644377"/>
    <w:rsid w:val="006456DA"/>
    <w:rsid w:val="00645D51"/>
    <w:rsid w:val="00646E28"/>
    <w:rsid w:val="006476CD"/>
    <w:rsid w:val="006479E5"/>
    <w:rsid w:val="00647AD7"/>
    <w:rsid w:val="00650570"/>
    <w:rsid w:val="00650988"/>
    <w:rsid w:val="00650B11"/>
    <w:rsid w:val="00650B42"/>
    <w:rsid w:val="00650D07"/>
    <w:rsid w:val="00651103"/>
    <w:rsid w:val="00651127"/>
    <w:rsid w:val="00651588"/>
    <w:rsid w:val="00651678"/>
    <w:rsid w:val="0065180D"/>
    <w:rsid w:val="00651F9B"/>
    <w:rsid w:val="00651FA6"/>
    <w:rsid w:val="0065205B"/>
    <w:rsid w:val="00652764"/>
    <w:rsid w:val="00652AC2"/>
    <w:rsid w:val="00652C36"/>
    <w:rsid w:val="00652DBA"/>
    <w:rsid w:val="006531FA"/>
    <w:rsid w:val="0065330B"/>
    <w:rsid w:val="0065340F"/>
    <w:rsid w:val="00653B78"/>
    <w:rsid w:val="00654021"/>
    <w:rsid w:val="006540CB"/>
    <w:rsid w:val="0065469C"/>
    <w:rsid w:val="00654859"/>
    <w:rsid w:val="0065584F"/>
    <w:rsid w:val="00655B6D"/>
    <w:rsid w:val="00656235"/>
    <w:rsid w:val="00656B16"/>
    <w:rsid w:val="00656B2C"/>
    <w:rsid w:val="0065763D"/>
    <w:rsid w:val="00657C1B"/>
    <w:rsid w:val="00660542"/>
    <w:rsid w:val="00660707"/>
    <w:rsid w:val="00660B31"/>
    <w:rsid w:val="00661192"/>
    <w:rsid w:val="006612C3"/>
    <w:rsid w:val="006614BC"/>
    <w:rsid w:val="006614F8"/>
    <w:rsid w:val="00661579"/>
    <w:rsid w:val="006616B6"/>
    <w:rsid w:val="00661754"/>
    <w:rsid w:val="00661F9B"/>
    <w:rsid w:val="006629F3"/>
    <w:rsid w:val="00663038"/>
    <w:rsid w:val="00663B02"/>
    <w:rsid w:val="00663F26"/>
    <w:rsid w:val="006641EA"/>
    <w:rsid w:val="006649F9"/>
    <w:rsid w:val="00664E4F"/>
    <w:rsid w:val="006652BA"/>
    <w:rsid w:val="00665D2B"/>
    <w:rsid w:val="0066643C"/>
    <w:rsid w:val="006665D4"/>
    <w:rsid w:val="006677DC"/>
    <w:rsid w:val="00667A97"/>
    <w:rsid w:val="00670037"/>
    <w:rsid w:val="00670038"/>
    <w:rsid w:val="0067093B"/>
    <w:rsid w:val="006709AB"/>
    <w:rsid w:val="00670E76"/>
    <w:rsid w:val="0067178C"/>
    <w:rsid w:val="00671AB6"/>
    <w:rsid w:val="00672230"/>
    <w:rsid w:val="00672567"/>
    <w:rsid w:val="00672BA7"/>
    <w:rsid w:val="00672C20"/>
    <w:rsid w:val="00672DD4"/>
    <w:rsid w:val="0067339E"/>
    <w:rsid w:val="0067343C"/>
    <w:rsid w:val="00674121"/>
    <w:rsid w:val="0067435F"/>
    <w:rsid w:val="006746F5"/>
    <w:rsid w:val="006749FD"/>
    <w:rsid w:val="00674A95"/>
    <w:rsid w:val="00674AFD"/>
    <w:rsid w:val="00674DC2"/>
    <w:rsid w:val="00674DE2"/>
    <w:rsid w:val="0067517F"/>
    <w:rsid w:val="0067553B"/>
    <w:rsid w:val="0067573F"/>
    <w:rsid w:val="00675B35"/>
    <w:rsid w:val="00676069"/>
    <w:rsid w:val="0067631C"/>
    <w:rsid w:val="006764F7"/>
    <w:rsid w:val="00676D16"/>
    <w:rsid w:val="00677419"/>
    <w:rsid w:val="00677727"/>
    <w:rsid w:val="00677B63"/>
    <w:rsid w:val="00677C0E"/>
    <w:rsid w:val="00677DCD"/>
    <w:rsid w:val="00680156"/>
    <w:rsid w:val="0068022F"/>
    <w:rsid w:val="0068067F"/>
    <w:rsid w:val="006808FC"/>
    <w:rsid w:val="0068175E"/>
    <w:rsid w:val="006818A7"/>
    <w:rsid w:val="0068253E"/>
    <w:rsid w:val="00682994"/>
    <w:rsid w:val="00682B8E"/>
    <w:rsid w:val="00683541"/>
    <w:rsid w:val="00683807"/>
    <w:rsid w:val="00683C41"/>
    <w:rsid w:val="00684D97"/>
    <w:rsid w:val="0068501D"/>
    <w:rsid w:val="00685600"/>
    <w:rsid w:val="0068593D"/>
    <w:rsid w:val="00686A6F"/>
    <w:rsid w:val="00686E13"/>
    <w:rsid w:val="00687261"/>
    <w:rsid w:val="00687ACC"/>
    <w:rsid w:val="00690443"/>
    <w:rsid w:val="00690931"/>
    <w:rsid w:val="00690FAB"/>
    <w:rsid w:val="00691163"/>
    <w:rsid w:val="0069116F"/>
    <w:rsid w:val="006914C5"/>
    <w:rsid w:val="00691863"/>
    <w:rsid w:val="0069189D"/>
    <w:rsid w:val="00691946"/>
    <w:rsid w:val="0069203D"/>
    <w:rsid w:val="006920F9"/>
    <w:rsid w:val="0069253C"/>
    <w:rsid w:val="006925F2"/>
    <w:rsid w:val="00692820"/>
    <w:rsid w:val="00693A9B"/>
    <w:rsid w:val="00693CE3"/>
    <w:rsid w:val="00694461"/>
    <w:rsid w:val="00694484"/>
    <w:rsid w:val="0069550D"/>
    <w:rsid w:val="00695614"/>
    <w:rsid w:val="006957BA"/>
    <w:rsid w:val="00695C5C"/>
    <w:rsid w:val="006965F5"/>
    <w:rsid w:val="00696734"/>
    <w:rsid w:val="00696FCC"/>
    <w:rsid w:val="006975B9"/>
    <w:rsid w:val="006A023A"/>
    <w:rsid w:val="006A02C2"/>
    <w:rsid w:val="006A02DC"/>
    <w:rsid w:val="006A07C1"/>
    <w:rsid w:val="006A1639"/>
    <w:rsid w:val="006A17BC"/>
    <w:rsid w:val="006A1D73"/>
    <w:rsid w:val="006A2467"/>
    <w:rsid w:val="006A25BD"/>
    <w:rsid w:val="006A309D"/>
    <w:rsid w:val="006A30D5"/>
    <w:rsid w:val="006A31F5"/>
    <w:rsid w:val="006A3353"/>
    <w:rsid w:val="006A3582"/>
    <w:rsid w:val="006A3C53"/>
    <w:rsid w:val="006A3F93"/>
    <w:rsid w:val="006A4277"/>
    <w:rsid w:val="006A47D6"/>
    <w:rsid w:val="006A49A6"/>
    <w:rsid w:val="006A4F4B"/>
    <w:rsid w:val="006A508B"/>
    <w:rsid w:val="006A54D2"/>
    <w:rsid w:val="006A568C"/>
    <w:rsid w:val="006A5754"/>
    <w:rsid w:val="006A576A"/>
    <w:rsid w:val="006A5773"/>
    <w:rsid w:val="006A5965"/>
    <w:rsid w:val="006A5C46"/>
    <w:rsid w:val="006A615D"/>
    <w:rsid w:val="006A6524"/>
    <w:rsid w:val="006A674E"/>
    <w:rsid w:val="006A6A45"/>
    <w:rsid w:val="006A6AAC"/>
    <w:rsid w:val="006A6ACB"/>
    <w:rsid w:val="006A7298"/>
    <w:rsid w:val="006A7402"/>
    <w:rsid w:val="006A7563"/>
    <w:rsid w:val="006A79F3"/>
    <w:rsid w:val="006A7A80"/>
    <w:rsid w:val="006B02B9"/>
    <w:rsid w:val="006B0647"/>
    <w:rsid w:val="006B07E8"/>
    <w:rsid w:val="006B0813"/>
    <w:rsid w:val="006B0C9C"/>
    <w:rsid w:val="006B1639"/>
    <w:rsid w:val="006B1955"/>
    <w:rsid w:val="006B1BB7"/>
    <w:rsid w:val="006B201A"/>
    <w:rsid w:val="006B21EE"/>
    <w:rsid w:val="006B2212"/>
    <w:rsid w:val="006B2283"/>
    <w:rsid w:val="006B234F"/>
    <w:rsid w:val="006B2705"/>
    <w:rsid w:val="006B290B"/>
    <w:rsid w:val="006B2963"/>
    <w:rsid w:val="006B2E52"/>
    <w:rsid w:val="006B31A9"/>
    <w:rsid w:val="006B3646"/>
    <w:rsid w:val="006B42E3"/>
    <w:rsid w:val="006B47EB"/>
    <w:rsid w:val="006B57DA"/>
    <w:rsid w:val="006B58B3"/>
    <w:rsid w:val="006B58BA"/>
    <w:rsid w:val="006B5981"/>
    <w:rsid w:val="006B5DDA"/>
    <w:rsid w:val="006B622E"/>
    <w:rsid w:val="006B6256"/>
    <w:rsid w:val="006B62C2"/>
    <w:rsid w:val="006B65E1"/>
    <w:rsid w:val="006B6B97"/>
    <w:rsid w:val="006B71C3"/>
    <w:rsid w:val="006B74A1"/>
    <w:rsid w:val="006B77B0"/>
    <w:rsid w:val="006B7ECA"/>
    <w:rsid w:val="006C142F"/>
    <w:rsid w:val="006C16BF"/>
    <w:rsid w:val="006C1833"/>
    <w:rsid w:val="006C1C45"/>
    <w:rsid w:val="006C1C77"/>
    <w:rsid w:val="006C1C93"/>
    <w:rsid w:val="006C1E02"/>
    <w:rsid w:val="006C219E"/>
    <w:rsid w:val="006C223B"/>
    <w:rsid w:val="006C251C"/>
    <w:rsid w:val="006C3E41"/>
    <w:rsid w:val="006C3E9B"/>
    <w:rsid w:val="006C4099"/>
    <w:rsid w:val="006C45DB"/>
    <w:rsid w:val="006C49C2"/>
    <w:rsid w:val="006C4E26"/>
    <w:rsid w:val="006C4FE9"/>
    <w:rsid w:val="006C5170"/>
    <w:rsid w:val="006C536D"/>
    <w:rsid w:val="006C5E5C"/>
    <w:rsid w:val="006C5F88"/>
    <w:rsid w:val="006C65A5"/>
    <w:rsid w:val="006C66C4"/>
    <w:rsid w:val="006C6D95"/>
    <w:rsid w:val="006C7661"/>
    <w:rsid w:val="006C790E"/>
    <w:rsid w:val="006D0852"/>
    <w:rsid w:val="006D0D6F"/>
    <w:rsid w:val="006D1437"/>
    <w:rsid w:val="006D221F"/>
    <w:rsid w:val="006D2511"/>
    <w:rsid w:val="006D2751"/>
    <w:rsid w:val="006D301A"/>
    <w:rsid w:val="006D36D7"/>
    <w:rsid w:val="006D3DE0"/>
    <w:rsid w:val="006D4676"/>
    <w:rsid w:val="006D471C"/>
    <w:rsid w:val="006D4798"/>
    <w:rsid w:val="006D53E5"/>
    <w:rsid w:val="006D54FE"/>
    <w:rsid w:val="006D5C2F"/>
    <w:rsid w:val="006D60A2"/>
    <w:rsid w:val="006D639F"/>
    <w:rsid w:val="006D687B"/>
    <w:rsid w:val="006D6B65"/>
    <w:rsid w:val="006D7428"/>
    <w:rsid w:val="006D749A"/>
    <w:rsid w:val="006D7C75"/>
    <w:rsid w:val="006E007E"/>
    <w:rsid w:val="006E09B0"/>
    <w:rsid w:val="006E0D0E"/>
    <w:rsid w:val="006E108D"/>
    <w:rsid w:val="006E1155"/>
    <w:rsid w:val="006E12DA"/>
    <w:rsid w:val="006E13F5"/>
    <w:rsid w:val="006E1A19"/>
    <w:rsid w:val="006E1C47"/>
    <w:rsid w:val="006E1C7B"/>
    <w:rsid w:val="006E1CE2"/>
    <w:rsid w:val="006E1FE6"/>
    <w:rsid w:val="006E203B"/>
    <w:rsid w:val="006E2A81"/>
    <w:rsid w:val="006E2C6C"/>
    <w:rsid w:val="006E2EC0"/>
    <w:rsid w:val="006E309F"/>
    <w:rsid w:val="006E3325"/>
    <w:rsid w:val="006E37B6"/>
    <w:rsid w:val="006E398E"/>
    <w:rsid w:val="006E40B5"/>
    <w:rsid w:val="006E422B"/>
    <w:rsid w:val="006E47A3"/>
    <w:rsid w:val="006E4884"/>
    <w:rsid w:val="006E4BB1"/>
    <w:rsid w:val="006E4BD1"/>
    <w:rsid w:val="006E4CB7"/>
    <w:rsid w:val="006E55D4"/>
    <w:rsid w:val="006E5616"/>
    <w:rsid w:val="006E5808"/>
    <w:rsid w:val="006E5C11"/>
    <w:rsid w:val="006E5F00"/>
    <w:rsid w:val="006E6232"/>
    <w:rsid w:val="006E626A"/>
    <w:rsid w:val="006E6B34"/>
    <w:rsid w:val="006E6F2D"/>
    <w:rsid w:val="006E73D8"/>
    <w:rsid w:val="006E777E"/>
    <w:rsid w:val="006E7C76"/>
    <w:rsid w:val="006E7D08"/>
    <w:rsid w:val="006F02A2"/>
    <w:rsid w:val="006F02E6"/>
    <w:rsid w:val="006F0FB5"/>
    <w:rsid w:val="006F1482"/>
    <w:rsid w:val="006F15A0"/>
    <w:rsid w:val="006F177D"/>
    <w:rsid w:val="006F1872"/>
    <w:rsid w:val="006F1958"/>
    <w:rsid w:val="006F198B"/>
    <w:rsid w:val="006F22AD"/>
    <w:rsid w:val="006F296D"/>
    <w:rsid w:val="006F2BFC"/>
    <w:rsid w:val="006F3A8A"/>
    <w:rsid w:val="006F3E67"/>
    <w:rsid w:val="006F4059"/>
    <w:rsid w:val="006F4155"/>
    <w:rsid w:val="006F4A36"/>
    <w:rsid w:val="006F4D31"/>
    <w:rsid w:val="006F4DC7"/>
    <w:rsid w:val="006F571E"/>
    <w:rsid w:val="006F5878"/>
    <w:rsid w:val="006F5B76"/>
    <w:rsid w:val="006F5C80"/>
    <w:rsid w:val="006F5CE7"/>
    <w:rsid w:val="006F6445"/>
    <w:rsid w:val="006F678B"/>
    <w:rsid w:val="006F68DA"/>
    <w:rsid w:val="006F6997"/>
    <w:rsid w:val="006F6AB2"/>
    <w:rsid w:val="006F6EC6"/>
    <w:rsid w:val="006F7425"/>
    <w:rsid w:val="006F79EC"/>
    <w:rsid w:val="006F7B5F"/>
    <w:rsid w:val="007007CB"/>
    <w:rsid w:val="00700F76"/>
    <w:rsid w:val="007014F2"/>
    <w:rsid w:val="0070172C"/>
    <w:rsid w:val="00702335"/>
    <w:rsid w:val="007028FB"/>
    <w:rsid w:val="00703678"/>
    <w:rsid w:val="0070382B"/>
    <w:rsid w:val="0070395E"/>
    <w:rsid w:val="007041F7"/>
    <w:rsid w:val="00704A8F"/>
    <w:rsid w:val="00704B75"/>
    <w:rsid w:val="00704C23"/>
    <w:rsid w:val="00704EB1"/>
    <w:rsid w:val="00705DDC"/>
    <w:rsid w:val="0070604E"/>
    <w:rsid w:val="00706410"/>
    <w:rsid w:val="00706679"/>
    <w:rsid w:val="00706A59"/>
    <w:rsid w:val="00706C93"/>
    <w:rsid w:val="00706E05"/>
    <w:rsid w:val="0070707C"/>
    <w:rsid w:val="007075F8"/>
    <w:rsid w:val="00707656"/>
    <w:rsid w:val="00710001"/>
    <w:rsid w:val="007103D3"/>
    <w:rsid w:val="00710C4C"/>
    <w:rsid w:val="007113BB"/>
    <w:rsid w:val="0071144E"/>
    <w:rsid w:val="00711D1B"/>
    <w:rsid w:val="0071206D"/>
    <w:rsid w:val="007126BE"/>
    <w:rsid w:val="00712AAC"/>
    <w:rsid w:val="00712C1A"/>
    <w:rsid w:val="00712F45"/>
    <w:rsid w:val="00713145"/>
    <w:rsid w:val="00713259"/>
    <w:rsid w:val="00713611"/>
    <w:rsid w:val="00713820"/>
    <w:rsid w:val="00713948"/>
    <w:rsid w:val="00713CCA"/>
    <w:rsid w:val="0071445D"/>
    <w:rsid w:val="00714696"/>
    <w:rsid w:val="00714DBF"/>
    <w:rsid w:val="00715363"/>
    <w:rsid w:val="0071550F"/>
    <w:rsid w:val="00715547"/>
    <w:rsid w:val="00715D9B"/>
    <w:rsid w:val="00715E9E"/>
    <w:rsid w:val="00715FF5"/>
    <w:rsid w:val="0071660A"/>
    <w:rsid w:val="00716ADB"/>
    <w:rsid w:val="00716C91"/>
    <w:rsid w:val="00717085"/>
    <w:rsid w:val="007177EC"/>
    <w:rsid w:val="007178EA"/>
    <w:rsid w:val="00717969"/>
    <w:rsid w:val="007179C3"/>
    <w:rsid w:val="0072015E"/>
    <w:rsid w:val="007203D0"/>
    <w:rsid w:val="00720505"/>
    <w:rsid w:val="00720AE3"/>
    <w:rsid w:val="00720BC2"/>
    <w:rsid w:val="00721207"/>
    <w:rsid w:val="00721886"/>
    <w:rsid w:val="00721DEC"/>
    <w:rsid w:val="0072201D"/>
    <w:rsid w:val="007223BE"/>
    <w:rsid w:val="007223C8"/>
    <w:rsid w:val="007223EA"/>
    <w:rsid w:val="00722BFC"/>
    <w:rsid w:val="007230C2"/>
    <w:rsid w:val="00723567"/>
    <w:rsid w:val="007236E3"/>
    <w:rsid w:val="007238A4"/>
    <w:rsid w:val="00724EDD"/>
    <w:rsid w:val="00725382"/>
    <w:rsid w:val="007253AB"/>
    <w:rsid w:val="007256C0"/>
    <w:rsid w:val="00725AFC"/>
    <w:rsid w:val="00725F11"/>
    <w:rsid w:val="00726125"/>
    <w:rsid w:val="00726E93"/>
    <w:rsid w:val="00726F54"/>
    <w:rsid w:val="00727072"/>
    <w:rsid w:val="00727547"/>
    <w:rsid w:val="00727B7F"/>
    <w:rsid w:val="00730140"/>
    <w:rsid w:val="007303F0"/>
    <w:rsid w:val="007304DF"/>
    <w:rsid w:val="00730A6C"/>
    <w:rsid w:val="00731824"/>
    <w:rsid w:val="00731DDD"/>
    <w:rsid w:val="007322BC"/>
    <w:rsid w:val="00732443"/>
    <w:rsid w:val="007324AA"/>
    <w:rsid w:val="00732AE4"/>
    <w:rsid w:val="00733126"/>
    <w:rsid w:val="00734367"/>
    <w:rsid w:val="007345F4"/>
    <w:rsid w:val="007352A9"/>
    <w:rsid w:val="00735D13"/>
    <w:rsid w:val="007364FA"/>
    <w:rsid w:val="00736535"/>
    <w:rsid w:val="00736639"/>
    <w:rsid w:val="007370F0"/>
    <w:rsid w:val="007374AC"/>
    <w:rsid w:val="007376C7"/>
    <w:rsid w:val="007403C7"/>
    <w:rsid w:val="00740526"/>
    <w:rsid w:val="0074096E"/>
    <w:rsid w:val="00741430"/>
    <w:rsid w:val="00741D1A"/>
    <w:rsid w:val="00742278"/>
    <w:rsid w:val="00742A6D"/>
    <w:rsid w:val="00742CD1"/>
    <w:rsid w:val="00742D19"/>
    <w:rsid w:val="00742FF0"/>
    <w:rsid w:val="0074343D"/>
    <w:rsid w:val="0074366A"/>
    <w:rsid w:val="00743673"/>
    <w:rsid w:val="00743C08"/>
    <w:rsid w:val="00743E3F"/>
    <w:rsid w:val="007442D3"/>
    <w:rsid w:val="007442FC"/>
    <w:rsid w:val="00744484"/>
    <w:rsid w:val="0074561A"/>
    <w:rsid w:val="00746A27"/>
    <w:rsid w:val="00746A7B"/>
    <w:rsid w:val="00747023"/>
    <w:rsid w:val="007470C5"/>
    <w:rsid w:val="007475A7"/>
    <w:rsid w:val="0075086A"/>
    <w:rsid w:val="007509D3"/>
    <w:rsid w:val="00751369"/>
    <w:rsid w:val="007514A4"/>
    <w:rsid w:val="00751AC5"/>
    <w:rsid w:val="007531E8"/>
    <w:rsid w:val="00753289"/>
    <w:rsid w:val="00753D58"/>
    <w:rsid w:val="0075449E"/>
    <w:rsid w:val="007544D4"/>
    <w:rsid w:val="0075467A"/>
    <w:rsid w:val="0075473D"/>
    <w:rsid w:val="00754DA4"/>
    <w:rsid w:val="0075532D"/>
    <w:rsid w:val="00755421"/>
    <w:rsid w:val="0075589B"/>
    <w:rsid w:val="00755BB3"/>
    <w:rsid w:val="00756EB0"/>
    <w:rsid w:val="007570FB"/>
    <w:rsid w:val="0075716E"/>
    <w:rsid w:val="007574D9"/>
    <w:rsid w:val="00757825"/>
    <w:rsid w:val="00757D13"/>
    <w:rsid w:val="00757E8A"/>
    <w:rsid w:val="00760565"/>
    <w:rsid w:val="0076089C"/>
    <w:rsid w:val="00760F51"/>
    <w:rsid w:val="0076113B"/>
    <w:rsid w:val="0076123E"/>
    <w:rsid w:val="007624A6"/>
    <w:rsid w:val="00762562"/>
    <w:rsid w:val="00762C8C"/>
    <w:rsid w:val="007630B5"/>
    <w:rsid w:val="007630D6"/>
    <w:rsid w:val="0076320B"/>
    <w:rsid w:val="00763277"/>
    <w:rsid w:val="00763527"/>
    <w:rsid w:val="00763BF7"/>
    <w:rsid w:val="00763EF0"/>
    <w:rsid w:val="007642C5"/>
    <w:rsid w:val="00764CA7"/>
    <w:rsid w:val="00765170"/>
    <w:rsid w:val="007651B4"/>
    <w:rsid w:val="00765C61"/>
    <w:rsid w:val="007669DA"/>
    <w:rsid w:val="00766D9A"/>
    <w:rsid w:val="00766F2D"/>
    <w:rsid w:val="00767252"/>
    <w:rsid w:val="00767279"/>
    <w:rsid w:val="007676C5"/>
    <w:rsid w:val="0076799B"/>
    <w:rsid w:val="00767DA3"/>
    <w:rsid w:val="00767DAC"/>
    <w:rsid w:val="00770386"/>
    <w:rsid w:val="00770BA0"/>
    <w:rsid w:val="00771058"/>
    <w:rsid w:val="00771440"/>
    <w:rsid w:val="00771AAD"/>
    <w:rsid w:val="00771ABB"/>
    <w:rsid w:val="00771DA9"/>
    <w:rsid w:val="00772C77"/>
    <w:rsid w:val="00773278"/>
    <w:rsid w:val="0077360B"/>
    <w:rsid w:val="007736CB"/>
    <w:rsid w:val="00773879"/>
    <w:rsid w:val="007739A7"/>
    <w:rsid w:val="00773C73"/>
    <w:rsid w:val="00774392"/>
    <w:rsid w:val="0077439D"/>
    <w:rsid w:val="00774C35"/>
    <w:rsid w:val="00775567"/>
    <w:rsid w:val="007769CC"/>
    <w:rsid w:val="0077700D"/>
    <w:rsid w:val="007771DF"/>
    <w:rsid w:val="00777472"/>
    <w:rsid w:val="00777619"/>
    <w:rsid w:val="0077783F"/>
    <w:rsid w:val="0077798F"/>
    <w:rsid w:val="007779B5"/>
    <w:rsid w:val="00777E2E"/>
    <w:rsid w:val="0078016C"/>
    <w:rsid w:val="0078180C"/>
    <w:rsid w:val="00781952"/>
    <w:rsid w:val="00781C2E"/>
    <w:rsid w:val="0078247F"/>
    <w:rsid w:val="00782916"/>
    <w:rsid w:val="00782F19"/>
    <w:rsid w:val="00783656"/>
    <w:rsid w:val="007843DF"/>
    <w:rsid w:val="00784C7C"/>
    <w:rsid w:val="00784CB9"/>
    <w:rsid w:val="00784D87"/>
    <w:rsid w:val="00784F4E"/>
    <w:rsid w:val="007850C8"/>
    <w:rsid w:val="00785928"/>
    <w:rsid w:val="00785B36"/>
    <w:rsid w:val="00785B7B"/>
    <w:rsid w:val="00785CCC"/>
    <w:rsid w:val="00785E94"/>
    <w:rsid w:val="007861A8"/>
    <w:rsid w:val="007863F7"/>
    <w:rsid w:val="007864D0"/>
    <w:rsid w:val="00786B4C"/>
    <w:rsid w:val="00786DB3"/>
    <w:rsid w:val="007873BA"/>
    <w:rsid w:val="00790233"/>
    <w:rsid w:val="007905D5"/>
    <w:rsid w:val="00790DA7"/>
    <w:rsid w:val="007918AC"/>
    <w:rsid w:val="00791A03"/>
    <w:rsid w:val="00792407"/>
    <w:rsid w:val="00792592"/>
    <w:rsid w:val="0079287A"/>
    <w:rsid w:val="00792ACF"/>
    <w:rsid w:val="00792B32"/>
    <w:rsid w:val="007932E7"/>
    <w:rsid w:val="00793345"/>
    <w:rsid w:val="00793901"/>
    <w:rsid w:val="00793E71"/>
    <w:rsid w:val="007940DA"/>
    <w:rsid w:val="007942F9"/>
    <w:rsid w:val="007944CE"/>
    <w:rsid w:val="00794CD3"/>
    <w:rsid w:val="00794E04"/>
    <w:rsid w:val="007954D2"/>
    <w:rsid w:val="00795BAA"/>
    <w:rsid w:val="00795FBF"/>
    <w:rsid w:val="00796007"/>
    <w:rsid w:val="007961E7"/>
    <w:rsid w:val="007966FE"/>
    <w:rsid w:val="00796818"/>
    <w:rsid w:val="00796940"/>
    <w:rsid w:val="00796A85"/>
    <w:rsid w:val="00796E4A"/>
    <w:rsid w:val="0079715D"/>
    <w:rsid w:val="0079759E"/>
    <w:rsid w:val="007976E1"/>
    <w:rsid w:val="00797819"/>
    <w:rsid w:val="0079790D"/>
    <w:rsid w:val="007A0043"/>
    <w:rsid w:val="007A02BB"/>
    <w:rsid w:val="007A04C1"/>
    <w:rsid w:val="007A078C"/>
    <w:rsid w:val="007A07F2"/>
    <w:rsid w:val="007A1853"/>
    <w:rsid w:val="007A1B5E"/>
    <w:rsid w:val="007A2256"/>
    <w:rsid w:val="007A2274"/>
    <w:rsid w:val="007A234B"/>
    <w:rsid w:val="007A2E8E"/>
    <w:rsid w:val="007A3C0F"/>
    <w:rsid w:val="007A3C98"/>
    <w:rsid w:val="007A50A2"/>
    <w:rsid w:val="007A51A6"/>
    <w:rsid w:val="007A5314"/>
    <w:rsid w:val="007A5481"/>
    <w:rsid w:val="007A5830"/>
    <w:rsid w:val="007A5D18"/>
    <w:rsid w:val="007A5FC0"/>
    <w:rsid w:val="007A62CD"/>
    <w:rsid w:val="007A63C4"/>
    <w:rsid w:val="007A7191"/>
    <w:rsid w:val="007A74CD"/>
    <w:rsid w:val="007A7612"/>
    <w:rsid w:val="007A7C20"/>
    <w:rsid w:val="007B0314"/>
    <w:rsid w:val="007B06E8"/>
    <w:rsid w:val="007B075D"/>
    <w:rsid w:val="007B0B58"/>
    <w:rsid w:val="007B1028"/>
    <w:rsid w:val="007B11B3"/>
    <w:rsid w:val="007B14A4"/>
    <w:rsid w:val="007B1586"/>
    <w:rsid w:val="007B1B3D"/>
    <w:rsid w:val="007B1C69"/>
    <w:rsid w:val="007B2250"/>
    <w:rsid w:val="007B2566"/>
    <w:rsid w:val="007B2886"/>
    <w:rsid w:val="007B3E4A"/>
    <w:rsid w:val="007B3F7A"/>
    <w:rsid w:val="007B41CD"/>
    <w:rsid w:val="007B470B"/>
    <w:rsid w:val="007B4B4A"/>
    <w:rsid w:val="007B4E69"/>
    <w:rsid w:val="007B4E9A"/>
    <w:rsid w:val="007B50ED"/>
    <w:rsid w:val="007B5482"/>
    <w:rsid w:val="007B5E23"/>
    <w:rsid w:val="007B5FB9"/>
    <w:rsid w:val="007B600A"/>
    <w:rsid w:val="007B6DFF"/>
    <w:rsid w:val="007B712A"/>
    <w:rsid w:val="007B723E"/>
    <w:rsid w:val="007B72F5"/>
    <w:rsid w:val="007B7B76"/>
    <w:rsid w:val="007B7C8F"/>
    <w:rsid w:val="007B7DB1"/>
    <w:rsid w:val="007B7E39"/>
    <w:rsid w:val="007B7EC8"/>
    <w:rsid w:val="007C0304"/>
    <w:rsid w:val="007C0307"/>
    <w:rsid w:val="007C0A7A"/>
    <w:rsid w:val="007C1132"/>
    <w:rsid w:val="007C1416"/>
    <w:rsid w:val="007C1766"/>
    <w:rsid w:val="007C2319"/>
    <w:rsid w:val="007C23ED"/>
    <w:rsid w:val="007C281C"/>
    <w:rsid w:val="007C28A8"/>
    <w:rsid w:val="007C2DE8"/>
    <w:rsid w:val="007C2E52"/>
    <w:rsid w:val="007C31AC"/>
    <w:rsid w:val="007C33C4"/>
    <w:rsid w:val="007C372A"/>
    <w:rsid w:val="007C3801"/>
    <w:rsid w:val="007C381F"/>
    <w:rsid w:val="007C395C"/>
    <w:rsid w:val="007C4184"/>
    <w:rsid w:val="007C4309"/>
    <w:rsid w:val="007C4660"/>
    <w:rsid w:val="007C46CE"/>
    <w:rsid w:val="007C47FE"/>
    <w:rsid w:val="007C4816"/>
    <w:rsid w:val="007C4CBC"/>
    <w:rsid w:val="007C5127"/>
    <w:rsid w:val="007C544C"/>
    <w:rsid w:val="007C570A"/>
    <w:rsid w:val="007C5F12"/>
    <w:rsid w:val="007C6161"/>
    <w:rsid w:val="007C6357"/>
    <w:rsid w:val="007C64E6"/>
    <w:rsid w:val="007C6704"/>
    <w:rsid w:val="007C6BD7"/>
    <w:rsid w:val="007C6DFC"/>
    <w:rsid w:val="007C6F33"/>
    <w:rsid w:val="007C7603"/>
    <w:rsid w:val="007C7C2F"/>
    <w:rsid w:val="007D012D"/>
    <w:rsid w:val="007D0AB1"/>
    <w:rsid w:val="007D0C4D"/>
    <w:rsid w:val="007D16A4"/>
    <w:rsid w:val="007D1861"/>
    <w:rsid w:val="007D1CD9"/>
    <w:rsid w:val="007D1F02"/>
    <w:rsid w:val="007D2160"/>
    <w:rsid w:val="007D2FDD"/>
    <w:rsid w:val="007D3402"/>
    <w:rsid w:val="007D3589"/>
    <w:rsid w:val="007D3F46"/>
    <w:rsid w:val="007D4BC8"/>
    <w:rsid w:val="007D4FDD"/>
    <w:rsid w:val="007D51B0"/>
    <w:rsid w:val="007D575A"/>
    <w:rsid w:val="007D5EC5"/>
    <w:rsid w:val="007D61CF"/>
    <w:rsid w:val="007D63AF"/>
    <w:rsid w:val="007D6441"/>
    <w:rsid w:val="007D67C9"/>
    <w:rsid w:val="007D68AB"/>
    <w:rsid w:val="007D6D91"/>
    <w:rsid w:val="007D6DDB"/>
    <w:rsid w:val="007D7054"/>
    <w:rsid w:val="007D741A"/>
    <w:rsid w:val="007D743F"/>
    <w:rsid w:val="007D791E"/>
    <w:rsid w:val="007E0537"/>
    <w:rsid w:val="007E06AB"/>
    <w:rsid w:val="007E0B43"/>
    <w:rsid w:val="007E0B62"/>
    <w:rsid w:val="007E0D7D"/>
    <w:rsid w:val="007E1022"/>
    <w:rsid w:val="007E13AA"/>
    <w:rsid w:val="007E1541"/>
    <w:rsid w:val="007E1EE4"/>
    <w:rsid w:val="007E2293"/>
    <w:rsid w:val="007E232D"/>
    <w:rsid w:val="007E2EA7"/>
    <w:rsid w:val="007E30BE"/>
    <w:rsid w:val="007E35C3"/>
    <w:rsid w:val="007E3926"/>
    <w:rsid w:val="007E3AA7"/>
    <w:rsid w:val="007E40DC"/>
    <w:rsid w:val="007E552D"/>
    <w:rsid w:val="007E5672"/>
    <w:rsid w:val="007E5D03"/>
    <w:rsid w:val="007E5E68"/>
    <w:rsid w:val="007E697F"/>
    <w:rsid w:val="007E6A85"/>
    <w:rsid w:val="007E7507"/>
    <w:rsid w:val="007E76A5"/>
    <w:rsid w:val="007E7716"/>
    <w:rsid w:val="007E77FF"/>
    <w:rsid w:val="007E7BF7"/>
    <w:rsid w:val="007E7D5E"/>
    <w:rsid w:val="007F01DA"/>
    <w:rsid w:val="007F03CD"/>
    <w:rsid w:val="007F05A7"/>
    <w:rsid w:val="007F062D"/>
    <w:rsid w:val="007F0ADA"/>
    <w:rsid w:val="007F0D98"/>
    <w:rsid w:val="007F0E98"/>
    <w:rsid w:val="007F1270"/>
    <w:rsid w:val="007F148C"/>
    <w:rsid w:val="007F1960"/>
    <w:rsid w:val="007F19DD"/>
    <w:rsid w:val="007F2202"/>
    <w:rsid w:val="007F2C0B"/>
    <w:rsid w:val="007F2E21"/>
    <w:rsid w:val="007F310A"/>
    <w:rsid w:val="007F3C67"/>
    <w:rsid w:val="007F3F52"/>
    <w:rsid w:val="007F4283"/>
    <w:rsid w:val="007F49C6"/>
    <w:rsid w:val="007F4BB3"/>
    <w:rsid w:val="007F5196"/>
    <w:rsid w:val="007F5281"/>
    <w:rsid w:val="007F5341"/>
    <w:rsid w:val="007F54C0"/>
    <w:rsid w:val="007F57AE"/>
    <w:rsid w:val="007F58F2"/>
    <w:rsid w:val="007F5C84"/>
    <w:rsid w:val="007F5D70"/>
    <w:rsid w:val="007F750F"/>
    <w:rsid w:val="007F7590"/>
    <w:rsid w:val="007F77D6"/>
    <w:rsid w:val="0080038F"/>
    <w:rsid w:val="008005BA"/>
    <w:rsid w:val="0080092E"/>
    <w:rsid w:val="00800B82"/>
    <w:rsid w:val="00800D4B"/>
    <w:rsid w:val="00801AC8"/>
    <w:rsid w:val="00801CB3"/>
    <w:rsid w:val="008026D8"/>
    <w:rsid w:val="00802973"/>
    <w:rsid w:val="00802C33"/>
    <w:rsid w:val="00802F50"/>
    <w:rsid w:val="00803237"/>
    <w:rsid w:val="00803545"/>
    <w:rsid w:val="008035E4"/>
    <w:rsid w:val="0080410B"/>
    <w:rsid w:val="008051C5"/>
    <w:rsid w:val="0080526D"/>
    <w:rsid w:val="008053B5"/>
    <w:rsid w:val="00805DD4"/>
    <w:rsid w:val="00805E58"/>
    <w:rsid w:val="008069FA"/>
    <w:rsid w:val="00806C25"/>
    <w:rsid w:val="00807006"/>
    <w:rsid w:val="0080730D"/>
    <w:rsid w:val="00807A97"/>
    <w:rsid w:val="00807AFB"/>
    <w:rsid w:val="00807B0B"/>
    <w:rsid w:val="008100B3"/>
    <w:rsid w:val="00810422"/>
    <w:rsid w:val="0081065E"/>
    <w:rsid w:val="00810A48"/>
    <w:rsid w:val="00810A7F"/>
    <w:rsid w:val="00811269"/>
    <w:rsid w:val="00812121"/>
    <w:rsid w:val="008121F9"/>
    <w:rsid w:val="00812403"/>
    <w:rsid w:val="008124E0"/>
    <w:rsid w:val="00812FA6"/>
    <w:rsid w:val="008133BF"/>
    <w:rsid w:val="008144E2"/>
    <w:rsid w:val="00814CAA"/>
    <w:rsid w:val="00814D88"/>
    <w:rsid w:val="00814D8D"/>
    <w:rsid w:val="00815DF3"/>
    <w:rsid w:val="00815E18"/>
    <w:rsid w:val="00815EDB"/>
    <w:rsid w:val="00816C4A"/>
    <w:rsid w:val="008170D1"/>
    <w:rsid w:val="00817446"/>
    <w:rsid w:val="00817782"/>
    <w:rsid w:val="00817A0B"/>
    <w:rsid w:val="00817B72"/>
    <w:rsid w:val="00817BA3"/>
    <w:rsid w:val="00817EFB"/>
    <w:rsid w:val="00820561"/>
    <w:rsid w:val="00820E84"/>
    <w:rsid w:val="00820F92"/>
    <w:rsid w:val="00821795"/>
    <w:rsid w:val="008217CA"/>
    <w:rsid w:val="00821826"/>
    <w:rsid w:val="008218B6"/>
    <w:rsid w:val="00821D9D"/>
    <w:rsid w:val="00822679"/>
    <w:rsid w:val="008231F8"/>
    <w:rsid w:val="00823895"/>
    <w:rsid w:val="00824210"/>
    <w:rsid w:val="00824651"/>
    <w:rsid w:val="00824E18"/>
    <w:rsid w:val="00825138"/>
    <w:rsid w:val="0082523A"/>
    <w:rsid w:val="0082551C"/>
    <w:rsid w:val="00825E8F"/>
    <w:rsid w:val="00825FB3"/>
    <w:rsid w:val="00826087"/>
    <w:rsid w:val="008261B5"/>
    <w:rsid w:val="00826534"/>
    <w:rsid w:val="008265F5"/>
    <w:rsid w:val="0082669B"/>
    <w:rsid w:val="008266B1"/>
    <w:rsid w:val="0082695B"/>
    <w:rsid w:val="00826B95"/>
    <w:rsid w:val="00826CE7"/>
    <w:rsid w:val="00827533"/>
    <w:rsid w:val="00830299"/>
    <w:rsid w:val="00830B76"/>
    <w:rsid w:val="00830E69"/>
    <w:rsid w:val="00830ECF"/>
    <w:rsid w:val="00831A93"/>
    <w:rsid w:val="00831C1B"/>
    <w:rsid w:val="00831C23"/>
    <w:rsid w:val="008325AD"/>
    <w:rsid w:val="008326B1"/>
    <w:rsid w:val="00832779"/>
    <w:rsid w:val="008328B8"/>
    <w:rsid w:val="00832D2B"/>
    <w:rsid w:val="0083337C"/>
    <w:rsid w:val="00833495"/>
    <w:rsid w:val="008335ED"/>
    <w:rsid w:val="00833831"/>
    <w:rsid w:val="008338F2"/>
    <w:rsid w:val="008339D1"/>
    <w:rsid w:val="00833AE0"/>
    <w:rsid w:val="00834078"/>
    <w:rsid w:val="00834297"/>
    <w:rsid w:val="0083448B"/>
    <w:rsid w:val="008350AB"/>
    <w:rsid w:val="00835180"/>
    <w:rsid w:val="0083526B"/>
    <w:rsid w:val="008352C4"/>
    <w:rsid w:val="008352FE"/>
    <w:rsid w:val="00835619"/>
    <w:rsid w:val="0083570C"/>
    <w:rsid w:val="0083609C"/>
    <w:rsid w:val="008362F2"/>
    <w:rsid w:val="0083646F"/>
    <w:rsid w:val="00836795"/>
    <w:rsid w:val="00836A30"/>
    <w:rsid w:val="008372D4"/>
    <w:rsid w:val="00837ADA"/>
    <w:rsid w:val="00837B58"/>
    <w:rsid w:val="00837F9E"/>
    <w:rsid w:val="00837FD2"/>
    <w:rsid w:val="00840860"/>
    <w:rsid w:val="008408AF"/>
    <w:rsid w:val="008408C3"/>
    <w:rsid w:val="00840DD4"/>
    <w:rsid w:val="00840DE1"/>
    <w:rsid w:val="0084162A"/>
    <w:rsid w:val="008418F0"/>
    <w:rsid w:val="00841C6F"/>
    <w:rsid w:val="00841D66"/>
    <w:rsid w:val="00841DFF"/>
    <w:rsid w:val="00841E0F"/>
    <w:rsid w:val="00842864"/>
    <w:rsid w:val="00843717"/>
    <w:rsid w:val="00843B18"/>
    <w:rsid w:val="008443E8"/>
    <w:rsid w:val="00844CB3"/>
    <w:rsid w:val="0084542B"/>
    <w:rsid w:val="00845552"/>
    <w:rsid w:val="008456DF"/>
    <w:rsid w:val="008457C6"/>
    <w:rsid w:val="00845C64"/>
    <w:rsid w:val="00845F80"/>
    <w:rsid w:val="00847A5C"/>
    <w:rsid w:val="00847DBD"/>
    <w:rsid w:val="008501DD"/>
    <w:rsid w:val="0085035E"/>
    <w:rsid w:val="00850A6E"/>
    <w:rsid w:val="00850B4A"/>
    <w:rsid w:val="00850DCD"/>
    <w:rsid w:val="0085152D"/>
    <w:rsid w:val="008516FD"/>
    <w:rsid w:val="008518F5"/>
    <w:rsid w:val="00851958"/>
    <w:rsid w:val="00851AED"/>
    <w:rsid w:val="00851DAD"/>
    <w:rsid w:val="00852245"/>
    <w:rsid w:val="00852912"/>
    <w:rsid w:val="00853064"/>
    <w:rsid w:val="008531BC"/>
    <w:rsid w:val="0085396A"/>
    <w:rsid w:val="00854188"/>
    <w:rsid w:val="00854978"/>
    <w:rsid w:val="00854E77"/>
    <w:rsid w:val="00855011"/>
    <w:rsid w:val="00855208"/>
    <w:rsid w:val="00855576"/>
    <w:rsid w:val="00855809"/>
    <w:rsid w:val="00855ABF"/>
    <w:rsid w:val="00855F10"/>
    <w:rsid w:val="00856069"/>
    <w:rsid w:val="0085629F"/>
    <w:rsid w:val="00857207"/>
    <w:rsid w:val="00857250"/>
    <w:rsid w:val="008574EC"/>
    <w:rsid w:val="0085774E"/>
    <w:rsid w:val="008600BF"/>
    <w:rsid w:val="00860ADC"/>
    <w:rsid w:val="008614CF"/>
    <w:rsid w:val="008615A1"/>
    <w:rsid w:val="00861769"/>
    <w:rsid w:val="008617CE"/>
    <w:rsid w:val="008619E4"/>
    <w:rsid w:val="00861DED"/>
    <w:rsid w:val="00861F76"/>
    <w:rsid w:val="008623D0"/>
    <w:rsid w:val="00862770"/>
    <w:rsid w:val="008629F9"/>
    <w:rsid w:val="00862CE9"/>
    <w:rsid w:val="00862D16"/>
    <w:rsid w:val="008634DB"/>
    <w:rsid w:val="008636A6"/>
    <w:rsid w:val="00863C8F"/>
    <w:rsid w:val="00863CB7"/>
    <w:rsid w:val="008647A1"/>
    <w:rsid w:val="00864D03"/>
    <w:rsid w:val="00865042"/>
    <w:rsid w:val="00865174"/>
    <w:rsid w:val="0086527D"/>
    <w:rsid w:val="0086563C"/>
    <w:rsid w:val="00865CF2"/>
    <w:rsid w:val="00865EFD"/>
    <w:rsid w:val="00865FDE"/>
    <w:rsid w:val="008661BF"/>
    <w:rsid w:val="008663FE"/>
    <w:rsid w:val="00866443"/>
    <w:rsid w:val="00866BF0"/>
    <w:rsid w:val="008671F3"/>
    <w:rsid w:val="00867258"/>
    <w:rsid w:val="00867284"/>
    <w:rsid w:val="0087021F"/>
    <w:rsid w:val="0087043F"/>
    <w:rsid w:val="008706D7"/>
    <w:rsid w:val="00871217"/>
    <w:rsid w:val="00871749"/>
    <w:rsid w:val="008718DB"/>
    <w:rsid w:val="008719E1"/>
    <w:rsid w:val="00871BF3"/>
    <w:rsid w:val="00871E52"/>
    <w:rsid w:val="008720F4"/>
    <w:rsid w:val="00872434"/>
    <w:rsid w:val="00872B0B"/>
    <w:rsid w:val="0087301F"/>
    <w:rsid w:val="008736E4"/>
    <w:rsid w:val="0087373B"/>
    <w:rsid w:val="00873931"/>
    <w:rsid w:val="00873C6A"/>
    <w:rsid w:val="00873F3D"/>
    <w:rsid w:val="0087510D"/>
    <w:rsid w:val="00875388"/>
    <w:rsid w:val="008754E3"/>
    <w:rsid w:val="008755C7"/>
    <w:rsid w:val="00875648"/>
    <w:rsid w:val="0087570C"/>
    <w:rsid w:val="00875839"/>
    <w:rsid w:val="00875B6F"/>
    <w:rsid w:val="00875C35"/>
    <w:rsid w:val="00875EF6"/>
    <w:rsid w:val="00875FBD"/>
    <w:rsid w:val="0087624C"/>
    <w:rsid w:val="008764F6"/>
    <w:rsid w:val="00876696"/>
    <w:rsid w:val="00876B0D"/>
    <w:rsid w:val="00876C74"/>
    <w:rsid w:val="00876D0A"/>
    <w:rsid w:val="0087702C"/>
    <w:rsid w:val="008770FB"/>
    <w:rsid w:val="00877377"/>
    <w:rsid w:val="008773A0"/>
    <w:rsid w:val="008779F0"/>
    <w:rsid w:val="00877C23"/>
    <w:rsid w:val="00877CF3"/>
    <w:rsid w:val="00877DFC"/>
    <w:rsid w:val="008801BC"/>
    <w:rsid w:val="008801FC"/>
    <w:rsid w:val="00880A5D"/>
    <w:rsid w:val="00880D80"/>
    <w:rsid w:val="008811B5"/>
    <w:rsid w:val="008819A0"/>
    <w:rsid w:val="00882382"/>
    <w:rsid w:val="00882932"/>
    <w:rsid w:val="00882B0D"/>
    <w:rsid w:val="00882E03"/>
    <w:rsid w:val="00882ECA"/>
    <w:rsid w:val="00882FDB"/>
    <w:rsid w:val="008832D8"/>
    <w:rsid w:val="008834DB"/>
    <w:rsid w:val="00883D33"/>
    <w:rsid w:val="0088488B"/>
    <w:rsid w:val="00884947"/>
    <w:rsid w:val="00884B08"/>
    <w:rsid w:val="00884D54"/>
    <w:rsid w:val="00884F94"/>
    <w:rsid w:val="0088502A"/>
    <w:rsid w:val="008852BF"/>
    <w:rsid w:val="008859BC"/>
    <w:rsid w:val="00885B38"/>
    <w:rsid w:val="00885CE6"/>
    <w:rsid w:val="00885E03"/>
    <w:rsid w:val="00886165"/>
    <w:rsid w:val="008863E9"/>
    <w:rsid w:val="008864AC"/>
    <w:rsid w:val="00886511"/>
    <w:rsid w:val="0088662D"/>
    <w:rsid w:val="0088686C"/>
    <w:rsid w:val="008868BC"/>
    <w:rsid w:val="00886D26"/>
    <w:rsid w:val="00886EBC"/>
    <w:rsid w:val="0088751E"/>
    <w:rsid w:val="0088775E"/>
    <w:rsid w:val="008878BD"/>
    <w:rsid w:val="00887A40"/>
    <w:rsid w:val="00887A41"/>
    <w:rsid w:val="00887D97"/>
    <w:rsid w:val="00887EDE"/>
    <w:rsid w:val="00887EF6"/>
    <w:rsid w:val="008901CC"/>
    <w:rsid w:val="00890AE5"/>
    <w:rsid w:val="00890CE6"/>
    <w:rsid w:val="00890EBC"/>
    <w:rsid w:val="00891D66"/>
    <w:rsid w:val="0089207E"/>
    <w:rsid w:val="008929FC"/>
    <w:rsid w:val="008930EC"/>
    <w:rsid w:val="008937DF"/>
    <w:rsid w:val="00893969"/>
    <w:rsid w:val="00893A07"/>
    <w:rsid w:val="00894894"/>
    <w:rsid w:val="00894CDC"/>
    <w:rsid w:val="0089565C"/>
    <w:rsid w:val="008957C1"/>
    <w:rsid w:val="00895F3B"/>
    <w:rsid w:val="00896331"/>
    <w:rsid w:val="00896681"/>
    <w:rsid w:val="0089674C"/>
    <w:rsid w:val="0089712D"/>
    <w:rsid w:val="0089717D"/>
    <w:rsid w:val="008974E5"/>
    <w:rsid w:val="00897CD9"/>
    <w:rsid w:val="00897FFC"/>
    <w:rsid w:val="008A00A9"/>
    <w:rsid w:val="008A021B"/>
    <w:rsid w:val="008A04E9"/>
    <w:rsid w:val="008A0643"/>
    <w:rsid w:val="008A083D"/>
    <w:rsid w:val="008A1014"/>
    <w:rsid w:val="008A12ED"/>
    <w:rsid w:val="008A18F0"/>
    <w:rsid w:val="008A1960"/>
    <w:rsid w:val="008A1FFD"/>
    <w:rsid w:val="008A20EF"/>
    <w:rsid w:val="008A25D5"/>
    <w:rsid w:val="008A2A57"/>
    <w:rsid w:val="008A2E7E"/>
    <w:rsid w:val="008A3C8F"/>
    <w:rsid w:val="008A3DD8"/>
    <w:rsid w:val="008A4021"/>
    <w:rsid w:val="008A4133"/>
    <w:rsid w:val="008A4412"/>
    <w:rsid w:val="008A4534"/>
    <w:rsid w:val="008A48C2"/>
    <w:rsid w:val="008A5045"/>
    <w:rsid w:val="008A5392"/>
    <w:rsid w:val="008A555D"/>
    <w:rsid w:val="008A5569"/>
    <w:rsid w:val="008A56E3"/>
    <w:rsid w:val="008A5A3A"/>
    <w:rsid w:val="008A5A8E"/>
    <w:rsid w:val="008A63D1"/>
    <w:rsid w:val="008A665E"/>
    <w:rsid w:val="008A67BC"/>
    <w:rsid w:val="008A6D14"/>
    <w:rsid w:val="008A6EB0"/>
    <w:rsid w:val="008A74E3"/>
    <w:rsid w:val="008A750E"/>
    <w:rsid w:val="008A7E75"/>
    <w:rsid w:val="008A7F15"/>
    <w:rsid w:val="008B008E"/>
    <w:rsid w:val="008B0178"/>
    <w:rsid w:val="008B029E"/>
    <w:rsid w:val="008B049A"/>
    <w:rsid w:val="008B061A"/>
    <w:rsid w:val="008B09DB"/>
    <w:rsid w:val="008B09F0"/>
    <w:rsid w:val="008B10BA"/>
    <w:rsid w:val="008B1324"/>
    <w:rsid w:val="008B1976"/>
    <w:rsid w:val="008B22E0"/>
    <w:rsid w:val="008B284A"/>
    <w:rsid w:val="008B3286"/>
    <w:rsid w:val="008B33E8"/>
    <w:rsid w:val="008B3871"/>
    <w:rsid w:val="008B3BD4"/>
    <w:rsid w:val="008B3FDA"/>
    <w:rsid w:val="008B409A"/>
    <w:rsid w:val="008B432C"/>
    <w:rsid w:val="008B499D"/>
    <w:rsid w:val="008B4D03"/>
    <w:rsid w:val="008B5024"/>
    <w:rsid w:val="008B5454"/>
    <w:rsid w:val="008B5735"/>
    <w:rsid w:val="008B5822"/>
    <w:rsid w:val="008B5829"/>
    <w:rsid w:val="008B59CD"/>
    <w:rsid w:val="008B61C3"/>
    <w:rsid w:val="008B69C8"/>
    <w:rsid w:val="008B6F9B"/>
    <w:rsid w:val="008B78FC"/>
    <w:rsid w:val="008B7A1A"/>
    <w:rsid w:val="008B7BEB"/>
    <w:rsid w:val="008B7C25"/>
    <w:rsid w:val="008B7E6A"/>
    <w:rsid w:val="008B7FD3"/>
    <w:rsid w:val="008C009A"/>
    <w:rsid w:val="008C0A2F"/>
    <w:rsid w:val="008C1068"/>
    <w:rsid w:val="008C11A7"/>
    <w:rsid w:val="008C1FEA"/>
    <w:rsid w:val="008C277D"/>
    <w:rsid w:val="008C2DA3"/>
    <w:rsid w:val="008C339D"/>
    <w:rsid w:val="008C37A3"/>
    <w:rsid w:val="008C3905"/>
    <w:rsid w:val="008C39D4"/>
    <w:rsid w:val="008C3C85"/>
    <w:rsid w:val="008C421E"/>
    <w:rsid w:val="008C4593"/>
    <w:rsid w:val="008C4ADF"/>
    <w:rsid w:val="008C4BC7"/>
    <w:rsid w:val="008C5BAB"/>
    <w:rsid w:val="008C5DFC"/>
    <w:rsid w:val="008C621F"/>
    <w:rsid w:val="008C64CB"/>
    <w:rsid w:val="008C655E"/>
    <w:rsid w:val="008C6FAC"/>
    <w:rsid w:val="008C734A"/>
    <w:rsid w:val="008D012C"/>
    <w:rsid w:val="008D045B"/>
    <w:rsid w:val="008D04A2"/>
    <w:rsid w:val="008D05B0"/>
    <w:rsid w:val="008D068A"/>
    <w:rsid w:val="008D0865"/>
    <w:rsid w:val="008D1119"/>
    <w:rsid w:val="008D16BA"/>
    <w:rsid w:val="008D17D6"/>
    <w:rsid w:val="008D19E7"/>
    <w:rsid w:val="008D1AA3"/>
    <w:rsid w:val="008D1CAB"/>
    <w:rsid w:val="008D1F51"/>
    <w:rsid w:val="008D2188"/>
    <w:rsid w:val="008D2752"/>
    <w:rsid w:val="008D2763"/>
    <w:rsid w:val="008D2B70"/>
    <w:rsid w:val="008D2D4C"/>
    <w:rsid w:val="008D2ECD"/>
    <w:rsid w:val="008D320C"/>
    <w:rsid w:val="008D3472"/>
    <w:rsid w:val="008D36EF"/>
    <w:rsid w:val="008D370D"/>
    <w:rsid w:val="008D3734"/>
    <w:rsid w:val="008D3A3C"/>
    <w:rsid w:val="008D3C4B"/>
    <w:rsid w:val="008D3D4C"/>
    <w:rsid w:val="008D3E62"/>
    <w:rsid w:val="008D428A"/>
    <w:rsid w:val="008D4BDF"/>
    <w:rsid w:val="008D4C90"/>
    <w:rsid w:val="008D4CCB"/>
    <w:rsid w:val="008D50E3"/>
    <w:rsid w:val="008D5219"/>
    <w:rsid w:val="008D54BE"/>
    <w:rsid w:val="008D58E3"/>
    <w:rsid w:val="008D5A83"/>
    <w:rsid w:val="008D5B7D"/>
    <w:rsid w:val="008D61E3"/>
    <w:rsid w:val="008D650E"/>
    <w:rsid w:val="008D6718"/>
    <w:rsid w:val="008D6746"/>
    <w:rsid w:val="008D686A"/>
    <w:rsid w:val="008D68FD"/>
    <w:rsid w:val="008D6B5F"/>
    <w:rsid w:val="008D6D5C"/>
    <w:rsid w:val="008D713E"/>
    <w:rsid w:val="008D7978"/>
    <w:rsid w:val="008D7A57"/>
    <w:rsid w:val="008D7B32"/>
    <w:rsid w:val="008D7D19"/>
    <w:rsid w:val="008E00DF"/>
    <w:rsid w:val="008E01A0"/>
    <w:rsid w:val="008E0453"/>
    <w:rsid w:val="008E0754"/>
    <w:rsid w:val="008E0819"/>
    <w:rsid w:val="008E08C2"/>
    <w:rsid w:val="008E09EC"/>
    <w:rsid w:val="008E1698"/>
    <w:rsid w:val="008E1B5F"/>
    <w:rsid w:val="008E2079"/>
    <w:rsid w:val="008E2081"/>
    <w:rsid w:val="008E20EA"/>
    <w:rsid w:val="008E2417"/>
    <w:rsid w:val="008E2976"/>
    <w:rsid w:val="008E2B31"/>
    <w:rsid w:val="008E2BB3"/>
    <w:rsid w:val="008E2D09"/>
    <w:rsid w:val="008E2DC6"/>
    <w:rsid w:val="008E319C"/>
    <w:rsid w:val="008E3620"/>
    <w:rsid w:val="008E398E"/>
    <w:rsid w:val="008E3BCB"/>
    <w:rsid w:val="008E4417"/>
    <w:rsid w:val="008E45A9"/>
    <w:rsid w:val="008E4C6F"/>
    <w:rsid w:val="008E53E0"/>
    <w:rsid w:val="008E54CE"/>
    <w:rsid w:val="008E57AC"/>
    <w:rsid w:val="008E5870"/>
    <w:rsid w:val="008E58CE"/>
    <w:rsid w:val="008E5A34"/>
    <w:rsid w:val="008E5AD7"/>
    <w:rsid w:val="008E5B8F"/>
    <w:rsid w:val="008E5FFC"/>
    <w:rsid w:val="008E6A9C"/>
    <w:rsid w:val="008E6E6E"/>
    <w:rsid w:val="008E716F"/>
    <w:rsid w:val="008E7B81"/>
    <w:rsid w:val="008F0472"/>
    <w:rsid w:val="008F06FF"/>
    <w:rsid w:val="008F0C69"/>
    <w:rsid w:val="008F0CDD"/>
    <w:rsid w:val="008F0FE0"/>
    <w:rsid w:val="008F1276"/>
    <w:rsid w:val="008F1C6E"/>
    <w:rsid w:val="008F1EA0"/>
    <w:rsid w:val="008F2344"/>
    <w:rsid w:val="008F274B"/>
    <w:rsid w:val="008F277E"/>
    <w:rsid w:val="008F2DCF"/>
    <w:rsid w:val="008F2F53"/>
    <w:rsid w:val="008F3430"/>
    <w:rsid w:val="008F34EC"/>
    <w:rsid w:val="008F374E"/>
    <w:rsid w:val="008F37C2"/>
    <w:rsid w:val="008F382A"/>
    <w:rsid w:val="008F38A6"/>
    <w:rsid w:val="008F40D4"/>
    <w:rsid w:val="008F4154"/>
    <w:rsid w:val="008F44C1"/>
    <w:rsid w:val="008F48C2"/>
    <w:rsid w:val="008F5CC0"/>
    <w:rsid w:val="008F63A3"/>
    <w:rsid w:val="008F648D"/>
    <w:rsid w:val="008F6A4F"/>
    <w:rsid w:val="008F6C16"/>
    <w:rsid w:val="008F6C46"/>
    <w:rsid w:val="008F6E46"/>
    <w:rsid w:val="008F730B"/>
    <w:rsid w:val="008F76E9"/>
    <w:rsid w:val="008F7A4A"/>
    <w:rsid w:val="008F7A99"/>
    <w:rsid w:val="008F7BD2"/>
    <w:rsid w:val="008F7DD5"/>
    <w:rsid w:val="008F7ED3"/>
    <w:rsid w:val="00900400"/>
    <w:rsid w:val="00900433"/>
    <w:rsid w:val="009004AC"/>
    <w:rsid w:val="00900ACD"/>
    <w:rsid w:val="00900CB3"/>
    <w:rsid w:val="00900EBE"/>
    <w:rsid w:val="00902282"/>
    <w:rsid w:val="0090241F"/>
    <w:rsid w:val="00902A56"/>
    <w:rsid w:val="0090324C"/>
    <w:rsid w:val="00903518"/>
    <w:rsid w:val="009035DB"/>
    <w:rsid w:val="009042C8"/>
    <w:rsid w:val="00904399"/>
    <w:rsid w:val="00904BE4"/>
    <w:rsid w:val="00904EDC"/>
    <w:rsid w:val="0090559B"/>
    <w:rsid w:val="0090687A"/>
    <w:rsid w:val="009073FD"/>
    <w:rsid w:val="0090745B"/>
    <w:rsid w:val="009077A0"/>
    <w:rsid w:val="0090799D"/>
    <w:rsid w:val="00907ABB"/>
    <w:rsid w:val="00907B85"/>
    <w:rsid w:val="00907DF6"/>
    <w:rsid w:val="00910323"/>
    <w:rsid w:val="00910341"/>
    <w:rsid w:val="00910B5A"/>
    <w:rsid w:val="00910BF2"/>
    <w:rsid w:val="00910CCD"/>
    <w:rsid w:val="00910F91"/>
    <w:rsid w:val="00911A78"/>
    <w:rsid w:val="00912604"/>
    <w:rsid w:val="009127A3"/>
    <w:rsid w:val="00912F73"/>
    <w:rsid w:val="009134A5"/>
    <w:rsid w:val="00913AC7"/>
    <w:rsid w:val="00913DAD"/>
    <w:rsid w:val="00913EC7"/>
    <w:rsid w:val="009142DA"/>
    <w:rsid w:val="009149BA"/>
    <w:rsid w:val="00914AEC"/>
    <w:rsid w:val="00915284"/>
    <w:rsid w:val="0091555D"/>
    <w:rsid w:val="00915BBA"/>
    <w:rsid w:val="00916222"/>
    <w:rsid w:val="00916843"/>
    <w:rsid w:val="00916C63"/>
    <w:rsid w:val="0091786E"/>
    <w:rsid w:val="00917ABF"/>
    <w:rsid w:val="0092057D"/>
    <w:rsid w:val="00920769"/>
    <w:rsid w:val="00920E18"/>
    <w:rsid w:val="00920EE8"/>
    <w:rsid w:val="0092137A"/>
    <w:rsid w:val="0092184A"/>
    <w:rsid w:val="00921CBF"/>
    <w:rsid w:val="00921F55"/>
    <w:rsid w:val="0092216E"/>
    <w:rsid w:val="0092277A"/>
    <w:rsid w:val="009228F6"/>
    <w:rsid w:val="0092297A"/>
    <w:rsid w:val="00922C69"/>
    <w:rsid w:val="00922FF5"/>
    <w:rsid w:val="0092466C"/>
    <w:rsid w:val="00925179"/>
    <w:rsid w:val="009252CA"/>
    <w:rsid w:val="00925402"/>
    <w:rsid w:val="00925700"/>
    <w:rsid w:val="00925E50"/>
    <w:rsid w:val="00925E84"/>
    <w:rsid w:val="00926B01"/>
    <w:rsid w:val="00926C8E"/>
    <w:rsid w:val="00926D77"/>
    <w:rsid w:val="00926F37"/>
    <w:rsid w:val="00927349"/>
    <w:rsid w:val="0092765F"/>
    <w:rsid w:val="00927BA8"/>
    <w:rsid w:val="00927DF5"/>
    <w:rsid w:val="0093020E"/>
    <w:rsid w:val="0093066A"/>
    <w:rsid w:val="00930A5E"/>
    <w:rsid w:val="00931619"/>
    <w:rsid w:val="00931FBF"/>
    <w:rsid w:val="00932200"/>
    <w:rsid w:val="00932217"/>
    <w:rsid w:val="0093224B"/>
    <w:rsid w:val="009322F7"/>
    <w:rsid w:val="00932523"/>
    <w:rsid w:val="00933263"/>
    <w:rsid w:val="0093403A"/>
    <w:rsid w:val="00934263"/>
    <w:rsid w:val="0093434C"/>
    <w:rsid w:val="00934586"/>
    <w:rsid w:val="00934986"/>
    <w:rsid w:val="00934D61"/>
    <w:rsid w:val="00934D7F"/>
    <w:rsid w:val="00934F84"/>
    <w:rsid w:val="00935389"/>
    <w:rsid w:val="009356ED"/>
    <w:rsid w:val="0093578C"/>
    <w:rsid w:val="00935A6E"/>
    <w:rsid w:val="00936616"/>
    <w:rsid w:val="00936C1E"/>
    <w:rsid w:val="00937357"/>
    <w:rsid w:val="009374DB"/>
    <w:rsid w:val="009375CF"/>
    <w:rsid w:val="00937A18"/>
    <w:rsid w:val="00937A61"/>
    <w:rsid w:val="00937B56"/>
    <w:rsid w:val="00937EEA"/>
    <w:rsid w:val="00940093"/>
    <w:rsid w:val="0094065C"/>
    <w:rsid w:val="00940E16"/>
    <w:rsid w:val="0094189F"/>
    <w:rsid w:val="00941917"/>
    <w:rsid w:val="00941D95"/>
    <w:rsid w:val="00942C3C"/>
    <w:rsid w:val="00943037"/>
    <w:rsid w:val="009431C4"/>
    <w:rsid w:val="00944091"/>
    <w:rsid w:val="0094410D"/>
    <w:rsid w:val="00944419"/>
    <w:rsid w:val="00944460"/>
    <w:rsid w:val="00945061"/>
    <w:rsid w:val="0094507F"/>
    <w:rsid w:val="009452BF"/>
    <w:rsid w:val="0094573A"/>
    <w:rsid w:val="00945FA4"/>
    <w:rsid w:val="00946140"/>
    <w:rsid w:val="00946CDE"/>
    <w:rsid w:val="00947786"/>
    <w:rsid w:val="00947B03"/>
    <w:rsid w:val="0095021E"/>
    <w:rsid w:val="00950746"/>
    <w:rsid w:val="009507C3"/>
    <w:rsid w:val="00950D72"/>
    <w:rsid w:val="00952258"/>
    <w:rsid w:val="009528E0"/>
    <w:rsid w:val="00952E0E"/>
    <w:rsid w:val="00952E11"/>
    <w:rsid w:val="0095336B"/>
    <w:rsid w:val="00953D7B"/>
    <w:rsid w:val="009549AA"/>
    <w:rsid w:val="00954A6C"/>
    <w:rsid w:val="00954ABB"/>
    <w:rsid w:val="0095570B"/>
    <w:rsid w:val="00955CEE"/>
    <w:rsid w:val="00956623"/>
    <w:rsid w:val="00956748"/>
    <w:rsid w:val="00957143"/>
    <w:rsid w:val="009574C4"/>
    <w:rsid w:val="00957729"/>
    <w:rsid w:val="009579DA"/>
    <w:rsid w:val="00957D1A"/>
    <w:rsid w:val="0096024A"/>
    <w:rsid w:val="009606AA"/>
    <w:rsid w:val="00960788"/>
    <w:rsid w:val="0096091F"/>
    <w:rsid w:val="0096146D"/>
    <w:rsid w:val="009618AA"/>
    <w:rsid w:val="00961905"/>
    <w:rsid w:val="0096252D"/>
    <w:rsid w:val="00962B73"/>
    <w:rsid w:val="00962D84"/>
    <w:rsid w:val="00963016"/>
    <w:rsid w:val="00963711"/>
    <w:rsid w:val="00963879"/>
    <w:rsid w:val="00963C80"/>
    <w:rsid w:val="00963CBA"/>
    <w:rsid w:val="0096406A"/>
    <w:rsid w:val="009640BC"/>
    <w:rsid w:val="00964434"/>
    <w:rsid w:val="009646AA"/>
    <w:rsid w:val="00964A4C"/>
    <w:rsid w:val="00964D04"/>
    <w:rsid w:val="00965D01"/>
    <w:rsid w:val="00966097"/>
    <w:rsid w:val="00966621"/>
    <w:rsid w:val="00966D71"/>
    <w:rsid w:val="00966F3F"/>
    <w:rsid w:val="0096706B"/>
    <w:rsid w:val="009671B1"/>
    <w:rsid w:val="00967277"/>
    <w:rsid w:val="009676D8"/>
    <w:rsid w:val="00967790"/>
    <w:rsid w:val="00967A97"/>
    <w:rsid w:val="00970104"/>
    <w:rsid w:val="0097027D"/>
    <w:rsid w:val="0097058B"/>
    <w:rsid w:val="00970862"/>
    <w:rsid w:val="00970CAF"/>
    <w:rsid w:val="0097114C"/>
    <w:rsid w:val="00971453"/>
    <w:rsid w:val="0097196A"/>
    <w:rsid w:val="00971A52"/>
    <w:rsid w:val="009720CF"/>
    <w:rsid w:val="00972BDF"/>
    <w:rsid w:val="009730B0"/>
    <w:rsid w:val="009732BD"/>
    <w:rsid w:val="00973DE8"/>
    <w:rsid w:val="00973F32"/>
    <w:rsid w:val="00973F71"/>
    <w:rsid w:val="009756E2"/>
    <w:rsid w:val="00975710"/>
    <w:rsid w:val="009760FD"/>
    <w:rsid w:val="00976510"/>
    <w:rsid w:val="00977429"/>
    <w:rsid w:val="00977BF5"/>
    <w:rsid w:val="00977D2C"/>
    <w:rsid w:val="009801D7"/>
    <w:rsid w:val="00980876"/>
    <w:rsid w:val="00980BA4"/>
    <w:rsid w:val="00980C39"/>
    <w:rsid w:val="009813E1"/>
    <w:rsid w:val="00981B8C"/>
    <w:rsid w:val="00981BBB"/>
    <w:rsid w:val="009828B7"/>
    <w:rsid w:val="009829E7"/>
    <w:rsid w:val="00983108"/>
    <w:rsid w:val="009833AD"/>
    <w:rsid w:val="009833B3"/>
    <w:rsid w:val="00983C7C"/>
    <w:rsid w:val="00983CEE"/>
    <w:rsid w:val="00984070"/>
    <w:rsid w:val="0098484F"/>
    <w:rsid w:val="009848F6"/>
    <w:rsid w:val="00984A44"/>
    <w:rsid w:val="009850A0"/>
    <w:rsid w:val="00985336"/>
    <w:rsid w:val="00985838"/>
    <w:rsid w:val="00985E4F"/>
    <w:rsid w:val="00985F0A"/>
    <w:rsid w:val="00987C52"/>
    <w:rsid w:val="009900F8"/>
    <w:rsid w:val="0099074A"/>
    <w:rsid w:val="00990FF2"/>
    <w:rsid w:val="00991221"/>
    <w:rsid w:val="0099184E"/>
    <w:rsid w:val="009918E9"/>
    <w:rsid w:val="00991C4A"/>
    <w:rsid w:val="00992135"/>
    <w:rsid w:val="00992AB4"/>
    <w:rsid w:val="00992D98"/>
    <w:rsid w:val="0099303E"/>
    <w:rsid w:val="0099321A"/>
    <w:rsid w:val="00993A07"/>
    <w:rsid w:val="00993ADB"/>
    <w:rsid w:val="009947E4"/>
    <w:rsid w:val="0099534D"/>
    <w:rsid w:val="009958F2"/>
    <w:rsid w:val="00995A69"/>
    <w:rsid w:val="00995ADF"/>
    <w:rsid w:val="00995D68"/>
    <w:rsid w:val="00995E97"/>
    <w:rsid w:val="00995F7D"/>
    <w:rsid w:val="0099612C"/>
    <w:rsid w:val="0099682B"/>
    <w:rsid w:val="00997430"/>
    <w:rsid w:val="009A030E"/>
    <w:rsid w:val="009A04AA"/>
    <w:rsid w:val="009A0C13"/>
    <w:rsid w:val="009A11C7"/>
    <w:rsid w:val="009A12EF"/>
    <w:rsid w:val="009A1900"/>
    <w:rsid w:val="009A1927"/>
    <w:rsid w:val="009A1A3F"/>
    <w:rsid w:val="009A1AFA"/>
    <w:rsid w:val="009A1D3A"/>
    <w:rsid w:val="009A2745"/>
    <w:rsid w:val="009A27D1"/>
    <w:rsid w:val="009A28C0"/>
    <w:rsid w:val="009A293C"/>
    <w:rsid w:val="009A2F40"/>
    <w:rsid w:val="009A319A"/>
    <w:rsid w:val="009A3672"/>
    <w:rsid w:val="009A3674"/>
    <w:rsid w:val="009A3F11"/>
    <w:rsid w:val="009A3F8A"/>
    <w:rsid w:val="009A50C5"/>
    <w:rsid w:val="009A510C"/>
    <w:rsid w:val="009A5558"/>
    <w:rsid w:val="009A5630"/>
    <w:rsid w:val="009A5977"/>
    <w:rsid w:val="009A63ED"/>
    <w:rsid w:val="009A6663"/>
    <w:rsid w:val="009A66F2"/>
    <w:rsid w:val="009A6739"/>
    <w:rsid w:val="009A682D"/>
    <w:rsid w:val="009A688E"/>
    <w:rsid w:val="009A6B40"/>
    <w:rsid w:val="009A6D78"/>
    <w:rsid w:val="009A760B"/>
    <w:rsid w:val="009A770A"/>
    <w:rsid w:val="009B054E"/>
    <w:rsid w:val="009B05C7"/>
    <w:rsid w:val="009B05DF"/>
    <w:rsid w:val="009B0AE5"/>
    <w:rsid w:val="009B1031"/>
    <w:rsid w:val="009B12AE"/>
    <w:rsid w:val="009B14BA"/>
    <w:rsid w:val="009B1544"/>
    <w:rsid w:val="009B17E6"/>
    <w:rsid w:val="009B1920"/>
    <w:rsid w:val="009B1A61"/>
    <w:rsid w:val="009B1F7E"/>
    <w:rsid w:val="009B2AA4"/>
    <w:rsid w:val="009B2BE5"/>
    <w:rsid w:val="009B2DFC"/>
    <w:rsid w:val="009B3272"/>
    <w:rsid w:val="009B333D"/>
    <w:rsid w:val="009B383E"/>
    <w:rsid w:val="009B4BB0"/>
    <w:rsid w:val="009B5001"/>
    <w:rsid w:val="009B50EC"/>
    <w:rsid w:val="009B52F8"/>
    <w:rsid w:val="009B5537"/>
    <w:rsid w:val="009B57B3"/>
    <w:rsid w:val="009B57CA"/>
    <w:rsid w:val="009B60EB"/>
    <w:rsid w:val="009B6323"/>
    <w:rsid w:val="009B651D"/>
    <w:rsid w:val="009B655B"/>
    <w:rsid w:val="009B6825"/>
    <w:rsid w:val="009B6F32"/>
    <w:rsid w:val="009B77EE"/>
    <w:rsid w:val="009B7AA3"/>
    <w:rsid w:val="009B7D10"/>
    <w:rsid w:val="009B7FB4"/>
    <w:rsid w:val="009C0A2A"/>
    <w:rsid w:val="009C0B16"/>
    <w:rsid w:val="009C0BA3"/>
    <w:rsid w:val="009C0D7D"/>
    <w:rsid w:val="009C12FD"/>
    <w:rsid w:val="009C157C"/>
    <w:rsid w:val="009C15DA"/>
    <w:rsid w:val="009C1738"/>
    <w:rsid w:val="009C1F7E"/>
    <w:rsid w:val="009C328F"/>
    <w:rsid w:val="009C373A"/>
    <w:rsid w:val="009C384D"/>
    <w:rsid w:val="009C3B7C"/>
    <w:rsid w:val="009C4060"/>
    <w:rsid w:val="009C44B5"/>
    <w:rsid w:val="009C4825"/>
    <w:rsid w:val="009C48AA"/>
    <w:rsid w:val="009C505A"/>
    <w:rsid w:val="009C507F"/>
    <w:rsid w:val="009C5207"/>
    <w:rsid w:val="009C5D6D"/>
    <w:rsid w:val="009C5E64"/>
    <w:rsid w:val="009C6516"/>
    <w:rsid w:val="009C6C4C"/>
    <w:rsid w:val="009C6E06"/>
    <w:rsid w:val="009C6F3F"/>
    <w:rsid w:val="009C71CB"/>
    <w:rsid w:val="009C7A82"/>
    <w:rsid w:val="009D02BB"/>
    <w:rsid w:val="009D04D5"/>
    <w:rsid w:val="009D08E6"/>
    <w:rsid w:val="009D0B37"/>
    <w:rsid w:val="009D0E15"/>
    <w:rsid w:val="009D0F8E"/>
    <w:rsid w:val="009D157F"/>
    <w:rsid w:val="009D1916"/>
    <w:rsid w:val="009D19F0"/>
    <w:rsid w:val="009D1AB3"/>
    <w:rsid w:val="009D1C8A"/>
    <w:rsid w:val="009D2075"/>
    <w:rsid w:val="009D246C"/>
    <w:rsid w:val="009D2756"/>
    <w:rsid w:val="009D29EE"/>
    <w:rsid w:val="009D3244"/>
    <w:rsid w:val="009D35A4"/>
    <w:rsid w:val="009D376D"/>
    <w:rsid w:val="009D3774"/>
    <w:rsid w:val="009D3A67"/>
    <w:rsid w:val="009D433D"/>
    <w:rsid w:val="009D4EB6"/>
    <w:rsid w:val="009D55E8"/>
    <w:rsid w:val="009D5C13"/>
    <w:rsid w:val="009D5CB9"/>
    <w:rsid w:val="009D5EC8"/>
    <w:rsid w:val="009D632C"/>
    <w:rsid w:val="009D6EFD"/>
    <w:rsid w:val="009D7124"/>
    <w:rsid w:val="009D71A4"/>
    <w:rsid w:val="009E10BE"/>
    <w:rsid w:val="009E11BA"/>
    <w:rsid w:val="009E1800"/>
    <w:rsid w:val="009E28BC"/>
    <w:rsid w:val="009E2C15"/>
    <w:rsid w:val="009E2D9C"/>
    <w:rsid w:val="009E329B"/>
    <w:rsid w:val="009E363C"/>
    <w:rsid w:val="009E372E"/>
    <w:rsid w:val="009E38BD"/>
    <w:rsid w:val="009E3BFC"/>
    <w:rsid w:val="009E3FDC"/>
    <w:rsid w:val="009E476D"/>
    <w:rsid w:val="009E4981"/>
    <w:rsid w:val="009E4A93"/>
    <w:rsid w:val="009E52D0"/>
    <w:rsid w:val="009E6807"/>
    <w:rsid w:val="009E69C8"/>
    <w:rsid w:val="009E6D36"/>
    <w:rsid w:val="009E6E4B"/>
    <w:rsid w:val="009E7485"/>
    <w:rsid w:val="009E78EC"/>
    <w:rsid w:val="009E7901"/>
    <w:rsid w:val="009E7D49"/>
    <w:rsid w:val="009E7E4C"/>
    <w:rsid w:val="009E7E7A"/>
    <w:rsid w:val="009F032D"/>
    <w:rsid w:val="009F07D6"/>
    <w:rsid w:val="009F144E"/>
    <w:rsid w:val="009F152E"/>
    <w:rsid w:val="009F1642"/>
    <w:rsid w:val="009F17C0"/>
    <w:rsid w:val="009F18E0"/>
    <w:rsid w:val="009F2845"/>
    <w:rsid w:val="009F2E4F"/>
    <w:rsid w:val="009F31A5"/>
    <w:rsid w:val="009F3519"/>
    <w:rsid w:val="009F394F"/>
    <w:rsid w:val="009F3B3A"/>
    <w:rsid w:val="009F412B"/>
    <w:rsid w:val="009F5613"/>
    <w:rsid w:val="009F573E"/>
    <w:rsid w:val="009F58DB"/>
    <w:rsid w:val="009F6DED"/>
    <w:rsid w:val="009F6F84"/>
    <w:rsid w:val="009F7299"/>
    <w:rsid w:val="009F7411"/>
    <w:rsid w:val="009F785B"/>
    <w:rsid w:val="009F7963"/>
    <w:rsid w:val="009F7FA3"/>
    <w:rsid w:val="009F7FCC"/>
    <w:rsid w:val="00A00088"/>
    <w:rsid w:val="00A00146"/>
    <w:rsid w:val="00A00ADF"/>
    <w:rsid w:val="00A00F66"/>
    <w:rsid w:val="00A0125E"/>
    <w:rsid w:val="00A01798"/>
    <w:rsid w:val="00A01DEA"/>
    <w:rsid w:val="00A02305"/>
    <w:rsid w:val="00A02679"/>
    <w:rsid w:val="00A02774"/>
    <w:rsid w:val="00A02813"/>
    <w:rsid w:val="00A02A93"/>
    <w:rsid w:val="00A02EE9"/>
    <w:rsid w:val="00A03220"/>
    <w:rsid w:val="00A03276"/>
    <w:rsid w:val="00A03434"/>
    <w:rsid w:val="00A03CCC"/>
    <w:rsid w:val="00A04023"/>
    <w:rsid w:val="00A0443E"/>
    <w:rsid w:val="00A05212"/>
    <w:rsid w:val="00A058E3"/>
    <w:rsid w:val="00A05C9B"/>
    <w:rsid w:val="00A05E8E"/>
    <w:rsid w:val="00A06119"/>
    <w:rsid w:val="00A066A5"/>
    <w:rsid w:val="00A06929"/>
    <w:rsid w:val="00A06A2D"/>
    <w:rsid w:val="00A06D75"/>
    <w:rsid w:val="00A06E5D"/>
    <w:rsid w:val="00A073F1"/>
    <w:rsid w:val="00A07442"/>
    <w:rsid w:val="00A07939"/>
    <w:rsid w:val="00A07D0A"/>
    <w:rsid w:val="00A101D7"/>
    <w:rsid w:val="00A11C50"/>
    <w:rsid w:val="00A12899"/>
    <w:rsid w:val="00A13315"/>
    <w:rsid w:val="00A13337"/>
    <w:rsid w:val="00A139B4"/>
    <w:rsid w:val="00A13B55"/>
    <w:rsid w:val="00A13B76"/>
    <w:rsid w:val="00A141FB"/>
    <w:rsid w:val="00A143DB"/>
    <w:rsid w:val="00A144F9"/>
    <w:rsid w:val="00A14B07"/>
    <w:rsid w:val="00A1555E"/>
    <w:rsid w:val="00A15FF3"/>
    <w:rsid w:val="00A16184"/>
    <w:rsid w:val="00A16683"/>
    <w:rsid w:val="00A16B1C"/>
    <w:rsid w:val="00A16CDB"/>
    <w:rsid w:val="00A16E5A"/>
    <w:rsid w:val="00A16EBE"/>
    <w:rsid w:val="00A170DD"/>
    <w:rsid w:val="00A200A1"/>
    <w:rsid w:val="00A202E8"/>
    <w:rsid w:val="00A205C4"/>
    <w:rsid w:val="00A206C9"/>
    <w:rsid w:val="00A210C8"/>
    <w:rsid w:val="00A21356"/>
    <w:rsid w:val="00A21D56"/>
    <w:rsid w:val="00A21F02"/>
    <w:rsid w:val="00A2204E"/>
    <w:rsid w:val="00A22172"/>
    <w:rsid w:val="00A22342"/>
    <w:rsid w:val="00A22CE9"/>
    <w:rsid w:val="00A22D2A"/>
    <w:rsid w:val="00A230BD"/>
    <w:rsid w:val="00A23108"/>
    <w:rsid w:val="00A232C9"/>
    <w:rsid w:val="00A2384B"/>
    <w:rsid w:val="00A23858"/>
    <w:rsid w:val="00A23D0F"/>
    <w:rsid w:val="00A2405A"/>
    <w:rsid w:val="00A241C8"/>
    <w:rsid w:val="00A2437E"/>
    <w:rsid w:val="00A24C3A"/>
    <w:rsid w:val="00A261E5"/>
    <w:rsid w:val="00A263E1"/>
    <w:rsid w:val="00A2658D"/>
    <w:rsid w:val="00A26594"/>
    <w:rsid w:val="00A268C9"/>
    <w:rsid w:val="00A26958"/>
    <w:rsid w:val="00A26B8A"/>
    <w:rsid w:val="00A26C5E"/>
    <w:rsid w:val="00A26F39"/>
    <w:rsid w:val="00A271AE"/>
    <w:rsid w:val="00A27442"/>
    <w:rsid w:val="00A27893"/>
    <w:rsid w:val="00A2799F"/>
    <w:rsid w:val="00A27BAE"/>
    <w:rsid w:val="00A30CB2"/>
    <w:rsid w:val="00A310A1"/>
    <w:rsid w:val="00A3213E"/>
    <w:rsid w:val="00A32333"/>
    <w:rsid w:val="00A323BA"/>
    <w:rsid w:val="00A329FB"/>
    <w:rsid w:val="00A32A2D"/>
    <w:rsid w:val="00A32E3A"/>
    <w:rsid w:val="00A3311A"/>
    <w:rsid w:val="00A3387B"/>
    <w:rsid w:val="00A33CE6"/>
    <w:rsid w:val="00A341CA"/>
    <w:rsid w:val="00A3460B"/>
    <w:rsid w:val="00A34BE4"/>
    <w:rsid w:val="00A34E8C"/>
    <w:rsid w:val="00A355D8"/>
    <w:rsid w:val="00A357FD"/>
    <w:rsid w:val="00A35927"/>
    <w:rsid w:val="00A35A66"/>
    <w:rsid w:val="00A35E0C"/>
    <w:rsid w:val="00A35E24"/>
    <w:rsid w:val="00A3662B"/>
    <w:rsid w:val="00A36656"/>
    <w:rsid w:val="00A368A6"/>
    <w:rsid w:val="00A36BF8"/>
    <w:rsid w:val="00A37019"/>
    <w:rsid w:val="00A3714C"/>
    <w:rsid w:val="00A3742C"/>
    <w:rsid w:val="00A37475"/>
    <w:rsid w:val="00A40713"/>
    <w:rsid w:val="00A40EBC"/>
    <w:rsid w:val="00A418D2"/>
    <w:rsid w:val="00A41E28"/>
    <w:rsid w:val="00A4227F"/>
    <w:rsid w:val="00A43297"/>
    <w:rsid w:val="00A43BDB"/>
    <w:rsid w:val="00A43D40"/>
    <w:rsid w:val="00A43E81"/>
    <w:rsid w:val="00A4419B"/>
    <w:rsid w:val="00A446D5"/>
    <w:rsid w:val="00A44E90"/>
    <w:rsid w:val="00A45006"/>
    <w:rsid w:val="00A452D5"/>
    <w:rsid w:val="00A458C5"/>
    <w:rsid w:val="00A45BFC"/>
    <w:rsid w:val="00A45D05"/>
    <w:rsid w:val="00A45DD5"/>
    <w:rsid w:val="00A46172"/>
    <w:rsid w:val="00A465C6"/>
    <w:rsid w:val="00A46977"/>
    <w:rsid w:val="00A469A2"/>
    <w:rsid w:val="00A47E0B"/>
    <w:rsid w:val="00A50395"/>
    <w:rsid w:val="00A50698"/>
    <w:rsid w:val="00A50CE1"/>
    <w:rsid w:val="00A510B7"/>
    <w:rsid w:val="00A510EE"/>
    <w:rsid w:val="00A511BA"/>
    <w:rsid w:val="00A514E8"/>
    <w:rsid w:val="00A51503"/>
    <w:rsid w:val="00A52491"/>
    <w:rsid w:val="00A52910"/>
    <w:rsid w:val="00A52CAF"/>
    <w:rsid w:val="00A530FA"/>
    <w:rsid w:val="00A5363A"/>
    <w:rsid w:val="00A53CAD"/>
    <w:rsid w:val="00A540E5"/>
    <w:rsid w:val="00A543E8"/>
    <w:rsid w:val="00A54747"/>
    <w:rsid w:val="00A547CF"/>
    <w:rsid w:val="00A54C10"/>
    <w:rsid w:val="00A54E6B"/>
    <w:rsid w:val="00A54E93"/>
    <w:rsid w:val="00A5526E"/>
    <w:rsid w:val="00A55656"/>
    <w:rsid w:val="00A5569C"/>
    <w:rsid w:val="00A55953"/>
    <w:rsid w:val="00A55976"/>
    <w:rsid w:val="00A55A42"/>
    <w:rsid w:val="00A55BC6"/>
    <w:rsid w:val="00A5611B"/>
    <w:rsid w:val="00A5657C"/>
    <w:rsid w:val="00A569A9"/>
    <w:rsid w:val="00A569DA"/>
    <w:rsid w:val="00A56A1C"/>
    <w:rsid w:val="00A56FC6"/>
    <w:rsid w:val="00A5714A"/>
    <w:rsid w:val="00A572AE"/>
    <w:rsid w:val="00A5749C"/>
    <w:rsid w:val="00A60500"/>
    <w:rsid w:val="00A607A2"/>
    <w:rsid w:val="00A608AC"/>
    <w:rsid w:val="00A6149C"/>
    <w:rsid w:val="00A61845"/>
    <w:rsid w:val="00A61D2E"/>
    <w:rsid w:val="00A624D3"/>
    <w:rsid w:val="00A6257E"/>
    <w:rsid w:val="00A62AC2"/>
    <w:rsid w:val="00A62D78"/>
    <w:rsid w:val="00A63232"/>
    <w:rsid w:val="00A633E5"/>
    <w:rsid w:val="00A63567"/>
    <w:rsid w:val="00A6389E"/>
    <w:rsid w:val="00A63906"/>
    <w:rsid w:val="00A63AAF"/>
    <w:rsid w:val="00A64145"/>
    <w:rsid w:val="00A64580"/>
    <w:rsid w:val="00A6462E"/>
    <w:rsid w:val="00A6480A"/>
    <w:rsid w:val="00A64951"/>
    <w:rsid w:val="00A64B59"/>
    <w:rsid w:val="00A64BF6"/>
    <w:rsid w:val="00A64E50"/>
    <w:rsid w:val="00A65555"/>
    <w:rsid w:val="00A6577D"/>
    <w:rsid w:val="00A657D4"/>
    <w:rsid w:val="00A65CD6"/>
    <w:rsid w:val="00A666D5"/>
    <w:rsid w:val="00A667CE"/>
    <w:rsid w:val="00A6692A"/>
    <w:rsid w:val="00A67613"/>
    <w:rsid w:val="00A6766D"/>
    <w:rsid w:val="00A677DB"/>
    <w:rsid w:val="00A67B0B"/>
    <w:rsid w:val="00A67B22"/>
    <w:rsid w:val="00A70078"/>
    <w:rsid w:val="00A70618"/>
    <w:rsid w:val="00A70B16"/>
    <w:rsid w:val="00A714EA"/>
    <w:rsid w:val="00A71A48"/>
    <w:rsid w:val="00A71D14"/>
    <w:rsid w:val="00A72393"/>
    <w:rsid w:val="00A72655"/>
    <w:rsid w:val="00A730C0"/>
    <w:rsid w:val="00A7317D"/>
    <w:rsid w:val="00A736F3"/>
    <w:rsid w:val="00A73892"/>
    <w:rsid w:val="00A7394F"/>
    <w:rsid w:val="00A73CBF"/>
    <w:rsid w:val="00A73D9C"/>
    <w:rsid w:val="00A73DCA"/>
    <w:rsid w:val="00A73F8F"/>
    <w:rsid w:val="00A7425A"/>
    <w:rsid w:val="00A745AD"/>
    <w:rsid w:val="00A7470B"/>
    <w:rsid w:val="00A75113"/>
    <w:rsid w:val="00A752DD"/>
    <w:rsid w:val="00A75BB9"/>
    <w:rsid w:val="00A76140"/>
    <w:rsid w:val="00A7625F"/>
    <w:rsid w:val="00A7657C"/>
    <w:rsid w:val="00A76666"/>
    <w:rsid w:val="00A7684E"/>
    <w:rsid w:val="00A7712C"/>
    <w:rsid w:val="00A775D4"/>
    <w:rsid w:val="00A77A40"/>
    <w:rsid w:val="00A77AE7"/>
    <w:rsid w:val="00A77CA2"/>
    <w:rsid w:val="00A77E6B"/>
    <w:rsid w:val="00A808DD"/>
    <w:rsid w:val="00A8135C"/>
    <w:rsid w:val="00A826F0"/>
    <w:rsid w:val="00A82BE0"/>
    <w:rsid w:val="00A82E55"/>
    <w:rsid w:val="00A82FEE"/>
    <w:rsid w:val="00A834D9"/>
    <w:rsid w:val="00A83619"/>
    <w:rsid w:val="00A8366F"/>
    <w:rsid w:val="00A83D26"/>
    <w:rsid w:val="00A84374"/>
    <w:rsid w:val="00A848E6"/>
    <w:rsid w:val="00A8507C"/>
    <w:rsid w:val="00A85205"/>
    <w:rsid w:val="00A8525A"/>
    <w:rsid w:val="00A8531D"/>
    <w:rsid w:val="00A85D0C"/>
    <w:rsid w:val="00A85D2C"/>
    <w:rsid w:val="00A85FCB"/>
    <w:rsid w:val="00A86734"/>
    <w:rsid w:val="00A8684E"/>
    <w:rsid w:val="00A86A37"/>
    <w:rsid w:val="00A86CFF"/>
    <w:rsid w:val="00A86D5C"/>
    <w:rsid w:val="00A87067"/>
    <w:rsid w:val="00A87E23"/>
    <w:rsid w:val="00A87EB8"/>
    <w:rsid w:val="00A90052"/>
    <w:rsid w:val="00A90788"/>
    <w:rsid w:val="00A907AA"/>
    <w:rsid w:val="00A90B9E"/>
    <w:rsid w:val="00A90E24"/>
    <w:rsid w:val="00A90F22"/>
    <w:rsid w:val="00A91502"/>
    <w:rsid w:val="00A91F53"/>
    <w:rsid w:val="00A920EF"/>
    <w:rsid w:val="00A922B6"/>
    <w:rsid w:val="00A922CF"/>
    <w:rsid w:val="00A9283F"/>
    <w:rsid w:val="00A92A1D"/>
    <w:rsid w:val="00A92A39"/>
    <w:rsid w:val="00A92D63"/>
    <w:rsid w:val="00A92D68"/>
    <w:rsid w:val="00A92E48"/>
    <w:rsid w:val="00A932DB"/>
    <w:rsid w:val="00A9363B"/>
    <w:rsid w:val="00A93804"/>
    <w:rsid w:val="00A93BE4"/>
    <w:rsid w:val="00A93F75"/>
    <w:rsid w:val="00A948C3"/>
    <w:rsid w:val="00A94DBE"/>
    <w:rsid w:val="00A953B0"/>
    <w:rsid w:val="00A95443"/>
    <w:rsid w:val="00A961AA"/>
    <w:rsid w:val="00A966E0"/>
    <w:rsid w:val="00A96791"/>
    <w:rsid w:val="00A96877"/>
    <w:rsid w:val="00A96F64"/>
    <w:rsid w:val="00A974DF"/>
    <w:rsid w:val="00A97761"/>
    <w:rsid w:val="00A97D72"/>
    <w:rsid w:val="00A97EE3"/>
    <w:rsid w:val="00A97FA1"/>
    <w:rsid w:val="00AA04A3"/>
    <w:rsid w:val="00AA06C3"/>
    <w:rsid w:val="00AA0ACA"/>
    <w:rsid w:val="00AA1174"/>
    <w:rsid w:val="00AA1321"/>
    <w:rsid w:val="00AA16B0"/>
    <w:rsid w:val="00AA1A26"/>
    <w:rsid w:val="00AA1F6E"/>
    <w:rsid w:val="00AA23DD"/>
    <w:rsid w:val="00AA291F"/>
    <w:rsid w:val="00AA2972"/>
    <w:rsid w:val="00AA2EF1"/>
    <w:rsid w:val="00AA322B"/>
    <w:rsid w:val="00AA38D8"/>
    <w:rsid w:val="00AA3E8E"/>
    <w:rsid w:val="00AA4035"/>
    <w:rsid w:val="00AA4396"/>
    <w:rsid w:val="00AA4540"/>
    <w:rsid w:val="00AA485C"/>
    <w:rsid w:val="00AA4BF8"/>
    <w:rsid w:val="00AA5295"/>
    <w:rsid w:val="00AA5464"/>
    <w:rsid w:val="00AA58B4"/>
    <w:rsid w:val="00AA5E01"/>
    <w:rsid w:val="00AA68C2"/>
    <w:rsid w:val="00AA691B"/>
    <w:rsid w:val="00AA6D42"/>
    <w:rsid w:val="00AA7CDE"/>
    <w:rsid w:val="00AA7DFB"/>
    <w:rsid w:val="00AA7E26"/>
    <w:rsid w:val="00AB0A8C"/>
    <w:rsid w:val="00AB0B0F"/>
    <w:rsid w:val="00AB0D73"/>
    <w:rsid w:val="00AB15B4"/>
    <w:rsid w:val="00AB15C8"/>
    <w:rsid w:val="00AB1A87"/>
    <w:rsid w:val="00AB20C5"/>
    <w:rsid w:val="00AB2370"/>
    <w:rsid w:val="00AB256E"/>
    <w:rsid w:val="00AB2B24"/>
    <w:rsid w:val="00AB2D29"/>
    <w:rsid w:val="00AB37E4"/>
    <w:rsid w:val="00AB382D"/>
    <w:rsid w:val="00AB382E"/>
    <w:rsid w:val="00AB3AE9"/>
    <w:rsid w:val="00AB3F07"/>
    <w:rsid w:val="00AB4048"/>
    <w:rsid w:val="00AB4351"/>
    <w:rsid w:val="00AB49DA"/>
    <w:rsid w:val="00AB4AE4"/>
    <w:rsid w:val="00AB539F"/>
    <w:rsid w:val="00AB58F4"/>
    <w:rsid w:val="00AB5D13"/>
    <w:rsid w:val="00AB5FEB"/>
    <w:rsid w:val="00AB60D6"/>
    <w:rsid w:val="00AB6879"/>
    <w:rsid w:val="00AB6F06"/>
    <w:rsid w:val="00AB6FC3"/>
    <w:rsid w:val="00AB77CF"/>
    <w:rsid w:val="00AB7EAC"/>
    <w:rsid w:val="00AB7EF8"/>
    <w:rsid w:val="00AC044E"/>
    <w:rsid w:val="00AC1E52"/>
    <w:rsid w:val="00AC2282"/>
    <w:rsid w:val="00AC264C"/>
    <w:rsid w:val="00AC2848"/>
    <w:rsid w:val="00AC3582"/>
    <w:rsid w:val="00AC3974"/>
    <w:rsid w:val="00AC3B47"/>
    <w:rsid w:val="00AC3ED9"/>
    <w:rsid w:val="00AC40F7"/>
    <w:rsid w:val="00AC43BF"/>
    <w:rsid w:val="00AC473F"/>
    <w:rsid w:val="00AC49A3"/>
    <w:rsid w:val="00AC4D64"/>
    <w:rsid w:val="00AC5109"/>
    <w:rsid w:val="00AC5EDD"/>
    <w:rsid w:val="00AC6BC5"/>
    <w:rsid w:val="00AC6C01"/>
    <w:rsid w:val="00AC7169"/>
    <w:rsid w:val="00AC737C"/>
    <w:rsid w:val="00AC76F2"/>
    <w:rsid w:val="00AC79EF"/>
    <w:rsid w:val="00AC7E76"/>
    <w:rsid w:val="00AD02B9"/>
    <w:rsid w:val="00AD0647"/>
    <w:rsid w:val="00AD0814"/>
    <w:rsid w:val="00AD0B38"/>
    <w:rsid w:val="00AD0D91"/>
    <w:rsid w:val="00AD1AD8"/>
    <w:rsid w:val="00AD1B1B"/>
    <w:rsid w:val="00AD2530"/>
    <w:rsid w:val="00AD258B"/>
    <w:rsid w:val="00AD2C94"/>
    <w:rsid w:val="00AD3894"/>
    <w:rsid w:val="00AD3C57"/>
    <w:rsid w:val="00AD405B"/>
    <w:rsid w:val="00AD4076"/>
    <w:rsid w:val="00AD47D8"/>
    <w:rsid w:val="00AD4E34"/>
    <w:rsid w:val="00AD52AD"/>
    <w:rsid w:val="00AD5AFD"/>
    <w:rsid w:val="00AD5E5C"/>
    <w:rsid w:val="00AD6B65"/>
    <w:rsid w:val="00AD741C"/>
    <w:rsid w:val="00AD74B2"/>
    <w:rsid w:val="00AD78D1"/>
    <w:rsid w:val="00AE0021"/>
    <w:rsid w:val="00AE0661"/>
    <w:rsid w:val="00AE06FD"/>
    <w:rsid w:val="00AE0B07"/>
    <w:rsid w:val="00AE0D4E"/>
    <w:rsid w:val="00AE1BCD"/>
    <w:rsid w:val="00AE1F53"/>
    <w:rsid w:val="00AE2593"/>
    <w:rsid w:val="00AE27B2"/>
    <w:rsid w:val="00AE2950"/>
    <w:rsid w:val="00AE29CF"/>
    <w:rsid w:val="00AE33F8"/>
    <w:rsid w:val="00AE3DC9"/>
    <w:rsid w:val="00AE3EFA"/>
    <w:rsid w:val="00AE3F9D"/>
    <w:rsid w:val="00AE4008"/>
    <w:rsid w:val="00AE4100"/>
    <w:rsid w:val="00AE4E7F"/>
    <w:rsid w:val="00AE5006"/>
    <w:rsid w:val="00AE50F9"/>
    <w:rsid w:val="00AE56DE"/>
    <w:rsid w:val="00AE5909"/>
    <w:rsid w:val="00AE5C7E"/>
    <w:rsid w:val="00AE5E7B"/>
    <w:rsid w:val="00AE6007"/>
    <w:rsid w:val="00AE69AB"/>
    <w:rsid w:val="00AE6B96"/>
    <w:rsid w:val="00AE6D5C"/>
    <w:rsid w:val="00AE71CE"/>
    <w:rsid w:val="00AE79DE"/>
    <w:rsid w:val="00AE7C5C"/>
    <w:rsid w:val="00AE7D45"/>
    <w:rsid w:val="00AF0747"/>
    <w:rsid w:val="00AF076E"/>
    <w:rsid w:val="00AF07D4"/>
    <w:rsid w:val="00AF0D6B"/>
    <w:rsid w:val="00AF11BF"/>
    <w:rsid w:val="00AF172C"/>
    <w:rsid w:val="00AF1876"/>
    <w:rsid w:val="00AF212F"/>
    <w:rsid w:val="00AF21B9"/>
    <w:rsid w:val="00AF2AF6"/>
    <w:rsid w:val="00AF2B23"/>
    <w:rsid w:val="00AF2E56"/>
    <w:rsid w:val="00AF2EE8"/>
    <w:rsid w:val="00AF32F0"/>
    <w:rsid w:val="00AF3A1C"/>
    <w:rsid w:val="00AF4302"/>
    <w:rsid w:val="00AF43AC"/>
    <w:rsid w:val="00AF451A"/>
    <w:rsid w:val="00AF5355"/>
    <w:rsid w:val="00AF5A3D"/>
    <w:rsid w:val="00AF5ADA"/>
    <w:rsid w:val="00AF5C22"/>
    <w:rsid w:val="00AF6228"/>
    <w:rsid w:val="00AF6483"/>
    <w:rsid w:val="00AF65B5"/>
    <w:rsid w:val="00AF6832"/>
    <w:rsid w:val="00AF6BD2"/>
    <w:rsid w:val="00AF6F94"/>
    <w:rsid w:val="00AF73DF"/>
    <w:rsid w:val="00AF7630"/>
    <w:rsid w:val="00AF7A4E"/>
    <w:rsid w:val="00AF7AD0"/>
    <w:rsid w:val="00B0019C"/>
    <w:rsid w:val="00B01064"/>
    <w:rsid w:val="00B015A0"/>
    <w:rsid w:val="00B027AC"/>
    <w:rsid w:val="00B02DD9"/>
    <w:rsid w:val="00B03003"/>
    <w:rsid w:val="00B039EF"/>
    <w:rsid w:val="00B04C05"/>
    <w:rsid w:val="00B04EF5"/>
    <w:rsid w:val="00B05580"/>
    <w:rsid w:val="00B0608D"/>
    <w:rsid w:val="00B0633A"/>
    <w:rsid w:val="00B06F2F"/>
    <w:rsid w:val="00B07A09"/>
    <w:rsid w:val="00B07A2B"/>
    <w:rsid w:val="00B07F91"/>
    <w:rsid w:val="00B10C3F"/>
    <w:rsid w:val="00B10F5D"/>
    <w:rsid w:val="00B11034"/>
    <w:rsid w:val="00B1115A"/>
    <w:rsid w:val="00B11B01"/>
    <w:rsid w:val="00B11BBB"/>
    <w:rsid w:val="00B11F87"/>
    <w:rsid w:val="00B1206E"/>
    <w:rsid w:val="00B12180"/>
    <w:rsid w:val="00B12186"/>
    <w:rsid w:val="00B1255D"/>
    <w:rsid w:val="00B12753"/>
    <w:rsid w:val="00B129AE"/>
    <w:rsid w:val="00B12C4E"/>
    <w:rsid w:val="00B12FAF"/>
    <w:rsid w:val="00B136D7"/>
    <w:rsid w:val="00B13B32"/>
    <w:rsid w:val="00B13B4B"/>
    <w:rsid w:val="00B13B62"/>
    <w:rsid w:val="00B145F1"/>
    <w:rsid w:val="00B14827"/>
    <w:rsid w:val="00B14E0C"/>
    <w:rsid w:val="00B15531"/>
    <w:rsid w:val="00B15B11"/>
    <w:rsid w:val="00B15F64"/>
    <w:rsid w:val="00B16016"/>
    <w:rsid w:val="00B167B6"/>
    <w:rsid w:val="00B169D4"/>
    <w:rsid w:val="00B16FC9"/>
    <w:rsid w:val="00B171F9"/>
    <w:rsid w:val="00B178BB"/>
    <w:rsid w:val="00B20803"/>
    <w:rsid w:val="00B20D6A"/>
    <w:rsid w:val="00B21374"/>
    <w:rsid w:val="00B21810"/>
    <w:rsid w:val="00B21E5F"/>
    <w:rsid w:val="00B21F05"/>
    <w:rsid w:val="00B21FF1"/>
    <w:rsid w:val="00B22052"/>
    <w:rsid w:val="00B227DE"/>
    <w:rsid w:val="00B22C29"/>
    <w:rsid w:val="00B22F00"/>
    <w:rsid w:val="00B23393"/>
    <w:rsid w:val="00B23734"/>
    <w:rsid w:val="00B2386E"/>
    <w:rsid w:val="00B23BD0"/>
    <w:rsid w:val="00B23DD6"/>
    <w:rsid w:val="00B23E5A"/>
    <w:rsid w:val="00B247A2"/>
    <w:rsid w:val="00B24C21"/>
    <w:rsid w:val="00B24D65"/>
    <w:rsid w:val="00B26288"/>
    <w:rsid w:val="00B2700E"/>
    <w:rsid w:val="00B27598"/>
    <w:rsid w:val="00B279D5"/>
    <w:rsid w:val="00B27E6C"/>
    <w:rsid w:val="00B30101"/>
    <w:rsid w:val="00B305C8"/>
    <w:rsid w:val="00B30825"/>
    <w:rsid w:val="00B30C24"/>
    <w:rsid w:val="00B30D52"/>
    <w:rsid w:val="00B31509"/>
    <w:rsid w:val="00B31CFC"/>
    <w:rsid w:val="00B31DB7"/>
    <w:rsid w:val="00B32767"/>
    <w:rsid w:val="00B327DA"/>
    <w:rsid w:val="00B3305E"/>
    <w:rsid w:val="00B33320"/>
    <w:rsid w:val="00B335B7"/>
    <w:rsid w:val="00B3369D"/>
    <w:rsid w:val="00B33BE2"/>
    <w:rsid w:val="00B3409D"/>
    <w:rsid w:val="00B3442E"/>
    <w:rsid w:val="00B34B79"/>
    <w:rsid w:val="00B34BB8"/>
    <w:rsid w:val="00B35234"/>
    <w:rsid w:val="00B35350"/>
    <w:rsid w:val="00B35414"/>
    <w:rsid w:val="00B35458"/>
    <w:rsid w:val="00B35EB8"/>
    <w:rsid w:val="00B362A3"/>
    <w:rsid w:val="00B362C0"/>
    <w:rsid w:val="00B36BDD"/>
    <w:rsid w:val="00B36F39"/>
    <w:rsid w:val="00B3704C"/>
    <w:rsid w:val="00B37157"/>
    <w:rsid w:val="00B37570"/>
    <w:rsid w:val="00B37923"/>
    <w:rsid w:val="00B37C9C"/>
    <w:rsid w:val="00B37D5E"/>
    <w:rsid w:val="00B4070C"/>
    <w:rsid w:val="00B40FD1"/>
    <w:rsid w:val="00B4115D"/>
    <w:rsid w:val="00B411A0"/>
    <w:rsid w:val="00B4149D"/>
    <w:rsid w:val="00B415DA"/>
    <w:rsid w:val="00B4160E"/>
    <w:rsid w:val="00B4179B"/>
    <w:rsid w:val="00B417B0"/>
    <w:rsid w:val="00B4258C"/>
    <w:rsid w:val="00B42591"/>
    <w:rsid w:val="00B428CE"/>
    <w:rsid w:val="00B42E2A"/>
    <w:rsid w:val="00B43018"/>
    <w:rsid w:val="00B43053"/>
    <w:rsid w:val="00B4324A"/>
    <w:rsid w:val="00B432A2"/>
    <w:rsid w:val="00B433A0"/>
    <w:rsid w:val="00B43593"/>
    <w:rsid w:val="00B43828"/>
    <w:rsid w:val="00B438FB"/>
    <w:rsid w:val="00B4398D"/>
    <w:rsid w:val="00B440D7"/>
    <w:rsid w:val="00B4419D"/>
    <w:rsid w:val="00B4425B"/>
    <w:rsid w:val="00B448D5"/>
    <w:rsid w:val="00B4493C"/>
    <w:rsid w:val="00B44CDF"/>
    <w:rsid w:val="00B45448"/>
    <w:rsid w:val="00B4545D"/>
    <w:rsid w:val="00B455BE"/>
    <w:rsid w:val="00B455DC"/>
    <w:rsid w:val="00B45D80"/>
    <w:rsid w:val="00B463DC"/>
    <w:rsid w:val="00B46543"/>
    <w:rsid w:val="00B46749"/>
    <w:rsid w:val="00B46AB9"/>
    <w:rsid w:val="00B4708E"/>
    <w:rsid w:val="00B47596"/>
    <w:rsid w:val="00B47930"/>
    <w:rsid w:val="00B47D69"/>
    <w:rsid w:val="00B47DD7"/>
    <w:rsid w:val="00B50367"/>
    <w:rsid w:val="00B50465"/>
    <w:rsid w:val="00B5055E"/>
    <w:rsid w:val="00B508A3"/>
    <w:rsid w:val="00B509A3"/>
    <w:rsid w:val="00B50A99"/>
    <w:rsid w:val="00B513D9"/>
    <w:rsid w:val="00B5187B"/>
    <w:rsid w:val="00B51A0A"/>
    <w:rsid w:val="00B51F52"/>
    <w:rsid w:val="00B5202D"/>
    <w:rsid w:val="00B52A91"/>
    <w:rsid w:val="00B532A6"/>
    <w:rsid w:val="00B532E2"/>
    <w:rsid w:val="00B53B77"/>
    <w:rsid w:val="00B53D2F"/>
    <w:rsid w:val="00B53D4B"/>
    <w:rsid w:val="00B53E1F"/>
    <w:rsid w:val="00B53FFD"/>
    <w:rsid w:val="00B54205"/>
    <w:rsid w:val="00B54BD8"/>
    <w:rsid w:val="00B54D25"/>
    <w:rsid w:val="00B54E53"/>
    <w:rsid w:val="00B55036"/>
    <w:rsid w:val="00B55066"/>
    <w:rsid w:val="00B556C0"/>
    <w:rsid w:val="00B55AE2"/>
    <w:rsid w:val="00B55B1C"/>
    <w:rsid w:val="00B55B3E"/>
    <w:rsid w:val="00B55D04"/>
    <w:rsid w:val="00B55D82"/>
    <w:rsid w:val="00B5664E"/>
    <w:rsid w:val="00B567D7"/>
    <w:rsid w:val="00B56AFF"/>
    <w:rsid w:val="00B56B80"/>
    <w:rsid w:val="00B56D7A"/>
    <w:rsid w:val="00B574DF"/>
    <w:rsid w:val="00B5775A"/>
    <w:rsid w:val="00B57C70"/>
    <w:rsid w:val="00B60CBE"/>
    <w:rsid w:val="00B60DAA"/>
    <w:rsid w:val="00B61F50"/>
    <w:rsid w:val="00B623EF"/>
    <w:rsid w:val="00B6277B"/>
    <w:rsid w:val="00B62DC9"/>
    <w:rsid w:val="00B6361D"/>
    <w:rsid w:val="00B639E0"/>
    <w:rsid w:val="00B63F53"/>
    <w:rsid w:val="00B641B4"/>
    <w:rsid w:val="00B643E5"/>
    <w:rsid w:val="00B6453A"/>
    <w:rsid w:val="00B64A70"/>
    <w:rsid w:val="00B64CDC"/>
    <w:rsid w:val="00B65216"/>
    <w:rsid w:val="00B6521C"/>
    <w:rsid w:val="00B66075"/>
    <w:rsid w:val="00B6635D"/>
    <w:rsid w:val="00B67508"/>
    <w:rsid w:val="00B67FAF"/>
    <w:rsid w:val="00B7025B"/>
    <w:rsid w:val="00B70268"/>
    <w:rsid w:val="00B70354"/>
    <w:rsid w:val="00B7070F"/>
    <w:rsid w:val="00B70DE1"/>
    <w:rsid w:val="00B710A9"/>
    <w:rsid w:val="00B7110F"/>
    <w:rsid w:val="00B7176D"/>
    <w:rsid w:val="00B71805"/>
    <w:rsid w:val="00B72828"/>
    <w:rsid w:val="00B73853"/>
    <w:rsid w:val="00B7389F"/>
    <w:rsid w:val="00B73E0B"/>
    <w:rsid w:val="00B73F6B"/>
    <w:rsid w:val="00B74229"/>
    <w:rsid w:val="00B7428B"/>
    <w:rsid w:val="00B7458E"/>
    <w:rsid w:val="00B745FF"/>
    <w:rsid w:val="00B758EE"/>
    <w:rsid w:val="00B7598E"/>
    <w:rsid w:val="00B75CD2"/>
    <w:rsid w:val="00B76446"/>
    <w:rsid w:val="00B764AC"/>
    <w:rsid w:val="00B7667E"/>
    <w:rsid w:val="00B767FA"/>
    <w:rsid w:val="00B76895"/>
    <w:rsid w:val="00B7693A"/>
    <w:rsid w:val="00B76A16"/>
    <w:rsid w:val="00B76AB1"/>
    <w:rsid w:val="00B76E18"/>
    <w:rsid w:val="00B777A9"/>
    <w:rsid w:val="00B80857"/>
    <w:rsid w:val="00B80A03"/>
    <w:rsid w:val="00B80F7E"/>
    <w:rsid w:val="00B813DB"/>
    <w:rsid w:val="00B81B03"/>
    <w:rsid w:val="00B81B09"/>
    <w:rsid w:val="00B81B36"/>
    <w:rsid w:val="00B81F7B"/>
    <w:rsid w:val="00B82275"/>
    <w:rsid w:val="00B827F7"/>
    <w:rsid w:val="00B835BF"/>
    <w:rsid w:val="00B8383C"/>
    <w:rsid w:val="00B84B74"/>
    <w:rsid w:val="00B84BAE"/>
    <w:rsid w:val="00B84E2C"/>
    <w:rsid w:val="00B84E52"/>
    <w:rsid w:val="00B84EC5"/>
    <w:rsid w:val="00B8526D"/>
    <w:rsid w:val="00B85760"/>
    <w:rsid w:val="00B8580A"/>
    <w:rsid w:val="00B86028"/>
    <w:rsid w:val="00B86409"/>
    <w:rsid w:val="00B8641B"/>
    <w:rsid w:val="00B8648A"/>
    <w:rsid w:val="00B86952"/>
    <w:rsid w:val="00B86B48"/>
    <w:rsid w:val="00B86F79"/>
    <w:rsid w:val="00B8722F"/>
    <w:rsid w:val="00B87713"/>
    <w:rsid w:val="00B87A84"/>
    <w:rsid w:val="00B902F4"/>
    <w:rsid w:val="00B90475"/>
    <w:rsid w:val="00B9071F"/>
    <w:rsid w:val="00B9095C"/>
    <w:rsid w:val="00B90C38"/>
    <w:rsid w:val="00B90D8F"/>
    <w:rsid w:val="00B90FB1"/>
    <w:rsid w:val="00B9123F"/>
    <w:rsid w:val="00B91539"/>
    <w:rsid w:val="00B91C14"/>
    <w:rsid w:val="00B91EA1"/>
    <w:rsid w:val="00B92319"/>
    <w:rsid w:val="00B92949"/>
    <w:rsid w:val="00B92B2F"/>
    <w:rsid w:val="00B92BB2"/>
    <w:rsid w:val="00B93464"/>
    <w:rsid w:val="00B934BB"/>
    <w:rsid w:val="00B935F2"/>
    <w:rsid w:val="00B93FD8"/>
    <w:rsid w:val="00B94692"/>
    <w:rsid w:val="00B947E5"/>
    <w:rsid w:val="00B951BF"/>
    <w:rsid w:val="00B956C2"/>
    <w:rsid w:val="00B95739"/>
    <w:rsid w:val="00B9589D"/>
    <w:rsid w:val="00B95DC4"/>
    <w:rsid w:val="00B9607B"/>
    <w:rsid w:val="00B96188"/>
    <w:rsid w:val="00B96522"/>
    <w:rsid w:val="00B96602"/>
    <w:rsid w:val="00B96AFD"/>
    <w:rsid w:val="00B96BD7"/>
    <w:rsid w:val="00B970C9"/>
    <w:rsid w:val="00B97D00"/>
    <w:rsid w:val="00B97D02"/>
    <w:rsid w:val="00BA08DD"/>
    <w:rsid w:val="00BA1142"/>
    <w:rsid w:val="00BA11AC"/>
    <w:rsid w:val="00BA1BE0"/>
    <w:rsid w:val="00BA1E32"/>
    <w:rsid w:val="00BA266A"/>
    <w:rsid w:val="00BA2931"/>
    <w:rsid w:val="00BA2B42"/>
    <w:rsid w:val="00BA2FA6"/>
    <w:rsid w:val="00BA32ED"/>
    <w:rsid w:val="00BA3DA3"/>
    <w:rsid w:val="00BA3E11"/>
    <w:rsid w:val="00BA3E87"/>
    <w:rsid w:val="00BA4044"/>
    <w:rsid w:val="00BA417B"/>
    <w:rsid w:val="00BA4196"/>
    <w:rsid w:val="00BA41EB"/>
    <w:rsid w:val="00BA42C5"/>
    <w:rsid w:val="00BA44B1"/>
    <w:rsid w:val="00BA581D"/>
    <w:rsid w:val="00BA59E2"/>
    <w:rsid w:val="00BA5A9D"/>
    <w:rsid w:val="00BA62BE"/>
    <w:rsid w:val="00BA7C88"/>
    <w:rsid w:val="00BB058F"/>
    <w:rsid w:val="00BB0E8B"/>
    <w:rsid w:val="00BB134F"/>
    <w:rsid w:val="00BB13AF"/>
    <w:rsid w:val="00BB194D"/>
    <w:rsid w:val="00BB1BC6"/>
    <w:rsid w:val="00BB1E2D"/>
    <w:rsid w:val="00BB1E84"/>
    <w:rsid w:val="00BB2803"/>
    <w:rsid w:val="00BB2A07"/>
    <w:rsid w:val="00BB2C6D"/>
    <w:rsid w:val="00BB2D06"/>
    <w:rsid w:val="00BB35E2"/>
    <w:rsid w:val="00BB377D"/>
    <w:rsid w:val="00BB386C"/>
    <w:rsid w:val="00BB3B50"/>
    <w:rsid w:val="00BB405C"/>
    <w:rsid w:val="00BB40BA"/>
    <w:rsid w:val="00BB415D"/>
    <w:rsid w:val="00BB4454"/>
    <w:rsid w:val="00BB4C96"/>
    <w:rsid w:val="00BB50D4"/>
    <w:rsid w:val="00BB5285"/>
    <w:rsid w:val="00BB5552"/>
    <w:rsid w:val="00BB5570"/>
    <w:rsid w:val="00BB5605"/>
    <w:rsid w:val="00BB56F3"/>
    <w:rsid w:val="00BB56F8"/>
    <w:rsid w:val="00BB5E67"/>
    <w:rsid w:val="00BB620E"/>
    <w:rsid w:val="00BB6294"/>
    <w:rsid w:val="00BB6CA7"/>
    <w:rsid w:val="00BB72B7"/>
    <w:rsid w:val="00BC059A"/>
    <w:rsid w:val="00BC115C"/>
    <w:rsid w:val="00BC14E9"/>
    <w:rsid w:val="00BC1B5E"/>
    <w:rsid w:val="00BC1DB3"/>
    <w:rsid w:val="00BC1DBF"/>
    <w:rsid w:val="00BC1E23"/>
    <w:rsid w:val="00BC1F05"/>
    <w:rsid w:val="00BC2168"/>
    <w:rsid w:val="00BC2280"/>
    <w:rsid w:val="00BC261B"/>
    <w:rsid w:val="00BC2871"/>
    <w:rsid w:val="00BC296A"/>
    <w:rsid w:val="00BC29D5"/>
    <w:rsid w:val="00BC2BD1"/>
    <w:rsid w:val="00BC3025"/>
    <w:rsid w:val="00BC3199"/>
    <w:rsid w:val="00BC31B6"/>
    <w:rsid w:val="00BC343A"/>
    <w:rsid w:val="00BC346C"/>
    <w:rsid w:val="00BC3ABA"/>
    <w:rsid w:val="00BC3D6E"/>
    <w:rsid w:val="00BC3F85"/>
    <w:rsid w:val="00BC40C6"/>
    <w:rsid w:val="00BC4179"/>
    <w:rsid w:val="00BC48F2"/>
    <w:rsid w:val="00BC4C9C"/>
    <w:rsid w:val="00BC5217"/>
    <w:rsid w:val="00BC580C"/>
    <w:rsid w:val="00BC5AC7"/>
    <w:rsid w:val="00BC603D"/>
    <w:rsid w:val="00BC608C"/>
    <w:rsid w:val="00BC616F"/>
    <w:rsid w:val="00BC6C6A"/>
    <w:rsid w:val="00BC7451"/>
    <w:rsid w:val="00BC7456"/>
    <w:rsid w:val="00BC752E"/>
    <w:rsid w:val="00BC7618"/>
    <w:rsid w:val="00BD02B1"/>
    <w:rsid w:val="00BD04E2"/>
    <w:rsid w:val="00BD0956"/>
    <w:rsid w:val="00BD0BA9"/>
    <w:rsid w:val="00BD1007"/>
    <w:rsid w:val="00BD1060"/>
    <w:rsid w:val="00BD14AC"/>
    <w:rsid w:val="00BD18B2"/>
    <w:rsid w:val="00BD1EF0"/>
    <w:rsid w:val="00BD2AD8"/>
    <w:rsid w:val="00BD35DE"/>
    <w:rsid w:val="00BD3B72"/>
    <w:rsid w:val="00BD4DFE"/>
    <w:rsid w:val="00BD4E79"/>
    <w:rsid w:val="00BD5070"/>
    <w:rsid w:val="00BD50E7"/>
    <w:rsid w:val="00BD54F5"/>
    <w:rsid w:val="00BD5F07"/>
    <w:rsid w:val="00BD675D"/>
    <w:rsid w:val="00BD690F"/>
    <w:rsid w:val="00BD6E7F"/>
    <w:rsid w:val="00BD747F"/>
    <w:rsid w:val="00BD7993"/>
    <w:rsid w:val="00BD7B9F"/>
    <w:rsid w:val="00BD7BA6"/>
    <w:rsid w:val="00BD7D0C"/>
    <w:rsid w:val="00BD7F92"/>
    <w:rsid w:val="00BE0048"/>
    <w:rsid w:val="00BE1B44"/>
    <w:rsid w:val="00BE1EE0"/>
    <w:rsid w:val="00BE2DF8"/>
    <w:rsid w:val="00BE2EA8"/>
    <w:rsid w:val="00BE334F"/>
    <w:rsid w:val="00BE38C8"/>
    <w:rsid w:val="00BE3993"/>
    <w:rsid w:val="00BE3D5D"/>
    <w:rsid w:val="00BE3E94"/>
    <w:rsid w:val="00BE4669"/>
    <w:rsid w:val="00BE4862"/>
    <w:rsid w:val="00BE50AB"/>
    <w:rsid w:val="00BE5531"/>
    <w:rsid w:val="00BE59D0"/>
    <w:rsid w:val="00BE69A3"/>
    <w:rsid w:val="00BE6AD7"/>
    <w:rsid w:val="00BE6F47"/>
    <w:rsid w:val="00BE6FD3"/>
    <w:rsid w:val="00BE7460"/>
    <w:rsid w:val="00BE748C"/>
    <w:rsid w:val="00BE7B75"/>
    <w:rsid w:val="00BF0103"/>
    <w:rsid w:val="00BF036C"/>
    <w:rsid w:val="00BF0B40"/>
    <w:rsid w:val="00BF0B45"/>
    <w:rsid w:val="00BF0B5F"/>
    <w:rsid w:val="00BF1136"/>
    <w:rsid w:val="00BF1D27"/>
    <w:rsid w:val="00BF1DF9"/>
    <w:rsid w:val="00BF20CE"/>
    <w:rsid w:val="00BF2117"/>
    <w:rsid w:val="00BF2189"/>
    <w:rsid w:val="00BF2265"/>
    <w:rsid w:val="00BF238D"/>
    <w:rsid w:val="00BF2457"/>
    <w:rsid w:val="00BF2473"/>
    <w:rsid w:val="00BF25B0"/>
    <w:rsid w:val="00BF3087"/>
    <w:rsid w:val="00BF3175"/>
    <w:rsid w:val="00BF32C7"/>
    <w:rsid w:val="00BF360E"/>
    <w:rsid w:val="00BF3C05"/>
    <w:rsid w:val="00BF40CE"/>
    <w:rsid w:val="00BF42CC"/>
    <w:rsid w:val="00BF4575"/>
    <w:rsid w:val="00BF4790"/>
    <w:rsid w:val="00BF5057"/>
    <w:rsid w:val="00BF5118"/>
    <w:rsid w:val="00BF5139"/>
    <w:rsid w:val="00BF513F"/>
    <w:rsid w:val="00BF55DA"/>
    <w:rsid w:val="00BF58D6"/>
    <w:rsid w:val="00BF5B3D"/>
    <w:rsid w:val="00BF5E26"/>
    <w:rsid w:val="00BF60C8"/>
    <w:rsid w:val="00BF6800"/>
    <w:rsid w:val="00BF687A"/>
    <w:rsid w:val="00BF6C4B"/>
    <w:rsid w:val="00BF71D7"/>
    <w:rsid w:val="00BF7294"/>
    <w:rsid w:val="00BF730C"/>
    <w:rsid w:val="00C00056"/>
    <w:rsid w:val="00C00381"/>
    <w:rsid w:val="00C00473"/>
    <w:rsid w:val="00C00628"/>
    <w:rsid w:val="00C006FA"/>
    <w:rsid w:val="00C00A62"/>
    <w:rsid w:val="00C00E0C"/>
    <w:rsid w:val="00C01258"/>
    <w:rsid w:val="00C013E7"/>
    <w:rsid w:val="00C01510"/>
    <w:rsid w:val="00C02F98"/>
    <w:rsid w:val="00C03412"/>
    <w:rsid w:val="00C0347A"/>
    <w:rsid w:val="00C03AEB"/>
    <w:rsid w:val="00C03FE0"/>
    <w:rsid w:val="00C03FF0"/>
    <w:rsid w:val="00C04273"/>
    <w:rsid w:val="00C04612"/>
    <w:rsid w:val="00C0570E"/>
    <w:rsid w:val="00C05EED"/>
    <w:rsid w:val="00C0607F"/>
    <w:rsid w:val="00C062D0"/>
    <w:rsid w:val="00C06F5A"/>
    <w:rsid w:val="00C07154"/>
    <w:rsid w:val="00C07600"/>
    <w:rsid w:val="00C07A8D"/>
    <w:rsid w:val="00C1013E"/>
    <w:rsid w:val="00C104FE"/>
    <w:rsid w:val="00C10585"/>
    <w:rsid w:val="00C10773"/>
    <w:rsid w:val="00C10838"/>
    <w:rsid w:val="00C114F4"/>
    <w:rsid w:val="00C118A9"/>
    <w:rsid w:val="00C11CCA"/>
    <w:rsid w:val="00C12100"/>
    <w:rsid w:val="00C128E7"/>
    <w:rsid w:val="00C12915"/>
    <w:rsid w:val="00C1360B"/>
    <w:rsid w:val="00C13665"/>
    <w:rsid w:val="00C13C1D"/>
    <w:rsid w:val="00C13E1F"/>
    <w:rsid w:val="00C13E97"/>
    <w:rsid w:val="00C14021"/>
    <w:rsid w:val="00C141ED"/>
    <w:rsid w:val="00C14738"/>
    <w:rsid w:val="00C14960"/>
    <w:rsid w:val="00C14B46"/>
    <w:rsid w:val="00C15703"/>
    <w:rsid w:val="00C157F1"/>
    <w:rsid w:val="00C15E22"/>
    <w:rsid w:val="00C162A2"/>
    <w:rsid w:val="00C1670A"/>
    <w:rsid w:val="00C16C8D"/>
    <w:rsid w:val="00C16D4B"/>
    <w:rsid w:val="00C17BC7"/>
    <w:rsid w:val="00C17BCB"/>
    <w:rsid w:val="00C20154"/>
    <w:rsid w:val="00C202CE"/>
    <w:rsid w:val="00C204B7"/>
    <w:rsid w:val="00C20CBA"/>
    <w:rsid w:val="00C211CE"/>
    <w:rsid w:val="00C214CC"/>
    <w:rsid w:val="00C215B0"/>
    <w:rsid w:val="00C21C1A"/>
    <w:rsid w:val="00C21D62"/>
    <w:rsid w:val="00C22014"/>
    <w:rsid w:val="00C22566"/>
    <w:rsid w:val="00C22BD2"/>
    <w:rsid w:val="00C22F1A"/>
    <w:rsid w:val="00C2312B"/>
    <w:rsid w:val="00C2348D"/>
    <w:rsid w:val="00C23ACE"/>
    <w:rsid w:val="00C23B1C"/>
    <w:rsid w:val="00C2461A"/>
    <w:rsid w:val="00C24A24"/>
    <w:rsid w:val="00C25672"/>
    <w:rsid w:val="00C257B7"/>
    <w:rsid w:val="00C257DB"/>
    <w:rsid w:val="00C2581D"/>
    <w:rsid w:val="00C258AA"/>
    <w:rsid w:val="00C26EAD"/>
    <w:rsid w:val="00C2727F"/>
    <w:rsid w:val="00C278ED"/>
    <w:rsid w:val="00C27AAE"/>
    <w:rsid w:val="00C3002E"/>
    <w:rsid w:val="00C302AA"/>
    <w:rsid w:val="00C302D4"/>
    <w:rsid w:val="00C3030B"/>
    <w:rsid w:val="00C304C8"/>
    <w:rsid w:val="00C304CE"/>
    <w:rsid w:val="00C306DF"/>
    <w:rsid w:val="00C3091A"/>
    <w:rsid w:val="00C30F8A"/>
    <w:rsid w:val="00C310ED"/>
    <w:rsid w:val="00C311DA"/>
    <w:rsid w:val="00C313B4"/>
    <w:rsid w:val="00C317B3"/>
    <w:rsid w:val="00C31E43"/>
    <w:rsid w:val="00C3232C"/>
    <w:rsid w:val="00C32486"/>
    <w:rsid w:val="00C324D0"/>
    <w:rsid w:val="00C3283C"/>
    <w:rsid w:val="00C329D7"/>
    <w:rsid w:val="00C32E3D"/>
    <w:rsid w:val="00C32E7C"/>
    <w:rsid w:val="00C3416B"/>
    <w:rsid w:val="00C34355"/>
    <w:rsid w:val="00C34867"/>
    <w:rsid w:val="00C34897"/>
    <w:rsid w:val="00C348F2"/>
    <w:rsid w:val="00C351BE"/>
    <w:rsid w:val="00C353A9"/>
    <w:rsid w:val="00C35649"/>
    <w:rsid w:val="00C35756"/>
    <w:rsid w:val="00C36252"/>
    <w:rsid w:val="00C3641F"/>
    <w:rsid w:val="00C36E07"/>
    <w:rsid w:val="00C4023A"/>
    <w:rsid w:val="00C40773"/>
    <w:rsid w:val="00C40B2B"/>
    <w:rsid w:val="00C41B48"/>
    <w:rsid w:val="00C41CE2"/>
    <w:rsid w:val="00C41FEC"/>
    <w:rsid w:val="00C42628"/>
    <w:rsid w:val="00C42694"/>
    <w:rsid w:val="00C426DF"/>
    <w:rsid w:val="00C4294E"/>
    <w:rsid w:val="00C42B8D"/>
    <w:rsid w:val="00C42E01"/>
    <w:rsid w:val="00C42E64"/>
    <w:rsid w:val="00C430F8"/>
    <w:rsid w:val="00C43516"/>
    <w:rsid w:val="00C43552"/>
    <w:rsid w:val="00C43948"/>
    <w:rsid w:val="00C43BDE"/>
    <w:rsid w:val="00C43C3B"/>
    <w:rsid w:val="00C43F26"/>
    <w:rsid w:val="00C446B2"/>
    <w:rsid w:val="00C447EF"/>
    <w:rsid w:val="00C44BE3"/>
    <w:rsid w:val="00C45680"/>
    <w:rsid w:val="00C45C83"/>
    <w:rsid w:val="00C461D6"/>
    <w:rsid w:val="00C46874"/>
    <w:rsid w:val="00C47019"/>
    <w:rsid w:val="00C4743C"/>
    <w:rsid w:val="00C47ACC"/>
    <w:rsid w:val="00C47D42"/>
    <w:rsid w:val="00C47F79"/>
    <w:rsid w:val="00C51104"/>
    <w:rsid w:val="00C5143A"/>
    <w:rsid w:val="00C516D5"/>
    <w:rsid w:val="00C51701"/>
    <w:rsid w:val="00C530E7"/>
    <w:rsid w:val="00C5329A"/>
    <w:rsid w:val="00C5347A"/>
    <w:rsid w:val="00C53AF4"/>
    <w:rsid w:val="00C53CFF"/>
    <w:rsid w:val="00C53DC8"/>
    <w:rsid w:val="00C54411"/>
    <w:rsid w:val="00C546F9"/>
    <w:rsid w:val="00C54A0E"/>
    <w:rsid w:val="00C555C9"/>
    <w:rsid w:val="00C56022"/>
    <w:rsid w:val="00C5669D"/>
    <w:rsid w:val="00C567FB"/>
    <w:rsid w:val="00C56C52"/>
    <w:rsid w:val="00C56E59"/>
    <w:rsid w:val="00C56F84"/>
    <w:rsid w:val="00C570DF"/>
    <w:rsid w:val="00C5733A"/>
    <w:rsid w:val="00C575D6"/>
    <w:rsid w:val="00C5779C"/>
    <w:rsid w:val="00C57806"/>
    <w:rsid w:val="00C57A52"/>
    <w:rsid w:val="00C57AAA"/>
    <w:rsid w:val="00C57D27"/>
    <w:rsid w:val="00C604DE"/>
    <w:rsid w:val="00C61051"/>
    <w:rsid w:val="00C619CA"/>
    <w:rsid w:val="00C61E2E"/>
    <w:rsid w:val="00C61FDC"/>
    <w:rsid w:val="00C621B6"/>
    <w:rsid w:val="00C623D2"/>
    <w:rsid w:val="00C62826"/>
    <w:rsid w:val="00C62F36"/>
    <w:rsid w:val="00C63296"/>
    <w:rsid w:val="00C63319"/>
    <w:rsid w:val="00C63658"/>
    <w:rsid w:val="00C63F2B"/>
    <w:rsid w:val="00C64133"/>
    <w:rsid w:val="00C643FF"/>
    <w:rsid w:val="00C64AAC"/>
    <w:rsid w:val="00C64BA2"/>
    <w:rsid w:val="00C64C70"/>
    <w:rsid w:val="00C64F68"/>
    <w:rsid w:val="00C64FDD"/>
    <w:rsid w:val="00C65408"/>
    <w:rsid w:val="00C65585"/>
    <w:rsid w:val="00C656FE"/>
    <w:rsid w:val="00C65DD9"/>
    <w:rsid w:val="00C661EC"/>
    <w:rsid w:val="00C66EE5"/>
    <w:rsid w:val="00C66EFE"/>
    <w:rsid w:val="00C673F8"/>
    <w:rsid w:val="00C67407"/>
    <w:rsid w:val="00C677C4"/>
    <w:rsid w:val="00C67980"/>
    <w:rsid w:val="00C679A7"/>
    <w:rsid w:val="00C679AE"/>
    <w:rsid w:val="00C67C85"/>
    <w:rsid w:val="00C7053B"/>
    <w:rsid w:val="00C708D3"/>
    <w:rsid w:val="00C70E73"/>
    <w:rsid w:val="00C710F0"/>
    <w:rsid w:val="00C723C1"/>
    <w:rsid w:val="00C7271C"/>
    <w:rsid w:val="00C727CE"/>
    <w:rsid w:val="00C72DAE"/>
    <w:rsid w:val="00C72EC0"/>
    <w:rsid w:val="00C72EDA"/>
    <w:rsid w:val="00C7334B"/>
    <w:rsid w:val="00C7363E"/>
    <w:rsid w:val="00C73AE1"/>
    <w:rsid w:val="00C73BEE"/>
    <w:rsid w:val="00C74BED"/>
    <w:rsid w:val="00C75159"/>
    <w:rsid w:val="00C75EDB"/>
    <w:rsid w:val="00C76143"/>
    <w:rsid w:val="00C7618C"/>
    <w:rsid w:val="00C76471"/>
    <w:rsid w:val="00C7648D"/>
    <w:rsid w:val="00C76BB0"/>
    <w:rsid w:val="00C76CFE"/>
    <w:rsid w:val="00C76DB7"/>
    <w:rsid w:val="00C77199"/>
    <w:rsid w:val="00C771F9"/>
    <w:rsid w:val="00C7758C"/>
    <w:rsid w:val="00C7781D"/>
    <w:rsid w:val="00C77864"/>
    <w:rsid w:val="00C77EDF"/>
    <w:rsid w:val="00C80EA1"/>
    <w:rsid w:val="00C81BA1"/>
    <w:rsid w:val="00C81C23"/>
    <w:rsid w:val="00C825B5"/>
    <w:rsid w:val="00C826E4"/>
    <w:rsid w:val="00C82783"/>
    <w:rsid w:val="00C82F7C"/>
    <w:rsid w:val="00C83561"/>
    <w:rsid w:val="00C835C8"/>
    <w:rsid w:val="00C8401D"/>
    <w:rsid w:val="00C8434E"/>
    <w:rsid w:val="00C848CF"/>
    <w:rsid w:val="00C848E4"/>
    <w:rsid w:val="00C85226"/>
    <w:rsid w:val="00C8607E"/>
    <w:rsid w:val="00C861AA"/>
    <w:rsid w:val="00C86429"/>
    <w:rsid w:val="00C86FC1"/>
    <w:rsid w:val="00C8735E"/>
    <w:rsid w:val="00C8754A"/>
    <w:rsid w:val="00C87755"/>
    <w:rsid w:val="00C87AAD"/>
    <w:rsid w:val="00C87C8C"/>
    <w:rsid w:val="00C9038B"/>
    <w:rsid w:val="00C90A69"/>
    <w:rsid w:val="00C90F2B"/>
    <w:rsid w:val="00C90F81"/>
    <w:rsid w:val="00C91166"/>
    <w:rsid w:val="00C91BAF"/>
    <w:rsid w:val="00C91F2E"/>
    <w:rsid w:val="00C920FA"/>
    <w:rsid w:val="00C922BF"/>
    <w:rsid w:val="00C92507"/>
    <w:rsid w:val="00C925D7"/>
    <w:rsid w:val="00C92B4F"/>
    <w:rsid w:val="00C933B9"/>
    <w:rsid w:val="00C934F7"/>
    <w:rsid w:val="00C93E7B"/>
    <w:rsid w:val="00C94668"/>
    <w:rsid w:val="00C9497E"/>
    <w:rsid w:val="00C9497F"/>
    <w:rsid w:val="00C94DDA"/>
    <w:rsid w:val="00C950E7"/>
    <w:rsid w:val="00C95628"/>
    <w:rsid w:val="00C95AF4"/>
    <w:rsid w:val="00C95B6F"/>
    <w:rsid w:val="00C95D3A"/>
    <w:rsid w:val="00C96266"/>
    <w:rsid w:val="00C96762"/>
    <w:rsid w:val="00C96BD1"/>
    <w:rsid w:val="00C96BE5"/>
    <w:rsid w:val="00C9748D"/>
    <w:rsid w:val="00C977C4"/>
    <w:rsid w:val="00C979DC"/>
    <w:rsid w:val="00CA0354"/>
    <w:rsid w:val="00CA066D"/>
    <w:rsid w:val="00CA077B"/>
    <w:rsid w:val="00CA0925"/>
    <w:rsid w:val="00CA0FA6"/>
    <w:rsid w:val="00CA10F0"/>
    <w:rsid w:val="00CA1F6D"/>
    <w:rsid w:val="00CA2109"/>
    <w:rsid w:val="00CA2621"/>
    <w:rsid w:val="00CA27B9"/>
    <w:rsid w:val="00CA2A8D"/>
    <w:rsid w:val="00CA2AB8"/>
    <w:rsid w:val="00CA2C4F"/>
    <w:rsid w:val="00CA2CC4"/>
    <w:rsid w:val="00CA34ED"/>
    <w:rsid w:val="00CA37D8"/>
    <w:rsid w:val="00CA380D"/>
    <w:rsid w:val="00CA38CF"/>
    <w:rsid w:val="00CA3AC1"/>
    <w:rsid w:val="00CA3F1D"/>
    <w:rsid w:val="00CA4B79"/>
    <w:rsid w:val="00CA570E"/>
    <w:rsid w:val="00CA5747"/>
    <w:rsid w:val="00CA58F4"/>
    <w:rsid w:val="00CA5BE8"/>
    <w:rsid w:val="00CA5DBA"/>
    <w:rsid w:val="00CA5E8F"/>
    <w:rsid w:val="00CA5F89"/>
    <w:rsid w:val="00CA6AD6"/>
    <w:rsid w:val="00CA6B5F"/>
    <w:rsid w:val="00CA6C27"/>
    <w:rsid w:val="00CA6CED"/>
    <w:rsid w:val="00CA6CF6"/>
    <w:rsid w:val="00CA704C"/>
    <w:rsid w:val="00CA71D1"/>
    <w:rsid w:val="00CA73E2"/>
    <w:rsid w:val="00CA7513"/>
    <w:rsid w:val="00CA75B0"/>
    <w:rsid w:val="00CA7A37"/>
    <w:rsid w:val="00CA7C8B"/>
    <w:rsid w:val="00CB035A"/>
    <w:rsid w:val="00CB03CA"/>
    <w:rsid w:val="00CB10B2"/>
    <w:rsid w:val="00CB137E"/>
    <w:rsid w:val="00CB16D8"/>
    <w:rsid w:val="00CB18FA"/>
    <w:rsid w:val="00CB1B15"/>
    <w:rsid w:val="00CB1E67"/>
    <w:rsid w:val="00CB2005"/>
    <w:rsid w:val="00CB2272"/>
    <w:rsid w:val="00CB2517"/>
    <w:rsid w:val="00CB26D1"/>
    <w:rsid w:val="00CB2CD1"/>
    <w:rsid w:val="00CB2EFA"/>
    <w:rsid w:val="00CB3316"/>
    <w:rsid w:val="00CB35D3"/>
    <w:rsid w:val="00CB3EE8"/>
    <w:rsid w:val="00CB4ACD"/>
    <w:rsid w:val="00CB4BAE"/>
    <w:rsid w:val="00CB6045"/>
    <w:rsid w:val="00CB6634"/>
    <w:rsid w:val="00CB7517"/>
    <w:rsid w:val="00CB7888"/>
    <w:rsid w:val="00CC0D8D"/>
    <w:rsid w:val="00CC0E67"/>
    <w:rsid w:val="00CC10A3"/>
    <w:rsid w:val="00CC119A"/>
    <w:rsid w:val="00CC126D"/>
    <w:rsid w:val="00CC163B"/>
    <w:rsid w:val="00CC1A2C"/>
    <w:rsid w:val="00CC1C89"/>
    <w:rsid w:val="00CC1EA3"/>
    <w:rsid w:val="00CC29A1"/>
    <w:rsid w:val="00CC359D"/>
    <w:rsid w:val="00CC374C"/>
    <w:rsid w:val="00CC3985"/>
    <w:rsid w:val="00CC3D82"/>
    <w:rsid w:val="00CC3D86"/>
    <w:rsid w:val="00CC4068"/>
    <w:rsid w:val="00CC48C3"/>
    <w:rsid w:val="00CC4C2F"/>
    <w:rsid w:val="00CC4F22"/>
    <w:rsid w:val="00CC51EC"/>
    <w:rsid w:val="00CC5990"/>
    <w:rsid w:val="00CC5B4C"/>
    <w:rsid w:val="00CC5ED5"/>
    <w:rsid w:val="00CC6315"/>
    <w:rsid w:val="00CC6398"/>
    <w:rsid w:val="00CC6CFA"/>
    <w:rsid w:val="00CC7232"/>
    <w:rsid w:val="00CC72C9"/>
    <w:rsid w:val="00CC75CB"/>
    <w:rsid w:val="00CC75DD"/>
    <w:rsid w:val="00CC793C"/>
    <w:rsid w:val="00CC7D35"/>
    <w:rsid w:val="00CC7FC7"/>
    <w:rsid w:val="00CD018A"/>
    <w:rsid w:val="00CD0515"/>
    <w:rsid w:val="00CD0602"/>
    <w:rsid w:val="00CD0613"/>
    <w:rsid w:val="00CD0862"/>
    <w:rsid w:val="00CD0B22"/>
    <w:rsid w:val="00CD12B0"/>
    <w:rsid w:val="00CD1623"/>
    <w:rsid w:val="00CD17CB"/>
    <w:rsid w:val="00CD18B9"/>
    <w:rsid w:val="00CD2370"/>
    <w:rsid w:val="00CD251B"/>
    <w:rsid w:val="00CD2789"/>
    <w:rsid w:val="00CD2D82"/>
    <w:rsid w:val="00CD30E3"/>
    <w:rsid w:val="00CD3142"/>
    <w:rsid w:val="00CD34D3"/>
    <w:rsid w:val="00CD39A2"/>
    <w:rsid w:val="00CD3C18"/>
    <w:rsid w:val="00CD3CC6"/>
    <w:rsid w:val="00CD4209"/>
    <w:rsid w:val="00CD4471"/>
    <w:rsid w:val="00CD4801"/>
    <w:rsid w:val="00CD4A47"/>
    <w:rsid w:val="00CD4B03"/>
    <w:rsid w:val="00CD4CCD"/>
    <w:rsid w:val="00CD5082"/>
    <w:rsid w:val="00CD518F"/>
    <w:rsid w:val="00CD5248"/>
    <w:rsid w:val="00CD5641"/>
    <w:rsid w:val="00CD5FED"/>
    <w:rsid w:val="00CD60C5"/>
    <w:rsid w:val="00CD652A"/>
    <w:rsid w:val="00CD6989"/>
    <w:rsid w:val="00CD6C86"/>
    <w:rsid w:val="00CD776F"/>
    <w:rsid w:val="00CD78F9"/>
    <w:rsid w:val="00CD790F"/>
    <w:rsid w:val="00CD792D"/>
    <w:rsid w:val="00CD7ABE"/>
    <w:rsid w:val="00CD7F21"/>
    <w:rsid w:val="00CE024F"/>
    <w:rsid w:val="00CE08AB"/>
    <w:rsid w:val="00CE1654"/>
    <w:rsid w:val="00CE166D"/>
    <w:rsid w:val="00CE231C"/>
    <w:rsid w:val="00CE2C60"/>
    <w:rsid w:val="00CE2FEB"/>
    <w:rsid w:val="00CE3CE1"/>
    <w:rsid w:val="00CE402D"/>
    <w:rsid w:val="00CE40BE"/>
    <w:rsid w:val="00CE4C20"/>
    <w:rsid w:val="00CE4D33"/>
    <w:rsid w:val="00CE57F4"/>
    <w:rsid w:val="00CE5854"/>
    <w:rsid w:val="00CE588A"/>
    <w:rsid w:val="00CE5CC2"/>
    <w:rsid w:val="00CE6417"/>
    <w:rsid w:val="00CE6561"/>
    <w:rsid w:val="00CE69BC"/>
    <w:rsid w:val="00CE6A4B"/>
    <w:rsid w:val="00CE6CA3"/>
    <w:rsid w:val="00CE7473"/>
    <w:rsid w:val="00CE75D6"/>
    <w:rsid w:val="00CE78B4"/>
    <w:rsid w:val="00CE7B59"/>
    <w:rsid w:val="00CE7C1B"/>
    <w:rsid w:val="00CE7F64"/>
    <w:rsid w:val="00CF031D"/>
    <w:rsid w:val="00CF055F"/>
    <w:rsid w:val="00CF06CA"/>
    <w:rsid w:val="00CF19CA"/>
    <w:rsid w:val="00CF1D0B"/>
    <w:rsid w:val="00CF21C8"/>
    <w:rsid w:val="00CF2499"/>
    <w:rsid w:val="00CF2558"/>
    <w:rsid w:val="00CF2E3D"/>
    <w:rsid w:val="00CF2F2D"/>
    <w:rsid w:val="00CF307D"/>
    <w:rsid w:val="00CF3142"/>
    <w:rsid w:val="00CF3913"/>
    <w:rsid w:val="00CF3926"/>
    <w:rsid w:val="00CF3A08"/>
    <w:rsid w:val="00CF3A45"/>
    <w:rsid w:val="00CF3B87"/>
    <w:rsid w:val="00CF44AF"/>
    <w:rsid w:val="00CF4582"/>
    <w:rsid w:val="00CF4D47"/>
    <w:rsid w:val="00CF500F"/>
    <w:rsid w:val="00CF542D"/>
    <w:rsid w:val="00CF5BFE"/>
    <w:rsid w:val="00CF5E67"/>
    <w:rsid w:val="00CF5F82"/>
    <w:rsid w:val="00CF69DF"/>
    <w:rsid w:val="00CF7632"/>
    <w:rsid w:val="00CF7FA3"/>
    <w:rsid w:val="00D00193"/>
    <w:rsid w:val="00D00608"/>
    <w:rsid w:val="00D00CFB"/>
    <w:rsid w:val="00D01427"/>
    <w:rsid w:val="00D01570"/>
    <w:rsid w:val="00D01589"/>
    <w:rsid w:val="00D015D6"/>
    <w:rsid w:val="00D0248E"/>
    <w:rsid w:val="00D025C4"/>
    <w:rsid w:val="00D02E68"/>
    <w:rsid w:val="00D0336B"/>
    <w:rsid w:val="00D033B1"/>
    <w:rsid w:val="00D03403"/>
    <w:rsid w:val="00D0402D"/>
    <w:rsid w:val="00D043A4"/>
    <w:rsid w:val="00D04490"/>
    <w:rsid w:val="00D04D6B"/>
    <w:rsid w:val="00D04E46"/>
    <w:rsid w:val="00D050C4"/>
    <w:rsid w:val="00D050D2"/>
    <w:rsid w:val="00D052DE"/>
    <w:rsid w:val="00D05511"/>
    <w:rsid w:val="00D056ED"/>
    <w:rsid w:val="00D058D6"/>
    <w:rsid w:val="00D05B17"/>
    <w:rsid w:val="00D05F33"/>
    <w:rsid w:val="00D06203"/>
    <w:rsid w:val="00D06267"/>
    <w:rsid w:val="00D06411"/>
    <w:rsid w:val="00D065DA"/>
    <w:rsid w:val="00D06732"/>
    <w:rsid w:val="00D07575"/>
    <w:rsid w:val="00D07A8F"/>
    <w:rsid w:val="00D07B45"/>
    <w:rsid w:val="00D07D6B"/>
    <w:rsid w:val="00D1039D"/>
    <w:rsid w:val="00D10C85"/>
    <w:rsid w:val="00D113CF"/>
    <w:rsid w:val="00D1170D"/>
    <w:rsid w:val="00D11973"/>
    <w:rsid w:val="00D123DD"/>
    <w:rsid w:val="00D126BF"/>
    <w:rsid w:val="00D129AA"/>
    <w:rsid w:val="00D12AD9"/>
    <w:rsid w:val="00D13199"/>
    <w:rsid w:val="00D13C39"/>
    <w:rsid w:val="00D13D4B"/>
    <w:rsid w:val="00D13DD5"/>
    <w:rsid w:val="00D13E47"/>
    <w:rsid w:val="00D1412A"/>
    <w:rsid w:val="00D1414C"/>
    <w:rsid w:val="00D147AA"/>
    <w:rsid w:val="00D14920"/>
    <w:rsid w:val="00D15018"/>
    <w:rsid w:val="00D15052"/>
    <w:rsid w:val="00D15C64"/>
    <w:rsid w:val="00D15C95"/>
    <w:rsid w:val="00D15E7B"/>
    <w:rsid w:val="00D1614F"/>
    <w:rsid w:val="00D16C3F"/>
    <w:rsid w:val="00D16D39"/>
    <w:rsid w:val="00D16E34"/>
    <w:rsid w:val="00D1789C"/>
    <w:rsid w:val="00D179CA"/>
    <w:rsid w:val="00D17AF9"/>
    <w:rsid w:val="00D17C57"/>
    <w:rsid w:val="00D17DC1"/>
    <w:rsid w:val="00D20666"/>
    <w:rsid w:val="00D20AF2"/>
    <w:rsid w:val="00D20C63"/>
    <w:rsid w:val="00D20EE7"/>
    <w:rsid w:val="00D2107C"/>
    <w:rsid w:val="00D2116A"/>
    <w:rsid w:val="00D2145E"/>
    <w:rsid w:val="00D21485"/>
    <w:rsid w:val="00D221A8"/>
    <w:rsid w:val="00D22324"/>
    <w:rsid w:val="00D22603"/>
    <w:rsid w:val="00D23EE4"/>
    <w:rsid w:val="00D24011"/>
    <w:rsid w:val="00D24609"/>
    <w:rsid w:val="00D2461A"/>
    <w:rsid w:val="00D24662"/>
    <w:rsid w:val="00D24880"/>
    <w:rsid w:val="00D24AD1"/>
    <w:rsid w:val="00D24E65"/>
    <w:rsid w:val="00D24F29"/>
    <w:rsid w:val="00D25482"/>
    <w:rsid w:val="00D2596E"/>
    <w:rsid w:val="00D25A30"/>
    <w:rsid w:val="00D25EB0"/>
    <w:rsid w:val="00D268D9"/>
    <w:rsid w:val="00D2761C"/>
    <w:rsid w:val="00D277B9"/>
    <w:rsid w:val="00D27996"/>
    <w:rsid w:val="00D27B90"/>
    <w:rsid w:val="00D27F31"/>
    <w:rsid w:val="00D30662"/>
    <w:rsid w:val="00D3098C"/>
    <w:rsid w:val="00D30EEC"/>
    <w:rsid w:val="00D310E3"/>
    <w:rsid w:val="00D31345"/>
    <w:rsid w:val="00D31526"/>
    <w:rsid w:val="00D315CB"/>
    <w:rsid w:val="00D316A2"/>
    <w:rsid w:val="00D31850"/>
    <w:rsid w:val="00D31A4D"/>
    <w:rsid w:val="00D31ACC"/>
    <w:rsid w:val="00D32741"/>
    <w:rsid w:val="00D327D1"/>
    <w:rsid w:val="00D32909"/>
    <w:rsid w:val="00D32BDF"/>
    <w:rsid w:val="00D32CFA"/>
    <w:rsid w:val="00D33427"/>
    <w:rsid w:val="00D33815"/>
    <w:rsid w:val="00D348CC"/>
    <w:rsid w:val="00D352E5"/>
    <w:rsid w:val="00D35634"/>
    <w:rsid w:val="00D35680"/>
    <w:rsid w:val="00D35ECB"/>
    <w:rsid w:val="00D36603"/>
    <w:rsid w:val="00D36A49"/>
    <w:rsid w:val="00D36B13"/>
    <w:rsid w:val="00D36BC4"/>
    <w:rsid w:val="00D36FA4"/>
    <w:rsid w:val="00D376AB"/>
    <w:rsid w:val="00D3781A"/>
    <w:rsid w:val="00D37965"/>
    <w:rsid w:val="00D4066D"/>
    <w:rsid w:val="00D40783"/>
    <w:rsid w:val="00D407E4"/>
    <w:rsid w:val="00D40F8F"/>
    <w:rsid w:val="00D41075"/>
    <w:rsid w:val="00D417A1"/>
    <w:rsid w:val="00D4182A"/>
    <w:rsid w:val="00D41B77"/>
    <w:rsid w:val="00D41BB6"/>
    <w:rsid w:val="00D4205D"/>
    <w:rsid w:val="00D4217E"/>
    <w:rsid w:val="00D4249C"/>
    <w:rsid w:val="00D42ACC"/>
    <w:rsid w:val="00D42C26"/>
    <w:rsid w:val="00D42D80"/>
    <w:rsid w:val="00D43071"/>
    <w:rsid w:val="00D43316"/>
    <w:rsid w:val="00D43645"/>
    <w:rsid w:val="00D4419D"/>
    <w:rsid w:val="00D4424B"/>
    <w:rsid w:val="00D4474C"/>
    <w:rsid w:val="00D44C0E"/>
    <w:rsid w:val="00D44E43"/>
    <w:rsid w:val="00D44E91"/>
    <w:rsid w:val="00D45280"/>
    <w:rsid w:val="00D45E01"/>
    <w:rsid w:val="00D45EB2"/>
    <w:rsid w:val="00D46966"/>
    <w:rsid w:val="00D46D92"/>
    <w:rsid w:val="00D46DC4"/>
    <w:rsid w:val="00D473F8"/>
    <w:rsid w:val="00D47775"/>
    <w:rsid w:val="00D4790F"/>
    <w:rsid w:val="00D4799A"/>
    <w:rsid w:val="00D47A2E"/>
    <w:rsid w:val="00D47BC1"/>
    <w:rsid w:val="00D47C20"/>
    <w:rsid w:val="00D500EC"/>
    <w:rsid w:val="00D5041E"/>
    <w:rsid w:val="00D508AF"/>
    <w:rsid w:val="00D51DE8"/>
    <w:rsid w:val="00D51DFC"/>
    <w:rsid w:val="00D52AF5"/>
    <w:rsid w:val="00D52E15"/>
    <w:rsid w:val="00D5370D"/>
    <w:rsid w:val="00D53814"/>
    <w:rsid w:val="00D5397F"/>
    <w:rsid w:val="00D54487"/>
    <w:rsid w:val="00D550A0"/>
    <w:rsid w:val="00D55FF3"/>
    <w:rsid w:val="00D56165"/>
    <w:rsid w:val="00D56350"/>
    <w:rsid w:val="00D56576"/>
    <w:rsid w:val="00D565AF"/>
    <w:rsid w:val="00D56B77"/>
    <w:rsid w:val="00D56CCD"/>
    <w:rsid w:val="00D570C2"/>
    <w:rsid w:val="00D571C1"/>
    <w:rsid w:val="00D57D68"/>
    <w:rsid w:val="00D60847"/>
    <w:rsid w:val="00D6086A"/>
    <w:rsid w:val="00D61146"/>
    <w:rsid w:val="00D61229"/>
    <w:rsid w:val="00D612BA"/>
    <w:rsid w:val="00D6172F"/>
    <w:rsid w:val="00D62A26"/>
    <w:rsid w:val="00D63247"/>
    <w:rsid w:val="00D6337C"/>
    <w:rsid w:val="00D6346E"/>
    <w:rsid w:val="00D63983"/>
    <w:rsid w:val="00D63BBE"/>
    <w:rsid w:val="00D64333"/>
    <w:rsid w:val="00D64581"/>
    <w:rsid w:val="00D648BE"/>
    <w:rsid w:val="00D65286"/>
    <w:rsid w:val="00D65399"/>
    <w:rsid w:val="00D659A2"/>
    <w:rsid w:val="00D65CD8"/>
    <w:rsid w:val="00D65ED2"/>
    <w:rsid w:val="00D666C8"/>
    <w:rsid w:val="00D668FD"/>
    <w:rsid w:val="00D66C09"/>
    <w:rsid w:val="00D66EC5"/>
    <w:rsid w:val="00D6732D"/>
    <w:rsid w:val="00D67F18"/>
    <w:rsid w:val="00D700D3"/>
    <w:rsid w:val="00D7013A"/>
    <w:rsid w:val="00D70371"/>
    <w:rsid w:val="00D706E2"/>
    <w:rsid w:val="00D707B5"/>
    <w:rsid w:val="00D70A7D"/>
    <w:rsid w:val="00D70FCF"/>
    <w:rsid w:val="00D715AA"/>
    <w:rsid w:val="00D71698"/>
    <w:rsid w:val="00D71E77"/>
    <w:rsid w:val="00D72128"/>
    <w:rsid w:val="00D725B8"/>
    <w:rsid w:val="00D73543"/>
    <w:rsid w:val="00D73892"/>
    <w:rsid w:val="00D73ADB"/>
    <w:rsid w:val="00D73CEB"/>
    <w:rsid w:val="00D740D8"/>
    <w:rsid w:val="00D74256"/>
    <w:rsid w:val="00D746EE"/>
    <w:rsid w:val="00D74936"/>
    <w:rsid w:val="00D74F67"/>
    <w:rsid w:val="00D755A4"/>
    <w:rsid w:val="00D7582B"/>
    <w:rsid w:val="00D75D70"/>
    <w:rsid w:val="00D76004"/>
    <w:rsid w:val="00D76134"/>
    <w:rsid w:val="00D76314"/>
    <w:rsid w:val="00D772A3"/>
    <w:rsid w:val="00D7741E"/>
    <w:rsid w:val="00D77B01"/>
    <w:rsid w:val="00D80369"/>
    <w:rsid w:val="00D804D0"/>
    <w:rsid w:val="00D80787"/>
    <w:rsid w:val="00D809B5"/>
    <w:rsid w:val="00D80D91"/>
    <w:rsid w:val="00D80ECA"/>
    <w:rsid w:val="00D81A21"/>
    <w:rsid w:val="00D8241C"/>
    <w:rsid w:val="00D8258D"/>
    <w:rsid w:val="00D825E3"/>
    <w:rsid w:val="00D82667"/>
    <w:rsid w:val="00D8296D"/>
    <w:rsid w:val="00D82AF6"/>
    <w:rsid w:val="00D82FF6"/>
    <w:rsid w:val="00D83553"/>
    <w:rsid w:val="00D836BD"/>
    <w:rsid w:val="00D837B6"/>
    <w:rsid w:val="00D839EE"/>
    <w:rsid w:val="00D83B2A"/>
    <w:rsid w:val="00D84455"/>
    <w:rsid w:val="00D846B8"/>
    <w:rsid w:val="00D84A0E"/>
    <w:rsid w:val="00D86433"/>
    <w:rsid w:val="00D86F48"/>
    <w:rsid w:val="00D87CDC"/>
    <w:rsid w:val="00D908DE"/>
    <w:rsid w:val="00D910AF"/>
    <w:rsid w:val="00D9167B"/>
    <w:rsid w:val="00D91996"/>
    <w:rsid w:val="00D91B75"/>
    <w:rsid w:val="00D91FDC"/>
    <w:rsid w:val="00D92570"/>
    <w:rsid w:val="00D92A58"/>
    <w:rsid w:val="00D92DB5"/>
    <w:rsid w:val="00D931EC"/>
    <w:rsid w:val="00D93239"/>
    <w:rsid w:val="00D93347"/>
    <w:rsid w:val="00D93AC1"/>
    <w:rsid w:val="00D93FC4"/>
    <w:rsid w:val="00D943EE"/>
    <w:rsid w:val="00D94F2B"/>
    <w:rsid w:val="00D95651"/>
    <w:rsid w:val="00D96064"/>
    <w:rsid w:val="00D9635B"/>
    <w:rsid w:val="00D96538"/>
    <w:rsid w:val="00D9695E"/>
    <w:rsid w:val="00D96CAF"/>
    <w:rsid w:val="00D96FF2"/>
    <w:rsid w:val="00D97865"/>
    <w:rsid w:val="00D97A97"/>
    <w:rsid w:val="00D97F27"/>
    <w:rsid w:val="00DA001F"/>
    <w:rsid w:val="00DA03B1"/>
    <w:rsid w:val="00DA0575"/>
    <w:rsid w:val="00DA1068"/>
    <w:rsid w:val="00DA1921"/>
    <w:rsid w:val="00DA1B6A"/>
    <w:rsid w:val="00DA1DE3"/>
    <w:rsid w:val="00DA1FCD"/>
    <w:rsid w:val="00DA229A"/>
    <w:rsid w:val="00DA2845"/>
    <w:rsid w:val="00DA2C37"/>
    <w:rsid w:val="00DA33AC"/>
    <w:rsid w:val="00DA5312"/>
    <w:rsid w:val="00DA5742"/>
    <w:rsid w:val="00DA5FC6"/>
    <w:rsid w:val="00DA6124"/>
    <w:rsid w:val="00DA619C"/>
    <w:rsid w:val="00DA64FF"/>
    <w:rsid w:val="00DA682A"/>
    <w:rsid w:val="00DA6CEE"/>
    <w:rsid w:val="00DA6D5E"/>
    <w:rsid w:val="00DA6DEC"/>
    <w:rsid w:val="00DA6FDC"/>
    <w:rsid w:val="00DA6FF8"/>
    <w:rsid w:val="00DA757F"/>
    <w:rsid w:val="00DA7789"/>
    <w:rsid w:val="00DA781A"/>
    <w:rsid w:val="00DA7AAD"/>
    <w:rsid w:val="00DA7AE1"/>
    <w:rsid w:val="00DA7B24"/>
    <w:rsid w:val="00DB0231"/>
    <w:rsid w:val="00DB0BF6"/>
    <w:rsid w:val="00DB124A"/>
    <w:rsid w:val="00DB1279"/>
    <w:rsid w:val="00DB14EA"/>
    <w:rsid w:val="00DB1A1C"/>
    <w:rsid w:val="00DB2847"/>
    <w:rsid w:val="00DB2B46"/>
    <w:rsid w:val="00DB3120"/>
    <w:rsid w:val="00DB31D1"/>
    <w:rsid w:val="00DB3340"/>
    <w:rsid w:val="00DB358D"/>
    <w:rsid w:val="00DB3EF0"/>
    <w:rsid w:val="00DB3F10"/>
    <w:rsid w:val="00DB5422"/>
    <w:rsid w:val="00DB55D6"/>
    <w:rsid w:val="00DB589A"/>
    <w:rsid w:val="00DB7427"/>
    <w:rsid w:val="00DB765A"/>
    <w:rsid w:val="00DB76A0"/>
    <w:rsid w:val="00DB7C7F"/>
    <w:rsid w:val="00DB7FC1"/>
    <w:rsid w:val="00DC028B"/>
    <w:rsid w:val="00DC052A"/>
    <w:rsid w:val="00DC0B6F"/>
    <w:rsid w:val="00DC0C90"/>
    <w:rsid w:val="00DC11C6"/>
    <w:rsid w:val="00DC2501"/>
    <w:rsid w:val="00DC287D"/>
    <w:rsid w:val="00DC31C7"/>
    <w:rsid w:val="00DC3376"/>
    <w:rsid w:val="00DC3440"/>
    <w:rsid w:val="00DC3487"/>
    <w:rsid w:val="00DC38D5"/>
    <w:rsid w:val="00DC4275"/>
    <w:rsid w:val="00DC460A"/>
    <w:rsid w:val="00DC49B8"/>
    <w:rsid w:val="00DC4EB5"/>
    <w:rsid w:val="00DC50BE"/>
    <w:rsid w:val="00DC5105"/>
    <w:rsid w:val="00DC5674"/>
    <w:rsid w:val="00DC58ED"/>
    <w:rsid w:val="00DC5973"/>
    <w:rsid w:val="00DC5B2D"/>
    <w:rsid w:val="00DC5F9B"/>
    <w:rsid w:val="00DC62C5"/>
    <w:rsid w:val="00DC6343"/>
    <w:rsid w:val="00DC637A"/>
    <w:rsid w:val="00DC6A07"/>
    <w:rsid w:val="00DC7045"/>
    <w:rsid w:val="00DC7192"/>
    <w:rsid w:val="00DC762E"/>
    <w:rsid w:val="00DD02F8"/>
    <w:rsid w:val="00DD08FF"/>
    <w:rsid w:val="00DD12C6"/>
    <w:rsid w:val="00DD1689"/>
    <w:rsid w:val="00DD17B3"/>
    <w:rsid w:val="00DD19E1"/>
    <w:rsid w:val="00DD1A3B"/>
    <w:rsid w:val="00DD274F"/>
    <w:rsid w:val="00DD2A51"/>
    <w:rsid w:val="00DD2AF5"/>
    <w:rsid w:val="00DD2B03"/>
    <w:rsid w:val="00DD2C02"/>
    <w:rsid w:val="00DD30F3"/>
    <w:rsid w:val="00DD3151"/>
    <w:rsid w:val="00DD3E78"/>
    <w:rsid w:val="00DD43B5"/>
    <w:rsid w:val="00DD4405"/>
    <w:rsid w:val="00DD4484"/>
    <w:rsid w:val="00DD469A"/>
    <w:rsid w:val="00DD50F8"/>
    <w:rsid w:val="00DD5371"/>
    <w:rsid w:val="00DD53A2"/>
    <w:rsid w:val="00DD544B"/>
    <w:rsid w:val="00DD55E2"/>
    <w:rsid w:val="00DD5882"/>
    <w:rsid w:val="00DD5B40"/>
    <w:rsid w:val="00DD6537"/>
    <w:rsid w:val="00DD6841"/>
    <w:rsid w:val="00DD68FC"/>
    <w:rsid w:val="00DD69C1"/>
    <w:rsid w:val="00DD6CBE"/>
    <w:rsid w:val="00DD71BA"/>
    <w:rsid w:val="00DD7BAB"/>
    <w:rsid w:val="00DD7C6E"/>
    <w:rsid w:val="00DD7E52"/>
    <w:rsid w:val="00DD7F34"/>
    <w:rsid w:val="00DE02F8"/>
    <w:rsid w:val="00DE074C"/>
    <w:rsid w:val="00DE0E49"/>
    <w:rsid w:val="00DE140B"/>
    <w:rsid w:val="00DE1A91"/>
    <w:rsid w:val="00DE1A94"/>
    <w:rsid w:val="00DE1DA0"/>
    <w:rsid w:val="00DE249C"/>
    <w:rsid w:val="00DE290E"/>
    <w:rsid w:val="00DE2D79"/>
    <w:rsid w:val="00DE3300"/>
    <w:rsid w:val="00DE3DE4"/>
    <w:rsid w:val="00DE4045"/>
    <w:rsid w:val="00DE4076"/>
    <w:rsid w:val="00DE48FD"/>
    <w:rsid w:val="00DE4C30"/>
    <w:rsid w:val="00DE515D"/>
    <w:rsid w:val="00DE6486"/>
    <w:rsid w:val="00DE667F"/>
    <w:rsid w:val="00DE67CC"/>
    <w:rsid w:val="00DE72C1"/>
    <w:rsid w:val="00DE74D1"/>
    <w:rsid w:val="00DE7653"/>
    <w:rsid w:val="00DE7B18"/>
    <w:rsid w:val="00DF0A55"/>
    <w:rsid w:val="00DF0AC6"/>
    <w:rsid w:val="00DF0B62"/>
    <w:rsid w:val="00DF0E72"/>
    <w:rsid w:val="00DF2314"/>
    <w:rsid w:val="00DF2342"/>
    <w:rsid w:val="00DF2D0E"/>
    <w:rsid w:val="00DF2D52"/>
    <w:rsid w:val="00DF3A85"/>
    <w:rsid w:val="00DF3AD6"/>
    <w:rsid w:val="00DF3EAE"/>
    <w:rsid w:val="00DF4416"/>
    <w:rsid w:val="00DF5368"/>
    <w:rsid w:val="00DF568C"/>
    <w:rsid w:val="00DF5B4F"/>
    <w:rsid w:val="00DF620F"/>
    <w:rsid w:val="00DF6227"/>
    <w:rsid w:val="00DF650F"/>
    <w:rsid w:val="00DF738A"/>
    <w:rsid w:val="00DF7614"/>
    <w:rsid w:val="00DF7D84"/>
    <w:rsid w:val="00DF7F19"/>
    <w:rsid w:val="00E00243"/>
    <w:rsid w:val="00E003AE"/>
    <w:rsid w:val="00E00460"/>
    <w:rsid w:val="00E007B5"/>
    <w:rsid w:val="00E0091A"/>
    <w:rsid w:val="00E010E5"/>
    <w:rsid w:val="00E01204"/>
    <w:rsid w:val="00E014A2"/>
    <w:rsid w:val="00E01608"/>
    <w:rsid w:val="00E01682"/>
    <w:rsid w:val="00E0187C"/>
    <w:rsid w:val="00E019CF"/>
    <w:rsid w:val="00E019EF"/>
    <w:rsid w:val="00E01E7F"/>
    <w:rsid w:val="00E01F07"/>
    <w:rsid w:val="00E02186"/>
    <w:rsid w:val="00E022AA"/>
    <w:rsid w:val="00E023E5"/>
    <w:rsid w:val="00E0255D"/>
    <w:rsid w:val="00E02610"/>
    <w:rsid w:val="00E0267E"/>
    <w:rsid w:val="00E02F9C"/>
    <w:rsid w:val="00E035A9"/>
    <w:rsid w:val="00E03D40"/>
    <w:rsid w:val="00E04429"/>
    <w:rsid w:val="00E04492"/>
    <w:rsid w:val="00E04594"/>
    <w:rsid w:val="00E047F1"/>
    <w:rsid w:val="00E0487B"/>
    <w:rsid w:val="00E04D78"/>
    <w:rsid w:val="00E05506"/>
    <w:rsid w:val="00E05A72"/>
    <w:rsid w:val="00E05F1B"/>
    <w:rsid w:val="00E06029"/>
    <w:rsid w:val="00E06C58"/>
    <w:rsid w:val="00E0722A"/>
    <w:rsid w:val="00E072AE"/>
    <w:rsid w:val="00E079F4"/>
    <w:rsid w:val="00E07A2B"/>
    <w:rsid w:val="00E10DEE"/>
    <w:rsid w:val="00E111C0"/>
    <w:rsid w:val="00E11431"/>
    <w:rsid w:val="00E114E0"/>
    <w:rsid w:val="00E117ED"/>
    <w:rsid w:val="00E11B0C"/>
    <w:rsid w:val="00E122F6"/>
    <w:rsid w:val="00E12D7A"/>
    <w:rsid w:val="00E13352"/>
    <w:rsid w:val="00E13992"/>
    <w:rsid w:val="00E141E9"/>
    <w:rsid w:val="00E14437"/>
    <w:rsid w:val="00E146ED"/>
    <w:rsid w:val="00E14798"/>
    <w:rsid w:val="00E15013"/>
    <w:rsid w:val="00E150D2"/>
    <w:rsid w:val="00E15D0C"/>
    <w:rsid w:val="00E15DE9"/>
    <w:rsid w:val="00E15F26"/>
    <w:rsid w:val="00E16720"/>
    <w:rsid w:val="00E16722"/>
    <w:rsid w:val="00E16ABF"/>
    <w:rsid w:val="00E171D3"/>
    <w:rsid w:val="00E17254"/>
    <w:rsid w:val="00E177AE"/>
    <w:rsid w:val="00E177CD"/>
    <w:rsid w:val="00E179A4"/>
    <w:rsid w:val="00E17EF8"/>
    <w:rsid w:val="00E17F50"/>
    <w:rsid w:val="00E20221"/>
    <w:rsid w:val="00E2046D"/>
    <w:rsid w:val="00E206B1"/>
    <w:rsid w:val="00E2077A"/>
    <w:rsid w:val="00E20A2D"/>
    <w:rsid w:val="00E20A5F"/>
    <w:rsid w:val="00E20B2C"/>
    <w:rsid w:val="00E20BD4"/>
    <w:rsid w:val="00E20D2A"/>
    <w:rsid w:val="00E20E2D"/>
    <w:rsid w:val="00E20E8B"/>
    <w:rsid w:val="00E21140"/>
    <w:rsid w:val="00E21168"/>
    <w:rsid w:val="00E215E1"/>
    <w:rsid w:val="00E22573"/>
    <w:rsid w:val="00E227F4"/>
    <w:rsid w:val="00E2318B"/>
    <w:rsid w:val="00E231F0"/>
    <w:rsid w:val="00E2362C"/>
    <w:rsid w:val="00E237CE"/>
    <w:rsid w:val="00E23EEF"/>
    <w:rsid w:val="00E240ED"/>
    <w:rsid w:val="00E24940"/>
    <w:rsid w:val="00E24E92"/>
    <w:rsid w:val="00E25165"/>
    <w:rsid w:val="00E258BC"/>
    <w:rsid w:val="00E25A32"/>
    <w:rsid w:val="00E26279"/>
    <w:rsid w:val="00E268A3"/>
    <w:rsid w:val="00E26901"/>
    <w:rsid w:val="00E2694B"/>
    <w:rsid w:val="00E26A61"/>
    <w:rsid w:val="00E26C91"/>
    <w:rsid w:val="00E27547"/>
    <w:rsid w:val="00E27594"/>
    <w:rsid w:val="00E278BB"/>
    <w:rsid w:val="00E27BB3"/>
    <w:rsid w:val="00E27D40"/>
    <w:rsid w:val="00E27D5F"/>
    <w:rsid w:val="00E27E7B"/>
    <w:rsid w:val="00E30435"/>
    <w:rsid w:val="00E3067C"/>
    <w:rsid w:val="00E30F8A"/>
    <w:rsid w:val="00E30FB1"/>
    <w:rsid w:val="00E30FB2"/>
    <w:rsid w:val="00E312D0"/>
    <w:rsid w:val="00E315CA"/>
    <w:rsid w:val="00E31C11"/>
    <w:rsid w:val="00E3201A"/>
    <w:rsid w:val="00E322A4"/>
    <w:rsid w:val="00E32694"/>
    <w:rsid w:val="00E32866"/>
    <w:rsid w:val="00E32BF5"/>
    <w:rsid w:val="00E33102"/>
    <w:rsid w:val="00E3341A"/>
    <w:rsid w:val="00E336F6"/>
    <w:rsid w:val="00E33772"/>
    <w:rsid w:val="00E33775"/>
    <w:rsid w:val="00E33875"/>
    <w:rsid w:val="00E33D13"/>
    <w:rsid w:val="00E33F0F"/>
    <w:rsid w:val="00E3409E"/>
    <w:rsid w:val="00E34717"/>
    <w:rsid w:val="00E349DB"/>
    <w:rsid w:val="00E35401"/>
    <w:rsid w:val="00E3545F"/>
    <w:rsid w:val="00E35903"/>
    <w:rsid w:val="00E35AD7"/>
    <w:rsid w:val="00E3668A"/>
    <w:rsid w:val="00E36860"/>
    <w:rsid w:val="00E3729F"/>
    <w:rsid w:val="00E3740C"/>
    <w:rsid w:val="00E3771F"/>
    <w:rsid w:val="00E40208"/>
    <w:rsid w:val="00E406E8"/>
    <w:rsid w:val="00E4091A"/>
    <w:rsid w:val="00E4105E"/>
    <w:rsid w:val="00E41345"/>
    <w:rsid w:val="00E416F6"/>
    <w:rsid w:val="00E41A2D"/>
    <w:rsid w:val="00E42578"/>
    <w:rsid w:val="00E42A3E"/>
    <w:rsid w:val="00E42DDB"/>
    <w:rsid w:val="00E42E65"/>
    <w:rsid w:val="00E43526"/>
    <w:rsid w:val="00E439F4"/>
    <w:rsid w:val="00E43EA5"/>
    <w:rsid w:val="00E441DE"/>
    <w:rsid w:val="00E44368"/>
    <w:rsid w:val="00E44512"/>
    <w:rsid w:val="00E45344"/>
    <w:rsid w:val="00E461BB"/>
    <w:rsid w:val="00E461E3"/>
    <w:rsid w:val="00E46260"/>
    <w:rsid w:val="00E46C31"/>
    <w:rsid w:val="00E46E73"/>
    <w:rsid w:val="00E476BF"/>
    <w:rsid w:val="00E47870"/>
    <w:rsid w:val="00E47DC3"/>
    <w:rsid w:val="00E504DB"/>
    <w:rsid w:val="00E51047"/>
    <w:rsid w:val="00E51098"/>
    <w:rsid w:val="00E51617"/>
    <w:rsid w:val="00E51B43"/>
    <w:rsid w:val="00E51FEE"/>
    <w:rsid w:val="00E5201F"/>
    <w:rsid w:val="00E52197"/>
    <w:rsid w:val="00E5242A"/>
    <w:rsid w:val="00E52D5F"/>
    <w:rsid w:val="00E541B7"/>
    <w:rsid w:val="00E54416"/>
    <w:rsid w:val="00E54605"/>
    <w:rsid w:val="00E5461B"/>
    <w:rsid w:val="00E54700"/>
    <w:rsid w:val="00E551AA"/>
    <w:rsid w:val="00E55660"/>
    <w:rsid w:val="00E55956"/>
    <w:rsid w:val="00E55D29"/>
    <w:rsid w:val="00E566BA"/>
    <w:rsid w:val="00E56718"/>
    <w:rsid w:val="00E56F71"/>
    <w:rsid w:val="00E5701F"/>
    <w:rsid w:val="00E574B5"/>
    <w:rsid w:val="00E577ED"/>
    <w:rsid w:val="00E57891"/>
    <w:rsid w:val="00E60F16"/>
    <w:rsid w:val="00E61BD6"/>
    <w:rsid w:val="00E624ED"/>
    <w:rsid w:val="00E62F18"/>
    <w:rsid w:val="00E632E9"/>
    <w:rsid w:val="00E63B51"/>
    <w:rsid w:val="00E641AE"/>
    <w:rsid w:val="00E64BD3"/>
    <w:rsid w:val="00E6514F"/>
    <w:rsid w:val="00E6578D"/>
    <w:rsid w:val="00E6596B"/>
    <w:rsid w:val="00E664ED"/>
    <w:rsid w:val="00E6659F"/>
    <w:rsid w:val="00E66730"/>
    <w:rsid w:val="00E6696A"/>
    <w:rsid w:val="00E66DC3"/>
    <w:rsid w:val="00E66F9E"/>
    <w:rsid w:val="00E66FEC"/>
    <w:rsid w:val="00E6738E"/>
    <w:rsid w:val="00E70994"/>
    <w:rsid w:val="00E709CF"/>
    <w:rsid w:val="00E70A67"/>
    <w:rsid w:val="00E70A78"/>
    <w:rsid w:val="00E71648"/>
    <w:rsid w:val="00E718C9"/>
    <w:rsid w:val="00E71902"/>
    <w:rsid w:val="00E71F3D"/>
    <w:rsid w:val="00E72559"/>
    <w:rsid w:val="00E72568"/>
    <w:rsid w:val="00E727CD"/>
    <w:rsid w:val="00E728E7"/>
    <w:rsid w:val="00E733CF"/>
    <w:rsid w:val="00E741E9"/>
    <w:rsid w:val="00E7485B"/>
    <w:rsid w:val="00E7487D"/>
    <w:rsid w:val="00E752B4"/>
    <w:rsid w:val="00E7544B"/>
    <w:rsid w:val="00E75ADE"/>
    <w:rsid w:val="00E76C44"/>
    <w:rsid w:val="00E779B0"/>
    <w:rsid w:val="00E77B2E"/>
    <w:rsid w:val="00E77E36"/>
    <w:rsid w:val="00E77E61"/>
    <w:rsid w:val="00E804AD"/>
    <w:rsid w:val="00E806B8"/>
    <w:rsid w:val="00E807C9"/>
    <w:rsid w:val="00E807F4"/>
    <w:rsid w:val="00E808AF"/>
    <w:rsid w:val="00E81318"/>
    <w:rsid w:val="00E81985"/>
    <w:rsid w:val="00E82510"/>
    <w:rsid w:val="00E82735"/>
    <w:rsid w:val="00E827F9"/>
    <w:rsid w:val="00E83FBD"/>
    <w:rsid w:val="00E8418C"/>
    <w:rsid w:val="00E843BA"/>
    <w:rsid w:val="00E848D4"/>
    <w:rsid w:val="00E84BA8"/>
    <w:rsid w:val="00E84E9E"/>
    <w:rsid w:val="00E84EF4"/>
    <w:rsid w:val="00E85339"/>
    <w:rsid w:val="00E853FF"/>
    <w:rsid w:val="00E85C54"/>
    <w:rsid w:val="00E85FE7"/>
    <w:rsid w:val="00E864BA"/>
    <w:rsid w:val="00E86536"/>
    <w:rsid w:val="00E86A28"/>
    <w:rsid w:val="00E86B67"/>
    <w:rsid w:val="00E86E8C"/>
    <w:rsid w:val="00E87031"/>
    <w:rsid w:val="00E872C4"/>
    <w:rsid w:val="00E87818"/>
    <w:rsid w:val="00E87991"/>
    <w:rsid w:val="00E879D2"/>
    <w:rsid w:val="00E87CB4"/>
    <w:rsid w:val="00E90129"/>
    <w:rsid w:val="00E90274"/>
    <w:rsid w:val="00E9064A"/>
    <w:rsid w:val="00E9082A"/>
    <w:rsid w:val="00E90A2D"/>
    <w:rsid w:val="00E90B27"/>
    <w:rsid w:val="00E9123C"/>
    <w:rsid w:val="00E91F2A"/>
    <w:rsid w:val="00E92326"/>
    <w:rsid w:val="00E923D3"/>
    <w:rsid w:val="00E926A5"/>
    <w:rsid w:val="00E92CE1"/>
    <w:rsid w:val="00E92FDC"/>
    <w:rsid w:val="00E9357B"/>
    <w:rsid w:val="00E9375B"/>
    <w:rsid w:val="00E93993"/>
    <w:rsid w:val="00E93B83"/>
    <w:rsid w:val="00E93BA3"/>
    <w:rsid w:val="00E94280"/>
    <w:rsid w:val="00E94370"/>
    <w:rsid w:val="00E94D71"/>
    <w:rsid w:val="00E95629"/>
    <w:rsid w:val="00E958E0"/>
    <w:rsid w:val="00E95B2E"/>
    <w:rsid w:val="00E95ECA"/>
    <w:rsid w:val="00E95F43"/>
    <w:rsid w:val="00E96798"/>
    <w:rsid w:val="00E96FBF"/>
    <w:rsid w:val="00E970D7"/>
    <w:rsid w:val="00E97220"/>
    <w:rsid w:val="00E977DC"/>
    <w:rsid w:val="00E9793F"/>
    <w:rsid w:val="00E97B18"/>
    <w:rsid w:val="00E97C56"/>
    <w:rsid w:val="00EA02D5"/>
    <w:rsid w:val="00EA0FED"/>
    <w:rsid w:val="00EA1213"/>
    <w:rsid w:val="00EA12A9"/>
    <w:rsid w:val="00EA1637"/>
    <w:rsid w:val="00EA189D"/>
    <w:rsid w:val="00EA1B80"/>
    <w:rsid w:val="00EA1E6C"/>
    <w:rsid w:val="00EA23F2"/>
    <w:rsid w:val="00EA254F"/>
    <w:rsid w:val="00EA2682"/>
    <w:rsid w:val="00EA3715"/>
    <w:rsid w:val="00EA3892"/>
    <w:rsid w:val="00EA3C85"/>
    <w:rsid w:val="00EA3CC4"/>
    <w:rsid w:val="00EA4194"/>
    <w:rsid w:val="00EA462C"/>
    <w:rsid w:val="00EA49CD"/>
    <w:rsid w:val="00EA4BC1"/>
    <w:rsid w:val="00EA4E4E"/>
    <w:rsid w:val="00EA4F45"/>
    <w:rsid w:val="00EA54AE"/>
    <w:rsid w:val="00EA56E0"/>
    <w:rsid w:val="00EA5869"/>
    <w:rsid w:val="00EA5C75"/>
    <w:rsid w:val="00EA6289"/>
    <w:rsid w:val="00EA6557"/>
    <w:rsid w:val="00EA671A"/>
    <w:rsid w:val="00EA6C89"/>
    <w:rsid w:val="00EA7A86"/>
    <w:rsid w:val="00EA7DA9"/>
    <w:rsid w:val="00EB0610"/>
    <w:rsid w:val="00EB07E9"/>
    <w:rsid w:val="00EB09F0"/>
    <w:rsid w:val="00EB0D75"/>
    <w:rsid w:val="00EB1500"/>
    <w:rsid w:val="00EB1593"/>
    <w:rsid w:val="00EB1A95"/>
    <w:rsid w:val="00EB1DCE"/>
    <w:rsid w:val="00EB23F1"/>
    <w:rsid w:val="00EB2434"/>
    <w:rsid w:val="00EB2611"/>
    <w:rsid w:val="00EB26C3"/>
    <w:rsid w:val="00EB277D"/>
    <w:rsid w:val="00EB2CEB"/>
    <w:rsid w:val="00EB2E86"/>
    <w:rsid w:val="00EB2EC4"/>
    <w:rsid w:val="00EB32C3"/>
    <w:rsid w:val="00EB353A"/>
    <w:rsid w:val="00EB35BF"/>
    <w:rsid w:val="00EB3DBF"/>
    <w:rsid w:val="00EB4177"/>
    <w:rsid w:val="00EB4A35"/>
    <w:rsid w:val="00EB4D66"/>
    <w:rsid w:val="00EB52BB"/>
    <w:rsid w:val="00EB5658"/>
    <w:rsid w:val="00EB58CB"/>
    <w:rsid w:val="00EB6AE3"/>
    <w:rsid w:val="00EB6C78"/>
    <w:rsid w:val="00EB71EF"/>
    <w:rsid w:val="00EB760C"/>
    <w:rsid w:val="00EB77D9"/>
    <w:rsid w:val="00EB780C"/>
    <w:rsid w:val="00EB788C"/>
    <w:rsid w:val="00EB78A5"/>
    <w:rsid w:val="00EB796D"/>
    <w:rsid w:val="00EB79B6"/>
    <w:rsid w:val="00EB7E56"/>
    <w:rsid w:val="00EB7F32"/>
    <w:rsid w:val="00EC0A2B"/>
    <w:rsid w:val="00EC0FAF"/>
    <w:rsid w:val="00EC1877"/>
    <w:rsid w:val="00EC18B5"/>
    <w:rsid w:val="00EC1A17"/>
    <w:rsid w:val="00EC1C11"/>
    <w:rsid w:val="00EC2052"/>
    <w:rsid w:val="00EC2056"/>
    <w:rsid w:val="00EC2345"/>
    <w:rsid w:val="00EC2514"/>
    <w:rsid w:val="00EC25B8"/>
    <w:rsid w:val="00EC277F"/>
    <w:rsid w:val="00EC2922"/>
    <w:rsid w:val="00EC2A1A"/>
    <w:rsid w:val="00EC2FB6"/>
    <w:rsid w:val="00EC315B"/>
    <w:rsid w:val="00EC328C"/>
    <w:rsid w:val="00EC3411"/>
    <w:rsid w:val="00EC343E"/>
    <w:rsid w:val="00EC351A"/>
    <w:rsid w:val="00EC3712"/>
    <w:rsid w:val="00EC40AD"/>
    <w:rsid w:val="00EC4224"/>
    <w:rsid w:val="00EC44D0"/>
    <w:rsid w:val="00EC46CE"/>
    <w:rsid w:val="00EC4838"/>
    <w:rsid w:val="00EC4C87"/>
    <w:rsid w:val="00EC4E68"/>
    <w:rsid w:val="00EC5165"/>
    <w:rsid w:val="00EC5BA2"/>
    <w:rsid w:val="00EC63F3"/>
    <w:rsid w:val="00EC6914"/>
    <w:rsid w:val="00EC694F"/>
    <w:rsid w:val="00EC6B5D"/>
    <w:rsid w:val="00EC7295"/>
    <w:rsid w:val="00EC72D4"/>
    <w:rsid w:val="00EC7712"/>
    <w:rsid w:val="00EC788E"/>
    <w:rsid w:val="00EC7C88"/>
    <w:rsid w:val="00EC7CE3"/>
    <w:rsid w:val="00ED026C"/>
    <w:rsid w:val="00ED0301"/>
    <w:rsid w:val="00ED0895"/>
    <w:rsid w:val="00ED093F"/>
    <w:rsid w:val="00ED0FDF"/>
    <w:rsid w:val="00ED1492"/>
    <w:rsid w:val="00ED18EB"/>
    <w:rsid w:val="00ED18F6"/>
    <w:rsid w:val="00ED1970"/>
    <w:rsid w:val="00ED197C"/>
    <w:rsid w:val="00ED1AEF"/>
    <w:rsid w:val="00ED1C88"/>
    <w:rsid w:val="00ED2453"/>
    <w:rsid w:val="00ED2543"/>
    <w:rsid w:val="00ED27B0"/>
    <w:rsid w:val="00ED2E96"/>
    <w:rsid w:val="00ED3247"/>
    <w:rsid w:val="00ED33D4"/>
    <w:rsid w:val="00ED33DB"/>
    <w:rsid w:val="00ED4653"/>
    <w:rsid w:val="00ED4692"/>
    <w:rsid w:val="00ED500B"/>
    <w:rsid w:val="00ED516E"/>
    <w:rsid w:val="00ED58A9"/>
    <w:rsid w:val="00ED5CDB"/>
    <w:rsid w:val="00ED5D63"/>
    <w:rsid w:val="00ED6879"/>
    <w:rsid w:val="00ED69F5"/>
    <w:rsid w:val="00ED6C5F"/>
    <w:rsid w:val="00ED6D54"/>
    <w:rsid w:val="00ED6E24"/>
    <w:rsid w:val="00ED70F2"/>
    <w:rsid w:val="00ED719E"/>
    <w:rsid w:val="00ED75A0"/>
    <w:rsid w:val="00ED75E7"/>
    <w:rsid w:val="00ED783C"/>
    <w:rsid w:val="00ED79E9"/>
    <w:rsid w:val="00ED7E3F"/>
    <w:rsid w:val="00EE0038"/>
    <w:rsid w:val="00EE0BDE"/>
    <w:rsid w:val="00EE2B98"/>
    <w:rsid w:val="00EE31B8"/>
    <w:rsid w:val="00EE33CA"/>
    <w:rsid w:val="00EE396D"/>
    <w:rsid w:val="00EE3DE5"/>
    <w:rsid w:val="00EE3FF1"/>
    <w:rsid w:val="00EE4127"/>
    <w:rsid w:val="00EE4363"/>
    <w:rsid w:val="00EE4603"/>
    <w:rsid w:val="00EE4A8F"/>
    <w:rsid w:val="00EE4E21"/>
    <w:rsid w:val="00EE5529"/>
    <w:rsid w:val="00EE5AC5"/>
    <w:rsid w:val="00EE5B55"/>
    <w:rsid w:val="00EE6015"/>
    <w:rsid w:val="00EE6355"/>
    <w:rsid w:val="00EE6729"/>
    <w:rsid w:val="00EE6875"/>
    <w:rsid w:val="00EE6FA7"/>
    <w:rsid w:val="00EE7745"/>
    <w:rsid w:val="00EF0127"/>
    <w:rsid w:val="00EF082C"/>
    <w:rsid w:val="00EF0CB3"/>
    <w:rsid w:val="00EF0F26"/>
    <w:rsid w:val="00EF0FC8"/>
    <w:rsid w:val="00EF1142"/>
    <w:rsid w:val="00EF12BC"/>
    <w:rsid w:val="00EF183B"/>
    <w:rsid w:val="00EF1C74"/>
    <w:rsid w:val="00EF1D08"/>
    <w:rsid w:val="00EF2139"/>
    <w:rsid w:val="00EF26C5"/>
    <w:rsid w:val="00EF2893"/>
    <w:rsid w:val="00EF2A45"/>
    <w:rsid w:val="00EF3383"/>
    <w:rsid w:val="00EF35FC"/>
    <w:rsid w:val="00EF3B1C"/>
    <w:rsid w:val="00EF3DAB"/>
    <w:rsid w:val="00EF4089"/>
    <w:rsid w:val="00EF40A3"/>
    <w:rsid w:val="00EF45AB"/>
    <w:rsid w:val="00EF538F"/>
    <w:rsid w:val="00EF5FC6"/>
    <w:rsid w:val="00EF6727"/>
    <w:rsid w:val="00EF6807"/>
    <w:rsid w:val="00EF6A4B"/>
    <w:rsid w:val="00EF6A96"/>
    <w:rsid w:val="00EF6FF7"/>
    <w:rsid w:val="00EF72AB"/>
    <w:rsid w:val="00EF76BA"/>
    <w:rsid w:val="00EF779A"/>
    <w:rsid w:val="00F00A3F"/>
    <w:rsid w:val="00F00A5A"/>
    <w:rsid w:val="00F00AF8"/>
    <w:rsid w:val="00F00D3C"/>
    <w:rsid w:val="00F012A0"/>
    <w:rsid w:val="00F012A1"/>
    <w:rsid w:val="00F014C5"/>
    <w:rsid w:val="00F01817"/>
    <w:rsid w:val="00F0183D"/>
    <w:rsid w:val="00F01A0C"/>
    <w:rsid w:val="00F01C13"/>
    <w:rsid w:val="00F01D11"/>
    <w:rsid w:val="00F020CA"/>
    <w:rsid w:val="00F02358"/>
    <w:rsid w:val="00F024B1"/>
    <w:rsid w:val="00F02E25"/>
    <w:rsid w:val="00F0359E"/>
    <w:rsid w:val="00F038FE"/>
    <w:rsid w:val="00F03AD0"/>
    <w:rsid w:val="00F03C0B"/>
    <w:rsid w:val="00F047CF"/>
    <w:rsid w:val="00F04AC6"/>
    <w:rsid w:val="00F05056"/>
    <w:rsid w:val="00F051FD"/>
    <w:rsid w:val="00F053B0"/>
    <w:rsid w:val="00F05401"/>
    <w:rsid w:val="00F0560E"/>
    <w:rsid w:val="00F05FED"/>
    <w:rsid w:val="00F0621C"/>
    <w:rsid w:val="00F06749"/>
    <w:rsid w:val="00F06F4A"/>
    <w:rsid w:val="00F07207"/>
    <w:rsid w:val="00F07242"/>
    <w:rsid w:val="00F073A6"/>
    <w:rsid w:val="00F073CE"/>
    <w:rsid w:val="00F077EC"/>
    <w:rsid w:val="00F07CC9"/>
    <w:rsid w:val="00F07E79"/>
    <w:rsid w:val="00F07E9B"/>
    <w:rsid w:val="00F102F0"/>
    <w:rsid w:val="00F10534"/>
    <w:rsid w:val="00F1066A"/>
    <w:rsid w:val="00F10B46"/>
    <w:rsid w:val="00F10DE5"/>
    <w:rsid w:val="00F118B6"/>
    <w:rsid w:val="00F1192C"/>
    <w:rsid w:val="00F11A19"/>
    <w:rsid w:val="00F11CD3"/>
    <w:rsid w:val="00F11F81"/>
    <w:rsid w:val="00F11FB7"/>
    <w:rsid w:val="00F12B26"/>
    <w:rsid w:val="00F130C9"/>
    <w:rsid w:val="00F13153"/>
    <w:rsid w:val="00F13315"/>
    <w:rsid w:val="00F13DEF"/>
    <w:rsid w:val="00F13EE5"/>
    <w:rsid w:val="00F1412B"/>
    <w:rsid w:val="00F145EA"/>
    <w:rsid w:val="00F1486D"/>
    <w:rsid w:val="00F14A4E"/>
    <w:rsid w:val="00F14B97"/>
    <w:rsid w:val="00F152F8"/>
    <w:rsid w:val="00F16376"/>
    <w:rsid w:val="00F163E3"/>
    <w:rsid w:val="00F164F6"/>
    <w:rsid w:val="00F172DA"/>
    <w:rsid w:val="00F1768C"/>
    <w:rsid w:val="00F1789E"/>
    <w:rsid w:val="00F17B3F"/>
    <w:rsid w:val="00F202FC"/>
    <w:rsid w:val="00F20CBA"/>
    <w:rsid w:val="00F20D87"/>
    <w:rsid w:val="00F20E0C"/>
    <w:rsid w:val="00F21BC4"/>
    <w:rsid w:val="00F21D58"/>
    <w:rsid w:val="00F21E70"/>
    <w:rsid w:val="00F21F47"/>
    <w:rsid w:val="00F22701"/>
    <w:rsid w:val="00F22773"/>
    <w:rsid w:val="00F22877"/>
    <w:rsid w:val="00F22947"/>
    <w:rsid w:val="00F22A69"/>
    <w:rsid w:val="00F243CD"/>
    <w:rsid w:val="00F24619"/>
    <w:rsid w:val="00F246F3"/>
    <w:rsid w:val="00F24BB9"/>
    <w:rsid w:val="00F25257"/>
    <w:rsid w:val="00F25E0E"/>
    <w:rsid w:val="00F260E9"/>
    <w:rsid w:val="00F263DD"/>
    <w:rsid w:val="00F26694"/>
    <w:rsid w:val="00F26E44"/>
    <w:rsid w:val="00F3049E"/>
    <w:rsid w:val="00F30707"/>
    <w:rsid w:val="00F30866"/>
    <w:rsid w:val="00F30BD2"/>
    <w:rsid w:val="00F30DA7"/>
    <w:rsid w:val="00F30DD7"/>
    <w:rsid w:val="00F313BE"/>
    <w:rsid w:val="00F31C93"/>
    <w:rsid w:val="00F322B5"/>
    <w:rsid w:val="00F322D7"/>
    <w:rsid w:val="00F32516"/>
    <w:rsid w:val="00F32A69"/>
    <w:rsid w:val="00F32BD7"/>
    <w:rsid w:val="00F334D7"/>
    <w:rsid w:val="00F336DC"/>
    <w:rsid w:val="00F33A55"/>
    <w:rsid w:val="00F33A76"/>
    <w:rsid w:val="00F33D84"/>
    <w:rsid w:val="00F345AC"/>
    <w:rsid w:val="00F3490E"/>
    <w:rsid w:val="00F3491F"/>
    <w:rsid w:val="00F34DAD"/>
    <w:rsid w:val="00F34DB0"/>
    <w:rsid w:val="00F357CD"/>
    <w:rsid w:val="00F35970"/>
    <w:rsid w:val="00F35B4C"/>
    <w:rsid w:val="00F361D0"/>
    <w:rsid w:val="00F363E7"/>
    <w:rsid w:val="00F36AB4"/>
    <w:rsid w:val="00F37526"/>
    <w:rsid w:val="00F37AB9"/>
    <w:rsid w:val="00F37B2E"/>
    <w:rsid w:val="00F37EB5"/>
    <w:rsid w:val="00F37F18"/>
    <w:rsid w:val="00F40C1C"/>
    <w:rsid w:val="00F40E12"/>
    <w:rsid w:val="00F40E7E"/>
    <w:rsid w:val="00F4135D"/>
    <w:rsid w:val="00F41C81"/>
    <w:rsid w:val="00F41D30"/>
    <w:rsid w:val="00F4225F"/>
    <w:rsid w:val="00F4253D"/>
    <w:rsid w:val="00F42A51"/>
    <w:rsid w:val="00F42A70"/>
    <w:rsid w:val="00F42C38"/>
    <w:rsid w:val="00F42DAA"/>
    <w:rsid w:val="00F43889"/>
    <w:rsid w:val="00F43D73"/>
    <w:rsid w:val="00F43F70"/>
    <w:rsid w:val="00F44185"/>
    <w:rsid w:val="00F44642"/>
    <w:rsid w:val="00F45077"/>
    <w:rsid w:val="00F45207"/>
    <w:rsid w:val="00F457E4"/>
    <w:rsid w:val="00F457FE"/>
    <w:rsid w:val="00F46B5A"/>
    <w:rsid w:val="00F4711B"/>
    <w:rsid w:val="00F47436"/>
    <w:rsid w:val="00F47A06"/>
    <w:rsid w:val="00F47F6D"/>
    <w:rsid w:val="00F500F2"/>
    <w:rsid w:val="00F5065E"/>
    <w:rsid w:val="00F50C5C"/>
    <w:rsid w:val="00F50D13"/>
    <w:rsid w:val="00F50D9B"/>
    <w:rsid w:val="00F50DED"/>
    <w:rsid w:val="00F511DA"/>
    <w:rsid w:val="00F517A2"/>
    <w:rsid w:val="00F51E92"/>
    <w:rsid w:val="00F526A5"/>
    <w:rsid w:val="00F52AE7"/>
    <w:rsid w:val="00F52B55"/>
    <w:rsid w:val="00F52DA8"/>
    <w:rsid w:val="00F52F55"/>
    <w:rsid w:val="00F5338C"/>
    <w:rsid w:val="00F53583"/>
    <w:rsid w:val="00F53D60"/>
    <w:rsid w:val="00F54089"/>
    <w:rsid w:val="00F55609"/>
    <w:rsid w:val="00F556F7"/>
    <w:rsid w:val="00F55BE3"/>
    <w:rsid w:val="00F56CB5"/>
    <w:rsid w:val="00F56D99"/>
    <w:rsid w:val="00F5725B"/>
    <w:rsid w:val="00F57297"/>
    <w:rsid w:val="00F5762E"/>
    <w:rsid w:val="00F60582"/>
    <w:rsid w:val="00F605EE"/>
    <w:rsid w:val="00F605F7"/>
    <w:rsid w:val="00F6087D"/>
    <w:rsid w:val="00F609EB"/>
    <w:rsid w:val="00F61320"/>
    <w:rsid w:val="00F61906"/>
    <w:rsid w:val="00F61A77"/>
    <w:rsid w:val="00F626B2"/>
    <w:rsid w:val="00F626E9"/>
    <w:rsid w:val="00F6271E"/>
    <w:rsid w:val="00F62A17"/>
    <w:rsid w:val="00F62A5C"/>
    <w:rsid w:val="00F62DA2"/>
    <w:rsid w:val="00F630BA"/>
    <w:rsid w:val="00F641EA"/>
    <w:rsid w:val="00F64C2D"/>
    <w:rsid w:val="00F64F6E"/>
    <w:rsid w:val="00F65042"/>
    <w:rsid w:val="00F650D8"/>
    <w:rsid w:val="00F658CD"/>
    <w:rsid w:val="00F65A6C"/>
    <w:rsid w:val="00F66059"/>
    <w:rsid w:val="00F6622E"/>
    <w:rsid w:val="00F66523"/>
    <w:rsid w:val="00F666A3"/>
    <w:rsid w:val="00F66836"/>
    <w:rsid w:val="00F66A0E"/>
    <w:rsid w:val="00F66A78"/>
    <w:rsid w:val="00F66BB8"/>
    <w:rsid w:val="00F672A3"/>
    <w:rsid w:val="00F674B7"/>
    <w:rsid w:val="00F6755F"/>
    <w:rsid w:val="00F67672"/>
    <w:rsid w:val="00F67B5B"/>
    <w:rsid w:val="00F67B6A"/>
    <w:rsid w:val="00F67BEE"/>
    <w:rsid w:val="00F70371"/>
    <w:rsid w:val="00F70639"/>
    <w:rsid w:val="00F70817"/>
    <w:rsid w:val="00F70A74"/>
    <w:rsid w:val="00F70ADD"/>
    <w:rsid w:val="00F71646"/>
    <w:rsid w:val="00F72644"/>
    <w:rsid w:val="00F72C42"/>
    <w:rsid w:val="00F73038"/>
    <w:rsid w:val="00F7310E"/>
    <w:rsid w:val="00F7317A"/>
    <w:rsid w:val="00F73225"/>
    <w:rsid w:val="00F7377B"/>
    <w:rsid w:val="00F73873"/>
    <w:rsid w:val="00F73E85"/>
    <w:rsid w:val="00F743FD"/>
    <w:rsid w:val="00F74756"/>
    <w:rsid w:val="00F75604"/>
    <w:rsid w:val="00F75A2E"/>
    <w:rsid w:val="00F75C58"/>
    <w:rsid w:val="00F76B0D"/>
    <w:rsid w:val="00F76B61"/>
    <w:rsid w:val="00F76F4C"/>
    <w:rsid w:val="00F76F73"/>
    <w:rsid w:val="00F77159"/>
    <w:rsid w:val="00F77ADF"/>
    <w:rsid w:val="00F77E87"/>
    <w:rsid w:val="00F803EE"/>
    <w:rsid w:val="00F8041C"/>
    <w:rsid w:val="00F804C5"/>
    <w:rsid w:val="00F80A8D"/>
    <w:rsid w:val="00F810C8"/>
    <w:rsid w:val="00F812F6"/>
    <w:rsid w:val="00F815F9"/>
    <w:rsid w:val="00F81A94"/>
    <w:rsid w:val="00F82002"/>
    <w:rsid w:val="00F82323"/>
    <w:rsid w:val="00F82828"/>
    <w:rsid w:val="00F82A7F"/>
    <w:rsid w:val="00F82A8A"/>
    <w:rsid w:val="00F82AE9"/>
    <w:rsid w:val="00F8313D"/>
    <w:rsid w:val="00F83965"/>
    <w:rsid w:val="00F84050"/>
    <w:rsid w:val="00F840CC"/>
    <w:rsid w:val="00F8458C"/>
    <w:rsid w:val="00F84AFA"/>
    <w:rsid w:val="00F84CB0"/>
    <w:rsid w:val="00F84E76"/>
    <w:rsid w:val="00F84E85"/>
    <w:rsid w:val="00F852EB"/>
    <w:rsid w:val="00F85771"/>
    <w:rsid w:val="00F861B2"/>
    <w:rsid w:val="00F863A9"/>
    <w:rsid w:val="00F863F4"/>
    <w:rsid w:val="00F86672"/>
    <w:rsid w:val="00F866A0"/>
    <w:rsid w:val="00F8697B"/>
    <w:rsid w:val="00F86B0B"/>
    <w:rsid w:val="00F86DA6"/>
    <w:rsid w:val="00F87A3E"/>
    <w:rsid w:val="00F87DA2"/>
    <w:rsid w:val="00F90236"/>
    <w:rsid w:val="00F904CF"/>
    <w:rsid w:val="00F905BA"/>
    <w:rsid w:val="00F9084A"/>
    <w:rsid w:val="00F90C97"/>
    <w:rsid w:val="00F90D95"/>
    <w:rsid w:val="00F912A8"/>
    <w:rsid w:val="00F91673"/>
    <w:rsid w:val="00F917CF"/>
    <w:rsid w:val="00F91994"/>
    <w:rsid w:val="00F92757"/>
    <w:rsid w:val="00F9281E"/>
    <w:rsid w:val="00F92A6A"/>
    <w:rsid w:val="00F92C4A"/>
    <w:rsid w:val="00F93133"/>
    <w:rsid w:val="00F935CA"/>
    <w:rsid w:val="00F9374C"/>
    <w:rsid w:val="00F9446D"/>
    <w:rsid w:val="00F944D7"/>
    <w:rsid w:val="00F949B9"/>
    <w:rsid w:val="00F94DB3"/>
    <w:rsid w:val="00F94E47"/>
    <w:rsid w:val="00F95570"/>
    <w:rsid w:val="00F96133"/>
    <w:rsid w:val="00F96B24"/>
    <w:rsid w:val="00F9722A"/>
    <w:rsid w:val="00F9763E"/>
    <w:rsid w:val="00F976BE"/>
    <w:rsid w:val="00F9772F"/>
    <w:rsid w:val="00F9775F"/>
    <w:rsid w:val="00F97812"/>
    <w:rsid w:val="00F97A59"/>
    <w:rsid w:val="00F97C8F"/>
    <w:rsid w:val="00FA0172"/>
    <w:rsid w:val="00FA07D7"/>
    <w:rsid w:val="00FA0B02"/>
    <w:rsid w:val="00FA0C54"/>
    <w:rsid w:val="00FA1117"/>
    <w:rsid w:val="00FA11AE"/>
    <w:rsid w:val="00FA12C6"/>
    <w:rsid w:val="00FA12F7"/>
    <w:rsid w:val="00FA1353"/>
    <w:rsid w:val="00FA1586"/>
    <w:rsid w:val="00FA19C5"/>
    <w:rsid w:val="00FA1FC3"/>
    <w:rsid w:val="00FA2093"/>
    <w:rsid w:val="00FA2508"/>
    <w:rsid w:val="00FA25DE"/>
    <w:rsid w:val="00FA3BB8"/>
    <w:rsid w:val="00FA4036"/>
    <w:rsid w:val="00FA42D4"/>
    <w:rsid w:val="00FA4402"/>
    <w:rsid w:val="00FA44A4"/>
    <w:rsid w:val="00FA44AF"/>
    <w:rsid w:val="00FA4873"/>
    <w:rsid w:val="00FA51C0"/>
    <w:rsid w:val="00FA5556"/>
    <w:rsid w:val="00FA58BA"/>
    <w:rsid w:val="00FA60D0"/>
    <w:rsid w:val="00FA619A"/>
    <w:rsid w:val="00FA6234"/>
    <w:rsid w:val="00FA698C"/>
    <w:rsid w:val="00FA738E"/>
    <w:rsid w:val="00FA7A55"/>
    <w:rsid w:val="00FA7BB3"/>
    <w:rsid w:val="00FA7FCF"/>
    <w:rsid w:val="00FB01A3"/>
    <w:rsid w:val="00FB01FB"/>
    <w:rsid w:val="00FB070E"/>
    <w:rsid w:val="00FB074D"/>
    <w:rsid w:val="00FB07A8"/>
    <w:rsid w:val="00FB0C7D"/>
    <w:rsid w:val="00FB1257"/>
    <w:rsid w:val="00FB1451"/>
    <w:rsid w:val="00FB146B"/>
    <w:rsid w:val="00FB1860"/>
    <w:rsid w:val="00FB206D"/>
    <w:rsid w:val="00FB20E8"/>
    <w:rsid w:val="00FB21E1"/>
    <w:rsid w:val="00FB227F"/>
    <w:rsid w:val="00FB250B"/>
    <w:rsid w:val="00FB2568"/>
    <w:rsid w:val="00FB2814"/>
    <w:rsid w:val="00FB2B58"/>
    <w:rsid w:val="00FB3311"/>
    <w:rsid w:val="00FB34BB"/>
    <w:rsid w:val="00FB3F87"/>
    <w:rsid w:val="00FB4353"/>
    <w:rsid w:val="00FB4C02"/>
    <w:rsid w:val="00FB5279"/>
    <w:rsid w:val="00FB5416"/>
    <w:rsid w:val="00FB54E3"/>
    <w:rsid w:val="00FB63C3"/>
    <w:rsid w:val="00FB6412"/>
    <w:rsid w:val="00FB660F"/>
    <w:rsid w:val="00FB6B7A"/>
    <w:rsid w:val="00FB6FD7"/>
    <w:rsid w:val="00FB752C"/>
    <w:rsid w:val="00FB78B6"/>
    <w:rsid w:val="00FB7A9E"/>
    <w:rsid w:val="00FB7BB8"/>
    <w:rsid w:val="00FC004D"/>
    <w:rsid w:val="00FC0303"/>
    <w:rsid w:val="00FC0350"/>
    <w:rsid w:val="00FC0742"/>
    <w:rsid w:val="00FC0AA5"/>
    <w:rsid w:val="00FC123B"/>
    <w:rsid w:val="00FC133F"/>
    <w:rsid w:val="00FC134B"/>
    <w:rsid w:val="00FC13F4"/>
    <w:rsid w:val="00FC16F3"/>
    <w:rsid w:val="00FC1814"/>
    <w:rsid w:val="00FC182A"/>
    <w:rsid w:val="00FC1968"/>
    <w:rsid w:val="00FC1AA8"/>
    <w:rsid w:val="00FC294E"/>
    <w:rsid w:val="00FC2E59"/>
    <w:rsid w:val="00FC3418"/>
    <w:rsid w:val="00FC35D9"/>
    <w:rsid w:val="00FC39EF"/>
    <w:rsid w:val="00FC3DB1"/>
    <w:rsid w:val="00FC44BE"/>
    <w:rsid w:val="00FC463D"/>
    <w:rsid w:val="00FC5129"/>
    <w:rsid w:val="00FC533B"/>
    <w:rsid w:val="00FC5413"/>
    <w:rsid w:val="00FC5C49"/>
    <w:rsid w:val="00FC6856"/>
    <w:rsid w:val="00FC6F2B"/>
    <w:rsid w:val="00FC7145"/>
    <w:rsid w:val="00FC71CC"/>
    <w:rsid w:val="00FC755B"/>
    <w:rsid w:val="00FC7E91"/>
    <w:rsid w:val="00FD02B9"/>
    <w:rsid w:val="00FD0B07"/>
    <w:rsid w:val="00FD0C67"/>
    <w:rsid w:val="00FD1580"/>
    <w:rsid w:val="00FD1600"/>
    <w:rsid w:val="00FD23D8"/>
    <w:rsid w:val="00FD2655"/>
    <w:rsid w:val="00FD2B2B"/>
    <w:rsid w:val="00FD2E89"/>
    <w:rsid w:val="00FD31E2"/>
    <w:rsid w:val="00FD347F"/>
    <w:rsid w:val="00FD37D8"/>
    <w:rsid w:val="00FD3909"/>
    <w:rsid w:val="00FD3AB9"/>
    <w:rsid w:val="00FD3FF5"/>
    <w:rsid w:val="00FD422A"/>
    <w:rsid w:val="00FD42BE"/>
    <w:rsid w:val="00FD457B"/>
    <w:rsid w:val="00FD4900"/>
    <w:rsid w:val="00FD4DC7"/>
    <w:rsid w:val="00FD50AC"/>
    <w:rsid w:val="00FD5234"/>
    <w:rsid w:val="00FD5D2B"/>
    <w:rsid w:val="00FD64B6"/>
    <w:rsid w:val="00FD67E8"/>
    <w:rsid w:val="00FD6A1B"/>
    <w:rsid w:val="00FD6E0A"/>
    <w:rsid w:val="00FD7163"/>
    <w:rsid w:val="00FD7488"/>
    <w:rsid w:val="00FD7623"/>
    <w:rsid w:val="00FD7759"/>
    <w:rsid w:val="00FE006F"/>
    <w:rsid w:val="00FE00E7"/>
    <w:rsid w:val="00FE0596"/>
    <w:rsid w:val="00FE07C5"/>
    <w:rsid w:val="00FE082B"/>
    <w:rsid w:val="00FE083C"/>
    <w:rsid w:val="00FE14CF"/>
    <w:rsid w:val="00FE1622"/>
    <w:rsid w:val="00FE1C34"/>
    <w:rsid w:val="00FE2462"/>
    <w:rsid w:val="00FE259C"/>
    <w:rsid w:val="00FE25D4"/>
    <w:rsid w:val="00FE2650"/>
    <w:rsid w:val="00FE31CE"/>
    <w:rsid w:val="00FE3624"/>
    <w:rsid w:val="00FE3654"/>
    <w:rsid w:val="00FE389F"/>
    <w:rsid w:val="00FE38F6"/>
    <w:rsid w:val="00FE3B67"/>
    <w:rsid w:val="00FE3FB3"/>
    <w:rsid w:val="00FE42E3"/>
    <w:rsid w:val="00FE45AA"/>
    <w:rsid w:val="00FE4755"/>
    <w:rsid w:val="00FE48DF"/>
    <w:rsid w:val="00FE513A"/>
    <w:rsid w:val="00FE5515"/>
    <w:rsid w:val="00FE5599"/>
    <w:rsid w:val="00FE5744"/>
    <w:rsid w:val="00FE58C4"/>
    <w:rsid w:val="00FE5C5E"/>
    <w:rsid w:val="00FE5DDD"/>
    <w:rsid w:val="00FE616C"/>
    <w:rsid w:val="00FE626E"/>
    <w:rsid w:val="00FE638A"/>
    <w:rsid w:val="00FE6393"/>
    <w:rsid w:val="00FE672B"/>
    <w:rsid w:val="00FE699E"/>
    <w:rsid w:val="00FE6E20"/>
    <w:rsid w:val="00FE74FE"/>
    <w:rsid w:val="00FE77C6"/>
    <w:rsid w:val="00FF024E"/>
    <w:rsid w:val="00FF02DC"/>
    <w:rsid w:val="00FF048F"/>
    <w:rsid w:val="00FF0701"/>
    <w:rsid w:val="00FF0959"/>
    <w:rsid w:val="00FF0B61"/>
    <w:rsid w:val="00FF0C31"/>
    <w:rsid w:val="00FF1225"/>
    <w:rsid w:val="00FF173C"/>
    <w:rsid w:val="00FF1778"/>
    <w:rsid w:val="00FF1AA0"/>
    <w:rsid w:val="00FF1D4A"/>
    <w:rsid w:val="00FF37BC"/>
    <w:rsid w:val="00FF3E2E"/>
    <w:rsid w:val="00FF4745"/>
    <w:rsid w:val="00FF4FF4"/>
    <w:rsid w:val="00FF56A7"/>
    <w:rsid w:val="00FF592B"/>
    <w:rsid w:val="00FF595E"/>
    <w:rsid w:val="00FF5CEE"/>
    <w:rsid w:val="00FF68EE"/>
    <w:rsid w:val="00FF6F9C"/>
    <w:rsid w:val="00FF7027"/>
    <w:rsid w:val="00FF7684"/>
    <w:rsid w:val="00FF7750"/>
    <w:rsid w:val="00FF7D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3E2E"/>
    <w:rPr>
      <w:rFonts w:ascii="Arial" w:hAnsi="Arial"/>
      <w:sz w:val="24"/>
      <w:lang w:val="en-AU"/>
    </w:rPr>
  </w:style>
  <w:style w:type="paragraph" w:styleId="Heading1">
    <w:name w:val="heading 1"/>
    <w:basedOn w:val="Normal"/>
    <w:next w:val="Normal"/>
    <w:link w:val="Heading1Char"/>
    <w:uiPriority w:val="99"/>
    <w:qFormat/>
    <w:rsid w:val="00FF3E2E"/>
    <w:pPr>
      <w:keepNext/>
      <w:spacing w:line="240" w:lineRule="exact"/>
      <w:jc w:val="center"/>
      <w:outlineLvl w:val="0"/>
    </w:pPr>
    <w:rPr>
      <w:b/>
      <w:caps/>
      <w:sz w:val="28"/>
    </w:rPr>
  </w:style>
  <w:style w:type="paragraph" w:styleId="Heading2">
    <w:name w:val="heading 2"/>
    <w:basedOn w:val="Normal"/>
    <w:next w:val="Normal"/>
    <w:link w:val="Heading2Char"/>
    <w:uiPriority w:val="99"/>
    <w:qFormat/>
    <w:rsid w:val="00FF3E2E"/>
    <w:pPr>
      <w:keepNext/>
      <w:spacing w:line="240" w:lineRule="exact"/>
      <w:jc w:val="center"/>
      <w:outlineLvl w:val="1"/>
    </w:pPr>
    <w:rPr>
      <w:b/>
    </w:rPr>
  </w:style>
  <w:style w:type="paragraph" w:styleId="Heading3">
    <w:name w:val="heading 3"/>
    <w:basedOn w:val="Normal"/>
    <w:next w:val="Normal"/>
    <w:link w:val="Heading3Char"/>
    <w:uiPriority w:val="99"/>
    <w:qFormat/>
    <w:rsid w:val="00FF3E2E"/>
    <w:pPr>
      <w:keepNext/>
      <w:spacing w:line="240" w:lineRule="exact"/>
      <w:outlineLvl w:val="2"/>
    </w:pPr>
    <w:rPr>
      <w:b/>
      <w:caps/>
    </w:rPr>
  </w:style>
  <w:style w:type="paragraph" w:styleId="Heading4">
    <w:name w:val="heading 4"/>
    <w:basedOn w:val="Normal"/>
    <w:next w:val="Normal"/>
    <w:link w:val="Heading4Char"/>
    <w:uiPriority w:val="99"/>
    <w:qFormat/>
    <w:rsid w:val="00FF3E2E"/>
    <w:pPr>
      <w:keepNext/>
      <w:outlineLvl w:val="3"/>
    </w:pPr>
    <w:rPr>
      <w:b/>
    </w:rPr>
  </w:style>
  <w:style w:type="paragraph" w:styleId="Heading5">
    <w:name w:val="heading 5"/>
    <w:basedOn w:val="Normal"/>
    <w:next w:val="Normal"/>
    <w:link w:val="Heading5Char"/>
    <w:uiPriority w:val="99"/>
    <w:qFormat/>
    <w:rsid w:val="00FF3E2E"/>
    <w:pPr>
      <w:spacing w:before="240" w:after="60"/>
      <w:outlineLvl w:val="4"/>
    </w:pPr>
    <w:rPr>
      <w:b/>
      <w:i/>
    </w:rPr>
  </w:style>
  <w:style w:type="paragraph" w:styleId="Heading6">
    <w:name w:val="heading 6"/>
    <w:basedOn w:val="Normal"/>
    <w:next w:val="Normal"/>
    <w:link w:val="Heading6Char"/>
    <w:uiPriority w:val="99"/>
    <w:qFormat/>
    <w:rsid w:val="00FF3E2E"/>
    <w:pPr>
      <w:spacing w:before="240" w:after="60"/>
      <w:outlineLvl w:val="5"/>
    </w:pPr>
    <w:rPr>
      <w:i/>
    </w:rPr>
  </w:style>
  <w:style w:type="paragraph" w:styleId="Heading7">
    <w:name w:val="heading 7"/>
    <w:basedOn w:val="Normal"/>
    <w:next w:val="Normal"/>
    <w:link w:val="Heading7Char"/>
    <w:uiPriority w:val="99"/>
    <w:qFormat/>
    <w:rsid w:val="00FF3E2E"/>
    <w:pPr>
      <w:spacing w:before="240" w:after="60"/>
      <w:outlineLvl w:val="6"/>
    </w:pPr>
    <w:rPr>
      <w:u w:val="single"/>
    </w:rPr>
  </w:style>
  <w:style w:type="paragraph" w:styleId="Heading8">
    <w:name w:val="heading 8"/>
    <w:basedOn w:val="Normal"/>
    <w:next w:val="Normal"/>
    <w:link w:val="Heading8Char"/>
    <w:uiPriority w:val="99"/>
    <w:qFormat/>
    <w:rsid w:val="00FF3E2E"/>
    <w:pPr>
      <w:keepNext/>
      <w:jc w:val="center"/>
      <w:outlineLvl w:val="7"/>
    </w:pPr>
    <w:rPr>
      <w:b/>
      <w:i/>
    </w:rPr>
  </w:style>
  <w:style w:type="paragraph" w:styleId="Heading9">
    <w:name w:val="heading 9"/>
    <w:basedOn w:val="Normal"/>
    <w:next w:val="Normal"/>
    <w:link w:val="Heading9Char"/>
    <w:uiPriority w:val="99"/>
    <w:qFormat/>
    <w:rsid w:val="00FF3E2E"/>
    <w:pPr>
      <w:keepNext/>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F3E2E"/>
    <w:rPr>
      <w:rFonts w:ascii="Arial" w:hAnsi="Arial" w:cs="Arial" w:hint="default"/>
      <w:b/>
      <w:bCs/>
      <w:strike w:val="0"/>
      <w:dstrike w:val="0"/>
      <w:color w:val="000080"/>
      <w:sz w:val="20"/>
      <w:szCs w:val="20"/>
      <w:u w:val="none"/>
      <w:effect w:val="none"/>
    </w:rPr>
  </w:style>
  <w:style w:type="character" w:styleId="FollowedHyperlink">
    <w:name w:val="FollowedHyperlink"/>
    <w:uiPriority w:val="99"/>
    <w:rsid w:val="00FF3E2E"/>
    <w:rPr>
      <w:color w:val="800080"/>
      <w:u w:val="single"/>
    </w:rPr>
  </w:style>
  <w:style w:type="paragraph" w:styleId="NormalWeb">
    <w:name w:val="Normal (Web)"/>
    <w:basedOn w:val="Normal"/>
    <w:link w:val="NormalWebChar"/>
    <w:uiPriority w:val="99"/>
    <w:rsid w:val="00FF3E2E"/>
    <w:pPr>
      <w:spacing w:line="360" w:lineRule="auto"/>
    </w:pPr>
    <w:rPr>
      <w:color w:val="000080"/>
      <w:sz w:val="20"/>
      <w:lang w:val="en-US"/>
    </w:rPr>
  </w:style>
  <w:style w:type="paragraph" w:styleId="FootnoteText">
    <w:name w:val="footnote text"/>
    <w:basedOn w:val="Normal"/>
    <w:link w:val="FootnoteTextChar"/>
    <w:uiPriority w:val="99"/>
    <w:rsid w:val="00FF3E2E"/>
    <w:pPr>
      <w:ind w:left="720" w:hanging="720"/>
    </w:pPr>
    <w:rPr>
      <w:sz w:val="22"/>
    </w:rPr>
  </w:style>
  <w:style w:type="paragraph" w:styleId="CommentText">
    <w:name w:val="annotation text"/>
    <w:basedOn w:val="Normal"/>
    <w:link w:val="CommentTextChar"/>
    <w:uiPriority w:val="99"/>
    <w:semiHidden/>
    <w:rsid w:val="00FF3E2E"/>
    <w:rPr>
      <w:sz w:val="20"/>
    </w:rPr>
  </w:style>
  <w:style w:type="paragraph" w:styleId="Header">
    <w:name w:val="header"/>
    <w:basedOn w:val="Normal"/>
    <w:link w:val="HeaderChar"/>
    <w:uiPriority w:val="99"/>
    <w:rsid w:val="00FF3E2E"/>
    <w:pPr>
      <w:tabs>
        <w:tab w:val="center" w:pos="4320"/>
        <w:tab w:val="right" w:pos="8640"/>
      </w:tabs>
    </w:pPr>
  </w:style>
  <w:style w:type="paragraph" w:styleId="Footer">
    <w:name w:val="footer"/>
    <w:basedOn w:val="Normal"/>
    <w:link w:val="FooterChar"/>
    <w:uiPriority w:val="99"/>
    <w:rsid w:val="00FF3E2E"/>
    <w:pPr>
      <w:tabs>
        <w:tab w:val="center" w:pos="4320"/>
        <w:tab w:val="right" w:pos="8640"/>
      </w:tabs>
    </w:pPr>
  </w:style>
  <w:style w:type="paragraph" w:styleId="ListBullet">
    <w:name w:val="List Bullet"/>
    <w:basedOn w:val="Normal"/>
    <w:autoRedefine/>
    <w:uiPriority w:val="99"/>
    <w:rsid w:val="00FF3E2E"/>
    <w:pPr>
      <w:numPr>
        <w:numId w:val="1"/>
      </w:numPr>
    </w:pPr>
    <w:rPr>
      <w:rFonts w:ascii="Times New Roman" w:hAnsi="Times New Roman"/>
      <w:lang w:val="en-US"/>
    </w:rPr>
  </w:style>
  <w:style w:type="paragraph" w:styleId="ListNumber">
    <w:name w:val="List Number"/>
    <w:basedOn w:val="Normal"/>
    <w:uiPriority w:val="99"/>
    <w:rsid w:val="00FF3E2E"/>
    <w:pPr>
      <w:numPr>
        <w:numId w:val="2"/>
      </w:numPr>
    </w:pPr>
    <w:rPr>
      <w:rFonts w:ascii="Times New Roman" w:hAnsi="Times New Roman"/>
      <w:lang w:val="en-US"/>
    </w:rPr>
  </w:style>
  <w:style w:type="paragraph" w:styleId="ListBullet2">
    <w:name w:val="List Bullet 2"/>
    <w:basedOn w:val="Normal"/>
    <w:autoRedefine/>
    <w:uiPriority w:val="99"/>
    <w:rsid w:val="00FF3E2E"/>
    <w:pPr>
      <w:numPr>
        <w:numId w:val="3"/>
      </w:numPr>
      <w:tabs>
        <w:tab w:val="clear" w:pos="643"/>
        <w:tab w:val="num" w:pos="720"/>
      </w:tabs>
      <w:ind w:left="720"/>
    </w:pPr>
    <w:rPr>
      <w:rFonts w:ascii="Times New Roman" w:hAnsi="Times New Roman"/>
      <w:lang w:val="en-US"/>
    </w:rPr>
  </w:style>
  <w:style w:type="paragraph" w:styleId="ListBullet3">
    <w:name w:val="List Bullet 3"/>
    <w:basedOn w:val="Normal"/>
    <w:autoRedefine/>
    <w:uiPriority w:val="99"/>
    <w:rsid w:val="00FF3E2E"/>
    <w:pPr>
      <w:numPr>
        <w:numId w:val="4"/>
      </w:numPr>
      <w:tabs>
        <w:tab w:val="clear" w:pos="926"/>
        <w:tab w:val="num" w:pos="1080"/>
      </w:tabs>
      <w:ind w:left="1080"/>
    </w:pPr>
    <w:rPr>
      <w:rFonts w:ascii="Times New Roman" w:hAnsi="Times New Roman"/>
      <w:lang w:val="en-US"/>
    </w:rPr>
  </w:style>
  <w:style w:type="paragraph" w:styleId="ListBullet4">
    <w:name w:val="List Bullet 4"/>
    <w:basedOn w:val="Normal"/>
    <w:autoRedefine/>
    <w:uiPriority w:val="99"/>
    <w:rsid w:val="00FF3E2E"/>
    <w:pPr>
      <w:numPr>
        <w:numId w:val="5"/>
      </w:numPr>
      <w:tabs>
        <w:tab w:val="clear" w:pos="1209"/>
        <w:tab w:val="num" w:pos="1440"/>
        <w:tab w:val="num" w:pos="2160"/>
      </w:tabs>
      <w:ind w:left="1440" w:hanging="720"/>
    </w:pPr>
    <w:rPr>
      <w:rFonts w:ascii="Times New Roman" w:hAnsi="Times New Roman"/>
      <w:lang w:val="en-US"/>
    </w:rPr>
  </w:style>
  <w:style w:type="paragraph" w:styleId="ListBullet5">
    <w:name w:val="List Bullet 5"/>
    <w:basedOn w:val="Normal"/>
    <w:autoRedefine/>
    <w:uiPriority w:val="99"/>
    <w:rsid w:val="00FF3E2E"/>
    <w:pPr>
      <w:numPr>
        <w:numId w:val="6"/>
      </w:numPr>
      <w:tabs>
        <w:tab w:val="clear" w:pos="1492"/>
        <w:tab w:val="num" w:pos="1800"/>
      </w:tabs>
      <w:ind w:left="1800"/>
    </w:pPr>
    <w:rPr>
      <w:rFonts w:ascii="Times New Roman" w:hAnsi="Times New Roman"/>
      <w:lang w:val="en-US"/>
    </w:rPr>
  </w:style>
  <w:style w:type="paragraph" w:styleId="ListNumber2">
    <w:name w:val="List Number 2"/>
    <w:basedOn w:val="Normal"/>
    <w:uiPriority w:val="99"/>
    <w:rsid w:val="00FF3E2E"/>
    <w:pPr>
      <w:numPr>
        <w:numId w:val="7"/>
      </w:numPr>
      <w:tabs>
        <w:tab w:val="clear" w:pos="643"/>
        <w:tab w:val="num" w:pos="720"/>
      </w:tabs>
      <w:ind w:left="720"/>
    </w:pPr>
    <w:rPr>
      <w:rFonts w:ascii="Times New Roman" w:hAnsi="Times New Roman"/>
      <w:lang w:val="en-US"/>
    </w:rPr>
  </w:style>
  <w:style w:type="paragraph" w:styleId="ListNumber3">
    <w:name w:val="List Number 3"/>
    <w:basedOn w:val="Normal"/>
    <w:uiPriority w:val="99"/>
    <w:rsid w:val="00FF3E2E"/>
    <w:pPr>
      <w:numPr>
        <w:numId w:val="8"/>
      </w:numPr>
      <w:tabs>
        <w:tab w:val="clear" w:pos="926"/>
        <w:tab w:val="num" w:pos="1080"/>
      </w:tabs>
      <w:ind w:left="1080"/>
    </w:pPr>
    <w:rPr>
      <w:rFonts w:ascii="Times New Roman" w:hAnsi="Times New Roman"/>
      <w:lang w:val="en-US"/>
    </w:rPr>
  </w:style>
  <w:style w:type="paragraph" w:styleId="ListNumber4">
    <w:name w:val="List Number 4"/>
    <w:basedOn w:val="Normal"/>
    <w:uiPriority w:val="99"/>
    <w:rsid w:val="00FF3E2E"/>
    <w:pPr>
      <w:numPr>
        <w:numId w:val="9"/>
      </w:numPr>
      <w:tabs>
        <w:tab w:val="clear" w:pos="1209"/>
        <w:tab w:val="num" w:pos="1440"/>
      </w:tabs>
      <w:ind w:left="1440"/>
    </w:pPr>
    <w:rPr>
      <w:rFonts w:ascii="Times New Roman" w:hAnsi="Times New Roman"/>
      <w:lang w:val="en-US"/>
    </w:rPr>
  </w:style>
  <w:style w:type="paragraph" w:styleId="ListNumber5">
    <w:name w:val="List Number 5"/>
    <w:basedOn w:val="Normal"/>
    <w:uiPriority w:val="99"/>
    <w:rsid w:val="00FF3E2E"/>
    <w:pPr>
      <w:numPr>
        <w:numId w:val="10"/>
      </w:numPr>
      <w:tabs>
        <w:tab w:val="clear" w:pos="1492"/>
        <w:tab w:val="num" w:pos="1800"/>
      </w:tabs>
      <w:ind w:left="1800"/>
    </w:pPr>
    <w:rPr>
      <w:rFonts w:ascii="Times New Roman" w:hAnsi="Times New Roman"/>
      <w:lang w:val="en-US"/>
    </w:rPr>
  </w:style>
  <w:style w:type="paragraph" w:styleId="Title">
    <w:name w:val="Title"/>
    <w:basedOn w:val="Normal"/>
    <w:link w:val="TitleChar"/>
    <w:uiPriority w:val="99"/>
    <w:qFormat/>
    <w:rsid w:val="00FF3E2E"/>
    <w:pPr>
      <w:jc w:val="center"/>
    </w:pPr>
    <w:rPr>
      <w:b/>
    </w:rPr>
  </w:style>
  <w:style w:type="paragraph" w:styleId="BodyText">
    <w:name w:val="Body Text"/>
    <w:basedOn w:val="Normal"/>
    <w:link w:val="BodyTextChar"/>
    <w:uiPriority w:val="99"/>
    <w:rsid w:val="00FF3E2E"/>
  </w:style>
  <w:style w:type="paragraph" w:styleId="BodyTextIndent">
    <w:name w:val="Body Text Indent"/>
    <w:basedOn w:val="Normal"/>
    <w:link w:val="BodyTextIndentChar"/>
    <w:uiPriority w:val="99"/>
    <w:rsid w:val="00FF3E2E"/>
    <w:pPr>
      <w:ind w:left="720" w:hanging="720"/>
    </w:pPr>
  </w:style>
  <w:style w:type="paragraph" w:styleId="Subtitle">
    <w:name w:val="Subtitle"/>
    <w:basedOn w:val="Normal"/>
    <w:link w:val="SubtitleChar"/>
    <w:uiPriority w:val="99"/>
    <w:qFormat/>
    <w:rsid w:val="00FF3E2E"/>
    <w:pPr>
      <w:jc w:val="center"/>
    </w:pPr>
    <w:rPr>
      <w:b/>
      <w:sz w:val="20"/>
    </w:rPr>
  </w:style>
  <w:style w:type="paragraph" w:styleId="BodyText2">
    <w:name w:val="Body Text 2"/>
    <w:basedOn w:val="Normal"/>
    <w:link w:val="BodyText2Char"/>
    <w:uiPriority w:val="99"/>
    <w:rsid w:val="00FF3E2E"/>
    <w:pPr>
      <w:jc w:val="center"/>
    </w:pPr>
  </w:style>
  <w:style w:type="paragraph" w:styleId="BodyText3">
    <w:name w:val="Body Text 3"/>
    <w:basedOn w:val="Normal"/>
    <w:link w:val="BodyText3Char"/>
    <w:uiPriority w:val="99"/>
    <w:rsid w:val="00FF3E2E"/>
    <w:pPr>
      <w:widowControl w:val="0"/>
      <w:snapToGrid w:val="0"/>
      <w:jc w:val="both"/>
    </w:pPr>
    <w:rPr>
      <w:rFonts w:ascii="Times New Roman" w:hAnsi="Times New Roman"/>
      <w:lang w:val="en-US"/>
    </w:rPr>
  </w:style>
  <w:style w:type="paragraph" w:styleId="BodyTextIndent2">
    <w:name w:val="Body Text Indent 2"/>
    <w:basedOn w:val="Normal"/>
    <w:link w:val="BodyTextIndent2Char"/>
    <w:uiPriority w:val="99"/>
    <w:rsid w:val="00FF3E2E"/>
    <w:pPr>
      <w:ind w:left="720"/>
    </w:pPr>
  </w:style>
  <w:style w:type="paragraph" w:styleId="BodyTextIndent3">
    <w:name w:val="Body Text Indent 3"/>
    <w:basedOn w:val="Normal"/>
    <w:link w:val="BodyTextIndent3Char"/>
    <w:uiPriority w:val="99"/>
    <w:rsid w:val="00FF3E2E"/>
    <w:pPr>
      <w:ind w:left="2880" w:hanging="720"/>
    </w:pPr>
  </w:style>
  <w:style w:type="paragraph" w:styleId="PlainText">
    <w:name w:val="Plain Text"/>
    <w:basedOn w:val="Normal"/>
    <w:link w:val="PlainTextChar"/>
    <w:uiPriority w:val="99"/>
    <w:rsid w:val="00FF3E2E"/>
    <w:rPr>
      <w:rFonts w:ascii="Courier New" w:hAnsi="Courier New"/>
      <w:sz w:val="20"/>
    </w:rPr>
  </w:style>
  <w:style w:type="paragraph" w:customStyle="1" w:styleId="number1">
    <w:name w:val="number1"/>
    <w:basedOn w:val="Normal"/>
    <w:uiPriority w:val="99"/>
    <w:rsid w:val="00FF3E2E"/>
    <w:pPr>
      <w:ind w:left="720" w:hanging="720"/>
      <w:jc w:val="both"/>
    </w:pPr>
    <w:rPr>
      <w:rFonts w:ascii="Times" w:hAnsi="Times"/>
      <w:lang w:val="en-GB"/>
    </w:rPr>
  </w:style>
  <w:style w:type="paragraph" w:customStyle="1" w:styleId="C">
    <w:name w:val="C"/>
    <w:uiPriority w:val="99"/>
    <w:rsid w:val="00FF3E2E"/>
    <w:pPr>
      <w:widowControl w:val="0"/>
      <w:snapToGrid w:val="0"/>
      <w:spacing w:before="60" w:after="120"/>
      <w:jc w:val="center"/>
    </w:pPr>
    <w:rPr>
      <w:rFonts w:ascii="Century" w:hAnsi="Century"/>
      <w:b/>
      <w:sz w:val="24"/>
    </w:rPr>
  </w:style>
  <w:style w:type="paragraph" w:customStyle="1" w:styleId="H">
    <w:name w:val="H"/>
    <w:uiPriority w:val="99"/>
    <w:rsid w:val="00FF3E2E"/>
    <w:pPr>
      <w:widowControl w:val="0"/>
      <w:snapToGrid w:val="0"/>
      <w:spacing w:before="60" w:after="120"/>
      <w:jc w:val="center"/>
    </w:pPr>
    <w:rPr>
      <w:rFonts w:ascii="Century" w:hAnsi="Century"/>
      <w:sz w:val="24"/>
    </w:rPr>
  </w:style>
  <w:style w:type="paragraph" w:customStyle="1" w:styleId="A">
    <w:name w:val="A"/>
    <w:uiPriority w:val="99"/>
    <w:rsid w:val="00FF3E2E"/>
    <w:pPr>
      <w:widowControl w:val="0"/>
      <w:snapToGrid w:val="0"/>
      <w:spacing w:line="170" w:lineRule="exact"/>
      <w:ind w:left="72" w:hanging="72"/>
      <w:jc w:val="both"/>
    </w:pPr>
    <w:rPr>
      <w:rFonts w:ascii="Helvetica" w:hAnsi="Helvetica"/>
      <w:sz w:val="16"/>
    </w:rPr>
  </w:style>
  <w:style w:type="character" w:styleId="FootnoteReference">
    <w:name w:val="footnote reference"/>
    <w:uiPriority w:val="99"/>
    <w:rsid w:val="00FF3E2E"/>
    <w:rPr>
      <w:vertAlign w:val="superscript"/>
    </w:rPr>
  </w:style>
  <w:style w:type="character" w:styleId="CommentReference">
    <w:name w:val="annotation reference"/>
    <w:uiPriority w:val="99"/>
    <w:semiHidden/>
    <w:rsid w:val="00FF3E2E"/>
    <w:rPr>
      <w:sz w:val="16"/>
      <w:szCs w:val="16"/>
    </w:rPr>
  </w:style>
  <w:style w:type="character" w:styleId="PageNumber">
    <w:name w:val="page number"/>
    <w:uiPriority w:val="99"/>
    <w:rsid w:val="00FF3E2E"/>
    <w:rPr>
      <w:rFonts w:ascii="Arial" w:hAnsi="Arial" w:cs="Arial" w:hint="default"/>
      <w:sz w:val="20"/>
    </w:rPr>
  </w:style>
  <w:style w:type="table" w:styleId="TableGrid">
    <w:name w:val="Table Grid"/>
    <w:basedOn w:val="TableNormal"/>
    <w:uiPriority w:val="39"/>
    <w:rsid w:val="008F5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4"/>
    <w:basedOn w:val="Normal"/>
    <w:next w:val="Normal"/>
    <w:uiPriority w:val="99"/>
    <w:rsid w:val="000F0EF5"/>
    <w:pPr>
      <w:tabs>
        <w:tab w:val="right" w:pos="1920"/>
        <w:tab w:val="left" w:pos="2160"/>
      </w:tabs>
      <w:autoSpaceDE w:val="0"/>
      <w:autoSpaceDN w:val="0"/>
      <w:adjustRightInd w:val="0"/>
      <w:ind w:left="2160" w:hanging="2160"/>
      <w:jc w:val="both"/>
    </w:pPr>
    <w:rPr>
      <w:rFonts w:ascii="Times New Roman" w:hAnsi="Times New Roman"/>
      <w:color w:val="000000"/>
      <w:sz w:val="22"/>
      <w:szCs w:val="22"/>
      <w:lang w:val="en-US"/>
    </w:rPr>
  </w:style>
  <w:style w:type="paragraph" w:customStyle="1" w:styleId="2">
    <w:name w:val="2"/>
    <w:basedOn w:val="Normal"/>
    <w:uiPriority w:val="99"/>
    <w:rsid w:val="005F59D9"/>
    <w:pPr>
      <w:tabs>
        <w:tab w:val="right" w:pos="960"/>
        <w:tab w:val="left" w:pos="1200"/>
      </w:tabs>
      <w:autoSpaceDE w:val="0"/>
      <w:autoSpaceDN w:val="0"/>
      <w:adjustRightInd w:val="0"/>
      <w:ind w:left="1200" w:hanging="1200"/>
      <w:jc w:val="both"/>
    </w:pPr>
    <w:rPr>
      <w:rFonts w:ascii="Times New Roman" w:hAnsi="Times New Roman"/>
      <w:color w:val="000000"/>
      <w:sz w:val="22"/>
      <w:szCs w:val="22"/>
      <w:lang w:val="en-US"/>
    </w:rPr>
  </w:style>
  <w:style w:type="paragraph" w:customStyle="1" w:styleId="5">
    <w:name w:val="5"/>
    <w:basedOn w:val="4"/>
    <w:uiPriority w:val="99"/>
    <w:rsid w:val="005F59D9"/>
    <w:pPr>
      <w:tabs>
        <w:tab w:val="clear" w:pos="1920"/>
        <w:tab w:val="clear" w:pos="2160"/>
        <w:tab w:val="right" w:pos="2400"/>
        <w:tab w:val="left" w:pos="2640"/>
      </w:tabs>
      <w:ind w:left="2640" w:hanging="2640"/>
    </w:pPr>
  </w:style>
  <w:style w:type="paragraph" w:customStyle="1" w:styleId="3">
    <w:name w:val="3"/>
    <w:basedOn w:val="2"/>
    <w:uiPriority w:val="99"/>
    <w:rsid w:val="00B14827"/>
    <w:pPr>
      <w:tabs>
        <w:tab w:val="clear" w:pos="960"/>
        <w:tab w:val="clear" w:pos="1200"/>
        <w:tab w:val="right" w:pos="1440"/>
        <w:tab w:val="left" w:pos="1680"/>
      </w:tabs>
      <w:ind w:left="1680" w:hanging="1680"/>
    </w:pPr>
  </w:style>
  <w:style w:type="paragraph" w:customStyle="1" w:styleId="1">
    <w:name w:val="1"/>
    <w:uiPriority w:val="99"/>
    <w:rsid w:val="00B14827"/>
    <w:pPr>
      <w:tabs>
        <w:tab w:val="left" w:pos="720"/>
        <w:tab w:val="left" w:pos="1200"/>
      </w:tabs>
      <w:autoSpaceDE w:val="0"/>
      <w:autoSpaceDN w:val="0"/>
      <w:adjustRightInd w:val="0"/>
      <w:jc w:val="both"/>
    </w:pPr>
    <w:rPr>
      <w:color w:val="000000"/>
      <w:sz w:val="22"/>
      <w:szCs w:val="22"/>
    </w:rPr>
  </w:style>
  <w:style w:type="paragraph" w:customStyle="1" w:styleId="6">
    <w:name w:val="6"/>
    <w:basedOn w:val="5"/>
    <w:uiPriority w:val="99"/>
    <w:rsid w:val="003647B7"/>
    <w:pPr>
      <w:tabs>
        <w:tab w:val="clear" w:pos="2400"/>
        <w:tab w:val="clear" w:pos="2640"/>
        <w:tab w:val="right" w:pos="2880"/>
        <w:tab w:val="left" w:pos="3120"/>
      </w:tabs>
      <w:ind w:left="3120" w:hanging="3120"/>
    </w:pPr>
  </w:style>
  <w:style w:type="numbering" w:customStyle="1" w:styleId="StyleOutlinenumbered">
    <w:name w:val="Style Outline numbered"/>
    <w:basedOn w:val="NoList"/>
    <w:rsid w:val="00715FF5"/>
    <w:pPr>
      <w:numPr>
        <w:numId w:val="25"/>
      </w:numPr>
    </w:pPr>
  </w:style>
  <w:style w:type="paragraph" w:customStyle="1" w:styleId="H1">
    <w:name w:val="H1"/>
    <w:basedOn w:val="Normal"/>
    <w:next w:val="H2"/>
    <w:autoRedefine/>
    <w:uiPriority w:val="99"/>
    <w:rsid w:val="00715FF5"/>
    <w:pPr>
      <w:numPr>
        <w:numId w:val="26"/>
      </w:numPr>
      <w:spacing w:before="240" w:after="240" w:line="480" w:lineRule="auto"/>
      <w:jc w:val="both"/>
    </w:pPr>
    <w:rPr>
      <w:szCs w:val="24"/>
      <w:lang w:val="en-US"/>
    </w:rPr>
  </w:style>
  <w:style w:type="paragraph" w:customStyle="1" w:styleId="H2">
    <w:name w:val="H2"/>
    <w:basedOn w:val="Normal"/>
    <w:autoRedefine/>
    <w:uiPriority w:val="99"/>
    <w:rsid w:val="00715FF5"/>
    <w:pPr>
      <w:numPr>
        <w:ilvl w:val="1"/>
        <w:numId w:val="26"/>
      </w:numPr>
      <w:spacing w:before="120" w:after="240" w:line="480" w:lineRule="auto"/>
      <w:jc w:val="both"/>
    </w:pPr>
    <w:rPr>
      <w:szCs w:val="24"/>
      <w:lang w:val="en-US"/>
    </w:rPr>
  </w:style>
  <w:style w:type="paragraph" w:customStyle="1" w:styleId="H3">
    <w:name w:val="H3"/>
    <w:basedOn w:val="Normal"/>
    <w:autoRedefine/>
    <w:uiPriority w:val="99"/>
    <w:rsid w:val="00715FF5"/>
    <w:pPr>
      <w:numPr>
        <w:ilvl w:val="2"/>
        <w:numId w:val="26"/>
      </w:numPr>
      <w:spacing w:line="480" w:lineRule="auto"/>
      <w:jc w:val="both"/>
    </w:pPr>
    <w:rPr>
      <w:szCs w:val="24"/>
      <w:lang w:val="en-US"/>
    </w:rPr>
  </w:style>
  <w:style w:type="paragraph" w:customStyle="1" w:styleId="H4">
    <w:name w:val="H4"/>
    <w:basedOn w:val="Normal"/>
    <w:autoRedefine/>
    <w:uiPriority w:val="99"/>
    <w:rsid w:val="00715FF5"/>
    <w:pPr>
      <w:numPr>
        <w:ilvl w:val="3"/>
        <w:numId w:val="26"/>
      </w:numPr>
      <w:spacing w:after="240" w:line="480" w:lineRule="auto"/>
      <w:jc w:val="both"/>
    </w:pPr>
    <w:rPr>
      <w:szCs w:val="24"/>
      <w:lang w:val="en-US"/>
    </w:rPr>
  </w:style>
  <w:style w:type="paragraph" w:customStyle="1" w:styleId="SectionBody">
    <w:name w:val="SectionBody"/>
    <w:basedOn w:val="NormalWeb"/>
    <w:link w:val="SectionBodyChar"/>
    <w:uiPriority w:val="99"/>
    <w:rsid w:val="00F650D8"/>
    <w:pPr>
      <w:tabs>
        <w:tab w:val="left" w:pos="567"/>
        <w:tab w:val="left" w:pos="1134"/>
        <w:tab w:val="left" w:pos="1701"/>
        <w:tab w:val="left" w:pos="2268"/>
        <w:tab w:val="left" w:pos="2835"/>
        <w:tab w:val="left" w:pos="3969"/>
        <w:tab w:val="left" w:pos="4536"/>
        <w:tab w:val="left" w:pos="5103"/>
        <w:tab w:val="left" w:pos="5670"/>
        <w:tab w:val="left" w:pos="6237"/>
        <w:tab w:val="left" w:pos="7371"/>
        <w:tab w:val="left" w:pos="7938"/>
      </w:tabs>
      <w:spacing w:after="120" w:line="240" w:lineRule="auto"/>
      <w:jc w:val="both"/>
    </w:pPr>
    <w:rPr>
      <w:rFonts w:cs="Arial"/>
      <w:color w:val="auto"/>
      <w:sz w:val="24"/>
      <w:szCs w:val="24"/>
    </w:rPr>
  </w:style>
  <w:style w:type="character" w:customStyle="1" w:styleId="SectionBodyChar">
    <w:name w:val="SectionBody Char"/>
    <w:link w:val="SectionBody"/>
    <w:uiPriority w:val="99"/>
    <w:locked/>
    <w:rsid w:val="00F650D8"/>
    <w:rPr>
      <w:rFonts w:ascii="Arial" w:hAnsi="Arial" w:cs="Arial"/>
      <w:sz w:val="24"/>
      <w:szCs w:val="24"/>
      <w:lang w:val="en-US" w:eastAsia="en-US" w:bidi="ar-SA"/>
    </w:rPr>
  </w:style>
  <w:style w:type="character" w:customStyle="1" w:styleId="FootnoteTextChar">
    <w:name w:val="Footnote Text Char"/>
    <w:link w:val="FootnoteText"/>
    <w:uiPriority w:val="99"/>
    <w:locked/>
    <w:rsid w:val="00A357FD"/>
    <w:rPr>
      <w:rFonts w:ascii="Arial" w:hAnsi="Arial"/>
      <w:sz w:val="22"/>
      <w:lang w:val="en-AU" w:eastAsia="en-US" w:bidi="ar-SA"/>
    </w:rPr>
  </w:style>
  <w:style w:type="paragraph" w:customStyle="1" w:styleId="H2A">
    <w:name w:val="H2A"/>
    <w:basedOn w:val="Normal"/>
    <w:autoRedefine/>
    <w:uiPriority w:val="99"/>
    <w:rsid w:val="003E1017"/>
    <w:pPr>
      <w:numPr>
        <w:numId w:val="31"/>
      </w:numPr>
      <w:tabs>
        <w:tab w:val="clear" w:pos="1440"/>
      </w:tabs>
      <w:spacing w:line="480" w:lineRule="auto"/>
      <w:ind w:left="0" w:firstLine="720"/>
      <w:jc w:val="both"/>
    </w:pPr>
    <w:rPr>
      <w:rFonts w:cs="Arial"/>
      <w:szCs w:val="24"/>
      <w:lang w:val="en-US"/>
    </w:rPr>
  </w:style>
  <w:style w:type="paragraph" w:styleId="ListParagraph">
    <w:name w:val="List Paragraph"/>
    <w:basedOn w:val="Normal"/>
    <w:link w:val="ListParagraphChar"/>
    <w:uiPriority w:val="34"/>
    <w:qFormat/>
    <w:rsid w:val="000D5870"/>
    <w:pPr>
      <w:ind w:left="720"/>
    </w:pPr>
  </w:style>
  <w:style w:type="paragraph" w:styleId="EndnoteText">
    <w:name w:val="endnote text"/>
    <w:basedOn w:val="Normal"/>
    <w:link w:val="EndnoteTextChar"/>
    <w:uiPriority w:val="99"/>
    <w:rsid w:val="00003276"/>
    <w:rPr>
      <w:sz w:val="20"/>
    </w:rPr>
  </w:style>
  <w:style w:type="character" w:customStyle="1" w:styleId="EndnoteTextChar">
    <w:name w:val="Endnote Text Char"/>
    <w:basedOn w:val="DefaultParagraphFont"/>
    <w:link w:val="EndnoteText"/>
    <w:uiPriority w:val="99"/>
    <w:rsid w:val="00003276"/>
    <w:rPr>
      <w:rFonts w:ascii="Arial" w:hAnsi="Arial"/>
      <w:lang w:val="en-AU"/>
    </w:rPr>
  </w:style>
  <w:style w:type="character" w:styleId="EndnoteReference">
    <w:name w:val="endnote reference"/>
    <w:basedOn w:val="DefaultParagraphFont"/>
    <w:uiPriority w:val="99"/>
    <w:rsid w:val="00003276"/>
    <w:rPr>
      <w:vertAlign w:val="superscript"/>
    </w:rPr>
  </w:style>
  <w:style w:type="character" w:customStyle="1" w:styleId="ListParagraphChar">
    <w:name w:val="List Paragraph Char"/>
    <w:basedOn w:val="DefaultParagraphFont"/>
    <w:link w:val="ListParagraph"/>
    <w:uiPriority w:val="1"/>
    <w:rsid w:val="00FE3654"/>
    <w:rPr>
      <w:rFonts w:ascii="Arial" w:hAnsi="Arial"/>
      <w:sz w:val="24"/>
      <w:lang w:val="en-AU"/>
    </w:rPr>
  </w:style>
  <w:style w:type="paragraph" w:customStyle="1" w:styleId="indent1">
    <w:name w:val="indent1"/>
    <w:basedOn w:val="Normal"/>
    <w:uiPriority w:val="99"/>
    <w:rsid w:val="001959F0"/>
    <w:pPr>
      <w:spacing w:before="100" w:beforeAutospacing="1" w:after="100" w:afterAutospacing="1"/>
    </w:pPr>
    <w:rPr>
      <w:rFonts w:ascii="Times New Roman" w:hAnsi="Times New Roman"/>
      <w:szCs w:val="24"/>
      <w:lang w:val="en-US"/>
    </w:rPr>
  </w:style>
  <w:style w:type="character" w:customStyle="1" w:styleId="Heading1Char">
    <w:name w:val="Heading 1 Char"/>
    <w:basedOn w:val="DefaultParagraphFont"/>
    <w:link w:val="Heading1"/>
    <w:uiPriority w:val="99"/>
    <w:locked/>
    <w:rsid w:val="00AA4BF8"/>
    <w:rPr>
      <w:rFonts w:ascii="Arial" w:hAnsi="Arial"/>
      <w:b/>
      <w:caps/>
      <w:sz w:val="28"/>
      <w:lang w:val="en-AU"/>
    </w:rPr>
  </w:style>
  <w:style w:type="character" w:customStyle="1" w:styleId="Heading2Char">
    <w:name w:val="Heading 2 Char"/>
    <w:basedOn w:val="DefaultParagraphFont"/>
    <w:link w:val="Heading2"/>
    <w:uiPriority w:val="99"/>
    <w:locked/>
    <w:rsid w:val="00AA4BF8"/>
    <w:rPr>
      <w:rFonts w:ascii="Arial" w:hAnsi="Arial"/>
      <w:b/>
      <w:sz w:val="24"/>
      <w:lang w:val="en-AU"/>
    </w:rPr>
  </w:style>
  <w:style w:type="character" w:customStyle="1" w:styleId="Heading3Char">
    <w:name w:val="Heading 3 Char"/>
    <w:basedOn w:val="DefaultParagraphFont"/>
    <w:link w:val="Heading3"/>
    <w:uiPriority w:val="99"/>
    <w:locked/>
    <w:rsid w:val="00AA4BF8"/>
    <w:rPr>
      <w:rFonts w:ascii="Arial" w:hAnsi="Arial"/>
      <w:b/>
      <w:caps/>
      <w:sz w:val="24"/>
      <w:lang w:val="en-AU"/>
    </w:rPr>
  </w:style>
  <w:style w:type="character" w:customStyle="1" w:styleId="Heading4Char">
    <w:name w:val="Heading 4 Char"/>
    <w:basedOn w:val="DefaultParagraphFont"/>
    <w:link w:val="Heading4"/>
    <w:uiPriority w:val="99"/>
    <w:locked/>
    <w:rsid w:val="00AA4BF8"/>
    <w:rPr>
      <w:rFonts w:ascii="Arial" w:hAnsi="Arial"/>
      <w:b/>
      <w:sz w:val="24"/>
      <w:lang w:val="en-AU"/>
    </w:rPr>
  </w:style>
  <w:style w:type="character" w:customStyle="1" w:styleId="Heading5Char">
    <w:name w:val="Heading 5 Char"/>
    <w:basedOn w:val="DefaultParagraphFont"/>
    <w:link w:val="Heading5"/>
    <w:uiPriority w:val="9"/>
    <w:locked/>
    <w:rsid w:val="00AA4BF8"/>
    <w:rPr>
      <w:rFonts w:ascii="Arial" w:hAnsi="Arial"/>
      <w:b/>
      <w:i/>
      <w:sz w:val="24"/>
      <w:lang w:val="en-AU"/>
    </w:rPr>
  </w:style>
  <w:style w:type="character" w:customStyle="1" w:styleId="Heading6Char">
    <w:name w:val="Heading 6 Char"/>
    <w:basedOn w:val="DefaultParagraphFont"/>
    <w:link w:val="Heading6"/>
    <w:uiPriority w:val="99"/>
    <w:locked/>
    <w:rsid w:val="00AA4BF8"/>
    <w:rPr>
      <w:rFonts w:ascii="Arial" w:hAnsi="Arial"/>
      <w:i/>
      <w:sz w:val="24"/>
      <w:lang w:val="en-AU"/>
    </w:rPr>
  </w:style>
  <w:style w:type="character" w:customStyle="1" w:styleId="Heading7Char">
    <w:name w:val="Heading 7 Char"/>
    <w:basedOn w:val="DefaultParagraphFont"/>
    <w:link w:val="Heading7"/>
    <w:uiPriority w:val="99"/>
    <w:locked/>
    <w:rsid w:val="00AA4BF8"/>
    <w:rPr>
      <w:rFonts w:ascii="Arial" w:hAnsi="Arial"/>
      <w:sz w:val="24"/>
      <w:u w:val="single"/>
      <w:lang w:val="en-AU"/>
    </w:rPr>
  </w:style>
  <w:style w:type="character" w:customStyle="1" w:styleId="Heading8Char">
    <w:name w:val="Heading 8 Char"/>
    <w:basedOn w:val="DefaultParagraphFont"/>
    <w:link w:val="Heading8"/>
    <w:uiPriority w:val="99"/>
    <w:locked/>
    <w:rsid w:val="00AA4BF8"/>
    <w:rPr>
      <w:rFonts w:ascii="Arial" w:hAnsi="Arial"/>
      <w:b/>
      <w:i/>
      <w:sz w:val="24"/>
      <w:lang w:val="en-AU"/>
    </w:rPr>
  </w:style>
  <w:style w:type="character" w:customStyle="1" w:styleId="Heading9Char">
    <w:name w:val="Heading 9 Char"/>
    <w:basedOn w:val="DefaultParagraphFont"/>
    <w:link w:val="Heading9"/>
    <w:uiPriority w:val="99"/>
    <w:locked/>
    <w:rsid w:val="00AA4BF8"/>
    <w:rPr>
      <w:rFonts w:ascii="Arial" w:hAnsi="Arial"/>
      <w:b/>
      <w:sz w:val="24"/>
      <w:lang w:val="en-AU"/>
    </w:rPr>
  </w:style>
  <w:style w:type="character" w:customStyle="1" w:styleId="CommentTextChar">
    <w:name w:val="Comment Text Char"/>
    <w:basedOn w:val="DefaultParagraphFont"/>
    <w:link w:val="CommentText"/>
    <w:uiPriority w:val="99"/>
    <w:semiHidden/>
    <w:locked/>
    <w:rsid w:val="00AA4BF8"/>
    <w:rPr>
      <w:rFonts w:ascii="Arial" w:hAnsi="Arial"/>
      <w:lang w:val="en-AU"/>
    </w:rPr>
  </w:style>
  <w:style w:type="character" w:customStyle="1" w:styleId="HeaderChar">
    <w:name w:val="Header Char"/>
    <w:basedOn w:val="DefaultParagraphFont"/>
    <w:link w:val="Header"/>
    <w:uiPriority w:val="99"/>
    <w:locked/>
    <w:rsid w:val="00AA4BF8"/>
    <w:rPr>
      <w:rFonts w:ascii="Arial" w:hAnsi="Arial"/>
      <w:sz w:val="24"/>
      <w:lang w:val="en-AU"/>
    </w:rPr>
  </w:style>
  <w:style w:type="character" w:customStyle="1" w:styleId="FooterChar">
    <w:name w:val="Footer Char"/>
    <w:basedOn w:val="DefaultParagraphFont"/>
    <w:link w:val="Footer"/>
    <w:uiPriority w:val="99"/>
    <w:locked/>
    <w:rsid w:val="00AA4BF8"/>
    <w:rPr>
      <w:rFonts w:ascii="Arial" w:hAnsi="Arial"/>
      <w:sz w:val="24"/>
      <w:lang w:val="en-AU"/>
    </w:rPr>
  </w:style>
  <w:style w:type="character" w:customStyle="1" w:styleId="TitleChar">
    <w:name w:val="Title Char"/>
    <w:basedOn w:val="DefaultParagraphFont"/>
    <w:link w:val="Title"/>
    <w:uiPriority w:val="99"/>
    <w:locked/>
    <w:rsid w:val="00AA4BF8"/>
    <w:rPr>
      <w:rFonts w:ascii="Arial" w:hAnsi="Arial"/>
      <w:b/>
      <w:sz w:val="24"/>
      <w:lang w:val="en-AU"/>
    </w:rPr>
  </w:style>
  <w:style w:type="character" w:customStyle="1" w:styleId="BodyTextChar">
    <w:name w:val="Body Text Char"/>
    <w:basedOn w:val="DefaultParagraphFont"/>
    <w:link w:val="BodyText"/>
    <w:uiPriority w:val="99"/>
    <w:locked/>
    <w:rsid w:val="00AA4BF8"/>
    <w:rPr>
      <w:rFonts w:ascii="Arial" w:hAnsi="Arial"/>
      <w:sz w:val="24"/>
      <w:lang w:val="en-AU"/>
    </w:rPr>
  </w:style>
  <w:style w:type="character" w:customStyle="1" w:styleId="BodyTextIndentChar">
    <w:name w:val="Body Text Indent Char"/>
    <w:basedOn w:val="DefaultParagraphFont"/>
    <w:link w:val="BodyTextIndent"/>
    <w:uiPriority w:val="99"/>
    <w:locked/>
    <w:rsid w:val="00AA4BF8"/>
    <w:rPr>
      <w:rFonts w:ascii="Arial" w:hAnsi="Arial"/>
      <w:sz w:val="24"/>
      <w:lang w:val="en-AU"/>
    </w:rPr>
  </w:style>
  <w:style w:type="character" w:customStyle="1" w:styleId="SubtitleChar">
    <w:name w:val="Subtitle Char"/>
    <w:basedOn w:val="DefaultParagraphFont"/>
    <w:link w:val="Subtitle"/>
    <w:uiPriority w:val="99"/>
    <w:locked/>
    <w:rsid w:val="00AA4BF8"/>
    <w:rPr>
      <w:rFonts w:ascii="Arial" w:hAnsi="Arial"/>
      <w:b/>
      <w:lang w:val="en-AU"/>
    </w:rPr>
  </w:style>
  <w:style w:type="character" w:customStyle="1" w:styleId="BodyText2Char">
    <w:name w:val="Body Text 2 Char"/>
    <w:basedOn w:val="DefaultParagraphFont"/>
    <w:link w:val="BodyText2"/>
    <w:uiPriority w:val="99"/>
    <w:locked/>
    <w:rsid w:val="00AA4BF8"/>
    <w:rPr>
      <w:rFonts w:ascii="Arial" w:hAnsi="Arial"/>
      <w:sz w:val="24"/>
      <w:lang w:val="en-AU"/>
    </w:rPr>
  </w:style>
  <w:style w:type="character" w:customStyle="1" w:styleId="BodyText3Char">
    <w:name w:val="Body Text 3 Char"/>
    <w:basedOn w:val="DefaultParagraphFont"/>
    <w:link w:val="BodyText3"/>
    <w:uiPriority w:val="99"/>
    <w:locked/>
    <w:rsid w:val="00AA4BF8"/>
    <w:rPr>
      <w:sz w:val="24"/>
    </w:rPr>
  </w:style>
  <w:style w:type="character" w:customStyle="1" w:styleId="BodyTextIndent2Char">
    <w:name w:val="Body Text Indent 2 Char"/>
    <w:basedOn w:val="DefaultParagraphFont"/>
    <w:link w:val="BodyTextIndent2"/>
    <w:uiPriority w:val="99"/>
    <w:locked/>
    <w:rsid w:val="00AA4BF8"/>
    <w:rPr>
      <w:rFonts w:ascii="Arial" w:hAnsi="Arial"/>
      <w:sz w:val="24"/>
      <w:lang w:val="en-AU"/>
    </w:rPr>
  </w:style>
  <w:style w:type="character" w:customStyle="1" w:styleId="BodyTextIndent3Char">
    <w:name w:val="Body Text Indent 3 Char"/>
    <w:basedOn w:val="DefaultParagraphFont"/>
    <w:link w:val="BodyTextIndent3"/>
    <w:uiPriority w:val="99"/>
    <w:locked/>
    <w:rsid w:val="00AA4BF8"/>
    <w:rPr>
      <w:rFonts w:ascii="Arial" w:hAnsi="Arial"/>
      <w:sz w:val="24"/>
      <w:lang w:val="en-AU"/>
    </w:rPr>
  </w:style>
  <w:style w:type="character" w:customStyle="1" w:styleId="PlainTextChar">
    <w:name w:val="Plain Text Char"/>
    <w:basedOn w:val="DefaultParagraphFont"/>
    <w:link w:val="PlainText"/>
    <w:uiPriority w:val="99"/>
    <w:locked/>
    <w:rsid w:val="00AA4BF8"/>
    <w:rPr>
      <w:rFonts w:ascii="Courier New" w:hAnsi="Courier New"/>
      <w:lang w:val="en-AU"/>
    </w:rPr>
  </w:style>
  <w:style w:type="paragraph" w:styleId="BalloonText">
    <w:name w:val="Balloon Text"/>
    <w:basedOn w:val="Normal"/>
    <w:link w:val="BalloonTextChar"/>
    <w:rsid w:val="00DD71BA"/>
    <w:rPr>
      <w:rFonts w:ascii="Tahoma" w:hAnsi="Tahoma" w:cs="Tahoma"/>
      <w:sz w:val="16"/>
      <w:szCs w:val="16"/>
    </w:rPr>
  </w:style>
  <w:style w:type="character" w:customStyle="1" w:styleId="BalloonTextChar">
    <w:name w:val="Balloon Text Char"/>
    <w:basedOn w:val="DefaultParagraphFont"/>
    <w:link w:val="BalloonText"/>
    <w:rsid w:val="00DD71BA"/>
    <w:rPr>
      <w:rFonts w:ascii="Tahoma" w:hAnsi="Tahoma" w:cs="Tahoma"/>
      <w:sz w:val="16"/>
      <w:szCs w:val="16"/>
      <w:lang w:val="en-AU"/>
    </w:rPr>
  </w:style>
  <w:style w:type="paragraph" w:customStyle="1" w:styleId="Default">
    <w:name w:val="Default"/>
    <w:rsid w:val="006318B3"/>
    <w:pPr>
      <w:autoSpaceDE w:val="0"/>
      <w:autoSpaceDN w:val="0"/>
      <w:adjustRightInd w:val="0"/>
    </w:pPr>
    <w:rPr>
      <w:rFonts w:ascii="Arial" w:hAnsi="Arial" w:cs="Arial"/>
      <w:color w:val="000000"/>
      <w:sz w:val="24"/>
      <w:szCs w:val="24"/>
    </w:rPr>
  </w:style>
  <w:style w:type="numbering" w:customStyle="1" w:styleId="Style2">
    <w:name w:val="Style2"/>
    <w:uiPriority w:val="99"/>
    <w:rsid w:val="006C45DB"/>
    <w:pPr>
      <w:numPr>
        <w:numId w:val="87"/>
      </w:numPr>
    </w:pPr>
  </w:style>
  <w:style w:type="numbering" w:customStyle="1" w:styleId="Style4">
    <w:name w:val="Style4"/>
    <w:uiPriority w:val="99"/>
    <w:rsid w:val="00646E28"/>
    <w:pPr>
      <w:numPr>
        <w:numId w:val="92"/>
      </w:numPr>
    </w:pPr>
  </w:style>
  <w:style w:type="character" w:customStyle="1" w:styleId="NormalWebChar">
    <w:name w:val="Normal (Web) Char"/>
    <w:link w:val="NormalWeb"/>
    <w:rsid w:val="001B4B85"/>
    <w:rPr>
      <w:rFonts w:ascii="Arial" w:hAnsi="Arial"/>
      <w:color w:val="000080"/>
    </w:rPr>
  </w:style>
  <w:style w:type="numbering" w:customStyle="1" w:styleId="Style6">
    <w:name w:val="Style6"/>
    <w:uiPriority w:val="99"/>
    <w:rsid w:val="00D91996"/>
    <w:pPr>
      <w:numPr>
        <w:numId w:val="9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3E2E"/>
    <w:rPr>
      <w:rFonts w:ascii="Arial" w:hAnsi="Arial"/>
      <w:sz w:val="24"/>
      <w:lang w:val="en-AU"/>
    </w:rPr>
  </w:style>
  <w:style w:type="paragraph" w:styleId="Heading1">
    <w:name w:val="heading 1"/>
    <w:basedOn w:val="Normal"/>
    <w:next w:val="Normal"/>
    <w:link w:val="Heading1Char"/>
    <w:uiPriority w:val="99"/>
    <w:qFormat/>
    <w:rsid w:val="00FF3E2E"/>
    <w:pPr>
      <w:keepNext/>
      <w:spacing w:line="240" w:lineRule="exact"/>
      <w:jc w:val="center"/>
      <w:outlineLvl w:val="0"/>
    </w:pPr>
    <w:rPr>
      <w:b/>
      <w:caps/>
      <w:sz w:val="28"/>
    </w:rPr>
  </w:style>
  <w:style w:type="paragraph" w:styleId="Heading2">
    <w:name w:val="heading 2"/>
    <w:basedOn w:val="Normal"/>
    <w:next w:val="Normal"/>
    <w:link w:val="Heading2Char"/>
    <w:uiPriority w:val="99"/>
    <w:qFormat/>
    <w:rsid w:val="00FF3E2E"/>
    <w:pPr>
      <w:keepNext/>
      <w:spacing w:line="240" w:lineRule="exact"/>
      <w:jc w:val="center"/>
      <w:outlineLvl w:val="1"/>
    </w:pPr>
    <w:rPr>
      <w:b/>
    </w:rPr>
  </w:style>
  <w:style w:type="paragraph" w:styleId="Heading3">
    <w:name w:val="heading 3"/>
    <w:basedOn w:val="Normal"/>
    <w:next w:val="Normal"/>
    <w:link w:val="Heading3Char"/>
    <w:uiPriority w:val="99"/>
    <w:qFormat/>
    <w:rsid w:val="00FF3E2E"/>
    <w:pPr>
      <w:keepNext/>
      <w:spacing w:line="240" w:lineRule="exact"/>
      <w:outlineLvl w:val="2"/>
    </w:pPr>
    <w:rPr>
      <w:b/>
      <w:caps/>
    </w:rPr>
  </w:style>
  <w:style w:type="paragraph" w:styleId="Heading4">
    <w:name w:val="heading 4"/>
    <w:basedOn w:val="Normal"/>
    <w:next w:val="Normal"/>
    <w:link w:val="Heading4Char"/>
    <w:uiPriority w:val="99"/>
    <w:qFormat/>
    <w:rsid w:val="00FF3E2E"/>
    <w:pPr>
      <w:keepNext/>
      <w:outlineLvl w:val="3"/>
    </w:pPr>
    <w:rPr>
      <w:b/>
    </w:rPr>
  </w:style>
  <w:style w:type="paragraph" w:styleId="Heading5">
    <w:name w:val="heading 5"/>
    <w:basedOn w:val="Normal"/>
    <w:next w:val="Normal"/>
    <w:link w:val="Heading5Char"/>
    <w:uiPriority w:val="99"/>
    <w:qFormat/>
    <w:rsid w:val="00FF3E2E"/>
    <w:pPr>
      <w:spacing w:before="240" w:after="60"/>
      <w:outlineLvl w:val="4"/>
    </w:pPr>
    <w:rPr>
      <w:b/>
      <w:i/>
    </w:rPr>
  </w:style>
  <w:style w:type="paragraph" w:styleId="Heading6">
    <w:name w:val="heading 6"/>
    <w:basedOn w:val="Normal"/>
    <w:next w:val="Normal"/>
    <w:link w:val="Heading6Char"/>
    <w:uiPriority w:val="99"/>
    <w:qFormat/>
    <w:rsid w:val="00FF3E2E"/>
    <w:pPr>
      <w:spacing w:before="240" w:after="60"/>
      <w:outlineLvl w:val="5"/>
    </w:pPr>
    <w:rPr>
      <w:i/>
    </w:rPr>
  </w:style>
  <w:style w:type="paragraph" w:styleId="Heading7">
    <w:name w:val="heading 7"/>
    <w:basedOn w:val="Normal"/>
    <w:next w:val="Normal"/>
    <w:link w:val="Heading7Char"/>
    <w:uiPriority w:val="99"/>
    <w:qFormat/>
    <w:rsid w:val="00FF3E2E"/>
    <w:pPr>
      <w:spacing w:before="240" w:after="60"/>
      <w:outlineLvl w:val="6"/>
    </w:pPr>
    <w:rPr>
      <w:u w:val="single"/>
    </w:rPr>
  </w:style>
  <w:style w:type="paragraph" w:styleId="Heading8">
    <w:name w:val="heading 8"/>
    <w:basedOn w:val="Normal"/>
    <w:next w:val="Normal"/>
    <w:link w:val="Heading8Char"/>
    <w:uiPriority w:val="99"/>
    <w:qFormat/>
    <w:rsid w:val="00FF3E2E"/>
    <w:pPr>
      <w:keepNext/>
      <w:jc w:val="center"/>
      <w:outlineLvl w:val="7"/>
    </w:pPr>
    <w:rPr>
      <w:b/>
      <w:i/>
    </w:rPr>
  </w:style>
  <w:style w:type="paragraph" w:styleId="Heading9">
    <w:name w:val="heading 9"/>
    <w:basedOn w:val="Normal"/>
    <w:next w:val="Normal"/>
    <w:link w:val="Heading9Char"/>
    <w:uiPriority w:val="99"/>
    <w:qFormat/>
    <w:rsid w:val="00FF3E2E"/>
    <w:pPr>
      <w:keepNext/>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F3E2E"/>
    <w:rPr>
      <w:rFonts w:ascii="Arial" w:hAnsi="Arial" w:cs="Arial" w:hint="default"/>
      <w:b/>
      <w:bCs/>
      <w:strike w:val="0"/>
      <w:dstrike w:val="0"/>
      <w:color w:val="000080"/>
      <w:sz w:val="20"/>
      <w:szCs w:val="20"/>
      <w:u w:val="none"/>
      <w:effect w:val="none"/>
    </w:rPr>
  </w:style>
  <w:style w:type="character" w:styleId="FollowedHyperlink">
    <w:name w:val="FollowedHyperlink"/>
    <w:uiPriority w:val="99"/>
    <w:rsid w:val="00FF3E2E"/>
    <w:rPr>
      <w:color w:val="800080"/>
      <w:u w:val="single"/>
    </w:rPr>
  </w:style>
  <w:style w:type="paragraph" w:styleId="NormalWeb">
    <w:name w:val="Normal (Web)"/>
    <w:basedOn w:val="Normal"/>
    <w:uiPriority w:val="99"/>
    <w:rsid w:val="00FF3E2E"/>
    <w:pPr>
      <w:spacing w:line="360" w:lineRule="auto"/>
    </w:pPr>
    <w:rPr>
      <w:color w:val="000080"/>
      <w:sz w:val="20"/>
      <w:lang w:val="en-US"/>
    </w:rPr>
  </w:style>
  <w:style w:type="paragraph" w:styleId="FootnoteText">
    <w:name w:val="footnote text"/>
    <w:basedOn w:val="Normal"/>
    <w:link w:val="FootnoteTextChar"/>
    <w:uiPriority w:val="99"/>
    <w:semiHidden/>
    <w:rsid w:val="00FF3E2E"/>
    <w:pPr>
      <w:ind w:left="720" w:hanging="720"/>
    </w:pPr>
    <w:rPr>
      <w:sz w:val="22"/>
    </w:rPr>
  </w:style>
  <w:style w:type="paragraph" w:styleId="CommentText">
    <w:name w:val="annotation text"/>
    <w:basedOn w:val="Normal"/>
    <w:link w:val="CommentTextChar"/>
    <w:uiPriority w:val="99"/>
    <w:semiHidden/>
    <w:rsid w:val="00FF3E2E"/>
    <w:rPr>
      <w:sz w:val="20"/>
    </w:rPr>
  </w:style>
  <w:style w:type="paragraph" w:styleId="Header">
    <w:name w:val="header"/>
    <w:basedOn w:val="Normal"/>
    <w:link w:val="HeaderChar"/>
    <w:uiPriority w:val="99"/>
    <w:rsid w:val="00FF3E2E"/>
    <w:pPr>
      <w:tabs>
        <w:tab w:val="center" w:pos="4320"/>
        <w:tab w:val="right" w:pos="8640"/>
      </w:tabs>
    </w:pPr>
  </w:style>
  <w:style w:type="paragraph" w:styleId="Footer">
    <w:name w:val="footer"/>
    <w:basedOn w:val="Normal"/>
    <w:link w:val="FooterChar"/>
    <w:uiPriority w:val="99"/>
    <w:rsid w:val="00FF3E2E"/>
    <w:pPr>
      <w:tabs>
        <w:tab w:val="center" w:pos="4320"/>
        <w:tab w:val="right" w:pos="8640"/>
      </w:tabs>
    </w:pPr>
  </w:style>
  <w:style w:type="paragraph" w:styleId="ListBullet">
    <w:name w:val="List Bullet"/>
    <w:basedOn w:val="Normal"/>
    <w:autoRedefine/>
    <w:uiPriority w:val="99"/>
    <w:rsid w:val="00FF3E2E"/>
    <w:pPr>
      <w:numPr>
        <w:numId w:val="1"/>
      </w:numPr>
    </w:pPr>
    <w:rPr>
      <w:rFonts w:ascii="Times New Roman" w:hAnsi="Times New Roman"/>
      <w:lang w:val="en-US"/>
    </w:rPr>
  </w:style>
  <w:style w:type="paragraph" w:styleId="ListNumber">
    <w:name w:val="List Number"/>
    <w:basedOn w:val="Normal"/>
    <w:uiPriority w:val="99"/>
    <w:rsid w:val="00FF3E2E"/>
    <w:pPr>
      <w:numPr>
        <w:numId w:val="2"/>
      </w:numPr>
    </w:pPr>
    <w:rPr>
      <w:rFonts w:ascii="Times New Roman" w:hAnsi="Times New Roman"/>
      <w:lang w:val="en-US"/>
    </w:rPr>
  </w:style>
  <w:style w:type="paragraph" w:styleId="ListBullet2">
    <w:name w:val="List Bullet 2"/>
    <w:basedOn w:val="Normal"/>
    <w:autoRedefine/>
    <w:uiPriority w:val="99"/>
    <w:rsid w:val="00FF3E2E"/>
    <w:pPr>
      <w:numPr>
        <w:numId w:val="3"/>
      </w:numPr>
      <w:tabs>
        <w:tab w:val="clear" w:pos="643"/>
        <w:tab w:val="num" w:pos="720"/>
      </w:tabs>
      <w:ind w:left="720"/>
    </w:pPr>
    <w:rPr>
      <w:rFonts w:ascii="Times New Roman" w:hAnsi="Times New Roman"/>
      <w:lang w:val="en-US"/>
    </w:rPr>
  </w:style>
  <w:style w:type="paragraph" w:styleId="ListBullet3">
    <w:name w:val="List Bullet 3"/>
    <w:basedOn w:val="Normal"/>
    <w:autoRedefine/>
    <w:uiPriority w:val="99"/>
    <w:rsid w:val="00FF3E2E"/>
    <w:pPr>
      <w:numPr>
        <w:numId w:val="4"/>
      </w:numPr>
      <w:tabs>
        <w:tab w:val="clear" w:pos="926"/>
        <w:tab w:val="num" w:pos="1080"/>
      </w:tabs>
      <w:ind w:left="1080"/>
    </w:pPr>
    <w:rPr>
      <w:rFonts w:ascii="Times New Roman" w:hAnsi="Times New Roman"/>
      <w:lang w:val="en-US"/>
    </w:rPr>
  </w:style>
  <w:style w:type="paragraph" w:styleId="ListBullet4">
    <w:name w:val="List Bullet 4"/>
    <w:basedOn w:val="Normal"/>
    <w:autoRedefine/>
    <w:uiPriority w:val="99"/>
    <w:rsid w:val="00FF3E2E"/>
    <w:pPr>
      <w:numPr>
        <w:numId w:val="5"/>
      </w:numPr>
      <w:tabs>
        <w:tab w:val="clear" w:pos="1209"/>
        <w:tab w:val="num" w:pos="1440"/>
      </w:tabs>
      <w:ind w:left="1440"/>
    </w:pPr>
    <w:rPr>
      <w:rFonts w:ascii="Times New Roman" w:hAnsi="Times New Roman"/>
      <w:lang w:val="en-US"/>
    </w:rPr>
  </w:style>
  <w:style w:type="paragraph" w:styleId="ListBullet5">
    <w:name w:val="List Bullet 5"/>
    <w:basedOn w:val="Normal"/>
    <w:autoRedefine/>
    <w:uiPriority w:val="99"/>
    <w:rsid w:val="00FF3E2E"/>
    <w:pPr>
      <w:numPr>
        <w:numId w:val="6"/>
      </w:numPr>
      <w:tabs>
        <w:tab w:val="clear" w:pos="1492"/>
        <w:tab w:val="num" w:pos="1800"/>
      </w:tabs>
      <w:ind w:left="1800"/>
    </w:pPr>
    <w:rPr>
      <w:rFonts w:ascii="Times New Roman" w:hAnsi="Times New Roman"/>
      <w:lang w:val="en-US"/>
    </w:rPr>
  </w:style>
  <w:style w:type="paragraph" w:styleId="ListNumber2">
    <w:name w:val="List Number 2"/>
    <w:basedOn w:val="Normal"/>
    <w:uiPriority w:val="99"/>
    <w:rsid w:val="00FF3E2E"/>
    <w:pPr>
      <w:numPr>
        <w:numId w:val="7"/>
      </w:numPr>
      <w:tabs>
        <w:tab w:val="clear" w:pos="643"/>
        <w:tab w:val="num" w:pos="720"/>
      </w:tabs>
      <w:ind w:left="720"/>
    </w:pPr>
    <w:rPr>
      <w:rFonts w:ascii="Times New Roman" w:hAnsi="Times New Roman"/>
      <w:lang w:val="en-US"/>
    </w:rPr>
  </w:style>
  <w:style w:type="paragraph" w:styleId="ListNumber3">
    <w:name w:val="List Number 3"/>
    <w:basedOn w:val="Normal"/>
    <w:uiPriority w:val="99"/>
    <w:rsid w:val="00FF3E2E"/>
    <w:pPr>
      <w:numPr>
        <w:numId w:val="8"/>
      </w:numPr>
      <w:tabs>
        <w:tab w:val="clear" w:pos="926"/>
        <w:tab w:val="num" w:pos="1080"/>
      </w:tabs>
      <w:ind w:left="1080"/>
    </w:pPr>
    <w:rPr>
      <w:rFonts w:ascii="Times New Roman" w:hAnsi="Times New Roman"/>
      <w:lang w:val="en-US"/>
    </w:rPr>
  </w:style>
  <w:style w:type="paragraph" w:styleId="ListNumber4">
    <w:name w:val="List Number 4"/>
    <w:basedOn w:val="Normal"/>
    <w:uiPriority w:val="99"/>
    <w:rsid w:val="00FF3E2E"/>
    <w:pPr>
      <w:numPr>
        <w:numId w:val="9"/>
      </w:numPr>
      <w:tabs>
        <w:tab w:val="clear" w:pos="1209"/>
        <w:tab w:val="num" w:pos="1440"/>
      </w:tabs>
      <w:ind w:left="1440"/>
    </w:pPr>
    <w:rPr>
      <w:rFonts w:ascii="Times New Roman" w:hAnsi="Times New Roman"/>
      <w:lang w:val="en-US"/>
    </w:rPr>
  </w:style>
  <w:style w:type="paragraph" w:styleId="ListNumber5">
    <w:name w:val="List Number 5"/>
    <w:basedOn w:val="Normal"/>
    <w:uiPriority w:val="99"/>
    <w:rsid w:val="00FF3E2E"/>
    <w:pPr>
      <w:numPr>
        <w:numId w:val="10"/>
      </w:numPr>
      <w:tabs>
        <w:tab w:val="clear" w:pos="1492"/>
        <w:tab w:val="num" w:pos="1800"/>
      </w:tabs>
      <w:ind w:left="1800"/>
    </w:pPr>
    <w:rPr>
      <w:rFonts w:ascii="Times New Roman" w:hAnsi="Times New Roman"/>
      <w:lang w:val="en-US"/>
    </w:rPr>
  </w:style>
  <w:style w:type="paragraph" w:styleId="Title">
    <w:name w:val="Title"/>
    <w:basedOn w:val="Normal"/>
    <w:link w:val="TitleChar"/>
    <w:uiPriority w:val="99"/>
    <w:qFormat/>
    <w:rsid w:val="00FF3E2E"/>
    <w:pPr>
      <w:jc w:val="center"/>
    </w:pPr>
    <w:rPr>
      <w:b/>
    </w:rPr>
  </w:style>
  <w:style w:type="paragraph" w:styleId="BodyText">
    <w:name w:val="Body Text"/>
    <w:basedOn w:val="Normal"/>
    <w:link w:val="BodyTextChar"/>
    <w:uiPriority w:val="99"/>
    <w:rsid w:val="00FF3E2E"/>
  </w:style>
  <w:style w:type="paragraph" w:styleId="BodyTextIndent">
    <w:name w:val="Body Text Indent"/>
    <w:basedOn w:val="Normal"/>
    <w:link w:val="BodyTextIndentChar"/>
    <w:uiPriority w:val="99"/>
    <w:rsid w:val="00FF3E2E"/>
    <w:pPr>
      <w:ind w:left="720" w:hanging="720"/>
    </w:pPr>
  </w:style>
  <w:style w:type="paragraph" w:styleId="Subtitle">
    <w:name w:val="Subtitle"/>
    <w:basedOn w:val="Normal"/>
    <w:link w:val="SubtitleChar"/>
    <w:uiPriority w:val="99"/>
    <w:qFormat/>
    <w:rsid w:val="00FF3E2E"/>
    <w:pPr>
      <w:jc w:val="center"/>
    </w:pPr>
    <w:rPr>
      <w:b/>
      <w:sz w:val="20"/>
    </w:rPr>
  </w:style>
  <w:style w:type="paragraph" w:styleId="BodyText2">
    <w:name w:val="Body Text 2"/>
    <w:basedOn w:val="Normal"/>
    <w:link w:val="BodyText2Char"/>
    <w:uiPriority w:val="99"/>
    <w:rsid w:val="00FF3E2E"/>
    <w:pPr>
      <w:jc w:val="center"/>
    </w:pPr>
  </w:style>
  <w:style w:type="paragraph" w:styleId="BodyText3">
    <w:name w:val="Body Text 3"/>
    <w:basedOn w:val="Normal"/>
    <w:link w:val="BodyText3Char"/>
    <w:uiPriority w:val="99"/>
    <w:rsid w:val="00FF3E2E"/>
    <w:pPr>
      <w:widowControl w:val="0"/>
      <w:snapToGrid w:val="0"/>
      <w:jc w:val="both"/>
    </w:pPr>
    <w:rPr>
      <w:rFonts w:ascii="Times New Roman" w:hAnsi="Times New Roman"/>
      <w:lang w:val="en-US"/>
    </w:rPr>
  </w:style>
  <w:style w:type="paragraph" w:styleId="BodyTextIndent2">
    <w:name w:val="Body Text Indent 2"/>
    <w:basedOn w:val="Normal"/>
    <w:link w:val="BodyTextIndent2Char"/>
    <w:uiPriority w:val="99"/>
    <w:rsid w:val="00FF3E2E"/>
    <w:pPr>
      <w:ind w:left="720"/>
    </w:pPr>
  </w:style>
  <w:style w:type="paragraph" w:styleId="BodyTextIndent3">
    <w:name w:val="Body Text Indent 3"/>
    <w:basedOn w:val="Normal"/>
    <w:link w:val="BodyTextIndent3Char"/>
    <w:uiPriority w:val="99"/>
    <w:rsid w:val="00FF3E2E"/>
    <w:pPr>
      <w:ind w:left="2880" w:hanging="720"/>
    </w:pPr>
  </w:style>
  <w:style w:type="paragraph" w:styleId="PlainText">
    <w:name w:val="Plain Text"/>
    <w:basedOn w:val="Normal"/>
    <w:link w:val="PlainTextChar"/>
    <w:uiPriority w:val="99"/>
    <w:rsid w:val="00FF3E2E"/>
    <w:rPr>
      <w:rFonts w:ascii="Courier New" w:hAnsi="Courier New"/>
      <w:sz w:val="20"/>
    </w:rPr>
  </w:style>
  <w:style w:type="paragraph" w:customStyle="1" w:styleId="number1">
    <w:name w:val="number1"/>
    <w:basedOn w:val="Normal"/>
    <w:uiPriority w:val="99"/>
    <w:rsid w:val="00FF3E2E"/>
    <w:pPr>
      <w:ind w:left="720" w:hanging="720"/>
      <w:jc w:val="both"/>
    </w:pPr>
    <w:rPr>
      <w:rFonts w:ascii="Times" w:hAnsi="Times"/>
      <w:lang w:val="en-GB"/>
    </w:rPr>
  </w:style>
  <w:style w:type="paragraph" w:customStyle="1" w:styleId="C">
    <w:name w:val="C"/>
    <w:uiPriority w:val="99"/>
    <w:rsid w:val="00FF3E2E"/>
    <w:pPr>
      <w:widowControl w:val="0"/>
      <w:snapToGrid w:val="0"/>
      <w:spacing w:before="60" w:after="120"/>
      <w:jc w:val="center"/>
    </w:pPr>
    <w:rPr>
      <w:rFonts w:ascii="Century" w:hAnsi="Century"/>
      <w:b/>
      <w:sz w:val="24"/>
    </w:rPr>
  </w:style>
  <w:style w:type="paragraph" w:customStyle="1" w:styleId="H">
    <w:name w:val="H"/>
    <w:uiPriority w:val="99"/>
    <w:rsid w:val="00FF3E2E"/>
    <w:pPr>
      <w:widowControl w:val="0"/>
      <w:snapToGrid w:val="0"/>
      <w:spacing w:before="60" w:after="120"/>
      <w:jc w:val="center"/>
    </w:pPr>
    <w:rPr>
      <w:rFonts w:ascii="Century" w:hAnsi="Century"/>
      <w:sz w:val="24"/>
    </w:rPr>
  </w:style>
  <w:style w:type="paragraph" w:customStyle="1" w:styleId="A">
    <w:name w:val="A"/>
    <w:uiPriority w:val="99"/>
    <w:rsid w:val="00FF3E2E"/>
    <w:pPr>
      <w:widowControl w:val="0"/>
      <w:snapToGrid w:val="0"/>
      <w:spacing w:line="170" w:lineRule="exact"/>
      <w:ind w:left="72" w:hanging="72"/>
      <w:jc w:val="both"/>
    </w:pPr>
    <w:rPr>
      <w:rFonts w:ascii="Helvetica" w:hAnsi="Helvetica"/>
      <w:sz w:val="16"/>
    </w:rPr>
  </w:style>
  <w:style w:type="character" w:styleId="FootnoteReference">
    <w:name w:val="footnote reference"/>
    <w:uiPriority w:val="99"/>
    <w:semiHidden/>
    <w:rsid w:val="00FF3E2E"/>
    <w:rPr>
      <w:vertAlign w:val="superscript"/>
    </w:rPr>
  </w:style>
  <w:style w:type="character" w:styleId="CommentReference">
    <w:name w:val="annotation reference"/>
    <w:uiPriority w:val="99"/>
    <w:semiHidden/>
    <w:rsid w:val="00FF3E2E"/>
    <w:rPr>
      <w:sz w:val="16"/>
      <w:szCs w:val="16"/>
    </w:rPr>
  </w:style>
  <w:style w:type="character" w:styleId="PageNumber">
    <w:name w:val="page number"/>
    <w:uiPriority w:val="99"/>
    <w:rsid w:val="00FF3E2E"/>
    <w:rPr>
      <w:rFonts w:ascii="Arial" w:hAnsi="Arial" w:cs="Arial" w:hint="default"/>
      <w:sz w:val="20"/>
    </w:rPr>
  </w:style>
  <w:style w:type="table" w:styleId="TableGrid">
    <w:name w:val="Table Grid"/>
    <w:basedOn w:val="TableNormal"/>
    <w:uiPriority w:val="99"/>
    <w:rsid w:val="008F5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4"/>
    <w:basedOn w:val="Normal"/>
    <w:next w:val="Normal"/>
    <w:uiPriority w:val="99"/>
    <w:rsid w:val="000F0EF5"/>
    <w:pPr>
      <w:tabs>
        <w:tab w:val="right" w:pos="1920"/>
        <w:tab w:val="left" w:pos="2160"/>
      </w:tabs>
      <w:autoSpaceDE w:val="0"/>
      <w:autoSpaceDN w:val="0"/>
      <w:adjustRightInd w:val="0"/>
      <w:ind w:left="2160" w:hanging="2160"/>
      <w:jc w:val="both"/>
    </w:pPr>
    <w:rPr>
      <w:rFonts w:ascii="Times New Roman" w:hAnsi="Times New Roman"/>
      <w:color w:val="000000"/>
      <w:sz w:val="22"/>
      <w:szCs w:val="22"/>
      <w:lang w:val="en-US"/>
    </w:rPr>
  </w:style>
  <w:style w:type="paragraph" w:customStyle="1" w:styleId="2">
    <w:name w:val="2"/>
    <w:basedOn w:val="Normal"/>
    <w:uiPriority w:val="99"/>
    <w:rsid w:val="005F59D9"/>
    <w:pPr>
      <w:tabs>
        <w:tab w:val="right" w:pos="960"/>
        <w:tab w:val="left" w:pos="1200"/>
      </w:tabs>
      <w:autoSpaceDE w:val="0"/>
      <w:autoSpaceDN w:val="0"/>
      <w:adjustRightInd w:val="0"/>
      <w:ind w:left="1200" w:hanging="1200"/>
      <w:jc w:val="both"/>
    </w:pPr>
    <w:rPr>
      <w:rFonts w:ascii="Times New Roman" w:hAnsi="Times New Roman"/>
      <w:color w:val="000000"/>
      <w:sz w:val="22"/>
      <w:szCs w:val="22"/>
      <w:lang w:val="en-US"/>
    </w:rPr>
  </w:style>
  <w:style w:type="paragraph" w:customStyle="1" w:styleId="5">
    <w:name w:val="5"/>
    <w:basedOn w:val="4"/>
    <w:uiPriority w:val="99"/>
    <w:rsid w:val="005F59D9"/>
    <w:pPr>
      <w:tabs>
        <w:tab w:val="clear" w:pos="1920"/>
        <w:tab w:val="clear" w:pos="2160"/>
        <w:tab w:val="right" w:pos="2400"/>
        <w:tab w:val="left" w:pos="2640"/>
      </w:tabs>
      <w:ind w:left="2640" w:hanging="2640"/>
    </w:pPr>
  </w:style>
  <w:style w:type="paragraph" w:customStyle="1" w:styleId="3">
    <w:name w:val="3"/>
    <w:basedOn w:val="2"/>
    <w:uiPriority w:val="99"/>
    <w:rsid w:val="00B14827"/>
    <w:pPr>
      <w:tabs>
        <w:tab w:val="clear" w:pos="960"/>
        <w:tab w:val="clear" w:pos="1200"/>
        <w:tab w:val="right" w:pos="1440"/>
        <w:tab w:val="left" w:pos="1680"/>
      </w:tabs>
      <w:ind w:left="1680" w:hanging="1680"/>
    </w:pPr>
  </w:style>
  <w:style w:type="paragraph" w:customStyle="1" w:styleId="1">
    <w:name w:val="1"/>
    <w:uiPriority w:val="99"/>
    <w:rsid w:val="00B14827"/>
    <w:pPr>
      <w:tabs>
        <w:tab w:val="left" w:pos="720"/>
        <w:tab w:val="left" w:pos="1200"/>
      </w:tabs>
      <w:autoSpaceDE w:val="0"/>
      <w:autoSpaceDN w:val="0"/>
      <w:adjustRightInd w:val="0"/>
      <w:jc w:val="both"/>
    </w:pPr>
    <w:rPr>
      <w:color w:val="000000"/>
      <w:sz w:val="22"/>
      <w:szCs w:val="22"/>
    </w:rPr>
  </w:style>
  <w:style w:type="paragraph" w:customStyle="1" w:styleId="6">
    <w:name w:val="6"/>
    <w:basedOn w:val="5"/>
    <w:uiPriority w:val="99"/>
    <w:rsid w:val="003647B7"/>
    <w:pPr>
      <w:tabs>
        <w:tab w:val="clear" w:pos="2400"/>
        <w:tab w:val="clear" w:pos="2640"/>
        <w:tab w:val="right" w:pos="2880"/>
        <w:tab w:val="left" w:pos="3120"/>
      </w:tabs>
      <w:ind w:left="3120" w:hanging="3120"/>
    </w:pPr>
  </w:style>
  <w:style w:type="numbering" w:customStyle="1" w:styleId="StyleOutlinenumbered">
    <w:name w:val="Style Outline numbered"/>
    <w:basedOn w:val="NoList"/>
    <w:rsid w:val="00715FF5"/>
    <w:pPr>
      <w:numPr>
        <w:numId w:val="25"/>
      </w:numPr>
    </w:pPr>
  </w:style>
  <w:style w:type="paragraph" w:customStyle="1" w:styleId="H1">
    <w:name w:val="H1"/>
    <w:basedOn w:val="Normal"/>
    <w:next w:val="H2"/>
    <w:autoRedefine/>
    <w:uiPriority w:val="99"/>
    <w:rsid w:val="00715FF5"/>
    <w:pPr>
      <w:numPr>
        <w:numId w:val="26"/>
      </w:numPr>
      <w:spacing w:before="240" w:after="240" w:line="480" w:lineRule="auto"/>
      <w:jc w:val="both"/>
    </w:pPr>
    <w:rPr>
      <w:szCs w:val="24"/>
      <w:lang w:val="en-US"/>
    </w:rPr>
  </w:style>
  <w:style w:type="paragraph" w:customStyle="1" w:styleId="H2">
    <w:name w:val="H2"/>
    <w:basedOn w:val="Normal"/>
    <w:autoRedefine/>
    <w:uiPriority w:val="99"/>
    <w:rsid w:val="00715FF5"/>
    <w:pPr>
      <w:numPr>
        <w:ilvl w:val="1"/>
        <w:numId w:val="26"/>
      </w:numPr>
      <w:spacing w:before="120" w:after="240" w:line="480" w:lineRule="auto"/>
      <w:jc w:val="both"/>
    </w:pPr>
    <w:rPr>
      <w:szCs w:val="24"/>
      <w:lang w:val="en-US"/>
    </w:rPr>
  </w:style>
  <w:style w:type="paragraph" w:customStyle="1" w:styleId="H3">
    <w:name w:val="H3"/>
    <w:basedOn w:val="Normal"/>
    <w:autoRedefine/>
    <w:uiPriority w:val="99"/>
    <w:rsid w:val="00715FF5"/>
    <w:pPr>
      <w:numPr>
        <w:ilvl w:val="2"/>
        <w:numId w:val="26"/>
      </w:numPr>
      <w:spacing w:line="480" w:lineRule="auto"/>
      <w:jc w:val="both"/>
    </w:pPr>
    <w:rPr>
      <w:szCs w:val="24"/>
      <w:lang w:val="en-US"/>
    </w:rPr>
  </w:style>
  <w:style w:type="paragraph" w:customStyle="1" w:styleId="H4">
    <w:name w:val="H4"/>
    <w:basedOn w:val="Normal"/>
    <w:autoRedefine/>
    <w:uiPriority w:val="99"/>
    <w:rsid w:val="00715FF5"/>
    <w:pPr>
      <w:numPr>
        <w:ilvl w:val="3"/>
        <w:numId w:val="26"/>
      </w:numPr>
      <w:spacing w:after="240" w:line="480" w:lineRule="auto"/>
      <w:jc w:val="both"/>
    </w:pPr>
    <w:rPr>
      <w:szCs w:val="24"/>
      <w:lang w:val="en-US"/>
    </w:rPr>
  </w:style>
  <w:style w:type="paragraph" w:customStyle="1" w:styleId="SectionBody">
    <w:name w:val="SectionBody"/>
    <w:basedOn w:val="NormalWeb"/>
    <w:link w:val="SectionBodyChar"/>
    <w:uiPriority w:val="99"/>
    <w:rsid w:val="00F650D8"/>
    <w:pPr>
      <w:tabs>
        <w:tab w:val="left" w:pos="567"/>
        <w:tab w:val="left" w:pos="1134"/>
        <w:tab w:val="left" w:pos="1701"/>
        <w:tab w:val="left" w:pos="2268"/>
        <w:tab w:val="left" w:pos="2835"/>
        <w:tab w:val="left" w:pos="3969"/>
        <w:tab w:val="left" w:pos="4536"/>
        <w:tab w:val="left" w:pos="5103"/>
        <w:tab w:val="left" w:pos="5670"/>
        <w:tab w:val="left" w:pos="6237"/>
        <w:tab w:val="left" w:pos="7371"/>
        <w:tab w:val="left" w:pos="7938"/>
      </w:tabs>
      <w:spacing w:after="120" w:line="240" w:lineRule="auto"/>
      <w:jc w:val="both"/>
    </w:pPr>
    <w:rPr>
      <w:rFonts w:cs="Arial"/>
      <w:color w:val="auto"/>
      <w:sz w:val="24"/>
      <w:szCs w:val="24"/>
    </w:rPr>
  </w:style>
  <w:style w:type="character" w:customStyle="1" w:styleId="SectionBodyChar">
    <w:name w:val="SectionBody Char"/>
    <w:link w:val="SectionBody"/>
    <w:uiPriority w:val="99"/>
    <w:locked/>
    <w:rsid w:val="00F650D8"/>
    <w:rPr>
      <w:rFonts w:ascii="Arial" w:hAnsi="Arial" w:cs="Arial"/>
      <w:sz w:val="24"/>
      <w:szCs w:val="24"/>
      <w:lang w:val="en-US" w:eastAsia="en-US" w:bidi="ar-SA"/>
    </w:rPr>
  </w:style>
  <w:style w:type="character" w:customStyle="1" w:styleId="FootnoteTextChar">
    <w:name w:val="Footnote Text Char"/>
    <w:link w:val="FootnoteText"/>
    <w:uiPriority w:val="99"/>
    <w:semiHidden/>
    <w:locked/>
    <w:rsid w:val="00A357FD"/>
    <w:rPr>
      <w:rFonts w:ascii="Arial" w:hAnsi="Arial"/>
      <w:sz w:val="22"/>
      <w:lang w:val="en-AU" w:eastAsia="en-US" w:bidi="ar-SA"/>
    </w:rPr>
  </w:style>
  <w:style w:type="paragraph" w:customStyle="1" w:styleId="H2A">
    <w:name w:val="H2A"/>
    <w:basedOn w:val="Normal"/>
    <w:autoRedefine/>
    <w:uiPriority w:val="99"/>
    <w:rsid w:val="003E1017"/>
    <w:pPr>
      <w:numPr>
        <w:numId w:val="31"/>
      </w:numPr>
      <w:tabs>
        <w:tab w:val="clear" w:pos="1440"/>
      </w:tabs>
      <w:spacing w:line="480" w:lineRule="auto"/>
      <w:ind w:left="0" w:firstLine="720"/>
      <w:jc w:val="both"/>
    </w:pPr>
    <w:rPr>
      <w:rFonts w:cs="Arial"/>
      <w:szCs w:val="24"/>
      <w:lang w:val="en-US"/>
    </w:rPr>
  </w:style>
  <w:style w:type="paragraph" w:styleId="ListParagraph">
    <w:name w:val="List Paragraph"/>
    <w:basedOn w:val="Normal"/>
    <w:link w:val="ListParagraphChar"/>
    <w:uiPriority w:val="34"/>
    <w:qFormat/>
    <w:rsid w:val="000D5870"/>
    <w:pPr>
      <w:ind w:left="720"/>
    </w:pPr>
  </w:style>
  <w:style w:type="paragraph" w:styleId="EndnoteText">
    <w:name w:val="endnote text"/>
    <w:basedOn w:val="Normal"/>
    <w:link w:val="EndnoteTextChar"/>
    <w:uiPriority w:val="99"/>
    <w:rsid w:val="00003276"/>
    <w:rPr>
      <w:sz w:val="20"/>
    </w:rPr>
  </w:style>
  <w:style w:type="character" w:customStyle="1" w:styleId="EndnoteTextChar">
    <w:name w:val="Endnote Text Char"/>
    <w:basedOn w:val="DefaultParagraphFont"/>
    <w:link w:val="EndnoteText"/>
    <w:uiPriority w:val="99"/>
    <w:rsid w:val="00003276"/>
    <w:rPr>
      <w:rFonts w:ascii="Arial" w:hAnsi="Arial"/>
      <w:lang w:val="en-AU"/>
    </w:rPr>
  </w:style>
  <w:style w:type="character" w:styleId="EndnoteReference">
    <w:name w:val="endnote reference"/>
    <w:basedOn w:val="DefaultParagraphFont"/>
    <w:uiPriority w:val="99"/>
    <w:rsid w:val="00003276"/>
    <w:rPr>
      <w:vertAlign w:val="superscript"/>
    </w:rPr>
  </w:style>
  <w:style w:type="character" w:customStyle="1" w:styleId="ListParagraphChar">
    <w:name w:val="List Paragraph Char"/>
    <w:basedOn w:val="DefaultParagraphFont"/>
    <w:link w:val="ListParagraph"/>
    <w:uiPriority w:val="34"/>
    <w:rsid w:val="00FE3654"/>
    <w:rPr>
      <w:rFonts w:ascii="Arial" w:hAnsi="Arial"/>
      <w:sz w:val="24"/>
      <w:lang w:val="en-AU"/>
    </w:rPr>
  </w:style>
  <w:style w:type="paragraph" w:customStyle="1" w:styleId="indent1">
    <w:name w:val="indent1"/>
    <w:basedOn w:val="Normal"/>
    <w:uiPriority w:val="99"/>
    <w:rsid w:val="001959F0"/>
    <w:pPr>
      <w:spacing w:before="100" w:beforeAutospacing="1" w:after="100" w:afterAutospacing="1"/>
    </w:pPr>
    <w:rPr>
      <w:rFonts w:ascii="Times New Roman" w:hAnsi="Times New Roman"/>
      <w:szCs w:val="24"/>
      <w:lang w:val="en-US"/>
    </w:rPr>
  </w:style>
  <w:style w:type="character" w:customStyle="1" w:styleId="Heading1Char">
    <w:name w:val="Heading 1 Char"/>
    <w:basedOn w:val="DefaultParagraphFont"/>
    <w:link w:val="Heading1"/>
    <w:uiPriority w:val="99"/>
    <w:locked/>
    <w:rsid w:val="00AA4BF8"/>
    <w:rPr>
      <w:rFonts w:ascii="Arial" w:hAnsi="Arial"/>
      <w:b/>
      <w:caps/>
      <w:sz w:val="28"/>
      <w:lang w:val="en-AU"/>
    </w:rPr>
  </w:style>
  <w:style w:type="character" w:customStyle="1" w:styleId="Heading2Char">
    <w:name w:val="Heading 2 Char"/>
    <w:basedOn w:val="DefaultParagraphFont"/>
    <w:link w:val="Heading2"/>
    <w:uiPriority w:val="99"/>
    <w:locked/>
    <w:rsid w:val="00AA4BF8"/>
    <w:rPr>
      <w:rFonts w:ascii="Arial" w:hAnsi="Arial"/>
      <w:b/>
      <w:sz w:val="24"/>
      <w:lang w:val="en-AU"/>
    </w:rPr>
  </w:style>
  <w:style w:type="character" w:customStyle="1" w:styleId="Heading3Char">
    <w:name w:val="Heading 3 Char"/>
    <w:basedOn w:val="DefaultParagraphFont"/>
    <w:link w:val="Heading3"/>
    <w:uiPriority w:val="99"/>
    <w:locked/>
    <w:rsid w:val="00AA4BF8"/>
    <w:rPr>
      <w:rFonts w:ascii="Arial" w:hAnsi="Arial"/>
      <w:b/>
      <w:caps/>
      <w:sz w:val="24"/>
      <w:lang w:val="en-AU"/>
    </w:rPr>
  </w:style>
  <w:style w:type="character" w:customStyle="1" w:styleId="Heading4Char">
    <w:name w:val="Heading 4 Char"/>
    <w:basedOn w:val="DefaultParagraphFont"/>
    <w:link w:val="Heading4"/>
    <w:uiPriority w:val="99"/>
    <w:locked/>
    <w:rsid w:val="00AA4BF8"/>
    <w:rPr>
      <w:rFonts w:ascii="Arial" w:hAnsi="Arial"/>
      <w:b/>
      <w:sz w:val="24"/>
      <w:lang w:val="en-AU"/>
    </w:rPr>
  </w:style>
  <w:style w:type="character" w:customStyle="1" w:styleId="Heading5Char">
    <w:name w:val="Heading 5 Char"/>
    <w:basedOn w:val="DefaultParagraphFont"/>
    <w:link w:val="Heading5"/>
    <w:uiPriority w:val="99"/>
    <w:locked/>
    <w:rsid w:val="00AA4BF8"/>
    <w:rPr>
      <w:rFonts w:ascii="Arial" w:hAnsi="Arial"/>
      <w:b/>
      <w:i/>
      <w:sz w:val="24"/>
      <w:lang w:val="en-AU"/>
    </w:rPr>
  </w:style>
  <w:style w:type="character" w:customStyle="1" w:styleId="Heading6Char">
    <w:name w:val="Heading 6 Char"/>
    <w:basedOn w:val="DefaultParagraphFont"/>
    <w:link w:val="Heading6"/>
    <w:uiPriority w:val="99"/>
    <w:locked/>
    <w:rsid w:val="00AA4BF8"/>
    <w:rPr>
      <w:rFonts w:ascii="Arial" w:hAnsi="Arial"/>
      <w:i/>
      <w:sz w:val="24"/>
      <w:lang w:val="en-AU"/>
    </w:rPr>
  </w:style>
  <w:style w:type="character" w:customStyle="1" w:styleId="Heading7Char">
    <w:name w:val="Heading 7 Char"/>
    <w:basedOn w:val="DefaultParagraphFont"/>
    <w:link w:val="Heading7"/>
    <w:uiPriority w:val="99"/>
    <w:locked/>
    <w:rsid w:val="00AA4BF8"/>
    <w:rPr>
      <w:rFonts w:ascii="Arial" w:hAnsi="Arial"/>
      <w:sz w:val="24"/>
      <w:u w:val="single"/>
      <w:lang w:val="en-AU"/>
    </w:rPr>
  </w:style>
  <w:style w:type="character" w:customStyle="1" w:styleId="Heading8Char">
    <w:name w:val="Heading 8 Char"/>
    <w:basedOn w:val="DefaultParagraphFont"/>
    <w:link w:val="Heading8"/>
    <w:uiPriority w:val="99"/>
    <w:locked/>
    <w:rsid w:val="00AA4BF8"/>
    <w:rPr>
      <w:rFonts w:ascii="Arial" w:hAnsi="Arial"/>
      <w:b/>
      <w:i/>
      <w:sz w:val="24"/>
      <w:lang w:val="en-AU"/>
    </w:rPr>
  </w:style>
  <w:style w:type="character" w:customStyle="1" w:styleId="Heading9Char">
    <w:name w:val="Heading 9 Char"/>
    <w:basedOn w:val="DefaultParagraphFont"/>
    <w:link w:val="Heading9"/>
    <w:uiPriority w:val="99"/>
    <w:locked/>
    <w:rsid w:val="00AA4BF8"/>
    <w:rPr>
      <w:rFonts w:ascii="Arial" w:hAnsi="Arial"/>
      <w:b/>
      <w:sz w:val="24"/>
      <w:lang w:val="en-AU"/>
    </w:rPr>
  </w:style>
  <w:style w:type="character" w:customStyle="1" w:styleId="CommentTextChar">
    <w:name w:val="Comment Text Char"/>
    <w:basedOn w:val="DefaultParagraphFont"/>
    <w:link w:val="CommentText"/>
    <w:uiPriority w:val="99"/>
    <w:semiHidden/>
    <w:locked/>
    <w:rsid w:val="00AA4BF8"/>
    <w:rPr>
      <w:rFonts w:ascii="Arial" w:hAnsi="Arial"/>
      <w:lang w:val="en-AU"/>
    </w:rPr>
  </w:style>
  <w:style w:type="character" w:customStyle="1" w:styleId="HeaderChar">
    <w:name w:val="Header Char"/>
    <w:basedOn w:val="DefaultParagraphFont"/>
    <w:link w:val="Header"/>
    <w:uiPriority w:val="99"/>
    <w:locked/>
    <w:rsid w:val="00AA4BF8"/>
    <w:rPr>
      <w:rFonts w:ascii="Arial" w:hAnsi="Arial"/>
      <w:sz w:val="24"/>
      <w:lang w:val="en-AU"/>
    </w:rPr>
  </w:style>
  <w:style w:type="character" w:customStyle="1" w:styleId="FooterChar">
    <w:name w:val="Footer Char"/>
    <w:basedOn w:val="DefaultParagraphFont"/>
    <w:link w:val="Footer"/>
    <w:uiPriority w:val="99"/>
    <w:locked/>
    <w:rsid w:val="00AA4BF8"/>
    <w:rPr>
      <w:rFonts w:ascii="Arial" w:hAnsi="Arial"/>
      <w:sz w:val="24"/>
      <w:lang w:val="en-AU"/>
    </w:rPr>
  </w:style>
  <w:style w:type="character" w:customStyle="1" w:styleId="TitleChar">
    <w:name w:val="Title Char"/>
    <w:basedOn w:val="DefaultParagraphFont"/>
    <w:link w:val="Title"/>
    <w:uiPriority w:val="99"/>
    <w:locked/>
    <w:rsid w:val="00AA4BF8"/>
    <w:rPr>
      <w:rFonts w:ascii="Arial" w:hAnsi="Arial"/>
      <w:b/>
      <w:sz w:val="24"/>
      <w:lang w:val="en-AU"/>
    </w:rPr>
  </w:style>
  <w:style w:type="character" w:customStyle="1" w:styleId="BodyTextChar">
    <w:name w:val="Body Text Char"/>
    <w:basedOn w:val="DefaultParagraphFont"/>
    <w:link w:val="BodyText"/>
    <w:uiPriority w:val="99"/>
    <w:locked/>
    <w:rsid w:val="00AA4BF8"/>
    <w:rPr>
      <w:rFonts w:ascii="Arial" w:hAnsi="Arial"/>
      <w:sz w:val="24"/>
      <w:lang w:val="en-AU"/>
    </w:rPr>
  </w:style>
  <w:style w:type="character" w:customStyle="1" w:styleId="BodyTextIndentChar">
    <w:name w:val="Body Text Indent Char"/>
    <w:basedOn w:val="DefaultParagraphFont"/>
    <w:link w:val="BodyTextIndent"/>
    <w:uiPriority w:val="99"/>
    <w:locked/>
    <w:rsid w:val="00AA4BF8"/>
    <w:rPr>
      <w:rFonts w:ascii="Arial" w:hAnsi="Arial"/>
      <w:sz w:val="24"/>
      <w:lang w:val="en-AU"/>
    </w:rPr>
  </w:style>
  <w:style w:type="character" w:customStyle="1" w:styleId="SubtitleChar">
    <w:name w:val="Subtitle Char"/>
    <w:basedOn w:val="DefaultParagraphFont"/>
    <w:link w:val="Subtitle"/>
    <w:uiPriority w:val="99"/>
    <w:locked/>
    <w:rsid w:val="00AA4BF8"/>
    <w:rPr>
      <w:rFonts w:ascii="Arial" w:hAnsi="Arial"/>
      <w:b/>
      <w:lang w:val="en-AU"/>
    </w:rPr>
  </w:style>
  <w:style w:type="character" w:customStyle="1" w:styleId="BodyText2Char">
    <w:name w:val="Body Text 2 Char"/>
    <w:basedOn w:val="DefaultParagraphFont"/>
    <w:link w:val="BodyText2"/>
    <w:uiPriority w:val="99"/>
    <w:locked/>
    <w:rsid w:val="00AA4BF8"/>
    <w:rPr>
      <w:rFonts w:ascii="Arial" w:hAnsi="Arial"/>
      <w:sz w:val="24"/>
      <w:lang w:val="en-AU"/>
    </w:rPr>
  </w:style>
  <w:style w:type="character" w:customStyle="1" w:styleId="BodyText3Char">
    <w:name w:val="Body Text 3 Char"/>
    <w:basedOn w:val="DefaultParagraphFont"/>
    <w:link w:val="BodyText3"/>
    <w:uiPriority w:val="99"/>
    <w:locked/>
    <w:rsid w:val="00AA4BF8"/>
    <w:rPr>
      <w:sz w:val="24"/>
    </w:rPr>
  </w:style>
  <w:style w:type="character" w:customStyle="1" w:styleId="BodyTextIndent2Char">
    <w:name w:val="Body Text Indent 2 Char"/>
    <w:basedOn w:val="DefaultParagraphFont"/>
    <w:link w:val="BodyTextIndent2"/>
    <w:uiPriority w:val="99"/>
    <w:locked/>
    <w:rsid w:val="00AA4BF8"/>
    <w:rPr>
      <w:rFonts w:ascii="Arial" w:hAnsi="Arial"/>
      <w:sz w:val="24"/>
      <w:lang w:val="en-AU"/>
    </w:rPr>
  </w:style>
  <w:style w:type="character" w:customStyle="1" w:styleId="BodyTextIndent3Char">
    <w:name w:val="Body Text Indent 3 Char"/>
    <w:basedOn w:val="DefaultParagraphFont"/>
    <w:link w:val="BodyTextIndent3"/>
    <w:uiPriority w:val="99"/>
    <w:locked/>
    <w:rsid w:val="00AA4BF8"/>
    <w:rPr>
      <w:rFonts w:ascii="Arial" w:hAnsi="Arial"/>
      <w:sz w:val="24"/>
      <w:lang w:val="en-AU"/>
    </w:rPr>
  </w:style>
  <w:style w:type="character" w:customStyle="1" w:styleId="PlainTextChar">
    <w:name w:val="Plain Text Char"/>
    <w:basedOn w:val="DefaultParagraphFont"/>
    <w:link w:val="PlainText"/>
    <w:uiPriority w:val="99"/>
    <w:locked/>
    <w:rsid w:val="00AA4BF8"/>
    <w:rPr>
      <w:rFonts w:ascii="Courier New" w:hAnsi="Courier New"/>
      <w:lang w:val="en-AU"/>
    </w:rPr>
  </w:style>
  <w:style w:type="paragraph" w:styleId="BalloonText">
    <w:name w:val="Balloon Text"/>
    <w:basedOn w:val="Normal"/>
    <w:link w:val="BalloonTextChar"/>
    <w:rsid w:val="00DD71BA"/>
    <w:rPr>
      <w:rFonts w:ascii="Tahoma" w:hAnsi="Tahoma" w:cs="Tahoma"/>
      <w:sz w:val="16"/>
      <w:szCs w:val="16"/>
    </w:rPr>
  </w:style>
  <w:style w:type="character" w:customStyle="1" w:styleId="BalloonTextChar">
    <w:name w:val="Balloon Text Char"/>
    <w:basedOn w:val="DefaultParagraphFont"/>
    <w:link w:val="BalloonText"/>
    <w:rsid w:val="00DD71BA"/>
    <w:rPr>
      <w:rFonts w:ascii="Tahoma" w:hAnsi="Tahoma" w:cs="Tahoma"/>
      <w:sz w:val="16"/>
      <w:szCs w:val="16"/>
      <w:lang w:val="en-AU"/>
    </w:rPr>
  </w:style>
  <w:style w:type="paragraph" w:customStyle="1" w:styleId="Default">
    <w:name w:val="Default"/>
    <w:rsid w:val="006318B3"/>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35070690">
      <w:marLeft w:val="0"/>
      <w:marRight w:val="0"/>
      <w:marTop w:val="0"/>
      <w:marBottom w:val="0"/>
      <w:divBdr>
        <w:top w:val="none" w:sz="0" w:space="0" w:color="auto"/>
        <w:left w:val="none" w:sz="0" w:space="0" w:color="auto"/>
        <w:bottom w:val="none" w:sz="0" w:space="0" w:color="auto"/>
        <w:right w:val="none" w:sz="0" w:space="0" w:color="auto"/>
      </w:divBdr>
    </w:div>
    <w:div w:id="731270489">
      <w:bodyDiv w:val="1"/>
      <w:marLeft w:val="0"/>
      <w:marRight w:val="0"/>
      <w:marTop w:val="0"/>
      <w:marBottom w:val="0"/>
      <w:divBdr>
        <w:top w:val="none" w:sz="0" w:space="0" w:color="auto"/>
        <w:left w:val="none" w:sz="0" w:space="0" w:color="auto"/>
        <w:bottom w:val="none" w:sz="0" w:space="0" w:color="auto"/>
        <w:right w:val="none" w:sz="0" w:space="0" w:color="auto"/>
      </w:divBdr>
      <w:divsChild>
        <w:div w:id="261842972">
          <w:marLeft w:val="0"/>
          <w:marRight w:val="0"/>
          <w:marTop w:val="0"/>
          <w:marBottom w:val="0"/>
          <w:divBdr>
            <w:top w:val="none" w:sz="0" w:space="0" w:color="auto"/>
            <w:left w:val="none" w:sz="0" w:space="0" w:color="auto"/>
            <w:bottom w:val="none" w:sz="0" w:space="0" w:color="auto"/>
            <w:right w:val="none" w:sz="0" w:space="0" w:color="auto"/>
          </w:divBdr>
        </w:div>
        <w:div w:id="451747390">
          <w:marLeft w:val="0"/>
          <w:marRight w:val="0"/>
          <w:marTop w:val="0"/>
          <w:marBottom w:val="0"/>
          <w:divBdr>
            <w:top w:val="none" w:sz="0" w:space="0" w:color="auto"/>
            <w:left w:val="none" w:sz="0" w:space="0" w:color="auto"/>
            <w:bottom w:val="none" w:sz="0" w:space="0" w:color="auto"/>
            <w:right w:val="none" w:sz="0" w:space="0" w:color="auto"/>
          </w:divBdr>
        </w:div>
        <w:div w:id="1313296754">
          <w:marLeft w:val="0"/>
          <w:marRight w:val="0"/>
          <w:marTop w:val="0"/>
          <w:marBottom w:val="0"/>
          <w:divBdr>
            <w:top w:val="none" w:sz="0" w:space="0" w:color="auto"/>
            <w:left w:val="none" w:sz="0" w:space="0" w:color="auto"/>
            <w:bottom w:val="none" w:sz="0" w:space="0" w:color="auto"/>
            <w:right w:val="none" w:sz="0" w:space="0" w:color="auto"/>
          </w:divBdr>
        </w:div>
        <w:div w:id="653678699">
          <w:marLeft w:val="0"/>
          <w:marRight w:val="0"/>
          <w:marTop w:val="0"/>
          <w:marBottom w:val="0"/>
          <w:divBdr>
            <w:top w:val="none" w:sz="0" w:space="0" w:color="auto"/>
            <w:left w:val="none" w:sz="0" w:space="0" w:color="auto"/>
            <w:bottom w:val="none" w:sz="0" w:space="0" w:color="auto"/>
            <w:right w:val="none" w:sz="0" w:space="0" w:color="auto"/>
          </w:divBdr>
        </w:div>
      </w:divsChild>
    </w:div>
    <w:div w:id="919633384">
      <w:marLeft w:val="0"/>
      <w:marRight w:val="0"/>
      <w:marTop w:val="0"/>
      <w:marBottom w:val="0"/>
      <w:divBdr>
        <w:top w:val="none" w:sz="0" w:space="0" w:color="auto"/>
        <w:left w:val="none" w:sz="0" w:space="0" w:color="auto"/>
        <w:bottom w:val="none" w:sz="0" w:space="0" w:color="auto"/>
        <w:right w:val="none" w:sz="0" w:space="0" w:color="auto"/>
      </w:divBdr>
    </w:div>
    <w:div w:id="2037346676">
      <w:bodyDiv w:val="1"/>
      <w:marLeft w:val="0"/>
      <w:marRight w:val="0"/>
      <w:marTop w:val="0"/>
      <w:marBottom w:val="0"/>
      <w:divBdr>
        <w:top w:val="none" w:sz="0" w:space="0" w:color="auto"/>
        <w:left w:val="none" w:sz="0" w:space="0" w:color="auto"/>
        <w:bottom w:val="none" w:sz="0" w:space="0" w:color="auto"/>
        <w:right w:val="none" w:sz="0" w:space="0" w:color="auto"/>
      </w:divBdr>
      <w:divsChild>
        <w:div w:id="1960720101">
          <w:marLeft w:val="0"/>
          <w:marRight w:val="0"/>
          <w:marTop w:val="0"/>
          <w:marBottom w:val="0"/>
          <w:divBdr>
            <w:top w:val="none" w:sz="0" w:space="0" w:color="auto"/>
            <w:left w:val="none" w:sz="0" w:space="0" w:color="auto"/>
            <w:bottom w:val="none" w:sz="0" w:space="0" w:color="auto"/>
            <w:right w:val="none" w:sz="0" w:space="0" w:color="auto"/>
          </w:divBdr>
          <w:divsChild>
            <w:div w:id="1705405994">
              <w:marLeft w:val="0"/>
              <w:marRight w:val="0"/>
              <w:marTop w:val="0"/>
              <w:marBottom w:val="0"/>
              <w:divBdr>
                <w:top w:val="none" w:sz="0" w:space="0" w:color="auto"/>
                <w:left w:val="none" w:sz="0" w:space="0" w:color="auto"/>
                <w:bottom w:val="none" w:sz="0" w:space="0" w:color="auto"/>
                <w:right w:val="none" w:sz="0" w:space="0" w:color="auto"/>
              </w:divBdr>
              <w:divsChild>
                <w:div w:id="329021062">
                  <w:marLeft w:val="0"/>
                  <w:marRight w:val="0"/>
                  <w:marTop w:val="0"/>
                  <w:marBottom w:val="0"/>
                  <w:divBdr>
                    <w:top w:val="none" w:sz="0" w:space="0" w:color="auto"/>
                    <w:left w:val="none" w:sz="0" w:space="0" w:color="auto"/>
                    <w:bottom w:val="none" w:sz="0" w:space="0" w:color="auto"/>
                    <w:right w:val="none" w:sz="0" w:space="0" w:color="auto"/>
                  </w:divBdr>
                </w:div>
                <w:div w:id="541409401">
                  <w:marLeft w:val="0"/>
                  <w:marRight w:val="0"/>
                  <w:marTop w:val="0"/>
                  <w:marBottom w:val="0"/>
                  <w:divBdr>
                    <w:top w:val="none" w:sz="0" w:space="0" w:color="auto"/>
                    <w:left w:val="none" w:sz="0" w:space="0" w:color="auto"/>
                    <w:bottom w:val="none" w:sz="0" w:space="0" w:color="auto"/>
                    <w:right w:val="none" w:sz="0" w:space="0" w:color="auto"/>
                  </w:divBdr>
                </w:div>
                <w:div w:id="738431">
                  <w:marLeft w:val="0"/>
                  <w:marRight w:val="0"/>
                  <w:marTop w:val="0"/>
                  <w:marBottom w:val="0"/>
                  <w:divBdr>
                    <w:top w:val="none" w:sz="0" w:space="0" w:color="auto"/>
                    <w:left w:val="none" w:sz="0" w:space="0" w:color="auto"/>
                    <w:bottom w:val="none" w:sz="0" w:space="0" w:color="auto"/>
                    <w:right w:val="none" w:sz="0" w:space="0" w:color="auto"/>
                  </w:divBdr>
                </w:div>
                <w:div w:id="1452630127">
                  <w:marLeft w:val="0"/>
                  <w:marRight w:val="0"/>
                  <w:marTop w:val="0"/>
                  <w:marBottom w:val="0"/>
                  <w:divBdr>
                    <w:top w:val="none" w:sz="0" w:space="0" w:color="auto"/>
                    <w:left w:val="none" w:sz="0" w:space="0" w:color="auto"/>
                    <w:bottom w:val="none" w:sz="0" w:space="0" w:color="auto"/>
                    <w:right w:val="none" w:sz="0" w:space="0" w:color="auto"/>
                  </w:divBdr>
                </w:div>
                <w:div w:id="662976779">
                  <w:marLeft w:val="0"/>
                  <w:marRight w:val="0"/>
                  <w:marTop w:val="0"/>
                  <w:marBottom w:val="0"/>
                  <w:divBdr>
                    <w:top w:val="none" w:sz="0" w:space="0" w:color="auto"/>
                    <w:left w:val="none" w:sz="0" w:space="0" w:color="auto"/>
                    <w:bottom w:val="none" w:sz="0" w:space="0" w:color="auto"/>
                    <w:right w:val="none" w:sz="0" w:space="0" w:color="auto"/>
                  </w:divBdr>
                </w:div>
                <w:div w:id="69620372">
                  <w:marLeft w:val="0"/>
                  <w:marRight w:val="0"/>
                  <w:marTop w:val="0"/>
                  <w:marBottom w:val="0"/>
                  <w:divBdr>
                    <w:top w:val="none" w:sz="0" w:space="0" w:color="auto"/>
                    <w:left w:val="none" w:sz="0" w:space="0" w:color="auto"/>
                    <w:bottom w:val="none" w:sz="0" w:space="0" w:color="auto"/>
                    <w:right w:val="none" w:sz="0" w:space="0" w:color="auto"/>
                  </w:divBdr>
                </w:div>
                <w:div w:id="378362633">
                  <w:marLeft w:val="0"/>
                  <w:marRight w:val="0"/>
                  <w:marTop w:val="0"/>
                  <w:marBottom w:val="0"/>
                  <w:divBdr>
                    <w:top w:val="none" w:sz="0" w:space="0" w:color="auto"/>
                    <w:left w:val="none" w:sz="0" w:space="0" w:color="auto"/>
                    <w:bottom w:val="none" w:sz="0" w:space="0" w:color="auto"/>
                    <w:right w:val="none" w:sz="0" w:space="0" w:color="auto"/>
                  </w:divBdr>
                </w:div>
                <w:div w:id="31467109">
                  <w:marLeft w:val="0"/>
                  <w:marRight w:val="0"/>
                  <w:marTop w:val="0"/>
                  <w:marBottom w:val="0"/>
                  <w:divBdr>
                    <w:top w:val="none" w:sz="0" w:space="0" w:color="auto"/>
                    <w:left w:val="none" w:sz="0" w:space="0" w:color="auto"/>
                    <w:bottom w:val="none" w:sz="0" w:space="0" w:color="auto"/>
                    <w:right w:val="none" w:sz="0" w:space="0" w:color="auto"/>
                  </w:divBdr>
                </w:div>
                <w:div w:id="2056655818">
                  <w:marLeft w:val="0"/>
                  <w:marRight w:val="0"/>
                  <w:marTop w:val="0"/>
                  <w:marBottom w:val="0"/>
                  <w:divBdr>
                    <w:top w:val="none" w:sz="0" w:space="0" w:color="auto"/>
                    <w:left w:val="none" w:sz="0" w:space="0" w:color="auto"/>
                    <w:bottom w:val="none" w:sz="0" w:space="0" w:color="auto"/>
                    <w:right w:val="none" w:sz="0" w:space="0" w:color="auto"/>
                  </w:divBdr>
                </w:div>
                <w:div w:id="978653051">
                  <w:marLeft w:val="0"/>
                  <w:marRight w:val="0"/>
                  <w:marTop w:val="0"/>
                  <w:marBottom w:val="0"/>
                  <w:divBdr>
                    <w:top w:val="none" w:sz="0" w:space="0" w:color="auto"/>
                    <w:left w:val="none" w:sz="0" w:space="0" w:color="auto"/>
                    <w:bottom w:val="none" w:sz="0" w:space="0" w:color="auto"/>
                    <w:right w:val="none" w:sz="0" w:space="0" w:color="auto"/>
                  </w:divBdr>
                </w:div>
                <w:div w:id="2035840415">
                  <w:marLeft w:val="0"/>
                  <w:marRight w:val="0"/>
                  <w:marTop w:val="0"/>
                  <w:marBottom w:val="0"/>
                  <w:divBdr>
                    <w:top w:val="none" w:sz="0" w:space="0" w:color="auto"/>
                    <w:left w:val="none" w:sz="0" w:space="0" w:color="auto"/>
                    <w:bottom w:val="none" w:sz="0" w:space="0" w:color="auto"/>
                    <w:right w:val="none" w:sz="0" w:space="0" w:color="auto"/>
                  </w:divBdr>
                </w:div>
                <w:div w:id="1949970591">
                  <w:marLeft w:val="0"/>
                  <w:marRight w:val="0"/>
                  <w:marTop w:val="0"/>
                  <w:marBottom w:val="0"/>
                  <w:divBdr>
                    <w:top w:val="none" w:sz="0" w:space="0" w:color="auto"/>
                    <w:left w:val="none" w:sz="0" w:space="0" w:color="auto"/>
                    <w:bottom w:val="none" w:sz="0" w:space="0" w:color="auto"/>
                    <w:right w:val="none" w:sz="0" w:space="0" w:color="auto"/>
                  </w:divBdr>
                </w:div>
                <w:div w:id="1485468042">
                  <w:marLeft w:val="0"/>
                  <w:marRight w:val="0"/>
                  <w:marTop w:val="0"/>
                  <w:marBottom w:val="0"/>
                  <w:divBdr>
                    <w:top w:val="none" w:sz="0" w:space="0" w:color="auto"/>
                    <w:left w:val="none" w:sz="0" w:space="0" w:color="auto"/>
                    <w:bottom w:val="none" w:sz="0" w:space="0" w:color="auto"/>
                    <w:right w:val="none" w:sz="0" w:space="0" w:color="auto"/>
                  </w:divBdr>
                </w:div>
                <w:div w:id="2015910986">
                  <w:marLeft w:val="0"/>
                  <w:marRight w:val="0"/>
                  <w:marTop w:val="0"/>
                  <w:marBottom w:val="0"/>
                  <w:divBdr>
                    <w:top w:val="none" w:sz="0" w:space="0" w:color="auto"/>
                    <w:left w:val="none" w:sz="0" w:space="0" w:color="auto"/>
                    <w:bottom w:val="none" w:sz="0" w:space="0" w:color="auto"/>
                    <w:right w:val="none" w:sz="0" w:space="0" w:color="auto"/>
                  </w:divBdr>
                </w:div>
                <w:div w:id="476730547">
                  <w:marLeft w:val="0"/>
                  <w:marRight w:val="0"/>
                  <w:marTop w:val="0"/>
                  <w:marBottom w:val="0"/>
                  <w:divBdr>
                    <w:top w:val="none" w:sz="0" w:space="0" w:color="auto"/>
                    <w:left w:val="none" w:sz="0" w:space="0" w:color="auto"/>
                    <w:bottom w:val="none" w:sz="0" w:space="0" w:color="auto"/>
                    <w:right w:val="none" w:sz="0" w:space="0" w:color="auto"/>
                  </w:divBdr>
                </w:div>
                <w:div w:id="2128884473">
                  <w:marLeft w:val="0"/>
                  <w:marRight w:val="0"/>
                  <w:marTop w:val="0"/>
                  <w:marBottom w:val="0"/>
                  <w:divBdr>
                    <w:top w:val="none" w:sz="0" w:space="0" w:color="auto"/>
                    <w:left w:val="none" w:sz="0" w:space="0" w:color="auto"/>
                    <w:bottom w:val="none" w:sz="0" w:space="0" w:color="auto"/>
                    <w:right w:val="none" w:sz="0" w:space="0" w:color="auto"/>
                  </w:divBdr>
                </w:div>
                <w:div w:id="96601513">
                  <w:marLeft w:val="0"/>
                  <w:marRight w:val="0"/>
                  <w:marTop w:val="0"/>
                  <w:marBottom w:val="0"/>
                  <w:divBdr>
                    <w:top w:val="none" w:sz="0" w:space="0" w:color="auto"/>
                    <w:left w:val="none" w:sz="0" w:space="0" w:color="auto"/>
                    <w:bottom w:val="none" w:sz="0" w:space="0" w:color="auto"/>
                    <w:right w:val="none" w:sz="0" w:space="0" w:color="auto"/>
                  </w:divBdr>
                </w:div>
                <w:div w:id="1067652095">
                  <w:marLeft w:val="0"/>
                  <w:marRight w:val="0"/>
                  <w:marTop w:val="0"/>
                  <w:marBottom w:val="0"/>
                  <w:divBdr>
                    <w:top w:val="none" w:sz="0" w:space="0" w:color="auto"/>
                    <w:left w:val="none" w:sz="0" w:space="0" w:color="auto"/>
                    <w:bottom w:val="none" w:sz="0" w:space="0" w:color="auto"/>
                    <w:right w:val="none" w:sz="0" w:space="0" w:color="auto"/>
                  </w:divBdr>
                </w:div>
                <w:div w:id="601375397">
                  <w:marLeft w:val="0"/>
                  <w:marRight w:val="0"/>
                  <w:marTop w:val="0"/>
                  <w:marBottom w:val="0"/>
                  <w:divBdr>
                    <w:top w:val="none" w:sz="0" w:space="0" w:color="auto"/>
                    <w:left w:val="none" w:sz="0" w:space="0" w:color="auto"/>
                    <w:bottom w:val="none" w:sz="0" w:space="0" w:color="auto"/>
                    <w:right w:val="none" w:sz="0" w:space="0" w:color="auto"/>
                  </w:divBdr>
                </w:div>
                <w:div w:id="1137605621">
                  <w:marLeft w:val="0"/>
                  <w:marRight w:val="0"/>
                  <w:marTop w:val="0"/>
                  <w:marBottom w:val="0"/>
                  <w:divBdr>
                    <w:top w:val="none" w:sz="0" w:space="0" w:color="auto"/>
                    <w:left w:val="none" w:sz="0" w:space="0" w:color="auto"/>
                    <w:bottom w:val="none" w:sz="0" w:space="0" w:color="auto"/>
                    <w:right w:val="none" w:sz="0" w:space="0" w:color="auto"/>
                  </w:divBdr>
                </w:div>
                <w:div w:id="452484457">
                  <w:marLeft w:val="0"/>
                  <w:marRight w:val="0"/>
                  <w:marTop w:val="0"/>
                  <w:marBottom w:val="0"/>
                  <w:divBdr>
                    <w:top w:val="none" w:sz="0" w:space="0" w:color="auto"/>
                    <w:left w:val="none" w:sz="0" w:space="0" w:color="auto"/>
                    <w:bottom w:val="none" w:sz="0" w:space="0" w:color="auto"/>
                    <w:right w:val="none" w:sz="0" w:space="0" w:color="auto"/>
                  </w:divBdr>
                </w:div>
                <w:div w:id="629359033">
                  <w:marLeft w:val="0"/>
                  <w:marRight w:val="0"/>
                  <w:marTop w:val="0"/>
                  <w:marBottom w:val="0"/>
                  <w:divBdr>
                    <w:top w:val="none" w:sz="0" w:space="0" w:color="auto"/>
                    <w:left w:val="none" w:sz="0" w:space="0" w:color="auto"/>
                    <w:bottom w:val="none" w:sz="0" w:space="0" w:color="auto"/>
                    <w:right w:val="none" w:sz="0" w:space="0" w:color="auto"/>
                  </w:divBdr>
                </w:div>
                <w:div w:id="2064018661">
                  <w:marLeft w:val="0"/>
                  <w:marRight w:val="0"/>
                  <w:marTop w:val="0"/>
                  <w:marBottom w:val="0"/>
                  <w:divBdr>
                    <w:top w:val="none" w:sz="0" w:space="0" w:color="auto"/>
                    <w:left w:val="none" w:sz="0" w:space="0" w:color="auto"/>
                    <w:bottom w:val="none" w:sz="0" w:space="0" w:color="auto"/>
                    <w:right w:val="none" w:sz="0" w:space="0" w:color="auto"/>
                  </w:divBdr>
                </w:div>
                <w:div w:id="849027943">
                  <w:marLeft w:val="0"/>
                  <w:marRight w:val="0"/>
                  <w:marTop w:val="0"/>
                  <w:marBottom w:val="0"/>
                  <w:divBdr>
                    <w:top w:val="none" w:sz="0" w:space="0" w:color="auto"/>
                    <w:left w:val="none" w:sz="0" w:space="0" w:color="auto"/>
                    <w:bottom w:val="none" w:sz="0" w:space="0" w:color="auto"/>
                    <w:right w:val="none" w:sz="0" w:space="0" w:color="auto"/>
                  </w:divBdr>
                </w:div>
                <w:div w:id="1050694662">
                  <w:marLeft w:val="0"/>
                  <w:marRight w:val="0"/>
                  <w:marTop w:val="0"/>
                  <w:marBottom w:val="0"/>
                  <w:divBdr>
                    <w:top w:val="none" w:sz="0" w:space="0" w:color="auto"/>
                    <w:left w:val="none" w:sz="0" w:space="0" w:color="auto"/>
                    <w:bottom w:val="none" w:sz="0" w:space="0" w:color="auto"/>
                    <w:right w:val="none" w:sz="0" w:space="0" w:color="auto"/>
                  </w:divBdr>
                </w:div>
                <w:div w:id="2045278528">
                  <w:marLeft w:val="0"/>
                  <w:marRight w:val="0"/>
                  <w:marTop w:val="0"/>
                  <w:marBottom w:val="0"/>
                  <w:divBdr>
                    <w:top w:val="none" w:sz="0" w:space="0" w:color="auto"/>
                    <w:left w:val="none" w:sz="0" w:space="0" w:color="auto"/>
                    <w:bottom w:val="none" w:sz="0" w:space="0" w:color="auto"/>
                    <w:right w:val="none" w:sz="0" w:space="0" w:color="auto"/>
                  </w:divBdr>
                </w:div>
                <w:div w:id="972910413">
                  <w:marLeft w:val="0"/>
                  <w:marRight w:val="0"/>
                  <w:marTop w:val="0"/>
                  <w:marBottom w:val="0"/>
                  <w:divBdr>
                    <w:top w:val="none" w:sz="0" w:space="0" w:color="auto"/>
                    <w:left w:val="none" w:sz="0" w:space="0" w:color="auto"/>
                    <w:bottom w:val="none" w:sz="0" w:space="0" w:color="auto"/>
                    <w:right w:val="none" w:sz="0" w:space="0" w:color="auto"/>
                  </w:divBdr>
                </w:div>
                <w:div w:id="221252853">
                  <w:marLeft w:val="0"/>
                  <w:marRight w:val="0"/>
                  <w:marTop w:val="0"/>
                  <w:marBottom w:val="0"/>
                  <w:divBdr>
                    <w:top w:val="none" w:sz="0" w:space="0" w:color="auto"/>
                    <w:left w:val="none" w:sz="0" w:space="0" w:color="auto"/>
                    <w:bottom w:val="none" w:sz="0" w:space="0" w:color="auto"/>
                    <w:right w:val="none" w:sz="0" w:space="0" w:color="auto"/>
                  </w:divBdr>
                </w:div>
                <w:div w:id="425005330">
                  <w:marLeft w:val="0"/>
                  <w:marRight w:val="0"/>
                  <w:marTop w:val="0"/>
                  <w:marBottom w:val="0"/>
                  <w:divBdr>
                    <w:top w:val="none" w:sz="0" w:space="0" w:color="auto"/>
                    <w:left w:val="none" w:sz="0" w:space="0" w:color="auto"/>
                    <w:bottom w:val="none" w:sz="0" w:space="0" w:color="auto"/>
                    <w:right w:val="none" w:sz="0" w:space="0" w:color="auto"/>
                  </w:divBdr>
                </w:div>
                <w:div w:id="1745839892">
                  <w:marLeft w:val="0"/>
                  <w:marRight w:val="0"/>
                  <w:marTop w:val="0"/>
                  <w:marBottom w:val="0"/>
                  <w:divBdr>
                    <w:top w:val="none" w:sz="0" w:space="0" w:color="auto"/>
                    <w:left w:val="none" w:sz="0" w:space="0" w:color="auto"/>
                    <w:bottom w:val="none" w:sz="0" w:space="0" w:color="auto"/>
                    <w:right w:val="none" w:sz="0" w:space="0" w:color="auto"/>
                  </w:divBdr>
                </w:div>
                <w:div w:id="426511054">
                  <w:marLeft w:val="0"/>
                  <w:marRight w:val="0"/>
                  <w:marTop w:val="0"/>
                  <w:marBottom w:val="0"/>
                  <w:divBdr>
                    <w:top w:val="none" w:sz="0" w:space="0" w:color="auto"/>
                    <w:left w:val="none" w:sz="0" w:space="0" w:color="auto"/>
                    <w:bottom w:val="none" w:sz="0" w:space="0" w:color="auto"/>
                    <w:right w:val="none" w:sz="0" w:space="0" w:color="auto"/>
                  </w:divBdr>
                </w:div>
                <w:div w:id="198861517">
                  <w:marLeft w:val="0"/>
                  <w:marRight w:val="0"/>
                  <w:marTop w:val="0"/>
                  <w:marBottom w:val="0"/>
                  <w:divBdr>
                    <w:top w:val="none" w:sz="0" w:space="0" w:color="auto"/>
                    <w:left w:val="none" w:sz="0" w:space="0" w:color="auto"/>
                    <w:bottom w:val="none" w:sz="0" w:space="0" w:color="auto"/>
                    <w:right w:val="none" w:sz="0" w:space="0" w:color="auto"/>
                  </w:divBdr>
                </w:div>
                <w:div w:id="1753119942">
                  <w:marLeft w:val="0"/>
                  <w:marRight w:val="0"/>
                  <w:marTop w:val="0"/>
                  <w:marBottom w:val="0"/>
                  <w:divBdr>
                    <w:top w:val="none" w:sz="0" w:space="0" w:color="auto"/>
                    <w:left w:val="none" w:sz="0" w:space="0" w:color="auto"/>
                    <w:bottom w:val="none" w:sz="0" w:space="0" w:color="auto"/>
                    <w:right w:val="none" w:sz="0" w:space="0" w:color="auto"/>
                  </w:divBdr>
                </w:div>
                <w:div w:id="1586912881">
                  <w:marLeft w:val="0"/>
                  <w:marRight w:val="0"/>
                  <w:marTop w:val="0"/>
                  <w:marBottom w:val="0"/>
                  <w:divBdr>
                    <w:top w:val="none" w:sz="0" w:space="0" w:color="auto"/>
                    <w:left w:val="none" w:sz="0" w:space="0" w:color="auto"/>
                    <w:bottom w:val="none" w:sz="0" w:space="0" w:color="auto"/>
                    <w:right w:val="none" w:sz="0" w:space="0" w:color="auto"/>
                  </w:divBdr>
                </w:div>
                <w:div w:id="797795869">
                  <w:marLeft w:val="0"/>
                  <w:marRight w:val="0"/>
                  <w:marTop w:val="0"/>
                  <w:marBottom w:val="0"/>
                  <w:divBdr>
                    <w:top w:val="none" w:sz="0" w:space="0" w:color="auto"/>
                    <w:left w:val="none" w:sz="0" w:space="0" w:color="auto"/>
                    <w:bottom w:val="none" w:sz="0" w:space="0" w:color="auto"/>
                    <w:right w:val="none" w:sz="0" w:space="0" w:color="auto"/>
                  </w:divBdr>
                </w:div>
                <w:div w:id="397017607">
                  <w:marLeft w:val="0"/>
                  <w:marRight w:val="0"/>
                  <w:marTop w:val="0"/>
                  <w:marBottom w:val="0"/>
                  <w:divBdr>
                    <w:top w:val="none" w:sz="0" w:space="0" w:color="auto"/>
                    <w:left w:val="none" w:sz="0" w:space="0" w:color="auto"/>
                    <w:bottom w:val="none" w:sz="0" w:space="0" w:color="auto"/>
                    <w:right w:val="none" w:sz="0" w:space="0" w:color="auto"/>
                  </w:divBdr>
                </w:div>
                <w:div w:id="1536042273">
                  <w:marLeft w:val="0"/>
                  <w:marRight w:val="0"/>
                  <w:marTop w:val="0"/>
                  <w:marBottom w:val="0"/>
                  <w:divBdr>
                    <w:top w:val="none" w:sz="0" w:space="0" w:color="auto"/>
                    <w:left w:val="none" w:sz="0" w:space="0" w:color="auto"/>
                    <w:bottom w:val="none" w:sz="0" w:space="0" w:color="auto"/>
                    <w:right w:val="none" w:sz="0" w:space="0" w:color="auto"/>
                  </w:divBdr>
                </w:div>
                <w:div w:id="1992247007">
                  <w:marLeft w:val="0"/>
                  <w:marRight w:val="0"/>
                  <w:marTop w:val="0"/>
                  <w:marBottom w:val="0"/>
                  <w:divBdr>
                    <w:top w:val="none" w:sz="0" w:space="0" w:color="auto"/>
                    <w:left w:val="none" w:sz="0" w:space="0" w:color="auto"/>
                    <w:bottom w:val="none" w:sz="0" w:space="0" w:color="auto"/>
                    <w:right w:val="none" w:sz="0" w:space="0" w:color="auto"/>
                  </w:divBdr>
                </w:div>
                <w:div w:id="93795567">
                  <w:marLeft w:val="0"/>
                  <w:marRight w:val="0"/>
                  <w:marTop w:val="0"/>
                  <w:marBottom w:val="0"/>
                  <w:divBdr>
                    <w:top w:val="none" w:sz="0" w:space="0" w:color="auto"/>
                    <w:left w:val="none" w:sz="0" w:space="0" w:color="auto"/>
                    <w:bottom w:val="none" w:sz="0" w:space="0" w:color="auto"/>
                    <w:right w:val="none" w:sz="0" w:space="0" w:color="auto"/>
                  </w:divBdr>
                </w:div>
                <w:div w:id="1514420007">
                  <w:marLeft w:val="0"/>
                  <w:marRight w:val="0"/>
                  <w:marTop w:val="0"/>
                  <w:marBottom w:val="0"/>
                  <w:divBdr>
                    <w:top w:val="none" w:sz="0" w:space="0" w:color="auto"/>
                    <w:left w:val="none" w:sz="0" w:space="0" w:color="auto"/>
                    <w:bottom w:val="none" w:sz="0" w:space="0" w:color="auto"/>
                    <w:right w:val="none" w:sz="0" w:space="0" w:color="auto"/>
                  </w:divBdr>
                </w:div>
                <w:div w:id="1612929594">
                  <w:marLeft w:val="0"/>
                  <w:marRight w:val="0"/>
                  <w:marTop w:val="0"/>
                  <w:marBottom w:val="0"/>
                  <w:divBdr>
                    <w:top w:val="none" w:sz="0" w:space="0" w:color="auto"/>
                    <w:left w:val="none" w:sz="0" w:space="0" w:color="auto"/>
                    <w:bottom w:val="none" w:sz="0" w:space="0" w:color="auto"/>
                    <w:right w:val="none" w:sz="0" w:space="0" w:color="auto"/>
                  </w:divBdr>
                </w:div>
                <w:div w:id="2029401297">
                  <w:marLeft w:val="0"/>
                  <w:marRight w:val="0"/>
                  <w:marTop w:val="0"/>
                  <w:marBottom w:val="0"/>
                  <w:divBdr>
                    <w:top w:val="none" w:sz="0" w:space="0" w:color="auto"/>
                    <w:left w:val="none" w:sz="0" w:space="0" w:color="auto"/>
                    <w:bottom w:val="none" w:sz="0" w:space="0" w:color="auto"/>
                    <w:right w:val="none" w:sz="0" w:space="0" w:color="auto"/>
                  </w:divBdr>
                </w:div>
                <w:div w:id="1529101670">
                  <w:marLeft w:val="0"/>
                  <w:marRight w:val="0"/>
                  <w:marTop w:val="0"/>
                  <w:marBottom w:val="0"/>
                  <w:divBdr>
                    <w:top w:val="none" w:sz="0" w:space="0" w:color="auto"/>
                    <w:left w:val="none" w:sz="0" w:space="0" w:color="auto"/>
                    <w:bottom w:val="none" w:sz="0" w:space="0" w:color="auto"/>
                    <w:right w:val="none" w:sz="0" w:space="0" w:color="auto"/>
                  </w:divBdr>
                </w:div>
                <w:div w:id="2039968298">
                  <w:marLeft w:val="0"/>
                  <w:marRight w:val="0"/>
                  <w:marTop w:val="0"/>
                  <w:marBottom w:val="0"/>
                  <w:divBdr>
                    <w:top w:val="none" w:sz="0" w:space="0" w:color="auto"/>
                    <w:left w:val="none" w:sz="0" w:space="0" w:color="auto"/>
                    <w:bottom w:val="none" w:sz="0" w:space="0" w:color="auto"/>
                    <w:right w:val="none" w:sz="0" w:space="0" w:color="auto"/>
                  </w:divBdr>
                </w:div>
                <w:div w:id="1668677670">
                  <w:marLeft w:val="0"/>
                  <w:marRight w:val="0"/>
                  <w:marTop w:val="0"/>
                  <w:marBottom w:val="0"/>
                  <w:divBdr>
                    <w:top w:val="none" w:sz="0" w:space="0" w:color="auto"/>
                    <w:left w:val="none" w:sz="0" w:space="0" w:color="auto"/>
                    <w:bottom w:val="none" w:sz="0" w:space="0" w:color="auto"/>
                    <w:right w:val="none" w:sz="0" w:space="0" w:color="auto"/>
                  </w:divBdr>
                </w:div>
                <w:div w:id="1104887843">
                  <w:marLeft w:val="0"/>
                  <w:marRight w:val="0"/>
                  <w:marTop w:val="0"/>
                  <w:marBottom w:val="0"/>
                  <w:divBdr>
                    <w:top w:val="none" w:sz="0" w:space="0" w:color="auto"/>
                    <w:left w:val="none" w:sz="0" w:space="0" w:color="auto"/>
                    <w:bottom w:val="none" w:sz="0" w:space="0" w:color="auto"/>
                    <w:right w:val="none" w:sz="0" w:space="0" w:color="auto"/>
                  </w:divBdr>
                </w:div>
                <w:div w:id="552890176">
                  <w:marLeft w:val="0"/>
                  <w:marRight w:val="0"/>
                  <w:marTop w:val="0"/>
                  <w:marBottom w:val="0"/>
                  <w:divBdr>
                    <w:top w:val="none" w:sz="0" w:space="0" w:color="auto"/>
                    <w:left w:val="none" w:sz="0" w:space="0" w:color="auto"/>
                    <w:bottom w:val="none" w:sz="0" w:space="0" w:color="auto"/>
                    <w:right w:val="none" w:sz="0" w:space="0" w:color="auto"/>
                  </w:divBdr>
                </w:div>
                <w:div w:id="447161270">
                  <w:marLeft w:val="0"/>
                  <w:marRight w:val="0"/>
                  <w:marTop w:val="0"/>
                  <w:marBottom w:val="0"/>
                  <w:divBdr>
                    <w:top w:val="none" w:sz="0" w:space="0" w:color="auto"/>
                    <w:left w:val="none" w:sz="0" w:space="0" w:color="auto"/>
                    <w:bottom w:val="none" w:sz="0" w:space="0" w:color="auto"/>
                    <w:right w:val="none" w:sz="0" w:space="0" w:color="auto"/>
                  </w:divBdr>
                </w:div>
                <w:div w:id="230777093">
                  <w:marLeft w:val="0"/>
                  <w:marRight w:val="0"/>
                  <w:marTop w:val="0"/>
                  <w:marBottom w:val="0"/>
                  <w:divBdr>
                    <w:top w:val="none" w:sz="0" w:space="0" w:color="auto"/>
                    <w:left w:val="none" w:sz="0" w:space="0" w:color="auto"/>
                    <w:bottom w:val="none" w:sz="0" w:space="0" w:color="auto"/>
                    <w:right w:val="none" w:sz="0" w:space="0" w:color="auto"/>
                  </w:divBdr>
                </w:div>
                <w:div w:id="569772795">
                  <w:marLeft w:val="0"/>
                  <w:marRight w:val="0"/>
                  <w:marTop w:val="0"/>
                  <w:marBottom w:val="0"/>
                  <w:divBdr>
                    <w:top w:val="none" w:sz="0" w:space="0" w:color="auto"/>
                    <w:left w:val="none" w:sz="0" w:space="0" w:color="auto"/>
                    <w:bottom w:val="none" w:sz="0" w:space="0" w:color="auto"/>
                    <w:right w:val="none" w:sz="0" w:space="0" w:color="auto"/>
                  </w:divBdr>
                </w:div>
                <w:div w:id="1543327494">
                  <w:marLeft w:val="0"/>
                  <w:marRight w:val="0"/>
                  <w:marTop w:val="0"/>
                  <w:marBottom w:val="0"/>
                  <w:divBdr>
                    <w:top w:val="none" w:sz="0" w:space="0" w:color="auto"/>
                    <w:left w:val="none" w:sz="0" w:space="0" w:color="auto"/>
                    <w:bottom w:val="none" w:sz="0" w:space="0" w:color="auto"/>
                    <w:right w:val="none" w:sz="0" w:space="0" w:color="auto"/>
                  </w:divBdr>
                </w:div>
                <w:div w:id="946230304">
                  <w:marLeft w:val="0"/>
                  <w:marRight w:val="0"/>
                  <w:marTop w:val="0"/>
                  <w:marBottom w:val="0"/>
                  <w:divBdr>
                    <w:top w:val="none" w:sz="0" w:space="0" w:color="auto"/>
                    <w:left w:val="none" w:sz="0" w:space="0" w:color="auto"/>
                    <w:bottom w:val="none" w:sz="0" w:space="0" w:color="auto"/>
                    <w:right w:val="none" w:sz="0" w:space="0" w:color="auto"/>
                  </w:divBdr>
                </w:div>
                <w:div w:id="1641836832">
                  <w:marLeft w:val="0"/>
                  <w:marRight w:val="0"/>
                  <w:marTop w:val="0"/>
                  <w:marBottom w:val="0"/>
                  <w:divBdr>
                    <w:top w:val="none" w:sz="0" w:space="0" w:color="auto"/>
                    <w:left w:val="none" w:sz="0" w:space="0" w:color="auto"/>
                    <w:bottom w:val="none" w:sz="0" w:space="0" w:color="auto"/>
                    <w:right w:val="none" w:sz="0" w:space="0" w:color="auto"/>
                  </w:divBdr>
                </w:div>
                <w:div w:id="2145150860">
                  <w:marLeft w:val="0"/>
                  <w:marRight w:val="0"/>
                  <w:marTop w:val="0"/>
                  <w:marBottom w:val="0"/>
                  <w:divBdr>
                    <w:top w:val="none" w:sz="0" w:space="0" w:color="auto"/>
                    <w:left w:val="none" w:sz="0" w:space="0" w:color="auto"/>
                    <w:bottom w:val="none" w:sz="0" w:space="0" w:color="auto"/>
                    <w:right w:val="none" w:sz="0" w:space="0" w:color="auto"/>
                  </w:divBdr>
                </w:div>
                <w:div w:id="258566902">
                  <w:marLeft w:val="0"/>
                  <w:marRight w:val="0"/>
                  <w:marTop w:val="0"/>
                  <w:marBottom w:val="0"/>
                  <w:divBdr>
                    <w:top w:val="none" w:sz="0" w:space="0" w:color="auto"/>
                    <w:left w:val="none" w:sz="0" w:space="0" w:color="auto"/>
                    <w:bottom w:val="none" w:sz="0" w:space="0" w:color="auto"/>
                    <w:right w:val="none" w:sz="0" w:space="0" w:color="auto"/>
                  </w:divBdr>
                </w:div>
                <w:div w:id="63451430">
                  <w:marLeft w:val="0"/>
                  <w:marRight w:val="0"/>
                  <w:marTop w:val="0"/>
                  <w:marBottom w:val="0"/>
                  <w:divBdr>
                    <w:top w:val="none" w:sz="0" w:space="0" w:color="auto"/>
                    <w:left w:val="none" w:sz="0" w:space="0" w:color="auto"/>
                    <w:bottom w:val="none" w:sz="0" w:space="0" w:color="auto"/>
                    <w:right w:val="none" w:sz="0" w:space="0" w:color="auto"/>
                  </w:divBdr>
                </w:div>
                <w:div w:id="345331456">
                  <w:marLeft w:val="0"/>
                  <w:marRight w:val="0"/>
                  <w:marTop w:val="0"/>
                  <w:marBottom w:val="0"/>
                  <w:divBdr>
                    <w:top w:val="none" w:sz="0" w:space="0" w:color="auto"/>
                    <w:left w:val="none" w:sz="0" w:space="0" w:color="auto"/>
                    <w:bottom w:val="none" w:sz="0" w:space="0" w:color="auto"/>
                    <w:right w:val="none" w:sz="0" w:space="0" w:color="auto"/>
                  </w:divBdr>
                </w:div>
                <w:div w:id="887423396">
                  <w:marLeft w:val="0"/>
                  <w:marRight w:val="0"/>
                  <w:marTop w:val="0"/>
                  <w:marBottom w:val="0"/>
                  <w:divBdr>
                    <w:top w:val="none" w:sz="0" w:space="0" w:color="auto"/>
                    <w:left w:val="none" w:sz="0" w:space="0" w:color="auto"/>
                    <w:bottom w:val="none" w:sz="0" w:space="0" w:color="auto"/>
                    <w:right w:val="none" w:sz="0" w:space="0" w:color="auto"/>
                  </w:divBdr>
                </w:div>
                <w:div w:id="137189300">
                  <w:marLeft w:val="0"/>
                  <w:marRight w:val="0"/>
                  <w:marTop w:val="0"/>
                  <w:marBottom w:val="0"/>
                  <w:divBdr>
                    <w:top w:val="none" w:sz="0" w:space="0" w:color="auto"/>
                    <w:left w:val="none" w:sz="0" w:space="0" w:color="auto"/>
                    <w:bottom w:val="none" w:sz="0" w:space="0" w:color="auto"/>
                    <w:right w:val="none" w:sz="0" w:space="0" w:color="auto"/>
                  </w:divBdr>
                </w:div>
                <w:div w:id="644167462">
                  <w:marLeft w:val="0"/>
                  <w:marRight w:val="0"/>
                  <w:marTop w:val="0"/>
                  <w:marBottom w:val="0"/>
                  <w:divBdr>
                    <w:top w:val="none" w:sz="0" w:space="0" w:color="auto"/>
                    <w:left w:val="none" w:sz="0" w:space="0" w:color="auto"/>
                    <w:bottom w:val="none" w:sz="0" w:space="0" w:color="auto"/>
                    <w:right w:val="none" w:sz="0" w:space="0" w:color="auto"/>
                  </w:divBdr>
                </w:div>
                <w:div w:id="885337676">
                  <w:marLeft w:val="0"/>
                  <w:marRight w:val="0"/>
                  <w:marTop w:val="0"/>
                  <w:marBottom w:val="0"/>
                  <w:divBdr>
                    <w:top w:val="none" w:sz="0" w:space="0" w:color="auto"/>
                    <w:left w:val="none" w:sz="0" w:space="0" w:color="auto"/>
                    <w:bottom w:val="none" w:sz="0" w:space="0" w:color="auto"/>
                    <w:right w:val="none" w:sz="0" w:space="0" w:color="auto"/>
                  </w:divBdr>
                </w:div>
                <w:div w:id="851799851">
                  <w:marLeft w:val="0"/>
                  <w:marRight w:val="0"/>
                  <w:marTop w:val="0"/>
                  <w:marBottom w:val="0"/>
                  <w:divBdr>
                    <w:top w:val="none" w:sz="0" w:space="0" w:color="auto"/>
                    <w:left w:val="none" w:sz="0" w:space="0" w:color="auto"/>
                    <w:bottom w:val="none" w:sz="0" w:space="0" w:color="auto"/>
                    <w:right w:val="none" w:sz="0" w:space="0" w:color="auto"/>
                  </w:divBdr>
                </w:div>
                <w:div w:id="1669483931">
                  <w:marLeft w:val="0"/>
                  <w:marRight w:val="0"/>
                  <w:marTop w:val="0"/>
                  <w:marBottom w:val="0"/>
                  <w:divBdr>
                    <w:top w:val="none" w:sz="0" w:space="0" w:color="auto"/>
                    <w:left w:val="none" w:sz="0" w:space="0" w:color="auto"/>
                    <w:bottom w:val="none" w:sz="0" w:space="0" w:color="auto"/>
                    <w:right w:val="none" w:sz="0" w:space="0" w:color="auto"/>
                  </w:divBdr>
                </w:div>
                <w:div w:id="1502237853">
                  <w:marLeft w:val="0"/>
                  <w:marRight w:val="0"/>
                  <w:marTop w:val="0"/>
                  <w:marBottom w:val="0"/>
                  <w:divBdr>
                    <w:top w:val="none" w:sz="0" w:space="0" w:color="auto"/>
                    <w:left w:val="none" w:sz="0" w:space="0" w:color="auto"/>
                    <w:bottom w:val="none" w:sz="0" w:space="0" w:color="auto"/>
                    <w:right w:val="none" w:sz="0" w:space="0" w:color="auto"/>
                  </w:divBdr>
                </w:div>
                <w:div w:id="632827067">
                  <w:marLeft w:val="0"/>
                  <w:marRight w:val="0"/>
                  <w:marTop w:val="0"/>
                  <w:marBottom w:val="0"/>
                  <w:divBdr>
                    <w:top w:val="none" w:sz="0" w:space="0" w:color="auto"/>
                    <w:left w:val="none" w:sz="0" w:space="0" w:color="auto"/>
                    <w:bottom w:val="none" w:sz="0" w:space="0" w:color="auto"/>
                    <w:right w:val="none" w:sz="0" w:space="0" w:color="auto"/>
                  </w:divBdr>
                </w:div>
                <w:div w:id="234627988">
                  <w:marLeft w:val="0"/>
                  <w:marRight w:val="0"/>
                  <w:marTop w:val="0"/>
                  <w:marBottom w:val="0"/>
                  <w:divBdr>
                    <w:top w:val="none" w:sz="0" w:space="0" w:color="auto"/>
                    <w:left w:val="none" w:sz="0" w:space="0" w:color="auto"/>
                    <w:bottom w:val="none" w:sz="0" w:space="0" w:color="auto"/>
                    <w:right w:val="none" w:sz="0" w:space="0" w:color="auto"/>
                  </w:divBdr>
                </w:div>
                <w:div w:id="10375191">
                  <w:marLeft w:val="0"/>
                  <w:marRight w:val="0"/>
                  <w:marTop w:val="0"/>
                  <w:marBottom w:val="0"/>
                  <w:divBdr>
                    <w:top w:val="none" w:sz="0" w:space="0" w:color="auto"/>
                    <w:left w:val="none" w:sz="0" w:space="0" w:color="auto"/>
                    <w:bottom w:val="none" w:sz="0" w:space="0" w:color="auto"/>
                    <w:right w:val="none" w:sz="0" w:space="0" w:color="auto"/>
                  </w:divBdr>
                </w:div>
                <w:div w:id="696083118">
                  <w:marLeft w:val="0"/>
                  <w:marRight w:val="0"/>
                  <w:marTop w:val="0"/>
                  <w:marBottom w:val="0"/>
                  <w:divBdr>
                    <w:top w:val="none" w:sz="0" w:space="0" w:color="auto"/>
                    <w:left w:val="none" w:sz="0" w:space="0" w:color="auto"/>
                    <w:bottom w:val="none" w:sz="0" w:space="0" w:color="auto"/>
                    <w:right w:val="none" w:sz="0" w:space="0" w:color="auto"/>
                  </w:divBdr>
                </w:div>
                <w:div w:id="1221749280">
                  <w:marLeft w:val="0"/>
                  <w:marRight w:val="0"/>
                  <w:marTop w:val="0"/>
                  <w:marBottom w:val="0"/>
                  <w:divBdr>
                    <w:top w:val="none" w:sz="0" w:space="0" w:color="auto"/>
                    <w:left w:val="none" w:sz="0" w:space="0" w:color="auto"/>
                    <w:bottom w:val="none" w:sz="0" w:space="0" w:color="auto"/>
                    <w:right w:val="none" w:sz="0" w:space="0" w:color="auto"/>
                  </w:divBdr>
                </w:div>
                <w:div w:id="2039692572">
                  <w:marLeft w:val="0"/>
                  <w:marRight w:val="0"/>
                  <w:marTop w:val="0"/>
                  <w:marBottom w:val="0"/>
                  <w:divBdr>
                    <w:top w:val="none" w:sz="0" w:space="0" w:color="auto"/>
                    <w:left w:val="none" w:sz="0" w:space="0" w:color="auto"/>
                    <w:bottom w:val="none" w:sz="0" w:space="0" w:color="auto"/>
                    <w:right w:val="none" w:sz="0" w:space="0" w:color="auto"/>
                  </w:divBdr>
                </w:div>
                <w:div w:id="1830828862">
                  <w:marLeft w:val="0"/>
                  <w:marRight w:val="0"/>
                  <w:marTop w:val="0"/>
                  <w:marBottom w:val="0"/>
                  <w:divBdr>
                    <w:top w:val="none" w:sz="0" w:space="0" w:color="auto"/>
                    <w:left w:val="none" w:sz="0" w:space="0" w:color="auto"/>
                    <w:bottom w:val="none" w:sz="0" w:space="0" w:color="auto"/>
                    <w:right w:val="none" w:sz="0" w:space="0" w:color="auto"/>
                  </w:divBdr>
                </w:div>
                <w:div w:id="1274747551">
                  <w:marLeft w:val="0"/>
                  <w:marRight w:val="0"/>
                  <w:marTop w:val="0"/>
                  <w:marBottom w:val="0"/>
                  <w:divBdr>
                    <w:top w:val="none" w:sz="0" w:space="0" w:color="auto"/>
                    <w:left w:val="none" w:sz="0" w:space="0" w:color="auto"/>
                    <w:bottom w:val="none" w:sz="0" w:space="0" w:color="auto"/>
                    <w:right w:val="none" w:sz="0" w:space="0" w:color="auto"/>
                  </w:divBdr>
                </w:div>
                <w:div w:id="1437871337">
                  <w:marLeft w:val="0"/>
                  <w:marRight w:val="0"/>
                  <w:marTop w:val="0"/>
                  <w:marBottom w:val="0"/>
                  <w:divBdr>
                    <w:top w:val="none" w:sz="0" w:space="0" w:color="auto"/>
                    <w:left w:val="none" w:sz="0" w:space="0" w:color="auto"/>
                    <w:bottom w:val="none" w:sz="0" w:space="0" w:color="auto"/>
                    <w:right w:val="none" w:sz="0" w:space="0" w:color="auto"/>
                  </w:divBdr>
                </w:div>
                <w:div w:id="91510093">
                  <w:marLeft w:val="0"/>
                  <w:marRight w:val="0"/>
                  <w:marTop w:val="0"/>
                  <w:marBottom w:val="0"/>
                  <w:divBdr>
                    <w:top w:val="none" w:sz="0" w:space="0" w:color="auto"/>
                    <w:left w:val="none" w:sz="0" w:space="0" w:color="auto"/>
                    <w:bottom w:val="none" w:sz="0" w:space="0" w:color="auto"/>
                    <w:right w:val="none" w:sz="0" w:space="0" w:color="auto"/>
                  </w:divBdr>
                </w:div>
                <w:div w:id="27411368">
                  <w:marLeft w:val="0"/>
                  <w:marRight w:val="0"/>
                  <w:marTop w:val="0"/>
                  <w:marBottom w:val="0"/>
                  <w:divBdr>
                    <w:top w:val="none" w:sz="0" w:space="0" w:color="auto"/>
                    <w:left w:val="none" w:sz="0" w:space="0" w:color="auto"/>
                    <w:bottom w:val="none" w:sz="0" w:space="0" w:color="auto"/>
                    <w:right w:val="none" w:sz="0" w:space="0" w:color="auto"/>
                  </w:divBdr>
                </w:div>
                <w:div w:id="629365305">
                  <w:marLeft w:val="0"/>
                  <w:marRight w:val="0"/>
                  <w:marTop w:val="0"/>
                  <w:marBottom w:val="0"/>
                  <w:divBdr>
                    <w:top w:val="none" w:sz="0" w:space="0" w:color="auto"/>
                    <w:left w:val="none" w:sz="0" w:space="0" w:color="auto"/>
                    <w:bottom w:val="none" w:sz="0" w:space="0" w:color="auto"/>
                    <w:right w:val="none" w:sz="0" w:space="0" w:color="auto"/>
                  </w:divBdr>
                </w:div>
                <w:div w:id="1577519336">
                  <w:marLeft w:val="0"/>
                  <w:marRight w:val="0"/>
                  <w:marTop w:val="0"/>
                  <w:marBottom w:val="0"/>
                  <w:divBdr>
                    <w:top w:val="none" w:sz="0" w:space="0" w:color="auto"/>
                    <w:left w:val="none" w:sz="0" w:space="0" w:color="auto"/>
                    <w:bottom w:val="none" w:sz="0" w:space="0" w:color="auto"/>
                    <w:right w:val="none" w:sz="0" w:space="0" w:color="auto"/>
                  </w:divBdr>
                </w:div>
                <w:div w:id="776411732">
                  <w:marLeft w:val="0"/>
                  <w:marRight w:val="0"/>
                  <w:marTop w:val="0"/>
                  <w:marBottom w:val="0"/>
                  <w:divBdr>
                    <w:top w:val="none" w:sz="0" w:space="0" w:color="auto"/>
                    <w:left w:val="none" w:sz="0" w:space="0" w:color="auto"/>
                    <w:bottom w:val="none" w:sz="0" w:space="0" w:color="auto"/>
                    <w:right w:val="none" w:sz="0" w:space="0" w:color="auto"/>
                  </w:divBdr>
                </w:div>
                <w:div w:id="490756074">
                  <w:marLeft w:val="0"/>
                  <w:marRight w:val="0"/>
                  <w:marTop w:val="0"/>
                  <w:marBottom w:val="0"/>
                  <w:divBdr>
                    <w:top w:val="none" w:sz="0" w:space="0" w:color="auto"/>
                    <w:left w:val="none" w:sz="0" w:space="0" w:color="auto"/>
                    <w:bottom w:val="none" w:sz="0" w:space="0" w:color="auto"/>
                    <w:right w:val="none" w:sz="0" w:space="0" w:color="auto"/>
                  </w:divBdr>
                </w:div>
                <w:div w:id="1439835534">
                  <w:marLeft w:val="0"/>
                  <w:marRight w:val="0"/>
                  <w:marTop w:val="0"/>
                  <w:marBottom w:val="0"/>
                  <w:divBdr>
                    <w:top w:val="none" w:sz="0" w:space="0" w:color="auto"/>
                    <w:left w:val="none" w:sz="0" w:space="0" w:color="auto"/>
                    <w:bottom w:val="none" w:sz="0" w:space="0" w:color="auto"/>
                    <w:right w:val="none" w:sz="0" w:space="0" w:color="auto"/>
                  </w:divBdr>
                </w:div>
                <w:div w:id="1234124287">
                  <w:marLeft w:val="0"/>
                  <w:marRight w:val="0"/>
                  <w:marTop w:val="0"/>
                  <w:marBottom w:val="0"/>
                  <w:divBdr>
                    <w:top w:val="none" w:sz="0" w:space="0" w:color="auto"/>
                    <w:left w:val="none" w:sz="0" w:space="0" w:color="auto"/>
                    <w:bottom w:val="none" w:sz="0" w:space="0" w:color="auto"/>
                    <w:right w:val="none" w:sz="0" w:space="0" w:color="auto"/>
                  </w:divBdr>
                </w:div>
                <w:div w:id="5063663">
                  <w:marLeft w:val="0"/>
                  <w:marRight w:val="0"/>
                  <w:marTop w:val="0"/>
                  <w:marBottom w:val="0"/>
                  <w:divBdr>
                    <w:top w:val="none" w:sz="0" w:space="0" w:color="auto"/>
                    <w:left w:val="none" w:sz="0" w:space="0" w:color="auto"/>
                    <w:bottom w:val="none" w:sz="0" w:space="0" w:color="auto"/>
                    <w:right w:val="none" w:sz="0" w:space="0" w:color="auto"/>
                  </w:divBdr>
                </w:div>
                <w:div w:id="1342002087">
                  <w:marLeft w:val="0"/>
                  <w:marRight w:val="0"/>
                  <w:marTop w:val="0"/>
                  <w:marBottom w:val="0"/>
                  <w:divBdr>
                    <w:top w:val="none" w:sz="0" w:space="0" w:color="auto"/>
                    <w:left w:val="none" w:sz="0" w:space="0" w:color="auto"/>
                    <w:bottom w:val="none" w:sz="0" w:space="0" w:color="auto"/>
                    <w:right w:val="none" w:sz="0" w:space="0" w:color="auto"/>
                  </w:divBdr>
                </w:div>
                <w:div w:id="1465738265">
                  <w:marLeft w:val="0"/>
                  <w:marRight w:val="0"/>
                  <w:marTop w:val="0"/>
                  <w:marBottom w:val="0"/>
                  <w:divBdr>
                    <w:top w:val="none" w:sz="0" w:space="0" w:color="auto"/>
                    <w:left w:val="none" w:sz="0" w:space="0" w:color="auto"/>
                    <w:bottom w:val="none" w:sz="0" w:space="0" w:color="auto"/>
                    <w:right w:val="none" w:sz="0" w:space="0" w:color="auto"/>
                  </w:divBdr>
                </w:div>
                <w:div w:id="729040424">
                  <w:marLeft w:val="0"/>
                  <w:marRight w:val="0"/>
                  <w:marTop w:val="0"/>
                  <w:marBottom w:val="0"/>
                  <w:divBdr>
                    <w:top w:val="none" w:sz="0" w:space="0" w:color="auto"/>
                    <w:left w:val="none" w:sz="0" w:space="0" w:color="auto"/>
                    <w:bottom w:val="none" w:sz="0" w:space="0" w:color="auto"/>
                    <w:right w:val="none" w:sz="0" w:space="0" w:color="auto"/>
                  </w:divBdr>
                </w:div>
                <w:div w:id="373426656">
                  <w:marLeft w:val="0"/>
                  <w:marRight w:val="0"/>
                  <w:marTop w:val="0"/>
                  <w:marBottom w:val="0"/>
                  <w:divBdr>
                    <w:top w:val="none" w:sz="0" w:space="0" w:color="auto"/>
                    <w:left w:val="none" w:sz="0" w:space="0" w:color="auto"/>
                    <w:bottom w:val="none" w:sz="0" w:space="0" w:color="auto"/>
                    <w:right w:val="none" w:sz="0" w:space="0" w:color="auto"/>
                  </w:divBdr>
                </w:div>
                <w:div w:id="1803425914">
                  <w:marLeft w:val="0"/>
                  <w:marRight w:val="0"/>
                  <w:marTop w:val="0"/>
                  <w:marBottom w:val="0"/>
                  <w:divBdr>
                    <w:top w:val="none" w:sz="0" w:space="0" w:color="auto"/>
                    <w:left w:val="none" w:sz="0" w:space="0" w:color="auto"/>
                    <w:bottom w:val="none" w:sz="0" w:space="0" w:color="auto"/>
                    <w:right w:val="none" w:sz="0" w:space="0" w:color="auto"/>
                  </w:divBdr>
                </w:div>
                <w:div w:id="327905501">
                  <w:marLeft w:val="0"/>
                  <w:marRight w:val="0"/>
                  <w:marTop w:val="0"/>
                  <w:marBottom w:val="0"/>
                  <w:divBdr>
                    <w:top w:val="none" w:sz="0" w:space="0" w:color="auto"/>
                    <w:left w:val="none" w:sz="0" w:space="0" w:color="auto"/>
                    <w:bottom w:val="none" w:sz="0" w:space="0" w:color="auto"/>
                    <w:right w:val="none" w:sz="0" w:space="0" w:color="auto"/>
                  </w:divBdr>
                </w:div>
                <w:div w:id="1814449941">
                  <w:marLeft w:val="0"/>
                  <w:marRight w:val="0"/>
                  <w:marTop w:val="0"/>
                  <w:marBottom w:val="0"/>
                  <w:divBdr>
                    <w:top w:val="none" w:sz="0" w:space="0" w:color="auto"/>
                    <w:left w:val="none" w:sz="0" w:space="0" w:color="auto"/>
                    <w:bottom w:val="none" w:sz="0" w:space="0" w:color="auto"/>
                    <w:right w:val="none" w:sz="0" w:space="0" w:color="auto"/>
                  </w:divBdr>
                </w:div>
                <w:div w:id="2093233819">
                  <w:marLeft w:val="0"/>
                  <w:marRight w:val="0"/>
                  <w:marTop w:val="0"/>
                  <w:marBottom w:val="0"/>
                  <w:divBdr>
                    <w:top w:val="none" w:sz="0" w:space="0" w:color="auto"/>
                    <w:left w:val="none" w:sz="0" w:space="0" w:color="auto"/>
                    <w:bottom w:val="none" w:sz="0" w:space="0" w:color="auto"/>
                    <w:right w:val="none" w:sz="0" w:space="0" w:color="auto"/>
                  </w:divBdr>
                </w:div>
                <w:div w:id="2110588250">
                  <w:marLeft w:val="0"/>
                  <w:marRight w:val="0"/>
                  <w:marTop w:val="0"/>
                  <w:marBottom w:val="0"/>
                  <w:divBdr>
                    <w:top w:val="none" w:sz="0" w:space="0" w:color="auto"/>
                    <w:left w:val="none" w:sz="0" w:space="0" w:color="auto"/>
                    <w:bottom w:val="none" w:sz="0" w:space="0" w:color="auto"/>
                    <w:right w:val="none" w:sz="0" w:space="0" w:color="auto"/>
                  </w:divBdr>
                </w:div>
                <w:div w:id="1596938141">
                  <w:marLeft w:val="0"/>
                  <w:marRight w:val="0"/>
                  <w:marTop w:val="0"/>
                  <w:marBottom w:val="0"/>
                  <w:divBdr>
                    <w:top w:val="none" w:sz="0" w:space="0" w:color="auto"/>
                    <w:left w:val="none" w:sz="0" w:space="0" w:color="auto"/>
                    <w:bottom w:val="none" w:sz="0" w:space="0" w:color="auto"/>
                    <w:right w:val="none" w:sz="0" w:space="0" w:color="auto"/>
                  </w:divBdr>
                </w:div>
                <w:div w:id="1190725738">
                  <w:marLeft w:val="0"/>
                  <w:marRight w:val="0"/>
                  <w:marTop w:val="0"/>
                  <w:marBottom w:val="0"/>
                  <w:divBdr>
                    <w:top w:val="none" w:sz="0" w:space="0" w:color="auto"/>
                    <w:left w:val="none" w:sz="0" w:space="0" w:color="auto"/>
                    <w:bottom w:val="none" w:sz="0" w:space="0" w:color="auto"/>
                    <w:right w:val="none" w:sz="0" w:space="0" w:color="auto"/>
                  </w:divBdr>
                </w:div>
                <w:div w:id="1226602802">
                  <w:marLeft w:val="0"/>
                  <w:marRight w:val="0"/>
                  <w:marTop w:val="0"/>
                  <w:marBottom w:val="0"/>
                  <w:divBdr>
                    <w:top w:val="none" w:sz="0" w:space="0" w:color="auto"/>
                    <w:left w:val="none" w:sz="0" w:space="0" w:color="auto"/>
                    <w:bottom w:val="none" w:sz="0" w:space="0" w:color="auto"/>
                    <w:right w:val="none" w:sz="0" w:space="0" w:color="auto"/>
                  </w:divBdr>
                </w:div>
                <w:div w:id="420833437">
                  <w:marLeft w:val="0"/>
                  <w:marRight w:val="0"/>
                  <w:marTop w:val="0"/>
                  <w:marBottom w:val="0"/>
                  <w:divBdr>
                    <w:top w:val="none" w:sz="0" w:space="0" w:color="auto"/>
                    <w:left w:val="none" w:sz="0" w:space="0" w:color="auto"/>
                    <w:bottom w:val="none" w:sz="0" w:space="0" w:color="auto"/>
                    <w:right w:val="none" w:sz="0" w:space="0" w:color="auto"/>
                  </w:divBdr>
                </w:div>
                <w:div w:id="142238270">
                  <w:marLeft w:val="0"/>
                  <w:marRight w:val="0"/>
                  <w:marTop w:val="0"/>
                  <w:marBottom w:val="0"/>
                  <w:divBdr>
                    <w:top w:val="none" w:sz="0" w:space="0" w:color="auto"/>
                    <w:left w:val="none" w:sz="0" w:space="0" w:color="auto"/>
                    <w:bottom w:val="none" w:sz="0" w:space="0" w:color="auto"/>
                    <w:right w:val="none" w:sz="0" w:space="0" w:color="auto"/>
                  </w:divBdr>
                </w:div>
                <w:div w:id="131409433">
                  <w:marLeft w:val="0"/>
                  <w:marRight w:val="0"/>
                  <w:marTop w:val="0"/>
                  <w:marBottom w:val="0"/>
                  <w:divBdr>
                    <w:top w:val="none" w:sz="0" w:space="0" w:color="auto"/>
                    <w:left w:val="none" w:sz="0" w:space="0" w:color="auto"/>
                    <w:bottom w:val="none" w:sz="0" w:space="0" w:color="auto"/>
                    <w:right w:val="none" w:sz="0" w:space="0" w:color="auto"/>
                  </w:divBdr>
                </w:div>
                <w:div w:id="386226193">
                  <w:marLeft w:val="0"/>
                  <w:marRight w:val="0"/>
                  <w:marTop w:val="0"/>
                  <w:marBottom w:val="0"/>
                  <w:divBdr>
                    <w:top w:val="none" w:sz="0" w:space="0" w:color="auto"/>
                    <w:left w:val="none" w:sz="0" w:space="0" w:color="auto"/>
                    <w:bottom w:val="none" w:sz="0" w:space="0" w:color="auto"/>
                    <w:right w:val="none" w:sz="0" w:space="0" w:color="auto"/>
                  </w:divBdr>
                </w:div>
                <w:div w:id="546187166">
                  <w:marLeft w:val="0"/>
                  <w:marRight w:val="0"/>
                  <w:marTop w:val="0"/>
                  <w:marBottom w:val="0"/>
                  <w:divBdr>
                    <w:top w:val="none" w:sz="0" w:space="0" w:color="auto"/>
                    <w:left w:val="none" w:sz="0" w:space="0" w:color="auto"/>
                    <w:bottom w:val="none" w:sz="0" w:space="0" w:color="auto"/>
                    <w:right w:val="none" w:sz="0" w:space="0" w:color="auto"/>
                  </w:divBdr>
                </w:div>
                <w:div w:id="2088530956">
                  <w:marLeft w:val="0"/>
                  <w:marRight w:val="0"/>
                  <w:marTop w:val="0"/>
                  <w:marBottom w:val="0"/>
                  <w:divBdr>
                    <w:top w:val="none" w:sz="0" w:space="0" w:color="auto"/>
                    <w:left w:val="none" w:sz="0" w:space="0" w:color="auto"/>
                    <w:bottom w:val="none" w:sz="0" w:space="0" w:color="auto"/>
                    <w:right w:val="none" w:sz="0" w:space="0" w:color="auto"/>
                  </w:divBdr>
                </w:div>
                <w:div w:id="669871268">
                  <w:marLeft w:val="0"/>
                  <w:marRight w:val="0"/>
                  <w:marTop w:val="0"/>
                  <w:marBottom w:val="0"/>
                  <w:divBdr>
                    <w:top w:val="none" w:sz="0" w:space="0" w:color="auto"/>
                    <w:left w:val="none" w:sz="0" w:space="0" w:color="auto"/>
                    <w:bottom w:val="none" w:sz="0" w:space="0" w:color="auto"/>
                    <w:right w:val="none" w:sz="0" w:space="0" w:color="auto"/>
                  </w:divBdr>
                </w:div>
                <w:div w:id="153378825">
                  <w:marLeft w:val="0"/>
                  <w:marRight w:val="0"/>
                  <w:marTop w:val="0"/>
                  <w:marBottom w:val="0"/>
                  <w:divBdr>
                    <w:top w:val="none" w:sz="0" w:space="0" w:color="auto"/>
                    <w:left w:val="none" w:sz="0" w:space="0" w:color="auto"/>
                    <w:bottom w:val="none" w:sz="0" w:space="0" w:color="auto"/>
                    <w:right w:val="none" w:sz="0" w:space="0" w:color="auto"/>
                  </w:divBdr>
                </w:div>
                <w:div w:id="1593852803">
                  <w:marLeft w:val="0"/>
                  <w:marRight w:val="0"/>
                  <w:marTop w:val="0"/>
                  <w:marBottom w:val="0"/>
                  <w:divBdr>
                    <w:top w:val="none" w:sz="0" w:space="0" w:color="auto"/>
                    <w:left w:val="none" w:sz="0" w:space="0" w:color="auto"/>
                    <w:bottom w:val="none" w:sz="0" w:space="0" w:color="auto"/>
                    <w:right w:val="none" w:sz="0" w:space="0" w:color="auto"/>
                  </w:divBdr>
                </w:div>
                <w:div w:id="446193165">
                  <w:marLeft w:val="0"/>
                  <w:marRight w:val="0"/>
                  <w:marTop w:val="0"/>
                  <w:marBottom w:val="0"/>
                  <w:divBdr>
                    <w:top w:val="none" w:sz="0" w:space="0" w:color="auto"/>
                    <w:left w:val="none" w:sz="0" w:space="0" w:color="auto"/>
                    <w:bottom w:val="none" w:sz="0" w:space="0" w:color="auto"/>
                    <w:right w:val="none" w:sz="0" w:space="0" w:color="auto"/>
                  </w:divBdr>
                </w:div>
                <w:div w:id="724529046">
                  <w:marLeft w:val="0"/>
                  <w:marRight w:val="0"/>
                  <w:marTop w:val="0"/>
                  <w:marBottom w:val="0"/>
                  <w:divBdr>
                    <w:top w:val="none" w:sz="0" w:space="0" w:color="auto"/>
                    <w:left w:val="none" w:sz="0" w:space="0" w:color="auto"/>
                    <w:bottom w:val="none" w:sz="0" w:space="0" w:color="auto"/>
                    <w:right w:val="none" w:sz="0" w:space="0" w:color="auto"/>
                  </w:divBdr>
                </w:div>
                <w:div w:id="115606608">
                  <w:marLeft w:val="0"/>
                  <w:marRight w:val="0"/>
                  <w:marTop w:val="0"/>
                  <w:marBottom w:val="0"/>
                  <w:divBdr>
                    <w:top w:val="none" w:sz="0" w:space="0" w:color="auto"/>
                    <w:left w:val="none" w:sz="0" w:space="0" w:color="auto"/>
                    <w:bottom w:val="none" w:sz="0" w:space="0" w:color="auto"/>
                    <w:right w:val="none" w:sz="0" w:space="0" w:color="auto"/>
                  </w:divBdr>
                </w:div>
                <w:div w:id="197358623">
                  <w:marLeft w:val="0"/>
                  <w:marRight w:val="0"/>
                  <w:marTop w:val="0"/>
                  <w:marBottom w:val="0"/>
                  <w:divBdr>
                    <w:top w:val="none" w:sz="0" w:space="0" w:color="auto"/>
                    <w:left w:val="none" w:sz="0" w:space="0" w:color="auto"/>
                    <w:bottom w:val="none" w:sz="0" w:space="0" w:color="auto"/>
                    <w:right w:val="none" w:sz="0" w:space="0" w:color="auto"/>
                  </w:divBdr>
                </w:div>
                <w:div w:id="2057661605">
                  <w:marLeft w:val="0"/>
                  <w:marRight w:val="0"/>
                  <w:marTop w:val="0"/>
                  <w:marBottom w:val="0"/>
                  <w:divBdr>
                    <w:top w:val="none" w:sz="0" w:space="0" w:color="auto"/>
                    <w:left w:val="none" w:sz="0" w:space="0" w:color="auto"/>
                    <w:bottom w:val="none" w:sz="0" w:space="0" w:color="auto"/>
                    <w:right w:val="none" w:sz="0" w:space="0" w:color="auto"/>
                  </w:divBdr>
                </w:div>
                <w:div w:id="824933848">
                  <w:marLeft w:val="0"/>
                  <w:marRight w:val="0"/>
                  <w:marTop w:val="0"/>
                  <w:marBottom w:val="0"/>
                  <w:divBdr>
                    <w:top w:val="none" w:sz="0" w:space="0" w:color="auto"/>
                    <w:left w:val="none" w:sz="0" w:space="0" w:color="auto"/>
                    <w:bottom w:val="none" w:sz="0" w:space="0" w:color="auto"/>
                    <w:right w:val="none" w:sz="0" w:space="0" w:color="auto"/>
                  </w:divBdr>
                </w:div>
                <w:div w:id="19503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4514">
          <w:marLeft w:val="0"/>
          <w:marRight w:val="0"/>
          <w:marTop w:val="0"/>
          <w:marBottom w:val="0"/>
          <w:divBdr>
            <w:top w:val="none" w:sz="0" w:space="0" w:color="auto"/>
            <w:left w:val="none" w:sz="0" w:space="0" w:color="auto"/>
            <w:bottom w:val="none" w:sz="0" w:space="0" w:color="auto"/>
            <w:right w:val="none" w:sz="0" w:space="0" w:color="auto"/>
          </w:divBdr>
        </w:div>
        <w:div w:id="700515298">
          <w:marLeft w:val="0"/>
          <w:marRight w:val="0"/>
          <w:marTop w:val="0"/>
          <w:marBottom w:val="0"/>
          <w:divBdr>
            <w:top w:val="none" w:sz="0" w:space="0" w:color="auto"/>
            <w:left w:val="none" w:sz="0" w:space="0" w:color="auto"/>
            <w:bottom w:val="none" w:sz="0" w:space="0" w:color="auto"/>
            <w:right w:val="none" w:sz="0" w:space="0" w:color="auto"/>
          </w:divBdr>
        </w:div>
        <w:div w:id="265771432">
          <w:marLeft w:val="0"/>
          <w:marRight w:val="0"/>
          <w:marTop w:val="0"/>
          <w:marBottom w:val="0"/>
          <w:divBdr>
            <w:top w:val="none" w:sz="0" w:space="0" w:color="auto"/>
            <w:left w:val="none" w:sz="0" w:space="0" w:color="auto"/>
            <w:bottom w:val="none" w:sz="0" w:space="0" w:color="auto"/>
            <w:right w:val="none" w:sz="0" w:space="0" w:color="auto"/>
          </w:divBdr>
        </w:div>
        <w:div w:id="529807901">
          <w:marLeft w:val="0"/>
          <w:marRight w:val="0"/>
          <w:marTop w:val="0"/>
          <w:marBottom w:val="0"/>
          <w:divBdr>
            <w:top w:val="none" w:sz="0" w:space="0" w:color="auto"/>
            <w:left w:val="none" w:sz="0" w:space="0" w:color="auto"/>
            <w:bottom w:val="none" w:sz="0" w:space="0" w:color="auto"/>
            <w:right w:val="none" w:sz="0" w:space="0" w:color="auto"/>
          </w:divBdr>
        </w:div>
        <w:div w:id="1995911795">
          <w:marLeft w:val="0"/>
          <w:marRight w:val="0"/>
          <w:marTop w:val="0"/>
          <w:marBottom w:val="0"/>
          <w:divBdr>
            <w:top w:val="none" w:sz="0" w:space="0" w:color="auto"/>
            <w:left w:val="none" w:sz="0" w:space="0" w:color="auto"/>
            <w:bottom w:val="none" w:sz="0" w:space="0" w:color="auto"/>
            <w:right w:val="none" w:sz="0" w:space="0" w:color="auto"/>
          </w:divBdr>
        </w:div>
        <w:div w:id="238297053">
          <w:marLeft w:val="0"/>
          <w:marRight w:val="0"/>
          <w:marTop w:val="0"/>
          <w:marBottom w:val="0"/>
          <w:divBdr>
            <w:top w:val="none" w:sz="0" w:space="0" w:color="auto"/>
            <w:left w:val="none" w:sz="0" w:space="0" w:color="auto"/>
            <w:bottom w:val="none" w:sz="0" w:space="0" w:color="auto"/>
            <w:right w:val="none" w:sz="0" w:space="0" w:color="auto"/>
          </w:divBdr>
        </w:div>
        <w:div w:id="1885672692">
          <w:marLeft w:val="0"/>
          <w:marRight w:val="0"/>
          <w:marTop w:val="0"/>
          <w:marBottom w:val="0"/>
          <w:divBdr>
            <w:top w:val="none" w:sz="0" w:space="0" w:color="auto"/>
            <w:left w:val="none" w:sz="0" w:space="0" w:color="auto"/>
            <w:bottom w:val="none" w:sz="0" w:space="0" w:color="auto"/>
            <w:right w:val="none" w:sz="0" w:space="0" w:color="auto"/>
          </w:divBdr>
        </w:div>
        <w:div w:id="1530484235">
          <w:marLeft w:val="0"/>
          <w:marRight w:val="0"/>
          <w:marTop w:val="0"/>
          <w:marBottom w:val="0"/>
          <w:divBdr>
            <w:top w:val="none" w:sz="0" w:space="0" w:color="auto"/>
            <w:left w:val="none" w:sz="0" w:space="0" w:color="auto"/>
            <w:bottom w:val="none" w:sz="0" w:space="0" w:color="auto"/>
            <w:right w:val="none" w:sz="0" w:space="0" w:color="auto"/>
          </w:divBdr>
        </w:div>
        <w:div w:id="196892679">
          <w:marLeft w:val="0"/>
          <w:marRight w:val="0"/>
          <w:marTop w:val="0"/>
          <w:marBottom w:val="0"/>
          <w:divBdr>
            <w:top w:val="none" w:sz="0" w:space="0" w:color="auto"/>
            <w:left w:val="none" w:sz="0" w:space="0" w:color="auto"/>
            <w:bottom w:val="none" w:sz="0" w:space="0" w:color="auto"/>
            <w:right w:val="none" w:sz="0" w:space="0" w:color="auto"/>
          </w:divBdr>
        </w:div>
        <w:div w:id="874081425">
          <w:marLeft w:val="0"/>
          <w:marRight w:val="0"/>
          <w:marTop w:val="0"/>
          <w:marBottom w:val="0"/>
          <w:divBdr>
            <w:top w:val="none" w:sz="0" w:space="0" w:color="auto"/>
            <w:left w:val="none" w:sz="0" w:space="0" w:color="auto"/>
            <w:bottom w:val="none" w:sz="0" w:space="0" w:color="auto"/>
            <w:right w:val="none" w:sz="0" w:space="0" w:color="auto"/>
          </w:divBdr>
        </w:div>
        <w:div w:id="473984009">
          <w:marLeft w:val="0"/>
          <w:marRight w:val="0"/>
          <w:marTop w:val="0"/>
          <w:marBottom w:val="0"/>
          <w:divBdr>
            <w:top w:val="none" w:sz="0" w:space="0" w:color="auto"/>
            <w:left w:val="none" w:sz="0" w:space="0" w:color="auto"/>
            <w:bottom w:val="none" w:sz="0" w:space="0" w:color="auto"/>
            <w:right w:val="none" w:sz="0" w:space="0" w:color="auto"/>
          </w:divBdr>
        </w:div>
        <w:div w:id="1076976409">
          <w:marLeft w:val="0"/>
          <w:marRight w:val="0"/>
          <w:marTop w:val="0"/>
          <w:marBottom w:val="0"/>
          <w:divBdr>
            <w:top w:val="none" w:sz="0" w:space="0" w:color="auto"/>
            <w:left w:val="none" w:sz="0" w:space="0" w:color="auto"/>
            <w:bottom w:val="none" w:sz="0" w:space="0" w:color="auto"/>
            <w:right w:val="none" w:sz="0" w:space="0" w:color="auto"/>
          </w:divBdr>
        </w:div>
        <w:div w:id="2058623964">
          <w:marLeft w:val="0"/>
          <w:marRight w:val="0"/>
          <w:marTop w:val="0"/>
          <w:marBottom w:val="0"/>
          <w:divBdr>
            <w:top w:val="none" w:sz="0" w:space="0" w:color="auto"/>
            <w:left w:val="none" w:sz="0" w:space="0" w:color="auto"/>
            <w:bottom w:val="none" w:sz="0" w:space="0" w:color="auto"/>
            <w:right w:val="none" w:sz="0" w:space="0" w:color="auto"/>
          </w:divBdr>
        </w:div>
        <w:div w:id="1519852620">
          <w:marLeft w:val="0"/>
          <w:marRight w:val="0"/>
          <w:marTop w:val="0"/>
          <w:marBottom w:val="0"/>
          <w:divBdr>
            <w:top w:val="none" w:sz="0" w:space="0" w:color="auto"/>
            <w:left w:val="none" w:sz="0" w:space="0" w:color="auto"/>
            <w:bottom w:val="none" w:sz="0" w:space="0" w:color="auto"/>
            <w:right w:val="none" w:sz="0" w:space="0" w:color="auto"/>
          </w:divBdr>
        </w:div>
        <w:div w:id="334000176">
          <w:marLeft w:val="0"/>
          <w:marRight w:val="0"/>
          <w:marTop w:val="0"/>
          <w:marBottom w:val="0"/>
          <w:divBdr>
            <w:top w:val="none" w:sz="0" w:space="0" w:color="auto"/>
            <w:left w:val="none" w:sz="0" w:space="0" w:color="auto"/>
            <w:bottom w:val="none" w:sz="0" w:space="0" w:color="auto"/>
            <w:right w:val="none" w:sz="0" w:space="0" w:color="auto"/>
          </w:divBdr>
        </w:div>
        <w:div w:id="39209210">
          <w:marLeft w:val="0"/>
          <w:marRight w:val="0"/>
          <w:marTop w:val="0"/>
          <w:marBottom w:val="0"/>
          <w:divBdr>
            <w:top w:val="none" w:sz="0" w:space="0" w:color="auto"/>
            <w:left w:val="none" w:sz="0" w:space="0" w:color="auto"/>
            <w:bottom w:val="none" w:sz="0" w:space="0" w:color="auto"/>
            <w:right w:val="none" w:sz="0" w:space="0" w:color="auto"/>
          </w:divBdr>
        </w:div>
        <w:div w:id="1162355022">
          <w:marLeft w:val="0"/>
          <w:marRight w:val="0"/>
          <w:marTop w:val="0"/>
          <w:marBottom w:val="0"/>
          <w:divBdr>
            <w:top w:val="none" w:sz="0" w:space="0" w:color="auto"/>
            <w:left w:val="none" w:sz="0" w:space="0" w:color="auto"/>
            <w:bottom w:val="none" w:sz="0" w:space="0" w:color="auto"/>
            <w:right w:val="none" w:sz="0" w:space="0" w:color="auto"/>
          </w:divBdr>
        </w:div>
        <w:div w:id="896817255">
          <w:marLeft w:val="0"/>
          <w:marRight w:val="0"/>
          <w:marTop w:val="0"/>
          <w:marBottom w:val="0"/>
          <w:divBdr>
            <w:top w:val="none" w:sz="0" w:space="0" w:color="auto"/>
            <w:left w:val="none" w:sz="0" w:space="0" w:color="auto"/>
            <w:bottom w:val="none" w:sz="0" w:space="0" w:color="auto"/>
            <w:right w:val="none" w:sz="0" w:space="0" w:color="auto"/>
          </w:divBdr>
        </w:div>
        <w:div w:id="416487965">
          <w:marLeft w:val="0"/>
          <w:marRight w:val="0"/>
          <w:marTop w:val="0"/>
          <w:marBottom w:val="0"/>
          <w:divBdr>
            <w:top w:val="none" w:sz="0" w:space="0" w:color="auto"/>
            <w:left w:val="none" w:sz="0" w:space="0" w:color="auto"/>
            <w:bottom w:val="none" w:sz="0" w:space="0" w:color="auto"/>
            <w:right w:val="none" w:sz="0" w:space="0" w:color="auto"/>
          </w:divBdr>
        </w:div>
        <w:div w:id="1655136280">
          <w:marLeft w:val="0"/>
          <w:marRight w:val="0"/>
          <w:marTop w:val="0"/>
          <w:marBottom w:val="0"/>
          <w:divBdr>
            <w:top w:val="none" w:sz="0" w:space="0" w:color="auto"/>
            <w:left w:val="none" w:sz="0" w:space="0" w:color="auto"/>
            <w:bottom w:val="none" w:sz="0" w:space="0" w:color="auto"/>
            <w:right w:val="none" w:sz="0" w:space="0" w:color="auto"/>
          </w:divBdr>
        </w:div>
        <w:div w:id="298729012">
          <w:marLeft w:val="0"/>
          <w:marRight w:val="0"/>
          <w:marTop w:val="0"/>
          <w:marBottom w:val="0"/>
          <w:divBdr>
            <w:top w:val="none" w:sz="0" w:space="0" w:color="auto"/>
            <w:left w:val="none" w:sz="0" w:space="0" w:color="auto"/>
            <w:bottom w:val="none" w:sz="0" w:space="0" w:color="auto"/>
            <w:right w:val="none" w:sz="0" w:space="0" w:color="auto"/>
          </w:divBdr>
        </w:div>
        <w:div w:id="19649680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4BB73-7224-4BF1-AB64-FB9622B66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553</Pages>
  <Words>110800</Words>
  <Characters>631561</Characters>
  <Application>Microsoft Office Word</Application>
  <DocSecurity>0</DocSecurity>
  <Lines>5263</Lines>
  <Paragraphs>1481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740880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dc:creator>
  <cp:lastModifiedBy>FBR</cp:lastModifiedBy>
  <cp:revision>85</cp:revision>
  <cp:lastPrinted>2016-07-12T09:00:00Z</cp:lastPrinted>
  <dcterms:created xsi:type="dcterms:W3CDTF">2016-08-29T08:07:00Z</dcterms:created>
  <dcterms:modified xsi:type="dcterms:W3CDTF">2016-09-19T11:49:00Z</dcterms:modified>
</cp:coreProperties>
</file>